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470F7D">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cs="Times New Roman"/>
          <w:b/>
          <w:bCs/>
          <w:color w:val="0000FF"/>
          <w:spacing w:val="40"/>
          <w:sz w:val="48"/>
          <w:szCs w:val="48"/>
        </w:rPr>
      </w:pPr>
    </w:p>
    <w:p w14:paraId="2E1BCECD">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cs="Times New Roman"/>
          <w:b/>
          <w:bCs/>
          <w:color w:val="0000FF"/>
          <w:spacing w:val="40"/>
          <w:sz w:val="48"/>
          <w:szCs w:val="48"/>
        </w:rPr>
      </w:pPr>
    </w:p>
    <w:p w14:paraId="45A0DE32">
      <w:pPr>
        <w:keepNext w:val="0"/>
        <w:keepLines w:val="0"/>
        <w:pageBreakBefore w:val="0"/>
        <w:widowControl/>
        <w:kinsoku/>
        <w:wordWrap/>
        <w:overflowPunct/>
        <w:topLinePunct w:val="0"/>
        <w:bidi w:val="0"/>
        <w:adjustRightInd/>
        <w:snapToGrid/>
        <w:spacing w:line="240" w:lineRule="auto"/>
        <w:ind w:firstLine="0" w:firstLineChars="0"/>
        <w:jc w:val="center"/>
        <w:textAlignment w:val="auto"/>
        <w:rPr>
          <w:rFonts w:hint="eastAsia" w:eastAsia="楷体" w:cs="Times New Roman"/>
          <w:b/>
          <w:bCs/>
          <w:spacing w:val="40"/>
          <w:sz w:val="52"/>
          <w:szCs w:val="52"/>
        </w:rPr>
      </w:pPr>
      <w:r>
        <w:rPr>
          <w:rFonts w:hint="eastAsia" w:eastAsia="楷体" w:cs="Times New Roman"/>
          <w:b/>
          <w:bCs/>
          <w:spacing w:val="40"/>
          <w:sz w:val="52"/>
          <w:szCs w:val="52"/>
        </w:rPr>
        <w:t>淮南市谢家集区朱集中型灌区续建配套与节水改造项目</w:t>
      </w:r>
    </w:p>
    <w:p w14:paraId="76B05396">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eastAsia="楷体" w:cs="Times New Roman"/>
          <w:b/>
          <w:bCs/>
          <w:spacing w:val="20"/>
          <w:sz w:val="52"/>
          <w:szCs w:val="52"/>
        </w:rPr>
      </w:pPr>
    </w:p>
    <w:p w14:paraId="19D17A5F">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eastAsia="楷体" w:cs="Times New Roman"/>
          <w:b/>
          <w:bCs/>
          <w:spacing w:val="20"/>
          <w:sz w:val="52"/>
          <w:szCs w:val="52"/>
        </w:rPr>
      </w:pPr>
    </w:p>
    <w:p w14:paraId="21C593B0">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eastAsia="楷体" w:cs="Times New Roman"/>
          <w:b/>
          <w:bCs/>
          <w:spacing w:val="20"/>
          <w:sz w:val="52"/>
          <w:szCs w:val="52"/>
        </w:rPr>
      </w:pPr>
    </w:p>
    <w:p w14:paraId="0599A948">
      <w:pPr>
        <w:keepNext w:val="0"/>
        <w:keepLines w:val="0"/>
        <w:pageBreakBefore w:val="0"/>
        <w:widowControl/>
        <w:kinsoku/>
        <w:wordWrap/>
        <w:overflowPunct/>
        <w:topLinePunct w:val="0"/>
        <w:autoSpaceDE w:val="0"/>
        <w:autoSpaceDN w:val="0"/>
        <w:bidi w:val="0"/>
        <w:adjustRightInd/>
        <w:snapToGrid/>
        <w:spacing w:line="240" w:lineRule="auto"/>
        <w:ind w:firstLine="0" w:firstLineChars="0"/>
        <w:jc w:val="center"/>
        <w:textAlignment w:val="auto"/>
        <w:rPr>
          <w:rFonts w:hint="eastAsia" w:ascii="华文新魏" w:hAnsi="华文新魏" w:eastAsia="华文新魏" w:cs="华文新魏"/>
          <w:b/>
          <w:bCs/>
          <w:spacing w:val="20"/>
          <w:sz w:val="72"/>
          <w:szCs w:val="36"/>
        </w:rPr>
      </w:pPr>
      <w:r>
        <w:rPr>
          <w:rFonts w:hint="eastAsia" w:ascii="华文新魏" w:hAnsi="华文新魏" w:eastAsia="华文新魏" w:cs="华文新魏"/>
          <w:b/>
          <w:bCs/>
          <w:spacing w:val="20"/>
          <w:sz w:val="96"/>
          <w:szCs w:val="96"/>
        </w:rPr>
        <w:t>环境影响报告书</w:t>
      </w:r>
    </w:p>
    <w:p w14:paraId="539E1CF4">
      <w:pPr>
        <w:keepNext w:val="0"/>
        <w:keepLines w:val="0"/>
        <w:pageBreakBefore w:val="0"/>
        <w:widowControl/>
        <w:kinsoku/>
        <w:wordWrap/>
        <w:overflowPunct/>
        <w:topLinePunct w:val="0"/>
        <w:autoSpaceDE/>
        <w:autoSpaceDN/>
        <w:bidi w:val="0"/>
        <w:adjustRightInd/>
        <w:snapToGrid/>
        <w:spacing w:line="240" w:lineRule="auto"/>
        <w:ind w:left="0" w:firstLine="0" w:firstLineChars="0"/>
        <w:jc w:val="center"/>
        <w:textAlignment w:val="auto"/>
        <w:rPr>
          <w:rFonts w:eastAsia="楷体" w:cs="Times New Roman"/>
          <w:b/>
          <w:bCs/>
          <w:spacing w:val="20"/>
          <w:sz w:val="36"/>
          <w:szCs w:val="36"/>
        </w:rPr>
      </w:pPr>
    </w:p>
    <w:p w14:paraId="758ECCF5">
      <w:pPr>
        <w:keepNext w:val="0"/>
        <w:keepLines w:val="0"/>
        <w:pageBreakBefore w:val="0"/>
        <w:widowControl/>
        <w:kinsoku/>
        <w:wordWrap/>
        <w:overflowPunct/>
        <w:topLinePunct w:val="0"/>
        <w:autoSpaceDE/>
        <w:autoSpaceDN/>
        <w:bidi w:val="0"/>
        <w:adjustRightInd/>
        <w:snapToGrid/>
        <w:spacing w:line="240" w:lineRule="auto"/>
        <w:ind w:left="0" w:firstLine="0" w:firstLineChars="0"/>
        <w:jc w:val="center"/>
        <w:textAlignment w:val="auto"/>
        <w:rPr>
          <w:rFonts w:eastAsia="楷体" w:cs="Times New Roman"/>
          <w:b/>
          <w:bCs/>
          <w:spacing w:val="20"/>
          <w:sz w:val="36"/>
          <w:szCs w:val="36"/>
        </w:rPr>
      </w:pPr>
      <w:r>
        <w:rPr>
          <w:rFonts w:eastAsia="楷体" w:cs="Times New Roman"/>
          <w:b/>
          <w:bCs/>
          <w:spacing w:val="20"/>
          <w:sz w:val="36"/>
          <w:szCs w:val="36"/>
        </w:rPr>
        <w:t>（</w:t>
      </w:r>
      <w:r>
        <w:rPr>
          <w:rFonts w:hint="eastAsia" w:eastAsia="楷体" w:cs="Times New Roman"/>
          <w:b/>
          <w:bCs/>
          <w:spacing w:val="20"/>
          <w:sz w:val="36"/>
          <w:szCs w:val="36"/>
          <w:lang w:val="en-US" w:eastAsia="zh-CN"/>
        </w:rPr>
        <w:t>送审</w:t>
      </w:r>
      <w:r>
        <w:rPr>
          <w:rFonts w:hint="eastAsia" w:eastAsia="楷体" w:cs="Times New Roman"/>
          <w:b/>
          <w:bCs/>
          <w:spacing w:val="20"/>
          <w:sz w:val="36"/>
          <w:szCs w:val="36"/>
        </w:rPr>
        <w:t>稿</w:t>
      </w:r>
      <w:r>
        <w:rPr>
          <w:rFonts w:eastAsia="楷体" w:cs="Times New Roman"/>
          <w:b/>
          <w:bCs/>
          <w:spacing w:val="20"/>
          <w:sz w:val="36"/>
          <w:szCs w:val="36"/>
        </w:rPr>
        <w:t>）</w:t>
      </w:r>
    </w:p>
    <w:p w14:paraId="6DCF0453">
      <w:pPr>
        <w:keepNext w:val="0"/>
        <w:keepLines w:val="0"/>
        <w:pageBreakBefore w:val="0"/>
        <w:widowControl/>
        <w:kinsoku/>
        <w:wordWrap/>
        <w:overflowPunct/>
        <w:topLinePunct w:val="0"/>
        <w:autoSpaceDE/>
        <w:autoSpaceDN/>
        <w:bidi w:val="0"/>
        <w:adjustRightInd/>
        <w:snapToGrid/>
        <w:spacing w:line="360" w:lineRule="auto"/>
        <w:ind w:left="0" w:firstLine="0" w:firstLineChars="0"/>
        <w:jc w:val="center"/>
        <w:textAlignment w:val="auto"/>
        <w:rPr>
          <w:rFonts w:cs="Times New Roman"/>
          <w:b/>
          <w:bCs/>
          <w:sz w:val="30"/>
          <w:szCs w:val="30"/>
        </w:rPr>
      </w:pPr>
    </w:p>
    <w:p w14:paraId="5F31B639">
      <w:pPr>
        <w:keepNext w:val="0"/>
        <w:keepLines w:val="0"/>
        <w:pageBreakBefore w:val="0"/>
        <w:widowControl/>
        <w:kinsoku/>
        <w:wordWrap/>
        <w:overflowPunct/>
        <w:topLinePunct w:val="0"/>
        <w:autoSpaceDE/>
        <w:autoSpaceDN/>
        <w:bidi w:val="0"/>
        <w:adjustRightInd/>
        <w:snapToGrid/>
        <w:spacing w:line="360" w:lineRule="auto"/>
        <w:ind w:left="0" w:firstLine="0" w:firstLineChars="0"/>
        <w:jc w:val="center"/>
        <w:textAlignment w:val="auto"/>
        <w:rPr>
          <w:rFonts w:cs="Times New Roman"/>
          <w:b/>
          <w:bCs/>
          <w:sz w:val="30"/>
          <w:szCs w:val="30"/>
        </w:rPr>
      </w:pPr>
    </w:p>
    <w:p w14:paraId="25E6B19B">
      <w:pPr>
        <w:keepNext w:val="0"/>
        <w:keepLines w:val="0"/>
        <w:pageBreakBefore w:val="0"/>
        <w:widowControl/>
        <w:kinsoku/>
        <w:wordWrap/>
        <w:overflowPunct/>
        <w:topLinePunct w:val="0"/>
        <w:autoSpaceDE/>
        <w:autoSpaceDN/>
        <w:bidi w:val="0"/>
        <w:adjustRightInd/>
        <w:snapToGrid/>
        <w:spacing w:line="360" w:lineRule="auto"/>
        <w:ind w:left="0" w:firstLine="0" w:firstLineChars="0"/>
        <w:jc w:val="center"/>
        <w:textAlignment w:val="auto"/>
        <w:rPr>
          <w:rFonts w:cs="Times New Roman"/>
          <w:b/>
          <w:bCs/>
          <w:sz w:val="30"/>
          <w:szCs w:val="30"/>
        </w:rPr>
      </w:pPr>
    </w:p>
    <w:p w14:paraId="5F50BCD3">
      <w:pPr>
        <w:keepNext w:val="0"/>
        <w:keepLines w:val="0"/>
        <w:pageBreakBefore w:val="0"/>
        <w:widowControl/>
        <w:kinsoku/>
        <w:wordWrap/>
        <w:overflowPunct/>
        <w:topLinePunct w:val="0"/>
        <w:autoSpaceDE/>
        <w:autoSpaceDN/>
        <w:bidi w:val="0"/>
        <w:adjustRightInd/>
        <w:snapToGrid/>
        <w:spacing w:line="360" w:lineRule="auto"/>
        <w:ind w:left="0" w:firstLine="0" w:firstLineChars="0"/>
        <w:jc w:val="center"/>
        <w:textAlignment w:val="auto"/>
        <w:rPr>
          <w:rFonts w:cs="Times New Roman"/>
          <w:b/>
          <w:bCs/>
          <w:sz w:val="30"/>
          <w:szCs w:val="30"/>
        </w:rPr>
      </w:pPr>
    </w:p>
    <w:p w14:paraId="4BD0BF83">
      <w:pPr>
        <w:keepNext w:val="0"/>
        <w:keepLines w:val="0"/>
        <w:pageBreakBefore w:val="0"/>
        <w:widowControl/>
        <w:kinsoku/>
        <w:wordWrap/>
        <w:overflowPunct/>
        <w:topLinePunct w:val="0"/>
        <w:autoSpaceDE/>
        <w:autoSpaceDN/>
        <w:bidi w:val="0"/>
        <w:adjustRightInd/>
        <w:snapToGrid/>
        <w:spacing w:line="360" w:lineRule="auto"/>
        <w:ind w:left="0" w:firstLine="0" w:firstLineChars="0"/>
        <w:jc w:val="center"/>
        <w:textAlignment w:val="auto"/>
        <w:rPr>
          <w:rFonts w:eastAsia="楷体" w:cs="Times New Roman"/>
          <w:b/>
          <w:bCs/>
          <w:sz w:val="32"/>
          <w:szCs w:val="32"/>
        </w:rPr>
      </w:pPr>
    </w:p>
    <w:p w14:paraId="25AA04CC">
      <w:pPr>
        <w:keepNext w:val="0"/>
        <w:keepLines w:val="0"/>
        <w:pageBreakBefore w:val="0"/>
        <w:widowControl/>
        <w:kinsoku/>
        <w:wordWrap/>
        <w:overflowPunct/>
        <w:topLinePunct w:val="0"/>
        <w:autoSpaceDE/>
        <w:autoSpaceDN/>
        <w:bidi w:val="0"/>
        <w:adjustRightInd/>
        <w:snapToGrid/>
        <w:spacing w:line="360" w:lineRule="auto"/>
        <w:ind w:left="0" w:firstLine="0" w:firstLineChars="0"/>
        <w:jc w:val="center"/>
        <w:textAlignment w:val="auto"/>
        <w:rPr>
          <w:rFonts w:eastAsia="楷体" w:cs="Times New Roman"/>
          <w:b/>
          <w:bCs/>
          <w:sz w:val="32"/>
          <w:szCs w:val="32"/>
        </w:rPr>
      </w:pPr>
    </w:p>
    <w:p w14:paraId="3425249F">
      <w:pPr>
        <w:keepNext w:val="0"/>
        <w:keepLines w:val="0"/>
        <w:pageBreakBefore w:val="0"/>
        <w:widowControl/>
        <w:numPr>
          <w:ilvl w:val="1"/>
          <w:numId w:val="0"/>
        </w:numPr>
        <w:tabs>
          <w:tab w:val="left" w:pos="0"/>
        </w:tabs>
        <w:kinsoku/>
        <w:wordWrap/>
        <w:overflowPunct/>
        <w:topLinePunct w:val="0"/>
        <w:autoSpaceDE/>
        <w:autoSpaceDN/>
        <w:bidi w:val="0"/>
        <w:adjustRightInd/>
        <w:snapToGrid/>
        <w:spacing w:line="360" w:lineRule="auto"/>
        <w:ind w:left="0" w:firstLine="0" w:firstLineChars="0"/>
        <w:textAlignment w:val="auto"/>
      </w:pPr>
    </w:p>
    <w:p w14:paraId="0FAEDD6F">
      <w:pPr>
        <w:keepNext w:val="0"/>
        <w:keepLines w:val="0"/>
        <w:pageBreakBefore w:val="0"/>
        <w:widowControl/>
        <w:kinsoku/>
        <w:wordWrap/>
        <w:overflowPunct/>
        <w:topLinePunct w:val="0"/>
        <w:autoSpaceDE/>
        <w:autoSpaceDN/>
        <w:bidi w:val="0"/>
        <w:adjustRightInd/>
        <w:snapToGrid/>
        <w:spacing w:line="360" w:lineRule="auto"/>
        <w:ind w:left="0" w:firstLine="0" w:firstLineChars="0"/>
        <w:textAlignment w:val="auto"/>
        <w:rPr>
          <w:rFonts w:eastAsia="楷体"/>
          <w:b/>
          <w:bCs/>
          <w:sz w:val="32"/>
          <w:szCs w:val="32"/>
        </w:rPr>
      </w:pPr>
    </w:p>
    <w:p w14:paraId="342D9F9F">
      <w:pPr>
        <w:keepNext w:val="0"/>
        <w:keepLines w:val="0"/>
        <w:pageBreakBefore w:val="0"/>
        <w:widowControl/>
        <w:kinsoku/>
        <w:wordWrap/>
        <w:overflowPunct/>
        <w:topLinePunct w:val="0"/>
        <w:autoSpaceDE/>
        <w:autoSpaceDN/>
        <w:bidi w:val="0"/>
        <w:adjustRightInd/>
        <w:snapToGrid/>
        <w:spacing w:line="360" w:lineRule="auto"/>
        <w:ind w:left="0" w:firstLine="0" w:firstLineChars="0"/>
        <w:textAlignment w:val="auto"/>
        <w:rPr>
          <w:rFonts w:eastAsia="楷体"/>
          <w:b/>
          <w:bCs/>
          <w:sz w:val="32"/>
          <w:szCs w:val="32"/>
        </w:rPr>
      </w:pPr>
    </w:p>
    <w:p w14:paraId="7E927FB5">
      <w:pPr>
        <w:keepNext w:val="0"/>
        <w:keepLines w:val="0"/>
        <w:pageBreakBefore w:val="0"/>
        <w:widowControl/>
        <w:kinsoku/>
        <w:wordWrap/>
        <w:overflowPunct/>
        <w:topLinePunct w:val="0"/>
        <w:autoSpaceDE/>
        <w:autoSpaceDN/>
        <w:bidi w:val="0"/>
        <w:adjustRightInd/>
        <w:snapToGrid/>
        <w:spacing w:line="288" w:lineRule="auto"/>
        <w:ind w:left="0" w:firstLine="0" w:firstLineChars="0"/>
        <w:jc w:val="center"/>
        <w:textAlignment w:val="auto"/>
        <w:rPr>
          <w:rFonts w:eastAsia="楷体" w:cs="Times New Roman"/>
          <w:b/>
          <w:bCs/>
          <w:sz w:val="32"/>
          <w:szCs w:val="32"/>
        </w:rPr>
      </w:pPr>
      <w:r>
        <w:rPr>
          <w:rFonts w:eastAsia="楷体" w:cs="Times New Roman"/>
          <w:b/>
          <w:bCs/>
          <w:sz w:val="32"/>
          <w:szCs w:val="32"/>
        </w:rPr>
        <w:t>建设单位：</w:t>
      </w:r>
      <w:r>
        <w:rPr>
          <w:rFonts w:hint="eastAsia" w:eastAsia="楷体" w:cs="Times New Roman"/>
          <w:b/>
          <w:bCs/>
          <w:sz w:val="32"/>
          <w:szCs w:val="32"/>
        </w:rPr>
        <w:t>淮南市谢家集区农业农村水利局</w:t>
      </w:r>
    </w:p>
    <w:p w14:paraId="5202A4C9">
      <w:pPr>
        <w:keepNext w:val="0"/>
        <w:keepLines w:val="0"/>
        <w:pageBreakBefore w:val="0"/>
        <w:widowControl/>
        <w:kinsoku/>
        <w:wordWrap/>
        <w:overflowPunct/>
        <w:topLinePunct w:val="0"/>
        <w:autoSpaceDE/>
        <w:autoSpaceDN/>
        <w:bidi w:val="0"/>
        <w:adjustRightInd/>
        <w:snapToGrid/>
        <w:spacing w:line="288" w:lineRule="auto"/>
        <w:ind w:left="0" w:firstLine="0" w:firstLineChars="0"/>
        <w:jc w:val="center"/>
        <w:textAlignment w:val="auto"/>
        <w:rPr>
          <w:rFonts w:eastAsia="楷体" w:cs="Times New Roman"/>
          <w:b/>
          <w:bCs/>
          <w:sz w:val="32"/>
          <w:szCs w:val="32"/>
        </w:rPr>
      </w:pPr>
      <w:r>
        <w:rPr>
          <w:rFonts w:eastAsia="楷体" w:cs="Times New Roman"/>
          <w:b/>
          <w:bCs/>
          <w:sz w:val="32"/>
          <w:szCs w:val="32"/>
        </w:rPr>
        <w:t>评价单位：安徽克林曼生态环境工程有限公司</w:t>
      </w:r>
    </w:p>
    <w:p w14:paraId="505BBF55">
      <w:pPr>
        <w:keepNext w:val="0"/>
        <w:keepLines w:val="0"/>
        <w:pageBreakBefore w:val="0"/>
        <w:widowControl/>
        <w:kinsoku/>
        <w:wordWrap/>
        <w:overflowPunct/>
        <w:topLinePunct w:val="0"/>
        <w:autoSpaceDE/>
        <w:autoSpaceDN/>
        <w:bidi w:val="0"/>
        <w:adjustRightInd/>
        <w:snapToGrid/>
        <w:spacing w:line="288" w:lineRule="auto"/>
        <w:ind w:left="0" w:firstLine="0" w:firstLineChars="0"/>
        <w:jc w:val="center"/>
        <w:textAlignment w:val="auto"/>
        <w:rPr>
          <w:rFonts w:eastAsia="楷体" w:cs="Times New Roman"/>
          <w:b/>
          <w:bCs/>
          <w:sz w:val="32"/>
          <w:szCs w:val="32"/>
        </w:rPr>
      </w:pPr>
    </w:p>
    <w:p w14:paraId="7FDB0666">
      <w:pPr>
        <w:keepNext w:val="0"/>
        <w:keepLines w:val="0"/>
        <w:pageBreakBefore w:val="0"/>
        <w:widowControl/>
        <w:kinsoku/>
        <w:wordWrap/>
        <w:overflowPunct/>
        <w:topLinePunct w:val="0"/>
        <w:autoSpaceDE/>
        <w:autoSpaceDN/>
        <w:bidi w:val="0"/>
        <w:adjustRightInd/>
        <w:snapToGrid/>
        <w:spacing w:line="288" w:lineRule="auto"/>
        <w:ind w:left="0" w:firstLine="0" w:firstLineChars="0"/>
        <w:jc w:val="center"/>
        <w:textAlignment w:val="auto"/>
        <w:rPr>
          <w:rFonts w:eastAsia="楷体" w:cs="Times New Roman"/>
          <w:b/>
          <w:bCs/>
          <w:sz w:val="32"/>
          <w:szCs w:val="32"/>
        </w:rPr>
      </w:pPr>
      <w:r>
        <w:rPr>
          <w:rFonts w:eastAsia="楷体" w:cs="Times New Roman"/>
          <w:b/>
          <w:bCs/>
          <w:sz w:val="32"/>
          <w:szCs w:val="32"/>
        </w:rPr>
        <w:t>二O二</w:t>
      </w:r>
      <w:r>
        <w:rPr>
          <w:rFonts w:hint="eastAsia" w:eastAsia="楷体" w:cs="Times New Roman"/>
          <w:b/>
          <w:bCs/>
          <w:sz w:val="32"/>
          <w:szCs w:val="32"/>
        </w:rPr>
        <w:t>四</w:t>
      </w:r>
      <w:r>
        <w:rPr>
          <w:rFonts w:eastAsia="楷体" w:cs="Times New Roman"/>
          <w:b/>
          <w:bCs/>
          <w:sz w:val="32"/>
          <w:szCs w:val="32"/>
        </w:rPr>
        <w:t>年</w:t>
      </w:r>
      <w:r>
        <w:rPr>
          <w:rFonts w:hint="eastAsia" w:eastAsia="楷体" w:cs="Times New Roman"/>
          <w:b/>
          <w:bCs/>
          <w:sz w:val="32"/>
          <w:szCs w:val="32"/>
          <w:lang w:val="en-US" w:eastAsia="zh-CN"/>
        </w:rPr>
        <w:t>八</w:t>
      </w:r>
      <w:r>
        <w:rPr>
          <w:rFonts w:eastAsia="楷体" w:cs="Times New Roman"/>
          <w:b/>
          <w:bCs/>
          <w:sz w:val="32"/>
          <w:szCs w:val="32"/>
        </w:rPr>
        <w:t>月</w:t>
      </w:r>
    </w:p>
    <w:p w14:paraId="39CBB4A1">
      <w:pPr>
        <w:spacing w:line="240" w:lineRule="auto"/>
        <w:jc w:val="center"/>
        <w:rPr>
          <w:rFonts w:eastAsia="楷体" w:cs="Times New Roman"/>
          <w:b/>
          <w:bCs/>
          <w:color w:val="0000FF"/>
          <w:sz w:val="30"/>
          <w:szCs w:val="30"/>
        </w:rPr>
        <w:sectPr>
          <w:headerReference r:id="rId7" w:type="first"/>
          <w:footerReference r:id="rId10" w:type="first"/>
          <w:headerReference r:id="rId5" w:type="default"/>
          <w:footerReference r:id="rId8" w:type="default"/>
          <w:headerReference r:id="rId6" w:type="even"/>
          <w:footerReference r:id="rId9" w:type="even"/>
          <w:pgSz w:w="11905" w:h="16838"/>
          <w:pgMar w:top="1417" w:right="1417" w:bottom="1417" w:left="1417" w:header="850" w:footer="850" w:gutter="0"/>
          <w:cols w:space="0" w:num="1"/>
          <w:rtlGutter w:val="0"/>
          <w:docGrid w:linePitch="326" w:charSpace="0"/>
        </w:sectPr>
      </w:pPr>
      <w:r>
        <w:rPr>
          <w:rFonts w:eastAsia="楷体" w:cs="Times New Roman"/>
          <w:b/>
          <w:bCs/>
          <w:color w:val="0000FF"/>
          <w:sz w:val="30"/>
          <w:szCs w:val="30"/>
        </w:rPr>
        <w:br w:type="page"/>
      </w:r>
    </w:p>
    <w:p w14:paraId="1BC7BB10">
      <w:pPr>
        <w:pStyle w:val="2"/>
        <w:jc w:val="center"/>
        <w:rPr>
          <w:sz w:val="28"/>
          <w:szCs w:val="28"/>
        </w:rPr>
      </w:pPr>
      <w:bookmarkStart w:id="0" w:name="_Toc5"/>
      <w:bookmarkStart w:id="1" w:name="_Toc31789"/>
      <w:bookmarkStart w:id="2" w:name="_Toc27552"/>
      <w:bookmarkStart w:id="3" w:name="_Toc32254"/>
      <w:bookmarkStart w:id="4" w:name="_Toc27644"/>
      <w:bookmarkStart w:id="5" w:name="_Toc367"/>
      <w:r>
        <w:rPr>
          <w:sz w:val="28"/>
          <w:szCs w:val="28"/>
        </w:rPr>
        <w:t>目  录</w:t>
      </w:r>
      <w:bookmarkEnd w:id="0"/>
      <w:bookmarkEnd w:id="1"/>
      <w:bookmarkEnd w:id="2"/>
      <w:bookmarkEnd w:id="3"/>
      <w:bookmarkEnd w:id="4"/>
      <w:bookmarkEnd w:id="5"/>
    </w:p>
    <w:p w14:paraId="166A4C61">
      <w:pPr>
        <w:pStyle w:val="14"/>
        <w:tabs>
          <w:tab w:val="right" w:leader="dot" w:pos="9071"/>
        </w:tabs>
      </w:pPr>
      <w:r>
        <w:rPr>
          <w:rFonts w:cs="Times New Roman"/>
          <w:bCs/>
          <w:color w:val="0000FF"/>
          <w:sz w:val="21"/>
          <w:szCs w:val="21"/>
        </w:rPr>
        <w:fldChar w:fldCharType="begin"/>
      </w:r>
      <w:r>
        <w:rPr>
          <w:rFonts w:cs="Times New Roman"/>
          <w:color w:val="0000FF"/>
          <w:sz w:val="21"/>
          <w:szCs w:val="21"/>
        </w:rPr>
        <w:instrText xml:space="preserve"> TOC \o "1-2" \h \z \u </w:instrText>
      </w:r>
      <w:r>
        <w:rPr>
          <w:rFonts w:cs="Times New Roman"/>
          <w:bCs/>
          <w:color w:val="0000FF"/>
          <w:sz w:val="21"/>
          <w:szCs w:val="21"/>
        </w:rPr>
        <w:fldChar w:fldCharType="separate"/>
      </w:r>
      <w:r>
        <w:rPr>
          <w:rFonts w:cs="Times New Roman"/>
          <w:bCs/>
          <w:color w:val="0000FF"/>
          <w:szCs w:val="21"/>
        </w:rPr>
        <w:fldChar w:fldCharType="begin"/>
      </w:r>
      <w:r>
        <w:rPr>
          <w:rFonts w:cs="Times New Roman"/>
          <w:bCs/>
          <w:szCs w:val="21"/>
        </w:rPr>
        <w:instrText xml:space="preserve"> HYPERLINK \l _Toc27644 </w:instrText>
      </w:r>
      <w:r>
        <w:rPr>
          <w:rFonts w:cs="Times New Roman"/>
          <w:bCs/>
          <w:szCs w:val="21"/>
        </w:rPr>
        <w:fldChar w:fldCharType="separate"/>
      </w:r>
      <w:r>
        <w:rPr>
          <w:szCs w:val="28"/>
        </w:rPr>
        <w:t>目  录</w:t>
      </w:r>
      <w:r>
        <w:tab/>
      </w:r>
      <w:r>
        <w:fldChar w:fldCharType="begin"/>
      </w:r>
      <w:r>
        <w:instrText xml:space="preserve"> PAGEREF _Toc27644 \h </w:instrText>
      </w:r>
      <w:r>
        <w:fldChar w:fldCharType="separate"/>
      </w:r>
      <w:r>
        <w:t>I</w:t>
      </w:r>
      <w:r>
        <w:fldChar w:fldCharType="end"/>
      </w:r>
      <w:r>
        <w:rPr>
          <w:rFonts w:cs="Times New Roman"/>
          <w:bCs/>
          <w:color w:val="0000FF"/>
          <w:szCs w:val="21"/>
        </w:rPr>
        <w:fldChar w:fldCharType="end"/>
      </w:r>
    </w:p>
    <w:p w14:paraId="635655AD">
      <w:pPr>
        <w:pStyle w:val="14"/>
        <w:tabs>
          <w:tab w:val="right" w:leader="dot" w:pos="9071"/>
        </w:tabs>
      </w:pPr>
      <w:r>
        <w:rPr>
          <w:rFonts w:cs="Times New Roman"/>
          <w:bCs/>
          <w:color w:val="0000FF"/>
          <w:szCs w:val="21"/>
        </w:rPr>
        <w:fldChar w:fldCharType="begin"/>
      </w:r>
      <w:r>
        <w:rPr>
          <w:rFonts w:cs="Times New Roman"/>
          <w:bCs/>
          <w:szCs w:val="21"/>
        </w:rPr>
        <w:instrText xml:space="preserve"> HYPERLINK \l _Toc589 </w:instrText>
      </w:r>
      <w:r>
        <w:rPr>
          <w:rFonts w:cs="Times New Roman"/>
          <w:bCs/>
          <w:szCs w:val="21"/>
        </w:rPr>
        <w:fldChar w:fldCharType="separate"/>
      </w:r>
      <w:r>
        <w:t xml:space="preserve">概 </w:t>
      </w:r>
      <w:r>
        <w:rPr>
          <w:rFonts w:hint="eastAsia"/>
          <w:lang w:val="en-US" w:eastAsia="zh-CN"/>
        </w:rPr>
        <w:t xml:space="preserve"> </w:t>
      </w:r>
      <w:r>
        <w:t>述</w:t>
      </w:r>
      <w:r>
        <w:tab/>
      </w:r>
      <w:r>
        <w:fldChar w:fldCharType="begin"/>
      </w:r>
      <w:r>
        <w:instrText xml:space="preserve"> PAGEREF _Toc589 \h </w:instrText>
      </w:r>
      <w:r>
        <w:fldChar w:fldCharType="separate"/>
      </w:r>
      <w:r>
        <w:t>1</w:t>
      </w:r>
      <w:r>
        <w:fldChar w:fldCharType="end"/>
      </w:r>
      <w:r>
        <w:rPr>
          <w:rFonts w:cs="Times New Roman"/>
          <w:bCs/>
          <w:color w:val="0000FF"/>
          <w:szCs w:val="21"/>
        </w:rPr>
        <w:fldChar w:fldCharType="end"/>
      </w:r>
    </w:p>
    <w:p w14:paraId="57874A7B">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_Toc28407 </w:instrText>
      </w:r>
      <w:r>
        <w:rPr>
          <w:rFonts w:cs="Times New Roman"/>
          <w:bCs/>
          <w:szCs w:val="21"/>
        </w:rPr>
        <w:fldChar w:fldCharType="separate"/>
      </w:r>
      <w:r>
        <w:t>一、项目由来</w:t>
      </w:r>
      <w:r>
        <w:tab/>
      </w:r>
      <w:r>
        <w:fldChar w:fldCharType="begin"/>
      </w:r>
      <w:r>
        <w:instrText xml:space="preserve"> PAGEREF _Toc28407 \h </w:instrText>
      </w:r>
      <w:r>
        <w:fldChar w:fldCharType="separate"/>
      </w:r>
      <w:r>
        <w:t>1</w:t>
      </w:r>
      <w:r>
        <w:fldChar w:fldCharType="end"/>
      </w:r>
      <w:r>
        <w:rPr>
          <w:rFonts w:cs="Times New Roman"/>
          <w:bCs/>
          <w:color w:val="0000FF"/>
          <w:szCs w:val="21"/>
        </w:rPr>
        <w:fldChar w:fldCharType="end"/>
      </w:r>
    </w:p>
    <w:p w14:paraId="1977C852">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_Toc24018 </w:instrText>
      </w:r>
      <w:r>
        <w:rPr>
          <w:rFonts w:cs="Times New Roman"/>
          <w:bCs/>
          <w:szCs w:val="21"/>
        </w:rPr>
        <w:fldChar w:fldCharType="separate"/>
      </w:r>
      <w:r>
        <w:t>二、建设项目特点</w:t>
      </w:r>
      <w:r>
        <w:tab/>
      </w:r>
      <w:r>
        <w:fldChar w:fldCharType="begin"/>
      </w:r>
      <w:r>
        <w:instrText xml:space="preserve"> PAGEREF _Toc24018 \h </w:instrText>
      </w:r>
      <w:r>
        <w:fldChar w:fldCharType="separate"/>
      </w:r>
      <w:r>
        <w:t>3</w:t>
      </w:r>
      <w:r>
        <w:fldChar w:fldCharType="end"/>
      </w:r>
      <w:r>
        <w:rPr>
          <w:rFonts w:cs="Times New Roman"/>
          <w:bCs/>
          <w:color w:val="0000FF"/>
          <w:szCs w:val="21"/>
        </w:rPr>
        <w:fldChar w:fldCharType="end"/>
      </w:r>
    </w:p>
    <w:p w14:paraId="347EC323">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_Toc26537 </w:instrText>
      </w:r>
      <w:r>
        <w:rPr>
          <w:rFonts w:cs="Times New Roman"/>
          <w:bCs/>
          <w:szCs w:val="21"/>
        </w:rPr>
        <w:fldChar w:fldCharType="separate"/>
      </w:r>
      <w:r>
        <w:rPr>
          <w:rFonts w:cs="Times New Roman"/>
        </w:rPr>
        <w:t>三、环境影响评价的过程</w:t>
      </w:r>
      <w:r>
        <w:tab/>
      </w:r>
      <w:r>
        <w:fldChar w:fldCharType="begin"/>
      </w:r>
      <w:r>
        <w:instrText xml:space="preserve"> PAGEREF _Toc26537 \h </w:instrText>
      </w:r>
      <w:r>
        <w:fldChar w:fldCharType="separate"/>
      </w:r>
      <w:r>
        <w:t>4</w:t>
      </w:r>
      <w:r>
        <w:fldChar w:fldCharType="end"/>
      </w:r>
      <w:r>
        <w:rPr>
          <w:rFonts w:cs="Times New Roman"/>
          <w:bCs/>
          <w:color w:val="0000FF"/>
          <w:szCs w:val="21"/>
        </w:rPr>
        <w:fldChar w:fldCharType="end"/>
      </w:r>
    </w:p>
    <w:p w14:paraId="77EDE893">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_Toc10272 </w:instrText>
      </w:r>
      <w:r>
        <w:rPr>
          <w:rFonts w:cs="Times New Roman"/>
          <w:bCs/>
          <w:szCs w:val="21"/>
        </w:rPr>
        <w:fldChar w:fldCharType="separate"/>
      </w:r>
      <w:r>
        <w:rPr>
          <w:rFonts w:cs="Times New Roman"/>
        </w:rPr>
        <w:t>四、分析判定相关情况</w:t>
      </w:r>
      <w:r>
        <w:tab/>
      </w:r>
      <w:r>
        <w:fldChar w:fldCharType="begin"/>
      </w:r>
      <w:r>
        <w:instrText xml:space="preserve"> PAGEREF _Toc10272 \h </w:instrText>
      </w:r>
      <w:r>
        <w:fldChar w:fldCharType="separate"/>
      </w:r>
      <w:r>
        <w:t>4</w:t>
      </w:r>
      <w:r>
        <w:fldChar w:fldCharType="end"/>
      </w:r>
      <w:r>
        <w:rPr>
          <w:rFonts w:cs="Times New Roman"/>
          <w:bCs/>
          <w:color w:val="0000FF"/>
          <w:szCs w:val="21"/>
        </w:rPr>
        <w:fldChar w:fldCharType="end"/>
      </w:r>
    </w:p>
    <w:p w14:paraId="42E87449">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_Toc26935 </w:instrText>
      </w:r>
      <w:r>
        <w:rPr>
          <w:rFonts w:cs="Times New Roman"/>
          <w:bCs/>
          <w:szCs w:val="21"/>
        </w:rPr>
        <w:fldChar w:fldCharType="separate"/>
      </w:r>
      <w:r>
        <w:rPr>
          <w:rFonts w:cs="Times New Roman"/>
        </w:rPr>
        <w:t>五、关注的主要环境问题及环境影响</w:t>
      </w:r>
      <w:r>
        <w:tab/>
      </w:r>
      <w:r>
        <w:fldChar w:fldCharType="begin"/>
      </w:r>
      <w:r>
        <w:instrText xml:space="preserve"> PAGEREF _Toc26935 \h </w:instrText>
      </w:r>
      <w:r>
        <w:fldChar w:fldCharType="separate"/>
      </w:r>
      <w:r>
        <w:t>4</w:t>
      </w:r>
      <w:r>
        <w:fldChar w:fldCharType="end"/>
      </w:r>
      <w:r>
        <w:rPr>
          <w:rFonts w:cs="Times New Roman"/>
          <w:bCs/>
          <w:color w:val="0000FF"/>
          <w:szCs w:val="21"/>
        </w:rPr>
        <w:fldChar w:fldCharType="end"/>
      </w:r>
    </w:p>
    <w:p w14:paraId="7A6550EA">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_Toc2353 </w:instrText>
      </w:r>
      <w:r>
        <w:rPr>
          <w:rFonts w:cs="Times New Roman"/>
          <w:bCs/>
          <w:szCs w:val="21"/>
        </w:rPr>
        <w:fldChar w:fldCharType="separate"/>
      </w:r>
      <w:r>
        <w:rPr>
          <w:rFonts w:cs="Times New Roman"/>
        </w:rPr>
        <w:t>六、环境影响评价的主要结论</w:t>
      </w:r>
      <w:r>
        <w:tab/>
      </w:r>
      <w:r>
        <w:fldChar w:fldCharType="begin"/>
      </w:r>
      <w:r>
        <w:instrText xml:space="preserve"> PAGEREF _Toc2353 \h </w:instrText>
      </w:r>
      <w:r>
        <w:fldChar w:fldCharType="separate"/>
      </w:r>
      <w:r>
        <w:t>5</w:t>
      </w:r>
      <w:r>
        <w:fldChar w:fldCharType="end"/>
      </w:r>
      <w:r>
        <w:rPr>
          <w:rFonts w:cs="Times New Roman"/>
          <w:bCs/>
          <w:color w:val="0000FF"/>
          <w:szCs w:val="21"/>
        </w:rPr>
        <w:fldChar w:fldCharType="end"/>
      </w:r>
    </w:p>
    <w:p w14:paraId="0899C9FF">
      <w:pPr>
        <w:pStyle w:val="14"/>
        <w:tabs>
          <w:tab w:val="right" w:leader="dot" w:pos="9071"/>
        </w:tabs>
      </w:pPr>
      <w:r>
        <w:rPr>
          <w:rFonts w:cs="Times New Roman"/>
          <w:bCs/>
          <w:color w:val="0000FF"/>
          <w:szCs w:val="21"/>
        </w:rPr>
        <w:fldChar w:fldCharType="begin"/>
      </w:r>
      <w:r>
        <w:rPr>
          <w:rFonts w:cs="Times New Roman"/>
          <w:bCs/>
          <w:szCs w:val="21"/>
        </w:rPr>
        <w:instrText xml:space="preserve"> HYPERLINK \l _Toc32628 </w:instrText>
      </w:r>
      <w:r>
        <w:rPr>
          <w:rFonts w:cs="Times New Roman"/>
          <w:bCs/>
          <w:szCs w:val="21"/>
        </w:rPr>
        <w:fldChar w:fldCharType="separate"/>
      </w:r>
      <w:r>
        <w:t>1 总则</w:t>
      </w:r>
      <w:r>
        <w:tab/>
      </w:r>
      <w:r>
        <w:fldChar w:fldCharType="begin"/>
      </w:r>
      <w:r>
        <w:instrText xml:space="preserve"> PAGEREF _Toc32628 \h </w:instrText>
      </w:r>
      <w:r>
        <w:fldChar w:fldCharType="separate"/>
      </w:r>
      <w:r>
        <w:t>6</w:t>
      </w:r>
      <w:r>
        <w:fldChar w:fldCharType="end"/>
      </w:r>
      <w:r>
        <w:rPr>
          <w:rFonts w:cs="Times New Roman"/>
          <w:bCs/>
          <w:color w:val="0000FF"/>
          <w:szCs w:val="21"/>
        </w:rPr>
        <w:fldChar w:fldCharType="end"/>
      </w:r>
    </w:p>
    <w:p w14:paraId="65433557">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_Toc23108 </w:instrText>
      </w:r>
      <w:r>
        <w:rPr>
          <w:rFonts w:cs="Times New Roman"/>
          <w:bCs/>
          <w:szCs w:val="21"/>
        </w:rPr>
        <w:fldChar w:fldCharType="separate"/>
      </w:r>
      <w:r>
        <w:rPr>
          <w:rFonts w:cs="Times New Roman"/>
        </w:rPr>
        <w:t>1.1 编制目的</w:t>
      </w:r>
      <w:r>
        <w:tab/>
      </w:r>
      <w:r>
        <w:fldChar w:fldCharType="begin"/>
      </w:r>
      <w:r>
        <w:instrText xml:space="preserve"> PAGEREF _Toc23108 \h </w:instrText>
      </w:r>
      <w:r>
        <w:fldChar w:fldCharType="separate"/>
      </w:r>
      <w:r>
        <w:t>6</w:t>
      </w:r>
      <w:r>
        <w:fldChar w:fldCharType="end"/>
      </w:r>
      <w:r>
        <w:rPr>
          <w:rFonts w:cs="Times New Roman"/>
          <w:bCs/>
          <w:color w:val="0000FF"/>
          <w:szCs w:val="21"/>
        </w:rPr>
        <w:fldChar w:fldCharType="end"/>
      </w:r>
    </w:p>
    <w:p w14:paraId="718C7456">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_Toc4216 </w:instrText>
      </w:r>
      <w:r>
        <w:rPr>
          <w:rFonts w:cs="Times New Roman"/>
          <w:bCs/>
          <w:szCs w:val="21"/>
        </w:rPr>
        <w:fldChar w:fldCharType="separate"/>
      </w:r>
      <w:r>
        <w:rPr>
          <w:rFonts w:cs="Times New Roman"/>
        </w:rPr>
        <w:t>1.2 编制依据</w:t>
      </w:r>
      <w:r>
        <w:tab/>
      </w:r>
      <w:r>
        <w:fldChar w:fldCharType="begin"/>
      </w:r>
      <w:r>
        <w:instrText xml:space="preserve"> PAGEREF _Toc4216 \h </w:instrText>
      </w:r>
      <w:r>
        <w:fldChar w:fldCharType="separate"/>
      </w:r>
      <w:r>
        <w:t>6</w:t>
      </w:r>
      <w:r>
        <w:fldChar w:fldCharType="end"/>
      </w:r>
      <w:r>
        <w:rPr>
          <w:rFonts w:cs="Times New Roman"/>
          <w:bCs/>
          <w:color w:val="0000FF"/>
          <w:szCs w:val="21"/>
        </w:rPr>
        <w:fldChar w:fldCharType="end"/>
      </w:r>
    </w:p>
    <w:p w14:paraId="25519E43">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_Toc23454 </w:instrText>
      </w:r>
      <w:r>
        <w:rPr>
          <w:rFonts w:cs="Times New Roman"/>
          <w:bCs/>
          <w:szCs w:val="21"/>
        </w:rPr>
        <w:fldChar w:fldCharType="separate"/>
      </w:r>
      <w:r>
        <w:rPr>
          <w:rFonts w:cs="Times New Roman"/>
        </w:rPr>
        <w:t>1.3 环境影响识别和评价因子筛选</w:t>
      </w:r>
      <w:r>
        <w:tab/>
      </w:r>
      <w:r>
        <w:fldChar w:fldCharType="begin"/>
      </w:r>
      <w:r>
        <w:instrText xml:space="preserve"> PAGEREF _Toc23454 \h </w:instrText>
      </w:r>
      <w:r>
        <w:fldChar w:fldCharType="separate"/>
      </w:r>
      <w:r>
        <w:t>10</w:t>
      </w:r>
      <w:r>
        <w:fldChar w:fldCharType="end"/>
      </w:r>
      <w:r>
        <w:rPr>
          <w:rFonts w:cs="Times New Roman"/>
          <w:bCs/>
          <w:color w:val="0000FF"/>
          <w:szCs w:val="21"/>
        </w:rPr>
        <w:fldChar w:fldCharType="end"/>
      </w:r>
    </w:p>
    <w:p w14:paraId="40177B2E">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_Toc11224 </w:instrText>
      </w:r>
      <w:r>
        <w:rPr>
          <w:rFonts w:cs="Times New Roman"/>
          <w:bCs/>
          <w:szCs w:val="21"/>
        </w:rPr>
        <w:fldChar w:fldCharType="separate"/>
      </w:r>
      <w:r>
        <w:t>1.4 评价等级与评价范围</w:t>
      </w:r>
      <w:r>
        <w:tab/>
      </w:r>
      <w:r>
        <w:fldChar w:fldCharType="begin"/>
      </w:r>
      <w:r>
        <w:instrText xml:space="preserve"> PAGEREF _Toc11224 \h </w:instrText>
      </w:r>
      <w:r>
        <w:fldChar w:fldCharType="separate"/>
      </w:r>
      <w:r>
        <w:t>11</w:t>
      </w:r>
      <w:r>
        <w:fldChar w:fldCharType="end"/>
      </w:r>
      <w:r>
        <w:rPr>
          <w:rFonts w:cs="Times New Roman"/>
          <w:bCs/>
          <w:color w:val="0000FF"/>
          <w:szCs w:val="21"/>
        </w:rPr>
        <w:fldChar w:fldCharType="end"/>
      </w:r>
    </w:p>
    <w:p w14:paraId="1FAC40DC">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_Toc30044 </w:instrText>
      </w:r>
      <w:r>
        <w:rPr>
          <w:rFonts w:cs="Times New Roman"/>
          <w:bCs/>
          <w:szCs w:val="21"/>
        </w:rPr>
        <w:fldChar w:fldCharType="separate"/>
      </w:r>
      <w:r>
        <w:rPr>
          <w:rFonts w:cs="Times New Roman"/>
        </w:rPr>
        <w:t>1.5 评价标准</w:t>
      </w:r>
      <w:r>
        <w:tab/>
      </w:r>
      <w:r>
        <w:fldChar w:fldCharType="begin"/>
      </w:r>
      <w:r>
        <w:instrText xml:space="preserve"> PAGEREF _Toc30044 \h </w:instrText>
      </w:r>
      <w:r>
        <w:fldChar w:fldCharType="separate"/>
      </w:r>
      <w:r>
        <w:t>24</w:t>
      </w:r>
      <w:r>
        <w:fldChar w:fldCharType="end"/>
      </w:r>
      <w:r>
        <w:rPr>
          <w:rFonts w:cs="Times New Roman"/>
          <w:bCs/>
          <w:color w:val="0000FF"/>
          <w:szCs w:val="21"/>
        </w:rPr>
        <w:fldChar w:fldCharType="end"/>
      </w:r>
    </w:p>
    <w:p w14:paraId="675EB06B">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_Toc15529 </w:instrText>
      </w:r>
      <w:r>
        <w:rPr>
          <w:rFonts w:cs="Times New Roman"/>
          <w:bCs/>
          <w:szCs w:val="21"/>
        </w:rPr>
        <w:fldChar w:fldCharType="separate"/>
      </w:r>
      <w:r>
        <w:rPr>
          <w:rFonts w:cs="Times New Roman"/>
        </w:rPr>
        <w:t>1.6 评价重点与评价方法</w:t>
      </w:r>
      <w:r>
        <w:tab/>
      </w:r>
      <w:r>
        <w:fldChar w:fldCharType="begin"/>
      </w:r>
      <w:r>
        <w:instrText xml:space="preserve"> PAGEREF _Toc15529 \h </w:instrText>
      </w:r>
      <w:r>
        <w:fldChar w:fldCharType="separate"/>
      </w:r>
      <w:r>
        <w:t>29</w:t>
      </w:r>
      <w:r>
        <w:fldChar w:fldCharType="end"/>
      </w:r>
      <w:r>
        <w:rPr>
          <w:rFonts w:cs="Times New Roman"/>
          <w:bCs/>
          <w:color w:val="0000FF"/>
          <w:szCs w:val="21"/>
        </w:rPr>
        <w:fldChar w:fldCharType="end"/>
      </w:r>
    </w:p>
    <w:p w14:paraId="1367F39D">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_Toc17379 </w:instrText>
      </w:r>
      <w:r>
        <w:rPr>
          <w:rFonts w:cs="Times New Roman"/>
          <w:bCs/>
          <w:szCs w:val="21"/>
        </w:rPr>
        <w:fldChar w:fldCharType="separate"/>
      </w:r>
      <w:r>
        <w:t>1.7 评价时段与技术路线</w:t>
      </w:r>
      <w:r>
        <w:tab/>
      </w:r>
      <w:r>
        <w:fldChar w:fldCharType="begin"/>
      </w:r>
      <w:r>
        <w:instrText xml:space="preserve"> PAGEREF _Toc17379 \h </w:instrText>
      </w:r>
      <w:r>
        <w:fldChar w:fldCharType="separate"/>
      </w:r>
      <w:r>
        <w:t>29</w:t>
      </w:r>
      <w:r>
        <w:fldChar w:fldCharType="end"/>
      </w:r>
      <w:r>
        <w:rPr>
          <w:rFonts w:cs="Times New Roman"/>
          <w:bCs/>
          <w:color w:val="0000FF"/>
          <w:szCs w:val="21"/>
        </w:rPr>
        <w:fldChar w:fldCharType="end"/>
      </w:r>
    </w:p>
    <w:p w14:paraId="29CFDB7F">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_Toc31939 </w:instrText>
      </w:r>
      <w:r>
        <w:rPr>
          <w:rFonts w:cs="Times New Roman"/>
          <w:bCs/>
          <w:szCs w:val="21"/>
        </w:rPr>
        <w:fldChar w:fldCharType="separate"/>
      </w:r>
      <w:r>
        <w:t>1.8 与相关规划的符合性分析</w:t>
      </w:r>
      <w:r>
        <w:tab/>
      </w:r>
      <w:r>
        <w:fldChar w:fldCharType="begin"/>
      </w:r>
      <w:r>
        <w:instrText xml:space="preserve"> PAGEREF _Toc31939 \h </w:instrText>
      </w:r>
      <w:r>
        <w:fldChar w:fldCharType="separate"/>
      </w:r>
      <w:r>
        <w:t>30</w:t>
      </w:r>
      <w:r>
        <w:fldChar w:fldCharType="end"/>
      </w:r>
      <w:r>
        <w:rPr>
          <w:rFonts w:cs="Times New Roman"/>
          <w:bCs/>
          <w:color w:val="0000FF"/>
          <w:szCs w:val="21"/>
        </w:rPr>
        <w:fldChar w:fldCharType="end"/>
      </w:r>
    </w:p>
    <w:p w14:paraId="3F6486AB">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_Toc29865 </w:instrText>
      </w:r>
      <w:r>
        <w:rPr>
          <w:rFonts w:cs="Times New Roman"/>
          <w:bCs/>
          <w:szCs w:val="21"/>
        </w:rPr>
        <w:fldChar w:fldCharType="separate"/>
      </w:r>
      <w:r>
        <w:rPr>
          <w:rFonts w:cs="Times New Roman"/>
        </w:rPr>
        <w:t>1.9 环境保护目标</w:t>
      </w:r>
      <w:r>
        <w:tab/>
      </w:r>
      <w:r>
        <w:fldChar w:fldCharType="begin"/>
      </w:r>
      <w:r>
        <w:instrText xml:space="preserve"> PAGEREF _Toc29865 \h </w:instrText>
      </w:r>
      <w:r>
        <w:fldChar w:fldCharType="separate"/>
      </w:r>
      <w:r>
        <w:t>49</w:t>
      </w:r>
      <w:r>
        <w:fldChar w:fldCharType="end"/>
      </w:r>
      <w:r>
        <w:rPr>
          <w:rFonts w:cs="Times New Roman"/>
          <w:bCs/>
          <w:color w:val="0000FF"/>
          <w:szCs w:val="21"/>
        </w:rPr>
        <w:fldChar w:fldCharType="end"/>
      </w:r>
    </w:p>
    <w:p w14:paraId="36DCF380">
      <w:pPr>
        <w:pStyle w:val="14"/>
        <w:tabs>
          <w:tab w:val="right" w:leader="dot" w:pos="9071"/>
        </w:tabs>
      </w:pPr>
      <w:r>
        <w:rPr>
          <w:rFonts w:cs="Times New Roman"/>
          <w:bCs/>
          <w:color w:val="0000FF"/>
          <w:szCs w:val="21"/>
        </w:rPr>
        <w:fldChar w:fldCharType="begin"/>
      </w:r>
      <w:r>
        <w:rPr>
          <w:rFonts w:cs="Times New Roman"/>
          <w:bCs/>
          <w:szCs w:val="21"/>
        </w:rPr>
        <w:instrText xml:space="preserve"> HYPERLINK \l _Toc15060 </w:instrText>
      </w:r>
      <w:r>
        <w:rPr>
          <w:rFonts w:cs="Times New Roman"/>
          <w:bCs/>
          <w:szCs w:val="21"/>
        </w:rPr>
        <w:fldChar w:fldCharType="separate"/>
      </w:r>
      <w:r>
        <w:t>2</w:t>
      </w:r>
      <w:r>
        <w:rPr>
          <w:rFonts w:hint="eastAsia"/>
          <w:lang w:val="en-US" w:eastAsia="zh-CN"/>
        </w:rPr>
        <w:t xml:space="preserve"> </w:t>
      </w:r>
      <w:r>
        <w:t>工程概况</w:t>
      </w:r>
      <w:r>
        <w:tab/>
      </w:r>
      <w:r>
        <w:fldChar w:fldCharType="begin"/>
      </w:r>
      <w:r>
        <w:instrText xml:space="preserve"> PAGEREF _Toc15060 \h </w:instrText>
      </w:r>
      <w:r>
        <w:fldChar w:fldCharType="separate"/>
      </w:r>
      <w:r>
        <w:t>57</w:t>
      </w:r>
      <w:r>
        <w:fldChar w:fldCharType="end"/>
      </w:r>
      <w:r>
        <w:rPr>
          <w:rFonts w:cs="Times New Roman"/>
          <w:bCs/>
          <w:color w:val="0000FF"/>
          <w:szCs w:val="21"/>
        </w:rPr>
        <w:fldChar w:fldCharType="end"/>
      </w:r>
    </w:p>
    <w:p w14:paraId="4E69385C">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_Toc24173 </w:instrText>
      </w:r>
      <w:r>
        <w:rPr>
          <w:rFonts w:cs="Times New Roman"/>
          <w:bCs/>
          <w:szCs w:val="21"/>
        </w:rPr>
        <w:fldChar w:fldCharType="separate"/>
      </w:r>
      <w:r>
        <w:t>2.1 工程现状</w:t>
      </w:r>
      <w:r>
        <w:rPr>
          <w:rFonts w:hint="eastAsia"/>
        </w:rPr>
        <w:t>及建设的必要性</w:t>
      </w:r>
      <w:r>
        <w:tab/>
      </w:r>
      <w:r>
        <w:fldChar w:fldCharType="begin"/>
      </w:r>
      <w:r>
        <w:instrText xml:space="preserve"> PAGEREF _Toc24173 \h </w:instrText>
      </w:r>
      <w:r>
        <w:fldChar w:fldCharType="separate"/>
      </w:r>
      <w:r>
        <w:t>57</w:t>
      </w:r>
      <w:r>
        <w:fldChar w:fldCharType="end"/>
      </w:r>
      <w:r>
        <w:rPr>
          <w:rFonts w:cs="Times New Roman"/>
          <w:bCs/>
          <w:color w:val="0000FF"/>
          <w:szCs w:val="21"/>
        </w:rPr>
        <w:fldChar w:fldCharType="end"/>
      </w:r>
    </w:p>
    <w:p w14:paraId="501FDF41">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_Toc21056 </w:instrText>
      </w:r>
      <w:r>
        <w:rPr>
          <w:rFonts w:cs="Times New Roman"/>
          <w:bCs/>
          <w:szCs w:val="21"/>
        </w:rPr>
        <w:fldChar w:fldCharType="separate"/>
      </w:r>
      <w:r>
        <w:t>2.</w:t>
      </w:r>
      <w:r>
        <w:rPr>
          <w:rFonts w:hint="eastAsia"/>
        </w:rPr>
        <w:t>2</w:t>
      </w:r>
      <w:r>
        <w:t xml:space="preserve"> 工程基本情况</w:t>
      </w:r>
      <w:r>
        <w:tab/>
      </w:r>
      <w:r>
        <w:fldChar w:fldCharType="begin"/>
      </w:r>
      <w:r>
        <w:instrText xml:space="preserve"> PAGEREF _Toc21056 \h </w:instrText>
      </w:r>
      <w:r>
        <w:fldChar w:fldCharType="separate"/>
      </w:r>
      <w:r>
        <w:t>62</w:t>
      </w:r>
      <w:r>
        <w:fldChar w:fldCharType="end"/>
      </w:r>
      <w:r>
        <w:rPr>
          <w:rFonts w:cs="Times New Roman"/>
          <w:bCs/>
          <w:color w:val="0000FF"/>
          <w:szCs w:val="21"/>
        </w:rPr>
        <w:fldChar w:fldCharType="end"/>
      </w:r>
    </w:p>
    <w:p w14:paraId="0E08BD1C">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_Toc22560 </w:instrText>
      </w:r>
      <w:r>
        <w:rPr>
          <w:rFonts w:cs="Times New Roman"/>
          <w:bCs/>
          <w:szCs w:val="21"/>
        </w:rPr>
        <w:fldChar w:fldCharType="separate"/>
      </w:r>
      <w:r>
        <w:t>2.</w:t>
      </w:r>
      <w:r>
        <w:rPr>
          <w:rFonts w:hint="eastAsia"/>
        </w:rPr>
        <w:t>3</w:t>
      </w:r>
      <w:r>
        <w:t xml:space="preserve"> 工程总布置和</w:t>
      </w:r>
      <w:r>
        <w:rPr>
          <w:rFonts w:hint="eastAsia"/>
          <w:lang w:val="en-US" w:eastAsia="zh-CN"/>
        </w:rPr>
        <w:t>工程设计</w:t>
      </w:r>
      <w:r>
        <w:tab/>
      </w:r>
      <w:r>
        <w:fldChar w:fldCharType="begin"/>
      </w:r>
      <w:r>
        <w:instrText xml:space="preserve"> PAGEREF _Toc22560 \h </w:instrText>
      </w:r>
      <w:r>
        <w:fldChar w:fldCharType="separate"/>
      </w:r>
      <w:r>
        <w:t>70</w:t>
      </w:r>
      <w:r>
        <w:fldChar w:fldCharType="end"/>
      </w:r>
      <w:r>
        <w:rPr>
          <w:rFonts w:cs="Times New Roman"/>
          <w:bCs/>
          <w:color w:val="0000FF"/>
          <w:szCs w:val="21"/>
        </w:rPr>
        <w:fldChar w:fldCharType="end"/>
      </w:r>
    </w:p>
    <w:p w14:paraId="7A3B112C">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_Toc27369 </w:instrText>
      </w:r>
      <w:r>
        <w:rPr>
          <w:rFonts w:cs="Times New Roman"/>
          <w:bCs/>
          <w:szCs w:val="21"/>
        </w:rPr>
        <w:fldChar w:fldCharType="separate"/>
      </w:r>
      <w:r>
        <w:t>2.</w:t>
      </w:r>
      <w:r>
        <w:rPr>
          <w:rFonts w:hint="eastAsia"/>
        </w:rPr>
        <w:t>4</w:t>
      </w:r>
      <w:r>
        <w:rPr>
          <w:rFonts w:hint="eastAsia"/>
          <w:lang w:val="en-US" w:eastAsia="zh-CN"/>
        </w:rPr>
        <w:t xml:space="preserve"> </w:t>
      </w:r>
      <w:r>
        <w:t>工程施工布置及进度</w:t>
      </w:r>
      <w:r>
        <w:tab/>
      </w:r>
      <w:r>
        <w:fldChar w:fldCharType="begin"/>
      </w:r>
      <w:r>
        <w:instrText xml:space="preserve"> PAGEREF _Toc27369 \h </w:instrText>
      </w:r>
      <w:r>
        <w:fldChar w:fldCharType="separate"/>
      </w:r>
      <w:r>
        <w:t>85</w:t>
      </w:r>
      <w:r>
        <w:fldChar w:fldCharType="end"/>
      </w:r>
      <w:r>
        <w:rPr>
          <w:rFonts w:cs="Times New Roman"/>
          <w:bCs/>
          <w:color w:val="0000FF"/>
          <w:szCs w:val="21"/>
        </w:rPr>
        <w:fldChar w:fldCharType="end"/>
      </w:r>
    </w:p>
    <w:p w14:paraId="7A1953DD">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_Toc11265 </w:instrText>
      </w:r>
      <w:r>
        <w:rPr>
          <w:rFonts w:cs="Times New Roman"/>
          <w:bCs/>
          <w:szCs w:val="21"/>
        </w:rPr>
        <w:fldChar w:fldCharType="separate"/>
      </w:r>
      <w:r>
        <w:rPr>
          <w:rFonts w:cs="Times New Roman"/>
        </w:rPr>
        <w:t>2.</w:t>
      </w:r>
      <w:r>
        <w:rPr>
          <w:rFonts w:hint="eastAsia" w:cs="Times New Roman"/>
        </w:rPr>
        <w:t>5</w:t>
      </w:r>
      <w:r>
        <w:rPr>
          <w:rFonts w:cs="Times New Roman"/>
        </w:rPr>
        <w:t xml:space="preserve"> 建设征地与移民安置</w:t>
      </w:r>
      <w:r>
        <w:tab/>
      </w:r>
      <w:r>
        <w:fldChar w:fldCharType="begin"/>
      </w:r>
      <w:r>
        <w:instrText xml:space="preserve"> PAGEREF _Toc11265 \h </w:instrText>
      </w:r>
      <w:r>
        <w:fldChar w:fldCharType="separate"/>
      </w:r>
      <w:r>
        <w:t>107</w:t>
      </w:r>
      <w:r>
        <w:fldChar w:fldCharType="end"/>
      </w:r>
      <w:r>
        <w:rPr>
          <w:rFonts w:cs="Times New Roman"/>
          <w:bCs/>
          <w:color w:val="0000FF"/>
          <w:szCs w:val="21"/>
        </w:rPr>
        <w:fldChar w:fldCharType="end"/>
      </w:r>
    </w:p>
    <w:p w14:paraId="15E6DB43">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_Toc2131 </w:instrText>
      </w:r>
      <w:r>
        <w:rPr>
          <w:rFonts w:cs="Times New Roman"/>
          <w:bCs/>
          <w:szCs w:val="21"/>
        </w:rPr>
        <w:fldChar w:fldCharType="separate"/>
      </w:r>
      <w:r>
        <w:rPr>
          <w:rFonts w:cs="Times New Roman"/>
        </w:rPr>
        <w:t>2.</w:t>
      </w:r>
      <w:r>
        <w:rPr>
          <w:rFonts w:hint="eastAsia" w:cs="Times New Roman"/>
        </w:rPr>
        <w:t>6</w:t>
      </w:r>
      <w:r>
        <w:rPr>
          <w:rFonts w:cs="Times New Roman"/>
        </w:rPr>
        <w:t xml:space="preserve"> 工程投资</w:t>
      </w:r>
      <w:r>
        <w:tab/>
      </w:r>
      <w:r>
        <w:fldChar w:fldCharType="begin"/>
      </w:r>
      <w:r>
        <w:instrText xml:space="preserve"> PAGEREF _Toc2131 \h </w:instrText>
      </w:r>
      <w:r>
        <w:fldChar w:fldCharType="separate"/>
      </w:r>
      <w:r>
        <w:t>113</w:t>
      </w:r>
      <w:r>
        <w:fldChar w:fldCharType="end"/>
      </w:r>
      <w:r>
        <w:rPr>
          <w:rFonts w:cs="Times New Roman"/>
          <w:bCs/>
          <w:color w:val="0000FF"/>
          <w:szCs w:val="21"/>
        </w:rPr>
        <w:fldChar w:fldCharType="end"/>
      </w:r>
    </w:p>
    <w:p w14:paraId="4F0065A7">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_Toc12480 </w:instrText>
      </w:r>
      <w:r>
        <w:rPr>
          <w:rFonts w:cs="Times New Roman"/>
          <w:bCs/>
          <w:szCs w:val="21"/>
        </w:rPr>
        <w:fldChar w:fldCharType="separate"/>
      </w:r>
      <w:r>
        <w:rPr>
          <w:rFonts w:cs="Times New Roman"/>
        </w:rPr>
        <w:t>2.</w:t>
      </w:r>
      <w:r>
        <w:rPr>
          <w:rFonts w:hint="eastAsia" w:cs="Times New Roman"/>
        </w:rPr>
        <w:t>7</w:t>
      </w:r>
      <w:r>
        <w:rPr>
          <w:rFonts w:cs="Times New Roman"/>
        </w:rPr>
        <w:t xml:space="preserve"> 工程特性表</w:t>
      </w:r>
      <w:r>
        <w:tab/>
      </w:r>
      <w:r>
        <w:fldChar w:fldCharType="begin"/>
      </w:r>
      <w:r>
        <w:instrText xml:space="preserve"> PAGEREF _Toc12480 \h </w:instrText>
      </w:r>
      <w:r>
        <w:fldChar w:fldCharType="separate"/>
      </w:r>
      <w:r>
        <w:t>113</w:t>
      </w:r>
      <w:r>
        <w:fldChar w:fldCharType="end"/>
      </w:r>
      <w:r>
        <w:rPr>
          <w:rFonts w:cs="Times New Roman"/>
          <w:bCs/>
          <w:color w:val="0000FF"/>
          <w:szCs w:val="21"/>
        </w:rPr>
        <w:fldChar w:fldCharType="end"/>
      </w:r>
    </w:p>
    <w:p w14:paraId="659A0D5F">
      <w:pPr>
        <w:pStyle w:val="14"/>
        <w:tabs>
          <w:tab w:val="right" w:leader="dot" w:pos="9071"/>
        </w:tabs>
      </w:pPr>
      <w:r>
        <w:rPr>
          <w:rFonts w:cs="Times New Roman"/>
          <w:bCs/>
          <w:color w:val="0000FF"/>
          <w:szCs w:val="21"/>
        </w:rPr>
        <w:fldChar w:fldCharType="begin"/>
      </w:r>
      <w:r>
        <w:rPr>
          <w:rFonts w:cs="Times New Roman"/>
          <w:bCs/>
          <w:szCs w:val="21"/>
        </w:rPr>
        <w:instrText xml:space="preserve"> HYPERLINK \l _Toc27325 </w:instrText>
      </w:r>
      <w:r>
        <w:rPr>
          <w:rFonts w:cs="Times New Roman"/>
          <w:bCs/>
          <w:szCs w:val="21"/>
        </w:rPr>
        <w:fldChar w:fldCharType="separate"/>
      </w:r>
      <w:r>
        <w:t>3 建设项目工程分析</w:t>
      </w:r>
      <w:r>
        <w:tab/>
      </w:r>
      <w:r>
        <w:fldChar w:fldCharType="begin"/>
      </w:r>
      <w:r>
        <w:instrText xml:space="preserve"> PAGEREF _Toc27325 \h </w:instrText>
      </w:r>
      <w:r>
        <w:fldChar w:fldCharType="separate"/>
      </w:r>
      <w:r>
        <w:t>115</w:t>
      </w:r>
      <w:r>
        <w:fldChar w:fldCharType="end"/>
      </w:r>
      <w:r>
        <w:rPr>
          <w:rFonts w:cs="Times New Roman"/>
          <w:bCs/>
          <w:color w:val="0000FF"/>
          <w:szCs w:val="21"/>
        </w:rPr>
        <w:fldChar w:fldCharType="end"/>
      </w:r>
    </w:p>
    <w:p w14:paraId="139B9DBA">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_Toc8362 </w:instrText>
      </w:r>
      <w:r>
        <w:rPr>
          <w:rFonts w:cs="Times New Roman"/>
          <w:bCs/>
          <w:szCs w:val="21"/>
        </w:rPr>
        <w:fldChar w:fldCharType="separate"/>
      </w:r>
      <w:r>
        <w:t>3.1 环境合理性分析</w:t>
      </w:r>
      <w:r>
        <w:tab/>
      </w:r>
      <w:r>
        <w:fldChar w:fldCharType="begin"/>
      </w:r>
      <w:r>
        <w:instrText xml:space="preserve"> PAGEREF _Toc8362 \h </w:instrText>
      </w:r>
      <w:r>
        <w:fldChar w:fldCharType="separate"/>
      </w:r>
      <w:r>
        <w:t>115</w:t>
      </w:r>
      <w:r>
        <w:fldChar w:fldCharType="end"/>
      </w:r>
      <w:r>
        <w:rPr>
          <w:rFonts w:cs="Times New Roman"/>
          <w:bCs/>
          <w:color w:val="0000FF"/>
          <w:szCs w:val="21"/>
        </w:rPr>
        <w:fldChar w:fldCharType="end"/>
      </w:r>
    </w:p>
    <w:p w14:paraId="75DA48C0">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_Toc6692 </w:instrText>
      </w:r>
      <w:r>
        <w:rPr>
          <w:rFonts w:cs="Times New Roman"/>
          <w:bCs/>
          <w:szCs w:val="21"/>
        </w:rPr>
        <w:fldChar w:fldCharType="separate"/>
      </w:r>
      <w:r>
        <w:rPr>
          <w:rFonts w:cs="Times New Roman"/>
        </w:rPr>
        <w:t>3.2 施工期工程分析</w:t>
      </w:r>
      <w:r>
        <w:tab/>
      </w:r>
      <w:r>
        <w:fldChar w:fldCharType="begin"/>
      </w:r>
      <w:r>
        <w:instrText xml:space="preserve"> PAGEREF _Toc6692 \h </w:instrText>
      </w:r>
      <w:r>
        <w:fldChar w:fldCharType="separate"/>
      </w:r>
      <w:r>
        <w:t>129</w:t>
      </w:r>
      <w:r>
        <w:fldChar w:fldCharType="end"/>
      </w:r>
      <w:r>
        <w:rPr>
          <w:rFonts w:cs="Times New Roman"/>
          <w:bCs/>
          <w:color w:val="0000FF"/>
          <w:szCs w:val="21"/>
        </w:rPr>
        <w:fldChar w:fldCharType="end"/>
      </w:r>
    </w:p>
    <w:p w14:paraId="327DF5E8">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_Toc18210 </w:instrText>
      </w:r>
      <w:r>
        <w:rPr>
          <w:rFonts w:cs="Times New Roman"/>
          <w:bCs/>
          <w:szCs w:val="21"/>
        </w:rPr>
        <w:fldChar w:fldCharType="separate"/>
      </w:r>
      <w:r>
        <w:rPr>
          <w:rFonts w:cs="Times New Roman"/>
        </w:rPr>
        <w:t>3.3 运行期污染源强分析</w:t>
      </w:r>
      <w:r>
        <w:tab/>
      </w:r>
      <w:r>
        <w:fldChar w:fldCharType="begin"/>
      </w:r>
      <w:r>
        <w:instrText xml:space="preserve"> PAGEREF _Toc18210 \h </w:instrText>
      </w:r>
      <w:r>
        <w:fldChar w:fldCharType="separate"/>
      </w:r>
      <w:r>
        <w:t>154</w:t>
      </w:r>
      <w:r>
        <w:fldChar w:fldCharType="end"/>
      </w:r>
      <w:r>
        <w:rPr>
          <w:rFonts w:cs="Times New Roman"/>
          <w:bCs/>
          <w:color w:val="0000FF"/>
          <w:szCs w:val="21"/>
        </w:rPr>
        <w:fldChar w:fldCharType="end"/>
      </w:r>
    </w:p>
    <w:p w14:paraId="0CE00F17">
      <w:pPr>
        <w:pStyle w:val="14"/>
        <w:tabs>
          <w:tab w:val="right" w:leader="dot" w:pos="9071"/>
        </w:tabs>
      </w:pPr>
      <w:r>
        <w:rPr>
          <w:rFonts w:cs="Times New Roman"/>
          <w:bCs/>
          <w:color w:val="0000FF"/>
          <w:szCs w:val="21"/>
        </w:rPr>
        <w:fldChar w:fldCharType="begin"/>
      </w:r>
      <w:r>
        <w:rPr>
          <w:rFonts w:cs="Times New Roman"/>
          <w:bCs/>
          <w:szCs w:val="21"/>
        </w:rPr>
        <w:instrText xml:space="preserve"> HYPERLINK \l _Toc29266 </w:instrText>
      </w:r>
      <w:r>
        <w:rPr>
          <w:rFonts w:cs="Times New Roman"/>
          <w:bCs/>
          <w:szCs w:val="21"/>
        </w:rPr>
        <w:fldChar w:fldCharType="separate"/>
      </w:r>
      <w:r>
        <w:rPr>
          <w:lang w:val="zh-CN" w:bidi="zh-CN"/>
        </w:rPr>
        <w:t>4 环境现状调查与评价</w:t>
      </w:r>
      <w:r>
        <w:tab/>
      </w:r>
      <w:r>
        <w:fldChar w:fldCharType="begin"/>
      </w:r>
      <w:r>
        <w:instrText xml:space="preserve"> PAGEREF _Toc29266 \h </w:instrText>
      </w:r>
      <w:r>
        <w:fldChar w:fldCharType="separate"/>
      </w:r>
      <w:r>
        <w:t>160</w:t>
      </w:r>
      <w:r>
        <w:fldChar w:fldCharType="end"/>
      </w:r>
      <w:r>
        <w:rPr>
          <w:rFonts w:cs="Times New Roman"/>
          <w:bCs/>
          <w:color w:val="0000FF"/>
          <w:szCs w:val="21"/>
        </w:rPr>
        <w:fldChar w:fldCharType="end"/>
      </w:r>
    </w:p>
    <w:p w14:paraId="7C5468EE">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_Toc7926 </w:instrText>
      </w:r>
      <w:r>
        <w:rPr>
          <w:rFonts w:cs="Times New Roman"/>
          <w:bCs/>
          <w:szCs w:val="21"/>
        </w:rPr>
        <w:fldChar w:fldCharType="separate"/>
      </w:r>
      <w:r>
        <w:rPr>
          <w:lang w:val="zh-CN"/>
        </w:rPr>
        <w:t>4.1 自然环境概况</w:t>
      </w:r>
      <w:r>
        <w:tab/>
      </w:r>
      <w:r>
        <w:fldChar w:fldCharType="begin"/>
      </w:r>
      <w:r>
        <w:instrText xml:space="preserve"> PAGEREF _Toc7926 \h </w:instrText>
      </w:r>
      <w:r>
        <w:fldChar w:fldCharType="separate"/>
      </w:r>
      <w:r>
        <w:t>160</w:t>
      </w:r>
      <w:r>
        <w:fldChar w:fldCharType="end"/>
      </w:r>
      <w:r>
        <w:rPr>
          <w:rFonts w:cs="Times New Roman"/>
          <w:bCs/>
          <w:color w:val="0000FF"/>
          <w:szCs w:val="21"/>
        </w:rPr>
        <w:fldChar w:fldCharType="end"/>
      </w:r>
    </w:p>
    <w:p w14:paraId="47D4A1AF">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_Toc96 </w:instrText>
      </w:r>
      <w:r>
        <w:rPr>
          <w:rFonts w:cs="Times New Roman"/>
          <w:bCs/>
          <w:szCs w:val="21"/>
        </w:rPr>
        <w:fldChar w:fldCharType="separate"/>
      </w:r>
      <w:r>
        <w:rPr>
          <w:lang w:val="zh-CN"/>
        </w:rPr>
        <w:t>4.2 环境质量现状调查与评价</w:t>
      </w:r>
      <w:r>
        <w:tab/>
      </w:r>
      <w:r>
        <w:fldChar w:fldCharType="begin"/>
      </w:r>
      <w:r>
        <w:instrText xml:space="preserve"> PAGEREF _Toc96 \h </w:instrText>
      </w:r>
      <w:r>
        <w:fldChar w:fldCharType="separate"/>
      </w:r>
      <w:r>
        <w:t>169</w:t>
      </w:r>
      <w:r>
        <w:fldChar w:fldCharType="end"/>
      </w:r>
      <w:r>
        <w:rPr>
          <w:rFonts w:cs="Times New Roman"/>
          <w:bCs/>
          <w:color w:val="0000FF"/>
          <w:szCs w:val="21"/>
        </w:rPr>
        <w:fldChar w:fldCharType="end"/>
      </w:r>
    </w:p>
    <w:p w14:paraId="7FD1AAED">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_Toc4178 </w:instrText>
      </w:r>
      <w:r>
        <w:rPr>
          <w:rFonts w:cs="Times New Roman"/>
          <w:bCs/>
          <w:szCs w:val="21"/>
        </w:rPr>
        <w:fldChar w:fldCharType="separate"/>
      </w:r>
      <w:r>
        <w:t>4.3 生态环境现状调查与评价</w:t>
      </w:r>
      <w:r>
        <w:tab/>
      </w:r>
      <w:r>
        <w:fldChar w:fldCharType="begin"/>
      </w:r>
      <w:r>
        <w:instrText xml:space="preserve"> PAGEREF _Toc4178 \h </w:instrText>
      </w:r>
      <w:r>
        <w:fldChar w:fldCharType="separate"/>
      </w:r>
      <w:r>
        <w:t>187</w:t>
      </w:r>
      <w:r>
        <w:fldChar w:fldCharType="end"/>
      </w:r>
      <w:r>
        <w:rPr>
          <w:rFonts w:cs="Times New Roman"/>
          <w:bCs/>
          <w:color w:val="0000FF"/>
          <w:szCs w:val="21"/>
        </w:rPr>
        <w:fldChar w:fldCharType="end"/>
      </w:r>
    </w:p>
    <w:p w14:paraId="59ED22C1">
      <w:pPr>
        <w:pStyle w:val="14"/>
        <w:tabs>
          <w:tab w:val="right" w:leader="dot" w:pos="9071"/>
        </w:tabs>
      </w:pPr>
      <w:r>
        <w:rPr>
          <w:rFonts w:cs="Times New Roman"/>
          <w:bCs/>
          <w:color w:val="0000FF"/>
          <w:szCs w:val="21"/>
        </w:rPr>
        <w:fldChar w:fldCharType="begin"/>
      </w:r>
      <w:r>
        <w:rPr>
          <w:rFonts w:cs="Times New Roman"/>
          <w:bCs/>
          <w:szCs w:val="21"/>
        </w:rPr>
        <w:instrText xml:space="preserve"> HYPERLINK \l _Toc17753 </w:instrText>
      </w:r>
      <w:r>
        <w:rPr>
          <w:rFonts w:cs="Times New Roman"/>
          <w:bCs/>
          <w:szCs w:val="21"/>
        </w:rPr>
        <w:fldChar w:fldCharType="separate"/>
      </w:r>
      <w:r>
        <w:t>5 环境影响预测与评价</w:t>
      </w:r>
      <w:r>
        <w:tab/>
      </w:r>
      <w:r>
        <w:fldChar w:fldCharType="begin"/>
      </w:r>
      <w:r>
        <w:instrText xml:space="preserve"> PAGEREF _Toc17753 \h </w:instrText>
      </w:r>
      <w:r>
        <w:fldChar w:fldCharType="separate"/>
      </w:r>
      <w:r>
        <w:t>225</w:t>
      </w:r>
      <w:r>
        <w:fldChar w:fldCharType="end"/>
      </w:r>
      <w:r>
        <w:rPr>
          <w:rFonts w:cs="Times New Roman"/>
          <w:bCs/>
          <w:color w:val="0000FF"/>
          <w:szCs w:val="21"/>
        </w:rPr>
        <w:fldChar w:fldCharType="end"/>
      </w:r>
    </w:p>
    <w:p w14:paraId="74BEA498">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_Toc13153 </w:instrText>
      </w:r>
      <w:r>
        <w:rPr>
          <w:rFonts w:cs="Times New Roman"/>
          <w:bCs/>
          <w:szCs w:val="21"/>
        </w:rPr>
        <w:fldChar w:fldCharType="separate"/>
      </w:r>
      <w:r>
        <w:t>5.1 水文情势影响分析</w:t>
      </w:r>
      <w:r>
        <w:tab/>
      </w:r>
      <w:r>
        <w:fldChar w:fldCharType="begin"/>
      </w:r>
      <w:r>
        <w:instrText xml:space="preserve"> PAGEREF _Toc13153 \h </w:instrText>
      </w:r>
      <w:r>
        <w:fldChar w:fldCharType="separate"/>
      </w:r>
      <w:r>
        <w:t>225</w:t>
      </w:r>
      <w:r>
        <w:fldChar w:fldCharType="end"/>
      </w:r>
      <w:r>
        <w:rPr>
          <w:rFonts w:cs="Times New Roman"/>
          <w:bCs/>
          <w:color w:val="0000FF"/>
          <w:szCs w:val="21"/>
        </w:rPr>
        <w:fldChar w:fldCharType="end"/>
      </w:r>
    </w:p>
    <w:p w14:paraId="0CA623C4">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_Toc20189 </w:instrText>
      </w:r>
      <w:r>
        <w:rPr>
          <w:rFonts w:cs="Times New Roman"/>
          <w:bCs/>
          <w:szCs w:val="21"/>
        </w:rPr>
        <w:fldChar w:fldCharType="separate"/>
      </w:r>
      <w:r>
        <w:t>5.2 地表水</w:t>
      </w:r>
      <w:r>
        <w:rPr>
          <w:rFonts w:hint="eastAsia"/>
        </w:rPr>
        <w:t>环境</w:t>
      </w:r>
      <w:r>
        <w:t>影响分析</w:t>
      </w:r>
      <w:r>
        <w:tab/>
      </w:r>
      <w:r>
        <w:fldChar w:fldCharType="begin"/>
      </w:r>
      <w:r>
        <w:instrText xml:space="preserve"> PAGEREF _Toc20189 \h </w:instrText>
      </w:r>
      <w:r>
        <w:fldChar w:fldCharType="separate"/>
      </w:r>
      <w:r>
        <w:t>230</w:t>
      </w:r>
      <w:r>
        <w:fldChar w:fldCharType="end"/>
      </w:r>
      <w:r>
        <w:rPr>
          <w:rFonts w:cs="Times New Roman"/>
          <w:bCs/>
          <w:color w:val="0000FF"/>
          <w:szCs w:val="21"/>
        </w:rPr>
        <w:fldChar w:fldCharType="end"/>
      </w:r>
    </w:p>
    <w:p w14:paraId="181752A8">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_Toc25821 </w:instrText>
      </w:r>
      <w:r>
        <w:rPr>
          <w:rFonts w:cs="Times New Roman"/>
          <w:bCs/>
          <w:szCs w:val="21"/>
        </w:rPr>
        <w:fldChar w:fldCharType="separate"/>
      </w:r>
      <w:r>
        <w:t>5.</w:t>
      </w:r>
      <w:r>
        <w:rPr>
          <w:rFonts w:hint="eastAsia"/>
        </w:rPr>
        <w:t>3</w:t>
      </w:r>
      <w:r>
        <w:t xml:space="preserve"> 大气环境影响分析与评价</w:t>
      </w:r>
      <w:r>
        <w:tab/>
      </w:r>
      <w:r>
        <w:fldChar w:fldCharType="begin"/>
      </w:r>
      <w:r>
        <w:instrText xml:space="preserve"> PAGEREF _Toc25821 \h </w:instrText>
      </w:r>
      <w:r>
        <w:fldChar w:fldCharType="separate"/>
      </w:r>
      <w:r>
        <w:t>255</w:t>
      </w:r>
      <w:r>
        <w:fldChar w:fldCharType="end"/>
      </w:r>
      <w:r>
        <w:rPr>
          <w:rFonts w:cs="Times New Roman"/>
          <w:bCs/>
          <w:color w:val="0000FF"/>
          <w:szCs w:val="21"/>
        </w:rPr>
        <w:fldChar w:fldCharType="end"/>
      </w:r>
    </w:p>
    <w:p w14:paraId="7128249B">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_Toc24053 </w:instrText>
      </w:r>
      <w:r>
        <w:rPr>
          <w:rFonts w:cs="Times New Roman"/>
          <w:bCs/>
          <w:szCs w:val="21"/>
        </w:rPr>
        <w:fldChar w:fldCharType="separate"/>
      </w:r>
      <w:r>
        <w:rPr>
          <w:rFonts w:hint="eastAsia"/>
        </w:rPr>
        <w:t>5.4</w:t>
      </w:r>
      <w:r>
        <w:t xml:space="preserve"> 声环境影响预测与评价</w:t>
      </w:r>
      <w:r>
        <w:tab/>
      </w:r>
      <w:r>
        <w:fldChar w:fldCharType="begin"/>
      </w:r>
      <w:r>
        <w:instrText xml:space="preserve"> PAGEREF _Toc24053 \h </w:instrText>
      </w:r>
      <w:r>
        <w:fldChar w:fldCharType="separate"/>
      </w:r>
      <w:r>
        <w:t>260</w:t>
      </w:r>
      <w:r>
        <w:fldChar w:fldCharType="end"/>
      </w:r>
      <w:r>
        <w:rPr>
          <w:rFonts w:cs="Times New Roman"/>
          <w:bCs/>
          <w:color w:val="0000FF"/>
          <w:szCs w:val="21"/>
        </w:rPr>
        <w:fldChar w:fldCharType="end"/>
      </w:r>
    </w:p>
    <w:p w14:paraId="517C8285">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_Toc9234 </w:instrText>
      </w:r>
      <w:r>
        <w:rPr>
          <w:rFonts w:cs="Times New Roman"/>
          <w:bCs/>
          <w:szCs w:val="21"/>
        </w:rPr>
        <w:fldChar w:fldCharType="separate"/>
      </w:r>
      <w:r>
        <w:rPr>
          <w:rFonts w:hint="eastAsia" w:cs="Times New Roman"/>
        </w:rPr>
        <w:t>5.5</w:t>
      </w:r>
      <w:r>
        <w:rPr>
          <w:rFonts w:cs="Times New Roman"/>
        </w:rPr>
        <w:t xml:space="preserve"> 固体废物影响分析与评价</w:t>
      </w:r>
      <w:r>
        <w:tab/>
      </w:r>
      <w:r>
        <w:fldChar w:fldCharType="begin"/>
      </w:r>
      <w:r>
        <w:instrText xml:space="preserve"> PAGEREF _Toc9234 \h </w:instrText>
      </w:r>
      <w:r>
        <w:fldChar w:fldCharType="separate"/>
      </w:r>
      <w:r>
        <w:t>353</w:t>
      </w:r>
      <w:r>
        <w:fldChar w:fldCharType="end"/>
      </w:r>
      <w:r>
        <w:rPr>
          <w:rFonts w:cs="Times New Roman"/>
          <w:bCs/>
          <w:color w:val="0000FF"/>
          <w:szCs w:val="21"/>
        </w:rPr>
        <w:fldChar w:fldCharType="end"/>
      </w:r>
    </w:p>
    <w:p w14:paraId="624ABA92">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_Toc21885 </w:instrText>
      </w:r>
      <w:r>
        <w:rPr>
          <w:rFonts w:cs="Times New Roman"/>
          <w:bCs/>
          <w:szCs w:val="21"/>
        </w:rPr>
        <w:fldChar w:fldCharType="separate"/>
      </w:r>
      <w:r>
        <w:rPr>
          <w:rFonts w:hint="eastAsia" w:cs="Times New Roman"/>
        </w:rPr>
        <w:t>5.6</w:t>
      </w:r>
      <w:r>
        <w:rPr>
          <w:rFonts w:cs="Times New Roman"/>
        </w:rPr>
        <w:t xml:space="preserve"> 土壤环境影响分析</w:t>
      </w:r>
      <w:r>
        <w:tab/>
      </w:r>
      <w:r>
        <w:fldChar w:fldCharType="begin"/>
      </w:r>
      <w:r>
        <w:instrText xml:space="preserve"> PAGEREF _Toc21885 \h </w:instrText>
      </w:r>
      <w:r>
        <w:fldChar w:fldCharType="separate"/>
      </w:r>
      <w:r>
        <w:t>356</w:t>
      </w:r>
      <w:r>
        <w:fldChar w:fldCharType="end"/>
      </w:r>
      <w:r>
        <w:rPr>
          <w:rFonts w:cs="Times New Roman"/>
          <w:bCs/>
          <w:color w:val="0000FF"/>
          <w:szCs w:val="21"/>
        </w:rPr>
        <w:fldChar w:fldCharType="end"/>
      </w:r>
    </w:p>
    <w:p w14:paraId="572ECCF4">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_Toc11819 </w:instrText>
      </w:r>
      <w:r>
        <w:rPr>
          <w:rFonts w:cs="Times New Roman"/>
          <w:bCs/>
          <w:szCs w:val="21"/>
        </w:rPr>
        <w:fldChar w:fldCharType="separate"/>
      </w:r>
      <w:r>
        <w:rPr>
          <w:rFonts w:hint="eastAsia" w:cs="Times New Roman"/>
        </w:rPr>
        <w:t>5.7</w:t>
      </w:r>
      <w:r>
        <w:rPr>
          <w:rFonts w:cs="Times New Roman"/>
        </w:rPr>
        <w:t xml:space="preserve"> 生态环境影响分析与评价</w:t>
      </w:r>
      <w:r>
        <w:tab/>
      </w:r>
      <w:r>
        <w:fldChar w:fldCharType="begin"/>
      </w:r>
      <w:r>
        <w:instrText xml:space="preserve"> PAGEREF _Toc11819 \h </w:instrText>
      </w:r>
      <w:r>
        <w:fldChar w:fldCharType="separate"/>
      </w:r>
      <w:r>
        <w:t>359</w:t>
      </w:r>
      <w:r>
        <w:fldChar w:fldCharType="end"/>
      </w:r>
      <w:r>
        <w:rPr>
          <w:rFonts w:cs="Times New Roman"/>
          <w:bCs/>
          <w:color w:val="0000FF"/>
          <w:szCs w:val="21"/>
        </w:rPr>
        <w:fldChar w:fldCharType="end"/>
      </w:r>
    </w:p>
    <w:p w14:paraId="6DB06895">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_Toc13506 </w:instrText>
      </w:r>
      <w:r>
        <w:rPr>
          <w:rFonts w:cs="Times New Roman"/>
          <w:bCs/>
          <w:szCs w:val="21"/>
        </w:rPr>
        <w:fldChar w:fldCharType="separate"/>
      </w:r>
      <w:r>
        <w:rPr>
          <w:rFonts w:cs="Times New Roman"/>
        </w:rPr>
        <w:t>5.1</w:t>
      </w:r>
      <w:r>
        <w:rPr>
          <w:rFonts w:hint="eastAsia" w:cs="Times New Roman"/>
        </w:rPr>
        <w:t>1</w:t>
      </w:r>
      <w:r>
        <w:rPr>
          <w:rFonts w:cs="Times New Roman"/>
        </w:rPr>
        <w:t>占地和移民安置对环境的影响</w:t>
      </w:r>
      <w:r>
        <w:tab/>
      </w:r>
      <w:r>
        <w:fldChar w:fldCharType="begin"/>
      </w:r>
      <w:r>
        <w:instrText xml:space="preserve"> PAGEREF _Toc13506 \h </w:instrText>
      </w:r>
      <w:r>
        <w:fldChar w:fldCharType="separate"/>
      </w:r>
      <w:r>
        <w:t>373</w:t>
      </w:r>
      <w:r>
        <w:fldChar w:fldCharType="end"/>
      </w:r>
      <w:r>
        <w:rPr>
          <w:rFonts w:cs="Times New Roman"/>
          <w:bCs/>
          <w:color w:val="0000FF"/>
          <w:szCs w:val="21"/>
        </w:rPr>
        <w:fldChar w:fldCharType="end"/>
      </w:r>
    </w:p>
    <w:p w14:paraId="3596DC16">
      <w:pPr>
        <w:pStyle w:val="14"/>
        <w:tabs>
          <w:tab w:val="right" w:leader="dot" w:pos="9071"/>
        </w:tabs>
      </w:pPr>
      <w:r>
        <w:rPr>
          <w:rFonts w:cs="Times New Roman"/>
          <w:bCs/>
          <w:color w:val="0000FF"/>
          <w:szCs w:val="21"/>
        </w:rPr>
        <w:fldChar w:fldCharType="begin"/>
      </w:r>
      <w:r>
        <w:rPr>
          <w:rFonts w:cs="Times New Roman"/>
          <w:bCs/>
          <w:szCs w:val="21"/>
        </w:rPr>
        <w:instrText xml:space="preserve"> HYPERLINK \l _Toc10437 </w:instrText>
      </w:r>
      <w:r>
        <w:rPr>
          <w:rFonts w:cs="Times New Roman"/>
          <w:bCs/>
          <w:szCs w:val="21"/>
        </w:rPr>
        <w:fldChar w:fldCharType="separate"/>
      </w:r>
      <w:r>
        <w:t>6 环境风险评价</w:t>
      </w:r>
      <w:r>
        <w:tab/>
      </w:r>
      <w:r>
        <w:fldChar w:fldCharType="begin"/>
      </w:r>
      <w:r>
        <w:instrText xml:space="preserve"> PAGEREF _Toc10437 \h </w:instrText>
      </w:r>
      <w:r>
        <w:fldChar w:fldCharType="separate"/>
      </w:r>
      <w:r>
        <w:t>375</w:t>
      </w:r>
      <w:r>
        <w:fldChar w:fldCharType="end"/>
      </w:r>
      <w:r>
        <w:rPr>
          <w:rFonts w:cs="Times New Roman"/>
          <w:bCs/>
          <w:color w:val="0000FF"/>
          <w:szCs w:val="21"/>
        </w:rPr>
        <w:fldChar w:fldCharType="end"/>
      </w:r>
    </w:p>
    <w:p w14:paraId="3FF451C6">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_Toc18516 </w:instrText>
      </w:r>
      <w:r>
        <w:rPr>
          <w:rFonts w:cs="Times New Roman"/>
          <w:bCs/>
          <w:szCs w:val="21"/>
        </w:rPr>
        <w:fldChar w:fldCharType="separate"/>
      </w:r>
      <w:r>
        <w:t>6.1 评价目的</w:t>
      </w:r>
      <w:r>
        <w:tab/>
      </w:r>
      <w:r>
        <w:fldChar w:fldCharType="begin"/>
      </w:r>
      <w:r>
        <w:instrText xml:space="preserve"> PAGEREF _Toc18516 \h </w:instrText>
      </w:r>
      <w:r>
        <w:fldChar w:fldCharType="separate"/>
      </w:r>
      <w:r>
        <w:t>375</w:t>
      </w:r>
      <w:r>
        <w:fldChar w:fldCharType="end"/>
      </w:r>
      <w:r>
        <w:rPr>
          <w:rFonts w:cs="Times New Roman"/>
          <w:bCs/>
          <w:color w:val="0000FF"/>
          <w:szCs w:val="21"/>
        </w:rPr>
        <w:fldChar w:fldCharType="end"/>
      </w:r>
    </w:p>
    <w:p w14:paraId="3DC7C052">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_Toc32271 </w:instrText>
      </w:r>
      <w:r>
        <w:rPr>
          <w:rFonts w:cs="Times New Roman"/>
          <w:bCs/>
          <w:szCs w:val="21"/>
        </w:rPr>
        <w:fldChar w:fldCharType="separate"/>
      </w:r>
      <w:r>
        <w:t>6.2 风险调查</w:t>
      </w:r>
      <w:r>
        <w:tab/>
      </w:r>
      <w:r>
        <w:fldChar w:fldCharType="begin"/>
      </w:r>
      <w:r>
        <w:instrText xml:space="preserve"> PAGEREF _Toc32271 \h </w:instrText>
      </w:r>
      <w:r>
        <w:fldChar w:fldCharType="separate"/>
      </w:r>
      <w:r>
        <w:t>375</w:t>
      </w:r>
      <w:r>
        <w:fldChar w:fldCharType="end"/>
      </w:r>
      <w:r>
        <w:rPr>
          <w:rFonts w:cs="Times New Roman"/>
          <w:bCs/>
          <w:color w:val="0000FF"/>
          <w:szCs w:val="21"/>
        </w:rPr>
        <w:fldChar w:fldCharType="end"/>
      </w:r>
    </w:p>
    <w:p w14:paraId="61D15C4A">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_Toc18966 </w:instrText>
      </w:r>
      <w:r>
        <w:rPr>
          <w:rFonts w:cs="Times New Roman"/>
          <w:bCs/>
          <w:szCs w:val="21"/>
        </w:rPr>
        <w:fldChar w:fldCharType="separate"/>
      </w:r>
      <w:r>
        <w:rPr>
          <w:rFonts w:eastAsia="黑体" w:cs="Times New Roman"/>
          <w:bCs/>
        </w:rPr>
        <w:t>6.</w:t>
      </w:r>
      <w:r>
        <w:rPr>
          <w:rFonts w:cs="Times New Roman"/>
          <w:bCs/>
        </w:rPr>
        <w:t>3</w:t>
      </w:r>
      <w:r>
        <w:rPr>
          <w:rFonts w:eastAsia="黑体" w:cs="Times New Roman"/>
          <w:bCs/>
        </w:rPr>
        <w:t xml:space="preserve"> 评价等级</w:t>
      </w:r>
      <w:r>
        <w:rPr>
          <w:rFonts w:cs="Times New Roman"/>
          <w:bCs/>
        </w:rPr>
        <w:t>与范围</w:t>
      </w:r>
      <w:r>
        <w:tab/>
      </w:r>
      <w:r>
        <w:fldChar w:fldCharType="begin"/>
      </w:r>
      <w:r>
        <w:instrText xml:space="preserve"> PAGEREF _Toc18966 \h </w:instrText>
      </w:r>
      <w:r>
        <w:fldChar w:fldCharType="separate"/>
      </w:r>
      <w:r>
        <w:t>376</w:t>
      </w:r>
      <w:r>
        <w:fldChar w:fldCharType="end"/>
      </w:r>
      <w:r>
        <w:rPr>
          <w:rFonts w:cs="Times New Roman"/>
          <w:bCs/>
          <w:color w:val="0000FF"/>
          <w:szCs w:val="21"/>
        </w:rPr>
        <w:fldChar w:fldCharType="end"/>
      </w:r>
    </w:p>
    <w:p w14:paraId="5CC3334B">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_Toc24329 </w:instrText>
      </w:r>
      <w:r>
        <w:rPr>
          <w:rFonts w:cs="Times New Roman"/>
          <w:bCs/>
          <w:szCs w:val="21"/>
        </w:rPr>
        <w:fldChar w:fldCharType="separate"/>
      </w:r>
      <w:r>
        <w:rPr>
          <w:rFonts w:eastAsia="黑体" w:cs="Times New Roman"/>
          <w:bCs/>
        </w:rPr>
        <w:t>6.</w:t>
      </w:r>
      <w:r>
        <w:rPr>
          <w:rFonts w:cs="Times New Roman"/>
          <w:bCs/>
        </w:rPr>
        <w:t>4</w:t>
      </w:r>
      <w:r>
        <w:rPr>
          <w:rFonts w:eastAsia="黑体" w:cs="Times New Roman"/>
          <w:bCs/>
        </w:rPr>
        <w:t xml:space="preserve"> </w:t>
      </w:r>
      <w:r>
        <w:rPr>
          <w:rFonts w:cs="Times New Roman"/>
          <w:bCs/>
        </w:rPr>
        <w:t>风险识别</w:t>
      </w:r>
      <w:r>
        <w:tab/>
      </w:r>
      <w:r>
        <w:fldChar w:fldCharType="begin"/>
      </w:r>
      <w:r>
        <w:instrText xml:space="preserve"> PAGEREF _Toc24329 \h </w:instrText>
      </w:r>
      <w:r>
        <w:fldChar w:fldCharType="separate"/>
      </w:r>
      <w:r>
        <w:t>376</w:t>
      </w:r>
      <w:r>
        <w:fldChar w:fldCharType="end"/>
      </w:r>
      <w:r>
        <w:rPr>
          <w:rFonts w:cs="Times New Roman"/>
          <w:bCs/>
          <w:color w:val="0000FF"/>
          <w:szCs w:val="21"/>
        </w:rPr>
        <w:fldChar w:fldCharType="end"/>
      </w:r>
    </w:p>
    <w:p w14:paraId="277ADD2D">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_Toc13069 </w:instrText>
      </w:r>
      <w:r>
        <w:rPr>
          <w:rFonts w:cs="Times New Roman"/>
          <w:bCs/>
          <w:szCs w:val="21"/>
        </w:rPr>
        <w:fldChar w:fldCharType="separate"/>
      </w:r>
      <w:r>
        <w:rPr>
          <w:rFonts w:eastAsia="黑体" w:cs="Times New Roman"/>
          <w:bCs/>
        </w:rPr>
        <w:t>6.</w:t>
      </w:r>
      <w:r>
        <w:rPr>
          <w:rFonts w:cs="Times New Roman"/>
          <w:bCs/>
        </w:rPr>
        <w:t>5</w:t>
      </w:r>
      <w:r>
        <w:rPr>
          <w:rFonts w:eastAsia="黑体" w:cs="Times New Roman"/>
          <w:bCs/>
        </w:rPr>
        <w:t xml:space="preserve"> </w:t>
      </w:r>
      <w:r>
        <w:rPr>
          <w:rFonts w:cs="Times New Roman"/>
          <w:bCs/>
        </w:rPr>
        <w:t>风险事故情形分析</w:t>
      </w:r>
      <w:r>
        <w:tab/>
      </w:r>
      <w:r>
        <w:fldChar w:fldCharType="begin"/>
      </w:r>
      <w:r>
        <w:instrText xml:space="preserve"> PAGEREF _Toc13069 \h </w:instrText>
      </w:r>
      <w:r>
        <w:fldChar w:fldCharType="separate"/>
      </w:r>
      <w:r>
        <w:t>377</w:t>
      </w:r>
      <w:r>
        <w:fldChar w:fldCharType="end"/>
      </w:r>
      <w:r>
        <w:rPr>
          <w:rFonts w:cs="Times New Roman"/>
          <w:bCs/>
          <w:color w:val="0000FF"/>
          <w:szCs w:val="21"/>
        </w:rPr>
        <w:fldChar w:fldCharType="end"/>
      </w:r>
    </w:p>
    <w:p w14:paraId="1D835559">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_Toc17565 </w:instrText>
      </w:r>
      <w:r>
        <w:rPr>
          <w:rFonts w:cs="Times New Roman"/>
          <w:bCs/>
          <w:szCs w:val="21"/>
        </w:rPr>
        <w:fldChar w:fldCharType="separate"/>
      </w:r>
      <w:r>
        <w:rPr>
          <w:rFonts w:eastAsia="黑体" w:cs="Times New Roman"/>
          <w:bCs/>
        </w:rPr>
        <w:t>6.</w:t>
      </w:r>
      <w:r>
        <w:rPr>
          <w:rFonts w:cs="Times New Roman"/>
          <w:bCs/>
        </w:rPr>
        <w:t>6</w:t>
      </w:r>
      <w:r>
        <w:rPr>
          <w:rFonts w:eastAsia="黑体" w:cs="Times New Roman"/>
          <w:bCs/>
        </w:rPr>
        <w:t xml:space="preserve"> 风险防范措施</w:t>
      </w:r>
      <w:r>
        <w:tab/>
      </w:r>
      <w:r>
        <w:fldChar w:fldCharType="begin"/>
      </w:r>
      <w:r>
        <w:instrText xml:space="preserve"> PAGEREF _Toc17565 \h </w:instrText>
      </w:r>
      <w:r>
        <w:fldChar w:fldCharType="separate"/>
      </w:r>
      <w:r>
        <w:t>380</w:t>
      </w:r>
      <w:r>
        <w:fldChar w:fldCharType="end"/>
      </w:r>
      <w:r>
        <w:rPr>
          <w:rFonts w:cs="Times New Roman"/>
          <w:bCs/>
          <w:color w:val="0000FF"/>
          <w:szCs w:val="21"/>
        </w:rPr>
        <w:fldChar w:fldCharType="end"/>
      </w:r>
    </w:p>
    <w:p w14:paraId="7F99D237">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_Toc21639 </w:instrText>
      </w:r>
      <w:r>
        <w:rPr>
          <w:rFonts w:cs="Times New Roman"/>
          <w:bCs/>
          <w:szCs w:val="21"/>
        </w:rPr>
        <w:fldChar w:fldCharType="separate"/>
      </w:r>
      <w:r>
        <w:rPr>
          <w:rFonts w:eastAsia="黑体" w:cs="Times New Roman"/>
          <w:bCs/>
        </w:rPr>
        <w:t>6.</w:t>
      </w:r>
      <w:r>
        <w:rPr>
          <w:rFonts w:cs="Times New Roman"/>
          <w:bCs/>
        </w:rPr>
        <w:t>7</w:t>
      </w:r>
      <w:r>
        <w:rPr>
          <w:rFonts w:eastAsia="黑体" w:cs="Times New Roman"/>
          <w:bCs/>
        </w:rPr>
        <w:t xml:space="preserve"> 环境风险应急预案</w:t>
      </w:r>
      <w:r>
        <w:tab/>
      </w:r>
      <w:r>
        <w:fldChar w:fldCharType="begin"/>
      </w:r>
      <w:r>
        <w:instrText xml:space="preserve"> PAGEREF _Toc21639 \h </w:instrText>
      </w:r>
      <w:r>
        <w:fldChar w:fldCharType="separate"/>
      </w:r>
      <w:r>
        <w:t>382</w:t>
      </w:r>
      <w:r>
        <w:fldChar w:fldCharType="end"/>
      </w:r>
      <w:r>
        <w:rPr>
          <w:rFonts w:cs="Times New Roman"/>
          <w:bCs/>
          <w:color w:val="0000FF"/>
          <w:szCs w:val="21"/>
        </w:rPr>
        <w:fldChar w:fldCharType="end"/>
      </w:r>
    </w:p>
    <w:p w14:paraId="77341A07">
      <w:pPr>
        <w:pStyle w:val="14"/>
        <w:tabs>
          <w:tab w:val="right" w:leader="dot" w:pos="9071"/>
        </w:tabs>
      </w:pPr>
      <w:r>
        <w:rPr>
          <w:rFonts w:cs="Times New Roman"/>
          <w:bCs/>
          <w:color w:val="0000FF"/>
          <w:szCs w:val="21"/>
        </w:rPr>
        <w:fldChar w:fldCharType="begin"/>
      </w:r>
      <w:r>
        <w:rPr>
          <w:rFonts w:cs="Times New Roman"/>
          <w:bCs/>
          <w:szCs w:val="21"/>
        </w:rPr>
        <w:instrText xml:space="preserve"> HYPERLINK \l _Toc20139 </w:instrText>
      </w:r>
      <w:r>
        <w:rPr>
          <w:rFonts w:cs="Times New Roman"/>
          <w:bCs/>
          <w:szCs w:val="21"/>
        </w:rPr>
        <w:fldChar w:fldCharType="separate"/>
      </w:r>
      <w:r>
        <w:t>7 环境保护措施及其可行性论证</w:t>
      </w:r>
      <w:r>
        <w:tab/>
      </w:r>
      <w:r>
        <w:fldChar w:fldCharType="begin"/>
      </w:r>
      <w:r>
        <w:instrText xml:space="preserve"> PAGEREF _Toc20139 \h </w:instrText>
      </w:r>
      <w:r>
        <w:fldChar w:fldCharType="separate"/>
      </w:r>
      <w:r>
        <w:t>385</w:t>
      </w:r>
      <w:r>
        <w:fldChar w:fldCharType="end"/>
      </w:r>
      <w:r>
        <w:rPr>
          <w:rFonts w:cs="Times New Roman"/>
          <w:bCs/>
          <w:color w:val="0000FF"/>
          <w:szCs w:val="21"/>
        </w:rPr>
        <w:fldChar w:fldCharType="end"/>
      </w:r>
    </w:p>
    <w:p w14:paraId="6AD4B33A">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_Toc15241 </w:instrText>
      </w:r>
      <w:r>
        <w:rPr>
          <w:rFonts w:cs="Times New Roman"/>
          <w:bCs/>
          <w:szCs w:val="21"/>
        </w:rPr>
        <w:fldChar w:fldCharType="separate"/>
      </w:r>
      <w:r>
        <w:t>7.1 工程方案的环保优化措施</w:t>
      </w:r>
      <w:r>
        <w:tab/>
      </w:r>
      <w:r>
        <w:fldChar w:fldCharType="begin"/>
      </w:r>
      <w:r>
        <w:instrText xml:space="preserve"> PAGEREF _Toc15241 \h </w:instrText>
      </w:r>
      <w:r>
        <w:fldChar w:fldCharType="separate"/>
      </w:r>
      <w:r>
        <w:t>385</w:t>
      </w:r>
      <w:r>
        <w:fldChar w:fldCharType="end"/>
      </w:r>
      <w:r>
        <w:rPr>
          <w:rFonts w:cs="Times New Roman"/>
          <w:bCs/>
          <w:color w:val="0000FF"/>
          <w:szCs w:val="21"/>
        </w:rPr>
        <w:fldChar w:fldCharType="end"/>
      </w:r>
    </w:p>
    <w:p w14:paraId="0EA4F248">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_Toc6204 </w:instrText>
      </w:r>
      <w:r>
        <w:rPr>
          <w:rFonts w:cs="Times New Roman"/>
          <w:bCs/>
          <w:szCs w:val="21"/>
        </w:rPr>
        <w:fldChar w:fldCharType="separate"/>
      </w:r>
      <w:r>
        <w:rPr>
          <w:rFonts w:eastAsia="黑体" w:cs="Times New Roman"/>
          <w:bCs/>
        </w:rPr>
        <w:t>7.2 水环境保护措施</w:t>
      </w:r>
      <w:r>
        <w:tab/>
      </w:r>
      <w:r>
        <w:fldChar w:fldCharType="begin"/>
      </w:r>
      <w:r>
        <w:instrText xml:space="preserve"> PAGEREF _Toc6204 \h </w:instrText>
      </w:r>
      <w:r>
        <w:fldChar w:fldCharType="separate"/>
      </w:r>
      <w:r>
        <w:t>387</w:t>
      </w:r>
      <w:r>
        <w:fldChar w:fldCharType="end"/>
      </w:r>
      <w:r>
        <w:rPr>
          <w:rFonts w:cs="Times New Roman"/>
          <w:bCs/>
          <w:color w:val="0000FF"/>
          <w:szCs w:val="21"/>
        </w:rPr>
        <w:fldChar w:fldCharType="end"/>
      </w:r>
    </w:p>
    <w:p w14:paraId="3E4E48B7">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_Toc14509 </w:instrText>
      </w:r>
      <w:r>
        <w:rPr>
          <w:rFonts w:cs="Times New Roman"/>
          <w:bCs/>
          <w:szCs w:val="21"/>
        </w:rPr>
        <w:fldChar w:fldCharType="separate"/>
      </w:r>
      <w:r>
        <w:rPr>
          <w:rFonts w:eastAsia="黑体" w:cs="Times New Roman"/>
          <w:bCs/>
        </w:rPr>
        <w:t>7.3 声环境保护措施</w:t>
      </w:r>
      <w:r>
        <w:tab/>
      </w:r>
      <w:r>
        <w:fldChar w:fldCharType="begin"/>
      </w:r>
      <w:r>
        <w:instrText xml:space="preserve"> PAGEREF _Toc14509 \h </w:instrText>
      </w:r>
      <w:r>
        <w:fldChar w:fldCharType="separate"/>
      </w:r>
      <w:r>
        <w:t>391</w:t>
      </w:r>
      <w:r>
        <w:fldChar w:fldCharType="end"/>
      </w:r>
      <w:r>
        <w:rPr>
          <w:rFonts w:cs="Times New Roman"/>
          <w:bCs/>
          <w:color w:val="0000FF"/>
          <w:szCs w:val="21"/>
        </w:rPr>
        <w:fldChar w:fldCharType="end"/>
      </w:r>
    </w:p>
    <w:p w14:paraId="3325E762">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_Toc4722 </w:instrText>
      </w:r>
      <w:r>
        <w:rPr>
          <w:rFonts w:cs="Times New Roman"/>
          <w:bCs/>
          <w:szCs w:val="21"/>
        </w:rPr>
        <w:fldChar w:fldCharType="separate"/>
      </w:r>
      <w:r>
        <w:rPr>
          <w:rFonts w:eastAsia="黑体" w:cs="Times New Roman"/>
          <w:bCs/>
        </w:rPr>
        <w:t>7.4 大气环境保护措施</w:t>
      </w:r>
      <w:r>
        <w:tab/>
      </w:r>
      <w:r>
        <w:fldChar w:fldCharType="begin"/>
      </w:r>
      <w:r>
        <w:instrText xml:space="preserve"> PAGEREF _Toc4722 \h </w:instrText>
      </w:r>
      <w:r>
        <w:fldChar w:fldCharType="separate"/>
      </w:r>
      <w:r>
        <w:t>394</w:t>
      </w:r>
      <w:r>
        <w:fldChar w:fldCharType="end"/>
      </w:r>
      <w:r>
        <w:rPr>
          <w:rFonts w:cs="Times New Roman"/>
          <w:bCs/>
          <w:color w:val="0000FF"/>
          <w:szCs w:val="21"/>
        </w:rPr>
        <w:fldChar w:fldCharType="end"/>
      </w:r>
    </w:p>
    <w:p w14:paraId="7592A8F7">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_Toc30666 </w:instrText>
      </w:r>
      <w:r>
        <w:rPr>
          <w:rFonts w:cs="Times New Roman"/>
          <w:bCs/>
          <w:szCs w:val="21"/>
        </w:rPr>
        <w:fldChar w:fldCharType="separate"/>
      </w:r>
      <w:r>
        <w:rPr>
          <w:rFonts w:eastAsia="黑体" w:cs="Times New Roman"/>
          <w:bCs/>
        </w:rPr>
        <w:t>7.5 固体废物处置措施</w:t>
      </w:r>
      <w:r>
        <w:tab/>
      </w:r>
      <w:r>
        <w:fldChar w:fldCharType="begin"/>
      </w:r>
      <w:r>
        <w:instrText xml:space="preserve"> PAGEREF _Toc30666 \h </w:instrText>
      </w:r>
      <w:r>
        <w:fldChar w:fldCharType="separate"/>
      </w:r>
      <w:r>
        <w:t>396</w:t>
      </w:r>
      <w:r>
        <w:fldChar w:fldCharType="end"/>
      </w:r>
      <w:r>
        <w:rPr>
          <w:rFonts w:cs="Times New Roman"/>
          <w:bCs/>
          <w:color w:val="0000FF"/>
          <w:szCs w:val="21"/>
        </w:rPr>
        <w:fldChar w:fldCharType="end"/>
      </w:r>
    </w:p>
    <w:p w14:paraId="75067541">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_Toc17404 </w:instrText>
      </w:r>
      <w:r>
        <w:rPr>
          <w:rFonts w:cs="Times New Roman"/>
          <w:bCs/>
          <w:szCs w:val="21"/>
        </w:rPr>
        <w:fldChar w:fldCharType="separate"/>
      </w:r>
      <w:r>
        <w:t>7.6 土壤环境保护措施</w:t>
      </w:r>
      <w:r>
        <w:tab/>
      </w:r>
      <w:r>
        <w:fldChar w:fldCharType="begin"/>
      </w:r>
      <w:r>
        <w:instrText xml:space="preserve"> PAGEREF _Toc17404 \h </w:instrText>
      </w:r>
      <w:r>
        <w:fldChar w:fldCharType="separate"/>
      </w:r>
      <w:r>
        <w:t>399</w:t>
      </w:r>
      <w:r>
        <w:fldChar w:fldCharType="end"/>
      </w:r>
      <w:r>
        <w:rPr>
          <w:rFonts w:cs="Times New Roman"/>
          <w:bCs/>
          <w:color w:val="0000FF"/>
          <w:szCs w:val="21"/>
        </w:rPr>
        <w:fldChar w:fldCharType="end"/>
      </w:r>
    </w:p>
    <w:p w14:paraId="423DDA9B">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_Toc11817 </w:instrText>
      </w:r>
      <w:r>
        <w:rPr>
          <w:rFonts w:cs="Times New Roman"/>
          <w:bCs/>
          <w:szCs w:val="21"/>
        </w:rPr>
        <w:fldChar w:fldCharType="separate"/>
      </w:r>
      <w:r>
        <w:t>7.7 生态环境保护措施</w:t>
      </w:r>
      <w:r>
        <w:tab/>
      </w:r>
      <w:r>
        <w:fldChar w:fldCharType="begin"/>
      </w:r>
      <w:r>
        <w:instrText xml:space="preserve"> PAGEREF _Toc11817 \h </w:instrText>
      </w:r>
      <w:r>
        <w:fldChar w:fldCharType="separate"/>
      </w:r>
      <w:r>
        <w:t>399</w:t>
      </w:r>
      <w:r>
        <w:fldChar w:fldCharType="end"/>
      </w:r>
      <w:r>
        <w:rPr>
          <w:rFonts w:cs="Times New Roman"/>
          <w:bCs/>
          <w:color w:val="0000FF"/>
          <w:szCs w:val="21"/>
        </w:rPr>
        <w:fldChar w:fldCharType="end"/>
      </w:r>
    </w:p>
    <w:p w14:paraId="000A1DC9">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_Toc30988 </w:instrText>
      </w:r>
      <w:r>
        <w:rPr>
          <w:rFonts w:cs="Times New Roman"/>
          <w:bCs/>
          <w:szCs w:val="21"/>
        </w:rPr>
        <w:fldChar w:fldCharType="separate"/>
      </w:r>
      <w:r>
        <w:rPr>
          <w:rFonts w:eastAsia="黑体" w:cs="Times New Roman"/>
          <w:bCs/>
        </w:rPr>
        <w:t>7.8 水土保持措施</w:t>
      </w:r>
      <w:r>
        <w:tab/>
      </w:r>
      <w:r>
        <w:fldChar w:fldCharType="begin"/>
      </w:r>
      <w:r>
        <w:instrText xml:space="preserve"> PAGEREF _Toc30988 \h </w:instrText>
      </w:r>
      <w:r>
        <w:fldChar w:fldCharType="separate"/>
      </w:r>
      <w:r>
        <w:t>409</w:t>
      </w:r>
      <w:r>
        <w:fldChar w:fldCharType="end"/>
      </w:r>
      <w:r>
        <w:rPr>
          <w:rFonts w:cs="Times New Roman"/>
          <w:bCs/>
          <w:color w:val="0000FF"/>
          <w:szCs w:val="21"/>
        </w:rPr>
        <w:fldChar w:fldCharType="end"/>
      </w:r>
    </w:p>
    <w:p w14:paraId="13ED7210">
      <w:pPr>
        <w:pStyle w:val="14"/>
        <w:tabs>
          <w:tab w:val="right" w:leader="dot" w:pos="9071"/>
        </w:tabs>
      </w:pPr>
      <w:r>
        <w:rPr>
          <w:rFonts w:cs="Times New Roman"/>
          <w:bCs/>
          <w:color w:val="0000FF"/>
          <w:szCs w:val="21"/>
        </w:rPr>
        <w:fldChar w:fldCharType="begin"/>
      </w:r>
      <w:r>
        <w:rPr>
          <w:rFonts w:cs="Times New Roman"/>
          <w:bCs/>
          <w:szCs w:val="21"/>
        </w:rPr>
        <w:instrText xml:space="preserve"> HYPERLINK \l _Toc23312 </w:instrText>
      </w:r>
      <w:r>
        <w:rPr>
          <w:rFonts w:cs="Times New Roman"/>
          <w:bCs/>
          <w:szCs w:val="21"/>
        </w:rPr>
        <w:fldChar w:fldCharType="separate"/>
      </w:r>
      <w:r>
        <w:rPr>
          <w:rFonts w:hint="eastAsia"/>
        </w:rPr>
        <w:t>8</w:t>
      </w:r>
      <w:r>
        <w:t xml:space="preserve"> 环境影响经济损益分析与环境保护投资</w:t>
      </w:r>
      <w:r>
        <w:tab/>
      </w:r>
      <w:r>
        <w:fldChar w:fldCharType="begin"/>
      </w:r>
      <w:r>
        <w:instrText xml:space="preserve"> PAGEREF _Toc23312 \h </w:instrText>
      </w:r>
      <w:r>
        <w:fldChar w:fldCharType="separate"/>
      </w:r>
      <w:r>
        <w:t>410</w:t>
      </w:r>
      <w:r>
        <w:fldChar w:fldCharType="end"/>
      </w:r>
      <w:r>
        <w:rPr>
          <w:rFonts w:cs="Times New Roman"/>
          <w:bCs/>
          <w:color w:val="0000FF"/>
          <w:szCs w:val="21"/>
        </w:rPr>
        <w:fldChar w:fldCharType="end"/>
      </w:r>
    </w:p>
    <w:p w14:paraId="52519414">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_Toc4137 </w:instrText>
      </w:r>
      <w:r>
        <w:rPr>
          <w:rFonts w:cs="Times New Roman"/>
          <w:bCs/>
          <w:szCs w:val="21"/>
        </w:rPr>
        <w:fldChar w:fldCharType="separate"/>
      </w:r>
      <w:r>
        <w:rPr>
          <w:rFonts w:hint="eastAsia" w:cs="Times New Roman"/>
        </w:rPr>
        <w:t>8</w:t>
      </w:r>
      <w:r>
        <w:rPr>
          <w:rFonts w:cs="Times New Roman"/>
        </w:rPr>
        <w:t>.1 环境影响经济损益分析</w:t>
      </w:r>
      <w:r>
        <w:tab/>
      </w:r>
      <w:r>
        <w:fldChar w:fldCharType="begin"/>
      </w:r>
      <w:r>
        <w:instrText xml:space="preserve"> PAGEREF _Toc4137 \h </w:instrText>
      </w:r>
      <w:r>
        <w:fldChar w:fldCharType="separate"/>
      </w:r>
      <w:r>
        <w:t>410</w:t>
      </w:r>
      <w:r>
        <w:fldChar w:fldCharType="end"/>
      </w:r>
      <w:r>
        <w:rPr>
          <w:rFonts w:cs="Times New Roman"/>
          <w:bCs/>
          <w:color w:val="0000FF"/>
          <w:szCs w:val="21"/>
        </w:rPr>
        <w:fldChar w:fldCharType="end"/>
      </w:r>
    </w:p>
    <w:p w14:paraId="18BBE149">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_Toc13797 </w:instrText>
      </w:r>
      <w:r>
        <w:rPr>
          <w:rFonts w:cs="Times New Roman"/>
          <w:bCs/>
          <w:szCs w:val="21"/>
        </w:rPr>
        <w:fldChar w:fldCharType="separate"/>
      </w:r>
      <w:r>
        <w:rPr>
          <w:rFonts w:hint="eastAsia" w:cs="Times New Roman"/>
        </w:rPr>
        <w:t>8</w:t>
      </w:r>
      <w:r>
        <w:rPr>
          <w:rFonts w:cs="Times New Roman"/>
        </w:rPr>
        <w:t>.2环境保护投资估算</w:t>
      </w:r>
      <w:r>
        <w:tab/>
      </w:r>
      <w:r>
        <w:fldChar w:fldCharType="begin"/>
      </w:r>
      <w:r>
        <w:instrText xml:space="preserve"> PAGEREF _Toc13797 \h </w:instrText>
      </w:r>
      <w:r>
        <w:fldChar w:fldCharType="separate"/>
      </w:r>
      <w:r>
        <w:t>413</w:t>
      </w:r>
      <w:r>
        <w:fldChar w:fldCharType="end"/>
      </w:r>
      <w:r>
        <w:rPr>
          <w:rFonts w:cs="Times New Roman"/>
          <w:bCs/>
          <w:color w:val="0000FF"/>
          <w:szCs w:val="21"/>
        </w:rPr>
        <w:fldChar w:fldCharType="end"/>
      </w:r>
    </w:p>
    <w:p w14:paraId="201D7352">
      <w:pPr>
        <w:pStyle w:val="14"/>
        <w:tabs>
          <w:tab w:val="right" w:leader="dot" w:pos="9071"/>
        </w:tabs>
      </w:pPr>
      <w:r>
        <w:rPr>
          <w:rFonts w:cs="Times New Roman"/>
          <w:bCs/>
          <w:color w:val="0000FF"/>
          <w:szCs w:val="21"/>
        </w:rPr>
        <w:fldChar w:fldCharType="begin"/>
      </w:r>
      <w:r>
        <w:rPr>
          <w:rFonts w:cs="Times New Roman"/>
          <w:bCs/>
          <w:szCs w:val="21"/>
        </w:rPr>
        <w:instrText xml:space="preserve"> HYPERLINK \l _Toc12873 </w:instrText>
      </w:r>
      <w:r>
        <w:rPr>
          <w:rFonts w:cs="Times New Roman"/>
          <w:bCs/>
          <w:szCs w:val="21"/>
        </w:rPr>
        <w:fldChar w:fldCharType="separate"/>
      </w:r>
      <w:r>
        <w:rPr>
          <w:rFonts w:hint="eastAsia"/>
        </w:rPr>
        <w:t xml:space="preserve">9 </w:t>
      </w:r>
      <w:r>
        <w:t>环境管理与监测计划</w:t>
      </w:r>
      <w:r>
        <w:tab/>
      </w:r>
      <w:r>
        <w:fldChar w:fldCharType="begin"/>
      </w:r>
      <w:r>
        <w:instrText xml:space="preserve"> PAGEREF _Toc12873 \h </w:instrText>
      </w:r>
      <w:r>
        <w:fldChar w:fldCharType="separate"/>
      </w:r>
      <w:r>
        <w:t>416</w:t>
      </w:r>
      <w:r>
        <w:fldChar w:fldCharType="end"/>
      </w:r>
      <w:r>
        <w:rPr>
          <w:rFonts w:cs="Times New Roman"/>
          <w:bCs/>
          <w:color w:val="0000FF"/>
          <w:szCs w:val="21"/>
        </w:rPr>
        <w:fldChar w:fldCharType="end"/>
      </w:r>
    </w:p>
    <w:p w14:paraId="0AC0978E">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_Toc32321 </w:instrText>
      </w:r>
      <w:r>
        <w:rPr>
          <w:rFonts w:cs="Times New Roman"/>
          <w:bCs/>
          <w:szCs w:val="21"/>
        </w:rPr>
        <w:fldChar w:fldCharType="separate"/>
      </w:r>
      <w:r>
        <w:rPr>
          <w:rFonts w:hint="eastAsia" w:cs="Times New Roman"/>
        </w:rPr>
        <w:t>9</w:t>
      </w:r>
      <w:r>
        <w:rPr>
          <w:rFonts w:cs="Times New Roman"/>
        </w:rPr>
        <w:t>.1环境保护管理计划</w:t>
      </w:r>
      <w:r>
        <w:tab/>
      </w:r>
      <w:r>
        <w:fldChar w:fldCharType="begin"/>
      </w:r>
      <w:r>
        <w:instrText xml:space="preserve"> PAGEREF _Toc32321 \h </w:instrText>
      </w:r>
      <w:r>
        <w:fldChar w:fldCharType="separate"/>
      </w:r>
      <w:r>
        <w:t>416</w:t>
      </w:r>
      <w:r>
        <w:fldChar w:fldCharType="end"/>
      </w:r>
      <w:r>
        <w:rPr>
          <w:rFonts w:cs="Times New Roman"/>
          <w:bCs/>
          <w:color w:val="0000FF"/>
          <w:szCs w:val="21"/>
        </w:rPr>
        <w:fldChar w:fldCharType="end"/>
      </w:r>
    </w:p>
    <w:p w14:paraId="0502E9E2">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_Toc31008 </w:instrText>
      </w:r>
      <w:r>
        <w:rPr>
          <w:rFonts w:cs="Times New Roman"/>
          <w:bCs/>
          <w:szCs w:val="21"/>
        </w:rPr>
        <w:fldChar w:fldCharType="separate"/>
      </w:r>
      <w:r>
        <w:rPr>
          <w:rFonts w:hint="eastAsia" w:cs="Times New Roman"/>
        </w:rPr>
        <w:t>9</w:t>
      </w:r>
      <w:r>
        <w:rPr>
          <w:rFonts w:cs="Times New Roman"/>
        </w:rPr>
        <w:t>.2环境监测计划</w:t>
      </w:r>
      <w:r>
        <w:tab/>
      </w:r>
      <w:r>
        <w:fldChar w:fldCharType="begin"/>
      </w:r>
      <w:r>
        <w:instrText xml:space="preserve"> PAGEREF _Toc31008 \h </w:instrText>
      </w:r>
      <w:r>
        <w:fldChar w:fldCharType="separate"/>
      </w:r>
      <w:r>
        <w:t>421</w:t>
      </w:r>
      <w:r>
        <w:fldChar w:fldCharType="end"/>
      </w:r>
      <w:r>
        <w:rPr>
          <w:rFonts w:cs="Times New Roman"/>
          <w:bCs/>
          <w:color w:val="0000FF"/>
          <w:szCs w:val="21"/>
        </w:rPr>
        <w:fldChar w:fldCharType="end"/>
      </w:r>
    </w:p>
    <w:p w14:paraId="145DD5B5">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_Toc17822 </w:instrText>
      </w:r>
      <w:r>
        <w:rPr>
          <w:rFonts w:cs="Times New Roman"/>
          <w:bCs/>
          <w:szCs w:val="21"/>
        </w:rPr>
        <w:fldChar w:fldCharType="separate"/>
      </w:r>
      <w:r>
        <w:rPr>
          <w:rFonts w:hint="eastAsia"/>
        </w:rPr>
        <w:t>9</w:t>
      </w:r>
      <w:r>
        <w:t>.</w:t>
      </w:r>
      <w:r>
        <w:rPr>
          <w:rFonts w:hint="eastAsia"/>
        </w:rPr>
        <w:t>3</w:t>
      </w:r>
      <w:r>
        <w:t>三同时环保验收</w:t>
      </w:r>
      <w:r>
        <w:tab/>
      </w:r>
      <w:r>
        <w:fldChar w:fldCharType="begin"/>
      </w:r>
      <w:r>
        <w:instrText xml:space="preserve"> PAGEREF _Toc17822 \h </w:instrText>
      </w:r>
      <w:r>
        <w:fldChar w:fldCharType="separate"/>
      </w:r>
      <w:r>
        <w:t>426</w:t>
      </w:r>
      <w:r>
        <w:fldChar w:fldCharType="end"/>
      </w:r>
      <w:r>
        <w:rPr>
          <w:rFonts w:cs="Times New Roman"/>
          <w:bCs/>
          <w:color w:val="0000FF"/>
          <w:szCs w:val="21"/>
        </w:rPr>
        <w:fldChar w:fldCharType="end"/>
      </w:r>
    </w:p>
    <w:p w14:paraId="131803A6">
      <w:pPr>
        <w:pStyle w:val="14"/>
        <w:tabs>
          <w:tab w:val="right" w:leader="dot" w:pos="9071"/>
        </w:tabs>
      </w:pPr>
      <w:r>
        <w:rPr>
          <w:rFonts w:cs="Times New Roman"/>
          <w:bCs/>
          <w:color w:val="0000FF"/>
          <w:szCs w:val="21"/>
        </w:rPr>
        <w:fldChar w:fldCharType="begin"/>
      </w:r>
      <w:r>
        <w:rPr>
          <w:rFonts w:cs="Times New Roman"/>
          <w:bCs/>
          <w:szCs w:val="21"/>
        </w:rPr>
        <w:instrText xml:space="preserve"> HYPERLINK \l _Toc23687 </w:instrText>
      </w:r>
      <w:r>
        <w:rPr>
          <w:rFonts w:cs="Times New Roman"/>
          <w:bCs/>
          <w:szCs w:val="21"/>
        </w:rPr>
        <w:fldChar w:fldCharType="separate"/>
      </w:r>
      <w:r>
        <w:t>10 环境影响评价结论</w:t>
      </w:r>
      <w:r>
        <w:tab/>
      </w:r>
      <w:r>
        <w:fldChar w:fldCharType="begin"/>
      </w:r>
      <w:r>
        <w:instrText xml:space="preserve"> PAGEREF _Toc23687 \h </w:instrText>
      </w:r>
      <w:r>
        <w:fldChar w:fldCharType="separate"/>
      </w:r>
      <w:r>
        <w:t>435</w:t>
      </w:r>
      <w:r>
        <w:fldChar w:fldCharType="end"/>
      </w:r>
      <w:r>
        <w:rPr>
          <w:rFonts w:cs="Times New Roman"/>
          <w:bCs/>
          <w:color w:val="0000FF"/>
          <w:szCs w:val="21"/>
        </w:rPr>
        <w:fldChar w:fldCharType="end"/>
      </w:r>
    </w:p>
    <w:p w14:paraId="33FA65A9">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_Toc18318 </w:instrText>
      </w:r>
      <w:r>
        <w:rPr>
          <w:rFonts w:cs="Times New Roman"/>
          <w:bCs/>
          <w:szCs w:val="21"/>
        </w:rPr>
        <w:fldChar w:fldCharType="separate"/>
      </w:r>
      <w:r>
        <w:rPr>
          <w:rFonts w:cs="Times New Roman"/>
        </w:rPr>
        <w:t>10.1 项目概况</w:t>
      </w:r>
      <w:r>
        <w:tab/>
      </w:r>
      <w:r>
        <w:fldChar w:fldCharType="begin"/>
      </w:r>
      <w:r>
        <w:instrText xml:space="preserve"> PAGEREF _Toc18318 \h </w:instrText>
      </w:r>
      <w:r>
        <w:fldChar w:fldCharType="separate"/>
      </w:r>
      <w:r>
        <w:t>435</w:t>
      </w:r>
      <w:r>
        <w:fldChar w:fldCharType="end"/>
      </w:r>
      <w:r>
        <w:rPr>
          <w:rFonts w:cs="Times New Roman"/>
          <w:bCs/>
          <w:color w:val="0000FF"/>
          <w:szCs w:val="21"/>
        </w:rPr>
        <w:fldChar w:fldCharType="end"/>
      </w:r>
    </w:p>
    <w:p w14:paraId="1C24D685">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_Toc18529 </w:instrText>
      </w:r>
      <w:r>
        <w:rPr>
          <w:rFonts w:cs="Times New Roman"/>
          <w:bCs/>
          <w:szCs w:val="21"/>
        </w:rPr>
        <w:fldChar w:fldCharType="separate"/>
      </w:r>
      <w:r>
        <w:rPr>
          <w:rFonts w:cs="Times New Roman"/>
        </w:rPr>
        <w:t>10.2 环境准入评价</w:t>
      </w:r>
      <w:r>
        <w:tab/>
      </w:r>
      <w:r>
        <w:fldChar w:fldCharType="begin"/>
      </w:r>
      <w:r>
        <w:instrText xml:space="preserve"> PAGEREF _Toc18529 \h </w:instrText>
      </w:r>
      <w:r>
        <w:fldChar w:fldCharType="separate"/>
      </w:r>
      <w:r>
        <w:t>435</w:t>
      </w:r>
      <w:r>
        <w:fldChar w:fldCharType="end"/>
      </w:r>
      <w:r>
        <w:rPr>
          <w:rFonts w:cs="Times New Roman"/>
          <w:bCs/>
          <w:color w:val="0000FF"/>
          <w:szCs w:val="21"/>
        </w:rPr>
        <w:fldChar w:fldCharType="end"/>
      </w:r>
    </w:p>
    <w:p w14:paraId="57746CA3">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_Toc19616 </w:instrText>
      </w:r>
      <w:r>
        <w:rPr>
          <w:rFonts w:cs="Times New Roman"/>
          <w:bCs/>
          <w:szCs w:val="21"/>
        </w:rPr>
        <w:fldChar w:fldCharType="separate"/>
      </w:r>
      <w:r>
        <w:rPr>
          <w:rFonts w:cs="Times New Roman"/>
        </w:rPr>
        <w:t>10.3 环境质量现状评价</w:t>
      </w:r>
      <w:r>
        <w:tab/>
      </w:r>
      <w:r>
        <w:fldChar w:fldCharType="begin"/>
      </w:r>
      <w:r>
        <w:instrText xml:space="preserve"> PAGEREF _Toc19616 \h </w:instrText>
      </w:r>
      <w:r>
        <w:fldChar w:fldCharType="separate"/>
      </w:r>
      <w:r>
        <w:t>436</w:t>
      </w:r>
      <w:r>
        <w:fldChar w:fldCharType="end"/>
      </w:r>
      <w:r>
        <w:rPr>
          <w:rFonts w:cs="Times New Roman"/>
          <w:bCs/>
          <w:color w:val="0000FF"/>
          <w:szCs w:val="21"/>
        </w:rPr>
        <w:fldChar w:fldCharType="end"/>
      </w:r>
    </w:p>
    <w:p w14:paraId="02B5872C">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_Toc1646 </w:instrText>
      </w:r>
      <w:r>
        <w:rPr>
          <w:rFonts w:cs="Times New Roman"/>
          <w:bCs/>
          <w:szCs w:val="21"/>
        </w:rPr>
        <w:fldChar w:fldCharType="separate"/>
      </w:r>
      <w:r>
        <w:rPr>
          <w:rFonts w:cs="Times New Roman"/>
        </w:rPr>
        <w:t>10.4 环境影响评价与环境保护措施</w:t>
      </w:r>
      <w:r>
        <w:tab/>
      </w:r>
      <w:r>
        <w:fldChar w:fldCharType="begin"/>
      </w:r>
      <w:r>
        <w:instrText xml:space="preserve"> PAGEREF _Toc1646 \h </w:instrText>
      </w:r>
      <w:r>
        <w:fldChar w:fldCharType="separate"/>
      </w:r>
      <w:r>
        <w:t>437</w:t>
      </w:r>
      <w:r>
        <w:fldChar w:fldCharType="end"/>
      </w:r>
      <w:r>
        <w:rPr>
          <w:rFonts w:cs="Times New Roman"/>
          <w:bCs/>
          <w:color w:val="0000FF"/>
          <w:szCs w:val="21"/>
        </w:rPr>
        <w:fldChar w:fldCharType="end"/>
      </w:r>
    </w:p>
    <w:p w14:paraId="7F297401">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_Toc13652 </w:instrText>
      </w:r>
      <w:r>
        <w:rPr>
          <w:rFonts w:cs="Times New Roman"/>
          <w:bCs/>
          <w:szCs w:val="21"/>
        </w:rPr>
        <w:fldChar w:fldCharType="separate"/>
      </w:r>
      <w:r>
        <w:rPr>
          <w:rFonts w:cs="Times New Roman"/>
        </w:rPr>
        <w:t>10.5 公众参与</w:t>
      </w:r>
      <w:r>
        <w:tab/>
      </w:r>
      <w:r>
        <w:fldChar w:fldCharType="begin"/>
      </w:r>
      <w:r>
        <w:instrText xml:space="preserve"> PAGEREF _Toc13652 \h </w:instrText>
      </w:r>
      <w:r>
        <w:fldChar w:fldCharType="separate"/>
      </w:r>
      <w:r>
        <w:t>443</w:t>
      </w:r>
      <w:r>
        <w:fldChar w:fldCharType="end"/>
      </w:r>
      <w:r>
        <w:rPr>
          <w:rFonts w:cs="Times New Roman"/>
          <w:bCs/>
          <w:color w:val="0000FF"/>
          <w:szCs w:val="21"/>
        </w:rPr>
        <w:fldChar w:fldCharType="end"/>
      </w:r>
    </w:p>
    <w:p w14:paraId="2D4281E4">
      <w:pPr>
        <w:pStyle w:val="15"/>
        <w:tabs>
          <w:tab w:val="right" w:leader="dot" w:pos="9071"/>
        </w:tabs>
      </w:pPr>
      <w:r>
        <w:rPr>
          <w:rFonts w:cs="Times New Roman"/>
          <w:bCs/>
          <w:color w:val="0000FF"/>
          <w:szCs w:val="21"/>
        </w:rPr>
        <w:fldChar w:fldCharType="begin"/>
      </w:r>
      <w:r>
        <w:rPr>
          <w:rFonts w:cs="Times New Roman"/>
          <w:bCs/>
          <w:szCs w:val="21"/>
        </w:rPr>
        <w:instrText xml:space="preserve"> HYPERLINK \l _Toc17382 </w:instrText>
      </w:r>
      <w:r>
        <w:rPr>
          <w:rFonts w:cs="Times New Roman"/>
          <w:bCs/>
          <w:szCs w:val="21"/>
        </w:rPr>
        <w:fldChar w:fldCharType="separate"/>
      </w:r>
      <w:r>
        <w:t>10.6 综合结论</w:t>
      </w:r>
      <w:r>
        <w:tab/>
      </w:r>
      <w:r>
        <w:fldChar w:fldCharType="begin"/>
      </w:r>
      <w:r>
        <w:instrText xml:space="preserve"> PAGEREF _Toc17382 \h </w:instrText>
      </w:r>
      <w:r>
        <w:fldChar w:fldCharType="separate"/>
      </w:r>
      <w:r>
        <w:t>443</w:t>
      </w:r>
      <w:r>
        <w:fldChar w:fldCharType="end"/>
      </w:r>
      <w:r>
        <w:rPr>
          <w:rFonts w:cs="Times New Roman"/>
          <w:bCs/>
          <w:color w:val="0000FF"/>
          <w:szCs w:val="21"/>
        </w:rPr>
        <w:fldChar w:fldCharType="end"/>
      </w:r>
    </w:p>
    <w:p w14:paraId="6D8F5ECA">
      <w:pPr>
        <w:tabs>
          <w:tab w:val="right" w:leader="dot" w:pos="9525"/>
        </w:tabs>
        <w:rPr>
          <w:rFonts w:cs="Times New Roman"/>
          <w:b/>
          <w:bCs/>
          <w:color w:val="0000FF"/>
          <w:sz w:val="21"/>
          <w:szCs w:val="21"/>
        </w:rPr>
      </w:pPr>
      <w:r>
        <w:rPr>
          <w:rFonts w:cs="Times New Roman"/>
          <w:bCs/>
          <w:color w:val="0000FF"/>
          <w:szCs w:val="21"/>
        </w:rPr>
        <w:fldChar w:fldCharType="end"/>
      </w:r>
    </w:p>
    <w:p w14:paraId="51DE63E8">
      <w:pPr>
        <w:rPr>
          <w:rFonts w:cs="Times New Roman"/>
          <w:sz w:val="28"/>
          <w:szCs w:val="28"/>
        </w:rPr>
      </w:pPr>
      <w:r>
        <w:rPr>
          <w:rFonts w:cs="Times New Roman"/>
          <w:color w:val="0000FF"/>
        </w:rPr>
        <w:br w:type="page"/>
      </w:r>
      <w:r>
        <w:rPr>
          <w:rFonts w:cs="Times New Roman"/>
          <w:b/>
          <w:bCs/>
          <w:sz w:val="28"/>
          <w:szCs w:val="28"/>
        </w:rPr>
        <w:t>附件：</w:t>
      </w:r>
    </w:p>
    <w:p w14:paraId="6F12A316">
      <w:pPr>
        <w:rPr>
          <w:rFonts w:cs="Times New Roman"/>
        </w:rPr>
      </w:pPr>
      <w:r>
        <w:rPr>
          <w:rFonts w:cs="Times New Roman"/>
        </w:rPr>
        <w:t>附件1 委托书；</w:t>
      </w:r>
    </w:p>
    <w:p w14:paraId="6FBD5F5E">
      <w:pPr>
        <w:rPr>
          <w:rFonts w:cs="Times New Roman"/>
        </w:rPr>
      </w:pPr>
      <w:r>
        <w:rPr>
          <w:rFonts w:cs="Times New Roman"/>
        </w:rPr>
        <w:t xml:space="preserve">附件2 </w:t>
      </w:r>
      <w:r>
        <w:rPr>
          <w:rFonts w:hint="eastAsia" w:cs="Times New Roman"/>
        </w:rPr>
        <w:t>淮南市谢家集区</w:t>
      </w:r>
      <w:r>
        <w:rPr>
          <w:rFonts w:cs="Times New Roman"/>
        </w:rPr>
        <w:t>发展和改革委员会《关于</w:t>
      </w:r>
      <w:r>
        <w:rPr>
          <w:rFonts w:hint="eastAsia" w:cs="Times New Roman"/>
        </w:rPr>
        <w:t>淮南市谢家集区朱集中型灌区续建配套与节水改造项目</w:t>
      </w:r>
      <w:r>
        <w:rPr>
          <w:rFonts w:cs="Times New Roman"/>
        </w:rPr>
        <w:t>可行性研究报告的</w:t>
      </w:r>
      <w:r>
        <w:rPr>
          <w:rFonts w:hint="eastAsia" w:cs="Times New Roman"/>
        </w:rPr>
        <w:t>意见</w:t>
      </w:r>
      <w:r>
        <w:rPr>
          <w:rFonts w:cs="Times New Roman"/>
        </w:rPr>
        <w:t xml:space="preserve">》 </w:t>
      </w:r>
      <w:r>
        <w:rPr>
          <w:rFonts w:hint="eastAsia" w:cs="Times New Roman"/>
        </w:rPr>
        <w:t>谢</w:t>
      </w:r>
      <w:r>
        <w:rPr>
          <w:rFonts w:cs="Times New Roman"/>
        </w:rPr>
        <w:t>发改〔202</w:t>
      </w:r>
      <w:r>
        <w:rPr>
          <w:rFonts w:hint="eastAsia" w:cs="Times New Roman"/>
        </w:rPr>
        <w:t>3</w:t>
      </w:r>
      <w:r>
        <w:rPr>
          <w:rFonts w:cs="Times New Roman"/>
        </w:rPr>
        <w:t>〕</w:t>
      </w:r>
      <w:r>
        <w:rPr>
          <w:rFonts w:hint="eastAsia" w:cs="Times New Roman"/>
        </w:rPr>
        <w:t>11</w:t>
      </w:r>
      <w:r>
        <w:rPr>
          <w:rFonts w:cs="Times New Roman"/>
        </w:rPr>
        <w:t>0号；</w:t>
      </w:r>
    </w:p>
    <w:p w14:paraId="57EA2CD0">
      <w:pPr>
        <w:rPr>
          <w:rFonts w:cs="Times New Roman"/>
        </w:rPr>
      </w:pPr>
      <w:r>
        <w:rPr>
          <w:rFonts w:cs="Times New Roman"/>
        </w:rPr>
        <w:t>附件</w:t>
      </w:r>
      <w:r>
        <w:rPr>
          <w:rFonts w:hint="eastAsia" w:cs="Times New Roman"/>
        </w:rPr>
        <w:t>3</w:t>
      </w:r>
      <w:r>
        <w:rPr>
          <w:rFonts w:cs="Times New Roman"/>
        </w:rPr>
        <w:t xml:space="preserve"> </w:t>
      </w:r>
      <w:r>
        <w:rPr>
          <w:rFonts w:hint="eastAsia" w:cs="Times New Roman"/>
        </w:rPr>
        <w:t>淮南市谢家集区</w:t>
      </w:r>
      <w:r>
        <w:rPr>
          <w:rFonts w:cs="Times New Roman"/>
        </w:rPr>
        <w:t>发展和改革委员会《关于</w:t>
      </w:r>
      <w:r>
        <w:rPr>
          <w:rFonts w:hint="eastAsia" w:cs="Times New Roman"/>
        </w:rPr>
        <w:t>淮南市谢家集区朱集中型灌区续建配套与节水改造项目建议书</w:t>
      </w:r>
      <w:r>
        <w:rPr>
          <w:rFonts w:cs="Times New Roman"/>
        </w:rPr>
        <w:t xml:space="preserve">的批复》 </w:t>
      </w:r>
      <w:r>
        <w:rPr>
          <w:rFonts w:hint="eastAsia" w:cs="Times New Roman"/>
        </w:rPr>
        <w:t>谢</w:t>
      </w:r>
      <w:r>
        <w:rPr>
          <w:rFonts w:cs="Times New Roman"/>
        </w:rPr>
        <w:t>发改〔2023〕1</w:t>
      </w:r>
      <w:r>
        <w:rPr>
          <w:rFonts w:hint="eastAsia" w:cs="Times New Roman"/>
        </w:rPr>
        <w:t>05</w:t>
      </w:r>
      <w:r>
        <w:rPr>
          <w:rFonts w:cs="Times New Roman"/>
        </w:rPr>
        <w:t>号；</w:t>
      </w:r>
    </w:p>
    <w:p w14:paraId="40CF5148">
      <w:pPr>
        <w:rPr>
          <w:rFonts w:cs="Times New Roman"/>
        </w:rPr>
      </w:pPr>
      <w:r>
        <w:rPr>
          <w:rFonts w:cs="Times New Roman"/>
        </w:rPr>
        <w:t>附件</w:t>
      </w:r>
      <w:r>
        <w:rPr>
          <w:rFonts w:hint="eastAsia" w:cs="Times New Roman"/>
        </w:rPr>
        <w:t>4</w:t>
      </w:r>
      <w:r>
        <w:rPr>
          <w:rFonts w:cs="Times New Roman"/>
        </w:rPr>
        <w:t xml:space="preserve"> </w:t>
      </w:r>
      <w:r>
        <w:rPr>
          <w:rFonts w:hint="eastAsia" w:cs="Times New Roman"/>
        </w:rPr>
        <w:t>淮南市水利局</w:t>
      </w:r>
      <w:r>
        <w:rPr>
          <w:rFonts w:cs="Times New Roman"/>
        </w:rPr>
        <w:t>《</w:t>
      </w:r>
      <w:r>
        <w:rPr>
          <w:rFonts w:hint="eastAsia" w:cs="Times New Roman"/>
        </w:rPr>
        <w:t>关于淮南市谢家集区朱集灌区续建配套与现代化改造项目实施方案的皮肤</w:t>
      </w:r>
      <w:r>
        <w:rPr>
          <w:rFonts w:cs="Times New Roman"/>
        </w:rPr>
        <w:t>》</w:t>
      </w:r>
      <w:r>
        <w:rPr>
          <w:rFonts w:hint="eastAsia" w:cs="Times New Roman"/>
        </w:rPr>
        <w:t>淮水农</w:t>
      </w:r>
      <w:r>
        <w:rPr>
          <w:rFonts w:cs="Times New Roman"/>
        </w:rPr>
        <w:t>〔</w:t>
      </w:r>
      <w:r>
        <w:rPr>
          <w:rFonts w:hint="eastAsia" w:cs="Times New Roman"/>
        </w:rPr>
        <w:t>2024</w:t>
      </w:r>
      <w:r>
        <w:rPr>
          <w:rFonts w:cs="Times New Roman"/>
        </w:rPr>
        <w:t>〕</w:t>
      </w:r>
      <w:r>
        <w:rPr>
          <w:rFonts w:hint="eastAsia" w:cs="Times New Roman"/>
        </w:rPr>
        <w:t>23</w:t>
      </w:r>
      <w:r>
        <w:rPr>
          <w:rFonts w:cs="Times New Roman"/>
        </w:rPr>
        <w:t>号；</w:t>
      </w:r>
    </w:p>
    <w:p w14:paraId="73BEB84E">
      <w:pPr>
        <w:rPr>
          <w:rFonts w:cs="Times New Roman"/>
        </w:rPr>
      </w:pPr>
      <w:r>
        <w:rPr>
          <w:rFonts w:hint="eastAsia" w:cs="Times New Roman"/>
        </w:rPr>
        <w:t xml:space="preserve">附件5 </w:t>
      </w:r>
      <w:r>
        <w:rPr>
          <w:rFonts w:cs="Times New Roman"/>
        </w:rPr>
        <w:t>现状监测报告</w:t>
      </w:r>
      <w:r>
        <w:rPr>
          <w:rFonts w:hint="eastAsia" w:cs="Times New Roman"/>
        </w:rPr>
        <w:t>；</w:t>
      </w:r>
    </w:p>
    <w:p w14:paraId="7B3103F4">
      <w:pPr>
        <w:rPr>
          <w:rFonts w:cs="Times New Roman"/>
        </w:rPr>
      </w:pPr>
      <w:r>
        <w:rPr>
          <w:rFonts w:hint="eastAsia" w:cs="Times New Roman"/>
        </w:rPr>
        <w:t>附件6 建设项目环境影响报告书审批基础信息表。</w:t>
      </w:r>
    </w:p>
    <w:p w14:paraId="6BC70832">
      <w:pPr>
        <w:rPr>
          <w:rFonts w:cs="Times New Roman"/>
          <w:b/>
          <w:bCs/>
          <w:color w:val="0000FF"/>
          <w:sz w:val="32"/>
          <w:szCs w:val="32"/>
        </w:rPr>
      </w:pPr>
    </w:p>
    <w:p w14:paraId="4038D47B">
      <w:pPr>
        <w:ind w:firstLine="643"/>
        <w:rPr>
          <w:rFonts w:cs="Times New Roman"/>
          <w:b/>
          <w:bCs/>
          <w:color w:val="0000FF"/>
          <w:sz w:val="32"/>
          <w:szCs w:val="32"/>
        </w:rPr>
        <w:sectPr>
          <w:footerReference r:id="rId11" w:type="default"/>
          <w:type w:val="nextColumn"/>
          <w:pgSz w:w="11905" w:h="16838"/>
          <w:pgMar w:top="1417" w:right="1417" w:bottom="1417" w:left="1417" w:header="850" w:footer="850" w:gutter="0"/>
          <w:pgNumType w:fmt="upperRoman" w:start="1"/>
          <w:cols w:space="0" w:num="1"/>
          <w:rtlGutter w:val="0"/>
          <w:docGrid w:linePitch="312" w:charSpace="0"/>
        </w:sectPr>
      </w:pPr>
    </w:p>
    <w:p w14:paraId="36E85E9E">
      <w:pPr>
        <w:pStyle w:val="2"/>
        <w:bidi w:val="0"/>
      </w:pPr>
      <w:bookmarkStart w:id="6" w:name="_Toc589"/>
      <w:bookmarkStart w:id="7" w:name="_Toc26217"/>
      <w:r>
        <w:t xml:space="preserve">概 </w:t>
      </w:r>
      <w:r>
        <w:rPr>
          <w:rFonts w:hint="eastAsia"/>
          <w:lang w:val="en-US" w:eastAsia="zh-CN"/>
        </w:rPr>
        <w:t xml:space="preserve"> </w:t>
      </w:r>
      <w:r>
        <w:t>述</w:t>
      </w:r>
      <w:bookmarkEnd w:id="6"/>
      <w:bookmarkEnd w:id="7"/>
    </w:p>
    <w:p w14:paraId="0EE6142E">
      <w:pPr>
        <w:pStyle w:val="3"/>
        <w:bidi w:val="0"/>
      </w:pPr>
      <w:bookmarkStart w:id="8" w:name="_Toc28407"/>
      <w:r>
        <w:t>一、项目由来</w:t>
      </w:r>
      <w:bookmarkEnd w:id="8"/>
    </w:p>
    <w:p w14:paraId="5800A590">
      <w:pPr>
        <w:ind w:firstLine="480"/>
        <w:rPr>
          <w:rFonts w:cs="Times New Roman"/>
        </w:rPr>
      </w:pPr>
      <w:r>
        <w:rPr>
          <w:rFonts w:hint="eastAsia" w:cs="Times New Roman"/>
        </w:rPr>
        <w:t>灌区是保障国家粮食安全的重要基础。党中央、国务院历来高度重视灌区建设发展，1998年以来，国家投入大量资金开展大型灌区续建配套与现代化改造，灌区病险、“卡脖子”及骨干渠段严重渗漏等突出问题得到有效解决，大幅提升了农业综合生产能力，提高了灌溉水利用效率和效益。但由于灌区早期建设标准低、运行时间久、历史欠账多，同时受水土资源变化、水资源供需矛盾加剧等因素影响，部分灌区在工程设施、用水管理、可持续发展等方面还存在一些突出短板，难以适应实施乡村振兴战略、保障国家粮食安全、发展现代农业的需要。按照近年来中央一号文件及《乡村振兴战略规划》的有关要求，为做好“十四五”灌区续建配套与现代化改造实施方案编制工作。</w:t>
      </w:r>
    </w:p>
    <w:p w14:paraId="48288712">
      <w:pPr>
        <w:ind w:firstLine="480"/>
        <w:rPr>
          <w:rFonts w:cs="Times New Roman"/>
        </w:rPr>
      </w:pPr>
      <w:r>
        <w:rPr>
          <w:rFonts w:cs="Times New Roman"/>
        </w:rPr>
        <w:t>2020年，水利部和国家发展改革委联合印发了《关于开展大型灌区续建配套与现代化改造实施方案编制工作的通知》（办农水〔2020〕56号），全面部署“十四五”大型灌区续建配套与现代化改造工作。通知要求积极践行新时代治水思路，落实水利改革发展总基调，以保障灌区供水安全、粮食安全、生态安全为主要目标，按照“抓关键、除隐患、促节水、补短板、提能力、强监管”的要求，以完善灌区工程设施体系和管理体系作为现代化改造的基础，以现代信息技术应用、智慧灌区建设作为提高管理能力和服务水平的手段，以提升灌溉排水保证率作为现代化改造的重点，着力建设“节水高效、设施完善、管理科学、生态良好”的现代化灌区，为现代农业发展和乡村振兴提供水利支持和保障。</w:t>
      </w:r>
    </w:p>
    <w:p w14:paraId="427B5AC2">
      <w:pPr>
        <w:ind w:firstLine="480"/>
        <w:rPr>
          <w:rFonts w:cs="Times New Roman"/>
        </w:rPr>
      </w:pPr>
      <w:r>
        <w:rPr>
          <w:rFonts w:hint="eastAsia" w:cs="Times New Roman"/>
        </w:rPr>
        <w:t>《淮南市水利发展“十四五”规划》提出：在完成“十三五”规划的既定目标任务的同时，必须清醒的认识到，我市水利基础还比较薄弱，与水利行业自身管理要求和实现水利现代化的要求还有较大差距，还面临新挑战。如新老水问题交织并行将在一定范围内长期存在，还要进一步加快完善现代化的水利基础设施网络，补齐补强水利薄弱环节短板，大力增强水旱灾害防御能力，全面提升水生态文明建设水平，着力构建现代化水治理制度体系，全力推进水利高质量发展。其中，水资源配置与经济社会发展还不适应，</w:t>
      </w:r>
      <w:r>
        <w:rPr>
          <w:rFonts w:cs="Times New Roman"/>
        </w:rPr>
        <w:t>一是蓄水、调水、引水等水资源配置工程体系仍不完善，水资源调度手段能力不足，水资源配置和保障水平不高；二是农业水利基础设施较为薄弱，大中型灌区续建配套和节水改造还需加快建设；三是城乡供水保障能力不足，水资源应急备用能力尚不能满足需要，水资源安全保障达标建设亟待加强，农村饮水安全保障程度不高。</w:t>
      </w:r>
    </w:p>
    <w:p w14:paraId="0AA8FBAA">
      <w:pPr>
        <w:ind w:firstLine="480"/>
        <w:rPr>
          <w:rFonts w:cs="Times New Roman"/>
        </w:rPr>
      </w:pPr>
      <w:r>
        <w:rPr>
          <w:rFonts w:cs="Times New Roman"/>
        </w:rPr>
        <w:t>围绕“水利工程补短板，水利行业强监管”水利改革发展总基调，为了实现</w:t>
      </w:r>
      <w:r>
        <w:rPr>
          <w:rFonts w:hint="eastAsia" w:cs="Times New Roman"/>
        </w:rPr>
        <w:t>淮南市</w:t>
      </w:r>
      <w:r>
        <w:rPr>
          <w:rFonts w:cs="Times New Roman"/>
        </w:rPr>
        <w:t>灌区续建配套与现代化改造的总体目标，必须以完善灌区工程设施体系作为现代化改造的基础，重点解决影响灌区运行安全和整体效益发挥的“卡脖子”工程，尽快补齐灌区工程“短板”。</w:t>
      </w:r>
    </w:p>
    <w:p w14:paraId="00B97A1D">
      <w:pPr>
        <w:ind w:firstLine="480"/>
        <w:rPr>
          <w:rFonts w:cs="Times New Roman"/>
        </w:rPr>
      </w:pPr>
      <w:r>
        <w:rPr>
          <w:rFonts w:cs="Times New Roman"/>
        </w:rPr>
        <w:t>本次朱集灌区范围涉及杨公镇、曹庵镇、孙庙乡、三和乡和孤堆回族乡5个乡镇，55个行政村。灌区范围为20.29万亩，设计灌溉面积11.80万亩。灌区主要依靠朱集一站（总装机2400KW，总设计流量为10.7m</w:t>
      </w:r>
      <w:r>
        <w:rPr>
          <w:rFonts w:cs="Times New Roman"/>
          <w:vertAlign w:val="superscript"/>
        </w:rPr>
        <w:t>3</w:t>
      </w:r>
      <w:r>
        <w:rPr>
          <w:rFonts w:cs="Times New Roman"/>
        </w:rPr>
        <w:t>/s）、柯湖电灌站（设计流量为0.83m</w:t>
      </w:r>
      <w:r>
        <w:rPr>
          <w:rFonts w:cs="Times New Roman"/>
          <w:vertAlign w:val="superscript"/>
        </w:rPr>
        <w:t>3</w:t>
      </w:r>
      <w:r>
        <w:rPr>
          <w:rFonts w:cs="Times New Roman"/>
        </w:rPr>
        <w:t>/s）、老岗电灌站（设计流量为1.24m</w:t>
      </w:r>
      <w:r>
        <w:rPr>
          <w:rFonts w:cs="Times New Roman"/>
          <w:vertAlign w:val="superscript"/>
        </w:rPr>
        <w:t>3</w:t>
      </w:r>
      <w:r>
        <w:rPr>
          <w:rFonts w:cs="Times New Roman"/>
        </w:rPr>
        <w:t>/s）、刘郢电灌站（设计流量为0.28m</w:t>
      </w:r>
      <w:r>
        <w:rPr>
          <w:rFonts w:cs="Times New Roman"/>
          <w:vertAlign w:val="superscript"/>
        </w:rPr>
        <w:t>3</w:t>
      </w:r>
      <w:r>
        <w:rPr>
          <w:rFonts w:cs="Times New Roman"/>
        </w:rPr>
        <w:t>/s）、王集电灌站（设计流量为0.56m</w:t>
      </w:r>
      <w:r>
        <w:rPr>
          <w:rFonts w:cs="Times New Roman"/>
          <w:vertAlign w:val="superscript"/>
        </w:rPr>
        <w:t>3</w:t>
      </w:r>
      <w:r>
        <w:rPr>
          <w:rFonts w:cs="Times New Roman"/>
        </w:rPr>
        <w:t>/s）、新庄电灌站（设计流量为0.42m</w:t>
      </w:r>
      <w:r>
        <w:rPr>
          <w:rFonts w:cs="Times New Roman"/>
          <w:vertAlign w:val="superscript"/>
        </w:rPr>
        <w:t>3</w:t>
      </w:r>
      <w:r>
        <w:rPr>
          <w:rFonts w:cs="Times New Roman"/>
        </w:rPr>
        <w:t>/s）和徐庙电灌站（设计流量为1.2m</w:t>
      </w:r>
      <w:r>
        <w:rPr>
          <w:rFonts w:cs="Times New Roman"/>
          <w:vertAlign w:val="superscript"/>
        </w:rPr>
        <w:t>3</w:t>
      </w:r>
      <w:r>
        <w:rPr>
          <w:rFonts w:cs="Times New Roman"/>
        </w:rPr>
        <w:t>/s）提取瓦埠湖水进行灌溉提取瓦埠湖水灌溉；朱集二站（总装机1420KW，总设计流量为8m</w:t>
      </w:r>
      <w:r>
        <w:rPr>
          <w:rFonts w:cs="Times New Roman"/>
          <w:vertAlign w:val="superscript"/>
        </w:rPr>
        <w:t>3</w:t>
      </w:r>
      <w:r>
        <w:rPr>
          <w:rFonts w:cs="Times New Roman"/>
        </w:rPr>
        <w:t>/s）提取二引干渠水灌溉；横塘三站（总装机440KW，总设计流量为2.1m</w:t>
      </w:r>
      <w:r>
        <w:rPr>
          <w:rFonts w:cs="Times New Roman"/>
          <w:vertAlign w:val="superscript"/>
        </w:rPr>
        <w:t>3</w:t>
      </w:r>
      <w:r>
        <w:rPr>
          <w:rFonts w:cs="Times New Roman"/>
        </w:rPr>
        <w:t>/s）提取二东干渠水灌溉；杨公三站（总装机330KW，总设计流量为1.8m</w:t>
      </w:r>
      <w:r>
        <w:rPr>
          <w:rFonts w:cs="Times New Roman"/>
          <w:vertAlign w:val="superscript"/>
        </w:rPr>
        <w:t>3</w:t>
      </w:r>
      <w:r>
        <w:rPr>
          <w:rFonts w:cs="Times New Roman"/>
        </w:rPr>
        <w:t>/s）提取二北干渠水灌溉。</w:t>
      </w:r>
    </w:p>
    <w:p w14:paraId="0CA69CF0">
      <w:pPr>
        <w:ind w:firstLine="560"/>
        <w:rPr>
          <w:rFonts w:cs="Times New Roman"/>
        </w:rPr>
      </w:pPr>
      <w:r>
        <w:rPr>
          <w:rFonts w:hint="eastAsia" w:cs="Times New Roman"/>
        </w:rPr>
        <w:t>朱集灌区工程主要建设内容：骨干输配水工程49.395km（衬砌37085m和清淤12310m）；骨干渠（沟）系建筑物及配套设施137座；用水量测工程（泵站监测点10座、干渠渠道监测点9座和放水涵闸监测点67座）；信息化工程（灌区信息化平台建设1套）。</w:t>
      </w:r>
    </w:p>
    <w:p w14:paraId="7C068E32">
      <w:pPr>
        <w:bidi w:val="0"/>
      </w:pPr>
      <w:r>
        <w:rPr>
          <w:rFonts w:hint="eastAsia"/>
        </w:rPr>
        <w:t>本项目《</w:t>
      </w:r>
      <w:r>
        <w:t>淮南市谢家集区朱集中型灌区续建配套与节水改造项目</w:t>
      </w:r>
      <w:r>
        <w:rPr>
          <w:rFonts w:hint="eastAsia"/>
        </w:rPr>
        <w:t>立项建议报告》已于2023年11月01日经淮南市潘家集区发展和改革委员会批复（谢发改[2023]105号），项目代码为：2311-340404-04-01-639609</w:t>
      </w:r>
      <w:r>
        <w:t>。</w:t>
      </w:r>
      <w:bookmarkStart w:id="103" w:name="_GoBack"/>
      <w:bookmarkEnd w:id="103"/>
    </w:p>
    <w:p w14:paraId="3C8C53FC">
      <w:pPr>
        <w:ind w:firstLine="480"/>
        <w:rPr>
          <w:rFonts w:cs="Times New Roman"/>
        </w:rPr>
      </w:pPr>
      <w:r>
        <w:rPr>
          <w:rFonts w:hint="eastAsia" w:cs="Times New Roman"/>
        </w:rPr>
        <w:t>工程名称以及工程内容情况详见表1-1。</w:t>
      </w:r>
    </w:p>
    <w:p w14:paraId="1191475F">
      <w:pPr>
        <w:pStyle w:val="29"/>
        <w:bidi w:val="0"/>
        <w:rPr>
          <w:rFonts w:hint="default"/>
        </w:rPr>
      </w:pPr>
      <w:r>
        <w:rPr>
          <w:rFonts w:hint="default"/>
        </w:rPr>
        <w:t>表1-1  淮南市朱集灌区工程建设内容统计表</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6"/>
        <w:gridCol w:w="962"/>
        <w:gridCol w:w="964"/>
        <w:gridCol w:w="639"/>
        <w:gridCol w:w="639"/>
        <w:gridCol w:w="639"/>
        <w:gridCol w:w="638"/>
        <w:gridCol w:w="638"/>
        <w:gridCol w:w="638"/>
        <w:gridCol w:w="638"/>
        <w:gridCol w:w="846"/>
        <w:gridCol w:w="846"/>
      </w:tblGrid>
      <w:tr w14:paraId="7E5E2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Merge w:val="restart"/>
            <w:vAlign w:val="center"/>
          </w:tcPr>
          <w:p w14:paraId="3FC9DE25">
            <w:pPr>
              <w:pStyle w:val="28"/>
              <w:bidi w:val="0"/>
              <w:rPr>
                <w:rFonts w:hint="default"/>
              </w:rPr>
            </w:pPr>
            <w:r>
              <w:rPr>
                <w:rFonts w:hint="default"/>
              </w:rPr>
              <w:t>灌区名称</w:t>
            </w:r>
          </w:p>
        </w:tc>
        <w:tc>
          <w:tcPr>
            <w:tcW w:w="1059" w:type="pct"/>
            <w:gridSpan w:val="2"/>
            <w:vAlign w:val="center"/>
          </w:tcPr>
          <w:p w14:paraId="1699919E">
            <w:pPr>
              <w:pStyle w:val="28"/>
              <w:bidi w:val="0"/>
              <w:rPr>
                <w:rFonts w:hint="default"/>
              </w:rPr>
            </w:pPr>
            <w:r>
              <w:rPr>
                <w:rFonts w:hint="default"/>
              </w:rPr>
              <w:t>骨干输配水工程（m）</w:t>
            </w:r>
          </w:p>
        </w:tc>
        <w:tc>
          <w:tcPr>
            <w:tcW w:w="2848" w:type="pct"/>
            <w:gridSpan w:val="8"/>
            <w:vAlign w:val="center"/>
          </w:tcPr>
          <w:p w14:paraId="4C967B8B">
            <w:pPr>
              <w:pStyle w:val="28"/>
              <w:bidi w:val="0"/>
              <w:rPr>
                <w:rFonts w:hint="default"/>
              </w:rPr>
            </w:pPr>
            <w:r>
              <w:rPr>
                <w:rFonts w:hint="default"/>
              </w:rPr>
              <w:t>骨干渠（沟）系建筑物及配套设施</w:t>
            </w:r>
          </w:p>
        </w:tc>
        <w:tc>
          <w:tcPr>
            <w:tcW w:w="435" w:type="pct"/>
            <w:vMerge w:val="restart"/>
            <w:vAlign w:val="center"/>
          </w:tcPr>
          <w:p w14:paraId="0FE99524">
            <w:pPr>
              <w:pStyle w:val="28"/>
              <w:bidi w:val="0"/>
              <w:rPr>
                <w:rFonts w:hint="default"/>
              </w:rPr>
            </w:pPr>
            <w:r>
              <w:rPr>
                <w:rFonts w:hint="default"/>
              </w:rPr>
              <w:t>用水量测及信息化（项）</w:t>
            </w:r>
          </w:p>
        </w:tc>
      </w:tr>
      <w:tr w14:paraId="2A0A8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Merge w:val="continue"/>
            <w:vAlign w:val="center"/>
          </w:tcPr>
          <w:p w14:paraId="19F0420A">
            <w:pPr>
              <w:pStyle w:val="28"/>
              <w:bidi w:val="0"/>
              <w:rPr>
                <w:rFonts w:hint="default"/>
              </w:rPr>
            </w:pPr>
          </w:p>
        </w:tc>
        <w:tc>
          <w:tcPr>
            <w:tcW w:w="529" w:type="pct"/>
            <w:vAlign w:val="center"/>
          </w:tcPr>
          <w:p w14:paraId="21292165">
            <w:pPr>
              <w:pStyle w:val="28"/>
              <w:bidi w:val="0"/>
              <w:rPr>
                <w:rFonts w:hint="default"/>
              </w:rPr>
            </w:pPr>
            <w:r>
              <w:rPr>
                <w:rFonts w:hint="default"/>
              </w:rPr>
              <w:t>衬砌</w:t>
            </w:r>
          </w:p>
        </w:tc>
        <w:tc>
          <w:tcPr>
            <w:tcW w:w="530" w:type="pct"/>
            <w:vAlign w:val="center"/>
          </w:tcPr>
          <w:p w14:paraId="16846241">
            <w:pPr>
              <w:pStyle w:val="28"/>
              <w:bidi w:val="0"/>
              <w:rPr>
                <w:rFonts w:hint="default"/>
              </w:rPr>
            </w:pPr>
            <w:r>
              <w:rPr>
                <w:rFonts w:hint="default"/>
              </w:rPr>
              <w:t>清淤</w:t>
            </w:r>
          </w:p>
        </w:tc>
        <w:tc>
          <w:tcPr>
            <w:tcW w:w="355" w:type="pct"/>
            <w:vAlign w:val="center"/>
          </w:tcPr>
          <w:p w14:paraId="66312095">
            <w:pPr>
              <w:pStyle w:val="28"/>
              <w:bidi w:val="0"/>
              <w:rPr>
                <w:rFonts w:hint="default"/>
              </w:rPr>
            </w:pPr>
            <w:r>
              <w:rPr>
                <w:rFonts w:hint="default"/>
              </w:rPr>
              <w:t>节制闸</w:t>
            </w:r>
          </w:p>
        </w:tc>
        <w:tc>
          <w:tcPr>
            <w:tcW w:w="355" w:type="pct"/>
            <w:vAlign w:val="center"/>
          </w:tcPr>
          <w:p w14:paraId="51401CFB">
            <w:pPr>
              <w:pStyle w:val="28"/>
              <w:bidi w:val="0"/>
              <w:rPr>
                <w:rFonts w:hint="default"/>
              </w:rPr>
            </w:pPr>
            <w:r>
              <w:rPr>
                <w:rFonts w:hint="default"/>
              </w:rPr>
              <w:t>分水闸</w:t>
            </w:r>
          </w:p>
        </w:tc>
        <w:tc>
          <w:tcPr>
            <w:tcW w:w="355" w:type="pct"/>
            <w:vAlign w:val="center"/>
          </w:tcPr>
          <w:p w14:paraId="2ACABDEB">
            <w:pPr>
              <w:pStyle w:val="28"/>
              <w:bidi w:val="0"/>
              <w:rPr>
                <w:rFonts w:hint="default"/>
              </w:rPr>
            </w:pPr>
            <w:r>
              <w:rPr>
                <w:rFonts w:hint="default"/>
              </w:rPr>
              <w:t>放水涵闸</w:t>
            </w:r>
          </w:p>
        </w:tc>
        <w:tc>
          <w:tcPr>
            <w:tcW w:w="354" w:type="pct"/>
            <w:vAlign w:val="center"/>
          </w:tcPr>
          <w:p w14:paraId="71FA42BA">
            <w:pPr>
              <w:pStyle w:val="28"/>
              <w:bidi w:val="0"/>
              <w:rPr>
                <w:rFonts w:hint="default"/>
              </w:rPr>
            </w:pPr>
            <w:r>
              <w:rPr>
                <w:rFonts w:hint="default"/>
              </w:rPr>
              <w:t>机耕桥</w:t>
            </w:r>
          </w:p>
        </w:tc>
        <w:tc>
          <w:tcPr>
            <w:tcW w:w="354" w:type="pct"/>
            <w:vAlign w:val="center"/>
          </w:tcPr>
          <w:p w14:paraId="08322B90">
            <w:pPr>
              <w:pStyle w:val="28"/>
              <w:bidi w:val="0"/>
              <w:rPr>
                <w:rFonts w:hint="default"/>
              </w:rPr>
            </w:pPr>
            <w:r>
              <w:rPr>
                <w:rFonts w:hint="default"/>
              </w:rPr>
              <w:t>渡槽</w:t>
            </w:r>
          </w:p>
        </w:tc>
        <w:tc>
          <w:tcPr>
            <w:tcW w:w="354" w:type="pct"/>
            <w:vAlign w:val="center"/>
          </w:tcPr>
          <w:p w14:paraId="2F743003">
            <w:pPr>
              <w:pStyle w:val="28"/>
              <w:bidi w:val="0"/>
              <w:rPr>
                <w:rFonts w:hint="default"/>
              </w:rPr>
            </w:pPr>
            <w:r>
              <w:rPr>
                <w:rFonts w:hint="default"/>
              </w:rPr>
              <w:t>箱涵</w:t>
            </w:r>
          </w:p>
        </w:tc>
        <w:tc>
          <w:tcPr>
            <w:tcW w:w="354" w:type="pct"/>
            <w:vAlign w:val="center"/>
          </w:tcPr>
          <w:p w14:paraId="026F1FA4">
            <w:pPr>
              <w:pStyle w:val="28"/>
              <w:bidi w:val="0"/>
              <w:rPr>
                <w:rFonts w:hint="default"/>
              </w:rPr>
            </w:pPr>
            <w:r>
              <w:rPr>
                <w:rFonts w:hint="default"/>
              </w:rPr>
              <w:t>管理区工程</w:t>
            </w:r>
          </w:p>
        </w:tc>
        <w:tc>
          <w:tcPr>
            <w:tcW w:w="364" w:type="pct"/>
            <w:vAlign w:val="center"/>
          </w:tcPr>
          <w:p w14:paraId="25B5D1D3">
            <w:pPr>
              <w:pStyle w:val="28"/>
              <w:bidi w:val="0"/>
              <w:rPr>
                <w:rFonts w:hint="default"/>
              </w:rPr>
            </w:pPr>
            <w:r>
              <w:rPr>
                <w:rFonts w:hint="default"/>
              </w:rPr>
              <w:t>合计（座）</w:t>
            </w:r>
          </w:p>
        </w:tc>
        <w:tc>
          <w:tcPr>
            <w:tcW w:w="435" w:type="pct"/>
            <w:vMerge w:val="continue"/>
            <w:vAlign w:val="center"/>
          </w:tcPr>
          <w:p w14:paraId="78597346">
            <w:pPr>
              <w:pStyle w:val="28"/>
              <w:bidi w:val="0"/>
              <w:rPr>
                <w:rFonts w:hint="default"/>
              </w:rPr>
            </w:pPr>
          </w:p>
        </w:tc>
      </w:tr>
      <w:tr w14:paraId="035D71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3ED5BDE1">
            <w:pPr>
              <w:pStyle w:val="28"/>
              <w:bidi w:val="0"/>
              <w:rPr>
                <w:rFonts w:hint="default"/>
              </w:rPr>
            </w:pPr>
            <w:r>
              <w:rPr>
                <w:rFonts w:hint="default"/>
              </w:rPr>
              <w:t>朱集灌区</w:t>
            </w:r>
          </w:p>
        </w:tc>
        <w:tc>
          <w:tcPr>
            <w:tcW w:w="529" w:type="pct"/>
            <w:vAlign w:val="center"/>
          </w:tcPr>
          <w:p w14:paraId="7CB19882">
            <w:pPr>
              <w:pStyle w:val="28"/>
              <w:bidi w:val="0"/>
              <w:rPr>
                <w:rFonts w:hint="default"/>
              </w:rPr>
            </w:pPr>
            <w:r>
              <w:rPr>
                <w:rFonts w:hint="default"/>
              </w:rPr>
              <w:t>37085</w:t>
            </w:r>
          </w:p>
        </w:tc>
        <w:tc>
          <w:tcPr>
            <w:tcW w:w="530" w:type="pct"/>
            <w:vAlign w:val="center"/>
          </w:tcPr>
          <w:p w14:paraId="432A7746">
            <w:pPr>
              <w:pStyle w:val="28"/>
              <w:bidi w:val="0"/>
              <w:rPr>
                <w:rFonts w:hint="default"/>
              </w:rPr>
            </w:pPr>
            <w:r>
              <w:rPr>
                <w:rFonts w:hint="default"/>
              </w:rPr>
              <w:t>12310</w:t>
            </w:r>
          </w:p>
        </w:tc>
        <w:tc>
          <w:tcPr>
            <w:tcW w:w="355" w:type="pct"/>
            <w:vAlign w:val="center"/>
          </w:tcPr>
          <w:p w14:paraId="2C90BF26">
            <w:pPr>
              <w:pStyle w:val="28"/>
              <w:bidi w:val="0"/>
              <w:rPr>
                <w:rFonts w:hint="default"/>
              </w:rPr>
            </w:pPr>
            <w:r>
              <w:rPr>
                <w:rFonts w:hint="default"/>
              </w:rPr>
              <w:t>7</w:t>
            </w:r>
          </w:p>
        </w:tc>
        <w:tc>
          <w:tcPr>
            <w:tcW w:w="355" w:type="pct"/>
            <w:vAlign w:val="center"/>
          </w:tcPr>
          <w:p w14:paraId="1791EC18">
            <w:pPr>
              <w:pStyle w:val="28"/>
              <w:bidi w:val="0"/>
              <w:rPr>
                <w:rFonts w:hint="default"/>
              </w:rPr>
            </w:pPr>
            <w:r>
              <w:rPr>
                <w:rFonts w:hint="default"/>
              </w:rPr>
              <w:t>6</w:t>
            </w:r>
          </w:p>
        </w:tc>
        <w:tc>
          <w:tcPr>
            <w:tcW w:w="355" w:type="pct"/>
            <w:vAlign w:val="center"/>
          </w:tcPr>
          <w:p w14:paraId="6ADDBC3E">
            <w:pPr>
              <w:pStyle w:val="28"/>
              <w:bidi w:val="0"/>
              <w:rPr>
                <w:rFonts w:hint="default"/>
              </w:rPr>
            </w:pPr>
            <w:r>
              <w:rPr>
                <w:rFonts w:hint="default"/>
              </w:rPr>
              <w:t>104</w:t>
            </w:r>
          </w:p>
        </w:tc>
        <w:tc>
          <w:tcPr>
            <w:tcW w:w="354" w:type="pct"/>
            <w:vAlign w:val="center"/>
          </w:tcPr>
          <w:p w14:paraId="27FC59A7">
            <w:pPr>
              <w:pStyle w:val="28"/>
              <w:bidi w:val="0"/>
              <w:rPr>
                <w:rFonts w:hint="default"/>
              </w:rPr>
            </w:pPr>
            <w:r>
              <w:rPr>
                <w:rFonts w:hint="default"/>
              </w:rPr>
              <w:t>13</w:t>
            </w:r>
          </w:p>
        </w:tc>
        <w:tc>
          <w:tcPr>
            <w:tcW w:w="354" w:type="pct"/>
            <w:vAlign w:val="center"/>
          </w:tcPr>
          <w:p w14:paraId="62FC2471">
            <w:pPr>
              <w:pStyle w:val="28"/>
              <w:bidi w:val="0"/>
              <w:rPr>
                <w:rFonts w:hint="default"/>
              </w:rPr>
            </w:pPr>
            <w:r>
              <w:rPr>
                <w:rFonts w:hint="default"/>
              </w:rPr>
              <w:t>1</w:t>
            </w:r>
          </w:p>
        </w:tc>
        <w:tc>
          <w:tcPr>
            <w:tcW w:w="354" w:type="pct"/>
            <w:vAlign w:val="center"/>
          </w:tcPr>
          <w:p w14:paraId="789DEC8A">
            <w:pPr>
              <w:pStyle w:val="28"/>
              <w:bidi w:val="0"/>
              <w:rPr>
                <w:rFonts w:hint="default"/>
              </w:rPr>
            </w:pPr>
            <w:r>
              <w:rPr>
                <w:rFonts w:hint="default"/>
              </w:rPr>
              <w:t>2</w:t>
            </w:r>
          </w:p>
        </w:tc>
        <w:tc>
          <w:tcPr>
            <w:tcW w:w="354" w:type="pct"/>
            <w:vAlign w:val="center"/>
          </w:tcPr>
          <w:p w14:paraId="20170227">
            <w:pPr>
              <w:pStyle w:val="28"/>
              <w:bidi w:val="0"/>
              <w:rPr>
                <w:rFonts w:hint="default"/>
              </w:rPr>
            </w:pPr>
            <w:r>
              <w:rPr>
                <w:rFonts w:hint="default"/>
              </w:rPr>
              <w:t>4</w:t>
            </w:r>
          </w:p>
        </w:tc>
        <w:tc>
          <w:tcPr>
            <w:tcW w:w="364" w:type="pct"/>
            <w:vAlign w:val="center"/>
          </w:tcPr>
          <w:p w14:paraId="388F03A1">
            <w:pPr>
              <w:pStyle w:val="28"/>
              <w:bidi w:val="0"/>
              <w:rPr>
                <w:rFonts w:hint="default"/>
              </w:rPr>
            </w:pPr>
            <w:r>
              <w:rPr>
                <w:rFonts w:hint="default"/>
              </w:rPr>
              <w:t>137</w:t>
            </w:r>
          </w:p>
        </w:tc>
        <w:tc>
          <w:tcPr>
            <w:tcW w:w="435" w:type="pct"/>
            <w:vAlign w:val="center"/>
          </w:tcPr>
          <w:p w14:paraId="5963A43A">
            <w:pPr>
              <w:pStyle w:val="28"/>
              <w:bidi w:val="0"/>
              <w:rPr>
                <w:rFonts w:hint="default"/>
              </w:rPr>
            </w:pPr>
            <w:r>
              <w:rPr>
                <w:rFonts w:hint="default"/>
              </w:rPr>
              <w:t>1</w:t>
            </w:r>
          </w:p>
        </w:tc>
      </w:tr>
      <w:tr w14:paraId="75D58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794362C2">
            <w:pPr>
              <w:pStyle w:val="28"/>
              <w:bidi w:val="0"/>
              <w:rPr>
                <w:rFonts w:hint="default"/>
              </w:rPr>
            </w:pPr>
            <w:r>
              <w:rPr>
                <w:rFonts w:hint="default"/>
              </w:rPr>
              <w:t>朱集一站引水渠</w:t>
            </w:r>
          </w:p>
        </w:tc>
        <w:tc>
          <w:tcPr>
            <w:tcW w:w="529" w:type="pct"/>
            <w:vAlign w:val="center"/>
          </w:tcPr>
          <w:p w14:paraId="6F505752">
            <w:pPr>
              <w:pStyle w:val="28"/>
              <w:bidi w:val="0"/>
              <w:rPr>
                <w:rFonts w:hint="default"/>
              </w:rPr>
            </w:pPr>
          </w:p>
        </w:tc>
        <w:tc>
          <w:tcPr>
            <w:tcW w:w="530" w:type="pct"/>
            <w:vAlign w:val="center"/>
          </w:tcPr>
          <w:p w14:paraId="532EC509">
            <w:pPr>
              <w:pStyle w:val="28"/>
              <w:bidi w:val="0"/>
              <w:rPr>
                <w:rFonts w:hint="default"/>
              </w:rPr>
            </w:pPr>
            <w:r>
              <w:rPr>
                <w:rFonts w:hint="default"/>
              </w:rPr>
              <w:t>340</w:t>
            </w:r>
          </w:p>
        </w:tc>
        <w:tc>
          <w:tcPr>
            <w:tcW w:w="355" w:type="pct"/>
            <w:vAlign w:val="center"/>
          </w:tcPr>
          <w:p w14:paraId="38251502">
            <w:pPr>
              <w:pStyle w:val="28"/>
              <w:bidi w:val="0"/>
              <w:rPr>
                <w:rFonts w:hint="default"/>
              </w:rPr>
            </w:pPr>
          </w:p>
        </w:tc>
        <w:tc>
          <w:tcPr>
            <w:tcW w:w="355" w:type="pct"/>
            <w:vAlign w:val="center"/>
          </w:tcPr>
          <w:p w14:paraId="301CCE80">
            <w:pPr>
              <w:pStyle w:val="28"/>
              <w:bidi w:val="0"/>
              <w:rPr>
                <w:rFonts w:hint="default"/>
              </w:rPr>
            </w:pPr>
          </w:p>
        </w:tc>
        <w:tc>
          <w:tcPr>
            <w:tcW w:w="355" w:type="pct"/>
            <w:vAlign w:val="center"/>
          </w:tcPr>
          <w:p w14:paraId="1E568D19">
            <w:pPr>
              <w:pStyle w:val="28"/>
              <w:bidi w:val="0"/>
              <w:rPr>
                <w:rFonts w:hint="default"/>
              </w:rPr>
            </w:pPr>
          </w:p>
        </w:tc>
        <w:tc>
          <w:tcPr>
            <w:tcW w:w="354" w:type="pct"/>
            <w:vAlign w:val="center"/>
          </w:tcPr>
          <w:p w14:paraId="13148CD3">
            <w:pPr>
              <w:pStyle w:val="28"/>
              <w:bidi w:val="0"/>
              <w:rPr>
                <w:rFonts w:hint="default"/>
              </w:rPr>
            </w:pPr>
          </w:p>
        </w:tc>
        <w:tc>
          <w:tcPr>
            <w:tcW w:w="354" w:type="pct"/>
            <w:vAlign w:val="center"/>
          </w:tcPr>
          <w:p w14:paraId="7B60D12D">
            <w:pPr>
              <w:pStyle w:val="28"/>
              <w:bidi w:val="0"/>
              <w:rPr>
                <w:rFonts w:hint="default"/>
              </w:rPr>
            </w:pPr>
          </w:p>
        </w:tc>
        <w:tc>
          <w:tcPr>
            <w:tcW w:w="354" w:type="pct"/>
            <w:vAlign w:val="center"/>
          </w:tcPr>
          <w:p w14:paraId="2A9D421E">
            <w:pPr>
              <w:pStyle w:val="28"/>
              <w:bidi w:val="0"/>
              <w:rPr>
                <w:rFonts w:hint="default"/>
              </w:rPr>
            </w:pPr>
          </w:p>
        </w:tc>
        <w:tc>
          <w:tcPr>
            <w:tcW w:w="354" w:type="pct"/>
            <w:vAlign w:val="center"/>
          </w:tcPr>
          <w:p w14:paraId="50C00808">
            <w:pPr>
              <w:pStyle w:val="28"/>
              <w:bidi w:val="0"/>
              <w:rPr>
                <w:rFonts w:hint="default"/>
              </w:rPr>
            </w:pPr>
          </w:p>
        </w:tc>
        <w:tc>
          <w:tcPr>
            <w:tcW w:w="364" w:type="pct"/>
            <w:vAlign w:val="center"/>
          </w:tcPr>
          <w:p w14:paraId="43B0E963">
            <w:pPr>
              <w:pStyle w:val="28"/>
              <w:bidi w:val="0"/>
              <w:rPr>
                <w:rFonts w:hint="default"/>
              </w:rPr>
            </w:pPr>
          </w:p>
        </w:tc>
        <w:tc>
          <w:tcPr>
            <w:tcW w:w="435" w:type="pct"/>
            <w:vAlign w:val="center"/>
          </w:tcPr>
          <w:p w14:paraId="30F9089B">
            <w:pPr>
              <w:pStyle w:val="28"/>
              <w:bidi w:val="0"/>
              <w:rPr>
                <w:rFonts w:hint="default"/>
              </w:rPr>
            </w:pPr>
          </w:p>
        </w:tc>
      </w:tr>
      <w:tr w14:paraId="5F88B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1F66F4D0">
            <w:pPr>
              <w:pStyle w:val="28"/>
              <w:bidi w:val="0"/>
              <w:rPr>
                <w:rFonts w:hint="default"/>
              </w:rPr>
            </w:pPr>
            <w:r>
              <w:rPr>
                <w:rFonts w:hint="default"/>
              </w:rPr>
              <w:t>二引干渠</w:t>
            </w:r>
          </w:p>
        </w:tc>
        <w:tc>
          <w:tcPr>
            <w:tcW w:w="529" w:type="pct"/>
            <w:vAlign w:val="center"/>
          </w:tcPr>
          <w:p w14:paraId="1BBAA399">
            <w:pPr>
              <w:pStyle w:val="28"/>
              <w:bidi w:val="0"/>
              <w:rPr>
                <w:rFonts w:hint="default"/>
              </w:rPr>
            </w:pPr>
            <w:r>
              <w:rPr>
                <w:rFonts w:hint="default"/>
              </w:rPr>
              <w:t>1361</w:t>
            </w:r>
          </w:p>
        </w:tc>
        <w:tc>
          <w:tcPr>
            <w:tcW w:w="530" w:type="pct"/>
            <w:vAlign w:val="center"/>
          </w:tcPr>
          <w:p w14:paraId="58ED8C31">
            <w:pPr>
              <w:pStyle w:val="28"/>
              <w:bidi w:val="0"/>
              <w:rPr>
                <w:rFonts w:hint="default"/>
              </w:rPr>
            </w:pPr>
          </w:p>
        </w:tc>
        <w:tc>
          <w:tcPr>
            <w:tcW w:w="355" w:type="pct"/>
            <w:vAlign w:val="center"/>
          </w:tcPr>
          <w:p w14:paraId="0351F0DF">
            <w:pPr>
              <w:pStyle w:val="28"/>
              <w:bidi w:val="0"/>
              <w:rPr>
                <w:rFonts w:hint="default"/>
              </w:rPr>
            </w:pPr>
          </w:p>
        </w:tc>
        <w:tc>
          <w:tcPr>
            <w:tcW w:w="355" w:type="pct"/>
            <w:vAlign w:val="center"/>
          </w:tcPr>
          <w:p w14:paraId="46EEAB85">
            <w:pPr>
              <w:pStyle w:val="28"/>
              <w:bidi w:val="0"/>
              <w:rPr>
                <w:rFonts w:hint="default"/>
              </w:rPr>
            </w:pPr>
            <w:r>
              <w:rPr>
                <w:rFonts w:hint="default"/>
              </w:rPr>
              <w:t>1</w:t>
            </w:r>
          </w:p>
        </w:tc>
        <w:tc>
          <w:tcPr>
            <w:tcW w:w="355" w:type="pct"/>
            <w:vAlign w:val="center"/>
          </w:tcPr>
          <w:p w14:paraId="58871D82">
            <w:pPr>
              <w:pStyle w:val="28"/>
              <w:bidi w:val="0"/>
              <w:rPr>
                <w:rFonts w:hint="default"/>
              </w:rPr>
            </w:pPr>
            <w:r>
              <w:rPr>
                <w:rFonts w:hint="default"/>
              </w:rPr>
              <w:t>12</w:t>
            </w:r>
          </w:p>
        </w:tc>
        <w:tc>
          <w:tcPr>
            <w:tcW w:w="354" w:type="pct"/>
            <w:vAlign w:val="center"/>
          </w:tcPr>
          <w:p w14:paraId="73BBA783">
            <w:pPr>
              <w:pStyle w:val="28"/>
              <w:bidi w:val="0"/>
              <w:rPr>
                <w:rFonts w:hint="default"/>
              </w:rPr>
            </w:pPr>
          </w:p>
        </w:tc>
        <w:tc>
          <w:tcPr>
            <w:tcW w:w="354" w:type="pct"/>
            <w:vAlign w:val="center"/>
          </w:tcPr>
          <w:p w14:paraId="3ACF1855">
            <w:pPr>
              <w:pStyle w:val="28"/>
              <w:bidi w:val="0"/>
              <w:rPr>
                <w:rFonts w:hint="default"/>
              </w:rPr>
            </w:pPr>
          </w:p>
        </w:tc>
        <w:tc>
          <w:tcPr>
            <w:tcW w:w="354" w:type="pct"/>
            <w:vAlign w:val="center"/>
          </w:tcPr>
          <w:p w14:paraId="53A5CC35">
            <w:pPr>
              <w:pStyle w:val="28"/>
              <w:bidi w:val="0"/>
              <w:rPr>
                <w:rFonts w:hint="default"/>
              </w:rPr>
            </w:pPr>
          </w:p>
        </w:tc>
        <w:tc>
          <w:tcPr>
            <w:tcW w:w="354" w:type="pct"/>
            <w:vAlign w:val="center"/>
          </w:tcPr>
          <w:p w14:paraId="1810A050">
            <w:pPr>
              <w:pStyle w:val="28"/>
              <w:bidi w:val="0"/>
              <w:rPr>
                <w:rFonts w:hint="default"/>
              </w:rPr>
            </w:pPr>
          </w:p>
        </w:tc>
        <w:tc>
          <w:tcPr>
            <w:tcW w:w="364" w:type="pct"/>
            <w:vAlign w:val="center"/>
          </w:tcPr>
          <w:p w14:paraId="17416C25">
            <w:pPr>
              <w:pStyle w:val="28"/>
              <w:bidi w:val="0"/>
              <w:rPr>
                <w:rFonts w:hint="default"/>
              </w:rPr>
            </w:pPr>
            <w:r>
              <w:rPr>
                <w:rFonts w:hint="default"/>
              </w:rPr>
              <w:t>13</w:t>
            </w:r>
          </w:p>
        </w:tc>
        <w:tc>
          <w:tcPr>
            <w:tcW w:w="435" w:type="pct"/>
            <w:vAlign w:val="center"/>
          </w:tcPr>
          <w:p w14:paraId="2185A68C">
            <w:pPr>
              <w:pStyle w:val="28"/>
              <w:bidi w:val="0"/>
              <w:rPr>
                <w:rFonts w:hint="default"/>
              </w:rPr>
            </w:pPr>
          </w:p>
        </w:tc>
      </w:tr>
      <w:tr w14:paraId="1F9CC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0A5538EC">
            <w:pPr>
              <w:pStyle w:val="28"/>
              <w:bidi w:val="0"/>
              <w:rPr>
                <w:rFonts w:hint="default"/>
              </w:rPr>
            </w:pPr>
            <w:r>
              <w:rPr>
                <w:rFonts w:hint="default"/>
              </w:rPr>
              <w:t>一东干渠</w:t>
            </w:r>
          </w:p>
        </w:tc>
        <w:tc>
          <w:tcPr>
            <w:tcW w:w="529" w:type="pct"/>
            <w:vAlign w:val="center"/>
          </w:tcPr>
          <w:p w14:paraId="14FA79CE">
            <w:pPr>
              <w:pStyle w:val="28"/>
              <w:bidi w:val="0"/>
              <w:rPr>
                <w:rFonts w:hint="default"/>
              </w:rPr>
            </w:pPr>
            <w:r>
              <w:rPr>
                <w:rFonts w:hint="default"/>
              </w:rPr>
              <w:t>12988</w:t>
            </w:r>
          </w:p>
        </w:tc>
        <w:tc>
          <w:tcPr>
            <w:tcW w:w="530" w:type="pct"/>
            <w:vAlign w:val="center"/>
          </w:tcPr>
          <w:p w14:paraId="37E7ED74">
            <w:pPr>
              <w:pStyle w:val="28"/>
              <w:bidi w:val="0"/>
              <w:rPr>
                <w:rFonts w:hint="default"/>
              </w:rPr>
            </w:pPr>
            <w:r>
              <w:rPr>
                <w:rFonts w:hint="default"/>
              </w:rPr>
              <w:t>832</w:t>
            </w:r>
          </w:p>
        </w:tc>
        <w:tc>
          <w:tcPr>
            <w:tcW w:w="355" w:type="pct"/>
            <w:vAlign w:val="center"/>
          </w:tcPr>
          <w:p w14:paraId="26B291BD">
            <w:pPr>
              <w:pStyle w:val="28"/>
              <w:bidi w:val="0"/>
              <w:rPr>
                <w:rFonts w:hint="default"/>
              </w:rPr>
            </w:pPr>
            <w:r>
              <w:rPr>
                <w:rFonts w:hint="default"/>
              </w:rPr>
              <w:t>1</w:t>
            </w:r>
          </w:p>
        </w:tc>
        <w:tc>
          <w:tcPr>
            <w:tcW w:w="355" w:type="pct"/>
            <w:vAlign w:val="center"/>
          </w:tcPr>
          <w:p w14:paraId="03011E56">
            <w:pPr>
              <w:pStyle w:val="28"/>
              <w:bidi w:val="0"/>
              <w:rPr>
                <w:rFonts w:hint="default"/>
              </w:rPr>
            </w:pPr>
            <w:r>
              <w:rPr>
                <w:rFonts w:hint="default"/>
              </w:rPr>
              <w:t>1</w:t>
            </w:r>
          </w:p>
        </w:tc>
        <w:tc>
          <w:tcPr>
            <w:tcW w:w="355" w:type="pct"/>
            <w:vAlign w:val="center"/>
          </w:tcPr>
          <w:p w14:paraId="0FE6403E">
            <w:pPr>
              <w:pStyle w:val="28"/>
              <w:bidi w:val="0"/>
              <w:rPr>
                <w:rFonts w:hint="default"/>
              </w:rPr>
            </w:pPr>
            <w:r>
              <w:rPr>
                <w:rFonts w:hint="default"/>
              </w:rPr>
              <w:t>25</w:t>
            </w:r>
          </w:p>
        </w:tc>
        <w:tc>
          <w:tcPr>
            <w:tcW w:w="354" w:type="pct"/>
            <w:vAlign w:val="center"/>
          </w:tcPr>
          <w:p w14:paraId="0C18F459">
            <w:pPr>
              <w:pStyle w:val="28"/>
              <w:bidi w:val="0"/>
              <w:rPr>
                <w:rFonts w:hint="default"/>
              </w:rPr>
            </w:pPr>
            <w:r>
              <w:rPr>
                <w:rFonts w:hint="default"/>
              </w:rPr>
              <w:t>4</w:t>
            </w:r>
          </w:p>
        </w:tc>
        <w:tc>
          <w:tcPr>
            <w:tcW w:w="354" w:type="pct"/>
            <w:vAlign w:val="center"/>
          </w:tcPr>
          <w:p w14:paraId="2C181B28">
            <w:pPr>
              <w:pStyle w:val="28"/>
              <w:bidi w:val="0"/>
              <w:rPr>
                <w:rFonts w:hint="default"/>
              </w:rPr>
            </w:pPr>
          </w:p>
        </w:tc>
        <w:tc>
          <w:tcPr>
            <w:tcW w:w="354" w:type="pct"/>
            <w:vAlign w:val="center"/>
          </w:tcPr>
          <w:p w14:paraId="0E90BAB2">
            <w:pPr>
              <w:pStyle w:val="28"/>
              <w:bidi w:val="0"/>
              <w:rPr>
                <w:rFonts w:hint="default"/>
              </w:rPr>
            </w:pPr>
          </w:p>
        </w:tc>
        <w:tc>
          <w:tcPr>
            <w:tcW w:w="354" w:type="pct"/>
            <w:vAlign w:val="center"/>
          </w:tcPr>
          <w:p w14:paraId="17C3E84F">
            <w:pPr>
              <w:pStyle w:val="28"/>
              <w:bidi w:val="0"/>
              <w:rPr>
                <w:rFonts w:hint="default"/>
              </w:rPr>
            </w:pPr>
          </w:p>
        </w:tc>
        <w:tc>
          <w:tcPr>
            <w:tcW w:w="364" w:type="pct"/>
            <w:vAlign w:val="center"/>
          </w:tcPr>
          <w:p w14:paraId="03262E51">
            <w:pPr>
              <w:pStyle w:val="28"/>
              <w:bidi w:val="0"/>
              <w:rPr>
                <w:rFonts w:hint="default"/>
              </w:rPr>
            </w:pPr>
            <w:r>
              <w:rPr>
                <w:rFonts w:hint="default"/>
              </w:rPr>
              <w:t>31</w:t>
            </w:r>
          </w:p>
        </w:tc>
        <w:tc>
          <w:tcPr>
            <w:tcW w:w="435" w:type="pct"/>
            <w:vAlign w:val="center"/>
          </w:tcPr>
          <w:p w14:paraId="7810EC02">
            <w:pPr>
              <w:pStyle w:val="28"/>
              <w:bidi w:val="0"/>
              <w:rPr>
                <w:rFonts w:hint="default"/>
              </w:rPr>
            </w:pPr>
          </w:p>
        </w:tc>
      </w:tr>
      <w:tr w14:paraId="4AFA7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57499830">
            <w:pPr>
              <w:pStyle w:val="28"/>
              <w:bidi w:val="0"/>
              <w:rPr>
                <w:rFonts w:hint="default"/>
              </w:rPr>
            </w:pPr>
            <w:r>
              <w:rPr>
                <w:rFonts w:hint="default"/>
              </w:rPr>
              <w:t>二东干渠</w:t>
            </w:r>
          </w:p>
        </w:tc>
        <w:tc>
          <w:tcPr>
            <w:tcW w:w="529" w:type="pct"/>
            <w:vAlign w:val="center"/>
          </w:tcPr>
          <w:p w14:paraId="41315464">
            <w:pPr>
              <w:pStyle w:val="28"/>
              <w:bidi w:val="0"/>
              <w:rPr>
                <w:rFonts w:hint="default"/>
              </w:rPr>
            </w:pPr>
            <w:r>
              <w:rPr>
                <w:rFonts w:hint="default"/>
              </w:rPr>
              <w:t>8392</w:t>
            </w:r>
          </w:p>
        </w:tc>
        <w:tc>
          <w:tcPr>
            <w:tcW w:w="530" w:type="pct"/>
            <w:vAlign w:val="center"/>
          </w:tcPr>
          <w:p w14:paraId="26DDA7FC">
            <w:pPr>
              <w:pStyle w:val="28"/>
              <w:bidi w:val="0"/>
              <w:rPr>
                <w:rFonts w:hint="default"/>
              </w:rPr>
            </w:pPr>
            <w:r>
              <w:rPr>
                <w:rFonts w:hint="default"/>
              </w:rPr>
              <w:t>370</w:t>
            </w:r>
          </w:p>
        </w:tc>
        <w:tc>
          <w:tcPr>
            <w:tcW w:w="355" w:type="pct"/>
            <w:vAlign w:val="center"/>
          </w:tcPr>
          <w:p w14:paraId="494DC232">
            <w:pPr>
              <w:pStyle w:val="28"/>
              <w:bidi w:val="0"/>
              <w:rPr>
                <w:rFonts w:hint="default"/>
              </w:rPr>
            </w:pPr>
            <w:r>
              <w:rPr>
                <w:rFonts w:hint="default"/>
              </w:rPr>
              <w:t>1</w:t>
            </w:r>
          </w:p>
        </w:tc>
        <w:tc>
          <w:tcPr>
            <w:tcW w:w="355" w:type="pct"/>
            <w:vAlign w:val="center"/>
          </w:tcPr>
          <w:p w14:paraId="29315222">
            <w:pPr>
              <w:pStyle w:val="28"/>
              <w:bidi w:val="0"/>
              <w:rPr>
                <w:rFonts w:hint="default"/>
              </w:rPr>
            </w:pPr>
          </w:p>
        </w:tc>
        <w:tc>
          <w:tcPr>
            <w:tcW w:w="355" w:type="pct"/>
            <w:vAlign w:val="center"/>
          </w:tcPr>
          <w:p w14:paraId="37A0726D">
            <w:pPr>
              <w:pStyle w:val="28"/>
              <w:bidi w:val="0"/>
              <w:rPr>
                <w:rFonts w:hint="default"/>
              </w:rPr>
            </w:pPr>
            <w:r>
              <w:rPr>
                <w:rFonts w:hint="default"/>
              </w:rPr>
              <w:t>33</w:t>
            </w:r>
          </w:p>
        </w:tc>
        <w:tc>
          <w:tcPr>
            <w:tcW w:w="354" w:type="pct"/>
            <w:vAlign w:val="center"/>
          </w:tcPr>
          <w:p w14:paraId="161834CF">
            <w:pPr>
              <w:pStyle w:val="28"/>
              <w:bidi w:val="0"/>
              <w:rPr>
                <w:rFonts w:hint="default"/>
              </w:rPr>
            </w:pPr>
            <w:r>
              <w:rPr>
                <w:rFonts w:hint="default"/>
              </w:rPr>
              <w:t>6</w:t>
            </w:r>
          </w:p>
        </w:tc>
        <w:tc>
          <w:tcPr>
            <w:tcW w:w="354" w:type="pct"/>
            <w:vAlign w:val="center"/>
          </w:tcPr>
          <w:p w14:paraId="7754DEDD">
            <w:pPr>
              <w:pStyle w:val="28"/>
              <w:bidi w:val="0"/>
              <w:rPr>
                <w:rFonts w:hint="default"/>
              </w:rPr>
            </w:pPr>
            <w:r>
              <w:rPr>
                <w:rFonts w:hint="default"/>
              </w:rPr>
              <w:t>1</w:t>
            </w:r>
          </w:p>
        </w:tc>
        <w:tc>
          <w:tcPr>
            <w:tcW w:w="354" w:type="pct"/>
            <w:vAlign w:val="center"/>
          </w:tcPr>
          <w:p w14:paraId="1325E4B7">
            <w:pPr>
              <w:pStyle w:val="28"/>
              <w:bidi w:val="0"/>
              <w:rPr>
                <w:rFonts w:hint="default"/>
              </w:rPr>
            </w:pPr>
          </w:p>
        </w:tc>
        <w:tc>
          <w:tcPr>
            <w:tcW w:w="354" w:type="pct"/>
            <w:vAlign w:val="center"/>
          </w:tcPr>
          <w:p w14:paraId="1279DB32">
            <w:pPr>
              <w:pStyle w:val="28"/>
              <w:bidi w:val="0"/>
              <w:rPr>
                <w:rFonts w:hint="default"/>
              </w:rPr>
            </w:pPr>
          </w:p>
        </w:tc>
        <w:tc>
          <w:tcPr>
            <w:tcW w:w="364" w:type="pct"/>
            <w:vAlign w:val="center"/>
          </w:tcPr>
          <w:p w14:paraId="4C5926CC">
            <w:pPr>
              <w:pStyle w:val="28"/>
              <w:bidi w:val="0"/>
              <w:rPr>
                <w:rFonts w:hint="default"/>
              </w:rPr>
            </w:pPr>
            <w:r>
              <w:rPr>
                <w:rFonts w:hint="default"/>
              </w:rPr>
              <w:t>41</w:t>
            </w:r>
          </w:p>
        </w:tc>
        <w:tc>
          <w:tcPr>
            <w:tcW w:w="435" w:type="pct"/>
            <w:vAlign w:val="center"/>
          </w:tcPr>
          <w:p w14:paraId="65C12249">
            <w:pPr>
              <w:pStyle w:val="28"/>
              <w:bidi w:val="0"/>
              <w:rPr>
                <w:rFonts w:hint="default"/>
              </w:rPr>
            </w:pPr>
          </w:p>
        </w:tc>
      </w:tr>
      <w:tr w14:paraId="756D2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4C89B39B">
            <w:pPr>
              <w:pStyle w:val="28"/>
              <w:bidi w:val="0"/>
              <w:rPr>
                <w:rFonts w:hint="default"/>
              </w:rPr>
            </w:pPr>
            <w:r>
              <w:rPr>
                <w:rFonts w:hint="default"/>
              </w:rPr>
              <w:t>二北干渠</w:t>
            </w:r>
          </w:p>
        </w:tc>
        <w:tc>
          <w:tcPr>
            <w:tcW w:w="529" w:type="pct"/>
            <w:vAlign w:val="center"/>
          </w:tcPr>
          <w:p w14:paraId="556A9921">
            <w:pPr>
              <w:pStyle w:val="28"/>
              <w:bidi w:val="0"/>
              <w:rPr>
                <w:rFonts w:hint="default"/>
              </w:rPr>
            </w:pPr>
            <w:r>
              <w:rPr>
                <w:rFonts w:hint="default"/>
              </w:rPr>
              <w:t>4051</w:t>
            </w:r>
          </w:p>
        </w:tc>
        <w:tc>
          <w:tcPr>
            <w:tcW w:w="530" w:type="pct"/>
            <w:vAlign w:val="center"/>
          </w:tcPr>
          <w:p w14:paraId="2777296D">
            <w:pPr>
              <w:pStyle w:val="28"/>
              <w:bidi w:val="0"/>
              <w:rPr>
                <w:rFonts w:hint="default"/>
              </w:rPr>
            </w:pPr>
            <w:r>
              <w:rPr>
                <w:rFonts w:hint="default"/>
              </w:rPr>
              <w:t>1769</w:t>
            </w:r>
          </w:p>
        </w:tc>
        <w:tc>
          <w:tcPr>
            <w:tcW w:w="355" w:type="pct"/>
            <w:vAlign w:val="center"/>
          </w:tcPr>
          <w:p w14:paraId="2FC22FD0">
            <w:pPr>
              <w:pStyle w:val="28"/>
              <w:bidi w:val="0"/>
              <w:rPr>
                <w:rFonts w:hint="default"/>
              </w:rPr>
            </w:pPr>
          </w:p>
        </w:tc>
        <w:tc>
          <w:tcPr>
            <w:tcW w:w="355" w:type="pct"/>
            <w:vAlign w:val="center"/>
          </w:tcPr>
          <w:p w14:paraId="39AD4272">
            <w:pPr>
              <w:pStyle w:val="28"/>
              <w:bidi w:val="0"/>
              <w:rPr>
                <w:rFonts w:hint="default"/>
              </w:rPr>
            </w:pPr>
            <w:r>
              <w:rPr>
                <w:rFonts w:hint="default"/>
              </w:rPr>
              <w:t>1</w:t>
            </w:r>
          </w:p>
        </w:tc>
        <w:tc>
          <w:tcPr>
            <w:tcW w:w="355" w:type="pct"/>
            <w:vAlign w:val="center"/>
          </w:tcPr>
          <w:p w14:paraId="3F1DA2EF">
            <w:pPr>
              <w:pStyle w:val="28"/>
              <w:bidi w:val="0"/>
              <w:rPr>
                <w:rFonts w:hint="default"/>
              </w:rPr>
            </w:pPr>
            <w:r>
              <w:rPr>
                <w:rFonts w:hint="default"/>
              </w:rPr>
              <w:t>17</w:t>
            </w:r>
          </w:p>
        </w:tc>
        <w:tc>
          <w:tcPr>
            <w:tcW w:w="354" w:type="pct"/>
            <w:vAlign w:val="center"/>
          </w:tcPr>
          <w:p w14:paraId="3139A4B4">
            <w:pPr>
              <w:pStyle w:val="28"/>
              <w:bidi w:val="0"/>
              <w:rPr>
                <w:rFonts w:hint="default"/>
              </w:rPr>
            </w:pPr>
            <w:r>
              <w:rPr>
                <w:rFonts w:hint="default"/>
              </w:rPr>
              <w:t>1</w:t>
            </w:r>
          </w:p>
        </w:tc>
        <w:tc>
          <w:tcPr>
            <w:tcW w:w="354" w:type="pct"/>
            <w:vAlign w:val="center"/>
          </w:tcPr>
          <w:p w14:paraId="4CDEB54E">
            <w:pPr>
              <w:pStyle w:val="28"/>
              <w:bidi w:val="0"/>
              <w:rPr>
                <w:rFonts w:hint="default"/>
              </w:rPr>
            </w:pPr>
          </w:p>
        </w:tc>
        <w:tc>
          <w:tcPr>
            <w:tcW w:w="354" w:type="pct"/>
            <w:vAlign w:val="center"/>
          </w:tcPr>
          <w:p w14:paraId="7155CE6F">
            <w:pPr>
              <w:pStyle w:val="28"/>
              <w:bidi w:val="0"/>
              <w:rPr>
                <w:rFonts w:hint="default"/>
              </w:rPr>
            </w:pPr>
          </w:p>
        </w:tc>
        <w:tc>
          <w:tcPr>
            <w:tcW w:w="354" w:type="pct"/>
            <w:vAlign w:val="center"/>
          </w:tcPr>
          <w:p w14:paraId="6C164850">
            <w:pPr>
              <w:pStyle w:val="28"/>
              <w:bidi w:val="0"/>
              <w:rPr>
                <w:rFonts w:hint="default"/>
              </w:rPr>
            </w:pPr>
          </w:p>
        </w:tc>
        <w:tc>
          <w:tcPr>
            <w:tcW w:w="364" w:type="pct"/>
            <w:vAlign w:val="center"/>
          </w:tcPr>
          <w:p w14:paraId="6E032E3A">
            <w:pPr>
              <w:pStyle w:val="28"/>
              <w:bidi w:val="0"/>
              <w:rPr>
                <w:rFonts w:hint="default"/>
              </w:rPr>
            </w:pPr>
            <w:r>
              <w:rPr>
                <w:rFonts w:hint="default"/>
              </w:rPr>
              <w:t>19</w:t>
            </w:r>
          </w:p>
        </w:tc>
        <w:tc>
          <w:tcPr>
            <w:tcW w:w="435" w:type="pct"/>
            <w:vAlign w:val="center"/>
          </w:tcPr>
          <w:p w14:paraId="10319091">
            <w:pPr>
              <w:pStyle w:val="28"/>
              <w:bidi w:val="0"/>
              <w:rPr>
                <w:rFonts w:hint="default"/>
              </w:rPr>
            </w:pPr>
          </w:p>
        </w:tc>
      </w:tr>
      <w:tr w14:paraId="49983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664A94B1">
            <w:pPr>
              <w:pStyle w:val="28"/>
              <w:bidi w:val="0"/>
              <w:rPr>
                <w:rFonts w:hint="default"/>
              </w:rPr>
            </w:pPr>
            <w:r>
              <w:rPr>
                <w:rFonts w:hint="default"/>
              </w:rPr>
              <w:t>杨公三站引水渠</w:t>
            </w:r>
          </w:p>
        </w:tc>
        <w:tc>
          <w:tcPr>
            <w:tcW w:w="529" w:type="pct"/>
            <w:vAlign w:val="center"/>
          </w:tcPr>
          <w:p w14:paraId="64403397">
            <w:pPr>
              <w:pStyle w:val="28"/>
              <w:bidi w:val="0"/>
              <w:rPr>
                <w:rFonts w:hint="default"/>
              </w:rPr>
            </w:pPr>
          </w:p>
        </w:tc>
        <w:tc>
          <w:tcPr>
            <w:tcW w:w="530" w:type="pct"/>
            <w:vAlign w:val="center"/>
          </w:tcPr>
          <w:p w14:paraId="54FF1388">
            <w:pPr>
              <w:pStyle w:val="28"/>
              <w:bidi w:val="0"/>
              <w:rPr>
                <w:rFonts w:hint="default"/>
              </w:rPr>
            </w:pPr>
            <w:r>
              <w:rPr>
                <w:rFonts w:hint="default"/>
              </w:rPr>
              <w:t>370</w:t>
            </w:r>
          </w:p>
        </w:tc>
        <w:tc>
          <w:tcPr>
            <w:tcW w:w="355" w:type="pct"/>
            <w:vAlign w:val="center"/>
          </w:tcPr>
          <w:p w14:paraId="641B4C81">
            <w:pPr>
              <w:pStyle w:val="28"/>
              <w:bidi w:val="0"/>
              <w:rPr>
                <w:rFonts w:hint="default"/>
              </w:rPr>
            </w:pPr>
          </w:p>
        </w:tc>
        <w:tc>
          <w:tcPr>
            <w:tcW w:w="355" w:type="pct"/>
            <w:vAlign w:val="center"/>
          </w:tcPr>
          <w:p w14:paraId="04444D0C">
            <w:pPr>
              <w:pStyle w:val="28"/>
              <w:bidi w:val="0"/>
              <w:rPr>
                <w:rFonts w:hint="default"/>
              </w:rPr>
            </w:pPr>
          </w:p>
        </w:tc>
        <w:tc>
          <w:tcPr>
            <w:tcW w:w="355" w:type="pct"/>
            <w:vAlign w:val="center"/>
          </w:tcPr>
          <w:p w14:paraId="28C0BC57">
            <w:pPr>
              <w:pStyle w:val="28"/>
              <w:bidi w:val="0"/>
              <w:rPr>
                <w:rFonts w:hint="default"/>
              </w:rPr>
            </w:pPr>
          </w:p>
        </w:tc>
        <w:tc>
          <w:tcPr>
            <w:tcW w:w="354" w:type="pct"/>
            <w:vAlign w:val="center"/>
          </w:tcPr>
          <w:p w14:paraId="77B25B39">
            <w:pPr>
              <w:pStyle w:val="28"/>
              <w:bidi w:val="0"/>
              <w:rPr>
                <w:rFonts w:hint="default"/>
              </w:rPr>
            </w:pPr>
          </w:p>
        </w:tc>
        <w:tc>
          <w:tcPr>
            <w:tcW w:w="354" w:type="pct"/>
            <w:vAlign w:val="center"/>
          </w:tcPr>
          <w:p w14:paraId="1BBC7D20">
            <w:pPr>
              <w:pStyle w:val="28"/>
              <w:bidi w:val="0"/>
              <w:rPr>
                <w:rFonts w:hint="default"/>
              </w:rPr>
            </w:pPr>
          </w:p>
        </w:tc>
        <w:tc>
          <w:tcPr>
            <w:tcW w:w="354" w:type="pct"/>
            <w:vAlign w:val="center"/>
          </w:tcPr>
          <w:p w14:paraId="5E3D1F3D">
            <w:pPr>
              <w:pStyle w:val="28"/>
              <w:bidi w:val="0"/>
              <w:rPr>
                <w:rFonts w:hint="default"/>
              </w:rPr>
            </w:pPr>
          </w:p>
        </w:tc>
        <w:tc>
          <w:tcPr>
            <w:tcW w:w="354" w:type="pct"/>
            <w:vAlign w:val="center"/>
          </w:tcPr>
          <w:p w14:paraId="545DB1EB">
            <w:pPr>
              <w:pStyle w:val="28"/>
              <w:bidi w:val="0"/>
              <w:rPr>
                <w:rFonts w:hint="default"/>
              </w:rPr>
            </w:pPr>
          </w:p>
        </w:tc>
        <w:tc>
          <w:tcPr>
            <w:tcW w:w="364" w:type="pct"/>
            <w:vAlign w:val="center"/>
          </w:tcPr>
          <w:p w14:paraId="547DC670">
            <w:pPr>
              <w:pStyle w:val="28"/>
              <w:bidi w:val="0"/>
              <w:rPr>
                <w:rFonts w:hint="default"/>
              </w:rPr>
            </w:pPr>
          </w:p>
        </w:tc>
        <w:tc>
          <w:tcPr>
            <w:tcW w:w="435" w:type="pct"/>
            <w:vAlign w:val="center"/>
          </w:tcPr>
          <w:p w14:paraId="0E68E964">
            <w:pPr>
              <w:pStyle w:val="28"/>
              <w:bidi w:val="0"/>
              <w:rPr>
                <w:rFonts w:hint="default"/>
              </w:rPr>
            </w:pPr>
          </w:p>
        </w:tc>
      </w:tr>
      <w:tr w14:paraId="3E931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368754F6">
            <w:pPr>
              <w:pStyle w:val="28"/>
              <w:bidi w:val="0"/>
              <w:rPr>
                <w:rFonts w:hint="default"/>
              </w:rPr>
            </w:pPr>
            <w:r>
              <w:rPr>
                <w:rFonts w:hint="default"/>
              </w:rPr>
              <w:t>三北干渠</w:t>
            </w:r>
          </w:p>
        </w:tc>
        <w:tc>
          <w:tcPr>
            <w:tcW w:w="529" w:type="pct"/>
            <w:vAlign w:val="center"/>
          </w:tcPr>
          <w:p w14:paraId="7F0B278F">
            <w:pPr>
              <w:pStyle w:val="28"/>
              <w:bidi w:val="0"/>
              <w:rPr>
                <w:rFonts w:hint="default"/>
              </w:rPr>
            </w:pPr>
            <w:r>
              <w:rPr>
                <w:rFonts w:hint="default"/>
              </w:rPr>
              <w:t>740</w:t>
            </w:r>
          </w:p>
        </w:tc>
        <w:tc>
          <w:tcPr>
            <w:tcW w:w="530" w:type="pct"/>
            <w:vAlign w:val="center"/>
          </w:tcPr>
          <w:p w14:paraId="632CD8CD">
            <w:pPr>
              <w:pStyle w:val="28"/>
              <w:bidi w:val="0"/>
              <w:rPr>
                <w:rFonts w:hint="default"/>
              </w:rPr>
            </w:pPr>
            <w:r>
              <w:rPr>
                <w:rFonts w:hint="default"/>
              </w:rPr>
              <w:t>2259</w:t>
            </w:r>
          </w:p>
        </w:tc>
        <w:tc>
          <w:tcPr>
            <w:tcW w:w="355" w:type="pct"/>
            <w:vAlign w:val="center"/>
          </w:tcPr>
          <w:p w14:paraId="23C60306">
            <w:pPr>
              <w:pStyle w:val="28"/>
              <w:bidi w:val="0"/>
              <w:rPr>
                <w:rFonts w:hint="default"/>
              </w:rPr>
            </w:pPr>
          </w:p>
        </w:tc>
        <w:tc>
          <w:tcPr>
            <w:tcW w:w="355" w:type="pct"/>
            <w:vAlign w:val="center"/>
          </w:tcPr>
          <w:p w14:paraId="73EBAA02">
            <w:pPr>
              <w:pStyle w:val="28"/>
              <w:bidi w:val="0"/>
              <w:rPr>
                <w:rFonts w:hint="default"/>
              </w:rPr>
            </w:pPr>
            <w:r>
              <w:rPr>
                <w:rFonts w:hint="default"/>
              </w:rPr>
              <w:t>1</w:t>
            </w:r>
          </w:p>
        </w:tc>
        <w:tc>
          <w:tcPr>
            <w:tcW w:w="355" w:type="pct"/>
            <w:vAlign w:val="center"/>
          </w:tcPr>
          <w:p w14:paraId="0C834A14">
            <w:pPr>
              <w:pStyle w:val="28"/>
              <w:bidi w:val="0"/>
              <w:rPr>
                <w:rFonts w:hint="default"/>
              </w:rPr>
            </w:pPr>
            <w:r>
              <w:rPr>
                <w:rFonts w:hint="default"/>
              </w:rPr>
              <w:t>3</w:t>
            </w:r>
          </w:p>
        </w:tc>
        <w:tc>
          <w:tcPr>
            <w:tcW w:w="354" w:type="pct"/>
            <w:vAlign w:val="center"/>
          </w:tcPr>
          <w:p w14:paraId="194C4CEC">
            <w:pPr>
              <w:pStyle w:val="28"/>
              <w:bidi w:val="0"/>
              <w:rPr>
                <w:rFonts w:hint="default"/>
              </w:rPr>
            </w:pPr>
          </w:p>
        </w:tc>
        <w:tc>
          <w:tcPr>
            <w:tcW w:w="354" w:type="pct"/>
            <w:vAlign w:val="center"/>
          </w:tcPr>
          <w:p w14:paraId="5CDC37CB">
            <w:pPr>
              <w:pStyle w:val="28"/>
              <w:bidi w:val="0"/>
              <w:rPr>
                <w:rFonts w:hint="default"/>
              </w:rPr>
            </w:pPr>
          </w:p>
        </w:tc>
        <w:tc>
          <w:tcPr>
            <w:tcW w:w="354" w:type="pct"/>
            <w:vAlign w:val="center"/>
          </w:tcPr>
          <w:p w14:paraId="06264703">
            <w:pPr>
              <w:pStyle w:val="28"/>
              <w:bidi w:val="0"/>
              <w:rPr>
                <w:rFonts w:hint="default"/>
              </w:rPr>
            </w:pPr>
          </w:p>
        </w:tc>
        <w:tc>
          <w:tcPr>
            <w:tcW w:w="354" w:type="pct"/>
            <w:vAlign w:val="center"/>
          </w:tcPr>
          <w:p w14:paraId="77869582">
            <w:pPr>
              <w:pStyle w:val="28"/>
              <w:bidi w:val="0"/>
              <w:rPr>
                <w:rFonts w:hint="default"/>
              </w:rPr>
            </w:pPr>
          </w:p>
        </w:tc>
        <w:tc>
          <w:tcPr>
            <w:tcW w:w="364" w:type="pct"/>
            <w:vAlign w:val="center"/>
          </w:tcPr>
          <w:p w14:paraId="407D6FE8">
            <w:pPr>
              <w:pStyle w:val="28"/>
              <w:bidi w:val="0"/>
              <w:rPr>
                <w:rFonts w:hint="default"/>
              </w:rPr>
            </w:pPr>
            <w:r>
              <w:rPr>
                <w:rFonts w:hint="default"/>
              </w:rPr>
              <w:t>4</w:t>
            </w:r>
          </w:p>
        </w:tc>
        <w:tc>
          <w:tcPr>
            <w:tcW w:w="435" w:type="pct"/>
            <w:vAlign w:val="center"/>
          </w:tcPr>
          <w:p w14:paraId="05877824">
            <w:pPr>
              <w:pStyle w:val="28"/>
              <w:bidi w:val="0"/>
              <w:rPr>
                <w:rFonts w:hint="default"/>
              </w:rPr>
            </w:pPr>
          </w:p>
        </w:tc>
      </w:tr>
      <w:tr w14:paraId="5FE41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058083CF">
            <w:pPr>
              <w:pStyle w:val="28"/>
              <w:bidi w:val="0"/>
              <w:rPr>
                <w:rFonts w:hint="default"/>
              </w:rPr>
            </w:pPr>
            <w:r>
              <w:rPr>
                <w:rFonts w:hint="default"/>
              </w:rPr>
              <w:t>杨公三站出水渠</w:t>
            </w:r>
          </w:p>
        </w:tc>
        <w:tc>
          <w:tcPr>
            <w:tcW w:w="529" w:type="pct"/>
            <w:vAlign w:val="center"/>
          </w:tcPr>
          <w:p w14:paraId="1B65429B">
            <w:pPr>
              <w:pStyle w:val="28"/>
              <w:bidi w:val="0"/>
              <w:rPr>
                <w:rFonts w:hint="default"/>
              </w:rPr>
            </w:pPr>
          </w:p>
        </w:tc>
        <w:tc>
          <w:tcPr>
            <w:tcW w:w="530" w:type="pct"/>
            <w:vAlign w:val="center"/>
          </w:tcPr>
          <w:p w14:paraId="738D1F9E">
            <w:pPr>
              <w:pStyle w:val="28"/>
              <w:bidi w:val="0"/>
              <w:rPr>
                <w:rFonts w:hint="default"/>
              </w:rPr>
            </w:pPr>
            <w:r>
              <w:rPr>
                <w:rFonts w:hint="default"/>
              </w:rPr>
              <w:t>137</w:t>
            </w:r>
          </w:p>
        </w:tc>
        <w:tc>
          <w:tcPr>
            <w:tcW w:w="355" w:type="pct"/>
            <w:vAlign w:val="center"/>
          </w:tcPr>
          <w:p w14:paraId="35AD45C3">
            <w:pPr>
              <w:pStyle w:val="28"/>
              <w:bidi w:val="0"/>
              <w:rPr>
                <w:rFonts w:hint="default"/>
              </w:rPr>
            </w:pPr>
          </w:p>
        </w:tc>
        <w:tc>
          <w:tcPr>
            <w:tcW w:w="355" w:type="pct"/>
            <w:vAlign w:val="center"/>
          </w:tcPr>
          <w:p w14:paraId="4B445FB5">
            <w:pPr>
              <w:pStyle w:val="28"/>
              <w:bidi w:val="0"/>
              <w:rPr>
                <w:rFonts w:hint="default"/>
              </w:rPr>
            </w:pPr>
          </w:p>
        </w:tc>
        <w:tc>
          <w:tcPr>
            <w:tcW w:w="355" w:type="pct"/>
            <w:vAlign w:val="center"/>
          </w:tcPr>
          <w:p w14:paraId="7D56BDE3">
            <w:pPr>
              <w:pStyle w:val="28"/>
              <w:bidi w:val="0"/>
              <w:rPr>
                <w:rFonts w:hint="default"/>
              </w:rPr>
            </w:pPr>
          </w:p>
        </w:tc>
        <w:tc>
          <w:tcPr>
            <w:tcW w:w="354" w:type="pct"/>
            <w:vAlign w:val="center"/>
          </w:tcPr>
          <w:p w14:paraId="0092D0CC">
            <w:pPr>
              <w:pStyle w:val="28"/>
              <w:bidi w:val="0"/>
              <w:rPr>
                <w:rFonts w:hint="default"/>
              </w:rPr>
            </w:pPr>
          </w:p>
        </w:tc>
        <w:tc>
          <w:tcPr>
            <w:tcW w:w="354" w:type="pct"/>
            <w:vAlign w:val="center"/>
          </w:tcPr>
          <w:p w14:paraId="13A05385">
            <w:pPr>
              <w:pStyle w:val="28"/>
              <w:bidi w:val="0"/>
              <w:rPr>
                <w:rFonts w:hint="default"/>
              </w:rPr>
            </w:pPr>
          </w:p>
        </w:tc>
        <w:tc>
          <w:tcPr>
            <w:tcW w:w="354" w:type="pct"/>
            <w:vAlign w:val="center"/>
          </w:tcPr>
          <w:p w14:paraId="0BD59BE8">
            <w:pPr>
              <w:pStyle w:val="28"/>
              <w:bidi w:val="0"/>
              <w:rPr>
                <w:rFonts w:hint="default"/>
              </w:rPr>
            </w:pPr>
          </w:p>
        </w:tc>
        <w:tc>
          <w:tcPr>
            <w:tcW w:w="354" w:type="pct"/>
            <w:vAlign w:val="center"/>
          </w:tcPr>
          <w:p w14:paraId="601A56FE">
            <w:pPr>
              <w:pStyle w:val="28"/>
              <w:bidi w:val="0"/>
              <w:rPr>
                <w:rFonts w:hint="default"/>
              </w:rPr>
            </w:pPr>
          </w:p>
        </w:tc>
        <w:tc>
          <w:tcPr>
            <w:tcW w:w="364" w:type="pct"/>
            <w:vAlign w:val="center"/>
          </w:tcPr>
          <w:p w14:paraId="1C53971C">
            <w:pPr>
              <w:pStyle w:val="28"/>
              <w:bidi w:val="0"/>
              <w:rPr>
                <w:rFonts w:hint="default"/>
              </w:rPr>
            </w:pPr>
          </w:p>
        </w:tc>
        <w:tc>
          <w:tcPr>
            <w:tcW w:w="435" w:type="pct"/>
            <w:vAlign w:val="center"/>
          </w:tcPr>
          <w:p w14:paraId="2100558D">
            <w:pPr>
              <w:pStyle w:val="28"/>
              <w:bidi w:val="0"/>
              <w:rPr>
                <w:rFonts w:hint="default"/>
              </w:rPr>
            </w:pPr>
          </w:p>
        </w:tc>
      </w:tr>
      <w:tr w14:paraId="3E589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7F369A15">
            <w:pPr>
              <w:pStyle w:val="28"/>
              <w:bidi w:val="0"/>
              <w:rPr>
                <w:rFonts w:hint="default"/>
              </w:rPr>
            </w:pPr>
            <w:r>
              <w:rPr>
                <w:rFonts w:hint="default"/>
              </w:rPr>
              <w:t>三东干渠</w:t>
            </w:r>
          </w:p>
        </w:tc>
        <w:tc>
          <w:tcPr>
            <w:tcW w:w="529" w:type="pct"/>
            <w:vAlign w:val="center"/>
          </w:tcPr>
          <w:p w14:paraId="770EEE68">
            <w:pPr>
              <w:pStyle w:val="28"/>
              <w:bidi w:val="0"/>
              <w:rPr>
                <w:rFonts w:hint="default"/>
              </w:rPr>
            </w:pPr>
          </w:p>
        </w:tc>
        <w:tc>
          <w:tcPr>
            <w:tcW w:w="530" w:type="pct"/>
            <w:vAlign w:val="center"/>
          </w:tcPr>
          <w:p w14:paraId="4C1C23FD">
            <w:pPr>
              <w:pStyle w:val="28"/>
              <w:bidi w:val="0"/>
              <w:rPr>
                <w:rFonts w:hint="default"/>
              </w:rPr>
            </w:pPr>
          </w:p>
        </w:tc>
        <w:tc>
          <w:tcPr>
            <w:tcW w:w="355" w:type="pct"/>
            <w:vAlign w:val="center"/>
          </w:tcPr>
          <w:p w14:paraId="7492A464">
            <w:pPr>
              <w:pStyle w:val="28"/>
              <w:bidi w:val="0"/>
              <w:rPr>
                <w:rFonts w:hint="default"/>
              </w:rPr>
            </w:pPr>
            <w:r>
              <w:rPr>
                <w:rFonts w:hint="default"/>
              </w:rPr>
              <w:t>1</w:t>
            </w:r>
          </w:p>
        </w:tc>
        <w:tc>
          <w:tcPr>
            <w:tcW w:w="355" w:type="pct"/>
            <w:vAlign w:val="center"/>
          </w:tcPr>
          <w:p w14:paraId="6E66D168">
            <w:pPr>
              <w:pStyle w:val="28"/>
              <w:bidi w:val="0"/>
              <w:rPr>
                <w:rFonts w:hint="default"/>
              </w:rPr>
            </w:pPr>
            <w:r>
              <w:rPr>
                <w:rFonts w:hint="default"/>
              </w:rPr>
              <w:t>1</w:t>
            </w:r>
          </w:p>
        </w:tc>
        <w:tc>
          <w:tcPr>
            <w:tcW w:w="355" w:type="pct"/>
            <w:vAlign w:val="center"/>
          </w:tcPr>
          <w:p w14:paraId="6ED613D1">
            <w:pPr>
              <w:pStyle w:val="28"/>
              <w:bidi w:val="0"/>
              <w:rPr>
                <w:rFonts w:hint="default"/>
              </w:rPr>
            </w:pPr>
          </w:p>
        </w:tc>
        <w:tc>
          <w:tcPr>
            <w:tcW w:w="354" w:type="pct"/>
            <w:vAlign w:val="center"/>
          </w:tcPr>
          <w:p w14:paraId="2A1634D8">
            <w:pPr>
              <w:pStyle w:val="28"/>
              <w:bidi w:val="0"/>
              <w:rPr>
                <w:rFonts w:hint="default"/>
              </w:rPr>
            </w:pPr>
          </w:p>
        </w:tc>
        <w:tc>
          <w:tcPr>
            <w:tcW w:w="354" w:type="pct"/>
            <w:vAlign w:val="center"/>
          </w:tcPr>
          <w:p w14:paraId="5642FFE8">
            <w:pPr>
              <w:pStyle w:val="28"/>
              <w:bidi w:val="0"/>
              <w:rPr>
                <w:rFonts w:hint="default"/>
              </w:rPr>
            </w:pPr>
          </w:p>
        </w:tc>
        <w:tc>
          <w:tcPr>
            <w:tcW w:w="354" w:type="pct"/>
            <w:vAlign w:val="center"/>
          </w:tcPr>
          <w:p w14:paraId="0B3D7B12">
            <w:pPr>
              <w:pStyle w:val="28"/>
              <w:bidi w:val="0"/>
              <w:rPr>
                <w:rFonts w:hint="default"/>
              </w:rPr>
            </w:pPr>
          </w:p>
        </w:tc>
        <w:tc>
          <w:tcPr>
            <w:tcW w:w="354" w:type="pct"/>
            <w:vAlign w:val="center"/>
          </w:tcPr>
          <w:p w14:paraId="3D39FBD8">
            <w:pPr>
              <w:pStyle w:val="28"/>
              <w:bidi w:val="0"/>
              <w:rPr>
                <w:rFonts w:hint="default"/>
              </w:rPr>
            </w:pPr>
            <w:r>
              <w:rPr>
                <w:rFonts w:hint="default"/>
              </w:rPr>
              <w:t>1</w:t>
            </w:r>
          </w:p>
        </w:tc>
        <w:tc>
          <w:tcPr>
            <w:tcW w:w="364" w:type="pct"/>
            <w:vAlign w:val="center"/>
          </w:tcPr>
          <w:p w14:paraId="7A50784C">
            <w:pPr>
              <w:pStyle w:val="28"/>
              <w:bidi w:val="0"/>
              <w:rPr>
                <w:rFonts w:hint="default"/>
              </w:rPr>
            </w:pPr>
            <w:r>
              <w:rPr>
                <w:rFonts w:hint="default"/>
              </w:rPr>
              <w:t>3</w:t>
            </w:r>
          </w:p>
        </w:tc>
        <w:tc>
          <w:tcPr>
            <w:tcW w:w="435" w:type="pct"/>
            <w:vAlign w:val="center"/>
          </w:tcPr>
          <w:p w14:paraId="72B8F886">
            <w:pPr>
              <w:pStyle w:val="28"/>
              <w:bidi w:val="0"/>
              <w:rPr>
                <w:rFonts w:hint="default"/>
              </w:rPr>
            </w:pPr>
          </w:p>
        </w:tc>
      </w:tr>
      <w:tr w14:paraId="4D5ECE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771C2F6B">
            <w:pPr>
              <w:pStyle w:val="28"/>
              <w:bidi w:val="0"/>
              <w:rPr>
                <w:rFonts w:hint="default"/>
              </w:rPr>
            </w:pPr>
            <w:r>
              <w:rPr>
                <w:rFonts w:hint="default"/>
              </w:rPr>
              <w:t>桂岗支渠</w:t>
            </w:r>
          </w:p>
        </w:tc>
        <w:tc>
          <w:tcPr>
            <w:tcW w:w="529" w:type="pct"/>
            <w:vAlign w:val="center"/>
          </w:tcPr>
          <w:p w14:paraId="098E1EAF">
            <w:pPr>
              <w:pStyle w:val="28"/>
              <w:bidi w:val="0"/>
              <w:rPr>
                <w:rFonts w:hint="default"/>
              </w:rPr>
            </w:pPr>
            <w:r>
              <w:rPr>
                <w:rFonts w:hint="default"/>
              </w:rPr>
              <w:t>3993</w:t>
            </w:r>
          </w:p>
        </w:tc>
        <w:tc>
          <w:tcPr>
            <w:tcW w:w="530" w:type="pct"/>
            <w:vAlign w:val="center"/>
          </w:tcPr>
          <w:p w14:paraId="2CB79334">
            <w:pPr>
              <w:pStyle w:val="28"/>
              <w:bidi w:val="0"/>
              <w:rPr>
                <w:rFonts w:hint="default"/>
              </w:rPr>
            </w:pPr>
            <w:r>
              <w:rPr>
                <w:rFonts w:hint="default"/>
              </w:rPr>
              <w:t>383</w:t>
            </w:r>
          </w:p>
        </w:tc>
        <w:tc>
          <w:tcPr>
            <w:tcW w:w="355" w:type="pct"/>
            <w:vAlign w:val="center"/>
          </w:tcPr>
          <w:p w14:paraId="1FA28F2F">
            <w:pPr>
              <w:pStyle w:val="28"/>
              <w:bidi w:val="0"/>
              <w:rPr>
                <w:rFonts w:hint="default"/>
              </w:rPr>
            </w:pPr>
            <w:r>
              <w:rPr>
                <w:rFonts w:hint="default"/>
              </w:rPr>
              <w:t>4</w:t>
            </w:r>
          </w:p>
        </w:tc>
        <w:tc>
          <w:tcPr>
            <w:tcW w:w="355" w:type="pct"/>
            <w:vAlign w:val="center"/>
          </w:tcPr>
          <w:p w14:paraId="38A43264">
            <w:pPr>
              <w:pStyle w:val="28"/>
              <w:bidi w:val="0"/>
              <w:rPr>
                <w:rFonts w:hint="default"/>
              </w:rPr>
            </w:pPr>
          </w:p>
        </w:tc>
        <w:tc>
          <w:tcPr>
            <w:tcW w:w="355" w:type="pct"/>
            <w:vAlign w:val="center"/>
          </w:tcPr>
          <w:p w14:paraId="631EC8D2">
            <w:pPr>
              <w:pStyle w:val="28"/>
              <w:bidi w:val="0"/>
              <w:rPr>
                <w:rFonts w:hint="default"/>
              </w:rPr>
            </w:pPr>
            <w:r>
              <w:rPr>
                <w:rFonts w:hint="default"/>
              </w:rPr>
              <w:t>10</w:t>
            </w:r>
          </w:p>
        </w:tc>
        <w:tc>
          <w:tcPr>
            <w:tcW w:w="354" w:type="pct"/>
            <w:vAlign w:val="center"/>
          </w:tcPr>
          <w:p w14:paraId="2CC56D82">
            <w:pPr>
              <w:pStyle w:val="28"/>
              <w:bidi w:val="0"/>
              <w:rPr>
                <w:rFonts w:hint="default"/>
              </w:rPr>
            </w:pPr>
          </w:p>
        </w:tc>
        <w:tc>
          <w:tcPr>
            <w:tcW w:w="354" w:type="pct"/>
            <w:vAlign w:val="center"/>
          </w:tcPr>
          <w:p w14:paraId="4BFFBB85">
            <w:pPr>
              <w:pStyle w:val="28"/>
              <w:bidi w:val="0"/>
              <w:rPr>
                <w:rFonts w:hint="default"/>
              </w:rPr>
            </w:pPr>
          </w:p>
        </w:tc>
        <w:tc>
          <w:tcPr>
            <w:tcW w:w="354" w:type="pct"/>
            <w:vAlign w:val="center"/>
          </w:tcPr>
          <w:p w14:paraId="7E18B451">
            <w:pPr>
              <w:pStyle w:val="28"/>
              <w:bidi w:val="0"/>
              <w:rPr>
                <w:rFonts w:hint="default"/>
              </w:rPr>
            </w:pPr>
          </w:p>
        </w:tc>
        <w:tc>
          <w:tcPr>
            <w:tcW w:w="354" w:type="pct"/>
            <w:vAlign w:val="center"/>
          </w:tcPr>
          <w:p w14:paraId="2B486825">
            <w:pPr>
              <w:pStyle w:val="28"/>
              <w:bidi w:val="0"/>
              <w:rPr>
                <w:rFonts w:hint="default"/>
              </w:rPr>
            </w:pPr>
          </w:p>
        </w:tc>
        <w:tc>
          <w:tcPr>
            <w:tcW w:w="364" w:type="pct"/>
            <w:vAlign w:val="center"/>
          </w:tcPr>
          <w:p w14:paraId="6EEF29DE">
            <w:pPr>
              <w:pStyle w:val="28"/>
              <w:bidi w:val="0"/>
              <w:rPr>
                <w:rFonts w:hint="default"/>
              </w:rPr>
            </w:pPr>
            <w:r>
              <w:rPr>
                <w:rFonts w:hint="default"/>
              </w:rPr>
              <w:t>13</w:t>
            </w:r>
          </w:p>
        </w:tc>
        <w:tc>
          <w:tcPr>
            <w:tcW w:w="435" w:type="pct"/>
            <w:vAlign w:val="center"/>
          </w:tcPr>
          <w:p w14:paraId="74D26DB6">
            <w:pPr>
              <w:pStyle w:val="28"/>
              <w:bidi w:val="0"/>
              <w:rPr>
                <w:rFonts w:hint="default"/>
              </w:rPr>
            </w:pPr>
          </w:p>
        </w:tc>
      </w:tr>
      <w:tr w14:paraId="23802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2AAB2F1A">
            <w:pPr>
              <w:pStyle w:val="28"/>
              <w:bidi w:val="0"/>
              <w:rPr>
                <w:rFonts w:hint="default"/>
              </w:rPr>
            </w:pPr>
            <w:r>
              <w:rPr>
                <w:rFonts w:hint="default"/>
              </w:rPr>
              <w:t>染坊支渠</w:t>
            </w:r>
          </w:p>
        </w:tc>
        <w:tc>
          <w:tcPr>
            <w:tcW w:w="529" w:type="pct"/>
            <w:vAlign w:val="center"/>
          </w:tcPr>
          <w:p w14:paraId="1B2F5484">
            <w:pPr>
              <w:pStyle w:val="28"/>
              <w:bidi w:val="0"/>
              <w:rPr>
                <w:rFonts w:hint="default"/>
              </w:rPr>
            </w:pPr>
            <w:r>
              <w:rPr>
                <w:rFonts w:hint="default"/>
              </w:rPr>
              <w:t>317</w:t>
            </w:r>
          </w:p>
        </w:tc>
        <w:tc>
          <w:tcPr>
            <w:tcW w:w="530" w:type="pct"/>
            <w:vAlign w:val="center"/>
          </w:tcPr>
          <w:p w14:paraId="3BF42F2B">
            <w:pPr>
              <w:pStyle w:val="28"/>
              <w:bidi w:val="0"/>
              <w:rPr>
                <w:rFonts w:hint="default"/>
              </w:rPr>
            </w:pPr>
            <w:r>
              <w:rPr>
                <w:rFonts w:hint="default"/>
              </w:rPr>
              <w:t>3350</w:t>
            </w:r>
          </w:p>
        </w:tc>
        <w:tc>
          <w:tcPr>
            <w:tcW w:w="355" w:type="pct"/>
            <w:vAlign w:val="center"/>
          </w:tcPr>
          <w:p w14:paraId="484C5AC1">
            <w:pPr>
              <w:pStyle w:val="28"/>
              <w:bidi w:val="0"/>
              <w:rPr>
                <w:rFonts w:hint="default"/>
              </w:rPr>
            </w:pPr>
          </w:p>
        </w:tc>
        <w:tc>
          <w:tcPr>
            <w:tcW w:w="355" w:type="pct"/>
            <w:vAlign w:val="center"/>
          </w:tcPr>
          <w:p w14:paraId="7979AFA5">
            <w:pPr>
              <w:pStyle w:val="28"/>
              <w:bidi w:val="0"/>
              <w:rPr>
                <w:rFonts w:hint="default"/>
              </w:rPr>
            </w:pPr>
            <w:r>
              <w:rPr>
                <w:rFonts w:hint="default"/>
              </w:rPr>
              <w:t>1</w:t>
            </w:r>
          </w:p>
        </w:tc>
        <w:tc>
          <w:tcPr>
            <w:tcW w:w="355" w:type="pct"/>
            <w:vAlign w:val="center"/>
          </w:tcPr>
          <w:p w14:paraId="7A70B094">
            <w:pPr>
              <w:pStyle w:val="28"/>
              <w:bidi w:val="0"/>
              <w:rPr>
                <w:rFonts w:hint="default"/>
              </w:rPr>
            </w:pPr>
            <w:r>
              <w:rPr>
                <w:rFonts w:hint="default"/>
              </w:rPr>
              <w:t>4</w:t>
            </w:r>
          </w:p>
        </w:tc>
        <w:tc>
          <w:tcPr>
            <w:tcW w:w="354" w:type="pct"/>
            <w:vAlign w:val="center"/>
          </w:tcPr>
          <w:p w14:paraId="75691142">
            <w:pPr>
              <w:pStyle w:val="28"/>
              <w:bidi w:val="0"/>
              <w:rPr>
                <w:rFonts w:hint="default"/>
              </w:rPr>
            </w:pPr>
            <w:r>
              <w:rPr>
                <w:rFonts w:hint="default"/>
              </w:rPr>
              <w:t>2</w:t>
            </w:r>
          </w:p>
        </w:tc>
        <w:tc>
          <w:tcPr>
            <w:tcW w:w="354" w:type="pct"/>
            <w:vAlign w:val="center"/>
          </w:tcPr>
          <w:p w14:paraId="5EB2FC27">
            <w:pPr>
              <w:pStyle w:val="28"/>
              <w:bidi w:val="0"/>
              <w:rPr>
                <w:rFonts w:hint="default"/>
              </w:rPr>
            </w:pPr>
          </w:p>
        </w:tc>
        <w:tc>
          <w:tcPr>
            <w:tcW w:w="354" w:type="pct"/>
            <w:vAlign w:val="center"/>
          </w:tcPr>
          <w:p w14:paraId="2B4C4D6A">
            <w:pPr>
              <w:pStyle w:val="28"/>
              <w:bidi w:val="0"/>
              <w:rPr>
                <w:rFonts w:hint="default"/>
              </w:rPr>
            </w:pPr>
            <w:r>
              <w:rPr>
                <w:rFonts w:hint="default"/>
              </w:rPr>
              <w:t>2</w:t>
            </w:r>
          </w:p>
        </w:tc>
        <w:tc>
          <w:tcPr>
            <w:tcW w:w="354" w:type="pct"/>
            <w:vAlign w:val="center"/>
          </w:tcPr>
          <w:p w14:paraId="7C1FEF0E">
            <w:pPr>
              <w:pStyle w:val="28"/>
              <w:bidi w:val="0"/>
              <w:rPr>
                <w:rFonts w:hint="default"/>
              </w:rPr>
            </w:pPr>
          </w:p>
        </w:tc>
        <w:tc>
          <w:tcPr>
            <w:tcW w:w="364" w:type="pct"/>
            <w:vAlign w:val="center"/>
          </w:tcPr>
          <w:p w14:paraId="77535A46">
            <w:pPr>
              <w:pStyle w:val="28"/>
              <w:bidi w:val="0"/>
              <w:rPr>
                <w:rFonts w:hint="default"/>
              </w:rPr>
            </w:pPr>
            <w:r>
              <w:rPr>
                <w:rFonts w:hint="default"/>
              </w:rPr>
              <w:t>4</w:t>
            </w:r>
          </w:p>
        </w:tc>
        <w:tc>
          <w:tcPr>
            <w:tcW w:w="435" w:type="pct"/>
            <w:vAlign w:val="center"/>
          </w:tcPr>
          <w:p w14:paraId="17371D26">
            <w:pPr>
              <w:pStyle w:val="28"/>
              <w:bidi w:val="0"/>
              <w:rPr>
                <w:rFonts w:hint="default"/>
              </w:rPr>
            </w:pPr>
          </w:p>
        </w:tc>
      </w:tr>
      <w:tr w14:paraId="04BD6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3136BAF4">
            <w:pPr>
              <w:pStyle w:val="28"/>
              <w:bidi w:val="0"/>
              <w:rPr>
                <w:rFonts w:hint="default"/>
              </w:rPr>
            </w:pPr>
            <w:r>
              <w:rPr>
                <w:rFonts w:hint="default"/>
              </w:rPr>
              <w:t>一北干渠</w:t>
            </w:r>
          </w:p>
        </w:tc>
        <w:tc>
          <w:tcPr>
            <w:tcW w:w="529" w:type="pct"/>
            <w:vAlign w:val="center"/>
          </w:tcPr>
          <w:p w14:paraId="018962FC">
            <w:pPr>
              <w:pStyle w:val="28"/>
              <w:bidi w:val="0"/>
              <w:rPr>
                <w:rFonts w:hint="default"/>
              </w:rPr>
            </w:pPr>
            <w:r>
              <w:rPr>
                <w:rFonts w:hint="default"/>
              </w:rPr>
              <w:t>4893</w:t>
            </w:r>
          </w:p>
        </w:tc>
        <w:tc>
          <w:tcPr>
            <w:tcW w:w="530" w:type="pct"/>
            <w:vAlign w:val="center"/>
          </w:tcPr>
          <w:p w14:paraId="0233F272">
            <w:pPr>
              <w:pStyle w:val="28"/>
              <w:bidi w:val="0"/>
              <w:rPr>
                <w:rFonts w:hint="default"/>
              </w:rPr>
            </w:pPr>
          </w:p>
        </w:tc>
        <w:tc>
          <w:tcPr>
            <w:tcW w:w="355" w:type="pct"/>
            <w:vAlign w:val="center"/>
          </w:tcPr>
          <w:p w14:paraId="0DE18D85">
            <w:pPr>
              <w:pStyle w:val="28"/>
              <w:bidi w:val="0"/>
              <w:rPr>
                <w:rFonts w:hint="default"/>
              </w:rPr>
            </w:pPr>
          </w:p>
        </w:tc>
        <w:tc>
          <w:tcPr>
            <w:tcW w:w="355" w:type="pct"/>
            <w:vAlign w:val="center"/>
          </w:tcPr>
          <w:p w14:paraId="2AFDAD2D">
            <w:pPr>
              <w:pStyle w:val="28"/>
              <w:bidi w:val="0"/>
              <w:rPr>
                <w:rFonts w:hint="default"/>
              </w:rPr>
            </w:pPr>
          </w:p>
        </w:tc>
        <w:tc>
          <w:tcPr>
            <w:tcW w:w="355" w:type="pct"/>
            <w:vAlign w:val="center"/>
          </w:tcPr>
          <w:p w14:paraId="0418814B">
            <w:pPr>
              <w:pStyle w:val="28"/>
              <w:bidi w:val="0"/>
              <w:rPr>
                <w:rFonts w:hint="default"/>
              </w:rPr>
            </w:pPr>
          </w:p>
        </w:tc>
        <w:tc>
          <w:tcPr>
            <w:tcW w:w="354" w:type="pct"/>
            <w:vAlign w:val="center"/>
          </w:tcPr>
          <w:p w14:paraId="34B6D349">
            <w:pPr>
              <w:pStyle w:val="28"/>
              <w:bidi w:val="0"/>
              <w:rPr>
                <w:rFonts w:hint="default"/>
              </w:rPr>
            </w:pPr>
          </w:p>
        </w:tc>
        <w:tc>
          <w:tcPr>
            <w:tcW w:w="354" w:type="pct"/>
            <w:vAlign w:val="center"/>
          </w:tcPr>
          <w:p w14:paraId="431F045D">
            <w:pPr>
              <w:pStyle w:val="28"/>
              <w:bidi w:val="0"/>
              <w:rPr>
                <w:rFonts w:hint="default"/>
              </w:rPr>
            </w:pPr>
          </w:p>
        </w:tc>
        <w:tc>
          <w:tcPr>
            <w:tcW w:w="354" w:type="pct"/>
            <w:vAlign w:val="center"/>
          </w:tcPr>
          <w:p w14:paraId="61996CE3">
            <w:pPr>
              <w:pStyle w:val="28"/>
              <w:bidi w:val="0"/>
              <w:rPr>
                <w:rFonts w:hint="default"/>
              </w:rPr>
            </w:pPr>
          </w:p>
        </w:tc>
        <w:tc>
          <w:tcPr>
            <w:tcW w:w="354" w:type="pct"/>
            <w:vAlign w:val="center"/>
          </w:tcPr>
          <w:p w14:paraId="4509B0A0">
            <w:pPr>
              <w:pStyle w:val="28"/>
              <w:bidi w:val="0"/>
              <w:rPr>
                <w:rFonts w:hint="default"/>
              </w:rPr>
            </w:pPr>
          </w:p>
        </w:tc>
        <w:tc>
          <w:tcPr>
            <w:tcW w:w="364" w:type="pct"/>
            <w:vAlign w:val="center"/>
          </w:tcPr>
          <w:p w14:paraId="25DEB260">
            <w:pPr>
              <w:pStyle w:val="28"/>
              <w:bidi w:val="0"/>
              <w:rPr>
                <w:rFonts w:hint="default"/>
              </w:rPr>
            </w:pPr>
          </w:p>
        </w:tc>
        <w:tc>
          <w:tcPr>
            <w:tcW w:w="435" w:type="pct"/>
            <w:vAlign w:val="center"/>
          </w:tcPr>
          <w:p w14:paraId="51BBBF3D">
            <w:pPr>
              <w:pStyle w:val="28"/>
              <w:bidi w:val="0"/>
              <w:rPr>
                <w:rFonts w:hint="default"/>
              </w:rPr>
            </w:pPr>
          </w:p>
        </w:tc>
      </w:tr>
      <w:tr w14:paraId="0F67C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6BE5048B">
            <w:pPr>
              <w:pStyle w:val="28"/>
              <w:bidi w:val="0"/>
              <w:rPr>
                <w:rFonts w:hint="default"/>
              </w:rPr>
            </w:pPr>
            <w:r>
              <w:rPr>
                <w:rFonts w:hint="default"/>
              </w:rPr>
              <w:t>双庙支渠</w:t>
            </w:r>
          </w:p>
        </w:tc>
        <w:tc>
          <w:tcPr>
            <w:tcW w:w="529" w:type="pct"/>
            <w:vAlign w:val="center"/>
          </w:tcPr>
          <w:p w14:paraId="76EDE560">
            <w:pPr>
              <w:pStyle w:val="28"/>
              <w:bidi w:val="0"/>
              <w:rPr>
                <w:rFonts w:hint="default"/>
              </w:rPr>
            </w:pPr>
            <w:r>
              <w:rPr>
                <w:rFonts w:hint="default"/>
              </w:rPr>
              <w:t>450</w:t>
            </w:r>
          </w:p>
        </w:tc>
        <w:tc>
          <w:tcPr>
            <w:tcW w:w="530" w:type="pct"/>
            <w:vAlign w:val="center"/>
          </w:tcPr>
          <w:p w14:paraId="32098EAE">
            <w:pPr>
              <w:pStyle w:val="28"/>
              <w:bidi w:val="0"/>
              <w:rPr>
                <w:rFonts w:hint="default"/>
              </w:rPr>
            </w:pPr>
          </w:p>
        </w:tc>
        <w:tc>
          <w:tcPr>
            <w:tcW w:w="355" w:type="pct"/>
            <w:vAlign w:val="center"/>
          </w:tcPr>
          <w:p w14:paraId="4054F0AF">
            <w:pPr>
              <w:pStyle w:val="28"/>
              <w:bidi w:val="0"/>
              <w:rPr>
                <w:rFonts w:hint="default"/>
              </w:rPr>
            </w:pPr>
          </w:p>
        </w:tc>
        <w:tc>
          <w:tcPr>
            <w:tcW w:w="355" w:type="pct"/>
            <w:vAlign w:val="center"/>
          </w:tcPr>
          <w:p w14:paraId="25623289">
            <w:pPr>
              <w:pStyle w:val="28"/>
              <w:bidi w:val="0"/>
              <w:rPr>
                <w:rFonts w:hint="default"/>
              </w:rPr>
            </w:pPr>
          </w:p>
        </w:tc>
        <w:tc>
          <w:tcPr>
            <w:tcW w:w="355" w:type="pct"/>
            <w:vAlign w:val="center"/>
          </w:tcPr>
          <w:p w14:paraId="7A914BC7">
            <w:pPr>
              <w:pStyle w:val="28"/>
              <w:bidi w:val="0"/>
              <w:rPr>
                <w:rFonts w:hint="default"/>
              </w:rPr>
            </w:pPr>
          </w:p>
        </w:tc>
        <w:tc>
          <w:tcPr>
            <w:tcW w:w="354" w:type="pct"/>
            <w:vAlign w:val="center"/>
          </w:tcPr>
          <w:p w14:paraId="22C8E50D">
            <w:pPr>
              <w:pStyle w:val="28"/>
              <w:bidi w:val="0"/>
              <w:rPr>
                <w:rFonts w:hint="default"/>
              </w:rPr>
            </w:pPr>
          </w:p>
        </w:tc>
        <w:tc>
          <w:tcPr>
            <w:tcW w:w="354" w:type="pct"/>
            <w:vAlign w:val="center"/>
          </w:tcPr>
          <w:p w14:paraId="2250C469">
            <w:pPr>
              <w:pStyle w:val="28"/>
              <w:bidi w:val="0"/>
              <w:rPr>
                <w:rFonts w:hint="default"/>
              </w:rPr>
            </w:pPr>
          </w:p>
        </w:tc>
        <w:tc>
          <w:tcPr>
            <w:tcW w:w="354" w:type="pct"/>
            <w:vAlign w:val="center"/>
          </w:tcPr>
          <w:p w14:paraId="21F96D01">
            <w:pPr>
              <w:pStyle w:val="28"/>
              <w:bidi w:val="0"/>
              <w:rPr>
                <w:rFonts w:hint="default"/>
              </w:rPr>
            </w:pPr>
          </w:p>
        </w:tc>
        <w:tc>
          <w:tcPr>
            <w:tcW w:w="354" w:type="pct"/>
            <w:vAlign w:val="center"/>
          </w:tcPr>
          <w:p w14:paraId="6C9C73C9">
            <w:pPr>
              <w:pStyle w:val="28"/>
              <w:bidi w:val="0"/>
              <w:rPr>
                <w:rFonts w:hint="default"/>
              </w:rPr>
            </w:pPr>
          </w:p>
        </w:tc>
        <w:tc>
          <w:tcPr>
            <w:tcW w:w="364" w:type="pct"/>
            <w:vAlign w:val="center"/>
          </w:tcPr>
          <w:p w14:paraId="3F53EE58">
            <w:pPr>
              <w:pStyle w:val="28"/>
              <w:bidi w:val="0"/>
              <w:rPr>
                <w:rFonts w:hint="default"/>
              </w:rPr>
            </w:pPr>
          </w:p>
        </w:tc>
        <w:tc>
          <w:tcPr>
            <w:tcW w:w="435" w:type="pct"/>
            <w:vAlign w:val="center"/>
          </w:tcPr>
          <w:p w14:paraId="26ED0F34">
            <w:pPr>
              <w:pStyle w:val="28"/>
              <w:bidi w:val="0"/>
              <w:rPr>
                <w:rFonts w:hint="default"/>
              </w:rPr>
            </w:pPr>
          </w:p>
        </w:tc>
      </w:tr>
      <w:tr w14:paraId="3140D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46E47593">
            <w:pPr>
              <w:pStyle w:val="28"/>
              <w:bidi w:val="0"/>
              <w:rPr>
                <w:rFonts w:hint="default"/>
              </w:rPr>
            </w:pPr>
            <w:r>
              <w:rPr>
                <w:rFonts w:hint="default"/>
              </w:rPr>
              <w:t>方庄支渠</w:t>
            </w:r>
          </w:p>
        </w:tc>
        <w:tc>
          <w:tcPr>
            <w:tcW w:w="529" w:type="pct"/>
            <w:vAlign w:val="center"/>
          </w:tcPr>
          <w:p w14:paraId="78B5EE95">
            <w:pPr>
              <w:pStyle w:val="28"/>
              <w:bidi w:val="0"/>
              <w:rPr>
                <w:rFonts w:hint="default"/>
              </w:rPr>
            </w:pPr>
          </w:p>
        </w:tc>
        <w:tc>
          <w:tcPr>
            <w:tcW w:w="530" w:type="pct"/>
            <w:vAlign w:val="center"/>
          </w:tcPr>
          <w:p w14:paraId="11C2E407">
            <w:pPr>
              <w:pStyle w:val="28"/>
              <w:bidi w:val="0"/>
              <w:rPr>
                <w:rFonts w:hint="default"/>
              </w:rPr>
            </w:pPr>
            <w:r>
              <w:rPr>
                <w:rFonts w:hint="default"/>
              </w:rPr>
              <w:t>2500</w:t>
            </w:r>
          </w:p>
        </w:tc>
        <w:tc>
          <w:tcPr>
            <w:tcW w:w="355" w:type="pct"/>
            <w:vAlign w:val="center"/>
          </w:tcPr>
          <w:p w14:paraId="3B332663">
            <w:pPr>
              <w:pStyle w:val="28"/>
              <w:bidi w:val="0"/>
              <w:rPr>
                <w:rFonts w:hint="default"/>
              </w:rPr>
            </w:pPr>
          </w:p>
        </w:tc>
        <w:tc>
          <w:tcPr>
            <w:tcW w:w="355" w:type="pct"/>
            <w:vAlign w:val="center"/>
          </w:tcPr>
          <w:p w14:paraId="07DB6E89">
            <w:pPr>
              <w:pStyle w:val="28"/>
              <w:bidi w:val="0"/>
              <w:rPr>
                <w:rFonts w:hint="default"/>
              </w:rPr>
            </w:pPr>
          </w:p>
        </w:tc>
        <w:tc>
          <w:tcPr>
            <w:tcW w:w="355" w:type="pct"/>
            <w:vAlign w:val="center"/>
          </w:tcPr>
          <w:p w14:paraId="37E9C81A">
            <w:pPr>
              <w:pStyle w:val="28"/>
              <w:bidi w:val="0"/>
              <w:rPr>
                <w:rFonts w:hint="default"/>
              </w:rPr>
            </w:pPr>
          </w:p>
        </w:tc>
        <w:tc>
          <w:tcPr>
            <w:tcW w:w="354" w:type="pct"/>
            <w:vAlign w:val="center"/>
          </w:tcPr>
          <w:p w14:paraId="6699F25D">
            <w:pPr>
              <w:pStyle w:val="28"/>
              <w:bidi w:val="0"/>
              <w:rPr>
                <w:rFonts w:hint="default"/>
              </w:rPr>
            </w:pPr>
          </w:p>
        </w:tc>
        <w:tc>
          <w:tcPr>
            <w:tcW w:w="354" w:type="pct"/>
            <w:vAlign w:val="center"/>
          </w:tcPr>
          <w:p w14:paraId="48C57DCF">
            <w:pPr>
              <w:pStyle w:val="28"/>
              <w:bidi w:val="0"/>
              <w:rPr>
                <w:rFonts w:hint="default"/>
              </w:rPr>
            </w:pPr>
          </w:p>
        </w:tc>
        <w:tc>
          <w:tcPr>
            <w:tcW w:w="354" w:type="pct"/>
            <w:vAlign w:val="center"/>
          </w:tcPr>
          <w:p w14:paraId="05C16CE6">
            <w:pPr>
              <w:pStyle w:val="28"/>
              <w:bidi w:val="0"/>
              <w:rPr>
                <w:rFonts w:hint="default"/>
              </w:rPr>
            </w:pPr>
          </w:p>
        </w:tc>
        <w:tc>
          <w:tcPr>
            <w:tcW w:w="354" w:type="pct"/>
            <w:vAlign w:val="center"/>
          </w:tcPr>
          <w:p w14:paraId="1AF5C4B1">
            <w:pPr>
              <w:pStyle w:val="28"/>
              <w:bidi w:val="0"/>
              <w:rPr>
                <w:rFonts w:hint="default"/>
              </w:rPr>
            </w:pPr>
          </w:p>
        </w:tc>
        <w:tc>
          <w:tcPr>
            <w:tcW w:w="364" w:type="pct"/>
            <w:vAlign w:val="center"/>
          </w:tcPr>
          <w:p w14:paraId="63178716">
            <w:pPr>
              <w:pStyle w:val="28"/>
              <w:bidi w:val="0"/>
              <w:rPr>
                <w:rFonts w:hint="default"/>
              </w:rPr>
            </w:pPr>
          </w:p>
        </w:tc>
        <w:tc>
          <w:tcPr>
            <w:tcW w:w="435" w:type="pct"/>
            <w:vAlign w:val="center"/>
          </w:tcPr>
          <w:p w14:paraId="148E2B42">
            <w:pPr>
              <w:pStyle w:val="28"/>
              <w:bidi w:val="0"/>
              <w:rPr>
                <w:rFonts w:hint="default"/>
              </w:rPr>
            </w:pPr>
          </w:p>
        </w:tc>
      </w:tr>
      <w:tr w14:paraId="1AC2D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551BAF97">
            <w:pPr>
              <w:pStyle w:val="28"/>
              <w:bidi w:val="0"/>
              <w:rPr>
                <w:rFonts w:hint="default"/>
              </w:rPr>
            </w:pPr>
            <w:r>
              <w:rPr>
                <w:rFonts w:hint="default"/>
              </w:rPr>
              <w:t>朱集一站管理区建设及绿化工程</w:t>
            </w:r>
          </w:p>
        </w:tc>
        <w:tc>
          <w:tcPr>
            <w:tcW w:w="529" w:type="pct"/>
            <w:vAlign w:val="center"/>
          </w:tcPr>
          <w:p w14:paraId="5ECB51DA">
            <w:pPr>
              <w:pStyle w:val="28"/>
              <w:bidi w:val="0"/>
              <w:rPr>
                <w:rFonts w:hint="default"/>
              </w:rPr>
            </w:pPr>
          </w:p>
        </w:tc>
        <w:tc>
          <w:tcPr>
            <w:tcW w:w="530" w:type="pct"/>
            <w:vAlign w:val="center"/>
          </w:tcPr>
          <w:p w14:paraId="4C9DF994">
            <w:pPr>
              <w:pStyle w:val="28"/>
              <w:bidi w:val="0"/>
              <w:rPr>
                <w:rFonts w:hint="default"/>
              </w:rPr>
            </w:pPr>
          </w:p>
        </w:tc>
        <w:tc>
          <w:tcPr>
            <w:tcW w:w="355" w:type="pct"/>
            <w:vAlign w:val="center"/>
          </w:tcPr>
          <w:p w14:paraId="0CF39F39">
            <w:pPr>
              <w:pStyle w:val="28"/>
              <w:bidi w:val="0"/>
              <w:rPr>
                <w:rFonts w:hint="default"/>
              </w:rPr>
            </w:pPr>
          </w:p>
        </w:tc>
        <w:tc>
          <w:tcPr>
            <w:tcW w:w="355" w:type="pct"/>
            <w:vAlign w:val="center"/>
          </w:tcPr>
          <w:p w14:paraId="511E7CB5">
            <w:pPr>
              <w:pStyle w:val="28"/>
              <w:bidi w:val="0"/>
              <w:rPr>
                <w:rFonts w:hint="default"/>
              </w:rPr>
            </w:pPr>
          </w:p>
        </w:tc>
        <w:tc>
          <w:tcPr>
            <w:tcW w:w="355" w:type="pct"/>
            <w:vAlign w:val="center"/>
          </w:tcPr>
          <w:p w14:paraId="5BDCFD11">
            <w:pPr>
              <w:pStyle w:val="28"/>
              <w:bidi w:val="0"/>
              <w:rPr>
                <w:rFonts w:hint="default"/>
              </w:rPr>
            </w:pPr>
          </w:p>
        </w:tc>
        <w:tc>
          <w:tcPr>
            <w:tcW w:w="354" w:type="pct"/>
            <w:vAlign w:val="center"/>
          </w:tcPr>
          <w:p w14:paraId="1F332773">
            <w:pPr>
              <w:pStyle w:val="28"/>
              <w:bidi w:val="0"/>
              <w:rPr>
                <w:rFonts w:hint="default"/>
              </w:rPr>
            </w:pPr>
          </w:p>
        </w:tc>
        <w:tc>
          <w:tcPr>
            <w:tcW w:w="354" w:type="pct"/>
            <w:vAlign w:val="center"/>
          </w:tcPr>
          <w:p w14:paraId="4F7D23D8">
            <w:pPr>
              <w:pStyle w:val="28"/>
              <w:bidi w:val="0"/>
              <w:rPr>
                <w:rFonts w:hint="default"/>
              </w:rPr>
            </w:pPr>
          </w:p>
        </w:tc>
        <w:tc>
          <w:tcPr>
            <w:tcW w:w="354" w:type="pct"/>
            <w:vAlign w:val="center"/>
          </w:tcPr>
          <w:p w14:paraId="289E1ECB">
            <w:pPr>
              <w:pStyle w:val="28"/>
              <w:bidi w:val="0"/>
              <w:rPr>
                <w:rFonts w:hint="default"/>
              </w:rPr>
            </w:pPr>
          </w:p>
        </w:tc>
        <w:tc>
          <w:tcPr>
            <w:tcW w:w="354" w:type="pct"/>
            <w:vAlign w:val="center"/>
          </w:tcPr>
          <w:p w14:paraId="41E0040F">
            <w:pPr>
              <w:pStyle w:val="28"/>
              <w:bidi w:val="0"/>
              <w:rPr>
                <w:rFonts w:hint="default"/>
              </w:rPr>
            </w:pPr>
            <w:r>
              <w:rPr>
                <w:rFonts w:hint="default"/>
              </w:rPr>
              <w:t>1</w:t>
            </w:r>
          </w:p>
        </w:tc>
        <w:tc>
          <w:tcPr>
            <w:tcW w:w="364" w:type="pct"/>
            <w:vAlign w:val="center"/>
          </w:tcPr>
          <w:p w14:paraId="24280380">
            <w:pPr>
              <w:pStyle w:val="28"/>
              <w:bidi w:val="0"/>
              <w:rPr>
                <w:rFonts w:hint="default"/>
              </w:rPr>
            </w:pPr>
            <w:r>
              <w:rPr>
                <w:rFonts w:hint="default"/>
              </w:rPr>
              <w:t>1</w:t>
            </w:r>
          </w:p>
        </w:tc>
        <w:tc>
          <w:tcPr>
            <w:tcW w:w="435" w:type="pct"/>
            <w:vAlign w:val="center"/>
          </w:tcPr>
          <w:p w14:paraId="518EB4C6">
            <w:pPr>
              <w:pStyle w:val="28"/>
              <w:bidi w:val="0"/>
              <w:rPr>
                <w:rFonts w:hint="default"/>
              </w:rPr>
            </w:pPr>
          </w:p>
        </w:tc>
      </w:tr>
      <w:tr w14:paraId="60A515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357DB229">
            <w:pPr>
              <w:pStyle w:val="28"/>
              <w:bidi w:val="0"/>
              <w:rPr>
                <w:rFonts w:hint="default"/>
              </w:rPr>
            </w:pPr>
            <w:r>
              <w:rPr>
                <w:rFonts w:hint="default"/>
              </w:rPr>
              <w:t>朱集二站管理区建设、朱集管理所管理区建设及绿化工程</w:t>
            </w:r>
          </w:p>
        </w:tc>
        <w:tc>
          <w:tcPr>
            <w:tcW w:w="529" w:type="pct"/>
            <w:vAlign w:val="center"/>
          </w:tcPr>
          <w:p w14:paraId="4CAAA49A">
            <w:pPr>
              <w:pStyle w:val="28"/>
              <w:bidi w:val="0"/>
              <w:rPr>
                <w:rFonts w:hint="default"/>
              </w:rPr>
            </w:pPr>
          </w:p>
        </w:tc>
        <w:tc>
          <w:tcPr>
            <w:tcW w:w="530" w:type="pct"/>
            <w:vAlign w:val="center"/>
          </w:tcPr>
          <w:p w14:paraId="0CF53225">
            <w:pPr>
              <w:pStyle w:val="28"/>
              <w:bidi w:val="0"/>
              <w:rPr>
                <w:rFonts w:hint="default"/>
              </w:rPr>
            </w:pPr>
          </w:p>
        </w:tc>
        <w:tc>
          <w:tcPr>
            <w:tcW w:w="355" w:type="pct"/>
            <w:vAlign w:val="center"/>
          </w:tcPr>
          <w:p w14:paraId="01820648">
            <w:pPr>
              <w:pStyle w:val="28"/>
              <w:bidi w:val="0"/>
              <w:rPr>
                <w:rFonts w:hint="default"/>
              </w:rPr>
            </w:pPr>
          </w:p>
        </w:tc>
        <w:tc>
          <w:tcPr>
            <w:tcW w:w="355" w:type="pct"/>
            <w:vAlign w:val="center"/>
          </w:tcPr>
          <w:p w14:paraId="39C45D6C">
            <w:pPr>
              <w:pStyle w:val="28"/>
              <w:bidi w:val="0"/>
              <w:rPr>
                <w:rFonts w:hint="default"/>
              </w:rPr>
            </w:pPr>
          </w:p>
        </w:tc>
        <w:tc>
          <w:tcPr>
            <w:tcW w:w="355" w:type="pct"/>
            <w:vAlign w:val="center"/>
          </w:tcPr>
          <w:p w14:paraId="6370387E">
            <w:pPr>
              <w:pStyle w:val="28"/>
              <w:bidi w:val="0"/>
              <w:rPr>
                <w:rFonts w:hint="default"/>
              </w:rPr>
            </w:pPr>
          </w:p>
        </w:tc>
        <w:tc>
          <w:tcPr>
            <w:tcW w:w="354" w:type="pct"/>
            <w:vAlign w:val="center"/>
          </w:tcPr>
          <w:p w14:paraId="1B045874">
            <w:pPr>
              <w:pStyle w:val="28"/>
              <w:bidi w:val="0"/>
              <w:rPr>
                <w:rFonts w:hint="default"/>
              </w:rPr>
            </w:pPr>
          </w:p>
        </w:tc>
        <w:tc>
          <w:tcPr>
            <w:tcW w:w="354" w:type="pct"/>
            <w:vAlign w:val="center"/>
          </w:tcPr>
          <w:p w14:paraId="5C93FC54">
            <w:pPr>
              <w:pStyle w:val="28"/>
              <w:bidi w:val="0"/>
              <w:rPr>
                <w:rFonts w:hint="default"/>
              </w:rPr>
            </w:pPr>
          </w:p>
        </w:tc>
        <w:tc>
          <w:tcPr>
            <w:tcW w:w="354" w:type="pct"/>
            <w:vAlign w:val="center"/>
          </w:tcPr>
          <w:p w14:paraId="57A76CD9">
            <w:pPr>
              <w:pStyle w:val="28"/>
              <w:bidi w:val="0"/>
              <w:rPr>
                <w:rFonts w:hint="default"/>
              </w:rPr>
            </w:pPr>
          </w:p>
        </w:tc>
        <w:tc>
          <w:tcPr>
            <w:tcW w:w="354" w:type="pct"/>
            <w:vAlign w:val="center"/>
          </w:tcPr>
          <w:p w14:paraId="019F21A4">
            <w:pPr>
              <w:pStyle w:val="28"/>
              <w:bidi w:val="0"/>
              <w:rPr>
                <w:rFonts w:hint="default"/>
              </w:rPr>
            </w:pPr>
            <w:r>
              <w:rPr>
                <w:rFonts w:hint="default"/>
              </w:rPr>
              <w:t>1</w:t>
            </w:r>
          </w:p>
        </w:tc>
        <w:tc>
          <w:tcPr>
            <w:tcW w:w="364" w:type="pct"/>
            <w:vAlign w:val="center"/>
          </w:tcPr>
          <w:p w14:paraId="7C606636">
            <w:pPr>
              <w:pStyle w:val="28"/>
              <w:bidi w:val="0"/>
              <w:rPr>
                <w:rFonts w:hint="default"/>
              </w:rPr>
            </w:pPr>
            <w:r>
              <w:rPr>
                <w:rFonts w:hint="default"/>
              </w:rPr>
              <w:t>1</w:t>
            </w:r>
          </w:p>
        </w:tc>
        <w:tc>
          <w:tcPr>
            <w:tcW w:w="435" w:type="pct"/>
            <w:vAlign w:val="center"/>
          </w:tcPr>
          <w:p w14:paraId="66F2604B">
            <w:pPr>
              <w:pStyle w:val="28"/>
              <w:bidi w:val="0"/>
              <w:rPr>
                <w:rFonts w:hint="default"/>
              </w:rPr>
            </w:pPr>
          </w:p>
        </w:tc>
      </w:tr>
      <w:tr w14:paraId="6C3F6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3BAE2F8E">
            <w:pPr>
              <w:pStyle w:val="28"/>
              <w:bidi w:val="0"/>
              <w:rPr>
                <w:rFonts w:hint="default"/>
              </w:rPr>
            </w:pPr>
            <w:r>
              <w:rPr>
                <w:rFonts w:hint="default"/>
              </w:rPr>
              <w:t>杨公三站管理区建设及绿化工程</w:t>
            </w:r>
          </w:p>
        </w:tc>
        <w:tc>
          <w:tcPr>
            <w:tcW w:w="529" w:type="pct"/>
            <w:vAlign w:val="center"/>
          </w:tcPr>
          <w:p w14:paraId="649280F7">
            <w:pPr>
              <w:pStyle w:val="28"/>
              <w:bidi w:val="0"/>
              <w:rPr>
                <w:rFonts w:hint="default"/>
              </w:rPr>
            </w:pPr>
          </w:p>
        </w:tc>
        <w:tc>
          <w:tcPr>
            <w:tcW w:w="530" w:type="pct"/>
            <w:vAlign w:val="center"/>
          </w:tcPr>
          <w:p w14:paraId="08342DB1">
            <w:pPr>
              <w:pStyle w:val="28"/>
              <w:bidi w:val="0"/>
              <w:rPr>
                <w:rFonts w:hint="default"/>
              </w:rPr>
            </w:pPr>
          </w:p>
        </w:tc>
        <w:tc>
          <w:tcPr>
            <w:tcW w:w="355" w:type="pct"/>
            <w:vAlign w:val="center"/>
          </w:tcPr>
          <w:p w14:paraId="22F250F3">
            <w:pPr>
              <w:pStyle w:val="28"/>
              <w:bidi w:val="0"/>
              <w:rPr>
                <w:rFonts w:hint="default"/>
              </w:rPr>
            </w:pPr>
          </w:p>
        </w:tc>
        <w:tc>
          <w:tcPr>
            <w:tcW w:w="355" w:type="pct"/>
            <w:vAlign w:val="center"/>
          </w:tcPr>
          <w:p w14:paraId="4ACDA9F5">
            <w:pPr>
              <w:pStyle w:val="28"/>
              <w:bidi w:val="0"/>
              <w:rPr>
                <w:rFonts w:hint="default"/>
              </w:rPr>
            </w:pPr>
          </w:p>
        </w:tc>
        <w:tc>
          <w:tcPr>
            <w:tcW w:w="355" w:type="pct"/>
            <w:vAlign w:val="center"/>
          </w:tcPr>
          <w:p w14:paraId="71E061EB">
            <w:pPr>
              <w:pStyle w:val="28"/>
              <w:bidi w:val="0"/>
              <w:rPr>
                <w:rFonts w:hint="default"/>
              </w:rPr>
            </w:pPr>
          </w:p>
        </w:tc>
        <w:tc>
          <w:tcPr>
            <w:tcW w:w="354" w:type="pct"/>
            <w:vAlign w:val="center"/>
          </w:tcPr>
          <w:p w14:paraId="14A121E1">
            <w:pPr>
              <w:pStyle w:val="28"/>
              <w:bidi w:val="0"/>
              <w:rPr>
                <w:rFonts w:hint="default"/>
              </w:rPr>
            </w:pPr>
          </w:p>
        </w:tc>
        <w:tc>
          <w:tcPr>
            <w:tcW w:w="354" w:type="pct"/>
            <w:vAlign w:val="center"/>
          </w:tcPr>
          <w:p w14:paraId="3CE2D9FE">
            <w:pPr>
              <w:pStyle w:val="28"/>
              <w:bidi w:val="0"/>
              <w:rPr>
                <w:rFonts w:hint="default"/>
              </w:rPr>
            </w:pPr>
          </w:p>
        </w:tc>
        <w:tc>
          <w:tcPr>
            <w:tcW w:w="354" w:type="pct"/>
            <w:vAlign w:val="center"/>
          </w:tcPr>
          <w:p w14:paraId="13C738A7">
            <w:pPr>
              <w:pStyle w:val="28"/>
              <w:bidi w:val="0"/>
              <w:rPr>
                <w:rFonts w:hint="default"/>
              </w:rPr>
            </w:pPr>
          </w:p>
        </w:tc>
        <w:tc>
          <w:tcPr>
            <w:tcW w:w="354" w:type="pct"/>
            <w:vAlign w:val="center"/>
          </w:tcPr>
          <w:p w14:paraId="7E88F2CC">
            <w:pPr>
              <w:pStyle w:val="28"/>
              <w:bidi w:val="0"/>
              <w:rPr>
                <w:rFonts w:hint="default"/>
              </w:rPr>
            </w:pPr>
            <w:r>
              <w:rPr>
                <w:rFonts w:hint="default"/>
              </w:rPr>
              <w:t>1</w:t>
            </w:r>
          </w:p>
        </w:tc>
        <w:tc>
          <w:tcPr>
            <w:tcW w:w="364" w:type="pct"/>
            <w:vAlign w:val="center"/>
          </w:tcPr>
          <w:p w14:paraId="2469433A">
            <w:pPr>
              <w:pStyle w:val="28"/>
              <w:bidi w:val="0"/>
              <w:rPr>
                <w:rFonts w:hint="default"/>
              </w:rPr>
            </w:pPr>
            <w:r>
              <w:rPr>
                <w:rFonts w:hint="default"/>
              </w:rPr>
              <w:t>1</w:t>
            </w:r>
          </w:p>
        </w:tc>
        <w:tc>
          <w:tcPr>
            <w:tcW w:w="435" w:type="pct"/>
            <w:vAlign w:val="center"/>
          </w:tcPr>
          <w:p w14:paraId="43B6AFFD">
            <w:pPr>
              <w:pStyle w:val="28"/>
              <w:bidi w:val="0"/>
              <w:rPr>
                <w:rFonts w:hint="default"/>
              </w:rPr>
            </w:pPr>
          </w:p>
        </w:tc>
      </w:tr>
      <w:tr w14:paraId="2B8B2D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 w:hRule="atLeast"/>
          <w:jc w:val="center"/>
        </w:trPr>
        <w:tc>
          <w:tcPr>
            <w:tcW w:w="655" w:type="pct"/>
            <w:vAlign w:val="center"/>
          </w:tcPr>
          <w:p w14:paraId="3784AAE6">
            <w:pPr>
              <w:pStyle w:val="28"/>
              <w:bidi w:val="0"/>
              <w:rPr>
                <w:rFonts w:hint="default"/>
              </w:rPr>
            </w:pPr>
            <w:r>
              <w:rPr>
                <w:rFonts w:hint="default"/>
              </w:rPr>
              <w:t>原朱集管理站屋面改造工程</w:t>
            </w:r>
          </w:p>
        </w:tc>
        <w:tc>
          <w:tcPr>
            <w:tcW w:w="529" w:type="pct"/>
            <w:vAlign w:val="center"/>
          </w:tcPr>
          <w:p w14:paraId="11F5CCC2">
            <w:pPr>
              <w:pStyle w:val="28"/>
              <w:bidi w:val="0"/>
              <w:rPr>
                <w:rFonts w:hint="default"/>
              </w:rPr>
            </w:pPr>
          </w:p>
        </w:tc>
        <w:tc>
          <w:tcPr>
            <w:tcW w:w="530" w:type="pct"/>
            <w:vAlign w:val="center"/>
          </w:tcPr>
          <w:p w14:paraId="64F17E7C">
            <w:pPr>
              <w:pStyle w:val="28"/>
              <w:bidi w:val="0"/>
              <w:rPr>
                <w:rFonts w:hint="default"/>
              </w:rPr>
            </w:pPr>
          </w:p>
        </w:tc>
        <w:tc>
          <w:tcPr>
            <w:tcW w:w="355" w:type="pct"/>
            <w:vAlign w:val="center"/>
          </w:tcPr>
          <w:p w14:paraId="10C2C468">
            <w:pPr>
              <w:pStyle w:val="28"/>
              <w:bidi w:val="0"/>
              <w:rPr>
                <w:rFonts w:hint="default"/>
              </w:rPr>
            </w:pPr>
          </w:p>
        </w:tc>
        <w:tc>
          <w:tcPr>
            <w:tcW w:w="355" w:type="pct"/>
            <w:vAlign w:val="center"/>
          </w:tcPr>
          <w:p w14:paraId="2FB1C65B">
            <w:pPr>
              <w:pStyle w:val="28"/>
              <w:bidi w:val="0"/>
              <w:rPr>
                <w:rFonts w:hint="default"/>
              </w:rPr>
            </w:pPr>
          </w:p>
        </w:tc>
        <w:tc>
          <w:tcPr>
            <w:tcW w:w="355" w:type="pct"/>
            <w:vAlign w:val="center"/>
          </w:tcPr>
          <w:p w14:paraId="057704E8">
            <w:pPr>
              <w:pStyle w:val="28"/>
              <w:bidi w:val="0"/>
              <w:rPr>
                <w:rFonts w:hint="default"/>
              </w:rPr>
            </w:pPr>
          </w:p>
        </w:tc>
        <w:tc>
          <w:tcPr>
            <w:tcW w:w="354" w:type="pct"/>
            <w:vAlign w:val="center"/>
          </w:tcPr>
          <w:p w14:paraId="7BB66E05">
            <w:pPr>
              <w:pStyle w:val="28"/>
              <w:bidi w:val="0"/>
              <w:rPr>
                <w:rFonts w:hint="default"/>
              </w:rPr>
            </w:pPr>
          </w:p>
        </w:tc>
        <w:tc>
          <w:tcPr>
            <w:tcW w:w="354" w:type="pct"/>
            <w:vAlign w:val="center"/>
          </w:tcPr>
          <w:p w14:paraId="2151BC78">
            <w:pPr>
              <w:pStyle w:val="28"/>
              <w:bidi w:val="0"/>
              <w:rPr>
                <w:rFonts w:hint="default"/>
              </w:rPr>
            </w:pPr>
          </w:p>
        </w:tc>
        <w:tc>
          <w:tcPr>
            <w:tcW w:w="354" w:type="pct"/>
            <w:vAlign w:val="center"/>
          </w:tcPr>
          <w:p w14:paraId="20957C38">
            <w:pPr>
              <w:pStyle w:val="28"/>
              <w:bidi w:val="0"/>
              <w:rPr>
                <w:rFonts w:hint="default"/>
              </w:rPr>
            </w:pPr>
          </w:p>
        </w:tc>
        <w:tc>
          <w:tcPr>
            <w:tcW w:w="354" w:type="pct"/>
            <w:vAlign w:val="center"/>
          </w:tcPr>
          <w:p w14:paraId="175165CC">
            <w:pPr>
              <w:pStyle w:val="28"/>
              <w:bidi w:val="0"/>
              <w:rPr>
                <w:rFonts w:hint="default"/>
              </w:rPr>
            </w:pPr>
            <w:r>
              <w:rPr>
                <w:rFonts w:hint="default"/>
              </w:rPr>
              <w:t>1</w:t>
            </w:r>
          </w:p>
        </w:tc>
        <w:tc>
          <w:tcPr>
            <w:tcW w:w="364" w:type="pct"/>
            <w:vAlign w:val="center"/>
          </w:tcPr>
          <w:p w14:paraId="54A08EC6">
            <w:pPr>
              <w:pStyle w:val="28"/>
              <w:bidi w:val="0"/>
              <w:rPr>
                <w:rFonts w:hint="default"/>
              </w:rPr>
            </w:pPr>
            <w:r>
              <w:rPr>
                <w:rFonts w:hint="default"/>
              </w:rPr>
              <w:t>1</w:t>
            </w:r>
          </w:p>
        </w:tc>
        <w:tc>
          <w:tcPr>
            <w:tcW w:w="435" w:type="pct"/>
            <w:vAlign w:val="center"/>
          </w:tcPr>
          <w:p w14:paraId="5B55074B">
            <w:pPr>
              <w:pStyle w:val="28"/>
              <w:bidi w:val="0"/>
              <w:rPr>
                <w:rFonts w:hint="default"/>
              </w:rPr>
            </w:pPr>
          </w:p>
        </w:tc>
      </w:tr>
    </w:tbl>
    <w:p w14:paraId="0980857F"/>
    <w:p w14:paraId="613D6C05">
      <w:pPr>
        <w:pStyle w:val="3"/>
        <w:bidi w:val="0"/>
      </w:pPr>
      <w:bookmarkStart w:id="9" w:name="_Toc24018"/>
      <w:r>
        <w:t>二、建设项目特点</w:t>
      </w:r>
      <w:bookmarkEnd w:id="9"/>
    </w:p>
    <w:p w14:paraId="779AF51B">
      <w:pPr>
        <w:rPr>
          <w:rFonts w:cs="Times New Roman"/>
        </w:rPr>
      </w:pPr>
      <w:r>
        <w:rPr>
          <w:rFonts w:cs="Times New Roman"/>
        </w:rPr>
        <w:t>（1）工程主要涉及的行政区域：</w:t>
      </w:r>
    </w:p>
    <w:p w14:paraId="306DD43C">
      <w:pPr>
        <w:ind w:firstLine="480" w:firstLineChars="200"/>
        <w:rPr>
          <w:rFonts w:cs="Times New Roman"/>
        </w:rPr>
      </w:pPr>
      <w:r>
        <w:rPr>
          <w:rFonts w:cs="Times New Roman"/>
        </w:rPr>
        <w:t>淮南市</w:t>
      </w:r>
      <w:r>
        <w:rPr>
          <w:rFonts w:hint="eastAsia" w:cs="Times New Roman"/>
        </w:rPr>
        <w:t>谢家集区</w:t>
      </w:r>
      <w:r>
        <w:rPr>
          <w:rFonts w:cs="Times New Roman"/>
        </w:rPr>
        <w:t>。</w:t>
      </w:r>
    </w:p>
    <w:p w14:paraId="31F78924">
      <w:pPr>
        <w:rPr>
          <w:rFonts w:cs="Times New Roman"/>
        </w:rPr>
      </w:pPr>
      <w:r>
        <w:rPr>
          <w:rFonts w:hint="eastAsia" w:cs="Times New Roman"/>
        </w:rPr>
        <w:t>（2）</w:t>
      </w:r>
      <w:r>
        <w:rPr>
          <w:rFonts w:hint="eastAsia" w:cs="Times New Roman"/>
          <w:color w:val="0000FF"/>
        </w:rPr>
        <w:t>主要的工程类别：</w:t>
      </w:r>
    </w:p>
    <w:p w14:paraId="1F2F1CEC">
      <w:pPr>
        <w:rPr>
          <w:rFonts w:cs="Times New Roman"/>
        </w:rPr>
      </w:pPr>
      <w:r>
        <w:rPr>
          <w:rFonts w:cs="Times New Roman"/>
        </w:rPr>
        <w:t>主要包括骨干输配水工程49.395km（衬砌37085m和清淤12310m）；骨干渠（沟）系建筑物及配套设施137座；用水量测工程（泵站监测点10座、干渠渠道监测点9座和放水涵闸监测点67座）；信息化工程（灌区信息化平台建设1套）。</w:t>
      </w:r>
    </w:p>
    <w:p w14:paraId="012C9C52">
      <w:pPr>
        <w:ind w:firstLine="480" w:firstLineChars="200"/>
        <w:rPr>
          <w:rFonts w:cs="Times New Roman"/>
        </w:rPr>
      </w:pPr>
      <w:r>
        <w:rPr>
          <w:rFonts w:hint="eastAsia" w:cs="Times New Roman"/>
        </w:rPr>
        <w:t>（3）工程占地情况：</w:t>
      </w:r>
    </w:p>
    <w:p w14:paraId="35C6ED6B">
      <w:pPr>
        <w:ind w:firstLine="480" w:firstLineChars="200"/>
        <w:rPr>
          <w:rFonts w:cs="Times New Roman"/>
        </w:rPr>
      </w:pPr>
      <w:r>
        <w:rPr>
          <w:rFonts w:cs="Times New Roman"/>
        </w:rPr>
        <w:t>本灌区仅临时占地，工程临时占地主要为施工工作面、弃土区、临时施工道路占地，共计440亩。</w:t>
      </w:r>
    </w:p>
    <w:p w14:paraId="7E1092A1">
      <w:pPr>
        <w:rPr>
          <w:rFonts w:cs="Times New Roman"/>
        </w:rPr>
      </w:pPr>
      <w:r>
        <w:rPr>
          <w:rFonts w:hint="eastAsia" w:cs="Times New Roman"/>
        </w:rPr>
        <w:t>（4）工程的主要环境影响：</w:t>
      </w:r>
    </w:p>
    <w:p w14:paraId="35E79A0B">
      <w:pPr>
        <w:rPr>
          <w:rFonts w:cs="Times New Roman"/>
        </w:rPr>
      </w:pPr>
      <w:r>
        <w:rPr>
          <w:rFonts w:cs="Times New Roman"/>
        </w:rPr>
        <w:t>本次工程为现有渠道、渠系建筑物的配套改造，不涉及新增供水量、灌溉规模。</w:t>
      </w:r>
    </w:p>
    <w:p w14:paraId="2CCB3E0E">
      <w:pPr>
        <w:rPr>
          <w:rFonts w:cs="Times New Roman"/>
        </w:rPr>
      </w:pPr>
      <w:r>
        <w:rPr>
          <w:rFonts w:cs="Times New Roman"/>
        </w:rPr>
        <w:t>本次工程建设内容和类型较简单，但工程是线状工程，涉及区域面积大。</w:t>
      </w:r>
    </w:p>
    <w:p w14:paraId="04019628">
      <w:pPr>
        <w:rPr>
          <w:rFonts w:cs="Times New Roman"/>
          <w:color w:val="0000FF"/>
        </w:rPr>
      </w:pPr>
      <w:r>
        <w:rPr>
          <w:rFonts w:cs="Times New Roman"/>
        </w:rPr>
        <w:t>本工程为非污染生态影响类工程，工程产生的环境影响主要集中在施工期，工程运行产生的环境影响小。渠道自身不向环境排放污染物，不涉及航道以及不涉及渠道裁弯取直、围湖造地。工程建设对环境的影响主要为</w:t>
      </w:r>
      <w:r>
        <w:rPr>
          <w:rFonts w:hint="eastAsia" w:cs="Times New Roman"/>
          <w:b/>
          <w:bCs/>
          <w:color w:val="0000FF"/>
        </w:rPr>
        <w:t>①施工期对地表水环境的影响；②施工期对生态影响范围内</w:t>
      </w:r>
      <w:r>
        <w:rPr>
          <w:rFonts w:cs="Times New Roman"/>
          <w:b/>
          <w:bCs/>
          <w:color w:val="0000FF"/>
        </w:rPr>
        <w:t>生态环境</w:t>
      </w:r>
      <w:r>
        <w:rPr>
          <w:rFonts w:hint="eastAsia" w:cs="Times New Roman"/>
          <w:b/>
          <w:bCs/>
          <w:color w:val="0000FF"/>
        </w:rPr>
        <w:t>特别是瓦埠湖省级湿地自然公园中鸟类的</w:t>
      </w:r>
      <w:r>
        <w:rPr>
          <w:rFonts w:cs="Times New Roman"/>
          <w:b/>
          <w:bCs/>
          <w:color w:val="0000FF"/>
        </w:rPr>
        <w:t>影响。</w:t>
      </w:r>
    </w:p>
    <w:p w14:paraId="144EFF52">
      <w:pPr>
        <w:rPr>
          <w:rFonts w:cs="Times New Roman"/>
        </w:rPr>
      </w:pPr>
      <w:r>
        <w:rPr>
          <w:rFonts w:hint="eastAsia" w:cs="Times New Roman"/>
        </w:rPr>
        <w:t>（5）涉及的特殊环保目标和生态敏感区情况</w:t>
      </w:r>
    </w:p>
    <w:p w14:paraId="3611A4AA">
      <w:pPr>
        <w:rPr>
          <w:rFonts w:cs="Times New Roman"/>
          <w:color w:val="0000FF"/>
        </w:rPr>
      </w:pPr>
      <w:r>
        <w:rPr>
          <w:rFonts w:hint="eastAsia" w:cs="Times New Roman"/>
        </w:rPr>
        <w:t>本工程不占用</w:t>
      </w:r>
      <w:r>
        <w:rPr>
          <w:rFonts w:cs="Times New Roman"/>
        </w:rPr>
        <w:t>饮用水水源地</w:t>
      </w:r>
      <w:r>
        <w:rPr>
          <w:rFonts w:hint="eastAsia" w:cs="Times New Roman"/>
        </w:rPr>
        <w:t>、</w:t>
      </w:r>
      <w:r>
        <w:rPr>
          <w:rFonts w:cs="Times New Roman"/>
        </w:rPr>
        <w:t>风景名胜区</w:t>
      </w:r>
      <w:r>
        <w:rPr>
          <w:rFonts w:hint="eastAsia" w:cs="Times New Roman"/>
        </w:rPr>
        <w:t>，一站引水渠工程不占用，评价范围涉及瓦埠湖省级湿地自然公园。</w:t>
      </w:r>
    </w:p>
    <w:p w14:paraId="7674BA5D">
      <w:pPr>
        <w:rPr>
          <w:rFonts w:cs="Times New Roman"/>
        </w:rPr>
      </w:pPr>
      <w:r>
        <w:rPr>
          <w:rFonts w:hint="eastAsia" w:cs="Times New Roman"/>
        </w:rPr>
        <w:t>以上</w:t>
      </w:r>
      <w:r>
        <w:rPr>
          <w:rFonts w:cs="Times New Roman"/>
        </w:rPr>
        <w:t>是工程建设关注的主要环境敏感保护目标。</w:t>
      </w:r>
    </w:p>
    <w:p w14:paraId="0E858129">
      <w:pPr>
        <w:pStyle w:val="3"/>
        <w:rPr>
          <w:rFonts w:cs="Times New Roman"/>
        </w:rPr>
      </w:pPr>
      <w:bookmarkStart w:id="10" w:name="_Toc26537"/>
      <w:r>
        <w:rPr>
          <w:rFonts w:cs="Times New Roman"/>
        </w:rPr>
        <w:t>三、环境影响评价的过程</w:t>
      </w:r>
      <w:bookmarkEnd w:id="10"/>
    </w:p>
    <w:p w14:paraId="12427AAE">
      <w:pPr>
        <w:ind w:firstLine="480"/>
        <w:rPr>
          <w:rFonts w:cs="Times New Roman"/>
          <w:color w:val="0000FF"/>
        </w:rPr>
      </w:pPr>
      <w:r>
        <w:rPr>
          <w:rFonts w:cs="Times New Roman"/>
        </w:rPr>
        <w:t>建设单位淮南市谢家集区农业农村水利局</w:t>
      </w:r>
      <w:r>
        <w:rPr>
          <w:rFonts w:cs="Times New Roman"/>
          <w:color w:val="0000FF"/>
        </w:rPr>
        <w:t>于2023年</w:t>
      </w:r>
      <w:r>
        <w:rPr>
          <w:rFonts w:hint="eastAsia" w:cs="Times New Roman"/>
          <w:color w:val="0000FF"/>
        </w:rPr>
        <w:t>5</w:t>
      </w:r>
      <w:r>
        <w:rPr>
          <w:rFonts w:cs="Times New Roman"/>
          <w:color w:val="0000FF"/>
        </w:rPr>
        <w:t>月2</w:t>
      </w:r>
      <w:r>
        <w:rPr>
          <w:rFonts w:hint="eastAsia" w:cs="Times New Roman"/>
          <w:color w:val="0000FF"/>
        </w:rPr>
        <w:t>2</w:t>
      </w:r>
      <w:r>
        <w:rPr>
          <w:rFonts w:cs="Times New Roman"/>
          <w:color w:val="0000FF"/>
        </w:rPr>
        <w:t>日</w:t>
      </w:r>
      <w:r>
        <w:rPr>
          <w:rFonts w:cs="Times New Roman"/>
        </w:rPr>
        <w:t>委托安徽克林曼生态环境工程有限公司承担《</w:t>
      </w:r>
      <w:r>
        <w:t>淮南市谢家集区朱集中型灌区续建配套与节水改造项目</w:t>
      </w:r>
      <w:r>
        <w:rPr>
          <w:rFonts w:cs="Times New Roman"/>
        </w:rPr>
        <w:t>环境影响报告书》的编制工作。</w:t>
      </w:r>
    </w:p>
    <w:p w14:paraId="05CB2CD3">
      <w:pPr>
        <w:ind w:firstLine="480"/>
        <w:rPr>
          <w:rFonts w:cs="Times New Roman"/>
          <w:color w:val="0000FF"/>
        </w:rPr>
      </w:pPr>
      <w:r>
        <w:rPr>
          <w:rFonts w:cs="Times New Roman"/>
        </w:rPr>
        <w:t>202</w:t>
      </w:r>
      <w:r>
        <w:rPr>
          <w:rFonts w:hint="eastAsia" w:cs="Times New Roman"/>
        </w:rPr>
        <w:t>4</w:t>
      </w:r>
      <w:r>
        <w:rPr>
          <w:rFonts w:cs="Times New Roman"/>
        </w:rPr>
        <w:t>年</w:t>
      </w:r>
      <w:r>
        <w:rPr>
          <w:rFonts w:hint="eastAsia" w:cs="Times New Roman"/>
        </w:rPr>
        <w:t>5</w:t>
      </w:r>
      <w:r>
        <w:rPr>
          <w:rFonts w:cs="Times New Roman"/>
        </w:rPr>
        <w:t>月</w:t>
      </w:r>
      <w:r>
        <w:rPr>
          <w:rFonts w:hint="eastAsia" w:cs="Times New Roman"/>
        </w:rPr>
        <w:t>22</w:t>
      </w:r>
      <w:r>
        <w:rPr>
          <w:rFonts w:cs="Times New Roman"/>
        </w:rPr>
        <w:t>日采用网络公示的方式，建设单位在</w:t>
      </w:r>
      <w:r>
        <w:rPr>
          <w:rFonts w:hint="eastAsia" w:cs="Times New Roman"/>
          <w:szCs w:val="20"/>
        </w:rPr>
        <w:t>淮南市谢家集区生态环境分局</w:t>
      </w:r>
      <w:r>
        <w:rPr>
          <w:rFonts w:cs="Times New Roman"/>
          <w:szCs w:val="20"/>
        </w:rPr>
        <w:t>网站</w:t>
      </w:r>
      <w:r>
        <w:rPr>
          <w:rFonts w:cs="Times New Roman"/>
        </w:rPr>
        <w:t>进行了本工程环境影响评价第一次公示。</w:t>
      </w:r>
    </w:p>
    <w:p w14:paraId="2209687F">
      <w:pPr>
        <w:pStyle w:val="3"/>
        <w:rPr>
          <w:rFonts w:cs="Times New Roman"/>
        </w:rPr>
      </w:pPr>
      <w:bookmarkStart w:id="11" w:name="_Toc10272"/>
      <w:r>
        <w:rPr>
          <w:rFonts w:cs="Times New Roman"/>
        </w:rPr>
        <w:t>四、分析判定相关情况</w:t>
      </w:r>
      <w:bookmarkEnd w:id="11"/>
    </w:p>
    <w:p w14:paraId="6F657640">
      <w:pPr>
        <w:ind w:firstLine="480" w:firstLineChars="200"/>
        <w:rPr>
          <w:rFonts w:cs="Times New Roman"/>
        </w:rPr>
      </w:pPr>
      <w:r>
        <w:rPr>
          <w:rFonts w:cs="Times New Roman"/>
        </w:rPr>
        <w:t>本工程为《产业结构调整指导目录（20</w:t>
      </w:r>
      <w:r>
        <w:rPr>
          <w:rFonts w:hint="eastAsia" w:cs="Times New Roman"/>
        </w:rPr>
        <w:t>24</w:t>
      </w:r>
      <w:r>
        <w:rPr>
          <w:rFonts w:cs="Times New Roman"/>
        </w:rPr>
        <w:t>年本）》中</w:t>
      </w:r>
      <w:r>
        <w:rPr>
          <w:rFonts w:hint="eastAsia" w:cs="Times New Roman"/>
        </w:rPr>
        <w:t>“</w:t>
      </w:r>
      <w:r>
        <w:rPr>
          <w:rFonts w:cs="Times New Roman"/>
        </w:rPr>
        <w:t>鼓励类 二、水利</w:t>
      </w:r>
      <w:r>
        <w:rPr>
          <w:rFonts w:hint="eastAsia" w:cs="Times New Roman"/>
        </w:rPr>
        <w:t>-2</w:t>
      </w:r>
      <w:r>
        <w:rPr>
          <w:rFonts w:cs="Times New Roman"/>
        </w:rPr>
        <w:t>、</w:t>
      </w:r>
      <w:r>
        <w:rPr>
          <w:rFonts w:hint="eastAsia" w:cs="Times New Roman"/>
        </w:rPr>
        <w:t>节水供水工程”</w:t>
      </w:r>
      <w:r>
        <w:rPr>
          <w:rFonts w:cs="Times New Roman"/>
        </w:rPr>
        <w:t>，属于</w:t>
      </w:r>
      <w:r>
        <w:rPr>
          <w:rFonts w:hint="eastAsia" w:cs="Times New Roman"/>
        </w:rPr>
        <w:t>“</w:t>
      </w:r>
      <w:r>
        <w:rPr>
          <w:rFonts w:cs="Times New Roman"/>
        </w:rPr>
        <w:t>鼓励类</w:t>
      </w:r>
      <w:r>
        <w:rPr>
          <w:rFonts w:hint="eastAsia" w:cs="Times New Roman"/>
        </w:rPr>
        <w:t>”</w:t>
      </w:r>
      <w:r>
        <w:rPr>
          <w:rFonts w:cs="Times New Roman"/>
        </w:rPr>
        <w:t>项目。</w:t>
      </w:r>
    </w:p>
    <w:p w14:paraId="224D00A3">
      <w:pPr>
        <w:ind w:firstLine="480" w:firstLineChars="200"/>
        <w:rPr>
          <w:rFonts w:cs="Times New Roman"/>
        </w:rPr>
      </w:pPr>
      <w:r>
        <w:rPr>
          <w:rFonts w:cs="Times New Roman"/>
        </w:rPr>
        <w:t>202</w:t>
      </w:r>
      <w:r>
        <w:rPr>
          <w:rFonts w:hint="eastAsia" w:cs="Times New Roman"/>
        </w:rPr>
        <w:t>3</w:t>
      </w:r>
      <w:r>
        <w:rPr>
          <w:rFonts w:cs="Times New Roman"/>
        </w:rPr>
        <w:t>年</w:t>
      </w:r>
      <w:r>
        <w:rPr>
          <w:rFonts w:hint="eastAsia" w:cs="Times New Roman"/>
        </w:rPr>
        <w:t>11</w:t>
      </w:r>
      <w:r>
        <w:rPr>
          <w:rFonts w:cs="Times New Roman"/>
        </w:rPr>
        <w:t>月</w:t>
      </w:r>
      <w:r>
        <w:rPr>
          <w:rFonts w:hint="eastAsia" w:cs="Times New Roman"/>
        </w:rPr>
        <w:t>10</w:t>
      </w:r>
      <w:r>
        <w:rPr>
          <w:rFonts w:cs="Times New Roman"/>
        </w:rPr>
        <w:t>日</w:t>
      </w:r>
      <w:r>
        <w:rPr>
          <w:rFonts w:hint="eastAsia" w:cs="Times New Roman"/>
        </w:rPr>
        <w:t>淮南市谢家集区</w:t>
      </w:r>
      <w:r>
        <w:rPr>
          <w:rFonts w:cs="Times New Roman"/>
        </w:rPr>
        <w:t>发展和改革委员会以</w:t>
      </w:r>
      <w:r>
        <w:rPr>
          <w:rFonts w:hint="eastAsia" w:cs="Times New Roman"/>
        </w:rPr>
        <w:t>“</w:t>
      </w:r>
      <w:r>
        <w:rPr>
          <w:rFonts w:cs="Times New Roman"/>
        </w:rPr>
        <w:t>关于</w:t>
      </w:r>
      <w:r>
        <w:t>淮南市谢家集区朱集中型灌区续建配套与节水改造项目</w:t>
      </w:r>
      <w:r>
        <w:rPr>
          <w:rFonts w:cs="Times New Roman"/>
        </w:rPr>
        <w:t>可行性研究报告的</w:t>
      </w:r>
      <w:r>
        <w:rPr>
          <w:rFonts w:hint="eastAsia" w:cs="Times New Roman"/>
        </w:rPr>
        <w:t>意见”</w:t>
      </w:r>
      <w:r>
        <w:rPr>
          <w:rFonts w:cs="Times New Roman"/>
        </w:rPr>
        <w:t>（</w:t>
      </w:r>
      <w:r>
        <w:rPr>
          <w:rFonts w:hint="eastAsia" w:cs="Times New Roman"/>
        </w:rPr>
        <w:t>谢发改</w:t>
      </w:r>
      <w:r>
        <w:rPr>
          <w:rFonts w:cs="Times New Roman"/>
        </w:rPr>
        <w:t>〔202</w:t>
      </w:r>
      <w:r>
        <w:rPr>
          <w:rFonts w:hint="eastAsia" w:cs="Times New Roman"/>
        </w:rPr>
        <w:t>3</w:t>
      </w:r>
      <w:r>
        <w:rPr>
          <w:rFonts w:cs="Times New Roman"/>
        </w:rPr>
        <w:t>〕</w:t>
      </w:r>
      <w:r>
        <w:rPr>
          <w:rFonts w:hint="eastAsia" w:cs="Times New Roman"/>
        </w:rPr>
        <w:t>11</w:t>
      </w:r>
      <w:r>
        <w:rPr>
          <w:rFonts w:cs="Times New Roman"/>
        </w:rPr>
        <w:t>0号）对可研报告进行批复，项目代码为2</w:t>
      </w:r>
      <w:r>
        <w:rPr>
          <w:rFonts w:hint="eastAsia" w:cs="Times New Roman"/>
        </w:rPr>
        <w:t>311</w:t>
      </w:r>
      <w:r>
        <w:rPr>
          <w:rFonts w:cs="Times New Roman"/>
        </w:rPr>
        <w:t>-340</w:t>
      </w:r>
      <w:r>
        <w:rPr>
          <w:rFonts w:hint="eastAsia" w:cs="Times New Roman"/>
        </w:rPr>
        <w:t>404</w:t>
      </w:r>
      <w:r>
        <w:rPr>
          <w:rFonts w:cs="Times New Roman"/>
        </w:rPr>
        <w:t>-04-01-</w:t>
      </w:r>
      <w:r>
        <w:rPr>
          <w:rFonts w:hint="eastAsia" w:cs="Times New Roman"/>
        </w:rPr>
        <w:t>63960</w:t>
      </w:r>
      <w:r>
        <w:rPr>
          <w:rFonts w:cs="Times New Roman"/>
        </w:rPr>
        <w:t>9。</w:t>
      </w:r>
    </w:p>
    <w:p w14:paraId="585897BE">
      <w:pPr>
        <w:ind w:firstLine="480" w:firstLineChars="200"/>
        <w:rPr>
          <w:rFonts w:cs="Times New Roman"/>
          <w:color w:val="0000FF"/>
        </w:rPr>
      </w:pPr>
      <w:r>
        <w:rPr>
          <w:rFonts w:cs="Times New Roman"/>
        </w:rPr>
        <w:t>本项目</w:t>
      </w:r>
      <w:r>
        <w:rPr>
          <w:rFonts w:hint="eastAsia" w:cs="Times New Roman"/>
        </w:rPr>
        <w:t>评价范围</w:t>
      </w:r>
      <w:r>
        <w:rPr>
          <w:rFonts w:cs="Times New Roman"/>
        </w:rPr>
        <w:t>涉及</w:t>
      </w:r>
      <w:r>
        <w:rPr>
          <w:rFonts w:hint="eastAsia" w:cs="Times New Roman"/>
        </w:rPr>
        <w:t>瓦埠湖省级湿地自然公园</w:t>
      </w:r>
      <w:r>
        <w:rPr>
          <w:rFonts w:cs="Times New Roman"/>
        </w:rPr>
        <w:t>，属于</w:t>
      </w:r>
      <w:r>
        <w:rPr>
          <w:rFonts w:hint="eastAsia" w:cs="Times New Roman"/>
        </w:rPr>
        <w:t>“</w:t>
      </w:r>
      <w:r>
        <w:rPr>
          <w:rFonts w:cs="Times New Roman"/>
        </w:rPr>
        <w:t>五十一、水利125灌区工程（不含水源工程的）</w:t>
      </w:r>
      <w:r>
        <w:rPr>
          <w:rFonts w:hint="eastAsia" w:cs="Times New Roman"/>
        </w:rPr>
        <w:t>”</w:t>
      </w:r>
      <w:r>
        <w:rPr>
          <w:rFonts w:cs="Times New Roman"/>
        </w:rPr>
        <w:t>中涉及环境敏感区，因此，应编制环境影响报告书。</w:t>
      </w:r>
    </w:p>
    <w:p w14:paraId="507DB192">
      <w:pPr>
        <w:pStyle w:val="3"/>
        <w:rPr>
          <w:rFonts w:cs="Times New Roman"/>
        </w:rPr>
      </w:pPr>
      <w:bookmarkStart w:id="12" w:name="_Toc26935"/>
      <w:r>
        <w:rPr>
          <w:rFonts w:cs="Times New Roman"/>
        </w:rPr>
        <w:t>五、关注的主要环境问题及环境影响</w:t>
      </w:r>
      <w:bookmarkEnd w:id="12"/>
    </w:p>
    <w:p w14:paraId="705E3C09">
      <w:pPr>
        <w:ind w:firstLine="480"/>
        <w:rPr>
          <w:rFonts w:cs="Times New Roman"/>
        </w:rPr>
      </w:pPr>
      <w:r>
        <w:rPr>
          <w:rFonts w:cs="Times New Roman"/>
        </w:rPr>
        <w:t>项目重点关注生态环境、水环境影响及污染控制措施、环境风险防范与应急要求等。</w:t>
      </w:r>
    </w:p>
    <w:p w14:paraId="2B21FBBA">
      <w:pPr>
        <w:ind w:firstLine="480"/>
        <w:rPr>
          <w:rFonts w:cs="Times New Roman"/>
          <w:color w:val="0000FF"/>
        </w:rPr>
      </w:pPr>
      <w:r>
        <w:rPr>
          <w:rFonts w:cs="Times New Roman"/>
        </w:rPr>
        <w:t>生态环境重点论述工程建设对项目涉及的湿地公园</w:t>
      </w:r>
      <w:r>
        <w:rPr>
          <w:rFonts w:hint="eastAsia" w:cs="Times New Roman"/>
        </w:rPr>
        <w:t>、</w:t>
      </w:r>
      <w:r>
        <w:rPr>
          <w:rFonts w:cs="Times New Roman"/>
        </w:rPr>
        <w:t>水生生态环境；对临时施工场地涉及的陆域生态的影响；水环境重点评价工程建设对本工程涉及渠道、地表水水环境的影响；固体废物重点评价渠道清淤底泥以及建筑垃圾的影响；环境风险章节重点关注油料泄</w:t>
      </w:r>
      <w:r>
        <w:rPr>
          <w:rFonts w:hint="eastAsia" w:cs="Times New Roman"/>
        </w:rPr>
        <w:t>漏</w:t>
      </w:r>
      <w:r>
        <w:rPr>
          <w:rFonts w:cs="Times New Roman"/>
        </w:rPr>
        <w:t>对评价范围内</w:t>
      </w:r>
      <w:r>
        <w:rPr>
          <w:rFonts w:hint="eastAsia" w:cs="Times New Roman"/>
        </w:rPr>
        <w:t>水环境</w:t>
      </w:r>
      <w:r>
        <w:rPr>
          <w:rFonts w:cs="Times New Roman"/>
        </w:rPr>
        <w:t>的影响；环境污染防治措施重点论述施工期地表</w:t>
      </w:r>
      <w:r>
        <w:rPr>
          <w:rFonts w:hint="eastAsia" w:cs="Times New Roman"/>
        </w:rPr>
        <w:t>水</w:t>
      </w:r>
      <w:r>
        <w:rPr>
          <w:rFonts w:cs="Times New Roman"/>
        </w:rPr>
        <w:t>、</w:t>
      </w:r>
      <w:r>
        <w:rPr>
          <w:rFonts w:hint="eastAsia" w:cs="Times New Roman"/>
        </w:rPr>
        <w:t>大气</w:t>
      </w:r>
      <w:r>
        <w:rPr>
          <w:rFonts w:cs="Times New Roman"/>
        </w:rPr>
        <w:t>污染防治措施、生态环境保护措施、运输侧翻及物料、油料泄</w:t>
      </w:r>
      <w:r>
        <w:rPr>
          <w:rFonts w:hint="eastAsia" w:cs="Times New Roman"/>
        </w:rPr>
        <w:t>漏</w:t>
      </w:r>
      <w:r>
        <w:rPr>
          <w:rFonts w:cs="Times New Roman"/>
        </w:rPr>
        <w:t>风险防范措施。</w:t>
      </w:r>
    </w:p>
    <w:p w14:paraId="4721C0A0">
      <w:pPr>
        <w:pStyle w:val="3"/>
        <w:rPr>
          <w:rFonts w:cs="Times New Roman"/>
        </w:rPr>
      </w:pPr>
      <w:bookmarkStart w:id="13" w:name="_Toc2353"/>
      <w:r>
        <w:rPr>
          <w:rFonts w:cs="Times New Roman"/>
        </w:rPr>
        <w:t>六、环境影响评价的主要结论</w:t>
      </w:r>
      <w:bookmarkEnd w:id="13"/>
    </w:p>
    <w:p w14:paraId="23829D0A">
      <w:pPr>
        <w:ind w:firstLine="480"/>
        <w:rPr>
          <w:rFonts w:cs="Times New Roman"/>
          <w:color w:val="0000FF"/>
        </w:rPr>
      </w:pPr>
      <w:r>
        <w:rPr>
          <w:rFonts w:hint="eastAsia" w:cs="Times New Roman"/>
        </w:rPr>
        <w:t>淮南市谢家集区朱集中型灌区续建配套与节水改造项目</w:t>
      </w:r>
      <w:r>
        <w:rPr>
          <w:rFonts w:cs="Times New Roman"/>
        </w:rPr>
        <w:t>工程合计渠道清淤长</w:t>
      </w:r>
      <w:r>
        <w:rPr>
          <w:rFonts w:hint="eastAsia" w:cs="Times New Roman"/>
        </w:rPr>
        <w:t>12310</w:t>
      </w:r>
      <w:r>
        <w:rPr>
          <w:rFonts w:cs="Times New Roman"/>
        </w:rPr>
        <w:t>m、</w:t>
      </w:r>
      <w:r>
        <w:rPr>
          <w:rFonts w:hint="eastAsia" w:cs="Times New Roman"/>
        </w:rPr>
        <w:t>渠道衬砌37085m</w:t>
      </w:r>
      <w:r>
        <w:rPr>
          <w:rFonts w:cs="Times New Roman"/>
        </w:rPr>
        <w:t>，续建配套各类渠系建筑物1</w:t>
      </w:r>
      <w:r>
        <w:rPr>
          <w:rFonts w:hint="eastAsia" w:cs="Times New Roman"/>
        </w:rPr>
        <w:t>37</w:t>
      </w:r>
      <w:r>
        <w:rPr>
          <w:rFonts w:cs="Times New Roman"/>
        </w:rPr>
        <w:t>座，</w:t>
      </w:r>
      <w:r>
        <w:rPr>
          <w:rFonts w:hint="eastAsia" w:cs="Times New Roman"/>
        </w:rPr>
        <w:t>新建</w:t>
      </w:r>
      <w:r>
        <w:rPr>
          <w:rFonts w:cs="Times New Roman"/>
        </w:rPr>
        <w:t>灌区信息化平台建设1套</w:t>
      </w:r>
      <w:r>
        <w:rPr>
          <w:rFonts w:hint="eastAsia" w:cs="Times New Roman"/>
        </w:rPr>
        <w:t>。</w:t>
      </w:r>
    </w:p>
    <w:p w14:paraId="47EFAC10">
      <w:pPr>
        <w:autoSpaceDE w:val="0"/>
        <w:autoSpaceDN w:val="0"/>
        <w:ind w:firstLine="480"/>
        <w:rPr>
          <w:rFonts w:cs="Times New Roman"/>
        </w:rPr>
      </w:pPr>
      <w:r>
        <w:rPr>
          <w:rFonts w:cs="Times New Roman"/>
        </w:rPr>
        <w:t>项目建设不可避免会对沿线敏感区和集中居民点产生不利</w:t>
      </w:r>
      <w:r>
        <w:rPr>
          <w:rFonts w:hint="eastAsia" w:cs="Times New Roman"/>
        </w:rPr>
        <w:t>影响因素</w:t>
      </w:r>
      <w:r>
        <w:rPr>
          <w:rFonts w:cs="Times New Roman"/>
        </w:rPr>
        <w:t>，针对不利因素，设计中提出了积极有效的防护措施，本环评</w:t>
      </w:r>
      <w:r>
        <w:rPr>
          <w:rFonts w:hint="eastAsia" w:cs="Times New Roman"/>
        </w:rPr>
        <w:t>提出了有针对性</w:t>
      </w:r>
      <w:r>
        <w:rPr>
          <w:rFonts w:cs="Times New Roman"/>
        </w:rPr>
        <w:t>防治措施和建议。上述环境保护措施与主体工程实现</w:t>
      </w:r>
      <w:r>
        <w:rPr>
          <w:rFonts w:hint="eastAsia" w:cs="Times New Roman"/>
        </w:rPr>
        <w:t>“</w:t>
      </w:r>
      <w:r>
        <w:rPr>
          <w:rFonts w:cs="Times New Roman"/>
        </w:rPr>
        <w:t>三同时</w:t>
      </w:r>
      <w:r>
        <w:rPr>
          <w:rFonts w:hint="eastAsia" w:cs="Times New Roman"/>
        </w:rPr>
        <w:t>”</w:t>
      </w:r>
      <w:r>
        <w:rPr>
          <w:rFonts w:cs="Times New Roman"/>
        </w:rPr>
        <w:t>，同时加强监控管理，本工程对环境的影响可以得到控制和缓解。</w:t>
      </w:r>
    </w:p>
    <w:p w14:paraId="6124F791">
      <w:pPr>
        <w:ind w:firstLine="480"/>
        <w:rPr>
          <w:rFonts w:cs="Times New Roman"/>
        </w:rPr>
      </w:pPr>
      <w:r>
        <w:rPr>
          <w:rFonts w:cs="Times New Roman"/>
        </w:rPr>
        <w:t>在切实做好环境保护措施，落实好关于饮用水水源保护区、风景名胜区、湿地公园等相关法律法规要求的前提下，本工程是一项经济效益、社会效益和环境效益统一的工程。因此，本环评认为，在严格落实各项环境保护措施及建议的条件下，从环境影响角度分析，本工程建设是可行的。</w:t>
      </w:r>
    </w:p>
    <w:p w14:paraId="495650F7">
      <w:pPr>
        <w:ind w:firstLine="480"/>
        <w:rPr>
          <w:rFonts w:cs="Times New Roman"/>
          <w:color w:val="0000FF"/>
        </w:rPr>
        <w:sectPr>
          <w:headerReference r:id="rId12" w:type="default"/>
          <w:footerReference r:id="rId13" w:type="default"/>
          <w:pgSz w:w="11905" w:h="16838"/>
          <w:pgMar w:top="1417" w:right="1417" w:bottom="1417" w:left="1417" w:header="850" w:footer="850" w:gutter="0"/>
          <w:pgNumType w:fmt="decimal" w:start="1"/>
          <w:cols w:space="0" w:num="1"/>
          <w:rtlGutter w:val="0"/>
          <w:docGrid w:linePitch="326" w:charSpace="0"/>
        </w:sectPr>
      </w:pPr>
    </w:p>
    <w:p w14:paraId="65B75E7D">
      <w:pPr>
        <w:pStyle w:val="2"/>
        <w:bidi w:val="0"/>
      </w:pPr>
      <w:bookmarkStart w:id="14" w:name="_Toc32628"/>
      <w:r>
        <w:t>1 总则</w:t>
      </w:r>
      <w:bookmarkEnd w:id="14"/>
    </w:p>
    <w:p w14:paraId="7F130416">
      <w:pPr>
        <w:pStyle w:val="3"/>
        <w:rPr>
          <w:rFonts w:cs="Times New Roman"/>
        </w:rPr>
      </w:pPr>
      <w:bookmarkStart w:id="15" w:name="_Toc23108"/>
      <w:r>
        <w:rPr>
          <w:rFonts w:cs="Times New Roman"/>
        </w:rPr>
        <w:t>1.1 编制目的</w:t>
      </w:r>
      <w:bookmarkEnd w:id="15"/>
    </w:p>
    <w:p w14:paraId="73BF117F">
      <w:pPr>
        <w:snapToGrid w:val="0"/>
        <w:ind w:firstLine="480"/>
        <w:rPr>
          <w:rFonts w:cs="Times New Roman"/>
        </w:rPr>
      </w:pPr>
      <w:r>
        <w:rPr>
          <w:rFonts w:hint="eastAsia" w:cs="Times New Roman"/>
        </w:rPr>
        <w:t>淮南市谢家集区朱集中型灌区续建配套与节水改造项目</w:t>
      </w:r>
      <w:r>
        <w:rPr>
          <w:rFonts w:cs="Times New Roman"/>
        </w:rPr>
        <w:t>施工期和营运期将对区域环境产生一定的影响，评价拟在对工程区域环境现状调查的基础上，通过工程污染分析、类比分析等方法预测工程建设对环境的影响，提出防治污染和减缓影响的可行措施，为工程决策提供依据，指导工程环境保护设计和工程施工及营运期环境管理。</w:t>
      </w:r>
    </w:p>
    <w:p w14:paraId="75B33F60">
      <w:pPr>
        <w:ind w:firstLine="480"/>
        <w:rPr>
          <w:rFonts w:cs="Times New Roman"/>
        </w:rPr>
      </w:pPr>
      <w:r>
        <w:rPr>
          <w:rFonts w:cs="Times New Roman"/>
        </w:rPr>
        <w:t>环境影响评价工作的具体目的如下：</w:t>
      </w:r>
    </w:p>
    <w:p w14:paraId="37FE6366">
      <w:pPr>
        <w:ind w:firstLine="480"/>
        <w:rPr>
          <w:rFonts w:cs="Times New Roman"/>
        </w:rPr>
      </w:pPr>
      <w:r>
        <w:rPr>
          <w:rFonts w:cs="Times New Roman"/>
        </w:rPr>
        <w:t>（1）通过实地踏勘、现场补充监测、背景资料收集与调查，分析项目所在区域环境质量现状，为工程环境影响预测提供依据；</w:t>
      </w:r>
    </w:p>
    <w:p w14:paraId="5CA0932E">
      <w:pPr>
        <w:ind w:firstLine="480"/>
        <w:rPr>
          <w:rFonts w:cs="Times New Roman"/>
        </w:rPr>
      </w:pPr>
      <w:r>
        <w:rPr>
          <w:rFonts w:cs="Times New Roman"/>
        </w:rPr>
        <w:t>（2）通过环境影响评价给工程设计和决策部门提供环境指导，在工程设计和决策中确保该项目在环境上合理并可持续发展；</w:t>
      </w:r>
    </w:p>
    <w:p w14:paraId="57659D86">
      <w:pPr>
        <w:snapToGrid w:val="0"/>
        <w:ind w:firstLine="480"/>
        <w:rPr>
          <w:rFonts w:cs="Times New Roman"/>
        </w:rPr>
      </w:pPr>
      <w:r>
        <w:rPr>
          <w:rFonts w:cs="Times New Roman"/>
        </w:rPr>
        <w:t>（3）确保负面的环境影响在项目前期得以识别和评估，以便采取适当的措施来避免、缓解、减少或最大限度地降低负面的影响；</w:t>
      </w:r>
    </w:p>
    <w:p w14:paraId="632232A2">
      <w:pPr>
        <w:ind w:firstLine="480"/>
        <w:rPr>
          <w:rFonts w:cs="Times New Roman"/>
        </w:rPr>
      </w:pPr>
      <w:r>
        <w:rPr>
          <w:rFonts w:cs="Times New Roman"/>
        </w:rPr>
        <w:t>（4）对不可避免的或不能缓解的影响采取补偿措施；</w:t>
      </w:r>
    </w:p>
    <w:p w14:paraId="514B4F1E">
      <w:pPr>
        <w:ind w:firstLine="480"/>
        <w:rPr>
          <w:rFonts w:cs="Times New Roman"/>
        </w:rPr>
      </w:pPr>
      <w:r>
        <w:rPr>
          <w:rFonts w:cs="Times New Roman"/>
        </w:rPr>
        <w:t>（5）制定环境管理和监测计划，为施工期和运营期的环境管理提供依据。</w:t>
      </w:r>
    </w:p>
    <w:p w14:paraId="4A1C0E56">
      <w:pPr>
        <w:pStyle w:val="3"/>
        <w:rPr>
          <w:rFonts w:cs="Times New Roman"/>
        </w:rPr>
      </w:pPr>
      <w:bookmarkStart w:id="16" w:name="_Toc4216"/>
      <w:r>
        <w:rPr>
          <w:rFonts w:cs="Times New Roman"/>
        </w:rPr>
        <w:t>1.2 编制依据</w:t>
      </w:r>
      <w:bookmarkEnd w:id="16"/>
    </w:p>
    <w:p w14:paraId="0713283D">
      <w:pPr>
        <w:pStyle w:val="4"/>
        <w:rPr>
          <w:rFonts w:cs="Times New Roman"/>
        </w:rPr>
      </w:pPr>
      <w:r>
        <w:rPr>
          <w:rFonts w:cs="Times New Roman"/>
        </w:rPr>
        <w:t>1.2.1 法律法规</w:t>
      </w:r>
    </w:p>
    <w:p w14:paraId="3C04CBEA">
      <w:pPr>
        <w:ind w:firstLine="240" w:firstLineChars="100"/>
        <w:rPr>
          <w:rFonts w:cs="Times New Roman"/>
        </w:rPr>
      </w:pPr>
      <w:r>
        <w:rPr>
          <w:rFonts w:cs="Times New Roman"/>
        </w:rPr>
        <w:t>（1）《中华人民共和国环境保护法》，2015.1.1；</w:t>
      </w:r>
    </w:p>
    <w:p w14:paraId="600395BD">
      <w:pPr>
        <w:ind w:firstLine="240" w:firstLineChars="100"/>
        <w:rPr>
          <w:rFonts w:cs="Times New Roman"/>
        </w:rPr>
      </w:pPr>
      <w:r>
        <w:rPr>
          <w:rFonts w:cs="Times New Roman"/>
        </w:rPr>
        <w:t>（2）《中华人民共和国环境影响评价法》，2018.12.29修订；</w:t>
      </w:r>
    </w:p>
    <w:p w14:paraId="00970C8D">
      <w:pPr>
        <w:ind w:firstLine="240" w:firstLineChars="100"/>
        <w:rPr>
          <w:rFonts w:cs="Times New Roman"/>
        </w:rPr>
      </w:pPr>
      <w:r>
        <w:rPr>
          <w:rFonts w:cs="Times New Roman"/>
        </w:rPr>
        <w:t>（3）《中华人民共和国水污染防治法》，2018.1.1；</w:t>
      </w:r>
    </w:p>
    <w:p w14:paraId="0EE41AE1">
      <w:pPr>
        <w:ind w:firstLine="240" w:firstLineChars="100"/>
        <w:rPr>
          <w:rFonts w:cs="Times New Roman"/>
        </w:rPr>
      </w:pPr>
      <w:r>
        <w:rPr>
          <w:rFonts w:cs="Times New Roman"/>
        </w:rPr>
        <w:t>（4）《中华人民共和国大气污染防治法》，2018.10.26修订；</w:t>
      </w:r>
    </w:p>
    <w:p w14:paraId="194C97D0">
      <w:pPr>
        <w:ind w:firstLine="240" w:firstLineChars="100"/>
        <w:rPr>
          <w:rFonts w:cs="Times New Roman"/>
        </w:rPr>
      </w:pPr>
      <w:r>
        <w:rPr>
          <w:rFonts w:cs="Times New Roman"/>
        </w:rPr>
        <w:t>（5）《中华人民共和国噪声污染防治法》，2022.6.5实施；</w:t>
      </w:r>
    </w:p>
    <w:p w14:paraId="469ADDA5">
      <w:pPr>
        <w:ind w:firstLine="240" w:firstLineChars="100"/>
        <w:rPr>
          <w:rFonts w:cs="Times New Roman"/>
        </w:rPr>
      </w:pPr>
      <w:r>
        <w:rPr>
          <w:rFonts w:cs="Times New Roman"/>
        </w:rPr>
        <w:t>（6）《中华人民共和国固体废物污染环境防治法》，2020.9.1实施；</w:t>
      </w:r>
    </w:p>
    <w:p w14:paraId="7EE7FDEB">
      <w:pPr>
        <w:ind w:firstLine="240" w:firstLineChars="100"/>
        <w:rPr>
          <w:rFonts w:cs="Times New Roman"/>
        </w:rPr>
      </w:pPr>
      <w:r>
        <w:rPr>
          <w:rFonts w:cs="Times New Roman"/>
        </w:rPr>
        <w:t>（7）《中华人民共和国土壤污染防治法》，2019年1月1日起施行；</w:t>
      </w:r>
    </w:p>
    <w:p w14:paraId="73062C75">
      <w:pPr>
        <w:ind w:firstLine="240" w:firstLineChars="100"/>
        <w:rPr>
          <w:rFonts w:cs="Times New Roman"/>
        </w:rPr>
      </w:pPr>
      <w:r>
        <w:rPr>
          <w:rFonts w:cs="Times New Roman"/>
        </w:rPr>
        <w:t>（</w:t>
      </w:r>
      <w:r>
        <w:rPr>
          <w:rFonts w:hint="eastAsia" w:cs="Times New Roman"/>
        </w:rPr>
        <w:t>8</w:t>
      </w:r>
      <w:r>
        <w:rPr>
          <w:rFonts w:cs="Times New Roman"/>
        </w:rPr>
        <w:t>）《中华人民共和国水法》，2016.7.2修订；</w:t>
      </w:r>
    </w:p>
    <w:p w14:paraId="47E3F912">
      <w:pPr>
        <w:ind w:firstLine="240" w:firstLineChars="100"/>
        <w:rPr>
          <w:rFonts w:cs="Times New Roman"/>
        </w:rPr>
      </w:pPr>
      <w:r>
        <w:rPr>
          <w:rFonts w:cs="Times New Roman"/>
        </w:rPr>
        <w:t>（</w:t>
      </w:r>
      <w:r>
        <w:rPr>
          <w:rFonts w:hint="eastAsia" w:cs="Times New Roman"/>
        </w:rPr>
        <w:t>9</w:t>
      </w:r>
      <w:r>
        <w:rPr>
          <w:rFonts w:cs="Times New Roman"/>
        </w:rPr>
        <w:t>）《中华人民共和国野生动物保护法》，2018.10.26修订；</w:t>
      </w:r>
    </w:p>
    <w:p w14:paraId="60B2651B">
      <w:pPr>
        <w:ind w:firstLine="240" w:firstLineChars="100"/>
        <w:rPr>
          <w:rFonts w:cs="Times New Roman"/>
        </w:rPr>
      </w:pPr>
      <w:r>
        <w:rPr>
          <w:rFonts w:cs="Times New Roman"/>
        </w:rPr>
        <w:t>（</w:t>
      </w:r>
      <w:r>
        <w:rPr>
          <w:rFonts w:hint="eastAsia" w:cs="Times New Roman"/>
        </w:rPr>
        <w:t>10</w:t>
      </w:r>
      <w:r>
        <w:rPr>
          <w:rFonts w:cs="Times New Roman"/>
        </w:rPr>
        <w:t>）《中华人民共和国文物保护法》，2017.11.05实施；</w:t>
      </w:r>
    </w:p>
    <w:p w14:paraId="5E3CF32A">
      <w:pPr>
        <w:ind w:firstLine="240" w:firstLineChars="100"/>
        <w:rPr>
          <w:rFonts w:cs="Times New Roman"/>
        </w:rPr>
      </w:pPr>
      <w:r>
        <w:rPr>
          <w:rFonts w:cs="Times New Roman"/>
        </w:rPr>
        <w:t>（1</w:t>
      </w:r>
      <w:r>
        <w:rPr>
          <w:rFonts w:hint="eastAsia" w:cs="Times New Roman"/>
        </w:rPr>
        <w:t>1</w:t>
      </w:r>
      <w:r>
        <w:rPr>
          <w:rFonts w:cs="Times New Roman"/>
        </w:rPr>
        <w:t>）《中华人民共和国土地管理法》，2020.1.1起施行；</w:t>
      </w:r>
    </w:p>
    <w:p w14:paraId="5EC8EFC7">
      <w:pPr>
        <w:ind w:firstLine="240" w:firstLineChars="100"/>
        <w:rPr>
          <w:rFonts w:cs="Times New Roman"/>
        </w:rPr>
      </w:pPr>
      <w:r>
        <w:rPr>
          <w:rFonts w:cs="Times New Roman"/>
        </w:rPr>
        <w:t>（1</w:t>
      </w:r>
      <w:r>
        <w:rPr>
          <w:rFonts w:hint="eastAsia" w:cs="Times New Roman"/>
        </w:rPr>
        <w:t>2</w:t>
      </w:r>
      <w:r>
        <w:rPr>
          <w:rFonts w:cs="Times New Roman"/>
        </w:rPr>
        <w:t>）《中华人民共和国长江保护法》，2021年3月1日施行；</w:t>
      </w:r>
    </w:p>
    <w:p w14:paraId="2F9D0E77">
      <w:pPr>
        <w:ind w:firstLine="240" w:firstLineChars="100"/>
        <w:rPr>
          <w:rFonts w:cs="Times New Roman"/>
        </w:rPr>
      </w:pPr>
      <w:r>
        <w:rPr>
          <w:rFonts w:cs="Times New Roman"/>
        </w:rPr>
        <w:t>（1</w:t>
      </w:r>
      <w:r>
        <w:rPr>
          <w:rFonts w:hint="eastAsia" w:cs="Times New Roman"/>
        </w:rPr>
        <w:t>3</w:t>
      </w:r>
      <w:r>
        <w:rPr>
          <w:rFonts w:cs="Times New Roman"/>
        </w:rPr>
        <w:t>）《风景名胜区条例》，2016.2.6修订；</w:t>
      </w:r>
    </w:p>
    <w:p w14:paraId="7A23F023">
      <w:pPr>
        <w:ind w:firstLine="240" w:firstLineChars="100"/>
        <w:rPr>
          <w:rFonts w:cs="Times New Roman"/>
        </w:rPr>
      </w:pPr>
      <w:r>
        <w:rPr>
          <w:rFonts w:cs="Times New Roman"/>
        </w:rPr>
        <w:t>（1</w:t>
      </w:r>
      <w:r>
        <w:rPr>
          <w:rFonts w:hint="eastAsia" w:cs="Times New Roman"/>
        </w:rPr>
        <w:t>4</w:t>
      </w:r>
      <w:r>
        <w:rPr>
          <w:rFonts w:cs="Times New Roman"/>
        </w:rPr>
        <w:t>）《建设项目环境保护管理条例》，2017.10.1起施行；</w:t>
      </w:r>
    </w:p>
    <w:p w14:paraId="0253CE24">
      <w:pPr>
        <w:ind w:firstLine="240" w:firstLineChars="100"/>
        <w:rPr>
          <w:rFonts w:cs="Times New Roman"/>
        </w:rPr>
      </w:pPr>
      <w:r>
        <w:rPr>
          <w:rFonts w:cs="Times New Roman"/>
        </w:rPr>
        <w:t>（</w:t>
      </w:r>
      <w:r>
        <w:rPr>
          <w:rFonts w:hint="eastAsia" w:cs="Times New Roman"/>
        </w:rPr>
        <w:t>15</w:t>
      </w:r>
      <w:r>
        <w:rPr>
          <w:rFonts w:cs="Times New Roman"/>
        </w:rPr>
        <w:t>）《中华人民共和国河道管理条例》，2017.3.1修订；</w:t>
      </w:r>
    </w:p>
    <w:p w14:paraId="489B497C">
      <w:pPr>
        <w:ind w:firstLine="240" w:firstLineChars="100"/>
        <w:rPr>
          <w:rFonts w:cs="Times New Roman"/>
        </w:rPr>
      </w:pPr>
      <w:r>
        <w:rPr>
          <w:rFonts w:cs="Times New Roman"/>
        </w:rPr>
        <w:t>（</w:t>
      </w:r>
      <w:r>
        <w:rPr>
          <w:rFonts w:hint="eastAsia" w:cs="Times New Roman"/>
        </w:rPr>
        <w:t>16</w:t>
      </w:r>
      <w:r>
        <w:rPr>
          <w:rFonts w:cs="Times New Roman"/>
        </w:rPr>
        <w:t>）《中华人民共和国湿地保护法》，2021.12月.日实施；</w:t>
      </w:r>
    </w:p>
    <w:p w14:paraId="7862E788">
      <w:pPr>
        <w:ind w:firstLine="240" w:firstLineChars="100"/>
        <w:rPr>
          <w:rFonts w:cs="Times New Roman"/>
        </w:rPr>
      </w:pPr>
      <w:r>
        <w:rPr>
          <w:rFonts w:cs="Times New Roman"/>
        </w:rPr>
        <w:t>（</w:t>
      </w:r>
      <w:r>
        <w:rPr>
          <w:rFonts w:hint="eastAsia" w:cs="Times New Roman"/>
        </w:rPr>
        <w:t>17</w:t>
      </w:r>
      <w:r>
        <w:rPr>
          <w:rFonts w:cs="Times New Roman"/>
        </w:rPr>
        <w:t>）《国家湿地公园管理办法》，林湿发〔2017〕150号；</w:t>
      </w:r>
    </w:p>
    <w:p w14:paraId="14BE1730">
      <w:pPr>
        <w:ind w:firstLine="240" w:firstLineChars="100"/>
        <w:rPr>
          <w:rFonts w:cs="Times New Roman"/>
        </w:rPr>
      </w:pPr>
      <w:r>
        <w:rPr>
          <w:rFonts w:cs="Times New Roman"/>
        </w:rPr>
        <w:t>（</w:t>
      </w:r>
      <w:r>
        <w:rPr>
          <w:rFonts w:hint="eastAsia" w:cs="Times New Roman"/>
        </w:rPr>
        <w:t>18</w:t>
      </w:r>
      <w:r>
        <w:rPr>
          <w:rFonts w:cs="Times New Roman"/>
        </w:rPr>
        <w:t>）《水污染防治行动计划》，国发〔2015〕17号，2015.4.2发布；</w:t>
      </w:r>
    </w:p>
    <w:p w14:paraId="6C85BA54">
      <w:pPr>
        <w:ind w:firstLine="240" w:firstLineChars="100"/>
        <w:rPr>
          <w:rFonts w:cs="Times New Roman"/>
        </w:rPr>
      </w:pPr>
      <w:r>
        <w:rPr>
          <w:rFonts w:cs="Times New Roman"/>
        </w:rPr>
        <w:t>（</w:t>
      </w:r>
      <w:r>
        <w:rPr>
          <w:rFonts w:hint="eastAsia" w:cs="Times New Roman"/>
        </w:rPr>
        <w:t>19</w:t>
      </w:r>
      <w:r>
        <w:rPr>
          <w:rFonts w:cs="Times New Roman"/>
        </w:rPr>
        <w:t>）《大气污染防治行动计划》，国发〔2013〕37号，2013.9.10发布；</w:t>
      </w:r>
    </w:p>
    <w:p w14:paraId="4906FB07">
      <w:pPr>
        <w:ind w:firstLine="240" w:firstLineChars="100"/>
        <w:rPr>
          <w:rFonts w:cs="Times New Roman"/>
        </w:rPr>
      </w:pPr>
      <w:r>
        <w:rPr>
          <w:rFonts w:cs="Times New Roman"/>
        </w:rPr>
        <w:t>（</w:t>
      </w:r>
      <w:r>
        <w:rPr>
          <w:rFonts w:hint="eastAsia" w:cs="Times New Roman"/>
        </w:rPr>
        <w:t>20</w:t>
      </w:r>
      <w:r>
        <w:rPr>
          <w:rFonts w:cs="Times New Roman"/>
        </w:rPr>
        <w:t>）《土壤污染防治行动计划》，国发〔2016〕31号，2016.5.28发布；</w:t>
      </w:r>
    </w:p>
    <w:p w14:paraId="39DB0DE9">
      <w:pPr>
        <w:ind w:firstLine="240" w:firstLineChars="100"/>
        <w:rPr>
          <w:rFonts w:cs="Times New Roman"/>
        </w:rPr>
      </w:pPr>
      <w:r>
        <w:rPr>
          <w:rFonts w:cs="Times New Roman"/>
        </w:rPr>
        <w:t>（</w:t>
      </w:r>
      <w:r>
        <w:rPr>
          <w:rFonts w:hint="eastAsia" w:cs="Times New Roman"/>
        </w:rPr>
        <w:t>21</w:t>
      </w:r>
      <w:r>
        <w:rPr>
          <w:rFonts w:cs="Times New Roman"/>
        </w:rPr>
        <w:t>）《建设项目环境影响评价分类管理名录》，2021.1.1；</w:t>
      </w:r>
    </w:p>
    <w:p w14:paraId="33C2AB5D">
      <w:pPr>
        <w:ind w:firstLine="240" w:firstLineChars="100"/>
        <w:rPr>
          <w:rFonts w:cs="Times New Roman"/>
        </w:rPr>
      </w:pPr>
      <w:r>
        <w:rPr>
          <w:rFonts w:cs="Times New Roman"/>
        </w:rPr>
        <w:t>（</w:t>
      </w:r>
      <w:r>
        <w:rPr>
          <w:rFonts w:hint="eastAsia" w:cs="Times New Roman"/>
        </w:rPr>
        <w:t>22</w:t>
      </w:r>
      <w:r>
        <w:rPr>
          <w:rFonts w:cs="Times New Roman"/>
        </w:rPr>
        <w:t>）《产业结构调整指导目录（20</w:t>
      </w:r>
      <w:r>
        <w:rPr>
          <w:rFonts w:hint="eastAsia" w:cs="Times New Roman"/>
        </w:rPr>
        <w:t>24</w:t>
      </w:r>
      <w:r>
        <w:rPr>
          <w:rFonts w:cs="Times New Roman"/>
        </w:rPr>
        <w:t>年本）》，国家发展和改革委员</w:t>
      </w:r>
      <w:r>
        <w:rPr>
          <w:rFonts w:hint="eastAsia" w:cs="Times New Roman"/>
        </w:rPr>
        <w:t>会</w:t>
      </w:r>
      <w:r>
        <w:rPr>
          <w:rFonts w:cs="Times New Roman"/>
        </w:rPr>
        <w:t>第</w:t>
      </w:r>
      <w:r>
        <w:rPr>
          <w:rFonts w:hint="eastAsia" w:cs="Times New Roman"/>
        </w:rPr>
        <w:t>7</w:t>
      </w:r>
      <w:r>
        <w:rPr>
          <w:rFonts w:cs="Times New Roman"/>
        </w:rPr>
        <w:t>号令；</w:t>
      </w:r>
    </w:p>
    <w:p w14:paraId="1BD98B8E">
      <w:pPr>
        <w:ind w:firstLine="240" w:firstLineChars="100"/>
        <w:rPr>
          <w:rFonts w:cs="Times New Roman"/>
        </w:rPr>
      </w:pPr>
      <w:r>
        <w:rPr>
          <w:rFonts w:hint="eastAsia" w:cs="Times New Roman"/>
        </w:rPr>
        <w:t>（23）《自然资源部关于规范临时用地管理的通知》，自然资规〔2021〕2号；</w:t>
      </w:r>
    </w:p>
    <w:p w14:paraId="309463EA">
      <w:pPr>
        <w:ind w:firstLine="240" w:firstLineChars="100"/>
        <w:rPr>
          <w:rFonts w:cs="Times New Roman"/>
        </w:rPr>
      </w:pPr>
      <w:r>
        <w:rPr>
          <w:rFonts w:hint="eastAsia" w:cs="Times New Roman"/>
        </w:rPr>
        <w:t>（24）《关于加强生态保护红线管理的通知（试行）》，自然资发〔2022〕142号；</w:t>
      </w:r>
    </w:p>
    <w:p w14:paraId="48A24046">
      <w:pPr>
        <w:ind w:firstLine="240" w:firstLineChars="100"/>
        <w:rPr>
          <w:rFonts w:cs="Times New Roman"/>
        </w:rPr>
      </w:pPr>
      <w:r>
        <w:rPr>
          <w:rFonts w:cs="Times New Roman"/>
        </w:rPr>
        <w:t>（</w:t>
      </w:r>
      <w:r>
        <w:rPr>
          <w:rFonts w:hint="eastAsia" w:cs="Times New Roman"/>
        </w:rPr>
        <w:t>25</w:t>
      </w:r>
      <w:r>
        <w:rPr>
          <w:rFonts w:cs="Times New Roman"/>
        </w:rPr>
        <w:t>）《关于进一步加强环境影响评价管理防范环境风险的通知》，环发〔2012〕77号；</w:t>
      </w:r>
    </w:p>
    <w:p w14:paraId="31D89340">
      <w:pPr>
        <w:ind w:firstLine="240" w:firstLineChars="100"/>
        <w:rPr>
          <w:rFonts w:cs="Times New Roman"/>
        </w:rPr>
      </w:pPr>
      <w:r>
        <w:rPr>
          <w:rFonts w:cs="Times New Roman"/>
        </w:rPr>
        <w:t>（</w:t>
      </w:r>
      <w:r>
        <w:rPr>
          <w:rFonts w:hint="eastAsia" w:cs="Times New Roman"/>
        </w:rPr>
        <w:t>26</w:t>
      </w:r>
      <w:r>
        <w:rPr>
          <w:rFonts w:cs="Times New Roman"/>
        </w:rPr>
        <w:t>）《关于切实加强风险防范严格环境影响评价管理的通知》，环发〔2012〕98号；</w:t>
      </w:r>
    </w:p>
    <w:p w14:paraId="458FEFFA">
      <w:pPr>
        <w:ind w:firstLine="240" w:firstLineChars="100"/>
        <w:rPr>
          <w:rFonts w:cs="Times New Roman"/>
        </w:rPr>
      </w:pPr>
      <w:r>
        <w:rPr>
          <w:rFonts w:cs="Times New Roman"/>
        </w:rPr>
        <w:t>（</w:t>
      </w:r>
      <w:r>
        <w:rPr>
          <w:rFonts w:hint="eastAsia" w:cs="Times New Roman"/>
        </w:rPr>
        <w:t>27</w:t>
      </w:r>
      <w:r>
        <w:rPr>
          <w:rFonts w:cs="Times New Roman"/>
        </w:rPr>
        <w:t>）《环境影响评价公众参与办法》，生态环境部第4号令，2019.1.1施行；</w:t>
      </w:r>
    </w:p>
    <w:p w14:paraId="60958B1B">
      <w:pPr>
        <w:ind w:firstLine="240" w:firstLineChars="100"/>
        <w:rPr>
          <w:rFonts w:cs="Times New Roman"/>
        </w:rPr>
      </w:pPr>
      <w:r>
        <w:rPr>
          <w:rFonts w:cs="Times New Roman"/>
        </w:rPr>
        <w:t>（</w:t>
      </w:r>
      <w:r>
        <w:rPr>
          <w:rFonts w:hint="eastAsia" w:cs="Times New Roman"/>
        </w:rPr>
        <w:t>28</w:t>
      </w:r>
      <w:r>
        <w:rPr>
          <w:rFonts w:cs="Times New Roman"/>
        </w:rPr>
        <w:t>）关于印发《长江经济带生态环境保护规划》的通知，环规财〔2017〕88号；</w:t>
      </w:r>
    </w:p>
    <w:p w14:paraId="0F0C78A0">
      <w:pPr>
        <w:ind w:firstLine="240" w:firstLineChars="100"/>
        <w:rPr>
          <w:rFonts w:cs="Times New Roman"/>
        </w:rPr>
      </w:pPr>
      <w:r>
        <w:rPr>
          <w:rFonts w:cs="Times New Roman"/>
        </w:rPr>
        <w:t>（</w:t>
      </w:r>
      <w:r>
        <w:rPr>
          <w:rFonts w:hint="eastAsia" w:cs="Times New Roman"/>
        </w:rPr>
        <w:t>29</w:t>
      </w:r>
      <w:r>
        <w:rPr>
          <w:rFonts w:cs="Times New Roman"/>
        </w:rPr>
        <w:t>）《关于在国土空间规划中统筹划定落实三条控制线的指导意见》，2019年11月；</w:t>
      </w:r>
    </w:p>
    <w:p w14:paraId="7A8C1CC4">
      <w:pPr>
        <w:ind w:firstLine="240" w:firstLineChars="100"/>
        <w:rPr>
          <w:rFonts w:cs="Times New Roman"/>
        </w:rPr>
      </w:pPr>
      <w:r>
        <w:rPr>
          <w:rFonts w:cs="Times New Roman"/>
        </w:rPr>
        <w:t>（</w:t>
      </w:r>
      <w:r>
        <w:rPr>
          <w:rFonts w:hint="eastAsia" w:cs="Times New Roman"/>
        </w:rPr>
        <w:t>30</w:t>
      </w:r>
      <w:r>
        <w:rPr>
          <w:rFonts w:cs="Times New Roman"/>
        </w:rPr>
        <w:t>）《淮河流域水污染防治暂行条例》，2011修订；</w:t>
      </w:r>
    </w:p>
    <w:p w14:paraId="38213C6B">
      <w:pPr>
        <w:ind w:firstLine="240" w:firstLineChars="100"/>
        <w:rPr>
          <w:rFonts w:cs="Times New Roman"/>
        </w:rPr>
      </w:pPr>
      <w:r>
        <w:rPr>
          <w:rFonts w:cs="Times New Roman"/>
        </w:rPr>
        <w:t>（</w:t>
      </w:r>
      <w:r>
        <w:rPr>
          <w:rFonts w:hint="eastAsia" w:cs="Times New Roman"/>
        </w:rPr>
        <w:t>31</w:t>
      </w:r>
      <w:r>
        <w:rPr>
          <w:rFonts w:cs="Times New Roman"/>
        </w:rPr>
        <w:t>）《关于开展大型灌区续建配套与现代化改造实施方案编制工作的通知》，办农水〔2020〕56号；</w:t>
      </w:r>
    </w:p>
    <w:p w14:paraId="5799E026">
      <w:pPr>
        <w:ind w:firstLine="240" w:firstLineChars="100"/>
        <w:rPr>
          <w:rFonts w:cs="Times New Roman"/>
        </w:rPr>
      </w:pPr>
      <w:r>
        <w:rPr>
          <w:rFonts w:cs="Times New Roman"/>
        </w:rPr>
        <w:t>（</w:t>
      </w:r>
      <w:r>
        <w:rPr>
          <w:rFonts w:hint="eastAsia" w:cs="Times New Roman"/>
        </w:rPr>
        <w:t>32</w:t>
      </w:r>
      <w:r>
        <w:rPr>
          <w:rFonts w:cs="Times New Roman"/>
        </w:rPr>
        <w:t>）《</w:t>
      </w:r>
      <w:r>
        <w:rPr>
          <w:rFonts w:hint="eastAsia" w:cs="Times New Roman"/>
        </w:rPr>
        <w:t>“</w:t>
      </w:r>
      <w:r>
        <w:rPr>
          <w:rFonts w:cs="Times New Roman"/>
        </w:rPr>
        <w:t>十四五</w:t>
      </w:r>
      <w:r>
        <w:rPr>
          <w:rFonts w:hint="eastAsia" w:cs="Times New Roman"/>
        </w:rPr>
        <w:t>”</w:t>
      </w:r>
      <w:r>
        <w:rPr>
          <w:rFonts w:cs="Times New Roman"/>
        </w:rPr>
        <w:t>重大农业节水供水工程实施方案》，2021年8月；</w:t>
      </w:r>
    </w:p>
    <w:p w14:paraId="63D7185C">
      <w:pPr>
        <w:ind w:firstLine="240" w:firstLineChars="100"/>
        <w:rPr>
          <w:rFonts w:cs="Times New Roman"/>
        </w:rPr>
      </w:pPr>
      <w:r>
        <w:rPr>
          <w:rFonts w:cs="Times New Roman"/>
        </w:rPr>
        <w:t>（3</w:t>
      </w:r>
      <w:r>
        <w:rPr>
          <w:rFonts w:hint="eastAsia" w:cs="Times New Roman"/>
        </w:rPr>
        <w:t>3</w:t>
      </w:r>
      <w:r>
        <w:rPr>
          <w:rFonts w:cs="Times New Roman"/>
        </w:rPr>
        <w:t>）《安徽省国民经济和社会发展第十四个五年规划和2035年远景目标纲要》，2021年2月1日批准；</w:t>
      </w:r>
    </w:p>
    <w:p w14:paraId="6DE4F9CD">
      <w:pPr>
        <w:ind w:firstLine="240" w:firstLineChars="100"/>
        <w:rPr>
          <w:rFonts w:cs="Times New Roman"/>
        </w:rPr>
      </w:pPr>
      <w:r>
        <w:rPr>
          <w:rFonts w:cs="Times New Roman"/>
        </w:rPr>
        <w:t>（</w:t>
      </w:r>
      <w:r>
        <w:rPr>
          <w:rFonts w:hint="eastAsia" w:cs="Times New Roman"/>
        </w:rPr>
        <w:t>34</w:t>
      </w:r>
      <w:r>
        <w:rPr>
          <w:rFonts w:cs="Times New Roman"/>
        </w:rPr>
        <w:t>）《安徽省环境保护条例》，2018年1月1日起施行；</w:t>
      </w:r>
    </w:p>
    <w:p w14:paraId="721A48CC">
      <w:pPr>
        <w:ind w:firstLine="240" w:firstLineChars="100"/>
        <w:rPr>
          <w:rFonts w:cs="Times New Roman"/>
        </w:rPr>
      </w:pPr>
      <w:r>
        <w:rPr>
          <w:rFonts w:cs="Times New Roman"/>
        </w:rPr>
        <w:t>（</w:t>
      </w:r>
      <w:r>
        <w:rPr>
          <w:rFonts w:hint="eastAsia" w:cs="Times New Roman"/>
        </w:rPr>
        <w:t>35</w:t>
      </w:r>
      <w:r>
        <w:rPr>
          <w:rFonts w:cs="Times New Roman"/>
        </w:rPr>
        <w:t>）《安徽省大气污染防治条例》，2015年3月1日起施行；</w:t>
      </w:r>
    </w:p>
    <w:p w14:paraId="023CF17D">
      <w:pPr>
        <w:ind w:firstLine="240" w:firstLineChars="100"/>
        <w:rPr>
          <w:rFonts w:cs="Times New Roman"/>
        </w:rPr>
      </w:pPr>
      <w:r>
        <w:rPr>
          <w:rFonts w:cs="Times New Roman"/>
        </w:rPr>
        <w:t>（</w:t>
      </w:r>
      <w:r>
        <w:rPr>
          <w:rFonts w:hint="eastAsia" w:cs="Times New Roman"/>
        </w:rPr>
        <w:t>36</w:t>
      </w:r>
      <w:r>
        <w:rPr>
          <w:rFonts w:cs="Times New Roman"/>
        </w:rPr>
        <w:t>）《安徽省农业生态环境保护条例（2018修正）》，2018年4月；</w:t>
      </w:r>
    </w:p>
    <w:p w14:paraId="3F660B2C">
      <w:pPr>
        <w:ind w:firstLine="240" w:firstLineChars="100"/>
        <w:rPr>
          <w:rFonts w:cs="Times New Roman"/>
        </w:rPr>
      </w:pPr>
      <w:r>
        <w:rPr>
          <w:rFonts w:cs="Times New Roman"/>
        </w:rPr>
        <w:t>（</w:t>
      </w:r>
      <w:r>
        <w:rPr>
          <w:rFonts w:hint="eastAsia" w:cs="Times New Roman"/>
        </w:rPr>
        <w:t>37</w:t>
      </w:r>
      <w:r>
        <w:rPr>
          <w:rFonts w:cs="Times New Roman"/>
        </w:rPr>
        <w:t>）《安徽省大气污染防治行动计划实施方案》，安徽省人民政府，皖政〔2013〕89号；</w:t>
      </w:r>
    </w:p>
    <w:p w14:paraId="5E667443">
      <w:pPr>
        <w:ind w:firstLine="240" w:firstLineChars="100"/>
        <w:rPr>
          <w:rFonts w:cs="Times New Roman"/>
        </w:rPr>
      </w:pPr>
      <w:r>
        <w:rPr>
          <w:rFonts w:cs="Times New Roman"/>
        </w:rPr>
        <w:t>（</w:t>
      </w:r>
      <w:r>
        <w:rPr>
          <w:rFonts w:hint="eastAsia" w:cs="Times New Roman"/>
        </w:rPr>
        <w:t>38</w:t>
      </w:r>
      <w:r>
        <w:rPr>
          <w:rFonts w:cs="Times New Roman"/>
        </w:rPr>
        <w:t>）《安徽省2021年应对气候变化和大气污染防治重点工作任务》，皖大气办﹝2021﹞3号；</w:t>
      </w:r>
    </w:p>
    <w:p w14:paraId="40D7C659">
      <w:pPr>
        <w:ind w:firstLine="240" w:firstLineChars="100"/>
        <w:rPr>
          <w:rFonts w:cs="Times New Roman"/>
        </w:rPr>
      </w:pPr>
      <w:r>
        <w:rPr>
          <w:rFonts w:cs="Times New Roman"/>
        </w:rPr>
        <w:t>（</w:t>
      </w:r>
      <w:r>
        <w:rPr>
          <w:rFonts w:hint="eastAsia" w:cs="Times New Roman"/>
        </w:rPr>
        <w:t>39</w:t>
      </w:r>
      <w:r>
        <w:rPr>
          <w:rFonts w:cs="Times New Roman"/>
        </w:rPr>
        <w:t>）安徽省实施《中华人民共和国河道管理条例》办法</w:t>
      </w:r>
      <w:r>
        <w:rPr>
          <w:rFonts w:hint="eastAsia" w:cs="Times New Roman"/>
        </w:rPr>
        <w:t>，</w:t>
      </w:r>
      <w:r>
        <w:rPr>
          <w:rFonts w:cs="Times New Roman"/>
        </w:rPr>
        <w:t>2017年修正；</w:t>
      </w:r>
    </w:p>
    <w:p w14:paraId="0C99642E">
      <w:pPr>
        <w:ind w:firstLine="240" w:firstLineChars="100"/>
        <w:rPr>
          <w:rFonts w:cs="Times New Roman"/>
        </w:rPr>
      </w:pPr>
      <w:r>
        <w:rPr>
          <w:rFonts w:cs="Times New Roman"/>
        </w:rPr>
        <w:t>（</w:t>
      </w:r>
      <w:r>
        <w:rPr>
          <w:rFonts w:hint="eastAsia" w:cs="Times New Roman"/>
        </w:rPr>
        <w:t>40</w:t>
      </w:r>
      <w:r>
        <w:rPr>
          <w:rFonts w:cs="Times New Roman"/>
        </w:rPr>
        <w:t>）《安徽省饮用水水源环境保护条例》，2016年10月8日；</w:t>
      </w:r>
    </w:p>
    <w:p w14:paraId="38CBE880">
      <w:pPr>
        <w:ind w:firstLine="240" w:firstLineChars="100"/>
        <w:rPr>
          <w:rFonts w:cs="Times New Roman"/>
        </w:rPr>
      </w:pPr>
      <w:r>
        <w:rPr>
          <w:rFonts w:cs="Times New Roman"/>
        </w:rPr>
        <w:t>（</w:t>
      </w:r>
      <w:r>
        <w:rPr>
          <w:rFonts w:hint="eastAsia" w:cs="Times New Roman"/>
        </w:rPr>
        <w:t>41</w:t>
      </w:r>
      <w:r>
        <w:rPr>
          <w:rFonts w:cs="Times New Roman"/>
        </w:rPr>
        <w:t>）《中共安徽省委安徽省人民政府关于全面打造水清岸绿产业优美丽长江（安徽）经济带的实施意见（升级版）》，皖发〔2021〕19号；</w:t>
      </w:r>
    </w:p>
    <w:p w14:paraId="046F5BE7">
      <w:pPr>
        <w:ind w:firstLine="240" w:firstLineChars="100"/>
        <w:rPr>
          <w:rFonts w:cs="Times New Roman"/>
        </w:rPr>
      </w:pPr>
      <w:r>
        <w:rPr>
          <w:rFonts w:cs="Times New Roman"/>
        </w:rPr>
        <w:t>（</w:t>
      </w:r>
      <w:r>
        <w:rPr>
          <w:rFonts w:hint="eastAsia" w:cs="Times New Roman"/>
        </w:rPr>
        <w:t>42</w:t>
      </w:r>
      <w:r>
        <w:rPr>
          <w:rFonts w:cs="Times New Roman"/>
        </w:rPr>
        <w:t>）《安徽省淮河流域水污染防治条例》，安徽省人民代表大会常务委员会公告（第八号），2019年1月1日起施行；</w:t>
      </w:r>
    </w:p>
    <w:p w14:paraId="1C39FA69">
      <w:pPr>
        <w:ind w:firstLine="240" w:firstLineChars="100"/>
        <w:rPr>
          <w:rFonts w:cs="Times New Roman"/>
        </w:rPr>
      </w:pPr>
      <w:r>
        <w:rPr>
          <w:rFonts w:hint="eastAsia" w:cs="Times New Roman"/>
        </w:rPr>
        <w:t>（43）《巢湖流域水污染防治条例》，安徽省人民代表大会常务委员会，公告第十九号；</w:t>
      </w:r>
    </w:p>
    <w:p w14:paraId="6DBBE8A1">
      <w:pPr>
        <w:ind w:firstLine="240" w:firstLineChars="100"/>
        <w:rPr>
          <w:rFonts w:cs="Times New Roman"/>
        </w:rPr>
      </w:pPr>
      <w:r>
        <w:rPr>
          <w:rFonts w:cs="Times New Roman"/>
        </w:rPr>
        <w:t>（</w:t>
      </w:r>
      <w:r>
        <w:rPr>
          <w:rFonts w:hint="eastAsia" w:cs="Times New Roman"/>
        </w:rPr>
        <w:t>44</w:t>
      </w:r>
      <w:r>
        <w:rPr>
          <w:rFonts w:cs="Times New Roman"/>
        </w:rPr>
        <w:t>）《安徽省生态保护红线》，安徽省人民政府，2018年6月；</w:t>
      </w:r>
    </w:p>
    <w:p w14:paraId="50660DDF">
      <w:pPr>
        <w:ind w:firstLine="240" w:firstLineChars="100"/>
        <w:rPr>
          <w:rFonts w:cs="Times New Roman"/>
        </w:rPr>
      </w:pPr>
      <w:r>
        <w:rPr>
          <w:rFonts w:cs="Times New Roman"/>
        </w:rPr>
        <w:t>（</w:t>
      </w:r>
      <w:r>
        <w:rPr>
          <w:rFonts w:hint="eastAsia" w:cs="Times New Roman"/>
        </w:rPr>
        <w:t>45</w:t>
      </w:r>
      <w:r>
        <w:rPr>
          <w:rFonts w:cs="Times New Roman"/>
        </w:rPr>
        <w:t>）中共安徽省委办公厅安徽省人民政府办公厅关于印发《安徽省划定并严守生态保护红线实施方案》的通知</w:t>
      </w:r>
      <w:r>
        <w:rPr>
          <w:rFonts w:hint="eastAsia" w:cs="Times New Roman"/>
        </w:rPr>
        <w:t>，</w:t>
      </w:r>
      <w:r>
        <w:rPr>
          <w:rFonts w:cs="Times New Roman"/>
        </w:rPr>
        <w:t>2017</w:t>
      </w:r>
      <w:r>
        <w:rPr>
          <w:rFonts w:hint="eastAsia" w:cs="Times New Roman"/>
        </w:rPr>
        <w:t>年</w:t>
      </w:r>
      <w:r>
        <w:rPr>
          <w:rFonts w:cs="Times New Roman"/>
        </w:rPr>
        <w:t>9</w:t>
      </w:r>
      <w:r>
        <w:rPr>
          <w:rFonts w:hint="eastAsia" w:cs="Times New Roman"/>
        </w:rPr>
        <w:t>月</w:t>
      </w:r>
      <w:r>
        <w:rPr>
          <w:rFonts w:cs="Times New Roman"/>
        </w:rPr>
        <w:t>；</w:t>
      </w:r>
    </w:p>
    <w:p w14:paraId="26DA1B5A">
      <w:pPr>
        <w:ind w:firstLine="240" w:firstLineChars="100"/>
        <w:rPr>
          <w:rFonts w:cs="Times New Roman"/>
        </w:rPr>
      </w:pPr>
      <w:r>
        <w:rPr>
          <w:rFonts w:hint="eastAsia" w:cs="Times New Roman"/>
        </w:rPr>
        <w:t>（46）《安徽省自然资源厅安徽省生态环境厅安徽省林业局转发自然资源部生态环境部国家林业和草原局关于加强生态保护红线管理的通知》（皖自然资规划函〔2022〕113号）；</w:t>
      </w:r>
    </w:p>
    <w:p w14:paraId="31280CA6">
      <w:pPr>
        <w:ind w:firstLine="240" w:firstLineChars="100"/>
        <w:rPr>
          <w:rFonts w:cs="Times New Roman"/>
        </w:rPr>
      </w:pPr>
      <w:r>
        <w:rPr>
          <w:rFonts w:cs="Times New Roman"/>
        </w:rPr>
        <w:t>（</w:t>
      </w:r>
      <w:r>
        <w:rPr>
          <w:rFonts w:hint="eastAsia" w:cs="Times New Roman"/>
        </w:rPr>
        <w:t>47</w:t>
      </w:r>
      <w:r>
        <w:rPr>
          <w:rFonts w:cs="Times New Roman"/>
        </w:rPr>
        <w:t>）《安徽省土壤污染防治工作方案》，2016年12月29日；</w:t>
      </w:r>
    </w:p>
    <w:p w14:paraId="33BC3B30">
      <w:pPr>
        <w:ind w:firstLine="240" w:firstLineChars="100"/>
        <w:rPr>
          <w:rFonts w:cs="Times New Roman"/>
        </w:rPr>
      </w:pPr>
      <w:r>
        <w:rPr>
          <w:rFonts w:cs="Times New Roman"/>
        </w:rPr>
        <w:t>（</w:t>
      </w:r>
      <w:r>
        <w:rPr>
          <w:rFonts w:hint="eastAsia" w:cs="Times New Roman"/>
        </w:rPr>
        <w:t>48</w:t>
      </w:r>
      <w:r>
        <w:rPr>
          <w:rFonts w:cs="Times New Roman"/>
        </w:rPr>
        <w:t>）《安徽省森林公园管理条例》，2007年3月1日；</w:t>
      </w:r>
    </w:p>
    <w:p w14:paraId="1CBE9304">
      <w:pPr>
        <w:ind w:firstLine="240" w:firstLineChars="100"/>
        <w:rPr>
          <w:rFonts w:cs="Times New Roman"/>
        </w:rPr>
      </w:pPr>
      <w:r>
        <w:rPr>
          <w:rFonts w:cs="Times New Roman"/>
        </w:rPr>
        <w:t>（</w:t>
      </w:r>
      <w:r>
        <w:rPr>
          <w:rFonts w:hint="eastAsia" w:cs="Times New Roman"/>
        </w:rPr>
        <w:t>49</w:t>
      </w:r>
      <w:r>
        <w:rPr>
          <w:rFonts w:cs="Times New Roman"/>
        </w:rPr>
        <w:t>）安徽省人民政府关于公布安徽省重点保护野生植物名录的通知</w:t>
      </w:r>
      <w:r>
        <w:rPr>
          <w:rFonts w:hint="eastAsia" w:cs="Times New Roman"/>
        </w:rPr>
        <w:t>，</w:t>
      </w:r>
      <w:r>
        <w:rPr>
          <w:rFonts w:cs="Times New Roman"/>
        </w:rPr>
        <w:t>皖政秘〔2022〕233号；</w:t>
      </w:r>
    </w:p>
    <w:p w14:paraId="3C5513F3">
      <w:pPr>
        <w:ind w:firstLine="240" w:firstLineChars="100"/>
        <w:rPr>
          <w:rFonts w:cs="Times New Roman"/>
        </w:rPr>
      </w:pPr>
      <w:r>
        <w:rPr>
          <w:rFonts w:cs="Times New Roman"/>
        </w:rPr>
        <w:t>（</w:t>
      </w:r>
      <w:r>
        <w:rPr>
          <w:rFonts w:hint="eastAsia" w:cs="Times New Roman"/>
        </w:rPr>
        <w:t>50</w:t>
      </w:r>
      <w:r>
        <w:rPr>
          <w:rFonts w:cs="Times New Roman"/>
        </w:rPr>
        <w:t>）安徽省人民政府关于公布安徽省重点保护野生动物名录的通知</w:t>
      </w:r>
      <w:r>
        <w:rPr>
          <w:rFonts w:hint="eastAsia" w:cs="Times New Roman"/>
        </w:rPr>
        <w:t>，</w:t>
      </w:r>
      <w:r>
        <w:rPr>
          <w:rFonts w:cs="Times New Roman"/>
        </w:rPr>
        <w:t>皖政秘〔2023〕4号；</w:t>
      </w:r>
    </w:p>
    <w:p w14:paraId="273AF20D">
      <w:pPr>
        <w:ind w:firstLine="240" w:firstLineChars="100"/>
        <w:rPr>
          <w:rFonts w:cs="Times New Roman"/>
        </w:rPr>
      </w:pPr>
      <w:r>
        <w:rPr>
          <w:rFonts w:cs="Times New Roman"/>
        </w:rPr>
        <w:t>（</w:t>
      </w:r>
      <w:r>
        <w:rPr>
          <w:rFonts w:hint="eastAsia" w:cs="Times New Roman"/>
        </w:rPr>
        <w:t>51</w:t>
      </w:r>
      <w:r>
        <w:rPr>
          <w:rFonts w:cs="Times New Roman"/>
        </w:rPr>
        <w:t>）《安徽省级湿地自然公园管理办法》，</w:t>
      </w:r>
      <w:r>
        <w:rPr>
          <w:rFonts w:hint="eastAsia" w:cs="Times New Roman"/>
        </w:rPr>
        <w:t>安徽省林业局，</w:t>
      </w:r>
      <w:r>
        <w:rPr>
          <w:rFonts w:cs="Times New Roman"/>
        </w:rPr>
        <w:t>202</w:t>
      </w:r>
      <w:r>
        <w:rPr>
          <w:rFonts w:hint="eastAsia" w:cs="Times New Roman"/>
        </w:rPr>
        <w:t>1</w:t>
      </w:r>
      <w:r>
        <w:rPr>
          <w:rFonts w:cs="Times New Roman"/>
        </w:rPr>
        <w:t>年</w:t>
      </w:r>
      <w:r>
        <w:rPr>
          <w:rFonts w:hint="eastAsia" w:cs="Times New Roman"/>
        </w:rPr>
        <w:t>3</w:t>
      </w:r>
      <w:r>
        <w:rPr>
          <w:rFonts w:cs="Times New Roman"/>
        </w:rPr>
        <w:t>月</w:t>
      </w:r>
      <w:r>
        <w:rPr>
          <w:rFonts w:hint="eastAsia" w:cs="Times New Roman"/>
        </w:rPr>
        <w:t>3日</w:t>
      </w:r>
      <w:r>
        <w:rPr>
          <w:rFonts w:cs="Times New Roman"/>
        </w:rPr>
        <w:t>；</w:t>
      </w:r>
    </w:p>
    <w:p w14:paraId="3C5E538F">
      <w:pPr>
        <w:ind w:firstLine="240" w:firstLineChars="100"/>
        <w:rPr>
          <w:rFonts w:cs="Times New Roman"/>
        </w:rPr>
      </w:pPr>
      <w:r>
        <w:rPr>
          <w:rFonts w:cs="Times New Roman"/>
          <w:color w:val="0000FF"/>
        </w:rPr>
        <w:t>（</w:t>
      </w:r>
      <w:r>
        <w:rPr>
          <w:rFonts w:hint="eastAsia" w:cs="Times New Roman"/>
        </w:rPr>
        <w:t>52</w:t>
      </w:r>
      <w:r>
        <w:rPr>
          <w:rFonts w:cs="Times New Roman"/>
        </w:rPr>
        <w:t>）《淮南市扬尘污染防治办法》2016年1月1日起施行；</w:t>
      </w:r>
    </w:p>
    <w:p w14:paraId="252C4794">
      <w:pPr>
        <w:ind w:firstLine="240" w:firstLineChars="100"/>
        <w:rPr>
          <w:rFonts w:cs="Times New Roman"/>
        </w:rPr>
      </w:pPr>
      <w:r>
        <w:rPr>
          <w:rFonts w:cs="Times New Roman"/>
        </w:rPr>
        <w:t>（</w:t>
      </w:r>
      <w:r>
        <w:rPr>
          <w:rFonts w:hint="eastAsia" w:cs="Times New Roman"/>
        </w:rPr>
        <w:t>53</w:t>
      </w:r>
      <w:r>
        <w:rPr>
          <w:rFonts w:cs="Times New Roman"/>
        </w:rPr>
        <w:t>）《淮南市大气污染防治补短板攻坚行动实施方案》，2020年11月11日；</w:t>
      </w:r>
    </w:p>
    <w:p w14:paraId="15AD413D">
      <w:pPr>
        <w:ind w:firstLine="240" w:firstLineChars="100"/>
        <w:rPr>
          <w:rFonts w:cs="Times New Roman"/>
        </w:rPr>
      </w:pPr>
      <w:r>
        <w:rPr>
          <w:rFonts w:cs="Times New Roman"/>
        </w:rPr>
        <w:t>（</w:t>
      </w:r>
      <w:r>
        <w:rPr>
          <w:rFonts w:hint="eastAsia" w:cs="Times New Roman"/>
        </w:rPr>
        <w:t>54</w:t>
      </w:r>
      <w:r>
        <w:rPr>
          <w:rFonts w:cs="Times New Roman"/>
        </w:rPr>
        <w:t>）淮南市人民政府办公室关于印发《淮南市饮用水水源地保护攻坚战实施方案的通知》，2019年4月4日。</w:t>
      </w:r>
    </w:p>
    <w:p w14:paraId="20809440">
      <w:pPr>
        <w:pStyle w:val="4"/>
        <w:rPr>
          <w:rFonts w:cs="Times New Roman"/>
        </w:rPr>
      </w:pPr>
      <w:r>
        <w:rPr>
          <w:rFonts w:cs="Times New Roman"/>
        </w:rPr>
        <w:t>1.2.2 技术导则及规范</w:t>
      </w:r>
    </w:p>
    <w:p w14:paraId="255F83F6">
      <w:pPr>
        <w:ind w:firstLine="240" w:firstLineChars="100"/>
        <w:rPr>
          <w:rFonts w:cs="Times New Roman"/>
        </w:rPr>
      </w:pPr>
      <w:r>
        <w:rPr>
          <w:rFonts w:cs="Times New Roman"/>
        </w:rPr>
        <w:t>（1）《建设项目环境影响评价技术导则</w:t>
      </w:r>
      <w:r>
        <w:rPr>
          <w:rFonts w:hint="eastAsia" w:cs="Times New Roman"/>
          <w:lang w:val="en-US" w:eastAsia="zh-CN"/>
        </w:rPr>
        <w:t xml:space="preserve"> </w:t>
      </w:r>
      <w:r>
        <w:rPr>
          <w:rFonts w:cs="Times New Roman"/>
        </w:rPr>
        <w:t xml:space="preserve"> 总纲》（HJ2.1-2016）；</w:t>
      </w:r>
    </w:p>
    <w:p w14:paraId="1C168005">
      <w:pPr>
        <w:ind w:firstLine="240" w:firstLineChars="100"/>
        <w:rPr>
          <w:rFonts w:cs="Times New Roman"/>
        </w:rPr>
      </w:pPr>
      <w:r>
        <w:rPr>
          <w:rFonts w:cs="Times New Roman"/>
        </w:rPr>
        <w:t xml:space="preserve">（2）《环境影响评价技术导则 </w:t>
      </w:r>
      <w:r>
        <w:rPr>
          <w:rFonts w:hint="eastAsia" w:cs="Times New Roman"/>
          <w:lang w:val="en-US" w:eastAsia="zh-CN"/>
        </w:rPr>
        <w:t xml:space="preserve"> </w:t>
      </w:r>
      <w:r>
        <w:rPr>
          <w:rFonts w:cs="Times New Roman"/>
        </w:rPr>
        <w:t>大气环境》（HJ2.2-2018）；</w:t>
      </w:r>
    </w:p>
    <w:p w14:paraId="7708E77A">
      <w:pPr>
        <w:ind w:firstLine="240" w:firstLineChars="100"/>
        <w:rPr>
          <w:rFonts w:cs="Times New Roman"/>
        </w:rPr>
      </w:pPr>
      <w:r>
        <w:rPr>
          <w:rFonts w:cs="Times New Roman"/>
        </w:rPr>
        <w:t xml:space="preserve">（3）《环境影响评价技术导则 </w:t>
      </w:r>
      <w:r>
        <w:rPr>
          <w:rFonts w:hint="eastAsia" w:cs="Times New Roman"/>
          <w:lang w:val="en-US" w:eastAsia="zh-CN"/>
        </w:rPr>
        <w:t xml:space="preserve"> </w:t>
      </w:r>
      <w:r>
        <w:rPr>
          <w:rFonts w:cs="Times New Roman"/>
        </w:rPr>
        <w:t>地表水环境》（HJ2.3-2018）；</w:t>
      </w:r>
    </w:p>
    <w:p w14:paraId="3D7C0879">
      <w:pPr>
        <w:ind w:firstLine="240" w:firstLineChars="100"/>
        <w:rPr>
          <w:rFonts w:cs="Times New Roman"/>
        </w:rPr>
      </w:pPr>
      <w:r>
        <w:rPr>
          <w:rFonts w:cs="Times New Roman"/>
        </w:rPr>
        <w:t>（4）《环境影响评价技术导则</w:t>
      </w:r>
      <w:r>
        <w:rPr>
          <w:rFonts w:hint="eastAsia" w:cs="Times New Roman"/>
          <w:lang w:val="en-US" w:eastAsia="zh-CN"/>
        </w:rPr>
        <w:t xml:space="preserve"> </w:t>
      </w:r>
      <w:r>
        <w:rPr>
          <w:rFonts w:cs="Times New Roman"/>
        </w:rPr>
        <w:t xml:space="preserve"> 声环境》（HJ2.4-2021）；</w:t>
      </w:r>
    </w:p>
    <w:p w14:paraId="29801C02">
      <w:pPr>
        <w:ind w:firstLine="240" w:firstLineChars="100"/>
        <w:rPr>
          <w:rFonts w:cs="Times New Roman"/>
        </w:rPr>
      </w:pPr>
      <w:r>
        <w:rPr>
          <w:rFonts w:cs="Times New Roman"/>
        </w:rPr>
        <w:t xml:space="preserve">（5）《环境影响评价技术导则 </w:t>
      </w:r>
      <w:r>
        <w:rPr>
          <w:rFonts w:hint="eastAsia" w:cs="Times New Roman"/>
          <w:lang w:val="en-US" w:eastAsia="zh-CN"/>
        </w:rPr>
        <w:t xml:space="preserve"> </w:t>
      </w:r>
      <w:r>
        <w:rPr>
          <w:rFonts w:cs="Times New Roman"/>
        </w:rPr>
        <w:t>生态影响》（HJ19-2022）；</w:t>
      </w:r>
    </w:p>
    <w:p w14:paraId="7793CBCB">
      <w:pPr>
        <w:ind w:firstLine="240" w:firstLineChars="100"/>
        <w:rPr>
          <w:rFonts w:cs="Times New Roman"/>
        </w:rPr>
      </w:pPr>
      <w:r>
        <w:rPr>
          <w:rFonts w:cs="Times New Roman"/>
        </w:rPr>
        <w:t xml:space="preserve">（6）《环境影响评价技术导则 </w:t>
      </w:r>
      <w:r>
        <w:rPr>
          <w:rFonts w:hint="eastAsia" w:cs="Times New Roman"/>
          <w:lang w:val="en-US" w:eastAsia="zh-CN"/>
        </w:rPr>
        <w:t xml:space="preserve"> </w:t>
      </w:r>
      <w:r>
        <w:rPr>
          <w:rFonts w:cs="Times New Roman"/>
        </w:rPr>
        <w:t>水利水电工程》（HJ/T88-2003）；</w:t>
      </w:r>
    </w:p>
    <w:p w14:paraId="0F0C6981">
      <w:pPr>
        <w:ind w:firstLine="240" w:firstLineChars="100"/>
        <w:rPr>
          <w:rFonts w:cs="Times New Roman"/>
        </w:rPr>
      </w:pPr>
      <w:r>
        <w:rPr>
          <w:rFonts w:cs="Times New Roman"/>
        </w:rPr>
        <w:t xml:space="preserve">（7）《环境影响评价技术导则 </w:t>
      </w:r>
      <w:r>
        <w:rPr>
          <w:rFonts w:hint="eastAsia" w:cs="Times New Roman"/>
          <w:lang w:val="en-US" w:eastAsia="zh-CN"/>
        </w:rPr>
        <w:t xml:space="preserve"> </w:t>
      </w:r>
      <w:r>
        <w:rPr>
          <w:rFonts w:cs="Times New Roman"/>
        </w:rPr>
        <w:t>地下水环境》（HJ610-2016）；</w:t>
      </w:r>
    </w:p>
    <w:p w14:paraId="1EF4485A">
      <w:pPr>
        <w:ind w:firstLine="240" w:firstLineChars="100"/>
        <w:rPr>
          <w:rFonts w:cs="Times New Roman"/>
        </w:rPr>
      </w:pPr>
      <w:r>
        <w:rPr>
          <w:rFonts w:cs="Times New Roman"/>
        </w:rPr>
        <w:t>（8）《建设项目环境风险评价技术导则》（HJ169-2018）；</w:t>
      </w:r>
    </w:p>
    <w:p w14:paraId="63052F29">
      <w:pPr>
        <w:ind w:firstLine="240" w:firstLineChars="100"/>
        <w:rPr>
          <w:rFonts w:cs="Times New Roman"/>
        </w:rPr>
      </w:pPr>
      <w:r>
        <w:rPr>
          <w:rFonts w:cs="Times New Roman"/>
        </w:rPr>
        <w:t xml:space="preserve">（9）《环境影响评价技术导则 </w:t>
      </w:r>
      <w:r>
        <w:rPr>
          <w:rFonts w:hint="eastAsia" w:cs="Times New Roman"/>
          <w:lang w:val="en-US" w:eastAsia="zh-CN"/>
        </w:rPr>
        <w:t xml:space="preserve"> </w:t>
      </w:r>
      <w:r>
        <w:rPr>
          <w:rFonts w:cs="Times New Roman"/>
        </w:rPr>
        <w:t>土壤环境（试行）》（HJ964-2018）；</w:t>
      </w:r>
    </w:p>
    <w:p w14:paraId="59E4CC48">
      <w:pPr>
        <w:ind w:firstLine="240" w:firstLineChars="100"/>
        <w:rPr>
          <w:rFonts w:cs="Times New Roman"/>
        </w:rPr>
      </w:pPr>
      <w:r>
        <w:rPr>
          <w:rFonts w:cs="Times New Roman"/>
        </w:rPr>
        <w:t>（10）《水土保持工程设计规范》（GB51018-2014）；</w:t>
      </w:r>
    </w:p>
    <w:p w14:paraId="18CF0CF5">
      <w:pPr>
        <w:ind w:firstLine="240" w:firstLineChars="100"/>
        <w:rPr>
          <w:rFonts w:cs="Times New Roman"/>
        </w:rPr>
      </w:pPr>
      <w:r>
        <w:rPr>
          <w:rFonts w:cs="Times New Roman"/>
        </w:rPr>
        <w:t>（11）《水利水电工程环境保护设计概（估）算编制规程》（SL359-2006）；</w:t>
      </w:r>
    </w:p>
    <w:p w14:paraId="2D5B2F70">
      <w:pPr>
        <w:ind w:firstLine="240" w:firstLineChars="100"/>
        <w:rPr>
          <w:rFonts w:cs="Times New Roman"/>
        </w:rPr>
      </w:pPr>
      <w:r>
        <w:rPr>
          <w:rFonts w:cs="Times New Roman"/>
        </w:rPr>
        <w:t>（12）《关于印发城市轨道交通、水利（灌区工程）两个行业建设项目环境影响评价文件审批原则的通知》（环办环评〔2018〕17号）；</w:t>
      </w:r>
    </w:p>
    <w:p w14:paraId="7C2222ED">
      <w:pPr>
        <w:ind w:firstLine="240" w:firstLineChars="100"/>
        <w:rPr>
          <w:rFonts w:cs="Times New Roman"/>
        </w:rPr>
      </w:pPr>
      <w:r>
        <w:rPr>
          <w:rFonts w:cs="Times New Roman"/>
        </w:rPr>
        <w:t>（13）《饮用水水源保护区划分技术规范》，HJ338-2018；</w:t>
      </w:r>
    </w:p>
    <w:p w14:paraId="0CC6DAAA">
      <w:pPr>
        <w:ind w:firstLine="240" w:firstLineChars="100"/>
        <w:rPr>
          <w:rFonts w:cs="Times New Roman"/>
        </w:rPr>
      </w:pPr>
      <w:r>
        <w:rPr>
          <w:rFonts w:hint="eastAsia" w:cs="Times New Roman"/>
        </w:rPr>
        <w:t>（14）饮用水水源保护区污染防治管理规定，2010年12月22日修正；</w:t>
      </w:r>
    </w:p>
    <w:p w14:paraId="6954C0B0">
      <w:pPr>
        <w:ind w:firstLine="240" w:firstLineChars="100"/>
        <w:rPr>
          <w:rFonts w:cs="Times New Roman"/>
        </w:rPr>
      </w:pPr>
      <w:r>
        <w:rPr>
          <w:rFonts w:cs="Times New Roman"/>
        </w:rPr>
        <w:t>（15）安徽省实施《中华人民共和国固体废物污染环境防治法》办法，省人大常委会公告第四十六号，2021年5月。</w:t>
      </w:r>
    </w:p>
    <w:p w14:paraId="1CFF9FEB">
      <w:pPr>
        <w:pStyle w:val="4"/>
        <w:rPr>
          <w:rFonts w:cs="Times New Roman"/>
        </w:rPr>
      </w:pPr>
      <w:r>
        <w:rPr>
          <w:rFonts w:cs="Times New Roman"/>
        </w:rPr>
        <w:t>1.2.3 相关规划</w:t>
      </w:r>
    </w:p>
    <w:p w14:paraId="62FE96B8">
      <w:pPr>
        <w:ind w:firstLine="240" w:firstLineChars="100"/>
        <w:rPr>
          <w:rFonts w:cs="Times New Roman"/>
        </w:rPr>
      </w:pPr>
      <w:r>
        <w:rPr>
          <w:rFonts w:cs="Times New Roman"/>
        </w:rPr>
        <w:t>（1）《安徽省生态功能区划》；</w:t>
      </w:r>
    </w:p>
    <w:p w14:paraId="33D2EC4D">
      <w:pPr>
        <w:ind w:firstLine="240" w:firstLineChars="100"/>
        <w:rPr>
          <w:rFonts w:cs="Times New Roman"/>
          <w:bCs/>
        </w:rPr>
      </w:pPr>
      <w:r>
        <w:rPr>
          <w:rFonts w:cs="Times New Roman"/>
        </w:rPr>
        <w:t>（2）</w:t>
      </w:r>
      <w:r>
        <w:rPr>
          <w:rFonts w:cs="Times New Roman"/>
          <w:bCs/>
        </w:rPr>
        <w:t>《安徽省主体功能区划》；</w:t>
      </w:r>
    </w:p>
    <w:p w14:paraId="349FDEC2">
      <w:pPr>
        <w:ind w:firstLine="240" w:firstLineChars="100"/>
        <w:rPr>
          <w:rFonts w:cs="Times New Roman"/>
        </w:rPr>
      </w:pPr>
      <w:r>
        <w:rPr>
          <w:rFonts w:cs="Times New Roman"/>
        </w:rPr>
        <w:t>（3）《安徽省水功能区划》；</w:t>
      </w:r>
    </w:p>
    <w:p w14:paraId="16C6D10F">
      <w:pPr>
        <w:ind w:firstLine="240" w:firstLineChars="100"/>
        <w:rPr>
          <w:rFonts w:cs="Times New Roman"/>
        </w:rPr>
      </w:pPr>
      <w:r>
        <w:rPr>
          <w:rFonts w:cs="Times New Roman"/>
        </w:rPr>
        <w:t>（</w:t>
      </w:r>
      <w:r>
        <w:rPr>
          <w:rFonts w:hint="eastAsia" w:cs="Times New Roman"/>
        </w:rPr>
        <w:t>4</w:t>
      </w:r>
      <w:r>
        <w:rPr>
          <w:rFonts w:cs="Times New Roman"/>
        </w:rPr>
        <w:t>）《安徽省水环境功能区划》，2003年；</w:t>
      </w:r>
    </w:p>
    <w:p w14:paraId="71D144EF">
      <w:pPr>
        <w:ind w:firstLine="240" w:firstLineChars="100"/>
        <w:rPr>
          <w:rFonts w:cs="Times New Roman"/>
        </w:rPr>
      </w:pPr>
      <w:r>
        <w:rPr>
          <w:rFonts w:cs="Times New Roman"/>
        </w:rPr>
        <w:t>（5）《安徽省灾后水利建设总体规划》，2017年4月；</w:t>
      </w:r>
    </w:p>
    <w:p w14:paraId="1A6A15B6">
      <w:pPr>
        <w:ind w:firstLine="240" w:firstLineChars="100"/>
        <w:rPr>
          <w:rFonts w:cs="Times New Roman"/>
        </w:rPr>
      </w:pPr>
      <w:r>
        <w:rPr>
          <w:rFonts w:cs="Times New Roman"/>
        </w:rPr>
        <w:t>（6）《淮河流域综合规划（2012-2030）》，国函〔2013〕35号；</w:t>
      </w:r>
    </w:p>
    <w:p w14:paraId="315BE0A7">
      <w:pPr>
        <w:ind w:firstLine="240" w:firstLineChars="100"/>
        <w:rPr>
          <w:rFonts w:cs="Times New Roman"/>
        </w:rPr>
      </w:pPr>
      <w:r>
        <w:rPr>
          <w:rFonts w:cs="Times New Roman"/>
        </w:rPr>
        <w:t>（7）《淮河生态经济带发展规划》，2018年；</w:t>
      </w:r>
    </w:p>
    <w:p w14:paraId="385C96BB">
      <w:pPr>
        <w:ind w:firstLine="240" w:firstLineChars="100"/>
        <w:rPr>
          <w:rFonts w:cs="Times New Roman"/>
        </w:rPr>
      </w:pPr>
      <w:r>
        <w:rPr>
          <w:rFonts w:cs="Times New Roman"/>
        </w:rPr>
        <w:t>（8）《淮河流域防洪规划》，国函〔2009〕37号；</w:t>
      </w:r>
    </w:p>
    <w:p w14:paraId="7E33A5DE">
      <w:pPr>
        <w:ind w:firstLine="240" w:firstLineChars="100"/>
        <w:rPr>
          <w:rFonts w:cs="Times New Roman"/>
        </w:rPr>
      </w:pPr>
      <w:r>
        <w:rPr>
          <w:rFonts w:cs="Times New Roman"/>
        </w:rPr>
        <w:t>（9）《长江流域综合规划（2012</w:t>
      </w:r>
      <w:r>
        <w:rPr>
          <w:rFonts w:hint="eastAsia" w:cs="Times New Roman"/>
        </w:rPr>
        <w:t>-</w:t>
      </w:r>
      <w:r>
        <w:rPr>
          <w:rFonts w:cs="Times New Roman"/>
        </w:rPr>
        <w:t>2030年）》，国函〔2012〕220号；</w:t>
      </w:r>
    </w:p>
    <w:p w14:paraId="05E8EFA4">
      <w:pPr>
        <w:ind w:firstLine="240" w:firstLineChars="100"/>
        <w:rPr>
          <w:rFonts w:cs="Times New Roman"/>
          <w:bCs/>
        </w:rPr>
      </w:pPr>
      <w:r>
        <w:rPr>
          <w:rFonts w:cs="Times New Roman"/>
        </w:rPr>
        <w:t>（10）</w:t>
      </w:r>
      <w:r>
        <w:rPr>
          <w:rFonts w:cs="Times New Roman"/>
          <w:bCs/>
        </w:rPr>
        <w:t>《巢湖流域防洪规划》；</w:t>
      </w:r>
    </w:p>
    <w:p w14:paraId="41DA03C8">
      <w:pPr>
        <w:ind w:firstLine="240" w:firstLineChars="100"/>
        <w:rPr>
          <w:rFonts w:cs="Times New Roman"/>
          <w:bCs/>
        </w:rPr>
      </w:pPr>
      <w:r>
        <w:rPr>
          <w:rFonts w:hint="eastAsia" w:cs="Times New Roman"/>
          <w:bCs/>
        </w:rPr>
        <w:t>（11）《安徽省湿地保护规划（2022-2030年）》，安徽省林业局，2023年11月14日；</w:t>
      </w:r>
    </w:p>
    <w:p w14:paraId="2D85B54E">
      <w:pPr>
        <w:ind w:firstLine="240" w:firstLineChars="100"/>
        <w:rPr>
          <w:rFonts w:cs="Times New Roman"/>
        </w:rPr>
      </w:pPr>
      <w:r>
        <w:rPr>
          <w:rFonts w:cs="Times New Roman"/>
        </w:rPr>
        <w:t>（1</w:t>
      </w:r>
      <w:r>
        <w:rPr>
          <w:rFonts w:hint="eastAsia" w:cs="Times New Roman"/>
        </w:rPr>
        <w:t>2</w:t>
      </w:r>
      <w:r>
        <w:rPr>
          <w:rFonts w:cs="Times New Roman"/>
        </w:rPr>
        <w:t>）《淮南市谢家集区朱集灌区续建配套与现代化改造项目实施方案》</w:t>
      </w:r>
      <w:r>
        <w:rPr>
          <w:rFonts w:hint="eastAsia" w:cs="Times New Roman"/>
        </w:rPr>
        <w:t>，</w:t>
      </w:r>
      <w:r>
        <w:rPr>
          <w:rFonts w:cs="Times New Roman"/>
        </w:rPr>
        <w:t>202</w:t>
      </w:r>
      <w:r>
        <w:rPr>
          <w:rFonts w:hint="eastAsia" w:cs="Times New Roman"/>
        </w:rPr>
        <w:t>3</w:t>
      </w:r>
      <w:r>
        <w:rPr>
          <w:rFonts w:cs="Times New Roman"/>
        </w:rPr>
        <w:t>年</w:t>
      </w:r>
      <w:r>
        <w:rPr>
          <w:rFonts w:hint="eastAsia" w:cs="Times New Roman"/>
        </w:rPr>
        <w:t>12</w:t>
      </w:r>
      <w:r>
        <w:rPr>
          <w:rFonts w:cs="Times New Roman"/>
        </w:rPr>
        <w:t>月</w:t>
      </w:r>
      <w:r>
        <w:rPr>
          <w:rFonts w:hint="eastAsia" w:cs="Times New Roman"/>
        </w:rPr>
        <w:t>。</w:t>
      </w:r>
    </w:p>
    <w:p w14:paraId="56FDC8F9">
      <w:pPr>
        <w:pStyle w:val="4"/>
        <w:rPr>
          <w:rFonts w:cs="Times New Roman"/>
        </w:rPr>
      </w:pPr>
      <w:r>
        <w:rPr>
          <w:rFonts w:cs="Times New Roman"/>
        </w:rPr>
        <w:t>1.2.4其它文件</w:t>
      </w:r>
    </w:p>
    <w:p w14:paraId="6A016E2A">
      <w:pPr>
        <w:bidi w:val="0"/>
      </w:pPr>
      <w:r>
        <w:t>（1）委托书；</w:t>
      </w:r>
    </w:p>
    <w:p w14:paraId="649C5A07">
      <w:pPr>
        <w:bidi w:val="0"/>
      </w:pPr>
      <w:r>
        <w:t>（2）《淮南市谢家集区朱集灌区续建配套与现代化改造项目可行性研究报告》；</w:t>
      </w:r>
    </w:p>
    <w:p w14:paraId="7A3D0546">
      <w:pPr>
        <w:bidi w:val="0"/>
      </w:pPr>
      <w:r>
        <w:t>（3）《</w:t>
      </w:r>
      <w:r>
        <w:rPr>
          <w:rFonts w:hint="eastAsia"/>
        </w:rPr>
        <w:t>淮南市谢家集区朱集中型灌区续建配套与节水改造项目立项建议报告</w:t>
      </w:r>
      <w:r>
        <w:t>》；</w:t>
      </w:r>
    </w:p>
    <w:p w14:paraId="6E3C5FA5">
      <w:pPr>
        <w:bidi w:val="0"/>
      </w:pPr>
      <w:r>
        <w:rPr>
          <w:rFonts w:hint="eastAsia"/>
        </w:rPr>
        <w:t>（4）《关于印发安徽省城市集中式饮用水水源保护区划分方案的通知》，原安徽省环境保护局，环水函</w:t>
      </w:r>
      <w:r>
        <w:t>〔20</w:t>
      </w:r>
      <w:r>
        <w:rPr>
          <w:rFonts w:hint="eastAsia"/>
        </w:rPr>
        <w:t>09</w:t>
      </w:r>
      <w:r>
        <w:t>〕</w:t>
      </w:r>
      <w:r>
        <w:rPr>
          <w:rFonts w:hint="eastAsia"/>
        </w:rPr>
        <w:t>268</w:t>
      </w:r>
      <w:r>
        <w:t>号</w:t>
      </w:r>
      <w:r>
        <w:rPr>
          <w:rFonts w:hint="eastAsia"/>
        </w:rPr>
        <w:t>；</w:t>
      </w:r>
    </w:p>
    <w:p w14:paraId="264EDD22">
      <w:pPr>
        <w:bidi w:val="0"/>
      </w:pPr>
      <w:r>
        <w:rPr>
          <w:rFonts w:hint="eastAsia"/>
        </w:rPr>
        <w:t>（5）《关于引发安徽省县级以上集中式饮用水水源地名录的通知》，皖水资管函[2021]646号，2021年12月31日；</w:t>
      </w:r>
    </w:p>
    <w:p w14:paraId="00823DAB">
      <w:pPr>
        <w:bidi w:val="0"/>
      </w:pPr>
      <w:r>
        <w:t>（</w:t>
      </w:r>
      <w:r>
        <w:rPr>
          <w:rFonts w:hint="eastAsia"/>
        </w:rPr>
        <w:t>6</w:t>
      </w:r>
      <w:r>
        <w:t>）建设单位提供的其它文件。</w:t>
      </w:r>
    </w:p>
    <w:p w14:paraId="4438870D">
      <w:pPr>
        <w:pStyle w:val="3"/>
        <w:rPr>
          <w:rFonts w:cs="Times New Roman"/>
        </w:rPr>
      </w:pPr>
      <w:bookmarkStart w:id="17" w:name="_Toc23454"/>
      <w:r>
        <w:rPr>
          <w:rFonts w:cs="Times New Roman"/>
        </w:rPr>
        <w:t>1.3 环境影响识别和评价因子筛选</w:t>
      </w:r>
      <w:bookmarkEnd w:id="17"/>
    </w:p>
    <w:p w14:paraId="69109F2D">
      <w:pPr>
        <w:pStyle w:val="4"/>
        <w:rPr>
          <w:rFonts w:cs="Times New Roman"/>
        </w:rPr>
      </w:pPr>
      <w:r>
        <w:rPr>
          <w:rFonts w:cs="Times New Roman"/>
        </w:rPr>
        <w:t>1.3.1 环境影响识别结果</w:t>
      </w:r>
    </w:p>
    <w:p w14:paraId="0A8BD32F">
      <w:pPr>
        <w:bidi w:val="0"/>
      </w:pPr>
      <w:r>
        <w:t>淮南市谢家集区朱集灌区续建配套与现代化改造项目涉及施工范围广、工程量影响较大，工程建设将对局部区域河势及水文情势、水环境、生态环境、声环境等产生不利影响，工程建设还将产生部分固体废物。环境影响分析见表1</w:t>
      </w:r>
      <w:r>
        <w:rPr>
          <w:rFonts w:hint="eastAsia"/>
          <w:lang w:val="en-US" w:eastAsia="zh-CN"/>
        </w:rPr>
        <w:t>.</w:t>
      </w:r>
      <w:r>
        <w:t>3-1。</w:t>
      </w:r>
    </w:p>
    <w:p w14:paraId="292795C4">
      <w:pPr>
        <w:pStyle w:val="29"/>
        <w:bidi w:val="0"/>
      </w:pPr>
      <w:r>
        <w:rPr>
          <w:rFonts w:hint="eastAsia"/>
        </w:rPr>
        <w:t>表</w:t>
      </w:r>
      <w:r>
        <w:t>1</w:t>
      </w:r>
      <w:r>
        <w:rPr>
          <w:rFonts w:hint="eastAsia"/>
          <w:lang w:val="en-US" w:eastAsia="zh-CN"/>
        </w:rPr>
        <w:t>.</w:t>
      </w:r>
      <w:r>
        <w:t>3-1  环境影响因子识别矩阵</w:t>
      </w:r>
    </w:p>
    <w:tbl>
      <w:tblPr>
        <w:tblStyle w:val="1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659"/>
        <w:gridCol w:w="1532"/>
        <w:gridCol w:w="636"/>
        <w:gridCol w:w="634"/>
        <w:gridCol w:w="479"/>
        <w:gridCol w:w="526"/>
        <w:gridCol w:w="479"/>
        <w:gridCol w:w="490"/>
        <w:gridCol w:w="463"/>
        <w:gridCol w:w="659"/>
        <w:gridCol w:w="583"/>
        <w:gridCol w:w="546"/>
        <w:gridCol w:w="475"/>
        <w:gridCol w:w="483"/>
        <w:gridCol w:w="455"/>
      </w:tblGrid>
      <w:tr w14:paraId="40192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3" w:type="pct"/>
            <w:gridSpan w:val="2"/>
            <w:vMerge w:val="restart"/>
            <w:tcBorders>
              <w:top w:val="single" w:color="auto" w:sz="4" w:space="0"/>
              <w:left w:val="single" w:color="auto" w:sz="4" w:space="0"/>
              <w:tl2br w:val="single" w:color="auto" w:sz="4" w:space="0"/>
            </w:tcBorders>
            <w:tcMar>
              <w:top w:w="57" w:type="dxa"/>
              <w:left w:w="28" w:type="dxa"/>
              <w:bottom w:w="57" w:type="dxa"/>
              <w:right w:w="28" w:type="dxa"/>
            </w:tcMar>
            <w:vAlign w:val="center"/>
          </w:tcPr>
          <w:p w14:paraId="0E1E211A">
            <w:pPr>
              <w:pStyle w:val="28"/>
              <w:bidi w:val="0"/>
            </w:pPr>
            <w:r>
              <w:t>环境要素</w:t>
            </w:r>
          </w:p>
          <w:p w14:paraId="3E9E8DAA">
            <w:pPr>
              <w:pStyle w:val="28"/>
              <w:bidi w:val="0"/>
            </w:pPr>
          </w:p>
          <w:p w14:paraId="79DA8083">
            <w:pPr>
              <w:pStyle w:val="28"/>
              <w:bidi w:val="0"/>
            </w:pPr>
          </w:p>
          <w:p w14:paraId="26202A0D">
            <w:pPr>
              <w:pStyle w:val="28"/>
              <w:bidi w:val="0"/>
            </w:pPr>
          </w:p>
          <w:p w14:paraId="3F3EFFC4">
            <w:pPr>
              <w:pStyle w:val="28"/>
              <w:bidi w:val="0"/>
            </w:pPr>
            <w:r>
              <w:t>项目组成</w:t>
            </w:r>
          </w:p>
        </w:tc>
        <w:tc>
          <w:tcPr>
            <w:tcW w:w="1249" w:type="pct"/>
            <w:gridSpan w:val="4"/>
            <w:tcBorders>
              <w:top w:val="single" w:color="auto" w:sz="4" w:space="0"/>
            </w:tcBorders>
            <w:vAlign w:val="center"/>
          </w:tcPr>
          <w:p w14:paraId="349293D0">
            <w:pPr>
              <w:pStyle w:val="28"/>
              <w:bidi w:val="0"/>
            </w:pPr>
            <w:r>
              <w:t>生态环境</w:t>
            </w:r>
          </w:p>
        </w:tc>
        <w:tc>
          <w:tcPr>
            <w:tcW w:w="532" w:type="pct"/>
            <w:gridSpan w:val="2"/>
            <w:tcBorders>
              <w:top w:val="single" w:color="auto" w:sz="4" w:space="0"/>
            </w:tcBorders>
            <w:vAlign w:val="center"/>
          </w:tcPr>
          <w:p w14:paraId="5ADC38DE">
            <w:pPr>
              <w:pStyle w:val="28"/>
              <w:bidi w:val="0"/>
            </w:pPr>
            <w:r>
              <w:t>水</w:t>
            </w:r>
          </w:p>
          <w:p w14:paraId="489CC01E">
            <w:pPr>
              <w:pStyle w:val="28"/>
              <w:bidi w:val="0"/>
            </w:pPr>
            <w:r>
              <w:t>环</w:t>
            </w:r>
          </w:p>
          <w:p w14:paraId="6E466CC8">
            <w:pPr>
              <w:pStyle w:val="28"/>
              <w:bidi w:val="0"/>
            </w:pPr>
            <w:r>
              <w:t>境</w:t>
            </w:r>
          </w:p>
        </w:tc>
        <w:tc>
          <w:tcPr>
            <w:tcW w:w="254" w:type="pct"/>
            <w:tcBorders>
              <w:top w:val="single" w:color="auto" w:sz="4" w:space="0"/>
            </w:tcBorders>
            <w:vAlign w:val="center"/>
          </w:tcPr>
          <w:p w14:paraId="77378C5D">
            <w:pPr>
              <w:pStyle w:val="28"/>
              <w:bidi w:val="0"/>
            </w:pPr>
            <w:r>
              <w:t>声</w:t>
            </w:r>
          </w:p>
          <w:p w14:paraId="70646076">
            <w:pPr>
              <w:pStyle w:val="28"/>
              <w:bidi w:val="0"/>
            </w:pPr>
            <w:r>
              <w:t>环</w:t>
            </w:r>
          </w:p>
          <w:p w14:paraId="645A18EA">
            <w:pPr>
              <w:pStyle w:val="28"/>
              <w:bidi w:val="0"/>
            </w:pPr>
            <w:r>
              <w:t>境</w:t>
            </w:r>
          </w:p>
        </w:tc>
        <w:tc>
          <w:tcPr>
            <w:tcW w:w="362" w:type="pct"/>
            <w:tcBorders>
              <w:top w:val="single" w:color="auto" w:sz="4" w:space="0"/>
            </w:tcBorders>
            <w:vAlign w:val="center"/>
          </w:tcPr>
          <w:p w14:paraId="727FAB9E">
            <w:pPr>
              <w:pStyle w:val="28"/>
              <w:bidi w:val="0"/>
            </w:pPr>
            <w:r>
              <w:t>环</w:t>
            </w:r>
          </w:p>
          <w:p w14:paraId="5198CEBB">
            <w:pPr>
              <w:pStyle w:val="28"/>
              <w:bidi w:val="0"/>
            </w:pPr>
            <w:r>
              <w:t>境</w:t>
            </w:r>
          </w:p>
          <w:p w14:paraId="2BF65457">
            <w:pPr>
              <w:pStyle w:val="28"/>
              <w:bidi w:val="0"/>
            </w:pPr>
            <w:r>
              <w:t>空</w:t>
            </w:r>
          </w:p>
          <w:p w14:paraId="7B157FB8">
            <w:pPr>
              <w:pStyle w:val="28"/>
              <w:bidi w:val="0"/>
            </w:pPr>
            <w:r>
              <w:t>气</w:t>
            </w:r>
          </w:p>
        </w:tc>
        <w:tc>
          <w:tcPr>
            <w:tcW w:w="320" w:type="pct"/>
            <w:tcBorders>
              <w:top w:val="single" w:color="auto" w:sz="4" w:space="0"/>
            </w:tcBorders>
            <w:vAlign w:val="center"/>
          </w:tcPr>
          <w:p w14:paraId="5E628B75">
            <w:pPr>
              <w:pStyle w:val="28"/>
              <w:bidi w:val="0"/>
            </w:pPr>
            <w:r>
              <w:t>固</w:t>
            </w:r>
          </w:p>
          <w:p w14:paraId="722E2AE7">
            <w:pPr>
              <w:pStyle w:val="28"/>
              <w:bidi w:val="0"/>
            </w:pPr>
            <w:r>
              <w:t>体</w:t>
            </w:r>
          </w:p>
          <w:p w14:paraId="61DA2601">
            <w:pPr>
              <w:pStyle w:val="28"/>
              <w:bidi w:val="0"/>
            </w:pPr>
            <w:r>
              <w:t>废</w:t>
            </w:r>
          </w:p>
          <w:p w14:paraId="27E51336">
            <w:pPr>
              <w:pStyle w:val="28"/>
              <w:bidi w:val="0"/>
            </w:pPr>
            <w:r>
              <w:t>物</w:t>
            </w:r>
          </w:p>
        </w:tc>
        <w:tc>
          <w:tcPr>
            <w:tcW w:w="1076" w:type="pct"/>
            <w:gridSpan w:val="4"/>
            <w:tcBorders>
              <w:top w:val="single" w:color="auto" w:sz="4" w:space="0"/>
            </w:tcBorders>
            <w:vAlign w:val="center"/>
          </w:tcPr>
          <w:p w14:paraId="5A203DA8">
            <w:pPr>
              <w:pStyle w:val="28"/>
              <w:bidi w:val="0"/>
            </w:pPr>
            <w:r>
              <w:t>社会环境</w:t>
            </w:r>
          </w:p>
        </w:tc>
      </w:tr>
      <w:tr w14:paraId="11D63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3" w:type="pct"/>
            <w:gridSpan w:val="2"/>
            <w:vMerge w:val="continue"/>
            <w:tcBorders>
              <w:left w:val="single" w:color="auto" w:sz="4" w:space="0"/>
            </w:tcBorders>
            <w:vAlign w:val="center"/>
          </w:tcPr>
          <w:p w14:paraId="53B29E40">
            <w:pPr>
              <w:pStyle w:val="28"/>
              <w:bidi w:val="0"/>
            </w:pPr>
          </w:p>
        </w:tc>
        <w:tc>
          <w:tcPr>
            <w:tcW w:w="349" w:type="pct"/>
            <w:vAlign w:val="center"/>
          </w:tcPr>
          <w:p w14:paraId="29EEAA15">
            <w:pPr>
              <w:pStyle w:val="28"/>
              <w:bidi w:val="0"/>
            </w:pPr>
            <w:r>
              <w:t>水</w:t>
            </w:r>
          </w:p>
          <w:p w14:paraId="7F5CD719">
            <w:pPr>
              <w:pStyle w:val="28"/>
              <w:bidi w:val="0"/>
            </w:pPr>
            <w:r>
              <w:t>土</w:t>
            </w:r>
          </w:p>
          <w:p w14:paraId="5B876DB7">
            <w:pPr>
              <w:pStyle w:val="28"/>
              <w:bidi w:val="0"/>
            </w:pPr>
            <w:r>
              <w:t>流</w:t>
            </w:r>
          </w:p>
          <w:p w14:paraId="66D20D9E">
            <w:pPr>
              <w:pStyle w:val="28"/>
              <w:bidi w:val="0"/>
            </w:pPr>
            <w:r>
              <w:t>失</w:t>
            </w:r>
          </w:p>
        </w:tc>
        <w:tc>
          <w:tcPr>
            <w:tcW w:w="348" w:type="pct"/>
            <w:vAlign w:val="center"/>
          </w:tcPr>
          <w:p w14:paraId="05A803AD">
            <w:pPr>
              <w:pStyle w:val="28"/>
              <w:bidi w:val="0"/>
            </w:pPr>
            <w:r>
              <w:t>水</w:t>
            </w:r>
          </w:p>
          <w:p w14:paraId="090FB20B">
            <w:pPr>
              <w:pStyle w:val="28"/>
              <w:bidi w:val="0"/>
            </w:pPr>
            <w:r>
              <w:t>域</w:t>
            </w:r>
          </w:p>
          <w:p w14:paraId="51212F76">
            <w:pPr>
              <w:pStyle w:val="28"/>
              <w:bidi w:val="0"/>
            </w:pPr>
            <w:r>
              <w:t>生</w:t>
            </w:r>
          </w:p>
          <w:p w14:paraId="66BF49B8">
            <w:pPr>
              <w:pStyle w:val="28"/>
              <w:bidi w:val="0"/>
            </w:pPr>
            <w:r>
              <w:t>态</w:t>
            </w:r>
          </w:p>
        </w:tc>
        <w:tc>
          <w:tcPr>
            <w:tcW w:w="263" w:type="pct"/>
            <w:vAlign w:val="center"/>
          </w:tcPr>
          <w:p w14:paraId="3C1C628C">
            <w:pPr>
              <w:pStyle w:val="28"/>
              <w:bidi w:val="0"/>
            </w:pPr>
            <w:r>
              <w:t>陆</w:t>
            </w:r>
          </w:p>
          <w:p w14:paraId="1E680A11">
            <w:pPr>
              <w:pStyle w:val="28"/>
              <w:bidi w:val="0"/>
            </w:pPr>
            <w:r>
              <w:t>域</w:t>
            </w:r>
          </w:p>
          <w:p w14:paraId="488366A2">
            <w:pPr>
              <w:pStyle w:val="28"/>
              <w:bidi w:val="0"/>
            </w:pPr>
            <w:r>
              <w:t>生</w:t>
            </w:r>
          </w:p>
          <w:p w14:paraId="240DFD45">
            <w:pPr>
              <w:pStyle w:val="28"/>
              <w:bidi w:val="0"/>
            </w:pPr>
            <w:r>
              <w:t>态</w:t>
            </w:r>
          </w:p>
        </w:tc>
        <w:tc>
          <w:tcPr>
            <w:tcW w:w="287" w:type="pct"/>
            <w:vAlign w:val="center"/>
          </w:tcPr>
          <w:p w14:paraId="6BC029CC">
            <w:pPr>
              <w:pStyle w:val="28"/>
              <w:bidi w:val="0"/>
            </w:pPr>
            <w:r>
              <w:t>自</w:t>
            </w:r>
          </w:p>
          <w:p w14:paraId="0D2B41C1">
            <w:pPr>
              <w:pStyle w:val="28"/>
              <w:bidi w:val="0"/>
            </w:pPr>
            <w:r>
              <w:t>然</w:t>
            </w:r>
          </w:p>
          <w:p w14:paraId="7F9D95F5">
            <w:pPr>
              <w:pStyle w:val="28"/>
              <w:bidi w:val="0"/>
            </w:pPr>
            <w:r>
              <w:t>景</w:t>
            </w:r>
          </w:p>
          <w:p w14:paraId="4355A9E1">
            <w:pPr>
              <w:pStyle w:val="28"/>
              <w:bidi w:val="0"/>
            </w:pPr>
            <w:r>
              <w:t>观</w:t>
            </w:r>
          </w:p>
        </w:tc>
        <w:tc>
          <w:tcPr>
            <w:tcW w:w="263" w:type="pct"/>
            <w:vAlign w:val="center"/>
          </w:tcPr>
          <w:p w14:paraId="278A0807">
            <w:pPr>
              <w:pStyle w:val="28"/>
              <w:bidi w:val="0"/>
            </w:pPr>
            <w:r>
              <w:t>水</w:t>
            </w:r>
          </w:p>
          <w:p w14:paraId="7C597FDE">
            <w:pPr>
              <w:pStyle w:val="28"/>
              <w:bidi w:val="0"/>
            </w:pPr>
            <w:r>
              <w:t>文</w:t>
            </w:r>
          </w:p>
        </w:tc>
        <w:tc>
          <w:tcPr>
            <w:tcW w:w="269" w:type="pct"/>
            <w:vAlign w:val="center"/>
          </w:tcPr>
          <w:p w14:paraId="4A38721F">
            <w:pPr>
              <w:pStyle w:val="28"/>
              <w:bidi w:val="0"/>
            </w:pPr>
            <w:r>
              <w:t>水</w:t>
            </w:r>
          </w:p>
          <w:p w14:paraId="028810E8">
            <w:pPr>
              <w:pStyle w:val="28"/>
              <w:bidi w:val="0"/>
            </w:pPr>
            <w:r>
              <w:t>质</w:t>
            </w:r>
          </w:p>
        </w:tc>
        <w:tc>
          <w:tcPr>
            <w:tcW w:w="254" w:type="pct"/>
            <w:vAlign w:val="center"/>
          </w:tcPr>
          <w:p w14:paraId="1C887A1F">
            <w:pPr>
              <w:pStyle w:val="28"/>
              <w:bidi w:val="0"/>
            </w:pPr>
            <w:r>
              <w:t>噪</w:t>
            </w:r>
          </w:p>
          <w:p w14:paraId="7DF0CADB">
            <w:pPr>
              <w:pStyle w:val="28"/>
              <w:bidi w:val="0"/>
            </w:pPr>
            <w:r>
              <w:t>声</w:t>
            </w:r>
          </w:p>
        </w:tc>
        <w:tc>
          <w:tcPr>
            <w:tcW w:w="362" w:type="pct"/>
            <w:vAlign w:val="center"/>
          </w:tcPr>
          <w:p w14:paraId="7F0FF4DD">
            <w:pPr>
              <w:pStyle w:val="28"/>
              <w:bidi w:val="0"/>
            </w:pPr>
            <w:r>
              <w:t>空</w:t>
            </w:r>
          </w:p>
          <w:p w14:paraId="6941BEF1">
            <w:pPr>
              <w:pStyle w:val="28"/>
              <w:bidi w:val="0"/>
            </w:pPr>
            <w:r>
              <w:t>气</w:t>
            </w:r>
          </w:p>
          <w:p w14:paraId="0357CC3E">
            <w:pPr>
              <w:pStyle w:val="28"/>
              <w:bidi w:val="0"/>
            </w:pPr>
            <w:r>
              <w:t>质</w:t>
            </w:r>
          </w:p>
          <w:p w14:paraId="07A6A863">
            <w:pPr>
              <w:pStyle w:val="28"/>
              <w:bidi w:val="0"/>
            </w:pPr>
            <w:r>
              <w:t>量</w:t>
            </w:r>
          </w:p>
        </w:tc>
        <w:tc>
          <w:tcPr>
            <w:tcW w:w="320" w:type="pct"/>
            <w:vAlign w:val="center"/>
          </w:tcPr>
          <w:p w14:paraId="5381DEA5">
            <w:pPr>
              <w:pStyle w:val="28"/>
              <w:bidi w:val="0"/>
            </w:pPr>
            <w:r>
              <w:t>固</w:t>
            </w:r>
          </w:p>
          <w:p w14:paraId="37CE52C4">
            <w:pPr>
              <w:pStyle w:val="28"/>
              <w:bidi w:val="0"/>
            </w:pPr>
            <w:r>
              <w:t>体</w:t>
            </w:r>
          </w:p>
          <w:p w14:paraId="7BFB469C">
            <w:pPr>
              <w:pStyle w:val="28"/>
              <w:bidi w:val="0"/>
            </w:pPr>
            <w:r>
              <w:t>废</w:t>
            </w:r>
          </w:p>
          <w:p w14:paraId="4F5F8D93">
            <w:pPr>
              <w:pStyle w:val="28"/>
              <w:bidi w:val="0"/>
            </w:pPr>
            <w:r>
              <w:t>物</w:t>
            </w:r>
          </w:p>
        </w:tc>
        <w:tc>
          <w:tcPr>
            <w:tcW w:w="300" w:type="pct"/>
            <w:vAlign w:val="center"/>
          </w:tcPr>
          <w:p w14:paraId="7D8179D6">
            <w:pPr>
              <w:pStyle w:val="28"/>
              <w:bidi w:val="0"/>
            </w:pPr>
            <w:r>
              <w:t>人</w:t>
            </w:r>
          </w:p>
          <w:p w14:paraId="35526A6A">
            <w:pPr>
              <w:pStyle w:val="28"/>
              <w:bidi w:val="0"/>
            </w:pPr>
            <w:r>
              <w:t>群</w:t>
            </w:r>
          </w:p>
          <w:p w14:paraId="46F7E607">
            <w:pPr>
              <w:pStyle w:val="28"/>
              <w:bidi w:val="0"/>
            </w:pPr>
            <w:r>
              <w:t>健</w:t>
            </w:r>
          </w:p>
          <w:p w14:paraId="4E4099C5">
            <w:pPr>
              <w:pStyle w:val="28"/>
              <w:bidi w:val="0"/>
            </w:pPr>
            <w:r>
              <w:t>康</w:t>
            </w:r>
          </w:p>
        </w:tc>
        <w:tc>
          <w:tcPr>
            <w:tcW w:w="261" w:type="pct"/>
            <w:vAlign w:val="center"/>
          </w:tcPr>
          <w:p w14:paraId="6D844F3B">
            <w:pPr>
              <w:pStyle w:val="28"/>
              <w:bidi w:val="0"/>
            </w:pPr>
            <w:r>
              <w:t>社</w:t>
            </w:r>
          </w:p>
          <w:p w14:paraId="46CC9809">
            <w:pPr>
              <w:pStyle w:val="28"/>
              <w:bidi w:val="0"/>
            </w:pPr>
            <w:r>
              <w:t>会</w:t>
            </w:r>
          </w:p>
          <w:p w14:paraId="57310448">
            <w:pPr>
              <w:pStyle w:val="28"/>
              <w:bidi w:val="0"/>
            </w:pPr>
            <w:r>
              <w:t>交</w:t>
            </w:r>
          </w:p>
          <w:p w14:paraId="09597AEE">
            <w:pPr>
              <w:pStyle w:val="28"/>
              <w:bidi w:val="0"/>
            </w:pPr>
            <w:r>
              <w:t>通</w:t>
            </w:r>
          </w:p>
        </w:tc>
        <w:tc>
          <w:tcPr>
            <w:tcW w:w="265" w:type="pct"/>
            <w:vAlign w:val="center"/>
          </w:tcPr>
          <w:p w14:paraId="0A496C17">
            <w:pPr>
              <w:pStyle w:val="28"/>
              <w:bidi w:val="0"/>
            </w:pPr>
            <w:r>
              <w:t>土</w:t>
            </w:r>
          </w:p>
          <w:p w14:paraId="175D12E3">
            <w:pPr>
              <w:pStyle w:val="28"/>
              <w:bidi w:val="0"/>
            </w:pPr>
            <w:r>
              <w:t>地</w:t>
            </w:r>
          </w:p>
          <w:p w14:paraId="0BB2A835">
            <w:pPr>
              <w:pStyle w:val="28"/>
              <w:bidi w:val="0"/>
            </w:pPr>
            <w:r>
              <w:t>利</w:t>
            </w:r>
          </w:p>
          <w:p w14:paraId="4FDF63EA">
            <w:pPr>
              <w:pStyle w:val="28"/>
              <w:bidi w:val="0"/>
            </w:pPr>
            <w:r>
              <w:t>用</w:t>
            </w:r>
          </w:p>
        </w:tc>
        <w:tc>
          <w:tcPr>
            <w:tcW w:w="248" w:type="pct"/>
            <w:vAlign w:val="center"/>
          </w:tcPr>
          <w:p w14:paraId="667F1A73">
            <w:pPr>
              <w:pStyle w:val="28"/>
              <w:bidi w:val="0"/>
            </w:pPr>
            <w:r>
              <w:t>社</w:t>
            </w:r>
          </w:p>
          <w:p w14:paraId="067A5542">
            <w:pPr>
              <w:pStyle w:val="28"/>
              <w:bidi w:val="0"/>
            </w:pPr>
            <w:r>
              <w:t>会</w:t>
            </w:r>
          </w:p>
          <w:p w14:paraId="2250EE3F">
            <w:pPr>
              <w:pStyle w:val="28"/>
              <w:bidi w:val="0"/>
            </w:pPr>
            <w:r>
              <w:t>经</w:t>
            </w:r>
          </w:p>
          <w:p w14:paraId="398FBDC7">
            <w:pPr>
              <w:pStyle w:val="28"/>
              <w:bidi w:val="0"/>
            </w:pPr>
            <w:r>
              <w:t>济</w:t>
            </w:r>
          </w:p>
        </w:tc>
      </w:tr>
      <w:tr w14:paraId="3D1C5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2" w:type="pct"/>
            <w:vMerge w:val="restart"/>
            <w:tcBorders>
              <w:left w:val="single" w:color="auto" w:sz="4" w:space="0"/>
            </w:tcBorders>
            <w:vAlign w:val="center"/>
          </w:tcPr>
          <w:p w14:paraId="42174411">
            <w:pPr>
              <w:pStyle w:val="28"/>
              <w:bidi w:val="0"/>
            </w:pPr>
            <w:r>
              <w:t>施</w:t>
            </w:r>
          </w:p>
          <w:p w14:paraId="5A6E8985">
            <w:pPr>
              <w:pStyle w:val="28"/>
              <w:bidi w:val="0"/>
            </w:pPr>
            <w:r>
              <w:t>工</w:t>
            </w:r>
          </w:p>
          <w:p w14:paraId="27043F2F">
            <w:pPr>
              <w:pStyle w:val="28"/>
              <w:bidi w:val="0"/>
            </w:pPr>
            <w:r>
              <w:t>期</w:t>
            </w:r>
          </w:p>
        </w:tc>
        <w:tc>
          <w:tcPr>
            <w:tcW w:w="840" w:type="pct"/>
            <w:vAlign w:val="center"/>
          </w:tcPr>
          <w:p w14:paraId="3947E625">
            <w:pPr>
              <w:pStyle w:val="28"/>
              <w:bidi w:val="0"/>
            </w:pPr>
            <w:r>
              <w:t>渠道清淤</w:t>
            </w:r>
          </w:p>
        </w:tc>
        <w:tc>
          <w:tcPr>
            <w:tcW w:w="349" w:type="pct"/>
            <w:vAlign w:val="center"/>
          </w:tcPr>
          <w:p w14:paraId="3DC448FA">
            <w:pPr>
              <w:pStyle w:val="28"/>
              <w:bidi w:val="0"/>
            </w:pPr>
            <w:r>
              <w:t>-</w:t>
            </w:r>
          </w:p>
          <w:p w14:paraId="5D972AF9">
            <w:pPr>
              <w:pStyle w:val="28"/>
              <w:bidi w:val="0"/>
            </w:pPr>
            <w:r>
              <w:t>○</w:t>
            </w:r>
          </w:p>
        </w:tc>
        <w:tc>
          <w:tcPr>
            <w:tcW w:w="348" w:type="pct"/>
            <w:vAlign w:val="center"/>
          </w:tcPr>
          <w:p w14:paraId="416C20C2">
            <w:pPr>
              <w:pStyle w:val="28"/>
              <w:bidi w:val="0"/>
            </w:pPr>
            <w:r>
              <w:t>-</w:t>
            </w:r>
          </w:p>
          <w:p w14:paraId="5880307F">
            <w:pPr>
              <w:pStyle w:val="28"/>
              <w:bidi w:val="0"/>
            </w:pPr>
            <w:r>
              <w:t>√</w:t>
            </w:r>
          </w:p>
        </w:tc>
        <w:tc>
          <w:tcPr>
            <w:tcW w:w="263" w:type="pct"/>
            <w:vAlign w:val="center"/>
          </w:tcPr>
          <w:p w14:paraId="437FA4D2">
            <w:pPr>
              <w:pStyle w:val="28"/>
              <w:bidi w:val="0"/>
            </w:pPr>
            <w:r>
              <w:t>-</w:t>
            </w:r>
          </w:p>
          <w:p w14:paraId="79D87D78">
            <w:pPr>
              <w:pStyle w:val="28"/>
              <w:bidi w:val="0"/>
            </w:pPr>
            <w:r>
              <w:t>○</w:t>
            </w:r>
          </w:p>
        </w:tc>
        <w:tc>
          <w:tcPr>
            <w:tcW w:w="287" w:type="pct"/>
            <w:vAlign w:val="center"/>
          </w:tcPr>
          <w:p w14:paraId="76E205F6">
            <w:pPr>
              <w:pStyle w:val="28"/>
              <w:bidi w:val="0"/>
            </w:pPr>
            <w:r>
              <w:t>-</w:t>
            </w:r>
          </w:p>
          <w:p w14:paraId="50C0AACD">
            <w:pPr>
              <w:pStyle w:val="28"/>
              <w:bidi w:val="0"/>
            </w:pPr>
            <w:r>
              <w:t>○</w:t>
            </w:r>
          </w:p>
        </w:tc>
        <w:tc>
          <w:tcPr>
            <w:tcW w:w="263" w:type="pct"/>
            <w:vAlign w:val="center"/>
          </w:tcPr>
          <w:p w14:paraId="7C26D1E3">
            <w:pPr>
              <w:pStyle w:val="28"/>
              <w:bidi w:val="0"/>
            </w:pPr>
            <w:r>
              <w:t>-</w:t>
            </w:r>
          </w:p>
          <w:p w14:paraId="1654A19E">
            <w:pPr>
              <w:pStyle w:val="28"/>
              <w:bidi w:val="0"/>
            </w:pPr>
            <w:r>
              <w:t>√</w:t>
            </w:r>
          </w:p>
        </w:tc>
        <w:tc>
          <w:tcPr>
            <w:tcW w:w="269" w:type="pct"/>
            <w:vAlign w:val="center"/>
          </w:tcPr>
          <w:p w14:paraId="303521F7">
            <w:pPr>
              <w:pStyle w:val="28"/>
              <w:bidi w:val="0"/>
            </w:pPr>
            <w:r>
              <w:t>-</w:t>
            </w:r>
          </w:p>
          <w:p w14:paraId="6491DFCB">
            <w:pPr>
              <w:pStyle w:val="28"/>
              <w:bidi w:val="0"/>
            </w:pPr>
            <w:r>
              <w:t>○</w:t>
            </w:r>
          </w:p>
        </w:tc>
        <w:tc>
          <w:tcPr>
            <w:tcW w:w="254" w:type="pct"/>
            <w:vAlign w:val="center"/>
          </w:tcPr>
          <w:p w14:paraId="419EBCAD">
            <w:pPr>
              <w:pStyle w:val="28"/>
              <w:bidi w:val="0"/>
            </w:pPr>
            <w:r>
              <w:t>-</w:t>
            </w:r>
          </w:p>
          <w:p w14:paraId="78A3B05E">
            <w:pPr>
              <w:pStyle w:val="28"/>
              <w:bidi w:val="0"/>
            </w:pPr>
            <w:r>
              <w:t>○</w:t>
            </w:r>
          </w:p>
        </w:tc>
        <w:tc>
          <w:tcPr>
            <w:tcW w:w="362" w:type="pct"/>
            <w:vAlign w:val="center"/>
          </w:tcPr>
          <w:p w14:paraId="6CF6B326">
            <w:pPr>
              <w:pStyle w:val="28"/>
              <w:bidi w:val="0"/>
            </w:pPr>
            <w:r>
              <w:t>-</w:t>
            </w:r>
          </w:p>
          <w:p w14:paraId="046956CB">
            <w:pPr>
              <w:pStyle w:val="28"/>
              <w:bidi w:val="0"/>
            </w:pPr>
            <w:r>
              <w:t>○</w:t>
            </w:r>
          </w:p>
        </w:tc>
        <w:tc>
          <w:tcPr>
            <w:tcW w:w="320" w:type="pct"/>
            <w:vAlign w:val="center"/>
          </w:tcPr>
          <w:p w14:paraId="250914E1">
            <w:pPr>
              <w:pStyle w:val="28"/>
              <w:bidi w:val="0"/>
            </w:pPr>
            <w:r>
              <w:t>-</w:t>
            </w:r>
          </w:p>
          <w:p w14:paraId="0E163D1C">
            <w:pPr>
              <w:pStyle w:val="28"/>
              <w:bidi w:val="0"/>
            </w:pPr>
            <w:r>
              <w:t>√</w:t>
            </w:r>
          </w:p>
        </w:tc>
        <w:tc>
          <w:tcPr>
            <w:tcW w:w="300" w:type="pct"/>
            <w:vAlign w:val="center"/>
          </w:tcPr>
          <w:p w14:paraId="5C48CE0E">
            <w:pPr>
              <w:pStyle w:val="28"/>
              <w:bidi w:val="0"/>
            </w:pPr>
          </w:p>
        </w:tc>
        <w:tc>
          <w:tcPr>
            <w:tcW w:w="261" w:type="pct"/>
            <w:vAlign w:val="center"/>
          </w:tcPr>
          <w:p w14:paraId="65FAB933">
            <w:pPr>
              <w:pStyle w:val="28"/>
              <w:bidi w:val="0"/>
            </w:pPr>
          </w:p>
        </w:tc>
        <w:tc>
          <w:tcPr>
            <w:tcW w:w="265" w:type="pct"/>
            <w:vAlign w:val="center"/>
          </w:tcPr>
          <w:p w14:paraId="216E01C6">
            <w:pPr>
              <w:pStyle w:val="28"/>
              <w:bidi w:val="0"/>
            </w:pPr>
            <w:r>
              <w:t>-</w:t>
            </w:r>
          </w:p>
          <w:p w14:paraId="15A1E1DE">
            <w:pPr>
              <w:pStyle w:val="28"/>
              <w:bidi w:val="0"/>
            </w:pPr>
            <w:r>
              <w:t>○</w:t>
            </w:r>
          </w:p>
        </w:tc>
        <w:tc>
          <w:tcPr>
            <w:tcW w:w="248" w:type="pct"/>
            <w:vAlign w:val="center"/>
          </w:tcPr>
          <w:p w14:paraId="1CAFD579">
            <w:pPr>
              <w:pStyle w:val="28"/>
              <w:bidi w:val="0"/>
            </w:pPr>
          </w:p>
        </w:tc>
      </w:tr>
      <w:tr w14:paraId="6747C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2" w:type="pct"/>
            <w:vMerge w:val="continue"/>
            <w:tcBorders>
              <w:left w:val="single" w:color="auto" w:sz="4" w:space="0"/>
            </w:tcBorders>
            <w:vAlign w:val="center"/>
          </w:tcPr>
          <w:p w14:paraId="62E0DB02">
            <w:pPr>
              <w:pStyle w:val="28"/>
              <w:bidi w:val="0"/>
            </w:pPr>
          </w:p>
        </w:tc>
        <w:tc>
          <w:tcPr>
            <w:tcW w:w="840" w:type="pct"/>
            <w:vAlign w:val="center"/>
          </w:tcPr>
          <w:p w14:paraId="5E4F51F5">
            <w:pPr>
              <w:pStyle w:val="28"/>
              <w:bidi w:val="0"/>
            </w:pPr>
            <w:r>
              <w:t>渠道施工</w:t>
            </w:r>
          </w:p>
        </w:tc>
        <w:tc>
          <w:tcPr>
            <w:tcW w:w="349" w:type="pct"/>
            <w:vAlign w:val="center"/>
          </w:tcPr>
          <w:p w14:paraId="6A54C698">
            <w:pPr>
              <w:pStyle w:val="28"/>
              <w:bidi w:val="0"/>
            </w:pPr>
            <w:r>
              <w:t>-</w:t>
            </w:r>
          </w:p>
          <w:p w14:paraId="71D9F38A">
            <w:pPr>
              <w:pStyle w:val="28"/>
              <w:bidi w:val="0"/>
            </w:pPr>
            <w:r>
              <w:t>√</w:t>
            </w:r>
          </w:p>
        </w:tc>
        <w:tc>
          <w:tcPr>
            <w:tcW w:w="348" w:type="pct"/>
            <w:vAlign w:val="center"/>
          </w:tcPr>
          <w:p w14:paraId="3624BC05">
            <w:pPr>
              <w:pStyle w:val="28"/>
              <w:bidi w:val="0"/>
            </w:pPr>
            <w:r>
              <w:t>-</w:t>
            </w:r>
          </w:p>
          <w:p w14:paraId="2059CDAB">
            <w:pPr>
              <w:pStyle w:val="28"/>
              <w:bidi w:val="0"/>
            </w:pPr>
            <w:r>
              <w:t>○</w:t>
            </w:r>
          </w:p>
        </w:tc>
        <w:tc>
          <w:tcPr>
            <w:tcW w:w="263" w:type="pct"/>
            <w:vAlign w:val="center"/>
          </w:tcPr>
          <w:p w14:paraId="609D416F">
            <w:pPr>
              <w:pStyle w:val="28"/>
              <w:bidi w:val="0"/>
            </w:pPr>
            <w:r>
              <w:t>-</w:t>
            </w:r>
          </w:p>
          <w:p w14:paraId="67CDB04A">
            <w:pPr>
              <w:pStyle w:val="28"/>
              <w:bidi w:val="0"/>
            </w:pPr>
            <w:r>
              <w:t>○</w:t>
            </w:r>
          </w:p>
        </w:tc>
        <w:tc>
          <w:tcPr>
            <w:tcW w:w="287" w:type="pct"/>
            <w:vAlign w:val="center"/>
          </w:tcPr>
          <w:p w14:paraId="263DD786">
            <w:pPr>
              <w:pStyle w:val="28"/>
              <w:bidi w:val="0"/>
            </w:pPr>
          </w:p>
        </w:tc>
        <w:tc>
          <w:tcPr>
            <w:tcW w:w="263" w:type="pct"/>
            <w:vAlign w:val="center"/>
          </w:tcPr>
          <w:p w14:paraId="7D5E6A61">
            <w:pPr>
              <w:pStyle w:val="28"/>
              <w:bidi w:val="0"/>
            </w:pPr>
          </w:p>
        </w:tc>
        <w:tc>
          <w:tcPr>
            <w:tcW w:w="269" w:type="pct"/>
            <w:vAlign w:val="center"/>
          </w:tcPr>
          <w:p w14:paraId="7F83E453">
            <w:pPr>
              <w:pStyle w:val="28"/>
              <w:bidi w:val="0"/>
            </w:pPr>
            <w:r>
              <w:t>-</w:t>
            </w:r>
          </w:p>
          <w:p w14:paraId="6FA737D5">
            <w:pPr>
              <w:pStyle w:val="28"/>
              <w:bidi w:val="0"/>
            </w:pPr>
            <w:r>
              <w:t>○</w:t>
            </w:r>
          </w:p>
        </w:tc>
        <w:tc>
          <w:tcPr>
            <w:tcW w:w="254" w:type="pct"/>
            <w:vAlign w:val="center"/>
          </w:tcPr>
          <w:p w14:paraId="11F67D2F">
            <w:pPr>
              <w:pStyle w:val="28"/>
              <w:bidi w:val="0"/>
            </w:pPr>
          </w:p>
        </w:tc>
        <w:tc>
          <w:tcPr>
            <w:tcW w:w="362" w:type="pct"/>
            <w:vAlign w:val="center"/>
          </w:tcPr>
          <w:p w14:paraId="6EC002A4">
            <w:pPr>
              <w:pStyle w:val="28"/>
              <w:bidi w:val="0"/>
            </w:pPr>
            <w:r>
              <w:t>-</w:t>
            </w:r>
          </w:p>
          <w:p w14:paraId="22A794B8">
            <w:pPr>
              <w:pStyle w:val="28"/>
              <w:bidi w:val="0"/>
            </w:pPr>
            <w:r>
              <w:t>○</w:t>
            </w:r>
          </w:p>
        </w:tc>
        <w:tc>
          <w:tcPr>
            <w:tcW w:w="320" w:type="pct"/>
            <w:vAlign w:val="center"/>
          </w:tcPr>
          <w:p w14:paraId="09F88D57">
            <w:pPr>
              <w:pStyle w:val="28"/>
              <w:bidi w:val="0"/>
            </w:pPr>
            <w:r>
              <w:t>-</w:t>
            </w:r>
          </w:p>
          <w:p w14:paraId="0BFE6F34">
            <w:pPr>
              <w:pStyle w:val="28"/>
              <w:bidi w:val="0"/>
            </w:pPr>
            <w:r>
              <w:t>○</w:t>
            </w:r>
          </w:p>
        </w:tc>
        <w:tc>
          <w:tcPr>
            <w:tcW w:w="300" w:type="pct"/>
            <w:vAlign w:val="center"/>
          </w:tcPr>
          <w:p w14:paraId="170A150E">
            <w:pPr>
              <w:pStyle w:val="28"/>
              <w:bidi w:val="0"/>
            </w:pPr>
          </w:p>
        </w:tc>
        <w:tc>
          <w:tcPr>
            <w:tcW w:w="261" w:type="pct"/>
            <w:vAlign w:val="center"/>
          </w:tcPr>
          <w:p w14:paraId="08081FA1">
            <w:pPr>
              <w:pStyle w:val="28"/>
              <w:bidi w:val="0"/>
            </w:pPr>
          </w:p>
        </w:tc>
        <w:tc>
          <w:tcPr>
            <w:tcW w:w="265" w:type="pct"/>
            <w:vAlign w:val="center"/>
          </w:tcPr>
          <w:p w14:paraId="1821BA91">
            <w:pPr>
              <w:pStyle w:val="28"/>
              <w:bidi w:val="0"/>
            </w:pPr>
          </w:p>
        </w:tc>
        <w:tc>
          <w:tcPr>
            <w:tcW w:w="248" w:type="pct"/>
            <w:vAlign w:val="center"/>
          </w:tcPr>
          <w:p w14:paraId="150EACEE">
            <w:pPr>
              <w:pStyle w:val="28"/>
              <w:bidi w:val="0"/>
            </w:pPr>
          </w:p>
        </w:tc>
      </w:tr>
      <w:tr w14:paraId="6F8B28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2" w:type="pct"/>
            <w:vMerge w:val="continue"/>
            <w:tcBorders>
              <w:left w:val="single" w:color="auto" w:sz="4" w:space="0"/>
            </w:tcBorders>
            <w:vAlign w:val="center"/>
          </w:tcPr>
          <w:p w14:paraId="71B6D71E">
            <w:pPr>
              <w:pStyle w:val="28"/>
              <w:bidi w:val="0"/>
            </w:pPr>
          </w:p>
        </w:tc>
        <w:tc>
          <w:tcPr>
            <w:tcW w:w="840" w:type="pct"/>
            <w:vAlign w:val="center"/>
          </w:tcPr>
          <w:p w14:paraId="1A4A9B1C">
            <w:pPr>
              <w:pStyle w:val="28"/>
              <w:bidi w:val="0"/>
            </w:pPr>
            <w:r>
              <w:t>涵闸建筑物施工</w:t>
            </w:r>
          </w:p>
        </w:tc>
        <w:tc>
          <w:tcPr>
            <w:tcW w:w="349" w:type="pct"/>
            <w:vAlign w:val="center"/>
          </w:tcPr>
          <w:p w14:paraId="38D0221F">
            <w:pPr>
              <w:pStyle w:val="28"/>
              <w:bidi w:val="0"/>
            </w:pPr>
            <w:r>
              <w:t>-</w:t>
            </w:r>
          </w:p>
          <w:p w14:paraId="6CDDD0C3">
            <w:pPr>
              <w:pStyle w:val="28"/>
              <w:bidi w:val="0"/>
            </w:pPr>
            <w:r>
              <w:t>○</w:t>
            </w:r>
          </w:p>
        </w:tc>
        <w:tc>
          <w:tcPr>
            <w:tcW w:w="348" w:type="pct"/>
            <w:vAlign w:val="center"/>
          </w:tcPr>
          <w:p w14:paraId="534E4B8B">
            <w:pPr>
              <w:pStyle w:val="28"/>
              <w:bidi w:val="0"/>
            </w:pPr>
            <w:r>
              <w:t>-</w:t>
            </w:r>
          </w:p>
          <w:p w14:paraId="5196DE97">
            <w:pPr>
              <w:pStyle w:val="28"/>
              <w:bidi w:val="0"/>
            </w:pPr>
            <w:r>
              <w:t>√</w:t>
            </w:r>
          </w:p>
        </w:tc>
        <w:tc>
          <w:tcPr>
            <w:tcW w:w="263" w:type="pct"/>
            <w:vAlign w:val="center"/>
          </w:tcPr>
          <w:p w14:paraId="048B023A">
            <w:pPr>
              <w:pStyle w:val="28"/>
              <w:bidi w:val="0"/>
            </w:pPr>
            <w:r>
              <w:t>-</w:t>
            </w:r>
          </w:p>
          <w:p w14:paraId="3B0E1C87">
            <w:pPr>
              <w:pStyle w:val="28"/>
              <w:bidi w:val="0"/>
            </w:pPr>
            <w:r>
              <w:t>○</w:t>
            </w:r>
          </w:p>
        </w:tc>
        <w:tc>
          <w:tcPr>
            <w:tcW w:w="287" w:type="pct"/>
            <w:vAlign w:val="center"/>
          </w:tcPr>
          <w:p w14:paraId="73658E06">
            <w:pPr>
              <w:pStyle w:val="28"/>
              <w:bidi w:val="0"/>
            </w:pPr>
          </w:p>
        </w:tc>
        <w:tc>
          <w:tcPr>
            <w:tcW w:w="263" w:type="pct"/>
            <w:vAlign w:val="center"/>
          </w:tcPr>
          <w:p w14:paraId="19150767">
            <w:pPr>
              <w:pStyle w:val="28"/>
              <w:bidi w:val="0"/>
            </w:pPr>
            <w:r>
              <w:t>-</w:t>
            </w:r>
          </w:p>
          <w:p w14:paraId="2F18DA4E">
            <w:pPr>
              <w:pStyle w:val="28"/>
              <w:bidi w:val="0"/>
            </w:pPr>
            <w:r>
              <w:t>√</w:t>
            </w:r>
          </w:p>
        </w:tc>
        <w:tc>
          <w:tcPr>
            <w:tcW w:w="269" w:type="pct"/>
            <w:vAlign w:val="center"/>
          </w:tcPr>
          <w:p w14:paraId="651C0136">
            <w:pPr>
              <w:pStyle w:val="28"/>
              <w:bidi w:val="0"/>
            </w:pPr>
          </w:p>
          <w:p w14:paraId="794B2999">
            <w:pPr>
              <w:pStyle w:val="28"/>
              <w:bidi w:val="0"/>
            </w:pPr>
          </w:p>
        </w:tc>
        <w:tc>
          <w:tcPr>
            <w:tcW w:w="254" w:type="pct"/>
            <w:vAlign w:val="center"/>
          </w:tcPr>
          <w:p w14:paraId="69FAD12C">
            <w:pPr>
              <w:pStyle w:val="28"/>
              <w:bidi w:val="0"/>
            </w:pPr>
            <w:r>
              <w:t>-</w:t>
            </w:r>
          </w:p>
          <w:p w14:paraId="002754B4">
            <w:pPr>
              <w:pStyle w:val="28"/>
              <w:bidi w:val="0"/>
            </w:pPr>
            <w:r>
              <w:t>√</w:t>
            </w:r>
          </w:p>
        </w:tc>
        <w:tc>
          <w:tcPr>
            <w:tcW w:w="362" w:type="pct"/>
            <w:vAlign w:val="center"/>
          </w:tcPr>
          <w:p w14:paraId="60D63E3D">
            <w:pPr>
              <w:pStyle w:val="28"/>
              <w:bidi w:val="0"/>
            </w:pPr>
            <w:r>
              <w:t>-</w:t>
            </w:r>
          </w:p>
          <w:p w14:paraId="11558E64">
            <w:pPr>
              <w:pStyle w:val="28"/>
              <w:bidi w:val="0"/>
            </w:pPr>
            <w:r>
              <w:t>○</w:t>
            </w:r>
          </w:p>
        </w:tc>
        <w:tc>
          <w:tcPr>
            <w:tcW w:w="320" w:type="pct"/>
            <w:vAlign w:val="center"/>
          </w:tcPr>
          <w:p w14:paraId="5A166C74">
            <w:pPr>
              <w:pStyle w:val="28"/>
              <w:bidi w:val="0"/>
            </w:pPr>
            <w:r>
              <w:t>-</w:t>
            </w:r>
          </w:p>
          <w:p w14:paraId="6F5BD2BE">
            <w:pPr>
              <w:pStyle w:val="28"/>
              <w:bidi w:val="0"/>
            </w:pPr>
            <w:r>
              <w:t>○</w:t>
            </w:r>
          </w:p>
        </w:tc>
        <w:tc>
          <w:tcPr>
            <w:tcW w:w="300" w:type="pct"/>
            <w:vAlign w:val="center"/>
          </w:tcPr>
          <w:p w14:paraId="2035C631">
            <w:pPr>
              <w:pStyle w:val="28"/>
              <w:bidi w:val="0"/>
            </w:pPr>
          </w:p>
        </w:tc>
        <w:tc>
          <w:tcPr>
            <w:tcW w:w="261" w:type="pct"/>
            <w:vAlign w:val="center"/>
          </w:tcPr>
          <w:p w14:paraId="1C80C9D5">
            <w:pPr>
              <w:pStyle w:val="28"/>
              <w:bidi w:val="0"/>
            </w:pPr>
          </w:p>
        </w:tc>
        <w:tc>
          <w:tcPr>
            <w:tcW w:w="265" w:type="pct"/>
            <w:vAlign w:val="center"/>
          </w:tcPr>
          <w:p w14:paraId="77C449D2">
            <w:pPr>
              <w:pStyle w:val="28"/>
              <w:bidi w:val="0"/>
            </w:pPr>
          </w:p>
        </w:tc>
        <w:tc>
          <w:tcPr>
            <w:tcW w:w="248" w:type="pct"/>
            <w:vAlign w:val="center"/>
          </w:tcPr>
          <w:p w14:paraId="305E5D7B">
            <w:pPr>
              <w:pStyle w:val="28"/>
              <w:bidi w:val="0"/>
            </w:pPr>
          </w:p>
        </w:tc>
      </w:tr>
      <w:tr w14:paraId="2C461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2" w:type="pct"/>
            <w:vMerge w:val="continue"/>
            <w:tcBorders>
              <w:left w:val="single" w:color="auto" w:sz="4" w:space="0"/>
            </w:tcBorders>
            <w:vAlign w:val="center"/>
          </w:tcPr>
          <w:p w14:paraId="35DE869E">
            <w:pPr>
              <w:pStyle w:val="28"/>
              <w:bidi w:val="0"/>
            </w:pPr>
          </w:p>
        </w:tc>
        <w:tc>
          <w:tcPr>
            <w:tcW w:w="840" w:type="pct"/>
            <w:vAlign w:val="center"/>
          </w:tcPr>
          <w:p w14:paraId="160782F8">
            <w:pPr>
              <w:pStyle w:val="28"/>
              <w:bidi w:val="0"/>
            </w:pPr>
            <w:r>
              <w:t>堤顶防汛道路</w:t>
            </w:r>
          </w:p>
        </w:tc>
        <w:tc>
          <w:tcPr>
            <w:tcW w:w="349" w:type="pct"/>
            <w:vAlign w:val="center"/>
          </w:tcPr>
          <w:p w14:paraId="21FDB516">
            <w:pPr>
              <w:pStyle w:val="28"/>
              <w:bidi w:val="0"/>
            </w:pPr>
            <w:r>
              <w:t>-</w:t>
            </w:r>
          </w:p>
          <w:p w14:paraId="05F3AFEE">
            <w:pPr>
              <w:pStyle w:val="28"/>
              <w:bidi w:val="0"/>
            </w:pPr>
            <w:r>
              <w:t>√</w:t>
            </w:r>
          </w:p>
        </w:tc>
        <w:tc>
          <w:tcPr>
            <w:tcW w:w="348" w:type="pct"/>
            <w:vAlign w:val="center"/>
          </w:tcPr>
          <w:p w14:paraId="4BCEC18A">
            <w:pPr>
              <w:pStyle w:val="28"/>
              <w:bidi w:val="0"/>
            </w:pPr>
          </w:p>
        </w:tc>
        <w:tc>
          <w:tcPr>
            <w:tcW w:w="263" w:type="pct"/>
            <w:vAlign w:val="center"/>
          </w:tcPr>
          <w:p w14:paraId="6A792FA0">
            <w:pPr>
              <w:pStyle w:val="28"/>
              <w:bidi w:val="0"/>
            </w:pPr>
            <w:r>
              <w:t>-</w:t>
            </w:r>
          </w:p>
          <w:p w14:paraId="4DFC0125">
            <w:pPr>
              <w:pStyle w:val="28"/>
              <w:bidi w:val="0"/>
            </w:pPr>
            <w:r>
              <w:t>○</w:t>
            </w:r>
          </w:p>
        </w:tc>
        <w:tc>
          <w:tcPr>
            <w:tcW w:w="287" w:type="pct"/>
            <w:vAlign w:val="center"/>
          </w:tcPr>
          <w:p w14:paraId="4EA99BBB">
            <w:pPr>
              <w:pStyle w:val="28"/>
              <w:bidi w:val="0"/>
            </w:pPr>
          </w:p>
        </w:tc>
        <w:tc>
          <w:tcPr>
            <w:tcW w:w="263" w:type="pct"/>
            <w:vAlign w:val="center"/>
          </w:tcPr>
          <w:p w14:paraId="0EE57B5E">
            <w:pPr>
              <w:pStyle w:val="28"/>
              <w:bidi w:val="0"/>
            </w:pPr>
          </w:p>
        </w:tc>
        <w:tc>
          <w:tcPr>
            <w:tcW w:w="269" w:type="pct"/>
            <w:vAlign w:val="center"/>
          </w:tcPr>
          <w:p w14:paraId="5BD62E99">
            <w:pPr>
              <w:pStyle w:val="28"/>
              <w:bidi w:val="0"/>
            </w:pPr>
          </w:p>
        </w:tc>
        <w:tc>
          <w:tcPr>
            <w:tcW w:w="254" w:type="pct"/>
            <w:vAlign w:val="center"/>
          </w:tcPr>
          <w:p w14:paraId="1150FA95">
            <w:pPr>
              <w:pStyle w:val="28"/>
              <w:bidi w:val="0"/>
            </w:pPr>
            <w:r>
              <w:t>-</w:t>
            </w:r>
          </w:p>
          <w:p w14:paraId="684A73D9">
            <w:pPr>
              <w:pStyle w:val="28"/>
              <w:bidi w:val="0"/>
            </w:pPr>
            <w:r>
              <w:t>○</w:t>
            </w:r>
          </w:p>
        </w:tc>
        <w:tc>
          <w:tcPr>
            <w:tcW w:w="362" w:type="pct"/>
            <w:vAlign w:val="center"/>
          </w:tcPr>
          <w:p w14:paraId="5D883D3A">
            <w:pPr>
              <w:pStyle w:val="28"/>
              <w:bidi w:val="0"/>
            </w:pPr>
            <w:r>
              <w:t>-</w:t>
            </w:r>
          </w:p>
          <w:p w14:paraId="6A59B938">
            <w:pPr>
              <w:pStyle w:val="28"/>
              <w:bidi w:val="0"/>
            </w:pPr>
            <w:r>
              <w:t>√</w:t>
            </w:r>
          </w:p>
        </w:tc>
        <w:tc>
          <w:tcPr>
            <w:tcW w:w="320" w:type="pct"/>
            <w:vAlign w:val="center"/>
          </w:tcPr>
          <w:p w14:paraId="15781B0F">
            <w:pPr>
              <w:pStyle w:val="28"/>
              <w:bidi w:val="0"/>
            </w:pPr>
            <w:r>
              <w:t>-</w:t>
            </w:r>
          </w:p>
          <w:p w14:paraId="529504D0">
            <w:pPr>
              <w:pStyle w:val="28"/>
              <w:bidi w:val="0"/>
            </w:pPr>
            <w:r>
              <w:t>○</w:t>
            </w:r>
          </w:p>
        </w:tc>
        <w:tc>
          <w:tcPr>
            <w:tcW w:w="300" w:type="pct"/>
            <w:vAlign w:val="center"/>
          </w:tcPr>
          <w:p w14:paraId="646CAB69">
            <w:pPr>
              <w:pStyle w:val="28"/>
              <w:bidi w:val="0"/>
            </w:pPr>
          </w:p>
        </w:tc>
        <w:tc>
          <w:tcPr>
            <w:tcW w:w="261" w:type="pct"/>
            <w:vAlign w:val="center"/>
          </w:tcPr>
          <w:p w14:paraId="73130538">
            <w:pPr>
              <w:pStyle w:val="28"/>
              <w:bidi w:val="0"/>
            </w:pPr>
            <w:r>
              <w:t>-</w:t>
            </w:r>
          </w:p>
          <w:p w14:paraId="5BD00245">
            <w:pPr>
              <w:pStyle w:val="28"/>
              <w:bidi w:val="0"/>
            </w:pPr>
            <w:r>
              <w:t>○</w:t>
            </w:r>
          </w:p>
        </w:tc>
        <w:tc>
          <w:tcPr>
            <w:tcW w:w="265" w:type="pct"/>
            <w:vAlign w:val="center"/>
          </w:tcPr>
          <w:p w14:paraId="5F3B1870">
            <w:pPr>
              <w:pStyle w:val="28"/>
              <w:bidi w:val="0"/>
            </w:pPr>
            <w:r>
              <w:t>-</w:t>
            </w:r>
          </w:p>
          <w:p w14:paraId="07582A48">
            <w:pPr>
              <w:pStyle w:val="28"/>
              <w:bidi w:val="0"/>
            </w:pPr>
            <w:r>
              <w:t>√</w:t>
            </w:r>
          </w:p>
        </w:tc>
        <w:tc>
          <w:tcPr>
            <w:tcW w:w="248" w:type="pct"/>
            <w:vAlign w:val="center"/>
          </w:tcPr>
          <w:p w14:paraId="7317C370">
            <w:pPr>
              <w:pStyle w:val="28"/>
              <w:bidi w:val="0"/>
            </w:pPr>
          </w:p>
        </w:tc>
      </w:tr>
      <w:tr w14:paraId="07B86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2" w:type="pct"/>
            <w:vMerge w:val="continue"/>
            <w:tcBorders>
              <w:left w:val="single" w:color="auto" w:sz="4" w:space="0"/>
            </w:tcBorders>
            <w:vAlign w:val="center"/>
          </w:tcPr>
          <w:p w14:paraId="1B274D4F">
            <w:pPr>
              <w:pStyle w:val="28"/>
              <w:bidi w:val="0"/>
            </w:pPr>
          </w:p>
        </w:tc>
        <w:tc>
          <w:tcPr>
            <w:tcW w:w="840" w:type="pct"/>
            <w:vAlign w:val="center"/>
          </w:tcPr>
          <w:p w14:paraId="2F9C490C">
            <w:pPr>
              <w:pStyle w:val="28"/>
              <w:bidi w:val="0"/>
            </w:pPr>
            <w:r>
              <w:t>管理</w:t>
            </w:r>
            <w:r>
              <w:rPr>
                <w:rFonts w:hint="eastAsia"/>
              </w:rPr>
              <w:t>区建设及绿化</w:t>
            </w:r>
          </w:p>
        </w:tc>
        <w:tc>
          <w:tcPr>
            <w:tcW w:w="349" w:type="pct"/>
            <w:vAlign w:val="center"/>
          </w:tcPr>
          <w:p w14:paraId="070280E7">
            <w:pPr>
              <w:pStyle w:val="28"/>
              <w:bidi w:val="0"/>
            </w:pPr>
          </w:p>
        </w:tc>
        <w:tc>
          <w:tcPr>
            <w:tcW w:w="348" w:type="pct"/>
            <w:vAlign w:val="center"/>
          </w:tcPr>
          <w:p w14:paraId="4E37CC32">
            <w:pPr>
              <w:pStyle w:val="28"/>
              <w:bidi w:val="0"/>
            </w:pPr>
          </w:p>
        </w:tc>
        <w:tc>
          <w:tcPr>
            <w:tcW w:w="263" w:type="pct"/>
            <w:vAlign w:val="center"/>
          </w:tcPr>
          <w:p w14:paraId="271F9DE6">
            <w:pPr>
              <w:pStyle w:val="28"/>
              <w:bidi w:val="0"/>
            </w:pPr>
          </w:p>
        </w:tc>
        <w:tc>
          <w:tcPr>
            <w:tcW w:w="287" w:type="pct"/>
            <w:vAlign w:val="center"/>
          </w:tcPr>
          <w:p w14:paraId="6C2BE148">
            <w:pPr>
              <w:pStyle w:val="28"/>
              <w:bidi w:val="0"/>
            </w:pPr>
          </w:p>
        </w:tc>
        <w:tc>
          <w:tcPr>
            <w:tcW w:w="263" w:type="pct"/>
            <w:vAlign w:val="center"/>
          </w:tcPr>
          <w:p w14:paraId="2FE70D47">
            <w:pPr>
              <w:pStyle w:val="28"/>
              <w:bidi w:val="0"/>
            </w:pPr>
          </w:p>
        </w:tc>
        <w:tc>
          <w:tcPr>
            <w:tcW w:w="269" w:type="pct"/>
            <w:vAlign w:val="center"/>
          </w:tcPr>
          <w:p w14:paraId="41BC097F">
            <w:pPr>
              <w:pStyle w:val="28"/>
              <w:bidi w:val="0"/>
            </w:pPr>
          </w:p>
        </w:tc>
        <w:tc>
          <w:tcPr>
            <w:tcW w:w="254" w:type="pct"/>
            <w:vAlign w:val="center"/>
          </w:tcPr>
          <w:p w14:paraId="0A6B4610">
            <w:pPr>
              <w:pStyle w:val="28"/>
              <w:bidi w:val="0"/>
            </w:pPr>
            <w:r>
              <w:t>-</w:t>
            </w:r>
          </w:p>
          <w:p w14:paraId="7CE6988C">
            <w:pPr>
              <w:pStyle w:val="28"/>
              <w:bidi w:val="0"/>
            </w:pPr>
            <w:r>
              <w:t>√</w:t>
            </w:r>
          </w:p>
        </w:tc>
        <w:tc>
          <w:tcPr>
            <w:tcW w:w="362" w:type="pct"/>
            <w:vAlign w:val="center"/>
          </w:tcPr>
          <w:p w14:paraId="09651189">
            <w:pPr>
              <w:pStyle w:val="28"/>
              <w:bidi w:val="0"/>
            </w:pPr>
            <w:r>
              <w:t>-</w:t>
            </w:r>
          </w:p>
          <w:p w14:paraId="1C9EABEF">
            <w:pPr>
              <w:pStyle w:val="28"/>
              <w:bidi w:val="0"/>
            </w:pPr>
            <w:r>
              <w:t>○</w:t>
            </w:r>
          </w:p>
        </w:tc>
        <w:tc>
          <w:tcPr>
            <w:tcW w:w="320" w:type="pct"/>
            <w:vAlign w:val="center"/>
          </w:tcPr>
          <w:p w14:paraId="7D531BAA">
            <w:pPr>
              <w:pStyle w:val="28"/>
              <w:bidi w:val="0"/>
            </w:pPr>
            <w:r>
              <w:t>-</w:t>
            </w:r>
          </w:p>
          <w:p w14:paraId="5A7333B8">
            <w:pPr>
              <w:pStyle w:val="28"/>
              <w:bidi w:val="0"/>
            </w:pPr>
            <w:r>
              <w:t>○</w:t>
            </w:r>
          </w:p>
        </w:tc>
        <w:tc>
          <w:tcPr>
            <w:tcW w:w="300" w:type="pct"/>
            <w:vAlign w:val="center"/>
          </w:tcPr>
          <w:p w14:paraId="3266CBCF">
            <w:pPr>
              <w:pStyle w:val="28"/>
              <w:bidi w:val="0"/>
            </w:pPr>
          </w:p>
        </w:tc>
        <w:tc>
          <w:tcPr>
            <w:tcW w:w="261" w:type="pct"/>
            <w:vAlign w:val="center"/>
          </w:tcPr>
          <w:p w14:paraId="6A488AF5">
            <w:pPr>
              <w:pStyle w:val="28"/>
              <w:bidi w:val="0"/>
            </w:pPr>
          </w:p>
        </w:tc>
        <w:tc>
          <w:tcPr>
            <w:tcW w:w="265" w:type="pct"/>
            <w:vAlign w:val="center"/>
          </w:tcPr>
          <w:p w14:paraId="7E055116">
            <w:pPr>
              <w:pStyle w:val="28"/>
              <w:bidi w:val="0"/>
            </w:pPr>
          </w:p>
        </w:tc>
        <w:tc>
          <w:tcPr>
            <w:tcW w:w="248" w:type="pct"/>
            <w:vAlign w:val="center"/>
          </w:tcPr>
          <w:p w14:paraId="5D4CF2C7">
            <w:pPr>
              <w:pStyle w:val="28"/>
              <w:bidi w:val="0"/>
            </w:pPr>
          </w:p>
        </w:tc>
      </w:tr>
      <w:tr w14:paraId="74F01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2" w:type="pct"/>
            <w:vMerge w:val="continue"/>
            <w:tcBorders>
              <w:left w:val="single" w:color="auto" w:sz="4" w:space="0"/>
            </w:tcBorders>
            <w:vAlign w:val="center"/>
          </w:tcPr>
          <w:p w14:paraId="28DF33A1">
            <w:pPr>
              <w:pStyle w:val="28"/>
              <w:bidi w:val="0"/>
            </w:pPr>
          </w:p>
        </w:tc>
        <w:tc>
          <w:tcPr>
            <w:tcW w:w="840" w:type="pct"/>
            <w:vAlign w:val="center"/>
          </w:tcPr>
          <w:p w14:paraId="4D4C29FA">
            <w:pPr>
              <w:pStyle w:val="28"/>
              <w:bidi w:val="0"/>
            </w:pPr>
            <w:r>
              <w:t>材料运输</w:t>
            </w:r>
          </w:p>
        </w:tc>
        <w:tc>
          <w:tcPr>
            <w:tcW w:w="349" w:type="pct"/>
            <w:vAlign w:val="center"/>
          </w:tcPr>
          <w:p w14:paraId="290B41B1">
            <w:pPr>
              <w:pStyle w:val="28"/>
              <w:bidi w:val="0"/>
            </w:pPr>
          </w:p>
        </w:tc>
        <w:tc>
          <w:tcPr>
            <w:tcW w:w="348" w:type="pct"/>
            <w:vAlign w:val="center"/>
          </w:tcPr>
          <w:p w14:paraId="7C375EB0">
            <w:pPr>
              <w:pStyle w:val="28"/>
              <w:bidi w:val="0"/>
            </w:pPr>
          </w:p>
        </w:tc>
        <w:tc>
          <w:tcPr>
            <w:tcW w:w="263" w:type="pct"/>
            <w:vAlign w:val="center"/>
          </w:tcPr>
          <w:p w14:paraId="30FD0821">
            <w:pPr>
              <w:pStyle w:val="28"/>
              <w:bidi w:val="0"/>
            </w:pPr>
          </w:p>
        </w:tc>
        <w:tc>
          <w:tcPr>
            <w:tcW w:w="287" w:type="pct"/>
            <w:vAlign w:val="center"/>
          </w:tcPr>
          <w:p w14:paraId="73623678">
            <w:pPr>
              <w:pStyle w:val="28"/>
              <w:bidi w:val="0"/>
            </w:pPr>
          </w:p>
        </w:tc>
        <w:tc>
          <w:tcPr>
            <w:tcW w:w="263" w:type="pct"/>
            <w:vAlign w:val="center"/>
          </w:tcPr>
          <w:p w14:paraId="48AEFC0C">
            <w:pPr>
              <w:pStyle w:val="28"/>
              <w:bidi w:val="0"/>
            </w:pPr>
          </w:p>
        </w:tc>
        <w:tc>
          <w:tcPr>
            <w:tcW w:w="269" w:type="pct"/>
            <w:vAlign w:val="center"/>
          </w:tcPr>
          <w:p w14:paraId="2FC54CD8">
            <w:pPr>
              <w:pStyle w:val="28"/>
              <w:bidi w:val="0"/>
            </w:pPr>
          </w:p>
        </w:tc>
        <w:tc>
          <w:tcPr>
            <w:tcW w:w="254" w:type="pct"/>
            <w:vAlign w:val="center"/>
          </w:tcPr>
          <w:p w14:paraId="254C0B97">
            <w:pPr>
              <w:pStyle w:val="28"/>
              <w:bidi w:val="0"/>
            </w:pPr>
            <w:r>
              <w:t>-</w:t>
            </w:r>
          </w:p>
          <w:p w14:paraId="0FB663FA">
            <w:pPr>
              <w:pStyle w:val="28"/>
              <w:bidi w:val="0"/>
            </w:pPr>
            <w:r>
              <w:t>√</w:t>
            </w:r>
          </w:p>
        </w:tc>
        <w:tc>
          <w:tcPr>
            <w:tcW w:w="362" w:type="pct"/>
            <w:vAlign w:val="center"/>
          </w:tcPr>
          <w:p w14:paraId="7C5865AB">
            <w:pPr>
              <w:pStyle w:val="28"/>
              <w:bidi w:val="0"/>
            </w:pPr>
            <w:r>
              <w:t>-</w:t>
            </w:r>
          </w:p>
          <w:p w14:paraId="0E626512">
            <w:pPr>
              <w:pStyle w:val="28"/>
              <w:bidi w:val="0"/>
            </w:pPr>
            <w:r>
              <w:t>○</w:t>
            </w:r>
          </w:p>
        </w:tc>
        <w:tc>
          <w:tcPr>
            <w:tcW w:w="320" w:type="pct"/>
            <w:vAlign w:val="center"/>
          </w:tcPr>
          <w:p w14:paraId="53617FF7">
            <w:pPr>
              <w:pStyle w:val="28"/>
              <w:bidi w:val="0"/>
            </w:pPr>
          </w:p>
        </w:tc>
        <w:tc>
          <w:tcPr>
            <w:tcW w:w="300" w:type="pct"/>
            <w:vAlign w:val="center"/>
          </w:tcPr>
          <w:p w14:paraId="5EAEB586">
            <w:pPr>
              <w:pStyle w:val="28"/>
              <w:bidi w:val="0"/>
            </w:pPr>
          </w:p>
        </w:tc>
        <w:tc>
          <w:tcPr>
            <w:tcW w:w="261" w:type="pct"/>
            <w:vAlign w:val="center"/>
          </w:tcPr>
          <w:p w14:paraId="54E3D97B">
            <w:pPr>
              <w:pStyle w:val="28"/>
              <w:bidi w:val="0"/>
            </w:pPr>
            <w:r>
              <w:t>-</w:t>
            </w:r>
          </w:p>
          <w:p w14:paraId="2B3F337A">
            <w:pPr>
              <w:pStyle w:val="28"/>
              <w:bidi w:val="0"/>
            </w:pPr>
            <w:r>
              <w:t>√</w:t>
            </w:r>
          </w:p>
        </w:tc>
        <w:tc>
          <w:tcPr>
            <w:tcW w:w="265" w:type="pct"/>
            <w:vAlign w:val="center"/>
          </w:tcPr>
          <w:p w14:paraId="244BB3BA">
            <w:pPr>
              <w:pStyle w:val="28"/>
              <w:bidi w:val="0"/>
            </w:pPr>
          </w:p>
        </w:tc>
        <w:tc>
          <w:tcPr>
            <w:tcW w:w="248" w:type="pct"/>
            <w:vAlign w:val="center"/>
          </w:tcPr>
          <w:p w14:paraId="48EE4466">
            <w:pPr>
              <w:pStyle w:val="28"/>
              <w:bidi w:val="0"/>
            </w:pPr>
          </w:p>
        </w:tc>
      </w:tr>
      <w:tr w14:paraId="07E4B7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362" w:type="pct"/>
            <w:vMerge w:val="continue"/>
            <w:tcBorders>
              <w:left w:val="single" w:color="auto" w:sz="4" w:space="0"/>
            </w:tcBorders>
            <w:vAlign w:val="center"/>
          </w:tcPr>
          <w:p w14:paraId="541B9832">
            <w:pPr>
              <w:pStyle w:val="28"/>
              <w:bidi w:val="0"/>
            </w:pPr>
          </w:p>
        </w:tc>
        <w:tc>
          <w:tcPr>
            <w:tcW w:w="840" w:type="pct"/>
            <w:vAlign w:val="center"/>
          </w:tcPr>
          <w:p w14:paraId="395D7447">
            <w:pPr>
              <w:pStyle w:val="28"/>
              <w:bidi w:val="0"/>
            </w:pPr>
            <w:r>
              <w:t>工程占地</w:t>
            </w:r>
          </w:p>
        </w:tc>
        <w:tc>
          <w:tcPr>
            <w:tcW w:w="349" w:type="pct"/>
            <w:vAlign w:val="center"/>
          </w:tcPr>
          <w:p w14:paraId="78934D8B">
            <w:pPr>
              <w:pStyle w:val="28"/>
              <w:bidi w:val="0"/>
            </w:pPr>
            <w:r>
              <w:t>-</w:t>
            </w:r>
          </w:p>
          <w:p w14:paraId="0C566717">
            <w:pPr>
              <w:pStyle w:val="28"/>
              <w:bidi w:val="0"/>
            </w:pPr>
            <w:r>
              <w:t>√</w:t>
            </w:r>
          </w:p>
        </w:tc>
        <w:tc>
          <w:tcPr>
            <w:tcW w:w="348" w:type="pct"/>
            <w:vAlign w:val="center"/>
          </w:tcPr>
          <w:p w14:paraId="65D38D58">
            <w:pPr>
              <w:pStyle w:val="28"/>
              <w:bidi w:val="0"/>
            </w:pPr>
          </w:p>
        </w:tc>
        <w:tc>
          <w:tcPr>
            <w:tcW w:w="263" w:type="pct"/>
            <w:vAlign w:val="center"/>
          </w:tcPr>
          <w:p w14:paraId="513E479E">
            <w:pPr>
              <w:pStyle w:val="28"/>
              <w:bidi w:val="0"/>
            </w:pPr>
            <w:r>
              <w:t>-</w:t>
            </w:r>
          </w:p>
          <w:p w14:paraId="20235693">
            <w:pPr>
              <w:pStyle w:val="28"/>
              <w:bidi w:val="0"/>
            </w:pPr>
            <w:r>
              <w:t>√</w:t>
            </w:r>
          </w:p>
        </w:tc>
        <w:tc>
          <w:tcPr>
            <w:tcW w:w="287" w:type="pct"/>
            <w:vAlign w:val="center"/>
          </w:tcPr>
          <w:p w14:paraId="60252E90">
            <w:pPr>
              <w:pStyle w:val="28"/>
              <w:bidi w:val="0"/>
            </w:pPr>
            <w:r>
              <w:t>-</w:t>
            </w:r>
          </w:p>
          <w:p w14:paraId="71D0393B">
            <w:pPr>
              <w:pStyle w:val="28"/>
              <w:bidi w:val="0"/>
            </w:pPr>
            <w:r>
              <w:t>○</w:t>
            </w:r>
          </w:p>
        </w:tc>
        <w:tc>
          <w:tcPr>
            <w:tcW w:w="263" w:type="pct"/>
            <w:vAlign w:val="center"/>
          </w:tcPr>
          <w:p w14:paraId="7B6D4576">
            <w:pPr>
              <w:pStyle w:val="28"/>
              <w:bidi w:val="0"/>
            </w:pPr>
          </w:p>
        </w:tc>
        <w:tc>
          <w:tcPr>
            <w:tcW w:w="269" w:type="pct"/>
            <w:vAlign w:val="center"/>
          </w:tcPr>
          <w:p w14:paraId="4E150083">
            <w:pPr>
              <w:pStyle w:val="28"/>
              <w:bidi w:val="0"/>
            </w:pPr>
          </w:p>
        </w:tc>
        <w:tc>
          <w:tcPr>
            <w:tcW w:w="254" w:type="pct"/>
            <w:vAlign w:val="center"/>
          </w:tcPr>
          <w:p w14:paraId="2CB5CFBB">
            <w:pPr>
              <w:pStyle w:val="28"/>
              <w:bidi w:val="0"/>
            </w:pPr>
          </w:p>
        </w:tc>
        <w:tc>
          <w:tcPr>
            <w:tcW w:w="362" w:type="pct"/>
            <w:vAlign w:val="center"/>
          </w:tcPr>
          <w:p w14:paraId="01B12BBA">
            <w:pPr>
              <w:pStyle w:val="28"/>
              <w:bidi w:val="0"/>
            </w:pPr>
          </w:p>
        </w:tc>
        <w:tc>
          <w:tcPr>
            <w:tcW w:w="320" w:type="pct"/>
            <w:vAlign w:val="center"/>
          </w:tcPr>
          <w:p w14:paraId="7B45AB70">
            <w:pPr>
              <w:pStyle w:val="28"/>
              <w:bidi w:val="0"/>
            </w:pPr>
          </w:p>
        </w:tc>
        <w:tc>
          <w:tcPr>
            <w:tcW w:w="300" w:type="pct"/>
            <w:vAlign w:val="center"/>
          </w:tcPr>
          <w:p w14:paraId="1FCC6967">
            <w:pPr>
              <w:pStyle w:val="28"/>
              <w:bidi w:val="0"/>
            </w:pPr>
          </w:p>
        </w:tc>
        <w:tc>
          <w:tcPr>
            <w:tcW w:w="261" w:type="pct"/>
            <w:vAlign w:val="center"/>
          </w:tcPr>
          <w:p w14:paraId="2C24FE06">
            <w:pPr>
              <w:pStyle w:val="28"/>
              <w:bidi w:val="0"/>
            </w:pPr>
          </w:p>
        </w:tc>
        <w:tc>
          <w:tcPr>
            <w:tcW w:w="265" w:type="pct"/>
            <w:vAlign w:val="center"/>
          </w:tcPr>
          <w:p w14:paraId="267C78C7">
            <w:pPr>
              <w:pStyle w:val="28"/>
              <w:bidi w:val="0"/>
            </w:pPr>
            <w:r>
              <w:t>-</w:t>
            </w:r>
          </w:p>
          <w:p w14:paraId="1C723CF1">
            <w:pPr>
              <w:pStyle w:val="28"/>
              <w:bidi w:val="0"/>
            </w:pPr>
            <w:r>
              <w:t>√</w:t>
            </w:r>
          </w:p>
        </w:tc>
        <w:tc>
          <w:tcPr>
            <w:tcW w:w="248" w:type="pct"/>
            <w:vAlign w:val="center"/>
          </w:tcPr>
          <w:p w14:paraId="3271D521">
            <w:pPr>
              <w:pStyle w:val="28"/>
              <w:bidi w:val="0"/>
            </w:pPr>
          </w:p>
        </w:tc>
      </w:tr>
      <w:tr w14:paraId="20766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2" w:type="pct"/>
            <w:vMerge w:val="continue"/>
            <w:tcBorders>
              <w:left w:val="single" w:color="auto" w:sz="4" w:space="0"/>
            </w:tcBorders>
            <w:vAlign w:val="center"/>
          </w:tcPr>
          <w:p w14:paraId="2E11DBAC">
            <w:pPr>
              <w:pStyle w:val="28"/>
              <w:bidi w:val="0"/>
            </w:pPr>
          </w:p>
        </w:tc>
        <w:tc>
          <w:tcPr>
            <w:tcW w:w="840" w:type="pct"/>
            <w:vAlign w:val="center"/>
          </w:tcPr>
          <w:p w14:paraId="5BF613B3">
            <w:pPr>
              <w:pStyle w:val="28"/>
              <w:bidi w:val="0"/>
            </w:pPr>
            <w:r>
              <w:t>施工人员</w:t>
            </w:r>
          </w:p>
        </w:tc>
        <w:tc>
          <w:tcPr>
            <w:tcW w:w="349" w:type="pct"/>
            <w:vAlign w:val="center"/>
          </w:tcPr>
          <w:p w14:paraId="0D1037A5">
            <w:pPr>
              <w:pStyle w:val="28"/>
              <w:bidi w:val="0"/>
            </w:pPr>
          </w:p>
        </w:tc>
        <w:tc>
          <w:tcPr>
            <w:tcW w:w="348" w:type="pct"/>
            <w:vAlign w:val="center"/>
          </w:tcPr>
          <w:p w14:paraId="20844F47">
            <w:pPr>
              <w:pStyle w:val="28"/>
              <w:bidi w:val="0"/>
            </w:pPr>
          </w:p>
        </w:tc>
        <w:tc>
          <w:tcPr>
            <w:tcW w:w="263" w:type="pct"/>
            <w:vAlign w:val="center"/>
          </w:tcPr>
          <w:p w14:paraId="41551896">
            <w:pPr>
              <w:pStyle w:val="28"/>
              <w:bidi w:val="0"/>
            </w:pPr>
          </w:p>
        </w:tc>
        <w:tc>
          <w:tcPr>
            <w:tcW w:w="287" w:type="pct"/>
            <w:vAlign w:val="center"/>
          </w:tcPr>
          <w:p w14:paraId="1FBE6531">
            <w:pPr>
              <w:pStyle w:val="28"/>
              <w:bidi w:val="0"/>
            </w:pPr>
          </w:p>
        </w:tc>
        <w:tc>
          <w:tcPr>
            <w:tcW w:w="263" w:type="pct"/>
            <w:vAlign w:val="center"/>
          </w:tcPr>
          <w:p w14:paraId="70D9F70E">
            <w:pPr>
              <w:pStyle w:val="28"/>
              <w:bidi w:val="0"/>
            </w:pPr>
          </w:p>
        </w:tc>
        <w:tc>
          <w:tcPr>
            <w:tcW w:w="269" w:type="pct"/>
            <w:vAlign w:val="center"/>
          </w:tcPr>
          <w:p w14:paraId="3BEFDE85">
            <w:pPr>
              <w:pStyle w:val="28"/>
              <w:bidi w:val="0"/>
            </w:pPr>
            <w:r>
              <w:t>-</w:t>
            </w:r>
          </w:p>
          <w:p w14:paraId="485F06C0">
            <w:pPr>
              <w:pStyle w:val="28"/>
              <w:bidi w:val="0"/>
            </w:pPr>
            <w:r>
              <w:t>○</w:t>
            </w:r>
          </w:p>
        </w:tc>
        <w:tc>
          <w:tcPr>
            <w:tcW w:w="254" w:type="pct"/>
            <w:vAlign w:val="center"/>
          </w:tcPr>
          <w:p w14:paraId="20C83E16">
            <w:pPr>
              <w:pStyle w:val="28"/>
              <w:bidi w:val="0"/>
            </w:pPr>
          </w:p>
        </w:tc>
        <w:tc>
          <w:tcPr>
            <w:tcW w:w="362" w:type="pct"/>
            <w:vAlign w:val="center"/>
          </w:tcPr>
          <w:p w14:paraId="68393E0C">
            <w:pPr>
              <w:pStyle w:val="28"/>
              <w:bidi w:val="0"/>
            </w:pPr>
          </w:p>
        </w:tc>
        <w:tc>
          <w:tcPr>
            <w:tcW w:w="320" w:type="pct"/>
            <w:vAlign w:val="center"/>
          </w:tcPr>
          <w:p w14:paraId="048FCFB9">
            <w:pPr>
              <w:pStyle w:val="28"/>
              <w:bidi w:val="0"/>
            </w:pPr>
            <w:r>
              <w:t>-</w:t>
            </w:r>
          </w:p>
          <w:p w14:paraId="384CFF83">
            <w:pPr>
              <w:pStyle w:val="28"/>
              <w:bidi w:val="0"/>
            </w:pPr>
            <w:r>
              <w:t>○</w:t>
            </w:r>
          </w:p>
        </w:tc>
        <w:tc>
          <w:tcPr>
            <w:tcW w:w="300" w:type="pct"/>
            <w:vAlign w:val="center"/>
          </w:tcPr>
          <w:p w14:paraId="7C57AFA4">
            <w:pPr>
              <w:pStyle w:val="28"/>
              <w:bidi w:val="0"/>
            </w:pPr>
            <w:r>
              <w:t>-</w:t>
            </w:r>
          </w:p>
          <w:p w14:paraId="688E1F08">
            <w:pPr>
              <w:pStyle w:val="28"/>
              <w:bidi w:val="0"/>
            </w:pPr>
            <w:r>
              <w:t>○</w:t>
            </w:r>
          </w:p>
        </w:tc>
        <w:tc>
          <w:tcPr>
            <w:tcW w:w="261" w:type="pct"/>
            <w:vAlign w:val="center"/>
          </w:tcPr>
          <w:p w14:paraId="3CFA7A4B">
            <w:pPr>
              <w:pStyle w:val="28"/>
              <w:bidi w:val="0"/>
            </w:pPr>
          </w:p>
        </w:tc>
        <w:tc>
          <w:tcPr>
            <w:tcW w:w="265" w:type="pct"/>
            <w:vAlign w:val="center"/>
          </w:tcPr>
          <w:p w14:paraId="5287A7FF">
            <w:pPr>
              <w:pStyle w:val="28"/>
              <w:bidi w:val="0"/>
            </w:pPr>
          </w:p>
        </w:tc>
        <w:tc>
          <w:tcPr>
            <w:tcW w:w="248" w:type="pct"/>
            <w:vAlign w:val="center"/>
          </w:tcPr>
          <w:p w14:paraId="7928486F">
            <w:pPr>
              <w:pStyle w:val="28"/>
              <w:bidi w:val="0"/>
            </w:pPr>
          </w:p>
        </w:tc>
      </w:tr>
      <w:tr w14:paraId="23DCF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2" w:type="pct"/>
            <w:vMerge w:val="restart"/>
            <w:tcBorders>
              <w:left w:val="single" w:color="auto" w:sz="4" w:space="0"/>
            </w:tcBorders>
            <w:vAlign w:val="center"/>
          </w:tcPr>
          <w:p w14:paraId="501D46D8">
            <w:pPr>
              <w:pStyle w:val="28"/>
              <w:bidi w:val="0"/>
            </w:pPr>
            <w:r>
              <w:t>营</w:t>
            </w:r>
          </w:p>
          <w:p w14:paraId="7B141425">
            <w:pPr>
              <w:pStyle w:val="28"/>
              <w:bidi w:val="0"/>
            </w:pPr>
            <w:r>
              <w:t>运</w:t>
            </w:r>
          </w:p>
          <w:p w14:paraId="5ACD4612">
            <w:pPr>
              <w:pStyle w:val="28"/>
              <w:bidi w:val="0"/>
            </w:pPr>
            <w:r>
              <w:t>期</w:t>
            </w:r>
          </w:p>
        </w:tc>
        <w:tc>
          <w:tcPr>
            <w:tcW w:w="840" w:type="pct"/>
            <w:vAlign w:val="center"/>
          </w:tcPr>
          <w:p w14:paraId="15B92419">
            <w:pPr>
              <w:pStyle w:val="28"/>
              <w:bidi w:val="0"/>
            </w:pPr>
            <w:r>
              <w:t>环境保护</w:t>
            </w:r>
          </w:p>
        </w:tc>
        <w:tc>
          <w:tcPr>
            <w:tcW w:w="349" w:type="pct"/>
            <w:vAlign w:val="center"/>
          </w:tcPr>
          <w:p w14:paraId="027E7224">
            <w:pPr>
              <w:pStyle w:val="28"/>
              <w:bidi w:val="0"/>
            </w:pPr>
          </w:p>
        </w:tc>
        <w:tc>
          <w:tcPr>
            <w:tcW w:w="348" w:type="pct"/>
            <w:vAlign w:val="center"/>
          </w:tcPr>
          <w:p w14:paraId="441A829B">
            <w:pPr>
              <w:pStyle w:val="28"/>
              <w:bidi w:val="0"/>
            </w:pPr>
          </w:p>
        </w:tc>
        <w:tc>
          <w:tcPr>
            <w:tcW w:w="263" w:type="pct"/>
            <w:vAlign w:val="center"/>
          </w:tcPr>
          <w:p w14:paraId="064E53B7">
            <w:pPr>
              <w:pStyle w:val="28"/>
              <w:bidi w:val="0"/>
            </w:pPr>
            <w:r>
              <w:t>+</w:t>
            </w:r>
          </w:p>
        </w:tc>
        <w:tc>
          <w:tcPr>
            <w:tcW w:w="287" w:type="pct"/>
            <w:vAlign w:val="center"/>
          </w:tcPr>
          <w:p w14:paraId="2ABDB72C">
            <w:pPr>
              <w:pStyle w:val="28"/>
              <w:bidi w:val="0"/>
            </w:pPr>
            <w:r>
              <w:t>+</w:t>
            </w:r>
          </w:p>
        </w:tc>
        <w:tc>
          <w:tcPr>
            <w:tcW w:w="263" w:type="pct"/>
            <w:vAlign w:val="center"/>
          </w:tcPr>
          <w:p w14:paraId="2DC728FB">
            <w:pPr>
              <w:pStyle w:val="28"/>
              <w:bidi w:val="0"/>
            </w:pPr>
          </w:p>
        </w:tc>
        <w:tc>
          <w:tcPr>
            <w:tcW w:w="269" w:type="pct"/>
            <w:vAlign w:val="center"/>
          </w:tcPr>
          <w:p w14:paraId="5A39F1DC">
            <w:pPr>
              <w:pStyle w:val="28"/>
              <w:bidi w:val="0"/>
            </w:pPr>
            <w:r>
              <w:t>+</w:t>
            </w:r>
          </w:p>
        </w:tc>
        <w:tc>
          <w:tcPr>
            <w:tcW w:w="254" w:type="pct"/>
            <w:vAlign w:val="center"/>
          </w:tcPr>
          <w:p w14:paraId="3D917FB5">
            <w:pPr>
              <w:pStyle w:val="28"/>
              <w:bidi w:val="0"/>
            </w:pPr>
          </w:p>
        </w:tc>
        <w:tc>
          <w:tcPr>
            <w:tcW w:w="362" w:type="pct"/>
            <w:vAlign w:val="center"/>
          </w:tcPr>
          <w:p w14:paraId="0B0CB64D">
            <w:pPr>
              <w:pStyle w:val="28"/>
              <w:bidi w:val="0"/>
            </w:pPr>
          </w:p>
        </w:tc>
        <w:tc>
          <w:tcPr>
            <w:tcW w:w="320" w:type="pct"/>
            <w:vAlign w:val="center"/>
          </w:tcPr>
          <w:p w14:paraId="3C447A50">
            <w:pPr>
              <w:pStyle w:val="28"/>
              <w:bidi w:val="0"/>
            </w:pPr>
          </w:p>
        </w:tc>
        <w:tc>
          <w:tcPr>
            <w:tcW w:w="300" w:type="pct"/>
            <w:vAlign w:val="center"/>
          </w:tcPr>
          <w:p w14:paraId="66DABA93">
            <w:pPr>
              <w:pStyle w:val="28"/>
              <w:bidi w:val="0"/>
            </w:pPr>
          </w:p>
        </w:tc>
        <w:tc>
          <w:tcPr>
            <w:tcW w:w="261" w:type="pct"/>
            <w:vAlign w:val="center"/>
          </w:tcPr>
          <w:p w14:paraId="28DD119E">
            <w:pPr>
              <w:pStyle w:val="28"/>
              <w:bidi w:val="0"/>
            </w:pPr>
          </w:p>
        </w:tc>
        <w:tc>
          <w:tcPr>
            <w:tcW w:w="265" w:type="pct"/>
            <w:vAlign w:val="center"/>
          </w:tcPr>
          <w:p w14:paraId="6BE6FA23">
            <w:pPr>
              <w:pStyle w:val="28"/>
              <w:bidi w:val="0"/>
            </w:pPr>
          </w:p>
        </w:tc>
        <w:tc>
          <w:tcPr>
            <w:tcW w:w="248" w:type="pct"/>
            <w:vAlign w:val="center"/>
          </w:tcPr>
          <w:p w14:paraId="04DD0C89">
            <w:pPr>
              <w:pStyle w:val="28"/>
              <w:bidi w:val="0"/>
            </w:pPr>
          </w:p>
        </w:tc>
      </w:tr>
      <w:tr w14:paraId="30DAD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2" w:type="pct"/>
            <w:vMerge w:val="continue"/>
            <w:tcBorders>
              <w:left w:val="single" w:color="auto" w:sz="4" w:space="0"/>
            </w:tcBorders>
            <w:vAlign w:val="center"/>
          </w:tcPr>
          <w:p w14:paraId="67F04664">
            <w:pPr>
              <w:pStyle w:val="28"/>
              <w:bidi w:val="0"/>
            </w:pPr>
          </w:p>
        </w:tc>
        <w:tc>
          <w:tcPr>
            <w:tcW w:w="840" w:type="pct"/>
            <w:vAlign w:val="center"/>
          </w:tcPr>
          <w:p w14:paraId="4CB4CA96">
            <w:pPr>
              <w:pStyle w:val="28"/>
              <w:bidi w:val="0"/>
            </w:pPr>
            <w:r>
              <w:t>防汛道路</w:t>
            </w:r>
          </w:p>
        </w:tc>
        <w:tc>
          <w:tcPr>
            <w:tcW w:w="349" w:type="pct"/>
            <w:vAlign w:val="center"/>
          </w:tcPr>
          <w:p w14:paraId="4E21F46E">
            <w:pPr>
              <w:pStyle w:val="28"/>
              <w:bidi w:val="0"/>
            </w:pPr>
          </w:p>
        </w:tc>
        <w:tc>
          <w:tcPr>
            <w:tcW w:w="348" w:type="pct"/>
            <w:vAlign w:val="center"/>
          </w:tcPr>
          <w:p w14:paraId="06296B94">
            <w:pPr>
              <w:pStyle w:val="28"/>
              <w:bidi w:val="0"/>
            </w:pPr>
          </w:p>
        </w:tc>
        <w:tc>
          <w:tcPr>
            <w:tcW w:w="263" w:type="pct"/>
            <w:vAlign w:val="center"/>
          </w:tcPr>
          <w:p w14:paraId="75CE2CD4">
            <w:pPr>
              <w:pStyle w:val="28"/>
              <w:bidi w:val="0"/>
            </w:pPr>
          </w:p>
        </w:tc>
        <w:tc>
          <w:tcPr>
            <w:tcW w:w="287" w:type="pct"/>
            <w:vAlign w:val="center"/>
          </w:tcPr>
          <w:p w14:paraId="7C4B9514">
            <w:pPr>
              <w:pStyle w:val="28"/>
              <w:bidi w:val="0"/>
            </w:pPr>
          </w:p>
        </w:tc>
        <w:tc>
          <w:tcPr>
            <w:tcW w:w="263" w:type="pct"/>
            <w:vAlign w:val="center"/>
          </w:tcPr>
          <w:p w14:paraId="73A4ECA8">
            <w:pPr>
              <w:pStyle w:val="28"/>
              <w:bidi w:val="0"/>
            </w:pPr>
          </w:p>
        </w:tc>
        <w:tc>
          <w:tcPr>
            <w:tcW w:w="269" w:type="pct"/>
            <w:vAlign w:val="center"/>
          </w:tcPr>
          <w:p w14:paraId="7A13219D">
            <w:pPr>
              <w:pStyle w:val="28"/>
              <w:bidi w:val="0"/>
            </w:pPr>
          </w:p>
        </w:tc>
        <w:tc>
          <w:tcPr>
            <w:tcW w:w="254" w:type="pct"/>
            <w:vAlign w:val="center"/>
          </w:tcPr>
          <w:p w14:paraId="2D0D890A">
            <w:pPr>
              <w:pStyle w:val="28"/>
              <w:bidi w:val="0"/>
            </w:pPr>
            <w:r>
              <w:t>-</w:t>
            </w:r>
          </w:p>
          <w:p w14:paraId="4D9D4042">
            <w:pPr>
              <w:pStyle w:val="28"/>
              <w:bidi w:val="0"/>
            </w:pPr>
            <w:r>
              <w:t>○</w:t>
            </w:r>
          </w:p>
        </w:tc>
        <w:tc>
          <w:tcPr>
            <w:tcW w:w="362" w:type="pct"/>
            <w:vAlign w:val="center"/>
          </w:tcPr>
          <w:p w14:paraId="13016E95">
            <w:pPr>
              <w:pStyle w:val="28"/>
              <w:bidi w:val="0"/>
            </w:pPr>
            <w:r>
              <w:t>-</w:t>
            </w:r>
          </w:p>
          <w:p w14:paraId="3C369E70">
            <w:pPr>
              <w:pStyle w:val="28"/>
              <w:bidi w:val="0"/>
            </w:pPr>
            <w:r>
              <w:t>○</w:t>
            </w:r>
          </w:p>
        </w:tc>
        <w:tc>
          <w:tcPr>
            <w:tcW w:w="320" w:type="pct"/>
            <w:vAlign w:val="center"/>
          </w:tcPr>
          <w:p w14:paraId="1DC7A964">
            <w:pPr>
              <w:pStyle w:val="28"/>
              <w:bidi w:val="0"/>
            </w:pPr>
          </w:p>
        </w:tc>
        <w:tc>
          <w:tcPr>
            <w:tcW w:w="300" w:type="pct"/>
            <w:vAlign w:val="center"/>
          </w:tcPr>
          <w:p w14:paraId="5435EBC7">
            <w:pPr>
              <w:pStyle w:val="28"/>
              <w:bidi w:val="0"/>
            </w:pPr>
          </w:p>
        </w:tc>
        <w:tc>
          <w:tcPr>
            <w:tcW w:w="261" w:type="pct"/>
            <w:vAlign w:val="center"/>
          </w:tcPr>
          <w:p w14:paraId="27ACA1B0">
            <w:pPr>
              <w:pStyle w:val="28"/>
              <w:bidi w:val="0"/>
            </w:pPr>
            <w:r>
              <w:t>+</w:t>
            </w:r>
          </w:p>
        </w:tc>
        <w:tc>
          <w:tcPr>
            <w:tcW w:w="265" w:type="pct"/>
            <w:vAlign w:val="center"/>
          </w:tcPr>
          <w:p w14:paraId="7FA6AB51">
            <w:pPr>
              <w:pStyle w:val="28"/>
              <w:bidi w:val="0"/>
            </w:pPr>
            <w:r>
              <w:t>-</w:t>
            </w:r>
          </w:p>
          <w:p w14:paraId="5423E969">
            <w:pPr>
              <w:pStyle w:val="28"/>
              <w:bidi w:val="0"/>
            </w:pPr>
            <w:r>
              <w:t>○</w:t>
            </w:r>
          </w:p>
        </w:tc>
        <w:tc>
          <w:tcPr>
            <w:tcW w:w="248" w:type="pct"/>
            <w:vAlign w:val="center"/>
          </w:tcPr>
          <w:p w14:paraId="3E39BDC3">
            <w:pPr>
              <w:pStyle w:val="28"/>
              <w:bidi w:val="0"/>
            </w:pPr>
            <w:r>
              <w:t>+</w:t>
            </w:r>
          </w:p>
        </w:tc>
      </w:tr>
      <w:tr w14:paraId="73A76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2" w:type="pct"/>
            <w:vMerge w:val="continue"/>
            <w:tcBorders>
              <w:left w:val="single" w:color="auto" w:sz="4" w:space="0"/>
            </w:tcBorders>
            <w:vAlign w:val="center"/>
          </w:tcPr>
          <w:p w14:paraId="3E6D11B3">
            <w:pPr>
              <w:pStyle w:val="28"/>
              <w:bidi w:val="0"/>
            </w:pPr>
          </w:p>
        </w:tc>
        <w:tc>
          <w:tcPr>
            <w:tcW w:w="840" w:type="pct"/>
            <w:vAlign w:val="center"/>
          </w:tcPr>
          <w:p w14:paraId="7BBD9381">
            <w:pPr>
              <w:pStyle w:val="28"/>
              <w:bidi w:val="0"/>
            </w:pPr>
            <w:r>
              <w:t>渠道防洪</w:t>
            </w:r>
          </w:p>
        </w:tc>
        <w:tc>
          <w:tcPr>
            <w:tcW w:w="349" w:type="pct"/>
            <w:vAlign w:val="center"/>
          </w:tcPr>
          <w:p w14:paraId="0B955589">
            <w:pPr>
              <w:pStyle w:val="28"/>
              <w:bidi w:val="0"/>
            </w:pPr>
          </w:p>
        </w:tc>
        <w:tc>
          <w:tcPr>
            <w:tcW w:w="348" w:type="pct"/>
            <w:vAlign w:val="center"/>
          </w:tcPr>
          <w:p w14:paraId="7E187915">
            <w:pPr>
              <w:pStyle w:val="28"/>
              <w:bidi w:val="0"/>
            </w:pPr>
          </w:p>
        </w:tc>
        <w:tc>
          <w:tcPr>
            <w:tcW w:w="263" w:type="pct"/>
            <w:vAlign w:val="center"/>
          </w:tcPr>
          <w:p w14:paraId="0A8B1020">
            <w:pPr>
              <w:pStyle w:val="28"/>
              <w:bidi w:val="0"/>
            </w:pPr>
            <w:r>
              <w:t>+</w:t>
            </w:r>
          </w:p>
        </w:tc>
        <w:tc>
          <w:tcPr>
            <w:tcW w:w="287" w:type="pct"/>
            <w:vAlign w:val="center"/>
          </w:tcPr>
          <w:p w14:paraId="014731F9">
            <w:pPr>
              <w:pStyle w:val="28"/>
              <w:bidi w:val="0"/>
            </w:pPr>
          </w:p>
        </w:tc>
        <w:tc>
          <w:tcPr>
            <w:tcW w:w="263" w:type="pct"/>
            <w:vAlign w:val="center"/>
          </w:tcPr>
          <w:p w14:paraId="4DB59ED5">
            <w:pPr>
              <w:pStyle w:val="28"/>
              <w:bidi w:val="0"/>
            </w:pPr>
            <w:r>
              <w:t>+</w:t>
            </w:r>
          </w:p>
        </w:tc>
        <w:tc>
          <w:tcPr>
            <w:tcW w:w="269" w:type="pct"/>
            <w:vAlign w:val="center"/>
          </w:tcPr>
          <w:p w14:paraId="0001B7AB">
            <w:pPr>
              <w:pStyle w:val="28"/>
              <w:bidi w:val="0"/>
            </w:pPr>
          </w:p>
        </w:tc>
        <w:tc>
          <w:tcPr>
            <w:tcW w:w="254" w:type="pct"/>
            <w:vAlign w:val="center"/>
          </w:tcPr>
          <w:p w14:paraId="77D2E918">
            <w:pPr>
              <w:pStyle w:val="28"/>
              <w:bidi w:val="0"/>
            </w:pPr>
          </w:p>
        </w:tc>
        <w:tc>
          <w:tcPr>
            <w:tcW w:w="362" w:type="pct"/>
            <w:vAlign w:val="center"/>
          </w:tcPr>
          <w:p w14:paraId="63F7AE8B">
            <w:pPr>
              <w:pStyle w:val="28"/>
              <w:bidi w:val="0"/>
            </w:pPr>
          </w:p>
        </w:tc>
        <w:tc>
          <w:tcPr>
            <w:tcW w:w="320" w:type="pct"/>
            <w:vAlign w:val="center"/>
          </w:tcPr>
          <w:p w14:paraId="4810C123">
            <w:pPr>
              <w:pStyle w:val="28"/>
              <w:bidi w:val="0"/>
            </w:pPr>
          </w:p>
        </w:tc>
        <w:tc>
          <w:tcPr>
            <w:tcW w:w="300" w:type="pct"/>
            <w:vAlign w:val="center"/>
          </w:tcPr>
          <w:p w14:paraId="04FD0F8D">
            <w:pPr>
              <w:pStyle w:val="28"/>
              <w:bidi w:val="0"/>
            </w:pPr>
          </w:p>
        </w:tc>
        <w:tc>
          <w:tcPr>
            <w:tcW w:w="261" w:type="pct"/>
            <w:vAlign w:val="center"/>
          </w:tcPr>
          <w:p w14:paraId="0A5B662F">
            <w:pPr>
              <w:pStyle w:val="28"/>
              <w:bidi w:val="0"/>
            </w:pPr>
          </w:p>
        </w:tc>
        <w:tc>
          <w:tcPr>
            <w:tcW w:w="265" w:type="pct"/>
            <w:vAlign w:val="center"/>
          </w:tcPr>
          <w:p w14:paraId="3E5277CC">
            <w:pPr>
              <w:pStyle w:val="28"/>
              <w:bidi w:val="0"/>
            </w:pPr>
            <w:r>
              <w:t>+</w:t>
            </w:r>
          </w:p>
        </w:tc>
        <w:tc>
          <w:tcPr>
            <w:tcW w:w="248" w:type="pct"/>
            <w:vAlign w:val="center"/>
          </w:tcPr>
          <w:p w14:paraId="72D4E904">
            <w:pPr>
              <w:pStyle w:val="28"/>
              <w:bidi w:val="0"/>
            </w:pPr>
            <w:r>
              <w:t>+</w:t>
            </w:r>
          </w:p>
        </w:tc>
      </w:tr>
      <w:tr w14:paraId="559D5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2" w:type="pct"/>
            <w:vMerge w:val="continue"/>
            <w:tcBorders>
              <w:left w:val="single" w:color="auto" w:sz="4" w:space="0"/>
            </w:tcBorders>
            <w:vAlign w:val="center"/>
          </w:tcPr>
          <w:p w14:paraId="63E37E65">
            <w:pPr>
              <w:pStyle w:val="28"/>
              <w:bidi w:val="0"/>
            </w:pPr>
          </w:p>
        </w:tc>
        <w:tc>
          <w:tcPr>
            <w:tcW w:w="840" w:type="pct"/>
            <w:vAlign w:val="center"/>
          </w:tcPr>
          <w:p w14:paraId="16ACCB8C">
            <w:pPr>
              <w:pStyle w:val="28"/>
              <w:bidi w:val="0"/>
            </w:pPr>
            <w:r>
              <w:t>节制闸等建筑物</w:t>
            </w:r>
          </w:p>
        </w:tc>
        <w:tc>
          <w:tcPr>
            <w:tcW w:w="349" w:type="pct"/>
            <w:vAlign w:val="center"/>
          </w:tcPr>
          <w:p w14:paraId="5C4AB93E">
            <w:pPr>
              <w:pStyle w:val="28"/>
              <w:bidi w:val="0"/>
            </w:pPr>
          </w:p>
        </w:tc>
        <w:tc>
          <w:tcPr>
            <w:tcW w:w="348" w:type="pct"/>
            <w:vAlign w:val="center"/>
          </w:tcPr>
          <w:p w14:paraId="1B8EC228">
            <w:pPr>
              <w:pStyle w:val="28"/>
              <w:bidi w:val="0"/>
            </w:pPr>
            <w:r>
              <w:t>-</w:t>
            </w:r>
          </w:p>
          <w:p w14:paraId="601CF8CD">
            <w:pPr>
              <w:pStyle w:val="28"/>
              <w:bidi w:val="0"/>
            </w:pPr>
            <w:r>
              <w:t>√</w:t>
            </w:r>
          </w:p>
        </w:tc>
        <w:tc>
          <w:tcPr>
            <w:tcW w:w="263" w:type="pct"/>
            <w:vAlign w:val="center"/>
          </w:tcPr>
          <w:p w14:paraId="6317B34E">
            <w:pPr>
              <w:pStyle w:val="28"/>
              <w:bidi w:val="0"/>
            </w:pPr>
          </w:p>
        </w:tc>
        <w:tc>
          <w:tcPr>
            <w:tcW w:w="287" w:type="pct"/>
            <w:vAlign w:val="center"/>
          </w:tcPr>
          <w:p w14:paraId="1824CB24">
            <w:pPr>
              <w:pStyle w:val="28"/>
              <w:bidi w:val="0"/>
            </w:pPr>
          </w:p>
        </w:tc>
        <w:tc>
          <w:tcPr>
            <w:tcW w:w="263" w:type="pct"/>
            <w:vAlign w:val="center"/>
          </w:tcPr>
          <w:p w14:paraId="71BC617B">
            <w:pPr>
              <w:pStyle w:val="28"/>
              <w:bidi w:val="0"/>
            </w:pPr>
            <w:r>
              <w:t>-</w:t>
            </w:r>
          </w:p>
          <w:p w14:paraId="1185DB91">
            <w:pPr>
              <w:pStyle w:val="28"/>
              <w:bidi w:val="0"/>
            </w:pPr>
            <w:r>
              <w:t>√</w:t>
            </w:r>
          </w:p>
        </w:tc>
        <w:tc>
          <w:tcPr>
            <w:tcW w:w="269" w:type="pct"/>
            <w:vAlign w:val="center"/>
          </w:tcPr>
          <w:p w14:paraId="7D930385">
            <w:pPr>
              <w:pStyle w:val="28"/>
              <w:bidi w:val="0"/>
            </w:pPr>
          </w:p>
        </w:tc>
        <w:tc>
          <w:tcPr>
            <w:tcW w:w="254" w:type="pct"/>
            <w:vAlign w:val="center"/>
          </w:tcPr>
          <w:p w14:paraId="660A1429">
            <w:pPr>
              <w:pStyle w:val="28"/>
              <w:bidi w:val="0"/>
            </w:pPr>
            <w:r>
              <w:t>-</w:t>
            </w:r>
          </w:p>
          <w:p w14:paraId="4188B6AD">
            <w:pPr>
              <w:pStyle w:val="28"/>
              <w:bidi w:val="0"/>
            </w:pPr>
            <w:r>
              <w:t>○</w:t>
            </w:r>
          </w:p>
        </w:tc>
        <w:tc>
          <w:tcPr>
            <w:tcW w:w="362" w:type="pct"/>
            <w:vAlign w:val="center"/>
          </w:tcPr>
          <w:p w14:paraId="0C606B33">
            <w:pPr>
              <w:pStyle w:val="28"/>
              <w:bidi w:val="0"/>
            </w:pPr>
          </w:p>
        </w:tc>
        <w:tc>
          <w:tcPr>
            <w:tcW w:w="320" w:type="pct"/>
            <w:vAlign w:val="center"/>
          </w:tcPr>
          <w:p w14:paraId="6C77E789">
            <w:pPr>
              <w:pStyle w:val="28"/>
              <w:bidi w:val="0"/>
            </w:pPr>
          </w:p>
        </w:tc>
        <w:tc>
          <w:tcPr>
            <w:tcW w:w="300" w:type="pct"/>
            <w:vAlign w:val="center"/>
          </w:tcPr>
          <w:p w14:paraId="734A3BDB">
            <w:pPr>
              <w:pStyle w:val="28"/>
              <w:bidi w:val="0"/>
            </w:pPr>
          </w:p>
        </w:tc>
        <w:tc>
          <w:tcPr>
            <w:tcW w:w="261" w:type="pct"/>
            <w:vAlign w:val="center"/>
          </w:tcPr>
          <w:p w14:paraId="0D763498">
            <w:pPr>
              <w:pStyle w:val="28"/>
              <w:bidi w:val="0"/>
            </w:pPr>
          </w:p>
        </w:tc>
        <w:tc>
          <w:tcPr>
            <w:tcW w:w="265" w:type="pct"/>
            <w:vAlign w:val="center"/>
          </w:tcPr>
          <w:p w14:paraId="57A79D37">
            <w:pPr>
              <w:pStyle w:val="28"/>
              <w:bidi w:val="0"/>
            </w:pPr>
          </w:p>
        </w:tc>
        <w:tc>
          <w:tcPr>
            <w:tcW w:w="248" w:type="pct"/>
            <w:vAlign w:val="center"/>
          </w:tcPr>
          <w:p w14:paraId="2D62B92B">
            <w:pPr>
              <w:pStyle w:val="28"/>
              <w:bidi w:val="0"/>
            </w:pPr>
          </w:p>
        </w:tc>
      </w:tr>
      <w:tr w14:paraId="55C320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62" w:type="pct"/>
            <w:vMerge w:val="continue"/>
            <w:tcBorders>
              <w:left w:val="single" w:color="auto" w:sz="4" w:space="0"/>
            </w:tcBorders>
            <w:vAlign w:val="center"/>
          </w:tcPr>
          <w:p w14:paraId="29833E95">
            <w:pPr>
              <w:pStyle w:val="28"/>
              <w:bidi w:val="0"/>
            </w:pPr>
          </w:p>
        </w:tc>
        <w:tc>
          <w:tcPr>
            <w:tcW w:w="840" w:type="pct"/>
            <w:vAlign w:val="center"/>
          </w:tcPr>
          <w:p w14:paraId="3F099EE7">
            <w:pPr>
              <w:pStyle w:val="28"/>
              <w:bidi w:val="0"/>
            </w:pPr>
            <w:r>
              <w:t>泵站工程</w:t>
            </w:r>
          </w:p>
        </w:tc>
        <w:tc>
          <w:tcPr>
            <w:tcW w:w="349" w:type="pct"/>
            <w:vAlign w:val="center"/>
          </w:tcPr>
          <w:p w14:paraId="252304D4">
            <w:pPr>
              <w:pStyle w:val="28"/>
              <w:bidi w:val="0"/>
            </w:pPr>
          </w:p>
        </w:tc>
        <w:tc>
          <w:tcPr>
            <w:tcW w:w="348" w:type="pct"/>
            <w:vAlign w:val="center"/>
          </w:tcPr>
          <w:p w14:paraId="7844DF5A">
            <w:pPr>
              <w:pStyle w:val="28"/>
              <w:bidi w:val="0"/>
            </w:pPr>
            <w:r>
              <w:t>-</w:t>
            </w:r>
          </w:p>
          <w:p w14:paraId="35657E65">
            <w:pPr>
              <w:pStyle w:val="28"/>
              <w:bidi w:val="0"/>
            </w:pPr>
            <w:r>
              <w:t>○</w:t>
            </w:r>
          </w:p>
        </w:tc>
        <w:tc>
          <w:tcPr>
            <w:tcW w:w="263" w:type="pct"/>
            <w:vAlign w:val="center"/>
          </w:tcPr>
          <w:p w14:paraId="29D91B18">
            <w:pPr>
              <w:pStyle w:val="28"/>
              <w:bidi w:val="0"/>
            </w:pPr>
          </w:p>
        </w:tc>
        <w:tc>
          <w:tcPr>
            <w:tcW w:w="287" w:type="pct"/>
            <w:vAlign w:val="center"/>
          </w:tcPr>
          <w:p w14:paraId="196C35CB">
            <w:pPr>
              <w:pStyle w:val="28"/>
              <w:bidi w:val="0"/>
            </w:pPr>
          </w:p>
        </w:tc>
        <w:tc>
          <w:tcPr>
            <w:tcW w:w="263" w:type="pct"/>
            <w:vAlign w:val="center"/>
          </w:tcPr>
          <w:p w14:paraId="032DF4D6">
            <w:pPr>
              <w:pStyle w:val="28"/>
              <w:bidi w:val="0"/>
            </w:pPr>
            <w:r>
              <w:t>-</w:t>
            </w:r>
          </w:p>
          <w:p w14:paraId="4CD23575">
            <w:pPr>
              <w:pStyle w:val="28"/>
              <w:bidi w:val="0"/>
            </w:pPr>
            <w:r>
              <w:t>○</w:t>
            </w:r>
          </w:p>
        </w:tc>
        <w:tc>
          <w:tcPr>
            <w:tcW w:w="269" w:type="pct"/>
            <w:vAlign w:val="center"/>
          </w:tcPr>
          <w:p w14:paraId="467FAE12">
            <w:pPr>
              <w:pStyle w:val="28"/>
              <w:bidi w:val="0"/>
            </w:pPr>
          </w:p>
        </w:tc>
        <w:tc>
          <w:tcPr>
            <w:tcW w:w="254" w:type="pct"/>
            <w:vAlign w:val="center"/>
          </w:tcPr>
          <w:p w14:paraId="282A9C82">
            <w:pPr>
              <w:pStyle w:val="28"/>
              <w:bidi w:val="0"/>
            </w:pPr>
            <w:r>
              <w:t>-</w:t>
            </w:r>
          </w:p>
          <w:p w14:paraId="39006A2F">
            <w:pPr>
              <w:pStyle w:val="28"/>
              <w:bidi w:val="0"/>
            </w:pPr>
            <w:r>
              <w:t>√</w:t>
            </w:r>
          </w:p>
        </w:tc>
        <w:tc>
          <w:tcPr>
            <w:tcW w:w="362" w:type="pct"/>
            <w:vAlign w:val="center"/>
          </w:tcPr>
          <w:p w14:paraId="40F4FB93">
            <w:pPr>
              <w:pStyle w:val="28"/>
              <w:bidi w:val="0"/>
            </w:pPr>
            <w:r>
              <w:t>-</w:t>
            </w:r>
          </w:p>
          <w:p w14:paraId="58018C24">
            <w:pPr>
              <w:pStyle w:val="28"/>
              <w:bidi w:val="0"/>
            </w:pPr>
            <w:r>
              <w:t>○</w:t>
            </w:r>
          </w:p>
        </w:tc>
        <w:tc>
          <w:tcPr>
            <w:tcW w:w="320" w:type="pct"/>
            <w:vAlign w:val="center"/>
          </w:tcPr>
          <w:p w14:paraId="7FA99403">
            <w:pPr>
              <w:pStyle w:val="28"/>
              <w:bidi w:val="0"/>
            </w:pPr>
          </w:p>
        </w:tc>
        <w:tc>
          <w:tcPr>
            <w:tcW w:w="300" w:type="pct"/>
            <w:vAlign w:val="center"/>
          </w:tcPr>
          <w:p w14:paraId="1614B4C7">
            <w:pPr>
              <w:pStyle w:val="28"/>
              <w:bidi w:val="0"/>
            </w:pPr>
          </w:p>
        </w:tc>
        <w:tc>
          <w:tcPr>
            <w:tcW w:w="261" w:type="pct"/>
            <w:vAlign w:val="center"/>
          </w:tcPr>
          <w:p w14:paraId="6CCE3C40">
            <w:pPr>
              <w:pStyle w:val="28"/>
              <w:bidi w:val="0"/>
            </w:pPr>
          </w:p>
        </w:tc>
        <w:tc>
          <w:tcPr>
            <w:tcW w:w="265" w:type="pct"/>
            <w:vAlign w:val="center"/>
          </w:tcPr>
          <w:p w14:paraId="265E51EB">
            <w:pPr>
              <w:pStyle w:val="28"/>
              <w:bidi w:val="0"/>
            </w:pPr>
          </w:p>
        </w:tc>
        <w:tc>
          <w:tcPr>
            <w:tcW w:w="248" w:type="pct"/>
            <w:vAlign w:val="center"/>
          </w:tcPr>
          <w:p w14:paraId="49D3CE91">
            <w:pPr>
              <w:pStyle w:val="28"/>
              <w:bidi w:val="0"/>
            </w:pPr>
          </w:p>
        </w:tc>
      </w:tr>
    </w:tbl>
    <w:p w14:paraId="4CB3261D">
      <w:pPr>
        <w:pStyle w:val="28"/>
        <w:bidi w:val="0"/>
        <w:jc w:val="left"/>
        <w:rPr>
          <w:b w:val="0"/>
          <w:bCs w:val="0"/>
          <w:sz w:val="18"/>
          <w:szCs w:val="18"/>
        </w:rPr>
      </w:pPr>
      <w:r>
        <w:rPr>
          <w:b w:val="0"/>
          <w:bCs w:val="0"/>
          <w:sz w:val="18"/>
          <w:szCs w:val="18"/>
        </w:rPr>
        <w:t>注：</w:t>
      </w:r>
      <w:r>
        <w:rPr>
          <w:rFonts w:hint="eastAsia"/>
          <w:b w:val="0"/>
          <w:bCs w:val="0"/>
          <w:sz w:val="18"/>
          <w:szCs w:val="18"/>
        </w:rPr>
        <w:t>“</w:t>
      </w:r>
      <w:r>
        <w:rPr>
          <w:b w:val="0"/>
          <w:bCs w:val="0"/>
          <w:sz w:val="18"/>
          <w:szCs w:val="18"/>
        </w:rPr>
        <w:t>√</w:t>
      </w:r>
      <w:r>
        <w:rPr>
          <w:rFonts w:hint="eastAsia"/>
          <w:b w:val="0"/>
          <w:bCs w:val="0"/>
          <w:sz w:val="18"/>
          <w:szCs w:val="18"/>
        </w:rPr>
        <w:t>”</w:t>
      </w:r>
      <w:r>
        <w:rPr>
          <w:b w:val="0"/>
          <w:bCs w:val="0"/>
          <w:sz w:val="18"/>
          <w:szCs w:val="18"/>
        </w:rPr>
        <w:t>有显著影响；</w:t>
      </w:r>
      <w:r>
        <w:rPr>
          <w:rFonts w:hint="eastAsia"/>
          <w:b w:val="0"/>
          <w:bCs w:val="0"/>
          <w:sz w:val="18"/>
          <w:szCs w:val="18"/>
        </w:rPr>
        <w:t>“</w:t>
      </w:r>
      <w:r>
        <w:rPr>
          <w:b w:val="0"/>
          <w:bCs w:val="0"/>
          <w:sz w:val="18"/>
          <w:szCs w:val="18"/>
        </w:rPr>
        <w:t>○</w:t>
      </w:r>
      <w:r>
        <w:rPr>
          <w:rFonts w:hint="eastAsia"/>
          <w:b w:val="0"/>
          <w:bCs w:val="0"/>
          <w:sz w:val="18"/>
          <w:szCs w:val="18"/>
        </w:rPr>
        <w:t>”</w:t>
      </w:r>
      <w:r>
        <w:rPr>
          <w:b w:val="0"/>
          <w:bCs w:val="0"/>
          <w:sz w:val="18"/>
          <w:szCs w:val="18"/>
        </w:rPr>
        <w:t>有较小影响；</w:t>
      </w:r>
      <w:r>
        <w:rPr>
          <w:rFonts w:hint="eastAsia"/>
          <w:b w:val="0"/>
          <w:bCs w:val="0"/>
          <w:sz w:val="18"/>
          <w:szCs w:val="18"/>
        </w:rPr>
        <w:t>“</w:t>
      </w:r>
      <w:r>
        <w:rPr>
          <w:b w:val="0"/>
          <w:bCs w:val="0"/>
          <w:sz w:val="18"/>
          <w:szCs w:val="18"/>
        </w:rPr>
        <w:t>空白</w:t>
      </w:r>
      <w:r>
        <w:rPr>
          <w:rFonts w:hint="eastAsia"/>
          <w:b w:val="0"/>
          <w:bCs w:val="0"/>
          <w:sz w:val="18"/>
          <w:szCs w:val="18"/>
        </w:rPr>
        <w:t>”</w:t>
      </w:r>
      <w:r>
        <w:rPr>
          <w:b w:val="0"/>
          <w:bCs w:val="0"/>
          <w:sz w:val="18"/>
          <w:szCs w:val="18"/>
        </w:rPr>
        <w:t>无显著影响；</w:t>
      </w:r>
      <w:r>
        <w:rPr>
          <w:rFonts w:hint="eastAsia"/>
          <w:b w:val="0"/>
          <w:bCs w:val="0"/>
          <w:sz w:val="18"/>
          <w:szCs w:val="18"/>
        </w:rPr>
        <w:t>“</w:t>
      </w:r>
      <w:r>
        <w:rPr>
          <w:b w:val="0"/>
          <w:bCs w:val="0"/>
          <w:sz w:val="18"/>
          <w:szCs w:val="18"/>
        </w:rPr>
        <w:t>+</w:t>
      </w:r>
      <w:r>
        <w:rPr>
          <w:rFonts w:hint="eastAsia"/>
          <w:b w:val="0"/>
          <w:bCs w:val="0"/>
          <w:sz w:val="18"/>
          <w:szCs w:val="18"/>
        </w:rPr>
        <w:t>”</w:t>
      </w:r>
      <w:r>
        <w:rPr>
          <w:b w:val="0"/>
          <w:bCs w:val="0"/>
          <w:sz w:val="18"/>
          <w:szCs w:val="18"/>
        </w:rPr>
        <w:t>正影响。</w:t>
      </w:r>
      <w:r>
        <w:rPr>
          <w:rFonts w:hint="eastAsia"/>
          <w:b w:val="0"/>
          <w:bCs w:val="0"/>
          <w:sz w:val="18"/>
          <w:szCs w:val="18"/>
        </w:rPr>
        <w:t>“</w:t>
      </w:r>
      <w:r>
        <w:rPr>
          <w:b w:val="0"/>
          <w:bCs w:val="0"/>
          <w:sz w:val="18"/>
          <w:szCs w:val="18"/>
        </w:rPr>
        <w:t>-</w:t>
      </w:r>
      <w:r>
        <w:rPr>
          <w:rFonts w:hint="eastAsia"/>
          <w:b w:val="0"/>
          <w:bCs w:val="0"/>
          <w:sz w:val="18"/>
          <w:szCs w:val="18"/>
        </w:rPr>
        <w:t>”</w:t>
      </w:r>
      <w:r>
        <w:rPr>
          <w:b w:val="0"/>
          <w:bCs w:val="0"/>
          <w:sz w:val="18"/>
          <w:szCs w:val="18"/>
        </w:rPr>
        <w:t>负影响。</w:t>
      </w:r>
    </w:p>
    <w:p w14:paraId="113556B6">
      <w:pPr>
        <w:pStyle w:val="28"/>
        <w:bidi w:val="0"/>
        <w:jc w:val="left"/>
        <w:rPr>
          <w:b/>
          <w:bCs/>
          <w:sz w:val="18"/>
          <w:szCs w:val="18"/>
        </w:rPr>
      </w:pPr>
    </w:p>
    <w:p w14:paraId="58ADC8A5">
      <w:pPr>
        <w:pStyle w:val="4"/>
        <w:bidi w:val="0"/>
      </w:pPr>
      <w:r>
        <w:t>1.3.2评价因子筛选</w:t>
      </w:r>
    </w:p>
    <w:p w14:paraId="70B059AB">
      <w:pPr>
        <w:ind w:firstLine="480"/>
        <w:rPr>
          <w:rFonts w:cs="Times New Roman"/>
        </w:rPr>
      </w:pPr>
      <w:r>
        <w:rPr>
          <w:rFonts w:cs="Times New Roman"/>
        </w:rPr>
        <w:t>环境影响因子的识别与评价因子的筛选结果见表1</w:t>
      </w:r>
      <w:r>
        <w:rPr>
          <w:rFonts w:hint="eastAsia" w:cs="Times New Roman"/>
          <w:lang w:val="en-US" w:eastAsia="zh-CN"/>
        </w:rPr>
        <w:t>.</w:t>
      </w:r>
      <w:r>
        <w:rPr>
          <w:rFonts w:cs="Times New Roman"/>
        </w:rPr>
        <w:t>3-2。</w:t>
      </w:r>
    </w:p>
    <w:p w14:paraId="3F140966">
      <w:pPr>
        <w:pStyle w:val="29"/>
        <w:bidi w:val="0"/>
      </w:pPr>
      <w:r>
        <w:rPr>
          <w:rFonts w:hint="eastAsia"/>
        </w:rPr>
        <w:t>表</w:t>
      </w:r>
      <w:r>
        <w:t>1</w:t>
      </w:r>
      <w:r>
        <w:rPr>
          <w:rFonts w:hint="eastAsia"/>
          <w:lang w:val="en-US" w:eastAsia="zh-CN"/>
        </w:rPr>
        <w:t>.</w:t>
      </w:r>
      <w:r>
        <w:t>3-2  环境影响评价因子筛选</w:t>
      </w:r>
    </w:p>
    <w:tbl>
      <w:tblPr>
        <w:tblStyle w:val="1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7"/>
        <w:gridCol w:w="765"/>
        <w:gridCol w:w="3042"/>
        <w:gridCol w:w="2366"/>
        <w:gridCol w:w="1915"/>
      </w:tblGrid>
      <w:tr w14:paraId="61D79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68" w:type="pct"/>
            <w:vMerge w:val="restart"/>
            <w:tcMar>
              <w:top w:w="57" w:type="dxa"/>
              <w:left w:w="28" w:type="dxa"/>
              <w:bottom w:w="57" w:type="dxa"/>
              <w:right w:w="28" w:type="dxa"/>
            </w:tcMar>
            <w:vAlign w:val="center"/>
          </w:tcPr>
          <w:p w14:paraId="286B883C">
            <w:pPr>
              <w:pStyle w:val="28"/>
              <w:bidi w:val="0"/>
            </w:pPr>
            <w:r>
              <w:t>环境要素</w:t>
            </w:r>
          </w:p>
        </w:tc>
        <w:tc>
          <w:tcPr>
            <w:tcW w:w="2085" w:type="pct"/>
            <w:gridSpan w:val="2"/>
            <w:vMerge w:val="restart"/>
            <w:tcMar>
              <w:top w:w="57" w:type="dxa"/>
              <w:left w:w="28" w:type="dxa"/>
              <w:bottom w:w="57" w:type="dxa"/>
              <w:right w:w="28" w:type="dxa"/>
            </w:tcMar>
            <w:vAlign w:val="center"/>
          </w:tcPr>
          <w:p w14:paraId="48B7AE63">
            <w:pPr>
              <w:pStyle w:val="28"/>
              <w:bidi w:val="0"/>
            </w:pPr>
            <w:r>
              <w:rPr>
                <w:rFonts w:hint="eastAsia"/>
              </w:rPr>
              <w:t>环境质量现状评价因子</w:t>
            </w:r>
          </w:p>
        </w:tc>
        <w:tc>
          <w:tcPr>
            <w:tcW w:w="2345" w:type="pct"/>
            <w:gridSpan w:val="2"/>
            <w:tcMar>
              <w:top w:w="57" w:type="dxa"/>
              <w:left w:w="28" w:type="dxa"/>
              <w:bottom w:w="57" w:type="dxa"/>
              <w:right w:w="28" w:type="dxa"/>
            </w:tcMar>
            <w:vAlign w:val="center"/>
          </w:tcPr>
          <w:p w14:paraId="10455F00">
            <w:pPr>
              <w:pStyle w:val="28"/>
              <w:bidi w:val="0"/>
            </w:pPr>
            <w:r>
              <w:rPr>
                <w:rFonts w:hint="eastAsia"/>
              </w:rPr>
              <w:t>环境影响预测与评价因子</w:t>
            </w:r>
          </w:p>
        </w:tc>
      </w:tr>
      <w:tr w14:paraId="10822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68" w:type="pct"/>
            <w:vMerge w:val="continue"/>
            <w:tcMar>
              <w:top w:w="57" w:type="dxa"/>
              <w:left w:w="28" w:type="dxa"/>
              <w:bottom w:w="57" w:type="dxa"/>
              <w:right w:w="28" w:type="dxa"/>
            </w:tcMar>
            <w:vAlign w:val="center"/>
          </w:tcPr>
          <w:p w14:paraId="0D071C87">
            <w:pPr>
              <w:pStyle w:val="28"/>
              <w:bidi w:val="0"/>
            </w:pPr>
          </w:p>
        </w:tc>
        <w:tc>
          <w:tcPr>
            <w:tcW w:w="2085" w:type="pct"/>
            <w:gridSpan w:val="2"/>
            <w:vMerge w:val="continue"/>
            <w:tcMar>
              <w:top w:w="57" w:type="dxa"/>
              <w:left w:w="28" w:type="dxa"/>
              <w:bottom w:w="57" w:type="dxa"/>
              <w:right w:w="28" w:type="dxa"/>
            </w:tcMar>
            <w:vAlign w:val="center"/>
          </w:tcPr>
          <w:p w14:paraId="7E435B35">
            <w:pPr>
              <w:pStyle w:val="28"/>
              <w:bidi w:val="0"/>
            </w:pPr>
          </w:p>
        </w:tc>
        <w:tc>
          <w:tcPr>
            <w:tcW w:w="1296" w:type="pct"/>
            <w:tcMar>
              <w:top w:w="57" w:type="dxa"/>
              <w:left w:w="28" w:type="dxa"/>
              <w:bottom w:w="57" w:type="dxa"/>
              <w:right w:w="28" w:type="dxa"/>
            </w:tcMar>
            <w:vAlign w:val="center"/>
          </w:tcPr>
          <w:p w14:paraId="5716BFDB">
            <w:pPr>
              <w:pStyle w:val="28"/>
              <w:bidi w:val="0"/>
            </w:pPr>
            <w:r>
              <w:t>施工期</w:t>
            </w:r>
          </w:p>
        </w:tc>
        <w:tc>
          <w:tcPr>
            <w:tcW w:w="1048" w:type="pct"/>
            <w:tcMar>
              <w:top w:w="57" w:type="dxa"/>
              <w:left w:w="28" w:type="dxa"/>
              <w:bottom w:w="57" w:type="dxa"/>
              <w:right w:w="28" w:type="dxa"/>
            </w:tcMar>
            <w:vAlign w:val="center"/>
          </w:tcPr>
          <w:p w14:paraId="38A12431">
            <w:pPr>
              <w:pStyle w:val="28"/>
              <w:bidi w:val="0"/>
            </w:pPr>
            <w:r>
              <w:t>营运期</w:t>
            </w:r>
          </w:p>
        </w:tc>
      </w:tr>
      <w:tr w14:paraId="3E0A1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68" w:type="pct"/>
            <w:vMerge w:val="restart"/>
            <w:tcMar>
              <w:top w:w="57" w:type="dxa"/>
              <w:left w:w="28" w:type="dxa"/>
              <w:bottom w:w="57" w:type="dxa"/>
              <w:right w:w="28" w:type="dxa"/>
            </w:tcMar>
            <w:vAlign w:val="center"/>
          </w:tcPr>
          <w:p w14:paraId="5EE55B34">
            <w:pPr>
              <w:pStyle w:val="28"/>
              <w:bidi w:val="0"/>
            </w:pPr>
            <w:r>
              <w:rPr>
                <w:rFonts w:hint="eastAsia"/>
              </w:rPr>
              <w:t>地表</w:t>
            </w:r>
            <w:r>
              <w:t>水环境</w:t>
            </w:r>
          </w:p>
        </w:tc>
        <w:tc>
          <w:tcPr>
            <w:tcW w:w="419" w:type="pct"/>
            <w:tcMar>
              <w:top w:w="57" w:type="dxa"/>
              <w:left w:w="28" w:type="dxa"/>
              <w:bottom w:w="57" w:type="dxa"/>
              <w:right w:w="28" w:type="dxa"/>
            </w:tcMar>
            <w:vAlign w:val="center"/>
          </w:tcPr>
          <w:p w14:paraId="7C1E3DEA">
            <w:pPr>
              <w:pStyle w:val="28"/>
              <w:bidi w:val="0"/>
            </w:pPr>
            <w:r>
              <w:rPr>
                <w:rFonts w:hint="eastAsia"/>
              </w:rPr>
              <w:t>水质</w:t>
            </w:r>
          </w:p>
        </w:tc>
        <w:tc>
          <w:tcPr>
            <w:tcW w:w="1665" w:type="pct"/>
            <w:tcMar>
              <w:top w:w="57" w:type="dxa"/>
              <w:left w:w="28" w:type="dxa"/>
              <w:bottom w:w="57" w:type="dxa"/>
              <w:right w:w="28" w:type="dxa"/>
            </w:tcMar>
            <w:vAlign w:val="center"/>
          </w:tcPr>
          <w:p w14:paraId="53D57EF3">
            <w:pPr>
              <w:pStyle w:val="28"/>
              <w:bidi w:val="0"/>
            </w:pPr>
            <w:r>
              <w:rPr>
                <w:rFonts w:hint="eastAsia"/>
              </w:rPr>
              <w:t>pH、COD、BOD、SS、氨氮、总磷、石油类</w:t>
            </w:r>
          </w:p>
        </w:tc>
        <w:tc>
          <w:tcPr>
            <w:tcW w:w="1296" w:type="pct"/>
            <w:tcMar>
              <w:top w:w="57" w:type="dxa"/>
              <w:left w:w="28" w:type="dxa"/>
              <w:bottom w:w="57" w:type="dxa"/>
              <w:right w:w="28" w:type="dxa"/>
            </w:tcMar>
            <w:vAlign w:val="center"/>
          </w:tcPr>
          <w:p w14:paraId="0CE4D549">
            <w:pPr>
              <w:pStyle w:val="28"/>
              <w:bidi w:val="0"/>
            </w:pPr>
            <w:r>
              <w:rPr>
                <w:rFonts w:hint="eastAsia"/>
              </w:rPr>
              <w:t>SS</w:t>
            </w:r>
          </w:p>
        </w:tc>
        <w:tc>
          <w:tcPr>
            <w:tcW w:w="1048" w:type="pct"/>
            <w:tcMar>
              <w:top w:w="57" w:type="dxa"/>
              <w:left w:w="28" w:type="dxa"/>
              <w:bottom w:w="57" w:type="dxa"/>
              <w:right w:w="28" w:type="dxa"/>
            </w:tcMar>
            <w:vAlign w:val="center"/>
          </w:tcPr>
          <w:p w14:paraId="0B3DB309">
            <w:pPr>
              <w:pStyle w:val="28"/>
              <w:bidi w:val="0"/>
            </w:pPr>
            <w:r>
              <w:rPr>
                <w:rFonts w:hint="eastAsia"/>
              </w:rPr>
              <w:t>/</w:t>
            </w:r>
          </w:p>
        </w:tc>
      </w:tr>
      <w:tr w14:paraId="40CBC5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68" w:type="pct"/>
            <w:vMerge w:val="continue"/>
            <w:tcMar>
              <w:top w:w="57" w:type="dxa"/>
              <w:left w:w="28" w:type="dxa"/>
              <w:bottom w:w="57" w:type="dxa"/>
              <w:right w:w="28" w:type="dxa"/>
            </w:tcMar>
            <w:vAlign w:val="center"/>
          </w:tcPr>
          <w:p w14:paraId="6CE07C35">
            <w:pPr>
              <w:pStyle w:val="28"/>
              <w:bidi w:val="0"/>
            </w:pPr>
          </w:p>
        </w:tc>
        <w:tc>
          <w:tcPr>
            <w:tcW w:w="419" w:type="pct"/>
            <w:tcMar>
              <w:top w:w="57" w:type="dxa"/>
              <w:left w:w="28" w:type="dxa"/>
              <w:bottom w:w="57" w:type="dxa"/>
              <w:right w:w="28" w:type="dxa"/>
            </w:tcMar>
            <w:vAlign w:val="center"/>
          </w:tcPr>
          <w:p w14:paraId="754C7187">
            <w:pPr>
              <w:pStyle w:val="28"/>
              <w:bidi w:val="0"/>
            </w:pPr>
            <w:r>
              <w:rPr>
                <w:rFonts w:hint="eastAsia"/>
              </w:rPr>
              <w:t>水文情势</w:t>
            </w:r>
          </w:p>
        </w:tc>
        <w:tc>
          <w:tcPr>
            <w:tcW w:w="1665" w:type="pct"/>
            <w:tcMar>
              <w:top w:w="57" w:type="dxa"/>
              <w:left w:w="28" w:type="dxa"/>
              <w:bottom w:w="57" w:type="dxa"/>
              <w:right w:w="28" w:type="dxa"/>
            </w:tcMar>
            <w:vAlign w:val="center"/>
          </w:tcPr>
          <w:p w14:paraId="4B109DC2">
            <w:pPr>
              <w:pStyle w:val="28"/>
              <w:bidi w:val="0"/>
            </w:pPr>
            <w:r>
              <w:rPr>
                <w:rFonts w:hint="eastAsia"/>
              </w:rPr>
              <w:t>水资源、开发利用现状、水文调查</w:t>
            </w:r>
          </w:p>
        </w:tc>
        <w:tc>
          <w:tcPr>
            <w:tcW w:w="1296" w:type="pct"/>
            <w:tcMar>
              <w:top w:w="57" w:type="dxa"/>
              <w:left w:w="28" w:type="dxa"/>
              <w:bottom w:w="57" w:type="dxa"/>
              <w:right w:w="28" w:type="dxa"/>
            </w:tcMar>
            <w:vAlign w:val="center"/>
          </w:tcPr>
          <w:p w14:paraId="011A266A">
            <w:pPr>
              <w:pStyle w:val="28"/>
              <w:bidi w:val="0"/>
            </w:pPr>
            <w:r>
              <w:rPr>
                <w:rFonts w:hint="eastAsia"/>
              </w:rPr>
              <w:t>/</w:t>
            </w:r>
          </w:p>
        </w:tc>
        <w:tc>
          <w:tcPr>
            <w:tcW w:w="1048" w:type="pct"/>
            <w:tcMar>
              <w:top w:w="57" w:type="dxa"/>
              <w:left w:w="28" w:type="dxa"/>
              <w:bottom w:w="57" w:type="dxa"/>
              <w:right w:w="28" w:type="dxa"/>
            </w:tcMar>
            <w:vAlign w:val="center"/>
          </w:tcPr>
          <w:p w14:paraId="68D57329">
            <w:pPr>
              <w:pStyle w:val="28"/>
              <w:bidi w:val="0"/>
            </w:pPr>
            <w:r>
              <w:rPr>
                <w:rFonts w:hint="eastAsia"/>
              </w:rPr>
              <w:t>水位、流速、流量</w:t>
            </w:r>
          </w:p>
        </w:tc>
      </w:tr>
      <w:tr w14:paraId="0CA35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68" w:type="pct"/>
            <w:tcMar>
              <w:top w:w="57" w:type="dxa"/>
              <w:left w:w="28" w:type="dxa"/>
              <w:bottom w:w="57" w:type="dxa"/>
              <w:right w:w="28" w:type="dxa"/>
            </w:tcMar>
            <w:vAlign w:val="center"/>
          </w:tcPr>
          <w:p w14:paraId="61508EB8">
            <w:pPr>
              <w:pStyle w:val="28"/>
              <w:bidi w:val="0"/>
            </w:pPr>
            <w:r>
              <w:t>生态环境</w:t>
            </w:r>
          </w:p>
        </w:tc>
        <w:tc>
          <w:tcPr>
            <w:tcW w:w="2085" w:type="pct"/>
            <w:gridSpan w:val="2"/>
            <w:tcMar>
              <w:top w:w="57" w:type="dxa"/>
              <w:left w:w="28" w:type="dxa"/>
              <w:bottom w:w="57" w:type="dxa"/>
              <w:right w:w="28" w:type="dxa"/>
            </w:tcMar>
            <w:vAlign w:val="center"/>
          </w:tcPr>
          <w:p w14:paraId="0CAE41BB">
            <w:pPr>
              <w:pStyle w:val="28"/>
              <w:bidi w:val="0"/>
            </w:pPr>
            <w:r>
              <w:rPr>
                <w:rFonts w:hint="eastAsia"/>
              </w:rPr>
              <w:t>水生生物、野生动植物、生态系统、重要物种、主要生态问题、生态保护目标、生态敏感区</w:t>
            </w:r>
          </w:p>
        </w:tc>
        <w:tc>
          <w:tcPr>
            <w:tcW w:w="1296" w:type="pct"/>
            <w:tcMar>
              <w:top w:w="57" w:type="dxa"/>
              <w:left w:w="28" w:type="dxa"/>
              <w:bottom w:w="57" w:type="dxa"/>
              <w:right w:w="28" w:type="dxa"/>
            </w:tcMar>
            <w:vAlign w:val="center"/>
          </w:tcPr>
          <w:p w14:paraId="324B3397">
            <w:pPr>
              <w:pStyle w:val="28"/>
              <w:bidi w:val="0"/>
            </w:pPr>
            <w:r>
              <w:rPr>
                <w:rFonts w:hint="eastAsia"/>
              </w:rPr>
              <w:t>景观、植被、动物、生态敏感区</w:t>
            </w:r>
          </w:p>
        </w:tc>
        <w:tc>
          <w:tcPr>
            <w:tcW w:w="1048" w:type="pct"/>
            <w:tcMar>
              <w:top w:w="57" w:type="dxa"/>
              <w:left w:w="28" w:type="dxa"/>
              <w:bottom w:w="57" w:type="dxa"/>
              <w:right w:w="28" w:type="dxa"/>
            </w:tcMar>
            <w:vAlign w:val="center"/>
          </w:tcPr>
          <w:p w14:paraId="263373AA">
            <w:pPr>
              <w:pStyle w:val="28"/>
              <w:bidi w:val="0"/>
            </w:pPr>
            <w:r>
              <w:rPr>
                <w:rFonts w:hint="eastAsia"/>
              </w:rPr>
              <w:t>/</w:t>
            </w:r>
          </w:p>
        </w:tc>
      </w:tr>
      <w:tr w14:paraId="017EE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68" w:type="pct"/>
            <w:tcMar>
              <w:top w:w="57" w:type="dxa"/>
              <w:left w:w="28" w:type="dxa"/>
              <w:bottom w:w="57" w:type="dxa"/>
              <w:right w:w="28" w:type="dxa"/>
            </w:tcMar>
            <w:vAlign w:val="center"/>
          </w:tcPr>
          <w:p w14:paraId="6A05710F">
            <w:pPr>
              <w:pStyle w:val="28"/>
              <w:bidi w:val="0"/>
            </w:pPr>
            <w:r>
              <w:t>环境空气</w:t>
            </w:r>
          </w:p>
        </w:tc>
        <w:tc>
          <w:tcPr>
            <w:tcW w:w="2085" w:type="pct"/>
            <w:gridSpan w:val="2"/>
            <w:tcMar>
              <w:top w:w="57" w:type="dxa"/>
              <w:left w:w="28" w:type="dxa"/>
              <w:bottom w:w="57" w:type="dxa"/>
              <w:right w:w="28" w:type="dxa"/>
            </w:tcMar>
            <w:vAlign w:val="center"/>
          </w:tcPr>
          <w:p w14:paraId="5BF6F8F9">
            <w:pPr>
              <w:pStyle w:val="28"/>
              <w:bidi w:val="0"/>
            </w:pPr>
            <w:r>
              <w:t>TSP、氨、硫化氢</w:t>
            </w:r>
          </w:p>
        </w:tc>
        <w:tc>
          <w:tcPr>
            <w:tcW w:w="1296" w:type="pct"/>
            <w:tcMar>
              <w:top w:w="57" w:type="dxa"/>
              <w:left w:w="28" w:type="dxa"/>
              <w:bottom w:w="57" w:type="dxa"/>
              <w:right w:w="28" w:type="dxa"/>
            </w:tcMar>
            <w:vAlign w:val="center"/>
          </w:tcPr>
          <w:p w14:paraId="4EEA883E">
            <w:pPr>
              <w:pStyle w:val="28"/>
              <w:bidi w:val="0"/>
            </w:pPr>
            <w:r>
              <w:rPr>
                <w:rFonts w:hint="eastAsia"/>
              </w:rPr>
              <w:t>颗粒物，</w:t>
            </w:r>
            <w:r>
              <w:t>氨、硫化氢</w:t>
            </w:r>
          </w:p>
        </w:tc>
        <w:tc>
          <w:tcPr>
            <w:tcW w:w="1048" w:type="pct"/>
            <w:tcMar>
              <w:top w:w="57" w:type="dxa"/>
              <w:left w:w="28" w:type="dxa"/>
              <w:bottom w:w="57" w:type="dxa"/>
              <w:right w:w="28" w:type="dxa"/>
            </w:tcMar>
            <w:vAlign w:val="center"/>
          </w:tcPr>
          <w:p w14:paraId="7C8C7841">
            <w:pPr>
              <w:pStyle w:val="28"/>
              <w:bidi w:val="0"/>
            </w:pPr>
            <w:r>
              <w:t>/</w:t>
            </w:r>
          </w:p>
        </w:tc>
      </w:tr>
      <w:tr w14:paraId="298386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68" w:type="pct"/>
            <w:tcMar>
              <w:top w:w="57" w:type="dxa"/>
              <w:left w:w="28" w:type="dxa"/>
              <w:bottom w:w="57" w:type="dxa"/>
              <w:right w:w="28" w:type="dxa"/>
            </w:tcMar>
            <w:vAlign w:val="center"/>
          </w:tcPr>
          <w:p w14:paraId="2C35325F">
            <w:pPr>
              <w:pStyle w:val="28"/>
              <w:bidi w:val="0"/>
            </w:pPr>
            <w:r>
              <w:t>声环境</w:t>
            </w:r>
          </w:p>
        </w:tc>
        <w:tc>
          <w:tcPr>
            <w:tcW w:w="2085" w:type="pct"/>
            <w:gridSpan w:val="2"/>
            <w:tcMar>
              <w:top w:w="57" w:type="dxa"/>
              <w:left w:w="28" w:type="dxa"/>
              <w:bottom w:w="57" w:type="dxa"/>
              <w:right w:w="28" w:type="dxa"/>
            </w:tcMar>
            <w:vAlign w:val="center"/>
          </w:tcPr>
          <w:p w14:paraId="37F42738">
            <w:pPr>
              <w:pStyle w:val="28"/>
              <w:bidi w:val="0"/>
            </w:pPr>
            <w:r>
              <w:t>等效连续A声级</w:t>
            </w:r>
          </w:p>
        </w:tc>
        <w:tc>
          <w:tcPr>
            <w:tcW w:w="1296" w:type="pct"/>
            <w:tcMar>
              <w:top w:w="57" w:type="dxa"/>
              <w:left w:w="28" w:type="dxa"/>
              <w:bottom w:w="57" w:type="dxa"/>
              <w:right w:w="28" w:type="dxa"/>
            </w:tcMar>
            <w:vAlign w:val="center"/>
          </w:tcPr>
          <w:p w14:paraId="178A8828">
            <w:pPr>
              <w:pStyle w:val="28"/>
              <w:bidi w:val="0"/>
            </w:pPr>
            <w:r>
              <w:t>等效连续A声级</w:t>
            </w:r>
          </w:p>
        </w:tc>
        <w:tc>
          <w:tcPr>
            <w:tcW w:w="1048" w:type="pct"/>
            <w:tcMar>
              <w:top w:w="57" w:type="dxa"/>
              <w:left w:w="28" w:type="dxa"/>
              <w:bottom w:w="57" w:type="dxa"/>
              <w:right w:w="28" w:type="dxa"/>
            </w:tcMar>
            <w:vAlign w:val="center"/>
          </w:tcPr>
          <w:p w14:paraId="42119B19">
            <w:pPr>
              <w:pStyle w:val="28"/>
              <w:bidi w:val="0"/>
            </w:pPr>
            <w:r>
              <w:t>等效连续A声级</w:t>
            </w:r>
          </w:p>
        </w:tc>
      </w:tr>
      <w:tr w14:paraId="17A7D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68" w:type="pct"/>
            <w:tcMar>
              <w:top w:w="57" w:type="dxa"/>
              <w:left w:w="28" w:type="dxa"/>
              <w:bottom w:w="57" w:type="dxa"/>
              <w:right w:w="28" w:type="dxa"/>
            </w:tcMar>
            <w:vAlign w:val="center"/>
          </w:tcPr>
          <w:p w14:paraId="4202AEA9">
            <w:pPr>
              <w:pStyle w:val="28"/>
              <w:bidi w:val="0"/>
            </w:pPr>
            <w:r>
              <w:t>固体废物</w:t>
            </w:r>
          </w:p>
        </w:tc>
        <w:tc>
          <w:tcPr>
            <w:tcW w:w="2085" w:type="pct"/>
            <w:gridSpan w:val="2"/>
            <w:tcMar>
              <w:top w:w="57" w:type="dxa"/>
              <w:left w:w="28" w:type="dxa"/>
              <w:bottom w:w="57" w:type="dxa"/>
              <w:right w:w="28" w:type="dxa"/>
            </w:tcMar>
            <w:vAlign w:val="center"/>
          </w:tcPr>
          <w:p w14:paraId="2C3A5405">
            <w:pPr>
              <w:pStyle w:val="28"/>
              <w:bidi w:val="0"/>
            </w:pPr>
            <w:r>
              <w:rPr>
                <w:rFonts w:hint="eastAsia"/>
              </w:rPr>
              <w:t>/</w:t>
            </w:r>
          </w:p>
        </w:tc>
        <w:tc>
          <w:tcPr>
            <w:tcW w:w="1296" w:type="pct"/>
            <w:tcMar>
              <w:top w:w="57" w:type="dxa"/>
              <w:left w:w="28" w:type="dxa"/>
              <w:bottom w:w="57" w:type="dxa"/>
              <w:right w:w="28" w:type="dxa"/>
            </w:tcMar>
            <w:vAlign w:val="center"/>
          </w:tcPr>
          <w:p w14:paraId="38713D8A">
            <w:pPr>
              <w:pStyle w:val="28"/>
              <w:bidi w:val="0"/>
            </w:pPr>
            <w:r>
              <w:t>施工人员生活垃圾、土石方（渠道底泥）、建筑垃圾、危险废物</w:t>
            </w:r>
          </w:p>
        </w:tc>
        <w:tc>
          <w:tcPr>
            <w:tcW w:w="1048" w:type="pct"/>
            <w:tcMar>
              <w:top w:w="57" w:type="dxa"/>
              <w:left w:w="28" w:type="dxa"/>
              <w:bottom w:w="57" w:type="dxa"/>
              <w:right w:w="28" w:type="dxa"/>
            </w:tcMar>
            <w:vAlign w:val="center"/>
          </w:tcPr>
          <w:p w14:paraId="7B56D16F">
            <w:pPr>
              <w:pStyle w:val="28"/>
              <w:bidi w:val="0"/>
            </w:pPr>
            <w:r>
              <w:t>/</w:t>
            </w:r>
          </w:p>
        </w:tc>
      </w:tr>
      <w:tr w14:paraId="7C0BA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68" w:type="pct"/>
            <w:tcMar>
              <w:top w:w="57" w:type="dxa"/>
              <w:left w:w="28" w:type="dxa"/>
              <w:bottom w:w="57" w:type="dxa"/>
              <w:right w:w="28" w:type="dxa"/>
            </w:tcMar>
            <w:vAlign w:val="center"/>
          </w:tcPr>
          <w:p w14:paraId="142A8836">
            <w:pPr>
              <w:pStyle w:val="28"/>
              <w:bidi w:val="0"/>
            </w:pPr>
            <w:r>
              <w:t>环境风险</w:t>
            </w:r>
          </w:p>
        </w:tc>
        <w:tc>
          <w:tcPr>
            <w:tcW w:w="2085" w:type="pct"/>
            <w:gridSpan w:val="2"/>
            <w:tcMar>
              <w:top w:w="57" w:type="dxa"/>
              <w:left w:w="28" w:type="dxa"/>
              <w:bottom w:w="57" w:type="dxa"/>
              <w:right w:w="28" w:type="dxa"/>
            </w:tcMar>
            <w:vAlign w:val="center"/>
          </w:tcPr>
          <w:p w14:paraId="5506DBCF">
            <w:pPr>
              <w:pStyle w:val="28"/>
              <w:bidi w:val="0"/>
            </w:pPr>
            <w:r>
              <w:rPr>
                <w:rFonts w:hint="eastAsia"/>
              </w:rPr>
              <w:t>/</w:t>
            </w:r>
          </w:p>
        </w:tc>
        <w:tc>
          <w:tcPr>
            <w:tcW w:w="1296" w:type="pct"/>
            <w:tcMar>
              <w:top w:w="57" w:type="dxa"/>
              <w:left w:w="28" w:type="dxa"/>
              <w:bottom w:w="57" w:type="dxa"/>
              <w:right w:w="28" w:type="dxa"/>
            </w:tcMar>
            <w:vAlign w:val="center"/>
          </w:tcPr>
          <w:p w14:paraId="72A69022">
            <w:pPr>
              <w:pStyle w:val="28"/>
              <w:bidi w:val="0"/>
            </w:pPr>
            <w:r>
              <w:t>运输车辆侧翻导致油料泄</w:t>
            </w:r>
            <w:r>
              <w:rPr>
                <w:rFonts w:hint="eastAsia"/>
              </w:rPr>
              <w:t>漏</w:t>
            </w:r>
            <w:r>
              <w:t>等</w:t>
            </w:r>
          </w:p>
        </w:tc>
        <w:tc>
          <w:tcPr>
            <w:tcW w:w="1048" w:type="pct"/>
            <w:tcMar>
              <w:top w:w="57" w:type="dxa"/>
              <w:left w:w="28" w:type="dxa"/>
              <w:bottom w:w="57" w:type="dxa"/>
              <w:right w:w="28" w:type="dxa"/>
            </w:tcMar>
            <w:vAlign w:val="center"/>
          </w:tcPr>
          <w:p w14:paraId="1A31355A">
            <w:pPr>
              <w:pStyle w:val="28"/>
              <w:bidi w:val="0"/>
            </w:pPr>
            <w:r>
              <w:t>/</w:t>
            </w:r>
          </w:p>
        </w:tc>
      </w:tr>
      <w:tr w14:paraId="3A045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568" w:type="pct"/>
            <w:tcMar>
              <w:top w:w="57" w:type="dxa"/>
              <w:left w:w="28" w:type="dxa"/>
              <w:bottom w:w="57" w:type="dxa"/>
              <w:right w:w="28" w:type="dxa"/>
            </w:tcMar>
            <w:vAlign w:val="center"/>
          </w:tcPr>
          <w:p w14:paraId="7B3C12BF">
            <w:pPr>
              <w:pStyle w:val="28"/>
              <w:bidi w:val="0"/>
            </w:pPr>
            <w:r>
              <w:rPr>
                <w:rFonts w:hint="eastAsia"/>
              </w:rPr>
              <w:t>土壤</w:t>
            </w:r>
          </w:p>
        </w:tc>
        <w:tc>
          <w:tcPr>
            <w:tcW w:w="2085" w:type="pct"/>
            <w:gridSpan w:val="2"/>
            <w:tcMar>
              <w:top w:w="57" w:type="dxa"/>
              <w:left w:w="28" w:type="dxa"/>
              <w:bottom w:w="57" w:type="dxa"/>
              <w:right w:w="28" w:type="dxa"/>
            </w:tcMar>
            <w:vAlign w:val="center"/>
          </w:tcPr>
          <w:p w14:paraId="56D3BA32">
            <w:pPr>
              <w:pStyle w:val="28"/>
              <w:bidi w:val="0"/>
            </w:pPr>
            <w:r>
              <w:rPr>
                <w:rFonts w:hint="eastAsia"/>
              </w:rPr>
              <w:t>pH、铅、铜、铬、锌、镍、镉、汞、砷、土壤含盐量、阳离子交换量、氧化还原电位、饱和导水率、土壤容重、孔隙度、地下水位埋深</w:t>
            </w:r>
          </w:p>
        </w:tc>
        <w:tc>
          <w:tcPr>
            <w:tcW w:w="1296" w:type="pct"/>
            <w:tcMar>
              <w:top w:w="57" w:type="dxa"/>
              <w:left w:w="28" w:type="dxa"/>
              <w:bottom w:w="57" w:type="dxa"/>
              <w:right w:w="28" w:type="dxa"/>
            </w:tcMar>
            <w:vAlign w:val="center"/>
          </w:tcPr>
          <w:p w14:paraId="393545C3">
            <w:pPr>
              <w:pStyle w:val="28"/>
              <w:bidi w:val="0"/>
            </w:pPr>
            <w:r>
              <w:rPr>
                <w:rFonts w:hint="eastAsia"/>
              </w:rPr>
              <w:t>/</w:t>
            </w:r>
          </w:p>
        </w:tc>
        <w:tc>
          <w:tcPr>
            <w:tcW w:w="1048" w:type="pct"/>
            <w:tcMar>
              <w:top w:w="57" w:type="dxa"/>
              <w:left w:w="28" w:type="dxa"/>
              <w:bottom w:w="57" w:type="dxa"/>
              <w:right w:w="28" w:type="dxa"/>
            </w:tcMar>
            <w:vAlign w:val="center"/>
          </w:tcPr>
          <w:p w14:paraId="4F87DA7A">
            <w:pPr>
              <w:pStyle w:val="28"/>
              <w:bidi w:val="0"/>
            </w:pPr>
            <w:r>
              <w:rPr>
                <w:rFonts w:hint="eastAsia"/>
              </w:rPr>
              <w:t>土壤盐化</w:t>
            </w:r>
          </w:p>
        </w:tc>
      </w:tr>
    </w:tbl>
    <w:p w14:paraId="64877912">
      <w:pPr>
        <w:spacing w:line="240" w:lineRule="auto"/>
        <w:rPr>
          <w:rFonts w:cs="Times New Roman"/>
          <w:color w:val="0000FF"/>
          <w:sz w:val="18"/>
          <w:szCs w:val="18"/>
        </w:rPr>
      </w:pPr>
    </w:p>
    <w:p w14:paraId="0E23FDDD">
      <w:pPr>
        <w:pStyle w:val="3"/>
        <w:bidi w:val="0"/>
      </w:pPr>
      <w:bookmarkStart w:id="18" w:name="_Toc11224"/>
      <w:r>
        <w:t>1.4 评价等级与评价范围</w:t>
      </w:r>
      <w:bookmarkEnd w:id="18"/>
    </w:p>
    <w:p w14:paraId="5C9AF4E8">
      <w:pPr>
        <w:pStyle w:val="4"/>
        <w:bidi w:val="0"/>
      </w:pPr>
      <w:r>
        <w:t>1.4.1 评价等级</w:t>
      </w:r>
    </w:p>
    <w:p w14:paraId="72599A9B">
      <w:pPr>
        <w:pStyle w:val="5"/>
        <w:bidi w:val="0"/>
      </w:pPr>
      <w:r>
        <w:t>1.4.1.1 大气环境影响评价等级</w:t>
      </w:r>
    </w:p>
    <w:p w14:paraId="65E9197B">
      <w:pPr>
        <w:bidi w:val="0"/>
      </w:pPr>
      <w:r>
        <w:t>项目施工期大气污染主要来自施工扬尘、运输车辆及机械产生的尾气、恶臭气体以及有机废气等，采取相应措施后对周边环境影响较小，且随着施工期结束污染即消除。</w:t>
      </w:r>
    </w:p>
    <w:p w14:paraId="4E7AE92F">
      <w:pPr>
        <w:bidi w:val="0"/>
      </w:pPr>
      <w:r>
        <w:t>项目为灌区项目，项目运营期闸室、泵站等设备均采用电能，正常情况下不产生大气污染物，各污染物占标率P</w:t>
      </w:r>
      <w:r>
        <w:rPr>
          <w:vertAlign w:val="subscript"/>
        </w:rPr>
        <w:t>i</w:t>
      </w:r>
      <w:r>
        <w:t>均为0。</w:t>
      </w:r>
    </w:p>
    <w:p w14:paraId="231BC40E">
      <w:pPr>
        <w:bidi w:val="0"/>
      </w:pPr>
      <w:r>
        <w:t>污染物的最大地面浓度占标率P</w:t>
      </w:r>
      <w:r>
        <w:rPr>
          <w:vertAlign w:val="subscript"/>
        </w:rPr>
        <w:t>i</w:t>
      </w:r>
      <w:r>
        <w:t>定义为：</w:t>
      </w:r>
    </w:p>
    <w:p w14:paraId="33ACEA96">
      <w:pPr>
        <w:jc w:val="center"/>
        <w:rPr>
          <w:rFonts w:cs="Times New Roman"/>
        </w:rPr>
      </w:pPr>
      <w:r>
        <w:rPr>
          <w:rFonts w:cs="Times New Roman"/>
        </w:rPr>
        <w:object>
          <v:shape id="_x0000_i1025" o:spt="75" type="#_x0000_t75" style="height:36.75pt;width:84.8pt;" o:ole="t" filled="f" o:preferrelative="t" stroked="f" coordsize="21600,21600">
            <v:path/>
            <v:fill on="f" focussize="0,0"/>
            <v:stroke on="f" joinstyle="miter"/>
            <v:imagedata r:id="rId58" o:title=""/>
            <o:lock v:ext="edit" aspectratio="t"/>
            <w10:wrap type="none"/>
            <w10:anchorlock/>
          </v:shape>
          <o:OLEObject Type="Embed" ProgID="Equation.DSMT4" ShapeID="_x0000_i1025" DrawAspect="Content" ObjectID="_1468075725" r:id="rId57">
            <o:LockedField>false</o:LockedField>
          </o:OLEObject>
        </w:object>
      </w:r>
    </w:p>
    <w:p w14:paraId="122896F6">
      <w:pPr>
        <w:bidi w:val="0"/>
      </w:pPr>
      <w:r>
        <w:t>式中：P</w:t>
      </w:r>
      <w:r>
        <w:rPr>
          <w:vertAlign w:val="subscript"/>
        </w:rPr>
        <w:t>i</w:t>
      </w:r>
      <w:r>
        <w:t xml:space="preserve"> — 第i个污染物的最大地面浓度占标率，%；</w:t>
      </w:r>
    </w:p>
    <w:p w14:paraId="1A5D2934">
      <w:pPr>
        <w:bidi w:val="0"/>
        <w:ind w:firstLine="1200" w:firstLineChars="500"/>
      </w:pPr>
      <w:r>
        <w:t>C</w:t>
      </w:r>
      <w:r>
        <w:rPr>
          <w:vertAlign w:val="subscript"/>
        </w:rPr>
        <w:t>i</w:t>
      </w:r>
      <w:r>
        <w:t xml:space="preserve"> — 采用估算模式计算出的第i个污染物的最大地面浓度，mg/m</w:t>
      </w:r>
      <w:r>
        <w:rPr>
          <w:vertAlign w:val="superscript"/>
        </w:rPr>
        <w:t>3</w:t>
      </w:r>
      <w:r>
        <w:t>；</w:t>
      </w:r>
    </w:p>
    <w:p w14:paraId="309ABEBF">
      <w:pPr>
        <w:bidi w:val="0"/>
        <w:ind w:firstLine="1200" w:firstLineChars="500"/>
      </w:pPr>
      <w:r>
        <w:t>C</w:t>
      </w:r>
      <w:r>
        <w:rPr>
          <w:vertAlign w:val="subscript"/>
        </w:rPr>
        <w:t>0i</w:t>
      </w:r>
      <w:r>
        <w:t xml:space="preserve"> — 第i个污染物的环境空气质量标准，mg/m</w:t>
      </w:r>
      <w:r>
        <w:rPr>
          <w:vertAlign w:val="superscript"/>
        </w:rPr>
        <w:t>3</w:t>
      </w:r>
      <w:r>
        <w:t>。</w:t>
      </w:r>
    </w:p>
    <w:p w14:paraId="38D4C130">
      <w:pPr>
        <w:pStyle w:val="29"/>
        <w:bidi w:val="0"/>
      </w:pPr>
      <w:bookmarkStart w:id="19" w:name="_Ref532762772"/>
      <w:r>
        <w:t>表1</w:t>
      </w:r>
      <w:bookmarkEnd w:id="19"/>
      <w:r>
        <w:rPr>
          <w:rFonts w:hint="eastAsia"/>
          <w:lang w:val="en-US" w:eastAsia="zh-CN"/>
        </w:rPr>
        <w:t>.</w:t>
      </w:r>
      <w:r>
        <w:t>4-1  环境空气影响评价等级表</w:t>
      </w:r>
    </w:p>
    <w:tbl>
      <w:tblPr>
        <w:tblStyle w:val="1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6"/>
        <w:gridCol w:w="7199"/>
      </w:tblGrid>
      <w:tr w14:paraId="6EAE7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23" w:type="pct"/>
            <w:vAlign w:val="center"/>
          </w:tcPr>
          <w:p w14:paraId="2A81F220">
            <w:pPr>
              <w:pStyle w:val="28"/>
              <w:bidi w:val="0"/>
            </w:pPr>
            <w:r>
              <w:t>评价工作等级</w:t>
            </w:r>
          </w:p>
        </w:tc>
        <w:tc>
          <w:tcPr>
            <w:tcW w:w="3876" w:type="pct"/>
            <w:vAlign w:val="center"/>
          </w:tcPr>
          <w:p w14:paraId="56D57F54">
            <w:pPr>
              <w:pStyle w:val="28"/>
              <w:bidi w:val="0"/>
            </w:pPr>
            <w:r>
              <w:t>评价工作分级判据</w:t>
            </w:r>
          </w:p>
        </w:tc>
      </w:tr>
      <w:tr w14:paraId="3E76A1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23" w:type="pct"/>
            <w:vAlign w:val="center"/>
          </w:tcPr>
          <w:p w14:paraId="19C9D2DF">
            <w:pPr>
              <w:pStyle w:val="28"/>
              <w:bidi w:val="0"/>
            </w:pPr>
            <w:r>
              <w:t>一级</w:t>
            </w:r>
          </w:p>
        </w:tc>
        <w:tc>
          <w:tcPr>
            <w:tcW w:w="3876" w:type="pct"/>
            <w:vAlign w:val="center"/>
          </w:tcPr>
          <w:p w14:paraId="2ED2D8DA">
            <w:pPr>
              <w:pStyle w:val="28"/>
              <w:bidi w:val="0"/>
            </w:pPr>
            <w:r>
              <w:t>Pmax≥10%</w:t>
            </w:r>
          </w:p>
        </w:tc>
      </w:tr>
      <w:tr w14:paraId="7321A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23" w:type="pct"/>
            <w:vAlign w:val="center"/>
          </w:tcPr>
          <w:p w14:paraId="16D85281">
            <w:pPr>
              <w:pStyle w:val="28"/>
              <w:bidi w:val="0"/>
            </w:pPr>
            <w:r>
              <w:t>二级</w:t>
            </w:r>
          </w:p>
        </w:tc>
        <w:tc>
          <w:tcPr>
            <w:tcW w:w="3876" w:type="pct"/>
            <w:vAlign w:val="center"/>
          </w:tcPr>
          <w:p w14:paraId="73E2E692">
            <w:pPr>
              <w:pStyle w:val="28"/>
              <w:bidi w:val="0"/>
            </w:pPr>
            <w:r>
              <w:t>1%≤Pmax＜10%</w:t>
            </w:r>
          </w:p>
        </w:tc>
      </w:tr>
      <w:tr w14:paraId="00E66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23" w:type="pct"/>
            <w:vAlign w:val="center"/>
          </w:tcPr>
          <w:p w14:paraId="5BB779B9">
            <w:pPr>
              <w:pStyle w:val="28"/>
              <w:bidi w:val="0"/>
            </w:pPr>
            <w:r>
              <w:t>三级</w:t>
            </w:r>
          </w:p>
        </w:tc>
        <w:tc>
          <w:tcPr>
            <w:tcW w:w="3876" w:type="pct"/>
            <w:vAlign w:val="center"/>
          </w:tcPr>
          <w:p w14:paraId="5BF332CA">
            <w:pPr>
              <w:pStyle w:val="28"/>
              <w:bidi w:val="0"/>
            </w:pPr>
            <w:r>
              <w:t>Pmax＜1%</w:t>
            </w:r>
          </w:p>
        </w:tc>
      </w:tr>
    </w:tbl>
    <w:p w14:paraId="049D38C1">
      <w:pPr>
        <w:bidi w:val="0"/>
      </w:pPr>
      <w:r>
        <w:t xml:space="preserve">按照《环境影响评价技术导则 </w:t>
      </w:r>
      <w:r>
        <w:rPr>
          <w:rFonts w:hint="eastAsia"/>
          <w:lang w:val="en-US" w:eastAsia="zh-CN"/>
        </w:rPr>
        <w:t xml:space="preserve"> </w:t>
      </w:r>
      <w:r>
        <w:t>大气环境》（HJ2.2-2018），本工程环境空气评价等级确定为三级。</w:t>
      </w:r>
    </w:p>
    <w:p w14:paraId="6E5A3F38">
      <w:pPr>
        <w:pStyle w:val="5"/>
        <w:bidi w:val="0"/>
      </w:pPr>
      <w:r>
        <w:t>1.4.1.2 水环境影响评价等级</w:t>
      </w:r>
    </w:p>
    <w:p w14:paraId="3E45593A">
      <w:pPr>
        <w:bidi w:val="0"/>
      </w:pPr>
      <w:r>
        <w:t>本工程属于灌区续建配套工程，地表水环境影响型为水污染影响和水文要素影响复合影响型。</w:t>
      </w:r>
    </w:p>
    <w:p w14:paraId="0BDD67C5">
      <w:pPr>
        <w:bidi w:val="0"/>
      </w:pPr>
      <w:r>
        <w:t>水污染影响型：根据《环境影响评价技术导则 地表水环境》（HJ2.3-2018），地表水评价工作等级的划分是由建设项目的废水排放方式、排放量和水污染物当量数进行确定的。</w:t>
      </w:r>
    </w:p>
    <w:p w14:paraId="6DAA9B5C">
      <w:pPr>
        <w:pStyle w:val="29"/>
        <w:bidi w:val="0"/>
      </w:pPr>
      <w:r>
        <w:t>表1</w:t>
      </w:r>
      <w:r>
        <w:rPr>
          <w:rFonts w:hint="eastAsia"/>
          <w:lang w:val="en-US" w:eastAsia="zh-CN"/>
        </w:rPr>
        <w:t>.</w:t>
      </w:r>
      <w:r>
        <w:t>4-2  水污染影响型建设项目地表水评价级别判定一览表</w:t>
      </w:r>
    </w:p>
    <w:tbl>
      <w:tblPr>
        <w:tblStyle w:val="1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674"/>
        <w:gridCol w:w="2011"/>
        <w:gridCol w:w="5394"/>
      </w:tblGrid>
      <w:tr w14:paraId="000FC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922" w:type="pct"/>
            <w:vMerge w:val="restart"/>
            <w:vAlign w:val="center"/>
          </w:tcPr>
          <w:p w14:paraId="5B8DA70D">
            <w:pPr>
              <w:pStyle w:val="28"/>
              <w:bidi w:val="0"/>
            </w:pPr>
            <w:r>
              <w:t>评价等级</w:t>
            </w:r>
          </w:p>
        </w:tc>
        <w:tc>
          <w:tcPr>
            <w:tcW w:w="4077" w:type="pct"/>
            <w:gridSpan w:val="2"/>
            <w:vAlign w:val="center"/>
          </w:tcPr>
          <w:p w14:paraId="73776D94">
            <w:pPr>
              <w:pStyle w:val="28"/>
              <w:bidi w:val="0"/>
            </w:pPr>
            <w:r>
              <w:t>判定依据</w:t>
            </w:r>
          </w:p>
        </w:tc>
      </w:tr>
      <w:tr w14:paraId="59B6B9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22" w:type="pct"/>
            <w:vMerge w:val="continue"/>
            <w:vAlign w:val="center"/>
          </w:tcPr>
          <w:p w14:paraId="745DF02F">
            <w:pPr>
              <w:pStyle w:val="28"/>
              <w:bidi w:val="0"/>
            </w:pPr>
          </w:p>
        </w:tc>
        <w:tc>
          <w:tcPr>
            <w:tcW w:w="1107" w:type="pct"/>
            <w:vAlign w:val="center"/>
          </w:tcPr>
          <w:p w14:paraId="24EB3D5C">
            <w:pPr>
              <w:pStyle w:val="28"/>
              <w:bidi w:val="0"/>
            </w:pPr>
            <w:r>
              <w:t>排放方式</w:t>
            </w:r>
          </w:p>
        </w:tc>
        <w:tc>
          <w:tcPr>
            <w:tcW w:w="2969" w:type="pct"/>
            <w:vAlign w:val="center"/>
          </w:tcPr>
          <w:p w14:paraId="5E1E6B0E">
            <w:pPr>
              <w:pStyle w:val="28"/>
              <w:bidi w:val="0"/>
            </w:pPr>
            <w:r>
              <w:t>废水排放量Q/（m3/d）；水污染当量数W/（无量纲）</w:t>
            </w:r>
          </w:p>
        </w:tc>
      </w:tr>
      <w:tr w14:paraId="36C2C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22" w:type="pct"/>
            <w:vAlign w:val="center"/>
          </w:tcPr>
          <w:p w14:paraId="5CE1E806">
            <w:pPr>
              <w:pStyle w:val="28"/>
              <w:bidi w:val="0"/>
            </w:pPr>
            <w:r>
              <w:t>一级</w:t>
            </w:r>
          </w:p>
        </w:tc>
        <w:tc>
          <w:tcPr>
            <w:tcW w:w="1107" w:type="pct"/>
            <w:vAlign w:val="center"/>
          </w:tcPr>
          <w:p w14:paraId="2E7FBA6F">
            <w:pPr>
              <w:pStyle w:val="28"/>
              <w:bidi w:val="0"/>
            </w:pPr>
            <w:r>
              <w:t>直接排放</w:t>
            </w:r>
          </w:p>
        </w:tc>
        <w:tc>
          <w:tcPr>
            <w:tcW w:w="2969" w:type="pct"/>
            <w:vAlign w:val="center"/>
          </w:tcPr>
          <w:p w14:paraId="6E7D5DD3">
            <w:pPr>
              <w:pStyle w:val="28"/>
              <w:bidi w:val="0"/>
            </w:pPr>
            <w:r>
              <w:t>Q≥20000或W≥600000</w:t>
            </w:r>
          </w:p>
        </w:tc>
      </w:tr>
      <w:tr w14:paraId="3CF0EBDA">
        <w:tblPrEx>
          <w:tblCellMar>
            <w:top w:w="0" w:type="dxa"/>
            <w:left w:w="0" w:type="dxa"/>
            <w:bottom w:w="0" w:type="dxa"/>
            <w:right w:w="0" w:type="dxa"/>
          </w:tblCellMar>
        </w:tblPrEx>
        <w:trPr>
          <w:trHeight w:val="340" w:hRule="atLeast"/>
          <w:jc w:val="center"/>
        </w:trPr>
        <w:tc>
          <w:tcPr>
            <w:tcW w:w="922" w:type="pct"/>
            <w:vAlign w:val="center"/>
          </w:tcPr>
          <w:p w14:paraId="143BBD38">
            <w:pPr>
              <w:pStyle w:val="28"/>
              <w:bidi w:val="0"/>
            </w:pPr>
            <w:r>
              <w:t>二级</w:t>
            </w:r>
          </w:p>
        </w:tc>
        <w:tc>
          <w:tcPr>
            <w:tcW w:w="1107" w:type="pct"/>
            <w:vAlign w:val="center"/>
          </w:tcPr>
          <w:p w14:paraId="05FCFF78">
            <w:pPr>
              <w:pStyle w:val="28"/>
              <w:bidi w:val="0"/>
            </w:pPr>
            <w:r>
              <w:t>直接排放</w:t>
            </w:r>
          </w:p>
        </w:tc>
        <w:tc>
          <w:tcPr>
            <w:tcW w:w="2969" w:type="pct"/>
            <w:vAlign w:val="center"/>
          </w:tcPr>
          <w:p w14:paraId="36CF761A">
            <w:pPr>
              <w:pStyle w:val="28"/>
              <w:bidi w:val="0"/>
            </w:pPr>
            <w:r>
              <w:t>其他</w:t>
            </w:r>
          </w:p>
        </w:tc>
      </w:tr>
      <w:tr w14:paraId="72DD4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22" w:type="pct"/>
            <w:vAlign w:val="center"/>
          </w:tcPr>
          <w:p w14:paraId="78FBE25D">
            <w:pPr>
              <w:pStyle w:val="28"/>
              <w:bidi w:val="0"/>
            </w:pPr>
            <w:r>
              <w:t>三级A</w:t>
            </w:r>
          </w:p>
        </w:tc>
        <w:tc>
          <w:tcPr>
            <w:tcW w:w="1107" w:type="pct"/>
            <w:vAlign w:val="center"/>
          </w:tcPr>
          <w:p w14:paraId="5B120BA9">
            <w:pPr>
              <w:pStyle w:val="28"/>
              <w:bidi w:val="0"/>
            </w:pPr>
            <w:r>
              <w:t>直接排放</w:t>
            </w:r>
          </w:p>
        </w:tc>
        <w:tc>
          <w:tcPr>
            <w:tcW w:w="2969" w:type="pct"/>
            <w:vAlign w:val="center"/>
          </w:tcPr>
          <w:p w14:paraId="775D149B">
            <w:pPr>
              <w:pStyle w:val="28"/>
              <w:bidi w:val="0"/>
            </w:pPr>
            <w:r>
              <w:t>Q&lt;200且W&lt;6000</w:t>
            </w:r>
          </w:p>
        </w:tc>
      </w:tr>
      <w:tr w14:paraId="7AE51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22" w:type="pct"/>
            <w:vAlign w:val="center"/>
          </w:tcPr>
          <w:p w14:paraId="04FB9A5E">
            <w:pPr>
              <w:pStyle w:val="28"/>
              <w:bidi w:val="0"/>
            </w:pPr>
            <w:r>
              <w:t>三级B</w:t>
            </w:r>
          </w:p>
        </w:tc>
        <w:tc>
          <w:tcPr>
            <w:tcW w:w="1107" w:type="pct"/>
            <w:vAlign w:val="center"/>
          </w:tcPr>
          <w:p w14:paraId="07CF22C3">
            <w:pPr>
              <w:pStyle w:val="28"/>
              <w:bidi w:val="0"/>
            </w:pPr>
            <w:r>
              <w:t>间接排放</w:t>
            </w:r>
          </w:p>
        </w:tc>
        <w:tc>
          <w:tcPr>
            <w:tcW w:w="2969" w:type="pct"/>
            <w:vAlign w:val="center"/>
          </w:tcPr>
          <w:p w14:paraId="4FCF39B9">
            <w:pPr>
              <w:pStyle w:val="28"/>
              <w:bidi w:val="0"/>
            </w:pPr>
            <w:r>
              <w:t>--</w:t>
            </w:r>
          </w:p>
        </w:tc>
      </w:tr>
    </w:tbl>
    <w:p w14:paraId="5BCBF81B">
      <w:pPr>
        <w:bidi w:val="0"/>
      </w:pPr>
      <w:r>
        <w:t>本工程施工期混凝土搅拌和养护废水、基坑废水、车辆冲洗废水</w:t>
      </w:r>
      <w:r>
        <w:rPr>
          <w:rFonts w:hint="eastAsia"/>
        </w:rPr>
        <w:t>经沉淀池</w:t>
      </w:r>
      <w:r>
        <w:t>处理后回用，生活污水依托</w:t>
      </w:r>
      <w:r>
        <w:rPr>
          <w:rFonts w:hint="eastAsia"/>
        </w:rPr>
        <w:t>周边</w:t>
      </w:r>
      <w:r>
        <w:t>村庄或者经一体化污水处理设施处理</w:t>
      </w:r>
      <w:r>
        <w:rPr>
          <w:rFonts w:hint="eastAsia"/>
        </w:rPr>
        <w:t>达到和《农田灌溉水质标准》（GB5084-2021）中“水田作物”标准用于农田灌溉</w:t>
      </w:r>
      <w:r>
        <w:t>；综上本项目地表水环境（水污染影响型）评价等级为三级B。</w:t>
      </w:r>
    </w:p>
    <w:p w14:paraId="451F1330">
      <w:pPr>
        <w:bidi w:val="0"/>
      </w:pPr>
      <w:r>
        <w:t>水文要素影响：根据《环境影响评价技术导则 地表水环境》（HJ 2.3-2018）可知水文要素影响型建设项目评价等级划分根据水温、径流与受影响地表水域等三类水文要素的影响程度进行判定：</w:t>
      </w:r>
    </w:p>
    <w:p w14:paraId="6D5E63E1">
      <w:pPr>
        <w:pStyle w:val="29"/>
        <w:bidi w:val="0"/>
      </w:pPr>
      <w:r>
        <w:t>表1</w:t>
      </w:r>
      <w:r>
        <w:rPr>
          <w:rFonts w:hint="eastAsia"/>
          <w:lang w:val="en-US" w:eastAsia="zh-CN"/>
        </w:rPr>
        <w:t>.</w:t>
      </w:r>
      <w:r>
        <w:t>4-3  水文要素影响型建设项目地表水评价级别判定一览表</w:t>
      </w:r>
    </w:p>
    <w:tbl>
      <w:tblPr>
        <w:tblStyle w:val="1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5"/>
        <w:gridCol w:w="1193"/>
        <w:gridCol w:w="1085"/>
        <w:gridCol w:w="966"/>
        <w:gridCol w:w="1550"/>
        <w:gridCol w:w="1550"/>
        <w:gridCol w:w="1916"/>
      </w:tblGrid>
      <w:tr w14:paraId="08C5B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0" w:type="pct"/>
            <w:vMerge w:val="restart"/>
            <w:vAlign w:val="center"/>
          </w:tcPr>
          <w:p w14:paraId="18EEA92A">
            <w:pPr>
              <w:pStyle w:val="28"/>
              <w:bidi w:val="0"/>
            </w:pPr>
            <w:r>
              <w:t>评价等级</w:t>
            </w:r>
          </w:p>
        </w:tc>
        <w:tc>
          <w:tcPr>
            <w:tcW w:w="643" w:type="pct"/>
            <w:vAlign w:val="center"/>
          </w:tcPr>
          <w:p w14:paraId="358A8476">
            <w:pPr>
              <w:pStyle w:val="28"/>
              <w:bidi w:val="0"/>
            </w:pPr>
            <w:r>
              <w:t>水温</w:t>
            </w:r>
          </w:p>
        </w:tc>
        <w:tc>
          <w:tcPr>
            <w:tcW w:w="1231" w:type="pct"/>
            <w:gridSpan w:val="2"/>
            <w:vAlign w:val="center"/>
          </w:tcPr>
          <w:p w14:paraId="1C3189EF">
            <w:pPr>
              <w:pStyle w:val="28"/>
              <w:bidi w:val="0"/>
            </w:pPr>
            <w:r>
              <w:t>径流</w:t>
            </w:r>
          </w:p>
        </w:tc>
        <w:tc>
          <w:tcPr>
            <w:tcW w:w="2504" w:type="pct"/>
            <w:gridSpan w:val="3"/>
            <w:vAlign w:val="center"/>
          </w:tcPr>
          <w:p w14:paraId="0479495D">
            <w:pPr>
              <w:pStyle w:val="28"/>
              <w:bidi w:val="0"/>
            </w:pPr>
            <w:r>
              <w:t>受影响地表水域</w:t>
            </w:r>
          </w:p>
        </w:tc>
      </w:tr>
      <w:tr w14:paraId="0A740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0" w:type="pct"/>
            <w:vMerge w:val="continue"/>
            <w:vAlign w:val="center"/>
          </w:tcPr>
          <w:p w14:paraId="797E725A">
            <w:pPr>
              <w:pStyle w:val="28"/>
              <w:bidi w:val="0"/>
            </w:pPr>
          </w:p>
        </w:tc>
        <w:tc>
          <w:tcPr>
            <w:tcW w:w="643" w:type="pct"/>
            <w:vMerge w:val="restart"/>
            <w:vAlign w:val="center"/>
          </w:tcPr>
          <w:p w14:paraId="50C553D0">
            <w:pPr>
              <w:pStyle w:val="28"/>
              <w:bidi w:val="0"/>
            </w:pPr>
            <w:r>
              <w:t>年径流量与总库容百分比α/%</w:t>
            </w:r>
          </w:p>
        </w:tc>
        <w:tc>
          <w:tcPr>
            <w:tcW w:w="605" w:type="pct"/>
            <w:vMerge w:val="restart"/>
            <w:vAlign w:val="center"/>
          </w:tcPr>
          <w:p w14:paraId="6D1A2D86">
            <w:pPr>
              <w:pStyle w:val="28"/>
              <w:bidi w:val="0"/>
            </w:pPr>
            <w:r>
              <w:t>兴利库容与年径取水量占流量百分比β/%</w:t>
            </w:r>
          </w:p>
        </w:tc>
        <w:tc>
          <w:tcPr>
            <w:tcW w:w="626" w:type="pct"/>
            <w:vMerge w:val="restart"/>
            <w:vAlign w:val="center"/>
          </w:tcPr>
          <w:p w14:paraId="1EEEFD00">
            <w:pPr>
              <w:pStyle w:val="28"/>
              <w:bidi w:val="0"/>
            </w:pPr>
            <w:r>
              <w:t>取水量占多年平均径流量百分比Γ/%</w:t>
            </w:r>
          </w:p>
        </w:tc>
        <w:tc>
          <w:tcPr>
            <w:tcW w:w="1329" w:type="pct"/>
            <w:gridSpan w:val="2"/>
            <w:vAlign w:val="center"/>
          </w:tcPr>
          <w:p w14:paraId="0425F64D">
            <w:pPr>
              <w:pStyle w:val="28"/>
              <w:bidi w:val="0"/>
            </w:pPr>
            <w:r>
              <w:t>工程垂直投影面积及外扩范围A1/km2；工程扰动水底面积A2/km2；过水断面宽度占用比例或占用水域面积比例R/%</w:t>
            </w:r>
          </w:p>
        </w:tc>
        <w:tc>
          <w:tcPr>
            <w:tcW w:w="1175" w:type="pct"/>
            <w:vAlign w:val="center"/>
          </w:tcPr>
          <w:p w14:paraId="1FBD69E3">
            <w:pPr>
              <w:pStyle w:val="28"/>
              <w:bidi w:val="0"/>
            </w:pPr>
            <w:r>
              <w:t>工程垂直投影面积及外扩范围A1/km</w:t>
            </w:r>
          </w:p>
          <w:p w14:paraId="2D739B82">
            <w:pPr>
              <w:pStyle w:val="28"/>
              <w:bidi w:val="0"/>
            </w:pPr>
            <w:r>
              <w:t>2；工程扰动水底面积A2/km2</w:t>
            </w:r>
          </w:p>
        </w:tc>
      </w:tr>
      <w:tr w14:paraId="40BE9D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0" w:type="pct"/>
            <w:vMerge w:val="continue"/>
            <w:vAlign w:val="center"/>
          </w:tcPr>
          <w:p w14:paraId="601DA52B">
            <w:pPr>
              <w:pStyle w:val="28"/>
              <w:bidi w:val="0"/>
            </w:pPr>
          </w:p>
        </w:tc>
        <w:tc>
          <w:tcPr>
            <w:tcW w:w="643" w:type="pct"/>
            <w:vMerge w:val="continue"/>
            <w:vAlign w:val="center"/>
          </w:tcPr>
          <w:p w14:paraId="024FCE9E">
            <w:pPr>
              <w:pStyle w:val="28"/>
              <w:bidi w:val="0"/>
            </w:pPr>
          </w:p>
        </w:tc>
        <w:tc>
          <w:tcPr>
            <w:tcW w:w="605" w:type="pct"/>
            <w:vMerge w:val="continue"/>
            <w:vAlign w:val="center"/>
          </w:tcPr>
          <w:p w14:paraId="6A3B85F7">
            <w:pPr>
              <w:pStyle w:val="28"/>
              <w:bidi w:val="0"/>
            </w:pPr>
          </w:p>
        </w:tc>
        <w:tc>
          <w:tcPr>
            <w:tcW w:w="626" w:type="pct"/>
            <w:vMerge w:val="continue"/>
            <w:vAlign w:val="center"/>
          </w:tcPr>
          <w:p w14:paraId="169EC634">
            <w:pPr>
              <w:pStyle w:val="28"/>
              <w:bidi w:val="0"/>
            </w:pPr>
          </w:p>
        </w:tc>
        <w:tc>
          <w:tcPr>
            <w:tcW w:w="833" w:type="pct"/>
            <w:vAlign w:val="center"/>
          </w:tcPr>
          <w:p w14:paraId="1E635F0F">
            <w:pPr>
              <w:pStyle w:val="28"/>
              <w:bidi w:val="0"/>
            </w:pPr>
            <w:r>
              <w:t>河流</w:t>
            </w:r>
          </w:p>
        </w:tc>
        <w:tc>
          <w:tcPr>
            <w:tcW w:w="495" w:type="pct"/>
            <w:vAlign w:val="center"/>
          </w:tcPr>
          <w:p w14:paraId="70E15D81">
            <w:pPr>
              <w:pStyle w:val="28"/>
              <w:bidi w:val="0"/>
            </w:pPr>
            <w:r>
              <w:t>湖库</w:t>
            </w:r>
          </w:p>
        </w:tc>
        <w:tc>
          <w:tcPr>
            <w:tcW w:w="1175" w:type="pct"/>
            <w:vAlign w:val="center"/>
          </w:tcPr>
          <w:p w14:paraId="47546472">
            <w:pPr>
              <w:pStyle w:val="28"/>
              <w:bidi w:val="0"/>
            </w:pPr>
            <w:r>
              <w:t>入海河口、近岸海域</w:t>
            </w:r>
          </w:p>
        </w:tc>
      </w:tr>
      <w:tr w14:paraId="69ADE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0" w:type="pct"/>
            <w:vAlign w:val="center"/>
          </w:tcPr>
          <w:p w14:paraId="205631C2">
            <w:pPr>
              <w:pStyle w:val="28"/>
              <w:bidi w:val="0"/>
            </w:pPr>
            <w:r>
              <w:t>一级</w:t>
            </w:r>
          </w:p>
        </w:tc>
        <w:tc>
          <w:tcPr>
            <w:tcW w:w="643" w:type="pct"/>
            <w:vAlign w:val="center"/>
          </w:tcPr>
          <w:p w14:paraId="611172C0">
            <w:pPr>
              <w:pStyle w:val="28"/>
              <w:bidi w:val="0"/>
            </w:pPr>
            <w:r>
              <w:t>α≤10；或完全年调节与多年调整</w:t>
            </w:r>
          </w:p>
        </w:tc>
        <w:tc>
          <w:tcPr>
            <w:tcW w:w="605" w:type="pct"/>
            <w:vAlign w:val="center"/>
          </w:tcPr>
          <w:p w14:paraId="568194BC">
            <w:pPr>
              <w:pStyle w:val="28"/>
              <w:bidi w:val="0"/>
            </w:pPr>
            <w:r>
              <w:t>β≥20；或完全年调节与多年条件</w:t>
            </w:r>
          </w:p>
        </w:tc>
        <w:tc>
          <w:tcPr>
            <w:tcW w:w="626" w:type="pct"/>
            <w:vAlign w:val="center"/>
          </w:tcPr>
          <w:p w14:paraId="6941FB6D">
            <w:pPr>
              <w:pStyle w:val="28"/>
              <w:bidi w:val="0"/>
            </w:pPr>
            <w:r>
              <w:t>γ≥30</w:t>
            </w:r>
          </w:p>
        </w:tc>
        <w:tc>
          <w:tcPr>
            <w:tcW w:w="833" w:type="pct"/>
            <w:vAlign w:val="center"/>
          </w:tcPr>
          <w:p w14:paraId="321FD181">
            <w:pPr>
              <w:pStyle w:val="28"/>
              <w:bidi w:val="0"/>
            </w:pPr>
            <w:r>
              <w:t>A1≥0.3；或A2≥1.5；或R≥</w:t>
            </w:r>
            <w:r>
              <w:rPr>
                <w:rFonts w:hint="eastAsia"/>
              </w:rPr>
              <w:t>1</w:t>
            </w:r>
            <w:r>
              <w:t>0</w:t>
            </w:r>
          </w:p>
        </w:tc>
        <w:tc>
          <w:tcPr>
            <w:tcW w:w="495" w:type="pct"/>
            <w:vAlign w:val="center"/>
          </w:tcPr>
          <w:p w14:paraId="5394F634">
            <w:pPr>
              <w:pStyle w:val="28"/>
              <w:bidi w:val="0"/>
            </w:pPr>
            <w:r>
              <w:t>A1≥0.3；或A2≥1.5；或R≥20</w:t>
            </w:r>
          </w:p>
        </w:tc>
        <w:tc>
          <w:tcPr>
            <w:tcW w:w="1175" w:type="pct"/>
            <w:vAlign w:val="center"/>
          </w:tcPr>
          <w:p w14:paraId="4ED6044F">
            <w:pPr>
              <w:pStyle w:val="28"/>
              <w:bidi w:val="0"/>
            </w:pPr>
            <w:r>
              <w:t>A1≥0.5；或A2≥3</w:t>
            </w:r>
          </w:p>
        </w:tc>
      </w:tr>
      <w:tr w14:paraId="7A3E5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0" w:type="pct"/>
            <w:vAlign w:val="center"/>
          </w:tcPr>
          <w:p w14:paraId="1731D212">
            <w:pPr>
              <w:pStyle w:val="28"/>
              <w:bidi w:val="0"/>
            </w:pPr>
            <w:r>
              <w:t>二级</w:t>
            </w:r>
          </w:p>
        </w:tc>
        <w:tc>
          <w:tcPr>
            <w:tcW w:w="643" w:type="pct"/>
            <w:vAlign w:val="center"/>
          </w:tcPr>
          <w:p w14:paraId="7FF5BF0E">
            <w:pPr>
              <w:pStyle w:val="28"/>
              <w:bidi w:val="0"/>
            </w:pPr>
            <w:r>
              <w:t>20&gt;α&gt;10；或不稳定分层</w:t>
            </w:r>
          </w:p>
        </w:tc>
        <w:tc>
          <w:tcPr>
            <w:tcW w:w="605" w:type="pct"/>
            <w:vAlign w:val="center"/>
          </w:tcPr>
          <w:p w14:paraId="6AF782E1">
            <w:pPr>
              <w:pStyle w:val="28"/>
              <w:bidi w:val="0"/>
            </w:pPr>
            <w:r>
              <w:t>20&gt;β&gt;2；或季条件与不完全年调节</w:t>
            </w:r>
          </w:p>
        </w:tc>
        <w:tc>
          <w:tcPr>
            <w:tcW w:w="626" w:type="pct"/>
            <w:vAlign w:val="center"/>
          </w:tcPr>
          <w:p w14:paraId="4447A45D">
            <w:pPr>
              <w:pStyle w:val="28"/>
              <w:bidi w:val="0"/>
            </w:pPr>
            <w:r>
              <w:t>30&gt;γ&gt;10</w:t>
            </w:r>
          </w:p>
        </w:tc>
        <w:tc>
          <w:tcPr>
            <w:tcW w:w="833" w:type="pct"/>
            <w:vAlign w:val="center"/>
          </w:tcPr>
          <w:p w14:paraId="026213C7">
            <w:pPr>
              <w:pStyle w:val="28"/>
              <w:bidi w:val="0"/>
            </w:pPr>
            <w:r>
              <w:t>0.3&gt;A1&gt;0.05；或1.5&gt;A2&gt;0.2；或</w:t>
            </w:r>
            <w:r>
              <w:rPr>
                <w:rFonts w:hint="eastAsia"/>
              </w:rPr>
              <w:t>1</w:t>
            </w:r>
            <w:r>
              <w:t>0&gt;R&gt;5</w:t>
            </w:r>
          </w:p>
        </w:tc>
        <w:tc>
          <w:tcPr>
            <w:tcW w:w="495" w:type="pct"/>
            <w:vAlign w:val="center"/>
          </w:tcPr>
          <w:p w14:paraId="50FB50B3">
            <w:pPr>
              <w:pStyle w:val="28"/>
              <w:bidi w:val="0"/>
            </w:pPr>
            <w:r>
              <w:t>0.3&gt;A1&gt;0.05，或1.5&gt;A2&gt;0.2或20&gt;R&gt;5</w:t>
            </w:r>
          </w:p>
        </w:tc>
        <w:tc>
          <w:tcPr>
            <w:tcW w:w="1175" w:type="pct"/>
            <w:vAlign w:val="center"/>
          </w:tcPr>
          <w:p w14:paraId="786D69C3">
            <w:pPr>
              <w:pStyle w:val="28"/>
              <w:bidi w:val="0"/>
            </w:pPr>
            <w:r>
              <w:t>0.5&gt;A1&gt;0.15，或3&gt;A2&gt;0.5</w:t>
            </w:r>
          </w:p>
        </w:tc>
      </w:tr>
      <w:tr w14:paraId="319E3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0" w:type="pct"/>
            <w:vAlign w:val="center"/>
          </w:tcPr>
          <w:p w14:paraId="7B9C58CF">
            <w:pPr>
              <w:pStyle w:val="28"/>
              <w:bidi w:val="0"/>
            </w:pPr>
            <w:r>
              <w:t>三级</w:t>
            </w:r>
          </w:p>
        </w:tc>
        <w:tc>
          <w:tcPr>
            <w:tcW w:w="643" w:type="pct"/>
            <w:vAlign w:val="center"/>
          </w:tcPr>
          <w:p w14:paraId="341679DC">
            <w:pPr>
              <w:pStyle w:val="28"/>
              <w:bidi w:val="0"/>
            </w:pPr>
            <w:r>
              <w:t>α≥20，或混合型</w:t>
            </w:r>
          </w:p>
        </w:tc>
        <w:tc>
          <w:tcPr>
            <w:tcW w:w="605" w:type="pct"/>
            <w:vAlign w:val="center"/>
          </w:tcPr>
          <w:p w14:paraId="29915566">
            <w:pPr>
              <w:pStyle w:val="28"/>
              <w:bidi w:val="0"/>
            </w:pPr>
            <w:r>
              <w:t>β≤2，或无调节</w:t>
            </w:r>
          </w:p>
        </w:tc>
        <w:tc>
          <w:tcPr>
            <w:tcW w:w="626" w:type="pct"/>
            <w:vAlign w:val="center"/>
          </w:tcPr>
          <w:p w14:paraId="5D7F9064">
            <w:pPr>
              <w:pStyle w:val="28"/>
              <w:bidi w:val="0"/>
            </w:pPr>
            <w:r>
              <w:t>γ≤10</w:t>
            </w:r>
          </w:p>
        </w:tc>
        <w:tc>
          <w:tcPr>
            <w:tcW w:w="833" w:type="pct"/>
            <w:vAlign w:val="center"/>
          </w:tcPr>
          <w:p w14:paraId="25A09604">
            <w:pPr>
              <w:pStyle w:val="28"/>
              <w:bidi w:val="0"/>
            </w:pPr>
            <w:r>
              <w:t>A1≤0.05或A2≤0.2；或R≤5</w:t>
            </w:r>
          </w:p>
        </w:tc>
        <w:tc>
          <w:tcPr>
            <w:tcW w:w="495" w:type="pct"/>
            <w:vAlign w:val="center"/>
          </w:tcPr>
          <w:p w14:paraId="54429C15">
            <w:pPr>
              <w:pStyle w:val="28"/>
              <w:bidi w:val="0"/>
            </w:pPr>
            <w:r>
              <w:t>A1≤0.05或A2≤0.2；或R≤5</w:t>
            </w:r>
          </w:p>
        </w:tc>
        <w:tc>
          <w:tcPr>
            <w:tcW w:w="1175" w:type="pct"/>
            <w:vAlign w:val="center"/>
          </w:tcPr>
          <w:p w14:paraId="5730E4DA">
            <w:pPr>
              <w:pStyle w:val="28"/>
              <w:bidi w:val="0"/>
            </w:pPr>
            <w:r>
              <w:t>A1≤0.15或A2≤0.5</w:t>
            </w:r>
          </w:p>
        </w:tc>
      </w:tr>
    </w:tbl>
    <w:p w14:paraId="3805420F">
      <w:pPr>
        <w:spacing w:line="240" w:lineRule="auto"/>
        <w:ind w:firstLine="488"/>
        <w:jc w:val="both"/>
        <w:rPr>
          <w:rFonts w:cs="Times New Roman"/>
          <w:color w:val="0000FF"/>
        </w:rPr>
      </w:pPr>
    </w:p>
    <w:p w14:paraId="174D7921">
      <w:pPr>
        <w:ind w:firstLine="488"/>
        <w:jc w:val="both"/>
        <w:rPr>
          <w:rFonts w:cs="Times New Roman"/>
        </w:rPr>
      </w:pPr>
      <w:r>
        <w:rPr>
          <w:rFonts w:cs="Times New Roman"/>
        </w:rPr>
        <w:t>本项目的工程内容包括骨干输配水工程49.395km（衬砌37085m和清淤12310m）；骨干渠（沟）系建筑物及配套设施137座；用水量测工程（泵站监测点10座、干渠渠道监测点9座和放水涵闸监测点67座）；信息化工程（灌区信息化平台建设1套）</w:t>
      </w:r>
      <w:r>
        <w:rPr>
          <w:rFonts w:hint="eastAsia" w:cs="Times New Roman"/>
        </w:rPr>
        <w:t>。</w:t>
      </w:r>
    </w:p>
    <w:p w14:paraId="573FBE06">
      <w:pPr>
        <w:ind w:firstLine="480" w:firstLineChars="200"/>
        <w:rPr>
          <w:rFonts w:cs="Times New Roman"/>
          <w:color w:val="0000FF"/>
        </w:rPr>
      </w:pPr>
      <w:r>
        <w:rPr>
          <w:rFonts w:cs="Times New Roman"/>
          <w:color w:val="0000FF"/>
        </w:rPr>
        <w:t>项目</w:t>
      </w:r>
      <w:r>
        <w:rPr>
          <w:rFonts w:hint="eastAsia" w:cs="Times New Roman"/>
          <w:color w:val="0000FF"/>
        </w:rPr>
        <w:t>位于淮南市谢家集区，</w:t>
      </w:r>
      <w:r>
        <w:rPr>
          <w:rFonts w:cs="Times New Roman"/>
          <w:color w:val="0000FF"/>
        </w:rPr>
        <w:t>工程分散分布、彼此之间在水文要素影响型建设项目评价等级判定中的</w:t>
      </w:r>
      <w:r>
        <w:rPr>
          <w:rFonts w:hint="eastAsia" w:cs="Times New Roman"/>
          <w:color w:val="0000FF"/>
        </w:rPr>
        <w:t>“</w:t>
      </w:r>
      <w:r>
        <w:rPr>
          <w:rFonts w:cs="Times New Roman"/>
          <w:color w:val="0000FF"/>
        </w:rPr>
        <w:t>水温</w:t>
      </w:r>
      <w:r>
        <w:rPr>
          <w:rFonts w:hint="eastAsia" w:cs="Times New Roman"/>
          <w:color w:val="0000FF"/>
        </w:rPr>
        <w:t>”</w:t>
      </w:r>
      <w:r>
        <w:rPr>
          <w:rFonts w:cs="Times New Roman"/>
          <w:color w:val="0000FF"/>
        </w:rPr>
        <w:t>、</w:t>
      </w:r>
      <w:r>
        <w:rPr>
          <w:rFonts w:hint="eastAsia" w:cs="Times New Roman"/>
          <w:color w:val="0000FF"/>
        </w:rPr>
        <w:t>“</w:t>
      </w:r>
      <w:r>
        <w:rPr>
          <w:rFonts w:cs="Times New Roman"/>
          <w:color w:val="0000FF"/>
        </w:rPr>
        <w:t>径流</w:t>
      </w:r>
      <w:r>
        <w:rPr>
          <w:rFonts w:hint="eastAsia" w:cs="Times New Roman"/>
          <w:color w:val="0000FF"/>
        </w:rPr>
        <w:t>”</w:t>
      </w:r>
      <w:r>
        <w:rPr>
          <w:rFonts w:cs="Times New Roman"/>
          <w:color w:val="0000FF"/>
        </w:rPr>
        <w:t>和</w:t>
      </w:r>
      <w:r>
        <w:rPr>
          <w:rFonts w:hint="eastAsia" w:cs="Times New Roman"/>
          <w:color w:val="0000FF"/>
        </w:rPr>
        <w:t>“</w:t>
      </w:r>
      <w:r>
        <w:rPr>
          <w:rFonts w:cs="Times New Roman"/>
          <w:color w:val="0000FF"/>
        </w:rPr>
        <w:t>受影响地表水域</w:t>
      </w:r>
      <w:r>
        <w:rPr>
          <w:rFonts w:hint="eastAsia" w:cs="Times New Roman"/>
          <w:color w:val="0000FF"/>
        </w:rPr>
        <w:t>”</w:t>
      </w:r>
      <w:r>
        <w:rPr>
          <w:rFonts w:cs="Times New Roman"/>
          <w:color w:val="0000FF"/>
        </w:rPr>
        <w:t>等不存在着叠加影响，因此按照每个单项子工程的工程内容和规模等分别判定水文影响评价等级。</w:t>
      </w:r>
    </w:p>
    <w:p w14:paraId="56F6B982">
      <w:pPr>
        <w:ind w:firstLine="488"/>
        <w:jc w:val="both"/>
        <w:rPr>
          <w:rFonts w:cs="Times New Roman"/>
          <w:color w:val="0000FF"/>
        </w:rPr>
      </w:pPr>
      <w:r>
        <w:rPr>
          <w:rFonts w:cs="Times New Roman"/>
          <w:color w:val="0000FF"/>
        </w:rPr>
        <w:t>项目水文影响主要是项目中渠道清淤和各类渠系建筑物的建设。工程新建内容主要节制闸、渡槽、</w:t>
      </w:r>
      <w:r>
        <w:rPr>
          <w:rFonts w:hint="eastAsia" w:cs="Times New Roman"/>
          <w:color w:val="0000FF"/>
        </w:rPr>
        <w:t>机耕桥</w:t>
      </w:r>
      <w:r>
        <w:rPr>
          <w:rFonts w:cs="Times New Roman"/>
          <w:color w:val="0000FF"/>
        </w:rPr>
        <w:t>等，</w:t>
      </w:r>
      <w:r>
        <w:rPr>
          <w:rFonts w:cs="Times New Roman"/>
          <w:b/>
          <w:bCs/>
          <w:color w:val="0000FF"/>
        </w:rPr>
        <w:t>工程垂直投影面积及外扩范围均较小A1≤0.05km</w:t>
      </w:r>
      <w:r>
        <w:rPr>
          <w:rFonts w:cs="Times New Roman"/>
          <w:b/>
          <w:bCs/>
          <w:color w:val="0000FF"/>
          <w:vertAlign w:val="superscript"/>
        </w:rPr>
        <w:t>2</w:t>
      </w:r>
      <w:r>
        <w:rPr>
          <w:rFonts w:cs="Times New Roman"/>
          <w:b/>
          <w:bCs/>
          <w:color w:val="0000FF"/>
        </w:rPr>
        <w:t>，</w:t>
      </w:r>
      <w:r>
        <w:rPr>
          <w:rFonts w:cs="Times New Roman"/>
          <w:color w:val="0000FF"/>
        </w:rPr>
        <w:t>各单项子工程水文要素影响评价等级均初判为三级评价；</w:t>
      </w:r>
    </w:p>
    <w:p w14:paraId="674435F8">
      <w:pPr>
        <w:ind w:firstLine="488"/>
        <w:jc w:val="both"/>
        <w:rPr>
          <w:rFonts w:cs="Times New Roman"/>
          <w:color w:val="0000FF"/>
        </w:rPr>
      </w:pPr>
      <w:r>
        <w:rPr>
          <w:rFonts w:cs="Times New Roman"/>
          <w:color w:val="0000FF"/>
        </w:rPr>
        <w:t>涉及各类渠系建筑物的建设按照设计底宽计算项目单项子</w:t>
      </w:r>
      <w:r>
        <w:rPr>
          <w:rFonts w:cs="Times New Roman"/>
          <w:b/>
          <w:bCs/>
          <w:color w:val="0000FF"/>
        </w:rPr>
        <w:t>工程施工总扰动水底面积，</w:t>
      </w:r>
      <w:r>
        <w:rPr>
          <w:rFonts w:cs="Times New Roman"/>
          <w:color w:val="0000FF"/>
        </w:rPr>
        <w:t>单项子工程</w:t>
      </w:r>
      <w:r>
        <w:rPr>
          <w:rFonts w:hint="eastAsia" w:cs="Times New Roman"/>
          <w:color w:val="0000FF"/>
        </w:rPr>
        <w:t>“</w:t>
      </w:r>
      <w:r>
        <w:rPr>
          <w:rFonts w:cs="Times New Roman"/>
          <w:color w:val="0000FF"/>
        </w:rPr>
        <w:t>A</w:t>
      </w:r>
      <w:r>
        <w:rPr>
          <w:rFonts w:cs="Times New Roman"/>
          <w:color w:val="0000FF"/>
          <w:vertAlign w:val="subscript"/>
        </w:rPr>
        <w:t>2</w:t>
      </w:r>
      <w:r>
        <w:rPr>
          <w:rFonts w:cs="Times New Roman"/>
          <w:color w:val="0000FF"/>
        </w:rPr>
        <w:t>＜0.2km</w:t>
      </w:r>
      <w:r>
        <w:rPr>
          <w:rFonts w:cs="Times New Roman"/>
          <w:color w:val="0000FF"/>
          <w:vertAlign w:val="superscript"/>
        </w:rPr>
        <w:t>2</w:t>
      </w:r>
      <w:r>
        <w:rPr>
          <w:rFonts w:hint="eastAsia" w:cs="Times New Roman"/>
          <w:color w:val="0000FF"/>
        </w:rPr>
        <w:t>”</w:t>
      </w:r>
      <w:r>
        <w:rPr>
          <w:rFonts w:cs="Times New Roman"/>
          <w:color w:val="0000FF"/>
        </w:rPr>
        <w:t>，</w:t>
      </w:r>
      <w:r>
        <w:rPr>
          <w:rFonts w:hint="eastAsia" w:cs="Times New Roman"/>
          <w:color w:val="0000FF"/>
        </w:rPr>
        <w:t>根据工程施工特点，项目涉及到清淤的工程清淤前3个月关闭对应渠道进水闸，3个月后干地清淤，清淤施工对渠道水文情势无影响</w:t>
      </w:r>
      <w:r>
        <w:rPr>
          <w:rFonts w:cs="Times New Roman"/>
          <w:color w:val="0000FF"/>
        </w:rPr>
        <w:t>；</w:t>
      </w:r>
    </w:p>
    <w:p w14:paraId="64732DCA">
      <w:pPr>
        <w:ind w:firstLine="488"/>
        <w:jc w:val="both"/>
        <w:rPr>
          <w:rFonts w:cs="Times New Roman"/>
          <w:color w:val="0000FF"/>
        </w:rPr>
      </w:pPr>
      <w:r>
        <w:rPr>
          <w:rFonts w:cs="Times New Roman"/>
          <w:color w:val="0000FF"/>
        </w:rPr>
        <w:t>项目续建配套各类渠系建筑物</w:t>
      </w:r>
      <w:r>
        <w:rPr>
          <w:rFonts w:hint="eastAsia" w:cs="Times New Roman"/>
          <w:color w:val="0000FF"/>
        </w:rPr>
        <w:t>137</w:t>
      </w:r>
      <w:r>
        <w:rPr>
          <w:rFonts w:cs="Times New Roman"/>
          <w:color w:val="0000FF"/>
        </w:rPr>
        <w:t>座中三东干渠李岗放水渠</w:t>
      </w:r>
      <w:r>
        <w:rPr>
          <w:rFonts w:hint="eastAsia" w:cs="Times New Roman"/>
          <w:color w:val="0000FF"/>
        </w:rPr>
        <w:t>新建一座</w:t>
      </w:r>
      <w:r>
        <w:rPr>
          <w:rFonts w:cs="Times New Roman"/>
          <w:color w:val="0000FF"/>
        </w:rPr>
        <w:t>节制闸全断面截断渠道，其他渠系建筑物对过水断面和水域面积几乎无影响，按照节制闸渠系建筑物建设规划可知，单项渠系建筑物过水断面宽度占用比例为100%，属于水文要素影响等级表中</w:t>
      </w:r>
      <w:r>
        <w:rPr>
          <w:rFonts w:hint="eastAsia" w:cs="Times New Roman"/>
          <w:color w:val="0000FF"/>
        </w:rPr>
        <w:t>“</w:t>
      </w:r>
      <w:r>
        <w:rPr>
          <w:rFonts w:cs="Times New Roman"/>
          <w:b/>
          <w:bCs/>
          <w:color w:val="0000FF"/>
        </w:rPr>
        <w:t>过水断面宽度占用比例或占用水域面积比例</w:t>
      </w:r>
      <w:r>
        <w:rPr>
          <w:rFonts w:cs="Times New Roman"/>
          <w:color w:val="0000FF"/>
        </w:rPr>
        <w:t>R≥10</w:t>
      </w:r>
      <w:r>
        <w:rPr>
          <w:rFonts w:hint="eastAsia" w:cs="Times New Roman"/>
          <w:color w:val="0000FF"/>
        </w:rPr>
        <w:t>”</w:t>
      </w:r>
      <w:r>
        <w:rPr>
          <w:rFonts w:cs="Times New Roman"/>
          <w:color w:val="0000FF"/>
        </w:rPr>
        <w:t>，故该单项子工程水文要素影响评价等级为一级评价。</w:t>
      </w:r>
    </w:p>
    <w:p w14:paraId="4FDDFD2D">
      <w:pPr>
        <w:ind w:firstLine="488"/>
        <w:jc w:val="both"/>
        <w:rPr>
          <w:rFonts w:cs="Times New Roman"/>
          <w:color w:val="0000FF"/>
        </w:rPr>
      </w:pPr>
      <w:r>
        <w:rPr>
          <w:rFonts w:hint="eastAsia" w:cs="Times New Roman"/>
          <w:color w:val="0000FF"/>
        </w:rPr>
        <w:t>综上，本项目水文要素影响1个子项目一级评价，17个子项目三级评价。</w:t>
      </w:r>
    </w:p>
    <w:p w14:paraId="1642F8F4">
      <w:pPr>
        <w:ind w:firstLine="488"/>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本项目各子工程地表水水文要素影响评价等级判定一览表如下：</w:t>
      </w:r>
    </w:p>
    <w:p w14:paraId="2A3F5E31">
      <w:pPr>
        <w:pStyle w:val="5"/>
        <w:rPr>
          <w:rFonts w:cs="Times New Roman"/>
          <w:color w:val="0000FF"/>
        </w:rPr>
        <w:sectPr>
          <w:footerReference r:id="rId14" w:type="default"/>
          <w:pgSz w:w="11905" w:h="16838"/>
          <w:pgMar w:top="1417" w:right="1417" w:bottom="1417" w:left="1417" w:header="850" w:footer="850" w:gutter="0"/>
          <w:pgNumType w:fmt="decimal"/>
          <w:cols w:space="0" w:num="1"/>
          <w:rtlGutter w:val="0"/>
          <w:docGrid w:linePitch="326" w:charSpace="0"/>
        </w:sectPr>
      </w:pPr>
    </w:p>
    <w:p w14:paraId="6910988A">
      <w:pPr>
        <w:pStyle w:val="29"/>
        <w:bidi w:val="0"/>
      </w:pPr>
      <w:r>
        <w:t>表1</w:t>
      </w:r>
      <w:r>
        <w:rPr>
          <w:rFonts w:hint="eastAsia"/>
          <w:lang w:val="en-US" w:eastAsia="zh-CN"/>
        </w:rPr>
        <w:t>.</w:t>
      </w:r>
      <w:r>
        <w:t>4-4  各子工程地表水水文要素影响评价等级判定一览表</w:t>
      </w:r>
    </w:p>
    <w:tbl>
      <w:tblPr>
        <w:tblStyle w:val="16"/>
        <w:tblW w:w="4996" w:type="pct"/>
        <w:jc w:val="center"/>
        <w:tblLayout w:type="autofit"/>
        <w:tblCellMar>
          <w:top w:w="0" w:type="dxa"/>
          <w:left w:w="108" w:type="dxa"/>
          <w:bottom w:w="0" w:type="dxa"/>
          <w:right w:w="108" w:type="dxa"/>
        </w:tblCellMar>
      </w:tblPr>
      <w:tblGrid>
        <w:gridCol w:w="557"/>
        <w:gridCol w:w="805"/>
        <w:gridCol w:w="2499"/>
        <w:gridCol w:w="1296"/>
        <w:gridCol w:w="1200"/>
        <w:gridCol w:w="924"/>
        <w:gridCol w:w="3326"/>
        <w:gridCol w:w="1282"/>
        <w:gridCol w:w="1407"/>
        <w:gridCol w:w="913"/>
      </w:tblGrid>
      <w:tr w14:paraId="2DC19310">
        <w:tblPrEx>
          <w:tblCellMar>
            <w:top w:w="0" w:type="dxa"/>
            <w:left w:w="108" w:type="dxa"/>
            <w:bottom w:w="0" w:type="dxa"/>
            <w:right w:w="108" w:type="dxa"/>
          </w:tblCellMar>
        </w:tblPrEx>
        <w:trPr>
          <w:trHeight w:val="340" w:hRule="atLeast"/>
          <w:jc w:val="center"/>
        </w:trPr>
        <w:tc>
          <w:tcPr>
            <w:tcW w:w="196" w:type="pct"/>
            <w:vMerge w:val="restart"/>
            <w:tcBorders>
              <w:top w:val="single" w:color="000000" w:sz="4" w:space="0"/>
              <w:left w:val="single" w:color="000000" w:sz="4" w:space="0"/>
              <w:bottom w:val="single" w:color="000000" w:sz="4" w:space="0"/>
              <w:right w:val="single" w:color="000000" w:sz="4" w:space="0"/>
            </w:tcBorders>
            <w:vAlign w:val="center"/>
          </w:tcPr>
          <w:p w14:paraId="1A5E433D">
            <w:pPr>
              <w:pStyle w:val="28"/>
              <w:bidi w:val="0"/>
              <w:rPr>
                <w:color w:val="auto"/>
              </w:rPr>
            </w:pPr>
            <w:r>
              <w:rPr>
                <w:color w:val="auto"/>
              </w:rPr>
              <w:t>序号</w:t>
            </w:r>
          </w:p>
        </w:tc>
        <w:tc>
          <w:tcPr>
            <w:tcW w:w="283" w:type="pct"/>
            <w:vMerge w:val="restart"/>
            <w:tcBorders>
              <w:top w:val="single" w:color="000000" w:sz="4" w:space="0"/>
              <w:left w:val="single" w:color="000000" w:sz="4" w:space="0"/>
              <w:bottom w:val="single" w:color="000000" w:sz="4" w:space="0"/>
              <w:right w:val="single" w:color="000000" w:sz="4" w:space="0"/>
            </w:tcBorders>
            <w:vAlign w:val="center"/>
          </w:tcPr>
          <w:p w14:paraId="4E7FA305">
            <w:pPr>
              <w:pStyle w:val="28"/>
              <w:bidi w:val="0"/>
              <w:rPr>
                <w:color w:val="auto"/>
              </w:rPr>
            </w:pPr>
            <w:r>
              <w:rPr>
                <w:color w:val="auto"/>
              </w:rPr>
              <w:t>灌区</w:t>
            </w:r>
          </w:p>
        </w:tc>
        <w:tc>
          <w:tcPr>
            <w:tcW w:w="879" w:type="pct"/>
            <w:vMerge w:val="restart"/>
            <w:tcBorders>
              <w:top w:val="single" w:color="000000" w:sz="4" w:space="0"/>
              <w:left w:val="single" w:color="000000" w:sz="4" w:space="0"/>
              <w:bottom w:val="single" w:color="000000" w:sz="4" w:space="0"/>
              <w:right w:val="single" w:color="000000" w:sz="4" w:space="0"/>
            </w:tcBorders>
            <w:vAlign w:val="center"/>
          </w:tcPr>
          <w:p w14:paraId="61DD9DCF">
            <w:pPr>
              <w:pStyle w:val="28"/>
              <w:bidi w:val="0"/>
              <w:rPr>
                <w:color w:val="auto"/>
              </w:rPr>
            </w:pPr>
            <w:r>
              <w:rPr>
                <w:rFonts w:hint="eastAsia"/>
                <w:color w:val="auto"/>
              </w:rPr>
              <w:t>渠道</w:t>
            </w:r>
            <w:r>
              <w:rPr>
                <w:color w:val="auto"/>
              </w:rPr>
              <w:t>名称</w:t>
            </w:r>
          </w:p>
        </w:tc>
        <w:tc>
          <w:tcPr>
            <w:tcW w:w="1203" w:type="pct"/>
            <w:gridSpan w:val="3"/>
            <w:tcBorders>
              <w:top w:val="single" w:color="000000" w:sz="4" w:space="0"/>
              <w:left w:val="single" w:color="000000" w:sz="4" w:space="0"/>
              <w:bottom w:val="single" w:color="000000" w:sz="4" w:space="0"/>
              <w:right w:val="single" w:color="000000" w:sz="4" w:space="0"/>
            </w:tcBorders>
            <w:vAlign w:val="center"/>
          </w:tcPr>
          <w:p w14:paraId="4D4D2F98">
            <w:pPr>
              <w:pStyle w:val="28"/>
              <w:bidi w:val="0"/>
              <w:rPr>
                <w:color w:val="auto"/>
              </w:rPr>
            </w:pPr>
            <w:r>
              <w:rPr>
                <w:color w:val="auto"/>
              </w:rPr>
              <w:t>工程扰动水</w:t>
            </w:r>
            <w:r>
              <w:rPr>
                <w:rFonts w:hint="eastAsia"/>
                <w:color w:val="auto"/>
              </w:rPr>
              <w:t>底</w:t>
            </w:r>
            <w:r>
              <w:rPr>
                <w:color w:val="auto"/>
              </w:rPr>
              <w:t>面积A</w:t>
            </w:r>
            <w:r>
              <w:rPr>
                <w:color w:val="auto"/>
                <w:vertAlign w:val="superscript"/>
              </w:rPr>
              <w:t>2</w:t>
            </w:r>
            <w:r>
              <w:rPr>
                <w:color w:val="auto"/>
              </w:rPr>
              <w:t>/km</w:t>
            </w:r>
            <w:r>
              <w:rPr>
                <w:color w:val="auto"/>
                <w:vertAlign w:val="superscript"/>
              </w:rPr>
              <w:t>2</w:t>
            </w:r>
          </w:p>
        </w:tc>
        <w:tc>
          <w:tcPr>
            <w:tcW w:w="1621" w:type="pct"/>
            <w:gridSpan w:val="2"/>
            <w:tcBorders>
              <w:top w:val="single" w:color="000000" w:sz="4" w:space="0"/>
              <w:left w:val="single" w:color="000000" w:sz="4" w:space="0"/>
              <w:bottom w:val="single" w:color="000000" w:sz="4" w:space="0"/>
              <w:right w:val="single" w:color="000000" w:sz="4" w:space="0"/>
            </w:tcBorders>
            <w:vAlign w:val="center"/>
          </w:tcPr>
          <w:p w14:paraId="27DF5B69">
            <w:pPr>
              <w:pStyle w:val="28"/>
              <w:bidi w:val="0"/>
              <w:rPr>
                <w:color w:val="auto"/>
              </w:rPr>
            </w:pPr>
            <w:r>
              <w:rPr>
                <w:color w:val="auto"/>
              </w:rPr>
              <w:t>过水断面宽度占用比例或占用水域面积比例R/%</w:t>
            </w:r>
          </w:p>
        </w:tc>
        <w:tc>
          <w:tcPr>
            <w:tcW w:w="495" w:type="pct"/>
            <w:vMerge w:val="restart"/>
            <w:tcBorders>
              <w:top w:val="single" w:color="000000" w:sz="4" w:space="0"/>
              <w:left w:val="single" w:color="000000" w:sz="4" w:space="0"/>
              <w:bottom w:val="single" w:color="000000" w:sz="4" w:space="0"/>
              <w:right w:val="single" w:color="000000" w:sz="4" w:space="0"/>
            </w:tcBorders>
            <w:vAlign w:val="center"/>
          </w:tcPr>
          <w:p w14:paraId="238B5CB8">
            <w:pPr>
              <w:pStyle w:val="28"/>
              <w:bidi w:val="0"/>
              <w:rPr>
                <w:color w:val="auto"/>
              </w:rPr>
            </w:pPr>
            <w:r>
              <w:rPr>
                <w:color w:val="auto"/>
              </w:rPr>
              <w:t>其他情况</w:t>
            </w:r>
          </w:p>
        </w:tc>
        <w:tc>
          <w:tcPr>
            <w:tcW w:w="321" w:type="pct"/>
            <w:vMerge w:val="restart"/>
            <w:tcBorders>
              <w:top w:val="single" w:color="000000" w:sz="4" w:space="0"/>
              <w:left w:val="single" w:color="000000" w:sz="4" w:space="0"/>
              <w:bottom w:val="single" w:color="000000" w:sz="4" w:space="0"/>
              <w:right w:val="single" w:color="000000" w:sz="4" w:space="0"/>
            </w:tcBorders>
            <w:vAlign w:val="center"/>
          </w:tcPr>
          <w:p w14:paraId="7FD6A76F">
            <w:pPr>
              <w:pStyle w:val="28"/>
              <w:bidi w:val="0"/>
              <w:rPr>
                <w:color w:val="auto"/>
              </w:rPr>
            </w:pPr>
            <w:r>
              <w:rPr>
                <w:color w:val="auto"/>
              </w:rPr>
              <w:t>地表水水文要素评价等级</w:t>
            </w:r>
          </w:p>
        </w:tc>
      </w:tr>
      <w:tr w14:paraId="75CA61F1">
        <w:tblPrEx>
          <w:tblCellMar>
            <w:top w:w="0" w:type="dxa"/>
            <w:left w:w="108" w:type="dxa"/>
            <w:bottom w:w="0" w:type="dxa"/>
            <w:right w:w="108" w:type="dxa"/>
          </w:tblCellMar>
        </w:tblPrEx>
        <w:trPr>
          <w:trHeight w:val="446" w:hRule="atLeast"/>
          <w:jc w:val="center"/>
        </w:trPr>
        <w:tc>
          <w:tcPr>
            <w:tcW w:w="196" w:type="pct"/>
            <w:vMerge w:val="continue"/>
            <w:tcBorders>
              <w:top w:val="single" w:color="000000" w:sz="4" w:space="0"/>
              <w:left w:val="single" w:color="000000" w:sz="4" w:space="0"/>
              <w:bottom w:val="single" w:color="000000" w:sz="4" w:space="0"/>
              <w:right w:val="single" w:color="000000" w:sz="4" w:space="0"/>
            </w:tcBorders>
            <w:vAlign w:val="center"/>
          </w:tcPr>
          <w:p w14:paraId="076731BE">
            <w:pPr>
              <w:pStyle w:val="28"/>
              <w:bidi w:val="0"/>
              <w:rPr>
                <w:color w:val="auto"/>
              </w:rPr>
            </w:pP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4490AA26">
            <w:pPr>
              <w:pStyle w:val="28"/>
              <w:bidi w:val="0"/>
              <w:rPr>
                <w:color w:val="auto"/>
              </w:rPr>
            </w:pPr>
          </w:p>
        </w:tc>
        <w:tc>
          <w:tcPr>
            <w:tcW w:w="879" w:type="pct"/>
            <w:vMerge w:val="continue"/>
            <w:tcBorders>
              <w:top w:val="single" w:color="000000" w:sz="4" w:space="0"/>
              <w:left w:val="single" w:color="000000" w:sz="4" w:space="0"/>
              <w:bottom w:val="single" w:color="000000" w:sz="4" w:space="0"/>
              <w:right w:val="single" w:color="000000" w:sz="4" w:space="0"/>
            </w:tcBorders>
            <w:vAlign w:val="center"/>
          </w:tcPr>
          <w:p w14:paraId="20B85577">
            <w:pPr>
              <w:pStyle w:val="28"/>
              <w:bidi w:val="0"/>
              <w:rPr>
                <w:color w:val="auto"/>
              </w:rPr>
            </w:pPr>
          </w:p>
        </w:tc>
        <w:tc>
          <w:tcPr>
            <w:tcW w:w="456" w:type="pct"/>
            <w:tcBorders>
              <w:top w:val="single" w:color="000000" w:sz="4" w:space="0"/>
              <w:left w:val="single" w:color="000000" w:sz="4" w:space="0"/>
              <w:bottom w:val="single" w:color="000000" w:sz="4" w:space="0"/>
              <w:right w:val="single" w:color="000000" w:sz="4" w:space="0"/>
            </w:tcBorders>
            <w:vAlign w:val="center"/>
          </w:tcPr>
          <w:p w14:paraId="24F87FA6">
            <w:pPr>
              <w:pStyle w:val="28"/>
              <w:bidi w:val="0"/>
              <w:rPr>
                <w:color w:val="auto"/>
              </w:rPr>
            </w:pPr>
            <w:r>
              <w:rPr>
                <w:color w:val="auto"/>
              </w:rPr>
              <w:t>清淤段长度m</w:t>
            </w:r>
          </w:p>
        </w:tc>
        <w:tc>
          <w:tcPr>
            <w:tcW w:w="422" w:type="pct"/>
            <w:tcBorders>
              <w:top w:val="single" w:color="000000" w:sz="4" w:space="0"/>
              <w:left w:val="single" w:color="000000" w:sz="4" w:space="0"/>
              <w:bottom w:val="single" w:color="000000" w:sz="4" w:space="0"/>
              <w:right w:val="single" w:color="000000" w:sz="4" w:space="0"/>
            </w:tcBorders>
            <w:vAlign w:val="center"/>
          </w:tcPr>
          <w:p w14:paraId="22FA3979">
            <w:pPr>
              <w:pStyle w:val="28"/>
              <w:bidi w:val="0"/>
              <w:rPr>
                <w:color w:val="auto"/>
              </w:rPr>
            </w:pPr>
            <w:r>
              <w:rPr>
                <w:color w:val="auto"/>
              </w:rPr>
              <w:t>设计河宽m</w:t>
            </w:r>
          </w:p>
        </w:tc>
        <w:tc>
          <w:tcPr>
            <w:tcW w:w="324" w:type="pct"/>
            <w:tcBorders>
              <w:top w:val="single" w:color="000000" w:sz="4" w:space="0"/>
              <w:left w:val="single" w:color="000000" w:sz="4" w:space="0"/>
              <w:bottom w:val="single" w:color="000000" w:sz="4" w:space="0"/>
              <w:right w:val="single" w:color="000000" w:sz="4" w:space="0"/>
            </w:tcBorders>
            <w:vAlign w:val="center"/>
          </w:tcPr>
          <w:p w14:paraId="09B44653">
            <w:pPr>
              <w:pStyle w:val="28"/>
              <w:bidi w:val="0"/>
              <w:rPr>
                <w:color w:val="auto"/>
              </w:rPr>
            </w:pPr>
            <w:r>
              <w:rPr>
                <w:color w:val="auto"/>
              </w:rPr>
              <w:t>A</w:t>
            </w:r>
            <w:r>
              <w:rPr>
                <w:color w:val="auto"/>
                <w:vertAlign w:val="superscript"/>
              </w:rPr>
              <w:t>2</w:t>
            </w:r>
            <w:r>
              <w:rPr>
                <w:color w:val="auto"/>
              </w:rPr>
              <w:t>/km</w:t>
            </w:r>
            <w:r>
              <w:rPr>
                <w:color w:val="auto"/>
                <w:vertAlign w:val="superscript"/>
              </w:rPr>
              <w:t>2</w:t>
            </w:r>
          </w:p>
        </w:tc>
        <w:tc>
          <w:tcPr>
            <w:tcW w:w="1170" w:type="pct"/>
            <w:tcBorders>
              <w:top w:val="single" w:color="000000" w:sz="4" w:space="0"/>
              <w:left w:val="single" w:color="000000" w:sz="4" w:space="0"/>
              <w:bottom w:val="single" w:color="000000" w:sz="4" w:space="0"/>
              <w:right w:val="single" w:color="000000" w:sz="4" w:space="0"/>
            </w:tcBorders>
            <w:vAlign w:val="center"/>
          </w:tcPr>
          <w:p w14:paraId="5D944E2A">
            <w:pPr>
              <w:pStyle w:val="28"/>
              <w:bidi w:val="0"/>
              <w:rPr>
                <w:color w:val="auto"/>
              </w:rPr>
            </w:pPr>
            <w:r>
              <w:rPr>
                <w:rFonts w:hint="eastAsia"/>
                <w:color w:val="auto"/>
              </w:rPr>
              <w:t>主要工程内容</w:t>
            </w:r>
          </w:p>
        </w:tc>
        <w:tc>
          <w:tcPr>
            <w:tcW w:w="451" w:type="pct"/>
            <w:tcBorders>
              <w:top w:val="single" w:color="000000" w:sz="4" w:space="0"/>
              <w:left w:val="single" w:color="000000" w:sz="4" w:space="0"/>
              <w:bottom w:val="single" w:color="000000" w:sz="4" w:space="0"/>
              <w:right w:val="single" w:color="000000" w:sz="4" w:space="0"/>
            </w:tcBorders>
            <w:vAlign w:val="center"/>
          </w:tcPr>
          <w:p w14:paraId="272663E8">
            <w:pPr>
              <w:pStyle w:val="28"/>
              <w:bidi w:val="0"/>
              <w:rPr>
                <w:color w:val="auto"/>
              </w:rPr>
            </w:pPr>
            <w:r>
              <w:rPr>
                <w:color w:val="auto"/>
              </w:rPr>
              <w:t>R/%</w:t>
            </w:r>
          </w:p>
        </w:tc>
        <w:tc>
          <w:tcPr>
            <w:tcW w:w="495" w:type="pct"/>
            <w:vMerge w:val="continue"/>
            <w:tcBorders>
              <w:top w:val="single" w:color="000000" w:sz="4" w:space="0"/>
              <w:left w:val="single" w:color="000000" w:sz="4" w:space="0"/>
              <w:bottom w:val="single" w:color="000000" w:sz="4" w:space="0"/>
              <w:right w:val="single" w:color="000000" w:sz="4" w:space="0"/>
            </w:tcBorders>
            <w:vAlign w:val="center"/>
          </w:tcPr>
          <w:p w14:paraId="55F57650">
            <w:pPr>
              <w:pStyle w:val="28"/>
              <w:bidi w:val="0"/>
              <w:rPr>
                <w:color w:val="auto"/>
              </w:rPr>
            </w:pPr>
          </w:p>
        </w:tc>
        <w:tc>
          <w:tcPr>
            <w:tcW w:w="321" w:type="pct"/>
            <w:vMerge w:val="continue"/>
            <w:tcBorders>
              <w:top w:val="single" w:color="000000" w:sz="4" w:space="0"/>
              <w:left w:val="single" w:color="000000" w:sz="4" w:space="0"/>
              <w:bottom w:val="single" w:color="000000" w:sz="4" w:space="0"/>
              <w:right w:val="single" w:color="000000" w:sz="4" w:space="0"/>
            </w:tcBorders>
            <w:vAlign w:val="center"/>
          </w:tcPr>
          <w:p w14:paraId="5930A0F1">
            <w:pPr>
              <w:pStyle w:val="28"/>
              <w:bidi w:val="0"/>
              <w:rPr>
                <w:color w:val="auto"/>
              </w:rPr>
            </w:pPr>
          </w:p>
        </w:tc>
      </w:tr>
      <w:tr w14:paraId="6BAE3B95">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22456D99">
            <w:pPr>
              <w:pStyle w:val="28"/>
              <w:bidi w:val="0"/>
              <w:rPr>
                <w:color w:val="auto"/>
              </w:rPr>
            </w:pPr>
            <w:r>
              <w:rPr>
                <w:color w:val="auto"/>
              </w:rPr>
              <w:t>1</w:t>
            </w:r>
          </w:p>
        </w:tc>
        <w:tc>
          <w:tcPr>
            <w:tcW w:w="283" w:type="pct"/>
            <w:vMerge w:val="restart"/>
            <w:tcBorders>
              <w:top w:val="single" w:color="000000" w:sz="4" w:space="0"/>
              <w:left w:val="single" w:color="000000" w:sz="4" w:space="0"/>
              <w:bottom w:val="single" w:color="000000" w:sz="4" w:space="0"/>
              <w:right w:val="single" w:color="000000" w:sz="4" w:space="0"/>
            </w:tcBorders>
            <w:vAlign w:val="center"/>
          </w:tcPr>
          <w:p w14:paraId="7391AF37">
            <w:pPr>
              <w:pStyle w:val="28"/>
              <w:bidi w:val="0"/>
              <w:rPr>
                <w:color w:val="auto"/>
              </w:rPr>
            </w:pPr>
            <w:r>
              <w:rPr>
                <w:rFonts w:hint="eastAsia"/>
                <w:color w:val="auto"/>
              </w:rPr>
              <w:t>朱集</w:t>
            </w:r>
            <w:r>
              <w:rPr>
                <w:color w:val="auto"/>
              </w:rPr>
              <w:t>灌区</w:t>
            </w:r>
          </w:p>
        </w:tc>
        <w:tc>
          <w:tcPr>
            <w:tcW w:w="879" w:type="pct"/>
            <w:tcBorders>
              <w:top w:val="single" w:color="000000" w:sz="4" w:space="0"/>
              <w:left w:val="single" w:color="000000" w:sz="4" w:space="0"/>
              <w:bottom w:val="single" w:color="000000" w:sz="4" w:space="0"/>
              <w:right w:val="single" w:color="000000" w:sz="4" w:space="0"/>
            </w:tcBorders>
            <w:vAlign w:val="center"/>
          </w:tcPr>
          <w:p w14:paraId="50FB1CC7">
            <w:pPr>
              <w:pStyle w:val="28"/>
              <w:bidi w:val="0"/>
              <w:rPr>
                <w:color w:val="auto"/>
              </w:rPr>
            </w:pPr>
            <w:r>
              <w:rPr>
                <w:rFonts w:hint="eastAsia"/>
                <w:color w:val="auto"/>
              </w:rPr>
              <w:t>朱集一站引水渠</w:t>
            </w:r>
          </w:p>
        </w:tc>
        <w:tc>
          <w:tcPr>
            <w:tcW w:w="456" w:type="pct"/>
            <w:tcBorders>
              <w:top w:val="single" w:color="000000" w:sz="4" w:space="0"/>
              <w:left w:val="single" w:color="000000" w:sz="4" w:space="0"/>
              <w:bottom w:val="single" w:color="000000" w:sz="4" w:space="0"/>
              <w:right w:val="single" w:color="000000" w:sz="4" w:space="0"/>
            </w:tcBorders>
            <w:vAlign w:val="center"/>
          </w:tcPr>
          <w:p w14:paraId="2BB9AF47">
            <w:pPr>
              <w:pStyle w:val="28"/>
              <w:bidi w:val="0"/>
              <w:rPr>
                <w:color w:val="auto"/>
              </w:rPr>
            </w:pPr>
            <w:r>
              <w:rPr>
                <w:rFonts w:hint="eastAsia"/>
                <w:color w:val="auto"/>
              </w:rPr>
              <w:t>340</w:t>
            </w:r>
          </w:p>
        </w:tc>
        <w:tc>
          <w:tcPr>
            <w:tcW w:w="422" w:type="pct"/>
            <w:tcBorders>
              <w:top w:val="single" w:color="000000" w:sz="4" w:space="0"/>
              <w:left w:val="single" w:color="000000" w:sz="4" w:space="0"/>
              <w:bottom w:val="single" w:color="000000" w:sz="4" w:space="0"/>
              <w:right w:val="single" w:color="000000" w:sz="4" w:space="0"/>
            </w:tcBorders>
            <w:vAlign w:val="center"/>
          </w:tcPr>
          <w:p w14:paraId="462CBD85">
            <w:pPr>
              <w:pStyle w:val="28"/>
              <w:bidi w:val="0"/>
              <w:rPr>
                <w:color w:val="auto"/>
              </w:rPr>
            </w:pPr>
            <w:r>
              <w:rPr>
                <w:rFonts w:hint="eastAsia"/>
                <w:color w:val="auto"/>
              </w:rPr>
              <w:t>8</w:t>
            </w:r>
          </w:p>
        </w:tc>
        <w:tc>
          <w:tcPr>
            <w:tcW w:w="324" w:type="pct"/>
            <w:tcBorders>
              <w:top w:val="single" w:color="000000" w:sz="4" w:space="0"/>
              <w:left w:val="single" w:color="000000" w:sz="4" w:space="0"/>
              <w:bottom w:val="single" w:color="000000" w:sz="4" w:space="0"/>
              <w:right w:val="single" w:color="000000" w:sz="4" w:space="0"/>
            </w:tcBorders>
            <w:vAlign w:val="center"/>
          </w:tcPr>
          <w:p w14:paraId="20C45F6F">
            <w:pPr>
              <w:pStyle w:val="28"/>
              <w:bidi w:val="0"/>
              <w:rPr>
                <w:color w:val="auto"/>
              </w:rPr>
            </w:pPr>
            <w:r>
              <w:rPr>
                <w:rFonts w:hint="eastAsia"/>
                <w:color w:val="auto"/>
              </w:rPr>
              <w:t>0.0027</w:t>
            </w:r>
          </w:p>
        </w:tc>
        <w:tc>
          <w:tcPr>
            <w:tcW w:w="1170" w:type="pct"/>
            <w:tcBorders>
              <w:top w:val="single" w:color="000000" w:sz="4" w:space="0"/>
              <w:left w:val="single" w:color="000000" w:sz="4" w:space="0"/>
              <w:bottom w:val="single" w:color="000000" w:sz="4" w:space="0"/>
              <w:right w:val="single" w:color="000000" w:sz="4" w:space="0"/>
            </w:tcBorders>
            <w:vAlign w:val="center"/>
          </w:tcPr>
          <w:p w14:paraId="4401BBA7">
            <w:pPr>
              <w:pStyle w:val="28"/>
              <w:bidi w:val="0"/>
              <w:rPr>
                <w:color w:val="auto"/>
              </w:rPr>
            </w:pPr>
            <w:r>
              <w:rPr>
                <w:rFonts w:hint="eastAsia"/>
                <w:color w:val="auto"/>
              </w:rPr>
              <w:t>/</w:t>
            </w:r>
          </w:p>
        </w:tc>
        <w:tc>
          <w:tcPr>
            <w:tcW w:w="451" w:type="pct"/>
            <w:tcBorders>
              <w:top w:val="single" w:color="000000" w:sz="4" w:space="0"/>
              <w:left w:val="single" w:color="000000" w:sz="4" w:space="0"/>
              <w:bottom w:val="single" w:color="000000" w:sz="4" w:space="0"/>
              <w:right w:val="single" w:color="000000" w:sz="4" w:space="0"/>
            </w:tcBorders>
            <w:vAlign w:val="center"/>
          </w:tcPr>
          <w:p w14:paraId="74AF35D1">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1B222E73">
            <w:pPr>
              <w:pStyle w:val="28"/>
              <w:bidi w:val="0"/>
              <w:rPr>
                <w:color w:val="auto"/>
              </w:rPr>
            </w:pPr>
            <w:r>
              <w:rPr>
                <w:rFonts w:hint="eastAsia"/>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69BBAB55">
            <w:pPr>
              <w:pStyle w:val="28"/>
              <w:bidi w:val="0"/>
              <w:rPr>
                <w:color w:val="auto"/>
              </w:rPr>
            </w:pPr>
            <w:r>
              <w:rPr>
                <w:color w:val="auto"/>
              </w:rPr>
              <w:t>三级</w:t>
            </w:r>
          </w:p>
        </w:tc>
      </w:tr>
      <w:tr w14:paraId="38248755">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3340B5B9">
            <w:pPr>
              <w:pStyle w:val="28"/>
              <w:bidi w:val="0"/>
              <w:rPr>
                <w:color w:val="auto"/>
              </w:rPr>
            </w:pPr>
            <w:r>
              <w:rPr>
                <w:color w:val="auto"/>
              </w:rPr>
              <w:t>2</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5279D407">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6312C954">
            <w:pPr>
              <w:pStyle w:val="28"/>
              <w:bidi w:val="0"/>
              <w:rPr>
                <w:color w:val="auto"/>
              </w:rPr>
            </w:pPr>
            <w:r>
              <w:rPr>
                <w:rFonts w:hint="eastAsia"/>
                <w:color w:val="auto"/>
              </w:rPr>
              <w:t>二引干渠</w:t>
            </w:r>
          </w:p>
        </w:tc>
        <w:tc>
          <w:tcPr>
            <w:tcW w:w="456" w:type="pct"/>
            <w:tcBorders>
              <w:top w:val="single" w:color="000000" w:sz="4" w:space="0"/>
              <w:left w:val="single" w:color="000000" w:sz="4" w:space="0"/>
              <w:bottom w:val="single" w:color="000000" w:sz="4" w:space="0"/>
              <w:right w:val="single" w:color="000000" w:sz="4" w:space="0"/>
            </w:tcBorders>
            <w:vAlign w:val="center"/>
          </w:tcPr>
          <w:p w14:paraId="67740F08">
            <w:pPr>
              <w:pStyle w:val="28"/>
              <w:bidi w:val="0"/>
              <w:rPr>
                <w:color w:val="auto"/>
              </w:rPr>
            </w:pPr>
            <w:r>
              <w:rPr>
                <w:color w:val="auto"/>
              </w:rPr>
              <w:t>/</w:t>
            </w:r>
          </w:p>
        </w:tc>
        <w:tc>
          <w:tcPr>
            <w:tcW w:w="422" w:type="pct"/>
            <w:tcBorders>
              <w:top w:val="single" w:color="000000" w:sz="4" w:space="0"/>
              <w:left w:val="single" w:color="000000" w:sz="4" w:space="0"/>
              <w:bottom w:val="single" w:color="000000" w:sz="4" w:space="0"/>
              <w:right w:val="single" w:color="000000" w:sz="4" w:space="0"/>
            </w:tcBorders>
            <w:vAlign w:val="center"/>
          </w:tcPr>
          <w:p w14:paraId="0C96113B">
            <w:pPr>
              <w:pStyle w:val="28"/>
              <w:bidi w:val="0"/>
              <w:rPr>
                <w:color w:val="auto"/>
              </w:rPr>
            </w:pPr>
            <w:r>
              <w:rPr>
                <w:rFonts w:hint="eastAsia"/>
                <w:color w:val="auto"/>
              </w:rPr>
              <w:t>/</w:t>
            </w:r>
          </w:p>
        </w:tc>
        <w:tc>
          <w:tcPr>
            <w:tcW w:w="324" w:type="pct"/>
            <w:tcBorders>
              <w:top w:val="single" w:color="000000" w:sz="4" w:space="0"/>
              <w:left w:val="single" w:color="000000" w:sz="4" w:space="0"/>
              <w:bottom w:val="single" w:color="000000" w:sz="4" w:space="0"/>
              <w:right w:val="single" w:color="000000" w:sz="4" w:space="0"/>
            </w:tcBorders>
            <w:vAlign w:val="center"/>
          </w:tcPr>
          <w:p w14:paraId="27329832">
            <w:pPr>
              <w:pStyle w:val="28"/>
              <w:bidi w:val="0"/>
              <w:rPr>
                <w:color w:val="auto"/>
              </w:rPr>
            </w:pPr>
            <w:r>
              <w:rPr>
                <w:color w:val="auto"/>
              </w:rPr>
              <w:t>/</w:t>
            </w:r>
          </w:p>
        </w:tc>
        <w:tc>
          <w:tcPr>
            <w:tcW w:w="1170" w:type="pct"/>
            <w:tcBorders>
              <w:top w:val="single" w:color="000000" w:sz="4" w:space="0"/>
              <w:left w:val="single" w:color="000000" w:sz="4" w:space="0"/>
              <w:bottom w:val="single" w:color="000000" w:sz="4" w:space="0"/>
              <w:right w:val="single" w:color="000000" w:sz="4" w:space="0"/>
            </w:tcBorders>
            <w:vAlign w:val="center"/>
          </w:tcPr>
          <w:p w14:paraId="20EEC614">
            <w:pPr>
              <w:pStyle w:val="28"/>
              <w:bidi w:val="0"/>
              <w:rPr>
                <w:color w:val="auto"/>
              </w:rPr>
            </w:pPr>
            <w:r>
              <w:rPr>
                <w:color w:val="auto"/>
              </w:rPr>
              <w:t>渠道岸坡</w:t>
            </w:r>
            <w:r>
              <w:rPr>
                <w:rFonts w:hint="eastAsia"/>
                <w:color w:val="auto"/>
              </w:rPr>
              <w:t>衬</w:t>
            </w:r>
            <w:r>
              <w:rPr>
                <w:color w:val="auto"/>
              </w:rPr>
              <w:t>砌</w:t>
            </w:r>
            <w:r>
              <w:rPr>
                <w:rFonts w:hint="eastAsia"/>
                <w:color w:val="auto"/>
              </w:rPr>
              <w:t>1361</w:t>
            </w:r>
            <w:r>
              <w:rPr>
                <w:color w:val="auto"/>
              </w:rPr>
              <w:t>m</w:t>
            </w:r>
            <w:r>
              <w:rPr>
                <w:rFonts w:hint="eastAsia"/>
                <w:color w:val="auto"/>
              </w:rPr>
              <w:t>，拆除重建1座分水闸、12座放水涵闸</w:t>
            </w:r>
          </w:p>
        </w:tc>
        <w:tc>
          <w:tcPr>
            <w:tcW w:w="451" w:type="pct"/>
            <w:tcBorders>
              <w:top w:val="single" w:color="000000" w:sz="4" w:space="0"/>
              <w:left w:val="single" w:color="000000" w:sz="4" w:space="0"/>
              <w:bottom w:val="single" w:color="000000" w:sz="4" w:space="0"/>
              <w:right w:val="single" w:color="000000" w:sz="4" w:space="0"/>
            </w:tcBorders>
            <w:vAlign w:val="center"/>
          </w:tcPr>
          <w:p w14:paraId="61A67447">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3575E27A">
            <w:pPr>
              <w:pStyle w:val="28"/>
              <w:bidi w:val="0"/>
              <w:rPr>
                <w:color w:val="auto"/>
              </w:rPr>
            </w:pPr>
            <w:r>
              <w:rPr>
                <w:rFonts w:hint="eastAsia"/>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3FBA240A">
            <w:pPr>
              <w:pStyle w:val="28"/>
              <w:bidi w:val="0"/>
              <w:rPr>
                <w:color w:val="auto"/>
              </w:rPr>
            </w:pPr>
            <w:r>
              <w:rPr>
                <w:color w:val="auto"/>
              </w:rPr>
              <w:t>三级</w:t>
            </w:r>
          </w:p>
        </w:tc>
      </w:tr>
      <w:tr w14:paraId="61C8C341">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27FE2F43">
            <w:pPr>
              <w:pStyle w:val="28"/>
              <w:bidi w:val="0"/>
              <w:rPr>
                <w:color w:val="auto"/>
              </w:rPr>
            </w:pPr>
            <w:r>
              <w:rPr>
                <w:color w:val="auto"/>
              </w:rPr>
              <w:t>3</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02B88207">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01A867FC">
            <w:pPr>
              <w:pStyle w:val="28"/>
              <w:bidi w:val="0"/>
              <w:rPr>
                <w:color w:val="auto"/>
              </w:rPr>
            </w:pPr>
            <w:r>
              <w:rPr>
                <w:rFonts w:hint="eastAsia"/>
                <w:color w:val="auto"/>
              </w:rPr>
              <w:t>一东干渠</w:t>
            </w:r>
          </w:p>
        </w:tc>
        <w:tc>
          <w:tcPr>
            <w:tcW w:w="456" w:type="pct"/>
            <w:tcBorders>
              <w:top w:val="single" w:color="000000" w:sz="4" w:space="0"/>
              <w:left w:val="single" w:color="000000" w:sz="4" w:space="0"/>
              <w:bottom w:val="single" w:color="000000" w:sz="4" w:space="0"/>
              <w:right w:val="single" w:color="000000" w:sz="4" w:space="0"/>
            </w:tcBorders>
            <w:vAlign w:val="center"/>
          </w:tcPr>
          <w:p w14:paraId="691DD380">
            <w:pPr>
              <w:pStyle w:val="28"/>
              <w:bidi w:val="0"/>
              <w:rPr>
                <w:color w:val="auto"/>
              </w:rPr>
            </w:pPr>
            <w:r>
              <w:rPr>
                <w:rFonts w:hint="eastAsia"/>
                <w:color w:val="auto"/>
              </w:rPr>
              <w:t>832</w:t>
            </w:r>
          </w:p>
        </w:tc>
        <w:tc>
          <w:tcPr>
            <w:tcW w:w="422" w:type="pct"/>
            <w:tcBorders>
              <w:top w:val="single" w:color="000000" w:sz="4" w:space="0"/>
              <w:left w:val="single" w:color="000000" w:sz="4" w:space="0"/>
              <w:bottom w:val="single" w:color="000000" w:sz="4" w:space="0"/>
              <w:right w:val="single" w:color="000000" w:sz="4" w:space="0"/>
            </w:tcBorders>
            <w:vAlign w:val="center"/>
          </w:tcPr>
          <w:p w14:paraId="56477748">
            <w:pPr>
              <w:pStyle w:val="28"/>
              <w:bidi w:val="0"/>
              <w:rPr>
                <w:color w:val="auto"/>
              </w:rPr>
            </w:pPr>
            <w:r>
              <w:rPr>
                <w:rFonts w:hint="eastAsia"/>
                <w:color w:val="auto"/>
              </w:rPr>
              <w:t>2.18</w:t>
            </w:r>
          </w:p>
        </w:tc>
        <w:tc>
          <w:tcPr>
            <w:tcW w:w="324" w:type="pct"/>
            <w:tcBorders>
              <w:top w:val="single" w:color="000000" w:sz="4" w:space="0"/>
              <w:left w:val="single" w:color="000000" w:sz="4" w:space="0"/>
              <w:bottom w:val="single" w:color="000000" w:sz="4" w:space="0"/>
              <w:right w:val="single" w:color="000000" w:sz="4" w:space="0"/>
            </w:tcBorders>
            <w:vAlign w:val="center"/>
          </w:tcPr>
          <w:p w14:paraId="2D9CB954">
            <w:pPr>
              <w:pStyle w:val="28"/>
              <w:bidi w:val="0"/>
              <w:rPr>
                <w:color w:val="auto"/>
              </w:rPr>
            </w:pPr>
            <w:r>
              <w:rPr>
                <w:rFonts w:hint="eastAsia"/>
                <w:color w:val="auto"/>
              </w:rPr>
              <w:t>0.0018</w:t>
            </w:r>
          </w:p>
        </w:tc>
        <w:tc>
          <w:tcPr>
            <w:tcW w:w="1170" w:type="pct"/>
            <w:tcBorders>
              <w:top w:val="single" w:color="000000" w:sz="4" w:space="0"/>
              <w:left w:val="single" w:color="000000" w:sz="4" w:space="0"/>
              <w:bottom w:val="single" w:color="000000" w:sz="4" w:space="0"/>
              <w:right w:val="single" w:color="000000" w:sz="4" w:space="0"/>
            </w:tcBorders>
            <w:vAlign w:val="center"/>
          </w:tcPr>
          <w:p w14:paraId="73189EFE">
            <w:pPr>
              <w:pStyle w:val="28"/>
              <w:bidi w:val="0"/>
              <w:rPr>
                <w:color w:val="auto"/>
              </w:rPr>
            </w:pPr>
            <w:r>
              <w:rPr>
                <w:color w:val="auto"/>
              </w:rPr>
              <w:t>渠道岸坡</w:t>
            </w:r>
            <w:r>
              <w:rPr>
                <w:rFonts w:hint="eastAsia"/>
                <w:color w:val="auto"/>
              </w:rPr>
              <w:t>衬</w:t>
            </w:r>
            <w:r>
              <w:rPr>
                <w:color w:val="auto"/>
              </w:rPr>
              <w:t>砌</w:t>
            </w:r>
            <w:r>
              <w:rPr>
                <w:rFonts w:hint="eastAsia"/>
                <w:color w:val="auto"/>
              </w:rPr>
              <w:t>12988</w:t>
            </w:r>
            <w:r>
              <w:rPr>
                <w:color w:val="auto"/>
              </w:rPr>
              <w:t>m</w:t>
            </w:r>
            <w:r>
              <w:rPr>
                <w:rFonts w:hint="eastAsia"/>
                <w:color w:val="auto"/>
              </w:rPr>
              <w:t>，1座节制闸更换闸门启闭机、1座分水闸更换闸门启闭机、拆除重建25座放水涵闸、4座机耕桥</w:t>
            </w:r>
          </w:p>
        </w:tc>
        <w:tc>
          <w:tcPr>
            <w:tcW w:w="451" w:type="pct"/>
            <w:tcBorders>
              <w:top w:val="single" w:color="000000" w:sz="4" w:space="0"/>
              <w:left w:val="single" w:color="000000" w:sz="4" w:space="0"/>
              <w:bottom w:val="single" w:color="000000" w:sz="4" w:space="0"/>
              <w:right w:val="single" w:color="000000" w:sz="4" w:space="0"/>
            </w:tcBorders>
            <w:vAlign w:val="center"/>
          </w:tcPr>
          <w:p w14:paraId="431FA85E">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40F5A558">
            <w:pPr>
              <w:pStyle w:val="28"/>
              <w:bidi w:val="0"/>
              <w:rPr>
                <w:color w:val="auto"/>
              </w:rPr>
            </w:pPr>
            <w:r>
              <w:rPr>
                <w:rFonts w:hint="eastAsia"/>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5ED21AB1">
            <w:pPr>
              <w:pStyle w:val="28"/>
              <w:bidi w:val="0"/>
              <w:rPr>
                <w:color w:val="auto"/>
              </w:rPr>
            </w:pPr>
            <w:r>
              <w:rPr>
                <w:color w:val="auto"/>
              </w:rPr>
              <w:t>三级</w:t>
            </w:r>
          </w:p>
        </w:tc>
      </w:tr>
      <w:tr w14:paraId="06CD4420">
        <w:tblPrEx>
          <w:tblCellMar>
            <w:top w:w="0" w:type="dxa"/>
            <w:left w:w="108" w:type="dxa"/>
            <w:bottom w:w="0" w:type="dxa"/>
            <w:right w:w="108" w:type="dxa"/>
          </w:tblCellMar>
        </w:tblPrEx>
        <w:trPr>
          <w:trHeight w:val="9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514089E3">
            <w:pPr>
              <w:pStyle w:val="28"/>
              <w:bidi w:val="0"/>
              <w:rPr>
                <w:color w:val="auto"/>
              </w:rPr>
            </w:pPr>
            <w:r>
              <w:rPr>
                <w:color w:val="auto"/>
              </w:rPr>
              <w:t>4</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3D17BA38">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7B1125FD">
            <w:pPr>
              <w:pStyle w:val="28"/>
              <w:bidi w:val="0"/>
              <w:rPr>
                <w:color w:val="auto"/>
              </w:rPr>
            </w:pPr>
            <w:r>
              <w:rPr>
                <w:rFonts w:hint="eastAsia"/>
                <w:color w:val="auto"/>
              </w:rPr>
              <w:t>二东干渠</w:t>
            </w:r>
          </w:p>
        </w:tc>
        <w:tc>
          <w:tcPr>
            <w:tcW w:w="456" w:type="pct"/>
            <w:tcBorders>
              <w:top w:val="single" w:color="000000" w:sz="4" w:space="0"/>
              <w:left w:val="single" w:color="000000" w:sz="4" w:space="0"/>
              <w:bottom w:val="single" w:color="000000" w:sz="4" w:space="0"/>
              <w:right w:val="single" w:color="000000" w:sz="4" w:space="0"/>
            </w:tcBorders>
            <w:vAlign w:val="center"/>
          </w:tcPr>
          <w:p w14:paraId="6E50CCA5">
            <w:pPr>
              <w:pStyle w:val="28"/>
              <w:bidi w:val="0"/>
              <w:rPr>
                <w:color w:val="auto"/>
              </w:rPr>
            </w:pPr>
            <w:r>
              <w:rPr>
                <w:rFonts w:hint="eastAsia"/>
                <w:color w:val="auto"/>
              </w:rPr>
              <w:t>370</w:t>
            </w:r>
          </w:p>
        </w:tc>
        <w:tc>
          <w:tcPr>
            <w:tcW w:w="422" w:type="pct"/>
            <w:tcBorders>
              <w:top w:val="single" w:color="000000" w:sz="4" w:space="0"/>
              <w:left w:val="single" w:color="000000" w:sz="4" w:space="0"/>
              <w:bottom w:val="single" w:color="000000" w:sz="4" w:space="0"/>
              <w:right w:val="single" w:color="000000" w:sz="4" w:space="0"/>
            </w:tcBorders>
            <w:vAlign w:val="center"/>
          </w:tcPr>
          <w:p w14:paraId="452CA374">
            <w:pPr>
              <w:pStyle w:val="28"/>
              <w:bidi w:val="0"/>
              <w:rPr>
                <w:color w:val="auto"/>
              </w:rPr>
            </w:pPr>
            <w:r>
              <w:rPr>
                <w:rFonts w:hint="eastAsia"/>
                <w:color w:val="auto"/>
              </w:rPr>
              <w:t>1.71</w:t>
            </w:r>
          </w:p>
        </w:tc>
        <w:tc>
          <w:tcPr>
            <w:tcW w:w="324" w:type="pct"/>
            <w:tcBorders>
              <w:top w:val="single" w:color="000000" w:sz="4" w:space="0"/>
              <w:left w:val="single" w:color="000000" w:sz="4" w:space="0"/>
              <w:bottom w:val="single" w:color="000000" w:sz="4" w:space="0"/>
              <w:right w:val="single" w:color="000000" w:sz="4" w:space="0"/>
            </w:tcBorders>
            <w:vAlign w:val="center"/>
          </w:tcPr>
          <w:p w14:paraId="527C1213">
            <w:pPr>
              <w:pStyle w:val="28"/>
              <w:bidi w:val="0"/>
              <w:rPr>
                <w:color w:val="auto"/>
              </w:rPr>
            </w:pPr>
            <w:r>
              <w:rPr>
                <w:rFonts w:hint="eastAsia"/>
                <w:color w:val="auto"/>
              </w:rPr>
              <w:t>0.0006</w:t>
            </w:r>
          </w:p>
        </w:tc>
        <w:tc>
          <w:tcPr>
            <w:tcW w:w="1170" w:type="pct"/>
            <w:tcBorders>
              <w:top w:val="single" w:color="000000" w:sz="4" w:space="0"/>
              <w:left w:val="single" w:color="000000" w:sz="4" w:space="0"/>
              <w:bottom w:val="single" w:color="000000" w:sz="4" w:space="0"/>
              <w:right w:val="single" w:color="000000" w:sz="4" w:space="0"/>
            </w:tcBorders>
            <w:vAlign w:val="center"/>
          </w:tcPr>
          <w:p w14:paraId="6EF82FE6">
            <w:pPr>
              <w:pStyle w:val="28"/>
              <w:bidi w:val="0"/>
              <w:rPr>
                <w:color w:val="auto"/>
              </w:rPr>
            </w:pPr>
            <w:r>
              <w:rPr>
                <w:color w:val="auto"/>
              </w:rPr>
              <w:t>渠道岸坡</w:t>
            </w:r>
            <w:r>
              <w:rPr>
                <w:rFonts w:hint="eastAsia"/>
                <w:color w:val="auto"/>
              </w:rPr>
              <w:t>衬</w:t>
            </w:r>
            <w:r>
              <w:rPr>
                <w:color w:val="auto"/>
              </w:rPr>
              <w:t>砌</w:t>
            </w:r>
            <w:r>
              <w:rPr>
                <w:rFonts w:hint="eastAsia"/>
                <w:color w:val="auto"/>
              </w:rPr>
              <w:t>8392</w:t>
            </w:r>
            <w:r>
              <w:rPr>
                <w:color w:val="auto"/>
              </w:rPr>
              <w:t>m</w:t>
            </w:r>
            <w:r>
              <w:rPr>
                <w:rFonts w:hint="eastAsia"/>
                <w:color w:val="auto"/>
              </w:rPr>
              <w:t>，1座节制闸更换闸门启闭机、拆除重建33座放水涵闸、6座机耕桥、1处渡槽</w:t>
            </w:r>
          </w:p>
        </w:tc>
        <w:tc>
          <w:tcPr>
            <w:tcW w:w="451" w:type="pct"/>
            <w:tcBorders>
              <w:top w:val="single" w:color="000000" w:sz="4" w:space="0"/>
              <w:left w:val="single" w:color="000000" w:sz="4" w:space="0"/>
              <w:bottom w:val="single" w:color="000000" w:sz="4" w:space="0"/>
              <w:right w:val="single" w:color="000000" w:sz="4" w:space="0"/>
            </w:tcBorders>
            <w:vAlign w:val="center"/>
          </w:tcPr>
          <w:p w14:paraId="57680129">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729FEFB2">
            <w:pPr>
              <w:pStyle w:val="28"/>
              <w:bidi w:val="0"/>
              <w:rPr>
                <w:color w:val="auto"/>
              </w:rPr>
            </w:pPr>
            <w:r>
              <w:rPr>
                <w:rFonts w:hint="eastAsia"/>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7E19C28D">
            <w:pPr>
              <w:pStyle w:val="28"/>
              <w:bidi w:val="0"/>
              <w:rPr>
                <w:color w:val="auto"/>
              </w:rPr>
            </w:pPr>
            <w:r>
              <w:rPr>
                <w:color w:val="auto"/>
              </w:rPr>
              <w:t>三级</w:t>
            </w:r>
          </w:p>
        </w:tc>
      </w:tr>
      <w:tr w14:paraId="37FFD03F">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58719A0D">
            <w:pPr>
              <w:pStyle w:val="28"/>
              <w:bidi w:val="0"/>
              <w:rPr>
                <w:color w:val="auto"/>
              </w:rPr>
            </w:pPr>
            <w:r>
              <w:rPr>
                <w:color w:val="auto"/>
              </w:rPr>
              <w:t>5</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42A1AE84">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160C5379">
            <w:pPr>
              <w:pStyle w:val="28"/>
              <w:bidi w:val="0"/>
              <w:rPr>
                <w:color w:val="auto"/>
              </w:rPr>
            </w:pPr>
            <w:r>
              <w:rPr>
                <w:rFonts w:hint="eastAsia"/>
                <w:color w:val="auto"/>
              </w:rPr>
              <w:t>二北干渠</w:t>
            </w:r>
          </w:p>
        </w:tc>
        <w:tc>
          <w:tcPr>
            <w:tcW w:w="456" w:type="pct"/>
            <w:tcBorders>
              <w:top w:val="single" w:color="000000" w:sz="4" w:space="0"/>
              <w:left w:val="single" w:color="000000" w:sz="4" w:space="0"/>
              <w:bottom w:val="single" w:color="000000" w:sz="4" w:space="0"/>
              <w:right w:val="single" w:color="000000" w:sz="4" w:space="0"/>
            </w:tcBorders>
            <w:vAlign w:val="center"/>
          </w:tcPr>
          <w:p w14:paraId="160C420F">
            <w:pPr>
              <w:pStyle w:val="28"/>
              <w:bidi w:val="0"/>
              <w:rPr>
                <w:color w:val="auto"/>
              </w:rPr>
            </w:pPr>
            <w:r>
              <w:rPr>
                <w:rFonts w:hint="eastAsia"/>
                <w:color w:val="auto"/>
              </w:rPr>
              <w:t>1769</w:t>
            </w:r>
          </w:p>
        </w:tc>
        <w:tc>
          <w:tcPr>
            <w:tcW w:w="422" w:type="pct"/>
            <w:tcBorders>
              <w:top w:val="single" w:color="000000" w:sz="4" w:space="0"/>
              <w:left w:val="single" w:color="000000" w:sz="4" w:space="0"/>
              <w:bottom w:val="single" w:color="000000" w:sz="4" w:space="0"/>
              <w:right w:val="single" w:color="000000" w:sz="4" w:space="0"/>
            </w:tcBorders>
            <w:vAlign w:val="center"/>
          </w:tcPr>
          <w:p w14:paraId="5012E9AF">
            <w:pPr>
              <w:pStyle w:val="28"/>
              <w:bidi w:val="0"/>
              <w:rPr>
                <w:color w:val="auto"/>
              </w:rPr>
            </w:pPr>
            <w:r>
              <w:rPr>
                <w:rFonts w:hint="eastAsia"/>
                <w:color w:val="auto"/>
              </w:rPr>
              <w:t>2.00</w:t>
            </w:r>
          </w:p>
        </w:tc>
        <w:tc>
          <w:tcPr>
            <w:tcW w:w="324" w:type="pct"/>
            <w:tcBorders>
              <w:top w:val="single" w:color="000000" w:sz="4" w:space="0"/>
              <w:left w:val="single" w:color="000000" w:sz="4" w:space="0"/>
              <w:bottom w:val="single" w:color="000000" w:sz="4" w:space="0"/>
              <w:right w:val="single" w:color="000000" w:sz="4" w:space="0"/>
            </w:tcBorders>
            <w:vAlign w:val="center"/>
          </w:tcPr>
          <w:p w14:paraId="43CC12EB">
            <w:pPr>
              <w:pStyle w:val="28"/>
              <w:bidi w:val="0"/>
              <w:rPr>
                <w:color w:val="auto"/>
              </w:rPr>
            </w:pPr>
            <w:r>
              <w:rPr>
                <w:rFonts w:hint="eastAsia"/>
                <w:color w:val="auto"/>
              </w:rPr>
              <w:t>0.0035</w:t>
            </w:r>
          </w:p>
        </w:tc>
        <w:tc>
          <w:tcPr>
            <w:tcW w:w="1170" w:type="pct"/>
            <w:tcBorders>
              <w:top w:val="single" w:color="000000" w:sz="4" w:space="0"/>
              <w:left w:val="single" w:color="000000" w:sz="4" w:space="0"/>
              <w:bottom w:val="single" w:color="000000" w:sz="4" w:space="0"/>
              <w:right w:val="single" w:color="000000" w:sz="4" w:space="0"/>
            </w:tcBorders>
            <w:vAlign w:val="center"/>
          </w:tcPr>
          <w:p w14:paraId="626F6AF3">
            <w:pPr>
              <w:pStyle w:val="28"/>
              <w:bidi w:val="0"/>
              <w:rPr>
                <w:color w:val="auto"/>
              </w:rPr>
            </w:pPr>
            <w:r>
              <w:rPr>
                <w:color w:val="auto"/>
              </w:rPr>
              <w:t>渠道岸坡</w:t>
            </w:r>
            <w:r>
              <w:rPr>
                <w:rFonts w:hint="eastAsia"/>
                <w:color w:val="auto"/>
              </w:rPr>
              <w:t>衬</w:t>
            </w:r>
            <w:r>
              <w:rPr>
                <w:color w:val="auto"/>
              </w:rPr>
              <w:t>砌</w:t>
            </w:r>
            <w:r>
              <w:rPr>
                <w:rFonts w:hint="eastAsia"/>
                <w:color w:val="auto"/>
              </w:rPr>
              <w:t>4051</w:t>
            </w:r>
            <w:r>
              <w:rPr>
                <w:color w:val="auto"/>
              </w:rPr>
              <w:t>m</w:t>
            </w:r>
            <w:r>
              <w:rPr>
                <w:rFonts w:hint="eastAsia"/>
                <w:color w:val="auto"/>
              </w:rPr>
              <w:t>，拆除重建1座分水闸、17座放水涵闸、1座机耕桥</w:t>
            </w:r>
          </w:p>
        </w:tc>
        <w:tc>
          <w:tcPr>
            <w:tcW w:w="451" w:type="pct"/>
            <w:tcBorders>
              <w:top w:val="single" w:color="000000" w:sz="4" w:space="0"/>
              <w:left w:val="single" w:color="000000" w:sz="4" w:space="0"/>
              <w:bottom w:val="single" w:color="000000" w:sz="4" w:space="0"/>
              <w:right w:val="single" w:color="000000" w:sz="4" w:space="0"/>
            </w:tcBorders>
            <w:vAlign w:val="center"/>
          </w:tcPr>
          <w:p w14:paraId="6CCA0409">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4425B755">
            <w:pPr>
              <w:pStyle w:val="28"/>
              <w:bidi w:val="0"/>
              <w:rPr>
                <w:color w:val="auto"/>
              </w:rPr>
            </w:pPr>
            <w:r>
              <w:rPr>
                <w:rFonts w:hint="eastAsia"/>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6E14CF77">
            <w:pPr>
              <w:pStyle w:val="28"/>
              <w:bidi w:val="0"/>
              <w:rPr>
                <w:color w:val="auto"/>
              </w:rPr>
            </w:pPr>
            <w:r>
              <w:rPr>
                <w:color w:val="auto"/>
              </w:rPr>
              <w:t>三级</w:t>
            </w:r>
          </w:p>
        </w:tc>
      </w:tr>
      <w:tr w14:paraId="04460E55">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5FC991EB">
            <w:pPr>
              <w:pStyle w:val="28"/>
              <w:bidi w:val="0"/>
              <w:rPr>
                <w:color w:val="auto"/>
              </w:rPr>
            </w:pPr>
            <w:r>
              <w:rPr>
                <w:color w:val="auto"/>
              </w:rPr>
              <w:t>6</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23CFEC8F">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5B9766A3">
            <w:pPr>
              <w:pStyle w:val="28"/>
              <w:bidi w:val="0"/>
              <w:rPr>
                <w:color w:val="auto"/>
              </w:rPr>
            </w:pPr>
            <w:r>
              <w:rPr>
                <w:rFonts w:hint="eastAsia"/>
                <w:color w:val="auto"/>
              </w:rPr>
              <w:t>杨公三站引水渠</w:t>
            </w:r>
          </w:p>
        </w:tc>
        <w:tc>
          <w:tcPr>
            <w:tcW w:w="456" w:type="pct"/>
            <w:tcBorders>
              <w:top w:val="single" w:color="000000" w:sz="4" w:space="0"/>
              <w:left w:val="single" w:color="000000" w:sz="4" w:space="0"/>
              <w:bottom w:val="single" w:color="000000" w:sz="4" w:space="0"/>
              <w:right w:val="single" w:color="000000" w:sz="4" w:space="0"/>
            </w:tcBorders>
            <w:vAlign w:val="center"/>
          </w:tcPr>
          <w:p w14:paraId="2FA30061">
            <w:pPr>
              <w:pStyle w:val="28"/>
              <w:bidi w:val="0"/>
              <w:rPr>
                <w:color w:val="auto"/>
              </w:rPr>
            </w:pPr>
            <w:r>
              <w:rPr>
                <w:rFonts w:hint="eastAsia"/>
                <w:color w:val="auto"/>
              </w:rPr>
              <w:t>370</w:t>
            </w:r>
          </w:p>
        </w:tc>
        <w:tc>
          <w:tcPr>
            <w:tcW w:w="422" w:type="pct"/>
            <w:tcBorders>
              <w:top w:val="single" w:color="000000" w:sz="4" w:space="0"/>
              <w:left w:val="single" w:color="000000" w:sz="4" w:space="0"/>
              <w:bottom w:val="single" w:color="000000" w:sz="4" w:space="0"/>
              <w:right w:val="single" w:color="000000" w:sz="4" w:space="0"/>
            </w:tcBorders>
            <w:vAlign w:val="center"/>
          </w:tcPr>
          <w:p w14:paraId="228272A1">
            <w:pPr>
              <w:pStyle w:val="28"/>
              <w:bidi w:val="0"/>
              <w:rPr>
                <w:color w:val="auto"/>
              </w:rPr>
            </w:pPr>
          </w:p>
        </w:tc>
        <w:tc>
          <w:tcPr>
            <w:tcW w:w="324" w:type="pct"/>
            <w:tcBorders>
              <w:top w:val="single" w:color="000000" w:sz="4" w:space="0"/>
              <w:left w:val="single" w:color="000000" w:sz="4" w:space="0"/>
              <w:bottom w:val="single" w:color="000000" w:sz="4" w:space="0"/>
              <w:right w:val="single" w:color="000000" w:sz="4" w:space="0"/>
            </w:tcBorders>
            <w:vAlign w:val="center"/>
          </w:tcPr>
          <w:p w14:paraId="2D26E6C8">
            <w:pPr>
              <w:pStyle w:val="28"/>
              <w:bidi w:val="0"/>
              <w:rPr>
                <w:color w:val="auto"/>
              </w:rPr>
            </w:pPr>
          </w:p>
        </w:tc>
        <w:tc>
          <w:tcPr>
            <w:tcW w:w="1170" w:type="pct"/>
            <w:tcBorders>
              <w:top w:val="single" w:color="000000" w:sz="4" w:space="0"/>
              <w:left w:val="single" w:color="000000" w:sz="4" w:space="0"/>
              <w:bottom w:val="single" w:color="000000" w:sz="4" w:space="0"/>
              <w:right w:val="single" w:color="000000" w:sz="4" w:space="0"/>
            </w:tcBorders>
            <w:vAlign w:val="center"/>
          </w:tcPr>
          <w:p w14:paraId="1D222900">
            <w:pPr>
              <w:pStyle w:val="28"/>
              <w:bidi w:val="0"/>
              <w:rPr>
                <w:color w:val="auto"/>
              </w:rPr>
            </w:pPr>
            <w:r>
              <w:rPr>
                <w:rFonts w:hint="eastAsia"/>
                <w:color w:val="auto"/>
              </w:rPr>
              <w:t>/</w:t>
            </w:r>
          </w:p>
        </w:tc>
        <w:tc>
          <w:tcPr>
            <w:tcW w:w="451" w:type="pct"/>
            <w:tcBorders>
              <w:top w:val="single" w:color="000000" w:sz="4" w:space="0"/>
              <w:left w:val="single" w:color="000000" w:sz="4" w:space="0"/>
              <w:bottom w:val="single" w:color="000000" w:sz="4" w:space="0"/>
              <w:right w:val="single" w:color="000000" w:sz="4" w:space="0"/>
            </w:tcBorders>
            <w:vAlign w:val="center"/>
          </w:tcPr>
          <w:p w14:paraId="622F1E17">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347B1E22">
            <w:pPr>
              <w:pStyle w:val="28"/>
              <w:bidi w:val="0"/>
              <w:rPr>
                <w:color w:val="auto"/>
              </w:rPr>
            </w:pPr>
            <w:r>
              <w:rPr>
                <w:rFonts w:hint="eastAsia"/>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2A4EE74C">
            <w:pPr>
              <w:pStyle w:val="28"/>
              <w:bidi w:val="0"/>
              <w:rPr>
                <w:color w:val="auto"/>
              </w:rPr>
            </w:pPr>
            <w:r>
              <w:rPr>
                <w:color w:val="auto"/>
              </w:rPr>
              <w:t>三级</w:t>
            </w:r>
          </w:p>
        </w:tc>
      </w:tr>
      <w:tr w14:paraId="259AC1EA">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28BE63BD">
            <w:pPr>
              <w:pStyle w:val="28"/>
              <w:bidi w:val="0"/>
              <w:rPr>
                <w:color w:val="auto"/>
              </w:rPr>
            </w:pPr>
            <w:r>
              <w:rPr>
                <w:color w:val="auto"/>
              </w:rPr>
              <w:t>7</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46D63EA5">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754C3553">
            <w:pPr>
              <w:pStyle w:val="28"/>
              <w:bidi w:val="0"/>
              <w:rPr>
                <w:color w:val="auto"/>
              </w:rPr>
            </w:pPr>
            <w:r>
              <w:rPr>
                <w:rFonts w:hint="eastAsia"/>
                <w:color w:val="auto"/>
              </w:rPr>
              <w:t>三北干渠</w:t>
            </w:r>
          </w:p>
        </w:tc>
        <w:tc>
          <w:tcPr>
            <w:tcW w:w="456" w:type="pct"/>
            <w:tcBorders>
              <w:top w:val="single" w:color="000000" w:sz="4" w:space="0"/>
              <w:left w:val="single" w:color="000000" w:sz="4" w:space="0"/>
              <w:bottom w:val="single" w:color="000000" w:sz="4" w:space="0"/>
              <w:right w:val="single" w:color="000000" w:sz="4" w:space="0"/>
            </w:tcBorders>
            <w:vAlign w:val="center"/>
          </w:tcPr>
          <w:p w14:paraId="40DA4F83">
            <w:pPr>
              <w:pStyle w:val="28"/>
              <w:bidi w:val="0"/>
              <w:rPr>
                <w:color w:val="auto"/>
              </w:rPr>
            </w:pPr>
            <w:r>
              <w:rPr>
                <w:rFonts w:hint="eastAsia"/>
                <w:color w:val="auto"/>
              </w:rPr>
              <w:t>2259</w:t>
            </w:r>
          </w:p>
        </w:tc>
        <w:tc>
          <w:tcPr>
            <w:tcW w:w="422" w:type="pct"/>
            <w:tcBorders>
              <w:top w:val="single" w:color="000000" w:sz="4" w:space="0"/>
              <w:left w:val="single" w:color="000000" w:sz="4" w:space="0"/>
              <w:bottom w:val="single" w:color="000000" w:sz="4" w:space="0"/>
              <w:right w:val="single" w:color="000000" w:sz="4" w:space="0"/>
            </w:tcBorders>
            <w:vAlign w:val="center"/>
          </w:tcPr>
          <w:p w14:paraId="36A5B7DF">
            <w:pPr>
              <w:pStyle w:val="28"/>
              <w:bidi w:val="0"/>
              <w:rPr>
                <w:color w:val="auto"/>
              </w:rPr>
            </w:pPr>
            <w:r>
              <w:rPr>
                <w:rFonts w:hint="eastAsia"/>
                <w:color w:val="auto"/>
              </w:rPr>
              <w:t>2.50</w:t>
            </w:r>
          </w:p>
        </w:tc>
        <w:tc>
          <w:tcPr>
            <w:tcW w:w="324" w:type="pct"/>
            <w:tcBorders>
              <w:top w:val="single" w:color="000000" w:sz="4" w:space="0"/>
              <w:left w:val="single" w:color="000000" w:sz="4" w:space="0"/>
              <w:bottom w:val="single" w:color="000000" w:sz="4" w:space="0"/>
              <w:right w:val="single" w:color="000000" w:sz="4" w:space="0"/>
            </w:tcBorders>
            <w:vAlign w:val="center"/>
          </w:tcPr>
          <w:p w14:paraId="58B1BADF">
            <w:pPr>
              <w:pStyle w:val="28"/>
              <w:bidi w:val="0"/>
              <w:rPr>
                <w:color w:val="auto"/>
              </w:rPr>
            </w:pPr>
            <w:r>
              <w:rPr>
                <w:rFonts w:hint="eastAsia"/>
                <w:color w:val="auto"/>
              </w:rPr>
              <w:t>0.0056</w:t>
            </w:r>
          </w:p>
        </w:tc>
        <w:tc>
          <w:tcPr>
            <w:tcW w:w="1170" w:type="pct"/>
            <w:tcBorders>
              <w:top w:val="single" w:color="000000" w:sz="4" w:space="0"/>
              <w:left w:val="single" w:color="000000" w:sz="4" w:space="0"/>
              <w:bottom w:val="single" w:color="000000" w:sz="4" w:space="0"/>
              <w:right w:val="single" w:color="000000" w:sz="4" w:space="0"/>
            </w:tcBorders>
            <w:vAlign w:val="center"/>
          </w:tcPr>
          <w:p w14:paraId="45CC312D">
            <w:pPr>
              <w:pStyle w:val="28"/>
              <w:bidi w:val="0"/>
              <w:rPr>
                <w:color w:val="auto"/>
              </w:rPr>
            </w:pPr>
            <w:r>
              <w:rPr>
                <w:color w:val="auto"/>
              </w:rPr>
              <w:t>渠道岸坡</w:t>
            </w:r>
            <w:r>
              <w:rPr>
                <w:rFonts w:hint="eastAsia"/>
                <w:color w:val="auto"/>
              </w:rPr>
              <w:t>衬</w:t>
            </w:r>
            <w:r>
              <w:rPr>
                <w:color w:val="auto"/>
              </w:rPr>
              <w:t>砌</w:t>
            </w:r>
            <w:r>
              <w:rPr>
                <w:rFonts w:hint="eastAsia"/>
                <w:color w:val="auto"/>
              </w:rPr>
              <w:t>740</w:t>
            </w:r>
            <w:r>
              <w:rPr>
                <w:color w:val="auto"/>
              </w:rPr>
              <w:t>m</w:t>
            </w:r>
            <w:r>
              <w:rPr>
                <w:rFonts w:hint="eastAsia"/>
                <w:color w:val="auto"/>
              </w:rPr>
              <w:t>，拆除重建1座分水闸、3座放水涵闸</w:t>
            </w:r>
          </w:p>
        </w:tc>
        <w:tc>
          <w:tcPr>
            <w:tcW w:w="451" w:type="pct"/>
            <w:tcBorders>
              <w:top w:val="single" w:color="000000" w:sz="4" w:space="0"/>
              <w:left w:val="single" w:color="000000" w:sz="4" w:space="0"/>
              <w:bottom w:val="single" w:color="000000" w:sz="4" w:space="0"/>
              <w:right w:val="single" w:color="000000" w:sz="4" w:space="0"/>
            </w:tcBorders>
            <w:vAlign w:val="center"/>
          </w:tcPr>
          <w:p w14:paraId="250E9283">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68CE714F">
            <w:pPr>
              <w:pStyle w:val="28"/>
              <w:bidi w:val="0"/>
              <w:rPr>
                <w:color w:val="auto"/>
              </w:rPr>
            </w:pPr>
            <w:r>
              <w:rPr>
                <w:rFonts w:hint="eastAsia"/>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70F0FB97">
            <w:pPr>
              <w:pStyle w:val="28"/>
              <w:bidi w:val="0"/>
              <w:rPr>
                <w:color w:val="auto"/>
              </w:rPr>
            </w:pPr>
            <w:r>
              <w:rPr>
                <w:color w:val="auto"/>
              </w:rPr>
              <w:t>三级</w:t>
            </w:r>
          </w:p>
        </w:tc>
      </w:tr>
      <w:tr w14:paraId="5F5FA4F6">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4F6205F0">
            <w:pPr>
              <w:pStyle w:val="28"/>
              <w:bidi w:val="0"/>
              <w:rPr>
                <w:color w:val="auto"/>
              </w:rPr>
            </w:pPr>
            <w:r>
              <w:rPr>
                <w:color w:val="auto"/>
              </w:rPr>
              <w:t>8</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39B5833A">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67D8DBBB">
            <w:pPr>
              <w:pStyle w:val="28"/>
              <w:bidi w:val="0"/>
              <w:rPr>
                <w:color w:val="auto"/>
              </w:rPr>
            </w:pPr>
            <w:r>
              <w:rPr>
                <w:rFonts w:hint="eastAsia"/>
                <w:color w:val="auto"/>
              </w:rPr>
              <w:t>杨公三站出水渠</w:t>
            </w:r>
          </w:p>
        </w:tc>
        <w:tc>
          <w:tcPr>
            <w:tcW w:w="456" w:type="pct"/>
            <w:tcBorders>
              <w:top w:val="single" w:color="000000" w:sz="4" w:space="0"/>
              <w:left w:val="single" w:color="000000" w:sz="4" w:space="0"/>
              <w:bottom w:val="single" w:color="000000" w:sz="4" w:space="0"/>
              <w:right w:val="single" w:color="000000" w:sz="4" w:space="0"/>
            </w:tcBorders>
            <w:vAlign w:val="center"/>
          </w:tcPr>
          <w:p w14:paraId="13B69632">
            <w:pPr>
              <w:pStyle w:val="28"/>
              <w:bidi w:val="0"/>
              <w:rPr>
                <w:color w:val="auto"/>
              </w:rPr>
            </w:pPr>
            <w:r>
              <w:rPr>
                <w:rFonts w:hint="eastAsia"/>
                <w:color w:val="auto"/>
              </w:rPr>
              <w:t>137</w:t>
            </w:r>
          </w:p>
        </w:tc>
        <w:tc>
          <w:tcPr>
            <w:tcW w:w="422" w:type="pct"/>
            <w:tcBorders>
              <w:top w:val="single" w:color="000000" w:sz="4" w:space="0"/>
              <w:left w:val="single" w:color="000000" w:sz="4" w:space="0"/>
              <w:bottom w:val="single" w:color="000000" w:sz="4" w:space="0"/>
              <w:right w:val="single" w:color="000000" w:sz="4" w:space="0"/>
            </w:tcBorders>
            <w:vAlign w:val="center"/>
          </w:tcPr>
          <w:p w14:paraId="34CD8405">
            <w:pPr>
              <w:pStyle w:val="28"/>
              <w:bidi w:val="0"/>
              <w:rPr>
                <w:color w:val="auto"/>
              </w:rPr>
            </w:pPr>
          </w:p>
        </w:tc>
        <w:tc>
          <w:tcPr>
            <w:tcW w:w="324" w:type="pct"/>
            <w:tcBorders>
              <w:top w:val="single" w:color="000000" w:sz="4" w:space="0"/>
              <w:left w:val="single" w:color="000000" w:sz="4" w:space="0"/>
              <w:bottom w:val="single" w:color="000000" w:sz="4" w:space="0"/>
              <w:right w:val="single" w:color="000000" w:sz="4" w:space="0"/>
            </w:tcBorders>
            <w:vAlign w:val="center"/>
          </w:tcPr>
          <w:p w14:paraId="1ED7044F">
            <w:pPr>
              <w:pStyle w:val="28"/>
              <w:bidi w:val="0"/>
              <w:rPr>
                <w:color w:val="auto"/>
              </w:rPr>
            </w:pPr>
          </w:p>
        </w:tc>
        <w:tc>
          <w:tcPr>
            <w:tcW w:w="1170" w:type="pct"/>
            <w:tcBorders>
              <w:top w:val="single" w:color="000000" w:sz="4" w:space="0"/>
              <w:left w:val="single" w:color="000000" w:sz="4" w:space="0"/>
              <w:bottom w:val="single" w:color="000000" w:sz="4" w:space="0"/>
              <w:right w:val="single" w:color="000000" w:sz="4" w:space="0"/>
            </w:tcBorders>
            <w:vAlign w:val="center"/>
          </w:tcPr>
          <w:p w14:paraId="4A418128">
            <w:pPr>
              <w:pStyle w:val="28"/>
              <w:bidi w:val="0"/>
              <w:rPr>
                <w:color w:val="auto"/>
              </w:rPr>
            </w:pPr>
            <w:r>
              <w:rPr>
                <w:rFonts w:hint="eastAsia"/>
                <w:color w:val="auto"/>
              </w:rPr>
              <w:t>/</w:t>
            </w:r>
          </w:p>
        </w:tc>
        <w:tc>
          <w:tcPr>
            <w:tcW w:w="451" w:type="pct"/>
            <w:tcBorders>
              <w:top w:val="single" w:color="000000" w:sz="4" w:space="0"/>
              <w:left w:val="single" w:color="000000" w:sz="4" w:space="0"/>
              <w:bottom w:val="single" w:color="000000" w:sz="4" w:space="0"/>
              <w:right w:val="single" w:color="000000" w:sz="4" w:space="0"/>
            </w:tcBorders>
            <w:vAlign w:val="center"/>
          </w:tcPr>
          <w:p w14:paraId="58BDA514">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62F76FDD">
            <w:pPr>
              <w:pStyle w:val="28"/>
              <w:bidi w:val="0"/>
              <w:rPr>
                <w:color w:val="auto"/>
              </w:rPr>
            </w:pPr>
            <w:r>
              <w:rPr>
                <w:rFonts w:hint="eastAsia"/>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1816E734">
            <w:pPr>
              <w:pStyle w:val="28"/>
              <w:bidi w:val="0"/>
              <w:rPr>
                <w:color w:val="auto"/>
              </w:rPr>
            </w:pPr>
            <w:r>
              <w:rPr>
                <w:color w:val="auto"/>
              </w:rPr>
              <w:t>三级</w:t>
            </w:r>
          </w:p>
        </w:tc>
      </w:tr>
      <w:tr w14:paraId="336726DF">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7A220820">
            <w:pPr>
              <w:pStyle w:val="28"/>
              <w:bidi w:val="0"/>
              <w:rPr>
                <w:color w:val="auto"/>
              </w:rPr>
            </w:pPr>
            <w:r>
              <w:rPr>
                <w:color w:val="auto"/>
              </w:rPr>
              <w:t>9</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70DDAF78">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146D4949">
            <w:pPr>
              <w:pStyle w:val="28"/>
              <w:bidi w:val="0"/>
              <w:rPr>
                <w:color w:val="auto"/>
              </w:rPr>
            </w:pPr>
            <w:r>
              <w:rPr>
                <w:rFonts w:hint="eastAsia"/>
                <w:color w:val="auto"/>
              </w:rPr>
              <w:t>三东干渠</w:t>
            </w:r>
          </w:p>
        </w:tc>
        <w:tc>
          <w:tcPr>
            <w:tcW w:w="456" w:type="pct"/>
            <w:tcBorders>
              <w:top w:val="single" w:color="000000" w:sz="4" w:space="0"/>
              <w:left w:val="single" w:color="000000" w:sz="4" w:space="0"/>
              <w:bottom w:val="single" w:color="000000" w:sz="4" w:space="0"/>
              <w:right w:val="single" w:color="000000" w:sz="4" w:space="0"/>
            </w:tcBorders>
            <w:vAlign w:val="center"/>
          </w:tcPr>
          <w:p w14:paraId="56763F57">
            <w:pPr>
              <w:pStyle w:val="28"/>
              <w:bidi w:val="0"/>
              <w:rPr>
                <w:color w:val="auto"/>
              </w:rPr>
            </w:pPr>
            <w:r>
              <w:rPr>
                <w:color w:val="auto"/>
              </w:rPr>
              <w:t>/</w:t>
            </w:r>
          </w:p>
        </w:tc>
        <w:tc>
          <w:tcPr>
            <w:tcW w:w="422" w:type="pct"/>
            <w:tcBorders>
              <w:top w:val="single" w:color="000000" w:sz="4" w:space="0"/>
              <w:left w:val="single" w:color="000000" w:sz="4" w:space="0"/>
              <w:bottom w:val="single" w:color="000000" w:sz="4" w:space="0"/>
              <w:right w:val="single" w:color="000000" w:sz="4" w:space="0"/>
            </w:tcBorders>
            <w:vAlign w:val="center"/>
          </w:tcPr>
          <w:p w14:paraId="79086916">
            <w:pPr>
              <w:pStyle w:val="28"/>
              <w:bidi w:val="0"/>
              <w:rPr>
                <w:color w:val="auto"/>
              </w:rPr>
            </w:pPr>
            <w:r>
              <w:rPr>
                <w:color w:val="auto"/>
              </w:rPr>
              <w:t>/</w:t>
            </w:r>
          </w:p>
        </w:tc>
        <w:tc>
          <w:tcPr>
            <w:tcW w:w="324" w:type="pct"/>
            <w:tcBorders>
              <w:top w:val="single" w:color="000000" w:sz="4" w:space="0"/>
              <w:left w:val="single" w:color="000000" w:sz="4" w:space="0"/>
              <w:bottom w:val="single" w:color="000000" w:sz="4" w:space="0"/>
              <w:right w:val="single" w:color="000000" w:sz="4" w:space="0"/>
            </w:tcBorders>
            <w:vAlign w:val="center"/>
          </w:tcPr>
          <w:p w14:paraId="24B4D1B7">
            <w:pPr>
              <w:pStyle w:val="28"/>
              <w:bidi w:val="0"/>
              <w:rPr>
                <w:color w:val="auto"/>
              </w:rPr>
            </w:pPr>
            <w:r>
              <w:rPr>
                <w:color w:val="auto"/>
              </w:rPr>
              <w:t>/</w:t>
            </w:r>
          </w:p>
        </w:tc>
        <w:tc>
          <w:tcPr>
            <w:tcW w:w="1170" w:type="pct"/>
            <w:tcBorders>
              <w:top w:val="single" w:color="000000" w:sz="4" w:space="0"/>
              <w:left w:val="single" w:color="000000" w:sz="4" w:space="0"/>
              <w:bottom w:val="single" w:color="000000" w:sz="4" w:space="0"/>
              <w:right w:val="single" w:color="000000" w:sz="4" w:space="0"/>
            </w:tcBorders>
            <w:vAlign w:val="center"/>
          </w:tcPr>
          <w:p w14:paraId="015B7BEB">
            <w:pPr>
              <w:pStyle w:val="28"/>
              <w:bidi w:val="0"/>
              <w:rPr>
                <w:color w:val="auto"/>
              </w:rPr>
            </w:pPr>
            <w:r>
              <w:rPr>
                <w:rFonts w:hint="eastAsia"/>
                <w:color w:val="auto"/>
              </w:rPr>
              <w:t>新建1座节制闸、拆除重建1座分水闸</w:t>
            </w:r>
          </w:p>
        </w:tc>
        <w:tc>
          <w:tcPr>
            <w:tcW w:w="451" w:type="pct"/>
            <w:tcBorders>
              <w:top w:val="single" w:color="000000" w:sz="4" w:space="0"/>
              <w:left w:val="single" w:color="000000" w:sz="4" w:space="0"/>
              <w:bottom w:val="single" w:color="000000" w:sz="4" w:space="0"/>
              <w:right w:val="single" w:color="000000" w:sz="4" w:space="0"/>
            </w:tcBorders>
            <w:vAlign w:val="center"/>
          </w:tcPr>
          <w:p w14:paraId="3501B8EA">
            <w:pPr>
              <w:pStyle w:val="28"/>
              <w:bidi w:val="0"/>
              <w:rPr>
                <w:color w:val="auto"/>
              </w:rPr>
            </w:pPr>
            <w:r>
              <w:rPr>
                <w:rFonts w:hint="eastAsia"/>
                <w:color w:val="auto"/>
              </w:rPr>
              <w:t>≥10</w:t>
            </w:r>
          </w:p>
        </w:tc>
        <w:tc>
          <w:tcPr>
            <w:tcW w:w="495" w:type="pct"/>
            <w:tcBorders>
              <w:top w:val="single" w:color="000000" w:sz="4" w:space="0"/>
              <w:left w:val="single" w:color="000000" w:sz="4" w:space="0"/>
              <w:bottom w:val="single" w:color="000000" w:sz="4" w:space="0"/>
              <w:right w:val="single" w:color="000000" w:sz="4" w:space="0"/>
            </w:tcBorders>
            <w:vAlign w:val="center"/>
          </w:tcPr>
          <w:p w14:paraId="0F8F7A8B">
            <w:pPr>
              <w:pStyle w:val="28"/>
              <w:bidi w:val="0"/>
              <w:rPr>
                <w:color w:val="auto"/>
              </w:rPr>
            </w:pPr>
            <w:r>
              <w:rPr>
                <w:rFonts w:hint="eastAsia"/>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3B396AE9">
            <w:pPr>
              <w:pStyle w:val="28"/>
              <w:bidi w:val="0"/>
              <w:rPr>
                <w:color w:val="auto"/>
              </w:rPr>
            </w:pPr>
            <w:r>
              <w:rPr>
                <w:rFonts w:hint="eastAsia"/>
                <w:color w:val="auto"/>
              </w:rPr>
              <w:t>一</w:t>
            </w:r>
            <w:r>
              <w:rPr>
                <w:color w:val="auto"/>
              </w:rPr>
              <w:t>级</w:t>
            </w:r>
          </w:p>
        </w:tc>
      </w:tr>
      <w:tr w14:paraId="6A1AFC9A">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02436A5F">
            <w:pPr>
              <w:pStyle w:val="28"/>
              <w:bidi w:val="0"/>
              <w:rPr>
                <w:color w:val="auto"/>
              </w:rPr>
            </w:pPr>
            <w:r>
              <w:rPr>
                <w:color w:val="auto"/>
              </w:rPr>
              <w:t>10</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0B3012BE">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2A20E89B">
            <w:pPr>
              <w:pStyle w:val="28"/>
              <w:bidi w:val="0"/>
              <w:rPr>
                <w:color w:val="auto"/>
              </w:rPr>
            </w:pPr>
            <w:r>
              <w:rPr>
                <w:rFonts w:hint="eastAsia"/>
                <w:color w:val="auto"/>
              </w:rPr>
              <w:t>桂岗支渠</w:t>
            </w:r>
          </w:p>
        </w:tc>
        <w:tc>
          <w:tcPr>
            <w:tcW w:w="456" w:type="pct"/>
            <w:tcBorders>
              <w:top w:val="single" w:color="000000" w:sz="4" w:space="0"/>
              <w:left w:val="single" w:color="000000" w:sz="4" w:space="0"/>
              <w:bottom w:val="single" w:color="000000" w:sz="4" w:space="0"/>
              <w:right w:val="single" w:color="000000" w:sz="4" w:space="0"/>
            </w:tcBorders>
            <w:vAlign w:val="center"/>
          </w:tcPr>
          <w:p w14:paraId="24D771A1">
            <w:pPr>
              <w:pStyle w:val="28"/>
              <w:bidi w:val="0"/>
              <w:rPr>
                <w:color w:val="auto"/>
              </w:rPr>
            </w:pPr>
            <w:r>
              <w:rPr>
                <w:rFonts w:hint="eastAsia"/>
                <w:color w:val="auto"/>
              </w:rPr>
              <w:t>383</w:t>
            </w:r>
          </w:p>
        </w:tc>
        <w:tc>
          <w:tcPr>
            <w:tcW w:w="422" w:type="pct"/>
            <w:tcBorders>
              <w:top w:val="single" w:color="000000" w:sz="4" w:space="0"/>
              <w:left w:val="single" w:color="000000" w:sz="4" w:space="0"/>
              <w:bottom w:val="single" w:color="000000" w:sz="4" w:space="0"/>
              <w:right w:val="single" w:color="000000" w:sz="4" w:space="0"/>
            </w:tcBorders>
            <w:vAlign w:val="center"/>
          </w:tcPr>
          <w:p w14:paraId="7FF22ACF">
            <w:pPr>
              <w:pStyle w:val="28"/>
              <w:bidi w:val="0"/>
              <w:rPr>
                <w:color w:val="auto"/>
              </w:rPr>
            </w:pPr>
            <w:r>
              <w:rPr>
                <w:rFonts w:hint="eastAsia"/>
                <w:color w:val="auto"/>
              </w:rPr>
              <w:t>1.17</w:t>
            </w:r>
          </w:p>
        </w:tc>
        <w:tc>
          <w:tcPr>
            <w:tcW w:w="324" w:type="pct"/>
            <w:tcBorders>
              <w:top w:val="single" w:color="000000" w:sz="4" w:space="0"/>
              <w:left w:val="single" w:color="000000" w:sz="4" w:space="0"/>
              <w:bottom w:val="single" w:color="000000" w:sz="4" w:space="0"/>
              <w:right w:val="single" w:color="000000" w:sz="4" w:space="0"/>
            </w:tcBorders>
            <w:vAlign w:val="center"/>
          </w:tcPr>
          <w:p w14:paraId="59AE3975">
            <w:pPr>
              <w:pStyle w:val="28"/>
              <w:bidi w:val="0"/>
              <w:rPr>
                <w:color w:val="auto"/>
              </w:rPr>
            </w:pPr>
            <w:r>
              <w:rPr>
                <w:rFonts w:hint="eastAsia"/>
                <w:color w:val="auto"/>
              </w:rPr>
              <w:t>0.0004</w:t>
            </w:r>
          </w:p>
        </w:tc>
        <w:tc>
          <w:tcPr>
            <w:tcW w:w="1170" w:type="pct"/>
            <w:tcBorders>
              <w:top w:val="single" w:color="000000" w:sz="4" w:space="0"/>
              <w:left w:val="single" w:color="000000" w:sz="4" w:space="0"/>
              <w:bottom w:val="single" w:color="000000" w:sz="4" w:space="0"/>
              <w:right w:val="single" w:color="000000" w:sz="4" w:space="0"/>
            </w:tcBorders>
            <w:vAlign w:val="center"/>
          </w:tcPr>
          <w:p w14:paraId="702D5F05">
            <w:pPr>
              <w:pStyle w:val="28"/>
              <w:bidi w:val="0"/>
              <w:rPr>
                <w:color w:val="auto"/>
              </w:rPr>
            </w:pPr>
            <w:r>
              <w:rPr>
                <w:color w:val="auto"/>
              </w:rPr>
              <w:t>渠道岸坡</w:t>
            </w:r>
            <w:r>
              <w:rPr>
                <w:rFonts w:hint="eastAsia"/>
                <w:color w:val="auto"/>
              </w:rPr>
              <w:t>衬</w:t>
            </w:r>
            <w:r>
              <w:rPr>
                <w:color w:val="auto"/>
              </w:rPr>
              <w:t>砌</w:t>
            </w:r>
            <w:r>
              <w:rPr>
                <w:rFonts w:hint="eastAsia"/>
                <w:color w:val="auto"/>
              </w:rPr>
              <w:t>3993</w:t>
            </w:r>
            <w:r>
              <w:rPr>
                <w:color w:val="auto"/>
              </w:rPr>
              <w:t>m</w:t>
            </w:r>
            <w:r>
              <w:rPr>
                <w:rFonts w:hint="eastAsia"/>
                <w:color w:val="auto"/>
              </w:rPr>
              <w:t>，拆除重建3座节制闸、更换1处泄洪闸闸门启闭机，启闭房大门10座放水涵闸</w:t>
            </w:r>
          </w:p>
        </w:tc>
        <w:tc>
          <w:tcPr>
            <w:tcW w:w="451" w:type="pct"/>
            <w:tcBorders>
              <w:top w:val="single" w:color="000000" w:sz="4" w:space="0"/>
              <w:left w:val="single" w:color="000000" w:sz="4" w:space="0"/>
              <w:bottom w:val="single" w:color="000000" w:sz="4" w:space="0"/>
              <w:right w:val="single" w:color="000000" w:sz="4" w:space="0"/>
            </w:tcBorders>
            <w:vAlign w:val="center"/>
          </w:tcPr>
          <w:p w14:paraId="26CC8D15">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7B96F966">
            <w:pPr>
              <w:pStyle w:val="28"/>
              <w:bidi w:val="0"/>
              <w:rPr>
                <w:color w:val="auto"/>
              </w:rPr>
            </w:pPr>
            <w:r>
              <w:rPr>
                <w:rFonts w:hint="eastAsia"/>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32C1C3BB">
            <w:pPr>
              <w:pStyle w:val="28"/>
              <w:bidi w:val="0"/>
              <w:rPr>
                <w:color w:val="auto"/>
              </w:rPr>
            </w:pPr>
            <w:r>
              <w:rPr>
                <w:color w:val="auto"/>
              </w:rPr>
              <w:t>三级</w:t>
            </w:r>
          </w:p>
        </w:tc>
      </w:tr>
      <w:tr w14:paraId="45DF95E8">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28ED12D0">
            <w:pPr>
              <w:pStyle w:val="28"/>
              <w:bidi w:val="0"/>
              <w:rPr>
                <w:color w:val="auto"/>
              </w:rPr>
            </w:pPr>
            <w:r>
              <w:rPr>
                <w:color w:val="auto"/>
              </w:rPr>
              <w:t>11</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47F6CA05">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65F12079">
            <w:pPr>
              <w:pStyle w:val="28"/>
              <w:bidi w:val="0"/>
              <w:rPr>
                <w:color w:val="auto"/>
              </w:rPr>
            </w:pPr>
            <w:r>
              <w:rPr>
                <w:rFonts w:hint="eastAsia"/>
                <w:color w:val="auto"/>
              </w:rPr>
              <w:t>染坊支渠</w:t>
            </w:r>
          </w:p>
        </w:tc>
        <w:tc>
          <w:tcPr>
            <w:tcW w:w="456" w:type="pct"/>
            <w:tcBorders>
              <w:top w:val="single" w:color="000000" w:sz="4" w:space="0"/>
              <w:left w:val="single" w:color="000000" w:sz="4" w:space="0"/>
              <w:bottom w:val="single" w:color="000000" w:sz="4" w:space="0"/>
              <w:right w:val="single" w:color="000000" w:sz="4" w:space="0"/>
            </w:tcBorders>
            <w:vAlign w:val="center"/>
          </w:tcPr>
          <w:p w14:paraId="3EA5559D">
            <w:pPr>
              <w:pStyle w:val="28"/>
              <w:bidi w:val="0"/>
              <w:rPr>
                <w:color w:val="auto"/>
              </w:rPr>
            </w:pPr>
            <w:r>
              <w:rPr>
                <w:rFonts w:hint="eastAsia"/>
                <w:color w:val="auto"/>
              </w:rPr>
              <w:t>3350</w:t>
            </w:r>
          </w:p>
        </w:tc>
        <w:tc>
          <w:tcPr>
            <w:tcW w:w="422" w:type="pct"/>
            <w:tcBorders>
              <w:top w:val="single" w:color="000000" w:sz="4" w:space="0"/>
              <w:left w:val="single" w:color="000000" w:sz="4" w:space="0"/>
              <w:bottom w:val="single" w:color="000000" w:sz="4" w:space="0"/>
              <w:right w:val="single" w:color="000000" w:sz="4" w:space="0"/>
            </w:tcBorders>
            <w:vAlign w:val="center"/>
          </w:tcPr>
          <w:p w14:paraId="745FBBC7">
            <w:pPr>
              <w:pStyle w:val="28"/>
              <w:bidi w:val="0"/>
              <w:rPr>
                <w:color w:val="auto"/>
              </w:rPr>
            </w:pPr>
            <w:r>
              <w:rPr>
                <w:rFonts w:hint="eastAsia"/>
                <w:color w:val="auto"/>
              </w:rPr>
              <w:t>2.50</w:t>
            </w:r>
          </w:p>
        </w:tc>
        <w:tc>
          <w:tcPr>
            <w:tcW w:w="324" w:type="pct"/>
            <w:tcBorders>
              <w:top w:val="single" w:color="000000" w:sz="4" w:space="0"/>
              <w:left w:val="single" w:color="000000" w:sz="4" w:space="0"/>
              <w:bottom w:val="single" w:color="000000" w:sz="4" w:space="0"/>
              <w:right w:val="single" w:color="000000" w:sz="4" w:space="0"/>
            </w:tcBorders>
            <w:vAlign w:val="center"/>
          </w:tcPr>
          <w:p w14:paraId="64ACEE41">
            <w:pPr>
              <w:pStyle w:val="28"/>
              <w:bidi w:val="0"/>
              <w:rPr>
                <w:color w:val="auto"/>
              </w:rPr>
            </w:pPr>
            <w:r>
              <w:rPr>
                <w:rFonts w:hint="eastAsia"/>
                <w:color w:val="auto"/>
              </w:rPr>
              <w:t>0..0084</w:t>
            </w:r>
          </w:p>
        </w:tc>
        <w:tc>
          <w:tcPr>
            <w:tcW w:w="1170" w:type="pct"/>
            <w:tcBorders>
              <w:top w:val="single" w:color="000000" w:sz="4" w:space="0"/>
              <w:left w:val="single" w:color="000000" w:sz="4" w:space="0"/>
              <w:bottom w:val="single" w:color="000000" w:sz="4" w:space="0"/>
              <w:right w:val="single" w:color="000000" w:sz="4" w:space="0"/>
            </w:tcBorders>
            <w:vAlign w:val="center"/>
          </w:tcPr>
          <w:p w14:paraId="2C757B30">
            <w:pPr>
              <w:pStyle w:val="28"/>
              <w:bidi w:val="0"/>
              <w:rPr>
                <w:color w:val="auto"/>
              </w:rPr>
            </w:pPr>
            <w:r>
              <w:rPr>
                <w:color w:val="auto"/>
              </w:rPr>
              <w:t>渠道岸坡</w:t>
            </w:r>
            <w:r>
              <w:rPr>
                <w:rFonts w:hint="eastAsia"/>
                <w:color w:val="auto"/>
              </w:rPr>
              <w:t>衬</w:t>
            </w:r>
            <w:r>
              <w:rPr>
                <w:color w:val="auto"/>
              </w:rPr>
              <w:t>砌</w:t>
            </w:r>
            <w:r>
              <w:rPr>
                <w:rFonts w:hint="eastAsia"/>
                <w:color w:val="auto"/>
              </w:rPr>
              <w:t>317</w:t>
            </w:r>
            <w:r>
              <w:rPr>
                <w:color w:val="auto"/>
              </w:rPr>
              <w:t>m</w:t>
            </w:r>
            <w:r>
              <w:rPr>
                <w:rFonts w:hint="eastAsia"/>
                <w:color w:val="auto"/>
              </w:rPr>
              <w:t>，拆除重建1座分水闸、4座放水涵闸、2座机耕桥、2处箱涵</w:t>
            </w:r>
          </w:p>
        </w:tc>
        <w:tc>
          <w:tcPr>
            <w:tcW w:w="451" w:type="pct"/>
            <w:tcBorders>
              <w:top w:val="single" w:color="000000" w:sz="4" w:space="0"/>
              <w:left w:val="single" w:color="000000" w:sz="4" w:space="0"/>
              <w:bottom w:val="single" w:color="000000" w:sz="4" w:space="0"/>
              <w:right w:val="single" w:color="000000" w:sz="4" w:space="0"/>
            </w:tcBorders>
            <w:vAlign w:val="center"/>
          </w:tcPr>
          <w:p w14:paraId="3AC22A1B">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6AEC74F2">
            <w:pPr>
              <w:pStyle w:val="28"/>
              <w:bidi w:val="0"/>
              <w:rPr>
                <w:color w:val="auto"/>
              </w:rPr>
            </w:pPr>
            <w:r>
              <w:rPr>
                <w:rFonts w:hint="eastAsia"/>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06BF079F">
            <w:pPr>
              <w:pStyle w:val="28"/>
              <w:bidi w:val="0"/>
              <w:rPr>
                <w:color w:val="auto"/>
              </w:rPr>
            </w:pPr>
            <w:r>
              <w:rPr>
                <w:color w:val="auto"/>
              </w:rPr>
              <w:t>三级</w:t>
            </w:r>
          </w:p>
        </w:tc>
      </w:tr>
      <w:tr w14:paraId="113D04C3">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320A9DB6">
            <w:pPr>
              <w:pStyle w:val="28"/>
              <w:bidi w:val="0"/>
              <w:rPr>
                <w:color w:val="auto"/>
              </w:rPr>
            </w:pPr>
            <w:r>
              <w:rPr>
                <w:color w:val="auto"/>
              </w:rPr>
              <w:t>12</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5F1EEB42">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05CC2A3F">
            <w:pPr>
              <w:pStyle w:val="28"/>
              <w:bidi w:val="0"/>
              <w:rPr>
                <w:color w:val="auto"/>
              </w:rPr>
            </w:pPr>
            <w:r>
              <w:rPr>
                <w:rFonts w:hint="eastAsia"/>
                <w:color w:val="auto"/>
              </w:rPr>
              <w:t>一北干渠</w:t>
            </w:r>
          </w:p>
        </w:tc>
        <w:tc>
          <w:tcPr>
            <w:tcW w:w="456" w:type="pct"/>
            <w:tcBorders>
              <w:top w:val="single" w:color="000000" w:sz="4" w:space="0"/>
              <w:left w:val="single" w:color="000000" w:sz="4" w:space="0"/>
              <w:bottom w:val="single" w:color="000000" w:sz="4" w:space="0"/>
              <w:right w:val="single" w:color="000000" w:sz="4" w:space="0"/>
            </w:tcBorders>
            <w:vAlign w:val="center"/>
          </w:tcPr>
          <w:p w14:paraId="49F2B8C0">
            <w:pPr>
              <w:pStyle w:val="28"/>
              <w:bidi w:val="0"/>
              <w:rPr>
                <w:color w:val="auto"/>
              </w:rPr>
            </w:pPr>
            <w:r>
              <w:rPr>
                <w:color w:val="auto"/>
              </w:rPr>
              <w:t>/</w:t>
            </w:r>
          </w:p>
        </w:tc>
        <w:tc>
          <w:tcPr>
            <w:tcW w:w="422" w:type="pct"/>
            <w:tcBorders>
              <w:top w:val="single" w:color="000000" w:sz="4" w:space="0"/>
              <w:left w:val="single" w:color="000000" w:sz="4" w:space="0"/>
              <w:bottom w:val="single" w:color="000000" w:sz="4" w:space="0"/>
              <w:right w:val="single" w:color="000000" w:sz="4" w:space="0"/>
            </w:tcBorders>
            <w:vAlign w:val="center"/>
          </w:tcPr>
          <w:p w14:paraId="7BAEC2BE">
            <w:pPr>
              <w:pStyle w:val="28"/>
              <w:bidi w:val="0"/>
              <w:rPr>
                <w:color w:val="auto"/>
              </w:rPr>
            </w:pPr>
            <w:r>
              <w:rPr>
                <w:color w:val="auto"/>
              </w:rPr>
              <w:t>/</w:t>
            </w:r>
          </w:p>
        </w:tc>
        <w:tc>
          <w:tcPr>
            <w:tcW w:w="324" w:type="pct"/>
            <w:tcBorders>
              <w:top w:val="single" w:color="000000" w:sz="4" w:space="0"/>
              <w:left w:val="single" w:color="000000" w:sz="4" w:space="0"/>
              <w:bottom w:val="single" w:color="000000" w:sz="4" w:space="0"/>
              <w:right w:val="single" w:color="000000" w:sz="4" w:space="0"/>
            </w:tcBorders>
            <w:vAlign w:val="center"/>
          </w:tcPr>
          <w:p w14:paraId="7A31DB5F">
            <w:pPr>
              <w:pStyle w:val="28"/>
              <w:bidi w:val="0"/>
              <w:rPr>
                <w:color w:val="auto"/>
              </w:rPr>
            </w:pPr>
            <w:r>
              <w:rPr>
                <w:color w:val="auto"/>
              </w:rPr>
              <w:t>/</w:t>
            </w:r>
          </w:p>
        </w:tc>
        <w:tc>
          <w:tcPr>
            <w:tcW w:w="1170" w:type="pct"/>
            <w:tcBorders>
              <w:top w:val="single" w:color="000000" w:sz="4" w:space="0"/>
              <w:left w:val="single" w:color="000000" w:sz="4" w:space="0"/>
              <w:bottom w:val="single" w:color="000000" w:sz="4" w:space="0"/>
              <w:right w:val="single" w:color="000000" w:sz="4" w:space="0"/>
            </w:tcBorders>
            <w:vAlign w:val="center"/>
          </w:tcPr>
          <w:p w14:paraId="32DD0AAB">
            <w:pPr>
              <w:pStyle w:val="28"/>
              <w:bidi w:val="0"/>
              <w:rPr>
                <w:color w:val="auto"/>
              </w:rPr>
            </w:pPr>
            <w:r>
              <w:rPr>
                <w:color w:val="auto"/>
              </w:rPr>
              <w:t>渠道岸坡</w:t>
            </w:r>
            <w:r>
              <w:rPr>
                <w:rFonts w:hint="eastAsia"/>
                <w:color w:val="auto"/>
              </w:rPr>
              <w:t>衬</w:t>
            </w:r>
            <w:r>
              <w:rPr>
                <w:color w:val="auto"/>
              </w:rPr>
              <w:t>砌</w:t>
            </w:r>
            <w:r>
              <w:rPr>
                <w:rFonts w:hint="eastAsia"/>
                <w:color w:val="auto"/>
              </w:rPr>
              <w:t>4793</w:t>
            </w:r>
            <w:r>
              <w:rPr>
                <w:color w:val="auto"/>
              </w:rPr>
              <w:t>m等</w:t>
            </w:r>
          </w:p>
        </w:tc>
        <w:tc>
          <w:tcPr>
            <w:tcW w:w="451" w:type="pct"/>
            <w:tcBorders>
              <w:top w:val="single" w:color="000000" w:sz="4" w:space="0"/>
              <w:left w:val="single" w:color="000000" w:sz="4" w:space="0"/>
              <w:bottom w:val="single" w:color="000000" w:sz="4" w:space="0"/>
              <w:right w:val="single" w:color="000000" w:sz="4" w:space="0"/>
            </w:tcBorders>
            <w:vAlign w:val="center"/>
          </w:tcPr>
          <w:p w14:paraId="534B682A">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693EE720">
            <w:pPr>
              <w:pStyle w:val="28"/>
              <w:bidi w:val="0"/>
              <w:rPr>
                <w:color w:val="auto"/>
              </w:rPr>
            </w:pPr>
            <w:r>
              <w:rPr>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5943E2B4">
            <w:pPr>
              <w:pStyle w:val="28"/>
              <w:bidi w:val="0"/>
              <w:rPr>
                <w:color w:val="auto"/>
              </w:rPr>
            </w:pPr>
            <w:r>
              <w:rPr>
                <w:color w:val="auto"/>
              </w:rPr>
              <w:t>三级</w:t>
            </w:r>
          </w:p>
        </w:tc>
      </w:tr>
      <w:tr w14:paraId="1B0CF343">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6BC58E3E">
            <w:pPr>
              <w:pStyle w:val="28"/>
              <w:bidi w:val="0"/>
              <w:rPr>
                <w:color w:val="auto"/>
              </w:rPr>
            </w:pPr>
            <w:r>
              <w:rPr>
                <w:color w:val="auto"/>
              </w:rPr>
              <w:t>13</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42D27B46">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1EEB31E6">
            <w:pPr>
              <w:pStyle w:val="28"/>
              <w:bidi w:val="0"/>
              <w:rPr>
                <w:color w:val="auto"/>
              </w:rPr>
            </w:pPr>
            <w:r>
              <w:rPr>
                <w:rFonts w:hint="eastAsia"/>
                <w:color w:val="auto"/>
              </w:rPr>
              <w:t>双庙支渠</w:t>
            </w:r>
          </w:p>
        </w:tc>
        <w:tc>
          <w:tcPr>
            <w:tcW w:w="456" w:type="pct"/>
            <w:tcBorders>
              <w:top w:val="single" w:color="000000" w:sz="4" w:space="0"/>
              <w:left w:val="single" w:color="000000" w:sz="4" w:space="0"/>
              <w:bottom w:val="single" w:color="000000" w:sz="4" w:space="0"/>
              <w:right w:val="single" w:color="000000" w:sz="4" w:space="0"/>
            </w:tcBorders>
            <w:vAlign w:val="center"/>
          </w:tcPr>
          <w:p w14:paraId="59FD7D8B">
            <w:pPr>
              <w:pStyle w:val="28"/>
              <w:bidi w:val="0"/>
              <w:rPr>
                <w:color w:val="auto"/>
              </w:rPr>
            </w:pPr>
            <w:r>
              <w:rPr>
                <w:rFonts w:hint="eastAsia"/>
                <w:color w:val="auto"/>
              </w:rPr>
              <w:t>/</w:t>
            </w:r>
          </w:p>
        </w:tc>
        <w:tc>
          <w:tcPr>
            <w:tcW w:w="422" w:type="pct"/>
            <w:tcBorders>
              <w:top w:val="single" w:color="000000" w:sz="4" w:space="0"/>
              <w:left w:val="single" w:color="000000" w:sz="4" w:space="0"/>
              <w:bottom w:val="single" w:color="000000" w:sz="4" w:space="0"/>
              <w:right w:val="single" w:color="000000" w:sz="4" w:space="0"/>
            </w:tcBorders>
            <w:vAlign w:val="center"/>
          </w:tcPr>
          <w:p w14:paraId="3DF15FA9">
            <w:pPr>
              <w:pStyle w:val="28"/>
              <w:bidi w:val="0"/>
              <w:rPr>
                <w:color w:val="auto"/>
              </w:rPr>
            </w:pPr>
            <w:r>
              <w:rPr>
                <w:rFonts w:hint="eastAsia"/>
                <w:color w:val="auto"/>
              </w:rPr>
              <w:t>/</w:t>
            </w:r>
          </w:p>
        </w:tc>
        <w:tc>
          <w:tcPr>
            <w:tcW w:w="324" w:type="pct"/>
            <w:tcBorders>
              <w:top w:val="single" w:color="000000" w:sz="4" w:space="0"/>
              <w:left w:val="single" w:color="000000" w:sz="4" w:space="0"/>
              <w:bottom w:val="single" w:color="000000" w:sz="4" w:space="0"/>
              <w:right w:val="single" w:color="000000" w:sz="4" w:space="0"/>
            </w:tcBorders>
            <w:vAlign w:val="center"/>
          </w:tcPr>
          <w:p w14:paraId="2A230961">
            <w:pPr>
              <w:pStyle w:val="28"/>
              <w:bidi w:val="0"/>
              <w:rPr>
                <w:color w:val="auto"/>
              </w:rPr>
            </w:pPr>
            <w:r>
              <w:rPr>
                <w:rFonts w:hint="eastAsia"/>
                <w:color w:val="auto"/>
              </w:rPr>
              <w:t>/</w:t>
            </w:r>
          </w:p>
        </w:tc>
        <w:tc>
          <w:tcPr>
            <w:tcW w:w="1170" w:type="pct"/>
            <w:tcBorders>
              <w:top w:val="single" w:color="000000" w:sz="4" w:space="0"/>
              <w:left w:val="single" w:color="000000" w:sz="4" w:space="0"/>
              <w:bottom w:val="single" w:color="000000" w:sz="4" w:space="0"/>
              <w:right w:val="single" w:color="000000" w:sz="4" w:space="0"/>
            </w:tcBorders>
            <w:vAlign w:val="center"/>
          </w:tcPr>
          <w:p w14:paraId="1AE31CEA">
            <w:pPr>
              <w:pStyle w:val="28"/>
              <w:bidi w:val="0"/>
              <w:rPr>
                <w:color w:val="auto"/>
              </w:rPr>
            </w:pPr>
            <w:r>
              <w:rPr>
                <w:color w:val="auto"/>
              </w:rPr>
              <w:t>渠道岸坡</w:t>
            </w:r>
            <w:r>
              <w:rPr>
                <w:rFonts w:hint="eastAsia"/>
                <w:color w:val="auto"/>
              </w:rPr>
              <w:t>衬</w:t>
            </w:r>
            <w:r>
              <w:rPr>
                <w:color w:val="auto"/>
              </w:rPr>
              <w:t>砌45</w:t>
            </w:r>
            <w:r>
              <w:rPr>
                <w:rFonts w:hint="eastAsia"/>
                <w:color w:val="auto"/>
              </w:rPr>
              <w:t>0</w:t>
            </w:r>
            <w:r>
              <w:rPr>
                <w:color w:val="auto"/>
              </w:rPr>
              <w:t>m等</w:t>
            </w:r>
          </w:p>
        </w:tc>
        <w:tc>
          <w:tcPr>
            <w:tcW w:w="451" w:type="pct"/>
            <w:tcBorders>
              <w:top w:val="single" w:color="000000" w:sz="4" w:space="0"/>
              <w:left w:val="single" w:color="000000" w:sz="4" w:space="0"/>
              <w:bottom w:val="single" w:color="000000" w:sz="4" w:space="0"/>
              <w:right w:val="single" w:color="000000" w:sz="4" w:space="0"/>
            </w:tcBorders>
            <w:vAlign w:val="center"/>
          </w:tcPr>
          <w:p w14:paraId="28B012BB">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4FC65D23">
            <w:pPr>
              <w:pStyle w:val="28"/>
              <w:bidi w:val="0"/>
              <w:rPr>
                <w:color w:val="auto"/>
              </w:rPr>
            </w:pPr>
            <w:r>
              <w:rPr>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34585F9D">
            <w:pPr>
              <w:pStyle w:val="28"/>
              <w:bidi w:val="0"/>
              <w:rPr>
                <w:color w:val="auto"/>
              </w:rPr>
            </w:pPr>
            <w:r>
              <w:rPr>
                <w:color w:val="auto"/>
              </w:rPr>
              <w:t>三级</w:t>
            </w:r>
          </w:p>
        </w:tc>
      </w:tr>
      <w:tr w14:paraId="540548FE">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24C957D5">
            <w:pPr>
              <w:pStyle w:val="28"/>
              <w:bidi w:val="0"/>
              <w:rPr>
                <w:color w:val="auto"/>
              </w:rPr>
            </w:pPr>
            <w:r>
              <w:rPr>
                <w:color w:val="auto"/>
              </w:rPr>
              <w:t>14</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558435A5">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71F51350">
            <w:pPr>
              <w:pStyle w:val="28"/>
              <w:bidi w:val="0"/>
              <w:rPr>
                <w:color w:val="auto"/>
              </w:rPr>
            </w:pPr>
            <w:r>
              <w:rPr>
                <w:rFonts w:hint="eastAsia"/>
                <w:color w:val="auto"/>
              </w:rPr>
              <w:t>方庄支渠</w:t>
            </w:r>
          </w:p>
        </w:tc>
        <w:tc>
          <w:tcPr>
            <w:tcW w:w="456" w:type="pct"/>
            <w:tcBorders>
              <w:top w:val="single" w:color="000000" w:sz="4" w:space="0"/>
              <w:left w:val="single" w:color="000000" w:sz="4" w:space="0"/>
              <w:bottom w:val="single" w:color="000000" w:sz="4" w:space="0"/>
              <w:right w:val="single" w:color="000000" w:sz="4" w:space="0"/>
            </w:tcBorders>
            <w:vAlign w:val="center"/>
          </w:tcPr>
          <w:p w14:paraId="4A308999">
            <w:pPr>
              <w:pStyle w:val="28"/>
              <w:bidi w:val="0"/>
              <w:rPr>
                <w:color w:val="auto"/>
              </w:rPr>
            </w:pPr>
            <w:r>
              <w:rPr>
                <w:rFonts w:hint="eastAsia"/>
                <w:color w:val="auto"/>
              </w:rPr>
              <w:t>2500</w:t>
            </w:r>
          </w:p>
        </w:tc>
        <w:tc>
          <w:tcPr>
            <w:tcW w:w="422" w:type="pct"/>
            <w:tcBorders>
              <w:top w:val="single" w:color="000000" w:sz="4" w:space="0"/>
              <w:left w:val="single" w:color="000000" w:sz="4" w:space="0"/>
              <w:bottom w:val="single" w:color="000000" w:sz="4" w:space="0"/>
              <w:right w:val="single" w:color="000000" w:sz="4" w:space="0"/>
            </w:tcBorders>
            <w:vAlign w:val="center"/>
          </w:tcPr>
          <w:p w14:paraId="16E67D3B">
            <w:pPr>
              <w:pStyle w:val="28"/>
              <w:bidi w:val="0"/>
              <w:rPr>
                <w:color w:val="auto"/>
              </w:rPr>
            </w:pPr>
          </w:p>
        </w:tc>
        <w:tc>
          <w:tcPr>
            <w:tcW w:w="324" w:type="pct"/>
            <w:tcBorders>
              <w:top w:val="single" w:color="000000" w:sz="4" w:space="0"/>
              <w:left w:val="single" w:color="000000" w:sz="4" w:space="0"/>
              <w:bottom w:val="single" w:color="000000" w:sz="4" w:space="0"/>
              <w:right w:val="single" w:color="000000" w:sz="4" w:space="0"/>
            </w:tcBorders>
            <w:vAlign w:val="center"/>
          </w:tcPr>
          <w:p w14:paraId="1559E6D0">
            <w:pPr>
              <w:pStyle w:val="28"/>
              <w:bidi w:val="0"/>
              <w:rPr>
                <w:color w:val="auto"/>
              </w:rPr>
            </w:pPr>
          </w:p>
        </w:tc>
        <w:tc>
          <w:tcPr>
            <w:tcW w:w="1170" w:type="pct"/>
            <w:tcBorders>
              <w:top w:val="single" w:color="000000" w:sz="4" w:space="0"/>
              <w:left w:val="single" w:color="000000" w:sz="4" w:space="0"/>
              <w:bottom w:val="single" w:color="000000" w:sz="4" w:space="0"/>
              <w:right w:val="single" w:color="000000" w:sz="4" w:space="0"/>
            </w:tcBorders>
            <w:vAlign w:val="center"/>
          </w:tcPr>
          <w:p w14:paraId="66F3B7D6">
            <w:pPr>
              <w:pStyle w:val="28"/>
              <w:bidi w:val="0"/>
              <w:rPr>
                <w:color w:val="auto"/>
              </w:rPr>
            </w:pPr>
            <w:r>
              <w:rPr>
                <w:rFonts w:hint="eastAsia"/>
                <w:color w:val="auto"/>
              </w:rPr>
              <w:t>/</w:t>
            </w:r>
          </w:p>
        </w:tc>
        <w:tc>
          <w:tcPr>
            <w:tcW w:w="451" w:type="pct"/>
            <w:tcBorders>
              <w:top w:val="single" w:color="000000" w:sz="4" w:space="0"/>
              <w:left w:val="single" w:color="000000" w:sz="4" w:space="0"/>
              <w:bottom w:val="single" w:color="000000" w:sz="4" w:space="0"/>
              <w:right w:val="single" w:color="000000" w:sz="4" w:space="0"/>
            </w:tcBorders>
            <w:vAlign w:val="center"/>
          </w:tcPr>
          <w:p w14:paraId="4C603F8E">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5B85F941">
            <w:pPr>
              <w:pStyle w:val="28"/>
              <w:bidi w:val="0"/>
              <w:rPr>
                <w:color w:val="auto"/>
              </w:rPr>
            </w:pPr>
            <w:r>
              <w:rPr>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0E65F2E5">
            <w:pPr>
              <w:pStyle w:val="28"/>
              <w:bidi w:val="0"/>
              <w:rPr>
                <w:color w:val="auto"/>
              </w:rPr>
            </w:pPr>
            <w:r>
              <w:rPr>
                <w:color w:val="auto"/>
              </w:rPr>
              <w:t>三级</w:t>
            </w:r>
          </w:p>
        </w:tc>
      </w:tr>
      <w:tr w14:paraId="5DB10321">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12687804">
            <w:pPr>
              <w:pStyle w:val="28"/>
              <w:bidi w:val="0"/>
              <w:rPr>
                <w:color w:val="auto"/>
              </w:rPr>
            </w:pPr>
            <w:r>
              <w:rPr>
                <w:color w:val="auto"/>
              </w:rPr>
              <w:t>15</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68AACAA6">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37E1336E">
            <w:pPr>
              <w:pStyle w:val="28"/>
              <w:bidi w:val="0"/>
              <w:rPr>
                <w:color w:val="auto"/>
              </w:rPr>
            </w:pPr>
            <w:r>
              <w:rPr>
                <w:rFonts w:hint="eastAsia"/>
                <w:color w:val="auto"/>
              </w:rPr>
              <w:t>朱集一站管理区建设及绿化工程</w:t>
            </w:r>
          </w:p>
        </w:tc>
        <w:tc>
          <w:tcPr>
            <w:tcW w:w="456" w:type="pct"/>
            <w:tcBorders>
              <w:top w:val="single" w:color="000000" w:sz="4" w:space="0"/>
              <w:left w:val="single" w:color="000000" w:sz="4" w:space="0"/>
              <w:bottom w:val="single" w:color="000000" w:sz="4" w:space="0"/>
              <w:right w:val="single" w:color="000000" w:sz="4" w:space="0"/>
            </w:tcBorders>
            <w:vAlign w:val="center"/>
          </w:tcPr>
          <w:p w14:paraId="49AB82EB">
            <w:pPr>
              <w:pStyle w:val="28"/>
              <w:bidi w:val="0"/>
              <w:rPr>
                <w:color w:val="auto"/>
              </w:rPr>
            </w:pPr>
            <w:r>
              <w:rPr>
                <w:rFonts w:hint="eastAsia"/>
                <w:color w:val="auto"/>
              </w:rPr>
              <w:t>/</w:t>
            </w:r>
          </w:p>
        </w:tc>
        <w:tc>
          <w:tcPr>
            <w:tcW w:w="422" w:type="pct"/>
            <w:tcBorders>
              <w:top w:val="single" w:color="000000" w:sz="4" w:space="0"/>
              <w:left w:val="single" w:color="000000" w:sz="4" w:space="0"/>
              <w:bottom w:val="single" w:color="000000" w:sz="4" w:space="0"/>
              <w:right w:val="single" w:color="000000" w:sz="4" w:space="0"/>
            </w:tcBorders>
            <w:vAlign w:val="center"/>
          </w:tcPr>
          <w:p w14:paraId="1D7F2993">
            <w:pPr>
              <w:pStyle w:val="28"/>
              <w:bidi w:val="0"/>
              <w:rPr>
                <w:color w:val="auto"/>
              </w:rPr>
            </w:pPr>
            <w:r>
              <w:rPr>
                <w:rFonts w:hint="eastAsia"/>
                <w:color w:val="auto"/>
              </w:rPr>
              <w:t>/</w:t>
            </w:r>
          </w:p>
        </w:tc>
        <w:tc>
          <w:tcPr>
            <w:tcW w:w="324" w:type="pct"/>
            <w:tcBorders>
              <w:top w:val="single" w:color="000000" w:sz="4" w:space="0"/>
              <w:left w:val="single" w:color="000000" w:sz="4" w:space="0"/>
              <w:bottom w:val="single" w:color="000000" w:sz="4" w:space="0"/>
              <w:right w:val="single" w:color="000000" w:sz="4" w:space="0"/>
            </w:tcBorders>
            <w:vAlign w:val="center"/>
          </w:tcPr>
          <w:p w14:paraId="43F6397B">
            <w:pPr>
              <w:pStyle w:val="28"/>
              <w:bidi w:val="0"/>
              <w:rPr>
                <w:color w:val="auto"/>
              </w:rPr>
            </w:pPr>
            <w:r>
              <w:rPr>
                <w:rFonts w:hint="eastAsia"/>
                <w:color w:val="auto"/>
              </w:rPr>
              <w:t>/</w:t>
            </w:r>
          </w:p>
        </w:tc>
        <w:tc>
          <w:tcPr>
            <w:tcW w:w="1170" w:type="pct"/>
            <w:tcBorders>
              <w:top w:val="single" w:color="000000" w:sz="4" w:space="0"/>
              <w:left w:val="single" w:color="000000" w:sz="4" w:space="0"/>
              <w:bottom w:val="single" w:color="000000" w:sz="4" w:space="0"/>
              <w:right w:val="single" w:color="000000" w:sz="4" w:space="0"/>
            </w:tcBorders>
            <w:vAlign w:val="center"/>
          </w:tcPr>
          <w:p w14:paraId="7A8E88B1">
            <w:pPr>
              <w:pStyle w:val="28"/>
              <w:bidi w:val="0"/>
              <w:rPr>
                <w:color w:val="auto"/>
              </w:rPr>
            </w:pPr>
            <w:r>
              <w:rPr>
                <w:rFonts w:hint="eastAsia"/>
                <w:color w:val="auto"/>
              </w:rPr>
              <w:t>管理区建设及绿化工程</w:t>
            </w:r>
          </w:p>
        </w:tc>
        <w:tc>
          <w:tcPr>
            <w:tcW w:w="451" w:type="pct"/>
            <w:tcBorders>
              <w:top w:val="single" w:color="000000" w:sz="4" w:space="0"/>
              <w:left w:val="single" w:color="000000" w:sz="4" w:space="0"/>
              <w:bottom w:val="single" w:color="000000" w:sz="4" w:space="0"/>
              <w:right w:val="single" w:color="000000" w:sz="4" w:space="0"/>
            </w:tcBorders>
            <w:vAlign w:val="center"/>
          </w:tcPr>
          <w:p w14:paraId="175B9D3A">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30340896">
            <w:pPr>
              <w:pStyle w:val="28"/>
              <w:bidi w:val="0"/>
              <w:rPr>
                <w:color w:val="auto"/>
              </w:rPr>
            </w:pPr>
            <w:r>
              <w:rPr>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57B9D918">
            <w:pPr>
              <w:pStyle w:val="28"/>
              <w:bidi w:val="0"/>
              <w:rPr>
                <w:color w:val="auto"/>
              </w:rPr>
            </w:pPr>
            <w:r>
              <w:rPr>
                <w:rFonts w:hint="eastAsia"/>
                <w:color w:val="auto"/>
              </w:rPr>
              <w:t>三</w:t>
            </w:r>
            <w:r>
              <w:rPr>
                <w:color w:val="auto"/>
              </w:rPr>
              <w:t>级</w:t>
            </w:r>
          </w:p>
        </w:tc>
      </w:tr>
      <w:tr w14:paraId="7B524C17">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77086290">
            <w:pPr>
              <w:pStyle w:val="28"/>
              <w:bidi w:val="0"/>
              <w:rPr>
                <w:color w:val="auto"/>
              </w:rPr>
            </w:pPr>
            <w:r>
              <w:rPr>
                <w:color w:val="auto"/>
              </w:rPr>
              <w:t>16</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428F3F5E">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63A211EA">
            <w:pPr>
              <w:pStyle w:val="28"/>
              <w:bidi w:val="0"/>
              <w:rPr>
                <w:color w:val="auto"/>
              </w:rPr>
            </w:pPr>
            <w:r>
              <w:rPr>
                <w:rFonts w:hint="eastAsia"/>
                <w:color w:val="auto"/>
              </w:rPr>
              <w:t>朱集二站管理区建设、朱集管理所管理区建设及绿化工程</w:t>
            </w:r>
          </w:p>
        </w:tc>
        <w:tc>
          <w:tcPr>
            <w:tcW w:w="456" w:type="pct"/>
            <w:tcBorders>
              <w:top w:val="single" w:color="000000" w:sz="4" w:space="0"/>
              <w:left w:val="single" w:color="000000" w:sz="4" w:space="0"/>
              <w:bottom w:val="single" w:color="000000" w:sz="4" w:space="0"/>
              <w:right w:val="single" w:color="000000" w:sz="4" w:space="0"/>
            </w:tcBorders>
            <w:vAlign w:val="center"/>
          </w:tcPr>
          <w:p w14:paraId="7B9E2679">
            <w:pPr>
              <w:pStyle w:val="28"/>
              <w:bidi w:val="0"/>
              <w:rPr>
                <w:color w:val="auto"/>
              </w:rPr>
            </w:pPr>
            <w:r>
              <w:rPr>
                <w:rFonts w:hint="eastAsia"/>
                <w:color w:val="auto"/>
              </w:rPr>
              <w:t>/</w:t>
            </w:r>
          </w:p>
        </w:tc>
        <w:tc>
          <w:tcPr>
            <w:tcW w:w="422" w:type="pct"/>
            <w:tcBorders>
              <w:top w:val="single" w:color="000000" w:sz="4" w:space="0"/>
              <w:left w:val="single" w:color="000000" w:sz="4" w:space="0"/>
              <w:bottom w:val="single" w:color="000000" w:sz="4" w:space="0"/>
              <w:right w:val="single" w:color="000000" w:sz="4" w:space="0"/>
            </w:tcBorders>
            <w:vAlign w:val="center"/>
          </w:tcPr>
          <w:p w14:paraId="1909C950">
            <w:pPr>
              <w:pStyle w:val="28"/>
              <w:bidi w:val="0"/>
              <w:rPr>
                <w:color w:val="auto"/>
              </w:rPr>
            </w:pPr>
            <w:r>
              <w:rPr>
                <w:rFonts w:hint="eastAsia"/>
                <w:color w:val="auto"/>
              </w:rPr>
              <w:t>/</w:t>
            </w:r>
          </w:p>
        </w:tc>
        <w:tc>
          <w:tcPr>
            <w:tcW w:w="324" w:type="pct"/>
            <w:tcBorders>
              <w:top w:val="single" w:color="000000" w:sz="4" w:space="0"/>
              <w:left w:val="single" w:color="000000" w:sz="4" w:space="0"/>
              <w:bottom w:val="single" w:color="000000" w:sz="4" w:space="0"/>
              <w:right w:val="single" w:color="000000" w:sz="4" w:space="0"/>
            </w:tcBorders>
            <w:vAlign w:val="center"/>
          </w:tcPr>
          <w:p w14:paraId="6A0867F7">
            <w:pPr>
              <w:pStyle w:val="28"/>
              <w:bidi w:val="0"/>
              <w:rPr>
                <w:color w:val="auto"/>
              </w:rPr>
            </w:pPr>
            <w:r>
              <w:rPr>
                <w:rFonts w:hint="eastAsia"/>
                <w:color w:val="auto"/>
              </w:rPr>
              <w:t>/</w:t>
            </w:r>
          </w:p>
        </w:tc>
        <w:tc>
          <w:tcPr>
            <w:tcW w:w="1170" w:type="pct"/>
            <w:tcBorders>
              <w:top w:val="single" w:color="000000" w:sz="4" w:space="0"/>
              <w:left w:val="single" w:color="000000" w:sz="4" w:space="0"/>
              <w:bottom w:val="single" w:color="000000" w:sz="4" w:space="0"/>
              <w:right w:val="single" w:color="000000" w:sz="4" w:space="0"/>
            </w:tcBorders>
            <w:vAlign w:val="center"/>
          </w:tcPr>
          <w:p w14:paraId="5B01915A">
            <w:pPr>
              <w:pStyle w:val="28"/>
              <w:bidi w:val="0"/>
              <w:rPr>
                <w:color w:val="auto"/>
              </w:rPr>
            </w:pPr>
            <w:r>
              <w:rPr>
                <w:rFonts w:hint="eastAsia"/>
                <w:color w:val="auto"/>
              </w:rPr>
              <w:t>管理区建设及绿化工程</w:t>
            </w:r>
          </w:p>
        </w:tc>
        <w:tc>
          <w:tcPr>
            <w:tcW w:w="451" w:type="pct"/>
            <w:tcBorders>
              <w:top w:val="single" w:color="000000" w:sz="4" w:space="0"/>
              <w:left w:val="single" w:color="000000" w:sz="4" w:space="0"/>
              <w:bottom w:val="single" w:color="000000" w:sz="4" w:space="0"/>
              <w:right w:val="single" w:color="000000" w:sz="4" w:space="0"/>
            </w:tcBorders>
            <w:vAlign w:val="center"/>
          </w:tcPr>
          <w:p w14:paraId="4C99670A">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50FD4807">
            <w:pPr>
              <w:pStyle w:val="28"/>
              <w:bidi w:val="0"/>
              <w:rPr>
                <w:color w:val="auto"/>
              </w:rPr>
            </w:pPr>
            <w:r>
              <w:rPr>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2D1CF5A7">
            <w:pPr>
              <w:pStyle w:val="28"/>
              <w:bidi w:val="0"/>
              <w:rPr>
                <w:color w:val="auto"/>
              </w:rPr>
            </w:pPr>
            <w:r>
              <w:rPr>
                <w:color w:val="auto"/>
              </w:rPr>
              <w:t>三级</w:t>
            </w:r>
          </w:p>
        </w:tc>
      </w:tr>
      <w:tr w14:paraId="2651BD14">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22275FBE">
            <w:pPr>
              <w:pStyle w:val="28"/>
              <w:bidi w:val="0"/>
              <w:rPr>
                <w:color w:val="auto"/>
              </w:rPr>
            </w:pPr>
            <w:r>
              <w:rPr>
                <w:color w:val="auto"/>
              </w:rPr>
              <w:t>17</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4B6EE4D2">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0D26E92B">
            <w:pPr>
              <w:pStyle w:val="28"/>
              <w:bidi w:val="0"/>
              <w:rPr>
                <w:color w:val="auto"/>
              </w:rPr>
            </w:pPr>
            <w:r>
              <w:rPr>
                <w:rFonts w:hint="eastAsia"/>
                <w:color w:val="auto"/>
              </w:rPr>
              <w:t>杨公三站管理区建设及绿化工程</w:t>
            </w:r>
          </w:p>
        </w:tc>
        <w:tc>
          <w:tcPr>
            <w:tcW w:w="456" w:type="pct"/>
            <w:tcBorders>
              <w:top w:val="single" w:color="000000" w:sz="4" w:space="0"/>
              <w:left w:val="single" w:color="000000" w:sz="4" w:space="0"/>
              <w:bottom w:val="single" w:color="000000" w:sz="4" w:space="0"/>
              <w:right w:val="single" w:color="000000" w:sz="4" w:space="0"/>
            </w:tcBorders>
            <w:vAlign w:val="center"/>
          </w:tcPr>
          <w:p w14:paraId="3FBD907B">
            <w:pPr>
              <w:pStyle w:val="28"/>
              <w:bidi w:val="0"/>
              <w:rPr>
                <w:color w:val="auto"/>
              </w:rPr>
            </w:pPr>
            <w:r>
              <w:rPr>
                <w:rFonts w:hint="eastAsia"/>
                <w:color w:val="auto"/>
              </w:rPr>
              <w:t>/</w:t>
            </w:r>
          </w:p>
        </w:tc>
        <w:tc>
          <w:tcPr>
            <w:tcW w:w="422" w:type="pct"/>
            <w:tcBorders>
              <w:top w:val="single" w:color="000000" w:sz="4" w:space="0"/>
              <w:left w:val="single" w:color="000000" w:sz="4" w:space="0"/>
              <w:bottom w:val="single" w:color="000000" w:sz="4" w:space="0"/>
              <w:right w:val="single" w:color="000000" w:sz="4" w:space="0"/>
            </w:tcBorders>
            <w:vAlign w:val="center"/>
          </w:tcPr>
          <w:p w14:paraId="2EC40119">
            <w:pPr>
              <w:pStyle w:val="28"/>
              <w:bidi w:val="0"/>
              <w:rPr>
                <w:color w:val="auto"/>
              </w:rPr>
            </w:pPr>
            <w:r>
              <w:rPr>
                <w:rFonts w:hint="eastAsia"/>
                <w:color w:val="auto"/>
              </w:rPr>
              <w:t>/</w:t>
            </w:r>
          </w:p>
        </w:tc>
        <w:tc>
          <w:tcPr>
            <w:tcW w:w="324" w:type="pct"/>
            <w:tcBorders>
              <w:top w:val="single" w:color="000000" w:sz="4" w:space="0"/>
              <w:left w:val="single" w:color="000000" w:sz="4" w:space="0"/>
              <w:bottom w:val="single" w:color="000000" w:sz="4" w:space="0"/>
              <w:right w:val="single" w:color="000000" w:sz="4" w:space="0"/>
            </w:tcBorders>
            <w:vAlign w:val="center"/>
          </w:tcPr>
          <w:p w14:paraId="557DD07A">
            <w:pPr>
              <w:pStyle w:val="28"/>
              <w:bidi w:val="0"/>
              <w:rPr>
                <w:color w:val="auto"/>
              </w:rPr>
            </w:pPr>
            <w:r>
              <w:rPr>
                <w:rFonts w:hint="eastAsia"/>
                <w:color w:val="auto"/>
              </w:rPr>
              <w:t>/</w:t>
            </w:r>
          </w:p>
        </w:tc>
        <w:tc>
          <w:tcPr>
            <w:tcW w:w="1170" w:type="pct"/>
            <w:tcBorders>
              <w:top w:val="single" w:color="000000" w:sz="4" w:space="0"/>
              <w:left w:val="single" w:color="000000" w:sz="4" w:space="0"/>
              <w:bottom w:val="single" w:color="000000" w:sz="4" w:space="0"/>
              <w:right w:val="single" w:color="000000" w:sz="4" w:space="0"/>
            </w:tcBorders>
            <w:vAlign w:val="center"/>
          </w:tcPr>
          <w:p w14:paraId="3D0A30E6">
            <w:pPr>
              <w:pStyle w:val="28"/>
              <w:bidi w:val="0"/>
              <w:rPr>
                <w:color w:val="auto"/>
              </w:rPr>
            </w:pPr>
            <w:r>
              <w:rPr>
                <w:rFonts w:hint="eastAsia"/>
                <w:color w:val="auto"/>
              </w:rPr>
              <w:t>管理区建设及绿化工程</w:t>
            </w:r>
          </w:p>
        </w:tc>
        <w:tc>
          <w:tcPr>
            <w:tcW w:w="451" w:type="pct"/>
            <w:tcBorders>
              <w:top w:val="single" w:color="000000" w:sz="4" w:space="0"/>
              <w:left w:val="single" w:color="000000" w:sz="4" w:space="0"/>
              <w:bottom w:val="single" w:color="000000" w:sz="4" w:space="0"/>
              <w:right w:val="single" w:color="000000" w:sz="4" w:space="0"/>
            </w:tcBorders>
            <w:vAlign w:val="center"/>
          </w:tcPr>
          <w:p w14:paraId="6643E804">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6D91EB74">
            <w:pPr>
              <w:pStyle w:val="28"/>
              <w:bidi w:val="0"/>
              <w:rPr>
                <w:color w:val="auto"/>
              </w:rPr>
            </w:pPr>
            <w:r>
              <w:rPr>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2AE122D6">
            <w:pPr>
              <w:pStyle w:val="28"/>
              <w:bidi w:val="0"/>
              <w:rPr>
                <w:color w:val="auto"/>
              </w:rPr>
            </w:pPr>
            <w:r>
              <w:rPr>
                <w:color w:val="auto"/>
              </w:rPr>
              <w:t>三级</w:t>
            </w:r>
          </w:p>
        </w:tc>
      </w:tr>
      <w:tr w14:paraId="4F796BDB">
        <w:tblPrEx>
          <w:tblCellMar>
            <w:top w:w="0" w:type="dxa"/>
            <w:left w:w="108" w:type="dxa"/>
            <w:bottom w:w="0" w:type="dxa"/>
            <w:right w:w="108" w:type="dxa"/>
          </w:tblCellMar>
        </w:tblPrEx>
        <w:trPr>
          <w:trHeight w:val="340" w:hRule="atLeast"/>
          <w:jc w:val="center"/>
        </w:trPr>
        <w:tc>
          <w:tcPr>
            <w:tcW w:w="196" w:type="pct"/>
            <w:tcBorders>
              <w:top w:val="single" w:color="000000" w:sz="4" w:space="0"/>
              <w:left w:val="single" w:color="000000" w:sz="4" w:space="0"/>
              <w:bottom w:val="single" w:color="000000" w:sz="4" w:space="0"/>
              <w:right w:val="single" w:color="000000" w:sz="4" w:space="0"/>
            </w:tcBorders>
            <w:vAlign w:val="center"/>
          </w:tcPr>
          <w:p w14:paraId="3D56683B">
            <w:pPr>
              <w:pStyle w:val="28"/>
              <w:bidi w:val="0"/>
              <w:rPr>
                <w:color w:val="auto"/>
              </w:rPr>
            </w:pPr>
            <w:r>
              <w:rPr>
                <w:color w:val="auto"/>
              </w:rPr>
              <w:t>18</w:t>
            </w:r>
          </w:p>
        </w:tc>
        <w:tc>
          <w:tcPr>
            <w:tcW w:w="283" w:type="pct"/>
            <w:vMerge w:val="continue"/>
            <w:tcBorders>
              <w:top w:val="single" w:color="000000" w:sz="4" w:space="0"/>
              <w:left w:val="single" w:color="000000" w:sz="4" w:space="0"/>
              <w:bottom w:val="single" w:color="000000" w:sz="4" w:space="0"/>
              <w:right w:val="single" w:color="000000" w:sz="4" w:space="0"/>
            </w:tcBorders>
            <w:vAlign w:val="center"/>
          </w:tcPr>
          <w:p w14:paraId="52B63D18">
            <w:pPr>
              <w:pStyle w:val="28"/>
              <w:bidi w:val="0"/>
              <w:rPr>
                <w:color w:val="auto"/>
              </w:rPr>
            </w:pPr>
          </w:p>
        </w:tc>
        <w:tc>
          <w:tcPr>
            <w:tcW w:w="879" w:type="pct"/>
            <w:tcBorders>
              <w:top w:val="single" w:color="000000" w:sz="4" w:space="0"/>
              <w:left w:val="single" w:color="000000" w:sz="4" w:space="0"/>
              <w:bottom w:val="single" w:color="000000" w:sz="4" w:space="0"/>
              <w:right w:val="single" w:color="000000" w:sz="4" w:space="0"/>
            </w:tcBorders>
            <w:vAlign w:val="center"/>
          </w:tcPr>
          <w:p w14:paraId="0102C2A3">
            <w:pPr>
              <w:pStyle w:val="28"/>
              <w:bidi w:val="0"/>
              <w:rPr>
                <w:color w:val="auto"/>
              </w:rPr>
            </w:pPr>
            <w:r>
              <w:rPr>
                <w:rFonts w:hint="eastAsia"/>
                <w:color w:val="auto"/>
              </w:rPr>
              <w:t>原朱集管理站屋面改造工程</w:t>
            </w:r>
          </w:p>
        </w:tc>
        <w:tc>
          <w:tcPr>
            <w:tcW w:w="456" w:type="pct"/>
            <w:tcBorders>
              <w:top w:val="single" w:color="000000" w:sz="4" w:space="0"/>
              <w:left w:val="single" w:color="000000" w:sz="4" w:space="0"/>
              <w:bottom w:val="single" w:color="000000" w:sz="4" w:space="0"/>
              <w:right w:val="single" w:color="000000" w:sz="4" w:space="0"/>
            </w:tcBorders>
            <w:vAlign w:val="center"/>
          </w:tcPr>
          <w:p w14:paraId="1FCD44EF">
            <w:pPr>
              <w:pStyle w:val="28"/>
              <w:bidi w:val="0"/>
              <w:rPr>
                <w:color w:val="auto"/>
              </w:rPr>
            </w:pPr>
            <w:r>
              <w:rPr>
                <w:color w:val="auto"/>
              </w:rPr>
              <w:t>/</w:t>
            </w:r>
          </w:p>
        </w:tc>
        <w:tc>
          <w:tcPr>
            <w:tcW w:w="422" w:type="pct"/>
            <w:tcBorders>
              <w:top w:val="single" w:color="000000" w:sz="4" w:space="0"/>
              <w:left w:val="single" w:color="000000" w:sz="4" w:space="0"/>
              <w:bottom w:val="single" w:color="000000" w:sz="4" w:space="0"/>
              <w:right w:val="single" w:color="000000" w:sz="4" w:space="0"/>
            </w:tcBorders>
            <w:vAlign w:val="center"/>
          </w:tcPr>
          <w:p w14:paraId="33F449DC">
            <w:pPr>
              <w:pStyle w:val="28"/>
              <w:bidi w:val="0"/>
              <w:rPr>
                <w:color w:val="auto"/>
              </w:rPr>
            </w:pPr>
            <w:r>
              <w:rPr>
                <w:color w:val="auto"/>
              </w:rPr>
              <w:t>/</w:t>
            </w:r>
          </w:p>
        </w:tc>
        <w:tc>
          <w:tcPr>
            <w:tcW w:w="324" w:type="pct"/>
            <w:tcBorders>
              <w:top w:val="single" w:color="000000" w:sz="4" w:space="0"/>
              <w:left w:val="single" w:color="000000" w:sz="4" w:space="0"/>
              <w:bottom w:val="single" w:color="000000" w:sz="4" w:space="0"/>
              <w:right w:val="single" w:color="000000" w:sz="4" w:space="0"/>
            </w:tcBorders>
            <w:vAlign w:val="center"/>
          </w:tcPr>
          <w:p w14:paraId="25E3D004">
            <w:pPr>
              <w:pStyle w:val="28"/>
              <w:bidi w:val="0"/>
              <w:rPr>
                <w:color w:val="auto"/>
              </w:rPr>
            </w:pPr>
            <w:r>
              <w:rPr>
                <w:color w:val="auto"/>
              </w:rPr>
              <w:t>/</w:t>
            </w:r>
          </w:p>
        </w:tc>
        <w:tc>
          <w:tcPr>
            <w:tcW w:w="1170" w:type="pct"/>
            <w:tcBorders>
              <w:top w:val="single" w:color="000000" w:sz="4" w:space="0"/>
              <w:left w:val="single" w:color="000000" w:sz="4" w:space="0"/>
              <w:bottom w:val="single" w:color="000000" w:sz="4" w:space="0"/>
              <w:right w:val="single" w:color="000000" w:sz="4" w:space="0"/>
            </w:tcBorders>
            <w:vAlign w:val="center"/>
          </w:tcPr>
          <w:p w14:paraId="371DBC5F">
            <w:pPr>
              <w:pStyle w:val="28"/>
              <w:bidi w:val="0"/>
              <w:rPr>
                <w:color w:val="auto"/>
              </w:rPr>
            </w:pPr>
            <w:r>
              <w:rPr>
                <w:rFonts w:hint="eastAsia"/>
                <w:color w:val="auto"/>
              </w:rPr>
              <w:t>管理区屋面改造工程</w:t>
            </w:r>
          </w:p>
        </w:tc>
        <w:tc>
          <w:tcPr>
            <w:tcW w:w="451" w:type="pct"/>
            <w:tcBorders>
              <w:top w:val="single" w:color="000000" w:sz="4" w:space="0"/>
              <w:left w:val="single" w:color="000000" w:sz="4" w:space="0"/>
              <w:bottom w:val="single" w:color="000000" w:sz="4" w:space="0"/>
              <w:right w:val="single" w:color="000000" w:sz="4" w:space="0"/>
            </w:tcBorders>
            <w:vAlign w:val="center"/>
          </w:tcPr>
          <w:p w14:paraId="24E1D8F8">
            <w:pPr>
              <w:pStyle w:val="28"/>
              <w:bidi w:val="0"/>
              <w:rPr>
                <w:color w:val="auto"/>
              </w:rPr>
            </w:pPr>
            <w:r>
              <w:rPr>
                <w:color w:val="auto"/>
              </w:rPr>
              <w:t>≤5</w:t>
            </w:r>
          </w:p>
        </w:tc>
        <w:tc>
          <w:tcPr>
            <w:tcW w:w="495" w:type="pct"/>
            <w:tcBorders>
              <w:top w:val="single" w:color="000000" w:sz="4" w:space="0"/>
              <w:left w:val="single" w:color="000000" w:sz="4" w:space="0"/>
              <w:bottom w:val="single" w:color="000000" w:sz="4" w:space="0"/>
              <w:right w:val="single" w:color="000000" w:sz="4" w:space="0"/>
            </w:tcBorders>
            <w:vAlign w:val="center"/>
          </w:tcPr>
          <w:p w14:paraId="5B20ED1C">
            <w:pPr>
              <w:pStyle w:val="28"/>
              <w:bidi w:val="0"/>
              <w:rPr>
                <w:color w:val="auto"/>
              </w:rPr>
            </w:pPr>
            <w:r>
              <w:rPr>
                <w:color w:val="auto"/>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65571BA1">
            <w:pPr>
              <w:pStyle w:val="28"/>
              <w:bidi w:val="0"/>
              <w:rPr>
                <w:color w:val="auto"/>
              </w:rPr>
            </w:pPr>
            <w:r>
              <w:rPr>
                <w:color w:val="auto"/>
              </w:rPr>
              <w:t>三级</w:t>
            </w:r>
          </w:p>
        </w:tc>
      </w:tr>
    </w:tbl>
    <w:p w14:paraId="464F5FB6">
      <w:pPr>
        <w:pStyle w:val="5"/>
        <w:rPr>
          <w:rFonts w:cs="Times New Roman"/>
          <w:color w:val="0000FF"/>
        </w:rPr>
        <w:sectPr>
          <w:pgSz w:w="16838" w:h="11905" w:orient="landscape"/>
          <w:pgMar w:top="1417" w:right="1417" w:bottom="1417" w:left="1417" w:header="850" w:footer="850" w:gutter="0"/>
          <w:pgNumType w:fmt="decimal"/>
          <w:cols w:space="0" w:num="1"/>
          <w:rtlGutter w:val="0"/>
          <w:docGrid w:linePitch="326" w:charSpace="0"/>
        </w:sectPr>
      </w:pPr>
    </w:p>
    <w:p w14:paraId="0D267FA3">
      <w:pPr>
        <w:pStyle w:val="5"/>
        <w:bidi w:val="0"/>
      </w:pPr>
      <w:r>
        <w:t>1.4.1.3 声环境影响评价等级</w:t>
      </w:r>
    </w:p>
    <w:p w14:paraId="376DAF8E">
      <w:pPr>
        <w:bidi w:val="0"/>
      </w:pPr>
      <w:r>
        <w:t>依据《环境影响评价技术导则</w:t>
      </w:r>
      <w:r>
        <w:rPr>
          <w:rFonts w:hint="eastAsia"/>
          <w:lang w:val="en-US" w:eastAsia="zh-CN"/>
        </w:rPr>
        <w:t xml:space="preserve"> </w:t>
      </w:r>
      <w:r>
        <w:t xml:space="preserve"> 声环境》（HJ2.4-2021），本项目主要位于GB3096-2008规定的1、2类区，建设项目建设前后评价范围内声环境保护目标处的噪声级增量在5dB（A）以内，受影响人口变化不大，综合判定本项目声环境影响评价等级为二级。</w:t>
      </w:r>
    </w:p>
    <w:p w14:paraId="722603E9">
      <w:pPr>
        <w:pStyle w:val="5"/>
        <w:bidi w:val="0"/>
      </w:pPr>
      <w:r>
        <w:t>1.4.1.4 地下水评价等级</w:t>
      </w:r>
    </w:p>
    <w:p w14:paraId="50C110E3">
      <w:pPr>
        <w:bidi w:val="0"/>
      </w:pPr>
      <w:r>
        <w:t xml:space="preserve">根据《环境影响评价技术导则 </w:t>
      </w:r>
      <w:r>
        <w:rPr>
          <w:rFonts w:hint="eastAsia"/>
          <w:lang w:val="en-US" w:eastAsia="zh-CN"/>
        </w:rPr>
        <w:t xml:space="preserve"> </w:t>
      </w:r>
      <w:r>
        <w:t>地下水环境》（HJ610-2016），项目为A水利 2、灌区工程 中</w:t>
      </w:r>
      <w:r>
        <w:rPr>
          <w:rFonts w:hint="eastAsia"/>
        </w:rPr>
        <w:t>“</w:t>
      </w:r>
      <w:r>
        <w:t>新建5万亩及以上；改造30万亩及以上</w:t>
      </w:r>
      <w:r>
        <w:rPr>
          <w:rFonts w:hint="eastAsia"/>
        </w:rPr>
        <w:t>”</w:t>
      </w:r>
      <w:r>
        <w:t>中报告书类</w:t>
      </w:r>
      <w:r>
        <w:rPr>
          <w:rFonts w:hint="eastAsia"/>
        </w:rPr>
        <w:t>“</w:t>
      </w:r>
      <w:r>
        <w:t>其余</w:t>
      </w:r>
      <w:r>
        <w:rPr>
          <w:rFonts w:hint="eastAsia"/>
        </w:rPr>
        <w:t>”</w:t>
      </w:r>
      <w:r>
        <w:t>，地下水环境影响评价类别为Ⅳ类，因此项目不需要开展地下水评价工作。</w:t>
      </w:r>
    </w:p>
    <w:p w14:paraId="13CCEE52">
      <w:pPr>
        <w:pStyle w:val="5"/>
        <w:rPr>
          <w:rFonts w:cs="Times New Roman"/>
        </w:rPr>
      </w:pPr>
      <w:r>
        <w:rPr>
          <w:rFonts w:cs="Times New Roman"/>
        </w:rPr>
        <w:t>1.4.1.5 生态影响评价等级</w:t>
      </w:r>
    </w:p>
    <w:p w14:paraId="71D6FEE0">
      <w:pPr>
        <w:bidi w:val="0"/>
      </w:pPr>
      <w:r>
        <w:t>本项目属于线性水利工程、彼此距离较远，生态叠加影响较小，根据《环境影响评价技术导则 生态环境》（HJ 19-2022）6.1 评价等级判定 中</w:t>
      </w:r>
      <w:r>
        <w:rPr>
          <w:rFonts w:hint="eastAsia"/>
        </w:rPr>
        <w:t>“</w:t>
      </w:r>
      <w:r>
        <w:t>6.1.6 线性工程可分段确定评价等级</w:t>
      </w:r>
      <w:r>
        <w:rPr>
          <w:rFonts w:hint="eastAsia"/>
        </w:rPr>
        <w:t>”</w:t>
      </w:r>
      <w:r>
        <w:t>，因此本工程生态影响评价等级按照</w:t>
      </w:r>
      <w:r>
        <w:rPr>
          <w:rFonts w:hint="eastAsia"/>
        </w:rPr>
        <w:t>18</w:t>
      </w:r>
      <w:r>
        <w:t>个单项子工程分别进行判定。</w:t>
      </w:r>
    </w:p>
    <w:p w14:paraId="40ED155E">
      <w:pPr>
        <w:bidi w:val="0"/>
      </w:pPr>
      <w:r>
        <w:t>根据《环境影响评价技术导则 生态环境》（HJ 19-2022）可知</w:t>
      </w:r>
      <w:r>
        <w:rPr>
          <w:rFonts w:hint="eastAsia"/>
        </w:rPr>
        <w:t>“</w:t>
      </w:r>
      <w:r>
        <w:t>6.1 评价等级判定</w:t>
      </w:r>
      <w:r>
        <w:rPr>
          <w:rFonts w:hint="eastAsia"/>
        </w:rPr>
        <w:t>”</w:t>
      </w:r>
      <w:r>
        <w:t>中</w:t>
      </w:r>
      <w:r>
        <w:rPr>
          <w:rFonts w:hint="eastAsia"/>
        </w:rPr>
        <w:t>“</w:t>
      </w:r>
      <w:r>
        <w:t>a）涉及国家公园、自然保护区、世界自然遗产、重要生境时，评价等级为一级；b）涉及自然公园时，评价等级为二级；c）涉及生态保护红线时，评价等级不低于二级；d）根据HJ2.3判断属于水文要素影响型且地表水评价等级不低于二级的建设项目，生态影响评价等级不低于二级；e）根据HJ610、HJ964判断地下水水位或土壤影响范围内分布有天然林、公益林、湿地等生态保护目标的建设项目，生态影响评价等级不低于二级；f）当工程占地规模大于20km2时（包括永久和临时占用陆域和水域），评价等级不低于二级；除a、b、c、d、e、f以外的情况，评价等级为三级</w:t>
      </w:r>
      <w:r>
        <w:rPr>
          <w:rFonts w:hint="eastAsia"/>
        </w:rPr>
        <w:t>”</w:t>
      </w:r>
      <w:r>
        <w:t>。</w:t>
      </w:r>
    </w:p>
    <w:p w14:paraId="5AC4C2C3">
      <w:pPr>
        <w:bidi w:val="0"/>
      </w:pPr>
      <w:r>
        <w:t>项目包括</w:t>
      </w:r>
      <w:r>
        <w:rPr>
          <w:rFonts w:hint="eastAsia"/>
        </w:rPr>
        <w:t>18个</w:t>
      </w:r>
      <w:r>
        <w:t>单项子工程，经过查阅资料和实地踏勘，项目</w:t>
      </w:r>
      <w:r>
        <w:rPr>
          <w:rFonts w:hint="eastAsia"/>
        </w:rPr>
        <w:t>各子项目不涉及</w:t>
      </w:r>
      <w:r>
        <w:t>生态保护红线；</w:t>
      </w:r>
      <w:r>
        <w:rPr>
          <w:rFonts w:hint="eastAsia"/>
        </w:rPr>
        <w:t>朱集一站引水渠评价范围涉及瓦埠湖省级湿地自然公园，</w:t>
      </w:r>
      <w:r>
        <w:t>故该子项目</w:t>
      </w:r>
      <w:r>
        <w:rPr>
          <w:rFonts w:hint="eastAsia"/>
        </w:rPr>
        <w:t>陆生、水生</w:t>
      </w:r>
      <w:r>
        <w:t>生态影响评价等级</w:t>
      </w:r>
      <w:r>
        <w:rPr>
          <w:rFonts w:hint="eastAsia"/>
        </w:rPr>
        <w:t>为</w:t>
      </w:r>
      <w:r>
        <w:t>二级。</w:t>
      </w:r>
    </w:p>
    <w:p w14:paraId="44CA4F46">
      <w:pPr>
        <w:bidi w:val="0"/>
      </w:pPr>
      <w:r>
        <w:t>由地表水环境中水文要素型地表水评价等级判定结果可知，项目单项子工程中</w:t>
      </w:r>
      <w:r>
        <w:rPr>
          <w:rFonts w:hint="eastAsia"/>
        </w:rPr>
        <w:t>三东干渠水文要素影响评价等级不低于二级，则该子项目</w:t>
      </w:r>
      <w:r>
        <w:t>生态影响评价等级不低于二级，根据（HJ19-2022）</w:t>
      </w:r>
      <w:r>
        <w:rPr>
          <w:rFonts w:hint="eastAsia"/>
        </w:rPr>
        <w:t>“</w:t>
      </w:r>
      <w:r>
        <w:t>拦河闸坝建设可能明显改变水文情势等情况下，评价等级应上调一级</w:t>
      </w:r>
      <w:r>
        <w:rPr>
          <w:rFonts w:hint="eastAsia"/>
        </w:rPr>
        <w:t>”</w:t>
      </w:r>
      <w:r>
        <w:t>，本次评价保守考虑新建闸坝明显改变水文情况，则该子项目</w:t>
      </w:r>
      <w:r>
        <w:rPr>
          <w:rFonts w:hint="eastAsia"/>
        </w:rPr>
        <w:t>水生</w:t>
      </w:r>
      <w:r>
        <w:t>生态影响评价等级上调为</w:t>
      </w:r>
      <w:r>
        <w:rPr>
          <w:rFonts w:hint="eastAsia"/>
        </w:rPr>
        <w:t>二</w:t>
      </w:r>
      <w:r>
        <w:t>级。</w:t>
      </w:r>
    </w:p>
    <w:p w14:paraId="139B7B65">
      <w:pPr>
        <w:bidi w:val="0"/>
      </w:pPr>
      <w:r>
        <w:t>综上所述，</w:t>
      </w:r>
      <w:r>
        <w:rPr>
          <w:rFonts w:hint="eastAsia"/>
        </w:rPr>
        <w:t>考虑</w:t>
      </w:r>
      <w:r>
        <w:t>本项目涉及的生态影响对象，</w:t>
      </w:r>
      <w:r>
        <w:rPr>
          <w:rFonts w:hint="eastAsia"/>
        </w:rPr>
        <w:t>水生生态影响2个子项目二级评价，16个子项目三级评价；陆生生态影响2个子项目二级评价，16个子项目三级评价。</w:t>
      </w:r>
    </w:p>
    <w:p w14:paraId="20386E6E">
      <w:pPr>
        <w:bidi w:val="0"/>
      </w:pPr>
      <w:r>
        <w:t>且考虑本项目涉及的生态影响对象，本项目各子工程生态影响评价等级判定一览表如下：</w:t>
      </w:r>
    </w:p>
    <w:p w14:paraId="00C4CA41">
      <w:pPr>
        <w:pStyle w:val="29"/>
        <w:bidi w:val="0"/>
      </w:pPr>
      <w:r>
        <w:t>表1</w:t>
      </w:r>
      <w:r>
        <w:rPr>
          <w:rFonts w:hint="eastAsia"/>
          <w:lang w:val="en-US" w:eastAsia="zh-CN"/>
        </w:rPr>
        <w:t>.</w:t>
      </w:r>
      <w:r>
        <w:t xml:space="preserve">4-5 </w:t>
      </w:r>
      <w:r>
        <w:rPr>
          <w:rFonts w:hint="eastAsia"/>
          <w:lang w:val="en-US" w:eastAsia="zh-CN"/>
        </w:rPr>
        <w:t xml:space="preserve"> </w:t>
      </w:r>
      <w:r>
        <w:t>各子工程</w:t>
      </w:r>
      <w:r>
        <w:rPr>
          <w:rFonts w:hint="eastAsia"/>
        </w:rPr>
        <w:t>陆生</w:t>
      </w:r>
      <w:r>
        <w:t>生态影响评价等级判定一览表</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7"/>
        <w:gridCol w:w="2053"/>
        <w:gridCol w:w="2089"/>
        <w:gridCol w:w="1102"/>
        <w:gridCol w:w="1440"/>
        <w:gridCol w:w="1106"/>
        <w:gridCol w:w="860"/>
      </w:tblGrid>
      <w:tr w14:paraId="35098D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5" w:hRule="atLeast"/>
          <w:jc w:val="center"/>
        </w:trPr>
        <w:tc>
          <w:tcPr>
            <w:tcW w:w="343" w:type="pct"/>
            <w:shd w:val="clear" w:color="auto" w:fill="auto"/>
            <w:vAlign w:val="center"/>
          </w:tcPr>
          <w:p w14:paraId="678EFC21">
            <w:pPr>
              <w:pStyle w:val="28"/>
              <w:bidi w:val="0"/>
            </w:pPr>
            <w:r>
              <w:rPr>
                <w:rFonts w:hint="eastAsia"/>
              </w:rPr>
              <w:t>序号</w:t>
            </w:r>
          </w:p>
        </w:tc>
        <w:tc>
          <w:tcPr>
            <w:tcW w:w="1105" w:type="pct"/>
            <w:shd w:val="clear" w:color="auto" w:fill="auto"/>
            <w:vAlign w:val="center"/>
          </w:tcPr>
          <w:p w14:paraId="6B1DDDF2">
            <w:pPr>
              <w:pStyle w:val="28"/>
              <w:bidi w:val="0"/>
            </w:pPr>
            <w:r>
              <w:rPr>
                <w:rFonts w:hint="eastAsia"/>
              </w:rPr>
              <w:t>项目名称</w:t>
            </w:r>
          </w:p>
        </w:tc>
        <w:tc>
          <w:tcPr>
            <w:tcW w:w="1124" w:type="pct"/>
            <w:shd w:val="clear" w:color="auto" w:fill="auto"/>
            <w:vAlign w:val="center"/>
          </w:tcPr>
          <w:p w14:paraId="69806DC0">
            <w:pPr>
              <w:pStyle w:val="28"/>
              <w:bidi w:val="0"/>
            </w:pPr>
            <w:r>
              <w:rPr>
                <w:rFonts w:hint="eastAsia"/>
              </w:rPr>
              <w:t>国家公园、自然保护区、世界自然遗产、重要生境</w:t>
            </w:r>
          </w:p>
        </w:tc>
        <w:tc>
          <w:tcPr>
            <w:tcW w:w="593" w:type="pct"/>
            <w:shd w:val="clear" w:color="auto" w:fill="auto"/>
            <w:vAlign w:val="center"/>
          </w:tcPr>
          <w:p w14:paraId="583F8CAD">
            <w:pPr>
              <w:pStyle w:val="28"/>
              <w:bidi w:val="0"/>
            </w:pPr>
            <w:r>
              <w:rPr>
                <w:rFonts w:hint="eastAsia"/>
              </w:rPr>
              <w:t>自然公园</w:t>
            </w:r>
          </w:p>
        </w:tc>
        <w:tc>
          <w:tcPr>
            <w:tcW w:w="775" w:type="pct"/>
            <w:shd w:val="clear" w:color="auto" w:fill="auto"/>
            <w:vAlign w:val="center"/>
          </w:tcPr>
          <w:p w14:paraId="5B72F08E">
            <w:pPr>
              <w:pStyle w:val="28"/>
              <w:bidi w:val="0"/>
            </w:pPr>
            <w:r>
              <w:rPr>
                <w:rFonts w:hint="eastAsia"/>
              </w:rPr>
              <w:t>生态保护红线</w:t>
            </w:r>
          </w:p>
        </w:tc>
        <w:tc>
          <w:tcPr>
            <w:tcW w:w="595" w:type="pct"/>
            <w:shd w:val="clear" w:color="auto" w:fill="auto"/>
            <w:vAlign w:val="center"/>
          </w:tcPr>
          <w:p w14:paraId="2B75AFCA">
            <w:pPr>
              <w:pStyle w:val="28"/>
              <w:bidi w:val="0"/>
            </w:pPr>
            <w:r>
              <w:rPr>
                <w:rFonts w:hint="eastAsia"/>
              </w:rPr>
              <w:t>其他情况</w:t>
            </w:r>
          </w:p>
        </w:tc>
        <w:tc>
          <w:tcPr>
            <w:tcW w:w="463" w:type="pct"/>
            <w:shd w:val="clear" w:color="auto" w:fill="auto"/>
            <w:vAlign w:val="center"/>
          </w:tcPr>
          <w:p w14:paraId="0FF71268">
            <w:pPr>
              <w:pStyle w:val="28"/>
              <w:bidi w:val="0"/>
            </w:pPr>
            <w:r>
              <w:rPr>
                <w:rFonts w:hint="eastAsia"/>
              </w:rPr>
              <w:t>陆生生态评价等级</w:t>
            </w:r>
          </w:p>
        </w:tc>
      </w:tr>
      <w:tr w14:paraId="23041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4B43F64A">
            <w:pPr>
              <w:pStyle w:val="28"/>
              <w:bidi w:val="0"/>
            </w:pPr>
            <w:r>
              <w:t>1</w:t>
            </w:r>
          </w:p>
        </w:tc>
        <w:tc>
          <w:tcPr>
            <w:tcW w:w="1105" w:type="pct"/>
            <w:shd w:val="clear" w:color="auto" w:fill="auto"/>
            <w:vAlign w:val="center"/>
          </w:tcPr>
          <w:p w14:paraId="307D2EB9">
            <w:pPr>
              <w:pStyle w:val="28"/>
              <w:bidi w:val="0"/>
            </w:pPr>
            <w:r>
              <w:rPr>
                <w:rFonts w:hint="eastAsia"/>
              </w:rPr>
              <w:t>朱集一站引水渠</w:t>
            </w:r>
          </w:p>
        </w:tc>
        <w:tc>
          <w:tcPr>
            <w:tcW w:w="1124" w:type="pct"/>
            <w:shd w:val="clear" w:color="auto" w:fill="auto"/>
            <w:vAlign w:val="center"/>
          </w:tcPr>
          <w:p w14:paraId="1367BF7C">
            <w:pPr>
              <w:pStyle w:val="28"/>
              <w:bidi w:val="0"/>
            </w:pPr>
            <w:r>
              <w:rPr>
                <w:rFonts w:hint="eastAsia"/>
              </w:rPr>
              <w:t>不涉及</w:t>
            </w:r>
          </w:p>
        </w:tc>
        <w:tc>
          <w:tcPr>
            <w:tcW w:w="593" w:type="pct"/>
            <w:shd w:val="clear" w:color="auto" w:fill="auto"/>
            <w:vAlign w:val="center"/>
          </w:tcPr>
          <w:p w14:paraId="1D9DFEB0">
            <w:pPr>
              <w:pStyle w:val="28"/>
              <w:bidi w:val="0"/>
            </w:pPr>
            <w:r>
              <w:rPr>
                <w:rFonts w:hint="eastAsia"/>
              </w:rPr>
              <w:t>评价范围涉及瓦埠湖省级湿地自然公园</w:t>
            </w:r>
          </w:p>
        </w:tc>
        <w:tc>
          <w:tcPr>
            <w:tcW w:w="775" w:type="pct"/>
            <w:vMerge w:val="restart"/>
            <w:shd w:val="clear" w:color="auto" w:fill="auto"/>
            <w:vAlign w:val="center"/>
          </w:tcPr>
          <w:p w14:paraId="25200282">
            <w:pPr>
              <w:pStyle w:val="28"/>
              <w:bidi w:val="0"/>
            </w:pPr>
            <w:r>
              <w:rPr>
                <w:rFonts w:hint="eastAsia"/>
              </w:rPr>
              <w:t>不涉及</w:t>
            </w:r>
          </w:p>
        </w:tc>
        <w:tc>
          <w:tcPr>
            <w:tcW w:w="595" w:type="pct"/>
            <w:shd w:val="clear" w:color="auto" w:fill="auto"/>
            <w:vAlign w:val="center"/>
          </w:tcPr>
          <w:p w14:paraId="1E5D2A04">
            <w:pPr>
              <w:pStyle w:val="28"/>
              <w:bidi w:val="0"/>
            </w:pPr>
            <w:r>
              <w:rPr>
                <w:rFonts w:hint="eastAsia"/>
              </w:rPr>
              <w:t>无</w:t>
            </w:r>
          </w:p>
        </w:tc>
        <w:tc>
          <w:tcPr>
            <w:tcW w:w="463" w:type="pct"/>
            <w:shd w:val="clear" w:color="auto" w:fill="auto"/>
            <w:vAlign w:val="center"/>
          </w:tcPr>
          <w:p w14:paraId="1142A47A">
            <w:pPr>
              <w:pStyle w:val="28"/>
              <w:bidi w:val="0"/>
            </w:pPr>
            <w:r>
              <w:rPr>
                <w:rFonts w:hint="eastAsia"/>
              </w:rPr>
              <w:t>二级</w:t>
            </w:r>
          </w:p>
        </w:tc>
      </w:tr>
      <w:tr w14:paraId="065D7A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67BA00E9">
            <w:pPr>
              <w:pStyle w:val="28"/>
              <w:bidi w:val="0"/>
            </w:pPr>
            <w:r>
              <w:t>2</w:t>
            </w:r>
          </w:p>
        </w:tc>
        <w:tc>
          <w:tcPr>
            <w:tcW w:w="1105" w:type="pct"/>
            <w:shd w:val="clear" w:color="auto" w:fill="auto"/>
            <w:vAlign w:val="center"/>
          </w:tcPr>
          <w:p w14:paraId="70FE2D02">
            <w:pPr>
              <w:pStyle w:val="28"/>
              <w:bidi w:val="0"/>
            </w:pPr>
            <w:r>
              <w:rPr>
                <w:rFonts w:hint="eastAsia"/>
              </w:rPr>
              <w:t>二引干渠</w:t>
            </w:r>
          </w:p>
        </w:tc>
        <w:tc>
          <w:tcPr>
            <w:tcW w:w="1124" w:type="pct"/>
            <w:shd w:val="clear" w:color="auto" w:fill="auto"/>
            <w:vAlign w:val="center"/>
          </w:tcPr>
          <w:p w14:paraId="46EC9A17">
            <w:pPr>
              <w:pStyle w:val="28"/>
              <w:bidi w:val="0"/>
            </w:pPr>
            <w:r>
              <w:rPr>
                <w:rFonts w:hint="eastAsia"/>
              </w:rPr>
              <w:t>不涉及</w:t>
            </w:r>
          </w:p>
        </w:tc>
        <w:tc>
          <w:tcPr>
            <w:tcW w:w="593" w:type="pct"/>
            <w:shd w:val="clear" w:color="auto" w:fill="auto"/>
            <w:vAlign w:val="center"/>
          </w:tcPr>
          <w:p w14:paraId="159A3EAE">
            <w:pPr>
              <w:pStyle w:val="28"/>
              <w:bidi w:val="0"/>
            </w:pPr>
            <w:r>
              <w:rPr>
                <w:rFonts w:hint="eastAsia"/>
              </w:rPr>
              <w:t>不涉及</w:t>
            </w:r>
          </w:p>
        </w:tc>
        <w:tc>
          <w:tcPr>
            <w:tcW w:w="775" w:type="pct"/>
            <w:vMerge w:val="continue"/>
            <w:shd w:val="clear" w:color="auto" w:fill="auto"/>
            <w:vAlign w:val="center"/>
          </w:tcPr>
          <w:p w14:paraId="23C9FFF4">
            <w:pPr>
              <w:pStyle w:val="28"/>
              <w:bidi w:val="0"/>
            </w:pPr>
          </w:p>
        </w:tc>
        <w:tc>
          <w:tcPr>
            <w:tcW w:w="595" w:type="pct"/>
            <w:shd w:val="clear" w:color="auto" w:fill="auto"/>
            <w:vAlign w:val="center"/>
          </w:tcPr>
          <w:p w14:paraId="7506BDA7">
            <w:pPr>
              <w:pStyle w:val="28"/>
              <w:bidi w:val="0"/>
            </w:pPr>
            <w:r>
              <w:rPr>
                <w:rFonts w:hint="eastAsia"/>
              </w:rPr>
              <w:t>无</w:t>
            </w:r>
          </w:p>
        </w:tc>
        <w:tc>
          <w:tcPr>
            <w:tcW w:w="463" w:type="pct"/>
            <w:shd w:val="clear" w:color="auto" w:fill="auto"/>
            <w:vAlign w:val="center"/>
          </w:tcPr>
          <w:p w14:paraId="6046D224">
            <w:pPr>
              <w:pStyle w:val="28"/>
              <w:bidi w:val="0"/>
            </w:pPr>
            <w:r>
              <w:rPr>
                <w:rFonts w:hint="eastAsia"/>
              </w:rPr>
              <w:t>三级</w:t>
            </w:r>
          </w:p>
        </w:tc>
      </w:tr>
      <w:tr w14:paraId="02B55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4E7C26B7">
            <w:pPr>
              <w:pStyle w:val="28"/>
              <w:bidi w:val="0"/>
            </w:pPr>
            <w:r>
              <w:t>3</w:t>
            </w:r>
          </w:p>
        </w:tc>
        <w:tc>
          <w:tcPr>
            <w:tcW w:w="1105" w:type="pct"/>
            <w:shd w:val="clear" w:color="auto" w:fill="auto"/>
            <w:vAlign w:val="center"/>
          </w:tcPr>
          <w:p w14:paraId="6CF59EC7">
            <w:pPr>
              <w:pStyle w:val="28"/>
              <w:bidi w:val="0"/>
            </w:pPr>
            <w:r>
              <w:rPr>
                <w:rFonts w:hint="eastAsia"/>
              </w:rPr>
              <w:t>一东干渠</w:t>
            </w:r>
          </w:p>
        </w:tc>
        <w:tc>
          <w:tcPr>
            <w:tcW w:w="1124" w:type="pct"/>
            <w:shd w:val="clear" w:color="auto" w:fill="auto"/>
            <w:vAlign w:val="center"/>
          </w:tcPr>
          <w:p w14:paraId="0C00FE0F">
            <w:pPr>
              <w:pStyle w:val="28"/>
              <w:bidi w:val="0"/>
            </w:pPr>
            <w:r>
              <w:rPr>
                <w:rFonts w:hint="eastAsia"/>
              </w:rPr>
              <w:t>不涉及</w:t>
            </w:r>
          </w:p>
        </w:tc>
        <w:tc>
          <w:tcPr>
            <w:tcW w:w="593" w:type="pct"/>
            <w:shd w:val="clear" w:color="auto" w:fill="auto"/>
            <w:vAlign w:val="center"/>
          </w:tcPr>
          <w:p w14:paraId="3AE1060A">
            <w:pPr>
              <w:pStyle w:val="28"/>
              <w:bidi w:val="0"/>
            </w:pPr>
            <w:r>
              <w:rPr>
                <w:rFonts w:hint="eastAsia"/>
              </w:rPr>
              <w:t>不涉及</w:t>
            </w:r>
          </w:p>
        </w:tc>
        <w:tc>
          <w:tcPr>
            <w:tcW w:w="775" w:type="pct"/>
            <w:vMerge w:val="continue"/>
            <w:shd w:val="clear" w:color="auto" w:fill="auto"/>
            <w:vAlign w:val="center"/>
          </w:tcPr>
          <w:p w14:paraId="4AD77412">
            <w:pPr>
              <w:pStyle w:val="28"/>
              <w:bidi w:val="0"/>
            </w:pPr>
          </w:p>
        </w:tc>
        <w:tc>
          <w:tcPr>
            <w:tcW w:w="595" w:type="pct"/>
            <w:shd w:val="clear" w:color="auto" w:fill="auto"/>
            <w:vAlign w:val="center"/>
          </w:tcPr>
          <w:p w14:paraId="1BD368C4">
            <w:pPr>
              <w:pStyle w:val="28"/>
              <w:bidi w:val="0"/>
            </w:pPr>
            <w:r>
              <w:rPr>
                <w:rFonts w:hint="eastAsia"/>
              </w:rPr>
              <w:t>无</w:t>
            </w:r>
          </w:p>
        </w:tc>
        <w:tc>
          <w:tcPr>
            <w:tcW w:w="463" w:type="pct"/>
            <w:shd w:val="clear" w:color="auto" w:fill="auto"/>
            <w:vAlign w:val="center"/>
          </w:tcPr>
          <w:p w14:paraId="5D402977">
            <w:pPr>
              <w:pStyle w:val="28"/>
              <w:bidi w:val="0"/>
            </w:pPr>
            <w:r>
              <w:rPr>
                <w:rFonts w:hint="eastAsia"/>
              </w:rPr>
              <w:t>三级</w:t>
            </w:r>
          </w:p>
        </w:tc>
      </w:tr>
      <w:tr w14:paraId="43DAE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3D8327BC">
            <w:pPr>
              <w:pStyle w:val="28"/>
              <w:bidi w:val="0"/>
            </w:pPr>
            <w:r>
              <w:t>4</w:t>
            </w:r>
          </w:p>
        </w:tc>
        <w:tc>
          <w:tcPr>
            <w:tcW w:w="1105" w:type="pct"/>
            <w:shd w:val="clear" w:color="auto" w:fill="auto"/>
            <w:vAlign w:val="center"/>
          </w:tcPr>
          <w:p w14:paraId="03EC9A99">
            <w:pPr>
              <w:pStyle w:val="28"/>
              <w:bidi w:val="0"/>
            </w:pPr>
            <w:r>
              <w:rPr>
                <w:rFonts w:hint="eastAsia"/>
              </w:rPr>
              <w:t>二东干渠</w:t>
            </w:r>
          </w:p>
        </w:tc>
        <w:tc>
          <w:tcPr>
            <w:tcW w:w="1124" w:type="pct"/>
            <w:shd w:val="clear" w:color="auto" w:fill="auto"/>
            <w:vAlign w:val="center"/>
          </w:tcPr>
          <w:p w14:paraId="4F24B2DA">
            <w:pPr>
              <w:pStyle w:val="28"/>
              <w:bidi w:val="0"/>
            </w:pPr>
            <w:r>
              <w:rPr>
                <w:rFonts w:hint="eastAsia"/>
              </w:rPr>
              <w:t>不涉及</w:t>
            </w:r>
          </w:p>
        </w:tc>
        <w:tc>
          <w:tcPr>
            <w:tcW w:w="593" w:type="pct"/>
            <w:shd w:val="clear" w:color="auto" w:fill="auto"/>
            <w:vAlign w:val="center"/>
          </w:tcPr>
          <w:p w14:paraId="21DD98A8">
            <w:pPr>
              <w:pStyle w:val="28"/>
              <w:bidi w:val="0"/>
            </w:pPr>
            <w:r>
              <w:rPr>
                <w:rFonts w:hint="eastAsia"/>
              </w:rPr>
              <w:t>不涉及</w:t>
            </w:r>
          </w:p>
        </w:tc>
        <w:tc>
          <w:tcPr>
            <w:tcW w:w="775" w:type="pct"/>
            <w:vMerge w:val="continue"/>
            <w:shd w:val="clear" w:color="auto" w:fill="auto"/>
            <w:vAlign w:val="center"/>
          </w:tcPr>
          <w:p w14:paraId="29B29AF3">
            <w:pPr>
              <w:pStyle w:val="28"/>
              <w:bidi w:val="0"/>
            </w:pPr>
          </w:p>
        </w:tc>
        <w:tc>
          <w:tcPr>
            <w:tcW w:w="595" w:type="pct"/>
            <w:shd w:val="clear" w:color="auto" w:fill="auto"/>
            <w:vAlign w:val="center"/>
          </w:tcPr>
          <w:p w14:paraId="6896FC08">
            <w:pPr>
              <w:pStyle w:val="28"/>
              <w:bidi w:val="0"/>
            </w:pPr>
            <w:r>
              <w:rPr>
                <w:rFonts w:hint="eastAsia"/>
              </w:rPr>
              <w:t>无</w:t>
            </w:r>
          </w:p>
        </w:tc>
        <w:tc>
          <w:tcPr>
            <w:tcW w:w="463" w:type="pct"/>
            <w:shd w:val="clear" w:color="auto" w:fill="auto"/>
            <w:vAlign w:val="center"/>
          </w:tcPr>
          <w:p w14:paraId="4C74D1B9">
            <w:pPr>
              <w:pStyle w:val="28"/>
              <w:bidi w:val="0"/>
            </w:pPr>
            <w:r>
              <w:rPr>
                <w:rFonts w:hint="eastAsia"/>
              </w:rPr>
              <w:t>三级</w:t>
            </w:r>
          </w:p>
        </w:tc>
      </w:tr>
      <w:tr w14:paraId="6F2538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26733D72">
            <w:pPr>
              <w:pStyle w:val="28"/>
              <w:bidi w:val="0"/>
            </w:pPr>
            <w:r>
              <w:t>5</w:t>
            </w:r>
          </w:p>
        </w:tc>
        <w:tc>
          <w:tcPr>
            <w:tcW w:w="1105" w:type="pct"/>
            <w:shd w:val="clear" w:color="auto" w:fill="auto"/>
            <w:vAlign w:val="center"/>
          </w:tcPr>
          <w:p w14:paraId="282DD75D">
            <w:pPr>
              <w:pStyle w:val="28"/>
              <w:bidi w:val="0"/>
            </w:pPr>
            <w:r>
              <w:rPr>
                <w:rFonts w:hint="eastAsia"/>
              </w:rPr>
              <w:t>二北干渠</w:t>
            </w:r>
          </w:p>
        </w:tc>
        <w:tc>
          <w:tcPr>
            <w:tcW w:w="1124" w:type="pct"/>
            <w:shd w:val="clear" w:color="auto" w:fill="auto"/>
            <w:vAlign w:val="center"/>
          </w:tcPr>
          <w:p w14:paraId="77DF13A8">
            <w:pPr>
              <w:pStyle w:val="28"/>
              <w:bidi w:val="0"/>
            </w:pPr>
            <w:r>
              <w:rPr>
                <w:rFonts w:hint="eastAsia"/>
              </w:rPr>
              <w:t>不涉及</w:t>
            </w:r>
          </w:p>
        </w:tc>
        <w:tc>
          <w:tcPr>
            <w:tcW w:w="593" w:type="pct"/>
            <w:shd w:val="clear" w:color="auto" w:fill="auto"/>
            <w:vAlign w:val="center"/>
          </w:tcPr>
          <w:p w14:paraId="4F827DB2">
            <w:pPr>
              <w:pStyle w:val="28"/>
              <w:bidi w:val="0"/>
            </w:pPr>
            <w:r>
              <w:rPr>
                <w:rFonts w:hint="eastAsia"/>
              </w:rPr>
              <w:t>不涉及</w:t>
            </w:r>
          </w:p>
        </w:tc>
        <w:tc>
          <w:tcPr>
            <w:tcW w:w="775" w:type="pct"/>
            <w:vMerge w:val="continue"/>
            <w:shd w:val="clear" w:color="auto" w:fill="auto"/>
            <w:vAlign w:val="center"/>
          </w:tcPr>
          <w:p w14:paraId="49CEEC6E">
            <w:pPr>
              <w:pStyle w:val="28"/>
              <w:bidi w:val="0"/>
            </w:pPr>
          </w:p>
        </w:tc>
        <w:tc>
          <w:tcPr>
            <w:tcW w:w="595" w:type="pct"/>
            <w:shd w:val="clear" w:color="auto" w:fill="auto"/>
            <w:vAlign w:val="center"/>
          </w:tcPr>
          <w:p w14:paraId="3FEF111C">
            <w:pPr>
              <w:pStyle w:val="28"/>
              <w:bidi w:val="0"/>
            </w:pPr>
            <w:r>
              <w:rPr>
                <w:rFonts w:hint="eastAsia"/>
              </w:rPr>
              <w:t>无</w:t>
            </w:r>
          </w:p>
        </w:tc>
        <w:tc>
          <w:tcPr>
            <w:tcW w:w="463" w:type="pct"/>
            <w:shd w:val="clear" w:color="auto" w:fill="auto"/>
            <w:vAlign w:val="center"/>
          </w:tcPr>
          <w:p w14:paraId="77001814">
            <w:pPr>
              <w:pStyle w:val="28"/>
              <w:bidi w:val="0"/>
            </w:pPr>
            <w:r>
              <w:rPr>
                <w:rFonts w:hint="eastAsia"/>
              </w:rPr>
              <w:t>三级</w:t>
            </w:r>
          </w:p>
        </w:tc>
      </w:tr>
      <w:tr w14:paraId="78B83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16FDE474">
            <w:pPr>
              <w:pStyle w:val="28"/>
              <w:bidi w:val="0"/>
            </w:pPr>
            <w:r>
              <w:t>6</w:t>
            </w:r>
          </w:p>
        </w:tc>
        <w:tc>
          <w:tcPr>
            <w:tcW w:w="1105" w:type="pct"/>
            <w:shd w:val="clear" w:color="auto" w:fill="auto"/>
            <w:vAlign w:val="center"/>
          </w:tcPr>
          <w:p w14:paraId="05209986">
            <w:pPr>
              <w:pStyle w:val="28"/>
              <w:bidi w:val="0"/>
            </w:pPr>
            <w:r>
              <w:rPr>
                <w:rFonts w:hint="eastAsia"/>
              </w:rPr>
              <w:t>杨公三站引水渠</w:t>
            </w:r>
          </w:p>
        </w:tc>
        <w:tc>
          <w:tcPr>
            <w:tcW w:w="1124" w:type="pct"/>
            <w:shd w:val="clear" w:color="auto" w:fill="auto"/>
            <w:vAlign w:val="center"/>
          </w:tcPr>
          <w:p w14:paraId="0D736C91">
            <w:pPr>
              <w:pStyle w:val="28"/>
              <w:bidi w:val="0"/>
            </w:pPr>
            <w:r>
              <w:rPr>
                <w:rFonts w:hint="eastAsia"/>
              </w:rPr>
              <w:t>不涉及</w:t>
            </w:r>
          </w:p>
        </w:tc>
        <w:tc>
          <w:tcPr>
            <w:tcW w:w="593" w:type="pct"/>
            <w:shd w:val="clear" w:color="auto" w:fill="auto"/>
            <w:vAlign w:val="center"/>
          </w:tcPr>
          <w:p w14:paraId="6D66B5FB">
            <w:pPr>
              <w:pStyle w:val="28"/>
              <w:bidi w:val="0"/>
            </w:pPr>
            <w:r>
              <w:rPr>
                <w:rFonts w:hint="eastAsia"/>
              </w:rPr>
              <w:t>不涉及</w:t>
            </w:r>
          </w:p>
        </w:tc>
        <w:tc>
          <w:tcPr>
            <w:tcW w:w="775" w:type="pct"/>
            <w:vMerge w:val="continue"/>
            <w:shd w:val="clear" w:color="auto" w:fill="auto"/>
            <w:vAlign w:val="center"/>
          </w:tcPr>
          <w:p w14:paraId="3D13DCDD">
            <w:pPr>
              <w:pStyle w:val="28"/>
              <w:bidi w:val="0"/>
            </w:pPr>
          </w:p>
        </w:tc>
        <w:tc>
          <w:tcPr>
            <w:tcW w:w="595" w:type="pct"/>
            <w:shd w:val="clear" w:color="auto" w:fill="auto"/>
            <w:vAlign w:val="center"/>
          </w:tcPr>
          <w:p w14:paraId="49532D32">
            <w:pPr>
              <w:pStyle w:val="28"/>
              <w:bidi w:val="0"/>
            </w:pPr>
            <w:r>
              <w:rPr>
                <w:rFonts w:hint="eastAsia"/>
              </w:rPr>
              <w:t>无</w:t>
            </w:r>
          </w:p>
        </w:tc>
        <w:tc>
          <w:tcPr>
            <w:tcW w:w="463" w:type="pct"/>
            <w:shd w:val="clear" w:color="auto" w:fill="auto"/>
            <w:vAlign w:val="center"/>
          </w:tcPr>
          <w:p w14:paraId="1C896ECD">
            <w:pPr>
              <w:pStyle w:val="28"/>
              <w:bidi w:val="0"/>
            </w:pPr>
            <w:r>
              <w:rPr>
                <w:rFonts w:hint="eastAsia"/>
              </w:rPr>
              <w:t>三级</w:t>
            </w:r>
          </w:p>
        </w:tc>
      </w:tr>
      <w:tr w14:paraId="55AC8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191EF38D">
            <w:pPr>
              <w:pStyle w:val="28"/>
              <w:bidi w:val="0"/>
            </w:pPr>
            <w:r>
              <w:t>7</w:t>
            </w:r>
          </w:p>
        </w:tc>
        <w:tc>
          <w:tcPr>
            <w:tcW w:w="1105" w:type="pct"/>
            <w:shd w:val="clear" w:color="auto" w:fill="auto"/>
            <w:vAlign w:val="center"/>
          </w:tcPr>
          <w:p w14:paraId="558FB302">
            <w:pPr>
              <w:pStyle w:val="28"/>
              <w:bidi w:val="0"/>
            </w:pPr>
            <w:r>
              <w:rPr>
                <w:rFonts w:hint="eastAsia"/>
              </w:rPr>
              <w:t>三北干渠</w:t>
            </w:r>
          </w:p>
        </w:tc>
        <w:tc>
          <w:tcPr>
            <w:tcW w:w="1124" w:type="pct"/>
            <w:shd w:val="clear" w:color="auto" w:fill="auto"/>
            <w:vAlign w:val="center"/>
          </w:tcPr>
          <w:p w14:paraId="223F0315">
            <w:pPr>
              <w:pStyle w:val="28"/>
              <w:bidi w:val="0"/>
            </w:pPr>
            <w:r>
              <w:rPr>
                <w:rFonts w:hint="eastAsia"/>
              </w:rPr>
              <w:t>不涉及</w:t>
            </w:r>
          </w:p>
        </w:tc>
        <w:tc>
          <w:tcPr>
            <w:tcW w:w="593" w:type="pct"/>
            <w:shd w:val="clear" w:color="auto" w:fill="auto"/>
            <w:vAlign w:val="center"/>
          </w:tcPr>
          <w:p w14:paraId="54174DF0">
            <w:pPr>
              <w:pStyle w:val="28"/>
              <w:bidi w:val="0"/>
            </w:pPr>
            <w:r>
              <w:rPr>
                <w:rFonts w:hint="eastAsia"/>
              </w:rPr>
              <w:t>不涉及</w:t>
            </w:r>
          </w:p>
        </w:tc>
        <w:tc>
          <w:tcPr>
            <w:tcW w:w="775" w:type="pct"/>
            <w:vMerge w:val="continue"/>
            <w:shd w:val="clear" w:color="auto" w:fill="auto"/>
            <w:vAlign w:val="center"/>
          </w:tcPr>
          <w:p w14:paraId="19AE812B">
            <w:pPr>
              <w:pStyle w:val="28"/>
              <w:bidi w:val="0"/>
            </w:pPr>
          </w:p>
        </w:tc>
        <w:tc>
          <w:tcPr>
            <w:tcW w:w="595" w:type="pct"/>
            <w:shd w:val="clear" w:color="auto" w:fill="auto"/>
            <w:vAlign w:val="center"/>
          </w:tcPr>
          <w:p w14:paraId="71AD1847">
            <w:pPr>
              <w:pStyle w:val="28"/>
              <w:bidi w:val="0"/>
            </w:pPr>
            <w:r>
              <w:rPr>
                <w:rFonts w:hint="eastAsia"/>
              </w:rPr>
              <w:t>无</w:t>
            </w:r>
          </w:p>
        </w:tc>
        <w:tc>
          <w:tcPr>
            <w:tcW w:w="463" w:type="pct"/>
            <w:shd w:val="clear" w:color="auto" w:fill="auto"/>
            <w:vAlign w:val="center"/>
          </w:tcPr>
          <w:p w14:paraId="0E3ECBF1">
            <w:pPr>
              <w:pStyle w:val="28"/>
              <w:bidi w:val="0"/>
            </w:pPr>
            <w:r>
              <w:rPr>
                <w:rFonts w:hint="eastAsia"/>
              </w:rPr>
              <w:t>三级</w:t>
            </w:r>
          </w:p>
        </w:tc>
      </w:tr>
      <w:tr w14:paraId="2119C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5A198C66">
            <w:pPr>
              <w:pStyle w:val="28"/>
              <w:bidi w:val="0"/>
            </w:pPr>
            <w:r>
              <w:t>8</w:t>
            </w:r>
          </w:p>
        </w:tc>
        <w:tc>
          <w:tcPr>
            <w:tcW w:w="1105" w:type="pct"/>
            <w:shd w:val="clear" w:color="auto" w:fill="auto"/>
            <w:vAlign w:val="center"/>
          </w:tcPr>
          <w:p w14:paraId="5AC45E45">
            <w:pPr>
              <w:pStyle w:val="28"/>
              <w:bidi w:val="0"/>
            </w:pPr>
            <w:r>
              <w:rPr>
                <w:rFonts w:hint="eastAsia"/>
              </w:rPr>
              <w:t>杨公三站出水渠</w:t>
            </w:r>
          </w:p>
        </w:tc>
        <w:tc>
          <w:tcPr>
            <w:tcW w:w="1124" w:type="pct"/>
            <w:shd w:val="clear" w:color="auto" w:fill="auto"/>
            <w:vAlign w:val="center"/>
          </w:tcPr>
          <w:p w14:paraId="46EB67F9">
            <w:pPr>
              <w:pStyle w:val="28"/>
              <w:bidi w:val="0"/>
            </w:pPr>
            <w:r>
              <w:rPr>
                <w:rFonts w:hint="eastAsia"/>
              </w:rPr>
              <w:t>不涉及</w:t>
            </w:r>
          </w:p>
        </w:tc>
        <w:tc>
          <w:tcPr>
            <w:tcW w:w="593" w:type="pct"/>
            <w:shd w:val="clear" w:color="auto" w:fill="auto"/>
            <w:vAlign w:val="center"/>
          </w:tcPr>
          <w:p w14:paraId="1AF0F48F">
            <w:pPr>
              <w:pStyle w:val="28"/>
              <w:bidi w:val="0"/>
            </w:pPr>
            <w:r>
              <w:rPr>
                <w:rFonts w:hint="eastAsia"/>
              </w:rPr>
              <w:t>不涉及</w:t>
            </w:r>
          </w:p>
        </w:tc>
        <w:tc>
          <w:tcPr>
            <w:tcW w:w="775" w:type="pct"/>
            <w:vMerge w:val="continue"/>
            <w:shd w:val="clear" w:color="auto" w:fill="auto"/>
            <w:vAlign w:val="center"/>
          </w:tcPr>
          <w:p w14:paraId="3D9850D4">
            <w:pPr>
              <w:pStyle w:val="28"/>
              <w:bidi w:val="0"/>
            </w:pPr>
          </w:p>
        </w:tc>
        <w:tc>
          <w:tcPr>
            <w:tcW w:w="595" w:type="pct"/>
            <w:shd w:val="clear" w:color="auto" w:fill="auto"/>
            <w:vAlign w:val="center"/>
          </w:tcPr>
          <w:p w14:paraId="2ABCCFB0">
            <w:pPr>
              <w:pStyle w:val="28"/>
              <w:bidi w:val="0"/>
            </w:pPr>
            <w:r>
              <w:rPr>
                <w:rFonts w:hint="eastAsia"/>
              </w:rPr>
              <w:t>无</w:t>
            </w:r>
          </w:p>
        </w:tc>
        <w:tc>
          <w:tcPr>
            <w:tcW w:w="463" w:type="pct"/>
            <w:shd w:val="clear" w:color="auto" w:fill="auto"/>
            <w:vAlign w:val="center"/>
          </w:tcPr>
          <w:p w14:paraId="25E2BAD5">
            <w:pPr>
              <w:pStyle w:val="28"/>
              <w:bidi w:val="0"/>
            </w:pPr>
            <w:r>
              <w:rPr>
                <w:rFonts w:hint="eastAsia"/>
              </w:rPr>
              <w:t>三级</w:t>
            </w:r>
          </w:p>
        </w:tc>
      </w:tr>
      <w:tr w14:paraId="03D8C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5FBE4A6F">
            <w:pPr>
              <w:pStyle w:val="28"/>
              <w:bidi w:val="0"/>
            </w:pPr>
            <w:r>
              <w:t>9</w:t>
            </w:r>
          </w:p>
        </w:tc>
        <w:tc>
          <w:tcPr>
            <w:tcW w:w="1105" w:type="pct"/>
            <w:shd w:val="clear" w:color="auto" w:fill="auto"/>
            <w:vAlign w:val="center"/>
          </w:tcPr>
          <w:p w14:paraId="5B12D57D">
            <w:pPr>
              <w:pStyle w:val="28"/>
              <w:bidi w:val="0"/>
            </w:pPr>
            <w:r>
              <w:rPr>
                <w:rFonts w:hint="eastAsia"/>
              </w:rPr>
              <w:t>三东干渠</w:t>
            </w:r>
          </w:p>
        </w:tc>
        <w:tc>
          <w:tcPr>
            <w:tcW w:w="1124" w:type="pct"/>
            <w:shd w:val="clear" w:color="auto" w:fill="auto"/>
            <w:vAlign w:val="center"/>
          </w:tcPr>
          <w:p w14:paraId="62572627">
            <w:pPr>
              <w:pStyle w:val="28"/>
              <w:bidi w:val="0"/>
            </w:pPr>
            <w:r>
              <w:rPr>
                <w:rFonts w:hint="eastAsia"/>
              </w:rPr>
              <w:t>不涉及</w:t>
            </w:r>
          </w:p>
        </w:tc>
        <w:tc>
          <w:tcPr>
            <w:tcW w:w="593" w:type="pct"/>
            <w:shd w:val="clear" w:color="auto" w:fill="auto"/>
            <w:vAlign w:val="center"/>
          </w:tcPr>
          <w:p w14:paraId="50BA7481">
            <w:pPr>
              <w:pStyle w:val="28"/>
              <w:bidi w:val="0"/>
            </w:pPr>
            <w:r>
              <w:rPr>
                <w:rFonts w:hint="eastAsia"/>
              </w:rPr>
              <w:t>不涉及</w:t>
            </w:r>
          </w:p>
        </w:tc>
        <w:tc>
          <w:tcPr>
            <w:tcW w:w="775" w:type="pct"/>
            <w:vMerge w:val="continue"/>
            <w:shd w:val="clear" w:color="auto" w:fill="auto"/>
            <w:vAlign w:val="center"/>
          </w:tcPr>
          <w:p w14:paraId="4B2BF331">
            <w:pPr>
              <w:pStyle w:val="28"/>
              <w:bidi w:val="0"/>
            </w:pPr>
          </w:p>
        </w:tc>
        <w:tc>
          <w:tcPr>
            <w:tcW w:w="595" w:type="pct"/>
            <w:shd w:val="clear" w:color="auto" w:fill="auto"/>
            <w:vAlign w:val="center"/>
          </w:tcPr>
          <w:p w14:paraId="360FB188">
            <w:pPr>
              <w:pStyle w:val="28"/>
              <w:bidi w:val="0"/>
            </w:pPr>
            <w:r>
              <w:rPr>
                <w:rFonts w:hint="eastAsia"/>
              </w:rPr>
              <w:t>新建节制闸</w:t>
            </w:r>
          </w:p>
        </w:tc>
        <w:tc>
          <w:tcPr>
            <w:tcW w:w="463" w:type="pct"/>
            <w:shd w:val="clear" w:color="auto" w:fill="auto"/>
            <w:vAlign w:val="center"/>
          </w:tcPr>
          <w:p w14:paraId="5B3E0507">
            <w:pPr>
              <w:pStyle w:val="28"/>
              <w:bidi w:val="0"/>
            </w:pPr>
            <w:r>
              <w:rPr>
                <w:rFonts w:hint="eastAsia"/>
              </w:rPr>
              <w:t>二级</w:t>
            </w:r>
          </w:p>
        </w:tc>
      </w:tr>
      <w:tr w14:paraId="50195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4DC3B371">
            <w:pPr>
              <w:pStyle w:val="28"/>
              <w:bidi w:val="0"/>
            </w:pPr>
            <w:r>
              <w:rPr>
                <w:rFonts w:hint="eastAsia"/>
              </w:rPr>
              <w:t>10</w:t>
            </w:r>
          </w:p>
        </w:tc>
        <w:tc>
          <w:tcPr>
            <w:tcW w:w="1105" w:type="pct"/>
            <w:shd w:val="clear" w:color="auto" w:fill="auto"/>
            <w:vAlign w:val="center"/>
          </w:tcPr>
          <w:p w14:paraId="59E6F5B5">
            <w:pPr>
              <w:pStyle w:val="28"/>
              <w:bidi w:val="0"/>
            </w:pPr>
            <w:r>
              <w:rPr>
                <w:rFonts w:hint="eastAsia"/>
              </w:rPr>
              <w:t>桂岗支渠</w:t>
            </w:r>
          </w:p>
        </w:tc>
        <w:tc>
          <w:tcPr>
            <w:tcW w:w="1124" w:type="pct"/>
            <w:shd w:val="clear" w:color="auto" w:fill="auto"/>
            <w:vAlign w:val="center"/>
          </w:tcPr>
          <w:p w14:paraId="7B594966">
            <w:pPr>
              <w:pStyle w:val="28"/>
              <w:bidi w:val="0"/>
            </w:pPr>
            <w:r>
              <w:rPr>
                <w:rFonts w:hint="eastAsia"/>
              </w:rPr>
              <w:t>不涉及</w:t>
            </w:r>
          </w:p>
        </w:tc>
        <w:tc>
          <w:tcPr>
            <w:tcW w:w="593" w:type="pct"/>
            <w:shd w:val="clear" w:color="auto" w:fill="auto"/>
            <w:vAlign w:val="center"/>
          </w:tcPr>
          <w:p w14:paraId="4075C7D8">
            <w:pPr>
              <w:pStyle w:val="28"/>
              <w:bidi w:val="0"/>
            </w:pPr>
            <w:r>
              <w:rPr>
                <w:rFonts w:hint="eastAsia"/>
              </w:rPr>
              <w:t>不涉及</w:t>
            </w:r>
          </w:p>
        </w:tc>
        <w:tc>
          <w:tcPr>
            <w:tcW w:w="775" w:type="pct"/>
            <w:vMerge w:val="continue"/>
            <w:shd w:val="clear" w:color="auto" w:fill="auto"/>
            <w:vAlign w:val="center"/>
          </w:tcPr>
          <w:p w14:paraId="3C23D2D1">
            <w:pPr>
              <w:pStyle w:val="28"/>
              <w:bidi w:val="0"/>
            </w:pPr>
          </w:p>
        </w:tc>
        <w:tc>
          <w:tcPr>
            <w:tcW w:w="595" w:type="pct"/>
            <w:shd w:val="clear" w:color="auto" w:fill="auto"/>
            <w:vAlign w:val="center"/>
          </w:tcPr>
          <w:p w14:paraId="7DED1094">
            <w:pPr>
              <w:pStyle w:val="28"/>
              <w:bidi w:val="0"/>
            </w:pPr>
            <w:r>
              <w:rPr>
                <w:rFonts w:hint="eastAsia"/>
              </w:rPr>
              <w:t>无</w:t>
            </w:r>
          </w:p>
        </w:tc>
        <w:tc>
          <w:tcPr>
            <w:tcW w:w="463" w:type="pct"/>
            <w:shd w:val="clear" w:color="auto" w:fill="auto"/>
            <w:vAlign w:val="center"/>
          </w:tcPr>
          <w:p w14:paraId="75B40247">
            <w:pPr>
              <w:pStyle w:val="28"/>
              <w:bidi w:val="0"/>
            </w:pPr>
            <w:r>
              <w:rPr>
                <w:rFonts w:hint="eastAsia"/>
              </w:rPr>
              <w:t>三级</w:t>
            </w:r>
          </w:p>
        </w:tc>
      </w:tr>
      <w:tr w14:paraId="38689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43B80453">
            <w:pPr>
              <w:pStyle w:val="28"/>
              <w:bidi w:val="0"/>
            </w:pPr>
            <w:r>
              <w:rPr>
                <w:rFonts w:hint="eastAsia"/>
              </w:rPr>
              <w:t>11</w:t>
            </w:r>
          </w:p>
        </w:tc>
        <w:tc>
          <w:tcPr>
            <w:tcW w:w="1105" w:type="pct"/>
            <w:shd w:val="clear" w:color="auto" w:fill="auto"/>
            <w:vAlign w:val="center"/>
          </w:tcPr>
          <w:p w14:paraId="60DCFFB5">
            <w:pPr>
              <w:pStyle w:val="28"/>
              <w:bidi w:val="0"/>
            </w:pPr>
            <w:r>
              <w:rPr>
                <w:rFonts w:hint="eastAsia"/>
              </w:rPr>
              <w:t>染坊支渠</w:t>
            </w:r>
          </w:p>
        </w:tc>
        <w:tc>
          <w:tcPr>
            <w:tcW w:w="1124" w:type="pct"/>
            <w:shd w:val="clear" w:color="auto" w:fill="auto"/>
            <w:vAlign w:val="center"/>
          </w:tcPr>
          <w:p w14:paraId="272E8DA9">
            <w:pPr>
              <w:pStyle w:val="28"/>
              <w:bidi w:val="0"/>
            </w:pPr>
            <w:r>
              <w:rPr>
                <w:rFonts w:hint="eastAsia"/>
              </w:rPr>
              <w:t>不涉及</w:t>
            </w:r>
          </w:p>
        </w:tc>
        <w:tc>
          <w:tcPr>
            <w:tcW w:w="593" w:type="pct"/>
            <w:shd w:val="clear" w:color="auto" w:fill="auto"/>
            <w:vAlign w:val="center"/>
          </w:tcPr>
          <w:p w14:paraId="1D77789D">
            <w:pPr>
              <w:pStyle w:val="28"/>
              <w:bidi w:val="0"/>
            </w:pPr>
            <w:r>
              <w:rPr>
                <w:rFonts w:hint="eastAsia"/>
              </w:rPr>
              <w:t>不涉及</w:t>
            </w:r>
          </w:p>
        </w:tc>
        <w:tc>
          <w:tcPr>
            <w:tcW w:w="775" w:type="pct"/>
            <w:vMerge w:val="continue"/>
            <w:shd w:val="clear" w:color="auto" w:fill="auto"/>
            <w:vAlign w:val="center"/>
          </w:tcPr>
          <w:p w14:paraId="721E04AD">
            <w:pPr>
              <w:pStyle w:val="28"/>
              <w:bidi w:val="0"/>
            </w:pPr>
          </w:p>
        </w:tc>
        <w:tc>
          <w:tcPr>
            <w:tcW w:w="595" w:type="pct"/>
            <w:shd w:val="clear" w:color="auto" w:fill="auto"/>
            <w:vAlign w:val="center"/>
          </w:tcPr>
          <w:p w14:paraId="22AF5440">
            <w:pPr>
              <w:pStyle w:val="28"/>
              <w:bidi w:val="0"/>
            </w:pPr>
            <w:r>
              <w:rPr>
                <w:rFonts w:hint="eastAsia"/>
              </w:rPr>
              <w:t>无</w:t>
            </w:r>
          </w:p>
        </w:tc>
        <w:tc>
          <w:tcPr>
            <w:tcW w:w="463" w:type="pct"/>
            <w:shd w:val="clear" w:color="auto" w:fill="auto"/>
            <w:vAlign w:val="center"/>
          </w:tcPr>
          <w:p w14:paraId="388954FF">
            <w:pPr>
              <w:pStyle w:val="28"/>
              <w:bidi w:val="0"/>
            </w:pPr>
            <w:r>
              <w:rPr>
                <w:rFonts w:hint="eastAsia"/>
              </w:rPr>
              <w:t>三级</w:t>
            </w:r>
          </w:p>
        </w:tc>
      </w:tr>
      <w:tr w14:paraId="3729A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69B227D7">
            <w:pPr>
              <w:pStyle w:val="28"/>
              <w:bidi w:val="0"/>
            </w:pPr>
            <w:r>
              <w:t>1</w:t>
            </w:r>
            <w:r>
              <w:rPr>
                <w:rFonts w:hint="eastAsia"/>
              </w:rPr>
              <w:t>2</w:t>
            </w:r>
          </w:p>
        </w:tc>
        <w:tc>
          <w:tcPr>
            <w:tcW w:w="1105" w:type="pct"/>
            <w:shd w:val="clear" w:color="auto" w:fill="auto"/>
            <w:vAlign w:val="center"/>
          </w:tcPr>
          <w:p w14:paraId="7FEE509A">
            <w:pPr>
              <w:pStyle w:val="28"/>
              <w:bidi w:val="0"/>
            </w:pPr>
            <w:r>
              <w:rPr>
                <w:rFonts w:hint="eastAsia"/>
              </w:rPr>
              <w:t>一北干渠</w:t>
            </w:r>
          </w:p>
        </w:tc>
        <w:tc>
          <w:tcPr>
            <w:tcW w:w="1124" w:type="pct"/>
            <w:shd w:val="clear" w:color="auto" w:fill="auto"/>
            <w:vAlign w:val="center"/>
          </w:tcPr>
          <w:p w14:paraId="26E7E3AF">
            <w:pPr>
              <w:pStyle w:val="28"/>
              <w:bidi w:val="0"/>
            </w:pPr>
            <w:r>
              <w:rPr>
                <w:rFonts w:hint="eastAsia"/>
              </w:rPr>
              <w:t>不涉及</w:t>
            </w:r>
          </w:p>
        </w:tc>
        <w:tc>
          <w:tcPr>
            <w:tcW w:w="593" w:type="pct"/>
            <w:shd w:val="clear" w:color="auto" w:fill="auto"/>
            <w:vAlign w:val="center"/>
          </w:tcPr>
          <w:p w14:paraId="6B129B12">
            <w:pPr>
              <w:pStyle w:val="28"/>
              <w:bidi w:val="0"/>
            </w:pPr>
            <w:r>
              <w:rPr>
                <w:rFonts w:hint="eastAsia"/>
              </w:rPr>
              <w:t>不涉及</w:t>
            </w:r>
          </w:p>
        </w:tc>
        <w:tc>
          <w:tcPr>
            <w:tcW w:w="775" w:type="pct"/>
            <w:vMerge w:val="continue"/>
            <w:shd w:val="clear" w:color="auto" w:fill="auto"/>
            <w:vAlign w:val="center"/>
          </w:tcPr>
          <w:p w14:paraId="1DA2B713">
            <w:pPr>
              <w:pStyle w:val="28"/>
              <w:bidi w:val="0"/>
            </w:pPr>
          </w:p>
        </w:tc>
        <w:tc>
          <w:tcPr>
            <w:tcW w:w="595" w:type="pct"/>
            <w:shd w:val="clear" w:color="auto" w:fill="auto"/>
            <w:vAlign w:val="center"/>
          </w:tcPr>
          <w:p w14:paraId="5135FA43">
            <w:pPr>
              <w:pStyle w:val="28"/>
              <w:bidi w:val="0"/>
            </w:pPr>
            <w:r>
              <w:rPr>
                <w:rFonts w:hint="eastAsia"/>
              </w:rPr>
              <w:t>无</w:t>
            </w:r>
          </w:p>
        </w:tc>
        <w:tc>
          <w:tcPr>
            <w:tcW w:w="463" w:type="pct"/>
            <w:shd w:val="clear" w:color="auto" w:fill="auto"/>
            <w:vAlign w:val="center"/>
          </w:tcPr>
          <w:p w14:paraId="5DD94B9A">
            <w:pPr>
              <w:pStyle w:val="28"/>
              <w:bidi w:val="0"/>
            </w:pPr>
            <w:r>
              <w:rPr>
                <w:rFonts w:hint="eastAsia"/>
              </w:rPr>
              <w:t>三级</w:t>
            </w:r>
          </w:p>
        </w:tc>
      </w:tr>
      <w:tr w14:paraId="7A33AA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6C76C05E">
            <w:pPr>
              <w:pStyle w:val="28"/>
              <w:bidi w:val="0"/>
            </w:pPr>
            <w:r>
              <w:rPr>
                <w:rFonts w:hint="eastAsia"/>
              </w:rPr>
              <w:t>13</w:t>
            </w:r>
          </w:p>
        </w:tc>
        <w:tc>
          <w:tcPr>
            <w:tcW w:w="1105" w:type="pct"/>
            <w:shd w:val="clear" w:color="auto" w:fill="auto"/>
            <w:vAlign w:val="center"/>
          </w:tcPr>
          <w:p w14:paraId="2429013F">
            <w:pPr>
              <w:pStyle w:val="28"/>
              <w:bidi w:val="0"/>
            </w:pPr>
            <w:r>
              <w:rPr>
                <w:rFonts w:hint="eastAsia"/>
              </w:rPr>
              <w:t>双庙支渠</w:t>
            </w:r>
          </w:p>
        </w:tc>
        <w:tc>
          <w:tcPr>
            <w:tcW w:w="1124" w:type="pct"/>
            <w:shd w:val="clear" w:color="auto" w:fill="auto"/>
            <w:vAlign w:val="center"/>
          </w:tcPr>
          <w:p w14:paraId="6F2B92D9">
            <w:pPr>
              <w:pStyle w:val="28"/>
              <w:bidi w:val="0"/>
            </w:pPr>
            <w:r>
              <w:rPr>
                <w:rFonts w:hint="eastAsia"/>
              </w:rPr>
              <w:t>不涉及</w:t>
            </w:r>
          </w:p>
        </w:tc>
        <w:tc>
          <w:tcPr>
            <w:tcW w:w="593" w:type="pct"/>
            <w:shd w:val="clear" w:color="auto" w:fill="auto"/>
            <w:vAlign w:val="center"/>
          </w:tcPr>
          <w:p w14:paraId="3F35073B">
            <w:pPr>
              <w:pStyle w:val="28"/>
              <w:bidi w:val="0"/>
            </w:pPr>
            <w:r>
              <w:rPr>
                <w:rFonts w:hint="eastAsia"/>
              </w:rPr>
              <w:t>不涉及</w:t>
            </w:r>
          </w:p>
        </w:tc>
        <w:tc>
          <w:tcPr>
            <w:tcW w:w="775" w:type="pct"/>
            <w:vMerge w:val="continue"/>
            <w:shd w:val="clear" w:color="auto" w:fill="auto"/>
            <w:vAlign w:val="center"/>
          </w:tcPr>
          <w:p w14:paraId="340DD836">
            <w:pPr>
              <w:pStyle w:val="28"/>
              <w:bidi w:val="0"/>
            </w:pPr>
          </w:p>
        </w:tc>
        <w:tc>
          <w:tcPr>
            <w:tcW w:w="595" w:type="pct"/>
            <w:shd w:val="clear" w:color="auto" w:fill="auto"/>
            <w:vAlign w:val="center"/>
          </w:tcPr>
          <w:p w14:paraId="5B34D00B">
            <w:pPr>
              <w:pStyle w:val="28"/>
              <w:bidi w:val="0"/>
            </w:pPr>
            <w:r>
              <w:rPr>
                <w:rFonts w:hint="eastAsia"/>
              </w:rPr>
              <w:t>无</w:t>
            </w:r>
          </w:p>
        </w:tc>
        <w:tc>
          <w:tcPr>
            <w:tcW w:w="463" w:type="pct"/>
            <w:shd w:val="clear" w:color="auto" w:fill="auto"/>
            <w:vAlign w:val="center"/>
          </w:tcPr>
          <w:p w14:paraId="30FF22B8">
            <w:pPr>
              <w:pStyle w:val="28"/>
              <w:bidi w:val="0"/>
            </w:pPr>
            <w:r>
              <w:rPr>
                <w:rFonts w:hint="eastAsia"/>
              </w:rPr>
              <w:t>三级</w:t>
            </w:r>
          </w:p>
        </w:tc>
      </w:tr>
      <w:tr w14:paraId="65B843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2F2F4320">
            <w:pPr>
              <w:pStyle w:val="28"/>
              <w:bidi w:val="0"/>
            </w:pPr>
            <w:r>
              <w:rPr>
                <w:rFonts w:hint="eastAsia"/>
              </w:rPr>
              <w:t>14</w:t>
            </w:r>
          </w:p>
        </w:tc>
        <w:tc>
          <w:tcPr>
            <w:tcW w:w="1105" w:type="pct"/>
            <w:shd w:val="clear" w:color="auto" w:fill="auto"/>
            <w:vAlign w:val="center"/>
          </w:tcPr>
          <w:p w14:paraId="3BE49D60">
            <w:pPr>
              <w:pStyle w:val="28"/>
              <w:bidi w:val="0"/>
            </w:pPr>
            <w:r>
              <w:rPr>
                <w:rFonts w:hint="eastAsia"/>
              </w:rPr>
              <w:t>方庄支渠</w:t>
            </w:r>
          </w:p>
        </w:tc>
        <w:tc>
          <w:tcPr>
            <w:tcW w:w="1124" w:type="pct"/>
            <w:shd w:val="clear" w:color="auto" w:fill="auto"/>
            <w:vAlign w:val="center"/>
          </w:tcPr>
          <w:p w14:paraId="281B0156">
            <w:pPr>
              <w:pStyle w:val="28"/>
              <w:bidi w:val="0"/>
            </w:pPr>
            <w:r>
              <w:rPr>
                <w:rFonts w:hint="eastAsia"/>
              </w:rPr>
              <w:t>不涉及</w:t>
            </w:r>
          </w:p>
        </w:tc>
        <w:tc>
          <w:tcPr>
            <w:tcW w:w="593" w:type="pct"/>
            <w:shd w:val="clear" w:color="auto" w:fill="auto"/>
            <w:vAlign w:val="center"/>
          </w:tcPr>
          <w:p w14:paraId="35E0CF5D">
            <w:pPr>
              <w:pStyle w:val="28"/>
              <w:bidi w:val="0"/>
            </w:pPr>
            <w:r>
              <w:rPr>
                <w:rFonts w:hint="eastAsia"/>
              </w:rPr>
              <w:t>不涉及</w:t>
            </w:r>
          </w:p>
        </w:tc>
        <w:tc>
          <w:tcPr>
            <w:tcW w:w="775" w:type="pct"/>
            <w:vMerge w:val="continue"/>
            <w:shd w:val="clear" w:color="auto" w:fill="auto"/>
            <w:vAlign w:val="center"/>
          </w:tcPr>
          <w:p w14:paraId="268C2523">
            <w:pPr>
              <w:pStyle w:val="28"/>
              <w:bidi w:val="0"/>
            </w:pPr>
          </w:p>
        </w:tc>
        <w:tc>
          <w:tcPr>
            <w:tcW w:w="595" w:type="pct"/>
            <w:shd w:val="clear" w:color="auto" w:fill="auto"/>
            <w:vAlign w:val="center"/>
          </w:tcPr>
          <w:p w14:paraId="4373F945">
            <w:pPr>
              <w:pStyle w:val="28"/>
              <w:bidi w:val="0"/>
            </w:pPr>
            <w:r>
              <w:rPr>
                <w:rFonts w:hint="eastAsia"/>
              </w:rPr>
              <w:t>无</w:t>
            </w:r>
          </w:p>
        </w:tc>
        <w:tc>
          <w:tcPr>
            <w:tcW w:w="463" w:type="pct"/>
            <w:shd w:val="clear" w:color="auto" w:fill="auto"/>
            <w:vAlign w:val="center"/>
          </w:tcPr>
          <w:p w14:paraId="223CE5BF">
            <w:pPr>
              <w:pStyle w:val="28"/>
              <w:bidi w:val="0"/>
            </w:pPr>
            <w:r>
              <w:rPr>
                <w:rFonts w:hint="eastAsia"/>
              </w:rPr>
              <w:t>三级</w:t>
            </w:r>
          </w:p>
        </w:tc>
      </w:tr>
      <w:tr w14:paraId="70492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10F6DCEF">
            <w:pPr>
              <w:pStyle w:val="28"/>
              <w:bidi w:val="0"/>
            </w:pPr>
            <w:r>
              <w:rPr>
                <w:rFonts w:hint="eastAsia"/>
              </w:rPr>
              <w:t>15</w:t>
            </w:r>
          </w:p>
        </w:tc>
        <w:tc>
          <w:tcPr>
            <w:tcW w:w="1105" w:type="pct"/>
            <w:shd w:val="clear" w:color="auto" w:fill="auto"/>
            <w:vAlign w:val="center"/>
          </w:tcPr>
          <w:p w14:paraId="69BE3F00">
            <w:pPr>
              <w:pStyle w:val="28"/>
              <w:bidi w:val="0"/>
            </w:pPr>
            <w:r>
              <w:rPr>
                <w:rFonts w:hint="eastAsia"/>
              </w:rPr>
              <w:t>朱集一站管理区建设及绿化工程</w:t>
            </w:r>
          </w:p>
        </w:tc>
        <w:tc>
          <w:tcPr>
            <w:tcW w:w="1124" w:type="pct"/>
            <w:shd w:val="clear" w:color="auto" w:fill="auto"/>
            <w:vAlign w:val="center"/>
          </w:tcPr>
          <w:p w14:paraId="1C891F17">
            <w:pPr>
              <w:pStyle w:val="28"/>
              <w:bidi w:val="0"/>
            </w:pPr>
            <w:r>
              <w:rPr>
                <w:rFonts w:hint="eastAsia"/>
              </w:rPr>
              <w:t>不涉及</w:t>
            </w:r>
          </w:p>
        </w:tc>
        <w:tc>
          <w:tcPr>
            <w:tcW w:w="593" w:type="pct"/>
            <w:shd w:val="clear" w:color="auto" w:fill="auto"/>
            <w:vAlign w:val="center"/>
          </w:tcPr>
          <w:p w14:paraId="59FB77E1">
            <w:pPr>
              <w:pStyle w:val="28"/>
              <w:bidi w:val="0"/>
            </w:pPr>
            <w:r>
              <w:rPr>
                <w:rFonts w:hint="eastAsia"/>
              </w:rPr>
              <w:t>不涉及</w:t>
            </w:r>
          </w:p>
        </w:tc>
        <w:tc>
          <w:tcPr>
            <w:tcW w:w="775" w:type="pct"/>
            <w:vMerge w:val="continue"/>
            <w:shd w:val="clear" w:color="auto" w:fill="auto"/>
            <w:vAlign w:val="center"/>
          </w:tcPr>
          <w:p w14:paraId="46632D7F">
            <w:pPr>
              <w:pStyle w:val="28"/>
              <w:bidi w:val="0"/>
            </w:pPr>
          </w:p>
        </w:tc>
        <w:tc>
          <w:tcPr>
            <w:tcW w:w="595" w:type="pct"/>
            <w:shd w:val="clear" w:color="auto" w:fill="auto"/>
            <w:vAlign w:val="center"/>
          </w:tcPr>
          <w:p w14:paraId="26F383E7">
            <w:pPr>
              <w:pStyle w:val="28"/>
              <w:bidi w:val="0"/>
            </w:pPr>
            <w:r>
              <w:rPr>
                <w:rFonts w:hint="eastAsia"/>
              </w:rPr>
              <w:t>无</w:t>
            </w:r>
          </w:p>
        </w:tc>
        <w:tc>
          <w:tcPr>
            <w:tcW w:w="463" w:type="pct"/>
            <w:shd w:val="clear" w:color="auto" w:fill="auto"/>
            <w:vAlign w:val="center"/>
          </w:tcPr>
          <w:p w14:paraId="4F3E35F2">
            <w:pPr>
              <w:pStyle w:val="28"/>
              <w:bidi w:val="0"/>
            </w:pPr>
            <w:r>
              <w:rPr>
                <w:rFonts w:hint="eastAsia"/>
              </w:rPr>
              <w:t>三级</w:t>
            </w:r>
          </w:p>
        </w:tc>
      </w:tr>
      <w:tr w14:paraId="38B4D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2E3451A4">
            <w:pPr>
              <w:pStyle w:val="28"/>
              <w:bidi w:val="0"/>
            </w:pPr>
            <w:r>
              <w:rPr>
                <w:rFonts w:hint="eastAsia"/>
              </w:rPr>
              <w:t>16</w:t>
            </w:r>
          </w:p>
        </w:tc>
        <w:tc>
          <w:tcPr>
            <w:tcW w:w="1105" w:type="pct"/>
            <w:shd w:val="clear" w:color="auto" w:fill="auto"/>
            <w:vAlign w:val="center"/>
          </w:tcPr>
          <w:p w14:paraId="43130449">
            <w:pPr>
              <w:pStyle w:val="28"/>
              <w:bidi w:val="0"/>
            </w:pPr>
            <w:r>
              <w:rPr>
                <w:rFonts w:hint="eastAsia"/>
              </w:rPr>
              <w:t>朱集二站管理区建设、朱集管理所管理区建设及绿化工程</w:t>
            </w:r>
          </w:p>
        </w:tc>
        <w:tc>
          <w:tcPr>
            <w:tcW w:w="1124" w:type="pct"/>
            <w:shd w:val="clear" w:color="auto" w:fill="auto"/>
            <w:vAlign w:val="center"/>
          </w:tcPr>
          <w:p w14:paraId="3F70B084">
            <w:pPr>
              <w:pStyle w:val="28"/>
              <w:bidi w:val="0"/>
            </w:pPr>
            <w:r>
              <w:rPr>
                <w:rFonts w:hint="eastAsia"/>
              </w:rPr>
              <w:t>不涉及</w:t>
            </w:r>
          </w:p>
        </w:tc>
        <w:tc>
          <w:tcPr>
            <w:tcW w:w="593" w:type="pct"/>
            <w:shd w:val="clear" w:color="auto" w:fill="auto"/>
            <w:vAlign w:val="center"/>
          </w:tcPr>
          <w:p w14:paraId="4E3B1BCB">
            <w:pPr>
              <w:pStyle w:val="28"/>
              <w:bidi w:val="0"/>
            </w:pPr>
            <w:r>
              <w:rPr>
                <w:rFonts w:hint="eastAsia"/>
              </w:rPr>
              <w:t>不涉及</w:t>
            </w:r>
          </w:p>
        </w:tc>
        <w:tc>
          <w:tcPr>
            <w:tcW w:w="775" w:type="pct"/>
            <w:vMerge w:val="continue"/>
            <w:shd w:val="clear" w:color="auto" w:fill="auto"/>
            <w:vAlign w:val="center"/>
          </w:tcPr>
          <w:p w14:paraId="6009374C">
            <w:pPr>
              <w:pStyle w:val="28"/>
              <w:bidi w:val="0"/>
            </w:pPr>
          </w:p>
        </w:tc>
        <w:tc>
          <w:tcPr>
            <w:tcW w:w="595" w:type="pct"/>
            <w:shd w:val="clear" w:color="auto" w:fill="auto"/>
            <w:vAlign w:val="center"/>
          </w:tcPr>
          <w:p w14:paraId="77D2CA13">
            <w:pPr>
              <w:pStyle w:val="28"/>
              <w:bidi w:val="0"/>
            </w:pPr>
            <w:r>
              <w:rPr>
                <w:rFonts w:hint="eastAsia"/>
              </w:rPr>
              <w:t>无</w:t>
            </w:r>
          </w:p>
        </w:tc>
        <w:tc>
          <w:tcPr>
            <w:tcW w:w="463" w:type="pct"/>
            <w:shd w:val="clear" w:color="auto" w:fill="auto"/>
            <w:vAlign w:val="center"/>
          </w:tcPr>
          <w:p w14:paraId="3730BEB0">
            <w:pPr>
              <w:pStyle w:val="28"/>
              <w:bidi w:val="0"/>
            </w:pPr>
            <w:r>
              <w:rPr>
                <w:rFonts w:hint="eastAsia"/>
              </w:rPr>
              <w:t>三级</w:t>
            </w:r>
          </w:p>
        </w:tc>
      </w:tr>
      <w:tr w14:paraId="4002F7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1C10D988">
            <w:pPr>
              <w:pStyle w:val="28"/>
              <w:bidi w:val="0"/>
            </w:pPr>
            <w:r>
              <w:rPr>
                <w:rFonts w:hint="eastAsia"/>
              </w:rPr>
              <w:t>17</w:t>
            </w:r>
          </w:p>
        </w:tc>
        <w:tc>
          <w:tcPr>
            <w:tcW w:w="1105" w:type="pct"/>
            <w:shd w:val="clear" w:color="auto" w:fill="auto"/>
            <w:vAlign w:val="center"/>
          </w:tcPr>
          <w:p w14:paraId="0C25AA28">
            <w:pPr>
              <w:pStyle w:val="28"/>
              <w:bidi w:val="0"/>
            </w:pPr>
            <w:r>
              <w:rPr>
                <w:rFonts w:hint="eastAsia"/>
              </w:rPr>
              <w:t>杨公三站管理区建设及绿化工程</w:t>
            </w:r>
          </w:p>
        </w:tc>
        <w:tc>
          <w:tcPr>
            <w:tcW w:w="1124" w:type="pct"/>
            <w:shd w:val="clear" w:color="auto" w:fill="auto"/>
            <w:vAlign w:val="center"/>
          </w:tcPr>
          <w:p w14:paraId="59647500">
            <w:pPr>
              <w:pStyle w:val="28"/>
              <w:bidi w:val="0"/>
            </w:pPr>
            <w:r>
              <w:rPr>
                <w:rFonts w:hint="eastAsia"/>
              </w:rPr>
              <w:t>不涉及</w:t>
            </w:r>
          </w:p>
        </w:tc>
        <w:tc>
          <w:tcPr>
            <w:tcW w:w="593" w:type="pct"/>
            <w:shd w:val="clear" w:color="auto" w:fill="auto"/>
            <w:vAlign w:val="center"/>
          </w:tcPr>
          <w:p w14:paraId="0BFDCC37">
            <w:pPr>
              <w:pStyle w:val="28"/>
              <w:bidi w:val="0"/>
            </w:pPr>
            <w:r>
              <w:rPr>
                <w:rFonts w:hint="eastAsia"/>
              </w:rPr>
              <w:t>不涉及</w:t>
            </w:r>
          </w:p>
        </w:tc>
        <w:tc>
          <w:tcPr>
            <w:tcW w:w="775" w:type="pct"/>
            <w:vMerge w:val="continue"/>
            <w:shd w:val="clear" w:color="auto" w:fill="auto"/>
            <w:vAlign w:val="center"/>
          </w:tcPr>
          <w:p w14:paraId="2FE7F08B">
            <w:pPr>
              <w:pStyle w:val="28"/>
              <w:bidi w:val="0"/>
            </w:pPr>
          </w:p>
        </w:tc>
        <w:tc>
          <w:tcPr>
            <w:tcW w:w="595" w:type="pct"/>
            <w:shd w:val="clear" w:color="auto" w:fill="auto"/>
            <w:vAlign w:val="center"/>
          </w:tcPr>
          <w:p w14:paraId="216475CF">
            <w:pPr>
              <w:pStyle w:val="28"/>
              <w:bidi w:val="0"/>
            </w:pPr>
            <w:r>
              <w:rPr>
                <w:rFonts w:hint="eastAsia"/>
              </w:rPr>
              <w:t>无</w:t>
            </w:r>
          </w:p>
        </w:tc>
        <w:tc>
          <w:tcPr>
            <w:tcW w:w="463" w:type="pct"/>
            <w:shd w:val="clear" w:color="auto" w:fill="auto"/>
            <w:vAlign w:val="center"/>
          </w:tcPr>
          <w:p w14:paraId="3D4AFECE">
            <w:pPr>
              <w:pStyle w:val="28"/>
              <w:bidi w:val="0"/>
            </w:pPr>
            <w:r>
              <w:rPr>
                <w:rFonts w:hint="eastAsia"/>
              </w:rPr>
              <w:t>三级</w:t>
            </w:r>
          </w:p>
        </w:tc>
      </w:tr>
      <w:tr w14:paraId="4EB6B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43" w:type="pct"/>
            <w:shd w:val="clear" w:color="auto" w:fill="auto"/>
            <w:vAlign w:val="center"/>
          </w:tcPr>
          <w:p w14:paraId="7FA83ABB">
            <w:pPr>
              <w:pStyle w:val="28"/>
              <w:bidi w:val="0"/>
            </w:pPr>
            <w:r>
              <w:rPr>
                <w:rFonts w:hint="eastAsia"/>
              </w:rPr>
              <w:t>18</w:t>
            </w:r>
          </w:p>
        </w:tc>
        <w:tc>
          <w:tcPr>
            <w:tcW w:w="1105" w:type="pct"/>
            <w:shd w:val="clear" w:color="auto" w:fill="auto"/>
            <w:vAlign w:val="center"/>
          </w:tcPr>
          <w:p w14:paraId="25DBBF33">
            <w:pPr>
              <w:pStyle w:val="28"/>
              <w:bidi w:val="0"/>
            </w:pPr>
            <w:r>
              <w:rPr>
                <w:rFonts w:hint="eastAsia"/>
              </w:rPr>
              <w:t>原朱集管理站屋面改造工程</w:t>
            </w:r>
          </w:p>
        </w:tc>
        <w:tc>
          <w:tcPr>
            <w:tcW w:w="1124" w:type="pct"/>
            <w:shd w:val="clear" w:color="auto" w:fill="auto"/>
            <w:vAlign w:val="center"/>
          </w:tcPr>
          <w:p w14:paraId="2E8403D7">
            <w:pPr>
              <w:pStyle w:val="28"/>
              <w:bidi w:val="0"/>
            </w:pPr>
            <w:r>
              <w:rPr>
                <w:rFonts w:hint="eastAsia"/>
              </w:rPr>
              <w:t>不涉及</w:t>
            </w:r>
          </w:p>
        </w:tc>
        <w:tc>
          <w:tcPr>
            <w:tcW w:w="593" w:type="pct"/>
            <w:shd w:val="clear" w:color="auto" w:fill="auto"/>
            <w:vAlign w:val="center"/>
          </w:tcPr>
          <w:p w14:paraId="4C1DB065">
            <w:pPr>
              <w:pStyle w:val="28"/>
              <w:bidi w:val="0"/>
            </w:pPr>
            <w:r>
              <w:rPr>
                <w:rFonts w:hint="eastAsia"/>
              </w:rPr>
              <w:t>不涉及</w:t>
            </w:r>
          </w:p>
        </w:tc>
        <w:tc>
          <w:tcPr>
            <w:tcW w:w="775" w:type="pct"/>
            <w:vMerge w:val="continue"/>
            <w:shd w:val="clear" w:color="auto" w:fill="auto"/>
            <w:vAlign w:val="center"/>
          </w:tcPr>
          <w:p w14:paraId="4D32C320">
            <w:pPr>
              <w:pStyle w:val="28"/>
              <w:bidi w:val="0"/>
            </w:pPr>
          </w:p>
        </w:tc>
        <w:tc>
          <w:tcPr>
            <w:tcW w:w="595" w:type="pct"/>
            <w:shd w:val="clear" w:color="auto" w:fill="auto"/>
            <w:vAlign w:val="center"/>
          </w:tcPr>
          <w:p w14:paraId="52372F1E">
            <w:pPr>
              <w:pStyle w:val="28"/>
              <w:bidi w:val="0"/>
            </w:pPr>
            <w:r>
              <w:rPr>
                <w:rFonts w:hint="eastAsia"/>
              </w:rPr>
              <w:t>无</w:t>
            </w:r>
          </w:p>
        </w:tc>
        <w:tc>
          <w:tcPr>
            <w:tcW w:w="463" w:type="pct"/>
            <w:shd w:val="clear" w:color="auto" w:fill="auto"/>
            <w:vAlign w:val="center"/>
          </w:tcPr>
          <w:p w14:paraId="78B7ED84">
            <w:pPr>
              <w:pStyle w:val="28"/>
              <w:bidi w:val="0"/>
            </w:pPr>
            <w:r>
              <w:rPr>
                <w:rFonts w:hint="eastAsia"/>
              </w:rPr>
              <w:t>三级</w:t>
            </w:r>
          </w:p>
        </w:tc>
      </w:tr>
    </w:tbl>
    <w:p w14:paraId="209AD2C5">
      <w:pPr>
        <w:spacing w:line="240" w:lineRule="auto"/>
      </w:pPr>
    </w:p>
    <w:p w14:paraId="20E3A488">
      <w:pPr>
        <w:pStyle w:val="29"/>
        <w:bidi w:val="0"/>
      </w:pPr>
      <w:r>
        <w:t>表1</w:t>
      </w:r>
      <w:r>
        <w:rPr>
          <w:rFonts w:hint="eastAsia"/>
          <w:lang w:val="en-US" w:eastAsia="zh-CN"/>
        </w:rPr>
        <w:t>.</w:t>
      </w:r>
      <w:r>
        <w:t>4</w:t>
      </w:r>
      <w:r>
        <w:rPr>
          <w:rFonts w:hint="eastAsia"/>
        </w:rPr>
        <w:t>-6</w:t>
      </w:r>
      <w:r>
        <w:t xml:space="preserve"> </w:t>
      </w:r>
      <w:r>
        <w:rPr>
          <w:rFonts w:hint="eastAsia"/>
          <w:lang w:val="en-US" w:eastAsia="zh-CN"/>
        </w:rPr>
        <w:t xml:space="preserve"> </w:t>
      </w:r>
      <w:r>
        <w:t>各子工程</w:t>
      </w:r>
      <w:r>
        <w:rPr>
          <w:rFonts w:hint="eastAsia"/>
        </w:rPr>
        <w:t>水生</w:t>
      </w:r>
      <w:r>
        <w:t>生态影响评价等级判定一览表</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5"/>
        <w:gridCol w:w="2324"/>
        <w:gridCol w:w="1215"/>
        <w:gridCol w:w="1215"/>
        <w:gridCol w:w="2914"/>
        <w:gridCol w:w="940"/>
      </w:tblGrid>
      <w:tr w14:paraId="29B47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48E70E4D">
            <w:pPr>
              <w:pStyle w:val="28"/>
              <w:bidi w:val="0"/>
            </w:pPr>
            <w:r>
              <w:rPr>
                <w:rFonts w:hint="eastAsia"/>
              </w:rPr>
              <w:t>序号</w:t>
            </w:r>
          </w:p>
        </w:tc>
        <w:tc>
          <w:tcPr>
            <w:tcW w:w="1251" w:type="pct"/>
            <w:shd w:val="clear" w:color="auto" w:fill="auto"/>
            <w:vAlign w:val="center"/>
          </w:tcPr>
          <w:p w14:paraId="022290AB">
            <w:pPr>
              <w:pStyle w:val="28"/>
              <w:bidi w:val="0"/>
            </w:pPr>
            <w:r>
              <w:rPr>
                <w:rFonts w:hint="eastAsia"/>
              </w:rPr>
              <w:t>项目名称</w:t>
            </w:r>
          </w:p>
        </w:tc>
        <w:tc>
          <w:tcPr>
            <w:tcW w:w="654" w:type="pct"/>
            <w:shd w:val="clear" w:color="auto" w:fill="auto"/>
            <w:vAlign w:val="center"/>
          </w:tcPr>
          <w:p w14:paraId="12B7E5FE">
            <w:pPr>
              <w:pStyle w:val="28"/>
              <w:bidi w:val="0"/>
            </w:pPr>
            <w:r>
              <w:rPr>
                <w:rFonts w:hint="eastAsia"/>
              </w:rPr>
              <w:t>地表水水文要素评价等级</w:t>
            </w:r>
          </w:p>
        </w:tc>
        <w:tc>
          <w:tcPr>
            <w:tcW w:w="654" w:type="pct"/>
            <w:shd w:val="clear" w:color="auto" w:fill="auto"/>
            <w:vAlign w:val="center"/>
          </w:tcPr>
          <w:p w14:paraId="384027F7">
            <w:pPr>
              <w:pStyle w:val="28"/>
              <w:bidi w:val="0"/>
            </w:pPr>
            <w:r>
              <w:rPr>
                <w:rFonts w:hint="eastAsia"/>
              </w:rPr>
              <w:t>生态保护红线</w:t>
            </w:r>
          </w:p>
        </w:tc>
        <w:tc>
          <w:tcPr>
            <w:tcW w:w="1569" w:type="pct"/>
            <w:shd w:val="clear" w:color="auto" w:fill="auto"/>
            <w:vAlign w:val="center"/>
          </w:tcPr>
          <w:p w14:paraId="3ECB7C97">
            <w:pPr>
              <w:pStyle w:val="28"/>
              <w:bidi w:val="0"/>
            </w:pPr>
            <w:r>
              <w:rPr>
                <w:rFonts w:hint="eastAsia"/>
              </w:rPr>
              <w:t>其他情况</w:t>
            </w:r>
          </w:p>
        </w:tc>
        <w:tc>
          <w:tcPr>
            <w:tcW w:w="506" w:type="pct"/>
            <w:shd w:val="clear" w:color="auto" w:fill="auto"/>
            <w:vAlign w:val="center"/>
          </w:tcPr>
          <w:p w14:paraId="2842797D">
            <w:pPr>
              <w:pStyle w:val="28"/>
              <w:bidi w:val="0"/>
            </w:pPr>
            <w:r>
              <w:rPr>
                <w:rFonts w:hint="eastAsia"/>
              </w:rPr>
              <w:t>水生生态评价等级</w:t>
            </w:r>
          </w:p>
        </w:tc>
      </w:tr>
      <w:tr w14:paraId="13329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69A204DD">
            <w:pPr>
              <w:pStyle w:val="28"/>
              <w:bidi w:val="0"/>
            </w:pPr>
            <w:r>
              <w:t>1</w:t>
            </w:r>
          </w:p>
        </w:tc>
        <w:tc>
          <w:tcPr>
            <w:tcW w:w="1251" w:type="pct"/>
            <w:shd w:val="clear" w:color="auto" w:fill="auto"/>
            <w:vAlign w:val="center"/>
          </w:tcPr>
          <w:p w14:paraId="586B22A9">
            <w:pPr>
              <w:pStyle w:val="28"/>
              <w:bidi w:val="0"/>
            </w:pPr>
            <w:r>
              <w:rPr>
                <w:rFonts w:hint="eastAsia"/>
              </w:rPr>
              <w:t>朱集一站引水渠</w:t>
            </w:r>
          </w:p>
        </w:tc>
        <w:tc>
          <w:tcPr>
            <w:tcW w:w="654" w:type="pct"/>
            <w:shd w:val="clear" w:color="auto" w:fill="auto"/>
            <w:vAlign w:val="center"/>
          </w:tcPr>
          <w:p w14:paraId="35DF8D60">
            <w:pPr>
              <w:pStyle w:val="28"/>
              <w:bidi w:val="0"/>
            </w:pPr>
            <w:r>
              <w:t>三级</w:t>
            </w:r>
          </w:p>
        </w:tc>
        <w:tc>
          <w:tcPr>
            <w:tcW w:w="654" w:type="pct"/>
            <w:shd w:val="clear" w:color="auto" w:fill="auto"/>
            <w:vAlign w:val="center"/>
          </w:tcPr>
          <w:p w14:paraId="1788BB03">
            <w:pPr>
              <w:pStyle w:val="28"/>
              <w:bidi w:val="0"/>
            </w:pPr>
            <w:r>
              <w:rPr>
                <w:rFonts w:hint="eastAsia"/>
              </w:rPr>
              <w:t>不涉及</w:t>
            </w:r>
          </w:p>
        </w:tc>
        <w:tc>
          <w:tcPr>
            <w:tcW w:w="1569" w:type="pct"/>
            <w:shd w:val="clear" w:color="auto" w:fill="auto"/>
            <w:vAlign w:val="center"/>
          </w:tcPr>
          <w:p w14:paraId="4319104D">
            <w:pPr>
              <w:pStyle w:val="28"/>
              <w:bidi w:val="0"/>
            </w:pPr>
            <w:r>
              <w:rPr>
                <w:rFonts w:hint="eastAsia"/>
              </w:rPr>
              <w:t>评价范围涉及瓦埠湖省级湿地自然公园</w:t>
            </w:r>
          </w:p>
        </w:tc>
        <w:tc>
          <w:tcPr>
            <w:tcW w:w="506" w:type="pct"/>
            <w:shd w:val="clear" w:color="auto" w:fill="auto"/>
            <w:vAlign w:val="center"/>
          </w:tcPr>
          <w:p w14:paraId="0FA8B72A">
            <w:pPr>
              <w:pStyle w:val="28"/>
              <w:bidi w:val="0"/>
            </w:pPr>
            <w:r>
              <w:rPr>
                <w:rFonts w:hint="eastAsia"/>
              </w:rPr>
              <w:t>二级</w:t>
            </w:r>
          </w:p>
        </w:tc>
      </w:tr>
      <w:tr w14:paraId="12B0D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53DAD6A4">
            <w:pPr>
              <w:pStyle w:val="28"/>
              <w:bidi w:val="0"/>
            </w:pPr>
            <w:r>
              <w:t>2</w:t>
            </w:r>
          </w:p>
        </w:tc>
        <w:tc>
          <w:tcPr>
            <w:tcW w:w="1251" w:type="pct"/>
            <w:shd w:val="clear" w:color="auto" w:fill="auto"/>
            <w:vAlign w:val="center"/>
          </w:tcPr>
          <w:p w14:paraId="7099622C">
            <w:pPr>
              <w:pStyle w:val="28"/>
              <w:bidi w:val="0"/>
            </w:pPr>
            <w:r>
              <w:rPr>
                <w:rFonts w:hint="eastAsia"/>
              </w:rPr>
              <w:t>二引干渠</w:t>
            </w:r>
          </w:p>
        </w:tc>
        <w:tc>
          <w:tcPr>
            <w:tcW w:w="654" w:type="pct"/>
            <w:shd w:val="clear" w:color="auto" w:fill="auto"/>
            <w:vAlign w:val="center"/>
          </w:tcPr>
          <w:p w14:paraId="0CF1C0EF">
            <w:pPr>
              <w:pStyle w:val="28"/>
              <w:bidi w:val="0"/>
            </w:pPr>
            <w:r>
              <w:t>三级</w:t>
            </w:r>
          </w:p>
        </w:tc>
        <w:tc>
          <w:tcPr>
            <w:tcW w:w="654" w:type="pct"/>
            <w:shd w:val="clear" w:color="auto" w:fill="auto"/>
            <w:vAlign w:val="center"/>
          </w:tcPr>
          <w:p w14:paraId="3EB8DA18">
            <w:pPr>
              <w:pStyle w:val="28"/>
              <w:bidi w:val="0"/>
            </w:pPr>
            <w:r>
              <w:rPr>
                <w:rFonts w:hint="eastAsia"/>
              </w:rPr>
              <w:t>不涉及</w:t>
            </w:r>
          </w:p>
        </w:tc>
        <w:tc>
          <w:tcPr>
            <w:tcW w:w="1569" w:type="pct"/>
            <w:shd w:val="clear" w:color="auto" w:fill="auto"/>
            <w:vAlign w:val="center"/>
          </w:tcPr>
          <w:p w14:paraId="41572501">
            <w:pPr>
              <w:pStyle w:val="28"/>
              <w:bidi w:val="0"/>
            </w:pPr>
            <w:r>
              <w:rPr>
                <w:rFonts w:hint="eastAsia"/>
              </w:rPr>
              <w:t>无</w:t>
            </w:r>
          </w:p>
        </w:tc>
        <w:tc>
          <w:tcPr>
            <w:tcW w:w="506" w:type="pct"/>
            <w:shd w:val="clear" w:color="auto" w:fill="auto"/>
            <w:vAlign w:val="center"/>
          </w:tcPr>
          <w:p w14:paraId="7D57E770">
            <w:pPr>
              <w:pStyle w:val="28"/>
              <w:bidi w:val="0"/>
            </w:pPr>
            <w:r>
              <w:rPr>
                <w:rFonts w:hint="eastAsia"/>
              </w:rPr>
              <w:t>三级</w:t>
            </w:r>
          </w:p>
        </w:tc>
      </w:tr>
      <w:tr w14:paraId="794ACF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279C376F">
            <w:pPr>
              <w:pStyle w:val="28"/>
              <w:bidi w:val="0"/>
            </w:pPr>
            <w:r>
              <w:t>3</w:t>
            </w:r>
          </w:p>
        </w:tc>
        <w:tc>
          <w:tcPr>
            <w:tcW w:w="1251" w:type="pct"/>
            <w:shd w:val="clear" w:color="auto" w:fill="auto"/>
            <w:vAlign w:val="center"/>
          </w:tcPr>
          <w:p w14:paraId="099EBE78">
            <w:pPr>
              <w:pStyle w:val="28"/>
              <w:bidi w:val="0"/>
            </w:pPr>
            <w:r>
              <w:rPr>
                <w:rFonts w:hint="eastAsia"/>
              </w:rPr>
              <w:t>一东干渠</w:t>
            </w:r>
          </w:p>
        </w:tc>
        <w:tc>
          <w:tcPr>
            <w:tcW w:w="654" w:type="pct"/>
            <w:shd w:val="clear" w:color="auto" w:fill="auto"/>
            <w:vAlign w:val="center"/>
          </w:tcPr>
          <w:p w14:paraId="4B38651E">
            <w:pPr>
              <w:pStyle w:val="28"/>
              <w:bidi w:val="0"/>
            </w:pPr>
            <w:r>
              <w:t>三级</w:t>
            </w:r>
          </w:p>
        </w:tc>
        <w:tc>
          <w:tcPr>
            <w:tcW w:w="654" w:type="pct"/>
            <w:shd w:val="clear" w:color="auto" w:fill="auto"/>
            <w:vAlign w:val="center"/>
          </w:tcPr>
          <w:p w14:paraId="720ED4B7">
            <w:pPr>
              <w:pStyle w:val="28"/>
              <w:bidi w:val="0"/>
            </w:pPr>
            <w:r>
              <w:rPr>
                <w:rFonts w:hint="eastAsia"/>
              </w:rPr>
              <w:t>不涉及</w:t>
            </w:r>
          </w:p>
        </w:tc>
        <w:tc>
          <w:tcPr>
            <w:tcW w:w="1569" w:type="pct"/>
            <w:shd w:val="clear" w:color="auto" w:fill="auto"/>
            <w:vAlign w:val="center"/>
          </w:tcPr>
          <w:p w14:paraId="6DD4FC48">
            <w:pPr>
              <w:pStyle w:val="28"/>
              <w:bidi w:val="0"/>
            </w:pPr>
            <w:r>
              <w:rPr>
                <w:rFonts w:hint="eastAsia"/>
              </w:rPr>
              <w:t>无</w:t>
            </w:r>
          </w:p>
        </w:tc>
        <w:tc>
          <w:tcPr>
            <w:tcW w:w="506" w:type="pct"/>
            <w:shd w:val="clear" w:color="auto" w:fill="auto"/>
            <w:vAlign w:val="center"/>
          </w:tcPr>
          <w:p w14:paraId="16FA6671">
            <w:pPr>
              <w:pStyle w:val="28"/>
              <w:bidi w:val="0"/>
            </w:pPr>
            <w:r>
              <w:rPr>
                <w:rFonts w:hint="eastAsia"/>
              </w:rPr>
              <w:t>三级</w:t>
            </w:r>
          </w:p>
        </w:tc>
      </w:tr>
      <w:tr w14:paraId="44575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0B808C5C">
            <w:pPr>
              <w:pStyle w:val="28"/>
              <w:bidi w:val="0"/>
            </w:pPr>
            <w:r>
              <w:t>4</w:t>
            </w:r>
          </w:p>
        </w:tc>
        <w:tc>
          <w:tcPr>
            <w:tcW w:w="1251" w:type="pct"/>
            <w:shd w:val="clear" w:color="auto" w:fill="auto"/>
            <w:vAlign w:val="center"/>
          </w:tcPr>
          <w:p w14:paraId="77ABA021">
            <w:pPr>
              <w:pStyle w:val="28"/>
              <w:bidi w:val="0"/>
            </w:pPr>
            <w:r>
              <w:rPr>
                <w:rFonts w:hint="eastAsia"/>
              </w:rPr>
              <w:t>二东干渠</w:t>
            </w:r>
          </w:p>
        </w:tc>
        <w:tc>
          <w:tcPr>
            <w:tcW w:w="654" w:type="pct"/>
            <w:shd w:val="clear" w:color="auto" w:fill="auto"/>
            <w:vAlign w:val="center"/>
          </w:tcPr>
          <w:p w14:paraId="0BE628BC">
            <w:pPr>
              <w:pStyle w:val="28"/>
              <w:bidi w:val="0"/>
            </w:pPr>
            <w:r>
              <w:t>三级</w:t>
            </w:r>
          </w:p>
        </w:tc>
        <w:tc>
          <w:tcPr>
            <w:tcW w:w="654" w:type="pct"/>
            <w:shd w:val="clear" w:color="auto" w:fill="auto"/>
            <w:vAlign w:val="center"/>
          </w:tcPr>
          <w:p w14:paraId="139320F7">
            <w:pPr>
              <w:pStyle w:val="28"/>
              <w:bidi w:val="0"/>
            </w:pPr>
            <w:r>
              <w:rPr>
                <w:rFonts w:hint="eastAsia"/>
              </w:rPr>
              <w:t>不涉及</w:t>
            </w:r>
          </w:p>
        </w:tc>
        <w:tc>
          <w:tcPr>
            <w:tcW w:w="1569" w:type="pct"/>
            <w:shd w:val="clear" w:color="auto" w:fill="auto"/>
            <w:vAlign w:val="center"/>
          </w:tcPr>
          <w:p w14:paraId="332C3BE6">
            <w:pPr>
              <w:pStyle w:val="28"/>
              <w:bidi w:val="0"/>
            </w:pPr>
            <w:r>
              <w:rPr>
                <w:rFonts w:hint="eastAsia"/>
              </w:rPr>
              <w:t>无</w:t>
            </w:r>
          </w:p>
        </w:tc>
        <w:tc>
          <w:tcPr>
            <w:tcW w:w="506" w:type="pct"/>
            <w:shd w:val="clear" w:color="auto" w:fill="auto"/>
            <w:vAlign w:val="center"/>
          </w:tcPr>
          <w:p w14:paraId="1FCD04CD">
            <w:pPr>
              <w:pStyle w:val="28"/>
              <w:bidi w:val="0"/>
            </w:pPr>
            <w:r>
              <w:rPr>
                <w:rFonts w:hint="eastAsia"/>
              </w:rPr>
              <w:t>三级</w:t>
            </w:r>
          </w:p>
        </w:tc>
      </w:tr>
      <w:tr w14:paraId="625D6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23769EDC">
            <w:pPr>
              <w:pStyle w:val="28"/>
              <w:bidi w:val="0"/>
            </w:pPr>
            <w:r>
              <w:t>5</w:t>
            </w:r>
          </w:p>
        </w:tc>
        <w:tc>
          <w:tcPr>
            <w:tcW w:w="1251" w:type="pct"/>
            <w:shd w:val="clear" w:color="auto" w:fill="auto"/>
            <w:vAlign w:val="center"/>
          </w:tcPr>
          <w:p w14:paraId="08F173F4">
            <w:pPr>
              <w:pStyle w:val="28"/>
              <w:bidi w:val="0"/>
            </w:pPr>
            <w:r>
              <w:rPr>
                <w:rFonts w:hint="eastAsia"/>
              </w:rPr>
              <w:t>二北干渠</w:t>
            </w:r>
          </w:p>
        </w:tc>
        <w:tc>
          <w:tcPr>
            <w:tcW w:w="654" w:type="pct"/>
            <w:shd w:val="clear" w:color="auto" w:fill="auto"/>
            <w:vAlign w:val="center"/>
          </w:tcPr>
          <w:p w14:paraId="436D9F87">
            <w:pPr>
              <w:pStyle w:val="28"/>
              <w:bidi w:val="0"/>
            </w:pPr>
            <w:r>
              <w:t>三级</w:t>
            </w:r>
          </w:p>
        </w:tc>
        <w:tc>
          <w:tcPr>
            <w:tcW w:w="654" w:type="pct"/>
            <w:shd w:val="clear" w:color="auto" w:fill="auto"/>
            <w:vAlign w:val="center"/>
          </w:tcPr>
          <w:p w14:paraId="2CDCAE99">
            <w:pPr>
              <w:pStyle w:val="28"/>
              <w:bidi w:val="0"/>
            </w:pPr>
            <w:r>
              <w:rPr>
                <w:rFonts w:hint="eastAsia"/>
              </w:rPr>
              <w:t>不涉及</w:t>
            </w:r>
          </w:p>
        </w:tc>
        <w:tc>
          <w:tcPr>
            <w:tcW w:w="1569" w:type="pct"/>
            <w:shd w:val="clear" w:color="auto" w:fill="auto"/>
            <w:vAlign w:val="center"/>
          </w:tcPr>
          <w:p w14:paraId="26550B56">
            <w:pPr>
              <w:pStyle w:val="28"/>
              <w:bidi w:val="0"/>
            </w:pPr>
            <w:r>
              <w:rPr>
                <w:rFonts w:hint="eastAsia"/>
              </w:rPr>
              <w:t>无</w:t>
            </w:r>
          </w:p>
        </w:tc>
        <w:tc>
          <w:tcPr>
            <w:tcW w:w="506" w:type="pct"/>
            <w:shd w:val="clear" w:color="auto" w:fill="auto"/>
            <w:vAlign w:val="center"/>
          </w:tcPr>
          <w:p w14:paraId="182D9A9D">
            <w:pPr>
              <w:pStyle w:val="28"/>
              <w:bidi w:val="0"/>
            </w:pPr>
            <w:r>
              <w:rPr>
                <w:rFonts w:hint="eastAsia"/>
              </w:rPr>
              <w:t>三级</w:t>
            </w:r>
          </w:p>
        </w:tc>
      </w:tr>
      <w:tr w14:paraId="75540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7CA59727">
            <w:pPr>
              <w:pStyle w:val="28"/>
              <w:bidi w:val="0"/>
            </w:pPr>
            <w:r>
              <w:rPr>
                <w:rFonts w:hint="eastAsia"/>
              </w:rPr>
              <w:t>6</w:t>
            </w:r>
          </w:p>
        </w:tc>
        <w:tc>
          <w:tcPr>
            <w:tcW w:w="1251" w:type="pct"/>
            <w:shd w:val="clear" w:color="auto" w:fill="auto"/>
            <w:vAlign w:val="center"/>
          </w:tcPr>
          <w:p w14:paraId="796D4958">
            <w:pPr>
              <w:pStyle w:val="28"/>
              <w:bidi w:val="0"/>
            </w:pPr>
            <w:r>
              <w:rPr>
                <w:rFonts w:hint="eastAsia"/>
              </w:rPr>
              <w:t>杨公三站引水渠</w:t>
            </w:r>
          </w:p>
        </w:tc>
        <w:tc>
          <w:tcPr>
            <w:tcW w:w="654" w:type="pct"/>
            <w:shd w:val="clear" w:color="auto" w:fill="auto"/>
            <w:vAlign w:val="center"/>
          </w:tcPr>
          <w:p w14:paraId="4A3D7D89">
            <w:pPr>
              <w:pStyle w:val="28"/>
              <w:bidi w:val="0"/>
            </w:pPr>
            <w:r>
              <w:t>三级</w:t>
            </w:r>
          </w:p>
        </w:tc>
        <w:tc>
          <w:tcPr>
            <w:tcW w:w="654" w:type="pct"/>
            <w:shd w:val="clear" w:color="auto" w:fill="auto"/>
            <w:vAlign w:val="center"/>
          </w:tcPr>
          <w:p w14:paraId="363F8918">
            <w:pPr>
              <w:pStyle w:val="28"/>
              <w:bidi w:val="0"/>
            </w:pPr>
            <w:r>
              <w:rPr>
                <w:rFonts w:hint="eastAsia"/>
              </w:rPr>
              <w:t>不涉及</w:t>
            </w:r>
          </w:p>
        </w:tc>
        <w:tc>
          <w:tcPr>
            <w:tcW w:w="1569" w:type="pct"/>
            <w:shd w:val="clear" w:color="auto" w:fill="auto"/>
            <w:vAlign w:val="center"/>
          </w:tcPr>
          <w:p w14:paraId="226D36F2">
            <w:pPr>
              <w:pStyle w:val="28"/>
              <w:bidi w:val="0"/>
            </w:pPr>
            <w:r>
              <w:rPr>
                <w:rFonts w:hint="eastAsia"/>
              </w:rPr>
              <w:t>无</w:t>
            </w:r>
          </w:p>
        </w:tc>
        <w:tc>
          <w:tcPr>
            <w:tcW w:w="506" w:type="pct"/>
            <w:shd w:val="clear" w:color="auto" w:fill="auto"/>
            <w:vAlign w:val="center"/>
          </w:tcPr>
          <w:p w14:paraId="74BC51F8">
            <w:pPr>
              <w:pStyle w:val="28"/>
              <w:bidi w:val="0"/>
            </w:pPr>
            <w:r>
              <w:rPr>
                <w:rFonts w:hint="eastAsia"/>
              </w:rPr>
              <w:t>三级</w:t>
            </w:r>
          </w:p>
        </w:tc>
      </w:tr>
      <w:tr w14:paraId="79D8B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573B0202">
            <w:pPr>
              <w:pStyle w:val="28"/>
              <w:bidi w:val="0"/>
            </w:pPr>
            <w:r>
              <w:rPr>
                <w:rFonts w:hint="eastAsia"/>
              </w:rPr>
              <w:t>7</w:t>
            </w:r>
          </w:p>
        </w:tc>
        <w:tc>
          <w:tcPr>
            <w:tcW w:w="1251" w:type="pct"/>
            <w:shd w:val="clear" w:color="auto" w:fill="auto"/>
            <w:vAlign w:val="center"/>
          </w:tcPr>
          <w:p w14:paraId="36868834">
            <w:pPr>
              <w:pStyle w:val="28"/>
              <w:bidi w:val="0"/>
            </w:pPr>
            <w:r>
              <w:rPr>
                <w:rFonts w:hint="eastAsia"/>
              </w:rPr>
              <w:t>三北干渠</w:t>
            </w:r>
          </w:p>
        </w:tc>
        <w:tc>
          <w:tcPr>
            <w:tcW w:w="654" w:type="pct"/>
            <w:shd w:val="clear" w:color="auto" w:fill="auto"/>
            <w:vAlign w:val="center"/>
          </w:tcPr>
          <w:p w14:paraId="0D38749D">
            <w:pPr>
              <w:pStyle w:val="28"/>
              <w:bidi w:val="0"/>
            </w:pPr>
            <w:r>
              <w:t>三级</w:t>
            </w:r>
          </w:p>
        </w:tc>
        <w:tc>
          <w:tcPr>
            <w:tcW w:w="654" w:type="pct"/>
            <w:shd w:val="clear" w:color="auto" w:fill="auto"/>
            <w:vAlign w:val="center"/>
          </w:tcPr>
          <w:p w14:paraId="785E6C02">
            <w:pPr>
              <w:pStyle w:val="28"/>
              <w:bidi w:val="0"/>
            </w:pPr>
            <w:r>
              <w:rPr>
                <w:rFonts w:hint="eastAsia"/>
              </w:rPr>
              <w:t>不涉及</w:t>
            </w:r>
          </w:p>
        </w:tc>
        <w:tc>
          <w:tcPr>
            <w:tcW w:w="1569" w:type="pct"/>
            <w:shd w:val="clear" w:color="auto" w:fill="auto"/>
            <w:vAlign w:val="center"/>
          </w:tcPr>
          <w:p w14:paraId="5AF0F74A">
            <w:pPr>
              <w:pStyle w:val="28"/>
              <w:bidi w:val="0"/>
            </w:pPr>
            <w:r>
              <w:rPr>
                <w:rFonts w:hint="eastAsia"/>
              </w:rPr>
              <w:t>无</w:t>
            </w:r>
          </w:p>
        </w:tc>
        <w:tc>
          <w:tcPr>
            <w:tcW w:w="506" w:type="pct"/>
            <w:shd w:val="clear" w:color="auto" w:fill="auto"/>
            <w:vAlign w:val="center"/>
          </w:tcPr>
          <w:p w14:paraId="10FE659C">
            <w:pPr>
              <w:pStyle w:val="28"/>
              <w:bidi w:val="0"/>
            </w:pPr>
            <w:r>
              <w:rPr>
                <w:rFonts w:hint="eastAsia"/>
              </w:rPr>
              <w:t>三级</w:t>
            </w:r>
          </w:p>
        </w:tc>
      </w:tr>
      <w:tr w14:paraId="5080D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3A1B0760">
            <w:pPr>
              <w:pStyle w:val="28"/>
              <w:bidi w:val="0"/>
            </w:pPr>
            <w:r>
              <w:rPr>
                <w:rFonts w:hint="eastAsia"/>
              </w:rPr>
              <w:t>8</w:t>
            </w:r>
          </w:p>
        </w:tc>
        <w:tc>
          <w:tcPr>
            <w:tcW w:w="1251" w:type="pct"/>
            <w:shd w:val="clear" w:color="auto" w:fill="auto"/>
            <w:vAlign w:val="center"/>
          </w:tcPr>
          <w:p w14:paraId="5F46EBAA">
            <w:pPr>
              <w:pStyle w:val="28"/>
              <w:bidi w:val="0"/>
            </w:pPr>
            <w:r>
              <w:rPr>
                <w:rFonts w:hint="eastAsia"/>
              </w:rPr>
              <w:t>杨公三站出水渠</w:t>
            </w:r>
          </w:p>
        </w:tc>
        <w:tc>
          <w:tcPr>
            <w:tcW w:w="654" w:type="pct"/>
            <w:shd w:val="clear" w:color="auto" w:fill="auto"/>
            <w:vAlign w:val="center"/>
          </w:tcPr>
          <w:p w14:paraId="7965BB57">
            <w:pPr>
              <w:pStyle w:val="28"/>
              <w:bidi w:val="0"/>
            </w:pPr>
            <w:r>
              <w:t>三级</w:t>
            </w:r>
          </w:p>
        </w:tc>
        <w:tc>
          <w:tcPr>
            <w:tcW w:w="654" w:type="pct"/>
            <w:shd w:val="clear" w:color="auto" w:fill="auto"/>
            <w:vAlign w:val="center"/>
          </w:tcPr>
          <w:p w14:paraId="1AE1B2EB">
            <w:pPr>
              <w:pStyle w:val="28"/>
              <w:bidi w:val="0"/>
            </w:pPr>
            <w:r>
              <w:rPr>
                <w:rFonts w:hint="eastAsia"/>
              </w:rPr>
              <w:t>不涉及</w:t>
            </w:r>
          </w:p>
        </w:tc>
        <w:tc>
          <w:tcPr>
            <w:tcW w:w="1569" w:type="pct"/>
            <w:shd w:val="clear" w:color="auto" w:fill="auto"/>
            <w:vAlign w:val="center"/>
          </w:tcPr>
          <w:p w14:paraId="4309453B">
            <w:pPr>
              <w:pStyle w:val="28"/>
              <w:bidi w:val="0"/>
            </w:pPr>
            <w:r>
              <w:rPr>
                <w:rFonts w:hint="eastAsia"/>
              </w:rPr>
              <w:t>无</w:t>
            </w:r>
          </w:p>
        </w:tc>
        <w:tc>
          <w:tcPr>
            <w:tcW w:w="506" w:type="pct"/>
            <w:shd w:val="clear" w:color="auto" w:fill="auto"/>
            <w:vAlign w:val="center"/>
          </w:tcPr>
          <w:p w14:paraId="36DB8D55">
            <w:pPr>
              <w:pStyle w:val="28"/>
              <w:bidi w:val="0"/>
            </w:pPr>
            <w:r>
              <w:rPr>
                <w:rFonts w:hint="eastAsia"/>
              </w:rPr>
              <w:t>三级</w:t>
            </w:r>
          </w:p>
        </w:tc>
      </w:tr>
      <w:tr w14:paraId="08EB3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5B132626">
            <w:pPr>
              <w:pStyle w:val="28"/>
              <w:bidi w:val="0"/>
            </w:pPr>
            <w:r>
              <w:rPr>
                <w:rFonts w:hint="eastAsia"/>
              </w:rPr>
              <w:t>9</w:t>
            </w:r>
          </w:p>
        </w:tc>
        <w:tc>
          <w:tcPr>
            <w:tcW w:w="1251" w:type="pct"/>
            <w:shd w:val="clear" w:color="auto" w:fill="auto"/>
            <w:vAlign w:val="center"/>
          </w:tcPr>
          <w:p w14:paraId="504F8A8F">
            <w:pPr>
              <w:pStyle w:val="28"/>
              <w:bidi w:val="0"/>
            </w:pPr>
            <w:r>
              <w:rPr>
                <w:rFonts w:hint="eastAsia"/>
              </w:rPr>
              <w:t>三东干渠</w:t>
            </w:r>
          </w:p>
        </w:tc>
        <w:tc>
          <w:tcPr>
            <w:tcW w:w="654" w:type="pct"/>
            <w:shd w:val="clear" w:color="auto" w:fill="auto"/>
            <w:vAlign w:val="center"/>
          </w:tcPr>
          <w:p w14:paraId="23EABCD9">
            <w:pPr>
              <w:pStyle w:val="28"/>
              <w:bidi w:val="0"/>
            </w:pPr>
            <w:r>
              <w:rPr>
                <w:rFonts w:hint="eastAsia"/>
              </w:rPr>
              <w:t>一</w:t>
            </w:r>
            <w:r>
              <w:t>级</w:t>
            </w:r>
          </w:p>
        </w:tc>
        <w:tc>
          <w:tcPr>
            <w:tcW w:w="654" w:type="pct"/>
            <w:shd w:val="clear" w:color="auto" w:fill="auto"/>
            <w:vAlign w:val="center"/>
          </w:tcPr>
          <w:p w14:paraId="6076907A">
            <w:pPr>
              <w:pStyle w:val="28"/>
              <w:bidi w:val="0"/>
            </w:pPr>
            <w:r>
              <w:rPr>
                <w:rFonts w:hint="eastAsia"/>
              </w:rPr>
              <w:t>不涉及</w:t>
            </w:r>
          </w:p>
        </w:tc>
        <w:tc>
          <w:tcPr>
            <w:tcW w:w="1569" w:type="pct"/>
            <w:shd w:val="clear" w:color="auto" w:fill="auto"/>
            <w:vAlign w:val="center"/>
          </w:tcPr>
          <w:p w14:paraId="1EE382F9">
            <w:pPr>
              <w:pStyle w:val="28"/>
              <w:bidi w:val="0"/>
            </w:pPr>
            <w:r>
              <w:rPr>
                <w:rFonts w:hint="eastAsia"/>
              </w:rPr>
              <w:t>保守考虑新建节制闸可能明显改变水文情势</w:t>
            </w:r>
          </w:p>
        </w:tc>
        <w:tc>
          <w:tcPr>
            <w:tcW w:w="506" w:type="pct"/>
            <w:shd w:val="clear" w:color="auto" w:fill="auto"/>
            <w:vAlign w:val="center"/>
          </w:tcPr>
          <w:p w14:paraId="3C09E6A6">
            <w:pPr>
              <w:pStyle w:val="28"/>
              <w:bidi w:val="0"/>
            </w:pPr>
            <w:r>
              <w:rPr>
                <w:rFonts w:hint="eastAsia"/>
              </w:rPr>
              <w:t>二级</w:t>
            </w:r>
          </w:p>
        </w:tc>
      </w:tr>
      <w:tr w14:paraId="156814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2E70AC58">
            <w:pPr>
              <w:pStyle w:val="28"/>
              <w:bidi w:val="0"/>
            </w:pPr>
            <w:r>
              <w:rPr>
                <w:rFonts w:hint="eastAsia"/>
              </w:rPr>
              <w:t>10</w:t>
            </w:r>
          </w:p>
        </w:tc>
        <w:tc>
          <w:tcPr>
            <w:tcW w:w="1251" w:type="pct"/>
            <w:shd w:val="clear" w:color="auto" w:fill="auto"/>
            <w:vAlign w:val="center"/>
          </w:tcPr>
          <w:p w14:paraId="0F65E58F">
            <w:pPr>
              <w:pStyle w:val="28"/>
              <w:bidi w:val="0"/>
            </w:pPr>
            <w:r>
              <w:rPr>
                <w:rFonts w:hint="eastAsia"/>
              </w:rPr>
              <w:t>桂岗支渠</w:t>
            </w:r>
          </w:p>
        </w:tc>
        <w:tc>
          <w:tcPr>
            <w:tcW w:w="654" w:type="pct"/>
            <w:shd w:val="clear" w:color="auto" w:fill="auto"/>
            <w:vAlign w:val="center"/>
          </w:tcPr>
          <w:p w14:paraId="0011F15D">
            <w:pPr>
              <w:pStyle w:val="28"/>
              <w:bidi w:val="0"/>
            </w:pPr>
            <w:r>
              <w:t>三级</w:t>
            </w:r>
          </w:p>
        </w:tc>
        <w:tc>
          <w:tcPr>
            <w:tcW w:w="654" w:type="pct"/>
            <w:shd w:val="clear" w:color="auto" w:fill="auto"/>
            <w:vAlign w:val="center"/>
          </w:tcPr>
          <w:p w14:paraId="492B7395">
            <w:pPr>
              <w:pStyle w:val="28"/>
              <w:bidi w:val="0"/>
            </w:pPr>
            <w:r>
              <w:rPr>
                <w:rFonts w:hint="eastAsia"/>
              </w:rPr>
              <w:t>不涉及</w:t>
            </w:r>
          </w:p>
        </w:tc>
        <w:tc>
          <w:tcPr>
            <w:tcW w:w="1569" w:type="pct"/>
            <w:shd w:val="clear" w:color="auto" w:fill="auto"/>
            <w:vAlign w:val="center"/>
          </w:tcPr>
          <w:p w14:paraId="5C7646E8">
            <w:pPr>
              <w:pStyle w:val="28"/>
              <w:bidi w:val="0"/>
            </w:pPr>
            <w:r>
              <w:rPr>
                <w:rFonts w:hint="eastAsia"/>
              </w:rPr>
              <w:t>无</w:t>
            </w:r>
          </w:p>
        </w:tc>
        <w:tc>
          <w:tcPr>
            <w:tcW w:w="506" w:type="pct"/>
            <w:shd w:val="clear" w:color="auto" w:fill="auto"/>
            <w:vAlign w:val="center"/>
          </w:tcPr>
          <w:p w14:paraId="669EF563">
            <w:pPr>
              <w:pStyle w:val="28"/>
              <w:bidi w:val="0"/>
            </w:pPr>
            <w:r>
              <w:rPr>
                <w:rFonts w:hint="eastAsia"/>
              </w:rPr>
              <w:t>三级</w:t>
            </w:r>
          </w:p>
        </w:tc>
      </w:tr>
      <w:tr w14:paraId="7B404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6EE15EE9">
            <w:pPr>
              <w:pStyle w:val="28"/>
              <w:bidi w:val="0"/>
            </w:pPr>
            <w:r>
              <w:rPr>
                <w:rFonts w:hint="eastAsia"/>
              </w:rPr>
              <w:t>11</w:t>
            </w:r>
          </w:p>
        </w:tc>
        <w:tc>
          <w:tcPr>
            <w:tcW w:w="1251" w:type="pct"/>
            <w:shd w:val="clear" w:color="auto" w:fill="auto"/>
            <w:vAlign w:val="center"/>
          </w:tcPr>
          <w:p w14:paraId="5662BC2A">
            <w:pPr>
              <w:pStyle w:val="28"/>
              <w:bidi w:val="0"/>
            </w:pPr>
            <w:r>
              <w:rPr>
                <w:rFonts w:hint="eastAsia"/>
              </w:rPr>
              <w:t>染坊支渠</w:t>
            </w:r>
          </w:p>
        </w:tc>
        <w:tc>
          <w:tcPr>
            <w:tcW w:w="654" w:type="pct"/>
            <w:shd w:val="clear" w:color="auto" w:fill="auto"/>
            <w:vAlign w:val="center"/>
          </w:tcPr>
          <w:p w14:paraId="23407392">
            <w:pPr>
              <w:pStyle w:val="28"/>
              <w:bidi w:val="0"/>
            </w:pPr>
            <w:r>
              <w:t>三级</w:t>
            </w:r>
          </w:p>
        </w:tc>
        <w:tc>
          <w:tcPr>
            <w:tcW w:w="654" w:type="pct"/>
            <w:shd w:val="clear" w:color="auto" w:fill="auto"/>
            <w:vAlign w:val="center"/>
          </w:tcPr>
          <w:p w14:paraId="54D6F670">
            <w:pPr>
              <w:pStyle w:val="28"/>
              <w:bidi w:val="0"/>
            </w:pPr>
            <w:r>
              <w:rPr>
                <w:rFonts w:hint="eastAsia"/>
              </w:rPr>
              <w:t>不涉及</w:t>
            </w:r>
          </w:p>
        </w:tc>
        <w:tc>
          <w:tcPr>
            <w:tcW w:w="1569" w:type="pct"/>
            <w:shd w:val="clear" w:color="auto" w:fill="auto"/>
            <w:vAlign w:val="center"/>
          </w:tcPr>
          <w:p w14:paraId="470A489B">
            <w:pPr>
              <w:pStyle w:val="28"/>
              <w:bidi w:val="0"/>
            </w:pPr>
            <w:r>
              <w:rPr>
                <w:rFonts w:hint="eastAsia"/>
              </w:rPr>
              <w:t>无</w:t>
            </w:r>
          </w:p>
        </w:tc>
        <w:tc>
          <w:tcPr>
            <w:tcW w:w="506" w:type="pct"/>
            <w:shd w:val="clear" w:color="auto" w:fill="auto"/>
            <w:vAlign w:val="center"/>
          </w:tcPr>
          <w:p w14:paraId="466AF07C">
            <w:pPr>
              <w:pStyle w:val="28"/>
              <w:bidi w:val="0"/>
            </w:pPr>
            <w:r>
              <w:rPr>
                <w:rFonts w:hint="eastAsia"/>
              </w:rPr>
              <w:t>三级</w:t>
            </w:r>
          </w:p>
        </w:tc>
      </w:tr>
      <w:tr w14:paraId="082159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1E0E2E20">
            <w:pPr>
              <w:pStyle w:val="28"/>
              <w:bidi w:val="0"/>
            </w:pPr>
            <w:r>
              <w:rPr>
                <w:rFonts w:hint="eastAsia"/>
              </w:rPr>
              <w:t>12</w:t>
            </w:r>
          </w:p>
        </w:tc>
        <w:tc>
          <w:tcPr>
            <w:tcW w:w="1251" w:type="pct"/>
            <w:shd w:val="clear" w:color="auto" w:fill="auto"/>
            <w:vAlign w:val="center"/>
          </w:tcPr>
          <w:p w14:paraId="6D9A128C">
            <w:pPr>
              <w:pStyle w:val="28"/>
              <w:bidi w:val="0"/>
            </w:pPr>
            <w:r>
              <w:rPr>
                <w:rFonts w:hint="eastAsia"/>
              </w:rPr>
              <w:t>一北干渠</w:t>
            </w:r>
          </w:p>
        </w:tc>
        <w:tc>
          <w:tcPr>
            <w:tcW w:w="654" w:type="pct"/>
            <w:shd w:val="clear" w:color="auto" w:fill="auto"/>
            <w:vAlign w:val="center"/>
          </w:tcPr>
          <w:p w14:paraId="2BE613A3">
            <w:pPr>
              <w:pStyle w:val="28"/>
              <w:bidi w:val="0"/>
            </w:pPr>
            <w:r>
              <w:t>三级</w:t>
            </w:r>
          </w:p>
        </w:tc>
        <w:tc>
          <w:tcPr>
            <w:tcW w:w="654" w:type="pct"/>
            <w:shd w:val="clear" w:color="auto" w:fill="auto"/>
            <w:vAlign w:val="center"/>
          </w:tcPr>
          <w:p w14:paraId="78BF40BD">
            <w:pPr>
              <w:pStyle w:val="28"/>
              <w:bidi w:val="0"/>
            </w:pPr>
            <w:r>
              <w:rPr>
                <w:rFonts w:hint="eastAsia"/>
              </w:rPr>
              <w:t>不涉及</w:t>
            </w:r>
          </w:p>
        </w:tc>
        <w:tc>
          <w:tcPr>
            <w:tcW w:w="1569" w:type="pct"/>
            <w:shd w:val="clear" w:color="auto" w:fill="auto"/>
            <w:vAlign w:val="center"/>
          </w:tcPr>
          <w:p w14:paraId="3AF6C164">
            <w:pPr>
              <w:pStyle w:val="28"/>
              <w:bidi w:val="0"/>
            </w:pPr>
            <w:r>
              <w:rPr>
                <w:rFonts w:hint="eastAsia"/>
              </w:rPr>
              <w:t>无</w:t>
            </w:r>
          </w:p>
        </w:tc>
        <w:tc>
          <w:tcPr>
            <w:tcW w:w="506" w:type="pct"/>
            <w:shd w:val="clear" w:color="auto" w:fill="auto"/>
            <w:vAlign w:val="center"/>
          </w:tcPr>
          <w:p w14:paraId="785B47C6">
            <w:pPr>
              <w:pStyle w:val="28"/>
              <w:bidi w:val="0"/>
            </w:pPr>
            <w:r>
              <w:rPr>
                <w:rFonts w:hint="eastAsia"/>
              </w:rPr>
              <w:t>三级</w:t>
            </w:r>
          </w:p>
        </w:tc>
      </w:tr>
      <w:tr w14:paraId="598A73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374FEEF7">
            <w:pPr>
              <w:pStyle w:val="28"/>
              <w:bidi w:val="0"/>
            </w:pPr>
            <w:r>
              <w:rPr>
                <w:rFonts w:hint="eastAsia"/>
              </w:rPr>
              <w:t>13</w:t>
            </w:r>
          </w:p>
        </w:tc>
        <w:tc>
          <w:tcPr>
            <w:tcW w:w="1251" w:type="pct"/>
            <w:shd w:val="clear" w:color="auto" w:fill="auto"/>
            <w:vAlign w:val="center"/>
          </w:tcPr>
          <w:p w14:paraId="33CD203D">
            <w:pPr>
              <w:pStyle w:val="28"/>
              <w:bidi w:val="0"/>
            </w:pPr>
            <w:r>
              <w:rPr>
                <w:rFonts w:hint="eastAsia"/>
              </w:rPr>
              <w:t>双庙支渠</w:t>
            </w:r>
          </w:p>
        </w:tc>
        <w:tc>
          <w:tcPr>
            <w:tcW w:w="654" w:type="pct"/>
            <w:shd w:val="clear" w:color="auto" w:fill="auto"/>
            <w:vAlign w:val="center"/>
          </w:tcPr>
          <w:p w14:paraId="4AFC5C3D">
            <w:pPr>
              <w:pStyle w:val="28"/>
              <w:bidi w:val="0"/>
            </w:pPr>
            <w:r>
              <w:t>三级</w:t>
            </w:r>
          </w:p>
        </w:tc>
        <w:tc>
          <w:tcPr>
            <w:tcW w:w="654" w:type="pct"/>
            <w:shd w:val="clear" w:color="auto" w:fill="auto"/>
            <w:vAlign w:val="center"/>
          </w:tcPr>
          <w:p w14:paraId="5F9C04BE">
            <w:pPr>
              <w:pStyle w:val="28"/>
              <w:bidi w:val="0"/>
            </w:pPr>
            <w:r>
              <w:rPr>
                <w:rFonts w:hint="eastAsia"/>
              </w:rPr>
              <w:t>不涉及</w:t>
            </w:r>
          </w:p>
        </w:tc>
        <w:tc>
          <w:tcPr>
            <w:tcW w:w="1569" w:type="pct"/>
            <w:shd w:val="clear" w:color="auto" w:fill="auto"/>
            <w:vAlign w:val="center"/>
          </w:tcPr>
          <w:p w14:paraId="51214515">
            <w:pPr>
              <w:pStyle w:val="28"/>
              <w:bidi w:val="0"/>
            </w:pPr>
            <w:r>
              <w:rPr>
                <w:rFonts w:hint="eastAsia"/>
              </w:rPr>
              <w:t>无</w:t>
            </w:r>
          </w:p>
        </w:tc>
        <w:tc>
          <w:tcPr>
            <w:tcW w:w="506" w:type="pct"/>
            <w:shd w:val="clear" w:color="auto" w:fill="auto"/>
            <w:vAlign w:val="center"/>
          </w:tcPr>
          <w:p w14:paraId="50B41E20">
            <w:pPr>
              <w:pStyle w:val="28"/>
              <w:bidi w:val="0"/>
            </w:pPr>
            <w:r>
              <w:rPr>
                <w:rFonts w:hint="eastAsia"/>
              </w:rPr>
              <w:t>三级</w:t>
            </w:r>
          </w:p>
        </w:tc>
      </w:tr>
      <w:tr w14:paraId="6B429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590EC069">
            <w:pPr>
              <w:pStyle w:val="28"/>
              <w:bidi w:val="0"/>
            </w:pPr>
            <w:r>
              <w:rPr>
                <w:rFonts w:hint="eastAsia"/>
              </w:rPr>
              <w:t>14</w:t>
            </w:r>
          </w:p>
        </w:tc>
        <w:tc>
          <w:tcPr>
            <w:tcW w:w="1251" w:type="pct"/>
            <w:shd w:val="clear" w:color="auto" w:fill="auto"/>
            <w:vAlign w:val="center"/>
          </w:tcPr>
          <w:p w14:paraId="6DAB864A">
            <w:pPr>
              <w:pStyle w:val="28"/>
              <w:bidi w:val="0"/>
            </w:pPr>
            <w:r>
              <w:rPr>
                <w:rFonts w:hint="eastAsia"/>
              </w:rPr>
              <w:t>方庄支渠</w:t>
            </w:r>
          </w:p>
        </w:tc>
        <w:tc>
          <w:tcPr>
            <w:tcW w:w="654" w:type="pct"/>
            <w:shd w:val="clear" w:color="auto" w:fill="auto"/>
            <w:vAlign w:val="center"/>
          </w:tcPr>
          <w:p w14:paraId="07120375">
            <w:pPr>
              <w:pStyle w:val="28"/>
              <w:bidi w:val="0"/>
            </w:pPr>
            <w:r>
              <w:t>三级</w:t>
            </w:r>
          </w:p>
        </w:tc>
        <w:tc>
          <w:tcPr>
            <w:tcW w:w="654" w:type="pct"/>
            <w:shd w:val="clear" w:color="auto" w:fill="auto"/>
            <w:vAlign w:val="center"/>
          </w:tcPr>
          <w:p w14:paraId="55982672">
            <w:pPr>
              <w:pStyle w:val="28"/>
              <w:bidi w:val="0"/>
            </w:pPr>
            <w:r>
              <w:rPr>
                <w:rFonts w:hint="eastAsia"/>
              </w:rPr>
              <w:t>不涉及</w:t>
            </w:r>
          </w:p>
        </w:tc>
        <w:tc>
          <w:tcPr>
            <w:tcW w:w="1569" w:type="pct"/>
            <w:shd w:val="clear" w:color="auto" w:fill="auto"/>
            <w:vAlign w:val="center"/>
          </w:tcPr>
          <w:p w14:paraId="4265DB2D">
            <w:pPr>
              <w:pStyle w:val="28"/>
              <w:bidi w:val="0"/>
            </w:pPr>
            <w:r>
              <w:rPr>
                <w:rFonts w:hint="eastAsia"/>
              </w:rPr>
              <w:t>无</w:t>
            </w:r>
          </w:p>
        </w:tc>
        <w:tc>
          <w:tcPr>
            <w:tcW w:w="506" w:type="pct"/>
            <w:shd w:val="clear" w:color="auto" w:fill="auto"/>
            <w:vAlign w:val="center"/>
          </w:tcPr>
          <w:p w14:paraId="6019555D">
            <w:pPr>
              <w:pStyle w:val="28"/>
              <w:bidi w:val="0"/>
            </w:pPr>
            <w:r>
              <w:rPr>
                <w:rFonts w:hint="eastAsia"/>
              </w:rPr>
              <w:t>三级</w:t>
            </w:r>
          </w:p>
        </w:tc>
      </w:tr>
      <w:tr w14:paraId="26E7B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4BA7D45E">
            <w:pPr>
              <w:pStyle w:val="28"/>
              <w:bidi w:val="0"/>
            </w:pPr>
            <w:r>
              <w:rPr>
                <w:rFonts w:hint="eastAsia"/>
              </w:rPr>
              <w:t>15</w:t>
            </w:r>
          </w:p>
        </w:tc>
        <w:tc>
          <w:tcPr>
            <w:tcW w:w="1251" w:type="pct"/>
            <w:shd w:val="clear" w:color="auto" w:fill="auto"/>
            <w:vAlign w:val="center"/>
          </w:tcPr>
          <w:p w14:paraId="2253175D">
            <w:pPr>
              <w:pStyle w:val="28"/>
              <w:bidi w:val="0"/>
            </w:pPr>
            <w:r>
              <w:rPr>
                <w:rFonts w:hint="eastAsia"/>
              </w:rPr>
              <w:t>朱集一站管理区建设及绿化工程</w:t>
            </w:r>
          </w:p>
        </w:tc>
        <w:tc>
          <w:tcPr>
            <w:tcW w:w="654" w:type="pct"/>
            <w:shd w:val="clear" w:color="auto" w:fill="auto"/>
            <w:vAlign w:val="center"/>
          </w:tcPr>
          <w:p w14:paraId="4F4720FA">
            <w:pPr>
              <w:pStyle w:val="28"/>
              <w:bidi w:val="0"/>
            </w:pPr>
            <w:r>
              <w:rPr>
                <w:rFonts w:hint="eastAsia"/>
              </w:rPr>
              <w:t>三</w:t>
            </w:r>
            <w:r>
              <w:t>级</w:t>
            </w:r>
          </w:p>
        </w:tc>
        <w:tc>
          <w:tcPr>
            <w:tcW w:w="654" w:type="pct"/>
            <w:shd w:val="clear" w:color="auto" w:fill="auto"/>
            <w:vAlign w:val="center"/>
          </w:tcPr>
          <w:p w14:paraId="7930F0F5">
            <w:pPr>
              <w:pStyle w:val="28"/>
              <w:bidi w:val="0"/>
            </w:pPr>
            <w:r>
              <w:rPr>
                <w:rFonts w:hint="eastAsia"/>
              </w:rPr>
              <w:t>不涉及</w:t>
            </w:r>
          </w:p>
        </w:tc>
        <w:tc>
          <w:tcPr>
            <w:tcW w:w="1569" w:type="pct"/>
            <w:shd w:val="clear" w:color="auto" w:fill="auto"/>
            <w:vAlign w:val="center"/>
          </w:tcPr>
          <w:p w14:paraId="0B51ACD6">
            <w:pPr>
              <w:pStyle w:val="28"/>
              <w:bidi w:val="0"/>
            </w:pPr>
            <w:r>
              <w:rPr>
                <w:rFonts w:hint="eastAsia"/>
              </w:rPr>
              <w:t>无</w:t>
            </w:r>
          </w:p>
        </w:tc>
        <w:tc>
          <w:tcPr>
            <w:tcW w:w="506" w:type="pct"/>
            <w:shd w:val="clear" w:color="auto" w:fill="auto"/>
            <w:vAlign w:val="center"/>
          </w:tcPr>
          <w:p w14:paraId="60F7A00C">
            <w:pPr>
              <w:pStyle w:val="28"/>
              <w:bidi w:val="0"/>
            </w:pPr>
            <w:r>
              <w:rPr>
                <w:rFonts w:hint="eastAsia"/>
              </w:rPr>
              <w:t>三级</w:t>
            </w:r>
          </w:p>
        </w:tc>
      </w:tr>
      <w:tr w14:paraId="023D6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44AF4422">
            <w:pPr>
              <w:pStyle w:val="28"/>
              <w:bidi w:val="0"/>
            </w:pPr>
            <w:r>
              <w:rPr>
                <w:rFonts w:hint="eastAsia"/>
              </w:rPr>
              <w:t>16</w:t>
            </w:r>
          </w:p>
        </w:tc>
        <w:tc>
          <w:tcPr>
            <w:tcW w:w="1251" w:type="pct"/>
            <w:shd w:val="clear" w:color="auto" w:fill="auto"/>
            <w:vAlign w:val="center"/>
          </w:tcPr>
          <w:p w14:paraId="07BBF0E0">
            <w:pPr>
              <w:pStyle w:val="28"/>
              <w:bidi w:val="0"/>
            </w:pPr>
            <w:r>
              <w:rPr>
                <w:rFonts w:hint="eastAsia"/>
              </w:rPr>
              <w:t>朱集二站管理区建设、朱集管理所管理区建设及绿化工程</w:t>
            </w:r>
          </w:p>
        </w:tc>
        <w:tc>
          <w:tcPr>
            <w:tcW w:w="654" w:type="pct"/>
            <w:shd w:val="clear" w:color="auto" w:fill="auto"/>
            <w:vAlign w:val="center"/>
          </w:tcPr>
          <w:p w14:paraId="4EE261B6">
            <w:pPr>
              <w:pStyle w:val="28"/>
              <w:bidi w:val="0"/>
            </w:pPr>
            <w:r>
              <w:t>三级</w:t>
            </w:r>
          </w:p>
        </w:tc>
        <w:tc>
          <w:tcPr>
            <w:tcW w:w="654" w:type="pct"/>
            <w:shd w:val="clear" w:color="auto" w:fill="auto"/>
            <w:vAlign w:val="center"/>
          </w:tcPr>
          <w:p w14:paraId="3E3B7BBF">
            <w:pPr>
              <w:pStyle w:val="28"/>
              <w:bidi w:val="0"/>
            </w:pPr>
            <w:r>
              <w:rPr>
                <w:rFonts w:hint="eastAsia"/>
              </w:rPr>
              <w:t>不涉及</w:t>
            </w:r>
          </w:p>
        </w:tc>
        <w:tc>
          <w:tcPr>
            <w:tcW w:w="1569" w:type="pct"/>
            <w:shd w:val="clear" w:color="auto" w:fill="auto"/>
            <w:vAlign w:val="center"/>
          </w:tcPr>
          <w:p w14:paraId="1953023F">
            <w:pPr>
              <w:pStyle w:val="28"/>
              <w:bidi w:val="0"/>
            </w:pPr>
            <w:r>
              <w:rPr>
                <w:rFonts w:hint="eastAsia"/>
              </w:rPr>
              <w:t>无</w:t>
            </w:r>
          </w:p>
        </w:tc>
        <w:tc>
          <w:tcPr>
            <w:tcW w:w="506" w:type="pct"/>
            <w:shd w:val="clear" w:color="auto" w:fill="auto"/>
            <w:vAlign w:val="center"/>
          </w:tcPr>
          <w:p w14:paraId="254A7048">
            <w:pPr>
              <w:pStyle w:val="28"/>
              <w:bidi w:val="0"/>
            </w:pPr>
            <w:r>
              <w:rPr>
                <w:rFonts w:hint="eastAsia"/>
              </w:rPr>
              <w:t>三级</w:t>
            </w:r>
          </w:p>
        </w:tc>
      </w:tr>
      <w:tr w14:paraId="4E0F35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4" w:type="pct"/>
            <w:shd w:val="clear" w:color="auto" w:fill="auto"/>
            <w:vAlign w:val="center"/>
          </w:tcPr>
          <w:p w14:paraId="52620CFE">
            <w:pPr>
              <w:pStyle w:val="28"/>
              <w:bidi w:val="0"/>
            </w:pPr>
            <w:r>
              <w:rPr>
                <w:rFonts w:hint="eastAsia"/>
              </w:rPr>
              <w:t>17</w:t>
            </w:r>
          </w:p>
        </w:tc>
        <w:tc>
          <w:tcPr>
            <w:tcW w:w="1251" w:type="pct"/>
            <w:shd w:val="clear" w:color="auto" w:fill="auto"/>
            <w:vAlign w:val="center"/>
          </w:tcPr>
          <w:p w14:paraId="1FED21B5">
            <w:pPr>
              <w:pStyle w:val="28"/>
              <w:bidi w:val="0"/>
            </w:pPr>
            <w:r>
              <w:rPr>
                <w:rFonts w:hint="eastAsia"/>
              </w:rPr>
              <w:t>杨公三站管理区建设及绿化工程</w:t>
            </w:r>
          </w:p>
        </w:tc>
        <w:tc>
          <w:tcPr>
            <w:tcW w:w="654" w:type="pct"/>
            <w:shd w:val="clear" w:color="auto" w:fill="auto"/>
            <w:vAlign w:val="center"/>
          </w:tcPr>
          <w:p w14:paraId="47CE552E">
            <w:pPr>
              <w:pStyle w:val="28"/>
              <w:bidi w:val="0"/>
            </w:pPr>
            <w:r>
              <w:t>三级</w:t>
            </w:r>
          </w:p>
        </w:tc>
        <w:tc>
          <w:tcPr>
            <w:tcW w:w="654" w:type="pct"/>
            <w:shd w:val="clear" w:color="auto" w:fill="auto"/>
            <w:vAlign w:val="center"/>
          </w:tcPr>
          <w:p w14:paraId="3A30F41F">
            <w:pPr>
              <w:pStyle w:val="28"/>
              <w:bidi w:val="0"/>
            </w:pPr>
            <w:r>
              <w:rPr>
                <w:rFonts w:hint="eastAsia"/>
              </w:rPr>
              <w:t>不涉及</w:t>
            </w:r>
          </w:p>
        </w:tc>
        <w:tc>
          <w:tcPr>
            <w:tcW w:w="1569" w:type="pct"/>
            <w:shd w:val="clear" w:color="auto" w:fill="auto"/>
            <w:vAlign w:val="center"/>
          </w:tcPr>
          <w:p w14:paraId="07C3B9A4">
            <w:pPr>
              <w:pStyle w:val="28"/>
              <w:bidi w:val="0"/>
            </w:pPr>
            <w:r>
              <w:rPr>
                <w:rFonts w:hint="eastAsia"/>
              </w:rPr>
              <w:t>无</w:t>
            </w:r>
          </w:p>
        </w:tc>
        <w:tc>
          <w:tcPr>
            <w:tcW w:w="506" w:type="pct"/>
            <w:shd w:val="clear" w:color="auto" w:fill="auto"/>
            <w:vAlign w:val="center"/>
          </w:tcPr>
          <w:p w14:paraId="7FCBCBF5">
            <w:pPr>
              <w:pStyle w:val="28"/>
              <w:bidi w:val="0"/>
            </w:pPr>
            <w:r>
              <w:rPr>
                <w:rFonts w:hint="eastAsia"/>
              </w:rPr>
              <w:t>三级</w:t>
            </w:r>
          </w:p>
        </w:tc>
      </w:tr>
      <w:tr w14:paraId="7DDD4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364" w:type="pct"/>
            <w:shd w:val="clear" w:color="auto" w:fill="auto"/>
            <w:vAlign w:val="center"/>
          </w:tcPr>
          <w:p w14:paraId="578138F3">
            <w:pPr>
              <w:pStyle w:val="28"/>
              <w:bidi w:val="0"/>
            </w:pPr>
            <w:r>
              <w:rPr>
                <w:rFonts w:hint="eastAsia"/>
              </w:rPr>
              <w:t>18</w:t>
            </w:r>
          </w:p>
        </w:tc>
        <w:tc>
          <w:tcPr>
            <w:tcW w:w="1251" w:type="pct"/>
            <w:shd w:val="clear" w:color="auto" w:fill="auto"/>
            <w:vAlign w:val="center"/>
          </w:tcPr>
          <w:p w14:paraId="3A74640C">
            <w:pPr>
              <w:pStyle w:val="28"/>
              <w:bidi w:val="0"/>
            </w:pPr>
            <w:r>
              <w:rPr>
                <w:rFonts w:hint="eastAsia"/>
              </w:rPr>
              <w:t>原朱集管理站屋面改造工程</w:t>
            </w:r>
          </w:p>
        </w:tc>
        <w:tc>
          <w:tcPr>
            <w:tcW w:w="654" w:type="pct"/>
            <w:shd w:val="clear" w:color="auto" w:fill="auto"/>
            <w:vAlign w:val="center"/>
          </w:tcPr>
          <w:p w14:paraId="1B4F03A0">
            <w:pPr>
              <w:pStyle w:val="28"/>
              <w:bidi w:val="0"/>
            </w:pPr>
            <w:r>
              <w:t>三级</w:t>
            </w:r>
          </w:p>
        </w:tc>
        <w:tc>
          <w:tcPr>
            <w:tcW w:w="654" w:type="pct"/>
            <w:shd w:val="clear" w:color="auto" w:fill="auto"/>
            <w:vAlign w:val="center"/>
          </w:tcPr>
          <w:p w14:paraId="4E16A67C">
            <w:pPr>
              <w:pStyle w:val="28"/>
              <w:bidi w:val="0"/>
            </w:pPr>
            <w:r>
              <w:rPr>
                <w:rFonts w:hint="eastAsia"/>
              </w:rPr>
              <w:t>不涉及</w:t>
            </w:r>
          </w:p>
        </w:tc>
        <w:tc>
          <w:tcPr>
            <w:tcW w:w="1569" w:type="pct"/>
            <w:shd w:val="clear" w:color="auto" w:fill="auto"/>
            <w:vAlign w:val="center"/>
          </w:tcPr>
          <w:p w14:paraId="1A4B9B3E">
            <w:pPr>
              <w:pStyle w:val="28"/>
              <w:bidi w:val="0"/>
            </w:pPr>
            <w:r>
              <w:rPr>
                <w:rFonts w:hint="eastAsia"/>
              </w:rPr>
              <w:t>无</w:t>
            </w:r>
          </w:p>
        </w:tc>
        <w:tc>
          <w:tcPr>
            <w:tcW w:w="506" w:type="pct"/>
            <w:shd w:val="clear" w:color="auto" w:fill="auto"/>
            <w:vAlign w:val="center"/>
          </w:tcPr>
          <w:p w14:paraId="10F6AC5D">
            <w:pPr>
              <w:pStyle w:val="28"/>
              <w:bidi w:val="0"/>
            </w:pPr>
            <w:r>
              <w:rPr>
                <w:rFonts w:hint="eastAsia"/>
              </w:rPr>
              <w:t>三级</w:t>
            </w:r>
          </w:p>
        </w:tc>
      </w:tr>
    </w:tbl>
    <w:p w14:paraId="227373E6">
      <w:pPr>
        <w:spacing w:line="240" w:lineRule="auto"/>
        <w:rPr>
          <w:color w:val="0000FF"/>
        </w:rPr>
      </w:pPr>
    </w:p>
    <w:p w14:paraId="752C6873">
      <w:pPr>
        <w:pStyle w:val="5"/>
        <w:rPr>
          <w:rFonts w:cs="Times New Roman"/>
        </w:rPr>
      </w:pPr>
      <w:r>
        <w:rPr>
          <w:rFonts w:cs="Times New Roman"/>
        </w:rPr>
        <w:t>1.4.1.6 环境风险评价等级</w:t>
      </w:r>
    </w:p>
    <w:p w14:paraId="4A057E90">
      <w:pPr>
        <w:bidi w:val="0"/>
      </w:pPr>
      <w:r>
        <w:t>《建设项目环境风险评价技术导则》（HJ169-2018）给出的评价工作等级确定原则见下表。</w:t>
      </w:r>
    </w:p>
    <w:p w14:paraId="324AEE80">
      <w:pPr>
        <w:pStyle w:val="29"/>
        <w:bidi w:val="0"/>
      </w:pPr>
      <w:r>
        <w:t>表1</w:t>
      </w:r>
      <w:r>
        <w:rPr>
          <w:rFonts w:hint="eastAsia"/>
          <w:lang w:val="en-US" w:eastAsia="zh-CN"/>
        </w:rPr>
        <w:t>.</w:t>
      </w:r>
      <w:r>
        <w:t>4-</w:t>
      </w:r>
      <w:r>
        <w:rPr>
          <w:rFonts w:hint="eastAsia"/>
          <w:lang w:val="en-US" w:eastAsia="zh-CN"/>
        </w:rPr>
        <w:t>7</w:t>
      </w:r>
      <w:r>
        <w:t xml:space="preserve">  评价工作等级划分</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366"/>
        <w:gridCol w:w="1509"/>
        <w:gridCol w:w="1667"/>
        <w:gridCol w:w="1665"/>
        <w:gridCol w:w="1870"/>
      </w:tblGrid>
      <w:tr w14:paraId="121AB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304" w:type="pct"/>
            <w:vAlign w:val="center"/>
          </w:tcPr>
          <w:p w14:paraId="03957A63">
            <w:pPr>
              <w:pStyle w:val="28"/>
              <w:bidi w:val="0"/>
            </w:pPr>
            <w:r>
              <w:t>环境风险潜势</w:t>
            </w:r>
          </w:p>
        </w:tc>
        <w:tc>
          <w:tcPr>
            <w:tcW w:w="831" w:type="pct"/>
            <w:vAlign w:val="center"/>
          </w:tcPr>
          <w:p w14:paraId="5AF472A5">
            <w:pPr>
              <w:pStyle w:val="28"/>
              <w:bidi w:val="0"/>
            </w:pPr>
            <w:r>
              <w:t>IV、IV+</w:t>
            </w:r>
          </w:p>
        </w:tc>
        <w:tc>
          <w:tcPr>
            <w:tcW w:w="918" w:type="pct"/>
            <w:vAlign w:val="center"/>
          </w:tcPr>
          <w:p w14:paraId="1DE01941">
            <w:pPr>
              <w:pStyle w:val="28"/>
              <w:bidi w:val="0"/>
            </w:pPr>
            <w:r>
              <w:t>III</w:t>
            </w:r>
          </w:p>
        </w:tc>
        <w:tc>
          <w:tcPr>
            <w:tcW w:w="917" w:type="pct"/>
            <w:vAlign w:val="center"/>
          </w:tcPr>
          <w:p w14:paraId="275F3901">
            <w:pPr>
              <w:pStyle w:val="28"/>
              <w:bidi w:val="0"/>
            </w:pPr>
            <w:r>
              <w:t>II</w:t>
            </w:r>
          </w:p>
        </w:tc>
        <w:tc>
          <w:tcPr>
            <w:tcW w:w="1028" w:type="pct"/>
            <w:vAlign w:val="center"/>
          </w:tcPr>
          <w:p w14:paraId="14BC51A7">
            <w:pPr>
              <w:pStyle w:val="28"/>
              <w:bidi w:val="0"/>
            </w:pPr>
            <w:r>
              <w:t>I</w:t>
            </w:r>
          </w:p>
        </w:tc>
      </w:tr>
      <w:tr w14:paraId="100A1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1304" w:type="pct"/>
            <w:vAlign w:val="center"/>
          </w:tcPr>
          <w:p w14:paraId="6ED88062">
            <w:pPr>
              <w:pStyle w:val="28"/>
              <w:bidi w:val="0"/>
            </w:pPr>
            <w:r>
              <w:t>评价工作等级</w:t>
            </w:r>
          </w:p>
        </w:tc>
        <w:tc>
          <w:tcPr>
            <w:tcW w:w="831" w:type="pct"/>
            <w:vAlign w:val="center"/>
          </w:tcPr>
          <w:p w14:paraId="2195AF77">
            <w:pPr>
              <w:pStyle w:val="28"/>
              <w:bidi w:val="0"/>
            </w:pPr>
            <w:r>
              <w:t>一</w:t>
            </w:r>
          </w:p>
        </w:tc>
        <w:tc>
          <w:tcPr>
            <w:tcW w:w="918" w:type="pct"/>
            <w:vAlign w:val="center"/>
          </w:tcPr>
          <w:p w14:paraId="1E19AF94">
            <w:pPr>
              <w:pStyle w:val="28"/>
              <w:bidi w:val="0"/>
            </w:pPr>
            <w:r>
              <w:t>二</w:t>
            </w:r>
          </w:p>
        </w:tc>
        <w:tc>
          <w:tcPr>
            <w:tcW w:w="917" w:type="pct"/>
            <w:vAlign w:val="center"/>
          </w:tcPr>
          <w:p w14:paraId="40CC6D8B">
            <w:pPr>
              <w:pStyle w:val="28"/>
              <w:bidi w:val="0"/>
            </w:pPr>
            <w:r>
              <w:t>三</w:t>
            </w:r>
          </w:p>
        </w:tc>
        <w:tc>
          <w:tcPr>
            <w:tcW w:w="1028" w:type="pct"/>
            <w:vAlign w:val="center"/>
          </w:tcPr>
          <w:p w14:paraId="643C8C25">
            <w:pPr>
              <w:pStyle w:val="28"/>
              <w:bidi w:val="0"/>
            </w:pPr>
            <w:r>
              <w:t>简单分析a</w:t>
            </w:r>
          </w:p>
        </w:tc>
      </w:tr>
      <w:tr w14:paraId="02B1A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5000" w:type="pct"/>
            <w:gridSpan w:val="5"/>
            <w:vAlign w:val="center"/>
          </w:tcPr>
          <w:p w14:paraId="361B5581">
            <w:pPr>
              <w:pStyle w:val="28"/>
              <w:bidi w:val="0"/>
            </w:pPr>
            <w:r>
              <w:t>a 是相对于详细评价工作内容而言，在描述危险物质、环境影响途径、环境危害后果、风险防范措施等方面给出定性的说明。见附录A</w:t>
            </w:r>
          </w:p>
        </w:tc>
      </w:tr>
    </w:tbl>
    <w:p w14:paraId="64A542D4">
      <w:pPr>
        <w:bidi w:val="0"/>
      </w:pPr>
      <w:r>
        <w:t>根据计算结果，</w:t>
      </w:r>
      <w:r>
        <w:rPr>
          <w:color w:val="0000FF"/>
        </w:rPr>
        <w:t>施工现场危险物质总量与其临界值的比值Q为0.00</w:t>
      </w:r>
      <w:r>
        <w:rPr>
          <w:rFonts w:hint="eastAsia"/>
          <w:color w:val="0000FF"/>
        </w:rPr>
        <w:t>239</w:t>
      </w:r>
      <w:r>
        <w:rPr>
          <w:color w:val="0000FF"/>
        </w:rPr>
        <w:t>＜1，</w:t>
      </w:r>
      <w:r>
        <w:t>该项目风险潜势为Ⅰ，可不考虑环境敏感性，仅开展简单分析。</w:t>
      </w:r>
    </w:p>
    <w:p w14:paraId="193BAC07">
      <w:pPr>
        <w:bidi w:val="0"/>
      </w:pPr>
      <w:r>
        <w:rPr>
          <w:rFonts w:hint="eastAsia"/>
        </w:rPr>
        <w:t>本次评价根据</w:t>
      </w:r>
      <w:r>
        <w:t>HJ169-2018进行相关风险评价</w:t>
      </w:r>
      <w:r>
        <w:rPr>
          <w:rFonts w:hint="eastAsia"/>
        </w:rPr>
        <w:t>，</w:t>
      </w:r>
      <w:r>
        <w:t>为了更加全面的评价本项目的环境风险，按照三级评价的相关要求，进行环境风险评价。</w:t>
      </w:r>
    </w:p>
    <w:p w14:paraId="64DFC231">
      <w:pPr>
        <w:pStyle w:val="5"/>
        <w:bidi w:val="0"/>
      </w:pPr>
      <w:r>
        <w:t>1.4.1.7 土壤评价等级</w:t>
      </w:r>
    </w:p>
    <w:p w14:paraId="08A68D6D">
      <w:pPr>
        <w:bidi w:val="0"/>
      </w:pPr>
      <w:r>
        <w:t xml:space="preserve">根据《环境影响评价技术导则 </w:t>
      </w:r>
      <w:r>
        <w:rPr>
          <w:rFonts w:hint="eastAsia"/>
          <w:lang w:val="en-US" w:eastAsia="zh-CN"/>
        </w:rPr>
        <w:t xml:space="preserve"> </w:t>
      </w:r>
      <w:r>
        <w:t>土壤环境（试行）》（HJ964-2018），本项目为灌区续建配套与节水改造工程，属于附录A</w:t>
      </w:r>
      <w:r>
        <w:rPr>
          <w:rFonts w:hint="eastAsia"/>
        </w:rPr>
        <w:t>“</w:t>
      </w:r>
      <w:r>
        <w:t>表A.1 土壤环境影响评价项目类别</w:t>
      </w:r>
      <w:r>
        <w:rPr>
          <w:rFonts w:hint="eastAsia"/>
        </w:rPr>
        <w:t>”</w:t>
      </w:r>
      <w:r>
        <w:t>中</w:t>
      </w:r>
      <w:r>
        <w:rPr>
          <w:rFonts w:hint="eastAsia"/>
        </w:rPr>
        <w:t>“</w:t>
      </w:r>
      <w:r>
        <w:t>农林牧渔业</w:t>
      </w:r>
      <w:r>
        <w:rPr>
          <w:rFonts w:hint="eastAsia"/>
        </w:rPr>
        <w:t>”</w:t>
      </w:r>
      <w:r>
        <w:t>中</w:t>
      </w:r>
      <w:r>
        <w:rPr>
          <w:rFonts w:hint="eastAsia"/>
        </w:rPr>
        <w:t>“其他”</w:t>
      </w:r>
      <w:r>
        <w:t>，该部分属于</w:t>
      </w:r>
      <w:r>
        <w:rPr>
          <w:rFonts w:hint="eastAsia"/>
        </w:rPr>
        <w:t>Ⅳ</w:t>
      </w:r>
      <w:r>
        <w:t>类项目，</w:t>
      </w:r>
      <w:r>
        <w:rPr>
          <w:rFonts w:hint="eastAsia"/>
        </w:rPr>
        <w:t>无需开展土壤环境影响评价</w:t>
      </w:r>
      <w:r>
        <w:t>。</w:t>
      </w:r>
    </w:p>
    <w:p w14:paraId="368A6261">
      <w:pPr>
        <w:pStyle w:val="4"/>
        <w:bidi w:val="0"/>
      </w:pPr>
      <w:r>
        <w:t>1.4.2 评价范围</w:t>
      </w:r>
    </w:p>
    <w:p w14:paraId="1C0E58A1">
      <w:pPr>
        <w:widowControl w:val="0"/>
        <w:ind w:firstLine="480"/>
        <w:rPr>
          <w:rFonts w:cs="Times New Roman"/>
          <w:color w:val="0000FF"/>
        </w:rPr>
      </w:pPr>
      <w:r>
        <w:rPr>
          <w:rFonts w:cs="Times New Roman"/>
        </w:rPr>
        <w:t>本工程对环境影响主要源于工程施工、临时占地、工程运行。根据工程特性，确定评价范围为施工区、受施工影响的陆域、水域及其附近区域，环境要素包括水环境、环境空气、声环境、土壤环境、生态、水土流失。各评价因子或对象的评价范围如下：</w:t>
      </w:r>
    </w:p>
    <w:p w14:paraId="6A0FC281">
      <w:pPr>
        <w:ind w:firstLine="480"/>
        <w:rPr>
          <w:rFonts w:cs="Times New Roman"/>
        </w:rPr>
      </w:pPr>
      <w:r>
        <w:rPr>
          <w:rFonts w:cs="Times New Roman"/>
        </w:rPr>
        <w:t>（1）地表水环境</w:t>
      </w:r>
    </w:p>
    <w:p w14:paraId="0E4BDEA5">
      <w:pPr>
        <w:ind w:firstLine="480"/>
        <w:rPr>
          <w:rFonts w:cs="Times New Roman"/>
          <w:color w:val="0000FF"/>
        </w:rPr>
      </w:pPr>
      <w:r>
        <w:rPr>
          <w:rFonts w:cs="Times New Roman"/>
        </w:rPr>
        <w:t>根据《环境影响评价技术导则 地表水环境》（HJ2.3-2018），地表水环境评价范围指建设项目整体</w:t>
      </w:r>
      <w:r>
        <w:rPr>
          <w:rFonts w:hint="eastAsia" w:cs="Times New Roman"/>
        </w:rPr>
        <w:t>实施后</w:t>
      </w:r>
      <w:r>
        <w:rPr>
          <w:rFonts w:cs="Times New Roman"/>
        </w:rPr>
        <w:t>可能对地表水环境造成的影响范围，本项目为灌区改造项目，对地表水环境水质的影响主要集中在施工期，围堰工程等对地表水扰动造成地表水悬浮物浓度暂时增高，清淤工程实施后减少底泥内源污染，有利于水质的改善，</w:t>
      </w:r>
      <w:r>
        <w:rPr>
          <w:rFonts w:cs="Times New Roman"/>
          <w:b/>
          <w:bCs/>
          <w:color w:val="0000FF"/>
        </w:rPr>
        <w:t>本次评价对仅涉及施工期水质影响的渠道地表水环境影响评价范围保守确定为工程上游500m至工程下游2000m。</w:t>
      </w:r>
    </w:p>
    <w:p w14:paraId="2D2BEE7C">
      <w:pPr>
        <w:ind w:firstLine="480"/>
        <w:rPr>
          <w:rFonts w:cs="Times New Roman"/>
          <w:color w:val="0000FF"/>
        </w:rPr>
      </w:pPr>
      <w:r>
        <w:rPr>
          <w:rFonts w:cs="Times New Roman"/>
        </w:rPr>
        <w:t>本次工程主要是对现有老化、损毁的渠系建筑物进行维修加固或者拆除重建，对长期运行损毁的渠道按照原设计标准断面进行整治，工程建设前后对渠道、周边地表水体水温、流量、流速、水位等水温要素影响较小。</w:t>
      </w:r>
    </w:p>
    <w:p w14:paraId="407AE510">
      <w:pPr>
        <w:ind w:firstLine="480"/>
        <w:rPr>
          <w:rFonts w:cs="Times New Roman"/>
          <w:color w:val="0000FF"/>
        </w:rPr>
      </w:pPr>
      <w:r>
        <w:rPr>
          <w:rFonts w:hint="eastAsia" w:cs="Times New Roman"/>
        </w:rPr>
        <w:t>三东干渠李岗防水渠</w:t>
      </w:r>
      <w:r>
        <w:rPr>
          <w:rFonts w:cs="Times New Roman"/>
        </w:rPr>
        <w:t>新建</w:t>
      </w:r>
      <w:r>
        <w:rPr>
          <w:rFonts w:hint="eastAsia" w:cs="Times New Roman"/>
        </w:rPr>
        <w:t>1座节制闸</w:t>
      </w:r>
      <w:r>
        <w:rPr>
          <w:rFonts w:cs="Times New Roman"/>
        </w:rPr>
        <w:t>，旨在保证灌溉期水利用率同时保证灌溉率，避免水资源的浪费，节制闸运行期间，完全拦截渠道，造成下游形成部分减水段甚至无水段，</w:t>
      </w:r>
      <w:r>
        <w:rPr>
          <w:rFonts w:cs="Times New Roman"/>
          <w:b/>
          <w:bCs/>
        </w:rPr>
        <w:t>评价范围下游减水段影响范围至渠道下一个节制闸，上游</w:t>
      </w:r>
      <w:r>
        <w:rPr>
          <w:rFonts w:hint="eastAsia" w:cs="Times New Roman"/>
          <w:b/>
          <w:bCs/>
        </w:rPr>
        <w:t>回</w:t>
      </w:r>
      <w:r>
        <w:rPr>
          <w:rFonts w:cs="Times New Roman"/>
          <w:b/>
          <w:bCs/>
        </w:rPr>
        <w:t>水影响范围至上一个节制闸。</w:t>
      </w:r>
    </w:p>
    <w:p w14:paraId="6044A96F">
      <w:pPr>
        <w:pStyle w:val="29"/>
        <w:bidi w:val="0"/>
      </w:pPr>
      <w:r>
        <w:t>表1</w:t>
      </w:r>
      <w:r>
        <w:rPr>
          <w:rFonts w:hint="eastAsia"/>
          <w:lang w:val="en-US" w:eastAsia="zh-CN"/>
        </w:rPr>
        <w:t>.</w:t>
      </w:r>
      <w:r>
        <w:t>4-</w:t>
      </w:r>
      <w:r>
        <w:rPr>
          <w:rFonts w:hint="eastAsia"/>
          <w:lang w:val="en-US" w:eastAsia="zh-CN"/>
        </w:rPr>
        <w:t>8</w:t>
      </w:r>
      <w:r>
        <w:t xml:space="preserve">  地表水水文要素影响评价范围一览表</w:t>
      </w:r>
    </w:p>
    <w:tbl>
      <w:tblPr>
        <w:tblStyle w:val="16"/>
        <w:tblW w:w="499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9"/>
        <w:gridCol w:w="2657"/>
        <w:gridCol w:w="757"/>
        <w:gridCol w:w="1051"/>
        <w:gridCol w:w="4274"/>
      </w:tblGrid>
      <w:tr w14:paraId="7082B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718" w:type="pct"/>
            <w:gridSpan w:val="2"/>
            <w:tcBorders>
              <w:top w:val="single" w:color="auto" w:sz="4" w:space="0"/>
              <w:left w:val="single" w:color="auto" w:sz="4" w:space="0"/>
              <w:bottom w:val="single" w:color="auto" w:sz="4" w:space="0"/>
              <w:right w:val="single" w:color="auto" w:sz="4" w:space="0"/>
            </w:tcBorders>
            <w:vAlign w:val="center"/>
          </w:tcPr>
          <w:p w14:paraId="201BD74B">
            <w:pPr>
              <w:pStyle w:val="28"/>
              <w:bidi w:val="0"/>
            </w:pPr>
            <w:r>
              <w:t>项目名称</w:t>
            </w:r>
          </w:p>
        </w:tc>
        <w:tc>
          <w:tcPr>
            <w:tcW w:w="408" w:type="pct"/>
            <w:tcBorders>
              <w:top w:val="single" w:color="auto" w:sz="4" w:space="0"/>
              <w:left w:val="single" w:color="auto" w:sz="4" w:space="0"/>
              <w:bottom w:val="single" w:color="auto" w:sz="4" w:space="0"/>
              <w:right w:val="single" w:color="auto" w:sz="4" w:space="0"/>
            </w:tcBorders>
            <w:vAlign w:val="center"/>
          </w:tcPr>
          <w:p w14:paraId="7C020FC6">
            <w:pPr>
              <w:pStyle w:val="28"/>
              <w:bidi w:val="0"/>
            </w:pPr>
            <w:r>
              <w:t>评价等级</w:t>
            </w:r>
          </w:p>
        </w:tc>
        <w:tc>
          <w:tcPr>
            <w:tcW w:w="567" w:type="pct"/>
            <w:tcBorders>
              <w:top w:val="single" w:color="auto" w:sz="4" w:space="0"/>
              <w:left w:val="single" w:color="auto" w:sz="4" w:space="0"/>
              <w:bottom w:val="single" w:color="auto" w:sz="4" w:space="0"/>
              <w:right w:val="single" w:color="auto" w:sz="4" w:space="0"/>
            </w:tcBorders>
            <w:vAlign w:val="center"/>
          </w:tcPr>
          <w:p w14:paraId="4A153676">
            <w:pPr>
              <w:pStyle w:val="28"/>
              <w:bidi w:val="0"/>
            </w:pPr>
            <w:r>
              <w:t>影响类型</w:t>
            </w:r>
          </w:p>
        </w:tc>
        <w:tc>
          <w:tcPr>
            <w:tcW w:w="2305" w:type="pct"/>
            <w:tcBorders>
              <w:top w:val="single" w:color="auto" w:sz="4" w:space="0"/>
              <w:left w:val="single" w:color="auto" w:sz="4" w:space="0"/>
              <w:bottom w:val="single" w:color="auto" w:sz="4" w:space="0"/>
              <w:right w:val="single" w:color="auto" w:sz="4" w:space="0"/>
            </w:tcBorders>
            <w:vAlign w:val="center"/>
          </w:tcPr>
          <w:p w14:paraId="42251C09">
            <w:pPr>
              <w:pStyle w:val="28"/>
              <w:bidi w:val="0"/>
            </w:pPr>
            <w:r>
              <w:t>评价范围</w:t>
            </w:r>
          </w:p>
        </w:tc>
      </w:tr>
      <w:tr w14:paraId="44E018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18CCB5A8">
            <w:pPr>
              <w:pStyle w:val="28"/>
              <w:bidi w:val="0"/>
            </w:pPr>
            <w:r>
              <w:t>1</w:t>
            </w:r>
          </w:p>
        </w:tc>
        <w:tc>
          <w:tcPr>
            <w:tcW w:w="2787" w:type="dxa"/>
            <w:tcBorders>
              <w:top w:val="single" w:color="auto" w:sz="4" w:space="0"/>
              <w:left w:val="single" w:color="auto" w:sz="4" w:space="0"/>
              <w:bottom w:val="single" w:color="auto" w:sz="4" w:space="0"/>
              <w:right w:val="single" w:color="auto" w:sz="4" w:space="0"/>
            </w:tcBorders>
            <w:vAlign w:val="center"/>
          </w:tcPr>
          <w:p w14:paraId="338D8E04">
            <w:pPr>
              <w:pStyle w:val="28"/>
              <w:bidi w:val="0"/>
            </w:pPr>
            <w:r>
              <w:rPr>
                <w:rFonts w:hint="eastAsia"/>
              </w:rPr>
              <w:t>淠河总干渠上段工程</w:t>
            </w:r>
          </w:p>
        </w:tc>
        <w:tc>
          <w:tcPr>
            <w:tcW w:w="408" w:type="pct"/>
            <w:tcBorders>
              <w:top w:val="single" w:color="auto" w:sz="4" w:space="0"/>
              <w:left w:val="single" w:color="auto" w:sz="4" w:space="0"/>
              <w:bottom w:val="single" w:color="auto" w:sz="4" w:space="0"/>
              <w:right w:val="single" w:color="auto" w:sz="4" w:space="0"/>
            </w:tcBorders>
            <w:vAlign w:val="center"/>
          </w:tcPr>
          <w:p w14:paraId="3B11212D">
            <w:pPr>
              <w:pStyle w:val="28"/>
              <w:bidi w:val="0"/>
            </w:pPr>
            <w:r>
              <w:t>二级</w:t>
            </w:r>
          </w:p>
        </w:tc>
        <w:tc>
          <w:tcPr>
            <w:tcW w:w="567" w:type="pct"/>
            <w:tcBorders>
              <w:top w:val="single" w:color="auto" w:sz="4" w:space="0"/>
              <w:left w:val="single" w:color="auto" w:sz="4" w:space="0"/>
              <w:bottom w:val="single" w:color="auto" w:sz="4" w:space="0"/>
              <w:right w:val="single" w:color="auto" w:sz="4" w:space="0"/>
            </w:tcBorders>
            <w:vAlign w:val="center"/>
          </w:tcPr>
          <w:p w14:paraId="78B168C5">
            <w:pPr>
              <w:pStyle w:val="28"/>
              <w:bidi w:val="0"/>
            </w:pPr>
            <w:r>
              <w:t>水质影响</w:t>
            </w:r>
          </w:p>
        </w:tc>
        <w:tc>
          <w:tcPr>
            <w:tcW w:w="2305" w:type="pct"/>
            <w:vMerge w:val="restart"/>
            <w:tcBorders>
              <w:top w:val="single" w:color="auto" w:sz="4" w:space="0"/>
              <w:left w:val="single" w:color="auto" w:sz="4" w:space="0"/>
              <w:right w:val="single" w:color="auto" w:sz="4" w:space="0"/>
            </w:tcBorders>
            <w:vAlign w:val="center"/>
          </w:tcPr>
          <w:p w14:paraId="7814177B">
            <w:pPr>
              <w:pStyle w:val="28"/>
              <w:bidi w:val="0"/>
            </w:pPr>
            <w:r>
              <w:t>横排口进水闸至罗管闸，长度43400m，包括苏埠镇饮用水水源保护区、一水厂和二水厂饮用水水源保护区、城东水厂饮用水水源保护区、新城水厂饮用水水源保护区；陡步河上游500m至下游2000m。</w:t>
            </w:r>
          </w:p>
        </w:tc>
      </w:tr>
      <w:tr w14:paraId="7783B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3D4A8FEE">
            <w:pPr>
              <w:pStyle w:val="28"/>
              <w:bidi w:val="0"/>
            </w:pPr>
            <w:r>
              <w:t>2</w:t>
            </w:r>
          </w:p>
        </w:tc>
        <w:tc>
          <w:tcPr>
            <w:tcW w:w="2787" w:type="dxa"/>
            <w:tcBorders>
              <w:top w:val="single" w:color="auto" w:sz="4" w:space="0"/>
              <w:left w:val="single" w:color="auto" w:sz="4" w:space="0"/>
              <w:bottom w:val="single" w:color="auto" w:sz="4" w:space="0"/>
              <w:right w:val="single" w:color="auto" w:sz="4" w:space="0"/>
            </w:tcBorders>
            <w:vAlign w:val="center"/>
          </w:tcPr>
          <w:p w14:paraId="13B9D775">
            <w:pPr>
              <w:pStyle w:val="28"/>
              <w:bidi w:val="0"/>
            </w:pPr>
            <w:r>
              <w:rPr>
                <w:rFonts w:hint="eastAsia"/>
              </w:rPr>
              <w:t>樊通桥渠下涵工程</w:t>
            </w:r>
          </w:p>
        </w:tc>
        <w:tc>
          <w:tcPr>
            <w:tcW w:w="408" w:type="pct"/>
            <w:tcBorders>
              <w:top w:val="single" w:color="auto" w:sz="4" w:space="0"/>
              <w:left w:val="single" w:color="auto" w:sz="4" w:space="0"/>
              <w:bottom w:val="single" w:color="auto" w:sz="4" w:space="0"/>
              <w:right w:val="single" w:color="auto" w:sz="4" w:space="0"/>
            </w:tcBorders>
            <w:vAlign w:val="center"/>
          </w:tcPr>
          <w:p w14:paraId="19A6886F">
            <w:pPr>
              <w:pStyle w:val="28"/>
              <w:bidi w:val="0"/>
            </w:pPr>
            <w:r>
              <w:t>二级</w:t>
            </w:r>
          </w:p>
        </w:tc>
        <w:tc>
          <w:tcPr>
            <w:tcW w:w="567" w:type="pct"/>
            <w:tcBorders>
              <w:top w:val="single" w:color="auto" w:sz="4" w:space="0"/>
              <w:left w:val="single" w:color="auto" w:sz="4" w:space="0"/>
              <w:bottom w:val="single" w:color="auto" w:sz="4" w:space="0"/>
              <w:right w:val="single" w:color="auto" w:sz="4" w:space="0"/>
            </w:tcBorders>
            <w:vAlign w:val="center"/>
          </w:tcPr>
          <w:p w14:paraId="3382079A">
            <w:pPr>
              <w:pStyle w:val="28"/>
              <w:bidi w:val="0"/>
            </w:pPr>
            <w:r>
              <w:t>水质影响</w:t>
            </w:r>
          </w:p>
        </w:tc>
        <w:tc>
          <w:tcPr>
            <w:tcW w:w="2305" w:type="pct"/>
            <w:vMerge w:val="continue"/>
            <w:tcBorders>
              <w:left w:val="single" w:color="auto" w:sz="4" w:space="0"/>
              <w:bottom w:val="single" w:color="auto" w:sz="4" w:space="0"/>
              <w:right w:val="single" w:color="auto" w:sz="4" w:space="0"/>
            </w:tcBorders>
            <w:vAlign w:val="center"/>
          </w:tcPr>
          <w:p w14:paraId="58A61915">
            <w:pPr>
              <w:pStyle w:val="28"/>
              <w:bidi w:val="0"/>
            </w:pPr>
          </w:p>
        </w:tc>
      </w:tr>
      <w:tr w14:paraId="61E61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75785BD7">
            <w:pPr>
              <w:pStyle w:val="28"/>
              <w:bidi w:val="0"/>
            </w:pPr>
            <w:r>
              <w:t>3</w:t>
            </w:r>
          </w:p>
        </w:tc>
        <w:tc>
          <w:tcPr>
            <w:tcW w:w="2787" w:type="dxa"/>
            <w:tcBorders>
              <w:top w:val="single" w:color="auto" w:sz="4" w:space="0"/>
              <w:left w:val="single" w:color="auto" w:sz="4" w:space="0"/>
              <w:bottom w:val="single" w:color="auto" w:sz="4" w:space="0"/>
              <w:right w:val="single" w:color="auto" w:sz="4" w:space="0"/>
            </w:tcBorders>
            <w:vAlign w:val="center"/>
          </w:tcPr>
          <w:p w14:paraId="7777300E">
            <w:pPr>
              <w:pStyle w:val="28"/>
              <w:bidi w:val="0"/>
            </w:pPr>
            <w:r>
              <w:rPr>
                <w:rFonts w:hint="eastAsia"/>
              </w:rPr>
              <w:t>淠河总干渠下段工程</w:t>
            </w:r>
          </w:p>
        </w:tc>
        <w:tc>
          <w:tcPr>
            <w:tcW w:w="408" w:type="pct"/>
            <w:tcBorders>
              <w:top w:val="single" w:color="auto" w:sz="4" w:space="0"/>
              <w:left w:val="single" w:color="auto" w:sz="4" w:space="0"/>
              <w:bottom w:val="single" w:color="auto" w:sz="4" w:space="0"/>
              <w:right w:val="single" w:color="auto" w:sz="4" w:space="0"/>
            </w:tcBorders>
            <w:vAlign w:val="center"/>
          </w:tcPr>
          <w:p w14:paraId="59F7FC77">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742B4958">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486A83B4">
            <w:pPr>
              <w:pStyle w:val="28"/>
              <w:bidi w:val="0"/>
            </w:pPr>
            <w:r>
              <w:t>淠河总干渠桩号（94+489）起点上游500m，至整治终点桩号（99+559）下游2000m，长度约6.57km</w:t>
            </w:r>
          </w:p>
        </w:tc>
      </w:tr>
      <w:tr w14:paraId="7FF1C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035114A6">
            <w:pPr>
              <w:pStyle w:val="28"/>
              <w:bidi w:val="0"/>
            </w:pPr>
            <w:r>
              <w:t>4</w:t>
            </w:r>
          </w:p>
        </w:tc>
        <w:tc>
          <w:tcPr>
            <w:tcW w:w="2787" w:type="dxa"/>
            <w:tcBorders>
              <w:top w:val="single" w:color="auto" w:sz="4" w:space="0"/>
              <w:left w:val="single" w:color="auto" w:sz="4" w:space="0"/>
              <w:bottom w:val="single" w:color="auto" w:sz="4" w:space="0"/>
              <w:right w:val="single" w:color="auto" w:sz="4" w:space="0"/>
            </w:tcBorders>
            <w:vAlign w:val="center"/>
          </w:tcPr>
          <w:p w14:paraId="518EEB81">
            <w:pPr>
              <w:pStyle w:val="28"/>
              <w:bidi w:val="0"/>
            </w:pPr>
            <w:r>
              <w:rPr>
                <w:rFonts w:hint="eastAsia"/>
              </w:rPr>
              <w:t>聚星渡槽工程</w:t>
            </w:r>
          </w:p>
        </w:tc>
        <w:tc>
          <w:tcPr>
            <w:tcW w:w="408" w:type="pct"/>
            <w:tcBorders>
              <w:top w:val="single" w:color="auto" w:sz="4" w:space="0"/>
              <w:left w:val="single" w:color="auto" w:sz="4" w:space="0"/>
              <w:bottom w:val="single" w:color="auto" w:sz="4" w:space="0"/>
              <w:right w:val="single" w:color="auto" w:sz="4" w:space="0"/>
            </w:tcBorders>
            <w:vAlign w:val="center"/>
          </w:tcPr>
          <w:p w14:paraId="5EE7207F">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2537C3B6">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1103CB9A">
            <w:pPr>
              <w:pStyle w:val="28"/>
              <w:bidi w:val="0"/>
            </w:pPr>
            <w:r>
              <w:t>潜南干渠聚星渡槽工程上游500m至下游2000m，长度约2.724km</w:t>
            </w:r>
          </w:p>
        </w:tc>
      </w:tr>
      <w:tr w14:paraId="7E418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6812D263">
            <w:pPr>
              <w:pStyle w:val="28"/>
              <w:bidi w:val="0"/>
            </w:pPr>
            <w:r>
              <w:t>5</w:t>
            </w:r>
          </w:p>
        </w:tc>
        <w:tc>
          <w:tcPr>
            <w:tcW w:w="2787" w:type="dxa"/>
            <w:tcBorders>
              <w:top w:val="single" w:color="auto" w:sz="4" w:space="0"/>
              <w:left w:val="single" w:color="auto" w:sz="4" w:space="0"/>
              <w:bottom w:val="single" w:color="auto" w:sz="4" w:space="0"/>
              <w:right w:val="single" w:color="auto" w:sz="4" w:space="0"/>
            </w:tcBorders>
            <w:vAlign w:val="center"/>
          </w:tcPr>
          <w:p w14:paraId="02EB05BF">
            <w:pPr>
              <w:pStyle w:val="28"/>
              <w:bidi w:val="0"/>
            </w:pPr>
            <w:r>
              <w:rPr>
                <w:rFonts w:hint="eastAsia"/>
              </w:rPr>
              <w:t>滁河干渠总局直管段工程</w:t>
            </w:r>
          </w:p>
        </w:tc>
        <w:tc>
          <w:tcPr>
            <w:tcW w:w="408" w:type="pct"/>
            <w:tcBorders>
              <w:top w:val="single" w:color="auto" w:sz="4" w:space="0"/>
              <w:left w:val="single" w:color="auto" w:sz="4" w:space="0"/>
              <w:bottom w:val="single" w:color="auto" w:sz="4" w:space="0"/>
              <w:right w:val="single" w:color="auto" w:sz="4" w:space="0"/>
            </w:tcBorders>
            <w:vAlign w:val="center"/>
          </w:tcPr>
          <w:p w14:paraId="55FD7BF5">
            <w:pPr>
              <w:pStyle w:val="28"/>
              <w:bidi w:val="0"/>
            </w:pPr>
            <w:r>
              <w:t>二级</w:t>
            </w:r>
          </w:p>
        </w:tc>
        <w:tc>
          <w:tcPr>
            <w:tcW w:w="567" w:type="pct"/>
            <w:tcBorders>
              <w:top w:val="single" w:color="auto" w:sz="4" w:space="0"/>
              <w:left w:val="single" w:color="auto" w:sz="4" w:space="0"/>
              <w:bottom w:val="single" w:color="auto" w:sz="4" w:space="0"/>
              <w:right w:val="single" w:color="auto" w:sz="4" w:space="0"/>
            </w:tcBorders>
            <w:vAlign w:val="center"/>
          </w:tcPr>
          <w:p w14:paraId="6F8946E0">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176AEB65">
            <w:pPr>
              <w:pStyle w:val="28"/>
              <w:bidi w:val="0"/>
            </w:pPr>
            <w:r>
              <w:t>滁河干渠总局直管段桩号（2+500）起点上游500m，下游2000m</w:t>
            </w:r>
          </w:p>
        </w:tc>
      </w:tr>
      <w:tr w14:paraId="03E05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5B1D5361">
            <w:pPr>
              <w:pStyle w:val="28"/>
              <w:bidi w:val="0"/>
            </w:pPr>
            <w:r>
              <w:t>6</w:t>
            </w:r>
          </w:p>
        </w:tc>
        <w:tc>
          <w:tcPr>
            <w:tcW w:w="2787" w:type="dxa"/>
            <w:tcBorders>
              <w:top w:val="single" w:color="auto" w:sz="4" w:space="0"/>
              <w:left w:val="single" w:color="auto" w:sz="4" w:space="0"/>
              <w:bottom w:val="single" w:color="auto" w:sz="4" w:space="0"/>
              <w:right w:val="single" w:color="auto" w:sz="4" w:space="0"/>
            </w:tcBorders>
            <w:vAlign w:val="center"/>
          </w:tcPr>
          <w:p w14:paraId="0DEA3A14">
            <w:pPr>
              <w:pStyle w:val="28"/>
              <w:bidi w:val="0"/>
            </w:pPr>
            <w:r>
              <w:rPr>
                <w:rFonts w:hint="eastAsia"/>
              </w:rPr>
              <w:t>滁河干渠</w:t>
            </w:r>
            <w:r>
              <w:t>6</w:t>
            </w:r>
            <w:r>
              <w:rPr>
                <w:rFonts w:hint="eastAsia"/>
              </w:rPr>
              <w:t>座渠下涵工程</w:t>
            </w:r>
          </w:p>
        </w:tc>
        <w:tc>
          <w:tcPr>
            <w:tcW w:w="408" w:type="pct"/>
            <w:tcBorders>
              <w:top w:val="single" w:color="auto" w:sz="4" w:space="0"/>
              <w:left w:val="single" w:color="auto" w:sz="4" w:space="0"/>
              <w:bottom w:val="single" w:color="auto" w:sz="4" w:space="0"/>
              <w:right w:val="single" w:color="auto" w:sz="4" w:space="0"/>
            </w:tcBorders>
            <w:vAlign w:val="center"/>
          </w:tcPr>
          <w:p w14:paraId="7BC83CCB">
            <w:pPr>
              <w:pStyle w:val="28"/>
              <w:bidi w:val="0"/>
            </w:pPr>
            <w:r>
              <w:t>二级</w:t>
            </w:r>
          </w:p>
        </w:tc>
        <w:tc>
          <w:tcPr>
            <w:tcW w:w="567" w:type="pct"/>
            <w:tcBorders>
              <w:top w:val="single" w:color="auto" w:sz="4" w:space="0"/>
              <w:left w:val="single" w:color="auto" w:sz="4" w:space="0"/>
              <w:bottom w:val="single" w:color="auto" w:sz="4" w:space="0"/>
              <w:right w:val="single" w:color="auto" w:sz="4" w:space="0"/>
            </w:tcBorders>
            <w:vAlign w:val="center"/>
          </w:tcPr>
          <w:p w14:paraId="30839FA3">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6EBA9A7A">
            <w:pPr>
              <w:pStyle w:val="28"/>
              <w:bidi w:val="0"/>
            </w:pPr>
            <w:r>
              <w:t>6座渠下涵对应沟渠上游500m至下游2000m，6座渠下涵在滁河干渠对应桩号上游500m至下游2000m</w:t>
            </w:r>
          </w:p>
        </w:tc>
      </w:tr>
      <w:tr w14:paraId="51F39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09FC76E6">
            <w:pPr>
              <w:pStyle w:val="28"/>
              <w:bidi w:val="0"/>
            </w:pPr>
            <w:r>
              <w:t>7</w:t>
            </w:r>
          </w:p>
        </w:tc>
        <w:tc>
          <w:tcPr>
            <w:tcW w:w="2787" w:type="dxa"/>
            <w:tcBorders>
              <w:top w:val="single" w:color="auto" w:sz="4" w:space="0"/>
              <w:left w:val="single" w:color="auto" w:sz="4" w:space="0"/>
              <w:bottom w:val="single" w:color="auto" w:sz="4" w:space="0"/>
              <w:right w:val="single" w:color="auto" w:sz="4" w:space="0"/>
            </w:tcBorders>
            <w:vAlign w:val="center"/>
          </w:tcPr>
          <w:p w14:paraId="072C34A9">
            <w:pPr>
              <w:pStyle w:val="28"/>
              <w:bidi w:val="0"/>
            </w:pPr>
            <w:r>
              <w:rPr>
                <w:rFonts w:hint="eastAsia"/>
              </w:rPr>
              <w:t>淠杭干渠工程</w:t>
            </w:r>
          </w:p>
        </w:tc>
        <w:tc>
          <w:tcPr>
            <w:tcW w:w="408" w:type="pct"/>
            <w:tcBorders>
              <w:top w:val="single" w:color="auto" w:sz="4" w:space="0"/>
              <w:left w:val="single" w:color="auto" w:sz="4" w:space="0"/>
              <w:bottom w:val="single" w:color="auto" w:sz="4" w:space="0"/>
              <w:right w:val="single" w:color="auto" w:sz="4" w:space="0"/>
            </w:tcBorders>
            <w:vAlign w:val="center"/>
          </w:tcPr>
          <w:p w14:paraId="3C59E7BE">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29259D5D">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3D966C89">
            <w:pPr>
              <w:pStyle w:val="28"/>
              <w:bidi w:val="0"/>
            </w:pPr>
            <w:r>
              <w:t>淠杭干渠桩号（6＋800）起点上游500m，至整治终点桩号（38＋508）下游2000m，长度约34.208km</w:t>
            </w:r>
          </w:p>
        </w:tc>
      </w:tr>
      <w:tr w14:paraId="4C51B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6"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031A7CFB">
            <w:pPr>
              <w:pStyle w:val="28"/>
              <w:bidi w:val="0"/>
            </w:pPr>
            <w:r>
              <w:t>8</w:t>
            </w:r>
          </w:p>
        </w:tc>
        <w:tc>
          <w:tcPr>
            <w:tcW w:w="2787" w:type="dxa"/>
            <w:tcBorders>
              <w:top w:val="single" w:color="auto" w:sz="4" w:space="0"/>
              <w:left w:val="single" w:color="auto" w:sz="4" w:space="0"/>
              <w:bottom w:val="single" w:color="auto" w:sz="4" w:space="0"/>
              <w:right w:val="single" w:color="auto" w:sz="4" w:space="0"/>
            </w:tcBorders>
            <w:vAlign w:val="center"/>
          </w:tcPr>
          <w:p w14:paraId="74370DD4">
            <w:pPr>
              <w:pStyle w:val="28"/>
              <w:bidi w:val="0"/>
            </w:pPr>
            <w:r>
              <w:rPr>
                <w:rFonts w:hint="eastAsia"/>
              </w:rPr>
              <w:t>淠东干渠工程</w:t>
            </w:r>
          </w:p>
        </w:tc>
        <w:tc>
          <w:tcPr>
            <w:tcW w:w="408" w:type="pct"/>
            <w:tcBorders>
              <w:top w:val="single" w:color="auto" w:sz="4" w:space="0"/>
              <w:left w:val="single" w:color="auto" w:sz="4" w:space="0"/>
              <w:bottom w:val="single" w:color="auto" w:sz="4" w:space="0"/>
              <w:right w:val="single" w:color="auto" w:sz="4" w:space="0"/>
            </w:tcBorders>
            <w:vAlign w:val="center"/>
          </w:tcPr>
          <w:p w14:paraId="279E5841">
            <w:pPr>
              <w:pStyle w:val="28"/>
              <w:bidi w:val="0"/>
            </w:pPr>
            <w:r>
              <w:t>二级</w:t>
            </w:r>
          </w:p>
        </w:tc>
        <w:tc>
          <w:tcPr>
            <w:tcW w:w="567" w:type="pct"/>
            <w:tcBorders>
              <w:top w:val="single" w:color="auto" w:sz="4" w:space="0"/>
              <w:left w:val="single" w:color="auto" w:sz="4" w:space="0"/>
              <w:bottom w:val="single" w:color="auto" w:sz="4" w:space="0"/>
              <w:right w:val="single" w:color="auto" w:sz="4" w:space="0"/>
            </w:tcBorders>
            <w:vAlign w:val="center"/>
          </w:tcPr>
          <w:p w14:paraId="0FBF5B9A">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1F0F32AD">
            <w:pPr>
              <w:pStyle w:val="28"/>
              <w:bidi w:val="0"/>
            </w:pPr>
            <w:r>
              <w:t>淠东干渠桩号（30+400）起点上游500m至上段众兴、茶庵镇饮用水水源保护区末端，长度约12.928km；戈店节制闸至整治终点桩号（99+300）下游2000m，长度约40.176km，总计53.104km。</w:t>
            </w:r>
          </w:p>
        </w:tc>
      </w:tr>
      <w:tr w14:paraId="5095C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689A4552">
            <w:pPr>
              <w:pStyle w:val="28"/>
              <w:bidi w:val="0"/>
            </w:pPr>
            <w:r>
              <w:t>9</w:t>
            </w:r>
          </w:p>
        </w:tc>
        <w:tc>
          <w:tcPr>
            <w:tcW w:w="2787" w:type="dxa"/>
            <w:tcBorders>
              <w:top w:val="single" w:color="auto" w:sz="4" w:space="0"/>
              <w:left w:val="single" w:color="auto" w:sz="4" w:space="0"/>
              <w:bottom w:val="single" w:color="auto" w:sz="4" w:space="0"/>
              <w:right w:val="single" w:color="auto" w:sz="4" w:space="0"/>
            </w:tcBorders>
            <w:vAlign w:val="center"/>
          </w:tcPr>
          <w:p w14:paraId="6A86EC7A">
            <w:pPr>
              <w:pStyle w:val="28"/>
              <w:bidi w:val="0"/>
            </w:pPr>
            <w:r>
              <w:rPr>
                <w:rFonts w:hint="eastAsia"/>
              </w:rPr>
              <w:t>瓦西干渠工程</w:t>
            </w:r>
          </w:p>
        </w:tc>
        <w:tc>
          <w:tcPr>
            <w:tcW w:w="408" w:type="pct"/>
            <w:tcBorders>
              <w:top w:val="single" w:color="auto" w:sz="4" w:space="0"/>
              <w:left w:val="single" w:color="auto" w:sz="4" w:space="0"/>
              <w:bottom w:val="single" w:color="auto" w:sz="4" w:space="0"/>
              <w:right w:val="single" w:color="auto" w:sz="4" w:space="0"/>
            </w:tcBorders>
            <w:vAlign w:val="center"/>
          </w:tcPr>
          <w:p w14:paraId="65B80573">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51002A24">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7CBD46CD">
            <w:pPr>
              <w:pStyle w:val="28"/>
              <w:bidi w:val="0"/>
            </w:pPr>
            <w:r>
              <w:t>瓦西干渠桩号（15+000）起点上游500m，至整治终点桩号（27+600）下游2km，长度约15.1km</w:t>
            </w:r>
          </w:p>
        </w:tc>
      </w:tr>
      <w:tr w14:paraId="5F07B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2BB99F94">
            <w:pPr>
              <w:pStyle w:val="28"/>
              <w:bidi w:val="0"/>
            </w:pPr>
            <w:r>
              <w:t>10</w:t>
            </w:r>
          </w:p>
        </w:tc>
        <w:tc>
          <w:tcPr>
            <w:tcW w:w="2787" w:type="dxa"/>
            <w:tcBorders>
              <w:top w:val="single" w:color="auto" w:sz="4" w:space="0"/>
              <w:left w:val="single" w:color="auto" w:sz="4" w:space="0"/>
              <w:bottom w:val="single" w:color="auto" w:sz="4" w:space="0"/>
              <w:right w:val="single" w:color="auto" w:sz="4" w:space="0"/>
            </w:tcBorders>
            <w:vAlign w:val="center"/>
          </w:tcPr>
          <w:p w14:paraId="79EC720A">
            <w:pPr>
              <w:pStyle w:val="28"/>
              <w:bidi w:val="0"/>
            </w:pPr>
            <w:r>
              <w:rPr>
                <w:rFonts w:hint="eastAsia"/>
              </w:rPr>
              <w:t>堰口分干渠工程</w:t>
            </w:r>
          </w:p>
        </w:tc>
        <w:tc>
          <w:tcPr>
            <w:tcW w:w="408" w:type="pct"/>
            <w:tcBorders>
              <w:top w:val="single" w:color="auto" w:sz="4" w:space="0"/>
              <w:left w:val="single" w:color="auto" w:sz="4" w:space="0"/>
              <w:bottom w:val="single" w:color="auto" w:sz="4" w:space="0"/>
              <w:right w:val="single" w:color="auto" w:sz="4" w:space="0"/>
            </w:tcBorders>
            <w:vAlign w:val="center"/>
          </w:tcPr>
          <w:p w14:paraId="632E59B9">
            <w:pPr>
              <w:pStyle w:val="28"/>
              <w:bidi w:val="0"/>
            </w:pPr>
            <w:r>
              <w:t>二级</w:t>
            </w:r>
          </w:p>
        </w:tc>
        <w:tc>
          <w:tcPr>
            <w:tcW w:w="567" w:type="pct"/>
            <w:tcBorders>
              <w:top w:val="single" w:color="auto" w:sz="4" w:space="0"/>
              <w:left w:val="single" w:color="auto" w:sz="4" w:space="0"/>
              <w:bottom w:val="single" w:color="auto" w:sz="4" w:space="0"/>
              <w:right w:val="single" w:color="auto" w:sz="4" w:space="0"/>
            </w:tcBorders>
            <w:vAlign w:val="center"/>
          </w:tcPr>
          <w:p w14:paraId="41F626E9">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5BFADBCC">
            <w:pPr>
              <w:pStyle w:val="28"/>
              <w:bidi w:val="0"/>
            </w:pPr>
            <w:r>
              <w:t>老庙倒虹吸至堰口分干渠整治终点桩号（18+000）下游2000m，长度约29.248km。</w:t>
            </w:r>
          </w:p>
        </w:tc>
      </w:tr>
      <w:tr w14:paraId="367A8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1F36D5E7">
            <w:pPr>
              <w:pStyle w:val="28"/>
              <w:bidi w:val="0"/>
            </w:pPr>
            <w:r>
              <w:t>11</w:t>
            </w:r>
          </w:p>
        </w:tc>
        <w:tc>
          <w:tcPr>
            <w:tcW w:w="2787" w:type="dxa"/>
            <w:tcBorders>
              <w:top w:val="single" w:color="auto" w:sz="4" w:space="0"/>
              <w:left w:val="single" w:color="auto" w:sz="4" w:space="0"/>
              <w:bottom w:val="single" w:color="auto" w:sz="4" w:space="0"/>
              <w:right w:val="single" w:color="auto" w:sz="4" w:space="0"/>
            </w:tcBorders>
            <w:vAlign w:val="center"/>
          </w:tcPr>
          <w:p w14:paraId="53AAE1C0">
            <w:pPr>
              <w:pStyle w:val="28"/>
              <w:bidi w:val="0"/>
            </w:pPr>
            <w:r>
              <w:rPr>
                <w:rFonts w:hint="eastAsia"/>
              </w:rPr>
              <w:t>淠源分干渠工程</w:t>
            </w:r>
          </w:p>
        </w:tc>
        <w:tc>
          <w:tcPr>
            <w:tcW w:w="408" w:type="pct"/>
            <w:tcBorders>
              <w:top w:val="single" w:color="auto" w:sz="4" w:space="0"/>
              <w:left w:val="single" w:color="auto" w:sz="4" w:space="0"/>
              <w:bottom w:val="single" w:color="auto" w:sz="4" w:space="0"/>
              <w:right w:val="single" w:color="auto" w:sz="4" w:space="0"/>
            </w:tcBorders>
            <w:vAlign w:val="center"/>
          </w:tcPr>
          <w:p w14:paraId="3F01C611">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68C8FC21">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5907E0F4">
            <w:pPr>
              <w:pStyle w:val="28"/>
              <w:bidi w:val="0"/>
            </w:pPr>
            <w:r>
              <w:t>淠源分干渠桩号（23+070）上游500m至桩号（27+070）下游2000m，桩号（35+190）上游500m至桩号（37+120）下游2000m，桩号（43+640）上游500m至桩号（44+000）下游2000m，合计长度约13.070km</w:t>
            </w:r>
          </w:p>
        </w:tc>
      </w:tr>
      <w:tr w14:paraId="2C9259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0D455A1B">
            <w:pPr>
              <w:pStyle w:val="28"/>
              <w:bidi w:val="0"/>
            </w:pPr>
            <w:r>
              <w:t>12</w:t>
            </w:r>
          </w:p>
        </w:tc>
        <w:tc>
          <w:tcPr>
            <w:tcW w:w="2787" w:type="dxa"/>
            <w:tcBorders>
              <w:top w:val="single" w:color="auto" w:sz="4" w:space="0"/>
              <w:left w:val="single" w:color="auto" w:sz="4" w:space="0"/>
              <w:bottom w:val="single" w:color="auto" w:sz="4" w:space="0"/>
              <w:right w:val="single" w:color="auto" w:sz="4" w:space="0"/>
            </w:tcBorders>
            <w:vAlign w:val="center"/>
          </w:tcPr>
          <w:p w14:paraId="3FD4611C">
            <w:pPr>
              <w:pStyle w:val="28"/>
              <w:bidi w:val="0"/>
            </w:pPr>
            <w:r>
              <w:rPr>
                <w:rFonts w:hint="eastAsia"/>
              </w:rPr>
              <w:t>小蜀山分干渠工程</w:t>
            </w:r>
          </w:p>
        </w:tc>
        <w:tc>
          <w:tcPr>
            <w:tcW w:w="408" w:type="pct"/>
            <w:tcBorders>
              <w:top w:val="single" w:color="auto" w:sz="4" w:space="0"/>
              <w:left w:val="single" w:color="auto" w:sz="4" w:space="0"/>
              <w:bottom w:val="single" w:color="auto" w:sz="4" w:space="0"/>
              <w:right w:val="single" w:color="auto" w:sz="4" w:space="0"/>
            </w:tcBorders>
            <w:vAlign w:val="center"/>
          </w:tcPr>
          <w:p w14:paraId="15B1AE0B">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4A8B2F9C">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3630205E">
            <w:pPr>
              <w:pStyle w:val="28"/>
              <w:bidi w:val="0"/>
            </w:pPr>
            <w:r>
              <w:t>小蜀山分干渠桩号（2+500）起点上游500m，至整治终点桩号（20+500）下游2000m，长度约20.5km</w:t>
            </w:r>
          </w:p>
        </w:tc>
      </w:tr>
      <w:tr w14:paraId="4301F4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621EA1CC">
            <w:pPr>
              <w:pStyle w:val="28"/>
              <w:bidi w:val="0"/>
            </w:pPr>
            <w:r>
              <w:t>13</w:t>
            </w:r>
          </w:p>
        </w:tc>
        <w:tc>
          <w:tcPr>
            <w:tcW w:w="2787" w:type="dxa"/>
            <w:tcBorders>
              <w:top w:val="single" w:color="auto" w:sz="4" w:space="0"/>
              <w:left w:val="single" w:color="auto" w:sz="4" w:space="0"/>
              <w:bottom w:val="single" w:color="auto" w:sz="4" w:space="0"/>
              <w:right w:val="single" w:color="auto" w:sz="4" w:space="0"/>
            </w:tcBorders>
            <w:vAlign w:val="center"/>
          </w:tcPr>
          <w:p w14:paraId="2FF00890">
            <w:pPr>
              <w:pStyle w:val="28"/>
              <w:bidi w:val="0"/>
            </w:pPr>
            <w:r>
              <w:rPr>
                <w:rFonts w:hint="eastAsia"/>
              </w:rPr>
              <w:t>瓦东双庙支渠工程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307A5876">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60049322">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3FC5CCF3">
            <w:pPr>
              <w:pStyle w:val="28"/>
              <w:bidi w:val="0"/>
            </w:pPr>
            <w:r>
              <w:t>瓦东干渠双庙支渠桩号（0+000）起点上游500m，至整治终点桩号（24+200）下游2000m，长度约26.7km</w:t>
            </w:r>
          </w:p>
        </w:tc>
      </w:tr>
      <w:tr w14:paraId="6349C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13EFD030">
            <w:pPr>
              <w:pStyle w:val="28"/>
              <w:bidi w:val="0"/>
            </w:pPr>
            <w:r>
              <w:t>14</w:t>
            </w:r>
          </w:p>
        </w:tc>
        <w:tc>
          <w:tcPr>
            <w:tcW w:w="2787" w:type="dxa"/>
            <w:tcBorders>
              <w:top w:val="single" w:color="auto" w:sz="4" w:space="0"/>
              <w:left w:val="single" w:color="auto" w:sz="4" w:space="0"/>
              <w:bottom w:val="single" w:color="auto" w:sz="4" w:space="0"/>
              <w:right w:val="single" w:color="auto" w:sz="4" w:space="0"/>
            </w:tcBorders>
            <w:vAlign w:val="center"/>
          </w:tcPr>
          <w:p w14:paraId="6E8E0990">
            <w:pPr>
              <w:pStyle w:val="28"/>
              <w:bidi w:val="0"/>
            </w:pPr>
            <w:r>
              <w:rPr>
                <w:rFonts w:hint="eastAsia"/>
              </w:rPr>
              <w:t>东风支渠工程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0B6FCDA6">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3D7FB2AD">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29E41685">
            <w:pPr>
              <w:pStyle w:val="28"/>
              <w:bidi w:val="0"/>
            </w:pPr>
            <w:r>
              <w:t>东风支渠桩号（0+700）起点上游500m，至正南退水渠东风</w:t>
            </w:r>
            <w:r>
              <w:rPr>
                <w:rFonts w:hint="eastAsia"/>
              </w:rPr>
              <w:t>支渠</w:t>
            </w:r>
            <w:r>
              <w:t>汇入口下游2000m，长度约13.4km</w:t>
            </w:r>
          </w:p>
        </w:tc>
      </w:tr>
      <w:tr w14:paraId="00DE5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27ED66AA">
            <w:pPr>
              <w:pStyle w:val="28"/>
              <w:bidi w:val="0"/>
            </w:pPr>
            <w:r>
              <w:t>15</w:t>
            </w:r>
          </w:p>
        </w:tc>
        <w:tc>
          <w:tcPr>
            <w:tcW w:w="2787" w:type="dxa"/>
            <w:tcBorders>
              <w:top w:val="single" w:color="auto" w:sz="4" w:space="0"/>
              <w:left w:val="single" w:color="auto" w:sz="4" w:space="0"/>
              <w:bottom w:val="single" w:color="auto" w:sz="4" w:space="0"/>
              <w:right w:val="single" w:color="auto" w:sz="4" w:space="0"/>
            </w:tcBorders>
            <w:vAlign w:val="center"/>
          </w:tcPr>
          <w:p w14:paraId="7CAA3313">
            <w:pPr>
              <w:pStyle w:val="28"/>
              <w:bidi w:val="0"/>
            </w:pPr>
            <w:r>
              <w:rPr>
                <w:rFonts w:hint="eastAsia"/>
              </w:rPr>
              <w:t>界河支渠工程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014578FB">
            <w:pPr>
              <w:pStyle w:val="28"/>
              <w:bidi w:val="0"/>
            </w:pPr>
            <w:r>
              <w:t>一级</w:t>
            </w:r>
          </w:p>
        </w:tc>
        <w:tc>
          <w:tcPr>
            <w:tcW w:w="567" w:type="pct"/>
            <w:tcBorders>
              <w:top w:val="single" w:color="auto" w:sz="4" w:space="0"/>
              <w:left w:val="single" w:color="auto" w:sz="4" w:space="0"/>
              <w:bottom w:val="single" w:color="auto" w:sz="4" w:space="0"/>
              <w:right w:val="single" w:color="auto" w:sz="4" w:space="0"/>
            </w:tcBorders>
            <w:vAlign w:val="center"/>
          </w:tcPr>
          <w:p w14:paraId="71F741B6">
            <w:pPr>
              <w:pStyle w:val="28"/>
              <w:bidi w:val="0"/>
            </w:pPr>
            <w:r>
              <w:t>水质影响+水文影响</w:t>
            </w:r>
          </w:p>
        </w:tc>
        <w:tc>
          <w:tcPr>
            <w:tcW w:w="2305" w:type="pct"/>
            <w:tcBorders>
              <w:top w:val="single" w:color="auto" w:sz="4" w:space="0"/>
              <w:left w:val="single" w:color="auto" w:sz="4" w:space="0"/>
              <w:bottom w:val="single" w:color="auto" w:sz="4" w:space="0"/>
              <w:right w:val="single" w:color="auto" w:sz="4" w:space="0"/>
            </w:tcBorders>
            <w:vAlign w:val="center"/>
          </w:tcPr>
          <w:p w14:paraId="6063FB55">
            <w:pPr>
              <w:pStyle w:val="28"/>
              <w:bidi w:val="0"/>
            </w:pPr>
            <w:r>
              <w:t>潜南干渠界河支渠进水口起点上游500m，至整治终点桩号（7+780）下游2000m，长度约10.28km</w:t>
            </w:r>
          </w:p>
        </w:tc>
      </w:tr>
      <w:tr w14:paraId="418EE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014A6F23">
            <w:pPr>
              <w:pStyle w:val="28"/>
              <w:bidi w:val="0"/>
            </w:pPr>
            <w:r>
              <w:t>16</w:t>
            </w:r>
          </w:p>
        </w:tc>
        <w:tc>
          <w:tcPr>
            <w:tcW w:w="2787" w:type="dxa"/>
            <w:tcBorders>
              <w:top w:val="single" w:color="auto" w:sz="4" w:space="0"/>
              <w:left w:val="single" w:color="auto" w:sz="4" w:space="0"/>
              <w:bottom w:val="single" w:color="auto" w:sz="4" w:space="0"/>
              <w:right w:val="single" w:color="auto" w:sz="4" w:space="0"/>
            </w:tcBorders>
            <w:vAlign w:val="center"/>
          </w:tcPr>
          <w:p w14:paraId="44733F31">
            <w:pPr>
              <w:pStyle w:val="28"/>
              <w:bidi w:val="0"/>
            </w:pPr>
            <w:r>
              <w:rPr>
                <w:rFonts w:hint="eastAsia"/>
              </w:rPr>
              <w:t>义河支渠工程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68355611">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481FBD65">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1DE8491D">
            <w:pPr>
              <w:pStyle w:val="28"/>
              <w:bidi w:val="0"/>
            </w:pPr>
            <w:r>
              <w:t>潜南干渠义河支渠进水口起点上游500m，至整治终点桩号（5+750）下游2000m，长度约8.25km</w:t>
            </w:r>
          </w:p>
        </w:tc>
      </w:tr>
      <w:tr w14:paraId="330B0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6560F63F">
            <w:pPr>
              <w:pStyle w:val="28"/>
              <w:bidi w:val="0"/>
            </w:pPr>
            <w:r>
              <w:t>17</w:t>
            </w:r>
          </w:p>
        </w:tc>
        <w:tc>
          <w:tcPr>
            <w:tcW w:w="2787" w:type="dxa"/>
            <w:tcBorders>
              <w:top w:val="single" w:color="auto" w:sz="4" w:space="0"/>
              <w:left w:val="single" w:color="auto" w:sz="4" w:space="0"/>
              <w:bottom w:val="single" w:color="auto" w:sz="4" w:space="0"/>
              <w:right w:val="single" w:color="auto" w:sz="4" w:space="0"/>
            </w:tcBorders>
            <w:vAlign w:val="center"/>
          </w:tcPr>
          <w:p w14:paraId="0A6FE3B0">
            <w:pPr>
              <w:pStyle w:val="28"/>
              <w:bidi w:val="0"/>
            </w:pPr>
            <w:r>
              <w:rPr>
                <w:rFonts w:hint="eastAsia"/>
              </w:rPr>
              <w:t>袁店支渠工程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181B6992">
            <w:pPr>
              <w:pStyle w:val="28"/>
              <w:bidi w:val="0"/>
            </w:pPr>
            <w:r>
              <w:t>一级</w:t>
            </w:r>
          </w:p>
        </w:tc>
        <w:tc>
          <w:tcPr>
            <w:tcW w:w="567" w:type="pct"/>
            <w:tcBorders>
              <w:top w:val="single" w:color="auto" w:sz="4" w:space="0"/>
              <w:left w:val="single" w:color="auto" w:sz="4" w:space="0"/>
              <w:bottom w:val="single" w:color="auto" w:sz="4" w:space="0"/>
              <w:right w:val="single" w:color="auto" w:sz="4" w:space="0"/>
            </w:tcBorders>
            <w:vAlign w:val="center"/>
          </w:tcPr>
          <w:p w14:paraId="293E9C03">
            <w:pPr>
              <w:pStyle w:val="28"/>
              <w:bidi w:val="0"/>
            </w:pPr>
            <w:r>
              <w:t>水质影响+水文影响</w:t>
            </w:r>
          </w:p>
        </w:tc>
        <w:tc>
          <w:tcPr>
            <w:tcW w:w="2305" w:type="pct"/>
            <w:tcBorders>
              <w:top w:val="single" w:color="auto" w:sz="4" w:space="0"/>
              <w:left w:val="single" w:color="auto" w:sz="4" w:space="0"/>
              <w:bottom w:val="single" w:color="auto" w:sz="4" w:space="0"/>
              <w:right w:val="single" w:color="auto" w:sz="4" w:space="0"/>
            </w:tcBorders>
            <w:vAlign w:val="center"/>
          </w:tcPr>
          <w:p w14:paraId="7B3A3E59">
            <w:pPr>
              <w:pStyle w:val="28"/>
              <w:bidi w:val="0"/>
            </w:pPr>
            <w:r>
              <w:t>潜南干渠袁店支渠进水口起点上游500m，至整治终点桩号（6+0000）下游2000m，长度约8.5km</w:t>
            </w:r>
          </w:p>
        </w:tc>
      </w:tr>
      <w:tr w14:paraId="66276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572947DA">
            <w:pPr>
              <w:pStyle w:val="28"/>
              <w:bidi w:val="0"/>
            </w:pPr>
            <w:r>
              <w:t>18</w:t>
            </w:r>
          </w:p>
        </w:tc>
        <w:tc>
          <w:tcPr>
            <w:tcW w:w="2787" w:type="dxa"/>
            <w:tcBorders>
              <w:top w:val="single" w:color="auto" w:sz="4" w:space="0"/>
              <w:left w:val="single" w:color="auto" w:sz="4" w:space="0"/>
              <w:bottom w:val="single" w:color="auto" w:sz="4" w:space="0"/>
              <w:right w:val="single" w:color="auto" w:sz="4" w:space="0"/>
            </w:tcBorders>
            <w:vAlign w:val="center"/>
          </w:tcPr>
          <w:p w14:paraId="5E11679D">
            <w:pPr>
              <w:pStyle w:val="28"/>
              <w:bidi w:val="0"/>
            </w:pPr>
            <w:r>
              <w:rPr>
                <w:rFonts w:hint="eastAsia"/>
              </w:rPr>
              <w:t>堰西支渠工程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35BDA5EB">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0C0B2EA6">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16055FD2">
            <w:pPr>
              <w:pStyle w:val="28"/>
              <w:bidi w:val="0"/>
            </w:pPr>
            <w:r>
              <w:t>堰西支渠桩号（10+800）起点上游500m，至整治终点桩号（11+930）下游2000m，长度约4.76km</w:t>
            </w:r>
          </w:p>
        </w:tc>
      </w:tr>
      <w:tr w14:paraId="1BAA26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43B7BFC3">
            <w:pPr>
              <w:pStyle w:val="28"/>
              <w:bidi w:val="0"/>
            </w:pPr>
            <w:r>
              <w:t>19</w:t>
            </w:r>
          </w:p>
        </w:tc>
        <w:tc>
          <w:tcPr>
            <w:tcW w:w="2787" w:type="dxa"/>
            <w:tcBorders>
              <w:top w:val="single" w:color="auto" w:sz="4" w:space="0"/>
              <w:left w:val="single" w:color="auto" w:sz="4" w:space="0"/>
              <w:bottom w:val="single" w:color="auto" w:sz="4" w:space="0"/>
              <w:right w:val="single" w:color="auto" w:sz="4" w:space="0"/>
            </w:tcBorders>
            <w:vAlign w:val="center"/>
          </w:tcPr>
          <w:p w14:paraId="3FC8AED0">
            <w:pPr>
              <w:pStyle w:val="28"/>
              <w:bidi w:val="0"/>
            </w:pPr>
            <w:r>
              <w:rPr>
                <w:rFonts w:hint="eastAsia"/>
              </w:rPr>
              <w:t>众兴双庙支渠工程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4C0418C6">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1E9AA8E7">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678FF025">
            <w:pPr>
              <w:pStyle w:val="28"/>
              <w:bidi w:val="0"/>
            </w:pPr>
            <w:r>
              <w:t>双庙支渠桩号（0+650）起点上游500m，至整治终点桩号（5+135）下游2000m，长度约6.985km</w:t>
            </w:r>
          </w:p>
        </w:tc>
      </w:tr>
      <w:tr w14:paraId="344AE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56CFEC9A">
            <w:pPr>
              <w:pStyle w:val="28"/>
              <w:bidi w:val="0"/>
            </w:pPr>
            <w:r>
              <w:t>20</w:t>
            </w:r>
          </w:p>
        </w:tc>
        <w:tc>
          <w:tcPr>
            <w:tcW w:w="2787" w:type="dxa"/>
            <w:tcBorders>
              <w:top w:val="single" w:color="auto" w:sz="4" w:space="0"/>
              <w:left w:val="single" w:color="auto" w:sz="4" w:space="0"/>
              <w:bottom w:val="single" w:color="auto" w:sz="4" w:space="0"/>
              <w:right w:val="single" w:color="auto" w:sz="4" w:space="0"/>
            </w:tcBorders>
            <w:vAlign w:val="center"/>
          </w:tcPr>
          <w:p w14:paraId="34352C31">
            <w:pPr>
              <w:pStyle w:val="28"/>
              <w:bidi w:val="0"/>
            </w:pPr>
            <w:r>
              <w:rPr>
                <w:rFonts w:hint="eastAsia"/>
              </w:rPr>
              <w:t>大高支渠工程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179B5325">
            <w:pPr>
              <w:pStyle w:val="28"/>
              <w:bidi w:val="0"/>
            </w:pPr>
            <w:r>
              <w:t>一级</w:t>
            </w:r>
          </w:p>
        </w:tc>
        <w:tc>
          <w:tcPr>
            <w:tcW w:w="567" w:type="pct"/>
            <w:tcBorders>
              <w:top w:val="single" w:color="auto" w:sz="4" w:space="0"/>
              <w:left w:val="single" w:color="auto" w:sz="4" w:space="0"/>
              <w:bottom w:val="single" w:color="auto" w:sz="4" w:space="0"/>
              <w:right w:val="single" w:color="auto" w:sz="4" w:space="0"/>
            </w:tcBorders>
            <w:vAlign w:val="center"/>
          </w:tcPr>
          <w:p w14:paraId="77E30087">
            <w:pPr>
              <w:pStyle w:val="28"/>
              <w:bidi w:val="0"/>
            </w:pPr>
            <w:r>
              <w:t>水质影响+水文影响</w:t>
            </w:r>
          </w:p>
        </w:tc>
        <w:tc>
          <w:tcPr>
            <w:tcW w:w="2305" w:type="pct"/>
            <w:tcBorders>
              <w:top w:val="single" w:color="auto" w:sz="4" w:space="0"/>
              <w:left w:val="single" w:color="auto" w:sz="4" w:space="0"/>
              <w:bottom w:val="single" w:color="auto" w:sz="4" w:space="0"/>
              <w:right w:val="single" w:color="auto" w:sz="4" w:space="0"/>
            </w:tcBorders>
            <w:vAlign w:val="center"/>
          </w:tcPr>
          <w:p w14:paraId="71BF0D7C">
            <w:pPr>
              <w:pStyle w:val="28"/>
              <w:bidi w:val="0"/>
            </w:pPr>
            <w:r>
              <w:t>众兴分干渠大高支渠进水口上游500m，至程段水库，长度约7.6km</w:t>
            </w:r>
          </w:p>
        </w:tc>
      </w:tr>
      <w:tr w14:paraId="38FAD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3AF0714D">
            <w:pPr>
              <w:pStyle w:val="28"/>
              <w:bidi w:val="0"/>
            </w:pPr>
            <w:r>
              <w:t>21</w:t>
            </w:r>
          </w:p>
        </w:tc>
        <w:tc>
          <w:tcPr>
            <w:tcW w:w="2787" w:type="dxa"/>
            <w:tcBorders>
              <w:top w:val="single" w:color="auto" w:sz="4" w:space="0"/>
              <w:left w:val="single" w:color="auto" w:sz="4" w:space="0"/>
              <w:bottom w:val="single" w:color="auto" w:sz="4" w:space="0"/>
              <w:right w:val="single" w:color="auto" w:sz="4" w:space="0"/>
            </w:tcBorders>
            <w:vAlign w:val="center"/>
          </w:tcPr>
          <w:p w14:paraId="1E9A051B">
            <w:pPr>
              <w:pStyle w:val="28"/>
              <w:bidi w:val="0"/>
            </w:pPr>
            <w:r>
              <w:rPr>
                <w:rFonts w:hint="eastAsia"/>
              </w:rPr>
              <w:t>白龙支渠工程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54D90F83">
            <w:pPr>
              <w:pStyle w:val="28"/>
              <w:bidi w:val="0"/>
            </w:pPr>
            <w:r>
              <w:t>一级</w:t>
            </w:r>
          </w:p>
        </w:tc>
        <w:tc>
          <w:tcPr>
            <w:tcW w:w="567" w:type="pct"/>
            <w:tcBorders>
              <w:top w:val="single" w:color="auto" w:sz="4" w:space="0"/>
              <w:left w:val="single" w:color="auto" w:sz="4" w:space="0"/>
              <w:bottom w:val="single" w:color="auto" w:sz="4" w:space="0"/>
              <w:right w:val="single" w:color="auto" w:sz="4" w:space="0"/>
            </w:tcBorders>
            <w:vAlign w:val="center"/>
          </w:tcPr>
          <w:p w14:paraId="17A844AD">
            <w:pPr>
              <w:pStyle w:val="28"/>
              <w:bidi w:val="0"/>
            </w:pPr>
            <w:r>
              <w:t>水质影响+水文影响</w:t>
            </w:r>
          </w:p>
        </w:tc>
        <w:tc>
          <w:tcPr>
            <w:tcW w:w="2305" w:type="pct"/>
            <w:tcBorders>
              <w:top w:val="single" w:color="auto" w:sz="4" w:space="0"/>
              <w:left w:val="single" w:color="auto" w:sz="4" w:space="0"/>
              <w:bottom w:val="single" w:color="auto" w:sz="4" w:space="0"/>
              <w:right w:val="single" w:color="auto" w:sz="4" w:space="0"/>
            </w:tcBorders>
            <w:vAlign w:val="center"/>
          </w:tcPr>
          <w:p w14:paraId="1F00CDDC">
            <w:pPr>
              <w:pStyle w:val="28"/>
              <w:bidi w:val="0"/>
            </w:pPr>
            <w:r>
              <w:t>青龙支渠白龙支渠进水口上游500m，至青龙支渠苏板桥节制闸桩号（11+950）；白龙支渠进水闸（0+000）至渠尾桩号（12+000），合计长度约24.85km</w:t>
            </w:r>
          </w:p>
        </w:tc>
      </w:tr>
      <w:tr w14:paraId="62D5E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18B61FC3">
            <w:pPr>
              <w:pStyle w:val="28"/>
              <w:bidi w:val="0"/>
            </w:pPr>
            <w:r>
              <w:t>22</w:t>
            </w:r>
          </w:p>
        </w:tc>
        <w:tc>
          <w:tcPr>
            <w:tcW w:w="2787" w:type="dxa"/>
            <w:tcBorders>
              <w:top w:val="single" w:color="auto" w:sz="4" w:space="0"/>
              <w:left w:val="single" w:color="auto" w:sz="4" w:space="0"/>
              <w:bottom w:val="single" w:color="auto" w:sz="4" w:space="0"/>
              <w:right w:val="single" w:color="auto" w:sz="4" w:space="0"/>
            </w:tcBorders>
            <w:vAlign w:val="center"/>
          </w:tcPr>
          <w:p w14:paraId="7CAB87BF">
            <w:pPr>
              <w:pStyle w:val="28"/>
              <w:bidi w:val="0"/>
            </w:pPr>
            <w:r>
              <w:rPr>
                <w:rFonts w:hint="eastAsia"/>
              </w:rPr>
              <w:t>郑岗泵站工程</w:t>
            </w:r>
          </w:p>
        </w:tc>
        <w:tc>
          <w:tcPr>
            <w:tcW w:w="408" w:type="pct"/>
            <w:tcBorders>
              <w:top w:val="single" w:color="auto" w:sz="4" w:space="0"/>
              <w:left w:val="single" w:color="auto" w:sz="4" w:space="0"/>
              <w:bottom w:val="single" w:color="auto" w:sz="4" w:space="0"/>
              <w:right w:val="single" w:color="auto" w:sz="4" w:space="0"/>
            </w:tcBorders>
            <w:vAlign w:val="center"/>
          </w:tcPr>
          <w:p w14:paraId="5DFDF91E">
            <w:pPr>
              <w:pStyle w:val="28"/>
              <w:bidi w:val="0"/>
            </w:pPr>
            <w:r>
              <w:t>二级</w:t>
            </w:r>
          </w:p>
        </w:tc>
        <w:tc>
          <w:tcPr>
            <w:tcW w:w="567" w:type="pct"/>
            <w:tcBorders>
              <w:top w:val="single" w:color="auto" w:sz="4" w:space="0"/>
              <w:left w:val="single" w:color="auto" w:sz="4" w:space="0"/>
              <w:bottom w:val="single" w:color="auto" w:sz="4" w:space="0"/>
              <w:right w:val="single" w:color="auto" w:sz="4" w:space="0"/>
            </w:tcBorders>
            <w:vAlign w:val="center"/>
          </w:tcPr>
          <w:p w14:paraId="1A7BAD0C">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614120C2">
            <w:pPr>
              <w:pStyle w:val="28"/>
              <w:bidi w:val="0"/>
            </w:pPr>
            <w:r>
              <w:t>万小河寿县小甸镇水厂饮用水水源保护区范围，引水渠范围，李山支取进水下游2000m没合计10.8km</w:t>
            </w:r>
          </w:p>
        </w:tc>
      </w:tr>
      <w:tr w14:paraId="334CB4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7FCB4E25">
            <w:pPr>
              <w:pStyle w:val="28"/>
              <w:bidi w:val="0"/>
            </w:pPr>
            <w:r>
              <w:t>23</w:t>
            </w:r>
          </w:p>
        </w:tc>
        <w:tc>
          <w:tcPr>
            <w:tcW w:w="2787" w:type="dxa"/>
            <w:tcBorders>
              <w:top w:val="single" w:color="auto" w:sz="4" w:space="0"/>
              <w:left w:val="single" w:color="auto" w:sz="4" w:space="0"/>
              <w:bottom w:val="single" w:color="auto" w:sz="4" w:space="0"/>
              <w:right w:val="single" w:color="auto" w:sz="4" w:space="0"/>
            </w:tcBorders>
            <w:vAlign w:val="center"/>
          </w:tcPr>
          <w:p w14:paraId="41113EA4">
            <w:pPr>
              <w:pStyle w:val="28"/>
              <w:bidi w:val="0"/>
            </w:pPr>
            <w:r>
              <w:rPr>
                <w:rFonts w:hint="eastAsia"/>
              </w:rPr>
              <w:t>沣东干渠工程</w:t>
            </w:r>
          </w:p>
        </w:tc>
        <w:tc>
          <w:tcPr>
            <w:tcW w:w="408" w:type="pct"/>
            <w:tcBorders>
              <w:top w:val="single" w:color="auto" w:sz="4" w:space="0"/>
              <w:left w:val="single" w:color="auto" w:sz="4" w:space="0"/>
              <w:bottom w:val="single" w:color="auto" w:sz="4" w:space="0"/>
              <w:right w:val="single" w:color="auto" w:sz="4" w:space="0"/>
            </w:tcBorders>
            <w:vAlign w:val="center"/>
          </w:tcPr>
          <w:p w14:paraId="33872D60">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1416CF5E">
            <w:pPr>
              <w:pStyle w:val="28"/>
              <w:bidi w:val="0"/>
            </w:pPr>
            <w:r>
              <w:t>水质影响+水文影响</w:t>
            </w:r>
          </w:p>
        </w:tc>
        <w:tc>
          <w:tcPr>
            <w:tcW w:w="2305" w:type="pct"/>
            <w:tcBorders>
              <w:top w:val="single" w:color="auto" w:sz="4" w:space="0"/>
              <w:left w:val="single" w:color="auto" w:sz="4" w:space="0"/>
              <w:bottom w:val="single" w:color="auto" w:sz="4" w:space="0"/>
              <w:right w:val="single" w:color="auto" w:sz="4" w:space="0"/>
            </w:tcBorders>
            <w:vAlign w:val="center"/>
          </w:tcPr>
          <w:p w14:paraId="203B9AAC">
            <w:pPr>
              <w:pStyle w:val="28"/>
              <w:bidi w:val="0"/>
            </w:pPr>
            <w:r>
              <w:t>沣东干渠桩号（37+700）起点上游500m，至整治终点桩号（53+000）下游2000m，长度约17.8km</w:t>
            </w:r>
          </w:p>
        </w:tc>
      </w:tr>
      <w:tr w14:paraId="015D5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009FF9EF">
            <w:pPr>
              <w:pStyle w:val="28"/>
              <w:bidi w:val="0"/>
            </w:pPr>
            <w:r>
              <w:t>24</w:t>
            </w:r>
          </w:p>
        </w:tc>
        <w:tc>
          <w:tcPr>
            <w:tcW w:w="2787" w:type="dxa"/>
            <w:tcBorders>
              <w:top w:val="single" w:color="auto" w:sz="4" w:space="0"/>
              <w:left w:val="single" w:color="auto" w:sz="4" w:space="0"/>
              <w:bottom w:val="single" w:color="auto" w:sz="4" w:space="0"/>
              <w:right w:val="single" w:color="auto" w:sz="4" w:space="0"/>
            </w:tcBorders>
            <w:vAlign w:val="center"/>
          </w:tcPr>
          <w:p w14:paraId="6A2CA01A">
            <w:pPr>
              <w:pStyle w:val="28"/>
              <w:bidi w:val="0"/>
            </w:pPr>
            <w:r>
              <w:rPr>
                <w:rFonts w:hint="eastAsia"/>
              </w:rPr>
              <w:t>沣西干渠工程</w:t>
            </w:r>
          </w:p>
        </w:tc>
        <w:tc>
          <w:tcPr>
            <w:tcW w:w="408" w:type="pct"/>
            <w:tcBorders>
              <w:top w:val="single" w:color="auto" w:sz="4" w:space="0"/>
              <w:left w:val="single" w:color="auto" w:sz="4" w:space="0"/>
              <w:bottom w:val="single" w:color="auto" w:sz="4" w:space="0"/>
              <w:right w:val="single" w:color="auto" w:sz="4" w:space="0"/>
            </w:tcBorders>
            <w:vAlign w:val="center"/>
          </w:tcPr>
          <w:p w14:paraId="2FBBBED3">
            <w:pPr>
              <w:pStyle w:val="28"/>
              <w:bidi w:val="0"/>
            </w:pPr>
            <w:r>
              <w:t>二级</w:t>
            </w:r>
          </w:p>
        </w:tc>
        <w:tc>
          <w:tcPr>
            <w:tcW w:w="567" w:type="pct"/>
            <w:tcBorders>
              <w:top w:val="single" w:color="auto" w:sz="4" w:space="0"/>
              <w:left w:val="single" w:color="auto" w:sz="4" w:space="0"/>
              <w:bottom w:val="single" w:color="auto" w:sz="4" w:space="0"/>
              <w:right w:val="single" w:color="auto" w:sz="4" w:space="0"/>
            </w:tcBorders>
            <w:vAlign w:val="center"/>
          </w:tcPr>
          <w:p w14:paraId="70FC334E">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4998CE18">
            <w:pPr>
              <w:pStyle w:val="28"/>
              <w:bidi w:val="0"/>
            </w:pPr>
            <w:r>
              <w:t>沣西干渠低线桩号（30+000）起点上游500m，至整治终点桩号（84+700）下游2000m史河；龙潭水库至沣西干渠高线桩号（107+000）。</w:t>
            </w:r>
          </w:p>
        </w:tc>
      </w:tr>
      <w:tr w14:paraId="6B8BF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308E19D2">
            <w:pPr>
              <w:pStyle w:val="28"/>
              <w:bidi w:val="0"/>
            </w:pPr>
            <w:r>
              <w:t>25</w:t>
            </w:r>
          </w:p>
        </w:tc>
        <w:tc>
          <w:tcPr>
            <w:tcW w:w="2787" w:type="dxa"/>
            <w:tcBorders>
              <w:top w:val="single" w:color="auto" w:sz="4" w:space="0"/>
              <w:left w:val="single" w:color="auto" w:sz="4" w:space="0"/>
              <w:bottom w:val="single" w:color="auto" w:sz="4" w:space="0"/>
              <w:right w:val="single" w:color="auto" w:sz="4" w:space="0"/>
            </w:tcBorders>
            <w:vAlign w:val="center"/>
          </w:tcPr>
          <w:p w14:paraId="0CA3882B">
            <w:pPr>
              <w:pStyle w:val="28"/>
              <w:bidi w:val="0"/>
            </w:pPr>
            <w:r>
              <w:rPr>
                <w:rFonts w:hint="eastAsia"/>
              </w:rPr>
              <w:t>姚李支渠工程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397D8C1C">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3D20696B">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6C3638D6">
            <w:pPr>
              <w:pStyle w:val="28"/>
              <w:bidi w:val="0"/>
            </w:pPr>
            <w:r>
              <w:t>红星支渠姚李支渠进水口上游500m，至姚李支渠整治终点桩号（17+700），长度约18.2km</w:t>
            </w:r>
          </w:p>
        </w:tc>
      </w:tr>
      <w:tr w14:paraId="026AB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0FDE4458">
            <w:pPr>
              <w:pStyle w:val="28"/>
              <w:bidi w:val="0"/>
            </w:pPr>
            <w:r>
              <w:t>26</w:t>
            </w:r>
          </w:p>
        </w:tc>
        <w:tc>
          <w:tcPr>
            <w:tcW w:w="2787" w:type="dxa"/>
            <w:tcBorders>
              <w:top w:val="single" w:color="auto" w:sz="4" w:space="0"/>
              <w:left w:val="single" w:color="auto" w:sz="4" w:space="0"/>
              <w:bottom w:val="single" w:color="auto" w:sz="4" w:space="0"/>
              <w:right w:val="single" w:color="auto" w:sz="4" w:space="0"/>
            </w:tcBorders>
            <w:vAlign w:val="center"/>
          </w:tcPr>
          <w:p w14:paraId="3E8F2339">
            <w:pPr>
              <w:pStyle w:val="28"/>
              <w:bidi w:val="0"/>
            </w:pPr>
            <w:r>
              <w:rPr>
                <w:rFonts w:hint="eastAsia"/>
              </w:rPr>
              <w:t>胜天支渠工程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5FCCB230">
            <w:pPr>
              <w:pStyle w:val="28"/>
              <w:bidi w:val="0"/>
            </w:pPr>
            <w:r>
              <w:t>二级</w:t>
            </w:r>
          </w:p>
        </w:tc>
        <w:tc>
          <w:tcPr>
            <w:tcW w:w="567" w:type="pct"/>
            <w:tcBorders>
              <w:top w:val="single" w:color="auto" w:sz="4" w:space="0"/>
              <w:left w:val="single" w:color="auto" w:sz="4" w:space="0"/>
              <w:bottom w:val="single" w:color="auto" w:sz="4" w:space="0"/>
              <w:right w:val="single" w:color="auto" w:sz="4" w:space="0"/>
            </w:tcBorders>
            <w:vAlign w:val="center"/>
          </w:tcPr>
          <w:p w14:paraId="5CAAC17F">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0EBC3811">
            <w:pPr>
              <w:pStyle w:val="28"/>
              <w:bidi w:val="0"/>
            </w:pPr>
            <w:r>
              <w:t>沣西干渠胜天支渠进水口上游500m，至胜天支渠整治终点桩号（16+500），长度约17.1km</w:t>
            </w:r>
          </w:p>
        </w:tc>
      </w:tr>
      <w:tr w14:paraId="3FAFA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3F3C3F9F">
            <w:pPr>
              <w:pStyle w:val="28"/>
              <w:bidi w:val="0"/>
            </w:pPr>
            <w:r>
              <w:t>27</w:t>
            </w:r>
          </w:p>
        </w:tc>
        <w:tc>
          <w:tcPr>
            <w:tcW w:w="2787" w:type="dxa"/>
            <w:tcBorders>
              <w:top w:val="single" w:color="auto" w:sz="4" w:space="0"/>
              <w:left w:val="single" w:color="auto" w:sz="4" w:space="0"/>
              <w:bottom w:val="single" w:color="auto" w:sz="4" w:space="0"/>
              <w:right w:val="single" w:color="auto" w:sz="4" w:space="0"/>
            </w:tcBorders>
            <w:vAlign w:val="center"/>
          </w:tcPr>
          <w:p w14:paraId="43713D4F">
            <w:pPr>
              <w:pStyle w:val="28"/>
              <w:bidi w:val="0"/>
            </w:pPr>
            <w:r>
              <w:rPr>
                <w:rFonts w:hint="eastAsia"/>
              </w:rPr>
              <w:t>乌斗支渠工程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7670E2D6">
            <w:pPr>
              <w:pStyle w:val="28"/>
              <w:bidi w:val="0"/>
            </w:pPr>
            <w:r>
              <w:t>二级</w:t>
            </w:r>
          </w:p>
        </w:tc>
        <w:tc>
          <w:tcPr>
            <w:tcW w:w="567" w:type="pct"/>
            <w:tcBorders>
              <w:top w:val="single" w:color="auto" w:sz="4" w:space="0"/>
              <w:left w:val="single" w:color="auto" w:sz="4" w:space="0"/>
              <w:bottom w:val="single" w:color="auto" w:sz="4" w:space="0"/>
              <w:right w:val="single" w:color="auto" w:sz="4" w:space="0"/>
            </w:tcBorders>
            <w:vAlign w:val="center"/>
          </w:tcPr>
          <w:p w14:paraId="1020088E">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2B2D65A1">
            <w:pPr>
              <w:pStyle w:val="28"/>
              <w:bidi w:val="0"/>
            </w:pPr>
            <w:r>
              <w:t>陈楼水厂饮用水水源保护区至乌斗支渠整治终点桩号（27+500）下游2000m，长度约31.5km</w:t>
            </w:r>
          </w:p>
        </w:tc>
      </w:tr>
      <w:tr w14:paraId="730D3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444DA74B">
            <w:pPr>
              <w:pStyle w:val="28"/>
              <w:bidi w:val="0"/>
            </w:pPr>
            <w:r>
              <w:t>28</w:t>
            </w:r>
          </w:p>
        </w:tc>
        <w:tc>
          <w:tcPr>
            <w:tcW w:w="2787" w:type="dxa"/>
            <w:tcBorders>
              <w:top w:val="single" w:color="auto" w:sz="4" w:space="0"/>
              <w:left w:val="single" w:color="auto" w:sz="4" w:space="0"/>
              <w:bottom w:val="single" w:color="auto" w:sz="4" w:space="0"/>
              <w:right w:val="single" w:color="auto" w:sz="4" w:space="0"/>
            </w:tcBorders>
            <w:vAlign w:val="center"/>
          </w:tcPr>
          <w:p w14:paraId="7B97240A">
            <w:pPr>
              <w:pStyle w:val="28"/>
              <w:bidi w:val="0"/>
            </w:pPr>
            <w:r>
              <w:rPr>
                <w:rFonts w:hint="eastAsia"/>
              </w:rPr>
              <w:t>舒庐干渠</w:t>
            </w:r>
            <w:r>
              <w:t>7</w:t>
            </w:r>
            <w:r>
              <w:rPr>
                <w:rFonts w:hint="eastAsia"/>
              </w:rPr>
              <w:t>座水闸工程</w:t>
            </w:r>
          </w:p>
        </w:tc>
        <w:tc>
          <w:tcPr>
            <w:tcW w:w="408" w:type="pct"/>
            <w:tcBorders>
              <w:top w:val="single" w:color="auto" w:sz="4" w:space="0"/>
              <w:left w:val="single" w:color="auto" w:sz="4" w:space="0"/>
              <w:bottom w:val="single" w:color="auto" w:sz="4" w:space="0"/>
              <w:right w:val="single" w:color="auto" w:sz="4" w:space="0"/>
            </w:tcBorders>
            <w:vAlign w:val="center"/>
          </w:tcPr>
          <w:p w14:paraId="2F84A3AB">
            <w:pPr>
              <w:pStyle w:val="28"/>
              <w:bidi w:val="0"/>
            </w:pPr>
            <w:r>
              <w:t>二级</w:t>
            </w:r>
          </w:p>
        </w:tc>
        <w:tc>
          <w:tcPr>
            <w:tcW w:w="567" w:type="pct"/>
            <w:tcBorders>
              <w:top w:val="single" w:color="auto" w:sz="4" w:space="0"/>
              <w:left w:val="single" w:color="auto" w:sz="4" w:space="0"/>
              <w:bottom w:val="single" w:color="auto" w:sz="4" w:space="0"/>
              <w:right w:val="single" w:color="auto" w:sz="4" w:space="0"/>
            </w:tcBorders>
            <w:vAlign w:val="center"/>
          </w:tcPr>
          <w:p w14:paraId="5EBBCBE0">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7523C99F">
            <w:pPr>
              <w:pStyle w:val="28"/>
              <w:bidi w:val="0"/>
            </w:pPr>
            <w:r>
              <w:t>舒庐干渠7座水闸上游500m至下游2000m；包括果园山水库饮用水水源保护区、泄水渠道下游2000m</w:t>
            </w:r>
          </w:p>
        </w:tc>
      </w:tr>
      <w:tr w14:paraId="1C5C6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6DB9F9BE">
            <w:pPr>
              <w:pStyle w:val="28"/>
              <w:bidi w:val="0"/>
            </w:pPr>
            <w:r>
              <w:t>29</w:t>
            </w:r>
          </w:p>
        </w:tc>
        <w:tc>
          <w:tcPr>
            <w:tcW w:w="2787" w:type="dxa"/>
            <w:tcBorders>
              <w:top w:val="single" w:color="auto" w:sz="4" w:space="0"/>
              <w:left w:val="single" w:color="auto" w:sz="4" w:space="0"/>
              <w:bottom w:val="single" w:color="auto" w:sz="4" w:space="0"/>
              <w:right w:val="single" w:color="auto" w:sz="4" w:space="0"/>
            </w:tcBorders>
            <w:vAlign w:val="center"/>
          </w:tcPr>
          <w:p w14:paraId="57571091">
            <w:pPr>
              <w:pStyle w:val="28"/>
              <w:bidi w:val="0"/>
            </w:pPr>
            <w:r>
              <w:rPr>
                <w:rFonts w:hint="eastAsia"/>
              </w:rPr>
              <w:t>杭北干渠工程</w:t>
            </w:r>
          </w:p>
        </w:tc>
        <w:tc>
          <w:tcPr>
            <w:tcW w:w="408" w:type="pct"/>
            <w:tcBorders>
              <w:top w:val="single" w:color="auto" w:sz="4" w:space="0"/>
              <w:left w:val="single" w:color="auto" w:sz="4" w:space="0"/>
              <w:bottom w:val="single" w:color="auto" w:sz="4" w:space="0"/>
              <w:right w:val="single" w:color="auto" w:sz="4" w:space="0"/>
            </w:tcBorders>
            <w:vAlign w:val="center"/>
          </w:tcPr>
          <w:p w14:paraId="5F9FBC28">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432DF9EF">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3CE8F274">
            <w:pPr>
              <w:pStyle w:val="28"/>
              <w:bidi w:val="0"/>
            </w:pPr>
            <w:r>
              <w:t>杭北干渠桩号（25+430）起点上游500m，至桩号（34+580）下游2000m；桩号（49+500）起点上游500m，至桩号（68+890）下游2000m；包括舒城县千人桥镇、千人桥镇上阳2个水厂饮用水水源保护区</w:t>
            </w:r>
          </w:p>
        </w:tc>
      </w:tr>
      <w:tr w14:paraId="45C72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1EB9DC6E">
            <w:pPr>
              <w:pStyle w:val="28"/>
              <w:bidi w:val="0"/>
            </w:pPr>
            <w:r>
              <w:t>30</w:t>
            </w:r>
          </w:p>
        </w:tc>
        <w:tc>
          <w:tcPr>
            <w:tcW w:w="2787" w:type="dxa"/>
            <w:tcBorders>
              <w:top w:val="single" w:color="auto" w:sz="4" w:space="0"/>
              <w:left w:val="single" w:color="auto" w:sz="4" w:space="0"/>
              <w:bottom w:val="single" w:color="auto" w:sz="4" w:space="0"/>
              <w:right w:val="single" w:color="auto" w:sz="4" w:space="0"/>
            </w:tcBorders>
            <w:vAlign w:val="center"/>
          </w:tcPr>
          <w:p w14:paraId="02846892">
            <w:pPr>
              <w:pStyle w:val="28"/>
              <w:bidi w:val="0"/>
            </w:pPr>
            <w:r>
              <w:rPr>
                <w:rFonts w:hint="eastAsia"/>
              </w:rPr>
              <w:t>沙胜支渠工程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4EA08099">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173427B0">
            <w:pPr>
              <w:pStyle w:val="28"/>
              <w:bidi w:val="0"/>
            </w:pPr>
            <w:r>
              <w:t>水质影响+水文影响</w:t>
            </w:r>
          </w:p>
        </w:tc>
        <w:tc>
          <w:tcPr>
            <w:tcW w:w="2305" w:type="pct"/>
            <w:tcBorders>
              <w:top w:val="single" w:color="auto" w:sz="4" w:space="0"/>
              <w:left w:val="single" w:color="auto" w:sz="4" w:space="0"/>
              <w:bottom w:val="single" w:color="auto" w:sz="4" w:space="0"/>
              <w:right w:val="single" w:color="auto" w:sz="4" w:space="0"/>
            </w:tcBorders>
            <w:vAlign w:val="center"/>
          </w:tcPr>
          <w:p w14:paraId="6DCEFD67">
            <w:pPr>
              <w:pStyle w:val="28"/>
              <w:bidi w:val="0"/>
            </w:pPr>
            <w:r>
              <w:t>庐南分干渠沙胜支渠进水口上游500m，至霍湾水库，长度25.5km</w:t>
            </w:r>
          </w:p>
        </w:tc>
      </w:tr>
      <w:tr w14:paraId="64A25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6905D836">
            <w:pPr>
              <w:pStyle w:val="28"/>
              <w:bidi w:val="0"/>
            </w:pPr>
            <w:r>
              <w:t>31</w:t>
            </w:r>
          </w:p>
        </w:tc>
        <w:tc>
          <w:tcPr>
            <w:tcW w:w="2787" w:type="dxa"/>
            <w:tcBorders>
              <w:top w:val="single" w:color="auto" w:sz="4" w:space="0"/>
              <w:left w:val="single" w:color="auto" w:sz="4" w:space="0"/>
              <w:bottom w:val="single" w:color="auto" w:sz="4" w:space="0"/>
              <w:right w:val="single" w:color="auto" w:sz="4" w:space="0"/>
            </w:tcBorders>
            <w:vAlign w:val="center"/>
          </w:tcPr>
          <w:p w14:paraId="528F5D10">
            <w:pPr>
              <w:pStyle w:val="28"/>
              <w:bidi w:val="0"/>
            </w:pPr>
            <w:r>
              <w:rPr>
                <w:rFonts w:hint="eastAsia"/>
              </w:rPr>
              <w:t>乐桥支渠工程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7328E86C">
            <w:pPr>
              <w:pStyle w:val="28"/>
              <w:bidi w:val="0"/>
            </w:pPr>
            <w:r>
              <w:t>三级</w:t>
            </w:r>
          </w:p>
        </w:tc>
        <w:tc>
          <w:tcPr>
            <w:tcW w:w="567" w:type="pct"/>
            <w:tcBorders>
              <w:top w:val="single" w:color="auto" w:sz="4" w:space="0"/>
              <w:left w:val="single" w:color="auto" w:sz="4" w:space="0"/>
              <w:bottom w:val="single" w:color="auto" w:sz="4" w:space="0"/>
              <w:right w:val="single" w:color="auto" w:sz="4" w:space="0"/>
            </w:tcBorders>
            <w:vAlign w:val="center"/>
          </w:tcPr>
          <w:p w14:paraId="5D26BB6D">
            <w:pPr>
              <w:pStyle w:val="28"/>
              <w:bidi w:val="0"/>
            </w:pPr>
            <w:r>
              <w:t>水质影响</w:t>
            </w:r>
          </w:p>
        </w:tc>
        <w:tc>
          <w:tcPr>
            <w:tcW w:w="2305" w:type="pct"/>
            <w:tcBorders>
              <w:top w:val="single" w:color="auto" w:sz="4" w:space="0"/>
              <w:left w:val="single" w:color="auto" w:sz="4" w:space="0"/>
              <w:bottom w:val="single" w:color="auto" w:sz="4" w:space="0"/>
              <w:right w:val="single" w:color="auto" w:sz="4" w:space="0"/>
            </w:tcBorders>
            <w:vAlign w:val="center"/>
          </w:tcPr>
          <w:p w14:paraId="5CB48AE7">
            <w:pPr>
              <w:pStyle w:val="28"/>
              <w:bidi w:val="0"/>
            </w:pPr>
            <w:r>
              <w:t>庐南分干渠乐桥支渠进水口上游500m，至支渠渠尾桩号（24+000），长度11km</w:t>
            </w:r>
          </w:p>
        </w:tc>
      </w:tr>
      <w:tr w14:paraId="7D188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85" w:type="pct"/>
            <w:tcBorders>
              <w:top w:val="single" w:color="auto" w:sz="4" w:space="0"/>
              <w:left w:val="single" w:color="auto" w:sz="4" w:space="0"/>
              <w:bottom w:val="single" w:color="auto" w:sz="4" w:space="0"/>
              <w:right w:val="single" w:color="auto" w:sz="4" w:space="0"/>
            </w:tcBorders>
            <w:vAlign w:val="center"/>
          </w:tcPr>
          <w:p w14:paraId="6A4D0855">
            <w:pPr>
              <w:pStyle w:val="28"/>
              <w:bidi w:val="0"/>
            </w:pPr>
            <w:r>
              <w:t>32</w:t>
            </w:r>
          </w:p>
        </w:tc>
        <w:tc>
          <w:tcPr>
            <w:tcW w:w="2787" w:type="dxa"/>
            <w:tcBorders>
              <w:top w:val="single" w:color="auto" w:sz="4" w:space="0"/>
              <w:left w:val="single" w:color="auto" w:sz="4" w:space="0"/>
              <w:bottom w:val="single" w:color="auto" w:sz="4" w:space="0"/>
              <w:right w:val="single" w:color="auto" w:sz="4" w:space="0"/>
            </w:tcBorders>
            <w:vAlign w:val="center"/>
          </w:tcPr>
          <w:p w14:paraId="2B6960BD">
            <w:pPr>
              <w:pStyle w:val="28"/>
              <w:bidi w:val="0"/>
            </w:pPr>
            <w:r>
              <w:rPr>
                <w:rFonts w:hint="eastAsia"/>
              </w:rPr>
              <w:t>马田支渠工程</w:t>
            </w:r>
          </w:p>
        </w:tc>
        <w:tc>
          <w:tcPr>
            <w:tcW w:w="408" w:type="pct"/>
            <w:tcBorders>
              <w:top w:val="single" w:color="auto" w:sz="4" w:space="0"/>
              <w:left w:val="single" w:color="auto" w:sz="4" w:space="0"/>
              <w:bottom w:val="single" w:color="auto" w:sz="4" w:space="0"/>
              <w:right w:val="single" w:color="auto" w:sz="4" w:space="0"/>
            </w:tcBorders>
            <w:vAlign w:val="center"/>
          </w:tcPr>
          <w:p w14:paraId="4DF6A822">
            <w:pPr>
              <w:pStyle w:val="28"/>
              <w:bidi w:val="0"/>
            </w:pPr>
            <w:r>
              <w:t>一级</w:t>
            </w:r>
          </w:p>
        </w:tc>
        <w:tc>
          <w:tcPr>
            <w:tcW w:w="567" w:type="pct"/>
            <w:tcBorders>
              <w:top w:val="single" w:color="auto" w:sz="4" w:space="0"/>
              <w:left w:val="single" w:color="auto" w:sz="4" w:space="0"/>
              <w:bottom w:val="single" w:color="auto" w:sz="4" w:space="0"/>
              <w:right w:val="single" w:color="auto" w:sz="4" w:space="0"/>
            </w:tcBorders>
            <w:vAlign w:val="center"/>
          </w:tcPr>
          <w:p w14:paraId="778E0911">
            <w:pPr>
              <w:pStyle w:val="28"/>
              <w:bidi w:val="0"/>
            </w:pPr>
            <w:r>
              <w:t>水质影响+水文影响</w:t>
            </w:r>
          </w:p>
        </w:tc>
        <w:tc>
          <w:tcPr>
            <w:tcW w:w="2305" w:type="pct"/>
            <w:tcBorders>
              <w:top w:val="single" w:color="auto" w:sz="4" w:space="0"/>
              <w:left w:val="single" w:color="auto" w:sz="4" w:space="0"/>
              <w:bottom w:val="single" w:color="auto" w:sz="4" w:space="0"/>
              <w:right w:val="single" w:color="auto" w:sz="4" w:space="0"/>
            </w:tcBorders>
            <w:vAlign w:val="center"/>
          </w:tcPr>
          <w:p w14:paraId="3BC27F31">
            <w:pPr>
              <w:pStyle w:val="28"/>
              <w:bidi w:val="0"/>
            </w:pPr>
            <w:r>
              <w:t>舒庐干渠马田支渠进水口上游500m，至马田支渠渠尾，长度约9.17km</w:t>
            </w:r>
          </w:p>
        </w:tc>
      </w:tr>
    </w:tbl>
    <w:p w14:paraId="26805570">
      <w:pPr>
        <w:spacing w:line="240" w:lineRule="auto"/>
        <w:jc w:val="center"/>
        <w:rPr>
          <w:rFonts w:cs="Times New Roman"/>
          <w:color w:val="0000FF"/>
        </w:rPr>
      </w:pPr>
    </w:p>
    <w:p w14:paraId="48E22E7B">
      <w:pPr>
        <w:ind w:firstLine="480"/>
        <w:rPr>
          <w:rFonts w:cs="Times New Roman"/>
          <w:color w:val="0000FF"/>
        </w:rPr>
      </w:pPr>
      <w:r>
        <w:rPr>
          <w:rFonts w:cs="Times New Roman"/>
          <w:color w:val="0000FF"/>
        </w:rPr>
        <w:t>（2）生态影响</w:t>
      </w:r>
    </w:p>
    <w:p w14:paraId="73AF3F71">
      <w:pPr>
        <w:ind w:firstLine="480"/>
        <w:rPr>
          <w:rFonts w:cs="Times New Roman"/>
          <w:color w:val="0000FF"/>
        </w:rPr>
      </w:pPr>
      <w:r>
        <w:rPr>
          <w:rFonts w:cs="Times New Roman"/>
          <w:color w:val="0000FF"/>
        </w:rPr>
        <w:t>生态环境评价范围：本项目</w:t>
      </w:r>
      <w:r>
        <w:rPr>
          <w:rFonts w:hint="eastAsia" w:cs="Times New Roman"/>
          <w:color w:val="0000FF"/>
        </w:rPr>
        <w:t>各</w:t>
      </w:r>
      <w:r>
        <w:rPr>
          <w:rFonts w:cs="Times New Roman"/>
          <w:color w:val="0000FF"/>
        </w:rPr>
        <w:t>子工程生态影响评价范围见下表。</w:t>
      </w:r>
    </w:p>
    <w:p w14:paraId="1DD9DC66">
      <w:pPr>
        <w:pStyle w:val="29"/>
        <w:bidi w:val="0"/>
      </w:pPr>
      <w:r>
        <w:t>表1</w:t>
      </w:r>
      <w:r>
        <w:rPr>
          <w:rFonts w:hint="eastAsia"/>
          <w:lang w:val="en-US" w:eastAsia="zh-CN"/>
        </w:rPr>
        <w:t>.</w:t>
      </w:r>
      <w:r>
        <w:t>4-10  生态环境影响评价范围一览表</w:t>
      </w:r>
    </w:p>
    <w:tbl>
      <w:tblPr>
        <w:tblStyle w:val="1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4"/>
        <w:gridCol w:w="2704"/>
        <w:gridCol w:w="3058"/>
        <w:gridCol w:w="2845"/>
      </w:tblGrid>
      <w:tr w14:paraId="4B8F0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819" w:type="pct"/>
            <w:gridSpan w:val="2"/>
            <w:tcBorders>
              <w:top w:val="single" w:color="auto" w:sz="4" w:space="0"/>
              <w:left w:val="single" w:color="auto" w:sz="4" w:space="0"/>
              <w:bottom w:val="single" w:color="auto" w:sz="4" w:space="0"/>
              <w:right w:val="single" w:color="auto" w:sz="4" w:space="0"/>
            </w:tcBorders>
            <w:vAlign w:val="center"/>
          </w:tcPr>
          <w:p w14:paraId="1A7EF9B5">
            <w:pPr>
              <w:pStyle w:val="28"/>
              <w:bidi w:val="0"/>
            </w:pPr>
            <w:r>
              <w:t>项目名称</w:t>
            </w:r>
          </w:p>
        </w:tc>
        <w:tc>
          <w:tcPr>
            <w:tcW w:w="1647" w:type="pct"/>
            <w:tcBorders>
              <w:top w:val="single" w:color="auto" w:sz="4" w:space="0"/>
              <w:left w:val="single" w:color="auto" w:sz="4" w:space="0"/>
              <w:bottom w:val="single" w:color="auto" w:sz="4" w:space="0"/>
              <w:right w:val="single" w:color="auto" w:sz="4" w:space="0"/>
            </w:tcBorders>
            <w:vAlign w:val="center"/>
          </w:tcPr>
          <w:p w14:paraId="23C6DB73">
            <w:pPr>
              <w:pStyle w:val="28"/>
              <w:bidi w:val="0"/>
            </w:pPr>
            <w:r>
              <w:t>水域评价范围</w:t>
            </w:r>
          </w:p>
        </w:tc>
        <w:tc>
          <w:tcPr>
            <w:tcW w:w="1532" w:type="pct"/>
            <w:tcBorders>
              <w:top w:val="single" w:color="auto" w:sz="4" w:space="0"/>
              <w:left w:val="single" w:color="auto" w:sz="4" w:space="0"/>
              <w:bottom w:val="single" w:color="auto" w:sz="4" w:space="0"/>
              <w:right w:val="single" w:color="auto" w:sz="4" w:space="0"/>
            </w:tcBorders>
            <w:vAlign w:val="center"/>
          </w:tcPr>
          <w:p w14:paraId="044C5D7E">
            <w:pPr>
              <w:pStyle w:val="28"/>
              <w:bidi w:val="0"/>
            </w:pPr>
            <w:r>
              <w:t>陆域评价范围</w:t>
            </w:r>
          </w:p>
        </w:tc>
      </w:tr>
      <w:tr w14:paraId="22D28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21AF9CCF">
            <w:pPr>
              <w:pStyle w:val="28"/>
              <w:bidi w:val="0"/>
            </w:pPr>
            <w:r>
              <w:t>1</w:t>
            </w:r>
          </w:p>
        </w:tc>
        <w:tc>
          <w:tcPr>
            <w:tcW w:w="1455" w:type="pct"/>
            <w:tcBorders>
              <w:top w:val="single" w:color="auto" w:sz="4" w:space="0"/>
              <w:left w:val="single" w:color="auto" w:sz="4" w:space="0"/>
              <w:bottom w:val="single" w:color="auto" w:sz="4" w:space="0"/>
              <w:right w:val="single" w:color="auto" w:sz="4" w:space="0"/>
            </w:tcBorders>
            <w:vAlign w:val="center"/>
          </w:tcPr>
          <w:p w14:paraId="34F53D1C">
            <w:pPr>
              <w:pStyle w:val="28"/>
              <w:bidi w:val="0"/>
            </w:pPr>
            <w:r>
              <w:rPr>
                <w:rFonts w:hint="eastAsia"/>
              </w:rPr>
              <w:t>淠河总干渠上段工程</w:t>
            </w:r>
          </w:p>
        </w:tc>
        <w:tc>
          <w:tcPr>
            <w:tcW w:w="1647" w:type="pct"/>
            <w:tcBorders>
              <w:top w:val="single" w:color="auto" w:sz="4" w:space="0"/>
              <w:left w:val="single" w:color="auto" w:sz="4" w:space="0"/>
              <w:right w:val="single" w:color="auto" w:sz="4" w:space="0"/>
            </w:tcBorders>
            <w:vAlign w:val="center"/>
          </w:tcPr>
          <w:p w14:paraId="740A736F">
            <w:pPr>
              <w:pStyle w:val="28"/>
              <w:bidi w:val="0"/>
            </w:pPr>
            <w:r>
              <w:t>横排口进水闸至工程下游1000m</w:t>
            </w:r>
          </w:p>
        </w:tc>
        <w:tc>
          <w:tcPr>
            <w:tcW w:w="1532" w:type="pct"/>
            <w:tcBorders>
              <w:top w:val="single" w:color="auto" w:sz="4" w:space="0"/>
              <w:left w:val="single" w:color="auto" w:sz="4" w:space="0"/>
              <w:right w:val="single" w:color="auto" w:sz="4" w:space="0"/>
            </w:tcBorders>
            <w:vAlign w:val="center"/>
          </w:tcPr>
          <w:p w14:paraId="48E6B4BC">
            <w:pPr>
              <w:pStyle w:val="28"/>
              <w:bidi w:val="0"/>
            </w:pPr>
            <w:r>
              <w:t>点状工程四周外延1000m、渠道工程以中心线两侧外延1000m</w:t>
            </w:r>
          </w:p>
        </w:tc>
      </w:tr>
      <w:tr w14:paraId="06CDB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5B0C2D10">
            <w:pPr>
              <w:pStyle w:val="28"/>
              <w:bidi w:val="0"/>
            </w:pPr>
            <w:r>
              <w:t>2</w:t>
            </w:r>
          </w:p>
        </w:tc>
        <w:tc>
          <w:tcPr>
            <w:tcW w:w="1455" w:type="pct"/>
            <w:tcBorders>
              <w:top w:val="single" w:color="auto" w:sz="4" w:space="0"/>
              <w:left w:val="single" w:color="auto" w:sz="4" w:space="0"/>
              <w:bottom w:val="single" w:color="auto" w:sz="4" w:space="0"/>
              <w:right w:val="single" w:color="auto" w:sz="4" w:space="0"/>
            </w:tcBorders>
            <w:vAlign w:val="center"/>
          </w:tcPr>
          <w:p w14:paraId="2C53C67B">
            <w:pPr>
              <w:pStyle w:val="28"/>
              <w:bidi w:val="0"/>
            </w:pPr>
            <w:r>
              <w:rPr>
                <w:rFonts w:hint="eastAsia"/>
              </w:rPr>
              <w:t>樊通桥渠下涵工程</w:t>
            </w:r>
          </w:p>
        </w:tc>
        <w:tc>
          <w:tcPr>
            <w:tcW w:w="1647" w:type="pct"/>
            <w:tcBorders>
              <w:left w:val="single" w:color="auto" w:sz="4" w:space="0"/>
              <w:bottom w:val="single" w:color="auto" w:sz="4" w:space="0"/>
              <w:right w:val="single" w:color="auto" w:sz="4" w:space="0"/>
            </w:tcBorders>
            <w:vAlign w:val="center"/>
          </w:tcPr>
          <w:p w14:paraId="7C54AB3F">
            <w:pPr>
              <w:pStyle w:val="28"/>
              <w:bidi w:val="0"/>
            </w:pPr>
            <w:r>
              <w:t>点状工程上下游1000m</w:t>
            </w:r>
          </w:p>
        </w:tc>
        <w:tc>
          <w:tcPr>
            <w:tcW w:w="1532" w:type="pct"/>
            <w:tcBorders>
              <w:left w:val="single" w:color="auto" w:sz="4" w:space="0"/>
              <w:bottom w:val="single" w:color="auto" w:sz="4" w:space="0"/>
              <w:right w:val="single" w:color="auto" w:sz="4" w:space="0"/>
            </w:tcBorders>
            <w:vAlign w:val="center"/>
          </w:tcPr>
          <w:p w14:paraId="46989AB8">
            <w:pPr>
              <w:pStyle w:val="28"/>
              <w:bidi w:val="0"/>
            </w:pPr>
            <w:r>
              <w:t>点状工程四周外延1000m</w:t>
            </w:r>
          </w:p>
        </w:tc>
      </w:tr>
      <w:tr w14:paraId="49D25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68C43C2C">
            <w:pPr>
              <w:pStyle w:val="28"/>
              <w:bidi w:val="0"/>
            </w:pPr>
            <w:r>
              <w:t>3</w:t>
            </w:r>
          </w:p>
        </w:tc>
        <w:tc>
          <w:tcPr>
            <w:tcW w:w="1455" w:type="pct"/>
            <w:tcBorders>
              <w:top w:val="single" w:color="auto" w:sz="4" w:space="0"/>
              <w:left w:val="single" w:color="auto" w:sz="4" w:space="0"/>
              <w:bottom w:val="single" w:color="auto" w:sz="4" w:space="0"/>
              <w:right w:val="single" w:color="auto" w:sz="4" w:space="0"/>
            </w:tcBorders>
            <w:vAlign w:val="center"/>
          </w:tcPr>
          <w:p w14:paraId="7165B386">
            <w:pPr>
              <w:pStyle w:val="28"/>
              <w:bidi w:val="0"/>
            </w:pPr>
            <w:r>
              <w:rPr>
                <w:rFonts w:hint="eastAsia"/>
              </w:rPr>
              <w:t>淠河总干渠下段工程</w:t>
            </w:r>
          </w:p>
        </w:tc>
        <w:tc>
          <w:tcPr>
            <w:tcW w:w="1647" w:type="pct"/>
            <w:tcBorders>
              <w:top w:val="single" w:color="auto" w:sz="4" w:space="0"/>
              <w:left w:val="single" w:color="auto" w:sz="4" w:space="0"/>
              <w:bottom w:val="single" w:color="auto" w:sz="4" w:space="0"/>
              <w:right w:val="single" w:color="auto" w:sz="4" w:space="0"/>
            </w:tcBorders>
            <w:vAlign w:val="center"/>
          </w:tcPr>
          <w:p w14:paraId="788092CB">
            <w:pPr>
              <w:pStyle w:val="28"/>
              <w:bidi w:val="0"/>
            </w:pPr>
            <w:r>
              <w:t>工程上下游1000m</w:t>
            </w:r>
          </w:p>
        </w:tc>
        <w:tc>
          <w:tcPr>
            <w:tcW w:w="1532" w:type="pct"/>
            <w:tcBorders>
              <w:top w:val="single" w:color="auto" w:sz="4" w:space="0"/>
              <w:left w:val="single" w:color="auto" w:sz="4" w:space="0"/>
              <w:bottom w:val="single" w:color="auto" w:sz="4" w:space="0"/>
              <w:right w:val="single" w:color="auto" w:sz="4" w:space="0"/>
            </w:tcBorders>
            <w:vAlign w:val="center"/>
          </w:tcPr>
          <w:p w14:paraId="035A20A1">
            <w:pPr>
              <w:pStyle w:val="28"/>
              <w:bidi w:val="0"/>
            </w:pPr>
            <w:r>
              <w:t>干渠道中心线两侧外延1000m</w:t>
            </w:r>
          </w:p>
        </w:tc>
      </w:tr>
      <w:tr w14:paraId="24193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23376B76">
            <w:pPr>
              <w:pStyle w:val="28"/>
              <w:bidi w:val="0"/>
            </w:pPr>
            <w:r>
              <w:t>4</w:t>
            </w:r>
          </w:p>
        </w:tc>
        <w:tc>
          <w:tcPr>
            <w:tcW w:w="1455" w:type="pct"/>
            <w:tcBorders>
              <w:top w:val="single" w:color="auto" w:sz="4" w:space="0"/>
              <w:left w:val="single" w:color="auto" w:sz="4" w:space="0"/>
              <w:bottom w:val="single" w:color="auto" w:sz="4" w:space="0"/>
              <w:right w:val="single" w:color="auto" w:sz="4" w:space="0"/>
            </w:tcBorders>
            <w:vAlign w:val="center"/>
          </w:tcPr>
          <w:p w14:paraId="2957CC0E">
            <w:pPr>
              <w:pStyle w:val="28"/>
              <w:bidi w:val="0"/>
            </w:pPr>
            <w:r>
              <w:rPr>
                <w:rFonts w:hint="eastAsia"/>
              </w:rPr>
              <w:t>聚星渡槽工程</w:t>
            </w:r>
          </w:p>
        </w:tc>
        <w:tc>
          <w:tcPr>
            <w:tcW w:w="1647" w:type="pct"/>
            <w:tcBorders>
              <w:top w:val="single" w:color="auto" w:sz="4" w:space="0"/>
              <w:left w:val="single" w:color="auto" w:sz="4" w:space="0"/>
              <w:bottom w:val="single" w:color="auto" w:sz="4" w:space="0"/>
              <w:right w:val="single" w:color="auto" w:sz="4" w:space="0"/>
            </w:tcBorders>
            <w:vAlign w:val="center"/>
          </w:tcPr>
          <w:p w14:paraId="072022BC">
            <w:pPr>
              <w:pStyle w:val="28"/>
              <w:bidi w:val="0"/>
            </w:pPr>
            <w:r>
              <w:t>工程上下游1000m</w:t>
            </w:r>
          </w:p>
        </w:tc>
        <w:tc>
          <w:tcPr>
            <w:tcW w:w="1532" w:type="pct"/>
            <w:tcBorders>
              <w:top w:val="single" w:color="auto" w:sz="4" w:space="0"/>
              <w:left w:val="single" w:color="auto" w:sz="4" w:space="0"/>
              <w:bottom w:val="single" w:color="auto" w:sz="4" w:space="0"/>
              <w:right w:val="single" w:color="auto" w:sz="4" w:space="0"/>
            </w:tcBorders>
            <w:vAlign w:val="center"/>
          </w:tcPr>
          <w:p w14:paraId="19EAF83E">
            <w:pPr>
              <w:pStyle w:val="28"/>
              <w:bidi w:val="0"/>
            </w:pPr>
            <w:r>
              <w:t>点状工程四周外延1000m</w:t>
            </w:r>
          </w:p>
        </w:tc>
      </w:tr>
      <w:tr w14:paraId="4A6E2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0EFCC1EA">
            <w:pPr>
              <w:pStyle w:val="28"/>
              <w:bidi w:val="0"/>
            </w:pPr>
            <w:r>
              <w:t>5</w:t>
            </w:r>
          </w:p>
        </w:tc>
        <w:tc>
          <w:tcPr>
            <w:tcW w:w="1455" w:type="pct"/>
            <w:tcBorders>
              <w:top w:val="single" w:color="auto" w:sz="4" w:space="0"/>
              <w:left w:val="single" w:color="auto" w:sz="4" w:space="0"/>
              <w:bottom w:val="single" w:color="auto" w:sz="4" w:space="0"/>
              <w:right w:val="single" w:color="auto" w:sz="4" w:space="0"/>
            </w:tcBorders>
            <w:vAlign w:val="center"/>
          </w:tcPr>
          <w:p w14:paraId="2BF659E3">
            <w:pPr>
              <w:pStyle w:val="28"/>
              <w:bidi w:val="0"/>
            </w:pPr>
            <w:r>
              <w:rPr>
                <w:rFonts w:hint="eastAsia"/>
              </w:rPr>
              <w:t>滁河干渠总局直管段工程</w:t>
            </w:r>
          </w:p>
        </w:tc>
        <w:tc>
          <w:tcPr>
            <w:tcW w:w="1647" w:type="pct"/>
            <w:tcBorders>
              <w:top w:val="single" w:color="auto" w:sz="4" w:space="0"/>
              <w:left w:val="single" w:color="auto" w:sz="4" w:space="0"/>
              <w:bottom w:val="single" w:color="auto" w:sz="4" w:space="0"/>
              <w:right w:val="single" w:color="auto" w:sz="4" w:space="0"/>
            </w:tcBorders>
            <w:vAlign w:val="center"/>
          </w:tcPr>
          <w:p w14:paraId="05BF3A4A">
            <w:pPr>
              <w:pStyle w:val="28"/>
              <w:bidi w:val="0"/>
            </w:pPr>
            <w:r>
              <w:t>工程上下游1000m</w:t>
            </w:r>
          </w:p>
        </w:tc>
        <w:tc>
          <w:tcPr>
            <w:tcW w:w="1532" w:type="pct"/>
            <w:tcBorders>
              <w:top w:val="single" w:color="auto" w:sz="4" w:space="0"/>
              <w:left w:val="single" w:color="auto" w:sz="4" w:space="0"/>
              <w:bottom w:val="single" w:color="auto" w:sz="4" w:space="0"/>
              <w:right w:val="single" w:color="auto" w:sz="4" w:space="0"/>
            </w:tcBorders>
            <w:vAlign w:val="center"/>
          </w:tcPr>
          <w:p w14:paraId="5C143355">
            <w:pPr>
              <w:pStyle w:val="28"/>
              <w:bidi w:val="0"/>
            </w:pPr>
            <w:r>
              <w:t>治理段两端外延1000m，干渠道中心线两侧外延1000m</w:t>
            </w:r>
          </w:p>
        </w:tc>
      </w:tr>
      <w:tr w14:paraId="2A36E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4E843341">
            <w:pPr>
              <w:pStyle w:val="28"/>
              <w:bidi w:val="0"/>
            </w:pPr>
            <w:r>
              <w:t>6</w:t>
            </w:r>
          </w:p>
        </w:tc>
        <w:tc>
          <w:tcPr>
            <w:tcW w:w="1455" w:type="pct"/>
            <w:tcBorders>
              <w:top w:val="single" w:color="auto" w:sz="4" w:space="0"/>
              <w:left w:val="single" w:color="auto" w:sz="4" w:space="0"/>
              <w:bottom w:val="single" w:color="auto" w:sz="4" w:space="0"/>
              <w:right w:val="single" w:color="auto" w:sz="4" w:space="0"/>
            </w:tcBorders>
            <w:vAlign w:val="center"/>
          </w:tcPr>
          <w:p w14:paraId="6F4F2D42">
            <w:pPr>
              <w:pStyle w:val="28"/>
              <w:bidi w:val="0"/>
            </w:pPr>
            <w:r>
              <w:rPr>
                <w:rFonts w:hint="eastAsia"/>
              </w:rPr>
              <w:t>滁河干渠</w:t>
            </w:r>
            <w:r>
              <w:t>6</w:t>
            </w:r>
            <w:r>
              <w:rPr>
                <w:rFonts w:hint="eastAsia"/>
              </w:rPr>
              <w:t>座渠下涵工程</w:t>
            </w:r>
          </w:p>
        </w:tc>
        <w:tc>
          <w:tcPr>
            <w:tcW w:w="1647" w:type="pct"/>
            <w:tcBorders>
              <w:top w:val="single" w:color="auto" w:sz="4" w:space="0"/>
              <w:left w:val="single" w:color="auto" w:sz="4" w:space="0"/>
              <w:bottom w:val="single" w:color="auto" w:sz="4" w:space="0"/>
              <w:right w:val="single" w:color="auto" w:sz="4" w:space="0"/>
            </w:tcBorders>
            <w:vAlign w:val="center"/>
          </w:tcPr>
          <w:p w14:paraId="5D36A04A">
            <w:pPr>
              <w:pStyle w:val="28"/>
              <w:bidi w:val="0"/>
            </w:pPr>
            <w:r>
              <w:t>每个点状工程上下游1000m</w:t>
            </w:r>
          </w:p>
        </w:tc>
        <w:tc>
          <w:tcPr>
            <w:tcW w:w="1532" w:type="pct"/>
            <w:tcBorders>
              <w:top w:val="single" w:color="auto" w:sz="4" w:space="0"/>
              <w:left w:val="single" w:color="auto" w:sz="4" w:space="0"/>
              <w:bottom w:val="single" w:color="auto" w:sz="4" w:space="0"/>
              <w:right w:val="single" w:color="auto" w:sz="4" w:space="0"/>
            </w:tcBorders>
            <w:vAlign w:val="center"/>
          </w:tcPr>
          <w:p w14:paraId="098310E2">
            <w:pPr>
              <w:pStyle w:val="28"/>
              <w:bidi w:val="0"/>
            </w:pPr>
            <w:r>
              <w:t>点状工程四周外延1000m</w:t>
            </w:r>
          </w:p>
        </w:tc>
      </w:tr>
      <w:tr w14:paraId="69CC6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1E49BF06">
            <w:pPr>
              <w:pStyle w:val="28"/>
              <w:bidi w:val="0"/>
            </w:pPr>
            <w:r>
              <w:t>7</w:t>
            </w:r>
          </w:p>
        </w:tc>
        <w:tc>
          <w:tcPr>
            <w:tcW w:w="1455" w:type="pct"/>
            <w:tcBorders>
              <w:top w:val="single" w:color="auto" w:sz="4" w:space="0"/>
              <w:left w:val="single" w:color="auto" w:sz="4" w:space="0"/>
              <w:bottom w:val="single" w:color="auto" w:sz="4" w:space="0"/>
              <w:right w:val="single" w:color="auto" w:sz="4" w:space="0"/>
            </w:tcBorders>
            <w:vAlign w:val="center"/>
          </w:tcPr>
          <w:p w14:paraId="3539B11B">
            <w:pPr>
              <w:pStyle w:val="28"/>
              <w:bidi w:val="0"/>
            </w:pPr>
            <w:r>
              <w:rPr>
                <w:rFonts w:hint="eastAsia"/>
              </w:rPr>
              <w:t>淠杭干渠工程</w:t>
            </w:r>
          </w:p>
        </w:tc>
        <w:tc>
          <w:tcPr>
            <w:tcW w:w="1647" w:type="pct"/>
            <w:tcBorders>
              <w:top w:val="single" w:color="auto" w:sz="4" w:space="0"/>
              <w:left w:val="single" w:color="auto" w:sz="4" w:space="0"/>
              <w:bottom w:val="single" w:color="auto" w:sz="4" w:space="0"/>
              <w:right w:val="single" w:color="auto" w:sz="4" w:space="0"/>
            </w:tcBorders>
            <w:vAlign w:val="center"/>
          </w:tcPr>
          <w:p w14:paraId="588DF356">
            <w:pPr>
              <w:pStyle w:val="28"/>
              <w:bidi w:val="0"/>
            </w:pPr>
            <w:r>
              <w:t>每状工程上下游300m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370FE981">
            <w:pPr>
              <w:pStyle w:val="28"/>
              <w:bidi w:val="0"/>
            </w:pPr>
            <w:r>
              <w:t>点状、渠道工程四周外延300m</w:t>
            </w:r>
          </w:p>
        </w:tc>
      </w:tr>
      <w:tr w14:paraId="296A8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26B63162">
            <w:pPr>
              <w:pStyle w:val="28"/>
              <w:bidi w:val="0"/>
            </w:pPr>
            <w:r>
              <w:t>8</w:t>
            </w:r>
          </w:p>
        </w:tc>
        <w:tc>
          <w:tcPr>
            <w:tcW w:w="1455" w:type="pct"/>
            <w:tcBorders>
              <w:top w:val="single" w:color="auto" w:sz="4" w:space="0"/>
              <w:left w:val="single" w:color="auto" w:sz="4" w:space="0"/>
              <w:bottom w:val="single" w:color="auto" w:sz="4" w:space="0"/>
              <w:right w:val="single" w:color="auto" w:sz="4" w:space="0"/>
            </w:tcBorders>
            <w:vAlign w:val="center"/>
          </w:tcPr>
          <w:p w14:paraId="1466A9EE">
            <w:pPr>
              <w:pStyle w:val="28"/>
              <w:bidi w:val="0"/>
            </w:pPr>
            <w:r>
              <w:rPr>
                <w:rFonts w:hint="eastAsia"/>
              </w:rPr>
              <w:t>淠东干渠工程</w:t>
            </w:r>
          </w:p>
        </w:tc>
        <w:tc>
          <w:tcPr>
            <w:tcW w:w="1647" w:type="pct"/>
            <w:tcBorders>
              <w:top w:val="single" w:color="auto" w:sz="4" w:space="0"/>
              <w:left w:val="single" w:color="auto" w:sz="4" w:space="0"/>
              <w:bottom w:val="single" w:color="auto" w:sz="4" w:space="0"/>
              <w:right w:val="single" w:color="auto" w:sz="4" w:space="0"/>
            </w:tcBorders>
            <w:vAlign w:val="center"/>
          </w:tcPr>
          <w:p w14:paraId="65065921">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7FFF4C34">
            <w:pPr>
              <w:pStyle w:val="28"/>
              <w:bidi w:val="0"/>
            </w:pPr>
            <w:r>
              <w:t>渠道中心线两侧外延300m</w:t>
            </w:r>
          </w:p>
        </w:tc>
      </w:tr>
      <w:tr w14:paraId="05CF3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51C31299">
            <w:pPr>
              <w:pStyle w:val="28"/>
              <w:bidi w:val="0"/>
            </w:pPr>
            <w:r>
              <w:t>9</w:t>
            </w:r>
          </w:p>
        </w:tc>
        <w:tc>
          <w:tcPr>
            <w:tcW w:w="1455" w:type="pct"/>
            <w:tcBorders>
              <w:top w:val="single" w:color="auto" w:sz="4" w:space="0"/>
              <w:left w:val="single" w:color="auto" w:sz="4" w:space="0"/>
              <w:bottom w:val="single" w:color="auto" w:sz="4" w:space="0"/>
              <w:right w:val="single" w:color="auto" w:sz="4" w:space="0"/>
            </w:tcBorders>
            <w:vAlign w:val="center"/>
          </w:tcPr>
          <w:p w14:paraId="3C3BAE53">
            <w:pPr>
              <w:pStyle w:val="28"/>
              <w:bidi w:val="0"/>
            </w:pPr>
            <w:r>
              <w:rPr>
                <w:rFonts w:hint="eastAsia"/>
              </w:rPr>
              <w:t>瓦西干渠工程</w:t>
            </w:r>
          </w:p>
        </w:tc>
        <w:tc>
          <w:tcPr>
            <w:tcW w:w="1647" w:type="pct"/>
            <w:tcBorders>
              <w:top w:val="single" w:color="auto" w:sz="4" w:space="0"/>
              <w:left w:val="single" w:color="auto" w:sz="4" w:space="0"/>
              <w:bottom w:val="single" w:color="auto" w:sz="4" w:space="0"/>
              <w:right w:val="single" w:color="auto" w:sz="4" w:space="0"/>
            </w:tcBorders>
            <w:vAlign w:val="center"/>
          </w:tcPr>
          <w:p w14:paraId="603E98A5">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7269ADD0">
            <w:pPr>
              <w:pStyle w:val="28"/>
              <w:bidi w:val="0"/>
            </w:pPr>
            <w:r>
              <w:t>渠道中心线两侧外延300m</w:t>
            </w:r>
          </w:p>
        </w:tc>
      </w:tr>
      <w:tr w14:paraId="7C1BE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32E08493">
            <w:pPr>
              <w:pStyle w:val="28"/>
              <w:bidi w:val="0"/>
            </w:pPr>
            <w:r>
              <w:t>10</w:t>
            </w:r>
          </w:p>
        </w:tc>
        <w:tc>
          <w:tcPr>
            <w:tcW w:w="1455" w:type="pct"/>
            <w:tcBorders>
              <w:top w:val="single" w:color="auto" w:sz="4" w:space="0"/>
              <w:left w:val="single" w:color="auto" w:sz="4" w:space="0"/>
              <w:bottom w:val="single" w:color="auto" w:sz="4" w:space="0"/>
              <w:right w:val="single" w:color="auto" w:sz="4" w:space="0"/>
            </w:tcBorders>
            <w:vAlign w:val="center"/>
          </w:tcPr>
          <w:p w14:paraId="13035606">
            <w:pPr>
              <w:pStyle w:val="28"/>
              <w:bidi w:val="0"/>
            </w:pPr>
            <w:r>
              <w:rPr>
                <w:rFonts w:hint="eastAsia"/>
              </w:rPr>
              <w:t>堰口分干渠工程</w:t>
            </w:r>
          </w:p>
        </w:tc>
        <w:tc>
          <w:tcPr>
            <w:tcW w:w="1647" w:type="pct"/>
            <w:tcBorders>
              <w:top w:val="single" w:color="auto" w:sz="4" w:space="0"/>
              <w:left w:val="single" w:color="auto" w:sz="4" w:space="0"/>
              <w:bottom w:val="single" w:color="auto" w:sz="4" w:space="0"/>
              <w:right w:val="single" w:color="auto" w:sz="4" w:space="0"/>
            </w:tcBorders>
            <w:vAlign w:val="center"/>
          </w:tcPr>
          <w:p w14:paraId="7913D553">
            <w:pPr>
              <w:pStyle w:val="28"/>
              <w:bidi w:val="0"/>
            </w:pPr>
            <w:r>
              <w:t>老庙老虹吸至工程下游300m</w:t>
            </w:r>
          </w:p>
        </w:tc>
        <w:tc>
          <w:tcPr>
            <w:tcW w:w="1532" w:type="pct"/>
            <w:tcBorders>
              <w:top w:val="single" w:color="auto" w:sz="4" w:space="0"/>
              <w:left w:val="single" w:color="auto" w:sz="4" w:space="0"/>
              <w:bottom w:val="single" w:color="auto" w:sz="4" w:space="0"/>
              <w:right w:val="single" w:color="auto" w:sz="4" w:space="0"/>
            </w:tcBorders>
            <w:vAlign w:val="center"/>
          </w:tcPr>
          <w:p w14:paraId="23C84939">
            <w:pPr>
              <w:pStyle w:val="28"/>
              <w:bidi w:val="0"/>
            </w:pPr>
            <w:r>
              <w:t>渠道中心线两侧外延300m</w:t>
            </w:r>
          </w:p>
        </w:tc>
      </w:tr>
      <w:tr w14:paraId="2B7FE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39F1F7D9">
            <w:pPr>
              <w:pStyle w:val="28"/>
              <w:bidi w:val="0"/>
            </w:pPr>
            <w:r>
              <w:t>11</w:t>
            </w:r>
          </w:p>
        </w:tc>
        <w:tc>
          <w:tcPr>
            <w:tcW w:w="1455" w:type="pct"/>
            <w:tcBorders>
              <w:top w:val="single" w:color="auto" w:sz="4" w:space="0"/>
              <w:left w:val="single" w:color="auto" w:sz="4" w:space="0"/>
              <w:bottom w:val="single" w:color="auto" w:sz="4" w:space="0"/>
              <w:right w:val="single" w:color="auto" w:sz="4" w:space="0"/>
            </w:tcBorders>
            <w:vAlign w:val="center"/>
          </w:tcPr>
          <w:p w14:paraId="65182B0C">
            <w:pPr>
              <w:pStyle w:val="28"/>
              <w:bidi w:val="0"/>
            </w:pPr>
            <w:r>
              <w:rPr>
                <w:rFonts w:hint="eastAsia"/>
              </w:rPr>
              <w:t>淠源分干渠工程</w:t>
            </w:r>
          </w:p>
        </w:tc>
        <w:tc>
          <w:tcPr>
            <w:tcW w:w="1647" w:type="pct"/>
            <w:tcBorders>
              <w:top w:val="single" w:color="auto" w:sz="4" w:space="0"/>
              <w:left w:val="single" w:color="auto" w:sz="4" w:space="0"/>
              <w:bottom w:val="single" w:color="auto" w:sz="4" w:space="0"/>
              <w:right w:val="single" w:color="auto" w:sz="4" w:space="0"/>
            </w:tcBorders>
            <w:vAlign w:val="center"/>
          </w:tcPr>
          <w:p w14:paraId="6AA48DD6">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4FFF4A1A">
            <w:pPr>
              <w:pStyle w:val="28"/>
              <w:bidi w:val="0"/>
            </w:pPr>
            <w:r>
              <w:t>渠道中心线两侧外延300m</w:t>
            </w:r>
          </w:p>
        </w:tc>
      </w:tr>
      <w:tr w14:paraId="04FAE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18578A9F">
            <w:pPr>
              <w:pStyle w:val="28"/>
              <w:bidi w:val="0"/>
            </w:pPr>
            <w:r>
              <w:t>12</w:t>
            </w:r>
          </w:p>
        </w:tc>
        <w:tc>
          <w:tcPr>
            <w:tcW w:w="1455" w:type="pct"/>
            <w:tcBorders>
              <w:top w:val="single" w:color="auto" w:sz="4" w:space="0"/>
              <w:left w:val="single" w:color="auto" w:sz="4" w:space="0"/>
              <w:bottom w:val="single" w:color="auto" w:sz="4" w:space="0"/>
              <w:right w:val="single" w:color="auto" w:sz="4" w:space="0"/>
            </w:tcBorders>
            <w:vAlign w:val="center"/>
          </w:tcPr>
          <w:p w14:paraId="2EA1D56C">
            <w:pPr>
              <w:pStyle w:val="28"/>
              <w:bidi w:val="0"/>
            </w:pPr>
            <w:r>
              <w:rPr>
                <w:rFonts w:hint="eastAsia"/>
              </w:rPr>
              <w:t>小蜀山分干渠工程</w:t>
            </w:r>
          </w:p>
        </w:tc>
        <w:tc>
          <w:tcPr>
            <w:tcW w:w="1647" w:type="pct"/>
            <w:tcBorders>
              <w:top w:val="single" w:color="auto" w:sz="4" w:space="0"/>
              <w:left w:val="single" w:color="auto" w:sz="4" w:space="0"/>
              <w:bottom w:val="single" w:color="auto" w:sz="4" w:space="0"/>
              <w:right w:val="single" w:color="auto" w:sz="4" w:space="0"/>
            </w:tcBorders>
            <w:vAlign w:val="center"/>
          </w:tcPr>
          <w:p w14:paraId="0393CE2E">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5A7E1ED2">
            <w:pPr>
              <w:pStyle w:val="28"/>
              <w:bidi w:val="0"/>
            </w:pPr>
            <w:r>
              <w:t>渠道中心线两侧外延300m</w:t>
            </w:r>
          </w:p>
        </w:tc>
      </w:tr>
      <w:tr w14:paraId="24274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670056C1">
            <w:pPr>
              <w:pStyle w:val="28"/>
              <w:bidi w:val="0"/>
            </w:pPr>
            <w:r>
              <w:t>13</w:t>
            </w:r>
          </w:p>
        </w:tc>
        <w:tc>
          <w:tcPr>
            <w:tcW w:w="1455" w:type="pct"/>
            <w:tcBorders>
              <w:top w:val="single" w:color="auto" w:sz="4" w:space="0"/>
              <w:left w:val="single" w:color="auto" w:sz="4" w:space="0"/>
              <w:bottom w:val="single" w:color="auto" w:sz="4" w:space="0"/>
              <w:right w:val="single" w:color="auto" w:sz="4" w:space="0"/>
            </w:tcBorders>
            <w:vAlign w:val="center"/>
          </w:tcPr>
          <w:p w14:paraId="06C20985">
            <w:pPr>
              <w:pStyle w:val="28"/>
              <w:bidi w:val="0"/>
            </w:pPr>
            <w:r>
              <w:rPr>
                <w:rFonts w:hint="eastAsia"/>
              </w:rPr>
              <w:t>瓦东双庙支渠工程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6FCBB5EE">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13E7344D">
            <w:pPr>
              <w:pStyle w:val="28"/>
              <w:bidi w:val="0"/>
            </w:pPr>
            <w:r>
              <w:t>渠道中心线两侧外延300m</w:t>
            </w:r>
          </w:p>
        </w:tc>
      </w:tr>
      <w:tr w14:paraId="06929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1CD2330E">
            <w:pPr>
              <w:pStyle w:val="28"/>
              <w:bidi w:val="0"/>
            </w:pPr>
            <w:r>
              <w:t>14</w:t>
            </w:r>
          </w:p>
        </w:tc>
        <w:tc>
          <w:tcPr>
            <w:tcW w:w="1455" w:type="pct"/>
            <w:tcBorders>
              <w:top w:val="single" w:color="auto" w:sz="4" w:space="0"/>
              <w:left w:val="single" w:color="auto" w:sz="4" w:space="0"/>
              <w:bottom w:val="single" w:color="auto" w:sz="4" w:space="0"/>
              <w:right w:val="single" w:color="auto" w:sz="4" w:space="0"/>
            </w:tcBorders>
            <w:vAlign w:val="center"/>
          </w:tcPr>
          <w:p w14:paraId="7032E86F">
            <w:pPr>
              <w:pStyle w:val="28"/>
              <w:bidi w:val="0"/>
            </w:pPr>
            <w:r>
              <w:rPr>
                <w:rFonts w:hint="eastAsia"/>
              </w:rPr>
              <w:t>东风支渠工程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37DC5599">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349BD8AB">
            <w:pPr>
              <w:pStyle w:val="28"/>
              <w:bidi w:val="0"/>
            </w:pPr>
            <w:r>
              <w:t>渠道中心线两侧外延300m</w:t>
            </w:r>
          </w:p>
        </w:tc>
      </w:tr>
      <w:tr w14:paraId="03E21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5F97725E">
            <w:pPr>
              <w:pStyle w:val="28"/>
              <w:bidi w:val="0"/>
            </w:pPr>
            <w:r>
              <w:t>15</w:t>
            </w:r>
          </w:p>
        </w:tc>
        <w:tc>
          <w:tcPr>
            <w:tcW w:w="1455" w:type="pct"/>
            <w:tcBorders>
              <w:top w:val="single" w:color="auto" w:sz="4" w:space="0"/>
              <w:left w:val="single" w:color="auto" w:sz="4" w:space="0"/>
              <w:bottom w:val="single" w:color="auto" w:sz="4" w:space="0"/>
              <w:right w:val="single" w:color="auto" w:sz="4" w:space="0"/>
            </w:tcBorders>
            <w:vAlign w:val="center"/>
          </w:tcPr>
          <w:p w14:paraId="31985C2D">
            <w:pPr>
              <w:pStyle w:val="28"/>
              <w:bidi w:val="0"/>
            </w:pPr>
            <w:r>
              <w:rPr>
                <w:rFonts w:hint="eastAsia"/>
              </w:rPr>
              <w:t>界河支渠工程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686776BB">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442F4330">
            <w:pPr>
              <w:pStyle w:val="28"/>
              <w:bidi w:val="0"/>
            </w:pPr>
            <w:r>
              <w:t>渠道中心线两侧外延300m</w:t>
            </w:r>
          </w:p>
        </w:tc>
      </w:tr>
      <w:tr w14:paraId="416E0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303318EC">
            <w:pPr>
              <w:pStyle w:val="28"/>
              <w:bidi w:val="0"/>
            </w:pPr>
            <w:r>
              <w:t>16</w:t>
            </w:r>
          </w:p>
        </w:tc>
        <w:tc>
          <w:tcPr>
            <w:tcW w:w="1455" w:type="pct"/>
            <w:tcBorders>
              <w:top w:val="single" w:color="auto" w:sz="4" w:space="0"/>
              <w:left w:val="single" w:color="auto" w:sz="4" w:space="0"/>
              <w:bottom w:val="single" w:color="auto" w:sz="4" w:space="0"/>
              <w:right w:val="single" w:color="auto" w:sz="4" w:space="0"/>
            </w:tcBorders>
            <w:vAlign w:val="center"/>
          </w:tcPr>
          <w:p w14:paraId="178A0A26">
            <w:pPr>
              <w:pStyle w:val="28"/>
              <w:bidi w:val="0"/>
            </w:pPr>
            <w:r>
              <w:rPr>
                <w:rFonts w:hint="eastAsia"/>
              </w:rPr>
              <w:t>义河支渠工程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563F5C0D">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0CDF335F">
            <w:pPr>
              <w:pStyle w:val="28"/>
              <w:bidi w:val="0"/>
            </w:pPr>
            <w:r>
              <w:t>渠道中心线两侧外延300m</w:t>
            </w:r>
          </w:p>
        </w:tc>
      </w:tr>
      <w:tr w14:paraId="7DDF8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1D725FCA">
            <w:pPr>
              <w:pStyle w:val="28"/>
              <w:bidi w:val="0"/>
            </w:pPr>
            <w:r>
              <w:t>17</w:t>
            </w:r>
          </w:p>
        </w:tc>
        <w:tc>
          <w:tcPr>
            <w:tcW w:w="1455" w:type="pct"/>
            <w:tcBorders>
              <w:top w:val="single" w:color="auto" w:sz="4" w:space="0"/>
              <w:left w:val="single" w:color="auto" w:sz="4" w:space="0"/>
              <w:bottom w:val="single" w:color="auto" w:sz="4" w:space="0"/>
              <w:right w:val="single" w:color="auto" w:sz="4" w:space="0"/>
            </w:tcBorders>
            <w:vAlign w:val="center"/>
          </w:tcPr>
          <w:p w14:paraId="220100AD">
            <w:pPr>
              <w:pStyle w:val="28"/>
              <w:bidi w:val="0"/>
            </w:pPr>
            <w:r>
              <w:rPr>
                <w:rFonts w:hint="eastAsia"/>
              </w:rPr>
              <w:t>袁店支渠工程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29A58BFA">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721E3EF4">
            <w:pPr>
              <w:pStyle w:val="28"/>
              <w:bidi w:val="0"/>
            </w:pPr>
            <w:r>
              <w:t>渠道中心线两侧外延300m</w:t>
            </w:r>
          </w:p>
        </w:tc>
      </w:tr>
      <w:tr w14:paraId="043820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2055F896">
            <w:pPr>
              <w:pStyle w:val="28"/>
              <w:bidi w:val="0"/>
            </w:pPr>
            <w:r>
              <w:t>18</w:t>
            </w:r>
          </w:p>
        </w:tc>
        <w:tc>
          <w:tcPr>
            <w:tcW w:w="1455" w:type="pct"/>
            <w:tcBorders>
              <w:top w:val="single" w:color="auto" w:sz="4" w:space="0"/>
              <w:left w:val="single" w:color="auto" w:sz="4" w:space="0"/>
              <w:bottom w:val="single" w:color="auto" w:sz="4" w:space="0"/>
              <w:right w:val="single" w:color="auto" w:sz="4" w:space="0"/>
            </w:tcBorders>
            <w:vAlign w:val="center"/>
          </w:tcPr>
          <w:p w14:paraId="119397EE">
            <w:pPr>
              <w:pStyle w:val="28"/>
              <w:bidi w:val="0"/>
            </w:pPr>
            <w:r>
              <w:rPr>
                <w:rFonts w:hint="eastAsia"/>
              </w:rPr>
              <w:t>堰西支渠工程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630FBA6A">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0F274940">
            <w:pPr>
              <w:pStyle w:val="28"/>
              <w:bidi w:val="0"/>
            </w:pPr>
            <w:r>
              <w:t>渠道中心线两侧外延300m</w:t>
            </w:r>
          </w:p>
        </w:tc>
      </w:tr>
      <w:tr w14:paraId="43AE1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64309075">
            <w:pPr>
              <w:pStyle w:val="28"/>
              <w:bidi w:val="0"/>
            </w:pPr>
            <w:r>
              <w:t>19</w:t>
            </w:r>
          </w:p>
        </w:tc>
        <w:tc>
          <w:tcPr>
            <w:tcW w:w="1455" w:type="pct"/>
            <w:tcBorders>
              <w:top w:val="single" w:color="auto" w:sz="4" w:space="0"/>
              <w:left w:val="single" w:color="auto" w:sz="4" w:space="0"/>
              <w:bottom w:val="single" w:color="auto" w:sz="4" w:space="0"/>
              <w:right w:val="single" w:color="auto" w:sz="4" w:space="0"/>
            </w:tcBorders>
            <w:vAlign w:val="center"/>
          </w:tcPr>
          <w:p w14:paraId="5EDC59A0">
            <w:pPr>
              <w:pStyle w:val="28"/>
              <w:bidi w:val="0"/>
            </w:pPr>
            <w:r>
              <w:rPr>
                <w:rFonts w:hint="eastAsia"/>
              </w:rPr>
              <w:t>众兴双庙支渠工程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38EC7E78">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56687149">
            <w:pPr>
              <w:pStyle w:val="28"/>
              <w:bidi w:val="0"/>
            </w:pPr>
            <w:r>
              <w:t>渠道中心线两侧外延300m</w:t>
            </w:r>
          </w:p>
        </w:tc>
      </w:tr>
      <w:tr w14:paraId="6B946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573F9338">
            <w:pPr>
              <w:pStyle w:val="28"/>
              <w:bidi w:val="0"/>
            </w:pPr>
            <w:r>
              <w:t>20</w:t>
            </w:r>
          </w:p>
        </w:tc>
        <w:tc>
          <w:tcPr>
            <w:tcW w:w="1455" w:type="pct"/>
            <w:tcBorders>
              <w:top w:val="single" w:color="auto" w:sz="4" w:space="0"/>
              <w:left w:val="single" w:color="auto" w:sz="4" w:space="0"/>
              <w:bottom w:val="single" w:color="auto" w:sz="4" w:space="0"/>
              <w:right w:val="single" w:color="auto" w:sz="4" w:space="0"/>
            </w:tcBorders>
            <w:vAlign w:val="center"/>
          </w:tcPr>
          <w:p w14:paraId="47449856">
            <w:pPr>
              <w:pStyle w:val="28"/>
              <w:bidi w:val="0"/>
            </w:pPr>
            <w:r>
              <w:rPr>
                <w:rFonts w:hint="eastAsia"/>
              </w:rPr>
              <w:t>大高支渠工程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06749956">
            <w:pPr>
              <w:pStyle w:val="28"/>
              <w:bidi w:val="0"/>
            </w:pPr>
            <w:r>
              <w:t>工程上下游300m，包括程段水库</w:t>
            </w:r>
          </w:p>
        </w:tc>
        <w:tc>
          <w:tcPr>
            <w:tcW w:w="1532" w:type="pct"/>
            <w:tcBorders>
              <w:top w:val="single" w:color="auto" w:sz="4" w:space="0"/>
              <w:left w:val="single" w:color="auto" w:sz="4" w:space="0"/>
              <w:bottom w:val="single" w:color="auto" w:sz="4" w:space="0"/>
              <w:right w:val="single" w:color="auto" w:sz="4" w:space="0"/>
            </w:tcBorders>
            <w:vAlign w:val="center"/>
          </w:tcPr>
          <w:p w14:paraId="07F48ED1">
            <w:pPr>
              <w:pStyle w:val="28"/>
              <w:bidi w:val="0"/>
            </w:pPr>
            <w:r>
              <w:t>渠道中心线两侧外延300m</w:t>
            </w:r>
          </w:p>
        </w:tc>
      </w:tr>
      <w:tr w14:paraId="40E3C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1232BEEC">
            <w:pPr>
              <w:pStyle w:val="28"/>
              <w:bidi w:val="0"/>
            </w:pPr>
            <w:r>
              <w:t>21</w:t>
            </w:r>
          </w:p>
        </w:tc>
        <w:tc>
          <w:tcPr>
            <w:tcW w:w="1455" w:type="pct"/>
            <w:tcBorders>
              <w:top w:val="single" w:color="auto" w:sz="4" w:space="0"/>
              <w:left w:val="single" w:color="auto" w:sz="4" w:space="0"/>
              <w:bottom w:val="single" w:color="auto" w:sz="4" w:space="0"/>
              <w:right w:val="single" w:color="auto" w:sz="4" w:space="0"/>
            </w:tcBorders>
            <w:vAlign w:val="center"/>
          </w:tcPr>
          <w:p w14:paraId="577E1DE4">
            <w:pPr>
              <w:pStyle w:val="28"/>
              <w:bidi w:val="0"/>
            </w:pPr>
            <w:r>
              <w:rPr>
                <w:rFonts w:hint="eastAsia"/>
              </w:rPr>
              <w:t>白龙支渠工程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2A6069B0">
            <w:pPr>
              <w:pStyle w:val="28"/>
              <w:bidi w:val="0"/>
            </w:pPr>
            <w:r>
              <w:t>进水闸下游水文影响段至下一个节制闸/渠尾、上游受水、</w:t>
            </w:r>
            <w:r>
              <w:rPr>
                <w:rFonts w:hint="eastAsia"/>
              </w:rPr>
              <w:t>回</w:t>
            </w:r>
            <w:r>
              <w:t>水水文影响段至上一个节制闸/渠首，青龙支渠进水闸至下一个节制闸</w:t>
            </w:r>
          </w:p>
        </w:tc>
        <w:tc>
          <w:tcPr>
            <w:tcW w:w="1532" w:type="pct"/>
            <w:tcBorders>
              <w:top w:val="single" w:color="auto" w:sz="4" w:space="0"/>
              <w:left w:val="single" w:color="auto" w:sz="4" w:space="0"/>
              <w:bottom w:val="single" w:color="auto" w:sz="4" w:space="0"/>
              <w:right w:val="single" w:color="auto" w:sz="4" w:space="0"/>
            </w:tcBorders>
            <w:vAlign w:val="center"/>
          </w:tcPr>
          <w:p w14:paraId="141341FA">
            <w:pPr>
              <w:pStyle w:val="28"/>
              <w:bidi w:val="0"/>
            </w:pPr>
            <w:r>
              <w:t>渠道中心线两侧外延300m</w:t>
            </w:r>
          </w:p>
        </w:tc>
      </w:tr>
      <w:tr w14:paraId="41B2B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26DF4DCA">
            <w:pPr>
              <w:pStyle w:val="28"/>
              <w:bidi w:val="0"/>
            </w:pPr>
            <w:r>
              <w:t>22</w:t>
            </w:r>
          </w:p>
        </w:tc>
        <w:tc>
          <w:tcPr>
            <w:tcW w:w="1455" w:type="pct"/>
            <w:tcBorders>
              <w:top w:val="single" w:color="auto" w:sz="4" w:space="0"/>
              <w:left w:val="single" w:color="auto" w:sz="4" w:space="0"/>
              <w:bottom w:val="single" w:color="auto" w:sz="4" w:space="0"/>
              <w:right w:val="single" w:color="auto" w:sz="4" w:space="0"/>
            </w:tcBorders>
            <w:vAlign w:val="center"/>
          </w:tcPr>
          <w:p w14:paraId="43D50F3B">
            <w:pPr>
              <w:pStyle w:val="28"/>
              <w:bidi w:val="0"/>
            </w:pPr>
            <w:r>
              <w:rPr>
                <w:rFonts w:hint="eastAsia"/>
              </w:rPr>
              <w:t>郑岗泵站工程</w:t>
            </w:r>
          </w:p>
        </w:tc>
        <w:tc>
          <w:tcPr>
            <w:tcW w:w="1647" w:type="pct"/>
            <w:tcBorders>
              <w:top w:val="single" w:color="auto" w:sz="4" w:space="0"/>
              <w:left w:val="single" w:color="auto" w:sz="4" w:space="0"/>
              <w:bottom w:val="single" w:color="auto" w:sz="4" w:space="0"/>
              <w:right w:val="single" w:color="auto" w:sz="4" w:space="0"/>
            </w:tcBorders>
            <w:vAlign w:val="center"/>
          </w:tcPr>
          <w:p w14:paraId="2A772E29">
            <w:pPr>
              <w:pStyle w:val="28"/>
              <w:bidi w:val="0"/>
            </w:pPr>
            <w:r>
              <w:t>万小河抽水口工程上下游300m、李山支渠进水口上下游300m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55B1FEC4">
            <w:pPr>
              <w:pStyle w:val="28"/>
              <w:bidi w:val="0"/>
            </w:pPr>
            <w:r>
              <w:t>点状工程四周外延300m</w:t>
            </w:r>
          </w:p>
        </w:tc>
      </w:tr>
      <w:tr w14:paraId="308A6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6FAF8A24">
            <w:pPr>
              <w:pStyle w:val="28"/>
              <w:bidi w:val="0"/>
            </w:pPr>
            <w:r>
              <w:t>23</w:t>
            </w:r>
          </w:p>
        </w:tc>
        <w:tc>
          <w:tcPr>
            <w:tcW w:w="1455" w:type="pct"/>
            <w:tcBorders>
              <w:top w:val="single" w:color="auto" w:sz="4" w:space="0"/>
              <w:left w:val="single" w:color="auto" w:sz="4" w:space="0"/>
              <w:bottom w:val="single" w:color="auto" w:sz="4" w:space="0"/>
              <w:right w:val="single" w:color="auto" w:sz="4" w:space="0"/>
            </w:tcBorders>
            <w:vAlign w:val="center"/>
          </w:tcPr>
          <w:p w14:paraId="225F73DC">
            <w:pPr>
              <w:pStyle w:val="28"/>
              <w:bidi w:val="0"/>
            </w:pPr>
            <w:r>
              <w:rPr>
                <w:rFonts w:hint="eastAsia"/>
              </w:rPr>
              <w:t>沣东干渠工程</w:t>
            </w:r>
          </w:p>
        </w:tc>
        <w:tc>
          <w:tcPr>
            <w:tcW w:w="1647" w:type="pct"/>
            <w:tcBorders>
              <w:top w:val="single" w:color="auto" w:sz="4" w:space="0"/>
              <w:left w:val="single" w:color="auto" w:sz="4" w:space="0"/>
              <w:bottom w:val="single" w:color="auto" w:sz="4" w:space="0"/>
              <w:right w:val="single" w:color="auto" w:sz="4" w:space="0"/>
            </w:tcBorders>
            <w:vAlign w:val="center"/>
          </w:tcPr>
          <w:p w14:paraId="0F2D01FB">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6EE453EC">
            <w:pPr>
              <w:pStyle w:val="28"/>
              <w:bidi w:val="0"/>
            </w:pPr>
            <w:r>
              <w:t>渠道中心线两侧外延300m</w:t>
            </w:r>
          </w:p>
        </w:tc>
      </w:tr>
      <w:tr w14:paraId="27A1D4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259FCFAB">
            <w:pPr>
              <w:pStyle w:val="28"/>
              <w:bidi w:val="0"/>
            </w:pPr>
            <w:r>
              <w:t>24</w:t>
            </w:r>
          </w:p>
        </w:tc>
        <w:tc>
          <w:tcPr>
            <w:tcW w:w="1455" w:type="pct"/>
            <w:tcBorders>
              <w:top w:val="single" w:color="auto" w:sz="4" w:space="0"/>
              <w:left w:val="single" w:color="auto" w:sz="4" w:space="0"/>
              <w:bottom w:val="single" w:color="auto" w:sz="4" w:space="0"/>
              <w:right w:val="single" w:color="auto" w:sz="4" w:space="0"/>
            </w:tcBorders>
            <w:vAlign w:val="center"/>
          </w:tcPr>
          <w:p w14:paraId="2FB19C98">
            <w:pPr>
              <w:pStyle w:val="28"/>
              <w:bidi w:val="0"/>
            </w:pPr>
            <w:r>
              <w:rPr>
                <w:rFonts w:hint="eastAsia"/>
              </w:rPr>
              <w:t>沣西干渠工程</w:t>
            </w:r>
          </w:p>
        </w:tc>
        <w:tc>
          <w:tcPr>
            <w:tcW w:w="1647" w:type="pct"/>
            <w:tcBorders>
              <w:top w:val="single" w:color="auto" w:sz="4" w:space="0"/>
              <w:left w:val="single" w:color="auto" w:sz="4" w:space="0"/>
              <w:bottom w:val="single" w:color="auto" w:sz="4" w:space="0"/>
              <w:right w:val="single" w:color="auto" w:sz="4" w:space="0"/>
            </w:tcBorders>
            <w:vAlign w:val="center"/>
          </w:tcPr>
          <w:p w14:paraId="638B0AA1">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2D4465F2">
            <w:pPr>
              <w:pStyle w:val="28"/>
              <w:bidi w:val="0"/>
            </w:pPr>
            <w:r>
              <w:t>渠道中心线两侧外延300m</w:t>
            </w:r>
          </w:p>
        </w:tc>
      </w:tr>
      <w:tr w14:paraId="4BA83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1029B406">
            <w:pPr>
              <w:pStyle w:val="28"/>
              <w:bidi w:val="0"/>
            </w:pPr>
            <w:r>
              <w:t>25</w:t>
            </w:r>
          </w:p>
        </w:tc>
        <w:tc>
          <w:tcPr>
            <w:tcW w:w="1455" w:type="pct"/>
            <w:tcBorders>
              <w:top w:val="single" w:color="auto" w:sz="4" w:space="0"/>
              <w:left w:val="single" w:color="auto" w:sz="4" w:space="0"/>
              <w:bottom w:val="single" w:color="auto" w:sz="4" w:space="0"/>
              <w:right w:val="single" w:color="auto" w:sz="4" w:space="0"/>
            </w:tcBorders>
            <w:vAlign w:val="center"/>
          </w:tcPr>
          <w:p w14:paraId="27270419">
            <w:pPr>
              <w:pStyle w:val="28"/>
              <w:bidi w:val="0"/>
            </w:pPr>
            <w:r>
              <w:rPr>
                <w:rFonts w:hint="eastAsia"/>
              </w:rPr>
              <w:t>姚李支渠工程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666B57FE">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5C7EB3DC">
            <w:pPr>
              <w:pStyle w:val="28"/>
              <w:bidi w:val="0"/>
            </w:pPr>
            <w:r>
              <w:t>渠道中心线两侧外延300m</w:t>
            </w:r>
          </w:p>
        </w:tc>
      </w:tr>
      <w:tr w14:paraId="54E08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7EE60173">
            <w:pPr>
              <w:pStyle w:val="28"/>
              <w:bidi w:val="0"/>
            </w:pPr>
            <w:r>
              <w:t>26</w:t>
            </w:r>
          </w:p>
        </w:tc>
        <w:tc>
          <w:tcPr>
            <w:tcW w:w="1455" w:type="pct"/>
            <w:tcBorders>
              <w:top w:val="single" w:color="auto" w:sz="4" w:space="0"/>
              <w:left w:val="single" w:color="auto" w:sz="4" w:space="0"/>
              <w:bottom w:val="single" w:color="auto" w:sz="4" w:space="0"/>
              <w:right w:val="single" w:color="auto" w:sz="4" w:space="0"/>
            </w:tcBorders>
            <w:vAlign w:val="center"/>
          </w:tcPr>
          <w:p w14:paraId="78AC1C5D">
            <w:pPr>
              <w:pStyle w:val="28"/>
              <w:bidi w:val="0"/>
            </w:pPr>
            <w:r>
              <w:rPr>
                <w:rFonts w:hint="eastAsia"/>
              </w:rPr>
              <w:t>胜天支渠工程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4F8AB7D6">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6346293A">
            <w:pPr>
              <w:pStyle w:val="28"/>
              <w:bidi w:val="0"/>
            </w:pPr>
            <w:r>
              <w:t>渠道中心线两侧外延300m</w:t>
            </w:r>
          </w:p>
        </w:tc>
      </w:tr>
      <w:tr w14:paraId="2772F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1109242E">
            <w:pPr>
              <w:pStyle w:val="28"/>
              <w:bidi w:val="0"/>
            </w:pPr>
            <w:r>
              <w:t>27</w:t>
            </w:r>
          </w:p>
        </w:tc>
        <w:tc>
          <w:tcPr>
            <w:tcW w:w="1455" w:type="pct"/>
            <w:tcBorders>
              <w:top w:val="single" w:color="auto" w:sz="4" w:space="0"/>
              <w:left w:val="single" w:color="auto" w:sz="4" w:space="0"/>
              <w:bottom w:val="single" w:color="auto" w:sz="4" w:space="0"/>
              <w:right w:val="single" w:color="auto" w:sz="4" w:space="0"/>
            </w:tcBorders>
            <w:vAlign w:val="center"/>
          </w:tcPr>
          <w:p w14:paraId="102E7953">
            <w:pPr>
              <w:pStyle w:val="28"/>
              <w:bidi w:val="0"/>
            </w:pPr>
            <w:r>
              <w:rPr>
                <w:rFonts w:hint="eastAsia"/>
              </w:rPr>
              <w:t>乌斗支渠工程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70E8F24A">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43430CCF">
            <w:pPr>
              <w:pStyle w:val="28"/>
              <w:bidi w:val="0"/>
            </w:pPr>
            <w:r>
              <w:t>渠道中心线两侧外延300m</w:t>
            </w:r>
          </w:p>
        </w:tc>
      </w:tr>
      <w:tr w14:paraId="4A42D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72053BDE">
            <w:pPr>
              <w:pStyle w:val="28"/>
              <w:bidi w:val="0"/>
            </w:pPr>
            <w:r>
              <w:t>28</w:t>
            </w:r>
          </w:p>
        </w:tc>
        <w:tc>
          <w:tcPr>
            <w:tcW w:w="1455" w:type="pct"/>
            <w:tcBorders>
              <w:top w:val="single" w:color="auto" w:sz="4" w:space="0"/>
              <w:left w:val="single" w:color="auto" w:sz="4" w:space="0"/>
              <w:bottom w:val="single" w:color="auto" w:sz="4" w:space="0"/>
              <w:right w:val="single" w:color="auto" w:sz="4" w:space="0"/>
            </w:tcBorders>
            <w:vAlign w:val="center"/>
          </w:tcPr>
          <w:p w14:paraId="0FEAE5B4">
            <w:pPr>
              <w:pStyle w:val="28"/>
              <w:bidi w:val="0"/>
            </w:pPr>
            <w:r>
              <w:rPr>
                <w:rFonts w:hint="eastAsia"/>
              </w:rPr>
              <w:t>舒庐干渠</w:t>
            </w:r>
            <w:r>
              <w:t>7</w:t>
            </w:r>
            <w:r>
              <w:rPr>
                <w:rFonts w:hint="eastAsia"/>
              </w:rPr>
              <w:t>座水闸工程</w:t>
            </w:r>
          </w:p>
        </w:tc>
        <w:tc>
          <w:tcPr>
            <w:tcW w:w="1647" w:type="pct"/>
            <w:tcBorders>
              <w:top w:val="single" w:color="auto" w:sz="4" w:space="0"/>
              <w:left w:val="single" w:color="auto" w:sz="4" w:space="0"/>
              <w:bottom w:val="single" w:color="auto" w:sz="4" w:space="0"/>
              <w:right w:val="single" w:color="auto" w:sz="4" w:space="0"/>
            </w:tcBorders>
            <w:vAlign w:val="center"/>
          </w:tcPr>
          <w:p w14:paraId="5014F064">
            <w:pPr>
              <w:pStyle w:val="28"/>
              <w:bidi w:val="0"/>
            </w:pPr>
            <w:r>
              <w:t>工程上下游300m，包括泄洪渠、果园山水库部分</w:t>
            </w:r>
          </w:p>
        </w:tc>
        <w:tc>
          <w:tcPr>
            <w:tcW w:w="1532" w:type="pct"/>
            <w:tcBorders>
              <w:top w:val="single" w:color="auto" w:sz="4" w:space="0"/>
              <w:left w:val="single" w:color="auto" w:sz="4" w:space="0"/>
              <w:bottom w:val="single" w:color="auto" w:sz="4" w:space="0"/>
              <w:right w:val="single" w:color="auto" w:sz="4" w:space="0"/>
            </w:tcBorders>
            <w:vAlign w:val="center"/>
          </w:tcPr>
          <w:p w14:paraId="330E1D16">
            <w:pPr>
              <w:pStyle w:val="28"/>
              <w:bidi w:val="0"/>
            </w:pPr>
            <w:r>
              <w:t>渠道中心线两侧外延300m</w:t>
            </w:r>
          </w:p>
        </w:tc>
      </w:tr>
      <w:tr w14:paraId="6AE3E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34E23765">
            <w:pPr>
              <w:pStyle w:val="28"/>
              <w:bidi w:val="0"/>
            </w:pPr>
            <w:r>
              <w:t>29</w:t>
            </w:r>
          </w:p>
        </w:tc>
        <w:tc>
          <w:tcPr>
            <w:tcW w:w="1455" w:type="pct"/>
            <w:tcBorders>
              <w:top w:val="single" w:color="auto" w:sz="4" w:space="0"/>
              <w:left w:val="single" w:color="auto" w:sz="4" w:space="0"/>
              <w:bottom w:val="single" w:color="auto" w:sz="4" w:space="0"/>
              <w:right w:val="single" w:color="auto" w:sz="4" w:space="0"/>
            </w:tcBorders>
            <w:vAlign w:val="center"/>
          </w:tcPr>
          <w:p w14:paraId="7A4369EF">
            <w:pPr>
              <w:pStyle w:val="28"/>
              <w:bidi w:val="0"/>
            </w:pPr>
            <w:r>
              <w:rPr>
                <w:rFonts w:hint="eastAsia"/>
              </w:rPr>
              <w:t>杭北干渠工程</w:t>
            </w:r>
          </w:p>
        </w:tc>
        <w:tc>
          <w:tcPr>
            <w:tcW w:w="1647" w:type="pct"/>
            <w:tcBorders>
              <w:top w:val="single" w:color="auto" w:sz="4" w:space="0"/>
              <w:left w:val="single" w:color="auto" w:sz="4" w:space="0"/>
              <w:bottom w:val="single" w:color="auto" w:sz="4" w:space="0"/>
              <w:right w:val="single" w:color="auto" w:sz="4" w:space="0"/>
            </w:tcBorders>
            <w:vAlign w:val="center"/>
          </w:tcPr>
          <w:p w14:paraId="674218FF">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3225C777">
            <w:pPr>
              <w:pStyle w:val="28"/>
              <w:bidi w:val="0"/>
            </w:pPr>
            <w:r>
              <w:t>渠道中心线两侧外延300m</w:t>
            </w:r>
          </w:p>
        </w:tc>
      </w:tr>
      <w:tr w14:paraId="6FC88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5274549D">
            <w:pPr>
              <w:pStyle w:val="28"/>
              <w:bidi w:val="0"/>
            </w:pPr>
            <w:r>
              <w:t>30</w:t>
            </w:r>
          </w:p>
        </w:tc>
        <w:tc>
          <w:tcPr>
            <w:tcW w:w="1455" w:type="pct"/>
            <w:tcBorders>
              <w:top w:val="single" w:color="auto" w:sz="4" w:space="0"/>
              <w:left w:val="single" w:color="auto" w:sz="4" w:space="0"/>
              <w:bottom w:val="single" w:color="auto" w:sz="4" w:space="0"/>
              <w:right w:val="single" w:color="auto" w:sz="4" w:space="0"/>
            </w:tcBorders>
            <w:vAlign w:val="center"/>
          </w:tcPr>
          <w:p w14:paraId="5A4BC22C">
            <w:pPr>
              <w:pStyle w:val="28"/>
              <w:bidi w:val="0"/>
            </w:pPr>
            <w:r>
              <w:rPr>
                <w:rFonts w:hint="eastAsia"/>
              </w:rPr>
              <w:t>沙胜支渠工程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12CF194D">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56F71AB3">
            <w:pPr>
              <w:pStyle w:val="28"/>
              <w:bidi w:val="0"/>
            </w:pPr>
            <w:r>
              <w:t>渠道中心线两侧外延300m</w:t>
            </w:r>
          </w:p>
        </w:tc>
      </w:tr>
      <w:tr w14:paraId="77759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053702D1">
            <w:pPr>
              <w:pStyle w:val="28"/>
              <w:bidi w:val="0"/>
            </w:pPr>
            <w:r>
              <w:t>31</w:t>
            </w:r>
          </w:p>
        </w:tc>
        <w:tc>
          <w:tcPr>
            <w:tcW w:w="1455" w:type="pct"/>
            <w:tcBorders>
              <w:top w:val="single" w:color="auto" w:sz="4" w:space="0"/>
              <w:left w:val="single" w:color="auto" w:sz="4" w:space="0"/>
              <w:bottom w:val="single" w:color="auto" w:sz="4" w:space="0"/>
              <w:right w:val="single" w:color="auto" w:sz="4" w:space="0"/>
            </w:tcBorders>
            <w:vAlign w:val="center"/>
          </w:tcPr>
          <w:p w14:paraId="6AA652C7">
            <w:pPr>
              <w:pStyle w:val="28"/>
              <w:bidi w:val="0"/>
            </w:pPr>
            <w:r>
              <w:rPr>
                <w:rFonts w:hint="eastAsia"/>
              </w:rPr>
              <w:t>乐桥支渠工程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1DA17324">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746AA601">
            <w:pPr>
              <w:pStyle w:val="28"/>
              <w:bidi w:val="0"/>
            </w:pPr>
            <w:r>
              <w:t>渠道中心线两侧外延300m</w:t>
            </w:r>
          </w:p>
        </w:tc>
      </w:tr>
      <w:tr w14:paraId="1512B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63" w:type="pct"/>
            <w:tcBorders>
              <w:top w:val="single" w:color="auto" w:sz="4" w:space="0"/>
              <w:left w:val="single" w:color="auto" w:sz="4" w:space="0"/>
              <w:bottom w:val="single" w:color="auto" w:sz="4" w:space="0"/>
              <w:right w:val="single" w:color="auto" w:sz="4" w:space="0"/>
            </w:tcBorders>
            <w:vAlign w:val="center"/>
          </w:tcPr>
          <w:p w14:paraId="63481EFB">
            <w:pPr>
              <w:pStyle w:val="28"/>
              <w:bidi w:val="0"/>
            </w:pPr>
            <w:r>
              <w:t>32</w:t>
            </w:r>
          </w:p>
        </w:tc>
        <w:tc>
          <w:tcPr>
            <w:tcW w:w="1455" w:type="pct"/>
            <w:tcBorders>
              <w:top w:val="single" w:color="auto" w:sz="4" w:space="0"/>
              <w:left w:val="single" w:color="auto" w:sz="4" w:space="0"/>
              <w:bottom w:val="single" w:color="auto" w:sz="4" w:space="0"/>
              <w:right w:val="single" w:color="auto" w:sz="4" w:space="0"/>
            </w:tcBorders>
            <w:vAlign w:val="center"/>
          </w:tcPr>
          <w:p w14:paraId="0C923C98">
            <w:pPr>
              <w:pStyle w:val="28"/>
              <w:bidi w:val="0"/>
            </w:pPr>
            <w:r>
              <w:rPr>
                <w:rFonts w:hint="eastAsia"/>
              </w:rPr>
              <w:t>马田支渠工程</w:t>
            </w:r>
          </w:p>
        </w:tc>
        <w:tc>
          <w:tcPr>
            <w:tcW w:w="1647" w:type="pct"/>
            <w:tcBorders>
              <w:top w:val="single" w:color="auto" w:sz="4" w:space="0"/>
              <w:left w:val="single" w:color="auto" w:sz="4" w:space="0"/>
              <w:bottom w:val="single" w:color="auto" w:sz="4" w:space="0"/>
              <w:right w:val="single" w:color="auto" w:sz="4" w:space="0"/>
            </w:tcBorders>
            <w:vAlign w:val="center"/>
          </w:tcPr>
          <w:p w14:paraId="1FF1E33E">
            <w:pPr>
              <w:pStyle w:val="28"/>
              <w:bidi w:val="0"/>
            </w:pPr>
            <w:r>
              <w:t>工程上下游300m</w:t>
            </w:r>
          </w:p>
        </w:tc>
        <w:tc>
          <w:tcPr>
            <w:tcW w:w="1532" w:type="pct"/>
            <w:tcBorders>
              <w:top w:val="single" w:color="auto" w:sz="4" w:space="0"/>
              <w:left w:val="single" w:color="auto" w:sz="4" w:space="0"/>
              <w:bottom w:val="single" w:color="auto" w:sz="4" w:space="0"/>
              <w:right w:val="single" w:color="auto" w:sz="4" w:space="0"/>
            </w:tcBorders>
            <w:vAlign w:val="center"/>
          </w:tcPr>
          <w:p w14:paraId="1F852E79">
            <w:pPr>
              <w:pStyle w:val="28"/>
              <w:bidi w:val="0"/>
            </w:pPr>
            <w:r>
              <w:t>渠道中心线两侧外延300m</w:t>
            </w:r>
          </w:p>
        </w:tc>
      </w:tr>
    </w:tbl>
    <w:p w14:paraId="70031634">
      <w:pPr>
        <w:spacing w:line="240" w:lineRule="auto"/>
        <w:ind w:firstLine="480" w:firstLineChars="200"/>
        <w:rPr>
          <w:rFonts w:cs="Times New Roman"/>
          <w:color w:val="0000FF"/>
        </w:rPr>
      </w:pPr>
    </w:p>
    <w:p w14:paraId="04D72A82">
      <w:pPr>
        <w:ind w:firstLine="480" w:firstLineChars="200"/>
        <w:rPr>
          <w:rFonts w:cs="Times New Roman"/>
        </w:rPr>
      </w:pPr>
      <w:r>
        <w:rPr>
          <w:rFonts w:cs="Times New Roman"/>
        </w:rPr>
        <w:t>（3）声环境</w:t>
      </w:r>
    </w:p>
    <w:p w14:paraId="04D070A6">
      <w:pPr>
        <w:ind w:firstLine="480" w:firstLineChars="200"/>
        <w:rPr>
          <w:rFonts w:cs="Times New Roman"/>
        </w:rPr>
      </w:pPr>
      <w:r>
        <w:rPr>
          <w:rFonts w:hint="eastAsia" w:cs="Times New Roman"/>
        </w:rPr>
        <w:t>本项目</w:t>
      </w:r>
      <w:r>
        <w:rPr>
          <w:rFonts w:cs="Times New Roman"/>
        </w:rPr>
        <w:t>声环境评价范围</w:t>
      </w:r>
      <w:r>
        <w:rPr>
          <w:rFonts w:hint="eastAsia" w:cs="Times New Roman"/>
        </w:rPr>
        <w:t>确定为以渠道中心线两侧向外延伸200m</w:t>
      </w:r>
      <w:r>
        <w:rPr>
          <w:rFonts w:cs="Times New Roman"/>
        </w:rPr>
        <w:t>。运行期评价范围为泵站边界外200m范围。</w:t>
      </w:r>
    </w:p>
    <w:p w14:paraId="4452A42C">
      <w:pPr>
        <w:ind w:firstLine="480" w:firstLineChars="200"/>
        <w:rPr>
          <w:rFonts w:cs="Times New Roman"/>
        </w:rPr>
      </w:pPr>
      <w:r>
        <w:rPr>
          <w:rFonts w:cs="Times New Roman"/>
        </w:rPr>
        <w:t>（4）大气环境</w:t>
      </w:r>
    </w:p>
    <w:p w14:paraId="287C627E">
      <w:pPr>
        <w:ind w:firstLine="480" w:firstLineChars="200"/>
        <w:rPr>
          <w:rFonts w:cs="Times New Roman"/>
        </w:rPr>
      </w:pPr>
      <w:r>
        <w:rPr>
          <w:rFonts w:cs="Times New Roman"/>
        </w:rPr>
        <w:t>根据《环境影响评价技术导则 大气环境》（HJ2.2-2018），本项目大气评价等级为三级，无需设置大气环境影响评价范围。</w:t>
      </w:r>
    </w:p>
    <w:p w14:paraId="01C11514">
      <w:pPr>
        <w:ind w:firstLine="480" w:firstLineChars="200"/>
        <w:rPr>
          <w:rFonts w:cs="Times New Roman"/>
        </w:rPr>
      </w:pPr>
      <w:r>
        <w:rPr>
          <w:rFonts w:cs="Times New Roman"/>
        </w:rPr>
        <w:t>（5）环境风险</w:t>
      </w:r>
    </w:p>
    <w:p w14:paraId="30977791">
      <w:pPr>
        <w:rPr>
          <w:rFonts w:cs="Times New Roman"/>
          <w:color w:val="0000FF"/>
        </w:rPr>
      </w:pPr>
      <w:r>
        <w:rPr>
          <w:rFonts w:cs="Times New Roman"/>
        </w:rPr>
        <w:t>环境风险等级判定为简单分析，本次评价按照三级评价的相关要求，根据《建设项目环境风险评价技术导则》（HJT 169-2018）中相关要求，结合项目特点属于典型的非污染类生态建设项目，主要工程包括渠道清淤、渠道岸坡护砌，本次以为了更加全面的分析环境风险，主要以涉及渠道长度为评价范围，</w:t>
      </w:r>
      <w:r>
        <w:rPr>
          <w:rFonts w:cs="Times New Roman"/>
          <w:color w:val="0000FF"/>
        </w:rPr>
        <w:t>重点评价对</w:t>
      </w:r>
      <w:r>
        <w:rPr>
          <w:rFonts w:hint="eastAsia" w:cs="Times New Roman"/>
          <w:color w:val="0000FF"/>
          <w:lang w:val="en-US" w:eastAsia="zh-CN"/>
        </w:rPr>
        <w:t>评价范围</w:t>
      </w:r>
      <w:r>
        <w:rPr>
          <w:rFonts w:hint="eastAsia" w:cs="Times New Roman"/>
          <w:color w:val="0000FF"/>
        </w:rPr>
        <w:t>涉及的</w:t>
      </w:r>
      <w:r>
        <w:rPr>
          <w:rFonts w:hint="eastAsia" w:cs="Times New Roman"/>
          <w:color w:val="0000FF"/>
          <w:lang w:val="en-US" w:eastAsia="zh-CN"/>
        </w:rPr>
        <w:t>瓦埠湖省级湿地公园</w:t>
      </w:r>
      <w:r>
        <w:rPr>
          <w:rFonts w:hint="eastAsia" w:cs="Times New Roman"/>
          <w:color w:val="0000FF"/>
        </w:rPr>
        <w:t>、水土保持生态红线、重要野生动植物等的影响。</w:t>
      </w:r>
    </w:p>
    <w:p w14:paraId="046595E1">
      <w:pPr>
        <w:pStyle w:val="3"/>
        <w:rPr>
          <w:rFonts w:cs="Times New Roman"/>
        </w:rPr>
      </w:pPr>
      <w:bookmarkStart w:id="20" w:name="_Toc30044"/>
      <w:r>
        <w:rPr>
          <w:rFonts w:cs="Times New Roman"/>
        </w:rPr>
        <w:t>1.5 评价标准</w:t>
      </w:r>
      <w:bookmarkEnd w:id="20"/>
    </w:p>
    <w:p w14:paraId="7C11F58C">
      <w:pPr>
        <w:pStyle w:val="4"/>
        <w:rPr>
          <w:rFonts w:cs="Times New Roman"/>
        </w:rPr>
      </w:pPr>
      <w:r>
        <w:rPr>
          <w:rFonts w:cs="Times New Roman"/>
        </w:rPr>
        <w:t>1.5.1 环境功能区划</w:t>
      </w:r>
    </w:p>
    <w:p w14:paraId="3B20F6B5">
      <w:pPr>
        <w:ind w:firstLine="482"/>
        <w:rPr>
          <w:rFonts w:cs="Times New Roman"/>
          <w:b/>
        </w:rPr>
      </w:pPr>
      <w:r>
        <w:rPr>
          <w:rFonts w:cs="Times New Roman"/>
          <w:b/>
        </w:rPr>
        <w:t>（1）地表水环境功能区划</w:t>
      </w:r>
    </w:p>
    <w:p w14:paraId="036FA6F9">
      <w:pPr>
        <w:rPr>
          <w:rFonts w:cs="Times New Roman"/>
        </w:rPr>
      </w:pPr>
      <w:r>
        <w:rPr>
          <w:rFonts w:hint="eastAsia" w:cs="Times New Roman"/>
        </w:rPr>
        <w:t>淮南市谢家集区朱集中型灌区续建配套与节水改造项目</w:t>
      </w:r>
      <w:r>
        <w:rPr>
          <w:rFonts w:cs="Times New Roman"/>
        </w:rPr>
        <w:t>涉及的主要是</w:t>
      </w:r>
      <w:r>
        <w:rPr>
          <w:rFonts w:hint="eastAsia" w:cs="Times New Roman"/>
        </w:rPr>
        <w:t>朱集灌区</w:t>
      </w:r>
      <w:r>
        <w:rPr>
          <w:rFonts w:cs="Times New Roman"/>
        </w:rPr>
        <w:t>。根据《安徽省水环境功能区划》，最低要求是淮河干流水质管理目标为Ⅲ类，淮河流域其他主要河流水质管理目标为Ⅳ类；长江干流水质管理目标为Ⅲ类，长江流域其他主要河流水质管理目标为Ⅳ类。</w:t>
      </w:r>
      <w:r>
        <w:rPr>
          <w:rFonts w:hint="eastAsia" w:cs="Times New Roman"/>
        </w:rPr>
        <w:t>朱集</w:t>
      </w:r>
      <w:r>
        <w:rPr>
          <w:rFonts w:cs="Times New Roman"/>
        </w:rPr>
        <w:t>灌区属于淮河流域，不涉及</w:t>
      </w:r>
      <w:r>
        <w:rPr>
          <w:rFonts w:hint="eastAsia" w:cs="Times New Roman"/>
        </w:rPr>
        <w:t>“</w:t>
      </w:r>
      <w:r>
        <w:rPr>
          <w:rFonts w:cs="Times New Roman"/>
        </w:rPr>
        <w:t>南水北调</w:t>
      </w:r>
      <w:r>
        <w:rPr>
          <w:rFonts w:hint="eastAsia" w:cs="Times New Roman"/>
        </w:rPr>
        <w:t>”</w:t>
      </w:r>
      <w:r>
        <w:rPr>
          <w:rFonts w:cs="Times New Roman"/>
        </w:rPr>
        <w:t>汇水范围。项目水质管理目标为Ⅲ类，主要功能区为农业用水区。</w:t>
      </w:r>
    </w:p>
    <w:p w14:paraId="45BC8D53">
      <w:pPr>
        <w:ind w:firstLine="482"/>
        <w:rPr>
          <w:rFonts w:cs="Times New Roman"/>
          <w:b/>
        </w:rPr>
      </w:pPr>
      <w:r>
        <w:rPr>
          <w:rFonts w:cs="Times New Roman"/>
          <w:b/>
        </w:rPr>
        <w:t>（2）生态功能区划</w:t>
      </w:r>
    </w:p>
    <w:p w14:paraId="692553B1">
      <w:pPr>
        <w:rPr>
          <w:rFonts w:cs="Times New Roman"/>
        </w:rPr>
      </w:pPr>
      <w:r>
        <w:rPr>
          <w:rFonts w:hint="eastAsia" w:cs="Times New Roman"/>
        </w:rPr>
        <w:t>淮南市谢家集区朱集中型灌区续建配套与节水改造项目</w:t>
      </w:r>
      <w:r>
        <w:rPr>
          <w:rFonts w:cs="Times New Roman"/>
        </w:rPr>
        <w:t>涉及</w:t>
      </w:r>
      <w:r>
        <w:rPr>
          <w:rFonts w:cs="Times New Roman"/>
          <w:bCs/>
        </w:rPr>
        <w:t>安徽省淮南市</w:t>
      </w:r>
      <w:r>
        <w:rPr>
          <w:rFonts w:hint="eastAsia" w:cs="Times New Roman"/>
          <w:bCs/>
        </w:rPr>
        <w:t>谢家集区</w:t>
      </w:r>
      <w:r>
        <w:rPr>
          <w:rFonts w:cs="Times New Roman"/>
        </w:rPr>
        <w:t>。根据《安徽省生态功能区划》，项目所在地位于Ⅰ3-2 淮河中游南岸洪水调蓄-水禽保护生态功能区；</w:t>
      </w:r>
    </w:p>
    <w:p w14:paraId="7A7E77B3">
      <w:pPr>
        <w:pStyle w:val="4"/>
        <w:rPr>
          <w:rFonts w:cs="Times New Roman"/>
        </w:rPr>
      </w:pPr>
      <w:r>
        <w:rPr>
          <w:rFonts w:cs="Times New Roman"/>
        </w:rPr>
        <w:t>1.5.2 环境质量评价标准</w:t>
      </w:r>
    </w:p>
    <w:p w14:paraId="5DCEB073">
      <w:pPr>
        <w:ind w:firstLine="480"/>
        <w:rPr>
          <w:rFonts w:cs="Times New Roman"/>
        </w:rPr>
      </w:pPr>
      <w:r>
        <w:rPr>
          <w:rFonts w:cs="Times New Roman"/>
        </w:rPr>
        <w:t>（1）地表水环境质量评价标准</w:t>
      </w:r>
    </w:p>
    <w:p w14:paraId="0D754BB0">
      <w:pPr>
        <w:ind w:firstLine="480"/>
        <w:rPr>
          <w:rFonts w:cs="Times New Roman"/>
        </w:rPr>
      </w:pPr>
      <w:r>
        <w:rPr>
          <w:rFonts w:cs="Times New Roman"/>
        </w:rPr>
        <w:t>根据水功能区划和生态环境保护要求，渠道、泄洪河和涉及河流执行《地表水环境质量标准》（GB3838-2002）Ⅲ类水标准。本工程地表水环境质量标准执行《地表水环境质量标准》（GB3838-2002）相关标准，相关执行标准见表1</w:t>
      </w:r>
      <w:r>
        <w:rPr>
          <w:rFonts w:hint="eastAsia" w:cs="Times New Roman"/>
        </w:rPr>
        <w:t>-</w:t>
      </w:r>
      <w:r>
        <w:rPr>
          <w:rFonts w:cs="Times New Roman"/>
        </w:rPr>
        <w:t>5-1和表1</w:t>
      </w:r>
      <w:r>
        <w:rPr>
          <w:rFonts w:hint="eastAsia" w:cs="Times New Roman"/>
        </w:rPr>
        <w:t>-</w:t>
      </w:r>
      <w:r>
        <w:rPr>
          <w:rFonts w:cs="Times New Roman"/>
        </w:rPr>
        <w:t>5-2。</w:t>
      </w:r>
    </w:p>
    <w:p w14:paraId="2D2ED17D">
      <w:r>
        <w:t>表1</w:t>
      </w:r>
      <w:r>
        <w:rPr>
          <w:rFonts w:hint="eastAsia"/>
        </w:rPr>
        <w:t>-</w:t>
      </w:r>
      <w:r>
        <w:t>5-1  工程及附近有关河流渠道的水环境功能</w:t>
      </w:r>
    </w:p>
    <w:tbl>
      <w:tblPr>
        <w:tblStyle w:val="16"/>
        <w:tblW w:w="4990"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42"/>
        <w:gridCol w:w="2422"/>
        <w:gridCol w:w="2560"/>
        <w:gridCol w:w="1821"/>
        <w:gridCol w:w="1723"/>
      </w:tblGrid>
      <w:tr w14:paraId="18EE83D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07AB80AD">
            <w:pPr>
              <w:pStyle w:val="28"/>
              <w:bidi w:val="0"/>
            </w:pPr>
            <w:r>
              <w:t>序号</w:t>
            </w:r>
          </w:p>
        </w:tc>
        <w:tc>
          <w:tcPr>
            <w:tcW w:w="1306" w:type="pct"/>
            <w:vAlign w:val="center"/>
          </w:tcPr>
          <w:p w14:paraId="22635751">
            <w:pPr>
              <w:pStyle w:val="28"/>
              <w:bidi w:val="0"/>
            </w:pPr>
            <w:r>
              <w:t>河流（湖泊）</w:t>
            </w:r>
          </w:p>
        </w:tc>
        <w:tc>
          <w:tcPr>
            <w:tcW w:w="1380" w:type="pct"/>
            <w:vAlign w:val="center"/>
          </w:tcPr>
          <w:p w14:paraId="6FB675D1">
            <w:pPr>
              <w:pStyle w:val="28"/>
              <w:bidi w:val="0"/>
            </w:pPr>
            <w:r>
              <w:t>范围</w:t>
            </w:r>
          </w:p>
        </w:tc>
        <w:tc>
          <w:tcPr>
            <w:tcW w:w="982" w:type="pct"/>
            <w:vAlign w:val="center"/>
          </w:tcPr>
          <w:p w14:paraId="2E257741">
            <w:pPr>
              <w:pStyle w:val="28"/>
              <w:bidi w:val="0"/>
            </w:pPr>
            <w:r>
              <w:t>水环境功能</w:t>
            </w:r>
          </w:p>
        </w:tc>
        <w:tc>
          <w:tcPr>
            <w:tcW w:w="929" w:type="pct"/>
            <w:tcBorders>
              <w:right w:val="single" w:color="auto" w:sz="4" w:space="0"/>
            </w:tcBorders>
            <w:vAlign w:val="center"/>
          </w:tcPr>
          <w:p w14:paraId="7A3DAAFF">
            <w:pPr>
              <w:pStyle w:val="28"/>
              <w:bidi w:val="0"/>
            </w:pPr>
            <w:r>
              <w:t>水质目标</w:t>
            </w:r>
          </w:p>
        </w:tc>
      </w:tr>
      <w:tr w14:paraId="6F9D9B0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444AABD6">
            <w:pPr>
              <w:pStyle w:val="28"/>
              <w:bidi w:val="0"/>
            </w:pPr>
            <w:r>
              <w:rPr>
                <w:rFonts w:hint="eastAsia"/>
              </w:rPr>
              <w:t>1</w:t>
            </w:r>
          </w:p>
        </w:tc>
        <w:tc>
          <w:tcPr>
            <w:tcW w:w="1306" w:type="pct"/>
            <w:vAlign w:val="center"/>
          </w:tcPr>
          <w:p w14:paraId="1AEC3C60">
            <w:pPr>
              <w:pStyle w:val="28"/>
              <w:bidi w:val="0"/>
            </w:pPr>
            <w:r>
              <w:rPr>
                <w:rFonts w:hint="eastAsia"/>
              </w:rPr>
              <w:t>朱集一站引水渠</w:t>
            </w:r>
          </w:p>
        </w:tc>
        <w:tc>
          <w:tcPr>
            <w:tcW w:w="1380" w:type="pct"/>
            <w:vAlign w:val="center"/>
          </w:tcPr>
          <w:p w14:paraId="44561741">
            <w:pPr>
              <w:pStyle w:val="28"/>
              <w:bidi w:val="0"/>
            </w:pPr>
            <w:r>
              <w:rPr>
                <w:rFonts w:hint="eastAsia"/>
              </w:rPr>
              <w:t>淮南市谢家集区</w:t>
            </w:r>
            <w:r>
              <w:t>境内</w:t>
            </w:r>
          </w:p>
        </w:tc>
        <w:tc>
          <w:tcPr>
            <w:tcW w:w="982" w:type="pct"/>
            <w:vAlign w:val="center"/>
          </w:tcPr>
          <w:p w14:paraId="3962B0BB">
            <w:pPr>
              <w:pStyle w:val="28"/>
              <w:bidi w:val="0"/>
            </w:pPr>
            <w:r>
              <w:t>农业用水</w:t>
            </w:r>
          </w:p>
        </w:tc>
        <w:tc>
          <w:tcPr>
            <w:tcW w:w="929" w:type="pct"/>
            <w:tcBorders>
              <w:right w:val="single" w:color="auto" w:sz="4" w:space="0"/>
            </w:tcBorders>
            <w:vAlign w:val="center"/>
          </w:tcPr>
          <w:p w14:paraId="401D22DD">
            <w:pPr>
              <w:pStyle w:val="28"/>
              <w:bidi w:val="0"/>
            </w:pPr>
            <w:r>
              <w:t>Ⅲ</w:t>
            </w:r>
          </w:p>
        </w:tc>
      </w:tr>
      <w:tr w14:paraId="20168A9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20D16D63">
            <w:pPr>
              <w:pStyle w:val="28"/>
              <w:bidi w:val="0"/>
            </w:pPr>
            <w:r>
              <w:t>2</w:t>
            </w:r>
          </w:p>
        </w:tc>
        <w:tc>
          <w:tcPr>
            <w:tcW w:w="1306" w:type="pct"/>
            <w:vAlign w:val="center"/>
          </w:tcPr>
          <w:p w14:paraId="1EA4C2A4">
            <w:pPr>
              <w:pStyle w:val="28"/>
              <w:bidi w:val="0"/>
            </w:pPr>
            <w:r>
              <w:rPr>
                <w:rFonts w:hint="eastAsia"/>
              </w:rPr>
              <w:t>二引干渠</w:t>
            </w:r>
          </w:p>
        </w:tc>
        <w:tc>
          <w:tcPr>
            <w:tcW w:w="1380" w:type="pct"/>
            <w:vAlign w:val="center"/>
          </w:tcPr>
          <w:p w14:paraId="4A4B5280">
            <w:pPr>
              <w:pStyle w:val="28"/>
              <w:bidi w:val="0"/>
            </w:pPr>
            <w:r>
              <w:rPr>
                <w:rFonts w:hint="eastAsia"/>
              </w:rPr>
              <w:t>淮南市谢家集区</w:t>
            </w:r>
            <w:r>
              <w:t>境内</w:t>
            </w:r>
          </w:p>
        </w:tc>
        <w:tc>
          <w:tcPr>
            <w:tcW w:w="982" w:type="pct"/>
            <w:vAlign w:val="center"/>
          </w:tcPr>
          <w:p w14:paraId="750F775C">
            <w:pPr>
              <w:pStyle w:val="28"/>
              <w:bidi w:val="0"/>
            </w:pPr>
            <w:r>
              <w:t>农业用水</w:t>
            </w:r>
          </w:p>
        </w:tc>
        <w:tc>
          <w:tcPr>
            <w:tcW w:w="929" w:type="pct"/>
            <w:tcBorders>
              <w:right w:val="single" w:color="auto" w:sz="4" w:space="0"/>
            </w:tcBorders>
            <w:vAlign w:val="center"/>
          </w:tcPr>
          <w:p w14:paraId="1808C43B">
            <w:pPr>
              <w:pStyle w:val="28"/>
              <w:bidi w:val="0"/>
            </w:pPr>
            <w:r>
              <w:t>Ⅲ</w:t>
            </w:r>
          </w:p>
        </w:tc>
      </w:tr>
      <w:tr w14:paraId="74A9BFB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25778E09">
            <w:pPr>
              <w:pStyle w:val="28"/>
              <w:bidi w:val="0"/>
            </w:pPr>
            <w:r>
              <w:rPr>
                <w:rFonts w:hint="eastAsia"/>
              </w:rPr>
              <w:t>3</w:t>
            </w:r>
          </w:p>
        </w:tc>
        <w:tc>
          <w:tcPr>
            <w:tcW w:w="1306" w:type="pct"/>
            <w:vAlign w:val="center"/>
          </w:tcPr>
          <w:p w14:paraId="1C76A1B9">
            <w:pPr>
              <w:pStyle w:val="28"/>
              <w:bidi w:val="0"/>
            </w:pPr>
            <w:r>
              <w:rPr>
                <w:rFonts w:hint="eastAsia"/>
              </w:rPr>
              <w:t>一东干渠</w:t>
            </w:r>
          </w:p>
        </w:tc>
        <w:tc>
          <w:tcPr>
            <w:tcW w:w="1380" w:type="pct"/>
            <w:vAlign w:val="center"/>
          </w:tcPr>
          <w:p w14:paraId="0838F493">
            <w:pPr>
              <w:pStyle w:val="28"/>
              <w:bidi w:val="0"/>
            </w:pPr>
            <w:r>
              <w:rPr>
                <w:rFonts w:hint="eastAsia"/>
              </w:rPr>
              <w:t>淮南市谢家集区</w:t>
            </w:r>
            <w:r>
              <w:t>境内</w:t>
            </w:r>
          </w:p>
        </w:tc>
        <w:tc>
          <w:tcPr>
            <w:tcW w:w="982" w:type="pct"/>
            <w:vAlign w:val="center"/>
          </w:tcPr>
          <w:p w14:paraId="1F67767B">
            <w:pPr>
              <w:pStyle w:val="28"/>
              <w:bidi w:val="0"/>
            </w:pPr>
            <w:r>
              <w:t>农业用水</w:t>
            </w:r>
          </w:p>
        </w:tc>
        <w:tc>
          <w:tcPr>
            <w:tcW w:w="929" w:type="pct"/>
            <w:tcBorders>
              <w:right w:val="single" w:color="auto" w:sz="4" w:space="0"/>
            </w:tcBorders>
            <w:vAlign w:val="center"/>
          </w:tcPr>
          <w:p w14:paraId="465646D1">
            <w:pPr>
              <w:pStyle w:val="28"/>
              <w:bidi w:val="0"/>
            </w:pPr>
            <w:r>
              <w:t>Ⅲ</w:t>
            </w:r>
          </w:p>
        </w:tc>
      </w:tr>
      <w:tr w14:paraId="26CF13A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695D8209">
            <w:pPr>
              <w:pStyle w:val="28"/>
              <w:bidi w:val="0"/>
            </w:pPr>
            <w:r>
              <w:rPr>
                <w:rFonts w:hint="eastAsia"/>
              </w:rPr>
              <w:t>4</w:t>
            </w:r>
          </w:p>
        </w:tc>
        <w:tc>
          <w:tcPr>
            <w:tcW w:w="1306" w:type="pct"/>
            <w:vAlign w:val="center"/>
          </w:tcPr>
          <w:p w14:paraId="5EBFC089">
            <w:pPr>
              <w:pStyle w:val="28"/>
              <w:bidi w:val="0"/>
            </w:pPr>
            <w:r>
              <w:rPr>
                <w:rFonts w:hint="eastAsia"/>
              </w:rPr>
              <w:t>二东干渠</w:t>
            </w:r>
          </w:p>
        </w:tc>
        <w:tc>
          <w:tcPr>
            <w:tcW w:w="1380" w:type="pct"/>
            <w:vAlign w:val="center"/>
          </w:tcPr>
          <w:p w14:paraId="0460659D">
            <w:pPr>
              <w:pStyle w:val="28"/>
              <w:bidi w:val="0"/>
            </w:pPr>
            <w:r>
              <w:rPr>
                <w:rFonts w:hint="eastAsia"/>
              </w:rPr>
              <w:t>淮南市谢家集区</w:t>
            </w:r>
            <w:r>
              <w:t>境内</w:t>
            </w:r>
          </w:p>
        </w:tc>
        <w:tc>
          <w:tcPr>
            <w:tcW w:w="982" w:type="pct"/>
            <w:vAlign w:val="center"/>
          </w:tcPr>
          <w:p w14:paraId="465F80A5">
            <w:pPr>
              <w:pStyle w:val="28"/>
              <w:bidi w:val="0"/>
            </w:pPr>
            <w:r>
              <w:t>农业用水</w:t>
            </w:r>
          </w:p>
        </w:tc>
        <w:tc>
          <w:tcPr>
            <w:tcW w:w="929" w:type="pct"/>
            <w:tcBorders>
              <w:right w:val="single" w:color="auto" w:sz="4" w:space="0"/>
            </w:tcBorders>
            <w:vAlign w:val="center"/>
          </w:tcPr>
          <w:p w14:paraId="64DF0B16">
            <w:pPr>
              <w:pStyle w:val="28"/>
              <w:bidi w:val="0"/>
            </w:pPr>
            <w:r>
              <w:t>Ⅲ</w:t>
            </w:r>
          </w:p>
        </w:tc>
      </w:tr>
      <w:tr w14:paraId="32907AD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3F5DAE36">
            <w:pPr>
              <w:pStyle w:val="28"/>
              <w:bidi w:val="0"/>
            </w:pPr>
            <w:r>
              <w:t>5</w:t>
            </w:r>
          </w:p>
        </w:tc>
        <w:tc>
          <w:tcPr>
            <w:tcW w:w="1306" w:type="pct"/>
            <w:vAlign w:val="center"/>
          </w:tcPr>
          <w:p w14:paraId="37249D9F">
            <w:pPr>
              <w:pStyle w:val="28"/>
              <w:bidi w:val="0"/>
            </w:pPr>
            <w:r>
              <w:rPr>
                <w:rFonts w:hint="eastAsia"/>
              </w:rPr>
              <w:t>二北干渠</w:t>
            </w:r>
          </w:p>
        </w:tc>
        <w:tc>
          <w:tcPr>
            <w:tcW w:w="1380" w:type="pct"/>
            <w:vAlign w:val="center"/>
          </w:tcPr>
          <w:p w14:paraId="75CACE48">
            <w:pPr>
              <w:pStyle w:val="28"/>
              <w:bidi w:val="0"/>
            </w:pPr>
            <w:r>
              <w:rPr>
                <w:rFonts w:hint="eastAsia"/>
              </w:rPr>
              <w:t>淮南市谢家集区</w:t>
            </w:r>
            <w:r>
              <w:t>境内</w:t>
            </w:r>
          </w:p>
        </w:tc>
        <w:tc>
          <w:tcPr>
            <w:tcW w:w="982" w:type="pct"/>
            <w:vAlign w:val="center"/>
          </w:tcPr>
          <w:p w14:paraId="0EA47C46">
            <w:pPr>
              <w:pStyle w:val="28"/>
              <w:bidi w:val="0"/>
            </w:pPr>
            <w:r>
              <w:t>农业用水</w:t>
            </w:r>
          </w:p>
        </w:tc>
        <w:tc>
          <w:tcPr>
            <w:tcW w:w="929" w:type="pct"/>
            <w:tcBorders>
              <w:right w:val="single" w:color="auto" w:sz="4" w:space="0"/>
            </w:tcBorders>
            <w:vAlign w:val="center"/>
          </w:tcPr>
          <w:p w14:paraId="7580B08B">
            <w:pPr>
              <w:pStyle w:val="28"/>
              <w:bidi w:val="0"/>
            </w:pPr>
            <w:r>
              <w:t>Ⅲ</w:t>
            </w:r>
          </w:p>
        </w:tc>
      </w:tr>
      <w:tr w14:paraId="34ECBA5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4C3FA59C">
            <w:pPr>
              <w:pStyle w:val="28"/>
              <w:bidi w:val="0"/>
            </w:pPr>
            <w:r>
              <w:t>6</w:t>
            </w:r>
          </w:p>
        </w:tc>
        <w:tc>
          <w:tcPr>
            <w:tcW w:w="1306" w:type="pct"/>
            <w:vAlign w:val="center"/>
          </w:tcPr>
          <w:p w14:paraId="615D86A4">
            <w:pPr>
              <w:pStyle w:val="28"/>
              <w:bidi w:val="0"/>
            </w:pPr>
            <w:r>
              <w:rPr>
                <w:rFonts w:hint="eastAsia"/>
              </w:rPr>
              <w:t>杨公三站引水渠</w:t>
            </w:r>
          </w:p>
        </w:tc>
        <w:tc>
          <w:tcPr>
            <w:tcW w:w="1380" w:type="pct"/>
            <w:vAlign w:val="center"/>
          </w:tcPr>
          <w:p w14:paraId="675FCD99">
            <w:pPr>
              <w:pStyle w:val="28"/>
              <w:bidi w:val="0"/>
            </w:pPr>
            <w:r>
              <w:rPr>
                <w:rFonts w:hint="eastAsia"/>
              </w:rPr>
              <w:t>淮南市谢家集区</w:t>
            </w:r>
            <w:r>
              <w:t>境内</w:t>
            </w:r>
          </w:p>
        </w:tc>
        <w:tc>
          <w:tcPr>
            <w:tcW w:w="982" w:type="pct"/>
            <w:vAlign w:val="center"/>
          </w:tcPr>
          <w:p w14:paraId="4DFCC0A3">
            <w:pPr>
              <w:pStyle w:val="28"/>
              <w:bidi w:val="0"/>
            </w:pPr>
            <w:r>
              <w:t>农业用水</w:t>
            </w:r>
          </w:p>
        </w:tc>
        <w:tc>
          <w:tcPr>
            <w:tcW w:w="929" w:type="pct"/>
            <w:tcBorders>
              <w:right w:val="single" w:color="auto" w:sz="4" w:space="0"/>
            </w:tcBorders>
            <w:vAlign w:val="center"/>
          </w:tcPr>
          <w:p w14:paraId="565DB392">
            <w:pPr>
              <w:pStyle w:val="28"/>
              <w:bidi w:val="0"/>
            </w:pPr>
            <w:r>
              <w:t>Ⅲ</w:t>
            </w:r>
          </w:p>
        </w:tc>
      </w:tr>
      <w:tr w14:paraId="1449267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61115C84">
            <w:pPr>
              <w:pStyle w:val="28"/>
              <w:bidi w:val="0"/>
            </w:pPr>
            <w:r>
              <w:t>7</w:t>
            </w:r>
          </w:p>
        </w:tc>
        <w:tc>
          <w:tcPr>
            <w:tcW w:w="1306" w:type="pct"/>
            <w:vAlign w:val="center"/>
          </w:tcPr>
          <w:p w14:paraId="3965A29F">
            <w:pPr>
              <w:pStyle w:val="28"/>
              <w:bidi w:val="0"/>
            </w:pPr>
            <w:r>
              <w:rPr>
                <w:rFonts w:hint="eastAsia"/>
              </w:rPr>
              <w:t>三北干渠</w:t>
            </w:r>
          </w:p>
        </w:tc>
        <w:tc>
          <w:tcPr>
            <w:tcW w:w="1380" w:type="pct"/>
            <w:vAlign w:val="center"/>
          </w:tcPr>
          <w:p w14:paraId="571BF078">
            <w:pPr>
              <w:pStyle w:val="28"/>
              <w:bidi w:val="0"/>
            </w:pPr>
            <w:r>
              <w:rPr>
                <w:rFonts w:hint="eastAsia"/>
              </w:rPr>
              <w:t>淮南市谢家集区</w:t>
            </w:r>
            <w:r>
              <w:t>境内</w:t>
            </w:r>
          </w:p>
        </w:tc>
        <w:tc>
          <w:tcPr>
            <w:tcW w:w="982" w:type="pct"/>
            <w:vAlign w:val="center"/>
          </w:tcPr>
          <w:p w14:paraId="5451B1A7">
            <w:pPr>
              <w:pStyle w:val="28"/>
              <w:bidi w:val="0"/>
            </w:pPr>
            <w:r>
              <w:t>农业用水</w:t>
            </w:r>
          </w:p>
        </w:tc>
        <w:tc>
          <w:tcPr>
            <w:tcW w:w="929" w:type="pct"/>
            <w:tcBorders>
              <w:right w:val="single" w:color="auto" w:sz="4" w:space="0"/>
            </w:tcBorders>
            <w:vAlign w:val="center"/>
          </w:tcPr>
          <w:p w14:paraId="76FE24FB">
            <w:pPr>
              <w:pStyle w:val="28"/>
              <w:bidi w:val="0"/>
            </w:pPr>
            <w:r>
              <w:t>Ⅲ</w:t>
            </w:r>
          </w:p>
        </w:tc>
      </w:tr>
      <w:tr w14:paraId="6B5AC09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469A10FD">
            <w:pPr>
              <w:pStyle w:val="28"/>
              <w:bidi w:val="0"/>
            </w:pPr>
            <w:r>
              <w:t>8</w:t>
            </w:r>
          </w:p>
        </w:tc>
        <w:tc>
          <w:tcPr>
            <w:tcW w:w="1306" w:type="pct"/>
            <w:vAlign w:val="center"/>
          </w:tcPr>
          <w:p w14:paraId="71275A13">
            <w:pPr>
              <w:pStyle w:val="28"/>
              <w:bidi w:val="0"/>
            </w:pPr>
            <w:r>
              <w:rPr>
                <w:rFonts w:hint="eastAsia"/>
              </w:rPr>
              <w:t>杨公三站出水渠</w:t>
            </w:r>
          </w:p>
        </w:tc>
        <w:tc>
          <w:tcPr>
            <w:tcW w:w="1380" w:type="pct"/>
            <w:vAlign w:val="center"/>
          </w:tcPr>
          <w:p w14:paraId="616303E6">
            <w:pPr>
              <w:pStyle w:val="28"/>
              <w:bidi w:val="0"/>
            </w:pPr>
            <w:r>
              <w:rPr>
                <w:rFonts w:hint="eastAsia"/>
              </w:rPr>
              <w:t>淮南市谢家集区</w:t>
            </w:r>
            <w:r>
              <w:t>境内</w:t>
            </w:r>
          </w:p>
        </w:tc>
        <w:tc>
          <w:tcPr>
            <w:tcW w:w="982" w:type="pct"/>
            <w:vAlign w:val="center"/>
          </w:tcPr>
          <w:p w14:paraId="185B4093">
            <w:pPr>
              <w:pStyle w:val="28"/>
              <w:bidi w:val="0"/>
            </w:pPr>
            <w:r>
              <w:t>农业用水</w:t>
            </w:r>
          </w:p>
        </w:tc>
        <w:tc>
          <w:tcPr>
            <w:tcW w:w="929" w:type="pct"/>
            <w:tcBorders>
              <w:right w:val="single" w:color="auto" w:sz="4" w:space="0"/>
            </w:tcBorders>
            <w:vAlign w:val="center"/>
          </w:tcPr>
          <w:p w14:paraId="25C88343">
            <w:pPr>
              <w:pStyle w:val="28"/>
              <w:bidi w:val="0"/>
            </w:pPr>
            <w:r>
              <w:t>Ⅲ</w:t>
            </w:r>
          </w:p>
        </w:tc>
      </w:tr>
      <w:tr w14:paraId="22D399F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27BB2AE2">
            <w:pPr>
              <w:pStyle w:val="28"/>
              <w:bidi w:val="0"/>
            </w:pPr>
            <w:r>
              <w:t>9</w:t>
            </w:r>
          </w:p>
        </w:tc>
        <w:tc>
          <w:tcPr>
            <w:tcW w:w="1306" w:type="pct"/>
            <w:vAlign w:val="center"/>
          </w:tcPr>
          <w:p w14:paraId="7837A513">
            <w:pPr>
              <w:pStyle w:val="28"/>
              <w:bidi w:val="0"/>
            </w:pPr>
            <w:r>
              <w:rPr>
                <w:rFonts w:hint="eastAsia"/>
              </w:rPr>
              <w:t>三东干渠</w:t>
            </w:r>
          </w:p>
        </w:tc>
        <w:tc>
          <w:tcPr>
            <w:tcW w:w="1380" w:type="pct"/>
            <w:vAlign w:val="center"/>
          </w:tcPr>
          <w:p w14:paraId="2A6EB3A9">
            <w:pPr>
              <w:pStyle w:val="28"/>
              <w:bidi w:val="0"/>
            </w:pPr>
            <w:r>
              <w:rPr>
                <w:rFonts w:hint="eastAsia"/>
              </w:rPr>
              <w:t>淮南市谢家集区</w:t>
            </w:r>
            <w:r>
              <w:t>境内</w:t>
            </w:r>
          </w:p>
        </w:tc>
        <w:tc>
          <w:tcPr>
            <w:tcW w:w="982" w:type="pct"/>
            <w:vAlign w:val="center"/>
          </w:tcPr>
          <w:p w14:paraId="3DE7580A">
            <w:pPr>
              <w:pStyle w:val="28"/>
              <w:bidi w:val="0"/>
            </w:pPr>
            <w:r>
              <w:t>农业用水</w:t>
            </w:r>
          </w:p>
        </w:tc>
        <w:tc>
          <w:tcPr>
            <w:tcW w:w="929" w:type="pct"/>
            <w:tcBorders>
              <w:right w:val="single" w:color="auto" w:sz="4" w:space="0"/>
            </w:tcBorders>
            <w:vAlign w:val="center"/>
          </w:tcPr>
          <w:p w14:paraId="7FC37CE9">
            <w:pPr>
              <w:pStyle w:val="28"/>
              <w:bidi w:val="0"/>
            </w:pPr>
            <w:r>
              <w:t>Ⅲ</w:t>
            </w:r>
          </w:p>
        </w:tc>
      </w:tr>
      <w:tr w14:paraId="012C422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5DE92543">
            <w:pPr>
              <w:pStyle w:val="28"/>
              <w:bidi w:val="0"/>
            </w:pPr>
            <w:r>
              <w:t>10</w:t>
            </w:r>
          </w:p>
        </w:tc>
        <w:tc>
          <w:tcPr>
            <w:tcW w:w="1306" w:type="pct"/>
            <w:vAlign w:val="center"/>
          </w:tcPr>
          <w:p w14:paraId="7B91FC90">
            <w:pPr>
              <w:pStyle w:val="28"/>
              <w:bidi w:val="0"/>
            </w:pPr>
            <w:r>
              <w:rPr>
                <w:rFonts w:hint="eastAsia"/>
              </w:rPr>
              <w:t>桂岗支渠</w:t>
            </w:r>
          </w:p>
        </w:tc>
        <w:tc>
          <w:tcPr>
            <w:tcW w:w="1380" w:type="pct"/>
            <w:vAlign w:val="center"/>
          </w:tcPr>
          <w:p w14:paraId="73142F18">
            <w:pPr>
              <w:pStyle w:val="28"/>
              <w:bidi w:val="0"/>
            </w:pPr>
            <w:r>
              <w:rPr>
                <w:rFonts w:hint="eastAsia"/>
              </w:rPr>
              <w:t>淮南市谢家集区</w:t>
            </w:r>
            <w:r>
              <w:t>境内</w:t>
            </w:r>
          </w:p>
        </w:tc>
        <w:tc>
          <w:tcPr>
            <w:tcW w:w="982" w:type="pct"/>
            <w:vAlign w:val="center"/>
          </w:tcPr>
          <w:p w14:paraId="15255D4F">
            <w:pPr>
              <w:pStyle w:val="28"/>
              <w:bidi w:val="0"/>
            </w:pPr>
            <w:r>
              <w:t>农业用水</w:t>
            </w:r>
          </w:p>
        </w:tc>
        <w:tc>
          <w:tcPr>
            <w:tcW w:w="929" w:type="pct"/>
            <w:tcBorders>
              <w:right w:val="single" w:color="auto" w:sz="4" w:space="0"/>
            </w:tcBorders>
            <w:vAlign w:val="center"/>
          </w:tcPr>
          <w:p w14:paraId="23FE7D17">
            <w:pPr>
              <w:pStyle w:val="28"/>
              <w:bidi w:val="0"/>
            </w:pPr>
            <w:r>
              <w:t>Ⅲ</w:t>
            </w:r>
          </w:p>
        </w:tc>
      </w:tr>
      <w:tr w14:paraId="1F394D8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203E2832">
            <w:pPr>
              <w:pStyle w:val="28"/>
              <w:bidi w:val="0"/>
            </w:pPr>
            <w:r>
              <w:rPr>
                <w:rFonts w:hint="eastAsia"/>
              </w:rPr>
              <w:t>11</w:t>
            </w:r>
          </w:p>
        </w:tc>
        <w:tc>
          <w:tcPr>
            <w:tcW w:w="1306" w:type="pct"/>
            <w:vAlign w:val="center"/>
          </w:tcPr>
          <w:p w14:paraId="08812A5D">
            <w:pPr>
              <w:pStyle w:val="28"/>
              <w:bidi w:val="0"/>
            </w:pPr>
            <w:r>
              <w:rPr>
                <w:rFonts w:hint="eastAsia"/>
              </w:rPr>
              <w:t>染坊支渠</w:t>
            </w:r>
          </w:p>
        </w:tc>
        <w:tc>
          <w:tcPr>
            <w:tcW w:w="1380" w:type="pct"/>
            <w:vAlign w:val="center"/>
          </w:tcPr>
          <w:p w14:paraId="1B8E720C">
            <w:pPr>
              <w:pStyle w:val="28"/>
              <w:bidi w:val="0"/>
            </w:pPr>
            <w:r>
              <w:rPr>
                <w:rFonts w:hint="eastAsia"/>
              </w:rPr>
              <w:t>淮南市谢家集区</w:t>
            </w:r>
            <w:r>
              <w:t>境内</w:t>
            </w:r>
          </w:p>
        </w:tc>
        <w:tc>
          <w:tcPr>
            <w:tcW w:w="982" w:type="pct"/>
            <w:vAlign w:val="center"/>
          </w:tcPr>
          <w:p w14:paraId="69509C3B">
            <w:pPr>
              <w:pStyle w:val="28"/>
              <w:bidi w:val="0"/>
            </w:pPr>
            <w:r>
              <w:t>农业用水</w:t>
            </w:r>
          </w:p>
        </w:tc>
        <w:tc>
          <w:tcPr>
            <w:tcW w:w="929" w:type="pct"/>
            <w:tcBorders>
              <w:right w:val="single" w:color="auto" w:sz="4" w:space="0"/>
            </w:tcBorders>
            <w:vAlign w:val="center"/>
          </w:tcPr>
          <w:p w14:paraId="4EE461C5">
            <w:pPr>
              <w:pStyle w:val="28"/>
              <w:bidi w:val="0"/>
            </w:pPr>
            <w:r>
              <w:t>Ⅲ</w:t>
            </w:r>
          </w:p>
        </w:tc>
      </w:tr>
      <w:tr w14:paraId="7BDDD8E7">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26A59FE4">
            <w:pPr>
              <w:pStyle w:val="28"/>
              <w:bidi w:val="0"/>
            </w:pPr>
            <w:r>
              <w:t>12</w:t>
            </w:r>
          </w:p>
        </w:tc>
        <w:tc>
          <w:tcPr>
            <w:tcW w:w="1306" w:type="pct"/>
            <w:vAlign w:val="center"/>
          </w:tcPr>
          <w:p w14:paraId="251082F8">
            <w:pPr>
              <w:pStyle w:val="28"/>
              <w:bidi w:val="0"/>
            </w:pPr>
            <w:r>
              <w:rPr>
                <w:rFonts w:hint="eastAsia"/>
              </w:rPr>
              <w:t>一北干渠</w:t>
            </w:r>
          </w:p>
        </w:tc>
        <w:tc>
          <w:tcPr>
            <w:tcW w:w="1380" w:type="pct"/>
            <w:vAlign w:val="center"/>
          </w:tcPr>
          <w:p w14:paraId="06D1DF96">
            <w:pPr>
              <w:pStyle w:val="28"/>
              <w:bidi w:val="0"/>
            </w:pPr>
            <w:r>
              <w:rPr>
                <w:rFonts w:hint="eastAsia"/>
              </w:rPr>
              <w:t>淮南市谢家集区</w:t>
            </w:r>
            <w:r>
              <w:t>境内</w:t>
            </w:r>
          </w:p>
        </w:tc>
        <w:tc>
          <w:tcPr>
            <w:tcW w:w="982" w:type="pct"/>
            <w:vAlign w:val="center"/>
          </w:tcPr>
          <w:p w14:paraId="388E4A19">
            <w:pPr>
              <w:pStyle w:val="28"/>
              <w:bidi w:val="0"/>
            </w:pPr>
            <w:r>
              <w:t>农业用水</w:t>
            </w:r>
          </w:p>
        </w:tc>
        <w:tc>
          <w:tcPr>
            <w:tcW w:w="929" w:type="pct"/>
            <w:tcBorders>
              <w:right w:val="single" w:color="auto" w:sz="4" w:space="0"/>
            </w:tcBorders>
            <w:vAlign w:val="center"/>
          </w:tcPr>
          <w:p w14:paraId="5BF1585B">
            <w:pPr>
              <w:pStyle w:val="28"/>
              <w:bidi w:val="0"/>
            </w:pPr>
            <w:r>
              <w:t>Ⅲ</w:t>
            </w:r>
          </w:p>
        </w:tc>
      </w:tr>
      <w:tr w14:paraId="72D9039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32C3C925">
            <w:pPr>
              <w:pStyle w:val="28"/>
              <w:bidi w:val="0"/>
            </w:pPr>
            <w:r>
              <w:t>13</w:t>
            </w:r>
          </w:p>
        </w:tc>
        <w:tc>
          <w:tcPr>
            <w:tcW w:w="1306" w:type="pct"/>
            <w:vAlign w:val="center"/>
          </w:tcPr>
          <w:p w14:paraId="66DE5F6D">
            <w:pPr>
              <w:pStyle w:val="28"/>
              <w:bidi w:val="0"/>
            </w:pPr>
            <w:r>
              <w:rPr>
                <w:rFonts w:hint="eastAsia"/>
              </w:rPr>
              <w:t>双庙支渠</w:t>
            </w:r>
          </w:p>
        </w:tc>
        <w:tc>
          <w:tcPr>
            <w:tcW w:w="1380" w:type="pct"/>
            <w:vAlign w:val="center"/>
          </w:tcPr>
          <w:p w14:paraId="19C37BB4">
            <w:pPr>
              <w:pStyle w:val="28"/>
              <w:bidi w:val="0"/>
            </w:pPr>
            <w:r>
              <w:rPr>
                <w:rFonts w:hint="eastAsia"/>
              </w:rPr>
              <w:t>淮南市谢家集区</w:t>
            </w:r>
            <w:r>
              <w:t>境内</w:t>
            </w:r>
          </w:p>
        </w:tc>
        <w:tc>
          <w:tcPr>
            <w:tcW w:w="982" w:type="pct"/>
            <w:vAlign w:val="center"/>
          </w:tcPr>
          <w:p w14:paraId="2CB1DFFC">
            <w:pPr>
              <w:pStyle w:val="28"/>
              <w:bidi w:val="0"/>
            </w:pPr>
            <w:r>
              <w:t>农业用水</w:t>
            </w:r>
          </w:p>
        </w:tc>
        <w:tc>
          <w:tcPr>
            <w:tcW w:w="929" w:type="pct"/>
            <w:tcBorders>
              <w:right w:val="single" w:color="auto" w:sz="4" w:space="0"/>
            </w:tcBorders>
            <w:vAlign w:val="center"/>
          </w:tcPr>
          <w:p w14:paraId="001F36A1">
            <w:pPr>
              <w:pStyle w:val="28"/>
              <w:bidi w:val="0"/>
            </w:pPr>
            <w:r>
              <w:t>Ⅲ</w:t>
            </w:r>
          </w:p>
        </w:tc>
      </w:tr>
      <w:tr w14:paraId="139DD12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00" w:type="pct"/>
            <w:tcBorders>
              <w:left w:val="single" w:color="auto" w:sz="4" w:space="0"/>
            </w:tcBorders>
            <w:vAlign w:val="center"/>
          </w:tcPr>
          <w:p w14:paraId="19551CC7">
            <w:pPr>
              <w:pStyle w:val="28"/>
              <w:bidi w:val="0"/>
            </w:pPr>
            <w:r>
              <w:t>14</w:t>
            </w:r>
          </w:p>
        </w:tc>
        <w:tc>
          <w:tcPr>
            <w:tcW w:w="1306" w:type="pct"/>
            <w:vAlign w:val="center"/>
          </w:tcPr>
          <w:p w14:paraId="58FDB23F">
            <w:pPr>
              <w:pStyle w:val="28"/>
              <w:bidi w:val="0"/>
            </w:pPr>
            <w:r>
              <w:rPr>
                <w:rFonts w:hint="eastAsia"/>
              </w:rPr>
              <w:t>方庄支渠</w:t>
            </w:r>
          </w:p>
        </w:tc>
        <w:tc>
          <w:tcPr>
            <w:tcW w:w="1380" w:type="pct"/>
            <w:vAlign w:val="center"/>
          </w:tcPr>
          <w:p w14:paraId="0E1CEABC">
            <w:pPr>
              <w:pStyle w:val="28"/>
              <w:bidi w:val="0"/>
            </w:pPr>
            <w:r>
              <w:rPr>
                <w:rFonts w:hint="eastAsia"/>
              </w:rPr>
              <w:t>淮南市谢家集区</w:t>
            </w:r>
            <w:r>
              <w:t>境内</w:t>
            </w:r>
          </w:p>
        </w:tc>
        <w:tc>
          <w:tcPr>
            <w:tcW w:w="982" w:type="pct"/>
            <w:vAlign w:val="center"/>
          </w:tcPr>
          <w:p w14:paraId="6C8E46CA">
            <w:pPr>
              <w:pStyle w:val="28"/>
              <w:bidi w:val="0"/>
            </w:pPr>
            <w:r>
              <w:t>农业用水</w:t>
            </w:r>
          </w:p>
        </w:tc>
        <w:tc>
          <w:tcPr>
            <w:tcW w:w="929" w:type="pct"/>
            <w:tcBorders>
              <w:right w:val="single" w:color="auto" w:sz="4" w:space="0"/>
            </w:tcBorders>
            <w:vAlign w:val="center"/>
          </w:tcPr>
          <w:p w14:paraId="5FC80D1F">
            <w:pPr>
              <w:pStyle w:val="28"/>
              <w:bidi w:val="0"/>
            </w:pPr>
            <w:r>
              <w:t>Ⅲ</w:t>
            </w:r>
          </w:p>
        </w:tc>
      </w:tr>
    </w:tbl>
    <w:p w14:paraId="7D464814">
      <w:pPr>
        <w:spacing w:line="240" w:lineRule="auto"/>
        <w:jc w:val="both"/>
        <w:rPr>
          <w:b/>
          <w:bCs/>
          <w:sz w:val="18"/>
          <w:szCs w:val="18"/>
        </w:rPr>
      </w:pPr>
    </w:p>
    <w:p w14:paraId="7EEF0C63">
      <w:pPr>
        <w:rPr>
          <w:color w:val="0000FF"/>
        </w:rPr>
      </w:pPr>
      <w:r>
        <w:rPr>
          <w:color w:val="0000FF"/>
        </w:rPr>
        <w:t>表1-5-2  地表水环境质量执行标准限值  单位：mg/L（pH值无量纲）</w:t>
      </w:r>
    </w:p>
    <w:tbl>
      <w:tblPr>
        <w:tblStyle w:val="16"/>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9"/>
        <w:gridCol w:w="1743"/>
        <w:gridCol w:w="2061"/>
        <w:gridCol w:w="789"/>
        <w:gridCol w:w="1682"/>
        <w:gridCol w:w="2256"/>
      </w:tblGrid>
      <w:tr w14:paraId="0F7054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4" w:type="pct"/>
            <w:vAlign w:val="center"/>
          </w:tcPr>
          <w:p w14:paraId="38212A34">
            <w:pPr>
              <w:pStyle w:val="28"/>
              <w:bidi w:val="0"/>
            </w:pPr>
            <w:r>
              <w:t>序号</w:t>
            </w:r>
          </w:p>
        </w:tc>
        <w:tc>
          <w:tcPr>
            <w:tcW w:w="939" w:type="pct"/>
            <w:vAlign w:val="center"/>
          </w:tcPr>
          <w:p w14:paraId="14F77384">
            <w:pPr>
              <w:pStyle w:val="28"/>
              <w:bidi w:val="0"/>
            </w:pPr>
            <w:r>
              <w:t>项目</w:t>
            </w:r>
          </w:p>
        </w:tc>
        <w:tc>
          <w:tcPr>
            <w:tcW w:w="1110" w:type="pct"/>
            <w:vAlign w:val="center"/>
          </w:tcPr>
          <w:p w14:paraId="2CD5D698">
            <w:pPr>
              <w:pStyle w:val="28"/>
              <w:bidi w:val="0"/>
            </w:pPr>
            <w:r>
              <w:t>标准限值（Ⅱ类）</w:t>
            </w:r>
          </w:p>
        </w:tc>
        <w:tc>
          <w:tcPr>
            <w:tcW w:w="425" w:type="pct"/>
            <w:vAlign w:val="center"/>
          </w:tcPr>
          <w:p w14:paraId="0C666825">
            <w:pPr>
              <w:pStyle w:val="28"/>
              <w:bidi w:val="0"/>
            </w:pPr>
            <w:r>
              <w:t>序号</w:t>
            </w:r>
          </w:p>
        </w:tc>
        <w:tc>
          <w:tcPr>
            <w:tcW w:w="906" w:type="pct"/>
            <w:vAlign w:val="center"/>
          </w:tcPr>
          <w:p w14:paraId="5B0155A4">
            <w:pPr>
              <w:pStyle w:val="28"/>
              <w:bidi w:val="0"/>
            </w:pPr>
            <w:r>
              <w:t>项目</w:t>
            </w:r>
          </w:p>
        </w:tc>
        <w:tc>
          <w:tcPr>
            <w:tcW w:w="1215" w:type="pct"/>
            <w:vAlign w:val="center"/>
          </w:tcPr>
          <w:p w14:paraId="5FF41C4A">
            <w:pPr>
              <w:pStyle w:val="28"/>
              <w:bidi w:val="0"/>
            </w:pPr>
            <w:r>
              <w:t>标准限值（Ⅲ类）</w:t>
            </w:r>
          </w:p>
        </w:tc>
      </w:tr>
      <w:tr w14:paraId="016EC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4" w:type="pct"/>
            <w:vAlign w:val="center"/>
          </w:tcPr>
          <w:p w14:paraId="07F75E5A">
            <w:pPr>
              <w:pStyle w:val="28"/>
              <w:bidi w:val="0"/>
            </w:pPr>
            <w:r>
              <w:t>1</w:t>
            </w:r>
          </w:p>
        </w:tc>
        <w:tc>
          <w:tcPr>
            <w:tcW w:w="939" w:type="pct"/>
            <w:vAlign w:val="center"/>
          </w:tcPr>
          <w:p w14:paraId="716C993B">
            <w:pPr>
              <w:pStyle w:val="28"/>
              <w:bidi w:val="0"/>
            </w:pPr>
            <w:r>
              <w:t>pH</w:t>
            </w:r>
          </w:p>
        </w:tc>
        <w:tc>
          <w:tcPr>
            <w:tcW w:w="1110" w:type="pct"/>
            <w:vAlign w:val="center"/>
          </w:tcPr>
          <w:p w14:paraId="19D3BE7A">
            <w:pPr>
              <w:pStyle w:val="28"/>
              <w:bidi w:val="0"/>
            </w:pPr>
            <w:r>
              <w:t>6~9</w:t>
            </w:r>
          </w:p>
        </w:tc>
        <w:tc>
          <w:tcPr>
            <w:tcW w:w="425" w:type="pct"/>
            <w:vAlign w:val="center"/>
          </w:tcPr>
          <w:p w14:paraId="795380AE">
            <w:pPr>
              <w:pStyle w:val="28"/>
              <w:bidi w:val="0"/>
            </w:pPr>
            <w:r>
              <w:t>1</w:t>
            </w:r>
          </w:p>
        </w:tc>
        <w:tc>
          <w:tcPr>
            <w:tcW w:w="906" w:type="pct"/>
            <w:vAlign w:val="center"/>
          </w:tcPr>
          <w:p w14:paraId="2378137D">
            <w:pPr>
              <w:pStyle w:val="28"/>
              <w:bidi w:val="0"/>
            </w:pPr>
            <w:r>
              <w:t>pH</w:t>
            </w:r>
          </w:p>
        </w:tc>
        <w:tc>
          <w:tcPr>
            <w:tcW w:w="1215" w:type="pct"/>
            <w:vAlign w:val="center"/>
          </w:tcPr>
          <w:p w14:paraId="56AD0197">
            <w:pPr>
              <w:pStyle w:val="28"/>
              <w:bidi w:val="0"/>
            </w:pPr>
            <w:r>
              <w:t>6~9</w:t>
            </w:r>
          </w:p>
        </w:tc>
      </w:tr>
      <w:tr w14:paraId="4D84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4" w:type="pct"/>
            <w:vAlign w:val="center"/>
          </w:tcPr>
          <w:p w14:paraId="14193A09">
            <w:pPr>
              <w:pStyle w:val="28"/>
              <w:bidi w:val="0"/>
            </w:pPr>
            <w:r>
              <w:t>2</w:t>
            </w:r>
          </w:p>
        </w:tc>
        <w:tc>
          <w:tcPr>
            <w:tcW w:w="939" w:type="pct"/>
            <w:vAlign w:val="center"/>
          </w:tcPr>
          <w:p w14:paraId="30D4A43D">
            <w:pPr>
              <w:pStyle w:val="28"/>
              <w:bidi w:val="0"/>
            </w:pPr>
            <w:r>
              <w:t>BOD5≤</w:t>
            </w:r>
          </w:p>
        </w:tc>
        <w:tc>
          <w:tcPr>
            <w:tcW w:w="1110" w:type="pct"/>
            <w:vAlign w:val="center"/>
          </w:tcPr>
          <w:p w14:paraId="7BD0B512">
            <w:pPr>
              <w:pStyle w:val="28"/>
              <w:bidi w:val="0"/>
            </w:pPr>
            <w:r>
              <w:t>3</w:t>
            </w:r>
          </w:p>
        </w:tc>
        <w:tc>
          <w:tcPr>
            <w:tcW w:w="425" w:type="pct"/>
            <w:vAlign w:val="center"/>
          </w:tcPr>
          <w:p w14:paraId="6A301656">
            <w:pPr>
              <w:pStyle w:val="28"/>
              <w:bidi w:val="0"/>
            </w:pPr>
            <w:r>
              <w:t>2</w:t>
            </w:r>
          </w:p>
        </w:tc>
        <w:tc>
          <w:tcPr>
            <w:tcW w:w="906" w:type="pct"/>
            <w:vAlign w:val="center"/>
          </w:tcPr>
          <w:p w14:paraId="32137396">
            <w:pPr>
              <w:pStyle w:val="28"/>
              <w:bidi w:val="0"/>
            </w:pPr>
            <w:r>
              <w:t>BOD5≤</w:t>
            </w:r>
          </w:p>
        </w:tc>
        <w:tc>
          <w:tcPr>
            <w:tcW w:w="1215" w:type="pct"/>
            <w:vAlign w:val="center"/>
          </w:tcPr>
          <w:p w14:paraId="129EDA65">
            <w:pPr>
              <w:pStyle w:val="28"/>
              <w:bidi w:val="0"/>
            </w:pPr>
            <w:r>
              <w:t>4</w:t>
            </w:r>
          </w:p>
        </w:tc>
      </w:tr>
      <w:tr w14:paraId="21ACC9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4" w:type="pct"/>
            <w:vAlign w:val="center"/>
          </w:tcPr>
          <w:p w14:paraId="58BEFB07">
            <w:pPr>
              <w:pStyle w:val="28"/>
              <w:bidi w:val="0"/>
            </w:pPr>
            <w:r>
              <w:t>3</w:t>
            </w:r>
          </w:p>
        </w:tc>
        <w:tc>
          <w:tcPr>
            <w:tcW w:w="939" w:type="pct"/>
            <w:vAlign w:val="center"/>
          </w:tcPr>
          <w:p w14:paraId="579E207D">
            <w:pPr>
              <w:pStyle w:val="28"/>
              <w:bidi w:val="0"/>
            </w:pPr>
            <w:r>
              <w:t>CODCr≤</w:t>
            </w:r>
          </w:p>
        </w:tc>
        <w:tc>
          <w:tcPr>
            <w:tcW w:w="1110" w:type="pct"/>
            <w:vAlign w:val="center"/>
          </w:tcPr>
          <w:p w14:paraId="1A743EE6">
            <w:pPr>
              <w:pStyle w:val="28"/>
              <w:bidi w:val="0"/>
            </w:pPr>
            <w:r>
              <w:t>15</w:t>
            </w:r>
          </w:p>
        </w:tc>
        <w:tc>
          <w:tcPr>
            <w:tcW w:w="425" w:type="pct"/>
            <w:vAlign w:val="center"/>
          </w:tcPr>
          <w:p w14:paraId="6FD6DE80">
            <w:pPr>
              <w:pStyle w:val="28"/>
              <w:bidi w:val="0"/>
            </w:pPr>
            <w:r>
              <w:t>3</w:t>
            </w:r>
          </w:p>
        </w:tc>
        <w:tc>
          <w:tcPr>
            <w:tcW w:w="906" w:type="pct"/>
            <w:vAlign w:val="center"/>
          </w:tcPr>
          <w:p w14:paraId="331F4C66">
            <w:pPr>
              <w:pStyle w:val="28"/>
              <w:bidi w:val="0"/>
            </w:pPr>
            <w:r>
              <w:t>CODCr≤</w:t>
            </w:r>
          </w:p>
        </w:tc>
        <w:tc>
          <w:tcPr>
            <w:tcW w:w="1215" w:type="pct"/>
            <w:vAlign w:val="center"/>
          </w:tcPr>
          <w:p w14:paraId="51A90ABA">
            <w:pPr>
              <w:pStyle w:val="28"/>
              <w:bidi w:val="0"/>
            </w:pPr>
            <w:r>
              <w:t>20</w:t>
            </w:r>
          </w:p>
        </w:tc>
      </w:tr>
      <w:tr w14:paraId="715D7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4" w:type="pct"/>
            <w:vAlign w:val="center"/>
          </w:tcPr>
          <w:p w14:paraId="155EB7BC">
            <w:pPr>
              <w:pStyle w:val="28"/>
              <w:bidi w:val="0"/>
            </w:pPr>
            <w:r>
              <w:t>4</w:t>
            </w:r>
          </w:p>
        </w:tc>
        <w:tc>
          <w:tcPr>
            <w:tcW w:w="939" w:type="pct"/>
            <w:vAlign w:val="center"/>
          </w:tcPr>
          <w:p w14:paraId="032E9D46">
            <w:pPr>
              <w:pStyle w:val="28"/>
              <w:bidi w:val="0"/>
            </w:pPr>
            <w:r>
              <w:t>高锰酸盐指数≤</w:t>
            </w:r>
          </w:p>
        </w:tc>
        <w:tc>
          <w:tcPr>
            <w:tcW w:w="1110" w:type="pct"/>
            <w:vAlign w:val="center"/>
          </w:tcPr>
          <w:p w14:paraId="400A68AC">
            <w:pPr>
              <w:pStyle w:val="28"/>
              <w:bidi w:val="0"/>
            </w:pPr>
            <w:r>
              <w:t>4</w:t>
            </w:r>
          </w:p>
        </w:tc>
        <w:tc>
          <w:tcPr>
            <w:tcW w:w="425" w:type="pct"/>
            <w:vAlign w:val="center"/>
          </w:tcPr>
          <w:p w14:paraId="6AAAB859">
            <w:pPr>
              <w:pStyle w:val="28"/>
              <w:bidi w:val="0"/>
            </w:pPr>
            <w:r>
              <w:t>4</w:t>
            </w:r>
          </w:p>
        </w:tc>
        <w:tc>
          <w:tcPr>
            <w:tcW w:w="906" w:type="pct"/>
            <w:vAlign w:val="center"/>
          </w:tcPr>
          <w:p w14:paraId="2361D18D">
            <w:pPr>
              <w:pStyle w:val="28"/>
              <w:bidi w:val="0"/>
            </w:pPr>
            <w:r>
              <w:t>高锰酸盐指数≤</w:t>
            </w:r>
          </w:p>
        </w:tc>
        <w:tc>
          <w:tcPr>
            <w:tcW w:w="1215" w:type="pct"/>
            <w:vAlign w:val="center"/>
          </w:tcPr>
          <w:p w14:paraId="2D3888BC">
            <w:pPr>
              <w:pStyle w:val="28"/>
              <w:bidi w:val="0"/>
            </w:pPr>
            <w:r>
              <w:t>6</w:t>
            </w:r>
          </w:p>
        </w:tc>
      </w:tr>
      <w:tr w14:paraId="17A07A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4" w:type="pct"/>
            <w:vAlign w:val="center"/>
          </w:tcPr>
          <w:p w14:paraId="0E6B7D09">
            <w:pPr>
              <w:pStyle w:val="28"/>
              <w:bidi w:val="0"/>
            </w:pPr>
            <w:r>
              <w:t>5</w:t>
            </w:r>
          </w:p>
        </w:tc>
        <w:tc>
          <w:tcPr>
            <w:tcW w:w="939" w:type="pct"/>
            <w:vAlign w:val="center"/>
          </w:tcPr>
          <w:p w14:paraId="4B546C5F">
            <w:pPr>
              <w:pStyle w:val="28"/>
              <w:bidi w:val="0"/>
            </w:pPr>
            <w:r>
              <w:t>TP≤</w:t>
            </w:r>
          </w:p>
        </w:tc>
        <w:tc>
          <w:tcPr>
            <w:tcW w:w="1110" w:type="pct"/>
            <w:vAlign w:val="center"/>
          </w:tcPr>
          <w:p w14:paraId="2ABD9E3B">
            <w:pPr>
              <w:pStyle w:val="28"/>
              <w:bidi w:val="0"/>
            </w:pPr>
            <w:r>
              <w:t>0.1（湖、库0.025）</w:t>
            </w:r>
          </w:p>
        </w:tc>
        <w:tc>
          <w:tcPr>
            <w:tcW w:w="425" w:type="pct"/>
            <w:vAlign w:val="center"/>
          </w:tcPr>
          <w:p w14:paraId="5122995A">
            <w:pPr>
              <w:pStyle w:val="28"/>
              <w:bidi w:val="0"/>
            </w:pPr>
            <w:r>
              <w:t>5</w:t>
            </w:r>
          </w:p>
        </w:tc>
        <w:tc>
          <w:tcPr>
            <w:tcW w:w="906" w:type="pct"/>
            <w:vAlign w:val="center"/>
          </w:tcPr>
          <w:p w14:paraId="6A65A729">
            <w:pPr>
              <w:pStyle w:val="28"/>
              <w:bidi w:val="0"/>
            </w:pPr>
            <w:r>
              <w:t>TP≤</w:t>
            </w:r>
          </w:p>
        </w:tc>
        <w:tc>
          <w:tcPr>
            <w:tcW w:w="1215" w:type="pct"/>
            <w:vAlign w:val="center"/>
          </w:tcPr>
          <w:p w14:paraId="4FED0C68">
            <w:pPr>
              <w:pStyle w:val="28"/>
              <w:bidi w:val="0"/>
            </w:pPr>
            <w:r>
              <w:t>0.2（湖、库0.05）</w:t>
            </w:r>
          </w:p>
        </w:tc>
      </w:tr>
      <w:tr w14:paraId="1335C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4" w:type="pct"/>
            <w:vAlign w:val="center"/>
          </w:tcPr>
          <w:p w14:paraId="3BB0C7C1">
            <w:pPr>
              <w:pStyle w:val="28"/>
              <w:bidi w:val="0"/>
            </w:pPr>
            <w:r>
              <w:t>6</w:t>
            </w:r>
          </w:p>
        </w:tc>
        <w:tc>
          <w:tcPr>
            <w:tcW w:w="939" w:type="pct"/>
            <w:vAlign w:val="center"/>
          </w:tcPr>
          <w:p w14:paraId="175B2302">
            <w:pPr>
              <w:pStyle w:val="28"/>
              <w:bidi w:val="0"/>
            </w:pPr>
            <w:r>
              <w:t>NH3-N≤</w:t>
            </w:r>
          </w:p>
        </w:tc>
        <w:tc>
          <w:tcPr>
            <w:tcW w:w="1110" w:type="pct"/>
            <w:vAlign w:val="center"/>
          </w:tcPr>
          <w:p w14:paraId="388EB87E">
            <w:pPr>
              <w:pStyle w:val="28"/>
              <w:bidi w:val="0"/>
            </w:pPr>
            <w:r>
              <w:t>0.5</w:t>
            </w:r>
          </w:p>
        </w:tc>
        <w:tc>
          <w:tcPr>
            <w:tcW w:w="425" w:type="pct"/>
            <w:vAlign w:val="center"/>
          </w:tcPr>
          <w:p w14:paraId="5068CE70">
            <w:pPr>
              <w:pStyle w:val="28"/>
              <w:bidi w:val="0"/>
            </w:pPr>
            <w:r>
              <w:t>6</w:t>
            </w:r>
          </w:p>
        </w:tc>
        <w:tc>
          <w:tcPr>
            <w:tcW w:w="906" w:type="pct"/>
            <w:vAlign w:val="center"/>
          </w:tcPr>
          <w:p w14:paraId="062382EB">
            <w:pPr>
              <w:pStyle w:val="28"/>
              <w:bidi w:val="0"/>
            </w:pPr>
            <w:r>
              <w:t>NH3-N≤</w:t>
            </w:r>
          </w:p>
        </w:tc>
        <w:tc>
          <w:tcPr>
            <w:tcW w:w="1215" w:type="pct"/>
            <w:vAlign w:val="center"/>
          </w:tcPr>
          <w:p w14:paraId="17B1464A">
            <w:pPr>
              <w:pStyle w:val="28"/>
              <w:bidi w:val="0"/>
            </w:pPr>
            <w:r>
              <w:t>1.0</w:t>
            </w:r>
          </w:p>
        </w:tc>
      </w:tr>
      <w:tr w14:paraId="0029B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4" w:type="pct"/>
            <w:vAlign w:val="center"/>
          </w:tcPr>
          <w:p w14:paraId="5EECB3A5">
            <w:pPr>
              <w:pStyle w:val="28"/>
              <w:bidi w:val="0"/>
            </w:pPr>
            <w:r>
              <w:t>7</w:t>
            </w:r>
          </w:p>
        </w:tc>
        <w:tc>
          <w:tcPr>
            <w:tcW w:w="939" w:type="pct"/>
            <w:vAlign w:val="center"/>
          </w:tcPr>
          <w:p w14:paraId="4D590E46">
            <w:pPr>
              <w:pStyle w:val="28"/>
              <w:bidi w:val="0"/>
            </w:pPr>
            <w:r>
              <w:t>石油类≤</w:t>
            </w:r>
          </w:p>
        </w:tc>
        <w:tc>
          <w:tcPr>
            <w:tcW w:w="1110" w:type="pct"/>
            <w:vAlign w:val="center"/>
          </w:tcPr>
          <w:p w14:paraId="099A45D8">
            <w:pPr>
              <w:pStyle w:val="28"/>
              <w:bidi w:val="0"/>
            </w:pPr>
            <w:r>
              <w:t>0.05</w:t>
            </w:r>
          </w:p>
        </w:tc>
        <w:tc>
          <w:tcPr>
            <w:tcW w:w="425" w:type="pct"/>
            <w:vAlign w:val="center"/>
          </w:tcPr>
          <w:p w14:paraId="4EDFD7D0">
            <w:pPr>
              <w:pStyle w:val="28"/>
              <w:bidi w:val="0"/>
            </w:pPr>
            <w:r>
              <w:t>7</w:t>
            </w:r>
          </w:p>
        </w:tc>
        <w:tc>
          <w:tcPr>
            <w:tcW w:w="906" w:type="pct"/>
            <w:vAlign w:val="center"/>
          </w:tcPr>
          <w:p w14:paraId="317EA0F4">
            <w:pPr>
              <w:pStyle w:val="28"/>
              <w:bidi w:val="0"/>
            </w:pPr>
            <w:r>
              <w:t>石油类≤</w:t>
            </w:r>
          </w:p>
        </w:tc>
        <w:tc>
          <w:tcPr>
            <w:tcW w:w="1215" w:type="pct"/>
            <w:vAlign w:val="center"/>
          </w:tcPr>
          <w:p w14:paraId="6E68883B">
            <w:pPr>
              <w:pStyle w:val="28"/>
              <w:bidi w:val="0"/>
            </w:pPr>
            <w:r>
              <w:t>0.05</w:t>
            </w:r>
          </w:p>
        </w:tc>
      </w:tr>
      <w:tr w14:paraId="5023A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4" w:type="pct"/>
            <w:vAlign w:val="center"/>
          </w:tcPr>
          <w:p w14:paraId="219E3F1C">
            <w:pPr>
              <w:pStyle w:val="28"/>
              <w:bidi w:val="0"/>
            </w:pPr>
            <w:r>
              <w:t>8</w:t>
            </w:r>
          </w:p>
        </w:tc>
        <w:tc>
          <w:tcPr>
            <w:tcW w:w="939" w:type="pct"/>
            <w:vAlign w:val="center"/>
          </w:tcPr>
          <w:p w14:paraId="39BD2DF4">
            <w:pPr>
              <w:pStyle w:val="28"/>
              <w:bidi w:val="0"/>
            </w:pPr>
            <w:r>
              <w:t>DO≥</w:t>
            </w:r>
          </w:p>
        </w:tc>
        <w:tc>
          <w:tcPr>
            <w:tcW w:w="1110" w:type="pct"/>
            <w:vAlign w:val="center"/>
          </w:tcPr>
          <w:p w14:paraId="6E221309">
            <w:pPr>
              <w:pStyle w:val="28"/>
              <w:bidi w:val="0"/>
            </w:pPr>
            <w:r>
              <w:t>6</w:t>
            </w:r>
          </w:p>
        </w:tc>
        <w:tc>
          <w:tcPr>
            <w:tcW w:w="425" w:type="pct"/>
            <w:vAlign w:val="center"/>
          </w:tcPr>
          <w:p w14:paraId="303392F2">
            <w:pPr>
              <w:pStyle w:val="28"/>
              <w:bidi w:val="0"/>
            </w:pPr>
            <w:r>
              <w:t>8</w:t>
            </w:r>
          </w:p>
        </w:tc>
        <w:tc>
          <w:tcPr>
            <w:tcW w:w="906" w:type="pct"/>
            <w:vAlign w:val="center"/>
          </w:tcPr>
          <w:p w14:paraId="55C046CD">
            <w:pPr>
              <w:pStyle w:val="28"/>
              <w:bidi w:val="0"/>
            </w:pPr>
            <w:r>
              <w:t>DO≥</w:t>
            </w:r>
          </w:p>
        </w:tc>
        <w:tc>
          <w:tcPr>
            <w:tcW w:w="1215" w:type="pct"/>
            <w:vAlign w:val="center"/>
          </w:tcPr>
          <w:p w14:paraId="6C221E61">
            <w:pPr>
              <w:pStyle w:val="28"/>
              <w:bidi w:val="0"/>
            </w:pPr>
            <w:r>
              <w:t>5</w:t>
            </w:r>
          </w:p>
        </w:tc>
      </w:tr>
    </w:tbl>
    <w:p w14:paraId="1D42A5B6">
      <w:pPr>
        <w:spacing w:line="240" w:lineRule="auto"/>
        <w:ind w:firstLine="480"/>
        <w:rPr>
          <w:rFonts w:cs="Times New Roman"/>
          <w:bCs/>
          <w:color w:val="0000FF"/>
          <w:kern w:val="2"/>
        </w:rPr>
      </w:pPr>
    </w:p>
    <w:p w14:paraId="1200F504">
      <w:pPr>
        <w:ind w:firstLine="480"/>
        <w:rPr>
          <w:rFonts w:cs="Times New Roman"/>
          <w:bCs/>
          <w:kern w:val="2"/>
        </w:rPr>
      </w:pPr>
      <w:r>
        <w:rPr>
          <w:rFonts w:cs="Times New Roman"/>
          <w:bCs/>
          <w:kern w:val="2"/>
        </w:rPr>
        <w:t>（</w:t>
      </w:r>
      <w:r>
        <w:rPr>
          <w:rFonts w:hint="eastAsia" w:cs="Times New Roman"/>
          <w:bCs/>
          <w:kern w:val="2"/>
        </w:rPr>
        <w:t>2</w:t>
      </w:r>
      <w:r>
        <w:rPr>
          <w:rFonts w:cs="Times New Roman"/>
          <w:bCs/>
          <w:kern w:val="2"/>
        </w:rPr>
        <w:t>）环境空气质量评价标准</w:t>
      </w:r>
    </w:p>
    <w:p w14:paraId="65553453">
      <w:pPr>
        <w:ind w:firstLine="480"/>
        <w:rPr>
          <w:rFonts w:cs="Times New Roman"/>
          <w:snapToGrid w:val="0"/>
          <w:color w:val="0000FF"/>
        </w:rPr>
      </w:pPr>
      <w:r>
        <w:rPr>
          <w:rFonts w:cs="Times New Roman"/>
          <w:snapToGrid w:val="0"/>
        </w:rPr>
        <w:t>项目评价区环境空气质量标准执行《环境空气质量标准》（GB3095-2012）中二级标准。施工期氨、硫化氢等特征污染物执行《环境影响评价技术导则 大气环境》（HJ2.2-2018）附录D；相关标准限值见表1-5-</w:t>
      </w:r>
      <w:r>
        <w:rPr>
          <w:rFonts w:hint="eastAsia" w:cs="Times New Roman"/>
          <w:snapToGrid w:val="0"/>
        </w:rPr>
        <w:t>3</w:t>
      </w:r>
      <w:r>
        <w:rPr>
          <w:rFonts w:hint="eastAsia" w:cs="Times New Roman"/>
          <w:snapToGrid w:val="0"/>
          <w:color w:val="0000FF"/>
        </w:rPr>
        <w:t>。</w:t>
      </w:r>
    </w:p>
    <w:p w14:paraId="721196F1">
      <w:r>
        <w:t>表</w:t>
      </w:r>
      <w:r>
        <w:rPr>
          <w:snapToGrid w:val="0"/>
        </w:rPr>
        <w:t>1-5-</w:t>
      </w:r>
      <w:r>
        <w:rPr>
          <w:rFonts w:hint="eastAsia"/>
          <w:snapToGrid w:val="0"/>
        </w:rPr>
        <w:t>3</w:t>
      </w:r>
      <w:r>
        <w:rPr>
          <w:snapToGrid w:val="0"/>
        </w:rPr>
        <w:t xml:space="preserve">  </w:t>
      </w:r>
      <w:r>
        <w:t>环境空气质量执行标准限值  单位：μg/m</w:t>
      </w:r>
      <w:r>
        <w:rPr>
          <w:vertAlign w:val="superscript"/>
        </w:rPr>
        <w:t>3</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249"/>
        <w:gridCol w:w="2073"/>
        <w:gridCol w:w="1037"/>
        <w:gridCol w:w="1090"/>
        <w:gridCol w:w="1248"/>
        <w:gridCol w:w="2430"/>
      </w:tblGrid>
      <w:tr w14:paraId="0D7733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restart"/>
            <w:vAlign w:val="center"/>
          </w:tcPr>
          <w:p w14:paraId="2EC34AA8">
            <w:pPr>
              <w:pStyle w:val="28"/>
              <w:bidi w:val="0"/>
            </w:pPr>
            <w:r>
              <w:t>污染物名称</w:t>
            </w:r>
          </w:p>
        </w:tc>
        <w:tc>
          <w:tcPr>
            <w:tcW w:w="1135" w:type="pct"/>
            <w:vMerge w:val="restart"/>
            <w:vAlign w:val="center"/>
          </w:tcPr>
          <w:p w14:paraId="052AF0B7">
            <w:pPr>
              <w:pStyle w:val="28"/>
              <w:bidi w:val="0"/>
            </w:pPr>
            <w:r>
              <w:t>取值时间</w:t>
            </w:r>
          </w:p>
        </w:tc>
        <w:tc>
          <w:tcPr>
            <w:tcW w:w="1165" w:type="pct"/>
            <w:gridSpan w:val="2"/>
            <w:vAlign w:val="center"/>
          </w:tcPr>
          <w:p w14:paraId="4014D2C5">
            <w:pPr>
              <w:pStyle w:val="28"/>
              <w:bidi w:val="0"/>
            </w:pPr>
            <w:r>
              <w:t>浓度限值</w:t>
            </w:r>
          </w:p>
        </w:tc>
        <w:tc>
          <w:tcPr>
            <w:tcW w:w="683" w:type="pct"/>
            <w:vMerge w:val="restart"/>
            <w:vAlign w:val="center"/>
          </w:tcPr>
          <w:p w14:paraId="6BC09D3A">
            <w:pPr>
              <w:pStyle w:val="28"/>
              <w:bidi w:val="0"/>
            </w:pPr>
            <w:r>
              <w:t>单位</w:t>
            </w:r>
          </w:p>
        </w:tc>
        <w:tc>
          <w:tcPr>
            <w:tcW w:w="1330" w:type="pct"/>
            <w:vMerge w:val="restart"/>
            <w:vAlign w:val="center"/>
          </w:tcPr>
          <w:p w14:paraId="0FCF34AF">
            <w:pPr>
              <w:pStyle w:val="28"/>
              <w:bidi w:val="0"/>
            </w:pPr>
            <w:r>
              <w:t>标准来源</w:t>
            </w:r>
          </w:p>
        </w:tc>
      </w:tr>
      <w:tr w14:paraId="60717B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continue"/>
            <w:vAlign w:val="center"/>
          </w:tcPr>
          <w:p w14:paraId="14580B27">
            <w:pPr>
              <w:pStyle w:val="28"/>
              <w:bidi w:val="0"/>
            </w:pPr>
          </w:p>
        </w:tc>
        <w:tc>
          <w:tcPr>
            <w:tcW w:w="1135" w:type="pct"/>
            <w:vMerge w:val="continue"/>
            <w:vAlign w:val="center"/>
          </w:tcPr>
          <w:p w14:paraId="4FEE5889">
            <w:pPr>
              <w:pStyle w:val="28"/>
              <w:bidi w:val="0"/>
            </w:pPr>
          </w:p>
        </w:tc>
        <w:tc>
          <w:tcPr>
            <w:tcW w:w="568" w:type="pct"/>
            <w:vAlign w:val="center"/>
          </w:tcPr>
          <w:p w14:paraId="38CFD142">
            <w:pPr>
              <w:pStyle w:val="28"/>
              <w:bidi w:val="0"/>
            </w:pPr>
            <w:r>
              <w:t>一级</w:t>
            </w:r>
          </w:p>
        </w:tc>
        <w:tc>
          <w:tcPr>
            <w:tcW w:w="597" w:type="pct"/>
            <w:vAlign w:val="center"/>
          </w:tcPr>
          <w:p w14:paraId="7C04F548">
            <w:pPr>
              <w:pStyle w:val="28"/>
              <w:bidi w:val="0"/>
            </w:pPr>
            <w:r>
              <w:t>二级</w:t>
            </w:r>
          </w:p>
        </w:tc>
        <w:tc>
          <w:tcPr>
            <w:tcW w:w="683" w:type="pct"/>
            <w:vMerge w:val="continue"/>
            <w:vAlign w:val="center"/>
          </w:tcPr>
          <w:p w14:paraId="49C94215">
            <w:pPr>
              <w:pStyle w:val="28"/>
              <w:bidi w:val="0"/>
            </w:pPr>
          </w:p>
        </w:tc>
        <w:tc>
          <w:tcPr>
            <w:tcW w:w="1330" w:type="pct"/>
            <w:vMerge w:val="continue"/>
            <w:vAlign w:val="center"/>
          </w:tcPr>
          <w:p w14:paraId="13ED5060">
            <w:pPr>
              <w:pStyle w:val="28"/>
              <w:bidi w:val="0"/>
            </w:pPr>
          </w:p>
        </w:tc>
      </w:tr>
      <w:tr w14:paraId="07AC0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restart"/>
            <w:vAlign w:val="center"/>
          </w:tcPr>
          <w:p w14:paraId="7CC841A9">
            <w:pPr>
              <w:pStyle w:val="28"/>
              <w:bidi w:val="0"/>
            </w:pPr>
            <w:r>
              <w:t>SO2</w:t>
            </w:r>
          </w:p>
        </w:tc>
        <w:tc>
          <w:tcPr>
            <w:tcW w:w="1135" w:type="pct"/>
            <w:vAlign w:val="center"/>
          </w:tcPr>
          <w:p w14:paraId="1685703B">
            <w:pPr>
              <w:pStyle w:val="28"/>
              <w:bidi w:val="0"/>
            </w:pPr>
            <w:r>
              <w:t>年平均</w:t>
            </w:r>
          </w:p>
        </w:tc>
        <w:tc>
          <w:tcPr>
            <w:tcW w:w="568" w:type="pct"/>
            <w:vAlign w:val="center"/>
          </w:tcPr>
          <w:p w14:paraId="591EFF76">
            <w:pPr>
              <w:pStyle w:val="28"/>
              <w:bidi w:val="0"/>
            </w:pPr>
            <w:r>
              <w:t>20</w:t>
            </w:r>
          </w:p>
        </w:tc>
        <w:tc>
          <w:tcPr>
            <w:tcW w:w="597" w:type="pct"/>
            <w:vAlign w:val="center"/>
          </w:tcPr>
          <w:p w14:paraId="1D3E46A0">
            <w:pPr>
              <w:pStyle w:val="28"/>
              <w:bidi w:val="0"/>
            </w:pPr>
            <w:r>
              <w:t>60</w:t>
            </w:r>
          </w:p>
        </w:tc>
        <w:tc>
          <w:tcPr>
            <w:tcW w:w="683" w:type="pct"/>
            <w:vMerge w:val="restart"/>
            <w:vAlign w:val="center"/>
          </w:tcPr>
          <w:p w14:paraId="4579DEC8">
            <w:pPr>
              <w:pStyle w:val="28"/>
              <w:bidi w:val="0"/>
            </w:pPr>
            <w:r>
              <w:t>（μg/m3）</w:t>
            </w:r>
          </w:p>
        </w:tc>
        <w:tc>
          <w:tcPr>
            <w:tcW w:w="1330" w:type="pct"/>
            <w:vMerge w:val="restart"/>
            <w:vAlign w:val="center"/>
          </w:tcPr>
          <w:p w14:paraId="5DC16D0B">
            <w:pPr>
              <w:pStyle w:val="28"/>
              <w:bidi w:val="0"/>
            </w:pPr>
            <w:r>
              <w:t>《环境空气质量标准》GB3095-2012</w:t>
            </w:r>
          </w:p>
        </w:tc>
      </w:tr>
      <w:tr w14:paraId="2FCF9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continue"/>
            <w:vAlign w:val="center"/>
          </w:tcPr>
          <w:p w14:paraId="061F1663">
            <w:pPr>
              <w:pStyle w:val="28"/>
              <w:bidi w:val="0"/>
            </w:pPr>
          </w:p>
        </w:tc>
        <w:tc>
          <w:tcPr>
            <w:tcW w:w="1135" w:type="pct"/>
            <w:vAlign w:val="center"/>
          </w:tcPr>
          <w:p w14:paraId="6C773413">
            <w:pPr>
              <w:pStyle w:val="28"/>
              <w:bidi w:val="0"/>
            </w:pPr>
            <w:r>
              <w:t>24小时平均</w:t>
            </w:r>
          </w:p>
        </w:tc>
        <w:tc>
          <w:tcPr>
            <w:tcW w:w="568" w:type="pct"/>
            <w:vAlign w:val="center"/>
          </w:tcPr>
          <w:p w14:paraId="30D15B1A">
            <w:pPr>
              <w:pStyle w:val="28"/>
              <w:bidi w:val="0"/>
            </w:pPr>
            <w:r>
              <w:t>50</w:t>
            </w:r>
          </w:p>
        </w:tc>
        <w:tc>
          <w:tcPr>
            <w:tcW w:w="597" w:type="pct"/>
            <w:vAlign w:val="center"/>
          </w:tcPr>
          <w:p w14:paraId="20137BF6">
            <w:pPr>
              <w:pStyle w:val="28"/>
              <w:bidi w:val="0"/>
            </w:pPr>
            <w:r>
              <w:t>150</w:t>
            </w:r>
          </w:p>
        </w:tc>
        <w:tc>
          <w:tcPr>
            <w:tcW w:w="683" w:type="pct"/>
            <w:vMerge w:val="continue"/>
            <w:vAlign w:val="center"/>
          </w:tcPr>
          <w:p w14:paraId="7656F5DD">
            <w:pPr>
              <w:pStyle w:val="28"/>
              <w:bidi w:val="0"/>
            </w:pPr>
          </w:p>
        </w:tc>
        <w:tc>
          <w:tcPr>
            <w:tcW w:w="1330" w:type="pct"/>
            <w:vMerge w:val="continue"/>
            <w:vAlign w:val="center"/>
          </w:tcPr>
          <w:p w14:paraId="53397189">
            <w:pPr>
              <w:pStyle w:val="28"/>
              <w:bidi w:val="0"/>
            </w:pPr>
          </w:p>
        </w:tc>
      </w:tr>
      <w:tr w14:paraId="7BD42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continue"/>
            <w:vAlign w:val="center"/>
          </w:tcPr>
          <w:p w14:paraId="799D7F60">
            <w:pPr>
              <w:pStyle w:val="28"/>
              <w:bidi w:val="0"/>
            </w:pPr>
          </w:p>
        </w:tc>
        <w:tc>
          <w:tcPr>
            <w:tcW w:w="1135" w:type="pct"/>
            <w:vAlign w:val="center"/>
          </w:tcPr>
          <w:p w14:paraId="7C87C482">
            <w:pPr>
              <w:pStyle w:val="28"/>
              <w:bidi w:val="0"/>
            </w:pPr>
            <w:r>
              <w:t>1小时平均</w:t>
            </w:r>
          </w:p>
        </w:tc>
        <w:tc>
          <w:tcPr>
            <w:tcW w:w="568" w:type="pct"/>
            <w:vAlign w:val="center"/>
          </w:tcPr>
          <w:p w14:paraId="3B8FF77A">
            <w:pPr>
              <w:pStyle w:val="28"/>
              <w:bidi w:val="0"/>
            </w:pPr>
            <w:r>
              <w:t>150</w:t>
            </w:r>
          </w:p>
        </w:tc>
        <w:tc>
          <w:tcPr>
            <w:tcW w:w="597" w:type="pct"/>
            <w:vAlign w:val="center"/>
          </w:tcPr>
          <w:p w14:paraId="6CAB571F">
            <w:pPr>
              <w:pStyle w:val="28"/>
              <w:bidi w:val="0"/>
            </w:pPr>
            <w:r>
              <w:t>500</w:t>
            </w:r>
          </w:p>
        </w:tc>
        <w:tc>
          <w:tcPr>
            <w:tcW w:w="683" w:type="pct"/>
            <w:vMerge w:val="continue"/>
            <w:vAlign w:val="center"/>
          </w:tcPr>
          <w:p w14:paraId="74A8F7C0">
            <w:pPr>
              <w:pStyle w:val="28"/>
              <w:bidi w:val="0"/>
            </w:pPr>
          </w:p>
        </w:tc>
        <w:tc>
          <w:tcPr>
            <w:tcW w:w="1330" w:type="pct"/>
            <w:vMerge w:val="continue"/>
            <w:vAlign w:val="center"/>
          </w:tcPr>
          <w:p w14:paraId="3DD711C0">
            <w:pPr>
              <w:pStyle w:val="28"/>
              <w:bidi w:val="0"/>
            </w:pPr>
          </w:p>
        </w:tc>
      </w:tr>
      <w:tr w14:paraId="32FD57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restart"/>
            <w:vAlign w:val="center"/>
          </w:tcPr>
          <w:p w14:paraId="480F5E35">
            <w:pPr>
              <w:pStyle w:val="28"/>
              <w:bidi w:val="0"/>
            </w:pPr>
            <w:r>
              <w:t>NO2</w:t>
            </w:r>
          </w:p>
        </w:tc>
        <w:tc>
          <w:tcPr>
            <w:tcW w:w="1135" w:type="pct"/>
            <w:vAlign w:val="center"/>
          </w:tcPr>
          <w:p w14:paraId="0AFD2C1E">
            <w:pPr>
              <w:pStyle w:val="28"/>
              <w:bidi w:val="0"/>
            </w:pPr>
            <w:r>
              <w:t>年平均</w:t>
            </w:r>
          </w:p>
        </w:tc>
        <w:tc>
          <w:tcPr>
            <w:tcW w:w="568" w:type="pct"/>
            <w:vAlign w:val="center"/>
          </w:tcPr>
          <w:p w14:paraId="13FE20FA">
            <w:pPr>
              <w:pStyle w:val="28"/>
              <w:bidi w:val="0"/>
            </w:pPr>
            <w:r>
              <w:t>40</w:t>
            </w:r>
          </w:p>
        </w:tc>
        <w:tc>
          <w:tcPr>
            <w:tcW w:w="597" w:type="pct"/>
            <w:vAlign w:val="center"/>
          </w:tcPr>
          <w:p w14:paraId="2469DA01">
            <w:pPr>
              <w:pStyle w:val="28"/>
              <w:bidi w:val="0"/>
            </w:pPr>
            <w:r>
              <w:t>40</w:t>
            </w:r>
          </w:p>
        </w:tc>
        <w:tc>
          <w:tcPr>
            <w:tcW w:w="683" w:type="pct"/>
            <w:vMerge w:val="continue"/>
            <w:vAlign w:val="center"/>
          </w:tcPr>
          <w:p w14:paraId="58413B4B">
            <w:pPr>
              <w:pStyle w:val="28"/>
              <w:bidi w:val="0"/>
            </w:pPr>
          </w:p>
        </w:tc>
        <w:tc>
          <w:tcPr>
            <w:tcW w:w="1330" w:type="pct"/>
            <w:vMerge w:val="continue"/>
            <w:vAlign w:val="center"/>
          </w:tcPr>
          <w:p w14:paraId="3B6E941E">
            <w:pPr>
              <w:pStyle w:val="28"/>
              <w:bidi w:val="0"/>
            </w:pPr>
          </w:p>
        </w:tc>
      </w:tr>
      <w:tr w14:paraId="0C9B1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continue"/>
            <w:vAlign w:val="center"/>
          </w:tcPr>
          <w:p w14:paraId="7D81E3E6">
            <w:pPr>
              <w:pStyle w:val="28"/>
              <w:bidi w:val="0"/>
            </w:pPr>
          </w:p>
        </w:tc>
        <w:tc>
          <w:tcPr>
            <w:tcW w:w="1135" w:type="pct"/>
            <w:vAlign w:val="center"/>
          </w:tcPr>
          <w:p w14:paraId="26076408">
            <w:pPr>
              <w:pStyle w:val="28"/>
              <w:bidi w:val="0"/>
            </w:pPr>
            <w:r>
              <w:t>24小时平均</w:t>
            </w:r>
          </w:p>
        </w:tc>
        <w:tc>
          <w:tcPr>
            <w:tcW w:w="568" w:type="pct"/>
            <w:vAlign w:val="center"/>
          </w:tcPr>
          <w:p w14:paraId="5B2A8F0F">
            <w:pPr>
              <w:pStyle w:val="28"/>
              <w:bidi w:val="0"/>
            </w:pPr>
            <w:r>
              <w:t>80</w:t>
            </w:r>
          </w:p>
        </w:tc>
        <w:tc>
          <w:tcPr>
            <w:tcW w:w="597" w:type="pct"/>
            <w:vAlign w:val="center"/>
          </w:tcPr>
          <w:p w14:paraId="65388302">
            <w:pPr>
              <w:pStyle w:val="28"/>
              <w:bidi w:val="0"/>
            </w:pPr>
            <w:r>
              <w:t>80</w:t>
            </w:r>
          </w:p>
        </w:tc>
        <w:tc>
          <w:tcPr>
            <w:tcW w:w="683" w:type="pct"/>
            <w:vMerge w:val="continue"/>
            <w:vAlign w:val="center"/>
          </w:tcPr>
          <w:p w14:paraId="6B0FDBA7">
            <w:pPr>
              <w:pStyle w:val="28"/>
              <w:bidi w:val="0"/>
            </w:pPr>
          </w:p>
        </w:tc>
        <w:tc>
          <w:tcPr>
            <w:tcW w:w="1330" w:type="pct"/>
            <w:vMerge w:val="continue"/>
            <w:vAlign w:val="center"/>
          </w:tcPr>
          <w:p w14:paraId="278420BD">
            <w:pPr>
              <w:pStyle w:val="28"/>
              <w:bidi w:val="0"/>
            </w:pPr>
          </w:p>
        </w:tc>
      </w:tr>
      <w:tr w14:paraId="34F66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continue"/>
            <w:vAlign w:val="center"/>
          </w:tcPr>
          <w:p w14:paraId="710F8CD3">
            <w:pPr>
              <w:pStyle w:val="28"/>
              <w:bidi w:val="0"/>
            </w:pPr>
          </w:p>
        </w:tc>
        <w:tc>
          <w:tcPr>
            <w:tcW w:w="1135" w:type="pct"/>
            <w:vAlign w:val="center"/>
          </w:tcPr>
          <w:p w14:paraId="775EBA1D">
            <w:pPr>
              <w:pStyle w:val="28"/>
              <w:bidi w:val="0"/>
            </w:pPr>
            <w:r>
              <w:t>1小时平均</w:t>
            </w:r>
          </w:p>
        </w:tc>
        <w:tc>
          <w:tcPr>
            <w:tcW w:w="568" w:type="pct"/>
            <w:vAlign w:val="center"/>
          </w:tcPr>
          <w:p w14:paraId="002EAB9D">
            <w:pPr>
              <w:pStyle w:val="28"/>
              <w:bidi w:val="0"/>
            </w:pPr>
            <w:r>
              <w:t>200</w:t>
            </w:r>
          </w:p>
        </w:tc>
        <w:tc>
          <w:tcPr>
            <w:tcW w:w="597" w:type="pct"/>
            <w:vAlign w:val="center"/>
          </w:tcPr>
          <w:p w14:paraId="48E0B3CA">
            <w:pPr>
              <w:pStyle w:val="28"/>
              <w:bidi w:val="0"/>
            </w:pPr>
            <w:r>
              <w:t>200</w:t>
            </w:r>
          </w:p>
        </w:tc>
        <w:tc>
          <w:tcPr>
            <w:tcW w:w="683" w:type="pct"/>
            <w:vMerge w:val="continue"/>
            <w:vAlign w:val="center"/>
          </w:tcPr>
          <w:p w14:paraId="61729D85">
            <w:pPr>
              <w:pStyle w:val="28"/>
              <w:bidi w:val="0"/>
            </w:pPr>
          </w:p>
        </w:tc>
        <w:tc>
          <w:tcPr>
            <w:tcW w:w="1330" w:type="pct"/>
            <w:vMerge w:val="continue"/>
            <w:vAlign w:val="center"/>
          </w:tcPr>
          <w:p w14:paraId="2D82034B">
            <w:pPr>
              <w:pStyle w:val="28"/>
              <w:bidi w:val="0"/>
            </w:pPr>
          </w:p>
        </w:tc>
      </w:tr>
      <w:tr w14:paraId="060B1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restart"/>
            <w:vAlign w:val="center"/>
          </w:tcPr>
          <w:p w14:paraId="26247712">
            <w:pPr>
              <w:pStyle w:val="28"/>
              <w:bidi w:val="0"/>
            </w:pPr>
            <w:r>
              <w:t>CO</w:t>
            </w:r>
          </w:p>
        </w:tc>
        <w:tc>
          <w:tcPr>
            <w:tcW w:w="1135" w:type="pct"/>
            <w:vAlign w:val="center"/>
          </w:tcPr>
          <w:p w14:paraId="09BB3D4D">
            <w:pPr>
              <w:pStyle w:val="28"/>
              <w:bidi w:val="0"/>
            </w:pPr>
            <w:r>
              <w:t>24小时平均</w:t>
            </w:r>
          </w:p>
        </w:tc>
        <w:tc>
          <w:tcPr>
            <w:tcW w:w="568" w:type="pct"/>
            <w:vAlign w:val="center"/>
          </w:tcPr>
          <w:p w14:paraId="27038737">
            <w:pPr>
              <w:pStyle w:val="28"/>
              <w:bidi w:val="0"/>
            </w:pPr>
            <w:r>
              <w:t>4</w:t>
            </w:r>
          </w:p>
        </w:tc>
        <w:tc>
          <w:tcPr>
            <w:tcW w:w="597" w:type="pct"/>
            <w:vAlign w:val="center"/>
          </w:tcPr>
          <w:p w14:paraId="6C460EE7">
            <w:pPr>
              <w:pStyle w:val="28"/>
              <w:bidi w:val="0"/>
            </w:pPr>
            <w:r>
              <w:t>4</w:t>
            </w:r>
          </w:p>
        </w:tc>
        <w:tc>
          <w:tcPr>
            <w:tcW w:w="683" w:type="pct"/>
            <w:vMerge w:val="restart"/>
            <w:vAlign w:val="center"/>
          </w:tcPr>
          <w:p w14:paraId="4CFBB449">
            <w:pPr>
              <w:pStyle w:val="28"/>
              <w:bidi w:val="0"/>
            </w:pPr>
            <w:r>
              <w:t>（mg/m3）</w:t>
            </w:r>
          </w:p>
        </w:tc>
        <w:tc>
          <w:tcPr>
            <w:tcW w:w="1330" w:type="pct"/>
            <w:vMerge w:val="continue"/>
            <w:vAlign w:val="center"/>
          </w:tcPr>
          <w:p w14:paraId="51A59467">
            <w:pPr>
              <w:pStyle w:val="28"/>
              <w:bidi w:val="0"/>
            </w:pPr>
          </w:p>
        </w:tc>
      </w:tr>
      <w:tr w14:paraId="1B6B9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continue"/>
            <w:vAlign w:val="center"/>
          </w:tcPr>
          <w:p w14:paraId="51FDE5AD">
            <w:pPr>
              <w:pStyle w:val="28"/>
              <w:bidi w:val="0"/>
            </w:pPr>
          </w:p>
        </w:tc>
        <w:tc>
          <w:tcPr>
            <w:tcW w:w="1135" w:type="pct"/>
            <w:vAlign w:val="center"/>
          </w:tcPr>
          <w:p w14:paraId="509B4AB8">
            <w:pPr>
              <w:pStyle w:val="28"/>
              <w:bidi w:val="0"/>
            </w:pPr>
            <w:r>
              <w:t>1小时平均</w:t>
            </w:r>
          </w:p>
        </w:tc>
        <w:tc>
          <w:tcPr>
            <w:tcW w:w="568" w:type="pct"/>
            <w:vAlign w:val="center"/>
          </w:tcPr>
          <w:p w14:paraId="0C0FBA39">
            <w:pPr>
              <w:pStyle w:val="28"/>
              <w:bidi w:val="0"/>
            </w:pPr>
            <w:r>
              <w:t>10</w:t>
            </w:r>
          </w:p>
        </w:tc>
        <w:tc>
          <w:tcPr>
            <w:tcW w:w="597" w:type="pct"/>
            <w:vAlign w:val="center"/>
          </w:tcPr>
          <w:p w14:paraId="41A424A3">
            <w:pPr>
              <w:pStyle w:val="28"/>
              <w:bidi w:val="0"/>
            </w:pPr>
            <w:r>
              <w:t>10</w:t>
            </w:r>
          </w:p>
        </w:tc>
        <w:tc>
          <w:tcPr>
            <w:tcW w:w="683" w:type="pct"/>
            <w:vMerge w:val="continue"/>
            <w:vAlign w:val="center"/>
          </w:tcPr>
          <w:p w14:paraId="24B52CB4">
            <w:pPr>
              <w:pStyle w:val="28"/>
              <w:bidi w:val="0"/>
            </w:pPr>
          </w:p>
        </w:tc>
        <w:tc>
          <w:tcPr>
            <w:tcW w:w="1330" w:type="pct"/>
            <w:vMerge w:val="continue"/>
            <w:vAlign w:val="center"/>
          </w:tcPr>
          <w:p w14:paraId="728388FE">
            <w:pPr>
              <w:pStyle w:val="28"/>
              <w:bidi w:val="0"/>
            </w:pPr>
          </w:p>
        </w:tc>
      </w:tr>
      <w:tr w14:paraId="16E60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restart"/>
            <w:vAlign w:val="center"/>
          </w:tcPr>
          <w:p w14:paraId="7C59886C">
            <w:pPr>
              <w:pStyle w:val="28"/>
              <w:bidi w:val="0"/>
            </w:pPr>
            <w:r>
              <w:t>O3</w:t>
            </w:r>
          </w:p>
        </w:tc>
        <w:tc>
          <w:tcPr>
            <w:tcW w:w="1135" w:type="pct"/>
            <w:vAlign w:val="center"/>
          </w:tcPr>
          <w:p w14:paraId="61540AA7">
            <w:pPr>
              <w:pStyle w:val="28"/>
              <w:bidi w:val="0"/>
            </w:pPr>
            <w:r>
              <w:t>日最大8小时平均</w:t>
            </w:r>
          </w:p>
        </w:tc>
        <w:tc>
          <w:tcPr>
            <w:tcW w:w="568" w:type="pct"/>
            <w:vAlign w:val="center"/>
          </w:tcPr>
          <w:p w14:paraId="52AF170A">
            <w:pPr>
              <w:pStyle w:val="28"/>
              <w:bidi w:val="0"/>
            </w:pPr>
            <w:r>
              <w:t>100</w:t>
            </w:r>
          </w:p>
        </w:tc>
        <w:tc>
          <w:tcPr>
            <w:tcW w:w="597" w:type="pct"/>
            <w:vAlign w:val="center"/>
          </w:tcPr>
          <w:p w14:paraId="00FC00D4">
            <w:pPr>
              <w:pStyle w:val="28"/>
              <w:bidi w:val="0"/>
            </w:pPr>
            <w:r>
              <w:t>160</w:t>
            </w:r>
          </w:p>
        </w:tc>
        <w:tc>
          <w:tcPr>
            <w:tcW w:w="683" w:type="pct"/>
            <w:vMerge w:val="restart"/>
            <w:vAlign w:val="center"/>
          </w:tcPr>
          <w:p w14:paraId="3AB02BE1">
            <w:pPr>
              <w:pStyle w:val="28"/>
              <w:bidi w:val="0"/>
            </w:pPr>
            <w:r>
              <w:t>（μg/m3）</w:t>
            </w:r>
          </w:p>
        </w:tc>
        <w:tc>
          <w:tcPr>
            <w:tcW w:w="1330" w:type="pct"/>
            <w:vMerge w:val="continue"/>
            <w:vAlign w:val="center"/>
          </w:tcPr>
          <w:p w14:paraId="18FE9734">
            <w:pPr>
              <w:pStyle w:val="28"/>
              <w:bidi w:val="0"/>
            </w:pPr>
          </w:p>
        </w:tc>
      </w:tr>
      <w:tr w14:paraId="1080B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continue"/>
            <w:vAlign w:val="center"/>
          </w:tcPr>
          <w:p w14:paraId="6D8FA6D2">
            <w:pPr>
              <w:pStyle w:val="28"/>
              <w:bidi w:val="0"/>
            </w:pPr>
          </w:p>
        </w:tc>
        <w:tc>
          <w:tcPr>
            <w:tcW w:w="1135" w:type="pct"/>
            <w:vAlign w:val="center"/>
          </w:tcPr>
          <w:p w14:paraId="1039349D">
            <w:pPr>
              <w:pStyle w:val="28"/>
              <w:bidi w:val="0"/>
            </w:pPr>
            <w:r>
              <w:t>1小时平均</w:t>
            </w:r>
          </w:p>
        </w:tc>
        <w:tc>
          <w:tcPr>
            <w:tcW w:w="568" w:type="pct"/>
            <w:vAlign w:val="center"/>
          </w:tcPr>
          <w:p w14:paraId="7FF7BE41">
            <w:pPr>
              <w:pStyle w:val="28"/>
              <w:bidi w:val="0"/>
            </w:pPr>
            <w:r>
              <w:t>160</w:t>
            </w:r>
          </w:p>
        </w:tc>
        <w:tc>
          <w:tcPr>
            <w:tcW w:w="597" w:type="pct"/>
            <w:vAlign w:val="center"/>
          </w:tcPr>
          <w:p w14:paraId="4E181C2E">
            <w:pPr>
              <w:pStyle w:val="28"/>
              <w:bidi w:val="0"/>
            </w:pPr>
            <w:r>
              <w:t>200</w:t>
            </w:r>
          </w:p>
        </w:tc>
        <w:tc>
          <w:tcPr>
            <w:tcW w:w="683" w:type="pct"/>
            <w:vMerge w:val="continue"/>
            <w:vAlign w:val="center"/>
          </w:tcPr>
          <w:p w14:paraId="00E39BFC">
            <w:pPr>
              <w:pStyle w:val="28"/>
              <w:bidi w:val="0"/>
            </w:pPr>
          </w:p>
        </w:tc>
        <w:tc>
          <w:tcPr>
            <w:tcW w:w="1330" w:type="pct"/>
            <w:vMerge w:val="continue"/>
            <w:vAlign w:val="center"/>
          </w:tcPr>
          <w:p w14:paraId="5AC67C4C">
            <w:pPr>
              <w:pStyle w:val="28"/>
              <w:bidi w:val="0"/>
            </w:pPr>
          </w:p>
        </w:tc>
      </w:tr>
      <w:tr w14:paraId="51BEE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restart"/>
            <w:vAlign w:val="center"/>
          </w:tcPr>
          <w:p w14:paraId="2FDFDB62">
            <w:pPr>
              <w:pStyle w:val="28"/>
              <w:bidi w:val="0"/>
            </w:pPr>
            <w:r>
              <w:t>PM10</w:t>
            </w:r>
          </w:p>
        </w:tc>
        <w:tc>
          <w:tcPr>
            <w:tcW w:w="1135" w:type="pct"/>
            <w:vAlign w:val="center"/>
          </w:tcPr>
          <w:p w14:paraId="24D026D2">
            <w:pPr>
              <w:pStyle w:val="28"/>
              <w:bidi w:val="0"/>
            </w:pPr>
            <w:r>
              <w:t>年平均</w:t>
            </w:r>
          </w:p>
        </w:tc>
        <w:tc>
          <w:tcPr>
            <w:tcW w:w="568" w:type="pct"/>
            <w:vAlign w:val="center"/>
          </w:tcPr>
          <w:p w14:paraId="410F57F5">
            <w:pPr>
              <w:pStyle w:val="28"/>
              <w:bidi w:val="0"/>
            </w:pPr>
            <w:r>
              <w:t>40</w:t>
            </w:r>
          </w:p>
        </w:tc>
        <w:tc>
          <w:tcPr>
            <w:tcW w:w="597" w:type="pct"/>
            <w:vAlign w:val="center"/>
          </w:tcPr>
          <w:p w14:paraId="72E4755D">
            <w:pPr>
              <w:pStyle w:val="28"/>
              <w:bidi w:val="0"/>
            </w:pPr>
            <w:r>
              <w:t>70</w:t>
            </w:r>
          </w:p>
        </w:tc>
        <w:tc>
          <w:tcPr>
            <w:tcW w:w="683" w:type="pct"/>
            <w:vMerge w:val="continue"/>
            <w:vAlign w:val="center"/>
          </w:tcPr>
          <w:p w14:paraId="3D7F62F2">
            <w:pPr>
              <w:pStyle w:val="28"/>
              <w:bidi w:val="0"/>
            </w:pPr>
          </w:p>
        </w:tc>
        <w:tc>
          <w:tcPr>
            <w:tcW w:w="1330" w:type="pct"/>
            <w:vMerge w:val="continue"/>
            <w:vAlign w:val="center"/>
          </w:tcPr>
          <w:p w14:paraId="5D6655C2">
            <w:pPr>
              <w:pStyle w:val="28"/>
              <w:bidi w:val="0"/>
            </w:pPr>
          </w:p>
        </w:tc>
      </w:tr>
      <w:tr w14:paraId="14203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continue"/>
            <w:vAlign w:val="center"/>
          </w:tcPr>
          <w:p w14:paraId="518D613C">
            <w:pPr>
              <w:pStyle w:val="28"/>
              <w:bidi w:val="0"/>
            </w:pPr>
          </w:p>
        </w:tc>
        <w:tc>
          <w:tcPr>
            <w:tcW w:w="1135" w:type="pct"/>
            <w:vAlign w:val="center"/>
          </w:tcPr>
          <w:p w14:paraId="6A589D0D">
            <w:pPr>
              <w:pStyle w:val="28"/>
              <w:bidi w:val="0"/>
            </w:pPr>
            <w:r>
              <w:t>24小时平均</w:t>
            </w:r>
          </w:p>
        </w:tc>
        <w:tc>
          <w:tcPr>
            <w:tcW w:w="568" w:type="pct"/>
            <w:vAlign w:val="center"/>
          </w:tcPr>
          <w:p w14:paraId="5A2EAD0D">
            <w:pPr>
              <w:pStyle w:val="28"/>
              <w:bidi w:val="0"/>
            </w:pPr>
            <w:r>
              <w:t>50</w:t>
            </w:r>
          </w:p>
        </w:tc>
        <w:tc>
          <w:tcPr>
            <w:tcW w:w="597" w:type="pct"/>
            <w:vAlign w:val="center"/>
          </w:tcPr>
          <w:p w14:paraId="272D21D1">
            <w:pPr>
              <w:pStyle w:val="28"/>
              <w:bidi w:val="0"/>
            </w:pPr>
            <w:r>
              <w:t>150</w:t>
            </w:r>
          </w:p>
        </w:tc>
        <w:tc>
          <w:tcPr>
            <w:tcW w:w="683" w:type="pct"/>
            <w:vMerge w:val="continue"/>
            <w:vAlign w:val="center"/>
          </w:tcPr>
          <w:p w14:paraId="65BCD81D">
            <w:pPr>
              <w:pStyle w:val="28"/>
              <w:bidi w:val="0"/>
            </w:pPr>
          </w:p>
        </w:tc>
        <w:tc>
          <w:tcPr>
            <w:tcW w:w="1330" w:type="pct"/>
            <w:vMerge w:val="continue"/>
            <w:vAlign w:val="center"/>
          </w:tcPr>
          <w:p w14:paraId="20B68D15">
            <w:pPr>
              <w:pStyle w:val="28"/>
              <w:bidi w:val="0"/>
            </w:pPr>
          </w:p>
        </w:tc>
      </w:tr>
      <w:tr w14:paraId="2965D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restart"/>
            <w:vAlign w:val="center"/>
          </w:tcPr>
          <w:p w14:paraId="31EA4AA9">
            <w:pPr>
              <w:pStyle w:val="28"/>
              <w:bidi w:val="0"/>
            </w:pPr>
            <w:r>
              <w:t>PM2.5</w:t>
            </w:r>
          </w:p>
        </w:tc>
        <w:tc>
          <w:tcPr>
            <w:tcW w:w="1135" w:type="pct"/>
            <w:vAlign w:val="center"/>
          </w:tcPr>
          <w:p w14:paraId="18D58498">
            <w:pPr>
              <w:pStyle w:val="28"/>
              <w:bidi w:val="0"/>
            </w:pPr>
            <w:r>
              <w:t>年平均</w:t>
            </w:r>
          </w:p>
        </w:tc>
        <w:tc>
          <w:tcPr>
            <w:tcW w:w="568" w:type="pct"/>
            <w:vAlign w:val="center"/>
          </w:tcPr>
          <w:p w14:paraId="7EF11AAE">
            <w:pPr>
              <w:pStyle w:val="28"/>
              <w:bidi w:val="0"/>
            </w:pPr>
            <w:r>
              <w:t>15</w:t>
            </w:r>
          </w:p>
        </w:tc>
        <w:tc>
          <w:tcPr>
            <w:tcW w:w="597" w:type="pct"/>
            <w:vAlign w:val="center"/>
          </w:tcPr>
          <w:p w14:paraId="09FE905E">
            <w:pPr>
              <w:pStyle w:val="28"/>
              <w:bidi w:val="0"/>
            </w:pPr>
            <w:r>
              <w:t>35</w:t>
            </w:r>
          </w:p>
        </w:tc>
        <w:tc>
          <w:tcPr>
            <w:tcW w:w="683" w:type="pct"/>
            <w:vMerge w:val="continue"/>
            <w:vAlign w:val="center"/>
          </w:tcPr>
          <w:p w14:paraId="3596D8A8">
            <w:pPr>
              <w:pStyle w:val="28"/>
              <w:bidi w:val="0"/>
            </w:pPr>
          </w:p>
        </w:tc>
        <w:tc>
          <w:tcPr>
            <w:tcW w:w="1330" w:type="pct"/>
            <w:vMerge w:val="continue"/>
            <w:vAlign w:val="center"/>
          </w:tcPr>
          <w:p w14:paraId="06852495">
            <w:pPr>
              <w:pStyle w:val="28"/>
              <w:bidi w:val="0"/>
            </w:pPr>
          </w:p>
        </w:tc>
      </w:tr>
      <w:tr w14:paraId="651979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continue"/>
            <w:vAlign w:val="center"/>
          </w:tcPr>
          <w:p w14:paraId="54C62D13">
            <w:pPr>
              <w:pStyle w:val="28"/>
              <w:bidi w:val="0"/>
            </w:pPr>
          </w:p>
        </w:tc>
        <w:tc>
          <w:tcPr>
            <w:tcW w:w="1135" w:type="pct"/>
            <w:vAlign w:val="center"/>
          </w:tcPr>
          <w:p w14:paraId="43ECC432">
            <w:pPr>
              <w:pStyle w:val="28"/>
              <w:bidi w:val="0"/>
            </w:pPr>
            <w:r>
              <w:t>24小时平均</w:t>
            </w:r>
          </w:p>
        </w:tc>
        <w:tc>
          <w:tcPr>
            <w:tcW w:w="568" w:type="pct"/>
            <w:vAlign w:val="center"/>
          </w:tcPr>
          <w:p w14:paraId="704F2959">
            <w:pPr>
              <w:pStyle w:val="28"/>
              <w:bidi w:val="0"/>
            </w:pPr>
            <w:r>
              <w:t>35</w:t>
            </w:r>
          </w:p>
        </w:tc>
        <w:tc>
          <w:tcPr>
            <w:tcW w:w="597" w:type="pct"/>
            <w:vAlign w:val="center"/>
          </w:tcPr>
          <w:p w14:paraId="1AEF0CD5">
            <w:pPr>
              <w:pStyle w:val="28"/>
              <w:bidi w:val="0"/>
            </w:pPr>
            <w:r>
              <w:t>75</w:t>
            </w:r>
          </w:p>
        </w:tc>
        <w:tc>
          <w:tcPr>
            <w:tcW w:w="683" w:type="pct"/>
            <w:vMerge w:val="continue"/>
            <w:vAlign w:val="center"/>
          </w:tcPr>
          <w:p w14:paraId="5DABF4B2">
            <w:pPr>
              <w:pStyle w:val="28"/>
              <w:bidi w:val="0"/>
            </w:pPr>
          </w:p>
        </w:tc>
        <w:tc>
          <w:tcPr>
            <w:tcW w:w="1330" w:type="pct"/>
            <w:vMerge w:val="continue"/>
            <w:vAlign w:val="center"/>
          </w:tcPr>
          <w:p w14:paraId="6CB3C53C">
            <w:pPr>
              <w:pStyle w:val="28"/>
              <w:bidi w:val="0"/>
            </w:pPr>
          </w:p>
        </w:tc>
      </w:tr>
      <w:tr w14:paraId="7161A5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restart"/>
            <w:vAlign w:val="center"/>
          </w:tcPr>
          <w:p w14:paraId="3742516A">
            <w:pPr>
              <w:pStyle w:val="28"/>
              <w:bidi w:val="0"/>
            </w:pPr>
            <w:r>
              <w:t>TSP</w:t>
            </w:r>
          </w:p>
        </w:tc>
        <w:tc>
          <w:tcPr>
            <w:tcW w:w="1135" w:type="pct"/>
            <w:vAlign w:val="center"/>
          </w:tcPr>
          <w:p w14:paraId="3FB65E32">
            <w:pPr>
              <w:pStyle w:val="28"/>
              <w:bidi w:val="0"/>
            </w:pPr>
            <w:r>
              <w:t>年平均</w:t>
            </w:r>
          </w:p>
        </w:tc>
        <w:tc>
          <w:tcPr>
            <w:tcW w:w="568" w:type="pct"/>
            <w:vAlign w:val="center"/>
          </w:tcPr>
          <w:p w14:paraId="6C54D3C4">
            <w:pPr>
              <w:pStyle w:val="28"/>
              <w:bidi w:val="0"/>
            </w:pPr>
            <w:r>
              <w:t>80</w:t>
            </w:r>
          </w:p>
        </w:tc>
        <w:tc>
          <w:tcPr>
            <w:tcW w:w="597" w:type="pct"/>
            <w:vAlign w:val="center"/>
          </w:tcPr>
          <w:p w14:paraId="2E3E64FD">
            <w:pPr>
              <w:pStyle w:val="28"/>
              <w:bidi w:val="0"/>
            </w:pPr>
            <w:r>
              <w:t>200</w:t>
            </w:r>
          </w:p>
        </w:tc>
        <w:tc>
          <w:tcPr>
            <w:tcW w:w="683" w:type="pct"/>
            <w:vMerge w:val="restart"/>
            <w:vAlign w:val="center"/>
          </w:tcPr>
          <w:p w14:paraId="0CA634C9">
            <w:pPr>
              <w:pStyle w:val="28"/>
              <w:bidi w:val="0"/>
            </w:pPr>
            <w:r>
              <w:t>（μg/m3）</w:t>
            </w:r>
          </w:p>
        </w:tc>
        <w:tc>
          <w:tcPr>
            <w:tcW w:w="1330" w:type="pct"/>
            <w:vMerge w:val="continue"/>
            <w:vAlign w:val="center"/>
          </w:tcPr>
          <w:p w14:paraId="06AA01A9">
            <w:pPr>
              <w:pStyle w:val="28"/>
              <w:bidi w:val="0"/>
            </w:pPr>
          </w:p>
        </w:tc>
      </w:tr>
      <w:tr w14:paraId="0B0E6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continue"/>
            <w:vAlign w:val="center"/>
          </w:tcPr>
          <w:p w14:paraId="515447C6">
            <w:pPr>
              <w:pStyle w:val="28"/>
              <w:bidi w:val="0"/>
            </w:pPr>
          </w:p>
        </w:tc>
        <w:tc>
          <w:tcPr>
            <w:tcW w:w="1135" w:type="pct"/>
            <w:vAlign w:val="center"/>
          </w:tcPr>
          <w:p w14:paraId="21B92565">
            <w:pPr>
              <w:pStyle w:val="28"/>
              <w:bidi w:val="0"/>
            </w:pPr>
            <w:r>
              <w:t>24小时平均</w:t>
            </w:r>
          </w:p>
        </w:tc>
        <w:tc>
          <w:tcPr>
            <w:tcW w:w="568" w:type="pct"/>
            <w:vAlign w:val="center"/>
          </w:tcPr>
          <w:p w14:paraId="0EE9E068">
            <w:pPr>
              <w:pStyle w:val="28"/>
              <w:bidi w:val="0"/>
            </w:pPr>
            <w:r>
              <w:t>120</w:t>
            </w:r>
          </w:p>
        </w:tc>
        <w:tc>
          <w:tcPr>
            <w:tcW w:w="597" w:type="pct"/>
            <w:vAlign w:val="center"/>
          </w:tcPr>
          <w:p w14:paraId="2E91E98E">
            <w:pPr>
              <w:pStyle w:val="28"/>
              <w:bidi w:val="0"/>
            </w:pPr>
            <w:r>
              <w:t>300</w:t>
            </w:r>
          </w:p>
        </w:tc>
        <w:tc>
          <w:tcPr>
            <w:tcW w:w="683" w:type="pct"/>
            <w:vMerge w:val="continue"/>
            <w:vAlign w:val="center"/>
          </w:tcPr>
          <w:p w14:paraId="08D257CA">
            <w:pPr>
              <w:pStyle w:val="28"/>
              <w:bidi w:val="0"/>
            </w:pPr>
          </w:p>
        </w:tc>
        <w:tc>
          <w:tcPr>
            <w:tcW w:w="1330" w:type="pct"/>
            <w:vMerge w:val="continue"/>
            <w:vAlign w:val="center"/>
          </w:tcPr>
          <w:p w14:paraId="2F6EC191">
            <w:pPr>
              <w:pStyle w:val="28"/>
              <w:bidi w:val="0"/>
            </w:pPr>
          </w:p>
        </w:tc>
      </w:tr>
      <w:tr w14:paraId="5899C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restart"/>
            <w:vAlign w:val="center"/>
          </w:tcPr>
          <w:p w14:paraId="54E78171">
            <w:pPr>
              <w:pStyle w:val="28"/>
              <w:bidi w:val="0"/>
            </w:pPr>
            <w:r>
              <w:t>苯并</w:t>
            </w:r>
            <w:r>
              <w:rPr>
                <w:rFonts w:hint="eastAsia"/>
              </w:rPr>
              <w:t>〔</w:t>
            </w:r>
            <w:r>
              <w:t>a</w:t>
            </w:r>
            <w:r>
              <w:rPr>
                <w:rFonts w:hint="eastAsia"/>
              </w:rPr>
              <w:t>〕</w:t>
            </w:r>
            <w:r>
              <w:t>芘</w:t>
            </w:r>
          </w:p>
        </w:tc>
        <w:tc>
          <w:tcPr>
            <w:tcW w:w="1135" w:type="pct"/>
            <w:vAlign w:val="center"/>
          </w:tcPr>
          <w:p w14:paraId="1CA75899">
            <w:pPr>
              <w:pStyle w:val="28"/>
              <w:bidi w:val="0"/>
            </w:pPr>
            <w:r>
              <w:t>年平均</w:t>
            </w:r>
          </w:p>
        </w:tc>
        <w:tc>
          <w:tcPr>
            <w:tcW w:w="568" w:type="pct"/>
            <w:vAlign w:val="center"/>
          </w:tcPr>
          <w:p w14:paraId="6EADC4AF">
            <w:pPr>
              <w:pStyle w:val="28"/>
              <w:bidi w:val="0"/>
            </w:pPr>
            <w:r>
              <w:t>0.001</w:t>
            </w:r>
          </w:p>
        </w:tc>
        <w:tc>
          <w:tcPr>
            <w:tcW w:w="597" w:type="pct"/>
            <w:vAlign w:val="center"/>
          </w:tcPr>
          <w:p w14:paraId="4C208C7E">
            <w:pPr>
              <w:pStyle w:val="28"/>
              <w:bidi w:val="0"/>
            </w:pPr>
            <w:r>
              <w:t>0.001</w:t>
            </w:r>
          </w:p>
        </w:tc>
        <w:tc>
          <w:tcPr>
            <w:tcW w:w="683" w:type="pct"/>
            <w:vMerge w:val="restart"/>
            <w:vAlign w:val="center"/>
          </w:tcPr>
          <w:p w14:paraId="5E789ABE">
            <w:pPr>
              <w:pStyle w:val="28"/>
              <w:bidi w:val="0"/>
            </w:pPr>
            <w:r>
              <w:t>（μg/m3）</w:t>
            </w:r>
          </w:p>
        </w:tc>
        <w:tc>
          <w:tcPr>
            <w:tcW w:w="1330" w:type="pct"/>
            <w:vMerge w:val="continue"/>
            <w:vAlign w:val="center"/>
          </w:tcPr>
          <w:p w14:paraId="7F5856BA">
            <w:pPr>
              <w:pStyle w:val="28"/>
              <w:bidi w:val="0"/>
            </w:pPr>
          </w:p>
        </w:tc>
      </w:tr>
      <w:tr w14:paraId="70605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Merge w:val="continue"/>
            <w:vAlign w:val="center"/>
          </w:tcPr>
          <w:p w14:paraId="17AFC41E">
            <w:pPr>
              <w:pStyle w:val="28"/>
              <w:bidi w:val="0"/>
            </w:pPr>
          </w:p>
        </w:tc>
        <w:tc>
          <w:tcPr>
            <w:tcW w:w="1135" w:type="pct"/>
            <w:vAlign w:val="center"/>
          </w:tcPr>
          <w:p w14:paraId="3752EA60">
            <w:pPr>
              <w:pStyle w:val="28"/>
              <w:bidi w:val="0"/>
            </w:pPr>
            <w:r>
              <w:t>24h平均</w:t>
            </w:r>
          </w:p>
        </w:tc>
        <w:tc>
          <w:tcPr>
            <w:tcW w:w="568" w:type="pct"/>
            <w:vAlign w:val="center"/>
          </w:tcPr>
          <w:p w14:paraId="35D8BD30">
            <w:pPr>
              <w:pStyle w:val="28"/>
              <w:bidi w:val="0"/>
            </w:pPr>
            <w:r>
              <w:t>0.0025</w:t>
            </w:r>
          </w:p>
        </w:tc>
        <w:tc>
          <w:tcPr>
            <w:tcW w:w="597" w:type="pct"/>
            <w:vAlign w:val="center"/>
          </w:tcPr>
          <w:p w14:paraId="6292DFE8">
            <w:pPr>
              <w:pStyle w:val="28"/>
              <w:bidi w:val="0"/>
            </w:pPr>
            <w:r>
              <w:t>0.0025</w:t>
            </w:r>
          </w:p>
        </w:tc>
        <w:tc>
          <w:tcPr>
            <w:tcW w:w="683" w:type="pct"/>
            <w:vMerge w:val="continue"/>
            <w:vAlign w:val="center"/>
          </w:tcPr>
          <w:p w14:paraId="1251C0CC">
            <w:pPr>
              <w:pStyle w:val="28"/>
              <w:bidi w:val="0"/>
            </w:pPr>
          </w:p>
        </w:tc>
        <w:tc>
          <w:tcPr>
            <w:tcW w:w="1330" w:type="pct"/>
            <w:vMerge w:val="continue"/>
            <w:vAlign w:val="center"/>
          </w:tcPr>
          <w:p w14:paraId="674CFFE4">
            <w:pPr>
              <w:pStyle w:val="28"/>
              <w:bidi w:val="0"/>
            </w:pPr>
          </w:p>
        </w:tc>
      </w:tr>
      <w:tr w14:paraId="07677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Align w:val="center"/>
          </w:tcPr>
          <w:p w14:paraId="66F91511">
            <w:pPr>
              <w:pStyle w:val="28"/>
              <w:bidi w:val="0"/>
            </w:pPr>
            <w:r>
              <w:t>氨</w:t>
            </w:r>
          </w:p>
        </w:tc>
        <w:tc>
          <w:tcPr>
            <w:tcW w:w="1135" w:type="pct"/>
            <w:vAlign w:val="center"/>
          </w:tcPr>
          <w:p w14:paraId="29EDB3BA">
            <w:pPr>
              <w:pStyle w:val="28"/>
              <w:bidi w:val="0"/>
            </w:pPr>
            <w:r>
              <w:t>小时平均</w:t>
            </w:r>
          </w:p>
        </w:tc>
        <w:tc>
          <w:tcPr>
            <w:tcW w:w="1165" w:type="pct"/>
            <w:gridSpan w:val="2"/>
            <w:vAlign w:val="center"/>
          </w:tcPr>
          <w:p w14:paraId="4EF428AD">
            <w:pPr>
              <w:pStyle w:val="28"/>
              <w:bidi w:val="0"/>
            </w:pPr>
            <w:r>
              <w:t>200</w:t>
            </w:r>
          </w:p>
        </w:tc>
        <w:tc>
          <w:tcPr>
            <w:tcW w:w="683" w:type="pct"/>
            <w:vMerge w:val="restart"/>
            <w:vAlign w:val="center"/>
          </w:tcPr>
          <w:p w14:paraId="01B93F33">
            <w:pPr>
              <w:pStyle w:val="28"/>
              <w:bidi w:val="0"/>
            </w:pPr>
            <w:r>
              <w:t>（μg/m3）</w:t>
            </w:r>
          </w:p>
        </w:tc>
        <w:tc>
          <w:tcPr>
            <w:tcW w:w="1330" w:type="pct"/>
            <w:vMerge w:val="restart"/>
            <w:vAlign w:val="center"/>
          </w:tcPr>
          <w:p w14:paraId="603C191B">
            <w:pPr>
              <w:pStyle w:val="28"/>
              <w:bidi w:val="0"/>
            </w:pPr>
            <w:r>
              <w:t>《环境影响评价大气导则大气环境》HJ2.2-2018 附录D</w:t>
            </w:r>
          </w:p>
        </w:tc>
      </w:tr>
      <w:tr w14:paraId="6D7B6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340" w:hRule="atLeast"/>
          <w:jc w:val="center"/>
        </w:trPr>
        <w:tc>
          <w:tcPr>
            <w:tcW w:w="684" w:type="pct"/>
            <w:vAlign w:val="center"/>
          </w:tcPr>
          <w:p w14:paraId="41AD71E1">
            <w:pPr>
              <w:pStyle w:val="28"/>
              <w:bidi w:val="0"/>
            </w:pPr>
            <w:r>
              <w:t>硫化氢</w:t>
            </w:r>
          </w:p>
        </w:tc>
        <w:tc>
          <w:tcPr>
            <w:tcW w:w="1135" w:type="pct"/>
            <w:vAlign w:val="center"/>
          </w:tcPr>
          <w:p w14:paraId="1998E2DE">
            <w:pPr>
              <w:pStyle w:val="28"/>
              <w:bidi w:val="0"/>
            </w:pPr>
            <w:r>
              <w:t>小时平均</w:t>
            </w:r>
          </w:p>
        </w:tc>
        <w:tc>
          <w:tcPr>
            <w:tcW w:w="1165" w:type="pct"/>
            <w:gridSpan w:val="2"/>
            <w:vAlign w:val="center"/>
          </w:tcPr>
          <w:p w14:paraId="6E01A4F8">
            <w:pPr>
              <w:pStyle w:val="28"/>
              <w:bidi w:val="0"/>
            </w:pPr>
            <w:r>
              <w:t>10</w:t>
            </w:r>
          </w:p>
        </w:tc>
        <w:tc>
          <w:tcPr>
            <w:tcW w:w="683" w:type="pct"/>
            <w:vMerge w:val="continue"/>
            <w:vAlign w:val="center"/>
          </w:tcPr>
          <w:p w14:paraId="1AC29638">
            <w:pPr>
              <w:pStyle w:val="28"/>
              <w:bidi w:val="0"/>
            </w:pPr>
          </w:p>
        </w:tc>
        <w:tc>
          <w:tcPr>
            <w:tcW w:w="1330" w:type="pct"/>
            <w:vMerge w:val="continue"/>
            <w:vAlign w:val="center"/>
          </w:tcPr>
          <w:p w14:paraId="2BC3605E">
            <w:pPr>
              <w:pStyle w:val="28"/>
              <w:bidi w:val="0"/>
            </w:pPr>
          </w:p>
        </w:tc>
      </w:tr>
    </w:tbl>
    <w:p w14:paraId="38F299CD">
      <w:pPr>
        <w:spacing w:line="240" w:lineRule="auto"/>
        <w:ind w:firstLine="482"/>
        <w:rPr>
          <w:rFonts w:cs="Times New Roman"/>
          <w:b/>
          <w:kern w:val="2"/>
        </w:rPr>
      </w:pPr>
    </w:p>
    <w:p w14:paraId="48373C5E">
      <w:pPr>
        <w:ind w:firstLine="482"/>
        <w:rPr>
          <w:rFonts w:cs="Times New Roman"/>
          <w:bCs/>
          <w:kern w:val="2"/>
        </w:rPr>
      </w:pPr>
      <w:r>
        <w:rPr>
          <w:rFonts w:cs="Times New Roman"/>
          <w:bCs/>
          <w:kern w:val="2"/>
        </w:rPr>
        <w:t>（4）声环境质量评价标准</w:t>
      </w:r>
    </w:p>
    <w:p w14:paraId="649D4757">
      <w:pPr>
        <w:ind w:firstLine="480"/>
        <w:rPr>
          <w:rFonts w:cs="Times New Roman"/>
          <w:bCs/>
          <w:kern w:val="2"/>
        </w:rPr>
      </w:pPr>
      <w:r>
        <w:rPr>
          <w:rFonts w:cs="Times New Roman"/>
          <w:bCs/>
          <w:kern w:val="2"/>
        </w:rPr>
        <w:t>根据《声环境质量标准》（GB3096-2008），项目评价区沿线村庄执行（GB3096-2008）1类标准；集镇、工业活动较多、交通干扰大的村庄等执行2类标准；相关标准限值见表1-5-</w:t>
      </w:r>
      <w:r>
        <w:rPr>
          <w:rFonts w:hint="eastAsia" w:cs="Times New Roman"/>
          <w:bCs/>
          <w:kern w:val="2"/>
        </w:rPr>
        <w:t>4</w:t>
      </w:r>
      <w:r>
        <w:rPr>
          <w:rFonts w:cs="Times New Roman"/>
          <w:bCs/>
          <w:kern w:val="2"/>
        </w:rPr>
        <w:t>。</w:t>
      </w:r>
    </w:p>
    <w:p w14:paraId="701711A4">
      <w:r>
        <w:t>表</w:t>
      </w:r>
      <w:r>
        <w:rPr>
          <w:bCs/>
        </w:rPr>
        <w:t>1-5-</w:t>
      </w:r>
      <w:r>
        <w:rPr>
          <w:rFonts w:hint="eastAsia"/>
          <w:bCs/>
        </w:rPr>
        <w:t>4</w:t>
      </w:r>
      <w:r>
        <w:rPr>
          <w:bCs/>
        </w:rPr>
        <w:t xml:space="preserve">  </w:t>
      </w:r>
      <w:r>
        <w:t>声环境质量执行标准限值   单位：dB（A）</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94"/>
        <w:gridCol w:w="3096"/>
        <w:gridCol w:w="3097"/>
      </w:tblGrid>
      <w:tr w14:paraId="70E49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666" w:type="pct"/>
            <w:vAlign w:val="center"/>
          </w:tcPr>
          <w:p w14:paraId="755C2B2F">
            <w:pPr>
              <w:pStyle w:val="28"/>
              <w:bidi w:val="0"/>
            </w:pPr>
            <w:r>
              <w:t>标准类别</w:t>
            </w:r>
          </w:p>
        </w:tc>
        <w:tc>
          <w:tcPr>
            <w:tcW w:w="1667" w:type="pct"/>
            <w:vAlign w:val="center"/>
          </w:tcPr>
          <w:p w14:paraId="49D3B37D">
            <w:pPr>
              <w:pStyle w:val="28"/>
              <w:bidi w:val="0"/>
            </w:pPr>
            <w:r>
              <w:t>昼间</w:t>
            </w:r>
          </w:p>
        </w:tc>
        <w:tc>
          <w:tcPr>
            <w:tcW w:w="1667" w:type="pct"/>
            <w:vAlign w:val="center"/>
          </w:tcPr>
          <w:p w14:paraId="206D6999">
            <w:pPr>
              <w:pStyle w:val="28"/>
              <w:bidi w:val="0"/>
            </w:pPr>
            <w:r>
              <w:t>夜间</w:t>
            </w:r>
          </w:p>
        </w:tc>
      </w:tr>
      <w:tr w14:paraId="0C414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666" w:type="pct"/>
            <w:vAlign w:val="center"/>
          </w:tcPr>
          <w:p w14:paraId="69FFC7FB">
            <w:pPr>
              <w:pStyle w:val="28"/>
              <w:bidi w:val="0"/>
            </w:pPr>
            <w:r>
              <w:t>1</w:t>
            </w:r>
          </w:p>
        </w:tc>
        <w:tc>
          <w:tcPr>
            <w:tcW w:w="1667" w:type="pct"/>
            <w:vAlign w:val="center"/>
          </w:tcPr>
          <w:p w14:paraId="7F6A22D5">
            <w:pPr>
              <w:pStyle w:val="28"/>
              <w:bidi w:val="0"/>
            </w:pPr>
            <w:r>
              <w:t>55</w:t>
            </w:r>
          </w:p>
        </w:tc>
        <w:tc>
          <w:tcPr>
            <w:tcW w:w="1667" w:type="pct"/>
            <w:vAlign w:val="center"/>
          </w:tcPr>
          <w:p w14:paraId="1CD55770">
            <w:pPr>
              <w:pStyle w:val="28"/>
              <w:bidi w:val="0"/>
            </w:pPr>
            <w:r>
              <w:t>45</w:t>
            </w:r>
          </w:p>
        </w:tc>
      </w:tr>
      <w:tr w14:paraId="78FAA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666" w:type="pct"/>
            <w:vAlign w:val="center"/>
          </w:tcPr>
          <w:p w14:paraId="63EC6CD0">
            <w:pPr>
              <w:pStyle w:val="28"/>
              <w:bidi w:val="0"/>
            </w:pPr>
            <w:r>
              <w:t>2</w:t>
            </w:r>
          </w:p>
        </w:tc>
        <w:tc>
          <w:tcPr>
            <w:tcW w:w="1667" w:type="pct"/>
            <w:vAlign w:val="center"/>
          </w:tcPr>
          <w:p w14:paraId="0E5F2511">
            <w:pPr>
              <w:pStyle w:val="28"/>
              <w:bidi w:val="0"/>
            </w:pPr>
            <w:r>
              <w:t>60</w:t>
            </w:r>
          </w:p>
        </w:tc>
        <w:tc>
          <w:tcPr>
            <w:tcW w:w="1667" w:type="pct"/>
            <w:vAlign w:val="center"/>
          </w:tcPr>
          <w:p w14:paraId="5A16EADE">
            <w:pPr>
              <w:pStyle w:val="28"/>
              <w:bidi w:val="0"/>
            </w:pPr>
            <w:r>
              <w:t>50</w:t>
            </w:r>
          </w:p>
        </w:tc>
      </w:tr>
      <w:tr w14:paraId="24CD6A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666" w:type="pct"/>
            <w:vAlign w:val="center"/>
          </w:tcPr>
          <w:p w14:paraId="32CAE93A">
            <w:pPr>
              <w:pStyle w:val="28"/>
              <w:bidi w:val="0"/>
            </w:pPr>
            <w:r>
              <w:t>3</w:t>
            </w:r>
          </w:p>
        </w:tc>
        <w:tc>
          <w:tcPr>
            <w:tcW w:w="1667" w:type="pct"/>
            <w:vAlign w:val="center"/>
          </w:tcPr>
          <w:p w14:paraId="753BDA0F">
            <w:pPr>
              <w:pStyle w:val="28"/>
              <w:bidi w:val="0"/>
            </w:pPr>
            <w:r>
              <w:t>65</w:t>
            </w:r>
          </w:p>
        </w:tc>
        <w:tc>
          <w:tcPr>
            <w:tcW w:w="1667" w:type="pct"/>
            <w:vAlign w:val="center"/>
          </w:tcPr>
          <w:p w14:paraId="507EE862">
            <w:pPr>
              <w:pStyle w:val="28"/>
              <w:bidi w:val="0"/>
            </w:pPr>
            <w:r>
              <w:t>55</w:t>
            </w:r>
          </w:p>
        </w:tc>
      </w:tr>
      <w:tr w14:paraId="7F4F9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666" w:type="pct"/>
            <w:vAlign w:val="center"/>
          </w:tcPr>
          <w:p w14:paraId="1857FD62">
            <w:pPr>
              <w:pStyle w:val="28"/>
              <w:bidi w:val="0"/>
            </w:pPr>
            <w:r>
              <w:t>4a</w:t>
            </w:r>
          </w:p>
        </w:tc>
        <w:tc>
          <w:tcPr>
            <w:tcW w:w="1667" w:type="pct"/>
            <w:vAlign w:val="center"/>
          </w:tcPr>
          <w:p w14:paraId="6C0DB2F8">
            <w:pPr>
              <w:pStyle w:val="28"/>
              <w:bidi w:val="0"/>
            </w:pPr>
            <w:r>
              <w:t>70</w:t>
            </w:r>
          </w:p>
        </w:tc>
        <w:tc>
          <w:tcPr>
            <w:tcW w:w="1667" w:type="pct"/>
            <w:vAlign w:val="center"/>
          </w:tcPr>
          <w:p w14:paraId="28C20BA2">
            <w:pPr>
              <w:pStyle w:val="28"/>
              <w:bidi w:val="0"/>
            </w:pPr>
            <w:r>
              <w:t>55</w:t>
            </w:r>
          </w:p>
        </w:tc>
      </w:tr>
    </w:tbl>
    <w:p w14:paraId="57C4764C">
      <w:pPr>
        <w:spacing w:line="240" w:lineRule="auto"/>
        <w:ind w:firstLine="241" w:firstLineChars="100"/>
        <w:rPr>
          <w:rFonts w:cs="Times New Roman"/>
          <w:b/>
          <w:color w:val="0000FF"/>
          <w:kern w:val="2"/>
        </w:rPr>
      </w:pPr>
    </w:p>
    <w:p w14:paraId="7CD1FFDF">
      <w:pPr>
        <w:ind w:firstLine="240" w:firstLineChars="100"/>
        <w:rPr>
          <w:rFonts w:cs="Times New Roman"/>
          <w:bCs/>
          <w:kern w:val="2"/>
        </w:rPr>
      </w:pPr>
      <w:r>
        <w:rPr>
          <w:rFonts w:cs="Times New Roman"/>
          <w:bCs/>
          <w:kern w:val="2"/>
        </w:rPr>
        <w:t>（5）渠道底质和土壤环境质量评价标准</w:t>
      </w:r>
    </w:p>
    <w:p w14:paraId="4CFF92B8">
      <w:pPr>
        <w:ind w:firstLine="480"/>
        <w:rPr>
          <w:rFonts w:cs="Times New Roman"/>
          <w:kern w:val="2"/>
        </w:rPr>
      </w:pPr>
      <w:r>
        <w:rPr>
          <w:rFonts w:cs="Times New Roman"/>
          <w:kern w:val="2"/>
        </w:rPr>
        <w:t>项目评价区渠道底质和土壤评价标准执行《土壤环境质量 农用地土壤污染风险管控标准（试行）》（GB 15618-2018）中要求。相关执行标准见表1-5-</w:t>
      </w:r>
      <w:r>
        <w:rPr>
          <w:rFonts w:hint="eastAsia" w:cs="Times New Roman"/>
          <w:kern w:val="2"/>
        </w:rPr>
        <w:t>5</w:t>
      </w:r>
      <w:r>
        <w:rPr>
          <w:rFonts w:cs="Times New Roman"/>
          <w:kern w:val="2"/>
        </w:rPr>
        <w:t>。</w:t>
      </w:r>
    </w:p>
    <w:p w14:paraId="2858BADD">
      <w:r>
        <w:t>表</w:t>
      </w:r>
      <w:r>
        <w:rPr>
          <w:bCs/>
        </w:rPr>
        <w:t>1-5-</w:t>
      </w:r>
      <w:r>
        <w:rPr>
          <w:rFonts w:hint="eastAsia"/>
          <w:bCs/>
        </w:rPr>
        <w:t>5</w:t>
      </w:r>
      <w:r>
        <w:rPr>
          <w:bCs/>
        </w:rPr>
        <w:t xml:space="preserve">  </w:t>
      </w:r>
      <w:r>
        <w:t>渠道底质和土壤执行标准限值  单位：mg/kg</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1"/>
        <w:gridCol w:w="938"/>
        <w:gridCol w:w="951"/>
        <w:gridCol w:w="1540"/>
        <w:gridCol w:w="1702"/>
        <w:gridCol w:w="1853"/>
        <w:gridCol w:w="1602"/>
      </w:tblGrid>
      <w:tr w14:paraId="065C4D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Merge w:val="restart"/>
            <w:vAlign w:val="center"/>
          </w:tcPr>
          <w:p w14:paraId="7BA0BDC2">
            <w:pPr>
              <w:pStyle w:val="28"/>
              <w:bidi w:val="0"/>
            </w:pPr>
            <w:r>
              <w:t>序号</w:t>
            </w:r>
          </w:p>
        </w:tc>
        <w:tc>
          <w:tcPr>
            <w:tcW w:w="1017" w:type="pct"/>
            <w:gridSpan w:val="2"/>
            <w:vMerge w:val="restart"/>
            <w:vAlign w:val="center"/>
          </w:tcPr>
          <w:p w14:paraId="133AA3D4">
            <w:pPr>
              <w:pStyle w:val="28"/>
              <w:bidi w:val="0"/>
            </w:pPr>
            <w:r>
              <w:t>污染物项目</w:t>
            </w:r>
          </w:p>
        </w:tc>
        <w:tc>
          <w:tcPr>
            <w:tcW w:w="3604" w:type="pct"/>
            <w:gridSpan w:val="4"/>
            <w:vAlign w:val="center"/>
          </w:tcPr>
          <w:p w14:paraId="3D0232F9">
            <w:pPr>
              <w:pStyle w:val="28"/>
              <w:bidi w:val="0"/>
            </w:pPr>
            <w:r>
              <w:t>风险筛选值</w:t>
            </w:r>
          </w:p>
        </w:tc>
      </w:tr>
      <w:tr w14:paraId="6BA3F1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Merge w:val="continue"/>
            <w:vAlign w:val="center"/>
          </w:tcPr>
          <w:p w14:paraId="65CFED6C">
            <w:pPr>
              <w:pStyle w:val="28"/>
              <w:bidi w:val="0"/>
            </w:pPr>
          </w:p>
        </w:tc>
        <w:tc>
          <w:tcPr>
            <w:tcW w:w="1017" w:type="pct"/>
            <w:gridSpan w:val="2"/>
            <w:vMerge w:val="continue"/>
            <w:vAlign w:val="center"/>
          </w:tcPr>
          <w:p w14:paraId="3D977BC7">
            <w:pPr>
              <w:pStyle w:val="28"/>
              <w:bidi w:val="0"/>
            </w:pPr>
          </w:p>
        </w:tc>
        <w:tc>
          <w:tcPr>
            <w:tcW w:w="829" w:type="pct"/>
            <w:vAlign w:val="center"/>
          </w:tcPr>
          <w:p w14:paraId="189F1FBA">
            <w:pPr>
              <w:pStyle w:val="28"/>
              <w:bidi w:val="0"/>
            </w:pPr>
            <w:r>
              <w:t>pH≤5.5</w:t>
            </w:r>
          </w:p>
        </w:tc>
        <w:tc>
          <w:tcPr>
            <w:tcW w:w="916" w:type="pct"/>
            <w:vAlign w:val="center"/>
          </w:tcPr>
          <w:p w14:paraId="6774CA43">
            <w:pPr>
              <w:pStyle w:val="28"/>
              <w:bidi w:val="0"/>
            </w:pPr>
            <w:r>
              <w:t>5.5＜pH≤6.5</w:t>
            </w:r>
          </w:p>
        </w:tc>
        <w:tc>
          <w:tcPr>
            <w:tcW w:w="997" w:type="pct"/>
            <w:vAlign w:val="center"/>
          </w:tcPr>
          <w:p w14:paraId="7A145864">
            <w:pPr>
              <w:pStyle w:val="28"/>
              <w:bidi w:val="0"/>
            </w:pPr>
            <w:r>
              <w:t>6.5＜pH≤7.5</w:t>
            </w:r>
          </w:p>
        </w:tc>
        <w:tc>
          <w:tcPr>
            <w:tcW w:w="860" w:type="pct"/>
            <w:vAlign w:val="center"/>
          </w:tcPr>
          <w:p w14:paraId="3873FC6F">
            <w:pPr>
              <w:pStyle w:val="28"/>
              <w:bidi w:val="0"/>
            </w:pPr>
            <w:r>
              <w:t>pH＞7.5</w:t>
            </w:r>
          </w:p>
        </w:tc>
      </w:tr>
      <w:tr w14:paraId="76DB7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Merge w:val="restart"/>
            <w:vAlign w:val="center"/>
          </w:tcPr>
          <w:p w14:paraId="0B6554F6">
            <w:pPr>
              <w:pStyle w:val="28"/>
              <w:bidi w:val="0"/>
            </w:pPr>
            <w:r>
              <w:t>1</w:t>
            </w:r>
          </w:p>
        </w:tc>
        <w:tc>
          <w:tcPr>
            <w:tcW w:w="505" w:type="pct"/>
            <w:vMerge w:val="restart"/>
            <w:vAlign w:val="center"/>
          </w:tcPr>
          <w:p w14:paraId="564B76F7">
            <w:pPr>
              <w:pStyle w:val="28"/>
              <w:bidi w:val="0"/>
            </w:pPr>
            <w:r>
              <w:t>镉</w:t>
            </w:r>
          </w:p>
        </w:tc>
        <w:tc>
          <w:tcPr>
            <w:tcW w:w="512" w:type="pct"/>
            <w:vAlign w:val="center"/>
          </w:tcPr>
          <w:p w14:paraId="03C2DCBC">
            <w:pPr>
              <w:pStyle w:val="28"/>
              <w:bidi w:val="0"/>
            </w:pPr>
            <w:r>
              <w:t>水田</w:t>
            </w:r>
          </w:p>
        </w:tc>
        <w:tc>
          <w:tcPr>
            <w:tcW w:w="829" w:type="pct"/>
            <w:vAlign w:val="center"/>
          </w:tcPr>
          <w:p w14:paraId="6CA0CDB7">
            <w:pPr>
              <w:pStyle w:val="28"/>
              <w:bidi w:val="0"/>
            </w:pPr>
            <w:r>
              <w:t>0.3</w:t>
            </w:r>
          </w:p>
        </w:tc>
        <w:tc>
          <w:tcPr>
            <w:tcW w:w="916" w:type="pct"/>
            <w:vAlign w:val="center"/>
          </w:tcPr>
          <w:p w14:paraId="134B4221">
            <w:pPr>
              <w:pStyle w:val="28"/>
              <w:bidi w:val="0"/>
            </w:pPr>
            <w:r>
              <w:t>0.4</w:t>
            </w:r>
          </w:p>
        </w:tc>
        <w:tc>
          <w:tcPr>
            <w:tcW w:w="997" w:type="pct"/>
            <w:vAlign w:val="center"/>
          </w:tcPr>
          <w:p w14:paraId="3AAD17A1">
            <w:pPr>
              <w:pStyle w:val="28"/>
              <w:bidi w:val="0"/>
            </w:pPr>
            <w:r>
              <w:t>0.6</w:t>
            </w:r>
          </w:p>
        </w:tc>
        <w:tc>
          <w:tcPr>
            <w:tcW w:w="860" w:type="pct"/>
            <w:vAlign w:val="center"/>
          </w:tcPr>
          <w:p w14:paraId="6A52C161">
            <w:pPr>
              <w:pStyle w:val="28"/>
              <w:bidi w:val="0"/>
            </w:pPr>
            <w:r>
              <w:t>0.8</w:t>
            </w:r>
          </w:p>
        </w:tc>
      </w:tr>
      <w:tr w14:paraId="7961A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Merge w:val="continue"/>
            <w:vAlign w:val="center"/>
          </w:tcPr>
          <w:p w14:paraId="6204016C">
            <w:pPr>
              <w:pStyle w:val="28"/>
              <w:bidi w:val="0"/>
            </w:pPr>
          </w:p>
        </w:tc>
        <w:tc>
          <w:tcPr>
            <w:tcW w:w="505" w:type="pct"/>
            <w:vMerge w:val="continue"/>
            <w:vAlign w:val="center"/>
          </w:tcPr>
          <w:p w14:paraId="69CD7615">
            <w:pPr>
              <w:pStyle w:val="28"/>
              <w:bidi w:val="0"/>
            </w:pPr>
          </w:p>
        </w:tc>
        <w:tc>
          <w:tcPr>
            <w:tcW w:w="512" w:type="pct"/>
            <w:vAlign w:val="center"/>
          </w:tcPr>
          <w:p w14:paraId="599BE2C0">
            <w:pPr>
              <w:pStyle w:val="28"/>
              <w:bidi w:val="0"/>
            </w:pPr>
            <w:r>
              <w:t>其他</w:t>
            </w:r>
          </w:p>
        </w:tc>
        <w:tc>
          <w:tcPr>
            <w:tcW w:w="829" w:type="pct"/>
            <w:vAlign w:val="center"/>
          </w:tcPr>
          <w:p w14:paraId="1ED883BD">
            <w:pPr>
              <w:pStyle w:val="28"/>
              <w:bidi w:val="0"/>
            </w:pPr>
            <w:r>
              <w:t>0.3</w:t>
            </w:r>
          </w:p>
        </w:tc>
        <w:tc>
          <w:tcPr>
            <w:tcW w:w="916" w:type="pct"/>
            <w:vAlign w:val="center"/>
          </w:tcPr>
          <w:p w14:paraId="7A30632E">
            <w:pPr>
              <w:pStyle w:val="28"/>
              <w:bidi w:val="0"/>
            </w:pPr>
            <w:r>
              <w:t>0.3</w:t>
            </w:r>
          </w:p>
        </w:tc>
        <w:tc>
          <w:tcPr>
            <w:tcW w:w="997" w:type="pct"/>
            <w:vAlign w:val="center"/>
          </w:tcPr>
          <w:p w14:paraId="721AF95A">
            <w:pPr>
              <w:pStyle w:val="28"/>
              <w:bidi w:val="0"/>
            </w:pPr>
            <w:r>
              <w:t>0.3</w:t>
            </w:r>
          </w:p>
        </w:tc>
        <w:tc>
          <w:tcPr>
            <w:tcW w:w="860" w:type="pct"/>
            <w:vAlign w:val="center"/>
          </w:tcPr>
          <w:p w14:paraId="51DB2408">
            <w:pPr>
              <w:pStyle w:val="28"/>
              <w:bidi w:val="0"/>
            </w:pPr>
            <w:r>
              <w:t>0.6</w:t>
            </w:r>
          </w:p>
        </w:tc>
      </w:tr>
      <w:tr w14:paraId="0ACBD6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Merge w:val="restart"/>
            <w:vAlign w:val="center"/>
          </w:tcPr>
          <w:p w14:paraId="08B64CF2">
            <w:pPr>
              <w:pStyle w:val="28"/>
              <w:bidi w:val="0"/>
            </w:pPr>
            <w:r>
              <w:t>2</w:t>
            </w:r>
          </w:p>
        </w:tc>
        <w:tc>
          <w:tcPr>
            <w:tcW w:w="505" w:type="pct"/>
            <w:vMerge w:val="restart"/>
            <w:vAlign w:val="center"/>
          </w:tcPr>
          <w:p w14:paraId="70413727">
            <w:pPr>
              <w:pStyle w:val="28"/>
              <w:bidi w:val="0"/>
            </w:pPr>
            <w:r>
              <w:t>汞</w:t>
            </w:r>
          </w:p>
        </w:tc>
        <w:tc>
          <w:tcPr>
            <w:tcW w:w="512" w:type="pct"/>
            <w:vAlign w:val="center"/>
          </w:tcPr>
          <w:p w14:paraId="72A21741">
            <w:pPr>
              <w:pStyle w:val="28"/>
              <w:bidi w:val="0"/>
            </w:pPr>
            <w:r>
              <w:t>水田</w:t>
            </w:r>
          </w:p>
        </w:tc>
        <w:tc>
          <w:tcPr>
            <w:tcW w:w="829" w:type="pct"/>
            <w:vAlign w:val="center"/>
          </w:tcPr>
          <w:p w14:paraId="078D1A99">
            <w:pPr>
              <w:pStyle w:val="28"/>
              <w:bidi w:val="0"/>
            </w:pPr>
            <w:r>
              <w:t>0.5</w:t>
            </w:r>
          </w:p>
        </w:tc>
        <w:tc>
          <w:tcPr>
            <w:tcW w:w="916" w:type="pct"/>
            <w:vAlign w:val="center"/>
          </w:tcPr>
          <w:p w14:paraId="0AEDEB6F">
            <w:pPr>
              <w:pStyle w:val="28"/>
              <w:bidi w:val="0"/>
            </w:pPr>
            <w:r>
              <w:t>0.5</w:t>
            </w:r>
          </w:p>
        </w:tc>
        <w:tc>
          <w:tcPr>
            <w:tcW w:w="997" w:type="pct"/>
            <w:vAlign w:val="center"/>
          </w:tcPr>
          <w:p w14:paraId="5988C01A">
            <w:pPr>
              <w:pStyle w:val="28"/>
              <w:bidi w:val="0"/>
            </w:pPr>
            <w:r>
              <w:t>0.6</w:t>
            </w:r>
          </w:p>
        </w:tc>
        <w:tc>
          <w:tcPr>
            <w:tcW w:w="860" w:type="pct"/>
            <w:vAlign w:val="center"/>
          </w:tcPr>
          <w:p w14:paraId="6EC1F0F1">
            <w:pPr>
              <w:pStyle w:val="28"/>
              <w:bidi w:val="0"/>
            </w:pPr>
            <w:r>
              <w:t>1.0</w:t>
            </w:r>
          </w:p>
        </w:tc>
      </w:tr>
      <w:tr w14:paraId="5BF0E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Merge w:val="continue"/>
            <w:vAlign w:val="center"/>
          </w:tcPr>
          <w:p w14:paraId="2F837920">
            <w:pPr>
              <w:pStyle w:val="28"/>
              <w:bidi w:val="0"/>
            </w:pPr>
          </w:p>
        </w:tc>
        <w:tc>
          <w:tcPr>
            <w:tcW w:w="505" w:type="pct"/>
            <w:vMerge w:val="continue"/>
            <w:vAlign w:val="center"/>
          </w:tcPr>
          <w:p w14:paraId="65E63791">
            <w:pPr>
              <w:pStyle w:val="28"/>
              <w:bidi w:val="0"/>
            </w:pPr>
          </w:p>
        </w:tc>
        <w:tc>
          <w:tcPr>
            <w:tcW w:w="512" w:type="pct"/>
            <w:vAlign w:val="center"/>
          </w:tcPr>
          <w:p w14:paraId="4BF22934">
            <w:pPr>
              <w:pStyle w:val="28"/>
              <w:bidi w:val="0"/>
            </w:pPr>
            <w:r>
              <w:t>其他</w:t>
            </w:r>
          </w:p>
        </w:tc>
        <w:tc>
          <w:tcPr>
            <w:tcW w:w="829" w:type="pct"/>
            <w:vAlign w:val="center"/>
          </w:tcPr>
          <w:p w14:paraId="13A4562C">
            <w:pPr>
              <w:pStyle w:val="28"/>
              <w:bidi w:val="0"/>
            </w:pPr>
            <w:r>
              <w:t>1.3</w:t>
            </w:r>
          </w:p>
        </w:tc>
        <w:tc>
          <w:tcPr>
            <w:tcW w:w="916" w:type="pct"/>
            <w:vAlign w:val="center"/>
          </w:tcPr>
          <w:p w14:paraId="461505D4">
            <w:pPr>
              <w:pStyle w:val="28"/>
              <w:bidi w:val="0"/>
            </w:pPr>
            <w:r>
              <w:t>1.8</w:t>
            </w:r>
          </w:p>
        </w:tc>
        <w:tc>
          <w:tcPr>
            <w:tcW w:w="997" w:type="pct"/>
            <w:vAlign w:val="center"/>
          </w:tcPr>
          <w:p w14:paraId="2A8A6D22">
            <w:pPr>
              <w:pStyle w:val="28"/>
              <w:bidi w:val="0"/>
            </w:pPr>
            <w:r>
              <w:t>2.4</w:t>
            </w:r>
          </w:p>
        </w:tc>
        <w:tc>
          <w:tcPr>
            <w:tcW w:w="860" w:type="pct"/>
            <w:vAlign w:val="center"/>
          </w:tcPr>
          <w:p w14:paraId="5F07F843">
            <w:pPr>
              <w:pStyle w:val="28"/>
              <w:bidi w:val="0"/>
            </w:pPr>
            <w:r>
              <w:t>3.4</w:t>
            </w:r>
          </w:p>
        </w:tc>
      </w:tr>
      <w:tr w14:paraId="3D2418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Merge w:val="restart"/>
            <w:vAlign w:val="center"/>
          </w:tcPr>
          <w:p w14:paraId="72FC8D93">
            <w:pPr>
              <w:pStyle w:val="28"/>
              <w:bidi w:val="0"/>
            </w:pPr>
            <w:r>
              <w:t>3</w:t>
            </w:r>
          </w:p>
        </w:tc>
        <w:tc>
          <w:tcPr>
            <w:tcW w:w="505" w:type="pct"/>
            <w:vMerge w:val="restart"/>
            <w:vAlign w:val="center"/>
          </w:tcPr>
          <w:p w14:paraId="10350EA8">
            <w:pPr>
              <w:pStyle w:val="28"/>
              <w:bidi w:val="0"/>
            </w:pPr>
            <w:r>
              <w:t>砷</w:t>
            </w:r>
          </w:p>
        </w:tc>
        <w:tc>
          <w:tcPr>
            <w:tcW w:w="512" w:type="pct"/>
            <w:vAlign w:val="center"/>
          </w:tcPr>
          <w:p w14:paraId="0AF8B19B">
            <w:pPr>
              <w:pStyle w:val="28"/>
              <w:bidi w:val="0"/>
            </w:pPr>
            <w:r>
              <w:t>水田</w:t>
            </w:r>
          </w:p>
        </w:tc>
        <w:tc>
          <w:tcPr>
            <w:tcW w:w="829" w:type="pct"/>
            <w:vAlign w:val="center"/>
          </w:tcPr>
          <w:p w14:paraId="71B029DC">
            <w:pPr>
              <w:pStyle w:val="28"/>
              <w:bidi w:val="0"/>
            </w:pPr>
            <w:r>
              <w:t>30</w:t>
            </w:r>
          </w:p>
        </w:tc>
        <w:tc>
          <w:tcPr>
            <w:tcW w:w="916" w:type="pct"/>
            <w:vAlign w:val="center"/>
          </w:tcPr>
          <w:p w14:paraId="49740B3C">
            <w:pPr>
              <w:pStyle w:val="28"/>
              <w:bidi w:val="0"/>
            </w:pPr>
            <w:r>
              <w:t>30</w:t>
            </w:r>
          </w:p>
        </w:tc>
        <w:tc>
          <w:tcPr>
            <w:tcW w:w="997" w:type="pct"/>
            <w:vAlign w:val="center"/>
          </w:tcPr>
          <w:p w14:paraId="4B04E3D7">
            <w:pPr>
              <w:pStyle w:val="28"/>
              <w:bidi w:val="0"/>
            </w:pPr>
            <w:r>
              <w:t>25</w:t>
            </w:r>
          </w:p>
        </w:tc>
        <w:tc>
          <w:tcPr>
            <w:tcW w:w="860" w:type="pct"/>
            <w:vAlign w:val="center"/>
          </w:tcPr>
          <w:p w14:paraId="0C285575">
            <w:pPr>
              <w:pStyle w:val="28"/>
              <w:bidi w:val="0"/>
            </w:pPr>
            <w:r>
              <w:t>20</w:t>
            </w:r>
          </w:p>
        </w:tc>
      </w:tr>
      <w:tr w14:paraId="2A5F121B">
        <w:tblPrEx>
          <w:tblCellMar>
            <w:top w:w="0" w:type="dxa"/>
            <w:left w:w="108" w:type="dxa"/>
            <w:bottom w:w="0" w:type="dxa"/>
            <w:right w:w="108" w:type="dxa"/>
          </w:tblCellMar>
        </w:tblPrEx>
        <w:trPr>
          <w:trHeight w:val="340" w:hRule="atLeast"/>
          <w:jc w:val="center"/>
        </w:trPr>
        <w:tc>
          <w:tcPr>
            <w:tcW w:w="377" w:type="pct"/>
            <w:vMerge w:val="continue"/>
            <w:vAlign w:val="center"/>
          </w:tcPr>
          <w:p w14:paraId="6BC646B6">
            <w:pPr>
              <w:pStyle w:val="28"/>
              <w:bidi w:val="0"/>
            </w:pPr>
          </w:p>
        </w:tc>
        <w:tc>
          <w:tcPr>
            <w:tcW w:w="505" w:type="pct"/>
            <w:vMerge w:val="continue"/>
            <w:vAlign w:val="center"/>
          </w:tcPr>
          <w:p w14:paraId="67560F27">
            <w:pPr>
              <w:pStyle w:val="28"/>
              <w:bidi w:val="0"/>
            </w:pPr>
          </w:p>
        </w:tc>
        <w:tc>
          <w:tcPr>
            <w:tcW w:w="512" w:type="pct"/>
            <w:vAlign w:val="center"/>
          </w:tcPr>
          <w:p w14:paraId="198CDC06">
            <w:pPr>
              <w:pStyle w:val="28"/>
              <w:bidi w:val="0"/>
            </w:pPr>
            <w:r>
              <w:t>其他</w:t>
            </w:r>
          </w:p>
        </w:tc>
        <w:tc>
          <w:tcPr>
            <w:tcW w:w="829" w:type="pct"/>
            <w:vAlign w:val="center"/>
          </w:tcPr>
          <w:p w14:paraId="0B7D9AFC">
            <w:pPr>
              <w:pStyle w:val="28"/>
              <w:bidi w:val="0"/>
            </w:pPr>
            <w:r>
              <w:t>40</w:t>
            </w:r>
          </w:p>
        </w:tc>
        <w:tc>
          <w:tcPr>
            <w:tcW w:w="916" w:type="pct"/>
            <w:vAlign w:val="center"/>
          </w:tcPr>
          <w:p w14:paraId="70D3F9DE">
            <w:pPr>
              <w:pStyle w:val="28"/>
              <w:bidi w:val="0"/>
            </w:pPr>
            <w:r>
              <w:t>40</w:t>
            </w:r>
          </w:p>
        </w:tc>
        <w:tc>
          <w:tcPr>
            <w:tcW w:w="997" w:type="pct"/>
            <w:vAlign w:val="center"/>
          </w:tcPr>
          <w:p w14:paraId="2230A575">
            <w:pPr>
              <w:pStyle w:val="28"/>
              <w:bidi w:val="0"/>
            </w:pPr>
            <w:r>
              <w:t>30</w:t>
            </w:r>
          </w:p>
        </w:tc>
        <w:tc>
          <w:tcPr>
            <w:tcW w:w="860" w:type="pct"/>
            <w:vAlign w:val="center"/>
          </w:tcPr>
          <w:p w14:paraId="28C7D619">
            <w:pPr>
              <w:pStyle w:val="28"/>
              <w:bidi w:val="0"/>
            </w:pPr>
            <w:r>
              <w:t>25</w:t>
            </w:r>
          </w:p>
        </w:tc>
      </w:tr>
      <w:tr w14:paraId="40DCF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Merge w:val="restart"/>
            <w:vAlign w:val="center"/>
          </w:tcPr>
          <w:p w14:paraId="0B5CE4AC">
            <w:pPr>
              <w:pStyle w:val="28"/>
              <w:bidi w:val="0"/>
            </w:pPr>
            <w:r>
              <w:t>4</w:t>
            </w:r>
          </w:p>
        </w:tc>
        <w:tc>
          <w:tcPr>
            <w:tcW w:w="505" w:type="pct"/>
            <w:vMerge w:val="restart"/>
            <w:vAlign w:val="center"/>
          </w:tcPr>
          <w:p w14:paraId="63F4B910">
            <w:pPr>
              <w:pStyle w:val="28"/>
              <w:bidi w:val="0"/>
            </w:pPr>
            <w:r>
              <w:t>铅</w:t>
            </w:r>
          </w:p>
        </w:tc>
        <w:tc>
          <w:tcPr>
            <w:tcW w:w="512" w:type="pct"/>
            <w:vAlign w:val="center"/>
          </w:tcPr>
          <w:p w14:paraId="245103DA">
            <w:pPr>
              <w:pStyle w:val="28"/>
              <w:bidi w:val="0"/>
            </w:pPr>
            <w:r>
              <w:t>水田</w:t>
            </w:r>
          </w:p>
        </w:tc>
        <w:tc>
          <w:tcPr>
            <w:tcW w:w="829" w:type="pct"/>
            <w:vAlign w:val="center"/>
          </w:tcPr>
          <w:p w14:paraId="238310AC">
            <w:pPr>
              <w:pStyle w:val="28"/>
              <w:bidi w:val="0"/>
            </w:pPr>
            <w:r>
              <w:t>80</w:t>
            </w:r>
          </w:p>
        </w:tc>
        <w:tc>
          <w:tcPr>
            <w:tcW w:w="916" w:type="pct"/>
            <w:vAlign w:val="center"/>
          </w:tcPr>
          <w:p w14:paraId="50405DC3">
            <w:pPr>
              <w:pStyle w:val="28"/>
              <w:bidi w:val="0"/>
            </w:pPr>
            <w:r>
              <w:t>100</w:t>
            </w:r>
          </w:p>
        </w:tc>
        <w:tc>
          <w:tcPr>
            <w:tcW w:w="997" w:type="pct"/>
            <w:vAlign w:val="center"/>
          </w:tcPr>
          <w:p w14:paraId="29B7ECBD">
            <w:pPr>
              <w:pStyle w:val="28"/>
              <w:bidi w:val="0"/>
            </w:pPr>
            <w:r>
              <w:t>140</w:t>
            </w:r>
          </w:p>
        </w:tc>
        <w:tc>
          <w:tcPr>
            <w:tcW w:w="860" w:type="pct"/>
            <w:vAlign w:val="center"/>
          </w:tcPr>
          <w:p w14:paraId="2DACF90F">
            <w:pPr>
              <w:pStyle w:val="28"/>
              <w:bidi w:val="0"/>
            </w:pPr>
            <w:r>
              <w:t>240</w:t>
            </w:r>
          </w:p>
        </w:tc>
      </w:tr>
      <w:tr w14:paraId="6253FB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Merge w:val="continue"/>
            <w:vAlign w:val="center"/>
          </w:tcPr>
          <w:p w14:paraId="41ED8CF3">
            <w:pPr>
              <w:pStyle w:val="28"/>
              <w:bidi w:val="0"/>
            </w:pPr>
          </w:p>
        </w:tc>
        <w:tc>
          <w:tcPr>
            <w:tcW w:w="505" w:type="pct"/>
            <w:vMerge w:val="continue"/>
            <w:vAlign w:val="center"/>
          </w:tcPr>
          <w:p w14:paraId="5497415B">
            <w:pPr>
              <w:pStyle w:val="28"/>
              <w:bidi w:val="0"/>
            </w:pPr>
          </w:p>
        </w:tc>
        <w:tc>
          <w:tcPr>
            <w:tcW w:w="512" w:type="pct"/>
            <w:vAlign w:val="center"/>
          </w:tcPr>
          <w:p w14:paraId="0A35A326">
            <w:pPr>
              <w:pStyle w:val="28"/>
              <w:bidi w:val="0"/>
            </w:pPr>
            <w:r>
              <w:t>其他</w:t>
            </w:r>
          </w:p>
        </w:tc>
        <w:tc>
          <w:tcPr>
            <w:tcW w:w="829" w:type="pct"/>
            <w:vAlign w:val="center"/>
          </w:tcPr>
          <w:p w14:paraId="4B3CB71E">
            <w:pPr>
              <w:pStyle w:val="28"/>
              <w:bidi w:val="0"/>
            </w:pPr>
            <w:r>
              <w:t>70</w:t>
            </w:r>
          </w:p>
        </w:tc>
        <w:tc>
          <w:tcPr>
            <w:tcW w:w="916" w:type="pct"/>
            <w:vAlign w:val="center"/>
          </w:tcPr>
          <w:p w14:paraId="739AFA3D">
            <w:pPr>
              <w:pStyle w:val="28"/>
              <w:bidi w:val="0"/>
            </w:pPr>
            <w:r>
              <w:t>90</w:t>
            </w:r>
          </w:p>
        </w:tc>
        <w:tc>
          <w:tcPr>
            <w:tcW w:w="997" w:type="pct"/>
            <w:vAlign w:val="center"/>
          </w:tcPr>
          <w:p w14:paraId="1A7F534E">
            <w:pPr>
              <w:pStyle w:val="28"/>
              <w:bidi w:val="0"/>
            </w:pPr>
            <w:r>
              <w:t>120</w:t>
            </w:r>
          </w:p>
        </w:tc>
        <w:tc>
          <w:tcPr>
            <w:tcW w:w="860" w:type="pct"/>
            <w:vAlign w:val="center"/>
          </w:tcPr>
          <w:p w14:paraId="23D68D00">
            <w:pPr>
              <w:pStyle w:val="28"/>
              <w:bidi w:val="0"/>
            </w:pPr>
            <w:r>
              <w:t>170</w:t>
            </w:r>
          </w:p>
        </w:tc>
      </w:tr>
      <w:tr w14:paraId="17872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Merge w:val="restart"/>
            <w:vAlign w:val="center"/>
          </w:tcPr>
          <w:p w14:paraId="19ADE127">
            <w:pPr>
              <w:pStyle w:val="28"/>
              <w:bidi w:val="0"/>
            </w:pPr>
            <w:r>
              <w:t>5</w:t>
            </w:r>
          </w:p>
        </w:tc>
        <w:tc>
          <w:tcPr>
            <w:tcW w:w="505" w:type="pct"/>
            <w:vMerge w:val="restart"/>
            <w:vAlign w:val="center"/>
          </w:tcPr>
          <w:p w14:paraId="1FEC6D9B">
            <w:pPr>
              <w:pStyle w:val="28"/>
              <w:bidi w:val="0"/>
            </w:pPr>
            <w:r>
              <w:t>铬</w:t>
            </w:r>
          </w:p>
        </w:tc>
        <w:tc>
          <w:tcPr>
            <w:tcW w:w="512" w:type="pct"/>
            <w:vAlign w:val="center"/>
          </w:tcPr>
          <w:p w14:paraId="5000110F">
            <w:pPr>
              <w:pStyle w:val="28"/>
              <w:bidi w:val="0"/>
            </w:pPr>
            <w:r>
              <w:t>水田</w:t>
            </w:r>
          </w:p>
        </w:tc>
        <w:tc>
          <w:tcPr>
            <w:tcW w:w="829" w:type="pct"/>
            <w:vAlign w:val="center"/>
          </w:tcPr>
          <w:p w14:paraId="5257BBF0">
            <w:pPr>
              <w:pStyle w:val="28"/>
              <w:bidi w:val="0"/>
            </w:pPr>
            <w:r>
              <w:t>250</w:t>
            </w:r>
          </w:p>
        </w:tc>
        <w:tc>
          <w:tcPr>
            <w:tcW w:w="916" w:type="pct"/>
            <w:vAlign w:val="center"/>
          </w:tcPr>
          <w:p w14:paraId="5C4AF248">
            <w:pPr>
              <w:pStyle w:val="28"/>
              <w:bidi w:val="0"/>
            </w:pPr>
            <w:r>
              <w:t>250</w:t>
            </w:r>
          </w:p>
        </w:tc>
        <w:tc>
          <w:tcPr>
            <w:tcW w:w="997" w:type="pct"/>
            <w:vAlign w:val="center"/>
          </w:tcPr>
          <w:p w14:paraId="50A13A41">
            <w:pPr>
              <w:pStyle w:val="28"/>
              <w:bidi w:val="0"/>
            </w:pPr>
            <w:r>
              <w:t>300</w:t>
            </w:r>
          </w:p>
        </w:tc>
        <w:tc>
          <w:tcPr>
            <w:tcW w:w="860" w:type="pct"/>
            <w:vAlign w:val="center"/>
          </w:tcPr>
          <w:p w14:paraId="16248555">
            <w:pPr>
              <w:pStyle w:val="28"/>
              <w:bidi w:val="0"/>
            </w:pPr>
            <w:r>
              <w:t>350</w:t>
            </w:r>
          </w:p>
        </w:tc>
      </w:tr>
      <w:tr w14:paraId="58116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Merge w:val="continue"/>
            <w:vAlign w:val="center"/>
          </w:tcPr>
          <w:p w14:paraId="19BB644E">
            <w:pPr>
              <w:pStyle w:val="28"/>
              <w:bidi w:val="0"/>
            </w:pPr>
          </w:p>
        </w:tc>
        <w:tc>
          <w:tcPr>
            <w:tcW w:w="505" w:type="pct"/>
            <w:vMerge w:val="continue"/>
            <w:vAlign w:val="center"/>
          </w:tcPr>
          <w:p w14:paraId="60E8E518">
            <w:pPr>
              <w:pStyle w:val="28"/>
              <w:bidi w:val="0"/>
            </w:pPr>
          </w:p>
        </w:tc>
        <w:tc>
          <w:tcPr>
            <w:tcW w:w="512" w:type="pct"/>
            <w:vAlign w:val="center"/>
          </w:tcPr>
          <w:p w14:paraId="114FBFB3">
            <w:pPr>
              <w:pStyle w:val="28"/>
              <w:bidi w:val="0"/>
            </w:pPr>
            <w:r>
              <w:t>其他</w:t>
            </w:r>
          </w:p>
        </w:tc>
        <w:tc>
          <w:tcPr>
            <w:tcW w:w="829" w:type="pct"/>
            <w:vAlign w:val="center"/>
          </w:tcPr>
          <w:p w14:paraId="5AA99C11">
            <w:pPr>
              <w:pStyle w:val="28"/>
              <w:bidi w:val="0"/>
            </w:pPr>
            <w:r>
              <w:t>150</w:t>
            </w:r>
          </w:p>
        </w:tc>
        <w:tc>
          <w:tcPr>
            <w:tcW w:w="916" w:type="pct"/>
            <w:vAlign w:val="center"/>
          </w:tcPr>
          <w:p w14:paraId="4FE4D848">
            <w:pPr>
              <w:pStyle w:val="28"/>
              <w:bidi w:val="0"/>
            </w:pPr>
            <w:r>
              <w:t>150</w:t>
            </w:r>
          </w:p>
        </w:tc>
        <w:tc>
          <w:tcPr>
            <w:tcW w:w="997" w:type="pct"/>
            <w:vAlign w:val="center"/>
          </w:tcPr>
          <w:p w14:paraId="18F178AF">
            <w:pPr>
              <w:pStyle w:val="28"/>
              <w:bidi w:val="0"/>
            </w:pPr>
            <w:r>
              <w:t>200</w:t>
            </w:r>
          </w:p>
        </w:tc>
        <w:tc>
          <w:tcPr>
            <w:tcW w:w="860" w:type="pct"/>
            <w:vAlign w:val="center"/>
          </w:tcPr>
          <w:p w14:paraId="6ED18D1D">
            <w:pPr>
              <w:pStyle w:val="28"/>
              <w:bidi w:val="0"/>
            </w:pPr>
            <w:r>
              <w:t>250</w:t>
            </w:r>
          </w:p>
        </w:tc>
      </w:tr>
      <w:tr w14:paraId="3FBCB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Merge w:val="restart"/>
            <w:vAlign w:val="center"/>
          </w:tcPr>
          <w:p w14:paraId="45AD2C6D">
            <w:pPr>
              <w:pStyle w:val="28"/>
              <w:bidi w:val="0"/>
            </w:pPr>
            <w:r>
              <w:t>6</w:t>
            </w:r>
          </w:p>
        </w:tc>
        <w:tc>
          <w:tcPr>
            <w:tcW w:w="505" w:type="pct"/>
            <w:vMerge w:val="restart"/>
            <w:vAlign w:val="center"/>
          </w:tcPr>
          <w:p w14:paraId="53AA3573">
            <w:pPr>
              <w:pStyle w:val="28"/>
              <w:bidi w:val="0"/>
            </w:pPr>
            <w:r>
              <w:t>铜</w:t>
            </w:r>
          </w:p>
        </w:tc>
        <w:tc>
          <w:tcPr>
            <w:tcW w:w="512" w:type="pct"/>
            <w:vAlign w:val="center"/>
          </w:tcPr>
          <w:p w14:paraId="046D1CE9">
            <w:pPr>
              <w:pStyle w:val="28"/>
              <w:bidi w:val="0"/>
            </w:pPr>
            <w:r>
              <w:t>水田</w:t>
            </w:r>
          </w:p>
        </w:tc>
        <w:tc>
          <w:tcPr>
            <w:tcW w:w="829" w:type="pct"/>
            <w:vAlign w:val="center"/>
          </w:tcPr>
          <w:p w14:paraId="3689C401">
            <w:pPr>
              <w:pStyle w:val="28"/>
              <w:bidi w:val="0"/>
            </w:pPr>
            <w:r>
              <w:t>150</w:t>
            </w:r>
          </w:p>
        </w:tc>
        <w:tc>
          <w:tcPr>
            <w:tcW w:w="916" w:type="pct"/>
            <w:vAlign w:val="center"/>
          </w:tcPr>
          <w:p w14:paraId="1E14FCC5">
            <w:pPr>
              <w:pStyle w:val="28"/>
              <w:bidi w:val="0"/>
            </w:pPr>
            <w:r>
              <w:t>150</w:t>
            </w:r>
          </w:p>
        </w:tc>
        <w:tc>
          <w:tcPr>
            <w:tcW w:w="997" w:type="pct"/>
            <w:vAlign w:val="center"/>
          </w:tcPr>
          <w:p w14:paraId="46F80469">
            <w:pPr>
              <w:pStyle w:val="28"/>
              <w:bidi w:val="0"/>
            </w:pPr>
            <w:r>
              <w:t>200</w:t>
            </w:r>
          </w:p>
        </w:tc>
        <w:tc>
          <w:tcPr>
            <w:tcW w:w="860" w:type="pct"/>
            <w:vAlign w:val="center"/>
          </w:tcPr>
          <w:p w14:paraId="0DCBA371">
            <w:pPr>
              <w:pStyle w:val="28"/>
              <w:bidi w:val="0"/>
            </w:pPr>
            <w:r>
              <w:t>200</w:t>
            </w:r>
          </w:p>
        </w:tc>
      </w:tr>
      <w:tr w14:paraId="2FF72531">
        <w:tblPrEx>
          <w:tblCellMar>
            <w:top w:w="0" w:type="dxa"/>
            <w:left w:w="108" w:type="dxa"/>
            <w:bottom w:w="0" w:type="dxa"/>
            <w:right w:w="108" w:type="dxa"/>
          </w:tblCellMar>
        </w:tblPrEx>
        <w:trPr>
          <w:trHeight w:val="340" w:hRule="atLeast"/>
          <w:jc w:val="center"/>
        </w:trPr>
        <w:tc>
          <w:tcPr>
            <w:tcW w:w="377" w:type="pct"/>
            <w:vMerge w:val="continue"/>
            <w:vAlign w:val="center"/>
          </w:tcPr>
          <w:p w14:paraId="7EA0B172">
            <w:pPr>
              <w:pStyle w:val="28"/>
              <w:bidi w:val="0"/>
            </w:pPr>
          </w:p>
        </w:tc>
        <w:tc>
          <w:tcPr>
            <w:tcW w:w="505" w:type="pct"/>
            <w:vMerge w:val="continue"/>
            <w:vAlign w:val="center"/>
          </w:tcPr>
          <w:p w14:paraId="6285C5C0">
            <w:pPr>
              <w:pStyle w:val="28"/>
              <w:bidi w:val="0"/>
            </w:pPr>
          </w:p>
        </w:tc>
        <w:tc>
          <w:tcPr>
            <w:tcW w:w="512" w:type="pct"/>
            <w:vAlign w:val="center"/>
          </w:tcPr>
          <w:p w14:paraId="45AB2A4C">
            <w:pPr>
              <w:pStyle w:val="28"/>
              <w:bidi w:val="0"/>
            </w:pPr>
            <w:r>
              <w:t>其他</w:t>
            </w:r>
          </w:p>
        </w:tc>
        <w:tc>
          <w:tcPr>
            <w:tcW w:w="829" w:type="pct"/>
            <w:vAlign w:val="center"/>
          </w:tcPr>
          <w:p w14:paraId="152998AF">
            <w:pPr>
              <w:pStyle w:val="28"/>
              <w:bidi w:val="0"/>
            </w:pPr>
            <w:r>
              <w:t>50</w:t>
            </w:r>
          </w:p>
        </w:tc>
        <w:tc>
          <w:tcPr>
            <w:tcW w:w="916" w:type="pct"/>
            <w:vAlign w:val="center"/>
          </w:tcPr>
          <w:p w14:paraId="1AD37431">
            <w:pPr>
              <w:pStyle w:val="28"/>
              <w:bidi w:val="0"/>
            </w:pPr>
            <w:r>
              <w:t>150</w:t>
            </w:r>
          </w:p>
        </w:tc>
        <w:tc>
          <w:tcPr>
            <w:tcW w:w="997" w:type="pct"/>
            <w:vAlign w:val="center"/>
          </w:tcPr>
          <w:p w14:paraId="23504D47">
            <w:pPr>
              <w:pStyle w:val="28"/>
              <w:bidi w:val="0"/>
            </w:pPr>
            <w:r>
              <w:t>100</w:t>
            </w:r>
          </w:p>
        </w:tc>
        <w:tc>
          <w:tcPr>
            <w:tcW w:w="860" w:type="pct"/>
            <w:vAlign w:val="center"/>
          </w:tcPr>
          <w:p w14:paraId="5EA62885">
            <w:pPr>
              <w:pStyle w:val="28"/>
              <w:bidi w:val="0"/>
            </w:pPr>
            <w:r>
              <w:t>100</w:t>
            </w:r>
          </w:p>
        </w:tc>
      </w:tr>
      <w:tr w14:paraId="2057F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Align w:val="center"/>
          </w:tcPr>
          <w:p w14:paraId="32E66FD8">
            <w:pPr>
              <w:pStyle w:val="28"/>
              <w:bidi w:val="0"/>
            </w:pPr>
            <w:r>
              <w:t>7</w:t>
            </w:r>
          </w:p>
        </w:tc>
        <w:tc>
          <w:tcPr>
            <w:tcW w:w="1017" w:type="pct"/>
            <w:gridSpan w:val="2"/>
            <w:vAlign w:val="center"/>
          </w:tcPr>
          <w:p w14:paraId="75D2AF80">
            <w:pPr>
              <w:pStyle w:val="28"/>
              <w:bidi w:val="0"/>
            </w:pPr>
            <w:r>
              <w:t>镍</w:t>
            </w:r>
          </w:p>
        </w:tc>
        <w:tc>
          <w:tcPr>
            <w:tcW w:w="829" w:type="pct"/>
            <w:vAlign w:val="center"/>
          </w:tcPr>
          <w:p w14:paraId="338945D1">
            <w:pPr>
              <w:pStyle w:val="28"/>
              <w:bidi w:val="0"/>
            </w:pPr>
            <w:r>
              <w:t>60</w:t>
            </w:r>
          </w:p>
        </w:tc>
        <w:tc>
          <w:tcPr>
            <w:tcW w:w="916" w:type="pct"/>
            <w:vAlign w:val="center"/>
          </w:tcPr>
          <w:p w14:paraId="497F4DD1">
            <w:pPr>
              <w:pStyle w:val="28"/>
              <w:bidi w:val="0"/>
            </w:pPr>
            <w:r>
              <w:t>70</w:t>
            </w:r>
          </w:p>
        </w:tc>
        <w:tc>
          <w:tcPr>
            <w:tcW w:w="997" w:type="pct"/>
            <w:vAlign w:val="center"/>
          </w:tcPr>
          <w:p w14:paraId="7EDBFB73">
            <w:pPr>
              <w:pStyle w:val="28"/>
              <w:bidi w:val="0"/>
            </w:pPr>
            <w:r>
              <w:t>100</w:t>
            </w:r>
          </w:p>
        </w:tc>
        <w:tc>
          <w:tcPr>
            <w:tcW w:w="860" w:type="pct"/>
            <w:vAlign w:val="center"/>
          </w:tcPr>
          <w:p w14:paraId="2864F51D">
            <w:pPr>
              <w:pStyle w:val="28"/>
              <w:bidi w:val="0"/>
            </w:pPr>
            <w:r>
              <w:t>190</w:t>
            </w:r>
          </w:p>
        </w:tc>
      </w:tr>
      <w:tr w14:paraId="7FCDD7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77" w:type="pct"/>
            <w:vAlign w:val="center"/>
          </w:tcPr>
          <w:p w14:paraId="3CB10A5F">
            <w:pPr>
              <w:pStyle w:val="28"/>
              <w:bidi w:val="0"/>
            </w:pPr>
            <w:r>
              <w:t>8</w:t>
            </w:r>
          </w:p>
        </w:tc>
        <w:tc>
          <w:tcPr>
            <w:tcW w:w="1017" w:type="pct"/>
            <w:gridSpan w:val="2"/>
            <w:vAlign w:val="center"/>
          </w:tcPr>
          <w:p w14:paraId="74CFC700">
            <w:pPr>
              <w:pStyle w:val="28"/>
              <w:bidi w:val="0"/>
            </w:pPr>
            <w:r>
              <w:t>锌</w:t>
            </w:r>
          </w:p>
        </w:tc>
        <w:tc>
          <w:tcPr>
            <w:tcW w:w="829" w:type="pct"/>
            <w:vAlign w:val="center"/>
          </w:tcPr>
          <w:p w14:paraId="5873C540">
            <w:pPr>
              <w:pStyle w:val="28"/>
              <w:bidi w:val="0"/>
            </w:pPr>
            <w:r>
              <w:t>200</w:t>
            </w:r>
          </w:p>
        </w:tc>
        <w:tc>
          <w:tcPr>
            <w:tcW w:w="916" w:type="pct"/>
            <w:vAlign w:val="center"/>
          </w:tcPr>
          <w:p w14:paraId="38DEFB35">
            <w:pPr>
              <w:pStyle w:val="28"/>
              <w:bidi w:val="0"/>
            </w:pPr>
            <w:r>
              <w:t>200</w:t>
            </w:r>
          </w:p>
        </w:tc>
        <w:tc>
          <w:tcPr>
            <w:tcW w:w="997" w:type="pct"/>
            <w:vAlign w:val="center"/>
          </w:tcPr>
          <w:p w14:paraId="71CD83C2">
            <w:pPr>
              <w:pStyle w:val="28"/>
              <w:bidi w:val="0"/>
            </w:pPr>
            <w:r>
              <w:t>250</w:t>
            </w:r>
          </w:p>
        </w:tc>
        <w:tc>
          <w:tcPr>
            <w:tcW w:w="860" w:type="pct"/>
            <w:vAlign w:val="center"/>
          </w:tcPr>
          <w:p w14:paraId="5CD09B2C">
            <w:pPr>
              <w:pStyle w:val="28"/>
              <w:bidi w:val="0"/>
            </w:pPr>
            <w:r>
              <w:t>300</w:t>
            </w:r>
          </w:p>
        </w:tc>
      </w:tr>
    </w:tbl>
    <w:p w14:paraId="2EC832F3">
      <w:pPr>
        <w:spacing w:line="240" w:lineRule="auto"/>
        <w:rPr>
          <w:rFonts w:cs="Times New Roman"/>
          <w:color w:val="0000FF"/>
        </w:rPr>
      </w:pPr>
    </w:p>
    <w:p w14:paraId="6DC52C46">
      <w:pPr>
        <w:pStyle w:val="4"/>
        <w:rPr>
          <w:rFonts w:cs="Times New Roman"/>
        </w:rPr>
      </w:pPr>
      <w:r>
        <w:rPr>
          <w:rFonts w:cs="Times New Roman"/>
        </w:rPr>
        <w:t>1.5.3 污染物排放标准</w:t>
      </w:r>
    </w:p>
    <w:p w14:paraId="131BEDB7">
      <w:pPr>
        <w:ind w:firstLine="480" w:firstLineChars="200"/>
        <w:rPr>
          <w:rFonts w:cs="Times New Roman"/>
        </w:rPr>
      </w:pPr>
      <w:r>
        <w:rPr>
          <w:rFonts w:cs="Times New Roman"/>
        </w:rPr>
        <w:t>（1）废水排放标准</w:t>
      </w:r>
    </w:p>
    <w:p w14:paraId="2F814B99">
      <w:pPr>
        <w:ind w:firstLine="480"/>
        <w:rPr>
          <w:rFonts w:cs="Times New Roman"/>
          <w:kern w:val="2"/>
        </w:rPr>
      </w:pPr>
      <w:r>
        <w:rPr>
          <w:rFonts w:cs="Times New Roman"/>
          <w:kern w:val="2"/>
        </w:rPr>
        <w:t>项目施工废水经沉淀等处理后达到行《城市污水再生利用 城市杂用水水质》（GB/T18920-2020）相应的水质标准要求回用于施工场地洒水降尘和车辆冲洗；</w:t>
      </w:r>
      <w:r>
        <w:rPr>
          <w:rFonts w:cs="Times New Roman"/>
        </w:rPr>
        <w:t>生活污水依托</w:t>
      </w:r>
      <w:r>
        <w:rPr>
          <w:rFonts w:hint="eastAsia" w:cs="Times New Roman"/>
        </w:rPr>
        <w:t>周边</w:t>
      </w:r>
      <w:r>
        <w:rPr>
          <w:rFonts w:cs="Times New Roman"/>
        </w:rPr>
        <w:t>村庄或者经一体化</w:t>
      </w:r>
      <w:r>
        <w:rPr>
          <w:rFonts w:hint="eastAsia" w:cs="Times New Roman"/>
        </w:rPr>
        <w:t>生活</w:t>
      </w:r>
      <w:r>
        <w:rPr>
          <w:rFonts w:cs="Times New Roman"/>
        </w:rPr>
        <w:t>污水处理设施处理</w:t>
      </w:r>
      <w:r>
        <w:rPr>
          <w:rFonts w:hint="eastAsia" w:cs="Times New Roman"/>
        </w:rPr>
        <w:t>达到行《农田灌溉水质标准》（GB5084-2021）中“水田作物”标准，用作周边农田灌溉</w:t>
      </w:r>
      <w:r>
        <w:rPr>
          <w:rFonts w:hint="eastAsia" w:cs="Times New Roman"/>
          <w:kern w:val="2"/>
        </w:rPr>
        <w:t>。</w:t>
      </w:r>
    </w:p>
    <w:p w14:paraId="050B9C57">
      <w:pPr>
        <w:ind w:firstLine="480"/>
        <w:rPr>
          <w:rFonts w:cs="Times New Roman"/>
          <w:kern w:val="2"/>
        </w:rPr>
      </w:pPr>
      <w:r>
        <w:rPr>
          <w:rFonts w:cs="Times New Roman"/>
          <w:kern w:val="2"/>
        </w:rPr>
        <w:t>项目运营期不新增管理人员，</w:t>
      </w:r>
      <w:r>
        <w:rPr>
          <w:rFonts w:hint="eastAsia" w:cs="Times New Roman"/>
          <w:kern w:val="2"/>
        </w:rPr>
        <w:t>各</w:t>
      </w:r>
      <w:r>
        <w:rPr>
          <w:rFonts w:cs="Times New Roman"/>
          <w:kern w:val="2"/>
        </w:rPr>
        <w:t>管理段</w:t>
      </w:r>
      <w:r>
        <w:rPr>
          <w:rFonts w:hint="eastAsia" w:cs="Times New Roman"/>
          <w:kern w:val="2"/>
        </w:rPr>
        <w:t>生活污水经生活污水处理设施处理后达到</w:t>
      </w:r>
      <w:r>
        <w:rPr>
          <w:rFonts w:hint="eastAsia" w:cs="Times New Roman"/>
        </w:rPr>
        <w:t>《农田灌溉水质标准》（GB5084-2021）中“水田作物”标准</w:t>
      </w:r>
      <w:r>
        <w:rPr>
          <w:rFonts w:hint="eastAsia" w:cs="Times New Roman"/>
          <w:kern w:val="2"/>
        </w:rPr>
        <w:t>就农利用或达到《污水综合排放标准》（GB8978-1996）三级标准清运至周边污水处理厂。</w:t>
      </w:r>
    </w:p>
    <w:p w14:paraId="2446101B">
      <w:pPr>
        <w:ind w:firstLine="480"/>
        <w:rPr>
          <w:rFonts w:cs="Times New Roman"/>
        </w:rPr>
      </w:pPr>
      <w:r>
        <w:rPr>
          <w:rFonts w:cs="Times New Roman"/>
          <w:kern w:val="2"/>
        </w:rPr>
        <w:t>相关标准值见表1-5-</w:t>
      </w:r>
      <w:r>
        <w:rPr>
          <w:rFonts w:hint="eastAsia" w:cs="Times New Roman"/>
          <w:kern w:val="2"/>
        </w:rPr>
        <w:t>6</w:t>
      </w:r>
      <w:r>
        <w:rPr>
          <w:rFonts w:cs="Times New Roman"/>
          <w:kern w:val="2"/>
        </w:rPr>
        <w:t>。</w:t>
      </w:r>
    </w:p>
    <w:p w14:paraId="0DECD7D8">
      <w:r>
        <w:t>表1-5-</w:t>
      </w:r>
      <w:r>
        <w:rPr>
          <w:rFonts w:hint="eastAsia"/>
        </w:rPr>
        <w:t>6</w:t>
      </w:r>
      <w:r>
        <w:t xml:space="preserve">  《城市污水再生利用城市杂用水水质》标准值一览表</w:t>
      </w:r>
    </w:p>
    <w:tbl>
      <w:tblPr>
        <w:tblStyle w:val="16"/>
        <w:tblW w:w="4998" w:type="pct"/>
        <w:jc w:val="center"/>
        <w:tblLayout w:type="autofit"/>
        <w:tblCellMar>
          <w:top w:w="0" w:type="dxa"/>
          <w:left w:w="108" w:type="dxa"/>
          <w:bottom w:w="0" w:type="dxa"/>
          <w:right w:w="108" w:type="dxa"/>
        </w:tblCellMar>
      </w:tblPr>
      <w:tblGrid>
        <w:gridCol w:w="1246"/>
        <w:gridCol w:w="2290"/>
        <w:gridCol w:w="1243"/>
        <w:gridCol w:w="4504"/>
      </w:tblGrid>
      <w:tr w14:paraId="3C1B9823">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275F0A34">
            <w:pPr>
              <w:pStyle w:val="28"/>
              <w:bidi w:val="0"/>
            </w:pPr>
            <w:r>
              <w:t>序号</w:t>
            </w:r>
          </w:p>
        </w:tc>
        <w:tc>
          <w:tcPr>
            <w:tcW w:w="1233" w:type="pct"/>
            <w:tcBorders>
              <w:top w:val="single" w:color="000000" w:sz="4" w:space="0"/>
              <w:left w:val="single" w:color="000000" w:sz="4" w:space="0"/>
              <w:bottom w:val="single" w:color="000000" w:sz="4" w:space="0"/>
              <w:right w:val="single" w:color="000000" w:sz="4" w:space="0"/>
            </w:tcBorders>
            <w:vAlign w:val="center"/>
          </w:tcPr>
          <w:p w14:paraId="440D3E5F">
            <w:pPr>
              <w:pStyle w:val="28"/>
              <w:bidi w:val="0"/>
            </w:pPr>
            <w:r>
              <w:t>污染因子</w:t>
            </w:r>
          </w:p>
        </w:tc>
        <w:tc>
          <w:tcPr>
            <w:tcW w:w="669" w:type="pct"/>
            <w:tcBorders>
              <w:top w:val="single" w:color="000000" w:sz="4" w:space="0"/>
              <w:left w:val="single" w:color="000000" w:sz="4" w:space="0"/>
              <w:bottom w:val="single" w:color="000000" w:sz="4" w:space="0"/>
              <w:right w:val="single" w:color="000000" w:sz="4" w:space="0"/>
            </w:tcBorders>
            <w:vAlign w:val="center"/>
          </w:tcPr>
          <w:p w14:paraId="4B6DE9D8">
            <w:pPr>
              <w:pStyle w:val="28"/>
              <w:bidi w:val="0"/>
            </w:pPr>
            <w:r>
              <w:t>单位</w:t>
            </w:r>
          </w:p>
        </w:tc>
        <w:tc>
          <w:tcPr>
            <w:tcW w:w="2425" w:type="pct"/>
            <w:tcBorders>
              <w:top w:val="single" w:color="000000" w:sz="4" w:space="0"/>
              <w:left w:val="single" w:color="000000" w:sz="4" w:space="0"/>
              <w:bottom w:val="single" w:color="000000" w:sz="4" w:space="0"/>
              <w:right w:val="single" w:color="000000" w:sz="4" w:space="0"/>
            </w:tcBorders>
            <w:vAlign w:val="center"/>
          </w:tcPr>
          <w:p w14:paraId="2C0F3463">
            <w:pPr>
              <w:pStyle w:val="28"/>
              <w:bidi w:val="0"/>
            </w:pPr>
            <w:r>
              <w:t>标准限制（道路清扫）</w:t>
            </w:r>
          </w:p>
        </w:tc>
      </w:tr>
      <w:tr w14:paraId="0F67DFF6">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1F95F363">
            <w:pPr>
              <w:pStyle w:val="28"/>
              <w:bidi w:val="0"/>
            </w:pPr>
            <w:r>
              <w:t>1</w:t>
            </w:r>
          </w:p>
        </w:tc>
        <w:tc>
          <w:tcPr>
            <w:tcW w:w="1233" w:type="pct"/>
            <w:tcBorders>
              <w:top w:val="single" w:color="000000" w:sz="4" w:space="0"/>
              <w:left w:val="single" w:color="000000" w:sz="4" w:space="0"/>
              <w:bottom w:val="single" w:color="000000" w:sz="4" w:space="0"/>
              <w:right w:val="single" w:color="000000" w:sz="4" w:space="0"/>
            </w:tcBorders>
            <w:vAlign w:val="center"/>
          </w:tcPr>
          <w:p w14:paraId="5428FADE">
            <w:pPr>
              <w:pStyle w:val="28"/>
              <w:bidi w:val="0"/>
            </w:pPr>
            <w:r>
              <w:t>pH</w:t>
            </w:r>
          </w:p>
        </w:tc>
        <w:tc>
          <w:tcPr>
            <w:tcW w:w="669" w:type="pct"/>
            <w:tcBorders>
              <w:top w:val="single" w:color="000000" w:sz="4" w:space="0"/>
              <w:left w:val="single" w:color="000000" w:sz="4" w:space="0"/>
              <w:bottom w:val="single" w:color="000000" w:sz="4" w:space="0"/>
              <w:right w:val="single" w:color="000000" w:sz="4" w:space="0"/>
            </w:tcBorders>
            <w:vAlign w:val="center"/>
          </w:tcPr>
          <w:p w14:paraId="2EF8D985">
            <w:pPr>
              <w:pStyle w:val="28"/>
              <w:bidi w:val="0"/>
            </w:pPr>
            <w:r>
              <w:t>无量纲</w:t>
            </w:r>
          </w:p>
        </w:tc>
        <w:tc>
          <w:tcPr>
            <w:tcW w:w="2425" w:type="pct"/>
            <w:tcBorders>
              <w:top w:val="single" w:color="000000" w:sz="4" w:space="0"/>
              <w:left w:val="single" w:color="000000" w:sz="4" w:space="0"/>
              <w:bottom w:val="single" w:color="000000" w:sz="4" w:space="0"/>
              <w:right w:val="single" w:color="000000" w:sz="4" w:space="0"/>
            </w:tcBorders>
            <w:vAlign w:val="center"/>
          </w:tcPr>
          <w:p w14:paraId="1AA93CD7">
            <w:pPr>
              <w:pStyle w:val="28"/>
              <w:bidi w:val="0"/>
            </w:pPr>
            <w:r>
              <w:t>6~9</w:t>
            </w:r>
          </w:p>
        </w:tc>
      </w:tr>
      <w:tr w14:paraId="22A1C203">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02EA705B">
            <w:pPr>
              <w:pStyle w:val="28"/>
              <w:bidi w:val="0"/>
            </w:pPr>
            <w:r>
              <w:t>2</w:t>
            </w:r>
          </w:p>
        </w:tc>
        <w:tc>
          <w:tcPr>
            <w:tcW w:w="1233" w:type="pct"/>
            <w:tcBorders>
              <w:top w:val="single" w:color="000000" w:sz="4" w:space="0"/>
              <w:left w:val="single" w:color="000000" w:sz="4" w:space="0"/>
              <w:bottom w:val="single" w:color="000000" w:sz="4" w:space="0"/>
              <w:right w:val="single" w:color="000000" w:sz="4" w:space="0"/>
            </w:tcBorders>
            <w:vAlign w:val="center"/>
          </w:tcPr>
          <w:p w14:paraId="3E44CDCF">
            <w:pPr>
              <w:pStyle w:val="28"/>
              <w:bidi w:val="0"/>
            </w:pPr>
            <w:r>
              <w:t>色</w:t>
            </w:r>
          </w:p>
        </w:tc>
        <w:tc>
          <w:tcPr>
            <w:tcW w:w="669" w:type="pct"/>
            <w:tcBorders>
              <w:top w:val="single" w:color="000000" w:sz="4" w:space="0"/>
              <w:left w:val="single" w:color="000000" w:sz="4" w:space="0"/>
              <w:bottom w:val="single" w:color="000000" w:sz="4" w:space="0"/>
              <w:right w:val="single" w:color="000000" w:sz="4" w:space="0"/>
            </w:tcBorders>
            <w:vAlign w:val="center"/>
          </w:tcPr>
          <w:p w14:paraId="33782EE1">
            <w:pPr>
              <w:pStyle w:val="28"/>
              <w:bidi w:val="0"/>
            </w:pPr>
            <w:r>
              <w:t>度</w:t>
            </w:r>
          </w:p>
        </w:tc>
        <w:tc>
          <w:tcPr>
            <w:tcW w:w="2425" w:type="pct"/>
            <w:tcBorders>
              <w:top w:val="single" w:color="000000" w:sz="4" w:space="0"/>
              <w:left w:val="single" w:color="000000" w:sz="4" w:space="0"/>
              <w:bottom w:val="single" w:color="000000" w:sz="4" w:space="0"/>
              <w:right w:val="single" w:color="000000" w:sz="4" w:space="0"/>
            </w:tcBorders>
            <w:vAlign w:val="center"/>
          </w:tcPr>
          <w:p w14:paraId="0616871D">
            <w:pPr>
              <w:pStyle w:val="28"/>
              <w:bidi w:val="0"/>
            </w:pPr>
            <w:r>
              <w:t>≤30</w:t>
            </w:r>
          </w:p>
        </w:tc>
      </w:tr>
      <w:tr w14:paraId="448C1670">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73165D10">
            <w:pPr>
              <w:pStyle w:val="28"/>
              <w:bidi w:val="0"/>
            </w:pPr>
            <w:r>
              <w:t>3</w:t>
            </w:r>
          </w:p>
        </w:tc>
        <w:tc>
          <w:tcPr>
            <w:tcW w:w="1233" w:type="pct"/>
            <w:tcBorders>
              <w:top w:val="single" w:color="000000" w:sz="4" w:space="0"/>
              <w:left w:val="single" w:color="000000" w:sz="4" w:space="0"/>
              <w:bottom w:val="single" w:color="000000" w:sz="4" w:space="0"/>
              <w:right w:val="single" w:color="000000" w:sz="4" w:space="0"/>
            </w:tcBorders>
            <w:vAlign w:val="center"/>
          </w:tcPr>
          <w:p w14:paraId="6AD52A33">
            <w:pPr>
              <w:pStyle w:val="28"/>
              <w:bidi w:val="0"/>
            </w:pPr>
            <w:r>
              <w:t>嗅</w:t>
            </w:r>
          </w:p>
        </w:tc>
        <w:tc>
          <w:tcPr>
            <w:tcW w:w="669" w:type="pct"/>
            <w:tcBorders>
              <w:top w:val="single" w:color="000000" w:sz="4" w:space="0"/>
              <w:left w:val="single" w:color="000000" w:sz="4" w:space="0"/>
              <w:bottom w:val="single" w:color="000000" w:sz="4" w:space="0"/>
              <w:right w:val="single" w:color="000000" w:sz="4" w:space="0"/>
            </w:tcBorders>
            <w:vAlign w:val="center"/>
          </w:tcPr>
          <w:p w14:paraId="09C8339B">
            <w:pPr>
              <w:pStyle w:val="28"/>
              <w:bidi w:val="0"/>
            </w:pPr>
            <w:r>
              <w:t>/</w:t>
            </w:r>
          </w:p>
        </w:tc>
        <w:tc>
          <w:tcPr>
            <w:tcW w:w="2425" w:type="pct"/>
            <w:tcBorders>
              <w:top w:val="single" w:color="000000" w:sz="4" w:space="0"/>
              <w:left w:val="single" w:color="000000" w:sz="4" w:space="0"/>
              <w:bottom w:val="single" w:color="000000" w:sz="4" w:space="0"/>
              <w:right w:val="single" w:color="000000" w:sz="4" w:space="0"/>
            </w:tcBorders>
            <w:vAlign w:val="center"/>
          </w:tcPr>
          <w:p w14:paraId="198E8C7B">
            <w:pPr>
              <w:pStyle w:val="28"/>
              <w:bidi w:val="0"/>
            </w:pPr>
            <w:r>
              <w:t>无不快感</w:t>
            </w:r>
          </w:p>
        </w:tc>
      </w:tr>
      <w:tr w14:paraId="15FD6FB1">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1CFAFCE2">
            <w:pPr>
              <w:pStyle w:val="28"/>
              <w:bidi w:val="0"/>
            </w:pPr>
            <w:r>
              <w:t>4</w:t>
            </w:r>
          </w:p>
        </w:tc>
        <w:tc>
          <w:tcPr>
            <w:tcW w:w="1233" w:type="pct"/>
            <w:tcBorders>
              <w:top w:val="single" w:color="000000" w:sz="4" w:space="0"/>
              <w:left w:val="single" w:color="000000" w:sz="4" w:space="0"/>
              <w:bottom w:val="single" w:color="000000" w:sz="4" w:space="0"/>
              <w:right w:val="single" w:color="000000" w:sz="4" w:space="0"/>
            </w:tcBorders>
            <w:vAlign w:val="center"/>
          </w:tcPr>
          <w:p w14:paraId="60A09C55">
            <w:pPr>
              <w:pStyle w:val="28"/>
              <w:bidi w:val="0"/>
            </w:pPr>
            <w:r>
              <w:t>浊度</w:t>
            </w:r>
          </w:p>
        </w:tc>
        <w:tc>
          <w:tcPr>
            <w:tcW w:w="669" w:type="pct"/>
            <w:tcBorders>
              <w:top w:val="single" w:color="000000" w:sz="4" w:space="0"/>
              <w:left w:val="single" w:color="000000" w:sz="4" w:space="0"/>
              <w:bottom w:val="single" w:color="000000" w:sz="4" w:space="0"/>
              <w:right w:val="single" w:color="000000" w:sz="4" w:space="0"/>
            </w:tcBorders>
            <w:vAlign w:val="center"/>
          </w:tcPr>
          <w:p w14:paraId="1D43790B">
            <w:pPr>
              <w:pStyle w:val="28"/>
              <w:bidi w:val="0"/>
            </w:pPr>
            <w:r>
              <w:t>NTU</w:t>
            </w:r>
          </w:p>
        </w:tc>
        <w:tc>
          <w:tcPr>
            <w:tcW w:w="2425" w:type="pct"/>
            <w:tcBorders>
              <w:top w:val="single" w:color="000000" w:sz="4" w:space="0"/>
              <w:left w:val="single" w:color="000000" w:sz="4" w:space="0"/>
              <w:bottom w:val="single" w:color="000000" w:sz="4" w:space="0"/>
              <w:right w:val="single" w:color="000000" w:sz="4" w:space="0"/>
            </w:tcBorders>
            <w:vAlign w:val="center"/>
          </w:tcPr>
          <w:p w14:paraId="52F01019">
            <w:pPr>
              <w:pStyle w:val="28"/>
              <w:bidi w:val="0"/>
            </w:pPr>
            <w:r>
              <w:t>≤10</w:t>
            </w:r>
          </w:p>
        </w:tc>
      </w:tr>
      <w:tr w14:paraId="24D4D761">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0F2B9686">
            <w:pPr>
              <w:pStyle w:val="28"/>
              <w:bidi w:val="0"/>
            </w:pPr>
            <w:r>
              <w:t>5</w:t>
            </w:r>
          </w:p>
        </w:tc>
        <w:tc>
          <w:tcPr>
            <w:tcW w:w="1233" w:type="pct"/>
            <w:tcBorders>
              <w:top w:val="single" w:color="000000" w:sz="4" w:space="0"/>
              <w:left w:val="single" w:color="000000" w:sz="4" w:space="0"/>
              <w:bottom w:val="single" w:color="000000" w:sz="4" w:space="0"/>
              <w:right w:val="single" w:color="000000" w:sz="4" w:space="0"/>
            </w:tcBorders>
            <w:vAlign w:val="center"/>
          </w:tcPr>
          <w:p w14:paraId="31D32EBD">
            <w:pPr>
              <w:pStyle w:val="28"/>
              <w:bidi w:val="0"/>
            </w:pPr>
            <w:r>
              <w:t>溶解性总固体</w:t>
            </w:r>
          </w:p>
        </w:tc>
        <w:tc>
          <w:tcPr>
            <w:tcW w:w="669" w:type="pct"/>
            <w:tcBorders>
              <w:top w:val="single" w:color="000000" w:sz="4" w:space="0"/>
              <w:left w:val="single" w:color="000000" w:sz="4" w:space="0"/>
              <w:bottom w:val="single" w:color="000000" w:sz="4" w:space="0"/>
              <w:right w:val="single" w:color="000000" w:sz="4" w:space="0"/>
            </w:tcBorders>
            <w:vAlign w:val="center"/>
          </w:tcPr>
          <w:p w14:paraId="03826F92">
            <w:pPr>
              <w:pStyle w:val="28"/>
              <w:bidi w:val="0"/>
            </w:pPr>
            <w:r>
              <w:t>mg/L</w:t>
            </w:r>
          </w:p>
        </w:tc>
        <w:tc>
          <w:tcPr>
            <w:tcW w:w="2425" w:type="pct"/>
            <w:tcBorders>
              <w:top w:val="single" w:color="000000" w:sz="4" w:space="0"/>
              <w:left w:val="single" w:color="000000" w:sz="4" w:space="0"/>
              <w:bottom w:val="single" w:color="000000" w:sz="4" w:space="0"/>
              <w:right w:val="single" w:color="000000" w:sz="4" w:space="0"/>
            </w:tcBorders>
            <w:vAlign w:val="center"/>
          </w:tcPr>
          <w:p w14:paraId="64FA24E5">
            <w:pPr>
              <w:pStyle w:val="28"/>
              <w:bidi w:val="0"/>
            </w:pPr>
            <w:r>
              <w:t>≤1500</w:t>
            </w:r>
          </w:p>
        </w:tc>
      </w:tr>
      <w:tr w14:paraId="58AE5FFE">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24E4DD6B">
            <w:pPr>
              <w:pStyle w:val="28"/>
              <w:bidi w:val="0"/>
            </w:pPr>
            <w:r>
              <w:t>6</w:t>
            </w:r>
          </w:p>
        </w:tc>
        <w:tc>
          <w:tcPr>
            <w:tcW w:w="1233" w:type="pct"/>
            <w:tcBorders>
              <w:top w:val="single" w:color="000000" w:sz="4" w:space="0"/>
              <w:left w:val="single" w:color="000000" w:sz="4" w:space="0"/>
              <w:bottom w:val="single" w:color="000000" w:sz="4" w:space="0"/>
              <w:right w:val="single" w:color="000000" w:sz="4" w:space="0"/>
            </w:tcBorders>
            <w:vAlign w:val="center"/>
          </w:tcPr>
          <w:p w14:paraId="4F614FB6">
            <w:pPr>
              <w:pStyle w:val="28"/>
              <w:bidi w:val="0"/>
            </w:pPr>
            <w:r>
              <w:t>五日生化需氧量</w:t>
            </w:r>
          </w:p>
        </w:tc>
        <w:tc>
          <w:tcPr>
            <w:tcW w:w="669" w:type="pct"/>
            <w:tcBorders>
              <w:top w:val="single" w:color="000000" w:sz="4" w:space="0"/>
              <w:left w:val="single" w:color="000000" w:sz="4" w:space="0"/>
              <w:bottom w:val="single" w:color="000000" w:sz="4" w:space="0"/>
              <w:right w:val="single" w:color="000000" w:sz="4" w:space="0"/>
            </w:tcBorders>
            <w:vAlign w:val="center"/>
          </w:tcPr>
          <w:p w14:paraId="0D8338E1">
            <w:pPr>
              <w:pStyle w:val="28"/>
              <w:bidi w:val="0"/>
            </w:pPr>
            <w:r>
              <w:t>mg/L</w:t>
            </w:r>
          </w:p>
        </w:tc>
        <w:tc>
          <w:tcPr>
            <w:tcW w:w="2425" w:type="pct"/>
            <w:tcBorders>
              <w:top w:val="single" w:color="000000" w:sz="4" w:space="0"/>
              <w:left w:val="single" w:color="000000" w:sz="4" w:space="0"/>
              <w:bottom w:val="single" w:color="000000" w:sz="4" w:space="0"/>
              <w:right w:val="single" w:color="000000" w:sz="4" w:space="0"/>
            </w:tcBorders>
            <w:vAlign w:val="center"/>
          </w:tcPr>
          <w:p w14:paraId="08319288">
            <w:pPr>
              <w:pStyle w:val="28"/>
              <w:bidi w:val="0"/>
            </w:pPr>
            <w:r>
              <w:t>≤15</w:t>
            </w:r>
          </w:p>
        </w:tc>
      </w:tr>
      <w:tr w14:paraId="1D137A25">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528E4377">
            <w:pPr>
              <w:pStyle w:val="28"/>
              <w:bidi w:val="0"/>
            </w:pPr>
            <w:r>
              <w:t>7</w:t>
            </w:r>
          </w:p>
        </w:tc>
        <w:tc>
          <w:tcPr>
            <w:tcW w:w="1233" w:type="pct"/>
            <w:tcBorders>
              <w:top w:val="single" w:color="000000" w:sz="4" w:space="0"/>
              <w:left w:val="single" w:color="000000" w:sz="4" w:space="0"/>
              <w:bottom w:val="single" w:color="000000" w:sz="4" w:space="0"/>
              <w:right w:val="single" w:color="000000" w:sz="4" w:space="0"/>
            </w:tcBorders>
            <w:vAlign w:val="center"/>
          </w:tcPr>
          <w:p w14:paraId="47873220">
            <w:pPr>
              <w:pStyle w:val="28"/>
              <w:bidi w:val="0"/>
            </w:pPr>
            <w:r>
              <w:t>氨氮</w:t>
            </w:r>
          </w:p>
        </w:tc>
        <w:tc>
          <w:tcPr>
            <w:tcW w:w="669" w:type="pct"/>
            <w:tcBorders>
              <w:top w:val="single" w:color="000000" w:sz="4" w:space="0"/>
              <w:left w:val="single" w:color="000000" w:sz="4" w:space="0"/>
              <w:bottom w:val="single" w:color="000000" w:sz="4" w:space="0"/>
              <w:right w:val="single" w:color="000000" w:sz="4" w:space="0"/>
            </w:tcBorders>
            <w:vAlign w:val="center"/>
          </w:tcPr>
          <w:p w14:paraId="68A09842">
            <w:pPr>
              <w:pStyle w:val="28"/>
              <w:bidi w:val="0"/>
            </w:pPr>
            <w:r>
              <w:t>mg/L</w:t>
            </w:r>
          </w:p>
        </w:tc>
        <w:tc>
          <w:tcPr>
            <w:tcW w:w="2425" w:type="pct"/>
            <w:tcBorders>
              <w:top w:val="single" w:color="000000" w:sz="4" w:space="0"/>
              <w:left w:val="single" w:color="000000" w:sz="4" w:space="0"/>
              <w:bottom w:val="single" w:color="000000" w:sz="4" w:space="0"/>
              <w:right w:val="single" w:color="000000" w:sz="4" w:space="0"/>
            </w:tcBorders>
            <w:vAlign w:val="center"/>
          </w:tcPr>
          <w:p w14:paraId="4CB02EEE">
            <w:pPr>
              <w:pStyle w:val="28"/>
              <w:bidi w:val="0"/>
            </w:pPr>
            <w:r>
              <w:t>≤10</w:t>
            </w:r>
          </w:p>
        </w:tc>
      </w:tr>
      <w:tr w14:paraId="266E9CDD">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74B5093B">
            <w:pPr>
              <w:pStyle w:val="28"/>
              <w:bidi w:val="0"/>
            </w:pPr>
            <w:r>
              <w:t>8</w:t>
            </w:r>
          </w:p>
        </w:tc>
        <w:tc>
          <w:tcPr>
            <w:tcW w:w="1233" w:type="pct"/>
            <w:tcBorders>
              <w:top w:val="single" w:color="000000" w:sz="4" w:space="0"/>
              <w:left w:val="single" w:color="000000" w:sz="4" w:space="0"/>
              <w:bottom w:val="single" w:color="000000" w:sz="4" w:space="0"/>
              <w:right w:val="single" w:color="000000" w:sz="4" w:space="0"/>
            </w:tcBorders>
            <w:vAlign w:val="center"/>
          </w:tcPr>
          <w:p w14:paraId="74BB3FCB">
            <w:pPr>
              <w:pStyle w:val="28"/>
              <w:bidi w:val="0"/>
            </w:pPr>
            <w:r>
              <w:t>阴离子表面活性剂</w:t>
            </w:r>
          </w:p>
        </w:tc>
        <w:tc>
          <w:tcPr>
            <w:tcW w:w="669" w:type="pct"/>
            <w:tcBorders>
              <w:top w:val="single" w:color="000000" w:sz="4" w:space="0"/>
              <w:left w:val="single" w:color="000000" w:sz="4" w:space="0"/>
              <w:bottom w:val="single" w:color="000000" w:sz="4" w:space="0"/>
              <w:right w:val="single" w:color="000000" w:sz="4" w:space="0"/>
            </w:tcBorders>
            <w:vAlign w:val="center"/>
          </w:tcPr>
          <w:p w14:paraId="45712555">
            <w:pPr>
              <w:pStyle w:val="28"/>
              <w:bidi w:val="0"/>
            </w:pPr>
            <w:r>
              <w:t>mg/L</w:t>
            </w:r>
          </w:p>
        </w:tc>
        <w:tc>
          <w:tcPr>
            <w:tcW w:w="2425" w:type="pct"/>
            <w:tcBorders>
              <w:top w:val="single" w:color="000000" w:sz="4" w:space="0"/>
              <w:left w:val="single" w:color="000000" w:sz="4" w:space="0"/>
              <w:bottom w:val="single" w:color="000000" w:sz="4" w:space="0"/>
              <w:right w:val="single" w:color="000000" w:sz="4" w:space="0"/>
            </w:tcBorders>
            <w:vAlign w:val="center"/>
          </w:tcPr>
          <w:p w14:paraId="256C019F">
            <w:pPr>
              <w:pStyle w:val="28"/>
              <w:bidi w:val="0"/>
            </w:pPr>
            <w:r>
              <w:t>≤1.0</w:t>
            </w:r>
          </w:p>
        </w:tc>
      </w:tr>
      <w:tr w14:paraId="4FA5F764">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212B7D5C">
            <w:pPr>
              <w:pStyle w:val="28"/>
              <w:bidi w:val="0"/>
            </w:pPr>
            <w:r>
              <w:t>9</w:t>
            </w:r>
          </w:p>
        </w:tc>
        <w:tc>
          <w:tcPr>
            <w:tcW w:w="1233" w:type="pct"/>
            <w:tcBorders>
              <w:top w:val="single" w:color="000000" w:sz="4" w:space="0"/>
              <w:left w:val="single" w:color="000000" w:sz="4" w:space="0"/>
              <w:bottom w:val="single" w:color="000000" w:sz="4" w:space="0"/>
              <w:right w:val="single" w:color="000000" w:sz="4" w:space="0"/>
            </w:tcBorders>
            <w:vAlign w:val="center"/>
          </w:tcPr>
          <w:p w14:paraId="62750F12">
            <w:pPr>
              <w:pStyle w:val="28"/>
              <w:bidi w:val="0"/>
            </w:pPr>
            <w:r>
              <w:t>铁</w:t>
            </w:r>
          </w:p>
        </w:tc>
        <w:tc>
          <w:tcPr>
            <w:tcW w:w="669" w:type="pct"/>
            <w:tcBorders>
              <w:top w:val="single" w:color="000000" w:sz="4" w:space="0"/>
              <w:left w:val="single" w:color="000000" w:sz="4" w:space="0"/>
              <w:bottom w:val="single" w:color="000000" w:sz="4" w:space="0"/>
              <w:right w:val="single" w:color="000000" w:sz="4" w:space="0"/>
            </w:tcBorders>
            <w:vAlign w:val="center"/>
          </w:tcPr>
          <w:p w14:paraId="194104DE">
            <w:pPr>
              <w:pStyle w:val="28"/>
              <w:bidi w:val="0"/>
            </w:pPr>
            <w:r>
              <w:t>mg/L</w:t>
            </w:r>
          </w:p>
        </w:tc>
        <w:tc>
          <w:tcPr>
            <w:tcW w:w="2425" w:type="pct"/>
            <w:tcBorders>
              <w:top w:val="single" w:color="000000" w:sz="4" w:space="0"/>
              <w:left w:val="single" w:color="000000" w:sz="4" w:space="0"/>
              <w:bottom w:val="single" w:color="000000" w:sz="4" w:space="0"/>
              <w:right w:val="single" w:color="000000" w:sz="4" w:space="0"/>
            </w:tcBorders>
            <w:vAlign w:val="center"/>
          </w:tcPr>
          <w:p w14:paraId="3956289A">
            <w:pPr>
              <w:pStyle w:val="28"/>
              <w:bidi w:val="0"/>
            </w:pPr>
            <w:r>
              <w:t>/</w:t>
            </w:r>
          </w:p>
        </w:tc>
      </w:tr>
      <w:tr w14:paraId="4731CD7B">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04EC59E3">
            <w:pPr>
              <w:pStyle w:val="28"/>
              <w:bidi w:val="0"/>
            </w:pPr>
            <w:r>
              <w:t>10</w:t>
            </w:r>
          </w:p>
        </w:tc>
        <w:tc>
          <w:tcPr>
            <w:tcW w:w="1233" w:type="pct"/>
            <w:tcBorders>
              <w:top w:val="single" w:color="000000" w:sz="4" w:space="0"/>
              <w:left w:val="single" w:color="000000" w:sz="4" w:space="0"/>
              <w:bottom w:val="single" w:color="000000" w:sz="4" w:space="0"/>
              <w:right w:val="single" w:color="000000" w:sz="4" w:space="0"/>
            </w:tcBorders>
            <w:vAlign w:val="center"/>
          </w:tcPr>
          <w:p w14:paraId="72691705">
            <w:pPr>
              <w:pStyle w:val="28"/>
              <w:bidi w:val="0"/>
            </w:pPr>
            <w:r>
              <w:t>锰</w:t>
            </w:r>
          </w:p>
        </w:tc>
        <w:tc>
          <w:tcPr>
            <w:tcW w:w="669" w:type="pct"/>
            <w:tcBorders>
              <w:top w:val="single" w:color="000000" w:sz="4" w:space="0"/>
              <w:left w:val="single" w:color="000000" w:sz="4" w:space="0"/>
              <w:bottom w:val="single" w:color="000000" w:sz="4" w:space="0"/>
              <w:right w:val="single" w:color="000000" w:sz="4" w:space="0"/>
            </w:tcBorders>
            <w:vAlign w:val="center"/>
          </w:tcPr>
          <w:p w14:paraId="3781B9C5">
            <w:pPr>
              <w:pStyle w:val="28"/>
              <w:bidi w:val="0"/>
            </w:pPr>
            <w:r>
              <w:t>mg/L</w:t>
            </w:r>
          </w:p>
        </w:tc>
        <w:tc>
          <w:tcPr>
            <w:tcW w:w="2425" w:type="pct"/>
            <w:tcBorders>
              <w:top w:val="single" w:color="000000" w:sz="4" w:space="0"/>
              <w:left w:val="single" w:color="000000" w:sz="4" w:space="0"/>
              <w:bottom w:val="single" w:color="000000" w:sz="4" w:space="0"/>
              <w:right w:val="single" w:color="000000" w:sz="4" w:space="0"/>
            </w:tcBorders>
            <w:vAlign w:val="center"/>
          </w:tcPr>
          <w:p w14:paraId="1FF5DC48">
            <w:pPr>
              <w:pStyle w:val="28"/>
              <w:bidi w:val="0"/>
            </w:pPr>
            <w:r>
              <w:t>/</w:t>
            </w:r>
          </w:p>
        </w:tc>
      </w:tr>
      <w:tr w14:paraId="52890DBD">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0B0D9AA8">
            <w:pPr>
              <w:pStyle w:val="28"/>
              <w:bidi w:val="0"/>
            </w:pPr>
            <w:r>
              <w:t>11</w:t>
            </w:r>
          </w:p>
        </w:tc>
        <w:tc>
          <w:tcPr>
            <w:tcW w:w="1233" w:type="pct"/>
            <w:tcBorders>
              <w:top w:val="single" w:color="000000" w:sz="4" w:space="0"/>
              <w:left w:val="single" w:color="000000" w:sz="4" w:space="0"/>
              <w:bottom w:val="single" w:color="000000" w:sz="4" w:space="0"/>
              <w:right w:val="single" w:color="000000" w:sz="4" w:space="0"/>
            </w:tcBorders>
            <w:vAlign w:val="center"/>
          </w:tcPr>
          <w:p w14:paraId="2B027255">
            <w:pPr>
              <w:pStyle w:val="28"/>
              <w:bidi w:val="0"/>
            </w:pPr>
            <w:r>
              <w:t>溶解氧</w:t>
            </w:r>
          </w:p>
        </w:tc>
        <w:tc>
          <w:tcPr>
            <w:tcW w:w="669" w:type="pct"/>
            <w:tcBorders>
              <w:top w:val="single" w:color="000000" w:sz="4" w:space="0"/>
              <w:left w:val="single" w:color="000000" w:sz="4" w:space="0"/>
              <w:bottom w:val="single" w:color="000000" w:sz="4" w:space="0"/>
              <w:right w:val="single" w:color="000000" w:sz="4" w:space="0"/>
            </w:tcBorders>
            <w:vAlign w:val="center"/>
          </w:tcPr>
          <w:p w14:paraId="22BA99EA">
            <w:pPr>
              <w:pStyle w:val="28"/>
              <w:bidi w:val="0"/>
            </w:pPr>
            <w:r>
              <w:t>mg/L</w:t>
            </w:r>
          </w:p>
        </w:tc>
        <w:tc>
          <w:tcPr>
            <w:tcW w:w="2425" w:type="pct"/>
            <w:tcBorders>
              <w:top w:val="single" w:color="000000" w:sz="4" w:space="0"/>
              <w:left w:val="single" w:color="000000" w:sz="4" w:space="0"/>
              <w:bottom w:val="single" w:color="000000" w:sz="4" w:space="0"/>
              <w:right w:val="single" w:color="000000" w:sz="4" w:space="0"/>
            </w:tcBorders>
            <w:vAlign w:val="center"/>
          </w:tcPr>
          <w:p w14:paraId="38CF51A2">
            <w:pPr>
              <w:pStyle w:val="28"/>
              <w:bidi w:val="0"/>
            </w:pPr>
            <w:r>
              <w:t>≥1.0</w:t>
            </w:r>
          </w:p>
        </w:tc>
      </w:tr>
      <w:tr w14:paraId="74F40F37">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1D463FF5">
            <w:pPr>
              <w:pStyle w:val="28"/>
              <w:bidi w:val="0"/>
            </w:pPr>
            <w:r>
              <w:t>12</w:t>
            </w:r>
          </w:p>
        </w:tc>
        <w:tc>
          <w:tcPr>
            <w:tcW w:w="1233" w:type="pct"/>
            <w:tcBorders>
              <w:top w:val="single" w:color="000000" w:sz="4" w:space="0"/>
              <w:left w:val="single" w:color="000000" w:sz="4" w:space="0"/>
              <w:bottom w:val="single" w:color="000000" w:sz="4" w:space="0"/>
              <w:right w:val="single" w:color="000000" w:sz="4" w:space="0"/>
            </w:tcBorders>
            <w:vAlign w:val="center"/>
          </w:tcPr>
          <w:p w14:paraId="590B477D">
            <w:pPr>
              <w:pStyle w:val="28"/>
              <w:bidi w:val="0"/>
            </w:pPr>
            <w:r>
              <w:t>总余氯</w:t>
            </w:r>
          </w:p>
        </w:tc>
        <w:tc>
          <w:tcPr>
            <w:tcW w:w="669" w:type="pct"/>
            <w:tcBorders>
              <w:top w:val="single" w:color="000000" w:sz="4" w:space="0"/>
              <w:left w:val="single" w:color="000000" w:sz="4" w:space="0"/>
              <w:bottom w:val="single" w:color="000000" w:sz="4" w:space="0"/>
              <w:right w:val="single" w:color="000000" w:sz="4" w:space="0"/>
            </w:tcBorders>
            <w:vAlign w:val="center"/>
          </w:tcPr>
          <w:p w14:paraId="65E77CB9">
            <w:pPr>
              <w:pStyle w:val="28"/>
              <w:bidi w:val="0"/>
            </w:pPr>
            <w:r>
              <w:t>mg/L</w:t>
            </w:r>
          </w:p>
        </w:tc>
        <w:tc>
          <w:tcPr>
            <w:tcW w:w="2425" w:type="pct"/>
            <w:tcBorders>
              <w:top w:val="single" w:color="000000" w:sz="4" w:space="0"/>
              <w:left w:val="single" w:color="000000" w:sz="4" w:space="0"/>
              <w:bottom w:val="single" w:color="000000" w:sz="4" w:space="0"/>
              <w:right w:val="single" w:color="000000" w:sz="4" w:space="0"/>
            </w:tcBorders>
            <w:vAlign w:val="center"/>
          </w:tcPr>
          <w:p w14:paraId="6A2D2D47">
            <w:pPr>
              <w:pStyle w:val="28"/>
              <w:bidi w:val="0"/>
            </w:pPr>
            <w:r>
              <w:t>30min后≥1.0</w:t>
            </w:r>
            <w:r>
              <w:rPr>
                <w:rFonts w:hint="eastAsia"/>
              </w:rPr>
              <w:t>，</w:t>
            </w:r>
            <w:r>
              <w:t>管网末端≥0.2</w:t>
            </w:r>
          </w:p>
        </w:tc>
      </w:tr>
      <w:tr w14:paraId="73F7E89E">
        <w:tblPrEx>
          <w:tblCellMar>
            <w:top w:w="0" w:type="dxa"/>
            <w:left w:w="108" w:type="dxa"/>
            <w:bottom w:w="0" w:type="dxa"/>
            <w:right w:w="108" w:type="dxa"/>
          </w:tblCellMar>
        </w:tblPrEx>
        <w:trPr>
          <w:trHeight w:val="340" w:hRule="atLeast"/>
          <w:jc w:val="center"/>
        </w:trPr>
        <w:tc>
          <w:tcPr>
            <w:tcW w:w="671" w:type="pct"/>
            <w:tcBorders>
              <w:top w:val="single" w:color="000000" w:sz="4" w:space="0"/>
              <w:left w:val="single" w:color="000000" w:sz="4" w:space="0"/>
              <w:bottom w:val="single" w:color="000000" w:sz="4" w:space="0"/>
              <w:right w:val="single" w:color="000000" w:sz="4" w:space="0"/>
            </w:tcBorders>
            <w:vAlign w:val="center"/>
          </w:tcPr>
          <w:p w14:paraId="4ED1D161">
            <w:pPr>
              <w:pStyle w:val="28"/>
              <w:bidi w:val="0"/>
            </w:pPr>
            <w:r>
              <w:t>13</w:t>
            </w:r>
          </w:p>
        </w:tc>
        <w:tc>
          <w:tcPr>
            <w:tcW w:w="1233" w:type="pct"/>
            <w:tcBorders>
              <w:top w:val="single" w:color="000000" w:sz="4" w:space="0"/>
              <w:left w:val="single" w:color="000000" w:sz="4" w:space="0"/>
              <w:bottom w:val="single" w:color="000000" w:sz="4" w:space="0"/>
              <w:right w:val="single" w:color="000000" w:sz="4" w:space="0"/>
            </w:tcBorders>
            <w:vAlign w:val="center"/>
          </w:tcPr>
          <w:p w14:paraId="2DCF732A">
            <w:pPr>
              <w:pStyle w:val="28"/>
              <w:bidi w:val="0"/>
            </w:pPr>
            <w:r>
              <w:t>总大肠菌群</w:t>
            </w:r>
          </w:p>
        </w:tc>
        <w:tc>
          <w:tcPr>
            <w:tcW w:w="669" w:type="pct"/>
            <w:tcBorders>
              <w:top w:val="single" w:color="000000" w:sz="4" w:space="0"/>
              <w:left w:val="single" w:color="000000" w:sz="4" w:space="0"/>
              <w:bottom w:val="single" w:color="000000" w:sz="4" w:space="0"/>
              <w:right w:val="single" w:color="000000" w:sz="4" w:space="0"/>
            </w:tcBorders>
            <w:vAlign w:val="center"/>
          </w:tcPr>
          <w:p w14:paraId="59F339AE">
            <w:pPr>
              <w:pStyle w:val="28"/>
              <w:bidi w:val="0"/>
            </w:pPr>
            <w:r>
              <w:t>个/L</w:t>
            </w:r>
          </w:p>
        </w:tc>
        <w:tc>
          <w:tcPr>
            <w:tcW w:w="2425" w:type="pct"/>
            <w:tcBorders>
              <w:top w:val="single" w:color="000000" w:sz="4" w:space="0"/>
              <w:left w:val="single" w:color="000000" w:sz="4" w:space="0"/>
              <w:bottom w:val="single" w:color="000000" w:sz="4" w:space="0"/>
              <w:right w:val="single" w:color="000000" w:sz="4" w:space="0"/>
            </w:tcBorders>
            <w:vAlign w:val="center"/>
          </w:tcPr>
          <w:p w14:paraId="205C0B72">
            <w:pPr>
              <w:pStyle w:val="28"/>
              <w:bidi w:val="0"/>
            </w:pPr>
            <w:r>
              <w:t>≤3</w:t>
            </w:r>
          </w:p>
        </w:tc>
      </w:tr>
    </w:tbl>
    <w:p w14:paraId="67B7DCA8">
      <w:pPr>
        <w:spacing w:line="240" w:lineRule="auto"/>
        <w:ind w:firstLine="482"/>
        <w:rPr>
          <w:rFonts w:cs="Times New Roman"/>
          <w:bCs/>
          <w:kern w:val="2"/>
        </w:rPr>
      </w:pPr>
    </w:p>
    <w:p w14:paraId="46BF9CC4">
      <w:r>
        <w:t>表1-5-</w:t>
      </w:r>
      <w:r>
        <w:rPr>
          <w:rFonts w:hint="eastAsia"/>
        </w:rPr>
        <w:t>7</w:t>
      </w:r>
      <w:r>
        <w:t xml:space="preserve">  </w:t>
      </w:r>
      <w:r>
        <w:rPr>
          <w:rFonts w:hint="eastAsia"/>
        </w:rPr>
        <w:t>农田灌溉水质标准  mg/L</w:t>
      </w:r>
    </w:p>
    <w:tbl>
      <w:tblPr>
        <w:tblStyle w:val="16"/>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38"/>
        <w:gridCol w:w="855"/>
        <w:gridCol w:w="900"/>
        <w:gridCol w:w="1547"/>
        <w:gridCol w:w="951"/>
        <w:gridCol w:w="954"/>
        <w:gridCol w:w="954"/>
        <w:gridCol w:w="1279"/>
      </w:tblGrid>
      <w:tr w14:paraId="24AC3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02" w:type="pct"/>
            <w:vAlign w:val="center"/>
          </w:tcPr>
          <w:p w14:paraId="76E43C7C">
            <w:pPr>
              <w:pStyle w:val="28"/>
              <w:bidi w:val="0"/>
            </w:pPr>
            <w:r>
              <w:t>序号</w:t>
            </w:r>
          </w:p>
        </w:tc>
        <w:tc>
          <w:tcPr>
            <w:tcW w:w="466" w:type="pct"/>
            <w:vAlign w:val="center"/>
          </w:tcPr>
          <w:p w14:paraId="6F9D08FF">
            <w:pPr>
              <w:pStyle w:val="28"/>
              <w:bidi w:val="0"/>
            </w:pPr>
            <w:r>
              <w:rPr>
                <w:rFonts w:hint="eastAsia"/>
              </w:rPr>
              <w:t>pH</w:t>
            </w:r>
          </w:p>
        </w:tc>
        <w:tc>
          <w:tcPr>
            <w:tcW w:w="545" w:type="pct"/>
            <w:vAlign w:val="center"/>
          </w:tcPr>
          <w:p w14:paraId="1F09873E">
            <w:pPr>
              <w:pStyle w:val="28"/>
              <w:bidi w:val="0"/>
            </w:pPr>
            <w:r>
              <w:rPr>
                <w:rFonts w:hint="eastAsia"/>
              </w:rPr>
              <w:t>SS</w:t>
            </w:r>
          </w:p>
        </w:tc>
        <w:tc>
          <w:tcPr>
            <w:tcW w:w="866" w:type="pct"/>
            <w:vAlign w:val="center"/>
          </w:tcPr>
          <w:p w14:paraId="4C266ADC">
            <w:pPr>
              <w:pStyle w:val="28"/>
              <w:bidi w:val="0"/>
            </w:pPr>
            <w:r>
              <w:rPr>
                <w:rFonts w:hint="eastAsia"/>
              </w:rPr>
              <w:t>BOD5</w:t>
            </w:r>
          </w:p>
        </w:tc>
        <w:tc>
          <w:tcPr>
            <w:tcW w:w="545" w:type="pct"/>
            <w:vAlign w:val="center"/>
          </w:tcPr>
          <w:p w14:paraId="4F3AB779">
            <w:pPr>
              <w:pStyle w:val="28"/>
              <w:bidi w:val="0"/>
            </w:pPr>
            <w:r>
              <w:rPr>
                <w:rFonts w:hint="eastAsia"/>
              </w:rPr>
              <w:t>COD</w:t>
            </w:r>
          </w:p>
        </w:tc>
        <w:tc>
          <w:tcPr>
            <w:tcW w:w="546" w:type="pct"/>
            <w:vAlign w:val="center"/>
          </w:tcPr>
          <w:p w14:paraId="08FEB9E3">
            <w:pPr>
              <w:pStyle w:val="28"/>
              <w:bidi w:val="0"/>
            </w:pPr>
            <w:r>
              <w:rPr>
                <w:rFonts w:hint="eastAsia"/>
              </w:rPr>
              <w:t>NH3-N</w:t>
            </w:r>
          </w:p>
        </w:tc>
        <w:tc>
          <w:tcPr>
            <w:tcW w:w="546" w:type="pct"/>
            <w:vAlign w:val="center"/>
          </w:tcPr>
          <w:p w14:paraId="4459999F">
            <w:pPr>
              <w:pStyle w:val="28"/>
              <w:bidi w:val="0"/>
            </w:pPr>
            <w:r>
              <w:rPr>
                <w:rFonts w:hint="eastAsia"/>
              </w:rPr>
              <w:t>TP</w:t>
            </w:r>
          </w:p>
        </w:tc>
        <w:tc>
          <w:tcPr>
            <w:tcW w:w="580" w:type="pct"/>
            <w:vAlign w:val="center"/>
          </w:tcPr>
          <w:p w14:paraId="7DB6981E">
            <w:pPr>
              <w:pStyle w:val="28"/>
              <w:bidi w:val="0"/>
            </w:pPr>
            <w:r>
              <w:rPr>
                <w:rFonts w:hint="eastAsia"/>
              </w:rPr>
              <w:t>粪大肠菌群数（MNP/L）</w:t>
            </w:r>
          </w:p>
        </w:tc>
      </w:tr>
      <w:tr w14:paraId="30EE5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02" w:type="pct"/>
            <w:vAlign w:val="center"/>
          </w:tcPr>
          <w:p w14:paraId="248E1E21">
            <w:pPr>
              <w:pStyle w:val="28"/>
              <w:bidi w:val="0"/>
            </w:pPr>
            <w:r>
              <w:t>《农田灌溉水质标准》（GB5084-2021）</w:t>
            </w:r>
          </w:p>
        </w:tc>
        <w:tc>
          <w:tcPr>
            <w:tcW w:w="466" w:type="pct"/>
            <w:vAlign w:val="center"/>
          </w:tcPr>
          <w:p w14:paraId="0EEDFC72">
            <w:pPr>
              <w:pStyle w:val="28"/>
              <w:bidi w:val="0"/>
            </w:pPr>
            <w:r>
              <w:rPr>
                <w:rFonts w:hint="eastAsia"/>
              </w:rPr>
              <w:t>5.5~8.5</w:t>
            </w:r>
          </w:p>
        </w:tc>
        <w:tc>
          <w:tcPr>
            <w:tcW w:w="545" w:type="pct"/>
            <w:vAlign w:val="center"/>
          </w:tcPr>
          <w:p w14:paraId="5406B251">
            <w:pPr>
              <w:pStyle w:val="28"/>
              <w:bidi w:val="0"/>
            </w:pPr>
            <w:r>
              <w:rPr>
                <w:rFonts w:hint="eastAsia"/>
              </w:rPr>
              <w:t>80</w:t>
            </w:r>
          </w:p>
        </w:tc>
        <w:tc>
          <w:tcPr>
            <w:tcW w:w="866" w:type="pct"/>
            <w:vAlign w:val="center"/>
          </w:tcPr>
          <w:p w14:paraId="639B0810">
            <w:pPr>
              <w:pStyle w:val="28"/>
              <w:bidi w:val="0"/>
            </w:pPr>
            <w:r>
              <w:rPr>
                <w:rFonts w:hint="eastAsia"/>
              </w:rPr>
              <w:t>60</w:t>
            </w:r>
          </w:p>
        </w:tc>
        <w:tc>
          <w:tcPr>
            <w:tcW w:w="545" w:type="pct"/>
            <w:vAlign w:val="center"/>
          </w:tcPr>
          <w:p w14:paraId="3D89096C">
            <w:pPr>
              <w:pStyle w:val="28"/>
              <w:bidi w:val="0"/>
            </w:pPr>
            <w:r>
              <w:rPr>
                <w:rFonts w:hint="eastAsia"/>
              </w:rPr>
              <w:t>150</w:t>
            </w:r>
          </w:p>
        </w:tc>
        <w:tc>
          <w:tcPr>
            <w:tcW w:w="546" w:type="pct"/>
            <w:vAlign w:val="center"/>
          </w:tcPr>
          <w:p w14:paraId="3C9B8E4E">
            <w:pPr>
              <w:pStyle w:val="28"/>
              <w:bidi w:val="0"/>
            </w:pPr>
            <w:r>
              <w:rPr>
                <w:rFonts w:hint="eastAsia"/>
              </w:rPr>
              <w:t>/</w:t>
            </w:r>
          </w:p>
        </w:tc>
        <w:tc>
          <w:tcPr>
            <w:tcW w:w="546" w:type="pct"/>
            <w:vAlign w:val="center"/>
          </w:tcPr>
          <w:p w14:paraId="4BC5024E">
            <w:pPr>
              <w:pStyle w:val="28"/>
              <w:bidi w:val="0"/>
            </w:pPr>
            <w:r>
              <w:rPr>
                <w:rFonts w:hint="eastAsia"/>
              </w:rPr>
              <w:t>350</w:t>
            </w:r>
          </w:p>
        </w:tc>
        <w:tc>
          <w:tcPr>
            <w:tcW w:w="580" w:type="pct"/>
            <w:vAlign w:val="center"/>
          </w:tcPr>
          <w:p w14:paraId="0041E6FF">
            <w:pPr>
              <w:pStyle w:val="28"/>
              <w:bidi w:val="0"/>
            </w:pPr>
            <w:r>
              <w:rPr>
                <w:rFonts w:hint="eastAsia"/>
              </w:rPr>
              <w:t>40000</w:t>
            </w:r>
          </w:p>
        </w:tc>
      </w:tr>
    </w:tbl>
    <w:p w14:paraId="3F252B21">
      <w:pPr>
        <w:spacing w:line="240" w:lineRule="auto"/>
        <w:ind w:firstLine="482"/>
        <w:rPr>
          <w:rFonts w:cs="Times New Roman"/>
          <w:bCs/>
          <w:kern w:val="2"/>
        </w:rPr>
      </w:pPr>
    </w:p>
    <w:p w14:paraId="2972635C">
      <w:r>
        <w:t>表1-5-</w:t>
      </w:r>
      <w:r>
        <w:rPr>
          <w:rFonts w:hint="eastAsia"/>
        </w:rPr>
        <w:t>8</w:t>
      </w:r>
      <w:r>
        <w:t xml:space="preserve">  </w:t>
      </w:r>
      <w:r>
        <w:rPr>
          <w:rFonts w:hint="eastAsia"/>
        </w:rPr>
        <w:t>污水综合排放水质标准  mg/L</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61"/>
        <w:gridCol w:w="1117"/>
        <w:gridCol w:w="1308"/>
        <w:gridCol w:w="2079"/>
        <w:gridCol w:w="1308"/>
        <w:gridCol w:w="1310"/>
      </w:tblGrid>
      <w:tr w14:paraId="04258F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63" w:type="pct"/>
            <w:vAlign w:val="center"/>
          </w:tcPr>
          <w:p w14:paraId="56751367">
            <w:pPr>
              <w:pStyle w:val="28"/>
              <w:bidi w:val="0"/>
            </w:pPr>
            <w:r>
              <w:t>序号</w:t>
            </w:r>
          </w:p>
        </w:tc>
        <w:tc>
          <w:tcPr>
            <w:tcW w:w="601" w:type="pct"/>
            <w:vAlign w:val="center"/>
          </w:tcPr>
          <w:p w14:paraId="00FCECCC">
            <w:pPr>
              <w:pStyle w:val="28"/>
              <w:bidi w:val="0"/>
            </w:pPr>
            <w:r>
              <w:rPr>
                <w:rFonts w:hint="eastAsia"/>
              </w:rPr>
              <w:t>pH</w:t>
            </w:r>
          </w:p>
        </w:tc>
        <w:tc>
          <w:tcPr>
            <w:tcW w:w="704" w:type="pct"/>
            <w:vAlign w:val="center"/>
          </w:tcPr>
          <w:p w14:paraId="1FEC6200">
            <w:pPr>
              <w:pStyle w:val="28"/>
              <w:bidi w:val="0"/>
            </w:pPr>
            <w:r>
              <w:rPr>
                <w:rFonts w:hint="eastAsia"/>
              </w:rPr>
              <w:t>SS</w:t>
            </w:r>
          </w:p>
        </w:tc>
        <w:tc>
          <w:tcPr>
            <w:tcW w:w="1119" w:type="pct"/>
            <w:vAlign w:val="center"/>
          </w:tcPr>
          <w:p w14:paraId="03C2BF4B">
            <w:pPr>
              <w:pStyle w:val="28"/>
              <w:bidi w:val="0"/>
            </w:pPr>
            <w:r>
              <w:rPr>
                <w:rFonts w:hint="eastAsia"/>
              </w:rPr>
              <w:t>BOD5</w:t>
            </w:r>
          </w:p>
        </w:tc>
        <w:tc>
          <w:tcPr>
            <w:tcW w:w="704" w:type="pct"/>
            <w:vAlign w:val="center"/>
          </w:tcPr>
          <w:p w14:paraId="7EF4C2A2">
            <w:pPr>
              <w:pStyle w:val="28"/>
              <w:bidi w:val="0"/>
            </w:pPr>
            <w:r>
              <w:rPr>
                <w:rFonts w:hint="eastAsia"/>
              </w:rPr>
              <w:t>COD</w:t>
            </w:r>
          </w:p>
        </w:tc>
        <w:tc>
          <w:tcPr>
            <w:tcW w:w="705" w:type="pct"/>
            <w:vAlign w:val="center"/>
          </w:tcPr>
          <w:p w14:paraId="5E2E350D">
            <w:pPr>
              <w:pStyle w:val="28"/>
              <w:bidi w:val="0"/>
            </w:pPr>
            <w:r>
              <w:rPr>
                <w:rFonts w:hint="eastAsia"/>
              </w:rPr>
              <w:t>动植物油</w:t>
            </w:r>
          </w:p>
        </w:tc>
      </w:tr>
      <w:tr w14:paraId="403A6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63" w:type="pct"/>
            <w:vAlign w:val="center"/>
          </w:tcPr>
          <w:p w14:paraId="46CDEC38">
            <w:pPr>
              <w:pStyle w:val="28"/>
              <w:bidi w:val="0"/>
            </w:pPr>
            <w:r>
              <w:t>《</w:t>
            </w:r>
            <w:r>
              <w:rPr>
                <w:rFonts w:hint="eastAsia"/>
              </w:rPr>
              <w:t>污水综合排放标准</w:t>
            </w:r>
            <w:r>
              <w:t>》（GB</w:t>
            </w:r>
            <w:r>
              <w:rPr>
                <w:rFonts w:hint="eastAsia"/>
              </w:rPr>
              <w:t>8978-1996</w:t>
            </w:r>
            <w:r>
              <w:t>）</w:t>
            </w:r>
          </w:p>
        </w:tc>
        <w:tc>
          <w:tcPr>
            <w:tcW w:w="601" w:type="pct"/>
            <w:vAlign w:val="center"/>
          </w:tcPr>
          <w:p w14:paraId="615FBB5B">
            <w:pPr>
              <w:pStyle w:val="28"/>
              <w:bidi w:val="0"/>
            </w:pPr>
            <w:r>
              <w:rPr>
                <w:rFonts w:hint="eastAsia"/>
              </w:rPr>
              <w:t>6~9</w:t>
            </w:r>
          </w:p>
        </w:tc>
        <w:tc>
          <w:tcPr>
            <w:tcW w:w="704" w:type="pct"/>
            <w:vAlign w:val="center"/>
          </w:tcPr>
          <w:p w14:paraId="68A01FE5">
            <w:pPr>
              <w:pStyle w:val="28"/>
              <w:bidi w:val="0"/>
            </w:pPr>
            <w:r>
              <w:rPr>
                <w:rFonts w:hint="eastAsia"/>
              </w:rPr>
              <w:t>400</w:t>
            </w:r>
          </w:p>
        </w:tc>
        <w:tc>
          <w:tcPr>
            <w:tcW w:w="1119" w:type="pct"/>
            <w:vAlign w:val="center"/>
          </w:tcPr>
          <w:p w14:paraId="2B652C6E">
            <w:pPr>
              <w:pStyle w:val="28"/>
              <w:bidi w:val="0"/>
            </w:pPr>
            <w:r>
              <w:rPr>
                <w:rFonts w:hint="eastAsia"/>
              </w:rPr>
              <w:t>300</w:t>
            </w:r>
          </w:p>
        </w:tc>
        <w:tc>
          <w:tcPr>
            <w:tcW w:w="704" w:type="pct"/>
            <w:vAlign w:val="center"/>
          </w:tcPr>
          <w:p w14:paraId="5FB093A8">
            <w:pPr>
              <w:pStyle w:val="28"/>
              <w:bidi w:val="0"/>
            </w:pPr>
            <w:r>
              <w:rPr>
                <w:rFonts w:hint="eastAsia"/>
              </w:rPr>
              <w:t>500</w:t>
            </w:r>
          </w:p>
        </w:tc>
        <w:tc>
          <w:tcPr>
            <w:tcW w:w="705" w:type="pct"/>
            <w:vAlign w:val="center"/>
          </w:tcPr>
          <w:p w14:paraId="705DE166">
            <w:pPr>
              <w:pStyle w:val="28"/>
              <w:bidi w:val="0"/>
            </w:pPr>
            <w:r>
              <w:rPr>
                <w:rFonts w:hint="eastAsia"/>
              </w:rPr>
              <w:t>100</w:t>
            </w:r>
          </w:p>
        </w:tc>
      </w:tr>
    </w:tbl>
    <w:p w14:paraId="24FA4403">
      <w:pPr>
        <w:spacing w:line="240" w:lineRule="auto"/>
        <w:ind w:firstLine="482"/>
        <w:rPr>
          <w:rFonts w:cs="Times New Roman"/>
          <w:bCs/>
          <w:kern w:val="2"/>
        </w:rPr>
      </w:pPr>
    </w:p>
    <w:p w14:paraId="6CDDFFA6">
      <w:pPr>
        <w:ind w:firstLine="482"/>
        <w:rPr>
          <w:rFonts w:cs="Times New Roman"/>
          <w:bCs/>
          <w:kern w:val="2"/>
        </w:rPr>
      </w:pPr>
      <w:r>
        <w:rPr>
          <w:rFonts w:cs="Times New Roman"/>
          <w:bCs/>
          <w:kern w:val="2"/>
        </w:rPr>
        <w:t>（2）废气排放标准</w:t>
      </w:r>
    </w:p>
    <w:p w14:paraId="6F0A65CF">
      <w:pPr>
        <w:ind w:firstLine="480" w:firstLineChars="200"/>
        <w:rPr>
          <w:rFonts w:cs="Times New Roman"/>
        </w:rPr>
      </w:pPr>
      <w:r>
        <w:rPr>
          <w:rFonts w:cs="Times New Roman"/>
        </w:rPr>
        <w:t>项目产生的废气污染物执行《大气污染物综合排放标准》（GB16297-1996）表2中二级标准及无组织排放浓度限值和《恶臭污染物排放标准》（GB14554-93）中相关标准，具体见下表。</w:t>
      </w:r>
    </w:p>
    <w:p w14:paraId="0CA1CC99">
      <w:r>
        <w:t>表1-5-</w:t>
      </w:r>
      <w:r>
        <w:rPr>
          <w:rFonts w:hint="eastAsia"/>
        </w:rPr>
        <w:t>7</w:t>
      </w:r>
      <w:r>
        <w:t xml:space="preserve">  污染源大气污染物排放限值</w:t>
      </w:r>
    </w:p>
    <w:tbl>
      <w:tblPr>
        <w:tblStyle w:val="1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18"/>
        <w:gridCol w:w="2319"/>
        <w:gridCol w:w="2321"/>
        <w:gridCol w:w="2323"/>
      </w:tblGrid>
      <w:tr w14:paraId="0F880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8" w:type="pct"/>
            <w:vAlign w:val="center"/>
          </w:tcPr>
          <w:p w14:paraId="369D00AE">
            <w:pPr>
              <w:pStyle w:val="28"/>
              <w:bidi w:val="0"/>
            </w:pPr>
            <w:r>
              <w:t>序号</w:t>
            </w:r>
          </w:p>
        </w:tc>
        <w:tc>
          <w:tcPr>
            <w:tcW w:w="1249" w:type="pct"/>
            <w:vAlign w:val="center"/>
          </w:tcPr>
          <w:p w14:paraId="2FD0FA90">
            <w:pPr>
              <w:pStyle w:val="28"/>
              <w:bidi w:val="0"/>
            </w:pPr>
            <w:r>
              <w:t>污染物</w:t>
            </w:r>
          </w:p>
        </w:tc>
        <w:tc>
          <w:tcPr>
            <w:tcW w:w="1250" w:type="pct"/>
            <w:vAlign w:val="center"/>
          </w:tcPr>
          <w:p w14:paraId="5D7ACEBD">
            <w:pPr>
              <w:pStyle w:val="28"/>
              <w:bidi w:val="0"/>
            </w:pPr>
            <w:r>
              <w:t>周界外浓度最高点</w:t>
            </w:r>
          </w:p>
        </w:tc>
        <w:tc>
          <w:tcPr>
            <w:tcW w:w="1251" w:type="pct"/>
            <w:vAlign w:val="center"/>
          </w:tcPr>
          <w:p w14:paraId="59618D12">
            <w:pPr>
              <w:pStyle w:val="28"/>
              <w:bidi w:val="0"/>
            </w:pPr>
            <w:r>
              <w:t>标准</w:t>
            </w:r>
          </w:p>
        </w:tc>
      </w:tr>
      <w:tr w14:paraId="2C4F1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48" w:type="pct"/>
            <w:vAlign w:val="center"/>
          </w:tcPr>
          <w:p w14:paraId="495603FE">
            <w:pPr>
              <w:pStyle w:val="28"/>
              <w:bidi w:val="0"/>
            </w:pPr>
            <w:r>
              <w:t>1</w:t>
            </w:r>
          </w:p>
        </w:tc>
        <w:tc>
          <w:tcPr>
            <w:tcW w:w="1249" w:type="pct"/>
            <w:vAlign w:val="center"/>
          </w:tcPr>
          <w:p w14:paraId="6FFB59F8">
            <w:pPr>
              <w:pStyle w:val="28"/>
              <w:bidi w:val="0"/>
            </w:pPr>
            <w:r>
              <w:t>TSP</w:t>
            </w:r>
          </w:p>
        </w:tc>
        <w:tc>
          <w:tcPr>
            <w:tcW w:w="1250" w:type="pct"/>
            <w:vAlign w:val="center"/>
          </w:tcPr>
          <w:p w14:paraId="2947252B">
            <w:pPr>
              <w:pStyle w:val="28"/>
              <w:bidi w:val="0"/>
            </w:pPr>
            <w:r>
              <w:t>1.0mg/m3</w:t>
            </w:r>
          </w:p>
        </w:tc>
        <w:tc>
          <w:tcPr>
            <w:tcW w:w="1251" w:type="pct"/>
            <w:vAlign w:val="center"/>
          </w:tcPr>
          <w:p w14:paraId="4E393976">
            <w:pPr>
              <w:pStyle w:val="28"/>
              <w:bidi w:val="0"/>
            </w:pPr>
            <w:r>
              <w:t>（GB16297-1996）</w:t>
            </w:r>
          </w:p>
        </w:tc>
      </w:tr>
    </w:tbl>
    <w:p w14:paraId="2CB5525B">
      <w:pPr>
        <w:spacing w:line="240" w:lineRule="auto"/>
      </w:pPr>
    </w:p>
    <w:p w14:paraId="1F512BC8">
      <w:r>
        <w:t>表1-5-</w:t>
      </w:r>
      <w:r>
        <w:rPr>
          <w:rFonts w:hint="eastAsia"/>
        </w:rPr>
        <w:t>8</w:t>
      </w:r>
      <w:r>
        <w:t xml:space="preserve">  恶臭污染物排放标准</w:t>
      </w:r>
    </w:p>
    <w:tbl>
      <w:tblPr>
        <w:tblStyle w:val="16"/>
        <w:tblW w:w="5063" w:type="pct"/>
        <w:tblInd w:w="0" w:type="dxa"/>
        <w:tblLayout w:type="fixed"/>
        <w:tblCellMar>
          <w:top w:w="15" w:type="dxa"/>
          <w:left w:w="15" w:type="dxa"/>
          <w:bottom w:w="15" w:type="dxa"/>
          <w:right w:w="15" w:type="dxa"/>
        </w:tblCellMar>
      </w:tblPr>
      <w:tblGrid>
        <w:gridCol w:w="2237"/>
        <w:gridCol w:w="2315"/>
        <w:gridCol w:w="2315"/>
        <w:gridCol w:w="2350"/>
      </w:tblGrid>
      <w:tr w14:paraId="6A0317D1">
        <w:tblPrEx>
          <w:tblCellMar>
            <w:top w:w="15" w:type="dxa"/>
            <w:left w:w="15" w:type="dxa"/>
            <w:bottom w:w="15" w:type="dxa"/>
            <w:right w:w="15" w:type="dxa"/>
          </w:tblCellMar>
        </w:tblPrEx>
        <w:trPr>
          <w:trHeight w:val="378" w:hRule="atLeast"/>
        </w:trPr>
        <w:tc>
          <w:tcPr>
            <w:tcW w:w="1213" w:type="pct"/>
            <w:vMerge w:val="restart"/>
            <w:tcBorders>
              <w:top w:val="single" w:color="000000" w:sz="4" w:space="0"/>
              <w:left w:val="single" w:color="000000" w:sz="4" w:space="0"/>
              <w:bottom w:val="single" w:color="000000" w:sz="4" w:space="0"/>
              <w:right w:val="single" w:color="000000" w:sz="4" w:space="0"/>
            </w:tcBorders>
            <w:noWrap/>
            <w:vAlign w:val="center"/>
          </w:tcPr>
          <w:p w14:paraId="3F6ED07D">
            <w:pPr>
              <w:pStyle w:val="28"/>
              <w:bidi w:val="0"/>
            </w:pPr>
            <w:r>
              <w:t>《恶臭污染物排放标准》（GB14554-93）中恶臭污染物厂界标准值新改扩建项目二级标准</w:t>
            </w:r>
          </w:p>
        </w:tc>
        <w:tc>
          <w:tcPr>
            <w:tcW w:w="1255" w:type="pct"/>
            <w:tcBorders>
              <w:top w:val="single" w:color="000000" w:sz="4" w:space="0"/>
              <w:left w:val="single" w:color="000000" w:sz="4" w:space="0"/>
              <w:bottom w:val="single" w:color="000000" w:sz="4" w:space="0"/>
              <w:right w:val="single" w:color="000000" w:sz="4" w:space="0"/>
            </w:tcBorders>
            <w:noWrap/>
            <w:vAlign w:val="center"/>
          </w:tcPr>
          <w:p w14:paraId="5D156007">
            <w:pPr>
              <w:pStyle w:val="28"/>
              <w:bidi w:val="0"/>
            </w:pPr>
            <w:r>
              <w:t>NH3</w:t>
            </w:r>
          </w:p>
        </w:tc>
        <w:tc>
          <w:tcPr>
            <w:tcW w:w="1255" w:type="pct"/>
            <w:tcBorders>
              <w:top w:val="single" w:color="000000" w:sz="4" w:space="0"/>
              <w:left w:val="single" w:color="000000" w:sz="4" w:space="0"/>
              <w:bottom w:val="single" w:color="000000" w:sz="4" w:space="0"/>
              <w:right w:val="single" w:color="000000" w:sz="4" w:space="0"/>
            </w:tcBorders>
            <w:noWrap/>
            <w:vAlign w:val="center"/>
          </w:tcPr>
          <w:p w14:paraId="572A441F">
            <w:pPr>
              <w:pStyle w:val="28"/>
              <w:bidi w:val="0"/>
            </w:pPr>
            <w:r>
              <w:t>1.5mg/m3</w:t>
            </w:r>
          </w:p>
        </w:tc>
        <w:tc>
          <w:tcPr>
            <w:tcW w:w="1274" w:type="pct"/>
            <w:tcBorders>
              <w:top w:val="single" w:color="000000" w:sz="4" w:space="0"/>
              <w:left w:val="single" w:color="000000" w:sz="4" w:space="0"/>
              <w:bottom w:val="single" w:color="000000" w:sz="4" w:space="0"/>
              <w:right w:val="single" w:color="000000" w:sz="4" w:space="0"/>
            </w:tcBorders>
            <w:noWrap/>
            <w:vAlign w:val="center"/>
          </w:tcPr>
          <w:p w14:paraId="79220564">
            <w:pPr>
              <w:pStyle w:val="28"/>
              <w:bidi w:val="0"/>
            </w:pPr>
            <w:r>
              <w:t>厂界</w:t>
            </w:r>
          </w:p>
        </w:tc>
      </w:tr>
      <w:tr w14:paraId="6E9D04FA">
        <w:tblPrEx>
          <w:tblCellMar>
            <w:top w:w="15" w:type="dxa"/>
            <w:left w:w="15" w:type="dxa"/>
            <w:bottom w:w="15" w:type="dxa"/>
            <w:right w:w="15" w:type="dxa"/>
          </w:tblCellMar>
        </w:tblPrEx>
        <w:trPr>
          <w:trHeight w:val="378" w:hRule="atLeast"/>
        </w:trPr>
        <w:tc>
          <w:tcPr>
            <w:tcW w:w="1213" w:type="pct"/>
            <w:vMerge w:val="continue"/>
            <w:tcBorders>
              <w:top w:val="single" w:color="000000" w:sz="4" w:space="0"/>
              <w:left w:val="single" w:color="000000" w:sz="4" w:space="0"/>
              <w:bottom w:val="single" w:color="000000" w:sz="4" w:space="0"/>
              <w:right w:val="single" w:color="000000" w:sz="4" w:space="0"/>
            </w:tcBorders>
            <w:noWrap/>
            <w:vAlign w:val="center"/>
          </w:tcPr>
          <w:p w14:paraId="740A45B6">
            <w:pPr>
              <w:pStyle w:val="28"/>
              <w:bidi w:val="0"/>
            </w:pPr>
          </w:p>
        </w:tc>
        <w:tc>
          <w:tcPr>
            <w:tcW w:w="1255" w:type="pct"/>
            <w:tcBorders>
              <w:top w:val="single" w:color="000000" w:sz="4" w:space="0"/>
              <w:left w:val="single" w:color="000000" w:sz="4" w:space="0"/>
              <w:bottom w:val="single" w:color="000000" w:sz="4" w:space="0"/>
              <w:right w:val="single" w:color="000000" w:sz="4" w:space="0"/>
            </w:tcBorders>
            <w:noWrap/>
            <w:vAlign w:val="center"/>
          </w:tcPr>
          <w:p w14:paraId="2AB28B90">
            <w:pPr>
              <w:pStyle w:val="28"/>
              <w:bidi w:val="0"/>
            </w:pPr>
            <w:r>
              <w:t>H2S</w:t>
            </w:r>
          </w:p>
        </w:tc>
        <w:tc>
          <w:tcPr>
            <w:tcW w:w="1255" w:type="pct"/>
            <w:tcBorders>
              <w:top w:val="single" w:color="000000" w:sz="4" w:space="0"/>
              <w:left w:val="single" w:color="000000" w:sz="4" w:space="0"/>
              <w:bottom w:val="single" w:color="000000" w:sz="4" w:space="0"/>
              <w:right w:val="single" w:color="000000" w:sz="4" w:space="0"/>
            </w:tcBorders>
            <w:noWrap/>
            <w:vAlign w:val="center"/>
          </w:tcPr>
          <w:p w14:paraId="56624D2F">
            <w:pPr>
              <w:pStyle w:val="28"/>
              <w:bidi w:val="0"/>
            </w:pPr>
            <w:r>
              <w:t>0.06mg/m3</w:t>
            </w:r>
          </w:p>
        </w:tc>
        <w:tc>
          <w:tcPr>
            <w:tcW w:w="1274" w:type="pct"/>
            <w:tcBorders>
              <w:top w:val="single" w:color="000000" w:sz="4" w:space="0"/>
              <w:left w:val="single" w:color="000000" w:sz="4" w:space="0"/>
              <w:bottom w:val="single" w:color="000000" w:sz="4" w:space="0"/>
              <w:right w:val="single" w:color="000000" w:sz="4" w:space="0"/>
            </w:tcBorders>
            <w:noWrap/>
            <w:vAlign w:val="center"/>
          </w:tcPr>
          <w:p w14:paraId="471FE5DF">
            <w:pPr>
              <w:pStyle w:val="28"/>
              <w:bidi w:val="0"/>
            </w:pPr>
            <w:r>
              <w:t>厂界</w:t>
            </w:r>
          </w:p>
        </w:tc>
      </w:tr>
      <w:tr w14:paraId="055218BF">
        <w:tblPrEx>
          <w:tblCellMar>
            <w:top w:w="15" w:type="dxa"/>
            <w:left w:w="15" w:type="dxa"/>
            <w:bottom w:w="15" w:type="dxa"/>
            <w:right w:w="15" w:type="dxa"/>
          </w:tblCellMar>
        </w:tblPrEx>
        <w:trPr>
          <w:trHeight w:val="388" w:hRule="atLeast"/>
        </w:trPr>
        <w:tc>
          <w:tcPr>
            <w:tcW w:w="1213" w:type="pct"/>
            <w:vMerge w:val="continue"/>
            <w:tcBorders>
              <w:top w:val="single" w:color="000000" w:sz="4" w:space="0"/>
              <w:left w:val="single" w:color="000000" w:sz="4" w:space="0"/>
              <w:bottom w:val="single" w:color="000000" w:sz="4" w:space="0"/>
              <w:right w:val="single" w:color="000000" w:sz="4" w:space="0"/>
            </w:tcBorders>
            <w:noWrap/>
            <w:vAlign w:val="center"/>
          </w:tcPr>
          <w:p w14:paraId="021DF968">
            <w:pPr>
              <w:pStyle w:val="28"/>
              <w:bidi w:val="0"/>
            </w:pPr>
          </w:p>
        </w:tc>
        <w:tc>
          <w:tcPr>
            <w:tcW w:w="1255" w:type="pct"/>
            <w:tcBorders>
              <w:top w:val="single" w:color="000000" w:sz="4" w:space="0"/>
              <w:left w:val="single" w:color="000000" w:sz="4" w:space="0"/>
              <w:bottom w:val="single" w:color="000000" w:sz="4" w:space="0"/>
              <w:right w:val="single" w:color="000000" w:sz="4" w:space="0"/>
            </w:tcBorders>
            <w:noWrap/>
            <w:vAlign w:val="center"/>
          </w:tcPr>
          <w:p w14:paraId="5BE92651">
            <w:pPr>
              <w:pStyle w:val="28"/>
              <w:bidi w:val="0"/>
            </w:pPr>
            <w:r>
              <w:t>臭气浓度</w:t>
            </w:r>
          </w:p>
        </w:tc>
        <w:tc>
          <w:tcPr>
            <w:tcW w:w="1255" w:type="pct"/>
            <w:tcBorders>
              <w:top w:val="single" w:color="000000" w:sz="4" w:space="0"/>
              <w:left w:val="single" w:color="000000" w:sz="4" w:space="0"/>
              <w:bottom w:val="single" w:color="000000" w:sz="4" w:space="0"/>
              <w:right w:val="single" w:color="000000" w:sz="4" w:space="0"/>
            </w:tcBorders>
            <w:noWrap/>
            <w:vAlign w:val="center"/>
          </w:tcPr>
          <w:p w14:paraId="7C872FEF">
            <w:pPr>
              <w:pStyle w:val="28"/>
              <w:bidi w:val="0"/>
            </w:pPr>
            <w:r>
              <w:t>20（无量纲）</w:t>
            </w:r>
          </w:p>
        </w:tc>
        <w:tc>
          <w:tcPr>
            <w:tcW w:w="1274" w:type="pct"/>
            <w:tcBorders>
              <w:top w:val="single" w:color="000000" w:sz="4" w:space="0"/>
              <w:left w:val="single" w:color="000000" w:sz="4" w:space="0"/>
              <w:bottom w:val="single" w:color="000000" w:sz="4" w:space="0"/>
              <w:right w:val="single" w:color="000000" w:sz="4" w:space="0"/>
            </w:tcBorders>
            <w:noWrap/>
            <w:vAlign w:val="center"/>
          </w:tcPr>
          <w:p w14:paraId="2E05F100">
            <w:pPr>
              <w:pStyle w:val="28"/>
              <w:bidi w:val="0"/>
            </w:pPr>
            <w:r>
              <w:t>厂界</w:t>
            </w:r>
          </w:p>
        </w:tc>
      </w:tr>
    </w:tbl>
    <w:p w14:paraId="2F031921">
      <w:pPr>
        <w:spacing w:line="240" w:lineRule="auto"/>
        <w:ind w:firstLine="482"/>
        <w:rPr>
          <w:rFonts w:cs="Times New Roman"/>
        </w:rPr>
      </w:pPr>
    </w:p>
    <w:p w14:paraId="553D3D5D">
      <w:pPr>
        <w:ind w:firstLine="482"/>
        <w:rPr>
          <w:rFonts w:cs="Times New Roman"/>
        </w:rPr>
      </w:pPr>
      <w:r>
        <w:rPr>
          <w:rFonts w:cs="Times New Roman"/>
        </w:rPr>
        <w:t>（3）噪声排放标准</w:t>
      </w:r>
    </w:p>
    <w:p w14:paraId="1122F41C">
      <w:pPr>
        <w:ind w:firstLine="480"/>
        <w:rPr>
          <w:rFonts w:cs="Times New Roman"/>
          <w:kern w:val="2"/>
        </w:rPr>
      </w:pPr>
      <w:r>
        <w:rPr>
          <w:rFonts w:cs="Times New Roman"/>
          <w:kern w:val="2"/>
        </w:rPr>
        <w:t>项目施工期噪声排放执行《建筑施工场界环境噪声排放标准》（GB12523-2011）中限值要求，昼间70dB（A）、夜间55dB（A），</w:t>
      </w:r>
      <w:r>
        <w:rPr>
          <w:rFonts w:cs="Times New Roman"/>
        </w:rPr>
        <w:t>运行期泵站厂界执行《工业企业厂界环境噪声排放标准》（GB12348-2008）</w:t>
      </w:r>
      <w:r>
        <w:rPr>
          <w:rFonts w:hint="eastAsia" w:cs="Times New Roman"/>
        </w:rPr>
        <w:t>1</w:t>
      </w:r>
      <w:r>
        <w:rPr>
          <w:rFonts w:cs="Times New Roman"/>
        </w:rPr>
        <w:t>类标准，昼间</w:t>
      </w:r>
      <w:r>
        <w:rPr>
          <w:rFonts w:hint="eastAsia" w:cs="Times New Roman"/>
        </w:rPr>
        <w:t>55</w:t>
      </w:r>
      <w:r>
        <w:rPr>
          <w:rFonts w:cs="Times New Roman"/>
        </w:rPr>
        <w:t>dB（A）、夜间</w:t>
      </w:r>
      <w:r>
        <w:rPr>
          <w:rFonts w:hint="eastAsia" w:cs="Times New Roman"/>
        </w:rPr>
        <w:t>45</w:t>
      </w:r>
      <w:r>
        <w:rPr>
          <w:rFonts w:cs="Times New Roman"/>
        </w:rPr>
        <w:t>dB（A）</w:t>
      </w:r>
      <w:r>
        <w:rPr>
          <w:rFonts w:cs="Times New Roman"/>
          <w:kern w:val="2"/>
        </w:rPr>
        <w:t>。</w:t>
      </w:r>
    </w:p>
    <w:p w14:paraId="03DBC3FE">
      <w:pPr>
        <w:ind w:firstLine="482"/>
        <w:rPr>
          <w:rFonts w:cs="Times New Roman"/>
        </w:rPr>
      </w:pPr>
      <w:r>
        <w:rPr>
          <w:rFonts w:cs="Times New Roman"/>
        </w:rPr>
        <w:t>（4）固体废物排放标准</w:t>
      </w:r>
    </w:p>
    <w:p w14:paraId="0A82C4FB">
      <w:pPr>
        <w:ind w:firstLine="480"/>
        <w:rPr>
          <w:rFonts w:cs="Times New Roman"/>
          <w:sz w:val="21"/>
          <w:szCs w:val="20"/>
        </w:rPr>
      </w:pPr>
      <w:r>
        <w:rPr>
          <w:rFonts w:cs="Times New Roman"/>
        </w:rPr>
        <w:t>项目固体废弃物中的危险废物按照《国家危险废物名录》（2021年版）分类，危险废物贮存应符合《危险废物贮存污染控制标准》（GB18597-2023）、《危险废物收集、贮存、运输技术规范》（HJ2025-2012）要求；一般工业固体废物参照《一般工业固体废物贮存和填埋污染控制标准》（GB18599-2020）采取防渗、防雨、防扬尘等环境保护措施。</w:t>
      </w:r>
    </w:p>
    <w:p w14:paraId="0E3D54A5">
      <w:pPr>
        <w:pStyle w:val="3"/>
        <w:bidi w:val="0"/>
      </w:pPr>
      <w:bookmarkStart w:id="21" w:name="_Toc15529"/>
      <w:r>
        <w:t>1.6 评价重点与评价方法</w:t>
      </w:r>
      <w:bookmarkEnd w:id="21"/>
    </w:p>
    <w:p w14:paraId="5A2431B9">
      <w:pPr>
        <w:pStyle w:val="4"/>
        <w:rPr>
          <w:rFonts w:cs="Times New Roman"/>
        </w:rPr>
      </w:pPr>
      <w:r>
        <w:rPr>
          <w:rFonts w:cs="Times New Roman"/>
        </w:rPr>
        <w:t>1.6.1 评价重点</w:t>
      </w:r>
    </w:p>
    <w:p w14:paraId="32D00A74">
      <w:pPr>
        <w:bidi w:val="0"/>
      </w:pPr>
      <w:r>
        <w:t>本项目评价重点为生态环境、水环境影响评价及采取的污染防治措施。</w:t>
      </w:r>
    </w:p>
    <w:p w14:paraId="01DA9EC1">
      <w:pPr>
        <w:bidi w:val="0"/>
      </w:pPr>
      <w:r>
        <w:t>生态环境重点论述工程建设对项目水生生态环境影响及采取减缓影响的措施；水环境重点评价渠道改造工程对水文、水质的影响及防治和减缓影响的措施。</w:t>
      </w:r>
    </w:p>
    <w:p w14:paraId="4D5217DE">
      <w:pPr>
        <w:pStyle w:val="4"/>
        <w:rPr>
          <w:rFonts w:cs="Times New Roman"/>
        </w:rPr>
      </w:pPr>
      <w:r>
        <w:rPr>
          <w:rFonts w:cs="Times New Roman"/>
        </w:rPr>
        <w:t>16.2 评价方法</w:t>
      </w:r>
    </w:p>
    <w:p w14:paraId="3E43BABC">
      <w:pPr>
        <w:bidi w:val="0"/>
      </w:pPr>
      <w:r>
        <w:t>采用模式计算、类比法和调研分析等方法进行评价。水环境、环境空气、环境噪声采用标准指数法、单因子评价法进行现状评价；生态现状采用类比分析法和图形叠置法等进行评价；环境风险采用类比调查分析方法。</w:t>
      </w:r>
    </w:p>
    <w:p w14:paraId="2A0B6330">
      <w:pPr>
        <w:pStyle w:val="3"/>
        <w:bidi w:val="0"/>
      </w:pPr>
      <w:bookmarkStart w:id="22" w:name="_Toc17379"/>
      <w:r>
        <w:t>1.7 评价时段与技术路线</w:t>
      </w:r>
      <w:bookmarkEnd w:id="22"/>
    </w:p>
    <w:p w14:paraId="03322493">
      <w:pPr>
        <w:pStyle w:val="4"/>
        <w:bidi w:val="0"/>
      </w:pPr>
      <w:r>
        <w:t>1.7.1 评价时段</w:t>
      </w:r>
    </w:p>
    <w:p w14:paraId="3473B368">
      <w:pPr>
        <w:bidi w:val="0"/>
      </w:pPr>
      <w:r>
        <w:t>本项目的环境影响评价时段为施工期和营运期。</w:t>
      </w:r>
    </w:p>
    <w:p w14:paraId="61A0175F">
      <w:pPr>
        <w:pStyle w:val="4"/>
        <w:bidi w:val="0"/>
      </w:pPr>
      <w:r>
        <w:t>1.7.2 评价技术路线</w:t>
      </w:r>
    </w:p>
    <w:p w14:paraId="3D5D8CA1">
      <w:pPr>
        <w:bidi w:val="0"/>
      </w:pPr>
      <w:r>
        <w:t>本项目评价技术路线见图1</w:t>
      </w:r>
      <w:r>
        <w:rPr>
          <w:rFonts w:hint="eastAsia"/>
          <w:lang w:val="en-US" w:eastAsia="zh-CN"/>
        </w:rPr>
        <w:t>.</w:t>
      </w:r>
      <w:r>
        <w:t>7-1。</w:t>
      </w:r>
    </w:p>
    <w:p w14:paraId="3E551B2E">
      <w:pPr>
        <w:pStyle w:val="31"/>
        <w:bidi w:val="0"/>
      </w:pPr>
      <w:r>
        <w:drawing>
          <wp:inline distT="0" distB="0" distL="114300" distR="114300">
            <wp:extent cx="5460365" cy="5044440"/>
            <wp:effectExtent l="0" t="0" r="6985" b="3810"/>
            <wp:docPr id="4" name="图片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69"/>
                    <pic:cNvPicPr>
                      <a:picLocks noChangeAspect="1"/>
                    </pic:cNvPicPr>
                  </pic:nvPicPr>
                  <pic:blipFill>
                    <a:blip r:embed="rId59"/>
                    <a:stretch>
                      <a:fillRect/>
                    </a:stretch>
                  </pic:blipFill>
                  <pic:spPr>
                    <a:xfrm>
                      <a:off x="0" y="0"/>
                      <a:ext cx="5460365" cy="5044440"/>
                    </a:xfrm>
                    <a:prstGeom prst="rect">
                      <a:avLst/>
                    </a:prstGeom>
                    <a:noFill/>
                    <a:ln>
                      <a:noFill/>
                    </a:ln>
                  </pic:spPr>
                </pic:pic>
              </a:graphicData>
            </a:graphic>
          </wp:inline>
        </w:drawing>
      </w:r>
    </w:p>
    <w:p w14:paraId="602EA2E5">
      <w:pPr>
        <w:pStyle w:val="30"/>
        <w:bidi w:val="0"/>
      </w:pPr>
      <w:r>
        <w:t>表1</w:t>
      </w:r>
      <w:r>
        <w:rPr>
          <w:rFonts w:hint="eastAsia"/>
          <w:lang w:val="en-US" w:eastAsia="zh-CN"/>
        </w:rPr>
        <w:t>.</w:t>
      </w:r>
      <w:r>
        <w:t>7-1  评价技术路线</w:t>
      </w:r>
    </w:p>
    <w:p w14:paraId="41428628">
      <w:pPr>
        <w:pStyle w:val="3"/>
        <w:bidi w:val="0"/>
      </w:pPr>
      <w:bookmarkStart w:id="23" w:name="_Toc31939"/>
      <w:r>
        <w:t>1.8 与相关规划的符合性分析</w:t>
      </w:r>
      <w:bookmarkEnd w:id="23"/>
    </w:p>
    <w:p w14:paraId="371C9194">
      <w:pPr>
        <w:pStyle w:val="4"/>
        <w:rPr>
          <w:rFonts w:cs="Times New Roman"/>
        </w:rPr>
      </w:pPr>
      <w:r>
        <w:rPr>
          <w:rFonts w:cs="Times New Roman"/>
        </w:rPr>
        <w:t>1.8.1 与相关法律、法规、规章及产业政策的相符性分析</w:t>
      </w:r>
    </w:p>
    <w:p w14:paraId="1FC1F7FB">
      <w:pPr>
        <w:pStyle w:val="5"/>
        <w:bidi w:val="0"/>
      </w:pPr>
      <w:r>
        <w:rPr>
          <w:rFonts w:hint="eastAsia"/>
          <w:lang w:val="en-US" w:eastAsia="zh-CN"/>
        </w:rPr>
        <w:t>1.8.1.1 与</w:t>
      </w:r>
      <w:r>
        <w:t>《中华人民共和国水法》的相符性分析</w:t>
      </w:r>
    </w:p>
    <w:p w14:paraId="59A8E484">
      <w:pPr>
        <w:bidi w:val="0"/>
        <w:rPr>
          <w:color w:val="0000FF"/>
        </w:rPr>
      </w:pPr>
      <w:r>
        <w:rPr>
          <w:color w:val="0000FF"/>
        </w:rPr>
        <w:t>（2016年7月修订）第五条明确规定：</w:t>
      </w:r>
      <w:r>
        <w:rPr>
          <w:rFonts w:hint="eastAsia"/>
          <w:color w:val="0000FF"/>
        </w:rPr>
        <w:t>“</w:t>
      </w:r>
      <w:r>
        <w:rPr>
          <w:color w:val="0000FF"/>
        </w:rPr>
        <w:t>县级以上人民政府应加强水利基础设施建设，并将其纳入本级国民经济和社会发展计划</w:t>
      </w:r>
      <w:r>
        <w:rPr>
          <w:rFonts w:hint="eastAsia"/>
          <w:color w:val="0000FF"/>
        </w:rPr>
        <w:t>”</w:t>
      </w:r>
      <w:r>
        <w:rPr>
          <w:color w:val="0000FF"/>
        </w:rPr>
        <w:t>。</w:t>
      </w:r>
    </w:p>
    <w:p w14:paraId="5AA8132D">
      <w:pPr>
        <w:bidi w:val="0"/>
      </w:pPr>
      <w:r>
        <w:rPr>
          <w:color w:val="0000FF"/>
        </w:rPr>
        <w:t>淮南市谢家集区朱集中型灌区续建配套与节水改造项目属于水利基础设施建设、改造项目，与《中华人民共和国水法》相符合。</w:t>
      </w:r>
    </w:p>
    <w:p w14:paraId="30CC883D">
      <w:pPr>
        <w:pStyle w:val="5"/>
        <w:bidi w:val="0"/>
      </w:pPr>
      <w:r>
        <w:rPr>
          <w:rFonts w:hint="eastAsia"/>
          <w:lang w:val="en-US" w:eastAsia="zh-CN"/>
        </w:rPr>
        <w:t>1.8.1.2 与</w:t>
      </w:r>
      <w:r>
        <w:t>《中华人民共和国防洪法》的相符性分析</w:t>
      </w:r>
    </w:p>
    <w:p w14:paraId="2EBB0130">
      <w:pPr>
        <w:ind w:firstLine="482"/>
        <w:rPr>
          <w:rFonts w:cs="Times New Roman"/>
          <w:color w:val="0000FF"/>
        </w:rPr>
      </w:pPr>
      <w:r>
        <w:rPr>
          <w:rFonts w:cs="Times New Roman"/>
        </w:rPr>
        <w:t>（2016年7月修正）第十四条明确规定：</w:t>
      </w:r>
      <w:r>
        <w:rPr>
          <w:rFonts w:hint="eastAsia" w:cs="Times New Roman"/>
        </w:rPr>
        <w:t>“</w:t>
      </w:r>
      <w:r>
        <w:rPr>
          <w:rFonts w:cs="Times New Roman"/>
        </w:rPr>
        <w:t>平原、洼地、水网圩区、山谷、盆地等易涝地区的有关地方人民政府，应当制定除涝治涝规划，组织有关部门、单位采取相应的治理措施，完善排水系统，发展耐涝农作物种类和品种，开展洪涝、干旱、盐碱综合治理。</w:t>
      </w:r>
      <w:r>
        <w:rPr>
          <w:rFonts w:hint="eastAsia" w:cs="Times New Roman"/>
        </w:rPr>
        <w:t>”</w:t>
      </w:r>
      <w:r>
        <w:rPr>
          <w:rFonts w:cs="Times New Roman"/>
          <w:color w:val="0000FF"/>
        </w:rPr>
        <w:t>项目汲东干渠姚李支渠和寿县淠东干渠属于淮河冲积平原，本工程建设有利于提高项目所在区域的防洪能力，故与《中华人民共和国防洪法》相符合。</w:t>
      </w:r>
    </w:p>
    <w:p w14:paraId="619B1458">
      <w:pPr>
        <w:pStyle w:val="5"/>
        <w:bidi w:val="0"/>
      </w:pPr>
      <w:r>
        <w:rPr>
          <w:rFonts w:hint="eastAsia"/>
          <w:lang w:val="en-US" w:eastAsia="zh-CN"/>
        </w:rPr>
        <w:t xml:space="preserve">1.8.1.3 </w:t>
      </w:r>
      <w:r>
        <w:t>产业政策</w:t>
      </w:r>
    </w:p>
    <w:p w14:paraId="6EF50BE3">
      <w:pPr>
        <w:ind w:firstLine="482"/>
        <w:rPr>
          <w:rFonts w:cs="Times New Roman"/>
          <w:color w:val="0000FF"/>
        </w:rPr>
      </w:pPr>
      <w:r>
        <w:rPr>
          <w:rFonts w:cs="Times New Roman"/>
        </w:rPr>
        <w:t>本项目属于《产业结构调整指导目录》（20</w:t>
      </w:r>
      <w:r>
        <w:rPr>
          <w:rFonts w:hint="eastAsia" w:cs="Times New Roman"/>
        </w:rPr>
        <w:t>24</w:t>
      </w:r>
      <w:r>
        <w:rPr>
          <w:rFonts w:cs="Times New Roman"/>
        </w:rPr>
        <w:t>年本）中</w:t>
      </w:r>
      <w:r>
        <w:rPr>
          <w:rFonts w:hint="eastAsia" w:cs="Times New Roman"/>
        </w:rPr>
        <w:t>“</w:t>
      </w:r>
      <w:r>
        <w:rPr>
          <w:rFonts w:cs="Times New Roman"/>
        </w:rPr>
        <w:t>鼓励类 二、水利—</w:t>
      </w:r>
      <w:r>
        <w:rPr>
          <w:rFonts w:hint="eastAsia" w:cs="Times New Roman"/>
        </w:rPr>
        <w:t>2</w:t>
      </w:r>
      <w:r>
        <w:rPr>
          <w:rFonts w:cs="Times New Roman"/>
        </w:rPr>
        <w:t>、</w:t>
      </w:r>
      <w:r>
        <w:rPr>
          <w:rFonts w:hint="eastAsia" w:cs="Times New Roman"/>
        </w:rPr>
        <w:t>节水供水工程”</w:t>
      </w:r>
      <w:r>
        <w:rPr>
          <w:rFonts w:cs="Times New Roman"/>
        </w:rPr>
        <w:t>，本项目的建设与国家产业政策相符合。</w:t>
      </w:r>
      <w:r>
        <w:rPr>
          <w:rFonts w:hint="eastAsia" w:cs="Times New Roman"/>
        </w:rPr>
        <w:t>淮南市谢家集区</w:t>
      </w:r>
      <w:r>
        <w:rPr>
          <w:rFonts w:cs="Times New Roman"/>
        </w:rPr>
        <w:t>发展和改革委员会于202</w:t>
      </w:r>
      <w:r>
        <w:rPr>
          <w:rFonts w:hint="eastAsia" w:cs="Times New Roman"/>
        </w:rPr>
        <w:t>3</w:t>
      </w:r>
      <w:r>
        <w:rPr>
          <w:rFonts w:cs="Times New Roman"/>
        </w:rPr>
        <w:t>年</w:t>
      </w:r>
      <w:r>
        <w:rPr>
          <w:rFonts w:hint="eastAsia" w:cs="Times New Roman"/>
        </w:rPr>
        <w:t>11</w:t>
      </w:r>
      <w:r>
        <w:rPr>
          <w:rFonts w:cs="Times New Roman"/>
        </w:rPr>
        <w:t>月</w:t>
      </w:r>
      <w:r>
        <w:rPr>
          <w:rFonts w:hint="eastAsia" w:cs="Times New Roman"/>
        </w:rPr>
        <w:t>10</w:t>
      </w:r>
      <w:r>
        <w:rPr>
          <w:rFonts w:cs="Times New Roman"/>
        </w:rPr>
        <w:t>日以</w:t>
      </w:r>
      <w:r>
        <w:rPr>
          <w:rFonts w:hint="eastAsia" w:cs="Times New Roman"/>
        </w:rPr>
        <w:t>“</w:t>
      </w:r>
      <w:r>
        <w:rPr>
          <w:rFonts w:cs="Times New Roman"/>
        </w:rPr>
        <w:t>关于</w:t>
      </w:r>
      <w:r>
        <w:rPr>
          <w:rFonts w:hint="eastAsia" w:cs="Times New Roman"/>
        </w:rPr>
        <w:t>淮南市谢家集区朱集中型灌区续建配套与节水改造项目</w:t>
      </w:r>
      <w:r>
        <w:rPr>
          <w:rFonts w:cs="Times New Roman"/>
        </w:rPr>
        <w:t>可行性研究报告的</w:t>
      </w:r>
      <w:r>
        <w:rPr>
          <w:rFonts w:hint="eastAsia" w:cs="Times New Roman"/>
        </w:rPr>
        <w:t>意见”</w:t>
      </w:r>
      <w:r>
        <w:rPr>
          <w:rFonts w:cs="Times New Roman"/>
        </w:rPr>
        <w:t>（</w:t>
      </w:r>
      <w:r>
        <w:rPr>
          <w:rFonts w:hint="eastAsia" w:cs="Times New Roman"/>
        </w:rPr>
        <w:t>谢发改</w:t>
      </w:r>
      <w:r>
        <w:rPr>
          <w:rFonts w:cs="Times New Roman"/>
        </w:rPr>
        <w:t>〔202</w:t>
      </w:r>
      <w:r>
        <w:rPr>
          <w:rFonts w:hint="eastAsia" w:cs="Times New Roman"/>
        </w:rPr>
        <w:t>3</w:t>
      </w:r>
      <w:r>
        <w:rPr>
          <w:rFonts w:cs="Times New Roman"/>
        </w:rPr>
        <w:t>〕</w:t>
      </w:r>
      <w:r>
        <w:rPr>
          <w:rFonts w:hint="eastAsia" w:cs="Times New Roman"/>
        </w:rPr>
        <w:t>11</w:t>
      </w:r>
      <w:r>
        <w:rPr>
          <w:rFonts w:cs="Times New Roman"/>
        </w:rPr>
        <w:t>0号）对项目可研报告进行批复，项目代码为2</w:t>
      </w:r>
      <w:r>
        <w:rPr>
          <w:rFonts w:hint="eastAsia" w:cs="Times New Roman"/>
        </w:rPr>
        <w:t>3</w:t>
      </w:r>
      <w:r>
        <w:rPr>
          <w:rFonts w:cs="Times New Roman"/>
        </w:rPr>
        <w:t>11-340</w:t>
      </w:r>
      <w:r>
        <w:rPr>
          <w:rFonts w:hint="eastAsia" w:cs="Times New Roman"/>
        </w:rPr>
        <w:t>404</w:t>
      </w:r>
      <w:r>
        <w:rPr>
          <w:rFonts w:cs="Times New Roman"/>
        </w:rPr>
        <w:t>-04-01-</w:t>
      </w:r>
      <w:r>
        <w:rPr>
          <w:rFonts w:hint="eastAsia" w:cs="Times New Roman"/>
        </w:rPr>
        <w:t>63960</w:t>
      </w:r>
      <w:r>
        <w:rPr>
          <w:rFonts w:cs="Times New Roman"/>
        </w:rPr>
        <w:t>9。</w:t>
      </w:r>
    </w:p>
    <w:p w14:paraId="3CED82DF">
      <w:pPr>
        <w:pStyle w:val="5"/>
        <w:bidi w:val="0"/>
      </w:pPr>
      <w:r>
        <w:t>《中华人民共和国湿地保护法》（2021.12.</w:t>
      </w:r>
      <w:r>
        <w:rPr>
          <w:rFonts w:hint="eastAsia"/>
        </w:rPr>
        <w:t>24）</w:t>
      </w:r>
      <w:r>
        <w:t>：</w:t>
      </w:r>
    </w:p>
    <w:p w14:paraId="317C8DA8">
      <w:pPr>
        <w:ind w:firstLine="482"/>
        <w:rPr>
          <w:rFonts w:cs="Times New Roman"/>
          <w:color w:val="0000FF"/>
        </w:rPr>
      </w:pPr>
      <w:r>
        <w:rPr>
          <w:rFonts w:cs="Times New Roman"/>
          <w:b/>
          <w:bCs/>
          <w:color w:val="0000FF"/>
        </w:rPr>
        <w:t xml:space="preserve">保护法—第十九条 </w:t>
      </w:r>
      <w:r>
        <w:rPr>
          <w:rFonts w:cs="Times New Roman"/>
          <w:color w:val="0000FF"/>
        </w:rPr>
        <w:t>国家严格控制占用湿地。</w:t>
      </w:r>
    </w:p>
    <w:p w14:paraId="37F4F02C">
      <w:pPr>
        <w:ind w:firstLine="482"/>
        <w:rPr>
          <w:rFonts w:cs="Times New Roman"/>
          <w:color w:val="0000FF"/>
        </w:rPr>
      </w:pPr>
      <w:r>
        <w:rPr>
          <w:rFonts w:cs="Times New Roman"/>
          <w:b/>
          <w:bCs/>
          <w:color w:val="0000FF"/>
        </w:rPr>
        <w:t>保护法—第二十八条</w:t>
      </w:r>
      <w:r>
        <w:rPr>
          <w:rFonts w:cs="Times New Roman"/>
          <w:color w:val="0000FF"/>
        </w:rPr>
        <w:t xml:space="preserve">  禁止下列破坏湿地及其生态功能的行为：</w:t>
      </w:r>
    </w:p>
    <w:p w14:paraId="565F4D59">
      <w:pPr>
        <w:numPr>
          <w:ilvl w:val="0"/>
          <w:numId w:val="1"/>
        </w:numPr>
        <w:rPr>
          <w:rFonts w:cs="Times New Roman"/>
          <w:color w:val="0000FF"/>
        </w:rPr>
      </w:pPr>
      <w:r>
        <w:rPr>
          <w:rFonts w:cs="Times New Roman"/>
          <w:color w:val="0000FF"/>
        </w:rPr>
        <w:t>开（围）垦、排干自然湿地，永久性截断自然湿地水源；</w:t>
      </w:r>
    </w:p>
    <w:p w14:paraId="2863E741">
      <w:pPr>
        <w:numPr>
          <w:ilvl w:val="0"/>
          <w:numId w:val="1"/>
        </w:numPr>
        <w:rPr>
          <w:rFonts w:cs="Times New Roman"/>
          <w:color w:val="0000FF"/>
        </w:rPr>
      </w:pPr>
      <w:r>
        <w:rPr>
          <w:rFonts w:cs="Times New Roman"/>
          <w:color w:val="0000FF"/>
        </w:rPr>
        <w:t>擅自填埋自然湿地，擅自采砂、采矿、取土；</w:t>
      </w:r>
    </w:p>
    <w:p w14:paraId="52ED781D">
      <w:pPr>
        <w:rPr>
          <w:rFonts w:cs="Times New Roman"/>
          <w:color w:val="0000FF"/>
        </w:rPr>
      </w:pPr>
      <w:r>
        <w:rPr>
          <w:rFonts w:cs="Times New Roman"/>
          <w:color w:val="0000FF"/>
        </w:rPr>
        <w:t>（3）排放不符合水污染物排放标准的工业废水、生活污水及其他污染湿地的废水、污水，倾倒、堆放、丢弃、遗撒固体废物；</w:t>
      </w:r>
    </w:p>
    <w:p w14:paraId="22DDC4AE">
      <w:pPr>
        <w:rPr>
          <w:rFonts w:cs="Times New Roman"/>
          <w:color w:val="0000FF"/>
        </w:rPr>
      </w:pPr>
      <w:r>
        <w:rPr>
          <w:rFonts w:cs="Times New Roman"/>
          <w:color w:val="0000FF"/>
        </w:rPr>
        <w:t>（4）过度放牧或者滥采野生植物，过度捕捞或者灭绝式捕捞，过度施肥、投药、投放饵料等污染湿地的种植养殖行为；</w:t>
      </w:r>
    </w:p>
    <w:p w14:paraId="49292441">
      <w:pPr>
        <w:rPr>
          <w:rFonts w:cs="Times New Roman"/>
          <w:color w:val="0000FF"/>
        </w:rPr>
      </w:pPr>
      <w:r>
        <w:rPr>
          <w:rFonts w:cs="Times New Roman"/>
          <w:color w:val="0000FF"/>
        </w:rPr>
        <w:t>（5）其他破坏湿地及其生态功能的行为。</w:t>
      </w:r>
    </w:p>
    <w:p w14:paraId="1820ED6D">
      <w:pPr>
        <w:ind w:firstLine="482"/>
        <w:rPr>
          <w:rFonts w:cs="Times New Roman"/>
          <w:color w:val="0000FF"/>
        </w:rPr>
      </w:pPr>
      <w:r>
        <w:rPr>
          <w:rFonts w:cs="Times New Roman"/>
          <w:b/>
          <w:bCs/>
          <w:color w:val="0000FF"/>
        </w:rPr>
        <w:t xml:space="preserve">保护法—第三十条 </w:t>
      </w:r>
      <w:r>
        <w:rPr>
          <w:rFonts w:cs="Times New Roman"/>
          <w:color w:val="0000FF"/>
        </w:rPr>
        <w:t xml:space="preserve"> 县级以上人民政府应当加强对国家重点保护野生动植物集中分布湿地的保护。任何单位和个人不得破坏鸟类和水生生物的生存环境。</w:t>
      </w:r>
    </w:p>
    <w:p w14:paraId="5D0694F5">
      <w:pPr>
        <w:rPr>
          <w:rFonts w:cs="Times New Roman"/>
          <w:color w:val="0000FF"/>
        </w:rPr>
      </w:pPr>
      <w:r>
        <w:rPr>
          <w:rFonts w:cs="Times New Roman"/>
          <w:color w:val="0000FF"/>
        </w:rPr>
        <w:t>禁止在以水鸟为保护对象的自然保护地及其他重要栖息地从事捕鱼、挖捕底栖生物、捡拾鸟蛋、破坏鸟巢等危及水鸟生存、繁衍的活动。开展观鸟、科学研究以及科普活动等应当保持安全距离，避免影响鸟类正常觅食和繁殖。</w:t>
      </w:r>
    </w:p>
    <w:p w14:paraId="235FD2BC">
      <w:pPr>
        <w:ind w:firstLine="482"/>
        <w:rPr>
          <w:rFonts w:cs="Times New Roman"/>
          <w:color w:val="0000FF"/>
        </w:rPr>
      </w:pPr>
      <w:r>
        <w:rPr>
          <w:rFonts w:cs="Times New Roman"/>
          <w:b/>
          <w:bCs/>
          <w:color w:val="0000FF"/>
        </w:rPr>
        <w:t>管理办法—第八条</w:t>
      </w:r>
      <w:r>
        <w:rPr>
          <w:rFonts w:cs="Times New Roman"/>
          <w:color w:val="0000FF"/>
        </w:rPr>
        <w:t xml:space="preserve"> 湿地公园实行分区管理，分为保育区、恢复重建区以及合理利用区。湿地保育区内除保护、监测科学研究等必要的保护管理活动外，不得进行任何与湿地生态系统保护和管理无关的活动。恢复重建区应当开展培育和恢复湿地的相关活动。合理利用区应当开展以生态展示、科普教育为主的宣教活动，可开展不损害湿地生态系统功能的生态体验及管理服务等活动。</w:t>
      </w:r>
    </w:p>
    <w:p w14:paraId="59C525B9">
      <w:pPr>
        <w:ind w:firstLine="482"/>
        <w:rPr>
          <w:rFonts w:cs="Times New Roman"/>
          <w:color w:val="0000FF"/>
        </w:rPr>
      </w:pPr>
      <w:r>
        <w:rPr>
          <w:rFonts w:cs="Times New Roman"/>
          <w:b/>
          <w:bCs/>
          <w:color w:val="0000FF"/>
        </w:rPr>
        <w:t>管理办法—第十条</w:t>
      </w:r>
      <w:r>
        <w:rPr>
          <w:rFonts w:cs="Times New Roman"/>
          <w:color w:val="0000FF"/>
        </w:rPr>
        <w:t xml:space="preserve"> 禁止擅自占用、征用湿地公园土地。确需占用、征用的，用地单位或个人应事先向湿地公园管理机构提出书面申请并按照相关规定在建设项目可行性研究阶段编制完成生态环境影响专题报告，并经省级林业主管部门同意后，方可依法办理相关手续。</w:t>
      </w:r>
    </w:p>
    <w:p w14:paraId="243DFE4B">
      <w:pPr>
        <w:rPr>
          <w:rFonts w:cs="Times New Roman"/>
          <w:color w:val="0000FF"/>
        </w:rPr>
      </w:pPr>
      <w:r>
        <w:rPr>
          <w:rFonts w:cs="Times New Roman"/>
          <w:color w:val="0000FF"/>
        </w:rPr>
        <w:t>第十一条 除国家另有规定外，国家湿地公园内禁止以下行为：</w:t>
      </w:r>
    </w:p>
    <w:p w14:paraId="0CC7261A">
      <w:pPr>
        <w:rPr>
          <w:rFonts w:cs="Times New Roman"/>
          <w:color w:val="0000FF"/>
        </w:rPr>
      </w:pPr>
      <w:r>
        <w:rPr>
          <w:rFonts w:cs="Times New Roman"/>
          <w:color w:val="0000FF"/>
        </w:rPr>
        <w:t>（一）开（围）垦、填埋或者排干湿地；</w:t>
      </w:r>
    </w:p>
    <w:p w14:paraId="181E694A">
      <w:pPr>
        <w:rPr>
          <w:rFonts w:cs="Times New Roman"/>
          <w:color w:val="0000FF"/>
        </w:rPr>
      </w:pPr>
      <w:r>
        <w:rPr>
          <w:rFonts w:cs="Times New Roman"/>
          <w:color w:val="0000FF"/>
        </w:rPr>
        <w:t>（二）截断湿地水源；</w:t>
      </w:r>
    </w:p>
    <w:p w14:paraId="6341A50D">
      <w:pPr>
        <w:rPr>
          <w:rFonts w:cs="Times New Roman"/>
          <w:color w:val="0000FF"/>
        </w:rPr>
      </w:pPr>
      <w:r>
        <w:rPr>
          <w:rFonts w:cs="Times New Roman"/>
          <w:color w:val="0000FF"/>
        </w:rPr>
        <w:t>（三）挖沙、采矿；</w:t>
      </w:r>
    </w:p>
    <w:p w14:paraId="52E1E971">
      <w:pPr>
        <w:rPr>
          <w:rFonts w:cs="Times New Roman"/>
          <w:color w:val="0000FF"/>
        </w:rPr>
      </w:pPr>
      <w:r>
        <w:rPr>
          <w:rFonts w:cs="Times New Roman"/>
          <w:color w:val="0000FF"/>
        </w:rPr>
        <w:t>（四）倾倒有毒有害物质、废弃物、垃圾；</w:t>
      </w:r>
    </w:p>
    <w:p w14:paraId="38490848">
      <w:pPr>
        <w:rPr>
          <w:rFonts w:cs="Times New Roman"/>
          <w:color w:val="0000FF"/>
        </w:rPr>
      </w:pPr>
      <w:r>
        <w:rPr>
          <w:rFonts w:cs="Times New Roman"/>
          <w:color w:val="0000FF"/>
        </w:rPr>
        <w:t>（五）擅自建造建筑物、构筑物，从事房地产、度假村、高尔夫球场、风力发电、光伏发电等任何不符合主体功能定位的建设项目和开发活动；</w:t>
      </w:r>
    </w:p>
    <w:p w14:paraId="5401821C">
      <w:pPr>
        <w:rPr>
          <w:rFonts w:cs="Times New Roman"/>
          <w:color w:val="0000FF"/>
        </w:rPr>
      </w:pPr>
      <w:r>
        <w:rPr>
          <w:rFonts w:cs="Times New Roman"/>
          <w:color w:val="0000FF"/>
        </w:rPr>
        <w:t>（六）破坏野生动物栖息地和迁徙通道、鱼类洄游通道，滥采滥捕野生动植物；</w:t>
      </w:r>
    </w:p>
    <w:p w14:paraId="75E000FE">
      <w:pPr>
        <w:rPr>
          <w:rFonts w:cs="Times New Roman"/>
          <w:color w:val="0000FF"/>
        </w:rPr>
      </w:pPr>
      <w:r>
        <w:rPr>
          <w:rFonts w:cs="Times New Roman"/>
          <w:color w:val="0000FF"/>
        </w:rPr>
        <w:t>（七）毒杀、电杀或者擅自猎捕水鸟及其他野生动物，捡拾、收售动物卵，或者采用灭绝性方式捕捞鱼类以及其他水生生物；</w:t>
      </w:r>
    </w:p>
    <w:p w14:paraId="0F4230D2">
      <w:pPr>
        <w:rPr>
          <w:rFonts w:cs="Times New Roman"/>
          <w:color w:val="0000FF"/>
        </w:rPr>
      </w:pPr>
      <w:r>
        <w:rPr>
          <w:rFonts w:cs="Times New Roman"/>
          <w:color w:val="0000FF"/>
        </w:rPr>
        <w:t>（八）引入外来物种；</w:t>
      </w:r>
    </w:p>
    <w:p w14:paraId="5D3A6AB5">
      <w:pPr>
        <w:rPr>
          <w:rFonts w:cs="Times New Roman"/>
          <w:color w:val="0000FF"/>
        </w:rPr>
      </w:pPr>
      <w:r>
        <w:rPr>
          <w:rFonts w:cs="Times New Roman"/>
          <w:color w:val="0000FF"/>
        </w:rPr>
        <w:t>（九）擅自放牧、捕捞、取土、取水、烧荒、排污、放生；</w:t>
      </w:r>
    </w:p>
    <w:p w14:paraId="146DE922">
      <w:pPr>
        <w:rPr>
          <w:rFonts w:cs="Times New Roman"/>
          <w:color w:val="0000FF"/>
        </w:rPr>
      </w:pPr>
      <w:r>
        <w:rPr>
          <w:rFonts w:cs="Times New Roman"/>
          <w:color w:val="0000FF"/>
        </w:rPr>
        <w:t>（十）其他破坏湿地及其生态功能的活动</w:t>
      </w:r>
    </w:p>
    <w:p w14:paraId="16F788D7">
      <w:pPr>
        <w:rPr>
          <w:rFonts w:cs="Times New Roman"/>
          <w:color w:val="0000FF"/>
        </w:rPr>
      </w:pPr>
      <w:r>
        <w:rPr>
          <w:rFonts w:cs="Times New Roman"/>
          <w:color w:val="0000FF"/>
        </w:rPr>
        <w:t>经叠图分析，淠河总干渠上段改造工程不占用，距离最近距离约</w:t>
      </w:r>
      <w:r>
        <w:rPr>
          <w:rFonts w:hint="eastAsia" w:cs="Times New Roman"/>
          <w:color w:val="0000FF"/>
        </w:rPr>
        <w:t>73</w:t>
      </w:r>
      <w:r>
        <w:rPr>
          <w:rFonts w:cs="Times New Roman"/>
          <w:color w:val="0000FF"/>
        </w:rPr>
        <w:t>m。淠河总干渠及横排口进水闸已运行多年，区内已形成稳定的生态功能和动植物生境，本次工程对横排口进水闸出口翼墙和渠道进行修复，有利于保证内的功能的安全，工程在例行停水期施工，施工期间不在湿地公园布置临时工程，不在湿地公园内进行采砂、弃、排放超标废水及其他污染物等，对无影响，符合《中华人民共和国湿地保护法》。</w:t>
      </w:r>
    </w:p>
    <w:p w14:paraId="77263B6B">
      <w:pPr>
        <w:pStyle w:val="4"/>
        <w:bidi w:val="0"/>
      </w:pPr>
      <w:r>
        <w:t>1.8.2 与相关功能区划的相符性分析</w:t>
      </w:r>
    </w:p>
    <w:p w14:paraId="76CEE870">
      <w:pPr>
        <w:pStyle w:val="5"/>
        <w:bidi w:val="0"/>
      </w:pPr>
      <w:r>
        <w:rPr>
          <w:rFonts w:hint="eastAsia"/>
          <w:lang w:val="en-US" w:eastAsia="zh-CN"/>
        </w:rPr>
        <w:t xml:space="preserve">1.8.2.1 </w:t>
      </w:r>
      <w:r>
        <w:t>与《安徽省主体功能区划》协调性分析</w:t>
      </w:r>
    </w:p>
    <w:p w14:paraId="0B5B9037">
      <w:pPr>
        <w:ind w:firstLine="480"/>
        <w:rPr>
          <w:rFonts w:cs="Times New Roman"/>
          <w:color w:val="0000FF"/>
        </w:rPr>
      </w:pPr>
      <w:r>
        <w:rPr>
          <w:rFonts w:cs="Times New Roman"/>
          <w:color w:val="0000FF"/>
        </w:rPr>
        <w:t>安徽省人民政府以皖政〔2013〕82号文件《关于印发安徽省主体功能区规划的通知》印发了《安徽省主体功能区划》。该规划根据安徽省国土空间综合评价，基于不同区域的资源环境承载能力、现有开发强度和未来发展潜力，统筹考虑国家和安徽经济发展战略布局，以是否适宜大规模高强度工业化城镇化开发为基准，将安徽省国土空间划分为三类主体功能区，即重点开发区域、限制开发区域和禁止开发区域。对照规划附表，本项目不涉及其中的禁止开发区。</w:t>
      </w:r>
    </w:p>
    <w:p w14:paraId="73A58540">
      <w:pPr>
        <w:ind w:firstLine="482"/>
        <w:rPr>
          <w:rFonts w:cs="Times New Roman"/>
          <w:b/>
          <w:color w:val="0000FF"/>
        </w:rPr>
      </w:pPr>
      <w:r>
        <w:rPr>
          <w:rFonts w:cs="Times New Roman"/>
          <w:b/>
          <w:color w:val="0000FF"/>
        </w:rPr>
        <w:t>与《安徽省生态功能区划》协调性分析</w:t>
      </w:r>
    </w:p>
    <w:p w14:paraId="3EA6B77D">
      <w:pPr>
        <w:ind w:firstLine="482"/>
        <w:rPr>
          <w:rFonts w:cs="Times New Roman"/>
          <w:color w:val="0000FF"/>
        </w:rPr>
      </w:pPr>
      <w:r>
        <w:rPr>
          <w:rFonts w:hint="eastAsia" w:cs="Times New Roman"/>
          <w:color w:val="0000FF"/>
        </w:rPr>
        <w:t>项目所在功能区划情况详见“1.5.1”小节，</w:t>
      </w:r>
      <w:r>
        <w:rPr>
          <w:rFonts w:cs="Times New Roman"/>
          <w:color w:val="0000FF"/>
        </w:rPr>
        <w:t>本次工程的建设，有助于完善区域灌溉体系、改善保水蓄水条件，进一步发展农业产业。因此本工程与《安徽省生态功能区划》的要求一致。</w:t>
      </w:r>
    </w:p>
    <w:p w14:paraId="674599EC">
      <w:pPr>
        <w:ind w:firstLine="482"/>
        <w:rPr>
          <w:rFonts w:cs="Times New Roman"/>
          <w:b/>
          <w:bCs/>
          <w:color w:val="0000FF"/>
        </w:rPr>
      </w:pPr>
      <w:r>
        <w:rPr>
          <w:rFonts w:cs="Times New Roman"/>
          <w:b/>
          <w:bCs/>
          <w:color w:val="0000FF"/>
        </w:rPr>
        <w:t>与《安徽省水环境功能区划》协调性分析</w:t>
      </w:r>
    </w:p>
    <w:p w14:paraId="61175AD4">
      <w:pPr>
        <w:ind w:firstLine="482"/>
        <w:rPr>
          <w:rFonts w:cs="Times New Roman"/>
          <w:color w:val="0000FF"/>
        </w:rPr>
      </w:pPr>
      <w:r>
        <w:rPr>
          <w:rFonts w:cs="Times New Roman"/>
          <w:color w:val="0000FF"/>
        </w:rPr>
        <w:t>根据国家批准的淮河流域水污染防治规划、巢湖流域水污染防治规划和安徽省有关水污染防治规划的目标要求，分别确定其水质目标，最低要求为：淮河干流水质管理目标为II类；淮河流域其他主要河流水质管理目标为</w:t>
      </w:r>
      <w:r>
        <w:rPr>
          <w:rFonts w:hint="eastAsia" w:cs="Times New Roman"/>
          <w:color w:val="0000FF"/>
        </w:rPr>
        <w:t>Ⅳ类</w:t>
      </w:r>
      <w:r>
        <w:rPr>
          <w:rFonts w:cs="Times New Roman"/>
          <w:color w:val="0000FF"/>
        </w:rPr>
        <w:t>（涉及</w:t>
      </w:r>
      <w:r>
        <w:rPr>
          <w:rFonts w:hint="eastAsia" w:cs="Times New Roman"/>
          <w:color w:val="0000FF"/>
        </w:rPr>
        <w:t>“</w:t>
      </w:r>
      <w:r>
        <w:rPr>
          <w:rFonts w:cs="Times New Roman"/>
          <w:color w:val="0000FF"/>
        </w:rPr>
        <w:t>南水北调</w:t>
      </w:r>
      <w:r>
        <w:rPr>
          <w:rFonts w:hint="eastAsia" w:cs="Times New Roman"/>
          <w:color w:val="0000FF"/>
        </w:rPr>
        <w:t>”</w:t>
      </w:r>
      <w:r>
        <w:rPr>
          <w:rFonts w:cs="Times New Roman"/>
          <w:color w:val="0000FF"/>
        </w:rPr>
        <w:t>汇水范围的河流为I类）；长江干流水质管理目标为Ⅱ类；长江流域其他主要河流水质管理目标为</w:t>
      </w:r>
      <w:r>
        <w:rPr>
          <w:rFonts w:hint="eastAsia" w:cs="Times New Roman"/>
          <w:color w:val="0000FF"/>
        </w:rPr>
        <w:t>Ⅳ类</w:t>
      </w:r>
      <w:r>
        <w:rPr>
          <w:rFonts w:cs="Times New Roman"/>
          <w:color w:val="0000FF"/>
        </w:rPr>
        <w:t>；巢湖湖区水质管理目标为Ⅱ类。</w:t>
      </w:r>
    </w:p>
    <w:p w14:paraId="42A5C700">
      <w:pPr>
        <w:ind w:firstLine="480"/>
        <w:rPr>
          <w:rFonts w:cs="Times New Roman"/>
          <w:b/>
          <w:bCs/>
          <w:color w:val="0000FF"/>
        </w:rPr>
      </w:pPr>
      <w:r>
        <w:rPr>
          <w:rFonts w:cs="Times New Roman"/>
          <w:color w:val="0000FF"/>
        </w:rPr>
        <w:t>工程主要涉及淠河灌区、史河灌区和杭埠河灌区，淠河和史河灌区属于淮河流域，杭埠河灌区属于长江流域，目前渠道现状满足Ⅲ类水质标准，符合《安徽省水环境功能区划》要求。</w:t>
      </w:r>
    </w:p>
    <w:p w14:paraId="48D56CEA">
      <w:pPr>
        <w:ind w:firstLine="482"/>
        <w:rPr>
          <w:rFonts w:cs="Times New Roman"/>
          <w:b/>
          <w:bCs/>
          <w:color w:val="0000FF"/>
        </w:rPr>
      </w:pPr>
      <w:r>
        <w:rPr>
          <w:rFonts w:cs="Times New Roman"/>
          <w:b/>
          <w:bCs/>
          <w:color w:val="0000FF"/>
        </w:rPr>
        <w:t>与《安徽省水功能区划》协调性分析</w:t>
      </w:r>
    </w:p>
    <w:p w14:paraId="4931C643">
      <w:pPr>
        <w:ind w:firstLine="482"/>
        <w:rPr>
          <w:rFonts w:cs="Times New Roman"/>
          <w:color w:val="0000FF"/>
        </w:rPr>
      </w:pPr>
      <w:r>
        <w:rPr>
          <w:rFonts w:cs="Times New Roman"/>
          <w:color w:val="0000FF"/>
        </w:rPr>
        <w:t>根据《安徽省水功能区划》，项目史河灌区和淠河灌区属于淮河支流，是淮河流域水功能一级区划，杭埠河灌区属于巢湖水系，是长江流域水功能一级区划。</w:t>
      </w:r>
    </w:p>
    <w:p w14:paraId="1AE88FB8">
      <w:pPr>
        <w:ind w:firstLine="480" w:firstLineChars="200"/>
        <w:rPr>
          <w:rFonts w:cs="Times New Roman"/>
          <w:color w:val="0000FF"/>
        </w:rPr>
      </w:pPr>
      <w:r>
        <w:rPr>
          <w:rFonts w:cs="Times New Roman"/>
          <w:color w:val="0000FF"/>
        </w:rPr>
        <w:t>目前渠道现状基本满足Ⅲ类水质标准；本项目实施后，有利于区域河道水质的改善，与《安徽省水功能区划》的要求不冲突。</w:t>
      </w:r>
    </w:p>
    <w:p w14:paraId="600C9A86">
      <w:pPr>
        <w:pStyle w:val="4"/>
        <w:bidi w:val="0"/>
      </w:pPr>
      <w:r>
        <w:t>1.8.3 与流域相关规划的相符性分析</w:t>
      </w:r>
    </w:p>
    <w:p w14:paraId="608D0092">
      <w:pPr>
        <w:pStyle w:val="5"/>
        <w:bidi w:val="0"/>
      </w:pPr>
      <w:r>
        <w:rPr>
          <w:rFonts w:hint="eastAsia"/>
          <w:lang w:val="en-US" w:eastAsia="zh-CN"/>
        </w:rPr>
        <w:t xml:space="preserve">1.8.3.1 </w:t>
      </w:r>
      <w:r>
        <w:t>与《淮河生态经济带发展规划》（2018年）符合性分析</w:t>
      </w:r>
    </w:p>
    <w:p w14:paraId="1C490BCD">
      <w:pPr>
        <w:bidi w:val="0"/>
        <w:rPr>
          <w:rFonts w:hint="eastAsia"/>
        </w:rPr>
      </w:pPr>
      <w:r>
        <w:t>《淮河生态经济带发展规划》中</w:t>
      </w:r>
      <w:r>
        <w:rPr>
          <w:rFonts w:hint="eastAsia"/>
        </w:rPr>
        <w:t>“</w:t>
      </w:r>
      <w:r>
        <w:t>第三节 提升农业发展质量，进一步夯实农业生产能力基础，深入实施藏粮于地、藏粮于技战略，严守耕地红线，提高国家粮食安全保障能力。依托粮食生产核心区，完善农田灌排体系，推进中低产田和低丘岗地改造，加快高标准农田建设，打造一批粮食生产能力超10亿斤的粮食生产大县，因地制宜建设区域性粮食良种繁育基地。</w:t>
      </w:r>
      <w:r>
        <w:rPr>
          <w:b/>
          <w:bCs/>
          <w:color w:val="auto"/>
        </w:rPr>
        <w:t>加快实施大中型灌区续建配套和现代化改造，发展规模化高效节水灌溉。</w:t>
      </w:r>
      <w:r>
        <w:t>全面落实永久基本农田特殊保护制度，着力加强粮食生产功能区和重要农产品生产保护区建设，确保稻谷、小麦等口粮种植面积基本稳定。完善粮食主产区利益补偿机制，巩固国家商品粮生产基地地位，提高粮食生产效益。深化粮食收储制度改革，让收储价格更好反映市场需求，支持轮作休耕制度试点。加快农田防护林体系建设，构建高标准粮田生态屏障。适度恢复和发展棉花等经济作物种植。实施明清黄河故道及沿线的深度整治和综合开发。</w:t>
      </w:r>
      <w:r>
        <w:rPr>
          <w:rFonts w:hint="eastAsia"/>
        </w:rPr>
        <w:t>”</w:t>
      </w:r>
    </w:p>
    <w:p w14:paraId="5F5FD566">
      <w:pPr>
        <w:bidi w:val="0"/>
      </w:pPr>
      <w:r>
        <w:rPr>
          <w:rFonts w:hint="eastAsia"/>
        </w:rPr>
        <w:t>淮南市谢家集区朱集中型灌区续建配套与节水改造项目</w:t>
      </w:r>
      <w:r>
        <w:t>项目属于中型灌区续建配套和现代化改造项目，符合《淮河生态经济带发展规划》</w:t>
      </w:r>
      <w:r>
        <w:rPr>
          <w:rFonts w:hint="eastAsia"/>
          <w:lang w:val="en-US" w:eastAsia="zh-CN"/>
        </w:rPr>
        <w:t>要求</w:t>
      </w:r>
      <w:r>
        <w:t>。</w:t>
      </w:r>
    </w:p>
    <w:p w14:paraId="293173C8">
      <w:pPr>
        <w:pStyle w:val="5"/>
        <w:bidi w:val="0"/>
      </w:pPr>
      <w:r>
        <w:rPr>
          <w:rFonts w:hint="eastAsia"/>
          <w:lang w:val="en-US" w:eastAsia="zh-CN"/>
        </w:rPr>
        <w:t xml:space="preserve">1.8.3.2 </w:t>
      </w:r>
      <w:r>
        <w:t>与《淮河流域综合规划》（2012-2030年）符合性分析</w:t>
      </w:r>
    </w:p>
    <w:p w14:paraId="181CE83C">
      <w:pPr>
        <w:bidi w:val="0"/>
      </w:pPr>
      <w:r>
        <w:rPr>
          <w:rFonts w:hint="eastAsia"/>
          <w:lang w:eastAsia="zh-CN"/>
        </w:rPr>
        <w:t>（</w:t>
      </w:r>
      <w:r>
        <w:rPr>
          <w:rFonts w:hint="eastAsia"/>
          <w:lang w:val="en-US" w:eastAsia="zh-CN"/>
        </w:rPr>
        <w:t>1</w:t>
      </w:r>
      <w:r>
        <w:rPr>
          <w:rFonts w:hint="eastAsia"/>
          <w:lang w:eastAsia="zh-CN"/>
        </w:rPr>
        <w:t>）</w:t>
      </w:r>
      <w:r>
        <w:rPr>
          <w:rFonts w:hint="eastAsia"/>
        </w:rPr>
        <w:t>《国务院关于淮河流域综合规划（2012-2030年）的批复》（国函〔2013〕35号）</w:t>
      </w:r>
      <w:r>
        <w:t>批复内容</w:t>
      </w:r>
      <w:r>
        <w:rPr>
          <w:rFonts w:hint="eastAsia"/>
        </w:rPr>
        <w:t>“</w:t>
      </w:r>
      <w:r>
        <w:t>五、合理配置和高效利用水资源。加快开展南水北调东、中线后续工程论证工作，推进引江济淮、苏北引江工程等跨流域调水工程建设，完善淮河流域水资源优化配置格局。</w:t>
      </w:r>
      <w:r>
        <w:rPr>
          <w:b/>
          <w:bCs/>
        </w:rPr>
        <w:t>加快大中型灌区续建配套与节水改造，在水土资源条件具备的地区适度扩大灌溉面积，改善农业灌排条件。</w:t>
      </w:r>
      <w:r>
        <w:t>全面解决农村饮水安全问题。加强内河航道建设，完善港口布局。</w:t>
      </w:r>
      <w:r>
        <w:rPr>
          <w:rFonts w:hint="eastAsia"/>
        </w:rPr>
        <w:t>”</w:t>
      </w:r>
    </w:p>
    <w:p w14:paraId="5F9E9158">
      <w:pPr>
        <w:bidi w:val="0"/>
      </w:pPr>
      <w:r>
        <w:rPr>
          <w:rFonts w:hint="eastAsia"/>
        </w:rPr>
        <w:t>淮南市谢家集区朱集中型灌区续建配套与节水改造项目</w:t>
      </w:r>
      <w:r>
        <w:t>属于</w:t>
      </w:r>
      <w:r>
        <w:rPr>
          <w:rFonts w:hint="eastAsia"/>
        </w:rPr>
        <w:t>“</w:t>
      </w:r>
      <w:r>
        <w:t>中型灌区续建配套与节水改造</w:t>
      </w:r>
      <w:r>
        <w:rPr>
          <w:rFonts w:hint="eastAsia"/>
        </w:rPr>
        <w:t>”</w:t>
      </w:r>
      <w:r>
        <w:t>，符合《国务院关于淮河流域综合规划（2012-2030年）的批复》中的要求。</w:t>
      </w:r>
    </w:p>
    <w:p w14:paraId="617AB3B2">
      <w:pPr>
        <w:bidi w:val="0"/>
      </w:pPr>
      <w:r>
        <w:rPr>
          <w:rFonts w:hint="eastAsia"/>
          <w:lang w:eastAsia="zh-CN"/>
        </w:rPr>
        <w:t>（</w:t>
      </w:r>
      <w:r>
        <w:rPr>
          <w:rFonts w:hint="eastAsia"/>
          <w:lang w:val="en-US" w:eastAsia="zh-CN"/>
        </w:rPr>
        <w:t>2</w:t>
      </w:r>
      <w:r>
        <w:rPr>
          <w:rFonts w:hint="eastAsia"/>
          <w:lang w:eastAsia="zh-CN"/>
        </w:rPr>
        <w:t>）</w:t>
      </w:r>
      <w:r>
        <w:t>与《淮河流域综合规划》（2012-2030年）环保篇章符合性分析。</w:t>
      </w:r>
    </w:p>
    <w:p w14:paraId="28048EF8">
      <w:pPr>
        <w:bidi w:val="0"/>
      </w:pPr>
      <w:r>
        <w:t>根据《淮河流域综合规划》（2012-2030年）环保篇章要求，其主要要求如下：</w:t>
      </w:r>
    </w:p>
    <w:p w14:paraId="32B819AF">
      <w:pPr>
        <w:bidi w:val="0"/>
      </w:pPr>
      <w:r>
        <w:t>（一）严格执行建设项目的环境影响评价审批制度</w:t>
      </w:r>
    </w:p>
    <w:p w14:paraId="7D51C1E9">
      <w:pPr>
        <w:bidi w:val="0"/>
      </w:pPr>
      <w:r>
        <w:t>淮河流域综合规划的具体建设项目，在可行性研究阶段必须严格按照《中华人民共和国环境影响评价法》和《建设项目环境保护管理条例》的规定，进行各单个项目建设的环境影响评价，提出切实可行的环境保护措施，将项目实施产生的不利影响减小到最低程度。</w:t>
      </w:r>
    </w:p>
    <w:p w14:paraId="58571EF4">
      <w:pPr>
        <w:bidi w:val="0"/>
      </w:pPr>
      <w:r>
        <w:t>（二）项目环评中应重点注意的问题</w:t>
      </w:r>
    </w:p>
    <w:p w14:paraId="49B4394D">
      <w:pPr>
        <w:bidi w:val="0"/>
      </w:pPr>
      <w:r>
        <w:t>淮河流域综合规划涉及流域防洪除涝、水资源开发利用、水资源保护、水土保持等，拟建项目多，由于规划环评很难界定其对敏感环境保护目标的具体影响，环境保护目标可能会随着时间变化，因此在项目可研阶段的环境影响评价工作中，要按照有关法律法规，做好对主要敏感环境保护目标的影响评价，保护好饮用水水源保护区、基本农田保护区、自然保护区、水产种质资源保护区等需要特殊保护的地区。</w:t>
      </w:r>
    </w:p>
    <w:p w14:paraId="2A485C59">
      <w:pPr>
        <w:bidi w:val="0"/>
      </w:pPr>
      <w:r>
        <w:t>流域综合规划涉及多部门和多行业，影响范围广，规划的实施对流域经济、社会和环境有着重大影响，在单项工程环评工作中，要认真调查影响范围内的珍稀动植物的现状情况，采取针对性措施，</w:t>
      </w:r>
      <w:r>
        <w:rPr>
          <w:rFonts w:hint="eastAsia"/>
        </w:rPr>
        <w:t>切实</w:t>
      </w:r>
      <w:r>
        <w:t>保护好珍稀动植物，保护生物多样性。规划实施过程中，适时开展环境影响跟踪评价工作。</w:t>
      </w:r>
    </w:p>
    <w:p w14:paraId="7A5A4BAE">
      <w:pPr>
        <w:bidi w:val="0"/>
      </w:pPr>
      <w:r>
        <w:t>本项目在严格落实规划环评篇章中提出的严格执行建设项目的环境影响评价审批制度，符合《淮河流域综合规划》（2012-2030年）环保篇章内的相关要求。</w:t>
      </w:r>
    </w:p>
    <w:p w14:paraId="2B35122B">
      <w:pPr>
        <w:pStyle w:val="5"/>
        <w:bidi w:val="0"/>
      </w:pPr>
      <w:r>
        <w:rPr>
          <w:rFonts w:hint="eastAsia"/>
          <w:lang w:val="en-US" w:eastAsia="zh-CN"/>
        </w:rPr>
        <w:t xml:space="preserve">1.8.3.3 </w:t>
      </w:r>
      <w:r>
        <w:t>与《淮河流域水污染防治暂行条例》符合性分析</w:t>
      </w:r>
    </w:p>
    <w:p w14:paraId="15A1726D">
      <w:pPr>
        <w:bidi w:val="0"/>
      </w:pPr>
      <w:r>
        <w:t>第二十一条 在淮河流域河流、湖泊、水库、渠道等管理范围内设置或者扩大排污口的，必须依法报经水行政主管部门同意。</w:t>
      </w:r>
    </w:p>
    <w:p w14:paraId="4FF29C45">
      <w:pPr>
        <w:bidi w:val="0"/>
      </w:pPr>
      <w:r>
        <w:t>第二十二条 禁止在淮河流域新建化学制浆造纸企业。</w:t>
      </w:r>
    </w:p>
    <w:p w14:paraId="1FB3FFB8">
      <w:pPr>
        <w:bidi w:val="0"/>
      </w:pPr>
      <w:r>
        <w:t>禁止在淮河流域新建制革、化工、印染、电镀、酿造等污染严重的小型企业。</w:t>
      </w:r>
    </w:p>
    <w:p w14:paraId="2042688A">
      <w:pPr>
        <w:bidi w:val="0"/>
      </w:pPr>
      <w:r>
        <w:t>严格限制在淮河流域新建前款所列大中型项目或者其他污染严重的项目；建设该类项目的，必须事先征得有关省人民政府环境保护行政主管部门的同意，并报国务院环境保护行政主管部门备案。</w:t>
      </w:r>
    </w:p>
    <w:p w14:paraId="7BA2F817">
      <w:pPr>
        <w:bidi w:val="0"/>
      </w:pPr>
      <w:r>
        <w:t>禁止和严格限制的产业、产品名录，由国务院环境保护行政主管部门商国务院有关行业主管部门拟订，经领导小组审核同意，报国务院批准后公布施行。</w:t>
      </w:r>
    </w:p>
    <w:p w14:paraId="018D5400">
      <w:pPr>
        <w:bidi w:val="0"/>
      </w:pPr>
      <w:r>
        <w:t>本项目属于为水利工程类非污染型项目，为灌区续建配套与现代化改造工程，且项目不设置排污口，符合《淮河流域水污染防治暂行条例》要求。</w:t>
      </w:r>
    </w:p>
    <w:p w14:paraId="4906B3A4">
      <w:pPr>
        <w:bidi w:val="0"/>
      </w:pPr>
      <w:r>
        <w:rPr>
          <w:rFonts w:hint="eastAsia"/>
          <w:lang w:val="en-US" w:eastAsia="zh-CN"/>
        </w:rPr>
        <w:t xml:space="preserve">1.8.3.4 </w:t>
      </w:r>
      <w:r>
        <w:t>与《安徽省淮河流域水污染防治条例》符合性分析</w:t>
      </w:r>
    </w:p>
    <w:p w14:paraId="0EE38157">
      <w:pPr>
        <w:bidi w:val="0"/>
      </w:pPr>
      <w:r>
        <w:t>第十四条 新建、改建、扩建直接或者间接向水体排放污染物的建设项目和其他水上设施，应当依法进行环境影响评价。建设项目的水污染防治设施，应当符合经批准或者备案的环境影响评价文件的要求，并与主体工程同时设计、同时施工、同时投入使用。</w:t>
      </w:r>
    </w:p>
    <w:p w14:paraId="7D2D8A13">
      <w:pPr>
        <w:bidi w:val="0"/>
      </w:pPr>
      <w:r>
        <w:t>新建、扩建、改建项目，除执行前款规定外，还应当遵守下列规定：</w:t>
      </w:r>
    </w:p>
    <w:p w14:paraId="14D81106">
      <w:pPr>
        <w:bidi w:val="0"/>
      </w:pPr>
      <w:r>
        <w:t>（一）新建项目的选址应符合城市总体规划，避开饮用水水源地和对环境有特殊要求的功能区；</w:t>
      </w:r>
    </w:p>
    <w:p w14:paraId="74F3B0E2">
      <w:pPr>
        <w:bidi w:val="0"/>
      </w:pPr>
      <w:r>
        <w:t>（二）采用资源利用率高、污染物排放量少的先进设备和先进工艺；</w:t>
      </w:r>
    </w:p>
    <w:p w14:paraId="398D4B97">
      <w:pPr>
        <w:bidi w:val="0"/>
      </w:pPr>
      <w:r>
        <w:t>（三）改建、扩建项目和技改项目应当把水污染治理纳入项目内容。</w:t>
      </w:r>
    </w:p>
    <w:p w14:paraId="5560FEDD">
      <w:pPr>
        <w:bidi w:val="0"/>
      </w:pPr>
      <w:r>
        <w:t>工程配套建设的水污染防治设施竣工后，建设单位应当按照国务院生态环境行政主管部门规定的标准和程序进行验收。验收合格后，方可投入使用；未经验收或者验收不合格的，不得投入生产或者使用。</w:t>
      </w:r>
    </w:p>
    <w:p w14:paraId="53B3696B">
      <w:pPr>
        <w:bidi w:val="0"/>
      </w:pPr>
      <w:r>
        <w:t>第十七条 在饮用水水源保护区内，禁止设置排污口。</w:t>
      </w:r>
    </w:p>
    <w:p w14:paraId="274F550E">
      <w:pPr>
        <w:bidi w:val="0"/>
      </w:pPr>
      <w:r>
        <w:t>在风景名胜区水体、重要渔业水体和其他具有特殊经济文化价值的水体的保护区内，不得新建排污口。在保护区附近新建排污口，应当保证保护区水体不受污染。</w:t>
      </w:r>
    </w:p>
    <w:p w14:paraId="3305BA8E">
      <w:pPr>
        <w:bidi w:val="0"/>
      </w:pPr>
      <w:r>
        <w:t>本项目属于改建项目，为灌区续建配套与节水改造工程。施工期产生的生产废水经沉淀处理后回用，</w:t>
      </w:r>
      <w:r>
        <w:rPr>
          <w:rFonts w:hint="eastAsia"/>
          <w:color w:val="1D41D5"/>
        </w:rPr>
        <w:t>施工期生活污水依托周边村庄或者经一体化生活污水处理设施处理达到《农田灌溉水质标准》（GB5084-2021）中“水田作物”标准</w:t>
      </w:r>
      <w:r>
        <w:rPr>
          <w:rFonts w:hint="eastAsia"/>
        </w:rPr>
        <w:t>，用作周边农田灌溉，项目</w:t>
      </w:r>
      <w:r>
        <w:rPr>
          <w:rFonts w:hint="eastAsia"/>
          <w:lang w:val="en-US" w:eastAsia="zh-CN"/>
        </w:rPr>
        <w:t>不涉及饮用水水源保护区</w:t>
      </w:r>
      <w:r>
        <w:t>，符合《安徽省淮河流域水污染防治条例》要求。</w:t>
      </w:r>
    </w:p>
    <w:p w14:paraId="0AF96CA3">
      <w:pPr>
        <w:pStyle w:val="4"/>
        <w:bidi w:val="0"/>
      </w:pPr>
      <w:r>
        <w:t>1.8.4 与《安徽省国民经济和社会发展第十四个五年规划和2035年远景目标纲要》相符性分析</w:t>
      </w:r>
    </w:p>
    <w:p w14:paraId="1CA05A98">
      <w:pPr>
        <w:bidi w:val="0"/>
      </w:pPr>
      <w:r>
        <w:t>《安徽省国民经济和社会发展第十四个五年规划和2035年远景目标纲要》（2020年3月）中提到：</w:t>
      </w:r>
    </w:p>
    <w:p w14:paraId="463D06EB">
      <w:pPr>
        <w:bidi w:val="0"/>
      </w:pPr>
      <w:r>
        <w:rPr>
          <w:rFonts w:hint="eastAsia"/>
        </w:rPr>
        <w:t>“</w:t>
      </w:r>
      <w:r>
        <w:t>第二十八章 推进安徽水网工程建设</w:t>
      </w:r>
      <w:r>
        <w:rPr>
          <w:rFonts w:hint="eastAsia"/>
        </w:rPr>
        <w:t>”</w:t>
      </w:r>
      <w:r>
        <w:t>中</w:t>
      </w:r>
      <w:r>
        <w:rPr>
          <w:rFonts w:hint="eastAsia"/>
        </w:rPr>
        <w:t>“</w:t>
      </w:r>
      <w:r>
        <w:t>强化供水安全保障。推进全省骨干、区域和终端水资源配置网络建设，加快构建调引蓄提、互连互通、多源互济的供水保障格局，提升水资源条件与人口经济均衡匹配程度。实行最严格水资源管理制度，开展县域节水型社会达标建设，创建省级节水型工业园区、重点节水型企业。实施引江济淮及二期等重大引调水和临淮岗枢纽综合利用等重点水源工程建设，推动河湖水系连通，加快应急备用水源建设，提升江淮分水岭和皖北地区水资源供给能力。加快新建怀洪新河等大型灌区，开展淠史杭等大型灌区续建配套与现代化改造、</w:t>
      </w:r>
      <w:r>
        <w:rPr>
          <w:b/>
          <w:bCs/>
        </w:rPr>
        <w:t>中型灌区续建配套与节水改造</w:t>
      </w:r>
      <w:r>
        <w:t>。加快推进城乡供水一体化，持续提升农村供水保障水平，建立健全农村供水保障工程长效管护机制。</w:t>
      </w:r>
      <w:r>
        <w:rPr>
          <w:rFonts w:hint="eastAsia"/>
        </w:rPr>
        <w:t>”</w:t>
      </w:r>
    </w:p>
    <w:p w14:paraId="5A7868AB">
      <w:pPr>
        <w:bidi w:val="0"/>
      </w:pPr>
      <w:r>
        <w:t>以及</w:t>
      </w:r>
      <w:r>
        <w:rPr>
          <w:rFonts w:hint="eastAsia"/>
        </w:rPr>
        <w:t>“</w:t>
      </w:r>
      <w:r>
        <w:t>加快智慧水利建设。加强部门、区域联动和信息共享，强化水工程统一调度。提升气象监测预报预警能力。完善水资源、水土保持监测站网，建设水文数据智能处理中心，提升国家基本水文站、中小河流、中小型水库水文监测预警等水文信息化能力，建设水库水闸安全运行监测、水利工程视频监控系统和</w:t>
      </w:r>
      <w:r>
        <w:rPr>
          <w:rFonts w:hint="eastAsia"/>
        </w:rPr>
        <w:t>“</w:t>
      </w:r>
      <w:r>
        <w:t>数字灌区</w:t>
      </w:r>
      <w:r>
        <w:rPr>
          <w:rFonts w:hint="eastAsia"/>
        </w:rPr>
        <w:t>”</w:t>
      </w:r>
      <w:r>
        <w:t>等，逐步构建覆盖全省江河水系、水利工程体系，集信息收集、预警预判、会商研判、调度指挥、水利监管等功能为一体的综合监测预警调度系统，提高水治理信息化、自动化、智能化水平。</w:t>
      </w:r>
      <w:r>
        <w:rPr>
          <w:rFonts w:hint="eastAsia"/>
        </w:rPr>
        <w:t>”</w:t>
      </w:r>
    </w:p>
    <w:p w14:paraId="396A4188">
      <w:pPr>
        <w:bidi w:val="0"/>
      </w:pPr>
      <w:r>
        <w:rPr>
          <w:rFonts w:hint="eastAsia"/>
        </w:rPr>
        <w:t>“</w:t>
      </w:r>
      <w:r>
        <w:t>专栏15 水利重大工程灌区建设。完成港口湾水库灌区建设，实施怀洪新河灌区工程，推进江巷水库灌区和下浒山水库灌区工程。实施淠史杭、驷马山等大型灌区续建配套与现代化改造工程和</w:t>
      </w:r>
      <w:r>
        <w:rPr>
          <w:b/>
          <w:bCs/>
        </w:rPr>
        <w:t>一批中型灌区续建配套与节水改造工程</w:t>
      </w:r>
      <w:r>
        <w:t>。实施淠史杭等数字灌区工程。</w:t>
      </w:r>
      <w:r>
        <w:rPr>
          <w:rFonts w:hint="eastAsia"/>
        </w:rPr>
        <w:t>”</w:t>
      </w:r>
    </w:p>
    <w:p w14:paraId="2ED8BAD2">
      <w:pPr>
        <w:bidi w:val="0"/>
      </w:pPr>
      <w:r>
        <w:t>本项目为</w:t>
      </w:r>
      <w:r>
        <w:rPr>
          <w:rFonts w:hint="eastAsia"/>
          <w:lang w:eastAsia="zh-CN"/>
        </w:rPr>
        <w:t>淮南市谢家集区朱集中型灌区续建配套与节水改造项目</w:t>
      </w:r>
      <w:r>
        <w:t>，主要为</w:t>
      </w:r>
      <w:r>
        <w:rPr>
          <w:rFonts w:hint="eastAsia"/>
          <w:lang w:val="en-US" w:eastAsia="zh-CN"/>
        </w:rPr>
        <w:t>中型灌区</w:t>
      </w:r>
      <w:r>
        <w:t>续建配套</w:t>
      </w:r>
      <w:r>
        <w:rPr>
          <w:rFonts w:hint="eastAsia"/>
          <w:lang w:val="en-US" w:eastAsia="zh-CN"/>
        </w:rPr>
        <w:t>与节水</w:t>
      </w:r>
      <w:r>
        <w:t>改造工程，项目的实施符合《安徽省国民经济和社会发展第十四个五年规划和2035年远景目标纲要》。</w:t>
      </w:r>
    </w:p>
    <w:p w14:paraId="3FBDAD2D">
      <w:pPr>
        <w:pStyle w:val="4"/>
        <w:bidi w:val="0"/>
      </w:pPr>
      <w:r>
        <w:t>1.8.5 与《</w:t>
      </w:r>
      <w:r>
        <w:rPr>
          <w:rFonts w:hint="eastAsia"/>
        </w:rPr>
        <w:t>“</w:t>
      </w:r>
      <w:r>
        <w:t>十四五</w:t>
      </w:r>
      <w:r>
        <w:rPr>
          <w:rFonts w:hint="eastAsia"/>
        </w:rPr>
        <w:t>”</w:t>
      </w:r>
      <w:r>
        <w:t>重大农业节水供水工程实施方案》（2021年8月）相符性分析</w:t>
      </w:r>
    </w:p>
    <w:p w14:paraId="51E0F866">
      <w:pPr>
        <w:bidi w:val="0"/>
      </w:pPr>
      <w:r>
        <w:t>实施范围：续建配套与现代化改造：坚持竞争择优的原则，将提升粮食综合生产能力大、节水潜力大、当地积极性高、前期工作成熟、地方投资落实好，标准化规范化管理推进成效明显、</w:t>
      </w:r>
      <w:r>
        <w:rPr>
          <w:rFonts w:hint="eastAsia"/>
        </w:rPr>
        <w:t>“</w:t>
      </w:r>
      <w:r>
        <w:t>两费</w:t>
      </w:r>
      <w:r>
        <w:rPr>
          <w:rFonts w:hint="eastAsia"/>
        </w:rPr>
        <w:t>”</w:t>
      </w:r>
      <w:r>
        <w:t>到位率高、在区域经济社会发展地位和作用突出的灌区，优先选择纳入</w:t>
      </w:r>
      <w:r>
        <w:rPr>
          <w:rFonts w:hint="eastAsia"/>
        </w:rPr>
        <w:t>“</w:t>
      </w:r>
      <w:r>
        <w:t>十四五</w:t>
      </w:r>
      <w:r>
        <w:rPr>
          <w:rFonts w:hint="eastAsia"/>
        </w:rPr>
        <w:t>”</w:t>
      </w:r>
      <w:r>
        <w:t>实施范围，共计124处灌区。其中，东北14处、黄淮海45处、长江中下游26处、东南6处、西南10处、西北23处。规划改造范围面积0.88亿亩。按照量力而行、分步实施的原则，</w:t>
      </w:r>
      <w:r>
        <w:rPr>
          <w:rFonts w:hint="eastAsia"/>
        </w:rPr>
        <w:t>“</w:t>
      </w:r>
      <w:r>
        <w:t>十四五</w:t>
      </w:r>
      <w:r>
        <w:rPr>
          <w:rFonts w:hint="eastAsia"/>
        </w:rPr>
        <w:t>”</w:t>
      </w:r>
      <w:r>
        <w:t>期间，100万亩以下灌区规划改造全部灌区面积、100万</w:t>
      </w:r>
      <w:r>
        <w:rPr>
          <w:rFonts w:hint="eastAsia"/>
        </w:rPr>
        <w:t>～</w:t>
      </w:r>
      <w:r>
        <w:t>500万亩灌区规划改造1/2左右灌区面积、500万亩以上灌区规划改造1/3左右灌区面积。</w:t>
      </w:r>
    </w:p>
    <w:p w14:paraId="7847B74B">
      <w:pPr>
        <w:bidi w:val="0"/>
      </w:pPr>
      <w:r>
        <w:t>主要任务：消除灌区运行安全隐患，提升灌区供水保障能力。对老化失修、带病运行的引水枢纽，包括拦河坝（闸）、导流堤、进水闸、冲沙闸等设施，大中型取水泵站实施改造。对存在安全隐患的渡槽、倒虹吸、隧洞、渠下涵等工程进行改造或拆除重建；高边坡、高填方渠道和重要排水沟加固改造；寒冷地区防渗衬砌渠道的抗冻胀改造；渠坡不稳定渠（沟）段的护坡稳定处理等。</w:t>
      </w:r>
    </w:p>
    <w:p w14:paraId="532FD82F">
      <w:pPr>
        <w:bidi w:val="0"/>
      </w:pPr>
      <w:r>
        <w:t>加强计量监测设施与信息化建设，提升灌区供用水管理能力。坚持骨干工程建设改造与计量设施建设同步，加强取水口至支渠口、斗口的计量设施建设；开展和不断完善重要节点水位、流量、水质监测监控设施建设。加强信息化、智慧化建设，新建改善必要的管理设施。</w:t>
      </w:r>
    </w:p>
    <w:p w14:paraId="2368B9CD">
      <w:pPr>
        <w:bidi w:val="0"/>
      </w:pPr>
      <w:r>
        <w:rPr>
          <w:rFonts w:hint="eastAsia"/>
          <w:lang w:eastAsia="zh-CN"/>
        </w:rPr>
        <w:t>淮南市谢家集区朱集中型灌区续建配套与节水改造项目</w:t>
      </w:r>
      <w:r>
        <w:t>属于</w:t>
      </w:r>
      <w:r>
        <w:rPr>
          <w:rFonts w:hint="eastAsia"/>
          <w:lang w:val="en-US" w:eastAsia="zh-CN"/>
        </w:rPr>
        <w:t>中型灌区</w:t>
      </w:r>
      <w:r>
        <w:t>改造工程，属于《</w:t>
      </w:r>
      <w:r>
        <w:rPr>
          <w:rFonts w:hint="eastAsia"/>
        </w:rPr>
        <w:t>“</w:t>
      </w:r>
      <w:r>
        <w:t>十四五</w:t>
      </w:r>
      <w:r>
        <w:rPr>
          <w:rFonts w:hint="eastAsia"/>
        </w:rPr>
        <w:t>”</w:t>
      </w:r>
      <w:r>
        <w:t>重大农业节水供水工程实施方案》（2021年8月）中灌区之一。</w:t>
      </w:r>
    </w:p>
    <w:p w14:paraId="1F3CC2C2">
      <w:pPr>
        <w:pStyle w:val="4"/>
        <w:bidi w:val="0"/>
      </w:pPr>
      <w:r>
        <w:t>1.8.6 与《安徽省水利发展</w:t>
      </w:r>
      <w:r>
        <w:rPr>
          <w:rFonts w:hint="eastAsia"/>
        </w:rPr>
        <w:t>“</w:t>
      </w:r>
      <w:r>
        <w:t>十四五</w:t>
      </w:r>
      <w:r>
        <w:rPr>
          <w:rFonts w:hint="eastAsia"/>
        </w:rPr>
        <w:t>”</w:t>
      </w:r>
      <w:r>
        <w:t>规划》相符性分析</w:t>
      </w:r>
    </w:p>
    <w:p w14:paraId="6FCA8F97">
      <w:pPr>
        <w:bidi w:val="0"/>
      </w:pPr>
      <w:r>
        <w:t>规划第五章提出</w:t>
      </w:r>
      <w:r>
        <w:rPr>
          <w:rFonts w:hint="eastAsia"/>
        </w:rPr>
        <w:t>“</w:t>
      </w:r>
      <w:r>
        <w:t>提高乡村振兴水利保障能力</w:t>
      </w:r>
      <w:r>
        <w:rPr>
          <w:rFonts w:hint="eastAsia"/>
        </w:rPr>
        <w:t>”</w:t>
      </w:r>
      <w:r>
        <w:t>，第二节提出</w:t>
      </w:r>
      <w:r>
        <w:rPr>
          <w:rFonts w:hint="eastAsia"/>
        </w:rPr>
        <w:t>“</w:t>
      </w:r>
      <w:r>
        <w:t>灌区现代化建设与改造</w:t>
      </w:r>
      <w:r>
        <w:rPr>
          <w:rFonts w:hint="eastAsia"/>
        </w:rPr>
        <w:t>”</w:t>
      </w:r>
      <w:r>
        <w:t>：加快大中型灌区现代化建设与改造。……。实施淠史杭、驷马山等大型灌区和肥西县西大圩、湾沚区汤泊河等中型灌区配套改造工程，进一步健全灌区工程体系，提升灌溉保证率，完善计量监测设施，推广节水灌溉技术，促进节水增效，推进标准化规范化管理，提升工程管理和供水服务能力。实施淠史杭等数字灌区建设，提升灌区水资源管理调度水平和供水保障能力，实现灌区管理调度的数字化、智能化、智慧化。</w:t>
      </w:r>
    </w:p>
    <w:p w14:paraId="710CD0F1">
      <w:pPr>
        <w:bidi w:val="0"/>
        <w:rPr>
          <w:rFonts w:cs="Times New Roman"/>
          <w:color w:val="0000FF"/>
        </w:rPr>
      </w:pPr>
      <w:r>
        <w:t>本工程为</w:t>
      </w:r>
      <w:r>
        <w:rPr>
          <w:rFonts w:hint="eastAsia"/>
          <w:lang w:eastAsia="zh-CN"/>
        </w:rPr>
        <w:t>淮南市谢家集区朱集中型灌区续建配套与节水改造项目</w:t>
      </w:r>
      <w:r>
        <w:t>，因此符合该规划。</w:t>
      </w:r>
    </w:p>
    <w:p w14:paraId="1448D343">
      <w:pPr>
        <w:pStyle w:val="4"/>
        <w:bidi w:val="0"/>
      </w:pPr>
      <w:r>
        <w:t>1.8.7 与生态保护红线规定相符性分析</w:t>
      </w:r>
    </w:p>
    <w:p w14:paraId="6AA187DA">
      <w:pPr>
        <w:pStyle w:val="5"/>
        <w:bidi w:val="0"/>
      </w:pPr>
      <w:r>
        <w:rPr>
          <w:rFonts w:hint="eastAsia"/>
          <w:lang w:val="en-US" w:eastAsia="zh-CN"/>
        </w:rPr>
        <w:t xml:space="preserve">1.8.7.1 </w:t>
      </w:r>
      <w:r>
        <w:t>与《自然资源部 生态环境部 国家林业和草原局关于加强生态保护红线管理的通知（试行）》（自然资发〔2022〕142号）相符性分析</w:t>
      </w:r>
    </w:p>
    <w:p w14:paraId="751DDA00">
      <w:pPr>
        <w:bidi w:val="0"/>
      </w:pPr>
      <w:r>
        <w:rPr>
          <w:rFonts w:hint="eastAsia"/>
          <w:lang w:eastAsia="zh-CN"/>
        </w:rPr>
        <w:t>（</w:t>
      </w:r>
      <w:r>
        <w:rPr>
          <w:rFonts w:hint="eastAsia"/>
          <w:lang w:val="en-US" w:eastAsia="zh-CN"/>
        </w:rPr>
        <w:t>1</w:t>
      </w:r>
      <w:r>
        <w:rPr>
          <w:rFonts w:hint="eastAsia"/>
          <w:lang w:eastAsia="zh-CN"/>
        </w:rPr>
        <w:t>）</w:t>
      </w:r>
      <w:r>
        <w:t>规范管控对生态功能不造成破坏的有限人为活动</w:t>
      </w:r>
    </w:p>
    <w:p w14:paraId="6C3A6C72">
      <w:pPr>
        <w:bidi w:val="0"/>
      </w:pPr>
      <w:r>
        <w:t>生态保护红线是国土空间规划中的重要管控边界，生态保护红线内自然保护地核心保护区外，禁止开发性、生产性建设活动，在符合法律法规的前提下，仅允许以下对生态功能不造成破坏的有限人为活动。生态保护红线内自然保护区、风景名胜区、饮用水水源保护区等区域，依照法律法规执行。</w:t>
      </w:r>
    </w:p>
    <w:p w14:paraId="32F22920">
      <w:pPr>
        <w:bidi w:val="0"/>
      </w:pPr>
      <w:r>
        <w:rPr>
          <w:rFonts w:hint="default"/>
        </w:rPr>
        <w:t>①</w:t>
      </w:r>
      <w:r>
        <w:t>管护巡护、保护执法、科学研究、调查监测、测绘导航、防灾减灾救灾、军事国防、疫情防控等活动及相关的必要设施修筑。</w:t>
      </w:r>
    </w:p>
    <w:p w14:paraId="5DFAE6EA">
      <w:pPr>
        <w:bidi w:val="0"/>
      </w:pPr>
      <w:r>
        <w:rPr>
          <w:rFonts w:hint="default"/>
        </w:rPr>
        <w:t>②</w:t>
      </w:r>
      <w:r>
        <w:t>原住居民和其他合法权益主体，允许在不扩大现有建设用地、用海用岛、耕地、水产养殖规模和放牧强度（符合草畜平衡管理规定）的前提下，开展种植、放牧、捕捞、养殖（不包括投礁型海洋牧场、围海养殖）等活动，修筑生产生活设施。</w:t>
      </w:r>
    </w:p>
    <w:p w14:paraId="328DD1BB">
      <w:pPr>
        <w:bidi w:val="0"/>
      </w:pPr>
      <w:r>
        <w:rPr>
          <w:rFonts w:hint="eastAsia"/>
        </w:rPr>
        <w:t>③</w:t>
      </w:r>
      <w:r>
        <w:t>经依法批准的考古调查发掘、古生物化石调查发掘、标本采集和文物保护活动。</w:t>
      </w:r>
    </w:p>
    <w:p w14:paraId="730676A2">
      <w:pPr>
        <w:bidi w:val="0"/>
      </w:pPr>
      <w:r>
        <w:rPr>
          <w:rFonts w:hint="eastAsia"/>
        </w:rPr>
        <w:t>④</w:t>
      </w:r>
      <w:r>
        <w:t>按规定对人工商品林进行抚育采伐，或以提升森林质量、优化栖息地、建设生物防火隔离带等为目的的树种更新，依法开展的竹林采伐经营。</w:t>
      </w:r>
    </w:p>
    <w:p w14:paraId="334816A5">
      <w:pPr>
        <w:bidi w:val="0"/>
      </w:pPr>
      <w:r>
        <w:rPr>
          <w:rFonts w:hint="eastAsia"/>
        </w:rPr>
        <w:t>⑤</w:t>
      </w:r>
      <w:r>
        <w:t>不破坏生态功能的适度参观旅游、科普宣教及符合相关规划的配套性服务设施和相关的必要公共设施建设及维护。</w:t>
      </w:r>
    </w:p>
    <w:p w14:paraId="0D230008">
      <w:pPr>
        <w:bidi w:val="0"/>
      </w:pPr>
      <w:r>
        <w:rPr>
          <w:rFonts w:hint="eastAsia"/>
        </w:rPr>
        <w:t>⑥</w:t>
      </w:r>
      <w:r>
        <w:t>必须且无法避让、符合县级以上国土空间规划的线性基础设施、通讯和防洪、供水设施建设和船舶航行、航道疏浚清淤等活动；已有的合法水利、交通运输等设施运行维护改造。</w:t>
      </w:r>
    </w:p>
    <w:p w14:paraId="6C2CAFA7">
      <w:pPr>
        <w:bidi w:val="0"/>
      </w:pPr>
      <w:r>
        <w:rPr>
          <w:rFonts w:hint="eastAsia"/>
          <w:lang w:eastAsia="zh-CN"/>
        </w:rPr>
        <w:t>（</w:t>
      </w:r>
      <w:r>
        <w:rPr>
          <w:rFonts w:hint="eastAsia"/>
          <w:lang w:val="en-US" w:eastAsia="zh-CN"/>
        </w:rPr>
        <w:t>2</w:t>
      </w:r>
      <w:r>
        <w:rPr>
          <w:rFonts w:hint="eastAsia"/>
          <w:lang w:eastAsia="zh-CN"/>
        </w:rPr>
        <w:t>）</w:t>
      </w:r>
      <w:r>
        <w:t>加强有限人为活动管理</w:t>
      </w:r>
    </w:p>
    <w:p w14:paraId="1E2043C6">
      <w:pPr>
        <w:bidi w:val="0"/>
      </w:pPr>
      <w:r>
        <w:t>上述生态保护红线管控范围内有限人为活动，涉及新增建设用地、用海用岛审批的，在报批农用地转用、土地征收、海域使用权、无居民海岛开发利用时，附省级人民政府出具符合生态保护红线内允许有限人为活动的认定意见；不涉及新增建设用地、用海用岛审批的，按有关规定进行管理，无明确规定的由省级人民政府制定具体监管办法。上述活动涉及自然保护地的，应征求林业和草原主管部门或自然保护地管理机构意见。</w:t>
      </w:r>
    </w:p>
    <w:p w14:paraId="3E24BBA0">
      <w:pPr>
        <w:bidi w:val="0"/>
      </w:pPr>
      <w:r>
        <w:rPr>
          <w:rFonts w:hint="eastAsia"/>
          <w:lang w:eastAsia="zh-CN"/>
        </w:rPr>
        <w:t>（</w:t>
      </w:r>
      <w:r>
        <w:rPr>
          <w:rFonts w:hint="eastAsia"/>
          <w:lang w:val="en-US" w:eastAsia="zh-CN"/>
        </w:rPr>
        <w:t>3</w:t>
      </w:r>
      <w:r>
        <w:rPr>
          <w:rFonts w:hint="eastAsia"/>
          <w:lang w:eastAsia="zh-CN"/>
        </w:rPr>
        <w:t>）</w:t>
      </w:r>
      <w:r>
        <w:t>相符性分析</w:t>
      </w:r>
    </w:p>
    <w:p w14:paraId="5A323A84">
      <w:pPr>
        <w:bidi w:val="0"/>
      </w:pPr>
      <w:r>
        <w:t>本项目是对</w:t>
      </w:r>
      <w:r>
        <w:rPr>
          <w:rFonts w:hint="eastAsia"/>
        </w:rPr>
        <w:t>淮南市谢家集区朱集中型灌区</w:t>
      </w:r>
      <w:r>
        <w:t>进行现代化维护改造</w:t>
      </w:r>
      <w:r>
        <w:rPr>
          <w:rFonts w:hint="eastAsia"/>
        </w:rPr>
        <w:t>和续建配套</w:t>
      </w:r>
      <w:r>
        <w:t>，</w:t>
      </w:r>
      <w:r>
        <w:rPr>
          <w:rFonts w:hint="eastAsia"/>
        </w:rPr>
        <w:t>属于已有的合法水利、交通运输等设施运行维护改造。</w:t>
      </w:r>
    </w:p>
    <w:p w14:paraId="54A33D1F">
      <w:pPr>
        <w:bidi w:val="0"/>
      </w:pPr>
      <w:r>
        <w:rPr>
          <w:rFonts w:hint="eastAsia"/>
        </w:rPr>
        <w:t>项目</w:t>
      </w:r>
      <w:r>
        <w:t>涉及生态保护红线的</w:t>
      </w:r>
      <w:r>
        <w:rPr>
          <w:rFonts w:hint="eastAsia"/>
        </w:rPr>
        <w:t>工程包括</w:t>
      </w:r>
      <w:r>
        <w:rPr>
          <w:rFonts w:hint="eastAsia"/>
          <w:lang w:val="en-US" w:eastAsia="zh-CN"/>
        </w:rPr>
        <w:t>朱集一站引水渠的</w:t>
      </w:r>
      <w:r>
        <w:rPr>
          <w:rFonts w:hint="eastAsia"/>
        </w:rPr>
        <w:t>渠道护砌，均为淮南市谢家集区朱集中型灌区水利设施的运行维护改造，符合</w:t>
      </w:r>
      <w:r>
        <w:t>《自然资源部 生态环境部 国家林业和草原局关于加强生态保护红线管理的通知（试行）》（自然资发〔2022〕142号）</w:t>
      </w:r>
      <w:r>
        <w:rPr>
          <w:rFonts w:hint="eastAsia"/>
        </w:rPr>
        <w:t>。</w:t>
      </w:r>
    </w:p>
    <w:p w14:paraId="23812567">
      <w:pPr>
        <w:pStyle w:val="5"/>
        <w:bidi w:val="0"/>
      </w:pPr>
      <w:r>
        <w:rPr>
          <w:rFonts w:hint="eastAsia"/>
          <w:lang w:val="en-US" w:eastAsia="zh-CN"/>
        </w:rPr>
        <w:t xml:space="preserve">1.8.7.2 </w:t>
      </w:r>
      <w:r>
        <w:t xml:space="preserve">与《安徽省自然资源厅 </w:t>
      </w:r>
      <w:r>
        <w:rPr>
          <w:rFonts w:hint="eastAsia"/>
        </w:rPr>
        <w:t>安徽省</w:t>
      </w:r>
      <w:r>
        <w:t>生态环境厅 安徽省林业局转发自然资源部 生态环境部 国家林业和草原局关于加强生态保护红线管理的通知》（皖自然资规划函〔2022〕113号）相符性分析</w:t>
      </w:r>
    </w:p>
    <w:p w14:paraId="724118C8">
      <w:pPr>
        <w:bidi w:val="0"/>
      </w:pPr>
      <w:r>
        <w:rPr>
          <w:rFonts w:hint="eastAsia"/>
          <w:lang w:eastAsia="zh-CN"/>
        </w:rPr>
        <w:t>（</w:t>
      </w:r>
      <w:r>
        <w:rPr>
          <w:rFonts w:hint="eastAsia"/>
          <w:lang w:val="en-US" w:eastAsia="zh-CN"/>
        </w:rPr>
        <w:t>1</w:t>
      </w:r>
      <w:r>
        <w:rPr>
          <w:rFonts w:hint="eastAsia"/>
          <w:lang w:eastAsia="zh-CN"/>
        </w:rPr>
        <w:t>）</w:t>
      </w:r>
      <w:r>
        <w:t>严格有限人为活动管控</w:t>
      </w:r>
    </w:p>
    <w:p w14:paraId="3B4B5E05">
      <w:pPr>
        <w:bidi w:val="0"/>
      </w:pPr>
      <w:r>
        <w:t>①规范用地预审。属于《通知》规定的有限人为活动，涉及新增建设用地的，实行分级预审。申请人应提供项目所在地县级以上项目主管部门出具的属于有限人为活动的具体类型、理由等相关说明（证明）材料，涉及自然保护地的，提供自然保护地主管部门或自然保护地管理机构意见。</w:t>
      </w:r>
    </w:p>
    <w:p w14:paraId="6371E59D">
      <w:pPr>
        <w:bidi w:val="0"/>
      </w:pPr>
      <w:r>
        <w:t>②规范农用地转用和用地审批。有限人为活动涉及办理农用地转用、土地征收手续的，市、县在土地征收和农用地转用申请中应注明涉及生态保护红线、自然保护地有关情况，以及有限人为活动的具体类型、理由。涉及自然保护地的，按规定征求自然保护地主管部门或自然保护地管理机构意见。</w:t>
      </w:r>
    </w:p>
    <w:p w14:paraId="63F1FB2D">
      <w:pPr>
        <w:bidi w:val="0"/>
      </w:pPr>
      <w:r>
        <w:t>③规范设施农业建设用地管理。原住居民和其他合法权益主体开展种植、放牧、捕捞、养殖等活动，在严格落实耕地用途管制等相关规定的前提下，需新增农村道路及其他设施农业用地的，按照省有关设施农用地管理、耕地</w:t>
      </w:r>
      <w:r>
        <w:rPr>
          <w:rFonts w:hint="eastAsia"/>
        </w:rPr>
        <w:t>“</w:t>
      </w:r>
      <w:r>
        <w:t>进出平衡</w:t>
      </w:r>
      <w:r>
        <w:rPr>
          <w:rFonts w:hint="eastAsia"/>
        </w:rPr>
        <w:t>”</w:t>
      </w:r>
      <w:r>
        <w:t>等规定办理。</w:t>
      </w:r>
    </w:p>
    <w:p w14:paraId="455506F2">
      <w:pPr>
        <w:bidi w:val="0"/>
      </w:pPr>
      <w:r>
        <w:t>④规范建设规划许可。原住居民和其他合法权益主体在符合村庄规划的前提下，在原建设用地范围内修缮、修筑农村房屋等生产生活设施的，不需要办理用地手续，按照有关规定需要办理乡村建设规划许可的，由乡镇政府办理。</w:t>
      </w:r>
    </w:p>
    <w:p w14:paraId="42FB40FB">
      <w:pPr>
        <w:bidi w:val="0"/>
      </w:pPr>
      <w:r>
        <w:t>⑤规范占用生态保护红线论证。属于《通知》规定的国家重大项目需占用生态保护红线的，在建设项目用地预审阶段一并开展耕地和永久基本农田占用踏勘论证、节地评价报告、不可避让生态保护红线论证和永久基本农田补划、规划选址论证等事项，说明占用生态保护红线的不可避让性，以及节约集约用地、减缓生态环境影响等具体措施，省自然资源厅按规定程序提请省政府出具不可避让生态保护红线论证意见。</w:t>
      </w:r>
    </w:p>
    <w:p w14:paraId="54EDA7A3">
      <w:pPr>
        <w:bidi w:val="0"/>
      </w:pPr>
      <w:r>
        <w:t>⑥规范用地预审、审批。占用生态保护红线的国家重大项目，按规定报自然资源部进行用地预审，并在申请办理农用地转用和土地征收时，附省政府出具的不可避让生态保护红线论证意见。</w:t>
      </w:r>
    </w:p>
    <w:p w14:paraId="14FE0E23">
      <w:pPr>
        <w:bidi w:val="0"/>
      </w:pPr>
      <w:r>
        <w:t>⑦规范临时使用生态保护红线内土地审批。有限人为活动和国家重大项目确需临时使用生态保护红线内土地的，参照临时占用永久基本农田规定办理，由土地使用者按法定程序申请临时用地并编制临时用地土地复垦方案报告表，报市自然资源主管部门审批。</w:t>
      </w:r>
    </w:p>
    <w:p w14:paraId="1F14B909">
      <w:pPr>
        <w:bidi w:val="0"/>
      </w:pPr>
      <w:r>
        <w:t>⑧严格复垦验收。临时用地到期后，土地使用者应及时复垦，恢复原地类。市自然资源主管部门要会同农业农村、林业、生态环境等相关部门对复垦土地进行验收，落实恢复责任。</w:t>
      </w:r>
    </w:p>
    <w:p w14:paraId="1D4FE09F">
      <w:pPr>
        <w:bidi w:val="0"/>
      </w:pPr>
      <w:r>
        <w:rPr>
          <w:b/>
          <w:bCs/>
        </w:rPr>
        <w:t>相符性分析：</w:t>
      </w:r>
      <w:r>
        <w:t>本次工程涉及占用水土保持生态保护红线，红线类型为水土保持生态红线，保护主体为</w:t>
      </w:r>
      <w:r>
        <w:rPr>
          <w:rFonts w:hint="eastAsia"/>
          <w:lang w:val="en-US" w:eastAsia="zh-CN"/>
        </w:rPr>
        <w:t>瓦埠湖</w:t>
      </w:r>
      <w:r>
        <w:t>，工程对</w:t>
      </w:r>
      <w:r>
        <w:rPr>
          <w:rFonts w:hint="eastAsia"/>
          <w:lang w:val="en-US" w:eastAsia="zh-CN"/>
        </w:rPr>
        <w:t>朱集一站引水渠</w:t>
      </w:r>
      <w:r>
        <w:t>进行护砌，有利于降低因渠道滑坡、等引起的水土流失风险，工程不涉及新增建设用地，无需开展用地预审，工程临时工程布置避让生态保护红线</w:t>
      </w:r>
      <w:r>
        <w:rPr>
          <w:rFonts w:hint="eastAsia"/>
        </w:rPr>
        <w:t>，评价要求建设单位应按照《自然资源部关于规范临时用地管理的通知》（自然资规〔2021〕2号）、《安徽省自然资源厅 安徽省生态环境厅 安徽省林业局转发自然资源部 生态环境部 国家林业和草原局关于加强生态保护红线管理的通知》（皖自然资规划函〔2022〕113号）等政策要求，施工道路等临时使用生态保护红线内土地的参照工程占用永久基本农田规定，由</w:t>
      </w:r>
      <w:r>
        <w:rPr>
          <w:rFonts w:hint="eastAsia"/>
          <w:lang w:val="en-US" w:eastAsia="zh-CN"/>
        </w:rPr>
        <w:t>淮南市</w:t>
      </w:r>
      <w:r>
        <w:rPr>
          <w:rFonts w:hint="eastAsia"/>
        </w:rPr>
        <w:t>自然资源主管部门审批。</w:t>
      </w:r>
    </w:p>
    <w:p w14:paraId="4FF71451">
      <w:pPr>
        <w:bidi w:val="0"/>
      </w:pPr>
      <w:r>
        <w:rPr>
          <w:rFonts w:hint="eastAsia"/>
          <w:lang w:eastAsia="zh-CN"/>
        </w:rPr>
        <w:t>（</w:t>
      </w:r>
      <w:r>
        <w:rPr>
          <w:rFonts w:hint="eastAsia"/>
          <w:lang w:val="en-US" w:eastAsia="zh-CN"/>
        </w:rPr>
        <w:t>3</w:t>
      </w:r>
      <w:r>
        <w:rPr>
          <w:rFonts w:hint="eastAsia"/>
          <w:lang w:eastAsia="zh-CN"/>
        </w:rPr>
        <w:t>）</w:t>
      </w:r>
      <w:r>
        <w:rPr>
          <w:rFonts w:hint="eastAsia"/>
        </w:rPr>
        <w:t>与《自然资源部关于规范临时用地管理的通知》（自然资规〔2021〕2号）相符性分析</w:t>
      </w:r>
    </w:p>
    <w:p w14:paraId="5A4F5DE4">
      <w:pPr>
        <w:bidi w:val="0"/>
      </w:pPr>
      <w:r>
        <w:rPr>
          <w:rFonts w:hint="eastAsia"/>
        </w:rPr>
        <w:t>①临时用地选址要求和使用期限</w:t>
      </w:r>
    </w:p>
    <w:p w14:paraId="486754F1">
      <w:pPr>
        <w:bidi w:val="0"/>
      </w:pPr>
      <w:r>
        <w:rPr>
          <w:rFonts w:hint="eastAsia"/>
        </w:rPr>
        <w:t>建设项目施工、地质勘查使用临时用地时应坚持“用多少、批多少、占多少、恢复多少”，尽量不占或者少占耕地。使用后土地复垦难度较大的临时用地，要严格控制占用耕地。铁路、公路等单独选址建设项目，应科学组织施工，节约集约使用临时用地。制梁场、拌合站等难以恢复原种植条件的不得以临时用地方式占用耕地和永久基本农田，可以建设用地方式或者临时占用未利用地方式使用土地。临时用地确需占用永久基本农田的，必须能够恢复原种植条件，并符合《自然资源部农业农村部关于加强和改进永久基本农田保护工作的通知》（自然资规〔2019〕1号）中申请条件、土壤剥离、复垦验收等有关规定。</w:t>
      </w:r>
    </w:p>
    <w:p w14:paraId="64D5C6F4">
      <w:pPr>
        <w:bidi w:val="0"/>
      </w:pPr>
      <w:r>
        <w:rPr>
          <w:rFonts w:hint="eastAsia"/>
        </w:rPr>
        <w:t>临时用地使用期限一般不超过两年。建设周期较长的能源、交通、水利等基础设施建设项目施工使用的临时用地，期限不超过四年。城镇开发边界内临时建设用地规划许可、临时建设工程规划许可的期限应当与临时用地期限相衔接。临时用地使用期限，从批准之日起算。</w:t>
      </w:r>
    </w:p>
    <w:p w14:paraId="709921AF">
      <w:pPr>
        <w:bidi w:val="0"/>
      </w:pPr>
      <w:r>
        <w:rPr>
          <w:rFonts w:hint="eastAsia"/>
        </w:rPr>
        <w:t>②规范临时用地审批</w:t>
      </w:r>
    </w:p>
    <w:p w14:paraId="3E6C19F3">
      <w:pPr>
        <w:bidi w:val="0"/>
      </w:pPr>
      <w:r>
        <w:rPr>
          <w:rFonts w:hint="eastAsia"/>
        </w:rPr>
        <w:t>严格落实临时用地恢复责任，临时用地期满后应当拆除临时建（构）筑物，使用耕地的应当复垦为耕地，确保耕地面积不减少、质量不降低；使用耕地以外的其他农用地的应当恢复为农用地；使用未利用地的，对于符合条件的鼓励复垦为耕地。</w:t>
      </w:r>
    </w:p>
    <w:p w14:paraId="08840C5D">
      <w:pPr>
        <w:bidi w:val="0"/>
      </w:pPr>
      <w:r>
        <w:rPr>
          <w:rFonts w:hint="eastAsia"/>
        </w:rPr>
        <w:t>相符性分析：</w:t>
      </w:r>
    </w:p>
    <w:p w14:paraId="527029C7">
      <w:pPr>
        <w:bidi w:val="0"/>
      </w:pPr>
      <w:r>
        <w:rPr>
          <w:rFonts w:hint="eastAsia"/>
        </w:rPr>
        <w:t>本次工程范围和工程量均较大，项目施工营地、临时堆土场、临时道路以及取土场、弃土场涉及临时用地，临时用地经多次优化后占用一定量耕地，不占用永久基本农田，项目不设置制梁场、拌合站等，临时用地复垦难度较小。</w:t>
      </w:r>
    </w:p>
    <w:p w14:paraId="56060C12">
      <w:pPr>
        <w:bidi w:val="0"/>
      </w:pPr>
      <w:r>
        <w:rPr>
          <w:rFonts w:hint="eastAsia"/>
        </w:rPr>
        <w:t>评价要求建设单位根据工程实施实际临时占地以及最新的国土空间规划等资料，涉及占用永久基本农田、生态保护红线的临时占地严格按照（皖自然资规划函〔2022〕113号）、（自然资规〔2021〕2号）要求，办理相关临时用地审批，合理控制使用期限，临时用地结束后及时拆除临时建筑，占用耕地的保质保量复垦为耕地。</w:t>
      </w:r>
    </w:p>
    <w:p w14:paraId="429EB3F3">
      <w:pPr>
        <w:pStyle w:val="4"/>
        <w:bidi w:val="0"/>
      </w:pPr>
      <w:r>
        <w:t>1.8.</w:t>
      </w:r>
      <w:r>
        <w:rPr>
          <w:rFonts w:hint="eastAsia"/>
          <w:lang w:val="en-US" w:eastAsia="zh-CN"/>
        </w:rPr>
        <w:t>8</w:t>
      </w:r>
      <w:r>
        <w:t xml:space="preserve"> 与土地利用规划相符性分析</w:t>
      </w:r>
    </w:p>
    <w:p w14:paraId="7523C244">
      <w:pPr>
        <w:bidi w:val="0"/>
      </w:pPr>
      <w:r>
        <w:t>工程涉及淮南市</w:t>
      </w:r>
      <w:r>
        <w:rPr>
          <w:rFonts w:hint="eastAsia"/>
          <w:lang w:val="en-US" w:eastAsia="zh-CN"/>
        </w:rPr>
        <w:t>谢家集区</w:t>
      </w:r>
      <w:r>
        <w:t>，项目主体工程大部分在原址进行维修加固、拆除重建，新建部分均在灌区管理范围内，符合相关土地利用规划。</w:t>
      </w:r>
    </w:p>
    <w:p w14:paraId="0AB43420">
      <w:pPr>
        <w:bidi w:val="0"/>
      </w:pPr>
      <w:r>
        <w:t>工程新建</w:t>
      </w:r>
      <w:r>
        <w:rPr>
          <w:rFonts w:hint="eastAsia"/>
          <w:lang w:val="en-US" w:eastAsia="zh-CN"/>
        </w:rPr>
        <w:t>1</w:t>
      </w:r>
      <w:r>
        <w:t>座节制闸，分别位于</w:t>
      </w:r>
      <w:r>
        <w:rPr>
          <w:rFonts w:hint="eastAsia"/>
          <w:lang w:val="en-US" w:eastAsia="zh-CN"/>
        </w:rPr>
        <w:t>三东干渠</w:t>
      </w:r>
      <w:r>
        <w:t>，新建工程均位于现状渠道内，不新增占地；其他工程均在原址进行加固或者拆除重建，不新增占地，部分渠堤加培工程涉及堤脚外延占地均在渠道管理范围内，外延范围小，为已征收地块，不新增占地。</w:t>
      </w:r>
    </w:p>
    <w:p w14:paraId="56507C02">
      <w:pPr>
        <w:pStyle w:val="4"/>
        <w:bidi w:val="0"/>
      </w:pPr>
      <w:r>
        <w:t>1.8.</w:t>
      </w:r>
      <w:r>
        <w:rPr>
          <w:rFonts w:hint="eastAsia"/>
          <w:lang w:val="en-US" w:eastAsia="zh-CN"/>
        </w:rPr>
        <w:t>9</w:t>
      </w:r>
      <w:r>
        <w:t xml:space="preserve"> 与《水利建设项目（灌区工程）环境影响评价文件审批原则（试行）》相符性分析</w:t>
      </w:r>
    </w:p>
    <w:p w14:paraId="2EF7C0E8">
      <w:pPr>
        <w:bidi w:val="0"/>
      </w:pPr>
      <w:r>
        <w:t>本项目属于灌区续建配套与节水改造工程，对照环办环评〔2018〕17号附件2水利建设项目（灌区工程）环境影响评价文件审批原则（试行），具体如下表1</w:t>
      </w:r>
      <w:r>
        <w:rPr>
          <w:rFonts w:hint="eastAsia"/>
          <w:lang w:val="en-US" w:eastAsia="zh-CN"/>
        </w:rPr>
        <w:t>.</w:t>
      </w:r>
      <w:r>
        <w:t>8-</w:t>
      </w:r>
      <w:r>
        <w:rPr>
          <w:rFonts w:hint="eastAsia"/>
        </w:rPr>
        <w:t>2</w:t>
      </w:r>
      <w:r>
        <w:t>：</w:t>
      </w:r>
    </w:p>
    <w:p w14:paraId="25812814">
      <w:pPr>
        <w:pStyle w:val="29"/>
        <w:bidi w:val="0"/>
      </w:pPr>
      <w:r>
        <w:t>表1</w:t>
      </w:r>
      <w:r>
        <w:rPr>
          <w:rFonts w:hint="eastAsia"/>
          <w:lang w:val="en-US" w:eastAsia="zh-CN"/>
        </w:rPr>
        <w:t>.</w:t>
      </w:r>
      <w:r>
        <w:t>8-</w:t>
      </w:r>
      <w:r>
        <w:rPr>
          <w:rFonts w:hint="eastAsia"/>
        </w:rPr>
        <w:t>2</w:t>
      </w:r>
      <w:r>
        <w:t xml:space="preserve">  水利建设项目（灌区工程）环境影响评价文件审批原则（试行）符合性分析</w:t>
      </w:r>
    </w:p>
    <w:tbl>
      <w:tblPr>
        <w:tblStyle w:val="1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4"/>
        <w:gridCol w:w="4456"/>
        <w:gridCol w:w="3347"/>
        <w:gridCol w:w="814"/>
      </w:tblGrid>
      <w:tr w14:paraId="5BBC97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7CA9D912">
            <w:pPr>
              <w:pStyle w:val="28"/>
              <w:bidi w:val="0"/>
            </w:pPr>
            <w:r>
              <w:t>序号</w:t>
            </w:r>
          </w:p>
        </w:tc>
        <w:tc>
          <w:tcPr>
            <w:tcW w:w="2399" w:type="pct"/>
            <w:vAlign w:val="center"/>
          </w:tcPr>
          <w:p w14:paraId="2F1758C5">
            <w:pPr>
              <w:pStyle w:val="28"/>
              <w:bidi w:val="0"/>
            </w:pPr>
            <w:r>
              <w:t>内容</w:t>
            </w:r>
          </w:p>
        </w:tc>
        <w:tc>
          <w:tcPr>
            <w:tcW w:w="1802" w:type="pct"/>
            <w:vAlign w:val="center"/>
          </w:tcPr>
          <w:p w14:paraId="29AF6E95">
            <w:pPr>
              <w:pStyle w:val="28"/>
              <w:bidi w:val="0"/>
            </w:pPr>
            <w:r>
              <w:t>本项目</w:t>
            </w:r>
          </w:p>
        </w:tc>
        <w:tc>
          <w:tcPr>
            <w:tcW w:w="438" w:type="pct"/>
            <w:vAlign w:val="center"/>
          </w:tcPr>
          <w:p w14:paraId="2095B651">
            <w:pPr>
              <w:pStyle w:val="28"/>
              <w:bidi w:val="0"/>
            </w:pPr>
            <w:r>
              <w:t>备注</w:t>
            </w:r>
          </w:p>
        </w:tc>
      </w:tr>
      <w:tr w14:paraId="19056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16B90C4B">
            <w:pPr>
              <w:pStyle w:val="28"/>
              <w:bidi w:val="0"/>
            </w:pPr>
            <w:r>
              <w:t>1</w:t>
            </w:r>
          </w:p>
        </w:tc>
        <w:tc>
          <w:tcPr>
            <w:tcW w:w="2399" w:type="pct"/>
            <w:vAlign w:val="center"/>
          </w:tcPr>
          <w:p w14:paraId="36C0F5CF">
            <w:pPr>
              <w:pStyle w:val="28"/>
              <w:bidi w:val="0"/>
            </w:pPr>
            <w:r>
              <w:t>项目符合生态环境及资源相关法律法规和政策要求，与主体功能区规划、生态功能区划、水（环境）功能区划、水污染防治规划、生态环境保护规划等相协调，项目开发任务、供水量、供水范围和对象、灌区规模、种植结构等主要内容总体符合流域区域综合规划、水资源规划、灌区规划、农业生产规划、节水规划等相关规划及规划环评要求</w:t>
            </w:r>
          </w:p>
        </w:tc>
        <w:tc>
          <w:tcPr>
            <w:tcW w:w="1802" w:type="pct"/>
            <w:vAlign w:val="center"/>
          </w:tcPr>
          <w:p w14:paraId="283F72C1">
            <w:pPr>
              <w:pStyle w:val="28"/>
              <w:bidi w:val="0"/>
            </w:pPr>
            <w:r>
              <w:t>项目符合生态环境及资源相关法律法规和政策要求，与主体功能区规划、生态功能区划、水（环境）功能区划、水污染防治规划、生态环境保护规划等相协调；本次工程是对安徽省</w:t>
            </w:r>
            <w:r>
              <w:rPr>
                <w:rFonts w:hint="eastAsia"/>
                <w:lang w:eastAsia="zh-CN"/>
              </w:rPr>
              <w:t>朱集灌区</w:t>
            </w:r>
            <w:r>
              <w:t>现有老化、破损、灌溉效率低的的渠道及其中的渠系建筑物进行改造，不新增开发任务、供水量、增灌溉规模，不扩大供水范围，不改变供水对象、种植结构等，总体符合流域区域综合规划、水资源规划、灌区规划、农业生产规划、节水规划等相关规划要求，无相关规划环评。</w:t>
            </w:r>
          </w:p>
        </w:tc>
        <w:tc>
          <w:tcPr>
            <w:tcW w:w="438" w:type="pct"/>
            <w:vAlign w:val="center"/>
          </w:tcPr>
          <w:p w14:paraId="3875CF88">
            <w:pPr>
              <w:pStyle w:val="28"/>
              <w:bidi w:val="0"/>
            </w:pPr>
            <w:r>
              <w:t>符合</w:t>
            </w:r>
          </w:p>
        </w:tc>
      </w:tr>
      <w:tr w14:paraId="658F5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641E00DD">
            <w:pPr>
              <w:pStyle w:val="28"/>
              <w:bidi w:val="0"/>
            </w:pPr>
            <w:r>
              <w:t>2</w:t>
            </w:r>
          </w:p>
        </w:tc>
        <w:tc>
          <w:tcPr>
            <w:tcW w:w="2399" w:type="pct"/>
            <w:vAlign w:val="center"/>
          </w:tcPr>
          <w:p w14:paraId="04B88922">
            <w:pPr>
              <w:pStyle w:val="28"/>
              <w:bidi w:val="0"/>
            </w:pPr>
            <w:r>
              <w:t>项目选址选线、取（蓄）水工程淹没、施工布置等不占用自然保护区、风景名胜区、世界文化和自然遗产地以及其他生态保护红线中法律法规禁止占用的区域，并与饮用水水源保护区、重要湿地等环境敏感区的保护要求相协调</w:t>
            </w:r>
          </w:p>
        </w:tc>
        <w:tc>
          <w:tcPr>
            <w:tcW w:w="1802" w:type="pct"/>
            <w:vAlign w:val="center"/>
          </w:tcPr>
          <w:p w14:paraId="7FD9BE40">
            <w:pPr>
              <w:pStyle w:val="28"/>
              <w:bidi w:val="0"/>
            </w:pPr>
            <w:r>
              <w:t>项目选址选线、施工布置等不占用自然保护区、世界文化和自然遗产地以及其他生态保护红线中法律法规禁止占用的区域，</w:t>
            </w:r>
          </w:p>
        </w:tc>
        <w:tc>
          <w:tcPr>
            <w:tcW w:w="438" w:type="pct"/>
            <w:vAlign w:val="center"/>
          </w:tcPr>
          <w:p w14:paraId="39580ECF">
            <w:pPr>
              <w:pStyle w:val="28"/>
              <w:bidi w:val="0"/>
            </w:pPr>
            <w:r>
              <w:t>符合</w:t>
            </w:r>
          </w:p>
        </w:tc>
      </w:tr>
      <w:tr w14:paraId="7A77B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72257135">
            <w:pPr>
              <w:pStyle w:val="28"/>
              <w:bidi w:val="0"/>
            </w:pPr>
            <w:r>
              <w:t>3</w:t>
            </w:r>
          </w:p>
        </w:tc>
        <w:tc>
          <w:tcPr>
            <w:tcW w:w="2399" w:type="pct"/>
            <w:vAlign w:val="center"/>
          </w:tcPr>
          <w:p w14:paraId="5B5E4CB4">
            <w:pPr>
              <w:pStyle w:val="28"/>
              <w:bidi w:val="0"/>
            </w:pPr>
            <w:r>
              <w:t>项目取（蓄）水造成河、湖或水库水文情势改变且带来不利影响的，统筹考虑了上、下游河道水环境、水生生态、景观、湿地等生态用水及生产、生活用水需求，提出了优化取水方案、泄放生态流量、实施在线监控等措施。通过节水、置换等措施获得供水水量的，用水方式和规模具有环境合理性和可行性。</w:t>
            </w:r>
          </w:p>
        </w:tc>
        <w:tc>
          <w:tcPr>
            <w:tcW w:w="1802" w:type="pct"/>
            <w:vAlign w:val="center"/>
          </w:tcPr>
          <w:p w14:paraId="61180B21">
            <w:pPr>
              <w:pStyle w:val="28"/>
              <w:bidi w:val="0"/>
            </w:pPr>
            <w:r>
              <w:t>项目为灌区工程，工程内容为灌区现有渠道和渠系建筑物的配套改造，渠道属于人工渠道，不会给河、湖或水库水文情势改变且带来不利影响。</w:t>
            </w:r>
          </w:p>
        </w:tc>
        <w:tc>
          <w:tcPr>
            <w:tcW w:w="438" w:type="pct"/>
            <w:vAlign w:val="center"/>
          </w:tcPr>
          <w:p w14:paraId="0EE66538">
            <w:pPr>
              <w:pStyle w:val="28"/>
              <w:bidi w:val="0"/>
            </w:pPr>
            <w:r>
              <w:t>符合</w:t>
            </w:r>
          </w:p>
        </w:tc>
      </w:tr>
      <w:tr w14:paraId="39ED6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298657C4">
            <w:pPr>
              <w:pStyle w:val="28"/>
              <w:bidi w:val="0"/>
            </w:pPr>
            <w:r>
              <w:t>4</w:t>
            </w:r>
          </w:p>
        </w:tc>
        <w:tc>
          <w:tcPr>
            <w:tcW w:w="2399" w:type="pct"/>
            <w:vAlign w:val="center"/>
          </w:tcPr>
          <w:p w14:paraId="4FE5D14E">
            <w:pPr>
              <w:pStyle w:val="28"/>
              <w:bidi w:val="0"/>
            </w:pPr>
            <w:r>
              <w:t>项目取（蓄）水、输水或灌溉造成周边区域地下水位变化，引起土壤潜育化、沼泽化、盐碱化、沙化或植被退化演替等次生环境问题或造成居民水井、泉水位下降影响居民用水安全的，提出了优化取（蓄）水方案及灌溉方式、渠道防渗、截水导排、生态修复或保障居民供水等措施。灌区土壤存在重金属污染等威胁农产品质量安全问题的，按照土壤环境管理的有关要求，提出了农艺调控、种植结构优化、耕地污染修复、灌溉水源调整或休耕等措施</w:t>
            </w:r>
          </w:p>
        </w:tc>
        <w:tc>
          <w:tcPr>
            <w:tcW w:w="1802" w:type="pct"/>
            <w:vAlign w:val="center"/>
          </w:tcPr>
          <w:p w14:paraId="71991779">
            <w:pPr>
              <w:pStyle w:val="28"/>
              <w:bidi w:val="0"/>
            </w:pPr>
            <w:r>
              <w:t>项目主要为灌区现有渠道和渠系建筑物的配套改造，旨在提高灌溉效率，不新增灌溉规模，对区域地下水水位影响较小；</w:t>
            </w:r>
          </w:p>
          <w:p w14:paraId="33664C58">
            <w:pPr>
              <w:pStyle w:val="28"/>
              <w:bidi w:val="0"/>
            </w:pPr>
            <w:r>
              <w:t>灌区周边主要为农田等；通过布点土壤监测重金属未超标。</w:t>
            </w:r>
          </w:p>
        </w:tc>
        <w:tc>
          <w:tcPr>
            <w:tcW w:w="438" w:type="pct"/>
            <w:vAlign w:val="center"/>
          </w:tcPr>
          <w:p w14:paraId="4AC88AC6">
            <w:pPr>
              <w:pStyle w:val="28"/>
              <w:bidi w:val="0"/>
            </w:pPr>
            <w:r>
              <w:t>符合</w:t>
            </w:r>
          </w:p>
        </w:tc>
      </w:tr>
      <w:tr w14:paraId="257D2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6B8B85FC">
            <w:pPr>
              <w:pStyle w:val="28"/>
              <w:bidi w:val="0"/>
            </w:pPr>
            <w:r>
              <w:t>5</w:t>
            </w:r>
          </w:p>
        </w:tc>
        <w:tc>
          <w:tcPr>
            <w:tcW w:w="2399" w:type="pct"/>
            <w:vAlign w:val="center"/>
          </w:tcPr>
          <w:p w14:paraId="263AB810">
            <w:pPr>
              <w:pStyle w:val="28"/>
              <w:bidi w:val="0"/>
            </w:pPr>
            <w:r>
              <w:t>项目取（输）水水质、水温满足灌溉水质和农作物生长要求。项目灌区农药化肥施用以及灌溉退水等对水环境造成污染的，提出了测土配方施肥、水肥一体化、控制农药与化肥施用种类及数量，以及建设生态沟渠、人工湿地、污水净化塘等措施</w:t>
            </w:r>
          </w:p>
        </w:tc>
        <w:tc>
          <w:tcPr>
            <w:tcW w:w="1802" w:type="pct"/>
            <w:vAlign w:val="center"/>
          </w:tcPr>
          <w:p w14:paraId="684EC88D">
            <w:pPr>
              <w:pStyle w:val="28"/>
              <w:bidi w:val="0"/>
            </w:pPr>
            <w:r>
              <w:t>项目输水水质、水温满足灌溉水质和农作物生长要求。</w:t>
            </w:r>
            <w:r>
              <w:rPr>
                <w:rFonts w:hint="eastAsia"/>
              </w:rPr>
              <w:t>本工程不产生新的低温水和新的灌溉退水污染问题</w:t>
            </w:r>
            <w:r>
              <w:t>。</w:t>
            </w:r>
          </w:p>
        </w:tc>
        <w:tc>
          <w:tcPr>
            <w:tcW w:w="438" w:type="pct"/>
            <w:vAlign w:val="center"/>
          </w:tcPr>
          <w:p w14:paraId="133DEF09">
            <w:pPr>
              <w:pStyle w:val="28"/>
              <w:bidi w:val="0"/>
            </w:pPr>
            <w:r>
              <w:t>符合</w:t>
            </w:r>
          </w:p>
        </w:tc>
      </w:tr>
      <w:tr w14:paraId="7EAE9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2667D804">
            <w:pPr>
              <w:pStyle w:val="28"/>
              <w:bidi w:val="0"/>
            </w:pPr>
            <w:r>
              <w:t>6</w:t>
            </w:r>
          </w:p>
        </w:tc>
        <w:tc>
          <w:tcPr>
            <w:tcW w:w="2399" w:type="pct"/>
            <w:vAlign w:val="center"/>
          </w:tcPr>
          <w:p w14:paraId="0DC705D2">
            <w:pPr>
              <w:pStyle w:val="28"/>
              <w:bidi w:val="0"/>
            </w:pPr>
            <w:r>
              <w:t>项目对湿地、陆生生态系统及珍稀保护陆生动植物造成不利影响的，提出了优化工程设计、合理安排工期、建设或保留动物迁移通道、异地保护、就地保护、生态修复等措施。可能引起灌区及周边土地退化的，提出了轮作、休耕等措施。项目对水生生态系统及鱼类等造成不利影响的，提出了优化工程设计及调度、拦河闸坝建设过鱼设施、引水渠首设置拦鱼设施、栖息地保护修复、增殖放流等措施。项目对景观产生不利影响的，提出了避让、优化设计、景观塑造等措施</w:t>
            </w:r>
          </w:p>
        </w:tc>
        <w:tc>
          <w:tcPr>
            <w:tcW w:w="1802" w:type="pct"/>
            <w:vAlign w:val="center"/>
          </w:tcPr>
          <w:p w14:paraId="37AB05A0">
            <w:pPr>
              <w:pStyle w:val="28"/>
              <w:bidi w:val="0"/>
            </w:pPr>
            <w:r>
              <w:t>项目对湿地、陆生生态系统和珍稀保护陆生动植物造成不利影响，已提出优化工程设计、施工时间和施工布置避让等措施减少不利影响；项目对水生生态系统及鱼类等造成不利影响的，提出了优化工程设计及调度。</w:t>
            </w:r>
          </w:p>
        </w:tc>
        <w:tc>
          <w:tcPr>
            <w:tcW w:w="438" w:type="pct"/>
            <w:vAlign w:val="center"/>
          </w:tcPr>
          <w:p w14:paraId="4D46E9A7">
            <w:pPr>
              <w:pStyle w:val="28"/>
              <w:bidi w:val="0"/>
            </w:pPr>
            <w:r>
              <w:t>符合</w:t>
            </w:r>
          </w:p>
        </w:tc>
      </w:tr>
      <w:tr w14:paraId="6CC0A4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06238A49">
            <w:pPr>
              <w:pStyle w:val="28"/>
              <w:bidi w:val="0"/>
            </w:pPr>
            <w:r>
              <w:t>7</w:t>
            </w:r>
          </w:p>
        </w:tc>
        <w:tc>
          <w:tcPr>
            <w:tcW w:w="2399" w:type="pct"/>
            <w:vAlign w:val="center"/>
          </w:tcPr>
          <w:p w14:paraId="01AA1521">
            <w:pPr>
              <w:pStyle w:val="28"/>
              <w:bidi w:val="0"/>
            </w:pPr>
            <w:r>
              <w:t>项目移民安置、专业项目改复建等工程建设方式和选址具有环境合理性，提出了生态保护和污染防治措施。另行立项的，提出了单独开展环境影响评价要求。</w:t>
            </w:r>
          </w:p>
        </w:tc>
        <w:tc>
          <w:tcPr>
            <w:tcW w:w="1802" w:type="pct"/>
            <w:vAlign w:val="center"/>
          </w:tcPr>
          <w:p w14:paraId="0AF7F821">
            <w:pPr>
              <w:pStyle w:val="28"/>
              <w:bidi w:val="0"/>
            </w:pPr>
            <w:r>
              <w:rPr>
                <w:rFonts w:hint="eastAsia"/>
              </w:rPr>
              <w:t>本次工程不涉及移民搬迁，</w:t>
            </w:r>
            <w:r>
              <w:t>项目专业设施采用货币改复建方式，选址在现有灌区管理范围内，本项目提出了生态保护和污染防治措施。</w:t>
            </w:r>
          </w:p>
        </w:tc>
        <w:tc>
          <w:tcPr>
            <w:tcW w:w="438" w:type="pct"/>
            <w:vAlign w:val="center"/>
          </w:tcPr>
          <w:p w14:paraId="2350DB86">
            <w:pPr>
              <w:pStyle w:val="28"/>
              <w:bidi w:val="0"/>
            </w:pPr>
            <w:r>
              <w:t>符合</w:t>
            </w:r>
          </w:p>
        </w:tc>
      </w:tr>
      <w:tr w14:paraId="1CBE8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7D797D92">
            <w:pPr>
              <w:pStyle w:val="28"/>
              <w:bidi w:val="0"/>
            </w:pPr>
            <w:r>
              <w:t>8</w:t>
            </w:r>
          </w:p>
        </w:tc>
        <w:tc>
          <w:tcPr>
            <w:tcW w:w="2399" w:type="pct"/>
            <w:vAlign w:val="center"/>
          </w:tcPr>
          <w:p w14:paraId="13B809AA">
            <w:pPr>
              <w:pStyle w:val="28"/>
              <w:bidi w:val="0"/>
            </w:pPr>
            <w:r>
              <w:t>第九条 项目施工组织方案具有环境合理性，对主体工程区、料场、弃土（渣）场、施工道路等施工区域提出了水土流失防治、生态修复等措施。根据环境保护相关标准和要求，提出了施工期废（污）水、施工机械车辆尾气、扬尘、噪声、固体废物等防治措施。</w:t>
            </w:r>
          </w:p>
        </w:tc>
        <w:tc>
          <w:tcPr>
            <w:tcW w:w="1802" w:type="pct"/>
            <w:vAlign w:val="center"/>
          </w:tcPr>
          <w:p w14:paraId="45FBF510">
            <w:pPr>
              <w:pStyle w:val="28"/>
              <w:bidi w:val="0"/>
            </w:pPr>
            <w:r>
              <w:t>项目施工组织方案具有环境合理性，对主体工程区、料场、弃土（渣）场、施工道路等施工区域提出了水土流失防治、生态修复等措施。根据环境保护相关标准和要求，提出了施工期废（污）水、施工机械车辆尾气、扬尘、噪声、固体废物等防治措施。</w:t>
            </w:r>
          </w:p>
        </w:tc>
        <w:tc>
          <w:tcPr>
            <w:tcW w:w="438" w:type="pct"/>
            <w:vAlign w:val="center"/>
          </w:tcPr>
          <w:p w14:paraId="60C8EDEB">
            <w:pPr>
              <w:pStyle w:val="28"/>
              <w:bidi w:val="0"/>
            </w:pPr>
            <w:r>
              <w:t>符合</w:t>
            </w:r>
          </w:p>
        </w:tc>
      </w:tr>
      <w:tr w14:paraId="2374F5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6E8D4900">
            <w:pPr>
              <w:pStyle w:val="28"/>
              <w:bidi w:val="0"/>
            </w:pPr>
            <w:r>
              <w:t>9</w:t>
            </w:r>
          </w:p>
        </w:tc>
        <w:tc>
          <w:tcPr>
            <w:tcW w:w="2399" w:type="pct"/>
            <w:vAlign w:val="center"/>
          </w:tcPr>
          <w:p w14:paraId="692E914D">
            <w:pPr>
              <w:pStyle w:val="28"/>
              <w:bidi w:val="0"/>
            </w:pPr>
            <w:r>
              <w:t>项目存在外来物种入侵以及灌溉水质污染等环境风险的，提出了针对性的环境风险防范措施以及环境应急预案编制、建立必要的应急联动机制等要求。</w:t>
            </w:r>
          </w:p>
        </w:tc>
        <w:tc>
          <w:tcPr>
            <w:tcW w:w="1802" w:type="pct"/>
            <w:vAlign w:val="center"/>
          </w:tcPr>
          <w:p w14:paraId="4DFA5BE8">
            <w:pPr>
              <w:pStyle w:val="28"/>
              <w:bidi w:val="0"/>
            </w:pPr>
            <w:r>
              <w:t>项目对现有灌区进行改造，不新</w:t>
            </w:r>
            <w:r>
              <w:rPr>
                <w:rFonts w:hint="eastAsia"/>
              </w:rPr>
              <w:t>增</w:t>
            </w:r>
            <w:r>
              <w:t>水源，</w:t>
            </w:r>
            <w:r>
              <w:rPr>
                <w:rFonts w:hint="eastAsia"/>
              </w:rPr>
              <w:t>不新增外来物种，根据现状调查，工程区域存在一枝黄花、小蓬草等外来物种，本次拟国家提出了针对性的环境风险防范措施以及环境应急预案编制、建立必要的应急联动机制等要求</w:t>
            </w:r>
          </w:p>
        </w:tc>
        <w:tc>
          <w:tcPr>
            <w:tcW w:w="438" w:type="pct"/>
            <w:vAlign w:val="center"/>
          </w:tcPr>
          <w:p w14:paraId="6B9E360B">
            <w:pPr>
              <w:pStyle w:val="28"/>
              <w:bidi w:val="0"/>
            </w:pPr>
            <w:r>
              <w:t>符合</w:t>
            </w:r>
          </w:p>
        </w:tc>
      </w:tr>
      <w:tr w14:paraId="663DD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05327E0E">
            <w:pPr>
              <w:pStyle w:val="28"/>
              <w:bidi w:val="0"/>
            </w:pPr>
            <w:r>
              <w:t>10</w:t>
            </w:r>
          </w:p>
        </w:tc>
        <w:tc>
          <w:tcPr>
            <w:tcW w:w="2399" w:type="pct"/>
            <w:vAlign w:val="center"/>
          </w:tcPr>
          <w:p w14:paraId="5E093A50">
            <w:pPr>
              <w:pStyle w:val="28"/>
              <w:bidi w:val="0"/>
            </w:pPr>
            <w:r>
              <w:t>改、扩建或依托现有工程的项目，在全面梳理与项目有关的现有工程环境问题的基础上，提出了与项目相适应的</w:t>
            </w:r>
            <w:r>
              <w:rPr>
                <w:rFonts w:hint="eastAsia"/>
              </w:rPr>
              <w:t>“</w:t>
            </w:r>
            <w:r>
              <w:t>以新带老</w:t>
            </w:r>
            <w:r>
              <w:rPr>
                <w:rFonts w:hint="eastAsia"/>
              </w:rPr>
              <w:t>”</w:t>
            </w:r>
            <w:r>
              <w:t>措施</w:t>
            </w:r>
          </w:p>
        </w:tc>
        <w:tc>
          <w:tcPr>
            <w:tcW w:w="1802" w:type="pct"/>
            <w:vAlign w:val="center"/>
          </w:tcPr>
          <w:p w14:paraId="355D968E">
            <w:pPr>
              <w:pStyle w:val="28"/>
              <w:bidi w:val="0"/>
            </w:pPr>
            <w:r>
              <w:t>已全面梳理与项目有关的现有工程环境问题，并提出了与项目相适应的</w:t>
            </w:r>
            <w:r>
              <w:rPr>
                <w:rFonts w:hint="eastAsia"/>
              </w:rPr>
              <w:t>“</w:t>
            </w:r>
            <w:r>
              <w:t>以新带老</w:t>
            </w:r>
            <w:r>
              <w:rPr>
                <w:rFonts w:hint="eastAsia"/>
              </w:rPr>
              <w:t>”</w:t>
            </w:r>
            <w:r>
              <w:t>措施</w:t>
            </w:r>
          </w:p>
        </w:tc>
        <w:tc>
          <w:tcPr>
            <w:tcW w:w="438" w:type="pct"/>
            <w:vAlign w:val="center"/>
          </w:tcPr>
          <w:p w14:paraId="69473228">
            <w:pPr>
              <w:pStyle w:val="28"/>
              <w:bidi w:val="0"/>
            </w:pPr>
            <w:r>
              <w:t>符合</w:t>
            </w:r>
          </w:p>
        </w:tc>
      </w:tr>
      <w:tr w14:paraId="0E683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6CED4E7A">
            <w:pPr>
              <w:pStyle w:val="28"/>
              <w:bidi w:val="0"/>
            </w:pPr>
            <w:r>
              <w:t>11</w:t>
            </w:r>
          </w:p>
        </w:tc>
        <w:tc>
          <w:tcPr>
            <w:tcW w:w="2399" w:type="pct"/>
            <w:vAlign w:val="center"/>
          </w:tcPr>
          <w:p w14:paraId="5BC4D274">
            <w:pPr>
              <w:pStyle w:val="28"/>
              <w:bidi w:val="0"/>
            </w:pPr>
            <w:r>
              <w:t>按相关导则及规定要求，制定了生态、水、土壤等环境要素的监测计划，明确了监测网点、因子、频次等有关要求，提出了根据监测评估结果优化环境保护措施的要求。根据生态环境保护需要和相关规定，提出了开展生态环境保护设计、科学研究、环境管理、环境影响后评价等要求</w:t>
            </w:r>
          </w:p>
        </w:tc>
        <w:tc>
          <w:tcPr>
            <w:tcW w:w="1802" w:type="pct"/>
            <w:vAlign w:val="center"/>
          </w:tcPr>
          <w:p w14:paraId="2A83BDD0">
            <w:pPr>
              <w:pStyle w:val="28"/>
              <w:bidi w:val="0"/>
            </w:pPr>
            <w:r>
              <w:t>已制定相应的环境监测计划，提出了生态环境保护设计、科学研究、环境管理、环境影响后评价等要求</w:t>
            </w:r>
          </w:p>
        </w:tc>
        <w:tc>
          <w:tcPr>
            <w:tcW w:w="438" w:type="pct"/>
            <w:vAlign w:val="center"/>
          </w:tcPr>
          <w:p w14:paraId="14C493C6">
            <w:pPr>
              <w:pStyle w:val="28"/>
              <w:bidi w:val="0"/>
            </w:pPr>
            <w:r>
              <w:t>符合</w:t>
            </w:r>
          </w:p>
        </w:tc>
      </w:tr>
      <w:tr w14:paraId="4D783C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155717D3">
            <w:pPr>
              <w:pStyle w:val="28"/>
              <w:bidi w:val="0"/>
            </w:pPr>
            <w:r>
              <w:t>12</w:t>
            </w:r>
          </w:p>
        </w:tc>
        <w:tc>
          <w:tcPr>
            <w:tcW w:w="2399" w:type="pct"/>
            <w:vAlign w:val="center"/>
          </w:tcPr>
          <w:p w14:paraId="3DBE73B6">
            <w:pPr>
              <w:pStyle w:val="28"/>
              <w:bidi w:val="0"/>
            </w:pPr>
            <w:r>
              <w:t>第十三条 对生态环境保护措施进行了深入论证，建设单位主体责任、投资估算、时间节点、预期效果明确，确保科学有效、安全可行、绿色协调</w:t>
            </w:r>
          </w:p>
        </w:tc>
        <w:tc>
          <w:tcPr>
            <w:tcW w:w="1802" w:type="pct"/>
            <w:vAlign w:val="center"/>
          </w:tcPr>
          <w:p w14:paraId="79765A63">
            <w:pPr>
              <w:pStyle w:val="28"/>
              <w:bidi w:val="0"/>
            </w:pPr>
            <w:r>
              <w:t>已对生态环境保护措施进行了深入论证，建设单位主体责任、投资估算、时间节点、预期效果明确</w:t>
            </w:r>
          </w:p>
        </w:tc>
        <w:tc>
          <w:tcPr>
            <w:tcW w:w="438" w:type="pct"/>
            <w:vAlign w:val="center"/>
          </w:tcPr>
          <w:p w14:paraId="64DF0E86">
            <w:pPr>
              <w:pStyle w:val="28"/>
              <w:bidi w:val="0"/>
            </w:pPr>
            <w:r>
              <w:t>符合</w:t>
            </w:r>
          </w:p>
        </w:tc>
      </w:tr>
      <w:tr w14:paraId="6A97C3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Align w:val="center"/>
          </w:tcPr>
          <w:p w14:paraId="5B71BAD0">
            <w:pPr>
              <w:pStyle w:val="28"/>
              <w:bidi w:val="0"/>
            </w:pPr>
            <w:r>
              <w:t>13</w:t>
            </w:r>
          </w:p>
        </w:tc>
        <w:tc>
          <w:tcPr>
            <w:tcW w:w="2399" w:type="pct"/>
            <w:vAlign w:val="center"/>
          </w:tcPr>
          <w:p w14:paraId="6F0E9638">
            <w:pPr>
              <w:pStyle w:val="28"/>
              <w:bidi w:val="0"/>
            </w:pPr>
            <w:r>
              <w:t>按相关规定开展了信息公开和公众参与</w:t>
            </w:r>
          </w:p>
        </w:tc>
        <w:tc>
          <w:tcPr>
            <w:tcW w:w="1802" w:type="pct"/>
            <w:vAlign w:val="center"/>
          </w:tcPr>
          <w:p w14:paraId="28E3D37A">
            <w:pPr>
              <w:pStyle w:val="28"/>
              <w:bidi w:val="0"/>
            </w:pPr>
            <w:r>
              <w:t>已开展</w:t>
            </w:r>
          </w:p>
        </w:tc>
        <w:tc>
          <w:tcPr>
            <w:tcW w:w="438" w:type="pct"/>
            <w:vAlign w:val="center"/>
          </w:tcPr>
          <w:p w14:paraId="526480B0">
            <w:pPr>
              <w:pStyle w:val="28"/>
              <w:bidi w:val="0"/>
            </w:pPr>
            <w:r>
              <w:t>符合</w:t>
            </w:r>
          </w:p>
        </w:tc>
      </w:tr>
    </w:tbl>
    <w:p w14:paraId="29893DB6">
      <w:pPr>
        <w:spacing w:line="240" w:lineRule="auto"/>
        <w:rPr>
          <w:rFonts w:cs="Times New Roman"/>
          <w:color w:val="0000FF"/>
        </w:rPr>
      </w:pPr>
    </w:p>
    <w:p w14:paraId="31790F99">
      <w:pPr>
        <w:pStyle w:val="4"/>
        <w:bidi w:val="0"/>
      </w:pPr>
      <w:r>
        <w:t>1.8.1</w:t>
      </w:r>
      <w:r>
        <w:rPr>
          <w:rFonts w:hint="eastAsia"/>
          <w:lang w:val="en-US" w:eastAsia="zh-CN"/>
        </w:rPr>
        <w:t>0</w:t>
      </w:r>
      <w:r>
        <w:t xml:space="preserve"> 与</w:t>
      </w:r>
      <w:r>
        <w:rPr>
          <w:rFonts w:hint="eastAsia"/>
        </w:rPr>
        <w:t>“</w:t>
      </w:r>
      <w:r>
        <w:t>三线一单</w:t>
      </w:r>
      <w:r>
        <w:rPr>
          <w:rFonts w:hint="eastAsia"/>
        </w:rPr>
        <w:t>”</w:t>
      </w:r>
      <w:r>
        <w:t>的相符性分析</w:t>
      </w:r>
    </w:p>
    <w:p w14:paraId="40D41ED5">
      <w:pPr>
        <w:bidi w:val="0"/>
      </w:pPr>
      <w:r>
        <w:t>（1）与生态保护红线的符合性分析</w:t>
      </w:r>
    </w:p>
    <w:p w14:paraId="2F336009">
      <w:pPr>
        <w:bidi w:val="0"/>
      </w:pPr>
      <w:r>
        <w:t>根据中共中央办公厅、国务院办公厅印发了《关于在国土空间规划中统筹划定落实三条控制线的指导意见》（2019年11月），对生态保护红线提出以下科学管理要求：</w:t>
      </w:r>
    </w:p>
    <w:p w14:paraId="488E1854">
      <w:pPr>
        <w:bidi w:val="0"/>
      </w:pPr>
      <w:r>
        <w:t>（四）按照生态功能划定生态保护红线。生态保护红线是指在生态空间范围内具有特殊重要生态功能、必须强制性严格保护的区域。优先将具有重要水源涵养、生物多样性维护、水土保持、防风固沙、海岸防护等功能的生态功能极重要区域，以及生态极敏感脆弱的水土流失、沙漠化、石漠化、海岸侵蚀等区域划入生态保护红线。其他经评估目前虽然不能确定但具有潜在重要生态价值的区域也划入生态保护红线。对自然保护地进行调整优化，评估调整后的自然保护地应划入生态保护红线；自然保护地发生调整的，生态保护红线相应调整。</w:t>
      </w:r>
    </w:p>
    <w:p w14:paraId="5D352BA8">
      <w:pPr>
        <w:bidi w:val="0"/>
      </w:pPr>
      <w:r>
        <w:t>生态保护红线内，自然保护地核心保护区原则上禁止人为活动，其他区域严格禁止开发性、生产性建设活动，在符合现行法律法规前提下，除国家重大战略项目外，仅允许对生态功能不造成破坏的有限人为活动，主要包括：零星的原住民在不扩大现有建设用地和耕地规模前提下，修缮生产生活设施，保留生活必需的少量种植、放牧、捕捞、养殖；因国家重大能源资源安全需要开展的战略性能源资源勘查，公益性自然资源调查和地质勘查；自然资源、生态环境监测和执法包括水文水资源监测及涉水违法事件的查处等，灾害防治和应急抢险活动；经依法批准进行的非破坏性科学研究观测、标本采集；经依法批准的考古调查发掘和文物保护活动；不破坏生态功能的适度参观旅游和相关的必要公共设施建设；必须且无法避让、符合县级以上国土空间规划的线性基础设施建设、防洪和供水设施建设与运行维护；重要生态修复工程。</w:t>
      </w:r>
    </w:p>
    <w:p w14:paraId="023ABC0E">
      <w:pPr>
        <w:bidi w:val="0"/>
        <w:rPr>
          <w:rFonts w:cs="Times New Roman"/>
          <w:color w:val="0000FF"/>
        </w:rPr>
      </w:pPr>
      <w:r>
        <w:t>项目</w:t>
      </w:r>
      <w:r>
        <w:rPr>
          <w:rFonts w:hint="eastAsia"/>
          <w:lang w:val="en-US" w:eastAsia="zh-CN"/>
        </w:rPr>
        <w:t>朱集一站引水渠工程</w:t>
      </w:r>
      <w:r>
        <w:t>涉及水土保持生态红线</w:t>
      </w:r>
      <w:r>
        <w:rPr>
          <w:rFonts w:hint="eastAsia"/>
        </w:rPr>
        <w:t>，</w:t>
      </w:r>
      <w:r>
        <w:rPr>
          <w:rFonts w:hint="eastAsia"/>
          <w:lang w:eastAsia="zh-CN"/>
        </w:rPr>
        <w:t>朱集灌区</w:t>
      </w:r>
      <w:r>
        <w:rPr>
          <w:rFonts w:hint="eastAsia"/>
        </w:rPr>
        <w:t>工程属于线性基础工程的建设与运行维护，不属于开发性、建设性活动，6个工程</w:t>
      </w:r>
      <w:r>
        <w:t>本身</w:t>
      </w:r>
      <w:r>
        <w:rPr>
          <w:rFonts w:hint="eastAsia"/>
        </w:rPr>
        <w:t>均</w:t>
      </w:r>
      <w:r>
        <w:t>已位于生态保护红线内，确实无法避免</w:t>
      </w:r>
      <w:r>
        <w:rPr>
          <w:rFonts w:hint="eastAsia"/>
        </w:rPr>
        <w:t>，项目建设与指导意见相符</w:t>
      </w:r>
      <w:r>
        <w:t>。</w:t>
      </w:r>
    </w:p>
    <w:p w14:paraId="3703701B">
      <w:pPr>
        <w:bidi w:val="0"/>
      </w:pPr>
      <w:r>
        <w:t>根据本项目的工程设计的总体思路和原则，本项目维持原有工程体系，在原有灌排体系等工程设施的基础上，对制约灌区发展的关键工程进行改造，由于原有工程的建设位置已经固定，出现问题的工程区段不具有人为选择性，这就决定了本项目涉及的单项工程的位置基本固定，不具有选择性。本项目单项工程在实施方案的的基础上，针对实施方案提出的问题，进一步补充和优化工程场址和线路的比较。对于原有工程已位于生态保护红线内的单项工程，涉及占用生态保护红线确实难以避让，且本次项目建设不涉及新增管理范围外永久占地，不新增占用生态保护红线面积。根据《自然资源部 生态环境部 国家林业和草原局关于加强生态保护红线管理的通知（试行）》，本项目属于必须且无法避让、符合县级以上国土空间规划的线性基础设施、通讯和防洪、供水设施建设和船舶航行、航道疏浚清淤等活动；已有的合法水利、交通运输等设施运行维护改造，考虑本次工程均不涉及新增建设用地，本项目按照合肥市、六安市三线一单管控要求进行管理。</w:t>
      </w:r>
    </w:p>
    <w:p w14:paraId="6EA1697E">
      <w:pPr>
        <w:bidi w:val="0"/>
      </w:pPr>
      <w:r>
        <w:t>项目建设对生态保护红线的影响主要在施工期，评价要求尽量减少扰动生态保护红线，减少生态保护红线内的施工和临时占用，通过加强施工管理及采取相关保护措施后可将本项目对生态保护红线的影响降至最低。</w:t>
      </w:r>
    </w:p>
    <w:p w14:paraId="531C10C4">
      <w:pPr>
        <w:bidi w:val="0"/>
      </w:pPr>
      <w:r>
        <w:t>本环评要求在生态保护红线范围内禁止设置排泥区、弃土区、施工布置区等，禁止向渠道直接排放污水。同时，本工程属于安徽省重点水利基础设施建设工程，具有显著的正面效应，工程建设运行期无污染源排放，不会导致渠道生态功能降低、面积减少、性质改变。因此整体来说，项目与《关于在国土空间规划中统筹划定落实三条控制线的指导意见》相符合。</w:t>
      </w:r>
    </w:p>
    <w:p w14:paraId="2A79047D">
      <w:pPr>
        <w:ind w:firstLine="482" w:firstLineChars="200"/>
        <w:rPr>
          <w:rFonts w:cs="Times New Roman"/>
          <w:b/>
          <w:bCs/>
          <w:color w:val="0000FF"/>
        </w:rPr>
      </w:pPr>
      <w:r>
        <w:rPr>
          <w:rFonts w:cs="Times New Roman"/>
          <w:b/>
          <w:bCs/>
          <w:color w:val="0000FF"/>
        </w:rPr>
        <w:t>（2）与环境质量底线的符合性分析</w:t>
      </w:r>
    </w:p>
    <w:p w14:paraId="2950DDA2">
      <w:pPr>
        <w:ind w:firstLine="480"/>
        <w:rPr>
          <w:rFonts w:cs="Times New Roman"/>
          <w:color w:val="0000FF"/>
        </w:rPr>
      </w:pPr>
      <w:r>
        <w:rPr>
          <w:rFonts w:cs="Times New Roman"/>
          <w:color w:val="0000FF"/>
        </w:rPr>
        <w:t>本工程地表水评价标准执行《地表水环境质量标准》（GB3838-2002）</w:t>
      </w:r>
      <w:r>
        <w:rPr>
          <w:rFonts w:hint="eastAsia" w:cs="Times New Roman"/>
          <w:color w:val="0000FF"/>
        </w:rPr>
        <w:t>相关</w:t>
      </w:r>
      <w:r>
        <w:rPr>
          <w:rFonts w:cs="Times New Roman"/>
          <w:color w:val="0000FF"/>
        </w:rPr>
        <w:t>标准；地下水环境质量评价执行《地下水质量标准》（GB/T14848-2017）中的Ⅲ类标准；环境空气质量执行《环境空气质量标准》（GB3095-2012）中二级标准；沿线敏感点执行《声环境质量标准》（GB3096-2008）1类标准，集镇、工业活动较多、交通干扰大的村庄等执行2类标准，交通干线两侧一定范围内执行《声环境质量标准》（GB3096-2008）中的4a类标准</w:t>
      </w:r>
      <w:r>
        <w:rPr>
          <w:rFonts w:cs="Times New Roman"/>
          <w:color w:val="0000FF"/>
          <w:kern w:val="2"/>
        </w:rPr>
        <w:t>（相邻区域为1类标准适用区域，距离为50m±5m；相邻区域为2类标准适用区域，距离为35m±5m）</w:t>
      </w:r>
      <w:r>
        <w:rPr>
          <w:rFonts w:cs="Times New Roman"/>
          <w:color w:val="0000FF"/>
        </w:rPr>
        <w:t>；渠道底质和土壤评价标准执行《土壤环境质量 农用地土壤污染风险管控标准（试行）》（GB15618-2018）。</w:t>
      </w:r>
    </w:p>
    <w:p w14:paraId="1B1729A5">
      <w:pPr>
        <w:ind w:firstLine="480"/>
        <w:rPr>
          <w:rFonts w:cs="Times New Roman"/>
          <w:color w:val="0000FF"/>
        </w:rPr>
      </w:pPr>
      <w:r>
        <w:rPr>
          <w:rFonts w:cs="Times New Roman"/>
          <w:color w:val="0000FF"/>
        </w:rPr>
        <w:t>根据拟建项目所在区域的环境质量现状监测结果，项目所在区域地表水环境、地下水环境、大气环境、声环境、渠道底质和土壤环境均满足相应的环境质量标准。本项目属于非污染生态类项目，项目在施工期会产生一定的废水、废气、固体废物等各类污染物，会对项目所在区域的水环境、声环境、大气环境产生一定的影响，施工结束后影响随之消除。运行期基本无污染物排放，故本项目建设不会导致区域环境质量降低，与环境质量底线相符合。</w:t>
      </w:r>
    </w:p>
    <w:p w14:paraId="6870C5D1">
      <w:pPr>
        <w:ind w:firstLine="480"/>
        <w:rPr>
          <w:rFonts w:cs="Times New Roman"/>
          <w:color w:val="0000FF"/>
          <w:lang w:bidi="ar"/>
        </w:rPr>
      </w:pPr>
      <w:r>
        <w:rPr>
          <w:rFonts w:cs="Times New Roman"/>
          <w:color w:val="0000FF"/>
          <w:lang w:bidi="ar"/>
        </w:rPr>
        <w:t>本项目淠河总干渠上段续建配套与现代化改造工程、淠河总干渠樊通桥渠下涵拆除重建工程、淠河总干渠下段切岭段整治工程、潜南干渠聚星渡槽改造工程、滁河干渠总局直管段续建配套与现代化改造工程、滁河干渠瞿岗等6座渠下涵拆除重建工程合计6个工程</w:t>
      </w:r>
      <w:r>
        <w:rPr>
          <w:rFonts w:cs="Times New Roman"/>
          <w:color w:val="0000FF"/>
        </w:rPr>
        <w:t>涉及水土保持生态红线，项目各环境要素分区及管控要求具体如下：</w:t>
      </w:r>
    </w:p>
    <w:p w14:paraId="01E84C1D">
      <w:pPr>
        <w:spacing w:line="240" w:lineRule="auto"/>
        <w:ind w:firstLine="480"/>
        <w:rPr>
          <w:rFonts w:cs="Times New Roman"/>
          <w:color w:val="0000FF"/>
        </w:rPr>
      </w:pPr>
      <w:r>
        <w:rPr>
          <w:rFonts w:cs="Times New Roman"/>
          <w:color w:val="0000FF"/>
          <w:lang w:bidi="ar"/>
        </w:rPr>
        <w:t>1）淠河总干渠上段续建配套与现代化改造工程、淠河总干渠樊通桥渠下涵拆除重建工程</w:t>
      </w:r>
    </w:p>
    <w:p w14:paraId="2F0BD280">
      <w:pPr>
        <w:ind w:firstLine="480" w:firstLineChars="200"/>
        <w:rPr>
          <w:rFonts w:cs="Times New Roman"/>
          <w:color w:val="0000FF"/>
        </w:rPr>
      </w:pPr>
      <w:r>
        <w:rPr>
          <w:rFonts w:cs="Times New Roman"/>
          <w:color w:val="0000FF"/>
        </w:rPr>
        <w:t>①水环境分区管控</w:t>
      </w:r>
    </w:p>
    <w:p w14:paraId="2DADB953">
      <w:pPr>
        <w:ind w:firstLine="480" w:firstLineChars="200"/>
        <w:rPr>
          <w:rFonts w:cs="Times New Roman"/>
          <w:color w:val="0000FF"/>
        </w:rPr>
      </w:pPr>
      <w:r>
        <w:rPr>
          <w:rFonts w:cs="Times New Roman"/>
          <w:color w:val="0000FF"/>
        </w:rPr>
        <w:t>对照《六安市</w:t>
      </w:r>
      <w:r>
        <w:rPr>
          <w:rFonts w:hint="eastAsia" w:cs="Times New Roman"/>
          <w:color w:val="0000FF"/>
        </w:rPr>
        <w:t>“</w:t>
      </w:r>
      <w:r>
        <w:rPr>
          <w:rFonts w:cs="Times New Roman"/>
          <w:color w:val="0000FF"/>
        </w:rPr>
        <w:t>三线一单</w:t>
      </w:r>
      <w:r>
        <w:rPr>
          <w:rFonts w:hint="eastAsia" w:cs="Times New Roman"/>
          <w:color w:val="0000FF"/>
        </w:rPr>
        <w:t>”</w:t>
      </w:r>
      <w:r>
        <w:rPr>
          <w:rFonts w:cs="Times New Roman"/>
          <w:color w:val="0000FF"/>
        </w:rPr>
        <w:t>》，项目所在区域涉及优先保护区，依据《中华人民共和国水污染防治法》、《安徽省饮用水水源环境保护条例》等法律法规和规章对饮用水水源保护区实施 管控；依据《中华人民共和国自然保护区条例》、《国家湿地公园管理办法》《安徽省湿地保护条例》、《安徽省湿地公园管理办法（试行）》等法律法规和规章对湿地型自然保护区、湿地公园实施管控；依据《巢湖流域水污染防治条例》对巢湖流域实施管控；各类保护地 外围区域按照既有规定进行管控；依据《六安市饮用水水源环境保护条例》、《六安市水污染防治工作方案》等法律法规和规章对饮用水水 源保护区实施管控。</w:t>
      </w:r>
    </w:p>
    <w:p w14:paraId="0E910219">
      <w:pPr>
        <w:ind w:firstLine="480" w:firstLineChars="200"/>
        <w:rPr>
          <w:rFonts w:cs="Times New Roman"/>
          <w:color w:val="0000FF"/>
        </w:rPr>
      </w:pPr>
      <w:r>
        <w:rPr>
          <w:rFonts w:cs="Times New Roman"/>
          <w:color w:val="0000FF"/>
        </w:rPr>
        <w:t>②大气环境分区管控</w:t>
      </w:r>
    </w:p>
    <w:p w14:paraId="27D2BC16">
      <w:pPr>
        <w:ind w:firstLine="480" w:firstLineChars="200"/>
        <w:rPr>
          <w:rFonts w:cs="Times New Roman"/>
          <w:color w:val="0000FF"/>
        </w:rPr>
      </w:pPr>
      <w:r>
        <w:rPr>
          <w:rFonts w:cs="Times New Roman"/>
          <w:color w:val="0000FF"/>
        </w:rPr>
        <w:t>对照《六安市</w:t>
      </w:r>
      <w:r>
        <w:rPr>
          <w:rFonts w:hint="eastAsia" w:cs="Times New Roman"/>
          <w:color w:val="0000FF"/>
        </w:rPr>
        <w:t>“</w:t>
      </w:r>
      <w:r>
        <w:rPr>
          <w:rFonts w:cs="Times New Roman"/>
          <w:color w:val="0000FF"/>
        </w:rPr>
        <w:t>三线一单</w:t>
      </w:r>
      <w:r>
        <w:rPr>
          <w:rFonts w:hint="eastAsia" w:cs="Times New Roman"/>
          <w:color w:val="0000FF"/>
        </w:rPr>
        <w:t>”</w:t>
      </w:r>
      <w:r>
        <w:rPr>
          <w:rFonts w:cs="Times New Roman"/>
          <w:color w:val="0000FF"/>
        </w:rPr>
        <w:t>》，项目所在区域不涉及优先保护区，需落实《安徽省大气污染防治条例》等要求，严格目标实施计划，加强环境监管，促进生态环境质量好转。上年度 PM</w:t>
      </w:r>
      <w:r>
        <w:rPr>
          <w:rFonts w:cs="Times New Roman"/>
          <w:color w:val="0000FF"/>
          <w:vertAlign w:val="subscript"/>
        </w:rPr>
        <w:t>2.5</w:t>
      </w:r>
      <w:r>
        <w:rPr>
          <w:rFonts w:cs="Times New Roman"/>
          <w:color w:val="0000FF"/>
        </w:rPr>
        <w:t>不达标城市新建、改建和扩建项目大气污染物实施</w:t>
      </w:r>
      <w:r>
        <w:rPr>
          <w:rFonts w:hint="eastAsia" w:cs="Times New Roman"/>
          <w:color w:val="0000FF"/>
        </w:rPr>
        <w:t>“</w:t>
      </w:r>
      <w:r>
        <w:rPr>
          <w:rFonts w:cs="Times New Roman"/>
          <w:color w:val="0000FF"/>
        </w:rPr>
        <w:t>倍量替代</w:t>
      </w:r>
      <w:r>
        <w:rPr>
          <w:rFonts w:hint="eastAsia" w:cs="Times New Roman"/>
          <w:color w:val="0000FF"/>
        </w:rPr>
        <w:t>”</w:t>
      </w:r>
      <w:r>
        <w:rPr>
          <w:rFonts w:cs="Times New Roman"/>
          <w:color w:val="0000FF"/>
        </w:rPr>
        <w:t>，执行特别排放标准的行业实施提标升级改造。</w:t>
      </w:r>
    </w:p>
    <w:p w14:paraId="1BD26DEC">
      <w:pPr>
        <w:ind w:firstLine="480" w:firstLineChars="200"/>
        <w:rPr>
          <w:rFonts w:cs="Times New Roman"/>
          <w:color w:val="0000FF"/>
        </w:rPr>
      </w:pPr>
      <w:r>
        <w:rPr>
          <w:rFonts w:cs="Times New Roman"/>
          <w:color w:val="0000FF"/>
        </w:rPr>
        <w:t>③土壤环境风险分区管控</w:t>
      </w:r>
    </w:p>
    <w:p w14:paraId="6D9B0858">
      <w:pPr>
        <w:ind w:firstLine="480" w:firstLineChars="200"/>
        <w:rPr>
          <w:rFonts w:cs="Times New Roman"/>
          <w:color w:val="0000FF"/>
        </w:rPr>
      </w:pPr>
      <w:r>
        <w:rPr>
          <w:rFonts w:cs="Times New Roman"/>
          <w:color w:val="0000FF"/>
        </w:rPr>
        <w:t>对照《六安市</w:t>
      </w:r>
      <w:r>
        <w:rPr>
          <w:rFonts w:hint="eastAsia" w:cs="Times New Roman"/>
          <w:color w:val="0000FF"/>
        </w:rPr>
        <w:t>“</w:t>
      </w:r>
      <w:r>
        <w:rPr>
          <w:rFonts w:cs="Times New Roman"/>
          <w:color w:val="0000FF"/>
        </w:rPr>
        <w:t>三线一单</w:t>
      </w:r>
      <w:r>
        <w:rPr>
          <w:rFonts w:hint="eastAsia" w:cs="Times New Roman"/>
          <w:color w:val="0000FF"/>
        </w:rPr>
        <w:t>”</w:t>
      </w:r>
      <w:r>
        <w:rPr>
          <w:rFonts w:cs="Times New Roman"/>
          <w:color w:val="0000FF"/>
        </w:rPr>
        <w:t>》，项目所在区域不涉及优先保护区，属于土壤污染风险一般防控区，需依据《中华人民共和国土壤污染防治法》、《土壤污 染防治行动计划》、《安徽省土壤污染防治工作方案》、《六安市土壤污染防治工作方案》等要求及各市 土壤污染防治工作方案对一般管控区实施管控。</w:t>
      </w:r>
    </w:p>
    <w:p w14:paraId="5CC5390A">
      <w:pPr>
        <w:ind w:firstLine="480" w:firstLineChars="200"/>
        <w:rPr>
          <w:rFonts w:cs="Times New Roman"/>
          <w:color w:val="0000FF"/>
        </w:rPr>
      </w:pPr>
      <w:r>
        <w:rPr>
          <w:rFonts w:cs="Times New Roman"/>
          <w:color w:val="0000FF"/>
        </w:rPr>
        <w:t>2）淠河总干渠下段切岭段整治工程、潜南干渠聚星渡槽改造工程、滁河干渠总局直管段续建配套与现代化改造工程、滁河干渠瞿岗等6座渠下涵拆除重建工程</w:t>
      </w:r>
    </w:p>
    <w:p w14:paraId="70F7D374">
      <w:pPr>
        <w:ind w:firstLine="480" w:firstLineChars="200"/>
        <w:rPr>
          <w:rFonts w:cs="Times New Roman"/>
          <w:color w:val="0000FF"/>
        </w:rPr>
      </w:pPr>
      <w:r>
        <w:rPr>
          <w:rFonts w:cs="Times New Roman"/>
          <w:color w:val="0000FF"/>
        </w:rPr>
        <w:t>①水环境分区管控</w:t>
      </w:r>
    </w:p>
    <w:p w14:paraId="3E390EFB">
      <w:pPr>
        <w:ind w:firstLine="480" w:firstLineChars="200"/>
        <w:rPr>
          <w:rFonts w:cs="Times New Roman"/>
          <w:color w:val="0000FF"/>
        </w:rPr>
      </w:pPr>
      <w:r>
        <w:rPr>
          <w:rFonts w:cs="Times New Roman"/>
          <w:color w:val="0000FF"/>
        </w:rPr>
        <w:t>对照《合肥市</w:t>
      </w:r>
      <w:r>
        <w:rPr>
          <w:rFonts w:hint="eastAsia" w:cs="Times New Roman"/>
          <w:color w:val="0000FF"/>
        </w:rPr>
        <w:t>“</w:t>
      </w:r>
      <w:r>
        <w:rPr>
          <w:rFonts w:cs="Times New Roman"/>
          <w:color w:val="0000FF"/>
        </w:rPr>
        <w:t>三线一单</w:t>
      </w:r>
      <w:r>
        <w:rPr>
          <w:rFonts w:hint="eastAsia" w:cs="Times New Roman"/>
          <w:color w:val="0000FF"/>
        </w:rPr>
        <w:t>”</w:t>
      </w:r>
      <w:r>
        <w:rPr>
          <w:rFonts w:cs="Times New Roman"/>
          <w:color w:val="0000FF"/>
        </w:rPr>
        <w:t>》，项目所在区域仅滁河干渠瞿岗等6座渠下涵拆除重建工程涉及优先保护区，其他工程属于水环境一般管控区，优先保护区依据《中华人民共和国水污染防治法》《安徽省饮用水水源环境保护条例》《合肥市饮用水水源保护条例》等法律法规和规章对饮用水水源保护区实施管控；依据《中华人民共和国自然保护区条例》《国家湿地公园管理办法》《安徽省湿地保护条例》《安徽省湿地公园管理办法（试行）》等法律法规和规章对湿地型自然保护区、湿地公园实施管控；依据《巢湖流域水污染防治条例》对巢湖流域实施管控；各类保护地外围区域按照既有规定进行管控。</w:t>
      </w:r>
    </w:p>
    <w:p w14:paraId="31692FE8">
      <w:pPr>
        <w:ind w:firstLine="480" w:firstLineChars="200"/>
        <w:rPr>
          <w:rFonts w:cs="Times New Roman"/>
          <w:color w:val="0000FF"/>
        </w:rPr>
      </w:pPr>
      <w:r>
        <w:rPr>
          <w:rFonts w:cs="Times New Roman"/>
          <w:color w:val="0000FF"/>
        </w:rPr>
        <w:t>一般管控区依据《中华人民共和国水污染防治法》《水污染防治行动计划》《安徽省水污染防治工作方案》《合肥市水污染防治工作方案》对一般管控区实施管控；依据《安徽省淮河流域水污染防治条例》对淮河流域实施管控；依据《巢湖流域水污染防治条例》《巢湖综合治理绿色发展总体规划》《巢湖流域农业面源污染防治实施方案》《关于建设绿色发展美丽巢湖的意见》对巢湖流域实施管控；依据《合肥市水环境保护条例》对合肥市实施管控。</w:t>
      </w:r>
    </w:p>
    <w:p w14:paraId="10D6ACF7">
      <w:pPr>
        <w:ind w:firstLine="480" w:firstLineChars="200"/>
        <w:rPr>
          <w:rFonts w:cs="Times New Roman"/>
          <w:color w:val="0000FF"/>
        </w:rPr>
      </w:pPr>
      <w:r>
        <w:rPr>
          <w:rFonts w:cs="Times New Roman"/>
          <w:color w:val="0000FF"/>
        </w:rPr>
        <w:t>②大气环境分区管控</w:t>
      </w:r>
    </w:p>
    <w:p w14:paraId="670A14F3">
      <w:pPr>
        <w:ind w:firstLine="480" w:firstLineChars="200"/>
        <w:rPr>
          <w:rFonts w:cs="Times New Roman"/>
          <w:color w:val="0000FF"/>
        </w:rPr>
      </w:pPr>
      <w:r>
        <w:rPr>
          <w:rFonts w:cs="Times New Roman"/>
          <w:color w:val="0000FF"/>
        </w:rPr>
        <w:t>对照《合肥市</w:t>
      </w:r>
      <w:r>
        <w:rPr>
          <w:rFonts w:hint="eastAsia" w:cs="Times New Roman"/>
          <w:color w:val="0000FF"/>
        </w:rPr>
        <w:t>“</w:t>
      </w:r>
      <w:r>
        <w:rPr>
          <w:rFonts w:cs="Times New Roman"/>
          <w:color w:val="0000FF"/>
        </w:rPr>
        <w:t>三线一单</w:t>
      </w:r>
      <w:r>
        <w:rPr>
          <w:rFonts w:hint="eastAsia" w:cs="Times New Roman"/>
          <w:color w:val="0000FF"/>
        </w:rPr>
        <w:t>”</w:t>
      </w:r>
      <w:r>
        <w:rPr>
          <w:rFonts w:cs="Times New Roman"/>
          <w:color w:val="0000FF"/>
        </w:rPr>
        <w:t>》，项目所在区域不涉及优先保护区，属于大气环境一般管控区，依据《中华人民共和国大气污染防治法》《打赢蓝天保卫战三年行动计划》《安徽省大气污染防治条例》《安徽省打赢蓝天保卫战三年行动计划实施方案》《合肥市大气污染防治条例》《合肥市打赢蓝天保卫战三年行动计划实施方案》等法律法规和规章对一般管控区实施管控。新建、改建和扩建项目大气污染物实施</w:t>
      </w:r>
      <w:r>
        <w:rPr>
          <w:rFonts w:hint="eastAsia" w:cs="Times New Roman"/>
          <w:color w:val="0000FF"/>
        </w:rPr>
        <w:t>“</w:t>
      </w:r>
      <w:r>
        <w:rPr>
          <w:rFonts w:cs="Times New Roman"/>
          <w:color w:val="0000FF"/>
        </w:rPr>
        <w:t>倍量替代</w:t>
      </w:r>
      <w:r>
        <w:rPr>
          <w:rFonts w:hint="eastAsia" w:cs="Times New Roman"/>
          <w:color w:val="0000FF"/>
        </w:rPr>
        <w:t>”</w:t>
      </w:r>
      <w:r>
        <w:rPr>
          <w:rFonts w:cs="Times New Roman"/>
          <w:color w:val="0000FF"/>
        </w:rPr>
        <w:t>。</w:t>
      </w:r>
    </w:p>
    <w:p w14:paraId="28F1F4DC">
      <w:pPr>
        <w:ind w:firstLine="480" w:firstLineChars="200"/>
        <w:rPr>
          <w:rFonts w:cs="Times New Roman"/>
          <w:color w:val="0000FF"/>
        </w:rPr>
      </w:pPr>
      <w:r>
        <w:rPr>
          <w:rFonts w:cs="Times New Roman"/>
          <w:color w:val="0000FF"/>
        </w:rPr>
        <w:t>③土壤环境风险分区管控</w:t>
      </w:r>
    </w:p>
    <w:p w14:paraId="43A59DBA">
      <w:pPr>
        <w:ind w:firstLine="480" w:firstLineChars="200"/>
        <w:rPr>
          <w:rFonts w:cs="Times New Roman"/>
          <w:color w:val="0000FF"/>
        </w:rPr>
      </w:pPr>
      <w:r>
        <w:rPr>
          <w:rFonts w:cs="Times New Roman"/>
          <w:color w:val="0000FF"/>
        </w:rPr>
        <w:t>对照《合肥市</w:t>
      </w:r>
      <w:r>
        <w:rPr>
          <w:rFonts w:hint="eastAsia" w:cs="Times New Roman"/>
          <w:color w:val="0000FF"/>
        </w:rPr>
        <w:t>“</w:t>
      </w:r>
      <w:r>
        <w:rPr>
          <w:rFonts w:cs="Times New Roman"/>
          <w:color w:val="0000FF"/>
        </w:rPr>
        <w:t>三线一单</w:t>
      </w:r>
      <w:r>
        <w:rPr>
          <w:rFonts w:hint="eastAsia" w:cs="Times New Roman"/>
          <w:color w:val="0000FF"/>
        </w:rPr>
        <w:t>”</w:t>
      </w:r>
      <w:r>
        <w:rPr>
          <w:rFonts w:cs="Times New Roman"/>
          <w:color w:val="0000FF"/>
        </w:rPr>
        <w:t>》，项目所在区域不涉及优先保护区，属于土壤污染风险一般防控区，需依据《中华人民共和国土壤污染防治法》、《土壤污染防治行动计划》、《安徽省土壤污染防治工作方案》、《合肥市土壤污染防治工作实施方案》等要求对一般管控区实施管控。</w:t>
      </w:r>
    </w:p>
    <w:p w14:paraId="0A410082">
      <w:pPr>
        <w:ind w:firstLine="480" w:firstLineChars="200"/>
        <w:rPr>
          <w:rFonts w:cs="Times New Roman"/>
          <w:color w:val="0000FF"/>
        </w:rPr>
      </w:pPr>
      <w:r>
        <w:rPr>
          <w:rFonts w:cs="Times New Roman"/>
          <w:color w:val="0000FF"/>
        </w:rPr>
        <w:t>项目一般固体废物收集暂存于</w:t>
      </w:r>
      <w:r>
        <w:rPr>
          <w:rFonts w:hint="eastAsia" w:cs="Times New Roman"/>
          <w:color w:val="0000FF"/>
        </w:rPr>
        <w:t>一般固废仓库</w:t>
      </w:r>
      <w:r>
        <w:rPr>
          <w:rFonts w:cs="Times New Roman"/>
          <w:color w:val="0000FF"/>
        </w:rPr>
        <w:t>；危险废物收集暂存于危险废物仓库，定期委托有资质的单位回收处置。危废仓库均按照相关要求进行防渗，工程结束后及时对弃土场进行复垦和开展水土保护措施。</w:t>
      </w:r>
    </w:p>
    <w:p w14:paraId="3E450366">
      <w:pPr>
        <w:ind w:firstLine="480" w:firstLineChars="200"/>
        <w:rPr>
          <w:rFonts w:cs="Times New Roman"/>
          <w:color w:val="0000FF"/>
        </w:rPr>
      </w:pPr>
      <w:r>
        <w:rPr>
          <w:rFonts w:cs="Times New Roman"/>
          <w:color w:val="0000FF"/>
        </w:rPr>
        <w:t>综上，项目建设对区域环境质量影响较小，且项目区域大气、地表水、区域地下水、土壤、声环境质量均具有一定容量。</w:t>
      </w:r>
    </w:p>
    <w:p w14:paraId="271B0EB7">
      <w:pPr>
        <w:ind w:firstLine="482"/>
        <w:rPr>
          <w:rFonts w:cs="Times New Roman"/>
          <w:b/>
          <w:bCs/>
          <w:color w:val="0000FF"/>
        </w:rPr>
      </w:pPr>
      <w:r>
        <w:rPr>
          <w:rFonts w:cs="Times New Roman"/>
          <w:b/>
          <w:bCs/>
          <w:color w:val="0000FF"/>
        </w:rPr>
        <w:t>（3）与资源利用上线的符合性分析</w:t>
      </w:r>
    </w:p>
    <w:p w14:paraId="198438A8">
      <w:pPr>
        <w:ind w:firstLine="480"/>
        <w:rPr>
          <w:rFonts w:cs="Times New Roman"/>
          <w:color w:val="0000FF"/>
        </w:rPr>
      </w:pPr>
      <w:r>
        <w:rPr>
          <w:rFonts w:cs="Times New Roman"/>
          <w:color w:val="0000FF"/>
        </w:rPr>
        <w:t>本工程永久占地</w:t>
      </w:r>
      <w:r>
        <w:rPr>
          <w:rFonts w:hint="eastAsia" w:cs="Times New Roman"/>
          <w:color w:val="0000FF"/>
        </w:rPr>
        <w:t>445.83</w:t>
      </w:r>
      <w:r>
        <w:rPr>
          <w:rFonts w:cs="Times New Roman"/>
          <w:color w:val="0000FF"/>
        </w:rPr>
        <w:t>hm</w:t>
      </w:r>
      <w:r>
        <w:rPr>
          <w:rFonts w:cs="Times New Roman"/>
          <w:color w:val="0000FF"/>
          <w:vertAlign w:val="superscript"/>
        </w:rPr>
        <w:t>2</w:t>
      </w:r>
      <w:r>
        <w:rPr>
          <w:rFonts w:cs="Times New Roman"/>
          <w:color w:val="0000FF"/>
        </w:rPr>
        <w:t>，均位于灌区管理范围内，临时占地</w:t>
      </w:r>
      <w:r>
        <w:rPr>
          <w:rFonts w:hint="eastAsia" w:cs="Times New Roman"/>
          <w:color w:val="0000FF"/>
        </w:rPr>
        <w:t>167.15</w:t>
      </w:r>
      <w:r>
        <w:rPr>
          <w:rFonts w:cs="Times New Roman"/>
          <w:color w:val="0000FF"/>
        </w:rPr>
        <w:t>hm</w:t>
      </w:r>
      <w:r>
        <w:rPr>
          <w:rFonts w:cs="Times New Roman"/>
          <w:color w:val="0000FF"/>
          <w:vertAlign w:val="superscript"/>
        </w:rPr>
        <w:t>2</w:t>
      </w:r>
      <w:r>
        <w:rPr>
          <w:rFonts w:cs="Times New Roman"/>
          <w:color w:val="0000FF"/>
        </w:rPr>
        <w:t>，主要为</w:t>
      </w:r>
      <w:r>
        <w:rPr>
          <w:rFonts w:hint="eastAsia" w:cs="Times New Roman"/>
          <w:color w:val="0000FF"/>
        </w:rPr>
        <w:t>水域及水利设施用地和</w:t>
      </w:r>
      <w:r>
        <w:rPr>
          <w:rFonts w:cs="Times New Roman"/>
          <w:color w:val="0000FF"/>
        </w:rPr>
        <w:t>耕地，临时工程没有集中的大面积占地，对相应的行政村现有耕地影响较小，同时工程临时占地在施工结束后可以进行复垦；因此，本工程占地对工程所在区域土地资源影响较小，不会超过其土地利用资源上限。施工期间的生产用水可以从渠道中抽取，生活用水可就近接用周边村庄、城镇的供水系统；项目生产生活用电可就近从附近电网接用或自发解决。因此，本工程资源利用均在区域资源供给可承受范围内。</w:t>
      </w:r>
    </w:p>
    <w:p w14:paraId="27397F70">
      <w:pPr>
        <w:ind w:firstLine="482"/>
        <w:rPr>
          <w:rFonts w:cs="Times New Roman"/>
          <w:b/>
          <w:bCs/>
          <w:color w:val="0000FF"/>
        </w:rPr>
      </w:pPr>
      <w:r>
        <w:rPr>
          <w:rFonts w:cs="Times New Roman"/>
          <w:b/>
          <w:bCs/>
          <w:color w:val="0000FF"/>
        </w:rPr>
        <w:t>（4）环境准入负面清单</w:t>
      </w:r>
    </w:p>
    <w:p w14:paraId="3761C619">
      <w:pPr>
        <w:rPr>
          <w:rFonts w:cs="Times New Roman"/>
          <w:color w:val="0000FF"/>
        </w:rPr>
        <w:sectPr>
          <w:footerReference r:id="rId15" w:type="default"/>
          <w:type w:val="nextColumn"/>
          <w:pgSz w:w="11905" w:h="16838"/>
          <w:pgMar w:top="1417" w:right="1417" w:bottom="1417" w:left="1417" w:header="850" w:footer="850" w:gutter="0"/>
          <w:pgNumType w:fmt="decimal"/>
          <w:cols w:space="0" w:num="1"/>
          <w:rtlGutter w:val="0"/>
          <w:docGrid w:linePitch="326" w:charSpace="0"/>
        </w:sectPr>
      </w:pPr>
      <w:r>
        <w:rPr>
          <w:rFonts w:cs="Times New Roman"/>
          <w:color w:val="0000FF"/>
        </w:rPr>
        <w:t>本工程属于</w:t>
      </w:r>
      <w:r>
        <w:rPr>
          <w:rFonts w:hint="eastAsia" w:cs="Times New Roman"/>
          <w:color w:val="0000FF"/>
          <w:lang w:eastAsia="zh-CN"/>
        </w:rPr>
        <w:t>朱集灌区</w:t>
      </w:r>
      <w:r>
        <w:rPr>
          <w:rFonts w:hint="eastAsia" w:cs="Times New Roman"/>
          <w:color w:val="0000FF"/>
        </w:rPr>
        <w:t>“</w:t>
      </w:r>
      <w:r>
        <w:rPr>
          <w:rFonts w:cs="Times New Roman"/>
          <w:color w:val="0000FF"/>
        </w:rPr>
        <w:t>十四五</w:t>
      </w:r>
      <w:r>
        <w:rPr>
          <w:rFonts w:hint="eastAsia" w:cs="Times New Roman"/>
          <w:color w:val="0000FF"/>
        </w:rPr>
        <w:t>”</w:t>
      </w:r>
      <w:r>
        <w:rPr>
          <w:rFonts w:cs="Times New Roman"/>
          <w:color w:val="0000FF"/>
        </w:rPr>
        <w:t>续建配套与现代化改造实施方案中的工程内容，项目建设任务为渠道清淤工程、渠道险工险段及渠系建筑物除险加固等，项目建设可为地方的经济发展创造有利条件。项目对应的规划不涉及具体的环境准入负面清单，属《产业结构调整指导目录》（20</w:t>
      </w:r>
      <w:r>
        <w:rPr>
          <w:rFonts w:hint="eastAsia" w:cs="Times New Roman"/>
          <w:color w:val="0000FF"/>
        </w:rPr>
        <w:t>24</w:t>
      </w:r>
      <w:r>
        <w:rPr>
          <w:rFonts w:cs="Times New Roman"/>
          <w:color w:val="0000FF"/>
        </w:rPr>
        <w:t>年本）中鼓励类项目，符合国家产业政策，同时项目建设与相关的法律法规相符合，不在环境准入负面清单范围内。</w:t>
      </w:r>
    </w:p>
    <w:p w14:paraId="2678E137">
      <w:pPr>
        <w:pStyle w:val="3"/>
        <w:rPr>
          <w:rFonts w:cs="Times New Roman"/>
        </w:rPr>
      </w:pPr>
      <w:bookmarkStart w:id="24" w:name="_Toc29865"/>
      <w:r>
        <w:rPr>
          <w:rFonts w:cs="Times New Roman"/>
        </w:rPr>
        <w:t>1.9 环境保护目标</w:t>
      </w:r>
      <w:bookmarkEnd w:id="24"/>
    </w:p>
    <w:p w14:paraId="0540CBEE">
      <w:pPr>
        <w:pStyle w:val="4"/>
        <w:rPr>
          <w:rFonts w:cs="Times New Roman"/>
        </w:rPr>
      </w:pPr>
      <w:r>
        <w:rPr>
          <w:rFonts w:cs="Times New Roman"/>
        </w:rPr>
        <w:t>1.9.</w:t>
      </w:r>
      <w:r>
        <w:rPr>
          <w:rFonts w:hint="eastAsia" w:cs="Times New Roman"/>
        </w:rPr>
        <w:t>1</w:t>
      </w:r>
      <w:r>
        <w:rPr>
          <w:rFonts w:cs="Times New Roman"/>
        </w:rPr>
        <w:t xml:space="preserve"> 生态保护目标</w:t>
      </w:r>
    </w:p>
    <w:p w14:paraId="15EBFBF7">
      <w:pPr>
        <w:rPr>
          <w:rFonts w:cs="Times New Roman"/>
          <w:color w:val="0000FF"/>
        </w:rPr>
      </w:pPr>
      <w:r>
        <w:rPr>
          <w:rFonts w:cs="Times New Roman"/>
          <w:color w:val="0000FF"/>
        </w:rPr>
        <w:t>本次工程淠河总干渠上段续建配套与现代化改造工程、淠河总干渠樊通桥渠下涵拆除重建工程等6个子项目工程由于现状已位于生态保护红线内，且生态保护红线划定</w:t>
      </w:r>
      <w:r>
        <w:rPr>
          <w:rFonts w:hint="eastAsia" w:cs="Times New Roman"/>
          <w:color w:val="0000FF"/>
        </w:rPr>
        <w:t>在工程建设后，其</w:t>
      </w:r>
      <w:r>
        <w:rPr>
          <w:rFonts w:cs="Times New Roman"/>
          <w:color w:val="0000FF"/>
        </w:rPr>
        <w:t>目的就是保护淠河干渠、滁河干渠以及潜南干渠两侧岸坡区域水土，工程无法避让</w:t>
      </w:r>
      <w:r>
        <w:rPr>
          <w:rFonts w:hint="eastAsia" w:cs="Times New Roman"/>
          <w:color w:val="0000FF"/>
        </w:rPr>
        <w:t>占用了</w:t>
      </w:r>
      <w:r>
        <w:rPr>
          <w:rFonts w:cs="Times New Roman"/>
          <w:color w:val="0000FF"/>
        </w:rPr>
        <w:t>生态保护红线</w:t>
      </w:r>
      <w:r>
        <w:rPr>
          <w:rFonts w:hint="eastAsia" w:cs="Times New Roman"/>
          <w:color w:val="0000FF"/>
        </w:rPr>
        <w:t>（Ⅱ-4大别山北麓山前丘陵岗地水土保持生态保护红线、Ⅱ-3江淮分水岭丘岗水土保持生态保护红线）</w:t>
      </w:r>
      <w:r>
        <w:rPr>
          <w:rFonts w:cs="Times New Roman"/>
          <w:color w:val="0000FF"/>
        </w:rPr>
        <w:t>。</w:t>
      </w:r>
    </w:p>
    <w:p w14:paraId="622FDA0F">
      <w:pPr>
        <w:rPr>
          <w:rFonts w:cs="Times New Roman"/>
          <w:color w:val="0000FF"/>
        </w:rPr>
      </w:pPr>
      <w:r>
        <w:rPr>
          <w:rFonts w:cs="Times New Roman"/>
          <w:color w:val="0000FF"/>
        </w:rPr>
        <w:t>本次工程除因无法避让占用水土保持生态保护红线无法避让外，其他工程均不占用生态敏感区，工程占地外</w:t>
      </w:r>
      <w:r>
        <w:rPr>
          <w:rFonts w:hint="eastAsia" w:cs="Times New Roman"/>
          <w:color w:val="0000FF"/>
        </w:rPr>
        <w:t>73</w:t>
      </w:r>
      <w:r>
        <w:rPr>
          <w:rFonts w:cs="Times New Roman"/>
          <w:color w:val="0000FF"/>
        </w:rPr>
        <w:t>m涉及安徽六安，工程占地外延</w:t>
      </w:r>
      <w:r>
        <w:rPr>
          <w:rFonts w:hint="eastAsia" w:cs="Times New Roman"/>
          <w:color w:val="0000FF"/>
        </w:rPr>
        <w:t>533</w:t>
      </w:r>
      <w:r>
        <w:rPr>
          <w:rFonts w:cs="Times New Roman"/>
          <w:color w:val="0000FF"/>
        </w:rPr>
        <w:t>m涉及安徽紫蓬山国家森林公园。</w:t>
      </w:r>
    </w:p>
    <w:p w14:paraId="05F92867">
      <w:pPr>
        <w:rPr>
          <w:color w:val="0000FF"/>
        </w:rPr>
      </w:pPr>
      <w:r>
        <w:rPr>
          <w:color w:val="0000FF"/>
        </w:rPr>
        <w:t>表1-9-</w:t>
      </w:r>
      <w:r>
        <w:rPr>
          <w:rFonts w:hint="eastAsia"/>
          <w:color w:val="0000FF"/>
        </w:rPr>
        <w:t>1</w:t>
      </w:r>
      <w:r>
        <w:rPr>
          <w:color w:val="0000FF"/>
        </w:rPr>
        <w:t xml:space="preserve">  本工程</w:t>
      </w:r>
      <w:r>
        <w:rPr>
          <w:rFonts w:hint="eastAsia"/>
          <w:color w:val="0000FF"/>
        </w:rPr>
        <w:t>涉及的生态保护红线一览表</w:t>
      </w:r>
    </w:p>
    <w:tbl>
      <w:tblPr>
        <w:tblStyle w:val="16"/>
        <w:tblW w:w="4995" w:type="pct"/>
        <w:jc w:val="center"/>
        <w:tblLayout w:type="fixed"/>
        <w:tblCellMar>
          <w:top w:w="0" w:type="dxa"/>
          <w:left w:w="108" w:type="dxa"/>
          <w:bottom w:w="0" w:type="dxa"/>
          <w:right w:w="108" w:type="dxa"/>
        </w:tblCellMar>
      </w:tblPr>
      <w:tblGrid>
        <w:gridCol w:w="1098"/>
        <w:gridCol w:w="961"/>
        <w:gridCol w:w="698"/>
        <w:gridCol w:w="1566"/>
        <w:gridCol w:w="1404"/>
        <w:gridCol w:w="2219"/>
        <w:gridCol w:w="1332"/>
      </w:tblGrid>
      <w:tr w14:paraId="77BE6FE2">
        <w:tblPrEx>
          <w:tblCellMar>
            <w:top w:w="0" w:type="dxa"/>
            <w:left w:w="108" w:type="dxa"/>
            <w:bottom w:w="0" w:type="dxa"/>
            <w:right w:w="108" w:type="dxa"/>
          </w:tblCellMar>
        </w:tblPrEx>
        <w:trPr>
          <w:trHeight w:val="340" w:hRule="atLeast"/>
          <w:jc w:val="center"/>
        </w:trPr>
        <w:tc>
          <w:tcPr>
            <w:tcW w:w="591" w:type="pct"/>
            <w:vAlign w:val="center"/>
          </w:tcPr>
          <w:p w14:paraId="659DF92A">
            <w:pPr>
              <w:pStyle w:val="28"/>
              <w:bidi w:val="0"/>
            </w:pPr>
            <w:r>
              <w:t>类型</w:t>
            </w:r>
          </w:p>
        </w:tc>
        <w:tc>
          <w:tcPr>
            <w:tcW w:w="517" w:type="pct"/>
            <w:vAlign w:val="center"/>
          </w:tcPr>
          <w:p w14:paraId="2BC78E5E">
            <w:pPr>
              <w:pStyle w:val="28"/>
              <w:bidi w:val="0"/>
            </w:pPr>
            <w:r>
              <w:rPr>
                <w:rFonts w:hint="eastAsia"/>
              </w:rPr>
              <w:t>名称</w:t>
            </w:r>
          </w:p>
        </w:tc>
        <w:tc>
          <w:tcPr>
            <w:tcW w:w="376" w:type="pct"/>
            <w:vAlign w:val="center"/>
          </w:tcPr>
          <w:p w14:paraId="6C7D2AB7">
            <w:pPr>
              <w:pStyle w:val="28"/>
              <w:bidi w:val="0"/>
            </w:pPr>
            <w:r>
              <w:rPr>
                <w:rFonts w:hint="eastAsia"/>
              </w:rPr>
              <w:t>总面积</w:t>
            </w:r>
          </w:p>
        </w:tc>
        <w:tc>
          <w:tcPr>
            <w:tcW w:w="843" w:type="pct"/>
            <w:vAlign w:val="center"/>
          </w:tcPr>
          <w:p w14:paraId="5C98F38D">
            <w:pPr>
              <w:pStyle w:val="28"/>
              <w:bidi w:val="0"/>
            </w:pPr>
            <w:r>
              <w:rPr>
                <w:rFonts w:hint="eastAsia"/>
              </w:rPr>
              <w:t>保护重点</w:t>
            </w:r>
          </w:p>
        </w:tc>
        <w:tc>
          <w:tcPr>
            <w:tcW w:w="757" w:type="pct"/>
            <w:vAlign w:val="center"/>
          </w:tcPr>
          <w:p w14:paraId="27F59E89">
            <w:pPr>
              <w:pStyle w:val="28"/>
              <w:bidi w:val="0"/>
            </w:pPr>
            <w:r>
              <w:rPr>
                <w:rFonts w:hint="eastAsia"/>
              </w:rPr>
              <w:t>涉及敏感区</w:t>
            </w:r>
          </w:p>
        </w:tc>
        <w:tc>
          <w:tcPr>
            <w:tcW w:w="1195" w:type="pct"/>
            <w:vAlign w:val="center"/>
          </w:tcPr>
          <w:p w14:paraId="1EC9FAB9">
            <w:pPr>
              <w:pStyle w:val="28"/>
              <w:bidi w:val="0"/>
            </w:pPr>
            <w:r>
              <w:rPr>
                <w:rFonts w:hint="eastAsia"/>
              </w:rPr>
              <w:t>代表性物种</w:t>
            </w:r>
          </w:p>
        </w:tc>
        <w:tc>
          <w:tcPr>
            <w:tcW w:w="718" w:type="pct"/>
            <w:vAlign w:val="center"/>
          </w:tcPr>
          <w:p w14:paraId="6DBAF492">
            <w:pPr>
              <w:pStyle w:val="28"/>
              <w:bidi w:val="0"/>
            </w:pPr>
            <w:r>
              <w:rPr>
                <w:rFonts w:hint="eastAsia"/>
              </w:rPr>
              <w:t>与项目位置关系</w:t>
            </w:r>
          </w:p>
        </w:tc>
      </w:tr>
      <w:tr w14:paraId="682FD9A2">
        <w:tblPrEx>
          <w:tblCellMar>
            <w:top w:w="0" w:type="dxa"/>
            <w:left w:w="108" w:type="dxa"/>
            <w:bottom w:w="0" w:type="dxa"/>
            <w:right w:w="108" w:type="dxa"/>
          </w:tblCellMar>
        </w:tblPrEx>
        <w:trPr>
          <w:trHeight w:val="340" w:hRule="atLeast"/>
          <w:jc w:val="center"/>
        </w:trPr>
        <w:tc>
          <w:tcPr>
            <w:tcW w:w="591" w:type="pct"/>
            <w:vMerge w:val="restart"/>
            <w:vAlign w:val="center"/>
          </w:tcPr>
          <w:p w14:paraId="6700E992">
            <w:pPr>
              <w:pStyle w:val="28"/>
              <w:bidi w:val="0"/>
            </w:pPr>
            <w:r>
              <w:rPr>
                <w:rFonts w:hint="eastAsia"/>
              </w:rPr>
              <w:t>Ⅱ-水土保持生态红线</w:t>
            </w:r>
          </w:p>
        </w:tc>
        <w:tc>
          <w:tcPr>
            <w:tcW w:w="517" w:type="pct"/>
            <w:vAlign w:val="center"/>
          </w:tcPr>
          <w:p w14:paraId="2687F83F">
            <w:pPr>
              <w:pStyle w:val="28"/>
              <w:bidi w:val="0"/>
            </w:pPr>
            <w:r>
              <w:t>Ⅱ-3江淮分水岭丘岗水土保持生态保护红线</w:t>
            </w:r>
          </w:p>
        </w:tc>
        <w:tc>
          <w:tcPr>
            <w:tcW w:w="376" w:type="pct"/>
            <w:vAlign w:val="center"/>
          </w:tcPr>
          <w:p w14:paraId="5A79393D">
            <w:pPr>
              <w:pStyle w:val="28"/>
              <w:bidi w:val="0"/>
            </w:pPr>
            <w:r>
              <w:t>248.61km2</w:t>
            </w:r>
          </w:p>
        </w:tc>
        <w:tc>
          <w:tcPr>
            <w:tcW w:w="843" w:type="pct"/>
            <w:vAlign w:val="center"/>
          </w:tcPr>
          <w:p w14:paraId="4CD0C1D4">
            <w:pPr>
              <w:pStyle w:val="28"/>
              <w:bidi w:val="0"/>
            </w:pPr>
            <w:r>
              <w:t>突出“把水留住”，加强水利工程建设，遏制旱灾频繁发生，发展节水农业，提高水资源综合利用率；“把树栽上”，提高植被覆盖率，加强农田基本建设，通过工程措施与生物措施相结合等方式，控制水土流失，改善区域生产条件。注重矿区的生态恢复，保护区域脆弱生态系统。</w:t>
            </w:r>
          </w:p>
        </w:tc>
        <w:tc>
          <w:tcPr>
            <w:tcW w:w="757" w:type="pct"/>
            <w:vAlign w:val="center"/>
          </w:tcPr>
          <w:p w14:paraId="4FF538D3">
            <w:pPr>
              <w:pStyle w:val="28"/>
              <w:bidi w:val="0"/>
            </w:pPr>
            <w:r>
              <w:t>省级风景名胜区中的一级保护区（核心景区）1个，国家湿地公园2个，国家级森林公园的生态保育区和核心景观区1个，省级森林公园3个，省级地质公园1个，县级以上饮用水水源保护区5个。</w:t>
            </w:r>
          </w:p>
        </w:tc>
        <w:tc>
          <w:tcPr>
            <w:tcW w:w="1195" w:type="pct"/>
            <w:vAlign w:val="center"/>
          </w:tcPr>
          <w:p w14:paraId="020B58D4">
            <w:pPr>
              <w:pStyle w:val="28"/>
              <w:bidi w:val="0"/>
            </w:pPr>
            <w:r>
              <w:t>植物。栓皮栎、麻栎、黄连木、黄檀、化香、刺槐。（2）兽类。本片区兽类以啮齿类动物为优势种群，代表种有黑线姬鼠、黑线仓鼠、草兔、黄鼬。小灵猫、豹猫、红狐、狗獾、貉为少量分布种。（3）两爬类。两栖动物代表种有中华蟾蜍、无斑雨蛙、黑斑蛙、金线蛙；爬行动物广布种有白条草蜥、棕黑锦蛇、蝮蛇、多疣壁虎、铅山壁虎等。（4）鱼类。本片区代表鱼类有青鱼、草鱼、鲢、鳙四大家鱼，以及翘嘴鲌、赤眼鳟、刀鲚、鳜、团头鲂、鳊、乌鳢等。</w:t>
            </w:r>
          </w:p>
        </w:tc>
        <w:tc>
          <w:tcPr>
            <w:tcW w:w="718" w:type="pct"/>
            <w:vAlign w:val="center"/>
          </w:tcPr>
          <w:p w14:paraId="237F780E">
            <w:pPr>
              <w:pStyle w:val="28"/>
              <w:bidi w:val="0"/>
            </w:pPr>
            <w:r>
              <w:rPr>
                <w:rFonts w:hint="eastAsia"/>
              </w:rPr>
              <w:t>淠河总干渠下段工程占用6.98hm2、滁河干渠总局直管段工程占用7.89hm2、潜南干渠聚星渡槽工程占用0.04hm2、滁河干渠6座渠下涵工程占用0.55hm2</w:t>
            </w:r>
          </w:p>
        </w:tc>
      </w:tr>
      <w:tr w14:paraId="32E2EFB4">
        <w:tblPrEx>
          <w:tblCellMar>
            <w:top w:w="0" w:type="dxa"/>
            <w:left w:w="108" w:type="dxa"/>
            <w:bottom w:w="0" w:type="dxa"/>
            <w:right w:w="108" w:type="dxa"/>
          </w:tblCellMar>
        </w:tblPrEx>
        <w:trPr>
          <w:trHeight w:val="340" w:hRule="atLeast"/>
          <w:jc w:val="center"/>
        </w:trPr>
        <w:tc>
          <w:tcPr>
            <w:tcW w:w="591" w:type="pct"/>
            <w:vMerge w:val="continue"/>
            <w:vAlign w:val="center"/>
          </w:tcPr>
          <w:p w14:paraId="3F4E497B">
            <w:pPr>
              <w:pStyle w:val="28"/>
              <w:bidi w:val="0"/>
            </w:pPr>
          </w:p>
        </w:tc>
        <w:tc>
          <w:tcPr>
            <w:tcW w:w="517" w:type="pct"/>
            <w:vAlign w:val="center"/>
          </w:tcPr>
          <w:p w14:paraId="49F13068">
            <w:pPr>
              <w:pStyle w:val="28"/>
              <w:bidi w:val="0"/>
            </w:pPr>
            <w:r>
              <w:t>Ⅱ-4大别山北麓山前丘陵岗地水土保持生态保护红线</w:t>
            </w:r>
          </w:p>
        </w:tc>
        <w:tc>
          <w:tcPr>
            <w:tcW w:w="376" w:type="pct"/>
            <w:vAlign w:val="center"/>
          </w:tcPr>
          <w:p w14:paraId="1ED28B07">
            <w:pPr>
              <w:pStyle w:val="28"/>
              <w:bidi w:val="0"/>
            </w:pPr>
            <w:r>
              <w:t>68.62km2</w:t>
            </w:r>
          </w:p>
        </w:tc>
        <w:tc>
          <w:tcPr>
            <w:tcW w:w="843" w:type="pct"/>
            <w:vAlign w:val="center"/>
          </w:tcPr>
          <w:p w14:paraId="79C27973">
            <w:pPr>
              <w:pStyle w:val="28"/>
              <w:bidi w:val="0"/>
            </w:pPr>
            <w:r>
              <w:t>加强水资源保护，合理调整优化农业结构，发展生态农业。在丘岗地区应提高植被覆盖率，适度发展林果业，控制水土流失，防止生态系统退化。</w:t>
            </w:r>
          </w:p>
        </w:tc>
        <w:tc>
          <w:tcPr>
            <w:tcW w:w="757" w:type="pct"/>
            <w:vAlign w:val="center"/>
          </w:tcPr>
          <w:p w14:paraId="7E4D4664">
            <w:pPr>
              <w:pStyle w:val="28"/>
              <w:bidi w:val="0"/>
            </w:pPr>
            <w:r>
              <w:t>国家湿地公园1个，省级森林公园1个，县级以上饮用水水源保护区4个。</w:t>
            </w:r>
          </w:p>
        </w:tc>
        <w:tc>
          <w:tcPr>
            <w:tcW w:w="1195" w:type="pct"/>
            <w:vAlign w:val="center"/>
          </w:tcPr>
          <w:p w14:paraId="50235E46">
            <w:pPr>
              <w:pStyle w:val="28"/>
              <w:bidi w:val="0"/>
            </w:pPr>
            <w:r>
              <w:t>植物。麻栎、栓皮栎、黄连木、黄檀、化香、刺槐。兽类；（2）兽类。本片区兽类以啮齿类动物为优势种群，代表种有中华姬鼠、黑线姬鼠，草兔、黄鼬广泛分布；小灵猫、豹猫、红狐、狗獾、貉、水獭等分布数量较多。（3）两爬类：本片区两栖动物代表种有大鲵、中华蟾蜍、无斑雨蛙、黑斑蛙；爬行动物代表种有丽斑麻蜥、白条草蜥、棕黑锦蛇、蝮蛇、多疣壁虎、铅山壁虎等。（4）鱼类。本片区代表性鱼类为青、草、鲢、鳙四大家鱼，以及鲫、鲤、红鳍鲌和黄颗鱼等。</w:t>
            </w:r>
          </w:p>
        </w:tc>
        <w:tc>
          <w:tcPr>
            <w:tcW w:w="718" w:type="pct"/>
            <w:vAlign w:val="center"/>
          </w:tcPr>
          <w:p w14:paraId="57625737">
            <w:pPr>
              <w:pStyle w:val="28"/>
              <w:bidi w:val="0"/>
            </w:pPr>
            <w:r>
              <w:rPr>
                <w:rFonts w:hint="eastAsia"/>
              </w:rPr>
              <w:t>淠河总干渠上段工程占用4.72hm2、樊通桥渠下涵工程占用1.36hm2</w:t>
            </w:r>
          </w:p>
        </w:tc>
      </w:tr>
    </w:tbl>
    <w:p w14:paraId="5C3092C1">
      <w:pPr>
        <w:rPr>
          <w:color w:val="0000FF"/>
        </w:rPr>
      </w:pPr>
    </w:p>
    <w:p w14:paraId="68024B1A">
      <w:r>
        <w:t>表1-9-</w:t>
      </w:r>
      <w:r>
        <w:rPr>
          <w:rFonts w:hint="eastAsia"/>
        </w:rPr>
        <w:t>2</w:t>
      </w:r>
      <w:r>
        <w:t xml:space="preserve">  本工程周边的生态保护目标</w:t>
      </w:r>
    </w:p>
    <w:tbl>
      <w:tblPr>
        <w:tblStyle w:val="16"/>
        <w:tblW w:w="499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9"/>
        <w:gridCol w:w="1081"/>
        <w:gridCol w:w="708"/>
        <w:gridCol w:w="1700"/>
        <w:gridCol w:w="3612"/>
        <w:gridCol w:w="1548"/>
      </w:tblGrid>
      <w:tr w14:paraId="09DFF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4" w:type="pct"/>
            <w:vAlign w:val="center"/>
          </w:tcPr>
          <w:p w14:paraId="27A92FCC">
            <w:pPr>
              <w:pStyle w:val="28"/>
              <w:bidi w:val="0"/>
            </w:pPr>
            <w:r>
              <w:t>序号</w:t>
            </w:r>
          </w:p>
        </w:tc>
        <w:tc>
          <w:tcPr>
            <w:tcW w:w="583" w:type="pct"/>
            <w:vAlign w:val="center"/>
          </w:tcPr>
          <w:p w14:paraId="5A83FB43">
            <w:pPr>
              <w:pStyle w:val="28"/>
              <w:bidi w:val="0"/>
            </w:pPr>
            <w:r>
              <w:t>保护区名称</w:t>
            </w:r>
          </w:p>
        </w:tc>
        <w:tc>
          <w:tcPr>
            <w:tcW w:w="382" w:type="pct"/>
            <w:vAlign w:val="center"/>
          </w:tcPr>
          <w:p w14:paraId="0AF62060">
            <w:pPr>
              <w:pStyle w:val="28"/>
              <w:bidi w:val="0"/>
            </w:pPr>
            <w:r>
              <w:t>级别</w:t>
            </w:r>
          </w:p>
        </w:tc>
        <w:tc>
          <w:tcPr>
            <w:tcW w:w="917" w:type="pct"/>
            <w:vAlign w:val="center"/>
          </w:tcPr>
          <w:p w14:paraId="46E05A67">
            <w:pPr>
              <w:pStyle w:val="28"/>
              <w:bidi w:val="0"/>
            </w:pPr>
            <w:r>
              <w:rPr>
                <w:rFonts w:hint="eastAsia"/>
              </w:rPr>
              <w:t>保护对象</w:t>
            </w:r>
          </w:p>
        </w:tc>
        <w:tc>
          <w:tcPr>
            <w:tcW w:w="1948" w:type="pct"/>
            <w:vAlign w:val="center"/>
          </w:tcPr>
          <w:p w14:paraId="09284846">
            <w:pPr>
              <w:pStyle w:val="28"/>
              <w:bidi w:val="0"/>
            </w:pPr>
            <w:r>
              <w:t>保护目标概况</w:t>
            </w:r>
          </w:p>
        </w:tc>
        <w:tc>
          <w:tcPr>
            <w:tcW w:w="834" w:type="pct"/>
            <w:vAlign w:val="center"/>
          </w:tcPr>
          <w:p w14:paraId="6C4DCB9B">
            <w:pPr>
              <w:pStyle w:val="28"/>
              <w:bidi w:val="0"/>
            </w:pPr>
            <w:r>
              <w:t>工程内容与相对位置</w:t>
            </w:r>
          </w:p>
        </w:tc>
      </w:tr>
      <w:tr w14:paraId="44D6E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4" w:type="pct"/>
            <w:vAlign w:val="center"/>
          </w:tcPr>
          <w:p w14:paraId="03A5070C">
            <w:pPr>
              <w:pStyle w:val="28"/>
              <w:bidi w:val="0"/>
            </w:pPr>
            <w:r>
              <w:rPr>
                <w:rFonts w:hint="eastAsia"/>
              </w:rPr>
              <w:t>1</w:t>
            </w:r>
          </w:p>
        </w:tc>
        <w:tc>
          <w:tcPr>
            <w:tcW w:w="583" w:type="pct"/>
            <w:vAlign w:val="center"/>
          </w:tcPr>
          <w:p w14:paraId="71720B1D">
            <w:pPr>
              <w:pStyle w:val="28"/>
              <w:bidi w:val="0"/>
            </w:pPr>
            <w:r>
              <w:rPr>
                <w:rFonts w:hint="eastAsia"/>
              </w:rPr>
              <w:t>瓦埠湖省级湿地自然公园</w:t>
            </w:r>
          </w:p>
        </w:tc>
        <w:tc>
          <w:tcPr>
            <w:tcW w:w="382" w:type="pct"/>
            <w:vAlign w:val="center"/>
          </w:tcPr>
          <w:p w14:paraId="66A48497">
            <w:pPr>
              <w:pStyle w:val="28"/>
              <w:bidi w:val="0"/>
            </w:pPr>
            <w:r>
              <w:rPr>
                <w:rFonts w:hint="eastAsia"/>
              </w:rPr>
              <w:t>省</w:t>
            </w:r>
            <w:r>
              <w:t>级</w:t>
            </w:r>
          </w:p>
        </w:tc>
        <w:tc>
          <w:tcPr>
            <w:tcW w:w="917" w:type="pct"/>
            <w:vAlign w:val="center"/>
          </w:tcPr>
          <w:p w14:paraId="5D6557CC">
            <w:pPr>
              <w:pStyle w:val="28"/>
              <w:bidi w:val="0"/>
            </w:pPr>
            <w:r>
              <w:t>湿地生态系统和生物多样性；国际公约全球受胁和国家重点保护的水禽；自然生态环境和自然资源；自然、人文景观。</w:t>
            </w:r>
          </w:p>
        </w:tc>
        <w:tc>
          <w:tcPr>
            <w:tcW w:w="1948" w:type="pct"/>
            <w:vAlign w:val="center"/>
          </w:tcPr>
          <w:p w14:paraId="7EED3D93">
            <w:pPr>
              <w:pStyle w:val="28"/>
              <w:bidi w:val="0"/>
            </w:pPr>
            <w:r>
              <w:t>安徽位于淠河中游，上起东、西淠河交汇口，下至合六叶高速公路下游3.0千米的淠河水质监测点横断面处。安徽范围内分布有维管束植物96科298种，主要有浮萍、水鳖、野菱、菖蒲、莲、野大豆、金荞麦等植物。安徽六安范围内发现有鸟类14目34科129种，常见的鸟类包括白鹭、苍鹭、小䴙䴘、绿头鸭，一些国家重点保护鸟类，如：中华秋沙鸭、东方白鹳、小天鹅、鸳鸯、红隼、长耳鸮、短耳鸮等。另外，还有赤链华游蛇、中华鳖、黄鼬、刺猬、草兔等动物。</w:t>
            </w:r>
          </w:p>
        </w:tc>
        <w:tc>
          <w:tcPr>
            <w:tcW w:w="834" w:type="pct"/>
            <w:vAlign w:val="center"/>
          </w:tcPr>
          <w:p w14:paraId="03932815">
            <w:pPr>
              <w:pStyle w:val="28"/>
              <w:bidi w:val="0"/>
            </w:pPr>
            <w:r>
              <w:t>淠河总干渠上段</w:t>
            </w:r>
            <w:r>
              <w:rPr>
                <w:rFonts w:hint="eastAsia"/>
              </w:rPr>
              <w:t>工程中的</w:t>
            </w:r>
            <w:r>
              <w:t>横排口翼墙加固</w:t>
            </w:r>
            <w:r>
              <w:rPr>
                <w:rFonts w:hint="eastAsia"/>
              </w:rPr>
              <w:t>位于湿地公园西南侧，隔1条宽阔堤防最近距离约73</w:t>
            </w:r>
            <w:r>
              <w:t>m</w:t>
            </w:r>
          </w:p>
        </w:tc>
      </w:tr>
      <w:tr w14:paraId="70B311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4" w:type="pct"/>
            <w:vAlign w:val="center"/>
          </w:tcPr>
          <w:p w14:paraId="212CBF22">
            <w:pPr>
              <w:pStyle w:val="28"/>
              <w:bidi w:val="0"/>
            </w:pPr>
            <w:r>
              <w:rPr>
                <w:rFonts w:hint="eastAsia"/>
              </w:rPr>
              <w:t>2</w:t>
            </w:r>
          </w:p>
        </w:tc>
        <w:tc>
          <w:tcPr>
            <w:tcW w:w="1882" w:type="pct"/>
            <w:gridSpan w:val="3"/>
            <w:vAlign w:val="center"/>
          </w:tcPr>
          <w:p w14:paraId="68460297">
            <w:pPr>
              <w:pStyle w:val="28"/>
              <w:bidi w:val="0"/>
            </w:pPr>
            <w:r>
              <w:t>陆生动植物</w:t>
            </w:r>
          </w:p>
        </w:tc>
        <w:tc>
          <w:tcPr>
            <w:tcW w:w="1948" w:type="pct"/>
            <w:vAlign w:val="center"/>
          </w:tcPr>
          <w:p w14:paraId="20F2EEF3">
            <w:pPr>
              <w:pStyle w:val="28"/>
              <w:bidi w:val="0"/>
            </w:pPr>
            <w:r>
              <w:t>施工影响区陆生动植物，工程建设占用少量植被，对森林植被和陆生生态产生一定影响。施工干扰、破坏部分栖息环境，施工期间对陆生动物有一定干扰</w:t>
            </w:r>
          </w:p>
        </w:tc>
        <w:tc>
          <w:tcPr>
            <w:tcW w:w="834" w:type="pct"/>
            <w:vAlign w:val="center"/>
          </w:tcPr>
          <w:p w14:paraId="22B9225C">
            <w:pPr>
              <w:pStyle w:val="28"/>
              <w:bidi w:val="0"/>
            </w:pPr>
            <w:r>
              <w:t>施工影响区</w:t>
            </w:r>
          </w:p>
        </w:tc>
      </w:tr>
      <w:tr w14:paraId="36871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4" w:type="pct"/>
            <w:vAlign w:val="center"/>
          </w:tcPr>
          <w:p w14:paraId="052C9D55">
            <w:pPr>
              <w:pStyle w:val="28"/>
              <w:bidi w:val="0"/>
            </w:pPr>
            <w:r>
              <w:rPr>
                <w:rFonts w:hint="eastAsia"/>
              </w:rPr>
              <w:t>3</w:t>
            </w:r>
          </w:p>
        </w:tc>
        <w:tc>
          <w:tcPr>
            <w:tcW w:w="1882" w:type="pct"/>
            <w:gridSpan w:val="3"/>
            <w:vAlign w:val="center"/>
          </w:tcPr>
          <w:p w14:paraId="72DEF491">
            <w:pPr>
              <w:pStyle w:val="28"/>
              <w:bidi w:val="0"/>
            </w:pPr>
            <w:r>
              <w:t>水生动物</w:t>
            </w:r>
          </w:p>
        </w:tc>
        <w:tc>
          <w:tcPr>
            <w:tcW w:w="1948" w:type="pct"/>
            <w:vAlign w:val="center"/>
          </w:tcPr>
          <w:p w14:paraId="06DD6065">
            <w:pPr>
              <w:pStyle w:val="28"/>
              <w:bidi w:val="0"/>
            </w:pPr>
            <w:r>
              <w:t>工程所在渠道段为人工开挖的渠道，规模小，水生生物种类简单，未发现重要水生生物以及珍稀保护鱼类</w:t>
            </w:r>
          </w:p>
        </w:tc>
        <w:tc>
          <w:tcPr>
            <w:tcW w:w="834" w:type="pct"/>
            <w:vAlign w:val="center"/>
          </w:tcPr>
          <w:p w14:paraId="4705294A">
            <w:pPr>
              <w:pStyle w:val="28"/>
              <w:bidi w:val="0"/>
            </w:pPr>
            <w:r>
              <w:t>涉及清淤</w:t>
            </w:r>
            <w:r>
              <w:rPr>
                <w:rFonts w:hint="eastAsia"/>
              </w:rPr>
              <w:t>、新建闸</w:t>
            </w:r>
            <w:r>
              <w:t>工程</w:t>
            </w:r>
          </w:p>
        </w:tc>
      </w:tr>
      <w:tr w14:paraId="50AE8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4" w:type="pct"/>
            <w:vAlign w:val="center"/>
          </w:tcPr>
          <w:p w14:paraId="6EDC7FF2">
            <w:pPr>
              <w:pStyle w:val="28"/>
              <w:bidi w:val="0"/>
            </w:pPr>
            <w:r>
              <w:rPr>
                <w:rFonts w:hint="eastAsia"/>
              </w:rPr>
              <w:t>4</w:t>
            </w:r>
          </w:p>
        </w:tc>
        <w:tc>
          <w:tcPr>
            <w:tcW w:w="1882" w:type="pct"/>
            <w:gridSpan w:val="3"/>
            <w:vAlign w:val="center"/>
          </w:tcPr>
          <w:p w14:paraId="205CF766">
            <w:pPr>
              <w:pStyle w:val="28"/>
              <w:bidi w:val="0"/>
            </w:pPr>
            <w:r>
              <w:t>生态系统</w:t>
            </w:r>
          </w:p>
        </w:tc>
        <w:tc>
          <w:tcPr>
            <w:tcW w:w="1948" w:type="pct"/>
            <w:vAlign w:val="center"/>
          </w:tcPr>
          <w:p w14:paraId="612637A7">
            <w:pPr>
              <w:pStyle w:val="28"/>
              <w:bidi w:val="0"/>
            </w:pPr>
            <w:r>
              <w:t>基本农田等</w:t>
            </w:r>
          </w:p>
        </w:tc>
        <w:tc>
          <w:tcPr>
            <w:tcW w:w="834" w:type="pct"/>
            <w:vAlign w:val="center"/>
          </w:tcPr>
          <w:p w14:paraId="5C5CBA35">
            <w:pPr>
              <w:pStyle w:val="28"/>
              <w:bidi w:val="0"/>
            </w:pPr>
            <w:r>
              <w:t>工程区</w:t>
            </w:r>
          </w:p>
        </w:tc>
      </w:tr>
    </w:tbl>
    <w:p w14:paraId="186DA1E4">
      <w:pPr>
        <w:ind w:left="480"/>
        <w:rPr>
          <w:rFonts w:cs="Times New Roman"/>
          <w:color w:val="0000FF"/>
        </w:rPr>
      </w:pPr>
    </w:p>
    <w:p w14:paraId="2CBD8BEA">
      <w:pPr>
        <w:pStyle w:val="4"/>
        <w:rPr>
          <w:rFonts w:cs="Times New Roman"/>
        </w:rPr>
      </w:pPr>
      <w:r>
        <w:rPr>
          <w:rFonts w:cs="Times New Roman"/>
        </w:rPr>
        <w:t>1.9.</w:t>
      </w:r>
      <w:r>
        <w:rPr>
          <w:rFonts w:hint="eastAsia" w:cs="Times New Roman"/>
        </w:rPr>
        <w:t>2</w:t>
      </w:r>
      <w:r>
        <w:rPr>
          <w:rFonts w:cs="Times New Roman"/>
        </w:rPr>
        <w:t xml:space="preserve"> 地表水环境保护目标</w:t>
      </w:r>
    </w:p>
    <w:p w14:paraId="38D6263F">
      <w:pPr>
        <w:ind w:firstLine="480" w:firstLineChars="200"/>
        <w:jc w:val="both"/>
      </w:pPr>
      <w:r>
        <w:rPr>
          <w:rFonts w:hint="eastAsia"/>
        </w:rPr>
        <w:t>项目涉及含19个子项工程，建设范围内不涉及饮用水水源保护区、饮用水水源取水口、涉水的自然保护区、风景名胜区，重要湿地、重点保护与珍稀水生生物的栖息地、重要水生生物的自然产卵场及索饵场、越冬场和洄游通道，天然渔场等渔业水体，以及水产种质资源保护区等。</w:t>
      </w:r>
    </w:p>
    <w:p w14:paraId="0B37AF8C">
      <w:pPr>
        <w:pStyle w:val="4"/>
        <w:rPr>
          <w:rFonts w:cs="Times New Roman"/>
          <w:color w:val="0000FF"/>
        </w:rPr>
      </w:pPr>
      <w:r>
        <w:rPr>
          <w:rFonts w:cs="Times New Roman"/>
          <w:color w:val="0000FF"/>
        </w:rPr>
        <w:t>1.9.</w:t>
      </w:r>
      <w:r>
        <w:rPr>
          <w:rFonts w:hint="eastAsia" w:cs="Times New Roman"/>
          <w:color w:val="0000FF"/>
        </w:rPr>
        <w:t>3</w:t>
      </w:r>
      <w:r>
        <w:rPr>
          <w:rFonts w:cs="Times New Roman"/>
          <w:color w:val="0000FF"/>
        </w:rPr>
        <w:t xml:space="preserve"> 风景名胜区</w:t>
      </w:r>
    </w:p>
    <w:p w14:paraId="7A323C27">
      <w:pPr>
        <w:spacing w:line="240" w:lineRule="auto"/>
        <w:rPr>
          <w:color w:val="0000FF"/>
        </w:rPr>
      </w:pPr>
    </w:p>
    <w:p w14:paraId="3612AB4A">
      <w:pPr>
        <w:pStyle w:val="4"/>
        <w:rPr>
          <w:rFonts w:cs="Times New Roman"/>
          <w:color w:val="0000FF"/>
        </w:rPr>
      </w:pPr>
      <w:r>
        <w:rPr>
          <w:rFonts w:hint="eastAsia" w:cs="Times New Roman"/>
          <w:color w:val="0000FF"/>
        </w:rPr>
        <w:t>1.9.4 文物保护单位</w:t>
      </w:r>
    </w:p>
    <w:p w14:paraId="5D8FF47F"/>
    <w:p w14:paraId="2098A58C">
      <w:pPr>
        <w:pStyle w:val="4"/>
        <w:rPr>
          <w:rFonts w:cs="Times New Roman"/>
        </w:rPr>
      </w:pPr>
      <w:r>
        <w:rPr>
          <w:rFonts w:cs="Times New Roman"/>
        </w:rPr>
        <w:t>1.9.</w:t>
      </w:r>
      <w:r>
        <w:rPr>
          <w:rFonts w:hint="eastAsia" w:cs="Times New Roman"/>
        </w:rPr>
        <w:t xml:space="preserve">5 </w:t>
      </w:r>
      <w:r>
        <w:rPr>
          <w:rFonts w:cs="Times New Roman"/>
        </w:rPr>
        <w:t>环境空气、声环境保护目标</w:t>
      </w:r>
    </w:p>
    <w:p w14:paraId="68A6AF98">
      <w:pPr>
        <w:ind w:firstLine="480"/>
        <w:rPr>
          <w:rFonts w:cs="Times New Roman"/>
          <w:color w:val="0000FF"/>
        </w:rPr>
      </w:pPr>
      <w:r>
        <w:rPr>
          <w:rFonts w:cs="Times New Roman"/>
        </w:rPr>
        <w:t>根据《环境影响评价技术导则 大气环境》（HJ2.2-2018）本次大气环境评价等级定为三级，本项目不设置大气评价范围，同时本项目为渠道整治工程，营运期不产生废气，不会对周边居民造成影响，施工期废气对周边居民的影响随着施工结束逐渐消失，因此，本项目不调查大气环境保护目标。施工期声环境保护目标</w:t>
      </w:r>
      <w:r>
        <w:rPr>
          <w:rFonts w:hint="eastAsia" w:cs="Times New Roman"/>
        </w:rPr>
        <w:t>为</w:t>
      </w:r>
      <w:r>
        <w:rPr>
          <w:rFonts w:cs="Times New Roman"/>
        </w:rPr>
        <w:t>渠道中心两侧</w:t>
      </w:r>
      <w:r>
        <w:rPr>
          <w:rFonts w:hint="eastAsia" w:cs="Times New Roman"/>
        </w:rPr>
        <w:t>2</w:t>
      </w:r>
      <w:r>
        <w:rPr>
          <w:rFonts w:cs="Times New Roman"/>
        </w:rPr>
        <w:t>00m范围内的居民</w:t>
      </w:r>
      <w:r>
        <w:rPr>
          <w:rFonts w:hint="eastAsia" w:cs="Times New Roman"/>
        </w:rPr>
        <w:t>、临时工程周边200m范围内的居民，</w:t>
      </w:r>
      <w:r>
        <w:rPr>
          <w:rFonts w:cs="Times New Roman"/>
        </w:rPr>
        <w:t>本项目声环境保护目标如下</w:t>
      </w:r>
      <w:r>
        <w:rPr>
          <w:rFonts w:hint="eastAsia" w:cs="Times New Roman"/>
          <w:color w:val="0000FF"/>
        </w:rPr>
        <w:t>。</w:t>
      </w:r>
    </w:p>
    <w:p w14:paraId="7409A480">
      <w:pPr>
        <w:ind w:firstLine="480"/>
        <w:rPr>
          <w:rFonts w:cs="Times New Roman"/>
          <w:color w:val="0000FF"/>
        </w:rPr>
      </w:pPr>
      <w:r>
        <w:rPr>
          <w:rFonts w:hint="eastAsia" w:cs="Times New Roman"/>
          <w:color w:val="0000FF"/>
        </w:rPr>
        <w:t>经统计可知，渠道工程施工期周边共有51个保护目标，详见表1-9-5；工程施工营地、取土场、弃土场一级临时道路等临时工程周边共有51个声环境保护目标，详见表1-9-7。</w:t>
      </w:r>
    </w:p>
    <w:p w14:paraId="6D4E9F09">
      <w:pPr>
        <w:ind w:firstLine="480"/>
        <w:rPr>
          <w:rFonts w:cs="Times New Roman"/>
          <w:color w:val="0000FF"/>
        </w:rPr>
      </w:pPr>
      <w:r>
        <w:rPr>
          <w:rFonts w:hint="eastAsia" w:cs="Times New Roman"/>
          <w:color w:val="0000FF"/>
        </w:rPr>
        <w:t>工程声环境保护目标分布示意图见附图9~38。</w:t>
      </w:r>
    </w:p>
    <w:p w14:paraId="17166A21">
      <w:pPr>
        <w:rPr>
          <w:color w:val="0000FF"/>
        </w:rPr>
      </w:pPr>
      <w:r>
        <w:rPr>
          <w:rFonts w:hint="eastAsia"/>
          <w:color w:val="0000FF"/>
        </w:rPr>
        <w:t>表</w:t>
      </w:r>
      <w:r>
        <w:rPr>
          <w:color w:val="0000FF"/>
        </w:rPr>
        <w:t>1-9-</w:t>
      </w:r>
      <w:r>
        <w:rPr>
          <w:rFonts w:hint="eastAsia"/>
          <w:color w:val="0000FF"/>
        </w:rPr>
        <w:t>5</w:t>
      </w:r>
      <w:r>
        <w:rPr>
          <w:color w:val="0000FF"/>
        </w:rPr>
        <w:t xml:space="preserve">  工程</w:t>
      </w:r>
      <w:r>
        <w:rPr>
          <w:rFonts w:hint="eastAsia"/>
          <w:color w:val="0000FF"/>
        </w:rPr>
        <w:t>声</w:t>
      </w:r>
      <w:r>
        <w:rPr>
          <w:color w:val="0000FF"/>
        </w:rPr>
        <w:t>环境保护</w:t>
      </w:r>
      <w:r>
        <w:rPr>
          <w:rFonts w:hint="eastAsia"/>
          <w:color w:val="0000FF"/>
        </w:rPr>
        <w:t>目标</w:t>
      </w:r>
      <w:r>
        <w:rPr>
          <w:color w:val="0000FF"/>
        </w:rPr>
        <w:t>一览表</w:t>
      </w:r>
    </w:p>
    <w:tbl>
      <w:tblPr>
        <w:tblStyle w:val="16"/>
        <w:tblW w:w="5049" w:type="pct"/>
        <w:tblInd w:w="0" w:type="dxa"/>
        <w:tblLayout w:type="fixed"/>
        <w:tblCellMar>
          <w:top w:w="0" w:type="dxa"/>
          <w:left w:w="108" w:type="dxa"/>
          <w:bottom w:w="0" w:type="dxa"/>
          <w:right w:w="108" w:type="dxa"/>
        </w:tblCellMar>
      </w:tblPr>
      <w:tblGrid>
        <w:gridCol w:w="464"/>
        <w:gridCol w:w="866"/>
        <w:gridCol w:w="1208"/>
        <w:gridCol w:w="1128"/>
        <w:gridCol w:w="1096"/>
        <w:gridCol w:w="587"/>
        <w:gridCol w:w="1622"/>
        <w:gridCol w:w="1804"/>
        <w:gridCol w:w="602"/>
      </w:tblGrid>
      <w:tr w14:paraId="6A0A208E">
        <w:tblPrEx>
          <w:tblCellMar>
            <w:top w:w="0" w:type="dxa"/>
            <w:left w:w="108" w:type="dxa"/>
            <w:bottom w:w="0" w:type="dxa"/>
            <w:right w:w="108" w:type="dxa"/>
          </w:tblCellMar>
        </w:tblPrEx>
        <w:trPr>
          <w:trHeight w:val="495" w:hRule="atLeast"/>
        </w:trPr>
        <w:tc>
          <w:tcPr>
            <w:tcW w:w="24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CD6612">
            <w:pPr>
              <w:pStyle w:val="28"/>
              <w:bidi w:val="0"/>
            </w:pPr>
            <w:r>
              <w:t>编号</w:t>
            </w:r>
          </w:p>
        </w:tc>
        <w:tc>
          <w:tcPr>
            <w:tcW w:w="4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F4C3F5">
            <w:pPr>
              <w:pStyle w:val="28"/>
              <w:bidi w:val="0"/>
            </w:pPr>
            <w:r>
              <w:t>保护目标名称</w:t>
            </w:r>
          </w:p>
        </w:tc>
        <w:tc>
          <w:tcPr>
            <w:tcW w:w="124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4AB90CF">
            <w:pPr>
              <w:pStyle w:val="28"/>
              <w:bidi w:val="0"/>
            </w:pPr>
            <w:r>
              <w:t>坐标</w:t>
            </w:r>
          </w:p>
        </w:tc>
        <w:tc>
          <w:tcPr>
            <w:tcW w:w="5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5A3EC3">
            <w:pPr>
              <w:pStyle w:val="28"/>
              <w:bidi w:val="0"/>
            </w:pPr>
            <w:r>
              <w:t>保护内容</w:t>
            </w:r>
          </w:p>
        </w:tc>
        <w:tc>
          <w:tcPr>
            <w:tcW w:w="31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753E03">
            <w:pPr>
              <w:pStyle w:val="28"/>
              <w:bidi w:val="0"/>
            </w:pPr>
            <w:r>
              <w:t>保护对象</w:t>
            </w:r>
          </w:p>
        </w:tc>
        <w:tc>
          <w:tcPr>
            <w:tcW w:w="8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8215C2">
            <w:pPr>
              <w:pStyle w:val="28"/>
              <w:bidi w:val="0"/>
            </w:pPr>
            <w:r>
              <w:t>声环境保护目标说明（</w:t>
            </w:r>
            <w:r>
              <w:rPr>
                <w:rFonts w:hint="eastAsia"/>
              </w:rPr>
              <w:t>相对渠道</w:t>
            </w:r>
            <w:r>
              <w:t>岸别</w:t>
            </w:r>
            <w:r>
              <w:rPr>
                <w:rFonts w:hint="eastAsia"/>
              </w:rPr>
              <w:t>、</w:t>
            </w:r>
            <w:r>
              <w:t>距离，楼层）</w:t>
            </w:r>
          </w:p>
        </w:tc>
        <w:tc>
          <w:tcPr>
            <w:tcW w:w="9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927D92">
            <w:pPr>
              <w:pStyle w:val="28"/>
              <w:bidi w:val="0"/>
            </w:pPr>
            <w:r>
              <w:t>涉及工程内容及距离</w:t>
            </w:r>
          </w:p>
        </w:tc>
        <w:tc>
          <w:tcPr>
            <w:tcW w:w="3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F71308">
            <w:pPr>
              <w:pStyle w:val="28"/>
              <w:bidi w:val="0"/>
            </w:pPr>
            <w:r>
              <w:t>声环境功能区</w:t>
            </w:r>
          </w:p>
        </w:tc>
      </w:tr>
      <w:tr w14:paraId="256046D8">
        <w:tblPrEx>
          <w:tblCellMar>
            <w:top w:w="0" w:type="dxa"/>
            <w:left w:w="108" w:type="dxa"/>
            <w:bottom w:w="0" w:type="dxa"/>
            <w:right w:w="108" w:type="dxa"/>
          </w:tblCellMar>
        </w:tblPrEx>
        <w:trPr>
          <w:trHeight w:val="480" w:hRule="atLeast"/>
        </w:trPr>
        <w:tc>
          <w:tcPr>
            <w:tcW w:w="24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3DB8FB">
            <w:pPr>
              <w:pStyle w:val="28"/>
              <w:bidi w:val="0"/>
            </w:pPr>
          </w:p>
        </w:tc>
        <w:tc>
          <w:tcPr>
            <w:tcW w:w="4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84DB3C">
            <w:pPr>
              <w:pStyle w:val="28"/>
              <w:bidi w:val="0"/>
            </w:pP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335A7">
            <w:pPr>
              <w:pStyle w:val="28"/>
              <w:bidi w:val="0"/>
            </w:pPr>
            <w:r>
              <w:t>经度</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E062B">
            <w:pPr>
              <w:pStyle w:val="28"/>
              <w:bidi w:val="0"/>
            </w:pPr>
            <w:r>
              <w:t>纬度</w:t>
            </w:r>
          </w:p>
        </w:tc>
        <w:tc>
          <w:tcPr>
            <w:tcW w:w="5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AA476D">
            <w:pPr>
              <w:pStyle w:val="28"/>
              <w:bidi w:val="0"/>
            </w:pPr>
          </w:p>
        </w:tc>
        <w:tc>
          <w:tcPr>
            <w:tcW w:w="31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511730">
            <w:pPr>
              <w:pStyle w:val="28"/>
              <w:bidi w:val="0"/>
            </w:pPr>
          </w:p>
        </w:tc>
        <w:tc>
          <w:tcPr>
            <w:tcW w:w="8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9D5453">
            <w:pPr>
              <w:pStyle w:val="28"/>
              <w:bidi w:val="0"/>
            </w:pPr>
          </w:p>
        </w:tc>
        <w:tc>
          <w:tcPr>
            <w:tcW w:w="9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208328">
            <w:pPr>
              <w:pStyle w:val="28"/>
              <w:bidi w:val="0"/>
            </w:pPr>
          </w:p>
        </w:tc>
        <w:tc>
          <w:tcPr>
            <w:tcW w:w="3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1B1622">
            <w:pPr>
              <w:pStyle w:val="28"/>
              <w:bidi w:val="0"/>
            </w:pPr>
          </w:p>
        </w:tc>
      </w:tr>
      <w:tr w14:paraId="72BCAA63">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49C77A">
            <w:pPr>
              <w:pStyle w:val="28"/>
              <w:bidi w:val="0"/>
            </w:pPr>
            <w:r>
              <w:t>1</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CBA79">
            <w:pPr>
              <w:pStyle w:val="28"/>
              <w:bidi w:val="0"/>
            </w:pPr>
            <w:r>
              <w:t>方冲</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469754">
            <w:pPr>
              <w:pStyle w:val="28"/>
              <w:bidi w:val="0"/>
            </w:pPr>
            <w:r>
              <w:t>116°22′0.79″</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E418E">
            <w:pPr>
              <w:pStyle w:val="28"/>
              <w:bidi w:val="0"/>
            </w:pPr>
            <w:r>
              <w:t>31°35′13.26″</w:t>
            </w:r>
          </w:p>
        </w:tc>
        <w:tc>
          <w:tcPr>
            <w:tcW w:w="58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8646F5">
            <w:pPr>
              <w:pStyle w:val="28"/>
              <w:bidi w:val="0"/>
            </w:pPr>
            <w:r>
              <w:t>12户/23人</w:t>
            </w:r>
          </w:p>
        </w:tc>
        <w:tc>
          <w:tcPr>
            <w:tcW w:w="31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8CCCF1">
            <w:pPr>
              <w:pStyle w:val="28"/>
              <w:bidi w:val="0"/>
            </w:pPr>
            <w:r>
              <w:t>居民</w:t>
            </w:r>
          </w:p>
        </w:tc>
        <w:tc>
          <w:tcPr>
            <w:tcW w:w="86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ECF978">
            <w:pPr>
              <w:pStyle w:val="28"/>
              <w:bidi w:val="0"/>
            </w:pPr>
            <w:r>
              <w:t>右岸，15m，1~2层</w:t>
            </w:r>
          </w:p>
        </w:tc>
        <w:tc>
          <w:tcPr>
            <w:tcW w:w="96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86A8E79">
            <w:pPr>
              <w:pStyle w:val="28"/>
              <w:bidi w:val="0"/>
            </w:pPr>
            <w:r>
              <w:t>距离护砌工程15m；距离横排口出口翼墙距离30m</w:t>
            </w:r>
          </w:p>
        </w:tc>
        <w:tc>
          <w:tcPr>
            <w:tcW w:w="3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F32DC2">
            <w:pPr>
              <w:pStyle w:val="28"/>
              <w:bidi w:val="0"/>
            </w:pPr>
            <w:r>
              <w:t>1类</w:t>
            </w:r>
          </w:p>
        </w:tc>
      </w:tr>
      <w:tr w14:paraId="0F0163A4">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1CA32">
            <w:pPr>
              <w:pStyle w:val="28"/>
              <w:bidi w:val="0"/>
            </w:pPr>
            <w:r>
              <w:t>2</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B93529">
            <w:pPr>
              <w:pStyle w:val="28"/>
              <w:bidi w:val="0"/>
            </w:pPr>
            <w:r>
              <w:t>张家院</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42FEB8">
            <w:pPr>
              <w:pStyle w:val="28"/>
              <w:bidi w:val="0"/>
            </w:pPr>
            <w:r>
              <w:t>116°21′56.78″</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4A248">
            <w:pPr>
              <w:pStyle w:val="28"/>
              <w:bidi w:val="0"/>
            </w:pPr>
            <w:r>
              <w:t>31°35′42.87″</w:t>
            </w:r>
          </w:p>
        </w:tc>
        <w:tc>
          <w:tcPr>
            <w:tcW w:w="58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85684E">
            <w:pPr>
              <w:pStyle w:val="28"/>
              <w:bidi w:val="0"/>
            </w:pPr>
          </w:p>
        </w:tc>
        <w:tc>
          <w:tcPr>
            <w:tcW w:w="31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FB5F06">
            <w:pPr>
              <w:pStyle w:val="28"/>
              <w:bidi w:val="0"/>
            </w:pPr>
          </w:p>
        </w:tc>
        <w:tc>
          <w:tcPr>
            <w:tcW w:w="86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96C9A2">
            <w:pPr>
              <w:pStyle w:val="28"/>
              <w:bidi w:val="0"/>
            </w:pPr>
          </w:p>
        </w:tc>
        <w:tc>
          <w:tcPr>
            <w:tcW w:w="96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C1711A">
            <w:pPr>
              <w:pStyle w:val="28"/>
              <w:bidi w:val="0"/>
            </w:pPr>
          </w:p>
        </w:tc>
        <w:tc>
          <w:tcPr>
            <w:tcW w:w="3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D2BB0A">
            <w:pPr>
              <w:pStyle w:val="28"/>
              <w:bidi w:val="0"/>
            </w:pPr>
          </w:p>
        </w:tc>
      </w:tr>
      <w:tr w14:paraId="3C0C6354">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67544">
            <w:pPr>
              <w:pStyle w:val="28"/>
              <w:bidi w:val="0"/>
            </w:pPr>
            <w:r>
              <w:t>3</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E6FD6">
            <w:pPr>
              <w:pStyle w:val="28"/>
              <w:bidi w:val="0"/>
            </w:pPr>
            <w:r>
              <w:t>方岗</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54AA68">
            <w:pPr>
              <w:pStyle w:val="28"/>
              <w:bidi w:val="0"/>
            </w:pPr>
            <w:r>
              <w:t>116°22′30.30″</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DD834E">
            <w:pPr>
              <w:pStyle w:val="28"/>
              <w:bidi w:val="0"/>
            </w:pPr>
            <w:r>
              <w:t>31°35′53.93″</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A1354">
            <w:pPr>
              <w:pStyle w:val="28"/>
              <w:bidi w:val="0"/>
            </w:pPr>
            <w:r>
              <w:t>252户/346人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0FF6BA">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591763">
            <w:pPr>
              <w:pStyle w:val="28"/>
              <w:bidi w:val="0"/>
            </w:pPr>
            <w:r>
              <w:t>左岸，25m，1~2层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84A32">
            <w:pPr>
              <w:pStyle w:val="28"/>
              <w:bidi w:val="0"/>
            </w:pPr>
            <w:r>
              <w:t>距离渠道护砌25m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11B8B">
            <w:pPr>
              <w:pStyle w:val="28"/>
              <w:bidi w:val="0"/>
            </w:pPr>
            <w:r>
              <w:t>1类</w:t>
            </w:r>
          </w:p>
        </w:tc>
      </w:tr>
      <w:tr w14:paraId="64B9795F">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3E497">
            <w:pPr>
              <w:pStyle w:val="28"/>
              <w:bidi w:val="0"/>
            </w:pPr>
            <w:r>
              <w:t>4</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FAD47">
            <w:pPr>
              <w:pStyle w:val="28"/>
              <w:bidi w:val="0"/>
            </w:pPr>
            <w:r>
              <w:t>罗院子</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40F6EF">
            <w:pPr>
              <w:pStyle w:val="28"/>
              <w:bidi w:val="0"/>
            </w:pPr>
            <w:r>
              <w:t>116°23′1.05″</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2834D">
            <w:pPr>
              <w:pStyle w:val="28"/>
              <w:bidi w:val="0"/>
            </w:pPr>
            <w:r>
              <w:t>31°36′18.66″</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D70A00">
            <w:pPr>
              <w:pStyle w:val="28"/>
              <w:bidi w:val="0"/>
            </w:pPr>
            <w:r>
              <w:t>300户/620人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C0DF5">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B1890">
            <w:pPr>
              <w:pStyle w:val="28"/>
              <w:bidi w:val="0"/>
            </w:pPr>
            <w:r>
              <w:t>右岸，15m，1~2层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DADCF">
            <w:pPr>
              <w:pStyle w:val="28"/>
              <w:bidi w:val="0"/>
            </w:pPr>
            <w:r>
              <w:t>距离渠道护砌15m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5CC6B1">
            <w:pPr>
              <w:pStyle w:val="28"/>
              <w:bidi w:val="0"/>
            </w:pPr>
            <w:r>
              <w:t>1类</w:t>
            </w:r>
          </w:p>
        </w:tc>
      </w:tr>
      <w:tr w14:paraId="4C11FB19">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9DF539">
            <w:pPr>
              <w:pStyle w:val="28"/>
              <w:bidi w:val="0"/>
            </w:pPr>
            <w:r>
              <w:t>5</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F74A74">
            <w:pPr>
              <w:pStyle w:val="28"/>
              <w:bidi w:val="0"/>
            </w:pPr>
            <w:r>
              <w:t>方家凹</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CABAE3">
            <w:pPr>
              <w:pStyle w:val="28"/>
              <w:bidi w:val="0"/>
            </w:pPr>
            <w:r>
              <w:t>116°23′7.07″</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F56A54">
            <w:pPr>
              <w:pStyle w:val="28"/>
              <w:bidi w:val="0"/>
            </w:pPr>
            <w:r>
              <w:t>31°36′17.61″</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654FB">
            <w:pPr>
              <w:pStyle w:val="28"/>
              <w:bidi w:val="0"/>
            </w:pPr>
            <w:r>
              <w:t>45户/105人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6EF24E">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CFEAA">
            <w:pPr>
              <w:pStyle w:val="28"/>
              <w:bidi w:val="0"/>
            </w:pPr>
            <w:r>
              <w:t>左岸，35m，1~2层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BFFB82">
            <w:pPr>
              <w:pStyle w:val="28"/>
              <w:bidi w:val="0"/>
            </w:pPr>
            <w:r>
              <w:t>距离渠道护砌35m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ED682">
            <w:pPr>
              <w:pStyle w:val="28"/>
              <w:bidi w:val="0"/>
            </w:pPr>
            <w:r>
              <w:t>1类</w:t>
            </w:r>
          </w:p>
        </w:tc>
      </w:tr>
      <w:tr w14:paraId="4C55FE7F">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0CA1F3">
            <w:pPr>
              <w:pStyle w:val="28"/>
              <w:bidi w:val="0"/>
            </w:pPr>
            <w:r>
              <w:t>6</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D9760">
            <w:pPr>
              <w:pStyle w:val="28"/>
              <w:bidi w:val="0"/>
            </w:pPr>
            <w:r>
              <w:t>鲍家庄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25BBD">
            <w:pPr>
              <w:pStyle w:val="28"/>
              <w:bidi w:val="0"/>
            </w:pPr>
            <w:r>
              <w:t>116°23′34.73″</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9A98F8">
            <w:pPr>
              <w:pStyle w:val="28"/>
              <w:bidi w:val="0"/>
            </w:pPr>
            <w:r>
              <w:t>31°36′20.90″</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B8CA43">
            <w:pPr>
              <w:pStyle w:val="28"/>
              <w:bidi w:val="0"/>
            </w:pPr>
            <w:r>
              <w:t>20户/50人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62775D">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D857F2">
            <w:pPr>
              <w:pStyle w:val="28"/>
              <w:bidi w:val="0"/>
            </w:pPr>
            <w:r>
              <w:t>右岸，25m，1~2层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3242F8">
            <w:pPr>
              <w:pStyle w:val="28"/>
              <w:bidi w:val="0"/>
            </w:pPr>
            <w:r>
              <w:t>距离渠道护砌25m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B7488">
            <w:pPr>
              <w:pStyle w:val="28"/>
              <w:bidi w:val="0"/>
            </w:pPr>
            <w:r>
              <w:t>1类</w:t>
            </w:r>
          </w:p>
        </w:tc>
      </w:tr>
      <w:tr w14:paraId="62D7D660">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0B69F4">
            <w:pPr>
              <w:pStyle w:val="28"/>
              <w:bidi w:val="0"/>
            </w:pPr>
            <w:r>
              <w:t>7</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FB357">
            <w:pPr>
              <w:pStyle w:val="28"/>
              <w:bidi w:val="0"/>
            </w:pPr>
            <w:r>
              <w:t>刘家庄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119FF2">
            <w:pPr>
              <w:pStyle w:val="28"/>
              <w:bidi w:val="0"/>
            </w:pPr>
            <w:r>
              <w:t>116°24′5.16″</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8131B1">
            <w:pPr>
              <w:pStyle w:val="28"/>
              <w:bidi w:val="0"/>
            </w:pPr>
            <w:r>
              <w:t>31°36′9.19″</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F4FEEE">
            <w:pPr>
              <w:pStyle w:val="28"/>
              <w:bidi w:val="0"/>
            </w:pPr>
            <w:r>
              <w:t>13户/32人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5CD8B7">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0F0BEB">
            <w:pPr>
              <w:pStyle w:val="28"/>
              <w:bidi w:val="0"/>
            </w:pPr>
            <w:r>
              <w:t>右岸，20m，1~2层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D61CF">
            <w:pPr>
              <w:pStyle w:val="28"/>
              <w:bidi w:val="0"/>
            </w:pPr>
            <w:r>
              <w:t>距离渠道护砌20m</w:t>
            </w:r>
          </w:p>
        </w:tc>
        <w:tc>
          <w:tcPr>
            <w:tcW w:w="321"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7A2654">
            <w:pPr>
              <w:pStyle w:val="28"/>
              <w:bidi w:val="0"/>
            </w:pPr>
            <w:r>
              <w:t>1类</w:t>
            </w:r>
          </w:p>
        </w:tc>
      </w:tr>
      <w:tr w14:paraId="147BB0AB">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E5A263">
            <w:pPr>
              <w:pStyle w:val="28"/>
              <w:bidi w:val="0"/>
            </w:pPr>
            <w:r>
              <w:t>8</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315BB2">
            <w:pPr>
              <w:pStyle w:val="28"/>
              <w:bidi w:val="0"/>
            </w:pPr>
            <w:r>
              <w:t>上老院</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FC49A">
            <w:pPr>
              <w:pStyle w:val="28"/>
              <w:bidi w:val="0"/>
            </w:pPr>
            <w:r>
              <w:t>116°24′9.64″</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AEBA1">
            <w:pPr>
              <w:pStyle w:val="28"/>
              <w:bidi w:val="0"/>
            </w:pPr>
            <w:r>
              <w:t>31°36′14.98″</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32A43">
            <w:pPr>
              <w:pStyle w:val="28"/>
              <w:bidi w:val="0"/>
            </w:pPr>
            <w:r>
              <w:t>70户/153人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139961">
            <w:pPr>
              <w:pStyle w:val="28"/>
              <w:bidi w:val="0"/>
            </w:pP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E4EE1">
            <w:pPr>
              <w:pStyle w:val="28"/>
              <w:bidi w:val="0"/>
            </w:pPr>
            <w:r>
              <w:t>左岸，50m，2层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0661A9">
            <w:pPr>
              <w:pStyle w:val="28"/>
              <w:bidi w:val="0"/>
            </w:pPr>
            <w:r>
              <w:t>距离渠道护砌50m</w:t>
            </w:r>
          </w:p>
        </w:tc>
        <w:tc>
          <w:tcPr>
            <w:tcW w:w="32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567D57">
            <w:pPr>
              <w:pStyle w:val="28"/>
              <w:bidi w:val="0"/>
            </w:pPr>
          </w:p>
        </w:tc>
      </w:tr>
      <w:tr w14:paraId="766CD70D">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0D376">
            <w:pPr>
              <w:pStyle w:val="28"/>
              <w:bidi w:val="0"/>
            </w:pPr>
            <w:r>
              <w:t>9</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18A8F">
            <w:pPr>
              <w:pStyle w:val="28"/>
              <w:bidi w:val="0"/>
            </w:pPr>
            <w:r>
              <w:t>新塘</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BCD13">
            <w:pPr>
              <w:pStyle w:val="28"/>
              <w:bidi w:val="0"/>
            </w:pPr>
            <w:r>
              <w:t>116°24′51.51″</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653208">
            <w:pPr>
              <w:pStyle w:val="28"/>
              <w:bidi w:val="0"/>
            </w:pPr>
            <w:r>
              <w:t>31°36′6.03″</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75162B">
            <w:pPr>
              <w:pStyle w:val="28"/>
              <w:bidi w:val="0"/>
            </w:pPr>
            <w:r>
              <w:t>8户/20人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F46745">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7C3FEE">
            <w:pPr>
              <w:pStyle w:val="28"/>
              <w:bidi w:val="0"/>
            </w:pPr>
            <w:r>
              <w:t>右岸，65m，2层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9ADAC">
            <w:pPr>
              <w:pStyle w:val="28"/>
              <w:bidi w:val="0"/>
            </w:pPr>
            <w:r>
              <w:t>距离渠道护砌65m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460C2B">
            <w:pPr>
              <w:pStyle w:val="28"/>
              <w:bidi w:val="0"/>
            </w:pPr>
            <w:r>
              <w:t>1类</w:t>
            </w:r>
          </w:p>
        </w:tc>
      </w:tr>
      <w:tr w14:paraId="4534CEA1">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1CAA8">
            <w:pPr>
              <w:pStyle w:val="28"/>
              <w:bidi w:val="0"/>
            </w:pPr>
            <w:r>
              <w:t>10</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A90A4">
            <w:pPr>
              <w:pStyle w:val="28"/>
              <w:bidi w:val="0"/>
            </w:pPr>
            <w:r>
              <w:t>崔院子</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112B7B">
            <w:pPr>
              <w:pStyle w:val="28"/>
              <w:bidi w:val="0"/>
            </w:pPr>
            <w:r>
              <w:t>116°24′53.36″</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15B8BD">
            <w:pPr>
              <w:pStyle w:val="28"/>
              <w:bidi w:val="0"/>
            </w:pPr>
            <w:r>
              <w:t>31°36′14.06″</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F16A0">
            <w:pPr>
              <w:pStyle w:val="28"/>
              <w:bidi w:val="0"/>
            </w:pPr>
            <w:r>
              <w:t>50户/115人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A7ADC">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401FB">
            <w:pPr>
              <w:pStyle w:val="28"/>
              <w:bidi w:val="0"/>
            </w:pPr>
            <w:r>
              <w:t>左岸，40m，1~2层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743654">
            <w:pPr>
              <w:pStyle w:val="28"/>
              <w:bidi w:val="0"/>
            </w:pPr>
            <w:r>
              <w:t>距离渠道护砌40m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7CFAC">
            <w:pPr>
              <w:pStyle w:val="28"/>
              <w:bidi w:val="0"/>
            </w:pPr>
            <w:r>
              <w:t>1类</w:t>
            </w:r>
          </w:p>
        </w:tc>
      </w:tr>
      <w:tr w14:paraId="5203CA8F">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44D8B">
            <w:pPr>
              <w:pStyle w:val="28"/>
              <w:bidi w:val="0"/>
            </w:pPr>
            <w:r>
              <w:t>11</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D41181">
            <w:pPr>
              <w:pStyle w:val="28"/>
              <w:bidi w:val="0"/>
            </w:pPr>
            <w:r>
              <w:t>钱大庄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A483E3">
            <w:pPr>
              <w:pStyle w:val="28"/>
              <w:bidi w:val="0"/>
            </w:pPr>
            <w:r>
              <w:t>116°25′45.74″</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2BAE27">
            <w:pPr>
              <w:pStyle w:val="28"/>
              <w:bidi w:val="0"/>
            </w:pPr>
            <w:r>
              <w:t>31°36′42.48″</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99641B">
            <w:pPr>
              <w:pStyle w:val="28"/>
              <w:bidi w:val="0"/>
            </w:pPr>
            <w:r>
              <w:t>25户/75人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BB438C">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AF0B7">
            <w:pPr>
              <w:pStyle w:val="28"/>
              <w:bidi w:val="0"/>
            </w:pPr>
            <w:r>
              <w:t>左岸，20m，1~2层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6BA2A">
            <w:pPr>
              <w:pStyle w:val="28"/>
              <w:bidi w:val="0"/>
            </w:pPr>
            <w:r>
              <w:t>距离放水涵拆建74m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23B41">
            <w:pPr>
              <w:pStyle w:val="28"/>
              <w:bidi w:val="0"/>
            </w:pPr>
            <w:r>
              <w:t>1类</w:t>
            </w:r>
          </w:p>
        </w:tc>
      </w:tr>
      <w:tr w14:paraId="181D331B">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A9F8A">
            <w:pPr>
              <w:pStyle w:val="28"/>
              <w:bidi w:val="0"/>
            </w:pPr>
            <w:r>
              <w:t>12</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2DDF2">
            <w:pPr>
              <w:pStyle w:val="28"/>
              <w:bidi w:val="0"/>
            </w:pPr>
            <w:r>
              <w:t>余老家</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F96C2">
            <w:pPr>
              <w:pStyle w:val="28"/>
              <w:bidi w:val="0"/>
            </w:pPr>
            <w:r>
              <w:t>116°26′4.12″</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522B6">
            <w:pPr>
              <w:pStyle w:val="28"/>
              <w:bidi w:val="0"/>
            </w:pPr>
            <w:r>
              <w:t>31°36′50.37″</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D2F6E">
            <w:pPr>
              <w:pStyle w:val="28"/>
              <w:bidi w:val="0"/>
            </w:pPr>
            <w:r>
              <w:t>8户/19人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F4EC48">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6E1D3">
            <w:pPr>
              <w:pStyle w:val="28"/>
              <w:bidi w:val="0"/>
            </w:pPr>
            <w:r>
              <w:t>左岸，70m，1~2层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15BD1">
            <w:pPr>
              <w:pStyle w:val="28"/>
              <w:bidi w:val="0"/>
            </w:pPr>
            <w:r>
              <w:t>距离放水涵拆建80m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BEF6D">
            <w:pPr>
              <w:pStyle w:val="28"/>
              <w:bidi w:val="0"/>
            </w:pPr>
            <w:r>
              <w:t>1类</w:t>
            </w:r>
          </w:p>
        </w:tc>
      </w:tr>
      <w:tr w14:paraId="70D57FB5">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1C6233">
            <w:pPr>
              <w:pStyle w:val="28"/>
              <w:bidi w:val="0"/>
            </w:pPr>
            <w:r>
              <w:t>13</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1FF04C">
            <w:pPr>
              <w:pStyle w:val="28"/>
              <w:bidi w:val="0"/>
            </w:pPr>
            <w:r>
              <w:t>鲍南楼</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5D268">
            <w:pPr>
              <w:pStyle w:val="28"/>
              <w:bidi w:val="0"/>
            </w:pPr>
            <w:r>
              <w:t>116°26′14.47″</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88230E">
            <w:pPr>
              <w:pStyle w:val="28"/>
              <w:bidi w:val="0"/>
            </w:pPr>
            <w:r>
              <w:t>31°36′57.74″</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1103AB">
            <w:pPr>
              <w:pStyle w:val="28"/>
              <w:bidi w:val="0"/>
            </w:pPr>
            <w:r>
              <w:t>35户/85人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C92E8C">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22801">
            <w:pPr>
              <w:pStyle w:val="28"/>
              <w:bidi w:val="0"/>
            </w:pPr>
            <w:r>
              <w:t>左岸，40m，1~2层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24950">
            <w:pPr>
              <w:pStyle w:val="28"/>
              <w:bidi w:val="0"/>
            </w:pPr>
            <w:r>
              <w:t>距离放水涵拆建45m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3262F">
            <w:pPr>
              <w:pStyle w:val="28"/>
              <w:bidi w:val="0"/>
            </w:pPr>
            <w:r>
              <w:t>1类</w:t>
            </w:r>
          </w:p>
        </w:tc>
      </w:tr>
      <w:tr w14:paraId="6BDAC6FB">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EE52CD">
            <w:pPr>
              <w:pStyle w:val="28"/>
              <w:bidi w:val="0"/>
            </w:pPr>
            <w:r>
              <w:t>14</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CE7A3">
            <w:pPr>
              <w:pStyle w:val="28"/>
              <w:bidi w:val="0"/>
            </w:pPr>
            <w:r>
              <w:t>卢大庄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A84B00">
            <w:pPr>
              <w:pStyle w:val="28"/>
              <w:bidi w:val="0"/>
            </w:pPr>
            <w:r>
              <w:t>116°26′27.45″</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671B8">
            <w:pPr>
              <w:pStyle w:val="28"/>
              <w:bidi w:val="0"/>
            </w:pPr>
            <w:r>
              <w:t>31°37′22.34″</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34B8C">
            <w:pPr>
              <w:pStyle w:val="28"/>
              <w:bidi w:val="0"/>
            </w:pPr>
            <w:r>
              <w:t>25户/75人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2419A">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40C52F">
            <w:pPr>
              <w:pStyle w:val="28"/>
              <w:bidi w:val="0"/>
            </w:pPr>
            <w:r>
              <w:t>左岸，40m，1~2层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42E9A">
            <w:pPr>
              <w:pStyle w:val="28"/>
              <w:bidi w:val="0"/>
            </w:pPr>
            <w:r>
              <w:t>距离放水涵拆建40m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F67D7E">
            <w:pPr>
              <w:pStyle w:val="28"/>
              <w:bidi w:val="0"/>
            </w:pPr>
            <w:r>
              <w:t>1类</w:t>
            </w:r>
          </w:p>
        </w:tc>
      </w:tr>
      <w:tr w14:paraId="1D9F641B">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67E6E8">
            <w:pPr>
              <w:pStyle w:val="28"/>
              <w:bidi w:val="0"/>
            </w:pPr>
            <w:r>
              <w:t>15</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66EF1">
            <w:pPr>
              <w:pStyle w:val="28"/>
              <w:bidi w:val="0"/>
            </w:pPr>
            <w:r>
              <w:t>朱老庄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2943A">
            <w:pPr>
              <w:pStyle w:val="28"/>
              <w:bidi w:val="0"/>
            </w:pPr>
            <w:r>
              <w:t>116°26′44.29″</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B1D0D">
            <w:pPr>
              <w:pStyle w:val="28"/>
              <w:bidi w:val="0"/>
            </w:pPr>
            <w:r>
              <w:t>31°37′41.02″</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20FAF">
            <w:pPr>
              <w:pStyle w:val="28"/>
              <w:bidi w:val="0"/>
            </w:pPr>
            <w:r>
              <w:t>8户/22人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69E821">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E3DAE">
            <w:pPr>
              <w:pStyle w:val="28"/>
              <w:bidi w:val="0"/>
            </w:pPr>
            <w:r>
              <w:t>左岸，55m，1~2层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9497D">
            <w:pPr>
              <w:pStyle w:val="28"/>
              <w:bidi w:val="0"/>
            </w:pPr>
            <w:r>
              <w:t>距离放水涵拆建50m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0DD0D">
            <w:pPr>
              <w:pStyle w:val="28"/>
              <w:bidi w:val="0"/>
            </w:pPr>
            <w:r>
              <w:t>1类</w:t>
            </w:r>
          </w:p>
        </w:tc>
      </w:tr>
      <w:tr w14:paraId="3303191E">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98A8E">
            <w:pPr>
              <w:pStyle w:val="28"/>
              <w:bidi w:val="0"/>
            </w:pPr>
            <w:r>
              <w:t>16</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D3881">
            <w:pPr>
              <w:pStyle w:val="28"/>
              <w:bidi w:val="0"/>
            </w:pPr>
            <w:r>
              <w:t>对大庄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52A4C">
            <w:pPr>
              <w:pStyle w:val="28"/>
              <w:bidi w:val="0"/>
            </w:pPr>
            <w:r>
              <w:t>116°27′5.15″</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7650AA">
            <w:pPr>
              <w:pStyle w:val="28"/>
              <w:bidi w:val="0"/>
            </w:pPr>
            <w:r>
              <w:t>31°38′2.76″</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7058A">
            <w:pPr>
              <w:pStyle w:val="28"/>
              <w:bidi w:val="0"/>
            </w:pPr>
            <w:r>
              <w:t>6户/15人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53E4A">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F45E0">
            <w:pPr>
              <w:pStyle w:val="28"/>
              <w:bidi w:val="0"/>
            </w:pPr>
            <w:r>
              <w:t>左岸，40m，1~2层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79EA6">
            <w:pPr>
              <w:pStyle w:val="28"/>
              <w:bidi w:val="0"/>
            </w:pPr>
            <w:r>
              <w:t>距离放水涵拆建115m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39CA01">
            <w:pPr>
              <w:pStyle w:val="28"/>
              <w:bidi w:val="0"/>
            </w:pPr>
            <w:r>
              <w:t>1类</w:t>
            </w:r>
          </w:p>
        </w:tc>
      </w:tr>
      <w:tr w14:paraId="1C4D9CAF">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BDD2B">
            <w:pPr>
              <w:pStyle w:val="28"/>
              <w:bidi w:val="0"/>
            </w:pPr>
            <w:r>
              <w:t>18</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9B47C">
            <w:pPr>
              <w:pStyle w:val="28"/>
              <w:bidi w:val="0"/>
            </w:pPr>
            <w:r>
              <w:t>裕安小学</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2BA64">
            <w:pPr>
              <w:pStyle w:val="28"/>
              <w:bidi w:val="0"/>
            </w:pPr>
            <w:r>
              <w:t>116°28′39.13″</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F63D1">
            <w:pPr>
              <w:pStyle w:val="28"/>
              <w:bidi w:val="0"/>
            </w:pPr>
            <w:r>
              <w:t>31°42′18.38″</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40A87">
            <w:pPr>
              <w:pStyle w:val="28"/>
              <w:bidi w:val="0"/>
            </w:pPr>
            <w:r>
              <w:t>师生200人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F5956">
            <w:pPr>
              <w:pStyle w:val="28"/>
              <w:bidi w:val="0"/>
            </w:pPr>
            <w:r>
              <w:t>师生</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C38B4B">
            <w:pPr>
              <w:pStyle w:val="28"/>
              <w:bidi w:val="0"/>
            </w:pPr>
            <w:r>
              <w:t>左岸，165m，4层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C58D0">
            <w:pPr>
              <w:pStyle w:val="28"/>
              <w:bidi w:val="0"/>
            </w:pPr>
            <w:r>
              <w:t>临时道路，201m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6AD0A">
            <w:pPr>
              <w:pStyle w:val="28"/>
              <w:bidi w:val="0"/>
            </w:pPr>
            <w:r>
              <w:t>1类</w:t>
            </w:r>
          </w:p>
        </w:tc>
      </w:tr>
      <w:tr w14:paraId="66103872">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068F9">
            <w:pPr>
              <w:pStyle w:val="28"/>
              <w:bidi w:val="0"/>
            </w:pPr>
            <w:r>
              <w:t>19</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BE339">
            <w:pPr>
              <w:pStyle w:val="28"/>
              <w:bidi w:val="0"/>
            </w:pPr>
            <w:r>
              <w:t>松楼郢</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AF1B93">
            <w:pPr>
              <w:pStyle w:val="28"/>
              <w:bidi w:val="0"/>
            </w:pPr>
            <w:r>
              <w:t>116°55′39.12″</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D36C1">
            <w:pPr>
              <w:pStyle w:val="28"/>
              <w:bidi w:val="0"/>
            </w:pPr>
            <w:r>
              <w:t>31°53′10.46″</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D3F0C">
            <w:pPr>
              <w:pStyle w:val="28"/>
              <w:bidi w:val="0"/>
            </w:pPr>
            <w:r>
              <w:t>15户/36人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8D23A5">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7338D9">
            <w:pPr>
              <w:pStyle w:val="28"/>
              <w:bidi w:val="0"/>
            </w:pPr>
            <w:r>
              <w:t>左岸，106m，1~2层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498E4">
            <w:pPr>
              <w:pStyle w:val="28"/>
              <w:bidi w:val="0"/>
            </w:pPr>
            <w:r>
              <w:t>距离滑坡治理106m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32BAC1">
            <w:pPr>
              <w:pStyle w:val="28"/>
              <w:bidi w:val="0"/>
            </w:pPr>
            <w:r>
              <w:t>1类</w:t>
            </w:r>
          </w:p>
        </w:tc>
      </w:tr>
      <w:tr w14:paraId="47AEA33B">
        <w:tblPrEx>
          <w:tblCellMar>
            <w:top w:w="0" w:type="dxa"/>
            <w:left w:w="108" w:type="dxa"/>
            <w:bottom w:w="0" w:type="dxa"/>
            <w:right w:w="108" w:type="dxa"/>
          </w:tblCellMar>
        </w:tblPrEx>
        <w:trPr>
          <w:trHeight w:val="975"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701FA4">
            <w:pPr>
              <w:pStyle w:val="28"/>
              <w:bidi w:val="0"/>
            </w:pPr>
            <w:r>
              <w:t>20</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1428C5">
            <w:pPr>
              <w:pStyle w:val="28"/>
              <w:bidi w:val="0"/>
            </w:pPr>
            <w:r>
              <w:t>大塘拐</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EF699B">
            <w:pPr>
              <w:pStyle w:val="28"/>
              <w:bidi w:val="0"/>
            </w:pPr>
            <w:r>
              <w:t>116°57′27.19″</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64037D">
            <w:pPr>
              <w:pStyle w:val="28"/>
              <w:bidi w:val="0"/>
            </w:pPr>
            <w:r>
              <w:t>31°52′53.47″</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034258">
            <w:pPr>
              <w:pStyle w:val="28"/>
              <w:bidi w:val="0"/>
            </w:pPr>
            <w:r>
              <w:t>40户/75人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063DDA">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86BCB6">
            <w:pPr>
              <w:pStyle w:val="28"/>
              <w:bidi w:val="0"/>
            </w:pPr>
            <w:r>
              <w:t>左岸，156m，1~2层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F7A3A">
            <w:pPr>
              <w:pStyle w:val="28"/>
              <w:bidi w:val="0"/>
            </w:pPr>
            <w:r>
              <w:t>距离滑坡治理156m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DFBC09">
            <w:pPr>
              <w:pStyle w:val="28"/>
              <w:bidi w:val="0"/>
            </w:pPr>
            <w:r>
              <w:t>1类</w:t>
            </w:r>
          </w:p>
        </w:tc>
      </w:tr>
      <w:tr w14:paraId="35700FD4">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910A7">
            <w:pPr>
              <w:pStyle w:val="28"/>
              <w:bidi w:val="0"/>
            </w:pPr>
            <w:r>
              <w:t>21</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CCC5D4">
            <w:pPr>
              <w:pStyle w:val="28"/>
              <w:bidi w:val="0"/>
            </w:pPr>
            <w:r>
              <w:t>中塘郢</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AF851">
            <w:pPr>
              <w:pStyle w:val="28"/>
              <w:bidi w:val="0"/>
            </w:pPr>
            <w:r>
              <w:t>116°58′23.43″</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FA0792">
            <w:pPr>
              <w:pStyle w:val="28"/>
              <w:bidi w:val="0"/>
            </w:pPr>
            <w:r>
              <w:t>31°53′13.09″</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834A1">
            <w:pPr>
              <w:pStyle w:val="28"/>
              <w:bidi w:val="0"/>
            </w:pPr>
            <w:r>
              <w:t>45户/89人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77CA5">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063CA">
            <w:pPr>
              <w:pStyle w:val="28"/>
              <w:bidi w:val="0"/>
            </w:pPr>
            <w:r>
              <w:t>左岸，30m，1~2层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D5DF5">
            <w:pPr>
              <w:pStyle w:val="28"/>
              <w:bidi w:val="0"/>
            </w:pPr>
            <w:r>
              <w:t>距离滑坡治理50m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C3971">
            <w:pPr>
              <w:pStyle w:val="28"/>
              <w:bidi w:val="0"/>
            </w:pPr>
            <w:r>
              <w:t>1类</w:t>
            </w:r>
          </w:p>
        </w:tc>
      </w:tr>
      <w:tr w14:paraId="2B799440">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F1AA7">
            <w:pPr>
              <w:pStyle w:val="28"/>
              <w:bidi w:val="0"/>
            </w:pPr>
            <w:r>
              <w:t>22</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A50839">
            <w:pPr>
              <w:pStyle w:val="28"/>
              <w:bidi w:val="0"/>
            </w:pPr>
            <w:r>
              <w:t>聚星社区</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FFB60B">
            <w:pPr>
              <w:pStyle w:val="28"/>
              <w:bidi w:val="0"/>
            </w:pPr>
            <w:r>
              <w:t>116°52′56.73″</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36F1C">
            <w:pPr>
              <w:pStyle w:val="28"/>
              <w:bidi w:val="0"/>
            </w:pPr>
            <w:r>
              <w:t>31°43′7.10″</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53284">
            <w:pPr>
              <w:pStyle w:val="28"/>
              <w:bidi w:val="0"/>
            </w:pPr>
            <w:r>
              <w:t>110户/259人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4594C">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94C83">
            <w:pPr>
              <w:pStyle w:val="28"/>
              <w:bidi w:val="0"/>
            </w:pPr>
            <w:r>
              <w:t>左岸，18m，2层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E58897">
            <w:pPr>
              <w:pStyle w:val="28"/>
              <w:bidi w:val="0"/>
            </w:pPr>
            <w:r>
              <w:t>距离渡槽重建25m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359E2D">
            <w:pPr>
              <w:pStyle w:val="28"/>
              <w:bidi w:val="0"/>
            </w:pPr>
            <w:r>
              <w:rPr>
                <w:rFonts w:hint="eastAsia"/>
              </w:rPr>
              <w:t>2</w:t>
            </w:r>
            <w:r>
              <w:t>类</w:t>
            </w:r>
          </w:p>
        </w:tc>
      </w:tr>
      <w:tr w14:paraId="48BC1A67">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AEE72">
            <w:pPr>
              <w:pStyle w:val="28"/>
              <w:bidi w:val="0"/>
            </w:pPr>
            <w:r>
              <w:t>23</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24D8A3">
            <w:pPr>
              <w:pStyle w:val="28"/>
              <w:bidi w:val="0"/>
            </w:pPr>
            <w:r>
              <w:t>聚星学区中心学校</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BFC82">
            <w:pPr>
              <w:pStyle w:val="28"/>
              <w:bidi w:val="0"/>
            </w:pPr>
            <w:r>
              <w:t>116°53′1.28″</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24318B">
            <w:pPr>
              <w:pStyle w:val="28"/>
              <w:bidi w:val="0"/>
            </w:pPr>
            <w:r>
              <w:t>31°43′10.49″</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3D114">
            <w:pPr>
              <w:pStyle w:val="28"/>
              <w:bidi w:val="0"/>
            </w:pPr>
            <w:r>
              <w:t>256人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DD565">
            <w:pPr>
              <w:pStyle w:val="28"/>
              <w:bidi w:val="0"/>
            </w:pPr>
            <w:r>
              <w:t>学校</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10EE72">
            <w:pPr>
              <w:pStyle w:val="28"/>
              <w:bidi w:val="0"/>
            </w:pPr>
            <w:r>
              <w:t>右岸，55m，4层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1FAE3">
            <w:pPr>
              <w:pStyle w:val="28"/>
              <w:bidi w:val="0"/>
            </w:pPr>
            <w:r>
              <w:t>距离渡槽重建55m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6455DB">
            <w:pPr>
              <w:pStyle w:val="28"/>
              <w:bidi w:val="0"/>
            </w:pPr>
            <w:r>
              <w:t>1类</w:t>
            </w:r>
          </w:p>
        </w:tc>
      </w:tr>
      <w:tr w14:paraId="54741A59">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A1CE9">
            <w:pPr>
              <w:pStyle w:val="28"/>
              <w:bidi w:val="0"/>
            </w:pPr>
            <w:r>
              <w:t>24</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28F18">
            <w:pPr>
              <w:pStyle w:val="28"/>
              <w:bidi w:val="0"/>
            </w:pPr>
            <w:r>
              <w:t>聚星金色童年幼儿园</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A28D2">
            <w:pPr>
              <w:pStyle w:val="28"/>
              <w:bidi w:val="0"/>
            </w:pPr>
            <w:r>
              <w:t>116°53′3.74″</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F0513">
            <w:pPr>
              <w:pStyle w:val="28"/>
              <w:bidi w:val="0"/>
            </w:pPr>
            <w:r>
              <w:t>31°43′10.27″</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52513A">
            <w:pPr>
              <w:pStyle w:val="28"/>
              <w:bidi w:val="0"/>
            </w:pPr>
            <w:r>
              <w:t>75人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B3EAE">
            <w:pPr>
              <w:pStyle w:val="28"/>
              <w:bidi w:val="0"/>
            </w:pPr>
            <w:r>
              <w:t>学校</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233F0">
            <w:pPr>
              <w:pStyle w:val="28"/>
              <w:bidi w:val="0"/>
            </w:pPr>
            <w:r>
              <w:t>右岸，35m，2层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9B036">
            <w:pPr>
              <w:pStyle w:val="28"/>
              <w:bidi w:val="0"/>
            </w:pPr>
            <w:r>
              <w:t>距离渡槽重建35m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699E2">
            <w:pPr>
              <w:pStyle w:val="28"/>
              <w:bidi w:val="0"/>
            </w:pPr>
            <w:r>
              <w:t>1类</w:t>
            </w:r>
          </w:p>
        </w:tc>
      </w:tr>
      <w:tr w14:paraId="1A59B9B4">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06B97">
            <w:pPr>
              <w:pStyle w:val="28"/>
              <w:bidi w:val="0"/>
            </w:pPr>
            <w:r>
              <w:t>25</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9D034">
            <w:pPr>
              <w:pStyle w:val="28"/>
              <w:bidi w:val="0"/>
            </w:pPr>
            <w:r>
              <w:t>独松郢</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32854">
            <w:pPr>
              <w:pStyle w:val="28"/>
              <w:bidi w:val="0"/>
            </w:pPr>
            <w:r>
              <w:t>117°2′6.39″</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CFEBAE">
            <w:pPr>
              <w:pStyle w:val="28"/>
              <w:bidi w:val="0"/>
            </w:pPr>
            <w:r>
              <w:t>31°54′47.41″</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3185D">
            <w:pPr>
              <w:pStyle w:val="28"/>
              <w:bidi w:val="0"/>
            </w:pPr>
            <w:r>
              <w:t>6户/15人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FB164E">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E6CB6">
            <w:pPr>
              <w:pStyle w:val="28"/>
              <w:bidi w:val="0"/>
            </w:pPr>
            <w:r>
              <w:t>左岸，120m，2层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72137">
            <w:pPr>
              <w:pStyle w:val="28"/>
              <w:bidi w:val="0"/>
            </w:pPr>
            <w:r>
              <w:t>渠道护砌，120m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E1602">
            <w:pPr>
              <w:pStyle w:val="28"/>
              <w:bidi w:val="0"/>
            </w:pPr>
            <w:r>
              <w:t>1类</w:t>
            </w:r>
          </w:p>
        </w:tc>
      </w:tr>
      <w:tr w14:paraId="187DE25E">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90317D">
            <w:pPr>
              <w:pStyle w:val="28"/>
              <w:bidi w:val="0"/>
            </w:pPr>
            <w:r>
              <w:t>26</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50BD9D">
            <w:pPr>
              <w:pStyle w:val="28"/>
              <w:bidi w:val="0"/>
            </w:pPr>
            <w:r>
              <w:t>将军岭</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C2E57">
            <w:pPr>
              <w:pStyle w:val="28"/>
              <w:bidi w:val="0"/>
            </w:pPr>
            <w:r>
              <w:t>117°2′28.17″</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00716A">
            <w:pPr>
              <w:pStyle w:val="28"/>
              <w:bidi w:val="0"/>
            </w:pPr>
            <w:r>
              <w:t>31°54′45.25″</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BA473">
            <w:pPr>
              <w:pStyle w:val="28"/>
              <w:bidi w:val="0"/>
            </w:pPr>
            <w:r>
              <w:t>72户/288人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6BEF7">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D273DE">
            <w:pPr>
              <w:pStyle w:val="28"/>
              <w:bidi w:val="0"/>
            </w:pPr>
            <w:r>
              <w:t>左右岸，40m，1~2层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F827F">
            <w:pPr>
              <w:pStyle w:val="28"/>
              <w:bidi w:val="0"/>
            </w:pPr>
            <w:r>
              <w:t>切岭整治，40m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883A2">
            <w:pPr>
              <w:pStyle w:val="28"/>
              <w:bidi w:val="0"/>
            </w:pPr>
            <w:r>
              <w:t>1类</w:t>
            </w:r>
          </w:p>
        </w:tc>
      </w:tr>
      <w:tr w14:paraId="3F44A392">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5C27A">
            <w:pPr>
              <w:pStyle w:val="28"/>
              <w:bidi w:val="0"/>
            </w:pPr>
            <w:r>
              <w:t>27</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BBB810">
            <w:pPr>
              <w:pStyle w:val="28"/>
              <w:bidi w:val="0"/>
            </w:pPr>
            <w:r>
              <w:t>孟郢子</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413F8">
            <w:pPr>
              <w:pStyle w:val="28"/>
              <w:bidi w:val="0"/>
            </w:pPr>
            <w:r>
              <w:t>117°3′38.19″</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D37BE9">
            <w:pPr>
              <w:pStyle w:val="28"/>
              <w:bidi w:val="0"/>
            </w:pPr>
            <w:r>
              <w:t>31°55′41.11″</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F5675">
            <w:pPr>
              <w:pStyle w:val="28"/>
              <w:bidi w:val="0"/>
            </w:pPr>
            <w:r>
              <w:t>5户/17人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3DC0E1">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BFC06">
            <w:pPr>
              <w:pStyle w:val="28"/>
              <w:bidi w:val="0"/>
            </w:pPr>
            <w:r>
              <w:t>右岸，60m，1~2层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A68C46">
            <w:pPr>
              <w:pStyle w:val="28"/>
              <w:bidi w:val="0"/>
            </w:pPr>
            <w:r>
              <w:t>渠道护砌，80m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FEE6ED">
            <w:pPr>
              <w:pStyle w:val="28"/>
              <w:bidi w:val="0"/>
            </w:pPr>
            <w:r>
              <w:t>1类</w:t>
            </w:r>
          </w:p>
        </w:tc>
      </w:tr>
      <w:tr w14:paraId="40C51466">
        <w:tblPrEx>
          <w:tblCellMar>
            <w:top w:w="0" w:type="dxa"/>
            <w:left w:w="108" w:type="dxa"/>
            <w:bottom w:w="0" w:type="dxa"/>
            <w:right w:w="108" w:type="dxa"/>
          </w:tblCellMar>
        </w:tblPrEx>
        <w:trPr>
          <w:trHeight w:val="495"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7FF102">
            <w:pPr>
              <w:pStyle w:val="28"/>
              <w:bidi w:val="0"/>
            </w:pPr>
            <w:r>
              <w:t>28</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163658">
            <w:pPr>
              <w:pStyle w:val="28"/>
              <w:bidi w:val="0"/>
            </w:pPr>
            <w:r>
              <w:t>合肥四十二中</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B2A9A">
            <w:pPr>
              <w:pStyle w:val="28"/>
              <w:bidi w:val="0"/>
            </w:pPr>
            <w:r>
              <w:t>117°14′12.57″</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450F57">
            <w:pPr>
              <w:pStyle w:val="28"/>
              <w:bidi w:val="0"/>
            </w:pPr>
            <w:r>
              <w:t>31°59′51.67″</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EFF705">
            <w:pPr>
              <w:pStyle w:val="28"/>
              <w:bidi w:val="0"/>
            </w:pPr>
            <w:r>
              <w:t>2000人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1C5EB">
            <w:pPr>
              <w:pStyle w:val="28"/>
              <w:bidi w:val="0"/>
            </w:pPr>
            <w:r>
              <w:t>师生</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7F437">
            <w:pPr>
              <w:pStyle w:val="28"/>
              <w:bidi w:val="0"/>
            </w:pPr>
            <w:r>
              <w:t>左岸，93m，8层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C399D">
            <w:pPr>
              <w:pStyle w:val="28"/>
              <w:bidi w:val="0"/>
            </w:pPr>
            <w:r>
              <w:t>吴大郢渠下涵加固，93m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354C9">
            <w:pPr>
              <w:pStyle w:val="28"/>
              <w:bidi w:val="0"/>
            </w:pPr>
            <w:r>
              <w:t>1类</w:t>
            </w:r>
          </w:p>
        </w:tc>
      </w:tr>
      <w:tr w14:paraId="7467331F">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3D0B6">
            <w:pPr>
              <w:pStyle w:val="28"/>
              <w:bidi w:val="0"/>
            </w:pPr>
            <w:r>
              <w:t>29</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6FA50B">
            <w:pPr>
              <w:pStyle w:val="28"/>
              <w:bidi w:val="0"/>
            </w:pPr>
            <w:r>
              <w:t>姜大庄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B668B">
            <w:pPr>
              <w:pStyle w:val="28"/>
              <w:bidi w:val="0"/>
            </w:pPr>
            <w:r>
              <w:t>116°36′45.32″</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6975F">
            <w:pPr>
              <w:pStyle w:val="28"/>
              <w:bidi w:val="0"/>
            </w:pPr>
            <w:r>
              <w:t>31°33′55.67″</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FFC8B7">
            <w:pPr>
              <w:pStyle w:val="28"/>
              <w:bidi w:val="0"/>
            </w:pPr>
            <w:r>
              <w:t>3户/7人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17B6B">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5FCBC">
            <w:pPr>
              <w:pStyle w:val="28"/>
              <w:bidi w:val="0"/>
            </w:pPr>
            <w:r>
              <w:t>左岸，120m，1~2层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59B55">
            <w:pPr>
              <w:pStyle w:val="28"/>
              <w:bidi w:val="0"/>
            </w:pPr>
            <w:r>
              <w:t>姜大庄放水涵拆除重建，136m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ACB84">
            <w:pPr>
              <w:pStyle w:val="28"/>
              <w:bidi w:val="0"/>
            </w:pPr>
            <w:r>
              <w:t>1类</w:t>
            </w:r>
          </w:p>
        </w:tc>
      </w:tr>
      <w:tr w14:paraId="353AD028">
        <w:tblPrEx>
          <w:tblCellMar>
            <w:top w:w="0" w:type="dxa"/>
            <w:left w:w="108" w:type="dxa"/>
            <w:bottom w:w="0" w:type="dxa"/>
            <w:right w:w="108" w:type="dxa"/>
          </w:tblCellMar>
        </w:tblPrEx>
        <w:trPr>
          <w:trHeight w:val="495"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099856">
            <w:pPr>
              <w:pStyle w:val="28"/>
              <w:bidi w:val="0"/>
            </w:pPr>
            <w:r>
              <w:t>30</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A1029">
            <w:pPr>
              <w:pStyle w:val="28"/>
              <w:bidi w:val="0"/>
            </w:pPr>
            <w:r>
              <w:t>方家圩</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4DF4E">
            <w:pPr>
              <w:pStyle w:val="28"/>
              <w:bidi w:val="0"/>
            </w:pPr>
            <w:r>
              <w:t>116°36′42.73″</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127266">
            <w:pPr>
              <w:pStyle w:val="28"/>
              <w:bidi w:val="0"/>
            </w:pPr>
            <w:r>
              <w:t>31°34′10.52″</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64BA7">
            <w:pPr>
              <w:pStyle w:val="28"/>
              <w:bidi w:val="0"/>
            </w:pPr>
            <w:r>
              <w:t>6户/15人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F330A">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34591">
            <w:pPr>
              <w:pStyle w:val="28"/>
              <w:bidi w:val="0"/>
            </w:pPr>
            <w:r>
              <w:t>左岸，111，1~2层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43815F">
            <w:pPr>
              <w:pStyle w:val="28"/>
              <w:bidi w:val="0"/>
            </w:pPr>
            <w:r>
              <w:t>李新庄农门维修加固，88m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FFEF6">
            <w:pPr>
              <w:pStyle w:val="28"/>
              <w:bidi w:val="0"/>
            </w:pPr>
            <w:r>
              <w:t>1类</w:t>
            </w:r>
          </w:p>
        </w:tc>
      </w:tr>
      <w:tr w14:paraId="5ABC2BBA">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297B70">
            <w:pPr>
              <w:pStyle w:val="28"/>
              <w:bidi w:val="0"/>
            </w:pPr>
            <w:r>
              <w:t>31</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ABDA7">
            <w:pPr>
              <w:pStyle w:val="28"/>
              <w:bidi w:val="0"/>
            </w:pPr>
            <w:r>
              <w:t>黄小庄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2A05A">
            <w:pPr>
              <w:pStyle w:val="28"/>
              <w:bidi w:val="0"/>
            </w:pPr>
            <w:r>
              <w:t>116°36′45.17″</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A85EF4">
            <w:pPr>
              <w:pStyle w:val="28"/>
              <w:bidi w:val="0"/>
            </w:pPr>
            <w:r>
              <w:t>31°34′51.25″</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54903">
            <w:pPr>
              <w:pStyle w:val="28"/>
              <w:bidi w:val="0"/>
            </w:pPr>
            <w:r>
              <w:t>6户/15人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AD664D">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CCB96">
            <w:pPr>
              <w:pStyle w:val="28"/>
              <w:bidi w:val="0"/>
            </w:pPr>
            <w:r>
              <w:t>左岸，136，1~2层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826FC0">
            <w:pPr>
              <w:pStyle w:val="28"/>
              <w:bidi w:val="0"/>
            </w:pPr>
            <w:r>
              <w:t>汪大栗树农门拆除重建，124m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85EE19">
            <w:pPr>
              <w:pStyle w:val="28"/>
              <w:bidi w:val="0"/>
            </w:pPr>
            <w:r>
              <w:t>1类</w:t>
            </w:r>
          </w:p>
        </w:tc>
      </w:tr>
      <w:tr w14:paraId="167324B1">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279D3D">
            <w:pPr>
              <w:pStyle w:val="28"/>
              <w:bidi w:val="0"/>
            </w:pPr>
            <w:r>
              <w:t>32</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1C9B45">
            <w:pPr>
              <w:pStyle w:val="28"/>
              <w:bidi w:val="0"/>
            </w:pPr>
            <w:r>
              <w:t>崔大庄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24A6D">
            <w:pPr>
              <w:pStyle w:val="28"/>
              <w:bidi w:val="0"/>
            </w:pPr>
            <w:r>
              <w:t>116°36′18.19″</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CD269F">
            <w:pPr>
              <w:pStyle w:val="28"/>
              <w:bidi w:val="0"/>
            </w:pPr>
            <w:r>
              <w:t>31°34′56.49″</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3EBE2">
            <w:pPr>
              <w:pStyle w:val="28"/>
              <w:bidi w:val="0"/>
            </w:pPr>
            <w:r>
              <w:t>4户/10人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ABF1AB">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E4B67B">
            <w:pPr>
              <w:pStyle w:val="28"/>
              <w:bidi w:val="0"/>
            </w:pPr>
            <w:r>
              <w:t>右岸，62m，1~2层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1A2A26">
            <w:pPr>
              <w:pStyle w:val="28"/>
              <w:bidi w:val="0"/>
            </w:pPr>
            <w:r>
              <w:t>胡小圩放水涵拆除重建，92m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232C92">
            <w:pPr>
              <w:pStyle w:val="28"/>
              <w:bidi w:val="0"/>
            </w:pPr>
            <w:r>
              <w:t>1类</w:t>
            </w:r>
          </w:p>
        </w:tc>
      </w:tr>
      <w:tr w14:paraId="07AFCE02">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A2506F">
            <w:pPr>
              <w:pStyle w:val="28"/>
              <w:bidi w:val="0"/>
            </w:pPr>
            <w:r>
              <w:t>33</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D4C50">
            <w:pPr>
              <w:pStyle w:val="28"/>
              <w:bidi w:val="0"/>
            </w:pPr>
            <w:r>
              <w:t>戚大庄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0BF50">
            <w:pPr>
              <w:pStyle w:val="28"/>
              <w:bidi w:val="0"/>
            </w:pPr>
            <w:r>
              <w:t>116°36′5.82″</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6C5FA4">
            <w:pPr>
              <w:pStyle w:val="28"/>
              <w:bidi w:val="0"/>
            </w:pPr>
            <w:r>
              <w:t>31°34′58.34″</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0DA2A">
            <w:pPr>
              <w:pStyle w:val="28"/>
              <w:bidi w:val="0"/>
            </w:pPr>
            <w:r>
              <w:t>1户/2人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0B3E13">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A3D9E">
            <w:pPr>
              <w:pStyle w:val="28"/>
              <w:bidi w:val="0"/>
            </w:pPr>
            <w:r>
              <w:t>右岸，119m，1~2层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11E75">
            <w:pPr>
              <w:pStyle w:val="28"/>
              <w:bidi w:val="0"/>
            </w:pPr>
            <w:r>
              <w:t>戚大庄放水涵拆除重建，102m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DDDFF9">
            <w:pPr>
              <w:pStyle w:val="28"/>
              <w:bidi w:val="0"/>
            </w:pPr>
            <w:r>
              <w:t>1类</w:t>
            </w:r>
          </w:p>
        </w:tc>
      </w:tr>
      <w:tr w14:paraId="7B9EF8DD">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FC242">
            <w:pPr>
              <w:pStyle w:val="28"/>
              <w:bidi w:val="0"/>
            </w:pPr>
            <w:r>
              <w:t>34</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7E8FB">
            <w:pPr>
              <w:pStyle w:val="28"/>
              <w:bidi w:val="0"/>
            </w:pPr>
            <w:r>
              <w:t>宋庄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F4C00">
            <w:pPr>
              <w:pStyle w:val="28"/>
              <w:bidi w:val="0"/>
            </w:pPr>
            <w:r>
              <w:t>116°36′6.26″</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63972">
            <w:pPr>
              <w:pStyle w:val="28"/>
              <w:bidi w:val="0"/>
            </w:pPr>
            <w:r>
              <w:t>31°35′25.56″</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41C2B">
            <w:pPr>
              <w:pStyle w:val="28"/>
              <w:bidi w:val="0"/>
            </w:pPr>
            <w:r>
              <w:t>2户/4人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8A934">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F5D1E">
            <w:pPr>
              <w:pStyle w:val="28"/>
              <w:bidi w:val="0"/>
            </w:pPr>
            <w:r>
              <w:t>左岸，40m，1~2层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369BD">
            <w:pPr>
              <w:pStyle w:val="28"/>
              <w:bidi w:val="0"/>
            </w:pPr>
            <w:r>
              <w:t>平塘2#放水涵拆除重建，10m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53C24">
            <w:pPr>
              <w:pStyle w:val="28"/>
              <w:bidi w:val="0"/>
            </w:pPr>
            <w:r>
              <w:t>1类</w:t>
            </w:r>
          </w:p>
        </w:tc>
      </w:tr>
      <w:tr w14:paraId="7E21EEF0">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3F489E">
            <w:pPr>
              <w:pStyle w:val="28"/>
              <w:bidi w:val="0"/>
            </w:pPr>
            <w:r>
              <w:t>35</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54F5F2">
            <w:pPr>
              <w:pStyle w:val="28"/>
              <w:bidi w:val="0"/>
            </w:pPr>
            <w:r>
              <w:t>枣树林店</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9224A6">
            <w:pPr>
              <w:pStyle w:val="28"/>
              <w:bidi w:val="0"/>
            </w:pPr>
            <w:r>
              <w:t>116°36′50.17″</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67566E">
            <w:pPr>
              <w:pStyle w:val="28"/>
              <w:bidi w:val="0"/>
            </w:pPr>
            <w:r>
              <w:t>31°36′22.57″</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2F7FD">
            <w:pPr>
              <w:pStyle w:val="28"/>
              <w:bidi w:val="0"/>
            </w:pPr>
            <w:r>
              <w:t>3户/10人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7F520">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8C3A3D">
            <w:pPr>
              <w:pStyle w:val="28"/>
              <w:bidi w:val="0"/>
            </w:pPr>
            <w:r>
              <w:t>左岸，175m，1~2层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FCD4A8">
            <w:pPr>
              <w:pStyle w:val="28"/>
              <w:bidi w:val="0"/>
            </w:pPr>
            <w:r>
              <w:t>枣树林放水涵拆除重建，151m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9C0BE1">
            <w:pPr>
              <w:pStyle w:val="28"/>
              <w:bidi w:val="0"/>
            </w:pPr>
            <w:r>
              <w:t>1类</w:t>
            </w:r>
          </w:p>
        </w:tc>
      </w:tr>
      <w:tr w14:paraId="10C73446">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EAD18">
            <w:pPr>
              <w:pStyle w:val="28"/>
              <w:bidi w:val="0"/>
            </w:pPr>
            <w:r>
              <w:t>36</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2B7F9">
            <w:pPr>
              <w:pStyle w:val="28"/>
              <w:bidi w:val="0"/>
            </w:pPr>
            <w:r>
              <w:t>蔡家庄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A55E4F">
            <w:pPr>
              <w:pStyle w:val="28"/>
              <w:bidi w:val="0"/>
            </w:pPr>
            <w:r>
              <w:t>116°36′38.59″</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1B95F">
            <w:pPr>
              <w:pStyle w:val="28"/>
              <w:bidi w:val="0"/>
            </w:pPr>
            <w:r>
              <w:t>31°36′27.82″</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B17AEA">
            <w:pPr>
              <w:pStyle w:val="28"/>
              <w:bidi w:val="0"/>
            </w:pPr>
            <w:r>
              <w:t>3户/10人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8B0685">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01FA1F">
            <w:pPr>
              <w:pStyle w:val="28"/>
              <w:bidi w:val="0"/>
            </w:pPr>
            <w:r>
              <w:t>右岸，104m，1~2层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4E8B1">
            <w:pPr>
              <w:pStyle w:val="28"/>
              <w:bidi w:val="0"/>
            </w:pPr>
            <w:r>
              <w:t>沙井农门拆除重建，130m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0B8BC">
            <w:pPr>
              <w:pStyle w:val="28"/>
              <w:bidi w:val="0"/>
            </w:pPr>
            <w:r>
              <w:t>1类</w:t>
            </w:r>
          </w:p>
        </w:tc>
      </w:tr>
      <w:tr w14:paraId="72218DFC">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219E34">
            <w:pPr>
              <w:pStyle w:val="28"/>
              <w:bidi w:val="0"/>
            </w:pPr>
            <w:r>
              <w:t>37</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2E362">
            <w:pPr>
              <w:pStyle w:val="28"/>
              <w:bidi w:val="0"/>
            </w:pPr>
            <w:r>
              <w:t>松棵</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802847">
            <w:pPr>
              <w:pStyle w:val="28"/>
              <w:bidi w:val="0"/>
            </w:pPr>
            <w:r>
              <w:t>116°36′39.22″</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62FD3">
            <w:pPr>
              <w:pStyle w:val="28"/>
              <w:bidi w:val="0"/>
            </w:pPr>
            <w:r>
              <w:t>31°37′31.34″</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F018A">
            <w:pPr>
              <w:pStyle w:val="28"/>
              <w:bidi w:val="0"/>
            </w:pPr>
            <w:r>
              <w:t>1户/2人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AC3B5">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5E9F6">
            <w:pPr>
              <w:pStyle w:val="28"/>
              <w:bidi w:val="0"/>
            </w:pPr>
            <w:r>
              <w:t>左岸，102m，1~2层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2C62F">
            <w:pPr>
              <w:pStyle w:val="28"/>
              <w:bidi w:val="0"/>
            </w:pPr>
            <w:r>
              <w:t>松棵放水涵拆除重建，120m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199BB">
            <w:pPr>
              <w:pStyle w:val="28"/>
              <w:bidi w:val="0"/>
            </w:pPr>
            <w:r>
              <w:t>1类</w:t>
            </w:r>
          </w:p>
        </w:tc>
      </w:tr>
      <w:tr w14:paraId="721C9239">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EFFD27">
            <w:pPr>
              <w:pStyle w:val="28"/>
              <w:bidi w:val="0"/>
            </w:pPr>
            <w:r>
              <w:t>38</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FEAEF">
            <w:pPr>
              <w:pStyle w:val="28"/>
              <w:bidi w:val="0"/>
            </w:pPr>
            <w:r>
              <w:t>松棵</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E6C551">
            <w:pPr>
              <w:pStyle w:val="28"/>
              <w:bidi w:val="0"/>
            </w:pPr>
            <w:r>
              <w:t>116°36′32.25″</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21016">
            <w:pPr>
              <w:pStyle w:val="28"/>
              <w:bidi w:val="0"/>
            </w:pPr>
            <w:r>
              <w:t>31°37′36.99″</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EAB055">
            <w:pPr>
              <w:pStyle w:val="28"/>
              <w:bidi w:val="0"/>
            </w:pPr>
            <w:r>
              <w:t>6户/16人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F06EF">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B9DFA3">
            <w:pPr>
              <w:pStyle w:val="28"/>
              <w:bidi w:val="0"/>
            </w:pPr>
            <w:r>
              <w:t>左岸，94m，1~2层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3D39F">
            <w:pPr>
              <w:pStyle w:val="28"/>
              <w:bidi w:val="0"/>
            </w:pPr>
            <w:r>
              <w:t>张庄农门拆除重建，85m；姚塘放水涵拆除重建，80m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ED8145">
            <w:pPr>
              <w:pStyle w:val="28"/>
              <w:bidi w:val="0"/>
            </w:pPr>
            <w:r>
              <w:t>1类</w:t>
            </w:r>
          </w:p>
        </w:tc>
      </w:tr>
      <w:tr w14:paraId="689B60C2">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2DA888">
            <w:pPr>
              <w:pStyle w:val="28"/>
              <w:bidi w:val="0"/>
            </w:pPr>
            <w:r>
              <w:t>39</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3E4ED1">
            <w:pPr>
              <w:pStyle w:val="28"/>
              <w:bidi w:val="0"/>
            </w:pPr>
            <w:r>
              <w:t>张老庄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F22241">
            <w:pPr>
              <w:pStyle w:val="28"/>
              <w:bidi w:val="0"/>
            </w:pPr>
            <w:r>
              <w:t>116°36′15.95″</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320208">
            <w:pPr>
              <w:pStyle w:val="28"/>
              <w:bidi w:val="0"/>
            </w:pPr>
            <w:r>
              <w:t>31°37′39.55″</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C89CB">
            <w:pPr>
              <w:pStyle w:val="28"/>
              <w:bidi w:val="0"/>
            </w:pPr>
            <w:r>
              <w:t>4户/13人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64CAD">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E6C177">
            <w:pPr>
              <w:pStyle w:val="28"/>
              <w:bidi w:val="0"/>
            </w:pPr>
            <w:r>
              <w:t>左岸，39m，1~2层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FB5B4">
            <w:pPr>
              <w:pStyle w:val="28"/>
              <w:bidi w:val="0"/>
            </w:pPr>
            <w:r>
              <w:t>月斗农门拆除重建，44m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A8F11">
            <w:pPr>
              <w:pStyle w:val="28"/>
              <w:bidi w:val="0"/>
            </w:pPr>
            <w:r>
              <w:t>1类</w:t>
            </w:r>
          </w:p>
        </w:tc>
      </w:tr>
      <w:tr w14:paraId="6A4C3280">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6AA0FD">
            <w:pPr>
              <w:pStyle w:val="28"/>
              <w:bidi w:val="0"/>
            </w:pPr>
            <w:r>
              <w:t>40</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D8BA5">
            <w:pPr>
              <w:pStyle w:val="28"/>
              <w:bidi w:val="0"/>
            </w:pPr>
            <w:r>
              <w:t>月牙山村</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96B8BD">
            <w:pPr>
              <w:pStyle w:val="28"/>
              <w:bidi w:val="0"/>
            </w:pPr>
            <w:r>
              <w:t>116°36′11.30″</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E3D2DE">
            <w:pPr>
              <w:pStyle w:val="28"/>
              <w:bidi w:val="0"/>
            </w:pPr>
            <w:r>
              <w:t>31°37′47.17″</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CFF4B">
            <w:pPr>
              <w:pStyle w:val="28"/>
              <w:bidi w:val="0"/>
            </w:pPr>
            <w:r>
              <w:t>2户/5人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CD05C1">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E1882">
            <w:pPr>
              <w:pStyle w:val="28"/>
              <w:bidi w:val="0"/>
            </w:pPr>
            <w:r>
              <w:t>左岸，25m，1~2层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FABA1">
            <w:pPr>
              <w:pStyle w:val="28"/>
              <w:bidi w:val="0"/>
            </w:pPr>
            <w:r>
              <w:t>朱老庄放水涵拆除重建，19m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6A11C">
            <w:pPr>
              <w:pStyle w:val="28"/>
              <w:bidi w:val="0"/>
            </w:pPr>
            <w:r>
              <w:t>1类</w:t>
            </w:r>
          </w:p>
        </w:tc>
      </w:tr>
      <w:tr w14:paraId="169FFD4C">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A82B2">
            <w:pPr>
              <w:pStyle w:val="28"/>
              <w:bidi w:val="0"/>
            </w:pPr>
            <w:r>
              <w:t>41</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C7B827">
            <w:pPr>
              <w:pStyle w:val="28"/>
              <w:bidi w:val="0"/>
            </w:pPr>
            <w:r>
              <w:t>胡家庄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B827E">
            <w:pPr>
              <w:pStyle w:val="28"/>
              <w:bidi w:val="0"/>
            </w:pPr>
            <w:r>
              <w:t>116°36′0.20″</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91E561">
            <w:pPr>
              <w:pStyle w:val="28"/>
              <w:bidi w:val="0"/>
            </w:pPr>
            <w:r>
              <w:t>31°38′19.17″</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1B6B1">
            <w:pPr>
              <w:pStyle w:val="28"/>
              <w:bidi w:val="0"/>
            </w:pPr>
            <w:r>
              <w:t>5户/16人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568E51">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D9717">
            <w:pPr>
              <w:pStyle w:val="28"/>
              <w:bidi w:val="0"/>
            </w:pPr>
            <w:r>
              <w:t>左岸，80m，1~2层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6ACBB2">
            <w:pPr>
              <w:pStyle w:val="28"/>
              <w:bidi w:val="0"/>
            </w:pPr>
            <w:r>
              <w:t>胡小庄放水涵拆除重建，63m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EC924">
            <w:pPr>
              <w:pStyle w:val="28"/>
              <w:bidi w:val="0"/>
            </w:pPr>
            <w:r>
              <w:t>1类</w:t>
            </w:r>
          </w:p>
        </w:tc>
      </w:tr>
      <w:tr w14:paraId="011D4925">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39215">
            <w:pPr>
              <w:pStyle w:val="28"/>
              <w:bidi w:val="0"/>
            </w:pPr>
            <w:r>
              <w:t>42</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DFFF64">
            <w:pPr>
              <w:pStyle w:val="28"/>
              <w:bidi w:val="0"/>
            </w:pPr>
            <w:r>
              <w:t>胡家庄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B8A541">
            <w:pPr>
              <w:pStyle w:val="28"/>
              <w:bidi w:val="0"/>
            </w:pPr>
            <w:r>
              <w:t>116°35′56.04″</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FD8904">
            <w:pPr>
              <w:pStyle w:val="28"/>
              <w:bidi w:val="0"/>
            </w:pPr>
            <w:r>
              <w:t>31°38′19.83″</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303C9">
            <w:pPr>
              <w:pStyle w:val="28"/>
              <w:bidi w:val="0"/>
            </w:pPr>
            <w:r>
              <w:t>4户/10人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2582B">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2307DE">
            <w:pPr>
              <w:pStyle w:val="28"/>
              <w:bidi w:val="0"/>
            </w:pPr>
            <w:r>
              <w:t>右岸，41m，1~2层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897F4">
            <w:pPr>
              <w:pStyle w:val="28"/>
              <w:bidi w:val="0"/>
            </w:pPr>
            <w:r>
              <w:t>胡小庄放水涵拆除重建，62m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B9279">
            <w:pPr>
              <w:pStyle w:val="28"/>
              <w:bidi w:val="0"/>
            </w:pPr>
            <w:r>
              <w:t>1类</w:t>
            </w:r>
          </w:p>
        </w:tc>
      </w:tr>
      <w:tr w14:paraId="39CF170B">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BB869">
            <w:pPr>
              <w:pStyle w:val="28"/>
              <w:bidi w:val="0"/>
            </w:pPr>
            <w:r>
              <w:t>43</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4A539">
            <w:pPr>
              <w:pStyle w:val="28"/>
              <w:bidi w:val="0"/>
            </w:pPr>
            <w:r>
              <w:t>甄大庄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2968F">
            <w:pPr>
              <w:pStyle w:val="28"/>
              <w:bidi w:val="0"/>
            </w:pPr>
            <w:r>
              <w:t>116°36′4.07″</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C12875">
            <w:pPr>
              <w:pStyle w:val="28"/>
              <w:bidi w:val="0"/>
            </w:pPr>
            <w:r>
              <w:t>31°38′30.88″</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AA145">
            <w:pPr>
              <w:pStyle w:val="28"/>
              <w:bidi w:val="0"/>
            </w:pPr>
            <w:r>
              <w:t>7户/19人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D88270">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43671">
            <w:pPr>
              <w:pStyle w:val="28"/>
              <w:bidi w:val="0"/>
            </w:pPr>
            <w:r>
              <w:t>右岸，73m，1~2层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E5E36D">
            <w:pPr>
              <w:pStyle w:val="28"/>
              <w:bidi w:val="0"/>
            </w:pPr>
            <w:r>
              <w:t>甄冲西放水涵拆除重建，103m；红冲西放水涵拆除重建，51m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865E6">
            <w:pPr>
              <w:pStyle w:val="28"/>
              <w:bidi w:val="0"/>
            </w:pPr>
            <w:r>
              <w:t>1类</w:t>
            </w:r>
          </w:p>
        </w:tc>
      </w:tr>
      <w:tr w14:paraId="4E05B5AF">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3366E">
            <w:pPr>
              <w:pStyle w:val="28"/>
              <w:bidi w:val="0"/>
            </w:pPr>
            <w:r>
              <w:t>44</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B4B3B">
            <w:pPr>
              <w:pStyle w:val="28"/>
              <w:bidi w:val="0"/>
            </w:pPr>
            <w:r>
              <w:t>谢庄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3EA72">
            <w:pPr>
              <w:pStyle w:val="28"/>
              <w:bidi w:val="0"/>
            </w:pPr>
            <w:r>
              <w:t>116°36′17.08″</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D43DA">
            <w:pPr>
              <w:pStyle w:val="28"/>
              <w:bidi w:val="0"/>
            </w:pPr>
            <w:r>
              <w:t>31°38′32.68″</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39FDC0">
            <w:pPr>
              <w:pStyle w:val="28"/>
              <w:bidi w:val="0"/>
            </w:pPr>
            <w:r>
              <w:t>4户/14人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0A9E3">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416FA">
            <w:pPr>
              <w:pStyle w:val="28"/>
              <w:bidi w:val="0"/>
            </w:pPr>
            <w:r>
              <w:t>右岸，74m，1~2层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E588A">
            <w:pPr>
              <w:pStyle w:val="28"/>
              <w:bidi w:val="0"/>
            </w:pPr>
            <w:r>
              <w:t>黄泥店放水涵拆除重建，69m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03335">
            <w:pPr>
              <w:pStyle w:val="28"/>
              <w:bidi w:val="0"/>
            </w:pPr>
            <w:r>
              <w:t>1类</w:t>
            </w:r>
          </w:p>
        </w:tc>
      </w:tr>
      <w:tr w14:paraId="2962C853">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E56456">
            <w:pPr>
              <w:pStyle w:val="28"/>
              <w:bidi w:val="0"/>
            </w:pPr>
            <w:r>
              <w:t>45</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D5088">
            <w:pPr>
              <w:pStyle w:val="28"/>
              <w:bidi w:val="0"/>
            </w:pPr>
            <w:r>
              <w:t>王家庄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2F506">
            <w:pPr>
              <w:pStyle w:val="28"/>
              <w:bidi w:val="0"/>
            </w:pPr>
            <w:r>
              <w:t>116°36′20.42″</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3B243B">
            <w:pPr>
              <w:pStyle w:val="28"/>
              <w:bidi w:val="0"/>
            </w:pPr>
            <w:r>
              <w:t>31°38′27.24″</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C4603">
            <w:pPr>
              <w:pStyle w:val="28"/>
              <w:bidi w:val="0"/>
            </w:pPr>
            <w:r>
              <w:t>5户/14人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F2979">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44E9F">
            <w:pPr>
              <w:pStyle w:val="28"/>
              <w:bidi w:val="0"/>
            </w:pPr>
            <w:r>
              <w:t>左岸，40m，1~2层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AEC633">
            <w:pPr>
              <w:pStyle w:val="28"/>
              <w:bidi w:val="0"/>
            </w:pPr>
            <w:r>
              <w:t>红冲东放水涵拆除重建，53m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04C10E">
            <w:pPr>
              <w:pStyle w:val="28"/>
              <w:bidi w:val="0"/>
            </w:pPr>
            <w:r>
              <w:t>1类</w:t>
            </w:r>
          </w:p>
        </w:tc>
      </w:tr>
      <w:tr w14:paraId="5A2D63A6">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66AF27">
            <w:pPr>
              <w:pStyle w:val="28"/>
              <w:bidi w:val="0"/>
            </w:pPr>
            <w:r>
              <w:t>46</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B31299">
            <w:pPr>
              <w:pStyle w:val="28"/>
              <w:bidi w:val="0"/>
            </w:pPr>
            <w:r>
              <w:t>杨家榜</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3DB75B">
            <w:pPr>
              <w:pStyle w:val="28"/>
              <w:bidi w:val="0"/>
            </w:pPr>
            <w:r>
              <w:t>116°36′29.20″</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021764">
            <w:pPr>
              <w:pStyle w:val="28"/>
              <w:bidi w:val="0"/>
            </w:pPr>
            <w:r>
              <w:t>31°38′24.97″</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8242A">
            <w:pPr>
              <w:pStyle w:val="28"/>
              <w:bidi w:val="0"/>
            </w:pPr>
            <w:r>
              <w:t>10户/28人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F6798">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4368D">
            <w:pPr>
              <w:pStyle w:val="28"/>
              <w:bidi w:val="0"/>
            </w:pPr>
            <w:r>
              <w:t>左岸，71m，1~2层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F6D5DD">
            <w:pPr>
              <w:pStyle w:val="28"/>
              <w:bidi w:val="0"/>
            </w:pPr>
            <w:r>
              <w:t>高稻场放水涵拆除重建，96m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99B10C">
            <w:pPr>
              <w:pStyle w:val="28"/>
              <w:bidi w:val="0"/>
            </w:pPr>
            <w:r>
              <w:t>1类</w:t>
            </w:r>
          </w:p>
        </w:tc>
      </w:tr>
      <w:tr w14:paraId="5E39DCCC">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289E7">
            <w:pPr>
              <w:pStyle w:val="28"/>
              <w:bidi w:val="0"/>
            </w:pPr>
            <w:r>
              <w:t>47</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791AA">
            <w:pPr>
              <w:pStyle w:val="28"/>
              <w:bidi w:val="0"/>
            </w:pPr>
            <w:r>
              <w:t>十四石</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9BDE5">
            <w:pPr>
              <w:pStyle w:val="28"/>
              <w:bidi w:val="0"/>
            </w:pPr>
            <w:r>
              <w:t>116°36′51.43″</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9CD5D4">
            <w:pPr>
              <w:pStyle w:val="28"/>
              <w:bidi w:val="0"/>
            </w:pPr>
            <w:r>
              <w:t>31°38′28.18″</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E633A">
            <w:pPr>
              <w:pStyle w:val="28"/>
              <w:bidi w:val="0"/>
            </w:pPr>
            <w:r>
              <w:t>7户/18人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EE261E">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103A0">
            <w:pPr>
              <w:pStyle w:val="28"/>
              <w:bidi w:val="0"/>
            </w:pPr>
            <w:r>
              <w:t>左岸，126m，1~2层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B59D0">
            <w:pPr>
              <w:pStyle w:val="28"/>
              <w:bidi w:val="0"/>
            </w:pPr>
            <w:r>
              <w:t>滑坡治理，76m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EBA6E">
            <w:pPr>
              <w:pStyle w:val="28"/>
              <w:bidi w:val="0"/>
            </w:pPr>
            <w:r>
              <w:t>1类</w:t>
            </w:r>
          </w:p>
        </w:tc>
      </w:tr>
      <w:tr w14:paraId="7821EAE2">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C6487">
            <w:pPr>
              <w:pStyle w:val="28"/>
              <w:bidi w:val="0"/>
            </w:pPr>
            <w:r>
              <w:t>48</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2178D4">
            <w:pPr>
              <w:pStyle w:val="28"/>
              <w:bidi w:val="0"/>
            </w:pPr>
            <w:r>
              <w:t>胡小庄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1C4E71">
            <w:pPr>
              <w:pStyle w:val="28"/>
              <w:bidi w:val="0"/>
            </w:pPr>
            <w:r>
              <w:t>116°36′50.26″</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DCD702">
            <w:pPr>
              <w:pStyle w:val="28"/>
              <w:bidi w:val="0"/>
            </w:pPr>
            <w:r>
              <w:t>31°38′51.68″</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3CF3B">
            <w:pPr>
              <w:pStyle w:val="28"/>
              <w:bidi w:val="0"/>
            </w:pPr>
            <w:r>
              <w:t>3户/8人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5FBD39">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FF09DA">
            <w:pPr>
              <w:pStyle w:val="28"/>
              <w:bidi w:val="0"/>
            </w:pPr>
            <w:r>
              <w:t>左岸，69m，1~2层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6F5D32">
            <w:pPr>
              <w:pStyle w:val="28"/>
              <w:bidi w:val="0"/>
            </w:pPr>
            <w:r>
              <w:t>胡粉坊2#放水涵维修加固，36m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644EB">
            <w:pPr>
              <w:pStyle w:val="28"/>
              <w:bidi w:val="0"/>
            </w:pPr>
            <w:r>
              <w:t>1类</w:t>
            </w:r>
          </w:p>
        </w:tc>
      </w:tr>
      <w:tr w14:paraId="592C13F1">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BE60C">
            <w:pPr>
              <w:pStyle w:val="28"/>
              <w:bidi w:val="0"/>
            </w:pPr>
            <w:r>
              <w:t>49</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D61030">
            <w:pPr>
              <w:pStyle w:val="28"/>
              <w:bidi w:val="0"/>
            </w:pPr>
            <w:r>
              <w:t>王庄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E70EC4">
            <w:pPr>
              <w:pStyle w:val="28"/>
              <w:bidi w:val="0"/>
            </w:pPr>
            <w:r>
              <w:t>116°36′43.90″</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C4CD65">
            <w:pPr>
              <w:pStyle w:val="28"/>
              <w:bidi w:val="0"/>
            </w:pPr>
            <w:r>
              <w:t>31°38′56.13″</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1D306">
            <w:pPr>
              <w:pStyle w:val="28"/>
              <w:bidi w:val="0"/>
            </w:pPr>
            <w:r>
              <w:t>1户/2人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1FC51">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EAB6DF">
            <w:pPr>
              <w:pStyle w:val="28"/>
              <w:bidi w:val="0"/>
            </w:pPr>
            <w:r>
              <w:t>右岸，91m，1~2层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DD521">
            <w:pPr>
              <w:pStyle w:val="28"/>
              <w:bidi w:val="0"/>
            </w:pPr>
            <w:r>
              <w:t>胡粉坊1#放水涵拆除重建，111m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926FF">
            <w:pPr>
              <w:pStyle w:val="28"/>
              <w:bidi w:val="0"/>
            </w:pPr>
            <w:r>
              <w:t>1类</w:t>
            </w:r>
          </w:p>
        </w:tc>
      </w:tr>
      <w:tr w14:paraId="78593245">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2D2DC">
            <w:pPr>
              <w:pStyle w:val="28"/>
              <w:bidi w:val="0"/>
            </w:pPr>
            <w:r>
              <w:t>50</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7C0F6">
            <w:pPr>
              <w:pStyle w:val="28"/>
              <w:bidi w:val="0"/>
            </w:pPr>
            <w:r>
              <w:t>二十石</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70461D">
            <w:pPr>
              <w:pStyle w:val="28"/>
              <w:bidi w:val="0"/>
            </w:pPr>
            <w:r>
              <w:t>116°36′54.34″</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0DE0CB">
            <w:pPr>
              <w:pStyle w:val="28"/>
              <w:bidi w:val="0"/>
            </w:pPr>
            <w:r>
              <w:t>31°40′27.54″</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966A43">
            <w:pPr>
              <w:pStyle w:val="28"/>
              <w:bidi w:val="0"/>
            </w:pPr>
            <w:r>
              <w:t>10户/26人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1958A">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50A342">
            <w:pPr>
              <w:pStyle w:val="28"/>
              <w:bidi w:val="0"/>
            </w:pPr>
            <w:r>
              <w:t>右岸，84m，1~2层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B4C0F">
            <w:pPr>
              <w:pStyle w:val="28"/>
              <w:bidi w:val="0"/>
            </w:pPr>
            <w:r>
              <w:t>二十担涵维修加固，64m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123B3">
            <w:pPr>
              <w:pStyle w:val="28"/>
              <w:bidi w:val="0"/>
            </w:pPr>
            <w:r>
              <w:t>1类</w:t>
            </w:r>
          </w:p>
        </w:tc>
      </w:tr>
      <w:tr w14:paraId="57EB0096">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B411CE">
            <w:pPr>
              <w:pStyle w:val="28"/>
              <w:bidi w:val="0"/>
            </w:pPr>
            <w:r>
              <w:t>51</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B54A2">
            <w:pPr>
              <w:pStyle w:val="28"/>
              <w:bidi w:val="0"/>
            </w:pPr>
            <w:r>
              <w:t>谢老庄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9DC1C">
            <w:pPr>
              <w:pStyle w:val="28"/>
              <w:bidi w:val="0"/>
            </w:pPr>
            <w:r>
              <w:t>116°37′8.52″</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5159FC">
            <w:pPr>
              <w:pStyle w:val="28"/>
              <w:bidi w:val="0"/>
            </w:pPr>
            <w:r>
              <w:t>31°40′27.04″</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9FE3E">
            <w:pPr>
              <w:pStyle w:val="28"/>
              <w:bidi w:val="0"/>
            </w:pPr>
            <w:r>
              <w:t>16户/40人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491FC7">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E63331">
            <w:pPr>
              <w:pStyle w:val="28"/>
              <w:bidi w:val="0"/>
            </w:pPr>
            <w:r>
              <w:t>左岸，60m，1~2层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A443B4">
            <w:pPr>
              <w:pStyle w:val="28"/>
              <w:bidi w:val="0"/>
            </w:pPr>
            <w:r>
              <w:t>谢老庄放水涵拆除重建，50m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2083B7">
            <w:pPr>
              <w:pStyle w:val="28"/>
              <w:bidi w:val="0"/>
            </w:pPr>
            <w:r>
              <w:t>1类</w:t>
            </w:r>
          </w:p>
        </w:tc>
      </w:tr>
      <w:tr w14:paraId="3A38615A">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DEDB2">
            <w:pPr>
              <w:pStyle w:val="28"/>
              <w:bidi w:val="0"/>
            </w:pPr>
            <w:r>
              <w:t>52</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3BB92">
            <w:pPr>
              <w:pStyle w:val="28"/>
              <w:bidi w:val="0"/>
            </w:pPr>
            <w:r>
              <w:t>傅老庄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B8BA1">
            <w:pPr>
              <w:pStyle w:val="28"/>
              <w:bidi w:val="0"/>
            </w:pPr>
            <w:r>
              <w:t>116°37′22.98″</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DC837">
            <w:pPr>
              <w:pStyle w:val="28"/>
              <w:bidi w:val="0"/>
            </w:pPr>
            <w:r>
              <w:t>31°40′28.13″</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ABE84">
            <w:pPr>
              <w:pStyle w:val="28"/>
              <w:bidi w:val="0"/>
            </w:pPr>
            <w:r>
              <w:t>1户/2人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8E4E7">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556328">
            <w:pPr>
              <w:pStyle w:val="28"/>
              <w:bidi w:val="0"/>
            </w:pPr>
            <w:r>
              <w:t>左岸，47m，1~2层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1C4036">
            <w:pPr>
              <w:pStyle w:val="28"/>
              <w:bidi w:val="0"/>
            </w:pPr>
            <w:r>
              <w:t>仓房放水涵拆除重建，120m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EF980">
            <w:pPr>
              <w:pStyle w:val="28"/>
              <w:bidi w:val="0"/>
            </w:pPr>
            <w:r>
              <w:t>1类</w:t>
            </w:r>
          </w:p>
        </w:tc>
      </w:tr>
      <w:tr w14:paraId="05809C42">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9BB98">
            <w:pPr>
              <w:pStyle w:val="28"/>
              <w:bidi w:val="0"/>
            </w:pPr>
            <w:r>
              <w:t>53</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2DD237">
            <w:pPr>
              <w:pStyle w:val="28"/>
              <w:bidi w:val="0"/>
            </w:pPr>
            <w:r>
              <w:t>大路沿</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5CFE1">
            <w:pPr>
              <w:pStyle w:val="28"/>
              <w:bidi w:val="0"/>
            </w:pPr>
            <w:r>
              <w:t>116°37′49.64″</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CA018">
            <w:pPr>
              <w:pStyle w:val="28"/>
              <w:bidi w:val="0"/>
            </w:pPr>
            <w:r>
              <w:t>31°40′30.32″</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FC574">
            <w:pPr>
              <w:pStyle w:val="28"/>
              <w:bidi w:val="0"/>
            </w:pPr>
            <w:r>
              <w:t>4户/11人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EB743">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7001D3">
            <w:pPr>
              <w:pStyle w:val="28"/>
              <w:bidi w:val="0"/>
            </w:pPr>
            <w:r>
              <w:t>左岸，74m，1~2层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4B9FB">
            <w:pPr>
              <w:pStyle w:val="28"/>
              <w:bidi w:val="0"/>
            </w:pPr>
            <w:r>
              <w:t>祝墩1#涵拆除重建，66m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49C5A0">
            <w:pPr>
              <w:pStyle w:val="28"/>
              <w:bidi w:val="0"/>
            </w:pPr>
            <w:r>
              <w:t>1类</w:t>
            </w:r>
          </w:p>
        </w:tc>
      </w:tr>
      <w:tr w14:paraId="4CCF7091">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8110B">
            <w:pPr>
              <w:pStyle w:val="28"/>
              <w:bidi w:val="0"/>
            </w:pPr>
            <w:r>
              <w:t>54</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6FC5A">
            <w:pPr>
              <w:pStyle w:val="28"/>
              <w:bidi w:val="0"/>
            </w:pPr>
            <w:r>
              <w:t>孙槽坊</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68D12">
            <w:pPr>
              <w:pStyle w:val="28"/>
              <w:bidi w:val="0"/>
            </w:pPr>
            <w:r>
              <w:t>116°37′36.94″</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B3CF31">
            <w:pPr>
              <w:pStyle w:val="28"/>
              <w:bidi w:val="0"/>
            </w:pPr>
            <w:r>
              <w:t>31°40′49.72″</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4E0E0">
            <w:pPr>
              <w:pStyle w:val="28"/>
              <w:bidi w:val="0"/>
            </w:pPr>
            <w:r>
              <w:t>7户/16人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6383A">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73538">
            <w:pPr>
              <w:pStyle w:val="28"/>
              <w:bidi w:val="0"/>
            </w:pPr>
            <w:r>
              <w:t>左岸，52m，1~2层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B9869">
            <w:pPr>
              <w:pStyle w:val="28"/>
              <w:bidi w:val="0"/>
            </w:pPr>
            <w:r>
              <w:t>孙槽坊放水涵拆除重建，104m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361EB">
            <w:pPr>
              <w:pStyle w:val="28"/>
              <w:bidi w:val="0"/>
            </w:pPr>
            <w:r>
              <w:t>1类</w:t>
            </w:r>
          </w:p>
        </w:tc>
      </w:tr>
      <w:tr w14:paraId="4195DE43">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405101">
            <w:pPr>
              <w:pStyle w:val="28"/>
              <w:bidi w:val="0"/>
            </w:pPr>
            <w:r>
              <w:t>55</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A95730">
            <w:pPr>
              <w:pStyle w:val="28"/>
              <w:bidi w:val="0"/>
            </w:pPr>
            <w:r>
              <w:t>刘老庄</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A834E">
            <w:pPr>
              <w:pStyle w:val="28"/>
              <w:bidi w:val="0"/>
            </w:pPr>
            <w:r>
              <w:t>116°37′35.23″</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52300">
            <w:pPr>
              <w:pStyle w:val="28"/>
              <w:bidi w:val="0"/>
            </w:pPr>
            <w:r>
              <w:t>31°40′55.78″</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DE8EE">
            <w:pPr>
              <w:pStyle w:val="28"/>
              <w:bidi w:val="0"/>
            </w:pPr>
            <w:r>
              <w:t>3户/7人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AD61E">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1CE4C">
            <w:pPr>
              <w:pStyle w:val="28"/>
              <w:bidi w:val="0"/>
            </w:pPr>
            <w:r>
              <w:t>左岸，47m，1~2层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62DAB6">
            <w:pPr>
              <w:pStyle w:val="28"/>
              <w:bidi w:val="0"/>
            </w:pPr>
            <w:r>
              <w:t>刘老庄放水涵拆除重建，58m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CC8372">
            <w:pPr>
              <w:pStyle w:val="28"/>
              <w:bidi w:val="0"/>
            </w:pPr>
            <w:r>
              <w:t>1类</w:t>
            </w:r>
          </w:p>
        </w:tc>
      </w:tr>
      <w:tr w14:paraId="7297A0C1">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3BAEEB">
            <w:pPr>
              <w:pStyle w:val="28"/>
              <w:bidi w:val="0"/>
            </w:pPr>
            <w:r>
              <w:t>56</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54665">
            <w:pPr>
              <w:pStyle w:val="28"/>
              <w:bidi w:val="0"/>
            </w:pPr>
            <w:r>
              <w:t>刘墩</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33371F">
            <w:pPr>
              <w:pStyle w:val="28"/>
              <w:bidi w:val="0"/>
            </w:pPr>
            <w:r>
              <w:t>116°36′49.89″</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987385">
            <w:pPr>
              <w:pStyle w:val="28"/>
              <w:bidi w:val="0"/>
            </w:pPr>
            <w:r>
              <w:t>31°44′13.76″</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C0BCBB">
            <w:pPr>
              <w:pStyle w:val="28"/>
              <w:bidi w:val="0"/>
            </w:pPr>
            <w:r>
              <w:t>2户/4人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D0844D">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E1C4B4">
            <w:pPr>
              <w:pStyle w:val="28"/>
              <w:bidi w:val="0"/>
            </w:pPr>
            <w:r>
              <w:t>左岸，192m，1~2层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3C91B">
            <w:pPr>
              <w:pStyle w:val="28"/>
              <w:bidi w:val="0"/>
            </w:pPr>
            <w:r>
              <w:t>硖石农门拆除重建，117m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445B9">
            <w:pPr>
              <w:pStyle w:val="28"/>
              <w:bidi w:val="0"/>
            </w:pPr>
            <w:r>
              <w:t>1类</w:t>
            </w:r>
          </w:p>
        </w:tc>
      </w:tr>
      <w:tr w14:paraId="0EF4FF85">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4DBE07">
            <w:pPr>
              <w:pStyle w:val="28"/>
              <w:bidi w:val="0"/>
            </w:pPr>
            <w:r>
              <w:t>57</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12B0A">
            <w:pPr>
              <w:pStyle w:val="28"/>
              <w:bidi w:val="0"/>
            </w:pPr>
            <w:r>
              <w:t>任东圩</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EA40EF">
            <w:pPr>
              <w:pStyle w:val="28"/>
              <w:bidi w:val="0"/>
            </w:pPr>
            <w:r>
              <w:t>116°39′9.46″</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9A9247">
            <w:pPr>
              <w:pStyle w:val="28"/>
              <w:bidi w:val="0"/>
            </w:pPr>
            <w:r>
              <w:t>31°59′50.00″</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7815E0">
            <w:pPr>
              <w:pStyle w:val="28"/>
              <w:bidi w:val="0"/>
            </w:pPr>
            <w:r>
              <w:t>20户/50人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E09C52">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829DA">
            <w:pPr>
              <w:pStyle w:val="28"/>
              <w:bidi w:val="0"/>
            </w:pPr>
            <w:r>
              <w:t>右岸，50m，1~2层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463231">
            <w:pPr>
              <w:pStyle w:val="28"/>
              <w:bidi w:val="0"/>
            </w:pPr>
            <w:r>
              <w:t>/</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34CA1">
            <w:pPr>
              <w:pStyle w:val="28"/>
              <w:bidi w:val="0"/>
            </w:pPr>
            <w:r>
              <w:t>1类</w:t>
            </w:r>
          </w:p>
        </w:tc>
      </w:tr>
      <w:tr w14:paraId="6AE828C9">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715280">
            <w:pPr>
              <w:pStyle w:val="28"/>
              <w:bidi w:val="0"/>
            </w:pPr>
            <w:r>
              <w:t>58</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BC8914">
            <w:pPr>
              <w:pStyle w:val="28"/>
              <w:bidi w:val="0"/>
            </w:pPr>
            <w:r>
              <w:t>邦柿园</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1FBB42">
            <w:pPr>
              <w:pStyle w:val="28"/>
              <w:bidi w:val="0"/>
            </w:pPr>
            <w:r>
              <w:t>116°39′9.46″</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C77D39">
            <w:pPr>
              <w:pStyle w:val="28"/>
              <w:bidi w:val="0"/>
            </w:pPr>
            <w:r>
              <w:t>31°59′36.80″</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DA083">
            <w:pPr>
              <w:pStyle w:val="28"/>
              <w:bidi w:val="0"/>
            </w:pPr>
            <w:r>
              <w:t>45户/89人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6AA82">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8791AE">
            <w:pPr>
              <w:pStyle w:val="28"/>
              <w:bidi w:val="0"/>
            </w:pPr>
            <w:r>
              <w:t>左岸，43m，1~3层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AD4C2E">
            <w:pPr>
              <w:pStyle w:val="28"/>
              <w:bidi w:val="0"/>
            </w:pPr>
            <w:r>
              <w:t>/</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B89FA0">
            <w:pPr>
              <w:pStyle w:val="28"/>
              <w:bidi w:val="0"/>
            </w:pPr>
            <w:r>
              <w:t>1类</w:t>
            </w:r>
          </w:p>
        </w:tc>
      </w:tr>
      <w:tr w14:paraId="6CEF78EB">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4D7725">
            <w:pPr>
              <w:pStyle w:val="28"/>
              <w:bidi w:val="0"/>
            </w:pPr>
            <w:r>
              <w:t>59</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F6E28">
            <w:pPr>
              <w:pStyle w:val="28"/>
              <w:bidi w:val="0"/>
            </w:pPr>
            <w:r>
              <w:t>长郢</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D0F8FC">
            <w:pPr>
              <w:pStyle w:val="28"/>
              <w:bidi w:val="0"/>
            </w:pPr>
            <w:r>
              <w:t>116°39′46.27″</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C3A438">
            <w:pPr>
              <w:pStyle w:val="28"/>
              <w:bidi w:val="0"/>
            </w:pPr>
            <w:r>
              <w:t>32°2′2.67″</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6EA529">
            <w:pPr>
              <w:pStyle w:val="28"/>
              <w:bidi w:val="0"/>
            </w:pPr>
            <w:r>
              <w:t>20户/50人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1A81F">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9D50F">
            <w:pPr>
              <w:pStyle w:val="28"/>
              <w:bidi w:val="0"/>
            </w:pPr>
            <w:r>
              <w:t>左岸，110m，1~2层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123B75">
            <w:pPr>
              <w:pStyle w:val="28"/>
              <w:bidi w:val="0"/>
            </w:pPr>
            <w:r>
              <w:t>距离防渗治理348m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0D4AF">
            <w:pPr>
              <w:pStyle w:val="28"/>
              <w:bidi w:val="0"/>
            </w:pPr>
            <w:r>
              <w:t>1类</w:t>
            </w:r>
          </w:p>
        </w:tc>
      </w:tr>
      <w:tr w14:paraId="7365F02D">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A748A3">
            <w:pPr>
              <w:pStyle w:val="28"/>
              <w:bidi w:val="0"/>
            </w:pPr>
            <w:r>
              <w:t>60</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E61D8D">
            <w:pPr>
              <w:pStyle w:val="28"/>
              <w:bidi w:val="0"/>
            </w:pPr>
            <w:r>
              <w:t>楼郢村</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A7B43D">
            <w:pPr>
              <w:pStyle w:val="28"/>
              <w:bidi w:val="0"/>
            </w:pPr>
            <w:r>
              <w:t>116°40′3.81″</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B8B8E1">
            <w:pPr>
              <w:pStyle w:val="28"/>
              <w:bidi w:val="0"/>
            </w:pPr>
            <w:r>
              <w:t>32°2′18.91″</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FB603C">
            <w:pPr>
              <w:pStyle w:val="28"/>
              <w:bidi w:val="0"/>
            </w:pPr>
            <w:r>
              <w:t>43户/89人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B9C0F0">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C1B53F">
            <w:pPr>
              <w:pStyle w:val="28"/>
              <w:bidi w:val="0"/>
            </w:pPr>
            <w:r>
              <w:t>左岸，20m，1~2层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BBDBC">
            <w:pPr>
              <w:pStyle w:val="28"/>
              <w:bidi w:val="0"/>
            </w:pPr>
            <w:r>
              <w:t>距离防渗治理158m、距离北园涵拆建20m</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0FBD7">
            <w:pPr>
              <w:pStyle w:val="28"/>
              <w:bidi w:val="0"/>
            </w:pPr>
            <w:r>
              <w:t>1类</w:t>
            </w:r>
          </w:p>
        </w:tc>
      </w:tr>
      <w:tr w14:paraId="4C09E94F">
        <w:tblPrEx>
          <w:tblCellMar>
            <w:top w:w="0" w:type="dxa"/>
            <w:left w:w="108" w:type="dxa"/>
            <w:bottom w:w="0" w:type="dxa"/>
            <w:right w:w="108" w:type="dxa"/>
          </w:tblCellMar>
        </w:tblPrEx>
        <w:trPr>
          <w:trHeight w:val="480" w:hRule="atLeast"/>
        </w:trPr>
        <w:tc>
          <w:tcPr>
            <w:tcW w:w="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007DE">
            <w:pPr>
              <w:pStyle w:val="28"/>
              <w:bidi w:val="0"/>
            </w:pPr>
            <w:r>
              <w:t>61</w:t>
            </w:r>
          </w:p>
        </w:tc>
        <w:tc>
          <w:tcPr>
            <w:tcW w:w="4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DE0199">
            <w:pPr>
              <w:pStyle w:val="28"/>
              <w:bidi w:val="0"/>
            </w:pPr>
            <w:r>
              <w:t>土城</w:t>
            </w:r>
          </w:p>
        </w:tc>
        <w:tc>
          <w:tcPr>
            <w:tcW w:w="64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1449E4">
            <w:pPr>
              <w:pStyle w:val="28"/>
              <w:bidi w:val="0"/>
            </w:pPr>
            <w:r>
              <w:t>116°39′53.22″</w:t>
            </w:r>
          </w:p>
        </w:tc>
        <w:tc>
          <w:tcPr>
            <w:tcW w:w="60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E7C3C1">
            <w:pPr>
              <w:pStyle w:val="28"/>
              <w:bidi w:val="0"/>
            </w:pPr>
            <w:r>
              <w:t>32°3′7.88″</w:t>
            </w:r>
          </w:p>
        </w:tc>
        <w:tc>
          <w:tcPr>
            <w:tcW w:w="5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AAA4C2">
            <w:pPr>
              <w:pStyle w:val="28"/>
              <w:bidi w:val="0"/>
            </w:pPr>
            <w:r>
              <w:t>5户/12人</w:t>
            </w:r>
          </w:p>
        </w:tc>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6BD297">
            <w:pPr>
              <w:pStyle w:val="28"/>
              <w:bidi w:val="0"/>
            </w:pPr>
            <w:r>
              <w:t>居民</w:t>
            </w:r>
          </w:p>
        </w:tc>
        <w:tc>
          <w:tcPr>
            <w:tcW w:w="86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E13332">
            <w:pPr>
              <w:pStyle w:val="28"/>
              <w:bidi w:val="0"/>
            </w:pPr>
            <w:r>
              <w:t>左岸，150m，1~2层</w:t>
            </w:r>
          </w:p>
        </w:tc>
        <w:tc>
          <w:tcPr>
            <w:tcW w:w="9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A9AF29">
            <w:pPr>
              <w:pStyle w:val="28"/>
              <w:bidi w:val="0"/>
            </w:pPr>
            <w:r>
              <w:t>距离填塘固基229m、距离土城涵拆建160，</w:t>
            </w:r>
          </w:p>
        </w:tc>
        <w:tc>
          <w:tcPr>
            <w:tcW w:w="3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60067">
            <w:pPr>
              <w:pStyle w:val="28"/>
              <w:bidi w:val="0"/>
            </w:pPr>
            <w:r>
              <w:t>1类</w:t>
            </w:r>
          </w:p>
        </w:tc>
      </w:tr>
    </w:tbl>
    <w:p w14:paraId="27C559C5">
      <w:pPr>
        <w:spacing w:line="240" w:lineRule="auto"/>
        <w:rPr>
          <w:color w:val="0000FF"/>
        </w:rPr>
      </w:pPr>
    </w:p>
    <w:p w14:paraId="3E927A33">
      <w:pPr>
        <w:spacing w:line="240" w:lineRule="auto"/>
        <w:rPr>
          <w:color w:val="0000FF"/>
        </w:rPr>
      </w:pPr>
    </w:p>
    <w:p w14:paraId="1BE2F16A">
      <w:pPr>
        <w:rPr>
          <w:color w:val="0000FF"/>
        </w:rPr>
      </w:pPr>
      <w:r>
        <w:rPr>
          <w:rFonts w:hint="eastAsia"/>
          <w:color w:val="0000FF"/>
        </w:rPr>
        <w:t>表</w:t>
      </w:r>
      <w:r>
        <w:rPr>
          <w:color w:val="0000FF"/>
        </w:rPr>
        <w:t>1-9-</w:t>
      </w:r>
      <w:r>
        <w:rPr>
          <w:rFonts w:hint="eastAsia"/>
          <w:color w:val="0000FF"/>
        </w:rPr>
        <w:t>7</w:t>
      </w:r>
      <w:r>
        <w:rPr>
          <w:color w:val="0000FF"/>
        </w:rPr>
        <w:t xml:space="preserve">  </w:t>
      </w:r>
      <w:r>
        <w:rPr>
          <w:rFonts w:hint="eastAsia"/>
          <w:color w:val="0000FF"/>
        </w:rPr>
        <w:t>大临</w:t>
      </w:r>
      <w:r>
        <w:rPr>
          <w:color w:val="0000FF"/>
        </w:rPr>
        <w:t>工程</w:t>
      </w:r>
      <w:r>
        <w:rPr>
          <w:rFonts w:hint="eastAsia"/>
          <w:color w:val="0000FF"/>
        </w:rPr>
        <w:t>施工期</w:t>
      </w:r>
      <w:r>
        <w:rPr>
          <w:color w:val="0000FF"/>
        </w:rPr>
        <w:t>环境保护</w:t>
      </w:r>
      <w:r>
        <w:rPr>
          <w:rFonts w:hint="eastAsia"/>
          <w:color w:val="0000FF"/>
        </w:rPr>
        <w:t>目标</w:t>
      </w:r>
      <w:r>
        <w:rPr>
          <w:color w:val="0000FF"/>
        </w:rPr>
        <w:t>一览表</w:t>
      </w:r>
    </w:p>
    <w:tbl>
      <w:tblPr>
        <w:tblStyle w:val="16"/>
        <w:tblW w:w="4993" w:type="pct"/>
        <w:tblInd w:w="0" w:type="dxa"/>
        <w:tblLayout w:type="fixed"/>
        <w:tblCellMar>
          <w:top w:w="0" w:type="dxa"/>
          <w:left w:w="108" w:type="dxa"/>
          <w:bottom w:w="0" w:type="dxa"/>
          <w:right w:w="108" w:type="dxa"/>
        </w:tblCellMar>
      </w:tblPr>
      <w:tblGrid>
        <w:gridCol w:w="581"/>
        <w:gridCol w:w="958"/>
        <w:gridCol w:w="1293"/>
        <w:gridCol w:w="1178"/>
        <w:gridCol w:w="1118"/>
        <w:gridCol w:w="951"/>
        <w:gridCol w:w="2419"/>
        <w:gridCol w:w="775"/>
      </w:tblGrid>
      <w:tr w14:paraId="3B7492D4">
        <w:tblPrEx>
          <w:tblCellMar>
            <w:top w:w="0" w:type="dxa"/>
            <w:left w:w="108" w:type="dxa"/>
            <w:bottom w:w="0" w:type="dxa"/>
            <w:right w:w="108" w:type="dxa"/>
          </w:tblCellMar>
        </w:tblPrEx>
        <w:trPr>
          <w:trHeight w:val="495" w:hRule="atLeast"/>
        </w:trPr>
        <w:tc>
          <w:tcPr>
            <w:tcW w:w="31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705995">
            <w:pPr>
              <w:pStyle w:val="28"/>
              <w:bidi w:val="0"/>
            </w:pPr>
            <w:r>
              <w:t>编号</w:t>
            </w:r>
          </w:p>
        </w:tc>
        <w:tc>
          <w:tcPr>
            <w:tcW w:w="51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6649670">
            <w:pPr>
              <w:pStyle w:val="28"/>
              <w:bidi w:val="0"/>
            </w:pPr>
            <w:r>
              <w:t>保护目标名称</w:t>
            </w:r>
          </w:p>
        </w:tc>
        <w:tc>
          <w:tcPr>
            <w:tcW w:w="1330"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C10621C">
            <w:pPr>
              <w:pStyle w:val="28"/>
              <w:bidi w:val="0"/>
            </w:pPr>
            <w:r>
              <w:t>坐标</w:t>
            </w:r>
          </w:p>
        </w:tc>
        <w:tc>
          <w:tcPr>
            <w:tcW w:w="60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B429B5">
            <w:pPr>
              <w:pStyle w:val="28"/>
              <w:bidi w:val="0"/>
            </w:pPr>
            <w:r>
              <w:t>保护内容</w:t>
            </w:r>
          </w:p>
        </w:tc>
        <w:tc>
          <w:tcPr>
            <w:tcW w:w="51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CD9FEF">
            <w:pPr>
              <w:pStyle w:val="28"/>
              <w:bidi w:val="0"/>
            </w:pPr>
            <w:r>
              <w:t>保护对象</w:t>
            </w:r>
          </w:p>
        </w:tc>
        <w:tc>
          <w:tcPr>
            <w:tcW w:w="130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68DBF6">
            <w:pPr>
              <w:pStyle w:val="28"/>
              <w:bidi w:val="0"/>
            </w:pPr>
            <w:r>
              <w:t>相对</w:t>
            </w:r>
            <w:r>
              <w:rPr>
                <w:rFonts w:hint="eastAsia"/>
              </w:rPr>
              <w:t>临时</w:t>
            </w:r>
            <w:r>
              <w:t>工程位置</w:t>
            </w:r>
          </w:p>
        </w:tc>
        <w:tc>
          <w:tcPr>
            <w:tcW w:w="41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1D1E4A">
            <w:pPr>
              <w:pStyle w:val="28"/>
              <w:bidi w:val="0"/>
            </w:pPr>
            <w:r>
              <w:t>声环境功能区</w:t>
            </w:r>
          </w:p>
        </w:tc>
      </w:tr>
      <w:tr w14:paraId="4E3DCEC1">
        <w:tblPrEx>
          <w:tblCellMar>
            <w:top w:w="0" w:type="dxa"/>
            <w:left w:w="108" w:type="dxa"/>
            <w:bottom w:w="0" w:type="dxa"/>
            <w:right w:w="108" w:type="dxa"/>
          </w:tblCellMar>
        </w:tblPrEx>
        <w:trPr>
          <w:trHeight w:val="480" w:hRule="atLeast"/>
        </w:trPr>
        <w:tc>
          <w:tcPr>
            <w:tcW w:w="31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776B76">
            <w:pPr>
              <w:pStyle w:val="28"/>
              <w:bidi w:val="0"/>
            </w:pPr>
          </w:p>
        </w:tc>
        <w:tc>
          <w:tcPr>
            <w:tcW w:w="5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2C8D95">
            <w:pPr>
              <w:pStyle w:val="28"/>
              <w:bidi w:val="0"/>
            </w:pP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E313F">
            <w:pPr>
              <w:pStyle w:val="28"/>
              <w:bidi w:val="0"/>
            </w:pPr>
            <w:r>
              <w:t>经度</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4B8D97">
            <w:pPr>
              <w:pStyle w:val="28"/>
              <w:bidi w:val="0"/>
            </w:pPr>
            <w:r>
              <w:t>纬度</w:t>
            </w:r>
          </w:p>
        </w:tc>
        <w:tc>
          <w:tcPr>
            <w:tcW w:w="6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4EB31D">
            <w:pPr>
              <w:pStyle w:val="28"/>
              <w:bidi w:val="0"/>
            </w:pPr>
          </w:p>
        </w:tc>
        <w:tc>
          <w:tcPr>
            <w:tcW w:w="51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844BF1">
            <w:pPr>
              <w:pStyle w:val="28"/>
              <w:bidi w:val="0"/>
            </w:pPr>
          </w:p>
        </w:tc>
        <w:tc>
          <w:tcPr>
            <w:tcW w:w="130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E9E257">
            <w:pPr>
              <w:pStyle w:val="28"/>
              <w:bidi w:val="0"/>
            </w:pPr>
          </w:p>
        </w:tc>
        <w:tc>
          <w:tcPr>
            <w:tcW w:w="41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AE6514">
            <w:pPr>
              <w:pStyle w:val="28"/>
              <w:bidi w:val="0"/>
            </w:pPr>
          </w:p>
        </w:tc>
      </w:tr>
      <w:tr w14:paraId="0EBE8B0D">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B6B77">
            <w:pPr>
              <w:pStyle w:val="28"/>
              <w:bidi w:val="0"/>
            </w:pPr>
            <w:r>
              <w:rPr>
                <w:rFonts w:hint="eastAsia"/>
              </w:rPr>
              <w:t>1</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697D95">
            <w:pPr>
              <w:pStyle w:val="28"/>
              <w:bidi w:val="0"/>
            </w:pPr>
            <w:r>
              <w:rPr>
                <w:rFonts w:hint="eastAsia"/>
              </w:rPr>
              <w:t>郭家洼</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26362">
            <w:pPr>
              <w:pStyle w:val="28"/>
              <w:bidi w:val="0"/>
            </w:pPr>
            <w:r>
              <w:t>116°52′45.51″</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8C6F2">
            <w:pPr>
              <w:pStyle w:val="28"/>
              <w:bidi w:val="0"/>
            </w:pPr>
            <w:r>
              <w:t>31°45′18.00″</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DC751A">
            <w:pPr>
              <w:pStyle w:val="28"/>
              <w:bidi w:val="0"/>
            </w:pPr>
            <w:r>
              <w:rPr>
                <w:rFonts w:hint="eastAsia"/>
              </w:rPr>
              <w:t>45户/125人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745D51">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4C470E">
            <w:pPr>
              <w:pStyle w:val="28"/>
              <w:bidi w:val="0"/>
            </w:pPr>
            <w:r>
              <w:rPr>
                <w:rFonts w:hint="eastAsia"/>
              </w:rPr>
              <w:t>距离聚星渡槽至3#取弃土场临时道路侧向51m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F0A87">
            <w:pPr>
              <w:pStyle w:val="28"/>
              <w:bidi w:val="0"/>
            </w:pPr>
            <w:r>
              <w:rPr>
                <w:rFonts w:hint="eastAsia"/>
              </w:rPr>
              <w:t>1类</w:t>
            </w:r>
          </w:p>
        </w:tc>
      </w:tr>
      <w:tr w14:paraId="0BB926B7">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F23E9">
            <w:pPr>
              <w:pStyle w:val="28"/>
              <w:bidi w:val="0"/>
            </w:pPr>
            <w:r>
              <w:rPr>
                <w:rFonts w:hint="eastAsia"/>
              </w:rPr>
              <w:t>2</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E1A166">
            <w:pPr>
              <w:pStyle w:val="28"/>
              <w:bidi w:val="0"/>
            </w:pPr>
            <w:r>
              <w:rPr>
                <w:rFonts w:hint="eastAsia"/>
              </w:rPr>
              <w:t>河西</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549BA0">
            <w:pPr>
              <w:pStyle w:val="28"/>
              <w:bidi w:val="0"/>
            </w:pPr>
            <w:r>
              <w:t>116°52′50.18″</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7208F8">
            <w:pPr>
              <w:pStyle w:val="28"/>
              <w:bidi w:val="0"/>
            </w:pPr>
            <w:r>
              <w:t>31°44′43.03″</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B79B8C">
            <w:pPr>
              <w:pStyle w:val="28"/>
              <w:bidi w:val="0"/>
            </w:pPr>
            <w:r>
              <w:rPr>
                <w:rFonts w:hint="eastAsia"/>
              </w:rPr>
              <w:t>80户/220人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09A54">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B91385">
            <w:pPr>
              <w:pStyle w:val="28"/>
              <w:bidi w:val="0"/>
            </w:pPr>
            <w:r>
              <w:rPr>
                <w:rFonts w:hint="eastAsia"/>
              </w:rPr>
              <w:t>距离聚星渡槽至3#取弃土场临时道路侧向22m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0BEAC">
            <w:pPr>
              <w:pStyle w:val="28"/>
              <w:bidi w:val="0"/>
            </w:pPr>
            <w:r>
              <w:rPr>
                <w:rFonts w:hint="eastAsia"/>
              </w:rPr>
              <w:t>1类</w:t>
            </w:r>
          </w:p>
        </w:tc>
      </w:tr>
      <w:tr w14:paraId="53CDE528">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FBAA96">
            <w:pPr>
              <w:pStyle w:val="28"/>
              <w:bidi w:val="0"/>
            </w:pPr>
            <w:r>
              <w:rPr>
                <w:rFonts w:hint="eastAsia"/>
              </w:rPr>
              <w:t>3</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C151A">
            <w:pPr>
              <w:pStyle w:val="28"/>
              <w:bidi w:val="0"/>
            </w:pPr>
            <w:r>
              <w:rPr>
                <w:rFonts w:hint="eastAsia"/>
              </w:rPr>
              <w:t>小平塘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09F21">
            <w:pPr>
              <w:pStyle w:val="28"/>
              <w:bidi w:val="0"/>
            </w:pPr>
            <w:r>
              <w:t>116°52′55.16″</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DE1D46">
            <w:pPr>
              <w:pStyle w:val="28"/>
              <w:bidi w:val="0"/>
            </w:pPr>
            <w:r>
              <w:t>31°44′2.03″</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1BBF9">
            <w:pPr>
              <w:pStyle w:val="28"/>
              <w:bidi w:val="0"/>
            </w:pPr>
            <w:r>
              <w:rPr>
                <w:rFonts w:hint="eastAsia"/>
              </w:rPr>
              <w:t>75户/195人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ADEF9">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E5D671">
            <w:pPr>
              <w:pStyle w:val="28"/>
              <w:bidi w:val="0"/>
            </w:pPr>
            <w:r>
              <w:rPr>
                <w:rFonts w:hint="eastAsia"/>
              </w:rPr>
              <w:t>距离聚星渡槽至3#取弃土场临时道路侧向41m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2D5CD6">
            <w:pPr>
              <w:pStyle w:val="28"/>
              <w:bidi w:val="0"/>
            </w:pPr>
            <w:r>
              <w:rPr>
                <w:rFonts w:hint="eastAsia"/>
              </w:rPr>
              <w:t>1类</w:t>
            </w:r>
          </w:p>
        </w:tc>
      </w:tr>
      <w:tr w14:paraId="4543A8D6">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02A62">
            <w:pPr>
              <w:pStyle w:val="28"/>
              <w:bidi w:val="0"/>
            </w:pPr>
            <w:r>
              <w:rPr>
                <w:rFonts w:hint="eastAsia"/>
              </w:rPr>
              <w:t>4</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1F4E91">
            <w:pPr>
              <w:pStyle w:val="28"/>
              <w:bidi w:val="0"/>
            </w:pPr>
            <w:r>
              <w:rPr>
                <w:rFonts w:hint="eastAsia"/>
              </w:rPr>
              <w:t>聚星社区</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422CCC">
            <w:pPr>
              <w:pStyle w:val="28"/>
              <w:bidi w:val="0"/>
            </w:pPr>
            <w:r>
              <w:t>116°53′2.77″</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FDFBF4">
            <w:pPr>
              <w:pStyle w:val="28"/>
              <w:bidi w:val="0"/>
            </w:pPr>
            <w:r>
              <w:t>31°43′4.38″</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FE5D2D">
            <w:pPr>
              <w:pStyle w:val="28"/>
              <w:bidi w:val="0"/>
            </w:pPr>
            <w:r>
              <w:rPr>
                <w:rFonts w:hint="eastAsia"/>
              </w:rPr>
              <w:t>38户/124人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E072B1">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BFE9D">
            <w:pPr>
              <w:pStyle w:val="28"/>
              <w:bidi w:val="0"/>
            </w:pPr>
            <w:r>
              <w:rPr>
                <w:rFonts w:hint="eastAsia"/>
              </w:rPr>
              <w:t>距离聚星渡槽施工营地西北侧95m，距离临时堆土场25m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FDAAE">
            <w:pPr>
              <w:pStyle w:val="28"/>
              <w:bidi w:val="0"/>
            </w:pPr>
            <w:r>
              <w:rPr>
                <w:rFonts w:hint="eastAsia"/>
              </w:rPr>
              <w:t>2类</w:t>
            </w:r>
          </w:p>
        </w:tc>
      </w:tr>
      <w:tr w14:paraId="4926F828">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B4D41">
            <w:pPr>
              <w:pStyle w:val="28"/>
              <w:bidi w:val="0"/>
            </w:pPr>
            <w:r>
              <w:rPr>
                <w:rFonts w:hint="eastAsia"/>
              </w:rPr>
              <w:t>5</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4B023C">
            <w:pPr>
              <w:pStyle w:val="28"/>
              <w:bidi w:val="0"/>
            </w:pPr>
            <w:r>
              <w:rPr>
                <w:rFonts w:hint="eastAsia"/>
              </w:rPr>
              <w:t>将军岭镇</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4B4F4">
            <w:pPr>
              <w:pStyle w:val="28"/>
              <w:bidi w:val="0"/>
            </w:pPr>
            <w:r>
              <w:t>117°2′33.84″</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DCA5B">
            <w:pPr>
              <w:pStyle w:val="28"/>
              <w:bidi w:val="0"/>
            </w:pPr>
            <w:r>
              <w:t>31°54′51.25″</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46DE92">
            <w:pPr>
              <w:pStyle w:val="28"/>
              <w:bidi w:val="0"/>
            </w:pPr>
            <w:r>
              <w:rPr>
                <w:rFonts w:hint="eastAsia"/>
              </w:rPr>
              <w:t>55户/163人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7A454">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9A4840">
            <w:pPr>
              <w:pStyle w:val="28"/>
              <w:bidi w:val="0"/>
            </w:pPr>
            <w:r>
              <w:rPr>
                <w:rFonts w:hint="eastAsia"/>
              </w:rPr>
              <w:t>距离滁河干渠总局直管段工程施工营地10m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917BF">
            <w:pPr>
              <w:pStyle w:val="28"/>
              <w:bidi w:val="0"/>
            </w:pPr>
            <w:r>
              <w:rPr>
                <w:rFonts w:hint="eastAsia"/>
              </w:rPr>
              <w:t>2类</w:t>
            </w:r>
          </w:p>
        </w:tc>
      </w:tr>
      <w:tr w14:paraId="5BC05CCF">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448B2">
            <w:pPr>
              <w:pStyle w:val="28"/>
              <w:bidi w:val="0"/>
            </w:pPr>
            <w:r>
              <w:rPr>
                <w:rFonts w:hint="eastAsia"/>
              </w:rPr>
              <w:t>6</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05CB9">
            <w:pPr>
              <w:pStyle w:val="28"/>
              <w:bidi w:val="0"/>
            </w:pPr>
            <w:r>
              <w:rPr>
                <w:rFonts w:hint="eastAsia"/>
              </w:rPr>
              <w:t>孙槽坊</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D43FE">
            <w:pPr>
              <w:pStyle w:val="28"/>
              <w:bidi w:val="0"/>
            </w:pPr>
            <w:r>
              <w:t>116°37′36.94″</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8FA5C">
            <w:pPr>
              <w:pStyle w:val="28"/>
              <w:bidi w:val="0"/>
            </w:pPr>
            <w:r>
              <w:t>31°40′49.72″</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8020E">
            <w:pPr>
              <w:pStyle w:val="28"/>
              <w:bidi w:val="0"/>
            </w:pPr>
            <w:r>
              <w:t>7户/16人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C48A7">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A0663">
            <w:pPr>
              <w:pStyle w:val="28"/>
              <w:bidi w:val="0"/>
            </w:pPr>
            <w:r>
              <w:rPr>
                <w:rFonts w:hint="eastAsia"/>
              </w:rPr>
              <w:t>距离淠杭干渠1#取土场南侧38m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0973D4">
            <w:pPr>
              <w:pStyle w:val="28"/>
              <w:bidi w:val="0"/>
            </w:pPr>
            <w:r>
              <w:rPr>
                <w:rFonts w:hint="eastAsia"/>
              </w:rPr>
              <w:t>1类</w:t>
            </w:r>
          </w:p>
        </w:tc>
      </w:tr>
      <w:tr w14:paraId="54BE7A60">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2CDB4D">
            <w:pPr>
              <w:pStyle w:val="28"/>
              <w:bidi w:val="0"/>
            </w:pPr>
            <w:r>
              <w:rPr>
                <w:rFonts w:hint="eastAsia"/>
              </w:rPr>
              <w:t>7</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E8F57">
            <w:pPr>
              <w:pStyle w:val="28"/>
              <w:bidi w:val="0"/>
            </w:pPr>
            <w:r>
              <w:rPr>
                <w:rFonts w:hint="eastAsia"/>
              </w:rPr>
              <w:t>刘老庄</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054459">
            <w:pPr>
              <w:pStyle w:val="28"/>
              <w:bidi w:val="0"/>
            </w:pPr>
            <w:r>
              <w:t>116°37′35.23″</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DB2C6">
            <w:pPr>
              <w:pStyle w:val="28"/>
              <w:bidi w:val="0"/>
            </w:pPr>
            <w:r>
              <w:t>31°40′55.78″</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A51D4">
            <w:pPr>
              <w:pStyle w:val="28"/>
              <w:bidi w:val="0"/>
            </w:pPr>
            <w:r>
              <w:t>3户/7人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91788C">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665CE">
            <w:pPr>
              <w:pStyle w:val="28"/>
              <w:bidi w:val="0"/>
            </w:pPr>
            <w:r>
              <w:rPr>
                <w:rFonts w:hint="eastAsia"/>
              </w:rPr>
              <w:t>距离淠杭干渠工程施工营地东南侧32m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E9A0F7">
            <w:pPr>
              <w:pStyle w:val="28"/>
              <w:bidi w:val="0"/>
            </w:pPr>
            <w:r>
              <w:rPr>
                <w:rFonts w:hint="eastAsia"/>
              </w:rPr>
              <w:t>1类</w:t>
            </w:r>
          </w:p>
        </w:tc>
      </w:tr>
      <w:tr w14:paraId="785710B8">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A2386A">
            <w:pPr>
              <w:pStyle w:val="28"/>
              <w:bidi w:val="0"/>
            </w:pPr>
            <w:r>
              <w:rPr>
                <w:rFonts w:hint="eastAsia"/>
              </w:rPr>
              <w:t>8</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EC446B">
            <w:pPr>
              <w:pStyle w:val="28"/>
              <w:bidi w:val="0"/>
            </w:pPr>
            <w:r>
              <w:rPr>
                <w:rFonts w:hint="eastAsia"/>
              </w:rPr>
              <w:t>杨家塝</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91DEB5">
            <w:pPr>
              <w:pStyle w:val="28"/>
              <w:bidi w:val="0"/>
            </w:pPr>
            <w:r>
              <w:t>116°36′30.23″</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F40FA">
            <w:pPr>
              <w:pStyle w:val="28"/>
              <w:bidi w:val="0"/>
            </w:pPr>
            <w:r>
              <w:t>31°38′25.80″</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806344">
            <w:pPr>
              <w:pStyle w:val="28"/>
              <w:bidi w:val="0"/>
            </w:pPr>
            <w:r>
              <w:rPr>
                <w:rFonts w:hint="eastAsia"/>
              </w:rPr>
              <w:t>95户/254人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DAC54A">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C8A7C">
            <w:pPr>
              <w:pStyle w:val="28"/>
              <w:bidi w:val="0"/>
            </w:pPr>
            <w:r>
              <w:rPr>
                <w:rFonts w:hint="eastAsia"/>
              </w:rPr>
              <w:t>距离淠杭干渠3#弃土场南侧60m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1DC991">
            <w:pPr>
              <w:pStyle w:val="28"/>
              <w:bidi w:val="0"/>
            </w:pPr>
            <w:r>
              <w:rPr>
                <w:rFonts w:hint="eastAsia"/>
              </w:rPr>
              <w:t>1类</w:t>
            </w:r>
          </w:p>
        </w:tc>
      </w:tr>
      <w:tr w14:paraId="3372BEB0">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264CD0">
            <w:pPr>
              <w:pStyle w:val="28"/>
              <w:bidi w:val="0"/>
            </w:pPr>
            <w:r>
              <w:rPr>
                <w:rFonts w:hint="eastAsia"/>
              </w:rPr>
              <w:t>9</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4C03C">
            <w:pPr>
              <w:pStyle w:val="28"/>
              <w:bidi w:val="0"/>
            </w:pPr>
            <w:r>
              <w:rPr>
                <w:rFonts w:hint="eastAsia"/>
              </w:rPr>
              <w:t>土城</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CCBBB9">
            <w:pPr>
              <w:pStyle w:val="28"/>
              <w:bidi w:val="0"/>
            </w:pPr>
            <w:r>
              <w:t>116°39′46.27″</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76141">
            <w:pPr>
              <w:pStyle w:val="28"/>
              <w:bidi w:val="0"/>
            </w:pPr>
            <w:r>
              <w:t>32°2′2.67″</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2DBAA">
            <w:pPr>
              <w:pStyle w:val="28"/>
              <w:bidi w:val="0"/>
            </w:pPr>
            <w:r>
              <w:t>20户/50人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5AA08">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C19AE0">
            <w:pPr>
              <w:pStyle w:val="28"/>
              <w:bidi w:val="0"/>
            </w:pPr>
            <w:r>
              <w:rPr>
                <w:rFonts w:hint="eastAsia"/>
              </w:rPr>
              <w:t>距离淠东干渠工程6#取弃土场西北侧179m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67D5CA">
            <w:pPr>
              <w:pStyle w:val="28"/>
              <w:bidi w:val="0"/>
            </w:pPr>
            <w:r>
              <w:rPr>
                <w:rFonts w:hint="eastAsia"/>
              </w:rPr>
              <w:t>1类</w:t>
            </w:r>
          </w:p>
        </w:tc>
      </w:tr>
      <w:tr w14:paraId="60E93DE7">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16BFA">
            <w:pPr>
              <w:pStyle w:val="28"/>
              <w:bidi w:val="0"/>
            </w:pPr>
            <w:r>
              <w:rPr>
                <w:rFonts w:hint="eastAsia"/>
              </w:rPr>
              <w:t>10</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04D25E">
            <w:pPr>
              <w:pStyle w:val="28"/>
              <w:bidi w:val="0"/>
            </w:pPr>
            <w:r>
              <w:rPr>
                <w:rFonts w:hint="eastAsia"/>
              </w:rPr>
              <w:t>长郢</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FB0374">
            <w:pPr>
              <w:pStyle w:val="28"/>
              <w:bidi w:val="0"/>
            </w:pPr>
            <w:r>
              <w:t>116°40′3.81″</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D515C">
            <w:pPr>
              <w:pStyle w:val="28"/>
              <w:bidi w:val="0"/>
            </w:pPr>
            <w:r>
              <w:t>32°2′18.91″</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23CA53">
            <w:pPr>
              <w:pStyle w:val="28"/>
              <w:bidi w:val="0"/>
            </w:pPr>
            <w:r>
              <w:t>43户/89人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E341B">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4F58B">
            <w:pPr>
              <w:pStyle w:val="28"/>
              <w:bidi w:val="0"/>
            </w:pPr>
            <w:r>
              <w:rPr>
                <w:rFonts w:hint="eastAsia"/>
              </w:rPr>
              <w:t>距离淠东干渠工程7#取弃土场西北侧130m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17A33">
            <w:pPr>
              <w:pStyle w:val="28"/>
              <w:bidi w:val="0"/>
            </w:pPr>
            <w:r>
              <w:rPr>
                <w:rFonts w:hint="eastAsia"/>
              </w:rPr>
              <w:t>1类</w:t>
            </w:r>
          </w:p>
        </w:tc>
      </w:tr>
      <w:tr w14:paraId="2E2EE96B">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B15B31">
            <w:pPr>
              <w:pStyle w:val="28"/>
              <w:bidi w:val="0"/>
            </w:pPr>
            <w:r>
              <w:rPr>
                <w:rFonts w:hint="eastAsia"/>
              </w:rPr>
              <w:t>11</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9CA148">
            <w:pPr>
              <w:pStyle w:val="28"/>
              <w:bidi w:val="0"/>
            </w:pPr>
            <w:r>
              <w:rPr>
                <w:rFonts w:hint="eastAsia"/>
              </w:rPr>
              <w:t>严家圩</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ACAD12">
            <w:pPr>
              <w:pStyle w:val="28"/>
              <w:bidi w:val="0"/>
            </w:pPr>
            <w:r>
              <w:t>116°48′17.77″</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F3C54">
            <w:pPr>
              <w:pStyle w:val="28"/>
              <w:bidi w:val="0"/>
            </w:pPr>
            <w:r>
              <w:t>32°24′20.19″</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E1D857">
            <w:pPr>
              <w:pStyle w:val="28"/>
              <w:bidi w:val="0"/>
            </w:pPr>
            <w:r>
              <w:t>70户/290人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73912">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1974BA">
            <w:pPr>
              <w:pStyle w:val="28"/>
              <w:bidi w:val="0"/>
            </w:pPr>
            <w:r>
              <w:rPr>
                <w:rFonts w:hint="eastAsia"/>
              </w:rPr>
              <w:t>距离堰口分干渠工程4#弃土场东侧38m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C6AF1">
            <w:pPr>
              <w:pStyle w:val="28"/>
              <w:bidi w:val="0"/>
            </w:pPr>
            <w:r>
              <w:rPr>
                <w:rFonts w:hint="eastAsia"/>
              </w:rPr>
              <w:t>1类</w:t>
            </w:r>
          </w:p>
        </w:tc>
      </w:tr>
      <w:tr w14:paraId="0990E1F4">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13CFC5">
            <w:pPr>
              <w:pStyle w:val="28"/>
              <w:bidi w:val="0"/>
            </w:pPr>
            <w:r>
              <w:rPr>
                <w:rFonts w:hint="eastAsia"/>
              </w:rPr>
              <w:t>12</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2B1FB5">
            <w:pPr>
              <w:pStyle w:val="28"/>
              <w:bidi w:val="0"/>
            </w:pPr>
            <w:r>
              <w:rPr>
                <w:rFonts w:hint="eastAsia"/>
              </w:rPr>
              <w:t>徐家盐行</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8FC87">
            <w:pPr>
              <w:pStyle w:val="28"/>
              <w:bidi w:val="0"/>
            </w:pPr>
            <w:r>
              <w:t>116°43′55.90″</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293007">
            <w:pPr>
              <w:pStyle w:val="28"/>
              <w:bidi w:val="0"/>
            </w:pPr>
            <w:r>
              <w:t>32°18′47.17″</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FA70B">
            <w:pPr>
              <w:pStyle w:val="28"/>
              <w:bidi w:val="0"/>
            </w:pPr>
            <w:r>
              <w:t>60户/245人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FF441C">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F3F8BB">
            <w:pPr>
              <w:pStyle w:val="28"/>
              <w:bidi w:val="0"/>
            </w:pPr>
            <w:r>
              <w:rPr>
                <w:rFonts w:hint="eastAsia"/>
              </w:rPr>
              <w:t>距离堰口分干渠工程5#弃土场西侧80m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2C4F6A">
            <w:pPr>
              <w:pStyle w:val="28"/>
              <w:bidi w:val="0"/>
            </w:pPr>
            <w:r>
              <w:rPr>
                <w:rFonts w:hint="eastAsia"/>
              </w:rPr>
              <w:t>1类</w:t>
            </w:r>
          </w:p>
        </w:tc>
      </w:tr>
      <w:tr w14:paraId="20B223FB">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B5FAD7">
            <w:pPr>
              <w:pStyle w:val="28"/>
              <w:bidi w:val="0"/>
            </w:pPr>
            <w:r>
              <w:rPr>
                <w:rFonts w:hint="eastAsia"/>
              </w:rPr>
              <w:t>13</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5ACC3A">
            <w:pPr>
              <w:pStyle w:val="28"/>
              <w:bidi w:val="0"/>
            </w:pPr>
            <w:r>
              <w:rPr>
                <w:rFonts w:hint="eastAsia"/>
              </w:rPr>
              <w:t>寿县大光中学</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98FAAA">
            <w:pPr>
              <w:pStyle w:val="28"/>
              <w:bidi w:val="0"/>
            </w:pPr>
            <w:r>
              <w:t>116°46′36.51″</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6CE1F">
            <w:pPr>
              <w:pStyle w:val="28"/>
              <w:bidi w:val="0"/>
            </w:pPr>
            <w:r>
              <w:t>32°21′48.69″</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6FFADE">
            <w:pPr>
              <w:pStyle w:val="28"/>
              <w:bidi w:val="0"/>
            </w:pPr>
            <w:r>
              <w:rPr>
                <w:rFonts w:hint="eastAsia"/>
              </w:rPr>
              <w:t>850人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731E8">
            <w:pPr>
              <w:pStyle w:val="28"/>
              <w:bidi w:val="0"/>
            </w:pPr>
            <w:r>
              <w:rPr>
                <w:rFonts w:hint="eastAsia"/>
              </w:rPr>
              <w:t>师生</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34442">
            <w:pPr>
              <w:pStyle w:val="28"/>
              <w:bidi w:val="0"/>
            </w:pPr>
            <w:r>
              <w:rPr>
                <w:rFonts w:hint="eastAsia"/>
              </w:rPr>
              <w:t>距离堰口分干渠工程6#弃土场东南侧145m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D3164">
            <w:pPr>
              <w:pStyle w:val="28"/>
              <w:bidi w:val="0"/>
            </w:pPr>
            <w:r>
              <w:rPr>
                <w:rFonts w:hint="eastAsia"/>
              </w:rPr>
              <w:t>1类</w:t>
            </w:r>
          </w:p>
        </w:tc>
      </w:tr>
      <w:tr w14:paraId="5D8CD1F7">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A76FF4">
            <w:pPr>
              <w:pStyle w:val="28"/>
              <w:bidi w:val="0"/>
            </w:pPr>
            <w:r>
              <w:rPr>
                <w:rFonts w:hint="eastAsia"/>
              </w:rPr>
              <w:t>14</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419B52">
            <w:pPr>
              <w:pStyle w:val="28"/>
              <w:bidi w:val="0"/>
            </w:pPr>
            <w:r>
              <w:rPr>
                <w:rFonts w:hint="eastAsia"/>
              </w:rPr>
              <w:t>北新店村</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94427D">
            <w:pPr>
              <w:pStyle w:val="28"/>
              <w:bidi w:val="0"/>
            </w:pPr>
            <w:r>
              <w:t>116°46′19.06″</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87D8C5">
            <w:pPr>
              <w:pStyle w:val="28"/>
              <w:bidi w:val="0"/>
            </w:pPr>
            <w:r>
              <w:t>32°21′51.98″</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3F71D">
            <w:pPr>
              <w:pStyle w:val="28"/>
              <w:bidi w:val="0"/>
            </w:pPr>
            <w:r>
              <w:t>15户/55人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7B5FDA">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81A06">
            <w:pPr>
              <w:pStyle w:val="28"/>
              <w:bidi w:val="0"/>
            </w:pPr>
            <w:r>
              <w:rPr>
                <w:rFonts w:hint="eastAsia"/>
              </w:rPr>
              <w:t>距离堰口分干渠工程6#弃土场西侧150m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5ECD1">
            <w:pPr>
              <w:pStyle w:val="28"/>
              <w:bidi w:val="0"/>
            </w:pPr>
            <w:r>
              <w:rPr>
                <w:rFonts w:hint="eastAsia"/>
              </w:rPr>
              <w:t>1类</w:t>
            </w:r>
          </w:p>
        </w:tc>
      </w:tr>
      <w:tr w14:paraId="437FB568">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3B4E0">
            <w:pPr>
              <w:pStyle w:val="28"/>
              <w:bidi w:val="0"/>
            </w:pPr>
            <w:r>
              <w:rPr>
                <w:rFonts w:hint="eastAsia"/>
              </w:rPr>
              <w:t>15</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9A96E3">
            <w:pPr>
              <w:pStyle w:val="28"/>
              <w:bidi w:val="0"/>
            </w:pPr>
            <w:r>
              <w:rPr>
                <w:rFonts w:hint="eastAsia"/>
              </w:rPr>
              <w:t>旱龙头村</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DF6AA4">
            <w:pPr>
              <w:pStyle w:val="28"/>
              <w:bidi w:val="0"/>
            </w:pPr>
            <w:r>
              <w:t>116°25′14.02″</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E598E">
            <w:pPr>
              <w:pStyle w:val="28"/>
              <w:bidi w:val="0"/>
            </w:pPr>
            <w:r>
              <w:t>31°25′26.69″</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5DB85">
            <w:pPr>
              <w:pStyle w:val="28"/>
              <w:bidi w:val="0"/>
            </w:pPr>
            <w:r>
              <w:t>2户/4人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901529">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62F93">
            <w:pPr>
              <w:pStyle w:val="28"/>
              <w:bidi w:val="0"/>
            </w:pPr>
            <w:r>
              <w:rPr>
                <w:rFonts w:hint="eastAsia"/>
              </w:rPr>
              <w:t>距离淠源分干渠工程10#取弃土场北侧98m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441945">
            <w:pPr>
              <w:pStyle w:val="28"/>
              <w:bidi w:val="0"/>
            </w:pPr>
            <w:r>
              <w:rPr>
                <w:rFonts w:hint="eastAsia"/>
              </w:rPr>
              <w:t>1类</w:t>
            </w:r>
          </w:p>
        </w:tc>
      </w:tr>
      <w:tr w14:paraId="7A802D8C">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133A97">
            <w:pPr>
              <w:pStyle w:val="28"/>
              <w:bidi w:val="0"/>
            </w:pPr>
            <w:r>
              <w:rPr>
                <w:rFonts w:hint="eastAsia"/>
              </w:rPr>
              <w:t>16</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962177">
            <w:pPr>
              <w:pStyle w:val="28"/>
              <w:bidi w:val="0"/>
            </w:pPr>
            <w:r>
              <w:rPr>
                <w:rFonts w:hint="eastAsia"/>
              </w:rPr>
              <w:t>霍山迎宾府</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53F471">
            <w:pPr>
              <w:pStyle w:val="28"/>
              <w:bidi w:val="0"/>
            </w:pPr>
            <w:r>
              <w:t>116°21′39.51″</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F0EE95">
            <w:pPr>
              <w:pStyle w:val="28"/>
              <w:bidi w:val="0"/>
            </w:pPr>
            <w:r>
              <w:t>31°23′52.95″</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5EC2B8">
            <w:pPr>
              <w:pStyle w:val="28"/>
              <w:bidi w:val="0"/>
            </w:pPr>
            <w:r>
              <w:t>200户/500人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E0465">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9E9093">
            <w:pPr>
              <w:pStyle w:val="28"/>
              <w:bidi w:val="0"/>
            </w:pPr>
            <w:r>
              <w:rPr>
                <w:rFonts w:hint="eastAsia"/>
              </w:rPr>
              <w:t>距离淠源分干渠工程施工营地北侧98m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E290A0">
            <w:pPr>
              <w:pStyle w:val="28"/>
              <w:bidi w:val="0"/>
            </w:pPr>
            <w:r>
              <w:rPr>
                <w:rFonts w:hint="eastAsia"/>
              </w:rPr>
              <w:t>1类</w:t>
            </w:r>
          </w:p>
        </w:tc>
      </w:tr>
      <w:tr w14:paraId="54B74C26">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6BFD3C">
            <w:pPr>
              <w:pStyle w:val="28"/>
              <w:bidi w:val="0"/>
            </w:pPr>
            <w:r>
              <w:rPr>
                <w:rFonts w:hint="eastAsia"/>
              </w:rPr>
              <w:t>17</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7F910">
            <w:pPr>
              <w:pStyle w:val="28"/>
              <w:bidi w:val="0"/>
            </w:pPr>
            <w:r>
              <w:rPr>
                <w:rFonts w:hint="eastAsia"/>
              </w:rPr>
              <w:t>戴家院</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90A9E6">
            <w:pPr>
              <w:pStyle w:val="28"/>
              <w:bidi w:val="0"/>
            </w:pPr>
            <w:r>
              <w:t>116°23′30.74″</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66B036">
            <w:pPr>
              <w:pStyle w:val="28"/>
              <w:bidi w:val="0"/>
            </w:pPr>
            <w:r>
              <w:t>31°28′4.87″</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14B5D8">
            <w:pPr>
              <w:pStyle w:val="28"/>
              <w:bidi w:val="0"/>
            </w:pPr>
            <w:r>
              <w:t>1户/2人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CEBEA">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56C6FA">
            <w:pPr>
              <w:pStyle w:val="28"/>
              <w:bidi w:val="0"/>
            </w:pPr>
            <w:r>
              <w:rPr>
                <w:rFonts w:hint="eastAsia"/>
              </w:rPr>
              <w:t>距离淠源分干渠工程施工营地东侧105m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CF2761">
            <w:pPr>
              <w:pStyle w:val="28"/>
              <w:bidi w:val="0"/>
            </w:pPr>
            <w:r>
              <w:rPr>
                <w:rFonts w:hint="eastAsia"/>
              </w:rPr>
              <w:t>1类</w:t>
            </w:r>
          </w:p>
        </w:tc>
      </w:tr>
      <w:tr w14:paraId="053BEF52">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00A68">
            <w:pPr>
              <w:pStyle w:val="28"/>
              <w:bidi w:val="0"/>
            </w:pPr>
            <w:r>
              <w:rPr>
                <w:rFonts w:hint="eastAsia"/>
              </w:rPr>
              <w:t>18</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F942E">
            <w:pPr>
              <w:pStyle w:val="28"/>
              <w:bidi w:val="0"/>
            </w:pPr>
            <w:r>
              <w:rPr>
                <w:rFonts w:hint="eastAsia"/>
              </w:rPr>
              <w:t>周新庄</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6EBAF9">
            <w:pPr>
              <w:pStyle w:val="28"/>
              <w:bidi w:val="0"/>
            </w:pPr>
            <w:r>
              <w:t>116°57′54.13″</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EB742">
            <w:pPr>
              <w:pStyle w:val="28"/>
              <w:bidi w:val="0"/>
            </w:pPr>
            <w:r>
              <w:t>31°48′35.03″</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B05A43">
            <w:pPr>
              <w:pStyle w:val="28"/>
              <w:bidi w:val="0"/>
            </w:pPr>
            <w:r>
              <w:t>5户/15人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DB13A2">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8C0907">
            <w:pPr>
              <w:pStyle w:val="28"/>
              <w:bidi w:val="0"/>
            </w:pPr>
            <w:r>
              <w:rPr>
                <w:rFonts w:hint="eastAsia"/>
              </w:rPr>
              <w:t>距离小蜀山分干渠工程7#弃土场西南侧135m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8AFA84">
            <w:pPr>
              <w:pStyle w:val="28"/>
              <w:bidi w:val="0"/>
            </w:pPr>
            <w:r>
              <w:rPr>
                <w:rFonts w:hint="eastAsia"/>
              </w:rPr>
              <w:t>1类</w:t>
            </w:r>
          </w:p>
        </w:tc>
      </w:tr>
      <w:tr w14:paraId="64731A5E">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ACD5F">
            <w:pPr>
              <w:pStyle w:val="28"/>
              <w:bidi w:val="0"/>
            </w:pPr>
            <w:r>
              <w:rPr>
                <w:rFonts w:hint="eastAsia"/>
              </w:rPr>
              <w:t>19</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FC20F">
            <w:pPr>
              <w:pStyle w:val="28"/>
              <w:bidi w:val="0"/>
            </w:pPr>
            <w:r>
              <w:rPr>
                <w:rFonts w:hint="eastAsia"/>
              </w:rPr>
              <w:t>陆堰</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EF637A">
            <w:pPr>
              <w:pStyle w:val="28"/>
              <w:bidi w:val="0"/>
            </w:pPr>
            <w:r>
              <w:t>116°55′18.84″</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E41061">
            <w:pPr>
              <w:pStyle w:val="28"/>
              <w:bidi w:val="0"/>
            </w:pPr>
            <w:r>
              <w:t>32°6′56.56″</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E437D">
            <w:pPr>
              <w:pStyle w:val="28"/>
              <w:bidi w:val="0"/>
            </w:pPr>
            <w:r>
              <w:rPr>
                <w:rFonts w:hint="eastAsia"/>
              </w:rPr>
              <w:t>31户/86人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63CA77">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75F012">
            <w:pPr>
              <w:pStyle w:val="28"/>
              <w:bidi w:val="0"/>
            </w:pPr>
            <w:r>
              <w:rPr>
                <w:rFonts w:hint="eastAsia"/>
              </w:rPr>
              <w:t>距离瓦东双庙支渠工程9#弃土场西南侧141m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895AF">
            <w:pPr>
              <w:pStyle w:val="28"/>
              <w:bidi w:val="0"/>
            </w:pPr>
            <w:r>
              <w:rPr>
                <w:rFonts w:hint="eastAsia"/>
              </w:rPr>
              <w:t>1类</w:t>
            </w:r>
          </w:p>
        </w:tc>
      </w:tr>
      <w:tr w14:paraId="65AB3C86">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8CB33">
            <w:pPr>
              <w:pStyle w:val="28"/>
              <w:bidi w:val="0"/>
            </w:pPr>
            <w:r>
              <w:rPr>
                <w:rFonts w:hint="eastAsia"/>
              </w:rPr>
              <w:t>20</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7C6E1">
            <w:pPr>
              <w:pStyle w:val="28"/>
              <w:bidi w:val="0"/>
            </w:pPr>
            <w:r>
              <w:rPr>
                <w:rFonts w:hint="eastAsia"/>
              </w:rPr>
              <w:t>新建村</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84D5B">
            <w:pPr>
              <w:pStyle w:val="28"/>
              <w:bidi w:val="0"/>
            </w:pPr>
            <w:r>
              <w:t>116°33′44.56″</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1CE5E9">
            <w:pPr>
              <w:pStyle w:val="28"/>
              <w:bidi w:val="0"/>
            </w:pPr>
            <w:r>
              <w:t>32°19′23.13″</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74C609">
            <w:pPr>
              <w:pStyle w:val="28"/>
              <w:bidi w:val="0"/>
            </w:pPr>
            <w:r>
              <w:rPr>
                <w:rFonts w:hint="eastAsia"/>
              </w:rPr>
              <w:t>32户/92人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24A8D">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69882">
            <w:pPr>
              <w:pStyle w:val="28"/>
              <w:bidi w:val="0"/>
            </w:pPr>
            <w:r>
              <w:rPr>
                <w:rFonts w:hint="eastAsia"/>
              </w:rPr>
              <w:t>距离东风支渠工程10#弃土场北侧170m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610C2">
            <w:pPr>
              <w:pStyle w:val="28"/>
              <w:bidi w:val="0"/>
            </w:pPr>
            <w:r>
              <w:rPr>
                <w:rFonts w:hint="eastAsia"/>
              </w:rPr>
              <w:t>1类</w:t>
            </w:r>
          </w:p>
        </w:tc>
      </w:tr>
      <w:tr w14:paraId="7A6E498D">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77D104">
            <w:pPr>
              <w:pStyle w:val="28"/>
              <w:bidi w:val="0"/>
            </w:pPr>
            <w:r>
              <w:rPr>
                <w:rFonts w:hint="eastAsia"/>
              </w:rPr>
              <w:t>21</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492798">
            <w:pPr>
              <w:pStyle w:val="28"/>
              <w:bidi w:val="0"/>
            </w:pPr>
            <w:r>
              <w:rPr>
                <w:rFonts w:hint="eastAsia"/>
              </w:rPr>
              <w:t>横店小学</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AFD21">
            <w:pPr>
              <w:pStyle w:val="28"/>
              <w:bidi w:val="0"/>
            </w:pPr>
            <w:r>
              <w:rPr>
                <w:rFonts w:hint="eastAsia"/>
              </w:rPr>
              <w:t>116°52′57.73″</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F2EADC">
            <w:pPr>
              <w:pStyle w:val="28"/>
              <w:bidi w:val="0"/>
            </w:pPr>
            <w:r>
              <w:rPr>
                <w:rFonts w:hint="eastAsia"/>
              </w:rPr>
              <w:t>31°35</w:t>
            </w:r>
            <w:r>
              <w:t>′</w:t>
            </w:r>
            <w:r>
              <w:rPr>
                <w:rFonts w:hint="eastAsia"/>
              </w:rPr>
              <w:t>27.29″</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E407E4">
            <w:pPr>
              <w:pStyle w:val="28"/>
              <w:bidi w:val="0"/>
            </w:pPr>
            <w:r>
              <w:rPr>
                <w:rFonts w:hint="eastAsia"/>
              </w:rPr>
              <w:t>80人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9F6DB5">
            <w:pPr>
              <w:pStyle w:val="28"/>
              <w:bidi w:val="0"/>
            </w:pPr>
            <w:r>
              <w:rPr>
                <w:rFonts w:hint="eastAsia"/>
              </w:rPr>
              <w:t>学校</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AF600">
            <w:pPr>
              <w:pStyle w:val="28"/>
              <w:bidi w:val="0"/>
            </w:pPr>
            <w:r>
              <w:rPr>
                <w:rFonts w:hint="eastAsia"/>
              </w:rPr>
              <w:t>距离义河支渠工程12#取弃土场西南侧88m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BB938C">
            <w:pPr>
              <w:pStyle w:val="28"/>
              <w:bidi w:val="0"/>
            </w:pPr>
            <w:r>
              <w:rPr>
                <w:rFonts w:hint="eastAsia"/>
              </w:rPr>
              <w:t>1类</w:t>
            </w:r>
          </w:p>
        </w:tc>
      </w:tr>
      <w:tr w14:paraId="5DEBEEF0">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C3CB5F">
            <w:pPr>
              <w:pStyle w:val="28"/>
              <w:bidi w:val="0"/>
            </w:pPr>
            <w:r>
              <w:rPr>
                <w:rFonts w:hint="eastAsia"/>
              </w:rPr>
              <w:t>22</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44C9E7">
            <w:pPr>
              <w:pStyle w:val="28"/>
              <w:bidi w:val="0"/>
            </w:pPr>
            <w:r>
              <w:rPr>
                <w:rFonts w:hint="eastAsia"/>
              </w:rPr>
              <w:t>张大郢</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1C1BC">
            <w:pPr>
              <w:pStyle w:val="28"/>
              <w:bidi w:val="0"/>
            </w:pPr>
            <w:r>
              <w:t>116°53′13.40″</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B508B">
            <w:pPr>
              <w:pStyle w:val="28"/>
              <w:bidi w:val="0"/>
            </w:pPr>
            <w:r>
              <w:t>31°34′31.78″</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6E9E36">
            <w:pPr>
              <w:pStyle w:val="28"/>
              <w:bidi w:val="0"/>
            </w:pPr>
            <w:r>
              <w:t>20户/55人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CDE6F">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156AD">
            <w:pPr>
              <w:pStyle w:val="28"/>
              <w:bidi w:val="0"/>
            </w:pPr>
            <w:r>
              <w:rPr>
                <w:rFonts w:hint="eastAsia"/>
              </w:rPr>
              <w:t>距离袁店支渠工程13#取弃土场西南侧120m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FCF4A">
            <w:pPr>
              <w:pStyle w:val="28"/>
              <w:bidi w:val="0"/>
            </w:pPr>
            <w:r>
              <w:rPr>
                <w:rFonts w:hint="eastAsia"/>
              </w:rPr>
              <w:t>1类</w:t>
            </w:r>
          </w:p>
        </w:tc>
      </w:tr>
      <w:tr w14:paraId="6AE012F6">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1EEDD3">
            <w:pPr>
              <w:pStyle w:val="28"/>
              <w:bidi w:val="0"/>
            </w:pPr>
            <w:r>
              <w:rPr>
                <w:rFonts w:hint="eastAsia"/>
              </w:rPr>
              <w:t>23</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AEFEA">
            <w:pPr>
              <w:pStyle w:val="28"/>
              <w:bidi w:val="0"/>
            </w:pPr>
            <w:r>
              <w:rPr>
                <w:rFonts w:hint="eastAsia"/>
              </w:rPr>
              <w:t>大丰洼</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54A77">
            <w:pPr>
              <w:pStyle w:val="28"/>
              <w:bidi w:val="0"/>
            </w:pPr>
            <w:r>
              <w:t>117°24′16.57″</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3D247">
            <w:pPr>
              <w:pStyle w:val="28"/>
              <w:bidi w:val="0"/>
            </w:pPr>
            <w:r>
              <w:t>32°6′31.41″</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5B3B2D">
            <w:pPr>
              <w:pStyle w:val="28"/>
              <w:bidi w:val="0"/>
            </w:pPr>
            <w:r>
              <w:rPr>
                <w:rFonts w:hint="eastAsia"/>
              </w:rPr>
              <w:t>25户/68人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B13C0B">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DF3225">
            <w:pPr>
              <w:pStyle w:val="28"/>
              <w:bidi w:val="0"/>
            </w:pPr>
            <w:r>
              <w:rPr>
                <w:rFonts w:hint="eastAsia"/>
              </w:rPr>
              <w:t>距离大高支渠工程11#弃土场北侧105m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EBCB9B">
            <w:pPr>
              <w:pStyle w:val="28"/>
              <w:bidi w:val="0"/>
            </w:pPr>
            <w:r>
              <w:rPr>
                <w:rFonts w:hint="eastAsia"/>
              </w:rPr>
              <w:t>1类</w:t>
            </w:r>
          </w:p>
        </w:tc>
      </w:tr>
      <w:tr w14:paraId="69117CC4">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61D0F">
            <w:pPr>
              <w:pStyle w:val="28"/>
              <w:bidi w:val="0"/>
            </w:pPr>
            <w:r>
              <w:rPr>
                <w:rFonts w:hint="eastAsia"/>
              </w:rPr>
              <w:t>24</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6D92D">
            <w:pPr>
              <w:pStyle w:val="28"/>
              <w:bidi w:val="0"/>
            </w:pPr>
            <w:r>
              <w:rPr>
                <w:rFonts w:hint="eastAsia"/>
              </w:rPr>
              <w:t>林场</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994864">
            <w:pPr>
              <w:pStyle w:val="28"/>
              <w:bidi w:val="0"/>
            </w:pPr>
            <w:r>
              <w:t>117°24′35.80″</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4FFFD">
            <w:pPr>
              <w:pStyle w:val="28"/>
              <w:bidi w:val="0"/>
            </w:pPr>
            <w:r>
              <w:t>32°10′9.71″</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6FD0F">
            <w:pPr>
              <w:pStyle w:val="28"/>
              <w:bidi w:val="0"/>
            </w:pPr>
            <w:r>
              <w:rPr>
                <w:rFonts w:hint="eastAsia"/>
              </w:rPr>
              <w:t>3户/7人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F340C">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EAB6A1">
            <w:pPr>
              <w:pStyle w:val="28"/>
              <w:bidi w:val="0"/>
            </w:pPr>
            <w:r>
              <w:rPr>
                <w:rFonts w:hint="eastAsia"/>
              </w:rPr>
              <w:t>距离白龙支渠工程施工营地20m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AE201">
            <w:pPr>
              <w:pStyle w:val="28"/>
              <w:bidi w:val="0"/>
            </w:pPr>
            <w:r>
              <w:rPr>
                <w:rFonts w:hint="eastAsia"/>
              </w:rPr>
              <w:t>1类</w:t>
            </w:r>
          </w:p>
        </w:tc>
      </w:tr>
      <w:tr w14:paraId="74E3ACCF">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525EB9">
            <w:pPr>
              <w:pStyle w:val="28"/>
              <w:bidi w:val="0"/>
            </w:pPr>
            <w:r>
              <w:rPr>
                <w:rFonts w:hint="eastAsia"/>
              </w:rPr>
              <w:t>25</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2CF82E">
            <w:pPr>
              <w:pStyle w:val="28"/>
              <w:bidi w:val="0"/>
            </w:pPr>
            <w:r>
              <w:rPr>
                <w:rFonts w:hint="eastAsia"/>
              </w:rPr>
              <w:t>令喜希望小学</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B36E48">
            <w:pPr>
              <w:pStyle w:val="28"/>
              <w:bidi w:val="0"/>
            </w:pPr>
            <w:r>
              <w:t>116°55′47.29″</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65BFCB">
            <w:pPr>
              <w:pStyle w:val="28"/>
              <w:bidi w:val="0"/>
            </w:pPr>
            <w:r>
              <w:t>32°14′32.52″</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5065BF">
            <w:pPr>
              <w:pStyle w:val="28"/>
              <w:bidi w:val="0"/>
            </w:pPr>
            <w:r>
              <w:t>100人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4FE06">
            <w:pPr>
              <w:pStyle w:val="28"/>
              <w:bidi w:val="0"/>
            </w:pPr>
            <w:r>
              <w:rPr>
                <w:rFonts w:hint="eastAsia"/>
              </w:rPr>
              <w:t>师生</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DA3709">
            <w:pPr>
              <w:pStyle w:val="28"/>
              <w:bidi w:val="0"/>
            </w:pPr>
            <w:r>
              <w:rPr>
                <w:rFonts w:hint="eastAsia"/>
              </w:rPr>
              <w:t>距离郑岗泵站16#取弃土场东北侧62m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E14EF7">
            <w:pPr>
              <w:pStyle w:val="28"/>
              <w:bidi w:val="0"/>
            </w:pPr>
            <w:r>
              <w:rPr>
                <w:rFonts w:hint="eastAsia"/>
              </w:rPr>
              <w:t>1类</w:t>
            </w:r>
          </w:p>
        </w:tc>
      </w:tr>
      <w:tr w14:paraId="2182F900">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B051F">
            <w:pPr>
              <w:pStyle w:val="28"/>
              <w:bidi w:val="0"/>
            </w:pPr>
            <w:r>
              <w:rPr>
                <w:rFonts w:hint="eastAsia"/>
              </w:rPr>
              <w:t>26</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A121B1">
            <w:pPr>
              <w:pStyle w:val="28"/>
              <w:bidi w:val="0"/>
            </w:pPr>
            <w:r>
              <w:rPr>
                <w:rFonts w:hint="eastAsia"/>
              </w:rPr>
              <w:t>土楼村</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9C197">
            <w:pPr>
              <w:pStyle w:val="28"/>
              <w:bidi w:val="0"/>
            </w:pPr>
            <w:r>
              <w:t>116°55′49.76″，</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074875">
            <w:pPr>
              <w:pStyle w:val="28"/>
              <w:bidi w:val="0"/>
            </w:pPr>
            <w:r>
              <w:t>32°14′30.82″</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FCD08D">
            <w:pPr>
              <w:pStyle w:val="28"/>
              <w:bidi w:val="0"/>
            </w:pPr>
            <w:r>
              <w:t>12户/29人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2DA256">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CFFBD">
            <w:pPr>
              <w:pStyle w:val="28"/>
              <w:bidi w:val="0"/>
            </w:pPr>
            <w:r>
              <w:rPr>
                <w:rFonts w:hint="eastAsia"/>
              </w:rPr>
              <w:t>距离郑岗泵站16#取弃土场东北侧65m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D86CF">
            <w:pPr>
              <w:pStyle w:val="28"/>
              <w:bidi w:val="0"/>
            </w:pPr>
            <w:r>
              <w:rPr>
                <w:rFonts w:hint="eastAsia"/>
              </w:rPr>
              <w:t>1类</w:t>
            </w:r>
          </w:p>
        </w:tc>
      </w:tr>
      <w:tr w14:paraId="6EB575AE">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4393B">
            <w:pPr>
              <w:pStyle w:val="28"/>
              <w:bidi w:val="0"/>
            </w:pPr>
            <w:r>
              <w:rPr>
                <w:rFonts w:hint="eastAsia"/>
              </w:rPr>
              <w:t>27</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9B16CC">
            <w:pPr>
              <w:pStyle w:val="28"/>
              <w:bidi w:val="0"/>
            </w:pPr>
            <w:r>
              <w:rPr>
                <w:rFonts w:hint="eastAsia"/>
              </w:rPr>
              <w:t>郑家岗</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832708">
            <w:pPr>
              <w:pStyle w:val="28"/>
              <w:bidi w:val="0"/>
            </w:pPr>
            <w:r>
              <w:t>116°55′33.52″</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7005F">
            <w:pPr>
              <w:pStyle w:val="28"/>
              <w:bidi w:val="0"/>
            </w:pPr>
            <w:r>
              <w:t>32°14′32.21″</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60EE7">
            <w:pPr>
              <w:pStyle w:val="28"/>
              <w:bidi w:val="0"/>
            </w:pPr>
            <w:r>
              <w:rPr>
                <w:rFonts w:hint="eastAsia"/>
              </w:rPr>
              <w:t>19户/53人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1E1C76">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A70C64">
            <w:pPr>
              <w:pStyle w:val="28"/>
              <w:bidi w:val="0"/>
            </w:pPr>
            <w:r>
              <w:rPr>
                <w:rFonts w:hint="eastAsia"/>
              </w:rPr>
              <w:t>距离郑岗泵站施工营地119</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5EE04D">
            <w:pPr>
              <w:pStyle w:val="28"/>
              <w:bidi w:val="0"/>
            </w:pPr>
            <w:r>
              <w:rPr>
                <w:rFonts w:hint="eastAsia"/>
              </w:rPr>
              <w:t>1类</w:t>
            </w:r>
          </w:p>
        </w:tc>
      </w:tr>
      <w:tr w14:paraId="45F2BF60">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DB8D9">
            <w:pPr>
              <w:pStyle w:val="28"/>
              <w:bidi w:val="0"/>
            </w:pPr>
            <w:r>
              <w:rPr>
                <w:rFonts w:hint="eastAsia"/>
              </w:rPr>
              <w:t>28</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7DC0B">
            <w:pPr>
              <w:pStyle w:val="28"/>
              <w:bidi w:val="0"/>
            </w:pPr>
            <w:r>
              <w:rPr>
                <w:rFonts w:hint="eastAsia"/>
              </w:rPr>
              <w:t>桃园</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D880BA">
            <w:pPr>
              <w:pStyle w:val="28"/>
              <w:bidi w:val="0"/>
            </w:pPr>
            <w:r>
              <w:t>116°15′4.59″</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5458D">
            <w:pPr>
              <w:pStyle w:val="28"/>
              <w:bidi w:val="0"/>
            </w:pPr>
            <w:r>
              <w:t>32°13′50.64″</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6D800E">
            <w:pPr>
              <w:pStyle w:val="28"/>
              <w:bidi w:val="0"/>
            </w:pPr>
            <w:r>
              <w:t>16户/50人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AE1A6">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DBDBEF">
            <w:pPr>
              <w:pStyle w:val="28"/>
              <w:bidi w:val="0"/>
            </w:pPr>
            <w:r>
              <w:rPr>
                <w:rFonts w:hint="eastAsia"/>
              </w:rPr>
              <w:t>距离沣东干渠17#取弃土场西南侧41m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7582A">
            <w:pPr>
              <w:pStyle w:val="28"/>
              <w:bidi w:val="0"/>
            </w:pPr>
            <w:r>
              <w:rPr>
                <w:rFonts w:hint="eastAsia"/>
              </w:rPr>
              <w:t>1类</w:t>
            </w:r>
          </w:p>
        </w:tc>
      </w:tr>
      <w:tr w14:paraId="1C4FFCB1">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529448">
            <w:pPr>
              <w:pStyle w:val="28"/>
              <w:bidi w:val="0"/>
            </w:pPr>
            <w:r>
              <w:rPr>
                <w:rFonts w:hint="eastAsia"/>
              </w:rPr>
              <w:t>29</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59B5F">
            <w:pPr>
              <w:pStyle w:val="28"/>
              <w:bidi w:val="0"/>
            </w:pPr>
            <w:r>
              <w:rPr>
                <w:rFonts w:hint="eastAsia"/>
              </w:rPr>
              <w:t>上集子</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B801CA">
            <w:pPr>
              <w:pStyle w:val="28"/>
              <w:bidi w:val="0"/>
            </w:pPr>
            <w:r>
              <w:t>116°15′51.06″</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A19CC5">
            <w:pPr>
              <w:pStyle w:val="28"/>
              <w:bidi w:val="0"/>
            </w:pPr>
            <w:r>
              <w:t>32°15′24.23″</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77202">
            <w:pPr>
              <w:pStyle w:val="28"/>
              <w:bidi w:val="0"/>
            </w:pPr>
            <w:r>
              <w:t>6户/14人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7C94E2">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0622C">
            <w:pPr>
              <w:pStyle w:val="28"/>
              <w:bidi w:val="0"/>
            </w:pPr>
            <w:r>
              <w:rPr>
                <w:rFonts w:hint="eastAsia"/>
              </w:rPr>
              <w:t>距离沣东干渠工程施工营地东北侧154m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0E028">
            <w:pPr>
              <w:pStyle w:val="28"/>
              <w:bidi w:val="0"/>
            </w:pPr>
            <w:r>
              <w:rPr>
                <w:rFonts w:hint="eastAsia"/>
              </w:rPr>
              <w:t>1类</w:t>
            </w:r>
          </w:p>
        </w:tc>
      </w:tr>
      <w:tr w14:paraId="3D1FC8AB">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407502">
            <w:pPr>
              <w:pStyle w:val="28"/>
              <w:bidi w:val="0"/>
            </w:pPr>
            <w:r>
              <w:rPr>
                <w:rFonts w:hint="eastAsia"/>
              </w:rPr>
              <w:t>30</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6D33F">
            <w:pPr>
              <w:pStyle w:val="28"/>
              <w:bidi w:val="0"/>
            </w:pPr>
            <w:r>
              <w:rPr>
                <w:rFonts w:hint="eastAsia"/>
              </w:rPr>
              <w:t>夹沟坝子</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1918DE">
            <w:pPr>
              <w:pStyle w:val="28"/>
              <w:bidi w:val="0"/>
            </w:pPr>
            <w:r>
              <w:t>116°16′3.16″</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1D3179">
            <w:pPr>
              <w:pStyle w:val="28"/>
              <w:bidi w:val="0"/>
            </w:pPr>
            <w:r>
              <w:t>32°17′3.77″</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FCDF95">
            <w:pPr>
              <w:pStyle w:val="28"/>
              <w:bidi w:val="0"/>
            </w:pPr>
            <w:r>
              <w:t>23户/65人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CDCC9">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4B2A5A">
            <w:pPr>
              <w:pStyle w:val="28"/>
              <w:bidi w:val="0"/>
            </w:pPr>
            <w:r>
              <w:rPr>
                <w:rFonts w:hint="eastAsia"/>
              </w:rPr>
              <w:t>距离沣东干渠工程施工营地东北侧32m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327C20">
            <w:pPr>
              <w:pStyle w:val="28"/>
              <w:bidi w:val="0"/>
            </w:pPr>
            <w:r>
              <w:rPr>
                <w:rFonts w:hint="eastAsia"/>
              </w:rPr>
              <w:t>1类</w:t>
            </w:r>
          </w:p>
        </w:tc>
      </w:tr>
      <w:tr w14:paraId="24AC578B">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A693DD">
            <w:pPr>
              <w:pStyle w:val="28"/>
              <w:bidi w:val="0"/>
            </w:pPr>
            <w:r>
              <w:rPr>
                <w:rFonts w:hint="eastAsia"/>
              </w:rPr>
              <w:t>31</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610996">
            <w:pPr>
              <w:pStyle w:val="28"/>
              <w:bidi w:val="0"/>
            </w:pPr>
            <w:r>
              <w:t>新塘</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3ADC67">
            <w:pPr>
              <w:pStyle w:val="28"/>
              <w:bidi w:val="0"/>
            </w:pPr>
            <w:r>
              <w:t>115°55′56.92″</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77868">
            <w:pPr>
              <w:pStyle w:val="28"/>
              <w:bidi w:val="0"/>
            </w:pPr>
            <w:r>
              <w:t>32°13′52.30″</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2BAAF4">
            <w:pPr>
              <w:pStyle w:val="28"/>
              <w:bidi w:val="0"/>
            </w:pPr>
            <w:r>
              <w:t>5户/13人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DCFA0">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79D2E">
            <w:pPr>
              <w:pStyle w:val="28"/>
              <w:bidi w:val="0"/>
            </w:pPr>
            <w:r>
              <w:rPr>
                <w:rFonts w:hint="eastAsia"/>
              </w:rPr>
              <w:t>距离沣西干渠工程18#取弃土场东北侧39m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234517">
            <w:pPr>
              <w:pStyle w:val="28"/>
              <w:bidi w:val="0"/>
            </w:pPr>
            <w:r>
              <w:rPr>
                <w:rFonts w:hint="eastAsia"/>
              </w:rPr>
              <w:t>1类</w:t>
            </w:r>
          </w:p>
        </w:tc>
      </w:tr>
      <w:tr w14:paraId="42643E49">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375E1">
            <w:pPr>
              <w:pStyle w:val="28"/>
              <w:bidi w:val="0"/>
            </w:pPr>
            <w:r>
              <w:rPr>
                <w:rFonts w:hint="eastAsia"/>
              </w:rPr>
              <w:t>32</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80EC88">
            <w:pPr>
              <w:pStyle w:val="28"/>
              <w:bidi w:val="0"/>
            </w:pPr>
            <w:r>
              <w:rPr>
                <w:rFonts w:hint="eastAsia"/>
              </w:rPr>
              <w:t>金田</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C56587">
            <w:pPr>
              <w:pStyle w:val="28"/>
              <w:bidi w:val="0"/>
            </w:pPr>
            <w:r>
              <w:t>115°57′27.85″</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905DA0">
            <w:pPr>
              <w:pStyle w:val="28"/>
              <w:bidi w:val="0"/>
            </w:pPr>
            <w:r>
              <w:t>32°11′33.62″</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1C67D5">
            <w:pPr>
              <w:pStyle w:val="28"/>
              <w:bidi w:val="0"/>
            </w:pPr>
            <w:r>
              <w:t>12户/30人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D45C8F">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F67E79">
            <w:pPr>
              <w:pStyle w:val="28"/>
              <w:bidi w:val="0"/>
            </w:pPr>
            <w:r>
              <w:rPr>
                <w:rFonts w:hint="eastAsia"/>
              </w:rPr>
              <w:t>距离沣西干渠工程19#取弃土场东南侧181m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957B9E">
            <w:pPr>
              <w:pStyle w:val="28"/>
              <w:bidi w:val="0"/>
            </w:pPr>
            <w:r>
              <w:rPr>
                <w:rFonts w:hint="eastAsia"/>
              </w:rPr>
              <w:t>1类</w:t>
            </w:r>
          </w:p>
        </w:tc>
      </w:tr>
      <w:tr w14:paraId="4AADCB12">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5B189">
            <w:pPr>
              <w:pStyle w:val="28"/>
              <w:bidi w:val="0"/>
            </w:pPr>
            <w:r>
              <w:rPr>
                <w:rFonts w:hint="eastAsia"/>
              </w:rPr>
              <w:t>33</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BDB07E">
            <w:pPr>
              <w:pStyle w:val="28"/>
              <w:bidi w:val="0"/>
            </w:pPr>
            <w:r>
              <w:rPr>
                <w:rFonts w:hint="eastAsia"/>
              </w:rPr>
              <w:t>陈棚子</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3E25C1">
            <w:pPr>
              <w:pStyle w:val="28"/>
              <w:bidi w:val="0"/>
            </w:pPr>
            <w:r>
              <w:t>115°56′29.49″</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394593">
            <w:pPr>
              <w:pStyle w:val="28"/>
              <w:bidi w:val="0"/>
            </w:pPr>
            <w:r>
              <w:t>32°10′0.72″</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08FE4C">
            <w:pPr>
              <w:pStyle w:val="28"/>
              <w:bidi w:val="0"/>
            </w:pPr>
            <w:r>
              <w:t>45户/150人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A6761">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935576">
            <w:pPr>
              <w:pStyle w:val="28"/>
              <w:bidi w:val="0"/>
            </w:pPr>
            <w:r>
              <w:rPr>
                <w:rFonts w:hint="eastAsia"/>
              </w:rPr>
              <w:t>距离沣西干渠工程20#取弃土场西侧35m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98F34">
            <w:pPr>
              <w:pStyle w:val="28"/>
              <w:bidi w:val="0"/>
            </w:pPr>
            <w:r>
              <w:rPr>
                <w:rFonts w:hint="eastAsia"/>
              </w:rPr>
              <w:t>1类</w:t>
            </w:r>
          </w:p>
        </w:tc>
      </w:tr>
      <w:tr w14:paraId="4D1F18E2">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3CDEB">
            <w:pPr>
              <w:pStyle w:val="28"/>
              <w:bidi w:val="0"/>
            </w:pPr>
            <w:r>
              <w:rPr>
                <w:rFonts w:hint="eastAsia"/>
              </w:rPr>
              <w:t>34</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1D11E">
            <w:pPr>
              <w:pStyle w:val="28"/>
              <w:bidi w:val="0"/>
            </w:pPr>
            <w:r>
              <w:rPr>
                <w:rFonts w:hint="eastAsia"/>
              </w:rPr>
              <w:t>蔡下楼</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80E76F">
            <w:pPr>
              <w:pStyle w:val="28"/>
              <w:bidi w:val="0"/>
            </w:pPr>
            <w:r>
              <w:t>115°55′46.46″</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9D339B">
            <w:pPr>
              <w:pStyle w:val="28"/>
              <w:bidi w:val="0"/>
            </w:pPr>
            <w:r>
              <w:t>32°6′3.79″</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F2452">
            <w:pPr>
              <w:pStyle w:val="28"/>
              <w:bidi w:val="0"/>
            </w:pPr>
            <w:r>
              <w:rPr>
                <w:rFonts w:hint="eastAsia"/>
              </w:rPr>
              <w:t>4</w:t>
            </w:r>
            <w:r>
              <w:t>户/</w:t>
            </w:r>
            <w:r>
              <w:rPr>
                <w:rFonts w:hint="eastAsia"/>
              </w:rPr>
              <w:t>1</w:t>
            </w:r>
            <w:r>
              <w:t>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53003">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6D3D0">
            <w:pPr>
              <w:pStyle w:val="28"/>
              <w:bidi w:val="0"/>
            </w:pPr>
            <w:r>
              <w:rPr>
                <w:rFonts w:hint="eastAsia"/>
              </w:rPr>
              <w:t>距离沣西干渠工程21#取弃土场东侧103m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46D7D2">
            <w:pPr>
              <w:pStyle w:val="28"/>
              <w:bidi w:val="0"/>
            </w:pPr>
            <w:r>
              <w:rPr>
                <w:rFonts w:hint="eastAsia"/>
              </w:rPr>
              <w:t>1类</w:t>
            </w:r>
          </w:p>
        </w:tc>
      </w:tr>
      <w:tr w14:paraId="7C9AD7B2">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633C6">
            <w:pPr>
              <w:pStyle w:val="28"/>
              <w:bidi w:val="0"/>
            </w:pPr>
            <w:r>
              <w:rPr>
                <w:rFonts w:hint="eastAsia"/>
              </w:rPr>
              <w:t>35</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35942">
            <w:pPr>
              <w:pStyle w:val="28"/>
              <w:bidi w:val="0"/>
            </w:pPr>
            <w:r>
              <w:rPr>
                <w:rFonts w:hint="eastAsia"/>
              </w:rPr>
              <w:t>岗上</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703C63">
            <w:pPr>
              <w:pStyle w:val="28"/>
              <w:bidi w:val="0"/>
            </w:pPr>
            <w:r>
              <w:t>115°57′24.44″</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EFCC45">
            <w:pPr>
              <w:pStyle w:val="28"/>
              <w:bidi w:val="0"/>
            </w:pPr>
            <w:r>
              <w:t>32°11′26.03″</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07CD73">
            <w:pPr>
              <w:pStyle w:val="28"/>
              <w:bidi w:val="0"/>
            </w:pPr>
            <w:r>
              <w:t>5户/13人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3AC9F">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51E24">
            <w:pPr>
              <w:pStyle w:val="28"/>
              <w:bidi w:val="0"/>
            </w:pPr>
            <w:r>
              <w:rPr>
                <w:rFonts w:hint="eastAsia"/>
              </w:rPr>
              <w:t>距离沣西干渠工程施工营地东侧21m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DFFE8">
            <w:pPr>
              <w:pStyle w:val="28"/>
              <w:bidi w:val="0"/>
            </w:pPr>
            <w:r>
              <w:rPr>
                <w:rFonts w:hint="eastAsia"/>
              </w:rPr>
              <w:t>1类</w:t>
            </w:r>
          </w:p>
        </w:tc>
      </w:tr>
      <w:tr w14:paraId="19108C65">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84D4B">
            <w:pPr>
              <w:pStyle w:val="28"/>
              <w:bidi w:val="0"/>
            </w:pPr>
            <w:r>
              <w:rPr>
                <w:rFonts w:hint="eastAsia"/>
              </w:rPr>
              <w:t>36</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14312">
            <w:pPr>
              <w:pStyle w:val="28"/>
              <w:bidi w:val="0"/>
            </w:pPr>
            <w:r>
              <w:rPr>
                <w:rFonts w:hint="eastAsia"/>
              </w:rPr>
              <w:t>前楼</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F12FD">
            <w:pPr>
              <w:pStyle w:val="28"/>
              <w:bidi w:val="0"/>
            </w:pPr>
            <w:r>
              <w:t>116°7′34.15″</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7F2DA">
            <w:pPr>
              <w:pStyle w:val="28"/>
              <w:bidi w:val="0"/>
            </w:pPr>
            <w:r>
              <w:t>31°47′53.95″</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D424B">
            <w:pPr>
              <w:pStyle w:val="28"/>
              <w:bidi w:val="0"/>
            </w:pPr>
            <w:r>
              <w:t>12户/30人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511EE7">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DA540">
            <w:pPr>
              <w:pStyle w:val="28"/>
              <w:bidi w:val="0"/>
            </w:pPr>
            <w:r>
              <w:rPr>
                <w:rFonts w:hint="eastAsia"/>
              </w:rPr>
              <w:t>距离姚李支渠工程2#取土场西北侧45m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24EB0E">
            <w:pPr>
              <w:pStyle w:val="28"/>
              <w:bidi w:val="0"/>
            </w:pPr>
            <w:r>
              <w:rPr>
                <w:rFonts w:hint="eastAsia"/>
              </w:rPr>
              <w:t>1类</w:t>
            </w:r>
          </w:p>
        </w:tc>
      </w:tr>
      <w:tr w14:paraId="50CE0997">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E562E">
            <w:pPr>
              <w:pStyle w:val="28"/>
              <w:bidi w:val="0"/>
            </w:pPr>
            <w:r>
              <w:rPr>
                <w:rFonts w:hint="eastAsia"/>
              </w:rPr>
              <w:t>37</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853D3">
            <w:pPr>
              <w:pStyle w:val="28"/>
              <w:bidi w:val="0"/>
            </w:pPr>
            <w:r>
              <w:rPr>
                <w:rFonts w:hint="eastAsia"/>
              </w:rPr>
              <w:t>陈高庄</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6B01DD">
            <w:pPr>
              <w:pStyle w:val="28"/>
              <w:bidi w:val="0"/>
            </w:pPr>
            <w:r>
              <w:t>116°6′20.36″</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EF4E3">
            <w:pPr>
              <w:pStyle w:val="28"/>
              <w:bidi w:val="0"/>
            </w:pPr>
            <w:r>
              <w:t>31°47′59.96″</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AC6751">
            <w:pPr>
              <w:pStyle w:val="28"/>
              <w:bidi w:val="0"/>
            </w:pPr>
            <w:r>
              <w:t>5户/12人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40F1B4">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46FA5">
            <w:pPr>
              <w:pStyle w:val="28"/>
              <w:bidi w:val="0"/>
            </w:pPr>
            <w:r>
              <w:rPr>
                <w:rFonts w:hint="eastAsia"/>
              </w:rPr>
              <w:t>距离姚李支渠工程施工营地东北侧125m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AE775F">
            <w:pPr>
              <w:pStyle w:val="28"/>
              <w:bidi w:val="0"/>
            </w:pPr>
            <w:r>
              <w:rPr>
                <w:rFonts w:hint="eastAsia"/>
              </w:rPr>
              <w:t>1类</w:t>
            </w:r>
          </w:p>
        </w:tc>
      </w:tr>
      <w:tr w14:paraId="4A001AFC">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50457F">
            <w:pPr>
              <w:pStyle w:val="28"/>
              <w:bidi w:val="0"/>
            </w:pPr>
            <w:r>
              <w:rPr>
                <w:rFonts w:hint="eastAsia"/>
              </w:rPr>
              <w:t>38</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A815A">
            <w:pPr>
              <w:pStyle w:val="28"/>
              <w:bidi w:val="0"/>
            </w:pPr>
            <w:r>
              <w:rPr>
                <w:rFonts w:hint="eastAsia"/>
              </w:rPr>
              <w:t>南昄</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CF302A">
            <w:pPr>
              <w:pStyle w:val="28"/>
              <w:bidi w:val="0"/>
            </w:pPr>
            <w:r>
              <w:t>115°57′31.31″</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1DDC3A">
            <w:pPr>
              <w:pStyle w:val="28"/>
              <w:bidi w:val="0"/>
            </w:pPr>
            <w:r>
              <w:t>31°57′34.56″</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C3312E">
            <w:pPr>
              <w:pStyle w:val="28"/>
              <w:bidi w:val="0"/>
            </w:pPr>
            <w:r>
              <w:t>14户/30人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A631EE">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FB98E3">
            <w:pPr>
              <w:pStyle w:val="28"/>
              <w:bidi w:val="0"/>
            </w:pPr>
            <w:r>
              <w:rPr>
                <w:rFonts w:hint="eastAsia"/>
              </w:rPr>
              <w:t>距离胜天支渠工程23#取弃土场东侧75m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47A59">
            <w:pPr>
              <w:pStyle w:val="28"/>
              <w:bidi w:val="0"/>
            </w:pPr>
            <w:r>
              <w:rPr>
                <w:rFonts w:hint="eastAsia"/>
              </w:rPr>
              <w:t>1类</w:t>
            </w:r>
          </w:p>
        </w:tc>
      </w:tr>
      <w:tr w14:paraId="02777BB9">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374BDF">
            <w:pPr>
              <w:pStyle w:val="28"/>
              <w:bidi w:val="0"/>
            </w:pPr>
            <w:r>
              <w:rPr>
                <w:rFonts w:hint="eastAsia"/>
              </w:rPr>
              <w:t>39</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B86FC2">
            <w:pPr>
              <w:pStyle w:val="28"/>
              <w:bidi w:val="0"/>
            </w:pPr>
            <w:r>
              <w:rPr>
                <w:rFonts w:hint="eastAsia"/>
              </w:rPr>
              <w:t>刘大庄</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6BAED">
            <w:pPr>
              <w:pStyle w:val="28"/>
              <w:bidi w:val="0"/>
            </w:pPr>
            <w:r>
              <w:t>115°57′27.81″</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DF2838">
            <w:pPr>
              <w:pStyle w:val="28"/>
              <w:bidi w:val="0"/>
            </w:pPr>
            <w:r>
              <w:t>31°56′52.54″</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94C245">
            <w:pPr>
              <w:pStyle w:val="28"/>
              <w:bidi w:val="0"/>
            </w:pPr>
            <w:r>
              <w:t>39户/116人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45BAF">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79DB6">
            <w:pPr>
              <w:pStyle w:val="28"/>
              <w:bidi w:val="0"/>
            </w:pPr>
            <w:r>
              <w:rPr>
                <w:rFonts w:hint="eastAsia"/>
              </w:rPr>
              <w:t>距离胜天支渠施工营地南侧85m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796FBE">
            <w:pPr>
              <w:pStyle w:val="28"/>
              <w:bidi w:val="0"/>
            </w:pPr>
            <w:r>
              <w:rPr>
                <w:rFonts w:hint="eastAsia"/>
              </w:rPr>
              <w:t>1类</w:t>
            </w:r>
          </w:p>
        </w:tc>
      </w:tr>
      <w:tr w14:paraId="017D8659">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632C7E">
            <w:pPr>
              <w:pStyle w:val="28"/>
              <w:bidi w:val="0"/>
            </w:pPr>
            <w:r>
              <w:rPr>
                <w:rFonts w:hint="eastAsia"/>
              </w:rPr>
              <w:t>40</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F1CFAB">
            <w:pPr>
              <w:pStyle w:val="28"/>
              <w:bidi w:val="0"/>
            </w:pPr>
            <w:r>
              <w:rPr>
                <w:rFonts w:hint="eastAsia"/>
              </w:rPr>
              <w:t>小圩子</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4EC87">
            <w:pPr>
              <w:pStyle w:val="28"/>
              <w:bidi w:val="0"/>
            </w:pPr>
            <w:r>
              <w:t>115°58′9.65″</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0DB5C">
            <w:pPr>
              <w:pStyle w:val="28"/>
              <w:bidi w:val="0"/>
            </w:pPr>
            <w:r>
              <w:t>31°57′38.12″</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29583">
            <w:pPr>
              <w:pStyle w:val="28"/>
              <w:bidi w:val="0"/>
            </w:pPr>
            <w:r>
              <w:t>25户/80人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7D7305">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1516E0">
            <w:pPr>
              <w:pStyle w:val="28"/>
              <w:bidi w:val="0"/>
            </w:pPr>
            <w:r>
              <w:rPr>
                <w:rFonts w:hint="eastAsia"/>
              </w:rPr>
              <w:t>距离乌斗支渠工程24#取弃土场北侧115m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FA2574">
            <w:pPr>
              <w:pStyle w:val="28"/>
              <w:bidi w:val="0"/>
            </w:pPr>
            <w:r>
              <w:rPr>
                <w:rFonts w:hint="eastAsia"/>
              </w:rPr>
              <w:t>1类</w:t>
            </w:r>
          </w:p>
        </w:tc>
      </w:tr>
      <w:tr w14:paraId="37C3D2B8">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2055A2">
            <w:pPr>
              <w:pStyle w:val="28"/>
              <w:bidi w:val="0"/>
            </w:pPr>
            <w:r>
              <w:rPr>
                <w:rFonts w:hint="eastAsia"/>
              </w:rPr>
              <w:t>41</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1EE2C">
            <w:pPr>
              <w:pStyle w:val="28"/>
              <w:bidi w:val="0"/>
            </w:pPr>
            <w:r>
              <w:rPr>
                <w:rFonts w:hint="eastAsia"/>
              </w:rPr>
              <w:t>跑马村</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2685B">
            <w:pPr>
              <w:pStyle w:val="28"/>
              <w:bidi w:val="0"/>
            </w:pPr>
            <w:r>
              <w:t>116°4′19.77″</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F59A8">
            <w:pPr>
              <w:pStyle w:val="28"/>
              <w:bidi w:val="0"/>
            </w:pPr>
            <w:r>
              <w:t>32°2′31.34″</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93897">
            <w:pPr>
              <w:pStyle w:val="28"/>
              <w:bidi w:val="0"/>
            </w:pPr>
            <w:r>
              <w:t>65户/250人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84233">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47E9BC">
            <w:pPr>
              <w:pStyle w:val="28"/>
              <w:bidi w:val="0"/>
            </w:pPr>
            <w:r>
              <w:rPr>
                <w:rFonts w:hint="eastAsia"/>
              </w:rPr>
              <w:t>距离乌斗支渠工程施工营地东南侧158m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5D83B">
            <w:pPr>
              <w:pStyle w:val="28"/>
              <w:bidi w:val="0"/>
            </w:pPr>
            <w:r>
              <w:rPr>
                <w:rFonts w:hint="eastAsia"/>
              </w:rPr>
              <w:t>1类</w:t>
            </w:r>
          </w:p>
        </w:tc>
      </w:tr>
      <w:tr w14:paraId="6792EB15">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C3F9DB">
            <w:pPr>
              <w:pStyle w:val="28"/>
              <w:bidi w:val="0"/>
            </w:pPr>
            <w:r>
              <w:rPr>
                <w:rFonts w:hint="eastAsia"/>
              </w:rPr>
              <w:t>42</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57707">
            <w:pPr>
              <w:pStyle w:val="28"/>
              <w:bidi w:val="0"/>
            </w:pPr>
            <w:r>
              <w:rPr>
                <w:rFonts w:hint="eastAsia"/>
              </w:rPr>
              <w:t>谷老屋</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2EB195">
            <w:pPr>
              <w:pStyle w:val="28"/>
              <w:bidi w:val="0"/>
            </w:pPr>
            <w:r>
              <w:t>117°11′6.13″</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7259B2">
            <w:pPr>
              <w:pStyle w:val="28"/>
              <w:bidi w:val="0"/>
            </w:pPr>
            <w:r>
              <w:t>31°16′46.88″</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BAA99">
            <w:pPr>
              <w:pStyle w:val="28"/>
              <w:bidi w:val="0"/>
            </w:pPr>
            <w:r>
              <w:t>5户/22人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99BF2">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41E187">
            <w:pPr>
              <w:pStyle w:val="28"/>
              <w:bidi w:val="0"/>
            </w:pPr>
            <w:r>
              <w:rPr>
                <w:rFonts w:hint="eastAsia"/>
              </w:rPr>
              <w:t>距离庐江7座闸工程25#取弃土场北侧55m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2B558">
            <w:pPr>
              <w:pStyle w:val="28"/>
              <w:bidi w:val="0"/>
            </w:pPr>
            <w:r>
              <w:rPr>
                <w:rFonts w:hint="eastAsia"/>
              </w:rPr>
              <w:t>1类</w:t>
            </w:r>
          </w:p>
        </w:tc>
      </w:tr>
      <w:tr w14:paraId="5A0F6DD3">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2F056">
            <w:pPr>
              <w:pStyle w:val="28"/>
              <w:bidi w:val="0"/>
            </w:pPr>
            <w:r>
              <w:rPr>
                <w:rFonts w:hint="eastAsia"/>
              </w:rPr>
              <w:t>43</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63128">
            <w:pPr>
              <w:pStyle w:val="28"/>
              <w:bidi w:val="0"/>
            </w:pPr>
            <w:r>
              <w:t>冯瓦屋</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5B347">
            <w:pPr>
              <w:pStyle w:val="28"/>
              <w:bidi w:val="0"/>
            </w:pPr>
            <w:r>
              <w:t>117°11′31.85″</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4802E9">
            <w:pPr>
              <w:pStyle w:val="28"/>
              <w:bidi w:val="0"/>
            </w:pPr>
            <w:r>
              <w:t>31°16′48.72″</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CBA81">
            <w:pPr>
              <w:pStyle w:val="28"/>
              <w:bidi w:val="0"/>
            </w:pPr>
            <w:r>
              <w:t>11户/46人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D0C92C">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1FF527">
            <w:pPr>
              <w:pStyle w:val="28"/>
              <w:bidi w:val="0"/>
            </w:pPr>
            <w:r>
              <w:t>距离</w:t>
            </w:r>
            <w:r>
              <w:rPr>
                <w:rFonts w:hint="eastAsia"/>
              </w:rPr>
              <w:t>至取弃土场</w:t>
            </w:r>
            <w:r>
              <w:t>临时道路67m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C22EA0">
            <w:pPr>
              <w:pStyle w:val="28"/>
              <w:bidi w:val="0"/>
            </w:pPr>
            <w:r>
              <w:rPr>
                <w:rFonts w:hint="eastAsia"/>
              </w:rPr>
              <w:t>1类</w:t>
            </w:r>
          </w:p>
        </w:tc>
      </w:tr>
      <w:tr w14:paraId="5E00A20E">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F2240D">
            <w:pPr>
              <w:pStyle w:val="28"/>
              <w:bidi w:val="0"/>
            </w:pPr>
            <w:r>
              <w:rPr>
                <w:rFonts w:hint="eastAsia"/>
              </w:rPr>
              <w:t>44</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B54817">
            <w:pPr>
              <w:pStyle w:val="28"/>
              <w:bidi w:val="0"/>
            </w:pPr>
            <w:r>
              <w:t>岳庙村</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6B8A1E">
            <w:pPr>
              <w:pStyle w:val="28"/>
              <w:bidi w:val="0"/>
            </w:pPr>
            <w:r>
              <w:t>117°11′48.89″</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F70E56">
            <w:pPr>
              <w:pStyle w:val="28"/>
              <w:bidi w:val="0"/>
            </w:pPr>
            <w:r>
              <w:t>31°16′35.36″</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1B204">
            <w:pPr>
              <w:pStyle w:val="28"/>
              <w:bidi w:val="0"/>
            </w:pPr>
            <w:r>
              <w:t>24户/96人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CF0C8">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93844B">
            <w:pPr>
              <w:pStyle w:val="28"/>
              <w:bidi w:val="0"/>
            </w:pPr>
            <w:r>
              <w:t>距离</w:t>
            </w:r>
            <w:r>
              <w:rPr>
                <w:rFonts w:hint="eastAsia"/>
              </w:rPr>
              <w:t>至取弃土场</w:t>
            </w:r>
            <w:r>
              <w:t>临时道路38m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1F1590">
            <w:pPr>
              <w:pStyle w:val="28"/>
              <w:bidi w:val="0"/>
            </w:pPr>
            <w:r>
              <w:rPr>
                <w:rFonts w:hint="eastAsia"/>
              </w:rPr>
              <w:t>1类</w:t>
            </w:r>
          </w:p>
        </w:tc>
      </w:tr>
      <w:tr w14:paraId="55CCEFA0">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30C98E">
            <w:pPr>
              <w:pStyle w:val="28"/>
              <w:bidi w:val="0"/>
            </w:pPr>
            <w:r>
              <w:rPr>
                <w:rFonts w:hint="eastAsia"/>
              </w:rPr>
              <w:t>45</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12EDB">
            <w:pPr>
              <w:pStyle w:val="28"/>
              <w:bidi w:val="0"/>
            </w:pPr>
            <w:r>
              <w:rPr>
                <w:rFonts w:hint="eastAsia"/>
              </w:rPr>
              <w:t>汪圩子</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A7936F">
            <w:pPr>
              <w:pStyle w:val="28"/>
              <w:bidi w:val="0"/>
            </w:pPr>
            <w:r>
              <w:t>117°11′36.80″</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A85F13">
            <w:pPr>
              <w:pStyle w:val="28"/>
              <w:bidi w:val="0"/>
            </w:pPr>
            <w:r>
              <w:t>31°15′44.40″</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D980D9">
            <w:pPr>
              <w:pStyle w:val="28"/>
              <w:bidi w:val="0"/>
            </w:pPr>
            <w:r>
              <w:t>15户/56人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C936E">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8B67FB">
            <w:pPr>
              <w:pStyle w:val="28"/>
              <w:bidi w:val="0"/>
            </w:pPr>
            <w:r>
              <w:rPr>
                <w:rFonts w:hint="eastAsia"/>
              </w:rPr>
              <w:t>距离庐江7座闸施工营地东北侧55m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24AF68">
            <w:pPr>
              <w:pStyle w:val="28"/>
              <w:bidi w:val="0"/>
            </w:pPr>
            <w:r>
              <w:rPr>
                <w:rFonts w:hint="eastAsia"/>
              </w:rPr>
              <w:t>1类</w:t>
            </w:r>
          </w:p>
        </w:tc>
      </w:tr>
      <w:tr w14:paraId="3C332550">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D2669C">
            <w:pPr>
              <w:pStyle w:val="28"/>
              <w:bidi w:val="0"/>
            </w:pPr>
            <w:r>
              <w:rPr>
                <w:rFonts w:hint="eastAsia"/>
              </w:rPr>
              <w:t>46</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4C66A">
            <w:pPr>
              <w:pStyle w:val="28"/>
              <w:bidi w:val="0"/>
            </w:pPr>
            <w:r>
              <w:rPr>
                <w:rFonts w:hint="eastAsia"/>
              </w:rPr>
              <w:t>陈老屋</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2AE59">
            <w:pPr>
              <w:pStyle w:val="28"/>
              <w:bidi w:val="0"/>
            </w:pPr>
            <w:r>
              <w:t>117°11′36.76″</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95AAA7">
            <w:pPr>
              <w:pStyle w:val="28"/>
              <w:bidi w:val="0"/>
            </w:pPr>
            <w:r>
              <w:t>31°15′46.09″</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8CABF">
            <w:pPr>
              <w:pStyle w:val="28"/>
              <w:bidi w:val="0"/>
            </w:pPr>
            <w:r>
              <w:t>8户/35人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29485">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C057F">
            <w:pPr>
              <w:pStyle w:val="28"/>
              <w:bidi w:val="0"/>
            </w:pPr>
            <w:r>
              <w:rPr>
                <w:rFonts w:hint="eastAsia"/>
              </w:rPr>
              <w:t>距离庐江7座施工营地东南侧55m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2EA7C">
            <w:pPr>
              <w:pStyle w:val="28"/>
              <w:bidi w:val="0"/>
            </w:pPr>
            <w:r>
              <w:rPr>
                <w:rFonts w:hint="eastAsia"/>
              </w:rPr>
              <w:t>1类</w:t>
            </w:r>
          </w:p>
        </w:tc>
      </w:tr>
      <w:tr w14:paraId="373CC8EB">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3F6EA">
            <w:pPr>
              <w:pStyle w:val="28"/>
              <w:bidi w:val="0"/>
            </w:pPr>
            <w:r>
              <w:rPr>
                <w:rFonts w:hint="eastAsia"/>
              </w:rPr>
              <w:t>47</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4E570">
            <w:pPr>
              <w:pStyle w:val="28"/>
              <w:bidi w:val="0"/>
            </w:pPr>
            <w:r>
              <w:rPr>
                <w:rFonts w:hint="eastAsia"/>
              </w:rPr>
              <w:t>大墩</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537792">
            <w:pPr>
              <w:pStyle w:val="28"/>
              <w:bidi w:val="0"/>
            </w:pPr>
            <w:r>
              <w:t>117°7′40.44″</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DE8D3D">
            <w:pPr>
              <w:pStyle w:val="28"/>
              <w:bidi w:val="0"/>
            </w:pPr>
            <w:r>
              <w:t>31°31′4.40″</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4E2230">
            <w:pPr>
              <w:pStyle w:val="28"/>
              <w:bidi w:val="0"/>
            </w:pPr>
            <w:r>
              <w:rPr>
                <w:rFonts w:hint="eastAsia"/>
              </w:rPr>
              <w:t>105户/304人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E90ED6">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E65868">
            <w:pPr>
              <w:pStyle w:val="28"/>
              <w:bidi w:val="0"/>
            </w:pPr>
            <w:r>
              <w:rPr>
                <w:rFonts w:hint="eastAsia"/>
              </w:rPr>
              <w:t>距离杭北干渠工程26#取弃土场南侧51m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BE7089">
            <w:pPr>
              <w:pStyle w:val="28"/>
              <w:bidi w:val="0"/>
            </w:pPr>
            <w:r>
              <w:rPr>
                <w:rFonts w:hint="eastAsia"/>
              </w:rPr>
              <w:t>1类</w:t>
            </w:r>
          </w:p>
        </w:tc>
      </w:tr>
      <w:tr w14:paraId="53898E84">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36000">
            <w:pPr>
              <w:pStyle w:val="28"/>
              <w:bidi w:val="0"/>
            </w:pPr>
            <w:r>
              <w:rPr>
                <w:rFonts w:hint="eastAsia"/>
              </w:rPr>
              <w:t>48</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EC00CA">
            <w:pPr>
              <w:pStyle w:val="28"/>
              <w:bidi w:val="0"/>
            </w:pPr>
            <w:r>
              <w:rPr>
                <w:rFonts w:hint="eastAsia"/>
              </w:rPr>
              <w:t>大湾</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880DA2">
            <w:pPr>
              <w:pStyle w:val="28"/>
              <w:bidi w:val="0"/>
            </w:pPr>
            <w:r>
              <w:t>116°51′44.73″</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70D4D">
            <w:pPr>
              <w:pStyle w:val="28"/>
              <w:bidi w:val="0"/>
            </w:pPr>
            <w:r>
              <w:t>31°24′37.46″</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E6B0F1">
            <w:pPr>
              <w:pStyle w:val="28"/>
              <w:bidi w:val="0"/>
            </w:pPr>
            <w:r>
              <w:rPr>
                <w:rFonts w:hint="eastAsia"/>
              </w:rPr>
              <w:t>29户/94人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C0BEE4">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DE14AB">
            <w:pPr>
              <w:pStyle w:val="28"/>
              <w:bidi w:val="0"/>
            </w:pPr>
            <w:r>
              <w:rPr>
                <w:rFonts w:hint="eastAsia"/>
              </w:rPr>
              <w:t>距离杭北干渠工程27#取弃土场北侧44m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7AA543">
            <w:pPr>
              <w:pStyle w:val="28"/>
              <w:bidi w:val="0"/>
            </w:pPr>
            <w:r>
              <w:rPr>
                <w:rFonts w:hint="eastAsia"/>
              </w:rPr>
              <w:t>1类</w:t>
            </w:r>
          </w:p>
        </w:tc>
      </w:tr>
      <w:tr w14:paraId="20C5BE32">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F313B9">
            <w:pPr>
              <w:pStyle w:val="28"/>
              <w:bidi w:val="0"/>
            </w:pPr>
            <w:r>
              <w:rPr>
                <w:rFonts w:hint="eastAsia"/>
              </w:rPr>
              <w:t>49</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4F83E3">
            <w:pPr>
              <w:pStyle w:val="28"/>
              <w:bidi w:val="0"/>
            </w:pPr>
            <w:r>
              <w:rPr>
                <w:rFonts w:hint="eastAsia"/>
              </w:rPr>
              <w:t>陈家祠堂</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63AEEE">
            <w:pPr>
              <w:pStyle w:val="28"/>
              <w:bidi w:val="0"/>
            </w:pPr>
            <w:r>
              <w:t>117°14′33.21″</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1F077D">
            <w:pPr>
              <w:pStyle w:val="28"/>
              <w:bidi w:val="0"/>
            </w:pPr>
            <w:r>
              <w:t>31°11′11.58″</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2AF4A">
            <w:pPr>
              <w:pStyle w:val="28"/>
              <w:bidi w:val="0"/>
            </w:pPr>
            <w:r>
              <w:t>25户/85人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3DBE3A">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3A78FB">
            <w:pPr>
              <w:pStyle w:val="28"/>
              <w:bidi w:val="0"/>
            </w:pPr>
            <w:r>
              <w:rPr>
                <w:rFonts w:hint="eastAsia"/>
              </w:rPr>
              <w:t>距离沙胜支渠工程施工营地东侧85m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45D67">
            <w:pPr>
              <w:pStyle w:val="28"/>
              <w:bidi w:val="0"/>
            </w:pPr>
            <w:r>
              <w:rPr>
                <w:rFonts w:hint="eastAsia"/>
              </w:rPr>
              <w:t>1类</w:t>
            </w:r>
          </w:p>
        </w:tc>
      </w:tr>
      <w:tr w14:paraId="5A908B15">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C30617">
            <w:pPr>
              <w:pStyle w:val="28"/>
              <w:bidi w:val="0"/>
            </w:pPr>
            <w:r>
              <w:rPr>
                <w:rFonts w:hint="eastAsia"/>
              </w:rPr>
              <w:t>50</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8383D">
            <w:pPr>
              <w:pStyle w:val="28"/>
              <w:bidi w:val="0"/>
            </w:pPr>
            <w:r>
              <w:rPr>
                <w:rFonts w:hint="eastAsia"/>
              </w:rPr>
              <w:t>白路岗</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D3A2F2">
            <w:pPr>
              <w:pStyle w:val="28"/>
              <w:bidi w:val="0"/>
            </w:pPr>
            <w:r>
              <w:t>117°10′50.10″</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7C98C">
            <w:pPr>
              <w:pStyle w:val="28"/>
              <w:bidi w:val="0"/>
            </w:pPr>
            <w:r>
              <w:t>31°6′38.30″</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7AC3A">
            <w:pPr>
              <w:pStyle w:val="28"/>
              <w:bidi w:val="0"/>
            </w:pPr>
            <w:r>
              <w:rPr>
                <w:rFonts w:hint="eastAsia"/>
              </w:rPr>
              <w:t>19户/52人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C31E51">
            <w:pPr>
              <w:pStyle w:val="28"/>
              <w:bidi w:val="0"/>
            </w:pPr>
            <w:r>
              <w:rPr>
                <w:rFonts w:hint="eastAsia"/>
              </w:rP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F5F392">
            <w:pPr>
              <w:pStyle w:val="28"/>
              <w:bidi w:val="0"/>
            </w:pPr>
            <w:r>
              <w:rPr>
                <w:rFonts w:hint="eastAsia"/>
              </w:rPr>
              <w:t>距离乐桥支渠工程15#弃土场东南侧92m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3F2767">
            <w:pPr>
              <w:pStyle w:val="28"/>
              <w:bidi w:val="0"/>
            </w:pPr>
            <w:r>
              <w:rPr>
                <w:rFonts w:hint="eastAsia"/>
              </w:rPr>
              <w:t>1类</w:t>
            </w:r>
          </w:p>
        </w:tc>
      </w:tr>
      <w:tr w14:paraId="19B8A952">
        <w:tblPrEx>
          <w:tblCellMar>
            <w:top w:w="0" w:type="dxa"/>
            <w:left w:w="108" w:type="dxa"/>
            <w:bottom w:w="0" w:type="dxa"/>
            <w:right w:w="108" w:type="dxa"/>
          </w:tblCellMar>
        </w:tblPrEx>
        <w:trPr>
          <w:trHeight w:val="480" w:hRule="atLeast"/>
        </w:trPr>
        <w:tc>
          <w:tcPr>
            <w:tcW w:w="3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AD735">
            <w:pPr>
              <w:pStyle w:val="28"/>
              <w:bidi w:val="0"/>
            </w:pPr>
            <w:r>
              <w:rPr>
                <w:rFonts w:hint="eastAsia"/>
              </w:rPr>
              <w:t>51</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30569">
            <w:pPr>
              <w:pStyle w:val="28"/>
              <w:bidi w:val="0"/>
            </w:pPr>
            <w:r>
              <w:rPr>
                <w:rFonts w:hint="eastAsia"/>
              </w:rPr>
              <w:t>管岗</w:t>
            </w:r>
          </w:p>
        </w:tc>
        <w:tc>
          <w:tcPr>
            <w:tcW w:w="6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8FD34">
            <w:pPr>
              <w:pStyle w:val="28"/>
              <w:bidi w:val="0"/>
            </w:pPr>
            <w:r>
              <w:t>117°9′49.20″</w:t>
            </w:r>
          </w:p>
        </w:tc>
        <w:tc>
          <w:tcPr>
            <w:tcW w:w="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64D4B7">
            <w:pPr>
              <w:pStyle w:val="28"/>
              <w:bidi w:val="0"/>
            </w:pPr>
            <w:r>
              <w:t>31°20′30.50″</w:t>
            </w:r>
          </w:p>
        </w:tc>
        <w:tc>
          <w:tcPr>
            <w:tcW w:w="6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B54D6E">
            <w:pPr>
              <w:pStyle w:val="28"/>
              <w:bidi w:val="0"/>
            </w:pPr>
            <w:r>
              <w:t>50户/110人</w:t>
            </w:r>
          </w:p>
        </w:tc>
        <w:tc>
          <w:tcPr>
            <w:tcW w:w="5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6D6863">
            <w:pPr>
              <w:pStyle w:val="28"/>
              <w:bidi w:val="0"/>
            </w:pPr>
            <w:r>
              <w:t>居民</w:t>
            </w:r>
          </w:p>
        </w:tc>
        <w:tc>
          <w:tcPr>
            <w:tcW w:w="13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B34C7">
            <w:pPr>
              <w:pStyle w:val="28"/>
              <w:bidi w:val="0"/>
            </w:pPr>
            <w:r>
              <w:rPr>
                <w:rFonts w:hint="eastAsia"/>
              </w:rPr>
              <w:t>距离马田支渠工程16#弃土场西南侧42m</w:t>
            </w:r>
          </w:p>
        </w:tc>
        <w:tc>
          <w:tcPr>
            <w:tcW w:w="41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84B1BB">
            <w:pPr>
              <w:pStyle w:val="28"/>
              <w:bidi w:val="0"/>
            </w:pPr>
            <w:r>
              <w:rPr>
                <w:rFonts w:hint="eastAsia"/>
              </w:rPr>
              <w:t>1类</w:t>
            </w:r>
          </w:p>
        </w:tc>
      </w:tr>
    </w:tbl>
    <w:p w14:paraId="2A9DBAC8">
      <w:pPr>
        <w:rPr>
          <w:color w:val="0000FF"/>
        </w:rPr>
      </w:pPr>
    </w:p>
    <w:p w14:paraId="6012A0A4">
      <w:pPr>
        <w:pStyle w:val="2"/>
        <w:rPr>
          <w:color w:val="0000FF"/>
        </w:rPr>
        <w:sectPr>
          <w:pgSz w:w="11905" w:h="16838"/>
          <w:pgMar w:top="1417" w:right="1417" w:bottom="1417" w:left="1417" w:header="850" w:footer="850" w:gutter="0"/>
          <w:pgNumType w:fmt="decimal"/>
          <w:cols w:space="0" w:num="1"/>
          <w:rtlGutter w:val="0"/>
          <w:docGrid w:linePitch="326" w:charSpace="0"/>
        </w:sectPr>
      </w:pPr>
    </w:p>
    <w:p w14:paraId="59046A8D">
      <w:pPr>
        <w:pStyle w:val="2"/>
        <w:bidi w:val="0"/>
      </w:pPr>
      <w:bookmarkStart w:id="25" w:name="_Toc15060"/>
      <w:r>
        <w:t>2</w:t>
      </w:r>
      <w:r>
        <w:rPr>
          <w:rFonts w:hint="eastAsia"/>
          <w:lang w:val="en-US" w:eastAsia="zh-CN"/>
        </w:rPr>
        <w:t xml:space="preserve"> </w:t>
      </w:r>
      <w:r>
        <w:t>工程概况</w:t>
      </w:r>
      <w:bookmarkEnd w:id="25"/>
    </w:p>
    <w:p w14:paraId="791F3DEF">
      <w:pPr>
        <w:pStyle w:val="3"/>
        <w:bidi w:val="0"/>
      </w:pPr>
      <w:bookmarkStart w:id="26" w:name="_Toc24173"/>
      <w:r>
        <w:t>2.1 工程现状</w:t>
      </w:r>
      <w:r>
        <w:rPr>
          <w:rFonts w:hint="eastAsia"/>
        </w:rPr>
        <w:t>及建设的必要性</w:t>
      </w:r>
      <w:bookmarkEnd w:id="26"/>
    </w:p>
    <w:p w14:paraId="45B5D404">
      <w:pPr>
        <w:pStyle w:val="4"/>
        <w:bidi w:val="0"/>
      </w:pPr>
      <w:r>
        <w:t xml:space="preserve">2.1.1 </w:t>
      </w:r>
      <w:r>
        <w:rPr>
          <w:rFonts w:hint="eastAsia"/>
        </w:rPr>
        <w:t>工程现状</w:t>
      </w:r>
    </w:p>
    <w:p w14:paraId="1EAB73E9">
      <w:pPr>
        <w:ind w:firstLine="480"/>
        <w:rPr>
          <w:rFonts w:cs="Times New Roman"/>
        </w:rPr>
      </w:pPr>
      <w:r>
        <w:rPr>
          <w:rFonts w:hint="eastAsia" w:cs="Times New Roman"/>
        </w:rPr>
        <w:t>朱集灌区为中型提水灌区，朱集灌区设计灌溉面积11.80万亩（现状有效灌溉面积11.30万亩），灌溉水源主要为瓦埠湖，涉及杨公镇、曹庵镇、孙庙乡、三和乡和孤堆回族乡5个乡镇，55个行政村。灌区内主要水利设施包括骨干输配水工程、骨干渠系建筑物及配套设施、用水量测工程和信息化建设。</w:t>
      </w:r>
    </w:p>
    <w:p w14:paraId="7BE8B92C">
      <w:pPr>
        <w:ind w:firstLine="480"/>
        <w:rPr>
          <w:rFonts w:cs="Times New Roman"/>
          <w:b/>
          <w:bCs/>
        </w:rPr>
      </w:pPr>
      <w:r>
        <w:rPr>
          <w:rFonts w:hint="eastAsia" w:cs="Times New Roman"/>
          <w:b/>
          <w:bCs/>
        </w:rPr>
        <w:t>（1）渠首工程</w:t>
      </w:r>
    </w:p>
    <w:p w14:paraId="03C5C54D">
      <w:pPr>
        <w:ind w:firstLine="480"/>
        <w:rPr>
          <w:rFonts w:cs="Times New Roman"/>
        </w:rPr>
      </w:pPr>
      <w:r>
        <w:rPr>
          <w:rFonts w:hint="eastAsia" w:cs="Times New Roman"/>
        </w:rPr>
        <w:t>灌区渠首工程为泵站工程，主要由朱集一站、柯湖电灌站、老岗电灌站、刘郢电灌站、王集电灌站、新庄电灌站和徐庙电灌站提取瓦埠湖水进行灌溉，朱集一站片区分级提水至一级、二级、三级灌区。</w:t>
      </w:r>
    </w:p>
    <w:p w14:paraId="1D6068B7">
      <w:pPr>
        <w:ind w:firstLine="480"/>
        <w:rPr>
          <w:rFonts w:cs="Times New Roman"/>
        </w:rPr>
      </w:pPr>
      <w:r>
        <w:rPr>
          <w:rFonts w:hint="eastAsia" w:cs="Times New Roman"/>
        </w:rPr>
        <w:t>1）朱集一站总装机2400kW，有5台泵，泵型为800HL-16，设计流量10.7m</w:t>
      </w:r>
      <w:r>
        <w:rPr>
          <w:rFonts w:hint="eastAsia" w:cs="Times New Roman"/>
          <w:vertAlign w:val="superscript"/>
        </w:rPr>
        <w:t>3</w:t>
      </w:r>
      <w:r>
        <w:rPr>
          <w:rFonts w:hint="eastAsia" w:cs="Times New Roman"/>
        </w:rPr>
        <w:t>/s。</w:t>
      </w:r>
    </w:p>
    <w:p w14:paraId="6311DC14">
      <w:pPr>
        <w:ind w:firstLine="480"/>
        <w:rPr>
          <w:rFonts w:cs="Times New Roman"/>
        </w:rPr>
      </w:pPr>
      <w:r>
        <w:rPr>
          <w:rFonts w:hint="eastAsia" w:cs="Times New Roman"/>
        </w:rPr>
        <w:t>2）朱集二站总装机1420kW，有4台泵，泵型为900S-15，设计流量8m</w:t>
      </w:r>
      <w:r>
        <w:rPr>
          <w:rFonts w:hint="eastAsia" w:cs="Times New Roman"/>
          <w:vertAlign w:val="superscript"/>
        </w:rPr>
        <w:t>3</w:t>
      </w:r>
      <w:r>
        <w:rPr>
          <w:rFonts w:hint="eastAsia" w:cs="Times New Roman"/>
        </w:rPr>
        <w:t>/s。</w:t>
      </w:r>
    </w:p>
    <w:p w14:paraId="54518666">
      <w:pPr>
        <w:ind w:firstLine="480"/>
        <w:rPr>
          <w:rFonts w:cs="Times New Roman"/>
        </w:rPr>
      </w:pPr>
      <w:r>
        <w:rPr>
          <w:rFonts w:hint="eastAsia" w:cs="Times New Roman"/>
        </w:rPr>
        <w:t>3）杨公三站总装机330kW，有3台泵，泵型为24SA-18J，设计流量1.8m</w:t>
      </w:r>
      <w:r>
        <w:rPr>
          <w:rFonts w:hint="eastAsia" w:cs="Times New Roman"/>
          <w:vertAlign w:val="superscript"/>
        </w:rPr>
        <w:t>3</w:t>
      </w:r>
      <w:r>
        <w:rPr>
          <w:rFonts w:hint="eastAsia" w:cs="Times New Roman"/>
        </w:rPr>
        <w:t>/s。</w:t>
      </w:r>
    </w:p>
    <w:p w14:paraId="6D615305">
      <w:pPr>
        <w:ind w:firstLine="480"/>
        <w:rPr>
          <w:rFonts w:cs="Times New Roman"/>
        </w:rPr>
      </w:pPr>
      <w:r>
        <w:rPr>
          <w:rFonts w:hint="eastAsia" w:cs="Times New Roman"/>
        </w:rPr>
        <w:t>4）横塘三站总装机440kW，有4台泵，泵型为20SA-22A，设计流量2.1m</w:t>
      </w:r>
      <w:r>
        <w:rPr>
          <w:rFonts w:hint="eastAsia" w:cs="Times New Roman"/>
          <w:vertAlign w:val="superscript"/>
        </w:rPr>
        <w:t>3</w:t>
      </w:r>
      <w:r>
        <w:rPr>
          <w:rFonts w:hint="eastAsia" w:cs="Times New Roman"/>
        </w:rPr>
        <w:t>/s。</w:t>
      </w:r>
    </w:p>
    <w:p w14:paraId="5AE3CEB5">
      <w:pPr>
        <w:ind w:firstLine="480"/>
        <w:rPr>
          <w:rFonts w:cs="Times New Roman"/>
        </w:rPr>
      </w:pPr>
      <w:r>
        <w:rPr>
          <w:rFonts w:hint="eastAsia" w:cs="Times New Roman"/>
        </w:rPr>
        <w:t>5）柯湖电灌站1台泵，设计流量0.83m</w:t>
      </w:r>
      <w:r>
        <w:rPr>
          <w:rFonts w:hint="eastAsia" w:cs="Times New Roman"/>
          <w:vertAlign w:val="superscript"/>
        </w:rPr>
        <w:t>3</w:t>
      </w:r>
      <w:r>
        <w:rPr>
          <w:rFonts w:hint="eastAsia" w:cs="Times New Roman"/>
        </w:rPr>
        <w:t>/s。</w:t>
      </w:r>
    </w:p>
    <w:p w14:paraId="61FFB01D">
      <w:pPr>
        <w:ind w:firstLine="480"/>
        <w:rPr>
          <w:rFonts w:cs="Times New Roman"/>
        </w:rPr>
      </w:pPr>
      <w:r>
        <w:rPr>
          <w:rFonts w:hint="eastAsia" w:cs="Times New Roman"/>
        </w:rPr>
        <w:t>6）老岗电灌站1台泵，设计流量1.24m</w:t>
      </w:r>
      <w:r>
        <w:rPr>
          <w:rFonts w:hint="eastAsia" w:cs="Times New Roman"/>
          <w:vertAlign w:val="superscript"/>
        </w:rPr>
        <w:t>3</w:t>
      </w:r>
      <w:r>
        <w:rPr>
          <w:rFonts w:hint="eastAsia" w:cs="Times New Roman"/>
        </w:rPr>
        <w:t>/s。</w:t>
      </w:r>
    </w:p>
    <w:p w14:paraId="0FFAEAD8">
      <w:pPr>
        <w:ind w:firstLine="480"/>
        <w:rPr>
          <w:rFonts w:cs="Times New Roman"/>
        </w:rPr>
      </w:pPr>
      <w:r>
        <w:rPr>
          <w:rFonts w:hint="eastAsia" w:cs="Times New Roman"/>
        </w:rPr>
        <w:t>7）刘郢电灌站1台泵，设计流量0.28m</w:t>
      </w:r>
      <w:r>
        <w:rPr>
          <w:rFonts w:hint="eastAsia" w:cs="Times New Roman"/>
          <w:vertAlign w:val="superscript"/>
        </w:rPr>
        <w:t>3</w:t>
      </w:r>
      <w:r>
        <w:rPr>
          <w:rFonts w:hint="eastAsia" w:cs="Times New Roman"/>
        </w:rPr>
        <w:t>/s。</w:t>
      </w:r>
    </w:p>
    <w:p w14:paraId="4D82300E">
      <w:pPr>
        <w:ind w:firstLine="480"/>
        <w:rPr>
          <w:rFonts w:cs="Times New Roman"/>
        </w:rPr>
      </w:pPr>
      <w:r>
        <w:rPr>
          <w:rFonts w:hint="eastAsia" w:cs="Times New Roman"/>
        </w:rPr>
        <w:t>8）王集电灌站1台泵，设计流量0.56m</w:t>
      </w:r>
      <w:r>
        <w:rPr>
          <w:rFonts w:hint="eastAsia" w:cs="Times New Roman"/>
          <w:vertAlign w:val="superscript"/>
        </w:rPr>
        <w:t>3</w:t>
      </w:r>
      <w:r>
        <w:rPr>
          <w:rFonts w:hint="eastAsia" w:cs="Times New Roman"/>
        </w:rPr>
        <w:t>/s。</w:t>
      </w:r>
    </w:p>
    <w:p w14:paraId="59B62C8C">
      <w:pPr>
        <w:ind w:firstLine="480"/>
        <w:rPr>
          <w:rFonts w:cs="Times New Roman"/>
        </w:rPr>
      </w:pPr>
      <w:r>
        <w:rPr>
          <w:rFonts w:hint="eastAsia" w:cs="Times New Roman"/>
        </w:rPr>
        <w:t>9）新庄电灌站1台泵，设计流量0.42m</w:t>
      </w:r>
      <w:r>
        <w:rPr>
          <w:rFonts w:hint="eastAsia" w:cs="Times New Roman"/>
          <w:vertAlign w:val="superscript"/>
        </w:rPr>
        <w:t>3</w:t>
      </w:r>
      <w:r>
        <w:rPr>
          <w:rFonts w:hint="eastAsia" w:cs="Times New Roman"/>
        </w:rPr>
        <w:t>/s。</w:t>
      </w:r>
    </w:p>
    <w:p w14:paraId="42066461">
      <w:pPr>
        <w:ind w:firstLine="480"/>
        <w:rPr>
          <w:rFonts w:cs="Times New Roman"/>
        </w:rPr>
      </w:pPr>
      <w:r>
        <w:rPr>
          <w:rFonts w:hint="eastAsia" w:cs="Times New Roman"/>
        </w:rPr>
        <w:t>10）徐庙电灌站1台泵，设计流量1.2m</w:t>
      </w:r>
      <w:r>
        <w:rPr>
          <w:rFonts w:hint="eastAsia" w:cs="Times New Roman"/>
          <w:vertAlign w:val="superscript"/>
        </w:rPr>
        <w:t>3</w:t>
      </w:r>
      <w:r>
        <w:rPr>
          <w:rFonts w:hint="eastAsia" w:cs="Times New Roman"/>
        </w:rPr>
        <w:t>/s。</w:t>
      </w:r>
    </w:p>
    <w:p w14:paraId="33683D26">
      <w:pPr>
        <w:ind w:firstLine="480"/>
        <w:rPr>
          <w:rFonts w:cs="Times New Roman"/>
        </w:rPr>
      </w:pPr>
      <w:r>
        <w:rPr>
          <w:rFonts w:hint="eastAsia" w:cs="Times New Roman"/>
        </w:rPr>
        <w:t>2013年安徽省水利水电勘测设计院编制的《安徽省淮南市朱集泵站更新改造工程初步设计报告》对本灌区4座泵站均已重建，但还存在以下问题：</w:t>
      </w:r>
    </w:p>
    <w:p w14:paraId="659E2978">
      <w:pPr>
        <w:ind w:firstLine="480"/>
        <w:rPr>
          <w:rFonts w:cs="Times New Roman"/>
        </w:rPr>
      </w:pPr>
      <w:r>
        <w:rPr>
          <w:rFonts w:hint="eastAsia" w:cs="Times New Roman"/>
        </w:rPr>
        <w:t>一是：朱集一站副厂房屋面漏水，对配电设备安全影响大，并无管理房；</w:t>
      </w:r>
    </w:p>
    <w:p w14:paraId="77C34286">
      <w:pPr>
        <w:ind w:firstLine="480"/>
        <w:rPr>
          <w:rFonts w:cs="Times New Roman"/>
        </w:rPr>
      </w:pPr>
      <w:r>
        <w:rPr>
          <w:rFonts w:hint="eastAsia" w:cs="Times New Roman"/>
        </w:rPr>
        <w:t>二是：朱集二站管理房破旧；</w:t>
      </w:r>
    </w:p>
    <w:p w14:paraId="30DBDCFF">
      <w:pPr>
        <w:ind w:firstLine="480"/>
        <w:rPr>
          <w:rFonts w:cs="Times New Roman"/>
        </w:rPr>
      </w:pPr>
      <w:r>
        <w:rPr>
          <w:rFonts w:hint="eastAsia" w:cs="Times New Roman"/>
        </w:rPr>
        <w:t>三是：杨公三站管护房年久失修，破损严重；</w:t>
      </w:r>
    </w:p>
    <w:p w14:paraId="0AACA957">
      <w:pPr>
        <w:ind w:firstLine="480"/>
        <w:rPr>
          <w:rFonts w:cs="Times New Roman"/>
        </w:rPr>
      </w:pPr>
      <w:r>
        <w:rPr>
          <w:rFonts w:hint="eastAsia" w:cs="Times New Roman"/>
        </w:rPr>
        <w:t>四是：原灌区管理站屋面漏水。</w:t>
      </w:r>
    </w:p>
    <w:p w14:paraId="23344443">
      <w:pPr>
        <w:ind w:firstLine="480"/>
        <w:rPr>
          <w:rFonts w:cs="Times New Roman"/>
          <w:b/>
          <w:bCs/>
        </w:rPr>
      </w:pPr>
      <w:r>
        <w:rPr>
          <w:rFonts w:hint="eastAsia" w:cs="Times New Roman"/>
          <w:b/>
          <w:bCs/>
        </w:rPr>
        <w:t>（2）骨干输配水工程</w:t>
      </w:r>
    </w:p>
    <w:p w14:paraId="6D71ABB3">
      <w:pPr>
        <w:ind w:firstLine="480"/>
      </w:pPr>
      <w:r>
        <w:rPr>
          <w:rFonts w:hint="eastAsia" w:cs="Times New Roman"/>
        </w:rPr>
        <w:t>朱集灌区现有渠道限于资金条件，在以往小型农田水利工程建设中多关注田间工程，但骨干输配水渠系及引水、提水工程因投入成本高关注较少，导致已建骨干水源工程的输水干渠或者干管配套率较低，工程完好率差，使得骨干水源无法有效发挥灌溉效益；灌溉渠道硬化时间已久，损毁渗漏严重，灌溉水利用系数较低。根据现场踏勘及灌区管理人员反映，朱集一站引水渠、二引干渠、一东干渠、朱集二站出水池、二东干渠、桂岗支渠、二北干渠、染坊支渠、杨公三站进水渠、杨公三站出水池、三北干渠、双庙支渠、一北干渠、方庄支渠12条渠道和两座出水池，已硬化段淤积严重，灌溉水利用系数较低，土坡段多处杂草丛生、导致阻塞严重、输水不畅，部分段塌方滑坡等问题。</w:t>
      </w:r>
    </w:p>
    <w:p w14:paraId="0257133C">
      <w:pPr>
        <w:pStyle w:val="29"/>
        <w:bidi w:val="0"/>
      </w:pPr>
      <w:r>
        <w:rPr>
          <w:rFonts w:hint="eastAsia"/>
        </w:rPr>
        <w:t>表2.1-1  各实施干渠灌溉面积统计表</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9"/>
        <w:gridCol w:w="2335"/>
        <w:gridCol w:w="1282"/>
        <w:gridCol w:w="1756"/>
        <w:gridCol w:w="2895"/>
      </w:tblGrid>
      <w:tr w14:paraId="7BA84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9" w:type="dxa"/>
            <w:vAlign w:val="center"/>
          </w:tcPr>
          <w:p w14:paraId="3A062509">
            <w:pPr>
              <w:pStyle w:val="28"/>
              <w:bidi w:val="0"/>
            </w:pPr>
            <w:r>
              <w:rPr>
                <w:rFonts w:hint="eastAsia"/>
              </w:rPr>
              <w:t>序号</w:t>
            </w:r>
          </w:p>
        </w:tc>
        <w:tc>
          <w:tcPr>
            <w:tcW w:w="2464" w:type="dxa"/>
            <w:vAlign w:val="center"/>
          </w:tcPr>
          <w:p w14:paraId="53F5C859">
            <w:pPr>
              <w:pStyle w:val="28"/>
              <w:bidi w:val="0"/>
            </w:pPr>
            <w:r>
              <w:rPr>
                <w:rFonts w:hint="eastAsia"/>
              </w:rPr>
              <w:t>渠道名称</w:t>
            </w:r>
          </w:p>
        </w:tc>
        <w:tc>
          <w:tcPr>
            <w:tcW w:w="1340" w:type="dxa"/>
            <w:vAlign w:val="center"/>
          </w:tcPr>
          <w:p w14:paraId="28F67847">
            <w:pPr>
              <w:pStyle w:val="28"/>
              <w:bidi w:val="0"/>
            </w:pPr>
            <w:r>
              <w:rPr>
                <w:rFonts w:hint="eastAsia"/>
              </w:rPr>
              <w:t>渠道级别</w:t>
            </w:r>
          </w:p>
        </w:tc>
        <w:tc>
          <w:tcPr>
            <w:tcW w:w="1832" w:type="dxa"/>
            <w:vAlign w:val="center"/>
          </w:tcPr>
          <w:p w14:paraId="31CE89CF">
            <w:pPr>
              <w:pStyle w:val="28"/>
              <w:bidi w:val="0"/>
            </w:pPr>
            <w:r>
              <w:rPr>
                <w:rFonts w:hint="eastAsia"/>
              </w:rPr>
              <w:t>控制灌溉面积（万亩）</w:t>
            </w:r>
          </w:p>
        </w:tc>
        <w:tc>
          <w:tcPr>
            <w:tcW w:w="3046" w:type="dxa"/>
            <w:vAlign w:val="center"/>
          </w:tcPr>
          <w:p w14:paraId="66064045">
            <w:pPr>
              <w:pStyle w:val="28"/>
              <w:bidi w:val="0"/>
            </w:pPr>
            <w:r>
              <w:rPr>
                <w:rFonts w:hint="eastAsia"/>
              </w:rPr>
              <w:t>备注</w:t>
            </w:r>
          </w:p>
        </w:tc>
      </w:tr>
      <w:tr w14:paraId="095F5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9" w:type="dxa"/>
            <w:vAlign w:val="center"/>
          </w:tcPr>
          <w:p w14:paraId="72910003">
            <w:pPr>
              <w:pStyle w:val="28"/>
              <w:bidi w:val="0"/>
            </w:pPr>
            <w:r>
              <w:rPr>
                <w:rFonts w:hint="eastAsia"/>
              </w:rPr>
              <w:t>1</w:t>
            </w:r>
          </w:p>
        </w:tc>
        <w:tc>
          <w:tcPr>
            <w:tcW w:w="2464" w:type="dxa"/>
            <w:vAlign w:val="center"/>
          </w:tcPr>
          <w:p w14:paraId="37251A99">
            <w:pPr>
              <w:pStyle w:val="28"/>
              <w:bidi w:val="0"/>
            </w:pPr>
            <w:r>
              <w:rPr>
                <w:rFonts w:hint="eastAsia"/>
              </w:rPr>
              <w:t>二引干渠</w:t>
            </w:r>
          </w:p>
        </w:tc>
        <w:tc>
          <w:tcPr>
            <w:tcW w:w="1340" w:type="dxa"/>
            <w:vAlign w:val="center"/>
          </w:tcPr>
          <w:p w14:paraId="2DBD198E">
            <w:pPr>
              <w:pStyle w:val="28"/>
              <w:bidi w:val="0"/>
            </w:pPr>
            <w:r>
              <w:t>干渠</w:t>
            </w:r>
          </w:p>
        </w:tc>
        <w:tc>
          <w:tcPr>
            <w:tcW w:w="1832" w:type="dxa"/>
            <w:vAlign w:val="center"/>
          </w:tcPr>
          <w:p w14:paraId="624D8C2A">
            <w:pPr>
              <w:pStyle w:val="28"/>
              <w:bidi w:val="0"/>
            </w:pPr>
            <w:r>
              <w:rPr>
                <w:rFonts w:hint="eastAsia"/>
              </w:rPr>
              <w:t>11.8</w:t>
            </w:r>
          </w:p>
        </w:tc>
        <w:tc>
          <w:tcPr>
            <w:tcW w:w="3046" w:type="dxa"/>
            <w:vAlign w:val="center"/>
          </w:tcPr>
          <w:p w14:paraId="210C7491">
            <w:pPr>
              <w:pStyle w:val="28"/>
              <w:bidi w:val="0"/>
            </w:pPr>
            <w:r>
              <w:t>土质渠道</w:t>
            </w:r>
          </w:p>
        </w:tc>
      </w:tr>
      <w:tr w14:paraId="7D0DF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9" w:type="dxa"/>
            <w:vAlign w:val="center"/>
          </w:tcPr>
          <w:p w14:paraId="45E13BEE">
            <w:pPr>
              <w:pStyle w:val="28"/>
              <w:bidi w:val="0"/>
            </w:pPr>
            <w:r>
              <w:rPr>
                <w:rFonts w:hint="eastAsia"/>
              </w:rPr>
              <w:t>2</w:t>
            </w:r>
          </w:p>
        </w:tc>
        <w:tc>
          <w:tcPr>
            <w:tcW w:w="2464" w:type="dxa"/>
            <w:vAlign w:val="center"/>
          </w:tcPr>
          <w:p w14:paraId="3AC90217">
            <w:pPr>
              <w:pStyle w:val="28"/>
              <w:bidi w:val="0"/>
            </w:pPr>
            <w:r>
              <w:rPr>
                <w:rFonts w:hint="eastAsia"/>
              </w:rPr>
              <w:t>一东干渠</w:t>
            </w:r>
          </w:p>
        </w:tc>
        <w:tc>
          <w:tcPr>
            <w:tcW w:w="1340" w:type="dxa"/>
            <w:vAlign w:val="center"/>
          </w:tcPr>
          <w:p w14:paraId="6593E019">
            <w:pPr>
              <w:pStyle w:val="28"/>
              <w:bidi w:val="0"/>
            </w:pPr>
            <w:r>
              <w:t>干渠</w:t>
            </w:r>
          </w:p>
        </w:tc>
        <w:tc>
          <w:tcPr>
            <w:tcW w:w="1832" w:type="dxa"/>
            <w:vAlign w:val="center"/>
          </w:tcPr>
          <w:p w14:paraId="542A922A">
            <w:pPr>
              <w:pStyle w:val="28"/>
              <w:bidi w:val="0"/>
            </w:pPr>
            <w:r>
              <w:rPr>
                <w:rFonts w:hint="eastAsia"/>
              </w:rPr>
              <w:t>5.62</w:t>
            </w:r>
          </w:p>
        </w:tc>
        <w:tc>
          <w:tcPr>
            <w:tcW w:w="3046" w:type="dxa"/>
            <w:vAlign w:val="center"/>
          </w:tcPr>
          <w:p w14:paraId="276CAB8E">
            <w:pPr>
              <w:pStyle w:val="28"/>
              <w:bidi w:val="0"/>
            </w:pPr>
            <w:r>
              <w:t>土质渠道，已硬化段淤严重</w:t>
            </w:r>
          </w:p>
        </w:tc>
      </w:tr>
      <w:tr w14:paraId="7F59E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9" w:type="dxa"/>
            <w:vAlign w:val="center"/>
          </w:tcPr>
          <w:p w14:paraId="5AA5D86D">
            <w:pPr>
              <w:pStyle w:val="28"/>
              <w:bidi w:val="0"/>
            </w:pPr>
            <w:r>
              <w:rPr>
                <w:rFonts w:hint="eastAsia"/>
              </w:rPr>
              <w:t>3</w:t>
            </w:r>
          </w:p>
        </w:tc>
        <w:tc>
          <w:tcPr>
            <w:tcW w:w="2464" w:type="dxa"/>
            <w:vAlign w:val="center"/>
          </w:tcPr>
          <w:p w14:paraId="0326245E">
            <w:pPr>
              <w:pStyle w:val="28"/>
              <w:bidi w:val="0"/>
            </w:pPr>
            <w:r>
              <w:rPr>
                <w:rFonts w:hint="eastAsia"/>
              </w:rPr>
              <w:t>二东干渠</w:t>
            </w:r>
          </w:p>
        </w:tc>
        <w:tc>
          <w:tcPr>
            <w:tcW w:w="1340" w:type="dxa"/>
            <w:vAlign w:val="center"/>
          </w:tcPr>
          <w:p w14:paraId="4923EB69">
            <w:pPr>
              <w:pStyle w:val="28"/>
              <w:bidi w:val="0"/>
            </w:pPr>
            <w:r>
              <w:t>干渠</w:t>
            </w:r>
          </w:p>
        </w:tc>
        <w:tc>
          <w:tcPr>
            <w:tcW w:w="1832" w:type="dxa"/>
            <w:vAlign w:val="center"/>
          </w:tcPr>
          <w:p w14:paraId="172C0C6B">
            <w:pPr>
              <w:pStyle w:val="28"/>
              <w:bidi w:val="0"/>
            </w:pPr>
            <w:r>
              <w:rPr>
                <w:rFonts w:hint="eastAsia"/>
              </w:rPr>
              <w:t>1.58</w:t>
            </w:r>
          </w:p>
        </w:tc>
        <w:tc>
          <w:tcPr>
            <w:tcW w:w="3046" w:type="dxa"/>
            <w:vAlign w:val="center"/>
          </w:tcPr>
          <w:p w14:paraId="57A44E89">
            <w:pPr>
              <w:pStyle w:val="28"/>
              <w:bidi w:val="0"/>
            </w:pPr>
            <w:r>
              <w:t>土质渠道，已硬化段淤严重</w:t>
            </w:r>
          </w:p>
        </w:tc>
      </w:tr>
      <w:tr w14:paraId="1652E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9" w:type="dxa"/>
            <w:vAlign w:val="center"/>
          </w:tcPr>
          <w:p w14:paraId="22BD1636">
            <w:pPr>
              <w:pStyle w:val="28"/>
              <w:bidi w:val="0"/>
            </w:pPr>
            <w:r>
              <w:rPr>
                <w:rFonts w:hint="eastAsia"/>
              </w:rPr>
              <w:t>4</w:t>
            </w:r>
          </w:p>
        </w:tc>
        <w:tc>
          <w:tcPr>
            <w:tcW w:w="2464" w:type="dxa"/>
            <w:vAlign w:val="center"/>
          </w:tcPr>
          <w:p w14:paraId="0D29ACD9">
            <w:pPr>
              <w:pStyle w:val="28"/>
              <w:bidi w:val="0"/>
            </w:pPr>
            <w:r>
              <w:rPr>
                <w:rFonts w:hint="eastAsia"/>
              </w:rPr>
              <w:t>二北干渠</w:t>
            </w:r>
          </w:p>
        </w:tc>
        <w:tc>
          <w:tcPr>
            <w:tcW w:w="1340" w:type="dxa"/>
            <w:vAlign w:val="center"/>
          </w:tcPr>
          <w:p w14:paraId="4FE6A7C8">
            <w:pPr>
              <w:pStyle w:val="28"/>
              <w:bidi w:val="0"/>
            </w:pPr>
            <w:r>
              <w:t>干渠</w:t>
            </w:r>
          </w:p>
        </w:tc>
        <w:tc>
          <w:tcPr>
            <w:tcW w:w="1832" w:type="dxa"/>
            <w:vAlign w:val="center"/>
          </w:tcPr>
          <w:p w14:paraId="1EE8210C">
            <w:pPr>
              <w:pStyle w:val="28"/>
              <w:bidi w:val="0"/>
            </w:pPr>
            <w:r>
              <w:rPr>
                <w:rFonts w:hint="eastAsia"/>
              </w:rPr>
              <w:t>2.48</w:t>
            </w:r>
          </w:p>
        </w:tc>
        <w:tc>
          <w:tcPr>
            <w:tcW w:w="3046" w:type="dxa"/>
            <w:vAlign w:val="center"/>
          </w:tcPr>
          <w:p w14:paraId="6B55E4D2">
            <w:pPr>
              <w:pStyle w:val="28"/>
              <w:bidi w:val="0"/>
            </w:pPr>
            <w:r>
              <w:t>土质渠道，已硬化段淤严重</w:t>
            </w:r>
          </w:p>
        </w:tc>
      </w:tr>
      <w:tr w14:paraId="675CD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9" w:type="dxa"/>
            <w:vAlign w:val="center"/>
          </w:tcPr>
          <w:p w14:paraId="2CE9275E">
            <w:pPr>
              <w:pStyle w:val="28"/>
              <w:bidi w:val="0"/>
            </w:pPr>
            <w:r>
              <w:rPr>
                <w:rFonts w:hint="eastAsia"/>
              </w:rPr>
              <w:t>5</w:t>
            </w:r>
          </w:p>
        </w:tc>
        <w:tc>
          <w:tcPr>
            <w:tcW w:w="2464" w:type="dxa"/>
            <w:vAlign w:val="center"/>
          </w:tcPr>
          <w:p w14:paraId="0D6C8258">
            <w:pPr>
              <w:pStyle w:val="28"/>
              <w:bidi w:val="0"/>
            </w:pPr>
            <w:r>
              <w:rPr>
                <w:rFonts w:hint="eastAsia"/>
              </w:rPr>
              <w:t>三北干渠</w:t>
            </w:r>
          </w:p>
        </w:tc>
        <w:tc>
          <w:tcPr>
            <w:tcW w:w="1340" w:type="dxa"/>
            <w:vAlign w:val="center"/>
          </w:tcPr>
          <w:p w14:paraId="1C29A2AC">
            <w:pPr>
              <w:pStyle w:val="28"/>
              <w:bidi w:val="0"/>
            </w:pPr>
            <w:r>
              <w:t>干渠</w:t>
            </w:r>
          </w:p>
        </w:tc>
        <w:tc>
          <w:tcPr>
            <w:tcW w:w="1832" w:type="dxa"/>
            <w:vAlign w:val="center"/>
          </w:tcPr>
          <w:p w14:paraId="52ABF4FB">
            <w:pPr>
              <w:pStyle w:val="28"/>
              <w:bidi w:val="0"/>
            </w:pPr>
            <w:r>
              <w:rPr>
                <w:rFonts w:hint="eastAsia"/>
              </w:rPr>
              <w:t>0.97</w:t>
            </w:r>
          </w:p>
        </w:tc>
        <w:tc>
          <w:tcPr>
            <w:tcW w:w="3046" w:type="dxa"/>
            <w:vAlign w:val="center"/>
          </w:tcPr>
          <w:p w14:paraId="4A72715C">
            <w:pPr>
              <w:pStyle w:val="28"/>
              <w:bidi w:val="0"/>
            </w:pPr>
            <w:r>
              <w:t>土质渠道，已硬化段淤严重</w:t>
            </w:r>
          </w:p>
        </w:tc>
      </w:tr>
      <w:tr w14:paraId="1DCAC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9" w:type="dxa"/>
            <w:vAlign w:val="center"/>
          </w:tcPr>
          <w:p w14:paraId="2452E499">
            <w:pPr>
              <w:pStyle w:val="28"/>
              <w:bidi w:val="0"/>
            </w:pPr>
            <w:r>
              <w:rPr>
                <w:rFonts w:hint="eastAsia"/>
              </w:rPr>
              <w:t>6</w:t>
            </w:r>
          </w:p>
        </w:tc>
        <w:tc>
          <w:tcPr>
            <w:tcW w:w="2464" w:type="dxa"/>
            <w:vAlign w:val="center"/>
          </w:tcPr>
          <w:p w14:paraId="7AFF8191">
            <w:pPr>
              <w:pStyle w:val="28"/>
              <w:bidi w:val="0"/>
            </w:pPr>
            <w:r>
              <w:rPr>
                <w:rFonts w:hint="eastAsia"/>
              </w:rPr>
              <w:t>桂岗支渠</w:t>
            </w:r>
          </w:p>
        </w:tc>
        <w:tc>
          <w:tcPr>
            <w:tcW w:w="1340" w:type="dxa"/>
            <w:vAlign w:val="center"/>
          </w:tcPr>
          <w:p w14:paraId="640A132A">
            <w:pPr>
              <w:pStyle w:val="28"/>
              <w:bidi w:val="0"/>
            </w:pPr>
            <w:r>
              <w:t>支渠</w:t>
            </w:r>
          </w:p>
        </w:tc>
        <w:tc>
          <w:tcPr>
            <w:tcW w:w="1832" w:type="dxa"/>
            <w:vAlign w:val="center"/>
          </w:tcPr>
          <w:p w14:paraId="5BBA6D65">
            <w:pPr>
              <w:pStyle w:val="28"/>
              <w:bidi w:val="0"/>
            </w:pPr>
            <w:r>
              <w:rPr>
                <w:rFonts w:hint="eastAsia"/>
              </w:rPr>
              <w:t>1.49</w:t>
            </w:r>
          </w:p>
        </w:tc>
        <w:tc>
          <w:tcPr>
            <w:tcW w:w="3046" w:type="dxa"/>
            <w:vAlign w:val="center"/>
          </w:tcPr>
          <w:p w14:paraId="2B7CF3EB">
            <w:pPr>
              <w:pStyle w:val="28"/>
              <w:bidi w:val="0"/>
            </w:pPr>
            <w:r>
              <w:t>土质渠道，已硬化段淤严重</w:t>
            </w:r>
          </w:p>
        </w:tc>
      </w:tr>
      <w:tr w14:paraId="4A36E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9" w:type="dxa"/>
            <w:vAlign w:val="center"/>
          </w:tcPr>
          <w:p w14:paraId="1620C6BA">
            <w:pPr>
              <w:pStyle w:val="28"/>
              <w:bidi w:val="0"/>
            </w:pPr>
            <w:r>
              <w:rPr>
                <w:rFonts w:hint="eastAsia"/>
              </w:rPr>
              <w:t>7</w:t>
            </w:r>
          </w:p>
        </w:tc>
        <w:tc>
          <w:tcPr>
            <w:tcW w:w="2464" w:type="dxa"/>
            <w:vAlign w:val="center"/>
          </w:tcPr>
          <w:p w14:paraId="76F97105">
            <w:pPr>
              <w:pStyle w:val="28"/>
              <w:bidi w:val="0"/>
            </w:pPr>
            <w:r>
              <w:rPr>
                <w:rFonts w:hint="eastAsia"/>
              </w:rPr>
              <w:t>染坊支渠</w:t>
            </w:r>
          </w:p>
        </w:tc>
        <w:tc>
          <w:tcPr>
            <w:tcW w:w="1340" w:type="dxa"/>
            <w:vAlign w:val="center"/>
          </w:tcPr>
          <w:p w14:paraId="7951636B">
            <w:pPr>
              <w:pStyle w:val="28"/>
              <w:bidi w:val="0"/>
            </w:pPr>
            <w:r>
              <w:t>支渠</w:t>
            </w:r>
          </w:p>
        </w:tc>
        <w:tc>
          <w:tcPr>
            <w:tcW w:w="1832" w:type="dxa"/>
            <w:vAlign w:val="center"/>
          </w:tcPr>
          <w:p w14:paraId="2B63E93F">
            <w:pPr>
              <w:pStyle w:val="28"/>
              <w:bidi w:val="0"/>
            </w:pPr>
            <w:r>
              <w:rPr>
                <w:rFonts w:hint="eastAsia"/>
              </w:rPr>
              <w:t>1.82</w:t>
            </w:r>
          </w:p>
        </w:tc>
        <w:tc>
          <w:tcPr>
            <w:tcW w:w="3046" w:type="dxa"/>
            <w:vAlign w:val="center"/>
          </w:tcPr>
          <w:p w14:paraId="3B789AA3">
            <w:pPr>
              <w:pStyle w:val="28"/>
              <w:bidi w:val="0"/>
            </w:pPr>
            <w:r>
              <w:t>土质渠道，已硬化段淤严重</w:t>
            </w:r>
          </w:p>
        </w:tc>
      </w:tr>
      <w:tr w14:paraId="2996A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9" w:type="dxa"/>
            <w:vAlign w:val="center"/>
          </w:tcPr>
          <w:p w14:paraId="21587F61">
            <w:pPr>
              <w:pStyle w:val="28"/>
              <w:bidi w:val="0"/>
            </w:pPr>
            <w:r>
              <w:rPr>
                <w:rFonts w:hint="eastAsia"/>
              </w:rPr>
              <w:t>8</w:t>
            </w:r>
          </w:p>
        </w:tc>
        <w:tc>
          <w:tcPr>
            <w:tcW w:w="2464" w:type="dxa"/>
            <w:vAlign w:val="center"/>
          </w:tcPr>
          <w:p w14:paraId="795BD48C">
            <w:pPr>
              <w:pStyle w:val="28"/>
              <w:bidi w:val="0"/>
            </w:pPr>
            <w:r>
              <w:rPr>
                <w:rFonts w:hint="eastAsia"/>
              </w:rPr>
              <w:t>一北干渠</w:t>
            </w:r>
          </w:p>
        </w:tc>
        <w:tc>
          <w:tcPr>
            <w:tcW w:w="1340" w:type="dxa"/>
            <w:vAlign w:val="center"/>
          </w:tcPr>
          <w:p w14:paraId="3080FA7B">
            <w:pPr>
              <w:pStyle w:val="28"/>
              <w:bidi w:val="0"/>
            </w:pPr>
            <w:r>
              <w:t>干渠</w:t>
            </w:r>
          </w:p>
        </w:tc>
        <w:tc>
          <w:tcPr>
            <w:tcW w:w="1832" w:type="dxa"/>
            <w:vAlign w:val="center"/>
          </w:tcPr>
          <w:p w14:paraId="638CDA56">
            <w:pPr>
              <w:pStyle w:val="28"/>
              <w:bidi w:val="0"/>
            </w:pPr>
            <w:r>
              <w:rPr>
                <w:rFonts w:hint="eastAsia"/>
              </w:rPr>
              <w:t>0.33</w:t>
            </w:r>
          </w:p>
        </w:tc>
        <w:tc>
          <w:tcPr>
            <w:tcW w:w="3046" w:type="dxa"/>
            <w:vAlign w:val="center"/>
          </w:tcPr>
          <w:p w14:paraId="111E4955">
            <w:pPr>
              <w:pStyle w:val="28"/>
              <w:bidi w:val="0"/>
            </w:pPr>
            <w:r>
              <w:t>土质渠道</w:t>
            </w:r>
          </w:p>
        </w:tc>
      </w:tr>
      <w:tr w14:paraId="1181E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1059" w:type="dxa"/>
            <w:vAlign w:val="center"/>
          </w:tcPr>
          <w:p w14:paraId="4F0D5EB2">
            <w:pPr>
              <w:pStyle w:val="28"/>
              <w:bidi w:val="0"/>
            </w:pPr>
            <w:r>
              <w:rPr>
                <w:rFonts w:hint="eastAsia"/>
              </w:rPr>
              <w:t>9</w:t>
            </w:r>
          </w:p>
        </w:tc>
        <w:tc>
          <w:tcPr>
            <w:tcW w:w="2464" w:type="dxa"/>
            <w:vAlign w:val="center"/>
          </w:tcPr>
          <w:p w14:paraId="19711638">
            <w:pPr>
              <w:pStyle w:val="28"/>
              <w:bidi w:val="0"/>
            </w:pPr>
            <w:r>
              <w:rPr>
                <w:rFonts w:hint="eastAsia"/>
              </w:rPr>
              <w:t>双庙支渠</w:t>
            </w:r>
          </w:p>
        </w:tc>
        <w:tc>
          <w:tcPr>
            <w:tcW w:w="1340" w:type="dxa"/>
            <w:vAlign w:val="center"/>
          </w:tcPr>
          <w:p w14:paraId="44470150">
            <w:pPr>
              <w:pStyle w:val="28"/>
              <w:bidi w:val="0"/>
            </w:pPr>
            <w:r>
              <w:t>支渠</w:t>
            </w:r>
          </w:p>
        </w:tc>
        <w:tc>
          <w:tcPr>
            <w:tcW w:w="1832" w:type="dxa"/>
            <w:vAlign w:val="center"/>
          </w:tcPr>
          <w:p w14:paraId="34D4B6B1">
            <w:pPr>
              <w:pStyle w:val="28"/>
              <w:bidi w:val="0"/>
            </w:pPr>
            <w:r>
              <w:rPr>
                <w:rFonts w:hint="eastAsia"/>
              </w:rPr>
              <w:t>0.28</w:t>
            </w:r>
          </w:p>
        </w:tc>
        <w:tc>
          <w:tcPr>
            <w:tcW w:w="3046" w:type="dxa"/>
            <w:vAlign w:val="center"/>
          </w:tcPr>
          <w:p w14:paraId="095952D6">
            <w:pPr>
              <w:pStyle w:val="28"/>
              <w:bidi w:val="0"/>
            </w:pPr>
            <w:r>
              <w:t>土质渠道</w:t>
            </w:r>
          </w:p>
        </w:tc>
      </w:tr>
      <w:tr w14:paraId="148D8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9" w:type="dxa"/>
            <w:vAlign w:val="center"/>
          </w:tcPr>
          <w:p w14:paraId="1B56C0EE">
            <w:pPr>
              <w:pStyle w:val="28"/>
              <w:bidi w:val="0"/>
            </w:pPr>
            <w:r>
              <w:rPr>
                <w:rFonts w:hint="eastAsia"/>
              </w:rPr>
              <w:t>10</w:t>
            </w:r>
          </w:p>
        </w:tc>
        <w:tc>
          <w:tcPr>
            <w:tcW w:w="2464" w:type="dxa"/>
            <w:vAlign w:val="center"/>
          </w:tcPr>
          <w:p w14:paraId="65D1446A">
            <w:pPr>
              <w:pStyle w:val="28"/>
              <w:bidi w:val="0"/>
            </w:pPr>
            <w:r>
              <w:rPr>
                <w:rFonts w:hint="eastAsia"/>
              </w:rPr>
              <w:t>朱集一站引水渠</w:t>
            </w:r>
          </w:p>
        </w:tc>
        <w:tc>
          <w:tcPr>
            <w:tcW w:w="1340" w:type="dxa"/>
            <w:vAlign w:val="center"/>
          </w:tcPr>
          <w:p w14:paraId="2BF8DEF2">
            <w:pPr>
              <w:pStyle w:val="28"/>
              <w:bidi w:val="0"/>
            </w:pPr>
            <w:r>
              <w:t>干渠</w:t>
            </w:r>
          </w:p>
        </w:tc>
        <w:tc>
          <w:tcPr>
            <w:tcW w:w="1832" w:type="dxa"/>
            <w:vAlign w:val="center"/>
          </w:tcPr>
          <w:p w14:paraId="58487C25">
            <w:pPr>
              <w:pStyle w:val="28"/>
              <w:bidi w:val="0"/>
            </w:pPr>
            <w:r>
              <w:rPr>
                <w:rFonts w:hint="eastAsia"/>
              </w:rPr>
              <w:t>11.8</w:t>
            </w:r>
          </w:p>
        </w:tc>
        <w:tc>
          <w:tcPr>
            <w:tcW w:w="3046" w:type="dxa"/>
            <w:vAlign w:val="center"/>
          </w:tcPr>
          <w:p w14:paraId="08150F6E">
            <w:pPr>
              <w:pStyle w:val="28"/>
              <w:bidi w:val="0"/>
            </w:pPr>
            <w:r>
              <w:t>已硬化段淤严重</w:t>
            </w:r>
          </w:p>
        </w:tc>
      </w:tr>
      <w:tr w14:paraId="2BD10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9" w:type="dxa"/>
            <w:vAlign w:val="center"/>
          </w:tcPr>
          <w:p w14:paraId="75214824">
            <w:pPr>
              <w:pStyle w:val="28"/>
              <w:bidi w:val="0"/>
            </w:pPr>
            <w:r>
              <w:rPr>
                <w:rFonts w:hint="eastAsia"/>
              </w:rPr>
              <w:t>11</w:t>
            </w:r>
          </w:p>
        </w:tc>
        <w:tc>
          <w:tcPr>
            <w:tcW w:w="2464" w:type="dxa"/>
            <w:vAlign w:val="center"/>
          </w:tcPr>
          <w:p w14:paraId="2E365034">
            <w:pPr>
              <w:pStyle w:val="28"/>
              <w:bidi w:val="0"/>
            </w:pPr>
            <w:r>
              <w:rPr>
                <w:rFonts w:hint="eastAsia"/>
              </w:rPr>
              <w:t>方庄支渠</w:t>
            </w:r>
          </w:p>
        </w:tc>
        <w:tc>
          <w:tcPr>
            <w:tcW w:w="1340" w:type="dxa"/>
            <w:vAlign w:val="center"/>
          </w:tcPr>
          <w:p w14:paraId="46131912">
            <w:pPr>
              <w:pStyle w:val="28"/>
              <w:bidi w:val="0"/>
            </w:pPr>
            <w:r>
              <w:t>支渠</w:t>
            </w:r>
          </w:p>
        </w:tc>
        <w:tc>
          <w:tcPr>
            <w:tcW w:w="1832" w:type="dxa"/>
            <w:vAlign w:val="center"/>
          </w:tcPr>
          <w:p w14:paraId="6481886A">
            <w:pPr>
              <w:pStyle w:val="28"/>
              <w:bidi w:val="0"/>
            </w:pPr>
            <w:r>
              <w:rPr>
                <w:rFonts w:hint="eastAsia"/>
              </w:rPr>
              <w:t>0.25</w:t>
            </w:r>
          </w:p>
        </w:tc>
        <w:tc>
          <w:tcPr>
            <w:tcW w:w="3046" w:type="dxa"/>
            <w:vAlign w:val="center"/>
          </w:tcPr>
          <w:p w14:paraId="7B55F871">
            <w:pPr>
              <w:pStyle w:val="28"/>
              <w:bidi w:val="0"/>
            </w:pPr>
            <w:r>
              <w:t>已硬化段淤严重</w:t>
            </w:r>
          </w:p>
        </w:tc>
      </w:tr>
    </w:tbl>
    <w:p w14:paraId="2D0D5911">
      <w:pPr>
        <w:bidi w:val="0"/>
        <w:rPr>
          <w:b/>
          <w:bCs/>
        </w:rPr>
      </w:pPr>
      <w:r>
        <w:rPr>
          <w:b/>
          <w:bCs/>
        </w:rPr>
        <w:t>（3）骨干渠（沟）系建筑物及配套设施</w:t>
      </w:r>
    </w:p>
    <w:p w14:paraId="0D3BC068">
      <w:pPr>
        <w:bidi w:val="0"/>
      </w:pPr>
      <w:r>
        <w:t>朱集灌区配套建筑物不全，已配套的建筑物经过多年运行也老化损坏，节制闸、进水闸铸铁件锈蚀严重，部分还无启闭机房，开启困难，且存在不安全因素；桥梁设计标准低，桥面、桥墩损坏严重且阻水严重等。</w:t>
      </w:r>
    </w:p>
    <w:p w14:paraId="2292B666">
      <w:pPr>
        <w:pStyle w:val="4"/>
        <w:bidi w:val="0"/>
      </w:pPr>
      <w:r>
        <w:t>2.1.2</w:t>
      </w:r>
      <w:r>
        <w:rPr>
          <w:rFonts w:hint="eastAsia"/>
          <w:lang w:val="en-US" w:eastAsia="zh-CN"/>
        </w:rPr>
        <w:t xml:space="preserve"> </w:t>
      </w:r>
      <w:r>
        <w:t>项目建设的必要性</w:t>
      </w:r>
    </w:p>
    <w:p w14:paraId="39FBB96E">
      <w:pPr>
        <w:pStyle w:val="5"/>
        <w:bidi w:val="0"/>
      </w:pPr>
      <w:r>
        <w:rPr>
          <w:rFonts w:hint="eastAsia"/>
          <w:lang w:val="en-US" w:eastAsia="zh-CN"/>
        </w:rPr>
        <w:t xml:space="preserve">2.1.2.1 </w:t>
      </w:r>
      <w:r>
        <w:t>灌区在地方经济社会、粮食生产等方面的地位和作用</w:t>
      </w:r>
    </w:p>
    <w:p w14:paraId="3AD34E08">
      <w:pPr>
        <w:bidi w:val="0"/>
      </w:pPr>
      <w:r>
        <w:t>朱集、孤堆、施湖、新河、爱国、孙庙等灌区为淮南市谢家集区重要的农业产粮区，区内经济以农业生产为主。灌区在淮南市谢家集区农业生产中起到了举足轻重的作用，没有灌区就没有农业的大发展。灌区肩负着保障粮食安全，促进社会和谐安定的重要职责，它为促进经济社会的发展作出了重要贡献。没有灌区为农业保驾护航，就没有农业大丰收，人口的温饱问题就得不到根本解决，更谈不上向小康生活迈进。一旦发生旱灾，没有灌区来保证农作物用水需求，粮食安全就会受到威胁，甚至产生粮食危机，引起社会动荡不安。2008年初的全球大范围粮食危机曾使37个国家受到冲击，社会动荡，对国际和平与安全构成了严重威胁。</w:t>
      </w:r>
    </w:p>
    <w:p w14:paraId="12DB46CB">
      <w:pPr>
        <w:bidi w:val="0"/>
      </w:pPr>
      <w:r>
        <w:t>为此，灌区要想更好地促进农业生产，保障粮食安全，就要统筹农业、工业与环境用水、重点与一般、长远与当前、需要与可能的关系，开源节流，实现灌区可持续发展目标，一方面通过强化管理，加强节水建设，增强实力。另一方面通过转变发展思路，开拓用水市场，增加效益，推进灌区持续发展，不断满足国家粮食生产对水的需求，促进农业建设，保障国家粮食安全。</w:t>
      </w:r>
    </w:p>
    <w:p w14:paraId="431A5F0A">
      <w:pPr>
        <w:bidi w:val="0"/>
      </w:pPr>
      <w:r>
        <w:t>朱集灌区是该地区农业灌溉体系中重要的骨干工程，在该地区农业发展及农村经济水平的提高、生态环境改善等方面的主要作用如下：</w:t>
      </w:r>
    </w:p>
    <w:p w14:paraId="7F64DEF9">
      <w:pPr>
        <w:bidi w:val="0"/>
      </w:pPr>
      <w:r>
        <w:rPr>
          <w:rFonts w:hint="eastAsia"/>
          <w:lang w:eastAsia="zh-CN"/>
        </w:rPr>
        <w:t>（</w:t>
      </w:r>
      <w:r>
        <w:rPr>
          <w:rFonts w:hint="eastAsia"/>
          <w:lang w:val="en-US" w:eastAsia="zh-CN"/>
        </w:rPr>
        <w:t>1</w:t>
      </w:r>
      <w:r>
        <w:rPr>
          <w:rFonts w:hint="eastAsia"/>
          <w:lang w:eastAsia="zh-CN"/>
        </w:rPr>
        <w:t>）</w:t>
      </w:r>
      <w:r>
        <w:t>为灌区提供了充足水源，有效地提高了灌区的抗灾能力，促进了灌区耕作制度和种植结构调整，保证了农业生产的稳定发展。</w:t>
      </w:r>
    </w:p>
    <w:p w14:paraId="02C61A61">
      <w:pPr>
        <w:bidi w:val="0"/>
      </w:pPr>
      <w:r>
        <w:rPr>
          <w:rFonts w:hint="eastAsia"/>
          <w:lang w:eastAsia="zh-CN"/>
        </w:rPr>
        <w:t>（</w:t>
      </w:r>
      <w:r>
        <w:rPr>
          <w:rFonts w:hint="eastAsia"/>
          <w:lang w:val="en-US" w:eastAsia="zh-CN"/>
        </w:rPr>
        <w:t>2</w:t>
      </w:r>
      <w:r>
        <w:rPr>
          <w:rFonts w:hint="eastAsia"/>
          <w:lang w:eastAsia="zh-CN"/>
        </w:rPr>
        <w:t>）</w:t>
      </w:r>
      <w:r>
        <w:t>带动了相关产业快速增长，促进了灌区经济的全面发展。得益于水利条件的改善和粮食生产的发展，加快了灌区的工业化进程和经济结构的调整。</w:t>
      </w:r>
    </w:p>
    <w:p w14:paraId="33BBABBB">
      <w:pPr>
        <w:bidi w:val="0"/>
      </w:pPr>
      <w:r>
        <w:rPr>
          <w:rFonts w:hint="eastAsia"/>
          <w:lang w:eastAsia="zh-CN"/>
        </w:rPr>
        <w:t>（</w:t>
      </w:r>
      <w:r>
        <w:rPr>
          <w:rFonts w:hint="eastAsia"/>
          <w:lang w:val="en-US" w:eastAsia="zh-CN"/>
        </w:rPr>
        <w:t>3</w:t>
      </w:r>
      <w:r>
        <w:rPr>
          <w:rFonts w:hint="eastAsia"/>
          <w:lang w:eastAsia="zh-CN"/>
        </w:rPr>
        <w:t>）</w:t>
      </w:r>
      <w:r>
        <w:t>保障了灌区的社会稳定和农村经济的发展，创造了安居乐业的良好局面。灌区成为杨公镇、曹庵镇、孙庙乡、三和乡和孤堆回族乡5个乡镇农村居民有保障的衣食之源，区域内农村劳动力就业的主要渠道，对维护灌区的社会稳定作出了不可替代的贡献。</w:t>
      </w:r>
    </w:p>
    <w:p w14:paraId="29B390FF">
      <w:pPr>
        <w:pStyle w:val="5"/>
        <w:bidi w:val="0"/>
        <w:rPr>
          <w:rFonts w:hint="default"/>
          <w:lang w:val="en-US" w:eastAsia="zh-CN"/>
        </w:rPr>
      </w:pPr>
      <w:r>
        <w:rPr>
          <w:rFonts w:hint="eastAsia"/>
          <w:lang w:val="en-US" w:eastAsia="zh-CN"/>
        </w:rPr>
        <w:t>2.1.2.2 灌区骨干工程存在的主要问题</w:t>
      </w:r>
    </w:p>
    <w:p w14:paraId="05CEA572">
      <w:pPr>
        <w:bidi w:val="0"/>
        <w:rPr>
          <w:b/>
          <w:bCs/>
        </w:rPr>
      </w:pPr>
      <w:r>
        <w:rPr>
          <w:rFonts w:hint="eastAsia"/>
          <w:b/>
          <w:bCs/>
          <w:lang w:eastAsia="zh-CN"/>
        </w:rPr>
        <w:t>（</w:t>
      </w:r>
      <w:r>
        <w:rPr>
          <w:rFonts w:hint="eastAsia"/>
          <w:b/>
          <w:bCs/>
          <w:lang w:val="en-US" w:eastAsia="zh-CN"/>
        </w:rPr>
        <w:t>1</w:t>
      </w:r>
      <w:r>
        <w:rPr>
          <w:rFonts w:hint="eastAsia"/>
          <w:b/>
          <w:bCs/>
          <w:lang w:eastAsia="zh-CN"/>
        </w:rPr>
        <w:t>）</w:t>
      </w:r>
      <w:r>
        <w:rPr>
          <w:b/>
          <w:bCs/>
        </w:rPr>
        <w:t>灌区输配水渠道及建筑物配套率低</w:t>
      </w:r>
    </w:p>
    <w:p w14:paraId="6F7E237D">
      <w:pPr>
        <w:bidi w:val="0"/>
      </w:pPr>
      <w:r>
        <w:t>限于资金条件，在以往小型农田水利工程建设中多关注田间工程，但骨干输配水渠系及引水、提水工程因投入成本高关注较少，导致已建骨干水源工程的输水干渠或者干管配套率较低，工程完好率差，使得骨干水源无法有效发挥灌溉效益。</w:t>
      </w:r>
    </w:p>
    <w:p w14:paraId="416A3107">
      <w:pPr>
        <w:bidi w:val="0"/>
        <w:rPr>
          <w:rFonts w:hint="eastAsia"/>
          <w:lang w:eastAsia="zh-CN"/>
        </w:rPr>
      </w:pPr>
      <w:r>
        <w:t>目前灌区存在的主要问题：</w:t>
      </w:r>
    </w:p>
    <w:p w14:paraId="1C1508CE">
      <w:pPr>
        <w:bidi w:val="0"/>
      </w:pPr>
      <w:r>
        <w:t>灌区工程经多年运行，水毁损坏严重，渠道水流不畅，渠尾无水现象时有发生。</w:t>
      </w:r>
    </w:p>
    <w:p w14:paraId="43127F57">
      <w:pPr>
        <w:bidi w:val="0"/>
      </w:pPr>
      <w:r>
        <w:t>灌溉渠道缺少衬砌措施，渗漏严重，或虽已衬砌，但年久失修，损毁严重，灌溉水利用系数较低，供水保障能力低，使渠道不能有效发挥灌溉功能。</w:t>
      </w:r>
    </w:p>
    <w:p w14:paraId="0CAC7B65">
      <w:pPr>
        <w:bidi w:val="0"/>
      </w:pPr>
      <w:r>
        <w:t>配套建筑物不全，已配套的建筑物经过多年运行也老化损坏，节制闸、进水闸铸铁件锈蚀严重，部分还无启闭机房，开启困难，且存在不安全因素；桥梁设计标准低，桥面、桥墩损坏严重且阻水严重等。</w:t>
      </w:r>
    </w:p>
    <w:p w14:paraId="258FCD2A">
      <w:pPr>
        <w:bidi w:val="0"/>
      </w:pPr>
      <w:r>
        <w:t>干渠配套建筑物不全，无计量量水设施，存在串灌、漫灌现象，水资源浪费严重，渠道填方段渗漏较严重，水损较大。</w:t>
      </w:r>
    </w:p>
    <w:p w14:paraId="35475217">
      <w:pPr>
        <w:bidi w:val="0"/>
        <w:rPr>
          <w:rFonts w:hint="eastAsia"/>
          <w:lang w:eastAsia="zh-CN"/>
        </w:rPr>
      </w:pPr>
      <w:r>
        <w:t>灌溉渠系在多年输水情况下形成淤积，冲刷及雨淋沟现象形成渠道边坡陡，渠底抬高，高出设计渠底较多，形成阻水现象。在填方渠道段，受长期雨水冲刷造成塌方，堵塞渠道，使渠底变窄，输水断面缩小，渠顶高程相对降低，漫顶等现象时有发生。</w:t>
      </w:r>
    </w:p>
    <w:p w14:paraId="0AAABA0B">
      <w:pPr>
        <w:bidi w:val="0"/>
        <w:rPr>
          <w:rFonts w:hint="eastAsia"/>
          <w:lang w:eastAsia="zh-CN"/>
        </w:rPr>
      </w:pPr>
      <w:r>
        <w:rPr>
          <w:rFonts w:hint="eastAsia"/>
          <w:lang w:eastAsia="zh-CN"/>
        </w:rPr>
        <w:t>（</w:t>
      </w:r>
      <w:r>
        <w:rPr>
          <w:rFonts w:hint="eastAsia"/>
          <w:lang w:val="en-US" w:eastAsia="zh-CN"/>
        </w:rPr>
        <w:t>2</w:t>
      </w:r>
      <w:r>
        <w:rPr>
          <w:rFonts w:hint="eastAsia"/>
          <w:lang w:eastAsia="zh-CN"/>
        </w:rPr>
        <w:t>）</w:t>
      </w:r>
      <w:r>
        <w:t>用水量测、管理设施及灌区信息化低</w:t>
      </w:r>
    </w:p>
    <w:p w14:paraId="70CB7DF1">
      <w:pPr>
        <w:bidi w:val="0"/>
        <w:rPr>
          <w:rFonts w:hint="eastAsia"/>
          <w:lang w:eastAsia="zh-CN"/>
        </w:rPr>
      </w:pPr>
      <w:r>
        <w:t>灌区的信息化建设是一项长期的工程，具有自身的综合性和持续性，一般的私人资金又因为无利润回报不会投向灌区，各级政府财政支持不足，相关系统工程的建设不能配套，难以发挥已建工程的效益和作用。比如灌区受资金制约仅有朱集一站有用水量测设施，数据采集点太少。灌区的发展是农业的支柱，资金投入不足制约着灌区的信息化建设，也必将会影响农业的发展进程。</w:t>
      </w:r>
    </w:p>
    <w:p w14:paraId="49748AE0">
      <w:pPr>
        <w:bidi w:val="0"/>
      </w:pPr>
      <w:r>
        <w:t>朱集灌区仅朱集一站设置了超声波流量计，其它泵站、干渠支渠均无计量设施，无信息化建设。</w:t>
      </w:r>
    </w:p>
    <w:p w14:paraId="7E7A7BE6">
      <w:pPr>
        <w:bidi w:val="0"/>
        <w:rPr>
          <w:rFonts w:hint="eastAsia"/>
          <w:lang w:eastAsia="zh-CN"/>
        </w:rPr>
      </w:pPr>
      <w:r>
        <w:rPr>
          <w:rFonts w:hint="eastAsia"/>
          <w:lang w:eastAsia="zh-CN"/>
        </w:rPr>
        <w:t>（</w:t>
      </w:r>
      <w:r>
        <w:rPr>
          <w:rFonts w:hint="eastAsia"/>
          <w:lang w:val="en-US" w:eastAsia="zh-CN"/>
        </w:rPr>
        <w:t>3</w:t>
      </w:r>
      <w:r>
        <w:rPr>
          <w:rFonts w:hint="eastAsia"/>
          <w:lang w:eastAsia="zh-CN"/>
        </w:rPr>
        <w:t>）</w:t>
      </w:r>
      <w:r>
        <w:t>灌区管理制度不完善，工程运行管护难度大</w:t>
      </w:r>
    </w:p>
    <w:p w14:paraId="03BF58DD">
      <w:pPr>
        <w:bidi w:val="0"/>
        <w:rPr>
          <w:rFonts w:hint="eastAsia"/>
          <w:lang w:eastAsia="zh-CN"/>
        </w:rPr>
      </w:pPr>
      <w:r>
        <w:t>工程运行管护难度大。灌区涉及杨公镇、曹庵镇、孙庙乡、三和乡和孤堆回族乡5个乡镇，55个行政村，点多面广，水利工程点多、面广，管理任务重。仅靠朱集电灌站的力量很难把所有具体工程管护起来，加之农村大量劳力外出务工，缺少必要的管理维护。</w:t>
      </w:r>
    </w:p>
    <w:p w14:paraId="06178782">
      <w:pPr>
        <w:bidi w:val="0"/>
        <w:rPr>
          <w:rFonts w:hint="eastAsia"/>
          <w:lang w:eastAsia="zh-CN"/>
        </w:rPr>
      </w:pPr>
      <w:r>
        <w:t>管护人员及时到位困难。很难担负起灌区范围内农田水利管理工作，人员结构不合理，不少人员年龄老化，新老接替跟不上，亟需充实力量。</w:t>
      </w:r>
    </w:p>
    <w:p w14:paraId="6506B0DE">
      <w:pPr>
        <w:pStyle w:val="5"/>
        <w:bidi w:val="0"/>
        <w:rPr>
          <w:rFonts w:hint="eastAsia"/>
          <w:lang w:eastAsia="zh-CN"/>
        </w:rPr>
      </w:pPr>
      <w:r>
        <w:rPr>
          <w:rFonts w:hint="eastAsia"/>
          <w:lang w:val="en-US" w:eastAsia="zh-CN"/>
        </w:rPr>
        <w:t xml:space="preserve">2.1.2.3 </w:t>
      </w:r>
      <w:r>
        <w:t>项目建设的必要性</w:t>
      </w:r>
    </w:p>
    <w:p w14:paraId="4DB81570">
      <w:pPr>
        <w:bidi w:val="0"/>
      </w:pPr>
      <w:r>
        <w:t>灌区工程经多年运行，老化失修，渠系配套不足，骨干工程完好率偏低，用水效益和效率不能充分发挥，计量设施不完善，信息化建设水平较低。为加快补齐灌区灌排工程体系短板，深化灌区管理体制和农业水价综合改革，提升农业用水效率，提高供水保障水平，为保障国家粮食安全、促进农业节水、助力全面推进乡村振兴提供有力支撑。因此对灌区进行续建配套与现代化改造是非常必要的。</w:t>
      </w:r>
    </w:p>
    <w:p w14:paraId="0AC4A80A">
      <w:pPr>
        <w:bidi w:val="0"/>
        <w:rPr>
          <w:rFonts w:hint="eastAsia" w:eastAsia="宋体"/>
          <w:b/>
          <w:bCs/>
          <w:lang w:eastAsia="zh-CN"/>
        </w:rPr>
      </w:pPr>
      <w:r>
        <w:rPr>
          <w:b/>
          <w:bCs/>
        </w:rPr>
        <w:t>（1）是补齐补强水利基础设施短板的需要</w:t>
      </w:r>
    </w:p>
    <w:p w14:paraId="1BC47C15">
      <w:pPr>
        <w:bidi w:val="0"/>
        <w:rPr>
          <w:rFonts w:hint="eastAsia" w:eastAsia="宋体"/>
          <w:lang w:eastAsia="zh-CN"/>
        </w:rPr>
      </w:pPr>
      <w:r>
        <w:t>水利是经济社会发展不可替代的基础支撑，水利基础设施包括灌溉、排涝、抗旱设施等，具体的包括灌溉渠道、排水沟、机耕桥、涵、闸、泵站及抗旱水源设施等。与国家重大战略实施的要求相比，水利还存在薄弱环节和明显制约，广大农村地区的水利基础设施相对落后，对经济社会发展、人民脱贫致富形成制约。</w:t>
      </w:r>
    </w:p>
    <w:p w14:paraId="6FFA2D9A">
      <w:pPr>
        <w:bidi w:val="0"/>
        <w:rPr>
          <w:rFonts w:hint="eastAsia" w:eastAsia="宋体"/>
          <w:lang w:eastAsia="zh-CN"/>
        </w:rPr>
      </w:pPr>
      <w:r>
        <w:t>水利发展要适应经济社会发展的需求，水利工程的短板就是水利工程供给能力与经济社会发展需求之间的差距。朱集灌区现有骨干渠道部分为土渠，渗漏严重，灌溉水利用系数低，是灌区水利工程最大短板；配套建筑物老化损坏、水生态保护与修复能力不足、水利信息化水平落后等也是突出短板。</w:t>
      </w:r>
    </w:p>
    <w:p w14:paraId="268ECE8C">
      <w:pPr>
        <w:bidi w:val="0"/>
        <w:rPr>
          <w:rFonts w:hint="eastAsia" w:eastAsia="宋体"/>
          <w:lang w:eastAsia="zh-CN"/>
        </w:rPr>
      </w:pPr>
      <w:r>
        <w:t>本项目的实施将补齐大中型灌区灌排工程基础设施短板、保障国家粮食安全、加快水利现代化建设、促进农业现代化发展，进而缩小灌区供给能力与经济社会发展需求之间的差距。</w:t>
      </w:r>
    </w:p>
    <w:p w14:paraId="3DB0C8E8">
      <w:pPr>
        <w:bidi w:val="0"/>
        <w:rPr>
          <w:rFonts w:hint="eastAsia" w:eastAsia="宋体"/>
          <w:b/>
          <w:bCs/>
          <w:lang w:eastAsia="zh-CN"/>
        </w:rPr>
      </w:pPr>
      <w:r>
        <w:rPr>
          <w:b/>
          <w:bCs/>
        </w:rPr>
        <w:t>（2）是强化水利行业监管的需要</w:t>
      </w:r>
    </w:p>
    <w:p w14:paraId="0624D9F6">
      <w:pPr>
        <w:bidi w:val="0"/>
        <w:rPr>
          <w:rFonts w:hint="eastAsia" w:eastAsia="宋体"/>
          <w:lang w:eastAsia="zh-CN"/>
        </w:rPr>
      </w:pPr>
      <w:r>
        <w:t>随着农村经济体制改革的深入发展和社会主义市场经济体制的逐步完善，灌区工程建设和管理中一些深层次矛盾显露出来，由于灌区投入不足、工程配套陈旧、设施老化、效益衰减，农业生产喝“大锅水”的现象依然存在，直接影响到农业的持续稳定发展。</w:t>
      </w:r>
    </w:p>
    <w:p w14:paraId="3E22988B">
      <w:pPr>
        <w:bidi w:val="0"/>
        <w:rPr>
          <w:rFonts w:hint="eastAsia" w:eastAsia="宋体"/>
          <w:lang w:eastAsia="zh-CN"/>
        </w:rPr>
      </w:pPr>
      <w:r>
        <w:t>本项目实施后，将完善项目区水利基础设施，增强灌区供给能力，减小监管中产生的矛盾；通过管理体制改革，管理体系建设完善，提高灌区管理水平；通过交通设施建设、重点部位视频监控等信息化建设等的实施，增强灌区监管能力，使其监管更方便、全面。因此实施项目建设，是强化水利行业监管的迫切要求。</w:t>
      </w:r>
    </w:p>
    <w:p w14:paraId="549773AB">
      <w:pPr>
        <w:bidi w:val="0"/>
        <w:rPr>
          <w:rFonts w:hint="eastAsia" w:eastAsia="宋体"/>
          <w:b/>
          <w:bCs/>
          <w:lang w:eastAsia="zh-CN"/>
        </w:rPr>
      </w:pPr>
      <w:r>
        <w:rPr>
          <w:b/>
          <w:bCs/>
        </w:rPr>
        <w:t>（3）是农业供给侧结构性改革的需要</w:t>
      </w:r>
    </w:p>
    <w:p w14:paraId="67B52D74">
      <w:pPr>
        <w:bidi w:val="0"/>
        <w:rPr>
          <w:rFonts w:hint="eastAsia" w:eastAsia="宋体"/>
          <w:lang w:eastAsia="zh-CN"/>
        </w:rPr>
      </w:pPr>
      <w:r>
        <w:t>农业供给侧改革的核心是指通过自身的努力调整，让农民生产出的产品，包括质量和数量，符合消费者的需求，实现产地与消费地的无缝对接，推进供给侧结构性改革是当前和今后一个时期我国经济发展和经济工作的主线。</w:t>
      </w:r>
    </w:p>
    <w:p w14:paraId="49B099B7">
      <w:pPr>
        <w:bidi w:val="0"/>
        <w:rPr>
          <w:rFonts w:cs="Times New Roman"/>
          <w:color w:val="0000FF"/>
        </w:rPr>
      </w:pPr>
      <w:r>
        <w:t>水利工程补短板等项目建设是深化供给侧结构性改革的内在要求，是优化供给结构、提高供给质量、增强改革发展动力的重要举措。灌区续建配套与现代化改造项目的实施将补齐补强水利工程短板，健全完善水利基础设施网络，提升水利供给保障水平和质量，是深化农业供给侧结构性改革的内在要求和迫切需要，对推动经济社会持续健康发展特别是当前稳投资、保就业、促增长具有重要意义。</w:t>
      </w:r>
    </w:p>
    <w:p w14:paraId="262814BE">
      <w:pPr>
        <w:pStyle w:val="3"/>
        <w:rPr>
          <w:rFonts w:cs="Times New Roman"/>
          <w:color w:val="0000FF"/>
        </w:rPr>
        <w:sectPr>
          <w:footerReference r:id="rId16" w:type="default"/>
          <w:pgSz w:w="11905" w:h="16838"/>
          <w:pgMar w:top="1417" w:right="1417" w:bottom="1417" w:left="1417" w:header="850" w:footer="850" w:gutter="0"/>
          <w:pgNumType w:fmt="decimal"/>
          <w:cols w:space="0" w:num="1"/>
          <w:rtlGutter w:val="0"/>
          <w:docGrid w:linePitch="326" w:charSpace="0"/>
        </w:sectPr>
      </w:pPr>
    </w:p>
    <w:p w14:paraId="1E22E3BC">
      <w:pPr>
        <w:pStyle w:val="3"/>
        <w:bidi w:val="0"/>
      </w:pPr>
      <w:bookmarkStart w:id="27" w:name="_Toc21056"/>
      <w:r>
        <w:t>2.</w:t>
      </w:r>
      <w:r>
        <w:rPr>
          <w:rFonts w:hint="eastAsia"/>
        </w:rPr>
        <w:t>2</w:t>
      </w:r>
      <w:r>
        <w:t xml:space="preserve"> 工程基本情况</w:t>
      </w:r>
      <w:bookmarkEnd w:id="27"/>
    </w:p>
    <w:p w14:paraId="0096F016">
      <w:pPr>
        <w:pStyle w:val="4"/>
        <w:bidi w:val="0"/>
      </w:pPr>
      <w:r>
        <w:t>2.</w:t>
      </w:r>
      <w:r>
        <w:rPr>
          <w:rFonts w:hint="eastAsia"/>
        </w:rPr>
        <w:t>2</w:t>
      </w:r>
      <w:r>
        <w:t>.</w:t>
      </w:r>
      <w:r>
        <w:rPr>
          <w:rFonts w:hint="eastAsia"/>
        </w:rPr>
        <w:t>1</w:t>
      </w:r>
      <w:r>
        <w:t xml:space="preserve"> 项目概况</w:t>
      </w:r>
    </w:p>
    <w:p w14:paraId="610775A8">
      <w:pPr>
        <w:bidi w:val="0"/>
      </w:pPr>
      <w:r>
        <w:t>工程名称：</w:t>
      </w:r>
      <w:r>
        <w:rPr>
          <w:rFonts w:hint="eastAsia"/>
        </w:rPr>
        <w:t>淮南市谢家集区朱集中型灌区续建配套与节水改造项目</w:t>
      </w:r>
    </w:p>
    <w:p w14:paraId="236AA59E">
      <w:pPr>
        <w:bidi w:val="0"/>
      </w:pPr>
      <w:r>
        <w:t>建设地点：安徽省</w:t>
      </w:r>
      <w:r>
        <w:rPr>
          <w:rFonts w:hint="eastAsia"/>
          <w:lang w:val="en-US" w:eastAsia="zh-CN"/>
        </w:rPr>
        <w:t>淮南市谢家集区杨公镇、曹庵镇、孙庙乡、三和乡和孤堆回族乡</w:t>
      </w:r>
      <w:r>
        <w:t>等。</w:t>
      </w:r>
    </w:p>
    <w:p w14:paraId="43FA9C41">
      <w:pPr>
        <w:bidi w:val="0"/>
      </w:pPr>
      <w:r>
        <w:t>建设性质：改建</w:t>
      </w:r>
    </w:p>
    <w:p w14:paraId="3FBB5D38">
      <w:pPr>
        <w:bidi w:val="0"/>
      </w:pPr>
      <w:r>
        <w:t>项目概况：</w:t>
      </w:r>
      <w:r>
        <w:rPr>
          <w:rFonts w:hint="eastAsia"/>
        </w:rPr>
        <w:t>骨干输配水工程49.395km（衬砌37085m和清淤12310m）；骨干渠（沟）系建筑物及配套设施137座；用水量测工程（泵站监测点10座、干渠渠道监测点9座和放水涵闸监测点67座）；信息化工程（灌区信息化平台建设1套）。</w:t>
      </w:r>
    </w:p>
    <w:p w14:paraId="010B3356">
      <w:pPr>
        <w:bidi w:val="0"/>
      </w:pPr>
      <w:r>
        <w:t>工程内容：</w:t>
      </w:r>
    </w:p>
    <w:p w14:paraId="5DD264D1">
      <w:pPr>
        <w:bidi w:val="0"/>
        <w:rPr>
          <w:rFonts w:hint="eastAsia"/>
        </w:rPr>
      </w:pPr>
      <w:r>
        <w:rPr>
          <w:rFonts w:hint="default"/>
        </w:rPr>
        <w:t>①</w:t>
      </w:r>
      <w:r>
        <w:rPr>
          <w:rFonts w:hint="eastAsia"/>
        </w:rPr>
        <w:t>总衬砌长度为37085m。其中：二引干渠衬砌长度为1361m、一东干渠衬砌长度为12988m、二东干渠衬砌长度为8392m、二北干渠衬砌长度为4051m、三北干渠衬砌长度为740m、桂岗支渠衬砌长度为3993m、染坊支渠衬砌长度为317m、一北干渠衬砌长度为4793m和双庙支渠衬砌长度为450m。</w:t>
      </w:r>
    </w:p>
    <w:p w14:paraId="181A7909">
      <w:pPr>
        <w:bidi w:val="0"/>
        <w:rPr>
          <w:rFonts w:hint="eastAsia"/>
        </w:rPr>
      </w:pPr>
      <w:r>
        <w:rPr>
          <w:rFonts w:hint="default"/>
        </w:rPr>
        <w:t>②</w:t>
      </w:r>
      <w:r>
        <w:rPr>
          <w:rFonts w:hint="eastAsia"/>
        </w:rPr>
        <w:t>总清淤长度为12310m。其中：朱集一站引水渠清淤长度为340m、一东干渠清淤长度为832m、二东干渠清淤长度为370m、二北干渠清淤长度为1769m、杨公三站引水渠清淤长度为370m、三北干渠清淤长度为2259m、杨公三站出水池137m、桂岗支渠清淤长度为383m、染坊支渠清淤长度为3350m和方庄支渠2500m。</w:t>
      </w:r>
    </w:p>
    <w:p w14:paraId="06B6F0FA">
      <w:pPr>
        <w:bidi w:val="0"/>
        <w:rPr>
          <w:rFonts w:hint="eastAsia"/>
        </w:rPr>
      </w:pPr>
      <w:r>
        <w:rPr>
          <w:rFonts w:hint="default"/>
        </w:rPr>
        <w:t>③</w:t>
      </w:r>
      <w:r>
        <w:rPr>
          <w:rFonts w:hint="eastAsia"/>
        </w:rPr>
        <w:t>拆除重建建筑物137座。其中：拆除重建及维修改造节制闸7座、拆除重建分水闸6座、拆除重建放水涵闸104座、拆除重建机耕桥13座、拆除重建渡槽1座、拆建箱涵2座和</w:t>
      </w:r>
      <w:r>
        <w:rPr>
          <w:rFonts w:hint="eastAsia"/>
          <w:color w:val="0000FF"/>
        </w:rPr>
        <w:t>配套工程4项</w:t>
      </w:r>
      <w:r>
        <w:rPr>
          <w:rFonts w:hint="eastAsia"/>
        </w:rPr>
        <w:t>。</w:t>
      </w:r>
    </w:p>
    <w:p w14:paraId="77DDC472">
      <w:pPr>
        <w:bidi w:val="0"/>
        <w:rPr>
          <w:rFonts w:hint="eastAsia"/>
        </w:rPr>
      </w:pPr>
      <w:r>
        <w:rPr>
          <w:rFonts w:hint="eastAsia"/>
        </w:rPr>
        <w:t>④用水量测：泵站监测点10座、干渠渠道监测点9座和放水涵闸监测点67座。</w:t>
      </w:r>
    </w:p>
    <w:p w14:paraId="6421D980">
      <w:pPr>
        <w:bidi w:val="0"/>
        <w:rPr>
          <w:rFonts w:hint="eastAsia"/>
        </w:rPr>
      </w:pPr>
      <w:r>
        <w:rPr>
          <w:rFonts w:hint="eastAsia"/>
        </w:rPr>
        <w:t>⑤信息化工程：灌区信息化平台建设1套。</w:t>
      </w:r>
    </w:p>
    <w:p w14:paraId="3CCB7A29">
      <w:pPr>
        <w:bidi w:val="0"/>
      </w:pPr>
      <w:r>
        <w:t>工程投资：总投资约</w:t>
      </w:r>
      <w:r>
        <w:rPr>
          <w:rFonts w:hint="eastAsia"/>
        </w:rPr>
        <w:t>13365.57万</w:t>
      </w:r>
      <w:r>
        <w:t>元，</w:t>
      </w:r>
      <w:r>
        <w:rPr>
          <w:color w:val="0000FF"/>
        </w:rPr>
        <w:t>本报告计算环境保护工程专项投资</w:t>
      </w:r>
      <w:r>
        <w:rPr>
          <w:rFonts w:hint="eastAsia"/>
          <w:color w:val="0000FF"/>
          <w:lang w:val="en-US" w:eastAsia="zh-CN"/>
        </w:rPr>
        <w:t>3</w:t>
      </w:r>
      <w:r>
        <w:rPr>
          <w:rFonts w:hint="eastAsia"/>
          <w:color w:val="0000FF"/>
        </w:rPr>
        <w:t>36.59</w:t>
      </w:r>
      <w:r>
        <w:rPr>
          <w:color w:val="0000FF"/>
        </w:rPr>
        <w:t>万元环境保护总投资共占工程总投资的</w:t>
      </w:r>
      <w:r>
        <w:rPr>
          <w:rFonts w:hint="eastAsia"/>
          <w:color w:val="0000FF"/>
          <w:lang w:val="en-US" w:eastAsia="zh-CN"/>
        </w:rPr>
        <w:t>2.52</w:t>
      </w:r>
      <w:r>
        <w:rPr>
          <w:color w:val="0000FF"/>
        </w:rPr>
        <w:t>%。</w:t>
      </w:r>
    </w:p>
    <w:p w14:paraId="7096A870">
      <w:pPr>
        <w:bidi w:val="0"/>
      </w:pPr>
      <w:r>
        <w:t>建设周期</w:t>
      </w:r>
      <w:r>
        <w:rPr>
          <w:rFonts w:hint="eastAsia"/>
        </w:rPr>
        <w:t>：</w:t>
      </w:r>
      <w:r>
        <w:rPr>
          <w:rFonts w:hint="eastAsia"/>
          <w:lang w:val="en-US" w:eastAsia="zh-CN"/>
        </w:rPr>
        <w:t>项目实施期为2年，其中施工工期9个月。</w:t>
      </w:r>
      <w:r>
        <w:t>从第一年9月～第</w:t>
      </w:r>
      <w:r>
        <w:rPr>
          <w:rFonts w:hint="eastAsia"/>
          <w:lang w:val="en-US" w:eastAsia="zh-CN"/>
        </w:rPr>
        <w:t>二</w:t>
      </w:r>
      <w:r>
        <w:t>年</w:t>
      </w:r>
      <w:r>
        <w:rPr>
          <w:rFonts w:hint="eastAsia"/>
          <w:lang w:val="en-US" w:eastAsia="zh-CN"/>
        </w:rPr>
        <w:t>5</w:t>
      </w:r>
      <w:r>
        <w:t>月。</w:t>
      </w:r>
    </w:p>
    <w:p w14:paraId="0660864B">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pPr>
    </w:p>
    <w:p w14:paraId="00055837">
      <w:pPr>
        <w:keepNext w:val="0"/>
        <w:keepLines w:val="0"/>
        <w:pageBreakBefore w:val="0"/>
        <w:widowControl/>
        <w:kinsoku/>
        <w:wordWrap/>
        <w:overflowPunct/>
        <w:topLinePunct w:val="0"/>
        <w:autoSpaceDE/>
        <w:autoSpaceDN/>
        <w:bidi w:val="0"/>
        <w:adjustRightInd/>
        <w:snapToGrid/>
        <w:spacing w:after="164" w:afterLines="50" w:line="240" w:lineRule="auto"/>
        <w:ind w:firstLine="0" w:firstLineChars="0"/>
        <w:jc w:val="center"/>
        <w:textAlignment w:val="auto"/>
        <w:rPr>
          <w:b/>
          <w:bCs/>
          <w:color w:val="auto"/>
          <w:sz w:val="21"/>
          <w:szCs w:val="21"/>
        </w:rPr>
      </w:pPr>
      <w:r>
        <w:rPr>
          <w:rFonts w:hint="eastAsia"/>
          <w:b/>
          <w:bCs/>
          <w:color w:val="auto"/>
          <w:sz w:val="21"/>
          <w:szCs w:val="21"/>
        </w:rPr>
        <w:t>图2</w:t>
      </w:r>
      <w:r>
        <w:rPr>
          <w:rFonts w:hint="eastAsia"/>
          <w:b/>
          <w:bCs/>
          <w:color w:val="auto"/>
          <w:sz w:val="21"/>
          <w:szCs w:val="21"/>
          <w:lang w:val="en-US" w:eastAsia="zh-CN"/>
        </w:rPr>
        <w:t>.</w:t>
      </w:r>
      <w:r>
        <w:rPr>
          <w:rFonts w:hint="eastAsia"/>
          <w:b/>
          <w:bCs/>
          <w:color w:val="auto"/>
          <w:sz w:val="21"/>
          <w:szCs w:val="21"/>
        </w:rPr>
        <w:t>2-1  淮南市谢家集区朱集中型灌区续建配套与节水改造项目地理位置示意图</w:t>
      </w:r>
    </w:p>
    <w:p w14:paraId="66AF719B">
      <w:pPr>
        <w:pStyle w:val="4"/>
        <w:bidi w:val="0"/>
      </w:pPr>
      <w:r>
        <w:t>2.</w:t>
      </w:r>
      <w:r>
        <w:rPr>
          <w:rFonts w:hint="eastAsia"/>
        </w:rPr>
        <w:t>2</w:t>
      </w:r>
      <w:r>
        <w:t>.</w:t>
      </w:r>
      <w:r>
        <w:rPr>
          <w:rFonts w:hint="eastAsia"/>
        </w:rPr>
        <w:t>2</w:t>
      </w:r>
      <w:r>
        <w:t xml:space="preserve"> 工程建设内容及规模</w:t>
      </w:r>
    </w:p>
    <w:p w14:paraId="617FA89C">
      <w:pPr>
        <w:bidi w:val="0"/>
        <w:rPr>
          <w:rFonts w:cs="Times New Roman"/>
          <w:color w:val="0000FF"/>
        </w:rPr>
      </w:pPr>
      <w:r>
        <w:t>项目工程建设内容及规模见下表：</w:t>
      </w:r>
    </w:p>
    <w:p w14:paraId="44E96D33">
      <w:pPr>
        <w:ind w:firstLine="480" w:firstLineChars="200"/>
        <w:rPr>
          <w:rFonts w:cs="Times New Roman"/>
          <w:color w:val="0000FF"/>
        </w:rPr>
        <w:sectPr>
          <w:pgSz w:w="11905" w:h="16838"/>
          <w:pgMar w:top="1417" w:right="1417" w:bottom="1417" w:left="1417" w:header="850" w:footer="850" w:gutter="0"/>
          <w:pgNumType w:fmt="decimal"/>
          <w:cols w:space="0" w:num="1"/>
          <w:rtlGutter w:val="0"/>
          <w:docGrid w:linePitch="326" w:charSpace="0"/>
        </w:sectPr>
      </w:pPr>
    </w:p>
    <w:p w14:paraId="0D5A7E02">
      <w:pPr>
        <w:pStyle w:val="29"/>
        <w:bidi w:val="0"/>
      </w:pPr>
      <w:r>
        <w:t>表2</w:t>
      </w:r>
      <w:r>
        <w:rPr>
          <w:rFonts w:hint="eastAsia"/>
          <w:lang w:val="en-US" w:eastAsia="zh-CN"/>
        </w:rPr>
        <w:t>.</w:t>
      </w:r>
      <w:r>
        <w:rPr>
          <w:rFonts w:hint="eastAsia"/>
        </w:rPr>
        <w:t>2</w:t>
      </w:r>
      <w:r>
        <w:t>-</w:t>
      </w:r>
      <w:r>
        <w:rPr>
          <w:rFonts w:hint="eastAsia"/>
        </w:rPr>
        <w:t>1</w:t>
      </w:r>
      <w:r>
        <w:t xml:space="preserve">  工程建设内容一览表</w:t>
      </w:r>
    </w:p>
    <w:tbl>
      <w:tblPr>
        <w:tblStyle w:val="1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0"/>
        <w:gridCol w:w="892"/>
        <w:gridCol w:w="805"/>
        <w:gridCol w:w="1274"/>
        <w:gridCol w:w="8211"/>
        <w:gridCol w:w="2337"/>
      </w:tblGrid>
      <w:tr w14:paraId="237F1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Align w:val="center"/>
          </w:tcPr>
          <w:p w14:paraId="28EE89A7">
            <w:pPr>
              <w:pStyle w:val="28"/>
              <w:bidi w:val="0"/>
              <w:rPr>
                <w:b/>
                <w:bCs/>
              </w:rPr>
            </w:pPr>
            <w:r>
              <w:rPr>
                <w:b/>
                <w:bCs/>
              </w:rPr>
              <w:t>工程类别</w:t>
            </w:r>
          </w:p>
        </w:tc>
        <w:tc>
          <w:tcPr>
            <w:tcW w:w="1045" w:type="pct"/>
            <w:gridSpan w:val="3"/>
            <w:vAlign w:val="center"/>
          </w:tcPr>
          <w:p w14:paraId="290527EA">
            <w:pPr>
              <w:pStyle w:val="28"/>
              <w:bidi w:val="0"/>
              <w:rPr>
                <w:b/>
                <w:bCs/>
              </w:rPr>
            </w:pPr>
            <w:r>
              <w:rPr>
                <w:b/>
                <w:bCs/>
              </w:rPr>
              <w:t>工程名称</w:t>
            </w:r>
          </w:p>
        </w:tc>
        <w:tc>
          <w:tcPr>
            <w:tcW w:w="2888" w:type="pct"/>
            <w:vAlign w:val="center"/>
          </w:tcPr>
          <w:p w14:paraId="14C7E4C3">
            <w:pPr>
              <w:pStyle w:val="28"/>
              <w:bidi w:val="0"/>
              <w:rPr>
                <w:b/>
                <w:bCs/>
              </w:rPr>
            </w:pPr>
            <w:r>
              <w:rPr>
                <w:rFonts w:hint="eastAsia"/>
                <w:b/>
                <w:bCs/>
              </w:rPr>
              <w:t>工程内容</w:t>
            </w:r>
          </w:p>
        </w:tc>
        <w:tc>
          <w:tcPr>
            <w:tcW w:w="822" w:type="pct"/>
            <w:vAlign w:val="center"/>
          </w:tcPr>
          <w:p w14:paraId="757BF33A">
            <w:pPr>
              <w:pStyle w:val="28"/>
              <w:bidi w:val="0"/>
              <w:rPr>
                <w:b/>
                <w:bCs/>
              </w:rPr>
            </w:pPr>
            <w:r>
              <w:rPr>
                <w:b/>
                <w:bCs/>
              </w:rPr>
              <w:t>规模</w:t>
            </w:r>
          </w:p>
        </w:tc>
      </w:tr>
      <w:tr w14:paraId="5F1AD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restart"/>
            <w:vAlign w:val="center"/>
          </w:tcPr>
          <w:p w14:paraId="5960AE47">
            <w:pPr>
              <w:pStyle w:val="28"/>
              <w:bidi w:val="0"/>
            </w:pPr>
            <w:r>
              <w:rPr>
                <w:rFonts w:hint="eastAsia"/>
              </w:rPr>
              <w:t>主体工程</w:t>
            </w:r>
          </w:p>
        </w:tc>
        <w:tc>
          <w:tcPr>
            <w:tcW w:w="597" w:type="pct"/>
            <w:gridSpan w:val="2"/>
            <w:vMerge w:val="restart"/>
            <w:vAlign w:val="center"/>
          </w:tcPr>
          <w:p w14:paraId="624B1C8B">
            <w:pPr>
              <w:pStyle w:val="28"/>
              <w:bidi w:val="0"/>
            </w:pPr>
            <w:r>
              <w:rPr>
                <w:lang w:val="en-US" w:eastAsia="zh-CN"/>
              </w:rPr>
              <w:t>骨干输配水工程</w:t>
            </w:r>
          </w:p>
        </w:tc>
        <w:tc>
          <w:tcPr>
            <w:tcW w:w="447" w:type="pct"/>
            <w:vAlign w:val="center"/>
          </w:tcPr>
          <w:p w14:paraId="56ED17E8">
            <w:pPr>
              <w:pStyle w:val="28"/>
              <w:bidi w:val="0"/>
            </w:pPr>
            <w:r>
              <w:rPr>
                <w:rFonts w:hint="eastAsia"/>
              </w:rPr>
              <w:t>渠道清淤</w:t>
            </w:r>
          </w:p>
        </w:tc>
        <w:tc>
          <w:tcPr>
            <w:tcW w:w="2888" w:type="pct"/>
            <w:vAlign w:val="center"/>
          </w:tcPr>
          <w:p w14:paraId="6287DDE6">
            <w:pPr>
              <w:pStyle w:val="28"/>
              <w:bidi w:val="0"/>
              <w:jc w:val="left"/>
              <w:rPr>
                <w:rFonts w:hint="eastAsia"/>
                <w:lang w:val="en-US" w:eastAsia="zh-CN"/>
              </w:rPr>
            </w:pPr>
            <w:r>
              <w:rPr>
                <w:rFonts w:hint="eastAsia"/>
                <w:lang w:val="en-US" w:eastAsia="zh-CN"/>
              </w:rPr>
              <w:t>朱集一站引水渠清淤长度为340m，清淤土方量14298m</w:t>
            </w:r>
            <w:r>
              <w:rPr>
                <w:rFonts w:hint="eastAsia"/>
                <w:vertAlign w:val="superscript"/>
                <w:lang w:val="en-US" w:eastAsia="zh-CN"/>
              </w:rPr>
              <w:t>3</w:t>
            </w:r>
            <w:r>
              <w:rPr>
                <w:rFonts w:hint="eastAsia"/>
                <w:lang w:val="en-US" w:eastAsia="zh-CN"/>
              </w:rPr>
              <w:t>；</w:t>
            </w:r>
          </w:p>
          <w:p w14:paraId="4C56BBFC">
            <w:pPr>
              <w:pStyle w:val="28"/>
              <w:bidi w:val="0"/>
              <w:jc w:val="left"/>
              <w:rPr>
                <w:rFonts w:hint="eastAsia"/>
                <w:lang w:val="en-US" w:eastAsia="zh-CN"/>
              </w:rPr>
            </w:pPr>
            <w:r>
              <w:rPr>
                <w:rFonts w:hint="eastAsia"/>
                <w:lang w:val="en-US" w:eastAsia="zh-CN"/>
              </w:rPr>
              <w:t>一东干渠清淤长度为832m，清淤土方量180m</w:t>
            </w:r>
            <w:r>
              <w:rPr>
                <w:rFonts w:hint="eastAsia"/>
                <w:vertAlign w:val="superscript"/>
                <w:lang w:val="en-US" w:eastAsia="zh-CN"/>
              </w:rPr>
              <w:t>3</w:t>
            </w:r>
            <w:r>
              <w:rPr>
                <w:rFonts w:hint="eastAsia"/>
                <w:lang w:val="en-US" w:eastAsia="zh-CN"/>
              </w:rPr>
              <w:t>；</w:t>
            </w:r>
          </w:p>
          <w:p w14:paraId="6116D8E2">
            <w:pPr>
              <w:pStyle w:val="28"/>
              <w:bidi w:val="0"/>
              <w:jc w:val="left"/>
              <w:rPr>
                <w:rFonts w:hint="eastAsia"/>
                <w:lang w:val="en-US" w:eastAsia="zh-CN"/>
              </w:rPr>
            </w:pPr>
            <w:r>
              <w:rPr>
                <w:rFonts w:hint="eastAsia"/>
                <w:lang w:val="en-US" w:eastAsia="zh-CN"/>
              </w:rPr>
              <w:t>二东干渠清淤长度为370m，清淤土方量1080m</w:t>
            </w:r>
            <w:r>
              <w:rPr>
                <w:rFonts w:hint="eastAsia"/>
                <w:vertAlign w:val="superscript"/>
                <w:lang w:val="en-US" w:eastAsia="zh-CN"/>
              </w:rPr>
              <w:t>3</w:t>
            </w:r>
            <w:r>
              <w:rPr>
                <w:rFonts w:hint="eastAsia"/>
                <w:lang w:val="en-US" w:eastAsia="zh-CN"/>
              </w:rPr>
              <w:t>；</w:t>
            </w:r>
          </w:p>
          <w:p w14:paraId="5C96DE2A">
            <w:pPr>
              <w:pStyle w:val="28"/>
              <w:bidi w:val="0"/>
              <w:jc w:val="left"/>
              <w:rPr>
                <w:rFonts w:hint="eastAsia"/>
                <w:lang w:val="en-US" w:eastAsia="zh-CN"/>
              </w:rPr>
            </w:pPr>
            <w:r>
              <w:rPr>
                <w:rFonts w:hint="eastAsia"/>
                <w:lang w:val="en-US" w:eastAsia="zh-CN"/>
              </w:rPr>
              <w:t>二北干渠清淤长度为1769m，清淤土方量959m</w:t>
            </w:r>
            <w:r>
              <w:rPr>
                <w:rFonts w:hint="eastAsia"/>
                <w:vertAlign w:val="superscript"/>
                <w:lang w:val="en-US" w:eastAsia="zh-CN"/>
              </w:rPr>
              <w:t>3</w:t>
            </w:r>
            <w:r>
              <w:rPr>
                <w:rFonts w:hint="eastAsia"/>
                <w:lang w:val="en-US" w:eastAsia="zh-CN"/>
              </w:rPr>
              <w:t>；</w:t>
            </w:r>
          </w:p>
          <w:p w14:paraId="015E6525">
            <w:pPr>
              <w:pStyle w:val="28"/>
              <w:bidi w:val="0"/>
              <w:jc w:val="left"/>
              <w:rPr>
                <w:rFonts w:hint="eastAsia"/>
                <w:lang w:val="en-US" w:eastAsia="zh-CN"/>
              </w:rPr>
            </w:pPr>
            <w:r>
              <w:rPr>
                <w:rFonts w:hint="eastAsia"/>
                <w:lang w:val="en-US" w:eastAsia="zh-CN"/>
              </w:rPr>
              <w:t>杨公三站引水渠清淤长度为370m，三北干渠清淤长度为2259m，杨公三站出水池清淤长度为137m，清淤土方量6176m</w:t>
            </w:r>
            <w:r>
              <w:rPr>
                <w:rFonts w:hint="eastAsia"/>
                <w:vertAlign w:val="superscript"/>
                <w:lang w:val="en-US" w:eastAsia="zh-CN"/>
              </w:rPr>
              <w:t>3</w:t>
            </w:r>
            <w:r>
              <w:rPr>
                <w:rFonts w:hint="eastAsia"/>
                <w:lang w:val="en-US" w:eastAsia="zh-CN"/>
              </w:rPr>
              <w:t>；</w:t>
            </w:r>
          </w:p>
          <w:p w14:paraId="067CA92D">
            <w:pPr>
              <w:pStyle w:val="28"/>
              <w:bidi w:val="0"/>
              <w:jc w:val="left"/>
              <w:rPr>
                <w:rFonts w:hint="eastAsia"/>
                <w:lang w:val="en-US" w:eastAsia="zh-CN"/>
              </w:rPr>
            </w:pPr>
            <w:r>
              <w:rPr>
                <w:rFonts w:hint="eastAsia"/>
                <w:lang w:val="en-US" w:eastAsia="zh-CN"/>
              </w:rPr>
              <w:t>桂岗支渠清淤长度为383m，清淤土方量383m</w:t>
            </w:r>
            <w:r>
              <w:rPr>
                <w:rFonts w:hint="eastAsia"/>
                <w:vertAlign w:val="superscript"/>
                <w:lang w:val="en-US" w:eastAsia="zh-CN"/>
              </w:rPr>
              <w:t>3</w:t>
            </w:r>
            <w:r>
              <w:rPr>
                <w:rFonts w:hint="eastAsia"/>
                <w:lang w:val="en-US" w:eastAsia="zh-CN"/>
              </w:rPr>
              <w:t>；</w:t>
            </w:r>
          </w:p>
          <w:p w14:paraId="68F0829E">
            <w:pPr>
              <w:pStyle w:val="28"/>
              <w:bidi w:val="0"/>
              <w:jc w:val="left"/>
              <w:rPr>
                <w:rFonts w:hint="eastAsia"/>
                <w:lang w:val="en-US" w:eastAsia="zh-CN"/>
              </w:rPr>
            </w:pPr>
            <w:r>
              <w:rPr>
                <w:rFonts w:hint="eastAsia"/>
                <w:lang w:val="en-US" w:eastAsia="zh-CN"/>
              </w:rPr>
              <w:t>染坊支渠清淤长度为3350m，清淤土方量3243m</w:t>
            </w:r>
            <w:r>
              <w:rPr>
                <w:rFonts w:hint="eastAsia"/>
                <w:vertAlign w:val="superscript"/>
                <w:lang w:val="en-US" w:eastAsia="zh-CN"/>
              </w:rPr>
              <w:t>3</w:t>
            </w:r>
            <w:r>
              <w:rPr>
                <w:rFonts w:hint="eastAsia"/>
                <w:lang w:val="en-US" w:eastAsia="zh-CN"/>
              </w:rPr>
              <w:t>；</w:t>
            </w:r>
          </w:p>
          <w:p w14:paraId="1A7460FE">
            <w:pPr>
              <w:pStyle w:val="28"/>
              <w:bidi w:val="0"/>
              <w:jc w:val="left"/>
              <w:rPr>
                <w:rFonts w:hint="eastAsia"/>
              </w:rPr>
            </w:pPr>
            <w:r>
              <w:rPr>
                <w:rFonts w:hint="eastAsia"/>
                <w:lang w:val="en-US" w:eastAsia="zh-CN"/>
              </w:rPr>
              <w:t>方庄支渠清淤长度为2500m，清淤土方量5250m</w:t>
            </w:r>
            <w:r>
              <w:rPr>
                <w:rFonts w:hint="eastAsia"/>
                <w:vertAlign w:val="superscript"/>
                <w:lang w:val="en-US" w:eastAsia="zh-CN"/>
              </w:rPr>
              <w:t>3</w:t>
            </w:r>
            <w:r>
              <w:rPr>
                <w:rFonts w:hint="eastAsia"/>
                <w:lang w:val="en-US" w:eastAsia="zh-CN"/>
              </w:rPr>
              <w:t>。</w:t>
            </w:r>
          </w:p>
          <w:p w14:paraId="64EB0ABC">
            <w:pPr>
              <w:pStyle w:val="28"/>
              <w:bidi w:val="0"/>
              <w:jc w:val="left"/>
            </w:pPr>
            <w:r>
              <w:rPr>
                <w:color w:val="0000FF"/>
              </w:rPr>
              <w:t>清淤工程根据设计渠底高程、渠底宽度，对现状积於严重的渠段进行清淤，采用机械与人工相结合，反铲挖掘机或推土机开挖</w:t>
            </w:r>
            <w:r>
              <w:rPr>
                <w:rFonts w:hint="eastAsia"/>
                <w:color w:val="0000FF"/>
              </w:rPr>
              <w:t>，清淤后干污泥及时运送至弃土场。</w:t>
            </w:r>
          </w:p>
        </w:tc>
        <w:tc>
          <w:tcPr>
            <w:tcW w:w="822" w:type="pct"/>
            <w:vAlign w:val="center"/>
          </w:tcPr>
          <w:p w14:paraId="09AD72A9">
            <w:pPr>
              <w:pStyle w:val="28"/>
              <w:bidi w:val="0"/>
            </w:pPr>
            <w:r>
              <w:t>渠道清淤</w:t>
            </w:r>
            <w:r>
              <w:rPr>
                <w:rFonts w:hint="eastAsia"/>
                <w:lang w:val="en-US" w:eastAsia="zh-CN"/>
              </w:rPr>
              <w:t>12310</w:t>
            </w:r>
            <w:r>
              <w:rPr>
                <w:rFonts w:hint="eastAsia"/>
              </w:rPr>
              <w:t>m</w:t>
            </w:r>
            <w:r>
              <w:rPr>
                <w:rFonts w:hint="eastAsia"/>
                <w:lang w:eastAsia="zh-CN"/>
              </w:rPr>
              <w:t>，</w:t>
            </w:r>
            <w:r>
              <w:rPr>
                <w:rFonts w:hint="eastAsia"/>
                <w:lang w:val="en-US" w:eastAsia="zh-CN"/>
              </w:rPr>
              <w:t>清淤总土方量31569m</w:t>
            </w:r>
            <w:r>
              <w:rPr>
                <w:rFonts w:hint="eastAsia"/>
                <w:vertAlign w:val="superscript"/>
                <w:lang w:val="en-US" w:eastAsia="zh-CN"/>
              </w:rPr>
              <w:t>3</w:t>
            </w:r>
            <w:r>
              <w:rPr>
                <w:rFonts w:hint="eastAsia"/>
              </w:rPr>
              <w:t>。</w:t>
            </w:r>
          </w:p>
        </w:tc>
      </w:tr>
      <w:tr w14:paraId="3016B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6431C1B9">
            <w:pPr>
              <w:pStyle w:val="28"/>
              <w:bidi w:val="0"/>
            </w:pPr>
          </w:p>
        </w:tc>
        <w:tc>
          <w:tcPr>
            <w:tcW w:w="597" w:type="pct"/>
            <w:gridSpan w:val="2"/>
            <w:vMerge w:val="continue"/>
            <w:vAlign w:val="center"/>
          </w:tcPr>
          <w:p w14:paraId="4F0693D4">
            <w:pPr>
              <w:pStyle w:val="28"/>
              <w:bidi w:val="0"/>
            </w:pPr>
          </w:p>
        </w:tc>
        <w:tc>
          <w:tcPr>
            <w:tcW w:w="447" w:type="pct"/>
            <w:vAlign w:val="center"/>
          </w:tcPr>
          <w:p w14:paraId="0401B30C">
            <w:pPr>
              <w:pStyle w:val="28"/>
              <w:bidi w:val="0"/>
            </w:pPr>
            <w:r>
              <w:rPr>
                <w:rFonts w:hint="eastAsia"/>
              </w:rPr>
              <w:t>渠道衬砌</w:t>
            </w:r>
          </w:p>
        </w:tc>
        <w:tc>
          <w:tcPr>
            <w:tcW w:w="2888" w:type="pct"/>
            <w:vAlign w:val="center"/>
          </w:tcPr>
          <w:p w14:paraId="16609C2F">
            <w:pPr>
              <w:pStyle w:val="28"/>
              <w:bidi w:val="0"/>
              <w:jc w:val="left"/>
              <w:rPr>
                <w:rFonts w:hint="eastAsia"/>
                <w:lang w:eastAsia="zh-CN"/>
              </w:rPr>
            </w:pPr>
            <w:r>
              <w:rPr>
                <w:rFonts w:hint="eastAsia"/>
              </w:rPr>
              <w:t>二引干渠衬砌长度为1361m</w:t>
            </w:r>
            <w:r>
              <w:rPr>
                <w:rFonts w:hint="eastAsia"/>
                <w:lang w:eastAsia="zh-CN"/>
              </w:rPr>
              <w:t>；</w:t>
            </w:r>
          </w:p>
          <w:p w14:paraId="066AD373">
            <w:pPr>
              <w:pStyle w:val="28"/>
              <w:bidi w:val="0"/>
              <w:jc w:val="left"/>
              <w:rPr>
                <w:rFonts w:hint="eastAsia"/>
                <w:lang w:eastAsia="zh-CN"/>
              </w:rPr>
            </w:pPr>
            <w:r>
              <w:rPr>
                <w:rFonts w:hint="eastAsia"/>
              </w:rPr>
              <w:t>一东干渠衬砌长度为12988m</w:t>
            </w:r>
            <w:r>
              <w:rPr>
                <w:rFonts w:hint="eastAsia"/>
                <w:lang w:eastAsia="zh-CN"/>
              </w:rPr>
              <w:t>；</w:t>
            </w:r>
          </w:p>
          <w:p w14:paraId="223C7210">
            <w:pPr>
              <w:pStyle w:val="28"/>
              <w:bidi w:val="0"/>
              <w:jc w:val="left"/>
              <w:rPr>
                <w:rFonts w:hint="eastAsia"/>
                <w:lang w:eastAsia="zh-CN"/>
              </w:rPr>
            </w:pPr>
            <w:r>
              <w:rPr>
                <w:rFonts w:hint="eastAsia"/>
              </w:rPr>
              <w:t>二东干渠衬砌长度为8392m</w:t>
            </w:r>
            <w:r>
              <w:rPr>
                <w:rFonts w:hint="eastAsia"/>
                <w:lang w:eastAsia="zh-CN"/>
              </w:rPr>
              <w:t>；</w:t>
            </w:r>
          </w:p>
          <w:p w14:paraId="19296545">
            <w:pPr>
              <w:pStyle w:val="28"/>
              <w:bidi w:val="0"/>
              <w:jc w:val="left"/>
              <w:rPr>
                <w:rFonts w:hint="eastAsia"/>
                <w:lang w:eastAsia="zh-CN"/>
              </w:rPr>
            </w:pPr>
            <w:r>
              <w:rPr>
                <w:rFonts w:hint="eastAsia"/>
              </w:rPr>
              <w:t>二北干渠衬砌长度为4051m</w:t>
            </w:r>
            <w:r>
              <w:rPr>
                <w:rFonts w:hint="eastAsia"/>
                <w:lang w:eastAsia="zh-CN"/>
              </w:rPr>
              <w:t>；</w:t>
            </w:r>
          </w:p>
          <w:p w14:paraId="24413152">
            <w:pPr>
              <w:pStyle w:val="28"/>
              <w:bidi w:val="0"/>
              <w:jc w:val="left"/>
              <w:rPr>
                <w:rFonts w:hint="eastAsia"/>
                <w:lang w:eastAsia="zh-CN"/>
              </w:rPr>
            </w:pPr>
            <w:r>
              <w:rPr>
                <w:rFonts w:hint="eastAsia"/>
              </w:rPr>
              <w:t>三北干渠衬砌长度为740m</w:t>
            </w:r>
            <w:r>
              <w:rPr>
                <w:rFonts w:hint="eastAsia"/>
                <w:lang w:eastAsia="zh-CN"/>
              </w:rPr>
              <w:t>；</w:t>
            </w:r>
          </w:p>
          <w:p w14:paraId="755BAF62">
            <w:pPr>
              <w:pStyle w:val="28"/>
              <w:bidi w:val="0"/>
              <w:jc w:val="left"/>
              <w:rPr>
                <w:rFonts w:hint="eastAsia"/>
                <w:lang w:eastAsia="zh-CN"/>
              </w:rPr>
            </w:pPr>
            <w:r>
              <w:rPr>
                <w:rFonts w:hint="eastAsia"/>
              </w:rPr>
              <w:t>桂岗支渠衬砌长度为3993m</w:t>
            </w:r>
            <w:r>
              <w:rPr>
                <w:rFonts w:hint="eastAsia"/>
                <w:lang w:eastAsia="zh-CN"/>
              </w:rPr>
              <w:t>；</w:t>
            </w:r>
          </w:p>
          <w:p w14:paraId="79870399">
            <w:pPr>
              <w:pStyle w:val="28"/>
              <w:bidi w:val="0"/>
              <w:jc w:val="left"/>
              <w:rPr>
                <w:rFonts w:hint="eastAsia"/>
                <w:lang w:eastAsia="zh-CN"/>
              </w:rPr>
            </w:pPr>
            <w:r>
              <w:rPr>
                <w:rFonts w:hint="eastAsia"/>
              </w:rPr>
              <w:t>染坊支渠衬砌长度为317m</w:t>
            </w:r>
            <w:r>
              <w:rPr>
                <w:rFonts w:hint="eastAsia"/>
                <w:lang w:eastAsia="zh-CN"/>
              </w:rPr>
              <w:t>；</w:t>
            </w:r>
          </w:p>
          <w:p w14:paraId="7C4C397A">
            <w:pPr>
              <w:pStyle w:val="28"/>
              <w:bidi w:val="0"/>
              <w:jc w:val="left"/>
              <w:rPr>
                <w:rFonts w:hint="eastAsia"/>
                <w:lang w:eastAsia="zh-CN"/>
              </w:rPr>
            </w:pPr>
            <w:r>
              <w:rPr>
                <w:rFonts w:hint="eastAsia"/>
              </w:rPr>
              <w:t>一北干渠衬砌长度为4793m</w:t>
            </w:r>
            <w:r>
              <w:rPr>
                <w:rFonts w:hint="eastAsia"/>
                <w:lang w:eastAsia="zh-CN"/>
              </w:rPr>
              <w:t>；</w:t>
            </w:r>
          </w:p>
          <w:p w14:paraId="4B4BE40D">
            <w:pPr>
              <w:pStyle w:val="28"/>
              <w:bidi w:val="0"/>
              <w:jc w:val="left"/>
              <w:rPr>
                <w:rFonts w:hint="eastAsia"/>
                <w:lang w:eastAsia="zh-CN"/>
              </w:rPr>
            </w:pPr>
            <w:r>
              <w:rPr>
                <w:rFonts w:hint="eastAsia"/>
              </w:rPr>
              <w:t>双庙支渠衬砌长度为450m</w:t>
            </w:r>
            <w:r>
              <w:rPr>
                <w:rFonts w:hint="eastAsia"/>
                <w:lang w:eastAsia="zh-CN"/>
              </w:rPr>
              <w:t>；</w:t>
            </w:r>
          </w:p>
          <w:p w14:paraId="23C5C98B">
            <w:pPr>
              <w:pStyle w:val="28"/>
              <w:bidi w:val="0"/>
              <w:jc w:val="left"/>
              <w:rPr>
                <w:color w:val="0000FF"/>
              </w:rPr>
            </w:pPr>
            <w:r>
              <w:rPr>
                <w:color w:val="0000FF"/>
              </w:rPr>
              <w:t>渠道衬砌形式包括浆砌石护坡、干砌块石护坡、现浇混凝土护坡（砼护坡）、水泥土护坡、混凝土预制块护坡、草皮生态护坡等。</w:t>
            </w:r>
          </w:p>
          <w:p w14:paraId="59DB5145">
            <w:pPr>
              <w:pStyle w:val="28"/>
              <w:bidi w:val="0"/>
              <w:jc w:val="left"/>
            </w:pPr>
            <w:r>
              <w:rPr>
                <w:rFonts w:hint="eastAsia"/>
                <w:color w:val="0000FF"/>
              </w:rPr>
              <w:t>不同渠道根据渠道现状和涉及要求选择合适的护坡形式，设计水位线以上优先采用预制块生态护坡。</w:t>
            </w:r>
          </w:p>
        </w:tc>
        <w:tc>
          <w:tcPr>
            <w:tcW w:w="822" w:type="pct"/>
            <w:vAlign w:val="center"/>
          </w:tcPr>
          <w:p w14:paraId="523FB1F6">
            <w:pPr>
              <w:pStyle w:val="28"/>
              <w:bidi w:val="0"/>
            </w:pPr>
            <w:r>
              <w:rPr>
                <w:rFonts w:hint="eastAsia"/>
              </w:rPr>
              <w:t>渠道衬砌</w:t>
            </w:r>
            <w:r>
              <w:rPr>
                <w:rFonts w:hint="eastAsia"/>
                <w:lang w:val="en-US" w:eastAsia="zh-CN"/>
              </w:rPr>
              <w:t>37085</w:t>
            </w:r>
            <w:r>
              <w:rPr>
                <w:rFonts w:hint="eastAsia"/>
              </w:rPr>
              <w:t>m。</w:t>
            </w:r>
          </w:p>
        </w:tc>
      </w:tr>
      <w:tr w14:paraId="7F17E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7D014327">
            <w:pPr>
              <w:pStyle w:val="28"/>
              <w:bidi w:val="0"/>
            </w:pPr>
          </w:p>
        </w:tc>
        <w:tc>
          <w:tcPr>
            <w:tcW w:w="597" w:type="pct"/>
            <w:gridSpan w:val="2"/>
            <w:vMerge w:val="restart"/>
            <w:vAlign w:val="center"/>
          </w:tcPr>
          <w:p w14:paraId="312DD126">
            <w:pPr>
              <w:pStyle w:val="28"/>
              <w:bidi w:val="0"/>
            </w:pPr>
            <w:r>
              <w:rPr>
                <w:rFonts w:hint="eastAsia"/>
                <w:lang w:val="en-US" w:eastAsia="zh-CN"/>
              </w:rPr>
              <w:t>骨干渠系建筑物及配套设施工程</w:t>
            </w:r>
          </w:p>
        </w:tc>
        <w:tc>
          <w:tcPr>
            <w:tcW w:w="447" w:type="pct"/>
            <w:vAlign w:val="center"/>
          </w:tcPr>
          <w:p w14:paraId="3757175F">
            <w:pPr>
              <w:pStyle w:val="28"/>
              <w:bidi w:val="0"/>
            </w:pPr>
            <w:r>
              <w:rPr>
                <w:rFonts w:hint="eastAsia"/>
              </w:rPr>
              <w:t>节制闸</w:t>
            </w:r>
          </w:p>
        </w:tc>
        <w:tc>
          <w:tcPr>
            <w:tcW w:w="2888" w:type="pct"/>
            <w:vAlign w:val="center"/>
          </w:tcPr>
          <w:p w14:paraId="41C010D8">
            <w:pPr>
              <w:pStyle w:val="28"/>
              <w:bidi w:val="0"/>
              <w:jc w:val="left"/>
              <w:rPr>
                <w:rFonts w:hint="eastAsia"/>
                <w:lang w:eastAsia="zh-CN"/>
              </w:rPr>
            </w:pPr>
            <w:r>
              <w:rPr>
                <w:rFonts w:hint="eastAsia"/>
                <w:lang w:val="en-US" w:eastAsia="zh-CN"/>
              </w:rPr>
              <w:t>拆除重建及维修改造节制闸</w:t>
            </w:r>
            <w:r>
              <w:rPr>
                <w:rFonts w:hint="eastAsia"/>
              </w:rPr>
              <w:t>7座</w:t>
            </w:r>
            <w:r>
              <w:rPr>
                <w:rFonts w:hint="eastAsia"/>
                <w:lang w:eastAsia="zh-CN"/>
              </w:rPr>
              <w:t>；</w:t>
            </w:r>
          </w:p>
          <w:p w14:paraId="1226A33B">
            <w:pPr>
              <w:pStyle w:val="28"/>
              <w:bidi w:val="0"/>
              <w:jc w:val="left"/>
              <w:rPr>
                <w:rFonts w:hint="eastAsia"/>
                <w:lang w:eastAsia="zh-CN"/>
              </w:rPr>
            </w:pPr>
            <w:r>
              <w:rPr>
                <w:rFonts w:hint="eastAsia"/>
              </w:rPr>
              <w:t>分别为</w:t>
            </w:r>
            <w:r>
              <w:rPr>
                <w:rFonts w:hint="eastAsia"/>
                <w:lang w:eastAsia="zh-CN"/>
              </w:rPr>
              <w:t>：</w:t>
            </w:r>
          </w:p>
          <w:p w14:paraId="510AD08D">
            <w:pPr>
              <w:pStyle w:val="28"/>
              <w:bidi w:val="0"/>
              <w:jc w:val="left"/>
              <w:rPr>
                <w:rFonts w:hint="eastAsia"/>
                <w:lang w:eastAsia="zh-CN"/>
              </w:rPr>
            </w:pPr>
            <w:r>
              <w:rPr>
                <w:rFonts w:hint="eastAsia"/>
                <w:lang w:val="en-US" w:eastAsia="zh-CN"/>
              </w:rPr>
              <w:t>一东干渠金庄节制闸</w:t>
            </w:r>
            <w:r>
              <w:rPr>
                <w:rFonts w:hint="eastAsia"/>
              </w:rPr>
              <w:t>1座</w:t>
            </w:r>
            <w:r>
              <w:rPr>
                <w:rFonts w:hint="eastAsia"/>
                <w:lang w:eastAsia="zh-CN"/>
              </w:rPr>
              <w:t>，</w:t>
            </w:r>
            <w:r>
              <w:rPr>
                <w:rFonts w:hint="eastAsia"/>
                <w:lang w:val="en-US" w:eastAsia="zh-CN"/>
              </w:rPr>
              <w:t>规模2.2m×2m，更换闸门启闭机</w:t>
            </w:r>
            <w:r>
              <w:rPr>
                <w:rFonts w:hint="eastAsia"/>
                <w:lang w:eastAsia="zh-CN"/>
              </w:rPr>
              <w:t>；</w:t>
            </w:r>
          </w:p>
          <w:p w14:paraId="29166124">
            <w:pPr>
              <w:pStyle w:val="28"/>
              <w:bidi w:val="0"/>
              <w:jc w:val="left"/>
              <w:rPr>
                <w:rFonts w:hint="eastAsia"/>
                <w:lang w:eastAsia="zh-CN"/>
              </w:rPr>
            </w:pPr>
            <w:r>
              <w:rPr>
                <w:rFonts w:hint="eastAsia"/>
                <w:lang w:val="en-US" w:eastAsia="zh-CN"/>
              </w:rPr>
              <w:t>二东干渠节制闸，规模2m×2m，更换闸门启闭机</w:t>
            </w:r>
            <w:r>
              <w:rPr>
                <w:rFonts w:hint="eastAsia"/>
                <w:lang w:eastAsia="zh-CN"/>
              </w:rPr>
              <w:t>；</w:t>
            </w:r>
          </w:p>
          <w:p w14:paraId="769B2D19">
            <w:pPr>
              <w:pStyle w:val="28"/>
              <w:bidi w:val="0"/>
              <w:jc w:val="left"/>
              <w:rPr>
                <w:rFonts w:hint="eastAsia"/>
                <w:lang w:eastAsia="zh-CN"/>
              </w:rPr>
            </w:pPr>
            <w:r>
              <w:rPr>
                <w:rFonts w:hint="eastAsia"/>
                <w:lang w:val="en-US" w:eastAsia="zh-CN"/>
              </w:rPr>
              <w:t>三东干渠李岗放水渠节制闸，规模1.5m×1m，开敞式，新建节制闸</w:t>
            </w:r>
            <w:r>
              <w:rPr>
                <w:rFonts w:hint="eastAsia"/>
                <w:lang w:eastAsia="zh-CN"/>
              </w:rPr>
              <w:t>；</w:t>
            </w:r>
          </w:p>
          <w:p w14:paraId="1FF46661">
            <w:pPr>
              <w:pStyle w:val="28"/>
              <w:bidi w:val="0"/>
              <w:jc w:val="left"/>
            </w:pPr>
            <w:r>
              <w:rPr>
                <w:rFonts w:hint="eastAsia"/>
                <w:lang w:val="en-US" w:eastAsia="zh-CN"/>
              </w:rPr>
              <w:t>桂岗支渠节制闸1#，规模1m×1m，开敞式，拆除重建节制闸</w:t>
            </w:r>
            <w:r>
              <w:rPr>
                <w:rFonts w:hint="eastAsia"/>
              </w:rPr>
              <w:t>；</w:t>
            </w:r>
          </w:p>
          <w:p w14:paraId="72EAD9AB">
            <w:pPr>
              <w:pStyle w:val="28"/>
              <w:bidi w:val="0"/>
              <w:jc w:val="left"/>
              <w:rPr>
                <w:rFonts w:hint="eastAsia"/>
              </w:rPr>
            </w:pPr>
            <w:r>
              <w:rPr>
                <w:rFonts w:hint="eastAsia"/>
                <w:lang w:val="en-US" w:eastAsia="zh-CN"/>
              </w:rPr>
              <w:t>桂岗支渠节制闸2#，规模1m×1m，开敞式，拆除重建节制闸</w:t>
            </w:r>
            <w:r>
              <w:rPr>
                <w:rFonts w:hint="eastAsia"/>
              </w:rPr>
              <w:t>；</w:t>
            </w:r>
          </w:p>
          <w:p w14:paraId="3A8E3672">
            <w:pPr>
              <w:pStyle w:val="28"/>
              <w:bidi w:val="0"/>
              <w:jc w:val="left"/>
              <w:rPr>
                <w:rFonts w:hint="eastAsia"/>
              </w:rPr>
            </w:pPr>
            <w:r>
              <w:rPr>
                <w:rFonts w:hint="eastAsia"/>
                <w:lang w:val="en-US" w:eastAsia="zh-CN"/>
              </w:rPr>
              <w:t>桂岗支渠节制闸3#，规模1m×1m，开敞式，拆除重建节制闸</w:t>
            </w:r>
            <w:r>
              <w:rPr>
                <w:rFonts w:hint="eastAsia"/>
              </w:rPr>
              <w:t>；</w:t>
            </w:r>
          </w:p>
          <w:p w14:paraId="04C91E4F">
            <w:pPr>
              <w:pStyle w:val="28"/>
              <w:bidi w:val="0"/>
              <w:jc w:val="left"/>
              <w:rPr>
                <w:rFonts w:hint="eastAsia"/>
              </w:rPr>
            </w:pPr>
            <w:r>
              <w:rPr>
                <w:rFonts w:hint="eastAsia"/>
                <w:lang w:val="en-US" w:eastAsia="zh-CN"/>
              </w:rPr>
              <w:t>桂岗支渠泄洪闸，规模2m×2m，更换闸门启闭机，启闭房大门</w:t>
            </w:r>
            <w:r>
              <w:rPr>
                <w:rFonts w:hint="eastAsia"/>
              </w:rPr>
              <w:t>；</w:t>
            </w:r>
          </w:p>
        </w:tc>
        <w:tc>
          <w:tcPr>
            <w:tcW w:w="822" w:type="pct"/>
            <w:vAlign w:val="center"/>
          </w:tcPr>
          <w:p w14:paraId="79FBBF17">
            <w:pPr>
              <w:pStyle w:val="28"/>
              <w:bidi w:val="0"/>
            </w:pPr>
            <w:r>
              <w:rPr>
                <w:rFonts w:hint="eastAsia"/>
              </w:rPr>
              <w:t>节制闸工程</w:t>
            </w:r>
            <w:r>
              <w:rPr>
                <w:rFonts w:hint="eastAsia"/>
                <w:lang w:val="en-US" w:eastAsia="zh-CN"/>
              </w:rPr>
              <w:t>7</w:t>
            </w:r>
            <w:r>
              <w:rPr>
                <w:rFonts w:hint="eastAsia"/>
              </w:rPr>
              <w:t>座。</w:t>
            </w:r>
          </w:p>
        </w:tc>
      </w:tr>
      <w:tr w14:paraId="46ACD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6C186D43">
            <w:pPr>
              <w:pStyle w:val="28"/>
              <w:bidi w:val="0"/>
            </w:pPr>
          </w:p>
        </w:tc>
        <w:tc>
          <w:tcPr>
            <w:tcW w:w="597" w:type="pct"/>
            <w:gridSpan w:val="2"/>
            <w:vMerge w:val="continue"/>
            <w:vAlign w:val="center"/>
          </w:tcPr>
          <w:p w14:paraId="7E8CAFC3">
            <w:pPr>
              <w:pStyle w:val="28"/>
              <w:bidi w:val="0"/>
            </w:pPr>
          </w:p>
        </w:tc>
        <w:tc>
          <w:tcPr>
            <w:tcW w:w="447" w:type="pct"/>
            <w:vAlign w:val="center"/>
          </w:tcPr>
          <w:p w14:paraId="6257F707">
            <w:pPr>
              <w:pStyle w:val="28"/>
              <w:bidi w:val="0"/>
              <w:rPr>
                <w:rFonts w:hint="eastAsia"/>
                <w:lang w:eastAsia="zh-CN"/>
              </w:rPr>
            </w:pPr>
            <w:r>
              <w:rPr>
                <w:rFonts w:hint="eastAsia"/>
                <w:lang w:val="en-US" w:eastAsia="zh-CN"/>
              </w:rPr>
              <w:t>分水闸</w:t>
            </w:r>
          </w:p>
        </w:tc>
        <w:tc>
          <w:tcPr>
            <w:tcW w:w="2888" w:type="pct"/>
            <w:vAlign w:val="center"/>
          </w:tcPr>
          <w:p w14:paraId="182A1843">
            <w:pPr>
              <w:pStyle w:val="28"/>
              <w:bidi w:val="0"/>
              <w:jc w:val="left"/>
              <w:rPr>
                <w:rFonts w:hint="eastAsia"/>
                <w:lang w:eastAsia="zh-CN"/>
              </w:rPr>
            </w:pPr>
            <w:r>
              <w:rPr>
                <w:rFonts w:hint="eastAsia"/>
              </w:rPr>
              <w:t>拆除重建分水闸6座</w:t>
            </w:r>
            <w:r>
              <w:rPr>
                <w:rFonts w:hint="eastAsia"/>
                <w:lang w:eastAsia="zh-CN"/>
              </w:rPr>
              <w:t>；</w:t>
            </w:r>
          </w:p>
          <w:p w14:paraId="51364485">
            <w:pPr>
              <w:pStyle w:val="28"/>
              <w:bidi w:val="0"/>
              <w:jc w:val="left"/>
              <w:rPr>
                <w:rFonts w:hint="eastAsia"/>
                <w:lang w:val="en-US" w:eastAsia="zh-CN"/>
              </w:rPr>
            </w:pPr>
            <w:r>
              <w:rPr>
                <w:rFonts w:hint="eastAsia"/>
                <w:lang w:val="en-US" w:eastAsia="zh-CN"/>
              </w:rPr>
              <w:t>分别为：</w:t>
            </w:r>
          </w:p>
          <w:p w14:paraId="1C700AC0">
            <w:pPr>
              <w:pStyle w:val="28"/>
              <w:bidi w:val="0"/>
              <w:jc w:val="left"/>
              <w:rPr>
                <w:rFonts w:hint="eastAsia"/>
                <w:lang w:val="en-US" w:eastAsia="zh-CN"/>
              </w:rPr>
            </w:pPr>
            <w:r>
              <w:rPr>
                <w:rFonts w:hint="eastAsia"/>
                <w:lang w:val="en-US" w:eastAsia="zh-CN"/>
              </w:rPr>
              <w:t>一东干渠胡大井分水闸，规模2.5m×2m，更换闸门启闭机；</w:t>
            </w:r>
          </w:p>
          <w:p w14:paraId="186CB70A">
            <w:pPr>
              <w:pStyle w:val="28"/>
              <w:bidi w:val="0"/>
              <w:jc w:val="left"/>
              <w:rPr>
                <w:rFonts w:hint="eastAsia"/>
                <w:lang w:val="en-US" w:eastAsia="zh-CN"/>
              </w:rPr>
            </w:pPr>
            <w:r>
              <w:rPr>
                <w:rFonts w:hint="eastAsia"/>
                <w:lang w:val="en-US" w:eastAsia="zh-CN"/>
              </w:rPr>
              <w:t>二引干渠分水闸，规模1.0m×1.0m，开敞式钢筋砼，拆除重建分水闸；</w:t>
            </w:r>
          </w:p>
          <w:p w14:paraId="0543A3D8">
            <w:pPr>
              <w:pStyle w:val="28"/>
              <w:bidi w:val="0"/>
              <w:jc w:val="left"/>
              <w:rPr>
                <w:rFonts w:hint="eastAsia"/>
                <w:lang w:val="en-US" w:eastAsia="zh-CN"/>
              </w:rPr>
            </w:pPr>
            <w:r>
              <w:rPr>
                <w:rFonts w:hint="eastAsia"/>
                <w:lang w:val="en-US" w:eastAsia="zh-CN"/>
              </w:rPr>
              <w:t>二北干渠分水闸，规模2m×2m，开敞式钢筋砼，拆除重建分水闸；</w:t>
            </w:r>
          </w:p>
          <w:p w14:paraId="3787A487">
            <w:pPr>
              <w:pStyle w:val="28"/>
              <w:bidi w:val="0"/>
              <w:jc w:val="left"/>
              <w:rPr>
                <w:rFonts w:hint="eastAsia"/>
                <w:lang w:val="en-US" w:eastAsia="zh-CN"/>
              </w:rPr>
            </w:pPr>
            <w:r>
              <w:rPr>
                <w:rFonts w:hint="eastAsia"/>
                <w:lang w:val="en-US" w:eastAsia="zh-CN"/>
              </w:rPr>
              <w:t>三东干渠分水闸，规模2m×2m，开敞式钢筋砼，拆除重建分水闸；</w:t>
            </w:r>
          </w:p>
          <w:p w14:paraId="688FEAA7">
            <w:pPr>
              <w:pStyle w:val="28"/>
              <w:bidi w:val="0"/>
              <w:jc w:val="left"/>
              <w:rPr>
                <w:rFonts w:hint="eastAsia"/>
                <w:lang w:val="en-US" w:eastAsia="zh-CN"/>
              </w:rPr>
            </w:pPr>
            <w:r>
              <w:rPr>
                <w:rFonts w:hint="eastAsia"/>
                <w:lang w:val="en-US" w:eastAsia="zh-CN"/>
              </w:rPr>
              <w:t>三北干渠分水闸，规模1.5m×1.2m，胸墙式钢筋砼，拆除重建分水闸控制段；</w:t>
            </w:r>
          </w:p>
          <w:p w14:paraId="1B6106DA">
            <w:pPr>
              <w:pStyle w:val="28"/>
              <w:bidi w:val="0"/>
              <w:jc w:val="left"/>
              <w:rPr>
                <w:rFonts w:hint="default"/>
                <w:lang w:val="en-US" w:eastAsia="zh-CN"/>
              </w:rPr>
            </w:pPr>
            <w:r>
              <w:rPr>
                <w:rFonts w:hint="eastAsia"/>
                <w:lang w:val="en-US" w:eastAsia="zh-CN"/>
              </w:rPr>
              <w:t>染坊支渠</w:t>
            </w:r>
            <w:r>
              <w:rPr>
                <w:rFonts w:hint="default"/>
                <w:lang w:val="en-US" w:eastAsia="zh-CN"/>
              </w:rPr>
              <w:t>分水闸，规模</w:t>
            </w:r>
            <w:r>
              <w:rPr>
                <w:rFonts w:hint="eastAsia"/>
                <w:lang w:val="en-US" w:eastAsia="zh-CN"/>
              </w:rPr>
              <w:t>2</w:t>
            </w:r>
            <w:r>
              <w:rPr>
                <w:rFonts w:hint="default"/>
                <w:lang w:val="en-US" w:eastAsia="zh-CN"/>
              </w:rPr>
              <w:t>m×</w:t>
            </w:r>
            <w:r>
              <w:rPr>
                <w:rFonts w:hint="eastAsia"/>
                <w:lang w:val="en-US" w:eastAsia="zh-CN"/>
              </w:rPr>
              <w:t>2</w:t>
            </w:r>
            <w:r>
              <w:rPr>
                <w:rFonts w:hint="default"/>
                <w:lang w:val="en-US" w:eastAsia="zh-CN"/>
              </w:rPr>
              <w:t>m，开敞式钢筋砼，拆除重建分水闸；</w:t>
            </w:r>
          </w:p>
        </w:tc>
        <w:tc>
          <w:tcPr>
            <w:tcW w:w="822" w:type="pct"/>
            <w:vAlign w:val="center"/>
          </w:tcPr>
          <w:p w14:paraId="5719414D">
            <w:pPr>
              <w:pStyle w:val="28"/>
              <w:bidi w:val="0"/>
            </w:pPr>
            <w:r>
              <w:rPr>
                <w:rFonts w:hint="eastAsia"/>
                <w:lang w:val="en-US" w:eastAsia="zh-CN"/>
              </w:rPr>
              <w:t>分水闸</w:t>
            </w:r>
            <w:r>
              <w:rPr>
                <w:rFonts w:hint="eastAsia"/>
              </w:rPr>
              <w:t>工程</w:t>
            </w:r>
            <w:r>
              <w:rPr>
                <w:rFonts w:hint="eastAsia"/>
                <w:lang w:val="en-US" w:eastAsia="zh-CN"/>
              </w:rPr>
              <w:t>6</w:t>
            </w:r>
            <w:r>
              <w:rPr>
                <w:rFonts w:hint="eastAsia"/>
              </w:rPr>
              <w:t>座。</w:t>
            </w:r>
          </w:p>
        </w:tc>
      </w:tr>
      <w:tr w14:paraId="0823D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596FB9DC">
            <w:pPr>
              <w:pStyle w:val="28"/>
              <w:bidi w:val="0"/>
            </w:pPr>
          </w:p>
        </w:tc>
        <w:tc>
          <w:tcPr>
            <w:tcW w:w="597" w:type="pct"/>
            <w:gridSpan w:val="2"/>
            <w:vMerge w:val="continue"/>
            <w:vAlign w:val="center"/>
          </w:tcPr>
          <w:p w14:paraId="7CA62811">
            <w:pPr>
              <w:pStyle w:val="28"/>
              <w:bidi w:val="0"/>
            </w:pPr>
          </w:p>
        </w:tc>
        <w:tc>
          <w:tcPr>
            <w:tcW w:w="447" w:type="pct"/>
            <w:vAlign w:val="center"/>
          </w:tcPr>
          <w:p w14:paraId="36DCB160">
            <w:pPr>
              <w:pStyle w:val="28"/>
              <w:bidi w:val="0"/>
            </w:pPr>
            <w:r>
              <w:rPr>
                <w:rFonts w:hint="eastAsia"/>
              </w:rPr>
              <w:t>渡槽</w:t>
            </w:r>
          </w:p>
        </w:tc>
        <w:tc>
          <w:tcPr>
            <w:tcW w:w="2888" w:type="pct"/>
            <w:vAlign w:val="center"/>
          </w:tcPr>
          <w:p w14:paraId="0C47A9AC">
            <w:pPr>
              <w:pStyle w:val="28"/>
              <w:bidi w:val="0"/>
              <w:jc w:val="left"/>
            </w:pPr>
            <w:r>
              <w:rPr>
                <w:rFonts w:hint="eastAsia"/>
              </w:rPr>
              <w:t>拆除重建渡槽1座</w:t>
            </w:r>
            <w:r>
              <w:rPr>
                <w:rFonts w:hint="eastAsia"/>
                <w:lang w:eastAsia="zh-CN"/>
              </w:rPr>
              <w:t>，</w:t>
            </w:r>
            <w:r>
              <w:rPr>
                <w:rFonts w:hint="eastAsia"/>
                <w:lang w:val="en-US" w:eastAsia="zh-CN"/>
              </w:rPr>
              <w:t>二东干渠渡槽，跨数2，长度12m，规模0.5m×0.5m，拆除重建渡槽</w:t>
            </w:r>
            <w:r>
              <w:t>。</w:t>
            </w:r>
          </w:p>
        </w:tc>
        <w:tc>
          <w:tcPr>
            <w:tcW w:w="822" w:type="pct"/>
            <w:vAlign w:val="center"/>
          </w:tcPr>
          <w:p w14:paraId="532C76E8">
            <w:pPr>
              <w:pStyle w:val="28"/>
              <w:bidi w:val="0"/>
            </w:pPr>
            <w:r>
              <w:t>渡槽工程</w:t>
            </w:r>
            <w:r>
              <w:rPr>
                <w:rFonts w:hint="eastAsia"/>
                <w:lang w:val="en-US" w:eastAsia="zh-CN"/>
              </w:rPr>
              <w:t>1</w:t>
            </w:r>
            <w:r>
              <w:t>座</w:t>
            </w:r>
            <w:r>
              <w:rPr>
                <w:rFonts w:hint="eastAsia"/>
              </w:rPr>
              <w:t>。</w:t>
            </w:r>
          </w:p>
        </w:tc>
      </w:tr>
      <w:tr w14:paraId="01E27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614EAE09">
            <w:pPr>
              <w:pStyle w:val="28"/>
              <w:bidi w:val="0"/>
            </w:pPr>
          </w:p>
        </w:tc>
        <w:tc>
          <w:tcPr>
            <w:tcW w:w="597" w:type="pct"/>
            <w:gridSpan w:val="2"/>
            <w:vMerge w:val="continue"/>
            <w:vAlign w:val="center"/>
          </w:tcPr>
          <w:p w14:paraId="56978791">
            <w:pPr>
              <w:pStyle w:val="28"/>
              <w:bidi w:val="0"/>
            </w:pPr>
          </w:p>
        </w:tc>
        <w:tc>
          <w:tcPr>
            <w:tcW w:w="447" w:type="pct"/>
            <w:vAlign w:val="center"/>
          </w:tcPr>
          <w:p w14:paraId="459D9F9F">
            <w:pPr>
              <w:pStyle w:val="28"/>
              <w:bidi w:val="0"/>
            </w:pPr>
            <w:r>
              <w:rPr>
                <w:rFonts w:hint="eastAsia"/>
              </w:rPr>
              <w:t>放水涵</w:t>
            </w:r>
          </w:p>
        </w:tc>
        <w:tc>
          <w:tcPr>
            <w:tcW w:w="2888" w:type="pct"/>
            <w:vAlign w:val="center"/>
          </w:tcPr>
          <w:p w14:paraId="1934A63C">
            <w:pPr>
              <w:pStyle w:val="28"/>
              <w:bidi w:val="0"/>
              <w:jc w:val="left"/>
              <w:rPr>
                <w:rFonts w:hint="default"/>
                <w:lang w:eastAsia="zh-CN"/>
              </w:rPr>
            </w:pPr>
            <w:r>
              <w:rPr>
                <w:rFonts w:hint="default"/>
              </w:rPr>
              <w:t>拆除重建放水涵闸104座</w:t>
            </w:r>
            <w:r>
              <w:rPr>
                <w:rFonts w:hint="default"/>
                <w:lang w:eastAsia="zh-CN"/>
              </w:rPr>
              <w:t>；</w:t>
            </w:r>
          </w:p>
          <w:p w14:paraId="0D47688F">
            <w:pPr>
              <w:pStyle w:val="28"/>
              <w:bidi w:val="0"/>
              <w:jc w:val="left"/>
              <w:rPr>
                <w:rFonts w:hint="default"/>
                <w:lang w:val="en-US" w:eastAsia="zh-CN"/>
              </w:rPr>
            </w:pPr>
            <w:r>
              <w:rPr>
                <w:rFonts w:hint="default"/>
                <w:lang w:val="en-US" w:eastAsia="zh-CN"/>
              </w:rPr>
              <w:t>一东干渠拆除重建25座放水涵闸（1#~25#），规模</w:t>
            </w:r>
            <w:r>
              <w:rPr>
                <w:rFonts w:hint="eastAsia"/>
                <w:lang w:val="en-US" w:eastAsia="zh-CN"/>
              </w:rPr>
              <w:t>φ</w:t>
            </w:r>
            <w:r>
              <w:rPr>
                <w:rFonts w:hint="default"/>
                <w:lang w:val="en-US" w:eastAsia="zh-CN"/>
              </w:rPr>
              <w:t>300mm；</w:t>
            </w:r>
          </w:p>
          <w:p w14:paraId="135DF6A3">
            <w:pPr>
              <w:pStyle w:val="28"/>
              <w:bidi w:val="0"/>
              <w:jc w:val="left"/>
              <w:rPr>
                <w:rFonts w:hint="default"/>
                <w:lang w:val="en-US" w:eastAsia="zh-CN"/>
              </w:rPr>
            </w:pPr>
            <w:r>
              <w:rPr>
                <w:rFonts w:hint="default"/>
                <w:lang w:val="en-US" w:eastAsia="zh-CN"/>
              </w:rPr>
              <w:t>二北干渠拆除重建17座放水涵闸（1#~17#），规模</w:t>
            </w:r>
            <w:r>
              <w:rPr>
                <w:rFonts w:hint="eastAsia"/>
                <w:lang w:val="en-US" w:eastAsia="zh-CN"/>
              </w:rPr>
              <w:t>φ</w:t>
            </w:r>
            <w:r>
              <w:rPr>
                <w:rFonts w:hint="default"/>
                <w:lang w:val="en-US" w:eastAsia="zh-CN"/>
              </w:rPr>
              <w:t>300mm；</w:t>
            </w:r>
          </w:p>
          <w:p w14:paraId="40BFA988">
            <w:pPr>
              <w:pStyle w:val="28"/>
              <w:bidi w:val="0"/>
              <w:jc w:val="left"/>
              <w:rPr>
                <w:rFonts w:hint="default"/>
                <w:lang w:val="en-US" w:eastAsia="zh-CN"/>
              </w:rPr>
            </w:pPr>
            <w:r>
              <w:rPr>
                <w:rFonts w:hint="default"/>
                <w:lang w:val="en-US" w:eastAsia="zh-CN"/>
              </w:rPr>
              <w:t>三北干渠拆除重建3座放水涵闸（1#~3#），规模</w:t>
            </w:r>
            <w:r>
              <w:rPr>
                <w:rFonts w:hint="eastAsia"/>
                <w:lang w:val="en-US" w:eastAsia="zh-CN"/>
              </w:rPr>
              <w:t>φ</w:t>
            </w:r>
            <w:r>
              <w:rPr>
                <w:rFonts w:hint="default"/>
                <w:lang w:val="en-US" w:eastAsia="zh-CN"/>
              </w:rPr>
              <w:t>300mm；</w:t>
            </w:r>
          </w:p>
          <w:p w14:paraId="6FAB14DF">
            <w:pPr>
              <w:pStyle w:val="28"/>
              <w:bidi w:val="0"/>
              <w:jc w:val="left"/>
              <w:rPr>
                <w:rFonts w:hint="default"/>
                <w:lang w:val="en-US" w:eastAsia="zh-CN"/>
              </w:rPr>
            </w:pPr>
            <w:r>
              <w:rPr>
                <w:rFonts w:hint="default"/>
                <w:lang w:val="en-US" w:eastAsia="zh-CN"/>
              </w:rPr>
              <w:t>二引干渠拆除重建12座放水涵闸（1#~12#），规模</w:t>
            </w:r>
            <w:r>
              <w:rPr>
                <w:rFonts w:hint="eastAsia"/>
                <w:lang w:val="en-US" w:eastAsia="zh-CN"/>
              </w:rPr>
              <w:t>φ</w:t>
            </w:r>
            <w:r>
              <w:rPr>
                <w:rFonts w:hint="default"/>
                <w:lang w:val="en-US" w:eastAsia="zh-CN"/>
              </w:rPr>
              <w:t>300mm；</w:t>
            </w:r>
          </w:p>
          <w:p w14:paraId="7A03C639">
            <w:pPr>
              <w:pStyle w:val="28"/>
              <w:bidi w:val="0"/>
              <w:jc w:val="left"/>
              <w:rPr>
                <w:rFonts w:hint="default"/>
                <w:lang w:val="en-US" w:eastAsia="zh-CN"/>
              </w:rPr>
            </w:pPr>
            <w:r>
              <w:rPr>
                <w:rFonts w:hint="default"/>
                <w:lang w:val="en-US" w:eastAsia="zh-CN"/>
              </w:rPr>
              <w:t>二东干渠拆除重建33座放水涵闸（1#~33#），规模</w:t>
            </w:r>
            <w:r>
              <w:rPr>
                <w:rFonts w:hint="eastAsia"/>
                <w:lang w:val="en-US" w:eastAsia="zh-CN"/>
              </w:rPr>
              <w:t>φ</w:t>
            </w:r>
            <w:r>
              <w:rPr>
                <w:rFonts w:hint="default"/>
                <w:lang w:val="en-US" w:eastAsia="zh-CN"/>
              </w:rPr>
              <w:t>300mm；</w:t>
            </w:r>
          </w:p>
          <w:p w14:paraId="56982625">
            <w:pPr>
              <w:pStyle w:val="28"/>
              <w:bidi w:val="0"/>
              <w:jc w:val="left"/>
              <w:rPr>
                <w:rFonts w:hint="default"/>
                <w:lang w:eastAsia="zh-CN"/>
              </w:rPr>
            </w:pPr>
            <w:r>
              <w:rPr>
                <w:rFonts w:hint="default"/>
                <w:lang w:val="en-US" w:eastAsia="zh-CN"/>
              </w:rPr>
              <w:t>桂岗支渠拆除重建10座放水涵闸（1#~10#），规模</w:t>
            </w:r>
            <w:r>
              <w:rPr>
                <w:rFonts w:hint="eastAsia"/>
                <w:lang w:val="en-US" w:eastAsia="zh-CN"/>
              </w:rPr>
              <w:t>φ</w:t>
            </w:r>
            <w:r>
              <w:rPr>
                <w:rFonts w:hint="default"/>
                <w:lang w:val="en-US" w:eastAsia="zh-CN"/>
              </w:rPr>
              <w:t>300mm</w:t>
            </w:r>
            <w:r>
              <w:rPr>
                <w:rFonts w:hint="default"/>
                <w:lang w:eastAsia="zh-CN"/>
              </w:rPr>
              <w:t>；</w:t>
            </w:r>
          </w:p>
          <w:p w14:paraId="3CF33F4D">
            <w:pPr>
              <w:pStyle w:val="28"/>
              <w:bidi w:val="0"/>
              <w:jc w:val="left"/>
              <w:rPr>
                <w:rFonts w:hint="default"/>
                <w:lang w:val="en-US" w:eastAsia="zh-CN"/>
              </w:rPr>
            </w:pPr>
            <w:r>
              <w:rPr>
                <w:rFonts w:hint="default"/>
                <w:lang w:val="en-US" w:eastAsia="zh-CN"/>
              </w:rPr>
              <w:t>染坊支渠拆除重建4座放水涵闸（1#~4#），1#~3#规模</w:t>
            </w:r>
            <w:r>
              <w:rPr>
                <w:rFonts w:hint="eastAsia"/>
                <w:lang w:val="en-US" w:eastAsia="zh-CN"/>
              </w:rPr>
              <w:t>φ</w:t>
            </w:r>
            <w:r>
              <w:rPr>
                <w:rFonts w:hint="default"/>
                <w:lang w:val="en-US" w:eastAsia="zh-CN"/>
              </w:rPr>
              <w:t>500mm，4#规模</w:t>
            </w:r>
            <w:r>
              <w:rPr>
                <w:rFonts w:hint="eastAsia" w:ascii="宋体" w:hAnsi="宋体" w:eastAsia="宋体" w:cs="宋体"/>
                <w:lang w:val="en-US" w:eastAsia="zh-CN"/>
              </w:rPr>
              <w:t>φ</w:t>
            </w:r>
            <w:r>
              <w:rPr>
                <w:rFonts w:hint="default"/>
                <w:lang w:val="en-US" w:eastAsia="zh-CN"/>
              </w:rPr>
              <w:t>300mm。</w:t>
            </w:r>
          </w:p>
        </w:tc>
        <w:tc>
          <w:tcPr>
            <w:tcW w:w="822" w:type="pct"/>
            <w:vAlign w:val="center"/>
          </w:tcPr>
          <w:p w14:paraId="2A7B16A8">
            <w:pPr>
              <w:pStyle w:val="28"/>
              <w:bidi w:val="0"/>
            </w:pPr>
            <w:r>
              <w:rPr>
                <w:rFonts w:hint="eastAsia"/>
              </w:rPr>
              <w:t>放水涵工程</w:t>
            </w:r>
            <w:r>
              <w:rPr>
                <w:rFonts w:hint="eastAsia"/>
                <w:lang w:val="en-US" w:eastAsia="zh-CN"/>
              </w:rPr>
              <w:t>104</w:t>
            </w:r>
            <w:r>
              <w:rPr>
                <w:rFonts w:hint="eastAsia"/>
              </w:rPr>
              <w:t>座。</w:t>
            </w:r>
          </w:p>
        </w:tc>
      </w:tr>
      <w:tr w14:paraId="2081A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17CB85C7">
            <w:pPr>
              <w:pStyle w:val="28"/>
              <w:bidi w:val="0"/>
            </w:pPr>
          </w:p>
        </w:tc>
        <w:tc>
          <w:tcPr>
            <w:tcW w:w="597" w:type="pct"/>
            <w:gridSpan w:val="2"/>
            <w:vMerge w:val="continue"/>
            <w:vAlign w:val="center"/>
          </w:tcPr>
          <w:p w14:paraId="66457339">
            <w:pPr>
              <w:pStyle w:val="28"/>
              <w:bidi w:val="0"/>
            </w:pPr>
          </w:p>
        </w:tc>
        <w:tc>
          <w:tcPr>
            <w:tcW w:w="447" w:type="pct"/>
            <w:vAlign w:val="center"/>
          </w:tcPr>
          <w:p w14:paraId="4FB15306">
            <w:pPr>
              <w:pStyle w:val="28"/>
              <w:bidi w:val="0"/>
            </w:pPr>
            <w:r>
              <w:rPr>
                <w:rFonts w:hint="eastAsia"/>
              </w:rPr>
              <w:t>机耕桥</w:t>
            </w:r>
          </w:p>
        </w:tc>
        <w:tc>
          <w:tcPr>
            <w:tcW w:w="2888" w:type="pct"/>
            <w:vAlign w:val="center"/>
          </w:tcPr>
          <w:p w14:paraId="71B9AFBA">
            <w:pPr>
              <w:pStyle w:val="28"/>
              <w:bidi w:val="0"/>
              <w:jc w:val="left"/>
              <w:rPr>
                <w:rFonts w:hint="eastAsia"/>
                <w:lang w:eastAsia="zh-CN"/>
              </w:rPr>
            </w:pPr>
            <w:r>
              <w:rPr>
                <w:rFonts w:hint="eastAsia"/>
              </w:rPr>
              <w:t>拆除重建机耕桥13座</w:t>
            </w:r>
            <w:r>
              <w:rPr>
                <w:rFonts w:hint="eastAsia"/>
                <w:lang w:eastAsia="zh-CN"/>
              </w:rPr>
              <w:t>；</w:t>
            </w:r>
          </w:p>
          <w:p w14:paraId="5EBA2BC6">
            <w:pPr>
              <w:pStyle w:val="28"/>
              <w:bidi w:val="0"/>
              <w:jc w:val="left"/>
              <w:rPr>
                <w:rFonts w:hint="default"/>
                <w:lang w:val="en-US" w:eastAsia="zh-CN"/>
              </w:rPr>
            </w:pPr>
            <w:r>
              <w:rPr>
                <w:rFonts w:hint="eastAsia"/>
                <w:lang w:val="en-US" w:eastAsia="zh-CN"/>
              </w:rPr>
              <w:t>一东干渠上机耕桥4座（1#~4#），跨数2，规模4m×6m，拆除重建；</w:t>
            </w:r>
          </w:p>
          <w:p w14:paraId="09E57B4B">
            <w:pPr>
              <w:pStyle w:val="28"/>
              <w:bidi w:val="0"/>
              <w:jc w:val="left"/>
              <w:rPr>
                <w:rFonts w:hint="eastAsia"/>
                <w:lang w:val="en-US" w:eastAsia="zh-CN"/>
              </w:rPr>
            </w:pPr>
            <w:r>
              <w:rPr>
                <w:rFonts w:hint="eastAsia"/>
                <w:lang w:val="en-US" w:eastAsia="zh-CN"/>
              </w:rPr>
              <w:t>二东干渠上机耕桥6座（1#~6#），1#机耕桥跨数2、规模4m×6m、拆除重建，2#机耕桥跨数2、规模4m×5m、拆除重建，3#机耕桥跨数1、规模4m×4m、拆除重建，4#、5#机耕桥跨数2、规模4m×4m、拆除重建，6#机耕桥跨数2、规模4m×6m、桥渡槽一体拆除重建；</w:t>
            </w:r>
          </w:p>
          <w:p w14:paraId="401E0AC2">
            <w:pPr>
              <w:pStyle w:val="28"/>
              <w:bidi w:val="0"/>
              <w:jc w:val="left"/>
              <w:rPr>
                <w:rFonts w:hint="eastAsia"/>
                <w:lang w:val="en-US" w:eastAsia="zh-CN"/>
              </w:rPr>
            </w:pPr>
            <w:r>
              <w:rPr>
                <w:rFonts w:hint="eastAsia"/>
                <w:lang w:val="en-US" w:eastAsia="zh-CN"/>
              </w:rPr>
              <w:t>二北干渠上机耕桥1座（1#），跨数1，规模4m×6m，拆除重建；</w:t>
            </w:r>
          </w:p>
          <w:p w14:paraId="7A487FE7">
            <w:pPr>
              <w:pStyle w:val="28"/>
              <w:bidi w:val="0"/>
              <w:jc w:val="left"/>
              <w:rPr>
                <w:rFonts w:hint="default"/>
                <w:lang w:val="en-US" w:eastAsia="zh-CN"/>
              </w:rPr>
            </w:pPr>
            <w:r>
              <w:rPr>
                <w:rFonts w:hint="eastAsia"/>
                <w:lang w:val="en-US" w:eastAsia="zh-CN"/>
              </w:rPr>
              <w:t>染坊支渠</w:t>
            </w:r>
            <w:r>
              <w:rPr>
                <w:rFonts w:hint="default"/>
                <w:lang w:val="en-US" w:eastAsia="zh-CN"/>
              </w:rPr>
              <w:t>上机耕桥</w:t>
            </w:r>
            <w:r>
              <w:rPr>
                <w:rFonts w:hint="eastAsia"/>
                <w:lang w:val="en-US" w:eastAsia="zh-CN"/>
              </w:rPr>
              <w:t>2</w:t>
            </w:r>
            <w:r>
              <w:rPr>
                <w:rFonts w:hint="default"/>
                <w:lang w:val="en-US" w:eastAsia="zh-CN"/>
              </w:rPr>
              <w:t>座（1#</w:t>
            </w:r>
            <w:r>
              <w:rPr>
                <w:rFonts w:hint="eastAsia"/>
                <w:lang w:val="en-US" w:eastAsia="zh-CN"/>
              </w:rPr>
              <w:t>~2#</w:t>
            </w:r>
            <w:r>
              <w:rPr>
                <w:rFonts w:hint="default"/>
                <w:lang w:val="en-US" w:eastAsia="zh-CN"/>
              </w:rPr>
              <w:t>），跨数1，规模4m×6m，拆除重建；</w:t>
            </w:r>
          </w:p>
        </w:tc>
        <w:tc>
          <w:tcPr>
            <w:tcW w:w="822" w:type="pct"/>
            <w:vAlign w:val="center"/>
          </w:tcPr>
          <w:p w14:paraId="4FF2D86D">
            <w:pPr>
              <w:pStyle w:val="28"/>
              <w:bidi w:val="0"/>
            </w:pPr>
            <w:r>
              <w:t>机耕桥工程</w:t>
            </w:r>
            <w:r>
              <w:rPr>
                <w:rFonts w:hint="eastAsia"/>
                <w:lang w:val="en-US" w:eastAsia="zh-CN"/>
              </w:rPr>
              <w:t>13</w:t>
            </w:r>
            <w:r>
              <w:t>座</w:t>
            </w:r>
            <w:r>
              <w:rPr>
                <w:rFonts w:hint="eastAsia"/>
              </w:rPr>
              <w:t>。</w:t>
            </w:r>
          </w:p>
        </w:tc>
      </w:tr>
      <w:tr w14:paraId="7FC34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460BD78A">
            <w:pPr>
              <w:pStyle w:val="28"/>
              <w:bidi w:val="0"/>
            </w:pPr>
          </w:p>
        </w:tc>
        <w:tc>
          <w:tcPr>
            <w:tcW w:w="597" w:type="pct"/>
            <w:gridSpan w:val="2"/>
            <w:vMerge w:val="continue"/>
            <w:vAlign w:val="center"/>
          </w:tcPr>
          <w:p w14:paraId="7BFB5200">
            <w:pPr>
              <w:pStyle w:val="28"/>
              <w:bidi w:val="0"/>
            </w:pPr>
          </w:p>
        </w:tc>
        <w:tc>
          <w:tcPr>
            <w:tcW w:w="447" w:type="pct"/>
            <w:vAlign w:val="center"/>
          </w:tcPr>
          <w:p w14:paraId="0E2D1D81">
            <w:pPr>
              <w:pStyle w:val="28"/>
              <w:bidi w:val="0"/>
            </w:pPr>
            <w:r>
              <w:rPr>
                <w:rFonts w:hint="eastAsia"/>
              </w:rPr>
              <w:t>箱涵</w:t>
            </w:r>
          </w:p>
        </w:tc>
        <w:tc>
          <w:tcPr>
            <w:tcW w:w="2888" w:type="pct"/>
            <w:vAlign w:val="center"/>
          </w:tcPr>
          <w:p w14:paraId="447BAC96">
            <w:pPr>
              <w:pStyle w:val="28"/>
              <w:bidi w:val="0"/>
              <w:jc w:val="left"/>
              <w:rPr>
                <w:rFonts w:hint="eastAsia"/>
                <w:lang w:eastAsia="zh-CN"/>
              </w:rPr>
            </w:pPr>
            <w:r>
              <w:rPr>
                <w:rFonts w:hint="eastAsia"/>
                <w:lang w:val="en-US" w:eastAsia="zh-CN"/>
              </w:rPr>
              <w:t>拆除重建</w:t>
            </w:r>
            <w:r>
              <w:rPr>
                <w:rFonts w:hint="eastAsia"/>
              </w:rPr>
              <w:t>箱涵2座</w:t>
            </w:r>
            <w:r>
              <w:rPr>
                <w:rFonts w:hint="eastAsia"/>
                <w:lang w:eastAsia="zh-CN"/>
              </w:rPr>
              <w:t>；</w:t>
            </w:r>
          </w:p>
          <w:p w14:paraId="493A17BC">
            <w:pPr>
              <w:pStyle w:val="28"/>
              <w:bidi w:val="0"/>
              <w:jc w:val="left"/>
              <w:rPr>
                <w:rFonts w:hint="default"/>
                <w:lang w:val="en-US" w:eastAsia="zh-CN"/>
              </w:rPr>
            </w:pPr>
            <w:r>
              <w:rPr>
                <w:rFonts w:hint="eastAsia"/>
                <w:lang w:val="en-US" w:eastAsia="zh-CN"/>
              </w:rPr>
              <w:t>染坊支渠1#箱涵，规模1.2m×1.5m；</w:t>
            </w:r>
          </w:p>
          <w:p w14:paraId="6D31957D">
            <w:pPr>
              <w:pStyle w:val="28"/>
              <w:bidi w:val="0"/>
              <w:jc w:val="left"/>
              <w:rPr>
                <w:rFonts w:hint="eastAsia"/>
                <w:lang w:eastAsia="zh-CN"/>
              </w:rPr>
            </w:pPr>
            <w:r>
              <w:rPr>
                <w:rFonts w:hint="eastAsia"/>
                <w:lang w:val="en-US" w:eastAsia="zh-CN"/>
              </w:rPr>
              <w:t>染坊支渠2#箱涵，规模1.2m×1.5m；</w:t>
            </w:r>
          </w:p>
        </w:tc>
        <w:tc>
          <w:tcPr>
            <w:tcW w:w="822" w:type="pct"/>
            <w:vAlign w:val="center"/>
          </w:tcPr>
          <w:p w14:paraId="0023AF09">
            <w:pPr>
              <w:pStyle w:val="28"/>
              <w:bidi w:val="0"/>
            </w:pPr>
            <w:r>
              <w:rPr>
                <w:rFonts w:hint="eastAsia"/>
              </w:rPr>
              <w:t>箱涵</w:t>
            </w:r>
            <w:r>
              <w:rPr>
                <w:rFonts w:hint="eastAsia"/>
                <w:lang w:val="en-US" w:eastAsia="zh-CN"/>
              </w:rPr>
              <w:t>2座</w:t>
            </w:r>
            <w:r>
              <w:rPr>
                <w:rFonts w:hint="eastAsia"/>
              </w:rPr>
              <w:t>。</w:t>
            </w:r>
          </w:p>
        </w:tc>
      </w:tr>
      <w:tr w14:paraId="6C3A2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682531B3">
            <w:pPr>
              <w:pStyle w:val="28"/>
              <w:bidi w:val="0"/>
            </w:pPr>
          </w:p>
        </w:tc>
        <w:tc>
          <w:tcPr>
            <w:tcW w:w="597" w:type="pct"/>
            <w:gridSpan w:val="2"/>
            <w:vMerge w:val="restart"/>
            <w:vAlign w:val="center"/>
          </w:tcPr>
          <w:p w14:paraId="2F2B494F">
            <w:pPr>
              <w:pStyle w:val="28"/>
              <w:bidi w:val="0"/>
              <w:rPr>
                <w:rFonts w:hint="default"/>
                <w:lang w:val="en-US" w:eastAsia="zh-CN"/>
              </w:rPr>
            </w:pPr>
            <w:r>
              <w:rPr>
                <w:rFonts w:hint="eastAsia"/>
                <w:lang w:val="en-US" w:eastAsia="zh-CN"/>
              </w:rPr>
              <w:t>管理区配套工程</w:t>
            </w:r>
          </w:p>
        </w:tc>
        <w:tc>
          <w:tcPr>
            <w:tcW w:w="447" w:type="pct"/>
            <w:vAlign w:val="center"/>
          </w:tcPr>
          <w:p w14:paraId="618D47F9">
            <w:pPr>
              <w:pStyle w:val="28"/>
              <w:bidi w:val="0"/>
              <w:rPr>
                <w:rFonts w:hint="eastAsia"/>
                <w:lang w:val="en-US" w:eastAsia="zh-CN"/>
              </w:rPr>
            </w:pPr>
            <w:r>
              <w:rPr>
                <w:rFonts w:hint="eastAsia"/>
                <w:lang w:val="en-US" w:eastAsia="zh-CN"/>
              </w:rPr>
              <w:t>朱集一站管理区建设及绿化工程</w:t>
            </w:r>
          </w:p>
        </w:tc>
        <w:tc>
          <w:tcPr>
            <w:tcW w:w="2888" w:type="pct"/>
            <w:vAlign w:val="center"/>
          </w:tcPr>
          <w:p w14:paraId="06860CD6">
            <w:pPr>
              <w:pStyle w:val="28"/>
              <w:bidi w:val="0"/>
              <w:jc w:val="left"/>
              <w:rPr>
                <w:rFonts w:hint="default"/>
                <w:lang w:val="en-US" w:eastAsia="zh-CN"/>
              </w:rPr>
            </w:pPr>
            <w:r>
              <w:rPr>
                <w:lang w:val="en-US" w:eastAsia="zh-CN"/>
              </w:rPr>
              <w:t>改造主副厂房（476.8m</w:t>
            </w:r>
            <w:r>
              <w:rPr>
                <w:rFonts w:hint="default"/>
                <w:vertAlign w:val="superscript"/>
                <w:lang w:val="en-US" w:eastAsia="zh-CN"/>
              </w:rPr>
              <w:t>2</w:t>
            </w:r>
            <w:r>
              <w:rPr>
                <w:rFonts w:hint="default"/>
                <w:lang w:val="en-US" w:eastAsia="zh-CN"/>
              </w:rPr>
              <w:t>）：主要有室、内外工程设计；室外工程主要有：新建345m铁艺围墙，5m宽铁艺镂空平开钢大门一扇；主厂房入口处桥面面层新建120mm厚C40素砼面层50m</w:t>
            </w:r>
            <w:r>
              <w:rPr>
                <w:rFonts w:hint="default"/>
                <w:vertAlign w:val="superscript"/>
                <w:lang w:val="en-US" w:eastAsia="zh-CN"/>
              </w:rPr>
              <w:t>2</w:t>
            </w:r>
            <w:r>
              <w:rPr>
                <w:rFonts w:hint="default"/>
                <w:lang w:val="en-US" w:eastAsia="zh-CN"/>
              </w:rPr>
              <w:t>；60m室外防护栏杆拆除重建仿石栏杆；新建外墙真石漆1500m</w:t>
            </w:r>
            <w:r>
              <w:rPr>
                <w:rFonts w:hint="default"/>
                <w:vertAlign w:val="superscript"/>
                <w:lang w:val="en-US" w:eastAsia="zh-CN"/>
              </w:rPr>
              <w:t>2</w:t>
            </w:r>
            <w:r>
              <w:rPr>
                <w:rFonts w:hint="default"/>
                <w:lang w:val="en-US" w:eastAsia="zh-CN"/>
              </w:rPr>
              <w:t>（含基层及防水工程）；新建主、副厂房钢结构坡屋面500m</w:t>
            </w:r>
            <w:r>
              <w:rPr>
                <w:rFonts w:hint="default"/>
                <w:vertAlign w:val="superscript"/>
                <w:lang w:val="en-US" w:eastAsia="zh-CN"/>
              </w:rPr>
              <w:t>2</w:t>
            </w:r>
            <w:r>
              <w:rPr>
                <w:rFonts w:hint="default"/>
                <w:lang w:val="en-US" w:eastAsia="zh-CN"/>
              </w:rPr>
              <w:t>；新建主厂房钢结构雨棚2个；室内工程主要有：主厂房地面新建环氧自流平饰面300m</w:t>
            </w:r>
            <w:r>
              <w:rPr>
                <w:rFonts w:hint="default"/>
                <w:vertAlign w:val="superscript"/>
                <w:lang w:val="en-US" w:eastAsia="zh-CN"/>
              </w:rPr>
              <w:t>2</w:t>
            </w:r>
            <w:r>
              <w:rPr>
                <w:rFonts w:hint="default"/>
                <w:lang w:val="en-US" w:eastAsia="zh-CN"/>
              </w:rPr>
              <w:t>；主副厂房室内墙面、顶棚拆除重建白色无机涂料1400m</w:t>
            </w:r>
            <w:r>
              <w:rPr>
                <w:rFonts w:hint="default"/>
                <w:vertAlign w:val="superscript"/>
                <w:lang w:val="en-US" w:eastAsia="zh-CN"/>
              </w:rPr>
              <w:t>2</w:t>
            </w:r>
            <w:r>
              <w:rPr>
                <w:rFonts w:hint="default"/>
                <w:lang w:val="en-US" w:eastAsia="zh-CN"/>
              </w:rPr>
              <w:t>；室内标示标牌、划线等标准化工程一项。</w:t>
            </w:r>
          </w:p>
          <w:p w14:paraId="0BF2DBD6">
            <w:pPr>
              <w:pStyle w:val="28"/>
              <w:bidi w:val="0"/>
              <w:jc w:val="left"/>
            </w:pPr>
            <w:r>
              <w:rPr>
                <w:rFonts w:hint="default"/>
                <w:lang w:val="en-US" w:eastAsia="zh-CN"/>
              </w:rPr>
              <w:t>新建管理房174.4m</w:t>
            </w:r>
            <w:r>
              <w:rPr>
                <w:rFonts w:hint="default"/>
                <w:vertAlign w:val="superscript"/>
                <w:lang w:val="en-US" w:eastAsia="zh-CN"/>
              </w:rPr>
              <w:t>2</w:t>
            </w:r>
            <w:r>
              <w:rPr>
                <w:rFonts w:hint="default"/>
                <w:lang w:val="en-US" w:eastAsia="zh-CN"/>
              </w:rPr>
              <w:t>框架结构，地上一层，长21.8m，宽8m，室内外高差300mm，一层层高3.9m，坡屋面1.2m，室外灰色屋面瓦，大面积墙面为真石漆墙面，颜色为青灰色、浅灰色。室外新建220m</w:t>
            </w:r>
            <w:r>
              <w:rPr>
                <w:rFonts w:hint="default"/>
                <w:vertAlign w:val="superscript"/>
                <w:lang w:val="en-US" w:eastAsia="zh-CN"/>
              </w:rPr>
              <w:t>2</w:t>
            </w:r>
            <w:r>
              <w:rPr>
                <w:rFonts w:hint="default"/>
                <w:lang w:val="en-US" w:eastAsia="zh-CN"/>
              </w:rPr>
              <w:t>砼路面。</w:t>
            </w:r>
          </w:p>
          <w:p w14:paraId="1131EA0D">
            <w:pPr>
              <w:pStyle w:val="28"/>
              <w:bidi w:val="0"/>
              <w:jc w:val="left"/>
            </w:pPr>
            <w:r>
              <w:rPr>
                <w:rFonts w:hint="default"/>
                <w:lang w:val="en-US" w:eastAsia="zh-CN"/>
              </w:rPr>
              <w:t>朱集一站道路两侧种植行道树，树池围合，站内植物进行提升，沿路种植绿篱，规划休闲游园，用曲线步道连接，大树采用树池围合，节点处种植草花。</w:t>
            </w:r>
          </w:p>
        </w:tc>
        <w:tc>
          <w:tcPr>
            <w:tcW w:w="822" w:type="pct"/>
            <w:vAlign w:val="center"/>
          </w:tcPr>
          <w:p w14:paraId="71B77784">
            <w:pPr>
              <w:pStyle w:val="28"/>
              <w:bidi w:val="0"/>
            </w:pPr>
          </w:p>
        </w:tc>
      </w:tr>
      <w:tr w14:paraId="79018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18F10496">
            <w:pPr>
              <w:pStyle w:val="28"/>
              <w:bidi w:val="0"/>
            </w:pPr>
          </w:p>
        </w:tc>
        <w:tc>
          <w:tcPr>
            <w:tcW w:w="597" w:type="pct"/>
            <w:gridSpan w:val="2"/>
            <w:vMerge w:val="continue"/>
            <w:vAlign w:val="center"/>
          </w:tcPr>
          <w:p w14:paraId="7BA90B53">
            <w:pPr>
              <w:pStyle w:val="28"/>
              <w:bidi w:val="0"/>
              <w:rPr>
                <w:rFonts w:hint="eastAsia"/>
                <w:lang w:val="en-US" w:eastAsia="zh-CN"/>
              </w:rPr>
            </w:pPr>
          </w:p>
        </w:tc>
        <w:tc>
          <w:tcPr>
            <w:tcW w:w="447" w:type="pct"/>
            <w:vAlign w:val="center"/>
          </w:tcPr>
          <w:p w14:paraId="1CE15019">
            <w:pPr>
              <w:pStyle w:val="28"/>
              <w:bidi w:val="0"/>
              <w:rPr>
                <w:rFonts w:hint="eastAsia"/>
                <w:lang w:val="en-US" w:eastAsia="zh-CN"/>
              </w:rPr>
            </w:pPr>
            <w:r>
              <w:rPr>
                <w:rFonts w:hint="eastAsia"/>
                <w:lang w:val="en-US" w:eastAsia="zh-CN"/>
              </w:rPr>
              <w:t>朱集二站管理区建设、朱集管理所管理区建设及绿化工程</w:t>
            </w:r>
          </w:p>
        </w:tc>
        <w:tc>
          <w:tcPr>
            <w:tcW w:w="2888" w:type="pct"/>
            <w:vAlign w:val="center"/>
          </w:tcPr>
          <w:p w14:paraId="6BCD2867">
            <w:pPr>
              <w:pStyle w:val="28"/>
              <w:bidi w:val="0"/>
              <w:jc w:val="left"/>
              <w:rPr>
                <w:rFonts w:hint="default"/>
                <w:lang w:val="en-US" w:eastAsia="zh-CN"/>
              </w:rPr>
            </w:pPr>
            <w:r>
              <w:rPr>
                <w:lang w:val="en-US" w:eastAsia="zh-CN"/>
              </w:rPr>
              <w:t>改造主副厂房（593m</w:t>
            </w:r>
            <w:r>
              <w:rPr>
                <w:rFonts w:hint="default"/>
                <w:vertAlign w:val="superscript"/>
                <w:lang w:val="en-US" w:eastAsia="zh-CN"/>
              </w:rPr>
              <w:t>2</w:t>
            </w:r>
            <w:r>
              <w:rPr>
                <w:rFonts w:hint="default"/>
                <w:lang w:val="en-US" w:eastAsia="zh-CN"/>
              </w:rPr>
              <w:t>）：主要有室、内外工程设计；室外工程主要有：新建外墙真石漆900m</w:t>
            </w:r>
            <w:r>
              <w:rPr>
                <w:rFonts w:hint="default"/>
                <w:vertAlign w:val="superscript"/>
                <w:lang w:val="en-US" w:eastAsia="zh-CN"/>
              </w:rPr>
              <w:t>2</w:t>
            </w:r>
            <w:r>
              <w:rPr>
                <w:rFonts w:hint="default"/>
                <w:lang w:val="en-US" w:eastAsia="zh-CN"/>
              </w:rPr>
              <w:t>（含基层及防水工程）；新建主厂房钢结构雨棚3个；新建主厂房钢结构坡屋面100m</w:t>
            </w:r>
            <w:r>
              <w:rPr>
                <w:rFonts w:hint="default"/>
                <w:vertAlign w:val="superscript"/>
                <w:lang w:val="en-US" w:eastAsia="zh-CN"/>
              </w:rPr>
              <w:t>2</w:t>
            </w:r>
            <w:r>
              <w:rPr>
                <w:rFonts w:hint="default"/>
                <w:lang w:val="en-US" w:eastAsia="zh-CN"/>
              </w:rPr>
              <w:t>；新建主厂房钢结构雨棚3个；室外排水沟拆除重建100m；散水拆除重建100m</w:t>
            </w:r>
            <w:r>
              <w:rPr>
                <w:rFonts w:hint="default"/>
                <w:vertAlign w:val="superscript"/>
                <w:lang w:val="en-US" w:eastAsia="zh-CN"/>
              </w:rPr>
              <w:t>2</w:t>
            </w:r>
            <w:r>
              <w:rPr>
                <w:rFonts w:hint="default"/>
                <w:lang w:val="en-US" w:eastAsia="zh-CN"/>
              </w:rPr>
              <w:t>。室内工程主要有：副厂房拆除重建防火钢门5樘，且外开；主副厂房室内墙面、顶棚拆除重建白色无机涂料1000m</w:t>
            </w:r>
            <w:r>
              <w:rPr>
                <w:rFonts w:hint="default"/>
                <w:vertAlign w:val="superscript"/>
                <w:lang w:val="en-US" w:eastAsia="zh-CN"/>
              </w:rPr>
              <w:t>2</w:t>
            </w:r>
            <w:r>
              <w:rPr>
                <w:rFonts w:hint="default"/>
                <w:lang w:val="en-US" w:eastAsia="zh-CN"/>
              </w:rPr>
              <w:t>；值班室新建轻钢龙骨硅钙板吊顶50m</w:t>
            </w:r>
            <w:r>
              <w:rPr>
                <w:rFonts w:hint="default"/>
                <w:vertAlign w:val="superscript"/>
                <w:lang w:val="en-US" w:eastAsia="zh-CN"/>
              </w:rPr>
              <w:t>2</w:t>
            </w:r>
            <w:r>
              <w:rPr>
                <w:rFonts w:hint="default"/>
                <w:lang w:val="en-US" w:eastAsia="zh-CN"/>
              </w:rPr>
              <w:t>；室内标示标牌、划线等标准化工程一项；</w:t>
            </w:r>
          </w:p>
          <w:p w14:paraId="6F5BD414">
            <w:pPr>
              <w:pStyle w:val="28"/>
              <w:bidi w:val="0"/>
              <w:jc w:val="left"/>
              <w:rPr>
                <w:rFonts w:hint="default"/>
                <w:lang w:val="en-US" w:eastAsia="zh-CN"/>
              </w:rPr>
            </w:pPr>
            <w:r>
              <w:rPr>
                <w:rFonts w:hint="default"/>
                <w:lang w:val="en-US" w:eastAsia="zh-CN"/>
              </w:rPr>
              <w:t>拆建管理房，建筑面积：267.52m</w:t>
            </w:r>
            <w:r>
              <w:rPr>
                <w:rFonts w:hint="default"/>
                <w:vertAlign w:val="superscript"/>
                <w:lang w:val="en-US" w:eastAsia="zh-CN"/>
              </w:rPr>
              <w:t>2</w:t>
            </w:r>
            <w:r>
              <w:rPr>
                <w:rFonts w:hint="default"/>
                <w:lang w:val="en-US" w:eastAsia="zh-CN"/>
              </w:rPr>
              <w:t>，框架结构，地上一层，长35.2m，宽7.6m，室内外高差300mm，一层层高3.6m，坡屋面高1.5m，坡屋面外饰灰色屋面水泥瓦，主墙面为真石漆饰面，窗台以下墙面为面砖饰面，颜色同管理区已建管理房建筑。</w:t>
            </w:r>
          </w:p>
          <w:p w14:paraId="4C954781">
            <w:pPr>
              <w:pStyle w:val="28"/>
              <w:bidi w:val="0"/>
              <w:jc w:val="left"/>
              <w:rPr>
                <w:rFonts w:hint="default"/>
                <w:lang w:val="en-US" w:eastAsia="zh-CN"/>
              </w:rPr>
            </w:pPr>
            <w:r>
              <w:rPr>
                <w:rFonts w:hint="default"/>
                <w:lang w:val="en-US" w:eastAsia="zh-CN"/>
              </w:rPr>
              <w:t>朱集管理房新建沥青道路121m</w:t>
            </w:r>
            <w:r>
              <w:rPr>
                <w:rFonts w:hint="default"/>
                <w:vertAlign w:val="superscript"/>
                <w:lang w:val="en-US" w:eastAsia="zh-CN"/>
              </w:rPr>
              <w:t>2</w:t>
            </w:r>
            <w:r>
              <w:rPr>
                <w:rFonts w:hint="default"/>
                <w:lang w:val="en-US" w:eastAsia="zh-CN"/>
              </w:rPr>
              <w:t>，新建5m铁艺大门一扇，新建铁艺围墙238m，园区的绿化提升，外部道路两侧种植行道树，树池围合，规划游园，新</w:t>
            </w:r>
          </w:p>
          <w:p w14:paraId="676FF41F">
            <w:pPr>
              <w:pStyle w:val="28"/>
              <w:bidi w:val="0"/>
              <w:jc w:val="left"/>
              <w:rPr>
                <w:rFonts w:hint="default"/>
                <w:lang w:val="en-US" w:eastAsia="zh-CN"/>
              </w:rPr>
            </w:pPr>
            <w:r>
              <w:rPr>
                <w:rFonts w:hint="default"/>
                <w:lang w:val="en-US" w:eastAsia="zh-CN"/>
              </w:rPr>
              <w:t>建3m混凝土道路490m</w:t>
            </w:r>
            <w:r>
              <w:rPr>
                <w:rFonts w:hint="default"/>
                <w:vertAlign w:val="superscript"/>
                <w:lang w:val="en-US" w:eastAsia="zh-CN"/>
              </w:rPr>
              <w:t>2</w:t>
            </w:r>
            <w:r>
              <w:rPr>
                <w:rFonts w:hint="default"/>
                <w:lang w:val="en-US" w:eastAsia="zh-CN"/>
              </w:rPr>
              <w:t>，内部以汀步步道进行连接，沿沟渠边种植金丝垂柳，其他以植物种植为主。</w:t>
            </w:r>
          </w:p>
          <w:p w14:paraId="53FDEAC1">
            <w:pPr>
              <w:pStyle w:val="28"/>
              <w:bidi w:val="0"/>
              <w:jc w:val="left"/>
            </w:pPr>
            <w:r>
              <w:rPr>
                <w:rFonts w:hint="default"/>
                <w:lang w:val="en-US" w:eastAsia="zh-CN"/>
              </w:rPr>
              <w:t>朱集二站出水池处进行绿化提升，增加汀步步道，站区新建238m铁艺围墙，更换44m仿石护栏，植物补植。</w:t>
            </w:r>
          </w:p>
        </w:tc>
        <w:tc>
          <w:tcPr>
            <w:tcW w:w="822" w:type="pct"/>
            <w:vAlign w:val="center"/>
          </w:tcPr>
          <w:p w14:paraId="7B0605C5">
            <w:pPr>
              <w:pStyle w:val="28"/>
              <w:bidi w:val="0"/>
            </w:pPr>
          </w:p>
        </w:tc>
      </w:tr>
      <w:tr w14:paraId="20C971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266F520D">
            <w:pPr>
              <w:pStyle w:val="28"/>
              <w:bidi w:val="0"/>
            </w:pPr>
          </w:p>
        </w:tc>
        <w:tc>
          <w:tcPr>
            <w:tcW w:w="597" w:type="pct"/>
            <w:gridSpan w:val="2"/>
            <w:vMerge w:val="continue"/>
            <w:vAlign w:val="center"/>
          </w:tcPr>
          <w:p w14:paraId="16B1AEC5">
            <w:pPr>
              <w:pStyle w:val="28"/>
              <w:bidi w:val="0"/>
              <w:rPr>
                <w:rFonts w:hint="eastAsia"/>
                <w:lang w:val="en-US" w:eastAsia="zh-CN"/>
              </w:rPr>
            </w:pPr>
          </w:p>
        </w:tc>
        <w:tc>
          <w:tcPr>
            <w:tcW w:w="447" w:type="pct"/>
            <w:vAlign w:val="center"/>
          </w:tcPr>
          <w:p w14:paraId="483C174B">
            <w:pPr>
              <w:pStyle w:val="28"/>
              <w:bidi w:val="0"/>
              <w:rPr>
                <w:rFonts w:hint="eastAsia"/>
                <w:lang w:val="en-US" w:eastAsia="zh-CN"/>
              </w:rPr>
            </w:pPr>
            <w:r>
              <w:rPr>
                <w:rFonts w:hint="eastAsia"/>
                <w:lang w:val="en-US" w:eastAsia="zh-CN"/>
              </w:rPr>
              <w:t>杨公三站管理区建设及绿化工程</w:t>
            </w:r>
          </w:p>
        </w:tc>
        <w:tc>
          <w:tcPr>
            <w:tcW w:w="2888" w:type="pct"/>
            <w:vAlign w:val="center"/>
          </w:tcPr>
          <w:p w14:paraId="6187932C">
            <w:pPr>
              <w:pStyle w:val="28"/>
              <w:bidi w:val="0"/>
              <w:jc w:val="left"/>
            </w:pPr>
            <w:r>
              <w:rPr>
                <w:lang w:val="en-US" w:eastAsia="zh-CN"/>
              </w:rPr>
              <w:t>改造主副厂房（416m</w:t>
            </w:r>
            <w:r>
              <w:rPr>
                <w:rFonts w:hint="default"/>
                <w:vertAlign w:val="superscript"/>
                <w:lang w:val="en-US" w:eastAsia="zh-CN"/>
              </w:rPr>
              <w:t>2</w:t>
            </w:r>
            <w:r>
              <w:rPr>
                <w:rFonts w:hint="default"/>
                <w:lang w:val="en-US" w:eastAsia="zh-CN"/>
              </w:rPr>
              <w:t>）：主要有室、内外工程设计；室外工程主要有：新建外墙真石漆900m</w:t>
            </w:r>
            <w:r>
              <w:rPr>
                <w:rFonts w:hint="default"/>
                <w:vertAlign w:val="superscript"/>
                <w:lang w:val="en-US" w:eastAsia="zh-CN"/>
              </w:rPr>
              <w:t>2</w:t>
            </w:r>
            <w:r>
              <w:rPr>
                <w:rFonts w:hint="default"/>
                <w:lang w:val="en-US" w:eastAsia="zh-CN"/>
              </w:rPr>
              <w:t>（含基层及防水工程）；新建主厂房钢结构坡屋面100m</w:t>
            </w:r>
            <w:r>
              <w:rPr>
                <w:rFonts w:hint="default"/>
                <w:vertAlign w:val="superscript"/>
                <w:lang w:val="en-US" w:eastAsia="zh-CN"/>
              </w:rPr>
              <w:t>2</w:t>
            </w:r>
            <w:r>
              <w:rPr>
                <w:rFonts w:hint="default"/>
                <w:lang w:val="en-US" w:eastAsia="zh-CN"/>
              </w:rPr>
              <w:t>。室内工程主要有：主副厂房室内墙面白色无机涂料1000m</w:t>
            </w:r>
            <w:r>
              <w:rPr>
                <w:rFonts w:hint="default"/>
                <w:vertAlign w:val="superscript"/>
                <w:lang w:val="en-US" w:eastAsia="zh-CN"/>
              </w:rPr>
              <w:t>2</w:t>
            </w:r>
            <w:r>
              <w:rPr>
                <w:rFonts w:hint="default"/>
                <w:lang w:val="en-US" w:eastAsia="zh-CN"/>
              </w:rPr>
              <w:t>；室内标示标牌、划线等标准化工程一项。</w:t>
            </w:r>
          </w:p>
          <w:p w14:paraId="03B2EB1D">
            <w:pPr>
              <w:pStyle w:val="28"/>
              <w:bidi w:val="0"/>
              <w:jc w:val="left"/>
            </w:pPr>
            <w:r>
              <w:rPr>
                <w:rFonts w:hint="default"/>
                <w:lang w:val="en-US" w:eastAsia="zh-CN"/>
              </w:rPr>
              <w:t>新建管理房，建筑面积174.4m</w:t>
            </w:r>
            <w:r>
              <w:rPr>
                <w:rFonts w:hint="default"/>
                <w:vertAlign w:val="superscript"/>
                <w:lang w:val="en-US" w:eastAsia="zh-CN"/>
              </w:rPr>
              <w:t>2</w:t>
            </w:r>
            <w:r>
              <w:rPr>
                <w:rFonts w:hint="default"/>
                <w:lang w:val="en-US" w:eastAsia="zh-CN"/>
              </w:rPr>
              <w:t>，框架结构，地上一层，长21.8m，宽8m，室内外高差300mm，一层层高3.9m，坡屋面1.2m，室外灰色屋面瓦，大面积墙</w:t>
            </w:r>
          </w:p>
          <w:p w14:paraId="2DDA1C36">
            <w:pPr>
              <w:pStyle w:val="28"/>
              <w:bidi w:val="0"/>
              <w:jc w:val="left"/>
            </w:pPr>
            <w:r>
              <w:rPr>
                <w:rFonts w:hint="default"/>
                <w:lang w:val="en-US" w:eastAsia="zh-CN"/>
              </w:rPr>
              <w:t>面为真石漆墙面，颜色为青灰色、浅灰色。</w:t>
            </w:r>
          </w:p>
          <w:p w14:paraId="42ADF10A">
            <w:pPr>
              <w:pStyle w:val="28"/>
              <w:bidi w:val="0"/>
              <w:jc w:val="left"/>
            </w:pPr>
            <w:r>
              <w:rPr>
                <w:rFonts w:hint="default"/>
                <w:lang w:val="en-US" w:eastAsia="zh-CN"/>
              </w:rPr>
              <w:t>杨公三站新建管理房，新建5米铁艺大门2扇，新建铁艺围墙293m，管理所砼道路及内部绿化提升。进水池南侧坍塌护坡区域进行恢复。</w:t>
            </w:r>
          </w:p>
        </w:tc>
        <w:tc>
          <w:tcPr>
            <w:tcW w:w="822" w:type="pct"/>
            <w:vAlign w:val="center"/>
          </w:tcPr>
          <w:p w14:paraId="58AFC675">
            <w:pPr>
              <w:pStyle w:val="28"/>
              <w:bidi w:val="0"/>
            </w:pPr>
          </w:p>
        </w:tc>
      </w:tr>
      <w:tr w14:paraId="27824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0EE931D7">
            <w:pPr>
              <w:pStyle w:val="28"/>
              <w:bidi w:val="0"/>
            </w:pPr>
          </w:p>
        </w:tc>
        <w:tc>
          <w:tcPr>
            <w:tcW w:w="597" w:type="pct"/>
            <w:gridSpan w:val="2"/>
            <w:vMerge w:val="continue"/>
            <w:vAlign w:val="center"/>
          </w:tcPr>
          <w:p w14:paraId="3D222A46">
            <w:pPr>
              <w:pStyle w:val="28"/>
              <w:bidi w:val="0"/>
              <w:rPr>
                <w:rFonts w:hint="eastAsia"/>
                <w:lang w:val="en-US" w:eastAsia="zh-CN"/>
              </w:rPr>
            </w:pPr>
          </w:p>
        </w:tc>
        <w:tc>
          <w:tcPr>
            <w:tcW w:w="447" w:type="pct"/>
            <w:vAlign w:val="center"/>
          </w:tcPr>
          <w:p w14:paraId="06CC29B3">
            <w:pPr>
              <w:pStyle w:val="28"/>
              <w:bidi w:val="0"/>
              <w:rPr>
                <w:rFonts w:hint="eastAsia"/>
                <w:lang w:val="en-US" w:eastAsia="zh-CN"/>
              </w:rPr>
            </w:pPr>
            <w:r>
              <w:rPr>
                <w:rFonts w:hint="eastAsia"/>
                <w:lang w:val="en-US" w:eastAsia="zh-CN"/>
              </w:rPr>
              <w:t>原朱集管理站屋面改造工程</w:t>
            </w:r>
          </w:p>
        </w:tc>
        <w:tc>
          <w:tcPr>
            <w:tcW w:w="2888" w:type="pct"/>
            <w:vAlign w:val="center"/>
          </w:tcPr>
          <w:p w14:paraId="5B00FCA8">
            <w:pPr>
              <w:pStyle w:val="28"/>
              <w:bidi w:val="0"/>
              <w:jc w:val="left"/>
              <w:rPr>
                <w:rFonts w:hint="default"/>
                <w:lang w:val="en-US" w:eastAsia="zh-CN"/>
              </w:rPr>
            </w:pPr>
            <w:r>
              <w:rPr>
                <w:rFonts w:hint="default"/>
                <w:lang w:val="en-US" w:eastAsia="zh-CN"/>
              </w:rPr>
              <w:t>已建管理房屋面漏水，本次设计考虑拆除屋面外，重新做屋面防水3道设防，面积为：400m</w:t>
            </w:r>
            <w:r>
              <w:rPr>
                <w:rFonts w:hint="default"/>
                <w:vertAlign w:val="superscript"/>
                <w:lang w:val="en-US" w:eastAsia="zh-CN"/>
              </w:rPr>
              <w:t>2</w:t>
            </w:r>
            <w:r>
              <w:rPr>
                <w:rFonts w:hint="default"/>
                <w:lang w:val="en-US" w:eastAsia="zh-CN"/>
              </w:rPr>
              <w:t>。</w:t>
            </w:r>
          </w:p>
        </w:tc>
        <w:tc>
          <w:tcPr>
            <w:tcW w:w="822" w:type="pct"/>
            <w:vAlign w:val="center"/>
          </w:tcPr>
          <w:p w14:paraId="6A66CBA9">
            <w:pPr>
              <w:pStyle w:val="28"/>
              <w:bidi w:val="0"/>
            </w:pPr>
          </w:p>
        </w:tc>
      </w:tr>
      <w:tr w14:paraId="29B60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62AA557A">
            <w:pPr>
              <w:pStyle w:val="28"/>
              <w:bidi w:val="0"/>
            </w:pPr>
          </w:p>
        </w:tc>
        <w:tc>
          <w:tcPr>
            <w:tcW w:w="597" w:type="pct"/>
            <w:gridSpan w:val="2"/>
            <w:vMerge w:val="continue"/>
            <w:vAlign w:val="center"/>
          </w:tcPr>
          <w:p w14:paraId="7ADC475C">
            <w:pPr>
              <w:pStyle w:val="28"/>
              <w:bidi w:val="0"/>
              <w:rPr>
                <w:rFonts w:hint="eastAsia"/>
                <w:lang w:val="en-US" w:eastAsia="zh-CN"/>
              </w:rPr>
            </w:pPr>
          </w:p>
        </w:tc>
        <w:tc>
          <w:tcPr>
            <w:tcW w:w="447" w:type="pct"/>
            <w:vAlign w:val="center"/>
          </w:tcPr>
          <w:p w14:paraId="5E087E67">
            <w:pPr>
              <w:pStyle w:val="28"/>
              <w:bidi w:val="0"/>
              <w:rPr>
                <w:rFonts w:hint="eastAsia"/>
                <w:lang w:val="en-US" w:eastAsia="zh-CN"/>
              </w:rPr>
            </w:pPr>
            <w:r>
              <w:rPr>
                <w:rFonts w:hint="eastAsia"/>
                <w:lang w:val="en-US" w:eastAsia="zh-CN"/>
              </w:rPr>
              <w:t>三东干渠两侧绿化工程</w:t>
            </w:r>
          </w:p>
        </w:tc>
        <w:tc>
          <w:tcPr>
            <w:tcW w:w="2888" w:type="pct"/>
            <w:vAlign w:val="center"/>
          </w:tcPr>
          <w:p w14:paraId="2CA7E609">
            <w:pPr>
              <w:pStyle w:val="28"/>
              <w:bidi w:val="0"/>
              <w:jc w:val="left"/>
              <w:rPr>
                <w:rFonts w:hint="default"/>
                <w:lang w:val="en-US" w:eastAsia="zh-CN"/>
              </w:rPr>
            </w:pPr>
            <w:r>
              <w:rPr>
                <w:rFonts w:hint="default"/>
                <w:lang w:val="en-US" w:eastAsia="zh-CN"/>
              </w:rPr>
              <w:t>三东干渠2950m两侧种植植物花卉，进行绿化提升。</w:t>
            </w:r>
          </w:p>
        </w:tc>
        <w:tc>
          <w:tcPr>
            <w:tcW w:w="822" w:type="pct"/>
            <w:vAlign w:val="center"/>
          </w:tcPr>
          <w:p w14:paraId="4A4ADBB2">
            <w:pPr>
              <w:pStyle w:val="28"/>
              <w:bidi w:val="0"/>
            </w:pPr>
          </w:p>
        </w:tc>
      </w:tr>
      <w:tr w14:paraId="3A7326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26B24099">
            <w:pPr>
              <w:pStyle w:val="28"/>
              <w:bidi w:val="0"/>
            </w:pPr>
          </w:p>
        </w:tc>
        <w:tc>
          <w:tcPr>
            <w:tcW w:w="1045" w:type="pct"/>
            <w:gridSpan w:val="3"/>
            <w:vAlign w:val="center"/>
          </w:tcPr>
          <w:p w14:paraId="70FA28F3">
            <w:pPr>
              <w:pStyle w:val="28"/>
              <w:bidi w:val="0"/>
              <w:rPr>
                <w:rFonts w:hint="default"/>
                <w:lang w:val="en-US" w:eastAsia="zh-CN"/>
              </w:rPr>
            </w:pPr>
            <w:r>
              <w:rPr>
                <w:rFonts w:hint="eastAsia"/>
                <w:lang w:val="en-US" w:eastAsia="zh-CN"/>
              </w:rPr>
              <w:t>用水量测及信息化工程</w:t>
            </w:r>
          </w:p>
        </w:tc>
        <w:tc>
          <w:tcPr>
            <w:tcW w:w="2888" w:type="pct"/>
            <w:vAlign w:val="center"/>
          </w:tcPr>
          <w:p w14:paraId="5F05BA5B">
            <w:pPr>
              <w:pStyle w:val="28"/>
              <w:bidi w:val="0"/>
              <w:jc w:val="left"/>
              <w:rPr>
                <w:rFonts w:hint="default"/>
                <w:lang w:val="en-US" w:eastAsia="zh-CN"/>
              </w:rPr>
            </w:pPr>
            <w:r>
              <w:rPr>
                <w:rFonts w:hint="default"/>
                <w:lang w:val="en-US" w:eastAsia="zh-CN"/>
              </w:rPr>
              <w:t>泵站监测点10座、干渠渠道监测点9座和放水涵闸监测点67座。灌区信息化平台建设1套。</w:t>
            </w:r>
          </w:p>
          <w:p w14:paraId="372C6309">
            <w:pPr>
              <w:pStyle w:val="28"/>
              <w:bidi w:val="0"/>
              <w:jc w:val="left"/>
              <w:rPr>
                <w:rFonts w:hint="eastAsia"/>
                <w:lang w:val="en-US" w:eastAsia="zh-CN"/>
              </w:rPr>
            </w:pPr>
            <w:r>
              <w:rPr>
                <w:rFonts w:hint="eastAsia"/>
                <w:lang w:val="en-US" w:eastAsia="zh-CN"/>
              </w:rPr>
              <w:t>朱集一站、朱集二站、杨公三站、横塘三站分别安装1套底座式自动流量监测系统，布置在渠道底部；</w:t>
            </w:r>
          </w:p>
          <w:p w14:paraId="1E335954">
            <w:pPr>
              <w:pStyle w:val="28"/>
              <w:bidi w:val="0"/>
              <w:jc w:val="left"/>
              <w:rPr>
                <w:rFonts w:hint="eastAsia"/>
                <w:lang w:val="en-US" w:eastAsia="zh-CN"/>
              </w:rPr>
            </w:pPr>
            <w:r>
              <w:rPr>
                <w:rFonts w:hint="eastAsia"/>
                <w:lang w:val="en-US" w:eastAsia="zh-CN"/>
              </w:rPr>
              <w:t>柯湖电灌站、老岗电灌站、刘郢电灌站、王集电灌站、新庄电灌站、徐庙电灌站分别安装1套雷达水位流量计，布置在干渠渠首；</w:t>
            </w:r>
          </w:p>
          <w:p w14:paraId="2BC38DA3">
            <w:pPr>
              <w:pStyle w:val="28"/>
              <w:bidi w:val="0"/>
              <w:jc w:val="left"/>
              <w:rPr>
                <w:rFonts w:hint="eastAsia"/>
                <w:lang w:val="en-US" w:eastAsia="zh-CN"/>
              </w:rPr>
            </w:pPr>
            <w:r>
              <w:rPr>
                <w:rFonts w:hint="eastAsia"/>
                <w:lang w:val="en-US" w:eastAsia="zh-CN"/>
              </w:rPr>
              <w:t>一东干渠、一北干渠、二引干渠、二东干渠、二北干渠、三北干渠、三东干渠、桂岗支渠、染坊支渠分别安装1套雷达水位流量计，布置在干渠渠首或支渠渠首；</w:t>
            </w:r>
          </w:p>
          <w:p w14:paraId="03641949">
            <w:pPr>
              <w:pStyle w:val="28"/>
              <w:bidi w:val="0"/>
              <w:jc w:val="left"/>
              <w:rPr>
                <w:rFonts w:hint="eastAsia"/>
                <w:lang w:val="en-US" w:eastAsia="zh-CN"/>
              </w:rPr>
            </w:pPr>
            <w:r>
              <w:rPr>
                <w:rFonts w:hint="eastAsia"/>
                <w:lang w:val="en-US" w:eastAsia="zh-CN"/>
              </w:rPr>
              <w:t>金庄节制闸、王家岗节制闸、王郢节制闸、一东干泄洪闸、二北干泄洪闸分别在闸前布置1套雷达水位流量计；</w:t>
            </w:r>
          </w:p>
          <w:p w14:paraId="4206735A">
            <w:pPr>
              <w:pStyle w:val="28"/>
              <w:bidi w:val="0"/>
              <w:jc w:val="left"/>
              <w:rPr>
                <w:rFonts w:hint="default"/>
                <w:lang w:val="en-US" w:eastAsia="zh-CN"/>
              </w:rPr>
            </w:pPr>
            <w:r>
              <w:rPr>
                <w:rFonts w:hint="eastAsia"/>
                <w:lang w:val="en-US" w:eastAsia="zh-CN"/>
              </w:rPr>
              <w:t>一东干渠3#、4#、6#~12#、15#、17#、18#放水涵、二北干渠2#、3#、5#~7#、9#~15#、17#放水涵、胡岗放水涵、三北干渠1#~3#放水涵、二引干渠5#、6#、9#~12#放水涵、二东干渠1#~7#、10#、11#、12#、15#~32#放水涵、桂岗支渠1#、3#、4#、6#放水涵分别安装1套雷达水位流量计；</w:t>
            </w:r>
          </w:p>
        </w:tc>
        <w:tc>
          <w:tcPr>
            <w:tcW w:w="822" w:type="pct"/>
            <w:vAlign w:val="center"/>
          </w:tcPr>
          <w:p w14:paraId="3953A1FA">
            <w:pPr>
              <w:pStyle w:val="28"/>
              <w:bidi w:val="0"/>
            </w:pPr>
          </w:p>
        </w:tc>
      </w:tr>
      <w:tr w14:paraId="6D588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restart"/>
            <w:vAlign w:val="center"/>
          </w:tcPr>
          <w:p w14:paraId="7375B24A">
            <w:pPr>
              <w:pStyle w:val="28"/>
              <w:bidi w:val="0"/>
            </w:pPr>
            <w:r>
              <w:rPr>
                <w:rFonts w:hint="eastAsia"/>
                <w:lang w:val="en-US" w:eastAsia="zh-CN"/>
              </w:rPr>
              <w:t>临时</w:t>
            </w:r>
            <w:r>
              <w:rPr>
                <w:rFonts w:hint="eastAsia"/>
              </w:rPr>
              <w:t>工程</w:t>
            </w:r>
          </w:p>
        </w:tc>
        <w:tc>
          <w:tcPr>
            <w:tcW w:w="1045" w:type="pct"/>
            <w:gridSpan w:val="3"/>
            <w:vAlign w:val="center"/>
          </w:tcPr>
          <w:p w14:paraId="36A01CB1">
            <w:pPr>
              <w:pStyle w:val="28"/>
              <w:bidi w:val="0"/>
              <w:rPr>
                <w:lang w:val="en-US" w:eastAsia="zh-CN"/>
              </w:rPr>
            </w:pPr>
            <w:r>
              <w:rPr>
                <w:rFonts w:hint="eastAsia"/>
              </w:rPr>
              <w:t>机械修配间</w:t>
            </w:r>
          </w:p>
        </w:tc>
        <w:tc>
          <w:tcPr>
            <w:tcW w:w="2888" w:type="pct"/>
            <w:vAlign w:val="center"/>
          </w:tcPr>
          <w:p w14:paraId="362E69F9">
            <w:pPr>
              <w:pStyle w:val="28"/>
              <w:bidi w:val="0"/>
              <w:jc w:val="left"/>
              <w:rPr>
                <w:lang w:val="en-US" w:eastAsia="zh-CN"/>
              </w:rPr>
            </w:pPr>
            <w:r>
              <w:t>工程附近的城镇均具备修理条件，施工现场不考虑机械的大修，现场不再设置施工机械修配厂，仅设机修间对机械设备做日常维护和保养。</w:t>
            </w:r>
          </w:p>
        </w:tc>
        <w:tc>
          <w:tcPr>
            <w:tcW w:w="822" w:type="pct"/>
            <w:vMerge w:val="restart"/>
            <w:vAlign w:val="center"/>
          </w:tcPr>
          <w:p w14:paraId="6183E1BD">
            <w:pPr>
              <w:pStyle w:val="28"/>
              <w:bidi w:val="0"/>
            </w:pPr>
          </w:p>
        </w:tc>
      </w:tr>
      <w:tr w14:paraId="7EFCB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25E883EB">
            <w:pPr>
              <w:pStyle w:val="28"/>
              <w:bidi w:val="0"/>
            </w:pPr>
          </w:p>
        </w:tc>
        <w:tc>
          <w:tcPr>
            <w:tcW w:w="1045" w:type="pct"/>
            <w:gridSpan w:val="3"/>
            <w:vAlign w:val="center"/>
          </w:tcPr>
          <w:p w14:paraId="507C8383">
            <w:pPr>
              <w:pStyle w:val="28"/>
              <w:bidi w:val="0"/>
            </w:pPr>
            <w:r>
              <w:rPr>
                <w:rFonts w:hint="eastAsia"/>
                <w:lang w:val="en-US" w:eastAsia="zh-CN"/>
              </w:rPr>
              <w:t>临时</w:t>
            </w:r>
            <w:r>
              <w:rPr>
                <w:rFonts w:hint="eastAsia"/>
              </w:rPr>
              <w:t>施工</w:t>
            </w:r>
            <w:r>
              <w:rPr>
                <w:rFonts w:hint="eastAsia"/>
                <w:lang w:val="en-US" w:eastAsia="zh-CN"/>
              </w:rPr>
              <w:t>生产</w:t>
            </w:r>
            <w:r>
              <w:rPr>
                <w:rFonts w:hint="eastAsia"/>
              </w:rPr>
              <w:t>生活区</w:t>
            </w:r>
          </w:p>
        </w:tc>
        <w:tc>
          <w:tcPr>
            <w:tcW w:w="2888" w:type="pct"/>
            <w:vAlign w:val="center"/>
          </w:tcPr>
          <w:p w14:paraId="2A3C1D43">
            <w:pPr>
              <w:pStyle w:val="28"/>
              <w:bidi w:val="0"/>
              <w:jc w:val="left"/>
              <w:rPr>
                <w:rFonts w:hint="eastAsia"/>
                <w:lang w:val="en-US" w:eastAsia="zh-CN"/>
              </w:rPr>
            </w:pPr>
            <w:r>
              <w:rPr>
                <w:rFonts w:hint="eastAsia"/>
                <w:lang w:val="en-US" w:eastAsia="zh-CN"/>
              </w:rPr>
              <w:t>本项目不涉及预制场，预制件均直接外购定制。</w:t>
            </w:r>
          </w:p>
          <w:p w14:paraId="789226CA">
            <w:pPr>
              <w:pStyle w:val="28"/>
              <w:bidi w:val="0"/>
              <w:jc w:val="left"/>
            </w:pPr>
            <w:r>
              <w:rPr>
                <w:rFonts w:hint="eastAsia"/>
              </w:rPr>
              <w:t>工程不设置拌合站，采用外购商品混凝土。</w:t>
            </w:r>
          </w:p>
          <w:p w14:paraId="704844D2">
            <w:pPr>
              <w:pStyle w:val="28"/>
              <w:bidi w:val="0"/>
              <w:jc w:val="left"/>
            </w:pPr>
            <w:r>
              <w:rPr>
                <w:rFonts w:hint="eastAsia"/>
                <w:lang w:val="en-US" w:eastAsia="zh-CN"/>
              </w:rPr>
              <w:t>本项目</w:t>
            </w:r>
            <w:r>
              <w:rPr>
                <w:rFonts w:hint="eastAsia"/>
              </w:rPr>
              <w:t>租用民房解决</w:t>
            </w:r>
            <w:r>
              <w:rPr>
                <w:rFonts w:hint="eastAsia"/>
                <w:lang w:val="en-US" w:eastAsia="zh-CN"/>
              </w:rPr>
              <w:t>生活区</w:t>
            </w:r>
            <w:r>
              <w:rPr>
                <w:rFonts w:hint="eastAsia"/>
              </w:rPr>
              <w:t>，</w:t>
            </w:r>
            <w:r>
              <w:rPr>
                <w:rFonts w:hint="eastAsia"/>
                <w:lang w:val="en-US" w:eastAsia="zh-CN"/>
              </w:rPr>
              <w:t>不</w:t>
            </w:r>
            <w:r>
              <w:rPr>
                <w:rFonts w:hint="eastAsia"/>
              </w:rPr>
              <w:t>设置临时工棚作为办公室、值班室，不设置食堂。</w:t>
            </w:r>
          </w:p>
        </w:tc>
        <w:tc>
          <w:tcPr>
            <w:tcW w:w="822" w:type="pct"/>
            <w:vMerge w:val="continue"/>
            <w:vAlign w:val="center"/>
          </w:tcPr>
          <w:p w14:paraId="605B301E">
            <w:pPr>
              <w:pStyle w:val="28"/>
              <w:bidi w:val="0"/>
            </w:pPr>
          </w:p>
        </w:tc>
      </w:tr>
      <w:tr w14:paraId="78B77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68AF2584">
            <w:pPr>
              <w:pStyle w:val="28"/>
              <w:bidi w:val="0"/>
            </w:pPr>
          </w:p>
        </w:tc>
        <w:tc>
          <w:tcPr>
            <w:tcW w:w="1045" w:type="pct"/>
            <w:gridSpan w:val="3"/>
            <w:vAlign w:val="center"/>
          </w:tcPr>
          <w:p w14:paraId="1B4A6B07">
            <w:pPr>
              <w:pStyle w:val="28"/>
              <w:bidi w:val="0"/>
              <w:rPr>
                <w:rFonts w:hint="default"/>
                <w:lang w:val="en-US" w:eastAsia="zh-CN"/>
              </w:rPr>
            </w:pPr>
            <w:r>
              <w:rPr>
                <w:rFonts w:hint="eastAsia"/>
                <w:lang w:val="en-US" w:eastAsia="zh-CN"/>
              </w:rPr>
              <w:t>临时堆土场</w:t>
            </w:r>
          </w:p>
        </w:tc>
        <w:tc>
          <w:tcPr>
            <w:tcW w:w="2888" w:type="pct"/>
            <w:vAlign w:val="center"/>
          </w:tcPr>
          <w:p w14:paraId="4448533A">
            <w:pPr>
              <w:pStyle w:val="28"/>
              <w:bidi w:val="0"/>
              <w:jc w:val="left"/>
              <w:rPr>
                <w:rFonts w:hint="eastAsia"/>
                <w:lang w:val="en-US" w:eastAsia="zh-CN"/>
              </w:rPr>
            </w:pPr>
          </w:p>
        </w:tc>
        <w:tc>
          <w:tcPr>
            <w:tcW w:w="822" w:type="pct"/>
            <w:vAlign w:val="center"/>
          </w:tcPr>
          <w:p w14:paraId="19B36858">
            <w:pPr>
              <w:pStyle w:val="28"/>
              <w:bidi w:val="0"/>
            </w:pPr>
          </w:p>
        </w:tc>
      </w:tr>
      <w:tr w14:paraId="4A137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restart"/>
            <w:vAlign w:val="center"/>
          </w:tcPr>
          <w:p w14:paraId="70013D5E">
            <w:pPr>
              <w:pStyle w:val="28"/>
              <w:bidi w:val="0"/>
            </w:pPr>
            <w:r>
              <w:rPr>
                <w:rFonts w:hint="eastAsia"/>
              </w:rPr>
              <w:t>公用工程</w:t>
            </w:r>
          </w:p>
        </w:tc>
        <w:tc>
          <w:tcPr>
            <w:tcW w:w="1045" w:type="pct"/>
            <w:gridSpan w:val="3"/>
            <w:vAlign w:val="center"/>
          </w:tcPr>
          <w:p w14:paraId="222B460B">
            <w:pPr>
              <w:pStyle w:val="28"/>
              <w:bidi w:val="0"/>
            </w:pPr>
            <w:r>
              <w:rPr>
                <w:rFonts w:hint="eastAsia"/>
              </w:rPr>
              <w:t>供水</w:t>
            </w:r>
          </w:p>
        </w:tc>
        <w:tc>
          <w:tcPr>
            <w:tcW w:w="2888" w:type="pct"/>
            <w:vAlign w:val="center"/>
          </w:tcPr>
          <w:p w14:paraId="2881918A">
            <w:pPr>
              <w:pStyle w:val="28"/>
              <w:bidi w:val="0"/>
              <w:jc w:val="left"/>
            </w:pPr>
            <w:r>
              <w:t>工程施工生产用水主要为养护用水及消防用水等</w:t>
            </w:r>
            <w:r>
              <w:rPr>
                <w:rFonts w:hint="eastAsia"/>
              </w:rPr>
              <w:t>，现场设2~5m3容量水塔1座，用水借用附近村镇供水系统解决。</w:t>
            </w:r>
          </w:p>
        </w:tc>
        <w:tc>
          <w:tcPr>
            <w:tcW w:w="822" w:type="pct"/>
            <w:vAlign w:val="center"/>
          </w:tcPr>
          <w:p w14:paraId="25AAD435">
            <w:pPr>
              <w:pStyle w:val="28"/>
              <w:bidi w:val="0"/>
            </w:pPr>
            <w:r>
              <w:rPr>
                <w:rFonts w:hint="eastAsia"/>
              </w:rPr>
              <w:t>/</w:t>
            </w:r>
          </w:p>
        </w:tc>
      </w:tr>
      <w:tr w14:paraId="4ED7C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5DFD7285">
            <w:pPr>
              <w:pStyle w:val="28"/>
              <w:bidi w:val="0"/>
            </w:pPr>
          </w:p>
        </w:tc>
        <w:tc>
          <w:tcPr>
            <w:tcW w:w="1045" w:type="pct"/>
            <w:gridSpan w:val="3"/>
            <w:vAlign w:val="center"/>
          </w:tcPr>
          <w:p w14:paraId="2AAC4021">
            <w:pPr>
              <w:pStyle w:val="28"/>
              <w:bidi w:val="0"/>
            </w:pPr>
            <w:r>
              <w:rPr>
                <w:rFonts w:hint="eastAsia"/>
              </w:rPr>
              <w:t>供电</w:t>
            </w:r>
          </w:p>
        </w:tc>
        <w:tc>
          <w:tcPr>
            <w:tcW w:w="2888" w:type="pct"/>
            <w:vAlign w:val="center"/>
          </w:tcPr>
          <w:p w14:paraId="7C3BFE05">
            <w:pPr>
              <w:pStyle w:val="28"/>
              <w:bidi w:val="0"/>
              <w:jc w:val="left"/>
            </w:pPr>
            <w:r>
              <w:rPr>
                <w:rFonts w:hint="eastAsia"/>
              </w:rPr>
              <w:t>直接利用附近现有供电线路，内设1台变压器；对于没有供电条件的，配备1台小型柴油发电机。</w:t>
            </w:r>
          </w:p>
        </w:tc>
        <w:tc>
          <w:tcPr>
            <w:tcW w:w="822" w:type="pct"/>
            <w:vAlign w:val="center"/>
          </w:tcPr>
          <w:p w14:paraId="726FE057">
            <w:pPr>
              <w:pStyle w:val="28"/>
              <w:bidi w:val="0"/>
            </w:pPr>
            <w:r>
              <w:rPr>
                <w:rFonts w:hint="eastAsia"/>
              </w:rPr>
              <w:t>年用810t柴油。</w:t>
            </w:r>
          </w:p>
        </w:tc>
      </w:tr>
      <w:tr w14:paraId="4250F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082B86C3">
            <w:pPr>
              <w:pStyle w:val="28"/>
              <w:bidi w:val="0"/>
            </w:pPr>
          </w:p>
        </w:tc>
        <w:tc>
          <w:tcPr>
            <w:tcW w:w="1045" w:type="pct"/>
            <w:gridSpan w:val="3"/>
            <w:vAlign w:val="center"/>
          </w:tcPr>
          <w:p w14:paraId="182E2D66">
            <w:pPr>
              <w:pStyle w:val="28"/>
              <w:bidi w:val="0"/>
            </w:pPr>
            <w:r>
              <w:rPr>
                <w:rFonts w:hint="eastAsia"/>
              </w:rPr>
              <w:t>排水</w:t>
            </w:r>
          </w:p>
        </w:tc>
        <w:tc>
          <w:tcPr>
            <w:tcW w:w="2888" w:type="pct"/>
            <w:vAlign w:val="center"/>
          </w:tcPr>
          <w:p w14:paraId="35195E4A">
            <w:pPr>
              <w:pStyle w:val="28"/>
              <w:bidi w:val="0"/>
              <w:jc w:val="left"/>
            </w:pPr>
            <w:r>
              <w:rPr>
                <w:rFonts w:hint="eastAsia"/>
              </w:rPr>
              <w:t>施工期生活用水经处理达标后用于农田灌溉；施工生产废水经处理后回用于车辆冲洗或者施工；运营期生活污水经污水处理设施预处理达标后通过市政污水管网排至下游城镇污水厂，没有条件接入污水管网的，生活污水经污水处理措施达标准就农利用或达标清运至周边污水处理厂。</w:t>
            </w:r>
          </w:p>
        </w:tc>
        <w:tc>
          <w:tcPr>
            <w:tcW w:w="822" w:type="pct"/>
            <w:vAlign w:val="center"/>
          </w:tcPr>
          <w:p w14:paraId="0B036E07">
            <w:pPr>
              <w:pStyle w:val="28"/>
              <w:bidi w:val="0"/>
            </w:pPr>
            <w:r>
              <w:rPr>
                <w:rFonts w:hint="eastAsia"/>
              </w:rPr>
              <w:t>施工生活污水</w:t>
            </w:r>
            <w:r>
              <w:t>317.9m3/d</w:t>
            </w:r>
            <w:r>
              <w:rPr>
                <w:rFonts w:hint="eastAsia"/>
              </w:rPr>
              <w:t>；施工生产废水115.43</w:t>
            </w:r>
            <w:r>
              <w:t>m3/d</w:t>
            </w:r>
            <w:r>
              <w:rPr>
                <w:rFonts w:hint="eastAsia"/>
              </w:rPr>
              <w:t>。</w:t>
            </w:r>
          </w:p>
        </w:tc>
      </w:tr>
      <w:tr w14:paraId="0225A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restart"/>
            <w:vAlign w:val="center"/>
          </w:tcPr>
          <w:p w14:paraId="5561E94A">
            <w:pPr>
              <w:pStyle w:val="28"/>
              <w:bidi w:val="0"/>
            </w:pPr>
            <w:r>
              <w:rPr>
                <w:rFonts w:hint="eastAsia"/>
              </w:rPr>
              <w:t>环保工程</w:t>
            </w:r>
          </w:p>
        </w:tc>
        <w:tc>
          <w:tcPr>
            <w:tcW w:w="314" w:type="pct"/>
            <w:vMerge w:val="restart"/>
            <w:vAlign w:val="center"/>
          </w:tcPr>
          <w:p w14:paraId="38F3FA9C">
            <w:pPr>
              <w:pStyle w:val="28"/>
              <w:bidi w:val="0"/>
            </w:pPr>
            <w:r>
              <w:rPr>
                <w:rFonts w:hint="eastAsia"/>
              </w:rPr>
              <w:t>废水处理</w:t>
            </w:r>
          </w:p>
        </w:tc>
        <w:tc>
          <w:tcPr>
            <w:tcW w:w="283" w:type="pct"/>
            <w:vMerge w:val="restart"/>
            <w:vAlign w:val="center"/>
          </w:tcPr>
          <w:p w14:paraId="69166F6B">
            <w:pPr>
              <w:pStyle w:val="28"/>
              <w:bidi w:val="0"/>
            </w:pPr>
            <w:r>
              <w:rPr>
                <w:rFonts w:hint="eastAsia"/>
              </w:rPr>
              <w:t>施工期</w:t>
            </w:r>
          </w:p>
        </w:tc>
        <w:tc>
          <w:tcPr>
            <w:tcW w:w="447" w:type="pct"/>
            <w:vAlign w:val="center"/>
          </w:tcPr>
          <w:p w14:paraId="37199102">
            <w:pPr>
              <w:pStyle w:val="28"/>
              <w:bidi w:val="0"/>
            </w:pPr>
            <w:r>
              <w:rPr>
                <w:rFonts w:hint="eastAsia"/>
              </w:rPr>
              <w:t>生活污水</w:t>
            </w:r>
          </w:p>
        </w:tc>
        <w:tc>
          <w:tcPr>
            <w:tcW w:w="2888" w:type="pct"/>
            <w:vAlign w:val="center"/>
          </w:tcPr>
          <w:p w14:paraId="288B42A6">
            <w:pPr>
              <w:pStyle w:val="28"/>
              <w:bidi w:val="0"/>
              <w:jc w:val="left"/>
            </w:pPr>
            <w:r>
              <w:rPr>
                <w:rFonts w:hint="eastAsia"/>
              </w:rPr>
              <w:t>依托</w:t>
            </w:r>
            <w:r>
              <w:rPr>
                <w:rFonts w:hint="eastAsia"/>
                <w:lang w:val="en-US" w:eastAsia="zh-CN"/>
              </w:rPr>
              <w:t>现状</w:t>
            </w:r>
            <w:r>
              <w:rPr>
                <w:rFonts w:hint="eastAsia"/>
              </w:rPr>
              <w:t>管理房、</w:t>
            </w:r>
            <w:r>
              <w:rPr>
                <w:rFonts w:hint="eastAsia"/>
                <w:lang w:val="en-US" w:eastAsia="zh-CN"/>
              </w:rPr>
              <w:t>周边</w:t>
            </w:r>
            <w:r>
              <w:rPr>
                <w:rFonts w:hint="eastAsia"/>
              </w:rPr>
              <w:t>民房生</w:t>
            </w:r>
            <w:r>
              <w:rPr>
                <w:rFonts w:hint="eastAsia"/>
                <w:lang w:val="en-US" w:eastAsia="zh-CN"/>
              </w:rPr>
              <w:t>的</w:t>
            </w:r>
            <w:r>
              <w:rPr>
                <w:rFonts w:hint="eastAsia"/>
              </w:rPr>
              <w:t>活污水处理设施。生活污水依托周边村庄处理达到行《农田灌溉水质标准》（GB5084-2021）中“水田作物”标准，用作周边农田灌溉。</w:t>
            </w:r>
          </w:p>
        </w:tc>
        <w:tc>
          <w:tcPr>
            <w:tcW w:w="822" w:type="pct"/>
            <w:vAlign w:val="center"/>
          </w:tcPr>
          <w:p w14:paraId="5D201132">
            <w:pPr>
              <w:pStyle w:val="28"/>
              <w:bidi w:val="0"/>
            </w:pPr>
            <w:r>
              <w:rPr>
                <w:rFonts w:hint="eastAsia"/>
              </w:rPr>
              <w:t>设置30个生活污水一体化处理装置。</w:t>
            </w:r>
          </w:p>
        </w:tc>
      </w:tr>
      <w:tr w14:paraId="341F9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253CCB88">
            <w:pPr>
              <w:pStyle w:val="28"/>
              <w:bidi w:val="0"/>
            </w:pPr>
          </w:p>
        </w:tc>
        <w:tc>
          <w:tcPr>
            <w:tcW w:w="314" w:type="pct"/>
            <w:vMerge w:val="continue"/>
            <w:vAlign w:val="center"/>
          </w:tcPr>
          <w:p w14:paraId="2689A1AA">
            <w:pPr>
              <w:pStyle w:val="28"/>
              <w:bidi w:val="0"/>
            </w:pPr>
          </w:p>
        </w:tc>
        <w:tc>
          <w:tcPr>
            <w:tcW w:w="283" w:type="pct"/>
            <w:vMerge w:val="continue"/>
            <w:vAlign w:val="center"/>
          </w:tcPr>
          <w:p w14:paraId="4C8D5F93">
            <w:pPr>
              <w:pStyle w:val="28"/>
              <w:bidi w:val="0"/>
            </w:pPr>
          </w:p>
        </w:tc>
        <w:tc>
          <w:tcPr>
            <w:tcW w:w="447" w:type="pct"/>
            <w:vAlign w:val="center"/>
          </w:tcPr>
          <w:p w14:paraId="48900C4C">
            <w:pPr>
              <w:pStyle w:val="28"/>
              <w:bidi w:val="0"/>
            </w:pPr>
            <w:r>
              <w:rPr>
                <w:rFonts w:hint="eastAsia"/>
              </w:rPr>
              <w:t>含油废水</w:t>
            </w:r>
          </w:p>
        </w:tc>
        <w:tc>
          <w:tcPr>
            <w:tcW w:w="2888" w:type="pct"/>
            <w:vAlign w:val="center"/>
          </w:tcPr>
          <w:p w14:paraId="6FAF6258">
            <w:pPr>
              <w:pStyle w:val="28"/>
              <w:bidi w:val="0"/>
              <w:jc w:val="left"/>
            </w:pPr>
            <w:r>
              <w:rPr>
                <w:rFonts w:hint="eastAsia"/>
              </w:rPr>
              <w:t>含油废水经“隔油+沉淀”处理后，达标用于施工机械维护清洗、施工场地洒水抑尘等，不外排。</w:t>
            </w:r>
          </w:p>
        </w:tc>
        <w:tc>
          <w:tcPr>
            <w:tcW w:w="822" w:type="pct"/>
            <w:vAlign w:val="center"/>
          </w:tcPr>
          <w:p w14:paraId="2CD5D14F">
            <w:pPr>
              <w:pStyle w:val="28"/>
              <w:bidi w:val="0"/>
            </w:pPr>
            <w:r>
              <w:rPr>
                <w:rFonts w:hint="eastAsia"/>
              </w:rPr>
              <w:t>设置32个隔油池或其他隔油装置。</w:t>
            </w:r>
          </w:p>
        </w:tc>
      </w:tr>
      <w:tr w14:paraId="464E7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30093E7F">
            <w:pPr>
              <w:pStyle w:val="28"/>
              <w:bidi w:val="0"/>
            </w:pPr>
          </w:p>
        </w:tc>
        <w:tc>
          <w:tcPr>
            <w:tcW w:w="314" w:type="pct"/>
            <w:vMerge w:val="continue"/>
            <w:vAlign w:val="center"/>
          </w:tcPr>
          <w:p w14:paraId="376F328E">
            <w:pPr>
              <w:pStyle w:val="28"/>
              <w:bidi w:val="0"/>
            </w:pPr>
          </w:p>
        </w:tc>
        <w:tc>
          <w:tcPr>
            <w:tcW w:w="283" w:type="pct"/>
            <w:vMerge w:val="continue"/>
            <w:vAlign w:val="center"/>
          </w:tcPr>
          <w:p w14:paraId="30EF2314">
            <w:pPr>
              <w:pStyle w:val="28"/>
              <w:bidi w:val="0"/>
            </w:pPr>
          </w:p>
        </w:tc>
        <w:tc>
          <w:tcPr>
            <w:tcW w:w="447" w:type="pct"/>
            <w:vAlign w:val="center"/>
          </w:tcPr>
          <w:p w14:paraId="5DF824CB">
            <w:pPr>
              <w:pStyle w:val="28"/>
              <w:bidi w:val="0"/>
            </w:pPr>
            <w:r>
              <w:rPr>
                <w:rFonts w:hint="eastAsia"/>
              </w:rPr>
              <w:t>混凝土施工废水</w:t>
            </w:r>
          </w:p>
        </w:tc>
        <w:tc>
          <w:tcPr>
            <w:tcW w:w="2888" w:type="pct"/>
            <w:vAlign w:val="center"/>
          </w:tcPr>
          <w:p w14:paraId="023C1A2D">
            <w:pPr>
              <w:pStyle w:val="28"/>
              <w:bidi w:val="0"/>
              <w:jc w:val="left"/>
            </w:pPr>
            <w:r>
              <w:rPr>
                <w:rFonts w:hint="eastAsia"/>
              </w:rPr>
              <w:t>混凝土施工废水经中和沉淀处理后，达标用于施工机械维护清洗、施工场地洒水抑尘等，不外排。</w:t>
            </w:r>
          </w:p>
        </w:tc>
        <w:tc>
          <w:tcPr>
            <w:tcW w:w="822" w:type="pct"/>
            <w:vMerge w:val="restart"/>
            <w:vAlign w:val="center"/>
          </w:tcPr>
          <w:p w14:paraId="4EAFFD3B">
            <w:pPr>
              <w:pStyle w:val="28"/>
              <w:bidi w:val="0"/>
            </w:pPr>
            <w:r>
              <w:t>设置中和沉淀池</w:t>
            </w:r>
            <w:r>
              <w:rPr>
                <w:rFonts w:hint="eastAsia"/>
              </w:rPr>
              <w:t>。</w:t>
            </w:r>
          </w:p>
        </w:tc>
      </w:tr>
      <w:tr w14:paraId="66DA4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60DB39C0">
            <w:pPr>
              <w:pStyle w:val="28"/>
              <w:bidi w:val="0"/>
            </w:pPr>
          </w:p>
        </w:tc>
        <w:tc>
          <w:tcPr>
            <w:tcW w:w="314" w:type="pct"/>
            <w:vMerge w:val="continue"/>
            <w:vAlign w:val="center"/>
          </w:tcPr>
          <w:p w14:paraId="515EDB2D">
            <w:pPr>
              <w:pStyle w:val="28"/>
              <w:bidi w:val="0"/>
            </w:pPr>
          </w:p>
        </w:tc>
        <w:tc>
          <w:tcPr>
            <w:tcW w:w="283" w:type="pct"/>
            <w:vMerge w:val="continue"/>
            <w:vAlign w:val="center"/>
          </w:tcPr>
          <w:p w14:paraId="00F9EDA0">
            <w:pPr>
              <w:pStyle w:val="28"/>
              <w:bidi w:val="0"/>
            </w:pPr>
          </w:p>
        </w:tc>
        <w:tc>
          <w:tcPr>
            <w:tcW w:w="447" w:type="pct"/>
            <w:vAlign w:val="center"/>
          </w:tcPr>
          <w:p w14:paraId="3A7B249D">
            <w:pPr>
              <w:pStyle w:val="28"/>
              <w:bidi w:val="0"/>
            </w:pPr>
            <w:r>
              <w:rPr>
                <w:rFonts w:hint="eastAsia"/>
              </w:rPr>
              <w:t>基坑排水</w:t>
            </w:r>
          </w:p>
        </w:tc>
        <w:tc>
          <w:tcPr>
            <w:tcW w:w="2888" w:type="pct"/>
            <w:vAlign w:val="center"/>
          </w:tcPr>
          <w:p w14:paraId="2F292D13">
            <w:pPr>
              <w:pStyle w:val="28"/>
              <w:bidi w:val="0"/>
              <w:jc w:val="left"/>
            </w:pPr>
            <w:r>
              <w:t>基坑水经沉淀2个小时后，悬浮物浓度可降到200mg/L以下，可回</w:t>
            </w:r>
            <w:r>
              <w:rPr>
                <w:rFonts w:hint="eastAsia"/>
              </w:rPr>
              <w:t>用作</w:t>
            </w:r>
            <w:r>
              <w:t>运输道路洒水和施工场地洒水，不外排。另外，禁止在雨季开挖施工。基坑排水回用于洒水降尘、施工生产，不直接排入渠道。</w:t>
            </w:r>
          </w:p>
        </w:tc>
        <w:tc>
          <w:tcPr>
            <w:tcW w:w="822" w:type="pct"/>
            <w:vMerge w:val="continue"/>
            <w:vAlign w:val="center"/>
          </w:tcPr>
          <w:p w14:paraId="3458C8F4">
            <w:pPr>
              <w:pStyle w:val="28"/>
              <w:bidi w:val="0"/>
            </w:pPr>
          </w:p>
        </w:tc>
      </w:tr>
      <w:tr w14:paraId="63780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4712EF92">
            <w:pPr>
              <w:pStyle w:val="28"/>
              <w:bidi w:val="0"/>
            </w:pPr>
          </w:p>
        </w:tc>
        <w:tc>
          <w:tcPr>
            <w:tcW w:w="314" w:type="pct"/>
            <w:vMerge w:val="continue"/>
            <w:vAlign w:val="center"/>
          </w:tcPr>
          <w:p w14:paraId="4572E74A">
            <w:pPr>
              <w:pStyle w:val="28"/>
              <w:bidi w:val="0"/>
            </w:pPr>
          </w:p>
        </w:tc>
        <w:tc>
          <w:tcPr>
            <w:tcW w:w="283" w:type="pct"/>
            <w:vAlign w:val="center"/>
          </w:tcPr>
          <w:p w14:paraId="4F4DA5EA">
            <w:pPr>
              <w:pStyle w:val="28"/>
              <w:bidi w:val="0"/>
            </w:pPr>
            <w:r>
              <w:rPr>
                <w:rFonts w:hint="eastAsia"/>
              </w:rPr>
              <w:t>运行期</w:t>
            </w:r>
          </w:p>
        </w:tc>
        <w:tc>
          <w:tcPr>
            <w:tcW w:w="447" w:type="pct"/>
            <w:vAlign w:val="center"/>
          </w:tcPr>
          <w:p w14:paraId="4C100476">
            <w:pPr>
              <w:pStyle w:val="28"/>
              <w:bidi w:val="0"/>
            </w:pPr>
            <w:r>
              <w:rPr>
                <w:rFonts w:hint="eastAsia"/>
              </w:rPr>
              <w:t>生活污水</w:t>
            </w:r>
          </w:p>
        </w:tc>
        <w:tc>
          <w:tcPr>
            <w:tcW w:w="2888" w:type="pct"/>
            <w:vAlign w:val="center"/>
          </w:tcPr>
          <w:p w14:paraId="5EBB9A8C">
            <w:pPr>
              <w:pStyle w:val="28"/>
              <w:bidi w:val="0"/>
              <w:jc w:val="left"/>
            </w:pPr>
            <w:r>
              <w:rPr>
                <w:rFonts w:hint="eastAsia"/>
              </w:rPr>
              <w:t>工程不新增管理人员，运营期生活污水经污水处理设施预处理达标后通过市政污水管网排至下游城镇污水厂，没有条件接入污水管网的，生活污水经污水处理措施达标准就农利用或达标清运至周边污水处理厂。</w:t>
            </w:r>
          </w:p>
        </w:tc>
        <w:tc>
          <w:tcPr>
            <w:tcW w:w="822" w:type="pct"/>
            <w:vAlign w:val="center"/>
          </w:tcPr>
          <w:p w14:paraId="7F3169A0">
            <w:pPr>
              <w:pStyle w:val="28"/>
              <w:bidi w:val="0"/>
            </w:pPr>
            <w:r>
              <w:rPr>
                <w:rFonts w:hint="eastAsia"/>
              </w:rPr>
              <w:t>/</w:t>
            </w:r>
          </w:p>
        </w:tc>
      </w:tr>
      <w:tr w14:paraId="62FC4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759B356D">
            <w:pPr>
              <w:pStyle w:val="28"/>
              <w:bidi w:val="0"/>
            </w:pPr>
          </w:p>
        </w:tc>
        <w:tc>
          <w:tcPr>
            <w:tcW w:w="314" w:type="pct"/>
            <w:vMerge w:val="restart"/>
            <w:vAlign w:val="center"/>
          </w:tcPr>
          <w:p w14:paraId="3D6A6492">
            <w:pPr>
              <w:pStyle w:val="28"/>
              <w:bidi w:val="0"/>
            </w:pPr>
            <w:r>
              <w:rPr>
                <w:rFonts w:hint="eastAsia"/>
              </w:rPr>
              <w:t>废气处理</w:t>
            </w:r>
          </w:p>
        </w:tc>
        <w:tc>
          <w:tcPr>
            <w:tcW w:w="283" w:type="pct"/>
            <w:vMerge w:val="restart"/>
            <w:vAlign w:val="center"/>
          </w:tcPr>
          <w:p w14:paraId="633A715D">
            <w:pPr>
              <w:pStyle w:val="28"/>
              <w:bidi w:val="0"/>
            </w:pPr>
            <w:r>
              <w:rPr>
                <w:rFonts w:hint="eastAsia"/>
              </w:rPr>
              <w:t>施工期</w:t>
            </w:r>
          </w:p>
        </w:tc>
        <w:tc>
          <w:tcPr>
            <w:tcW w:w="447" w:type="pct"/>
            <w:vAlign w:val="center"/>
          </w:tcPr>
          <w:p w14:paraId="0121448F">
            <w:pPr>
              <w:pStyle w:val="28"/>
              <w:bidi w:val="0"/>
            </w:pPr>
            <w:r>
              <w:rPr>
                <w:rFonts w:hint="eastAsia"/>
              </w:rPr>
              <w:t>施工扬尘</w:t>
            </w:r>
          </w:p>
        </w:tc>
        <w:tc>
          <w:tcPr>
            <w:tcW w:w="2888" w:type="pct"/>
            <w:vAlign w:val="center"/>
          </w:tcPr>
          <w:p w14:paraId="4DE90741">
            <w:pPr>
              <w:pStyle w:val="28"/>
              <w:bidi w:val="0"/>
              <w:jc w:val="left"/>
            </w:pPr>
            <w:r>
              <w:rPr>
                <w:rFonts w:hint="eastAsia"/>
              </w:rPr>
              <w:t>①</w:t>
            </w:r>
            <w:r>
              <w:t>硬化进场道路</w:t>
            </w:r>
            <w:r>
              <w:rPr>
                <w:rFonts w:hint="eastAsia"/>
              </w:rPr>
              <w:t>；</w:t>
            </w:r>
          </w:p>
          <w:p w14:paraId="354450AD">
            <w:pPr>
              <w:pStyle w:val="28"/>
              <w:bidi w:val="0"/>
              <w:jc w:val="left"/>
            </w:pPr>
            <w:r>
              <w:rPr>
                <w:rFonts w:hint="eastAsia"/>
              </w:rPr>
              <w:t>②</w:t>
            </w:r>
            <w:r>
              <w:t>加强施工道路管理和养护</w:t>
            </w:r>
            <w:r>
              <w:rPr>
                <w:rFonts w:hint="eastAsia"/>
              </w:rPr>
              <w:t>，</w:t>
            </w:r>
            <w:r>
              <w:t>及时清理场地路面渣土</w:t>
            </w:r>
            <w:r>
              <w:rPr>
                <w:rFonts w:hint="eastAsia"/>
              </w:rPr>
              <w:t>；</w:t>
            </w:r>
          </w:p>
          <w:p w14:paraId="45AE6547">
            <w:pPr>
              <w:pStyle w:val="28"/>
              <w:bidi w:val="0"/>
              <w:jc w:val="left"/>
            </w:pPr>
            <w:r>
              <w:rPr>
                <w:rFonts w:hint="eastAsia"/>
              </w:rPr>
              <w:t>③</w:t>
            </w:r>
            <w:r>
              <w:t>施工现场四周要加设临时遮挡，晴天和大风天气及时洒水抑尘</w:t>
            </w:r>
            <w:r>
              <w:rPr>
                <w:rFonts w:hint="eastAsia"/>
              </w:rPr>
              <w:t>；</w:t>
            </w:r>
          </w:p>
          <w:p w14:paraId="486E9634">
            <w:pPr>
              <w:pStyle w:val="28"/>
              <w:bidi w:val="0"/>
              <w:jc w:val="left"/>
            </w:pPr>
            <w:r>
              <w:rPr>
                <w:rFonts w:hint="eastAsia"/>
              </w:rPr>
              <w:t>④</w:t>
            </w:r>
            <w:r>
              <w:t>土方工程采取湿法作业，大风天气禁止装卸、搅拌和其他易产生扬尘的作业</w:t>
            </w:r>
            <w:r>
              <w:rPr>
                <w:rFonts w:hint="eastAsia"/>
              </w:rPr>
              <w:t>；</w:t>
            </w:r>
          </w:p>
          <w:p w14:paraId="47FEED2B">
            <w:pPr>
              <w:pStyle w:val="28"/>
              <w:bidi w:val="0"/>
              <w:jc w:val="left"/>
            </w:pPr>
            <w:r>
              <w:rPr>
                <w:rFonts w:hint="eastAsia"/>
              </w:rPr>
              <w:t>⑤</w:t>
            </w:r>
            <w:r>
              <w:t>商品混凝土搅拌系统</w:t>
            </w:r>
            <w:r>
              <w:rPr>
                <w:rFonts w:hint="eastAsia"/>
              </w:rPr>
              <w:t>、0.4m</w:t>
            </w:r>
            <w:r>
              <w:rPr>
                <w:rFonts w:hint="eastAsia"/>
                <w:vertAlign w:val="superscript"/>
              </w:rPr>
              <w:t>3</w:t>
            </w:r>
            <w:r>
              <w:rPr>
                <w:rFonts w:hint="eastAsia"/>
              </w:rPr>
              <w:t>搅拌系统</w:t>
            </w:r>
            <w:r>
              <w:t>等产尘施工点及时洒水降尘；</w:t>
            </w:r>
          </w:p>
          <w:p w14:paraId="174E4085">
            <w:pPr>
              <w:pStyle w:val="28"/>
              <w:bidi w:val="0"/>
              <w:jc w:val="left"/>
            </w:pPr>
            <w:r>
              <w:rPr>
                <w:rFonts w:hint="eastAsia"/>
              </w:rPr>
              <w:t>⑥水</w:t>
            </w:r>
            <w:r>
              <w:t>泥、石灰、砂土等</w:t>
            </w:r>
            <w:r>
              <w:rPr>
                <w:rFonts w:hint="eastAsia"/>
              </w:rPr>
              <w:t>仓库堆放</w:t>
            </w:r>
            <w:r>
              <w:t>，</w:t>
            </w:r>
            <w:r>
              <w:rPr>
                <w:rFonts w:hint="eastAsia"/>
              </w:rPr>
              <w:t>敞开堆放</w:t>
            </w:r>
            <w:r>
              <w:t>应对其在临时存放场所采取防风遮盖措施</w:t>
            </w:r>
            <w:r>
              <w:rPr>
                <w:rFonts w:hint="eastAsia"/>
              </w:rPr>
              <w:t>；</w:t>
            </w:r>
          </w:p>
          <w:p w14:paraId="453585D3">
            <w:pPr>
              <w:pStyle w:val="28"/>
              <w:bidi w:val="0"/>
              <w:jc w:val="left"/>
            </w:pPr>
            <w:r>
              <w:rPr>
                <w:rFonts w:hint="eastAsia"/>
              </w:rPr>
              <w:t>⑦晴天施工车辆经过村庄的情况下每天至少洒水2次，大风天要增加1～2次。</w:t>
            </w:r>
          </w:p>
        </w:tc>
        <w:tc>
          <w:tcPr>
            <w:tcW w:w="822" w:type="pct"/>
            <w:vAlign w:val="center"/>
          </w:tcPr>
          <w:p w14:paraId="2F7F16EA">
            <w:pPr>
              <w:pStyle w:val="28"/>
              <w:bidi w:val="0"/>
            </w:pPr>
            <w:r>
              <w:rPr>
                <w:rFonts w:hint="eastAsia"/>
              </w:rPr>
              <w:t>洒水喷淋设施；20t防尘聚乙烯覆膜/防尘网；88通风装置。</w:t>
            </w:r>
          </w:p>
        </w:tc>
      </w:tr>
      <w:tr w14:paraId="2B324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1DF069F5">
            <w:pPr>
              <w:pStyle w:val="28"/>
              <w:bidi w:val="0"/>
            </w:pPr>
          </w:p>
        </w:tc>
        <w:tc>
          <w:tcPr>
            <w:tcW w:w="314" w:type="pct"/>
            <w:vMerge w:val="continue"/>
            <w:vAlign w:val="center"/>
          </w:tcPr>
          <w:p w14:paraId="78610DE4">
            <w:pPr>
              <w:pStyle w:val="28"/>
              <w:bidi w:val="0"/>
            </w:pPr>
          </w:p>
        </w:tc>
        <w:tc>
          <w:tcPr>
            <w:tcW w:w="283" w:type="pct"/>
            <w:vMerge w:val="continue"/>
            <w:vAlign w:val="center"/>
          </w:tcPr>
          <w:p w14:paraId="5E96ECD1">
            <w:pPr>
              <w:pStyle w:val="28"/>
              <w:bidi w:val="0"/>
            </w:pPr>
          </w:p>
        </w:tc>
        <w:tc>
          <w:tcPr>
            <w:tcW w:w="447" w:type="pct"/>
            <w:vAlign w:val="center"/>
          </w:tcPr>
          <w:p w14:paraId="3C781A6B">
            <w:pPr>
              <w:pStyle w:val="28"/>
              <w:bidi w:val="0"/>
            </w:pPr>
            <w:r>
              <w:rPr>
                <w:rFonts w:hint="eastAsia"/>
              </w:rPr>
              <w:t>燃油废气</w:t>
            </w:r>
          </w:p>
        </w:tc>
        <w:tc>
          <w:tcPr>
            <w:tcW w:w="2888" w:type="pct"/>
            <w:vAlign w:val="center"/>
          </w:tcPr>
          <w:p w14:paraId="4BE79499">
            <w:pPr>
              <w:pStyle w:val="28"/>
              <w:bidi w:val="0"/>
              <w:jc w:val="left"/>
            </w:pPr>
            <w:r>
              <w:rPr>
                <w:rFonts w:hint="eastAsia"/>
              </w:rPr>
              <w:t>①</w:t>
            </w:r>
            <w:r>
              <w:t>选用废气排放符合国家有关标准的施工机械和运输工具；</w:t>
            </w:r>
          </w:p>
          <w:p w14:paraId="31CB9165">
            <w:pPr>
              <w:pStyle w:val="28"/>
              <w:bidi w:val="0"/>
              <w:jc w:val="left"/>
            </w:pPr>
            <w:r>
              <w:rPr>
                <w:rFonts w:hint="eastAsia"/>
              </w:rPr>
              <w:t>②</w:t>
            </w:r>
            <w:r>
              <w:t>加强对燃油机械设备的维护保养，定期检查维修，发动机应在正常、良好状态下工作；</w:t>
            </w:r>
          </w:p>
          <w:p w14:paraId="6308EF57">
            <w:pPr>
              <w:pStyle w:val="28"/>
              <w:bidi w:val="0"/>
              <w:jc w:val="left"/>
            </w:pPr>
            <w:r>
              <w:rPr>
                <w:rFonts w:hint="eastAsia"/>
              </w:rPr>
              <w:t>③</w:t>
            </w:r>
            <w:r>
              <w:t>柴油机械应安装尾气净化装置，禁止超载和使用劣质燃料。</w:t>
            </w:r>
          </w:p>
        </w:tc>
        <w:tc>
          <w:tcPr>
            <w:tcW w:w="822" w:type="pct"/>
            <w:vAlign w:val="center"/>
          </w:tcPr>
          <w:p w14:paraId="6B022104">
            <w:pPr>
              <w:pStyle w:val="28"/>
              <w:bidi w:val="0"/>
            </w:pPr>
            <w:r>
              <w:rPr>
                <w:rFonts w:hint="eastAsia"/>
              </w:rPr>
              <w:t>/</w:t>
            </w:r>
          </w:p>
        </w:tc>
      </w:tr>
      <w:tr w14:paraId="2BA30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0EF5E11F">
            <w:pPr>
              <w:pStyle w:val="28"/>
              <w:bidi w:val="0"/>
            </w:pPr>
          </w:p>
        </w:tc>
        <w:tc>
          <w:tcPr>
            <w:tcW w:w="314" w:type="pct"/>
            <w:vMerge w:val="continue"/>
            <w:vAlign w:val="center"/>
          </w:tcPr>
          <w:p w14:paraId="6C7DE245">
            <w:pPr>
              <w:pStyle w:val="28"/>
              <w:bidi w:val="0"/>
            </w:pPr>
          </w:p>
        </w:tc>
        <w:tc>
          <w:tcPr>
            <w:tcW w:w="283" w:type="pct"/>
            <w:vMerge w:val="continue"/>
            <w:vAlign w:val="center"/>
          </w:tcPr>
          <w:p w14:paraId="4F7EC222">
            <w:pPr>
              <w:pStyle w:val="28"/>
              <w:bidi w:val="0"/>
            </w:pPr>
          </w:p>
        </w:tc>
        <w:tc>
          <w:tcPr>
            <w:tcW w:w="447" w:type="pct"/>
            <w:vAlign w:val="center"/>
          </w:tcPr>
          <w:p w14:paraId="790EA0BD">
            <w:pPr>
              <w:pStyle w:val="28"/>
              <w:bidi w:val="0"/>
            </w:pPr>
            <w:r>
              <w:rPr>
                <w:rFonts w:hint="eastAsia"/>
              </w:rPr>
              <w:t>恶臭气体（清淤臭气）</w:t>
            </w:r>
          </w:p>
        </w:tc>
        <w:tc>
          <w:tcPr>
            <w:tcW w:w="2888" w:type="pct"/>
            <w:vAlign w:val="center"/>
          </w:tcPr>
          <w:p w14:paraId="6B6C312F">
            <w:pPr>
              <w:pStyle w:val="28"/>
              <w:bidi w:val="0"/>
              <w:jc w:val="left"/>
            </w:pPr>
            <w:r>
              <w:rPr>
                <w:rFonts w:hint="eastAsia"/>
              </w:rPr>
              <w:t>①严禁在指定区域以外的区域进行底泥的临时堆土场；</w:t>
            </w:r>
          </w:p>
          <w:p w14:paraId="53407FCB">
            <w:pPr>
              <w:pStyle w:val="28"/>
              <w:bidi w:val="0"/>
              <w:jc w:val="left"/>
            </w:pPr>
            <w:r>
              <w:rPr>
                <w:rFonts w:hint="eastAsia"/>
              </w:rPr>
              <w:t>②选址距离居民点50m以上，50m范围内存在居民的喷洒除臭剂，采用聚乙烯覆膜、弃土覆盖，减少臭气的暴露时间。</w:t>
            </w:r>
          </w:p>
        </w:tc>
        <w:tc>
          <w:tcPr>
            <w:tcW w:w="822" w:type="pct"/>
            <w:vAlign w:val="center"/>
          </w:tcPr>
          <w:p w14:paraId="3F77EF52">
            <w:pPr>
              <w:pStyle w:val="28"/>
              <w:bidi w:val="0"/>
            </w:pPr>
            <w:r>
              <w:rPr>
                <w:rFonts w:hint="eastAsia"/>
              </w:rPr>
              <w:t>5t防尘聚乙烯覆膜。</w:t>
            </w:r>
          </w:p>
        </w:tc>
      </w:tr>
      <w:tr w14:paraId="0CF5A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7972615A">
            <w:pPr>
              <w:pStyle w:val="28"/>
              <w:bidi w:val="0"/>
            </w:pPr>
          </w:p>
        </w:tc>
        <w:tc>
          <w:tcPr>
            <w:tcW w:w="314" w:type="pct"/>
            <w:vMerge w:val="restart"/>
            <w:vAlign w:val="center"/>
          </w:tcPr>
          <w:p w14:paraId="701F62D2">
            <w:pPr>
              <w:pStyle w:val="28"/>
              <w:bidi w:val="0"/>
            </w:pPr>
            <w:r>
              <w:rPr>
                <w:rFonts w:hint="eastAsia"/>
              </w:rPr>
              <w:t>噪声</w:t>
            </w:r>
          </w:p>
        </w:tc>
        <w:tc>
          <w:tcPr>
            <w:tcW w:w="730" w:type="pct"/>
            <w:gridSpan w:val="2"/>
            <w:vAlign w:val="center"/>
          </w:tcPr>
          <w:p w14:paraId="33D01D75">
            <w:pPr>
              <w:pStyle w:val="28"/>
              <w:bidi w:val="0"/>
            </w:pPr>
            <w:r>
              <w:rPr>
                <w:rFonts w:hint="eastAsia"/>
              </w:rPr>
              <w:t>施工期</w:t>
            </w:r>
          </w:p>
        </w:tc>
        <w:tc>
          <w:tcPr>
            <w:tcW w:w="2888" w:type="pct"/>
            <w:vAlign w:val="center"/>
          </w:tcPr>
          <w:p w14:paraId="2A5F2D9C">
            <w:pPr>
              <w:pStyle w:val="28"/>
              <w:bidi w:val="0"/>
              <w:jc w:val="left"/>
            </w:pPr>
            <w:r>
              <w:rPr>
                <w:rFonts w:hint="eastAsia"/>
              </w:rPr>
              <w:t>①</w:t>
            </w:r>
            <w:r>
              <w:t>选用低噪声机械设备</w:t>
            </w:r>
            <w:r>
              <w:rPr>
                <w:rFonts w:hint="eastAsia"/>
              </w:rPr>
              <w:t>，</w:t>
            </w:r>
            <w:r>
              <w:t>定期维护</w:t>
            </w:r>
            <w:r>
              <w:rPr>
                <w:rFonts w:hint="eastAsia"/>
              </w:rPr>
              <w:t>；</w:t>
            </w:r>
          </w:p>
          <w:p w14:paraId="2D0EC713">
            <w:pPr>
              <w:pStyle w:val="28"/>
              <w:bidi w:val="0"/>
              <w:jc w:val="left"/>
            </w:pPr>
            <w:r>
              <w:rPr>
                <w:rFonts w:hint="eastAsia"/>
              </w:rPr>
              <w:t>②合理安排施工时间，禁止夜间（22：00~6：00）施工；</w:t>
            </w:r>
          </w:p>
          <w:p w14:paraId="2079FF50">
            <w:pPr>
              <w:pStyle w:val="28"/>
              <w:bidi w:val="0"/>
              <w:jc w:val="left"/>
            </w:pPr>
            <w:r>
              <w:rPr>
                <w:rFonts w:hint="eastAsia"/>
              </w:rPr>
              <w:t>③施工场地周边存在居民点的，优先调整施工布置，将高噪声设备远离居民点布置；</w:t>
            </w:r>
          </w:p>
          <w:p w14:paraId="2A2E8323">
            <w:pPr>
              <w:pStyle w:val="28"/>
              <w:bidi w:val="0"/>
              <w:jc w:val="left"/>
            </w:pPr>
            <w:r>
              <w:rPr>
                <w:rFonts w:hint="eastAsia"/>
              </w:rPr>
              <w:t>④调整后施工场地55m范围内存在居民的，在靠近居民点一侧设置单层移动声屏障；施工场地40m范围内存在居民的，在靠近居民点一侧设置双层移动声屏障；</w:t>
            </w:r>
          </w:p>
          <w:p w14:paraId="38CB2AC7">
            <w:pPr>
              <w:pStyle w:val="28"/>
              <w:bidi w:val="0"/>
              <w:jc w:val="left"/>
            </w:pPr>
            <w:r>
              <w:rPr>
                <w:rFonts w:hint="eastAsia"/>
              </w:rPr>
              <w:t>⑤种植树木</w:t>
            </w:r>
          </w:p>
        </w:tc>
        <w:tc>
          <w:tcPr>
            <w:tcW w:w="822" w:type="pct"/>
            <w:vAlign w:val="center"/>
          </w:tcPr>
          <w:p w14:paraId="10543571">
            <w:pPr>
              <w:pStyle w:val="28"/>
              <w:bidi w:val="0"/>
            </w:pPr>
            <w:r>
              <w:rPr>
                <w:rFonts w:hint="eastAsia"/>
              </w:rPr>
              <w:t>159个移动隔声屏障，其中约62个双层隔声屏障。</w:t>
            </w:r>
          </w:p>
        </w:tc>
      </w:tr>
      <w:tr w14:paraId="726D53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4AC08791">
            <w:pPr>
              <w:pStyle w:val="28"/>
              <w:bidi w:val="0"/>
            </w:pPr>
          </w:p>
        </w:tc>
        <w:tc>
          <w:tcPr>
            <w:tcW w:w="314" w:type="pct"/>
            <w:vMerge w:val="continue"/>
            <w:vAlign w:val="center"/>
          </w:tcPr>
          <w:p w14:paraId="25B56AE1">
            <w:pPr>
              <w:pStyle w:val="28"/>
              <w:bidi w:val="0"/>
            </w:pPr>
          </w:p>
        </w:tc>
        <w:tc>
          <w:tcPr>
            <w:tcW w:w="730" w:type="pct"/>
            <w:gridSpan w:val="2"/>
            <w:vAlign w:val="center"/>
          </w:tcPr>
          <w:p w14:paraId="18A7A432">
            <w:pPr>
              <w:pStyle w:val="28"/>
              <w:bidi w:val="0"/>
            </w:pPr>
            <w:r>
              <w:rPr>
                <w:rFonts w:hint="eastAsia"/>
              </w:rPr>
              <w:t>运行期</w:t>
            </w:r>
          </w:p>
        </w:tc>
        <w:tc>
          <w:tcPr>
            <w:tcW w:w="2888" w:type="pct"/>
            <w:vAlign w:val="center"/>
          </w:tcPr>
          <w:p w14:paraId="2CD2E53E">
            <w:pPr>
              <w:pStyle w:val="28"/>
              <w:bidi w:val="0"/>
              <w:jc w:val="left"/>
            </w:pPr>
            <w:r>
              <w:rPr>
                <w:rFonts w:hint="eastAsia"/>
              </w:rPr>
              <w:t>①郑岗泵站采用低噪声潜水泵；</w:t>
            </w:r>
          </w:p>
          <w:p w14:paraId="07202580">
            <w:pPr>
              <w:pStyle w:val="28"/>
              <w:bidi w:val="0"/>
              <w:jc w:val="left"/>
            </w:pPr>
            <w:r>
              <w:rPr>
                <w:rFonts w:hint="eastAsia"/>
              </w:rPr>
              <w:t>②泵房内部安装隔声材料；</w:t>
            </w:r>
          </w:p>
          <w:p w14:paraId="35E58C27">
            <w:pPr>
              <w:pStyle w:val="28"/>
              <w:bidi w:val="0"/>
              <w:jc w:val="left"/>
            </w:pPr>
            <w:r>
              <w:rPr>
                <w:rFonts w:hint="eastAsia"/>
              </w:rPr>
              <w:t>③电机、潜水泵安装减震垫、隔声罩。</w:t>
            </w:r>
          </w:p>
        </w:tc>
        <w:tc>
          <w:tcPr>
            <w:tcW w:w="822" w:type="pct"/>
            <w:vAlign w:val="center"/>
          </w:tcPr>
          <w:p w14:paraId="155CE8D3">
            <w:pPr>
              <w:pStyle w:val="28"/>
              <w:bidi w:val="0"/>
            </w:pPr>
            <w:r>
              <w:t>减震垫5个；隔声罩5个</w:t>
            </w:r>
            <w:r>
              <w:rPr>
                <w:rFonts w:hint="eastAsia"/>
              </w:rPr>
              <w:t>。</w:t>
            </w:r>
          </w:p>
        </w:tc>
      </w:tr>
      <w:tr w14:paraId="23535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66EBECD5">
            <w:pPr>
              <w:pStyle w:val="28"/>
              <w:bidi w:val="0"/>
            </w:pPr>
          </w:p>
        </w:tc>
        <w:tc>
          <w:tcPr>
            <w:tcW w:w="314" w:type="pct"/>
            <w:vMerge w:val="restart"/>
            <w:vAlign w:val="center"/>
          </w:tcPr>
          <w:p w14:paraId="611DCF81">
            <w:pPr>
              <w:pStyle w:val="28"/>
              <w:bidi w:val="0"/>
            </w:pPr>
            <w:r>
              <w:rPr>
                <w:rFonts w:hint="eastAsia"/>
              </w:rPr>
              <w:t>固体废物</w:t>
            </w:r>
          </w:p>
        </w:tc>
        <w:tc>
          <w:tcPr>
            <w:tcW w:w="283" w:type="pct"/>
            <w:vMerge w:val="restart"/>
            <w:vAlign w:val="center"/>
          </w:tcPr>
          <w:p w14:paraId="134B05EA">
            <w:pPr>
              <w:pStyle w:val="28"/>
              <w:bidi w:val="0"/>
            </w:pPr>
            <w:r>
              <w:rPr>
                <w:rFonts w:hint="eastAsia"/>
              </w:rPr>
              <w:t>施工期</w:t>
            </w:r>
          </w:p>
        </w:tc>
        <w:tc>
          <w:tcPr>
            <w:tcW w:w="447" w:type="pct"/>
            <w:vAlign w:val="center"/>
          </w:tcPr>
          <w:p w14:paraId="76F1A2F6">
            <w:pPr>
              <w:pStyle w:val="28"/>
              <w:bidi w:val="0"/>
            </w:pPr>
            <w:r>
              <w:rPr>
                <w:rFonts w:hint="eastAsia"/>
              </w:rPr>
              <w:t>生活垃圾</w:t>
            </w:r>
          </w:p>
        </w:tc>
        <w:tc>
          <w:tcPr>
            <w:tcW w:w="2888" w:type="pct"/>
            <w:vAlign w:val="center"/>
          </w:tcPr>
          <w:p w14:paraId="00AFAA67">
            <w:pPr>
              <w:pStyle w:val="28"/>
              <w:bidi w:val="0"/>
              <w:jc w:val="left"/>
            </w:pPr>
            <w:r>
              <w:t>各施工点生活垃圾每日进行清扫收集，并委托当地环卫部门进行统一收运处理，不外排。</w:t>
            </w:r>
          </w:p>
        </w:tc>
        <w:tc>
          <w:tcPr>
            <w:tcW w:w="822" w:type="pct"/>
            <w:vAlign w:val="center"/>
          </w:tcPr>
          <w:p w14:paraId="0D5860A7">
            <w:pPr>
              <w:pStyle w:val="28"/>
              <w:bidi w:val="0"/>
            </w:pPr>
            <w:r>
              <w:rPr>
                <w:rFonts w:hint="eastAsia"/>
              </w:rPr>
              <w:t>92个生活垃圾桶。</w:t>
            </w:r>
          </w:p>
        </w:tc>
      </w:tr>
      <w:tr w14:paraId="4C8B7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0DC4C33C">
            <w:pPr>
              <w:pStyle w:val="28"/>
              <w:bidi w:val="0"/>
            </w:pPr>
          </w:p>
        </w:tc>
        <w:tc>
          <w:tcPr>
            <w:tcW w:w="314" w:type="pct"/>
            <w:vMerge w:val="continue"/>
            <w:vAlign w:val="center"/>
          </w:tcPr>
          <w:p w14:paraId="747FB6A4">
            <w:pPr>
              <w:pStyle w:val="28"/>
              <w:bidi w:val="0"/>
            </w:pPr>
          </w:p>
        </w:tc>
        <w:tc>
          <w:tcPr>
            <w:tcW w:w="283" w:type="pct"/>
            <w:vMerge w:val="continue"/>
            <w:vAlign w:val="center"/>
          </w:tcPr>
          <w:p w14:paraId="0798FCB9">
            <w:pPr>
              <w:pStyle w:val="28"/>
              <w:bidi w:val="0"/>
            </w:pPr>
          </w:p>
        </w:tc>
        <w:tc>
          <w:tcPr>
            <w:tcW w:w="447" w:type="pct"/>
            <w:vAlign w:val="center"/>
          </w:tcPr>
          <w:p w14:paraId="0D09FF9D">
            <w:pPr>
              <w:pStyle w:val="28"/>
              <w:bidi w:val="0"/>
            </w:pPr>
            <w:r>
              <w:rPr>
                <w:rFonts w:hint="eastAsia"/>
              </w:rPr>
              <w:t>建筑垃圾、混凝土养护废渣</w:t>
            </w:r>
          </w:p>
        </w:tc>
        <w:tc>
          <w:tcPr>
            <w:tcW w:w="2888" w:type="pct"/>
            <w:vAlign w:val="center"/>
          </w:tcPr>
          <w:p w14:paraId="1D33CABC">
            <w:pPr>
              <w:pStyle w:val="28"/>
              <w:bidi w:val="0"/>
              <w:jc w:val="left"/>
            </w:pPr>
            <w:r>
              <w:t>建筑垃圾优先回用于道路铺筑等工程建设，剩余外售综合利用或委托建筑垃圾填埋场填埋；</w:t>
            </w:r>
          </w:p>
        </w:tc>
        <w:tc>
          <w:tcPr>
            <w:tcW w:w="822" w:type="pct"/>
            <w:vAlign w:val="center"/>
          </w:tcPr>
          <w:p w14:paraId="60BB388D">
            <w:pPr>
              <w:pStyle w:val="28"/>
              <w:bidi w:val="0"/>
            </w:pPr>
            <w:r>
              <w:rPr>
                <w:rFonts w:hint="eastAsia"/>
              </w:rPr>
              <w:t>/</w:t>
            </w:r>
          </w:p>
        </w:tc>
      </w:tr>
      <w:tr w14:paraId="2EC4B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6C5A92EB">
            <w:pPr>
              <w:pStyle w:val="28"/>
              <w:bidi w:val="0"/>
            </w:pPr>
          </w:p>
        </w:tc>
        <w:tc>
          <w:tcPr>
            <w:tcW w:w="314" w:type="pct"/>
            <w:vMerge w:val="continue"/>
            <w:vAlign w:val="center"/>
          </w:tcPr>
          <w:p w14:paraId="107458B4">
            <w:pPr>
              <w:pStyle w:val="28"/>
              <w:bidi w:val="0"/>
            </w:pPr>
          </w:p>
        </w:tc>
        <w:tc>
          <w:tcPr>
            <w:tcW w:w="283" w:type="pct"/>
            <w:vMerge w:val="continue"/>
            <w:vAlign w:val="center"/>
          </w:tcPr>
          <w:p w14:paraId="4E441AA6">
            <w:pPr>
              <w:pStyle w:val="28"/>
              <w:bidi w:val="0"/>
            </w:pPr>
          </w:p>
        </w:tc>
        <w:tc>
          <w:tcPr>
            <w:tcW w:w="447" w:type="pct"/>
            <w:vAlign w:val="center"/>
          </w:tcPr>
          <w:p w14:paraId="69DDCDDB">
            <w:pPr>
              <w:pStyle w:val="28"/>
              <w:bidi w:val="0"/>
            </w:pPr>
            <w:r>
              <w:rPr>
                <w:rFonts w:hint="eastAsia"/>
              </w:rPr>
              <w:t>弃土</w:t>
            </w:r>
          </w:p>
        </w:tc>
        <w:tc>
          <w:tcPr>
            <w:tcW w:w="2888" w:type="pct"/>
            <w:vAlign w:val="center"/>
          </w:tcPr>
          <w:p w14:paraId="19334EBE">
            <w:pPr>
              <w:pStyle w:val="28"/>
              <w:bidi w:val="0"/>
              <w:jc w:val="left"/>
            </w:pPr>
            <w:r>
              <w:t>挖方临时堆存后优先回用于项目建设，剩余弃土运送至弃土场。</w:t>
            </w:r>
          </w:p>
        </w:tc>
        <w:tc>
          <w:tcPr>
            <w:tcW w:w="822" w:type="pct"/>
            <w:vAlign w:val="center"/>
          </w:tcPr>
          <w:p w14:paraId="7FEFC556">
            <w:pPr>
              <w:pStyle w:val="28"/>
              <w:bidi w:val="0"/>
            </w:pPr>
            <w:r>
              <w:rPr>
                <w:rFonts w:hint="eastAsia"/>
              </w:rPr>
              <w:t>项目设置43个弃土场，其中27个采用取弃结合的方式（取弃土场）。</w:t>
            </w:r>
          </w:p>
        </w:tc>
      </w:tr>
      <w:tr w14:paraId="2881E3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351777C6">
            <w:pPr>
              <w:pStyle w:val="28"/>
              <w:bidi w:val="0"/>
            </w:pPr>
          </w:p>
        </w:tc>
        <w:tc>
          <w:tcPr>
            <w:tcW w:w="314" w:type="pct"/>
            <w:vMerge w:val="continue"/>
            <w:vAlign w:val="center"/>
          </w:tcPr>
          <w:p w14:paraId="0D4103FF">
            <w:pPr>
              <w:pStyle w:val="28"/>
              <w:bidi w:val="0"/>
            </w:pPr>
          </w:p>
        </w:tc>
        <w:tc>
          <w:tcPr>
            <w:tcW w:w="283" w:type="pct"/>
            <w:vMerge w:val="continue"/>
            <w:vAlign w:val="center"/>
          </w:tcPr>
          <w:p w14:paraId="1F1D1C0C">
            <w:pPr>
              <w:pStyle w:val="28"/>
              <w:bidi w:val="0"/>
            </w:pPr>
          </w:p>
        </w:tc>
        <w:tc>
          <w:tcPr>
            <w:tcW w:w="447" w:type="pct"/>
            <w:vAlign w:val="center"/>
          </w:tcPr>
          <w:p w14:paraId="3E340A70">
            <w:pPr>
              <w:pStyle w:val="28"/>
              <w:bidi w:val="0"/>
            </w:pPr>
            <w:r>
              <w:rPr>
                <w:rFonts w:hint="eastAsia"/>
              </w:rPr>
              <w:t>危险废物</w:t>
            </w:r>
          </w:p>
        </w:tc>
        <w:tc>
          <w:tcPr>
            <w:tcW w:w="2888" w:type="pct"/>
            <w:vAlign w:val="center"/>
          </w:tcPr>
          <w:p w14:paraId="03209774">
            <w:pPr>
              <w:pStyle w:val="28"/>
              <w:bidi w:val="0"/>
              <w:jc w:val="left"/>
            </w:pPr>
            <w:r>
              <w:rPr>
                <w:rFonts w:hint="eastAsia"/>
              </w:rPr>
              <w:t>危险废物包括废涂料、废涂料包装物、废机油、废机油桶、含油抹布等，</w:t>
            </w:r>
            <w:r>
              <w:t>采用专用危险废物储存容器</w:t>
            </w:r>
            <w:r>
              <w:rPr>
                <w:rFonts w:hint="eastAsia"/>
              </w:rPr>
              <w:t>分类集中收集后，转运至管理房危险废物仓库依托暂存，定期委托有资质的单位处置。</w:t>
            </w:r>
          </w:p>
        </w:tc>
        <w:tc>
          <w:tcPr>
            <w:tcW w:w="822" w:type="pct"/>
            <w:vAlign w:val="center"/>
          </w:tcPr>
          <w:p w14:paraId="6B850002">
            <w:pPr>
              <w:pStyle w:val="28"/>
              <w:bidi w:val="0"/>
            </w:pPr>
            <w:r>
              <w:rPr>
                <w:rFonts w:hint="eastAsia"/>
              </w:rPr>
              <w:t>40</w:t>
            </w:r>
            <w:r>
              <w:t>个危险废物</w:t>
            </w:r>
            <w:r>
              <w:rPr>
                <w:rFonts w:hint="eastAsia"/>
              </w:rPr>
              <w:t>专用收集容器</w:t>
            </w:r>
            <w:r>
              <w:t>（每个工程至少</w:t>
            </w:r>
            <w:r>
              <w:rPr>
                <w:rFonts w:hint="eastAsia"/>
              </w:rPr>
              <w:t>集中设置1个</w:t>
            </w:r>
            <w:r>
              <w:t>专用危险废物储存容器）</w:t>
            </w:r>
          </w:p>
        </w:tc>
      </w:tr>
      <w:tr w14:paraId="1F6A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56538FDD">
            <w:pPr>
              <w:pStyle w:val="28"/>
              <w:bidi w:val="0"/>
            </w:pPr>
          </w:p>
        </w:tc>
        <w:tc>
          <w:tcPr>
            <w:tcW w:w="314" w:type="pct"/>
            <w:vMerge w:val="continue"/>
            <w:vAlign w:val="center"/>
          </w:tcPr>
          <w:p w14:paraId="408FF511">
            <w:pPr>
              <w:pStyle w:val="28"/>
              <w:bidi w:val="0"/>
            </w:pPr>
          </w:p>
        </w:tc>
        <w:tc>
          <w:tcPr>
            <w:tcW w:w="283" w:type="pct"/>
            <w:vMerge w:val="restart"/>
            <w:vAlign w:val="center"/>
          </w:tcPr>
          <w:p w14:paraId="186F06D1">
            <w:pPr>
              <w:pStyle w:val="28"/>
              <w:bidi w:val="0"/>
            </w:pPr>
            <w:r>
              <w:rPr>
                <w:rFonts w:hint="eastAsia"/>
              </w:rPr>
              <w:t>运行期</w:t>
            </w:r>
          </w:p>
        </w:tc>
        <w:tc>
          <w:tcPr>
            <w:tcW w:w="447" w:type="pct"/>
            <w:vAlign w:val="center"/>
          </w:tcPr>
          <w:p w14:paraId="0BEB034E">
            <w:pPr>
              <w:pStyle w:val="28"/>
              <w:bidi w:val="0"/>
            </w:pPr>
            <w:r>
              <w:rPr>
                <w:rFonts w:hint="eastAsia"/>
              </w:rPr>
              <w:t>危险废物</w:t>
            </w:r>
          </w:p>
        </w:tc>
        <w:tc>
          <w:tcPr>
            <w:tcW w:w="2888" w:type="pct"/>
            <w:vAlign w:val="center"/>
          </w:tcPr>
          <w:p w14:paraId="72251FC9">
            <w:pPr>
              <w:pStyle w:val="28"/>
              <w:bidi w:val="0"/>
              <w:jc w:val="left"/>
            </w:pPr>
            <w:r>
              <w:rPr>
                <w:rFonts w:hint="eastAsia"/>
              </w:rPr>
              <w:t>设备维护产生少量的废机油、含油抹布，经危险废物仓库暂存后委托有资质的单位处置。</w:t>
            </w:r>
          </w:p>
        </w:tc>
        <w:tc>
          <w:tcPr>
            <w:tcW w:w="822" w:type="pct"/>
            <w:vAlign w:val="center"/>
          </w:tcPr>
          <w:p w14:paraId="13E9D91C">
            <w:pPr>
              <w:pStyle w:val="28"/>
              <w:bidi w:val="0"/>
            </w:pPr>
            <w:r>
              <w:rPr>
                <w:rFonts w:hint="eastAsia"/>
              </w:rPr>
              <w:t>依托现有危险废物暂存。</w:t>
            </w:r>
          </w:p>
        </w:tc>
      </w:tr>
      <w:tr w14:paraId="7D7BE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03BDCFC7">
            <w:pPr>
              <w:pStyle w:val="28"/>
              <w:bidi w:val="0"/>
            </w:pPr>
          </w:p>
        </w:tc>
        <w:tc>
          <w:tcPr>
            <w:tcW w:w="314" w:type="pct"/>
            <w:vMerge w:val="continue"/>
            <w:vAlign w:val="center"/>
          </w:tcPr>
          <w:p w14:paraId="799C03C1">
            <w:pPr>
              <w:pStyle w:val="28"/>
              <w:bidi w:val="0"/>
            </w:pPr>
          </w:p>
        </w:tc>
        <w:tc>
          <w:tcPr>
            <w:tcW w:w="283" w:type="pct"/>
            <w:vMerge w:val="continue"/>
            <w:vAlign w:val="center"/>
          </w:tcPr>
          <w:p w14:paraId="5455CF6C">
            <w:pPr>
              <w:pStyle w:val="28"/>
              <w:bidi w:val="0"/>
            </w:pPr>
          </w:p>
        </w:tc>
        <w:tc>
          <w:tcPr>
            <w:tcW w:w="447" w:type="pct"/>
            <w:vAlign w:val="center"/>
          </w:tcPr>
          <w:p w14:paraId="15213CA8">
            <w:pPr>
              <w:pStyle w:val="28"/>
              <w:bidi w:val="0"/>
            </w:pPr>
            <w:r>
              <w:rPr>
                <w:rFonts w:hint="eastAsia"/>
              </w:rPr>
              <w:t>生活垃圾</w:t>
            </w:r>
          </w:p>
        </w:tc>
        <w:tc>
          <w:tcPr>
            <w:tcW w:w="2888" w:type="pct"/>
            <w:vAlign w:val="center"/>
          </w:tcPr>
          <w:p w14:paraId="25C8C100">
            <w:pPr>
              <w:pStyle w:val="28"/>
              <w:bidi w:val="0"/>
              <w:jc w:val="left"/>
            </w:pPr>
            <w:r>
              <w:rPr>
                <w:rFonts w:hint="eastAsia"/>
              </w:rPr>
              <w:t>经垃圾桶收集后，定期交由环卫部门处置。</w:t>
            </w:r>
          </w:p>
        </w:tc>
        <w:tc>
          <w:tcPr>
            <w:tcW w:w="822" w:type="pct"/>
            <w:vAlign w:val="center"/>
          </w:tcPr>
          <w:p w14:paraId="57C4EF52">
            <w:pPr>
              <w:pStyle w:val="28"/>
              <w:bidi w:val="0"/>
            </w:pPr>
            <w:r>
              <w:rPr>
                <w:rFonts w:hint="eastAsia"/>
              </w:rPr>
              <w:t>不新增管理人员</w:t>
            </w:r>
          </w:p>
        </w:tc>
      </w:tr>
      <w:tr w14:paraId="2C8E7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19367B46">
            <w:pPr>
              <w:pStyle w:val="28"/>
              <w:bidi w:val="0"/>
            </w:pPr>
          </w:p>
        </w:tc>
        <w:tc>
          <w:tcPr>
            <w:tcW w:w="314" w:type="pct"/>
            <w:vMerge w:val="restart"/>
            <w:vAlign w:val="center"/>
          </w:tcPr>
          <w:p w14:paraId="20969773">
            <w:pPr>
              <w:pStyle w:val="28"/>
              <w:bidi w:val="0"/>
            </w:pPr>
            <w:r>
              <w:rPr>
                <w:rFonts w:hint="eastAsia"/>
              </w:rPr>
              <w:t>生态</w:t>
            </w:r>
          </w:p>
        </w:tc>
        <w:tc>
          <w:tcPr>
            <w:tcW w:w="283" w:type="pct"/>
            <w:vMerge w:val="restart"/>
            <w:vAlign w:val="center"/>
          </w:tcPr>
          <w:p w14:paraId="7A71FD70">
            <w:pPr>
              <w:pStyle w:val="28"/>
              <w:bidi w:val="0"/>
            </w:pPr>
            <w:r>
              <w:rPr>
                <w:rFonts w:hint="eastAsia"/>
              </w:rPr>
              <w:t>施工期</w:t>
            </w:r>
          </w:p>
        </w:tc>
        <w:tc>
          <w:tcPr>
            <w:tcW w:w="447" w:type="pct"/>
            <w:vAlign w:val="center"/>
          </w:tcPr>
          <w:p w14:paraId="3CED1B4D">
            <w:pPr>
              <w:pStyle w:val="28"/>
              <w:bidi w:val="0"/>
            </w:pPr>
            <w:r>
              <w:rPr>
                <w:rFonts w:hint="eastAsia"/>
              </w:rPr>
              <w:t>永久占地</w:t>
            </w:r>
          </w:p>
        </w:tc>
        <w:tc>
          <w:tcPr>
            <w:tcW w:w="2888" w:type="pct"/>
            <w:vAlign w:val="center"/>
          </w:tcPr>
          <w:p w14:paraId="6D9DB75F">
            <w:pPr>
              <w:pStyle w:val="28"/>
              <w:bidi w:val="0"/>
              <w:jc w:val="left"/>
            </w:pPr>
            <w:r>
              <w:rPr>
                <w:rFonts w:hint="eastAsia"/>
              </w:rPr>
              <w:t>工程不新增永久占地。</w:t>
            </w:r>
          </w:p>
        </w:tc>
        <w:tc>
          <w:tcPr>
            <w:tcW w:w="822" w:type="pct"/>
            <w:vAlign w:val="center"/>
          </w:tcPr>
          <w:p w14:paraId="5F0AD529">
            <w:pPr>
              <w:pStyle w:val="28"/>
              <w:bidi w:val="0"/>
            </w:pPr>
            <w:r>
              <w:rPr>
                <w:rFonts w:hint="eastAsia"/>
              </w:rPr>
              <w:t>永久占地面积455.18hm2</w:t>
            </w:r>
          </w:p>
        </w:tc>
      </w:tr>
      <w:tr w14:paraId="7B2BA4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2659C42A">
            <w:pPr>
              <w:pStyle w:val="28"/>
              <w:bidi w:val="0"/>
            </w:pPr>
          </w:p>
        </w:tc>
        <w:tc>
          <w:tcPr>
            <w:tcW w:w="314" w:type="pct"/>
            <w:vMerge w:val="continue"/>
            <w:vAlign w:val="center"/>
          </w:tcPr>
          <w:p w14:paraId="6DBDC336">
            <w:pPr>
              <w:pStyle w:val="28"/>
              <w:bidi w:val="0"/>
            </w:pPr>
          </w:p>
        </w:tc>
        <w:tc>
          <w:tcPr>
            <w:tcW w:w="283" w:type="pct"/>
            <w:vMerge w:val="continue"/>
            <w:vAlign w:val="center"/>
          </w:tcPr>
          <w:p w14:paraId="1A2F3687">
            <w:pPr>
              <w:pStyle w:val="28"/>
              <w:bidi w:val="0"/>
            </w:pPr>
          </w:p>
        </w:tc>
        <w:tc>
          <w:tcPr>
            <w:tcW w:w="447" w:type="pct"/>
            <w:vAlign w:val="center"/>
          </w:tcPr>
          <w:p w14:paraId="2DF70450">
            <w:pPr>
              <w:pStyle w:val="28"/>
              <w:bidi w:val="0"/>
            </w:pPr>
            <w:r>
              <w:rPr>
                <w:rFonts w:hint="eastAsia"/>
              </w:rPr>
              <w:t>临时占地</w:t>
            </w:r>
          </w:p>
        </w:tc>
        <w:tc>
          <w:tcPr>
            <w:tcW w:w="2888" w:type="pct"/>
            <w:vAlign w:val="center"/>
          </w:tcPr>
          <w:p w14:paraId="65A63AFB">
            <w:pPr>
              <w:pStyle w:val="28"/>
              <w:bidi w:val="0"/>
              <w:jc w:val="left"/>
            </w:pPr>
            <w:r>
              <w:rPr>
                <w:rFonts w:hint="eastAsia"/>
              </w:rPr>
              <w:t>①采用弃土、弃土取弃结合的方式减少取弃土场的占地面积，采用依托管理房或租用民房的方式减少施工布置（仓库、生活区等）占地；</w:t>
            </w:r>
          </w:p>
          <w:p w14:paraId="6B0A5576">
            <w:pPr>
              <w:pStyle w:val="28"/>
              <w:bidi w:val="0"/>
              <w:jc w:val="left"/>
            </w:pPr>
            <w:r>
              <w:rPr>
                <w:rFonts w:hint="eastAsia"/>
              </w:rPr>
              <w:t>②选址避让生态红线、风景名胜区、紫蓬山国家森林公园、、安丰塘和聚星渡槽等文物单位保护范围等敏感区；</w:t>
            </w:r>
          </w:p>
          <w:p w14:paraId="37EDB9AF">
            <w:pPr>
              <w:pStyle w:val="28"/>
              <w:bidi w:val="0"/>
              <w:jc w:val="left"/>
            </w:pPr>
            <w:r>
              <w:rPr>
                <w:rFonts w:hint="eastAsia"/>
              </w:rPr>
              <w:t>③选址避让重要野生动植物生长繁殖、栖息地特别是野大豆等；</w:t>
            </w:r>
          </w:p>
          <w:p w14:paraId="7B8FD79A">
            <w:pPr>
              <w:pStyle w:val="28"/>
              <w:bidi w:val="0"/>
              <w:jc w:val="left"/>
            </w:pPr>
            <w:r>
              <w:rPr>
                <w:rFonts w:hint="eastAsia"/>
              </w:rPr>
              <w:t>④临时占地采取表土剥离、分层堆放、分层回填、及时复垦、复耕、植被恢复等措施；</w:t>
            </w:r>
          </w:p>
          <w:p w14:paraId="362BC2F9">
            <w:pPr>
              <w:pStyle w:val="28"/>
              <w:bidi w:val="0"/>
              <w:jc w:val="left"/>
            </w:pPr>
            <w:r>
              <w:rPr>
                <w:rFonts w:hint="eastAsia"/>
              </w:rPr>
              <w:t>⑤</w:t>
            </w:r>
            <w:r>
              <w:t>按水土保持设计方案，采用植物措施和工程措施相结合的方式进行水土保持工作</w:t>
            </w:r>
            <w:r>
              <w:rPr>
                <w:rFonts w:hint="eastAsia"/>
              </w:rPr>
              <w:t>；</w:t>
            </w:r>
          </w:p>
        </w:tc>
        <w:tc>
          <w:tcPr>
            <w:tcW w:w="822" w:type="pct"/>
            <w:vAlign w:val="center"/>
          </w:tcPr>
          <w:p w14:paraId="7A167055">
            <w:pPr>
              <w:pStyle w:val="28"/>
              <w:bidi w:val="0"/>
            </w:pPr>
            <w:r>
              <w:rPr>
                <w:rFonts w:hint="eastAsia"/>
              </w:rPr>
              <w:t>临时占地167.15hm2</w:t>
            </w:r>
          </w:p>
        </w:tc>
      </w:tr>
      <w:tr w14:paraId="11FE3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4B5E96E4">
            <w:pPr>
              <w:pStyle w:val="28"/>
              <w:bidi w:val="0"/>
            </w:pPr>
          </w:p>
        </w:tc>
        <w:tc>
          <w:tcPr>
            <w:tcW w:w="314" w:type="pct"/>
            <w:vMerge w:val="continue"/>
            <w:vAlign w:val="center"/>
          </w:tcPr>
          <w:p w14:paraId="0310EB50">
            <w:pPr>
              <w:pStyle w:val="28"/>
              <w:bidi w:val="0"/>
            </w:pPr>
          </w:p>
        </w:tc>
        <w:tc>
          <w:tcPr>
            <w:tcW w:w="283" w:type="pct"/>
            <w:vMerge w:val="continue"/>
            <w:vAlign w:val="center"/>
          </w:tcPr>
          <w:p w14:paraId="6C06CB33">
            <w:pPr>
              <w:pStyle w:val="28"/>
              <w:bidi w:val="0"/>
            </w:pPr>
          </w:p>
        </w:tc>
        <w:tc>
          <w:tcPr>
            <w:tcW w:w="447" w:type="pct"/>
            <w:vAlign w:val="center"/>
          </w:tcPr>
          <w:p w14:paraId="241388D4">
            <w:pPr>
              <w:pStyle w:val="28"/>
              <w:bidi w:val="0"/>
            </w:pPr>
            <w:r>
              <w:rPr>
                <w:rFonts w:hint="eastAsia"/>
              </w:rPr>
              <w:t>噪声</w:t>
            </w:r>
          </w:p>
        </w:tc>
        <w:tc>
          <w:tcPr>
            <w:tcW w:w="2888" w:type="pct"/>
            <w:vAlign w:val="center"/>
          </w:tcPr>
          <w:p w14:paraId="210123AC">
            <w:pPr>
              <w:pStyle w:val="28"/>
              <w:bidi w:val="0"/>
              <w:jc w:val="left"/>
            </w:pPr>
            <w:r>
              <w:rPr>
                <w:rFonts w:hint="eastAsia"/>
              </w:rPr>
              <w:t>①</w:t>
            </w:r>
            <w:r>
              <w:t>施工中应选用低噪声施工机械，减少施工噪声对鸟类的侵扰；</w:t>
            </w:r>
          </w:p>
          <w:p w14:paraId="026760B5">
            <w:pPr>
              <w:pStyle w:val="28"/>
              <w:bidi w:val="0"/>
              <w:jc w:val="left"/>
            </w:pPr>
            <w:r>
              <w:rPr>
                <w:rFonts w:hint="eastAsia"/>
              </w:rPr>
              <w:t>②横排头进水闸出口翼墙高噪声设备施工安排在10月份或鸟类不活跃的时间段；</w:t>
            </w:r>
          </w:p>
          <w:p w14:paraId="3AA802DD">
            <w:pPr>
              <w:pStyle w:val="28"/>
              <w:bidi w:val="0"/>
              <w:jc w:val="left"/>
            </w:pPr>
            <w:r>
              <w:rPr>
                <w:rFonts w:hint="eastAsia"/>
              </w:rPr>
              <w:t>③夜间（22：00~6：00）禁止施工；</w:t>
            </w:r>
          </w:p>
        </w:tc>
        <w:tc>
          <w:tcPr>
            <w:tcW w:w="822" w:type="pct"/>
            <w:vAlign w:val="center"/>
          </w:tcPr>
          <w:p w14:paraId="29BD1F1D">
            <w:pPr>
              <w:pStyle w:val="28"/>
              <w:bidi w:val="0"/>
            </w:pPr>
            <w:r>
              <w:rPr>
                <w:rFonts w:hint="eastAsia"/>
              </w:rPr>
              <w:t>/</w:t>
            </w:r>
          </w:p>
        </w:tc>
      </w:tr>
      <w:tr w14:paraId="25C05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65DB8101">
            <w:pPr>
              <w:pStyle w:val="28"/>
              <w:bidi w:val="0"/>
            </w:pPr>
          </w:p>
        </w:tc>
        <w:tc>
          <w:tcPr>
            <w:tcW w:w="314" w:type="pct"/>
            <w:vMerge w:val="continue"/>
            <w:vAlign w:val="center"/>
          </w:tcPr>
          <w:p w14:paraId="6629D96E">
            <w:pPr>
              <w:pStyle w:val="28"/>
              <w:bidi w:val="0"/>
            </w:pPr>
          </w:p>
        </w:tc>
        <w:tc>
          <w:tcPr>
            <w:tcW w:w="283" w:type="pct"/>
            <w:vMerge w:val="continue"/>
            <w:vAlign w:val="center"/>
          </w:tcPr>
          <w:p w14:paraId="49304249">
            <w:pPr>
              <w:pStyle w:val="28"/>
              <w:bidi w:val="0"/>
            </w:pPr>
          </w:p>
        </w:tc>
        <w:tc>
          <w:tcPr>
            <w:tcW w:w="447" w:type="pct"/>
            <w:vAlign w:val="center"/>
          </w:tcPr>
          <w:p w14:paraId="40EE293A">
            <w:pPr>
              <w:pStyle w:val="28"/>
              <w:bidi w:val="0"/>
            </w:pPr>
            <w:r>
              <w:rPr>
                <w:rFonts w:hint="eastAsia"/>
              </w:rPr>
              <w:t>施工人员</w:t>
            </w:r>
          </w:p>
        </w:tc>
        <w:tc>
          <w:tcPr>
            <w:tcW w:w="2888" w:type="pct"/>
            <w:vAlign w:val="center"/>
          </w:tcPr>
          <w:p w14:paraId="06A78B27">
            <w:pPr>
              <w:pStyle w:val="28"/>
              <w:bidi w:val="0"/>
              <w:jc w:val="left"/>
            </w:pPr>
            <w:r>
              <w:rPr>
                <w:rFonts w:hint="eastAsia"/>
              </w:rPr>
              <w:t>①</w:t>
            </w:r>
            <w:r>
              <w:t>对施工人员和管理人员普及和讲解生态环境保护的相关知识，增强生态环境保护意识，以公告、宣传册等形式，加强对生态保护的宣传教育，同时通过制度化严禁施工人员非法猎捕</w:t>
            </w:r>
            <w:r>
              <w:rPr>
                <w:rFonts w:hint="eastAsia"/>
              </w:rPr>
              <w:t>野生动物</w:t>
            </w:r>
            <w:r>
              <w:t>，禁止施工人员捕食蛙类、蛇类、鸟类（包括鸟蛋）、兽类</w:t>
            </w:r>
            <w:r>
              <w:rPr>
                <w:rFonts w:hint="eastAsia"/>
              </w:rPr>
              <w:t>特别是内的红隼、东方白鹳、黑鸢等珍稀濒危野生动物</w:t>
            </w:r>
            <w:r>
              <w:t>；</w:t>
            </w:r>
            <w:r>
              <w:rPr>
                <w:rFonts w:hint="eastAsia"/>
              </w:rPr>
              <w:t>②</w:t>
            </w:r>
            <w:r>
              <w:t>施工人员在施工过程中应限制在作业面内施工活动，不得随意扩大作业面，不得越界施工滥采滥伐，</w:t>
            </w:r>
            <w:r>
              <w:rPr>
                <w:rFonts w:hint="eastAsia"/>
              </w:rPr>
              <w:t>禁止挖掘砍伐区内可能存在野大豆、香樟等保护植物；③</w:t>
            </w:r>
            <w:r>
              <w:t>在施工结束施工人员撤离时，应及时拆除临时设施，清除碎石、砖块、施工废物等影响植物生存和影响区域景观美学的施工杂物，恢复景观斑块的连通性</w:t>
            </w:r>
            <w:r>
              <w:rPr>
                <w:rFonts w:hint="eastAsia"/>
              </w:rPr>
              <w:t>；④</w:t>
            </w:r>
            <w:r>
              <w:t>禁止施工生产污水</w:t>
            </w:r>
            <w:r>
              <w:rPr>
                <w:rFonts w:hint="eastAsia"/>
              </w:rPr>
              <w:t>直接</w:t>
            </w:r>
            <w:r>
              <w:t>排入河流，不随意丢弃生活垃圾，有害施工材料的堆放远离水体。</w:t>
            </w:r>
          </w:p>
        </w:tc>
        <w:tc>
          <w:tcPr>
            <w:tcW w:w="822" w:type="pct"/>
            <w:vAlign w:val="center"/>
          </w:tcPr>
          <w:p w14:paraId="0310F6DD">
            <w:pPr>
              <w:pStyle w:val="28"/>
              <w:bidi w:val="0"/>
            </w:pPr>
            <w:r>
              <w:rPr>
                <w:rFonts w:hint="eastAsia"/>
              </w:rPr>
              <w:t>/</w:t>
            </w:r>
          </w:p>
        </w:tc>
      </w:tr>
      <w:tr w14:paraId="13EDE1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00D3FBAB">
            <w:pPr>
              <w:pStyle w:val="28"/>
              <w:bidi w:val="0"/>
            </w:pPr>
          </w:p>
        </w:tc>
        <w:tc>
          <w:tcPr>
            <w:tcW w:w="314" w:type="pct"/>
            <w:vMerge w:val="continue"/>
            <w:vAlign w:val="center"/>
          </w:tcPr>
          <w:p w14:paraId="641FADAC">
            <w:pPr>
              <w:pStyle w:val="28"/>
              <w:bidi w:val="0"/>
            </w:pPr>
          </w:p>
        </w:tc>
        <w:tc>
          <w:tcPr>
            <w:tcW w:w="283" w:type="pct"/>
            <w:vAlign w:val="center"/>
          </w:tcPr>
          <w:p w14:paraId="2E1C85CA">
            <w:pPr>
              <w:pStyle w:val="28"/>
              <w:bidi w:val="0"/>
            </w:pPr>
            <w:r>
              <w:rPr>
                <w:rFonts w:hint="eastAsia"/>
              </w:rPr>
              <w:t>运行期</w:t>
            </w:r>
          </w:p>
        </w:tc>
        <w:tc>
          <w:tcPr>
            <w:tcW w:w="447" w:type="pct"/>
            <w:vAlign w:val="center"/>
          </w:tcPr>
          <w:p w14:paraId="796CF34B">
            <w:pPr>
              <w:pStyle w:val="28"/>
              <w:bidi w:val="0"/>
            </w:pPr>
            <w:r>
              <w:rPr>
                <w:rFonts w:hint="eastAsia"/>
              </w:rPr>
              <w:t>新建闸</w:t>
            </w:r>
          </w:p>
        </w:tc>
        <w:tc>
          <w:tcPr>
            <w:tcW w:w="2888" w:type="pct"/>
            <w:vAlign w:val="center"/>
          </w:tcPr>
          <w:p w14:paraId="41C94236">
            <w:pPr>
              <w:pStyle w:val="28"/>
              <w:bidi w:val="0"/>
              <w:jc w:val="left"/>
            </w:pPr>
            <w:r>
              <w:rPr>
                <w:rFonts w:hint="eastAsia"/>
              </w:rPr>
              <w:t>①加强运行期管理调度，保持闸坝灵活启闭控制；</w:t>
            </w:r>
          </w:p>
          <w:p w14:paraId="7452FEC7">
            <w:pPr>
              <w:pStyle w:val="28"/>
              <w:bidi w:val="0"/>
              <w:jc w:val="left"/>
            </w:pPr>
            <w:r>
              <w:rPr>
                <w:rFonts w:hint="eastAsia"/>
              </w:rPr>
              <w:t>②程段水库进水闸上下布设水生生物鱼类生物量监测点位，灌溉期渠道有水状态下对上下游进行生态监测，发现有鲫鱼成群繁殖洄游，及时开闸保证过鱼。</w:t>
            </w:r>
          </w:p>
        </w:tc>
        <w:tc>
          <w:tcPr>
            <w:tcW w:w="822" w:type="pct"/>
            <w:vAlign w:val="center"/>
          </w:tcPr>
          <w:p w14:paraId="428A2DA6">
            <w:pPr>
              <w:pStyle w:val="28"/>
              <w:bidi w:val="0"/>
            </w:pPr>
            <w:r>
              <w:rPr>
                <w:rFonts w:hint="eastAsia"/>
              </w:rPr>
              <w:t>程段水库进水闸上下游分别设置2个鱼类生物量监测点位。</w:t>
            </w:r>
          </w:p>
        </w:tc>
      </w:tr>
      <w:tr w14:paraId="1B4B7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2B7E0B7B">
            <w:pPr>
              <w:pStyle w:val="28"/>
              <w:bidi w:val="0"/>
            </w:pPr>
          </w:p>
        </w:tc>
        <w:tc>
          <w:tcPr>
            <w:tcW w:w="314" w:type="pct"/>
            <w:vMerge w:val="restart"/>
            <w:vAlign w:val="center"/>
          </w:tcPr>
          <w:p w14:paraId="670CC37B">
            <w:pPr>
              <w:pStyle w:val="28"/>
              <w:bidi w:val="0"/>
            </w:pPr>
            <w:r>
              <w:rPr>
                <w:rFonts w:hint="eastAsia"/>
              </w:rPr>
              <w:t>风险</w:t>
            </w:r>
          </w:p>
        </w:tc>
        <w:tc>
          <w:tcPr>
            <w:tcW w:w="283" w:type="pct"/>
            <w:vMerge w:val="restart"/>
            <w:vAlign w:val="center"/>
          </w:tcPr>
          <w:p w14:paraId="3CA3BD79">
            <w:pPr>
              <w:pStyle w:val="28"/>
              <w:bidi w:val="0"/>
            </w:pPr>
            <w:r>
              <w:rPr>
                <w:rFonts w:hint="eastAsia"/>
              </w:rPr>
              <w:t>施工期</w:t>
            </w:r>
          </w:p>
        </w:tc>
        <w:tc>
          <w:tcPr>
            <w:tcW w:w="447" w:type="pct"/>
            <w:vAlign w:val="center"/>
          </w:tcPr>
          <w:p w14:paraId="14BBE8EA">
            <w:pPr>
              <w:pStyle w:val="28"/>
              <w:bidi w:val="0"/>
            </w:pPr>
            <w:r>
              <w:rPr>
                <w:rFonts w:hint="eastAsia"/>
              </w:rPr>
              <w:t>油料泄露</w:t>
            </w:r>
          </w:p>
        </w:tc>
        <w:tc>
          <w:tcPr>
            <w:tcW w:w="2888" w:type="pct"/>
            <w:vAlign w:val="center"/>
          </w:tcPr>
          <w:p w14:paraId="65A8C879">
            <w:pPr>
              <w:pStyle w:val="28"/>
              <w:bidi w:val="0"/>
              <w:jc w:val="left"/>
            </w:pPr>
            <w:r>
              <w:rPr>
                <w:rFonts w:hint="eastAsia"/>
              </w:rPr>
              <w:t>①加强管理，严格遵守危险货物运输有关规定；</w:t>
            </w:r>
          </w:p>
          <w:p w14:paraId="7BF82D0D">
            <w:pPr>
              <w:pStyle w:val="28"/>
              <w:bidi w:val="0"/>
              <w:jc w:val="left"/>
            </w:pPr>
            <w:r>
              <w:rPr>
                <w:rFonts w:hint="eastAsia"/>
              </w:rPr>
              <w:t>②在施工区内建立防火及火灾警报系统；</w:t>
            </w:r>
          </w:p>
          <w:p w14:paraId="0E9F24FF">
            <w:pPr>
              <w:pStyle w:val="28"/>
              <w:bidi w:val="0"/>
              <w:jc w:val="left"/>
            </w:pPr>
            <w:r>
              <w:rPr>
                <w:rFonts w:hint="eastAsia"/>
              </w:rPr>
              <w:t>③在装卸作业场所的明显位置贴示“危险”警示标记，不断加强对装卸作业人员的技能培训；④成立应急领导小组，及时对事故通报。</w:t>
            </w:r>
          </w:p>
        </w:tc>
        <w:tc>
          <w:tcPr>
            <w:tcW w:w="822" w:type="pct"/>
            <w:vAlign w:val="center"/>
          </w:tcPr>
          <w:p w14:paraId="1F0515D3">
            <w:pPr>
              <w:pStyle w:val="28"/>
              <w:bidi w:val="0"/>
            </w:pPr>
            <w:r>
              <w:rPr>
                <w:rFonts w:hint="eastAsia"/>
              </w:rPr>
              <w:t>围油栏、吸油毡、灭火器、急救箱、临时围挡、堵漏剂、警示带、安全带、水泵、扩音器等应急物资</w:t>
            </w:r>
          </w:p>
        </w:tc>
      </w:tr>
      <w:tr w14:paraId="60DF9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7D543DE2">
            <w:pPr>
              <w:pStyle w:val="28"/>
              <w:bidi w:val="0"/>
            </w:pPr>
          </w:p>
        </w:tc>
        <w:tc>
          <w:tcPr>
            <w:tcW w:w="314" w:type="pct"/>
            <w:vMerge w:val="continue"/>
            <w:vAlign w:val="center"/>
          </w:tcPr>
          <w:p w14:paraId="7E84EB15">
            <w:pPr>
              <w:pStyle w:val="28"/>
              <w:bidi w:val="0"/>
            </w:pPr>
          </w:p>
        </w:tc>
        <w:tc>
          <w:tcPr>
            <w:tcW w:w="283" w:type="pct"/>
            <w:vMerge w:val="continue"/>
            <w:vAlign w:val="center"/>
          </w:tcPr>
          <w:p w14:paraId="674E916F">
            <w:pPr>
              <w:pStyle w:val="28"/>
              <w:bidi w:val="0"/>
            </w:pPr>
          </w:p>
        </w:tc>
        <w:tc>
          <w:tcPr>
            <w:tcW w:w="447" w:type="pct"/>
            <w:vAlign w:val="center"/>
          </w:tcPr>
          <w:p w14:paraId="783AA4D2">
            <w:pPr>
              <w:pStyle w:val="28"/>
              <w:bidi w:val="0"/>
            </w:pPr>
            <w:r>
              <w:rPr>
                <w:rFonts w:hint="eastAsia"/>
              </w:rPr>
              <w:t>围堰崩塌</w:t>
            </w:r>
          </w:p>
        </w:tc>
        <w:tc>
          <w:tcPr>
            <w:tcW w:w="2888" w:type="pct"/>
            <w:vAlign w:val="center"/>
          </w:tcPr>
          <w:p w14:paraId="2ECD727A">
            <w:pPr>
              <w:pStyle w:val="28"/>
              <w:bidi w:val="0"/>
              <w:jc w:val="left"/>
            </w:pPr>
            <w:r>
              <w:rPr>
                <w:rFonts w:hint="eastAsia"/>
              </w:rPr>
              <w:t>①使用袋装土进行围堰搭建，保证搭建质量；</w:t>
            </w:r>
          </w:p>
          <w:p w14:paraId="07E14A20">
            <w:pPr>
              <w:pStyle w:val="28"/>
              <w:bidi w:val="0"/>
              <w:jc w:val="left"/>
            </w:pPr>
            <w:r>
              <w:rPr>
                <w:rFonts w:hint="eastAsia"/>
              </w:rPr>
              <w:t>②加强管理，及时发现问题；</w:t>
            </w:r>
          </w:p>
          <w:p w14:paraId="13728F19">
            <w:pPr>
              <w:pStyle w:val="28"/>
              <w:bidi w:val="0"/>
              <w:jc w:val="left"/>
            </w:pPr>
            <w:r>
              <w:rPr>
                <w:rFonts w:hint="eastAsia"/>
              </w:rPr>
              <w:t>③及时恢复，并与水厂沟通对水质进行监测，必要时启动备用水源。</w:t>
            </w:r>
          </w:p>
        </w:tc>
        <w:tc>
          <w:tcPr>
            <w:tcW w:w="822" w:type="pct"/>
            <w:vAlign w:val="center"/>
          </w:tcPr>
          <w:p w14:paraId="14928BC7">
            <w:pPr>
              <w:pStyle w:val="28"/>
              <w:bidi w:val="0"/>
            </w:pPr>
            <w:r>
              <w:rPr>
                <w:rFonts w:hint="eastAsia"/>
              </w:rPr>
              <w:t>/</w:t>
            </w:r>
          </w:p>
        </w:tc>
      </w:tr>
      <w:tr w14:paraId="799D9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 w:hRule="atLeast"/>
          <w:jc w:val="center"/>
        </w:trPr>
        <w:tc>
          <w:tcPr>
            <w:tcW w:w="243" w:type="pct"/>
            <w:vMerge w:val="continue"/>
            <w:vAlign w:val="center"/>
          </w:tcPr>
          <w:p w14:paraId="68188351">
            <w:pPr>
              <w:pStyle w:val="28"/>
              <w:bidi w:val="0"/>
            </w:pPr>
          </w:p>
        </w:tc>
        <w:tc>
          <w:tcPr>
            <w:tcW w:w="314" w:type="pct"/>
            <w:vMerge w:val="continue"/>
            <w:vAlign w:val="center"/>
          </w:tcPr>
          <w:p w14:paraId="23E7D088">
            <w:pPr>
              <w:pStyle w:val="28"/>
              <w:bidi w:val="0"/>
            </w:pPr>
          </w:p>
        </w:tc>
        <w:tc>
          <w:tcPr>
            <w:tcW w:w="283" w:type="pct"/>
            <w:vMerge w:val="continue"/>
            <w:vAlign w:val="center"/>
          </w:tcPr>
          <w:p w14:paraId="7D696A9F">
            <w:pPr>
              <w:pStyle w:val="28"/>
              <w:bidi w:val="0"/>
            </w:pPr>
          </w:p>
        </w:tc>
        <w:tc>
          <w:tcPr>
            <w:tcW w:w="447" w:type="pct"/>
            <w:vAlign w:val="center"/>
          </w:tcPr>
          <w:p w14:paraId="73BB62B9">
            <w:pPr>
              <w:pStyle w:val="28"/>
              <w:bidi w:val="0"/>
            </w:pPr>
            <w:r>
              <w:rPr>
                <w:rFonts w:hint="eastAsia"/>
              </w:rPr>
              <w:t>生物入侵</w:t>
            </w:r>
          </w:p>
        </w:tc>
        <w:tc>
          <w:tcPr>
            <w:tcW w:w="2888" w:type="pct"/>
            <w:vAlign w:val="center"/>
          </w:tcPr>
          <w:p w14:paraId="01DB5F8D">
            <w:pPr>
              <w:pStyle w:val="28"/>
              <w:bidi w:val="0"/>
              <w:jc w:val="left"/>
            </w:pPr>
            <w:r>
              <w:rPr>
                <w:rFonts w:hint="eastAsia"/>
              </w:rPr>
              <w:t>发现</w:t>
            </w:r>
            <w:r>
              <w:t>小蓬草、加拿大一枝黄花、一年蓬</w:t>
            </w:r>
            <w:r>
              <w:rPr>
                <w:rFonts w:hint="eastAsia"/>
              </w:rPr>
              <w:t>、</w:t>
            </w:r>
            <w:r>
              <w:t>喜旱莲子草</w:t>
            </w:r>
            <w:r>
              <w:rPr>
                <w:rFonts w:hint="eastAsia"/>
              </w:rPr>
              <w:t>等入侵物种，生物量较大时及时报告有关部门；少量可采用套袋+人工拔出+晒干后作为生活垃圾。</w:t>
            </w:r>
          </w:p>
        </w:tc>
        <w:tc>
          <w:tcPr>
            <w:tcW w:w="822" w:type="pct"/>
            <w:vAlign w:val="center"/>
          </w:tcPr>
          <w:p w14:paraId="1C80CC7C">
            <w:pPr>
              <w:pStyle w:val="28"/>
              <w:bidi w:val="0"/>
            </w:pPr>
            <w:r>
              <w:rPr>
                <w:rFonts w:hint="eastAsia"/>
              </w:rPr>
              <w:t>/</w:t>
            </w:r>
          </w:p>
        </w:tc>
      </w:tr>
    </w:tbl>
    <w:p w14:paraId="137CF78B">
      <w:pPr>
        <w:spacing w:line="240" w:lineRule="auto"/>
        <w:jc w:val="center"/>
        <w:rPr>
          <w:rFonts w:cs="Times New Roman"/>
          <w:color w:val="0000FF"/>
        </w:rPr>
      </w:pPr>
    </w:p>
    <w:p w14:paraId="6A25FA6E">
      <w:pPr>
        <w:outlineLvl w:val="4"/>
        <w:rPr>
          <w:color w:val="0000FF"/>
        </w:rPr>
        <w:sectPr>
          <w:type w:val="nextColumn"/>
          <w:pgSz w:w="16838" w:h="11905" w:orient="landscape"/>
          <w:pgMar w:top="1417" w:right="1417" w:bottom="1417" w:left="1417" w:header="850" w:footer="850" w:gutter="0"/>
          <w:pgNumType w:fmt="decimal"/>
          <w:cols w:space="0" w:num="1"/>
          <w:rtlGutter w:val="0"/>
          <w:docGrid w:linePitch="326" w:charSpace="0"/>
        </w:sectPr>
      </w:pPr>
    </w:p>
    <w:p w14:paraId="1D7CF323">
      <w:pPr>
        <w:pStyle w:val="3"/>
        <w:bidi w:val="0"/>
        <w:rPr>
          <w:rFonts w:hint="default"/>
          <w:lang w:val="en-US" w:eastAsia="zh-CN"/>
        </w:rPr>
      </w:pPr>
      <w:bookmarkStart w:id="28" w:name="_Toc22560"/>
      <w:r>
        <w:t>2.</w:t>
      </w:r>
      <w:r>
        <w:rPr>
          <w:rFonts w:hint="eastAsia"/>
        </w:rPr>
        <w:t>3</w:t>
      </w:r>
      <w:r>
        <w:t xml:space="preserve"> 工程总布置和</w:t>
      </w:r>
      <w:r>
        <w:rPr>
          <w:rFonts w:hint="eastAsia"/>
          <w:lang w:val="en-US" w:eastAsia="zh-CN"/>
        </w:rPr>
        <w:t>工程设计</w:t>
      </w:r>
      <w:bookmarkEnd w:id="28"/>
    </w:p>
    <w:p w14:paraId="36930E11">
      <w:pPr>
        <w:pStyle w:val="4"/>
        <w:bidi w:val="0"/>
        <w:rPr>
          <w:rFonts w:hint="default"/>
          <w:lang w:val="en-US" w:eastAsia="zh-CN"/>
        </w:rPr>
      </w:pPr>
      <w:r>
        <w:rPr>
          <w:rFonts w:hint="eastAsia"/>
          <w:lang w:val="en-US" w:eastAsia="zh-CN"/>
        </w:rPr>
        <w:t>2.3.1 工程规模</w:t>
      </w:r>
    </w:p>
    <w:p w14:paraId="3209FF57">
      <w:pPr>
        <w:bidi w:val="0"/>
      </w:pPr>
      <w:r>
        <w:rPr>
          <w:rFonts w:hint="eastAsia"/>
        </w:rPr>
        <w:t>灌区已运行几十年，干支渠道漏水破损渗漏严重，配套建筑物不全，缺少计量设施和灌区信息化设施等情况，本项目规划灌区内主要水利设施包括骨干输配水工程、骨干渠系建筑物及配套设施、用水量测工程和信息化建设。</w:t>
      </w:r>
    </w:p>
    <w:p w14:paraId="263E0358">
      <w:pPr>
        <w:pStyle w:val="4"/>
        <w:bidi w:val="0"/>
        <w:rPr>
          <w:rFonts w:hint="eastAsia"/>
          <w:lang w:val="en-US" w:eastAsia="zh-CN"/>
        </w:rPr>
      </w:pPr>
      <w:r>
        <w:rPr>
          <w:rFonts w:hint="eastAsia"/>
          <w:lang w:val="en-US" w:eastAsia="zh-CN"/>
        </w:rPr>
        <w:t>2.3.2 工程等级与设计标准</w:t>
      </w:r>
    </w:p>
    <w:p w14:paraId="622E9D93">
      <w:pPr>
        <w:rPr>
          <w:rFonts w:hint="default" w:eastAsia="宋体"/>
          <w:lang w:val="en-US" w:eastAsia="zh-CN"/>
        </w:rPr>
      </w:pPr>
      <w:r>
        <w:rPr>
          <w:rFonts w:hint="default" w:eastAsia="宋体"/>
          <w:lang w:val="en-US" w:eastAsia="zh-CN"/>
        </w:rPr>
        <w:t>根据《灌溉与排水工程设计标准》（GB50288-2018）及有关规范的相关规定，结合本灌区实际情况，工程建设等级标准如下：</w:t>
      </w:r>
    </w:p>
    <w:p w14:paraId="4D1DF4B0">
      <w:pPr>
        <w:rPr>
          <w:rFonts w:hint="default" w:eastAsia="宋体"/>
          <w:lang w:val="en-US" w:eastAsia="zh-CN"/>
        </w:rPr>
      </w:pPr>
      <w:r>
        <w:rPr>
          <w:rFonts w:hint="default" w:eastAsia="宋体"/>
          <w:lang w:val="en-US" w:eastAsia="zh-CN"/>
        </w:rPr>
        <w:t>（1）灌溉标准</w:t>
      </w:r>
    </w:p>
    <w:p w14:paraId="725FE4D4">
      <w:pPr>
        <w:rPr>
          <w:rFonts w:hint="default" w:eastAsia="宋体"/>
          <w:lang w:val="en-US" w:eastAsia="zh-CN"/>
        </w:rPr>
      </w:pPr>
      <w:r>
        <w:rPr>
          <w:rFonts w:hint="default" w:eastAsia="宋体"/>
          <w:lang w:val="en-US" w:eastAsia="zh-CN"/>
        </w:rPr>
        <w:t>以淮河和秦岭为分界线，北方灌区一般采用灌溉保证率50%，南方及北方水稻灌区一般采用灌溉保证率75%。但根据《灌溉与排水工程设计标准》（GB50288-2018），湿润地区或水资源丰富地区如以水稻为主灌溉设计保证率80~95%，故本项目灌溉设计保证率采用80％。</w:t>
      </w:r>
    </w:p>
    <w:p w14:paraId="036D38B0">
      <w:pPr>
        <w:rPr>
          <w:rFonts w:hint="default" w:eastAsia="宋体"/>
          <w:lang w:val="en-US" w:eastAsia="zh-CN"/>
        </w:rPr>
      </w:pPr>
      <w:r>
        <w:rPr>
          <w:rFonts w:hint="default" w:eastAsia="宋体"/>
          <w:lang w:val="en-US" w:eastAsia="zh-CN"/>
        </w:rPr>
        <w:t>（2）灌溉水利用系数</w:t>
      </w:r>
    </w:p>
    <w:p w14:paraId="4EC2E843">
      <w:pPr>
        <w:rPr>
          <w:rFonts w:hint="default" w:eastAsia="宋体"/>
          <w:lang w:val="en-US" w:eastAsia="zh-CN"/>
        </w:rPr>
      </w:pPr>
      <w:r>
        <w:rPr>
          <w:rFonts w:hint="default" w:eastAsia="宋体"/>
          <w:lang w:val="en-US" w:eastAsia="zh-CN"/>
        </w:rPr>
        <w:t>本灌区属中型灌区，根据《水利部办公厅关于开展2023-2025年中型灌区续建配套与现代化改造实施方案编制工作的通知》和《灌溉与排水工程设计标准》（GB50288-2018），灌溉水利用系数应不低于0.60，渠系水利用系数应不低于0.65，故本项目灌溉水利用系数取0.60，渠系水利用系数应取0.65。</w:t>
      </w:r>
    </w:p>
    <w:p w14:paraId="7DD066BA">
      <w:pPr>
        <w:rPr>
          <w:rFonts w:hint="default" w:eastAsia="宋体"/>
          <w:lang w:val="en-US" w:eastAsia="zh-CN"/>
        </w:rPr>
      </w:pPr>
      <w:r>
        <w:rPr>
          <w:rFonts w:hint="default" w:eastAsia="宋体"/>
          <w:lang w:val="en-US" w:eastAsia="zh-CN"/>
        </w:rPr>
        <w:t>（3）灌溉渠道工程等级</w:t>
      </w:r>
    </w:p>
    <w:p w14:paraId="04BAE16D">
      <w:pPr>
        <w:rPr>
          <w:rFonts w:hint="default" w:eastAsia="宋体"/>
          <w:lang w:val="en-US" w:eastAsia="zh-CN"/>
        </w:rPr>
      </w:pPr>
      <w:r>
        <w:rPr>
          <w:rFonts w:hint="default" w:eastAsia="宋体"/>
          <w:lang w:val="en-US" w:eastAsia="zh-CN"/>
        </w:rPr>
        <w:t>灌溉渠道的级别根据灌溉流量的大小拟定，本灌区渠道流量均小于5m</w:t>
      </w:r>
      <w:r>
        <w:rPr>
          <w:rFonts w:hint="default" w:eastAsia="宋体"/>
          <w:vertAlign w:val="superscript"/>
          <w:lang w:val="en-US" w:eastAsia="zh-CN"/>
        </w:rPr>
        <w:t>3</w:t>
      </w:r>
      <w:r>
        <w:rPr>
          <w:rFonts w:hint="default" w:eastAsia="宋体"/>
          <w:lang w:val="en-US" w:eastAsia="zh-CN"/>
        </w:rPr>
        <w:t>/s，渠道相应工程等级为5级。</w:t>
      </w:r>
    </w:p>
    <w:p w14:paraId="59B324D7">
      <w:pPr>
        <w:rPr>
          <w:rFonts w:hint="eastAsia"/>
        </w:rPr>
      </w:pPr>
      <w:r>
        <w:rPr>
          <w:rFonts w:hint="eastAsia"/>
        </w:rPr>
        <w:t>（4）灌溉建筑物等级</w:t>
      </w:r>
    </w:p>
    <w:p w14:paraId="25386D8C">
      <w:pPr>
        <w:rPr>
          <w:rFonts w:hint="eastAsia"/>
        </w:rPr>
      </w:pPr>
      <w:r>
        <w:rPr>
          <w:rFonts w:hint="eastAsia"/>
        </w:rPr>
        <w:t>按照《防洪标准》（GB50201-2014）和《灌溉与排水工程设计标准》（GB50288-2018）等有关标准及规范，朱集一站（总装机2400</w:t>
      </w:r>
      <w:r>
        <w:rPr>
          <w:rFonts w:hint="eastAsia"/>
          <w:lang w:val="en-US" w:eastAsia="zh-CN"/>
        </w:rPr>
        <w:t>k</w:t>
      </w:r>
      <w:r>
        <w:rPr>
          <w:rFonts w:hint="eastAsia"/>
        </w:rPr>
        <w:t>W，有5台泵，泵型为800HL-16，设计流量10.7m</w:t>
      </w:r>
      <w:r>
        <w:rPr>
          <w:rFonts w:hint="eastAsia"/>
          <w:vertAlign w:val="superscript"/>
        </w:rPr>
        <w:t>3</w:t>
      </w:r>
      <w:r>
        <w:rPr>
          <w:rFonts w:hint="eastAsia"/>
        </w:rPr>
        <w:t>/s）、朱集二站（总装机1420</w:t>
      </w:r>
      <w:r>
        <w:rPr>
          <w:rFonts w:hint="eastAsia"/>
          <w:lang w:val="en-US" w:eastAsia="zh-CN"/>
        </w:rPr>
        <w:t>k</w:t>
      </w:r>
      <w:r>
        <w:rPr>
          <w:rFonts w:hint="eastAsia"/>
        </w:rPr>
        <w:t>W，有4台泵，泵型为900S-15，设计流量8m</w:t>
      </w:r>
      <w:r>
        <w:rPr>
          <w:rFonts w:hint="eastAsia"/>
          <w:vertAlign w:val="superscript"/>
        </w:rPr>
        <w:t>3</w:t>
      </w:r>
      <w:r>
        <w:rPr>
          <w:rFonts w:hint="eastAsia"/>
        </w:rPr>
        <w:t>/s）、横塘三站（总装机440</w:t>
      </w:r>
      <w:r>
        <w:rPr>
          <w:rFonts w:hint="eastAsia"/>
          <w:lang w:val="en-US" w:eastAsia="zh-CN"/>
        </w:rPr>
        <w:t>k</w:t>
      </w:r>
      <w:r>
        <w:rPr>
          <w:rFonts w:hint="eastAsia"/>
        </w:rPr>
        <w:t>W，有4台泵，泵型为20SA-22A，设计流量2.1m</w:t>
      </w:r>
      <w:r>
        <w:rPr>
          <w:rFonts w:hint="eastAsia"/>
          <w:vertAlign w:val="superscript"/>
        </w:rPr>
        <w:t>3</w:t>
      </w:r>
      <w:r>
        <w:rPr>
          <w:rFonts w:hint="eastAsia"/>
        </w:rPr>
        <w:t>/s）为Ⅳ等，渠系建筑物按所在渠道等级确定，为4级；杨公三站（总装机330</w:t>
      </w:r>
      <w:r>
        <w:rPr>
          <w:rFonts w:hint="eastAsia"/>
          <w:lang w:val="en-US" w:eastAsia="zh-CN"/>
        </w:rPr>
        <w:t>k</w:t>
      </w:r>
      <w:r>
        <w:rPr>
          <w:rFonts w:hint="eastAsia"/>
        </w:rPr>
        <w:t>W，有3台泵，泵型为24SA-18J，设计流量1.8m</w:t>
      </w:r>
      <w:r>
        <w:rPr>
          <w:rFonts w:hint="eastAsia"/>
          <w:vertAlign w:val="superscript"/>
        </w:rPr>
        <w:t>3</w:t>
      </w:r>
      <w:r>
        <w:rPr>
          <w:rFonts w:hint="eastAsia"/>
        </w:rPr>
        <w:t>/s）及6座村级电灌站为Ⅴ等，渠系建筑物按所在渠道等级确定，为5级。</w:t>
      </w:r>
    </w:p>
    <w:p w14:paraId="2EEB2B74">
      <w:pPr>
        <w:rPr>
          <w:rFonts w:hint="eastAsia"/>
        </w:rPr>
      </w:pPr>
      <w:r>
        <w:rPr>
          <w:rFonts w:hint="eastAsia"/>
        </w:rPr>
        <w:t>（5）耐久性标准</w:t>
      </w:r>
    </w:p>
    <w:p w14:paraId="62070AD6">
      <w:pPr>
        <w:rPr>
          <w:rFonts w:hint="eastAsia"/>
        </w:rPr>
      </w:pPr>
      <w:r>
        <w:rPr>
          <w:rFonts w:hint="eastAsia"/>
        </w:rPr>
        <w:t>据《水利水电工程合理使用年限及耐久性设计规范》（SL654-2014），灌排建筑物使用年限为30年；5m</w:t>
      </w:r>
      <w:r>
        <w:rPr>
          <w:rFonts w:hint="eastAsia"/>
          <w:vertAlign w:val="superscript"/>
        </w:rPr>
        <w:t>3</w:t>
      </w:r>
      <w:r>
        <w:rPr>
          <w:rFonts w:hint="eastAsia"/>
        </w:rPr>
        <w:t>/s以下灌溉渠道使用年限为20年。</w:t>
      </w:r>
    </w:p>
    <w:p w14:paraId="5CF4DD91">
      <w:pPr>
        <w:rPr>
          <w:rFonts w:hint="eastAsia"/>
        </w:rPr>
      </w:pPr>
      <w:r>
        <w:rPr>
          <w:rFonts w:hint="eastAsia"/>
        </w:rPr>
        <w:t>（6）地震基本烈度</w:t>
      </w:r>
    </w:p>
    <w:p w14:paraId="6EB4DA9A">
      <w:pPr>
        <w:rPr>
          <w:rFonts w:hint="eastAsia"/>
        </w:rPr>
      </w:pPr>
      <w:r>
        <w:rPr>
          <w:rFonts w:hint="eastAsia"/>
        </w:rPr>
        <w:t>根据《中国地震动参数区划图》（GB18306-2015），本灌区地震动峰值加速度为0.10g，地震动反应谱特征周期0.35s，相应地震基本烈度为Ⅶ度。</w:t>
      </w:r>
    </w:p>
    <w:p w14:paraId="4B0F04BD">
      <w:pPr>
        <w:pStyle w:val="4"/>
        <w:bidi w:val="0"/>
        <w:rPr>
          <w:rFonts w:hint="eastAsia"/>
          <w:lang w:val="en-US" w:eastAsia="zh-CN"/>
        </w:rPr>
      </w:pPr>
      <w:r>
        <w:rPr>
          <w:rFonts w:hint="eastAsia"/>
          <w:lang w:val="en-US" w:eastAsia="zh-CN"/>
        </w:rPr>
        <w:t>2.3.3 建设目标</w:t>
      </w:r>
    </w:p>
    <w:p w14:paraId="4F30AC7D">
      <w:pPr>
        <w:rPr>
          <w:rFonts w:hint="default"/>
          <w:lang w:val="en-US" w:eastAsia="zh-CN"/>
        </w:rPr>
      </w:pPr>
      <w:r>
        <w:rPr>
          <w:rFonts w:hint="default"/>
          <w:lang w:val="en-US" w:eastAsia="zh-CN"/>
        </w:rPr>
        <w:t>灌区改造后，基本实现“节水高效、设施完善、管理科学、生态良好”的目标。</w:t>
      </w:r>
    </w:p>
    <w:p w14:paraId="258150C5">
      <w:pPr>
        <w:rPr>
          <w:rFonts w:hint="default"/>
          <w:lang w:val="en-US" w:eastAsia="zh-CN"/>
        </w:rPr>
      </w:pPr>
      <w:r>
        <w:rPr>
          <w:rFonts w:hint="default"/>
          <w:lang w:val="en-US" w:eastAsia="zh-CN"/>
        </w:rPr>
        <w:t>（1）节水高效：灌区水资源配置合理，农业种植结构合理，田间灌溉推广普及节水灌溉技术，节水制度、机制完善。在有条件的地区积极推广渠道管道化改造技术，提升灌区供水服务效率和水平。灌区灌溉保证率达到80%，骨干渠系水利用系数提高至0.65，灌溉水利用系数提高至0.6，降渍标准：水稻区为3日暴雨3日排至耐淹水深。</w:t>
      </w:r>
    </w:p>
    <w:p w14:paraId="26CD0B68">
      <w:pPr>
        <w:rPr>
          <w:rFonts w:hint="default"/>
          <w:lang w:val="en-US" w:eastAsia="zh-CN"/>
        </w:rPr>
      </w:pPr>
      <w:r>
        <w:rPr>
          <w:rFonts w:hint="default"/>
          <w:lang w:val="en-US" w:eastAsia="zh-CN"/>
        </w:rPr>
        <w:t>（2）恢复和改善灌溉面积，新增节水能力及提高粮食生产能力：将恢复灌溉面积0.5万亩，改善灌溉面积11.30万亩；年节约用水量约为232.16万m</w:t>
      </w:r>
      <w:r>
        <w:rPr>
          <w:rFonts w:hint="default"/>
          <w:vertAlign w:val="superscript"/>
          <w:lang w:val="en-US" w:eastAsia="zh-CN"/>
        </w:rPr>
        <w:t>3</w:t>
      </w:r>
      <w:r>
        <w:rPr>
          <w:rFonts w:hint="default"/>
          <w:lang w:val="en-US" w:eastAsia="zh-CN"/>
        </w:rPr>
        <w:t>，年新增粮食生产能力622.85万kg；骨干渠系水利用系数从0.6提高至0.65，灌溉水利用系数由0.5793提高至0.6。</w:t>
      </w:r>
    </w:p>
    <w:p w14:paraId="16299F69">
      <w:pPr>
        <w:rPr>
          <w:rFonts w:hint="default"/>
          <w:lang w:val="en-US" w:eastAsia="zh-CN"/>
        </w:rPr>
      </w:pPr>
      <w:r>
        <w:rPr>
          <w:rFonts w:hint="default"/>
          <w:lang w:val="en-US" w:eastAsia="zh-CN"/>
        </w:rPr>
        <w:t>（3）设施完善：工程布局合理、灌排功能完备；灌溉水源、输配水工程、排水工程以及管理设施、配套设施齐全、完好、安全、耐久。骨干灌排水工程设施配套率、完好率达到90%以上。</w:t>
      </w:r>
    </w:p>
    <w:p w14:paraId="1AD59B23">
      <w:pPr>
        <w:rPr>
          <w:rFonts w:hint="default"/>
          <w:lang w:val="en-US" w:eastAsia="zh-CN"/>
        </w:rPr>
      </w:pPr>
      <w:r>
        <w:rPr>
          <w:rFonts w:hint="default"/>
          <w:lang w:val="en-US" w:eastAsia="zh-CN"/>
        </w:rPr>
        <w:t>（4）管理科学：形成现代管理制度和良性管理机制，实施“总量控制、定额管理”，管理手段先进，管理科学高效，水价与水费计收制度合理并公开透明，工程维护与运行管理经费有保障。实现灌区管理规范化、制度化、标准化、科学化；巩固灌区水利工程管理体制改革成果，提升管理队伍建设。</w:t>
      </w:r>
    </w:p>
    <w:p w14:paraId="0FB1EEBA">
      <w:pPr>
        <w:rPr>
          <w:rFonts w:hint="default"/>
          <w:lang w:val="en-US" w:eastAsia="zh-CN"/>
        </w:rPr>
      </w:pPr>
      <w:r>
        <w:rPr>
          <w:rFonts w:hint="default"/>
          <w:lang w:val="en-US" w:eastAsia="zh-CN"/>
        </w:rPr>
        <w:t>（5）生态良好：以农业生产和人居环境质量为导向，灌排设施与自然环境相协调，发挥灌区改善乡村生活质量、调节气候、维持生物多样性、提供景观服务等多重服务功能。无地下水严重超采，基本无重度次生盐碱化和水土流失等。</w:t>
      </w:r>
    </w:p>
    <w:p w14:paraId="439B85A6">
      <w:pPr>
        <w:pStyle w:val="4"/>
        <w:bidi w:val="0"/>
      </w:pPr>
      <w:r>
        <w:t>2.</w:t>
      </w:r>
      <w:r>
        <w:rPr>
          <w:rFonts w:hint="eastAsia"/>
        </w:rPr>
        <w:t>3</w:t>
      </w:r>
      <w:r>
        <w:t>.</w:t>
      </w:r>
      <w:r>
        <w:rPr>
          <w:rFonts w:hint="eastAsia"/>
          <w:lang w:val="en-US" w:eastAsia="zh-CN"/>
        </w:rPr>
        <w:t>4</w:t>
      </w:r>
      <w:r>
        <w:t xml:space="preserve"> 工程总布置</w:t>
      </w:r>
    </w:p>
    <w:p w14:paraId="1C31D0A9">
      <w:pPr>
        <w:bidi w:val="0"/>
        <w:rPr>
          <w:rFonts w:hint="eastAsia"/>
          <w:b/>
          <w:bCs/>
        </w:rPr>
      </w:pPr>
      <w:r>
        <w:rPr>
          <w:rFonts w:hint="eastAsia"/>
          <w:b/>
          <w:bCs/>
        </w:rPr>
        <w:t>（1）基本原则</w:t>
      </w:r>
    </w:p>
    <w:p w14:paraId="4E55C9D0">
      <w:pPr>
        <w:bidi w:val="0"/>
        <w:rPr>
          <w:rFonts w:hint="eastAsia"/>
        </w:rPr>
      </w:pPr>
      <w:r>
        <w:rPr>
          <w:rFonts w:hint="eastAsia"/>
        </w:rPr>
        <w:t>1）坚持节水优先。始终把节水摆在优先位置，坚持“四水四定”，加大灌区骨干工程现代化改造，提高渠系输配水能力，提高用水效率和效益。</w:t>
      </w:r>
    </w:p>
    <w:p w14:paraId="6D47D4FE">
      <w:pPr>
        <w:bidi w:val="0"/>
        <w:rPr>
          <w:rFonts w:hint="eastAsia"/>
        </w:rPr>
      </w:pPr>
      <w:r>
        <w:rPr>
          <w:rFonts w:hint="eastAsia"/>
        </w:rPr>
        <w:t>2）坚持问题导向。结合区域乡村振兴、高标准农田建设对水利的要求，着重解决水源保障程度低、渠系输水损失大、工程配套水平低、效益发挥不充分等突出问题。</w:t>
      </w:r>
    </w:p>
    <w:p w14:paraId="6EED2F4C">
      <w:pPr>
        <w:bidi w:val="0"/>
        <w:rPr>
          <w:rFonts w:hint="eastAsia"/>
        </w:rPr>
      </w:pPr>
      <w:r>
        <w:rPr>
          <w:rFonts w:hint="eastAsia"/>
        </w:rPr>
        <w:t>3）坚持突出重点。区域上要突出粮食主产区、脱贫巩固区、革命老区以及水资源短缺地区。加快补齐灌区老化失修严重的短板，提升灌区供排水服务水平，提高和稳定粮食生产能力，保障民生。</w:t>
      </w:r>
    </w:p>
    <w:p w14:paraId="4DA18683">
      <w:pPr>
        <w:bidi w:val="0"/>
        <w:rPr>
          <w:rFonts w:hint="eastAsia"/>
        </w:rPr>
      </w:pPr>
      <w:r>
        <w:rPr>
          <w:rFonts w:hint="eastAsia"/>
        </w:rPr>
        <w:t>4）坚持建管并重。同步推进农业水价综合改革，完善灌区管理体制和运行管护机制，落实“两费”来源，保障工程长效运行。</w:t>
      </w:r>
    </w:p>
    <w:p w14:paraId="0416BBDC">
      <w:pPr>
        <w:bidi w:val="0"/>
        <w:rPr>
          <w:rFonts w:hint="eastAsia"/>
          <w:b/>
          <w:bCs/>
        </w:rPr>
      </w:pPr>
      <w:r>
        <w:rPr>
          <w:rFonts w:hint="eastAsia"/>
          <w:b/>
          <w:bCs/>
        </w:rPr>
        <w:t>（2）灌区工程总体布局</w:t>
      </w:r>
    </w:p>
    <w:p w14:paraId="23252B41">
      <w:pPr>
        <w:bidi w:val="0"/>
        <w:rPr>
          <w:rFonts w:hint="eastAsia" w:eastAsia="宋体"/>
          <w:lang w:val="en-US" w:eastAsia="zh-CN"/>
        </w:rPr>
      </w:pPr>
      <w:r>
        <w:rPr>
          <w:rFonts w:hint="eastAsia"/>
        </w:rPr>
        <w:t>根据灌区经济社会发展、乡村振兴、现代农业发展的用水需求，按照“四水四定---以水定城、以水定地、以水定人、以水定产”的原则，统筹上下游、左右岸，协调经济社会发展对区域用水的需求，科学配置灌区水资源，朱集灌区设计灌溉面积11.80万亩</w:t>
      </w:r>
      <w:r>
        <w:rPr>
          <w:rFonts w:hint="eastAsia"/>
          <w:lang w:eastAsia="zh-CN"/>
        </w:rPr>
        <w:t>。</w:t>
      </w:r>
    </w:p>
    <w:p w14:paraId="39958C50">
      <w:pPr>
        <w:bidi w:val="0"/>
        <w:rPr>
          <w:rFonts w:hint="eastAsia"/>
        </w:rPr>
      </w:pPr>
      <w:r>
        <w:rPr>
          <w:rFonts w:hint="eastAsia"/>
        </w:rPr>
        <w:t>本次设计不改变灌区渠系的布局以及灌区运行格局，根据渠道现状存在的问题以及具体地质条件，制定相应措施进行整治、加固、续建配套，工程总体布置原则如下：</w:t>
      </w:r>
    </w:p>
    <w:p w14:paraId="66C4A3CD">
      <w:pPr>
        <w:bidi w:val="0"/>
        <w:rPr>
          <w:rFonts w:hint="eastAsia"/>
        </w:rPr>
      </w:pPr>
      <w:r>
        <w:rPr>
          <w:rFonts w:hint="eastAsia"/>
        </w:rPr>
        <w:t>1）朱集一站引水渠、二引干渠、一东干渠、朱集二站出水池、二东干渠、桂岗支渠、二北干渠、染坊支渠、杨公三站进水渠、杨公三站出水池、三北干渠、双庙支渠、一北干渠、方庄支渠12条渠道和两座出水池，已硬化段淤积严重，灌溉水利用系数较低，土坡段多处杂草丛生、导致阻塞严重、输水不畅，部分段塌方滑坡等问题。现对土渠段采用硬化设计，已硬化段采用清淤设计。</w:t>
      </w:r>
    </w:p>
    <w:p w14:paraId="11A9523E">
      <w:pPr>
        <w:bidi w:val="0"/>
        <w:rPr>
          <w:rFonts w:hint="eastAsia"/>
        </w:rPr>
      </w:pPr>
      <w:r>
        <w:rPr>
          <w:rFonts w:hint="eastAsia"/>
        </w:rPr>
        <w:t>2）灌区配套建筑物不全，已配套的建筑物经过多年运行也老化损坏，节制闸、进水闸铸铁件锈蚀严重，部分还无启闭机房，开启困难，且存在不安全因素；桥梁设计标准低，桥面、桥墩损坏严重且阻水严重等。针对上述问题本项目对其拆除重建。</w:t>
      </w:r>
    </w:p>
    <w:p w14:paraId="0BE88B04">
      <w:pPr>
        <w:bidi w:val="0"/>
        <w:rPr>
          <w:rFonts w:hint="eastAsia"/>
        </w:rPr>
      </w:pPr>
      <w:r>
        <w:rPr>
          <w:rFonts w:hint="eastAsia"/>
        </w:rPr>
        <w:t>3）结合灌区骨干渠道、渠系建筑物改造与布置，在重要引水口、分水口、用水管理分界断面、用水计量断面等处建设量水设施。</w:t>
      </w:r>
    </w:p>
    <w:p w14:paraId="7C69144B">
      <w:pPr>
        <w:pStyle w:val="5"/>
        <w:bidi w:val="0"/>
      </w:pPr>
      <w:r>
        <w:rPr>
          <w:rFonts w:hint="eastAsia"/>
        </w:rPr>
        <w:t>2.3</w:t>
      </w:r>
      <w:r>
        <w:t>.</w:t>
      </w:r>
      <w:r>
        <w:rPr>
          <w:rFonts w:hint="eastAsia"/>
          <w:lang w:val="en-US" w:eastAsia="zh-CN"/>
        </w:rPr>
        <w:t>4</w:t>
      </w:r>
      <w:r>
        <w:t>.</w:t>
      </w:r>
      <w:r>
        <w:rPr>
          <w:rFonts w:hint="eastAsia"/>
        </w:rPr>
        <w:t>1</w:t>
      </w:r>
      <w:r>
        <w:t xml:space="preserve"> </w:t>
      </w:r>
      <w:r>
        <w:rPr>
          <w:rFonts w:hint="eastAsia"/>
        </w:rPr>
        <w:t>骨干输配水工程</w:t>
      </w:r>
    </w:p>
    <w:p w14:paraId="21F24A7D">
      <w:pPr>
        <w:bidi w:val="0"/>
        <w:rPr>
          <w:b/>
          <w:bCs/>
        </w:rPr>
      </w:pPr>
      <w:r>
        <w:rPr>
          <w:rFonts w:hint="eastAsia"/>
          <w:b/>
          <w:bCs/>
          <w:lang w:eastAsia="zh-CN"/>
        </w:rPr>
        <w:t>（</w:t>
      </w:r>
      <w:r>
        <w:rPr>
          <w:rFonts w:hint="eastAsia"/>
          <w:b/>
          <w:bCs/>
          <w:lang w:val="en-US" w:eastAsia="zh-CN"/>
        </w:rPr>
        <w:t>1</w:t>
      </w:r>
      <w:r>
        <w:rPr>
          <w:rFonts w:hint="eastAsia"/>
          <w:b/>
          <w:bCs/>
          <w:lang w:eastAsia="zh-CN"/>
        </w:rPr>
        <w:t>）</w:t>
      </w:r>
      <w:r>
        <w:rPr>
          <w:b/>
          <w:bCs/>
        </w:rPr>
        <w:t>渠道清淤</w:t>
      </w:r>
    </w:p>
    <w:p w14:paraId="3B9469CB">
      <w:pPr>
        <w:bidi w:val="0"/>
        <w:rPr>
          <w:color w:val="0000FF"/>
        </w:rPr>
      </w:pPr>
      <w:r>
        <w:t>本次工程渠道清淤</w:t>
      </w:r>
      <w:r>
        <w:rPr>
          <w:rFonts w:hint="eastAsia"/>
        </w:rPr>
        <w:t>总长度为</w:t>
      </w:r>
      <w:r>
        <w:rPr>
          <w:rFonts w:hint="eastAsia"/>
          <w:lang w:val="en-US" w:eastAsia="zh-CN"/>
        </w:rPr>
        <w:t>12310</w:t>
      </w:r>
      <w:r>
        <w:rPr>
          <w:rFonts w:hint="eastAsia"/>
        </w:rPr>
        <w:t>m，涉及清淤的子项目包括</w:t>
      </w:r>
      <w:r>
        <w:rPr>
          <w:rFonts w:hint="eastAsia"/>
          <w:lang w:val="en-US" w:eastAsia="zh-CN"/>
        </w:rPr>
        <w:t>朱集一站引水渠、一东干渠、二东干渠、二北干渠、杨公三站引水渠、三北干渠、杨公三站储水池、桂岗支渠、染坊支渠、方庄支渠</w:t>
      </w:r>
      <w:r>
        <w:rPr>
          <w:rFonts w:hint="eastAsia"/>
        </w:rPr>
        <w:t>。</w:t>
      </w:r>
    </w:p>
    <w:p w14:paraId="363881B8">
      <w:pPr>
        <w:bidi w:val="0"/>
      </w:pPr>
      <w:r>
        <w:rPr>
          <w:rFonts w:hint="eastAsia"/>
        </w:rPr>
        <w:t>清淤工程根据设计渠底高程、渠底宽度，对现状积於严重的渠段进行清淤，采用机械与人工相结合，反铲挖掘机或推土机开挖。机械铲除后及时转运送至弃土场，弃土场做好定期洒水抑尘、除臭以及覆盖防风防雨措施，工程结束后表土覆盖及时开展弃土区的复绿和复垦工作。</w:t>
      </w:r>
    </w:p>
    <w:p w14:paraId="05F6DEA7">
      <w:pPr>
        <w:pStyle w:val="29"/>
        <w:bidi w:val="0"/>
      </w:pPr>
      <w:r>
        <w:t>表</w:t>
      </w:r>
      <w:r>
        <w:rPr>
          <w:rFonts w:hint="eastAsia"/>
        </w:rPr>
        <w:t>2</w:t>
      </w:r>
      <w:r>
        <w:rPr>
          <w:rFonts w:hint="eastAsia"/>
          <w:lang w:val="en-US" w:eastAsia="zh-CN"/>
        </w:rPr>
        <w:t>.</w:t>
      </w:r>
      <w:r>
        <w:rPr>
          <w:rFonts w:hint="eastAsia"/>
        </w:rPr>
        <w:t>3</w:t>
      </w:r>
      <w:r>
        <w:t>-</w:t>
      </w:r>
      <w:r>
        <w:rPr>
          <w:rFonts w:hint="eastAsia"/>
        </w:rPr>
        <w:t>1</w:t>
      </w:r>
      <w:r>
        <w:t xml:space="preserve">  渠道清淤长度统计表</w:t>
      </w:r>
    </w:p>
    <w:tbl>
      <w:tblPr>
        <w:tblStyle w:val="1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33"/>
        <w:gridCol w:w="1886"/>
        <w:gridCol w:w="2452"/>
        <w:gridCol w:w="1409"/>
      </w:tblGrid>
      <w:tr w14:paraId="58BAF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3" w:type="pct"/>
            <w:vAlign w:val="center"/>
          </w:tcPr>
          <w:p w14:paraId="3E2EEE5C">
            <w:pPr>
              <w:pStyle w:val="28"/>
              <w:bidi w:val="0"/>
            </w:pPr>
            <w:r>
              <w:rPr>
                <w:rFonts w:hint="eastAsia"/>
                <w:lang w:val="en-US" w:eastAsia="zh-CN"/>
              </w:rPr>
              <w:t>渠道</w:t>
            </w:r>
            <w:r>
              <w:t>名称</w:t>
            </w:r>
          </w:p>
        </w:tc>
        <w:tc>
          <w:tcPr>
            <w:tcW w:w="1016" w:type="pct"/>
            <w:vAlign w:val="center"/>
          </w:tcPr>
          <w:p w14:paraId="6DAE5D9D">
            <w:pPr>
              <w:pStyle w:val="28"/>
              <w:bidi w:val="0"/>
            </w:pPr>
            <w:r>
              <w:t>清淤长度（m）</w:t>
            </w:r>
          </w:p>
        </w:tc>
        <w:tc>
          <w:tcPr>
            <w:tcW w:w="1321" w:type="pct"/>
            <w:vAlign w:val="center"/>
          </w:tcPr>
          <w:p w14:paraId="1A7439C8">
            <w:pPr>
              <w:pStyle w:val="28"/>
              <w:bidi w:val="0"/>
              <w:rPr>
                <w:rFonts w:hint="default"/>
                <w:lang w:val="en-US" w:eastAsia="zh-CN"/>
              </w:rPr>
            </w:pPr>
            <w:r>
              <w:rPr>
                <w:rFonts w:hint="eastAsia"/>
                <w:lang w:val="en-US" w:eastAsia="zh-CN"/>
              </w:rPr>
              <w:t>清淤土方量（m3）</w:t>
            </w:r>
          </w:p>
        </w:tc>
        <w:tc>
          <w:tcPr>
            <w:tcW w:w="759" w:type="pct"/>
            <w:vAlign w:val="center"/>
          </w:tcPr>
          <w:p w14:paraId="7D6B4D4C">
            <w:pPr>
              <w:pStyle w:val="28"/>
              <w:bidi w:val="0"/>
              <w:rPr>
                <w:rFonts w:hint="eastAsia"/>
                <w:lang w:val="en-US" w:eastAsia="zh-CN"/>
              </w:rPr>
            </w:pPr>
            <w:r>
              <w:rPr>
                <w:rFonts w:hint="eastAsia"/>
                <w:lang w:val="en-US" w:eastAsia="zh-CN"/>
              </w:rPr>
              <w:t>备注</w:t>
            </w:r>
          </w:p>
        </w:tc>
      </w:tr>
      <w:tr w14:paraId="36FC8B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3" w:type="pct"/>
            <w:vAlign w:val="center"/>
          </w:tcPr>
          <w:p w14:paraId="081F6CF7">
            <w:pPr>
              <w:pStyle w:val="28"/>
              <w:bidi w:val="0"/>
              <w:rPr>
                <w:rFonts w:hint="default"/>
                <w:lang w:val="en-US" w:eastAsia="zh-CN"/>
              </w:rPr>
            </w:pPr>
            <w:r>
              <w:rPr>
                <w:rFonts w:hint="eastAsia"/>
                <w:lang w:val="en-US" w:eastAsia="zh-CN"/>
              </w:rPr>
              <w:t>朱集一站引水渠</w:t>
            </w:r>
          </w:p>
        </w:tc>
        <w:tc>
          <w:tcPr>
            <w:tcW w:w="1016" w:type="pct"/>
            <w:vAlign w:val="center"/>
          </w:tcPr>
          <w:p w14:paraId="5AD01431">
            <w:pPr>
              <w:pStyle w:val="28"/>
              <w:bidi w:val="0"/>
              <w:rPr>
                <w:rFonts w:hint="default"/>
                <w:lang w:val="en-US" w:eastAsia="zh-CN"/>
              </w:rPr>
            </w:pPr>
            <w:r>
              <w:rPr>
                <w:rFonts w:hint="eastAsia"/>
                <w:lang w:val="en-US" w:eastAsia="zh-CN"/>
              </w:rPr>
              <w:t>340</w:t>
            </w:r>
          </w:p>
        </w:tc>
        <w:tc>
          <w:tcPr>
            <w:tcW w:w="1321" w:type="pct"/>
            <w:vAlign w:val="center"/>
          </w:tcPr>
          <w:p w14:paraId="3D956B01">
            <w:pPr>
              <w:pStyle w:val="28"/>
              <w:bidi w:val="0"/>
              <w:rPr>
                <w:rFonts w:hint="default"/>
                <w:lang w:val="en-US" w:eastAsia="zh-CN"/>
              </w:rPr>
            </w:pPr>
            <w:r>
              <w:rPr>
                <w:rFonts w:hint="eastAsia"/>
                <w:lang w:val="en-US" w:eastAsia="zh-CN"/>
              </w:rPr>
              <w:t>14298</w:t>
            </w:r>
          </w:p>
        </w:tc>
        <w:tc>
          <w:tcPr>
            <w:tcW w:w="759" w:type="pct"/>
            <w:vAlign w:val="center"/>
          </w:tcPr>
          <w:p w14:paraId="364B118B">
            <w:pPr>
              <w:pStyle w:val="28"/>
              <w:bidi w:val="0"/>
            </w:pPr>
          </w:p>
        </w:tc>
      </w:tr>
      <w:tr w14:paraId="59381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3" w:type="pct"/>
            <w:vAlign w:val="center"/>
          </w:tcPr>
          <w:p w14:paraId="00025B78">
            <w:pPr>
              <w:pStyle w:val="28"/>
              <w:bidi w:val="0"/>
              <w:rPr>
                <w:rFonts w:hint="default"/>
                <w:lang w:val="en-US" w:eastAsia="zh-CN"/>
              </w:rPr>
            </w:pPr>
            <w:r>
              <w:rPr>
                <w:rFonts w:hint="eastAsia"/>
                <w:lang w:val="en-US" w:eastAsia="zh-CN"/>
              </w:rPr>
              <w:t>一东干渠</w:t>
            </w:r>
          </w:p>
        </w:tc>
        <w:tc>
          <w:tcPr>
            <w:tcW w:w="1016" w:type="pct"/>
            <w:vAlign w:val="center"/>
          </w:tcPr>
          <w:p w14:paraId="2CF96A2A">
            <w:pPr>
              <w:pStyle w:val="28"/>
              <w:bidi w:val="0"/>
              <w:rPr>
                <w:rFonts w:hint="default"/>
                <w:lang w:val="en-US" w:eastAsia="zh-CN"/>
              </w:rPr>
            </w:pPr>
            <w:r>
              <w:rPr>
                <w:rFonts w:hint="eastAsia"/>
                <w:lang w:val="en-US" w:eastAsia="zh-CN"/>
              </w:rPr>
              <w:t>832</w:t>
            </w:r>
          </w:p>
        </w:tc>
        <w:tc>
          <w:tcPr>
            <w:tcW w:w="1321" w:type="pct"/>
            <w:vAlign w:val="center"/>
          </w:tcPr>
          <w:p w14:paraId="62D5C4B8">
            <w:pPr>
              <w:pStyle w:val="28"/>
              <w:bidi w:val="0"/>
              <w:rPr>
                <w:rFonts w:hint="default"/>
                <w:lang w:val="en-US" w:eastAsia="zh-CN"/>
              </w:rPr>
            </w:pPr>
            <w:r>
              <w:rPr>
                <w:rFonts w:hint="eastAsia"/>
                <w:lang w:val="en-US" w:eastAsia="zh-CN"/>
              </w:rPr>
              <w:t>180</w:t>
            </w:r>
          </w:p>
        </w:tc>
        <w:tc>
          <w:tcPr>
            <w:tcW w:w="759" w:type="pct"/>
            <w:vAlign w:val="center"/>
          </w:tcPr>
          <w:p w14:paraId="6EC6A34C">
            <w:pPr>
              <w:pStyle w:val="28"/>
              <w:bidi w:val="0"/>
            </w:pPr>
          </w:p>
        </w:tc>
      </w:tr>
      <w:tr w14:paraId="37059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3" w:type="pct"/>
            <w:vAlign w:val="center"/>
          </w:tcPr>
          <w:p w14:paraId="0941495F">
            <w:pPr>
              <w:pStyle w:val="28"/>
              <w:bidi w:val="0"/>
              <w:rPr>
                <w:rFonts w:hint="default"/>
                <w:lang w:val="en-US" w:eastAsia="zh-CN"/>
              </w:rPr>
            </w:pPr>
            <w:r>
              <w:rPr>
                <w:rFonts w:hint="eastAsia"/>
                <w:lang w:val="en-US" w:eastAsia="zh-CN"/>
              </w:rPr>
              <w:t>二东干渠</w:t>
            </w:r>
          </w:p>
        </w:tc>
        <w:tc>
          <w:tcPr>
            <w:tcW w:w="1016" w:type="pct"/>
            <w:vAlign w:val="center"/>
          </w:tcPr>
          <w:p w14:paraId="671053CA">
            <w:pPr>
              <w:pStyle w:val="28"/>
              <w:bidi w:val="0"/>
              <w:rPr>
                <w:rFonts w:hint="default"/>
                <w:lang w:val="en-US" w:eastAsia="zh-CN"/>
              </w:rPr>
            </w:pPr>
            <w:r>
              <w:rPr>
                <w:rFonts w:hint="eastAsia"/>
                <w:lang w:val="en-US" w:eastAsia="zh-CN"/>
              </w:rPr>
              <w:t>370</w:t>
            </w:r>
          </w:p>
        </w:tc>
        <w:tc>
          <w:tcPr>
            <w:tcW w:w="1321" w:type="pct"/>
            <w:vAlign w:val="center"/>
          </w:tcPr>
          <w:p w14:paraId="6203CAEB">
            <w:pPr>
              <w:pStyle w:val="28"/>
              <w:bidi w:val="0"/>
              <w:rPr>
                <w:rFonts w:hint="default"/>
                <w:lang w:val="en-US" w:eastAsia="zh-CN"/>
              </w:rPr>
            </w:pPr>
            <w:r>
              <w:rPr>
                <w:rFonts w:hint="eastAsia"/>
                <w:lang w:val="en-US" w:eastAsia="zh-CN"/>
              </w:rPr>
              <w:t>1080</w:t>
            </w:r>
          </w:p>
        </w:tc>
        <w:tc>
          <w:tcPr>
            <w:tcW w:w="759" w:type="pct"/>
            <w:vAlign w:val="center"/>
          </w:tcPr>
          <w:p w14:paraId="75F96D7C">
            <w:pPr>
              <w:pStyle w:val="28"/>
              <w:bidi w:val="0"/>
            </w:pPr>
          </w:p>
        </w:tc>
      </w:tr>
      <w:tr w14:paraId="03AAC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3" w:type="pct"/>
            <w:vAlign w:val="center"/>
          </w:tcPr>
          <w:p w14:paraId="42F87069">
            <w:pPr>
              <w:pStyle w:val="28"/>
              <w:bidi w:val="0"/>
              <w:rPr>
                <w:rFonts w:hint="default"/>
                <w:lang w:val="en-US" w:eastAsia="zh-CN"/>
              </w:rPr>
            </w:pPr>
            <w:r>
              <w:rPr>
                <w:rFonts w:hint="eastAsia"/>
                <w:lang w:val="en-US" w:eastAsia="zh-CN"/>
              </w:rPr>
              <w:t>二北干渠</w:t>
            </w:r>
          </w:p>
        </w:tc>
        <w:tc>
          <w:tcPr>
            <w:tcW w:w="1016" w:type="pct"/>
            <w:vAlign w:val="center"/>
          </w:tcPr>
          <w:p w14:paraId="1ED6B4FD">
            <w:pPr>
              <w:pStyle w:val="28"/>
              <w:bidi w:val="0"/>
              <w:rPr>
                <w:rFonts w:hint="default"/>
                <w:lang w:val="en-US" w:eastAsia="zh-CN"/>
              </w:rPr>
            </w:pPr>
            <w:r>
              <w:rPr>
                <w:rFonts w:hint="eastAsia"/>
                <w:lang w:val="en-US" w:eastAsia="zh-CN"/>
              </w:rPr>
              <w:t>1769</w:t>
            </w:r>
          </w:p>
        </w:tc>
        <w:tc>
          <w:tcPr>
            <w:tcW w:w="1321" w:type="pct"/>
            <w:vAlign w:val="center"/>
          </w:tcPr>
          <w:p w14:paraId="34B5F121">
            <w:pPr>
              <w:pStyle w:val="28"/>
              <w:bidi w:val="0"/>
              <w:rPr>
                <w:rFonts w:hint="default"/>
                <w:lang w:val="en-US" w:eastAsia="zh-CN"/>
              </w:rPr>
            </w:pPr>
            <w:r>
              <w:rPr>
                <w:rFonts w:hint="eastAsia"/>
                <w:lang w:val="en-US" w:eastAsia="zh-CN"/>
              </w:rPr>
              <w:t>959</w:t>
            </w:r>
          </w:p>
        </w:tc>
        <w:tc>
          <w:tcPr>
            <w:tcW w:w="759" w:type="pct"/>
            <w:vAlign w:val="center"/>
          </w:tcPr>
          <w:p w14:paraId="258488DB">
            <w:pPr>
              <w:pStyle w:val="28"/>
              <w:bidi w:val="0"/>
            </w:pPr>
          </w:p>
        </w:tc>
      </w:tr>
      <w:tr w14:paraId="49831A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3" w:type="pct"/>
            <w:vAlign w:val="center"/>
          </w:tcPr>
          <w:p w14:paraId="0FE87533">
            <w:pPr>
              <w:pStyle w:val="28"/>
              <w:bidi w:val="0"/>
              <w:rPr>
                <w:rFonts w:hint="default"/>
                <w:lang w:val="en-US" w:eastAsia="zh-CN"/>
              </w:rPr>
            </w:pPr>
            <w:r>
              <w:rPr>
                <w:rFonts w:hint="eastAsia"/>
                <w:lang w:val="en-US" w:eastAsia="zh-CN"/>
              </w:rPr>
              <w:t>杨公三站出水池、引水渠和三北干渠</w:t>
            </w:r>
          </w:p>
        </w:tc>
        <w:tc>
          <w:tcPr>
            <w:tcW w:w="1016" w:type="pct"/>
            <w:vAlign w:val="center"/>
          </w:tcPr>
          <w:p w14:paraId="14167DB5">
            <w:pPr>
              <w:pStyle w:val="28"/>
              <w:bidi w:val="0"/>
              <w:rPr>
                <w:rFonts w:hint="default"/>
                <w:lang w:val="en-US" w:eastAsia="zh-CN"/>
              </w:rPr>
            </w:pPr>
            <w:r>
              <w:rPr>
                <w:rFonts w:hint="eastAsia"/>
                <w:lang w:val="en-US" w:eastAsia="zh-CN"/>
              </w:rPr>
              <w:t>2766</w:t>
            </w:r>
          </w:p>
        </w:tc>
        <w:tc>
          <w:tcPr>
            <w:tcW w:w="1321" w:type="pct"/>
            <w:vAlign w:val="center"/>
          </w:tcPr>
          <w:p w14:paraId="593D8A76">
            <w:pPr>
              <w:pStyle w:val="28"/>
              <w:bidi w:val="0"/>
              <w:rPr>
                <w:rFonts w:hint="default"/>
                <w:lang w:val="en-US" w:eastAsia="zh-CN"/>
              </w:rPr>
            </w:pPr>
            <w:r>
              <w:rPr>
                <w:rFonts w:hint="eastAsia"/>
                <w:lang w:val="en-US" w:eastAsia="zh-CN"/>
              </w:rPr>
              <w:t>6176</w:t>
            </w:r>
          </w:p>
        </w:tc>
        <w:tc>
          <w:tcPr>
            <w:tcW w:w="759" w:type="pct"/>
            <w:vAlign w:val="center"/>
          </w:tcPr>
          <w:p w14:paraId="070E2555">
            <w:pPr>
              <w:pStyle w:val="28"/>
              <w:bidi w:val="0"/>
            </w:pPr>
          </w:p>
        </w:tc>
      </w:tr>
      <w:tr w14:paraId="3F058E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3" w:type="pct"/>
            <w:vAlign w:val="center"/>
          </w:tcPr>
          <w:p w14:paraId="37319A39">
            <w:pPr>
              <w:pStyle w:val="28"/>
              <w:bidi w:val="0"/>
              <w:rPr>
                <w:rFonts w:hint="default"/>
                <w:lang w:val="en-US" w:eastAsia="zh-CN"/>
              </w:rPr>
            </w:pPr>
            <w:r>
              <w:rPr>
                <w:rFonts w:hint="eastAsia"/>
                <w:lang w:val="en-US" w:eastAsia="zh-CN"/>
              </w:rPr>
              <w:t>桂岗支渠</w:t>
            </w:r>
          </w:p>
        </w:tc>
        <w:tc>
          <w:tcPr>
            <w:tcW w:w="1016" w:type="pct"/>
            <w:vAlign w:val="center"/>
          </w:tcPr>
          <w:p w14:paraId="510DDC86">
            <w:pPr>
              <w:pStyle w:val="28"/>
              <w:bidi w:val="0"/>
              <w:rPr>
                <w:rFonts w:hint="default"/>
                <w:lang w:val="en-US" w:eastAsia="zh-CN"/>
              </w:rPr>
            </w:pPr>
            <w:r>
              <w:rPr>
                <w:rFonts w:hint="eastAsia"/>
                <w:lang w:val="en-US" w:eastAsia="zh-CN"/>
              </w:rPr>
              <w:t>383</w:t>
            </w:r>
          </w:p>
        </w:tc>
        <w:tc>
          <w:tcPr>
            <w:tcW w:w="1321" w:type="pct"/>
            <w:vAlign w:val="center"/>
          </w:tcPr>
          <w:p w14:paraId="027FBA28">
            <w:pPr>
              <w:pStyle w:val="28"/>
              <w:bidi w:val="0"/>
              <w:rPr>
                <w:rFonts w:hint="default"/>
                <w:lang w:val="en-US" w:eastAsia="zh-CN"/>
              </w:rPr>
            </w:pPr>
            <w:r>
              <w:rPr>
                <w:rFonts w:hint="eastAsia"/>
                <w:lang w:val="en-US" w:eastAsia="zh-CN"/>
              </w:rPr>
              <w:t>383</w:t>
            </w:r>
          </w:p>
        </w:tc>
        <w:tc>
          <w:tcPr>
            <w:tcW w:w="759" w:type="pct"/>
            <w:vAlign w:val="center"/>
          </w:tcPr>
          <w:p w14:paraId="797EF0DA">
            <w:pPr>
              <w:pStyle w:val="28"/>
              <w:bidi w:val="0"/>
            </w:pPr>
          </w:p>
        </w:tc>
      </w:tr>
      <w:tr w14:paraId="45E12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3" w:type="pct"/>
            <w:vAlign w:val="center"/>
          </w:tcPr>
          <w:p w14:paraId="1217B828">
            <w:pPr>
              <w:pStyle w:val="28"/>
              <w:bidi w:val="0"/>
              <w:rPr>
                <w:rFonts w:hint="default"/>
                <w:lang w:val="en-US" w:eastAsia="zh-CN"/>
              </w:rPr>
            </w:pPr>
            <w:r>
              <w:rPr>
                <w:rFonts w:hint="eastAsia"/>
                <w:lang w:val="en-US" w:eastAsia="zh-CN"/>
              </w:rPr>
              <w:t>染坊支渠</w:t>
            </w:r>
          </w:p>
        </w:tc>
        <w:tc>
          <w:tcPr>
            <w:tcW w:w="1016" w:type="pct"/>
            <w:vAlign w:val="center"/>
          </w:tcPr>
          <w:p w14:paraId="0C20714C">
            <w:pPr>
              <w:pStyle w:val="28"/>
              <w:bidi w:val="0"/>
              <w:rPr>
                <w:rFonts w:hint="default"/>
                <w:lang w:val="en-US" w:eastAsia="zh-CN"/>
              </w:rPr>
            </w:pPr>
            <w:r>
              <w:rPr>
                <w:rFonts w:hint="eastAsia"/>
                <w:lang w:val="en-US" w:eastAsia="zh-CN"/>
              </w:rPr>
              <w:t>3350</w:t>
            </w:r>
          </w:p>
        </w:tc>
        <w:tc>
          <w:tcPr>
            <w:tcW w:w="1321" w:type="pct"/>
            <w:vAlign w:val="center"/>
          </w:tcPr>
          <w:p w14:paraId="7C0052D9">
            <w:pPr>
              <w:pStyle w:val="28"/>
              <w:bidi w:val="0"/>
              <w:rPr>
                <w:rFonts w:hint="default"/>
                <w:lang w:val="en-US" w:eastAsia="zh-CN"/>
              </w:rPr>
            </w:pPr>
            <w:r>
              <w:rPr>
                <w:rFonts w:hint="eastAsia"/>
                <w:lang w:val="en-US" w:eastAsia="zh-CN"/>
              </w:rPr>
              <w:t>3243</w:t>
            </w:r>
          </w:p>
        </w:tc>
        <w:tc>
          <w:tcPr>
            <w:tcW w:w="759" w:type="pct"/>
            <w:vAlign w:val="center"/>
          </w:tcPr>
          <w:p w14:paraId="1F292D6C">
            <w:pPr>
              <w:pStyle w:val="28"/>
              <w:bidi w:val="0"/>
            </w:pPr>
          </w:p>
        </w:tc>
      </w:tr>
      <w:tr w14:paraId="6FC43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3" w:type="pct"/>
            <w:vAlign w:val="center"/>
          </w:tcPr>
          <w:p w14:paraId="028C0490">
            <w:pPr>
              <w:pStyle w:val="28"/>
              <w:bidi w:val="0"/>
              <w:rPr>
                <w:rFonts w:hint="default"/>
                <w:lang w:val="en-US" w:eastAsia="zh-CN"/>
              </w:rPr>
            </w:pPr>
            <w:r>
              <w:rPr>
                <w:rFonts w:hint="eastAsia"/>
                <w:lang w:val="en-US" w:eastAsia="zh-CN"/>
              </w:rPr>
              <w:t>方庄支渠</w:t>
            </w:r>
          </w:p>
        </w:tc>
        <w:tc>
          <w:tcPr>
            <w:tcW w:w="1016" w:type="pct"/>
            <w:vAlign w:val="center"/>
          </w:tcPr>
          <w:p w14:paraId="24AA8CCC">
            <w:pPr>
              <w:pStyle w:val="28"/>
              <w:bidi w:val="0"/>
              <w:rPr>
                <w:rFonts w:hint="default"/>
                <w:lang w:val="en-US" w:eastAsia="zh-CN"/>
              </w:rPr>
            </w:pPr>
            <w:r>
              <w:rPr>
                <w:rFonts w:hint="eastAsia"/>
                <w:lang w:val="en-US" w:eastAsia="zh-CN"/>
              </w:rPr>
              <w:t>2500</w:t>
            </w:r>
          </w:p>
        </w:tc>
        <w:tc>
          <w:tcPr>
            <w:tcW w:w="1321" w:type="pct"/>
            <w:vAlign w:val="center"/>
          </w:tcPr>
          <w:p w14:paraId="55EE1FE3">
            <w:pPr>
              <w:pStyle w:val="28"/>
              <w:bidi w:val="0"/>
              <w:rPr>
                <w:rFonts w:hint="default"/>
                <w:lang w:val="en-US" w:eastAsia="zh-CN"/>
              </w:rPr>
            </w:pPr>
            <w:r>
              <w:rPr>
                <w:rFonts w:hint="eastAsia"/>
                <w:lang w:val="en-US" w:eastAsia="zh-CN"/>
              </w:rPr>
              <w:t>5250</w:t>
            </w:r>
          </w:p>
        </w:tc>
        <w:tc>
          <w:tcPr>
            <w:tcW w:w="759" w:type="pct"/>
            <w:vAlign w:val="center"/>
          </w:tcPr>
          <w:p w14:paraId="05616DF1">
            <w:pPr>
              <w:pStyle w:val="28"/>
              <w:bidi w:val="0"/>
            </w:pPr>
          </w:p>
        </w:tc>
      </w:tr>
      <w:tr w14:paraId="12C76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903" w:type="pct"/>
            <w:vAlign w:val="center"/>
          </w:tcPr>
          <w:p w14:paraId="552905A7">
            <w:pPr>
              <w:pStyle w:val="28"/>
              <w:bidi w:val="0"/>
              <w:rPr>
                <w:rFonts w:hint="default"/>
                <w:lang w:val="en-US" w:eastAsia="zh-CN"/>
              </w:rPr>
            </w:pPr>
            <w:r>
              <w:rPr>
                <w:rFonts w:hint="eastAsia"/>
                <w:lang w:val="en-US" w:eastAsia="zh-CN"/>
              </w:rPr>
              <w:t>合计</w:t>
            </w:r>
          </w:p>
        </w:tc>
        <w:tc>
          <w:tcPr>
            <w:tcW w:w="1016" w:type="pct"/>
            <w:vAlign w:val="center"/>
          </w:tcPr>
          <w:p w14:paraId="4D109140">
            <w:pPr>
              <w:pStyle w:val="28"/>
              <w:bidi w:val="0"/>
              <w:rPr>
                <w:rFonts w:hint="default"/>
                <w:lang w:val="en-US" w:eastAsia="zh-CN"/>
              </w:rPr>
            </w:pPr>
            <w:r>
              <w:rPr>
                <w:rFonts w:hint="eastAsia"/>
                <w:lang w:val="en-US" w:eastAsia="zh-CN"/>
              </w:rPr>
              <w:t>12310</w:t>
            </w:r>
          </w:p>
        </w:tc>
        <w:tc>
          <w:tcPr>
            <w:tcW w:w="1321" w:type="pct"/>
            <w:vAlign w:val="center"/>
          </w:tcPr>
          <w:p w14:paraId="27A7DE7D">
            <w:pPr>
              <w:pStyle w:val="28"/>
              <w:bidi w:val="0"/>
              <w:rPr>
                <w:rFonts w:hint="default"/>
                <w:lang w:val="en-US" w:eastAsia="zh-CN"/>
              </w:rPr>
            </w:pPr>
            <w:r>
              <w:rPr>
                <w:rFonts w:hint="eastAsia"/>
                <w:lang w:val="en-US" w:eastAsia="zh-CN"/>
              </w:rPr>
              <w:t>31569</w:t>
            </w:r>
          </w:p>
        </w:tc>
        <w:tc>
          <w:tcPr>
            <w:tcW w:w="759" w:type="pct"/>
            <w:vAlign w:val="center"/>
          </w:tcPr>
          <w:p w14:paraId="576710E6">
            <w:pPr>
              <w:pStyle w:val="28"/>
              <w:bidi w:val="0"/>
            </w:pPr>
          </w:p>
        </w:tc>
      </w:tr>
    </w:tbl>
    <w:p w14:paraId="516AE1AD">
      <w:pPr>
        <w:bidi w:val="0"/>
        <w:rPr>
          <w:b/>
          <w:bCs/>
        </w:rPr>
      </w:pPr>
      <w:r>
        <w:rPr>
          <w:rFonts w:hint="eastAsia"/>
          <w:b/>
          <w:bCs/>
          <w:lang w:eastAsia="zh-CN"/>
        </w:rPr>
        <w:t>（</w:t>
      </w:r>
      <w:r>
        <w:rPr>
          <w:rFonts w:hint="eastAsia"/>
          <w:b/>
          <w:bCs/>
          <w:lang w:val="en-US" w:eastAsia="zh-CN"/>
        </w:rPr>
        <w:t>2</w:t>
      </w:r>
      <w:r>
        <w:rPr>
          <w:rFonts w:hint="eastAsia"/>
          <w:b/>
          <w:bCs/>
          <w:lang w:eastAsia="zh-CN"/>
        </w:rPr>
        <w:t>）</w:t>
      </w:r>
      <w:r>
        <w:rPr>
          <w:b/>
          <w:bCs/>
        </w:rPr>
        <w:t>渠道护砌</w:t>
      </w:r>
    </w:p>
    <w:p w14:paraId="7890B80B">
      <w:pPr>
        <w:bidi w:val="0"/>
      </w:pPr>
      <w:r>
        <w:rPr>
          <w:rFonts w:hint="eastAsia"/>
          <w:lang w:val="en-US" w:eastAsia="zh-CN"/>
        </w:rPr>
        <w:t>总</w:t>
      </w:r>
      <w:r>
        <w:rPr>
          <w:rFonts w:hint="eastAsia"/>
        </w:rPr>
        <w:t>衬砌长度为37085m。其中：二引干渠衬砌长度为1361m、一东干渠衬砌长度为12988m、二东干渠衬砌长度为8392m、二北干渠衬砌长度为4051m、三北干渠衬砌长度为740m、桂岗支渠衬砌长度为3993m、染坊支渠衬砌长度为317m、一北干渠衬砌长度为4793m和双庙支渠衬砌长度为450m。</w:t>
      </w:r>
    </w:p>
    <w:p w14:paraId="6819BF32">
      <w:pPr>
        <w:bidi w:val="0"/>
        <w:rPr>
          <w:rFonts w:hint="eastAsia"/>
        </w:rPr>
      </w:pPr>
      <w:r>
        <w:rPr>
          <w:rFonts w:hint="eastAsia"/>
        </w:rPr>
        <w:t>二引干渠、一东干渠、二东干渠、二北干渠、三北干渠、一北干渠、双庙支渠、染坊支渠和桂岗支渠Ⅰ的作法：梯形渠道，采用C25预制块护坡，护坡厚100mm，下设100mm厚碎石垫层，护底厚120mm，护坡压顶尺寸0.3×0.4m（宽×高），护坡镇脚尺寸0.3×0.5m（宽×高），护底厚120mm，纵向每隔5m设置分缝，缝宽20mm，内填BW闭孔泡沫板，缝表面采用1:2水泥砂浆勾缝，不设横向缝，护坡每隔20m设一道C20砼格埂，宽0.3m、高0.4m，压顶以上至沟渠岸顶草皮护坡。基层土及回填土要求压实系数大于不小于0.92。</w:t>
      </w:r>
    </w:p>
    <w:p w14:paraId="61BB73D5">
      <w:pPr>
        <w:pStyle w:val="31"/>
        <w:bidi w:val="0"/>
        <w:rPr>
          <w:rFonts w:hint="eastAsia"/>
        </w:rPr>
      </w:pPr>
      <w:r>
        <w:rPr>
          <w:rFonts w:hint="eastAsia"/>
        </w:rPr>
        <w:drawing>
          <wp:inline distT="0" distB="0" distL="114300" distR="114300">
            <wp:extent cx="5104765" cy="1461135"/>
            <wp:effectExtent l="0" t="0" r="635" b="5715"/>
            <wp:docPr id="1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3"/>
                    <pic:cNvPicPr>
                      <a:picLocks noChangeAspect="1"/>
                    </pic:cNvPicPr>
                  </pic:nvPicPr>
                  <pic:blipFill>
                    <a:blip r:embed="rId60"/>
                    <a:stretch>
                      <a:fillRect/>
                    </a:stretch>
                  </pic:blipFill>
                  <pic:spPr>
                    <a:xfrm>
                      <a:off x="0" y="0"/>
                      <a:ext cx="5104765" cy="1461135"/>
                    </a:xfrm>
                    <a:prstGeom prst="rect">
                      <a:avLst/>
                    </a:prstGeom>
                    <a:noFill/>
                    <a:ln>
                      <a:noFill/>
                    </a:ln>
                  </pic:spPr>
                </pic:pic>
              </a:graphicData>
            </a:graphic>
          </wp:inline>
        </w:drawing>
      </w:r>
    </w:p>
    <w:p w14:paraId="2F4E4276">
      <w:pPr>
        <w:pStyle w:val="30"/>
        <w:bidi w:val="0"/>
        <w:rPr>
          <w:rFonts w:hint="eastAsia"/>
        </w:rPr>
      </w:pPr>
      <w:r>
        <w:rPr>
          <w:rFonts w:hint="eastAsia"/>
        </w:rPr>
        <w:t>图</w:t>
      </w:r>
      <w:r>
        <w:rPr>
          <w:rFonts w:hint="eastAsia"/>
          <w:lang w:val="en-US" w:eastAsia="zh-CN"/>
        </w:rPr>
        <w:t>2.3-1</w:t>
      </w:r>
      <w:r>
        <w:rPr>
          <w:rFonts w:hint="eastAsia"/>
        </w:rPr>
        <w:t xml:space="preserve">  </w:t>
      </w:r>
      <w:r>
        <w:rPr>
          <w:rFonts w:hint="eastAsia"/>
          <w:lang w:val="en-US" w:eastAsia="zh-CN"/>
        </w:rPr>
        <w:t>衬砌渠道典型图一</w:t>
      </w:r>
    </w:p>
    <w:p w14:paraId="50A0BD99">
      <w:pPr>
        <w:bidi w:val="0"/>
        <w:rPr>
          <w:rFonts w:hint="eastAsia"/>
        </w:rPr>
      </w:pPr>
      <w:r>
        <w:rPr>
          <w:rFonts w:hint="eastAsia"/>
        </w:rPr>
        <w:t>桂岗支渠Ⅱ的做法：梯形渠道，采用C20预制块护坡，渠底宽2m，深1.1m，护坡护底厚100mm，下设50mm厚瓜子片垫层，坡比1:1.0，护坡压顶尺寸0.3×0.2m（宽×高），护底厚120mm，纵向每隔5m设置分缝，缝宽20mm，内填BW闭孔泡沫板，缝表面采用1:2水泥砂浆勾缝，不设横向缝，护坡每隔20m设一道C20砼格埂，宽0.3m、高0.4m，压顶以上至沟渠岸顶播撒草籽。基层土及回填土要求压实系数大于不小于0.92。</w:t>
      </w:r>
    </w:p>
    <w:p w14:paraId="15C10CE3">
      <w:pPr>
        <w:pStyle w:val="31"/>
        <w:bidi w:val="0"/>
        <w:rPr>
          <w:rFonts w:hint="eastAsia"/>
        </w:rPr>
      </w:pPr>
      <w:r>
        <w:rPr>
          <w:rFonts w:hint="eastAsia"/>
        </w:rPr>
        <w:drawing>
          <wp:inline distT="0" distB="0" distL="114300" distR="114300">
            <wp:extent cx="5215890" cy="2304415"/>
            <wp:effectExtent l="0" t="0" r="3810" b="635"/>
            <wp:docPr id="1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4"/>
                    <pic:cNvPicPr>
                      <a:picLocks noChangeAspect="1"/>
                    </pic:cNvPicPr>
                  </pic:nvPicPr>
                  <pic:blipFill>
                    <a:blip r:embed="rId61"/>
                    <a:stretch>
                      <a:fillRect/>
                    </a:stretch>
                  </pic:blipFill>
                  <pic:spPr>
                    <a:xfrm>
                      <a:off x="0" y="0"/>
                      <a:ext cx="5215890" cy="2304415"/>
                    </a:xfrm>
                    <a:prstGeom prst="rect">
                      <a:avLst/>
                    </a:prstGeom>
                    <a:noFill/>
                    <a:ln>
                      <a:noFill/>
                    </a:ln>
                  </pic:spPr>
                </pic:pic>
              </a:graphicData>
            </a:graphic>
          </wp:inline>
        </w:drawing>
      </w:r>
    </w:p>
    <w:p w14:paraId="6C56A1C5">
      <w:pPr>
        <w:pStyle w:val="30"/>
        <w:bidi w:val="0"/>
        <w:rPr>
          <w:rFonts w:hint="eastAsia"/>
          <w:lang w:val="en-US" w:eastAsia="zh-CN"/>
        </w:rPr>
      </w:pPr>
      <w:r>
        <w:rPr>
          <w:rFonts w:hint="eastAsia"/>
          <w:lang w:val="en-US" w:eastAsia="zh-CN"/>
        </w:rPr>
        <w:t>图2.3-2  衬砌渠道典型图二</w:t>
      </w:r>
    </w:p>
    <w:p w14:paraId="239EBAB0">
      <w:pPr>
        <w:pStyle w:val="29"/>
        <w:bidi w:val="0"/>
        <w:rPr>
          <w:rFonts w:hint="eastAsia"/>
          <w:lang w:val="en-US" w:eastAsia="zh-CN"/>
        </w:rPr>
      </w:pPr>
      <w:r>
        <w:rPr>
          <w:rFonts w:hint="eastAsia"/>
          <w:lang w:val="en-US" w:eastAsia="zh-CN"/>
        </w:rPr>
        <w:t>表2.3-2  衬砌渠道统计表</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4"/>
        <w:gridCol w:w="1064"/>
        <w:gridCol w:w="983"/>
        <w:gridCol w:w="1126"/>
        <w:gridCol w:w="1021"/>
        <w:gridCol w:w="1080"/>
        <w:gridCol w:w="1231"/>
        <w:gridCol w:w="1401"/>
        <w:gridCol w:w="937"/>
      </w:tblGrid>
      <w:tr w14:paraId="56016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6" w:type="dxa"/>
            <w:vMerge w:val="restart"/>
            <w:vAlign w:val="center"/>
          </w:tcPr>
          <w:p w14:paraId="58F6FB71">
            <w:pPr>
              <w:pStyle w:val="28"/>
              <w:bidi w:val="0"/>
              <w:rPr>
                <w:rFonts w:hint="default"/>
                <w:lang w:val="en-US" w:eastAsia="zh-CN"/>
              </w:rPr>
            </w:pPr>
            <w:r>
              <w:rPr>
                <w:rFonts w:hint="eastAsia"/>
                <w:lang w:val="en-US" w:eastAsia="zh-CN"/>
              </w:rPr>
              <w:t>序号</w:t>
            </w:r>
          </w:p>
        </w:tc>
        <w:tc>
          <w:tcPr>
            <w:tcW w:w="1137" w:type="dxa"/>
            <w:vMerge w:val="restart"/>
            <w:vAlign w:val="center"/>
          </w:tcPr>
          <w:p w14:paraId="014233C4">
            <w:pPr>
              <w:pStyle w:val="28"/>
              <w:bidi w:val="0"/>
              <w:rPr>
                <w:rFonts w:hint="default"/>
                <w:lang w:val="en-US" w:eastAsia="zh-CN"/>
              </w:rPr>
            </w:pPr>
            <w:r>
              <w:rPr>
                <w:rFonts w:hint="eastAsia"/>
                <w:lang w:val="en-US" w:eastAsia="zh-CN"/>
              </w:rPr>
              <w:t>渠道名称</w:t>
            </w:r>
          </w:p>
        </w:tc>
        <w:tc>
          <w:tcPr>
            <w:tcW w:w="1004" w:type="dxa"/>
            <w:vMerge w:val="restart"/>
            <w:vAlign w:val="center"/>
          </w:tcPr>
          <w:p w14:paraId="10AE7385">
            <w:pPr>
              <w:pStyle w:val="28"/>
              <w:bidi w:val="0"/>
              <w:rPr>
                <w:rFonts w:hint="default"/>
                <w:lang w:val="en-US" w:eastAsia="zh-CN"/>
              </w:rPr>
            </w:pPr>
            <w:r>
              <w:rPr>
                <w:rFonts w:hint="eastAsia"/>
                <w:lang w:val="en-US" w:eastAsia="zh-CN"/>
              </w:rPr>
              <w:t>长度（m）</w:t>
            </w:r>
          </w:p>
        </w:tc>
        <w:tc>
          <w:tcPr>
            <w:tcW w:w="4216" w:type="dxa"/>
            <w:gridSpan w:val="4"/>
            <w:vAlign w:val="center"/>
          </w:tcPr>
          <w:p w14:paraId="3D3F1331">
            <w:pPr>
              <w:pStyle w:val="28"/>
              <w:bidi w:val="0"/>
              <w:rPr>
                <w:rFonts w:hint="default"/>
                <w:lang w:val="en-US" w:eastAsia="zh-CN"/>
              </w:rPr>
            </w:pPr>
            <w:r>
              <w:rPr>
                <w:rFonts w:hint="eastAsia"/>
                <w:lang w:val="en-US" w:eastAsia="zh-CN"/>
              </w:rPr>
              <w:t>规格（m）</w:t>
            </w:r>
          </w:p>
        </w:tc>
        <w:tc>
          <w:tcPr>
            <w:tcW w:w="1489" w:type="dxa"/>
            <w:vMerge w:val="restart"/>
            <w:vAlign w:val="center"/>
          </w:tcPr>
          <w:p w14:paraId="7E0FD576">
            <w:pPr>
              <w:pStyle w:val="28"/>
              <w:bidi w:val="0"/>
              <w:rPr>
                <w:rFonts w:hint="default"/>
                <w:lang w:val="en-US" w:eastAsia="zh-CN"/>
              </w:rPr>
            </w:pPr>
            <w:r>
              <w:rPr>
                <w:rFonts w:hint="default"/>
                <w:lang w:val="en-US" w:eastAsia="zh-CN"/>
              </w:rPr>
              <w:t>控制灌溉面积（万亩）</w:t>
            </w:r>
          </w:p>
        </w:tc>
        <w:tc>
          <w:tcPr>
            <w:tcW w:w="995" w:type="dxa"/>
            <w:vMerge w:val="restart"/>
            <w:vAlign w:val="center"/>
          </w:tcPr>
          <w:p w14:paraId="686D034C">
            <w:pPr>
              <w:pStyle w:val="28"/>
              <w:bidi w:val="0"/>
              <w:rPr>
                <w:rFonts w:hint="default"/>
                <w:lang w:val="en-US" w:eastAsia="zh-CN"/>
              </w:rPr>
            </w:pPr>
            <w:r>
              <w:rPr>
                <w:rFonts w:hint="eastAsia"/>
                <w:lang w:val="en-US" w:eastAsia="zh-CN"/>
              </w:rPr>
              <w:t>备注</w:t>
            </w:r>
          </w:p>
        </w:tc>
      </w:tr>
      <w:tr w14:paraId="16841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6" w:type="dxa"/>
            <w:vMerge w:val="continue"/>
            <w:vAlign w:val="center"/>
          </w:tcPr>
          <w:p w14:paraId="034CCD65">
            <w:pPr>
              <w:pStyle w:val="28"/>
              <w:bidi w:val="0"/>
              <w:rPr>
                <w:rFonts w:hint="default"/>
                <w:lang w:val="en-US" w:eastAsia="zh-CN"/>
              </w:rPr>
            </w:pPr>
          </w:p>
        </w:tc>
        <w:tc>
          <w:tcPr>
            <w:tcW w:w="1137" w:type="dxa"/>
            <w:vMerge w:val="continue"/>
            <w:vAlign w:val="center"/>
          </w:tcPr>
          <w:p w14:paraId="0AB564CD">
            <w:pPr>
              <w:pStyle w:val="28"/>
              <w:bidi w:val="0"/>
              <w:rPr>
                <w:rFonts w:hint="default"/>
                <w:lang w:val="en-US" w:eastAsia="zh-CN"/>
              </w:rPr>
            </w:pPr>
          </w:p>
        </w:tc>
        <w:tc>
          <w:tcPr>
            <w:tcW w:w="1004" w:type="dxa"/>
            <w:vMerge w:val="continue"/>
            <w:vAlign w:val="center"/>
          </w:tcPr>
          <w:p w14:paraId="1A83058C">
            <w:pPr>
              <w:pStyle w:val="28"/>
              <w:bidi w:val="0"/>
              <w:rPr>
                <w:rFonts w:hint="default"/>
                <w:lang w:val="en-US" w:eastAsia="zh-CN"/>
              </w:rPr>
            </w:pPr>
          </w:p>
        </w:tc>
        <w:tc>
          <w:tcPr>
            <w:tcW w:w="1126" w:type="dxa"/>
            <w:vAlign w:val="center"/>
          </w:tcPr>
          <w:p w14:paraId="369D6219">
            <w:pPr>
              <w:pStyle w:val="28"/>
              <w:bidi w:val="0"/>
              <w:rPr>
                <w:rFonts w:hint="default"/>
                <w:lang w:val="en-US" w:eastAsia="zh-CN"/>
              </w:rPr>
            </w:pPr>
            <w:r>
              <w:rPr>
                <w:rFonts w:hint="eastAsia"/>
                <w:lang w:val="en-US" w:eastAsia="zh-CN"/>
              </w:rPr>
              <w:t>下底</w:t>
            </w:r>
          </w:p>
        </w:tc>
        <w:tc>
          <w:tcPr>
            <w:tcW w:w="929" w:type="dxa"/>
            <w:vAlign w:val="center"/>
          </w:tcPr>
          <w:p w14:paraId="1D7CA162">
            <w:pPr>
              <w:pStyle w:val="28"/>
              <w:bidi w:val="0"/>
              <w:rPr>
                <w:rFonts w:hint="default"/>
                <w:lang w:val="en-US" w:eastAsia="zh-CN"/>
              </w:rPr>
            </w:pPr>
            <w:r>
              <w:rPr>
                <w:rFonts w:hint="eastAsia"/>
                <w:lang w:val="en-US" w:eastAsia="zh-CN"/>
              </w:rPr>
              <w:t>深</w:t>
            </w:r>
          </w:p>
        </w:tc>
        <w:tc>
          <w:tcPr>
            <w:tcW w:w="930" w:type="dxa"/>
            <w:vAlign w:val="center"/>
          </w:tcPr>
          <w:p w14:paraId="7760BC52">
            <w:pPr>
              <w:pStyle w:val="28"/>
              <w:bidi w:val="0"/>
              <w:rPr>
                <w:rFonts w:hint="default"/>
                <w:lang w:val="en-US" w:eastAsia="zh-CN"/>
              </w:rPr>
            </w:pPr>
            <w:r>
              <w:rPr>
                <w:rFonts w:hint="eastAsia"/>
                <w:lang w:val="en-US" w:eastAsia="zh-CN"/>
              </w:rPr>
              <w:t>边坡</w:t>
            </w:r>
          </w:p>
        </w:tc>
        <w:tc>
          <w:tcPr>
            <w:tcW w:w="1231" w:type="dxa"/>
            <w:vAlign w:val="center"/>
          </w:tcPr>
          <w:p w14:paraId="79600CDC">
            <w:pPr>
              <w:pStyle w:val="28"/>
              <w:bidi w:val="0"/>
              <w:rPr>
                <w:rFonts w:hint="default"/>
                <w:lang w:val="en-US" w:eastAsia="zh-CN"/>
              </w:rPr>
            </w:pPr>
            <w:r>
              <w:rPr>
                <w:rFonts w:hint="eastAsia"/>
                <w:lang w:val="en-US" w:eastAsia="zh-CN"/>
              </w:rPr>
              <w:t>上底</w:t>
            </w:r>
          </w:p>
        </w:tc>
        <w:tc>
          <w:tcPr>
            <w:tcW w:w="1489" w:type="dxa"/>
            <w:vMerge w:val="continue"/>
            <w:vAlign w:val="center"/>
          </w:tcPr>
          <w:p w14:paraId="13575D6B">
            <w:pPr>
              <w:pStyle w:val="28"/>
              <w:bidi w:val="0"/>
              <w:rPr>
                <w:rFonts w:hint="default"/>
                <w:lang w:val="en-US" w:eastAsia="zh-CN"/>
              </w:rPr>
            </w:pPr>
          </w:p>
        </w:tc>
        <w:tc>
          <w:tcPr>
            <w:tcW w:w="995" w:type="dxa"/>
            <w:vMerge w:val="continue"/>
            <w:vAlign w:val="center"/>
          </w:tcPr>
          <w:p w14:paraId="56E15534">
            <w:pPr>
              <w:pStyle w:val="28"/>
              <w:bidi w:val="0"/>
              <w:rPr>
                <w:rFonts w:hint="default"/>
                <w:lang w:val="en-US" w:eastAsia="zh-CN"/>
              </w:rPr>
            </w:pPr>
          </w:p>
        </w:tc>
      </w:tr>
      <w:tr w14:paraId="03B84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6" w:type="dxa"/>
            <w:vAlign w:val="center"/>
          </w:tcPr>
          <w:p w14:paraId="61A839E4">
            <w:pPr>
              <w:pStyle w:val="28"/>
              <w:bidi w:val="0"/>
              <w:rPr>
                <w:rFonts w:hint="default"/>
                <w:lang w:val="en-US" w:eastAsia="zh-CN"/>
              </w:rPr>
            </w:pPr>
            <w:r>
              <w:rPr>
                <w:rFonts w:hint="eastAsia"/>
                <w:lang w:val="en-US" w:eastAsia="zh-CN"/>
              </w:rPr>
              <w:t>1</w:t>
            </w:r>
          </w:p>
        </w:tc>
        <w:tc>
          <w:tcPr>
            <w:tcW w:w="1137" w:type="dxa"/>
            <w:vAlign w:val="center"/>
          </w:tcPr>
          <w:p w14:paraId="5840BCB1">
            <w:pPr>
              <w:pStyle w:val="28"/>
              <w:bidi w:val="0"/>
              <w:rPr>
                <w:rFonts w:hint="default"/>
                <w:lang w:val="en-US" w:eastAsia="zh-CN"/>
              </w:rPr>
            </w:pPr>
            <w:r>
              <w:rPr>
                <w:rFonts w:hint="eastAsia"/>
                <w:lang w:val="en-US" w:eastAsia="zh-CN"/>
              </w:rPr>
              <w:t>二引干渠</w:t>
            </w:r>
          </w:p>
        </w:tc>
        <w:tc>
          <w:tcPr>
            <w:tcW w:w="1004" w:type="dxa"/>
            <w:vAlign w:val="center"/>
          </w:tcPr>
          <w:p w14:paraId="565E41A0">
            <w:pPr>
              <w:pStyle w:val="28"/>
              <w:bidi w:val="0"/>
              <w:rPr>
                <w:rFonts w:hint="default"/>
                <w:lang w:val="en-US" w:eastAsia="zh-CN"/>
              </w:rPr>
            </w:pPr>
            <w:r>
              <w:rPr>
                <w:rFonts w:hint="eastAsia"/>
                <w:lang w:val="en-US" w:eastAsia="zh-CN"/>
              </w:rPr>
              <w:t>1361</w:t>
            </w:r>
          </w:p>
        </w:tc>
        <w:tc>
          <w:tcPr>
            <w:tcW w:w="1126" w:type="dxa"/>
            <w:vAlign w:val="center"/>
          </w:tcPr>
          <w:p w14:paraId="7DB30E14">
            <w:pPr>
              <w:pStyle w:val="28"/>
              <w:bidi w:val="0"/>
              <w:rPr>
                <w:rFonts w:hint="default"/>
                <w:lang w:val="en-US" w:eastAsia="zh-CN"/>
              </w:rPr>
            </w:pPr>
            <w:r>
              <w:rPr>
                <w:rFonts w:hint="eastAsia"/>
                <w:lang w:val="en-US" w:eastAsia="zh-CN"/>
              </w:rPr>
              <w:t>6.56-12.00</w:t>
            </w:r>
          </w:p>
        </w:tc>
        <w:tc>
          <w:tcPr>
            <w:tcW w:w="929" w:type="dxa"/>
            <w:vAlign w:val="center"/>
          </w:tcPr>
          <w:p w14:paraId="281068A8">
            <w:pPr>
              <w:pStyle w:val="28"/>
              <w:bidi w:val="0"/>
              <w:rPr>
                <w:rFonts w:hint="default"/>
                <w:lang w:val="en-US" w:eastAsia="zh-CN"/>
              </w:rPr>
            </w:pPr>
            <w:r>
              <w:rPr>
                <w:rFonts w:hint="eastAsia"/>
                <w:lang w:val="en-US" w:eastAsia="zh-CN"/>
              </w:rPr>
              <w:t>2.2</w:t>
            </w:r>
          </w:p>
        </w:tc>
        <w:tc>
          <w:tcPr>
            <w:tcW w:w="930" w:type="dxa"/>
            <w:vAlign w:val="center"/>
          </w:tcPr>
          <w:p w14:paraId="51882BBE">
            <w:pPr>
              <w:pStyle w:val="28"/>
              <w:bidi w:val="0"/>
              <w:rPr>
                <w:rFonts w:hint="default"/>
                <w:lang w:val="en-US" w:eastAsia="zh-CN"/>
              </w:rPr>
            </w:pPr>
            <w:r>
              <w:rPr>
                <w:rFonts w:hint="eastAsia"/>
                <w:lang w:val="en-US" w:eastAsia="zh-CN"/>
              </w:rPr>
              <w:t>1:2</w:t>
            </w:r>
          </w:p>
        </w:tc>
        <w:tc>
          <w:tcPr>
            <w:tcW w:w="1231" w:type="dxa"/>
            <w:vAlign w:val="center"/>
          </w:tcPr>
          <w:p w14:paraId="62F32806">
            <w:pPr>
              <w:pStyle w:val="28"/>
              <w:bidi w:val="0"/>
              <w:rPr>
                <w:rFonts w:hint="default"/>
                <w:lang w:val="en-US" w:eastAsia="zh-CN"/>
              </w:rPr>
            </w:pPr>
            <w:r>
              <w:rPr>
                <w:rFonts w:hint="eastAsia"/>
                <w:lang w:val="en-US" w:eastAsia="zh-CN"/>
              </w:rPr>
              <w:t>15.36-20.40</w:t>
            </w:r>
          </w:p>
        </w:tc>
        <w:tc>
          <w:tcPr>
            <w:tcW w:w="1489" w:type="dxa"/>
            <w:vAlign w:val="center"/>
          </w:tcPr>
          <w:p w14:paraId="4050A3F4">
            <w:pPr>
              <w:pStyle w:val="28"/>
              <w:bidi w:val="0"/>
              <w:rPr>
                <w:rFonts w:hint="default"/>
                <w:lang w:val="en-US" w:eastAsia="zh-CN"/>
              </w:rPr>
            </w:pPr>
            <w:r>
              <w:rPr>
                <w:rFonts w:hint="eastAsia"/>
                <w:lang w:val="en-US" w:eastAsia="zh-CN"/>
              </w:rPr>
              <w:t>11.8</w:t>
            </w:r>
          </w:p>
        </w:tc>
        <w:tc>
          <w:tcPr>
            <w:tcW w:w="995" w:type="dxa"/>
            <w:vAlign w:val="center"/>
          </w:tcPr>
          <w:p w14:paraId="062AEF57">
            <w:pPr>
              <w:pStyle w:val="28"/>
              <w:bidi w:val="0"/>
              <w:rPr>
                <w:rFonts w:hint="default"/>
                <w:lang w:val="en-US" w:eastAsia="zh-CN"/>
              </w:rPr>
            </w:pPr>
          </w:p>
        </w:tc>
      </w:tr>
      <w:tr w14:paraId="67C9D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6" w:type="dxa"/>
            <w:vAlign w:val="center"/>
          </w:tcPr>
          <w:p w14:paraId="709BDF46">
            <w:pPr>
              <w:pStyle w:val="28"/>
              <w:bidi w:val="0"/>
              <w:rPr>
                <w:rFonts w:hint="default"/>
                <w:lang w:val="en-US" w:eastAsia="zh-CN"/>
              </w:rPr>
            </w:pPr>
            <w:r>
              <w:rPr>
                <w:rFonts w:hint="eastAsia"/>
                <w:lang w:val="en-US" w:eastAsia="zh-CN"/>
              </w:rPr>
              <w:t>2</w:t>
            </w:r>
          </w:p>
        </w:tc>
        <w:tc>
          <w:tcPr>
            <w:tcW w:w="1137" w:type="dxa"/>
            <w:vAlign w:val="center"/>
          </w:tcPr>
          <w:p w14:paraId="41972BA9">
            <w:pPr>
              <w:pStyle w:val="28"/>
              <w:bidi w:val="0"/>
              <w:rPr>
                <w:rFonts w:hint="default"/>
                <w:lang w:val="en-US" w:eastAsia="zh-CN"/>
              </w:rPr>
            </w:pPr>
            <w:r>
              <w:rPr>
                <w:rFonts w:hint="eastAsia"/>
                <w:lang w:val="en-US" w:eastAsia="zh-CN"/>
              </w:rPr>
              <w:t>一东干渠</w:t>
            </w:r>
          </w:p>
        </w:tc>
        <w:tc>
          <w:tcPr>
            <w:tcW w:w="1004" w:type="dxa"/>
            <w:vAlign w:val="center"/>
          </w:tcPr>
          <w:p w14:paraId="12D7432D">
            <w:pPr>
              <w:pStyle w:val="28"/>
              <w:bidi w:val="0"/>
              <w:rPr>
                <w:rFonts w:hint="default"/>
                <w:lang w:val="en-US" w:eastAsia="zh-CN"/>
              </w:rPr>
            </w:pPr>
            <w:r>
              <w:rPr>
                <w:rFonts w:hint="eastAsia"/>
                <w:lang w:val="en-US" w:eastAsia="zh-CN"/>
              </w:rPr>
              <w:t>12988</w:t>
            </w:r>
          </w:p>
        </w:tc>
        <w:tc>
          <w:tcPr>
            <w:tcW w:w="1126" w:type="dxa"/>
            <w:vAlign w:val="center"/>
          </w:tcPr>
          <w:p w14:paraId="7AC0D04E">
            <w:pPr>
              <w:pStyle w:val="28"/>
              <w:bidi w:val="0"/>
              <w:rPr>
                <w:rFonts w:hint="default"/>
                <w:lang w:val="en-US" w:eastAsia="zh-CN"/>
              </w:rPr>
            </w:pPr>
            <w:r>
              <w:rPr>
                <w:rFonts w:hint="eastAsia"/>
                <w:lang w:val="en-US" w:eastAsia="zh-CN"/>
              </w:rPr>
              <w:t>2.18-7.81</w:t>
            </w:r>
          </w:p>
        </w:tc>
        <w:tc>
          <w:tcPr>
            <w:tcW w:w="929" w:type="dxa"/>
            <w:vAlign w:val="center"/>
          </w:tcPr>
          <w:p w14:paraId="7FFD8227">
            <w:pPr>
              <w:pStyle w:val="28"/>
              <w:bidi w:val="0"/>
              <w:rPr>
                <w:rFonts w:hint="default"/>
                <w:lang w:val="en-US" w:eastAsia="zh-CN"/>
              </w:rPr>
            </w:pPr>
            <w:r>
              <w:rPr>
                <w:rFonts w:hint="eastAsia"/>
                <w:lang w:val="en-US" w:eastAsia="zh-CN"/>
              </w:rPr>
              <w:t>2.0-5.83</w:t>
            </w:r>
          </w:p>
        </w:tc>
        <w:tc>
          <w:tcPr>
            <w:tcW w:w="930" w:type="dxa"/>
            <w:vAlign w:val="center"/>
          </w:tcPr>
          <w:p w14:paraId="1F9A9F5B">
            <w:pPr>
              <w:pStyle w:val="28"/>
              <w:bidi w:val="0"/>
              <w:rPr>
                <w:rFonts w:hint="default"/>
                <w:lang w:val="en-US" w:eastAsia="zh-CN"/>
              </w:rPr>
            </w:pPr>
            <w:r>
              <w:rPr>
                <w:rFonts w:hint="eastAsia"/>
                <w:lang w:val="en-US" w:eastAsia="zh-CN"/>
              </w:rPr>
              <w:t>1:1.5-2.0</w:t>
            </w:r>
          </w:p>
        </w:tc>
        <w:tc>
          <w:tcPr>
            <w:tcW w:w="1231" w:type="dxa"/>
            <w:vAlign w:val="center"/>
          </w:tcPr>
          <w:p w14:paraId="1B55A193">
            <w:pPr>
              <w:pStyle w:val="28"/>
              <w:bidi w:val="0"/>
              <w:rPr>
                <w:rFonts w:hint="default"/>
                <w:lang w:val="en-US" w:eastAsia="zh-CN"/>
              </w:rPr>
            </w:pPr>
            <w:r>
              <w:rPr>
                <w:rFonts w:hint="eastAsia"/>
                <w:lang w:val="en-US" w:eastAsia="zh-CN"/>
              </w:rPr>
              <w:t>10.89-21.02</w:t>
            </w:r>
          </w:p>
        </w:tc>
        <w:tc>
          <w:tcPr>
            <w:tcW w:w="1489" w:type="dxa"/>
            <w:vAlign w:val="center"/>
          </w:tcPr>
          <w:p w14:paraId="7E912FC9">
            <w:pPr>
              <w:pStyle w:val="28"/>
              <w:bidi w:val="0"/>
              <w:rPr>
                <w:rFonts w:hint="default"/>
                <w:lang w:val="en-US" w:eastAsia="zh-CN"/>
              </w:rPr>
            </w:pPr>
            <w:r>
              <w:rPr>
                <w:rFonts w:hint="eastAsia"/>
                <w:lang w:val="en-US" w:eastAsia="zh-CN"/>
              </w:rPr>
              <w:t>5.62</w:t>
            </w:r>
          </w:p>
        </w:tc>
        <w:tc>
          <w:tcPr>
            <w:tcW w:w="995" w:type="dxa"/>
            <w:vAlign w:val="center"/>
          </w:tcPr>
          <w:p w14:paraId="5B476E0F">
            <w:pPr>
              <w:pStyle w:val="28"/>
              <w:bidi w:val="0"/>
              <w:rPr>
                <w:rFonts w:hint="default"/>
                <w:lang w:val="en-US" w:eastAsia="zh-CN"/>
              </w:rPr>
            </w:pPr>
          </w:p>
        </w:tc>
      </w:tr>
      <w:tr w14:paraId="08E35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6" w:type="dxa"/>
            <w:vAlign w:val="center"/>
          </w:tcPr>
          <w:p w14:paraId="26F3792D">
            <w:pPr>
              <w:pStyle w:val="28"/>
              <w:bidi w:val="0"/>
              <w:rPr>
                <w:rFonts w:hint="default"/>
                <w:lang w:val="en-US" w:eastAsia="zh-CN"/>
              </w:rPr>
            </w:pPr>
            <w:r>
              <w:rPr>
                <w:rFonts w:hint="eastAsia"/>
                <w:lang w:val="en-US" w:eastAsia="zh-CN"/>
              </w:rPr>
              <w:t>3</w:t>
            </w:r>
          </w:p>
        </w:tc>
        <w:tc>
          <w:tcPr>
            <w:tcW w:w="1137" w:type="dxa"/>
            <w:vAlign w:val="center"/>
          </w:tcPr>
          <w:p w14:paraId="791D0B88">
            <w:pPr>
              <w:pStyle w:val="28"/>
              <w:bidi w:val="0"/>
              <w:rPr>
                <w:rFonts w:hint="default"/>
                <w:lang w:val="en-US" w:eastAsia="zh-CN"/>
              </w:rPr>
            </w:pPr>
            <w:r>
              <w:rPr>
                <w:rFonts w:hint="eastAsia"/>
                <w:lang w:val="en-US" w:eastAsia="zh-CN"/>
              </w:rPr>
              <w:t>二东干渠</w:t>
            </w:r>
          </w:p>
        </w:tc>
        <w:tc>
          <w:tcPr>
            <w:tcW w:w="1004" w:type="dxa"/>
            <w:vAlign w:val="center"/>
          </w:tcPr>
          <w:p w14:paraId="393DC3C8">
            <w:pPr>
              <w:pStyle w:val="28"/>
              <w:bidi w:val="0"/>
              <w:rPr>
                <w:rFonts w:hint="default"/>
                <w:lang w:val="en-US" w:eastAsia="zh-CN"/>
              </w:rPr>
            </w:pPr>
            <w:r>
              <w:rPr>
                <w:rFonts w:hint="eastAsia"/>
                <w:lang w:val="en-US" w:eastAsia="zh-CN"/>
              </w:rPr>
              <w:t>8392</w:t>
            </w:r>
          </w:p>
        </w:tc>
        <w:tc>
          <w:tcPr>
            <w:tcW w:w="1126" w:type="dxa"/>
            <w:vAlign w:val="center"/>
          </w:tcPr>
          <w:p w14:paraId="5122F26F">
            <w:pPr>
              <w:pStyle w:val="28"/>
              <w:bidi w:val="0"/>
              <w:rPr>
                <w:rFonts w:hint="default"/>
                <w:lang w:val="en-US" w:eastAsia="zh-CN"/>
              </w:rPr>
            </w:pPr>
            <w:r>
              <w:rPr>
                <w:rFonts w:hint="eastAsia"/>
                <w:lang w:val="en-US" w:eastAsia="zh-CN"/>
              </w:rPr>
              <w:t>1.71-16.10</w:t>
            </w:r>
          </w:p>
        </w:tc>
        <w:tc>
          <w:tcPr>
            <w:tcW w:w="929" w:type="dxa"/>
            <w:vAlign w:val="center"/>
          </w:tcPr>
          <w:p w14:paraId="3FA32150">
            <w:pPr>
              <w:pStyle w:val="28"/>
              <w:bidi w:val="0"/>
              <w:rPr>
                <w:rFonts w:hint="default"/>
                <w:lang w:val="en-US" w:eastAsia="zh-CN"/>
              </w:rPr>
            </w:pPr>
            <w:r>
              <w:rPr>
                <w:rFonts w:hint="eastAsia"/>
                <w:lang w:val="en-US" w:eastAsia="zh-CN"/>
              </w:rPr>
              <w:t>2.0</w:t>
            </w:r>
          </w:p>
        </w:tc>
        <w:tc>
          <w:tcPr>
            <w:tcW w:w="930" w:type="dxa"/>
            <w:vAlign w:val="center"/>
          </w:tcPr>
          <w:p w14:paraId="17ABCF4D">
            <w:pPr>
              <w:pStyle w:val="28"/>
              <w:bidi w:val="0"/>
              <w:rPr>
                <w:rFonts w:hint="default"/>
                <w:lang w:val="en-US" w:eastAsia="zh-CN"/>
              </w:rPr>
            </w:pPr>
            <w:r>
              <w:rPr>
                <w:rFonts w:hint="eastAsia"/>
                <w:lang w:val="en-US" w:eastAsia="zh-CN"/>
              </w:rPr>
              <w:t>1:1.5</w:t>
            </w:r>
          </w:p>
        </w:tc>
        <w:tc>
          <w:tcPr>
            <w:tcW w:w="1231" w:type="dxa"/>
            <w:vAlign w:val="center"/>
          </w:tcPr>
          <w:p w14:paraId="1131D8B7">
            <w:pPr>
              <w:pStyle w:val="28"/>
              <w:bidi w:val="0"/>
              <w:rPr>
                <w:rFonts w:hint="default"/>
                <w:lang w:val="en-US" w:eastAsia="zh-CN"/>
              </w:rPr>
            </w:pPr>
            <w:r>
              <w:rPr>
                <w:rFonts w:hint="eastAsia"/>
                <w:lang w:val="en-US" w:eastAsia="zh-CN"/>
              </w:rPr>
              <w:t>8.51-25.16</w:t>
            </w:r>
          </w:p>
        </w:tc>
        <w:tc>
          <w:tcPr>
            <w:tcW w:w="1489" w:type="dxa"/>
            <w:vAlign w:val="center"/>
          </w:tcPr>
          <w:p w14:paraId="31AE927E">
            <w:pPr>
              <w:pStyle w:val="28"/>
              <w:bidi w:val="0"/>
              <w:rPr>
                <w:rFonts w:hint="default"/>
                <w:lang w:val="en-US" w:eastAsia="zh-CN"/>
              </w:rPr>
            </w:pPr>
            <w:r>
              <w:rPr>
                <w:rFonts w:hint="eastAsia"/>
                <w:lang w:val="en-US" w:eastAsia="zh-CN"/>
              </w:rPr>
              <w:t>1.58</w:t>
            </w:r>
          </w:p>
        </w:tc>
        <w:tc>
          <w:tcPr>
            <w:tcW w:w="995" w:type="dxa"/>
            <w:vAlign w:val="center"/>
          </w:tcPr>
          <w:p w14:paraId="516B3974">
            <w:pPr>
              <w:pStyle w:val="28"/>
              <w:bidi w:val="0"/>
              <w:rPr>
                <w:rFonts w:hint="default"/>
                <w:lang w:val="en-US" w:eastAsia="zh-CN"/>
              </w:rPr>
            </w:pPr>
          </w:p>
        </w:tc>
      </w:tr>
      <w:tr w14:paraId="778C0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6" w:type="dxa"/>
            <w:vAlign w:val="center"/>
          </w:tcPr>
          <w:p w14:paraId="5C3A6641">
            <w:pPr>
              <w:pStyle w:val="28"/>
              <w:bidi w:val="0"/>
              <w:rPr>
                <w:rFonts w:hint="default"/>
                <w:lang w:val="en-US" w:eastAsia="zh-CN"/>
              </w:rPr>
            </w:pPr>
            <w:r>
              <w:rPr>
                <w:rFonts w:hint="eastAsia"/>
                <w:lang w:val="en-US" w:eastAsia="zh-CN"/>
              </w:rPr>
              <w:t>4</w:t>
            </w:r>
          </w:p>
        </w:tc>
        <w:tc>
          <w:tcPr>
            <w:tcW w:w="1137" w:type="dxa"/>
            <w:vAlign w:val="center"/>
          </w:tcPr>
          <w:p w14:paraId="1629A261">
            <w:pPr>
              <w:pStyle w:val="28"/>
              <w:bidi w:val="0"/>
              <w:rPr>
                <w:rFonts w:hint="default"/>
                <w:lang w:val="en-US" w:eastAsia="zh-CN"/>
              </w:rPr>
            </w:pPr>
            <w:r>
              <w:rPr>
                <w:rFonts w:hint="eastAsia"/>
                <w:lang w:val="en-US" w:eastAsia="zh-CN"/>
              </w:rPr>
              <w:t>二北干渠</w:t>
            </w:r>
          </w:p>
        </w:tc>
        <w:tc>
          <w:tcPr>
            <w:tcW w:w="1004" w:type="dxa"/>
            <w:vAlign w:val="center"/>
          </w:tcPr>
          <w:p w14:paraId="54D78B28">
            <w:pPr>
              <w:pStyle w:val="28"/>
              <w:bidi w:val="0"/>
              <w:rPr>
                <w:rFonts w:hint="default"/>
                <w:lang w:val="en-US" w:eastAsia="zh-CN"/>
              </w:rPr>
            </w:pPr>
            <w:r>
              <w:rPr>
                <w:rFonts w:hint="eastAsia"/>
                <w:lang w:val="en-US" w:eastAsia="zh-CN"/>
              </w:rPr>
              <w:t>4051</w:t>
            </w:r>
          </w:p>
        </w:tc>
        <w:tc>
          <w:tcPr>
            <w:tcW w:w="1126" w:type="dxa"/>
            <w:vAlign w:val="center"/>
          </w:tcPr>
          <w:p w14:paraId="34AD5289">
            <w:pPr>
              <w:pStyle w:val="28"/>
              <w:bidi w:val="0"/>
              <w:rPr>
                <w:rFonts w:hint="default"/>
                <w:lang w:val="en-US" w:eastAsia="zh-CN"/>
              </w:rPr>
            </w:pPr>
            <w:r>
              <w:rPr>
                <w:rFonts w:hint="eastAsia"/>
                <w:lang w:val="en-US" w:eastAsia="zh-CN"/>
              </w:rPr>
              <w:t>2-8.57</w:t>
            </w:r>
          </w:p>
        </w:tc>
        <w:tc>
          <w:tcPr>
            <w:tcW w:w="929" w:type="dxa"/>
            <w:vAlign w:val="center"/>
          </w:tcPr>
          <w:p w14:paraId="5FB5FEC7">
            <w:pPr>
              <w:pStyle w:val="28"/>
              <w:bidi w:val="0"/>
              <w:rPr>
                <w:rFonts w:hint="default"/>
                <w:lang w:val="en-US" w:eastAsia="zh-CN"/>
              </w:rPr>
            </w:pPr>
            <w:r>
              <w:rPr>
                <w:rFonts w:hint="eastAsia"/>
                <w:lang w:val="en-US" w:eastAsia="zh-CN"/>
              </w:rPr>
              <w:t>1.61-3.58</w:t>
            </w:r>
          </w:p>
        </w:tc>
        <w:tc>
          <w:tcPr>
            <w:tcW w:w="930" w:type="dxa"/>
            <w:vAlign w:val="center"/>
          </w:tcPr>
          <w:p w14:paraId="57F4F169">
            <w:pPr>
              <w:pStyle w:val="28"/>
              <w:bidi w:val="0"/>
              <w:rPr>
                <w:rFonts w:hint="default"/>
                <w:lang w:val="en-US" w:eastAsia="zh-CN"/>
              </w:rPr>
            </w:pPr>
            <w:r>
              <w:rPr>
                <w:rFonts w:hint="eastAsia"/>
                <w:lang w:val="en-US" w:eastAsia="zh-CN"/>
              </w:rPr>
              <w:t>1:1.15-2.0</w:t>
            </w:r>
          </w:p>
        </w:tc>
        <w:tc>
          <w:tcPr>
            <w:tcW w:w="1231" w:type="dxa"/>
            <w:vAlign w:val="center"/>
          </w:tcPr>
          <w:p w14:paraId="5CC42A23">
            <w:pPr>
              <w:pStyle w:val="28"/>
              <w:bidi w:val="0"/>
              <w:rPr>
                <w:rFonts w:hint="default"/>
                <w:lang w:val="en-US" w:eastAsia="zh-CN"/>
              </w:rPr>
            </w:pPr>
            <w:r>
              <w:rPr>
                <w:rFonts w:hint="eastAsia"/>
                <w:lang w:val="en-US" w:eastAsia="zh-CN"/>
              </w:rPr>
              <w:t>7.53-21.83</w:t>
            </w:r>
          </w:p>
        </w:tc>
        <w:tc>
          <w:tcPr>
            <w:tcW w:w="1489" w:type="dxa"/>
            <w:vAlign w:val="center"/>
          </w:tcPr>
          <w:p w14:paraId="3F5B601C">
            <w:pPr>
              <w:pStyle w:val="28"/>
              <w:bidi w:val="0"/>
              <w:rPr>
                <w:rFonts w:hint="default"/>
                <w:lang w:val="en-US" w:eastAsia="zh-CN"/>
              </w:rPr>
            </w:pPr>
            <w:r>
              <w:rPr>
                <w:rFonts w:hint="eastAsia"/>
                <w:lang w:val="en-US" w:eastAsia="zh-CN"/>
              </w:rPr>
              <w:t>2.48</w:t>
            </w:r>
          </w:p>
        </w:tc>
        <w:tc>
          <w:tcPr>
            <w:tcW w:w="995" w:type="dxa"/>
            <w:vAlign w:val="center"/>
          </w:tcPr>
          <w:p w14:paraId="0E7FA233">
            <w:pPr>
              <w:pStyle w:val="28"/>
              <w:bidi w:val="0"/>
              <w:rPr>
                <w:rFonts w:hint="default"/>
                <w:lang w:val="en-US" w:eastAsia="zh-CN"/>
              </w:rPr>
            </w:pPr>
          </w:p>
        </w:tc>
      </w:tr>
      <w:tr w14:paraId="2D8C4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6" w:type="dxa"/>
            <w:vAlign w:val="center"/>
          </w:tcPr>
          <w:p w14:paraId="6D3DC179">
            <w:pPr>
              <w:pStyle w:val="28"/>
              <w:bidi w:val="0"/>
              <w:rPr>
                <w:rFonts w:hint="default"/>
                <w:lang w:val="en-US" w:eastAsia="zh-CN"/>
              </w:rPr>
            </w:pPr>
            <w:r>
              <w:rPr>
                <w:rFonts w:hint="eastAsia"/>
                <w:lang w:val="en-US" w:eastAsia="zh-CN"/>
              </w:rPr>
              <w:t>5</w:t>
            </w:r>
          </w:p>
        </w:tc>
        <w:tc>
          <w:tcPr>
            <w:tcW w:w="1137" w:type="dxa"/>
            <w:vAlign w:val="center"/>
          </w:tcPr>
          <w:p w14:paraId="2C89D883">
            <w:pPr>
              <w:pStyle w:val="28"/>
              <w:bidi w:val="0"/>
              <w:rPr>
                <w:rFonts w:hint="default"/>
                <w:lang w:val="en-US" w:eastAsia="zh-CN"/>
              </w:rPr>
            </w:pPr>
            <w:r>
              <w:rPr>
                <w:rFonts w:hint="eastAsia"/>
                <w:lang w:val="en-US" w:eastAsia="zh-CN"/>
              </w:rPr>
              <w:t>三北干渠</w:t>
            </w:r>
          </w:p>
        </w:tc>
        <w:tc>
          <w:tcPr>
            <w:tcW w:w="1004" w:type="dxa"/>
            <w:vAlign w:val="center"/>
          </w:tcPr>
          <w:p w14:paraId="4B37589B">
            <w:pPr>
              <w:pStyle w:val="28"/>
              <w:bidi w:val="0"/>
              <w:rPr>
                <w:rFonts w:hint="default"/>
                <w:lang w:val="en-US" w:eastAsia="zh-CN"/>
              </w:rPr>
            </w:pPr>
            <w:r>
              <w:rPr>
                <w:rFonts w:hint="eastAsia"/>
                <w:lang w:val="en-US" w:eastAsia="zh-CN"/>
              </w:rPr>
              <w:t>740</w:t>
            </w:r>
          </w:p>
        </w:tc>
        <w:tc>
          <w:tcPr>
            <w:tcW w:w="1126" w:type="dxa"/>
            <w:vAlign w:val="center"/>
          </w:tcPr>
          <w:p w14:paraId="4B599A15">
            <w:pPr>
              <w:pStyle w:val="28"/>
              <w:bidi w:val="0"/>
              <w:rPr>
                <w:rFonts w:hint="default"/>
                <w:lang w:val="en-US" w:eastAsia="zh-CN"/>
              </w:rPr>
            </w:pPr>
            <w:r>
              <w:rPr>
                <w:rFonts w:hint="eastAsia"/>
                <w:lang w:val="en-US" w:eastAsia="zh-CN"/>
              </w:rPr>
              <w:t>2.5</w:t>
            </w:r>
          </w:p>
        </w:tc>
        <w:tc>
          <w:tcPr>
            <w:tcW w:w="929" w:type="dxa"/>
            <w:vAlign w:val="center"/>
          </w:tcPr>
          <w:p w14:paraId="5EE3B582">
            <w:pPr>
              <w:pStyle w:val="28"/>
              <w:bidi w:val="0"/>
              <w:rPr>
                <w:rFonts w:hint="default"/>
                <w:lang w:val="en-US" w:eastAsia="zh-CN"/>
              </w:rPr>
            </w:pPr>
            <w:r>
              <w:rPr>
                <w:rFonts w:hint="eastAsia"/>
                <w:lang w:val="en-US" w:eastAsia="zh-CN"/>
              </w:rPr>
              <w:t>1.5-2.4</w:t>
            </w:r>
          </w:p>
        </w:tc>
        <w:tc>
          <w:tcPr>
            <w:tcW w:w="930" w:type="dxa"/>
            <w:vAlign w:val="center"/>
          </w:tcPr>
          <w:p w14:paraId="4C62C096">
            <w:pPr>
              <w:pStyle w:val="28"/>
              <w:bidi w:val="0"/>
              <w:rPr>
                <w:rFonts w:hint="default"/>
                <w:lang w:val="en-US" w:eastAsia="zh-CN"/>
              </w:rPr>
            </w:pPr>
            <w:r>
              <w:rPr>
                <w:rFonts w:hint="eastAsia"/>
                <w:lang w:val="en-US" w:eastAsia="zh-CN"/>
              </w:rPr>
              <w:t>1:1.15</w:t>
            </w:r>
          </w:p>
        </w:tc>
        <w:tc>
          <w:tcPr>
            <w:tcW w:w="1231" w:type="dxa"/>
            <w:vAlign w:val="center"/>
          </w:tcPr>
          <w:p w14:paraId="7E3A8936">
            <w:pPr>
              <w:pStyle w:val="28"/>
              <w:bidi w:val="0"/>
              <w:rPr>
                <w:rFonts w:hint="default"/>
                <w:lang w:val="en-US" w:eastAsia="zh-CN"/>
              </w:rPr>
            </w:pPr>
            <w:r>
              <w:rPr>
                <w:rFonts w:hint="eastAsia"/>
                <w:lang w:val="en-US" w:eastAsia="zh-CN"/>
              </w:rPr>
              <w:t>5.95-8.96</w:t>
            </w:r>
          </w:p>
        </w:tc>
        <w:tc>
          <w:tcPr>
            <w:tcW w:w="1489" w:type="dxa"/>
            <w:vAlign w:val="center"/>
          </w:tcPr>
          <w:p w14:paraId="3FBEC965">
            <w:pPr>
              <w:pStyle w:val="28"/>
              <w:bidi w:val="0"/>
              <w:rPr>
                <w:rFonts w:hint="default"/>
                <w:lang w:val="en-US" w:eastAsia="zh-CN"/>
              </w:rPr>
            </w:pPr>
            <w:r>
              <w:rPr>
                <w:rFonts w:hint="eastAsia"/>
                <w:lang w:val="en-US" w:eastAsia="zh-CN"/>
              </w:rPr>
              <w:t>0.97</w:t>
            </w:r>
          </w:p>
        </w:tc>
        <w:tc>
          <w:tcPr>
            <w:tcW w:w="995" w:type="dxa"/>
            <w:vAlign w:val="center"/>
          </w:tcPr>
          <w:p w14:paraId="404CDE29">
            <w:pPr>
              <w:pStyle w:val="28"/>
              <w:bidi w:val="0"/>
              <w:rPr>
                <w:rFonts w:hint="default"/>
                <w:lang w:val="en-US" w:eastAsia="zh-CN"/>
              </w:rPr>
            </w:pPr>
          </w:p>
        </w:tc>
      </w:tr>
      <w:tr w14:paraId="50B95D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6" w:type="dxa"/>
            <w:vAlign w:val="center"/>
          </w:tcPr>
          <w:p w14:paraId="6116161E">
            <w:pPr>
              <w:pStyle w:val="28"/>
              <w:bidi w:val="0"/>
              <w:rPr>
                <w:rFonts w:hint="default"/>
                <w:lang w:val="en-US" w:eastAsia="zh-CN"/>
              </w:rPr>
            </w:pPr>
            <w:r>
              <w:rPr>
                <w:rFonts w:hint="eastAsia"/>
                <w:lang w:val="en-US" w:eastAsia="zh-CN"/>
              </w:rPr>
              <w:t>6</w:t>
            </w:r>
          </w:p>
        </w:tc>
        <w:tc>
          <w:tcPr>
            <w:tcW w:w="1137" w:type="dxa"/>
            <w:vAlign w:val="center"/>
          </w:tcPr>
          <w:p w14:paraId="3DE10A6E">
            <w:pPr>
              <w:pStyle w:val="28"/>
              <w:bidi w:val="0"/>
              <w:rPr>
                <w:rFonts w:hint="default"/>
                <w:lang w:val="en-US" w:eastAsia="zh-CN"/>
              </w:rPr>
            </w:pPr>
            <w:r>
              <w:rPr>
                <w:rFonts w:hint="eastAsia"/>
                <w:lang w:val="en-US" w:eastAsia="zh-CN"/>
              </w:rPr>
              <w:t>桂岗支渠</w:t>
            </w:r>
          </w:p>
        </w:tc>
        <w:tc>
          <w:tcPr>
            <w:tcW w:w="1004" w:type="dxa"/>
            <w:vAlign w:val="center"/>
          </w:tcPr>
          <w:p w14:paraId="2C31F993">
            <w:pPr>
              <w:pStyle w:val="28"/>
              <w:bidi w:val="0"/>
              <w:rPr>
                <w:rFonts w:hint="default"/>
                <w:lang w:val="en-US" w:eastAsia="zh-CN"/>
              </w:rPr>
            </w:pPr>
            <w:r>
              <w:rPr>
                <w:rFonts w:hint="eastAsia"/>
                <w:lang w:val="en-US" w:eastAsia="zh-CN"/>
              </w:rPr>
              <w:t>3993</w:t>
            </w:r>
          </w:p>
        </w:tc>
        <w:tc>
          <w:tcPr>
            <w:tcW w:w="1126" w:type="dxa"/>
            <w:vAlign w:val="center"/>
          </w:tcPr>
          <w:p w14:paraId="1118C894">
            <w:pPr>
              <w:pStyle w:val="28"/>
              <w:bidi w:val="0"/>
              <w:rPr>
                <w:rFonts w:hint="default"/>
                <w:lang w:val="en-US" w:eastAsia="zh-CN"/>
              </w:rPr>
            </w:pPr>
            <w:r>
              <w:rPr>
                <w:rFonts w:hint="eastAsia"/>
                <w:lang w:val="en-US" w:eastAsia="zh-CN"/>
              </w:rPr>
              <w:t>1.17-2.34</w:t>
            </w:r>
          </w:p>
        </w:tc>
        <w:tc>
          <w:tcPr>
            <w:tcW w:w="929" w:type="dxa"/>
            <w:vAlign w:val="center"/>
          </w:tcPr>
          <w:p w14:paraId="4276AEEB">
            <w:pPr>
              <w:pStyle w:val="28"/>
              <w:bidi w:val="0"/>
              <w:rPr>
                <w:rFonts w:hint="default"/>
                <w:lang w:val="en-US" w:eastAsia="zh-CN"/>
              </w:rPr>
            </w:pPr>
            <w:r>
              <w:rPr>
                <w:rFonts w:hint="eastAsia"/>
                <w:lang w:val="en-US" w:eastAsia="zh-CN"/>
              </w:rPr>
              <w:t>1.1</w:t>
            </w:r>
          </w:p>
        </w:tc>
        <w:tc>
          <w:tcPr>
            <w:tcW w:w="930" w:type="dxa"/>
            <w:vAlign w:val="center"/>
          </w:tcPr>
          <w:p w14:paraId="5DAD6190">
            <w:pPr>
              <w:pStyle w:val="28"/>
              <w:bidi w:val="0"/>
              <w:rPr>
                <w:rFonts w:hint="default"/>
                <w:lang w:val="en-US" w:eastAsia="zh-CN"/>
              </w:rPr>
            </w:pPr>
            <w:r>
              <w:rPr>
                <w:rFonts w:hint="eastAsia"/>
                <w:lang w:val="en-US" w:eastAsia="zh-CN"/>
              </w:rPr>
              <w:t>1:1-1:2</w:t>
            </w:r>
          </w:p>
        </w:tc>
        <w:tc>
          <w:tcPr>
            <w:tcW w:w="1231" w:type="dxa"/>
            <w:vAlign w:val="center"/>
          </w:tcPr>
          <w:p w14:paraId="28463E80">
            <w:pPr>
              <w:pStyle w:val="28"/>
              <w:bidi w:val="0"/>
              <w:rPr>
                <w:rFonts w:hint="default"/>
                <w:lang w:val="en-US" w:eastAsia="zh-CN"/>
              </w:rPr>
            </w:pPr>
            <w:r>
              <w:rPr>
                <w:rFonts w:hint="eastAsia"/>
                <w:lang w:val="en-US" w:eastAsia="zh-CN"/>
              </w:rPr>
              <w:t>4.2-7.54</w:t>
            </w:r>
          </w:p>
        </w:tc>
        <w:tc>
          <w:tcPr>
            <w:tcW w:w="1489" w:type="dxa"/>
            <w:vAlign w:val="center"/>
          </w:tcPr>
          <w:p w14:paraId="74F29356">
            <w:pPr>
              <w:pStyle w:val="28"/>
              <w:bidi w:val="0"/>
              <w:rPr>
                <w:rFonts w:hint="default"/>
                <w:lang w:val="en-US" w:eastAsia="zh-CN"/>
              </w:rPr>
            </w:pPr>
            <w:r>
              <w:rPr>
                <w:rFonts w:hint="eastAsia"/>
                <w:lang w:val="en-US" w:eastAsia="zh-CN"/>
              </w:rPr>
              <w:t>1.49</w:t>
            </w:r>
          </w:p>
        </w:tc>
        <w:tc>
          <w:tcPr>
            <w:tcW w:w="995" w:type="dxa"/>
            <w:vAlign w:val="center"/>
          </w:tcPr>
          <w:p w14:paraId="167D732C">
            <w:pPr>
              <w:pStyle w:val="28"/>
              <w:bidi w:val="0"/>
              <w:rPr>
                <w:rFonts w:hint="default"/>
                <w:lang w:val="en-US" w:eastAsia="zh-CN"/>
              </w:rPr>
            </w:pPr>
          </w:p>
        </w:tc>
      </w:tr>
      <w:tr w14:paraId="02C73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46" w:type="dxa"/>
            <w:vAlign w:val="center"/>
          </w:tcPr>
          <w:p w14:paraId="7126A2BA">
            <w:pPr>
              <w:pStyle w:val="28"/>
              <w:bidi w:val="0"/>
              <w:rPr>
                <w:rFonts w:hint="default"/>
                <w:lang w:val="en-US" w:eastAsia="zh-CN"/>
              </w:rPr>
            </w:pPr>
            <w:r>
              <w:rPr>
                <w:rFonts w:hint="eastAsia"/>
                <w:lang w:val="en-US" w:eastAsia="zh-CN"/>
              </w:rPr>
              <w:t>7</w:t>
            </w:r>
          </w:p>
        </w:tc>
        <w:tc>
          <w:tcPr>
            <w:tcW w:w="1137" w:type="dxa"/>
            <w:vAlign w:val="center"/>
          </w:tcPr>
          <w:p w14:paraId="3425AE2C">
            <w:pPr>
              <w:pStyle w:val="28"/>
              <w:bidi w:val="0"/>
              <w:rPr>
                <w:rFonts w:hint="default"/>
                <w:lang w:val="en-US" w:eastAsia="zh-CN"/>
              </w:rPr>
            </w:pPr>
            <w:r>
              <w:rPr>
                <w:rFonts w:hint="eastAsia"/>
                <w:lang w:val="en-US" w:eastAsia="zh-CN"/>
              </w:rPr>
              <w:t>染坊支渠</w:t>
            </w:r>
          </w:p>
        </w:tc>
        <w:tc>
          <w:tcPr>
            <w:tcW w:w="1004" w:type="dxa"/>
            <w:vAlign w:val="center"/>
          </w:tcPr>
          <w:p w14:paraId="48C9421D">
            <w:pPr>
              <w:pStyle w:val="28"/>
              <w:bidi w:val="0"/>
              <w:rPr>
                <w:rFonts w:hint="default"/>
                <w:lang w:val="en-US" w:eastAsia="zh-CN"/>
              </w:rPr>
            </w:pPr>
            <w:r>
              <w:rPr>
                <w:rFonts w:hint="eastAsia"/>
                <w:lang w:val="en-US" w:eastAsia="zh-CN"/>
              </w:rPr>
              <w:t>317</w:t>
            </w:r>
          </w:p>
        </w:tc>
        <w:tc>
          <w:tcPr>
            <w:tcW w:w="1126" w:type="dxa"/>
            <w:vAlign w:val="center"/>
          </w:tcPr>
          <w:p w14:paraId="2DA5EBF4">
            <w:pPr>
              <w:pStyle w:val="28"/>
              <w:bidi w:val="0"/>
              <w:rPr>
                <w:rFonts w:hint="default"/>
                <w:lang w:val="en-US" w:eastAsia="zh-CN"/>
              </w:rPr>
            </w:pPr>
            <w:r>
              <w:rPr>
                <w:rFonts w:hint="eastAsia"/>
                <w:lang w:val="en-US" w:eastAsia="zh-CN"/>
              </w:rPr>
              <w:t>2.5-3.12</w:t>
            </w:r>
          </w:p>
        </w:tc>
        <w:tc>
          <w:tcPr>
            <w:tcW w:w="929" w:type="dxa"/>
            <w:vAlign w:val="center"/>
          </w:tcPr>
          <w:p w14:paraId="53D0EFC4">
            <w:pPr>
              <w:pStyle w:val="28"/>
              <w:bidi w:val="0"/>
              <w:rPr>
                <w:rFonts w:hint="default"/>
                <w:lang w:val="en-US" w:eastAsia="zh-CN"/>
              </w:rPr>
            </w:pPr>
            <w:r>
              <w:rPr>
                <w:rFonts w:hint="eastAsia"/>
                <w:lang w:val="en-US" w:eastAsia="zh-CN"/>
              </w:rPr>
              <w:t>1.5-2.4</w:t>
            </w:r>
          </w:p>
        </w:tc>
        <w:tc>
          <w:tcPr>
            <w:tcW w:w="930" w:type="dxa"/>
            <w:vAlign w:val="center"/>
          </w:tcPr>
          <w:p w14:paraId="5B1CB462">
            <w:pPr>
              <w:pStyle w:val="28"/>
              <w:bidi w:val="0"/>
              <w:rPr>
                <w:rFonts w:hint="default"/>
                <w:lang w:val="en-US" w:eastAsia="zh-CN"/>
              </w:rPr>
            </w:pPr>
            <w:r>
              <w:rPr>
                <w:rFonts w:hint="eastAsia"/>
                <w:lang w:val="en-US" w:eastAsia="zh-CN"/>
              </w:rPr>
              <w:t>1:1.15-1.5</w:t>
            </w:r>
          </w:p>
        </w:tc>
        <w:tc>
          <w:tcPr>
            <w:tcW w:w="1231" w:type="dxa"/>
            <w:vAlign w:val="center"/>
          </w:tcPr>
          <w:p w14:paraId="1196C472">
            <w:pPr>
              <w:pStyle w:val="28"/>
              <w:bidi w:val="0"/>
              <w:rPr>
                <w:rFonts w:hint="default"/>
                <w:lang w:val="en-US" w:eastAsia="zh-CN"/>
              </w:rPr>
            </w:pPr>
            <w:r>
              <w:rPr>
                <w:rFonts w:hint="eastAsia"/>
                <w:lang w:val="en-US" w:eastAsia="zh-CN"/>
              </w:rPr>
              <w:t>5.95-9.8</w:t>
            </w:r>
          </w:p>
        </w:tc>
        <w:tc>
          <w:tcPr>
            <w:tcW w:w="1489" w:type="dxa"/>
            <w:vAlign w:val="center"/>
          </w:tcPr>
          <w:p w14:paraId="2E2BCCFF">
            <w:pPr>
              <w:pStyle w:val="28"/>
              <w:bidi w:val="0"/>
              <w:rPr>
                <w:rFonts w:hint="default"/>
                <w:lang w:val="en-US" w:eastAsia="zh-CN"/>
              </w:rPr>
            </w:pPr>
            <w:r>
              <w:rPr>
                <w:rFonts w:hint="eastAsia"/>
                <w:lang w:val="en-US" w:eastAsia="zh-CN"/>
              </w:rPr>
              <w:t>1.82</w:t>
            </w:r>
          </w:p>
        </w:tc>
        <w:tc>
          <w:tcPr>
            <w:tcW w:w="995" w:type="dxa"/>
            <w:vAlign w:val="center"/>
          </w:tcPr>
          <w:p w14:paraId="5E0D4485">
            <w:pPr>
              <w:pStyle w:val="28"/>
              <w:bidi w:val="0"/>
              <w:rPr>
                <w:rFonts w:hint="default"/>
                <w:lang w:val="en-US" w:eastAsia="zh-CN"/>
              </w:rPr>
            </w:pPr>
          </w:p>
        </w:tc>
      </w:tr>
      <w:tr w14:paraId="38673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446" w:type="dxa"/>
            <w:vAlign w:val="center"/>
          </w:tcPr>
          <w:p w14:paraId="2CDD7D9A">
            <w:pPr>
              <w:pStyle w:val="28"/>
              <w:bidi w:val="0"/>
              <w:rPr>
                <w:rFonts w:hint="default"/>
                <w:lang w:val="en-US" w:eastAsia="zh-CN"/>
              </w:rPr>
            </w:pPr>
            <w:r>
              <w:rPr>
                <w:rFonts w:hint="eastAsia"/>
                <w:lang w:val="en-US" w:eastAsia="zh-CN"/>
              </w:rPr>
              <w:t>8</w:t>
            </w:r>
          </w:p>
        </w:tc>
        <w:tc>
          <w:tcPr>
            <w:tcW w:w="1137" w:type="dxa"/>
            <w:vAlign w:val="center"/>
          </w:tcPr>
          <w:p w14:paraId="62965CDF">
            <w:pPr>
              <w:pStyle w:val="28"/>
              <w:bidi w:val="0"/>
              <w:rPr>
                <w:rFonts w:hint="default"/>
                <w:lang w:val="en-US" w:eastAsia="zh-CN"/>
              </w:rPr>
            </w:pPr>
            <w:r>
              <w:rPr>
                <w:rFonts w:hint="eastAsia"/>
                <w:lang w:val="en-US" w:eastAsia="zh-CN"/>
              </w:rPr>
              <w:t>一北干渠</w:t>
            </w:r>
          </w:p>
        </w:tc>
        <w:tc>
          <w:tcPr>
            <w:tcW w:w="1004" w:type="dxa"/>
            <w:vAlign w:val="center"/>
          </w:tcPr>
          <w:p w14:paraId="1D64B3B5">
            <w:pPr>
              <w:pStyle w:val="28"/>
              <w:bidi w:val="0"/>
              <w:rPr>
                <w:rFonts w:hint="default"/>
                <w:lang w:val="en-US" w:eastAsia="zh-CN"/>
              </w:rPr>
            </w:pPr>
            <w:r>
              <w:rPr>
                <w:rFonts w:hint="eastAsia"/>
                <w:lang w:val="en-US" w:eastAsia="zh-CN"/>
              </w:rPr>
              <w:t>4793</w:t>
            </w:r>
          </w:p>
        </w:tc>
        <w:tc>
          <w:tcPr>
            <w:tcW w:w="1126" w:type="dxa"/>
            <w:vAlign w:val="center"/>
          </w:tcPr>
          <w:p w14:paraId="00A21E93">
            <w:pPr>
              <w:pStyle w:val="28"/>
              <w:bidi w:val="0"/>
              <w:rPr>
                <w:rFonts w:hint="default"/>
                <w:lang w:val="en-US" w:eastAsia="zh-CN"/>
              </w:rPr>
            </w:pPr>
            <w:r>
              <w:rPr>
                <w:rFonts w:hint="eastAsia"/>
                <w:lang w:val="en-US" w:eastAsia="zh-CN"/>
              </w:rPr>
              <w:t>2.5</w:t>
            </w:r>
          </w:p>
        </w:tc>
        <w:tc>
          <w:tcPr>
            <w:tcW w:w="929" w:type="dxa"/>
            <w:vAlign w:val="center"/>
          </w:tcPr>
          <w:p w14:paraId="0C08387E">
            <w:pPr>
              <w:pStyle w:val="28"/>
              <w:bidi w:val="0"/>
              <w:rPr>
                <w:rFonts w:hint="default"/>
                <w:lang w:val="en-US" w:eastAsia="zh-CN"/>
              </w:rPr>
            </w:pPr>
            <w:r>
              <w:rPr>
                <w:rFonts w:hint="eastAsia"/>
                <w:lang w:val="en-US" w:eastAsia="zh-CN"/>
              </w:rPr>
              <w:t>2.2-2.4</w:t>
            </w:r>
          </w:p>
        </w:tc>
        <w:tc>
          <w:tcPr>
            <w:tcW w:w="930" w:type="dxa"/>
            <w:vAlign w:val="center"/>
          </w:tcPr>
          <w:p w14:paraId="69515C90">
            <w:pPr>
              <w:pStyle w:val="28"/>
              <w:bidi w:val="0"/>
              <w:rPr>
                <w:rFonts w:hint="default"/>
                <w:lang w:val="en-US" w:eastAsia="zh-CN"/>
              </w:rPr>
            </w:pPr>
            <w:r>
              <w:rPr>
                <w:rFonts w:hint="eastAsia"/>
                <w:lang w:val="en-US" w:eastAsia="zh-CN"/>
              </w:rPr>
              <w:t>1:1.25</w:t>
            </w:r>
          </w:p>
        </w:tc>
        <w:tc>
          <w:tcPr>
            <w:tcW w:w="1231" w:type="dxa"/>
            <w:vAlign w:val="center"/>
          </w:tcPr>
          <w:p w14:paraId="295C0EEC">
            <w:pPr>
              <w:pStyle w:val="28"/>
              <w:bidi w:val="0"/>
              <w:rPr>
                <w:rFonts w:hint="default"/>
                <w:lang w:val="en-US" w:eastAsia="zh-CN"/>
              </w:rPr>
            </w:pPr>
            <w:r>
              <w:rPr>
                <w:rFonts w:hint="eastAsia"/>
                <w:lang w:val="en-US" w:eastAsia="zh-CN"/>
              </w:rPr>
              <w:t>8.36-8.96</w:t>
            </w:r>
          </w:p>
        </w:tc>
        <w:tc>
          <w:tcPr>
            <w:tcW w:w="1489" w:type="dxa"/>
            <w:vAlign w:val="center"/>
          </w:tcPr>
          <w:p w14:paraId="3A946406">
            <w:pPr>
              <w:pStyle w:val="28"/>
              <w:bidi w:val="0"/>
              <w:rPr>
                <w:rFonts w:hint="default"/>
                <w:lang w:val="en-US" w:eastAsia="zh-CN"/>
              </w:rPr>
            </w:pPr>
            <w:r>
              <w:rPr>
                <w:rFonts w:hint="eastAsia"/>
                <w:lang w:val="en-US" w:eastAsia="zh-CN"/>
              </w:rPr>
              <w:t>0.33</w:t>
            </w:r>
          </w:p>
        </w:tc>
        <w:tc>
          <w:tcPr>
            <w:tcW w:w="995" w:type="dxa"/>
            <w:vAlign w:val="center"/>
          </w:tcPr>
          <w:p w14:paraId="2AB22186">
            <w:pPr>
              <w:pStyle w:val="28"/>
              <w:bidi w:val="0"/>
              <w:rPr>
                <w:rFonts w:hint="default"/>
                <w:lang w:val="en-US" w:eastAsia="zh-CN"/>
              </w:rPr>
            </w:pPr>
          </w:p>
        </w:tc>
      </w:tr>
      <w:tr w14:paraId="166D7F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46" w:type="dxa"/>
            <w:vAlign w:val="center"/>
          </w:tcPr>
          <w:p w14:paraId="022E925E">
            <w:pPr>
              <w:pStyle w:val="28"/>
              <w:bidi w:val="0"/>
              <w:rPr>
                <w:rFonts w:hint="default"/>
                <w:lang w:val="en-US" w:eastAsia="zh-CN"/>
              </w:rPr>
            </w:pPr>
            <w:r>
              <w:rPr>
                <w:rFonts w:hint="eastAsia"/>
                <w:lang w:val="en-US" w:eastAsia="zh-CN"/>
              </w:rPr>
              <w:t>9</w:t>
            </w:r>
          </w:p>
        </w:tc>
        <w:tc>
          <w:tcPr>
            <w:tcW w:w="1137" w:type="dxa"/>
            <w:vAlign w:val="center"/>
          </w:tcPr>
          <w:p w14:paraId="52C553A3">
            <w:pPr>
              <w:pStyle w:val="28"/>
              <w:bidi w:val="0"/>
              <w:rPr>
                <w:rFonts w:hint="default"/>
                <w:lang w:val="en-US" w:eastAsia="zh-CN"/>
              </w:rPr>
            </w:pPr>
            <w:r>
              <w:rPr>
                <w:rFonts w:hint="eastAsia"/>
                <w:lang w:val="en-US" w:eastAsia="zh-CN"/>
              </w:rPr>
              <w:t>双庙支渠</w:t>
            </w:r>
          </w:p>
        </w:tc>
        <w:tc>
          <w:tcPr>
            <w:tcW w:w="1004" w:type="dxa"/>
            <w:vAlign w:val="center"/>
          </w:tcPr>
          <w:p w14:paraId="1EEE731E">
            <w:pPr>
              <w:pStyle w:val="28"/>
              <w:bidi w:val="0"/>
              <w:rPr>
                <w:rFonts w:hint="default"/>
                <w:lang w:val="en-US" w:eastAsia="zh-CN"/>
              </w:rPr>
            </w:pPr>
            <w:r>
              <w:rPr>
                <w:rFonts w:hint="eastAsia"/>
                <w:lang w:val="en-US" w:eastAsia="zh-CN"/>
              </w:rPr>
              <w:t>450</w:t>
            </w:r>
          </w:p>
        </w:tc>
        <w:tc>
          <w:tcPr>
            <w:tcW w:w="1126" w:type="dxa"/>
            <w:vAlign w:val="center"/>
          </w:tcPr>
          <w:p w14:paraId="6E854D93">
            <w:pPr>
              <w:pStyle w:val="28"/>
              <w:bidi w:val="0"/>
              <w:rPr>
                <w:rFonts w:hint="default"/>
                <w:lang w:val="en-US" w:eastAsia="zh-CN"/>
              </w:rPr>
            </w:pPr>
            <w:r>
              <w:rPr>
                <w:rFonts w:hint="eastAsia"/>
                <w:lang w:val="en-US" w:eastAsia="zh-CN"/>
              </w:rPr>
              <w:t>2.5</w:t>
            </w:r>
          </w:p>
        </w:tc>
        <w:tc>
          <w:tcPr>
            <w:tcW w:w="929" w:type="dxa"/>
            <w:vAlign w:val="center"/>
          </w:tcPr>
          <w:p w14:paraId="63F2A000">
            <w:pPr>
              <w:pStyle w:val="28"/>
              <w:bidi w:val="0"/>
              <w:rPr>
                <w:rFonts w:hint="default"/>
                <w:lang w:val="en-US" w:eastAsia="zh-CN"/>
              </w:rPr>
            </w:pPr>
            <w:r>
              <w:rPr>
                <w:rFonts w:hint="eastAsia"/>
                <w:lang w:val="en-US" w:eastAsia="zh-CN"/>
              </w:rPr>
              <w:t>2.2</w:t>
            </w:r>
          </w:p>
        </w:tc>
        <w:tc>
          <w:tcPr>
            <w:tcW w:w="930" w:type="dxa"/>
            <w:vAlign w:val="center"/>
          </w:tcPr>
          <w:p w14:paraId="42411F48">
            <w:pPr>
              <w:pStyle w:val="28"/>
              <w:bidi w:val="0"/>
              <w:rPr>
                <w:rFonts w:hint="default"/>
                <w:lang w:val="en-US" w:eastAsia="zh-CN"/>
              </w:rPr>
            </w:pPr>
            <w:r>
              <w:rPr>
                <w:rFonts w:hint="eastAsia"/>
                <w:lang w:val="en-US" w:eastAsia="zh-CN"/>
              </w:rPr>
              <w:t>1:1.25</w:t>
            </w:r>
          </w:p>
        </w:tc>
        <w:tc>
          <w:tcPr>
            <w:tcW w:w="1231" w:type="dxa"/>
            <w:vAlign w:val="center"/>
          </w:tcPr>
          <w:p w14:paraId="38D71AFE">
            <w:pPr>
              <w:pStyle w:val="28"/>
              <w:bidi w:val="0"/>
              <w:rPr>
                <w:rFonts w:hint="default"/>
                <w:lang w:val="en-US" w:eastAsia="zh-CN"/>
              </w:rPr>
            </w:pPr>
            <w:r>
              <w:rPr>
                <w:rFonts w:hint="eastAsia"/>
                <w:lang w:val="en-US" w:eastAsia="zh-CN"/>
              </w:rPr>
              <w:t>8.36</w:t>
            </w:r>
          </w:p>
        </w:tc>
        <w:tc>
          <w:tcPr>
            <w:tcW w:w="1489" w:type="dxa"/>
            <w:vAlign w:val="center"/>
          </w:tcPr>
          <w:p w14:paraId="70AEA285">
            <w:pPr>
              <w:pStyle w:val="28"/>
              <w:bidi w:val="0"/>
              <w:rPr>
                <w:rFonts w:hint="default"/>
                <w:lang w:val="en-US" w:eastAsia="zh-CN"/>
              </w:rPr>
            </w:pPr>
            <w:r>
              <w:rPr>
                <w:rFonts w:hint="eastAsia"/>
                <w:lang w:val="en-US" w:eastAsia="zh-CN"/>
              </w:rPr>
              <w:t>0.28</w:t>
            </w:r>
          </w:p>
        </w:tc>
        <w:tc>
          <w:tcPr>
            <w:tcW w:w="995" w:type="dxa"/>
            <w:vAlign w:val="center"/>
          </w:tcPr>
          <w:p w14:paraId="2414621B">
            <w:pPr>
              <w:pStyle w:val="28"/>
              <w:bidi w:val="0"/>
              <w:rPr>
                <w:rFonts w:hint="default"/>
                <w:lang w:val="en-US" w:eastAsia="zh-CN"/>
              </w:rPr>
            </w:pPr>
          </w:p>
        </w:tc>
      </w:tr>
      <w:tr w14:paraId="35504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3" w:type="dxa"/>
            <w:gridSpan w:val="2"/>
            <w:vAlign w:val="center"/>
          </w:tcPr>
          <w:p w14:paraId="6B47930D">
            <w:pPr>
              <w:pStyle w:val="28"/>
              <w:bidi w:val="0"/>
              <w:rPr>
                <w:rFonts w:hint="default"/>
                <w:lang w:val="en-US" w:eastAsia="zh-CN"/>
              </w:rPr>
            </w:pPr>
            <w:r>
              <w:rPr>
                <w:rFonts w:hint="eastAsia"/>
                <w:lang w:val="en-US" w:eastAsia="zh-CN"/>
              </w:rPr>
              <w:t>合计</w:t>
            </w:r>
          </w:p>
        </w:tc>
        <w:tc>
          <w:tcPr>
            <w:tcW w:w="1004" w:type="dxa"/>
            <w:vAlign w:val="center"/>
          </w:tcPr>
          <w:p w14:paraId="0C7597D3">
            <w:pPr>
              <w:pStyle w:val="28"/>
              <w:bidi w:val="0"/>
              <w:rPr>
                <w:rFonts w:hint="default"/>
                <w:lang w:val="en-US" w:eastAsia="zh-CN"/>
              </w:rPr>
            </w:pPr>
            <w:r>
              <w:rPr>
                <w:rFonts w:hint="eastAsia"/>
                <w:lang w:val="en-US" w:eastAsia="zh-CN"/>
              </w:rPr>
              <w:t>34315</w:t>
            </w:r>
          </w:p>
        </w:tc>
        <w:tc>
          <w:tcPr>
            <w:tcW w:w="1126" w:type="dxa"/>
            <w:vAlign w:val="center"/>
          </w:tcPr>
          <w:p w14:paraId="75E8303A">
            <w:pPr>
              <w:pStyle w:val="28"/>
              <w:bidi w:val="0"/>
              <w:rPr>
                <w:rFonts w:hint="default"/>
                <w:lang w:val="en-US" w:eastAsia="zh-CN"/>
              </w:rPr>
            </w:pPr>
            <w:r>
              <w:rPr>
                <w:rFonts w:hint="eastAsia"/>
                <w:lang w:val="en-US" w:eastAsia="zh-CN"/>
              </w:rPr>
              <w:t>/</w:t>
            </w:r>
          </w:p>
        </w:tc>
        <w:tc>
          <w:tcPr>
            <w:tcW w:w="929" w:type="dxa"/>
            <w:vAlign w:val="center"/>
          </w:tcPr>
          <w:p w14:paraId="3AFDBB65">
            <w:pPr>
              <w:pStyle w:val="28"/>
              <w:bidi w:val="0"/>
              <w:rPr>
                <w:rFonts w:hint="default"/>
                <w:lang w:val="en-US" w:eastAsia="zh-CN"/>
              </w:rPr>
            </w:pPr>
            <w:r>
              <w:rPr>
                <w:rFonts w:hint="eastAsia"/>
                <w:lang w:val="en-US" w:eastAsia="zh-CN"/>
              </w:rPr>
              <w:t>/</w:t>
            </w:r>
          </w:p>
        </w:tc>
        <w:tc>
          <w:tcPr>
            <w:tcW w:w="930" w:type="dxa"/>
            <w:vAlign w:val="center"/>
          </w:tcPr>
          <w:p w14:paraId="4D9162FF">
            <w:pPr>
              <w:pStyle w:val="28"/>
              <w:bidi w:val="0"/>
              <w:rPr>
                <w:rFonts w:hint="default"/>
                <w:lang w:val="en-US" w:eastAsia="zh-CN"/>
              </w:rPr>
            </w:pPr>
            <w:r>
              <w:rPr>
                <w:rFonts w:hint="eastAsia"/>
                <w:lang w:val="en-US" w:eastAsia="zh-CN"/>
              </w:rPr>
              <w:t>/</w:t>
            </w:r>
          </w:p>
        </w:tc>
        <w:tc>
          <w:tcPr>
            <w:tcW w:w="1231" w:type="dxa"/>
            <w:vAlign w:val="center"/>
          </w:tcPr>
          <w:p w14:paraId="79900FEF">
            <w:pPr>
              <w:pStyle w:val="28"/>
              <w:bidi w:val="0"/>
              <w:rPr>
                <w:rFonts w:hint="default"/>
                <w:lang w:val="en-US" w:eastAsia="zh-CN"/>
              </w:rPr>
            </w:pPr>
            <w:r>
              <w:rPr>
                <w:rFonts w:hint="eastAsia"/>
                <w:lang w:val="en-US" w:eastAsia="zh-CN"/>
              </w:rPr>
              <w:t>/</w:t>
            </w:r>
          </w:p>
        </w:tc>
        <w:tc>
          <w:tcPr>
            <w:tcW w:w="1489" w:type="dxa"/>
            <w:vAlign w:val="center"/>
          </w:tcPr>
          <w:p w14:paraId="4CE02889">
            <w:pPr>
              <w:pStyle w:val="28"/>
              <w:bidi w:val="0"/>
              <w:rPr>
                <w:rFonts w:hint="default"/>
                <w:lang w:val="en-US" w:eastAsia="zh-CN"/>
              </w:rPr>
            </w:pPr>
          </w:p>
        </w:tc>
        <w:tc>
          <w:tcPr>
            <w:tcW w:w="995" w:type="dxa"/>
            <w:vAlign w:val="center"/>
          </w:tcPr>
          <w:p w14:paraId="0EE21CE4">
            <w:pPr>
              <w:pStyle w:val="28"/>
              <w:bidi w:val="0"/>
              <w:rPr>
                <w:rFonts w:hint="default"/>
                <w:lang w:val="en-US" w:eastAsia="zh-CN"/>
              </w:rPr>
            </w:pPr>
          </w:p>
        </w:tc>
      </w:tr>
    </w:tbl>
    <w:p w14:paraId="45501EEF">
      <w:pPr>
        <w:pStyle w:val="28"/>
        <w:bidi w:val="0"/>
        <w:rPr>
          <w:rFonts w:hint="default"/>
          <w:lang w:val="en-US" w:eastAsia="zh-CN"/>
        </w:rPr>
      </w:pPr>
    </w:p>
    <w:p w14:paraId="172A8B04">
      <w:pPr>
        <w:pStyle w:val="5"/>
        <w:bidi w:val="0"/>
      </w:pPr>
      <w:r>
        <w:rPr>
          <w:rFonts w:hint="eastAsia"/>
        </w:rPr>
        <w:t>2.3</w:t>
      </w:r>
      <w:r>
        <w:t>.</w:t>
      </w:r>
      <w:r>
        <w:rPr>
          <w:rFonts w:hint="eastAsia"/>
          <w:lang w:val="en-US" w:eastAsia="zh-CN"/>
        </w:rPr>
        <w:t>4</w:t>
      </w:r>
      <w:r>
        <w:t>.</w:t>
      </w:r>
      <w:r>
        <w:rPr>
          <w:rFonts w:hint="eastAsia"/>
        </w:rPr>
        <w:t>2</w:t>
      </w:r>
      <w:r>
        <w:rPr>
          <w:rFonts w:hint="eastAsia"/>
          <w:lang w:val="en-US" w:eastAsia="zh-CN"/>
        </w:rPr>
        <w:t xml:space="preserve"> </w:t>
      </w:r>
      <w:r>
        <w:rPr>
          <w:rFonts w:hint="eastAsia"/>
        </w:rPr>
        <w:t>骨干渠系建筑物及配套</w:t>
      </w:r>
      <w:r>
        <w:t>工程</w:t>
      </w:r>
    </w:p>
    <w:p w14:paraId="601A7C4B">
      <w:pPr>
        <w:bidi w:val="0"/>
      </w:pPr>
      <w:r>
        <w:rPr>
          <w:rFonts w:hint="eastAsia"/>
        </w:rPr>
        <w:t>拆除重建建筑物137座。其中：拆除重建及维修改造节制闸7座、拆除重建分水闸6座、拆除重建放水涵闸104座、拆除重建机耕桥13座、拆除重建渡槽1座、拆建箱涵2座和配套工程4项。</w:t>
      </w:r>
    </w:p>
    <w:p w14:paraId="3881CBDD">
      <w:pPr>
        <w:bidi w:val="0"/>
        <w:rPr>
          <w:b/>
          <w:bCs/>
        </w:rPr>
      </w:pPr>
      <w:r>
        <w:rPr>
          <w:rFonts w:hint="eastAsia"/>
          <w:b/>
          <w:bCs/>
          <w:lang w:eastAsia="zh-CN"/>
        </w:rPr>
        <w:t>（</w:t>
      </w:r>
      <w:r>
        <w:rPr>
          <w:rFonts w:hint="eastAsia"/>
          <w:b/>
          <w:bCs/>
          <w:lang w:val="en-US" w:eastAsia="zh-CN"/>
        </w:rPr>
        <w:t>1</w:t>
      </w:r>
      <w:r>
        <w:rPr>
          <w:rFonts w:hint="eastAsia"/>
          <w:b/>
          <w:bCs/>
          <w:lang w:eastAsia="zh-CN"/>
        </w:rPr>
        <w:t>）</w:t>
      </w:r>
      <w:r>
        <w:rPr>
          <w:rFonts w:hint="eastAsia"/>
          <w:b/>
          <w:bCs/>
        </w:rPr>
        <w:t>节制闸</w:t>
      </w:r>
      <w:r>
        <w:rPr>
          <w:rFonts w:hint="eastAsia"/>
          <w:b/>
          <w:bCs/>
          <w:lang w:eastAsia="zh-CN"/>
        </w:rPr>
        <w:t>、</w:t>
      </w:r>
      <w:r>
        <w:rPr>
          <w:rFonts w:hint="eastAsia"/>
          <w:b/>
          <w:bCs/>
          <w:lang w:val="en-US" w:eastAsia="zh-CN"/>
        </w:rPr>
        <w:t>分水闸</w:t>
      </w:r>
      <w:r>
        <w:rPr>
          <w:rFonts w:hint="eastAsia"/>
          <w:b/>
          <w:bCs/>
        </w:rPr>
        <w:t>工程</w:t>
      </w:r>
    </w:p>
    <w:p w14:paraId="25F519FA">
      <w:pPr>
        <w:bidi w:val="0"/>
        <w:rPr>
          <w:rFonts w:hint="eastAsia"/>
          <w:lang w:eastAsia="zh-CN"/>
        </w:rPr>
      </w:pPr>
      <w:r>
        <w:rPr>
          <w:rFonts w:hint="eastAsia"/>
        </w:rPr>
        <w:t>拆除重建及维修改造节制闸7座。</w:t>
      </w:r>
      <w:r>
        <w:rPr>
          <w:rFonts w:hint="eastAsia"/>
          <w:lang w:val="en-US" w:eastAsia="zh-CN"/>
        </w:rPr>
        <w:t>一东干渠金庄节制闸</w:t>
      </w:r>
      <w:r>
        <w:rPr>
          <w:rFonts w:hint="eastAsia"/>
        </w:rPr>
        <w:t>1座</w:t>
      </w:r>
      <w:r>
        <w:rPr>
          <w:rFonts w:hint="eastAsia"/>
          <w:lang w:eastAsia="zh-CN"/>
        </w:rPr>
        <w:t>，</w:t>
      </w:r>
      <w:r>
        <w:rPr>
          <w:rFonts w:hint="eastAsia"/>
          <w:lang w:val="en-US" w:eastAsia="zh-CN"/>
        </w:rPr>
        <w:t>规模2.2m×2m，更换闸门启闭机</w:t>
      </w:r>
      <w:r>
        <w:rPr>
          <w:rFonts w:hint="eastAsia"/>
          <w:lang w:eastAsia="zh-CN"/>
        </w:rPr>
        <w:t>；</w:t>
      </w:r>
      <w:r>
        <w:rPr>
          <w:rFonts w:hint="eastAsia"/>
          <w:lang w:val="en-US" w:eastAsia="zh-CN"/>
        </w:rPr>
        <w:t>二东干渠节制闸，规模2m×2m，更换闸门启闭机</w:t>
      </w:r>
      <w:r>
        <w:rPr>
          <w:rFonts w:hint="eastAsia"/>
          <w:lang w:eastAsia="zh-CN"/>
        </w:rPr>
        <w:t>；</w:t>
      </w:r>
      <w:r>
        <w:rPr>
          <w:rFonts w:hint="eastAsia"/>
          <w:lang w:val="en-US" w:eastAsia="zh-CN"/>
        </w:rPr>
        <w:t>三栋干渠李岗放水渠节制闸，规模1.5m×1m，开敞式，新建节制闸</w:t>
      </w:r>
      <w:r>
        <w:rPr>
          <w:rFonts w:hint="eastAsia"/>
          <w:lang w:eastAsia="zh-CN"/>
        </w:rPr>
        <w:t>；</w:t>
      </w:r>
      <w:r>
        <w:rPr>
          <w:rFonts w:hint="eastAsia"/>
          <w:lang w:val="en-US" w:eastAsia="zh-CN"/>
        </w:rPr>
        <w:t>桂岗支渠节制闸1#，规模1m×1m，开敞式，拆除重建节制闸</w:t>
      </w:r>
      <w:r>
        <w:rPr>
          <w:rFonts w:hint="eastAsia"/>
        </w:rPr>
        <w:t>；</w:t>
      </w:r>
      <w:r>
        <w:rPr>
          <w:rFonts w:hint="eastAsia"/>
          <w:lang w:val="en-US" w:eastAsia="zh-CN"/>
        </w:rPr>
        <w:t>桂岗支渠节制闸2#，规模1m×1m，开敞式，拆除重建节制闸</w:t>
      </w:r>
      <w:r>
        <w:rPr>
          <w:rFonts w:hint="eastAsia"/>
        </w:rPr>
        <w:t>；</w:t>
      </w:r>
      <w:r>
        <w:rPr>
          <w:rFonts w:hint="eastAsia"/>
          <w:lang w:val="en-US" w:eastAsia="zh-CN"/>
        </w:rPr>
        <w:t>桂岗支渠节制闸3#，规模1m×1m，开敞式，拆除重建节制闸</w:t>
      </w:r>
      <w:r>
        <w:rPr>
          <w:rFonts w:hint="eastAsia"/>
        </w:rPr>
        <w:t>；</w:t>
      </w:r>
      <w:r>
        <w:rPr>
          <w:rFonts w:hint="eastAsia"/>
          <w:lang w:val="en-US" w:eastAsia="zh-CN"/>
        </w:rPr>
        <w:t>桂岗支渠泄洪闸，规模2m×2m，更换闸门启闭机，启闭房大门</w:t>
      </w:r>
      <w:r>
        <w:rPr>
          <w:rFonts w:hint="eastAsia"/>
          <w:lang w:eastAsia="zh-CN"/>
        </w:rPr>
        <w:t>。</w:t>
      </w:r>
    </w:p>
    <w:p w14:paraId="2C475DA4">
      <w:pPr>
        <w:bidi w:val="0"/>
        <w:rPr>
          <w:rFonts w:hint="eastAsia"/>
          <w:color w:val="0000FF"/>
        </w:rPr>
      </w:pPr>
      <w:r>
        <w:rPr>
          <w:rFonts w:hint="eastAsia"/>
          <w:lang w:eastAsia="zh-CN"/>
        </w:rPr>
        <w:t>拆除重建分水闸6座；一东干渠胡大井分水闸，规模2.5m×2m，更换闸门启闭机；二引干渠分水闸，规模1.0m×1.0m，开敞式钢筋砼，拆除重建分水闸；二北干渠分水闸，规模2m×2m，开敞式钢筋砼，拆除重建分水闸；三东干渠分水闸，规模2m×2m，开敞式钢筋砼，拆除重建分水闸；三北干渠分水闸，规模1.5m×1.2m，胸墙式钢筋砼，拆除重建分水闸控制段；染坊支渠分水闸，规模2m×2m，开敞式钢筋砼，拆除重建分水闸。</w:t>
      </w:r>
    </w:p>
    <w:p w14:paraId="77CE2363">
      <w:pPr>
        <w:bidi w:val="0"/>
      </w:pPr>
      <w:r>
        <w:rPr>
          <w:rFonts w:hint="eastAsia"/>
        </w:rPr>
        <w:t>工程所在区域灌溉期一般为每年5月～8月，非灌溉期为每年9月～次年4月，非灌溉期渠首进水闸关闭，渠道内无固定水源，闸门处于常开状态；灌溉期统筹考虑上游、下游用水需求和蒸发损失水等情况，保持节制闸处于50%以上开度进行上游水位控制和下游泄流。</w:t>
      </w:r>
    </w:p>
    <w:p w14:paraId="1AF8FD83">
      <w:pPr>
        <w:bidi w:val="0"/>
      </w:pPr>
      <w:r>
        <w:t>节制闸</w:t>
      </w:r>
      <w:r>
        <w:rPr>
          <w:rFonts w:hint="eastAsia"/>
          <w:lang w:eastAsia="zh-CN"/>
        </w:rPr>
        <w:t>、</w:t>
      </w:r>
      <w:r>
        <w:rPr>
          <w:rFonts w:hint="eastAsia"/>
          <w:lang w:val="en-US" w:eastAsia="zh-CN"/>
        </w:rPr>
        <w:t>分水闸</w:t>
      </w:r>
      <w:r>
        <w:t>工程整体类似，均不涉及生态保护红线、饮用水水源保护区等，本次评价以</w:t>
      </w:r>
      <w:r>
        <w:rPr>
          <w:lang w:val="en-US" w:eastAsia="zh-CN"/>
        </w:rPr>
        <w:t>二北干渠分水闸</w:t>
      </w:r>
      <w:r>
        <w:t>为例，</w:t>
      </w:r>
      <w:r>
        <w:rPr>
          <w:rFonts w:hint="eastAsia"/>
          <w:lang w:val="en-US" w:eastAsia="zh-CN"/>
        </w:rPr>
        <w:t>分水闸</w:t>
      </w:r>
      <w:r>
        <w:t>设计情况如下：</w:t>
      </w:r>
    </w:p>
    <w:p w14:paraId="1EC9AF19">
      <w:pPr>
        <w:bidi w:val="0"/>
      </w:pPr>
      <w:r>
        <w:rPr>
          <w:rFonts w:hint="eastAsia"/>
        </w:rPr>
        <w:t>二北干渠分水闸位于二北干渠渠首，其作用主要为控制干渠分水之用，控制水流和合理分配渠道水量。该闸处现状闸门老化，启闭不畅，因此需要拆除重建。</w:t>
      </w:r>
    </w:p>
    <w:p w14:paraId="466281D7">
      <w:pPr>
        <w:bidi w:val="0"/>
        <w:rPr>
          <w:rFonts w:hint="eastAsia"/>
          <w:lang w:val="en-US" w:eastAsia="zh-CN"/>
        </w:rPr>
      </w:pPr>
      <w:r>
        <w:rPr>
          <w:rFonts w:hint="eastAsia"/>
        </w:rPr>
        <w:t>二北干渠分水闸为1孔钢筋砼箱涵，净宽2.5m，净高2.6m，涵身长度为8.2m。上游接朱集二站出水池，下游消力池长7.0m，涵身及消力池均采用C25钢筋砼浇筑，消力池后接二北干渠渠道。采用铸铁闸门和手电动螺杆式启闭机。</w:t>
      </w:r>
      <w:r>
        <w:rPr>
          <w:rFonts w:hint="eastAsia"/>
          <w:lang w:val="en-US" w:eastAsia="zh-CN"/>
        </w:rPr>
        <w:t>设计流量3.19m</w:t>
      </w:r>
      <w:r>
        <w:rPr>
          <w:rFonts w:hint="eastAsia"/>
          <w:vertAlign w:val="superscript"/>
          <w:lang w:val="en-US" w:eastAsia="zh-CN"/>
        </w:rPr>
        <w:t>3</w:t>
      </w:r>
      <w:r>
        <w:rPr>
          <w:rFonts w:hint="eastAsia"/>
          <w:lang w:val="en-US" w:eastAsia="zh-CN"/>
        </w:rPr>
        <w:t>/s。</w:t>
      </w:r>
    </w:p>
    <w:p w14:paraId="4126544B">
      <w:pPr>
        <w:pStyle w:val="31"/>
        <w:bidi w:val="0"/>
        <w:rPr>
          <w:rFonts w:hint="eastAsia"/>
          <w:lang w:val="en-US" w:eastAsia="zh-CN"/>
        </w:rPr>
      </w:pPr>
      <w:r>
        <w:rPr>
          <w:rFonts w:hint="eastAsia"/>
          <w:lang w:val="en-US" w:eastAsia="zh-CN"/>
        </w:rPr>
        <w:drawing>
          <wp:inline distT="0" distB="0" distL="114300" distR="114300">
            <wp:extent cx="5751830" cy="3178175"/>
            <wp:effectExtent l="0" t="0" r="127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62"/>
                    <a:stretch>
                      <a:fillRect/>
                    </a:stretch>
                  </pic:blipFill>
                  <pic:spPr>
                    <a:xfrm>
                      <a:off x="0" y="0"/>
                      <a:ext cx="5751830" cy="3178175"/>
                    </a:xfrm>
                    <a:prstGeom prst="rect">
                      <a:avLst/>
                    </a:prstGeom>
                    <a:noFill/>
                    <a:ln>
                      <a:noFill/>
                    </a:ln>
                  </pic:spPr>
                </pic:pic>
              </a:graphicData>
            </a:graphic>
          </wp:inline>
        </w:drawing>
      </w:r>
    </w:p>
    <w:p w14:paraId="6377D2FA">
      <w:pPr>
        <w:pStyle w:val="30"/>
        <w:bidi w:val="0"/>
        <w:rPr>
          <w:rFonts w:hint="default"/>
          <w:lang w:val="en-US" w:eastAsia="zh-CN"/>
        </w:rPr>
      </w:pPr>
      <w:r>
        <w:rPr>
          <w:rFonts w:hint="eastAsia"/>
          <w:lang w:val="en-US" w:eastAsia="zh-CN"/>
        </w:rPr>
        <w:t>图2.3-3  二北干渠分水闸平面图</w:t>
      </w:r>
    </w:p>
    <w:p w14:paraId="6C0BEF79">
      <w:pPr>
        <w:pStyle w:val="31"/>
        <w:bidi w:val="0"/>
        <w:rPr>
          <w:rFonts w:hint="eastAsia"/>
          <w:lang w:val="en-US" w:eastAsia="zh-CN"/>
        </w:rPr>
      </w:pPr>
      <w:r>
        <w:rPr>
          <w:rFonts w:hint="eastAsia"/>
          <w:lang w:val="en-US" w:eastAsia="zh-CN"/>
        </w:rPr>
        <w:drawing>
          <wp:inline distT="0" distB="0" distL="114300" distR="114300">
            <wp:extent cx="5750560" cy="2627630"/>
            <wp:effectExtent l="0" t="0" r="2540" b="12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63"/>
                    <a:stretch>
                      <a:fillRect/>
                    </a:stretch>
                  </pic:blipFill>
                  <pic:spPr>
                    <a:xfrm>
                      <a:off x="0" y="0"/>
                      <a:ext cx="5750560" cy="2627630"/>
                    </a:xfrm>
                    <a:prstGeom prst="rect">
                      <a:avLst/>
                    </a:prstGeom>
                    <a:noFill/>
                    <a:ln>
                      <a:noFill/>
                    </a:ln>
                  </pic:spPr>
                </pic:pic>
              </a:graphicData>
            </a:graphic>
          </wp:inline>
        </w:drawing>
      </w:r>
    </w:p>
    <w:p w14:paraId="5E664C06">
      <w:pPr>
        <w:pStyle w:val="30"/>
        <w:bidi w:val="0"/>
        <w:rPr>
          <w:rFonts w:hint="default" w:eastAsia="宋体"/>
          <w:lang w:val="en-US" w:eastAsia="zh-CN"/>
        </w:rPr>
      </w:pPr>
      <w:r>
        <w:rPr>
          <w:rFonts w:hint="eastAsia"/>
        </w:rPr>
        <w:t>图</w:t>
      </w:r>
      <w:r>
        <w:rPr>
          <w:rFonts w:hint="eastAsia"/>
          <w:lang w:val="en-US" w:eastAsia="zh-CN"/>
        </w:rPr>
        <w:t>2.3-4</w:t>
      </w:r>
      <w:r>
        <w:rPr>
          <w:rFonts w:hint="eastAsia"/>
        </w:rPr>
        <w:t xml:space="preserve">  二北干渠分水闸</w:t>
      </w:r>
      <w:r>
        <w:rPr>
          <w:rFonts w:hint="eastAsia"/>
          <w:lang w:val="en-US" w:eastAsia="zh-CN"/>
        </w:rPr>
        <w:t>纵剖面图</w:t>
      </w:r>
    </w:p>
    <w:p w14:paraId="3CD853E6">
      <w:pPr>
        <w:bidi w:val="0"/>
        <w:rPr>
          <w:b/>
          <w:bCs/>
        </w:rPr>
      </w:pPr>
      <w:r>
        <w:rPr>
          <w:rFonts w:hint="eastAsia"/>
          <w:b/>
          <w:bCs/>
          <w:lang w:eastAsia="zh-CN"/>
        </w:rPr>
        <w:t>（</w:t>
      </w:r>
      <w:r>
        <w:rPr>
          <w:rFonts w:hint="eastAsia"/>
          <w:b/>
          <w:bCs/>
          <w:lang w:val="en-US" w:eastAsia="zh-CN"/>
        </w:rPr>
        <w:t>2</w:t>
      </w:r>
      <w:r>
        <w:rPr>
          <w:rFonts w:hint="eastAsia"/>
          <w:b/>
          <w:bCs/>
          <w:lang w:eastAsia="zh-CN"/>
        </w:rPr>
        <w:t>）</w:t>
      </w:r>
      <w:r>
        <w:rPr>
          <w:rFonts w:hint="eastAsia"/>
          <w:b/>
          <w:bCs/>
          <w:lang w:val="en-US" w:eastAsia="zh-CN"/>
        </w:rPr>
        <w:t>放水涵</w:t>
      </w:r>
      <w:r>
        <w:rPr>
          <w:rFonts w:hint="eastAsia"/>
          <w:b/>
          <w:bCs/>
        </w:rPr>
        <w:t>工程</w:t>
      </w:r>
    </w:p>
    <w:p w14:paraId="01C2A22C">
      <w:pPr>
        <w:bidi w:val="0"/>
      </w:pPr>
      <w:r>
        <w:rPr>
          <w:rFonts w:hint="eastAsia"/>
        </w:rPr>
        <w:t>拆除重建放水涵闸104座；一东干渠拆除重建25座放水涵闸（1#~25#），规模φ300mm；二北干渠拆除重建17座放水涵闸（1#~17#），规模φ300mm；三北干渠拆除重建3座放水涵闸（1#~3#），规模φ300mm；二引干渠拆除重建12座放水涵闸（1#~12#），规模φ300mm；二东干渠拆除重建33座放水涵闸（1#~33#），规模φ300mm；桂岗支渠拆除重建10座放水涵闸（1#~10#），规模φ300mm；染坊支渠拆除重建4座放水涵闸（1#~4#），1#~3#规模φ500mm，4#规模φ300mm。</w:t>
      </w:r>
    </w:p>
    <w:p w14:paraId="25E10C0F">
      <w:pPr>
        <w:bidi w:val="0"/>
      </w:pPr>
      <w:r>
        <w:rPr>
          <w:rFonts w:hint="eastAsia"/>
        </w:rPr>
        <w:t>根据放水涵的结构和布置特点位，涵洞过水时，根据涵洞出水口H与洞高h的关系判断，涵洞内过流为无压流。</w:t>
      </w:r>
    </w:p>
    <w:p w14:paraId="651231F6">
      <w:pPr>
        <w:bidi w:val="0"/>
      </w:pPr>
      <w:r>
        <w:rPr>
          <w:rFonts w:hint="eastAsia"/>
        </w:rPr>
        <w:t>闸室底板采用C25钢筋砼基础，厚0.4m设前后齿墙，齿深0.3m，闸室采用0.3m厚C25钢筋砼浇筑。启闭平台为C25钢筋砼结构，板厚0.15m，启闭梁高0.3m，宽0.4m。闸室后接C25钢筋砼预制涵管，下设C25砼基础，涵管两端采用C20砼包箍包裹。</w:t>
      </w:r>
    </w:p>
    <w:p w14:paraId="4D776F3F">
      <w:pPr>
        <w:pStyle w:val="31"/>
        <w:bidi w:val="0"/>
      </w:pPr>
      <w:r>
        <w:drawing>
          <wp:inline distT="0" distB="0" distL="114300" distR="114300">
            <wp:extent cx="5748655" cy="2386330"/>
            <wp:effectExtent l="0" t="0" r="4445" b="13970"/>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pic:cNvPicPr>
                  </pic:nvPicPr>
                  <pic:blipFill>
                    <a:blip r:embed="rId64"/>
                    <a:stretch>
                      <a:fillRect/>
                    </a:stretch>
                  </pic:blipFill>
                  <pic:spPr>
                    <a:xfrm>
                      <a:off x="0" y="0"/>
                      <a:ext cx="5748655" cy="2386330"/>
                    </a:xfrm>
                    <a:prstGeom prst="rect">
                      <a:avLst/>
                    </a:prstGeom>
                    <a:noFill/>
                    <a:ln>
                      <a:noFill/>
                    </a:ln>
                  </pic:spPr>
                </pic:pic>
              </a:graphicData>
            </a:graphic>
          </wp:inline>
        </w:drawing>
      </w:r>
    </w:p>
    <w:p w14:paraId="7698B914">
      <w:pPr>
        <w:pStyle w:val="30"/>
        <w:bidi w:val="0"/>
        <w:rPr>
          <w:rFonts w:hint="default" w:eastAsia="宋体"/>
          <w:lang w:val="en-US" w:eastAsia="zh-CN"/>
        </w:rPr>
      </w:pPr>
      <w:r>
        <w:rPr>
          <w:rFonts w:hint="eastAsia"/>
        </w:rPr>
        <w:t>图2</w:t>
      </w:r>
      <w:r>
        <w:rPr>
          <w:rFonts w:hint="eastAsia"/>
          <w:lang w:val="en-US" w:eastAsia="zh-CN"/>
        </w:rPr>
        <w:t>.</w:t>
      </w:r>
      <w:r>
        <w:rPr>
          <w:rFonts w:hint="eastAsia"/>
        </w:rPr>
        <w:t xml:space="preserve">3-5  </w:t>
      </w:r>
      <w:r>
        <w:rPr>
          <w:rFonts w:hint="eastAsia"/>
          <w:lang w:val="en-US" w:eastAsia="zh-CN"/>
        </w:rPr>
        <w:t>φ300放水涵典型图纵剖面图</w:t>
      </w:r>
    </w:p>
    <w:p w14:paraId="7CE87C26">
      <w:pPr>
        <w:bidi w:val="0"/>
        <w:rPr>
          <w:b/>
          <w:bCs/>
        </w:rPr>
      </w:pPr>
      <w:r>
        <w:rPr>
          <w:rFonts w:hint="eastAsia"/>
          <w:b/>
          <w:bCs/>
          <w:lang w:eastAsia="zh-CN"/>
        </w:rPr>
        <w:t>（</w:t>
      </w:r>
      <w:r>
        <w:rPr>
          <w:rFonts w:hint="eastAsia"/>
          <w:b/>
          <w:bCs/>
          <w:lang w:val="en-US" w:eastAsia="zh-CN"/>
        </w:rPr>
        <w:t>3</w:t>
      </w:r>
      <w:r>
        <w:rPr>
          <w:rFonts w:hint="eastAsia"/>
          <w:b/>
          <w:bCs/>
          <w:lang w:eastAsia="zh-CN"/>
        </w:rPr>
        <w:t>）</w:t>
      </w:r>
      <w:r>
        <w:rPr>
          <w:rFonts w:hint="eastAsia"/>
          <w:b/>
          <w:bCs/>
        </w:rPr>
        <w:t>渡槽工程</w:t>
      </w:r>
    </w:p>
    <w:p w14:paraId="112E8557">
      <w:pPr>
        <w:bidi w:val="0"/>
      </w:pPr>
      <w:r>
        <w:rPr>
          <w:rFonts w:hint="eastAsia"/>
        </w:rPr>
        <w:t>本次拆除重建渡槽1座。渡槽跨二东干渠，渡槽总跨径12m，共2跨。渡槽为C25钢筋砼矩形槽，净深0.5m，净宽0.5m，侧墙厚0.2m，底板厚0.2m，底板两侧设置0.25m宽，0.27m高矩形梁。渡槽中墩为C25钢筋砼结构，1#中墩净高2.19m，基础为独立扩散台阶式，厚0.25m。</w:t>
      </w:r>
    </w:p>
    <w:p w14:paraId="7849842D">
      <w:pPr>
        <w:pStyle w:val="31"/>
        <w:bidi w:val="0"/>
      </w:pPr>
      <w:r>
        <w:drawing>
          <wp:inline distT="0" distB="0" distL="114300" distR="114300">
            <wp:extent cx="5747385" cy="1710690"/>
            <wp:effectExtent l="0" t="0" r="5715" b="381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65"/>
                    <a:stretch>
                      <a:fillRect/>
                    </a:stretch>
                  </pic:blipFill>
                  <pic:spPr>
                    <a:xfrm>
                      <a:off x="0" y="0"/>
                      <a:ext cx="5747385" cy="1710690"/>
                    </a:xfrm>
                    <a:prstGeom prst="rect">
                      <a:avLst/>
                    </a:prstGeom>
                    <a:noFill/>
                    <a:ln>
                      <a:noFill/>
                    </a:ln>
                  </pic:spPr>
                </pic:pic>
              </a:graphicData>
            </a:graphic>
          </wp:inline>
        </w:drawing>
      </w:r>
    </w:p>
    <w:p w14:paraId="594B4F09">
      <w:pPr>
        <w:pStyle w:val="30"/>
        <w:bidi w:val="0"/>
      </w:pPr>
      <w:r>
        <w:rPr>
          <w:rFonts w:hint="eastAsia"/>
        </w:rPr>
        <w:t>图2</w:t>
      </w:r>
      <w:r>
        <w:rPr>
          <w:rFonts w:hint="eastAsia"/>
          <w:lang w:val="en-US" w:eastAsia="zh-CN"/>
        </w:rPr>
        <w:t>.</w:t>
      </w:r>
      <w:r>
        <w:rPr>
          <w:rFonts w:hint="eastAsia"/>
        </w:rPr>
        <w:t>3-6  渡槽平面布置示意图</w:t>
      </w:r>
    </w:p>
    <w:p w14:paraId="042CE3FE">
      <w:pPr>
        <w:bidi w:val="0"/>
        <w:rPr>
          <w:rFonts w:hint="default"/>
          <w:b/>
          <w:bCs/>
          <w:lang w:val="en-US" w:eastAsia="zh-CN"/>
        </w:rPr>
      </w:pPr>
      <w:r>
        <w:rPr>
          <w:rFonts w:hint="eastAsia"/>
          <w:b/>
          <w:bCs/>
          <w:lang w:val="en-US" w:eastAsia="zh-CN"/>
        </w:rPr>
        <w:t>（4）箱涵工程</w:t>
      </w:r>
    </w:p>
    <w:p w14:paraId="50A8ACA2">
      <w:pPr>
        <w:bidi w:val="0"/>
        <w:rPr>
          <w:rFonts w:hint="eastAsia"/>
        </w:rPr>
      </w:pPr>
      <w:r>
        <w:rPr>
          <w:rFonts w:hint="eastAsia"/>
        </w:rPr>
        <w:t>本次工程共涉及拆除重建箱涵2座，均位于染坊支渠。</w:t>
      </w:r>
    </w:p>
    <w:p w14:paraId="6220763A">
      <w:pPr>
        <w:bidi w:val="0"/>
        <w:rPr>
          <w:rFonts w:hint="eastAsia"/>
        </w:rPr>
      </w:pPr>
      <w:r>
        <w:rPr>
          <w:rFonts w:hint="eastAsia"/>
        </w:rPr>
        <w:t>1#箱涵：拆除重建箱涵涵身厚0.4m，C25钢筋砼结构，涵身底板下设0.1m厚C15素砼垫层，箱涵总长10m，共分2节，长5m，涵身分缝处设置止水。进出口直接与现状渠道连接。</w:t>
      </w:r>
    </w:p>
    <w:p w14:paraId="692F1385">
      <w:pPr>
        <w:bidi w:val="0"/>
      </w:pPr>
      <w:r>
        <w:rPr>
          <w:rFonts w:hint="eastAsia"/>
        </w:rPr>
        <w:t>2#箱涵：拆除重建箱涵涵身厚0.4m，C25钢筋砼结构，涵身底板下设0.1m厚C15素砼垫层，箱涵总长20m，共分2节，长10m，涵身分缝处设置止水。进出口段设置C20砼一字墙与现状渠道连接，墙高3.4m，宽0.5m，北坡1:0.4，挡墙基础厚0.5m。</w:t>
      </w:r>
    </w:p>
    <w:p w14:paraId="2D65A98C">
      <w:pPr>
        <w:pStyle w:val="31"/>
        <w:bidi w:val="0"/>
      </w:pPr>
      <w:r>
        <w:drawing>
          <wp:inline distT="0" distB="0" distL="114300" distR="114300">
            <wp:extent cx="5387340" cy="5923280"/>
            <wp:effectExtent l="0" t="0" r="3810" b="127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66"/>
                    <a:stretch>
                      <a:fillRect/>
                    </a:stretch>
                  </pic:blipFill>
                  <pic:spPr>
                    <a:xfrm>
                      <a:off x="0" y="0"/>
                      <a:ext cx="5387340" cy="5923280"/>
                    </a:xfrm>
                    <a:prstGeom prst="rect">
                      <a:avLst/>
                    </a:prstGeom>
                    <a:noFill/>
                    <a:ln>
                      <a:noFill/>
                    </a:ln>
                  </pic:spPr>
                </pic:pic>
              </a:graphicData>
            </a:graphic>
          </wp:inline>
        </w:drawing>
      </w:r>
    </w:p>
    <w:p w14:paraId="5E28B68E">
      <w:pPr>
        <w:pStyle w:val="30"/>
        <w:bidi w:val="0"/>
      </w:pPr>
      <w:r>
        <w:rPr>
          <w:rFonts w:hint="eastAsia"/>
        </w:rPr>
        <w:t xml:space="preserve">图2-3-7  </w:t>
      </w:r>
      <w:r>
        <w:rPr>
          <w:rFonts w:hint="eastAsia"/>
          <w:lang w:val="en-US" w:eastAsia="zh-CN"/>
        </w:rPr>
        <w:t>1#箱涵</w:t>
      </w:r>
      <w:r>
        <w:rPr>
          <w:rFonts w:hint="eastAsia"/>
        </w:rPr>
        <w:t>布置示意图</w:t>
      </w:r>
    </w:p>
    <w:p w14:paraId="547590DF">
      <w:pPr>
        <w:pStyle w:val="31"/>
        <w:bidi w:val="0"/>
      </w:pPr>
      <w:r>
        <w:drawing>
          <wp:inline distT="0" distB="0" distL="114300" distR="114300">
            <wp:extent cx="5120005" cy="4309745"/>
            <wp:effectExtent l="0" t="0" r="4445" b="14605"/>
            <wp:docPr id="2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6"/>
                    <pic:cNvPicPr>
                      <a:picLocks noChangeAspect="1"/>
                    </pic:cNvPicPr>
                  </pic:nvPicPr>
                  <pic:blipFill>
                    <a:blip r:embed="rId67"/>
                    <a:stretch>
                      <a:fillRect/>
                    </a:stretch>
                  </pic:blipFill>
                  <pic:spPr>
                    <a:xfrm>
                      <a:off x="0" y="0"/>
                      <a:ext cx="5120005" cy="4309745"/>
                    </a:xfrm>
                    <a:prstGeom prst="rect">
                      <a:avLst/>
                    </a:prstGeom>
                    <a:noFill/>
                    <a:ln>
                      <a:noFill/>
                    </a:ln>
                  </pic:spPr>
                </pic:pic>
              </a:graphicData>
            </a:graphic>
          </wp:inline>
        </w:drawing>
      </w:r>
    </w:p>
    <w:p w14:paraId="5B37FD8B">
      <w:pPr>
        <w:pStyle w:val="30"/>
        <w:bidi w:val="0"/>
      </w:pPr>
      <w:r>
        <w:rPr>
          <w:rFonts w:hint="eastAsia"/>
        </w:rPr>
        <w:t>图2</w:t>
      </w:r>
      <w:r>
        <w:rPr>
          <w:rFonts w:hint="eastAsia"/>
          <w:lang w:val="en-US" w:eastAsia="zh-CN"/>
        </w:rPr>
        <w:t>.</w:t>
      </w:r>
      <w:r>
        <w:rPr>
          <w:rFonts w:hint="eastAsia"/>
        </w:rPr>
        <w:t xml:space="preserve">3-8  </w:t>
      </w:r>
      <w:r>
        <w:rPr>
          <w:rFonts w:hint="eastAsia"/>
          <w:lang w:val="en-US" w:eastAsia="zh-CN"/>
        </w:rPr>
        <w:t>2#箱涵</w:t>
      </w:r>
      <w:r>
        <w:rPr>
          <w:rFonts w:hint="eastAsia"/>
        </w:rPr>
        <w:t>布置示意图</w:t>
      </w:r>
    </w:p>
    <w:p w14:paraId="1B49E82A">
      <w:pPr>
        <w:bidi w:val="0"/>
        <w:rPr>
          <w:b/>
          <w:bCs/>
        </w:rPr>
      </w:pPr>
      <w:r>
        <w:rPr>
          <w:rFonts w:hint="eastAsia"/>
          <w:b/>
          <w:bCs/>
          <w:lang w:eastAsia="zh-CN"/>
        </w:rPr>
        <w:t>（</w:t>
      </w:r>
      <w:r>
        <w:rPr>
          <w:rFonts w:hint="eastAsia"/>
          <w:b/>
          <w:bCs/>
          <w:lang w:val="en-US" w:eastAsia="zh-CN"/>
        </w:rPr>
        <w:t>5</w:t>
      </w:r>
      <w:r>
        <w:rPr>
          <w:rFonts w:hint="eastAsia"/>
          <w:b/>
          <w:bCs/>
          <w:lang w:eastAsia="zh-CN"/>
        </w:rPr>
        <w:t>）</w:t>
      </w:r>
      <w:r>
        <w:rPr>
          <w:rFonts w:hint="eastAsia"/>
          <w:b/>
          <w:bCs/>
        </w:rPr>
        <w:t>机耕桥工程</w:t>
      </w:r>
    </w:p>
    <w:p w14:paraId="7F58EDBF">
      <w:pPr>
        <w:bidi w:val="0"/>
      </w:pPr>
      <w:r>
        <w:rPr>
          <w:rFonts w:hint="eastAsia"/>
        </w:rPr>
        <w:t>拆除重建机耕桥13座</w:t>
      </w:r>
      <w:r>
        <w:rPr>
          <w:rFonts w:hint="eastAsia"/>
          <w:lang w:eastAsia="zh-CN"/>
        </w:rPr>
        <w:t>；</w:t>
      </w:r>
      <w:r>
        <w:rPr>
          <w:rFonts w:hint="eastAsia"/>
          <w:lang w:val="en-US" w:eastAsia="zh-CN"/>
        </w:rPr>
        <w:t>一东干渠上机耕桥4座（1#~4#），二东干渠上机耕桥6座（1#~6#，6#桥渡槽一体），二北干渠上机耕桥1座（1#），染坊支渠上机耕桥2座（1#~2#）；</w:t>
      </w:r>
    </w:p>
    <w:p w14:paraId="5C7A1402">
      <w:pPr>
        <w:pStyle w:val="31"/>
        <w:bidi w:val="0"/>
      </w:pPr>
      <w:r>
        <w:drawing>
          <wp:inline distT="0" distB="0" distL="114300" distR="114300">
            <wp:extent cx="5712460" cy="4775200"/>
            <wp:effectExtent l="0" t="0" r="2540" b="6350"/>
            <wp:docPr id="2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7"/>
                    <pic:cNvPicPr>
                      <a:picLocks noChangeAspect="1"/>
                    </pic:cNvPicPr>
                  </pic:nvPicPr>
                  <pic:blipFill>
                    <a:blip r:embed="rId68"/>
                    <a:stretch>
                      <a:fillRect/>
                    </a:stretch>
                  </pic:blipFill>
                  <pic:spPr>
                    <a:xfrm>
                      <a:off x="0" y="0"/>
                      <a:ext cx="5712460" cy="4775200"/>
                    </a:xfrm>
                    <a:prstGeom prst="rect">
                      <a:avLst/>
                    </a:prstGeom>
                    <a:noFill/>
                    <a:ln>
                      <a:noFill/>
                    </a:ln>
                  </pic:spPr>
                </pic:pic>
              </a:graphicData>
            </a:graphic>
          </wp:inline>
        </w:drawing>
      </w:r>
    </w:p>
    <w:p w14:paraId="49A93EE6">
      <w:pPr>
        <w:pStyle w:val="30"/>
        <w:bidi w:val="0"/>
        <w:rPr>
          <w:rFonts w:hint="default"/>
          <w:lang w:val="en-US" w:eastAsia="zh-CN"/>
        </w:rPr>
      </w:pPr>
      <w:r>
        <w:rPr>
          <w:rFonts w:hint="eastAsia"/>
          <w:lang w:val="en-US" w:eastAsia="zh-CN"/>
        </w:rPr>
        <w:t>图2.3-9  二东干渠6#机耕桥布置示意图</w:t>
      </w:r>
    </w:p>
    <w:p w14:paraId="15E7A8C9">
      <w:pPr>
        <w:pStyle w:val="31"/>
        <w:bidi w:val="0"/>
      </w:pPr>
      <w:r>
        <w:drawing>
          <wp:inline distT="0" distB="0" distL="114300" distR="114300">
            <wp:extent cx="5706745" cy="5044440"/>
            <wp:effectExtent l="0" t="0" r="8255" b="3810"/>
            <wp:docPr id="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8"/>
                    <pic:cNvPicPr>
                      <a:picLocks noChangeAspect="1"/>
                    </pic:cNvPicPr>
                  </pic:nvPicPr>
                  <pic:blipFill>
                    <a:blip r:embed="rId69"/>
                    <a:stretch>
                      <a:fillRect/>
                    </a:stretch>
                  </pic:blipFill>
                  <pic:spPr>
                    <a:xfrm>
                      <a:off x="0" y="0"/>
                      <a:ext cx="5706745" cy="5044440"/>
                    </a:xfrm>
                    <a:prstGeom prst="rect">
                      <a:avLst/>
                    </a:prstGeom>
                    <a:noFill/>
                    <a:ln>
                      <a:noFill/>
                    </a:ln>
                  </pic:spPr>
                </pic:pic>
              </a:graphicData>
            </a:graphic>
          </wp:inline>
        </w:drawing>
      </w:r>
    </w:p>
    <w:p w14:paraId="100CCF8C">
      <w:pPr>
        <w:pStyle w:val="30"/>
        <w:bidi w:val="0"/>
        <w:rPr>
          <w:rFonts w:hint="default"/>
          <w:lang w:val="en-US" w:eastAsia="zh-CN"/>
        </w:rPr>
      </w:pPr>
      <w:r>
        <w:rPr>
          <w:rFonts w:hint="eastAsia"/>
          <w:lang w:val="en-US" w:eastAsia="zh-CN"/>
        </w:rPr>
        <w:t>图2.3-10  双跨机耕桥布置示意图</w:t>
      </w:r>
    </w:p>
    <w:p w14:paraId="5C7C6D15">
      <w:pPr>
        <w:pStyle w:val="31"/>
        <w:bidi w:val="0"/>
      </w:pPr>
      <w:r>
        <w:drawing>
          <wp:inline distT="0" distB="0" distL="114300" distR="114300">
            <wp:extent cx="5657215" cy="5806440"/>
            <wp:effectExtent l="0" t="0" r="635" b="3810"/>
            <wp:docPr id="2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9"/>
                    <pic:cNvPicPr>
                      <a:picLocks noChangeAspect="1"/>
                    </pic:cNvPicPr>
                  </pic:nvPicPr>
                  <pic:blipFill>
                    <a:blip r:embed="rId70"/>
                    <a:stretch>
                      <a:fillRect/>
                    </a:stretch>
                  </pic:blipFill>
                  <pic:spPr>
                    <a:xfrm>
                      <a:off x="0" y="0"/>
                      <a:ext cx="5657215" cy="5806440"/>
                    </a:xfrm>
                    <a:prstGeom prst="rect">
                      <a:avLst/>
                    </a:prstGeom>
                    <a:noFill/>
                    <a:ln>
                      <a:noFill/>
                    </a:ln>
                  </pic:spPr>
                </pic:pic>
              </a:graphicData>
            </a:graphic>
          </wp:inline>
        </w:drawing>
      </w:r>
    </w:p>
    <w:p w14:paraId="418402E3">
      <w:pPr>
        <w:pStyle w:val="30"/>
        <w:bidi w:val="0"/>
      </w:pPr>
      <w:r>
        <w:t>图</w:t>
      </w:r>
      <w:r>
        <w:rPr>
          <w:rFonts w:hint="eastAsia"/>
        </w:rPr>
        <w:t>2</w:t>
      </w:r>
      <w:r>
        <w:rPr>
          <w:rFonts w:hint="eastAsia"/>
          <w:lang w:val="en-US" w:eastAsia="zh-CN"/>
        </w:rPr>
        <w:t>.</w:t>
      </w:r>
      <w:r>
        <w:t>3-</w:t>
      </w:r>
      <w:r>
        <w:rPr>
          <w:rFonts w:hint="eastAsia"/>
        </w:rPr>
        <w:t>1</w:t>
      </w:r>
      <w:r>
        <w:rPr>
          <w:rFonts w:hint="eastAsia"/>
          <w:lang w:val="en-US" w:eastAsia="zh-CN"/>
        </w:rPr>
        <w:t>1</w:t>
      </w:r>
      <w:r>
        <w:t xml:space="preserve">  </w:t>
      </w:r>
      <w:r>
        <w:rPr>
          <w:rFonts w:hint="eastAsia"/>
          <w:lang w:val="en-US" w:eastAsia="zh-CN"/>
        </w:rPr>
        <w:t>单跨机耕桥布置示意图</w:t>
      </w:r>
    </w:p>
    <w:p w14:paraId="45AA0E22">
      <w:pPr>
        <w:rPr>
          <w:color w:val="0000FF"/>
        </w:rPr>
      </w:pPr>
    </w:p>
    <w:p w14:paraId="2AAE4C67">
      <w:pPr>
        <w:rPr>
          <w:color w:val="0000FF"/>
        </w:rPr>
        <w:sectPr>
          <w:footerReference r:id="rId17" w:type="default"/>
          <w:pgSz w:w="11905" w:h="16838"/>
          <w:pgMar w:top="1417" w:right="1417" w:bottom="1417" w:left="1417" w:header="850" w:footer="850" w:gutter="0"/>
          <w:pgNumType w:fmt="decimal"/>
          <w:cols w:space="0" w:num="1"/>
          <w:rtlGutter w:val="0"/>
          <w:docGrid w:linePitch="326" w:charSpace="0"/>
        </w:sectPr>
      </w:pPr>
    </w:p>
    <w:p w14:paraId="34D06CFA">
      <w:pPr>
        <w:pStyle w:val="5"/>
        <w:bidi w:val="0"/>
      </w:pPr>
      <w:r>
        <w:rPr>
          <w:rFonts w:hint="eastAsia"/>
        </w:rPr>
        <w:t>2.3</w:t>
      </w:r>
      <w:r>
        <w:t>.</w:t>
      </w:r>
      <w:r>
        <w:rPr>
          <w:rFonts w:hint="eastAsia"/>
          <w:lang w:val="en-US" w:eastAsia="zh-CN"/>
        </w:rPr>
        <w:t>4</w:t>
      </w:r>
      <w:r>
        <w:t>.</w:t>
      </w:r>
      <w:r>
        <w:rPr>
          <w:rFonts w:hint="eastAsia"/>
        </w:rPr>
        <w:t>3</w:t>
      </w:r>
      <w:r>
        <w:rPr>
          <w:rFonts w:hint="eastAsia"/>
          <w:lang w:val="en-US" w:eastAsia="zh-CN"/>
        </w:rPr>
        <w:t xml:space="preserve"> </w:t>
      </w:r>
      <w:r>
        <w:t>管理设施</w:t>
      </w:r>
    </w:p>
    <w:p w14:paraId="2544CEA7">
      <w:pPr>
        <w:bidi w:val="0"/>
      </w:pPr>
      <w:r>
        <w:rPr>
          <w:lang w:val="en-US" w:eastAsia="zh-CN"/>
        </w:rPr>
        <w:t>（1）朱集一站管理区建设及绿化工程</w:t>
      </w:r>
    </w:p>
    <w:p w14:paraId="48A4C912">
      <w:pPr>
        <w:bidi w:val="0"/>
        <w:rPr>
          <w:rFonts w:hint="default"/>
          <w:lang w:val="en-US" w:eastAsia="zh-CN"/>
        </w:rPr>
      </w:pPr>
      <w:r>
        <w:rPr>
          <w:rFonts w:hint="default"/>
          <w:lang w:val="en-US" w:eastAsia="zh-CN"/>
        </w:rPr>
        <w:t>改造主副厂房（476.8m</w:t>
      </w:r>
      <w:r>
        <w:rPr>
          <w:rFonts w:hint="default"/>
          <w:vertAlign w:val="superscript"/>
          <w:lang w:val="en-US" w:eastAsia="zh-CN"/>
        </w:rPr>
        <w:t>2</w:t>
      </w:r>
      <w:r>
        <w:rPr>
          <w:rFonts w:hint="default"/>
          <w:lang w:val="en-US" w:eastAsia="zh-CN"/>
        </w:rPr>
        <w:t>）：主要有室、内外工程设计；</w:t>
      </w:r>
    </w:p>
    <w:p w14:paraId="15378051">
      <w:pPr>
        <w:bidi w:val="0"/>
        <w:rPr>
          <w:rFonts w:hint="default"/>
          <w:lang w:val="en-US" w:eastAsia="zh-CN"/>
        </w:rPr>
      </w:pPr>
      <w:r>
        <w:rPr>
          <w:rFonts w:hint="default"/>
          <w:lang w:val="en-US" w:eastAsia="zh-CN"/>
        </w:rPr>
        <w:t>室外工程主要有：新建345m铁艺围墙，5m宽铁艺镂空平开钢大门一扇；主厂房入口处桥面面层新建120mm厚C40素砼面层50m</w:t>
      </w:r>
      <w:r>
        <w:rPr>
          <w:rFonts w:hint="default"/>
          <w:vertAlign w:val="superscript"/>
          <w:lang w:val="en-US" w:eastAsia="zh-CN"/>
        </w:rPr>
        <w:t>2</w:t>
      </w:r>
      <w:r>
        <w:rPr>
          <w:rFonts w:hint="default"/>
          <w:lang w:val="en-US" w:eastAsia="zh-CN"/>
        </w:rPr>
        <w:t>；60m室外防护栏杆拆除重建仿石栏杆；新建外墙真石漆1500m</w:t>
      </w:r>
      <w:r>
        <w:rPr>
          <w:rFonts w:hint="default"/>
          <w:vertAlign w:val="superscript"/>
          <w:lang w:val="en-US" w:eastAsia="zh-CN"/>
        </w:rPr>
        <w:t>2</w:t>
      </w:r>
      <w:r>
        <w:rPr>
          <w:rFonts w:hint="default"/>
          <w:lang w:val="en-US" w:eastAsia="zh-CN"/>
        </w:rPr>
        <w:t>（含基层及防水工程）；新建主、副厂房钢结构坡屋面500m</w:t>
      </w:r>
      <w:r>
        <w:rPr>
          <w:rFonts w:hint="default"/>
          <w:vertAlign w:val="superscript"/>
          <w:lang w:val="en-US" w:eastAsia="zh-CN"/>
        </w:rPr>
        <w:t>2</w:t>
      </w:r>
      <w:r>
        <w:rPr>
          <w:rFonts w:hint="default"/>
          <w:lang w:val="en-US" w:eastAsia="zh-CN"/>
        </w:rPr>
        <w:t>；新建主厂房钢结构雨棚2个；</w:t>
      </w:r>
    </w:p>
    <w:p w14:paraId="5C68E8D3">
      <w:pPr>
        <w:bidi w:val="0"/>
      </w:pPr>
      <w:r>
        <w:rPr>
          <w:rFonts w:hint="default"/>
          <w:lang w:val="en-US" w:eastAsia="zh-CN"/>
        </w:rPr>
        <w:t>室内工程主要有：主厂房地面新建环氧自流平饰面300m</w:t>
      </w:r>
      <w:r>
        <w:rPr>
          <w:rFonts w:hint="default"/>
          <w:vertAlign w:val="superscript"/>
          <w:lang w:val="en-US" w:eastAsia="zh-CN"/>
        </w:rPr>
        <w:t>2</w:t>
      </w:r>
      <w:r>
        <w:rPr>
          <w:rFonts w:hint="default"/>
          <w:lang w:val="en-US" w:eastAsia="zh-CN"/>
        </w:rPr>
        <w:t>；主副厂房室内墙面、顶棚拆除重建白色无机涂料1400m</w:t>
      </w:r>
      <w:r>
        <w:rPr>
          <w:rFonts w:hint="default"/>
          <w:vertAlign w:val="superscript"/>
          <w:lang w:val="en-US" w:eastAsia="zh-CN"/>
        </w:rPr>
        <w:t>2</w:t>
      </w:r>
      <w:r>
        <w:rPr>
          <w:rFonts w:hint="default"/>
          <w:lang w:val="en-US" w:eastAsia="zh-CN"/>
        </w:rPr>
        <w:t>；室内标示标牌、划线等标准化工程一项。</w:t>
      </w:r>
    </w:p>
    <w:p w14:paraId="6AB06F2C">
      <w:pPr>
        <w:bidi w:val="0"/>
      </w:pPr>
      <w:r>
        <w:rPr>
          <w:rFonts w:hint="default"/>
          <w:lang w:val="en-US" w:eastAsia="zh-CN"/>
        </w:rPr>
        <w:t>新建管理房174.4m</w:t>
      </w:r>
      <w:r>
        <w:rPr>
          <w:rFonts w:hint="default"/>
          <w:vertAlign w:val="superscript"/>
          <w:lang w:val="en-US" w:eastAsia="zh-CN"/>
        </w:rPr>
        <w:t>2</w:t>
      </w:r>
      <w:r>
        <w:rPr>
          <w:rFonts w:hint="default"/>
          <w:lang w:val="en-US" w:eastAsia="zh-CN"/>
        </w:rPr>
        <w:t>框架结构，地上一层，长21.8m，宽8m，室内外高差300mm，一层层高3.9m，坡屋面1.2m，室外灰色屋面瓦，大面积墙面为真石漆墙面，颜色为青灰色、浅灰色。室外新建220m</w:t>
      </w:r>
      <w:r>
        <w:rPr>
          <w:rFonts w:hint="default"/>
          <w:vertAlign w:val="superscript"/>
          <w:lang w:val="en-US" w:eastAsia="zh-CN"/>
        </w:rPr>
        <w:t>2</w:t>
      </w:r>
      <w:r>
        <w:rPr>
          <w:rFonts w:hint="default"/>
          <w:lang w:val="en-US" w:eastAsia="zh-CN"/>
        </w:rPr>
        <w:t>砼路面。</w:t>
      </w:r>
    </w:p>
    <w:p w14:paraId="36E5B59F">
      <w:pPr>
        <w:bidi w:val="0"/>
      </w:pPr>
      <w:r>
        <w:rPr>
          <w:rFonts w:hint="default"/>
          <w:lang w:val="en-US" w:eastAsia="zh-CN"/>
        </w:rPr>
        <w:t>朱集一站道路两侧种植行道树，树池围合，站内植物进行提升，沿路种植绿篱，规划休闲游园，用曲线步道连接，大树采用树池围合，节点处种植草花。</w:t>
      </w:r>
    </w:p>
    <w:p w14:paraId="437F074F">
      <w:pPr>
        <w:bidi w:val="0"/>
      </w:pPr>
      <w:r>
        <w:rPr>
          <w:rFonts w:hint="default"/>
          <w:lang w:val="en-US" w:eastAsia="zh-CN"/>
        </w:rPr>
        <w:t>（2）朱集二站管理区建设、朱集管理所管理区建设及绿化工程</w:t>
      </w:r>
    </w:p>
    <w:p w14:paraId="6F79A9C9">
      <w:pPr>
        <w:bidi w:val="0"/>
        <w:rPr>
          <w:rFonts w:hint="default"/>
          <w:lang w:val="en-US" w:eastAsia="zh-CN"/>
        </w:rPr>
      </w:pPr>
      <w:r>
        <w:rPr>
          <w:rFonts w:hint="default"/>
          <w:lang w:val="en-US" w:eastAsia="zh-CN"/>
        </w:rPr>
        <w:t>改造主副厂房（593m</w:t>
      </w:r>
      <w:r>
        <w:rPr>
          <w:rFonts w:hint="default"/>
          <w:vertAlign w:val="superscript"/>
          <w:lang w:val="en-US" w:eastAsia="zh-CN"/>
        </w:rPr>
        <w:t>2</w:t>
      </w:r>
      <w:r>
        <w:rPr>
          <w:rFonts w:hint="default"/>
          <w:lang w:val="en-US" w:eastAsia="zh-CN"/>
        </w:rPr>
        <w:t>）：主要有室、内外工程设计；</w:t>
      </w:r>
    </w:p>
    <w:p w14:paraId="73DECA6D">
      <w:pPr>
        <w:bidi w:val="0"/>
        <w:rPr>
          <w:rFonts w:hint="default"/>
          <w:lang w:val="en-US" w:eastAsia="zh-CN"/>
        </w:rPr>
      </w:pPr>
      <w:r>
        <w:rPr>
          <w:rFonts w:hint="default"/>
          <w:lang w:val="en-US" w:eastAsia="zh-CN"/>
        </w:rPr>
        <w:t>室外工程主要有：新建外墙真石漆900m</w:t>
      </w:r>
      <w:r>
        <w:rPr>
          <w:rFonts w:hint="default"/>
          <w:vertAlign w:val="superscript"/>
          <w:lang w:val="en-US" w:eastAsia="zh-CN"/>
        </w:rPr>
        <w:t>2</w:t>
      </w:r>
      <w:r>
        <w:rPr>
          <w:rFonts w:hint="default"/>
          <w:lang w:val="en-US" w:eastAsia="zh-CN"/>
        </w:rPr>
        <w:t>（含基层及防水工程）；新建主厂房钢结构雨棚3个；新建主厂房钢结构坡屋面100m</w:t>
      </w:r>
      <w:r>
        <w:rPr>
          <w:rFonts w:hint="default"/>
          <w:vertAlign w:val="superscript"/>
          <w:lang w:val="en-US" w:eastAsia="zh-CN"/>
        </w:rPr>
        <w:t>2</w:t>
      </w:r>
      <w:r>
        <w:rPr>
          <w:rFonts w:hint="default"/>
          <w:lang w:val="en-US" w:eastAsia="zh-CN"/>
        </w:rPr>
        <w:t>；新建主厂房钢结构雨棚3个；室外排水沟拆除重建</w:t>
      </w:r>
      <w:r>
        <w:rPr>
          <w:lang w:val="en-US" w:eastAsia="zh-CN"/>
        </w:rPr>
        <w:t>100m；散水拆除重建100m</w:t>
      </w:r>
      <w:r>
        <w:rPr>
          <w:rFonts w:hint="default"/>
          <w:vertAlign w:val="superscript"/>
          <w:lang w:val="en-US" w:eastAsia="zh-CN"/>
        </w:rPr>
        <w:t>2</w:t>
      </w:r>
      <w:r>
        <w:rPr>
          <w:rFonts w:hint="default"/>
          <w:lang w:val="en-US" w:eastAsia="zh-CN"/>
        </w:rPr>
        <w:t>。</w:t>
      </w:r>
    </w:p>
    <w:p w14:paraId="7B05B9D2">
      <w:pPr>
        <w:bidi w:val="0"/>
      </w:pPr>
      <w:r>
        <w:rPr>
          <w:rFonts w:hint="default"/>
          <w:lang w:val="en-US" w:eastAsia="zh-CN"/>
        </w:rPr>
        <w:t>室内工程主要有：副厂房拆除重建防火钢门5樘，且外开；主副厂房室内墙面、顶棚拆除重建白色无机涂料1000m</w:t>
      </w:r>
      <w:r>
        <w:rPr>
          <w:rFonts w:hint="default"/>
          <w:vertAlign w:val="superscript"/>
          <w:lang w:val="en-US" w:eastAsia="zh-CN"/>
        </w:rPr>
        <w:t>2</w:t>
      </w:r>
      <w:r>
        <w:rPr>
          <w:rFonts w:hint="default"/>
          <w:lang w:val="en-US" w:eastAsia="zh-CN"/>
        </w:rPr>
        <w:t>；值班室新建轻钢龙骨硅钙板吊顶50m</w:t>
      </w:r>
      <w:r>
        <w:rPr>
          <w:rFonts w:hint="default"/>
          <w:vertAlign w:val="superscript"/>
          <w:lang w:val="en-US" w:eastAsia="zh-CN"/>
        </w:rPr>
        <w:t>2</w:t>
      </w:r>
      <w:r>
        <w:rPr>
          <w:rFonts w:hint="default"/>
          <w:lang w:val="en-US" w:eastAsia="zh-CN"/>
        </w:rPr>
        <w:t>；室内标示标牌、划线等标准化工程一项；拆建管理房，建筑面积：267.52m</w:t>
      </w:r>
      <w:r>
        <w:rPr>
          <w:rFonts w:hint="default"/>
          <w:vertAlign w:val="superscript"/>
          <w:lang w:val="en-US" w:eastAsia="zh-CN"/>
        </w:rPr>
        <w:t>2</w:t>
      </w:r>
      <w:r>
        <w:rPr>
          <w:rFonts w:hint="default"/>
          <w:lang w:val="en-US" w:eastAsia="zh-CN"/>
        </w:rPr>
        <w:t>，框架结构，地上一层，长35.2m，宽7.6m，室内外高差300mm，一层层高3.6m，坡屋面高1.5m，坡屋面外饰灰色屋面水泥瓦，主墙面为真石漆饰面，窗台以下墙面为面砖饰面，颜色同管理区已建管理房建筑。</w:t>
      </w:r>
    </w:p>
    <w:p w14:paraId="597EF35B">
      <w:pPr>
        <w:bidi w:val="0"/>
      </w:pPr>
      <w:r>
        <w:rPr>
          <w:rFonts w:hint="default"/>
          <w:lang w:val="en-US" w:eastAsia="zh-CN"/>
        </w:rPr>
        <w:t>朱集管理房新建沥青道路121m</w:t>
      </w:r>
      <w:r>
        <w:rPr>
          <w:rFonts w:hint="default"/>
          <w:vertAlign w:val="superscript"/>
          <w:lang w:val="en-US" w:eastAsia="zh-CN"/>
        </w:rPr>
        <w:t>2</w:t>
      </w:r>
      <w:r>
        <w:rPr>
          <w:rFonts w:hint="default"/>
          <w:lang w:val="en-US" w:eastAsia="zh-CN"/>
        </w:rPr>
        <w:t>，新建5m铁艺大门一扇，新建铁艺围墙238m，园区的绿化提升，外部道路两侧种植行道树，树池围合，规划游园，新建3m混凝土道路490m</w:t>
      </w:r>
      <w:r>
        <w:rPr>
          <w:rFonts w:hint="default"/>
          <w:vertAlign w:val="superscript"/>
          <w:lang w:val="en-US" w:eastAsia="zh-CN"/>
        </w:rPr>
        <w:t>2</w:t>
      </w:r>
      <w:r>
        <w:rPr>
          <w:rFonts w:hint="default"/>
          <w:lang w:val="en-US" w:eastAsia="zh-CN"/>
        </w:rPr>
        <w:t>，内部以汀步步道进行连接，沿沟渠边种植金丝垂柳，其他以植物种植为主。</w:t>
      </w:r>
    </w:p>
    <w:p w14:paraId="7CE5F8F6">
      <w:pPr>
        <w:bidi w:val="0"/>
      </w:pPr>
      <w:r>
        <w:rPr>
          <w:rFonts w:hint="default"/>
          <w:lang w:val="en-US" w:eastAsia="zh-CN"/>
        </w:rPr>
        <w:t>朱集二站出水池处进行绿化提升，增加汀步步道，站区新建238m铁艺围墙，更换44m仿石护栏，植物补植。</w:t>
      </w:r>
    </w:p>
    <w:p w14:paraId="3FF43D02">
      <w:pPr>
        <w:bidi w:val="0"/>
      </w:pPr>
      <w:r>
        <w:rPr>
          <w:lang w:val="en-US" w:eastAsia="zh-CN"/>
        </w:rPr>
        <w:t>（3）杨公三站管理区建设及绿化工程</w:t>
      </w:r>
    </w:p>
    <w:p w14:paraId="3907D640">
      <w:pPr>
        <w:bidi w:val="0"/>
      </w:pPr>
      <w:r>
        <w:rPr>
          <w:rFonts w:hint="default"/>
          <w:lang w:val="en-US" w:eastAsia="zh-CN"/>
        </w:rPr>
        <w:t>改造主副厂房（416m</w:t>
      </w:r>
      <w:r>
        <w:rPr>
          <w:rFonts w:hint="default"/>
          <w:vertAlign w:val="superscript"/>
          <w:lang w:val="en-US" w:eastAsia="zh-CN"/>
        </w:rPr>
        <w:t>2</w:t>
      </w:r>
      <w:r>
        <w:rPr>
          <w:rFonts w:hint="default"/>
          <w:lang w:val="en-US" w:eastAsia="zh-CN"/>
        </w:rPr>
        <w:t>）：主要有室、内外工程设计；室外工程主要有：新建外墙真石漆900m</w:t>
      </w:r>
      <w:r>
        <w:rPr>
          <w:rFonts w:hint="default"/>
          <w:vertAlign w:val="superscript"/>
          <w:lang w:val="en-US" w:eastAsia="zh-CN"/>
        </w:rPr>
        <w:t>2</w:t>
      </w:r>
      <w:r>
        <w:rPr>
          <w:rFonts w:hint="default"/>
          <w:lang w:val="en-US" w:eastAsia="zh-CN"/>
        </w:rPr>
        <w:t>（含基层及防水工程）；新建主厂房钢结构坡屋面100m</w:t>
      </w:r>
      <w:r>
        <w:rPr>
          <w:rFonts w:hint="default"/>
          <w:vertAlign w:val="superscript"/>
          <w:lang w:val="en-US" w:eastAsia="zh-CN"/>
        </w:rPr>
        <w:t>2</w:t>
      </w:r>
      <w:r>
        <w:rPr>
          <w:rFonts w:hint="default"/>
          <w:lang w:val="en-US" w:eastAsia="zh-CN"/>
        </w:rPr>
        <w:t>。室内工程主要有：主副厂房室内墙面白色无机涂料1000m</w:t>
      </w:r>
      <w:r>
        <w:rPr>
          <w:rFonts w:hint="default"/>
          <w:vertAlign w:val="superscript"/>
          <w:lang w:val="en-US" w:eastAsia="zh-CN"/>
        </w:rPr>
        <w:t>2</w:t>
      </w:r>
      <w:r>
        <w:rPr>
          <w:rFonts w:hint="default"/>
          <w:lang w:val="en-US" w:eastAsia="zh-CN"/>
        </w:rPr>
        <w:t>；室内标示标牌、划线等标准化工程一项。</w:t>
      </w:r>
    </w:p>
    <w:p w14:paraId="0A953BC6">
      <w:pPr>
        <w:bidi w:val="0"/>
      </w:pPr>
      <w:r>
        <w:rPr>
          <w:rFonts w:hint="default"/>
          <w:lang w:val="en-US" w:eastAsia="zh-CN"/>
        </w:rPr>
        <w:t>新建管理房，建筑面积174.4m</w:t>
      </w:r>
      <w:r>
        <w:rPr>
          <w:rFonts w:hint="default"/>
          <w:vertAlign w:val="superscript"/>
          <w:lang w:val="en-US" w:eastAsia="zh-CN"/>
        </w:rPr>
        <w:t>2</w:t>
      </w:r>
      <w:r>
        <w:rPr>
          <w:rFonts w:hint="default"/>
          <w:lang w:val="en-US" w:eastAsia="zh-CN"/>
        </w:rPr>
        <w:t>，框架结构，地上一层，长21.8m，宽8m，室内外高差300mm，一层层高3.9m，坡屋面1.2m，室外灰色屋面瓦，大面积墙面为真石漆墙面，颜色为青灰色、浅灰色。</w:t>
      </w:r>
    </w:p>
    <w:p w14:paraId="6CC18068">
      <w:pPr>
        <w:bidi w:val="0"/>
      </w:pPr>
      <w:r>
        <w:rPr>
          <w:rFonts w:hint="default"/>
          <w:lang w:val="en-US" w:eastAsia="zh-CN"/>
        </w:rPr>
        <w:t>杨公三站新建管理房，新建5米铁艺大门2扇，新建铁艺围墙293m，管理所砼道路及内部绿化提升。进水池南侧坍塌护坡区域进行恢复。</w:t>
      </w:r>
    </w:p>
    <w:p w14:paraId="7514F639">
      <w:pPr>
        <w:bidi w:val="0"/>
      </w:pPr>
      <w:r>
        <w:rPr>
          <w:rFonts w:hint="default"/>
          <w:lang w:val="en-US" w:eastAsia="zh-CN"/>
        </w:rPr>
        <w:t>（4）原朱集管理站屋面改造工程</w:t>
      </w:r>
    </w:p>
    <w:p w14:paraId="1EA18702">
      <w:pPr>
        <w:bidi w:val="0"/>
      </w:pPr>
      <w:r>
        <w:rPr>
          <w:rFonts w:hint="default"/>
          <w:lang w:val="en-US" w:eastAsia="zh-CN"/>
        </w:rPr>
        <w:t>已建管理房屋面漏水，本次设计考虑拆除屋面外，重新做屋面防水3道设防，面积为：400m</w:t>
      </w:r>
      <w:r>
        <w:rPr>
          <w:rFonts w:hint="default"/>
          <w:vertAlign w:val="superscript"/>
          <w:lang w:val="en-US" w:eastAsia="zh-CN"/>
        </w:rPr>
        <w:t>2</w:t>
      </w:r>
      <w:r>
        <w:rPr>
          <w:rFonts w:hint="default"/>
          <w:lang w:val="en-US" w:eastAsia="zh-CN"/>
        </w:rPr>
        <w:t>。</w:t>
      </w:r>
    </w:p>
    <w:p w14:paraId="6AF74EA8">
      <w:pPr>
        <w:bidi w:val="0"/>
      </w:pPr>
      <w:r>
        <w:rPr>
          <w:rFonts w:hint="default"/>
          <w:lang w:val="en-US" w:eastAsia="zh-CN"/>
        </w:rPr>
        <w:t>（5）三东干渠两侧绿化工程</w:t>
      </w:r>
    </w:p>
    <w:p w14:paraId="2D64503B">
      <w:pPr>
        <w:bidi w:val="0"/>
      </w:pPr>
      <w:r>
        <w:rPr>
          <w:rFonts w:hint="default"/>
          <w:lang w:val="en-US" w:eastAsia="zh-CN"/>
        </w:rPr>
        <w:t>三东干渠2950m两侧种植植物花卉，进行绿化提升。</w:t>
      </w:r>
    </w:p>
    <w:p w14:paraId="153285F4">
      <w:pPr>
        <w:bidi w:val="0"/>
      </w:pPr>
    </w:p>
    <w:p w14:paraId="09FF6E9D">
      <w:pPr>
        <w:pStyle w:val="3"/>
        <w:rPr>
          <w:rFonts w:cs="Times New Roman"/>
          <w:color w:val="0000FF"/>
        </w:rPr>
        <w:sectPr>
          <w:footerReference r:id="rId18" w:type="default"/>
          <w:pgSz w:w="11905" w:h="16838"/>
          <w:pgMar w:top="1417" w:right="1417" w:bottom="1417" w:left="1417" w:header="850" w:footer="850" w:gutter="0"/>
          <w:pgNumType w:fmt="decimal"/>
          <w:cols w:space="0" w:num="1"/>
          <w:rtlGutter w:val="0"/>
          <w:docGrid w:linePitch="326" w:charSpace="0"/>
        </w:sectPr>
      </w:pPr>
    </w:p>
    <w:p w14:paraId="3B3353B3">
      <w:pPr>
        <w:pStyle w:val="3"/>
        <w:bidi w:val="0"/>
      </w:pPr>
      <w:bookmarkStart w:id="29" w:name="_Toc27369"/>
      <w:r>
        <w:t>2.</w:t>
      </w:r>
      <w:r>
        <w:rPr>
          <w:rFonts w:hint="eastAsia"/>
        </w:rPr>
        <w:t>4</w:t>
      </w:r>
      <w:r>
        <w:rPr>
          <w:rFonts w:hint="eastAsia"/>
          <w:lang w:val="en-US" w:eastAsia="zh-CN"/>
        </w:rPr>
        <w:t xml:space="preserve"> </w:t>
      </w:r>
      <w:r>
        <w:t>工程施工布置及进度</w:t>
      </w:r>
      <w:bookmarkEnd w:id="29"/>
    </w:p>
    <w:p w14:paraId="4DD3E2E9">
      <w:pPr>
        <w:pStyle w:val="4"/>
        <w:bidi w:val="0"/>
      </w:pPr>
      <w:r>
        <w:t>2.</w:t>
      </w:r>
      <w:r>
        <w:rPr>
          <w:rFonts w:hint="eastAsia"/>
        </w:rPr>
        <w:t>4</w:t>
      </w:r>
      <w:r>
        <w:t>.1</w:t>
      </w:r>
      <w:r>
        <w:rPr>
          <w:rFonts w:hint="eastAsia"/>
          <w:lang w:val="en-US" w:eastAsia="zh-CN"/>
        </w:rPr>
        <w:t xml:space="preserve"> </w:t>
      </w:r>
      <w:r>
        <w:t>施工条件</w:t>
      </w:r>
    </w:p>
    <w:p w14:paraId="2A16501D">
      <w:pPr>
        <w:ind w:firstLine="480"/>
        <w:rPr>
          <w:rFonts w:cs="Times New Roman"/>
          <w:b/>
          <w:bCs/>
          <w:color w:val="0000FF"/>
        </w:rPr>
      </w:pPr>
      <w:r>
        <w:rPr>
          <w:rFonts w:cs="Times New Roman"/>
          <w:b/>
          <w:bCs/>
          <w:color w:val="0000FF"/>
        </w:rPr>
        <w:t>一、施工规划要点</w:t>
      </w:r>
    </w:p>
    <w:p w14:paraId="7472EDE9">
      <w:pPr>
        <w:ind w:firstLine="480" w:firstLineChars="200"/>
        <w:rPr>
          <w:rFonts w:cs="Times New Roman"/>
          <w:color w:val="0000FF"/>
        </w:rPr>
      </w:pPr>
      <w:r>
        <w:rPr>
          <w:rFonts w:cs="Times New Roman"/>
          <w:color w:val="0000FF"/>
        </w:rPr>
        <w:t>1、优化土石方平衡，减少取弃土占地。原则上以行政区划为边界，在满足土质的条件下，统筹区域内渠道与建筑物的土石方平衡、实施施工进度，增加开挖料的直接利用率，减少中转。</w:t>
      </w:r>
    </w:p>
    <w:p w14:paraId="6DDD5C97">
      <w:pPr>
        <w:ind w:firstLine="480" w:firstLineChars="200"/>
        <w:rPr>
          <w:rFonts w:cs="Times New Roman"/>
          <w:color w:val="0000FF"/>
        </w:rPr>
      </w:pPr>
      <w:r>
        <w:rPr>
          <w:rFonts w:cs="Times New Roman"/>
          <w:color w:val="0000FF"/>
        </w:rPr>
        <w:t>2、结合沿线土地平整或城镇开发规划取弃土，从而降低取土区和弃渣土场临时用地，并在开工前做好取土区和弃渣土区的准备工作。</w:t>
      </w:r>
    </w:p>
    <w:p w14:paraId="2709CBEA">
      <w:pPr>
        <w:ind w:firstLine="480" w:firstLineChars="200"/>
        <w:rPr>
          <w:rFonts w:cs="Times New Roman"/>
          <w:color w:val="0000FF"/>
        </w:rPr>
      </w:pPr>
      <w:r>
        <w:rPr>
          <w:rFonts w:cs="Times New Roman"/>
          <w:color w:val="0000FF"/>
        </w:rPr>
        <w:t>3、施工交通主要就近从现有村镇道路进场，场内主要依靠现有渠顶管护路。同时以保障社会交通、方便施工运输、避免施工交叉为原则，做好施工期交通分流管控及临时道路建设。</w:t>
      </w:r>
    </w:p>
    <w:p w14:paraId="4B41D183">
      <w:pPr>
        <w:ind w:firstLine="480" w:firstLineChars="200"/>
        <w:rPr>
          <w:rFonts w:cs="Times New Roman"/>
          <w:color w:val="0000FF"/>
        </w:rPr>
      </w:pPr>
      <w:r>
        <w:rPr>
          <w:rFonts w:cs="Times New Roman"/>
          <w:color w:val="0000FF"/>
        </w:rPr>
        <w:t>4、对于膨胀土渠坡段应加强施工期坡面防护，优化作业程序，及时跟进护坡处理并规范堆弃土。</w:t>
      </w:r>
    </w:p>
    <w:p w14:paraId="0BF9B62A">
      <w:pPr>
        <w:ind w:firstLine="480" w:firstLineChars="200"/>
        <w:rPr>
          <w:rFonts w:cs="Times New Roman"/>
          <w:color w:val="0000FF"/>
        </w:rPr>
      </w:pPr>
      <w:r>
        <w:rPr>
          <w:rFonts w:cs="Times New Roman"/>
          <w:color w:val="0000FF"/>
        </w:rPr>
        <w:t>5、加强施工期环水保及渣土管理，避免污染渠道、周边农田、村镇。</w:t>
      </w:r>
    </w:p>
    <w:p w14:paraId="0F9B0D37">
      <w:pPr>
        <w:ind w:firstLine="482"/>
        <w:rPr>
          <w:rFonts w:cs="Times New Roman"/>
          <w:b/>
          <w:color w:val="0000FF"/>
          <w:kern w:val="2"/>
        </w:rPr>
      </w:pPr>
      <w:r>
        <w:rPr>
          <w:rFonts w:cs="Times New Roman"/>
          <w:b/>
          <w:color w:val="0000FF"/>
          <w:kern w:val="2"/>
        </w:rPr>
        <w:t>二、对外交通条件</w:t>
      </w:r>
    </w:p>
    <w:p w14:paraId="3F1048AB">
      <w:pPr>
        <w:ind w:firstLine="480"/>
        <w:rPr>
          <w:rFonts w:cs="Times New Roman"/>
          <w:bCs/>
          <w:snapToGrid w:val="0"/>
          <w:color w:val="0000FF"/>
          <w:szCs w:val="20"/>
        </w:rPr>
      </w:pPr>
      <w:r>
        <w:rPr>
          <w:rFonts w:cs="Times New Roman"/>
          <w:bCs/>
          <w:snapToGrid w:val="0"/>
          <w:color w:val="0000FF"/>
          <w:szCs w:val="20"/>
        </w:rPr>
        <w:t>工程区域内公路、铁路交通网络发达，对外水、陆路交通总体上较为便利。铁路方面，合九铁路、宁西线西合段、阜六铁路穿越或毗邻工程区。公路方面，高速公路干线主要有G3京台高速、G40沪陕高速、G35济广高速，国省道干线主要有G312线、G206线、S210线、S319线、S103线等。灌区内现有道路多为县乡级公路，路面以沥青路和混凝土路为主，路面宽度4～6m左右。总干渠、干渠渠顶现状多为宽4～5m的混凝土路或沥青路，通行条件较好，干渠、分干渠渠顶多有3～5m的碎石路或土路。上述渠顶道路与现有乡村路均相通，通行条件较好。</w:t>
      </w:r>
    </w:p>
    <w:p w14:paraId="0FD60BA7">
      <w:pPr>
        <w:ind w:firstLine="480"/>
        <w:rPr>
          <w:rFonts w:cs="Times New Roman"/>
          <w:bCs/>
          <w:snapToGrid w:val="0"/>
          <w:color w:val="0000FF"/>
          <w:szCs w:val="20"/>
        </w:rPr>
      </w:pPr>
      <w:r>
        <w:rPr>
          <w:rFonts w:cs="Times New Roman"/>
          <w:bCs/>
          <w:snapToGrid w:val="0"/>
          <w:color w:val="0000FF"/>
          <w:szCs w:val="20"/>
        </w:rPr>
        <w:t>施工对外陆路交通主要通过沿线城镇的对外交通道路进场和运输物资。施工期间的大宗物资材料及机械设备主要通过上述道路和县乡公路及纵横交错的村村通公路进场。</w:t>
      </w:r>
    </w:p>
    <w:p w14:paraId="026724D6">
      <w:pPr>
        <w:ind w:firstLine="480"/>
        <w:rPr>
          <w:rFonts w:cs="Times New Roman"/>
          <w:b/>
          <w:bCs/>
          <w:snapToGrid w:val="0"/>
          <w:color w:val="0000FF"/>
          <w:szCs w:val="20"/>
        </w:rPr>
      </w:pPr>
      <w:r>
        <w:rPr>
          <w:rFonts w:cs="Times New Roman"/>
          <w:bCs/>
          <w:snapToGrid w:val="0"/>
          <w:color w:val="0000FF"/>
          <w:szCs w:val="20"/>
        </w:rPr>
        <w:t>水路方面，现状临近工程区的航道主要有：下派河口～合裕线航道（航道等级Ⅳ级）、淮河航道（航道等级Ⅲ级）。灌区北侧淮河干流、沿岗河、城东湖、瓦埠湖可全年通航，航道附近现建有周集港（3×500吨级）、庆发港（500吨级）2座码头、寿县北门码头（300吨级）、寿县瓦埠码头（100吨级）和寿县庙岗码头（100吨级），另有多座小型砂石码头；灌区东侧的南淝河、巢湖和裕溪河可全年通航，合肥市新港码头已建成投入使用。即将于2022年底试通航的引江济淮江淮运河航道（航道等级Ⅱ级）南北向穿越工程区，后续也将为本工程水运交通带来便利。工程施工期间各种水运材料可通过以上航道船运至工地附近的码头，转陆路运输进场。</w:t>
      </w:r>
    </w:p>
    <w:p w14:paraId="37E92A9E">
      <w:pPr>
        <w:ind w:firstLine="482"/>
        <w:rPr>
          <w:rFonts w:cs="Times New Roman"/>
          <w:b/>
          <w:bCs/>
          <w:color w:val="0000FF"/>
        </w:rPr>
      </w:pPr>
      <w:r>
        <w:rPr>
          <w:rFonts w:cs="Times New Roman"/>
          <w:b/>
          <w:bCs/>
          <w:color w:val="0000FF"/>
        </w:rPr>
        <w:t>三、材料来源及水电供应</w:t>
      </w:r>
    </w:p>
    <w:p w14:paraId="07097CF6">
      <w:pPr>
        <w:ind w:firstLine="480"/>
        <w:rPr>
          <w:rFonts w:cs="Times New Roman"/>
          <w:color w:val="0000FF"/>
        </w:rPr>
      </w:pPr>
      <w:r>
        <w:rPr>
          <w:rFonts w:cs="Times New Roman"/>
          <w:snapToGrid w:val="0"/>
          <w:color w:val="0000FF"/>
          <w:szCs w:val="20"/>
        </w:rPr>
        <w:t>①建筑材料：砂石料在保证质量为前提下，按照就近的原则选用，从工程所在地附近料场就近采购</w:t>
      </w:r>
      <w:r>
        <w:rPr>
          <w:rFonts w:cs="Times New Roman"/>
          <w:color w:val="0000FF"/>
          <w:spacing w:val="10"/>
        </w:rPr>
        <w:t>。</w:t>
      </w:r>
    </w:p>
    <w:p w14:paraId="532FD5F1">
      <w:pPr>
        <w:ind w:firstLine="480"/>
        <w:rPr>
          <w:rFonts w:cs="Times New Roman"/>
          <w:snapToGrid w:val="0"/>
          <w:color w:val="0000FF"/>
          <w:szCs w:val="20"/>
        </w:rPr>
      </w:pPr>
      <w:r>
        <w:rPr>
          <w:rFonts w:cs="Times New Roman"/>
          <w:snapToGrid w:val="0"/>
          <w:color w:val="0000FF"/>
          <w:szCs w:val="20"/>
        </w:rPr>
        <w:t>土料供应按就近取土的原则，以堤内已规划的排泥区为主要取土地点。</w:t>
      </w:r>
    </w:p>
    <w:p w14:paraId="25FCCFE5">
      <w:pPr>
        <w:ind w:firstLine="480"/>
        <w:rPr>
          <w:rFonts w:cs="Times New Roman"/>
          <w:snapToGrid w:val="0"/>
          <w:color w:val="0000FF"/>
          <w:szCs w:val="20"/>
        </w:rPr>
      </w:pPr>
      <w:r>
        <w:rPr>
          <w:rFonts w:cs="Times New Roman"/>
          <w:snapToGrid w:val="0"/>
          <w:color w:val="0000FF"/>
          <w:szCs w:val="20"/>
        </w:rPr>
        <w:t>②外来材料：工程所需水泥从附近的大型水泥厂采购，钢筋、木材等材料可在当地的物资市场购买。</w:t>
      </w:r>
    </w:p>
    <w:p w14:paraId="40BEAF14">
      <w:pPr>
        <w:ind w:firstLine="480"/>
        <w:rPr>
          <w:rFonts w:cs="Times New Roman"/>
          <w:color w:val="0000FF"/>
        </w:rPr>
      </w:pPr>
      <w:r>
        <w:rPr>
          <w:rFonts w:cs="Times New Roman"/>
          <w:snapToGrid w:val="0"/>
          <w:color w:val="0000FF"/>
          <w:szCs w:val="20"/>
        </w:rPr>
        <w:t>③水电供应：</w:t>
      </w:r>
      <w:r>
        <w:rPr>
          <w:rFonts w:cs="Times New Roman"/>
          <w:color w:val="0000FF"/>
        </w:rPr>
        <w:t>工程在施工期间，渠道内基本断流，施工用水可通过河槽内蓄水解决，生活用水宜</w:t>
      </w:r>
      <w:r>
        <w:rPr>
          <w:rFonts w:hint="eastAsia" w:cs="Times New Roman"/>
          <w:color w:val="0000FF"/>
        </w:rPr>
        <w:t>依托附近居民自来水</w:t>
      </w:r>
      <w:r>
        <w:rPr>
          <w:rFonts w:cs="Times New Roman"/>
          <w:color w:val="0000FF"/>
        </w:rPr>
        <w:t>。灌区内的渠首建筑物、节制闸、泄洪闸和进水闸等处大部分都已接通系统电源，以上建筑物附近的工程施工时可直接利用；部分渠段距系统电源大于600m，施工时不宜采用系统电源。</w:t>
      </w:r>
    </w:p>
    <w:p w14:paraId="32786E52">
      <w:pPr>
        <w:pStyle w:val="4"/>
        <w:rPr>
          <w:rFonts w:cs="Times New Roman"/>
          <w:color w:val="0000FF"/>
        </w:rPr>
      </w:pPr>
      <w:r>
        <w:rPr>
          <w:rFonts w:cs="Times New Roman"/>
          <w:color w:val="0000FF"/>
        </w:rPr>
        <w:t>2.</w:t>
      </w:r>
      <w:r>
        <w:rPr>
          <w:rFonts w:hint="eastAsia" w:cs="Times New Roman"/>
          <w:color w:val="0000FF"/>
        </w:rPr>
        <w:t>4</w:t>
      </w:r>
      <w:r>
        <w:rPr>
          <w:rFonts w:cs="Times New Roman"/>
          <w:color w:val="0000FF"/>
        </w:rPr>
        <w:t>.2 施工导流</w:t>
      </w:r>
    </w:p>
    <w:p w14:paraId="1C804C1A">
      <w:pPr>
        <w:ind w:firstLine="480"/>
        <w:rPr>
          <w:rFonts w:cs="Times New Roman"/>
          <w:color w:val="0000FF"/>
        </w:rPr>
      </w:pPr>
      <w:r>
        <w:rPr>
          <w:rFonts w:hint="eastAsia" w:cs="Times New Roman"/>
          <w:color w:val="0000FF"/>
        </w:rPr>
        <w:t>本次工程灌区渠道除淠河总干渠、滁河干渠、舒庐干渠果园山水库进水闸前段以及潜南干渠具有供水任务外，其他渠道非灌溉停水期（</w:t>
      </w:r>
      <w:r>
        <w:rPr>
          <w:rFonts w:cs="Times New Roman"/>
          <w:color w:val="0000FF"/>
        </w:rPr>
        <w:t>10月～次年3月</w:t>
      </w:r>
      <w:r>
        <w:rPr>
          <w:rFonts w:hint="eastAsia" w:cs="Times New Roman"/>
          <w:color w:val="0000FF"/>
        </w:rPr>
        <w:t>）关闭进水闸，渠道处于无水状态，渠道无需单独导流；涉及自然河道的需要设置导流。</w:t>
      </w:r>
    </w:p>
    <w:p w14:paraId="2F8809FE">
      <w:pPr>
        <w:ind w:firstLine="480"/>
        <w:rPr>
          <w:rFonts w:cs="Times New Roman"/>
          <w:snapToGrid w:val="0"/>
          <w:color w:val="0000FF"/>
        </w:rPr>
      </w:pPr>
      <w:r>
        <w:rPr>
          <w:rFonts w:cs="Times New Roman"/>
          <w:color w:val="0000FF"/>
        </w:rPr>
        <w:t>需进行导流施工的项目主要为渠道治理、水闸、渡槽和桥梁等渠系建筑物</w:t>
      </w:r>
      <w:r>
        <w:rPr>
          <w:rFonts w:cs="Times New Roman"/>
          <w:snapToGrid w:val="0"/>
          <w:color w:val="0000FF"/>
        </w:rPr>
        <w:t>。</w:t>
      </w:r>
    </w:p>
    <w:p w14:paraId="19F3F454">
      <w:pPr>
        <w:rPr>
          <w:rFonts w:cs="Times New Roman"/>
          <w:color w:val="0000FF"/>
        </w:rPr>
      </w:pPr>
      <w:r>
        <w:rPr>
          <w:rFonts w:cs="Times New Roman"/>
          <w:color w:val="0000FF"/>
        </w:rPr>
        <w:t>为不影响灌溉，淠河总干渠、滁河干渠、舒庐干渠果园山水库进水闸前段以及潜南干渠</w:t>
      </w:r>
      <w:r>
        <w:rPr>
          <w:rFonts w:hint="eastAsia" w:cs="Times New Roman"/>
          <w:color w:val="0000FF"/>
        </w:rPr>
        <w:t>涉及的工程内容导流</w:t>
      </w:r>
      <w:r>
        <w:rPr>
          <w:rFonts w:cs="Times New Roman"/>
          <w:color w:val="0000FF"/>
        </w:rPr>
        <w:t>安排在渠道停水期10月～次年3月内</w:t>
      </w:r>
      <w:r>
        <w:rPr>
          <w:rFonts w:hint="eastAsia" w:cs="Times New Roman"/>
          <w:color w:val="0000FF"/>
        </w:rPr>
        <w:t>。</w:t>
      </w:r>
    </w:p>
    <w:p w14:paraId="1E6C51E1">
      <w:pPr>
        <w:rPr>
          <w:rFonts w:cs="Times New Roman"/>
          <w:color w:val="0000FF"/>
        </w:rPr>
      </w:pPr>
      <w:r>
        <w:rPr>
          <w:rFonts w:cs="Times New Roman"/>
          <w:b/>
          <w:bCs/>
          <w:color w:val="0000FF"/>
        </w:rPr>
        <w:t>河道</w:t>
      </w:r>
      <w:r>
        <w:rPr>
          <w:rFonts w:cs="Times New Roman"/>
          <w:color w:val="0000FF"/>
        </w:rPr>
        <w:t>部分需导流的导流时段选择在当年10月～次年4月之内。</w:t>
      </w:r>
    </w:p>
    <w:p w14:paraId="25B6301A">
      <w:pPr>
        <w:ind w:firstLine="480" w:firstLineChars="200"/>
        <w:rPr>
          <w:rFonts w:cs="Times New Roman"/>
          <w:color w:val="0000FF"/>
        </w:rPr>
      </w:pPr>
      <w:r>
        <w:rPr>
          <w:rFonts w:hint="eastAsia" w:cs="Times New Roman"/>
          <w:color w:val="0000FF"/>
        </w:rPr>
        <w:t>滁河干渠工程仅涉及到渠道护砌和切岭整治，施工计划在停水期图集完成水下部分，不设置导流。</w:t>
      </w:r>
    </w:p>
    <w:p w14:paraId="41200BEF">
      <w:pPr>
        <w:ind w:firstLine="480" w:firstLineChars="200"/>
        <w:rPr>
          <w:rFonts w:cs="Times New Roman"/>
          <w:color w:val="0000FF"/>
        </w:rPr>
      </w:pPr>
      <w:r>
        <w:rPr>
          <w:rFonts w:cs="Times New Roman"/>
          <w:color w:val="0000FF"/>
        </w:rPr>
        <w:t>各子项导流标准及时段见表。</w:t>
      </w:r>
    </w:p>
    <w:p w14:paraId="61B69C0B">
      <w:pPr>
        <w:rPr>
          <w:color w:val="0000FF"/>
        </w:rPr>
      </w:pPr>
      <w:r>
        <w:rPr>
          <w:color w:val="0000FF"/>
        </w:rPr>
        <w:t>表2-</w:t>
      </w:r>
      <w:r>
        <w:rPr>
          <w:rFonts w:hint="eastAsia"/>
          <w:color w:val="0000FF"/>
        </w:rPr>
        <w:t>4</w:t>
      </w:r>
      <w:r>
        <w:rPr>
          <w:color w:val="0000FF"/>
        </w:rPr>
        <w:t>-</w:t>
      </w:r>
      <w:r>
        <w:rPr>
          <w:rFonts w:hint="eastAsia"/>
          <w:color w:val="0000FF"/>
        </w:rPr>
        <w:t>1</w:t>
      </w:r>
      <w:r>
        <w:rPr>
          <w:color w:val="0000FF"/>
        </w:rPr>
        <w:t xml:space="preserve">  各子项工程导流标准及导流时段汇总表</w:t>
      </w:r>
    </w:p>
    <w:tbl>
      <w:tblPr>
        <w:tblStyle w:val="16"/>
        <w:tblW w:w="499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2"/>
        <w:gridCol w:w="1510"/>
        <w:gridCol w:w="1486"/>
        <w:gridCol w:w="1623"/>
        <w:gridCol w:w="1267"/>
        <w:gridCol w:w="2810"/>
      </w:tblGrid>
      <w:tr w14:paraId="4F6AE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textDirection w:val="tbRlV"/>
            <w:vAlign w:val="center"/>
          </w:tcPr>
          <w:p w14:paraId="14A7314F">
            <w:pPr>
              <w:pStyle w:val="28"/>
              <w:bidi w:val="0"/>
            </w:pPr>
            <w:r>
              <w:rPr>
                <w:rFonts w:hint="eastAsia"/>
              </w:rPr>
              <w:t>序号</w:t>
            </w:r>
          </w:p>
        </w:tc>
        <w:tc>
          <w:tcPr>
            <w:tcW w:w="814" w:type="pct"/>
            <w:vAlign w:val="center"/>
          </w:tcPr>
          <w:p w14:paraId="21FC4424">
            <w:pPr>
              <w:pStyle w:val="28"/>
              <w:bidi w:val="0"/>
            </w:pPr>
            <w:r>
              <w:rPr>
                <w:rFonts w:hint="eastAsia"/>
              </w:rPr>
              <w:t>导流原因，主体</w:t>
            </w:r>
          </w:p>
        </w:tc>
        <w:tc>
          <w:tcPr>
            <w:tcW w:w="801" w:type="pct"/>
            <w:vAlign w:val="center"/>
          </w:tcPr>
          <w:p w14:paraId="49030DC5">
            <w:pPr>
              <w:pStyle w:val="28"/>
              <w:bidi w:val="0"/>
            </w:pPr>
            <w:r>
              <w:t>项目名称</w:t>
            </w:r>
          </w:p>
        </w:tc>
        <w:tc>
          <w:tcPr>
            <w:tcW w:w="875" w:type="pct"/>
            <w:vAlign w:val="center"/>
          </w:tcPr>
          <w:p w14:paraId="2E4958F1">
            <w:pPr>
              <w:pStyle w:val="28"/>
              <w:bidi w:val="0"/>
            </w:pPr>
            <w:r>
              <w:rPr>
                <w:rFonts w:hint="eastAsia"/>
              </w:rPr>
              <w:t>工程</w:t>
            </w:r>
            <w:r>
              <w:t>建筑物</w:t>
            </w:r>
          </w:p>
        </w:tc>
        <w:tc>
          <w:tcPr>
            <w:tcW w:w="683" w:type="pct"/>
            <w:vAlign w:val="center"/>
          </w:tcPr>
          <w:p w14:paraId="2898D798">
            <w:pPr>
              <w:pStyle w:val="28"/>
              <w:bidi w:val="0"/>
            </w:pPr>
            <w:r>
              <w:t>导流时段</w:t>
            </w:r>
          </w:p>
        </w:tc>
        <w:tc>
          <w:tcPr>
            <w:tcW w:w="1515" w:type="pct"/>
            <w:vAlign w:val="center"/>
          </w:tcPr>
          <w:p w14:paraId="7D6367A5">
            <w:pPr>
              <w:pStyle w:val="28"/>
              <w:bidi w:val="0"/>
            </w:pPr>
            <w:r>
              <w:rPr>
                <w:rFonts w:hint="eastAsia"/>
              </w:rPr>
              <w:t>导流方式</w:t>
            </w:r>
          </w:p>
        </w:tc>
      </w:tr>
      <w:tr w14:paraId="458D6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1C86AC06">
            <w:pPr>
              <w:pStyle w:val="28"/>
              <w:bidi w:val="0"/>
            </w:pPr>
            <w:r>
              <w:t>1</w:t>
            </w:r>
          </w:p>
        </w:tc>
        <w:tc>
          <w:tcPr>
            <w:tcW w:w="814" w:type="pct"/>
            <w:vAlign w:val="center"/>
          </w:tcPr>
          <w:p w14:paraId="31C57CF9">
            <w:pPr>
              <w:pStyle w:val="28"/>
              <w:bidi w:val="0"/>
            </w:pPr>
            <w:r>
              <w:rPr>
                <w:rFonts w:hint="eastAsia"/>
              </w:rPr>
              <w:t>淠河总干渠向六安、合肥市供水；淠河总干渠</w:t>
            </w:r>
          </w:p>
        </w:tc>
        <w:tc>
          <w:tcPr>
            <w:tcW w:w="801" w:type="pct"/>
            <w:vAlign w:val="center"/>
          </w:tcPr>
          <w:p w14:paraId="523BAA83">
            <w:pPr>
              <w:pStyle w:val="28"/>
              <w:bidi w:val="0"/>
            </w:pPr>
            <w:r>
              <w:rPr>
                <w:rFonts w:hint="eastAsia"/>
              </w:rPr>
              <w:t>淠河总干渠上段工程</w:t>
            </w:r>
          </w:p>
        </w:tc>
        <w:tc>
          <w:tcPr>
            <w:tcW w:w="875" w:type="pct"/>
            <w:vAlign w:val="center"/>
          </w:tcPr>
          <w:p w14:paraId="4F7F7B7D">
            <w:pPr>
              <w:pStyle w:val="28"/>
              <w:bidi w:val="0"/>
            </w:pPr>
            <w:r>
              <w:t>横排头进水闸下游翼墙、8座放水涵、木南进水闸</w:t>
            </w:r>
          </w:p>
        </w:tc>
        <w:tc>
          <w:tcPr>
            <w:tcW w:w="683" w:type="pct"/>
            <w:vAlign w:val="center"/>
          </w:tcPr>
          <w:p w14:paraId="2C4C0CE0">
            <w:pPr>
              <w:pStyle w:val="28"/>
              <w:bidi w:val="0"/>
            </w:pPr>
            <w:r>
              <w:t>11月～次年2月/10月～次年3月</w:t>
            </w:r>
          </w:p>
        </w:tc>
        <w:tc>
          <w:tcPr>
            <w:tcW w:w="1515" w:type="pct"/>
            <w:vAlign w:val="center"/>
          </w:tcPr>
          <w:p w14:paraId="736BD083">
            <w:pPr>
              <w:pStyle w:val="28"/>
              <w:bidi w:val="0"/>
            </w:pPr>
            <w:r>
              <w:t>干渠建筑物进口筑袋装土围堰挡水；渠道工程在非灌溉期水位以上，无需围堰</w:t>
            </w:r>
          </w:p>
        </w:tc>
      </w:tr>
      <w:tr w14:paraId="2138F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02DDDB93">
            <w:pPr>
              <w:pStyle w:val="28"/>
              <w:bidi w:val="0"/>
            </w:pPr>
            <w:r>
              <w:rPr>
                <w:rFonts w:hint="eastAsia"/>
              </w:rPr>
              <w:t>2</w:t>
            </w:r>
          </w:p>
        </w:tc>
        <w:tc>
          <w:tcPr>
            <w:tcW w:w="814" w:type="pct"/>
            <w:vAlign w:val="center"/>
          </w:tcPr>
          <w:p w14:paraId="6DD774E1">
            <w:pPr>
              <w:pStyle w:val="28"/>
              <w:bidi w:val="0"/>
            </w:pPr>
            <w:r>
              <w:rPr>
                <w:rFonts w:hint="eastAsia"/>
              </w:rPr>
              <w:t>潜南干渠向肥西供水，潜南干渠</w:t>
            </w:r>
          </w:p>
        </w:tc>
        <w:tc>
          <w:tcPr>
            <w:tcW w:w="801" w:type="pct"/>
            <w:vAlign w:val="center"/>
          </w:tcPr>
          <w:p w14:paraId="6663F338">
            <w:pPr>
              <w:pStyle w:val="28"/>
              <w:bidi w:val="0"/>
            </w:pPr>
            <w:r>
              <w:rPr>
                <w:rFonts w:hint="eastAsia"/>
              </w:rPr>
              <w:t>聚星渡槽工程</w:t>
            </w:r>
          </w:p>
        </w:tc>
        <w:tc>
          <w:tcPr>
            <w:tcW w:w="875" w:type="pct"/>
            <w:vAlign w:val="center"/>
          </w:tcPr>
          <w:p w14:paraId="7409963F">
            <w:pPr>
              <w:pStyle w:val="28"/>
              <w:bidi w:val="0"/>
            </w:pPr>
            <w:r>
              <w:t>聚星渡槽</w:t>
            </w:r>
          </w:p>
        </w:tc>
        <w:tc>
          <w:tcPr>
            <w:tcW w:w="683" w:type="pct"/>
            <w:vAlign w:val="center"/>
          </w:tcPr>
          <w:p w14:paraId="6867351A">
            <w:pPr>
              <w:pStyle w:val="28"/>
              <w:bidi w:val="0"/>
            </w:pPr>
            <w:r>
              <w:t>10月～次年3月</w:t>
            </w:r>
          </w:p>
        </w:tc>
        <w:tc>
          <w:tcPr>
            <w:tcW w:w="1515" w:type="pct"/>
            <w:vAlign w:val="center"/>
          </w:tcPr>
          <w:p w14:paraId="7BE4775D">
            <w:pPr>
              <w:pStyle w:val="28"/>
              <w:bidi w:val="0"/>
            </w:pPr>
            <w:r>
              <w:rPr>
                <w:rFonts w:hint="eastAsia"/>
              </w:rPr>
              <w:t>老聚星渡槽导流</w:t>
            </w:r>
          </w:p>
        </w:tc>
      </w:tr>
      <w:tr w14:paraId="5F979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274069F1">
            <w:pPr>
              <w:pStyle w:val="28"/>
              <w:bidi w:val="0"/>
            </w:pPr>
            <w:r>
              <w:rPr>
                <w:rFonts w:hint="eastAsia"/>
              </w:rPr>
              <w:t>3</w:t>
            </w:r>
          </w:p>
        </w:tc>
        <w:tc>
          <w:tcPr>
            <w:tcW w:w="814" w:type="pct"/>
            <w:vAlign w:val="center"/>
          </w:tcPr>
          <w:p w14:paraId="73452ECE">
            <w:pPr>
              <w:pStyle w:val="28"/>
              <w:bidi w:val="0"/>
            </w:pPr>
            <w:r>
              <w:rPr>
                <w:rFonts w:hint="eastAsia"/>
              </w:rPr>
              <w:t>舒庐干渠果园山水库进水闸前段向庐江县供水，舒庐干渠</w:t>
            </w:r>
          </w:p>
        </w:tc>
        <w:tc>
          <w:tcPr>
            <w:tcW w:w="801" w:type="pct"/>
            <w:vAlign w:val="center"/>
          </w:tcPr>
          <w:p w14:paraId="6A40D656">
            <w:pPr>
              <w:pStyle w:val="28"/>
              <w:bidi w:val="0"/>
            </w:pPr>
            <w:r>
              <w:rPr>
                <w:rFonts w:hint="eastAsia"/>
              </w:rPr>
              <w:t>舒庐干渠</w:t>
            </w:r>
            <w:r>
              <w:t>7</w:t>
            </w:r>
            <w:r>
              <w:rPr>
                <w:rFonts w:hint="eastAsia"/>
              </w:rPr>
              <w:t>座水闸工程</w:t>
            </w:r>
          </w:p>
        </w:tc>
        <w:tc>
          <w:tcPr>
            <w:tcW w:w="875" w:type="pct"/>
            <w:vAlign w:val="center"/>
          </w:tcPr>
          <w:p w14:paraId="0EB1FBC6">
            <w:pPr>
              <w:pStyle w:val="28"/>
              <w:bidi w:val="0"/>
            </w:pPr>
            <w:r>
              <w:t>7座泄洪闸</w:t>
            </w:r>
          </w:p>
        </w:tc>
        <w:tc>
          <w:tcPr>
            <w:tcW w:w="683" w:type="pct"/>
            <w:vAlign w:val="center"/>
          </w:tcPr>
          <w:p w14:paraId="28585B84">
            <w:pPr>
              <w:pStyle w:val="28"/>
              <w:bidi w:val="0"/>
            </w:pPr>
            <w:r>
              <w:t>10月～次年4月</w:t>
            </w:r>
          </w:p>
        </w:tc>
        <w:tc>
          <w:tcPr>
            <w:tcW w:w="1515" w:type="pct"/>
            <w:vAlign w:val="center"/>
          </w:tcPr>
          <w:p w14:paraId="481172CE">
            <w:pPr>
              <w:pStyle w:val="28"/>
              <w:bidi w:val="0"/>
            </w:pPr>
            <w:r>
              <w:t>筑围堰挡水，利用既有渠道导流</w:t>
            </w:r>
          </w:p>
        </w:tc>
      </w:tr>
      <w:tr w14:paraId="426E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2EB1A1BF">
            <w:pPr>
              <w:pStyle w:val="28"/>
              <w:bidi w:val="0"/>
            </w:pPr>
            <w:r>
              <w:rPr>
                <w:rFonts w:hint="eastAsia"/>
              </w:rPr>
              <w:t>4</w:t>
            </w:r>
          </w:p>
        </w:tc>
        <w:tc>
          <w:tcPr>
            <w:tcW w:w="814" w:type="pct"/>
            <w:vAlign w:val="center"/>
          </w:tcPr>
          <w:p w14:paraId="1903FB77">
            <w:pPr>
              <w:pStyle w:val="28"/>
              <w:bidi w:val="0"/>
            </w:pPr>
            <w:r>
              <w:rPr>
                <w:rFonts w:hint="eastAsia"/>
              </w:rPr>
              <w:t>自然河道降雨汇水，陡步河</w:t>
            </w:r>
          </w:p>
        </w:tc>
        <w:tc>
          <w:tcPr>
            <w:tcW w:w="801" w:type="pct"/>
            <w:vAlign w:val="center"/>
          </w:tcPr>
          <w:p w14:paraId="07AF76D2">
            <w:pPr>
              <w:pStyle w:val="28"/>
              <w:bidi w:val="0"/>
            </w:pPr>
            <w:r>
              <w:rPr>
                <w:rFonts w:hint="eastAsia"/>
              </w:rPr>
              <w:t>樊通桥渠下涵工程</w:t>
            </w:r>
          </w:p>
        </w:tc>
        <w:tc>
          <w:tcPr>
            <w:tcW w:w="875" w:type="pct"/>
            <w:vAlign w:val="center"/>
          </w:tcPr>
          <w:p w14:paraId="0E264039">
            <w:pPr>
              <w:pStyle w:val="28"/>
              <w:bidi w:val="0"/>
            </w:pPr>
            <w:r>
              <w:t>樊通桥渠下涵</w:t>
            </w:r>
          </w:p>
        </w:tc>
        <w:tc>
          <w:tcPr>
            <w:tcW w:w="683" w:type="pct"/>
            <w:vAlign w:val="center"/>
          </w:tcPr>
          <w:p w14:paraId="71DA8324">
            <w:pPr>
              <w:pStyle w:val="28"/>
              <w:bidi w:val="0"/>
            </w:pPr>
            <w:r>
              <w:t>12月～次年2月</w:t>
            </w:r>
          </w:p>
        </w:tc>
        <w:tc>
          <w:tcPr>
            <w:tcW w:w="1515" w:type="pct"/>
            <w:vAlign w:val="center"/>
          </w:tcPr>
          <w:p w14:paraId="3DD10D13">
            <w:pPr>
              <w:pStyle w:val="28"/>
              <w:bidi w:val="0"/>
            </w:pPr>
            <w:r>
              <w:t>枯水期施工，</w:t>
            </w:r>
            <w:r>
              <w:rPr>
                <w:rFonts w:hint="eastAsia"/>
              </w:rPr>
              <w:t>河道调蓄</w:t>
            </w:r>
            <w:r>
              <w:t>，</w:t>
            </w:r>
            <w:r>
              <w:rPr>
                <w:rFonts w:hint="eastAsia"/>
              </w:rPr>
              <w:t>定期导流明管导流，</w:t>
            </w:r>
            <w:r>
              <w:t>遭遇大水打开围堰，用渠下涵行洪</w:t>
            </w:r>
          </w:p>
        </w:tc>
      </w:tr>
      <w:tr w14:paraId="397B4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71CE99B1">
            <w:pPr>
              <w:pStyle w:val="28"/>
              <w:bidi w:val="0"/>
            </w:pPr>
            <w:r>
              <w:rPr>
                <w:rFonts w:hint="eastAsia"/>
              </w:rPr>
              <w:t>5</w:t>
            </w:r>
          </w:p>
        </w:tc>
        <w:tc>
          <w:tcPr>
            <w:tcW w:w="814" w:type="pct"/>
            <w:vAlign w:val="center"/>
          </w:tcPr>
          <w:p w14:paraId="73925D9A">
            <w:pPr>
              <w:pStyle w:val="28"/>
              <w:bidi w:val="0"/>
            </w:pPr>
            <w:r>
              <w:rPr>
                <w:rFonts w:hint="eastAsia"/>
              </w:rPr>
              <w:t>泄洪河降雨汇水；泄洪河</w:t>
            </w:r>
          </w:p>
        </w:tc>
        <w:tc>
          <w:tcPr>
            <w:tcW w:w="801" w:type="pct"/>
            <w:vAlign w:val="center"/>
          </w:tcPr>
          <w:p w14:paraId="3931A12B">
            <w:pPr>
              <w:pStyle w:val="28"/>
              <w:bidi w:val="0"/>
            </w:pPr>
            <w:r>
              <w:rPr>
                <w:rFonts w:hint="eastAsia"/>
              </w:rPr>
              <w:t>淠河总干渠下段工程</w:t>
            </w:r>
          </w:p>
        </w:tc>
        <w:tc>
          <w:tcPr>
            <w:tcW w:w="875" w:type="pct"/>
            <w:vAlign w:val="center"/>
          </w:tcPr>
          <w:p w14:paraId="5F97D5BE">
            <w:pPr>
              <w:pStyle w:val="28"/>
              <w:bidi w:val="0"/>
            </w:pPr>
            <w:r>
              <w:t>三叉冲泄水闸</w:t>
            </w:r>
          </w:p>
        </w:tc>
        <w:tc>
          <w:tcPr>
            <w:tcW w:w="683" w:type="pct"/>
            <w:vAlign w:val="center"/>
          </w:tcPr>
          <w:p w14:paraId="0B3B1D31">
            <w:pPr>
              <w:pStyle w:val="28"/>
              <w:bidi w:val="0"/>
            </w:pPr>
            <w:r>
              <w:t>10月～次年3月</w:t>
            </w:r>
          </w:p>
        </w:tc>
        <w:tc>
          <w:tcPr>
            <w:tcW w:w="1515" w:type="pct"/>
            <w:vAlign w:val="center"/>
          </w:tcPr>
          <w:p w14:paraId="74878EC5">
            <w:pPr>
              <w:pStyle w:val="28"/>
              <w:bidi w:val="0"/>
            </w:pPr>
            <w:r>
              <w:t>渠道工程均在非灌溉期水位以上，无需围堰</w:t>
            </w:r>
          </w:p>
        </w:tc>
      </w:tr>
      <w:tr w14:paraId="779E9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64D07D70">
            <w:pPr>
              <w:pStyle w:val="28"/>
              <w:bidi w:val="0"/>
            </w:pPr>
            <w:r>
              <w:t>6</w:t>
            </w:r>
          </w:p>
        </w:tc>
        <w:tc>
          <w:tcPr>
            <w:tcW w:w="814" w:type="pct"/>
            <w:vAlign w:val="center"/>
          </w:tcPr>
          <w:p w14:paraId="1439B243">
            <w:pPr>
              <w:pStyle w:val="28"/>
              <w:bidi w:val="0"/>
            </w:pPr>
            <w:r>
              <w:rPr>
                <w:rFonts w:hint="eastAsia"/>
              </w:rPr>
              <w:t>自然河道降雨汇水，自然河道</w:t>
            </w:r>
          </w:p>
        </w:tc>
        <w:tc>
          <w:tcPr>
            <w:tcW w:w="801" w:type="pct"/>
            <w:vAlign w:val="center"/>
          </w:tcPr>
          <w:p w14:paraId="2C332CDB">
            <w:pPr>
              <w:pStyle w:val="28"/>
              <w:bidi w:val="0"/>
            </w:pPr>
            <w:r>
              <w:rPr>
                <w:rFonts w:hint="eastAsia"/>
              </w:rPr>
              <w:t>滁河干渠</w:t>
            </w:r>
            <w:r>
              <w:t>6</w:t>
            </w:r>
            <w:r>
              <w:rPr>
                <w:rFonts w:hint="eastAsia"/>
              </w:rPr>
              <w:t>座渠下涵工程</w:t>
            </w:r>
          </w:p>
        </w:tc>
        <w:tc>
          <w:tcPr>
            <w:tcW w:w="875" w:type="pct"/>
            <w:vAlign w:val="center"/>
          </w:tcPr>
          <w:p w14:paraId="3350F8CA">
            <w:pPr>
              <w:pStyle w:val="28"/>
              <w:bidi w:val="0"/>
            </w:pPr>
            <w:r>
              <w:t>6座渠下涵</w:t>
            </w:r>
          </w:p>
        </w:tc>
        <w:tc>
          <w:tcPr>
            <w:tcW w:w="683" w:type="pct"/>
            <w:vAlign w:val="center"/>
          </w:tcPr>
          <w:p w14:paraId="7E9B2892">
            <w:pPr>
              <w:pStyle w:val="28"/>
              <w:bidi w:val="0"/>
            </w:pPr>
            <w:r>
              <w:t>10月～次年3月</w:t>
            </w:r>
          </w:p>
        </w:tc>
        <w:tc>
          <w:tcPr>
            <w:tcW w:w="1515" w:type="pct"/>
            <w:vAlign w:val="center"/>
          </w:tcPr>
          <w:p w14:paraId="5BAC8E41">
            <w:pPr>
              <w:pStyle w:val="28"/>
              <w:bidi w:val="0"/>
            </w:pPr>
            <w:r>
              <w:t>筑围堰挡水，涵管导流</w:t>
            </w:r>
          </w:p>
        </w:tc>
      </w:tr>
      <w:tr w14:paraId="6481E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0F3F6647">
            <w:pPr>
              <w:pStyle w:val="28"/>
              <w:bidi w:val="0"/>
            </w:pPr>
            <w:r>
              <w:rPr>
                <w:rFonts w:hint="eastAsia"/>
              </w:rPr>
              <w:t>7</w:t>
            </w:r>
          </w:p>
        </w:tc>
        <w:tc>
          <w:tcPr>
            <w:tcW w:w="814" w:type="pct"/>
            <w:vAlign w:val="center"/>
          </w:tcPr>
          <w:p w14:paraId="767075B8">
            <w:pPr>
              <w:pStyle w:val="28"/>
              <w:bidi w:val="0"/>
            </w:pPr>
            <w:r>
              <w:rPr>
                <w:rFonts w:hint="eastAsia"/>
              </w:rPr>
              <w:t>万小河常年有水流，万小河</w:t>
            </w:r>
          </w:p>
        </w:tc>
        <w:tc>
          <w:tcPr>
            <w:tcW w:w="801" w:type="pct"/>
            <w:vAlign w:val="center"/>
          </w:tcPr>
          <w:p w14:paraId="735840EB">
            <w:pPr>
              <w:pStyle w:val="28"/>
              <w:bidi w:val="0"/>
            </w:pPr>
            <w:r>
              <w:rPr>
                <w:rFonts w:hint="eastAsia"/>
              </w:rPr>
              <w:t>郑岗泵站工程</w:t>
            </w:r>
          </w:p>
        </w:tc>
        <w:tc>
          <w:tcPr>
            <w:tcW w:w="875" w:type="pct"/>
            <w:vAlign w:val="center"/>
          </w:tcPr>
          <w:p w14:paraId="4F0C4BE0">
            <w:pPr>
              <w:pStyle w:val="28"/>
              <w:bidi w:val="0"/>
            </w:pPr>
            <w:r>
              <w:t>泵站、引水渠</w:t>
            </w:r>
          </w:p>
        </w:tc>
        <w:tc>
          <w:tcPr>
            <w:tcW w:w="683" w:type="pct"/>
            <w:vAlign w:val="center"/>
          </w:tcPr>
          <w:p w14:paraId="261F4F1B">
            <w:pPr>
              <w:pStyle w:val="28"/>
              <w:bidi w:val="0"/>
            </w:pPr>
            <w:r>
              <w:t>11月～次年4月</w:t>
            </w:r>
          </w:p>
        </w:tc>
        <w:tc>
          <w:tcPr>
            <w:tcW w:w="1515" w:type="pct"/>
            <w:vAlign w:val="center"/>
          </w:tcPr>
          <w:p w14:paraId="0CB17472">
            <w:pPr>
              <w:pStyle w:val="28"/>
              <w:bidi w:val="0"/>
            </w:pPr>
            <w:r>
              <w:t>利用已建唐郢闸挡瓦埠湖水，筑围堰拦少量渠道汇水</w:t>
            </w:r>
          </w:p>
        </w:tc>
      </w:tr>
      <w:tr w14:paraId="4DD4F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264ED821">
            <w:pPr>
              <w:pStyle w:val="28"/>
              <w:bidi w:val="0"/>
            </w:pPr>
            <w:r>
              <w:t>8</w:t>
            </w:r>
          </w:p>
        </w:tc>
        <w:tc>
          <w:tcPr>
            <w:tcW w:w="814" w:type="pct"/>
            <w:vMerge w:val="restart"/>
            <w:vAlign w:val="center"/>
          </w:tcPr>
          <w:p w14:paraId="28F3EBC7">
            <w:pPr>
              <w:pStyle w:val="28"/>
              <w:bidi w:val="0"/>
            </w:pPr>
            <w:r>
              <w:rPr>
                <w:rFonts w:hint="eastAsia"/>
              </w:rPr>
              <w:t>渠道降雨汇水，对应渠道</w:t>
            </w:r>
          </w:p>
        </w:tc>
        <w:tc>
          <w:tcPr>
            <w:tcW w:w="801" w:type="pct"/>
            <w:vAlign w:val="center"/>
          </w:tcPr>
          <w:p w14:paraId="5B894818">
            <w:pPr>
              <w:pStyle w:val="28"/>
              <w:bidi w:val="0"/>
            </w:pPr>
            <w:r>
              <w:rPr>
                <w:rFonts w:hint="eastAsia"/>
              </w:rPr>
              <w:t>淠杭干渠工程</w:t>
            </w:r>
          </w:p>
        </w:tc>
        <w:tc>
          <w:tcPr>
            <w:tcW w:w="875" w:type="pct"/>
            <w:vAlign w:val="center"/>
          </w:tcPr>
          <w:p w14:paraId="7B44B24A">
            <w:pPr>
              <w:pStyle w:val="28"/>
              <w:bidi w:val="0"/>
            </w:pPr>
            <w:r>
              <w:t>滑坡治理及渠系建筑物</w:t>
            </w:r>
          </w:p>
        </w:tc>
        <w:tc>
          <w:tcPr>
            <w:tcW w:w="683" w:type="pct"/>
            <w:vAlign w:val="center"/>
          </w:tcPr>
          <w:p w14:paraId="600E0E37">
            <w:pPr>
              <w:pStyle w:val="28"/>
              <w:bidi w:val="0"/>
            </w:pPr>
            <w:r>
              <w:t>12月～次年3月</w:t>
            </w:r>
          </w:p>
        </w:tc>
        <w:tc>
          <w:tcPr>
            <w:tcW w:w="1515" w:type="pct"/>
            <w:vAlign w:val="center"/>
          </w:tcPr>
          <w:p w14:paraId="19F90359">
            <w:pPr>
              <w:pStyle w:val="28"/>
              <w:bidi w:val="0"/>
            </w:pPr>
            <w:r>
              <w:t>停水期施工，筑围堰拦少量渠道汇水，利用泄水建筑物泄水、涵管导流</w:t>
            </w:r>
          </w:p>
        </w:tc>
      </w:tr>
      <w:tr w14:paraId="4566D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4C075836">
            <w:pPr>
              <w:pStyle w:val="28"/>
              <w:bidi w:val="0"/>
            </w:pPr>
            <w:r>
              <w:t>9</w:t>
            </w:r>
          </w:p>
        </w:tc>
        <w:tc>
          <w:tcPr>
            <w:tcW w:w="814" w:type="pct"/>
            <w:vMerge w:val="continue"/>
            <w:vAlign w:val="center"/>
          </w:tcPr>
          <w:p w14:paraId="1F7C2303">
            <w:pPr>
              <w:pStyle w:val="28"/>
              <w:bidi w:val="0"/>
            </w:pPr>
          </w:p>
        </w:tc>
        <w:tc>
          <w:tcPr>
            <w:tcW w:w="801" w:type="pct"/>
            <w:vAlign w:val="center"/>
          </w:tcPr>
          <w:p w14:paraId="3BD301E0">
            <w:pPr>
              <w:pStyle w:val="28"/>
              <w:bidi w:val="0"/>
            </w:pPr>
            <w:r>
              <w:rPr>
                <w:rFonts w:hint="eastAsia"/>
              </w:rPr>
              <w:t>淠东干渠工程</w:t>
            </w:r>
          </w:p>
        </w:tc>
        <w:tc>
          <w:tcPr>
            <w:tcW w:w="875" w:type="pct"/>
            <w:vAlign w:val="center"/>
          </w:tcPr>
          <w:p w14:paraId="70C47956">
            <w:pPr>
              <w:pStyle w:val="28"/>
              <w:bidi w:val="0"/>
            </w:pPr>
            <w:r>
              <w:t>渠道护砌及渠系建筑物</w:t>
            </w:r>
          </w:p>
        </w:tc>
        <w:tc>
          <w:tcPr>
            <w:tcW w:w="683" w:type="pct"/>
            <w:vAlign w:val="center"/>
          </w:tcPr>
          <w:p w14:paraId="060C13FF">
            <w:pPr>
              <w:pStyle w:val="28"/>
              <w:bidi w:val="0"/>
            </w:pPr>
            <w:r>
              <w:t>10月～次年3月</w:t>
            </w:r>
          </w:p>
        </w:tc>
        <w:tc>
          <w:tcPr>
            <w:tcW w:w="1515" w:type="pct"/>
            <w:vAlign w:val="center"/>
          </w:tcPr>
          <w:p w14:paraId="1748C23A">
            <w:pPr>
              <w:pStyle w:val="28"/>
              <w:bidi w:val="0"/>
            </w:pPr>
            <w:r>
              <w:t>渠道停水期施工，筑围堰拦少量渠道汇水</w:t>
            </w:r>
          </w:p>
        </w:tc>
      </w:tr>
      <w:tr w14:paraId="0D2DE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5FD0E49A">
            <w:pPr>
              <w:pStyle w:val="28"/>
              <w:bidi w:val="0"/>
            </w:pPr>
            <w:r>
              <w:t>10</w:t>
            </w:r>
          </w:p>
        </w:tc>
        <w:tc>
          <w:tcPr>
            <w:tcW w:w="814" w:type="pct"/>
            <w:vMerge w:val="continue"/>
            <w:vAlign w:val="center"/>
          </w:tcPr>
          <w:p w14:paraId="48A1A58A">
            <w:pPr>
              <w:pStyle w:val="28"/>
              <w:bidi w:val="0"/>
            </w:pPr>
          </w:p>
        </w:tc>
        <w:tc>
          <w:tcPr>
            <w:tcW w:w="801" w:type="pct"/>
            <w:vAlign w:val="center"/>
          </w:tcPr>
          <w:p w14:paraId="1720523C">
            <w:pPr>
              <w:pStyle w:val="28"/>
              <w:bidi w:val="0"/>
            </w:pPr>
            <w:r>
              <w:rPr>
                <w:rFonts w:hint="eastAsia"/>
              </w:rPr>
              <w:t>瓦西干渠工程</w:t>
            </w:r>
          </w:p>
        </w:tc>
        <w:tc>
          <w:tcPr>
            <w:tcW w:w="875" w:type="pct"/>
            <w:vAlign w:val="center"/>
          </w:tcPr>
          <w:p w14:paraId="21300E66">
            <w:pPr>
              <w:pStyle w:val="28"/>
              <w:bidi w:val="0"/>
            </w:pPr>
            <w:r>
              <w:t>渠道护砌及渠系建筑物</w:t>
            </w:r>
          </w:p>
        </w:tc>
        <w:tc>
          <w:tcPr>
            <w:tcW w:w="683" w:type="pct"/>
            <w:vAlign w:val="center"/>
          </w:tcPr>
          <w:p w14:paraId="7A9C4D0B">
            <w:pPr>
              <w:pStyle w:val="28"/>
              <w:bidi w:val="0"/>
            </w:pPr>
            <w:r>
              <w:t>11月～次年4月/12月～次年3月</w:t>
            </w:r>
          </w:p>
        </w:tc>
        <w:tc>
          <w:tcPr>
            <w:tcW w:w="1515" w:type="pct"/>
            <w:vAlign w:val="center"/>
          </w:tcPr>
          <w:p w14:paraId="7A6B6086">
            <w:pPr>
              <w:pStyle w:val="28"/>
              <w:bidi w:val="0"/>
            </w:pPr>
            <w:r>
              <w:t>停水期施工，筑围堰拦少量渠道汇水，利用泄水建筑物泄水、涵管导流</w:t>
            </w:r>
          </w:p>
        </w:tc>
      </w:tr>
      <w:tr w14:paraId="2F8602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454E0AD4">
            <w:pPr>
              <w:pStyle w:val="28"/>
              <w:bidi w:val="0"/>
            </w:pPr>
            <w:r>
              <w:t>11</w:t>
            </w:r>
          </w:p>
        </w:tc>
        <w:tc>
          <w:tcPr>
            <w:tcW w:w="814" w:type="pct"/>
            <w:vMerge w:val="continue"/>
            <w:vAlign w:val="center"/>
          </w:tcPr>
          <w:p w14:paraId="5E12D0F9">
            <w:pPr>
              <w:pStyle w:val="28"/>
              <w:bidi w:val="0"/>
            </w:pPr>
          </w:p>
        </w:tc>
        <w:tc>
          <w:tcPr>
            <w:tcW w:w="801" w:type="pct"/>
            <w:vAlign w:val="center"/>
          </w:tcPr>
          <w:p w14:paraId="0699ECE7">
            <w:pPr>
              <w:pStyle w:val="28"/>
              <w:bidi w:val="0"/>
            </w:pPr>
            <w:r>
              <w:rPr>
                <w:rFonts w:hint="eastAsia"/>
              </w:rPr>
              <w:t>堰口分干渠工程</w:t>
            </w:r>
          </w:p>
        </w:tc>
        <w:tc>
          <w:tcPr>
            <w:tcW w:w="875" w:type="pct"/>
            <w:vAlign w:val="center"/>
          </w:tcPr>
          <w:p w14:paraId="4B29A7A0">
            <w:pPr>
              <w:pStyle w:val="28"/>
              <w:bidi w:val="0"/>
            </w:pPr>
            <w:r>
              <w:t>渠道护砌及渠系建筑物</w:t>
            </w:r>
          </w:p>
        </w:tc>
        <w:tc>
          <w:tcPr>
            <w:tcW w:w="683" w:type="pct"/>
            <w:vAlign w:val="center"/>
          </w:tcPr>
          <w:p w14:paraId="29F7E926">
            <w:pPr>
              <w:pStyle w:val="28"/>
              <w:bidi w:val="0"/>
            </w:pPr>
            <w:r>
              <w:t>10月～次年3月</w:t>
            </w:r>
          </w:p>
        </w:tc>
        <w:tc>
          <w:tcPr>
            <w:tcW w:w="1515" w:type="pct"/>
            <w:vAlign w:val="center"/>
          </w:tcPr>
          <w:p w14:paraId="69F6F506">
            <w:pPr>
              <w:pStyle w:val="28"/>
              <w:bidi w:val="0"/>
            </w:pPr>
            <w:r>
              <w:t>渠道停水期施工，筑围堰拦少量渠道汇水</w:t>
            </w:r>
          </w:p>
        </w:tc>
      </w:tr>
      <w:tr w14:paraId="66CD2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37D79426">
            <w:pPr>
              <w:pStyle w:val="28"/>
              <w:bidi w:val="0"/>
            </w:pPr>
            <w:r>
              <w:t>12</w:t>
            </w:r>
          </w:p>
        </w:tc>
        <w:tc>
          <w:tcPr>
            <w:tcW w:w="814" w:type="pct"/>
            <w:vMerge w:val="continue"/>
            <w:vAlign w:val="center"/>
          </w:tcPr>
          <w:p w14:paraId="7F7A44DA">
            <w:pPr>
              <w:pStyle w:val="28"/>
              <w:bidi w:val="0"/>
            </w:pPr>
          </w:p>
        </w:tc>
        <w:tc>
          <w:tcPr>
            <w:tcW w:w="801" w:type="pct"/>
            <w:vAlign w:val="center"/>
          </w:tcPr>
          <w:p w14:paraId="13BFF18B">
            <w:pPr>
              <w:pStyle w:val="28"/>
              <w:bidi w:val="0"/>
            </w:pPr>
            <w:r>
              <w:rPr>
                <w:rFonts w:hint="eastAsia"/>
              </w:rPr>
              <w:t>淠源分干渠工程</w:t>
            </w:r>
          </w:p>
        </w:tc>
        <w:tc>
          <w:tcPr>
            <w:tcW w:w="875" w:type="pct"/>
            <w:vAlign w:val="center"/>
          </w:tcPr>
          <w:p w14:paraId="6658F15F">
            <w:pPr>
              <w:pStyle w:val="28"/>
              <w:bidi w:val="0"/>
            </w:pPr>
            <w:r>
              <w:t>渠系建筑物</w:t>
            </w:r>
          </w:p>
        </w:tc>
        <w:tc>
          <w:tcPr>
            <w:tcW w:w="683" w:type="pct"/>
            <w:vAlign w:val="center"/>
          </w:tcPr>
          <w:p w14:paraId="54790A4F">
            <w:pPr>
              <w:pStyle w:val="28"/>
              <w:bidi w:val="0"/>
            </w:pPr>
            <w:r>
              <w:t>12月～次年3月</w:t>
            </w:r>
          </w:p>
        </w:tc>
        <w:tc>
          <w:tcPr>
            <w:tcW w:w="1515" w:type="pct"/>
            <w:vAlign w:val="center"/>
          </w:tcPr>
          <w:p w14:paraId="0B7F7047">
            <w:pPr>
              <w:pStyle w:val="28"/>
              <w:bidi w:val="0"/>
            </w:pPr>
            <w:r>
              <w:t>停水期施工，筑围堰拦少量渠道汇水，涵管导流</w:t>
            </w:r>
          </w:p>
        </w:tc>
      </w:tr>
      <w:tr w14:paraId="334CA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56A6D904">
            <w:pPr>
              <w:pStyle w:val="28"/>
              <w:bidi w:val="0"/>
            </w:pPr>
            <w:r>
              <w:t>13</w:t>
            </w:r>
          </w:p>
        </w:tc>
        <w:tc>
          <w:tcPr>
            <w:tcW w:w="814" w:type="pct"/>
            <w:vMerge w:val="continue"/>
            <w:vAlign w:val="center"/>
          </w:tcPr>
          <w:p w14:paraId="784F7B92">
            <w:pPr>
              <w:pStyle w:val="28"/>
              <w:bidi w:val="0"/>
            </w:pPr>
          </w:p>
        </w:tc>
        <w:tc>
          <w:tcPr>
            <w:tcW w:w="801" w:type="pct"/>
            <w:vAlign w:val="center"/>
          </w:tcPr>
          <w:p w14:paraId="538F291B">
            <w:pPr>
              <w:pStyle w:val="28"/>
              <w:bidi w:val="0"/>
            </w:pPr>
            <w:r>
              <w:rPr>
                <w:rFonts w:hint="eastAsia"/>
              </w:rPr>
              <w:t>小蜀山分干渠工程</w:t>
            </w:r>
          </w:p>
        </w:tc>
        <w:tc>
          <w:tcPr>
            <w:tcW w:w="875" w:type="pct"/>
            <w:vAlign w:val="center"/>
          </w:tcPr>
          <w:p w14:paraId="0CC2C852">
            <w:pPr>
              <w:pStyle w:val="28"/>
              <w:bidi w:val="0"/>
            </w:pPr>
            <w:r>
              <w:t>渠道护砌及渠系建筑物</w:t>
            </w:r>
          </w:p>
        </w:tc>
        <w:tc>
          <w:tcPr>
            <w:tcW w:w="683" w:type="pct"/>
            <w:vAlign w:val="center"/>
          </w:tcPr>
          <w:p w14:paraId="29CAB975">
            <w:pPr>
              <w:pStyle w:val="28"/>
              <w:bidi w:val="0"/>
            </w:pPr>
            <w:r>
              <w:t>10月～次年3月</w:t>
            </w:r>
          </w:p>
        </w:tc>
        <w:tc>
          <w:tcPr>
            <w:tcW w:w="1515" w:type="pct"/>
            <w:vAlign w:val="center"/>
          </w:tcPr>
          <w:p w14:paraId="409ED353">
            <w:pPr>
              <w:pStyle w:val="28"/>
              <w:bidi w:val="0"/>
            </w:pPr>
            <w:r>
              <w:t>停水期施工，筑围堰拦少量渠道汇水，配合涵管导流</w:t>
            </w:r>
          </w:p>
        </w:tc>
      </w:tr>
      <w:tr w14:paraId="31501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2DF721C2">
            <w:pPr>
              <w:pStyle w:val="28"/>
              <w:bidi w:val="0"/>
            </w:pPr>
            <w:r>
              <w:t>14</w:t>
            </w:r>
          </w:p>
        </w:tc>
        <w:tc>
          <w:tcPr>
            <w:tcW w:w="814" w:type="pct"/>
            <w:vMerge w:val="continue"/>
            <w:vAlign w:val="center"/>
          </w:tcPr>
          <w:p w14:paraId="0CCDB1E8">
            <w:pPr>
              <w:pStyle w:val="28"/>
              <w:bidi w:val="0"/>
            </w:pPr>
          </w:p>
        </w:tc>
        <w:tc>
          <w:tcPr>
            <w:tcW w:w="801" w:type="pct"/>
            <w:vAlign w:val="center"/>
          </w:tcPr>
          <w:p w14:paraId="0D415037">
            <w:pPr>
              <w:pStyle w:val="28"/>
              <w:bidi w:val="0"/>
            </w:pPr>
            <w:r>
              <w:rPr>
                <w:rFonts w:hint="eastAsia"/>
              </w:rPr>
              <w:t>瓦东双庙支渠工程</w:t>
            </w:r>
          </w:p>
        </w:tc>
        <w:tc>
          <w:tcPr>
            <w:tcW w:w="875" w:type="pct"/>
            <w:vAlign w:val="center"/>
          </w:tcPr>
          <w:p w14:paraId="62B74424">
            <w:pPr>
              <w:pStyle w:val="28"/>
              <w:bidi w:val="0"/>
            </w:pPr>
            <w:r>
              <w:t>渠道护砌及渠系建筑物</w:t>
            </w:r>
          </w:p>
        </w:tc>
        <w:tc>
          <w:tcPr>
            <w:tcW w:w="683" w:type="pct"/>
            <w:vAlign w:val="center"/>
          </w:tcPr>
          <w:p w14:paraId="1A5880C4">
            <w:pPr>
              <w:pStyle w:val="28"/>
              <w:bidi w:val="0"/>
            </w:pPr>
            <w:r>
              <w:t>10月～次年3月</w:t>
            </w:r>
          </w:p>
        </w:tc>
        <w:tc>
          <w:tcPr>
            <w:tcW w:w="1515" w:type="pct"/>
            <w:vAlign w:val="center"/>
          </w:tcPr>
          <w:p w14:paraId="42FD80E3">
            <w:pPr>
              <w:pStyle w:val="28"/>
              <w:bidi w:val="0"/>
            </w:pPr>
            <w:r>
              <w:t>渠道停水期施工，筑围堰拦少量渠道汇水</w:t>
            </w:r>
          </w:p>
        </w:tc>
      </w:tr>
      <w:tr w14:paraId="310EC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33A00457">
            <w:pPr>
              <w:pStyle w:val="28"/>
              <w:bidi w:val="0"/>
            </w:pPr>
            <w:r>
              <w:t>15</w:t>
            </w:r>
          </w:p>
        </w:tc>
        <w:tc>
          <w:tcPr>
            <w:tcW w:w="814" w:type="pct"/>
            <w:vMerge w:val="continue"/>
            <w:vAlign w:val="center"/>
          </w:tcPr>
          <w:p w14:paraId="3D20A75E">
            <w:pPr>
              <w:pStyle w:val="28"/>
              <w:bidi w:val="0"/>
            </w:pPr>
          </w:p>
        </w:tc>
        <w:tc>
          <w:tcPr>
            <w:tcW w:w="801" w:type="pct"/>
            <w:vAlign w:val="center"/>
          </w:tcPr>
          <w:p w14:paraId="68076272">
            <w:pPr>
              <w:pStyle w:val="28"/>
              <w:bidi w:val="0"/>
            </w:pPr>
            <w:r>
              <w:rPr>
                <w:rFonts w:hint="eastAsia"/>
              </w:rPr>
              <w:t>东风支渠工程</w:t>
            </w:r>
          </w:p>
        </w:tc>
        <w:tc>
          <w:tcPr>
            <w:tcW w:w="875" w:type="pct"/>
            <w:vAlign w:val="center"/>
          </w:tcPr>
          <w:p w14:paraId="652AB4CE">
            <w:pPr>
              <w:pStyle w:val="28"/>
              <w:bidi w:val="0"/>
            </w:pPr>
            <w:r>
              <w:t>渠道护砌及渠系建筑物</w:t>
            </w:r>
          </w:p>
        </w:tc>
        <w:tc>
          <w:tcPr>
            <w:tcW w:w="683" w:type="pct"/>
            <w:vAlign w:val="center"/>
          </w:tcPr>
          <w:p w14:paraId="769B965D">
            <w:pPr>
              <w:pStyle w:val="28"/>
              <w:bidi w:val="0"/>
            </w:pPr>
            <w:r>
              <w:t>10月～次年3月</w:t>
            </w:r>
          </w:p>
        </w:tc>
        <w:tc>
          <w:tcPr>
            <w:tcW w:w="1515" w:type="pct"/>
            <w:vAlign w:val="center"/>
          </w:tcPr>
          <w:p w14:paraId="42CA39EC">
            <w:pPr>
              <w:pStyle w:val="28"/>
              <w:bidi w:val="0"/>
            </w:pPr>
            <w:r>
              <w:t>渠道停水期施工，筑围堰拦少量渠道汇水</w:t>
            </w:r>
          </w:p>
        </w:tc>
      </w:tr>
      <w:tr w14:paraId="697A3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2EE3A7AB">
            <w:pPr>
              <w:pStyle w:val="28"/>
              <w:bidi w:val="0"/>
            </w:pPr>
            <w:r>
              <w:t>16</w:t>
            </w:r>
          </w:p>
        </w:tc>
        <w:tc>
          <w:tcPr>
            <w:tcW w:w="814" w:type="pct"/>
            <w:vMerge w:val="continue"/>
            <w:vAlign w:val="center"/>
          </w:tcPr>
          <w:p w14:paraId="35EA9C39">
            <w:pPr>
              <w:pStyle w:val="28"/>
              <w:bidi w:val="0"/>
            </w:pPr>
          </w:p>
        </w:tc>
        <w:tc>
          <w:tcPr>
            <w:tcW w:w="801" w:type="pct"/>
            <w:vAlign w:val="center"/>
          </w:tcPr>
          <w:p w14:paraId="710D2433">
            <w:pPr>
              <w:pStyle w:val="28"/>
              <w:bidi w:val="0"/>
            </w:pPr>
            <w:r>
              <w:rPr>
                <w:rFonts w:hint="eastAsia"/>
              </w:rPr>
              <w:t>界河支渠工程</w:t>
            </w:r>
          </w:p>
        </w:tc>
        <w:tc>
          <w:tcPr>
            <w:tcW w:w="875" w:type="pct"/>
            <w:vAlign w:val="center"/>
          </w:tcPr>
          <w:p w14:paraId="51DA952A">
            <w:pPr>
              <w:pStyle w:val="28"/>
              <w:bidi w:val="0"/>
            </w:pPr>
            <w:r>
              <w:t>渠道护砌及渠系建筑物</w:t>
            </w:r>
          </w:p>
        </w:tc>
        <w:tc>
          <w:tcPr>
            <w:tcW w:w="683" w:type="pct"/>
            <w:vAlign w:val="center"/>
          </w:tcPr>
          <w:p w14:paraId="0E87ACD5">
            <w:pPr>
              <w:pStyle w:val="28"/>
              <w:bidi w:val="0"/>
            </w:pPr>
            <w:r>
              <w:t>10月～次年3月</w:t>
            </w:r>
          </w:p>
        </w:tc>
        <w:tc>
          <w:tcPr>
            <w:tcW w:w="1515" w:type="pct"/>
            <w:vAlign w:val="center"/>
          </w:tcPr>
          <w:p w14:paraId="41C34206">
            <w:pPr>
              <w:pStyle w:val="28"/>
              <w:bidi w:val="0"/>
            </w:pPr>
            <w:r>
              <w:t>停水期施工，筑围堰拦少量渠道汇水，泄水建筑物排水</w:t>
            </w:r>
          </w:p>
        </w:tc>
      </w:tr>
      <w:tr w14:paraId="724DE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77FD8B34">
            <w:pPr>
              <w:pStyle w:val="28"/>
              <w:bidi w:val="0"/>
            </w:pPr>
            <w:r>
              <w:t>17</w:t>
            </w:r>
          </w:p>
        </w:tc>
        <w:tc>
          <w:tcPr>
            <w:tcW w:w="814" w:type="pct"/>
            <w:vMerge w:val="continue"/>
            <w:vAlign w:val="center"/>
          </w:tcPr>
          <w:p w14:paraId="31C765ED">
            <w:pPr>
              <w:pStyle w:val="28"/>
              <w:bidi w:val="0"/>
            </w:pPr>
          </w:p>
        </w:tc>
        <w:tc>
          <w:tcPr>
            <w:tcW w:w="801" w:type="pct"/>
            <w:vAlign w:val="center"/>
          </w:tcPr>
          <w:p w14:paraId="2F5ED429">
            <w:pPr>
              <w:pStyle w:val="28"/>
              <w:bidi w:val="0"/>
            </w:pPr>
            <w:r>
              <w:rPr>
                <w:rFonts w:hint="eastAsia"/>
              </w:rPr>
              <w:t>义河支渠工程</w:t>
            </w:r>
          </w:p>
        </w:tc>
        <w:tc>
          <w:tcPr>
            <w:tcW w:w="875" w:type="pct"/>
            <w:vAlign w:val="center"/>
          </w:tcPr>
          <w:p w14:paraId="17FD7F54">
            <w:pPr>
              <w:pStyle w:val="28"/>
              <w:bidi w:val="0"/>
            </w:pPr>
            <w:r>
              <w:t>渠道护砌及渠系建筑物</w:t>
            </w:r>
          </w:p>
        </w:tc>
        <w:tc>
          <w:tcPr>
            <w:tcW w:w="683" w:type="pct"/>
            <w:vAlign w:val="center"/>
          </w:tcPr>
          <w:p w14:paraId="5B2E71EE">
            <w:pPr>
              <w:pStyle w:val="28"/>
              <w:bidi w:val="0"/>
            </w:pPr>
            <w:r>
              <w:t>10月～次年3月</w:t>
            </w:r>
          </w:p>
        </w:tc>
        <w:tc>
          <w:tcPr>
            <w:tcW w:w="1515" w:type="pct"/>
            <w:vAlign w:val="center"/>
          </w:tcPr>
          <w:p w14:paraId="52E25063">
            <w:pPr>
              <w:pStyle w:val="28"/>
              <w:bidi w:val="0"/>
            </w:pPr>
            <w:r>
              <w:t>停水期施工，筑围堰拦少量渠道汇水，泄水建筑物排水</w:t>
            </w:r>
          </w:p>
        </w:tc>
      </w:tr>
      <w:tr w14:paraId="696F3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40E00286">
            <w:pPr>
              <w:pStyle w:val="28"/>
              <w:bidi w:val="0"/>
            </w:pPr>
            <w:r>
              <w:t>18</w:t>
            </w:r>
          </w:p>
        </w:tc>
        <w:tc>
          <w:tcPr>
            <w:tcW w:w="814" w:type="pct"/>
            <w:vMerge w:val="continue"/>
            <w:vAlign w:val="center"/>
          </w:tcPr>
          <w:p w14:paraId="658B1C5C">
            <w:pPr>
              <w:pStyle w:val="28"/>
              <w:bidi w:val="0"/>
            </w:pPr>
          </w:p>
        </w:tc>
        <w:tc>
          <w:tcPr>
            <w:tcW w:w="801" w:type="pct"/>
            <w:vAlign w:val="center"/>
          </w:tcPr>
          <w:p w14:paraId="4D219427">
            <w:pPr>
              <w:pStyle w:val="28"/>
              <w:bidi w:val="0"/>
            </w:pPr>
            <w:r>
              <w:rPr>
                <w:rFonts w:hint="eastAsia"/>
              </w:rPr>
              <w:t>袁店支渠工程</w:t>
            </w:r>
          </w:p>
        </w:tc>
        <w:tc>
          <w:tcPr>
            <w:tcW w:w="875" w:type="pct"/>
            <w:vAlign w:val="center"/>
          </w:tcPr>
          <w:p w14:paraId="762A42C6">
            <w:pPr>
              <w:pStyle w:val="28"/>
              <w:bidi w:val="0"/>
            </w:pPr>
            <w:r>
              <w:t>渠道护砌及渠系建筑物</w:t>
            </w:r>
          </w:p>
        </w:tc>
        <w:tc>
          <w:tcPr>
            <w:tcW w:w="683" w:type="pct"/>
            <w:vAlign w:val="center"/>
          </w:tcPr>
          <w:p w14:paraId="10264E7B">
            <w:pPr>
              <w:pStyle w:val="28"/>
              <w:bidi w:val="0"/>
            </w:pPr>
            <w:r>
              <w:t>10月～次年3月</w:t>
            </w:r>
          </w:p>
        </w:tc>
        <w:tc>
          <w:tcPr>
            <w:tcW w:w="1515" w:type="pct"/>
            <w:vAlign w:val="center"/>
          </w:tcPr>
          <w:p w14:paraId="70D9E434">
            <w:pPr>
              <w:pStyle w:val="28"/>
              <w:bidi w:val="0"/>
            </w:pPr>
            <w:r>
              <w:t>停水期施工，筑围堰拦少量渠道汇水，泄水建筑物排水</w:t>
            </w:r>
          </w:p>
        </w:tc>
      </w:tr>
      <w:tr w14:paraId="7D966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42F3B1ED">
            <w:pPr>
              <w:pStyle w:val="28"/>
              <w:bidi w:val="0"/>
            </w:pPr>
            <w:r>
              <w:t>19</w:t>
            </w:r>
          </w:p>
        </w:tc>
        <w:tc>
          <w:tcPr>
            <w:tcW w:w="814" w:type="pct"/>
            <w:vMerge w:val="continue"/>
            <w:vAlign w:val="center"/>
          </w:tcPr>
          <w:p w14:paraId="0D9DEDD3">
            <w:pPr>
              <w:pStyle w:val="28"/>
              <w:bidi w:val="0"/>
            </w:pPr>
          </w:p>
        </w:tc>
        <w:tc>
          <w:tcPr>
            <w:tcW w:w="801" w:type="pct"/>
            <w:vAlign w:val="center"/>
          </w:tcPr>
          <w:p w14:paraId="0E9A2315">
            <w:pPr>
              <w:pStyle w:val="28"/>
              <w:bidi w:val="0"/>
            </w:pPr>
            <w:r>
              <w:rPr>
                <w:rFonts w:hint="eastAsia"/>
              </w:rPr>
              <w:t>堰西支渠工程</w:t>
            </w:r>
          </w:p>
        </w:tc>
        <w:tc>
          <w:tcPr>
            <w:tcW w:w="875" w:type="pct"/>
            <w:vAlign w:val="center"/>
          </w:tcPr>
          <w:p w14:paraId="5802B8A5">
            <w:pPr>
              <w:pStyle w:val="28"/>
              <w:bidi w:val="0"/>
            </w:pPr>
            <w:r>
              <w:t>渠道护砌及渠系建筑物</w:t>
            </w:r>
          </w:p>
        </w:tc>
        <w:tc>
          <w:tcPr>
            <w:tcW w:w="683" w:type="pct"/>
            <w:vAlign w:val="center"/>
          </w:tcPr>
          <w:p w14:paraId="660F47B8">
            <w:pPr>
              <w:pStyle w:val="28"/>
              <w:bidi w:val="0"/>
            </w:pPr>
            <w:r>
              <w:t>10月～次年3月</w:t>
            </w:r>
          </w:p>
        </w:tc>
        <w:tc>
          <w:tcPr>
            <w:tcW w:w="1515" w:type="pct"/>
            <w:vAlign w:val="center"/>
          </w:tcPr>
          <w:p w14:paraId="4443AE95">
            <w:pPr>
              <w:pStyle w:val="28"/>
              <w:bidi w:val="0"/>
            </w:pPr>
            <w:r>
              <w:t>停水期施工，筑围堰拦少量渠道汇水，泄水建筑物排水</w:t>
            </w:r>
          </w:p>
        </w:tc>
      </w:tr>
      <w:tr w14:paraId="296DF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2D839C57">
            <w:pPr>
              <w:pStyle w:val="28"/>
              <w:bidi w:val="0"/>
            </w:pPr>
            <w:r>
              <w:t>20</w:t>
            </w:r>
          </w:p>
        </w:tc>
        <w:tc>
          <w:tcPr>
            <w:tcW w:w="814" w:type="pct"/>
            <w:vMerge w:val="continue"/>
            <w:vAlign w:val="center"/>
          </w:tcPr>
          <w:p w14:paraId="14BB9DF4">
            <w:pPr>
              <w:pStyle w:val="28"/>
              <w:bidi w:val="0"/>
            </w:pPr>
          </w:p>
        </w:tc>
        <w:tc>
          <w:tcPr>
            <w:tcW w:w="801" w:type="pct"/>
            <w:vAlign w:val="center"/>
          </w:tcPr>
          <w:p w14:paraId="5612EFD6">
            <w:pPr>
              <w:pStyle w:val="28"/>
              <w:bidi w:val="0"/>
            </w:pPr>
            <w:r>
              <w:rPr>
                <w:rFonts w:hint="eastAsia"/>
              </w:rPr>
              <w:t>众兴双庙支渠工程</w:t>
            </w:r>
          </w:p>
        </w:tc>
        <w:tc>
          <w:tcPr>
            <w:tcW w:w="875" w:type="pct"/>
            <w:vAlign w:val="center"/>
          </w:tcPr>
          <w:p w14:paraId="5F9041E2">
            <w:pPr>
              <w:pStyle w:val="28"/>
              <w:bidi w:val="0"/>
            </w:pPr>
            <w:r>
              <w:t>渠道护砌及渠系建筑物</w:t>
            </w:r>
          </w:p>
        </w:tc>
        <w:tc>
          <w:tcPr>
            <w:tcW w:w="683" w:type="pct"/>
            <w:vAlign w:val="center"/>
          </w:tcPr>
          <w:p w14:paraId="4E0F21E5">
            <w:pPr>
              <w:pStyle w:val="28"/>
              <w:bidi w:val="0"/>
            </w:pPr>
            <w:r>
              <w:t>10月～次年3月</w:t>
            </w:r>
          </w:p>
        </w:tc>
        <w:tc>
          <w:tcPr>
            <w:tcW w:w="1515" w:type="pct"/>
            <w:vAlign w:val="center"/>
          </w:tcPr>
          <w:p w14:paraId="7B36F4BF">
            <w:pPr>
              <w:pStyle w:val="28"/>
              <w:bidi w:val="0"/>
            </w:pPr>
            <w:r>
              <w:t>渠道停水期施工，筑围堰拦少量渠道汇水</w:t>
            </w:r>
          </w:p>
        </w:tc>
      </w:tr>
      <w:tr w14:paraId="196D75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42F4E27F">
            <w:pPr>
              <w:pStyle w:val="28"/>
              <w:bidi w:val="0"/>
            </w:pPr>
            <w:r>
              <w:t>21</w:t>
            </w:r>
          </w:p>
        </w:tc>
        <w:tc>
          <w:tcPr>
            <w:tcW w:w="814" w:type="pct"/>
            <w:vMerge w:val="continue"/>
            <w:vAlign w:val="center"/>
          </w:tcPr>
          <w:p w14:paraId="67BD87FE">
            <w:pPr>
              <w:pStyle w:val="28"/>
              <w:bidi w:val="0"/>
            </w:pPr>
          </w:p>
        </w:tc>
        <w:tc>
          <w:tcPr>
            <w:tcW w:w="801" w:type="pct"/>
            <w:vAlign w:val="center"/>
          </w:tcPr>
          <w:p w14:paraId="3729AAFB">
            <w:pPr>
              <w:pStyle w:val="28"/>
              <w:bidi w:val="0"/>
            </w:pPr>
            <w:r>
              <w:rPr>
                <w:rFonts w:hint="eastAsia"/>
              </w:rPr>
              <w:t>大高支渠工程</w:t>
            </w:r>
          </w:p>
        </w:tc>
        <w:tc>
          <w:tcPr>
            <w:tcW w:w="875" w:type="pct"/>
            <w:vAlign w:val="center"/>
          </w:tcPr>
          <w:p w14:paraId="19550E66">
            <w:pPr>
              <w:pStyle w:val="28"/>
              <w:bidi w:val="0"/>
            </w:pPr>
            <w:r>
              <w:t>渠道护砌及渠系建筑物</w:t>
            </w:r>
          </w:p>
        </w:tc>
        <w:tc>
          <w:tcPr>
            <w:tcW w:w="683" w:type="pct"/>
            <w:vAlign w:val="center"/>
          </w:tcPr>
          <w:p w14:paraId="514C42E9">
            <w:pPr>
              <w:pStyle w:val="28"/>
              <w:bidi w:val="0"/>
            </w:pPr>
            <w:r>
              <w:t>10月～次年3月</w:t>
            </w:r>
          </w:p>
        </w:tc>
        <w:tc>
          <w:tcPr>
            <w:tcW w:w="1515" w:type="pct"/>
            <w:vAlign w:val="center"/>
          </w:tcPr>
          <w:p w14:paraId="08792F36">
            <w:pPr>
              <w:pStyle w:val="28"/>
              <w:bidi w:val="0"/>
            </w:pPr>
            <w:r>
              <w:t>停水期施工，筑围堰拦少量渠道汇水，配合涵管导流</w:t>
            </w:r>
          </w:p>
        </w:tc>
      </w:tr>
      <w:tr w14:paraId="69873F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25F4A421">
            <w:pPr>
              <w:pStyle w:val="28"/>
              <w:bidi w:val="0"/>
            </w:pPr>
            <w:r>
              <w:t>2</w:t>
            </w:r>
            <w:r>
              <w:rPr>
                <w:rFonts w:hint="eastAsia"/>
              </w:rPr>
              <w:t>2</w:t>
            </w:r>
          </w:p>
        </w:tc>
        <w:tc>
          <w:tcPr>
            <w:tcW w:w="814" w:type="pct"/>
            <w:vMerge w:val="continue"/>
            <w:vAlign w:val="center"/>
          </w:tcPr>
          <w:p w14:paraId="74D094FA">
            <w:pPr>
              <w:pStyle w:val="28"/>
              <w:bidi w:val="0"/>
            </w:pPr>
          </w:p>
        </w:tc>
        <w:tc>
          <w:tcPr>
            <w:tcW w:w="801" w:type="pct"/>
            <w:vAlign w:val="center"/>
          </w:tcPr>
          <w:p w14:paraId="63E2AF63">
            <w:pPr>
              <w:pStyle w:val="28"/>
              <w:bidi w:val="0"/>
            </w:pPr>
            <w:r>
              <w:rPr>
                <w:rFonts w:hint="eastAsia"/>
              </w:rPr>
              <w:t>白龙支渠工程</w:t>
            </w:r>
          </w:p>
        </w:tc>
        <w:tc>
          <w:tcPr>
            <w:tcW w:w="875" w:type="pct"/>
            <w:vAlign w:val="center"/>
          </w:tcPr>
          <w:p w14:paraId="2997A41B">
            <w:pPr>
              <w:pStyle w:val="28"/>
              <w:bidi w:val="0"/>
            </w:pPr>
            <w:r>
              <w:t>渠道护砌及渠系建筑物</w:t>
            </w:r>
          </w:p>
        </w:tc>
        <w:tc>
          <w:tcPr>
            <w:tcW w:w="683" w:type="pct"/>
            <w:vAlign w:val="center"/>
          </w:tcPr>
          <w:p w14:paraId="464CE93D">
            <w:pPr>
              <w:pStyle w:val="28"/>
              <w:bidi w:val="0"/>
            </w:pPr>
            <w:r>
              <w:t>10月～次年3月</w:t>
            </w:r>
          </w:p>
        </w:tc>
        <w:tc>
          <w:tcPr>
            <w:tcW w:w="1515" w:type="pct"/>
            <w:vAlign w:val="center"/>
          </w:tcPr>
          <w:p w14:paraId="5C2AFCCD">
            <w:pPr>
              <w:pStyle w:val="28"/>
              <w:bidi w:val="0"/>
            </w:pPr>
            <w:r>
              <w:t>停水期施工，筑围堰拦少量渠道汇水，配合涵管导流</w:t>
            </w:r>
          </w:p>
        </w:tc>
      </w:tr>
      <w:tr w14:paraId="47975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23439C54">
            <w:pPr>
              <w:pStyle w:val="28"/>
              <w:bidi w:val="0"/>
            </w:pPr>
            <w:r>
              <w:t>23</w:t>
            </w:r>
          </w:p>
        </w:tc>
        <w:tc>
          <w:tcPr>
            <w:tcW w:w="814" w:type="pct"/>
            <w:vMerge w:val="continue"/>
            <w:vAlign w:val="center"/>
          </w:tcPr>
          <w:p w14:paraId="533B396F">
            <w:pPr>
              <w:pStyle w:val="28"/>
              <w:bidi w:val="0"/>
            </w:pPr>
          </w:p>
        </w:tc>
        <w:tc>
          <w:tcPr>
            <w:tcW w:w="801" w:type="pct"/>
            <w:vAlign w:val="center"/>
          </w:tcPr>
          <w:p w14:paraId="71421A4D">
            <w:pPr>
              <w:pStyle w:val="28"/>
              <w:bidi w:val="0"/>
            </w:pPr>
            <w:r>
              <w:rPr>
                <w:rFonts w:hint="eastAsia"/>
              </w:rPr>
              <w:t>沣东干渠工程</w:t>
            </w:r>
          </w:p>
        </w:tc>
        <w:tc>
          <w:tcPr>
            <w:tcW w:w="875" w:type="pct"/>
            <w:vAlign w:val="center"/>
          </w:tcPr>
          <w:p w14:paraId="225E66E1">
            <w:pPr>
              <w:pStyle w:val="28"/>
              <w:bidi w:val="0"/>
            </w:pPr>
            <w:r>
              <w:t>渠道护砌及渠系建筑物</w:t>
            </w:r>
          </w:p>
        </w:tc>
        <w:tc>
          <w:tcPr>
            <w:tcW w:w="683" w:type="pct"/>
            <w:vAlign w:val="center"/>
          </w:tcPr>
          <w:p w14:paraId="0563A946">
            <w:pPr>
              <w:pStyle w:val="28"/>
              <w:bidi w:val="0"/>
            </w:pPr>
            <w:r>
              <w:t>10月～次年3月</w:t>
            </w:r>
          </w:p>
        </w:tc>
        <w:tc>
          <w:tcPr>
            <w:tcW w:w="1515" w:type="pct"/>
            <w:vAlign w:val="center"/>
          </w:tcPr>
          <w:p w14:paraId="2047E926">
            <w:pPr>
              <w:pStyle w:val="28"/>
              <w:bidi w:val="0"/>
            </w:pPr>
            <w:r>
              <w:t>渠道停水期施工，筑围堰拦少量渠道汇水，涵管导流</w:t>
            </w:r>
          </w:p>
        </w:tc>
      </w:tr>
      <w:tr w14:paraId="55B84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34A7D4E3">
            <w:pPr>
              <w:pStyle w:val="28"/>
              <w:bidi w:val="0"/>
            </w:pPr>
            <w:r>
              <w:t>24</w:t>
            </w:r>
          </w:p>
        </w:tc>
        <w:tc>
          <w:tcPr>
            <w:tcW w:w="814" w:type="pct"/>
            <w:vMerge w:val="continue"/>
            <w:vAlign w:val="center"/>
          </w:tcPr>
          <w:p w14:paraId="6D785913">
            <w:pPr>
              <w:pStyle w:val="28"/>
              <w:bidi w:val="0"/>
            </w:pPr>
          </w:p>
        </w:tc>
        <w:tc>
          <w:tcPr>
            <w:tcW w:w="801" w:type="pct"/>
            <w:vAlign w:val="center"/>
          </w:tcPr>
          <w:p w14:paraId="501920ED">
            <w:pPr>
              <w:pStyle w:val="28"/>
              <w:bidi w:val="0"/>
            </w:pPr>
            <w:r>
              <w:rPr>
                <w:rFonts w:hint="eastAsia"/>
              </w:rPr>
              <w:t>沣西干渠工程</w:t>
            </w:r>
          </w:p>
        </w:tc>
        <w:tc>
          <w:tcPr>
            <w:tcW w:w="875" w:type="pct"/>
            <w:vAlign w:val="center"/>
          </w:tcPr>
          <w:p w14:paraId="4BB52959">
            <w:pPr>
              <w:pStyle w:val="28"/>
              <w:bidi w:val="0"/>
            </w:pPr>
            <w:r>
              <w:t>渠道护砌及渠系建筑物</w:t>
            </w:r>
          </w:p>
        </w:tc>
        <w:tc>
          <w:tcPr>
            <w:tcW w:w="683" w:type="pct"/>
            <w:vAlign w:val="center"/>
          </w:tcPr>
          <w:p w14:paraId="1257AD44">
            <w:pPr>
              <w:pStyle w:val="28"/>
              <w:bidi w:val="0"/>
            </w:pPr>
            <w:r>
              <w:t>11月～次年4月/12月～次年3月</w:t>
            </w:r>
          </w:p>
        </w:tc>
        <w:tc>
          <w:tcPr>
            <w:tcW w:w="1515" w:type="pct"/>
            <w:vAlign w:val="center"/>
          </w:tcPr>
          <w:p w14:paraId="60A053EF">
            <w:pPr>
              <w:pStyle w:val="28"/>
              <w:bidi w:val="0"/>
            </w:pPr>
            <w:r>
              <w:t>停水期施工，筑围堰拦少量渠道汇水，涵管导流</w:t>
            </w:r>
          </w:p>
        </w:tc>
      </w:tr>
      <w:tr w14:paraId="5392C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5BC9FE37">
            <w:pPr>
              <w:pStyle w:val="28"/>
              <w:bidi w:val="0"/>
            </w:pPr>
            <w:r>
              <w:t>25</w:t>
            </w:r>
          </w:p>
        </w:tc>
        <w:tc>
          <w:tcPr>
            <w:tcW w:w="814" w:type="pct"/>
            <w:vMerge w:val="continue"/>
            <w:vAlign w:val="center"/>
          </w:tcPr>
          <w:p w14:paraId="1D5E3AF0">
            <w:pPr>
              <w:pStyle w:val="28"/>
              <w:bidi w:val="0"/>
            </w:pPr>
          </w:p>
        </w:tc>
        <w:tc>
          <w:tcPr>
            <w:tcW w:w="801" w:type="pct"/>
            <w:vAlign w:val="center"/>
          </w:tcPr>
          <w:p w14:paraId="6022BAE1">
            <w:pPr>
              <w:pStyle w:val="28"/>
              <w:bidi w:val="0"/>
            </w:pPr>
            <w:r>
              <w:rPr>
                <w:rFonts w:hint="eastAsia"/>
              </w:rPr>
              <w:t>姚李支渠工程</w:t>
            </w:r>
          </w:p>
        </w:tc>
        <w:tc>
          <w:tcPr>
            <w:tcW w:w="875" w:type="pct"/>
            <w:vAlign w:val="center"/>
          </w:tcPr>
          <w:p w14:paraId="6B291D0C">
            <w:pPr>
              <w:pStyle w:val="28"/>
              <w:bidi w:val="0"/>
            </w:pPr>
            <w:r>
              <w:t>渠道护砌及渠系建筑物</w:t>
            </w:r>
          </w:p>
        </w:tc>
        <w:tc>
          <w:tcPr>
            <w:tcW w:w="683" w:type="pct"/>
            <w:vAlign w:val="center"/>
          </w:tcPr>
          <w:p w14:paraId="055C1DBD">
            <w:pPr>
              <w:pStyle w:val="28"/>
              <w:bidi w:val="0"/>
            </w:pPr>
            <w:r>
              <w:t>11月～次年4月/12月～次年3月</w:t>
            </w:r>
          </w:p>
        </w:tc>
        <w:tc>
          <w:tcPr>
            <w:tcW w:w="1515" w:type="pct"/>
            <w:vAlign w:val="center"/>
          </w:tcPr>
          <w:p w14:paraId="7AE243C9">
            <w:pPr>
              <w:pStyle w:val="28"/>
              <w:bidi w:val="0"/>
            </w:pPr>
            <w:r>
              <w:t>停水期施工，筑围堰拦少量渠道汇水，涵管导流</w:t>
            </w:r>
          </w:p>
        </w:tc>
      </w:tr>
      <w:tr w14:paraId="647D9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2CB05787">
            <w:pPr>
              <w:pStyle w:val="28"/>
              <w:bidi w:val="0"/>
            </w:pPr>
            <w:r>
              <w:t>26</w:t>
            </w:r>
          </w:p>
        </w:tc>
        <w:tc>
          <w:tcPr>
            <w:tcW w:w="814" w:type="pct"/>
            <w:vMerge w:val="continue"/>
            <w:vAlign w:val="center"/>
          </w:tcPr>
          <w:p w14:paraId="713D580E">
            <w:pPr>
              <w:pStyle w:val="28"/>
              <w:bidi w:val="0"/>
            </w:pPr>
          </w:p>
        </w:tc>
        <w:tc>
          <w:tcPr>
            <w:tcW w:w="801" w:type="pct"/>
            <w:vAlign w:val="center"/>
          </w:tcPr>
          <w:p w14:paraId="0D8CC877">
            <w:pPr>
              <w:pStyle w:val="28"/>
              <w:bidi w:val="0"/>
            </w:pPr>
            <w:r>
              <w:rPr>
                <w:rFonts w:hint="eastAsia"/>
              </w:rPr>
              <w:t>胜天支渠工程</w:t>
            </w:r>
          </w:p>
        </w:tc>
        <w:tc>
          <w:tcPr>
            <w:tcW w:w="875" w:type="pct"/>
            <w:vAlign w:val="center"/>
          </w:tcPr>
          <w:p w14:paraId="43BD63E4">
            <w:pPr>
              <w:pStyle w:val="28"/>
              <w:bidi w:val="0"/>
            </w:pPr>
            <w:r>
              <w:t>渠道护砌及渠系建筑物</w:t>
            </w:r>
          </w:p>
        </w:tc>
        <w:tc>
          <w:tcPr>
            <w:tcW w:w="683" w:type="pct"/>
            <w:vAlign w:val="center"/>
          </w:tcPr>
          <w:p w14:paraId="3BEA9139">
            <w:pPr>
              <w:pStyle w:val="28"/>
              <w:bidi w:val="0"/>
            </w:pPr>
            <w:r>
              <w:t>11月～次年4月/12月～次年3月</w:t>
            </w:r>
          </w:p>
        </w:tc>
        <w:tc>
          <w:tcPr>
            <w:tcW w:w="1515" w:type="pct"/>
            <w:vAlign w:val="center"/>
          </w:tcPr>
          <w:p w14:paraId="1A72A468">
            <w:pPr>
              <w:pStyle w:val="28"/>
              <w:bidi w:val="0"/>
            </w:pPr>
            <w:r>
              <w:t>停水期施工，筑围堰拦少量渠道汇水，涵管导流</w:t>
            </w:r>
          </w:p>
        </w:tc>
      </w:tr>
      <w:tr w14:paraId="698503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6BE96599">
            <w:pPr>
              <w:pStyle w:val="28"/>
              <w:bidi w:val="0"/>
            </w:pPr>
            <w:r>
              <w:t>27</w:t>
            </w:r>
          </w:p>
        </w:tc>
        <w:tc>
          <w:tcPr>
            <w:tcW w:w="814" w:type="pct"/>
            <w:vMerge w:val="continue"/>
            <w:vAlign w:val="center"/>
          </w:tcPr>
          <w:p w14:paraId="460874C1">
            <w:pPr>
              <w:pStyle w:val="28"/>
              <w:bidi w:val="0"/>
            </w:pPr>
          </w:p>
        </w:tc>
        <w:tc>
          <w:tcPr>
            <w:tcW w:w="801" w:type="pct"/>
            <w:vAlign w:val="center"/>
          </w:tcPr>
          <w:p w14:paraId="14A6DFCE">
            <w:pPr>
              <w:pStyle w:val="28"/>
              <w:bidi w:val="0"/>
            </w:pPr>
            <w:r>
              <w:rPr>
                <w:rFonts w:hint="eastAsia"/>
              </w:rPr>
              <w:t>乌斗支渠工程</w:t>
            </w:r>
          </w:p>
        </w:tc>
        <w:tc>
          <w:tcPr>
            <w:tcW w:w="875" w:type="pct"/>
            <w:vAlign w:val="center"/>
          </w:tcPr>
          <w:p w14:paraId="074A34D2">
            <w:pPr>
              <w:pStyle w:val="28"/>
              <w:bidi w:val="0"/>
            </w:pPr>
            <w:r>
              <w:t>渠道护砌及渠系建筑物</w:t>
            </w:r>
          </w:p>
        </w:tc>
        <w:tc>
          <w:tcPr>
            <w:tcW w:w="683" w:type="pct"/>
            <w:vAlign w:val="center"/>
          </w:tcPr>
          <w:p w14:paraId="617B2F12">
            <w:pPr>
              <w:pStyle w:val="28"/>
              <w:bidi w:val="0"/>
            </w:pPr>
            <w:r>
              <w:t>11月～次年4月/12月～次年3月</w:t>
            </w:r>
          </w:p>
        </w:tc>
        <w:tc>
          <w:tcPr>
            <w:tcW w:w="1515" w:type="pct"/>
            <w:vAlign w:val="center"/>
          </w:tcPr>
          <w:p w14:paraId="36ABDF22">
            <w:pPr>
              <w:pStyle w:val="28"/>
              <w:bidi w:val="0"/>
            </w:pPr>
            <w:r>
              <w:t>停水期施工，筑围堰拦少量渠道汇水，涵管导流</w:t>
            </w:r>
          </w:p>
        </w:tc>
      </w:tr>
      <w:tr w14:paraId="4ED6F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33FFDB99">
            <w:pPr>
              <w:pStyle w:val="28"/>
              <w:bidi w:val="0"/>
            </w:pPr>
            <w:r>
              <w:t>2</w:t>
            </w:r>
            <w:r>
              <w:rPr>
                <w:rFonts w:hint="eastAsia"/>
              </w:rPr>
              <w:t>8</w:t>
            </w:r>
          </w:p>
        </w:tc>
        <w:tc>
          <w:tcPr>
            <w:tcW w:w="814" w:type="pct"/>
            <w:vMerge w:val="continue"/>
            <w:vAlign w:val="center"/>
          </w:tcPr>
          <w:p w14:paraId="318DBD56">
            <w:pPr>
              <w:pStyle w:val="28"/>
              <w:bidi w:val="0"/>
            </w:pPr>
          </w:p>
        </w:tc>
        <w:tc>
          <w:tcPr>
            <w:tcW w:w="801" w:type="pct"/>
            <w:vAlign w:val="center"/>
          </w:tcPr>
          <w:p w14:paraId="698A3D9B">
            <w:pPr>
              <w:pStyle w:val="28"/>
              <w:bidi w:val="0"/>
            </w:pPr>
            <w:r>
              <w:rPr>
                <w:rFonts w:hint="eastAsia"/>
              </w:rPr>
              <w:t>杭北干渠工程</w:t>
            </w:r>
          </w:p>
        </w:tc>
        <w:tc>
          <w:tcPr>
            <w:tcW w:w="875" w:type="pct"/>
            <w:vAlign w:val="center"/>
          </w:tcPr>
          <w:p w14:paraId="4C367C1B">
            <w:pPr>
              <w:pStyle w:val="28"/>
              <w:bidi w:val="0"/>
            </w:pPr>
            <w:r>
              <w:t>渠道护砌及渠系建筑物</w:t>
            </w:r>
          </w:p>
        </w:tc>
        <w:tc>
          <w:tcPr>
            <w:tcW w:w="683" w:type="pct"/>
            <w:vAlign w:val="center"/>
          </w:tcPr>
          <w:p w14:paraId="25DCE979">
            <w:pPr>
              <w:pStyle w:val="28"/>
              <w:bidi w:val="0"/>
            </w:pPr>
            <w:r>
              <w:t>11月～次年4月/12月～次年3月</w:t>
            </w:r>
          </w:p>
        </w:tc>
        <w:tc>
          <w:tcPr>
            <w:tcW w:w="1515" w:type="pct"/>
            <w:vAlign w:val="center"/>
          </w:tcPr>
          <w:p w14:paraId="7A277375">
            <w:pPr>
              <w:pStyle w:val="28"/>
              <w:bidi w:val="0"/>
            </w:pPr>
            <w:r>
              <w:t>停水期施工，筑围堰拦少量渠道汇水，涵管导流</w:t>
            </w:r>
          </w:p>
        </w:tc>
      </w:tr>
      <w:tr w14:paraId="2E5DD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3844AED6">
            <w:pPr>
              <w:pStyle w:val="28"/>
              <w:bidi w:val="0"/>
            </w:pPr>
            <w:r>
              <w:rPr>
                <w:rFonts w:hint="eastAsia"/>
              </w:rPr>
              <w:t>29</w:t>
            </w:r>
          </w:p>
        </w:tc>
        <w:tc>
          <w:tcPr>
            <w:tcW w:w="814" w:type="pct"/>
            <w:vMerge w:val="continue"/>
            <w:vAlign w:val="center"/>
          </w:tcPr>
          <w:p w14:paraId="356E23A4">
            <w:pPr>
              <w:pStyle w:val="28"/>
              <w:bidi w:val="0"/>
            </w:pPr>
          </w:p>
        </w:tc>
        <w:tc>
          <w:tcPr>
            <w:tcW w:w="801" w:type="pct"/>
            <w:vAlign w:val="center"/>
          </w:tcPr>
          <w:p w14:paraId="1CAB7444">
            <w:pPr>
              <w:pStyle w:val="28"/>
              <w:bidi w:val="0"/>
            </w:pPr>
            <w:r>
              <w:rPr>
                <w:rFonts w:hint="eastAsia"/>
              </w:rPr>
              <w:t>沙胜支渠工程</w:t>
            </w:r>
          </w:p>
        </w:tc>
        <w:tc>
          <w:tcPr>
            <w:tcW w:w="875" w:type="pct"/>
            <w:vAlign w:val="center"/>
          </w:tcPr>
          <w:p w14:paraId="435294A0">
            <w:pPr>
              <w:pStyle w:val="28"/>
              <w:bidi w:val="0"/>
            </w:pPr>
            <w:r>
              <w:t>渠道护砌及渠系建筑物</w:t>
            </w:r>
          </w:p>
        </w:tc>
        <w:tc>
          <w:tcPr>
            <w:tcW w:w="683" w:type="pct"/>
            <w:vAlign w:val="center"/>
          </w:tcPr>
          <w:p w14:paraId="3EFE3568">
            <w:pPr>
              <w:pStyle w:val="28"/>
              <w:bidi w:val="0"/>
            </w:pPr>
            <w:r>
              <w:t>10月～次年3月</w:t>
            </w:r>
          </w:p>
        </w:tc>
        <w:tc>
          <w:tcPr>
            <w:tcW w:w="1515" w:type="pct"/>
            <w:vAlign w:val="center"/>
          </w:tcPr>
          <w:p w14:paraId="38D25721">
            <w:pPr>
              <w:pStyle w:val="28"/>
              <w:bidi w:val="0"/>
            </w:pPr>
            <w:r>
              <w:t>停水期施工，筑围堰拦少量渠道汇水，配合涵管导流</w:t>
            </w:r>
          </w:p>
        </w:tc>
      </w:tr>
      <w:tr w14:paraId="658BE3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60B79009">
            <w:pPr>
              <w:pStyle w:val="28"/>
              <w:bidi w:val="0"/>
            </w:pPr>
            <w:r>
              <w:t>3</w:t>
            </w:r>
            <w:r>
              <w:rPr>
                <w:rFonts w:hint="eastAsia"/>
              </w:rPr>
              <w:t>0</w:t>
            </w:r>
          </w:p>
        </w:tc>
        <w:tc>
          <w:tcPr>
            <w:tcW w:w="814" w:type="pct"/>
            <w:vMerge w:val="continue"/>
            <w:vAlign w:val="center"/>
          </w:tcPr>
          <w:p w14:paraId="3C5F9AE7">
            <w:pPr>
              <w:pStyle w:val="28"/>
              <w:bidi w:val="0"/>
            </w:pPr>
          </w:p>
        </w:tc>
        <w:tc>
          <w:tcPr>
            <w:tcW w:w="801" w:type="pct"/>
            <w:vAlign w:val="center"/>
          </w:tcPr>
          <w:p w14:paraId="27F3E031">
            <w:pPr>
              <w:pStyle w:val="28"/>
              <w:bidi w:val="0"/>
            </w:pPr>
            <w:r>
              <w:rPr>
                <w:rFonts w:hint="eastAsia"/>
              </w:rPr>
              <w:t>乐桥支渠工程</w:t>
            </w:r>
          </w:p>
        </w:tc>
        <w:tc>
          <w:tcPr>
            <w:tcW w:w="875" w:type="pct"/>
            <w:vAlign w:val="center"/>
          </w:tcPr>
          <w:p w14:paraId="457FEB07">
            <w:pPr>
              <w:pStyle w:val="28"/>
              <w:bidi w:val="0"/>
            </w:pPr>
            <w:r>
              <w:t>渠道护砌及渠系建筑物</w:t>
            </w:r>
          </w:p>
        </w:tc>
        <w:tc>
          <w:tcPr>
            <w:tcW w:w="683" w:type="pct"/>
            <w:vAlign w:val="center"/>
          </w:tcPr>
          <w:p w14:paraId="7CCADE0A">
            <w:pPr>
              <w:pStyle w:val="28"/>
              <w:bidi w:val="0"/>
            </w:pPr>
            <w:r>
              <w:t>10月～次年3月</w:t>
            </w:r>
          </w:p>
        </w:tc>
        <w:tc>
          <w:tcPr>
            <w:tcW w:w="1515" w:type="pct"/>
            <w:vAlign w:val="center"/>
          </w:tcPr>
          <w:p w14:paraId="633E1A82">
            <w:pPr>
              <w:pStyle w:val="28"/>
              <w:bidi w:val="0"/>
            </w:pPr>
            <w:r>
              <w:t>停水期施工，筑围堰拦少量渠道汇水，配合涵管导流</w:t>
            </w:r>
          </w:p>
        </w:tc>
      </w:tr>
      <w:tr w14:paraId="2BB56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09" w:type="pct"/>
            <w:vAlign w:val="center"/>
          </w:tcPr>
          <w:p w14:paraId="604DA49B">
            <w:pPr>
              <w:pStyle w:val="28"/>
              <w:bidi w:val="0"/>
            </w:pPr>
            <w:r>
              <w:rPr>
                <w:rFonts w:hint="eastAsia"/>
              </w:rPr>
              <w:t>31</w:t>
            </w:r>
          </w:p>
        </w:tc>
        <w:tc>
          <w:tcPr>
            <w:tcW w:w="814" w:type="pct"/>
            <w:vMerge w:val="continue"/>
            <w:vAlign w:val="center"/>
          </w:tcPr>
          <w:p w14:paraId="5B0B67C5">
            <w:pPr>
              <w:pStyle w:val="28"/>
              <w:bidi w:val="0"/>
            </w:pPr>
          </w:p>
        </w:tc>
        <w:tc>
          <w:tcPr>
            <w:tcW w:w="801" w:type="pct"/>
            <w:vAlign w:val="center"/>
          </w:tcPr>
          <w:p w14:paraId="108F0186">
            <w:pPr>
              <w:pStyle w:val="28"/>
              <w:bidi w:val="0"/>
            </w:pPr>
            <w:r>
              <w:rPr>
                <w:rFonts w:hint="eastAsia"/>
              </w:rPr>
              <w:t>马田支渠工程</w:t>
            </w:r>
          </w:p>
        </w:tc>
        <w:tc>
          <w:tcPr>
            <w:tcW w:w="875" w:type="pct"/>
            <w:vAlign w:val="center"/>
          </w:tcPr>
          <w:p w14:paraId="3E421B43">
            <w:pPr>
              <w:pStyle w:val="28"/>
              <w:bidi w:val="0"/>
            </w:pPr>
            <w:r>
              <w:t>渠道护砌及渠系建筑物</w:t>
            </w:r>
          </w:p>
        </w:tc>
        <w:tc>
          <w:tcPr>
            <w:tcW w:w="683" w:type="pct"/>
            <w:vAlign w:val="center"/>
          </w:tcPr>
          <w:p w14:paraId="35DFB602">
            <w:pPr>
              <w:pStyle w:val="28"/>
              <w:bidi w:val="0"/>
            </w:pPr>
            <w:r>
              <w:t>10月～次年3月</w:t>
            </w:r>
          </w:p>
        </w:tc>
        <w:tc>
          <w:tcPr>
            <w:tcW w:w="1515" w:type="pct"/>
            <w:vAlign w:val="center"/>
          </w:tcPr>
          <w:p w14:paraId="1BCF608B">
            <w:pPr>
              <w:pStyle w:val="28"/>
              <w:bidi w:val="0"/>
            </w:pPr>
            <w:r>
              <w:t>停水期施工，筑围堰拦少量渠道汇水，配合涵管导流</w:t>
            </w:r>
          </w:p>
        </w:tc>
      </w:tr>
    </w:tbl>
    <w:p w14:paraId="510D2CBA">
      <w:pPr>
        <w:spacing w:line="240" w:lineRule="auto"/>
        <w:rPr>
          <w:rFonts w:cs="Times New Roman"/>
          <w:color w:val="0000FF"/>
        </w:rPr>
      </w:pPr>
    </w:p>
    <w:p w14:paraId="06E96951">
      <w:pPr>
        <w:pStyle w:val="4"/>
        <w:rPr>
          <w:color w:val="0000FF"/>
        </w:rPr>
      </w:pPr>
      <w:r>
        <w:rPr>
          <w:rFonts w:hint="eastAsia"/>
          <w:color w:val="0000FF"/>
        </w:rPr>
        <w:t>2.4.3 施工总布置</w:t>
      </w:r>
    </w:p>
    <w:p w14:paraId="00F0DA66">
      <w:pPr>
        <w:pStyle w:val="5"/>
        <w:rPr>
          <w:color w:val="0000FF"/>
        </w:rPr>
      </w:pPr>
      <w:r>
        <w:rPr>
          <w:rFonts w:hint="eastAsia"/>
          <w:color w:val="0000FF"/>
        </w:rPr>
        <w:t>2.4.3.1 施工交通运输</w:t>
      </w:r>
    </w:p>
    <w:p w14:paraId="3BBFA863">
      <w:pPr>
        <w:ind w:firstLine="480" w:firstLineChars="200"/>
        <w:rPr>
          <w:color w:val="0000FF"/>
        </w:rPr>
      </w:pPr>
      <w:r>
        <w:rPr>
          <w:color w:val="0000FF"/>
        </w:rPr>
        <w:t>由于</w:t>
      </w:r>
      <w:r>
        <w:rPr>
          <w:rFonts w:hint="eastAsia"/>
          <w:color w:val="0000FF"/>
          <w:lang w:eastAsia="zh-CN"/>
        </w:rPr>
        <w:t>朱集灌区</w:t>
      </w:r>
      <w:r>
        <w:rPr>
          <w:color w:val="0000FF"/>
        </w:rPr>
        <w:t>渠道较长，分布较广，场内交通可结合灌区管理需要修建的永久道路，利用各工区已经形成的对外交通条件，修建施工所需的场内施工道路将各建筑物施工点、施工辅助企业、仓库、取土场、弃土场等联系起来，使各工区形成可独立运行的交通网络。</w:t>
      </w:r>
    </w:p>
    <w:p w14:paraId="767E4E07">
      <w:pPr>
        <w:ind w:firstLine="480" w:firstLineChars="200"/>
        <w:rPr>
          <w:color w:val="0000FF"/>
        </w:rPr>
      </w:pPr>
      <w:r>
        <w:rPr>
          <w:color w:val="0000FF"/>
        </w:rPr>
        <w:t>本工程</w:t>
      </w:r>
      <w:r>
        <w:rPr>
          <w:rFonts w:hint="eastAsia"/>
          <w:color w:val="0000FF"/>
        </w:rPr>
        <w:t>对内</w:t>
      </w:r>
      <w:r>
        <w:rPr>
          <w:color w:val="0000FF"/>
        </w:rPr>
        <w:t>临时交通道路工程量见</w:t>
      </w:r>
      <w:r>
        <w:rPr>
          <w:rFonts w:hint="eastAsia"/>
          <w:color w:val="0000FF"/>
        </w:rPr>
        <w:t>下表</w:t>
      </w:r>
      <w:r>
        <w:rPr>
          <w:color w:val="0000FF"/>
        </w:rPr>
        <w:t>。</w:t>
      </w:r>
    </w:p>
    <w:p w14:paraId="46808385">
      <w:pPr>
        <w:rPr>
          <w:color w:val="0000FF"/>
        </w:rPr>
      </w:pPr>
      <w:r>
        <w:rPr>
          <w:rFonts w:hint="eastAsia"/>
          <w:color w:val="0000FF"/>
        </w:rPr>
        <w:t>表2-4-2  工程对内临时交通道路工程量汇总表</w:t>
      </w:r>
    </w:p>
    <w:tbl>
      <w:tblPr>
        <w:tblStyle w:val="16"/>
        <w:tblW w:w="4997" w:type="pct"/>
        <w:jc w:val="center"/>
        <w:tblLayout w:type="autofit"/>
        <w:tblCellMar>
          <w:top w:w="0" w:type="dxa"/>
          <w:left w:w="108" w:type="dxa"/>
          <w:bottom w:w="0" w:type="dxa"/>
          <w:right w:w="108" w:type="dxa"/>
        </w:tblCellMar>
      </w:tblPr>
      <w:tblGrid>
        <w:gridCol w:w="633"/>
        <w:gridCol w:w="3166"/>
        <w:gridCol w:w="2371"/>
        <w:gridCol w:w="3111"/>
      </w:tblGrid>
      <w:tr w14:paraId="5B535825">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textDirection w:val="tbRlV"/>
            <w:vAlign w:val="center"/>
          </w:tcPr>
          <w:p w14:paraId="71A8D528">
            <w:pPr>
              <w:pStyle w:val="28"/>
              <w:bidi w:val="0"/>
            </w:pPr>
            <w:r>
              <w:t>序号</w:t>
            </w:r>
          </w:p>
        </w:tc>
        <w:tc>
          <w:tcPr>
            <w:tcW w:w="1705" w:type="pct"/>
            <w:tcBorders>
              <w:top w:val="single" w:color="000000" w:sz="4" w:space="0"/>
              <w:left w:val="single" w:color="000000" w:sz="4" w:space="0"/>
              <w:bottom w:val="single" w:color="000000" w:sz="4" w:space="0"/>
              <w:right w:val="single" w:color="000000" w:sz="4" w:space="0"/>
            </w:tcBorders>
            <w:vAlign w:val="center"/>
          </w:tcPr>
          <w:p w14:paraId="201DFCEC">
            <w:pPr>
              <w:pStyle w:val="28"/>
              <w:bidi w:val="0"/>
            </w:pPr>
            <w:r>
              <w:t>工程项目</w:t>
            </w:r>
          </w:p>
        </w:tc>
        <w:tc>
          <w:tcPr>
            <w:tcW w:w="1277" w:type="pct"/>
            <w:tcBorders>
              <w:top w:val="single" w:color="000000" w:sz="4" w:space="0"/>
              <w:left w:val="single" w:color="000000" w:sz="4" w:space="0"/>
              <w:right w:val="single" w:color="000000" w:sz="4" w:space="0"/>
            </w:tcBorders>
            <w:vAlign w:val="center"/>
          </w:tcPr>
          <w:p w14:paraId="730B5FA5">
            <w:pPr>
              <w:pStyle w:val="28"/>
              <w:bidi w:val="0"/>
            </w:pPr>
            <w:r>
              <w:t>总长度m</w:t>
            </w:r>
          </w:p>
        </w:tc>
        <w:tc>
          <w:tcPr>
            <w:tcW w:w="1675" w:type="pct"/>
            <w:tcBorders>
              <w:top w:val="single" w:color="000000" w:sz="4" w:space="0"/>
              <w:left w:val="single" w:color="000000" w:sz="4" w:space="0"/>
              <w:bottom w:val="single" w:color="000000" w:sz="4" w:space="0"/>
              <w:right w:val="single" w:color="000000" w:sz="4" w:space="0"/>
            </w:tcBorders>
            <w:vAlign w:val="center"/>
          </w:tcPr>
          <w:p w14:paraId="47C0E0EA">
            <w:pPr>
              <w:pStyle w:val="28"/>
              <w:bidi w:val="0"/>
            </w:pPr>
            <w:r>
              <w:rPr>
                <w:rFonts w:hint="eastAsia"/>
              </w:rPr>
              <w:t>占地面积m2</w:t>
            </w:r>
          </w:p>
        </w:tc>
      </w:tr>
      <w:tr w14:paraId="17A2C7ED">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784E349C">
            <w:pPr>
              <w:pStyle w:val="28"/>
              <w:bidi w:val="0"/>
            </w:pPr>
            <w:r>
              <w:t>1</w:t>
            </w:r>
          </w:p>
        </w:tc>
        <w:tc>
          <w:tcPr>
            <w:tcW w:w="1705" w:type="pct"/>
            <w:tcBorders>
              <w:top w:val="single" w:color="000000" w:sz="4" w:space="0"/>
              <w:left w:val="single" w:color="000000" w:sz="4" w:space="0"/>
              <w:bottom w:val="single" w:color="000000" w:sz="4" w:space="0"/>
              <w:right w:val="single" w:color="000000" w:sz="4" w:space="0"/>
            </w:tcBorders>
            <w:vAlign w:val="center"/>
          </w:tcPr>
          <w:p w14:paraId="70A43AB0">
            <w:pPr>
              <w:pStyle w:val="28"/>
              <w:bidi w:val="0"/>
            </w:pPr>
            <w:r>
              <w:rPr>
                <w:rFonts w:hint="eastAsia"/>
              </w:rPr>
              <w:t>淠河总干渠上段工程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0B8B0FDF">
            <w:pPr>
              <w:pStyle w:val="28"/>
              <w:bidi w:val="0"/>
            </w:pPr>
            <w:r>
              <w:t>1500</w:t>
            </w:r>
          </w:p>
        </w:tc>
        <w:tc>
          <w:tcPr>
            <w:tcW w:w="1675" w:type="pct"/>
            <w:tcBorders>
              <w:top w:val="single" w:color="000000" w:sz="4" w:space="0"/>
              <w:left w:val="single" w:color="000000" w:sz="4" w:space="0"/>
              <w:bottom w:val="single" w:color="000000" w:sz="4" w:space="0"/>
              <w:right w:val="single" w:color="000000" w:sz="4" w:space="0"/>
            </w:tcBorders>
            <w:vAlign w:val="center"/>
          </w:tcPr>
          <w:p w14:paraId="23BC14E1">
            <w:pPr>
              <w:pStyle w:val="28"/>
              <w:bidi w:val="0"/>
            </w:pPr>
            <w:r>
              <w:t>10746.6</w:t>
            </w:r>
          </w:p>
        </w:tc>
      </w:tr>
      <w:tr w14:paraId="6B7933EB">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4AEA06B6">
            <w:pPr>
              <w:pStyle w:val="28"/>
              <w:bidi w:val="0"/>
            </w:pPr>
            <w:r>
              <w:t>2</w:t>
            </w:r>
          </w:p>
        </w:tc>
        <w:tc>
          <w:tcPr>
            <w:tcW w:w="1705" w:type="pct"/>
            <w:tcBorders>
              <w:top w:val="single" w:color="000000" w:sz="4" w:space="0"/>
              <w:left w:val="single" w:color="000000" w:sz="4" w:space="0"/>
              <w:bottom w:val="single" w:color="000000" w:sz="4" w:space="0"/>
              <w:right w:val="single" w:color="000000" w:sz="4" w:space="0"/>
            </w:tcBorders>
            <w:vAlign w:val="center"/>
          </w:tcPr>
          <w:p w14:paraId="5793B4F4">
            <w:pPr>
              <w:pStyle w:val="28"/>
              <w:bidi w:val="0"/>
            </w:pPr>
            <w:r>
              <w:rPr>
                <w:rFonts w:hint="eastAsia"/>
              </w:rPr>
              <w:t>樊通桥渠下涵工程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107AD9A9">
            <w:pPr>
              <w:pStyle w:val="28"/>
              <w:bidi w:val="0"/>
            </w:pPr>
            <w:r>
              <w:t>1200</w:t>
            </w:r>
          </w:p>
        </w:tc>
        <w:tc>
          <w:tcPr>
            <w:tcW w:w="1675" w:type="pct"/>
            <w:tcBorders>
              <w:top w:val="single" w:color="000000" w:sz="4" w:space="0"/>
              <w:left w:val="single" w:color="000000" w:sz="4" w:space="0"/>
              <w:bottom w:val="single" w:color="000000" w:sz="4" w:space="0"/>
              <w:right w:val="single" w:color="000000" w:sz="4" w:space="0"/>
            </w:tcBorders>
            <w:vAlign w:val="center"/>
          </w:tcPr>
          <w:p w14:paraId="5D0F8942">
            <w:pPr>
              <w:pStyle w:val="28"/>
              <w:bidi w:val="0"/>
            </w:pPr>
            <w:r>
              <w:t>7699.9</w:t>
            </w:r>
          </w:p>
        </w:tc>
      </w:tr>
      <w:tr w14:paraId="70B789D1">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3F5761E8">
            <w:pPr>
              <w:pStyle w:val="28"/>
              <w:bidi w:val="0"/>
            </w:pPr>
            <w:r>
              <w:t>3</w:t>
            </w:r>
          </w:p>
        </w:tc>
        <w:tc>
          <w:tcPr>
            <w:tcW w:w="1705" w:type="pct"/>
            <w:tcBorders>
              <w:top w:val="single" w:color="000000" w:sz="4" w:space="0"/>
              <w:left w:val="single" w:color="000000" w:sz="4" w:space="0"/>
              <w:bottom w:val="single" w:color="000000" w:sz="4" w:space="0"/>
              <w:right w:val="single" w:color="000000" w:sz="4" w:space="0"/>
            </w:tcBorders>
            <w:vAlign w:val="center"/>
          </w:tcPr>
          <w:p w14:paraId="51F3B104">
            <w:pPr>
              <w:pStyle w:val="28"/>
              <w:bidi w:val="0"/>
            </w:pPr>
            <w:r>
              <w:rPr>
                <w:rFonts w:hint="eastAsia"/>
              </w:rPr>
              <w:t>淠河总干渠下段工程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74B4C99B">
            <w:pPr>
              <w:pStyle w:val="28"/>
              <w:bidi w:val="0"/>
            </w:pPr>
            <w:r>
              <w:t>1800</w:t>
            </w:r>
          </w:p>
        </w:tc>
        <w:tc>
          <w:tcPr>
            <w:tcW w:w="1675" w:type="pct"/>
            <w:tcBorders>
              <w:top w:val="single" w:color="000000" w:sz="4" w:space="0"/>
              <w:left w:val="single" w:color="000000" w:sz="4" w:space="0"/>
              <w:bottom w:val="single" w:color="000000" w:sz="4" w:space="0"/>
              <w:right w:val="single" w:color="000000" w:sz="4" w:space="0"/>
            </w:tcBorders>
            <w:vAlign w:val="center"/>
          </w:tcPr>
          <w:p w14:paraId="1E207696">
            <w:pPr>
              <w:pStyle w:val="28"/>
              <w:bidi w:val="0"/>
            </w:pPr>
            <w:r>
              <w:t>16799.8</w:t>
            </w:r>
          </w:p>
        </w:tc>
      </w:tr>
      <w:tr w14:paraId="57A05BBC">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2A615195">
            <w:pPr>
              <w:pStyle w:val="28"/>
              <w:bidi w:val="0"/>
            </w:pPr>
            <w:r>
              <w:t>4</w:t>
            </w:r>
          </w:p>
        </w:tc>
        <w:tc>
          <w:tcPr>
            <w:tcW w:w="1705" w:type="pct"/>
            <w:tcBorders>
              <w:top w:val="single" w:color="000000" w:sz="4" w:space="0"/>
              <w:left w:val="single" w:color="000000" w:sz="4" w:space="0"/>
              <w:bottom w:val="single" w:color="000000" w:sz="4" w:space="0"/>
              <w:right w:val="single" w:color="000000" w:sz="4" w:space="0"/>
            </w:tcBorders>
            <w:vAlign w:val="center"/>
          </w:tcPr>
          <w:p w14:paraId="1B16352C">
            <w:pPr>
              <w:pStyle w:val="28"/>
              <w:bidi w:val="0"/>
            </w:pPr>
            <w:r>
              <w:rPr>
                <w:rFonts w:hint="eastAsia"/>
              </w:rPr>
              <w:t>聚星渡槽工程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23438E48">
            <w:pPr>
              <w:pStyle w:val="28"/>
              <w:bidi w:val="0"/>
            </w:pPr>
            <w:r>
              <w:t>1800</w:t>
            </w:r>
          </w:p>
        </w:tc>
        <w:tc>
          <w:tcPr>
            <w:tcW w:w="1675" w:type="pct"/>
            <w:tcBorders>
              <w:top w:val="single" w:color="000000" w:sz="4" w:space="0"/>
              <w:left w:val="single" w:color="000000" w:sz="4" w:space="0"/>
              <w:bottom w:val="single" w:color="000000" w:sz="4" w:space="0"/>
              <w:right w:val="single" w:color="000000" w:sz="4" w:space="0"/>
            </w:tcBorders>
            <w:vAlign w:val="center"/>
          </w:tcPr>
          <w:p w14:paraId="795A6154">
            <w:pPr>
              <w:pStyle w:val="28"/>
              <w:bidi w:val="0"/>
            </w:pPr>
            <w:r>
              <w:t>10499.9</w:t>
            </w:r>
          </w:p>
        </w:tc>
      </w:tr>
      <w:tr w14:paraId="5BFF1AF4">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75B49680">
            <w:pPr>
              <w:pStyle w:val="28"/>
              <w:bidi w:val="0"/>
            </w:pPr>
            <w:r>
              <w:t>5</w:t>
            </w:r>
          </w:p>
        </w:tc>
        <w:tc>
          <w:tcPr>
            <w:tcW w:w="1705" w:type="pct"/>
            <w:tcBorders>
              <w:top w:val="single" w:color="000000" w:sz="4" w:space="0"/>
              <w:left w:val="single" w:color="000000" w:sz="4" w:space="0"/>
              <w:bottom w:val="single" w:color="000000" w:sz="4" w:space="0"/>
              <w:right w:val="single" w:color="000000" w:sz="4" w:space="0"/>
            </w:tcBorders>
            <w:vAlign w:val="center"/>
          </w:tcPr>
          <w:p w14:paraId="7CC06026">
            <w:pPr>
              <w:pStyle w:val="28"/>
              <w:bidi w:val="0"/>
            </w:pPr>
            <w:r>
              <w:rPr>
                <w:rFonts w:hint="eastAsia"/>
              </w:rPr>
              <w:t>滁河干渠总局直管段工程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11255D8D">
            <w:pPr>
              <w:pStyle w:val="28"/>
              <w:bidi w:val="0"/>
            </w:pPr>
            <w:r>
              <w:t>600</w:t>
            </w:r>
          </w:p>
        </w:tc>
        <w:tc>
          <w:tcPr>
            <w:tcW w:w="1675" w:type="pct"/>
            <w:tcBorders>
              <w:top w:val="single" w:color="000000" w:sz="4" w:space="0"/>
              <w:left w:val="single" w:color="000000" w:sz="4" w:space="0"/>
              <w:bottom w:val="single" w:color="000000" w:sz="4" w:space="0"/>
              <w:right w:val="single" w:color="000000" w:sz="4" w:space="0"/>
            </w:tcBorders>
            <w:vAlign w:val="center"/>
          </w:tcPr>
          <w:p w14:paraId="25871F65">
            <w:pPr>
              <w:pStyle w:val="28"/>
              <w:bidi w:val="0"/>
            </w:pPr>
            <w:r>
              <w:t>6093.3</w:t>
            </w:r>
          </w:p>
        </w:tc>
      </w:tr>
      <w:tr w14:paraId="52446722">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6A5F671B">
            <w:pPr>
              <w:pStyle w:val="28"/>
              <w:bidi w:val="0"/>
            </w:pPr>
            <w:r>
              <w:t>6</w:t>
            </w:r>
          </w:p>
        </w:tc>
        <w:tc>
          <w:tcPr>
            <w:tcW w:w="1705" w:type="pct"/>
            <w:tcBorders>
              <w:top w:val="single" w:color="000000" w:sz="4" w:space="0"/>
              <w:left w:val="single" w:color="000000" w:sz="4" w:space="0"/>
              <w:bottom w:val="single" w:color="000000" w:sz="4" w:space="0"/>
              <w:right w:val="single" w:color="000000" w:sz="4" w:space="0"/>
            </w:tcBorders>
            <w:vAlign w:val="center"/>
          </w:tcPr>
          <w:p w14:paraId="66AEA9AC">
            <w:pPr>
              <w:pStyle w:val="28"/>
              <w:bidi w:val="0"/>
            </w:pPr>
            <w:r>
              <w:rPr>
                <w:rFonts w:hint="eastAsia"/>
              </w:rPr>
              <w:t>滁河干渠</w:t>
            </w:r>
            <w:r>
              <w:t>6</w:t>
            </w:r>
            <w:r>
              <w:rPr>
                <w:rFonts w:hint="eastAsia"/>
              </w:rPr>
              <w:t>座渠下涵工程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558E8C72">
            <w:pPr>
              <w:pStyle w:val="28"/>
              <w:bidi w:val="0"/>
            </w:pPr>
            <w:r>
              <w:t>4</w:t>
            </w:r>
          </w:p>
        </w:tc>
        <w:tc>
          <w:tcPr>
            <w:tcW w:w="1675" w:type="pct"/>
            <w:tcBorders>
              <w:top w:val="single" w:color="000000" w:sz="4" w:space="0"/>
              <w:left w:val="single" w:color="000000" w:sz="4" w:space="0"/>
              <w:bottom w:val="single" w:color="000000" w:sz="4" w:space="0"/>
              <w:right w:val="single" w:color="000000" w:sz="4" w:space="0"/>
            </w:tcBorders>
            <w:vAlign w:val="center"/>
          </w:tcPr>
          <w:p w14:paraId="47F23104">
            <w:pPr>
              <w:pStyle w:val="28"/>
              <w:bidi w:val="0"/>
            </w:pPr>
            <w:r>
              <w:t>0.0</w:t>
            </w:r>
          </w:p>
        </w:tc>
      </w:tr>
      <w:tr w14:paraId="7D0CDBDC">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7CBEFA33">
            <w:pPr>
              <w:pStyle w:val="28"/>
              <w:bidi w:val="0"/>
            </w:pPr>
            <w:r>
              <w:t>7</w:t>
            </w:r>
          </w:p>
        </w:tc>
        <w:tc>
          <w:tcPr>
            <w:tcW w:w="1705" w:type="pct"/>
            <w:tcBorders>
              <w:top w:val="single" w:color="000000" w:sz="4" w:space="0"/>
              <w:left w:val="single" w:color="000000" w:sz="4" w:space="0"/>
              <w:bottom w:val="single" w:color="000000" w:sz="4" w:space="0"/>
              <w:right w:val="single" w:color="000000" w:sz="4" w:space="0"/>
            </w:tcBorders>
            <w:vAlign w:val="center"/>
          </w:tcPr>
          <w:p w14:paraId="169A56BA">
            <w:pPr>
              <w:pStyle w:val="28"/>
              <w:bidi w:val="0"/>
            </w:pPr>
            <w:r>
              <w:rPr>
                <w:rFonts w:hint="eastAsia"/>
              </w:rPr>
              <w:t>淠杭干渠工程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3877FD3D">
            <w:pPr>
              <w:pStyle w:val="28"/>
              <w:bidi w:val="0"/>
            </w:pPr>
            <w:r>
              <w:t>2300</w:t>
            </w:r>
          </w:p>
        </w:tc>
        <w:tc>
          <w:tcPr>
            <w:tcW w:w="1675" w:type="pct"/>
            <w:tcBorders>
              <w:top w:val="single" w:color="000000" w:sz="4" w:space="0"/>
              <w:left w:val="single" w:color="000000" w:sz="4" w:space="0"/>
              <w:bottom w:val="single" w:color="000000" w:sz="4" w:space="0"/>
              <w:right w:val="single" w:color="000000" w:sz="4" w:space="0"/>
            </w:tcBorders>
            <w:vAlign w:val="center"/>
          </w:tcPr>
          <w:p w14:paraId="5B8FC1C8">
            <w:pPr>
              <w:pStyle w:val="28"/>
              <w:bidi w:val="0"/>
            </w:pPr>
            <w:r>
              <w:t>3360.0</w:t>
            </w:r>
          </w:p>
        </w:tc>
      </w:tr>
      <w:tr w14:paraId="507C273D">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17D3CC6A">
            <w:pPr>
              <w:pStyle w:val="28"/>
              <w:bidi w:val="0"/>
            </w:pPr>
            <w:r>
              <w:t>8</w:t>
            </w:r>
          </w:p>
        </w:tc>
        <w:tc>
          <w:tcPr>
            <w:tcW w:w="1705" w:type="pct"/>
            <w:tcBorders>
              <w:top w:val="single" w:color="000000" w:sz="4" w:space="0"/>
              <w:left w:val="single" w:color="000000" w:sz="4" w:space="0"/>
              <w:bottom w:val="single" w:color="000000" w:sz="4" w:space="0"/>
              <w:right w:val="single" w:color="000000" w:sz="4" w:space="0"/>
            </w:tcBorders>
            <w:vAlign w:val="center"/>
          </w:tcPr>
          <w:p w14:paraId="3BB1F138">
            <w:pPr>
              <w:pStyle w:val="28"/>
              <w:bidi w:val="0"/>
            </w:pPr>
            <w:r>
              <w:rPr>
                <w:rFonts w:hint="eastAsia"/>
              </w:rPr>
              <w:t>淠东干渠工程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007DD768">
            <w:pPr>
              <w:pStyle w:val="28"/>
              <w:bidi w:val="0"/>
            </w:pPr>
            <w:r>
              <w:t>4450</w:t>
            </w:r>
          </w:p>
        </w:tc>
        <w:tc>
          <w:tcPr>
            <w:tcW w:w="1675" w:type="pct"/>
            <w:tcBorders>
              <w:top w:val="single" w:color="000000" w:sz="4" w:space="0"/>
              <w:left w:val="single" w:color="000000" w:sz="4" w:space="0"/>
              <w:bottom w:val="single" w:color="000000" w:sz="4" w:space="0"/>
              <w:right w:val="single" w:color="000000" w:sz="4" w:space="0"/>
            </w:tcBorders>
            <w:vAlign w:val="center"/>
          </w:tcPr>
          <w:p w14:paraId="40A269DA">
            <w:pPr>
              <w:pStyle w:val="28"/>
              <w:bidi w:val="0"/>
            </w:pPr>
            <w:r>
              <w:t>6199.9</w:t>
            </w:r>
          </w:p>
        </w:tc>
      </w:tr>
      <w:tr w14:paraId="76CAD750">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4D1F48DF">
            <w:pPr>
              <w:pStyle w:val="28"/>
              <w:bidi w:val="0"/>
            </w:pPr>
            <w:r>
              <w:t>9</w:t>
            </w:r>
          </w:p>
        </w:tc>
        <w:tc>
          <w:tcPr>
            <w:tcW w:w="1705" w:type="pct"/>
            <w:tcBorders>
              <w:top w:val="single" w:color="000000" w:sz="4" w:space="0"/>
              <w:left w:val="single" w:color="000000" w:sz="4" w:space="0"/>
              <w:bottom w:val="single" w:color="000000" w:sz="4" w:space="0"/>
              <w:right w:val="single" w:color="000000" w:sz="4" w:space="0"/>
            </w:tcBorders>
            <w:vAlign w:val="center"/>
          </w:tcPr>
          <w:p w14:paraId="11596B8A">
            <w:pPr>
              <w:pStyle w:val="28"/>
              <w:bidi w:val="0"/>
            </w:pPr>
            <w:r>
              <w:rPr>
                <w:rFonts w:hint="eastAsia"/>
              </w:rPr>
              <w:t>瓦西干渠工程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55CC5341">
            <w:pPr>
              <w:pStyle w:val="28"/>
              <w:bidi w:val="0"/>
            </w:pPr>
            <w:r>
              <w:t>3320</w:t>
            </w:r>
          </w:p>
        </w:tc>
        <w:tc>
          <w:tcPr>
            <w:tcW w:w="1675" w:type="pct"/>
            <w:tcBorders>
              <w:top w:val="single" w:color="000000" w:sz="4" w:space="0"/>
              <w:left w:val="single" w:color="000000" w:sz="4" w:space="0"/>
              <w:bottom w:val="single" w:color="000000" w:sz="4" w:space="0"/>
              <w:right w:val="single" w:color="000000" w:sz="4" w:space="0"/>
            </w:tcBorders>
            <w:vAlign w:val="center"/>
          </w:tcPr>
          <w:p w14:paraId="20952997">
            <w:pPr>
              <w:pStyle w:val="28"/>
              <w:bidi w:val="0"/>
            </w:pPr>
            <w:r>
              <w:t>8999.9</w:t>
            </w:r>
          </w:p>
        </w:tc>
      </w:tr>
      <w:tr w14:paraId="751D82CF">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2BA37F80">
            <w:pPr>
              <w:pStyle w:val="28"/>
              <w:bidi w:val="0"/>
            </w:pPr>
            <w:r>
              <w:t>10</w:t>
            </w:r>
          </w:p>
        </w:tc>
        <w:tc>
          <w:tcPr>
            <w:tcW w:w="1705" w:type="pct"/>
            <w:tcBorders>
              <w:top w:val="single" w:color="000000" w:sz="4" w:space="0"/>
              <w:left w:val="single" w:color="000000" w:sz="4" w:space="0"/>
              <w:bottom w:val="single" w:color="000000" w:sz="4" w:space="0"/>
              <w:right w:val="single" w:color="000000" w:sz="4" w:space="0"/>
            </w:tcBorders>
            <w:vAlign w:val="center"/>
          </w:tcPr>
          <w:p w14:paraId="74469275">
            <w:pPr>
              <w:pStyle w:val="28"/>
              <w:bidi w:val="0"/>
            </w:pPr>
            <w:r>
              <w:rPr>
                <w:rFonts w:hint="eastAsia"/>
              </w:rPr>
              <w:t>堰口分干渠工程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7F710AB3">
            <w:pPr>
              <w:pStyle w:val="28"/>
              <w:bidi w:val="0"/>
            </w:pPr>
            <w:r>
              <w:t>2791</w:t>
            </w:r>
          </w:p>
        </w:tc>
        <w:tc>
          <w:tcPr>
            <w:tcW w:w="1675" w:type="pct"/>
            <w:tcBorders>
              <w:top w:val="single" w:color="000000" w:sz="4" w:space="0"/>
              <w:left w:val="single" w:color="000000" w:sz="4" w:space="0"/>
              <w:bottom w:val="single" w:color="000000" w:sz="4" w:space="0"/>
              <w:right w:val="single" w:color="000000" w:sz="4" w:space="0"/>
            </w:tcBorders>
            <w:vAlign w:val="center"/>
          </w:tcPr>
          <w:p w14:paraId="31332BE9">
            <w:pPr>
              <w:pStyle w:val="28"/>
              <w:bidi w:val="0"/>
            </w:pPr>
            <w:r>
              <w:t>20039.8</w:t>
            </w:r>
          </w:p>
        </w:tc>
      </w:tr>
      <w:tr w14:paraId="6A152596">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790672DF">
            <w:pPr>
              <w:pStyle w:val="28"/>
              <w:bidi w:val="0"/>
            </w:pPr>
            <w:r>
              <w:t>11</w:t>
            </w:r>
          </w:p>
        </w:tc>
        <w:tc>
          <w:tcPr>
            <w:tcW w:w="1705" w:type="pct"/>
            <w:tcBorders>
              <w:top w:val="single" w:color="000000" w:sz="4" w:space="0"/>
              <w:left w:val="single" w:color="000000" w:sz="4" w:space="0"/>
              <w:bottom w:val="single" w:color="000000" w:sz="4" w:space="0"/>
              <w:right w:val="single" w:color="000000" w:sz="4" w:space="0"/>
            </w:tcBorders>
            <w:vAlign w:val="center"/>
          </w:tcPr>
          <w:p w14:paraId="5021D9D1">
            <w:pPr>
              <w:pStyle w:val="28"/>
              <w:bidi w:val="0"/>
            </w:pPr>
            <w:r>
              <w:rPr>
                <w:rFonts w:hint="eastAsia"/>
              </w:rPr>
              <w:t>淠源分干渠工程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29F21597">
            <w:pPr>
              <w:pStyle w:val="28"/>
              <w:bidi w:val="0"/>
            </w:pPr>
            <w:r>
              <w:t>1190</w:t>
            </w:r>
          </w:p>
        </w:tc>
        <w:tc>
          <w:tcPr>
            <w:tcW w:w="1675" w:type="pct"/>
            <w:tcBorders>
              <w:top w:val="single" w:color="000000" w:sz="4" w:space="0"/>
              <w:left w:val="single" w:color="000000" w:sz="4" w:space="0"/>
              <w:bottom w:val="single" w:color="000000" w:sz="4" w:space="0"/>
              <w:right w:val="single" w:color="000000" w:sz="4" w:space="0"/>
            </w:tcBorders>
            <w:vAlign w:val="center"/>
          </w:tcPr>
          <w:p w14:paraId="077D9896">
            <w:pPr>
              <w:pStyle w:val="28"/>
              <w:bidi w:val="0"/>
            </w:pPr>
            <w:r>
              <w:t>1200.0</w:t>
            </w:r>
          </w:p>
        </w:tc>
      </w:tr>
      <w:tr w14:paraId="6DF0FA89">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738C7EAA">
            <w:pPr>
              <w:pStyle w:val="28"/>
              <w:bidi w:val="0"/>
            </w:pPr>
            <w:r>
              <w:t>12</w:t>
            </w:r>
          </w:p>
        </w:tc>
        <w:tc>
          <w:tcPr>
            <w:tcW w:w="1705" w:type="pct"/>
            <w:tcBorders>
              <w:top w:val="single" w:color="000000" w:sz="4" w:space="0"/>
              <w:left w:val="single" w:color="000000" w:sz="4" w:space="0"/>
              <w:bottom w:val="single" w:color="000000" w:sz="4" w:space="0"/>
              <w:right w:val="single" w:color="000000" w:sz="4" w:space="0"/>
            </w:tcBorders>
            <w:vAlign w:val="center"/>
          </w:tcPr>
          <w:p w14:paraId="7097FC17">
            <w:pPr>
              <w:pStyle w:val="28"/>
              <w:bidi w:val="0"/>
            </w:pPr>
            <w:r>
              <w:rPr>
                <w:rFonts w:hint="eastAsia"/>
              </w:rPr>
              <w:t>小蜀山分干渠工程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6A4BC3E0">
            <w:pPr>
              <w:pStyle w:val="28"/>
              <w:bidi w:val="0"/>
            </w:pPr>
            <w:r>
              <w:t>2000</w:t>
            </w:r>
          </w:p>
        </w:tc>
        <w:tc>
          <w:tcPr>
            <w:tcW w:w="1675" w:type="pct"/>
            <w:tcBorders>
              <w:top w:val="single" w:color="000000" w:sz="4" w:space="0"/>
              <w:left w:val="single" w:color="000000" w:sz="4" w:space="0"/>
              <w:bottom w:val="single" w:color="000000" w:sz="4" w:space="0"/>
              <w:right w:val="single" w:color="000000" w:sz="4" w:space="0"/>
            </w:tcBorders>
            <w:vAlign w:val="center"/>
          </w:tcPr>
          <w:p w14:paraId="7B7F38F7">
            <w:pPr>
              <w:pStyle w:val="28"/>
              <w:bidi w:val="0"/>
            </w:pPr>
            <w:r>
              <w:t>2000.0</w:t>
            </w:r>
          </w:p>
        </w:tc>
      </w:tr>
      <w:tr w14:paraId="4A91266A">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7F3EB3AA">
            <w:pPr>
              <w:pStyle w:val="28"/>
              <w:bidi w:val="0"/>
            </w:pPr>
            <w:r>
              <w:t>13</w:t>
            </w:r>
          </w:p>
        </w:tc>
        <w:tc>
          <w:tcPr>
            <w:tcW w:w="1705" w:type="pct"/>
            <w:tcBorders>
              <w:top w:val="single" w:color="000000" w:sz="4" w:space="0"/>
              <w:left w:val="single" w:color="000000" w:sz="4" w:space="0"/>
              <w:bottom w:val="single" w:color="000000" w:sz="4" w:space="0"/>
              <w:right w:val="single" w:color="000000" w:sz="4" w:space="0"/>
            </w:tcBorders>
            <w:vAlign w:val="center"/>
          </w:tcPr>
          <w:p w14:paraId="7571DF18">
            <w:pPr>
              <w:pStyle w:val="28"/>
              <w:bidi w:val="0"/>
            </w:pPr>
            <w:r>
              <w:rPr>
                <w:rFonts w:hint="eastAsia"/>
              </w:rPr>
              <w:t>瓦东双庙支渠工程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32A24134">
            <w:pPr>
              <w:pStyle w:val="28"/>
              <w:bidi w:val="0"/>
            </w:pPr>
            <w:r>
              <w:t>740</w:t>
            </w:r>
          </w:p>
        </w:tc>
        <w:tc>
          <w:tcPr>
            <w:tcW w:w="1675" w:type="pct"/>
            <w:tcBorders>
              <w:top w:val="single" w:color="000000" w:sz="4" w:space="0"/>
              <w:left w:val="single" w:color="000000" w:sz="4" w:space="0"/>
              <w:bottom w:val="single" w:color="000000" w:sz="4" w:space="0"/>
              <w:right w:val="single" w:color="000000" w:sz="4" w:space="0"/>
            </w:tcBorders>
            <w:vAlign w:val="center"/>
          </w:tcPr>
          <w:p w14:paraId="32DF79D4">
            <w:pPr>
              <w:pStyle w:val="28"/>
              <w:bidi w:val="0"/>
            </w:pPr>
            <w:r>
              <w:t>9393.2</w:t>
            </w:r>
          </w:p>
        </w:tc>
      </w:tr>
      <w:tr w14:paraId="49E3A683">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58408776">
            <w:pPr>
              <w:pStyle w:val="28"/>
              <w:bidi w:val="0"/>
            </w:pPr>
            <w:r>
              <w:t>14</w:t>
            </w:r>
          </w:p>
        </w:tc>
        <w:tc>
          <w:tcPr>
            <w:tcW w:w="1705" w:type="pct"/>
            <w:tcBorders>
              <w:top w:val="single" w:color="000000" w:sz="4" w:space="0"/>
              <w:left w:val="single" w:color="000000" w:sz="4" w:space="0"/>
              <w:bottom w:val="single" w:color="000000" w:sz="4" w:space="0"/>
              <w:right w:val="single" w:color="000000" w:sz="4" w:space="0"/>
            </w:tcBorders>
            <w:vAlign w:val="center"/>
          </w:tcPr>
          <w:p w14:paraId="06CE6198">
            <w:pPr>
              <w:pStyle w:val="28"/>
              <w:bidi w:val="0"/>
            </w:pPr>
            <w:r>
              <w:rPr>
                <w:rFonts w:hint="eastAsia"/>
              </w:rPr>
              <w:t>东风支渠工程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1A002BF9">
            <w:pPr>
              <w:pStyle w:val="28"/>
              <w:bidi w:val="0"/>
            </w:pPr>
            <w:r>
              <w:t>2750</w:t>
            </w:r>
          </w:p>
        </w:tc>
        <w:tc>
          <w:tcPr>
            <w:tcW w:w="1675" w:type="pct"/>
            <w:tcBorders>
              <w:top w:val="single" w:color="000000" w:sz="4" w:space="0"/>
              <w:left w:val="single" w:color="000000" w:sz="4" w:space="0"/>
              <w:bottom w:val="single" w:color="000000" w:sz="4" w:space="0"/>
              <w:right w:val="single" w:color="000000" w:sz="4" w:space="0"/>
            </w:tcBorders>
            <w:vAlign w:val="center"/>
          </w:tcPr>
          <w:p w14:paraId="3AC48599">
            <w:pPr>
              <w:pStyle w:val="28"/>
              <w:bidi w:val="0"/>
            </w:pPr>
            <w:r>
              <w:t>1393.3</w:t>
            </w:r>
          </w:p>
        </w:tc>
      </w:tr>
      <w:tr w14:paraId="2CB27178">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4B09007A">
            <w:pPr>
              <w:pStyle w:val="28"/>
              <w:bidi w:val="0"/>
            </w:pPr>
            <w:r>
              <w:t>15</w:t>
            </w:r>
          </w:p>
        </w:tc>
        <w:tc>
          <w:tcPr>
            <w:tcW w:w="1705" w:type="pct"/>
            <w:tcBorders>
              <w:top w:val="single" w:color="000000" w:sz="4" w:space="0"/>
              <w:left w:val="single" w:color="000000" w:sz="4" w:space="0"/>
              <w:bottom w:val="single" w:color="000000" w:sz="4" w:space="0"/>
              <w:right w:val="single" w:color="000000" w:sz="4" w:space="0"/>
            </w:tcBorders>
            <w:vAlign w:val="center"/>
          </w:tcPr>
          <w:p w14:paraId="7579DF0B">
            <w:pPr>
              <w:pStyle w:val="28"/>
              <w:bidi w:val="0"/>
            </w:pPr>
            <w:r>
              <w:rPr>
                <w:rFonts w:hint="eastAsia"/>
              </w:rPr>
              <w:t>界河支渠工程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3E358461">
            <w:pPr>
              <w:pStyle w:val="28"/>
              <w:bidi w:val="0"/>
            </w:pPr>
            <w:r>
              <w:t>4220</w:t>
            </w:r>
          </w:p>
        </w:tc>
        <w:tc>
          <w:tcPr>
            <w:tcW w:w="1675" w:type="pct"/>
            <w:tcBorders>
              <w:top w:val="single" w:color="000000" w:sz="4" w:space="0"/>
              <w:left w:val="single" w:color="000000" w:sz="4" w:space="0"/>
              <w:bottom w:val="single" w:color="000000" w:sz="4" w:space="0"/>
              <w:right w:val="single" w:color="000000" w:sz="4" w:space="0"/>
            </w:tcBorders>
            <w:vAlign w:val="center"/>
          </w:tcPr>
          <w:p w14:paraId="74D222A2">
            <w:pPr>
              <w:pStyle w:val="28"/>
              <w:bidi w:val="0"/>
            </w:pPr>
            <w:r>
              <w:t>18993.1</w:t>
            </w:r>
          </w:p>
        </w:tc>
      </w:tr>
      <w:tr w14:paraId="10E3675C">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78AA8F98">
            <w:pPr>
              <w:pStyle w:val="28"/>
              <w:bidi w:val="0"/>
            </w:pPr>
            <w:r>
              <w:t>16</w:t>
            </w:r>
          </w:p>
        </w:tc>
        <w:tc>
          <w:tcPr>
            <w:tcW w:w="1705" w:type="pct"/>
            <w:tcBorders>
              <w:top w:val="single" w:color="000000" w:sz="4" w:space="0"/>
              <w:left w:val="single" w:color="000000" w:sz="4" w:space="0"/>
              <w:bottom w:val="single" w:color="000000" w:sz="4" w:space="0"/>
              <w:right w:val="single" w:color="000000" w:sz="4" w:space="0"/>
            </w:tcBorders>
            <w:vAlign w:val="center"/>
          </w:tcPr>
          <w:p w14:paraId="16FC9F8C">
            <w:pPr>
              <w:pStyle w:val="28"/>
              <w:bidi w:val="0"/>
            </w:pPr>
            <w:r>
              <w:rPr>
                <w:rFonts w:hint="eastAsia"/>
              </w:rPr>
              <w:t>义河支渠工程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711DE097">
            <w:pPr>
              <w:pStyle w:val="28"/>
              <w:bidi w:val="0"/>
            </w:pPr>
            <w:r>
              <w:t>415</w:t>
            </w:r>
          </w:p>
        </w:tc>
        <w:tc>
          <w:tcPr>
            <w:tcW w:w="1675" w:type="pct"/>
            <w:tcBorders>
              <w:top w:val="single" w:color="000000" w:sz="4" w:space="0"/>
              <w:left w:val="single" w:color="000000" w:sz="4" w:space="0"/>
              <w:bottom w:val="single" w:color="000000" w:sz="4" w:space="0"/>
              <w:right w:val="single" w:color="000000" w:sz="4" w:space="0"/>
            </w:tcBorders>
            <w:vAlign w:val="center"/>
          </w:tcPr>
          <w:p w14:paraId="231EAAFC">
            <w:pPr>
              <w:pStyle w:val="28"/>
              <w:bidi w:val="0"/>
            </w:pPr>
            <w:r>
              <w:t>1873.3</w:t>
            </w:r>
          </w:p>
        </w:tc>
      </w:tr>
      <w:tr w14:paraId="517E8CCD">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2957FEE1">
            <w:pPr>
              <w:pStyle w:val="28"/>
              <w:bidi w:val="0"/>
            </w:pPr>
            <w:r>
              <w:t>17</w:t>
            </w:r>
          </w:p>
        </w:tc>
        <w:tc>
          <w:tcPr>
            <w:tcW w:w="1705" w:type="pct"/>
            <w:tcBorders>
              <w:top w:val="single" w:color="000000" w:sz="4" w:space="0"/>
              <w:left w:val="single" w:color="000000" w:sz="4" w:space="0"/>
              <w:bottom w:val="single" w:color="000000" w:sz="4" w:space="0"/>
              <w:right w:val="single" w:color="000000" w:sz="4" w:space="0"/>
            </w:tcBorders>
            <w:vAlign w:val="center"/>
          </w:tcPr>
          <w:p w14:paraId="33FB9FAC">
            <w:pPr>
              <w:pStyle w:val="28"/>
              <w:bidi w:val="0"/>
            </w:pPr>
            <w:r>
              <w:rPr>
                <w:rFonts w:hint="eastAsia"/>
              </w:rPr>
              <w:t>袁店支渠工程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68AF3F34">
            <w:pPr>
              <w:pStyle w:val="28"/>
              <w:bidi w:val="0"/>
            </w:pPr>
            <w:r>
              <w:t>500</w:t>
            </w:r>
          </w:p>
        </w:tc>
        <w:tc>
          <w:tcPr>
            <w:tcW w:w="1675" w:type="pct"/>
            <w:tcBorders>
              <w:top w:val="single" w:color="000000" w:sz="4" w:space="0"/>
              <w:left w:val="single" w:color="000000" w:sz="4" w:space="0"/>
              <w:bottom w:val="single" w:color="000000" w:sz="4" w:space="0"/>
              <w:right w:val="single" w:color="000000" w:sz="4" w:space="0"/>
            </w:tcBorders>
            <w:vAlign w:val="center"/>
          </w:tcPr>
          <w:p w14:paraId="6853141E">
            <w:pPr>
              <w:pStyle w:val="28"/>
              <w:bidi w:val="0"/>
            </w:pPr>
            <w:r>
              <w:t>2253.3</w:t>
            </w:r>
          </w:p>
        </w:tc>
      </w:tr>
      <w:tr w14:paraId="62E21F89">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54A05606">
            <w:pPr>
              <w:pStyle w:val="28"/>
              <w:bidi w:val="0"/>
            </w:pPr>
            <w:r>
              <w:t>18</w:t>
            </w:r>
          </w:p>
        </w:tc>
        <w:tc>
          <w:tcPr>
            <w:tcW w:w="1705" w:type="pct"/>
            <w:tcBorders>
              <w:top w:val="single" w:color="000000" w:sz="4" w:space="0"/>
              <w:left w:val="single" w:color="000000" w:sz="4" w:space="0"/>
              <w:bottom w:val="single" w:color="000000" w:sz="4" w:space="0"/>
              <w:right w:val="single" w:color="000000" w:sz="4" w:space="0"/>
            </w:tcBorders>
            <w:vAlign w:val="center"/>
          </w:tcPr>
          <w:p w14:paraId="20A20D33">
            <w:pPr>
              <w:pStyle w:val="28"/>
              <w:bidi w:val="0"/>
            </w:pPr>
            <w:r>
              <w:rPr>
                <w:rFonts w:hint="eastAsia"/>
              </w:rPr>
              <w:t>堰西支渠工程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01292D71">
            <w:pPr>
              <w:pStyle w:val="28"/>
              <w:bidi w:val="0"/>
            </w:pPr>
            <w:r>
              <w:t>430</w:t>
            </w:r>
          </w:p>
        </w:tc>
        <w:tc>
          <w:tcPr>
            <w:tcW w:w="1675" w:type="pct"/>
            <w:tcBorders>
              <w:top w:val="single" w:color="000000" w:sz="4" w:space="0"/>
              <w:left w:val="single" w:color="000000" w:sz="4" w:space="0"/>
              <w:bottom w:val="single" w:color="000000" w:sz="4" w:space="0"/>
              <w:right w:val="single" w:color="000000" w:sz="4" w:space="0"/>
            </w:tcBorders>
            <w:vAlign w:val="center"/>
          </w:tcPr>
          <w:p w14:paraId="1A793D8A">
            <w:pPr>
              <w:pStyle w:val="28"/>
              <w:bidi w:val="0"/>
            </w:pPr>
            <w:r>
              <w:t>1933.3</w:t>
            </w:r>
          </w:p>
        </w:tc>
      </w:tr>
      <w:tr w14:paraId="478F3779">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53D765B9">
            <w:pPr>
              <w:pStyle w:val="28"/>
              <w:bidi w:val="0"/>
            </w:pPr>
            <w:r>
              <w:t>19</w:t>
            </w:r>
          </w:p>
        </w:tc>
        <w:tc>
          <w:tcPr>
            <w:tcW w:w="1705" w:type="pct"/>
            <w:tcBorders>
              <w:top w:val="single" w:color="000000" w:sz="4" w:space="0"/>
              <w:left w:val="single" w:color="000000" w:sz="4" w:space="0"/>
              <w:bottom w:val="single" w:color="000000" w:sz="4" w:space="0"/>
              <w:right w:val="single" w:color="000000" w:sz="4" w:space="0"/>
            </w:tcBorders>
            <w:vAlign w:val="center"/>
          </w:tcPr>
          <w:p w14:paraId="20F2CFA7">
            <w:pPr>
              <w:pStyle w:val="28"/>
              <w:bidi w:val="0"/>
            </w:pPr>
            <w:r>
              <w:rPr>
                <w:rFonts w:hint="eastAsia"/>
              </w:rPr>
              <w:t>众兴双庙支渠工程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3E6AE136">
            <w:pPr>
              <w:pStyle w:val="28"/>
              <w:bidi w:val="0"/>
            </w:pPr>
            <w:r>
              <w:t>1500</w:t>
            </w:r>
          </w:p>
        </w:tc>
        <w:tc>
          <w:tcPr>
            <w:tcW w:w="1675" w:type="pct"/>
            <w:tcBorders>
              <w:top w:val="single" w:color="000000" w:sz="4" w:space="0"/>
              <w:left w:val="single" w:color="000000" w:sz="4" w:space="0"/>
              <w:bottom w:val="single" w:color="000000" w:sz="4" w:space="0"/>
              <w:right w:val="single" w:color="000000" w:sz="4" w:space="0"/>
            </w:tcBorders>
            <w:vAlign w:val="center"/>
          </w:tcPr>
          <w:p w14:paraId="2335442D">
            <w:pPr>
              <w:pStyle w:val="28"/>
              <w:bidi w:val="0"/>
            </w:pPr>
            <w:r>
              <w:t>0.0</w:t>
            </w:r>
          </w:p>
        </w:tc>
      </w:tr>
      <w:tr w14:paraId="4E625329">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651D24A7">
            <w:pPr>
              <w:pStyle w:val="28"/>
              <w:bidi w:val="0"/>
            </w:pPr>
            <w:r>
              <w:t>20</w:t>
            </w:r>
          </w:p>
        </w:tc>
        <w:tc>
          <w:tcPr>
            <w:tcW w:w="1705" w:type="pct"/>
            <w:tcBorders>
              <w:top w:val="single" w:color="000000" w:sz="4" w:space="0"/>
              <w:left w:val="single" w:color="000000" w:sz="4" w:space="0"/>
              <w:bottom w:val="single" w:color="000000" w:sz="4" w:space="0"/>
              <w:right w:val="single" w:color="000000" w:sz="4" w:space="0"/>
            </w:tcBorders>
            <w:vAlign w:val="center"/>
          </w:tcPr>
          <w:p w14:paraId="37478CB8">
            <w:pPr>
              <w:pStyle w:val="28"/>
              <w:bidi w:val="0"/>
            </w:pPr>
            <w:r>
              <w:rPr>
                <w:rFonts w:hint="eastAsia"/>
              </w:rPr>
              <w:t>大高支渠工程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2BA672BC">
            <w:pPr>
              <w:pStyle w:val="28"/>
              <w:bidi w:val="0"/>
            </w:pPr>
            <w:r>
              <w:t>1600</w:t>
            </w:r>
          </w:p>
        </w:tc>
        <w:tc>
          <w:tcPr>
            <w:tcW w:w="1675" w:type="pct"/>
            <w:tcBorders>
              <w:top w:val="single" w:color="000000" w:sz="4" w:space="0"/>
              <w:left w:val="single" w:color="000000" w:sz="4" w:space="0"/>
              <w:bottom w:val="single" w:color="000000" w:sz="4" w:space="0"/>
              <w:right w:val="single" w:color="000000" w:sz="4" w:space="0"/>
            </w:tcBorders>
            <w:vAlign w:val="center"/>
          </w:tcPr>
          <w:p w14:paraId="6F6EBD42">
            <w:pPr>
              <w:pStyle w:val="28"/>
              <w:bidi w:val="0"/>
            </w:pPr>
            <w:r>
              <w:t>1800.0</w:t>
            </w:r>
          </w:p>
        </w:tc>
      </w:tr>
      <w:tr w14:paraId="3F300B2E">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12CB160F">
            <w:pPr>
              <w:pStyle w:val="28"/>
              <w:bidi w:val="0"/>
            </w:pPr>
            <w:r>
              <w:t>21</w:t>
            </w:r>
          </w:p>
        </w:tc>
        <w:tc>
          <w:tcPr>
            <w:tcW w:w="1705" w:type="pct"/>
            <w:tcBorders>
              <w:top w:val="single" w:color="000000" w:sz="4" w:space="0"/>
              <w:left w:val="single" w:color="000000" w:sz="4" w:space="0"/>
              <w:bottom w:val="single" w:color="000000" w:sz="4" w:space="0"/>
              <w:right w:val="single" w:color="000000" w:sz="4" w:space="0"/>
            </w:tcBorders>
            <w:vAlign w:val="center"/>
          </w:tcPr>
          <w:p w14:paraId="371EF032">
            <w:pPr>
              <w:pStyle w:val="28"/>
              <w:bidi w:val="0"/>
            </w:pPr>
            <w:r>
              <w:rPr>
                <w:rFonts w:hint="eastAsia"/>
              </w:rPr>
              <w:t>白龙支渠工程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7D6041AC">
            <w:pPr>
              <w:pStyle w:val="28"/>
              <w:bidi w:val="0"/>
            </w:pPr>
            <w:r>
              <w:t>1500</w:t>
            </w:r>
          </w:p>
        </w:tc>
        <w:tc>
          <w:tcPr>
            <w:tcW w:w="1675" w:type="pct"/>
            <w:tcBorders>
              <w:top w:val="single" w:color="000000" w:sz="4" w:space="0"/>
              <w:left w:val="single" w:color="000000" w:sz="4" w:space="0"/>
              <w:bottom w:val="single" w:color="000000" w:sz="4" w:space="0"/>
              <w:right w:val="single" w:color="000000" w:sz="4" w:space="0"/>
            </w:tcBorders>
            <w:vAlign w:val="center"/>
          </w:tcPr>
          <w:p w14:paraId="2DFF2E15">
            <w:pPr>
              <w:pStyle w:val="28"/>
              <w:bidi w:val="0"/>
            </w:pPr>
            <w:r>
              <w:t>1800.0</w:t>
            </w:r>
          </w:p>
        </w:tc>
      </w:tr>
      <w:tr w14:paraId="75F79640">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3DCAE49F">
            <w:pPr>
              <w:pStyle w:val="28"/>
              <w:bidi w:val="0"/>
            </w:pPr>
            <w:r>
              <w:t>22</w:t>
            </w:r>
          </w:p>
        </w:tc>
        <w:tc>
          <w:tcPr>
            <w:tcW w:w="1705" w:type="pct"/>
            <w:tcBorders>
              <w:top w:val="single" w:color="000000" w:sz="4" w:space="0"/>
              <w:left w:val="single" w:color="000000" w:sz="4" w:space="0"/>
              <w:bottom w:val="single" w:color="000000" w:sz="4" w:space="0"/>
              <w:right w:val="single" w:color="000000" w:sz="4" w:space="0"/>
            </w:tcBorders>
            <w:vAlign w:val="center"/>
          </w:tcPr>
          <w:p w14:paraId="2CA30E40">
            <w:pPr>
              <w:pStyle w:val="28"/>
              <w:bidi w:val="0"/>
            </w:pPr>
            <w:r>
              <w:rPr>
                <w:rFonts w:hint="eastAsia"/>
              </w:rPr>
              <w:t>郑岗泵站工程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3383F03B">
            <w:pPr>
              <w:pStyle w:val="28"/>
              <w:bidi w:val="0"/>
            </w:pPr>
            <w:r>
              <w:t>900</w:t>
            </w:r>
          </w:p>
        </w:tc>
        <w:tc>
          <w:tcPr>
            <w:tcW w:w="1675" w:type="pct"/>
            <w:tcBorders>
              <w:top w:val="single" w:color="000000" w:sz="4" w:space="0"/>
              <w:left w:val="single" w:color="000000" w:sz="4" w:space="0"/>
              <w:bottom w:val="single" w:color="000000" w:sz="4" w:space="0"/>
              <w:right w:val="single" w:color="000000" w:sz="4" w:space="0"/>
            </w:tcBorders>
            <w:vAlign w:val="center"/>
          </w:tcPr>
          <w:p w14:paraId="5D012FE3">
            <w:pPr>
              <w:pStyle w:val="28"/>
              <w:bidi w:val="0"/>
            </w:pPr>
            <w:r>
              <w:t>4900.0</w:t>
            </w:r>
          </w:p>
        </w:tc>
      </w:tr>
      <w:tr w14:paraId="16270B9D">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7F1C77AF">
            <w:pPr>
              <w:pStyle w:val="28"/>
              <w:bidi w:val="0"/>
            </w:pPr>
            <w:r>
              <w:t>23</w:t>
            </w:r>
          </w:p>
        </w:tc>
        <w:tc>
          <w:tcPr>
            <w:tcW w:w="1705" w:type="pct"/>
            <w:tcBorders>
              <w:top w:val="single" w:color="000000" w:sz="4" w:space="0"/>
              <w:left w:val="single" w:color="000000" w:sz="4" w:space="0"/>
              <w:bottom w:val="single" w:color="000000" w:sz="4" w:space="0"/>
              <w:right w:val="single" w:color="000000" w:sz="4" w:space="0"/>
            </w:tcBorders>
            <w:vAlign w:val="center"/>
          </w:tcPr>
          <w:p w14:paraId="5C6D350E">
            <w:pPr>
              <w:pStyle w:val="28"/>
              <w:bidi w:val="0"/>
            </w:pPr>
            <w:r>
              <w:rPr>
                <w:rFonts w:hint="eastAsia"/>
              </w:rPr>
              <w:t>沣东干渠工程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3DD70DEC">
            <w:pPr>
              <w:pStyle w:val="28"/>
              <w:bidi w:val="0"/>
            </w:pPr>
            <w:r>
              <w:t>4300</w:t>
            </w:r>
          </w:p>
        </w:tc>
        <w:tc>
          <w:tcPr>
            <w:tcW w:w="1675" w:type="pct"/>
            <w:tcBorders>
              <w:top w:val="single" w:color="000000" w:sz="4" w:space="0"/>
              <w:left w:val="single" w:color="000000" w:sz="4" w:space="0"/>
              <w:bottom w:val="single" w:color="000000" w:sz="4" w:space="0"/>
              <w:right w:val="single" w:color="000000" w:sz="4" w:space="0"/>
            </w:tcBorders>
            <w:vAlign w:val="center"/>
          </w:tcPr>
          <w:p w14:paraId="1E14D079">
            <w:pPr>
              <w:pStyle w:val="28"/>
              <w:bidi w:val="0"/>
            </w:pPr>
            <w:r>
              <w:t>0.0</w:t>
            </w:r>
          </w:p>
        </w:tc>
      </w:tr>
      <w:tr w14:paraId="1749D160">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59FE5FF5">
            <w:pPr>
              <w:pStyle w:val="28"/>
              <w:bidi w:val="0"/>
            </w:pPr>
            <w:r>
              <w:t>24</w:t>
            </w:r>
          </w:p>
        </w:tc>
        <w:tc>
          <w:tcPr>
            <w:tcW w:w="1705" w:type="pct"/>
            <w:tcBorders>
              <w:top w:val="single" w:color="000000" w:sz="4" w:space="0"/>
              <w:left w:val="single" w:color="000000" w:sz="4" w:space="0"/>
              <w:bottom w:val="single" w:color="000000" w:sz="4" w:space="0"/>
              <w:right w:val="single" w:color="000000" w:sz="4" w:space="0"/>
            </w:tcBorders>
            <w:vAlign w:val="center"/>
          </w:tcPr>
          <w:p w14:paraId="4A709B0F">
            <w:pPr>
              <w:pStyle w:val="28"/>
              <w:bidi w:val="0"/>
            </w:pPr>
            <w:r>
              <w:rPr>
                <w:rFonts w:hint="eastAsia"/>
              </w:rPr>
              <w:t>沣西干渠工程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5DCAB067">
            <w:pPr>
              <w:pStyle w:val="28"/>
              <w:bidi w:val="0"/>
            </w:pPr>
            <w:r>
              <w:t>22320</w:t>
            </w:r>
          </w:p>
        </w:tc>
        <w:tc>
          <w:tcPr>
            <w:tcW w:w="1675" w:type="pct"/>
            <w:tcBorders>
              <w:top w:val="single" w:color="000000" w:sz="4" w:space="0"/>
              <w:left w:val="single" w:color="000000" w:sz="4" w:space="0"/>
              <w:bottom w:val="single" w:color="000000" w:sz="4" w:space="0"/>
              <w:right w:val="single" w:color="000000" w:sz="4" w:space="0"/>
            </w:tcBorders>
            <w:vAlign w:val="center"/>
          </w:tcPr>
          <w:p w14:paraId="52E0D0FA">
            <w:pPr>
              <w:pStyle w:val="28"/>
              <w:bidi w:val="0"/>
            </w:pPr>
            <w:r>
              <w:t>16999.8</w:t>
            </w:r>
          </w:p>
        </w:tc>
      </w:tr>
      <w:tr w14:paraId="4E272C58">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3B0E3BA2">
            <w:pPr>
              <w:pStyle w:val="28"/>
              <w:bidi w:val="0"/>
            </w:pPr>
            <w:r>
              <w:t>25</w:t>
            </w:r>
          </w:p>
        </w:tc>
        <w:tc>
          <w:tcPr>
            <w:tcW w:w="1705" w:type="pct"/>
            <w:tcBorders>
              <w:top w:val="single" w:color="000000" w:sz="4" w:space="0"/>
              <w:left w:val="single" w:color="000000" w:sz="4" w:space="0"/>
              <w:bottom w:val="single" w:color="000000" w:sz="4" w:space="0"/>
              <w:right w:val="single" w:color="000000" w:sz="4" w:space="0"/>
            </w:tcBorders>
            <w:vAlign w:val="center"/>
          </w:tcPr>
          <w:p w14:paraId="5FB3D70C">
            <w:pPr>
              <w:pStyle w:val="28"/>
              <w:bidi w:val="0"/>
            </w:pPr>
            <w:r>
              <w:rPr>
                <w:rFonts w:hint="eastAsia"/>
              </w:rPr>
              <w:t>姚李支渠工程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082D76E2">
            <w:pPr>
              <w:pStyle w:val="28"/>
              <w:bidi w:val="0"/>
            </w:pPr>
            <w:r>
              <w:t>12640</w:t>
            </w:r>
          </w:p>
        </w:tc>
        <w:tc>
          <w:tcPr>
            <w:tcW w:w="1675" w:type="pct"/>
            <w:tcBorders>
              <w:top w:val="single" w:color="000000" w:sz="4" w:space="0"/>
              <w:left w:val="single" w:color="000000" w:sz="4" w:space="0"/>
              <w:bottom w:val="single" w:color="000000" w:sz="4" w:space="0"/>
              <w:right w:val="single" w:color="000000" w:sz="4" w:space="0"/>
            </w:tcBorders>
            <w:vAlign w:val="center"/>
          </w:tcPr>
          <w:p w14:paraId="7B782E95">
            <w:pPr>
              <w:pStyle w:val="28"/>
              <w:bidi w:val="0"/>
            </w:pPr>
            <w:r>
              <w:t>25793.1</w:t>
            </w:r>
          </w:p>
        </w:tc>
      </w:tr>
      <w:tr w14:paraId="732A530A">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59AAF83F">
            <w:pPr>
              <w:pStyle w:val="28"/>
              <w:bidi w:val="0"/>
            </w:pPr>
            <w:r>
              <w:t>26</w:t>
            </w:r>
          </w:p>
        </w:tc>
        <w:tc>
          <w:tcPr>
            <w:tcW w:w="1705" w:type="pct"/>
            <w:tcBorders>
              <w:top w:val="single" w:color="000000" w:sz="4" w:space="0"/>
              <w:left w:val="single" w:color="000000" w:sz="4" w:space="0"/>
              <w:bottom w:val="single" w:color="000000" w:sz="4" w:space="0"/>
              <w:right w:val="single" w:color="000000" w:sz="4" w:space="0"/>
            </w:tcBorders>
            <w:vAlign w:val="center"/>
          </w:tcPr>
          <w:p w14:paraId="6D45D64B">
            <w:pPr>
              <w:pStyle w:val="28"/>
              <w:bidi w:val="0"/>
            </w:pPr>
            <w:r>
              <w:rPr>
                <w:rFonts w:hint="eastAsia"/>
              </w:rPr>
              <w:t>胜天支渠工程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3E368F59">
            <w:pPr>
              <w:pStyle w:val="28"/>
              <w:bidi w:val="0"/>
            </w:pPr>
            <w:r>
              <w:t>6080</w:t>
            </w:r>
          </w:p>
        </w:tc>
        <w:tc>
          <w:tcPr>
            <w:tcW w:w="1675" w:type="pct"/>
            <w:tcBorders>
              <w:top w:val="single" w:color="000000" w:sz="4" w:space="0"/>
              <w:left w:val="single" w:color="000000" w:sz="4" w:space="0"/>
              <w:bottom w:val="single" w:color="000000" w:sz="4" w:space="0"/>
              <w:right w:val="single" w:color="000000" w:sz="4" w:space="0"/>
            </w:tcBorders>
            <w:vAlign w:val="center"/>
          </w:tcPr>
          <w:p w14:paraId="70E220E0">
            <w:pPr>
              <w:pStyle w:val="28"/>
              <w:bidi w:val="0"/>
            </w:pPr>
            <w:r>
              <w:t>6746.6</w:t>
            </w:r>
          </w:p>
        </w:tc>
      </w:tr>
      <w:tr w14:paraId="4E97C7C8">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3A4C21DD">
            <w:pPr>
              <w:pStyle w:val="28"/>
              <w:bidi w:val="0"/>
            </w:pPr>
            <w:r>
              <w:t>27</w:t>
            </w:r>
          </w:p>
        </w:tc>
        <w:tc>
          <w:tcPr>
            <w:tcW w:w="1705" w:type="pct"/>
            <w:tcBorders>
              <w:top w:val="single" w:color="000000" w:sz="4" w:space="0"/>
              <w:left w:val="single" w:color="000000" w:sz="4" w:space="0"/>
              <w:bottom w:val="single" w:color="000000" w:sz="4" w:space="0"/>
              <w:right w:val="single" w:color="000000" w:sz="4" w:space="0"/>
            </w:tcBorders>
            <w:vAlign w:val="center"/>
          </w:tcPr>
          <w:p w14:paraId="72B480B5">
            <w:pPr>
              <w:pStyle w:val="28"/>
              <w:bidi w:val="0"/>
            </w:pPr>
            <w:r>
              <w:rPr>
                <w:rFonts w:hint="eastAsia"/>
              </w:rPr>
              <w:t>乌斗支渠工程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62A99A93">
            <w:pPr>
              <w:pStyle w:val="28"/>
              <w:bidi w:val="0"/>
            </w:pPr>
            <w:r>
              <w:t>28970</w:t>
            </w:r>
          </w:p>
        </w:tc>
        <w:tc>
          <w:tcPr>
            <w:tcW w:w="1675" w:type="pct"/>
            <w:tcBorders>
              <w:top w:val="single" w:color="000000" w:sz="4" w:space="0"/>
              <w:left w:val="single" w:color="000000" w:sz="4" w:space="0"/>
              <w:bottom w:val="single" w:color="000000" w:sz="4" w:space="0"/>
              <w:right w:val="single" w:color="000000" w:sz="4" w:space="0"/>
            </w:tcBorders>
            <w:vAlign w:val="center"/>
          </w:tcPr>
          <w:p w14:paraId="22D3AFBE">
            <w:pPr>
              <w:pStyle w:val="28"/>
              <w:bidi w:val="0"/>
            </w:pPr>
            <w:r>
              <w:t>36406.3</w:t>
            </w:r>
          </w:p>
        </w:tc>
      </w:tr>
      <w:tr w14:paraId="4AA11824">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7C55B1D2">
            <w:pPr>
              <w:pStyle w:val="28"/>
              <w:bidi w:val="0"/>
            </w:pPr>
            <w:r>
              <w:t>28</w:t>
            </w:r>
          </w:p>
        </w:tc>
        <w:tc>
          <w:tcPr>
            <w:tcW w:w="1705" w:type="pct"/>
            <w:tcBorders>
              <w:top w:val="single" w:color="000000" w:sz="4" w:space="0"/>
              <w:left w:val="single" w:color="000000" w:sz="4" w:space="0"/>
              <w:bottom w:val="single" w:color="000000" w:sz="4" w:space="0"/>
              <w:right w:val="single" w:color="000000" w:sz="4" w:space="0"/>
            </w:tcBorders>
            <w:vAlign w:val="center"/>
          </w:tcPr>
          <w:p w14:paraId="0230963B">
            <w:pPr>
              <w:pStyle w:val="28"/>
              <w:bidi w:val="0"/>
            </w:pPr>
            <w:r>
              <w:rPr>
                <w:rFonts w:hint="eastAsia"/>
              </w:rPr>
              <w:t>舒庐干渠</w:t>
            </w:r>
            <w:r>
              <w:t>7</w:t>
            </w:r>
            <w:r>
              <w:rPr>
                <w:rFonts w:hint="eastAsia"/>
              </w:rPr>
              <w:t>座水闸工程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5133B870">
            <w:pPr>
              <w:pStyle w:val="28"/>
              <w:bidi w:val="0"/>
            </w:pPr>
            <w:r>
              <w:t>4500</w:t>
            </w:r>
          </w:p>
        </w:tc>
        <w:tc>
          <w:tcPr>
            <w:tcW w:w="1675" w:type="pct"/>
            <w:tcBorders>
              <w:top w:val="single" w:color="000000" w:sz="4" w:space="0"/>
              <w:left w:val="single" w:color="000000" w:sz="4" w:space="0"/>
              <w:bottom w:val="single" w:color="000000" w:sz="4" w:space="0"/>
              <w:right w:val="single" w:color="000000" w:sz="4" w:space="0"/>
            </w:tcBorders>
            <w:vAlign w:val="center"/>
          </w:tcPr>
          <w:p w14:paraId="4271FE8B">
            <w:pPr>
              <w:pStyle w:val="28"/>
              <w:bidi w:val="0"/>
            </w:pPr>
            <w:r>
              <w:t>14999.9</w:t>
            </w:r>
          </w:p>
        </w:tc>
      </w:tr>
      <w:tr w14:paraId="06F9D3A9">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0A5E7EC6">
            <w:pPr>
              <w:pStyle w:val="28"/>
              <w:bidi w:val="0"/>
            </w:pPr>
            <w:r>
              <w:t>29</w:t>
            </w:r>
          </w:p>
        </w:tc>
        <w:tc>
          <w:tcPr>
            <w:tcW w:w="1705" w:type="pct"/>
            <w:tcBorders>
              <w:top w:val="single" w:color="000000" w:sz="4" w:space="0"/>
              <w:left w:val="single" w:color="000000" w:sz="4" w:space="0"/>
              <w:bottom w:val="single" w:color="000000" w:sz="4" w:space="0"/>
              <w:right w:val="single" w:color="000000" w:sz="4" w:space="0"/>
            </w:tcBorders>
            <w:vAlign w:val="center"/>
          </w:tcPr>
          <w:p w14:paraId="7A3A35BE">
            <w:pPr>
              <w:pStyle w:val="28"/>
              <w:bidi w:val="0"/>
            </w:pPr>
            <w:r>
              <w:rPr>
                <w:rFonts w:hint="eastAsia"/>
              </w:rPr>
              <w:t>杭北干渠工程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5BA99AFC">
            <w:pPr>
              <w:pStyle w:val="28"/>
              <w:bidi w:val="0"/>
            </w:pPr>
            <w:r>
              <w:t>6350</w:t>
            </w:r>
          </w:p>
        </w:tc>
        <w:tc>
          <w:tcPr>
            <w:tcW w:w="1675" w:type="pct"/>
            <w:tcBorders>
              <w:top w:val="single" w:color="000000" w:sz="4" w:space="0"/>
              <w:left w:val="single" w:color="000000" w:sz="4" w:space="0"/>
              <w:bottom w:val="single" w:color="000000" w:sz="4" w:space="0"/>
              <w:right w:val="single" w:color="000000" w:sz="4" w:space="0"/>
            </w:tcBorders>
            <w:vAlign w:val="center"/>
          </w:tcPr>
          <w:p w14:paraId="6EE3BA32">
            <w:pPr>
              <w:pStyle w:val="28"/>
              <w:bidi w:val="0"/>
            </w:pPr>
            <w:r>
              <w:t>700.0</w:t>
            </w:r>
          </w:p>
        </w:tc>
      </w:tr>
      <w:tr w14:paraId="1B97FD40">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26299403">
            <w:pPr>
              <w:pStyle w:val="28"/>
              <w:bidi w:val="0"/>
            </w:pPr>
            <w:r>
              <w:t>30</w:t>
            </w:r>
          </w:p>
        </w:tc>
        <w:tc>
          <w:tcPr>
            <w:tcW w:w="1705" w:type="pct"/>
            <w:tcBorders>
              <w:top w:val="single" w:color="000000" w:sz="4" w:space="0"/>
              <w:left w:val="single" w:color="000000" w:sz="4" w:space="0"/>
              <w:bottom w:val="single" w:color="000000" w:sz="4" w:space="0"/>
              <w:right w:val="single" w:color="000000" w:sz="4" w:space="0"/>
            </w:tcBorders>
            <w:vAlign w:val="center"/>
          </w:tcPr>
          <w:p w14:paraId="26C8F1C3">
            <w:pPr>
              <w:pStyle w:val="28"/>
              <w:bidi w:val="0"/>
            </w:pPr>
            <w:r>
              <w:rPr>
                <w:rFonts w:hint="eastAsia"/>
              </w:rPr>
              <w:t>沙胜支渠工程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75918176">
            <w:pPr>
              <w:pStyle w:val="28"/>
              <w:bidi w:val="0"/>
            </w:pPr>
            <w:r>
              <w:t>5000</w:t>
            </w:r>
          </w:p>
        </w:tc>
        <w:tc>
          <w:tcPr>
            <w:tcW w:w="1675" w:type="pct"/>
            <w:tcBorders>
              <w:top w:val="single" w:color="000000" w:sz="4" w:space="0"/>
              <w:left w:val="single" w:color="000000" w:sz="4" w:space="0"/>
              <w:bottom w:val="single" w:color="000000" w:sz="4" w:space="0"/>
              <w:right w:val="single" w:color="000000" w:sz="4" w:space="0"/>
            </w:tcBorders>
            <w:vAlign w:val="center"/>
          </w:tcPr>
          <w:p w14:paraId="4761F8F2">
            <w:pPr>
              <w:pStyle w:val="28"/>
              <w:bidi w:val="0"/>
            </w:pPr>
            <w:r>
              <w:t>17493.2</w:t>
            </w:r>
          </w:p>
        </w:tc>
      </w:tr>
      <w:tr w14:paraId="3915A56F">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607B1140">
            <w:pPr>
              <w:pStyle w:val="28"/>
              <w:bidi w:val="0"/>
            </w:pPr>
            <w:r>
              <w:t>31</w:t>
            </w:r>
          </w:p>
        </w:tc>
        <w:tc>
          <w:tcPr>
            <w:tcW w:w="1705" w:type="pct"/>
            <w:tcBorders>
              <w:top w:val="single" w:color="000000" w:sz="4" w:space="0"/>
              <w:left w:val="single" w:color="000000" w:sz="4" w:space="0"/>
              <w:bottom w:val="single" w:color="000000" w:sz="4" w:space="0"/>
              <w:right w:val="single" w:color="000000" w:sz="4" w:space="0"/>
            </w:tcBorders>
            <w:vAlign w:val="center"/>
          </w:tcPr>
          <w:p w14:paraId="1E5BE23A">
            <w:pPr>
              <w:pStyle w:val="28"/>
              <w:bidi w:val="0"/>
            </w:pPr>
            <w:r>
              <w:rPr>
                <w:rFonts w:hint="eastAsia"/>
              </w:rPr>
              <w:t>乐桥支渠工程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0AB74C8B">
            <w:pPr>
              <w:pStyle w:val="28"/>
              <w:bidi w:val="0"/>
            </w:pPr>
            <w:r>
              <w:t>3800</w:t>
            </w:r>
          </w:p>
        </w:tc>
        <w:tc>
          <w:tcPr>
            <w:tcW w:w="1675" w:type="pct"/>
            <w:tcBorders>
              <w:top w:val="single" w:color="000000" w:sz="4" w:space="0"/>
              <w:left w:val="single" w:color="000000" w:sz="4" w:space="0"/>
              <w:bottom w:val="single" w:color="000000" w:sz="4" w:space="0"/>
              <w:right w:val="single" w:color="000000" w:sz="4" w:space="0"/>
            </w:tcBorders>
            <w:vAlign w:val="center"/>
          </w:tcPr>
          <w:p w14:paraId="1744373A">
            <w:pPr>
              <w:pStyle w:val="28"/>
              <w:bidi w:val="0"/>
            </w:pPr>
            <w:r>
              <w:t>12239.9</w:t>
            </w:r>
          </w:p>
        </w:tc>
      </w:tr>
      <w:tr w14:paraId="1A56D211">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5BBEB751">
            <w:pPr>
              <w:pStyle w:val="28"/>
              <w:bidi w:val="0"/>
            </w:pPr>
            <w:r>
              <w:t>32</w:t>
            </w:r>
          </w:p>
        </w:tc>
        <w:tc>
          <w:tcPr>
            <w:tcW w:w="1705" w:type="pct"/>
            <w:tcBorders>
              <w:top w:val="single" w:color="000000" w:sz="4" w:space="0"/>
              <w:left w:val="single" w:color="000000" w:sz="4" w:space="0"/>
              <w:bottom w:val="single" w:color="000000" w:sz="4" w:space="0"/>
              <w:right w:val="single" w:color="000000" w:sz="4" w:space="0"/>
            </w:tcBorders>
            <w:vAlign w:val="center"/>
          </w:tcPr>
          <w:p w14:paraId="07DC94C2">
            <w:pPr>
              <w:pStyle w:val="28"/>
              <w:bidi w:val="0"/>
            </w:pPr>
            <w:r>
              <w:rPr>
                <w:rFonts w:hint="eastAsia"/>
              </w:rPr>
              <w:t>马田支渠工程</w:t>
            </w:r>
          </w:p>
        </w:tc>
        <w:tc>
          <w:tcPr>
            <w:tcW w:w="1277" w:type="pct"/>
            <w:tcBorders>
              <w:top w:val="single" w:color="000000" w:sz="4" w:space="0"/>
              <w:left w:val="single" w:color="000000" w:sz="4" w:space="0"/>
              <w:bottom w:val="single" w:color="000000" w:sz="4" w:space="0"/>
              <w:right w:val="single" w:color="000000" w:sz="4" w:space="0"/>
            </w:tcBorders>
            <w:vAlign w:val="center"/>
          </w:tcPr>
          <w:p w14:paraId="7C74814A">
            <w:pPr>
              <w:pStyle w:val="28"/>
              <w:bidi w:val="0"/>
            </w:pPr>
            <w:r>
              <w:t>860</w:t>
            </w:r>
          </w:p>
        </w:tc>
        <w:tc>
          <w:tcPr>
            <w:tcW w:w="1675" w:type="pct"/>
            <w:tcBorders>
              <w:top w:val="single" w:color="000000" w:sz="4" w:space="0"/>
              <w:left w:val="single" w:color="000000" w:sz="4" w:space="0"/>
              <w:bottom w:val="single" w:color="000000" w:sz="4" w:space="0"/>
              <w:right w:val="single" w:color="000000" w:sz="4" w:space="0"/>
            </w:tcBorders>
            <w:vAlign w:val="center"/>
          </w:tcPr>
          <w:p w14:paraId="36A3F8EA">
            <w:pPr>
              <w:pStyle w:val="28"/>
              <w:bidi w:val="0"/>
            </w:pPr>
            <w:r>
              <w:t>1540.0</w:t>
            </w:r>
          </w:p>
        </w:tc>
      </w:tr>
      <w:tr w14:paraId="47D6A82D">
        <w:tblPrEx>
          <w:tblCellMar>
            <w:top w:w="0" w:type="dxa"/>
            <w:left w:w="108" w:type="dxa"/>
            <w:bottom w:w="0" w:type="dxa"/>
            <w:right w:w="108" w:type="dxa"/>
          </w:tblCellMar>
        </w:tblPrEx>
        <w:trPr>
          <w:trHeight w:val="340" w:hRule="atLeast"/>
          <w:jc w:val="center"/>
        </w:trPr>
        <w:tc>
          <w:tcPr>
            <w:tcW w:w="341" w:type="pct"/>
            <w:tcBorders>
              <w:top w:val="single" w:color="000000" w:sz="4" w:space="0"/>
              <w:left w:val="single" w:color="000000" w:sz="4" w:space="0"/>
              <w:bottom w:val="single" w:color="000000" w:sz="4" w:space="0"/>
              <w:right w:val="single" w:color="000000" w:sz="4" w:space="0"/>
            </w:tcBorders>
            <w:vAlign w:val="center"/>
          </w:tcPr>
          <w:p w14:paraId="7CC95626">
            <w:pPr>
              <w:pStyle w:val="28"/>
              <w:bidi w:val="0"/>
            </w:pPr>
            <w:r>
              <w:t>合计</w:t>
            </w:r>
          </w:p>
        </w:tc>
        <w:tc>
          <w:tcPr>
            <w:tcW w:w="1705" w:type="pct"/>
            <w:tcBorders>
              <w:top w:val="single" w:color="000000" w:sz="4" w:space="0"/>
              <w:left w:val="single" w:color="000000" w:sz="4" w:space="0"/>
              <w:bottom w:val="single" w:color="000000" w:sz="4" w:space="0"/>
              <w:right w:val="single" w:color="000000" w:sz="4" w:space="0"/>
            </w:tcBorders>
            <w:vAlign w:val="center"/>
          </w:tcPr>
          <w:p w14:paraId="08559453">
            <w:pPr>
              <w:pStyle w:val="28"/>
              <w:bidi w:val="0"/>
            </w:pPr>
            <w:r>
              <w:t>132330</w:t>
            </w:r>
          </w:p>
        </w:tc>
        <w:tc>
          <w:tcPr>
            <w:tcW w:w="1277" w:type="pct"/>
            <w:tcBorders>
              <w:top w:val="single" w:color="000000" w:sz="4" w:space="0"/>
              <w:left w:val="single" w:color="000000" w:sz="4" w:space="0"/>
              <w:bottom w:val="single" w:color="000000" w:sz="4" w:space="0"/>
              <w:right w:val="single" w:color="000000" w:sz="4" w:space="0"/>
            </w:tcBorders>
            <w:vAlign w:val="center"/>
          </w:tcPr>
          <w:p w14:paraId="7A163FD8">
            <w:pPr>
              <w:pStyle w:val="28"/>
              <w:bidi w:val="0"/>
            </w:pPr>
            <w:r>
              <w:t>270897</w:t>
            </w:r>
          </w:p>
        </w:tc>
        <w:tc>
          <w:tcPr>
            <w:tcW w:w="1675" w:type="pct"/>
            <w:tcBorders>
              <w:top w:val="single" w:color="000000" w:sz="4" w:space="0"/>
              <w:left w:val="single" w:color="000000" w:sz="4" w:space="0"/>
              <w:bottom w:val="single" w:color="000000" w:sz="4" w:space="0"/>
              <w:right w:val="single" w:color="000000" w:sz="4" w:space="0"/>
            </w:tcBorders>
            <w:vAlign w:val="center"/>
          </w:tcPr>
          <w:p w14:paraId="13F15358">
            <w:pPr>
              <w:pStyle w:val="28"/>
              <w:bidi w:val="0"/>
            </w:pPr>
            <w:r>
              <w:rPr>
                <w:rFonts w:hint="eastAsia"/>
              </w:rPr>
              <w:t>270897</w:t>
            </w:r>
          </w:p>
        </w:tc>
      </w:tr>
    </w:tbl>
    <w:p w14:paraId="5B474978">
      <w:pPr>
        <w:rPr>
          <w:color w:val="0000FF"/>
        </w:rPr>
      </w:pPr>
    </w:p>
    <w:p w14:paraId="3807ED29">
      <w:pPr>
        <w:pStyle w:val="5"/>
        <w:rPr>
          <w:color w:val="0000FF"/>
        </w:rPr>
      </w:pPr>
      <w:r>
        <w:rPr>
          <w:rFonts w:hint="eastAsia"/>
          <w:color w:val="0000FF"/>
        </w:rPr>
        <w:t>2.4.2.2 施工分区规划</w:t>
      </w:r>
    </w:p>
    <w:p w14:paraId="00394BB5">
      <w:pPr>
        <w:ind w:firstLine="480" w:firstLineChars="200"/>
        <w:rPr>
          <w:color w:val="0000FF"/>
        </w:rPr>
      </w:pPr>
      <w:r>
        <w:rPr>
          <w:color w:val="0000FF"/>
        </w:rPr>
        <w:t>根据渠道长度与渠系建筑物分布情况进行施工分区规划，采取集中与分散相结合的方法，各工区内生活办公设施集中布置，生产设施根据施工需要在各建筑物附近单独布置。规模较大和相对独立的建筑物可单独进行施工布置，其他建筑物与渠道统一布置。</w:t>
      </w:r>
    </w:p>
    <w:p w14:paraId="58DEEBEC">
      <w:pPr>
        <w:ind w:firstLine="480" w:firstLineChars="200"/>
        <w:rPr>
          <w:color w:val="0000FF"/>
        </w:rPr>
      </w:pPr>
      <w:r>
        <w:rPr>
          <w:color w:val="0000FF"/>
        </w:rPr>
        <w:t>根据上述分区原则，本次3</w:t>
      </w:r>
      <w:r>
        <w:rPr>
          <w:rFonts w:hint="eastAsia"/>
          <w:color w:val="0000FF"/>
        </w:rPr>
        <w:t>2</w:t>
      </w:r>
      <w:r>
        <w:rPr>
          <w:color w:val="0000FF"/>
        </w:rPr>
        <w:t>个各单项工程共划分为88个</w:t>
      </w:r>
      <w:r>
        <w:rPr>
          <w:rFonts w:hint="eastAsia"/>
          <w:color w:val="0000FF"/>
        </w:rPr>
        <w:t>施工工区，其中部分距离村庄较近的施工工区不单独设置施工生活区，工程共设置30个施工生活区。</w:t>
      </w:r>
    </w:p>
    <w:p w14:paraId="40BA9A1F">
      <w:pPr>
        <w:pStyle w:val="5"/>
        <w:rPr>
          <w:color w:val="0000FF"/>
        </w:rPr>
      </w:pPr>
      <w:r>
        <w:rPr>
          <w:rFonts w:hint="eastAsia"/>
          <w:color w:val="0000FF"/>
        </w:rPr>
        <w:t>2.4.2.3 施工布置</w:t>
      </w:r>
    </w:p>
    <w:p w14:paraId="45230910">
      <w:pPr>
        <w:ind w:firstLine="480" w:firstLineChars="200"/>
        <w:rPr>
          <w:color w:val="0000FF"/>
        </w:rPr>
      </w:pPr>
      <w:r>
        <w:rPr>
          <w:color w:val="0000FF"/>
        </w:rPr>
        <w:t>（1）施工工厂</w:t>
      </w:r>
    </w:p>
    <w:p w14:paraId="09C0FEF0">
      <w:pPr>
        <w:ind w:firstLine="480" w:firstLineChars="200"/>
        <w:rPr>
          <w:color w:val="0000FF"/>
        </w:rPr>
      </w:pPr>
      <w:r>
        <w:rPr>
          <w:color w:val="0000FF"/>
        </w:rPr>
        <w:t>砼浇筑量大于2000m³的建筑物工程，工厂在建筑物附近征地布置，其他建筑物工厂与各工区内的渠道统一布置</w:t>
      </w:r>
      <w:r>
        <w:rPr>
          <w:rFonts w:hint="eastAsia"/>
          <w:color w:val="0000FF"/>
        </w:rPr>
        <w:t>，约5000m一处。</w:t>
      </w:r>
    </w:p>
    <w:p w14:paraId="0FE38239">
      <w:pPr>
        <w:ind w:firstLine="480" w:firstLineChars="200"/>
        <w:rPr>
          <w:color w:val="0000FF"/>
        </w:rPr>
      </w:pPr>
      <w:r>
        <w:rPr>
          <w:color w:val="0000FF"/>
        </w:rPr>
        <w:t>（2）施工</w:t>
      </w:r>
      <w:r>
        <w:rPr>
          <w:rFonts w:hint="eastAsia"/>
          <w:color w:val="0000FF"/>
        </w:rPr>
        <w:t>营地</w:t>
      </w:r>
    </w:p>
    <w:p w14:paraId="10299CE0">
      <w:pPr>
        <w:ind w:firstLine="480" w:firstLineChars="200"/>
        <w:rPr>
          <w:color w:val="0000FF"/>
        </w:rPr>
      </w:pPr>
      <w:r>
        <w:rPr>
          <w:rFonts w:hint="eastAsia"/>
          <w:color w:val="0000FF"/>
        </w:rPr>
        <w:t>施工营地（仓库、办公生活区）每个分区布置1个，仓库、</w:t>
      </w:r>
      <w:r>
        <w:rPr>
          <w:color w:val="0000FF"/>
        </w:rPr>
        <w:t>生活办公用房除距村庄较远的项目需现场布置外，大部分租用民房解决</w:t>
      </w:r>
      <w:r>
        <w:rPr>
          <w:rFonts w:hint="eastAsia"/>
          <w:color w:val="0000FF"/>
        </w:rPr>
        <w:t>。</w:t>
      </w:r>
    </w:p>
    <w:p w14:paraId="0B2AB582">
      <w:pPr>
        <w:pStyle w:val="5"/>
        <w:rPr>
          <w:color w:val="0000FF"/>
        </w:rPr>
      </w:pPr>
      <w:r>
        <w:rPr>
          <w:rFonts w:hint="eastAsia"/>
          <w:color w:val="0000FF"/>
        </w:rPr>
        <w:t>2.4.2.4典型工程施工总布置</w:t>
      </w:r>
    </w:p>
    <w:p w14:paraId="635D4C6D">
      <w:pPr>
        <w:ind w:firstLine="480" w:firstLineChars="200"/>
        <w:rPr>
          <w:color w:val="0000FF"/>
        </w:rPr>
      </w:pPr>
      <w:r>
        <w:rPr>
          <w:rFonts w:hint="eastAsia"/>
          <w:color w:val="0000FF"/>
        </w:rPr>
        <w:t>1、涉及生态保护红线的典型工程—聚星渡槽改造工程</w:t>
      </w:r>
    </w:p>
    <w:p w14:paraId="0B9ABBC0">
      <w:pPr>
        <w:ind w:firstLine="480" w:firstLineChars="200"/>
        <w:rPr>
          <w:color w:val="0000FF"/>
        </w:rPr>
      </w:pPr>
      <w:r>
        <w:rPr>
          <w:rFonts w:hint="eastAsia"/>
          <w:color w:val="0000FF"/>
        </w:rPr>
        <w:t>潜南干渠（含聚星渡槽段）本身位于水土保持生态保护红线范围内，且聚星渡槽东侧约533m，分布有紫蓬山国家森林公园。</w:t>
      </w:r>
    </w:p>
    <w:p w14:paraId="224E2A09">
      <w:pPr>
        <w:ind w:firstLine="480" w:firstLineChars="200"/>
        <w:rPr>
          <w:color w:val="0000FF"/>
        </w:rPr>
      </w:pPr>
      <w:r>
        <w:rPr>
          <w:rFonts w:hint="eastAsia"/>
          <w:color w:val="0000FF"/>
        </w:rPr>
        <w:t>工程施工布置有钢木加工厂、仓库、临时堆土场，工程办公生活区租用聚星社区附近民房，T型梁等在厂家预制后现场进行安装，不设置拌合站和预制场，聚星渡槽施工总体布置如下：</w:t>
      </w:r>
    </w:p>
    <w:p w14:paraId="16B56D23">
      <w:pPr>
        <w:jc w:val="center"/>
        <w:rPr>
          <w:color w:val="0000FF"/>
        </w:rPr>
      </w:pPr>
    </w:p>
    <w:p w14:paraId="21F9C66A">
      <w:pPr>
        <w:rPr>
          <w:color w:val="0000FF"/>
        </w:rPr>
      </w:pPr>
      <w:r>
        <w:rPr>
          <w:rFonts w:hint="eastAsia"/>
          <w:color w:val="0000FF"/>
        </w:rPr>
        <w:t>图2-4-1  聚星渡槽施工总布置示意图</w:t>
      </w:r>
    </w:p>
    <w:p w14:paraId="000F8966">
      <w:pPr>
        <w:ind w:firstLine="480" w:firstLineChars="200"/>
        <w:rPr>
          <w:color w:val="0000FF"/>
        </w:rPr>
      </w:pPr>
      <w:r>
        <w:rPr>
          <w:rFonts w:hint="eastAsia"/>
          <w:color w:val="0000FF"/>
        </w:rPr>
        <w:t>2、涉及饮用水水源保护区的典型工程—樊通桥渠下涵工程</w:t>
      </w:r>
    </w:p>
    <w:p w14:paraId="0A223A07">
      <w:pPr>
        <w:ind w:firstLine="480" w:firstLineChars="200"/>
        <w:rPr>
          <w:color w:val="0000FF"/>
        </w:rPr>
      </w:pPr>
      <w:r>
        <w:rPr>
          <w:rFonts w:hint="eastAsia"/>
          <w:color w:val="0000FF"/>
        </w:rPr>
        <w:t>樊通桥渠下涵是陡步河渠下穿越淠河总干渠的构筑物，淠河总干渠该段下游895m分布有六安市一水厂取水口，樊通桥渠下涵位于六安市一水厂饮用水水源一级保护区内，且淠河总干渠该段本身位于水土保持生态红线范围内。</w:t>
      </w:r>
    </w:p>
    <w:p w14:paraId="059B8859">
      <w:pPr>
        <w:ind w:firstLine="480" w:firstLineChars="200"/>
        <w:rPr>
          <w:color w:val="0000FF"/>
        </w:rPr>
      </w:pPr>
      <w:r>
        <w:rPr>
          <w:rFonts w:hint="eastAsia"/>
          <w:color w:val="0000FF"/>
        </w:rPr>
        <w:t>樊通桥渠下涵混凝土浇筑量为894m</w:t>
      </w:r>
      <w:r>
        <w:rPr>
          <w:rFonts w:hint="eastAsia"/>
          <w:color w:val="0000FF"/>
          <w:vertAlign w:val="superscript"/>
        </w:rPr>
        <w:t>3</w:t>
      </w:r>
      <w:r>
        <w:rPr>
          <w:rFonts w:hint="eastAsia"/>
          <w:color w:val="0000FF"/>
        </w:rPr>
        <w:t>，因工程区位于市区，根据环保要求拟采用商品混凝土。施工布置有钢木加工厂、仓库、临时堆土场，工程办公生活区租用六安市城区附近民房，不设置拌合站和预制场，樊通桥渠下涵加固工程总体布置如下：</w:t>
      </w:r>
    </w:p>
    <w:p w14:paraId="6FCE0B78">
      <w:pPr>
        <w:jc w:val="center"/>
        <w:rPr>
          <w:color w:val="0000FF"/>
        </w:rPr>
      </w:pPr>
    </w:p>
    <w:p w14:paraId="20BBD443">
      <w:pPr>
        <w:rPr>
          <w:color w:val="0000FF"/>
        </w:rPr>
      </w:pPr>
      <w:r>
        <w:rPr>
          <w:rFonts w:hint="eastAsia"/>
          <w:color w:val="0000FF"/>
        </w:rPr>
        <w:t>图2-4-2  樊通桥渠下涵施工总布置示意图</w:t>
      </w:r>
    </w:p>
    <w:p w14:paraId="5FA98D1D">
      <w:pPr>
        <w:ind w:firstLine="480" w:firstLineChars="200"/>
        <w:rPr>
          <w:color w:val="0000FF"/>
        </w:rPr>
      </w:pPr>
      <w:r>
        <w:rPr>
          <w:rFonts w:hint="eastAsia"/>
          <w:color w:val="0000FF"/>
        </w:rPr>
        <w:t>3、涉及的典型工程—淠河总干渠上段工程</w:t>
      </w:r>
    </w:p>
    <w:p w14:paraId="22516813">
      <w:pPr>
        <w:ind w:firstLine="480" w:firstLineChars="200"/>
        <w:rPr>
          <w:color w:val="0000FF"/>
        </w:rPr>
      </w:pPr>
      <w:r>
        <w:rPr>
          <w:rFonts w:hint="eastAsia"/>
          <w:color w:val="0000FF"/>
        </w:rPr>
        <w:t>淠河总干渠上段工程主要包括横排头进水闸出口翼墙加固、放水涵拆建、护砌、滑坡治理、进水闸拆建，其中横排头进水闸出口翼墙加固工程位于西南侧，距离约为73m；淠河总干渠上该段本身位于水土保持生态红线范围内，生态红线沿渠道向两侧外延一定距离；横排头进水闸下游约1000m分布有苏埠镇饮用水取水口，横排头进水闸出口翼墙工程位于饮用水水源一级保护区内。</w:t>
      </w:r>
    </w:p>
    <w:p w14:paraId="64174CE9">
      <w:pPr>
        <w:ind w:firstLine="480" w:firstLineChars="200"/>
        <w:rPr>
          <w:color w:val="0000FF"/>
        </w:rPr>
      </w:pPr>
      <w:r>
        <w:rPr>
          <w:rFonts w:hint="eastAsia"/>
          <w:color w:val="0000FF"/>
        </w:rPr>
        <w:t>淠河总干渠上段划分为10个工区，附近设置1个施工分区，布设钢木加工厂、0.4m</w:t>
      </w:r>
      <w:r>
        <w:rPr>
          <w:rFonts w:hint="eastAsia"/>
          <w:color w:val="0000FF"/>
          <w:vertAlign w:val="superscript"/>
        </w:rPr>
        <w:t>3</w:t>
      </w:r>
      <w:r>
        <w:rPr>
          <w:rFonts w:hint="eastAsia"/>
          <w:color w:val="0000FF"/>
        </w:rPr>
        <w:t>搅拌机、施工生活区等，为了减少工程布置产生的噪声、废气以及施工人员对以上重要物种的影响，施工布置调整为依托横排头现有管理房，不再布设施工生活区，采购成品钢木和商品混凝土，不再设置钢模加工厂、混凝土搅拌机。</w:t>
      </w:r>
    </w:p>
    <w:p w14:paraId="2969486C">
      <w:pPr>
        <w:ind w:firstLine="480" w:firstLineChars="200"/>
        <w:rPr>
          <w:color w:val="0000FF"/>
        </w:rPr>
      </w:pPr>
      <w:r>
        <w:rPr>
          <w:rFonts w:hint="eastAsia"/>
          <w:color w:val="0000FF"/>
        </w:rPr>
        <w:t>淠河总干渠工程分布较分散，单个工程量较小且沿线民房较多，整体均考虑不集中布置施工场地，仓库、办公生活区依托横排头管理处或者租用民房解决。</w:t>
      </w:r>
    </w:p>
    <w:p w14:paraId="20FA6AA7">
      <w:pPr>
        <w:ind w:firstLine="480" w:firstLineChars="200"/>
        <w:rPr>
          <w:color w:val="0000FF"/>
        </w:rPr>
      </w:pPr>
      <w:r>
        <w:rPr>
          <w:rFonts w:hint="eastAsia"/>
          <w:color w:val="0000FF"/>
        </w:rPr>
        <w:t>工程采用商品混凝土，外购预制块，不单独设置混凝土拌合站和预制场。</w:t>
      </w:r>
    </w:p>
    <w:p w14:paraId="47F61991">
      <w:pPr>
        <w:ind w:firstLine="480" w:firstLineChars="200"/>
        <w:rPr>
          <w:color w:val="0000FF"/>
        </w:rPr>
      </w:pPr>
      <w:r>
        <w:rPr>
          <w:rFonts w:hint="eastAsia"/>
          <w:color w:val="0000FF"/>
        </w:rPr>
        <w:t>以横排头进水闸出口翼墙加固工程为典型，施工总布置如下：</w:t>
      </w:r>
    </w:p>
    <w:p w14:paraId="60E29DB1">
      <w:pPr>
        <w:jc w:val="center"/>
        <w:rPr>
          <w:color w:val="0000FF"/>
        </w:rPr>
      </w:pPr>
    </w:p>
    <w:p w14:paraId="73FFE13B">
      <w:pPr>
        <w:rPr>
          <w:color w:val="0000FF"/>
        </w:rPr>
      </w:pPr>
      <w:r>
        <w:rPr>
          <w:rFonts w:hint="eastAsia"/>
          <w:color w:val="0000FF"/>
        </w:rPr>
        <w:t>图2-4-3  淠河总干渠上段-横排头进水闸出口翼墙加固工程施工总布置示意图</w:t>
      </w:r>
    </w:p>
    <w:p w14:paraId="74F3CE6A">
      <w:pPr>
        <w:pStyle w:val="4"/>
        <w:rPr>
          <w:rFonts w:cs="Times New Roman"/>
          <w:color w:val="0000FF"/>
        </w:rPr>
      </w:pPr>
      <w:r>
        <w:rPr>
          <w:rFonts w:cs="Times New Roman"/>
          <w:color w:val="0000FF"/>
        </w:rPr>
        <w:t>2.</w:t>
      </w:r>
      <w:r>
        <w:rPr>
          <w:rFonts w:hint="eastAsia" w:cs="Times New Roman"/>
          <w:color w:val="0000FF"/>
        </w:rPr>
        <w:t>4.4</w:t>
      </w:r>
      <w:r>
        <w:rPr>
          <w:rFonts w:cs="Times New Roman"/>
          <w:color w:val="0000FF"/>
        </w:rPr>
        <w:t xml:space="preserve"> </w:t>
      </w:r>
      <w:r>
        <w:rPr>
          <w:rFonts w:hint="eastAsia" w:cs="Times New Roman"/>
          <w:color w:val="0000FF"/>
        </w:rPr>
        <w:t>施工工厂设施</w:t>
      </w:r>
    </w:p>
    <w:p w14:paraId="6D1CC732">
      <w:pPr>
        <w:ind w:firstLine="420"/>
        <w:rPr>
          <w:rFonts w:cs="Times New Roman"/>
          <w:snapToGrid w:val="0"/>
          <w:color w:val="0000FF"/>
        </w:rPr>
      </w:pPr>
      <w:r>
        <w:rPr>
          <w:rFonts w:hint="eastAsia" w:cs="Times New Roman"/>
          <w:snapToGrid w:val="0"/>
          <w:color w:val="0000FF"/>
        </w:rPr>
        <w:t>施工工厂设施</w:t>
      </w:r>
      <w:r>
        <w:rPr>
          <w:rFonts w:cs="Times New Roman"/>
          <w:snapToGrid w:val="0"/>
          <w:color w:val="0000FF"/>
        </w:rPr>
        <w:t>主要包括</w:t>
      </w:r>
      <w:r>
        <w:rPr>
          <w:rFonts w:hint="eastAsia" w:cs="Times New Roman"/>
          <w:snapToGrid w:val="0"/>
          <w:color w:val="0000FF"/>
        </w:rPr>
        <w:t>钢木加工间、机械修配间、混凝土搅拌系统、施工营地等。</w:t>
      </w:r>
    </w:p>
    <w:p w14:paraId="3C40DC15">
      <w:pPr>
        <w:ind w:firstLine="420"/>
        <w:rPr>
          <w:rFonts w:cs="Times New Roman"/>
          <w:snapToGrid w:val="0"/>
          <w:color w:val="0000FF"/>
        </w:rPr>
      </w:pPr>
      <w:r>
        <w:rPr>
          <w:rFonts w:hint="eastAsia" w:cs="Times New Roman"/>
          <w:snapToGrid w:val="0"/>
          <w:color w:val="0000FF"/>
        </w:rPr>
        <w:t>一、钢木加工间</w:t>
      </w:r>
    </w:p>
    <w:p w14:paraId="05A90DA8">
      <w:pPr>
        <w:ind w:firstLine="420"/>
        <w:rPr>
          <w:rFonts w:cs="Times New Roman"/>
          <w:snapToGrid w:val="0"/>
          <w:color w:val="0000FF"/>
        </w:rPr>
      </w:pPr>
      <w:r>
        <w:rPr>
          <w:rFonts w:cs="Times New Roman"/>
          <w:bCs/>
          <w:snapToGrid w:val="0"/>
          <w:color w:val="0000FF"/>
        </w:rPr>
        <w:t>钢筋、木材加工</w:t>
      </w:r>
      <w:r>
        <w:rPr>
          <w:rFonts w:hint="eastAsia" w:cs="Times New Roman"/>
          <w:bCs/>
          <w:snapToGrid w:val="0"/>
          <w:color w:val="0000FF"/>
        </w:rPr>
        <w:t>间</w:t>
      </w:r>
      <w:r>
        <w:rPr>
          <w:rFonts w:cs="Times New Roman"/>
          <w:bCs/>
          <w:color w:val="0000FF"/>
          <w:kern w:val="2"/>
        </w:rPr>
        <w:t>布置于各建筑物附近空地上，进行钢筋、木材等常规加工。钢筋加工厂车间只要进行湿式切断、弯曲及小型网片构件绑扎等。木材加工厂主要是进行模板的湿法制作。</w:t>
      </w:r>
    </w:p>
    <w:p w14:paraId="61FBFBAB">
      <w:pPr>
        <w:ind w:firstLine="420"/>
        <w:rPr>
          <w:rFonts w:cs="Times New Roman"/>
          <w:snapToGrid w:val="0"/>
          <w:color w:val="0000FF"/>
        </w:rPr>
      </w:pPr>
      <w:r>
        <w:rPr>
          <w:rFonts w:hint="eastAsia" w:cs="Times New Roman"/>
          <w:snapToGrid w:val="0"/>
          <w:color w:val="0000FF"/>
        </w:rPr>
        <w:t>二、</w:t>
      </w:r>
      <w:r>
        <w:rPr>
          <w:rFonts w:cs="Times New Roman"/>
          <w:snapToGrid w:val="0"/>
          <w:color w:val="0000FF"/>
        </w:rPr>
        <w:t>机械修配间</w:t>
      </w:r>
    </w:p>
    <w:p w14:paraId="07FBCDC9">
      <w:pPr>
        <w:ind w:firstLine="420"/>
        <w:rPr>
          <w:rFonts w:cs="Times New Roman"/>
          <w:snapToGrid w:val="0"/>
          <w:color w:val="0000FF"/>
        </w:rPr>
      </w:pPr>
      <w:r>
        <w:rPr>
          <w:rFonts w:cs="Times New Roman"/>
          <w:snapToGrid w:val="0"/>
          <w:color w:val="0000FF"/>
        </w:rPr>
        <w:t>工程所需施工机械为常用机械，工程附近的城镇均具备修理条件，施工现场不考虑机械的大修，现场不再设置施工机械修配厂。</w:t>
      </w:r>
    </w:p>
    <w:p w14:paraId="23EB7E02">
      <w:pPr>
        <w:ind w:firstLine="420"/>
        <w:rPr>
          <w:rFonts w:cs="Times New Roman"/>
          <w:snapToGrid w:val="0"/>
          <w:color w:val="0000FF"/>
        </w:rPr>
      </w:pPr>
      <w:r>
        <w:rPr>
          <w:rFonts w:hint="eastAsia" w:cs="Times New Roman"/>
          <w:snapToGrid w:val="0"/>
          <w:color w:val="0000FF"/>
        </w:rPr>
        <w:t>三、混凝土搅拌</w:t>
      </w:r>
    </w:p>
    <w:p w14:paraId="623CA067">
      <w:pPr>
        <w:ind w:firstLine="420"/>
        <w:rPr>
          <w:rFonts w:cs="Times New Roman"/>
          <w:snapToGrid w:val="0"/>
          <w:color w:val="0000FF"/>
        </w:rPr>
      </w:pPr>
      <w:r>
        <w:rPr>
          <w:rFonts w:cs="Times New Roman"/>
          <w:snapToGrid w:val="0"/>
          <w:color w:val="0000FF"/>
        </w:rPr>
        <w:t>本工程所需混凝土</w:t>
      </w:r>
      <w:r>
        <w:rPr>
          <w:rFonts w:hint="eastAsia" w:cs="Times New Roman"/>
          <w:snapToGrid w:val="0"/>
          <w:color w:val="0000FF"/>
        </w:rPr>
        <w:t>均</w:t>
      </w:r>
      <w:r>
        <w:rPr>
          <w:rFonts w:cs="Times New Roman"/>
          <w:snapToGrid w:val="0"/>
          <w:color w:val="0000FF"/>
        </w:rPr>
        <w:t>采用商品混凝土。</w:t>
      </w:r>
      <w:r>
        <w:rPr>
          <w:rFonts w:hint="eastAsia" w:cs="Times New Roman"/>
          <w:snapToGrid w:val="0"/>
          <w:color w:val="0000FF"/>
        </w:rPr>
        <w:t>部分工程量小的施工工程，</w:t>
      </w:r>
      <w:r>
        <w:rPr>
          <w:rFonts w:cs="Times New Roman"/>
          <w:snapToGrid w:val="0"/>
          <w:color w:val="0000FF"/>
        </w:rPr>
        <w:t>现场布置0.4m</w:t>
      </w:r>
      <w:r>
        <w:rPr>
          <w:rFonts w:cs="Times New Roman"/>
          <w:snapToGrid w:val="0"/>
          <w:color w:val="0000FF"/>
          <w:vertAlign w:val="superscript"/>
        </w:rPr>
        <w:t>3</w:t>
      </w:r>
      <w:r>
        <w:rPr>
          <w:rFonts w:cs="Times New Roman"/>
          <w:snapToGrid w:val="0"/>
          <w:color w:val="0000FF"/>
        </w:rPr>
        <w:t>混凝土搅拌机提供零星混凝土熟料，根据混凝土浇筑高峰强度适配拌合机数量，按7天备砂石料及水泥。</w:t>
      </w:r>
    </w:p>
    <w:p w14:paraId="788128B6">
      <w:pPr>
        <w:ind w:firstLine="482"/>
        <w:rPr>
          <w:rFonts w:cs="Times New Roman"/>
          <w:bCs/>
          <w:snapToGrid w:val="0"/>
          <w:color w:val="0000FF"/>
        </w:rPr>
      </w:pPr>
      <w:r>
        <w:rPr>
          <w:rFonts w:hint="eastAsia" w:cs="Times New Roman"/>
          <w:bCs/>
          <w:snapToGrid w:val="0"/>
          <w:color w:val="0000FF"/>
        </w:rPr>
        <w:t>四</w:t>
      </w:r>
      <w:r>
        <w:rPr>
          <w:rFonts w:cs="Times New Roman"/>
          <w:bCs/>
          <w:snapToGrid w:val="0"/>
          <w:color w:val="0000FF"/>
        </w:rPr>
        <w:t>、</w:t>
      </w:r>
      <w:r>
        <w:rPr>
          <w:rFonts w:hint="eastAsia" w:cs="Times New Roman"/>
          <w:bCs/>
          <w:snapToGrid w:val="0"/>
          <w:color w:val="0000FF"/>
        </w:rPr>
        <w:t>施工营地</w:t>
      </w:r>
    </w:p>
    <w:p w14:paraId="6DDAA181">
      <w:pPr>
        <w:ind w:firstLine="480"/>
        <w:rPr>
          <w:rFonts w:cs="Times New Roman"/>
          <w:snapToGrid w:val="0"/>
          <w:color w:val="0000FF"/>
        </w:rPr>
      </w:pPr>
      <w:r>
        <w:rPr>
          <w:rFonts w:cs="Times New Roman"/>
          <w:bCs/>
          <w:snapToGrid w:val="0"/>
          <w:color w:val="0000FF"/>
        </w:rPr>
        <w:t>施工房屋主要为生活办公用房和施工仓库，施工房屋按布置在工程区内已征用的空地上考虑，或在工程附近村庄租用房</w:t>
      </w:r>
      <w:r>
        <w:rPr>
          <w:rFonts w:cs="Times New Roman"/>
          <w:snapToGrid w:val="0"/>
          <w:color w:val="0000FF"/>
        </w:rPr>
        <w:t>屋布置。</w:t>
      </w:r>
    </w:p>
    <w:p w14:paraId="522135F2">
      <w:pPr>
        <w:ind w:firstLine="420"/>
        <w:rPr>
          <w:rFonts w:cs="Times New Roman"/>
          <w:snapToGrid w:val="0"/>
          <w:color w:val="0000FF"/>
        </w:rPr>
      </w:pPr>
      <w:r>
        <w:rPr>
          <w:rFonts w:cs="Times New Roman"/>
          <w:snapToGrid w:val="0"/>
          <w:color w:val="0000FF"/>
        </w:rPr>
        <w:t>施工有关设施和机械停放场地均可沿渠顶和开挖区域布置，不需要集中布设施工场地，沿渠分布</w:t>
      </w:r>
      <w:r>
        <w:rPr>
          <w:rFonts w:hint="eastAsia" w:cs="Times New Roman"/>
          <w:snapToGrid w:val="0"/>
          <w:color w:val="0000FF"/>
        </w:rPr>
        <w:t>施工营地（</w:t>
      </w:r>
      <w:r>
        <w:rPr>
          <w:rFonts w:cs="Times New Roman"/>
          <w:snapToGrid w:val="0"/>
          <w:color w:val="0000FF"/>
        </w:rPr>
        <w:t>水泥仓库、机械施工现场油料仓库</w:t>
      </w:r>
      <w:r>
        <w:rPr>
          <w:rFonts w:hint="eastAsia" w:cs="Times New Roman"/>
          <w:snapToGrid w:val="0"/>
          <w:color w:val="0000FF"/>
        </w:rPr>
        <w:t>、办公生活区）</w:t>
      </w:r>
      <w:r>
        <w:rPr>
          <w:rFonts w:cs="Times New Roman"/>
          <w:snapToGrid w:val="0"/>
          <w:color w:val="0000FF"/>
        </w:rPr>
        <w:t>等可分段安排，混凝土块护坡的</w:t>
      </w:r>
      <w:r>
        <w:rPr>
          <w:rFonts w:hint="eastAsia" w:cs="Times New Roman"/>
          <w:snapToGrid w:val="0"/>
          <w:color w:val="0000FF"/>
        </w:rPr>
        <w:t>预制块外购，不设置拌和站</w:t>
      </w:r>
      <w:r>
        <w:rPr>
          <w:rFonts w:cs="Times New Roman"/>
          <w:snapToGrid w:val="0"/>
          <w:color w:val="0000FF"/>
        </w:rPr>
        <w:t>。开挖部位可交替开辟为施工场地，尽量避免征用土地作为施工场地。</w:t>
      </w:r>
    </w:p>
    <w:p w14:paraId="31797921">
      <w:pPr>
        <w:ind w:firstLine="420"/>
        <w:rPr>
          <w:rFonts w:cs="Times New Roman"/>
          <w:snapToGrid w:val="0"/>
          <w:color w:val="0000FF"/>
        </w:rPr>
      </w:pPr>
      <w:r>
        <w:rPr>
          <w:rFonts w:cs="Times New Roman"/>
          <w:snapToGrid w:val="0"/>
          <w:color w:val="0000FF"/>
        </w:rPr>
        <w:t>鉴于施工分段进行，流动性相对较大，所建房屋宜采用简易装配式活动房屋。规模较大单体建筑物工程施工，因每处集中而自成单独的施工区，在可能的条件下，可将工程计划内的管理单位应建的永久性房屋提前修建，供施工时使用，尽量做到少建临时房屋；生活办公设施和施工工厂布置在工程已征用的永久占地范围或少量征用土地布置。</w:t>
      </w:r>
    </w:p>
    <w:p w14:paraId="6A35A510">
      <w:pPr>
        <w:ind w:firstLine="420"/>
        <w:rPr>
          <w:rFonts w:cs="Times New Roman"/>
          <w:snapToGrid w:val="0"/>
          <w:color w:val="0000FF"/>
        </w:rPr>
      </w:pPr>
      <w:r>
        <w:rPr>
          <w:rFonts w:cs="Times New Roman"/>
          <w:snapToGrid w:val="0"/>
          <w:color w:val="0000FF"/>
        </w:rPr>
        <w:t>考虑项目淠河总干渠上段工程、樊通桥渠下涵工程等6个子工程涉及水土保持生态红线，淠河总干渠上段工程、樊通桥渠下涵工程、淠东</w:t>
      </w:r>
      <w:r>
        <w:rPr>
          <w:rFonts w:hint="eastAsia" w:cs="Times New Roman"/>
          <w:snapToGrid w:val="0"/>
          <w:color w:val="0000FF"/>
        </w:rPr>
        <w:t>干渠</w:t>
      </w:r>
      <w:r>
        <w:rPr>
          <w:rFonts w:cs="Times New Roman"/>
          <w:snapToGrid w:val="0"/>
          <w:color w:val="0000FF"/>
        </w:rPr>
        <w:t>工程等12个子工程涉及饮用水水源保护区，项目施工工厂等布置避让生态保护红线、饮用水水源一级、二级保护区，保护区域内的功能，施工布置设置在保护区外，尽量减少施工连接道路占地。</w:t>
      </w:r>
    </w:p>
    <w:p w14:paraId="31230043">
      <w:pPr>
        <w:ind w:firstLine="420"/>
        <w:rPr>
          <w:rFonts w:cs="Times New Roman"/>
          <w:snapToGrid w:val="0"/>
          <w:color w:val="0000FF"/>
        </w:rPr>
      </w:pPr>
      <w:r>
        <w:rPr>
          <w:rFonts w:cs="Times New Roman"/>
          <w:snapToGrid w:val="0"/>
          <w:color w:val="0000FF"/>
        </w:rPr>
        <w:t>考虑项目聚星渡槽工程、淠河总干渠上段工程分别距离紫蓬山国家森林公园、较近，施工布置禁止选址在紫蓬山国家森林公园、内。</w:t>
      </w:r>
    </w:p>
    <w:p w14:paraId="014303DA">
      <w:pPr>
        <w:pStyle w:val="4"/>
        <w:bidi w:val="0"/>
      </w:pPr>
      <w:r>
        <w:t>2.</w:t>
      </w:r>
      <w:r>
        <w:rPr>
          <w:rFonts w:hint="eastAsia"/>
        </w:rPr>
        <w:t>4</w:t>
      </w:r>
      <w:r>
        <w:t>.</w:t>
      </w:r>
      <w:r>
        <w:rPr>
          <w:rFonts w:hint="eastAsia"/>
        </w:rPr>
        <w:t>5</w:t>
      </w:r>
      <w:r>
        <w:t xml:space="preserve"> 土石方平衡</w:t>
      </w:r>
      <w:r>
        <w:rPr>
          <w:rFonts w:hint="eastAsia"/>
        </w:rPr>
        <w:t>及弃土规划</w:t>
      </w:r>
    </w:p>
    <w:p w14:paraId="6993827D">
      <w:pPr>
        <w:pStyle w:val="5"/>
        <w:bidi w:val="0"/>
      </w:pPr>
      <w:r>
        <w:rPr>
          <w:rFonts w:hint="eastAsia"/>
        </w:rPr>
        <w:t>2.4.5.1 土石方平衡</w:t>
      </w:r>
    </w:p>
    <w:p w14:paraId="1E99EBC4">
      <w:pPr>
        <w:autoSpaceDE w:val="0"/>
        <w:autoSpaceDN w:val="0"/>
        <w:ind w:firstLine="480"/>
        <w:rPr>
          <w:rFonts w:cs="Times New Roman"/>
          <w:color w:val="0000FF"/>
        </w:rPr>
      </w:pPr>
      <w:r>
        <w:rPr>
          <w:rFonts w:hint="eastAsia" w:cs="Times New Roman"/>
          <w:color w:val="0000FF"/>
        </w:rPr>
        <w:t>根据本项目初步设计和水土保持方案，</w:t>
      </w:r>
      <w:r>
        <w:rPr>
          <w:rFonts w:cs="Times New Roman"/>
          <w:color w:val="0000FF"/>
        </w:rPr>
        <w:t>主体及临时工程土方开挖合计272.7万m³，土方填筑合计179.4万m³，取土合计66.1万m³，弃土合计174.54万 m³。</w:t>
      </w:r>
    </w:p>
    <w:p w14:paraId="042D9053">
      <w:pPr>
        <w:rPr>
          <w:color w:val="0000FF"/>
        </w:rPr>
        <w:sectPr>
          <w:headerReference r:id="rId19" w:type="default"/>
          <w:footerReference r:id="rId20" w:type="default"/>
          <w:pgSz w:w="11905" w:h="16838"/>
          <w:pgMar w:top="1417" w:right="1417" w:bottom="1417" w:left="1417" w:header="850" w:footer="850" w:gutter="0"/>
          <w:pgNumType w:fmt="decimal"/>
          <w:cols w:space="0" w:num="1"/>
          <w:rtlGutter w:val="0"/>
          <w:docGrid w:linePitch="326" w:charSpace="0"/>
        </w:sectPr>
      </w:pPr>
    </w:p>
    <w:p w14:paraId="33DD6DA3">
      <w:pPr>
        <w:rPr>
          <w:color w:val="0000FF"/>
        </w:rPr>
      </w:pPr>
      <w:r>
        <w:rPr>
          <w:color w:val="0000FF"/>
        </w:rPr>
        <w:t>表2-</w:t>
      </w:r>
      <w:r>
        <w:rPr>
          <w:rFonts w:hint="eastAsia"/>
          <w:color w:val="0000FF"/>
        </w:rPr>
        <w:t>4</w:t>
      </w:r>
      <w:r>
        <w:rPr>
          <w:color w:val="0000FF"/>
        </w:rPr>
        <w:t>-</w:t>
      </w:r>
      <w:r>
        <w:rPr>
          <w:rFonts w:hint="eastAsia"/>
          <w:color w:val="0000FF"/>
        </w:rPr>
        <w:t>3</w:t>
      </w:r>
      <w:r>
        <w:rPr>
          <w:color w:val="0000FF"/>
        </w:rPr>
        <w:t xml:space="preserve">  项目工程总土石方平衡一览表（m</w:t>
      </w:r>
      <w:r>
        <w:rPr>
          <w:color w:val="0000FF"/>
          <w:vertAlign w:val="superscript"/>
        </w:rPr>
        <w:t>3</w:t>
      </w:r>
      <w:r>
        <w:rPr>
          <w:color w:val="0000FF"/>
        </w:rPr>
        <w:t>）</w:t>
      </w:r>
    </w:p>
    <w:tbl>
      <w:tblPr>
        <w:tblStyle w:val="16"/>
        <w:tblW w:w="4996" w:type="pct"/>
        <w:jc w:val="center"/>
        <w:tblLayout w:type="autofit"/>
        <w:tblCellMar>
          <w:top w:w="0" w:type="dxa"/>
          <w:left w:w="108" w:type="dxa"/>
          <w:bottom w:w="0" w:type="dxa"/>
          <w:right w:w="108" w:type="dxa"/>
        </w:tblCellMar>
      </w:tblPr>
      <w:tblGrid>
        <w:gridCol w:w="454"/>
        <w:gridCol w:w="1097"/>
        <w:gridCol w:w="824"/>
        <w:gridCol w:w="824"/>
        <w:gridCol w:w="737"/>
        <w:gridCol w:w="824"/>
        <w:gridCol w:w="737"/>
        <w:gridCol w:w="737"/>
        <w:gridCol w:w="737"/>
        <w:gridCol w:w="738"/>
        <w:gridCol w:w="753"/>
        <w:gridCol w:w="825"/>
      </w:tblGrid>
      <w:tr w14:paraId="11FB5D86">
        <w:tblPrEx>
          <w:tblCellMar>
            <w:top w:w="0" w:type="dxa"/>
            <w:left w:w="108" w:type="dxa"/>
            <w:bottom w:w="0" w:type="dxa"/>
            <w:right w:w="108" w:type="dxa"/>
          </w:tblCellMar>
        </w:tblPrEx>
        <w:trPr>
          <w:trHeight w:val="340" w:hRule="atLeast"/>
          <w:jc w:val="center"/>
        </w:trPr>
        <w:tc>
          <w:tcPr>
            <w:tcW w:w="255" w:type="pct"/>
            <w:vMerge w:val="restart"/>
            <w:tcBorders>
              <w:top w:val="single" w:color="000000" w:sz="4" w:space="0"/>
              <w:left w:val="single" w:color="000000" w:sz="4" w:space="0"/>
              <w:bottom w:val="single" w:color="000000" w:sz="4" w:space="0"/>
              <w:right w:val="single" w:color="000000" w:sz="4" w:space="0"/>
            </w:tcBorders>
            <w:textDirection w:val="tbRlV"/>
            <w:vAlign w:val="center"/>
          </w:tcPr>
          <w:p w14:paraId="7FDB74CA">
            <w:pPr>
              <w:pStyle w:val="28"/>
              <w:bidi w:val="0"/>
            </w:pPr>
            <w:r>
              <w:t>序号</w:t>
            </w:r>
          </w:p>
        </w:tc>
        <w:tc>
          <w:tcPr>
            <w:tcW w:w="1747" w:type="pct"/>
            <w:vMerge w:val="restart"/>
            <w:tcBorders>
              <w:top w:val="single" w:color="000000" w:sz="4" w:space="0"/>
              <w:left w:val="single" w:color="000000" w:sz="4" w:space="0"/>
              <w:bottom w:val="single" w:color="000000" w:sz="4" w:space="0"/>
              <w:right w:val="single" w:color="000000" w:sz="4" w:space="0"/>
            </w:tcBorders>
            <w:vAlign w:val="center"/>
          </w:tcPr>
          <w:p w14:paraId="6F6AE328">
            <w:pPr>
              <w:pStyle w:val="28"/>
              <w:bidi w:val="0"/>
            </w:pPr>
            <w:r>
              <w:t>项目名称</w:t>
            </w:r>
          </w:p>
        </w:tc>
        <w:tc>
          <w:tcPr>
            <w:tcW w:w="1220" w:type="pct"/>
            <w:gridSpan w:val="4"/>
            <w:tcBorders>
              <w:top w:val="single" w:color="000000" w:sz="4" w:space="0"/>
              <w:left w:val="single" w:color="000000" w:sz="4" w:space="0"/>
              <w:bottom w:val="single" w:color="000000" w:sz="4" w:space="0"/>
              <w:right w:val="single" w:color="000000" w:sz="4" w:space="0"/>
            </w:tcBorders>
            <w:vAlign w:val="center"/>
          </w:tcPr>
          <w:p w14:paraId="70855A9C">
            <w:pPr>
              <w:pStyle w:val="28"/>
              <w:bidi w:val="0"/>
            </w:pPr>
            <w:r>
              <w:t>主体工程（m³）</w:t>
            </w:r>
          </w:p>
        </w:tc>
        <w:tc>
          <w:tcPr>
            <w:tcW w:w="1174" w:type="pct"/>
            <w:gridSpan w:val="4"/>
            <w:tcBorders>
              <w:top w:val="single" w:color="000000" w:sz="4" w:space="0"/>
              <w:left w:val="single" w:color="000000" w:sz="4" w:space="0"/>
              <w:bottom w:val="single" w:color="000000" w:sz="4" w:space="0"/>
              <w:right w:val="single" w:color="000000" w:sz="4" w:space="0"/>
            </w:tcBorders>
            <w:vAlign w:val="center"/>
          </w:tcPr>
          <w:p w14:paraId="11EEC5EF">
            <w:pPr>
              <w:pStyle w:val="28"/>
              <w:bidi w:val="0"/>
            </w:pPr>
            <w:r>
              <w:t>临时工程（m³）</w:t>
            </w:r>
          </w:p>
        </w:tc>
        <w:tc>
          <w:tcPr>
            <w:tcW w:w="293" w:type="pct"/>
            <w:vMerge w:val="restart"/>
            <w:tcBorders>
              <w:top w:val="single" w:color="000000" w:sz="4" w:space="0"/>
              <w:left w:val="single" w:color="000000" w:sz="4" w:space="0"/>
              <w:bottom w:val="single" w:color="000000" w:sz="4" w:space="0"/>
              <w:right w:val="single" w:color="000000" w:sz="4" w:space="0"/>
            </w:tcBorders>
            <w:vAlign w:val="center"/>
          </w:tcPr>
          <w:p w14:paraId="6AC88F4F">
            <w:pPr>
              <w:pStyle w:val="28"/>
              <w:bidi w:val="0"/>
            </w:pPr>
            <w:r>
              <w:t>取土合计（m³）</w:t>
            </w:r>
          </w:p>
        </w:tc>
        <w:tc>
          <w:tcPr>
            <w:tcW w:w="308" w:type="pct"/>
            <w:vMerge w:val="restart"/>
            <w:tcBorders>
              <w:top w:val="single" w:color="000000" w:sz="4" w:space="0"/>
              <w:left w:val="single" w:color="000000" w:sz="4" w:space="0"/>
              <w:bottom w:val="single" w:color="000000" w:sz="4" w:space="0"/>
              <w:right w:val="single" w:color="000000" w:sz="4" w:space="0"/>
            </w:tcBorders>
            <w:vAlign w:val="center"/>
          </w:tcPr>
          <w:p w14:paraId="7C7CBD79">
            <w:pPr>
              <w:pStyle w:val="28"/>
              <w:bidi w:val="0"/>
            </w:pPr>
            <w:r>
              <w:t>弃土合计（m³）</w:t>
            </w:r>
          </w:p>
        </w:tc>
      </w:tr>
      <w:tr w14:paraId="43E860E7">
        <w:tblPrEx>
          <w:tblCellMar>
            <w:top w:w="0" w:type="dxa"/>
            <w:left w:w="108" w:type="dxa"/>
            <w:bottom w:w="0" w:type="dxa"/>
            <w:right w:w="108" w:type="dxa"/>
          </w:tblCellMar>
        </w:tblPrEx>
        <w:trPr>
          <w:trHeight w:val="340" w:hRule="atLeast"/>
          <w:jc w:val="center"/>
        </w:trPr>
        <w:tc>
          <w:tcPr>
            <w:tcW w:w="255" w:type="pct"/>
            <w:vMerge w:val="continue"/>
            <w:tcBorders>
              <w:top w:val="single" w:color="000000" w:sz="4" w:space="0"/>
              <w:left w:val="single" w:color="000000" w:sz="4" w:space="0"/>
              <w:bottom w:val="single" w:color="000000" w:sz="4" w:space="0"/>
              <w:right w:val="single" w:color="000000" w:sz="4" w:space="0"/>
            </w:tcBorders>
            <w:textDirection w:val="tbRlV"/>
            <w:vAlign w:val="center"/>
          </w:tcPr>
          <w:p w14:paraId="1C4FD846">
            <w:pPr>
              <w:pStyle w:val="28"/>
              <w:bidi w:val="0"/>
            </w:pPr>
          </w:p>
        </w:tc>
        <w:tc>
          <w:tcPr>
            <w:tcW w:w="1747" w:type="pct"/>
            <w:vMerge w:val="continue"/>
            <w:tcBorders>
              <w:top w:val="single" w:color="000000" w:sz="4" w:space="0"/>
              <w:left w:val="single" w:color="000000" w:sz="4" w:space="0"/>
              <w:bottom w:val="single" w:color="000000" w:sz="4" w:space="0"/>
              <w:right w:val="single" w:color="000000" w:sz="4" w:space="0"/>
            </w:tcBorders>
            <w:vAlign w:val="center"/>
          </w:tcPr>
          <w:p w14:paraId="03AE8450">
            <w:pPr>
              <w:pStyle w:val="28"/>
              <w:bidi w:val="0"/>
            </w:pPr>
          </w:p>
        </w:tc>
        <w:tc>
          <w:tcPr>
            <w:tcW w:w="307" w:type="pct"/>
            <w:tcBorders>
              <w:top w:val="single" w:color="000000" w:sz="4" w:space="0"/>
              <w:left w:val="single" w:color="000000" w:sz="4" w:space="0"/>
              <w:bottom w:val="single" w:color="000000" w:sz="4" w:space="0"/>
              <w:right w:val="single" w:color="000000" w:sz="4" w:space="0"/>
            </w:tcBorders>
            <w:vAlign w:val="center"/>
          </w:tcPr>
          <w:p w14:paraId="795F5CE7">
            <w:pPr>
              <w:pStyle w:val="28"/>
              <w:bidi w:val="0"/>
            </w:pPr>
            <w:r>
              <w:t>土方开挖</w:t>
            </w:r>
          </w:p>
        </w:tc>
        <w:tc>
          <w:tcPr>
            <w:tcW w:w="308" w:type="pct"/>
            <w:tcBorders>
              <w:top w:val="single" w:color="000000" w:sz="4" w:space="0"/>
              <w:left w:val="single" w:color="000000" w:sz="4" w:space="0"/>
              <w:bottom w:val="single" w:color="000000" w:sz="4" w:space="0"/>
              <w:right w:val="single" w:color="000000" w:sz="4" w:space="0"/>
            </w:tcBorders>
            <w:vAlign w:val="center"/>
          </w:tcPr>
          <w:p w14:paraId="780BFBFD">
            <w:pPr>
              <w:pStyle w:val="28"/>
              <w:bidi w:val="0"/>
            </w:pPr>
            <w:r>
              <w:t>土方回填</w:t>
            </w:r>
          </w:p>
        </w:tc>
        <w:tc>
          <w:tcPr>
            <w:tcW w:w="293" w:type="pct"/>
            <w:tcBorders>
              <w:top w:val="single" w:color="000000" w:sz="4" w:space="0"/>
              <w:left w:val="single" w:color="000000" w:sz="4" w:space="0"/>
              <w:bottom w:val="single" w:color="000000" w:sz="4" w:space="0"/>
              <w:right w:val="single" w:color="000000" w:sz="4" w:space="0"/>
            </w:tcBorders>
            <w:vAlign w:val="center"/>
          </w:tcPr>
          <w:p w14:paraId="7EF178D8">
            <w:pPr>
              <w:pStyle w:val="28"/>
              <w:bidi w:val="0"/>
            </w:pPr>
            <w:r>
              <w:t>取土</w:t>
            </w:r>
          </w:p>
        </w:tc>
        <w:tc>
          <w:tcPr>
            <w:tcW w:w="310" w:type="pct"/>
            <w:tcBorders>
              <w:top w:val="single" w:color="000000" w:sz="4" w:space="0"/>
              <w:left w:val="single" w:color="000000" w:sz="4" w:space="0"/>
              <w:bottom w:val="single" w:color="000000" w:sz="4" w:space="0"/>
              <w:right w:val="single" w:color="000000" w:sz="4" w:space="0"/>
            </w:tcBorders>
            <w:vAlign w:val="center"/>
          </w:tcPr>
          <w:p w14:paraId="754A017C">
            <w:pPr>
              <w:pStyle w:val="28"/>
              <w:bidi w:val="0"/>
            </w:pPr>
            <w:r>
              <w:t>弃土</w:t>
            </w:r>
          </w:p>
        </w:tc>
        <w:tc>
          <w:tcPr>
            <w:tcW w:w="293" w:type="pct"/>
            <w:tcBorders>
              <w:top w:val="single" w:color="000000" w:sz="4" w:space="0"/>
              <w:left w:val="single" w:color="000000" w:sz="4" w:space="0"/>
              <w:bottom w:val="single" w:color="000000" w:sz="4" w:space="0"/>
              <w:right w:val="single" w:color="000000" w:sz="4" w:space="0"/>
            </w:tcBorders>
            <w:vAlign w:val="center"/>
          </w:tcPr>
          <w:p w14:paraId="4F74AE8D">
            <w:pPr>
              <w:pStyle w:val="28"/>
              <w:bidi w:val="0"/>
            </w:pPr>
            <w:r>
              <w:t>土方开挖</w:t>
            </w:r>
          </w:p>
        </w:tc>
        <w:tc>
          <w:tcPr>
            <w:tcW w:w="293" w:type="pct"/>
            <w:tcBorders>
              <w:top w:val="single" w:color="000000" w:sz="4" w:space="0"/>
              <w:left w:val="single" w:color="000000" w:sz="4" w:space="0"/>
              <w:bottom w:val="single" w:color="000000" w:sz="4" w:space="0"/>
              <w:right w:val="single" w:color="000000" w:sz="4" w:space="0"/>
            </w:tcBorders>
            <w:vAlign w:val="center"/>
          </w:tcPr>
          <w:p w14:paraId="7895B50D">
            <w:pPr>
              <w:pStyle w:val="28"/>
              <w:bidi w:val="0"/>
            </w:pPr>
            <w:r>
              <w:t>土方回填</w:t>
            </w:r>
          </w:p>
        </w:tc>
        <w:tc>
          <w:tcPr>
            <w:tcW w:w="293" w:type="pct"/>
            <w:tcBorders>
              <w:top w:val="single" w:color="000000" w:sz="4" w:space="0"/>
              <w:left w:val="single" w:color="000000" w:sz="4" w:space="0"/>
              <w:bottom w:val="single" w:color="000000" w:sz="4" w:space="0"/>
              <w:right w:val="single" w:color="000000" w:sz="4" w:space="0"/>
            </w:tcBorders>
            <w:vAlign w:val="center"/>
          </w:tcPr>
          <w:p w14:paraId="7AD49628">
            <w:pPr>
              <w:pStyle w:val="28"/>
              <w:bidi w:val="0"/>
            </w:pPr>
            <w:r>
              <w:t>取土</w:t>
            </w:r>
          </w:p>
        </w:tc>
        <w:tc>
          <w:tcPr>
            <w:tcW w:w="295" w:type="pct"/>
            <w:tcBorders>
              <w:top w:val="single" w:color="000000" w:sz="4" w:space="0"/>
              <w:left w:val="single" w:color="000000" w:sz="4" w:space="0"/>
              <w:bottom w:val="single" w:color="000000" w:sz="4" w:space="0"/>
              <w:right w:val="single" w:color="000000" w:sz="4" w:space="0"/>
            </w:tcBorders>
            <w:vAlign w:val="center"/>
          </w:tcPr>
          <w:p w14:paraId="4D6A25DC">
            <w:pPr>
              <w:pStyle w:val="28"/>
              <w:bidi w:val="0"/>
            </w:pPr>
            <w:r>
              <w:t>弃土</w:t>
            </w:r>
          </w:p>
        </w:tc>
        <w:tc>
          <w:tcPr>
            <w:tcW w:w="293" w:type="pct"/>
            <w:vMerge w:val="continue"/>
            <w:tcBorders>
              <w:top w:val="single" w:color="000000" w:sz="4" w:space="0"/>
              <w:left w:val="single" w:color="000000" w:sz="4" w:space="0"/>
              <w:bottom w:val="single" w:color="000000" w:sz="4" w:space="0"/>
              <w:right w:val="single" w:color="000000" w:sz="4" w:space="0"/>
            </w:tcBorders>
            <w:vAlign w:val="center"/>
          </w:tcPr>
          <w:p w14:paraId="2B81DE46">
            <w:pPr>
              <w:pStyle w:val="28"/>
              <w:bidi w:val="0"/>
            </w:pPr>
          </w:p>
        </w:tc>
        <w:tc>
          <w:tcPr>
            <w:tcW w:w="308" w:type="pct"/>
            <w:vMerge w:val="continue"/>
            <w:tcBorders>
              <w:top w:val="single" w:color="000000" w:sz="4" w:space="0"/>
              <w:left w:val="single" w:color="000000" w:sz="4" w:space="0"/>
              <w:bottom w:val="single" w:color="000000" w:sz="4" w:space="0"/>
              <w:right w:val="single" w:color="000000" w:sz="4" w:space="0"/>
            </w:tcBorders>
            <w:vAlign w:val="center"/>
          </w:tcPr>
          <w:p w14:paraId="6FF7F382">
            <w:pPr>
              <w:pStyle w:val="28"/>
              <w:bidi w:val="0"/>
            </w:pPr>
          </w:p>
        </w:tc>
      </w:tr>
      <w:tr w14:paraId="29A37CD8">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4DFD40A7">
            <w:pPr>
              <w:pStyle w:val="28"/>
              <w:bidi w:val="0"/>
            </w:pPr>
            <w:r>
              <w:t>1</w:t>
            </w:r>
          </w:p>
        </w:tc>
        <w:tc>
          <w:tcPr>
            <w:tcW w:w="1747" w:type="pct"/>
            <w:tcBorders>
              <w:top w:val="single" w:color="000000" w:sz="4" w:space="0"/>
              <w:left w:val="single" w:color="000000" w:sz="4" w:space="0"/>
              <w:bottom w:val="single" w:color="000000" w:sz="4" w:space="0"/>
              <w:right w:val="single" w:color="000000" w:sz="4" w:space="0"/>
            </w:tcBorders>
            <w:vAlign w:val="center"/>
          </w:tcPr>
          <w:p w14:paraId="730A52B2">
            <w:pPr>
              <w:pStyle w:val="28"/>
              <w:bidi w:val="0"/>
            </w:pPr>
            <w:r>
              <w:t>淠河总干渠上段续建配套与现代化改造工程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7E6B821E">
            <w:pPr>
              <w:pStyle w:val="28"/>
              <w:bidi w:val="0"/>
            </w:pPr>
            <w:r>
              <w:t>83294</w:t>
            </w:r>
          </w:p>
        </w:tc>
        <w:tc>
          <w:tcPr>
            <w:tcW w:w="308" w:type="pct"/>
            <w:tcBorders>
              <w:top w:val="single" w:color="000000" w:sz="4" w:space="0"/>
              <w:left w:val="single" w:color="000000" w:sz="4" w:space="0"/>
              <w:bottom w:val="single" w:color="000000" w:sz="4" w:space="0"/>
              <w:right w:val="single" w:color="000000" w:sz="4" w:space="0"/>
            </w:tcBorders>
            <w:vAlign w:val="center"/>
          </w:tcPr>
          <w:p w14:paraId="1CCA70DF">
            <w:pPr>
              <w:pStyle w:val="28"/>
              <w:bidi w:val="0"/>
            </w:pPr>
            <w:r>
              <w:t>29181</w:t>
            </w:r>
          </w:p>
        </w:tc>
        <w:tc>
          <w:tcPr>
            <w:tcW w:w="293" w:type="pct"/>
            <w:tcBorders>
              <w:top w:val="single" w:color="000000" w:sz="4" w:space="0"/>
              <w:left w:val="single" w:color="000000" w:sz="4" w:space="0"/>
              <w:bottom w:val="single" w:color="000000" w:sz="4" w:space="0"/>
              <w:right w:val="single" w:color="000000" w:sz="4" w:space="0"/>
            </w:tcBorders>
            <w:vAlign w:val="center"/>
          </w:tcPr>
          <w:p w14:paraId="4BB955DF">
            <w:pPr>
              <w:pStyle w:val="28"/>
              <w:bidi w:val="0"/>
            </w:pPr>
            <w: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00E7CF0C">
            <w:pPr>
              <w:pStyle w:val="28"/>
              <w:bidi w:val="0"/>
            </w:pPr>
            <w:r>
              <w:t>48861</w:t>
            </w:r>
          </w:p>
        </w:tc>
        <w:tc>
          <w:tcPr>
            <w:tcW w:w="293" w:type="pct"/>
            <w:tcBorders>
              <w:top w:val="single" w:color="000000" w:sz="4" w:space="0"/>
              <w:left w:val="single" w:color="000000" w:sz="4" w:space="0"/>
              <w:bottom w:val="single" w:color="000000" w:sz="4" w:space="0"/>
              <w:right w:val="single" w:color="000000" w:sz="4" w:space="0"/>
            </w:tcBorders>
            <w:vAlign w:val="center"/>
          </w:tcPr>
          <w:p w14:paraId="523A87CC">
            <w:pPr>
              <w:pStyle w:val="28"/>
              <w:bidi w:val="0"/>
            </w:pPr>
            <w:r>
              <w:t>—</w:t>
            </w:r>
          </w:p>
        </w:tc>
        <w:tc>
          <w:tcPr>
            <w:tcW w:w="293" w:type="pct"/>
            <w:tcBorders>
              <w:top w:val="single" w:color="000000" w:sz="4" w:space="0"/>
              <w:left w:val="single" w:color="000000" w:sz="4" w:space="0"/>
              <w:bottom w:val="single" w:color="000000" w:sz="4" w:space="0"/>
              <w:right w:val="single" w:color="000000" w:sz="4" w:space="0"/>
            </w:tcBorders>
            <w:vAlign w:val="center"/>
          </w:tcPr>
          <w:p w14:paraId="3DDD32B3">
            <w:pPr>
              <w:pStyle w:val="28"/>
              <w:bidi w:val="0"/>
            </w:pPr>
            <w:r>
              <w:t>24101</w:t>
            </w:r>
          </w:p>
        </w:tc>
        <w:tc>
          <w:tcPr>
            <w:tcW w:w="293" w:type="pct"/>
            <w:tcBorders>
              <w:top w:val="single" w:color="000000" w:sz="4" w:space="0"/>
              <w:left w:val="single" w:color="000000" w:sz="4" w:space="0"/>
              <w:bottom w:val="single" w:color="000000" w:sz="4" w:space="0"/>
              <w:right w:val="single" w:color="000000" w:sz="4" w:space="0"/>
            </w:tcBorders>
            <w:vAlign w:val="center"/>
          </w:tcPr>
          <w:p w14:paraId="344CDECF">
            <w:pPr>
              <w:pStyle w:val="28"/>
              <w:bidi w:val="0"/>
            </w:pPr>
            <w:r>
              <w:t>26511</w:t>
            </w:r>
          </w:p>
        </w:tc>
        <w:tc>
          <w:tcPr>
            <w:tcW w:w="295" w:type="pct"/>
            <w:tcBorders>
              <w:top w:val="single" w:color="000000" w:sz="4" w:space="0"/>
              <w:left w:val="single" w:color="000000" w:sz="4" w:space="0"/>
              <w:bottom w:val="single" w:color="000000" w:sz="4" w:space="0"/>
              <w:right w:val="single" w:color="000000" w:sz="4" w:space="0"/>
            </w:tcBorders>
            <w:vAlign w:val="center"/>
          </w:tcPr>
          <w:p w14:paraId="2B011E39">
            <w:pPr>
              <w:pStyle w:val="28"/>
              <w:bidi w:val="0"/>
            </w:pPr>
            <w:r>
              <w:t>24101</w:t>
            </w:r>
          </w:p>
        </w:tc>
        <w:tc>
          <w:tcPr>
            <w:tcW w:w="293" w:type="pct"/>
            <w:tcBorders>
              <w:top w:val="single" w:color="000000" w:sz="4" w:space="0"/>
              <w:left w:val="single" w:color="000000" w:sz="4" w:space="0"/>
              <w:bottom w:val="single" w:color="000000" w:sz="4" w:space="0"/>
              <w:right w:val="single" w:color="000000" w:sz="4" w:space="0"/>
            </w:tcBorders>
            <w:vAlign w:val="center"/>
          </w:tcPr>
          <w:p w14:paraId="6B0C0965">
            <w:pPr>
              <w:pStyle w:val="28"/>
              <w:bidi w:val="0"/>
            </w:pPr>
            <w:r>
              <w:t>26511</w:t>
            </w:r>
          </w:p>
        </w:tc>
        <w:tc>
          <w:tcPr>
            <w:tcW w:w="308" w:type="pct"/>
            <w:tcBorders>
              <w:top w:val="single" w:color="000000" w:sz="4" w:space="0"/>
              <w:left w:val="single" w:color="000000" w:sz="4" w:space="0"/>
              <w:bottom w:val="single" w:color="000000" w:sz="4" w:space="0"/>
              <w:right w:val="single" w:color="000000" w:sz="4" w:space="0"/>
            </w:tcBorders>
            <w:vAlign w:val="center"/>
          </w:tcPr>
          <w:p w14:paraId="45D503F1">
            <w:pPr>
              <w:pStyle w:val="28"/>
              <w:bidi w:val="0"/>
            </w:pPr>
            <w:r>
              <w:t>72962</w:t>
            </w:r>
          </w:p>
        </w:tc>
      </w:tr>
      <w:tr w14:paraId="49C67F4D">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37AE4A75">
            <w:pPr>
              <w:pStyle w:val="28"/>
              <w:bidi w:val="0"/>
            </w:pPr>
            <w:r>
              <w:t>2</w:t>
            </w:r>
          </w:p>
        </w:tc>
        <w:tc>
          <w:tcPr>
            <w:tcW w:w="1747" w:type="pct"/>
            <w:tcBorders>
              <w:top w:val="single" w:color="000000" w:sz="4" w:space="0"/>
              <w:left w:val="single" w:color="000000" w:sz="4" w:space="0"/>
              <w:bottom w:val="single" w:color="000000" w:sz="4" w:space="0"/>
              <w:right w:val="single" w:color="000000" w:sz="4" w:space="0"/>
            </w:tcBorders>
            <w:vAlign w:val="center"/>
          </w:tcPr>
          <w:p w14:paraId="2BF947A7">
            <w:pPr>
              <w:pStyle w:val="28"/>
              <w:bidi w:val="0"/>
            </w:pPr>
            <w:r>
              <w:t>淠河总干渠樊通桥渠下涵拆除重建工程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19D42E7A">
            <w:pPr>
              <w:pStyle w:val="28"/>
              <w:bidi w:val="0"/>
            </w:pPr>
            <w:r>
              <w:t>1071</w:t>
            </w:r>
          </w:p>
        </w:tc>
        <w:tc>
          <w:tcPr>
            <w:tcW w:w="308" w:type="pct"/>
            <w:tcBorders>
              <w:top w:val="single" w:color="000000" w:sz="4" w:space="0"/>
              <w:left w:val="single" w:color="000000" w:sz="4" w:space="0"/>
              <w:bottom w:val="single" w:color="000000" w:sz="4" w:space="0"/>
              <w:right w:val="single" w:color="000000" w:sz="4" w:space="0"/>
            </w:tcBorders>
            <w:vAlign w:val="center"/>
          </w:tcPr>
          <w:p w14:paraId="6C024468">
            <w:pPr>
              <w:pStyle w:val="28"/>
              <w:bidi w:val="0"/>
            </w:pPr>
            <w:r>
              <w:t>142</w:t>
            </w:r>
          </w:p>
        </w:tc>
        <w:tc>
          <w:tcPr>
            <w:tcW w:w="293" w:type="pct"/>
            <w:tcBorders>
              <w:top w:val="single" w:color="000000" w:sz="4" w:space="0"/>
              <w:left w:val="single" w:color="000000" w:sz="4" w:space="0"/>
              <w:bottom w:val="single" w:color="000000" w:sz="4" w:space="0"/>
              <w:right w:val="single" w:color="000000" w:sz="4" w:space="0"/>
            </w:tcBorders>
            <w:vAlign w:val="center"/>
          </w:tcPr>
          <w:p w14:paraId="58250FD9">
            <w:pPr>
              <w:pStyle w:val="28"/>
              <w:bidi w:val="0"/>
            </w:pPr>
            <w: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3306C69C">
            <w:pPr>
              <w:pStyle w:val="28"/>
              <w:bidi w:val="0"/>
            </w:pPr>
            <w:r>
              <w:t>904</w:t>
            </w:r>
          </w:p>
        </w:tc>
        <w:tc>
          <w:tcPr>
            <w:tcW w:w="293" w:type="pct"/>
            <w:tcBorders>
              <w:top w:val="single" w:color="000000" w:sz="4" w:space="0"/>
              <w:left w:val="single" w:color="000000" w:sz="4" w:space="0"/>
              <w:bottom w:val="single" w:color="000000" w:sz="4" w:space="0"/>
              <w:right w:val="single" w:color="000000" w:sz="4" w:space="0"/>
            </w:tcBorders>
            <w:vAlign w:val="center"/>
          </w:tcPr>
          <w:p w14:paraId="5066788F">
            <w:pPr>
              <w:pStyle w:val="28"/>
              <w:bidi w:val="0"/>
            </w:pPr>
            <w:r>
              <w:t>3142</w:t>
            </w:r>
          </w:p>
        </w:tc>
        <w:tc>
          <w:tcPr>
            <w:tcW w:w="293" w:type="pct"/>
            <w:tcBorders>
              <w:top w:val="single" w:color="000000" w:sz="4" w:space="0"/>
              <w:left w:val="single" w:color="000000" w:sz="4" w:space="0"/>
              <w:bottom w:val="single" w:color="000000" w:sz="4" w:space="0"/>
              <w:right w:val="single" w:color="000000" w:sz="4" w:space="0"/>
            </w:tcBorders>
            <w:vAlign w:val="center"/>
          </w:tcPr>
          <w:p w14:paraId="37CC008A">
            <w:pPr>
              <w:pStyle w:val="28"/>
              <w:bidi w:val="0"/>
            </w:pPr>
            <w:r>
              <w:t>3142</w:t>
            </w:r>
          </w:p>
        </w:tc>
        <w:tc>
          <w:tcPr>
            <w:tcW w:w="293" w:type="pct"/>
            <w:tcBorders>
              <w:top w:val="single" w:color="000000" w:sz="4" w:space="0"/>
              <w:left w:val="single" w:color="000000" w:sz="4" w:space="0"/>
              <w:bottom w:val="single" w:color="000000" w:sz="4" w:space="0"/>
              <w:right w:val="single" w:color="000000" w:sz="4" w:space="0"/>
            </w:tcBorders>
            <w:vAlign w:val="center"/>
          </w:tcPr>
          <w:p w14:paraId="24326177">
            <w:pPr>
              <w:pStyle w:val="28"/>
              <w:bidi w:val="0"/>
            </w:pPr>
            <w:r>
              <w:t>1047</w:t>
            </w:r>
          </w:p>
        </w:tc>
        <w:tc>
          <w:tcPr>
            <w:tcW w:w="295" w:type="pct"/>
            <w:tcBorders>
              <w:top w:val="single" w:color="000000" w:sz="4" w:space="0"/>
              <w:left w:val="single" w:color="000000" w:sz="4" w:space="0"/>
              <w:bottom w:val="single" w:color="000000" w:sz="4" w:space="0"/>
              <w:right w:val="single" w:color="000000" w:sz="4" w:space="0"/>
            </w:tcBorders>
            <w:vAlign w:val="center"/>
          </w:tcPr>
          <w:p w14:paraId="274BE6E8">
            <w:pPr>
              <w:pStyle w:val="28"/>
              <w:bidi w:val="0"/>
            </w:pPr>
            <w:r>
              <w:t>1047</w:t>
            </w:r>
          </w:p>
        </w:tc>
        <w:tc>
          <w:tcPr>
            <w:tcW w:w="293" w:type="pct"/>
            <w:tcBorders>
              <w:top w:val="single" w:color="000000" w:sz="4" w:space="0"/>
              <w:left w:val="single" w:color="000000" w:sz="4" w:space="0"/>
              <w:bottom w:val="single" w:color="000000" w:sz="4" w:space="0"/>
              <w:right w:val="single" w:color="000000" w:sz="4" w:space="0"/>
            </w:tcBorders>
            <w:vAlign w:val="center"/>
          </w:tcPr>
          <w:p w14:paraId="35D0B192">
            <w:pPr>
              <w:pStyle w:val="28"/>
              <w:bidi w:val="0"/>
            </w:pPr>
            <w:r>
              <w:t>1047</w:t>
            </w:r>
          </w:p>
        </w:tc>
        <w:tc>
          <w:tcPr>
            <w:tcW w:w="308" w:type="pct"/>
            <w:tcBorders>
              <w:top w:val="single" w:color="000000" w:sz="4" w:space="0"/>
              <w:left w:val="single" w:color="000000" w:sz="4" w:space="0"/>
              <w:bottom w:val="single" w:color="000000" w:sz="4" w:space="0"/>
              <w:right w:val="single" w:color="000000" w:sz="4" w:space="0"/>
            </w:tcBorders>
            <w:vAlign w:val="center"/>
          </w:tcPr>
          <w:p w14:paraId="39988FE7">
            <w:pPr>
              <w:pStyle w:val="28"/>
              <w:bidi w:val="0"/>
            </w:pPr>
            <w:r>
              <w:t>1952</w:t>
            </w:r>
          </w:p>
        </w:tc>
      </w:tr>
      <w:tr w14:paraId="71A7BED2">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0662AC7F">
            <w:pPr>
              <w:pStyle w:val="28"/>
              <w:bidi w:val="0"/>
            </w:pPr>
            <w:r>
              <w:t>3</w:t>
            </w:r>
          </w:p>
        </w:tc>
        <w:tc>
          <w:tcPr>
            <w:tcW w:w="1747" w:type="pct"/>
            <w:tcBorders>
              <w:top w:val="single" w:color="000000" w:sz="4" w:space="0"/>
              <w:left w:val="single" w:color="000000" w:sz="4" w:space="0"/>
              <w:bottom w:val="single" w:color="000000" w:sz="4" w:space="0"/>
              <w:right w:val="single" w:color="000000" w:sz="4" w:space="0"/>
            </w:tcBorders>
            <w:vAlign w:val="center"/>
          </w:tcPr>
          <w:p w14:paraId="24ECAB77">
            <w:pPr>
              <w:pStyle w:val="28"/>
              <w:bidi w:val="0"/>
            </w:pPr>
            <w:r>
              <w:t>淠河总干渠下段切岭段整治工程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7F337E15">
            <w:pPr>
              <w:pStyle w:val="28"/>
              <w:bidi w:val="0"/>
            </w:pPr>
            <w:r>
              <w:t>86582</w:t>
            </w:r>
          </w:p>
        </w:tc>
        <w:tc>
          <w:tcPr>
            <w:tcW w:w="308" w:type="pct"/>
            <w:tcBorders>
              <w:top w:val="single" w:color="000000" w:sz="4" w:space="0"/>
              <w:left w:val="single" w:color="000000" w:sz="4" w:space="0"/>
              <w:bottom w:val="single" w:color="000000" w:sz="4" w:space="0"/>
              <w:right w:val="single" w:color="000000" w:sz="4" w:space="0"/>
            </w:tcBorders>
            <w:vAlign w:val="center"/>
          </w:tcPr>
          <w:p w14:paraId="42AE1906">
            <w:pPr>
              <w:pStyle w:val="28"/>
              <w:bidi w:val="0"/>
            </w:pPr>
            <w:r>
              <w:t>6457</w:t>
            </w:r>
          </w:p>
        </w:tc>
        <w:tc>
          <w:tcPr>
            <w:tcW w:w="293" w:type="pct"/>
            <w:tcBorders>
              <w:top w:val="single" w:color="000000" w:sz="4" w:space="0"/>
              <w:left w:val="single" w:color="000000" w:sz="4" w:space="0"/>
              <w:bottom w:val="single" w:color="000000" w:sz="4" w:space="0"/>
              <w:right w:val="single" w:color="000000" w:sz="4" w:space="0"/>
            </w:tcBorders>
            <w:vAlign w:val="center"/>
          </w:tcPr>
          <w:p w14:paraId="0655AA16">
            <w:pPr>
              <w:pStyle w:val="28"/>
              <w:bidi w:val="0"/>
            </w:pPr>
            <w: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4E2330D7">
            <w:pPr>
              <w:pStyle w:val="28"/>
              <w:bidi w:val="0"/>
            </w:pPr>
            <w:r>
              <w:t>74225</w:t>
            </w:r>
          </w:p>
        </w:tc>
        <w:tc>
          <w:tcPr>
            <w:tcW w:w="293" w:type="pct"/>
            <w:tcBorders>
              <w:top w:val="single" w:color="000000" w:sz="4" w:space="0"/>
              <w:left w:val="single" w:color="000000" w:sz="4" w:space="0"/>
              <w:bottom w:val="single" w:color="000000" w:sz="4" w:space="0"/>
              <w:right w:val="single" w:color="000000" w:sz="4" w:space="0"/>
            </w:tcBorders>
            <w:vAlign w:val="center"/>
          </w:tcPr>
          <w:p w14:paraId="1D4E2A7E">
            <w:pPr>
              <w:pStyle w:val="28"/>
              <w:bidi w:val="0"/>
            </w:pPr>
            <w:r>
              <w:t>—</w:t>
            </w:r>
          </w:p>
        </w:tc>
        <w:tc>
          <w:tcPr>
            <w:tcW w:w="293" w:type="pct"/>
            <w:tcBorders>
              <w:top w:val="single" w:color="000000" w:sz="4" w:space="0"/>
              <w:left w:val="single" w:color="000000" w:sz="4" w:space="0"/>
              <w:bottom w:val="single" w:color="000000" w:sz="4" w:space="0"/>
              <w:right w:val="single" w:color="000000" w:sz="4" w:space="0"/>
            </w:tcBorders>
            <w:vAlign w:val="center"/>
          </w:tcPr>
          <w:p w14:paraId="472B8299">
            <w:pPr>
              <w:pStyle w:val="28"/>
              <w:bidi w:val="0"/>
            </w:pPr>
            <w:r>
              <w:t>4307</w:t>
            </w:r>
          </w:p>
        </w:tc>
        <w:tc>
          <w:tcPr>
            <w:tcW w:w="293" w:type="pct"/>
            <w:tcBorders>
              <w:top w:val="single" w:color="000000" w:sz="4" w:space="0"/>
              <w:left w:val="single" w:color="000000" w:sz="4" w:space="0"/>
              <w:bottom w:val="single" w:color="000000" w:sz="4" w:space="0"/>
              <w:right w:val="single" w:color="000000" w:sz="4" w:space="0"/>
            </w:tcBorders>
            <w:vAlign w:val="center"/>
          </w:tcPr>
          <w:p w14:paraId="2AC51D4D">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1A547689">
            <w:pPr>
              <w:pStyle w:val="28"/>
              <w:bidi w:val="0"/>
            </w:pPr>
            <w:r>
              <w:t>4307</w:t>
            </w:r>
          </w:p>
        </w:tc>
        <w:tc>
          <w:tcPr>
            <w:tcW w:w="293" w:type="pct"/>
            <w:tcBorders>
              <w:top w:val="single" w:color="000000" w:sz="4" w:space="0"/>
              <w:left w:val="single" w:color="000000" w:sz="4" w:space="0"/>
              <w:bottom w:val="single" w:color="000000" w:sz="4" w:space="0"/>
              <w:right w:val="single" w:color="000000" w:sz="4" w:space="0"/>
            </w:tcBorders>
            <w:vAlign w:val="center"/>
          </w:tcPr>
          <w:p w14:paraId="557BCE40">
            <w:pPr>
              <w:pStyle w:val="28"/>
              <w:bidi w:val="0"/>
            </w:pPr>
            <w:r>
              <w:t>—</w:t>
            </w:r>
          </w:p>
        </w:tc>
        <w:tc>
          <w:tcPr>
            <w:tcW w:w="308" w:type="pct"/>
            <w:tcBorders>
              <w:top w:val="single" w:color="000000" w:sz="4" w:space="0"/>
              <w:left w:val="single" w:color="000000" w:sz="4" w:space="0"/>
              <w:bottom w:val="single" w:color="000000" w:sz="4" w:space="0"/>
              <w:right w:val="single" w:color="000000" w:sz="4" w:space="0"/>
            </w:tcBorders>
            <w:vAlign w:val="center"/>
          </w:tcPr>
          <w:p w14:paraId="51970697">
            <w:pPr>
              <w:pStyle w:val="28"/>
              <w:bidi w:val="0"/>
            </w:pPr>
            <w:r>
              <w:t>78532</w:t>
            </w:r>
          </w:p>
        </w:tc>
      </w:tr>
      <w:tr w14:paraId="253B9917">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376BF579">
            <w:pPr>
              <w:pStyle w:val="28"/>
              <w:bidi w:val="0"/>
            </w:pPr>
            <w:r>
              <w:t>4</w:t>
            </w:r>
          </w:p>
        </w:tc>
        <w:tc>
          <w:tcPr>
            <w:tcW w:w="1747" w:type="pct"/>
            <w:tcBorders>
              <w:top w:val="single" w:color="000000" w:sz="4" w:space="0"/>
              <w:left w:val="single" w:color="000000" w:sz="4" w:space="0"/>
              <w:bottom w:val="single" w:color="000000" w:sz="4" w:space="0"/>
              <w:right w:val="single" w:color="000000" w:sz="4" w:space="0"/>
            </w:tcBorders>
            <w:vAlign w:val="center"/>
          </w:tcPr>
          <w:p w14:paraId="08CBF87D">
            <w:pPr>
              <w:pStyle w:val="28"/>
              <w:bidi w:val="0"/>
            </w:pPr>
            <w:r>
              <w:t>潜南干渠聚星渡槽改造工程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630BE115">
            <w:pPr>
              <w:pStyle w:val="28"/>
              <w:bidi w:val="0"/>
            </w:pPr>
            <w:r>
              <w:t>35700</w:t>
            </w:r>
          </w:p>
        </w:tc>
        <w:tc>
          <w:tcPr>
            <w:tcW w:w="308" w:type="pct"/>
            <w:tcBorders>
              <w:top w:val="single" w:color="000000" w:sz="4" w:space="0"/>
              <w:left w:val="single" w:color="000000" w:sz="4" w:space="0"/>
              <w:bottom w:val="single" w:color="000000" w:sz="4" w:space="0"/>
              <w:right w:val="single" w:color="000000" w:sz="4" w:space="0"/>
            </w:tcBorders>
            <w:vAlign w:val="center"/>
          </w:tcPr>
          <w:p w14:paraId="5A9F0C5C">
            <w:pPr>
              <w:pStyle w:val="28"/>
              <w:bidi w:val="0"/>
            </w:pPr>
            <w:r>
              <w:t>27200</w:t>
            </w:r>
          </w:p>
        </w:tc>
        <w:tc>
          <w:tcPr>
            <w:tcW w:w="293" w:type="pct"/>
            <w:tcBorders>
              <w:top w:val="single" w:color="000000" w:sz="4" w:space="0"/>
              <w:left w:val="single" w:color="000000" w:sz="4" w:space="0"/>
              <w:bottom w:val="single" w:color="000000" w:sz="4" w:space="0"/>
              <w:right w:val="single" w:color="000000" w:sz="4" w:space="0"/>
            </w:tcBorders>
            <w:vAlign w:val="center"/>
          </w:tcPr>
          <w:p w14:paraId="03DE73DE">
            <w:pPr>
              <w:pStyle w:val="28"/>
              <w:bidi w:val="0"/>
            </w:pPr>
          </w:p>
        </w:tc>
        <w:tc>
          <w:tcPr>
            <w:tcW w:w="310" w:type="pct"/>
            <w:tcBorders>
              <w:top w:val="single" w:color="000000" w:sz="4" w:space="0"/>
              <w:left w:val="single" w:color="000000" w:sz="4" w:space="0"/>
              <w:bottom w:val="single" w:color="000000" w:sz="4" w:space="0"/>
              <w:right w:val="single" w:color="000000" w:sz="4" w:space="0"/>
            </w:tcBorders>
            <w:vAlign w:val="center"/>
          </w:tcPr>
          <w:p w14:paraId="238CAD32">
            <w:pPr>
              <w:pStyle w:val="28"/>
              <w:bidi w:val="0"/>
            </w:pPr>
            <w:r>
              <w:t>3600</w:t>
            </w:r>
          </w:p>
        </w:tc>
        <w:tc>
          <w:tcPr>
            <w:tcW w:w="293" w:type="pct"/>
            <w:tcBorders>
              <w:top w:val="single" w:color="000000" w:sz="4" w:space="0"/>
              <w:left w:val="single" w:color="000000" w:sz="4" w:space="0"/>
              <w:bottom w:val="single" w:color="000000" w:sz="4" w:space="0"/>
              <w:right w:val="single" w:color="000000" w:sz="4" w:space="0"/>
            </w:tcBorders>
            <w:vAlign w:val="center"/>
          </w:tcPr>
          <w:p w14:paraId="793AF410">
            <w:pPr>
              <w:pStyle w:val="28"/>
              <w:bidi w:val="0"/>
            </w:pPr>
            <w:r>
              <w:t>5400</w:t>
            </w:r>
          </w:p>
        </w:tc>
        <w:tc>
          <w:tcPr>
            <w:tcW w:w="293" w:type="pct"/>
            <w:tcBorders>
              <w:top w:val="single" w:color="000000" w:sz="4" w:space="0"/>
              <w:left w:val="single" w:color="000000" w:sz="4" w:space="0"/>
              <w:bottom w:val="single" w:color="000000" w:sz="4" w:space="0"/>
              <w:right w:val="single" w:color="000000" w:sz="4" w:space="0"/>
            </w:tcBorders>
            <w:vAlign w:val="center"/>
          </w:tcPr>
          <w:p w14:paraId="7781D6DD">
            <w:pPr>
              <w:pStyle w:val="28"/>
              <w:bidi w:val="0"/>
            </w:pPr>
            <w:r>
              <w:t>5400</w:t>
            </w:r>
          </w:p>
        </w:tc>
        <w:tc>
          <w:tcPr>
            <w:tcW w:w="293" w:type="pct"/>
            <w:tcBorders>
              <w:top w:val="single" w:color="000000" w:sz="4" w:space="0"/>
              <w:left w:val="single" w:color="000000" w:sz="4" w:space="0"/>
              <w:bottom w:val="single" w:color="000000" w:sz="4" w:space="0"/>
              <w:right w:val="single" w:color="000000" w:sz="4" w:space="0"/>
            </w:tcBorders>
            <w:vAlign w:val="center"/>
          </w:tcPr>
          <w:p w14:paraId="2FDDE44C">
            <w:pPr>
              <w:pStyle w:val="28"/>
              <w:bidi w:val="0"/>
            </w:pPr>
            <w:r>
              <w:t>5900</w:t>
            </w:r>
          </w:p>
        </w:tc>
        <w:tc>
          <w:tcPr>
            <w:tcW w:w="295" w:type="pct"/>
            <w:tcBorders>
              <w:top w:val="single" w:color="000000" w:sz="4" w:space="0"/>
              <w:left w:val="single" w:color="000000" w:sz="4" w:space="0"/>
              <w:bottom w:val="single" w:color="000000" w:sz="4" w:space="0"/>
              <w:right w:val="single" w:color="000000" w:sz="4" w:space="0"/>
            </w:tcBorders>
            <w:vAlign w:val="center"/>
          </w:tcPr>
          <w:p w14:paraId="7654315E">
            <w:pPr>
              <w:pStyle w:val="28"/>
              <w:bidi w:val="0"/>
            </w:pPr>
            <w:r>
              <w:t>5400</w:t>
            </w:r>
          </w:p>
        </w:tc>
        <w:tc>
          <w:tcPr>
            <w:tcW w:w="293" w:type="pct"/>
            <w:tcBorders>
              <w:top w:val="single" w:color="000000" w:sz="4" w:space="0"/>
              <w:left w:val="single" w:color="000000" w:sz="4" w:space="0"/>
              <w:bottom w:val="single" w:color="000000" w:sz="4" w:space="0"/>
              <w:right w:val="single" w:color="000000" w:sz="4" w:space="0"/>
            </w:tcBorders>
            <w:vAlign w:val="center"/>
          </w:tcPr>
          <w:p w14:paraId="7C746E8C">
            <w:pPr>
              <w:pStyle w:val="28"/>
              <w:bidi w:val="0"/>
            </w:pPr>
            <w:r>
              <w:t>5944</w:t>
            </w:r>
          </w:p>
        </w:tc>
        <w:tc>
          <w:tcPr>
            <w:tcW w:w="308" w:type="pct"/>
            <w:tcBorders>
              <w:top w:val="single" w:color="000000" w:sz="4" w:space="0"/>
              <w:left w:val="single" w:color="000000" w:sz="4" w:space="0"/>
              <w:bottom w:val="single" w:color="000000" w:sz="4" w:space="0"/>
              <w:right w:val="single" w:color="000000" w:sz="4" w:space="0"/>
            </w:tcBorders>
            <w:vAlign w:val="center"/>
          </w:tcPr>
          <w:p w14:paraId="6DF96E98">
            <w:pPr>
              <w:pStyle w:val="28"/>
              <w:bidi w:val="0"/>
            </w:pPr>
            <w:r>
              <w:t>9004</w:t>
            </w:r>
          </w:p>
        </w:tc>
      </w:tr>
      <w:tr w14:paraId="46D85B6B">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51B98FF4">
            <w:pPr>
              <w:pStyle w:val="28"/>
              <w:bidi w:val="0"/>
            </w:pPr>
            <w:r>
              <w:t>5</w:t>
            </w:r>
          </w:p>
        </w:tc>
        <w:tc>
          <w:tcPr>
            <w:tcW w:w="1747" w:type="pct"/>
            <w:tcBorders>
              <w:top w:val="single" w:color="000000" w:sz="4" w:space="0"/>
              <w:left w:val="single" w:color="000000" w:sz="4" w:space="0"/>
              <w:bottom w:val="single" w:color="000000" w:sz="4" w:space="0"/>
              <w:right w:val="single" w:color="000000" w:sz="4" w:space="0"/>
            </w:tcBorders>
            <w:vAlign w:val="center"/>
          </w:tcPr>
          <w:p w14:paraId="49AB148C">
            <w:pPr>
              <w:pStyle w:val="28"/>
              <w:bidi w:val="0"/>
            </w:pPr>
            <w:r>
              <w:t>滁河干渠总局直管段续建配套与现代化改造工程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08A7C37A">
            <w:pPr>
              <w:pStyle w:val="28"/>
              <w:bidi w:val="0"/>
            </w:pPr>
            <w:r>
              <w:t>45433</w:t>
            </w:r>
          </w:p>
        </w:tc>
        <w:tc>
          <w:tcPr>
            <w:tcW w:w="308" w:type="pct"/>
            <w:tcBorders>
              <w:top w:val="single" w:color="000000" w:sz="4" w:space="0"/>
              <w:left w:val="single" w:color="000000" w:sz="4" w:space="0"/>
              <w:bottom w:val="single" w:color="000000" w:sz="4" w:space="0"/>
              <w:right w:val="single" w:color="000000" w:sz="4" w:space="0"/>
            </w:tcBorders>
            <w:vAlign w:val="center"/>
          </w:tcPr>
          <w:p w14:paraId="79814150">
            <w:pPr>
              <w:pStyle w:val="28"/>
              <w:bidi w:val="0"/>
            </w:pPr>
            <w:r>
              <w:t>12013</w:t>
            </w:r>
          </w:p>
        </w:tc>
        <w:tc>
          <w:tcPr>
            <w:tcW w:w="293" w:type="pct"/>
            <w:tcBorders>
              <w:top w:val="single" w:color="000000" w:sz="4" w:space="0"/>
              <w:left w:val="single" w:color="000000" w:sz="4" w:space="0"/>
              <w:bottom w:val="single" w:color="000000" w:sz="4" w:space="0"/>
              <w:right w:val="single" w:color="000000" w:sz="4" w:space="0"/>
            </w:tcBorders>
            <w:vAlign w:val="center"/>
          </w:tcPr>
          <w:p w14:paraId="07FCA636">
            <w:pPr>
              <w:pStyle w:val="28"/>
              <w:bidi w:val="0"/>
            </w:pPr>
            <w: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3F2CC4FD">
            <w:pPr>
              <w:pStyle w:val="28"/>
              <w:bidi w:val="0"/>
            </w:pPr>
            <w:r>
              <w:t>31257</w:t>
            </w:r>
          </w:p>
        </w:tc>
        <w:tc>
          <w:tcPr>
            <w:tcW w:w="293" w:type="pct"/>
            <w:tcBorders>
              <w:top w:val="single" w:color="000000" w:sz="4" w:space="0"/>
              <w:left w:val="single" w:color="000000" w:sz="4" w:space="0"/>
              <w:bottom w:val="single" w:color="000000" w:sz="4" w:space="0"/>
              <w:right w:val="single" w:color="000000" w:sz="4" w:space="0"/>
            </w:tcBorders>
            <w:vAlign w:val="center"/>
          </w:tcPr>
          <w:p w14:paraId="5B494072">
            <w:pPr>
              <w:pStyle w:val="28"/>
              <w:bidi w:val="0"/>
            </w:pPr>
            <w:r>
              <w:t>—</w:t>
            </w:r>
          </w:p>
        </w:tc>
        <w:tc>
          <w:tcPr>
            <w:tcW w:w="293" w:type="pct"/>
            <w:tcBorders>
              <w:top w:val="single" w:color="000000" w:sz="4" w:space="0"/>
              <w:left w:val="single" w:color="000000" w:sz="4" w:space="0"/>
              <w:bottom w:val="single" w:color="000000" w:sz="4" w:space="0"/>
              <w:right w:val="single" w:color="000000" w:sz="4" w:space="0"/>
            </w:tcBorders>
            <w:vAlign w:val="center"/>
          </w:tcPr>
          <w:p w14:paraId="4156BA1D">
            <w:pPr>
              <w:pStyle w:val="28"/>
              <w:bidi w:val="0"/>
            </w:pPr>
            <w:r>
              <w:t>21357</w:t>
            </w:r>
          </w:p>
        </w:tc>
        <w:tc>
          <w:tcPr>
            <w:tcW w:w="293" w:type="pct"/>
            <w:tcBorders>
              <w:top w:val="single" w:color="000000" w:sz="4" w:space="0"/>
              <w:left w:val="single" w:color="000000" w:sz="4" w:space="0"/>
              <w:bottom w:val="single" w:color="000000" w:sz="4" w:space="0"/>
              <w:right w:val="single" w:color="000000" w:sz="4" w:space="0"/>
            </w:tcBorders>
            <w:vAlign w:val="center"/>
          </w:tcPr>
          <w:p w14:paraId="69F1B9DD">
            <w:pPr>
              <w:pStyle w:val="28"/>
              <w:bidi w:val="0"/>
            </w:pPr>
            <w:r>
              <w:t>23493</w:t>
            </w:r>
          </w:p>
        </w:tc>
        <w:tc>
          <w:tcPr>
            <w:tcW w:w="295" w:type="pct"/>
            <w:tcBorders>
              <w:top w:val="single" w:color="000000" w:sz="4" w:space="0"/>
              <w:left w:val="single" w:color="000000" w:sz="4" w:space="0"/>
              <w:bottom w:val="single" w:color="000000" w:sz="4" w:space="0"/>
              <w:right w:val="single" w:color="000000" w:sz="4" w:space="0"/>
            </w:tcBorders>
            <w:vAlign w:val="center"/>
          </w:tcPr>
          <w:p w14:paraId="657F794B">
            <w:pPr>
              <w:pStyle w:val="28"/>
              <w:bidi w:val="0"/>
            </w:pPr>
            <w:r>
              <w:t>21357</w:t>
            </w:r>
          </w:p>
        </w:tc>
        <w:tc>
          <w:tcPr>
            <w:tcW w:w="293" w:type="pct"/>
            <w:tcBorders>
              <w:top w:val="single" w:color="000000" w:sz="4" w:space="0"/>
              <w:left w:val="single" w:color="000000" w:sz="4" w:space="0"/>
              <w:bottom w:val="single" w:color="000000" w:sz="4" w:space="0"/>
              <w:right w:val="single" w:color="000000" w:sz="4" w:space="0"/>
            </w:tcBorders>
            <w:vAlign w:val="center"/>
          </w:tcPr>
          <w:p w14:paraId="5CD6C0CB">
            <w:pPr>
              <w:pStyle w:val="28"/>
              <w:bidi w:val="0"/>
            </w:pPr>
            <w:r>
              <w:t>23493</w:t>
            </w:r>
          </w:p>
        </w:tc>
        <w:tc>
          <w:tcPr>
            <w:tcW w:w="308" w:type="pct"/>
            <w:tcBorders>
              <w:top w:val="single" w:color="000000" w:sz="4" w:space="0"/>
              <w:left w:val="single" w:color="000000" w:sz="4" w:space="0"/>
              <w:bottom w:val="single" w:color="000000" w:sz="4" w:space="0"/>
              <w:right w:val="single" w:color="000000" w:sz="4" w:space="0"/>
            </w:tcBorders>
            <w:vAlign w:val="center"/>
          </w:tcPr>
          <w:p w14:paraId="2ADCE286">
            <w:pPr>
              <w:pStyle w:val="28"/>
              <w:bidi w:val="0"/>
            </w:pPr>
            <w:r>
              <w:t>52614</w:t>
            </w:r>
          </w:p>
        </w:tc>
      </w:tr>
      <w:tr w14:paraId="60C00DEC">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103F8E50">
            <w:pPr>
              <w:pStyle w:val="28"/>
              <w:bidi w:val="0"/>
            </w:pPr>
            <w:r>
              <w:t>6</w:t>
            </w:r>
          </w:p>
        </w:tc>
        <w:tc>
          <w:tcPr>
            <w:tcW w:w="1747" w:type="pct"/>
            <w:tcBorders>
              <w:top w:val="single" w:color="000000" w:sz="4" w:space="0"/>
              <w:left w:val="single" w:color="000000" w:sz="4" w:space="0"/>
              <w:bottom w:val="single" w:color="000000" w:sz="4" w:space="0"/>
              <w:right w:val="single" w:color="000000" w:sz="4" w:space="0"/>
            </w:tcBorders>
            <w:vAlign w:val="center"/>
          </w:tcPr>
          <w:p w14:paraId="2F16C46D">
            <w:pPr>
              <w:pStyle w:val="28"/>
              <w:bidi w:val="0"/>
            </w:pPr>
            <w:r>
              <w:t>滁河干渠瞿岗等6座渠下涵拆除重建工程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46A71E26">
            <w:pPr>
              <w:pStyle w:val="28"/>
              <w:bidi w:val="0"/>
            </w:pPr>
            <w:r>
              <w:t>60058</w:t>
            </w:r>
          </w:p>
        </w:tc>
        <w:tc>
          <w:tcPr>
            <w:tcW w:w="308" w:type="pct"/>
            <w:tcBorders>
              <w:top w:val="single" w:color="000000" w:sz="4" w:space="0"/>
              <w:left w:val="single" w:color="000000" w:sz="4" w:space="0"/>
              <w:bottom w:val="single" w:color="000000" w:sz="4" w:space="0"/>
              <w:right w:val="single" w:color="000000" w:sz="4" w:space="0"/>
            </w:tcBorders>
            <w:vAlign w:val="center"/>
          </w:tcPr>
          <w:p w14:paraId="35070FDC">
            <w:pPr>
              <w:pStyle w:val="28"/>
              <w:bidi w:val="0"/>
            </w:pPr>
            <w:r>
              <w:t>55070</w:t>
            </w:r>
          </w:p>
        </w:tc>
        <w:tc>
          <w:tcPr>
            <w:tcW w:w="293" w:type="pct"/>
            <w:tcBorders>
              <w:top w:val="single" w:color="000000" w:sz="4" w:space="0"/>
              <w:left w:val="single" w:color="000000" w:sz="4" w:space="0"/>
              <w:bottom w:val="single" w:color="000000" w:sz="4" w:space="0"/>
              <w:right w:val="single" w:color="000000" w:sz="4" w:space="0"/>
            </w:tcBorders>
            <w:vAlign w:val="center"/>
          </w:tcPr>
          <w:p w14:paraId="2D26E526">
            <w:pPr>
              <w:pStyle w:val="28"/>
              <w:bidi w:val="0"/>
            </w:pPr>
            <w:r>
              <w:t>7023</w:t>
            </w:r>
          </w:p>
        </w:tc>
        <w:tc>
          <w:tcPr>
            <w:tcW w:w="310" w:type="pct"/>
            <w:tcBorders>
              <w:top w:val="single" w:color="000000" w:sz="4" w:space="0"/>
              <w:left w:val="single" w:color="000000" w:sz="4" w:space="0"/>
              <w:bottom w:val="single" w:color="000000" w:sz="4" w:space="0"/>
              <w:right w:val="single" w:color="000000" w:sz="4" w:space="0"/>
            </w:tcBorders>
            <w:vAlign w:val="center"/>
          </w:tcPr>
          <w:p w14:paraId="3DC8AA37">
            <w:pPr>
              <w:pStyle w:val="28"/>
              <w:bidi w:val="0"/>
            </w:pPr>
            <w:r>
              <w:t>12012</w:t>
            </w:r>
          </w:p>
        </w:tc>
        <w:tc>
          <w:tcPr>
            <w:tcW w:w="293" w:type="pct"/>
            <w:tcBorders>
              <w:top w:val="single" w:color="000000" w:sz="4" w:space="0"/>
              <w:left w:val="single" w:color="000000" w:sz="4" w:space="0"/>
              <w:bottom w:val="single" w:color="000000" w:sz="4" w:space="0"/>
              <w:right w:val="single" w:color="000000" w:sz="4" w:space="0"/>
            </w:tcBorders>
            <w:vAlign w:val="center"/>
          </w:tcPr>
          <w:p w14:paraId="63BBFEF8">
            <w:pPr>
              <w:pStyle w:val="28"/>
              <w:bidi w:val="0"/>
            </w:pPr>
            <w:r>
              <w:t>26981</w:t>
            </w:r>
          </w:p>
        </w:tc>
        <w:tc>
          <w:tcPr>
            <w:tcW w:w="293" w:type="pct"/>
            <w:tcBorders>
              <w:top w:val="single" w:color="000000" w:sz="4" w:space="0"/>
              <w:left w:val="single" w:color="000000" w:sz="4" w:space="0"/>
              <w:bottom w:val="single" w:color="000000" w:sz="4" w:space="0"/>
              <w:right w:val="single" w:color="000000" w:sz="4" w:space="0"/>
            </w:tcBorders>
            <w:vAlign w:val="center"/>
          </w:tcPr>
          <w:p w14:paraId="43345AC6">
            <w:pPr>
              <w:pStyle w:val="28"/>
              <w:bidi w:val="0"/>
            </w:pPr>
            <w:r>
              <w:t>26981</w:t>
            </w:r>
          </w:p>
        </w:tc>
        <w:tc>
          <w:tcPr>
            <w:tcW w:w="293" w:type="pct"/>
            <w:tcBorders>
              <w:top w:val="single" w:color="000000" w:sz="4" w:space="0"/>
              <w:left w:val="single" w:color="000000" w:sz="4" w:space="0"/>
              <w:bottom w:val="single" w:color="000000" w:sz="4" w:space="0"/>
              <w:right w:val="single" w:color="000000" w:sz="4" w:space="0"/>
            </w:tcBorders>
            <w:vAlign w:val="center"/>
          </w:tcPr>
          <w:p w14:paraId="661D4BF7">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52DD44C4">
            <w:pPr>
              <w:pStyle w:val="28"/>
              <w:bidi w:val="0"/>
            </w:pPr>
            <w:r>
              <w:t>—</w:t>
            </w:r>
          </w:p>
        </w:tc>
        <w:tc>
          <w:tcPr>
            <w:tcW w:w="293" w:type="pct"/>
            <w:tcBorders>
              <w:top w:val="single" w:color="000000" w:sz="4" w:space="0"/>
              <w:left w:val="single" w:color="000000" w:sz="4" w:space="0"/>
              <w:bottom w:val="single" w:color="000000" w:sz="4" w:space="0"/>
              <w:right w:val="single" w:color="000000" w:sz="4" w:space="0"/>
            </w:tcBorders>
            <w:vAlign w:val="center"/>
          </w:tcPr>
          <w:p w14:paraId="6A1E6C47">
            <w:pPr>
              <w:pStyle w:val="28"/>
              <w:bidi w:val="0"/>
            </w:pPr>
            <w:r>
              <w:t>7023</w:t>
            </w:r>
          </w:p>
        </w:tc>
        <w:tc>
          <w:tcPr>
            <w:tcW w:w="308" w:type="pct"/>
            <w:tcBorders>
              <w:top w:val="single" w:color="000000" w:sz="4" w:space="0"/>
              <w:left w:val="single" w:color="000000" w:sz="4" w:space="0"/>
              <w:bottom w:val="single" w:color="000000" w:sz="4" w:space="0"/>
              <w:right w:val="single" w:color="000000" w:sz="4" w:space="0"/>
            </w:tcBorders>
            <w:vAlign w:val="center"/>
          </w:tcPr>
          <w:p w14:paraId="454A3836">
            <w:pPr>
              <w:pStyle w:val="28"/>
              <w:bidi w:val="0"/>
            </w:pPr>
            <w:r>
              <w:t>12012</w:t>
            </w:r>
          </w:p>
        </w:tc>
      </w:tr>
      <w:tr w14:paraId="114031EF">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30070396">
            <w:pPr>
              <w:pStyle w:val="28"/>
              <w:bidi w:val="0"/>
            </w:pPr>
            <w:r>
              <w:t>7</w:t>
            </w:r>
          </w:p>
        </w:tc>
        <w:tc>
          <w:tcPr>
            <w:tcW w:w="1747" w:type="pct"/>
            <w:tcBorders>
              <w:top w:val="single" w:color="000000" w:sz="4" w:space="0"/>
              <w:left w:val="single" w:color="000000" w:sz="4" w:space="0"/>
              <w:bottom w:val="single" w:color="000000" w:sz="4" w:space="0"/>
              <w:right w:val="single" w:color="000000" w:sz="4" w:space="0"/>
            </w:tcBorders>
            <w:vAlign w:val="center"/>
          </w:tcPr>
          <w:p w14:paraId="646E6A38">
            <w:pPr>
              <w:pStyle w:val="28"/>
              <w:bidi w:val="0"/>
            </w:pPr>
            <w:r>
              <w:t>淠杭干渠渠系建筑物除险加固工程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6B2F6B42">
            <w:pPr>
              <w:pStyle w:val="28"/>
              <w:bidi w:val="0"/>
            </w:pPr>
            <w:r>
              <w:t>98941</w:t>
            </w:r>
          </w:p>
        </w:tc>
        <w:tc>
          <w:tcPr>
            <w:tcW w:w="308" w:type="pct"/>
            <w:tcBorders>
              <w:top w:val="single" w:color="000000" w:sz="4" w:space="0"/>
              <w:left w:val="single" w:color="000000" w:sz="4" w:space="0"/>
              <w:bottom w:val="single" w:color="000000" w:sz="4" w:space="0"/>
              <w:right w:val="single" w:color="000000" w:sz="4" w:space="0"/>
            </w:tcBorders>
            <w:vAlign w:val="center"/>
          </w:tcPr>
          <w:p w14:paraId="5ED78599">
            <w:pPr>
              <w:pStyle w:val="28"/>
              <w:bidi w:val="0"/>
            </w:pPr>
            <w:r>
              <w:t>66011</w:t>
            </w:r>
          </w:p>
        </w:tc>
        <w:tc>
          <w:tcPr>
            <w:tcW w:w="293" w:type="pct"/>
            <w:tcBorders>
              <w:top w:val="single" w:color="000000" w:sz="4" w:space="0"/>
              <w:left w:val="single" w:color="000000" w:sz="4" w:space="0"/>
              <w:bottom w:val="single" w:color="000000" w:sz="4" w:space="0"/>
              <w:right w:val="single" w:color="000000" w:sz="4" w:space="0"/>
            </w:tcBorders>
            <w:vAlign w:val="center"/>
          </w:tcPr>
          <w:p w14:paraId="318F3393">
            <w:pPr>
              <w:pStyle w:val="28"/>
              <w:bidi w:val="0"/>
            </w:pPr>
            <w:r>
              <w:t>7261</w:t>
            </w:r>
          </w:p>
        </w:tc>
        <w:tc>
          <w:tcPr>
            <w:tcW w:w="310" w:type="pct"/>
            <w:tcBorders>
              <w:top w:val="single" w:color="000000" w:sz="4" w:space="0"/>
              <w:left w:val="single" w:color="000000" w:sz="4" w:space="0"/>
              <w:bottom w:val="single" w:color="000000" w:sz="4" w:space="0"/>
              <w:right w:val="single" w:color="000000" w:sz="4" w:space="0"/>
            </w:tcBorders>
            <w:vAlign w:val="center"/>
          </w:tcPr>
          <w:p w14:paraId="19D2D8D6">
            <w:pPr>
              <w:pStyle w:val="28"/>
              <w:bidi w:val="0"/>
            </w:pPr>
            <w:r>
              <w:t>31443</w:t>
            </w:r>
          </w:p>
        </w:tc>
        <w:tc>
          <w:tcPr>
            <w:tcW w:w="293" w:type="pct"/>
            <w:tcBorders>
              <w:top w:val="single" w:color="000000" w:sz="4" w:space="0"/>
              <w:left w:val="single" w:color="000000" w:sz="4" w:space="0"/>
              <w:bottom w:val="single" w:color="000000" w:sz="4" w:space="0"/>
              <w:right w:val="single" w:color="000000" w:sz="4" w:space="0"/>
            </w:tcBorders>
            <w:vAlign w:val="center"/>
          </w:tcPr>
          <w:p w14:paraId="675C02EB">
            <w:pPr>
              <w:pStyle w:val="28"/>
              <w:bidi w:val="0"/>
            </w:pPr>
            <w:r>
              <w:t>17970</w:t>
            </w:r>
          </w:p>
        </w:tc>
        <w:tc>
          <w:tcPr>
            <w:tcW w:w="293" w:type="pct"/>
            <w:tcBorders>
              <w:top w:val="single" w:color="000000" w:sz="4" w:space="0"/>
              <w:left w:val="single" w:color="000000" w:sz="4" w:space="0"/>
              <w:bottom w:val="single" w:color="000000" w:sz="4" w:space="0"/>
              <w:right w:val="single" w:color="000000" w:sz="4" w:space="0"/>
            </w:tcBorders>
            <w:vAlign w:val="center"/>
          </w:tcPr>
          <w:p w14:paraId="462420F7">
            <w:pPr>
              <w:pStyle w:val="28"/>
              <w:bidi w:val="0"/>
            </w:pPr>
            <w:r>
              <w:t>17970</w:t>
            </w:r>
          </w:p>
        </w:tc>
        <w:tc>
          <w:tcPr>
            <w:tcW w:w="293" w:type="pct"/>
            <w:tcBorders>
              <w:top w:val="single" w:color="000000" w:sz="4" w:space="0"/>
              <w:left w:val="single" w:color="000000" w:sz="4" w:space="0"/>
              <w:bottom w:val="single" w:color="000000" w:sz="4" w:space="0"/>
              <w:right w:val="single" w:color="000000" w:sz="4" w:space="0"/>
            </w:tcBorders>
            <w:vAlign w:val="center"/>
          </w:tcPr>
          <w:p w14:paraId="78A0863F">
            <w:pPr>
              <w:pStyle w:val="28"/>
              <w:bidi w:val="0"/>
            </w:pPr>
            <w:r>
              <w:t>13802</w:t>
            </w:r>
          </w:p>
        </w:tc>
        <w:tc>
          <w:tcPr>
            <w:tcW w:w="295" w:type="pct"/>
            <w:tcBorders>
              <w:top w:val="single" w:color="000000" w:sz="4" w:space="0"/>
              <w:left w:val="single" w:color="000000" w:sz="4" w:space="0"/>
              <w:bottom w:val="single" w:color="000000" w:sz="4" w:space="0"/>
              <w:right w:val="single" w:color="000000" w:sz="4" w:space="0"/>
            </w:tcBorders>
            <w:vAlign w:val="center"/>
          </w:tcPr>
          <w:p w14:paraId="616F6F42">
            <w:pPr>
              <w:pStyle w:val="28"/>
              <w:bidi w:val="0"/>
            </w:pPr>
            <w:r>
              <w:t>7731</w:t>
            </w:r>
          </w:p>
        </w:tc>
        <w:tc>
          <w:tcPr>
            <w:tcW w:w="293" w:type="pct"/>
            <w:tcBorders>
              <w:top w:val="single" w:color="000000" w:sz="4" w:space="0"/>
              <w:left w:val="single" w:color="000000" w:sz="4" w:space="0"/>
              <w:bottom w:val="single" w:color="000000" w:sz="4" w:space="0"/>
              <w:right w:val="single" w:color="000000" w:sz="4" w:space="0"/>
            </w:tcBorders>
            <w:vAlign w:val="center"/>
          </w:tcPr>
          <w:p w14:paraId="26C29B25">
            <w:pPr>
              <w:pStyle w:val="28"/>
              <w:bidi w:val="0"/>
            </w:pPr>
            <w:r>
              <w:t>21063</w:t>
            </w:r>
          </w:p>
        </w:tc>
        <w:tc>
          <w:tcPr>
            <w:tcW w:w="308" w:type="pct"/>
            <w:tcBorders>
              <w:top w:val="single" w:color="000000" w:sz="4" w:space="0"/>
              <w:left w:val="single" w:color="000000" w:sz="4" w:space="0"/>
              <w:bottom w:val="single" w:color="000000" w:sz="4" w:space="0"/>
              <w:right w:val="single" w:color="000000" w:sz="4" w:space="0"/>
            </w:tcBorders>
            <w:vAlign w:val="center"/>
          </w:tcPr>
          <w:p w14:paraId="781D8A76">
            <w:pPr>
              <w:pStyle w:val="28"/>
              <w:bidi w:val="0"/>
            </w:pPr>
            <w:r>
              <w:t>39174</w:t>
            </w:r>
          </w:p>
        </w:tc>
      </w:tr>
      <w:tr w14:paraId="0BD6B96D">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6D2F2028">
            <w:pPr>
              <w:pStyle w:val="28"/>
              <w:bidi w:val="0"/>
            </w:pPr>
            <w:r>
              <w:t>8</w:t>
            </w:r>
          </w:p>
        </w:tc>
        <w:tc>
          <w:tcPr>
            <w:tcW w:w="1747" w:type="pct"/>
            <w:tcBorders>
              <w:top w:val="single" w:color="000000" w:sz="4" w:space="0"/>
              <w:left w:val="single" w:color="000000" w:sz="4" w:space="0"/>
              <w:bottom w:val="single" w:color="000000" w:sz="4" w:space="0"/>
              <w:right w:val="single" w:color="000000" w:sz="4" w:space="0"/>
            </w:tcBorders>
            <w:vAlign w:val="center"/>
          </w:tcPr>
          <w:p w14:paraId="2E9867B0">
            <w:pPr>
              <w:pStyle w:val="28"/>
              <w:bidi w:val="0"/>
            </w:pPr>
            <w:r>
              <w:t>淠东干渠30+400～43+000、69+908～99+300续建配套与现代化改造工程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7693D0BC">
            <w:pPr>
              <w:pStyle w:val="28"/>
              <w:bidi w:val="0"/>
            </w:pPr>
            <w:r>
              <w:t>298725</w:t>
            </w:r>
          </w:p>
        </w:tc>
        <w:tc>
          <w:tcPr>
            <w:tcW w:w="308" w:type="pct"/>
            <w:tcBorders>
              <w:top w:val="single" w:color="000000" w:sz="4" w:space="0"/>
              <w:left w:val="single" w:color="000000" w:sz="4" w:space="0"/>
              <w:bottom w:val="single" w:color="000000" w:sz="4" w:space="0"/>
              <w:right w:val="single" w:color="000000" w:sz="4" w:space="0"/>
            </w:tcBorders>
            <w:vAlign w:val="center"/>
          </w:tcPr>
          <w:p w14:paraId="7B893ACC">
            <w:pPr>
              <w:pStyle w:val="28"/>
              <w:bidi w:val="0"/>
            </w:pPr>
            <w:r>
              <w:t>44897</w:t>
            </w:r>
          </w:p>
        </w:tc>
        <w:tc>
          <w:tcPr>
            <w:tcW w:w="293" w:type="pct"/>
            <w:tcBorders>
              <w:top w:val="single" w:color="000000" w:sz="4" w:space="0"/>
              <w:left w:val="single" w:color="000000" w:sz="4" w:space="0"/>
              <w:bottom w:val="single" w:color="000000" w:sz="4" w:space="0"/>
              <w:right w:val="single" w:color="000000" w:sz="4" w:space="0"/>
            </w:tcBorders>
            <w:vAlign w:val="center"/>
          </w:tcPr>
          <w:p w14:paraId="7444AFF0">
            <w:pPr>
              <w:pStyle w:val="28"/>
              <w:bidi w:val="0"/>
            </w:pPr>
            <w:r>
              <w:t>7931</w:t>
            </w:r>
          </w:p>
        </w:tc>
        <w:tc>
          <w:tcPr>
            <w:tcW w:w="310" w:type="pct"/>
            <w:tcBorders>
              <w:top w:val="single" w:color="000000" w:sz="4" w:space="0"/>
              <w:left w:val="single" w:color="000000" w:sz="4" w:space="0"/>
              <w:bottom w:val="single" w:color="000000" w:sz="4" w:space="0"/>
              <w:right w:val="single" w:color="000000" w:sz="4" w:space="0"/>
            </w:tcBorders>
            <w:vAlign w:val="center"/>
          </w:tcPr>
          <w:p w14:paraId="63620A8B">
            <w:pPr>
              <w:pStyle w:val="28"/>
              <w:bidi w:val="0"/>
            </w:pPr>
            <w:r>
              <w:t>228880</w:t>
            </w:r>
          </w:p>
        </w:tc>
        <w:tc>
          <w:tcPr>
            <w:tcW w:w="293" w:type="pct"/>
            <w:tcBorders>
              <w:top w:val="single" w:color="000000" w:sz="4" w:space="0"/>
              <w:left w:val="single" w:color="000000" w:sz="4" w:space="0"/>
              <w:bottom w:val="single" w:color="000000" w:sz="4" w:space="0"/>
              <w:right w:val="single" w:color="000000" w:sz="4" w:space="0"/>
            </w:tcBorders>
            <w:vAlign w:val="center"/>
          </w:tcPr>
          <w:p w14:paraId="7B9D73C1">
            <w:pPr>
              <w:pStyle w:val="28"/>
              <w:bidi w:val="0"/>
            </w:pPr>
            <w:r>
              <w:t>12474</w:t>
            </w:r>
          </w:p>
        </w:tc>
        <w:tc>
          <w:tcPr>
            <w:tcW w:w="293" w:type="pct"/>
            <w:tcBorders>
              <w:top w:val="single" w:color="000000" w:sz="4" w:space="0"/>
              <w:left w:val="single" w:color="000000" w:sz="4" w:space="0"/>
              <w:bottom w:val="single" w:color="000000" w:sz="4" w:space="0"/>
              <w:right w:val="single" w:color="000000" w:sz="4" w:space="0"/>
            </w:tcBorders>
            <w:vAlign w:val="center"/>
          </w:tcPr>
          <w:p w14:paraId="0059843E">
            <w:pPr>
              <w:pStyle w:val="28"/>
              <w:bidi w:val="0"/>
            </w:pPr>
            <w:r>
              <w:t>12474</w:t>
            </w:r>
          </w:p>
        </w:tc>
        <w:tc>
          <w:tcPr>
            <w:tcW w:w="293" w:type="pct"/>
            <w:tcBorders>
              <w:top w:val="single" w:color="000000" w:sz="4" w:space="0"/>
              <w:left w:val="single" w:color="000000" w:sz="4" w:space="0"/>
              <w:bottom w:val="single" w:color="000000" w:sz="4" w:space="0"/>
              <w:right w:val="single" w:color="000000" w:sz="4" w:space="0"/>
            </w:tcBorders>
            <w:vAlign w:val="center"/>
          </w:tcPr>
          <w:p w14:paraId="659ABA6A">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629273EE">
            <w:pPr>
              <w:pStyle w:val="28"/>
              <w:bidi w:val="0"/>
            </w:pPr>
            <w:r>
              <w:t>12474</w:t>
            </w:r>
          </w:p>
        </w:tc>
        <w:tc>
          <w:tcPr>
            <w:tcW w:w="293" w:type="pct"/>
            <w:tcBorders>
              <w:top w:val="single" w:color="000000" w:sz="4" w:space="0"/>
              <w:left w:val="single" w:color="000000" w:sz="4" w:space="0"/>
              <w:bottom w:val="single" w:color="000000" w:sz="4" w:space="0"/>
              <w:right w:val="single" w:color="000000" w:sz="4" w:space="0"/>
            </w:tcBorders>
            <w:vAlign w:val="center"/>
          </w:tcPr>
          <w:p w14:paraId="2F567B13">
            <w:pPr>
              <w:pStyle w:val="28"/>
              <w:bidi w:val="0"/>
            </w:pPr>
            <w:r>
              <w:t>7931</w:t>
            </w:r>
          </w:p>
        </w:tc>
        <w:tc>
          <w:tcPr>
            <w:tcW w:w="308" w:type="pct"/>
            <w:tcBorders>
              <w:top w:val="single" w:color="000000" w:sz="4" w:space="0"/>
              <w:left w:val="single" w:color="000000" w:sz="4" w:space="0"/>
              <w:bottom w:val="single" w:color="000000" w:sz="4" w:space="0"/>
              <w:right w:val="single" w:color="000000" w:sz="4" w:space="0"/>
            </w:tcBorders>
            <w:vAlign w:val="center"/>
          </w:tcPr>
          <w:p w14:paraId="7A877883">
            <w:pPr>
              <w:pStyle w:val="28"/>
              <w:bidi w:val="0"/>
            </w:pPr>
            <w:r>
              <w:t>241354</w:t>
            </w:r>
          </w:p>
        </w:tc>
      </w:tr>
      <w:tr w14:paraId="78B0AA26">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590D867A">
            <w:pPr>
              <w:pStyle w:val="28"/>
              <w:bidi w:val="0"/>
            </w:pPr>
            <w:r>
              <w:t>9</w:t>
            </w:r>
          </w:p>
        </w:tc>
        <w:tc>
          <w:tcPr>
            <w:tcW w:w="1747" w:type="pct"/>
            <w:tcBorders>
              <w:top w:val="single" w:color="000000" w:sz="4" w:space="0"/>
              <w:left w:val="single" w:color="000000" w:sz="4" w:space="0"/>
              <w:bottom w:val="single" w:color="000000" w:sz="4" w:space="0"/>
              <w:right w:val="single" w:color="000000" w:sz="4" w:space="0"/>
            </w:tcBorders>
            <w:vAlign w:val="center"/>
          </w:tcPr>
          <w:p w14:paraId="69373DEF">
            <w:pPr>
              <w:pStyle w:val="28"/>
              <w:bidi w:val="0"/>
            </w:pPr>
            <w:r>
              <w:t>瓦西干渠15+000～27+500续建配套与现代化改造工程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74B0F881">
            <w:pPr>
              <w:pStyle w:val="28"/>
              <w:bidi w:val="0"/>
            </w:pPr>
            <w:r>
              <w:t>115600</w:t>
            </w:r>
          </w:p>
        </w:tc>
        <w:tc>
          <w:tcPr>
            <w:tcW w:w="308" w:type="pct"/>
            <w:tcBorders>
              <w:top w:val="single" w:color="000000" w:sz="4" w:space="0"/>
              <w:left w:val="single" w:color="000000" w:sz="4" w:space="0"/>
              <w:bottom w:val="single" w:color="000000" w:sz="4" w:space="0"/>
              <w:right w:val="single" w:color="000000" w:sz="4" w:space="0"/>
            </w:tcBorders>
            <w:vAlign w:val="center"/>
          </w:tcPr>
          <w:p w14:paraId="550931C3">
            <w:pPr>
              <w:pStyle w:val="28"/>
              <w:bidi w:val="0"/>
            </w:pPr>
            <w:r>
              <w:t>109136</w:t>
            </w:r>
          </w:p>
        </w:tc>
        <w:tc>
          <w:tcPr>
            <w:tcW w:w="293" w:type="pct"/>
            <w:tcBorders>
              <w:top w:val="single" w:color="000000" w:sz="4" w:space="0"/>
              <w:left w:val="single" w:color="000000" w:sz="4" w:space="0"/>
              <w:bottom w:val="single" w:color="000000" w:sz="4" w:space="0"/>
              <w:right w:val="single" w:color="000000" w:sz="4" w:space="0"/>
            </w:tcBorders>
            <w:vAlign w:val="center"/>
          </w:tcPr>
          <w:p w14:paraId="468F6344">
            <w:pPr>
              <w:pStyle w:val="28"/>
              <w:bidi w:val="0"/>
            </w:pPr>
            <w:r>
              <w:t>74571</w:t>
            </w:r>
          </w:p>
        </w:tc>
        <w:tc>
          <w:tcPr>
            <w:tcW w:w="310" w:type="pct"/>
            <w:tcBorders>
              <w:top w:val="single" w:color="000000" w:sz="4" w:space="0"/>
              <w:left w:val="single" w:color="000000" w:sz="4" w:space="0"/>
              <w:bottom w:val="single" w:color="000000" w:sz="4" w:space="0"/>
              <w:right w:val="single" w:color="000000" w:sz="4" w:space="0"/>
            </w:tcBorders>
            <w:vAlign w:val="center"/>
          </w:tcPr>
          <w:p w14:paraId="3F97BB5B">
            <w:pPr>
              <w:pStyle w:val="28"/>
              <w:bidi w:val="0"/>
            </w:pPr>
            <w:r>
              <w:t>58614</w:t>
            </w:r>
          </w:p>
        </w:tc>
        <w:tc>
          <w:tcPr>
            <w:tcW w:w="293" w:type="pct"/>
            <w:tcBorders>
              <w:top w:val="single" w:color="000000" w:sz="4" w:space="0"/>
              <w:left w:val="single" w:color="000000" w:sz="4" w:space="0"/>
              <w:bottom w:val="single" w:color="000000" w:sz="4" w:space="0"/>
              <w:right w:val="single" w:color="000000" w:sz="4" w:space="0"/>
            </w:tcBorders>
            <w:vAlign w:val="center"/>
          </w:tcPr>
          <w:p w14:paraId="204B51B1">
            <w:pPr>
              <w:pStyle w:val="28"/>
              <w:bidi w:val="0"/>
            </w:pPr>
            <w:r>
              <w:t>5068</w:t>
            </w:r>
          </w:p>
        </w:tc>
        <w:tc>
          <w:tcPr>
            <w:tcW w:w="293" w:type="pct"/>
            <w:tcBorders>
              <w:top w:val="single" w:color="000000" w:sz="4" w:space="0"/>
              <w:left w:val="single" w:color="000000" w:sz="4" w:space="0"/>
              <w:bottom w:val="single" w:color="000000" w:sz="4" w:space="0"/>
              <w:right w:val="single" w:color="000000" w:sz="4" w:space="0"/>
            </w:tcBorders>
            <w:vAlign w:val="center"/>
          </w:tcPr>
          <w:p w14:paraId="6A4EDC8C">
            <w:pPr>
              <w:pStyle w:val="28"/>
              <w:bidi w:val="0"/>
            </w:pPr>
            <w:r>
              <w:t>5068</w:t>
            </w:r>
          </w:p>
        </w:tc>
        <w:tc>
          <w:tcPr>
            <w:tcW w:w="293" w:type="pct"/>
            <w:tcBorders>
              <w:top w:val="single" w:color="000000" w:sz="4" w:space="0"/>
              <w:left w:val="single" w:color="000000" w:sz="4" w:space="0"/>
              <w:bottom w:val="single" w:color="000000" w:sz="4" w:space="0"/>
              <w:right w:val="single" w:color="000000" w:sz="4" w:space="0"/>
            </w:tcBorders>
            <w:vAlign w:val="center"/>
          </w:tcPr>
          <w:p w14:paraId="2CD0B2C0">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43593DE1">
            <w:pPr>
              <w:pStyle w:val="28"/>
              <w:bidi w:val="0"/>
            </w:pPr>
            <w:r>
              <w:t>2268</w:t>
            </w:r>
          </w:p>
        </w:tc>
        <w:tc>
          <w:tcPr>
            <w:tcW w:w="293" w:type="pct"/>
            <w:tcBorders>
              <w:top w:val="single" w:color="000000" w:sz="4" w:space="0"/>
              <w:left w:val="single" w:color="000000" w:sz="4" w:space="0"/>
              <w:bottom w:val="single" w:color="000000" w:sz="4" w:space="0"/>
              <w:right w:val="single" w:color="000000" w:sz="4" w:space="0"/>
            </w:tcBorders>
            <w:vAlign w:val="center"/>
          </w:tcPr>
          <w:p w14:paraId="40BF7131">
            <w:pPr>
              <w:pStyle w:val="28"/>
              <w:bidi w:val="0"/>
            </w:pPr>
            <w:r>
              <w:t>74571</w:t>
            </w:r>
          </w:p>
        </w:tc>
        <w:tc>
          <w:tcPr>
            <w:tcW w:w="308" w:type="pct"/>
            <w:tcBorders>
              <w:top w:val="single" w:color="000000" w:sz="4" w:space="0"/>
              <w:left w:val="single" w:color="000000" w:sz="4" w:space="0"/>
              <w:bottom w:val="single" w:color="000000" w:sz="4" w:space="0"/>
              <w:right w:val="single" w:color="000000" w:sz="4" w:space="0"/>
            </w:tcBorders>
            <w:vAlign w:val="center"/>
          </w:tcPr>
          <w:p w14:paraId="2B278BC1">
            <w:pPr>
              <w:pStyle w:val="28"/>
              <w:bidi w:val="0"/>
            </w:pPr>
            <w:r>
              <w:t>60882</w:t>
            </w:r>
          </w:p>
        </w:tc>
      </w:tr>
      <w:tr w14:paraId="5C929EC4">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63710F7E">
            <w:pPr>
              <w:pStyle w:val="28"/>
              <w:bidi w:val="0"/>
            </w:pPr>
            <w:r>
              <w:t>10</w:t>
            </w:r>
          </w:p>
        </w:tc>
        <w:tc>
          <w:tcPr>
            <w:tcW w:w="1747" w:type="pct"/>
            <w:tcBorders>
              <w:top w:val="single" w:color="000000" w:sz="4" w:space="0"/>
              <w:left w:val="single" w:color="000000" w:sz="4" w:space="0"/>
              <w:bottom w:val="single" w:color="000000" w:sz="4" w:space="0"/>
              <w:right w:val="single" w:color="000000" w:sz="4" w:space="0"/>
            </w:tcBorders>
            <w:vAlign w:val="center"/>
          </w:tcPr>
          <w:p w14:paraId="108DAA48">
            <w:pPr>
              <w:pStyle w:val="28"/>
              <w:bidi w:val="0"/>
            </w:pPr>
            <w:r>
              <w:t>堰口分干渠0+000～18+000续建配套与现代化改造工程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1E0B0A3E">
            <w:pPr>
              <w:pStyle w:val="28"/>
              <w:bidi w:val="0"/>
            </w:pPr>
            <w:r>
              <w:t>87686</w:t>
            </w:r>
          </w:p>
        </w:tc>
        <w:tc>
          <w:tcPr>
            <w:tcW w:w="308" w:type="pct"/>
            <w:tcBorders>
              <w:top w:val="single" w:color="000000" w:sz="4" w:space="0"/>
              <w:left w:val="single" w:color="000000" w:sz="4" w:space="0"/>
              <w:bottom w:val="single" w:color="000000" w:sz="4" w:space="0"/>
              <w:right w:val="single" w:color="000000" w:sz="4" w:space="0"/>
            </w:tcBorders>
            <w:vAlign w:val="center"/>
          </w:tcPr>
          <w:p w14:paraId="5B200DDB">
            <w:pPr>
              <w:pStyle w:val="28"/>
              <w:bidi w:val="0"/>
            </w:pPr>
            <w:r>
              <w:t>4366</w:t>
            </w:r>
          </w:p>
        </w:tc>
        <w:tc>
          <w:tcPr>
            <w:tcW w:w="293" w:type="pct"/>
            <w:tcBorders>
              <w:top w:val="single" w:color="000000" w:sz="4" w:space="0"/>
              <w:left w:val="single" w:color="000000" w:sz="4" w:space="0"/>
              <w:bottom w:val="single" w:color="000000" w:sz="4" w:space="0"/>
              <w:right w:val="single" w:color="000000" w:sz="4" w:space="0"/>
            </w:tcBorders>
            <w:vAlign w:val="center"/>
          </w:tcPr>
          <w:p w14:paraId="2C6E761C">
            <w:pPr>
              <w:pStyle w:val="28"/>
              <w:bidi w:val="0"/>
            </w:pPr>
            <w: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7B2C7148">
            <w:pPr>
              <w:pStyle w:val="28"/>
              <w:bidi w:val="0"/>
            </w:pPr>
            <w:r>
              <w:t>69358</w:t>
            </w:r>
          </w:p>
        </w:tc>
        <w:tc>
          <w:tcPr>
            <w:tcW w:w="293" w:type="pct"/>
            <w:tcBorders>
              <w:top w:val="single" w:color="000000" w:sz="4" w:space="0"/>
              <w:left w:val="single" w:color="000000" w:sz="4" w:space="0"/>
              <w:bottom w:val="single" w:color="000000" w:sz="4" w:space="0"/>
              <w:right w:val="single" w:color="000000" w:sz="4" w:space="0"/>
            </w:tcBorders>
            <w:vAlign w:val="center"/>
          </w:tcPr>
          <w:p w14:paraId="73BC825E">
            <w:pPr>
              <w:pStyle w:val="28"/>
              <w:bidi w:val="0"/>
            </w:pPr>
            <w:r>
              <w:t>11978</w:t>
            </w:r>
          </w:p>
        </w:tc>
        <w:tc>
          <w:tcPr>
            <w:tcW w:w="293" w:type="pct"/>
            <w:tcBorders>
              <w:top w:val="single" w:color="000000" w:sz="4" w:space="0"/>
              <w:left w:val="single" w:color="000000" w:sz="4" w:space="0"/>
              <w:bottom w:val="single" w:color="000000" w:sz="4" w:space="0"/>
              <w:right w:val="single" w:color="000000" w:sz="4" w:space="0"/>
            </w:tcBorders>
            <w:vAlign w:val="center"/>
          </w:tcPr>
          <w:p w14:paraId="66C10DC4">
            <w:pPr>
              <w:pStyle w:val="28"/>
              <w:bidi w:val="0"/>
            </w:pPr>
            <w:r>
              <w:t>11978</w:t>
            </w:r>
          </w:p>
        </w:tc>
        <w:tc>
          <w:tcPr>
            <w:tcW w:w="293" w:type="pct"/>
            <w:tcBorders>
              <w:top w:val="single" w:color="000000" w:sz="4" w:space="0"/>
              <w:left w:val="single" w:color="000000" w:sz="4" w:space="0"/>
              <w:bottom w:val="single" w:color="000000" w:sz="4" w:space="0"/>
              <w:right w:val="single" w:color="000000" w:sz="4" w:space="0"/>
            </w:tcBorders>
            <w:vAlign w:val="center"/>
          </w:tcPr>
          <w:p w14:paraId="72482306">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1EE07128">
            <w:pPr>
              <w:pStyle w:val="28"/>
              <w:bidi w:val="0"/>
            </w:pPr>
            <w:r>
              <w:t>11978</w:t>
            </w:r>
          </w:p>
        </w:tc>
        <w:tc>
          <w:tcPr>
            <w:tcW w:w="293" w:type="pct"/>
            <w:tcBorders>
              <w:top w:val="single" w:color="000000" w:sz="4" w:space="0"/>
              <w:left w:val="single" w:color="000000" w:sz="4" w:space="0"/>
              <w:bottom w:val="single" w:color="000000" w:sz="4" w:space="0"/>
              <w:right w:val="single" w:color="000000" w:sz="4" w:space="0"/>
            </w:tcBorders>
            <w:vAlign w:val="center"/>
          </w:tcPr>
          <w:p w14:paraId="7BC6BC0D">
            <w:pPr>
              <w:pStyle w:val="28"/>
              <w:bidi w:val="0"/>
            </w:pPr>
            <w:r>
              <w:t>—</w:t>
            </w:r>
          </w:p>
        </w:tc>
        <w:tc>
          <w:tcPr>
            <w:tcW w:w="308" w:type="pct"/>
            <w:tcBorders>
              <w:top w:val="single" w:color="000000" w:sz="4" w:space="0"/>
              <w:left w:val="single" w:color="000000" w:sz="4" w:space="0"/>
              <w:bottom w:val="single" w:color="000000" w:sz="4" w:space="0"/>
              <w:right w:val="single" w:color="000000" w:sz="4" w:space="0"/>
            </w:tcBorders>
            <w:vAlign w:val="center"/>
          </w:tcPr>
          <w:p w14:paraId="7513F22C">
            <w:pPr>
              <w:pStyle w:val="28"/>
              <w:bidi w:val="0"/>
            </w:pPr>
            <w:r>
              <w:t>81336</w:t>
            </w:r>
          </w:p>
        </w:tc>
      </w:tr>
      <w:tr w14:paraId="50A0495C">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3CD190F7">
            <w:pPr>
              <w:pStyle w:val="28"/>
              <w:bidi w:val="0"/>
            </w:pPr>
            <w:r>
              <w:t>11</w:t>
            </w:r>
          </w:p>
        </w:tc>
        <w:tc>
          <w:tcPr>
            <w:tcW w:w="1747" w:type="pct"/>
            <w:tcBorders>
              <w:top w:val="single" w:color="000000" w:sz="4" w:space="0"/>
              <w:left w:val="single" w:color="000000" w:sz="4" w:space="0"/>
              <w:bottom w:val="single" w:color="000000" w:sz="4" w:space="0"/>
              <w:right w:val="single" w:color="000000" w:sz="4" w:space="0"/>
            </w:tcBorders>
            <w:vAlign w:val="center"/>
          </w:tcPr>
          <w:p w14:paraId="17CF8D18">
            <w:pPr>
              <w:pStyle w:val="28"/>
              <w:bidi w:val="0"/>
            </w:pPr>
            <w:r>
              <w:t>淠源分干渠23+070～27+070、35+190～37+120、43+640～44+000段除险加固工程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2F776A04">
            <w:pPr>
              <w:pStyle w:val="28"/>
              <w:bidi w:val="0"/>
            </w:pPr>
            <w:r>
              <w:t>26467</w:t>
            </w:r>
          </w:p>
        </w:tc>
        <w:tc>
          <w:tcPr>
            <w:tcW w:w="308" w:type="pct"/>
            <w:tcBorders>
              <w:top w:val="single" w:color="000000" w:sz="4" w:space="0"/>
              <w:left w:val="single" w:color="000000" w:sz="4" w:space="0"/>
              <w:bottom w:val="single" w:color="000000" w:sz="4" w:space="0"/>
              <w:right w:val="single" w:color="000000" w:sz="4" w:space="0"/>
            </w:tcBorders>
            <w:vAlign w:val="center"/>
          </w:tcPr>
          <w:p w14:paraId="368C0CF4">
            <w:pPr>
              <w:pStyle w:val="28"/>
              <w:bidi w:val="0"/>
            </w:pPr>
            <w:r>
              <w:t>29985</w:t>
            </w:r>
          </w:p>
        </w:tc>
        <w:tc>
          <w:tcPr>
            <w:tcW w:w="293" w:type="pct"/>
            <w:tcBorders>
              <w:top w:val="single" w:color="000000" w:sz="4" w:space="0"/>
              <w:left w:val="single" w:color="000000" w:sz="4" w:space="0"/>
              <w:bottom w:val="single" w:color="000000" w:sz="4" w:space="0"/>
              <w:right w:val="single" w:color="000000" w:sz="4" w:space="0"/>
            </w:tcBorders>
            <w:vAlign w:val="center"/>
          </w:tcPr>
          <w:p w14:paraId="4CEE8FC8">
            <w:pPr>
              <w:pStyle w:val="28"/>
              <w:bidi w:val="0"/>
            </w:pPr>
            <w:r>
              <w:t>14103</w:t>
            </w:r>
          </w:p>
        </w:tc>
        <w:tc>
          <w:tcPr>
            <w:tcW w:w="310" w:type="pct"/>
            <w:tcBorders>
              <w:top w:val="single" w:color="000000" w:sz="4" w:space="0"/>
              <w:left w:val="single" w:color="000000" w:sz="4" w:space="0"/>
              <w:bottom w:val="single" w:color="000000" w:sz="4" w:space="0"/>
              <w:right w:val="single" w:color="000000" w:sz="4" w:space="0"/>
            </w:tcBorders>
            <w:vAlign w:val="center"/>
          </w:tcPr>
          <w:p w14:paraId="3AEC2B55">
            <w:pPr>
              <w:pStyle w:val="28"/>
              <w:bidi w:val="0"/>
            </w:pPr>
            <w:r>
              <w:t>5293</w:t>
            </w:r>
          </w:p>
        </w:tc>
        <w:tc>
          <w:tcPr>
            <w:tcW w:w="293" w:type="pct"/>
            <w:tcBorders>
              <w:top w:val="single" w:color="000000" w:sz="4" w:space="0"/>
              <w:left w:val="single" w:color="000000" w:sz="4" w:space="0"/>
              <w:bottom w:val="single" w:color="000000" w:sz="4" w:space="0"/>
              <w:right w:val="single" w:color="000000" w:sz="4" w:space="0"/>
            </w:tcBorders>
            <w:vAlign w:val="center"/>
          </w:tcPr>
          <w:p w14:paraId="0B3F736B">
            <w:pPr>
              <w:pStyle w:val="28"/>
              <w:bidi w:val="0"/>
            </w:pPr>
            <w:r>
              <w:t>8411</w:t>
            </w:r>
          </w:p>
        </w:tc>
        <w:tc>
          <w:tcPr>
            <w:tcW w:w="293" w:type="pct"/>
            <w:tcBorders>
              <w:top w:val="single" w:color="000000" w:sz="4" w:space="0"/>
              <w:left w:val="single" w:color="000000" w:sz="4" w:space="0"/>
              <w:bottom w:val="single" w:color="000000" w:sz="4" w:space="0"/>
              <w:right w:val="single" w:color="000000" w:sz="4" w:space="0"/>
            </w:tcBorders>
            <w:vAlign w:val="center"/>
          </w:tcPr>
          <w:p w14:paraId="579D6184">
            <w:pPr>
              <w:pStyle w:val="28"/>
              <w:bidi w:val="0"/>
            </w:pPr>
            <w:r>
              <w:t>8411</w:t>
            </w:r>
          </w:p>
        </w:tc>
        <w:tc>
          <w:tcPr>
            <w:tcW w:w="293" w:type="pct"/>
            <w:tcBorders>
              <w:top w:val="single" w:color="000000" w:sz="4" w:space="0"/>
              <w:left w:val="single" w:color="000000" w:sz="4" w:space="0"/>
              <w:bottom w:val="single" w:color="000000" w:sz="4" w:space="0"/>
              <w:right w:val="single" w:color="000000" w:sz="4" w:space="0"/>
            </w:tcBorders>
            <w:vAlign w:val="center"/>
          </w:tcPr>
          <w:p w14:paraId="31CE62BF">
            <w:pPr>
              <w:pStyle w:val="28"/>
              <w:bidi w:val="0"/>
            </w:pPr>
            <w:r>
              <w:t>9895</w:t>
            </w:r>
          </w:p>
        </w:tc>
        <w:tc>
          <w:tcPr>
            <w:tcW w:w="295" w:type="pct"/>
            <w:tcBorders>
              <w:top w:val="single" w:color="000000" w:sz="4" w:space="0"/>
              <w:left w:val="single" w:color="000000" w:sz="4" w:space="0"/>
              <w:bottom w:val="single" w:color="000000" w:sz="4" w:space="0"/>
              <w:right w:val="single" w:color="000000" w:sz="4" w:space="0"/>
            </w:tcBorders>
            <w:vAlign w:val="center"/>
          </w:tcPr>
          <w:p w14:paraId="211ED3DB">
            <w:pPr>
              <w:pStyle w:val="28"/>
              <w:bidi w:val="0"/>
            </w:pPr>
            <w:r>
              <w:t>8411</w:t>
            </w:r>
          </w:p>
        </w:tc>
        <w:tc>
          <w:tcPr>
            <w:tcW w:w="293" w:type="pct"/>
            <w:tcBorders>
              <w:top w:val="single" w:color="000000" w:sz="4" w:space="0"/>
              <w:left w:val="single" w:color="000000" w:sz="4" w:space="0"/>
              <w:bottom w:val="single" w:color="000000" w:sz="4" w:space="0"/>
              <w:right w:val="single" w:color="000000" w:sz="4" w:space="0"/>
            </w:tcBorders>
            <w:vAlign w:val="center"/>
          </w:tcPr>
          <w:p w14:paraId="32EA8A71">
            <w:pPr>
              <w:pStyle w:val="28"/>
              <w:bidi w:val="0"/>
            </w:pPr>
            <w:r>
              <w:t>23998</w:t>
            </w:r>
          </w:p>
        </w:tc>
        <w:tc>
          <w:tcPr>
            <w:tcW w:w="308" w:type="pct"/>
            <w:tcBorders>
              <w:top w:val="single" w:color="000000" w:sz="4" w:space="0"/>
              <w:left w:val="single" w:color="000000" w:sz="4" w:space="0"/>
              <w:bottom w:val="single" w:color="000000" w:sz="4" w:space="0"/>
              <w:right w:val="single" w:color="000000" w:sz="4" w:space="0"/>
            </w:tcBorders>
            <w:vAlign w:val="center"/>
          </w:tcPr>
          <w:p w14:paraId="39C6B886">
            <w:pPr>
              <w:pStyle w:val="28"/>
              <w:bidi w:val="0"/>
            </w:pPr>
            <w:r>
              <w:t>13704</w:t>
            </w:r>
          </w:p>
        </w:tc>
      </w:tr>
      <w:tr w14:paraId="289C5BB1">
        <w:tblPrEx>
          <w:tblCellMar>
            <w:top w:w="0" w:type="dxa"/>
            <w:left w:w="108" w:type="dxa"/>
            <w:bottom w:w="0" w:type="dxa"/>
            <w:right w:w="108" w:type="dxa"/>
          </w:tblCellMar>
        </w:tblPrEx>
        <w:trPr>
          <w:trHeight w:val="446"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36698A87">
            <w:pPr>
              <w:pStyle w:val="28"/>
              <w:bidi w:val="0"/>
            </w:pPr>
            <w:r>
              <w:t>12</w:t>
            </w:r>
          </w:p>
        </w:tc>
        <w:tc>
          <w:tcPr>
            <w:tcW w:w="1747" w:type="pct"/>
            <w:tcBorders>
              <w:top w:val="single" w:color="000000" w:sz="4" w:space="0"/>
              <w:left w:val="single" w:color="000000" w:sz="4" w:space="0"/>
              <w:bottom w:val="single" w:color="000000" w:sz="4" w:space="0"/>
              <w:right w:val="single" w:color="000000" w:sz="4" w:space="0"/>
            </w:tcBorders>
            <w:vAlign w:val="center"/>
          </w:tcPr>
          <w:p w14:paraId="394ECBEF">
            <w:pPr>
              <w:pStyle w:val="28"/>
              <w:bidi w:val="0"/>
            </w:pPr>
            <w:r>
              <w:t>小蜀山分干渠2+500～20+500段续建配套与现代化改造工程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493A1145">
            <w:pPr>
              <w:pStyle w:val="28"/>
              <w:bidi w:val="0"/>
            </w:pPr>
            <w:r>
              <w:t>147500</w:t>
            </w:r>
          </w:p>
        </w:tc>
        <w:tc>
          <w:tcPr>
            <w:tcW w:w="308" w:type="pct"/>
            <w:tcBorders>
              <w:top w:val="single" w:color="000000" w:sz="4" w:space="0"/>
              <w:left w:val="single" w:color="000000" w:sz="4" w:space="0"/>
              <w:bottom w:val="single" w:color="000000" w:sz="4" w:space="0"/>
              <w:right w:val="single" w:color="000000" w:sz="4" w:space="0"/>
            </w:tcBorders>
            <w:vAlign w:val="center"/>
          </w:tcPr>
          <w:p w14:paraId="6CD346DE">
            <w:pPr>
              <w:pStyle w:val="28"/>
              <w:bidi w:val="0"/>
            </w:pPr>
            <w:r>
              <w:t>67300</w:t>
            </w:r>
          </w:p>
        </w:tc>
        <w:tc>
          <w:tcPr>
            <w:tcW w:w="293" w:type="pct"/>
            <w:tcBorders>
              <w:top w:val="single" w:color="000000" w:sz="4" w:space="0"/>
              <w:left w:val="single" w:color="000000" w:sz="4" w:space="0"/>
              <w:bottom w:val="single" w:color="000000" w:sz="4" w:space="0"/>
              <w:right w:val="single" w:color="000000" w:sz="4" w:space="0"/>
            </w:tcBorders>
            <w:vAlign w:val="center"/>
          </w:tcPr>
          <w:p w14:paraId="19865643">
            <w:pPr>
              <w:pStyle w:val="28"/>
              <w:bidi w:val="0"/>
            </w:pPr>
            <w: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0004C7A9">
            <w:pPr>
              <w:pStyle w:val="28"/>
              <w:bidi w:val="0"/>
            </w:pPr>
            <w:r>
              <w:t>74940</w:t>
            </w:r>
          </w:p>
        </w:tc>
        <w:tc>
          <w:tcPr>
            <w:tcW w:w="293" w:type="pct"/>
            <w:tcBorders>
              <w:top w:val="single" w:color="000000" w:sz="4" w:space="0"/>
              <w:left w:val="single" w:color="000000" w:sz="4" w:space="0"/>
              <w:bottom w:val="single" w:color="000000" w:sz="4" w:space="0"/>
              <w:right w:val="single" w:color="000000" w:sz="4" w:space="0"/>
            </w:tcBorders>
            <w:vAlign w:val="center"/>
          </w:tcPr>
          <w:p w14:paraId="592C7F71">
            <w:pPr>
              <w:pStyle w:val="28"/>
              <w:bidi w:val="0"/>
            </w:pPr>
            <w:r>
              <w:t>5260</w:t>
            </w:r>
          </w:p>
        </w:tc>
        <w:tc>
          <w:tcPr>
            <w:tcW w:w="293" w:type="pct"/>
            <w:tcBorders>
              <w:top w:val="single" w:color="000000" w:sz="4" w:space="0"/>
              <w:left w:val="single" w:color="000000" w:sz="4" w:space="0"/>
              <w:bottom w:val="single" w:color="000000" w:sz="4" w:space="0"/>
              <w:right w:val="single" w:color="000000" w:sz="4" w:space="0"/>
            </w:tcBorders>
            <w:vAlign w:val="center"/>
          </w:tcPr>
          <w:p w14:paraId="35E67577">
            <w:pPr>
              <w:pStyle w:val="28"/>
              <w:bidi w:val="0"/>
            </w:pPr>
            <w:r>
              <w:t>5260</w:t>
            </w:r>
          </w:p>
        </w:tc>
        <w:tc>
          <w:tcPr>
            <w:tcW w:w="293" w:type="pct"/>
            <w:tcBorders>
              <w:top w:val="single" w:color="000000" w:sz="4" w:space="0"/>
              <w:left w:val="single" w:color="000000" w:sz="4" w:space="0"/>
              <w:bottom w:val="single" w:color="000000" w:sz="4" w:space="0"/>
              <w:right w:val="single" w:color="000000" w:sz="4" w:space="0"/>
            </w:tcBorders>
            <w:vAlign w:val="center"/>
          </w:tcPr>
          <w:p w14:paraId="7607DF7C">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5D7D2EC5">
            <w:pPr>
              <w:pStyle w:val="28"/>
              <w:bidi w:val="0"/>
            </w:pPr>
            <w:r>
              <w:t>5260</w:t>
            </w:r>
          </w:p>
        </w:tc>
        <w:tc>
          <w:tcPr>
            <w:tcW w:w="293" w:type="pct"/>
            <w:tcBorders>
              <w:top w:val="single" w:color="000000" w:sz="4" w:space="0"/>
              <w:left w:val="single" w:color="000000" w:sz="4" w:space="0"/>
              <w:bottom w:val="single" w:color="000000" w:sz="4" w:space="0"/>
              <w:right w:val="single" w:color="000000" w:sz="4" w:space="0"/>
            </w:tcBorders>
            <w:vAlign w:val="center"/>
          </w:tcPr>
          <w:p w14:paraId="5CD893DB">
            <w:pPr>
              <w:pStyle w:val="28"/>
              <w:bidi w:val="0"/>
            </w:pPr>
            <w:r>
              <w:t>—</w:t>
            </w:r>
          </w:p>
        </w:tc>
        <w:tc>
          <w:tcPr>
            <w:tcW w:w="308" w:type="pct"/>
            <w:tcBorders>
              <w:top w:val="single" w:color="000000" w:sz="4" w:space="0"/>
              <w:left w:val="single" w:color="000000" w:sz="4" w:space="0"/>
              <w:bottom w:val="single" w:color="000000" w:sz="4" w:space="0"/>
              <w:right w:val="single" w:color="000000" w:sz="4" w:space="0"/>
            </w:tcBorders>
            <w:vAlign w:val="center"/>
          </w:tcPr>
          <w:p w14:paraId="77A0A921">
            <w:pPr>
              <w:pStyle w:val="28"/>
              <w:bidi w:val="0"/>
            </w:pPr>
            <w:r>
              <w:t>80200</w:t>
            </w:r>
          </w:p>
        </w:tc>
      </w:tr>
      <w:tr w14:paraId="1551A0F5">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784A2EAE">
            <w:pPr>
              <w:pStyle w:val="28"/>
              <w:bidi w:val="0"/>
            </w:pPr>
            <w:r>
              <w:t>13</w:t>
            </w:r>
          </w:p>
        </w:tc>
        <w:tc>
          <w:tcPr>
            <w:tcW w:w="1747" w:type="pct"/>
            <w:tcBorders>
              <w:top w:val="single" w:color="000000" w:sz="4" w:space="0"/>
              <w:left w:val="single" w:color="000000" w:sz="4" w:space="0"/>
              <w:bottom w:val="single" w:color="000000" w:sz="4" w:space="0"/>
              <w:right w:val="single" w:color="000000" w:sz="4" w:space="0"/>
            </w:tcBorders>
            <w:vAlign w:val="center"/>
          </w:tcPr>
          <w:p w14:paraId="0C343007">
            <w:pPr>
              <w:pStyle w:val="28"/>
              <w:bidi w:val="0"/>
            </w:pPr>
            <w:r>
              <w:t>瓦东干渠双庙支渠0+000～24+200续建配套与现代化改造工程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704EE885">
            <w:pPr>
              <w:pStyle w:val="28"/>
              <w:bidi w:val="0"/>
            </w:pPr>
            <w:r>
              <w:t>189510</w:t>
            </w:r>
          </w:p>
        </w:tc>
        <w:tc>
          <w:tcPr>
            <w:tcW w:w="308" w:type="pct"/>
            <w:tcBorders>
              <w:top w:val="single" w:color="000000" w:sz="4" w:space="0"/>
              <w:left w:val="single" w:color="000000" w:sz="4" w:space="0"/>
              <w:bottom w:val="single" w:color="000000" w:sz="4" w:space="0"/>
              <w:right w:val="single" w:color="000000" w:sz="4" w:space="0"/>
            </w:tcBorders>
            <w:vAlign w:val="center"/>
          </w:tcPr>
          <w:p w14:paraId="04E8B800">
            <w:pPr>
              <w:pStyle w:val="28"/>
              <w:bidi w:val="0"/>
            </w:pPr>
            <w:r>
              <w:t>68633</w:t>
            </w:r>
          </w:p>
        </w:tc>
        <w:tc>
          <w:tcPr>
            <w:tcW w:w="293" w:type="pct"/>
            <w:tcBorders>
              <w:top w:val="single" w:color="000000" w:sz="4" w:space="0"/>
              <w:left w:val="single" w:color="000000" w:sz="4" w:space="0"/>
              <w:bottom w:val="single" w:color="000000" w:sz="4" w:space="0"/>
              <w:right w:val="single" w:color="000000" w:sz="4" w:space="0"/>
            </w:tcBorders>
            <w:vAlign w:val="center"/>
          </w:tcPr>
          <w:p w14:paraId="722FB1C4">
            <w:pPr>
              <w:pStyle w:val="28"/>
              <w:bidi w:val="0"/>
            </w:pPr>
            <w: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6BC81A44">
            <w:pPr>
              <w:pStyle w:val="28"/>
              <w:bidi w:val="0"/>
            </w:pPr>
            <w:r>
              <w:t>102145</w:t>
            </w:r>
          </w:p>
        </w:tc>
        <w:tc>
          <w:tcPr>
            <w:tcW w:w="293" w:type="pct"/>
            <w:tcBorders>
              <w:top w:val="single" w:color="000000" w:sz="4" w:space="0"/>
              <w:left w:val="single" w:color="000000" w:sz="4" w:space="0"/>
              <w:bottom w:val="single" w:color="000000" w:sz="4" w:space="0"/>
              <w:right w:val="single" w:color="000000" w:sz="4" w:space="0"/>
            </w:tcBorders>
            <w:vAlign w:val="center"/>
          </w:tcPr>
          <w:p w14:paraId="1A199E66">
            <w:pPr>
              <w:pStyle w:val="28"/>
              <w:bidi w:val="0"/>
            </w:pPr>
            <w:r>
              <w:t>11794</w:t>
            </w:r>
          </w:p>
        </w:tc>
        <w:tc>
          <w:tcPr>
            <w:tcW w:w="293" w:type="pct"/>
            <w:tcBorders>
              <w:top w:val="single" w:color="000000" w:sz="4" w:space="0"/>
              <w:left w:val="single" w:color="000000" w:sz="4" w:space="0"/>
              <w:bottom w:val="single" w:color="000000" w:sz="4" w:space="0"/>
              <w:right w:val="single" w:color="000000" w:sz="4" w:space="0"/>
            </w:tcBorders>
            <w:vAlign w:val="center"/>
          </w:tcPr>
          <w:p w14:paraId="77AA43FC">
            <w:pPr>
              <w:pStyle w:val="28"/>
              <w:bidi w:val="0"/>
            </w:pPr>
            <w:r>
              <w:t>11794</w:t>
            </w:r>
          </w:p>
        </w:tc>
        <w:tc>
          <w:tcPr>
            <w:tcW w:w="293" w:type="pct"/>
            <w:tcBorders>
              <w:top w:val="single" w:color="000000" w:sz="4" w:space="0"/>
              <w:left w:val="single" w:color="000000" w:sz="4" w:space="0"/>
              <w:bottom w:val="single" w:color="000000" w:sz="4" w:space="0"/>
              <w:right w:val="single" w:color="000000" w:sz="4" w:space="0"/>
            </w:tcBorders>
            <w:vAlign w:val="center"/>
          </w:tcPr>
          <w:p w14:paraId="41DE2BCF">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76E2FF6E">
            <w:pPr>
              <w:pStyle w:val="28"/>
              <w:bidi w:val="0"/>
            </w:pPr>
            <w:r>
              <w:t>11794</w:t>
            </w:r>
          </w:p>
        </w:tc>
        <w:tc>
          <w:tcPr>
            <w:tcW w:w="293" w:type="pct"/>
            <w:tcBorders>
              <w:top w:val="single" w:color="000000" w:sz="4" w:space="0"/>
              <w:left w:val="single" w:color="000000" w:sz="4" w:space="0"/>
              <w:bottom w:val="single" w:color="000000" w:sz="4" w:space="0"/>
              <w:right w:val="single" w:color="000000" w:sz="4" w:space="0"/>
            </w:tcBorders>
            <w:vAlign w:val="center"/>
          </w:tcPr>
          <w:p w14:paraId="5AA95B12">
            <w:pPr>
              <w:pStyle w:val="28"/>
              <w:bidi w:val="0"/>
            </w:pPr>
            <w:r>
              <w:t>—</w:t>
            </w:r>
          </w:p>
        </w:tc>
        <w:tc>
          <w:tcPr>
            <w:tcW w:w="308" w:type="pct"/>
            <w:tcBorders>
              <w:top w:val="single" w:color="000000" w:sz="4" w:space="0"/>
              <w:left w:val="single" w:color="000000" w:sz="4" w:space="0"/>
              <w:bottom w:val="single" w:color="000000" w:sz="4" w:space="0"/>
              <w:right w:val="single" w:color="000000" w:sz="4" w:space="0"/>
            </w:tcBorders>
            <w:vAlign w:val="center"/>
          </w:tcPr>
          <w:p w14:paraId="685BBF1F">
            <w:pPr>
              <w:pStyle w:val="28"/>
              <w:bidi w:val="0"/>
            </w:pPr>
            <w:r>
              <w:t>113939</w:t>
            </w:r>
          </w:p>
        </w:tc>
      </w:tr>
      <w:tr w14:paraId="6472047B">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547FF81F">
            <w:pPr>
              <w:pStyle w:val="28"/>
              <w:bidi w:val="0"/>
            </w:pPr>
            <w:r>
              <w:t>14</w:t>
            </w:r>
          </w:p>
        </w:tc>
        <w:tc>
          <w:tcPr>
            <w:tcW w:w="1747" w:type="pct"/>
            <w:tcBorders>
              <w:top w:val="single" w:color="000000" w:sz="4" w:space="0"/>
              <w:left w:val="single" w:color="000000" w:sz="4" w:space="0"/>
              <w:bottom w:val="single" w:color="000000" w:sz="4" w:space="0"/>
              <w:right w:val="single" w:color="000000" w:sz="4" w:space="0"/>
            </w:tcBorders>
            <w:vAlign w:val="center"/>
          </w:tcPr>
          <w:p w14:paraId="2CA89B97">
            <w:pPr>
              <w:pStyle w:val="28"/>
              <w:bidi w:val="0"/>
            </w:pPr>
            <w:r>
              <w:t>杨西分干渠东风支渠0+700～10+200续建配套与现代化改造工程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78171001">
            <w:pPr>
              <w:pStyle w:val="28"/>
              <w:bidi w:val="0"/>
            </w:pPr>
            <w:r>
              <w:t>51008</w:t>
            </w:r>
          </w:p>
        </w:tc>
        <w:tc>
          <w:tcPr>
            <w:tcW w:w="308" w:type="pct"/>
            <w:tcBorders>
              <w:top w:val="single" w:color="000000" w:sz="4" w:space="0"/>
              <w:left w:val="single" w:color="000000" w:sz="4" w:space="0"/>
              <w:bottom w:val="single" w:color="000000" w:sz="4" w:space="0"/>
              <w:right w:val="single" w:color="000000" w:sz="4" w:space="0"/>
            </w:tcBorders>
            <w:vAlign w:val="center"/>
          </w:tcPr>
          <w:p w14:paraId="2122B591">
            <w:pPr>
              <w:pStyle w:val="28"/>
              <w:bidi w:val="0"/>
            </w:pPr>
            <w:r>
              <w:t>12609</w:t>
            </w:r>
          </w:p>
        </w:tc>
        <w:tc>
          <w:tcPr>
            <w:tcW w:w="293" w:type="pct"/>
            <w:tcBorders>
              <w:top w:val="single" w:color="000000" w:sz="4" w:space="0"/>
              <w:left w:val="single" w:color="000000" w:sz="4" w:space="0"/>
              <w:bottom w:val="single" w:color="000000" w:sz="4" w:space="0"/>
              <w:right w:val="single" w:color="000000" w:sz="4" w:space="0"/>
            </w:tcBorders>
            <w:vAlign w:val="center"/>
          </w:tcPr>
          <w:p w14:paraId="13D977FC">
            <w:pPr>
              <w:pStyle w:val="28"/>
              <w:bidi w:val="0"/>
            </w:pPr>
            <w: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7F7B9624">
            <w:pPr>
              <w:pStyle w:val="28"/>
              <w:bidi w:val="0"/>
            </w:pPr>
            <w:r>
              <w:t>31011</w:t>
            </w:r>
          </w:p>
        </w:tc>
        <w:tc>
          <w:tcPr>
            <w:tcW w:w="293" w:type="pct"/>
            <w:tcBorders>
              <w:top w:val="single" w:color="000000" w:sz="4" w:space="0"/>
              <w:left w:val="single" w:color="000000" w:sz="4" w:space="0"/>
              <w:bottom w:val="single" w:color="000000" w:sz="4" w:space="0"/>
              <w:right w:val="single" w:color="000000" w:sz="4" w:space="0"/>
            </w:tcBorders>
            <w:vAlign w:val="center"/>
          </w:tcPr>
          <w:p w14:paraId="34EF46B6">
            <w:pPr>
              <w:pStyle w:val="28"/>
              <w:bidi w:val="0"/>
            </w:pPr>
            <w:r>
              <w:t>3644</w:t>
            </w:r>
          </w:p>
        </w:tc>
        <w:tc>
          <w:tcPr>
            <w:tcW w:w="293" w:type="pct"/>
            <w:tcBorders>
              <w:top w:val="single" w:color="000000" w:sz="4" w:space="0"/>
              <w:left w:val="single" w:color="000000" w:sz="4" w:space="0"/>
              <w:bottom w:val="single" w:color="000000" w:sz="4" w:space="0"/>
              <w:right w:val="single" w:color="000000" w:sz="4" w:space="0"/>
            </w:tcBorders>
            <w:vAlign w:val="center"/>
          </w:tcPr>
          <w:p w14:paraId="0BE6F160">
            <w:pPr>
              <w:pStyle w:val="28"/>
              <w:bidi w:val="0"/>
            </w:pPr>
            <w:r>
              <w:t>3644</w:t>
            </w:r>
          </w:p>
        </w:tc>
        <w:tc>
          <w:tcPr>
            <w:tcW w:w="293" w:type="pct"/>
            <w:tcBorders>
              <w:top w:val="single" w:color="000000" w:sz="4" w:space="0"/>
              <w:left w:val="single" w:color="000000" w:sz="4" w:space="0"/>
              <w:bottom w:val="single" w:color="000000" w:sz="4" w:space="0"/>
              <w:right w:val="single" w:color="000000" w:sz="4" w:space="0"/>
            </w:tcBorders>
            <w:vAlign w:val="center"/>
          </w:tcPr>
          <w:p w14:paraId="5826984E">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4F44B0CB">
            <w:pPr>
              <w:pStyle w:val="28"/>
              <w:bidi w:val="0"/>
            </w:pPr>
            <w:r>
              <w:t>3644</w:t>
            </w:r>
          </w:p>
        </w:tc>
        <w:tc>
          <w:tcPr>
            <w:tcW w:w="293" w:type="pct"/>
            <w:tcBorders>
              <w:top w:val="single" w:color="000000" w:sz="4" w:space="0"/>
              <w:left w:val="single" w:color="000000" w:sz="4" w:space="0"/>
              <w:bottom w:val="single" w:color="000000" w:sz="4" w:space="0"/>
              <w:right w:val="single" w:color="000000" w:sz="4" w:space="0"/>
            </w:tcBorders>
            <w:vAlign w:val="center"/>
          </w:tcPr>
          <w:p w14:paraId="56BAEBB3">
            <w:pPr>
              <w:pStyle w:val="28"/>
              <w:bidi w:val="0"/>
            </w:pPr>
            <w:r>
              <w:t>—</w:t>
            </w:r>
          </w:p>
        </w:tc>
        <w:tc>
          <w:tcPr>
            <w:tcW w:w="308" w:type="pct"/>
            <w:tcBorders>
              <w:top w:val="single" w:color="000000" w:sz="4" w:space="0"/>
              <w:left w:val="single" w:color="000000" w:sz="4" w:space="0"/>
              <w:bottom w:val="single" w:color="000000" w:sz="4" w:space="0"/>
              <w:right w:val="single" w:color="000000" w:sz="4" w:space="0"/>
            </w:tcBorders>
            <w:vAlign w:val="center"/>
          </w:tcPr>
          <w:p w14:paraId="250795DD">
            <w:pPr>
              <w:pStyle w:val="28"/>
              <w:bidi w:val="0"/>
            </w:pPr>
            <w:r>
              <w:t>34655</w:t>
            </w:r>
          </w:p>
        </w:tc>
      </w:tr>
      <w:tr w14:paraId="004AB3E2">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25B665C1">
            <w:pPr>
              <w:pStyle w:val="28"/>
              <w:bidi w:val="0"/>
            </w:pPr>
            <w:r>
              <w:t>15</w:t>
            </w:r>
          </w:p>
        </w:tc>
        <w:tc>
          <w:tcPr>
            <w:tcW w:w="1747" w:type="pct"/>
            <w:tcBorders>
              <w:top w:val="single" w:color="000000" w:sz="4" w:space="0"/>
              <w:left w:val="single" w:color="000000" w:sz="4" w:space="0"/>
              <w:bottom w:val="single" w:color="000000" w:sz="4" w:space="0"/>
              <w:right w:val="single" w:color="000000" w:sz="4" w:space="0"/>
            </w:tcBorders>
            <w:vAlign w:val="center"/>
          </w:tcPr>
          <w:p w14:paraId="0254C18C">
            <w:pPr>
              <w:pStyle w:val="28"/>
              <w:bidi w:val="0"/>
            </w:pPr>
            <w:r>
              <w:t>潜南干渠界河支渠0+000～7+780段续建配套与现代化改造工程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39E17E02">
            <w:pPr>
              <w:pStyle w:val="28"/>
              <w:bidi w:val="0"/>
            </w:pPr>
            <w:r>
              <w:t>20534</w:t>
            </w:r>
          </w:p>
        </w:tc>
        <w:tc>
          <w:tcPr>
            <w:tcW w:w="308" w:type="pct"/>
            <w:tcBorders>
              <w:top w:val="single" w:color="000000" w:sz="4" w:space="0"/>
              <w:left w:val="single" w:color="000000" w:sz="4" w:space="0"/>
              <w:bottom w:val="single" w:color="000000" w:sz="4" w:space="0"/>
              <w:right w:val="single" w:color="000000" w:sz="4" w:space="0"/>
            </w:tcBorders>
            <w:vAlign w:val="center"/>
          </w:tcPr>
          <w:p w14:paraId="319E3EC9">
            <w:pPr>
              <w:pStyle w:val="28"/>
              <w:bidi w:val="0"/>
            </w:pPr>
            <w:r>
              <w:t>6585</w:t>
            </w:r>
          </w:p>
        </w:tc>
        <w:tc>
          <w:tcPr>
            <w:tcW w:w="293" w:type="pct"/>
            <w:tcBorders>
              <w:top w:val="single" w:color="000000" w:sz="4" w:space="0"/>
              <w:left w:val="single" w:color="000000" w:sz="4" w:space="0"/>
              <w:bottom w:val="single" w:color="000000" w:sz="4" w:space="0"/>
              <w:right w:val="single" w:color="000000" w:sz="4" w:space="0"/>
            </w:tcBorders>
            <w:vAlign w:val="center"/>
          </w:tcPr>
          <w:p w14:paraId="4DAB8F6E">
            <w:pPr>
              <w:pStyle w:val="28"/>
              <w:bidi w:val="0"/>
            </w:pPr>
            <w:r>
              <w:t>3461</w:t>
            </w:r>
          </w:p>
        </w:tc>
        <w:tc>
          <w:tcPr>
            <w:tcW w:w="310" w:type="pct"/>
            <w:tcBorders>
              <w:top w:val="single" w:color="000000" w:sz="4" w:space="0"/>
              <w:left w:val="single" w:color="000000" w:sz="4" w:space="0"/>
              <w:bottom w:val="single" w:color="000000" w:sz="4" w:space="0"/>
              <w:right w:val="single" w:color="000000" w:sz="4" w:space="0"/>
            </w:tcBorders>
            <w:vAlign w:val="center"/>
          </w:tcPr>
          <w:p w14:paraId="5F1AD7F5">
            <w:pPr>
              <w:pStyle w:val="28"/>
              <w:bidi w:val="0"/>
            </w:pPr>
            <w:r>
              <w:t>17411</w:t>
            </w:r>
          </w:p>
        </w:tc>
        <w:tc>
          <w:tcPr>
            <w:tcW w:w="293" w:type="pct"/>
            <w:tcBorders>
              <w:top w:val="single" w:color="000000" w:sz="4" w:space="0"/>
              <w:left w:val="single" w:color="000000" w:sz="4" w:space="0"/>
              <w:bottom w:val="single" w:color="000000" w:sz="4" w:space="0"/>
              <w:right w:val="single" w:color="000000" w:sz="4" w:space="0"/>
            </w:tcBorders>
            <w:vAlign w:val="center"/>
          </w:tcPr>
          <w:p w14:paraId="78420364">
            <w:pPr>
              <w:pStyle w:val="28"/>
              <w:bidi w:val="0"/>
            </w:pPr>
            <w:r>
              <w:t>4717</w:t>
            </w:r>
          </w:p>
        </w:tc>
        <w:tc>
          <w:tcPr>
            <w:tcW w:w="293" w:type="pct"/>
            <w:tcBorders>
              <w:top w:val="single" w:color="000000" w:sz="4" w:space="0"/>
              <w:left w:val="single" w:color="000000" w:sz="4" w:space="0"/>
              <w:bottom w:val="single" w:color="000000" w:sz="4" w:space="0"/>
              <w:right w:val="single" w:color="000000" w:sz="4" w:space="0"/>
            </w:tcBorders>
            <w:vAlign w:val="center"/>
          </w:tcPr>
          <w:p w14:paraId="55C72A1C">
            <w:pPr>
              <w:pStyle w:val="28"/>
              <w:bidi w:val="0"/>
            </w:pPr>
            <w:r>
              <w:t>4717</w:t>
            </w:r>
          </w:p>
        </w:tc>
        <w:tc>
          <w:tcPr>
            <w:tcW w:w="293" w:type="pct"/>
            <w:tcBorders>
              <w:top w:val="single" w:color="000000" w:sz="4" w:space="0"/>
              <w:left w:val="single" w:color="000000" w:sz="4" w:space="0"/>
              <w:bottom w:val="single" w:color="000000" w:sz="4" w:space="0"/>
              <w:right w:val="single" w:color="000000" w:sz="4" w:space="0"/>
            </w:tcBorders>
            <w:vAlign w:val="center"/>
          </w:tcPr>
          <w:p w14:paraId="44C03214">
            <w:pPr>
              <w:pStyle w:val="28"/>
              <w:bidi w:val="0"/>
            </w:pPr>
            <w:r>
              <w:t>4717</w:t>
            </w:r>
          </w:p>
        </w:tc>
        <w:tc>
          <w:tcPr>
            <w:tcW w:w="295" w:type="pct"/>
            <w:tcBorders>
              <w:top w:val="single" w:color="000000" w:sz="4" w:space="0"/>
              <w:left w:val="single" w:color="000000" w:sz="4" w:space="0"/>
              <w:bottom w:val="single" w:color="000000" w:sz="4" w:space="0"/>
              <w:right w:val="single" w:color="000000" w:sz="4" w:space="0"/>
            </w:tcBorders>
            <w:vAlign w:val="center"/>
          </w:tcPr>
          <w:p w14:paraId="41ECB008">
            <w:pPr>
              <w:pStyle w:val="28"/>
              <w:bidi w:val="0"/>
            </w:pPr>
            <w:r>
              <w:t>4717</w:t>
            </w:r>
          </w:p>
        </w:tc>
        <w:tc>
          <w:tcPr>
            <w:tcW w:w="293" w:type="pct"/>
            <w:tcBorders>
              <w:top w:val="single" w:color="000000" w:sz="4" w:space="0"/>
              <w:left w:val="single" w:color="000000" w:sz="4" w:space="0"/>
              <w:bottom w:val="single" w:color="000000" w:sz="4" w:space="0"/>
              <w:right w:val="single" w:color="000000" w:sz="4" w:space="0"/>
            </w:tcBorders>
            <w:vAlign w:val="center"/>
          </w:tcPr>
          <w:p w14:paraId="166C70D5">
            <w:pPr>
              <w:pStyle w:val="28"/>
              <w:bidi w:val="0"/>
            </w:pPr>
            <w:r>
              <w:t>8178</w:t>
            </w:r>
          </w:p>
        </w:tc>
        <w:tc>
          <w:tcPr>
            <w:tcW w:w="308" w:type="pct"/>
            <w:tcBorders>
              <w:top w:val="single" w:color="000000" w:sz="4" w:space="0"/>
              <w:left w:val="single" w:color="000000" w:sz="4" w:space="0"/>
              <w:bottom w:val="single" w:color="000000" w:sz="4" w:space="0"/>
              <w:right w:val="single" w:color="000000" w:sz="4" w:space="0"/>
            </w:tcBorders>
            <w:vAlign w:val="center"/>
          </w:tcPr>
          <w:p w14:paraId="40F02820">
            <w:pPr>
              <w:pStyle w:val="28"/>
              <w:bidi w:val="0"/>
            </w:pPr>
            <w:r>
              <w:t>22128</w:t>
            </w:r>
          </w:p>
        </w:tc>
      </w:tr>
      <w:tr w14:paraId="256866D7">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50E4902C">
            <w:pPr>
              <w:pStyle w:val="28"/>
              <w:bidi w:val="0"/>
            </w:pPr>
            <w:r>
              <w:t>16</w:t>
            </w:r>
          </w:p>
        </w:tc>
        <w:tc>
          <w:tcPr>
            <w:tcW w:w="1747" w:type="pct"/>
            <w:tcBorders>
              <w:top w:val="single" w:color="000000" w:sz="4" w:space="0"/>
              <w:left w:val="single" w:color="000000" w:sz="4" w:space="0"/>
              <w:bottom w:val="single" w:color="000000" w:sz="4" w:space="0"/>
              <w:right w:val="single" w:color="000000" w:sz="4" w:space="0"/>
            </w:tcBorders>
            <w:vAlign w:val="center"/>
          </w:tcPr>
          <w:p w14:paraId="7F593552">
            <w:pPr>
              <w:pStyle w:val="28"/>
              <w:bidi w:val="0"/>
            </w:pPr>
            <w:r>
              <w:t>潜南干渠义河支渠0+000～5+750段续建配套与现代化改造工程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1009AF6E">
            <w:pPr>
              <w:pStyle w:val="28"/>
              <w:bidi w:val="0"/>
            </w:pPr>
            <w:r>
              <w:t>18859</w:t>
            </w:r>
          </w:p>
        </w:tc>
        <w:tc>
          <w:tcPr>
            <w:tcW w:w="308" w:type="pct"/>
            <w:tcBorders>
              <w:top w:val="single" w:color="000000" w:sz="4" w:space="0"/>
              <w:left w:val="single" w:color="000000" w:sz="4" w:space="0"/>
              <w:bottom w:val="single" w:color="000000" w:sz="4" w:space="0"/>
              <w:right w:val="single" w:color="000000" w:sz="4" w:space="0"/>
            </w:tcBorders>
            <w:vAlign w:val="center"/>
          </w:tcPr>
          <w:p w14:paraId="3E2EF392">
            <w:pPr>
              <w:pStyle w:val="28"/>
              <w:bidi w:val="0"/>
            </w:pPr>
            <w:r>
              <w:t>8030</w:t>
            </w:r>
          </w:p>
        </w:tc>
        <w:tc>
          <w:tcPr>
            <w:tcW w:w="293" w:type="pct"/>
            <w:tcBorders>
              <w:top w:val="single" w:color="000000" w:sz="4" w:space="0"/>
              <w:left w:val="single" w:color="000000" w:sz="4" w:space="0"/>
              <w:bottom w:val="single" w:color="000000" w:sz="4" w:space="0"/>
              <w:right w:val="single" w:color="000000" w:sz="4" w:space="0"/>
            </w:tcBorders>
            <w:vAlign w:val="center"/>
          </w:tcPr>
          <w:p w14:paraId="6F560880">
            <w:pPr>
              <w:pStyle w:val="28"/>
              <w:bidi w:val="0"/>
            </w:pPr>
            <w:r>
              <w:t>515</w:t>
            </w:r>
          </w:p>
        </w:tc>
        <w:tc>
          <w:tcPr>
            <w:tcW w:w="310" w:type="pct"/>
            <w:tcBorders>
              <w:top w:val="single" w:color="000000" w:sz="4" w:space="0"/>
              <w:left w:val="single" w:color="000000" w:sz="4" w:space="0"/>
              <w:bottom w:val="single" w:color="000000" w:sz="4" w:space="0"/>
              <w:right w:val="single" w:color="000000" w:sz="4" w:space="0"/>
            </w:tcBorders>
            <w:vAlign w:val="center"/>
          </w:tcPr>
          <w:p w14:paraId="0FE739B7">
            <w:pPr>
              <w:pStyle w:val="28"/>
              <w:bidi w:val="0"/>
            </w:pPr>
            <w:r>
              <w:t>11344</w:t>
            </w:r>
          </w:p>
        </w:tc>
        <w:tc>
          <w:tcPr>
            <w:tcW w:w="293" w:type="pct"/>
            <w:tcBorders>
              <w:top w:val="single" w:color="000000" w:sz="4" w:space="0"/>
              <w:left w:val="single" w:color="000000" w:sz="4" w:space="0"/>
              <w:bottom w:val="single" w:color="000000" w:sz="4" w:space="0"/>
              <w:right w:val="single" w:color="000000" w:sz="4" w:space="0"/>
            </w:tcBorders>
            <w:vAlign w:val="center"/>
          </w:tcPr>
          <w:p w14:paraId="55AE6159">
            <w:pPr>
              <w:pStyle w:val="28"/>
              <w:bidi w:val="0"/>
            </w:pPr>
            <w:r>
              <w:t>5340</w:t>
            </w:r>
          </w:p>
        </w:tc>
        <w:tc>
          <w:tcPr>
            <w:tcW w:w="293" w:type="pct"/>
            <w:tcBorders>
              <w:top w:val="single" w:color="000000" w:sz="4" w:space="0"/>
              <w:left w:val="single" w:color="000000" w:sz="4" w:space="0"/>
              <w:bottom w:val="single" w:color="000000" w:sz="4" w:space="0"/>
              <w:right w:val="single" w:color="000000" w:sz="4" w:space="0"/>
            </w:tcBorders>
            <w:vAlign w:val="center"/>
          </w:tcPr>
          <w:p w14:paraId="08CF20B4">
            <w:pPr>
              <w:pStyle w:val="28"/>
              <w:bidi w:val="0"/>
            </w:pPr>
            <w:r>
              <w:t>5340</w:t>
            </w:r>
          </w:p>
        </w:tc>
        <w:tc>
          <w:tcPr>
            <w:tcW w:w="293" w:type="pct"/>
            <w:tcBorders>
              <w:top w:val="single" w:color="000000" w:sz="4" w:space="0"/>
              <w:left w:val="single" w:color="000000" w:sz="4" w:space="0"/>
              <w:bottom w:val="single" w:color="000000" w:sz="4" w:space="0"/>
              <w:right w:val="single" w:color="000000" w:sz="4" w:space="0"/>
            </w:tcBorders>
            <w:vAlign w:val="center"/>
          </w:tcPr>
          <w:p w14:paraId="78370694">
            <w:pPr>
              <w:pStyle w:val="28"/>
              <w:bidi w:val="0"/>
            </w:pPr>
            <w:r>
              <w:t>5340</w:t>
            </w:r>
          </w:p>
        </w:tc>
        <w:tc>
          <w:tcPr>
            <w:tcW w:w="295" w:type="pct"/>
            <w:tcBorders>
              <w:top w:val="single" w:color="000000" w:sz="4" w:space="0"/>
              <w:left w:val="single" w:color="000000" w:sz="4" w:space="0"/>
              <w:bottom w:val="single" w:color="000000" w:sz="4" w:space="0"/>
              <w:right w:val="single" w:color="000000" w:sz="4" w:space="0"/>
            </w:tcBorders>
            <w:vAlign w:val="center"/>
          </w:tcPr>
          <w:p w14:paraId="1A4ACC44">
            <w:pPr>
              <w:pStyle w:val="28"/>
              <w:bidi w:val="0"/>
            </w:pPr>
            <w:r>
              <w:t>5340</w:t>
            </w:r>
          </w:p>
        </w:tc>
        <w:tc>
          <w:tcPr>
            <w:tcW w:w="293" w:type="pct"/>
            <w:tcBorders>
              <w:top w:val="single" w:color="000000" w:sz="4" w:space="0"/>
              <w:left w:val="single" w:color="000000" w:sz="4" w:space="0"/>
              <w:bottom w:val="single" w:color="000000" w:sz="4" w:space="0"/>
              <w:right w:val="single" w:color="000000" w:sz="4" w:space="0"/>
            </w:tcBorders>
            <w:vAlign w:val="center"/>
          </w:tcPr>
          <w:p w14:paraId="74934941">
            <w:pPr>
              <w:pStyle w:val="28"/>
              <w:bidi w:val="0"/>
            </w:pPr>
            <w:r>
              <w:t>5855</w:t>
            </w:r>
          </w:p>
        </w:tc>
        <w:tc>
          <w:tcPr>
            <w:tcW w:w="308" w:type="pct"/>
            <w:tcBorders>
              <w:top w:val="single" w:color="000000" w:sz="4" w:space="0"/>
              <w:left w:val="single" w:color="000000" w:sz="4" w:space="0"/>
              <w:bottom w:val="single" w:color="000000" w:sz="4" w:space="0"/>
              <w:right w:val="single" w:color="000000" w:sz="4" w:space="0"/>
            </w:tcBorders>
            <w:vAlign w:val="center"/>
          </w:tcPr>
          <w:p w14:paraId="62A7EC57">
            <w:pPr>
              <w:pStyle w:val="28"/>
              <w:bidi w:val="0"/>
            </w:pPr>
            <w:r>
              <w:t>16684</w:t>
            </w:r>
          </w:p>
        </w:tc>
      </w:tr>
      <w:tr w14:paraId="57CE2F2C">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149E5A00">
            <w:pPr>
              <w:pStyle w:val="28"/>
              <w:bidi w:val="0"/>
            </w:pPr>
            <w:r>
              <w:t>17</w:t>
            </w:r>
          </w:p>
        </w:tc>
        <w:tc>
          <w:tcPr>
            <w:tcW w:w="1747" w:type="pct"/>
            <w:tcBorders>
              <w:top w:val="single" w:color="000000" w:sz="4" w:space="0"/>
              <w:left w:val="single" w:color="000000" w:sz="4" w:space="0"/>
              <w:bottom w:val="single" w:color="000000" w:sz="4" w:space="0"/>
              <w:right w:val="single" w:color="000000" w:sz="4" w:space="0"/>
            </w:tcBorders>
            <w:vAlign w:val="center"/>
          </w:tcPr>
          <w:p w14:paraId="2031F8E3">
            <w:pPr>
              <w:pStyle w:val="28"/>
              <w:bidi w:val="0"/>
            </w:pPr>
            <w:r>
              <w:t>潜南干渠袁店支渠0+000～6+000段续建配套与现代化改造工程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4845C656">
            <w:pPr>
              <w:pStyle w:val="28"/>
              <w:bidi w:val="0"/>
            </w:pPr>
            <w:r>
              <w:t>16808</w:t>
            </w:r>
          </w:p>
        </w:tc>
        <w:tc>
          <w:tcPr>
            <w:tcW w:w="308" w:type="pct"/>
            <w:tcBorders>
              <w:top w:val="single" w:color="000000" w:sz="4" w:space="0"/>
              <w:left w:val="single" w:color="000000" w:sz="4" w:space="0"/>
              <w:bottom w:val="single" w:color="000000" w:sz="4" w:space="0"/>
              <w:right w:val="single" w:color="000000" w:sz="4" w:space="0"/>
            </w:tcBorders>
            <w:vAlign w:val="center"/>
          </w:tcPr>
          <w:p w14:paraId="1D8187EE">
            <w:pPr>
              <w:pStyle w:val="28"/>
              <w:bidi w:val="0"/>
            </w:pPr>
            <w:r>
              <w:t>7378</w:t>
            </w:r>
          </w:p>
        </w:tc>
        <w:tc>
          <w:tcPr>
            <w:tcW w:w="293" w:type="pct"/>
            <w:tcBorders>
              <w:top w:val="single" w:color="000000" w:sz="4" w:space="0"/>
              <w:left w:val="single" w:color="000000" w:sz="4" w:space="0"/>
              <w:bottom w:val="single" w:color="000000" w:sz="4" w:space="0"/>
              <w:right w:val="single" w:color="000000" w:sz="4" w:space="0"/>
            </w:tcBorders>
            <w:vAlign w:val="center"/>
          </w:tcPr>
          <w:p w14:paraId="2F7CD114">
            <w:pPr>
              <w:pStyle w:val="28"/>
              <w:bidi w:val="0"/>
            </w:pPr>
            <w:r>
              <w:t>4906</w:t>
            </w:r>
          </w:p>
        </w:tc>
        <w:tc>
          <w:tcPr>
            <w:tcW w:w="310" w:type="pct"/>
            <w:tcBorders>
              <w:top w:val="single" w:color="000000" w:sz="4" w:space="0"/>
              <w:left w:val="single" w:color="000000" w:sz="4" w:space="0"/>
              <w:bottom w:val="single" w:color="000000" w:sz="4" w:space="0"/>
              <w:right w:val="single" w:color="000000" w:sz="4" w:space="0"/>
            </w:tcBorders>
            <w:vAlign w:val="center"/>
          </w:tcPr>
          <w:p w14:paraId="0A2B37E4">
            <w:pPr>
              <w:pStyle w:val="28"/>
              <w:bidi w:val="0"/>
            </w:pPr>
            <w:r>
              <w:t>14336</w:t>
            </w:r>
          </w:p>
        </w:tc>
        <w:tc>
          <w:tcPr>
            <w:tcW w:w="293" w:type="pct"/>
            <w:tcBorders>
              <w:top w:val="single" w:color="000000" w:sz="4" w:space="0"/>
              <w:left w:val="single" w:color="000000" w:sz="4" w:space="0"/>
              <w:bottom w:val="single" w:color="000000" w:sz="4" w:space="0"/>
              <w:right w:val="single" w:color="000000" w:sz="4" w:space="0"/>
            </w:tcBorders>
            <w:vAlign w:val="center"/>
          </w:tcPr>
          <w:p w14:paraId="5DECEF55">
            <w:pPr>
              <w:pStyle w:val="28"/>
              <w:bidi w:val="0"/>
            </w:pPr>
            <w:r>
              <w:t>3230</w:t>
            </w:r>
          </w:p>
        </w:tc>
        <w:tc>
          <w:tcPr>
            <w:tcW w:w="293" w:type="pct"/>
            <w:tcBorders>
              <w:top w:val="single" w:color="000000" w:sz="4" w:space="0"/>
              <w:left w:val="single" w:color="000000" w:sz="4" w:space="0"/>
              <w:bottom w:val="single" w:color="000000" w:sz="4" w:space="0"/>
              <w:right w:val="single" w:color="000000" w:sz="4" w:space="0"/>
            </w:tcBorders>
            <w:vAlign w:val="center"/>
          </w:tcPr>
          <w:p w14:paraId="56140114">
            <w:pPr>
              <w:pStyle w:val="28"/>
              <w:bidi w:val="0"/>
            </w:pPr>
            <w:r>
              <w:t>3230</w:t>
            </w:r>
          </w:p>
        </w:tc>
        <w:tc>
          <w:tcPr>
            <w:tcW w:w="293" w:type="pct"/>
            <w:tcBorders>
              <w:top w:val="single" w:color="000000" w:sz="4" w:space="0"/>
              <w:left w:val="single" w:color="000000" w:sz="4" w:space="0"/>
              <w:bottom w:val="single" w:color="000000" w:sz="4" w:space="0"/>
              <w:right w:val="single" w:color="000000" w:sz="4" w:space="0"/>
            </w:tcBorders>
            <w:vAlign w:val="center"/>
          </w:tcPr>
          <w:p w14:paraId="2FA2BB25">
            <w:pPr>
              <w:pStyle w:val="28"/>
              <w:bidi w:val="0"/>
            </w:pPr>
            <w:r>
              <w:t>3230</w:t>
            </w:r>
          </w:p>
        </w:tc>
        <w:tc>
          <w:tcPr>
            <w:tcW w:w="295" w:type="pct"/>
            <w:tcBorders>
              <w:top w:val="single" w:color="000000" w:sz="4" w:space="0"/>
              <w:left w:val="single" w:color="000000" w:sz="4" w:space="0"/>
              <w:bottom w:val="single" w:color="000000" w:sz="4" w:space="0"/>
              <w:right w:val="single" w:color="000000" w:sz="4" w:space="0"/>
            </w:tcBorders>
            <w:vAlign w:val="center"/>
          </w:tcPr>
          <w:p w14:paraId="59D05ACE">
            <w:pPr>
              <w:pStyle w:val="28"/>
              <w:bidi w:val="0"/>
            </w:pPr>
            <w:r>
              <w:t>3230</w:t>
            </w:r>
          </w:p>
        </w:tc>
        <w:tc>
          <w:tcPr>
            <w:tcW w:w="293" w:type="pct"/>
            <w:tcBorders>
              <w:top w:val="single" w:color="000000" w:sz="4" w:space="0"/>
              <w:left w:val="single" w:color="000000" w:sz="4" w:space="0"/>
              <w:bottom w:val="single" w:color="000000" w:sz="4" w:space="0"/>
              <w:right w:val="single" w:color="000000" w:sz="4" w:space="0"/>
            </w:tcBorders>
            <w:vAlign w:val="center"/>
          </w:tcPr>
          <w:p w14:paraId="5928DAB5">
            <w:pPr>
              <w:pStyle w:val="28"/>
              <w:bidi w:val="0"/>
            </w:pPr>
            <w:r>
              <w:t>8136</w:t>
            </w:r>
          </w:p>
        </w:tc>
        <w:tc>
          <w:tcPr>
            <w:tcW w:w="308" w:type="pct"/>
            <w:tcBorders>
              <w:top w:val="single" w:color="000000" w:sz="4" w:space="0"/>
              <w:left w:val="single" w:color="000000" w:sz="4" w:space="0"/>
              <w:bottom w:val="single" w:color="000000" w:sz="4" w:space="0"/>
              <w:right w:val="single" w:color="000000" w:sz="4" w:space="0"/>
            </w:tcBorders>
            <w:vAlign w:val="center"/>
          </w:tcPr>
          <w:p w14:paraId="446B0F4C">
            <w:pPr>
              <w:pStyle w:val="28"/>
              <w:bidi w:val="0"/>
            </w:pPr>
            <w:r>
              <w:t>17566</w:t>
            </w:r>
          </w:p>
        </w:tc>
      </w:tr>
      <w:tr w14:paraId="5593F5A0">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1CCD2FA1">
            <w:pPr>
              <w:pStyle w:val="28"/>
              <w:bidi w:val="0"/>
            </w:pPr>
            <w:r>
              <w:t>18</w:t>
            </w:r>
          </w:p>
        </w:tc>
        <w:tc>
          <w:tcPr>
            <w:tcW w:w="1747" w:type="pct"/>
            <w:tcBorders>
              <w:top w:val="single" w:color="000000" w:sz="4" w:space="0"/>
              <w:left w:val="single" w:color="000000" w:sz="4" w:space="0"/>
              <w:bottom w:val="single" w:color="000000" w:sz="4" w:space="0"/>
              <w:right w:val="single" w:color="000000" w:sz="4" w:space="0"/>
            </w:tcBorders>
            <w:vAlign w:val="center"/>
          </w:tcPr>
          <w:p w14:paraId="740415FD">
            <w:pPr>
              <w:pStyle w:val="28"/>
              <w:bidi w:val="0"/>
            </w:pPr>
            <w:r>
              <w:t>潜南干渠堰西支渠0+000～11+440段续建配套与现代化改造工程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5C658315">
            <w:pPr>
              <w:pStyle w:val="28"/>
              <w:bidi w:val="0"/>
            </w:pPr>
            <w:r>
              <w:t>4323</w:t>
            </w:r>
          </w:p>
        </w:tc>
        <w:tc>
          <w:tcPr>
            <w:tcW w:w="308" w:type="pct"/>
            <w:tcBorders>
              <w:top w:val="single" w:color="000000" w:sz="4" w:space="0"/>
              <w:left w:val="single" w:color="000000" w:sz="4" w:space="0"/>
              <w:bottom w:val="single" w:color="000000" w:sz="4" w:space="0"/>
              <w:right w:val="single" w:color="000000" w:sz="4" w:space="0"/>
            </w:tcBorders>
            <w:vAlign w:val="center"/>
          </w:tcPr>
          <w:p w14:paraId="4346B270">
            <w:pPr>
              <w:pStyle w:val="28"/>
              <w:bidi w:val="0"/>
            </w:pPr>
            <w:r>
              <w:t>1383</w:t>
            </w:r>
          </w:p>
        </w:tc>
        <w:tc>
          <w:tcPr>
            <w:tcW w:w="293" w:type="pct"/>
            <w:tcBorders>
              <w:top w:val="single" w:color="000000" w:sz="4" w:space="0"/>
              <w:left w:val="single" w:color="000000" w:sz="4" w:space="0"/>
              <w:bottom w:val="single" w:color="000000" w:sz="4" w:space="0"/>
              <w:right w:val="single" w:color="000000" w:sz="4" w:space="0"/>
            </w:tcBorders>
            <w:vAlign w:val="center"/>
          </w:tcPr>
          <w:p w14:paraId="64982BCB">
            <w:pPr>
              <w:pStyle w:val="28"/>
              <w:bidi w:val="0"/>
            </w:pPr>
            <w:r>
              <w:t>678</w:t>
            </w:r>
          </w:p>
        </w:tc>
        <w:tc>
          <w:tcPr>
            <w:tcW w:w="310" w:type="pct"/>
            <w:tcBorders>
              <w:top w:val="single" w:color="000000" w:sz="4" w:space="0"/>
              <w:left w:val="single" w:color="000000" w:sz="4" w:space="0"/>
              <w:bottom w:val="single" w:color="000000" w:sz="4" w:space="0"/>
              <w:right w:val="single" w:color="000000" w:sz="4" w:space="0"/>
            </w:tcBorders>
            <w:vAlign w:val="center"/>
          </w:tcPr>
          <w:p w14:paraId="52090FF9">
            <w:pPr>
              <w:pStyle w:val="28"/>
              <w:bidi w:val="0"/>
            </w:pPr>
            <w:r>
              <w:t>3618</w:t>
            </w:r>
          </w:p>
        </w:tc>
        <w:tc>
          <w:tcPr>
            <w:tcW w:w="293" w:type="pct"/>
            <w:tcBorders>
              <w:top w:val="single" w:color="000000" w:sz="4" w:space="0"/>
              <w:left w:val="single" w:color="000000" w:sz="4" w:space="0"/>
              <w:bottom w:val="single" w:color="000000" w:sz="4" w:space="0"/>
              <w:right w:val="single" w:color="000000" w:sz="4" w:space="0"/>
            </w:tcBorders>
            <w:vAlign w:val="center"/>
          </w:tcPr>
          <w:p w14:paraId="55C2B747">
            <w:pPr>
              <w:pStyle w:val="28"/>
              <w:bidi w:val="0"/>
            </w:pPr>
            <w:r>
              <w:t>429</w:t>
            </w:r>
          </w:p>
        </w:tc>
        <w:tc>
          <w:tcPr>
            <w:tcW w:w="293" w:type="pct"/>
            <w:tcBorders>
              <w:top w:val="single" w:color="000000" w:sz="4" w:space="0"/>
              <w:left w:val="single" w:color="000000" w:sz="4" w:space="0"/>
              <w:bottom w:val="single" w:color="000000" w:sz="4" w:space="0"/>
              <w:right w:val="single" w:color="000000" w:sz="4" w:space="0"/>
            </w:tcBorders>
            <w:vAlign w:val="center"/>
          </w:tcPr>
          <w:p w14:paraId="1D9737C4">
            <w:pPr>
              <w:pStyle w:val="28"/>
              <w:bidi w:val="0"/>
            </w:pPr>
            <w:r>
              <w:t>429</w:t>
            </w:r>
          </w:p>
        </w:tc>
        <w:tc>
          <w:tcPr>
            <w:tcW w:w="293" w:type="pct"/>
            <w:tcBorders>
              <w:top w:val="single" w:color="000000" w:sz="4" w:space="0"/>
              <w:left w:val="single" w:color="000000" w:sz="4" w:space="0"/>
              <w:bottom w:val="single" w:color="000000" w:sz="4" w:space="0"/>
              <w:right w:val="single" w:color="000000" w:sz="4" w:space="0"/>
            </w:tcBorders>
            <w:vAlign w:val="center"/>
          </w:tcPr>
          <w:p w14:paraId="07C21ADA">
            <w:pPr>
              <w:pStyle w:val="28"/>
              <w:bidi w:val="0"/>
            </w:pPr>
            <w:r>
              <w:t>429</w:t>
            </w:r>
          </w:p>
        </w:tc>
        <w:tc>
          <w:tcPr>
            <w:tcW w:w="295" w:type="pct"/>
            <w:tcBorders>
              <w:top w:val="single" w:color="000000" w:sz="4" w:space="0"/>
              <w:left w:val="single" w:color="000000" w:sz="4" w:space="0"/>
              <w:bottom w:val="single" w:color="000000" w:sz="4" w:space="0"/>
              <w:right w:val="single" w:color="000000" w:sz="4" w:space="0"/>
            </w:tcBorders>
            <w:vAlign w:val="center"/>
          </w:tcPr>
          <w:p w14:paraId="49F8324F">
            <w:pPr>
              <w:pStyle w:val="28"/>
              <w:bidi w:val="0"/>
            </w:pPr>
            <w:r>
              <w:t>429</w:t>
            </w:r>
          </w:p>
        </w:tc>
        <w:tc>
          <w:tcPr>
            <w:tcW w:w="293" w:type="pct"/>
            <w:tcBorders>
              <w:top w:val="single" w:color="000000" w:sz="4" w:space="0"/>
              <w:left w:val="single" w:color="000000" w:sz="4" w:space="0"/>
              <w:bottom w:val="single" w:color="000000" w:sz="4" w:space="0"/>
              <w:right w:val="single" w:color="000000" w:sz="4" w:space="0"/>
            </w:tcBorders>
            <w:vAlign w:val="center"/>
          </w:tcPr>
          <w:p w14:paraId="42A44234">
            <w:pPr>
              <w:pStyle w:val="28"/>
              <w:bidi w:val="0"/>
            </w:pPr>
            <w:r>
              <w:t>1107</w:t>
            </w:r>
          </w:p>
        </w:tc>
        <w:tc>
          <w:tcPr>
            <w:tcW w:w="308" w:type="pct"/>
            <w:tcBorders>
              <w:top w:val="single" w:color="000000" w:sz="4" w:space="0"/>
              <w:left w:val="single" w:color="000000" w:sz="4" w:space="0"/>
              <w:bottom w:val="single" w:color="000000" w:sz="4" w:space="0"/>
              <w:right w:val="single" w:color="000000" w:sz="4" w:space="0"/>
            </w:tcBorders>
            <w:vAlign w:val="center"/>
          </w:tcPr>
          <w:p w14:paraId="01875881">
            <w:pPr>
              <w:pStyle w:val="28"/>
              <w:bidi w:val="0"/>
            </w:pPr>
            <w:r>
              <w:t>4047</w:t>
            </w:r>
          </w:p>
        </w:tc>
      </w:tr>
      <w:tr w14:paraId="3424E795">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42541040">
            <w:pPr>
              <w:pStyle w:val="28"/>
              <w:bidi w:val="0"/>
            </w:pPr>
            <w:r>
              <w:t>19</w:t>
            </w:r>
          </w:p>
        </w:tc>
        <w:tc>
          <w:tcPr>
            <w:tcW w:w="1747" w:type="pct"/>
            <w:tcBorders>
              <w:top w:val="single" w:color="000000" w:sz="4" w:space="0"/>
              <w:left w:val="single" w:color="000000" w:sz="4" w:space="0"/>
              <w:bottom w:val="single" w:color="000000" w:sz="4" w:space="0"/>
              <w:right w:val="single" w:color="000000" w:sz="4" w:space="0"/>
            </w:tcBorders>
            <w:vAlign w:val="center"/>
          </w:tcPr>
          <w:p w14:paraId="7EDF1632">
            <w:pPr>
              <w:pStyle w:val="28"/>
              <w:bidi w:val="0"/>
            </w:pPr>
            <w:r>
              <w:t>众兴分干渠双庙支渠（0+650～5+135）续建配套与现代化改造工程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67D63208">
            <w:pPr>
              <w:pStyle w:val="28"/>
              <w:bidi w:val="0"/>
            </w:pPr>
            <w:r>
              <w:t>35493</w:t>
            </w:r>
          </w:p>
        </w:tc>
        <w:tc>
          <w:tcPr>
            <w:tcW w:w="308" w:type="pct"/>
            <w:tcBorders>
              <w:top w:val="single" w:color="000000" w:sz="4" w:space="0"/>
              <w:left w:val="single" w:color="000000" w:sz="4" w:space="0"/>
              <w:bottom w:val="single" w:color="000000" w:sz="4" w:space="0"/>
              <w:right w:val="single" w:color="000000" w:sz="4" w:space="0"/>
            </w:tcBorders>
            <w:vAlign w:val="center"/>
          </w:tcPr>
          <w:p w14:paraId="12F37780">
            <w:pPr>
              <w:pStyle w:val="28"/>
              <w:bidi w:val="0"/>
            </w:pPr>
            <w:r>
              <w:t>17844</w:t>
            </w:r>
          </w:p>
        </w:tc>
        <w:tc>
          <w:tcPr>
            <w:tcW w:w="293" w:type="pct"/>
            <w:tcBorders>
              <w:top w:val="single" w:color="000000" w:sz="4" w:space="0"/>
              <w:left w:val="single" w:color="000000" w:sz="4" w:space="0"/>
              <w:bottom w:val="single" w:color="000000" w:sz="4" w:space="0"/>
              <w:right w:val="single" w:color="000000" w:sz="4" w:space="0"/>
            </w:tcBorders>
            <w:vAlign w:val="center"/>
          </w:tcPr>
          <w:p w14:paraId="65029022">
            <w:pPr>
              <w:pStyle w:val="28"/>
              <w:bidi w:val="0"/>
            </w:pPr>
            <w:r>
              <w:t>9095</w:t>
            </w:r>
          </w:p>
        </w:tc>
        <w:tc>
          <w:tcPr>
            <w:tcW w:w="310" w:type="pct"/>
            <w:tcBorders>
              <w:top w:val="single" w:color="000000" w:sz="4" w:space="0"/>
              <w:left w:val="single" w:color="000000" w:sz="4" w:space="0"/>
              <w:bottom w:val="single" w:color="000000" w:sz="4" w:space="0"/>
              <w:right w:val="single" w:color="000000" w:sz="4" w:space="0"/>
            </w:tcBorders>
            <w:vAlign w:val="center"/>
          </w:tcPr>
          <w:p w14:paraId="38FA71AE">
            <w:pPr>
              <w:pStyle w:val="28"/>
              <w:bidi w:val="0"/>
            </w:pPr>
            <w:r>
              <w:t>27547</w:t>
            </w:r>
          </w:p>
        </w:tc>
        <w:tc>
          <w:tcPr>
            <w:tcW w:w="293" w:type="pct"/>
            <w:tcBorders>
              <w:top w:val="single" w:color="000000" w:sz="4" w:space="0"/>
              <w:left w:val="single" w:color="000000" w:sz="4" w:space="0"/>
              <w:bottom w:val="single" w:color="000000" w:sz="4" w:space="0"/>
              <w:right w:val="single" w:color="000000" w:sz="4" w:space="0"/>
            </w:tcBorders>
            <w:vAlign w:val="center"/>
          </w:tcPr>
          <w:p w14:paraId="71202C6E">
            <w:pPr>
              <w:pStyle w:val="28"/>
              <w:bidi w:val="0"/>
            </w:pPr>
            <w:r>
              <w:t>1000</w:t>
            </w:r>
          </w:p>
        </w:tc>
        <w:tc>
          <w:tcPr>
            <w:tcW w:w="293" w:type="pct"/>
            <w:tcBorders>
              <w:top w:val="single" w:color="000000" w:sz="4" w:space="0"/>
              <w:left w:val="single" w:color="000000" w:sz="4" w:space="0"/>
              <w:bottom w:val="single" w:color="000000" w:sz="4" w:space="0"/>
              <w:right w:val="single" w:color="000000" w:sz="4" w:space="0"/>
            </w:tcBorders>
            <w:vAlign w:val="center"/>
          </w:tcPr>
          <w:p w14:paraId="4C70D235">
            <w:pPr>
              <w:pStyle w:val="28"/>
              <w:bidi w:val="0"/>
            </w:pPr>
            <w:r>
              <w:t>1000</w:t>
            </w:r>
          </w:p>
        </w:tc>
        <w:tc>
          <w:tcPr>
            <w:tcW w:w="293" w:type="pct"/>
            <w:tcBorders>
              <w:top w:val="single" w:color="000000" w:sz="4" w:space="0"/>
              <w:left w:val="single" w:color="000000" w:sz="4" w:space="0"/>
              <w:bottom w:val="single" w:color="000000" w:sz="4" w:space="0"/>
              <w:right w:val="single" w:color="000000" w:sz="4" w:space="0"/>
            </w:tcBorders>
            <w:vAlign w:val="center"/>
          </w:tcPr>
          <w:p w14:paraId="7D6C8CBE">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0EFD9D20">
            <w:pPr>
              <w:pStyle w:val="28"/>
              <w:bidi w:val="0"/>
            </w:pPr>
            <w:r>
              <w:t>—</w:t>
            </w:r>
          </w:p>
        </w:tc>
        <w:tc>
          <w:tcPr>
            <w:tcW w:w="293" w:type="pct"/>
            <w:tcBorders>
              <w:top w:val="single" w:color="000000" w:sz="4" w:space="0"/>
              <w:left w:val="single" w:color="000000" w:sz="4" w:space="0"/>
              <w:bottom w:val="single" w:color="000000" w:sz="4" w:space="0"/>
              <w:right w:val="single" w:color="000000" w:sz="4" w:space="0"/>
            </w:tcBorders>
            <w:vAlign w:val="center"/>
          </w:tcPr>
          <w:p w14:paraId="4775840E">
            <w:pPr>
              <w:pStyle w:val="28"/>
              <w:bidi w:val="0"/>
            </w:pPr>
            <w:r>
              <w:t>9095</w:t>
            </w:r>
          </w:p>
        </w:tc>
        <w:tc>
          <w:tcPr>
            <w:tcW w:w="308" w:type="pct"/>
            <w:tcBorders>
              <w:top w:val="single" w:color="000000" w:sz="4" w:space="0"/>
              <w:left w:val="single" w:color="000000" w:sz="4" w:space="0"/>
              <w:bottom w:val="single" w:color="000000" w:sz="4" w:space="0"/>
              <w:right w:val="single" w:color="000000" w:sz="4" w:space="0"/>
            </w:tcBorders>
            <w:vAlign w:val="center"/>
          </w:tcPr>
          <w:p w14:paraId="0EEBD31E">
            <w:pPr>
              <w:pStyle w:val="28"/>
              <w:bidi w:val="0"/>
            </w:pPr>
            <w:r>
              <w:t>27547</w:t>
            </w:r>
          </w:p>
        </w:tc>
      </w:tr>
      <w:tr w14:paraId="445A9592">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579263CF">
            <w:pPr>
              <w:pStyle w:val="28"/>
              <w:bidi w:val="0"/>
            </w:pPr>
            <w:r>
              <w:t>20</w:t>
            </w:r>
          </w:p>
        </w:tc>
        <w:tc>
          <w:tcPr>
            <w:tcW w:w="1747" w:type="pct"/>
            <w:tcBorders>
              <w:top w:val="single" w:color="000000" w:sz="4" w:space="0"/>
              <w:left w:val="single" w:color="000000" w:sz="4" w:space="0"/>
              <w:bottom w:val="single" w:color="000000" w:sz="4" w:space="0"/>
              <w:right w:val="single" w:color="000000" w:sz="4" w:space="0"/>
            </w:tcBorders>
            <w:vAlign w:val="center"/>
          </w:tcPr>
          <w:p w14:paraId="58DC9CA6">
            <w:pPr>
              <w:pStyle w:val="28"/>
              <w:bidi w:val="0"/>
            </w:pPr>
            <w:r>
              <w:t>众兴分干渠大高支渠0+000～6+800段续建配套与现代化改造工程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66BC1CD0">
            <w:pPr>
              <w:pStyle w:val="28"/>
              <w:bidi w:val="0"/>
            </w:pPr>
            <w:r>
              <w:t>103500</w:t>
            </w:r>
          </w:p>
        </w:tc>
        <w:tc>
          <w:tcPr>
            <w:tcW w:w="308" w:type="pct"/>
            <w:tcBorders>
              <w:top w:val="single" w:color="000000" w:sz="4" w:space="0"/>
              <w:left w:val="single" w:color="000000" w:sz="4" w:space="0"/>
              <w:bottom w:val="single" w:color="000000" w:sz="4" w:space="0"/>
              <w:right w:val="single" w:color="000000" w:sz="4" w:space="0"/>
            </w:tcBorders>
            <w:vAlign w:val="center"/>
          </w:tcPr>
          <w:p w14:paraId="2279BCA1">
            <w:pPr>
              <w:pStyle w:val="28"/>
              <w:bidi w:val="0"/>
            </w:pPr>
            <w:r>
              <w:t>59100</w:t>
            </w:r>
          </w:p>
        </w:tc>
        <w:tc>
          <w:tcPr>
            <w:tcW w:w="293" w:type="pct"/>
            <w:tcBorders>
              <w:top w:val="single" w:color="000000" w:sz="4" w:space="0"/>
              <w:left w:val="single" w:color="000000" w:sz="4" w:space="0"/>
              <w:bottom w:val="single" w:color="000000" w:sz="4" w:space="0"/>
              <w:right w:val="single" w:color="000000" w:sz="4" w:space="0"/>
            </w:tcBorders>
            <w:vAlign w:val="center"/>
          </w:tcPr>
          <w:p w14:paraId="3EFD2BFF">
            <w:pPr>
              <w:pStyle w:val="28"/>
              <w:bidi w:val="0"/>
            </w:pPr>
            <w: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3022EDD6">
            <w:pPr>
              <w:pStyle w:val="28"/>
              <w:bidi w:val="0"/>
            </w:pPr>
            <w:r>
              <w:t>41170</w:t>
            </w:r>
          </w:p>
        </w:tc>
        <w:tc>
          <w:tcPr>
            <w:tcW w:w="293" w:type="pct"/>
            <w:tcBorders>
              <w:top w:val="single" w:color="000000" w:sz="4" w:space="0"/>
              <w:left w:val="single" w:color="000000" w:sz="4" w:space="0"/>
              <w:bottom w:val="single" w:color="000000" w:sz="4" w:space="0"/>
              <w:right w:val="single" w:color="000000" w:sz="4" w:space="0"/>
            </w:tcBorders>
            <w:vAlign w:val="center"/>
          </w:tcPr>
          <w:p w14:paraId="2D90E028">
            <w:pPr>
              <w:pStyle w:val="28"/>
              <w:bidi w:val="0"/>
            </w:pPr>
            <w:r>
              <w:t>3230</w:t>
            </w:r>
          </w:p>
        </w:tc>
        <w:tc>
          <w:tcPr>
            <w:tcW w:w="293" w:type="pct"/>
            <w:tcBorders>
              <w:top w:val="single" w:color="000000" w:sz="4" w:space="0"/>
              <w:left w:val="single" w:color="000000" w:sz="4" w:space="0"/>
              <w:bottom w:val="single" w:color="000000" w:sz="4" w:space="0"/>
              <w:right w:val="single" w:color="000000" w:sz="4" w:space="0"/>
            </w:tcBorders>
            <w:vAlign w:val="center"/>
          </w:tcPr>
          <w:p w14:paraId="514E25CD">
            <w:pPr>
              <w:pStyle w:val="28"/>
              <w:bidi w:val="0"/>
            </w:pPr>
            <w:r>
              <w:t>3230</w:t>
            </w:r>
          </w:p>
        </w:tc>
        <w:tc>
          <w:tcPr>
            <w:tcW w:w="293" w:type="pct"/>
            <w:tcBorders>
              <w:top w:val="single" w:color="000000" w:sz="4" w:space="0"/>
              <w:left w:val="single" w:color="000000" w:sz="4" w:space="0"/>
              <w:bottom w:val="single" w:color="000000" w:sz="4" w:space="0"/>
              <w:right w:val="single" w:color="000000" w:sz="4" w:space="0"/>
            </w:tcBorders>
            <w:vAlign w:val="center"/>
          </w:tcPr>
          <w:p w14:paraId="36DD5F15">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722E299B">
            <w:pPr>
              <w:pStyle w:val="28"/>
              <w:bidi w:val="0"/>
            </w:pPr>
            <w:r>
              <w:t>3230</w:t>
            </w:r>
          </w:p>
        </w:tc>
        <w:tc>
          <w:tcPr>
            <w:tcW w:w="293" w:type="pct"/>
            <w:tcBorders>
              <w:top w:val="single" w:color="000000" w:sz="4" w:space="0"/>
              <w:left w:val="single" w:color="000000" w:sz="4" w:space="0"/>
              <w:bottom w:val="single" w:color="000000" w:sz="4" w:space="0"/>
              <w:right w:val="single" w:color="000000" w:sz="4" w:space="0"/>
            </w:tcBorders>
            <w:vAlign w:val="center"/>
          </w:tcPr>
          <w:p w14:paraId="29791A08">
            <w:pPr>
              <w:pStyle w:val="28"/>
              <w:bidi w:val="0"/>
            </w:pPr>
          </w:p>
        </w:tc>
        <w:tc>
          <w:tcPr>
            <w:tcW w:w="308" w:type="pct"/>
            <w:tcBorders>
              <w:top w:val="single" w:color="000000" w:sz="4" w:space="0"/>
              <w:left w:val="single" w:color="000000" w:sz="4" w:space="0"/>
              <w:bottom w:val="single" w:color="000000" w:sz="4" w:space="0"/>
              <w:right w:val="single" w:color="000000" w:sz="4" w:space="0"/>
            </w:tcBorders>
            <w:vAlign w:val="center"/>
          </w:tcPr>
          <w:p w14:paraId="258623DD">
            <w:pPr>
              <w:pStyle w:val="28"/>
              <w:bidi w:val="0"/>
            </w:pPr>
            <w:r>
              <w:t>44400</w:t>
            </w:r>
          </w:p>
        </w:tc>
      </w:tr>
      <w:tr w14:paraId="3FB0425C">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4F0F2BF2">
            <w:pPr>
              <w:pStyle w:val="28"/>
              <w:bidi w:val="0"/>
            </w:pPr>
            <w:r>
              <w:t>21</w:t>
            </w:r>
          </w:p>
        </w:tc>
        <w:tc>
          <w:tcPr>
            <w:tcW w:w="1747" w:type="pct"/>
            <w:tcBorders>
              <w:top w:val="single" w:color="000000" w:sz="4" w:space="0"/>
              <w:left w:val="single" w:color="000000" w:sz="4" w:space="0"/>
              <w:bottom w:val="single" w:color="000000" w:sz="4" w:space="0"/>
              <w:right w:val="single" w:color="000000" w:sz="4" w:space="0"/>
            </w:tcBorders>
            <w:vAlign w:val="center"/>
          </w:tcPr>
          <w:p w14:paraId="03E8717B">
            <w:pPr>
              <w:pStyle w:val="28"/>
              <w:bidi w:val="0"/>
            </w:pPr>
            <w:r>
              <w:t>众兴分干渠白龙支渠0+000～12+000段续建配套与现代化改造工程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12AEEE82">
            <w:pPr>
              <w:pStyle w:val="28"/>
              <w:bidi w:val="0"/>
            </w:pPr>
            <w:r>
              <w:t>64500</w:t>
            </w:r>
          </w:p>
        </w:tc>
        <w:tc>
          <w:tcPr>
            <w:tcW w:w="308" w:type="pct"/>
            <w:tcBorders>
              <w:top w:val="single" w:color="000000" w:sz="4" w:space="0"/>
              <w:left w:val="single" w:color="000000" w:sz="4" w:space="0"/>
              <w:bottom w:val="single" w:color="000000" w:sz="4" w:space="0"/>
              <w:right w:val="single" w:color="000000" w:sz="4" w:space="0"/>
            </w:tcBorders>
            <w:vAlign w:val="center"/>
          </w:tcPr>
          <w:p w14:paraId="7F4A8076">
            <w:pPr>
              <w:pStyle w:val="28"/>
              <w:bidi w:val="0"/>
            </w:pPr>
            <w:r>
              <w:t>44300</w:t>
            </w:r>
          </w:p>
        </w:tc>
        <w:tc>
          <w:tcPr>
            <w:tcW w:w="293" w:type="pct"/>
            <w:tcBorders>
              <w:top w:val="single" w:color="000000" w:sz="4" w:space="0"/>
              <w:left w:val="single" w:color="000000" w:sz="4" w:space="0"/>
              <w:bottom w:val="single" w:color="000000" w:sz="4" w:space="0"/>
              <w:right w:val="single" w:color="000000" w:sz="4" w:space="0"/>
            </w:tcBorders>
            <w:vAlign w:val="center"/>
          </w:tcPr>
          <w:p w14:paraId="5E8093F8">
            <w:pPr>
              <w:pStyle w:val="28"/>
              <w:bidi w:val="0"/>
            </w:pPr>
            <w: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3B15E209">
            <w:pPr>
              <w:pStyle w:val="28"/>
              <w:bidi w:val="0"/>
            </w:pPr>
            <w:r>
              <w:t>18290</w:t>
            </w:r>
          </w:p>
        </w:tc>
        <w:tc>
          <w:tcPr>
            <w:tcW w:w="293" w:type="pct"/>
            <w:tcBorders>
              <w:top w:val="single" w:color="000000" w:sz="4" w:space="0"/>
              <w:left w:val="single" w:color="000000" w:sz="4" w:space="0"/>
              <w:bottom w:val="single" w:color="000000" w:sz="4" w:space="0"/>
              <w:right w:val="single" w:color="000000" w:sz="4" w:space="0"/>
            </w:tcBorders>
            <w:vAlign w:val="center"/>
          </w:tcPr>
          <w:p w14:paraId="4ED328C5">
            <w:pPr>
              <w:pStyle w:val="28"/>
              <w:bidi w:val="0"/>
            </w:pPr>
            <w:r>
              <w:t>1910</w:t>
            </w:r>
          </w:p>
        </w:tc>
        <w:tc>
          <w:tcPr>
            <w:tcW w:w="293" w:type="pct"/>
            <w:tcBorders>
              <w:top w:val="single" w:color="000000" w:sz="4" w:space="0"/>
              <w:left w:val="single" w:color="000000" w:sz="4" w:space="0"/>
              <w:bottom w:val="single" w:color="000000" w:sz="4" w:space="0"/>
              <w:right w:val="single" w:color="000000" w:sz="4" w:space="0"/>
            </w:tcBorders>
            <w:vAlign w:val="center"/>
          </w:tcPr>
          <w:p w14:paraId="42A7E273">
            <w:pPr>
              <w:pStyle w:val="28"/>
              <w:bidi w:val="0"/>
            </w:pPr>
            <w:r>
              <w:t>1910</w:t>
            </w:r>
          </w:p>
        </w:tc>
        <w:tc>
          <w:tcPr>
            <w:tcW w:w="293" w:type="pct"/>
            <w:tcBorders>
              <w:top w:val="single" w:color="000000" w:sz="4" w:space="0"/>
              <w:left w:val="single" w:color="000000" w:sz="4" w:space="0"/>
              <w:bottom w:val="single" w:color="000000" w:sz="4" w:space="0"/>
              <w:right w:val="single" w:color="000000" w:sz="4" w:space="0"/>
            </w:tcBorders>
            <w:vAlign w:val="center"/>
          </w:tcPr>
          <w:p w14:paraId="6E4F6E8D">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2B4BDB21">
            <w:pPr>
              <w:pStyle w:val="28"/>
              <w:bidi w:val="0"/>
            </w:pPr>
            <w:r>
              <w:t>1910</w:t>
            </w:r>
          </w:p>
        </w:tc>
        <w:tc>
          <w:tcPr>
            <w:tcW w:w="293" w:type="pct"/>
            <w:tcBorders>
              <w:top w:val="single" w:color="000000" w:sz="4" w:space="0"/>
              <w:left w:val="single" w:color="000000" w:sz="4" w:space="0"/>
              <w:bottom w:val="single" w:color="000000" w:sz="4" w:space="0"/>
              <w:right w:val="single" w:color="000000" w:sz="4" w:space="0"/>
            </w:tcBorders>
            <w:vAlign w:val="center"/>
          </w:tcPr>
          <w:p w14:paraId="5D25D5BD">
            <w:pPr>
              <w:pStyle w:val="28"/>
              <w:bidi w:val="0"/>
            </w:pPr>
            <w:r>
              <w:t>—</w:t>
            </w:r>
          </w:p>
        </w:tc>
        <w:tc>
          <w:tcPr>
            <w:tcW w:w="308" w:type="pct"/>
            <w:tcBorders>
              <w:top w:val="single" w:color="000000" w:sz="4" w:space="0"/>
              <w:left w:val="single" w:color="000000" w:sz="4" w:space="0"/>
              <w:bottom w:val="single" w:color="000000" w:sz="4" w:space="0"/>
              <w:right w:val="single" w:color="000000" w:sz="4" w:space="0"/>
            </w:tcBorders>
            <w:vAlign w:val="center"/>
          </w:tcPr>
          <w:p w14:paraId="2FB738AA">
            <w:pPr>
              <w:pStyle w:val="28"/>
              <w:bidi w:val="0"/>
            </w:pPr>
            <w:r>
              <w:t>20200</w:t>
            </w:r>
          </w:p>
        </w:tc>
      </w:tr>
      <w:tr w14:paraId="708B9C03">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59F5696C">
            <w:pPr>
              <w:pStyle w:val="28"/>
              <w:bidi w:val="0"/>
            </w:pPr>
            <w:r>
              <w:t>22</w:t>
            </w:r>
          </w:p>
        </w:tc>
        <w:tc>
          <w:tcPr>
            <w:tcW w:w="1747" w:type="pct"/>
            <w:tcBorders>
              <w:top w:val="single" w:color="000000" w:sz="4" w:space="0"/>
              <w:left w:val="single" w:color="000000" w:sz="4" w:space="0"/>
              <w:bottom w:val="single" w:color="000000" w:sz="4" w:space="0"/>
              <w:right w:val="single" w:color="000000" w:sz="4" w:space="0"/>
            </w:tcBorders>
            <w:vAlign w:val="center"/>
          </w:tcPr>
          <w:p w14:paraId="7DB47404">
            <w:pPr>
              <w:pStyle w:val="28"/>
              <w:bidi w:val="0"/>
            </w:pPr>
            <w:r>
              <w:t>瓦东干渠李山支渠补水工程（郑岗泵站重建）</w:t>
            </w:r>
          </w:p>
        </w:tc>
        <w:tc>
          <w:tcPr>
            <w:tcW w:w="307" w:type="pct"/>
            <w:tcBorders>
              <w:top w:val="single" w:color="000000" w:sz="4" w:space="0"/>
              <w:left w:val="single" w:color="000000" w:sz="4" w:space="0"/>
              <w:bottom w:val="single" w:color="000000" w:sz="4" w:space="0"/>
              <w:right w:val="single" w:color="000000" w:sz="4" w:space="0"/>
            </w:tcBorders>
            <w:vAlign w:val="center"/>
          </w:tcPr>
          <w:p w14:paraId="76C2126E">
            <w:pPr>
              <w:pStyle w:val="28"/>
              <w:bidi w:val="0"/>
            </w:pPr>
            <w:r>
              <w:t>38329</w:t>
            </w:r>
          </w:p>
        </w:tc>
        <w:tc>
          <w:tcPr>
            <w:tcW w:w="308" w:type="pct"/>
            <w:tcBorders>
              <w:top w:val="single" w:color="000000" w:sz="4" w:space="0"/>
              <w:left w:val="single" w:color="000000" w:sz="4" w:space="0"/>
              <w:bottom w:val="single" w:color="000000" w:sz="4" w:space="0"/>
              <w:right w:val="single" w:color="000000" w:sz="4" w:space="0"/>
            </w:tcBorders>
            <w:vAlign w:val="center"/>
          </w:tcPr>
          <w:p w14:paraId="6B0AC7A1">
            <w:pPr>
              <w:pStyle w:val="28"/>
              <w:bidi w:val="0"/>
            </w:pPr>
            <w:r>
              <w:t>49435</w:t>
            </w:r>
          </w:p>
        </w:tc>
        <w:tc>
          <w:tcPr>
            <w:tcW w:w="293" w:type="pct"/>
            <w:tcBorders>
              <w:top w:val="single" w:color="000000" w:sz="4" w:space="0"/>
              <w:left w:val="single" w:color="000000" w:sz="4" w:space="0"/>
              <w:bottom w:val="single" w:color="000000" w:sz="4" w:space="0"/>
              <w:right w:val="single" w:color="000000" w:sz="4" w:space="0"/>
            </w:tcBorders>
            <w:vAlign w:val="center"/>
          </w:tcPr>
          <w:p w14:paraId="0E389765">
            <w:pPr>
              <w:pStyle w:val="28"/>
              <w:bidi w:val="0"/>
            </w:pPr>
            <w:r>
              <w:t>18580</w:t>
            </w:r>
          </w:p>
        </w:tc>
        <w:tc>
          <w:tcPr>
            <w:tcW w:w="310" w:type="pct"/>
            <w:tcBorders>
              <w:top w:val="single" w:color="000000" w:sz="4" w:space="0"/>
              <w:left w:val="single" w:color="000000" w:sz="4" w:space="0"/>
              <w:bottom w:val="single" w:color="000000" w:sz="4" w:space="0"/>
              <w:right w:val="single" w:color="000000" w:sz="4" w:space="0"/>
            </w:tcBorders>
            <w:vAlign w:val="center"/>
          </w:tcPr>
          <w:p w14:paraId="13956D0C">
            <w:pPr>
              <w:pStyle w:val="28"/>
              <w:bidi w:val="0"/>
            </w:pPr>
            <w:r>
              <w:t>4104</w:t>
            </w:r>
          </w:p>
        </w:tc>
        <w:tc>
          <w:tcPr>
            <w:tcW w:w="293" w:type="pct"/>
            <w:tcBorders>
              <w:top w:val="single" w:color="000000" w:sz="4" w:space="0"/>
              <w:left w:val="single" w:color="000000" w:sz="4" w:space="0"/>
              <w:bottom w:val="single" w:color="000000" w:sz="4" w:space="0"/>
              <w:right w:val="single" w:color="000000" w:sz="4" w:space="0"/>
            </w:tcBorders>
            <w:vAlign w:val="center"/>
          </w:tcPr>
          <w:p w14:paraId="7A539B88">
            <w:pPr>
              <w:pStyle w:val="28"/>
              <w:bidi w:val="0"/>
            </w:pPr>
            <w:r>
              <w:t>5481</w:t>
            </w:r>
          </w:p>
        </w:tc>
        <w:tc>
          <w:tcPr>
            <w:tcW w:w="293" w:type="pct"/>
            <w:tcBorders>
              <w:top w:val="single" w:color="000000" w:sz="4" w:space="0"/>
              <w:left w:val="single" w:color="000000" w:sz="4" w:space="0"/>
              <w:bottom w:val="single" w:color="000000" w:sz="4" w:space="0"/>
              <w:right w:val="single" w:color="000000" w:sz="4" w:space="0"/>
            </w:tcBorders>
            <w:vAlign w:val="center"/>
          </w:tcPr>
          <w:p w14:paraId="03CE70C2">
            <w:pPr>
              <w:pStyle w:val="28"/>
              <w:bidi w:val="0"/>
            </w:pPr>
            <w:r>
              <w:t>5481</w:t>
            </w:r>
          </w:p>
        </w:tc>
        <w:tc>
          <w:tcPr>
            <w:tcW w:w="293" w:type="pct"/>
            <w:tcBorders>
              <w:top w:val="single" w:color="000000" w:sz="4" w:space="0"/>
              <w:left w:val="single" w:color="000000" w:sz="4" w:space="0"/>
              <w:bottom w:val="single" w:color="000000" w:sz="4" w:space="0"/>
              <w:right w:val="single" w:color="000000" w:sz="4" w:space="0"/>
            </w:tcBorders>
            <w:vAlign w:val="center"/>
          </w:tcPr>
          <w:p w14:paraId="29CD4DBA">
            <w:pPr>
              <w:pStyle w:val="28"/>
              <w:bidi w:val="0"/>
            </w:pPr>
            <w:r>
              <w:t>6030</w:t>
            </w:r>
          </w:p>
        </w:tc>
        <w:tc>
          <w:tcPr>
            <w:tcW w:w="295" w:type="pct"/>
            <w:tcBorders>
              <w:top w:val="single" w:color="000000" w:sz="4" w:space="0"/>
              <w:left w:val="single" w:color="000000" w:sz="4" w:space="0"/>
              <w:bottom w:val="single" w:color="000000" w:sz="4" w:space="0"/>
              <w:right w:val="single" w:color="000000" w:sz="4" w:space="0"/>
            </w:tcBorders>
            <w:vAlign w:val="center"/>
          </w:tcPr>
          <w:p w14:paraId="6FC54C39">
            <w:pPr>
              <w:pStyle w:val="28"/>
              <w:bidi w:val="0"/>
            </w:pPr>
            <w:r>
              <w:t>—</w:t>
            </w:r>
          </w:p>
        </w:tc>
        <w:tc>
          <w:tcPr>
            <w:tcW w:w="293" w:type="pct"/>
            <w:tcBorders>
              <w:top w:val="single" w:color="000000" w:sz="4" w:space="0"/>
              <w:left w:val="single" w:color="000000" w:sz="4" w:space="0"/>
              <w:bottom w:val="single" w:color="000000" w:sz="4" w:space="0"/>
              <w:right w:val="single" w:color="000000" w:sz="4" w:space="0"/>
            </w:tcBorders>
            <w:vAlign w:val="center"/>
          </w:tcPr>
          <w:p w14:paraId="49B94CC4">
            <w:pPr>
              <w:pStyle w:val="28"/>
              <w:bidi w:val="0"/>
            </w:pPr>
            <w:r>
              <w:t>24610</w:t>
            </w:r>
          </w:p>
        </w:tc>
        <w:tc>
          <w:tcPr>
            <w:tcW w:w="308" w:type="pct"/>
            <w:tcBorders>
              <w:top w:val="single" w:color="000000" w:sz="4" w:space="0"/>
              <w:left w:val="single" w:color="000000" w:sz="4" w:space="0"/>
              <w:bottom w:val="single" w:color="000000" w:sz="4" w:space="0"/>
              <w:right w:val="single" w:color="000000" w:sz="4" w:space="0"/>
            </w:tcBorders>
            <w:vAlign w:val="center"/>
          </w:tcPr>
          <w:p w14:paraId="29919FE7">
            <w:pPr>
              <w:pStyle w:val="28"/>
              <w:bidi w:val="0"/>
            </w:pPr>
            <w:r>
              <w:t>4104</w:t>
            </w:r>
          </w:p>
        </w:tc>
      </w:tr>
      <w:tr w14:paraId="18E4F30D">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25572DFC">
            <w:pPr>
              <w:pStyle w:val="28"/>
              <w:bidi w:val="0"/>
            </w:pPr>
            <w:r>
              <w:t>23</w:t>
            </w:r>
          </w:p>
        </w:tc>
        <w:tc>
          <w:tcPr>
            <w:tcW w:w="1747" w:type="pct"/>
            <w:tcBorders>
              <w:top w:val="single" w:color="000000" w:sz="4" w:space="0"/>
              <w:left w:val="single" w:color="000000" w:sz="4" w:space="0"/>
              <w:bottom w:val="single" w:color="000000" w:sz="4" w:space="0"/>
              <w:right w:val="single" w:color="000000" w:sz="4" w:space="0"/>
            </w:tcBorders>
            <w:vAlign w:val="center"/>
          </w:tcPr>
          <w:p w14:paraId="1491EE7C">
            <w:pPr>
              <w:pStyle w:val="28"/>
              <w:bidi w:val="0"/>
            </w:pPr>
            <w:r>
              <w:t>沣东干渠（37+700～53+000）续建配套与现代化改造工程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04C23A85">
            <w:pPr>
              <w:pStyle w:val="28"/>
              <w:bidi w:val="0"/>
            </w:pPr>
            <w:r>
              <w:t>128103</w:t>
            </w:r>
          </w:p>
        </w:tc>
        <w:tc>
          <w:tcPr>
            <w:tcW w:w="308" w:type="pct"/>
            <w:tcBorders>
              <w:top w:val="single" w:color="000000" w:sz="4" w:space="0"/>
              <w:left w:val="single" w:color="000000" w:sz="4" w:space="0"/>
              <w:bottom w:val="single" w:color="000000" w:sz="4" w:space="0"/>
              <w:right w:val="single" w:color="000000" w:sz="4" w:space="0"/>
            </w:tcBorders>
            <w:vAlign w:val="center"/>
          </w:tcPr>
          <w:p w14:paraId="1E8AF562">
            <w:pPr>
              <w:pStyle w:val="28"/>
              <w:bidi w:val="0"/>
            </w:pPr>
            <w:r>
              <w:t>107304</w:t>
            </w:r>
          </w:p>
        </w:tc>
        <w:tc>
          <w:tcPr>
            <w:tcW w:w="293" w:type="pct"/>
            <w:tcBorders>
              <w:top w:val="single" w:color="000000" w:sz="4" w:space="0"/>
              <w:left w:val="single" w:color="000000" w:sz="4" w:space="0"/>
              <w:bottom w:val="single" w:color="000000" w:sz="4" w:space="0"/>
              <w:right w:val="single" w:color="000000" w:sz="4" w:space="0"/>
            </w:tcBorders>
            <w:vAlign w:val="center"/>
          </w:tcPr>
          <w:p w14:paraId="16DC601F">
            <w:pPr>
              <w:pStyle w:val="28"/>
              <w:bidi w:val="0"/>
            </w:pPr>
            <w:r>
              <w:t>30482</w:t>
            </w:r>
          </w:p>
        </w:tc>
        <w:tc>
          <w:tcPr>
            <w:tcW w:w="310" w:type="pct"/>
            <w:tcBorders>
              <w:top w:val="single" w:color="000000" w:sz="4" w:space="0"/>
              <w:left w:val="single" w:color="000000" w:sz="4" w:space="0"/>
              <w:bottom w:val="single" w:color="000000" w:sz="4" w:space="0"/>
              <w:right w:val="single" w:color="000000" w:sz="4" w:space="0"/>
            </w:tcBorders>
            <w:vAlign w:val="center"/>
          </w:tcPr>
          <w:p w14:paraId="6462F3C0">
            <w:pPr>
              <w:pStyle w:val="28"/>
              <w:bidi w:val="0"/>
            </w:pPr>
            <w:r>
              <w:t>51273</w:t>
            </w:r>
          </w:p>
        </w:tc>
        <w:tc>
          <w:tcPr>
            <w:tcW w:w="293" w:type="pct"/>
            <w:tcBorders>
              <w:top w:val="single" w:color="000000" w:sz="4" w:space="0"/>
              <w:left w:val="single" w:color="000000" w:sz="4" w:space="0"/>
              <w:bottom w:val="single" w:color="000000" w:sz="4" w:space="0"/>
              <w:right w:val="single" w:color="000000" w:sz="4" w:space="0"/>
            </w:tcBorders>
            <w:vAlign w:val="center"/>
          </w:tcPr>
          <w:p w14:paraId="3E343B40">
            <w:pPr>
              <w:pStyle w:val="28"/>
              <w:bidi w:val="0"/>
            </w:pPr>
            <w:r>
              <w:t>5950</w:t>
            </w:r>
          </w:p>
        </w:tc>
        <w:tc>
          <w:tcPr>
            <w:tcW w:w="293" w:type="pct"/>
            <w:tcBorders>
              <w:top w:val="single" w:color="000000" w:sz="4" w:space="0"/>
              <w:left w:val="single" w:color="000000" w:sz="4" w:space="0"/>
              <w:bottom w:val="single" w:color="000000" w:sz="4" w:space="0"/>
              <w:right w:val="single" w:color="000000" w:sz="4" w:space="0"/>
            </w:tcBorders>
            <w:vAlign w:val="center"/>
          </w:tcPr>
          <w:p w14:paraId="47B4A28B">
            <w:pPr>
              <w:pStyle w:val="28"/>
              <w:bidi w:val="0"/>
            </w:pPr>
            <w:r>
              <w:t>5950</w:t>
            </w:r>
          </w:p>
        </w:tc>
        <w:tc>
          <w:tcPr>
            <w:tcW w:w="293" w:type="pct"/>
            <w:tcBorders>
              <w:top w:val="single" w:color="000000" w:sz="4" w:space="0"/>
              <w:left w:val="single" w:color="000000" w:sz="4" w:space="0"/>
              <w:bottom w:val="single" w:color="000000" w:sz="4" w:space="0"/>
              <w:right w:val="single" w:color="000000" w:sz="4" w:space="0"/>
            </w:tcBorders>
            <w:vAlign w:val="center"/>
          </w:tcPr>
          <w:p w14:paraId="741AF263">
            <w:pPr>
              <w:pStyle w:val="28"/>
              <w:bidi w:val="0"/>
            </w:pPr>
          </w:p>
        </w:tc>
        <w:tc>
          <w:tcPr>
            <w:tcW w:w="295" w:type="pct"/>
            <w:tcBorders>
              <w:top w:val="single" w:color="000000" w:sz="4" w:space="0"/>
              <w:left w:val="single" w:color="000000" w:sz="4" w:space="0"/>
              <w:bottom w:val="single" w:color="000000" w:sz="4" w:space="0"/>
              <w:right w:val="single" w:color="000000" w:sz="4" w:space="0"/>
            </w:tcBorders>
            <w:vAlign w:val="center"/>
          </w:tcPr>
          <w:p w14:paraId="59153D99">
            <w:pPr>
              <w:pStyle w:val="28"/>
              <w:bidi w:val="0"/>
            </w:pPr>
            <w:r>
              <w:t>—</w:t>
            </w:r>
          </w:p>
        </w:tc>
        <w:tc>
          <w:tcPr>
            <w:tcW w:w="293" w:type="pct"/>
            <w:tcBorders>
              <w:top w:val="single" w:color="000000" w:sz="4" w:space="0"/>
              <w:left w:val="single" w:color="000000" w:sz="4" w:space="0"/>
              <w:bottom w:val="single" w:color="000000" w:sz="4" w:space="0"/>
              <w:right w:val="single" w:color="000000" w:sz="4" w:space="0"/>
            </w:tcBorders>
            <w:vAlign w:val="center"/>
          </w:tcPr>
          <w:p w14:paraId="4B268F59">
            <w:pPr>
              <w:pStyle w:val="28"/>
              <w:bidi w:val="0"/>
            </w:pPr>
            <w:r>
              <w:t>30482</w:t>
            </w:r>
          </w:p>
        </w:tc>
        <w:tc>
          <w:tcPr>
            <w:tcW w:w="308" w:type="pct"/>
            <w:tcBorders>
              <w:top w:val="single" w:color="000000" w:sz="4" w:space="0"/>
              <w:left w:val="single" w:color="000000" w:sz="4" w:space="0"/>
              <w:bottom w:val="single" w:color="000000" w:sz="4" w:space="0"/>
              <w:right w:val="single" w:color="000000" w:sz="4" w:space="0"/>
            </w:tcBorders>
            <w:vAlign w:val="center"/>
          </w:tcPr>
          <w:p w14:paraId="7E456B46">
            <w:pPr>
              <w:pStyle w:val="28"/>
              <w:bidi w:val="0"/>
            </w:pPr>
            <w:r>
              <w:t>51273</w:t>
            </w:r>
          </w:p>
        </w:tc>
      </w:tr>
      <w:tr w14:paraId="6242A70B">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0F9628C6">
            <w:pPr>
              <w:pStyle w:val="28"/>
              <w:bidi w:val="0"/>
            </w:pPr>
            <w:r>
              <w:t>24</w:t>
            </w:r>
          </w:p>
        </w:tc>
        <w:tc>
          <w:tcPr>
            <w:tcW w:w="1747" w:type="pct"/>
            <w:tcBorders>
              <w:top w:val="single" w:color="000000" w:sz="4" w:space="0"/>
              <w:left w:val="single" w:color="000000" w:sz="4" w:space="0"/>
              <w:bottom w:val="single" w:color="000000" w:sz="4" w:space="0"/>
              <w:right w:val="single" w:color="000000" w:sz="4" w:space="0"/>
            </w:tcBorders>
            <w:vAlign w:val="center"/>
          </w:tcPr>
          <w:p w14:paraId="0EFE2343">
            <w:pPr>
              <w:pStyle w:val="28"/>
              <w:bidi w:val="0"/>
            </w:pPr>
            <w:r>
              <w:t>沣西干渠30+000～107+000续建配套与现代化改造工程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1F79A23A">
            <w:pPr>
              <w:pStyle w:val="28"/>
              <w:bidi w:val="0"/>
            </w:pPr>
            <w:r>
              <w:t>409695</w:t>
            </w:r>
          </w:p>
        </w:tc>
        <w:tc>
          <w:tcPr>
            <w:tcW w:w="308" w:type="pct"/>
            <w:tcBorders>
              <w:top w:val="single" w:color="000000" w:sz="4" w:space="0"/>
              <w:left w:val="single" w:color="000000" w:sz="4" w:space="0"/>
              <w:bottom w:val="single" w:color="000000" w:sz="4" w:space="0"/>
              <w:right w:val="single" w:color="000000" w:sz="4" w:space="0"/>
            </w:tcBorders>
            <w:vAlign w:val="center"/>
          </w:tcPr>
          <w:p w14:paraId="551D5E5F">
            <w:pPr>
              <w:pStyle w:val="28"/>
              <w:bidi w:val="0"/>
            </w:pPr>
            <w:r>
              <w:t>300754</w:t>
            </w:r>
          </w:p>
        </w:tc>
        <w:tc>
          <w:tcPr>
            <w:tcW w:w="293" w:type="pct"/>
            <w:tcBorders>
              <w:top w:val="single" w:color="000000" w:sz="4" w:space="0"/>
              <w:left w:val="single" w:color="000000" w:sz="4" w:space="0"/>
              <w:bottom w:val="single" w:color="000000" w:sz="4" w:space="0"/>
              <w:right w:val="single" w:color="000000" w:sz="4" w:space="0"/>
            </w:tcBorders>
            <w:vAlign w:val="center"/>
          </w:tcPr>
          <w:p w14:paraId="3D524D69">
            <w:pPr>
              <w:pStyle w:val="28"/>
              <w:bidi w:val="0"/>
            </w:pPr>
            <w:r>
              <w:t>226860</w:t>
            </w:r>
          </w:p>
        </w:tc>
        <w:tc>
          <w:tcPr>
            <w:tcW w:w="310" w:type="pct"/>
            <w:tcBorders>
              <w:top w:val="single" w:color="000000" w:sz="4" w:space="0"/>
              <w:left w:val="single" w:color="000000" w:sz="4" w:space="0"/>
              <w:bottom w:val="single" w:color="000000" w:sz="4" w:space="0"/>
              <w:right w:val="single" w:color="000000" w:sz="4" w:space="0"/>
            </w:tcBorders>
            <w:vAlign w:val="center"/>
          </w:tcPr>
          <w:p w14:paraId="7DD70741">
            <w:pPr>
              <w:pStyle w:val="28"/>
              <w:bidi w:val="0"/>
            </w:pPr>
            <w:r>
              <w:t>288837</w:t>
            </w:r>
          </w:p>
        </w:tc>
        <w:tc>
          <w:tcPr>
            <w:tcW w:w="293" w:type="pct"/>
            <w:tcBorders>
              <w:top w:val="single" w:color="000000" w:sz="4" w:space="0"/>
              <w:left w:val="single" w:color="000000" w:sz="4" w:space="0"/>
              <w:bottom w:val="single" w:color="000000" w:sz="4" w:space="0"/>
              <w:right w:val="single" w:color="000000" w:sz="4" w:space="0"/>
            </w:tcBorders>
            <w:vAlign w:val="center"/>
          </w:tcPr>
          <w:p w14:paraId="026A670F">
            <w:pPr>
              <w:pStyle w:val="28"/>
              <w:bidi w:val="0"/>
            </w:pPr>
            <w:r>
              <w:t>39543</w:t>
            </w:r>
          </w:p>
        </w:tc>
        <w:tc>
          <w:tcPr>
            <w:tcW w:w="293" w:type="pct"/>
            <w:tcBorders>
              <w:top w:val="single" w:color="000000" w:sz="4" w:space="0"/>
              <w:left w:val="single" w:color="000000" w:sz="4" w:space="0"/>
              <w:bottom w:val="single" w:color="000000" w:sz="4" w:space="0"/>
              <w:right w:val="single" w:color="000000" w:sz="4" w:space="0"/>
            </w:tcBorders>
            <w:vAlign w:val="center"/>
          </w:tcPr>
          <w:p w14:paraId="0BB10558">
            <w:pPr>
              <w:pStyle w:val="28"/>
              <w:bidi w:val="0"/>
            </w:pPr>
            <w:r>
              <w:t>39543</w:t>
            </w:r>
          </w:p>
        </w:tc>
        <w:tc>
          <w:tcPr>
            <w:tcW w:w="293" w:type="pct"/>
            <w:tcBorders>
              <w:top w:val="single" w:color="000000" w:sz="4" w:space="0"/>
              <w:left w:val="single" w:color="000000" w:sz="4" w:space="0"/>
              <w:bottom w:val="single" w:color="000000" w:sz="4" w:space="0"/>
              <w:right w:val="single" w:color="000000" w:sz="4" w:space="0"/>
            </w:tcBorders>
            <w:vAlign w:val="center"/>
          </w:tcPr>
          <w:p w14:paraId="19DC646B">
            <w:pPr>
              <w:pStyle w:val="28"/>
              <w:bidi w:val="0"/>
            </w:pPr>
            <w:r>
              <w:t>31611</w:t>
            </w:r>
          </w:p>
        </w:tc>
        <w:tc>
          <w:tcPr>
            <w:tcW w:w="295" w:type="pct"/>
            <w:tcBorders>
              <w:top w:val="single" w:color="000000" w:sz="4" w:space="0"/>
              <w:left w:val="single" w:color="000000" w:sz="4" w:space="0"/>
              <w:bottom w:val="single" w:color="000000" w:sz="4" w:space="0"/>
              <w:right w:val="single" w:color="000000" w:sz="4" w:space="0"/>
            </w:tcBorders>
            <w:vAlign w:val="center"/>
          </w:tcPr>
          <w:p w14:paraId="176B37BA">
            <w:pPr>
              <w:pStyle w:val="28"/>
              <w:bidi w:val="0"/>
            </w:pPr>
            <w:r>
              <w:t>18527</w:t>
            </w:r>
          </w:p>
        </w:tc>
        <w:tc>
          <w:tcPr>
            <w:tcW w:w="293" w:type="pct"/>
            <w:tcBorders>
              <w:top w:val="single" w:color="000000" w:sz="4" w:space="0"/>
              <w:left w:val="single" w:color="000000" w:sz="4" w:space="0"/>
              <w:bottom w:val="single" w:color="000000" w:sz="4" w:space="0"/>
              <w:right w:val="single" w:color="000000" w:sz="4" w:space="0"/>
            </w:tcBorders>
            <w:vAlign w:val="center"/>
          </w:tcPr>
          <w:p w14:paraId="457D2A40">
            <w:pPr>
              <w:pStyle w:val="28"/>
              <w:bidi w:val="0"/>
            </w:pPr>
            <w:r>
              <w:t>258471</w:t>
            </w:r>
          </w:p>
        </w:tc>
        <w:tc>
          <w:tcPr>
            <w:tcW w:w="308" w:type="pct"/>
            <w:tcBorders>
              <w:top w:val="single" w:color="000000" w:sz="4" w:space="0"/>
              <w:left w:val="single" w:color="000000" w:sz="4" w:space="0"/>
              <w:bottom w:val="single" w:color="000000" w:sz="4" w:space="0"/>
              <w:right w:val="single" w:color="000000" w:sz="4" w:space="0"/>
            </w:tcBorders>
            <w:vAlign w:val="center"/>
          </w:tcPr>
          <w:p w14:paraId="7D79D13E">
            <w:pPr>
              <w:pStyle w:val="28"/>
              <w:bidi w:val="0"/>
            </w:pPr>
            <w:r>
              <w:t>307359</w:t>
            </w:r>
          </w:p>
        </w:tc>
      </w:tr>
      <w:tr w14:paraId="7447A364">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4F3CCAB5">
            <w:pPr>
              <w:pStyle w:val="28"/>
              <w:bidi w:val="0"/>
            </w:pPr>
            <w:r>
              <w:t>25</w:t>
            </w:r>
          </w:p>
        </w:tc>
        <w:tc>
          <w:tcPr>
            <w:tcW w:w="1747" w:type="pct"/>
            <w:tcBorders>
              <w:top w:val="single" w:color="000000" w:sz="4" w:space="0"/>
              <w:left w:val="single" w:color="000000" w:sz="4" w:space="0"/>
              <w:bottom w:val="single" w:color="000000" w:sz="4" w:space="0"/>
              <w:right w:val="single" w:color="000000" w:sz="4" w:space="0"/>
            </w:tcBorders>
            <w:vAlign w:val="center"/>
          </w:tcPr>
          <w:p w14:paraId="5642F795">
            <w:pPr>
              <w:pStyle w:val="28"/>
              <w:bidi w:val="0"/>
            </w:pPr>
            <w:r>
              <w:t>汲东干渠姚李支渠0+000～17+700续建配套与现代化改造工程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08930F0D">
            <w:pPr>
              <w:pStyle w:val="28"/>
              <w:bidi w:val="0"/>
            </w:pPr>
            <w:r>
              <w:t>117345</w:t>
            </w:r>
          </w:p>
        </w:tc>
        <w:tc>
          <w:tcPr>
            <w:tcW w:w="308" w:type="pct"/>
            <w:tcBorders>
              <w:top w:val="single" w:color="000000" w:sz="4" w:space="0"/>
              <w:left w:val="single" w:color="000000" w:sz="4" w:space="0"/>
              <w:bottom w:val="single" w:color="000000" w:sz="4" w:space="0"/>
              <w:right w:val="single" w:color="000000" w:sz="4" w:space="0"/>
            </w:tcBorders>
            <w:vAlign w:val="center"/>
          </w:tcPr>
          <w:p w14:paraId="7F575717">
            <w:pPr>
              <w:pStyle w:val="28"/>
              <w:bidi w:val="0"/>
            </w:pPr>
            <w:r>
              <w:t>28088</w:t>
            </w:r>
          </w:p>
        </w:tc>
        <w:tc>
          <w:tcPr>
            <w:tcW w:w="293" w:type="pct"/>
            <w:tcBorders>
              <w:top w:val="single" w:color="000000" w:sz="4" w:space="0"/>
              <w:left w:val="single" w:color="000000" w:sz="4" w:space="0"/>
              <w:bottom w:val="single" w:color="000000" w:sz="4" w:space="0"/>
              <w:right w:val="single" w:color="000000" w:sz="4" w:space="0"/>
            </w:tcBorders>
            <w:vAlign w:val="center"/>
          </w:tcPr>
          <w:p w14:paraId="1568DF52">
            <w:pPr>
              <w:pStyle w:val="28"/>
              <w:bidi w:val="0"/>
            </w:pPr>
            <w:r>
              <w:t>11399</w:t>
            </w:r>
          </w:p>
        </w:tc>
        <w:tc>
          <w:tcPr>
            <w:tcW w:w="310" w:type="pct"/>
            <w:tcBorders>
              <w:top w:val="single" w:color="000000" w:sz="4" w:space="0"/>
              <w:left w:val="single" w:color="000000" w:sz="4" w:space="0"/>
              <w:bottom w:val="single" w:color="000000" w:sz="4" w:space="0"/>
              <w:right w:val="single" w:color="000000" w:sz="4" w:space="0"/>
            </w:tcBorders>
            <w:vAlign w:val="center"/>
          </w:tcPr>
          <w:p w14:paraId="748006EB">
            <w:pPr>
              <w:pStyle w:val="28"/>
              <w:bidi w:val="0"/>
            </w:pPr>
            <w:r>
              <w:t>88960</w:t>
            </w:r>
          </w:p>
        </w:tc>
        <w:tc>
          <w:tcPr>
            <w:tcW w:w="293" w:type="pct"/>
            <w:tcBorders>
              <w:top w:val="single" w:color="000000" w:sz="4" w:space="0"/>
              <w:left w:val="single" w:color="000000" w:sz="4" w:space="0"/>
              <w:bottom w:val="single" w:color="000000" w:sz="4" w:space="0"/>
              <w:right w:val="single" w:color="000000" w:sz="4" w:space="0"/>
            </w:tcBorders>
            <w:vAlign w:val="center"/>
          </w:tcPr>
          <w:p w14:paraId="122D05AF">
            <w:pPr>
              <w:pStyle w:val="28"/>
              <w:bidi w:val="0"/>
            </w:pPr>
            <w:r>
              <w:t>15393</w:t>
            </w:r>
          </w:p>
        </w:tc>
        <w:tc>
          <w:tcPr>
            <w:tcW w:w="293" w:type="pct"/>
            <w:tcBorders>
              <w:top w:val="single" w:color="000000" w:sz="4" w:space="0"/>
              <w:left w:val="single" w:color="000000" w:sz="4" w:space="0"/>
              <w:bottom w:val="single" w:color="000000" w:sz="4" w:space="0"/>
              <w:right w:val="single" w:color="000000" w:sz="4" w:space="0"/>
            </w:tcBorders>
            <w:vAlign w:val="center"/>
          </w:tcPr>
          <w:p w14:paraId="15F5FAF5">
            <w:pPr>
              <w:pStyle w:val="28"/>
              <w:bidi w:val="0"/>
            </w:pPr>
            <w:r>
              <w:t>15393</w:t>
            </w:r>
          </w:p>
        </w:tc>
        <w:tc>
          <w:tcPr>
            <w:tcW w:w="293" w:type="pct"/>
            <w:tcBorders>
              <w:top w:val="single" w:color="000000" w:sz="4" w:space="0"/>
              <w:left w:val="single" w:color="000000" w:sz="4" w:space="0"/>
              <w:bottom w:val="single" w:color="000000" w:sz="4" w:space="0"/>
              <w:right w:val="single" w:color="000000" w:sz="4" w:space="0"/>
            </w:tcBorders>
            <w:vAlign w:val="center"/>
          </w:tcPr>
          <w:p w14:paraId="08F17321">
            <w:pPr>
              <w:pStyle w:val="28"/>
              <w:bidi w:val="0"/>
            </w:pPr>
            <w:r>
              <w:t>1010</w:t>
            </w:r>
          </w:p>
        </w:tc>
        <w:tc>
          <w:tcPr>
            <w:tcW w:w="295" w:type="pct"/>
            <w:tcBorders>
              <w:top w:val="single" w:color="000000" w:sz="4" w:space="0"/>
              <w:left w:val="single" w:color="000000" w:sz="4" w:space="0"/>
              <w:bottom w:val="single" w:color="000000" w:sz="4" w:space="0"/>
              <w:right w:val="single" w:color="000000" w:sz="4" w:space="0"/>
            </w:tcBorders>
            <w:vAlign w:val="center"/>
          </w:tcPr>
          <w:p w14:paraId="0553635D">
            <w:pPr>
              <w:pStyle w:val="28"/>
              <w:bidi w:val="0"/>
            </w:pPr>
            <w:r>
              <w:t>5033</w:t>
            </w:r>
          </w:p>
        </w:tc>
        <w:tc>
          <w:tcPr>
            <w:tcW w:w="293" w:type="pct"/>
            <w:tcBorders>
              <w:top w:val="single" w:color="000000" w:sz="4" w:space="0"/>
              <w:left w:val="single" w:color="000000" w:sz="4" w:space="0"/>
              <w:bottom w:val="single" w:color="000000" w:sz="4" w:space="0"/>
              <w:right w:val="single" w:color="000000" w:sz="4" w:space="0"/>
            </w:tcBorders>
            <w:vAlign w:val="center"/>
          </w:tcPr>
          <w:p w14:paraId="03EC14D4">
            <w:pPr>
              <w:pStyle w:val="28"/>
              <w:bidi w:val="0"/>
            </w:pPr>
            <w:r>
              <w:t>12409</w:t>
            </w:r>
          </w:p>
        </w:tc>
        <w:tc>
          <w:tcPr>
            <w:tcW w:w="308" w:type="pct"/>
            <w:tcBorders>
              <w:top w:val="single" w:color="000000" w:sz="4" w:space="0"/>
              <w:left w:val="single" w:color="000000" w:sz="4" w:space="0"/>
              <w:bottom w:val="single" w:color="000000" w:sz="4" w:space="0"/>
              <w:right w:val="single" w:color="000000" w:sz="4" w:space="0"/>
            </w:tcBorders>
            <w:vAlign w:val="center"/>
          </w:tcPr>
          <w:p w14:paraId="64A1B2F3">
            <w:pPr>
              <w:pStyle w:val="28"/>
              <w:bidi w:val="0"/>
            </w:pPr>
            <w:r>
              <w:t>93993</w:t>
            </w:r>
          </w:p>
        </w:tc>
      </w:tr>
      <w:tr w14:paraId="14578BFF">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633AB945">
            <w:pPr>
              <w:pStyle w:val="28"/>
              <w:bidi w:val="0"/>
            </w:pPr>
            <w:r>
              <w:t>26</w:t>
            </w:r>
          </w:p>
        </w:tc>
        <w:tc>
          <w:tcPr>
            <w:tcW w:w="1747" w:type="pct"/>
            <w:tcBorders>
              <w:top w:val="single" w:color="000000" w:sz="4" w:space="0"/>
              <w:left w:val="single" w:color="000000" w:sz="4" w:space="0"/>
              <w:bottom w:val="single" w:color="000000" w:sz="4" w:space="0"/>
              <w:right w:val="single" w:color="000000" w:sz="4" w:space="0"/>
            </w:tcBorders>
            <w:vAlign w:val="center"/>
          </w:tcPr>
          <w:p w14:paraId="1EA2BB8C">
            <w:pPr>
              <w:pStyle w:val="28"/>
              <w:bidi w:val="0"/>
            </w:pPr>
            <w:r>
              <w:t>沣西干渠胜天支渠0+000～16+500续建配套与现代化改造工程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5078BF9A">
            <w:pPr>
              <w:pStyle w:val="28"/>
              <w:bidi w:val="0"/>
            </w:pPr>
            <w:r>
              <w:t>97242</w:t>
            </w:r>
          </w:p>
        </w:tc>
        <w:tc>
          <w:tcPr>
            <w:tcW w:w="308" w:type="pct"/>
            <w:tcBorders>
              <w:top w:val="single" w:color="000000" w:sz="4" w:space="0"/>
              <w:left w:val="single" w:color="000000" w:sz="4" w:space="0"/>
              <w:bottom w:val="single" w:color="000000" w:sz="4" w:space="0"/>
              <w:right w:val="single" w:color="000000" w:sz="4" w:space="0"/>
            </w:tcBorders>
            <w:vAlign w:val="center"/>
          </w:tcPr>
          <w:p w14:paraId="55CE1E40">
            <w:pPr>
              <w:pStyle w:val="28"/>
              <w:bidi w:val="0"/>
            </w:pPr>
            <w:r>
              <w:t>60236</w:t>
            </w:r>
          </w:p>
        </w:tc>
        <w:tc>
          <w:tcPr>
            <w:tcW w:w="293" w:type="pct"/>
            <w:tcBorders>
              <w:top w:val="single" w:color="000000" w:sz="4" w:space="0"/>
              <w:left w:val="single" w:color="000000" w:sz="4" w:space="0"/>
              <w:bottom w:val="single" w:color="000000" w:sz="4" w:space="0"/>
              <w:right w:val="single" w:color="000000" w:sz="4" w:space="0"/>
            </w:tcBorders>
            <w:vAlign w:val="center"/>
          </w:tcPr>
          <w:p w14:paraId="58B3B87C">
            <w:pPr>
              <w:pStyle w:val="28"/>
              <w:bidi w:val="0"/>
            </w:pPr>
            <w:r>
              <w:t>6670</w:t>
            </w:r>
          </w:p>
        </w:tc>
        <w:tc>
          <w:tcPr>
            <w:tcW w:w="310" w:type="pct"/>
            <w:tcBorders>
              <w:top w:val="single" w:color="000000" w:sz="4" w:space="0"/>
              <w:left w:val="single" w:color="000000" w:sz="4" w:space="0"/>
              <w:bottom w:val="single" w:color="000000" w:sz="4" w:space="0"/>
              <w:right w:val="single" w:color="000000" w:sz="4" w:space="0"/>
            </w:tcBorders>
            <w:vAlign w:val="center"/>
          </w:tcPr>
          <w:p w14:paraId="0EF8076D">
            <w:pPr>
              <w:pStyle w:val="28"/>
              <w:bidi w:val="0"/>
            </w:pPr>
            <w:r>
              <w:t>29532</w:t>
            </w:r>
          </w:p>
        </w:tc>
        <w:tc>
          <w:tcPr>
            <w:tcW w:w="293" w:type="pct"/>
            <w:tcBorders>
              <w:top w:val="single" w:color="000000" w:sz="4" w:space="0"/>
              <w:left w:val="single" w:color="000000" w:sz="4" w:space="0"/>
              <w:bottom w:val="single" w:color="000000" w:sz="4" w:space="0"/>
              <w:right w:val="single" w:color="000000" w:sz="4" w:space="0"/>
            </w:tcBorders>
            <w:vAlign w:val="center"/>
          </w:tcPr>
          <w:p w14:paraId="0F45E6D3">
            <w:pPr>
              <w:pStyle w:val="28"/>
              <w:bidi w:val="0"/>
            </w:pPr>
            <w:r>
              <w:t>6204</w:t>
            </w:r>
          </w:p>
        </w:tc>
        <w:tc>
          <w:tcPr>
            <w:tcW w:w="293" w:type="pct"/>
            <w:tcBorders>
              <w:top w:val="single" w:color="000000" w:sz="4" w:space="0"/>
              <w:left w:val="single" w:color="000000" w:sz="4" w:space="0"/>
              <w:bottom w:val="single" w:color="000000" w:sz="4" w:space="0"/>
              <w:right w:val="single" w:color="000000" w:sz="4" w:space="0"/>
            </w:tcBorders>
            <w:vAlign w:val="center"/>
          </w:tcPr>
          <w:p w14:paraId="230CF02F">
            <w:pPr>
              <w:pStyle w:val="28"/>
              <w:bidi w:val="0"/>
            </w:pPr>
            <w:r>
              <w:t>6204</w:t>
            </w:r>
          </w:p>
        </w:tc>
        <w:tc>
          <w:tcPr>
            <w:tcW w:w="293" w:type="pct"/>
            <w:tcBorders>
              <w:top w:val="single" w:color="000000" w:sz="4" w:space="0"/>
              <w:left w:val="single" w:color="000000" w:sz="4" w:space="0"/>
              <w:bottom w:val="single" w:color="000000" w:sz="4" w:space="0"/>
              <w:right w:val="single" w:color="000000" w:sz="4" w:space="0"/>
            </w:tcBorders>
            <w:vAlign w:val="center"/>
          </w:tcPr>
          <w:p w14:paraId="1CEE136C">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1F4D0936">
            <w:pPr>
              <w:pStyle w:val="28"/>
              <w:bidi w:val="0"/>
            </w:pPr>
            <w:r>
              <w:t>2419</w:t>
            </w:r>
          </w:p>
        </w:tc>
        <w:tc>
          <w:tcPr>
            <w:tcW w:w="293" w:type="pct"/>
            <w:tcBorders>
              <w:top w:val="single" w:color="000000" w:sz="4" w:space="0"/>
              <w:left w:val="single" w:color="000000" w:sz="4" w:space="0"/>
              <w:bottom w:val="single" w:color="000000" w:sz="4" w:space="0"/>
              <w:right w:val="single" w:color="000000" w:sz="4" w:space="0"/>
            </w:tcBorders>
            <w:vAlign w:val="center"/>
          </w:tcPr>
          <w:p w14:paraId="050FC745">
            <w:pPr>
              <w:pStyle w:val="28"/>
              <w:bidi w:val="0"/>
            </w:pPr>
            <w:r>
              <w:t>6670</w:t>
            </w:r>
          </w:p>
        </w:tc>
        <w:tc>
          <w:tcPr>
            <w:tcW w:w="308" w:type="pct"/>
            <w:tcBorders>
              <w:top w:val="single" w:color="000000" w:sz="4" w:space="0"/>
              <w:left w:val="single" w:color="000000" w:sz="4" w:space="0"/>
              <w:bottom w:val="single" w:color="000000" w:sz="4" w:space="0"/>
              <w:right w:val="single" w:color="000000" w:sz="4" w:space="0"/>
            </w:tcBorders>
            <w:vAlign w:val="center"/>
          </w:tcPr>
          <w:p w14:paraId="75E3BB04">
            <w:pPr>
              <w:pStyle w:val="28"/>
              <w:bidi w:val="0"/>
            </w:pPr>
            <w:r>
              <w:t>31951</w:t>
            </w:r>
          </w:p>
        </w:tc>
      </w:tr>
      <w:tr w14:paraId="3E4F7CB9">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4141D3DC">
            <w:pPr>
              <w:pStyle w:val="28"/>
              <w:bidi w:val="0"/>
            </w:pPr>
            <w:r>
              <w:t>27</w:t>
            </w:r>
          </w:p>
        </w:tc>
        <w:tc>
          <w:tcPr>
            <w:tcW w:w="1747" w:type="pct"/>
            <w:tcBorders>
              <w:top w:val="single" w:color="000000" w:sz="4" w:space="0"/>
              <w:left w:val="single" w:color="000000" w:sz="4" w:space="0"/>
              <w:bottom w:val="single" w:color="000000" w:sz="4" w:space="0"/>
              <w:right w:val="single" w:color="000000" w:sz="4" w:space="0"/>
            </w:tcBorders>
            <w:vAlign w:val="center"/>
          </w:tcPr>
          <w:p w14:paraId="2D3915E9">
            <w:pPr>
              <w:pStyle w:val="28"/>
              <w:bidi w:val="0"/>
            </w:pPr>
            <w:r>
              <w:t>乌斗支渠0+000～27+500续建配套与现代化改造工程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1C447A8B">
            <w:pPr>
              <w:pStyle w:val="28"/>
              <w:bidi w:val="0"/>
            </w:pPr>
            <w:r>
              <w:t>112769</w:t>
            </w:r>
          </w:p>
        </w:tc>
        <w:tc>
          <w:tcPr>
            <w:tcW w:w="308" w:type="pct"/>
            <w:tcBorders>
              <w:top w:val="single" w:color="000000" w:sz="4" w:space="0"/>
              <w:left w:val="single" w:color="000000" w:sz="4" w:space="0"/>
              <w:bottom w:val="single" w:color="000000" w:sz="4" w:space="0"/>
              <w:right w:val="single" w:color="000000" w:sz="4" w:space="0"/>
            </w:tcBorders>
            <w:vAlign w:val="center"/>
          </w:tcPr>
          <w:p w14:paraId="77B42520">
            <w:pPr>
              <w:pStyle w:val="28"/>
              <w:bidi w:val="0"/>
            </w:pPr>
            <w:r>
              <w:t>64007</w:t>
            </w:r>
          </w:p>
        </w:tc>
        <w:tc>
          <w:tcPr>
            <w:tcW w:w="293" w:type="pct"/>
            <w:tcBorders>
              <w:top w:val="single" w:color="000000" w:sz="4" w:space="0"/>
              <w:left w:val="single" w:color="000000" w:sz="4" w:space="0"/>
              <w:bottom w:val="single" w:color="000000" w:sz="4" w:space="0"/>
              <w:right w:val="single" w:color="000000" w:sz="4" w:space="0"/>
            </w:tcBorders>
            <w:vAlign w:val="center"/>
          </w:tcPr>
          <w:p w14:paraId="57137A6D">
            <w:pPr>
              <w:pStyle w:val="28"/>
              <w:bidi w:val="0"/>
            </w:pPr>
            <w:r>
              <w:t>15130</w:t>
            </w:r>
          </w:p>
        </w:tc>
        <w:tc>
          <w:tcPr>
            <w:tcW w:w="310" w:type="pct"/>
            <w:tcBorders>
              <w:top w:val="single" w:color="000000" w:sz="4" w:space="0"/>
              <w:left w:val="single" w:color="000000" w:sz="4" w:space="0"/>
              <w:bottom w:val="single" w:color="000000" w:sz="4" w:space="0"/>
              <w:right w:val="single" w:color="000000" w:sz="4" w:space="0"/>
            </w:tcBorders>
            <w:vAlign w:val="center"/>
          </w:tcPr>
          <w:p w14:paraId="0EE13D0E">
            <w:pPr>
              <w:pStyle w:val="28"/>
              <w:bidi w:val="0"/>
            </w:pPr>
            <w:r>
              <w:t>48503</w:t>
            </w:r>
          </w:p>
        </w:tc>
        <w:tc>
          <w:tcPr>
            <w:tcW w:w="293" w:type="pct"/>
            <w:tcBorders>
              <w:top w:val="single" w:color="000000" w:sz="4" w:space="0"/>
              <w:left w:val="single" w:color="000000" w:sz="4" w:space="0"/>
              <w:bottom w:val="single" w:color="000000" w:sz="4" w:space="0"/>
              <w:right w:val="single" w:color="000000" w:sz="4" w:space="0"/>
            </w:tcBorders>
            <w:vAlign w:val="center"/>
          </w:tcPr>
          <w:p w14:paraId="01304881">
            <w:pPr>
              <w:pStyle w:val="28"/>
              <w:bidi w:val="0"/>
            </w:pPr>
            <w:r>
              <w:t>11882</w:t>
            </w:r>
          </w:p>
        </w:tc>
        <w:tc>
          <w:tcPr>
            <w:tcW w:w="293" w:type="pct"/>
            <w:tcBorders>
              <w:top w:val="single" w:color="000000" w:sz="4" w:space="0"/>
              <w:left w:val="single" w:color="000000" w:sz="4" w:space="0"/>
              <w:bottom w:val="single" w:color="000000" w:sz="4" w:space="0"/>
              <w:right w:val="single" w:color="000000" w:sz="4" w:space="0"/>
            </w:tcBorders>
            <w:vAlign w:val="center"/>
          </w:tcPr>
          <w:p w14:paraId="61AC404F">
            <w:pPr>
              <w:pStyle w:val="28"/>
              <w:bidi w:val="0"/>
            </w:pPr>
            <w:r>
              <w:t>11882</w:t>
            </w:r>
          </w:p>
        </w:tc>
        <w:tc>
          <w:tcPr>
            <w:tcW w:w="293" w:type="pct"/>
            <w:tcBorders>
              <w:top w:val="single" w:color="000000" w:sz="4" w:space="0"/>
              <w:left w:val="single" w:color="000000" w:sz="4" w:space="0"/>
              <w:bottom w:val="single" w:color="000000" w:sz="4" w:space="0"/>
              <w:right w:val="single" w:color="000000" w:sz="4" w:space="0"/>
            </w:tcBorders>
            <w:vAlign w:val="center"/>
          </w:tcPr>
          <w:p w14:paraId="3B548637">
            <w:pPr>
              <w:pStyle w:val="28"/>
              <w:bidi w:val="0"/>
            </w:pPr>
            <w:r>
              <w:t>706</w:t>
            </w:r>
          </w:p>
        </w:tc>
        <w:tc>
          <w:tcPr>
            <w:tcW w:w="295" w:type="pct"/>
            <w:tcBorders>
              <w:top w:val="single" w:color="000000" w:sz="4" w:space="0"/>
              <w:left w:val="single" w:color="000000" w:sz="4" w:space="0"/>
              <w:bottom w:val="single" w:color="000000" w:sz="4" w:space="0"/>
              <w:right w:val="single" w:color="000000" w:sz="4" w:space="0"/>
            </w:tcBorders>
            <w:vAlign w:val="center"/>
          </w:tcPr>
          <w:p w14:paraId="7E62E0CE">
            <w:pPr>
              <w:pStyle w:val="28"/>
              <w:bidi w:val="0"/>
            </w:pPr>
            <w:r>
              <w:t>2703</w:t>
            </w:r>
          </w:p>
        </w:tc>
        <w:tc>
          <w:tcPr>
            <w:tcW w:w="293" w:type="pct"/>
            <w:tcBorders>
              <w:top w:val="single" w:color="000000" w:sz="4" w:space="0"/>
              <w:left w:val="single" w:color="000000" w:sz="4" w:space="0"/>
              <w:bottom w:val="single" w:color="000000" w:sz="4" w:space="0"/>
              <w:right w:val="single" w:color="000000" w:sz="4" w:space="0"/>
            </w:tcBorders>
            <w:vAlign w:val="center"/>
          </w:tcPr>
          <w:p w14:paraId="7D20B098">
            <w:pPr>
              <w:pStyle w:val="28"/>
              <w:bidi w:val="0"/>
            </w:pPr>
            <w:r>
              <w:t>15836</w:t>
            </w:r>
          </w:p>
        </w:tc>
        <w:tc>
          <w:tcPr>
            <w:tcW w:w="308" w:type="pct"/>
            <w:tcBorders>
              <w:top w:val="single" w:color="000000" w:sz="4" w:space="0"/>
              <w:left w:val="single" w:color="000000" w:sz="4" w:space="0"/>
              <w:bottom w:val="single" w:color="000000" w:sz="4" w:space="0"/>
              <w:right w:val="single" w:color="000000" w:sz="4" w:space="0"/>
            </w:tcBorders>
            <w:vAlign w:val="center"/>
          </w:tcPr>
          <w:p w14:paraId="3A6643CF">
            <w:pPr>
              <w:pStyle w:val="28"/>
              <w:bidi w:val="0"/>
            </w:pPr>
            <w:r>
              <w:t>51206</w:t>
            </w:r>
          </w:p>
        </w:tc>
      </w:tr>
      <w:tr w14:paraId="1171D3CE">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27447EB4">
            <w:pPr>
              <w:pStyle w:val="28"/>
              <w:bidi w:val="0"/>
            </w:pPr>
            <w:r>
              <w:t>28</w:t>
            </w:r>
          </w:p>
        </w:tc>
        <w:tc>
          <w:tcPr>
            <w:tcW w:w="1747" w:type="pct"/>
            <w:tcBorders>
              <w:top w:val="single" w:color="000000" w:sz="4" w:space="0"/>
              <w:left w:val="single" w:color="000000" w:sz="4" w:space="0"/>
              <w:bottom w:val="single" w:color="000000" w:sz="4" w:space="0"/>
              <w:right w:val="single" w:color="000000" w:sz="4" w:space="0"/>
            </w:tcBorders>
            <w:vAlign w:val="center"/>
          </w:tcPr>
          <w:p w14:paraId="5EF5A44F">
            <w:pPr>
              <w:pStyle w:val="28"/>
              <w:bidi w:val="0"/>
            </w:pPr>
            <w:r>
              <w:t>舒庐干渠庐江段汤池泄洪闸等七座水闸现代化改造工程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032FB7EF">
            <w:pPr>
              <w:pStyle w:val="28"/>
              <w:bidi w:val="0"/>
            </w:pPr>
            <w:r>
              <w:t>36183</w:t>
            </w:r>
          </w:p>
        </w:tc>
        <w:tc>
          <w:tcPr>
            <w:tcW w:w="308" w:type="pct"/>
            <w:tcBorders>
              <w:top w:val="single" w:color="000000" w:sz="4" w:space="0"/>
              <w:left w:val="single" w:color="000000" w:sz="4" w:space="0"/>
              <w:bottom w:val="single" w:color="000000" w:sz="4" w:space="0"/>
              <w:right w:val="single" w:color="000000" w:sz="4" w:space="0"/>
            </w:tcBorders>
            <w:vAlign w:val="center"/>
          </w:tcPr>
          <w:p w14:paraId="1F164B5F">
            <w:pPr>
              <w:pStyle w:val="28"/>
              <w:bidi w:val="0"/>
            </w:pPr>
            <w:r>
              <w:t>28227</w:t>
            </w:r>
          </w:p>
        </w:tc>
        <w:tc>
          <w:tcPr>
            <w:tcW w:w="293" w:type="pct"/>
            <w:tcBorders>
              <w:top w:val="single" w:color="000000" w:sz="4" w:space="0"/>
              <w:left w:val="single" w:color="000000" w:sz="4" w:space="0"/>
              <w:bottom w:val="single" w:color="000000" w:sz="4" w:space="0"/>
              <w:right w:val="single" w:color="000000" w:sz="4" w:space="0"/>
            </w:tcBorders>
            <w:vAlign w:val="center"/>
          </w:tcPr>
          <w:p w14:paraId="102D4A44">
            <w:pPr>
              <w:pStyle w:val="28"/>
              <w:bidi w:val="0"/>
            </w:pPr>
            <w:r>
              <w:t>9726</w:t>
            </w:r>
          </w:p>
        </w:tc>
        <w:tc>
          <w:tcPr>
            <w:tcW w:w="310" w:type="pct"/>
            <w:tcBorders>
              <w:top w:val="single" w:color="000000" w:sz="4" w:space="0"/>
              <w:left w:val="single" w:color="000000" w:sz="4" w:space="0"/>
              <w:bottom w:val="single" w:color="000000" w:sz="4" w:space="0"/>
              <w:right w:val="single" w:color="000000" w:sz="4" w:space="0"/>
            </w:tcBorders>
            <w:vAlign w:val="center"/>
          </w:tcPr>
          <w:p w14:paraId="2C7F0E56">
            <w:pPr>
              <w:pStyle w:val="28"/>
              <w:bidi w:val="0"/>
            </w:pPr>
            <w:r>
              <w:t>16782</w:t>
            </w:r>
          </w:p>
        </w:tc>
        <w:tc>
          <w:tcPr>
            <w:tcW w:w="293" w:type="pct"/>
            <w:tcBorders>
              <w:top w:val="single" w:color="000000" w:sz="4" w:space="0"/>
              <w:left w:val="single" w:color="000000" w:sz="4" w:space="0"/>
              <w:bottom w:val="single" w:color="000000" w:sz="4" w:space="0"/>
              <w:right w:val="single" w:color="000000" w:sz="4" w:space="0"/>
            </w:tcBorders>
            <w:vAlign w:val="center"/>
          </w:tcPr>
          <w:p w14:paraId="3F5667ED">
            <w:pPr>
              <w:pStyle w:val="28"/>
              <w:bidi w:val="0"/>
            </w:pPr>
            <w:r>
              <w:t>12863</w:t>
            </w:r>
          </w:p>
        </w:tc>
        <w:tc>
          <w:tcPr>
            <w:tcW w:w="293" w:type="pct"/>
            <w:tcBorders>
              <w:top w:val="single" w:color="000000" w:sz="4" w:space="0"/>
              <w:left w:val="single" w:color="000000" w:sz="4" w:space="0"/>
              <w:bottom w:val="single" w:color="000000" w:sz="4" w:space="0"/>
              <w:right w:val="single" w:color="000000" w:sz="4" w:space="0"/>
            </w:tcBorders>
            <w:vAlign w:val="center"/>
          </w:tcPr>
          <w:p w14:paraId="76862805">
            <w:pPr>
              <w:pStyle w:val="28"/>
              <w:bidi w:val="0"/>
            </w:pPr>
            <w:r>
              <w:t>12863</w:t>
            </w:r>
          </w:p>
        </w:tc>
        <w:tc>
          <w:tcPr>
            <w:tcW w:w="293" w:type="pct"/>
            <w:tcBorders>
              <w:top w:val="single" w:color="000000" w:sz="4" w:space="0"/>
              <w:left w:val="single" w:color="000000" w:sz="4" w:space="0"/>
              <w:bottom w:val="single" w:color="000000" w:sz="4" w:space="0"/>
              <w:right w:val="single" w:color="000000" w:sz="4" w:space="0"/>
            </w:tcBorders>
            <w:vAlign w:val="center"/>
          </w:tcPr>
          <w:p w14:paraId="2F2C6887">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6777737C">
            <w:pPr>
              <w:pStyle w:val="28"/>
              <w:bidi w:val="0"/>
            </w:pPr>
            <w:r>
              <w:t>—</w:t>
            </w:r>
          </w:p>
        </w:tc>
        <w:tc>
          <w:tcPr>
            <w:tcW w:w="293" w:type="pct"/>
            <w:tcBorders>
              <w:top w:val="single" w:color="000000" w:sz="4" w:space="0"/>
              <w:left w:val="single" w:color="000000" w:sz="4" w:space="0"/>
              <w:bottom w:val="single" w:color="000000" w:sz="4" w:space="0"/>
              <w:right w:val="single" w:color="000000" w:sz="4" w:space="0"/>
            </w:tcBorders>
            <w:vAlign w:val="center"/>
          </w:tcPr>
          <w:p w14:paraId="2473F062">
            <w:pPr>
              <w:pStyle w:val="28"/>
              <w:bidi w:val="0"/>
            </w:pPr>
            <w:r>
              <w:t>9726</w:t>
            </w:r>
          </w:p>
        </w:tc>
        <w:tc>
          <w:tcPr>
            <w:tcW w:w="308" w:type="pct"/>
            <w:tcBorders>
              <w:top w:val="single" w:color="000000" w:sz="4" w:space="0"/>
              <w:left w:val="single" w:color="000000" w:sz="4" w:space="0"/>
              <w:bottom w:val="single" w:color="000000" w:sz="4" w:space="0"/>
              <w:right w:val="single" w:color="000000" w:sz="4" w:space="0"/>
            </w:tcBorders>
            <w:vAlign w:val="center"/>
          </w:tcPr>
          <w:p w14:paraId="2DE42AA5">
            <w:pPr>
              <w:pStyle w:val="28"/>
              <w:bidi w:val="0"/>
            </w:pPr>
            <w:r>
              <w:t>16782</w:t>
            </w:r>
          </w:p>
        </w:tc>
      </w:tr>
      <w:tr w14:paraId="6D9A2454">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5BC8D2D1">
            <w:pPr>
              <w:pStyle w:val="28"/>
              <w:bidi w:val="0"/>
            </w:pPr>
            <w:r>
              <w:t>29</w:t>
            </w:r>
          </w:p>
        </w:tc>
        <w:tc>
          <w:tcPr>
            <w:tcW w:w="1747" w:type="pct"/>
            <w:tcBorders>
              <w:top w:val="single" w:color="000000" w:sz="4" w:space="0"/>
              <w:left w:val="single" w:color="000000" w:sz="4" w:space="0"/>
              <w:bottom w:val="single" w:color="000000" w:sz="4" w:space="0"/>
              <w:right w:val="single" w:color="000000" w:sz="4" w:space="0"/>
            </w:tcBorders>
            <w:vAlign w:val="center"/>
          </w:tcPr>
          <w:p w14:paraId="4F5340F3">
            <w:pPr>
              <w:pStyle w:val="28"/>
              <w:bidi w:val="0"/>
            </w:pPr>
            <w:r>
              <w:t>杭北干渠25+430～34+580、49+500～68+890段续建配套与现代化改造工程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125E8692">
            <w:pPr>
              <w:pStyle w:val="28"/>
              <w:bidi w:val="0"/>
            </w:pPr>
            <w:r>
              <w:t>93513</w:t>
            </w:r>
          </w:p>
        </w:tc>
        <w:tc>
          <w:tcPr>
            <w:tcW w:w="308" w:type="pct"/>
            <w:tcBorders>
              <w:top w:val="single" w:color="000000" w:sz="4" w:space="0"/>
              <w:left w:val="single" w:color="000000" w:sz="4" w:space="0"/>
              <w:bottom w:val="single" w:color="000000" w:sz="4" w:space="0"/>
              <w:right w:val="single" w:color="000000" w:sz="4" w:space="0"/>
            </w:tcBorders>
            <w:vAlign w:val="center"/>
          </w:tcPr>
          <w:p w14:paraId="1FCE3B22">
            <w:pPr>
              <w:pStyle w:val="28"/>
              <w:bidi w:val="0"/>
            </w:pPr>
            <w:r>
              <w:t>74982</w:t>
            </w:r>
          </w:p>
        </w:tc>
        <w:tc>
          <w:tcPr>
            <w:tcW w:w="293" w:type="pct"/>
            <w:tcBorders>
              <w:top w:val="single" w:color="000000" w:sz="4" w:space="0"/>
              <w:left w:val="single" w:color="000000" w:sz="4" w:space="0"/>
              <w:bottom w:val="single" w:color="000000" w:sz="4" w:space="0"/>
              <w:right w:val="single" w:color="000000" w:sz="4" w:space="0"/>
            </w:tcBorders>
            <w:vAlign w:val="center"/>
          </w:tcPr>
          <w:p w14:paraId="66AC7719">
            <w:pPr>
              <w:pStyle w:val="28"/>
              <w:bidi w:val="0"/>
            </w:pPr>
            <w:r>
              <w:t>48431</w:t>
            </w:r>
          </w:p>
        </w:tc>
        <w:tc>
          <w:tcPr>
            <w:tcW w:w="310" w:type="pct"/>
            <w:tcBorders>
              <w:top w:val="single" w:color="000000" w:sz="4" w:space="0"/>
              <w:left w:val="single" w:color="000000" w:sz="4" w:space="0"/>
              <w:bottom w:val="single" w:color="000000" w:sz="4" w:space="0"/>
              <w:right w:val="single" w:color="000000" w:sz="4" w:space="0"/>
            </w:tcBorders>
            <w:vAlign w:val="center"/>
          </w:tcPr>
          <w:p w14:paraId="718A4F8E">
            <w:pPr>
              <w:pStyle w:val="28"/>
              <w:bidi w:val="0"/>
            </w:pPr>
            <w:r>
              <w:t>59305</w:t>
            </w:r>
          </w:p>
        </w:tc>
        <w:tc>
          <w:tcPr>
            <w:tcW w:w="293" w:type="pct"/>
            <w:tcBorders>
              <w:top w:val="single" w:color="000000" w:sz="4" w:space="0"/>
              <w:left w:val="single" w:color="000000" w:sz="4" w:space="0"/>
              <w:bottom w:val="single" w:color="000000" w:sz="4" w:space="0"/>
              <w:right w:val="single" w:color="000000" w:sz="4" w:space="0"/>
            </w:tcBorders>
            <w:vAlign w:val="center"/>
          </w:tcPr>
          <w:p w14:paraId="6D124DAC">
            <w:pPr>
              <w:pStyle w:val="28"/>
              <w:bidi w:val="0"/>
            </w:pPr>
            <w:r>
              <w:t>25833</w:t>
            </w:r>
          </w:p>
        </w:tc>
        <w:tc>
          <w:tcPr>
            <w:tcW w:w="293" w:type="pct"/>
            <w:tcBorders>
              <w:top w:val="single" w:color="000000" w:sz="4" w:space="0"/>
              <w:left w:val="single" w:color="000000" w:sz="4" w:space="0"/>
              <w:bottom w:val="single" w:color="000000" w:sz="4" w:space="0"/>
              <w:right w:val="single" w:color="000000" w:sz="4" w:space="0"/>
            </w:tcBorders>
            <w:vAlign w:val="center"/>
          </w:tcPr>
          <w:p w14:paraId="00B687BE">
            <w:pPr>
              <w:pStyle w:val="28"/>
              <w:bidi w:val="0"/>
            </w:pPr>
            <w:r>
              <w:t>25833</w:t>
            </w:r>
          </w:p>
        </w:tc>
        <w:tc>
          <w:tcPr>
            <w:tcW w:w="293" w:type="pct"/>
            <w:tcBorders>
              <w:top w:val="single" w:color="000000" w:sz="4" w:space="0"/>
              <w:left w:val="single" w:color="000000" w:sz="4" w:space="0"/>
              <w:bottom w:val="single" w:color="000000" w:sz="4" w:space="0"/>
              <w:right w:val="single" w:color="000000" w:sz="4" w:space="0"/>
            </w:tcBorders>
            <w:vAlign w:val="center"/>
          </w:tcPr>
          <w:p w14:paraId="11EC06BD">
            <w:pPr>
              <w:pStyle w:val="28"/>
              <w:bidi w:val="0"/>
            </w:pPr>
            <w:r>
              <w:t>30392</w:t>
            </w:r>
          </w:p>
        </w:tc>
        <w:tc>
          <w:tcPr>
            <w:tcW w:w="295" w:type="pct"/>
            <w:tcBorders>
              <w:top w:val="single" w:color="000000" w:sz="4" w:space="0"/>
              <w:left w:val="single" w:color="000000" w:sz="4" w:space="0"/>
              <w:bottom w:val="single" w:color="000000" w:sz="4" w:space="0"/>
              <w:right w:val="single" w:color="000000" w:sz="4" w:space="0"/>
            </w:tcBorders>
            <w:vAlign w:val="center"/>
          </w:tcPr>
          <w:p w14:paraId="2F644940">
            <w:pPr>
              <w:pStyle w:val="28"/>
              <w:bidi w:val="0"/>
            </w:pPr>
            <w:r>
              <w:t>20258</w:t>
            </w:r>
          </w:p>
        </w:tc>
        <w:tc>
          <w:tcPr>
            <w:tcW w:w="293" w:type="pct"/>
            <w:tcBorders>
              <w:top w:val="single" w:color="000000" w:sz="4" w:space="0"/>
              <w:left w:val="single" w:color="000000" w:sz="4" w:space="0"/>
              <w:bottom w:val="single" w:color="000000" w:sz="4" w:space="0"/>
              <w:right w:val="single" w:color="000000" w:sz="4" w:space="0"/>
            </w:tcBorders>
            <w:vAlign w:val="center"/>
          </w:tcPr>
          <w:p w14:paraId="7F45FB3D">
            <w:pPr>
              <w:pStyle w:val="28"/>
              <w:bidi w:val="0"/>
            </w:pPr>
            <w:r>
              <w:t>78823</w:t>
            </w:r>
          </w:p>
        </w:tc>
        <w:tc>
          <w:tcPr>
            <w:tcW w:w="308" w:type="pct"/>
            <w:tcBorders>
              <w:top w:val="single" w:color="000000" w:sz="4" w:space="0"/>
              <w:left w:val="single" w:color="000000" w:sz="4" w:space="0"/>
              <w:bottom w:val="single" w:color="000000" w:sz="4" w:space="0"/>
              <w:right w:val="single" w:color="000000" w:sz="4" w:space="0"/>
            </w:tcBorders>
            <w:vAlign w:val="center"/>
          </w:tcPr>
          <w:p w14:paraId="227976EC">
            <w:pPr>
              <w:pStyle w:val="28"/>
              <w:bidi w:val="0"/>
            </w:pPr>
            <w:r>
              <w:t>79563</w:t>
            </w:r>
          </w:p>
        </w:tc>
      </w:tr>
      <w:tr w14:paraId="6C01BAFF">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24EB1CF0">
            <w:pPr>
              <w:pStyle w:val="28"/>
              <w:bidi w:val="0"/>
            </w:pPr>
            <w:r>
              <w:t>30</w:t>
            </w:r>
          </w:p>
        </w:tc>
        <w:tc>
          <w:tcPr>
            <w:tcW w:w="1747" w:type="pct"/>
            <w:tcBorders>
              <w:top w:val="single" w:color="000000" w:sz="4" w:space="0"/>
              <w:left w:val="single" w:color="000000" w:sz="4" w:space="0"/>
              <w:bottom w:val="single" w:color="000000" w:sz="4" w:space="0"/>
              <w:right w:val="single" w:color="000000" w:sz="4" w:space="0"/>
            </w:tcBorders>
            <w:vAlign w:val="center"/>
          </w:tcPr>
          <w:p w14:paraId="16968506">
            <w:pPr>
              <w:pStyle w:val="28"/>
              <w:bidi w:val="0"/>
            </w:pPr>
            <w:r>
              <w:t>庐南分干渠沙胜支渠0+000～24+000续建配套与现代化改造工程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4ACC43B2">
            <w:pPr>
              <w:pStyle w:val="28"/>
              <w:bidi w:val="0"/>
            </w:pPr>
            <w:r>
              <w:t>104200</w:t>
            </w:r>
          </w:p>
        </w:tc>
        <w:tc>
          <w:tcPr>
            <w:tcW w:w="308" w:type="pct"/>
            <w:tcBorders>
              <w:top w:val="single" w:color="000000" w:sz="4" w:space="0"/>
              <w:left w:val="single" w:color="000000" w:sz="4" w:space="0"/>
              <w:bottom w:val="single" w:color="000000" w:sz="4" w:space="0"/>
              <w:right w:val="single" w:color="000000" w:sz="4" w:space="0"/>
            </w:tcBorders>
            <w:vAlign w:val="center"/>
          </w:tcPr>
          <w:p w14:paraId="2A8DDA10">
            <w:pPr>
              <w:pStyle w:val="28"/>
              <w:bidi w:val="0"/>
            </w:pPr>
            <w:r>
              <w:t>64050</w:t>
            </w:r>
          </w:p>
        </w:tc>
        <w:tc>
          <w:tcPr>
            <w:tcW w:w="293" w:type="pct"/>
            <w:tcBorders>
              <w:top w:val="single" w:color="000000" w:sz="4" w:space="0"/>
              <w:left w:val="single" w:color="000000" w:sz="4" w:space="0"/>
              <w:bottom w:val="single" w:color="000000" w:sz="4" w:space="0"/>
              <w:right w:val="single" w:color="000000" w:sz="4" w:space="0"/>
            </w:tcBorders>
            <w:vAlign w:val="center"/>
          </w:tcPr>
          <w:p w14:paraId="36EF6209">
            <w:pPr>
              <w:pStyle w:val="28"/>
              <w:bidi w:val="0"/>
            </w:pPr>
            <w: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4FD2274E">
            <w:pPr>
              <w:pStyle w:val="28"/>
              <w:bidi w:val="0"/>
            </w:pPr>
            <w:r>
              <w:t>40050</w:t>
            </w:r>
          </w:p>
        </w:tc>
        <w:tc>
          <w:tcPr>
            <w:tcW w:w="293" w:type="pct"/>
            <w:tcBorders>
              <w:top w:val="single" w:color="000000" w:sz="4" w:space="0"/>
              <w:left w:val="single" w:color="000000" w:sz="4" w:space="0"/>
              <w:bottom w:val="single" w:color="000000" w:sz="4" w:space="0"/>
              <w:right w:val="single" w:color="000000" w:sz="4" w:space="0"/>
            </w:tcBorders>
            <w:vAlign w:val="center"/>
          </w:tcPr>
          <w:p w14:paraId="6D00EEF3">
            <w:pPr>
              <w:pStyle w:val="28"/>
              <w:bidi w:val="0"/>
            </w:pPr>
            <w:r>
              <w:t>342</w:t>
            </w:r>
          </w:p>
        </w:tc>
        <w:tc>
          <w:tcPr>
            <w:tcW w:w="293" w:type="pct"/>
            <w:tcBorders>
              <w:top w:val="single" w:color="000000" w:sz="4" w:space="0"/>
              <w:left w:val="single" w:color="000000" w:sz="4" w:space="0"/>
              <w:bottom w:val="single" w:color="000000" w:sz="4" w:space="0"/>
              <w:right w:val="single" w:color="000000" w:sz="4" w:space="0"/>
            </w:tcBorders>
            <w:vAlign w:val="center"/>
          </w:tcPr>
          <w:p w14:paraId="25AB4EB9">
            <w:pPr>
              <w:pStyle w:val="28"/>
              <w:bidi w:val="0"/>
            </w:pPr>
            <w:r>
              <w:t>342</w:t>
            </w:r>
          </w:p>
        </w:tc>
        <w:tc>
          <w:tcPr>
            <w:tcW w:w="293" w:type="pct"/>
            <w:tcBorders>
              <w:top w:val="single" w:color="000000" w:sz="4" w:space="0"/>
              <w:left w:val="single" w:color="000000" w:sz="4" w:space="0"/>
              <w:bottom w:val="single" w:color="000000" w:sz="4" w:space="0"/>
              <w:right w:val="single" w:color="000000" w:sz="4" w:space="0"/>
            </w:tcBorders>
            <w:vAlign w:val="center"/>
          </w:tcPr>
          <w:p w14:paraId="5AA99318">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3E31FC1B">
            <w:pPr>
              <w:pStyle w:val="28"/>
              <w:bidi w:val="0"/>
            </w:pPr>
            <w:r>
              <w:t>342</w:t>
            </w:r>
          </w:p>
        </w:tc>
        <w:tc>
          <w:tcPr>
            <w:tcW w:w="293" w:type="pct"/>
            <w:tcBorders>
              <w:top w:val="single" w:color="000000" w:sz="4" w:space="0"/>
              <w:left w:val="single" w:color="000000" w:sz="4" w:space="0"/>
              <w:bottom w:val="single" w:color="000000" w:sz="4" w:space="0"/>
              <w:right w:val="single" w:color="000000" w:sz="4" w:space="0"/>
            </w:tcBorders>
            <w:vAlign w:val="center"/>
          </w:tcPr>
          <w:p w14:paraId="28C71828">
            <w:pPr>
              <w:pStyle w:val="28"/>
              <w:bidi w:val="0"/>
            </w:pPr>
            <w:r>
              <w:t>—</w:t>
            </w:r>
          </w:p>
        </w:tc>
        <w:tc>
          <w:tcPr>
            <w:tcW w:w="308" w:type="pct"/>
            <w:tcBorders>
              <w:top w:val="single" w:color="000000" w:sz="4" w:space="0"/>
              <w:left w:val="single" w:color="000000" w:sz="4" w:space="0"/>
              <w:bottom w:val="single" w:color="000000" w:sz="4" w:space="0"/>
              <w:right w:val="single" w:color="000000" w:sz="4" w:space="0"/>
            </w:tcBorders>
            <w:vAlign w:val="center"/>
          </w:tcPr>
          <w:p w14:paraId="6742A5F6">
            <w:pPr>
              <w:pStyle w:val="28"/>
              <w:bidi w:val="0"/>
            </w:pPr>
            <w:r>
              <w:t>40392</w:t>
            </w:r>
          </w:p>
        </w:tc>
      </w:tr>
      <w:tr w14:paraId="0E3D52B3">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36D6907C">
            <w:pPr>
              <w:pStyle w:val="28"/>
              <w:bidi w:val="0"/>
            </w:pPr>
            <w:r>
              <w:t>31</w:t>
            </w:r>
          </w:p>
        </w:tc>
        <w:tc>
          <w:tcPr>
            <w:tcW w:w="1747" w:type="pct"/>
            <w:tcBorders>
              <w:top w:val="single" w:color="000000" w:sz="4" w:space="0"/>
              <w:left w:val="single" w:color="000000" w:sz="4" w:space="0"/>
              <w:bottom w:val="single" w:color="000000" w:sz="4" w:space="0"/>
              <w:right w:val="single" w:color="000000" w:sz="4" w:space="0"/>
            </w:tcBorders>
            <w:vAlign w:val="center"/>
          </w:tcPr>
          <w:p w14:paraId="43F6DA1A">
            <w:pPr>
              <w:pStyle w:val="28"/>
              <w:bidi w:val="0"/>
            </w:pPr>
            <w:r>
              <w:t>庐南分干渠乐桥支渠0+000～10+200段续建配套与现代化改造工程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2EAC29A3">
            <w:pPr>
              <w:pStyle w:val="28"/>
              <w:bidi w:val="0"/>
            </w:pPr>
            <w:r>
              <w:t>31600</w:t>
            </w:r>
          </w:p>
        </w:tc>
        <w:tc>
          <w:tcPr>
            <w:tcW w:w="308" w:type="pct"/>
            <w:tcBorders>
              <w:top w:val="single" w:color="000000" w:sz="4" w:space="0"/>
              <w:left w:val="single" w:color="000000" w:sz="4" w:space="0"/>
              <w:bottom w:val="single" w:color="000000" w:sz="4" w:space="0"/>
              <w:right w:val="single" w:color="000000" w:sz="4" w:space="0"/>
            </w:tcBorders>
            <w:vAlign w:val="center"/>
          </w:tcPr>
          <w:p w14:paraId="002FC548">
            <w:pPr>
              <w:pStyle w:val="28"/>
              <w:bidi w:val="0"/>
            </w:pPr>
            <w:r>
              <w:t>19700</w:t>
            </w:r>
          </w:p>
        </w:tc>
        <w:tc>
          <w:tcPr>
            <w:tcW w:w="293" w:type="pct"/>
            <w:tcBorders>
              <w:top w:val="single" w:color="000000" w:sz="4" w:space="0"/>
              <w:left w:val="single" w:color="000000" w:sz="4" w:space="0"/>
              <w:bottom w:val="single" w:color="000000" w:sz="4" w:space="0"/>
              <w:right w:val="single" w:color="000000" w:sz="4" w:space="0"/>
            </w:tcBorders>
            <w:vAlign w:val="center"/>
          </w:tcPr>
          <w:p w14:paraId="02422C3D">
            <w:pPr>
              <w:pStyle w:val="28"/>
              <w:bidi w:val="0"/>
            </w:pPr>
            <w: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5BFE1309">
            <w:pPr>
              <w:pStyle w:val="28"/>
              <w:bidi w:val="0"/>
            </w:pPr>
            <w:r>
              <w:t>11594</w:t>
            </w:r>
          </w:p>
        </w:tc>
        <w:tc>
          <w:tcPr>
            <w:tcW w:w="293" w:type="pct"/>
            <w:tcBorders>
              <w:top w:val="single" w:color="000000" w:sz="4" w:space="0"/>
              <w:left w:val="single" w:color="000000" w:sz="4" w:space="0"/>
              <w:bottom w:val="single" w:color="000000" w:sz="4" w:space="0"/>
              <w:right w:val="single" w:color="000000" w:sz="4" w:space="0"/>
            </w:tcBorders>
            <w:vAlign w:val="center"/>
          </w:tcPr>
          <w:p w14:paraId="58F1E437">
            <w:pPr>
              <w:pStyle w:val="28"/>
              <w:bidi w:val="0"/>
            </w:pPr>
            <w:r>
              <w:t>306</w:t>
            </w:r>
          </w:p>
        </w:tc>
        <w:tc>
          <w:tcPr>
            <w:tcW w:w="293" w:type="pct"/>
            <w:tcBorders>
              <w:top w:val="single" w:color="000000" w:sz="4" w:space="0"/>
              <w:left w:val="single" w:color="000000" w:sz="4" w:space="0"/>
              <w:bottom w:val="single" w:color="000000" w:sz="4" w:space="0"/>
              <w:right w:val="single" w:color="000000" w:sz="4" w:space="0"/>
            </w:tcBorders>
            <w:vAlign w:val="center"/>
          </w:tcPr>
          <w:p w14:paraId="3B4C9629">
            <w:pPr>
              <w:pStyle w:val="28"/>
              <w:bidi w:val="0"/>
            </w:pPr>
            <w:r>
              <w:t>306</w:t>
            </w:r>
          </w:p>
        </w:tc>
        <w:tc>
          <w:tcPr>
            <w:tcW w:w="293" w:type="pct"/>
            <w:tcBorders>
              <w:top w:val="single" w:color="000000" w:sz="4" w:space="0"/>
              <w:left w:val="single" w:color="000000" w:sz="4" w:space="0"/>
              <w:bottom w:val="single" w:color="000000" w:sz="4" w:space="0"/>
              <w:right w:val="single" w:color="000000" w:sz="4" w:space="0"/>
            </w:tcBorders>
            <w:vAlign w:val="center"/>
          </w:tcPr>
          <w:p w14:paraId="28F1B257">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70DC0460">
            <w:pPr>
              <w:pStyle w:val="28"/>
              <w:bidi w:val="0"/>
            </w:pPr>
            <w:r>
              <w:t>306</w:t>
            </w:r>
          </w:p>
        </w:tc>
        <w:tc>
          <w:tcPr>
            <w:tcW w:w="293" w:type="pct"/>
            <w:tcBorders>
              <w:top w:val="single" w:color="000000" w:sz="4" w:space="0"/>
              <w:left w:val="single" w:color="000000" w:sz="4" w:space="0"/>
              <w:bottom w:val="single" w:color="000000" w:sz="4" w:space="0"/>
              <w:right w:val="single" w:color="000000" w:sz="4" w:space="0"/>
            </w:tcBorders>
            <w:vAlign w:val="center"/>
          </w:tcPr>
          <w:p w14:paraId="7CFFDBAC">
            <w:pPr>
              <w:pStyle w:val="28"/>
              <w:bidi w:val="0"/>
            </w:pPr>
            <w:r>
              <w:t>—</w:t>
            </w:r>
          </w:p>
        </w:tc>
        <w:tc>
          <w:tcPr>
            <w:tcW w:w="308" w:type="pct"/>
            <w:tcBorders>
              <w:top w:val="single" w:color="000000" w:sz="4" w:space="0"/>
              <w:left w:val="single" w:color="000000" w:sz="4" w:space="0"/>
              <w:bottom w:val="single" w:color="000000" w:sz="4" w:space="0"/>
              <w:right w:val="single" w:color="000000" w:sz="4" w:space="0"/>
            </w:tcBorders>
            <w:vAlign w:val="center"/>
          </w:tcPr>
          <w:p w14:paraId="1017DCE1">
            <w:pPr>
              <w:pStyle w:val="28"/>
              <w:bidi w:val="0"/>
            </w:pPr>
            <w:r>
              <w:t>11900</w:t>
            </w:r>
          </w:p>
        </w:tc>
      </w:tr>
      <w:tr w14:paraId="075792CF">
        <w:tblPrEx>
          <w:tblCellMar>
            <w:top w:w="0" w:type="dxa"/>
            <w:left w:w="108" w:type="dxa"/>
            <w:bottom w:w="0" w:type="dxa"/>
            <w:right w:w="108" w:type="dxa"/>
          </w:tblCellMar>
        </w:tblPrEx>
        <w:trPr>
          <w:trHeight w:val="340" w:hRule="atLeast"/>
          <w:jc w:val="center"/>
        </w:trPr>
        <w:tc>
          <w:tcPr>
            <w:tcW w:w="255" w:type="pct"/>
            <w:tcBorders>
              <w:top w:val="single" w:color="000000" w:sz="4" w:space="0"/>
              <w:left w:val="single" w:color="000000" w:sz="4" w:space="0"/>
              <w:bottom w:val="single" w:color="000000" w:sz="4" w:space="0"/>
              <w:right w:val="single" w:color="000000" w:sz="4" w:space="0"/>
            </w:tcBorders>
            <w:vAlign w:val="center"/>
          </w:tcPr>
          <w:p w14:paraId="40D1AE54">
            <w:pPr>
              <w:pStyle w:val="28"/>
              <w:bidi w:val="0"/>
            </w:pPr>
            <w:r>
              <w:t>32</w:t>
            </w:r>
          </w:p>
        </w:tc>
        <w:tc>
          <w:tcPr>
            <w:tcW w:w="1747" w:type="pct"/>
            <w:tcBorders>
              <w:top w:val="single" w:color="000000" w:sz="4" w:space="0"/>
              <w:left w:val="single" w:color="000000" w:sz="4" w:space="0"/>
              <w:bottom w:val="single" w:color="000000" w:sz="4" w:space="0"/>
              <w:right w:val="single" w:color="000000" w:sz="4" w:space="0"/>
            </w:tcBorders>
            <w:vAlign w:val="center"/>
          </w:tcPr>
          <w:p w14:paraId="44630A59">
            <w:pPr>
              <w:pStyle w:val="28"/>
              <w:bidi w:val="0"/>
            </w:pPr>
            <w:r>
              <w:t>舒庐干渠马田支渠0+000～5+000段续建配套与现代化改造工程</w:t>
            </w:r>
          </w:p>
        </w:tc>
        <w:tc>
          <w:tcPr>
            <w:tcW w:w="307" w:type="pct"/>
            <w:tcBorders>
              <w:top w:val="single" w:color="000000" w:sz="4" w:space="0"/>
              <w:left w:val="single" w:color="000000" w:sz="4" w:space="0"/>
              <w:bottom w:val="single" w:color="000000" w:sz="4" w:space="0"/>
              <w:right w:val="single" w:color="000000" w:sz="4" w:space="0"/>
            </w:tcBorders>
            <w:vAlign w:val="center"/>
          </w:tcPr>
          <w:p w14:paraId="1C1F0374">
            <w:pPr>
              <w:pStyle w:val="28"/>
              <w:bidi w:val="0"/>
            </w:pPr>
            <w:r>
              <w:t>26000</w:t>
            </w:r>
          </w:p>
        </w:tc>
        <w:tc>
          <w:tcPr>
            <w:tcW w:w="308" w:type="pct"/>
            <w:tcBorders>
              <w:top w:val="single" w:color="000000" w:sz="4" w:space="0"/>
              <w:left w:val="single" w:color="000000" w:sz="4" w:space="0"/>
              <w:bottom w:val="single" w:color="000000" w:sz="4" w:space="0"/>
              <w:right w:val="single" w:color="000000" w:sz="4" w:space="0"/>
            </w:tcBorders>
            <w:vAlign w:val="center"/>
          </w:tcPr>
          <w:p w14:paraId="6109E26E">
            <w:pPr>
              <w:pStyle w:val="28"/>
              <w:bidi w:val="0"/>
            </w:pPr>
            <w:r>
              <w:t>14000</w:t>
            </w:r>
          </w:p>
        </w:tc>
        <w:tc>
          <w:tcPr>
            <w:tcW w:w="293" w:type="pct"/>
            <w:tcBorders>
              <w:top w:val="single" w:color="000000" w:sz="4" w:space="0"/>
              <w:left w:val="single" w:color="000000" w:sz="4" w:space="0"/>
              <w:bottom w:val="single" w:color="000000" w:sz="4" w:space="0"/>
              <w:right w:val="single" w:color="000000" w:sz="4" w:space="0"/>
            </w:tcBorders>
            <w:vAlign w:val="center"/>
          </w:tcPr>
          <w:p w14:paraId="38239C23">
            <w:pPr>
              <w:pStyle w:val="28"/>
              <w:bidi w:val="0"/>
            </w:pPr>
            <w:r>
              <w:t>—</w:t>
            </w:r>
          </w:p>
        </w:tc>
        <w:tc>
          <w:tcPr>
            <w:tcW w:w="310" w:type="pct"/>
            <w:tcBorders>
              <w:top w:val="single" w:color="000000" w:sz="4" w:space="0"/>
              <w:left w:val="single" w:color="000000" w:sz="4" w:space="0"/>
              <w:bottom w:val="single" w:color="000000" w:sz="4" w:space="0"/>
              <w:right w:val="single" w:color="000000" w:sz="4" w:space="0"/>
            </w:tcBorders>
            <w:vAlign w:val="center"/>
          </w:tcPr>
          <w:p w14:paraId="0DA82063">
            <w:pPr>
              <w:pStyle w:val="28"/>
              <w:bidi w:val="0"/>
            </w:pPr>
            <w:r>
              <w:t>11884</w:t>
            </w:r>
          </w:p>
        </w:tc>
        <w:tc>
          <w:tcPr>
            <w:tcW w:w="293" w:type="pct"/>
            <w:tcBorders>
              <w:top w:val="single" w:color="000000" w:sz="4" w:space="0"/>
              <w:left w:val="single" w:color="000000" w:sz="4" w:space="0"/>
              <w:bottom w:val="single" w:color="000000" w:sz="4" w:space="0"/>
              <w:right w:val="single" w:color="000000" w:sz="4" w:space="0"/>
            </w:tcBorders>
            <w:vAlign w:val="center"/>
          </w:tcPr>
          <w:p w14:paraId="19C4016C">
            <w:pPr>
              <w:pStyle w:val="28"/>
              <w:bidi w:val="0"/>
            </w:pPr>
            <w:r>
              <w:t>116</w:t>
            </w:r>
          </w:p>
        </w:tc>
        <w:tc>
          <w:tcPr>
            <w:tcW w:w="293" w:type="pct"/>
            <w:tcBorders>
              <w:top w:val="single" w:color="000000" w:sz="4" w:space="0"/>
              <w:left w:val="single" w:color="000000" w:sz="4" w:space="0"/>
              <w:bottom w:val="single" w:color="000000" w:sz="4" w:space="0"/>
              <w:right w:val="single" w:color="000000" w:sz="4" w:space="0"/>
            </w:tcBorders>
            <w:vAlign w:val="center"/>
          </w:tcPr>
          <w:p w14:paraId="3CDA08F9">
            <w:pPr>
              <w:pStyle w:val="28"/>
              <w:bidi w:val="0"/>
            </w:pPr>
            <w:r>
              <w:t>116</w:t>
            </w:r>
          </w:p>
        </w:tc>
        <w:tc>
          <w:tcPr>
            <w:tcW w:w="293" w:type="pct"/>
            <w:tcBorders>
              <w:top w:val="single" w:color="000000" w:sz="4" w:space="0"/>
              <w:left w:val="single" w:color="000000" w:sz="4" w:space="0"/>
              <w:bottom w:val="single" w:color="000000" w:sz="4" w:space="0"/>
              <w:right w:val="single" w:color="000000" w:sz="4" w:space="0"/>
            </w:tcBorders>
            <w:vAlign w:val="center"/>
          </w:tcPr>
          <w:p w14:paraId="2EC79990">
            <w:pPr>
              <w:pStyle w:val="28"/>
              <w:bidi w:val="0"/>
            </w:pPr>
            <w:r>
              <w:t>—</w:t>
            </w:r>
          </w:p>
        </w:tc>
        <w:tc>
          <w:tcPr>
            <w:tcW w:w="295" w:type="pct"/>
            <w:tcBorders>
              <w:top w:val="single" w:color="000000" w:sz="4" w:space="0"/>
              <w:left w:val="single" w:color="000000" w:sz="4" w:space="0"/>
              <w:bottom w:val="single" w:color="000000" w:sz="4" w:space="0"/>
              <w:right w:val="single" w:color="000000" w:sz="4" w:space="0"/>
            </w:tcBorders>
            <w:vAlign w:val="center"/>
          </w:tcPr>
          <w:p w14:paraId="6689C6B3">
            <w:pPr>
              <w:pStyle w:val="28"/>
              <w:bidi w:val="0"/>
            </w:pPr>
            <w:r>
              <w:t>116</w:t>
            </w:r>
          </w:p>
        </w:tc>
        <w:tc>
          <w:tcPr>
            <w:tcW w:w="293" w:type="pct"/>
            <w:tcBorders>
              <w:top w:val="single" w:color="000000" w:sz="4" w:space="0"/>
              <w:left w:val="single" w:color="000000" w:sz="4" w:space="0"/>
              <w:bottom w:val="single" w:color="000000" w:sz="4" w:space="0"/>
              <w:right w:val="single" w:color="000000" w:sz="4" w:space="0"/>
            </w:tcBorders>
            <w:vAlign w:val="center"/>
          </w:tcPr>
          <w:p w14:paraId="28B81FF3">
            <w:pPr>
              <w:pStyle w:val="28"/>
              <w:bidi w:val="0"/>
            </w:pPr>
            <w:r>
              <w:t>—</w:t>
            </w:r>
          </w:p>
        </w:tc>
        <w:tc>
          <w:tcPr>
            <w:tcW w:w="308" w:type="pct"/>
            <w:tcBorders>
              <w:top w:val="single" w:color="000000" w:sz="4" w:space="0"/>
              <w:left w:val="single" w:color="000000" w:sz="4" w:space="0"/>
              <w:bottom w:val="single" w:color="000000" w:sz="4" w:space="0"/>
              <w:right w:val="single" w:color="000000" w:sz="4" w:space="0"/>
            </w:tcBorders>
            <w:vAlign w:val="center"/>
          </w:tcPr>
          <w:p w14:paraId="2CFCDEBF">
            <w:pPr>
              <w:pStyle w:val="28"/>
              <w:bidi w:val="0"/>
            </w:pPr>
            <w:r>
              <w:t>12000</w:t>
            </w:r>
          </w:p>
        </w:tc>
      </w:tr>
      <w:tr w14:paraId="5AFBAC7D">
        <w:tblPrEx>
          <w:tblCellMar>
            <w:top w:w="0" w:type="dxa"/>
            <w:left w:w="108" w:type="dxa"/>
            <w:bottom w:w="0" w:type="dxa"/>
            <w:right w:w="108" w:type="dxa"/>
          </w:tblCellMar>
        </w:tblPrEx>
        <w:trPr>
          <w:trHeight w:val="340" w:hRule="atLeast"/>
          <w:jc w:val="center"/>
        </w:trPr>
        <w:tc>
          <w:tcPr>
            <w:tcW w:w="2003" w:type="pct"/>
            <w:gridSpan w:val="2"/>
            <w:tcBorders>
              <w:top w:val="single" w:color="000000" w:sz="4" w:space="0"/>
              <w:left w:val="single" w:color="000000" w:sz="4" w:space="0"/>
              <w:bottom w:val="single" w:color="000000" w:sz="4" w:space="0"/>
              <w:right w:val="single" w:color="000000" w:sz="4" w:space="0"/>
            </w:tcBorders>
            <w:vAlign w:val="center"/>
          </w:tcPr>
          <w:p w14:paraId="59ED3FA3">
            <w:pPr>
              <w:pStyle w:val="28"/>
              <w:bidi w:val="0"/>
            </w:pPr>
            <w:r>
              <w:t>合计</w:t>
            </w:r>
          </w:p>
        </w:tc>
        <w:tc>
          <w:tcPr>
            <w:tcW w:w="307" w:type="pct"/>
            <w:tcBorders>
              <w:top w:val="single" w:color="000000" w:sz="4" w:space="0"/>
              <w:left w:val="single" w:color="000000" w:sz="4" w:space="0"/>
              <w:bottom w:val="single" w:color="000000" w:sz="4" w:space="0"/>
              <w:right w:val="single" w:color="000000" w:sz="4" w:space="0"/>
            </w:tcBorders>
            <w:vAlign w:val="center"/>
          </w:tcPr>
          <w:p w14:paraId="44F6AD8F">
            <w:pPr>
              <w:pStyle w:val="28"/>
              <w:bidi w:val="0"/>
            </w:pPr>
            <w:r>
              <w:t>2471072</w:t>
            </w:r>
          </w:p>
        </w:tc>
        <w:tc>
          <w:tcPr>
            <w:tcW w:w="308" w:type="pct"/>
            <w:tcBorders>
              <w:top w:val="single" w:color="000000" w:sz="4" w:space="0"/>
              <w:left w:val="single" w:color="000000" w:sz="4" w:space="0"/>
              <w:bottom w:val="single" w:color="000000" w:sz="4" w:space="0"/>
              <w:right w:val="single" w:color="000000" w:sz="4" w:space="0"/>
            </w:tcBorders>
            <w:vAlign w:val="center"/>
          </w:tcPr>
          <w:p w14:paraId="4080743F">
            <w:pPr>
              <w:pStyle w:val="28"/>
              <w:bidi w:val="0"/>
            </w:pPr>
            <w:r>
              <w:t>1488403</w:t>
            </w:r>
          </w:p>
        </w:tc>
        <w:tc>
          <w:tcPr>
            <w:tcW w:w="293" w:type="pct"/>
            <w:tcBorders>
              <w:top w:val="single" w:color="000000" w:sz="4" w:space="0"/>
              <w:left w:val="single" w:color="000000" w:sz="4" w:space="0"/>
              <w:bottom w:val="single" w:color="000000" w:sz="4" w:space="0"/>
              <w:right w:val="single" w:color="000000" w:sz="4" w:space="0"/>
            </w:tcBorders>
            <w:vAlign w:val="center"/>
          </w:tcPr>
          <w:p w14:paraId="0EC4C16B">
            <w:pPr>
              <w:pStyle w:val="28"/>
              <w:bidi w:val="0"/>
            </w:pPr>
            <w:r>
              <w:t>496823</w:t>
            </w:r>
          </w:p>
        </w:tc>
        <w:tc>
          <w:tcPr>
            <w:tcW w:w="310" w:type="pct"/>
            <w:tcBorders>
              <w:top w:val="single" w:color="000000" w:sz="4" w:space="0"/>
              <w:left w:val="single" w:color="000000" w:sz="4" w:space="0"/>
              <w:bottom w:val="single" w:color="000000" w:sz="4" w:space="0"/>
              <w:right w:val="single" w:color="000000" w:sz="4" w:space="0"/>
            </w:tcBorders>
            <w:vAlign w:val="center"/>
          </w:tcPr>
          <w:p w14:paraId="595753F1">
            <w:pPr>
              <w:pStyle w:val="28"/>
              <w:bidi w:val="0"/>
            </w:pPr>
            <w:r>
              <w:t>1515912</w:t>
            </w:r>
          </w:p>
        </w:tc>
        <w:tc>
          <w:tcPr>
            <w:tcW w:w="293" w:type="pct"/>
            <w:tcBorders>
              <w:top w:val="single" w:color="000000" w:sz="4" w:space="0"/>
              <w:left w:val="single" w:color="000000" w:sz="4" w:space="0"/>
              <w:bottom w:val="single" w:color="000000" w:sz="4" w:space="0"/>
              <w:right w:val="single" w:color="000000" w:sz="4" w:space="0"/>
            </w:tcBorders>
            <w:vAlign w:val="center"/>
          </w:tcPr>
          <w:p w14:paraId="5D13313C">
            <w:pPr>
              <w:pStyle w:val="28"/>
              <w:bidi w:val="0"/>
            </w:pPr>
            <w:r>
              <w:t>255891</w:t>
            </w:r>
          </w:p>
        </w:tc>
        <w:tc>
          <w:tcPr>
            <w:tcW w:w="293" w:type="pct"/>
            <w:tcBorders>
              <w:top w:val="single" w:color="000000" w:sz="4" w:space="0"/>
              <w:left w:val="single" w:color="000000" w:sz="4" w:space="0"/>
              <w:bottom w:val="single" w:color="000000" w:sz="4" w:space="0"/>
              <w:right w:val="single" w:color="000000" w:sz="4" w:space="0"/>
            </w:tcBorders>
            <w:vAlign w:val="center"/>
          </w:tcPr>
          <w:p w14:paraId="03F0E17A">
            <w:pPr>
              <w:pStyle w:val="28"/>
              <w:bidi w:val="0"/>
            </w:pPr>
            <w:r>
              <w:t>305656</w:t>
            </w:r>
          </w:p>
        </w:tc>
        <w:tc>
          <w:tcPr>
            <w:tcW w:w="293" w:type="pct"/>
            <w:tcBorders>
              <w:top w:val="single" w:color="000000" w:sz="4" w:space="0"/>
              <w:left w:val="single" w:color="000000" w:sz="4" w:space="0"/>
              <w:bottom w:val="single" w:color="000000" w:sz="4" w:space="0"/>
              <w:right w:val="single" w:color="000000" w:sz="4" w:space="0"/>
            </w:tcBorders>
            <w:vAlign w:val="center"/>
          </w:tcPr>
          <w:p w14:paraId="05396C62">
            <w:pPr>
              <w:pStyle w:val="28"/>
              <w:bidi w:val="0"/>
            </w:pPr>
            <w:r>
              <w:t>164113</w:t>
            </w:r>
          </w:p>
        </w:tc>
        <w:tc>
          <w:tcPr>
            <w:tcW w:w="295" w:type="pct"/>
            <w:tcBorders>
              <w:top w:val="single" w:color="000000" w:sz="4" w:space="0"/>
              <w:left w:val="single" w:color="000000" w:sz="4" w:space="0"/>
              <w:bottom w:val="single" w:color="000000" w:sz="4" w:space="0"/>
              <w:right w:val="single" w:color="000000" w:sz="4" w:space="0"/>
            </w:tcBorders>
            <w:vAlign w:val="center"/>
          </w:tcPr>
          <w:p w14:paraId="1EE0905C">
            <w:pPr>
              <w:pStyle w:val="28"/>
              <w:bidi w:val="0"/>
            </w:pPr>
            <w:r>
              <w:t>188317</w:t>
            </w:r>
          </w:p>
        </w:tc>
        <w:tc>
          <w:tcPr>
            <w:tcW w:w="293" w:type="pct"/>
            <w:tcBorders>
              <w:top w:val="single" w:color="000000" w:sz="4" w:space="0"/>
              <w:left w:val="single" w:color="000000" w:sz="4" w:space="0"/>
              <w:bottom w:val="single" w:color="000000" w:sz="4" w:space="0"/>
              <w:right w:val="single" w:color="000000" w:sz="4" w:space="0"/>
            </w:tcBorders>
            <w:vAlign w:val="center"/>
          </w:tcPr>
          <w:p w14:paraId="558A5233">
            <w:pPr>
              <w:pStyle w:val="28"/>
              <w:bidi w:val="0"/>
            </w:pPr>
            <w:r>
              <w:t>660980</w:t>
            </w:r>
          </w:p>
        </w:tc>
        <w:tc>
          <w:tcPr>
            <w:tcW w:w="308" w:type="pct"/>
            <w:tcBorders>
              <w:top w:val="single" w:color="000000" w:sz="4" w:space="0"/>
              <w:left w:val="single" w:color="000000" w:sz="4" w:space="0"/>
              <w:bottom w:val="single" w:color="000000" w:sz="4" w:space="0"/>
              <w:right w:val="single" w:color="000000" w:sz="4" w:space="0"/>
            </w:tcBorders>
            <w:vAlign w:val="center"/>
          </w:tcPr>
          <w:p w14:paraId="2F4813C8">
            <w:pPr>
              <w:pStyle w:val="28"/>
              <w:bidi w:val="0"/>
            </w:pPr>
            <w:r>
              <w:t>1745414</w:t>
            </w:r>
          </w:p>
        </w:tc>
      </w:tr>
    </w:tbl>
    <w:p w14:paraId="2929DA87">
      <w:pPr>
        <w:rPr>
          <w:rFonts w:cs="Times New Roman"/>
          <w:color w:val="0000FF"/>
        </w:rPr>
      </w:pPr>
    </w:p>
    <w:p w14:paraId="7D7AE82E">
      <w:pPr>
        <w:pStyle w:val="5"/>
        <w:rPr>
          <w:rFonts w:cs="Times New Roman"/>
          <w:color w:val="0000FF"/>
        </w:rPr>
        <w:sectPr>
          <w:pgSz w:w="11905" w:h="16838"/>
          <w:pgMar w:top="1417" w:right="1417" w:bottom="1417" w:left="1417" w:header="850" w:footer="850" w:gutter="0"/>
          <w:pgNumType w:fmt="decimal"/>
          <w:cols w:space="0" w:num="1"/>
          <w:rtlGutter w:val="0"/>
          <w:docGrid w:linePitch="326" w:charSpace="0"/>
        </w:sectPr>
      </w:pPr>
    </w:p>
    <w:p w14:paraId="400FCEEE">
      <w:pPr>
        <w:pStyle w:val="5"/>
        <w:rPr>
          <w:rFonts w:cs="Times New Roman"/>
          <w:color w:val="0000FF"/>
        </w:rPr>
      </w:pPr>
      <w:r>
        <w:rPr>
          <w:rFonts w:cs="Times New Roman"/>
          <w:color w:val="0000FF"/>
        </w:rPr>
        <w:t>2.</w:t>
      </w:r>
      <w:r>
        <w:rPr>
          <w:rFonts w:hint="eastAsia" w:cs="Times New Roman"/>
          <w:color w:val="0000FF"/>
        </w:rPr>
        <w:t>4</w:t>
      </w:r>
      <w:r>
        <w:rPr>
          <w:rFonts w:cs="Times New Roman"/>
          <w:color w:val="0000FF"/>
        </w:rPr>
        <w:t>.</w:t>
      </w:r>
      <w:r>
        <w:rPr>
          <w:rFonts w:hint="eastAsia" w:cs="Times New Roman"/>
          <w:color w:val="0000FF"/>
        </w:rPr>
        <w:t>5</w:t>
      </w:r>
      <w:r>
        <w:rPr>
          <w:rFonts w:cs="Times New Roman"/>
          <w:color w:val="0000FF"/>
        </w:rPr>
        <w:t>.</w:t>
      </w:r>
      <w:r>
        <w:rPr>
          <w:rFonts w:hint="eastAsia" w:cs="Times New Roman"/>
          <w:color w:val="0000FF"/>
        </w:rPr>
        <w:t>2</w:t>
      </w:r>
      <w:r>
        <w:rPr>
          <w:rFonts w:cs="Times New Roman"/>
          <w:color w:val="0000FF"/>
        </w:rPr>
        <w:t xml:space="preserve"> 弃土规划</w:t>
      </w:r>
    </w:p>
    <w:p w14:paraId="5A438E7E">
      <w:pPr>
        <w:ind w:firstLine="480"/>
        <w:rPr>
          <w:rFonts w:cs="Times New Roman"/>
          <w:color w:val="0000FF"/>
        </w:rPr>
      </w:pPr>
      <w:r>
        <w:rPr>
          <w:rFonts w:cs="Times New Roman"/>
          <w:color w:val="0000FF"/>
        </w:rPr>
        <w:t>根据渠道及建筑物的布置情况并结合沿渠的地形地貌特征，设计采用“总体分散规划渣场、局部集中堆渣”的方式，分段规划取（弃）土场，弃土场尽量就近选择相对平坦的荒坡或荒沟。</w:t>
      </w:r>
    </w:p>
    <w:p w14:paraId="2673E368">
      <w:pPr>
        <w:ind w:firstLine="480"/>
        <w:rPr>
          <w:rFonts w:cs="Times New Roman"/>
          <w:color w:val="0000FF"/>
        </w:rPr>
      </w:pPr>
      <w:r>
        <w:rPr>
          <w:rFonts w:cs="Times New Roman"/>
          <w:color w:val="0000FF"/>
        </w:rPr>
        <w:t>本工程共设</w:t>
      </w:r>
      <w:r>
        <w:rPr>
          <w:rFonts w:hint="eastAsia" w:cs="Times New Roman"/>
          <w:color w:val="0000FF"/>
        </w:rPr>
        <w:t>16</w:t>
      </w:r>
      <w:r>
        <w:rPr>
          <w:rFonts w:cs="Times New Roman"/>
          <w:color w:val="0000FF"/>
        </w:rPr>
        <w:t>个弃土场，</w:t>
      </w:r>
      <w:r>
        <w:rPr>
          <w:rFonts w:hint="eastAsia" w:cs="Times New Roman"/>
          <w:color w:val="0000FF"/>
        </w:rPr>
        <w:t>27个取弃土场以及2个取土场。</w:t>
      </w:r>
      <w:r>
        <w:rPr>
          <w:rFonts w:cs="Times New Roman"/>
          <w:color w:val="0000FF"/>
        </w:rPr>
        <w:t>详见表</w:t>
      </w:r>
      <w:r>
        <w:rPr>
          <w:rFonts w:hint="eastAsia" w:cs="Times New Roman"/>
          <w:color w:val="0000FF"/>
        </w:rPr>
        <w:t>3-1-1</w:t>
      </w:r>
      <w:r>
        <w:rPr>
          <w:rFonts w:cs="Times New Roman"/>
          <w:color w:val="0000FF"/>
        </w:rPr>
        <w:t>。</w:t>
      </w:r>
    </w:p>
    <w:p w14:paraId="5641944D">
      <w:pPr>
        <w:pStyle w:val="4"/>
        <w:bidi w:val="0"/>
      </w:pPr>
      <w:r>
        <w:t>2.</w:t>
      </w:r>
      <w:r>
        <w:rPr>
          <w:rFonts w:hint="eastAsia"/>
        </w:rPr>
        <w:t>4.6</w:t>
      </w:r>
      <w:r>
        <w:t xml:space="preserve"> 施工总进度</w:t>
      </w:r>
    </w:p>
    <w:p w14:paraId="4CF4B706">
      <w:pPr>
        <w:bidi w:val="0"/>
        <w:rPr>
          <w:rFonts w:hint="eastAsia"/>
          <w:lang w:eastAsia="zh-CN"/>
        </w:rPr>
      </w:pPr>
      <w:r>
        <w:rPr>
          <w:rFonts w:hint="eastAsia"/>
        </w:rPr>
        <w:t>项目计划于2024年</w:t>
      </w:r>
      <w:r>
        <w:rPr>
          <w:rFonts w:hint="eastAsia"/>
          <w:lang w:val="en-US" w:eastAsia="zh-CN"/>
        </w:rPr>
        <w:t>10</w:t>
      </w:r>
      <w:r>
        <w:rPr>
          <w:rFonts w:hint="eastAsia"/>
        </w:rPr>
        <w:t>月开始施工，于202</w:t>
      </w:r>
      <w:r>
        <w:rPr>
          <w:rFonts w:hint="eastAsia"/>
          <w:lang w:val="en-US" w:eastAsia="zh-CN"/>
        </w:rPr>
        <w:t>5</w:t>
      </w:r>
      <w:r>
        <w:rPr>
          <w:rFonts w:hint="eastAsia"/>
        </w:rPr>
        <w:t>年</w:t>
      </w:r>
      <w:r>
        <w:rPr>
          <w:rFonts w:hint="eastAsia"/>
          <w:lang w:val="en-US" w:eastAsia="zh-CN"/>
        </w:rPr>
        <w:t>5</w:t>
      </w:r>
      <w:r>
        <w:rPr>
          <w:rFonts w:hint="eastAsia"/>
        </w:rPr>
        <w:t>月完工。根据项目施工进度计划，具体安排如下</w:t>
      </w:r>
      <w:r>
        <w:rPr>
          <w:rFonts w:hint="eastAsia"/>
          <w:lang w:eastAsia="zh-CN"/>
        </w:rPr>
        <w:t>：</w:t>
      </w:r>
    </w:p>
    <w:p w14:paraId="588FB16D">
      <w:pPr>
        <w:bidi w:val="0"/>
        <w:rPr>
          <w:rFonts w:hint="eastAsia"/>
        </w:rPr>
      </w:pPr>
      <w:r>
        <w:rPr>
          <w:rFonts w:hint="eastAsia"/>
          <w:lang w:eastAsia="zh-CN"/>
        </w:rPr>
        <w:t>（</w:t>
      </w:r>
      <w:r>
        <w:rPr>
          <w:rFonts w:hint="eastAsia"/>
          <w:lang w:val="en-US" w:eastAsia="zh-CN"/>
        </w:rPr>
        <w:t>1</w:t>
      </w:r>
      <w:r>
        <w:rPr>
          <w:rFonts w:hint="eastAsia"/>
          <w:lang w:eastAsia="zh-CN"/>
        </w:rPr>
        <w:t>）</w:t>
      </w:r>
      <w:r>
        <w:rPr>
          <w:rFonts w:hint="eastAsia"/>
        </w:rPr>
        <w:t>渠道工程区</w:t>
      </w:r>
      <w:r>
        <w:rPr>
          <w:rFonts w:hint="eastAsia"/>
          <w:lang w:eastAsia="zh-CN"/>
        </w:rPr>
        <w:t>：</w:t>
      </w:r>
      <w:r>
        <w:rPr>
          <w:rFonts w:hint="eastAsia"/>
        </w:rPr>
        <w:t>8个月，2024年</w:t>
      </w:r>
      <w:r>
        <w:rPr>
          <w:rFonts w:hint="eastAsia"/>
          <w:lang w:val="en-US" w:eastAsia="zh-CN"/>
        </w:rPr>
        <w:t>10</w:t>
      </w:r>
      <w:r>
        <w:rPr>
          <w:rFonts w:hint="eastAsia"/>
        </w:rPr>
        <w:t>月~2024年</w:t>
      </w:r>
      <w:r>
        <w:rPr>
          <w:rFonts w:hint="eastAsia"/>
          <w:lang w:val="en-US" w:eastAsia="zh-CN"/>
        </w:rPr>
        <w:t>4</w:t>
      </w:r>
      <w:r>
        <w:rPr>
          <w:rFonts w:hint="eastAsia"/>
        </w:rPr>
        <w:t>月，主要进行渠道衬砌、清淤、涵、闸施工，2024年</w:t>
      </w:r>
      <w:r>
        <w:rPr>
          <w:rFonts w:hint="eastAsia"/>
          <w:lang w:val="en-US" w:eastAsia="zh-CN"/>
        </w:rPr>
        <w:t>5</w:t>
      </w:r>
      <w:r>
        <w:rPr>
          <w:rFonts w:hint="eastAsia"/>
        </w:rPr>
        <w:t>月，主要进行渠道草籽护坡的施工。</w:t>
      </w:r>
    </w:p>
    <w:p w14:paraId="1B90D5AE">
      <w:pPr>
        <w:bidi w:val="0"/>
        <w:rPr>
          <w:rFonts w:hint="eastAsia"/>
        </w:rPr>
      </w:pPr>
      <w:r>
        <w:rPr>
          <w:rFonts w:hint="eastAsia"/>
          <w:lang w:eastAsia="zh-CN"/>
        </w:rPr>
        <w:t>（</w:t>
      </w:r>
      <w:r>
        <w:rPr>
          <w:rFonts w:hint="eastAsia"/>
          <w:lang w:val="en-US" w:eastAsia="zh-CN"/>
        </w:rPr>
        <w:t>2</w:t>
      </w:r>
      <w:r>
        <w:rPr>
          <w:rFonts w:hint="eastAsia"/>
          <w:lang w:eastAsia="zh-CN"/>
        </w:rPr>
        <w:t>）</w:t>
      </w:r>
      <w:r>
        <w:rPr>
          <w:rFonts w:hint="eastAsia"/>
        </w:rPr>
        <w:t>站房管理区</w:t>
      </w:r>
      <w:r>
        <w:rPr>
          <w:rFonts w:hint="eastAsia"/>
          <w:lang w:eastAsia="zh-CN"/>
        </w:rPr>
        <w:t>：</w:t>
      </w:r>
      <w:r>
        <w:rPr>
          <w:rFonts w:hint="eastAsia"/>
        </w:rPr>
        <w:t>8个月，2024年</w:t>
      </w:r>
      <w:r>
        <w:rPr>
          <w:rFonts w:hint="eastAsia"/>
          <w:lang w:val="en-US" w:eastAsia="zh-CN"/>
        </w:rPr>
        <w:t>10</w:t>
      </w:r>
      <w:r>
        <w:rPr>
          <w:rFonts w:hint="eastAsia"/>
        </w:rPr>
        <w:t>月~202</w:t>
      </w:r>
      <w:r>
        <w:rPr>
          <w:rFonts w:hint="eastAsia"/>
          <w:lang w:val="en-US" w:eastAsia="zh-CN"/>
        </w:rPr>
        <w:t>5</w:t>
      </w:r>
      <w:r>
        <w:rPr>
          <w:rFonts w:hint="eastAsia"/>
        </w:rPr>
        <w:t>年</w:t>
      </w:r>
      <w:r>
        <w:rPr>
          <w:rFonts w:hint="eastAsia"/>
          <w:lang w:val="en-US" w:eastAsia="zh-CN"/>
        </w:rPr>
        <w:t>4</w:t>
      </w:r>
      <w:r>
        <w:rPr>
          <w:rFonts w:hint="eastAsia"/>
        </w:rPr>
        <w:t>月，主要进行建筑物基础开挖及附属工程施工，2024年12月，主要进行站房管理区的绿化施工。</w:t>
      </w:r>
    </w:p>
    <w:p w14:paraId="624C24F0">
      <w:pPr>
        <w:bidi w:val="0"/>
        <w:rPr>
          <w:rFonts w:hint="eastAsia"/>
        </w:rPr>
      </w:pPr>
      <w:r>
        <w:rPr>
          <w:rFonts w:hint="eastAsia"/>
          <w:lang w:eastAsia="zh-CN"/>
        </w:rPr>
        <w:t>（</w:t>
      </w:r>
      <w:r>
        <w:rPr>
          <w:rFonts w:hint="eastAsia"/>
          <w:lang w:val="en-US" w:eastAsia="zh-CN"/>
        </w:rPr>
        <w:t>3</w:t>
      </w:r>
      <w:r>
        <w:rPr>
          <w:rFonts w:hint="eastAsia"/>
          <w:lang w:eastAsia="zh-CN"/>
        </w:rPr>
        <w:t>）</w:t>
      </w:r>
      <w:r>
        <w:rPr>
          <w:rFonts w:hint="eastAsia"/>
        </w:rPr>
        <w:t>临时施工便道区</w:t>
      </w:r>
      <w:r>
        <w:rPr>
          <w:rFonts w:hint="eastAsia"/>
          <w:lang w:eastAsia="zh-CN"/>
        </w:rPr>
        <w:t>：</w:t>
      </w:r>
      <w:r>
        <w:rPr>
          <w:rFonts w:hint="eastAsia"/>
        </w:rPr>
        <w:t>2个月，2024年</w:t>
      </w:r>
      <w:r>
        <w:rPr>
          <w:rFonts w:hint="eastAsia"/>
          <w:lang w:val="en-US" w:eastAsia="zh-CN"/>
        </w:rPr>
        <w:t>10</w:t>
      </w:r>
      <w:r>
        <w:rPr>
          <w:rFonts w:hint="eastAsia"/>
        </w:rPr>
        <w:t>月，主要修筑临时施工便道施工，202</w:t>
      </w:r>
      <w:r>
        <w:rPr>
          <w:rFonts w:hint="eastAsia"/>
          <w:lang w:val="en-US" w:eastAsia="zh-CN"/>
        </w:rPr>
        <w:t>5</w:t>
      </w:r>
      <w:r>
        <w:rPr>
          <w:rFonts w:hint="eastAsia"/>
        </w:rPr>
        <w:t>年</w:t>
      </w:r>
      <w:r>
        <w:rPr>
          <w:rFonts w:hint="eastAsia"/>
          <w:lang w:val="en-US" w:eastAsia="zh-CN"/>
        </w:rPr>
        <w:t>5</w:t>
      </w:r>
      <w:r>
        <w:rPr>
          <w:rFonts w:hint="eastAsia"/>
        </w:rPr>
        <w:t>月，对临时施工便道临时占地区域进行复耕。</w:t>
      </w:r>
    </w:p>
    <w:p w14:paraId="20FE673F">
      <w:pPr>
        <w:pStyle w:val="29"/>
        <w:bidi w:val="0"/>
      </w:pPr>
      <w:r>
        <w:t>表2</w:t>
      </w:r>
      <w:r>
        <w:rPr>
          <w:rFonts w:hint="eastAsia"/>
          <w:lang w:val="en-US" w:eastAsia="zh-CN"/>
        </w:rPr>
        <w:t>.</w:t>
      </w:r>
      <w:r>
        <w:rPr>
          <w:rFonts w:hint="eastAsia"/>
        </w:rPr>
        <w:t>4</w:t>
      </w:r>
      <w:r>
        <w:t>-</w:t>
      </w:r>
      <w:r>
        <w:rPr>
          <w:rFonts w:hint="eastAsia"/>
        </w:rPr>
        <w:t>5</w:t>
      </w:r>
      <w:r>
        <w:t xml:space="preserve">  施工进度表</w:t>
      </w:r>
    </w:p>
    <w:p w14:paraId="1BAE6CDF">
      <w:pPr>
        <w:rPr>
          <w:color w:val="0000FF"/>
        </w:rPr>
      </w:pPr>
    </w:p>
    <w:p w14:paraId="77162278">
      <w:pPr>
        <w:jc w:val="center"/>
        <w:rPr>
          <w:rFonts w:cs="Times New Roman"/>
          <w:color w:val="0000FF"/>
        </w:rPr>
      </w:pPr>
    </w:p>
    <w:p w14:paraId="5F4EEB65">
      <w:pPr>
        <w:rPr>
          <w:rFonts w:cs="Times New Roman"/>
          <w:color w:val="0000FF"/>
        </w:rPr>
        <w:sectPr>
          <w:headerReference r:id="rId21" w:type="default"/>
          <w:footerReference r:id="rId22" w:type="default"/>
          <w:pgSz w:w="11905" w:h="16838"/>
          <w:pgMar w:top="1417" w:right="1417" w:bottom="1417" w:left="1417" w:header="850" w:footer="850" w:gutter="0"/>
          <w:pgNumType w:fmt="decimal"/>
          <w:cols w:space="0" w:num="1"/>
          <w:rtlGutter w:val="0"/>
          <w:docGrid w:linePitch="326" w:charSpace="0"/>
        </w:sectPr>
      </w:pPr>
    </w:p>
    <w:p w14:paraId="704D056F">
      <w:pPr>
        <w:pStyle w:val="4"/>
        <w:bidi w:val="0"/>
      </w:pPr>
      <w:r>
        <w:rPr>
          <w:rFonts w:hint="eastAsia"/>
        </w:rPr>
        <w:t>2.4.7 施工劳动力计划</w:t>
      </w:r>
    </w:p>
    <w:p w14:paraId="5904342A">
      <w:pPr>
        <w:ind w:firstLine="480"/>
        <w:rPr>
          <w:rFonts w:cs="Times New Roman"/>
          <w:bCs/>
          <w:color w:val="0000FF"/>
        </w:rPr>
      </w:pPr>
      <w:r>
        <w:rPr>
          <w:rFonts w:cs="Times New Roman"/>
          <w:bCs/>
          <w:color w:val="0000FF"/>
        </w:rPr>
        <w:t>工程施工总工日共约</w:t>
      </w:r>
      <w:r>
        <w:rPr>
          <w:rFonts w:cs="Times New Roman"/>
          <w:b/>
          <w:color w:val="0000FF"/>
        </w:rPr>
        <w:t>113.29</w:t>
      </w:r>
      <w:r>
        <w:rPr>
          <w:rFonts w:cs="Times New Roman"/>
          <w:bCs/>
          <w:color w:val="0000FF"/>
        </w:rPr>
        <w:t>万个，根据进度安排，工程施工平均上工人数约为</w:t>
      </w:r>
      <w:r>
        <w:rPr>
          <w:rFonts w:hint="eastAsia" w:cs="Times New Roman"/>
          <w:bCs/>
          <w:color w:val="0000FF"/>
        </w:rPr>
        <w:t>5059</w:t>
      </w:r>
      <w:r>
        <w:rPr>
          <w:rFonts w:cs="Times New Roman"/>
          <w:bCs/>
          <w:color w:val="0000FF"/>
        </w:rPr>
        <w:t>人，高峰期上工人数约为</w:t>
      </w:r>
      <w:r>
        <w:rPr>
          <w:rFonts w:hint="eastAsia" w:cs="Times New Roman"/>
          <w:b/>
          <w:color w:val="0000FF"/>
        </w:rPr>
        <w:t>6623</w:t>
      </w:r>
      <w:r>
        <w:rPr>
          <w:rFonts w:cs="Times New Roman"/>
          <w:bCs/>
          <w:color w:val="0000FF"/>
        </w:rPr>
        <w:t>人。</w:t>
      </w:r>
    </w:p>
    <w:p w14:paraId="1B964D8F">
      <w:pPr>
        <w:pStyle w:val="4"/>
        <w:rPr>
          <w:color w:val="0000FF"/>
        </w:rPr>
      </w:pPr>
      <w:r>
        <w:rPr>
          <w:rFonts w:hint="eastAsia"/>
          <w:color w:val="0000FF"/>
        </w:rPr>
        <w:t>2.4.8 主要工程量</w:t>
      </w:r>
    </w:p>
    <w:p w14:paraId="183598F4">
      <w:pPr>
        <w:ind w:firstLine="482"/>
        <w:rPr>
          <w:rFonts w:cs="Times New Roman"/>
          <w:bCs/>
          <w:color w:val="0000FF"/>
        </w:rPr>
      </w:pPr>
      <w:r>
        <w:rPr>
          <w:rFonts w:hint="eastAsia" w:cs="Times New Roman"/>
          <w:bCs/>
          <w:color w:val="0000FF"/>
        </w:rPr>
        <w:t>1</w:t>
      </w:r>
      <w:r>
        <w:rPr>
          <w:rFonts w:cs="Times New Roman"/>
          <w:bCs/>
          <w:color w:val="0000FF"/>
        </w:rPr>
        <w:t>、主要建筑材料供应</w:t>
      </w:r>
    </w:p>
    <w:p w14:paraId="27AB8FC8">
      <w:pPr>
        <w:ind w:firstLine="480"/>
        <w:rPr>
          <w:rFonts w:cs="Times New Roman"/>
          <w:color w:val="0000FF"/>
        </w:rPr>
      </w:pPr>
      <w:r>
        <w:rPr>
          <w:rFonts w:cs="Times New Roman"/>
          <w:color w:val="0000FF"/>
        </w:rPr>
        <w:t>工程所需的主要建筑用量见表2-</w:t>
      </w:r>
      <w:r>
        <w:rPr>
          <w:rFonts w:hint="eastAsia" w:cs="Times New Roman"/>
          <w:color w:val="0000FF"/>
        </w:rPr>
        <w:t>4</w:t>
      </w:r>
      <w:r>
        <w:rPr>
          <w:rFonts w:cs="Times New Roman"/>
          <w:color w:val="0000FF"/>
        </w:rPr>
        <w:t>-</w:t>
      </w:r>
      <w:r>
        <w:rPr>
          <w:rFonts w:hint="eastAsia" w:cs="Times New Roman"/>
          <w:color w:val="0000FF"/>
        </w:rPr>
        <w:t>6</w:t>
      </w:r>
      <w:r>
        <w:rPr>
          <w:rFonts w:cs="Times New Roman"/>
          <w:color w:val="0000FF"/>
        </w:rPr>
        <w:t>。</w:t>
      </w:r>
    </w:p>
    <w:p w14:paraId="3B12F25C">
      <w:pPr>
        <w:jc w:val="center"/>
        <w:rPr>
          <w:rFonts w:cs="Times New Roman"/>
          <w:color w:val="0000FF"/>
        </w:rPr>
      </w:pPr>
      <w:r>
        <w:rPr>
          <w:rFonts w:cs="Times New Roman"/>
          <w:color w:val="0000FF"/>
        </w:rPr>
        <w:t>表2-</w:t>
      </w:r>
      <w:r>
        <w:rPr>
          <w:rFonts w:hint="eastAsia" w:cs="Times New Roman"/>
          <w:color w:val="0000FF"/>
        </w:rPr>
        <w:t>4</w:t>
      </w:r>
      <w:r>
        <w:rPr>
          <w:rFonts w:cs="Times New Roman"/>
          <w:color w:val="0000FF"/>
        </w:rPr>
        <w:t>-</w:t>
      </w:r>
      <w:r>
        <w:rPr>
          <w:rFonts w:hint="eastAsia" w:cs="Times New Roman"/>
          <w:color w:val="0000FF"/>
        </w:rPr>
        <w:t>6</w:t>
      </w:r>
      <w:r>
        <w:rPr>
          <w:rFonts w:cs="Times New Roman"/>
          <w:color w:val="0000FF"/>
        </w:rPr>
        <w:t xml:space="preserve">  本项目工程量汇总一览表</w:t>
      </w:r>
    </w:p>
    <w:tbl>
      <w:tblPr>
        <w:tblStyle w:val="16"/>
        <w:tblW w:w="9820" w:type="dxa"/>
        <w:jc w:val="center"/>
        <w:tblLayout w:type="fixed"/>
        <w:tblCellMar>
          <w:top w:w="0" w:type="dxa"/>
          <w:left w:w="108" w:type="dxa"/>
          <w:bottom w:w="0" w:type="dxa"/>
          <w:right w:w="108" w:type="dxa"/>
        </w:tblCellMar>
      </w:tblPr>
      <w:tblGrid>
        <w:gridCol w:w="414"/>
        <w:gridCol w:w="2885"/>
        <w:gridCol w:w="1310"/>
        <w:gridCol w:w="1398"/>
        <w:gridCol w:w="1318"/>
        <w:gridCol w:w="1452"/>
        <w:gridCol w:w="1043"/>
      </w:tblGrid>
      <w:tr w14:paraId="1B57A048">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35AEC07E">
            <w:pPr>
              <w:pStyle w:val="28"/>
              <w:bidi w:val="0"/>
            </w:pPr>
            <w:r>
              <w:t>序号</w:t>
            </w:r>
          </w:p>
        </w:tc>
        <w:tc>
          <w:tcPr>
            <w:tcW w:w="2885" w:type="dxa"/>
            <w:tcBorders>
              <w:top w:val="single" w:color="000000" w:sz="4" w:space="0"/>
              <w:left w:val="single" w:color="000000" w:sz="4" w:space="0"/>
              <w:bottom w:val="single" w:color="000000" w:sz="4" w:space="0"/>
              <w:right w:val="single" w:color="000000" w:sz="4" w:space="0"/>
            </w:tcBorders>
            <w:vAlign w:val="center"/>
          </w:tcPr>
          <w:p w14:paraId="7340D67A">
            <w:pPr>
              <w:pStyle w:val="28"/>
              <w:bidi w:val="0"/>
            </w:pPr>
            <w:r>
              <w:t>项目名称</w:t>
            </w:r>
          </w:p>
        </w:tc>
        <w:tc>
          <w:tcPr>
            <w:tcW w:w="1310" w:type="dxa"/>
            <w:tcBorders>
              <w:top w:val="single" w:color="000000" w:sz="4" w:space="0"/>
              <w:left w:val="single" w:color="000000" w:sz="4" w:space="0"/>
              <w:bottom w:val="single" w:color="000000" w:sz="4" w:space="0"/>
              <w:right w:val="single" w:color="000000" w:sz="4" w:space="0"/>
            </w:tcBorders>
            <w:vAlign w:val="center"/>
          </w:tcPr>
          <w:p w14:paraId="3156B056">
            <w:pPr>
              <w:pStyle w:val="28"/>
              <w:bidi w:val="0"/>
            </w:pPr>
            <w:r>
              <w:t>土方开挖（m³）</w:t>
            </w:r>
          </w:p>
        </w:tc>
        <w:tc>
          <w:tcPr>
            <w:tcW w:w="1398" w:type="dxa"/>
            <w:tcBorders>
              <w:top w:val="single" w:color="000000" w:sz="4" w:space="0"/>
              <w:left w:val="single" w:color="000000" w:sz="4" w:space="0"/>
              <w:bottom w:val="single" w:color="000000" w:sz="4" w:space="0"/>
              <w:right w:val="single" w:color="000000" w:sz="4" w:space="0"/>
            </w:tcBorders>
            <w:vAlign w:val="center"/>
          </w:tcPr>
          <w:p w14:paraId="70394A83">
            <w:pPr>
              <w:pStyle w:val="28"/>
              <w:bidi w:val="0"/>
            </w:pPr>
            <w:r>
              <w:t>土方回填（m³）</w:t>
            </w:r>
          </w:p>
        </w:tc>
        <w:tc>
          <w:tcPr>
            <w:tcW w:w="1318" w:type="dxa"/>
            <w:tcBorders>
              <w:top w:val="single" w:color="000000" w:sz="4" w:space="0"/>
              <w:left w:val="single" w:color="000000" w:sz="4" w:space="0"/>
              <w:bottom w:val="single" w:color="000000" w:sz="4" w:space="0"/>
              <w:right w:val="single" w:color="000000" w:sz="4" w:space="0"/>
            </w:tcBorders>
            <w:vAlign w:val="center"/>
          </w:tcPr>
          <w:p w14:paraId="4AB68114">
            <w:pPr>
              <w:pStyle w:val="28"/>
              <w:bidi w:val="0"/>
            </w:pPr>
            <w:r>
              <w:t>堆砌石（m³）</w:t>
            </w:r>
          </w:p>
        </w:tc>
        <w:tc>
          <w:tcPr>
            <w:tcW w:w="1452" w:type="dxa"/>
            <w:tcBorders>
              <w:top w:val="single" w:color="000000" w:sz="4" w:space="0"/>
              <w:left w:val="single" w:color="000000" w:sz="4" w:space="0"/>
              <w:bottom w:val="single" w:color="000000" w:sz="4" w:space="0"/>
              <w:right w:val="single" w:color="000000" w:sz="4" w:space="0"/>
            </w:tcBorders>
            <w:vAlign w:val="center"/>
          </w:tcPr>
          <w:p w14:paraId="0E019A2C">
            <w:pPr>
              <w:pStyle w:val="28"/>
              <w:bidi w:val="0"/>
            </w:pPr>
            <w:r>
              <w:t>砼及钢筋砼（m³）</w:t>
            </w:r>
          </w:p>
        </w:tc>
        <w:tc>
          <w:tcPr>
            <w:tcW w:w="1043" w:type="dxa"/>
            <w:tcBorders>
              <w:top w:val="single" w:color="000000" w:sz="4" w:space="0"/>
              <w:left w:val="single" w:color="000000" w:sz="4" w:space="0"/>
              <w:bottom w:val="single" w:color="000000" w:sz="4" w:space="0"/>
              <w:right w:val="single" w:color="000000" w:sz="4" w:space="0"/>
            </w:tcBorders>
            <w:vAlign w:val="center"/>
          </w:tcPr>
          <w:p w14:paraId="444F66F3">
            <w:pPr>
              <w:pStyle w:val="28"/>
              <w:bidi w:val="0"/>
            </w:pPr>
            <w:r>
              <w:t>钢筋（t）</w:t>
            </w:r>
          </w:p>
        </w:tc>
      </w:tr>
      <w:tr w14:paraId="151FA633">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77BCFECE">
            <w:pPr>
              <w:pStyle w:val="28"/>
              <w:bidi w:val="0"/>
            </w:pPr>
            <w:r>
              <w:t>1</w:t>
            </w:r>
          </w:p>
        </w:tc>
        <w:tc>
          <w:tcPr>
            <w:tcW w:w="2885" w:type="dxa"/>
            <w:tcBorders>
              <w:top w:val="single" w:color="000000" w:sz="4" w:space="0"/>
              <w:left w:val="single" w:color="000000" w:sz="4" w:space="0"/>
              <w:bottom w:val="single" w:color="000000" w:sz="4" w:space="0"/>
              <w:right w:val="single" w:color="000000" w:sz="4" w:space="0"/>
            </w:tcBorders>
            <w:vAlign w:val="center"/>
          </w:tcPr>
          <w:p w14:paraId="0EC0F34E">
            <w:pPr>
              <w:pStyle w:val="28"/>
              <w:bidi w:val="0"/>
            </w:pPr>
            <w:r>
              <w:t>淠河总干渠上段续建配套与现代化改造工程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4ED5F157">
            <w:pPr>
              <w:pStyle w:val="28"/>
              <w:bidi w:val="0"/>
            </w:pPr>
            <w:r>
              <w:t>83294</w:t>
            </w:r>
          </w:p>
        </w:tc>
        <w:tc>
          <w:tcPr>
            <w:tcW w:w="1398" w:type="dxa"/>
            <w:tcBorders>
              <w:top w:val="single" w:color="000000" w:sz="4" w:space="0"/>
              <w:left w:val="single" w:color="000000" w:sz="4" w:space="0"/>
              <w:bottom w:val="single" w:color="000000" w:sz="4" w:space="0"/>
              <w:right w:val="single" w:color="000000" w:sz="4" w:space="0"/>
            </w:tcBorders>
            <w:vAlign w:val="center"/>
          </w:tcPr>
          <w:p w14:paraId="26BF24CF">
            <w:pPr>
              <w:pStyle w:val="28"/>
              <w:bidi w:val="0"/>
            </w:pPr>
            <w:r>
              <w:t>29181</w:t>
            </w:r>
          </w:p>
        </w:tc>
        <w:tc>
          <w:tcPr>
            <w:tcW w:w="1318" w:type="dxa"/>
            <w:tcBorders>
              <w:top w:val="single" w:color="000000" w:sz="4" w:space="0"/>
              <w:left w:val="single" w:color="000000" w:sz="4" w:space="0"/>
              <w:bottom w:val="single" w:color="000000" w:sz="4" w:space="0"/>
              <w:right w:val="single" w:color="000000" w:sz="4" w:space="0"/>
            </w:tcBorders>
            <w:vAlign w:val="center"/>
          </w:tcPr>
          <w:p w14:paraId="29786FB5">
            <w:pPr>
              <w:pStyle w:val="28"/>
              <w:bidi w:val="0"/>
            </w:pPr>
            <w:r>
              <w:t>1261</w:t>
            </w:r>
          </w:p>
        </w:tc>
        <w:tc>
          <w:tcPr>
            <w:tcW w:w="1452" w:type="dxa"/>
            <w:tcBorders>
              <w:top w:val="single" w:color="000000" w:sz="4" w:space="0"/>
              <w:left w:val="single" w:color="000000" w:sz="4" w:space="0"/>
              <w:bottom w:val="single" w:color="000000" w:sz="4" w:space="0"/>
              <w:right w:val="single" w:color="000000" w:sz="4" w:space="0"/>
            </w:tcBorders>
            <w:vAlign w:val="center"/>
          </w:tcPr>
          <w:p w14:paraId="5EA03AE3">
            <w:pPr>
              <w:pStyle w:val="28"/>
              <w:bidi w:val="0"/>
            </w:pPr>
            <w:r>
              <w:t>6384</w:t>
            </w:r>
          </w:p>
        </w:tc>
        <w:tc>
          <w:tcPr>
            <w:tcW w:w="1043" w:type="dxa"/>
            <w:tcBorders>
              <w:top w:val="single" w:color="000000" w:sz="4" w:space="0"/>
              <w:left w:val="single" w:color="000000" w:sz="4" w:space="0"/>
              <w:bottom w:val="single" w:color="000000" w:sz="4" w:space="0"/>
              <w:right w:val="single" w:color="000000" w:sz="4" w:space="0"/>
            </w:tcBorders>
            <w:vAlign w:val="center"/>
          </w:tcPr>
          <w:p w14:paraId="61BF173A">
            <w:pPr>
              <w:pStyle w:val="28"/>
              <w:bidi w:val="0"/>
            </w:pPr>
            <w:r>
              <w:t>305</w:t>
            </w:r>
          </w:p>
        </w:tc>
      </w:tr>
      <w:tr w14:paraId="3A777AE2">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56437325">
            <w:pPr>
              <w:pStyle w:val="28"/>
              <w:bidi w:val="0"/>
            </w:pPr>
            <w:r>
              <w:t>2</w:t>
            </w:r>
          </w:p>
        </w:tc>
        <w:tc>
          <w:tcPr>
            <w:tcW w:w="2885" w:type="dxa"/>
            <w:tcBorders>
              <w:top w:val="single" w:color="000000" w:sz="4" w:space="0"/>
              <w:left w:val="single" w:color="000000" w:sz="4" w:space="0"/>
              <w:bottom w:val="single" w:color="000000" w:sz="4" w:space="0"/>
              <w:right w:val="single" w:color="000000" w:sz="4" w:space="0"/>
            </w:tcBorders>
            <w:vAlign w:val="center"/>
          </w:tcPr>
          <w:p w14:paraId="383C0284">
            <w:pPr>
              <w:pStyle w:val="28"/>
              <w:bidi w:val="0"/>
            </w:pPr>
            <w:r>
              <w:t>淠河总干渠樊通桥渠下涵拆除重建工程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56D72D7A">
            <w:pPr>
              <w:pStyle w:val="28"/>
              <w:bidi w:val="0"/>
            </w:pPr>
            <w:r>
              <w:t>1071</w:t>
            </w:r>
          </w:p>
        </w:tc>
        <w:tc>
          <w:tcPr>
            <w:tcW w:w="1398" w:type="dxa"/>
            <w:tcBorders>
              <w:top w:val="single" w:color="000000" w:sz="4" w:space="0"/>
              <w:left w:val="single" w:color="000000" w:sz="4" w:space="0"/>
              <w:bottom w:val="single" w:color="000000" w:sz="4" w:space="0"/>
              <w:right w:val="single" w:color="000000" w:sz="4" w:space="0"/>
            </w:tcBorders>
            <w:vAlign w:val="center"/>
          </w:tcPr>
          <w:p w14:paraId="02948D7D">
            <w:pPr>
              <w:pStyle w:val="28"/>
              <w:bidi w:val="0"/>
            </w:pPr>
            <w:r>
              <w:t>142</w:t>
            </w:r>
          </w:p>
        </w:tc>
        <w:tc>
          <w:tcPr>
            <w:tcW w:w="1318" w:type="dxa"/>
            <w:tcBorders>
              <w:top w:val="single" w:color="000000" w:sz="4" w:space="0"/>
              <w:left w:val="single" w:color="000000" w:sz="4" w:space="0"/>
              <w:bottom w:val="single" w:color="000000" w:sz="4" w:space="0"/>
              <w:right w:val="single" w:color="000000" w:sz="4" w:space="0"/>
            </w:tcBorders>
            <w:vAlign w:val="center"/>
          </w:tcPr>
          <w:p w14:paraId="6D1A4656">
            <w:pPr>
              <w:pStyle w:val="28"/>
              <w:bidi w:val="0"/>
            </w:pPr>
            <w:r>
              <w:t>207</w:t>
            </w:r>
          </w:p>
        </w:tc>
        <w:tc>
          <w:tcPr>
            <w:tcW w:w="1452" w:type="dxa"/>
            <w:tcBorders>
              <w:top w:val="single" w:color="000000" w:sz="4" w:space="0"/>
              <w:left w:val="single" w:color="000000" w:sz="4" w:space="0"/>
              <w:bottom w:val="single" w:color="000000" w:sz="4" w:space="0"/>
              <w:right w:val="single" w:color="000000" w:sz="4" w:space="0"/>
            </w:tcBorders>
            <w:vAlign w:val="center"/>
          </w:tcPr>
          <w:p w14:paraId="1406A994">
            <w:pPr>
              <w:pStyle w:val="28"/>
              <w:bidi w:val="0"/>
            </w:pPr>
            <w:r>
              <w:t>894</w:t>
            </w:r>
          </w:p>
        </w:tc>
        <w:tc>
          <w:tcPr>
            <w:tcW w:w="1043" w:type="dxa"/>
            <w:tcBorders>
              <w:top w:val="single" w:color="000000" w:sz="4" w:space="0"/>
              <w:left w:val="single" w:color="000000" w:sz="4" w:space="0"/>
              <w:bottom w:val="single" w:color="000000" w:sz="4" w:space="0"/>
              <w:right w:val="single" w:color="000000" w:sz="4" w:space="0"/>
            </w:tcBorders>
            <w:vAlign w:val="center"/>
          </w:tcPr>
          <w:p w14:paraId="56527BCF">
            <w:pPr>
              <w:pStyle w:val="28"/>
              <w:bidi w:val="0"/>
            </w:pPr>
            <w:r>
              <w:t>—</w:t>
            </w:r>
          </w:p>
        </w:tc>
      </w:tr>
      <w:tr w14:paraId="3740D0D5">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0DD2D6F7">
            <w:pPr>
              <w:pStyle w:val="28"/>
              <w:bidi w:val="0"/>
            </w:pPr>
            <w:r>
              <w:t>3</w:t>
            </w:r>
          </w:p>
        </w:tc>
        <w:tc>
          <w:tcPr>
            <w:tcW w:w="2885" w:type="dxa"/>
            <w:tcBorders>
              <w:top w:val="single" w:color="000000" w:sz="4" w:space="0"/>
              <w:left w:val="single" w:color="000000" w:sz="4" w:space="0"/>
              <w:bottom w:val="single" w:color="000000" w:sz="4" w:space="0"/>
              <w:right w:val="single" w:color="000000" w:sz="4" w:space="0"/>
            </w:tcBorders>
            <w:vAlign w:val="center"/>
          </w:tcPr>
          <w:p w14:paraId="029293F1">
            <w:pPr>
              <w:pStyle w:val="28"/>
              <w:bidi w:val="0"/>
            </w:pPr>
            <w:r>
              <w:t>淠河总干渠下段切岭段整治工程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7C7B1017">
            <w:pPr>
              <w:pStyle w:val="28"/>
              <w:bidi w:val="0"/>
            </w:pPr>
            <w:r>
              <w:t>86582</w:t>
            </w:r>
          </w:p>
        </w:tc>
        <w:tc>
          <w:tcPr>
            <w:tcW w:w="1398" w:type="dxa"/>
            <w:tcBorders>
              <w:top w:val="single" w:color="000000" w:sz="4" w:space="0"/>
              <w:left w:val="single" w:color="000000" w:sz="4" w:space="0"/>
              <w:bottom w:val="single" w:color="000000" w:sz="4" w:space="0"/>
              <w:right w:val="single" w:color="000000" w:sz="4" w:space="0"/>
            </w:tcBorders>
            <w:vAlign w:val="center"/>
          </w:tcPr>
          <w:p w14:paraId="6A384A4A">
            <w:pPr>
              <w:pStyle w:val="28"/>
              <w:bidi w:val="0"/>
            </w:pPr>
            <w:r>
              <w:t>6457</w:t>
            </w:r>
          </w:p>
        </w:tc>
        <w:tc>
          <w:tcPr>
            <w:tcW w:w="1318" w:type="dxa"/>
            <w:tcBorders>
              <w:top w:val="single" w:color="000000" w:sz="4" w:space="0"/>
              <w:left w:val="single" w:color="000000" w:sz="4" w:space="0"/>
              <w:bottom w:val="single" w:color="000000" w:sz="4" w:space="0"/>
              <w:right w:val="single" w:color="000000" w:sz="4" w:space="0"/>
            </w:tcBorders>
            <w:vAlign w:val="center"/>
          </w:tcPr>
          <w:p w14:paraId="112F2993">
            <w:pPr>
              <w:pStyle w:val="28"/>
              <w:bidi w:val="0"/>
            </w:pPr>
            <w:r>
              <w:t>159</w:t>
            </w:r>
          </w:p>
        </w:tc>
        <w:tc>
          <w:tcPr>
            <w:tcW w:w="1452" w:type="dxa"/>
            <w:tcBorders>
              <w:top w:val="single" w:color="000000" w:sz="4" w:space="0"/>
              <w:left w:val="single" w:color="000000" w:sz="4" w:space="0"/>
              <w:bottom w:val="single" w:color="000000" w:sz="4" w:space="0"/>
              <w:right w:val="single" w:color="000000" w:sz="4" w:space="0"/>
            </w:tcBorders>
            <w:vAlign w:val="center"/>
          </w:tcPr>
          <w:p w14:paraId="55C0D60C">
            <w:pPr>
              <w:pStyle w:val="28"/>
              <w:bidi w:val="0"/>
            </w:pPr>
            <w:r>
              <w:t>2994</w:t>
            </w:r>
          </w:p>
        </w:tc>
        <w:tc>
          <w:tcPr>
            <w:tcW w:w="1043" w:type="dxa"/>
            <w:tcBorders>
              <w:top w:val="single" w:color="000000" w:sz="4" w:space="0"/>
              <w:left w:val="single" w:color="000000" w:sz="4" w:space="0"/>
              <w:bottom w:val="single" w:color="000000" w:sz="4" w:space="0"/>
              <w:right w:val="single" w:color="000000" w:sz="4" w:space="0"/>
            </w:tcBorders>
            <w:vAlign w:val="center"/>
          </w:tcPr>
          <w:p w14:paraId="0FB71735">
            <w:pPr>
              <w:pStyle w:val="28"/>
              <w:bidi w:val="0"/>
            </w:pPr>
            <w:r>
              <w:t>110</w:t>
            </w:r>
          </w:p>
        </w:tc>
      </w:tr>
      <w:tr w14:paraId="007D7E9C">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2763125C">
            <w:pPr>
              <w:pStyle w:val="28"/>
              <w:bidi w:val="0"/>
            </w:pPr>
            <w:r>
              <w:t>4</w:t>
            </w:r>
          </w:p>
        </w:tc>
        <w:tc>
          <w:tcPr>
            <w:tcW w:w="2885" w:type="dxa"/>
            <w:tcBorders>
              <w:top w:val="single" w:color="000000" w:sz="4" w:space="0"/>
              <w:left w:val="single" w:color="000000" w:sz="4" w:space="0"/>
              <w:bottom w:val="single" w:color="000000" w:sz="4" w:space="0"/>
              <w:right w:val="single" w:color="000000" w:sz="4" w:space="0"/>
            </w:tcBorders>
            <w:vAlign w:val="center"/>
          </w:tcPr>
          <w:p w14:paraId="1D00193A">
            <w:pPr>
              <w:pStyle w:val="28"/>
              <w:bidi w:val="0"/>
            </w:pPr>
            <w:r>
              <w:t>潜南干渠聚星渡槽改造工程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2A65E0EA">
            <w:pPr>
              <w:pStyle w:val="28"/>
              <w:bidi w:val="0"/>
            </w:pPr>
            <w:r>
              <w:t>35663</w:t>
            </w:r>
          </w:p>
        </w:tc>
        <w:tc>
          <w:tcPr>
            <w:tcW w:w="1398" w:type="dxa"/>
            <w:tcBorders>
              <w:top w:val="single" w:color="000000" w:sz="4" w:space="0"/>
              <w:left w:val="single" w:color="000000" w:sz="4" w:space="0"/>
              <w:bottom w:val="single" w:color="000000" w:sz="4" w:space="0"/>
              <w:right w:val="single" w:color="000000" w:sz="4" w:space="0"/>
            </w:tcBorders>
            <w:vAlign w:val="center"/>
          </w:tcPr>
          <w:p w14:paraId="4AA906B0">
            <w:pPr>
              <w:pStyle w:val="28"/>
              <w:bidi w:val="0"/>
            </w:pPr>
            <w:r>
              <w:t>27172</w:t>
            </w:r>
          </w:p>
        </w:tc>
        <w:tc>
          <w:tcPr>
            <w:tcW w:w="1318" w:type="dxa"/>
            <w:tcBorders>
              <w:top w:val="single" w:color="000000" w:sz="4" w:space="0"/>
              <w:left w:val="single" w:color="000000" w:sz="4" w:space="0"/>
              <w:bottom w:val="single" w:color="000000" w:sz="4" w:space="0"/>
              <w:right w:val="single" w:color="000000" w:sz="4" w:space="0"/>
            </w:tcBorders>
            <w:vAlign w:val="center"/>
          </w:tcPr>
          <w:p w14:paraId="7FFC4528">
            <w:pPr>
              <w:pStyle w:val="28"/>
              <w:bidi w:val="0"/>
            </w:pPr>
            <w:r>
              <w:t>1543</w:t>
            </w:r>
          </w:p>
        </w:tc>
        <w:tc>
          <w:tcPr>
            <w:tcW w:w="1452" w:type="dxa"/>
            <w:tcBorders>
              <w:top w:val="single" w:color="000000" w:sz="4" w:space="0"/>
              <w:left w:val="single" w:color="000000" w:sz="4" w:space="0"/>
              <w:bottom w:val="single" w:color="000000" w:sz="4" w:space="0"/>
              <w:right w:val="single" w:color="000000" w:sz="4" w:space="0"/>
            </w:tcBorders>
            <w:vAlign w:val="center"/>
          </w:tcPr>
          <w:p w14:paraId="7E754D89">
            <w:pPr>
              <w:pStyle w:val="28"/>
              <w:bidi w:val="0"/>
            </w:pPr>
            <w:r>
              <w:t>6169</w:t>
            </w:r>
          </w:p>
        </w:tc>
        <w:tc>
          <w:tcPr>
            <w:tcW w:w="1043" w:type="dxa"/>
            <w:tcBorders>
              <w:top w:val="single" w:color="000000" w:sz="4" w:space="0"/>
              <w:left w:val="single" w:color="000000" w:sz="4" w:space="0"/>
              <w:bottom w:val="single" w:color="000000" w:sz="4" w:space="0"/>
              <w:right w:val="single" w:color="000000" w:sz="4" w:space="0"/>
            </w:tcBorders>
            <w:vAlign w:val="center"/>
          </w:tcPr>
          <w:p w14:paraId="43EC72C4">
            <w:pPr>
              <w:pStyle w:val="28"/>
              <w:bidi w:val="0"/>
            </w:pPr>
            <w:r>
              <w:t>923</w:t>
            </w:r>
          </w:p>
        </w:tc>
      </w:tr>
      <w:tr w14:paraId="22500EED">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31136242">
            <w:pPr>
              <w:pStyle w:val="28"/>
              <w:bidi w:val="0"/>
            </w:pPr>
            <w:r>
              <w:t>5</w:t>
            </w:r>
          </w:p>
        </w:tc>
        <w:tc>
          <w:tcPr>
            <w:tcW w:w="2885" w:type="dxa"/>
            <w:tcBorders>
              <w:top w:val="single" w:color="000000" w:sz="4" w:space="0"/>
              <w:left w:val="single" w:color="000000" w:sz="4" w:space="0"/>
              <w:bottom w:val="single" w:color="000000" w:sz="4" w:space="0"/>
              <w:right w:val="single" w:color="000000" w:sz="4" w:space="0"/>
            </w:tcBorders>
            <w:vAlign w:val="center"/>
          </w:tcPr>
          <w:p w14:paraId="73855DF9">
            <w:pPr>
              <w:pStyle w:val="28"/>
              <w:bidi w:val="0"/>
            </w:pPr>
            <w:r>
              <w:t>滁河干渠总局直管段续建配套与现代化改造工程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29EA756B">
            <w:pPr>
              <w:pStyle w:val="28"/>
              <w:bidi w:val="0"/>
            </w:pPr>
            <w:r>
              <w:t>45433</w:t>
            </w:r>
          </w:p>
        </w:tc>
        <w:tc>
          <w:tcPr>
            <w:tcW w:w="1398" w:type="dxa"/>
            <w:tcBorders>
              <w:top w:val="single" w:color="000000" w:sz="4" w:space="0"/>
              <w:left w:val="single" w:color="000000" w:sz="4" w:space="0"/>
              <w:bottom w:val="single" w:color="000000" w:sz="4" w:space="0"/>
              <w:right w:val="single" w:color="000000" w:sz="4" w:space="0"/>
            </w:tcBorders>
            <w:vAlign w:val="center"/>
          </w:tcPr>
          <w:p w14:paraId="31C1CD8C">
            <w:pPr>
              <w:pStyle w:val="28"/>
              <w:bidi w:val="0"/>
            </w:pPr>
            <w:r>
              <w:t>12013</w:t>
            </w:r>
          </w:p>
        </w:tc>
        <w:tc>
          <w:tcPr>
            <w:tcW w:w="1318" w:type="dxa"/>
            <w:tcBorders>
              <w:top w:val="single" w:color="000000" w:sz="4" w:space="0"/>
              <w:left w:val="single" w:color="000000" w:sz="4" w:space="0"/>
              <w:bottom w:val="single" w:color="000000" w:sz="4" w:space="0"/>
              <w:right w:val="single" w:color="000000" w:sz="4" w:space="0"/>
            </w:tcBorders>
            <w:vAlign w:val="center"/>
          </w:tcPr>
          <w:p w14:paraId="6E983D04">
            <w:pPr>
              <w:pStyle w:val="28"/>
              <w:bidi w:val="0"/>
            </w:pPr>
            <w:r>
              <w:t>14181</w:t>
            </w:r>
          </w:p>
        </w:tc>
        <w:tc>
          <w:tcPr>
            <w:tcW w:w="1452" w:type="dxa"/>
            <w:tcBorders>
              <w:top w:val="single" w:color="000000" w:sz="4" w:space="0"/>
              <w:left w:val="single" w:color="000000" w:sz="4" w:space="0"/>
              <w:bottom w:val="single" w:color="000000" w:sz="4" w:space="0"/>
              <w:right w:val="single" w:color="000000" w:sz="4" w:space="0"/>
            </w:tcBorders>
            <w:vAlign w:val="center"/>
          </w:tcPr>
          <w:p w14:paraId="447E9002">
            <w:pPr>
              <w:pStyle w:val="28"/>
              <w:bidi w:val="0"/>
            </w:pPr>
            <w:r>
              <w:t>12117</w:t>
            </w:r>
          </w:p>
        </w:tc>
        <w:tc>
          <w:tcPr>
            <w:tcW w:w="1043" w:type="dxa"/>
            <w:tcBorders>
              <w:top w:val="single" w:color="000000" w:sz="4" w:space="0"/>
              <w:left w:val="single" w:color="000000" w:sz="4" w:space="0"/>
              <w:bottom w:val="single" w:color="000000" w:sz="4" w:space="0"/>
              <w:right w:val="single" w:color="000000" w:sz="4" w:space="0"/>
            </w:tcBorders>
            <w:vAlign w:val="center"/>
          </w:tcPr>
          <w:p w14:paraId="10FFB11F">
            <w:pPr>
              <w:pStyle w:val="28"/>
              <w:bidi w:val="0"/>
            </w:pPr>
            <w:r>
              <w:t>—</w:t>
            </w:r>
          </w:p>
        </w:tc>
      </w:tr>
      <w:tr w14:paraId="6E628C9F">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3A379819">
            <w:pPr>
              <w:pStyle w:val="28"/>
              <w:bidi w:val="0"/>
            </w:pPr>
            <w:r>
              <w:t>6</w:t>
            </w:r>
          </w:p>
        </w:tc>
        <w:tc>
          <w:tcPr>
            <w:tcW w:w="2885" w:type="dxa"/>
            <w:tcBorders>
              <w:top w:val="single" w:color="000000" w:sz="4" w:space="0"/>
              <w:left w:val="single" w:color="000000" w:sz="4" w:space="0"/>
              <w:bottom w:val="single" w:color="000000" w:sz="4" w:space="0"/>
              <w:right w:val="single" w:color="000000" w:sz="4" w:space="0"/>
            </w:tcBorders>
            <w:vAlign w:val="center"/>
          </w:tcPr>
          <w:p w14:paraId="05DF65E7">
            <w:pPr>
              <w:pStyle w:val="28"/>
              <w:bidi w:val="0"/>
            </w:pPr>
            <w:r>
              <w:t>滁河干渠瞿岗等6座渠下涵拆除重建工程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258C4378">
            <w:pPr>
              <w:pStyle w:val="28"/>
              <w:bidi w:val="0"/>
            </w:pPr>
            <w:r>
              <w:t>60058</w:t>
            </w:r>
          </w:p>
        </w:tc>
        <w:tc>
          <w:tcPr>
            <w:tcW w:w="1398" w:type="dxa"/>
            <w:tcBorders>
              <w:top w:val="single" w:color="000000" w:sz="4" w:space="0"/>
              <w:left w:val="single" w:color="000000" w:sz="4" w:space="0"/>
              <w:bottom w:val="single" w:color="000000" w:sz="4" w:space="0"/>
              <w:right w:val="single" w:color="000000" w:sz="4" w:space="0"/>
            </w:tcBorders>
            <w:vAlign w:val="center"/>
          </w:tcPr>
          <w:p w14:paraId="42931C14">
            <w:pPr>
              <w:pStyle w:val="28"/>
              <w:bidi w:val="0"/>
            </w:pPr>
            <w:r>
              <w:t>55070</w:t>
            </w:r>
          </w:p>
        </w:tc>
        <w:tc>
          <w:tcPr>
            <w:tcW w:w="1318" w:type="dxa"/>
            <w:tcBorders>
              <w:top w:val="single" w:color="000000" w:sz="4" w:space="0"/>
              <w:left w:val="single" w:color="000000" w:sz="4" w:space="0"/>
              <w:bottom w:val="single" w:color="000000" w:sz="4" w:space="0"/>
              <w:right w:val="single" w:color="000000" w:sz="4" w:space="0"/>
            </w:tcBorders>
            <w:vAlign w:val="center"/>
          </w:tcPr>
          <w:p w14:paraId="68CEBC93">
            <w:pPr>
              <w:pStyle w:val="28"/>
              <w:bidi w:val="0"/>
            </w:pPr>
            <w:r>
              <w:t>2727</w:t>
            </w:r>
          </w:p>
        </w:tc>
        <w:tc>
          <w:tcPr>
            <w:tcW w:w="1452" w:type="dxa"/>
            <w:tcBorders>
              <w:top w:val="single" w:color="000000" w:sz="4" w:space="0"/>
              <w:left w:val="single" w:color="000000" w:sz="4" w:space="0"/>
              <w:bottom w:val="single" w:color="000000" w:sz="4" w:space="0"/>
              <w:right w:val="single" w:color="000000" w:sz="4" w:space="0"/>
            </w:tcBorders>
            <w:vAlign w:val="center"/>
          </w:tcPr>
          <w:p w14:paraId="694CE8D4">
            <w:pPr>
              <w:pStyle w:val="28"/>
              <w:bidi w:val="0"/>
            </w:pPr>
            <w:r>
              <w:t>5543</w:t>
            </w:r>
          </w:p>
        </w:tc>
        <w:tc>
          <w:tcPr>
            <w:tcW w:w="1043" w:type="dxa"/>
            <w:tcBorders>
              <w:top w:val="single" w:color="000000" w:sz="4" w:space="0"/>
              <w:left w:val="single" w:color="000000" w:sz="4" w:space="0"/>
              <w:bottom w:val="single" w:color="000000" w:sz="4" w:space="0"/>
              <w:right w:val="single" w:color="000000" w:sz="4" w:space="0"/>
            </w:tcBorders>
            <w:vAlign w:val="center"/>
          </w:tcPr>
          <w:p w14:paraId="03657A7B">
            <w:pPr>
              <w:pStyle w:val="28"/>
              <w:bidi w:val="0"/>
            </w:pPr>
            <w:r>
              <w:t>264</w:t>
            </w:r>
          </w:p>
        </w:tc>
      </w:tr>
      <w:tr w14:paraId="553A8543">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74240E72">
            <w:pPr>
              <w:pStyle w:val="28"/>
              <w:bidi w:val="0"/>
            </w:pPr>
            <w:r>
              <w:t>7</w:t>
            </w:r>
          </w:p>
        </w:tc>
        <w:tc>
          <w:tcPr>
            <w:tcW w:w="2885" w:type="dxa"/>
            <w:tcBorders>
              <w:top w:val="single" w:color="000000" w:sz="4" w:space="0"/>
              <w:left w:val="single" w:color="000000" w:sz="4" w:space="0"/>
              <w:bottom w:val="single" w:color="000000" w:sz="4" w:space="0"/>
              <w:right w:val="single" w:color="000000" w:sz="4" w:space="0"/>
            </w:tcBorders>
            <w:vAlign w:val="center"/>
          </w:tcPr>
          <w:p w14:paraId="1EEA66BD">
            <w:pPr>
              <w:pStyle w:val="28"/>
              <w:bidi w:val="0"/>
            </w:pPr>
            <w:r>
              <w:t>淠杭干渠渠系建筑物除险加固工程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0C7D8D7D">
            <w:pPr>
              <w:pStyle w:val="28"/>
              <w:bidi w:val="0"/>
            </w:pPr>
            <w:r>
              <w:t>98941</w:t>
            </w:r>
          </w:p>
        </w:tc>
        <w:tc>
          <w:tcPr>
            <w:tcW w:w="1398" w:type="dxa"/>
            <w:tcBorders>
              <w:top w:val="single" w:color="000000" w:sz="4" w:space="0"/>
              <w:left w:val="single" w:color="000000" w:sz="4" w:space="0"/>
              <w:bottom w:val="single" w:color="000000" w:sz="4" w:space="0"/>
              <w:right w:val="single" w:color="000000" w:sz="4" w:space="0"/>
            </w:tcBorders>
            <w:vAlign w:val="center"/>
          </w:tcPr>
          <w:p w14:paraId="2DF10792">
            <w:pPr>
              <w:pStyle w:val="28"/>
              <w:bidi w:val="0"/>
            </w:pPr>
            <w:r>
              <w:t>66011</w:t>
            </w:r>
          </w:p>
        </w:tc>
        <w:tc>
          <w:tcPr>
            <w:tcW w:w="1318" w:type="dxa"/>
            <w:tcBorders>
              <w:top w:val="single" w:color="000000" w:sz="4" w:space="0"/>
              <w:left w:val="single" w:color="000000" w:sz="4" w:space="0"/>
              <w:bottom w:val="single" w:color="000000" w:sz="4" w:space="0"/>
              <w:right w:val="single" w:color="000000" w:sz="4" w:space="0"/>
            </w:tcBorders>
            <w:vAlign w:val="center"/>
          </w:tcPr>
          <w:p w14:paraId="269F7ECC">
            <w:pPr>
              <w:pStyle w:val="28"/>
              <w:bidi w:val="0"/>
            </w:pPr>
            <w:r>
              <w:t>1869</w:t>
            </w:r>
          </w:p>
        </w:tc>
        <w:tc>
          <w:tcPr>
            <w:tcW w:w="1452" w:type="dxa"/>
            <w:tcBorders>
              <w:top w:val="single" w:color="000000" w:sz="4" w:space="0"/>
              <w:left w:val="single" w:color="000000" w:sz="4" w:space="0"/>
              <w:bottom w:val="single" w:color="000000" w:sz="4" w:space="0"/>
              <w:right w:val="single" w:color="000000" w:sz="4" w:space="0"/>
            </w:tcBorders>
            <w:vAlign w:val="center"/>
          </w:tcPr>
          <w:p w14:paraId="34CEF183">
            <w:pPr>
              <w:pStyle w:val="28"/>
              <w:bidi w:val="0"/>
            </w:pPr>
            <w:r>
              <w:t>9904</w:t>
            </w:r>
          </w:p>
        </w:tc>
        <w:tc>
          <w:tcPr>
            <w:tcW w:w="1043" w:type="dxa"/>
            <w:tcBorders>
              <w:top w:val="single" w:color="000000" w:sz="4" w:space="0"/>
              <w:left w:val="single" w:color="000000" w:sz="4" w:space="0"/>
              <w:bottom w:val="single" w:color="000000" w:sz="4" w:space="0"/>
              <w:right w:val="single" w:color="000000" w:sz="4" w:space="0"/>
            </w:tcBorders>
            <w:vAlign w:val="center"/>
          </w:tcPr>
          <w:p w14:paraId="6EADFCB3">
            <w:pPr>
              <w:pStyle w:val="28"/>
              <w:bidi w:val="0"/>
            </w:pPr>
            <w:r>
              <w:t>418</w:t>
            </w:r>
          </w:p>
        </w:tc>
      </w:tr>
      <w:tr w14:paraId="61D99344">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2ECBD981">
            <w:pPr>
              <w:pStyle w:val="28"/>
              <w:bidi w:val="0"/>
            </w:pPr>
            <w:r>
              <w:t>8</w:t>
            </w:r>
          </w:p>
        </w:tc>
        <w:tc>
          <w:tcPr>
            <w:tcW w:w="2885" w:type="dxa"/>
            <w:tcBorders>
              <w:top w:val="single" w:color="000000" w:sz="4" w:space="0"/>
              <w:left w:val="single" w:color="000000" w:sz="4" w:space="0"/>
              <w:bottom w:val="single" w:color="000000" w:sz="4" w:space="0"/>
              <w:right w:val="single" w:color="000000" w:sz="4" w:space="0"/>
            </w:tcBorders>
            <w:vAlign w:val="center"/>
          </w:tcPr>
          <w:p w14:paraId="34E6B225">
            <w:pPr>
              <w:pStyle w:val="28"/>
              <w:bidi w:val="0"/>
            </w:pPr>
            <w:r>
              <w:t>淠东干渠30+400～43+000、69+908～99+300续建配套与现代化改造工程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6DC77ED8">
            <w:pPr>
              <w:pStyle w:val="28"/>
              <w:bidi w:val="0"/>
            </w:pPr>
            <w:r>
              <w:t>298725</w:t>
            </w:r>
          </w:p>
        </w:tc>
        <w:tc>
          <w:tcPr>
            <w:tcW w:w="1398" w:type="dxa"/>
            <w:tcBorders>
              <w:top w:val="single" w:color="000000" w:sz="4" w:space="0"/>
              <w:left w:val="single" w:color="000000" w:sz="4" w:space="0"/>
              <w:bottom w:val="single" w:color="000000" w:sz="4" w:space="0"/>
              <w:right w:val="single" w:color="000000" w:sz="4" w:space="0"/>
            </w:tcBorders>
            <w:vAlign w:val="center"/>
          </w:tcPr>
          <w:p w14:paraId="1F7E410C">
            <w:pPr>
              <w:pStyle w:val="28"/>
              <w:bidi w:val="0"/>
            </w:pPr>
            <w:r>
              <w:t>44897</w:t>
            </w:r>
          </w:p>
        </w:tc>
        <w:tc>
          <w:tcPr>
            <w:tcW w:w="1318" w:type="dxa"/>
            <w:tcBorders>
              <w:top w:val="single" w:color="000000" w:sz="4" w:space="0"/>
              <w:left w:val="single" w:color="000000" w:sz="4" w:space="0"/>
              <w:bottom w:val="single" w:color="000000" w:sz="4" w:space="0"/>
              <w:right w:val="single" w:color="000000" w:sz="4" w:space="0"/>
            </w:tcBorders>
            <w:vAlign w:val="center"/>
          </w:tcPr>
          <w:p w14:paraId="2A2E09EB">
            <w:pPr>
              <w:pStyle w:val="28"/>
              <w:bidi w:val="0"/>
            </w:pPr>
            <w:r>
              <w:t>13983</w:t>
            </w:r>
          </w:p>
        </w:tc>
        <w:tc>
          <w:tcPr>
            <w:tcW w:w="1452" w:type="dxa"/>
            <w:tcBorders>
              <w:top w:val="single" w:color="000000" w:sz="4" w:space="0"/>
              <w:left w:val="single" w:color="000000" w:sz="4" w:space="0"/>
              <w:bottom w:val="single" w:color="000000" w:sz="4" w:space="0"/>
              <w:right w:val="single" w:color="000000" w:sz="4" w:space="0"/>
            </w:tcBorders>
            <w:vAlign w:val="center"/>
          </w:tcPr>
          <w:p w14:paraId="570B60CB">
            <w:pPr>
              <w:pStyle w:val="28"/>
              <w:bidi w:val="0"/>
            </w:pPr>
            <w:r>
              <w:t>37736</w:t>
            </w:r>
          </w:p>
        </w:tc>
        <w:tc>
          <w:tcPr>
            <w:tcW w:w="1043" w:type="dxa"/>
            <w:tcBorders>
              <w:top w:val="single" w:color="000000" w:sz="4" w:space="0"/>
              <w:left w:val="single" w:color="000000" w:sz="4" w:space="0"/>
              <w:bottom w:val="single" w:color="000000" w:sz="4" w:space="0"/>
              <w:right w:val="single" w:color="000000" w:sz="4" w:space="0"/>
            </w:tcBorders>
            <w:vAlign w:val="center"/>
          </w:tcPr>
          <w:p w14:paraId="5F3353FC">
            <w:pPr>
              <w:pStyle w:val="28"/>
              <w:bidi w:val="0"/>
            </w:pPr>
            <w:r>
              <w:t>486</w:t>
            </w:r>
          </w:p>
        </w:tc>
      </w:tr>
      <w:tr w14:paraId="6DCD8046">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6D83BF4E">
            <w:pPr>
              <w:pStyle w:val="28"/>
              <w:bidi w:val="0"/>
            </w:pPr>
            <w:r>
              <w:t>9</w:t>
            </w:r>
          </w:p>
        </w:tc>
        <w:tc>
          <w:tcPr>
            <w:tcW w:w="2885" w:type="dxa"/>
            <w:tcBorders>
              <w:top w:val="single" w:color="000000" w:sz="4" w:space="0"/>
              <w:left w:val="single" w:color="000000" w:sz="4" w:space="0"/>
              <w:bottom w:val="single" w:color="000000" w:sz="4" w:space="0"/>
              <w:right w:val="single" w:color="000000" w:sz="4" w:space="0"/>
            </w:tcBorders>
            <w:vAlign w:val="center"/>
          </w:tcPr>
          <w:p w14:paraId="3CB2205D">
            <w:pPr>
              <w:pStyle w:val="28"/>
              <w:bidi w:val="0"/>
            </w:pPr>
            <w:r>
              <w:t>瓦西干渠15+000～27+500续建配套与现代化改造工程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72460091">
            <w:pPr>
              <w:pStyle w:val="28"/>
              <w:bidi w:val="0"/>
            </w:pPr>
            <w:r>
              <w:t>115600</w:t>
            </w:r>
          </w:p>
        </w:tc>
        <w:tc>
          <w:tcPr>
            <w:tcW w:w="1398" w:type="dxa"/>
            <w:tcBorders>
              <w:top w:val="single" w:color="000000" w:sz="4" w:space="0"/>
              <w:left w:val="single" w:color="000000" w:sz="4" w:space="0"/>
              <w:bottom w:val="single" w:color="000000" w:sz="4" w:space="0"/>
              <w:right w:val="single" w:color="000000" w:sz="4" w:space="0"/>
            </w:tcBorders>
            <w:vAlign w:val="center"/>
          </w:tcPr>
          <w:p w14:paraId="766C8809">
            <w:pPr>
              <w:pStyle w:val="28"/>
              <w:bidi w:val="0"/>
            </w:pPr>
            <w:r>
              <w:t>109136</w:t>
            </w:r>
          </w:p>
        </w:tc>
        <w:tc>
          <w:tcPr>
            <w:tcW w:w="1318" w:type="dxa"/>
            <w:tcBorders>
              <w:top w:val="single" w:color="000000" w:sz="4" w:space="0"/>
              <w:left w:val="single" w:color="000000" w:sz="4" w:space="0"/>
              <w:bottom w:val="single" w:color="000000" w:sz="4" w:space="0"/>
              <w:right w:val="single" w:color="000000" w:sz="4" w:space="0"/>
            </w:tcBorders>
            <w:vAlign w:val="center"/>
          </w:tcPr>
          <w:p w14:paraId="17AFDB36">
            <w:pPr>
              <w:pStyle w:val="28"/>
              <w:bidi w:val="0"/>
            </w:pPr>
            <w:r>
              <w:t>3284</w:t>
            </w:r>
          </w:p>
        </w:tc>
        <w:tc>
          <w:tcPr>
            <w:tcW w:w="1452" w:type="dxa"/>
            <w:tcBorders>
              <w:top w:val="single" w:color="000000" w:sz="4" w:space="0"/>
              <w:left w:val="single" w:color="000000" w:sz="4" w:space="0"/>
              <w:bottom w:val="single" w:color="000000" w:sz="4" w:space="0"/>
              <w:right w:val="single" w:color="000000" w:sz="4" w:space="0"/>
            </w:tcBorders>
            <w:vAlign w:val="center"/>
          </w:tcPr>
          <w:p w14:paraId="0CE94CFC">
            <w:pPr>
              <w:pStyle w:val="28"/>
              <w:bidi w:val="0"/>
            </w:pPr>
            <w:r>
              <w:t>5955</w:t>
            </w:r>
          </w:p>
        </w:tc>
        <w:tc>
          <w:tcPr>
            <w:tcW w:w="1043" w:type="dxa"/>
            <w:tcBorders>
              <w:top w:val="single" w:color="000000" w:sz="4" w:space="0"/>
              <w:left w:val="single" w:color="000000" w:sz="4" w:space="0"/>
              <w:bottom w:val="single" w:color="000000" w:sz="4" w:space="0"/>
              <w:right w:val="single" w:color="000000" w:sz="4" w:space="0"/>
            </w:tcBorders>
            <w:vAlign w:val="center"/>
          </w:tcPr>
          <w:p w14:paraId="6820FBB7">
            <w:pPr>
              <w:pStyle w:val="28"/>
              <w:bidi w:val="0"/>
            </w:pPr>
            <w:r>
              <w:t>259</w:t>
            </w:r>
          </w:p>
        </w:tc>
      </w:tr>
      <w:tr w14:paraId="5D603553">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790B95A4">
            <w:pPr>
              <w:pStyle w:val="28"/>
              <w:bidi w:val="0"/>
            </w:pPr>
            <w:r>
              <w:t>10</w:t>
            </w:r>
          </w:p>
        </w:tc>
        <w:tc>
          <w:tcPr>
            <w:tcW w:w="2885" w:type="dxa"/>
            <w:tcBorders>
              <w:top w:val="single" w:color="000000" w:sz="4" w:space="0"/>
              <w:left w:val="single" w:color="000000" w:sz="4" w:space="0"/>
              <w:bottom w:val="single" w:color="000000" w:sz="4" w:space="0"/>
              <w:right w:val="single" w:color="000000" w:sz="4" w:space="0"/>
            </w:tcBorders>
            <w:vAlign w:val="center"/>
          </w:tcPr>
          <w:p w14:paraId="768B208B">
            <w:pPr>
              <w:pStyle w:val="28"/>
              <w:bidi w:val="0"/>
            </w:pPr>
            <w:r>
              <w:t>堰口分干渠0+000～18+000续建配套与现代化改造工程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34F0BFE2">
            <w:pPr>
              <w:pStyle w:val="28"/>
              <w:bidi w:val="0"/>
            </w:pPr>
            <w:r>
              <w:t>87686</w:t>
            </w:r>
          </w:p>
        </w:tc>
        <w:tc>
          <w:tcPr>
            <w:tcW w:w="1398" w:type="dxa"/>
            <w:tcBorders>
              <w:top w:val="single" w:color="000000" w:sz="4" w:space="0"/>
              <w:left w:val="single" w:color="000000" w:sz="4" w:space="0"/>
              <w:bottom w:val="single" w:color="000000" w:sz="4" w:space="0"/>
              <w:right w:val="single" w:color="000000" w:sz="4" w:space="0"/>
            </w:tcBorders>
            <w:vAlign w:val="center"/>
          </w:tcPr>
          <w:p w14:paraId="73356875">
            <w:pPr>
              <w:pStyle w:val="28"/>
              <w:bidi w:val="0"/>
            </w:pPr>
            <w:r>
              <w:t>4366</w:t>
            </w:r>
          </w:p>
        </w:tc>
        <w:tc>
          <w:tcPr>
            <w:tcW w:w="1318" w:type="dxa"/>
            <w:tcBorders>
              <w:top w:val="single" w:color="000000" w:sz="4" w:space="0"/>
              <w:left w:val="single" w:color="000000" w:sz="4" w:space="0"/>
              <w:bottom w:val="single" w:color="000000" w:sz="4" w:space="0"/>
              <w:right w:val="single" w:color="000000" w:sz="4" w:space="0"/>
            </w:tcBorders>
            <w:vAlign w:val="center"/>
          </w:tcPr>
          <w:p w14:paraId="4A315BEC">
            <w:pPr>
              <w:pStyle w:val="28"/>
              <w:bidi w:val="0"/>
            </w:pPr>
            <w:r>
              <w:t>—</w:t>
            </w:r>
          </w:p>
        </w:tc>
        <w:tc>
          <w:tcPr>
            <w:tcW w:w="1452" w:type="dxa"/>
            <w:tcBorders>
              <w:top w:val="single" w:color="000000" w:sz="4" w:space="0"/>
              <w:left w:val="single" w:color="000000" w:sz="4" w:space="0"/>
              <w:bottom w:val="single" w:color="000000" w:sz="4" w:space="0"/>
              <w:right w:val="single" w:color="000000" w:sz="4" w:space="0"/>
            </w:tcBorders>
            <w:vAlign w:val="center"/>
          </w:tcPr>
          <w:p w14:paraId="7B6F7542">
            <w:pPr>
              <w:pStyle w:val="28"/>
              <w:bidi w:val="0"/>
            </w:pPr>
            <w:r>
              <w:t>32691</w:t>
            </w:r>
          </w:p>
        </w:tc>
        <w:tc>
          <w:tcPr>
            <w:tcW w:w="1043" w:type="dxa"/>
            <w:tcBorders>
              <w:top w:val="single" w:color="000000" w:sz="4" w:space="0"/>
              <w:left w:val="single" w:color="000000" w:sz="4" w:space="0"/>
              <w:bottom w:val="single" w:color="000000" w:sz="4" w:space="0"/>
              <w:right w:val="single" w:color="000000" w:sz="4" w:space="0"/>
            </w:tcBorders>
            <w:vAlign w:val="center"/>
          </w:tcPr>
          <w:p w14:paraId="06778535">
            <w:pPr>
              <w:pStyle w:val="28"/>
              <w:bidi w:val="0"/>
            </w:pPr>
            <w:r>
              <w:t>271</w:t>
            </w:r>
          </w:p>
        </w:tc>
      </w:tr>
      <w:tr w14:paraId="3FB36E88">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63F25F09">
            <w:pPr>
              <w:pStyle w:val="28"/>
              <w:bidi w:val="0"/>
            </w:pPr>
            <w:r>
              <w:t>11</w:t>
            </w:r>
          </w:p>
        </w:tc>
        <w:tc>
          <w:tcPr>
            <w:tcW w:w="2885" w:type="dxa"/>
            <w:tcBorders>
              <w:top w:val="single" w:color="000000" w:sz="4" w:space="0"/>
              <w:left w:val="single" w:color="000000" w:sz="4" w:space="0"/>
              <w:bottom w:val="single" w:color="000000" w:sz="4" w:space="0"/>
              <w:right w:val="single" w:color="000000" w:sz="4" w:space="0"/>
            </w:tcBorders>
            <w:vAlign w:val="center"/>
          </w:tcPr>
          <w:p w14:paraId="40231918">
            <w:pPr>
              <w:pStyle w:val="28"/>
              <w:bidi w:val="0"/>
            </w:pPr>
            <w:r>
              <w:t>淠源分干渠23+070～27+070、35+190～37+120、43+640～44+000段除险加固工程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600DDFD3">
            <w:pPr>
              <w:pStyle w:val="28"/>
              <w:bidi w:val="0"/>
            </w:pPr>
            <w:r>
              <w:t>26467</w:t>
            </w:r>
          </w:p>
        </w:tc>
        <w:tc>
          <w:tcPr>
            <w:tcW w:w="1398" w:type="dxa"/>
            <w:tcBorders>
              <w:top w:val="single" w:color="000000" w:sz="4" w:space="0"/>
              <w:left w:val="single" w:color="000000" w:sz="4" w:space="0"/>
              <w:bottom w:val="single" w:color="000000" w:sz="4" w:space="0"/>
              <w:right w:val="single" w:color="000000" w:sz="4" w:space="0"/>
            </w:tcBorders>
            <w:vAlign w:val="center"/>
          </w:tcPr>
          <w:p w14:paraId="20F57DBD">
            <w:pPr>
              <w:pStyle w:val="28"/>
              <w:bidi w:val="0"/>
            </w:pPr>
            <w:r>
              <w:t>29985</w:t>
            </w:r>
          </w:p>
        </w:tc>
        <w:tc>
          <w:tcPr>
            <w:tcW w:w="1318" w:type="dxa"/>
            <w:tcBorders>
              <w:top w:val="single" w:color="000000" w:sz="4" w:space="0"/>
              <w:left w:val="single" w:color="000000" w:sz="4" w:space="0"/>
              <w:bottom w:val="single" w:color="000000" w:sz="4" w:space="0"/>
              <w:right w:val="single" w:color="000000" w:sz="4" w:space="0"/>
            </w:tcBorders>
            <w:vAlign w:val="center"/>
          </w:tcPr>
          <w:p w14:paraId="032A53B0">
            <w:pPr>
              <w:pStyle w:val="28"/>
              <w:bidi w:val="0"/>
            </w:pPr>
            <w:r>
              <w:t>766</w:t>
            </w:r>
          </w:p>
        </w:tc>
        <w:tc>
          <w:tcPr>
            <w:tcW w:w="1452" w:type="dxa"/>
            <w:tcBorders>
              <w:top w:val="single" w:color="000000" w:sz="4" w:space="0"/>
              <w:left w:val="single" w:color="000000" w:sz="4" w:space="0"/>
              <w:bottom w:val="single" w:color="000000" w:sz="4" w:space="0"/>
              <w:right w:val="single" w:color="000000" w:sz="4" w:space="0"/>
            </w:tcBorders>
            <w:vAlign w:val="center"/>
          </w:tcPr>
          <w:p w14:paraId="3497F2AA">
            <w:pPr>
              <w:pStyle w:val="28"/>
              <w:bidi w:val="0"/>
            </w:pPr>
            <w:r>
              <w:t>5964</w:t>
            </w:r>
          </w:p>
        </w:tc>
        <w:tc>
          <w:tcPr>
            <w:tcW w:w="1043" w:type="dxa"/>
            <w:tcBorders>
              <w:top w:val="single" w:color="000000" w:sz="4" w:space="0"/>
              <w:left w:val="single" w:color="000000" w:sz="4" w:space="0"/>
              <w:bottom w:val="single" w:color="000000" w:sz="4" w:space="0"/>
              <w:right w:val="single" w:color="000000" w:sz="4" w:space="0"/>
            </w:tcBorders>
            <w:vAlign w:val="center"/>
          </w:tcPr>
          <w:p w14:paraId="55B7A8C0">
            <w:pPr>
              <w:pStyle w:val="28"/>
              <w:bidi w:val="0"/>
            </w:pPr>
            <w:r>
              <w:t>381</w:t>
            </w:r>
          </w:p>
        </w:tc>
      </w:tr>
      <w:tr w14:paraId="6E2AEA80">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54636BE9">
            <w:pPr>
              <w:pStyle w:val="28"/>
              <w:bidi w:val="0"/>
            </w:pPr>
            <w:r>
              <w:t>12</w:t>
            </w:r>
          </w:p>
        </w:tc>
        <w:tc>
          <w:tcPr>
            <w:tcW w:w="2885" w:type="dxa"/>
            <w:tcBorders>
              <w:top w:val="single" w:color="000000" w:sz="4" w:space="0"/>
              <w:left w:val="single" w:color="000000" w:sz="4" w:space="0"/>
              <w:bottom w:val="single" w:color="000000" w:sz="4" w:space="0"/>
              <w:right w:val="single" w:color="000000" w:sz="4" w:space="0"/>
            </w:tcBorders>
            <w:vAlign w:val="center"/>
          </w:tcPr>
          <w:p w14:paraId="4751A98E">
            <w:pPr>
              <w:pStyle w:val="28"/>
              <w:bidi w:val="0"/>
            </w:pPr>
            <w:r>
              <w:t>小蜀山分干渠2+500～20+500段续建配套与现代化改造工程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7E63A80E">
            <w:pPr>
              <w:pStyle w:val="28"/>
              <w:bidi w:val="0"/>
            </w:pPr>
            <w:r>
              <w:t>147500</w:t>
            </w:r>
          </w:p>
        </w:tc>
        <w:tc>
          <w:tcPr>
            <w:tcW w:w="1398" w:type="dxa"/>
            <w:tcBorders>
              <w:top w:val="single" w:color="000000" w:sz="4" w:space="0"/>
              <w:left w:val="single" w:color="000000" w:sz="4" w:space="0"/>
              <w:bottom w:val="single" w:color="000000" w:sz="4" w:space="0"/>
              <w:right w:val="single" w:color="000000" w:sz="4" w:space="0"/>
            </w:tcBorders>
            <w:vAlign w:val="center"/>
          </w:tcPr>
          <w:p w14:paraId="15A2A75C">
            <w:pPr>
              <w:pStyle w:val="28"/>
              <w:bidi w:val="0"/>
            </w:pPr>
            <w:r>
              <w:t>67300</w:t>
            </w:r>
          </w:p>
        </w:tc>
        <w:tc>
          <w:tcPr>
            <w:tcW w:w="1318" w:type="dxa"/>
            <w:tcBorders>
              <w:top w:val="single" w:color="000000" w:sz="4" w:space="0"/>
              <w:left w:val="single" w:color="000000" w:sz="4" w:space="0"/>
              <w:bottom w:val="single" w:color="000000" w:sz="4" w:space="0"/>
              <w:right w:val="single" w:color="000000" w:sz="4" w:space="0"/>
            </w:tcBorders>
            <w:vAlign w:val="center"/>
          </w:tcPr>
          <w:p w14:paraId="4BC01CB1">
            <w:pPr>
              <w:pStyle w:val="28"/>
              <w:bidi w:val="0"/>
            </w:pPr>
            <w:r>
              <w:t>12800</w:t>
            </w:r>
          </w:p>
        </w:tc>
        <w:tc>
          <w:tcPr>
            <w:tcW w:w="1452" w:type="dxa"/>
            <w:tcBorders>
              <w:top w:val="single" w:color="000000" w:sz="4" w:space="0"/>
              <w:left w:val="single" w:color="000000" w:sz="4" w:space="0"/>
              <w:bottom w:val="single" w:color="000000" w:sz="4" w:space="0"/>
              <w:right w:val="single" w:color="000000" w:sz="4" w:space="0"/>
            </w:tcBorders>
            <w:vAlign w:val="center"/>
          </w:tcPr>
          <w:p w14:paraId="3B8E0E91">
            <w:pPr>
              <w:pStyle w:val="28"/>
              <w:bidi w:val="0"/>
            </w:pPr>
            <w:r>
              <w:t>27300</w:t>
            </w:r>
          </w:p>
        </w:tc>
        <w:tc>
          <w:tcPr>
            <w:tcW w:w="1043" w:type="dxa"/>
            <w:tcBorders>
              <w:top w:val="single" w:color="000000" w:sz="4" w:space="0"/>
              <w:left w:val="single" w:color="000000" w:sz="4" w:space="0"/>
              <w:bottom w:val="single" w:color="000000" w:sz="4" w:space="0"/>
              <w:right w:val="single" w:color="000000" w:sz="4" w:space="0"/>
            </w:tcBorders>
            <w:vAlign w:val="center"/>
          </w:tcPr>
          <w:p w14:paraId="5F4CB788">
            <w:pPr>
              <w:pStyle w:val="28"/>
              <w:bidi w:val="0"/>
            </w:pPr>
            <w:r>
              <w:t>328</w:t>
            </w:r>
          </w:p>
        </w:tc>
      </w:tr>
      <w:tr w14:paraId="5C2B9401">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48B0FACF">
            <w:pPr>
              <w:pStyle w:val="28"/>
              <w:bidi w:val="0"/>
            </w:pPr>
            <w:r>
              <w:t>13</w:t>
            </w:r>
          </w:p>
        </w:tc>
        <w:tc>
          <w:tcPr>
            <w:tcW w:w="2885" w:type="dxa"/>
            <w:tcBorders>
              <w:top w:val="single" w:color="000000" w:sz="4" w:space="0"/>
              <w:left w:val="single" w:color="000000" w:sz="4" w:space="0"/>
              <w:bottom w:val="single" w:color="000000" w:sz="4" w:space="0"/>
              <w:right w:val="single" w:color="000000" w:sz="4" w:space="0"/>
            </w:tcBorders>
            <w:vAlign w:val="center"/>
          </w:tcPr>
          <w:p w14:paraId="2481FA9D">
            <w:pPr>
              <w:pStyle w:val="28"/>
              <w:bidi w:val="0"/>
            </w:pPr>
            <w:r>
              <w:t>瓦东干渠双庙支渠0+000～24+200续建配套与现代化改造工程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7E9A9762">
            <w:pPr>
              <w:pStyle w:val="28"/>
              <w:bidi w:val="0"/>
            </w:pPr>
            <w:r>
              <w:t>189510</w:t>
            </w:r>
          </w:p>
        </w:tc>
        <w:tc>
          <w:tcPr>
            <w:tcW w:w="1398" w:type="dxa"/>
            <w:tcBorders>
              <w:top w:val="single" w:color="000000" w:sz="4" w:space="0"/>
              <w:left w:val="single" w:color="000000" w:sz="4" w:space="0"/>
              <w:bottom w:val="single" w:color="000000" w:sz="4" w:space="0"/>
              <w:right w:val="single" w:color="000000" w:sz="4" w:space="0"/>
            </w:tcBorders>
            <w:vAlign w:val="center"/>
          </w:tcPr>
          <w:p w14:paraId="034CB43E">
            <w:pPr>
              <w:pStyle w:val="28"/>
              <w:bidi w:val="0"/>
            </w:pPr>
            <w:r>
              <w:t>68633</w:t>
            </w:r>
          </w:p>
        </w:tc>
        <w:tc>
          <w:tcPr>
            <w:tcW w:w="1318" w:type="dxa"/>
            <w:tcBorders>
              <w:top w:val="single" w:color="000000" w:sz="4" w:space="0"/>
              <w:left w:val="single" w:color="000000" w:sz="4" w:space="0"/>
              <w:bottom w:val="single" w:color="000000" w:sz="4" w:space="0"/>
              <w:right w:val="single" w:color="000000" w:sz="4" w:space="0"/>
            </w:tcBorders>
            <w:vAlign w:val="center"/>
          </w:tcPr>
          <w:p w14:paraId="55319DCD">
            <w:pPr>
              <w:pStyle w:val="28"/>
              <w:bidi w:val="0"/>
            </w:pPr>
            <w:r>
              <w:t>11201</w:t>
            </w:r>
          </w:p>
        </w:tc>
        <w:tc>
          <w:tcPr>
            <w:tcW w:w="1452" w:type="dxa"/>
            <w:tcBorders>
              <w:top w:val="single" w:color="000000" w:sz="4" w:space="0"/>
              <w:left w:val="single" w:color="000000" w:sz="4" w:space="0"/>
              <w:bottom w:val="single" w:color="000000" w:sz="4" w:space="0"/>
              <w:right w:val="single" w:color="000000" w:sz="4" w:space="0"/>
            </w:tcBorders>
            <w:vAlign w:val="center"/>
          </w:tcPr>
          <w:p w14:paraId="14295BBD">
            <w:pPr>
              <w:pStyle w:val="28"/>
              <w:bidi w:val="0"/>
            </w:pPr>
            <w:r>
              <w:t>23775</w:t>
            </w:r>
          </w:p>
        </w:tc>
        <w:tc>
          <w:tcPr>
            <w:tcW w:w="1043" w:type="dxa"/>
            <w:tcBorders>
              <w:top w:val="single" w:color="000000" w:sz="4" w:space="0"/>
              <w:left w:val="single" w:color="000000" w:sz="4" w:space="0"/>
              <w:bottom w:val="single" w:color="000000" w:sz="4" w:space="0"/>
              <w:right w:val="single" w:color="000000" w:sz="4" w:space="0"/>
            </w:tcBorders>
            <w:vAlign w:val="center"/>
          </w:tcPr>
          <w:p w14:paraId="5D0F1667">
            <w:pPr>
              <w:pStyle w:val="28"/>
              <w:bidi w:val="0"/>
            </w:pPr>
            <w:r>
              <w:t>261</w:t>
            </w:r>
          </w:p>
        </w:tc>
      </w:tr>
      <w:tr w14:paraId="09987936">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451CB8C3">
            <w:pPr>
              <w:pStyle w:val="28"/>
              <w:bidi w:val="0"/>
            </w:pPr>
            <w:r>
              <w:t>14</w:t>
            </w:r>
          </w:p>
        </w:tc>
        <w:tc>
          <w:tcPr>
            <w:tcW w:w="2885" w:type="dxa"/>
            <w:tcBorders>
              <w:top w:val="single" w:color="000000" w:sz="4" w:space="0"/>
              <w:left w:val="single" w:color="000000" w:sz="4" w:space="0"/>
              <w:bottom w:val="single" w:color="000000" w:sz="4" w:space="0"/>
              <w:right w:val="single" w:color="000000" w:sz="4" w:space="0"/>
            </w:tcBorders>
            <w:vAlign w:val="center"/>
          </w:tcPr>
          <w:p w14:paraId="62495F28">
            <w:pPr>
              <w:pStyle w:val="28"/>
              <w:bidi w:val="0"/>
            </w:pPr>
            <w:r>
              <w:t>杨西分干渠东风支渠0+700～10+200续建配套与现代化改造工程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1AA793B4">
            <w:pPr>
              <w:pStyle w:val="28"/>
              <w:bidi w:val="0"/>
            </w:pPr>
            <w:r>
              <w:t>51008</w:t>
            </w:r>
          </w:p>
        </w:tc>
        <w:tc>
          <w:tcPr>
            <w:tcW w:w="1398" w:type="dxa"/>
            <w:tcBorders>
              <w:top w:val="single" w:color="000000" w:sz="4" w:space="0"/>
              <w:left w:val="single" w:color="000000" w:sz="4" w:space="0"/>
              <w:bottom w:val="single" w:color="000000" w:sz="4" w:space="0"/>
              <w:right w:val="single" w:color="000000" w:sz="4" w:space="0"/>
            </w:tcBorders>
            <w:vAlign w:val="center"/>
          </w:tcPr>
          <w:p w14:paraId="4B93AF39">
            <w:pPr>
              <w:pStyle w:val="28"/>
              <w:bidi w:val="0"/>
            </w:pPr>
            <w:r>
              <w:t>12609</w:t>
            </w:r>
          </w:p>
        </w:tc>
        <w:tc>
          <w:tcPr>
            <w:tcW w:w="1318" w:type="dxa"/>
            <w:tcBorders>
              <w:top w:val="single" w:color="000000" w:sz="4" w:space="0"/>
              <w:left w:val="single" w:color="000000" w:sz="4" w:space="0"/>
              <w:bottom w:val="single" w:color="000000" w:sz="4" w:space="0"/>
              <w:right w:val="single" w:color="000000" w:sz="4" w:space="0"/>
            </w:tcBorders>
            <w:vAlign w:val="center"/>
          </w:tcPr>
          <w:p w14:paraId="55E1ED10">
            <w:pPr>
              <w:pStyle w:val="28"/>
              <w:bidi w:val="0"/>
            </w:pPr>
            <w:r>
              <w:t>14513</w:t>
            </w:r>
          </w:p>
        </w:tc>
        <w:tc>
          <w:tcPr>
            <w:tcW w:w="1452" w:type="dxa"/>
            <w:tcBorders>
              <w:top w:val="single" w:color="000000" w:sz="4" w:space="0"/>
              <w:left w:val="single" w:color="000000" w:sz="4" w:space="0"/>
              <w:bottom w:val="single" w:color="000000" w:sz="4" w:space="0"/>
              <w:right w:val="single" w:color="000000" w:sz="4" w:space="0"/>
            </w:tcBorders>
            <w:vAlign w:val="center"/>
          </w:tcPr>
          <w:p w14:paraId="00D58E5C">
            <w:pPr>
              <w:pStyle w:val="28"/>
              <w:bidi w:val="0"/>
            </w:pPr>
            <w:r>
              <w:t>36677</w:t>
            </w:r>
          </w:p>
        </w:tc>
        <w:tc>
          <w:tcPr>
            <w:tcW w:w="1043" w:type="dxa"/>
            <w:tcBorders>
              <w:top w:val="single" w:color="000000" w:sz="4" w:space="0"/>
              <w:left w:val="single" w:color="000000" w:sz="4" w:space="0"/>
              <w:bottom w:val="single" w:color="000000" w:sz="4" w:space="0"/>
              <w:right w:val="single" w:color="000000" w:sz="4" w:space="0"/>
            </w:tcBorders>
            <w:vAlign w:val="center"/>
          </w:tcPr>
          <w:p w14:paraId="793254FD">
            <w:pPr>
              <w:pStyle w:val="28"/>
              <w:bidi w:val="0"/>
            </w:pPr>
            <w:r>
              <w:t>263</w:t>
            </w:r>
          </w:p>
        </w:tc>
      </w:tr>
      <w:tr w14:paraId="6138EFF2">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4E871692">
            <w:pPr>
              <w:pStyle w:val="28"/>
              <w:bidi w:val="0"/>
            </w:pPr>
            <w:r>
              <w:t>15</w:t>
            </w:r>
          </w:p>
        </w:tc>
        <w:tc>
          <w:tcPr>
            <w:tcW w:w="2885" w:type="dxa"/>
            <w:tcBorders>
              <w:top w:val="single" w:color="000000" w:sz="4" w:space="0"/>
              <w:left w:val="single" w:color="000000" w:sz="4" w:space="0"/>
              <w:bottom w:val="single" w:color="000000" w:sz="4" w:space="0"/>
              <w:right w:val="single" w:color="000000" w:sz="4" w:space="0"/>
            </w:tcBorders>
            <w:vAlign w:val="center"/>
          </w:tcPr>
          <w:p w14:paraId="5F62284F">
            <w:pPr>
              <w:pStyle w:val="28"/>
              <w:bidi w:val="0"/>
            </w:pPr>
            <w:r>
              <w:t>潜南干渠界河支渠0+000～7+780段续建配套与现代化改造工程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758A05FE">
            <w:pPr>
              <w:pStyle w:val="28"/>
              <w:bidi w:val="0"/>
            </w:pPr>
            <w:r>
              <w:t>20534</w:t>
            </w:r>
          </w:p>
        </w:tc>
        <w:tc>
          <w:tcPr>
            <w:tcW w:w="1398" w:type="dxa"/>
            <w:tcBorders>
              <w:top w:val="single" w:color="000000" w:sz="4" w:space="0"/>
              <w:left w:val="single" w:color="000000" w:sz="4" w:space="0"/>
              <w:bottom w:val="single" w:color="000000" w:sz="4" w:space="0"/>
              <w:right w:val="single" w:color="000000" w:sz="4" w:space="0"/>
            </w:tcBorders>
            <w:vAlign w:val="center"/>
          </w:tcPr>
          <w:p w14:paraId="216CBE5E">
            <w:pPr>
              <w:pStyle w:val="28"/>
              <w:bidi w:val="0"/>
            </w:pPr>
            <w:r>
              <w:t>6585</w:t>
            </w:r>
          </w:p>
        </w:tc>
        <w:tc>
          <w:tcPr>
            <w:tcW w:w="1318" w:type="dxa"/>
            <w:tcBorders>
              <w:top w:val="single" w:color="000000" w:sz="4" w:space="0"/>
              <w:left w:val="single" w:color="000000" w:sz="4" w:space="0"/>
              <w:bottom w:val="single" w:color="000000" w:sz="4" w:space="0"/>
              <w:right w:val="single" w:color="000000" w:sz="4" w:space="0"/>
            </w:tcBorders>
            <w:vAlign w:val="center"/>
          </w:tcPr>
          <w:p w14:paraId="46DB0BDE">
            <w:pPr>
              <w:pStyle w:val="28"/>
              <w:bidi w:val="0"/>
            </w:pPr>
            <w:r>
              <w:t>—</w:t>
            </w:r>
          </w:p>
        </w:tc>
        <w:tc>
          <w:tcPr>
            <w:tcW w:w="1452" w:type="dxa"/>
            <w:tcBorders>
              <w:top w:val="single" w:color="000000" w:sz="4" w:space="0"/>
              <w:left w:val="single" w:color="000000" w:sz="4" w:space="0"/>
              <w:bottom w:val="single" w:color="000000" w:sz="4" w:space="0"/>
              <w:right w:val="single" w:color="000000" w:sz="4" w:space="0"/>
            </w:tcBorders>
            <w:vAlign w:val="center"/>
          </w:tcPr>
          <w:p w14:paraId="1372899B">
            <w:pPr>
              <w:pStyle w:val="28"/>
              <w:bidi w:val="0"/>
            </w:pPr>
            <w:r>
              <w:t>6447</w:t>
            </w:r>
          </w:p>
        </w:tc>
        <w:tc>
          <w:tcPr>
            <w:tcW w:w="1043" w:type="dxa"/>
            <w:tcBorders>
              <w:top w:val="single" w:color="000000" w:sz="4" w:space="0"/>
              <w:left w:val="single" w:color="000000" w:sz="4" w:space="0"/>
              <w:bottom w:val="single" w:color="000000" w:sz="4" w:space="0"/>
              <w:right w:val="single" w:color="000000" w:sz="4" w:space="0"/>
            </w:tcBorders>
            <w:vAlign w:val="center"/>
          </w:tcPr>
          <w:p w14:paraId="35EB43B0">
            <w:pPr>
              <w:pStyle w:val="28"/>
              <w:bidi w:val="0"/>
            </w:pPr>
            <w:r>
              <w:t>36</w:t>
            </w:r>
          </w:p>
        </w:tc>
      </w:tr>
      <w:tr w14:paraId="1D167441">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21C95472">
            <w:pPr>
              <w:pStyle w:val="28"/>
              <w:bidi w:val="0"/>
            </w:pPr>
            <w:r>
              <w:t>16</w:t>
            </w:r>
          </w:p>
        </w:tc>
        <w:tc>
          <w:tcPr>
            <w:tcW w:w="2885" w:type="dxa"/>
            <w:tcBorders>
              <w:top w:val="single" w:color="000000" w:sz="4" w:space="0"/>
              <w:left w:val="single" w:color="000000" w:sz="4" w:space="0"/>
              <w:bottom w:val="single" w:color="000000" w:sz="4" w:space="0"/>
              <w:right w:val="single" w:color="000000" w:sz="4" w:space="0"/>
            </w:tcBorders>
            <w:vAlign w:val="center"/>
          </w:tcPr>
          <w:p w14:paraId="09372E14">
            <w:pPr>
              <w:pStyle w:val="28"/>
              <w:bidi w:val="0"/>
            </w:pPr>
            <w:r>
              <w:t>潜南干渠义河支渠0+000～5+750段续建配套与现代化改造工程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027F5CCE">
            <w:pPr>
              <w:pStyle w:val="28"/>
              <w:bidi w:val="0"/>
            </w:pPr>
            <w:r>
              <w:t>18859</w:t>
            </w:r>
          </w:p>
        </w:tc>
        <w:tc>
          <w:tcPr>
            <w:tcW w:w="1398" w:type="dxa"/>
            <w:tcBorders>
              <w:top w:val="single" w:color="000000" w:sz="4" w:space="0"/>
              <w:left w:val="single" w:color="000000" w:sz="4" w:space="0"/>
              <w:bottom w:val="single" w:color="000000" w:sz="4" w:space="0"/>
              <w:right w:val="single" w:color="000000" w:sz="4" w:space="0"/>
            </w:tcBorders>
            <w:vAlign w:val="center"/>
          </w:tcPr>
          <w:p w14:paraId="4411B5F0">
            <w:pPr>
              <w:pStyle w:val="28"/>
              <w:bidi w:val="0"/>
            </w:pPr>
            <w:r>
              <w:t>8030</w:t>
            </w:r>
          </w:p>
        </w:tc>
        <w:tc>
          <w:tcPr>
            <w:tcW w:w="1318" w:type="dxa"/>
            <w:tcBorders>
              <w:top w:val="single" w:color="000000" w:sz="4" w:space="0"/>
              <w:left w:val="single" w:color="000000" w:sz="4" w:space="0"/>
              <w:bottom w:val="single" w:color="000000" w:sz="4" w:space="0"/>
              <w:right w:val="single" w:color="000000" w:sz="4" w:space="0"/>
            </w:tcBorders>
            <w:vAlign w:val="center"/>
          </w:tcPr>
          <w:p w14:paraId="6D47DC7E">
            <w:pPr>
              <w:pStyle w:val="28"/>
              <w:bidi w:val="0"/>
            </w:pPr>
            <w:r>
              <w:t>—</w:t>
            </w:r>
          </w:p>
        </w:tc>
        <w:tc>
          <w:tcPr>
            <w:tcW w:w="1452" w:type="dxa"/>
            <w:tcBorders>
              <w:top w:val="single" w:color="000000" w:sz="4" w:space="0"/>
              <w:left w:val="single" w:color="000000" w:sz="4" w:space="0"/>
              <w:bottom w:val="single" w:color="000000" w:sz="4" w:space="0"/>
              <w:right w:val="single" w:color="000000" w:sz="4" w:space="0"/>
            </w:tcBorders>
            <w:vAlign w:val="center"/>
          </w:tcPr>
          <w:p w14:paraId="30CB0B20">
            <w:pPr>
              <w:pStyle w:val="28"/>
              <w:bidi w:val="0"/>
            </w:pPr>
            <w:r>
              <w:t>4943</w:t>
            </w:r>
          </w:p>
        </w:tc>
        <w:tc>
          <w:tcPr>
            <w:tcW w:w="1043" w:type="dxa"/>
            <w:tcBorders>
              <w:top w:val="single" w:color="000000" w:sz="4" w:space="0"/>
              <w:left w:val="single" w:color="000000" w:sz="4" w:space="0"/>
              <w:bottom w:val="single" w:color="000000" w:sz="4" w:space="0"/>
              <w:right w:val="single" w:color="000000" w:sz="4" w:space="0"/>
            </w:tcBorders>
            <w:vAlign w:val="center"/>
          </w:tcPr>
          <w:p w14:paraId="5052724B">
            <w:pPr>
              <w:pStyle w:val="28"/>
              <w:bidi w:val="0"/>
            </w:pPr>
            <w:r>
              <w:t>30</w:t>
            </w:r>
          </w:p>
        </w:tc>
      </w:tr>
      <w:tr w14:paraId="56D7584D">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659E2A8F">
            <w:pPr>
              <w:pStyle w:val="28"/>
              <w:bidi w:val="0"/>
            </w:pPr>
            <w:r>
              <w:t>17</w:t>
            </w:r>
          </w:p>
        </w:tc>
        <w:tc>
          <w:tcPr>
            <w:tcW w:w="2885" w:type="dxa"/>
            <w:tcBorders>
              <w:top w:val="single" w:color="000000" w:sz="4" w:space="0"/>
              <w:left w:val="single" w:color="000000" w:sz="4" w:space="0"/>
              <w:bottom w:val="single" w:color="000000" w:sz="4" w:space="0"/>
              <w:right w:val="single" w:color="000000" w:sz="4" w:space="0"/>
            </w:tcBorders>
            <w:vAlign w:val="center"/>
          </w:tcPr>
          <w:p w14:paraId="58FC12BB">
            <w:pPr>
              <w:pStyle w:val="28"/>
              <w:bidi w:val="0"/>
            </w:pPr>
            <w:r>
              <w:t>潜南干渠袁店支渠0+000～6+000段续建配套与现代化改造工程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5AE80E77">
            <w:pPr>
              <w:pStyle w:val="28"/>
              <w:bidi w:val="0"/>
            </w:pPr>
            <w:r>
              <w:t>16808</w:t>
            </w:r>
          </w:p>
        </w:tc>
        <w:tc>
          <w:tcPr>
            <w:tcW w:w="1398" w:type="dxa"/>
            <w:tcBorders>
              <w:top w:val="single" w:color="000000" w:sz="4" w:space="0"/>
              <w:left w:val="single" w:color="000000" w:sz="4" w:space="0"/>
              <w:bottom w:val="single" w:color="000000" w:sz="4" w:space="0"/>
              <w:right w:val="single" w:color="000000" w:sz="4" w:space="0"/>
            </w:tcBorders>
            <w:vAlign w:val="center"/>
          </w:tcPr>
          <w:p w14:paraId="7875882A">
            <w:pPr>
              <w:pStyle w:val="28"/>
              <w:bidi w:val="0"/>
            </w:pPr>
            <w:r>
              <w:t>7378</w:t>
            </w:r>
          </w:p>
        </w:tc>
        <w:tc>
          <w:tcPr>
            <w:tcW w:w="1318" w:type="dxa"/>
            <w:tcBorders>
              <w:top w:val="single" w:color="000000" w:sz="4" w:space="0"/>
              <w:left w:val="single" w:color="000000" w:sz="4" w:space="0"/>
              <w:bottom w:val="single" w:color="000000" w:sz="4" w:space="0"/>
              <w:right w:val="single" w:color="000000" w:sz="4" w:space="0"/>
            </w:tcBorders>
            <w:vAlign w:val="center"/>
          </w:tcPr>
          <w:p w14:paraId="7DAB172A">
            <w:pPr>
              <w:pStyle w:val="28"/>
              <w:bidi w:val="0"/>
            </w:pPr>
            <w:r>
              <w:t>—</w:t>
            </w:r>
          </w:p>
        </w:tc>
        <w:tc>
          <w:tcPr>
            <w:tcW w:w="1452" w:type="dxa"/>
            <w:tcBorders>
              <w:top w:val="single" w:color="000000" w:sz="4" w:space="0"/>
              <w:left w:val="single" w:color="000000" w:sz="4" w:space="0"/>
              <w:bottom w:val="single" w:color="000000" w:sz="4" w:space="0"/>
              <w:right w:val="single" w:color="000000" w:sz="4" w:space="0"/>
            </w:tcBorders>
            <w:vAlign w:val="center"/>
          </w:tcPr>
          <w:p w14:paraId="7AEBB9E6">
            <w:pPr>
              <w:pStyle w:val="28"/>
              <w:bidi w:val="0"/>
            </w:pPr>
            <w:r>
              <w:t>4291</w:t>
            </w:r>
          </w:p>
        </w:tc>
        <w:tc>
          <w:tcPr>
            <w:tcW w:w="1043" w:type="dxa"/>
            <w:tcBorders>
              <w:top w:val="single" w:color="000000" w:sz="4" w:space="0"/>
              <w:left w:val="single" w:color="000000" w:sz="4" w:space="0"/>
              <w:bottom w:val="single" w:color="000000" w:sz="4" w:space="0"/>
              <w:right w:val="single" w:color="000000" w:sz="4" w:space="0"/>
            </w:tcBorders>
            <w:vAlign w:val="center"/>
          </w:tcPr>
          <w:p w14:paraId="555B654A">
            <w:pPr>
              <w:pStyle w:val="28"/>
              <w:bidi w:val="0"/>
            </w:pPr>
            <w:r>
              <w:t>27</w:t>
            </w:r>
          </w:p>
        </w:tc>
      </w:tr>
      <w:tr w14:paraId="13101228">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7D8565D0">
            <w:pPr>
              <w:pStyle w:val="28"/>
              <w:bidi w:val="0"/>
            </w:pPr>
            <w:r>
              <w:t>18</w:t>
            </w:r>
          </w:p>
        </w:tc>
        <w:tc>
          <w:tcPr>
            <w:tcW w:w="2885" w:type="dxa"/>
            <w:tcBorders>
              <w:top w:val="single" w:color="000000" w:sz="4" w:space="0"/>
              <w:left w:val="single" w:color="000000" w:sz="4" w:space="0"/>
              <w:bottom w:val="single" w:color="000000" w:sz="4" w:space="0"/>
              <w:right w:val="single" w:color="000000" w:sz="4" w:space="0"/>
            </w:tcBorders>
            <w:vAlign w:val="center"/>
          </w:tcPr>
          <w:p w14:paraId="61122B9D">
            <w:pPr>
              <w:pStyle w:val="28"/>
              <w:bidi w:val="0"/>
            </w:pPr>
            <w:r>
              <w:t>潜南干渠堰西支渠0+000～11+440段续建配套与现代化改造工程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1D0858E0">
            <w:pPr>
              <w:pStyle w:val="28"/>
              <w:bidi w:val="0"/>
            </w:pPr>
            <w:r>
              <w:t>4323</w:t>
            </w:r>
          </w:p>
        </w:tc>
        <w:tc>
          <w:tcPr>
            <w:tcW w:w="1398" w:type="dxa"/>
            <w:tcBorders>
              <w:top w:val="single" w:color="000000" w:sz="4" w:space="0"/>
              <w:left w:val="single" w:color="000000" w:sz="4" w:space="0"/>
              <w:bottom w:val="single" w:color="000000" w:sz="4" w:space="0"/>
              <w:right w:val="single" w:color="000000" w:sz="4" w:space="0"/>
            </w:tcBorders>
            <w:vAlign w:val="center"/>
          </w:tcPr>
          <w:p w14:paraId="54B91375">
            <w:pPr>
              <w:pStyle w:val="28"/>
              <w:bidi w:val="0"/>
            </w:pPr>
            <w:r>
              <w:t>1383</w:t>
            </w:r>
          </w:p>
        </w:tc>
        <w:tc>
          <w:tcPr>
            <w:tcW w:w="1318" w:type="dxa"/>
            <w:tcBorders>
              <w:top w:val="single" w:color="000000" w:sz="4" w:space="0"/>
              <w:left w:val="single" w:color="000000" w:sz="4" w:space="0"/>
              <w:bottom w:val="single" w:color="000000" w:sz="4" w:space="0"/>
              <w:right w:val="single" w:color="000000" w:sz="4" w:space="0"/>
            </w:tcBorders>
            <w:vAlign w:val="center"/>
          </w:tcPr>
          <w:p w14:paraId="1945AE14">
            <w:pPr>
              <w:pStyle w:val="28"/>
              <w:bidi w:val="0"/>
            </w:pPr>
            <w:r>
              <w:t>—</w:t>
            </w:r>
          </w:p>
        </w:tc>
        <w:tc>
          <w:tcPr>
            <w:tcW w:w="1452" w:type="dxa"/>
            <w:tcBorders>
              <w:top w:val="single" w:color="000000" w:sz="4" w:space="0"/>
              <w:left w:val="single" w:color="000000" w:sz="4" w:space="0"/>
              <w:bottom w:val="single" w:color="000000" w:sz="4" w:space="0"/>
              <w:right w:val="single" w:color="000000" w:sz="4" w:space="0"/>
            </w:tcBorders>
            <w:vAlign w:val="center"/>
          </w:tcPr>
          <w:p w14:paraId="291B1C29">
            <w:pPr>
              <w:pStyle w:val="28"/>
              <w:bidi w:val="0"/>
            </w:pPr>
            <w:r>
              <w:t>815</w:t>
            </w:r>
          </w:p>
        </w:tc>
        <w:tc>
          <w:tcPr>
            <w:tcW w:w="1043" w:type="dxa"/>
            <w:tcBorders>
              <w:top w:val="single" w:color="000000" w:sz="4" w:space="0"/>
              <w:left w:val="single" w:color="000000" w:sz="4" w:space="0"/>
              <w:bottom w:val="single" w:color="000000" w:sz="4" w:space="0"/>
              <w:right w:val="single" w:color="000000" w:sz="4" w:space="0"/>
            </w:tcBorders>
            <w:vAlign w:val="center"/>
          </w:tcPr>
          <w:p w14:paraId="2DC41E5A">
            <w:pPr>
              <w:pStyle w:val="28"/>
              <w:bidi w:val="0"/>
            </w:pPr>
            <w:r>
              <w:t>14</w:t>
            </w:r>
          </w:p>
        </w:tc>
      </w:tr>
      <w:tr w14:paraId="41E52FDE">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30368C15">
            <w:pPr>
              <w:pStyle w:val="28"/>
              <w:bidi w:val="0"/>
            </w:pPr>
            <w:r>
              <w:t>19</w:t>
            </w:r>
          </w:p>
        </w:tc>
        <w:tc>
          <w:tcPr>
            <w:tcW w:w="2885" w:type="dxa"/>
            <w:tcBorders>
              <w:top w:val="single" w:color="000000" w:sz="4" w:space="0"/>
              <w:left w:val="single" w:color="000000" w:sz="4" w:space="0"/>
              <w:bottom w:val="single" w:color="000000" w:sz="4" w:space="0"/>
              <w:right w:val="single" w:color="000000" w:sz="4" w:space="0"/>
            </w:tcBorders>
            <w:vAlign w:val="center"/>
          </w:tcPr>
          <w:p w14:paraId="5E23C1C4">
            <w:pPr>
              <w:pStyle w:val="28"/>
              <w:bidi w:val="0"/>
            </w:pPr>
            <w:r>
              <w:t>众兴分干渠双庙支渠（0+650～5+135）续建配套与现代化改造工程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1EC41A4E">
            <w:pPr>
              <w:pStyle w:val="28"/>
              <w:bidi w:val="0"/>
            </w:pPr>
            <w:r>
              <w:t>35493</w:t>
            </w:r>
          </w:p>
        </w:tc>
        <w:tc>
          <w:tcPr>
            <w:tcW w:w="1398" w:type="dxa"/>
            <w:tcBorders>
              <w:top w:val="single" w:color="000000" w:sz="4" w:space="0"/>
              <w:left w:val="single" w:color="000000" w:sz="4" w:space="0"/>
              <w:bottom w:val="single" w:color="000000" w:sz="4" w:space="0"/>
              <w:right w:val="single" w:color="000000" w:sz="4" w:space="0"/>
            </w:tcBorders>
            <w:vAlign w:val="center"/>
          </w:tcPr>
          <w:p w14:paraId="13C01271">
            <w:pPr>
              <w:pStyle w:val="28"/>
              <w:bidi w:val="0"/>
            </w:pPr>
            <w:r>
              <w:t>17844</w:t>
            </w:r>
          </w:p>
        </w:tc>
        <w:tc>
          <w:tcPr>
            <w:tcW w:w="1318" w:type="dxa"/>
            <w:tcBorders>
              <w:top w:val="single" w:color="000000" w:sz="4" w:space="0"/>
              <w:left w:val="single" w:color="000000" w:sz="4" w:space="0"/>
              <w:bottom w:val="single" w:color="000000" w:sz="4" w:space="0"/>
              <w:right w:val="single" w:color="000000" w:sz="4" w:space="0"/>
            </w:tcBorders>
            <w:vAlign w:val="center"/>
          </w:tcPr>
          <w:p w14:paraId="61F80B1C">
            <w:pPr>
              <w:pStyle w:val="28"/>
              <w:bidi w:val="0"/>
            </w:pPr>
            <w:r>
              <w:t>3592</w:t>
            </w:r>
          </w:p>
        </w:tc>
        <w:tc>
          <w:tcPr>
            <w:tcW w:w="1452" w:type="dxa"/>
            <w:tcBorders>
              <w:top w:val="single" w:color="000000" w:sz="4" w:space="0"/>
              <w:left w:val="single" w:color="000000" w:sz="4" w:space="0"/>
              <w:bottom w:val="single" w:color="000000" w:sz="4" w:space="0"/>
              <w:right w:val="single" w:color="000000" w:sz="4" w:space="0"/>
            </w:tcBorders>
            <w:vAlign w:val="center"/>
          </w:tcPr>
          <w:p w14:paraId="0B6AC635">
            <w:pPr>
              <w:pStyle w:val="28"/>
              <w:bidi w:val="0"/>
            </w:pPr>
            <w:r>
              <w:t>2308</w:t>
            </w:r>
          </w:p>
        </w:tc>
        <w:tc>
          <w:tcPr>
            <w:tcW w:w="1043" w:type="dxa"/>
            <w:tcBorders>
              <w:top w:val="single" w:color="000000" w:sz="4" w:space="0"/>
              <w:left w:val="single" w:color="000000" w:sz="4" w:space="0"/>
              <w:bottom w:val="single" w:color="000000" w:sz="4" w:space="0"/>
              <w:right w:val="single" w:color="000000" w:sz="4" w:space="0"/>
            </w:tcBorders>
            <w:vAlign w:val="center"/>
          </w:tcPr>
          <w:p w14:paraId="3F085137">
            <w:pPr>
              <w:pStyle w:val="28"/>
              <w:bidi w:val="0"/>
            </w:pPr>
            <w:r>
              <w:t>26</w:t>
            </w:r>
          </w:p>
        </w:tc>
      </w:tr>
      <w:tr w14:paraId="773E9CE9">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67CC6D04">
            <w:pPr>
              <w:pStyle w:val="28"/>
              <w:bidi w:val="0"/>
            </w:pPr>
            <w:r>
              <w:t>20</w:t>
            </w:r>
          </w:p>
        </w:tc>
        <w:tc>
          <w:tcPr>
            <w:tcW w:w="2885" w:type="dxa"/>
            <w:tcBorders>
              <w:top w:val="single" w:color="000000" w:sz="4" w:space="0"/>
              <w:left w:val="single" w:color="000000" w:sz="4" w:space="0"/>
              <w:bottom w:val="single" w:color="000000" w:sz="4" w:space="0"/>
              <w:right w:val="single" w:color="000000" w:sz="4" w:space="0"/>
            </w:tcBorders>
            <w:vAlign w:val="center"/>
          </w:tcPr>
          <w:p w14:paraId="72CB8F6F">
            <w:pPr>
              <w:pStyle w:val="28"/>
              <w:bidi w:val="0"/>
            </w:pPr>
            <w:r>
              <w:t>众兴分干渠大高支渠0+000～6+800段续建配套与现代化改造工程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4B9E02AB">
            <w:pPr>
              <w:pStyle w:val="28"/>
              <w:bidi w:val="0"/>
            </w:pPr>
            <w:r>
              <w:t>103500</w:t>
            </w:r>
          </w:p>
        </w:tc>
        <w:tc>
          <w:tcPr>
            <w:tcW w:w="1398" w:type="dxa"/>
            <w:tcBorders>
              <w:top w:val="single" w:color="000000" w:sz="4" w:space="0"/>
              <w:left w:val="single" w:color="000000" w:sz="4" w:space="0"/>
              <w:bottom w:val="single" w:color="000000" w:sz="4" w:space="0"/>
              <w:right w:val="single" w:color="000000" w:sz="4" w:space="0"/>
            </w:tcBorders>
            <w:vAlign w:val="center"/>
          </w:tcPr>
          <w:p w14:paraId="198BE0D4">
            <w:pPr>
              <w:pStyle w:val="28"/>
              <w:bidi w:val="0"/>
            </w:pPr>
            <w:r>
              <w:t>59100</w:t>
            </w:r>
          </w:p>
        </w:tc>
        <w:tc>
          <w:tcPr>
            <w:tcW w:w="1318" w:type="dxa"/>
            <w:tcBorders>
              <w:top w:val="single" w:color="000000" w:sz="4" w:space="0"/>
              <w:left w:val="single" w:color="000000" w:sz="4" w:space="0"/>
              <w:bottom w:val="single" w:color="000000" w:sz="4" w:space="0"/>
              <w:right w:val="single" w:color="000000" w:sz="4" w:space="0"/>
            </w:tcBorders>
            <w:vAlign w:val="center"/>
          </w:tcPr>
          <w:p w14:paraId="598C0C26">
            <w:pPr>
              <w:pStyle w:val="28"/>
              <w:bidi w:val="0"/>
            </w:pPr>
            <w:r>
              <w:t>2800</w:t>
            </w:r>
          </w:p>
        </w:tc>
        <w:tc>
          <w:tcPr>
            <w:tcW w:w="1452" w:type="dxa"/>
            <w:tcBorders>
              <w:top w:val="single" w:color="000000" w:sz="4" w:space="0"/>
              <w:left w:val="single" w:color="000000" w:sz="4" w:space="0"/>
              <w:bottom w:val="single" w:color="000000" w:sz="4" w:space="0"/>
              <w:right w:val="single" w:color="000000" w:sz="4" w:space="0"/>
            </w:tcBorders>
            <w:vAlign w:val="center"/>
          </w:tcPr>
          <w:p w14:paraId="64076B68">
            <w:pPr>
              <w:pStyle w:val="28"/>
              <w:bidi w:val="0"/>
            </w:pPr>
            <w:r>
              <w:t>11700</w:t>
            </w:r>
          </w:p>
        </w:tc>
        <w:tc>
          <w:tcPr>
            <w:tcW w:w="1043" w:type="dxa"/>
            <w:tcBorders>
              <w:top w:val="single" w:color="000000" w:sz="4" w:space="0"/>
              <w:left w:val="single" w:color="000000" w:sz="4" w:space="0"/>
              <w:bottom w:val="single" w:color="000000" w:sz="4" w:space="0"/>
              <w:right w:val="single" w:color="000000" w:sz="4" w:space="0"/>
            </w:tcBorders>
            <w:vAlign w:val="center"/>
          </w:tcPr>
          <w:p w14:paraId="203F0C4A">
            <w:pPr>
              <w:pStyle w:val="28"/>
              <w:bidi w:val="0"/>
            </w:pPr>
            <w:r>
              <w:t>464</w:t>
            </w:r>
          </w:p>
        </w:tc>
      </w:tr>
      <w:tr w14:paraId="7333C2D7">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28F4D25E">
            <w:pPr>
              <w:pStyle w:val="28"/>
              <w:bidi w:val="0"/>
            </w:pPr>
            <w:r>
              <w:t>21</w:t>
            </w:r>
          </w:p>
        </w:tc>
        <w:tc>
          <w:tcPr>
            <w:tcW w:w="2885" w:type="dxa"/>
            <w:tcBorders>
              <w:top w:val="single" w:color="000000" w:sz="4" w:space="0"/>
              <w:left w:val="single" w:color="000000" w:sz="4" w:space="0"/>
              <w:bottom w:val="single" w:color="000000" w:sz="4" w:space="0"/>
              <w:right w:val="single" w:color="000000" w:sz="4" w:space="0"/>
            </w:tcBorders>
            <w:vAlign w:val="center"/>
          </w:tcPr>
          <w:p w14:paraId="7E19F95B">
            <w:pPr>
              <w:pStyle w:val="28"/>
              <w:bidi w:val="0"/>
            </w:pPr>
            <w:r>
              <w:t>众兴分干渠白龙支渠0+000～12+000段续建配套与现代化改造工程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7647A02B">
            <w:pPr>
              <w:pStyle w:val="28"/>
              <w:bidi w:val="0"/>
            </w:pPr>
            <w:r>
              <w:t>64500</w:t>
            </w:r>
          </w:p>
        </w:tc>
        <w:tc>
          <w:tcPr>
            <w:tcW w:w="1398" w:type="dxa"/>
            <w:tcBorders>
              <w:top w:val="single" w:color="000000" w:sz="4" w:space="0"/>
              <w:left w:val="single" w:color="000000" w:sz="4" w:space="0"/>
              <w:bottom w:val="single" w:color="000000" w:sz="4" w:space="0"/>
              <w:right w:val="single" w:color="000000" w:sz="4" w:space="0"/>
            </w:tcBorders>
            <w:vAlign w:val="center"/>
          </w:tcPr>
          <w:p w14:paraId="654AD4E4">
            <w:pPr>
              <w:pStyle w:val="28"/>
              <w:bidi w:val="0"/>
            </w:pPr>
            <w:r>
              <w:t>44300</w:t>
            </w:r>
          </w:p>
        </w:tc>
        <w:tc>
          <w:tcPr>
            <w:tcW w:w="1318" w:type="dxa"/>
            <w:tcBorders>
              <w:top w:val="single" w:color="000000" w:sz="4" w:space="0"/>
              <w:left w:val="single" w:color="000000" w:sz="4" w:space="0"/>
              <w:bottom w:val="single" w:color="000000" w:sz="4" w:space="0"/>
              <w:right w:val="single" w:color="000000" w:sz="4" w:space="0"/>
            </w:tcBorders>
            <w:vAlign w:val="center"/>
          </w:tcPr>
          <w:p w14:paraId="79BC339F">
            <w:pPr>
              <w:pStyle w:val="28"/>
              <w:bidi w:val="0"/>
            </w:pPr>
            <w:r>
              <w:t>—</w:t>
            </w:r>
          </w:p>
        </w:tc>
        <w:tc>
          <w:tcPr>
            <w:tcW w:w="1452" w:type="dxa"/>
            <w:tcBorders>
              <w:top w:val="single" w:color="000000" w:sz="4" w:space="0"/>
              <w:left w:val="single" w:color="000000" w:sz="4" w:space="0"/>
              <w:bottom w:val="single" w:color="000000" w:sz="4" w:space="0"/>
              <w:right w:val="single" w:color="000000" w:sz="4" w:space="0"/>
            </w:tcBorders>
            <w:vAlign w:val="center"/>
          </w:tcPr>
          <w:p w14:paraId="0BB294EE">
            <w:pPr>
              <w:pStyle w:val="28"/>
              <w:bidi w:val="0"/>
            </w:pPr>
            <w:r>
              <w:t>6900</w:t>
            </w:r>
          </w:p>
        </w:tc>
        <w:tc>
          <w:tcPr>
            <w:tcW w:w="1043" w:type="dxa"/>
            <w:tcBorders>
              <w:top w:val="single" w:color="000000" w:sz="4" w:space="0"/>
              <w:left w:val="single" w:color="000000" w:sz="4" w:space="0"/>
              <w:bottom w:val="single" w:color="000000" w:sz="4" w:space="0"/>
              <w:right w:val="single" w:color="000000" w:sz="4" w:space="0"/>
            </w:tcBorders>
            <w:vAlign w:val="center"/>
          </w:tcPr>
          <w:p w14:paraId="3EC385D5">
            <w:pPr>
              <w:pStyle w:val="28"/>
              <w:bidi w:val="0"/>
            </w:pPr>
            <w:r>
              <w:t>141</w:t>
            </w:r>
          </w:p>
        </w:tc>
      </w:tr>
      <w:tr w14:paraId="6F253A30">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657776DF">
            <w:pPr>
              <w:pStyle w:val="28"/>
              <w:bidi w:val="0"/>
            </w:pPr>
            <w:r>
              <w:t>22</w:t>
            </w:r>
          </w:p>
        </w:tc>
        <w:tc>
          <w:tcPr>
            <w:tcW w:w="2885" w:type="dxa"/>
            <w:tcBorders>
              <w:top w:val="single" w:color="000000" w:sz="4" w:space="0"/>
              <w:left w:val="single" w:color="000000" w:sz="4" w:space="0"/>
              <w:bottom w:val="single" w:color="000000" w:sz="4" w:space="0"/>
              <w:right w:val="single" w:color="000000" w:sz="4" w:space="0"/>
            </w:tcBorders>
            <w:vAlign w:val="center"/>
          </w:tcPr>
          <w:p w14:paraId="56E7C693">
            <w:pPr>
              <w:pStyle w:val="28"/>
              <w:bidi w:val="0"/>
            </w:pPr>
            <w:r>
              <w:t>瓦东干渠李山支渠补水工程（郑岗泵站重建）</w:t>
            </w:r>
          </w:p>
        </w:tc>
        <w:tc>
          <w:tcPr>
            <w:tcW w:w="1310" w:type="dxa"/>
            <w:tcBorders>
              <w:top w:val="single" w:color="000000" w:sz="4" w:space="0"/>
              <w:left w:val="single" w:color="000000" w:sz="4" w:space="0"/>
              <w:bottom w:val="single" w:color="000000" w:sz="4" w:space="0"/>
              <w:right w:val="single" w:color="000000" w:sz="4" w:space="0"/>
            </w:tcBorders>
            <w:vAlign w:val="center"/>
          </w:tcPr>
          <w:p w14:paraId="7D824574">
            <w:pPr>
              <w:pStyle w:val="28"/>
              <w:bidi w:val="0"/>
            </w:pPr>
            <w:r>
              <w:t>38329</w:t>
            </w:r>
          </w:p>
        </w:tc>
        <w:tc>
          <w:tcPr>
            <w:tcW w:w="1398" w:type="dxa"/>
            <w:tcBorders>
              <w:top w:val="single" w:color="000000" w:sz="4" w:space="0"/>
              <w:left w:val="single" w:color="000000" w:sz="4" w:space="0"/>
              <w:bottom w:val="single" w:color="000000" w:sz="4" w:space="0"/>
              <w:right w:val="single" w:color="000000" w:sz="4" w:space="0"/>
            </w:tcBorders>
            <w:vAlign w:val="center"/>
          </w:tcPr>
          <w:p w14:paraId="6C6334A8">
            <w:pPr>
              <w:pStyle w:val="28"/>
              <w:bidi w:val="0"/>
            </w:pPr>
            <w:r>
              <w:t>49435</w:t>
            </w:r>
          </w:p>
        </w:tc>
        <w:tc>
          <w:tcPr>
            <w:tcW w:w="1318" w:type="dxa"/>
            <w:tcBorders>
              <w:top w:val="single" w:color="000000" w:sz="4" w:space="0"/>
              <w:left w:val="single" w:color="000000" w:sz="4" w:space="0"/>
              <w:bottom w:val="single" w:color="000000" w:sz="4" w:space="0"/>
              <w:right w:val="single" w:color="000000" w:sz="4" w:space="0"/>
            </w:tcBorders>
            <w:vAlign w:val="center"/>
          </w:tcPr>
          <w:p w14:paraId="40117FDF">
            <w:pPr>
              <w:pStyle w:val="28"/>
              <w:bidi w:val="0"/>
            </w:pPr>
            <w:r>
              <w:t>2015</w:t>
            </w:r>
          </w:p>
        </w:tc>
        <w:tc>
          <w:tcPr>
            <w:tcW w:w="1452" w:type="dxa"/>
            <w:tcBorders>
              <w:top w:val="single" w:color="000000" w:sz="4" w:space="0"/>
              <w:left w:val="single" w:color="000000" w:sz="4" w:space="0"/>
              <w:bottom w:val="single" w:color="000000" w:sz="4" w:space="0"/>
              <w:right w:val="single" w:color="000000" w:sz="4" w:space="0"/>
            </w:tcBorders>
            <w:vAlign w:val="center"/>
          </w:tcPr>
          <w:p w14:paraId="63F75DF9">
            <w:pPr>
              <w:pStyle w:val="28"/>
              <w:bidi w:val="0"/>
            </w:pPr>
            <w:r>
              <w:t>4179</w:t>
            </w:r>
          </w:p>
        </w:tc>
        <w:tc>
          <w:tcPr>
            <w:tcW w:w="1043" w:type="dxa"/>
            <w:tcBorders>
              <w:top w:val="single" w:color="000000" w:sz="4" w:space="0"/>
              <w:left w:val="single" w:color="000000" w:sz="4" w:space="0"/>
              <w:bottom w:val="single" w:color="000000" w:sz="4" w:space="0"/>
              <w:right w:val="single" w:color="000000" w:sz="4" w:space="0"/>
            </w:tcBorders>
            <w:vAlign w:val="center"/>
          </w:tcPr>
          <w:p w14:paraId="42DA0057">
            <w:pPr>
              <w:pStyle w:val="28"/>
              <w:bidi w:val="0"/>
            </w:pPr>
            <w:r>
              <w:t>233</w:t>
            </w:r>
          </w:p>
        </w:tc>
      </w:tr>
      <w:tr w14:paraId="599EC19E">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3CFCC165">
            <w:pPr>
              <w:pStyle w:val="28"/>
              <w:bidi w:val="0"/>
            </w:pPr>
            <w:r>
              <w:t>23</w:t>
            </w:r>
          </w:p>
        </w:tc>
        <w:tc>
          <w:tcPr>
            <w:tcW w:w="2885" w:type="dxa"/>
            <w:tcBorders>
              <w:top w:val="single" w:color="000000" w:sz="4" w:space="0"/>
              <w:left w:val="single" w:color="000000" w:sz="4" w:space="0"/>
              <w:bottom w:val="single" w:color="000000" w:sz="4" w:space="0"/>
              <w:right w:val="single" w:color="000000" w:sz="4" w:space="0"/>
            </w:tcBorders>
            <w:vAlign w:val="center"/>
          </w:tcPr>
          <w:p w14:paraId="06AD5CBC">
            <w:pPr>
              <w:pStyle w:val="28"/>
              <w:bidi w:val="0"/>
            </w:pPr>
            <w:r>
              <w:t>沣东干渠（37+700～53+000）续建配套与现代化改造工程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0DC70A4B">
            <w:pPr>
              <w:pStyle w:val="28"/>
              <w:bidi w:val="0"/>
            </w:pPr>
            <w:r>
              <w:t>128103</w:t>
            </w:r>
          </w:p>
        </w:tc>
        <w:tc>
          <w:tcPr>
            <w:tcW w:w="1398" w:type="dxa"/>
            <w:tcBorders>
              <w:top w:val="single" w:color="000000" w:sz="4" w:space="0"/>
              <w:left w:val="single" w:color="000000" w:sz="4" w:space="0"/>
              <w:bottom w:val="single" w:color="000000" w:sz="4" w:space="0"/>
              <w:right w:val="single" w:color="000000" w:sz="4" w:space="0"/>
            </w:tcBorders>
            <w:vAlign w:val="center"/>
          </w:tcPr>
          <w:p w14:paraId="7B3216F8">
            <w:pPr>
              <w:pStyle w:val="28"/>
              <w:bidi w:val="0"/>
            </w:pPr>
            <w:r>
              <w:t>107304</w:t>
            </w:r>
          </w:p>
        </w:tc>
        <w:tc>
          <w:tcPr>
            <w:tcW w:w="1318" w:type="dxa"/>
            <w:tcBorders>
              <w:top w:val="single" w:color="000000" w:sz="4" w:space="0"/>
              <w:left w:val="single" w:color="000000" w:sz="4" w:space="0"/>
              <w:bottom w:val="single" w:color="000000" w:sz="4" w:space="0"/>
              <w:right w:val="single" w:color="000000" w:sz="4" w:space="0"/>
            </w:tcBorders>
            <w:vAlign w:val="center"/>
          </w:tcPr>
          <w:p w14:paraId="63B20035">
            <w:pPr>
              <w:pStyle w:val="28"/>
              <w:bidi w:val="0"/>
            </w:pPr>
            <w:r>
              <w:t>2291</w:t>
            </w:r>
          </w:p>
        </w:tc>
        <w:tc>
          <w:tcPr>
            <w:tcW w:w="1452" w:type="dxa"/>
            <w:tcBorders>
              <w:top w:val="single" w:color="000000" w:sz="4" w:space="0"/>
              <w:left w:val="single" w:color="000000" w:sz="4" w:space="0"/>
              <w:bottom w:val="single" w:color="000000" w:sz="4" w:space="0"/>
              <w:right w:val="single" w:color="000000" w:sz="4" w:space="0"/>
            </w:tcBorders>
            <w:vAlign w:val="center"/>
          </w:tcPr>
          <w:p w14:paraId="0186A02E">
            <w:pPr>
              <w:pStyle w:val="28"/>
              <w:bidi w:val="0"/>
            </w:pPr>
            <w:r>
              <w:t>2606</w:t>
            </w:r>
          </w:p>
        </w:tc>
        <w:tc>
          <w:tcPr>
            <w:tcW w:w="1043" w:type="dxa"/>
            <w:tcBorders>
              <w:top w:val="single" w:color="000000" w:sz="4" w:space="0"/>
              <w:left w:val="single" w:color="000000" w:sz="4" w:space="0"/>
              <w:bottom w:val="single" w:color="000000" w:sz="4" w:space="0"/>
              <w:right w:val="single" w:color="000000" w:sz="4" w:space="0"/>
            </w:tcBorders>
            <w:vAlign w:val="center"/>
          </w:tcPr>
          <w:p w14:paraId="45E248E8">
            <w:pPr>
              <w:pStyle w:val="28"/>
              <w:bidi w:val="0"/>
            </w:pPr>
            <w:r>
              <w:t>125</w:t>
            </w:r>
          </w:p>
        </w:tc>
      </w:tr>
      <w:tr w14:paraId="73B3BB55">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785AB79F">
            <w:pPr>
              <w:pStyle w:val="28"/>
              <w:bidi w:val="0"/>
            </w:pPr>
            <w:r>
              <w:t>24</w:t>
            </w:r>
          </w:p>
        </w:tc>
        <w:tc>
          <w:tcPr>
            <w:tcW w:w="2885" w:type="dxa"/>
            <w:tcBorders>
              <w:top w:val="single" w:color="000000" w:sz="4" w:space="0"/>
              <w:left w:val="single" w:color="000000" w:sz="4" w:space="0"/>
              <w:bottom w:val="single" w:color="000000" w:sz="4" w:space="0"/>
              <w:right w:val="single" w:color="000000" w:sz="4" w:space="0"/>
            </w:tcBorders>
            <w:vAlign w:val="center"/>
          </w:tcPr>
          <w:p w14:paraId="24CBDAA0">
            <w:pPr>
              <w:pStyle w:val="28"/>
              <w:bidi w:val="0"/>
            </w:pPr>
            <w:r>
              <w:t>沣西干渠30+000～107+000续建配套与现代化改造工程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071A2FF1">
            <w:pPr>
              <w:pStyle w:val="28"/>
              <w:bidi w:val="0"/>
            </w:pPr>
            <w:r>
              <w:t>409695</w:t>
            </w:r>
          </w:p>
        </w:tc>
        <w:tc>
          <w:tcPr>
            <w:tcW w:w="1398" w:type="dxa"/>
            <w:tcBorders>
              <w:top w:val="single" w:color="000000" w:sz="4" w:space="0"/>
              <w:left w:val="single" w:color="000000" w:sz="4" w:space="0"/>
              <w:bottom w:val="single" w:color="000000" w:sz="4" w:space="0"/>
              <w:right w:val="single" w:color="000000" w:sz="4" w:space="0"/>
            </w:tcBorders>
            <w:vAlign w:val="center"/>
          </w:tcPr>
          <w:p w14:paraId="03A1620C">
            <w:pPr>
              <w:pStyle w:val="28"/>
              <w:bidi w:val="0"/>
            </w:pPr>
            <w:r>
              <w:t>300754</w:t>
            </w:r>
          </w:p>
        </w:tc>
        <w:tc>
          <w:tcPr>
            <w:tcW w:w="1318" w:type="dxa"/>
            <w:tcBorders>
              <w:top w:val="single" w:color="000000" w:sz="4" w:space="0"/>
              <w:left w:val="single" w:color="000000" w:sz="4" w:space="0"/>
              <w:bottom w:val="single" w:color="000000" w:sz="4" w:space="0"/>
              <w:right w:val="single" w:color="000000" w:sz="4" w:space="0"/>
            </w:tcBorders>
            <w:vAlign w:val="center"/>
          </w:tcPr>
          <w:p w14:paraId="406F005A">
            <w:pPr>
              <w:pStyle w:val="28"/>
              <w:bidi w:val="0"/>
            </w:pPr>
            <w:r>
              <w:t>4122</w:t>
            </w:r>
          </w:p>
        </w:tc>
        <w:tc>
          <w:tcPr>
            <w:tcW w:w="1452" w:type="dxa"/>
            <w:tcBorders>
              <w:top w:val="single" w:color="000000" w:sz="4" w:space="0"/>
              <w:left w:val="single" w:color="000000" w:sz="4" w:space="0"/>
              <w:bottom w:val="single" w:color="000000" w:sz="4" w:space="0"/>
              <w:right w:val="single" w:color="000000" w:sz="4" w:space="0"/>
            </w:tcBorders>
            <w:vAlign w:val="center"/>
          </w:tcPr>
          <w:p w14:paraId="33F2EFE4">
            <w:pPr>
              <w:pStyle w:val="28"/>
              <w:bidi w:val="0"/>
            </w:pPr>
            <w:r>
              <w:t>27844</w:t>
            </w:r>
          </w:p>
        </w:tc>
        <w:tc>
          <w:tcPr>
            <w:tcW w:w="1043" w:type="dxa"/>
            <w:tcBorders>
              <w:top w:val="single" w:color="000000" w:sz="4" w:space="0"/>
              <w:left w:val="single" w:color="000000" w:sz="4" w:space="0"/>
              <w:bottom w:val="single" w:color="000000" w:sz="4" w:space="0"/>
              <w:right w:val="single" w:color="000000" w:sz="4" w:space="0"/>
            </w:tcBorders>
            <w:vAlign w:val="center"/>
          </w:tcPr>
          <w:p w14:paraId="775230B2">
            <w:pPr>
              <w:pStyle w:val="28"/>
              <w:bidi w:val="0"/>
            </w:pPr>
            <w:r>
              <w:t>217</w:t>
            </w:r>
          </w:p>
        </w:tc>
      </w:tr>
      <w:tr w14:paraId="77A779EC">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1DBB9263">
            <w:pPr>
              <w:pStyle w:val="28"/>
              <w:bidi w:val="0"/>
            </w:pPr>
            <w:r>
              <w:t>25</w:t>
            </w:r>
          </w:p>
        </w:tc>
        <w:tc>
          <w:tcPr>
            <w:tcW w:w="2885" w:type="dxa"/>
            <w:tcBorders>
              <w:top w:val="single" w:color="000000" w:sz="4" w:space="0"/>
              <w:left w:val="single" w:color="000000" w:sz="4" w:space="0"/>
              <w:bottom w:val="single" w:color="000000" w:sz="4" w:space="0"/>
              <w:right w:val="single" w:color="000000" w:sz="4" w:space="0"/>
            </w:tcBorders>
            <w:vAlign w:val="center"/>
          </w:tcPr>
          <w:p w14:paraId="78F863F4">
            <w:pPr>
              <w:pStyle w:val="28"/>
              <w:bidi w:val="0"/>
            </w:pPr>
            <w:r>
              <w:t>汲东</w:t>
            </w:r>
            <w:r>
              <w:rPr>
                <w:rFonts w:hint="eastAsia"/>
              </w:rPr>
              <w:t>干渠</w:t>
            </w:r>
            <w:r>
              <w:t>姚李支渠0+000～17+700续建配套与现代化改造工程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58835FB4">
            <w:pPr>
              <w:pStyle w:val="28"/>
              <w:bidi w:val="0"/>
            </w:pPr>
            <w:r>
              <w:t>117345</w:t>
            </w:r>
          </w:p>
        </w:tc>
        <w:tc>
          <w:tcPr>
            <w:tcW w:w="1398" w:type="dxa"/>
            <w:tcBorders>
              <w:top w:val="single" w:color="000000" w:sz="4" w:space="0"/>
              <w:left w:val="single" w:color="000000" w:sz="4" w:space="0"/>
              <w:bottom w:val="single" w:color="000000" w:sz="4" w:space="0"/>
              <w:right w:val="single" w:color="000000" w:sz="4" w:space="0"/>
            </w:tcBorders>
            <w:vAlign w:val="center"/>
          </w:tcPr>
          <w:p w14:paraId="0821C122">
            <w:pPr>
              <w:pStyle w:val="28"/>
              <w:bidi w:val="0"/>
            </w:pPr>
            <w:r>
              <w:t>28088</w:t>
            </w:r>
          </w:p>
        </w:tc>
        <w:tc>
          <w:tcPr>
            <w:tcW w:w="1318" w:type="dxa"/>
            <w:tcBorders>
              <w:top w:val="single" w:color="000000" w:sz="4" w:space="0"/>
              <w:left w:val="single" w:color="000000" w:sz="4" w:space="0"/>
              <w:bottom w:val="single" w:color="000000" w:sz="4" w:space="0"/>
              <w:right w:val="single" w:color="000000" w:sz="4" w:space="0"/>
            </w:tcBorders>
            <w:vAlign w:val="center"/>
          </w:tcPr>
          <w:p w14:paraId="065A2310">
            <w:pPr>
              <w:pStyle w:val="28"/>
              <w:bidi w:val="0"/>
            </w:pPr>
            <w:r>
              <w:t>1848</w:t>
            </w:r>
          </w:p>
        </w:tc>
        <w:tc>
          <w:tcPr>
            <w:tcW w:w="1452" w:type="dxa"/>
            <w:tcBorders>
              <w:top w:val="single" w:color="000000" w:sz="4" w:space="0"/>
              <w:left w:val="single" w:color="000000" w:sz="4" w:space="0"/>
              <w:bottom w:val="single" w:color="000000" w:sz="4" w:space="0"/>
              <w:right w:val="single" w:color="000000" w:sz="4" w:space="0"/>
            </w:tcBorders>
            <w:vAlign w:val="center"/>
          </w:tcPr>
          <w:p w14:paraId="67DA778D">
            <w:pPr>
              <w:pStyle w:val="28"/>
              <w:bidi w:val="0"/>
            </w:pPr>
            <w:r>
              <w:t>11256</w:t>
            </w:r>
          </w:p>
        </w:tc>
        <w:tc>
          <w:tcPr>
            <w:tcW w:w="1043" w:type="dxa"/>
            <w:tcBorders>
              <w:top w:val="single" w:color="000000" w:sz="4" w:space="0"/>
              <w:left w:val="single" w:color="000000" w:sz="4" w:space="0"/>
              <w:bottom w:val="single" w:color="000000" w:sz="4" w:space="0"/>
              <w:right w:val="single" w:color="000000" w:sz="4" w:space="0"/>
            </w:tcBorders>
            <w:vAlign w:val="center"/>
          </w:tcPr>
          <w:p w14:paraId="3D799166">
            <w:pPr>
              <w:pStyle w:val="28"/>
              <w:bidi w:val="0"/>
            </w:pPr>
            <w:r>
              <w:t>211</w:t>
            </w:r>
          </w:p>
        </w:tc>
      </w:tr>
      <w:tr w14:paraId="0FBA3930">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5DE75027">
            <w:pPr>
              <w:pStyle w:val="28"/>
              <w:bidi w:val="0"/>
            </w:pPr>
            <w:r>
              <w:t>26</w:t>
            </w:r>
          </w:p>
        </w:tc>
        <w:tc>
          <w:tcPr>
            <w:tcW w:w="2885" w:type="dxa"/>
            <w:tcBorders>
              <w:top w:val="single" w:color="000000" w:sz="4" w:space="0"/>
              <w:left w:val="single" w:color="000000" w:sz="4" w:space="0"/>
              <w:bottom w:val="single" w:color="000000" w:sz="4" w:space="0"/>
              <w:right w:val="single" w:color="000000" w:sz="4" w:space="0"/>
            </w:tcBorders>
            <w:vAlign w:val="center"/>
          </w:tcPr>
          <w:p w14:paraId="27A82A06">
            <w:pPr>
              <w:pStyle w:val="28"/>
              <w:bidi w:val="0"/>
            </w:pPr>
            <w:r>
              <w:t>沣西干渠胜天支渠0+000～16+500续建配套与现代化改造工程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0958F13E">
            <w:pPr>
              <w:pStyle w:val="28"/>
              <w:bidi w:val="0"/>
            </w:pPr>
            <w:r>
              <w:t>97242</w:t>
            </w:r>
          </w:p>
        </w:tc>
        <w:tc>
          <w:tcPr>
            <w:tcW w:w="1398" w:type="dxa"/>
            <w:tcBorders>
              <w:top w:val="single" w:color="000000" w:sz="4" w:space="0"/>
              <w:left w:val="single" w:color="000000" w:sz="4" w:space="0"/>
              <w:bottom w:val="single" w:color="000000" w:sz="4" w:space="0"/>
              <w:right w:val="single" w:color="000000" w:sz="4" w:space="0"/>
            </w:tcBorders>
            <w:vAlign w:val="center"/>
          </w:tcPr>
          <w:p w14:paraId="1A0B758C">
            <w:pPr>
              <w:pStyle w:val="28"/>
              <w:bidi w:val="0"/>
            </w:pPr>
            <w:r>
              <w:t>60236</w:t>
            </w:r>
          </w:p>
        </w:tc>
        <w:tc>
          <w:tcPr>
            <w:tcW w:w="1318" w:type="dxa"/>
            <w:tcBorders>
              <w:top w:val="single" w:color="000000" w:sz="4" w:space="0"/>
              <w:left w:val="single" w:color="000000" w:sz="4" w:space="0"/>
              <w:bottom w:val="single" w:color="000000" w:sz="4" w:space="0"/>
              <w:right w:val="single" w:color="000000" w:sz="4" w:space="0"/>
            </w:tcBorders>
            <w:vAlign w:val="center"/>
          </w:tcPr>
          <w:p w14:paraId="26351DF6">
            <w:pPr>
              <w:pStyle w:val="28"/>
              <w:bidi w:val="0"/>
            </w:pPr>
            <w:r>
              <w:t>3049</w:t>
            </w:r>
          </w:p>
        </w:tc>
        <w:tc>
          <w:tcPr>
            <w:tcW w:w="1452" w:type="dxa"/>
            <w:tcBorders>
              <w:top w:val="single" w:color="000000" w:sz="4" w:space="0"/>
              <w:left w:val="single" w:color="000000" w:sz="4" w:space="0"/>
              <w:bottom w:val="single" w:color="000000" w:sz="4" w:space="0"/>
              <w:right w:val="single" w:color="000000" w:sz="4" w:space="0"/>
            </w:tcBorders>
            <w:vAlign w:val="center"/>
          </w:tcPr>
          <w:p w14:paraId="1B1C40C5">
            <w:pPr>
              <w:pStyle w:val="28"/>
              <w:bidi w:val="0"/>
            </w:pPr>
            <w:r>
              <w:t>15874</w:t>
            </w:r>
          </w:p>
        </w:tc>
        <w:tc>
          <w:tcPr>
            <w:tcW w:w="1043" w:type="dxa"/>
            <w:tcBorders>
              <w:top w:val="single" w:color="000000" w:sz="4" w:space="0"/>
              <w:left w:val="single" w:color="000000" w:sz="4" w:space="0"/>
              <w:bottom w:val="single" w:color="000000" w:sz="4" w:space="0"/>
              <w:right w:val="single" w:color="000000" w:sz="4" w:space="0"/>
            </w:tcBorders>
            <w:vAlign w:val="center"/>
          </w:tcPr>
          <w:p w14:paraId="7614DDD9">
            <w:pPr>
              <w:pStyle w:val="28"/>
              <w:bidi w:val="0"/>
            </w:pPr>
            <w:r>
              <w:t>242</w:t>
            </w:r>
          </w:p>
        </w:tc>
      </w:tr>
      <w:tr w14:paraId="5191747B">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47EF946B">
            <w:pPr>
              <w:pStyle w:val="28"/>
              <w:bidi w:val="0"/>
            </w:pPr>
            <w:r>
              <w:t>27</w:t>
            </w:r>
          </w:p>
        </w:tc>
        <w:tc>
          <w:tcPr>
            <w:tcW w:w="2885" w:type="dxa"/>
            <w:tcBorders>
              <w:top w:val="single" w:color="000000" w:sz="4" w:space="0"/>
              <w:left w:val="single" w:color="000000" w:sz="4" w:space="0"/>
              <w:bottom w:val="single" w:color="000000" w:sz="4" w:space="0"/>
              <w:right w:val="single" w:color="000000" w:sz="4" w:space="0"/>
            </w:tcBorders>
            <w:vAlign w:val="center"/>
          </w:tcPr>
          <w:p w14:paraId="52D03A25">
            <w:pPr>
              <w:pStyle w:val="28"/>
              <w:bidi w:val="0"/>
            </w:pPr>
            <w:r>
              <w:t>乌斗支渠0+000～27+500续建配套与现代化改造工程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50B8CAF7">
            <w:pPr>
              <w:pStyle w:val="28"/>
              <w:bidi w:val="0"/>
            </w:pPr>
            <w:r>
              <w:t>112769</w:t>
            </w:r>
          </w:p>
        </w:tc>
        <w:tc>
          <w:tcPr>
            <w:tcW w:w="1398" w:type="dxa"/>
            <w:tcBorders>
              <w:top w:val="single" w:color="000000" w:sz="4" w:space="0"/>
              <w:left w:val="single" w:color="000000" w:sz="4" w:space="0"/>
              <w:bottom w:val="single" w:color="000000" w:sz="4" w:space="0"/>
              <w:right w:val="single" w:color="000000" w:sz="4" w:space="0"/>
            </w:tcBorders>
            <w:vAlign w:val="center"/>
          </w:tcPr>
          <w:p w14:paraId="0EB8F8B2">
            <w:pPr>
              <w:pStyle w:val="28"/>
              <w:bidi w:val="0"/>
            </w:pPr>
            <w:r>
              <w:t>64007</w:t>
            </w:r>
          </w:p>
        </w:tc>
        <w:tc>
          <w:tcPr>
            <w:tcW w:w="1318" w:type="dxa"/>
            <w:tcBorders>
              <w:top w:val="single" w:color="000000" w:sz="4" w:space="0"/>
              <w:left w:val="single" w:color="000000" w:sz="4" w:space="0"/>
              <w:bottom w:val="single" w:color="000000" w:sz="4" w:space="0"/>
              <w:right w:val="single" w:color="000000" w:sz="4" w:space="0"/>
            </w:tcBorders>
            <w:vAlign w:val="center"/>
          </w:tcPr>
          <w:p w14:paraId="4AA960A5">
            <w:pPr>
              <w:pStyle w:val="28"/>
              <w:bidi w:val="0"/>
            </w:pPr>
            <w:r>
              <w:t>5973</w:t>
            </w:r>
          </w:p>
        </w:tc>
        <w:tc>
          <w:tcPr>
            <w:tcW w:w="1452" w:type="dxa"/>
            <w:tcBorders>
              <w:top w:val="single" w:color="000000" w:sz="4" w:space="0"/>
              <w:left w:val="single" w:color="000000" w:sz="4" w:space="0"/>
              <w:bottom w:val="single" w:color="000000" w:sz="4" w:space="0"/>
              <w:right w:val="single" w:color="000000" w:sz="4" w:space="0"/>
            </w:tcBorders>
            <w:vAlign w:val="center"/>
          </w:tcPr>
          <w:p w14:paraId="5165B7A6">
            <w:pPr>
              <w:pStyle w:val="28"/>
              <w:bidi w:val="0"/>
            </w:pPr>
            <w:r>
              <w:t>21183</w:t>
            </w:r>
          </w:p>
        </w:tc>
        <w:tc>
          <w:tcPr>
            <w:tcW w:w="1043" w:type="dxa"/>
            <w:tcBorders>
              <w:top w:val="single" w:color="000000" w:sz="4" w:space="0"/>
              <w:left w:val="single" w:color="000000" w:sz="4" w:space="0"/>
              <w:bottom w:val="single" w:color="000000" w:sz="4" w:space="0"/>
              <w:right w:val="single" w:color="000000" w:sz="4" w:space="0"/>
            </w:tcBorders>
            <w:vAlign w:val="center"/>
          </w:tcPr>
          <w:p w14:paraId="04FFB391">
            <w:pPr>
              <w:pStyle w:val="28"/>
              <w:bidi w:val="0"/>
            </w:pPr>
            <w:r>
              <w:t>172</w:t>
            </w:r>
          </w:p>
        </w:tc>
      </w:tr>
      <w:tr w14:paraId="51426EEE">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3836933C">
            <w:pPr>
              <w:pStyle w:val="28"/>
              <w:bidi w:val="0"/>
            </w:pPr>
            <w:r>
              <w:t>28</w:t>
            </w:r>
          </w:p>
        </w:tc>
        <w:tc>
          <w:tcPr>
            <w:tcW w:w="2885" w:type="dxa"/>
            <w:tcBorders>
              <w:top w:val="single" w:color="000000" w:sz="4" w:space="0"/>
              <w:left w:val="single" w:color="000000" w:sz="4" w:space="0"/>
              <w:bottom w:val="single" w:color="000000" w:sz="4" w:space="0"/>
              <w:right w:val="single" w:color="000000" w:sz="4" w:space="0"/>
            </w:tcBorders>
            <w:vAlign w:val="center"/>
          </w:tcPr>
          <w:p w14:paraId="1C1E4008">
            <w:pPr>
              <w:pStyle w:val="28"/>
              <w:bidi w:val="0"/>
            </w:pPr>
            <w:r>
              <w:t>舒庐干渠庐江段汤池泄洪闸等七座水闸现代化改造工程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3BF844F6">
            <w:pPr>
              <w:pStyle w:val="28"/>
              <w:bidi w:val="0"/>
            </w:pPr>
            <w:r>
              <w:t>36183</w:t>
            </w:r>
          </w:p>
        </w:tc>
        <w:tc>
          <w:tcPr>
            <w:tcW w:w="1398" w:type="dxa"/>
            <w:tcBorders>
              <w:top w:val="single" w:color="000000" w:sz="4" w:space="0"/>
              <w:left w:val="single" w:color="000000" w:sz="4" w:space="0"/>
              <w:bottom w:val="single" w:color="000000" w:sz="4" w:space="0"/>
              <w:right w:val="single" w:color="000000" w:sz="4" w:space="0"/>
            </w:tcBorders>
            <w:vAlign w:val="center"/>
          </w:tcPr>
          <w:p w14:paraId="483CC36D">
            <w:pPr>
              <w:pStyle w:val="28"/>
              <w:bidi w:val="0"/>
            </w:pPr>
            <w:r>
              <w:t>28227</w:t>
            </w:r>
          </w:p>
        </w:tc>
        <w:tc>
          <w:tcPr>
            <w:tcW w:w="1318" w:type="dxa"/>
            <w:tcBorders>
              <w:top w:val="single" w:color="000000" w:sz="4" w:space="0"/>
              <w:left w:val="single" w:color="000000" w:sz="4" w:space="0"/>
              <w:bottom w:val="single" w:color="000000" w:sz="4" w:space="0"/>
              <w:right w:val="single" w:color="000000" w:sz="4" w:space="0"/>
            </w:tcBorders>
            <w:vAlign w:val="center"/>
          </w:tcPr>
          <w:p w14:paraId="7E791BB5">
            <w:pPr>
              <w:pStyle w:val="28"/>
              <w:bidi w:val="0"/>
            </w:pPr>
            <w:r>
              <w:t>4528</w:t>
            </w:r>
          </w:p>
        </w:tc>
        <w:tc>
          <w:tcPr>
            <w:tcW w:w="1452" w:type="dxa"/>
            <w:tcBorders>
              <w:top w:val="single" w:color="000000" w:sz="4" w:space="0"/>
              <w:left w:val="single" w:color="000000" w:sz="4" w:space="0"/>
              <w:bottom w:val="single" w:color="000000" w:sz="4" w:space="0"/>
              <w:right w:val="single" w:color="000000" w:sz="4" w:space="0"/>
            </w:tcBorders>
            <w:vAlign w:val="center"/>
          </w:tcPr>
          <w:p w14:paraId="0B7EF962">
            <w:pPr>
              <w:pStyle w:val="28"/>
              <w:bidi w:val="0"/>
            </w:pPr>
            <w:r>
              <w:t>12694</w:t>
            </w:r>
          </w:p>
        </w:tc>
        <w:tc>
          <w:tcPr>
            <w:tcW w:w="1043" w:type="dxa"/>
            <w:tcBorders>
              <w:top w:val="single" w:color="000000" w:sz="4" w:space="0"/>
              <w:left w:val="single" w:color="000000" w:sz="4" w:space="0"/>
              <w:bottom w:val="single" w:color="000000" w:sz="4" w:space="0"/>
              <w:right w:val="single" w:color="000000" w:sz="4" w:space="0"/>
            </w:tcBorders>
            <w:vAlign w:val="center"/>
          </w:tcPr>
          <w:p w14:paraId="09EA606C">
            <w:pPr>
              <w:pStyle w:val="28"/>
              <w:bidi w:val="0"/>
            </w:pPr>
            <w:r>
              <w:t>688</w:t>
            </w:r>
          </w:p>
        </w:tc>
      </w:tr>
      <w:tr w14:paraId="4A6F2FD0">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33875295">
            <w:pPr>
              <w:pStyle w:val="28"/>
              <w:bidi w:val="0"/>
            </w:pPr>
            <w:r>
              <w:t>29</w:t>
            </w:r>
          </w:p>
        </w:tc>
        <w:tc>
          <w:tcPr>
            <w:tcW w:w="2885" w:type="dxa"/>
            <w:tcBorders>
              <w:top w:val="single" w:color="000000" w:sz="4" w:space="0"/>
              <w:left w:val="single" w:color="000000" w:sz="4" w:space="0"/>
              <w:bottom w:val="single" w:color="000000" w:sz="4" w:space="0"/>
              <w:right w:val="single" w:color="000000" w:sz="4" w:space="0"/>
            </w:tcBorders>
            <w:vAlign w:val="center"/>
          </w:tcPr>
          <w:p w14:paraId="106E1B39">
            <w:pPr>
              <w:pStyle w:val="28"/>
              <w:bidi w:val="0"/>
            </w:pPr>
            <w:r>
              <w:t>杭北</w:t>
            </w:r>
            <w:r>
              <w:rPr>
                <w:rFonts w:hint="eastAsia"/>
              </w:rPr>
              <w:t>干渠</w:t>
            </w:r>
            <w:r>
              <w:t>25+430～34+580、49+500～68+890段续建配套与现代化改造工程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69808CC4">
            <w:pPr>
              <w:pStyle w:val="28"/>
              <w:bidi w:val="0"/>
            </w:pPr>
            <w:r>
              <w:t>93513</w:t>
            </w:r>
          </w:p>
        </w:tc>
        <w:tc>
          <w:tcPr>
            <w:tcW w:w="1398" w:type="dxa"/>
            <w:tcBorders>
              <w:top w:val="single" w:color="000000" w:sz="4" w:space="0"/>
              <w:left w:val="single" w:color="000000" w:sz="4" w:space="0"/>
              <w:bottom w:val="single" w:color="000000" w:sz="4" w:space="0"/>
              <w:right w:val="single" w:color="000000" w:sz="4" w:space="0"/>
            </w:tcBorders>
            <w:vAlign w:val="center"/>
          </w:tcPr>
          <w:p w14:paraId="5BBF68BF">
            <w:pPr>
              <w:pStyle w:val="28"/>
              <w:bidi w:val="0"/>
            </w:pPr>
            <w:r>
              <w:t>74982</w:t>
            </w:r>
          </w:p>
        </w:tc>
        <w:tc>
          <w:tcPr>
            <w:tcW w:w="1318" w:type="dxa"/>
            <w:tcBorders>
              <w:top w:val="single" w:color="000000" w:sz="4" w:space="0"/>
              <w:left w:val="single" w:color="000000" w:sz="4" w:space="0"/>
              <w:bottom w:val="single" w:color="000000" w:sz="4" w:space="0"/>
              <w:right w:val="single" w:color="000000" w:sz="4" w:space="0"/>
            </w:tcBorders>
            <w:vAlign w:val="center"/>
          </w:tcPr>
          <w:p w14:paraId="0A38806C">
            <w:pPr>
              <w:pStyle w:val="28"/>
              <w:bidi w:val="0"/>
            </w:pPr>
            <w:r>
              <w:t>5274</w:t>
            </w:r>
          </w:p>
        </w:tc>
        <w:tc>
          <w:tcPr>
            <w:tcW w:w="1452" w:type="dxa"/>
            <w:tcBorders>
              <w:top w:val="single" w:color="000000" w:sz="4" w:space="0"/>
              <w:left w:val="single" w:color="000000" w:sz="4" w:space="0"/>
              <w:bottom w:val="single" w:color="000000" w:sz="4" w:space="0"/>
              <w:right w:val="single" w:color="000000" w:sz="4" w:space="0"/>
            </w:tcBorders>
            <w:vAlign w:val="center"/>
          </w:tcPr>
          <w:p w14:paraId="6A1A2E0A">
            <w:pPr>
              <w:pStyle w:val="28"/>
              <w:bidi w:val="0"/>
            </w:pPr>
            <w:r>
              <w:t>12652</w:t>
            </w:r>
          </w:p>
        </w:tc>
        <w:tc>
          <w:tcPr>
            <w:tcW w:w="1043" w:type="dxa"/>
            <w:tcBorders>
              <w:top w:val="single" w:color="000000" w:sz="4" w:space="0"/>
              <w:left w:val="single" w:color="000000" w:sz="4" w:space="0"/>
              <w:bottom w:val="single" w:color="000000" w:sz="4" w:space="0"/>
              <w:right w:val="single" w:color="000000" w:sz="4" w:space="0"/>
            </w:tcBorders>
            <w:vAlign w:val="center"/>
          </w:tcPr>
          <w:p w14:paraId="3223973C">
            <w:pPr>
              <w:pStyle w:val="28"/>
              <w:bidi w:val="0"/>
            </w:pPr>
            <w:r>
              <w:t>386</w:t>
            </w:r>
          </w:p>
        </w:tc>
      </w:tr>
      <w:tr w14:paraId="41EACF94">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318DD6EF">
            <w:pPr>
              <w:pStyle w:val="28"/>
              <w:bidi w:val="0"/>
            </w:pPr>
            <w:r>
              <w:t>30</w:t>
            </w:r>
          </w:p>
        </w:tc>
        <w:tc>
          <w:tcPr>
            <w:tcW w:w="2885" w:type="dxa"/>
            <w:tcBorders>
              <w:top w:val="single" w:color="000000" w:sz="4" w:space="0"/>
              <w:left w:val="single" w:color="000000" w:sz="4" w:space="0"/>
              <w:bottom w:val="single" w:color="000000" w:sz="4" w:space="0"/>
              <w:right w:val="single" w:color="000000" w:sz="4" w:space="0"/>
            </w:tcBorders>
            <w:vAlign w:val="center"/>
          </w:tcPr>
          <w:p w14:paraId="792A2434">
            <w:pPr>
              <w:pStyle w:val="28"/>
              <w:bidi w:val="0"/>
            </w:pPr>
            <w:r>
              <w:t>庐南分干渠沙胜支渠0+000～24+000续建配套与现代化改造工程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4B521988">
            <w:pPr>
              <w:pStyle w:val="28"/>
              <w:bidi w:val="0"/>
            </w:pPr>
            <w:r>
              <w:t>104200</w:t>
            </w:r>
          </w:p>
        </w:tc>
        <w:tc>
          <w:tcPr>
            <w:tcW w:w="1398" w:type="dxa"/>
            <w:tcBorders>
              <w:top w:val="single" w:color="000000" w:sz="4" w:space="0"/>
              <w:left w:val="single" w:color="000000" w:sz="4" w:space="0"/>
              <w:bottom w:val="single" w:color="000000" w:sz="4" w:space="0"/>
              <w:right w:val="single" w:color="000000" w:sz="4" w:space="0"/>
            </w:tcBorders>
            <w:vAlign w:val="center"/>
          </w:tcPr>
          <w:p w14:paraId="076455EB">
            <w:pPr>
              <w:pStyle w:val="28"/>
              <w:bidi w:val="0"/>
            </w:pPr>
            <w:r>
              <w:t>64050</w:t>
            </w:r>
          </w:p>
        </w:tc>
        <w:tc>
          <w:tcPr>
            <w:tcW w:w="1318" w:type="dxa"/>
            <w:tcBorders>
              <w:top w:val="single" w:color="000000" w:sz="4" w:space="0"/>
              <w:left w:val="single" w:color="000000" w:sz="4" w:space="0"/>
              <w:bottom w:val="single" w:color="000000" w:sz="4" w:space="0"/>
              <w:right w:val="single" w:color="000000" w:sz="4" w:space="0"/>
            </w:tcBorders>
            <w:vAlign w:val="center"/>
          </w:tcPr>
          <w:p w14:paraId="529DEBB9">
            <w:pPr>
              <w:pStyle w:val="28"/>
              <w:bidi w:val="0"/>
            </w:pPr>
            <w:r>
              <w:t>3</w:t>
            </w:r>
          </w:p>
        </w:tc>
        <w:tc>
          <w:tcPr>
            <w:tcW w:w="1452" w:type="dxa"/>
            <w:tcBorders>
              <w:top w:val="single" w:color="000000" w:sz="4" w:space="0"/>
              <w:left w:val="single" w:color="000000" w:sz="4" w:space="0"/>
              <w:bottom w:val="single" w:color="000000" w:sz="4" w:space="0"/>
              <w:right w:val="single" w:color="000000" w:sz="4" w:space="0"/>
            </w:tcBorders>
            <w:vAlign w:val="center"/>
          </w:tcPr>
          <w:p w14:paraId="4DB1A5C5">
            <w:pPr>
              <w:pStyle w:val="28"/>
              <w:bidi w:val="0"/>
            </w:pPr>
            <w:r>
              <w:t>23472</w:t>
            </w:r>
          </w:p>
        </w:tc>
        <w:tc>
          <w:tcPr>
            <w:tcW w:w="1043" w:type="dxa"/>
            <w:tcBorders>
              <w:top w:val="single" w:color="000000" w:sz="4" w:space="0"/>
              <w:left w:val="single" w:color="000000" w:sz="4" w:space="0"/>
              <w:bottom w:val="single" w:color="000000" w:sz="4" w:space="0"/>
              <w:right w:val="single" w:color="000000" w:sz="4" w:space="0"/>
            </w:tcBorders>
            <w:vAlign w:val="center"/>
          </w:tcPr>
          <w:p w14:paraId="6F2DD734">
            <w:pPr>
              <w:pStyle w:val="28"/>
              <w:bidi w:val="0"/>
            </w:pPr>
            <w:r>
              <w:t>843</w:t>
            </w:r>
          </w:p>
        </w:tc>
      </w:tr>
      <w:tr w14:paraId="0A26EE6A">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587DE6AC">
            <w:pPr>
              <w:pStyle w:val="28"/>
              <w:bidi w:val="0"/>
            </w:pPr>
            <w:r>
              <w:t>31</w:t>
            </w:r>
          </w:p>
        </w:tc>
        <w:tc>
          <w:tcPr>
            <w:tcW w:w="2885" w:type="dxa"/>
            <w:tcBorders>
              <w:top w:val="single" w:color="000000" w:sz="4" w:space="0"/>
              <w:left w:val="single" w:color="000000" w:sz="4" w:space="0"/>
              <w:bottom w:val="single" w:color="000000" w:sz="4" w:space="0"/>
              <w:right w:val="single" w:color="000000" w:sz="4" w:space="0"/>
            </w:tcBorders>
            <w:vAlign w:val="center"/>
          </w:tcPr>
          <w:p w14:paraId="2D9DBF77">
            <w:pPr>
              <w:pStyle w:val="28"/>
              <w:bidi w:val="0"/>
            </w:pPr>
            <w:r>
              <w:t>庐南分干渠乐桥支渠0+000～10+200段续建配套与现代化改造工程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1117AFA3">
            <w:pPr>
              <w:pStyle w:val="28"/>
              <w:bidi w:val="0"/>
            </w:pPr>
            <w:r>
              <w:t>31600</w:t>
            </w:r>
          </w:p>
        </w:tc>
        <w:tc>
          <w:tcPr>
            <w:tcW w:w="1398" w:type="dxa"/>
            <w:tcBorders>
              <w:top w:val="single" w:color="000000" w:sz="4" w:space="0"/>
              <w:left w:val="single" w:color="000000" w:sz="4" w:space="0"/>
              <w:bottom w:val="single" w:color="000000" w:sz="4" w:space="0"/>
              <w:right w:val="single" w:color="000000" w:sz="4" w:space="0"/>
            </w:tcBorders>
            <w:vAlign w:val="center"/>
          </w:tcPr>
          <w:p w14:paraId="14E65FF2">
            <w:pPr>
              <w:pStyle w:val="28"/>
              <w:bidi w:val="0"/>
            </w:pPr>
            <w:r>
              <w:t>19700</w:t>
            </w:r>
          </w:p>
        </w:tc>
        <w:tc>
          <w:tcPr>
            <w:tcW w:w="1318" w:type="dxa"/>
            <w:tcBorders>
              <w:top w:val="single" w:color="000000" w:sz="4" w:space="0"/>
              <w:left w:val="single" w:color="000000" w:sz="4" w:space="0"/>
              <w:bottom w:val="single" w:color="000000" w:sz="4" w:space="0"/>
              <w:right w:val="single" w:color="000000" w:sz="4" w:space="0"/>
            </w:tcBorders>
            <w:vAlign w:val="center"/>
          </w:tcPr>
          <w:p w14:paraId="7D33DF0C">
            <w:pPr>
              <w:pStyle w:val="28"/>
              <w:bidi w:val="0"/>
            </w:pPr>
            <w:r>
              <w:t>21</w:t>
            </w:r>
          </w:p>
        </w:tc>
        <w:tc>
          <w:tcPr>
            <w:tcW w:w="1452" w:type="dxa"/>
            <w:tcBorders>
              <w:top w:val="single" w:color="000000" w:sz="4" w:space="0"/>
              <w:left w:val="single" w:color="000000" w:sz="4" w:space="0"/>
              <w:bottom w:val="single" w:color="000000" w:sz="4" w:space="0"/>
              <w:right w:val="single" w:color="000000" w:sz="4" w:space="0"/>
            </w:tcBorders>
            <w:vAlign w:val="center"/>
          </w:tcPr>
          <w:p w14:paraId="50707658">
            <w:pPr>
              <w:pStyle w:val="28"/>
              <w:bidi w:val="0"/>
            </w:pPr>
            <w:r>
              <w:t>8937</w:t>
            </w:r>
          </w:p>
        </w:tc>
        <w:tc>
          <w:tcPr>
            <w:tcW w:w="1043" w:type="dxa"/>
            <w:tcBorders>
              <w:top w:val="single" w:color="000000" w:sz="4" w:space="0"/>
              <w:left w:val="single" w:color="000000" w:sz="4" w:space="0"/>
              <w:bottom w:val="single" w:color="000000" w:sz="4" w:space="0"/>
              <w:right w:val="single" w:color="000000" w:sz="4" w:space="0"/>
            </w:tcBorders>
            <w:vAlign w:val="center"/>
          </w:tcPr>
          <w:p w14:paraId="1E1ED368">
            <w:pPr>
              <w:pStyle w:val="28"/>
              <w:bidi w:val="0"/>
            </w:pPr>
            <w:r>
              <w:t>110</w:t>
            </w:r>
          </w:p>
        </w:tc>
      </w:tr>
      <w:tr w14:paraId="78491600">
        <w:tblPrEx>
          <w:tblCellMar>
            <w:top w:w="0" w:type="dxa"/>
            <w:left w:w="108" w:type="dxa"/>
            <w:bottom w:w="0" w:type="dxa"/>
            <w:right w:w="108" w:type="dxa"/>
          </w:tblCellMar>
        </w:tblPrEx>
        <w:trPr>
          <w:trHeight w:val="340" w:hRule="atLeast"/>
          <w:jc w:val="center"/>
        </w:trPr>
        <w:tc>
          <w:tcPr>
            <w:tcW w:w="414" w:type="dxa"/>
            <w:tcBorders>
              <w:top w:val="single" w:color="000000" w:sz="4" w:space="0"/>
              <w:left w:val="single" w:color="000000" w:sz="4" w:space="0"/>
              <w:bottom w:val="single" w:color="000000" w:sz="4" w:space="0"/>
              <w:right w:val="single" w:color="000000" w:sz="4" w:space="0"/>
            </w:tcBorders>
            <w:vAlign w:val="center"/>
          </w:tcPr>
          <w:p w14:paraId="0CCD34FE">
            <w:pPr>
              <w:pStyle w:val="28"/>
              <w:bidi w:val="0"/>
            </w:pPr>
            <w:r>
              <w:t>32</w:t>
            </w:r>
          </w:p>
        </w:tc>
        <w:tc>
          <w:tcPr>
            <w:tcW w:w="2885" w:type="dxa"/>
            <w:tcBorders>
              <w:top w:val="single" w:color="000000" w:sz="4" w:space="0"/>
              <w:left w:val="single" w:color="000000" w:sz="4" w:space="0"/>
              <w:bottom w:val="single" w:color="000000" w:sz="4" w:space="0"/>
              <w:right w:val="single" w:color="000000" w:sz="4" w:space="0"/>
            </w:tcBorders>
            <w:vAlign w:val="center"/>
          </w:tcPr>
          <w:p w14:paraId="6649F70F">
            <w:pPr>
              <w:pStyle w:val="28"/>
              <w:bidi w:val="0"/>
            </w:pPr>
            <w:r>
              <w:t>舒庐干渠马田支渠0+000～5+000段续建配套与现代化改造工程</w:t>
            </w:r>
          </w:p>
        </w:tc>
        <w:tc>
          <w:tcPr>
            <w:tcW w:w="1310" w:type="dxa"/>
            <w:tcBorders>
              <w:top w:val="single" w:color="000000" w:sz="4" w:space="0"/>
              <w:left w:val="single" w:color="000000" w:sz="4" w:space="0"/>
              <w:bottom w:val="single" w:color="000000" w:sz="4" w:space="0"/>
              <w:right w:val="single" w:color="000000" w:sz="4" w:space="0"/>
            </w:tcBorders>
            <w:vAlign w:val="center"/>
          </w:tcPr>
          <w:p w14:paraId="1155D829">
            <w:pPr>
              <w:pStyle w:val="28"/>
              <w:bidi w:val="0"/>
            </w:pPr>
            <w:r>
              <w:t>26000</w:t>
            </w:r>
          </w:p>
        </w:tc>
        <w:tc>
          <w:tcPr>
            <w:tcW w:w="1398" w:type="dxa"/>
            <w:tcBorders>
              <w:top w:val="single" w:color="000000" w:sz="4" w:space="0"/>
              <w:left w:val="single" w:color="000000" w:sz="4" w:space="0"/>
              <w:bottom w:val="single" w:color="000000" w:sz="4" w:space="0"/>
              <w:right w:val="single" w:color="000000" w:sz="4" w:space="0"/>
            </w:tcBorders>
            <w:vAlign w:val="center"/>
          </w:tcPr>
          <w:p w14:paraId="60B3D697">
            <w:pPr>
              <w:pStyle w:val="28"/>
              <w:bidi w:val="0"/>
            </w:pPr>
            <w:r>
              <w:t>14000</w:t>
            </w:r>
          </w:p>
        </w:tc>
        <w:tc>
          <w:tcPr>
            <w:tcW w:w="1318" w:type="dxa"/>
            <w:tcBorders>
              <w:top w:val="single" w:color="000000" w:sz="4" w:space="0"/>
              <w:left w:val="single" w:color="000000" w:sz="4" w:space="0"/>
              <w:bottom w:val="single" w:color="000000" w:sz="4" w:space="0"/>
              <w:right w:val="single" w:color="000000" w:sz="4" w:space="0"/>
            </w:tcBorders>
            <w:vAlign w:val="center"/>
          </w:tcPr>
          <w:p w14:paraId="50ADE71E">
            <w:pPr>
              <w:pStyle w:val="28"/>
              <w:bidi w:val="0"/>
            </w:pPr>
            <w:r>
              <w:t>42</w:t>
            </w:r>
          </w:p>
        </w:tc>
        <w:tc>
          <w:tcPr>
            <w:tcW w:w="1452" w:type="dxa"/>
            <w:tcBorders>
              <w:top w:val="single" w:color="000000" w:sz="4" w:space="0"/>
              <w:left w:val="single" w:color="000000" w:sz="4" w:space="0"/>
              <w:bottom w:val="single" w:color="000000" w:sz="4" w:space="0"/>
              <w:right w:val="single" w:color="000000" w:sz="4" w:space="0"/>
            </w:tcBorders>
            <w:vAlign w:val="center"/>
          </w:tcPr>
          <w:p w14:paraId="0DC0D14C">
            <w:pPr>
              <w:pStyle w:val="28"/>
              <w:bidi w:val="0"/>
            </w:pPr>
            <w:r>
              <w:t>6193</w:t>
            </w:r>
          </w:p>
        </w:tc>
        <w:tc>
          <w:tcPr>
            <w:tcW w:w="1043" w:type="dxa"/>
            <w:tcBorders>
              <w:top w:val="single" w:color="000000" w:sz="4" w:space="0"/>
              <w:left w:val="single" w:color="000000" w:sz="4" w:space="0"/>
              <w:bottom w:val="single" w:color="000000" w:sz="4" w:space="0"/>
              <w:right w:val="single" w:color="000000" w:sz="4" w:space="0"/>
            </w:tcBorders>
            <w:vAlign w:val="center"/>
          </w:tcPr>
          <w:p w14:paraId="0F4F1243">
            <w:pPr>
              <w:pStyle w:val="28"/>
              <w:bidi w:val="0"/>
            </w:pPr>
            <w:r>
              <w:t>101</w:t>
            </w:r>
          </w:p>
        </w:tc>
      </w:tr>
      <w:tr w14:paraId="0220855C">
        <w:tblPrEx>
          <w:tblCellMar>
            <w:top w:w="0" w:type="dxa"/>
            <w:left w:w="108" w:type="dxa"/>
            <w:bottom w:w="0" w:type="dxa"/>
            <w:right w:w="108" w:type="dxa"/>
          </w:tblCellMar>
        </w:tblPrEx>
        <w:trPr>
          <w:trHeight w:val="340" w:hRule="atLeast"/>
          <w:jc w:val="center"/>
        </w:trPr>
        <w:tc>
          <w:tcPr>
            <w:tcW w:w="3299" w:type="dxa"/>
            <w:gridSpan w:val="2"/>
            <w:tcBorders>
              <w:top w:val="single" w:color="000000" w:sz="4" w:space="0"/>
              <w:left w:val="single" w:color="000000" w:sz="4" w:space="0"/>
              <w:bottom w:val="single" w:color="000000" w:sz="4" w:space="0"/>
              <w:right w:val="single" w:color="000000" w:sz="4" w:space="0"/>
            </w:tcBorders>
            <w:vAlign w:val="center"/>
          </w:tcPr>
          <w:p w14:paraId="22184AB6">
            <w:pPr>
              <w:pStyle w:val="28"/>
              <w:bidi w:val="0"/>
            </w:pPr>
            <w:r>
              <w:t>合计</w:t>
            </w:r>
          </w:p>
        </w:tc>
        <w:tc>
          <w:tcPr>
            <w:tcW w:w="1310" w:type="dxa"/>
            <w:tcBorders>
              <w:top w:val="single" w:color="000000" w:sz="4" w:space="0"/>
              <w:left w:val="single" w:color="000000" w:sz="4" w:space="0"/>
              <w:bottom w:val="single" w:color="000000" w:sz="4" w:space="0"/>
              <w:right w:val="single" w:color="000000" w:sz="4" w:space="0"/>
            </w:tcBorders>
            <w:vAlign w:val="center"/>
          </w:tcPr>
          <w:p w14:paraId="4F648838">
            <w:pPr>
              <w:pStyle w:val="28"/>
              <w:bidi w:val="0"/>
            </w:pPr>
            <w:r>
              <w:t>2786534</w:t>
            </w:r>
          </w:p>
        </w:tc>
        <w:tc>
          <w:tcPr>
            <w:tcW w:w="1398" w:type="dxa"/>
            <w:tcBorders>
              <w:top w:val="single" w:color="000000" w:sz="4" w:space="0"/>
              <w:left w:val="single" w:color="000000" w:sz="4" w:space="0"/>
              <w:bottom w:val="single" w:color="000000" w:sz="4" w:space="0"/>
              <w:right w:val="single" w:color="000000" w:sz="4" w:space="0"/>
            </w:tcBorders>
            <w:vAlign w:val="center"/>
          </w:tcPr>
          <w:p w14:paraId="198E4885">
            <w:pPr>
              <w:pStyle w:val="28"/>
              <w:bidi w:val="0"/>
            </w:pPr>
            <w:r>
              <w:t>1488375</w:t>
            </w:r>
          </w:p>
        </w:tc>
        <w:tc>
          <w:tcPr>
            <w:tcW w:w="1318" w:type="dxa"/>
            <w:tcBorders>
              <w:top w:val="single" w:color="000000" w:sz="4" w:space="0"/>
              <w:left w:val="single" w:color="000000" w:sz="4" w:space="0"/>
              <w:bottom w:val="single" w:color="000000" w:sz="4" w:space="0"/>
              <w:right w:val="single" w:color="000000" w:sz="4" w:space="0"/>
            </w:tcBorders>
            <w:vAlign w:val="center"/>
          </w:tcPr>
          <w:p w14:paraId="7903CE47">
            <w:pPr>
              <w:pStyle w:val="28"/>
              <w:bidi w:val="0"/>
            </w:pPr>
            <w:r>
              <w:t>114052</w:t>
            </w:r>
          </w:p>
        </w:tc>
        <w:tc>
          <w:tcPr>
            <w:tcW w:w="1452" w:type="dxa"/>
            <w:tcBorders>
              <w:top w:val="single" w:color="000000" w:sz="4" w:space="0"/>
              <w:left w:val="single" w:color="000000" w:sz="4" w:space="0"/>
              <w:bottom w:val="single" w:color="000000" w:sz="4" w:space="0"/>
              <w:right w:val="single" w:color="000000" w:sz="4" w:space="0"/>
            </w:tcBorders>
            <w:vAlign w:val="center"/>
          </w:tcPr>
          <w:p w14:paraId="7A3717D0">
            <w:pPr>
              <w:pStyle w:val="28"/>
              <w:bidi w:val="0"/>
            </w:pPr>
            <w:r>
              <w:t>398397</w:t>
            </w:r>
          </w:p>
        </w:tc>
        <w:tc>
          <w:tcPr>
            <w:tcW w:w="1043" w:type="dxa"/>
            <w:tcBorders>
              <w:top w:val="single" w:color="000000" w:sz="4" w:space="0"/>
              <w:left w:val="single" w:color="000000" w:sz="4" w:space="0"/>
              <w:bottom w:val="single" w:color="000000" w:sz="4" w:space="0"/>
              <w:right w:val="single" w:color="000000" w:sz="4" w:space="0"/>
            </w:tcBorders>
            <w:vAlign w:val="center"/>
          </w:tcPr>
          <w:p w14:paraId="0BEF472A">
            <w:pPr>
              <w:pStyle w:val="28"/>
              <w:bidi w:val="0"/>
            </w:pPr>
            <w:r>
              <w:t>8335</w:t>
            </w:r>
          </w:p>
        </w:tc>
      </w:tr>
    </w:tbl>
    <w:p w14:paraId="475868B1">
      <w:pPr>
        <w:ind w:firstLine="480"/>
        <w:rPr>
          <w:rFonts w:cs="Times New Roman"/>
          <w:color w:val="0000FF"/>
        </w:rPr>
      </w:pPr>
    </w:p>
    <w:p w14:paraId="120A873B">
      <w:pPr>
        <w:rPr>
          <w:color w:val="0000FF"/>
        </w:rPr>
        <w:sectPr>
          <w:headerReference r:id="rId23" w:type="default"/>
          <w:footerReference r:id="rId24" w:type="default"/>
          <w:pgSz w:w="11905" w:h="16838"/>
          <w:pgMar w:top="1417" w:right="1417" w:bottom="1417" w:left="1417" w:header="850" w:footer="850" w:gutter="0"/>
          <w:pgNumType w:fmt="decimal"/>
          <w:cols w:space="0" w:num="1"/>
          <w:rtlGutter w:val="0"/>
          <w:docGrid w:linePitch="326" w:charSpace="0"/>
        </w:sectPr>
      </w:pPr>
    </w:p>
    <w:p w14:paraId="4F7EFFDD">
      <w:pPr>
        <w:rPr>
          <w:color w:val="0000FF"/>
        </w:rPr>
      </w:pPr>
      <w:r>
        <w:rPr>
          <w:color w:val="0000FF"/>
        </w:rPr>
        <w:t>表2-</w:t>
      </w:r>
      <w:r>
        <w:rPr>
          <w:rFonts w:hint="eastAsia"/>
          <w:color w:val="0000FF"/>
        </w:rPr>
        <w:t>4</w:t>
      </w:r>
      <w:r>
        <w:rPr>
          <w:color w:val="0000FF"/>
        </w:rPr>
        <w:t>-</w:t>
      </w:r>
      <w:r>
        <w:rPr>
          <w:rFonts w:hint="eastAsia"/>
          <w:color w:val="0000FF"/>
        </w:rPr>
        <w:t>7</w:t>
      </w:r>
      <w:r>
        <w:rPr>
          <w:color w:val="0000FF"/>
        </w:rPr>
        <w:t xml:space="preserve">  各单项工程主要建筑材料用量汇总表</w:t>
      </w:r>
    </w:p>
    <w:tbl>
      <w:tblPr>
        <w:tblStyle w:val="16"/>
        <w:tblW w:w="4997" w:type="pct"/>
        <w:jc w:val="center"/>
        <w:tblLayout w:type="autofit"/>
        <w:tblCellMar>
          <w:top w:w="0" w:type="dxa"/>
          <w:left w:w="108" w:type="dxa"/>
          <w:bottom w:w="0" w:type="dxa"/>
          <w:right w:w="108" w:type="dxa"/>
        </w:tblCellMar>
      </w:tblPr>
      <w:tblGrid>
        <w:gridCol w:w="605"/>
        <w:gridCol w:w="3261"/>
        <w:gridCol w:w="741"/>
        <w:gridCol w:w="695"/>
        <w:gridCol w:w="695"/>
        <w:gridCol w:w="695"/>
        <w:gridCol w:w="863"/>
        <w:gridCol w:w="863"/>
        <w:gridCol w:w="863"/>
      </w:tblGrid>
      <w:tr w14:paraId="3CF56FBB">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textDirection w:val="tbRlV"/>
            <w:vAlign w:val="center"/>
          </w:tcPr>
          <w:p w14:paraId="34724636">
            <w:pPr>
              <w:pStyle w:val="28"/>
              <w:bidi w:val="0"/>
            </w:pPr>
            <w:r>
              <w:t>序号</w:t>
            </w:r>
          </w:p>
        </w:tc>
        <w:tc>
          <w:tcPr>
            <w:tcW w:w="1840" w:type="pct"/>
            <w:tcBorders>
              <w:top w:val="single" w:color="000000" w:sz="4" w:space="0"/>
              <w:left w:val="single" w:color="000000" w:sz="4" w:space="0"/>
              <w:bottom w:val="single" w:color="000000" w:sz="4" w:space="0"/>
              <w:right w:val="single" w:color="000000" w:sz="4" w:space="0"/>
            </w:tcBorders>
            <w:vAlign w:val="center"/>
          </w:tcPr>
          <w:p w14:paraId="06AA72C0">
            <w:pPr>
              <w:pStyle w:val="28"/>
              <w:bidi w:val="0"/>
            </w:pPr>
            <w:r>
              <w:t>项目名称</w:t>
            </w:r>
          </w:p>
        </w:tc>
        <w:tc>
          <w:tcPr>
            <w:tcW w:w="414" w:type="pct"/>
            <w:tcBorders>
              <w:top w:val="single" w:color="000000" w:sz="4" w:space="0"/>
              <w:left w:val="single" w:color="000000" w:sz="4" w:space="0"/>
              <w:bottom w:val="single" w:color="000000" w:sz="4" w:space="0"/>
              <w:right w:val="single" w:color="000000" w:sz="4" w:space="0"/>
            </w:tcBorders>
            <w:vAlign w:val="center"/>
          </w:tcPr>
          <w:p w14:paraId="7E54225E">
            <w:pPr>
              <w:pStyle w:val="28"/>
              <w:bidi w:val="0"/>
            </w:pPr>
            <w:r>
              <w:t>水泥（t）</w:t>
            </w:r>
          </w:p>
        </w:tc>
        <w:tc>
          <w:tcPr>
            <w:tcW w:w="414" w:type="pct"/>
            <w:tcBorders>
              <w:top w:val="single" w:color="000000" w:sz="4" w:space="0"/>
              <w:left w:val="single" w:color="000000" w:sz="4" w:space="0"/>
              <w:bottom w:val="single" w:color="000000" w:sz="4" w:space="0"/>
              <w:right w:val="single" w:color="000000" w:sz="4" w:space="0"/>
            </w:tcBorders>
            <w:vAlign w:val="center"/>
          </w:tcPr>
          <w:p w14:paraId="309254EA">
            <w:pPr>
              <w:pStyle w:val="28"/>
              <w:bidi w:val="0"/>
            </w:pPr>
            <w:r>
              <w:t>钢筋（t）</w:t>
            </w:r>
          </w:p>
        </w:tc>
        <w:tc>
          <w:tcPr>
            <w:tcW w:w="414" w:type="pct"/>
            <w:tcBorders>
              <w:top w:val="single" w:color="000000" w:sz="4" w:space="0"/>
              <w:left w:val="single" w:color="000000" w:sz="4" w:space="0"/>
              <w:bottom w:val="single" w:color="000000" w:sz="4" w:space="0"/>
              <w:right w:val="single" w:color="000000" w:sz="4" w:space="0"/>
            </w:tcBorders>
            <w:vAlign w:val="center"/>
          </w:tcPr>
          <w:p w14:paraId="40E01764">
            <w:pPr>
              <w:pStyle w:val="28"/>
              <w:bidi w:val="0"/>
            </w:pPr>
            <w:r>
              <w:t>汽油（t）</w:t>
            </w:r>
          </w:p>
        </w:tc>
        <w:tc>
          <w:tcPr>
            <w:tcW w:w="339" w:type="pct"/>
            <w:tcBorders>
              <w:top w:val="single" w:color="000000" w:sz="4" w:space="0"/>
              <w:left w:val="single" w:color="000000" w:sz="4" w:space="0"/>
              <w:bottom w:val="single" w:color="000000" w:sz="4" w:space="0"/>
              <w:right w:val="single" w:color="000000" w:sz="4" w:space="0"/>
            </w:tcBorders>
            <w:vAlign w:val="center"/>
          </w:tcPr>
          <w:p w14:paraId="5452A1C9">
            <w:pPr>
              <w:pStyle w:val="28"/>
              <w:bidi w:val="0"/>
            </w:pPr>
            <w:r>
              <w:t>柴油（t）</w:t>
            </w:r>
          </w:p>
        </w:tc>
        <w:tc>
          <w:tcPr>
            <w:tcW w:w="407" w:type="pct"/>
            <w:tcBorders>
              <w:top w:val="single" w:color="000000" w:sz="4" w:space="0"/>
              <w:left w:val="single" w:color="000000" w:sz="4" w:space="0"/>
              <w:bottom w:val="single" w:color="000000" w:sz="4" w:space="0"/>
              <w:right w:val="single" w:color="000000" w:sz="4" w:space="0"/>
            </w:tcBorders>
            <w:vAlign w:val="center"/>
          </w:tcPr>
          <w:p w14:paraId="0DFDF10D">
            <w:pPr>
              <w:pStyle w:val="28"/>
              <w:bidi w:val="0"/>
            </w:pPr>
            <w:r>
              <w:t>块石（m³）</w:t>
            </w:r>
          </w:p>
        </w:tc>
        <w:tc>
          <w:tcPr>
            <w:tcW w:w="364" w:type="pct"/>
            <w:tcBorders>
              <w:top w:val="single" w:color="000000" w:sz="4" w:space="0"/>
              <w:left w:val="single" w:color="000000" w:sz="4" w:space="0"/>
              <w:bottom w:val="single" w:color="000000" w:sz="4" w:space="0"/>
              <w:right w:val="single" w:color="000000" w:sz="4" w:space="0"/>
            </w:tcBorders>
            <w:vAlign w:val="center"/>
          </w:tcPr>
          <w:p w14:paraId="3921B1BA">
            <w:pPr>
              <w:pStyle w:val="28"/>
              <w:bidi w:val="0"/>
            </w:pPr>
            <w:r>
              <w:t>碎石（m³）</w:t>
            </w:r>
          </w:p>
        </w:tc>
        <w:tc>
          <w:tcPr>
            <w:tcW w:w="393" w:type="pct"/>
            <w:tcBorders>
              <w:top w:val="single" w:color="000000" w:sz="4" w:space="0"/>
              <w:left w:val="single" w:color="000000" w:sz="4" w:space="0"/>
              <w:bottom w:val="single" w:color="000000" w:sz="4" w:space="0"/>
              <w:right w:val="single" w:color="000000" w:sz="4" w:space="0"/>
            </w:tcBorders>
            <w:vAlign w:val="center"/>
          </w:tcPr>
          <w:p w14:paraId="731D6860">
            <w:pPr>
              <w:pStyle w:val="28"/>
              <w:bidi w:val="0"/>
            </w:pPr>
            <w:r>
              <w:t>黄砂（m³）</w:t>
            </w:r>
          </w:p>
        </w:tc>
      </w:tr>
      <w:tr w14:paraId="66BCAC80">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6B5AA707">
            <w:pPr>
              <w:pStyle w:val="28"/>
              <w:bidi w:val="0"/>
            </w:pPr>
            <w:r>
              <w:t>1</w:t>
            </w:r>
          </w:p>
        </w:tc>
        <w:tc>
          <w:tcPr>
            <w:tcW w:w="1840" w:type="pct"/>
            <w:tcBorders>
              <w:top w:val="single" w:color="000000" w:sz="4" w:space="0"/>
              <w:left w:val="single" w:color="000000" w:sz="4" w:space="0"/>
              <w:bottom w:val="single" w:color="000000" w:sz="4" w:space="0"/>
              <w:right w:val="single" w:color="000000" w:sz="4" w:space="0"/>
            </w:tcBorders>
            <w:vAlign w:val="center"/>
          </w:tcPr>
          <w:p w14:paraId="7D92FBBD">
            <w:pPr>
              <w:pStyle w:val="28"/>
              <w:bidi w:val="0"/>
            </w:pPr>
            <w:r>
              <w:t>淠河总干渠上段续建配套与现代化改造工程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4097910E">
            <w:pPr>
              <w:pStyle w:val="28"/>
              <w:bidi w:val="0"/>
            </w:pPr>
            <w:r>
              <w:t>4590</w:t>
            </w:r>
          </w:p>
        </w:tc>
        <w:tc>
          <w:tcPr>
            <w:tcW w:w="414" w:type="pct"/>
            <w:tcBorders>
              <w:top w:val="single" w:color="000000" w:sz="4" w:space="0"/>
              <w:left w:val="single" w:color="000000" w:sz="4" w:space="0"/>
              <w:bottom w:val="single" w:color="000000" w:sz="4" w:space="0"/>
              <w:right w:val="single" w:color="000000" w:sz="4" w:space="0"/>
            </w:tcBorders>
            <w:vAlign w:val="center"/>
          </w:tcPr>
          <w:p w14:paraId="1718E104">
            <w:pPr>
              <w:pStyle w:val="28"/>
              <w:bidi w:val="0"/>
            </w:pPr>
            <w:r>
              <w:t>326</w:t>
            </w:r>
          </w:p>
        </w:tc>
        <w:tc>
          <w:tcPr>
            <w:tcW w:w="414" w:type="pct"/>
            <w:tcBorders>
              <w:top w:val="single" w:color="000000" w:sz="4" w:space="0"/>
              <w:left w:val="single" w:color="000000" w:sz="4" w:space="0"/>
              <w:bottom w:val="single" w:color="000000" w:sz="4" w:space="0"/>
              <w:right w:val="single" w:color="000000" w:sz="4" w:space="0"/>
            </w:tcBorders>
            <w:vAlign w:val="center"/>
          </w:tcPr>
          <w:p w14:paraId="714FCECA">
            <w:pPr>
              <w:pStyle w:val="28"/>
              <w:bidi w:val="0"/>
            </w:pPr>
            <w:r>
              <w:t>2</w:t>
            </w:r>
          </w:p>
        </w:tc>
        <w:tc>
          <w:tcPr>
            <w:tcW w:w="339" w:type="pct"/>
            <w:tcBorders>
              <w:top w:val="single" w:color="000000" w:sz="4" w:space="0"/>
              <w:left w:val="single" w:color="000000" w:sz="4" w:space="0"/>
              <w:bottom w:val="single" w:color="000000" w:sz="4" w:space="0"/>
              <w:right w:val="single" w:color="000000" w:sz="4" w:space="0"/>
            </w:tcBorders>
            <w:vAlign w:val="center"/>
          </w:tcPr>
          <w:p w14:paraId="6A66A5DD">
            <w:pPr>
              <w:pStyle w:val="28"/>
              <w:bidi w:val="0"/>
            </w:pPr>
            <w:r>
              <w:t>176</w:t>
            </w:r>
          </w:p>
        </w:tc>
        <w:tc>
          <w:tcPr>
            <w:tcW w:w="407" w:type="pct"/>
            <w:tcBorders>
              <w:top w:val="single" w:color="000000" w:sz="4" w:space="0"/>
              <w:left w:val="single" w:color="000000" w:sz="4" w:space="0"/>
              <w:bottom w:val="single" w:color="000000" w:sz="4" w:space="0"/>
              <w:right w:val="single" w:color="000000" w:sz="4" w:space="0"/>
            </w:tcBorders>
            <w:vAlign w:val="center"/>
          </w:tcPr>
          <w:p w14:paraId="0BEA3435">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2756AFED">
            <w:pPr>
              <w:pStyle w:val="28"/>
              <w:bidi w:val="0"/>
            </w:pPr>
            <w:r>
              <w:t>7222</w:t>
            </w:r>
          </w:p>
        </w:tc>
        <w:tc>
          <w:tcPr>
            <w:tcW w:w="393" w:type="pct"/>
            <w:tcBorders>
              <w:top w:val="single" w:color="000000" w:sz="4" w:space="0"/>
              <w:left w:val="single" w:color="000000" w:sz="4" w:space="0"/>
              <w:bottom w:val="single" w:color="000000" w:sz="4" w:space="0"/>
              <w:right w:val="single" w:color="000000" w:sz="4" w:space="0"/>
            </w:tcBorders>
            <w:vAlign w:val="center"/>
          </w:tcPr>
          <w:p w14:paraId="2D6547B2">
            <w:pPr>
              <w:pStyle w:val="28"/>
              <w:bidi w:val="0"/>
            </w:pPr>
            <w:r>
              <w:t>3507</w:t>
            </w:r>
          </w:p>
        </w:tc>
      </w:tr>
      <w:tr w14:paraId="1F634653">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76D35235">
            <w:pPr>
              <w:pStyle w:val="28"/>
              <w:bidi w:val="0"/>
            </w:pPr>
            <w:r>
              <w:t>2</w:t>
            </w:r>
          </w:p>
        </w:tc>
        <w:tc>
          <w:tcPr>
            <w:tcW w:w="1840" w:type="pct"/>
            <w:tcBorders>
              <w:top w:val="single" w:color="000000" w:sz="4" w:space="0"/>
              <w:left w:val="single" w:color="000000" w:sz="4" w:space="0"/>
              <w:bottom w:val="single" w:color="000000" w:sz="4" w:space="0"/>
              <w:right w:val="single" w:color="000000" w:sz="4" w:space="0"/>
            </w:tcBorders>
            <w:vAlign w:val="center"/>
          </w:tcPr>
          <w:p w14:paraId="337EB607">
            <w:pPr>
              <w:pStyle w:val="28"/>
              <w:bidi w:val="0"/>
            </w:pPr>
            <w:r>
              <w:t>淠河总干渠樊通桥渠下涵拆除重建工程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40DCAC4D">
            <w:pPr>
              <w:pStyle w:val="28"/>
              <w:bidi w:val="0"/>
            </w:pPr>
            <w:r>
              <w:t>492</w:t>
            </w:r>
          </w:p>
        </w:tc>
        <w:tc>
          <w:tcPr>
            <w:tcW w:w="414" w:type="pct"/>
            <w:tcBorders>
              <w:top w:val="single" w:color="000000" w:sz="4" w:space="0"/>
              <w:left w:val="single" w:color="000000" w:sz="4" w:space="0"/>
              <w:bottom w:val="single" w:color="000000" w:sz="4" w:space="0"/>
              <w:right w:val="single" w:color="000000" w:sz="4" w:space="0"/>
            </w:tcBorders>
            <w:vAlign w:val="center"/>
          </w:tcPr>
          <w:p w14:paraId="66D61A89">
            <w:pPr>
              <w:pStyle w:val="28"/>
              <w:bidi w:val="0"/>
            </w:pPr>
            <w:r>
              <w:t>21</w:t>
            </w:r>
          </w:p>
        </w:tc>
        <w:tc>
          <w:tcPr>
            <w:tcW w:w="414" w:type="pct"/>
            <w:tcBorders>
              <w:top w:val="single" w:color="000000" w:sz="4" w:space="0"/>
              <w:left w:val="single" w:color="000000" w:sz="4" w:space="0"/>
              <w:bottom w:val="single" w:color="000000" w:sz="4" w:space="0"/>
              <w:right w:val="single" w:color="000000" w:sz="4" w:space="0"/>
            </w:tcBorders>
            <w:vAlign w:val="center"/>
          </w:tcPr>
          <w:p w14:paraId="141B4D62">
            <w:pPr>
              <w:pStyle w:val="28"/>
              <w:bidi w:val="0"/>
            </w:pPr>
            <w:r>
              <w:t>—</w:t>
            </w:r>
          </w:p>
        </w:tc>
        <w:tc>
          <w:tcPr>
            <w:tcW w:w="339" w:type="pct"/>
            <w:tcBorders>
              <w:top w:val="single" w:color="000000" w:sz="4" w:space="0"/>
              <w:left w:val="single" w:color="000000" w:sz="4" w:space="0"/>
              <w:bottom w:val="single" w:color="000000" w:sz="4" w:space="0"/>
              <w:right w:val="single" w:color="000000" w:sz="4" w:space="0"/>
            </w:tcBorders>
            <w:vAlign w:val="center"/>
          </w:tcPr>
          <w:p w14:paraId="33FF0CF3">
            <w:pPr>
              <w:pStyle w:val="28"/>
              <w:bidi w:val="0"/>
            </w:pPr>
            <w:r>
              <w:t>11</w:t>
            </w:r>
          </w:p>
        </w:tc>
        <w:tc>
          <w:tcPr>
            <w:tcW w:w="407" w:type="pct"/>
            <w:tcBorders>
              <w:top w:val="single" w:color="000000" w:sz="4" w:space="0"/>
              <w:left w:val="single" w:color="000000" w:sz="4" w:space="0"/>
              <w:bottom w:val="single" w:color="000000" w:sz="4" w:space="0"/>
              <w:right w:val="single" w:color="000000" w:sz="4" w:space="0"/>
            </w:tcBorders>
            <w:vAlign w:val="center"/>
          </w:tcPr>
          <w:p w14:paraId="4540A3C2">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22A94636">
            <w:pPr>
              <w:pStyle w:val="28"/>
              <w:bidi w:val="0"/>
            </w:pPr>
            <w:r>
              <w:t>1237</w:t>
            </w:r>
          </w:p>
        </w:tc>
        <w:tc>
          <w:tcPr>
            <w:tcW w:w="393" w:type="pct"/>
            <w:tcBorders>
              <w:top w:val="single" w:color="000000" w:sz="4" w:space="0"/>
              <w:left w:val="single" w:color="000000" w:sz="4" w:space="0"/>
              <w:bottom w:val="single" w:color="000000" w:sz="4" w:space="0"/>
              <w:right w:val="single" w:color="000000" w:sz="4" w:space="0"/>
            </w:tcBorders>
            <w:vAlign w:val="center"/>
          </w:tcPr>
          <w:p w14:paraId="43545F9E">
            <w:pPr>
              <w:pStyle w:val="28"/>
              <w:bidi w:val="0"/>
            </w:pPr>
            <w:r>
              <w:t>702</w:t>
            </w:r>
          </w:p>
        </w:tc>
      </w:tr>
      <w:tr w14:paraId="4D044E83">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789ECCD5">
            <w:pPr>
              <w:pStyle w:val="28"/>
              <w:bidi w:val="0"/>
            </w:pPr>
            <w:r>
              <w:t>3</w:t>
            </w:r>
          </w:p>
        </w:tc>
        <w:tc>
          <w:tcPr>
            <w:tcW w:w="1840" w:type="pct"/>
            <w:tcBorders>
              <w:top w:val="single" w:color="000000" w:sz="4" w:space="0"/>
              <w:left w:val="single" w:color="000000" w:sz="4" w:space="0"/>
              <w:bottom w:val="single" w:color="000000" w:sz="4" w:space="0"/>
              <w:right w:val="single" w:color="000000" w:sz="4" w:space="0"/>
            </w:tcBorders>
            <w:vAlign w:val="center"/>
          </w:tcPr>
          <w:p w14:paraId="5954D1B0">
            <w:pPr>
              <w:pStyle w:val="28"/>
              <w:bidi w:val="0"/>
            </w:pPr>
            <w:r>
              <w:t>淠河总干渠下段切岭段整治工程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4C1BBF1A">
            <w:pPr>
              <w:pStyle w:val="28"/>
              <w:bidi w:val="0"/>
            </w:pPr>
            <w:r>
              <w:t>1503</w:t>
            </w:r>
          </w:p>
        </w:tc>
        <w:tc>
          <w:tcPr>
            <w:tcW w:w="414" w:type="pct"/>
            <w:tcBorders>
              <w:top w:val="single" w:color="000000" w:sz="4" w:space="0"/>
              <w:left w:val="single" w:color="000000" w:sz="4" w:space="0"/>
              <w:bottom w:val="single" w:color="000000" w:sz="4" w:space="0"/>
              <w:right w:val="single" w:color="000000" w:sz="4" w:space="0"/>
            </w:tcBorders>
            <w:vAlign w:val="center"/>
          </w:tcPr>
          <w:p w14:paraId="791989AB">
            <w:pPr>
              <w:pStyle w:val="28"/>
              <w:bidi w:val="0"/>
            </w:pPr>
            <w:r>
              <w:t>117</w:t>
            </w:r>
          </w:p>
        </w:tc>
        <w:tc>
          <w:tcPr>
            <w:tcW w:w="414" w:type="pct"/>
            <w:tcBorders>
              <w:top w:val="single" w:color="000000" w:sz="4" w:space="0"/>
              <w:left w:val="single" w:color="000000" w:sz="4" w:space="0"/>
              <w:bottom w:val="single" w:color="000000" w:sz="4" w:space="0"/>
              <w:right w:val="single" w:color="000000" w:sz="4" w:space="0"/>
            </w:tcBorders>
            <w:vAlign w:val="center"/>
          </w:tcPr>
          <w:p w14:paraId="48BE6A11">
            <w:pPr>
              <w:pStyle w:val="28"/>
              <w:bidi w:val="0"/>
            </w:pPr>
            <w:r>
              <w:t>4</w:t>
            </w:r>
          </w:p>
        </w:tc>
        <w:tc>
          <w:tcPr>
            <w:tcW w:w="339" w:type="pct"/>
            <w:tcBorders>
              <w:top w:val="single" w:color="000000" w:sz="4" w:space="0"/>
              <w:left w:val="single" w:color="000000" w:sz="4" w:space="0"/>
              <w:bottom w:val="single" w:color="000000" w:sz="4" w:space="0"/>
              <w:right w:val="single" w:color="000000" w:sz="4" w:space="0"/>
            </w:tcBorders>
            <w:vAlign w:val="center"/>
          </w:tcPr>
          <w:p w14:paraId="3D1EB846">
            <w:pPr>
              <w:pStyle w:val="28"/>
              <w:bidi w:val="0"/>
            </w:pPr>
            <w:r>
              <w:t>143</w:t>
            </w:r>
          </w:p>
        </w:tc>
        <w:tc>
          <w:tcPr>
            <w:tcW w:w="407" w:type="pct"/>
            <w:tcBorders>
              <w:top w:val="single" w:color="000000" w:sz="4" w:space="0"/>
              <w:left w:val="single" w:color="000000" w:sz="4" w:space="0"/>
              <w:bottom w:val="single" w:color="000000" w:sz="4" w:space="0"/>
              <w:right w:val="single" w:color="000000" w:sz="4" w:space="0"/>
            </w:tcBorders>
            <w:vAlign w:val="center"/>
          </w:tcPr>
          <w:p w14:paraId="7B21FD62">
            <w:pPr>
              <w:pStyle w:val="28"/>
              <w:bidi w:val="0"/>
            </w:pPr>
            <w:r>
              <w:t>41</w:t>
            </w:r>
          </w:p>
        </w:tc>
        <w:tc>
          <w:tcPr>
            <w:tcW w:w="364" w:type="pct"/>
            <w:tcBorders>
              <w:top w:val="single" w:color="000000" w:sz="4" w:space="0"/>
              <w:left w:val="single" w:color="000000" w:sz="4" w:space="0"/>
              <w:bottom w:val="single" w:color="000000" w:sz="4" w:space="0"/>
              <w:right w:val="single" w:color="000000" w:sz="4" w:space="0"/>
            </w:tcBorders>
            <w:vAlign w:val="center"/>
          </w:tcPr>
          <w:p w14:paraId="43E212E5">
            <w:pPr>
              <w:pStyle w:val="28"/>
              <w:bidi w:val="0"/>
            </w:pPr>
            <w:r>
              <w:t>4582</w:t>
            </w:r>
          </w:p>
        </w:tc>
        <w:tc>
          <w:tcPr>
            <w:tcW w:w="393" w:type="pct"/>
            <w:tcBorders>
              <w:top w:val="single" w:color="000000" w:sz="4" w:space="0"/>
              <w:left w:val="single" w:color="000000" w:sz="4" w:space="0"/>
              <w:bottom w:val="single" w:color="000000" w:sz="4" w:space="0"/>
              <w:right w:val="single" w:color="000000" w:sz="4" w:space="0"/>
            </w:tcBorders>
            <w:vAlign w:val="center"/>
          </w:tcPr>
          <w:p w14:paraId="561F09F9">
            <w:pPr>
              <w:pStyle w:val="28"/>
              <w:bidi w:val="0"/>
            </w:pPr>
            <w:r>
              <w:t>2131</w:t>
            </w:r>
          </w:p>
        </w:tc>
      </w:tr>
      <w:tr w14:paraId="1F8D9582">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75286309">
            <w:pPr>
              <w:pStyle w:val="28"/>
              <w:bidi w:val="0"/>
            </w:pPr>
            <w:r>
              <w:t>4</w:t>
            </w:r>
          </w:p>
        </w:tc>
        <w:tc>
          <w:tcPr>
            <w:tcW w:w="1840" w:type="pct"/>
            <w:tcBorders>
              <w:top w:val="single" w:color="000000" w:sz="4" w:space="0"/>
              <w:left w:val="single" w:color="000000" w:sz="4" w:space="0"/>
              <w:bottom w:val="single" w:color="000000" w:sz="4" w:space="0"/>
              <w:right w:val="single" w:color="000000" w:sz="4" w:space="0"/>
            </w:tcBorders>
            <w:vAlign w:val="center"/>
          </w:tcPr>
          <w:p w14:paraId="0653526E">
            <w:pPr>
              <w:pStyle w:val="28"/>
              <w:bidi w:val="0"/>
            </w:pPr>
            <w:r>
              <w:t>潜南干渠聚星渡槽改造工程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1BF36C0E">
            <w:pPr>
              <w:pStyle w:val="28"/>
              <w:bidi w:val="0"/>
            </w:pPr>
            <w:r>
              <w:t>2894</w:t>
            </w:r>
          </w:p>
        </w:tc>
        <w:tc>
          <w:tcPr>
            <w:tcW w:w="414" w:type="pct"/>
            <w:tcBorders>
              <w:top w:val="single" w:color="000000" w:sz="4" w:space="0"/>
              <w:left w:val="single" w:color="000000" w:sz="4" w:space="0"/>
              <w:bottom w:val="single" w:color="000000" w:sz="4" w:space="0"/>
              <w:right w:val="single" w:color="000000" w:sz="4" w:space="0"/>
            </w:tcBorders>
            <w:vAlign w:val="center"/>
          </w:tcPr>
          <w:p w14:paraId="0BA5E23C">
            <w:pPr>
              <w:pStyle w:val="28"/>
              <w:bidi w:val="0"/>
            </w:pPr>
            <w:r>
              <w:t>987</w:t>
            </w:r>
          </w:p>
        </w:tc>
        <w:tc>
          <w:tcPr>
            <w:tcW w:w="414" w:type="pct"/>
            <w:tcBorders>
              <w:top w:val="single" w:color="000000" w:sz="4" w:space="0"/>
              <w:left w:val="single" w:color="000000" w:sz="4" w:space="0"/>
              <w:bottom w:val="single" w:color="000000" w:sz="4" w:space="0"/>
              <w:right w:val="single" w:color="000000" w:sz="4" w:space="0"/>
            </w:tcBorders>
            <w:vAlign w:val="center"/>
          </w:tcPr>
          <w:p w14:paraId="4816CC37">
            <w:pPr>
              <w:pStyle w:val="28"/>
              <w:bidi w:val="0"/>
            </w:pPr>
            <w:r>
              <w:t>14</w:t>
            </w:r>
          </w:p>
        </w:tc>
        <w:tc>
          <w:tcPr>
            <w:tcW w:w="339" w:type="pct"/>
            <w:tcBorders>
              <w:top w:val="single" w:color="000000" w:sz="4" w:space="0"/>
              <w:left w:val="single" w:color="000000" w:sz="4" w:space="0"/>
              <w:bottom w:val="single" w:color="000000" w:sz="4" w:space="0"/>
              <w:right w:val="single" w:color="000000" w:sz="4" w:space="0"/>
            </w:tcBorders>
            <w:vAlign w:val="center"/>
          </w:tcPr>
          <w:p w14:paraId="4E6D5520">
            <w:pPr>
              <w:pStyle w:val="28"/>
              <w:bidi w:val="0"/>
            </w:pPr>
            <w:r>
              <w:t>103</w:t>
            </w:r>
          </w:p>
        </w:tc>
        <w:tc>
          <w:tcPr>
            <w:tcW w:w="407" w:type="pct"/>
            <w:tcBorders>
              <w:top w:val="single" w:color="000000" w:sz="4" w:space="0"/>
              <w:left w:val="single" w:color="000000" w:sz="4" w:space="0"/>
              <w:bottom w:val="single" w:color="000000" w:sz="4" w:space="0"/>
              <w:right w:val="single" w:color="000000" w:sz="4" w:space="0"/>
            </w:tcBorders>
            <w:vAlign w:val="center"/>
          </w:tcPr>
          <w:p w14:paraId="44BC59C0">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7941BA55">
            <w:pPr>
              <w:pStyle w:val="28"/>
              <w:bidi w:val="0"/>
            </w:pPr>
            <w:r>
              <w:t>8110</w:t>
            </w:r>
          </w:p>
        </w:tc>
        <w:tc>
          <w:tcPr>
            <w:tcW w:w="393" w:type="pct"/>
            <w:tcBorders>
              <w:top w:val="single" w:color="000000" w:sz="4" w:space="0"/>
              <w:left w:val="single" w:color="000000" w:sz="4" w:space="0"/>
              <w:bottom w:val="single" w:color="000000" w:sz="4" w:space="0"/>
              <w:right w:val="single" w:color="000000" w:sz="4" w:space="0"/>
            </w:tcBorders>
            <w:vAlign w:val="center"/>
          </w:tcPr>
          <w:p w14:paraId="1CE04E99">
            <w:pPr>
              <w:pStyle w:val="28"/>
              <w:bidi w:val="0"/>
            </w:pPr>
            <w:r>
              <w:t>4108</w:t>
            </w:r>
          </w:p>
        </w:tc>
      </w:tr>
      <w:tr w14:paraId="641C1C4A">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7B1CAEF4">
            <w:pPr>
              <w:pStyle w:val="28"/>
              <w:bidi w:val="0"/>
            </w:pPr>
            <w:r>
              <w:t>5</w:t>
            </w:r>
          </w:p>
        </w:tc>
        <w:tc>
          <w:tcPr>
            <w:tcW w:w="1840" w:type="pct"/>
            <w:tcBorders>
              <w:top w:val="single" w:color="000000" w:sz="4" w:space="0"/>
              <w:left w:val="single" w:color="000000" w:sz="4" w:space="0"/>
              <w:bottom w:val="single" w:color="000000" w:sz="4" w:space="0"/>
              <w:right w:val="single" w:color="000000" w:sz="4" w:space="0"/>
            </w:tcBorders>
            <w:vAlign w:val="center"/>
          </w:tcPr>
          <w:p w14:paraId="0D6CA221">
            <w:pPr>
              <w:pStyle w:val="28"/>
              <w:bidi w:val="0"/>
            </w:pPr>
            <w:r>
              <w:t>滁河干渠总局直管段续建配套与现代化改造工程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288C465E">
            <w:pPr>
              <w:pStyle w:val="28"/>
              <w:bidi w:val="0"/>
            </w:pPr>
            <w:r>
              <w:t>4302</w:t>
            </w:r>
          </w:p>
        </w:tc>
        <w:tc>
          <w:tcPr>
            <w:tcW w:w="414" w:type="pct"/>
            <w:tcBorders>
              <w:top w:val="single" w:color="000000" w:sz="4" w:space="0"/>
              <w:left w:val="single" w:color="000000" w:sz="4" w:space="0"/>
              <w:bottom w:val="single" w:color="000000" w:sz="4" w:space="0"/>
              <w:right w:val="single" w:color="000000" w:sz="4" w:space="0"/>
            </w:tcBorders>
            <w:vAlign w:val="center"/>
          </w:tcPr>
          <w:p w14:paraId="4888F3F6">
            <w:pPr>
              <w:pStyle w:val="28"/>
              <w:bidi w:val="0"/>
            </w:pPr>
            <w:r>
              <w:t>—</w:t>
            </w:r>
          </w:p>
        </w:tc>
        <w:tc>
          <w:tcPr>
            <w:tcW w:w="414" w:type="pct"/>
            <w:tcBorders>
              <w:top w:val="single" w:color="000000" w:sz="4" w:space="0"/>
              <w:left w:val="single" w:color="000000" w:sz="4" w:space="0"/>
              <w:bottom w:val="single" w:color="000000" w:sz="4" w:space="0"/>
              <w:right w:val="single" w:color="000000" w:sz="4" w:space="0"/>
            </w:tcBorders>
            <w:vAlign w:val="center"/>
          </w:tcPr>
          <w:p w14:paraId="657E4738">
            <w:pPr>
              <w:pStyle w:val="28"/>
              <w:bidi w:val="0"/>
            </w:pPr>
            <w:r>
              <w:t>—</w:t>
            </w:r>
          </w:p>
        </w:tc>
        <w:tc>
          <w:tcPr>
            <w:tcW w:w="339" w:type="pct"/>
            <w:tcBorders>
              <w:top w:val="single" w:color="000000" w:sz="4" w:space="0"/>
              <w:left w:val="single" w:color="000000" w:sz="4" w:space="0"/>
              <w:bottom w:val="single" w:color="000000" w:sz="4" w:space="0"/>
              <w:right w:val="single" w:color="000000" w:sz="4" w:space="0"/>
            </w:tcBorders>
            <w:vAlign w:val="center"/>
          </w:tcPr>
          <w:p w14:paraId="3B9F6D36">
            <w:pPr>
              <w:pStyle w:val="28"/>
              <w:bidi w:val="0"/>
            </w:pPr>
            <w:r>
              <w:t>163</w:t>
            </w:r>
          </w:p>
        </w:tc>
        <w:tc>
          <w:tcPr>
            <w:tcW w:w="407" w:type="pct"/>
            <w:tcBorders>
              <w:top w:val="single" w:color="000000" w:sz="4" w:space="0"/>
              <w:left w:val="single" w:color="000000" w:sz="4" w:space="0"/>
              <w:bottom w:val="single" w:color="000000" w:sz="4" w:space="0"/>
              <w:right w:val="single" w:color="000000" w:sz="4" w:space="0"/>
            </w:tcBorders>
            <w:vAlign w:val="center"/>
          </w:tcPr>
          <w:p w14:paraId="3C19F978">
            <w:pPr>
              <w:pStyle w:val="28"/>
              <w:bidi w:val="0"/>
            </w:pPr>
            <w:r>
              <w:t>12214</w:t>
            </w:r>
          </w:p>
        </w:tc>
        <w:tc>
          <w:tcPr>
            <w:tcW w:w="364" w:type="pct"/>
            <w:tcBorders>
              <w:top w:val="single" w:color="000000" w:sz="4" w:space="0"/>
              <w:left w:val="single" w:color="000000" w:sz="4" w:space="0"/>
              <w:bottom w:val="single" w:color="000000" w:sz="4" w:space="0"/>
              <w:right w:val="single" w:color="000000" w:sz="4" w:space="0"/>
            </w:tcBorders>
            <w:vAlign w:val="center"/>
          </w:tcPr>
          <w:p w14:paraId="26D1ADE0">
            <w:pPr>
              <w:pStyle w:val="28"/>
              <w:bidi w:val="0"/>
            </w:pPr>
            <w:r>
              <w:t>14435</w:t>
            </w:r>
          </w:p>
        </w:tc>
        <w:tc>
          <w:tcPr>
            <w:tcW w:w="393" w:type="pct"/>
            <w:tcBorders>
              <w:top w:val="single" w:color="000000" w:sz="4" w:space="0"/>
              <w:left w:val="single" w:color="000000" w:sz="4" w:space="0"/>
              <w:bottom w:val="single" w:color="000000" w:sz="4" w:space="0"/>
              <w:right w:val="single" w:color="000000" w:sz="4" w:space="0"/>
            </w:tcBorders>
            <w:vAlign w:val="center"/>
          </w:tcPr>
          <w:p w14:paraId="5F183636">
            <w:pPr>
              <w:pStyle w:val="28"/>
              <w:bidi w:val="0"/>
            </w:pPr>
            <w:r>
              <w:t>6681</w:t>
            </w:r>
          </w:p>
        </w:tc>
      </w:tr>
      <w:tr w14:paraId="26CA17C3">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0C547183">
            <w:pPr>
              <w:pStyle w:val="28"/>
              <w:bidi w:val="0"/>
            </w:pPr>
            <w:r>
              <w:t>6</w:t>
            </w:r>
          </w:p>
        </w:tc>
        <w:tc>
          <w:tcPr>
            <w:tcW w:w="1840" w:type="pct"/>
            <w:tcBorders>
              <w:top w:val="single" w:color="000000" w:sz="4" w:space="0"/>
              <w:left w:val="single" w:color="000000" w:sz="4" w:space="0"/>
              <w:bottom w:val="single" w:color="000000" w:sz="4" w:space="0"/>
              <w:right w:val="single" w:color="000000" w:sz="4" w:space="0"/>
            </w:tcBorders>
            <w:vAlign w:val="center"/>
          </w:tcPr>
          <w:p w14:paraId="780FA0AE">
            <w:pPr>
              <w:pStyle w:val="28"/>
              <w:bidi w:val="0"/>
            </w:pPr>
            <w:r>
              <w:t>滁河干渠瞿岗等6座渠下涵拆除重建工程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6CC0FA6C">
            <w:pPr>
              <w:pStyle w:val="28"/>
              <w:bidi w:val="0"/>
            </w:pPr>
            <w:r>
              <w:t>192</w:t>
            </w:r>
          </w:p>
        </w:tc>
        <w:tc>
          <w:tcPr>
            <w:tcW w:w="414" w:type="pct"/>
            <w:tcBorders>
              <w:top w:val="single" w:color="000000" w:sz="4" w:space="0"/>
              <w:left w:val="single" w:color="000000" w:sz="4" w:space="0"/>
              <w:bottom w:val="single" w:color="000000" w:sz="4" w:space="0"/>
              <w:right w:val="single" w:color="000000" w:sz="4" w:space="0"/>
            </w:tcBorders>
            <w:vAlign w:val="center"/>
          </w:tcPr>
          <w:p w14:paraId="2A4C3FA9">
            <w:pPr>
              <w:pStyle w:val="28"/>
              <w:bidi w:val="0"/>
            </w:pPr>
            <w:r>
              <w:t>296</w:t>
            </w:r>
          </w:p>
        </w:tc>
        <w:tc>
          <w:tcPr>
            <w:tcW w:w="414" w:type="pct"/>
            <w:tcBorders>
              <w:top w:val="single" w:color="000000" w:sz="4" w:space="0"/>
              <w:left w:val="single" w:color="000000" w:sz="4" w:space="0"/>
              <w:bottom w:val="single" w:color="000000" w:sz="4" w:space="0"/>
              <w:right w:val="single" w:color="000000" w:sz="4" w:space="0"/>
            </w:tcBorders>
            <w:vAlign w:val="center"/>
          </w:tcPr>
          <w:p w14:paraId="3215D3B7">
            <w:pPr>
              <w:pStyle w:val="28"/>
              <w:bidi w:val="0"/>
            </w:pPr>
            <w:r>
              <w:t>13</w:t>
            </w:r>
          </w:p>
        </w:tc>
        <w:tc>
          <w:tcPr>
            <w:tcW w:w="339" w:type="pct"/>
            <w:tcBorders>
              <w:top w:val="single" w:color="000000" w:sz="4" w:space="0"/>
              <w:left w:val="single" w:color="000000" w:sz="4" w:space="0"/>
              <w:bottom w:val="single" w:color="000000" w:sz="4" w:space="0"/>
              <w:right w:val="single" w:color="000000" w:sz="4" w:space="0"/>
            </w:tcBorders>
            <w:vAlign w:val="center"/>
          </w:tcPr>
          <w:p w14:paraId="36DA1465">
            <w:pPr>
              <w:pStyle w:val="28"/>
              <w:bidi w:val="0"/>
            </w:pPr>
            <w:r>
              <w:t>60</w:t>
            </w:r>
          </w:p>
        </w:tc>
        <w:tc>
          <w:tcPr>
            <w:tcW w:w="407" w:type="pct"/>
            <w:tcBorders>
              <w:top w:val="single" w:color="000000" w:sz="4" w:space="0"/>
              <w:left w:val="single" w:color="000000" w:sz="4" w:space="0"/>
              <w:bottom w:val="single" w:color="000000" w:sz="4" w:space="0"/>
              <w:right w:val="single" w:color="000000" w:sz="4" w:space="0"/>
            </w:tcBorders>
            <w:vAlign w:val="center"/>
          </w:tcPr>
          <w:p w14:paraId="33632AD5">
            <w:pPr>
              <w:pStyle w:val="28"/>
              <w:bidi w:val="0"/>
            </w:pPr>
            <w:r>
              <w:t>640</w:t>
            </w:r>
          </w:p>
        </w:tc>
        <w:tc>
          <w:tcPr>
            <w:tcW w:w="364" w:type="pct"/>
            <w:tcBorders>
              <w:top w:val="single" w:color="000000" w:sz="4" w:space="0"/>
              <w:left w:val="single" w:color="000000" w:sz="4" w:space="0"/>
              <w:bottom w:val="single" w:color="000000" w:sz="4" w:space="0"/>
              <w:right w:val="single" w:color="000000" w:sz="4" w:space="0"/>
            </w:tcBorders>
            <w:vAlign w:val="center"/>
          </w:tcPr>
          <w:p w14:paraId="6CABD6B3">
            <w:pPr>
              <w:pStyle w:val="28"/>
              <w:bidi w:val="0"/>
            </w:pPr>
            <w:r>
              <w:t>3091</w:t>
            </w:r>
          </w:p>
        </w:tc>
        <w:tc>
          <w:tcPr>
            <w:tcW w:w="393" w:type="pct"/>
            <w:tcBorders>
              <w:top w:val="single" w:color="000000" w:sz="4" w:space="0"/>
              <w:left w:val="single" w:color="000000" w:sz="4" w:space="0"/>
              <w:bottom w:val="single" w:color="000000" w:sz="4" w:space="0"/>
              <w:right w:val="single" w:color="000000" w:sz="4" w:space="0"/>
            </w:tcBorders>
            <w:vAlign w:val="center"/>
          </w:tcPr>
          <w:p w14:paraId="0F41E68C">
            <w:pPr>
              <w:pStyle w:val="28"/>
              <w:bidi w:val="0"/>
            </w:pPr>
            <w:r>
              <w:t>543</w:t>
            </w:r>
          </w:p>
        </w:tc>
      </w:tr>
      <w:tr w14:paraId="050AA487">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4FFBE5BE">
            <w:pPr>
              <w:pStyle w:val="28"/>
              <w:bidi w:val="0"/>
            </w:pPr>
            <w:r>
              <w:t>7</w:t>
            </w:r>
          </w:p>
        </w:tc>
        <w:tc>
          <w:tcPr>
            <w:tcW w:w="1840" w:type="pct"/>
            <w:tcBorders>
              <w:top w:val="single" w:color="000000" w:sz="4" w:space="0"/>
              <w:left w:val="single" w:color="000000" w:sz="4" w:space="0"/>
              <w:bottom w:val="single" w:color="000000" w:sz="4" w:space="0"/>
              <w:right w:val="single" w:color="000000" w:sz="4" w:space="0"/>
            </w:tcBorders>
            <w:vAlign w:val="center"/>
          </w:tcPr>
          <w:p w14:paraId="52C33642">
            <w:pPr>
              <w:pStyle w:val="28"/>
              <w:bidi w:val="0"/>
            </w:pPr>
            <w:r>
              <w:t>淠杭干渠渠系建筑物除险加固工程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692DA89E">
            <w:pPr>
              <w:pStyle w:val="28"/>
              <w:bidi w:val="0"/>
            </w:pPr>
            <w:r>
              <w:t>482</w:t>
            </w:r>
          </w:p>
        </w:tc>
        <w:tc>
          <w:tcPr>
            <w:tcW w:w="414" w:type="pct"/>
            <w:tcBorders>
              <w:top w:val="single" w:color="000000" w:sz="4" w:space="0"/>
              <w:left w:val="single" w:color="000000" w:sz="4" w:space="0"/>
              <w:bottom w:val="single" w:color="000000" w:sz="4" w:space="0"/>
              <w:right w:val="single" w:color="000000" w:sz="4" w:space="0"/>
            </w:tcBorders>
            <w:vAlign w:val="center"/>
          </w:tcPr>
          <w:p w14:paraId="0795D907">
            <w:pPr>
              <w:pStyle w:val="28"/>
              <w:bidi w:val="0"/>
            </w:pPr>
            <w:r>
              <w:t>443</w:t>
            </w:r>
          </w:p>
        </w:tc>
        <w:tc>
          <w:tcPr>
            <w:tcW w:w="414" w:type="pct"/>
            <w:tcBorders>
              <w:top w:val="single" w:color="000000" w:sz="4" w:space="0"/>
              <w:left w:val="single" w:color="000000" w:sz="4" w:space="0"/>
              <w:bottom w:val="single" w:color="000000" w:sz="4" w:space="0"/>
              <w:right w:val="single" w:color="000000" w:sz="4" w:space="0"/>
            </w:tcBorders>
            <w:vAlign w:val="center"/>
          </w:tcPr>
          <w:p w14:paraId="5E4E7C3D">
            <w:pPr>
              <w:pStyle w:val="28"/>
              <w:bidi w:val="0"/>
            </w:pPr>
            <w:r>
              <w:t>19</w:t>
            </w:r>
          </w:p>
        </w:tc>
        <w:tc>
          <w:tcPr>
            <w:tcW w:w="339" w:type="pct"/>
            <w:tcBorders>
              <w:top w:val="single" w:color="000000" w:sz="4" w:space="0"/>
              <w:left w:val="single" w:color="000000" w:sz="4" w:space="0"/>
              <w:bottom w:val="single" w:color="000000" w:sz="4" w:space="0"/>
              <w:right w:val="single" w:color="000000" w:sz="4" w:space="0"/>
            </w:tcBorders>
            <w:vAlign w:val="center"/>
          </w:tcPr>
          <w:p w14:paraId="093EC2A1">
            <w:pPr>
              <w:pStyle w:val="28"/>
              <w:bidi w:val="0"/>
            </w:pPr>
            <w:r>
              <w:t>180</w:t>
            </w:r>
          </w:p>
        </w:tc>
        <w:tc>
          <w:tcPr>
            <w:tcW w:w="407" w:type="pct"/>
            <w:tcBorders>
              <w:top w:val="single" w:color="000000" w:sz="4" w:space="0"/>
              <w:left w:val="single" w:color="000000" w:sz="4" w:space="0"/>
              <w:bottom w:val="single" w:color="000000" w:sz="4" w:space="0"/>
              <w:right w:val="single" w:color="000000" w:sz="4" w:space="0"/>
            </w:tcBorders>
            <w:vAlign w:val="center"/>
          </w:tcPr>
          <w:p w14:paraId="49A3EF19">
            <w:pPr>
              <w:pStyle w:val="28"/>
              <w:bidi w:val="0"/>
            </w:pPr>
            <w:r>
              <w:t>84</w:t>
            </w:r>
          </w:p>
        </w:tc>
        <w:tc>
          <w:tcPr>
            <w:tcW w:w="364" w:type="pct"/>
            <w:tcBorders>
              <w:top w:val="single" w:color="000000" w:sz="4" w:space="0"/>
              <w:left w:val="single" w:color="000000" w:sz="4" w:space="0"/>
              <w:bottom w:val="single" w:color="000000" w:sz="4" w:space="0"/>
              <w:right w:val="single" w:color="000000" w:sz="4" w:space="0"/>
            </w:tcBorders>
            <w:vAlign w:val="center"/>
          </w:tcPr>
          <w:p w14:paraId="0684D1D9">
            <w:pPr>
              <w:pStyle w:val="28"/>
              <w:bidi w:val="0"/>
            </w:pPr>
            <w:r>
              <w:t>4435</w:t>
            </w:r>
          </w:p>
        </w:tc>
        <w:tc>
          <w:tcPr>
            <w:tcW w:w="393" w:type="pct"/>
            <w:tcBorders>
              <w:top w:val="single" w:color="000000" w:sz="4" w:space="0"/>
              <w:left w:val="single" w:color="000000" w:sz="4" w:space="0"/>
              <w:bottom w:val="single" w:color="000000" w:sz="4" w:space="0"/>
              <w:right w:val="single" w:color="000000" w:sz="4" w:space="0"/>
            </w:tcBorders>
            <w:vAlign w:val="center"/>
          </w:tcPr>
          <w:p w14:paraId="12C8D886">
            <w:pPr>
              <w:pStyle w:val="28"/>
              <w:bidi w:val="0"/>
            </w:pPr>
            <w:r>
              <w:t>617</w:t>
            </w:r>
          </w:p>
        </w:tc>
      </w:tr>
      <w:tr w14:paraId="12341F32">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6125FB18">
            <w:pPr>
              <w:pStyle w:val="28"/>
              <w:bidi w:val="0"/>
            </w:pPr>
            <w:r>
              <w:t>8</w:t>
            </w:r>
          </w:p>
        </w:tc>
        <w:tc>
          <w:tcPr>
            <w:tcW w:w="1840" w:type="pct"/>
            <w:tcBorders>
              <w:top w:val="single" w:color="000000" w:sz="4" w:space="0"/>
              <w:left w:val="single" w:color="000000" w:sz="4" w:space="0"/>
              <w:bottom w:val="single" w:color="000000" w:sz="4" w:space="0"/>
              <w:right w:val="single" w:color="000000" w:sz="4" w:space="0"/>
            </w:tcBorders>
            <w:vAlign w:val="center"/>
          </w:tcPr>
          <w:p w14:paraId="314925B6">
            <w:pPr>
              <w:pStyle w:val="28"/>
              <w:bidi w:val="0"/>
            </w:pPr>
            <w:r>
              <w:t>淠东干渠30+400～43+000、69+908~99+300续建配套与现代化改造工程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5FE7A74B">
            <w:pPr>
              <w:pStyle w:val="28"/>
              <w:bidi w:val="0"/>
            </w:pPr>
            <w:r>
              <w:t>442</w:t>
            </w:r>
          </w:p>
        </w:tc>
        <w:tc>
          <w:tcPr>
            <w:tcW w:w="414" w:type="pct"/>
            <w:tcBorders>
              <w:top w:val="single" w:color="000000" w:sz="4" w:space="0"/>
              <w:left w:val="single" w:color="000000" w:sz="4" w:space="0"/>
              <w:bottom w:val="single" w:color="000000" w:sz="4" w:space="0"/>
              <w:right w:val="single" w:color="000000" w:sz="4" w:space="0"/>
            </w:tcBorders>
            <w:vAlign w:val="center"/>
          </w:tcPr>
          <w:p w14:paraId="4C5AB006">
            <w:pPr>
              <w:pStyle w:val="28"/>
              <w:bidi w:val="0"/>
            </w:pPr>
            <w:r>
              <w:t>520</w:t>
            </w:r>
          </w:p>
        </w:tc>
        <w:tc>
          <w:tcPr>
            <w:tcW w:w="414" w:type="pct"/>
            <w:tcBorders>
              <w:top w:val="single" w:color="000000" w:sz="4" w:space="0"/>
              <w:left w:val="single" w:color="000000" w:sz="4" w:space="0"/>
              <w:bottom w:val="single" w:color="000000" w:sz="4" w:space="0"/>
              <w:right w:val="single" w:color="000000" w:sz="4" w:space="0"/>
            </w:tcBorders>
            <w:vAlign w:val="center"/>
          </w:tcPr>
          <w:p w14:paraId="3D74EFC3">
            <w:pPr>
              <w:pStyle w:val="28"/>
              <w:bidi w:val="0"/>
            </w:pPr>
            <w:r>
              <w:t>41</w:t>
            </w:r>
          </w:p>
        </w:tc>
        <w:tc>
          <w:tcPr>
            <w:tcW w:w="339" w:type="pct"/>
            <w:tcBorders>
              <w:top w:val="single" w:color="000000" w:sz="4" w:space="0"/>
              <w:left w:val="single" w:color="000000" w:sz="4" w:space="0"/>
              <w:bottom w:val="single" w:color="000000" w:sz="4" w:space="0"/>
              <w:right w:val="single" w:color="000000" w:sz="4" w:space="0"/>
            </w:tcBorders>
            <w:vAlign w:val="center"/>
          </w:tcPr>
          <w:p w14:paraId="094667B4">
            <w:pPr>
              <w:pStyle w:val="28"/>
              <w:bidi w:val="0"/>
            </w:pPr>
            <w:r>
              <w:t>566</w:t>
            </w:r>
          </w:p>
        </w:tc>
        <w:tc>
          <w:tcPr>
            <w:tcW w:w="407" w:type="pct"/>
            <w:tcBorders>
              <w:top w:val="single" w:color="000000" w:sz="4" w:space="0"/>
              <w:left w:val="single" w:color="000000" w:sz="4" w:space="0"/>
              <w:bottom w:val="single" w:color="000000" w:sz="4" w:space="0"/>
              <w:right w:val="single" w:color="000000" w:sz="4" w:space="0"/>
            </w:tcBorders>
            <w:vAlign w:val="center"/>
          </w:tcPr>
          <w:p w14:paraId="06D7D611">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39F8824E">
            <w:pPr>
              <w:pStyle w:val="28"/>
              <w:bidi w:val="0"/>
            </w:pPr>
            <w:r>
              <w:t>—</w:t>
            </w:r>
          </w:p>
        </w:tc>
        <w:tc>
          <w:tcPr>
            <w:tcW w:w="393" w:type="pct"/>
            <w:tcBorders>
              <w:top w:val="single" w:color="000000" w:sz="4" w:space="0"/>
              <w:left w:val="single" w:color="000000" w:sz="4" w:space="0"/>
              <w:bottom w:val="single" w:color="000000" w:sz="4" w:space="0"/>
              <w:right w:val="single" w:color="000000" w:sz="4" w:space="0"/>
            </w:tcBorders>
            <w:vAlign w:val="center"/>
          </w:tcPr>
          <w:p w14:paraId="572B370B">
            <w:pPr>
              <w:pStyle w:val="28"/>
              <w:bidi w:val="0"/>
            </w:pPr>
            <w:r>
              <w:t>3264</w:t>
            </w:r>
          </w:p>
        </w:tc>
      </w:tr>
      <w:tr w14:paraId="028BBF6F">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22F6F011">
            <w:pPr>
              <w:pStyle w:val="28"/>
              <w:bidi w:val="0"/>
            </w:pPr>
            <w:r>
              <w:t>9</w:t>
            </w:r>
          </w:p>
        </w:tc>
        <w:tc>
          <w:tcPr>
            <w:tcW w:w="1840" w:type="pct"/>
            <w:tcBorders>
              <w:top w:val="single" w:color="000000" w:sz="4" w:space="0"/>
              <w:left w:val="single" w:color="000000" w:sz="4" w:space="0"/>
              <w:bottom w:val="single" w:color="000000" w:sz="4" w:space="0"/>
              <w:right w:val="single" w:color="000000" w:sz="4" w:space="0"/>
            </w:tcBorders>
            <w:vAlign w:val="center"/>
          </w:tcPr>
          <w:p w14:paraId="6F389DE9">
            <w:pPr>
              <w:pStyle w:val="28"/>
              <w:bidi w:val="0"/>
            </w:pPr>
            <w:r>
              <w:t>瓦西干渠15+000～27+500续建配套与现代化改造工程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08EBC49C">
            <w:pPr>
              <w:pStyle w:val="28"/>
              <w:bidi w:val="0"/>
            </w:pPr>
            <w:r>
              <w:t>3738</w:t>
            </w:r>
          </w:p>
        </w:tc>
        <w:tc>
          <w:tcPr>
            <w:tcW w:w="414" w:type="pct"/>
            <w:tcBorders>
              <w:top w:val="single" w:color="000000" w:sz="4" w:space="0"/>
              <w:left w:val="single" w:color="000000" w:sz="4" w:space="0"/>
              <w:bottom w:val="single" w:color="000000" w:sz="4" w:space="0"/>
              <w:right w:val="single" w:color="000000" w:sz="4" w:space="0"/>
            </w:tcBorders>
            <w:vAlign w:val="center"/>
          </w:tcPr>
          <w:p w14:paraId="6CB3D400">
            <w:pPr>
              <w:pStyle w:val="28"/>
              <w:bidi w:val="0"/>
            </w:pPr>
            <w:r>
              <w:t>286</w:t>
            </w:r>
          </w:p>
        </w:tc>
        <w:tc>
          <w:tcPr>
            <w:tcW w:w="414" w:type="pct"/>
            <w:tcBorders>
              <w:top w:val="single" w:color="000000" w:sz="4" w:space="0"/>
              <w:left w:val="single" w:color="000000" w:sz="4" w:space="0"/>
              <w:bottom w:val="single" w:color="000000" w:sz="4" w:space="0"/>
              <w:right w:val="single" w:color="000000" w:sz="4" w:space="0"/>
            </w:tcBorders>
            <w:vAlign w:val="center"/>
          </w:tcPr>
          <w:p w14:paraId="5E09B971">
            <w:pPr>
              <w:pStyle w:val="28"/>
              <w:bidi w:val="0"/>
            </w:pPr>
            <w:r>
              <w:t>16</w:t>
            </w:r>
          </w:p>
        </w:tc>
        <w:tc>
          <w:tcPr>
            <w:tcW w:w="339" w:type="pct"/>
            <w:tcBorders>
              <w:top w:val="single" w:color="000000" w:sz="4" w:space="0"/>
              <w:left w:val="single" w:color="000000" w:sz="4" w:space="0"/>
              <w:bottom w:val="single" w:color="000000" w:sz="4" w:space="0"/>
              <w:right w:val="single" w:color="000000" w:sz="4" w:space="0"/>
            </w:tcBorders>
            <w:vAlign w:val="center"/>
          </w:tcPr>
          <w:p w14:paraId="0D9F0B17">
            <w:pPr>
              <w:pStyle w:val="28"/>
              <w:bidi w:val="0"/>
            </w:pPr>
            <w:r>
              <w:t>329</w:t>
            </w:r>
          </w:p>
        </w:tc>
        <w:tc>
          <w:tcPr>
            <w:tcW w:w="407" w:type="pct"/>
            <w:tcBorders>
              <w:top w:val="single" w:color="000000" w:sz="4" w:space="0"/>
              <w:left w:val="single" w:color="000000" w:sz="4" w:space="0"/>
              <w:bottom w:val="single" w:color="000000" w:sz="4" w:space="0"/>
              <w:right w:val="single" w:color="000000" w:sz="4" w:space="0"/>
            </w:tcBorders>
            <w:vAlign w:val="center"/>
          </w:tcPr>
          <w:p w14:paraId="17D15A02">
            <w:pPr>
              <w:pStyle w:val="28"/>
              <w:bidi w:val="0"/>
            </w:pPr>
            <w:r>
              <w:t>17</w:t>
            </w:r>
          </w:p>
        </w:tc>
        <w:tc>
          <w:tcPr>
            <w:tcW w:w="364" w:type="pct"/>
            <w:tcBorders>
              <w:top w:val="single" w:color="000000" w:sz="4" w:space="0"/>
              <w:left w:val="single" w:color="000000" w:sz="4" w:space="0"/>
              <w:bottom w:val="single" w:color="000000" w:sz="4" w:space="0"/>
              <w:right w:val="single" w:color="000000" w:sz="4" w:space="0"/>
            </w:tcBorders>
            <w:vAlign w:val="center"/>
          </w:tcPr>
          <w:p w14:paraId="6945AA13">
            <w:pPr>
              <w:pStyle w:val="28"/>
              <w:bidi w:val="0"/>
            </w:pPr>
            <w:r>
              <w:t>20726</w:t>
            </w:r>
          </w:p>
        </w:tc>
        <w:tc>
          <w:tcPr>
            <w:tcW w:w="393" w:type="pct"/>
            <w:tcBorders>
              <w:top w:val="single" w:color="000000" w:sz="4" w:space="0"/>
              <w:left w:val="single" w:color="000000" w:sz="4" w:space="0"/>
              <w:bottom w:val="single" w:color="000000" w:sz="4" w:space="0"/>
              <w:right w:val="single" w:color="000000" w:sz="4" w:space="0"/>
            </w:tcBorders>
            <w:vAlign w:val="center"/>
          </w:tcPr>
          <w:p w14:paraId="24D7C667">
            <w:pPr>
              <w:pStyle w:val="28"/>
              <w:bidi w:val="0"/>
            </w:pPr>
            <w:r>
              <w:t>20726</w:t>
            </w:r>
          </w:p>
        </w:tc>
      </w:tr>
      <w:tr w14:paraId="1C8C4ED5">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0313DA84">
            <w:pPr>
              <w:pStyle w:val="28"/>
              <w:bidi w:val="0"/>
            </w:pPr>
            <w:r>
              <w:t>10</w:t>
            </w:r>
          </w:p>
        </w:tc>
        <w:tc>
          <w:tcPr>
            <w:tcW w:w="1840" w:type="pct"/>
            <w:tcBorders>
              <w:top w:val="single" w:color="000000" w:sz="4" w:space="0"/>
              <w:left w:val="single" w:color="000000" w:sz="4" w:space="0"/>
              <w:bottom w:val="single" w:color="000000" w:sz="4" w:space="0"/>
              <w:right w:val="single" w:color="000000" w:sz="4" w:space="0"/>
            </w:tcBorders>
            <w:vAlign w:val="center"/>
          </w:tcPr>
          <w:p w14:paraId="2E404A68">
            <w:pPr>
              <w:pStyle w:val="28"/>
              <w:bidi w:val="0"/>
            </w:pPr>
            <w:r>
              <w:t>堰口分干渠0+000～18+000续建配套与现代化改造工程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36808F9E">
            <w:pPr>
              <w:pStyle w:val="28"/>
              <w:bidi w:val="0"/>
            </w:pPr>
            <w:r>
              <w:t>—</w:t>
            </w:r>
          </w:p>
        </w:tc>
        <w:tc>
          <w:tcPr>
            <w:tcW w:w="414" w:type="pct"/>
            <w:tcBorders>
              <w:top w:val="single" w:color="000000" w:sz="4" w:space="0"/>
              <w:left w:val="single" w:color="000000" w:sz="4" w:space="0"/>
              <w:bottom w:val="single" w:color="000000" w:sz="4" w:space="0"/>
              <w:right w:val="single" w:color="000000" w:sz="4" w:space="0"/>
            </w:tcBorders>
            <w:vAlign w:val="center"/>
          </w:tcPr>
          <w:p w14:paraId="5EC54A6E">
            <w:pPr>
              <w:pStyle w:val="28"/>
              <w:bidi w:val="0"/>
            </w:pPr>
            <w:r>
              <w:t>290</w:t>
            </w:r>
          </w:p>
        </w:tc>
        <w:tc>
          <w:tcPr>
            <w:tcW w:w="414" w:type="pct"/>
            <w:tcBorders>
              <w:top w:val="single" w:color="000000" w:sz="4" w:space="0"/>
              <w:left w:val="single" w:color="000000" w:sz="4" w:space="0"/>
              <w:bottom w:val="single" w:color="000000" w:sz="4" w:space="0"/>
              <w:right w:val="single" w:color="000000" w:sz="4" w:space="0"/>
            </w:tcBorders>
            <w:vAlign w:val="center"/>
          </w:tcPr>
          <w:p w14:paraId="681E86F1">
            <w:pPr>
              <w:pStyle w:val="28"/>
              <w:bidi w:val="0"/>
            </w:pPr>
            <w:r>
              <w:t>68</w:t>
            </w:r>
          </w:p>
        </w:tc>
        <w:tc>
          <w:tcPr>
            <w:tcW w:w="339" w:type="pct"/>
            <w:tcBorders>
              <w:top w:val="single" w:color="000000" w:sz="4" w:space="0"/>
              <w:left w:val="single" w:color="000000" w:sz="4" w:space="0"/>
              <w:bottom w:val="single" w:color="000000" w:sz="4" w:space="0"/>
              <w:right w:val="single" w:color="000000" w:sz="4" w:space="0"/>
            </w:tcBorders>
            <w:vAlign w:val="center"/>
          </w:tcPr>
          <w:p w14:paraId="7BF79B4F">
            <w:pPr>
              <w:pStyle w:val="28"/>
              <w:bidi w:val="0"/>
            </w:pPr>
            <w:r>
              <w:t>31</w:t>
            </w:r>
          </w:p>
        </w:tc>
        <w:tc>
          <w:tcPr>
            <w:tcW w:w="407" w:type="pct"/>
            <w:tcBorders>
              <w:top w:val="single" w:color="000000" w:sz="4" w:space="0"/>
              <w:left w:val="single" w:color="000000" w:sz="4" w:space="0"/>
              <w:bottom w:val="single" w:color="000000" w:sz="4" w:space="0"/>
              <w:right w:val="single" w:color="000000" w:sz="4" w:space="0"/>
            </w:tcBorders>
            <w:vAlign w:val="center"/>
          </w:tcPr>
          <w:p w14:paraId="30F76A8F">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10A20CF2">
            <w:pPr>
              <w:pStyle w:val="28"/>
              <w:bidi w:val="0"/>
            </w:pPr>
            <w:r>
              <w:t>—</w:t>
            </w:r>
          </w:p>
        </w:tc>
        <w:tc>
          <w:tcPr>
            <w:tcW w:w="393" w:type="pct"/>
            <w:tcBorders>
              <w:top w:val="single" w:color="000000" w:sz="4" w:space="0"/>
              <w:left w:val="single" w:color="000000" w:sz="4" w:space="0"/>
              <w:bottom w:val="single" w:color="000000" w:sz="4" w:space="0"/>
              <w:right w:val="single" w:color="000000" w:sz="4" w:space="0"/>
            </w:tcBorders>
            <w:vAlign w:val="center"/>
          </w:tcPr>
          <w:p w14:paraId="4E87FD4A">
            <w:pPr>
              <w:pStyle w:val="28"/>
              <w:bidi w:val="0"/>
            </w:pPr>
            <w:r>
              <w:t>—</w:t>
            </w:r>
          </w:p>
        </w:tc>
      </w:tr>
      <w:tr w14:paraId="3E38A429">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0A4D0A7A">
            <w:pPr>
              <w:pStyle w:val="28"/>
              <w:bidi w:val="0"/>
            </w:pPr>
            <w:r>
              <w:t>11</w:t>
            </w:r>
          </w:p>
        </w:tc>
        <w:tc>
          <w:tcPr>
            <w:tcW w:w="1840" w:type="pct"/>
            <w:tcBorders>
              <w:top w:val="single" w:color="000000" w:sz="4" w:space="0"/>
              <w:left w:val="single" w:color="000000" w:sz="4" w:space="0"/>
              <w:bottom w:val="single" w:color="000000" w:sz="4" w:space="0"/>
              <w:right w:val="single" w:color="000000" w:sz="4" w:space="0"/>
            </w:tcBorders>
            <w:vAlign w:val="center"/>
          </w:tcPr>
          <w:p w14:paraId="5057ED84">
            <w:pPr>
              <w:pStyle w:val="28"/>
              <w:bidi w:val="0"/>
            </w:pPr>
            <w:r>
              <w:t>淠源分干渠23+070～27+070、35+190～37+120、43+640～44+000段除险加固工程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47DE5BA7">
            <w:pPr>
              <w:pStyle w:val="28"/>
              <w:bidi w:val="0"/>
            </w:pPr>
            <w:r>
              <w:t>946</w:t>
            </w:r>
          </w:p>
        </w:tc>
        <w:tc>
          <w:tcPr>
            <w:tcW w:w="414" w:type="pct"/>
            <w:tcBorders>
              <w:top w:val="single" w:color="000000" w:sz="4" w:space="0"/>
              <w:left w:val="single" w:color="000000" w:sz="4" w:space="0"/>
              <w:bottom w:val="single" w:color="000000" w:sz="4" w:space="0"/>
              <w:right w:val="single" w:color="000000" w:sz="4" w:space="0"/>
            </w:tcBorders>
            <w:vAlign w:val="center"/>
          </w:tcPr>
          <w:p w14:paraId="3DA5AE56">
            <w:pPr>
              <w:pStyle w:val="28"/>
              <w:bidi w:val="0"/>
            </w:pPr>
            <w:r>
              <w:t>408</w:t>
            </w:r>
          </w:p>
        </w:tc>
        <w:tc>
          <w:tcPr>
            <w:tcW w:w="414" w:type="pct"/>
            <w:tcBorders>
              <w:top w:val="single" w:color="000000" w:sz="4" w:space="0"/>
              <w:left w:val="single" w:color="000000" w:sz="4" w:space="0"/>
              <w:bottom w:val="single" w:color="000000" w:sz="4" w:space="0"/>
              <w:right w:val="single" w:color="000000" w:sz="4" w:space="0"/>
            </w:tcBorders>
            <w:vAlign w:val="center"/>
          </w:tcPr>
          <w:p w14:paraId="5297895A">
            <w:pPr>
              <w:pStyle w:val="28"/>
              <w:bidi w:val="0"/>
            </w:pPr>
            <w:r>
              <w:t>10</w:t>
            </w:r>
          </w:p>
        </w:tc>
        <w:tc>
          <w:tcPr>
            <w:tcW w:w="339" w:type="pct"/>
            <w:tcBorders>
              <w:top w:val="single" w:color="000000" w:sz="4" w:space="0"/>
              <w:left w:val="single" w:color="000000" w:sz="4" w:space="0"/>
              <w:bottom w:val="single" w:color="000000" w:sz="4" w:space="0"/>
              <w:right w:val="single" w:color="000000" w:sz="4" w:space="0"/>
            </w:tcBorders>
            <w:vAlign w:val="center"/>
          </w:tcPr>
          <w:p w14:paraId="63D4E3DB">
            <w:pPr>
              <w:pStyle w:val="28"/>
              <w:bidi w:val="0"/>
            </w:pPr>
            <w:r>
              <w:t>56</w:t>
            </w:r>
          </w:p>
        </w:tc>
        <w:tc>
          <w:tcPr>
            <w:tcW w:w="407" w:type="pct"/>
            <w:tcBorders>
              <w:top w:val="single" w:color="000000" w:sz="4" w:space="0"/>
              <w:left w:val="single" w:color="000000" w:sz="4" w:space="0"/>
              <w:bottom w:val="single" w:color="000000" w:sz="4" w:space="0"/>
              <w:right w:val="single" w:color="000000" w:sz="4" w:space="0"/>
            </w:tcBorders>
            <w:vAlign w:val="center"/>
          </w:tcPr>
          <w:p w14:paraId="2AD6A3BD">
            <w:pPr>
              <w:pStyle w:val="28"/>
              <w:bidi w:val="0"/>
            </w:pPr>
            <w:r>
              <w:t>149</w:t>
            </w:r>
          </w:p>
        </w:tc>
        <w:tc>
          <w:tcPr>
            <w:tcW w:w="364" w:type="pct"/>
            <w:tcBorders>
              <w:top w:val="single" w:color="000000" w:sz="4" w:space="0"/>
              <w:left w:val="single" w:color="000000" w:sz="4" w:space="0"/>
              <w:bottom w:val="single" w:color="000000" w:sz="4" w:space="0"/>
              <w:right w:val="single" w:color="000000" w:sz="4" w:space="0"/>
            </w:tcBorders>
            <w:vAlign w:val="center"/>
          </w:tcPr>
          <w:p w14:paraId="5C6EBB0D">
            <w:pPr>
              <w:pStyle w:val="28"/>
              <w:bidi w:val="0"/>
            </w:pPr>
            <w:r>
              <w:t>1135</w:t>
            </w:r>
          </w:p>
        </w:tc>
        <w:tc>
          <w:tcPr>
            <w:tcW w:w="393" w:type="pct"/>
            <w:tcBorders>
              <w:top w:val="single" w:color="000000" w:sz="4" w:space="0"/>
              <w:left w:val="single" w:color="000000" w:sz="4" w:space="0"/>
              <w:bottom w:val="single" w:color="000000" w:sz="4" w:space="0"/>
              <w:right w:val="single" w:color="000000" w:sz="4" w:space="0"/>
            </w:tcBorders>
            <w:vAlign w:val="center"/>
          </w:tcPr>
          <w:p w14:paraId="3AB33371">
            <w:pPr>
              <w:pStyle w:val="28"/>
              <w:bidi w:val="0"/>
            </w:pPr>
            <w:r>
              <w:t>37</w:t>
            </w:r>
          </w:p>
        </w:tc>
      </w:tr>
      <w:tr w14:paraId="6D5ED16F">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0866198E">
            <w:pPr>
              <w:pStyle w:val="28"/>
              <w:bidi w:val="0"/>
            </w:pPr>
            <w:r>
              <w:t>12</w:t>
            </w:r>
          </w:p>
        </w:tc>
        <w:tc>
          <w:tcPr>
            <w:tcW w:w="1840" w:type="pct"/>
            <w:tcBorders>
              <w:top w:val="single" w:color="000000" w:sz="4" w:space="0"/>
              <w:left w:val="single" w:color="000000" w:sz="4" w:space="0"/>
              <w:bottom w:val="single" w:color="000000" w:sz="4" w:space="0"/>
              <w:right w:val="single" w:color="000000" w:sz="4" w:space="0"/>
            </w:tcBorders>
            <w:vAlign w:val="center"/>
          </w:tcPr>
          <w:p w14:paraId="3E87D402">
            <w:pPr>
              <w:pStyle w:val="28"/>
              <w:bidi w:val="0"/>
            </w:pPr>
            <w:r>
              <w:t>小蜀山分干渠2+500～20+500段续建配套与现代化改造工程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6C479813">
            <w:pPr>
              <w:pStyle w:val="28"/>
              <w:bidi w:val="0"/>
            </w:pPr>
            <w:r>
              <w:t>9800</w:t>
            </w:r>
          </w:p>
        </w:tc>
        <w:tc>
          <w:tcPr>
            <w:tcW w:w="414" w:type="pct"/>
            <w:tcBorders>
              <w:top w:val="single" w:color="000000" w:sz="4" w:space="0"/>
              <w:left w:val="single" w:color="000000" w:sz="4" w:space="0"/>
              <w:bottom w:val="single" w:color="000000" w:sz="4" w:space="0"/>
              <w:right w:val="single" w:color="000000" w:sz="4" w:space="0"/>
            </w:tcBorders>
            <w:vAlign w:val="center"/>
          </w:tcPr>
          <w:p w14:paraId="0606B01A">
            <w:pPr>
              <w:pStyle w:val="28"/>
              <w:bidi w:val="0"/>
            </w:pPr>
            <w:r>
              <w:t>328</w:t>
            </w:r>
          </w:p>
        </w:tc>
        <w:tc>
          <w:tcPr>
            <w:tcW w:w="414" w:type="pct"/>
            <w:tcBorders>
              <w:top w:val="single" w:color="000000" w:sz="4" w:space="0"/>
              <w:left w:val="single" w:color="000000" w:sz="4" w:space="0"/>
              <w:bottom w:val="single" w:color="000000" w:sz="4" w:space="0"/>
              <w:right w:val="single" w:color="000000" w:sz="4" w:space="0"/>
            </w:tcBorders>
            <w:vAlign w:val="center"/>
          </w:tcPr>
          <w:p w14:paraId="66084F60">
            <w:pPr>
              <w:pStyle w:val="28"/>
              <w:bidi w:val="0"/>
            </w:pPr>
            <w:r>
              <w:t>—</w:t>
            </w:r>
          </w:p>
        </w:tc>
        <w:tc>
          <w:tcPr>
            <w:tcW w:w="339" w:type="pct"/>
            <w:tcBorders>
              <w:top w:val="single" w:color="000000" w:sz="4" w:space="0"/>
              <w:left w:val="single" w:color="000000" w:sz="4" w:space="0"/>
              <w:bottom w:val="single" w:color="000000" w:sz="4" w:space="0"/>
              <w:right w:val="single" w:color="000000" w:sz="4" w:space="0"/>
            </w:tcBorders>
            <w:vAlign w:val="center"/>
          </w:tcPr>
          <w:p w14:paraId="60680A7D">
            <w:pPr>
              <w:pStyle w:val="28"/>
              <w:bidi w:val="0"/>
            </w:pPr>
            <w:r>
              <w:t>—</w:t>
            </w:r>
          </w:p>
        </w:tc>
        <w:tc>
          <w:tcPr>
            <w:tcW w:w="407" w:type="pct"/>
            <w:tcBorders>
              <w:top w:val="single" w:color="000000" w:sz="4" w:space="0"/>
              <w:left w:val="single" w:color="000000" w:sz="4" w:space="0"/>
              <w:bottom w:val="single" w:color="000000" w:sz="4" w:space="0"/>
              <w:right w:val="single" w:color="000000" w:sz="4" w:space="0"/>
            </w:tcBorders>
            <w:vAlign w:val="center"/>
          </w:tcPr>
          <w:p w14:paraId="06E0C136">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02B888FB">
            <w:pPr>
              <w:pStyle w:val="28"/>
              <w:bidi w:val="0"/>
            </w:pPr>
            <w:r>
              <w:t>—</w:t>
            </w:r>
          </w:p>
        </w:tc>
        <w:tc>
          <w:tcPr>
            <w:tcW w:w="393" w:type="pct"/>
            <w:tcBorders>
              <w:top w:val="single" w:color="000000" w:sz="4" w:space="0"/>
              <w:left w:val="single" w:color="000000" w:sz="4" w:space="0"/>
              <w:bottom w:val="single" w:color="000000" w:sz="4" w:space="0"/>
              <w:right w:val="single" w:color="000000" w:sz="4" w:space="0"/>
            </w:tcBorders>
            <w:vAlign w:val="center"/>
          </w:tcPr>
          <w:p w14:paraId="5FD3ADF9">
            <w:pPr>
              <w:pStyle w:val="28"/>
              <w:bidi w:val="0"/>
            </w:pPr>
            <w:r>
              <w:t>—</w:t>
            </w:r>
          </w:p>
        </w:tc>
      </w:tr>
      <w:tr w14:paraId="625A6477">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13DCAB1F">
            <w:pPr>
              <w:pStyle w:val="28"/>
              <w:bidi w:val="0"/>
            </w:pPr>
            <w:r>
              <w:t>13</w:t>
            </w:r>
          </w:p>
        </w:tc>
        <w:tc>
          <w:tcPr>
            <w:tcW w:w="1840" w:type="pct"/>
            <w:tcBorders>
              <w:top w:val="single" w:color="000000" w:sz="4" w:space="0"/>
              <w:left w:val="single" w:color="000000" w:sz="4" w:space="0"/>
              <w:bottom w:val="single" w:color="000000" w:sz="4" w:space="0"/>
              <w:right w:val="single" w:color="000000" w:sz="4" w:space="0"/>
            </w:tcBorders>
            <w:vAlign w:val="center"/>
          </w:tcPr>
          <w:p w14:paraId="6ECC6BB6">
            <w:pPr>
              <w:pStyle w:val="28"/>
              <w:bidi w:val="0"/>
            </w:pPr>
            <w:r>
              <w:t>瓦东干渠双庙支渠0+000～24+200续建配套与现代化改造工程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5FFDCCD9">
            <w:pPr>
              <w:pStyle w:val="28"/>
              <w:bidi w:val="0"/>
            </w:pPr>
            <w:r>
              <w:t>555</w:t>
            </w:r>
          </w:p>
        </w:tc>
        <w:tc>
          <w:tcPr>
            <w:tcW w:w="414" w:type="pct"/>
            <w:tcBorders>
              <w:top w:val="single" w:color="000000" w:sz="4" w:space="0"/>
              <w:left w:val="single" w:color="000000" w:sz="4" w:space="0"/>
              <w:bottom w:val="single" w:color="000000" w:sz="4" w:space="0"/>
              <w:right w:val="single" w:color="000000" w:sz="4" w:space="0"/>
            </w:tcBorders>
            <w:vAlign w:val="center"/>
          </w:tcPr>
          <w:p w14:paraId="13E0F05D">
            <w:pPr>
              <w:pStyle w:val="28"/>
              <w:bidi w:val="0"/>
            </w:pPr>
            <w:r>
              <w:t>279</w:t>
            </w:r>
          </w:p>
        </w:tc>
        <w:tc>
          <w:tcPr>
            <w:tcW w:w="414" w:type="pct"/>
            <w:tcBorders>
              <w:top w:val="single" w:color="000000" w:sz="4" w:space="0"/>
              <w:left w:val="single" w:color="000000" w:sz="4" w:space="0"/>
              <w:bottom w:val="single" w:color="000000" w:sz="4" w:space="0"/>
              <w:right w:val="single" w:color="000000" w:sz="4" w:space="0"/>
            </w:tcBorders>
            <w:vAlign w:val="center"/>
          </w:tcPr>
          <w:p w14:paraId="2BB289B8">
            <w:pPr>
              <w:pStyle w:val="28"/>
              <w:bidi w:val="0"/>
            </w:pPr>
            <w:r>
              <w:t>36</w:t>
            </w:r>
          </w:p>
        </w:tc>
        <w:tc>
          <w:tcPr>
            <w:tcW w:w="339" w:type="pct"/>
            <w:tcBorders>
              <w:top w:val="single" w:color="000000" w:sz="4" w:space="0"/>
              <w:left w:val="single" w:color="000000" w:sz="4" w:space="0"/>
              <w:bottom w:val="single" w:color="000000" w:sz="4" w:space="0"/>
              <w:right w:val="single" w:color="000000" w:sz="4" w:space="0"/>
            </w:tcBorders>
            <w:vAlign w:val="center"/>
          </w:tcPr>
          <w:p w14:paraId="04F3C0E8">
            <w:pPr>
              <w:pStyle w:val="28"/>
              <w:bidi w:val="0"/>
            </w:pPr>
            <w:r>
              <w:t>285</w:t>
            </w:r>
          </w:p>
        </w:tc>
        <w:tc>
          <w:tcPr>
            <w:tcW w:w="407" w:type="pct"/>
            <w:tcBorders>
              <w:top w:val="single" w:color="000000" w:sz="4" w:space="0"/>
              <w:left w:val="single" w:color="000000" w:sz="4" w:space="0"/>
              <w:bottom w:val="single" w:color="000000" w:sz="4" w:space="0"/>
              <w:right w:val="single" w:color="000000" w:sz="4" w:space="0"/>
            </w:tcBorders>
            <w:vAlign w:val="center"/>
          </w:tcPr>
          <w:p w14:paraId="5AC3016F">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7E32F2B8">
            <w:pPr>
              <w:pStyle w:val="28"/>
              <w:bidi w:val="0"/>
            </w:pPr>
            <w:r>
              <w:t>—</w:t>
            </w:r>
          </w:p>
        </w:tc>
        <w:tc>
          <w:tcPr>
            <w:tcW w:w="393" w:type="pct"/>
            <w:tcBorders>
              <w:top w:val="single" w:color="000000" w:sz="4" w:space="0"/>
              <w:left w:val="single" w:color="000000" w:sz="4" w:space="0"/>
              <w:bottom w:val="single" w:color="000000" w:sz="4" w:space="0"/>
              <w:right w:val="single" w:color="000000" w:sz="4" w:space="0"/>
            </w:tcBorders>
            <w:vAlign w:val="center"/>
          </w:tcPr>
          <w:p w14:paraId="6BE57494">
            <w:pPr>
              <w:pStyle w:val="28"/>
              <w:bidi w:val="0"/>
            </w:pPr>
            <w:r>
              <w:t>—</w:t>
            </w:r>
          </w:p>
        </w:tc>
      </w:tr>
      <w:tr w14:paraId="45286F97">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290F25EC">
            <w:pPr>
              <w:pStyle w:val="28"/>
              <w:bidi w:val="0"/>
            </w:pPr>
            <w:r>
              <w:t>14</w:t>
            </w:r>
          </w:p>
        </w:tc>
        <w:tc>
          <w:tcPr>
            <w:tcW w:w="1840" w:type="pct"/>
            <w:tcBorders>
              <w:top w:val="single" w:color="000000" w:sz="4" w:space="0"/>
              <w:left w:val="single" w:color="000000" w:sz="4" w:space="0"/>
              <w:bottom w:val="single" w:color="000000" w:sz="4" w:space="0"/>
              <w:right w:val="single" w:color="000000" w:sz="4" w:space="0"/>
            </w:tcBorders>
            <w:vAlign w:val="center"/>
          </w:tcPr>
          <w:p w14:paraId="74E6F6BC">
            <w:pPr>
              <w:pStyle w:val="28"/>
              <w:bidi w:val="0"/>
            </w:pPr>
            <w:r>
              <w:t>杨西分干渠东风支渠0+700～10+200续建配套与现代化改造工程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29843BB2">
            <w:pPr>
              <w:pStyle w:val="28"/>
              <w:bidi w:val="0"/>
            </w:pPr>
            <w:r>
              <w:t>42</w:t>
            </w:r>
          </w:p>
        </w:tc>
        <w:tc>
          <w:tcPr>
            <w:tcW w:w="414" w:type="pct"/>
            <w:tcBorders>
              <w:top w:val="single" w:color="000000" w:sz="4" w:space="0"/>
              <w:left w:val="single" w:color="000000" w:sz="4" w:space="0"/>
              <w:bottom w:val="single" w:color="000000" w:sz="4" w:space="0"/>
              <w:right w:val="single" w:color="000000" w:sz="4" w:space="0"/>
            </w:tcBorders>
            <w:vAlign w:val="center"/>
          </w:tcPr>
          <w:p w14:paraId="4D158A93">
            <w:pPr>
              <w:pStyle w:val="28"/>
              <w:bidi w:val="0"/>
            </w:pPr>
            <w:r>
              <w:t>281</w:t>
            </w:r>
          </w:p>
        </w:tc>
        <w:tc>
          <w:tcPr>
            <w:tcW w:w="414" w:type="pct"/>
            <w:tcBorders>
              <w:top w:val="single" w:color="000000" w:sz="4" w:space="0"/>
              <w:left w:val="single" w:color="000000" w:sz="4" w:space="0"/>
              <w:bottom w:val="single" w:color="000000" w:sz="4" w:space="0"/>
              <w:right w:val="single" w:color="000000" w:sz="4" w:space="0"/>
            </w:tcBorders>
            <w:vAlign w:val="center"/>
          </w:tcPr>
          <w:p w14:paraId="1505E356">
            <w:pPr>
              <w:pStyle w:val="28"/>
              <w:bidi w:val="0"/>
            </w:pPr>
            <w:r>
              <w:t>20</w:t>
            </w:r>
          </w:p>
        </w:tc>
        <w:tc>
          <w:tcPr>
            <w:tcW w:w="339" w:type="pct"/>
            <w:tcBorders>
              <w:top w:val="single" w:color="000000" w:sz="4" w:space="0"/>
              <w:left w:val="single" w:color="000000" w:sz="4" w:space="0"/>
              <w:bottom w:val="single" w:color="000000" w:sz="4" w:space="0"/>
              <w:right w:val="single" w:color="000000" w:sz="4" w:space="0"/>
            </w:tcBorders>
            <w:vAlign w:val="center"/>
          </w:tcPr>
          <w:p w14:paraId="5B78F505">
            <w:pPr>
              <w:pStyle w:val="28"/>
              <w:bidi w:val="0"/>
            </w:pPr>
            <w:r>
              <w:t>161</w:t>
            </w:r>
          </w:p>
        </w:tc>
        <w:tc>
          <w:tcPr>
            <w:tcW w:w="407" w:type="pct"/>
            <w:tcBorders>
              <w:top w:val="single" w:color="000000" w:sz="4" w:space="0"/>
              <w:left w:val="single" w:color="000000" w:sz="4" w:space="0"/>
              <w:bottom w:val="single" w:color="000000" w:sz="4" w:space="0"/>
              <w:right w:val="single" w:color="000000" w:sz="4" w:space="0"/>
            </w:tcBorders>
            <w:vAlign w:val="center"/>
          </w:tcPr>
          <w:p w14:paraId="794C18FD">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5634B549">
            <w:pPr>
              <w:pStyle w:val="28"/>
              <w:bidi w:val="0"/>
            </w:pPr>
            <w:r>
              <w:t>—</w:t>
            </w:r>
          </w:p>
        </w:tc>
        <w:tc>
          <w:tcPr>
            <w:tcW w:w="393" w:type="pct"/>
            <w:tcBorders>
              <w:top w:val="single" w:color="000000" w:sz="4" w:space="0"/>
              <w:left w:val="single" w:color="000000" w:sz="4" w:space="0"/>
              <w:bottom w:val="single" w:color="000000" w:sz="4" w:space="0"/>
              <w:right w:val="single" w:color="000000" w:sz="4" w:space="0"/>
            </w:tcBorders>
            <w:vAlign w:val="center"/>
          </w:tcPr>
          <w:p w14:paraId="12D06572">
            <w:pPr>
              <w:pStyle w:val="28"/>
              <w:bidi w:val="0"/>
            </w:pPr>
            <w:r>
              <w:t>1962</w:t>
            </w:r>
          </w:p>
        </w:tc>
      </w:tr>
      <w:tr w14:paraId="461FD86D">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05869483">
            <w:pPr>
              <w:pStyle w:val="28"/>
              <w:bidi w:val="0"/>
            </w:pPr>
            <w:r>
              <w:t>15</w:t>
            </w:r>
          </w:p>
        </w:tc>
        <w:tc>
          <w:tcPr>
            <w:tcW w:w="1840" w:type="pct"/>
            <w:tcBorders>
              <w:top w:val="single" w:color="000000" w:sz="4" w:space="0"/>
              <w:left w:val="single" w:color="000000" w:sz="4" w:space="0"/>
              <w:bottom w:val="single" w:color="000000" w:sz="4" w:space="0"/>
              <w:right w:val="single" w:color="000000" w:sz="4" w:space="0"/>
            </w:tcBorders>
            <w:vAlign w:val="center"/>
          </w:tcPr>
          <w:p w14:paraId="01381F81">
            <w:pPr>
              <w:pStyle w:val="28"/>
              <w:bidi w:val="0"/>
            </w:pPr>
            <w:r>
              <w:t>潜南干渠界河支渠0+000～7+780段续建配套与现代化改造工程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6EEDBF7E">
            <w:pPr>
              <w:pStyle w:val="28"/>
              <w:bidi w:val="0"/>
            </w:pPr>
            <w:r>
              <w:t>2316</w:t>
            </w:r>
          </w:p>
        </w:tc>
        <w:tc>
          <w:tcPr>
            <w:tcW w:w="414" w:type="pct"/>
            <w:tcBorders>
              <w:top w:val="single" w:color="000000" w:sz="4" w:space="0"/>
              <w:left w:val="single" w:color="000000" w:sz="4" w:space="0"/>
              <w:bottom w:val="single" w:color="000000" w:sz="4" w:space="0"/>
              <w:right w:val="single" w:color="000000" w:sz="4" w:space="0"/>
            </w:tcBorders>
            <w:vAlign w:val="center"/>
          </w:tcPr>
          <w:p w14:paraId="35B1ED0D">
            <w:pPr>
              <w:pStyle w:val="28"/>
              <w:bidi w:val="0"/>
            </w:pPr>
            <w:r>
              <w:t>39</w:t>
            </w:r>
          </w:p>
        </w:tc>
        <w:tc>
          <w:tcPr>
            <w:tcW w:w="414" w:type="pct"/>
            <w:tcBorders>
              <w:top w:val="single" w:color="000000" w:sz="4" w:space="0"/>
              <w:left w:val="single" w:color="000000" w:sz="4" w:space="0"/>
              <w:bottom w:val="single" w:color="000000" w:sz="4" w:space="0"/>
              <w:right w:val="single" w:color="000000" w:sz="4" w:space="0"/>
            </w:tcBorders>
            <w:vAlign w:val="center"/>
          </w:tcPr>
          <w:p w14:paraId="16E73C69">
            <w:pPr>
              <w:pStyle w:val="28"/>
              <w:bidi w:val="0"/>
            </w:pPr>
            <w:r>
              <w:t>270</w:t>
            </w:r>
          </w:p>
        </w:tc>
        <w:tc>
          <w:tcPr>
            <w:tcW w:w="339" w:type="pct"/>
            <w:tcBorders>
              <w:top w:val="single" w:color="000000" w:sz="4" w:space="0"/>
              <w:left w:val="single" w:color="000000" w:sz="4" w:space="0"/>
              <w:bottom w:val="single" w:color="000000" w:sz="4" w:space="0"/>
              <w:right w:val="single" w:color="000000" w:sz="4" w:space="0"/>
            </w:tcBorders>
            <w:vAlign w:val="center"/>
          </w:tcPr>
          <w:p w14:paraId="1A56BE53">
            <w:pPr>
              <w:pStyle w:val="28"/>
              <w:bidi w:val="0"/>
            </w:pPr>
            <w:r>
              <w:t>613</w:t>
            </w:r>
          </w:p>
        </w:tc>
        <w:tc>
          <w:tcPr>
            <w:tcW w:w="407" w:type="pct"/>
            <w:tcBorders>
              <w:top w:val="single" w:color="000000" w:sz="4" w:space="0"/>
              <w:left w:val="single" w:color="000000" w:sz="4" w:space="0"/>
              <w:bottom w:val="single" w:color="000000" w:sz="4" w:space="0"/>
              <w:right w:val="single" w:color="000000" w:sz="4" w:space="0"/>
            </w:tcBorders>
            <w:vAlign w:val="center"/>
          </w:tcPr>
          <w:p w14:paraId="0EC74171">
            <w:pPr>
              <w:pStyle w:val="28"/>
              <w:bidi w:val="0"/>
            </w:pPr>
            <w:r>
              <w:t>615</w:t>
            </w:r>
          </w:p>
        </w:tc>
        <w:tc>
          <w:tcPr>
            <w:tcW w:w="364" w:type="pct"/>
            <w:tcBorders>
              <w:top w:val="single" w:color="000000" w:sz="4" w:space="0"/>
              <w:left w:val="single" w:color="000000" w:sz="4" w:space="0"/>
              <w:bottom w:val="single" w:color="000000" w:sz="4" w:space="0"/>
              <w:right w:val="single" w:color="000000" w:sz="4" w:space="0"/>
            </w:tcBorders>
            <w:vAlign w:val="center"/>
          </w:tcPr>
          <w:p w14:paraId="641AC0D0">
            <w:pPr>
              <w:pStyle w:val="28"/>
              <w:bidi w:val="0"/>
            </w:pPr>
            <w:r>
              <w:t>9059</w:t>
            </w:r>
          </w:p>
        </w:tc>
        <w:tc>
          <w:tcPr>
            <w:tcW w:w="393" w:type="pct"/>
            <w:tcBorders>
              <w:top w:val="single" w:color="000000" w:sz="4" w:space="0"/>
              <w:left w:val="single" w:color="000000" w:sz="4" w:space="0"/>
              <w:bottom w:val="single" w:color="000000" w:sz="4" w:space="0"/>
              <w:right w:val="single" w:color="000000" w:sz="4" w:space="0"/>
            </w:tcBorders>
            <w:vAlign w:val="center"/>
          </w:tcPr>
          <w:p w14:paraId="3B5B32DE">
            <w:pPr>
              <w:pStyle w:val="28"/>
              <w:bidi w:val="0"/>
            </w:pPr>
            <w:r>
              <w:t>3970</w:t>
            </w:r>
          </w:p>
        </w:tc>
      </w:tr>
      <w:tr w14:paraId="1611FAD4">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57E92B64">
            <w:pPr>
              <w:pStyle w:val="28"/>
              <w:bidi w:val="0"/>
            </w:pPr>
            <w:r>
              <w:t>16</w:t>
            </w:r>
          </w:p>
        </w:tc>
        <w:tc>
          <w:tcPr>
            <w:tcW w:w="1840" w:type="pct"/>
            <w:tcBorders>
              <w:top w:val="single" w:color="000000" w:sz="4" w:space="0"/>
              <w:left w:val="single" w:color="000000" w:sz="4" w:space="0"/>
              <w:bottom w:val="single" w:color="000000" w:sz="4" w:space="0"/>
              <w:right w:val="single" w:color="000000" w:sz="4" w:space="0"/>
            </w:tcBorders>
            <w:vAlign w:val="center"/>
          </w:tcPr>
          <w:p w14:paraId="20742C48">
            <w:pPr>
              <w:pStyle w:val="28"/>
              <w:bidi w:val="0"/>
            </w:pPr>
            <w:r>
              <w:t>潜南干渠义河支渠0+000～5+750段续建配套与现代化改造工程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1505981D">
            <w:pPr>
              <w:pStyle w:val="28"/>
              <w:bidi w:val="0"/>
            </w:pPr>
            <w:r>
              <w:t>1710</w:t>
            </w:r>
          </w:p>
        </w:tc>
        <w:tc>
          <w:tcPr>
            <w:tcW w:w="414" w:type="pct"/>
            <w:tcBorders>
              <w:top w:val="single" w:color="000000" w:sz="4" w:space="0"/>
              <w:left w:val="single" w:color="000000" w:sz="4" w:space="0"/>
              <w:bottom w:val="single" w:color="000000" w:sz="4" w:space="0"/>
              <w:right w:val="single" w:color="000000" w:sz="4" w:space="0"/>
            </w:tcBorders>
            <w:vAlign w:val="center"/>
          </w:tcPr>
          <w:p w14:paraId="299F9740">
            <w:pPr>
              <w:pStyle w:val="28"/>
              <w:bidi w:val="0"/>
            </w:pPr>
            <w:r>
              <w:t>32</w:t>
            </w:r>
          </w:p>
        </w:tc>
        <w:tc>
          <w:tcPr>
            <w:tcW w:w="414" w:type="pct"/>
            <w:tcBorders>
              <w:top w:val="single" w:color="000000" w:sz="4" w:space="0"/>
              <w:left w:val="single" w:color="000000" w:sz="4" w:space="0"/>
              <w:bottom w:val="single" w:color="000000" w:sz="4" w:space="0"/>
              <w:right w:val="single" w:color="000000" w:sz="4" w:space="0"/>
            </w:tcBorders>
            <w:vAlign w:val="center"/>
          </w:tcPr>
          <w:p w14:paraId="6253AEC1">
            <w:pPr>
              <w:pStyle w:val="28"/>
              <w:bidi w:val="0"/>
            </w:pPr>
            <w:r>
              <w:t>2</w:t>
            </w:r>
          </w:p>
        </w:tc>
        <w:tc>
          <w:tcPr>
            <w:tcW w:w="339" w:type="pct"/>
            <w:tcBorders>
              <w:top w:val="single" w:color="000000" w:sz="4" w:space="0"/>
              <w:left w:val="single" w:color="000000" w:sz="4" w:space="0"/>
              <w:bottom w:val="single" w:color="000000" w:sz="4" w:space="0"/>
              <w:right w:val="single" w:color="000000" w:sz="4" w:space="0"/>
            </w:tcBorders>
            <w:vAlign w:val="center"/>
          </w:tcPr>
          <w:p w14:paraId="33C2462A">
            <w:pPr>
              <w:pStyle w:val="28"/>
              <w:bidi w:val="0"/>
            </w:pPr>
            <w:r>
              <w:t>46</w:t>
            </w:r>
          </w:p>
        </w:tc>
        <w:tc>
          <w:tcPr>
            <w:tcW w:w="407" w:type="pct"/>
            <w:tcBorders>
              <w:top w:val="single" w:color="000000" w:sz="4" w:space="0"/>
              <w:left w:val="single" w:color="000000" w:sz="4" w:space="0"/>
              <w:bottom w:val="single" w:color="000000" w:sz="4" w:space="0"/>
              <w:right w:val="single" w:color="000000" w:sz="4" w:space="0"/>
            </w:tcBorders>
            <w:vAlign w:val="center"/>
          </w:tcPr>
          <w:p w14:paraId="6C938F1A">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7D02D35D">
            <w:pPr>
              <w:pStyle w:val="28"/>
              <w:bidi w:val="0"/>
            </w:pPr>
            <w:r>
              <w:t>5099</w:t>
            </w:r>
          </w:p>
        </w:tc>
        <w:tc>
          <w:tcPr>
            <w:tcW w:w="393" w:type="pct"/>
            <w:tcBorders>
              <w:top w:val="single" w:color="000000" w:sz="4" w:space="0"/>
              <w:left w:val="single" w:color="000000" w:sz="4" w:space="0"/>
              <w:bottom w:val="single" w:color="000000" w:sz="4" w:space="0"/>
              <w:right w:val="single" w:color="000000" w:sz="4" w:space="0"/>
            </w:tcBorders>
            <w:vAlign w:val="center"/>
          </w:tcPr>
          <w:p w14:paraId="6CC46E6D">
            <w:pPr>
              <w:pStyle w:val="28"/>
              <w:bidi w:val="0"/>
            </w:pPr>
            <w:r>
              <w:t>3489</w:t>
            </w:r>
          </w:p>
        </w:tc>
      </w:tr>
      <w:tr w14:paraId="3127C4A7">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078ADD4B">
            <w:pPr>
              <w:pStyle w:val="28"/>
              <w:bidi w:val="0"/>
            </w:pPr>
            <w:r>
              <w:t>17</w:t>
            </w:r>
          </w:p>
        </w:tc>
        <w:tc>
          <w:tcPr>
            <w:tcW w:w="1840" w:type="pct"/>
            <w:tcBorders>
              <w:top w:val="single" w:color="000000" w:sz="4" w:space="0"/>
              <w:left w:val="single" w:color="000000" w:sz="4" w:space="0"/>
              <w:bottom w:val="single" w:color="000000" w:sz="4" w:space="0"/>
              <w:right w:val="single" w:color="000000" w:sz="4" w:space="0"/>
            </w:tcBorders>
            <w:vAlign w:val="center"/>
          </w:tcPr>
          <w:p w14:paraId="6899006A">
            <w:pPr>
              <w:pStyle w:val="28"/>
              <w:bidi w:val="0"/>
            </w:pPr>
            <w:r>
              <w:t>潜南干渠袁店支渠0+000～6+000段续建配套与现代化改造工程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35870551">
            <w:pPr>
              <w:pStyle w:val="28"/>
              <w:bidi w:val="0"/>
            </w:pPr>
            <w:r>
              <w:t>1625</w:t>
            </w:r>
          </w:p>
        </w:tc>
        <w:tc>
          <w:tcPr>
            <w:tcW w:w="414" w:type="pct"/>
            <w:tcBorders>
              <w:top w:val="single" w:color="000000" w:sz="4" w:space="0"/>
              <w:left w:val="single" w:color="000000" w:sz="4" w:space="0"/>
              <w:bottom w:val="single" w:color="000000" w:sz="4" w:space="0"/>
              <w:right w:val="single" w:color="000000" w:sz="4" w:space="0"/>
            </w:tcBorders>
            <w:vAlign w:val="center"/>
          </w:tcPr>
          <w:p w14:paraId="38161DBC">
            <w:pPr>
              <w:pStyle w:val="28"/>
              <w:bidi w:val="0"/>
            </w:pPr>
            <w:r>
              <w:t>29</w:t>
            </w:r>
          </w:p>
        </w:tc>
        <w:tc>
          <w:tcPr>
            <w:tcW w:w="414" w:type="pct"/>
            <w:tcBorders>
              <w:top w:val="single" w:color="000000" w:sz="4" w:space="0"/>
              <w:left w:val="single" w:color="000000" w:sz="4" w:space="0"/>
              <w:bottom w:val="single" w:color="000000" w:sz="4" w:space="0"/>
              <w:right w:val="single" w:color="000000" w:sz="4" w:space="0"/>
            </w:tcBorders>
            <w:vAlign w:val="center"/>
          </w:tcPr>
          <w:p w14:paraId="11968B07">
            <w:pPr>
              <w:pStyle w:val="28"/>
              <w:bidi w:val="0"/>
            </w:pPr>
            <w:r>
              <w:t>4</w:t>
            </w:r>
          </w:p>
        </w:tc>
        <w:tc>
          <w:tcPr>
            <w:tcW w:w="339" w:type="pct"/>
            <w:tcBorders>
              <w:top w:val="single" w:color="000000" w:sz="4" w:space="0"/>
              <w:left w:val="single" w:color="000000" w:sz="4" w:space="0"/>
              <w:bottom w:val="single" w:color="000000" w:sz="4" w:space="0"/>
              <w:right w:val="single" w:color="000000" w:sz="4" w:space="0"/>
            </w:tcBorders>
            <w:vAlign w:val="center"/>
          </w:tcPr>
          <w:p w14:paraId="08649DEF">
            <w:pPr>
              <w:pStyle w:val="28"/>
              <w:bidi w:val="0"/>
            </w:pPr>
            <w:r>
              <w:t>59</w:t>
            </w:r>
          </w:p>
        </w:tc>
        <w:tc>
          <w:tcPr>
            <w:tcW w:w="407" w:type="pct"/>
            <w:tcBorders>
              <w:top w:val="single" w:color="000000" w:sz="4" w:space="0"/>
              <w:left w:val="single" w:color="000000" w:sz="4" w:space="0"/>
              <w:bottom w:val="single" w:color="000000" w:sz="4" w:space="0"/>
              <w:right w:val="single" w:color="000000" w:sz="4" w:space="0"/>
            </w:tcBorders>
            <w:vAlign w:val="center"/>
          </w:tcPr>
          <w:p w14:paraId="5F6B97A0">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1264FB32">
            <w:pPr>
              <w:pStyle w:val="28"/>
              <w:bidi w:val="0"/>
            </w:pPr>
            <w:r>
              <w:t>5646</w:t>
            </w:r>
          </w:p>
        </w:tc>
        <w:tc>
          <w:tcPr>
            <w:tcW w:w="393" w:type="pct"/>
            <w:tcBorders>
              <w:top w:val="single" w:color="000000" w:sz="4" w:space="0"/>
              <w:left w:val="single" w:color="000000" w:sz="4" w:space="0"/>
              <w:bottom w:val="single" w:color="000000" w:sz="4" w:space="0"/>
              <w:right w:val="single" w:color="000000" w:sz="4" w:space="0"/>
            </w:tcBorders>
            <w:vAlign w:val="center"/>
          </w:tcPr>
          <w:p w14:paraId="3D2E8178">
            <w:pPr>
              <w:pStyle w:val="28"/>
              <w:bidi w:val="0"/>
            </w:pPr>
            <w:r>
              <w:t>2848</w:t>
            </w:r>
          </w:p>
        </w:tc>
      </w:tr>
      <w:tr w14:paraId="0633FF11">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20957A8F">
            <w:pPr>
              <w:pStyle w:val="28"/>
              <w:bidi w:val="0"/>
            </w:pPr>
            <w:r>
              <w:t>18</w:t>
            </w:r>
          </w:p>
        </w:tc>
        <w:tc>
          <w:tcPr>
            <w:tcW w:w="1840" w:type="pct"/>
            <w:tcBorders>
              <w:top w:val="single" w:color="000000" w:sz="4" w:space="0"/>
              <w:left w:val="single" w:color="000000" w:sz="4" w:space="0"/>
              <w:bottom w:val="single" w:color="000000" w:sz="4" w:space="0"/>
              <w:right w:val="single" w:color="000000" w:sz="4" w:space="0"/>
            </w:tcBorders>
            <w:vAlign w:val="center"/>
          </w:tcPr>
          <w:p w14:paraId="1021BA85">
            <w:pPr>
              <w:pStyle w:val="28"/>
              <w:bidi w:val="0"/>
            </w:pPr>
            <w:r>
              <w:t>潜南干渠堰西支渠0+000～11+440段续建配套与现代化改造工程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734C1B2B">
            <w:pPr>
              <w:pStyle w:val="28"/>
              <w:bidi w:val="0"/>
            </w:pPr>
            <w:r>
              <w:t>292</w:t>
            </w:r>
          </w:p>
        </w:tc>
        <w:tc>
          <w:tcPr>
            <w:tcW w:w="414" w:type="pct"/>
            <w:tcBorders>
              <w:top w:val="single" w:color="000000" w:sz="4" w:space="0"/>
              <w:left w:val="single" w:color="000000" w:sz="4" w:space="0"/>
              <w:bottom w:val="single" w:color="000000" w:sz="4" w:space="0"/>
              <w:right w:val="single" w:color="000000" w:sz="4" w:space="0"/>
            </w:tcBorders>
            <w:vAlign w:val="center"/>
          </w:tcPr>
          <w:p w14:paraId="49E181D4">
            <w:pPr>
              <w:pStyle w:val="28"/>
              <w:bidi w:val="0"/>
            </w:pPr>
            <w:r>
              <w:t>15</w:t>
            </w:r>
          </w:p>
        </w:tc>
        <w:tc>
          <w:tcPr>
            <w:tcW w:w="414" w:type="pct"/>
            <w:tcBorders>
              <w:top w:val="single" w:color="000000" w:sz="4" w:space="0"/>
              <w:left w:val="single" w:color="000000" w:sz="4" w:space="0"/>
              <w:bottom w:val="single" w:color="000000" w:sz="4" w:space="0"/>
              <w:right w:val="single" w:color="000000" w:sz="4" w:space="0"/>
            </w:tcBorders>
            <w:vAlign w:val="center"/>
          </w:tcPr>
          <w:p w14:paraId="5D4479AE">
            <w:pPr>
              <w:pStyle w:val="28"/>
              <w:bidi w:val="0"/>
            </w:pPr>
            <w:r>
              <w:t>1</w:t>
            </w:r>
          </w:p>
        </w:tc>
        <w:tc>
          <w:tcPr>
            <w:tcW w:w="339" w:type="pct"/>
            <w:tcBorders>
              <w:top w:val="single" w:color="000000" w:sz="4" w:space="0"/>
              <w:left w:val="single" w:color="000000" w:sz="4" w:space="0"/>
              <w:bottom w:val="single" w:color="000000" w:sz="4" w:space="0"/>
              <w:right w:val="single" w:color="000000" w:sz="4" w:space="0"/>
            </w:tcBorders>
            <w:vAlign w:val="center"/>
          </w:tcPr>
          <w:p w14:paraId="7746A350">
            <w:pPr>
              <w:pStyle w:val="28"/>
              <w:bidi w:val="0"/>
            </w:pPr>
            <w:r>
              <w:t>10</w:t>
            </w:r>
          </w:p>
        </w:tc>
        <w:tc>
          <w:tcPr>
            <w:tcW w:w="407" w:type="pct"/>
            <w:tcBorders>
              <w:top w:val="single" w:color="000000" w:sz="4" w:space="0"/>
              <w:left w:val="single" w:color="000000" w:sz="4" w:space="0"/>
              <w:bottom w:val="single" w:color="000000" w:sz="4" w:space="0"/>
              <w:right w:val="single" w:color="000000" w:sz="4" w:space="0"/>
            </w:tcBorders>
            <w:vAlign w:val="center"/>
          </w:tcPr>
          <w:p w14:paraId="37E0762F">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54B5443F">
            <w:pPr>
              <w:pStyle w:val="28"/>
              <w:bidi w:val="0"/>
            </w:pPr>
            <w:r>
              <w:t>4349</w:t>
            </w:r>
          </w:p>
        </w:tc>
        <w:tc>
          <w:tcPr>
            <w:tcW w:w="393" w:type="pct"/>
            <w:tcBorders>
              <w:top w:val="single" w:color="000000" w:sz="4" w:space="0"/>
              <w:left w:val="single" w:color="000000" w:sz="4" w:space="0"/>
              <w:bottom w:val="single" w:color="000000" w:sz="4" w:space="0"/>
              <w:right w:val="single" w:color="000000" w:sz="4" w:space="0"/>
            </w:tcBorders>
            <w:vAlign w:val="center"/>
          </w:tcPr>
          <w:p w14:paraId="1F70ED0B">
            <w:pPr>
              <w:pStyle w:val="28"/>
              <w:bidi w:val="0"/>
            </w:pPr>
            <w:r>
              <w:t>4005</w:t>
            </w:r>
          </w:p>
        </w:tc>
      </w:tr>
      <w:tr w14:paraId="098CB222">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67BAB5BF">
            <w:pPr>
              <w:pStyle w:val="28"/>
              <w:bidi w:val="0"/>
            </w:pPr>
            <w:r>
              <w:t>19</w:t>
            </w:r>
          </w:p>
        </w:tc>
        <w:tc>
          <w:tcPr>
            <w:tcW w:w="1840" w:type="pct"/>
            <w:tcBorders>
              <w:top w:val="single" w:color="000000" w:sz="4" w:space="0"/>
              <w:left w:val="single" w:color="000000" w:sz="4" w:space="0"/>
              <w:bottom w:val="single" w:color="000000" w:sz="4" w:space="0"/>
              <w:right w:val="single" w:color="000000" w:sz="4" w:space="0"/>
            </w:tcBorders>
            <w:vAlign w:val="center"/>
          </w:tcPr>
          <w:p w14:paraId="6B54E1ED">
            <w:pPr>
              <w:pStyle w:val="28"/>
              <w:bidi w:val="0"/>
            </w:pPr>
            <w:r>
              <w:t>众兴分干渠双庙支渠（0+650～5+135）续建配套与现代化改造工程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2BD2BA67">
            <w:pPr>
              <w:pStyle w:val="28"/>
              <w:bidi w:val="0"/>
            </w:pPr>
            <w:r>
              <w:t>2</w:t>
            </w:r>
          </w:p>
        </w:tc>
        <w:tc>
          <w:tcPr>
            <w:tcW w:w="414" w:type="pct"/>
            <w:tcBorders>
              <w:top w:val="single" w:color="000000" w:sz="4" w:space="0"/>
              <w:left w:val="single" w:color="000000" w:sz="4" w:space="0"/>
              <w:bottom w:val="single" w:color="000000" w:sz="4" w:space="0"/>
              <w:right w:val="single" w:color="000000" w:sz="4" w:space="0"/>
            </w:tcBorders>
            <w:vAlign w:val="center"/>
          </w:tcPr>
          <w:p w14:paraId="4BC0CD7E">
            <w:pPr>
              <w:pStyle w:val="28"/>
              <w:bidi w:val="0"/>
            </w:pPr>
            <w:r>
              <w:t>42</w:t>
            </w:r>
          </w:p>
        </w:tc>
        <w:tc>
          <w:tcPr>
            <w:tcW w:w="414" w:type="pct"/>
            <w:tcBorders>
              <w:top w:val="single" w:color="000000" w:sz="4" w:space="0"/>
              <w:left w:val="single" w:color="000000" w:sz="4" w:space="0"/>
              <w:bottom w:val="single" w:color="000000" w:sz="4" w:space="0"/>
              <w:right w:val="single" w:color="000000" w:sz="4" w:space="0"/>
            </w:tcBorders>
            <w:vAlign w:val="center"/>
          </w:tcPr>
          <w:p w14:paraId="3EA9E6E0">
            <w:pPr>
              <w:pStyle w:val="28"/>
              <w:bidi w:val="0"/>
            </w:pPr>
            <w:r>
              <w:t>6</w:t>
            </w:r>
          </w:p>
        </w:tc>
        <w:tc>
          <w:tcPr>
            <w:tcW w:w="339" w:type="pct"/>
            <w:tcBorders>
              <w:top w:val="single" w:color="000000" w:sz="4" w:space="0"/>
              <w:left w:val="single" w:color="000000" w:sz="4" w:space="0"/>
              <w:bottom w:val="single" w:color="000000" w:sz="4" w:space="0"/>
              <w:right w:val="single" w:color="000000" w:sz="4" w:space="0"/>
            </w:tcBorders>
            <w:vAlign w:val="center"/>
          </w:tcPr>
          <w:p w14:paraId="0619A3B1">
            <w:pPr>
              <w:pStyle w:val="28"/>
              <w:bidi w:val="0"/>
            </w:pPr>
            <w:r>
              <w:t>46</w:t>
            </w:r>
          </w:p>
        </w:tc>
        <w:tc>
          <w:tcPr>
            <w:tcW w:w="407" w:type="pct"/>
            <w:tcBorders>
              <w:top w:val="single" w:color="000000" w:sz="4" w:space="0"/>
              <w:left w:val="single" w:color="000000" w:sz="4" w:space="0"/>
              <w:bottom w:val="single" w:color="000000" w:sz="4" w:space="0"/>
              <w:right w:val="single" w:color="000000" w:sz="4" w:space="0"/>
            </w:tcBorders>
            <w:vAlign w:val="center"/>
          </w:tcPr>
          <w:p w14:paraId="12F32AA9">
            <w:pPr>
              <w:pStyle w:val="28"/>
              <w:bidi w:val="0"/>
            </w:pPr>
            <w:r>
              <w:t>7</w:t>
            </w:r>
          </w:p>
        </w:tc>
        <w:tc>
          <w:tcPr>
            <w:tcW w:w="364" w:type="pct"/>
            <w:tcBorders>
              <w:top w:val="single" w:color="000000" w:sz="4" w:space="0"/>
              <w:left w:val="single" w:color="000000" w:sz="4" w:space="0"/>
              <w:bottom w:val="single" w:color="000000" w:sz="4" w:space="0"/>
              <w:right w:val="single" w:color="000000" w:sz="4" w:space="0"/>
            </w:tcBorders>
            <w:vAlign w:val="center"/>
          </w:tcPr>
          <w:p w14:paraId="5D2B8543">
            <w:pPr>
              <w:pStyle w:val="28"/>
              <w:bidi w:val="0"/>
            </w:pPr>
            <w:r>
              <w:t>1400</w:t>
            </w:r>
          </w:p>
        </w:tc>
        <w:tc>
          <w:tcPr>
            <w:tcW w:w="393" w:type="pct"/>
            <w:tcBorders>
              <w:top w:val="single" w:color="000000" w:sz="4" w:space="0"/>
              <w:left w:val="single" w:color="000000" w:sz="4" w:space="0"/>
              <w:bottom w:val="single" w:color="000000" w:sz="4" w:space="0"/>
              <w:right w:val="single" w:color="000000" w:sz="4" w:space="0"/>
            </w:tcBorders>
            <w:vAlign w:val="center"/>
          </w:tcPr>
          <w:p w14:paraId="1B61931E">
            <w:pPr>
              <w:pStyle w:val="28"/>
              <w:bidi w:val="0"/>
            </w:pPr>
            <w:r>
              <w:t>57</w:t>
            </w:r>
          </w:p>
        </w:tc>
      </w:tr>
      <w:tr w14:paraId="21DA49F3">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01ACFD78">
            <w:pPr>
              <w:pStyle w:val="28"/>
              <w:bidi w:val="0"/>
            </w:pPr>
            <w:r>
              <w:t>20</w:t>
            </w:r>
          </w:p>
        </w:tc>
        <w:tc>
          <w:tcPr>
            <w:tcW w:w="1840" w:type="pct"/>
            <w:tcBorders>
              <w:top w:val="single" w:color="000000" w:sz="4" w:space="0"/>
              <w:left w:val="single" w:color="000000" w:sz="4" w:space="0"/>
              <w:bottom w:val="single" w:color="000000" w:sz="4" w:space="0"/>
              <w:right w:val="single" w:color="000000" w:sz="4" w:space="0"/>
            </w:tcBorders>
            <w:vAlign w:val="center"/>
          </w:tcPr>
          <w:p w14:paraId="0F5E1C4A">
            <w:pPr>
              <w:pStyle w:val="28"/>
              <w:bidi w:val="0"/>
            </w:pPr>
            <w:r>
              <w:t>众兴分干渠大高支渠0+000～6+800段续建配套与现代化改造工程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56661D6F">
            <w:pPr>
              <w:pStyle w:val="28"/>
              <w:bidi w:val="0"/>
            </w:pPr>
            <w:r>
              <w:t>2700</w:t>
            </w:r>
          </w:p>
        </w:tc>
        <w:tc>
          <w:tcPr>
            <w:tcW w:w="414" w:type="pct"/>
            <w:tcBorders>
              <w:top w:val="single" w:color="000000" w:sz="4" w:space="0"/>
              <w:left w:val="single" w:color="000000" w:sz="4" w:space="0"/>
              <w:bottom w:val="single" w:color="000000" w:sz="4" w:space="0"/>
              <w:right w:val="single" w:color="000000" w:sz="4" w:space="0"/>
            </w:tcBorders>
            <w:vAlign w:val="center"/>
          </w:tcPr>
          <w:p w14:paraId="7E8F9510">
            <w:pPr>
              <w:pStyle w:val="28"/>
              <w:bidi w:val="0"/>
            </w:pPr>
            <w:r>
              <w:t>464</w:t>
            </w:r>
          </w:p>
        </w:tc>
        <w:tc>
          <w:tcPr>
            <w:tcW w:w="414" w:type="pct"/>
            <w:tcBorders>
              <w:top w:val="single" w:color="000000" w:sz="4" w:space="0"/>
              <w:left w:val="single" w:color="000000" w:sz="4" w:space="0"/>
              <w:bottom w:val="single" w:color="000000" w:sz="4" w:space="0"/>
              <w:right w:val="single" w:color="000000" w:sz="4" w:space="0"/>
            </w:tcBorders>
            <w:vAlign w:val="center"/>
          </w:tcPr>
          <w:p w14:paraId="5808AE0A">
            <w:pPr>
              <w:pStyle w:val="28"/>
              <w:bidi w:val="0"/>
            </w:pPr>
            <w:r>
              <w:t>—</w:t>
            </w:r>
          </w:p>
        </w:tc>
        <w:tc>
          <w:tcPr>
            <w:tcW w:w="339" w:type="pct"/>
            <w:tcBorders>
              <w:top w:val="single" w:color="000000" w:sz="4" w:space="0"/>
              <w:left w:val="single" w:color="000000" w:sz="4" w:space="0"/>
              <w:bottom w:val="single" w:color="000000" w:sz="4" w:space="0"/>
              <w:right w:val="single" w:color="000000" w:sz="4" w:space="0"/>
            </w:tcBorders>
            <w:vAlign w:val="center"/>
          </w:tcPr>
          <w:p w14:paraId="54B6D066">
            <w:pPr>
              <w:pStyle w:val="28"/>
              <w:bidi w:val="0"/>
            </w:pPr>
            <w:r>
              <w:t>—</w:t>
            </w:r>
          </w:p>
        </w:tc>
        <w:tc>
          <w:tcPr>
            <w:tcW w:w="407" w:type="pct"/>
            <w:tcBorders>
              <w:top w:val="single" w:color="000000" w:sz="4" w:space="0"/>
              <w:left w:val="single" w:color="000000" w:sz="4" w:space="0"/>
              <w:bottom w:val="single" w:color="000000" w:sz="4" w:space="0"/>
              <w:right w:val="single" w:color="000000" w:sz="4" w:space="0"/>
            </w:tcBorders>
            <w:vAlign w:val="center"/>
          </w:tcPr>
          <w:p w14:paraId="4D3E2425">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7915B9BC">
            <w:pPr>
              <w:pStyle w:val="28"/>
              <w:bidi w:val="0"/>
            </w:pPr>
            <w:r>
              <w:t>—</w:t>
            </w:r>
          </w:p>
        </w:tc>
        <w:tc>
          <w:tcPr>
            <w:tcW w:w="393" w:type="pct"/>
            <w:tcBorders>
              <w:top w:val="single" w:color="000000" w:sz="4" w:space="0"/>
              <w:left w:val="single" w:color="000000" w:sz="4" w:space="0"/>
              <w:bottom w:val="single" w:color="000000" w:sz="4" w:space="0"/>
              <w:right w:val="single" w:color="000000" w:sz="4" w:space="0"/>
            </w:tcBorders>
            <w:vAlign w:val="center"/>
          </w:tcPr>
          <w:p w14:paraId="2C7044A9">
            <w:pPr>
              <w:pStyle w:val="28"/>
              <w:bidi w:val="0"/>
            </w:pPr>
            <w:r>
              <w:t>—</w:t>
            </w:r>
          </w:p>
        </w:tc>
      </w:tr>
      <w:tr w14:paraId="60C388B8">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00BA616F">
            <w:pPr>
              <w:pStyle w:val="28"/>
              <w:bidi w:val="0"/>
            </w:pPr>
            <w:r>
              <w:t>21</w:t>
            </w:r>
          </w:p>
        </w:tc>
        <w:tc>
          <w:tcPr>
            <w:tcW w:w="1840" w:type="pct"/>
            <w:tcBorders>
              <w:top w:val="single" w:color="000000" w:sz="4" w:space="0"/>
              <w:left w:val="single" w:color="000000" w:sz="4" w:space="0"/>
              <w:bottom w:val="single" w:color="000000" w:sz="4" w:space="0"/>
              <w:right w:val="single" w:color="000000" w:sz="4" w:space="0"/>
            </w:tcBorders>
            <w:vAlign w:val="center"/>
          </w:tcPr>
          <w:p w14:paraId="3539C097">
            <w:pPr>
              <w:pStyle w:val="28"/>
              <w:bidi w:val="0"/>
            </w:pPr>
            <w:r>
              <w:t>众兴分干渠白龙支渠0+000～12+000段续建配套与现代化改造工程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06F7AE69">
            <w:pPr>
              <w:pStyle w:val="28"/>
              <w:bidi w:val="0"/>
            </w:pPr>
            <w:r>
              <w:t>1500</w:t>
            </w:r>
          </w:p>
        </w:tc>
        <w:tc>
          <w:tcPr>
            <w:tcW w:w="414" w:type="pct"/>
            <w:tcBorders>
              <w:top w:val="single" w:color="000000" w:sz="4" w:space="0"/>
              <w:left w:val="single" w:color="000000" w:sz="4" w:space="0"/>
              <w:bottom w:val="single" w:color="000000" w:sz="4" w:space="0"/>
              <w:right w:val="single" w:color="000000" w:sz="4" w:space="0"/>
            </w:tcBorders>
            <w:vAlign w:val="center"/>
          </w:tcPr>
          <w:p w14:paraId="07439E80">
            <w:pPr>
              <w:pStyle w:val="28"/>
              <w:bidi w:val="0"/>
            </w:pPr>
            <w:r>
              <w:t>141</w:t>
            </w:r>
          </w:p>
        </w:tc>
        <w:tc>
          <w:tcPr>
            <w:tcW w:w="414" w:type="pct"/>
            <w:tcBorders>
              <w:top w:val="single" w:color="000000" w:sz="4" w:space="0"/>
              <w:left w:val="single" w:color="000000" w:sz="4" w:space="0"/>
              <w:bottom w:val="single" w:color="000000" w:sz="4" w:space="0"/>
              <w:right w:val="single" w:color="000000" w:sz="4" w:space="0"/>
            </w:tcBorders>
            <w:vAlign w:val="center"/>
          </w:tcPr>
          <w:p w14:paraId="590EA344">
            <w:pPr>
              <w:pStyle w:val="28"/>
              <w:bidi w:val="0"/>
            </w:pPr>
            <w:r>
              <w:t>—</w:t>
            </w:r>
          </w:p>
        </w:tc>
        <w:tc>
          <w:tcPr>
            <w:tcW w:w="339" w:type="pct"/>
            <w:tcBorders>
              <w:top w:val="single" w:color="000000" w:sz="4" w:space="0"/>
              <w:left w:val="single" w:color="000000" w:sz="4" w:space="0"/>
              <w:bottom w:val="single" w:color="000000" w:sz="4" w:space="0"/>
              <w:right w:val="single" w:color="000000" w:sz="4" w:space="0"/>
            </w:tcBorders>
            <w:vAlign w:val="center"/>
          </w:tcPr>
          <w:p w14:paraId="1506A8D3">
            <w:pPr>
              <w:pStyle w:val="28"/>
              <w:bidi w:val="0"/>
            </w:pPr>
            <w:r>
              <w:t>—</w:t>
            </w:r>
          </w:p>
        </w:tc>
        <w:tc>
          <w:tcPr>
            <w:tcW w:w="407" w:type="pct"/>
            <w:tcBorders>
              <w:top w:val="single" w:color="000000" w:sz="4" w:space="0"/>
              <w:left w:val="single" w:color="000000" w:sz="4" w:space="0"/>
              <w:bottom w:val="single" w:color="000000" w:sz="4" w:space="0"/>
              <w:right w:val="single" w:color="000000" w:sz="4" w:space="0"/>
            </w:tcBorders>
            <w:vAlign w:val="center"/>
          </w:tcPr>
          <w:p w14:paraId="78EA83AD">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4A6617DB">
            <w:pPr>
              <w:pStyle w:val="28"/>
              <w:bidi w:val="0"/>
            </w:pPr>
            <w:r>
              <w:t>—</w:t>
            </w:r>
          </w:p>
        </w:tc>
        <w:tc>
          <w:tcPr>
            <w:tcW w:w="393" w:type="pct"/>
            <w:tcBorders>
              <w:top w:val="single" w:color="000000" w:sz="4" w:space="0"/>
              <w:left w:val="single" w:color="000000" w:sz="4" w:space="0"/>
              <w:bottom w:val="single" w:color="000000" w:sz="4" w:space="0"/>
              <w:right w:val="single" w:color="000000" w:sz="4" w:space="0"/>
            </w:tcBorders>
            <w:vAlign w:val="center"/>
          </w:tcPr>
          <w:p w14:paraId="3D0AD04D">
            <w:pPr>
              <w:pStyle w:val="28"/>
              <w:bidi w:val="0"/>
            </w:pPr>
            <w:r>
              <w:t>—</w:t>
            </w:r>
          </w:p>
        </w:tc>
      </w:tr>
      <w:tr w14:paraId="0611AE35">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704352CD">
            <w:pPr>
              <w:pStyle w:val="28"/>
              <w:bidi w:val="0"/>
            </w:pPr>
            <w:r>
              <w:t>22</w:t>
            </w:r>
          </w:p>
        </w:tc>
        <w:tc>
          <w:tcPr>
            <w:tcW w:w="1840" w:type="pct"/>
            <w:tcBorders>
              <w:top w:val="single" w:color="000000" w:sz="4" w:space="0"/>
              <w:left w:val="single" w:color="000000" w:sz="4" w:space="0"/>
              <w:bottom w:val="single" w:color="000000" w:sz="4" w:space="0"/>
              <w:right w:val="single" w:color="000000" w:sz="4" w:space="0"/>
            </w:tcBorders>
            <w:vAlign w:val="center"/>
          </w:tcPr>
          <w:p w14:paraId="51D4E16E">
            <w:pPr>
              <w:pStyle w:val="28"/>
              <w:bidi w:val="0"/>
            </w:pPr>
            <w:r>
              <w:t>瓦东干渠李山支渠补水工程（郑岗泵站重建）</w:t>
            </w:r>
          </w:p>
        </w:tc>
        <w:tc>
          <w:tcPr>
            <w:tcW w:w="414" w:type="pct"/>
            <w:tcBorders>
              <w:top w:val="single" w:color="000000" w:sz="4" w:space="0"/>
              <w:left w:val="single" w:color="000000" w:sz="4" w:space="0"/>
              <w:bottom w:val="single" w:color="000000" w:sz="4" w:space="0"/>
              <w:right w:val="single" w:color="000000" w:sz="4" w:space="0"/>
            </w:tcBorders>
            <w:vAlign w:val="center"/>
          </w:tcPr>
          <w:p w14:paraId="3FD0A0A7">
            <w:pPr>
              <w:pStyle w:val="28"/>
              <w:bidi w:val="0"/>
            </w:pPr>
            <w:r>
              <w:t>1573</w:t>
            </w:r>
          </w:p>
        </w:tc>
        <w:tc>
          <w:tcPr>
            <w:tcW w:w="414" w:type="pct"/>
            <w:tcBorders>
              <w:top w:val="single" w:color="000000" w:sz="4" w:space="0"/>
              <w:left w:val="single" w:color="000000" w:sz="4" w:space="0"/>
              <w:bottom w:val="single" w:color="000000" w:sz="4" w:space="0"/>
              <w:right w:val="single" w:color="000000" w:sz="4" w:space="0"/>
            </w:tcBorders>
            <w:vAlign w:val="center"/>
          </w:tcPr>
          <w:p w14:paraId="2E12CD49">
            <w:pPr>
              <w:pStyle w:val="28"/>
              <w:bidi w:val="0"/>
            </w:pPr>
            <w:r>
              <w:t>248</w:t>
            </w:r>
          </w:p>
        </w:tc>
        <w:tc>
          <w:tcPr>
            <w:tcW w:w="414" w:type="pct"/>
            <w:tcBorders>
              <w:top w:val="single" w:color="000000" w:sz="4" w:space="0"/>
              <w:left w:val="single" w:color="000000" w:sz="4" w:space="0"/>
              <w:bottom w:val="single" w:color="000000" w:sz="4" w:space="0"/>
              <w:right w:val="single" w:color="000000" w:sz="4" w:space="0"/>
            </w:tcBorders>
            <w:vAlign w:val="center"/>
          </w:tcPr>
          <w:p w14:paraId="7B0D3C7C">
            <w:pPr>
              <w:pStyle w:val="28"/>
              <w:bidi w:val="0"/>
            </w:pPr>
            <w:r>
              <w:t>4</w:t>
            </w:r>
          </w:p>
        </w:tc>
        <w:tc>
          <w:tcPr>
            <w:tcW w:w="339" w:type="pct"/>
            <w:tcBorders>
              <w:top w:val="single" w:color="000000" w:sz="4" w:space="0"/>
              <w:left w:val="single" w:color="000000" w:sz="4" w:space="0"/>
              <w:bottom w:val="single" w:color="000000" w:sz="4" w:space="0"/>
              <w:right w:val="single" w:color="000000" w:sz="4" w:space="0"/>
            </w:tcBorders>
            <w:vAlign w:val="center"/>
          </w:tcPr>
          <w:p w14:paraId="5C2CF3D6">
            <w:pPr>
              <w:pStyle w:val="28"/>
              <w:bidi w:val="0"/>
            </w:pPr>
            <w:r>
              <w:t>105</w:t>
            </w:r>
          </w:p>
        </w:tc>
        <w:tc>
          <w:tcPr>
            <w:tcW w:w="407" w:type="pct"/>
            <w:tcBorders>
              <w:top w:val="single" w:color="000000" w:sz="4" w:space="0"/>
              <w:left w:val="single" w:color="000000" w:sz="4" w:space="0"/>
              <w:bottom w:val="single" w:color="000000" w:sz="4" w:space="0"/>
              <w:right w:val="single" w:color="000000" w:sz="4" w:space="0"/>
            </w:tcBorders>
            <w:vAlign w:val="center"/>
          </w:tcPr>
          <w:p w14:paraId="57966769">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76EDE9B6">
            <w:pPr>
              <w:pStyle w:val="28"/>
              <w:bidi w:val="0"/>
            </w:pPr>
            <w:r>
              <w:t>7490</w:t>
            </w:r>
          </w:p>
        </w:tc>
        <w:tc>
          <w:tcPr>
            <w:tcW w:w="393" w:type="pct"/>
            <w:tcBorders>
              <w:top w:val="single" w:color="000000" w:sz="4" w:space="0"/>
              <w:left w:val="single" w:color="000000" w:sz="4" w:space="0"/>
              <w:bottom w:val="single" w:color="000000" w:sz="4" w:space="0"/>
              <w:right w:val="single" w:color="000000" w:sz="4" w:space="0"/>
            </w:tcBorders>
            <w:vAlign w:val="center"/>
          </w:tcPr>
          <w:p w14:paraId="5711B24E">
            <w:pPr>
              <w:pStyle w:val="28"/>
              <w:bidi w:val="0"/>
            </w:pPr>
            <w:r>
              <w:t>2789</w:t>
            </w:r>
          </w:p>
        </w:tc>
      </w:tr>
      <w:tr w14:paraId="7F6F6C1C">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2DCB43CA">
            <w:pPr>
              <w:pStyle w:val="28"/>
              <w:bidi w:val="0"/>
            </w:pPr>
            <w:r>
              <w:t>23</w:t>
            </w:r>
          </w:p>
        </w:tc>
        <w:tc>
          <w:tcPr>
            <w:tcW w:w="1840" w:type="pct"/>
            <w:tcBorders>
              <w:top w:val="single" w:color="000000" w:sz="4" w:space="0"/>
              <w:left w:val="single" w:color="000000" w:sz="4" w:space="0"/>
              <w:bottom w:val="single" w:color="000000" w:sz="4" w:space="0"/>
              <w:right w:val="single" w:color="000000" w:sz="4" w:space="0"/>
            </w:tcBorders>
            <w:vAlign w:val="center"/>
          </w:tcPr>
          <w:p w14:paraId="40A2E877">
            <w:pPr>
              <w:pStyle w:val="28"/>
              <w:bidi w:val="0"/>
            </w:pPr>
            <w:r>
              <w:t>沣东干渠（37+700～53+000）续建配套与现代化改造工程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3317BF01">
            <w:pPr>
              <w:pStyle w:val="28"/>
              <w:bidi w:val="0"/>
            </w:pPr>
            <w:r>
              <w:t>572</w:t>
            </w:r>
          </w:p>
        </w:tc>
        <w:tc>
          <w:tcPr>
            <w:tcW w:w="414" w:type="pct"/>
            <w:tcBorders>
              <w:top w:val="single" w:color="000000" w:sz="4" w:space="0"/>
              <w:left w:val="single" w:color="000000" w:sz="4" w:space="0"/>
              <w:bottom w:val="single" w:color="000000" w:sz="4" w:space="0"/>
              <w:right w:val="single" w:color="000000" w:sz="4" w:space="0"/>
            </w:tcBorders>
            <w:vAlign w:val="center"/>
          </w:tcPr>
          <w:p w14:paraId="3ABBAD3C">
            <w:pPr>
              <w:pStyle w:val="28"/>
              <w:bidi w:val="0"/>
            </w:pPr>
            <w:r>
              <w:t>173</w:t>
            </w:r>
          </w:p>
        </w:tc>
        <w:tc>
          <w:tcPr>
            <w:tcW w:w="414" w:type="pct"/>
            <w:tcBorders>
              <w:top w:val="single" w:color="000000" w:sz="4" w:space="0"/>
              <w:left w:val="single" w:color="000000" w:sz="4" w:space="0"/>
              <w:bottom w:val="single" w:color="000000" w:sz="4" w:space="0"/>
              <w:right w:val="single" w:color="000000" w:sz="4" w:space="0"/>
            </w:tcBorders>
            <w:vAlign w:val="center"/>
          </w:tcPr>
          <w:p w14:paraId="63C34746">
            <w:pPr>
              <w:pStyle w:val="28"/>
              <w:bidi w:val="0"/>
            </w:pPr>
            <w:r>
              <w:t>8</w:t>
            </w:r>
          </w:p>
        </w:tc>
        <w:tc>
          <w:tcPr>
            <w:tcW w:w="339" w:type="pct"/>
            <w:tcBorders>
              <w:top w:val="single" w:color="000000" w:sz="4" w:space="0"/>
              <w:left w:val="single" w:color="000000" w:sz="4" w:space="0"/>
              <w:bottom w:val="single" w:color="000000" w:sz="4" w:space="0"/>
              <w:right w:val="single" w:color="000000" w:sz="4" w:space="0"/>
            </w:tcBorders>
            <w:vAlign w:val="center"/>
          </w:tcPr>
          <w:p w14:paraId="0ED07487">
            <w:pPr>
              <w:pStyle w:val="28"/>
              <w:bidi w:val="0"/>
            </w:pPr>
            <w:r>
              <w:t>187</w:t>
            </w:r>
          </w:p>
        </w:tc>
        <w:tc>
          <w:tcPr>
            <w:tcW w:w="407" w:type="pct"/>
            <w:tcBorders>
              <w:top w:val="single" w:color="000000" w:sz="4" w:space="0"/>
              <w:left w:val="single" w:color="000000" w:sz="4" w:space="0"/>
              <w:bottom w:val="single" w:color="000000" w:sz="4" w:space="0"/>
              <w:right w:val="single" w:color="000000" w:sz="4" w:space="0"/>
            </w:tcBorders>
            <w:vAlign w:val="center"/>
          </w:tcPr>
          <w:p w14:paraId="74BB4037">
            <w:pPr>
              <w:pStyle w:val="28"/>
              <w:bidi w:val="0"/>
            </w:pPr>
            <w:r>
              <w:t>—</w:t>
            </w:r>
          </w:p>
        </w:tc>
        <w:tc>
          <w:tcPr>
            <w:tcW w:w="364" w:type="pct"/>
            <w:tcBorders>
              <w:top w:val="single" w:color="000000" w:sz="4" w:space="0"/>
              <w:left w:val="single" w:color="000000" w:sz="4" w:space="0"/>
              <w:bottom w:val="single" w:color="000000" w:sz="4" w:space="0"/>
              <w:right w:val="single" w:color="000000" w:sz="4" w:space="0"/>
            </w:tcBorders>
            <w:vAlign w:val="center"/>
          </w:tcPr>
          <w:p w14:paraId="5BBA690B">
            <w:pPr>
              <w:pStyle w:val="28"/>
              <w:bidi w:val="0"/>
            </w:pPr>
            <w:r>
              <w:t>11098</w:t>
            </w:r>
          </w:p>
        </w:tc>
        <w:tc>
          <w:tcPr>
            <w:tcW w:w="393" w:type="pct"/>
            <w:tcBorders>
              <w:top w:val="single" w:color="000000" w:sz="4" w:space="0"/>
              <w:left w:val="single" w:color="000000" w:sz="4" w:space="0"/>
              <w:bottom w:val="single" w:color="000000" w:sz="4" w:space="0"/>
              <w:right w:val="single" w:color="000000" w:sz="4" w:space="0"/>
            </w:tcBorders>
            <w:vAlign w:val="center"/>
          </w:tcPr>
          <w:p w14:paraId="4AED7DB9">
            <w:pPr>
              <w:pStyle w:val="28"/>
              <w:bidi w:val="0"/>
            </w:pPr>
            <w:r>
              <w:t>152</w:t>
            </w:r>
          </w:p>
        </w:tc>
      </w:tr>
      <w:tr w14:paraId="43C87B8F">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7E566810">
            <w:pPr>
              <w:pStyle w:val="28"/>
              <w:bidi w:val="0"/>
            </w:pPr>
            <w:r>
              <w:t>24</w:t>
            </w:r>
          </w:p>
        </w:tc>
        <w:tc>
          <w:tcPr>
            <w:tcW w:w="1840" w:type="pct"/>
            <w:tcBorders>
              <w:top w:val="single" w:color="000000" w:sz="4" w:space="0"/>
              <w:left w:val="single" w:color="000000" w:sz="4" w:space="0"/>
              <w:bottom w:val="single" w:color="000000" w:sz="4" w:space="0"/>
              <w:right w:val="single" w:color="000000" w:sz="4" w:space="0"/>
            </w:tcBorders>
            <w:vAlign w:val="center"/>
          </w:tcPr>
          <w:p w14:paraId="7012145B">
            <w:pPr>
              <w:pStyle w:val="28"/>
              <w:bidi w:val="0"/>
            </w:pPr>
            <w:r>
              <w:t>沣西干渠30+000～107+000续建配套与现代化改造工程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6722EE85">
            <w:pPr>
              <w:pStyle w:val="28"/>
              <w:bidi w:val="0"/>
            </w:pPr>
            <w:r>
              <w:t>2159</w:t>
            </w:r>
          </w:p>
        </w:tc>
        <w:tc>
          <w:tcPr>
            <w:tcW w:w="414" w:type="pct"/>
            <w:tcBorders>
              <w:top w:val="single" w:color="000000" w:sz="4" w:space="0"/>
              <w:left w:val="single" w:color="000000" w:sz="4" w:space="0"/>
              <w:bottom w:val="single" w:color="000000" w:sz="4" w:space="0"/>
              <w:right w:val="single" w:color="000000" w:sz="4" w:space="0"/>
            </w:tcBorders>
            <w:vAlign w:val="center"/>
          </w:tcPr>
          <w:p w14:paraId="18CE4505">
            <w:pPr>
              <w:pStyle w:val="28"/>
              <w:bidi w:val="0"/>
            </w:pPr>
            <w:r>
              <w:t>262</w:t>
            </w:r>
          </w:p>
        </w:tc>
        <w:tc>
          <w:tcPr>
            <w:tcW w:w="414" w:type="pct"/>
            <w:tcBorders>
              <w:top w:val="single" w:color="000000" w:sz="4" w:space="0"/>
              <w:left w:val="single" w:color="000000" w:sz="4" w:space="0"/>
              <w:bottom w:val="single" w:color="000000" w:sz="4" w:space="0"/>
              <w:right w:val="single" w:color="000000" w:sz="4" w:space="0"/>
            </w:tcBorders>
            <w:vAlign w:val="center"/>
          </w:tcPr>
          <w:p w14:paraId="3C30D0A4">
            <w:pPr>
              <w:pStyle w:val="28"/>
              <w:bidi w:val="0"/>
            </w:pPr>
            <w:r>
              <w:t>43</w:t>
            </w:r>
          </w:p>
        </w:tc>
        <w:tc>
          <w:tcPr>
            <w:tcW w:w="339" w:type="pct"/>
            <w:tcBorders>
              <w:top w:val="single" w:color="000000" w:sz="4" w:space="0"/>
              <w:left w:val="single" w:color="000000" w:sz="4" w:space="0"/>
              <w:bottom w:val="single" w:color="000000" w:sz="4" w:space="0"/>
              <w:right w:val="single" w:color="000000" w:sz="4" w:space="0"/>
            </w:tcBorders>
            <w:vAlign w:val="center"/>
          </w:tcPr>
          <w:p w14:paraId="3A059C60">
            <w:pPr>
              <w:pStyle w:val="28"/>
              <w:bidi w:val="0"/>
            </w:pPr>
            <w:r>
              <w:t>1659</w:t>
            </w:r>
          </w:p>
        </w:tc>
        <w:tc>
          <w:tcPr>
            <w:tcW w:w="407" w:type="pct"/>
            <w:tcBorders>
              <w:top w:val="single" w:color="000000" w:sz="4" w:space="0"/>
              <w:left w:val="single" w:color="000000" w:sz="4" w:space="0"/>
              <w:bottom w:val="single" w:color="000000" w:sz="4" w:space="0"/>
              <w:right w:val="single" w:color="000000" w:sz="4" w:space="0"/>
            </w:tcBorders>
            <w:vAlign w:val="center"/>
          </w:tcPr>
          <w:p w14:paraId="1D7E383B">
            <w:pPr>
              <w:pStyle w:val="28"/>
              <w:bidi w:val="0"/>
            </w:pPr>
            <w:r>
              <w:t>7</w:t>
            </w:r>
          </w:p>
        </w:tc>
        <w:tc>
          <w:tcPr>
            <w:tcW w:w="364" w:type="pct"/>
            <w:tcBorders>
              <w:top w:val="single" w:color="000000" w:sz="4" w:space="0"/>
              <w:left w:val="single" w:color="000000" w:sz="4" w:space="0"/>
              <w:bottom w:val="single" w:color="000000" w:sz="4" w:space="0"/>
              <w:right w:val="single" w:color="000000" w:sz="4" w:space="0"/>
            </w:tcBorders>
            <w:vAlign w:val="center"/>
          </w:tcPr>
          <w:p w14:paraId="52F48509">
            <w:pPr>
              <w:pStyle w:val="28"/>
              <w:bidi w:val="0"/>
            </w:pPr>
            <w:r>
              <w:t>50788</w:t>
            </w:r>
          </w:p>
        </w:tc>
        <w:tc>
          <w:tcPr>
            <w:tcW w:w="393" w:type="pct"/>
            <w:tcBorders>
              <w:top w:val="single" w:color="000000" w:sz="4" w:space="0"/>
              <w:left w:val="single" w:color="000000" w:sz="4" w:space="0"/>
              <w:bottom w:val="single" w:color="000000" w:sz="4" w:space="0"/>
              <w:right w:val="single" w:color="000000" w:sz="4" w:space="0"/>
            </w:tcBorders>
            <w:vAlign w:val="center"/>
          </w:tcPr>
          <w:p w14:paraId="239202B1">
            <w:pPr>
              <w:pStyle w:val="28"/>
              <w:bidi w:val="0"/>
            </w:pPr>
            <w:r>
              <w:t>681</w:t>
            </w:r>
          </w:p>
        </w:tc>
      </w:tr>
      <w:tr w14:paraId="1294BA54">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05A97B8E">
            <w:pPr>
              <w:pStyle w:val="28"/>
              <w:bidi w:val="0"/>
            </w:pPr>
            <w:r>
              <w:t>25</w:t>
            </w:r>
          </w:p>
        </w:tc>
        <w:tc>
          <w:tcPr>
            <w:tcW w:w="1840" w:type="pct"/>
            <w:tcBorders>
              <w:top w:val="single" w:color="000000" w:sz="4" w:space="0"/>
              <w:left w:val="single" w:color="000000" w:sz="4" w:space="0"/>
              <w:bottom w:val="single" w:color="000000" w:sz="4" w:space="0"/>
              <w:right w:val="single" w:color="000000" w:sz="4" w:space="0"/>
            </w:tcBorders>
            <w:vAlign w:val="center"/>
          </w:tcPr>
          <w:p w14:paraId="61C6E622">
            <w:pPr>
              <w:pStyle w:val="28"/>
              <w:bidi w:val="0"/>
            </w:pPr>
            <w:r>
              <w:t>汲东干渠姚李支渠0+000～17+700续建配套与现代化改造工程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01BE8153">
            <w:pPr>
              <w:pStyle w:val="28"/>
              <w:bidi w:val="0"/>
            </w:pPr>
            <w:r>
              <w:t>47</w:t>
            </w:r>
          </w:p>
        </w:tc>
        <w:tc>
          <w:tcPr>
            <w:tcW w:w="414" w:type="pct"/>
            <w:tcBorders>
              <w:top w:val="single" w:color="000000" w:sz="4" w:space="0"/>
              <w:left w:val="single" w:color="000000" w:sz="4" w:space="0"/>
              <w:bottom w:val="single" w:color="000000" w:sz="4" w:space="0"/>
              <w:right w:val="single" w:color="000000" w:sz="4" w:space="0"/>
            </w:tcBorders>
            <w:vAlign w:val="center"/>
          </w:tcPr>
          <w:p w14:paraId="08971DCC">
            <w:pPr>
              <w:pStyle w:val="28"/>
              <w:bidi w:val="0"/>
            </w:pPr>
            <w:r>
              <w:t>226</w:t>
            </w:r>
          </w:p>
        </w:tc>
        <w:tc>
          <w:tcPr>
            <w:tcW w:w="414" w:type="pct"/>
            <w:tcBorders>
              <w:top w:val="single" w:color="000000" w:sz="4" w:space="0"/>
              <w:left w:val="single" w:color="000000" w:sz="4" w:space="0"/>
              <w:bottom w:val="single" w:color="000000" w:sz="4" w:space="0"/>
              <w:right w:val="single" w:color="000000" w:sz="4" w:space="0"/>
            </w:tcBorders>
            <w:vAlign w:val="center"/>
          </w:tcPr>
          <w:p w14:paraId="2EED52BE">
            <w:pPr>
              <w:pStyle w:val="28"/>
              <w:bidi w:val="0"/>
            </w:pPr>
            <w:r>
              <w:t>22</w:t>
            </w:r>
          </w:p>
        </w:tc>
        <w:tc>
          <w:tcPr>
            <w:tcW w:w="339" w:type="pct"/>
            <w:tcBorders>
              <w:top w:val="single" w:color="000000" w:sz="4" w:space="0"/>
              <w:left w:val="single" w:color="000000" w:sz="4" w:space="0"/>
              <w:bottom w:val="single" w:color="000000" w:sz="4" w:space="0"/>
              <w:right w:val="single" w:color="000000" w:sz="4" w:space="0"/>
            </w:tcBorders>
            <w:vAlign w:val="center"/>
          </w:tcPr>
          <w:p w14:paraId="50F5523C">
            <w:pPr>
              <w:pStyle w:val="28"/>
              <w:bidi w:val="0"/>
            </w:pPr>
            <w:r>
              <w:t>224</w:t>
            </w:r>
          </w:p>
        </w:tc>
        <w:tc>
          <w:tcPr>
            <w:tcW w:w="407" w:type="pct"/>
            <w:tcBorders>
              <w:top w:val="single" w:color="000000" w:sz="4" w:space="0"/>
              <w:left w:val="single" w:color="000000" w:sz="4" w:space="0"/>
              <w:bottom w:val="single" w:color="000000" w:sz="4" w:space="0"/>
              <w:right w:val="single" w:color="000000" w:sz="4" w:space="0"/>
            </w:tcBorders>
            <w:vAlign w:val="center"/>
          </w:tcPr>
          <w:p w14:paraId="56CCC671">
            <w:pPr>
              <w:pStyle w:val="28"/>
              <w:bidi w:val="0"/>
            </w:pPr>
            <w:r>
              <w:t>79</w:t>
            </w:r>
          </w:p>
        </w:tc>
        <w:tc>
          <w:tcPr>
            <w:tcW w:w="364" w:type="pct"/>
            <w:tcBorders>
              <w:top w:val="single" w:color="000000" w:sz="4" w:space="0"/>
              <w:left w:val="single" w:color="000000" w:sz="4" w:space="0"/>
              <w:bottom w:val="single" w:color="000000" w:sz="4" w:space="0"/>
              <w:right w:val="single" w:color="000000" w:sz="4" w:space="0"/>
            </w:tcBorders>
            <w:vAlign w:val="center"/>
          </w:tcPr>
          <w:p w14:paraId="4CFCBE82">
            <w:pPr>
              <w:pStyle w:val="28"/>
              <w:bidi w:val="0"/>
            </w:pPr>
            <w:r>
              <w:t>2879</w:t>
            </w:r>
          </w:p>
        </w:tc>
        <w:tc>
          <w:tcPr>
            <w:tcW w:w="393" w:type="pct"/>
            <w:tcBorders>
              <w:top w:val="single" w:color="000000" w:sz="4" w:space="0"/>
              <w:left w:val="single" w:color="000000" w:sz="4" w:space="0"/>
              <w:bottom w:val="single" w:color="000000" w:sz="4" w:space="0"/>
              <w:right w:val="single" w:color="000000" w:sz="4" w:space="0"/>
            </w:tcBorders>
            <w:vAlign w:val="center"/>
          </w:tcPr>
          <w:p w14:paraId="780561DE">
            <w:pPr>
              <w:pStyle w:val="28"/>
              <w:bidi w:val="0"/>
            </w:pPr>
            <w:r>
              <w:t>25</w:t>
            </w:r>
          </w:p>
        </w:tc>
      </w:tr>
      <w:tr w14:paraId="14D46F5A">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71BF1D68">
            <w:pPr>
              <w:pStyle w:val="28"/>
              <w:bidi w:val="0"/>
            </w:pPr>
            <w:r>
              <w:t>26</w:t>
            </w:r>
          </w:p>
        </w:tc>
        <w:tc>
          <w:tcPr>
            <w:tcW w:w="1840" w:type="pct"/>
            <w:tcBorders>
              <w:top w:val="single" w:color="000000" w:sz="4" w:space="0"/>
              <w:left w:val="single" w:color="000000" w:sz="4" w:space="0"/>
              <w:bottom w:val="single" w:color="000000" w:sz="4" w:space="0"/>
              <w:right w:val="single" w:color="000000" w:sz="4" w:space="0"/>
            </w:tcBorders>
            <w:vAlign w:val="center"/>
          </w:tcPr>
          <w:p w14:paraId="79996A50">
            <w:pPr>
              <w:pStyle w:val="28"/>
              <w:bidi w:val="0"/>
            </w:pPr>
            <w:r>
              <w:t>沣西干渠胜天支渠0+000～16+500续建配套与现代化改造工程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263DC259">
            <w:pPr>
              <w:pStyle w:val="28"/>
              <w:bidi w:val="0"/>
            </w:pPr>
            <w:r>
              <w:t>2307</w:t>
            </w:r>
          </w:p>
        </w:tc>
        <w:tc>
          <w:tcPr>
            <w:tcW w:w="414" w:type="pct"/>
            <w:tcBorders>
              <w:top w:val="single" w:color="000000" w:sz="4" w:space="0"/>
              <w:left w:val="single" w:color="000000" w:sz="4" w:space="0"/>
              <w:bottom w:val="single" w:color="000000" w:sz="4" w:space="0"/>
              <w:right w:val="single" w:color="000000" w:sz="4" w:space="0"/>
            </w:tcBorders>
            <w:vAlign w:val="center"/>
          </w:tcPr>
          <w:p w14:paraId="18AD68F2">
            <w:pPr>
              <w:pStyle w:val="28"/>
              <w:bidi w:val="0"/>
            </w:pPr>
            <w:r>
              <w:t>259</w:t>
            </w:r>
          </w:p>
        </w:tc>
        <w:tc>
          <w:tcPr>
            <w:tcW w:w="414" w:type="pct"/>
            <w:tcBorders>
              <w:top w:val="single" w:color="000000" w:sz="4" w:space="0"/>
              <w:left w:val="single" w:color="000000" w:sz="4" w:space="0"/>
              <w:bottom w:val="single" w:color="000000" w:sz="4" w:space="0"/>
              <w:right w:val="single" w:color="000000" w:sz="4" w:space="0"/>
            </w:tcBorders>
            <w:vAlign w:val="center"/>
          </w:tcPr>
          <w:p w14:paraId="789B2329">
            <w:pPr>
              <w:pStyle w:val="28"/>
              <w:bidi w:val="0"/>
            </w:pPr>
            <w:r>
              <w:t>26</w:t>
            </w:r>
          </w:p>
        </w:tc>
        <w:tc>
          <w:tcPr>
            <w:tcW w:w="339" w:type="pct"/>
            <w:tcBorders>
              <w:top w:val="single" w:color="000000" w:sz="4" w:space="0"/>
              <w:left w:val="single" w:color="000000" w:sz="4" w:space="0"/>
              <w:bottom w:val="single" w:color="000000" w:sz="4" w:space="0"/>
              <w:right w:val="single" w:color="000000" w:sz="4" w:space="0"/>
            </w:tcBorders>
            <w:vAlign w:val="center"/>
          </w:tcPr>
          <w:p w14:paraId="4857C584">
            <w:pPr>
              <w:pStyle w:val="28"/>
              <w:bidi w:val="0"/>
            </w:pPr>
            <w:r>
              <w:t>193</w:t>
            </w:r>
          </w:p>
        </w:tc>
        <w:tc>
          <w:tcPr>
            <w:tcW w:w="407" w:type="pct"/>
            <w:tcBorders>
              <w:top w:val="single" w:color="000000" w:sz="4" w:space="0"/>
              <w:left w:val="single" w:color="000000" w:sz="4" w:space="0"/>
              <w:bottom w:val="single" w:color="000000" w:sz="4" w:space="0"/>
              <w:right w:val="single" w:color="000000" w:sz="4" w:space="0"/>
            </w:tcBorders>
            <w:vAlign w:val="center"/>
          </w:tcPr>
          <w:p w14:paraId="45202652">
            <w:pPr>
              <w:pStyle w:val="28"/>
              <w:bidi w:val="0"/>
            </w:pPr>
            <w:r>
              <w:t>143</w:t>
            </w:r>
          </w:p>
        </w:tc>
        <w:tc>
          <w:tcPr>
            <w:tcW w:w="364" w:type="pct"/>
            <w:tcBorders>
              <w:top w:val="single" w:color="000000" w:sz="4" w:space="0"/>
              <w:left w:val="single" w:color="000000" w:sz="4" w:space="0"/>
              <w:bottom w:val="single" w:color="000000" w:sz="4" w:space="0"/>
              <w:right w:val="single" w:color="000000" w:sz="4" w:space="0"/>
            </w:tcBorders>
            <w:vAlign w:val="center"/>
          </w:tcPr>
          <w:p w14:paraId="0F2D673C">
            <w:pPr>
              <w:pStyle w:val="28"/>
              <w:bidi w:val="0"/>
            </w:pPr>
            <w:r>
              <w:t>4824</w:t>
            </w:r>
          </w:p>
        </w:tc>
        <w:tc>
          <w:tcPr>
            <w:tcW w:w="393" w:type="pct"/>
            <w:tcBorders>
              <w:top w:val="single" w:color="000000" w:sz="4" w:space="0"/>
              <w:left w:val="single" w:color="000000" w:sz="4" w:space="0"/>
              <w:bottom w:val="single" w:color="000000" w:sz="4" w:space="0"/>
              <w:right w:val="single" w:color="000000" w:sz="4" w:space="0"/>
            </w:tcBorders>
            <w:vAlign w:val="center"/>
          </w:tcPr>
          <w:p w14:paraId="291D6B2F">
            <w:pPr>
              <w:pStyle w:val="28"/>
              <w:bidi w:val="0"/>
            </w:pPr>
            <w:r>
              <w:t>78</w:t>
            </w:r>
          </w:p>
        </w:tc>
      </w:tr>
      <w:tr w14:paraId="725E0B4D">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6C6E8432">
            <w:pPr>
              <w:pStyle w:val="28"/>
              <w:bidi w:val="0"/>
            </w:pPr>
            <w:r>
              <w:t>27</w:t>
            </w:r>
          </w:p>
        </w:tc>
        <w:tc>
          <w:tcPr>
            <w:tcW w:w="1840" w:type="pct"/>
            <w:tcBorders>
              <w:top w:val="single" w:color="000000" w:sz="4" w:space="0"/>
              <w:left w:val="single" w:color="000000" w:sz="4" w:space="0"/>
              <w:bottom w:val="single" w:color="000000" w:sz="4" w:space="0"/>
              <w:right w:val="single" w:color="000000" w:sz="4" w:space="0"/>
            </w:tcBorders>
            <w:vAlign w:val="center"/>
          </w:tcPr>
          <w:p w14:paraId="642A0C30">
            <w:pPr>
              <w:pStyle w:val="28"/>
              <w:bidi w:val="0"/>
            </w:pPr>
            <w:r>
              <w:t>乌斗支渠0+000～27+500续建配套与现代化改造工程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32AE142C">
            <w:pPr>
              <w:pStyle w:val="28"/>
              <w:bidi w:val="0"/>
            </w:pPr>
            <w:r>
              <w:t>58</w:t>
            </w:r>
          </w:p>
        </w:tc>
        <w:tc>
          <w:tcPr>
            <w:tcW w:w="414" w:type="pct"/>
            <w:tcBorders>
              <w:top w:val="single" w:color="000000" w:sz="4" w:space="0"/>
              <w:left w:val="single" w:color="000000" w:sz="4" w:space="0"/>
              <w:bottom w:val="single" w:color="000000" w:sz="4" w:space="0"/>
              <w:right w:val="single" w:color="000000" w:sz="4" w:space="0"/>
            </w:tcBorders>
            <w:vAlign w:val="center"/>
          </w:tcPr>
          <w:p w14:paraId="79D5F2D0">
            <w:pPr>
              <w:pStyle w:val="28"/>
              <w:bidi w:val="0"/>
            </w:pPr>
            <w:r>
              <w:t>184</w:t>
            </w:r>
          </w:p>
        </w:tc>
        <w:tc>
          <w:tcPr>
            <w:tcW w:w="414" w:type="pct"/>
            <w:tcBorders>
              <w:top w:val="single" w:color="000000" w:sz="4" w:space="0"/>
              <w:left w:val="single" w:color="000000" w:sz="4" w:space="0"/>
              <w:bottom w:val="single" w:color="000000" w:sz="4" w:space="0"/>
              <w:right w:val="single" w:color="000000" w:sz="4" w:space="0"/>
            </w:tcBorders>
            <w:vAlign w:val="center"/>
          </w:tcPr>
          <w:p w14:paraId="62721EE9">
            <w:pPr>
              <w:pStyle w:val="28"/>
              <w:bidi w:val="0"/>
            </w:pPr>
            <w:r>
              <w:t>38</w:t>
            </w:r>
          </w:p>
        </w:tc>
        <w:tc>
          <w:tcPr>
            <w:tcW w:w="339" w:type="pct"/>
            <w:tcBorders>
              <w:top w:val="single" w:color="000000" w:sz="4" w:space="0"/>
              <w:left w:val="single" w:color="000000" w:sz="4" w:space="0"/>
              <w:bottom w:val="single" w:color="000000" w:sz="4" w:space="0"/>
              <w:right w:val="single" w:color="000000" w:sz="4" w:space="0"/>
            </w:tcBorders>
            <w:vAlign w:val="center"/>
          </w:tcPr>
          <w:p w14:paraId="2B5726C3">
            <w:pPr>
              <w:pStyle w:val="28"/>
              <w:bidi w:val="0"/>
            </w:pPr>
            <w:r>
              <w:t>214</w:t>
            </w:r>
          </w:p>
        </w:tc>
        <w:tc>
          <w:tcPr>
            <w:tcW w:w="407" w:type="pct"/>
            <w:tcBorders>
              <w:top w:val="single" w:color="000000" w:sz="4" w:space="0"/>
              <w:left w:val="single" w:color="000000" w:sz="4" w:space="0"/>
              <w:bottom w:val="single" w:color="000000" w:sz="4" w:space="0"/>
              <w:right w:val="single" w:color="000000" w:sz="4" w:space="0"/>
            </w:tcBorders>
            <w:vAlign w:val="center"/>
          </w:tcPr>
          <w:p w14:paraId="59293188">
            <w:pPr>
              <w:pStyle w:val="28"/>
              <w:bidi w:val="0"/>
            </w:pPr>
            <w:r>
              <w:t>51</w:t>
            </w:r>
          </w:p>
        </w:tc>
        <w:tc>
          <w:tcPr>
            <w:tcW w:w="364" w:type="pct"/>
            <w:tcBorders>
              <w:top w:val="single" w:color="000000" w:sz="4" w:space="0"/>
              <w:left w:val="single" w:color="000000" w:sz="4" w:space="0"/>
              <w:bottom w:val="single" w:color="000000" w:sz="4" w:space="0"/>
              <w:right w:val="single" w:color="000000" w:sz="4" w:space="0"/>
            </w:tcBorders>
            <w:vAlign w:val="center"/>
          </w:tcPr>
          <w:p w14:paraId="4A6A7FC8">
            <w:pPr>
              <w:pStyle w:val="28"/>
              <w:bidi w:val="0"/>
            </w:pPr>
            <w:r>
              <w:t>7677</w:t>
            </w:r>
          </w:p>
        </w:tc>
        <w:tc>
          <w:tcPr>
            <w:tcW w:w="393" w:type="pct"/>
            <w:tcBorders>
              <w:top w:val="single" w:color="000000" w:sz="4" w:space="0"/>
              <w:left w:val="single" w:color="000000" w:sz="4" w:space="0"/>
              <w:bottom w:val="single" w:color="000000" w:sz="4" w:space="0"/>
              <w:right w:val="single" w:color="000000" w:sz="4" w:space="0"/>
            </w:tcBorders>
            <w:vAlign w:val="center"/>
          </w:tcPr>
          <w:p w14:paraId="234D462C">
            <w:pPr>
              <w:pStyle w:val="28"/>
              <w:bidi w:val="0"/>
            </w:pPr>
            <w:r>
              <w:t>37</w:t>
            </w:r>
          </w:p>
        </w:tc>
      </w:tr>
      <w:tr w14:paraId="5AD67E0C">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2D4976CF">
            <w:pPr>
              <w:pStyle w:val="28"/>
              <w:bidi w:val="0"/>
            </w:pPr>
            <w:r>
              <w:t>28</w:t>
            </w:r>
          </w:p>
        </w:tc>
        <w:tc>
          <w:tcPr>
            <w:tcW w:w="1840" w:type="pct"/>
            <w:tcBorders>
              <w:top w:val="single" w:color="000000" w:sz="4" w:space="0"/>
              <w:left w:val="single" w:color="000000" w:sz="4" w:space="0"/>
              <w:bottom w:val="single" w:color="000000" w:sz="4" w:space="0"/>
              <w:right w:val="single" w:color="000000" w:sz="4" w:space="0"/>
            </w:tcBorders>
            <w:vAlign w:val="center"/>
          </w:tcPr>
          <w:p w14:paraId="5C31EB64">
            <w:pPr>
              <w:pStyle w:val="28"/>
              <w:bidi w:val="0"/>
            </w:pPr>
            <w:r>
              <w:t>舒庐干渠庐江段汤池泄洪闸等七座水闸现代化改造工程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22E02089">
            <w:pPr>
              <w:pStyle w:val="28"/>
              <w:bidi w:val="0"/>
            </w:pPr>
            <w:r>
              <w:t>134</w:t>
            </w:r>
          </w:p>
        </w:tc>
        <w:tc>
          <w:tcPr>
            <w:tcW w:w="414" w:type="pct"/>
            <w:tcBorders>
              <w:top w:val="single" w:color="000000" w:sz="4" w:space="0"/>
              <w:left w:val="single" w:color="000000" w:sz="4" w:space="0"/>
              <w:bottom w:val="single" w:color="000000" w:sz="4" w:space="0"/>
              <w:right w:val="single" w:color="000000" w:sz="4" w:space="0"/>
            </w:tcBorders>
            <w:vAlign w:val="center"/>
          </w:tcPr>
          <w:p w14:paraId="63F3A71C">
            <w:pPr>
              <w:pStyle w:val="28"/>
              <w:bidi w:val="0"/>
            </w:pPr>
            <w:r>
              <w:t>1021</w:t>
            </w:r>
          </w:p>
        </w:tc>
        <w:tc>
          <w:tcPr>
            <w:tcW w:w="414" w:type="pct"/>
            <w:tcBorders>
              <w:top w:val="single" w:color="000000" w:sz="4" w:space="0"/>
              <w:left w:val="single" w:color="000000" w:sz="4" w:space="0"/>
              <w:bottom w:val="single" w:color="000000" w:sz="4" w:space="0"/>
              <w:right w:val="single" w:color="000000" w:sz="4" w:space="0"/>
            </w:tcBorders>
            <w:vAlign w:val="center"/>
          </w:tcPr>
          <w:p w14:paraId="429A0A6D">
            <w:pPr>
              <w:pStyle w:val="28"/>
              <w:bidi w:val="0"/>
            </w:pPr>
            <w:r>
              <w:t>21</w:t>
            </w:r>
          </w:p>
        </w:tc>
        <w:tc>
          <w:tcPr>
            <w:tcW w:w="339" w:type="pct"/>
            <w:tcBorders>
              <w:top w:val="single" w:color="000000" w:sz="4" w:space="0"/>
              <w:left w:val="single" w:color="000000" w:sz="4" w:space="0"/>
              <w:bottom w:val="single" w:color="000000" w:sz="4" w:space="0"/>
              <w:right w:val="single" w:color="000000" w:sz="4" w:space="0"/>
            </w:tcBorders>
            <w:vAlign w:val="center"/>
          </w:tcPr>
          <w:p w14:paraId="015D3018">
            <w:pPr>
              <w:pStyle w:val="28"/>
              <w:bidi w:val="0"/>
            </w:pPr>
            <w:r>
              <w:t>80</w:t>
            </w:r>
          </w:p>
        </w:tc>
        <w:tc>
          <w:tcPr>
            <w:tcW w:w="407" w:type="pct"/>
            <w:tcBorders>
              <w:top w:val="single" w:color="000000" w:sz="4" w:space="0"/>
              <w:left w:val="single" w:color="000000" w:sz="4" w:space="0"/>
              <w:bottom w:val="single" w:color="000000" w:sz="4" w:space="0"/>
              <w:right w:val="single" w:color="000000" w:sz="4" w:space="0"/>
            </w:tcBorders>
            <w:vAlign w:val="center"/>
          </w:tcPr>
          <w:p w14:paraId="5AAD42CD">
            <w:pPr>
              <w:pStyle w:val="28"/>
              <w:bidi w:val="0"/>
            </w:pPr>
            <w:r>
              <w:t>1727</w:t>
            </w:r>
          </w:p>
        </w:tc>
        <w:tc>
          <w:tcPr>
            <w:tcW w:w="364" w:type="pct"/>
            <w:tcBorders>
              <w:top w:val="single" w:color="000000" w:sz="4" w:space="0"/>
              <w:left w:val="single" w:color="000000" w:sz="4" w:space="0"/>
              <w:bottom w:val="single" w:color="000000" w:sz="4" w:space="0"/>
              <w:right w:val="single" w:color="000000" w:sz="4" w:space="0"/>
            </w:tcBorders>
            <w:vAlign w:val="center"/>
          </w:tcPr>
          <w:p w14:paraId="79D5DED6">
            <w:pPr>
              <w:pStyle w:val="28"/>
              <w:bidi w:val="0"/>
            </w:pPr>
            <w:r>
              <w:t>2068</w:t>
            </w:r>
          </w:p>
        </w:tc>
        <w:tc>
          <w:tcPr>
            <w:tcW w:w="393" w:type="pct"/>
            <w:tcBorders>
              <w:top w:val="single" w:color="000000" w:sz="4" w:space="0"/>
              <w:left w:val="single" w:color="000000" w:sz="4" w:space="0"/>
              <w:bottom w:val="single" w:color="000000" w:sz="4" w:space="0"/>
              <w:right w:val="single" w:color="000000" w:sz="4" w:space="0"/>
            </w:tcBorders>
            <w:vAlign w:val="center"/>
          </w:tcPr>
          <w:p w14:paraId="43D33AFF">
            <w:pPr>
              <w:pStyle w:val="28"/>
              <w:bidi w:val="0"/>
            </w:pPr>
            <w:r>
              <w:t>389</w:t>
            </w:r>
          </w:p>
        </w:tc>
      </w:tr>
      <w:tr w14:paraId="17017F15">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6CBE9E5C">
            <w:pPr>
              <w:pStyle w:val="28"/>
              <w:bidi w:val="0"/>
            </w:pPr>
            <w:r>
              <w:t>29</w:t>
            </w:r>
          </w:p>
        </w:tc>
        <w:tc>
          <w:tcPr>
            <w:tcW w:w="1840" w:type="pct"/>
            <w:tcBorders>
              <w:top w:val="single" w:color="000000" w:sz="4" w:space="0"/>
              <w:left w:val="single" w:color="000000" w:sz="4" w:space="0"/>
              <w:bottom w:val="single" w:color="000000" w:sz="4" w:space="0"/>
              <w:right w:val="single" w:color="000000" w:sz="4" w:space="0"/>
            </w:tcBorders>
            <w:vAlign w:val="center"/>
          </w:tcPr>
          <w:p w14:paraId="6E34666A">
            <w:pPr>
              <w:pStyle w:val="28"/>
              <w:bidi w:val="0"/>
            </w:pPr>
            <w:r>
              <w:t>杭北干渠25+430～34+580、49+500~68+890段续建配套与现代化改造工程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2D76D7EE">
            <w:pPr>
              <w:pStyle w:val="28"/>
              <w:bidi w:val="0"/>
            </w:pPr>
            <w:r>
              <w:t>1058</w:t>
            </w:r>
          </w:p>
        </w:tc>
        <w:tc>
          <w:tcPr>
            <w:tcW w:w="414" w:type="pct"/>
            <w:tcBorders>
              <w:top w:val="single" w:color="000000" w:sz="4" w:space="0"/>
              <w:left w:val="single" w:color="000000" w:sz="4" w:space="0"/>
              <w:bottom w:val="single" w:color="000000" w:sz="4" w:space="0"/>
              <w:right w:val="single" w:color="000000" w:sz="4" w:space="0"/>
            </w:tcBorders>
            <w:vAlign w:val="center"/>
          </w:tcPr>
          <w:p w14:paraId="308209EA">
            <w:pPr>
              <w:pStyle w:val="28"/>
              <w:bidi w:val="0"/>
            </w:pPr>
            <w:r>
              <w:t>413</w:t>
            </w:r>
          </w:p>
        </w:tc>
        <w:tc>
          <w:tcPr>
            <w:tcW w:w="414" w:type="pct"/>
            <w:tcBorders>
              <w:top w:val="single" w:color="000000" w:sz="4" w:space="0"/>
              <w:left w:val="single" w:color="000000" w:sz="4" w:space="0"/>
              <w:bottom w:val="single" w:color="000000" w:sz="4" w:space="0"/>
              <w:right w:val="single" w:color="000000" w:sz="4" w:space="0"/>
            </w:tcBorders>
            <w:vAlign w:val="center"/>
          </w:tcPr>
          <w:p w14:paraId="4CFCC67D">
            <w:pPr>
              <w:pStyle w:val="28"/>
              <w:bidi w:val="0"/>
            </w:pPr>
            <w:r>
              <w:t>21</w:t>
            </w:r>
          </w:p>
        </w:tc>
        <w:tc>
          <w:tcPr>
            <w:tcW w:w="339" w:type="pct"/>
            <w:tcBorders>
              <w:top w:val="single" w:color="000000" w:sz="4" w:space="0"/>
              <w:left w:val="single" w:color="000000" w:sz="4" w:space="0"/>
              <w:bottom w:val="single" w:color="000000" w:sz="4" w:space="0"/>
              <w:right w:val="single" w:color="000000" w:sz="4" w:space="0"/>
            </w:tcBorders>
            <w:vAlign w:val="center"/>
          </w:tcPr>
          <w:p w14:paraId="2FA2312C">
            <w:pPr>
              <w:pStyle w:val="28"/>
              <w:bidi w:val="0"/>
            </w:pPr>
            <w:r>
              <w:t>219</w:t>
            </w:r>
          </w:p>
        </w:tc>
        <w:tc>
          <w:tcPr>
            <w:tcW w:w="407" w:type="pct"/>
            <w:tcBorders>
              <w:top w:val="single" w:color="000000" w:sz="4" w:space="0"/>
              <w:left w:val="single" w:color="000000" w:sz="4" w:space="0"/>
              <w:bottom w:val="single" w:color="000000" w:sz="4" w:space="0"/>
              <w:right w:val="single" w:color="000000" w:sz="4" w:space="0"/>
            </w:tcBorders>
            <w:vAlign w:val="center"/>
          </w:tcPr>
          <w:p w14:paraId="20CB3DBD">
            <w:pPr>
              <w:pStyle w:val="28"/>
              <w:bidi w:val="0"/>
            </w:pPr>
            <w:r>
              <w:t>350</w:t>
            </w:r>
          </w:p>
        </w:tc>
        <w:tc>
          <w:tcPr>
            <w:tcW w:w="364" w:type="pct"/>
            <w:tcBorders>
              <w:top w:val="single" w:color="000000" w:sz="4" w:space="0"/>
              <w:left w:val="single" w:color="000000" w:sz="4" w:space="0"/>
              <w:bottom w:val="single" w:color="000000" w:sz="4" w:space="0"/>
              <w:right w:val="single" w:color="000000" w:sz="4" w:space="0"/>
            </w:tcBorders>
            <w:vAlign w:val="center"/>
          </w:tcPr>
          <w:p w14:paraId="28F2C322">
            <w:pPr>
              <w:pStyle w:val="28"/>
              <w:bidi w:val="0"/>
            </w:pPr>
            <w:r>
              <w:t>7055</w:t>
            </w:r>
          </w:p>
        </w:tc>
        <w:tc>
          <w:tcPr>
            <w:tcW w:w="393" w:type="pct"/>
            <w:tcBorders>
              <w:top w:val="single" w:color="000000" w:sz="4" w:space="0"/>
              <w:left w:val="single" w:color="000000" w:sz="4" w:space="0"/>
              <w:bottom w:val="single" w:color="000000" w:sz="4" w:space="0"/>
              <w:right w:val="single" w:color="000000" w:sz="4" w:space="0"/>
            </w:tcBorders>
            <w:vAlign w:val="center"/>
          </w:tcPr>
          <w:p w14:paraId="66916E80">
            <w:pPr>
              <w:pStyle w:val="28"/>
              <w:bidi w:val="0"/>
            </w:pPr>
            <w:r>
              <w:t>40</w:t>
            </w:r>
          </w:p>
        </w:tc>
      </w:tr>
      <w:tr w14:paraId="43CA5C2A">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03F93789">
            <w:pPr>
              <w:pStyle w:val="28"/>
              <w:bidi w:val="0"/>
            </w:pPr>
            <w:r>
              <w:t>30</w:t>
            </w:r>
          </w:p>
        </w:tc>
        <w:tc>
          <w:tcPr>
            <w:tcW w:w="1840" w:type="pct"/>
            <w:tcBorders>
              <w:top w:val="single" w:color="000000" w:sz="4" w:space="0"/>
              <w:left w:val="single" w:color="000000" w:sz="4" w:space="0"/>
              <w:bottom w:val="single" w:color="000000" w:sz="4" w:space="0"/>
              <w:right w:val="single" w:color="000000" w:sz="4" w:space="0"/>
            </w:tcBorders>
            <w:vAlign w:val="center"/>
          </w:tcPr>
          <w:p w14:paraId="6DB0D560">
            <w:pPr>
              <w:pStyle w:val="28"/>
              <w:bidi w:val="0"/>
            </w:pPr>
            <w:r>
              <w:t>庐南分干渠沙胜支渠0+000～24+000续建配套与现代化改造工程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13B5F188">
            <w:pPr>
              <w:pStyle w:val="28"/>
              <w:bidi w:val="0"/>
            </w:pPr>
            <w:r>
              <w:t>8088</w:t>
            </w:r>
          </w:p>
        </w:tc>
        <w:tc>
          <w:tcPr>
            <w:tcW w:w="414" w:type="pct"/>
            <w:tcBorders>
              <w:top w:val="single" w:color="000000" w:sz="4" w:space="0"/>
              <w:left w:val="single" w:color="000000" w:sz="4" w:space="0"/>
              <w:bottom w:val="single" w:color="000000" w:sz="4" w:space="0"/>
              <w:right w:val="single" w:color="000000" w:sz="4" w:space="0"/>
            </w:tcBorders>
            <w:vAlign w:val="center"/>
          </w:tcPr>
          <w:p w14:paraId="4524F669">
            <w:pPr>
              <w:pStyle w:val="28"/>
              <w:bidi w:val="0"/>
            </w:pPr>
            <w:r>
              <w:t>902</w:t>
            </w:r>
          </w:p>
        </w:tc>
        <w:tc>
          <w:tcPr>
            <w:tcW w:w="414" w:type="pct"/>
            <w:tcBorders>
              <w:top w:val="single" w:color="000000" w:sz="4" w:space="0"/>
              <w:left w:val="single" w:color="000000" w:sz="4" w:space="0"/>
              <w:bottom w:val="single" w:color="000000" w:sz="4" w:space="0"/>
              <w:right w:val="single" w:color="000000" w:sz="4" w:space="0"/>
            </w:tcBorders>
            <w:vAlign w:val="center"/>
          </w:tcPr>
          <w:p w14:paraId="69A3E8AF">
            <w:pPr>
              <w:pStyle w:val="28"/>
              <w:bidi w:val="0"/>
            </w:pPr>
            <w:r>
              <w:t>55</w:t>
            </w:r>
          </w:p>
        </w:tc>
        <w:tc>
          <w:tcPr>
            <w:tcW w:w="339" w:type="pct"/>
            <w:tcBorders>
              <w:top w:val="single" w:color="000000" w:sz="4" w:space="0"/>
              <w:left w:val="single" w:color="000000" w:sz="4" w:space="0"/>
              <w:bottom w:val="single" w:color="000000" w:sz="4" w:space="0"/>
              <w:right w:val="single" w:color="000000" w:sz="4" w:space="0"/>
            </w:tcBorders>
            <w:vAlign w:val="center"/>
          </w:tcPr>
          <w:p w14:paraId="3C43D24D">
            <w:pPr>
              <w:pStyle w:val="28"/>
              <w:bidi w:val="0"/>
            </w:pPr>
            <w:r>
              <w:t>164</w:t>
            </w:r>
          </w:p>
        </w:tc>
        <w:tc>
          <w:tcPr>
            <w:tcW w:w="407" w:type="pct"/>
            <w:tcBorders>
              <w:top w:val="single" w:color="000000" w:sz="4" w:space="0"/>
              <w:left w:val="single" w:color="000000" w:sz="4" w:space="0"/>
              <w:bottom w:val="single" w:color="000000" w:sz="4" w:space="0"/>
              <w:right w:val="single" w:color="000000" w:sz="4" w:space="0"/>
            </w:tcBorders>
            <w:vAlign w:val="center"/>
          </w:tcPr>
          <w:p w14:paraId="2535B3C6">
            <w:pPr>
              <w:pStyle w:val="28"/>
              <w:bidi w:val="0"/>
            </w:pPr>
            <w:r>
              <w:t>264</w:t>
            </w:r>
          </w:p>
        </w:tc>
        <w:tc>
          <w:tcPr>
            <w:tcW w:w="364" w:type="pct"/>
            <w:tcBorders>
              <w:top w:val="single" w:color="000000" w:sz="4" w:space="0"/>
              <w:left w:val="single" w:color="000000" w:sz="4" w:space="0"/>
              <w:bottom w:val="single" w:color="000000" w:sz="4" w:space="0"/>
              <w:right w:val="single" w:color="000000" w:sz="4" w:space="0"/>
            </w:tcBorders>
            <w:vAlign w:val="center"/>
          </w:tcPr>
          <w:p w14:paraId="45D8C7B7">
            <w:pPr>
              <w:pStyle w:val="28"/>
              <w:bidi w:val="0"/>
            </w:pPr>
            <w:r>
              <w:t>20618</w:t>
            </w:r>
          </w:p>
        </w:tc>
        <w:tc>
          <w:tcPr>
            <w:tcW w:w="393" w:type="pct"/>
            <w:tcBorders>
              <w:top w:val="single" w:color="000000" w:sz="4" w:space="0"/>
              <w:left w:val="single" w:color="000000" w:sz="4" w:space="0"/>
              <w:bottom w:val="single" w:color="000000" w:sz="4" w:space="0"/>
              <w:right w:val="single" w:color="000000" w:sz="4" w:space="0"/>
            </w:tcBorders>
            <w:vAlign w:val="center"/>
          </w:tcPr>
          <w:p w14:paraId="20103AD0">
            <w:pPr>
              <w:pStyle w:val="28"/>
              <w:bidi w:val="0"/>
            </w:pPr>
            <w:r>
              <w:t>13978</w:t>
            </w:r>
          </w:p>
        </w:tc>
      </w:tr>
      <w:tr w14:paraId="5DD9C19D">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609FD35C">
            <w:pPr>
              <w:pStyle w:val="28"/>
              <w:bidi w:val="0"/>
            </w:pPr>
            <w:r>
              <w:t>31</w:t>
            </w:r>
          </w:p>
        </w:tc>
        <w:tc>
          <w:tcPr>
            <w:tcW w:w="1840" w:type="pct"/>
            <w:tcBorders>
              <w:top w:val="single" w:color="000000" w:sz="4" w:space="0"/>
              <w:left w:val="single" w:color="000000" w:sz="4" w:space="0"/>
              <w:bottom w:val="single" w:color="000000" w:sz="4" w:space="0"/>
              <w:right w:val="single" w:color="000000" w:sz="4" w:space="0"/>
            </w:tcBorders>
            <w:vAlign w:val="center"/>
          </w:tcPr>
          <w:p w14:paraId="78E68317">
            <w:pPr>
              <w:pStyle w:val="28"/>
              <w:bidi w:val="0"/>
            </w:pPr>
            <w:r>
              <w:t>庐南分干渠乐桥支渠0+000～10+200段续建配套与现代化改造工程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1983A259">
            <w:pPr>
              <w:pStyle w:val="28"/>
              <w:bidi w:val="0"/>
            </w:pPr>
            <w:r>
              <w:t>3139</w:t>
            </w:r>
          </w:p>
        </w:tc>
        <w:tc>
          <w:tcPr>
            <w:tcW w:w="414" w:type="pct"/>
            <w:tcBorders>
              <w:top w:val="single" w:color="000000" w:sz="4" w:space="0"/>
              <w:left w:val="single" w:color="000000" w:sz="4" w:space="0"/>
              <w:bottom w:val="single" w:color="000000" w:sz="4" w:space="0"/>
              <w:right w:val="single" w:color="000000" w:sz="4" w:space="0"/>
            </w:tcBorders>
            <w:vAlign w:val="center"/>
          </w:tcPr>
          <w:p w14:paraId="239B69F8">
            <w:pPr>
              <w:pStyle w:val="28"/>
              <w:bidi w:val="0"/>
            </w:pPr>
            <w:r>
              <w:t>118</w:t>
            </w:r>
          </w:p>
        </w:tc>
        <w:tc>
          <w:tcPr>
            <w:tcW w:w="414" w:type="pct"/>
            <w:tcBorders>
              <w:top w:val="single" w:color="000000" w:sz="4" w:space="0"/>
              <w:left w:val="single" w:color="000000" w:sz="4" w:space="0"/>
              <w:bottom w:val="single" w:color="000000" w:sz="4" w:space="0"/>
              <w:right w:val="single" w:color="000000" w:sz="4" w:space="0"/>
            </w:tcBorders>
            <w:vAlign w:val="center"/>
          </w:tcPr>
          <w:p w14:paraId="73AC8EB6">
            <w:pPr>
              <w:pStyle w:val="28"/>
              <w:bidi w:val="0"/>
            </w:pPr>
            <w:r>
              <w:t>28</w:t>
            </w:r>
          </w:p>
        </w:tc>
        <w:tc>
          <w:tcPr>
            <w:tcW w:w="339" w:type="pct"/>
            <w:tcBorders>
              <w:top w:val="single" w:color="000000" w:sz="4" w:space="0"/>
              <w:left w:val="single" w:color="000000" w:sz="4" w:space="0"/>
              <w:bottom w:val="single" w:color="000000" w:sz="4" w:space="0"/>
              <w:right w:val="single" w:color="000000" w:sz="4" w:space="0"/>
            </w:tcBorders>
            <w:vAlign w:val="center"/>
          </w:tcPr>
          <w:p w14:paraId="7E2E4A30">
            <w:pPr>
              <w:pStyle w:val="28"/>
              <w:bidi w:val="0"/>
            </w:pPr>
            <w:r>
              <w:t>51</w:t>
            </w:r>
          </w:p>
        </w:tc>
        <w:tc>
          <w:tcPr>
            <w:tcW w:w="407" w:type="pct"/>
            <w:tcBorders>
              <w:top w:val="single" w:color="000000" w:sz="4" w:space="0"/>
              <w:left w:val="single" w:color="000000" w:sz="4" w:space="0"/>
              <w:bottom w:val="single" w:color="000000" w:sz="4" w:space="0"/>
              <w:right w:val="single" w:color="000000" w:sz="4" w:space="0"/>
            </w:tcBorders>
            <w:vAlign w:val="center"/>
          </w:tcPr>
          <w:p w14:paraId="4A928A3A">
            <w:pPr>
              <w:pStyle w:val="28"/>
              <w:bidi w:val="0"/>
            </w:pPr>
            <w:r>
              <w:t>265</w:t>
            </w:r>
          </w:p>
        </w:tc>
        <w:tc>
          <w:tcPr>
            <w:tcW w:w="364" w:type="pct"/>
            <w:tcBorders>
              <w:top w:val="single" w:color="000000" w:sz="4" w:space="0"/>
              <w:left w:val="single" w:color="000000" w:sz="4" w:space="0"/>
              <w:bottom w:val="single" w:color="000000" w:sz="4" w:space="0"/>
              <w:right w:val="single" w:color="000000" w:sz="4" w:space="0"/>
            </w:tcBorders>
            <w:vAlign w:val="center"/>
          </w:tcPr>
          <w:p w14:paraId="0757A7EB">
            <w:pPr>
              <w:pStyle w:val="28"/>
              <w:bidi w:val="0"/>
            </w:pPr>
            <w:r>
              <w:t>8072</w:t>
            </w:r>
          </w:p>
        </w:tc>
        <w:tc>
          <w:tcPr>
            <w:tcW w:w="393" w:type="pct"/>
            <w:tcBorders>
              <w:top w:val="single" w:color="000000" w:sz="4" w:space="0"/>
              <w:left w:val="single" w:color="000000" w:sz="4" w:space="0"/>
              <w:bottom w:val="single" w:color="000000" w:sz="4" w:space="0"/>
              <w:right w:val="single" w:color="000000" w:sz="4" w:space="0"/>
            </w:tcBorders>
            <w:vAlign w:val="center"/>
          </w:tcPr>
          <w:p w14:paraId="6E52D990">
            <w:pPr>
              <w:pStyle w:val="28"/>
              <w:bidi w:val="0"/>
            </w:pPr>
            <w:r>
              <w:t>5519</w:t>
            </w:r>
          </w:p>
        </w:tc>
      </w:tr>
      <w:tr w14:paraId="15042229">
        <w:tblPrEx>
          <w:tblCellMar>
            <w:top w:w="0" w:type="dxa"/>
            <w:left w:w="108" w:type="dxa"/>
            <w:bottom w:w="0" w:type="dxa"/>
            <w:right w:w="108" w:type="dxa"/>
          </w:tblCellMar>
        </w:tblPrEx>
        <w:trPr>
          <w:trHeight w:val="340" w:hRule="atLeast"/>
          <w:jc w:val="center"/>
        </w:trPr>
        <w:tc>
          <w:tcPr>
            <w:tcW w:w="411" w:type="pct"/>
            <w:tcBorders>
              <w:top w:val="single" w:color="000000" w:sz="4" w:space="0"/>
              <w:left w:val="single" w:color="000000" w:sz="4" w:space="0"/>
              <w:bottom w:val="single" w:color="000000" w:sz="4" w:space="0"/>
              <w:right w:val="single" w:color="000000" w:sz="4" w:space="0"/>
            </w:tcBorders>
            <w:vAlign w:val="center"/>
          </w:tcPr>
          <w:p w14:paraId="6FF16598">
            <w:pPr>
              <w:pStyle w:val="28"/>
              <w:bidi w:val="0"/>
            </w:pPr>
            <w:r>
              <w:t>32</w:t>
            </w:r>
          </w:p>
        </w:tc>
        <w:tc>
          <w:tcPr>
            <w:tcW w:w="1840" w:type="pct"/>
            <w:tcBorders>
              <w:top w:val="single" w:color="000000" w:sz="4" w:space="0"/>
              <w:left w:val="single" w:color="000000" w:sz="4" w:space="0"/>
              <w:bottom w:val="single" w:color="000000" w:sz="4" w:space="0"/>
              <w:right w:val="single" w:color="000000" w:sz="4" w:space="0"/>
            </w:tcBorders>
            <w:vAlign w:val="center"/>
          </w:tcPr>
          <w:p w14:paraId="41D89F12">
            <w:pPr>
              <w:pStyle w:val="28"/>
              <w:bidi w:val="0"/>
            </w:pPr>
            <w:r>
              <w:t>舒庐干渠马田支渠0+000～5+000段续建配套与现代化改造工程</w:t>
            </w:r>
          </w:p>
        </w:tc>
        <w:tc>
          <w:tcPr>
            <w:tcW w:w="414" w:type="pct"/>
            <w:tcBorders>
              <w:top w:val="single" w:color="000000" w:sz="4" w:space="0"/>
              <w:left w:val="single" w:color="000000" w:sz="4" w:space="0"/>
              <w:bottom w:val="single" w:color="000000" w:sz="4" w:space="0"/>
              <w:right w:val="single" w:color="000000" w:sz="4" w:space="0"/>
            </w:tcBorders>
            <w:vAlign w:val="center"/>
          </w:tcPr>
          <w:p w14:paraId="43B9C44C">
            <w:pPr>
              <w:pStyle w:val="28"/>
              <w:bidi w:val="0"/>
            </w:pPr>
            <w:r>
              <w:t>2187</w:t>
            </w:r>
          </w:p>
        </w:tc>
        <w:tc>
          <w:tcPr>
            <w:tcW w:w="414" w:type="pct"/>
            <w:tcBorders>
              <w:top w:val="single" w:color="000000" w:sz="4" w:space="0"/>
              <w:left w:val="single" w:color="000000" w:sz="4" w:space="0"/>
              <w:bottom w:val="single" w:color="000000" w:sz="4" w:space="0"/>
              <w:right w:val="single" w:color="000000" w:sz="4" w:space="0"/>
            </w:tcBorders>
            <w:vAlign w:val="center"/>
          </w:tcPr>
          <w:p w14:paraId="57A29FC5">
            <w:pPr>
              <w:pStyle w:val="28"/>
              <w:bidi w:val="0"/>
            </w:pPr>
            <w:r>
              <w:t>108</w:t>
            </w:r>
          </w:p>
        </w:tc>
        <w:tc>
          <w:tcPr>
            <w:tcW w:w="414" w:type="pct"/>
            <w:tcBorders>
              <w:top w:val="single" w:color="000000" w:sz="4" w:space="0"/>
              <w:left w:val="single" w:color="000000" w:sz="4" w:space="0"/>
              <w:bottom w:val="single" w:color="000000" w:sz="4" w:space="0"/>
              <w:right w:val="single" w:color="000000" w:sz="4" w:space="0"/>
            </w:tcBorders>
            <w:vAlign w:val="center"/>
          </w:tcPr>
          <w:p w14:paraId="7DC79C2A">
            <w:pPr>
              <w:pStyle w:val="28"/>
              <w:bidi w:val="0"/>
            </w:pPr>
            <w:r>
              <w:t>18</w:t>
            </w:r>
          </w:p>
        </w:tc>
        <w:tc>
          <w:tcPr>
            <w:tcW w:w="339" w:type="pct"/>
            <w:tcBorders>
              <w:top w:val="single" w:color="000000" w:sz="4" w:space="0"/>
              <w:left w:val="single" w:color="000000" w:sz="4" w:space="0"/>
              <w:bottom w:val="single" w:color="000000" w:sz="4" w:space="0"/>
              <w:right w:val="single" w:color="000000" w:sz="4" w:space="0"/>
            </w:tcBorders>
            <w:vAlign w:val="center"/>
          </w:tcPr>
          <w:p w14:paraId="3A6412F7">
            <w:pPr>
              <w:pStyle w:val="28"/>
              <w:bidi w:val="0"/>
            </w:pPr>
            <w:r>
              <w:t>27</w:t>
            </w:r>
          </w:p>
        </w:tc>
        <w:tc>
          <w:tcPr>
            <w:tcW w:w="407" w:type="pct"/>
            <w:tcBorders>
              <w:top w:val="single" w:color="000000" w:sz="4" w:space="0"/>
              <w:left w:val="single" w:color="000000" w:sz="4" w:space="0"/>
              <w:bottom w:val="single" w:color="000000" w:sz="4" w:space="0"/>
              <w:right w:val="single" w:color="000000" w:sz="4" w:space="0"/>
            </w:tcBorders>
            <w:vAlign w:val="center"/>
          </w:tcPr>
          <w:p w14:paraId="5B64ACFF">
            <w:pPr>
              <w:pStyle w:val="28"/>
              <w:bidi w:val="0"/>
            </w:pPr>
            <w:r>
              <w:t>222</w:t>
            </w:r>
          </w:p>
        </w:tc>
        <w:tc>
          <w:tcPr>
            <w:tcW w:w="364" w:type="pct"/>
            <w:tcBorders>
              <w:top w:val="single" w:color="000000" w:sz="4" w:space="0"/>
              <w:left w:val="single" w:color="000000" w:sz="4" w:space="0"/>
              <w:bottom w:val="single" w:color="000000" w:sz="4" w:space="0"/>
              <w:right w:val="single" w:color="000000" w:sz="4" w:space="0"/>
            </w:tcBorders>
            <w:vAlign w:val="center"/>
          </w:tcPr>
          <w:p w14:paraId="7516E0BF">
            <w:pPr>
              <w:pStyle w:val="28"/>
              <w:bidi w:val="0"/>
            </w:pPr>
            <w:r>
              <w:t>5795</w:t>
            </w:r>
          </w:p>
        </w:tc>
        <w:tc>
          <w:tcPr>
            <w:tcW w:w="393" w:type="pct"/>
            <w:tcBorders>
              <w:top w:val="single" w:color="000000" w:sz="4" w:space="0"/>
              <w:left w:val="single" w:color="000000" w:sz="4" w:space="0"/>
              <w:bottom w:val="single" w:color="000000" w:sz="4" w:space="0"/>
              <w:right w:val="single" w:color="000000" w:sz="4" w:space="0"/>
            </w:tcBorders>
            <w:vAlign w:val="center"/>
          </w:tcPr>
          <w:p w14:paraId="328A2158">
            <w:pPr>
              <w:pStyle w:val="28"/>
              <w:bidi w:val="0"/>
            </w:pPr>
            <w:r>
              <w:t>3544</w:t>
            </w:r>
          </w:p>
        </w:tc>
      </w:tr>
      <w:tr w14:paraId="0C882C93">
        <w:trPr>
          <w:trHeight w:val="340" w:hRule="atLeast"/>
          <w:jc w:val="center"/>
        </w:trPr>
        <w:tc>
          <w:tcPr>
            <w:tcW w:w="2251" w:type="pct"/>
            <w:gridSpan w:val="2"/>
            <w:tcBorders>
              <w:top w:val="single" w:color="000000" w:sz="4" w:space="0"/>
              <w:left w:val="single" w:color="000000" w:sz="4" w:space="0"/>
              <w:bottom w:val="single" w:color="000000" w:sz="4" w:space="0"/>
              <w:right w:val="single" w:color="000000" w:sz="4" w:space="0"/>
            </w:tcBorders>
            <w:vAlign w:val="center"/>
          </w:tcPr>
          <w:p w14:paraId="20009BB2">
            <w:pPr>
              <w:pStyle w:val="28"/>
              <w:bidi w:val="0"/>
            </w:pPr>
            <w:r>
              <w:t>合计</w:t>
            </w:r>
          </w:p>
        </w:tc>
        <w:tc>
          <w:tcPr>
            <w:tcW w:w="414" w:type="pct"/>
            <w:tcBorders>
              <w:top w:val="single" w:color="000000" w:sz="4" w:space="0"/>
              <w:left w:val="single" w:color="000000" w:sz="4" w:space="0"/>
              <w:bottom w:val="single" w:color="000000" w:sz="4" w:space="0"/>
              <w:right w:val="single" w:color="000000" w:sz="4" w:space="0"/>
            </w:tcBorders>
            <w:vAlign w:val="center"/>
          </w:tcPr>
          <w:p w14:paraId="7BBEE2F3">
            <w:pPr>
              <w:pStyle w:val="28"/>
              <w:bidi w:val="0"/>
            </w:pPr>
            <w:r>
              <w:t>61445</w:t>
            </w:r>
          </w:p>
        </w:tc>
        <w:tc>
          <w:tcPr>
            <w:tcW w:w="414" w:type="pct"/>
            <w:tcBorders>
              <w:top w:val="single" w:color="000000" w:sz="4" w:space="0"/>
              <w:left w:val="single" w:color="000000" w:sz="4" w:space="0"/>
              <w:bottom w:val="single" w:color="000000" w:sz="4" w:space="0"/>
              <w:right w:val="single" w:color="000000" w:sz="4" w:space="0"/>
            </w:tcBorders>
            <w:vAlign w:val="center"/>
          </w:tcPr>
          <w:p w14:paraId="1A4221C0">
            <w:pPr>
              <w:pStyle w:val="28"/>
              <w:bidi w:val="0"/>
            </w:pPr>
            <w:r>
              <w:t>9258</w:t>
            </w:r>
          </w:p>
        </w:tc>
        <w:tc>
          <w:tcPr>
            <w:tcW w:w="414" w:type="pct"/>
            <w:tcBorders>
              <w:top w:val="single" w:color="000000" w:sz="4" w:space="0"/>
              <w:left w:val="single" w:color="000000" w:sz="4" w:space="0"/>
              <w:bottom w:val="single" w:color="000000" w:sz="4" w:space="0"/>
              <w:right w:val="single" w:color="000000" w:sz="4" w:space="0"/>
            </w:tcBorders>
            <w:vAlign w:val="center"/>
          </w:tcPr>
          <w:p w14:paraId="7DE34267">
            <w:pPr>
              <w:pStyle w:val="28"/>
              <w:bidi w:val="0"/>
            </w:pPr>
            <w:r>
              <w:t>810</w:t>
            </w:r>
          </w:p>
        </w:tc>
        <w:tc>
          <w:tcPr>
            <w:tcW w:w="339" w:type="pct"/>
            <w:tcBorders>
              <w:top w:val="single" w:color="000000" w:sz="4" w:space="0"/>
              <w:left w:val="single" w:color="000000" w:sz="4" w:space="0"/>
              <w:bottom w:val="single" w:color="000000" w:sz="4" w:space="0"/>
              <w:right w:val="single" w:color="000000" w:sz="4" w:space="0"/>
            </w:tcBorders>
            <w:vAlign w:val="center"/>
          </w:tcPr>
          <w:p w14:paraId="6C2BBDDB">
            <w:pPr>
              <w:pStyle w:val="28"/>
              <w:bidi w:val="0"/>
            </w:pPr>
            <w:r>
              <w:t>6161</w:t>
            </w:r>
          </w:p>
        </w:tc>
        <w:tc>
          <w:tcPr>
            <w:tcW w:w="407" w:type="pct"/>
            <w:tcBorders>
              <w:top w:val="single" w:color="000000" w:sz="4" w:space="0"/>
              <w:left w:val="single" w:color="000000" w:sz="4" w:space="0"/>
              <w:bottom w:val="single" w:color="000000" w:sz="4" w:space="0"/>
              <w:right w:val="single" w:color="000000" w:sz="4" w:space="0"/>
            </w:tcBorders>
            <w:vAlign w:val="center"/>
          </w:tcPr>
          <w:p w14:paraId="3CFFF43F">
            <w:pPr>
              <w:pStyle w:val="28"/>
              <w:bidi w:val="0"/>
            </w:pPr>
            <w:r>
              <w:t>16875</w:t>
            </w:r>
          </w:p>
        </w:tc>
        <w:tc>
          <w:tcPr>
            <w:tcW w:w="364" w:type="pct"/>
            <w:tcBorders>
              <w:top w:val="single" w:color="000000" w:sz="4" w:space="0"/>
              <w:left w:val="single" w:color="000000" w:sz="4" w:space="0"/>
              <w:bottom w:val="single" w:color="000000" w:sz="4" w:space="0"/>
              <w:right w:val="single" w:color="000000" w:sz="4" w:space="0"/>
            </w:tcBorders>
            <w:vAlign w:val="center"/>
          </w:tcPr>
          <w:p w14:paraId="6471E4AC">
            <w:pPr>
              <w:pStyle w:val="28"/>
              <w:bidi w:val="0"/>
            </w:pPr>
            <w:r>
              <w:t>218890</w:t>
            </w:r>
          </w:p>
        </w:tc>
        <w:tc>
          <w:tcPr>
            <w:tcW w:w="393" w:type="pct"/>
            <w:tcBorders>
              <w:top w:val="single" w:color="000000" w:sz="4" w:space="0"/>
              <w:left w:val="single" w:color="000000" w:sz="4" w:space="0"/>
              <w:bottom w:val="single" w:color="000000" w:sz="4" w:space="0"/>
              <w:right w:val="single" w:color="000000" w:sz="4" w:space="0"/>
            </w:tcBorders>
            <w:vAlign w:val="center"/>
          </w:tcPr>
          <w:p w14:paraId="0BE57820">
            <w:pPr>
              <w:pStyle w:val="28"/>
              <w:bidi w:val="0"/>
            </w:pPr>
            <w:r>
              <w:t>85879</w:t>
            </w:r>
          </w:p>
        </w:tc>
      </w:tr>
    </w:tbl>
    <w:p w14:paraId="038F4018">
      <w:pPr>
        <w:ind w:left="3168"/>
        <w:rPr>
          <w:rFonts w:cs="Times New Roman"/>
          <w:color w:val="0000FF"/>
        </w:rPr>
      </w:pPr>
    </w:p>
    <w:p w14:paraId="61B8500A">
      <w:pPr>
        <w:ind w:left="3168"/>
        <w:rPr>
          <w:rFonts w:cs="Times New Roman"/>
          <w:color w:val="0000FF"/>
        </w:rPr>
        <w:sectPr>
          <w:pgSz w:w="11905" w:h="16838"/>
          <w:pgMar w:top="1417" w:right="1417" w:bottom="1417" w:left="1417" w:header="850" w:footer="850" w:gutter="0"/>
          <w:pgNumType w:fmt="decimal"/>
          <w:cols w:space="0" w:num="1"/>
          <w:rtlGutter w:val="0"/>
          <w:docGrid w:linePitch="326" w:charSpace="0"/>
        </w:sectPr>
      </w:pPr>
    </w:p>
    <w:p w14:paraId="0B9535B3">
      <w:pPr>
        <w:rPr>
          <w:color w:val="0000FF"/>
        </w:rPr>
      </w:pPr>
      <w:r>
        <w:rPr>
          <w:color w:val="0000FF"/>
        </w:rPr>
        <w:t>表2-</w:t>
      </w:r>
      <w:r>
        <w:rPr>
          <w:rFonts w:hint="eastAsia"/>
          <w:color w:val="0000FF"/>
        </w:rPr>
        <w:t>4</w:t>
      </w:r>
      <w:r>
        <w:rPr>
          <w:color w:val="0000FF"/>
        </w:rPr>
        <w:t>-</w:t>
      </w:r>
      <w:r>
        <w:rPr>
          <w:rFonts w:hint="eastAsia"/>
          <w:color w:val="0000FF"/>
        </w:rPr>
        <w:t xml:space="preserve">8  </w:t>
      </w:r>
      <w:r>
        <w:rPr>
          <w:color w:val="0000FF"/>
        </w:rPr>
        <w:t>涂料原材料一览表</w:t>
      </w:r>
    </w:p>
    <w:tbl>
      <w:tblPr>
        <w:tblStyle w:val="16"/>
        <w:tblW w:w="4998" w:type="pct"/>
        <w:jc w:val="center"/>
        <w:tblLayout w:type="autofit"/>
        <w:tblCellMar>
          <w:top w:w="0" w:type="dxa"/>
          <w:left w:w="108" w:type="dxa"/>
          <w:bottom w:w="0" w:type="dxa"/>
          <w:right w:w="108" w:type="dxa"/>
        </w:tblCellMar>
      </w:tblPr>
      <w:tblGrid>
        <w:gridCol w:w="426"/>
        <w:gridCol w:w="426"/>
        <w:gridCol w:w="1062"/>
        <w:gridCol w:w="1167"/>
        <w:gridCol w:w="695"/>
        <w:gridCol w:w="747"/>
        <w:gridCol w:w="642"/>
        <w:gridCol w:w="1889"/>
        <w:gridCol w:w="1214"/>
        <w:gridCol w:w="1015"/>
      </w:tblGrid>
      <w:tr w14:paraId="61C299CF">
        <w:tblPrEx>
          <w:tblCellMar>
            <w:top w:w="0" w:type="dxa"/>
            <w:left w:w="108" w:type="dxa"/>
            <w:bottom w:w="0" w:type="dxa"/>
            <w:right w:w="108" w:type="dxa"/>
          </w:tblCellMar>
        </w:tblPrEx>
        <w:trPr>
          <w:trHeight w:val="340" w:hRule="atLeast"/>
          <w:jc w:val="center"/>
        </w:trPr>
        <w:tc>
          <w:tcPr>
            <w:tcW w:w="230" w:type="pct"/>
            <w:vMerge w:val="restart"/>
            <w:tcBorders>
              <w:top w:val="single" w:color="000000" w:sz="4" w:space="0"/>
              <w:left w:val="single" w:color="000000" w:sz="4" w:space="0"/>
              <w:bottom w:val="single" w:color="000000" w:sz="4" w:space="0"/>
              <w:right w:val="single" w:color="000000" w:sz="4" w:space="0"/>
            </w:tcBorders>
            <w:vAlign w:val="center"/>
          </w:tcPr>
          <w:p w14:paraId="61CF0E8A">
            <w:pPr>
              <w:pStyle w:val="28"/>
              <w:bidi w:val="0"/>
            </w:pPr>
            <w:r>
              <w:t>序号</w:t>
            </w:r>
          </w:p>
        </w:tc>
        <w:tc>
          <w:tcPr>
            <w:tcW w:w="475" w:type="pct"/>
            <w:vMerge w:val="restart"/>
            <w:tcBorders>
              <w:top w:val="single" w:color="000000" w:sz="4" w:space="0"/>
              <w:left w:val="single" w:color="000000" w:sz="4" w:space="0"/>
              <w:bottom w:val="single" w:color="000000" w:sz="4" w:space="0"/>
              <w:right w:val="single" w:color="000000" w:sz="4" w:space="0"/>
            </w:tcBorders>
            <w:vAlign w:val="center"/>
          </w:tcPr>
          <w:p w14:paraId="0FFC36FD">
            <w:pPr>
              <w:pStyle w:val="28"/>
              <w:bidi w:val="0"/>
            </w:pPr>
            <w:r>
              <w:t>名称</w:t>
            </w:r>
          </w:p>
        </w:tc>
        <w:tc>
          <w:tcPr>
            <w:tcW w:w="709" w:type="pct"/>
            <w:gridSpan w:val="2"/>
            <w:tcBorders>
              <w:top w:val="single" w:color="000000" w:sz="4" w:space="0"/>
              <w:left w:val="single" w:color="000000" w:sz="4" w:space="0"/>
              <w:bottom w:val="single" w:color="000000" w:sz="4" w:space="0"/>
              <w:right w:val="single" w:color="000000" w:sz="4" w:space="0"/>
            </w:tcBorders>
            <w:vAlign w:val="center"/>
          </w:tcPr>
          <w:p w14:paraId="307EF155">
            <w:pPr>
              <w:pStyle w:val="28"/>
              <w:bidi w:val="0"/>
            </w:pPr>
            <w:r>
              <w:t>用量</w:t>
            </w:r>
          </w:p>
        </w:tc>
        <w:tc>
          <w:tcPr>
            <w:tcW w:w="230" w:type="pct"/>
            <w:vMerge w:val="restart"/>
            <w:tcBorders>
              <w:top w:val="single" w:color="000000" w:sz="4" w:space="0"/>
              <w:left w:val="single" w:color="000000" w:sz="4" w:space="0"/>
              <w:bottom w:val="single" w:color="000000" w:sz="4" w:space="0"/>
              <w:right w:val="single" w:color="000000" w:sz="4" w:space="0"/>
            </w:tcBorders>
            <w:vAlign w:val="center"/>
          </w:tcPr>
          <w:p w14:paraId="7CB3D6E4">
            <w:pPr>
              <w:pStyle w:val="28"/>
              <w:bidi w:val="0"/>
            </w:pPr>
            <w:r>
              <w:t>包装方式</w:t>
            </w:r>
          </w:p>
        </w:tc>
        <w:tc>
          <w:tcPr>
            <w:tcW w:w="715" w:type="pct"/>
            <w:gridSpan w:val="2"/>
            <w:tcBorders>
              <w:top w:val="single" w:color="000000" w:sz="4" w:space="0"/>
              <w:left w:val="single" w:color="000000" w:sz="4" w:space="0"/>
              <w:bottom w:val="single" w:color="000000" w:sz="4" w:space="0"/>
              <w:right w:val="single" w:color="000000" w:sz="4" w:space="0"/>
            </w:tcBorders>
            <w:vAlign w:val="center"/>
          </w:tcPr>
          <w:p w14:paraId="0388D4B1">
            <w:pPr>
              <w:pStyle w:val="28"/>
              <w:bidi w:val="0"/>
            </w:pPr>
            <w:r>
              <w:t>暂存量</w:t>
            </w:r>
          </w:p>
        </w:tc>
        <w:tc>
          <w:tcPr>
            <w:tcW w:w="1310" w:type="pct"/>
            <w:vMerge w:val="restart"/>
            <w:tcBorders>
              <w:top w:val="single" w:color="000000" w:sz="4" w:space="0"/>
              <w:left w:val="single" w:color="000000" w:sz="4" w:space="0"/>
              <w:bottom w:val="single" w:color="000000" w:sz="4" w:space="0"/>
              <w:right w:val="single" w:color="000000" w:sz="4" w:space="0"/>
            </w:tcBorders>
            <w:vAlign w:val="center"/>
          </w:tcPr>
          <w:p w14:paraId="638522FC">
            <w:pPr>
              <w:pStyle w:val="28"/>
              <w:bidi w:val="0"/>
            </w:pPr>
            <w:r>
              <w:t>成分</w:t>
            </w:r>
          </w:p>
        </w:tc>
        <w:tc>
          <w:tcPr>
            <w:tcW w:w="637" w:type="pct"/>
            <w:vMerge w:val="restart"/>
            <w:tcBorders>
              <w:top w:val="single" w:color="000000" w:sz="4" w:space="0"/>
              <w:left w:val="single" w:color="000000" w:sz="4" w:space="0"/>
              <w:bottom w:val="single" w:color="000000" w:sz="4" w:space="0"/>
              <w:right w:val="single" w:color="000000" w:sz="4" w:space="0"/>
            </w:tcBorders>
            <w:vAlign w:val="center"/>
          </w:tcPr>
          <w:p w14:paraId="6C829E4B">
            <w:pPr>
              <w:pStyle w:val="28"/>
              <w:bidi w:val="0"/>
            </w:pPr>
            <w:r>
              <w:t>理化性质</w:t>
            </w:r>
          </w:p>
        </w:tc>
        <w:tc>
          <w:tcPr>
            <w:tcW w:w="689" w:type="pct"/>
            <w:vMerge w:val="restart"/>
            <w:tcBorders>
              <w:top w:val="single" w:color="000000" w:sz="4" w:space="0"/>
              <w:left w:val="single" w:color="000000" w:sz="4" w:space="0"/>
              <w:bottom w:val="single" w:color="000000" w:sz="4" w:space="0"/>
              <w:right w:val="single" w:color="000000" w:sz="4" w:space="0"/>
            </w:tcBorders>
            <w:vAlign w:val="center"/>
          </w:tcPr>
          <w:p w14:paraId="62484246">
            <w:pPr>
              <w:pStyle w:val="28"/>
              <w:bidi w:val="0"/>
            </w:pPr>
            <w:r>
              <w:t>备注</w:t>
            </w:r>
          </w:p>
        </w:tc>
      </w:tr>
      <w:tr w14:paraId="042A809A">
        <w:tblPrEx>
          <w:tblCellMar>
            <w:top w:w="0" w:type="dxa"/>
            <w:left w:w="108" w:type="dxa"/>
            <w:bottom w:w="0" w:type="dxa"/>
            <w:right w:w="108" w:type="dxa"/>
          </w:tblCellMar>
        </w:tblPrEx>
        <w:trPr>
          <w:trHeight w:val="340" w:hRule="atLeast"/>
          <w:jc w:val="center"/>
        </w:trPr>
        <w:tc>
          <w:tcPr>
            <w:tcW w:w="230" w:type="pct"/>
            <w:vMerge w:val="continue"/>
            <w:tcBorders>
              <w:top w:val="single" w:color="000000" w:sz="4" w:space="0"/>
              <w:left w:val="single" w:color="000000" w:sz="4" w:space="0"/>
              <w:bottom w:val="single" w:color="000000" w:sz="4" w:space="0"/>
              <w:right w:val="single" w:color="000000" w:sz="4" w:space="0"/>
            </w:tcBorders>
            <w:vAlign w:val="center"/>
          </w:tcPr>
          <w:p w14:paraId="73ED7ACF">
            <w:pPr>
              <w:pStyle w:val="28"/>
              <w:bidi w:val="0"/>
            </w:pPr>
          </w:p>
        </w:tc>
        <w:tc>
          <w:tcPr>
            <w:tcW w:w="475" w:type="pct"/>
            <w:vMerge w:val="continue"/>
            <w:tcBorders>
              <w:top w:val="single" w:color="000000" w:sz="4" w:space="0"/>
              <w:left w:val="single" w:color="000000" w:sz="4" w:space="0"/>
              <w:bottom w:val="single" w:color="000000" w:sz="4" w:space="0"/>
              <w:right w:val="single" w:color="000000" w:sz="4" w:space="0"/>
            </w:tcBorders>
            <w:vAlign w:val="center"/>
          </w:tcPr>
          <w:p w14:paraId="641113C0">
            <w:pPr>
              <w:pStyle w:val="28"/>
              <w:bidi w:val="0"/>
            </w:pPr>
          </w:p>
        </w:tc>
        <w:tc>
          <w:tcPr>
            <w:tcW w:w="372" w:type="pct"/>
            <w:tcBorders>
              <w:top w:val="single" w:color="000000" w:sz="4" w:space="0"/>
              <w:left w:val="single" w:color="000000" w:sz="4" w:space="0"/>
              <w:bottom w:val="single" w:color="000000" w:sz="4" w:space="0"/>
              <w:right w:val="single" w:color="000000" w:sz="4" w:space="0"/>
            </w:tcBorders>
            <w:vAlign w:val="center"/>
          </w:tcPr>
          <w:p w14:paraId="50F8D47C">
            <w:pPr>
              <w:pStyle w:val="28"/>
              <w:bidi w:val="0"/>
            </w:pPr>
            <w:r>
              <w:t>樊通桥渠下涵</w:t>
            </w:r>
          </w:p>
        </w:tc>
        <w:tc>
          <w:tcPr>
            <w:tcW w:w="336" w:type="pct"/>
            <w:tcBorders>
              <w:top w:val="single" w:color="000000" w:sz="4" w:space="0"/>
              <w:left w:val="single" w:color="000000" w:sz="4" w:space="0"/>
              <w:bottom w:val="single" w:color="000000" w:sz="4" w:space="0"/>
              <w:right w:val="single" w:color="000000" w:sz="4" w:space="0"/>
            </w:tcBorders>
            <w:vAlign w:val="center"/>
          </w:tcPr>
          <w:p w14:paraId="10B71E8E">
            <w:pPr>
              <w:pStyle w:val="28"/>
              <w:bidi w:val="0"/>
            </w:pPr>
            <w:r>
              <w:t>沙胜支渠</w:t>
            </w:r>
          </w:p>
        </w:tc>
        <w:tc>
          <w:tcPr>
            <w:tcW w:w="230" w:type="pct"/>
            <w:vMerge w:val="continue"/>
            <w:tcBorders>
              <w:top w:val="single" w:color="000000" w:sz="4" w:space="0"/>
              <w:left w:val="single" w:color="000000" w:sz="4" w:space="0"/>
              <w:bottom w:val="single" w:color="000000" w:sz="4" w:space="0"/>
              <w:right w:val="single" w:color="000000" w:sz="4" w:space="0"/>
            </w:tcBorders>
            <w:vAlign w:val="center"/>
          </w:tcPr>
          <w:p w14:paraId="639FEFF1">
            <w:pPr>
              <w:pStyle w:val="28"/>
              <w:bidi w:val="0"/>
            </w:pPr>
          </w:p>
        </w:tc>
        <w:tc>
          <w:tcPr>
            <w:tcW w:w="339" w:type="pct"/>
            <w:tcBorders>
              <w:top w:val="single" w:color="000000" w:sz="4" w:space="0"/>
              <w:left w:val="single" w:color="000000" w:sz="4" w:space="0"/>
              <w:bottom w:val="single" w:color="000000" w:sz="4" w:space="0"/>
              <w:right w:val="single" w:color="000000" w:sz="4" w:space="0"/>
            </w:tcBorders>
            <w:vAlign w:val="center"/>
          </w:tcPr>
          <w:p w14:paraId="22A93A30">
            <w:pPr>
              <w:pStyle w:val="28"/>
              <w:bidi w:val="0"/>
            </w:pPr>
            <w:r>
              <w:t>樊通桥渠下涵</w:t>
            </w:r>
          </w:p>
        </w:tc>
        <w:tc>
          <w:tcPr>
            <w:tcW w:w="376" w:type="pct"/>
            <w:tcBorders>
              <w:top w:val="single" w:color="000000" w:sz="4" w:space="0"/>
              <w:left w:val="single" w:color="000000" w:sz="4" w:space="0"/>
              <w:bottom w:val="single" w:color="000000" w:sz="4" w:space="0"/>
              <w:right w:val="single" w:color="000000" w:sz="4" w:space="0"/>
            </w:tcBorders>
            <w:vAlign w:val="center"/>
          </w:tcPr>
          <w:p w14:paraId="08DDF876">
            <w:pPr>
              <w:pStyle w:val="28"/>
              <w:bidi w:val="0"/>
            </w:pPr>
            <w:r>
              <w:t>沙胜支渠</w:t>
            </w:r>
          </w:p>
        </w:tc>
        <w:tc>
          <w:tcPr>
            <w:tcW w:w="1310" w:type="pct"/>
            <w:vMerge w:val="continue"/>
            <w:tcBorders>
              <w:top w:val="single" w:color="000000" w:sz="4" w:space="0"/>
              <w:left w:val="single" w:color="000000" w:sz="4" w:space="0"/>
              <w:bottom w:val="single" w:color="000000" w:sz="4" w:space="0"/>
              <w:right w:val="single" w:color="000000" w:sz="4" w:space="0"/>
            </w:tcBorders>
            <w:vAlign w:val="center"/>
          </w:tcPr>
          <w:p w14:paraId="07CD6E53">
            <w:pPr>
              <w:pStyle w:val="28"/>
              <w:bidi w:val="0"/>
            </w:pPr>
          </w:p>
        </w:tc>
        <w:tc>
          <w:tcPr>
            <w:tcW w:w="637" w:type="pct"/>
            <w:vMerge w:val="continue"/>
            <w:tcBorders>
              <w:top w:val="single" w:color="000000" w:sz="4" w:space="0"/>
              <w:left w:val="single" w:color="000000" w:sz="4" w:space="0"/>
              <w:bottom w:val="single" w:color="000000" w:sz="4" w:space="0"/>
              <w:right w:val="single" w:color="000000" w:sz="4" w:space="0"/>
            </w:tcBorders>
            <w:vAlign w:val="center"/>
          </w:tcPr>
          <w:p w14:paraId="7B7ACB9E">
            <w:pPr>
              <w:pStyle w:val="28"/>
              <w:bidi w:val="0"/>
            </w:pPr>
          </w:p>
        </w:tc>
        <w:tc>
          <w:tcPr>
            <w:tcW w:w="689" w:type="pct"/>
            <w:vMerge w:val="continue"/>
            <w:tcBorders>
              <w:top w:val="single" w:color="000000" w:sz="4" w:space="0"/>
              <w:left w:val="single" w:color="000000" w:sz="4" w:space="0"/>
              <w:bottom w:val="single" w:color="000000" w:sz="4" w:space="0"/>
              <w:right w:val="single" w:color="000000" w:sz="4" w:space="0"/>
            </w:tcBorders>
            <w:vAlign w:val="center"/>
          </w:tcPr>
          <w:p w14:paraId="496652A4">
            <w:pPr>
              <w:pStyle w:val="28"/>
              <w:bidi w:val="0"/>
            </w:pPr>
          </w:p>
        </w:tc>
      </w:tr>
      <w:tr w14:paraId="58BCBE65">
        <w:tblPrEx>
          <w:tblCellMar>
            <w:top w:w="0" w:type="dxa"/>
            <w:left w:w="108" w:type="dxa"/>
            <w:bottom w:w="0" w:type="dxa"/>
            <w:right w:w="108" w:type="dxa"/>
          </w:tblCellMar>
        </w:tblPrEx>
        <w:trPr>
          <w:trHeight w:val="340" w:hRule="atLeast"/>
          <w:jc w:val="center"/>
        </w:trPr>
        <w:tc>
          <w:tcPr>
            <w:tcW w:w="230" w:type="pct"/>
            <w:tcBorders>
              <w:top w:val="single" w:color="000000" w:sz="4" w:space="0"/>
              <w:left w:val="single" w:color="000000" w:sz="4" w:space="0"/>
              <w:bottom w:val="single" w:color="000000" w:sz="4" w:space="0"/>
              <w:right w:val="single" w:color="000000" w:sz="4" w:space="0"/>
            </w:tcBorders>
            <w:vAlign w:val="center"/>
          </w:tcPr>
          <w:p w14:paraId="687C9BC1">
            <w:pPr>
              <w:pStyle w:val="28"/>
              <w:bidi w:val="0"/>
            </w:pPr>
            <w:r>
              <w:t>1</w:t>
            </w:r>
          </w:p>
        </w:tc>
        <w:tc>
          <w:tcPr>
            <w:tcW w:w="475" w:type="pct"/>
            <w:tcBorders>
              <w:top w:val="single" w:color="000000" w:sz="4" w:space="0"/>
              <w:left w:val="single" w:color="000000" w:sz="4" w:space="0"/>
              <w:bottom w:val="single" w:color="000000" w:sz="4" w:space="0"/>
              <w:right w:val="single" w:color="000000" w:sz="4" w:space="0"/>
            </w:tcBorders>
            <w:vAlign w:val="center"/>
          </w:tcPr>
          <w:p w14:paraId="0E211B17">
            <w:pPr>
              <w:pStyle w:val="28"/>
              <w:bidi w:val="0"/>
            </w:pPr>
            <w:r>
              <w:t>高渗透环氧树脂灌浆</w:t>
            </w:r>
          </w:p>
        </w:tc>
        <w:tc>
          <w:tcPr>
            <w:tcW w:w="372" w:type="pct"/>
            <w:tcBorders>
              <w:top w:val="single" w:color="000000" w:sz="4" w:space="0"/>
              <w:left w:val="single" w:color="000000" w:sz="4" w:space="0"/>
              <w:bottom w:val="single" w:color="000000" w:sz="4" w:space="0"/>
              <w:right w:val="single" w:color="000000" w:sz="4" w:space="0"/>
            </w:tcBorders>
            <w:vAlign w:val="center"/>
          </w:tcPr>
          <w:p w14:paraId="4D358EA1">
            <w:pPr>
              <w:pStyle w:val="28"/>
              <w:bidi w:val="0"/>
            </w:pPr>
            <w:r>
              <w:t>371m2（0.99t）</w:t>
            </w:r>
          </w:p>
        </w:tc>
        <w:tc>
          <w:tcPr>
            <w:tcW w:w="336" w:type="pct"/>
            <w:tcBorders>
              <w:top w:val="single" w:color="000000" w:sz="4" w:space="0"/>
              <w:left w:val="single" w:color="000000" w:sz="4" w:space="0"/>
              <w:bottom w:val="single" w:color="000000" w:sz="4" w:space="0"/>
              <w:right w:val="single" w:color="000000" w:sz="4" w:space="0"/>
            </w:tcBorders>
            <w:vAlign w:val="center"/>
          </w:tcPr>
          <w:p w14:paraId="0A286955">
            <w:pPr>
              <w:pStyle w:val="28"/>
              <w:bidi w:val="0"/>
            </w:pPr>
            <w:r>
              <w:t>1266.32m2（3.37t）</w:t>
            </w:r>
          </w:p>
        </w:tc>
        <w:tc>
          <w:tcPr>
            <w:tcW w:w="230" w:type="pct"/>
            <w:tcBorders>
              <w:top w:val="single" w:color="000000" w:sz="4" w:space="0"/>
              <w:left w:val="single" w:color="000000" w:sz="4" w:space="0"/>
              <w:bottom w:val="single" w:color="000000" w:sz="4" w:space="0"/>
              <w:right w:val="single" w:color="000000" w:sz="4" w:space="0"/>
            </w:tcBorders>
            <w:vAlign w:val="center"/>
          </w:tcPr>
          <w:p w14:paraId="34D586EA">
            <w:pPr>
              <w:pStyle w:val="28"/>
              <w:bidi w:val="0"/>
            </w:pPr>
            <w:r>
              <w:t>25kg/桶</w:t>
            </w:r>
          </w:p>
        </w:tc>
        <w:tc>
          <w:tcPr>
            <w:tcW w:w="339" w:type="pct"/>
            <w:tcBorders>
              <w:top w:val="single" w:color="000000" w:sz="4" w:space="0"/>
              <w:left w:val="single" w:color="000000" w:sz="4" w:space="0"/>
              <w:bottom w:val="single" w:color="000000" w:sz="4" w:space="0"/>
              <w:right w:val="single" w:color="000000" w:sz="4" w:space="0"/>
            </w:tcBorders>
            <w:vAlign w:val="center"/>
          </w:tcPr>
          <w:p w14:paraId="29E6B522">
            <w:pPr>
              <w:pStyle w:val="28"/>
              <w:bidi w:val="0"/>
            </w:pPr>
            <w:r>
              <w:t>0.047t</w:t>
            </w:r>
          </w:p>
        </w:tc>
        <w:tc>
          <w:tcPr>
            <w:tcW w:w="376" w:type="pct"/>
            <w:tcBorders>
              <w:top w:val="single" w:color="000000" w:sz="4" w:space="0"/>
              <w:left w:val="single" w:color="000000" w:sz="4" w:space="0"/>
              <w:bottom w:val="single" w:color="000000" w:sz="4" w:space="0"/>
              <w:right w:val="single" w:color="000000" w:sz="4" w:space="0"/>
            </w:tcBorders>
            <w:vAlign w:val="center"/>
          </w:tcPr>
          <w:p w14:paraId="54B42AA2">
            <w:pPr>
              <w:pStyle w:val="28"/>
              <w:bidi w:val="0"/>
            </w:pPr>
            <w:r>
              <w:t>0.14t</w:t>
            </w:r>
          </w:p>
        </w:tc>
        <w:tc>
          <w:tcPr>
            <w:tcW w:w="1310" w:type="pct"/>
            <w:tcBorders>
              <w:top w:val="single" w:color="000000" w:sz="4" w:space="0"/>
              <w:left w:val="single" w:color="000000" w:sz="4" w:space="0"/>
              <w:bottom w:val="single" w:color="000000" w:sz="4" w:space="0"/>
              <w:right w:val="single" w:color="000000" w:sz="4" w:space="0"/>
            </w:tcBorders>
            <w:vAlign w:val="center"/>
          </w:tcPr>
          <w:p w14:paraId="6FA15951">
            <w:pPr>
              <w:pStyle w:val="28"/>
              <w:bidi w:val="0"/>
            </w:pPr>
            <w:r>
              <w:t>由环氧树脂、硬化剂和填料组成</w:t>
            </w:r>
          </w:p>
        </w:tc>
        <w:tc>
          <w:tcPr>
            <w:tcW w:w="637" w:type="pct"/>
            <w:tcBorders>
              <w:top w:val="single" w:color="000000" w:sz="4" w:space="0"/>
              <w:left w:val="single" w:color="000000" w:sz="4" w:space="0"/>
              <w:bottom w:val="single" w:color="000000" w:sz="4" w:space="0"/>
              <w:right w:val="single" w:color="000000" w:sz="4" w:space="0"/>
            </w:tcBorders>
            <w:vAlign w:val="center"/>
          </w:tcPr>
          <w:p w14:paraId="63FB2C61">
            <w:pPr>
              <w:pStyle w:val="28"/>
              <w:bidi w:val="0"/>
            </w:pPr>
            <w:r>
              <w:t>/</w:t>
            </w:r>
          </w:p>
        </w:tc>
        <w:tc>
          <w:tcPr>
            <w:tcW w:w="689" w:type="pct"/>
            <w:tcBorders>
              <w:top w:val="single" w:color="000000" w:sz="4" w:space="0"/>
              <w:left w:val="single" w:color="000000" w:sz="4" w:space="0"/>
              <w:bottom w:val="single" w:color="000000" w:sz="4" w:space="0"/>
              <w:right w:val="single" w:color="000000" w:sz="4" w:space="0"/>
            </w:tcBorders>
            <w:vAlign w:val="center"/>
          </w:tcPr>
          <w:p w14:paraId="75867632">
            <w:pPr>
              <w:pStyle w:val="28"/>
              <w:bidi w:val="0"/>
            </w:pPr>
            <w:r>
              <w:t>固含量高，不含溶剂</w:t>
            </w:r>
          </w:p>
        </w:tc>
      </w:tr>
      <w:tr w14:paraId="6718CB38">
        <w:tblPrEx>
          <w:tblCellMar>
            <w:top w:w="0" w:type="dxa"/>
            <w:left w:w="108" w:type="dxa"/>
            <w:bottom w:w="0" w:type="dxa"/>
            <w:right w:w="108" w:type="dxa"/>
          </w:tblCellMar>
        </w:tblPrEx>
        <w:trPr>
          <w:trHeight w:val="340" w:hRule="atLeast"/>
          <w:jc w:val="center"/>
        </w:trPr>
        <w:tc>
          <w:tcPr>
            <w:tcW w:w="230" w:type="pct"/>
            <w:tcBorders>
              <w:top w:val="single" w:color="000000" w:sz="4" w:space="0"/>
              <w:left w:val="single" w:color="000000" w:sz="4" w:space="0"/>
              <w:bottom w:val="single" w:color="000000" w:sz="4" w:space="0"/>
              <w:right w:val="single" w:color="000000" w:sz="4" w:space="0"/>
            </w:tcBorders>
            <w:vAlign w:val="center"/>
          </w:tcPr>
          <w:p w14:paraId="15A854E7">
            <w:pPr>
              <w:pStyle w:val="28"/>
              <w:bidi w:val="0"/>
            </w:pPr>
            <w:r>
              <w:t>2</w:t>
            </w:r>
          </w:p>
        </w:tc>
        <w:tc>
          <w:tcPr>
            <w:tcW w:w="475" w:type="pct"/>
            <w:tcBorders>
              <w:top w:val="single" w:color="000000" w:sz="4" w:space="0"/>
              <w:left w:val="single" w:color="000000" w:sz="4" w:space="0"/>
              <w:bottom w:val="single" w:color="000000" w:sz="4" w:space="0"/>
              <w:right w:val="single" w:color="000000" w:sz="4" w:space="0"/>
            </w:tcBorders>
            <w:vAlign w:val="center"/>
          </w:tcPr>
          <w:p w14:paraId="28F7921C">
            <w:pPr>
              <w:pStyle w:val="28"/>
              <w:bidi w:val="0"/>
            </w:pPr>
            <w:r>
              <w:t>单组分聚脲防水涂料</w:t>
            </w:r>
          </w:p>
        </w:tc>
        <w:tc>
          <w:tcPr>
            <w:tcW w:w="372" w:type="pct"/>
            <w:tcBorders>
              <w:top w:val="single" w:color="000000" w:sz="4" w:space="0"/>
              <w:left w:val="single" w:color="000000" w:sz="4" w:space="0"/>
              <w:bottom w:val="single" w:color="000000" w:sz="4" w:space="0"/>
              <w:right w:val="single" w:color="000000" w:sz="4" w:space="0"/>
            </w:tcBorders>
            <w:vAlign w:val="center"/>
          </w:tcPr>
          <w:p w14:paraId="754F2D5B">
            <w:pPr>
              <w:pStyle w:val="28"/>
              <w:bidi w:val="0"/>
            </w:pPr>
            <w:r>
              <w:t>46.5m2（0.2t）</w:t>
            </w:r>
          </w:p>
        </w:tc>
        <w:tc>
          <w:tcPr>
            <w:tcW w:w="336" w:type="pct"/>
            <w:tcBorders>
              <w:top w:val="single" w:color="000000" w:sz="4" w:space="0"/>
              <w:left w:val="single" w:color="000000" w:sz="4" w:space="0"/>
              <w:bottom w:val="single" w:color="000000" w:sz="4" w:space="0"/>
              <w:right w:val="single" w:color="000000" w:sz="4" w:space="0"/>
            </w:tcBorders>
            <w:vAlign w:val="center"/>
          </w:tcPr>
          <w:p w14:paraId="0E6FF1A3">
            <w:pPr>
              <w:pStyle w:val="28"/>
              <w:bidi w:val="0"/>
            </w:pPr>
            <w:r>
              <w:t>/</w:t>
            </w:r>
          </w:p>
        </w:tc>
        <w:tc>
          <w:tcPr>
            <w:tcW w:w="230" w:type="pct"/>
            <w:tcBorders>
              <w:top w:val="single" w:color="000000" w:sz="4" w:space="0"/>
              <w:left w:val="single" w:color="000000" w:sz="4" w:space="0"/>
              <w:bottom w:val="single" w:color="000000" w:sz="4" w:space="0"/>
              <w:right w:val="single" w:color="000000" w:sz="4" w:space="0"/>
            </w:tcBorders>
            <w:vAlign w:val="center"/>
          </w:tcPr>
          <w:p w14:paraId="1AB3E596">
            <w:pPr>
              <w:pStyle w:val="28"/>
              <w:bidi w:val="0"/>
            </w:pPr>
            <w:r>
              <w:t>25kg/桶</w:t>
            </w:r>
          </w:p>
        </w:tc>
        <w:tc>
          <w:tcPr>
            <w:tcW w:w="339" w:type="pct"/>
            <w:tcBorders>
              <w:top w:val="single" w:color="000000" w:sz="4" w:space="0"/>
              <w:left w:val="single" w:color="000000" w:sz="4" w:space="0"/>
              <w:bottom w:val="single" w:color="000000" w:sz="4" w:space="0"/>
              <w:right w:val="single" w:color="000000" w:sz="4" w:space="0"/>
            </w:tcBorders>
            <w:vAlign w:val="center"/>
          </w:tcPr>
          <w:p w14:paraId="6696F2CA">
            <w:pPr>
              <w:pStyle w:val="28"/>
              <w:bidi w:val="0"/>
            </w:pPr>
            <w:r>
              <w:t>0.025t</w:t>
            </w:r>
          </w:p>
        </w:tc>
        <w:tc>
          <w:tcPr>
            <w:tcW w:w="376" w:type="pct"/>
            <w:tcBorders>
              <w:top w:val="single" w:color="000000" w:sz="4" w:space="0"/>
              <w:left w:val="single" w:color="000000" w:sz="4" w:space="0"/>
              <w:bottom w:val="single" w:color="000000" w:sz="4" w:space="0"/>
              <w:right w:val="single" w:color="000000" w:sz="4" w:space="0"/>
            </w:tcBorders>
            <w:vAlign w:val="center"/>
          </w:tcPr>
          <w:p w14:paraId="6CAD0155">
            <w:pPr>
              <w:pStyle w:val="28"/>
              <w:bidi w:val="0"/>
            </w:pPr>
            <w:r>
              <w:t>/</w:t>
            </w:r>
          </w:p>
        </w:tc>
        <w:tc>
          <w:tcPr>
            <w:tcW w:w="1310" w:type="pct"/>
            <w:tcBorders>
              <w:top w:val="single" w:color="000000" w:sz="4" w:space="0"/>
              <w:left w:val="single" w:color="000000" w:sz="4" w:space="0"/>
              <w:bottom w:val="single" w:color="000000" w:sz="4" w:space="0"/>
              <w:right w:val="single" w:color="000000" w:sz="4" w:space="0"/>
            </w:tcBorders>
            <w:vAlign w:val="center"/>
          </w:tcPr>
          <w:p w14:paraId="0D32FEEF">
            <w:pPr>
              <w:pStyle w:val="28"/>
              <w:bidi w:val="0"/>
            </w:pPr>
            <w:r>
              <w:t>以功能性聚醚多元醇、脂肪族异氰酸酯及固化剂为主要反应原料，与多种助剂和填料配制而成（其中固分占80%，挥发分约占5%）</w:t>
            </w:r>
          </w:p>
        </w:tc>
        <w:tc>
          <w:tcPr>
            <w:tcW w:w="637" w:type="pct"/>
            <w:tcBorders>
              <w:top w:val="single" w:color="000000" w:sz="4" w:space="0"/>
              <w:left w:val="single" w:color="000000" w:sz="4" w:space="0"/>
              <w:bottom w:val="single" w:color="000000" w:sz="4" w:space="0"/>
              <w:right w:val="single" w:color="000000" w:sz="4" w:space="0"/>
            </w:tcBorders>
            <w:vAlign w:val="center"/>
          </w:tcPr>
          <w:p w14:paraId="0C78851B">
            <w:pPr>
              <w:pStyle w:val="28"/>
              <w:bidi w:val="0"/>
            </w:pPr>
            <w:r>
              <w:t>灰色膏状，可燃，稳定，相对密度（水=1）：1.22</w:t>
            </w:r>
          </w:p>
        </w:tc>
        <w:tc>
          <w:tcPr>
            <w:tcW w:w="689" w:type="pct"/>
            <w:tcBorders>
              <w:top w:val="single" w:color="000000" w:sz="4" w:space="0"/>
              <w:left w:val="single" w:color="000000" w:sz="4" w:space="0"/>
              <w:bottom w:val="single" w:color="000000" w:sz="4" w:space="0"/>
              <w:right w:val="single" w:color="000000" w:sz="4" w:space="0"/>
            </w:tcBorders>
            <w:vAlign w:val="center"/>
          </w:tcPr>
          <w:p w14:paraId="218A798C">
            <w:pPr>
              <w:pStyle w:val="28"/>
              <w:bidi w:val="0"/>
            </w:pPr>
            <w:r>
              <w:t>具有防水性、耐黄变、高强度，良好的抗冲磨、抗老化性能，与多种基材粘结性优良</w:t>
            </w:r>
          </w:p>
        </w:tc>
      </w:tr>
      <w:tr w14:paraId="7215C11F">
        <w:tblPrEx>
          <w:tblCellMar>
            <w:top w:w="0" w:type="dxa"/>
            <w:left w:w="108" w:type="dxa"/>
            <w:bottom w:w="0" w:type="dxa"/>
            <w:right w:w="108" w:type="dxa"/>
          </w:tblCellMar>
        </w:tblPrEx>
        <w:trPr>
          <w:trHeight w:val="340" w:hRule="atLeast"/>
          <w:jc w:val="center"/>
        </w:trPr>
        <w:tc>
          <w:tcPr>
            <w:tcW w:w="230" w:type="pct"/>
            <w:tcBorders>
              <w:top w:val="single" w:color="000000" w:sz="4" w:space="0"/>
              <w:left w:val="single" w:color="000000" w:sz="4" w:space="0"/>
              <w:bottom w:val="single" w:color="000000" w:sz="4" w:space="0"/>
              <w:right w:val="single" w:color="000000" w:sz="4" w:space="0"/>
            </w:tcBorders>
            <w:vAlign w:val="center"/>
          </w:tcPr>
          <w:p w14:paraId="1543D05F">
            <w:pPr>
              <w:pStyle w:val="28"/>
              <w:bidi w:val="0"/>
            </w:pPr>
            <w:r>
              <w:t>3</w:t>
            </w:r>
          </w:p>
        </w:tc>
        <w:tc>
          <w:tcPr>
            <w:tcW w:w="475" w:type="pct"/>
            <w:tcBorders>
              <w:top w:val="single" w:color="000000" w:sz="4" w:space="0"/>
              <w:left w:val="single" w:color="000000" w:sz="4" w:space="0"/>
              <w:bottom w:val="single" w:color="000000" w:sz="4" w:space="0"/>
              <w:right w:val="single" w:color="000000" w:sz="4" w:space="0"/>
            </w:tcBorders>
            <w:vAlign w:val="center"/>
          </w:tcPr>
          <w:p w14:paraId="04E03FB0">
            <w:pPr>
              <w:pStyle w:val="28"/>
              <w:bidi w:val="0"/>
            </w:pPr>
            <w:r>
              <w:t>高性能改性聚合物修补砂浆</w:t>
            </w:r>
          </w:p>
        </w:tc>
        <w:tc>
          <w:tcPr>
            <w:tcW w:w="372" w:type="pct"/>
            <w:tcBorders>
              <w:top w:val="single" w:color="000000" w:sz="4" w:space="0"/>
              <w:left w:val="single" w:color="000000" w:sz="4" w:space="0"/>
              <w:bottom w:val="single" w:color="000000" w:sz="4" w:space="0"/>
              <w:right w:val="single" w:color="000000" w:sz="4" w:space="0"/>
            </w:tcBorders>
            <w:vAlign w:val="center"/>
          </w:tcPr>
          <w:p w14:paraId="115A0418">
            <w:pPr>
              <w:pStyle w:val="28"/>
              <w:bidi w:val="0"/>
            </w:pPr>
            <w:r>
              <w:t>340.6m2（6.2t）</w:t>
            </w:r>
          </w:p>
        </w:tc>
        <w:tc>
          <w:tcPr>
            <w:tcW w:w="336" w:type="pct"/>
            <w:tcBorders>
              <w:top w:val="single" w:color="000000" w:sz="4" w:space="0"/>
              <w:left w:val="single" w:color="000000" w:sz="4" w:space="0"/>
              <w:bottom w:val="single" w:color="000000" w:sz="4" w:space="0"/>
              <w:right w:val="single" w:color="000000" w:sz="4" w:space="0"/>
            </w:tcBorders>
            <w:vAlign w:val="center"/>
          </w:tcPr>
          <w:p w14:paraId="2F008D92">
            <w:pPr>
              <w:pStyle w:val="28"/>
              <w:bidi w:val="0"/>
            </w:pPr>
            <w:r>
              <w:t>/</w:t>
            </w:r>
          </w:p>
        </w:tc>
        <w:tc>
          <w:tcPr>
            <w:tcW w:w="230" w:type="pct"/>
            <w:tcBorders>
              <w:top w:val="single" w:color="000000" w:sz="4" w:space="0"/>
              <w:left w:val="single" w:color="000000" w:sz="4" w:space="0"/>
              <w:bottom w:val="single" w:color="000000" w:sz="4" w:space="0"/>
              <w:right w:val="single" w:color="000000" w:sz="4" w:space="0"/>
            </w:tcBorders>
            <w:vAlign w:val="center"/>
          </w:tcPr>
          <w:p w14:paraId="55C69E33">
            <w:pPr>
              <w:pStyle w:val="28"/>
              <w:bidi w:val="0"/>
            </w:pPr>
            <w:r>
              <w:t>25kg/桶</w:t>
            </w:r>
          </w:p>
        </w:tc>
        <w:tc>
          <w:tcPr>
            <w:tcW w:w="339" w:type="pct"/>
            <w:tcBorders>
              <w:top w:val="single" w:color="000000" w:sz="4" w:space="0"/>
              <w:left w:val="single" w:color="000000" w:sz="4" w:space="0"/>
              <w:bottom w:val="single" w:color="000000" w:sz="4" w:space="0"/>
              <w:right w:val="single" w:color="000000" w:sz="4" w:space="0"/>
            </w:tcBorders>
            <w:vAlign w:val="center"/>
          </w:tcPr>
          <w:p w14:paraId="09B32CF4">
            <w:pPr>
              <w:pStyle w:val="28"/>
              <w:bidi w:val="0"/>
            </w:pPr>
            <w:r>
              <w:t>0.357t</w:t>
            </w:r>
          </w:p>
        </w:tc>
        <w:tc>
          <w:tcPr>
            <w:tcW w:w="376" w:type="pct"/>
            <w:tcBorders>
              <w:top w:val="single" w:color="000000" w:sz="4" w:space="0"/>
              <w:left w:val="single" w:color="000000" w:sz="4" w:space="0"/>
              <w:bottom w:val="single" w:color="000000" w:sz="4" w:space="0"/>
              <w:right w:val="single" w:color="000000" w:sz="4" w:space="0"/>
            </w:tcBorders>
            <w:vAlign w:val="center"/>
          </w:tcPr>
          <w:p w14:paraId="74FB5360">
            <w:pPr>
              <w:pStyle w:val="28"/>
              <w:bidi w:val="0"/>
            </w:pPr>
            <w:r>
              <w:t>/</w:t>
            </w:r>
          </w:p>
        </w:tc>
        <w:tc>
          <w:tcPr>
            <w:tcW w:w="1310" w:type="pct"/>
            <w:tcBorders>
              <w:top w:val="single" w:color="000000" w:sz="4" w:space="0"/>
              <w:left w:val="single" w:color="000000" w:sz="4" w:space="0"/>
              <w:bottom w:val="single" w:color="000000" w:sz="4" w:space="0"/>
              <w:right w:val="single" w:color="000000" w:sz="4" w:space="0"/>
            </w:tcBorders>
            <w:vAlign w:val="center"/>
          </w:tcPr>
          <w:p w14:paraId="3F564CB2">
            <w:pPr>
              <w:pStyle w:val="28"/>
              <w:bidi w:val="0"/>
            </w:pPr>
            <w:r>
              <w:t>少量水溶性聚合物改性剂，再掺入一定量的活性成分、膨胀成分而配制成的聚合物防渗、防碳化、防腐砂浆</w:t>
            </w:r>
          </w:p>
        </w:tc>
        <w:tc>
          <w:tcPr>
            <w:tcW w:w="637" w:type="pct"/>
            <w:tcBorders>
              <w:top w:val="single" w:color="000000" w:sz="4" w:space="0"/>
              <w:left w:val="single" w:color="000000" w:sz="4" w:space="0"/>
              <w:bottom w:val="single" w:color="000000" w:sz="4" w:space="0"/>
              <w:right w:val="single" w:color="000000" w:sz="4" w:space="0"/>
            </w:tcBorders>
            <w:vAlign w:val="center"/>
          </w:tcPr>
          <w:p w14:paraId="50A9A9B2">
            <w:pPr>
              <w:pStyle w:val="28"/>
              <w:bidi w:val="0"/>
            </w:pPr>
            <w:r>
              <w:t>/</w:t>
            </w:r>
          </w:p>
        </w:tc>
        <w:tc>
          <w:tcPr>
            <w:tcW w:w="689" w:type="pct"/>
            <w:tcBorders>
              <w:top w:val="single" w:color="000000" w:sz="4" w:space="0"/>
              <w:left w:val="single" w:color="000000" w:sz="4" w:space="0"/>
              <w:bottom w:val="single" w:color="000000" w:sz="4" w:space="0"/>
              <w:right w:val="single" w:color="000000" w:sz="4" w:space="0"/>
            </w:tcBorders>
            <w:vAlign w:val="center"/>
          </w:tcPr>
          <w:p w14:paraId="7254B38E">
            <w:pPr>
              <w:pStyle w:val="28"/>
              <w:bidi w:val="0"/>
            </w:pPr>
            <w:r>
              <w:t>/</w:t>
            </w:r>
          </w:p>
        </w:tc>
      </w:tr>
      <w:tr w14:paraId="302BEAF4">
        <w:tblPrEx>
          <w:tblCellMar>
            <w:top w:w="0" w:type="dxa"/>
            <w:left w:w="108" w:type="dxa"/>
            <w:bottom w:w="0" w:type="dxa"/>
            <w:right w:w="108" w:type="dxa"/>
          </w:tblCellMar>
        </w:tblPrEx>
        <w:trPr>
          <w:trHeight w:val="340" w:hRule="atLeast"/>
          <w:jc w:val="center"/>
        </w:trPr>
        <w:tc>
          <w:tcPr>
            <w:tcW w:w="230" w:type="pct"/>
            <w:tcBorders>
              <w:top w:val="single" w:color="000000" w:sz="4" w:space="0"/>
              <w:left w:val="single" w:color="000000" w:sz="4" w:space="0"/>
              <w:bottom w:val="single" w:color="000000" w:sz="4" w:space="0"/>
              <w:right w:val="single" w:color="000000" w:sz="4" w:space="0"/>
            </w:tcBorders>
            <w:vAlign w:val="center"/>
          </w:tcPr>
          <w:p w14:paraId="63DB1DB2">
            <w:pPr>
              <w:pStyle w:val="28"/>
              <w:bidi w:val="0"/>
            </w:pPr>
            <w:r>
              <w:t>4</w:t>
            </w:r>
          </w:p>
        </w:tc>
        <w:tc>
          <w:tcPr>
            <w:tcW w:w="475" w:type="pct"/>
            <w:tcBorders>
              <w:top w:val="single" w:color="000000" w:sz="4" w:space="0"/>
              <w:left w:val="single" w:color="000000" w:sz="4" w:space="0"/>
              <w:bottom w:val="single" w:color="000000" w:sz="4" w:space="0"/>
              <w:right w:val="single" w:color="000000" w:sz="4" w:space="0"/>
            </w:tcBorders>
            <w:vAlign w:val="center"/>
          </w:tcPr>
          <w:p w14:paraId="62F69A6D">
            <w:pPr>
              <w:pStyle w:val="28"/>
              <w:bidi w:val="0"/>
            </w:pPr>
            <w:r>
              <w:t>渗透型氟硅防护涂料</w:t>
            </w:r>
          </w:p>
        </w:tc>
        <w:tc>
          <w:tcPr>
            <w:tcW w:w="372" w:type="pct"/>
            <w:tcBorders>
              <w:top w:val="single" w:color="000000" w:sz="4" w:space="0"/>
              <w:left w:val="single" w:color="000000" w:sz="4" w:space="0"/>
              <w:bottom w:val="single" w:color="000000" w:sz="4" w:space="0"/>
              <w:right w:val="single" w:color="000000" w:sz="4" w:space="0"/>
            </w:tcBorders>
            <w:vAlign w:val="center"/>
          </w:tcPr>
          <w:p w14:paraId="22DD66A0">
            <w:pPr>
              <w:pStyle w:val="28"/>
              <w:bidi w:val="0"/>
            </w:pPr>
            <w:r>
              <w:t>415m2（1.14t）</w:t>
            </w:r>
          </w:p>
        </w:tc>
        <w:tc>
          <w:tcPr>
            <w:tcW w:w="336" w:type="pct"/>
            <w:tcBorders>
              <w:top w:val="single" w:color="000000" w:sz="4" w:space="0"/>
              <w:left w:val="single" w:color="000000" w:sz="4" w:space="0"/>
              <w:bottom w:val="single" w:color="000000" w:sz="4" w:space="0"/>
              <w:right w:val="single" w:color="000000" w:sz="4" w:space="0"/>
            </w:tcBorders>
            <w:vAlign w:val="center"/>
          </w:tcPr>
          <w:p w14:paraId="22E75BEB">
            <w:pPr>
              <w:pStyle w:val="28"/>
              <w:bidi w:val="0"/>
            </w:pPr>
            <w:r>
              <w:t>/</w:t>
            </w:r>
          </w:p>
        </w:tc>
        <w:tc>
          <w:tcPr>
            <w:tcW w:w="230" w:type="pct"/>
            <w:tcBorders>
              <w:top w:val="single" w:color="000000" w:sz="4" w:space="0"/>
              <w:left w:val="single" w:color="000000" w:sz="4" w:space="0"/>
              <w:bottom w:val="single" w:color="000000" w:sz="4" w:space="0"/>
              <w:right w:val="single" w:color="000000" w:sz="4" w:space="0"/>
            </w:tcBorders>
            <w:vAlign w:val="center"/>
          </w:tcPr>
          <w:p w14:paraId="70172538">
            <w:pPr>
              <w:pStyle w:val="28"/>
              <w:bidi w:val="0"/>
            </w:pPr>
            <w:r>
              <w:t>25kg/桶</w:t>
            </w:r>
          </w:p>
        </w:tc>
        <w:tc>
          <w:tcPr>
            <w:tcW w:w="339" w:type="pct"/>
            <w:tcBorders>
              <w:top w:val="single" w:color="000000" w:sz="4" w:space="0"/>
              <w:left w:val="single" w:color="000000" w:sz="4" w:space="0"/>
              <w:bottom w:val="single" w:color="000000" w:sz="4" w:space="0"/>
              <w:right w:val="single" w:color="000000" w:sz="4" w:space="0"/>
            </w:tcBorders>
            <w:vAlign w:val="center"/>
          </w:tcPr>
          <w:p w14:paraId="4998D9E6">
            <w:pPr>
              <w:pStyle w:val="28"/>
              <w:bidi w:val="0"/>
            </w:pPr>
            <w:r>
              <w:t>0.054t</w:t>
            </w:r>
          </w:p>
        </w:tc>
        <w:tc>
          <w:tcPr>
            <w:tcW w:w="376" w:type="pct"/>
            <w:tcBorders>
              <w:top w:val="single" w:color="000000" w:sz="4" w:space="0"/>
              <w:left w:val="single" w:color="000000" w:sz="4" w:space="0"/>
              <w:bottom w:val="single" w:color="000000" w:sz="4" w:space="0"/>
              <w:right w:val="single" w:color="000000" w:sz="4" w:space="0"/>
            </w:tcBorders>
            <w:vAlign w:val="center"/>
          </w:tcPr>
          <w:p w14:paraId="0CC83A91">
            <w:pPr>
              <w:pStyle w:val="28"/>
              <w:bidi w:val="0"/>
            </w:pPr>
            <w:r>
              <w:t>/</w:t>
            </w:r>
          </w:p>
        </w:tc>
        <w:tc>
          <w:tcPr>
            <w:tcW w:w="1310" w:type="pct"/>
            <w:tcBorders>
              <w:top w:val="single" w:color="000000" w:sz="4" w:space="0"/>
              <w:left w:val="single" w:color="000000" w:sz="4" w:space="0"/>
              <w:bottom w:val="single" w:color="000000" w:sz="4" w:space="0"/>
              <w:right w:val="single" w:color="000000" w:sz="4" w:space="0"/>
            </w:tcBorders>
            <w:vAlign w:val="center"/>
          </w:tcPr>
          <w:p w14:paraId="5C4FF9DE">
            <w:pPr>
              <w:pStyle w:val="28"/>
              <w:bidi w:val="0"/>
            </w:pPr>
            <w:r>
              <w:t>以水性氟硅树脂、分散剂、消泡剂、偶联剂等液料，及钛白粉、炭黑、云母粉等一些粉料构成</w:t>
            </w:r>
          </w:p>
        </w:tc>
        <w:tc>
          <w:tcPr>
            <w:tcW w:w="637" w:type="pct"/>
            <w:tcBorders>
              <w:top w:val="single" w:color="000000" w:sz="4" w:space="0"/>
              <w:left w:val="single" w:color="000000" w:sz="4" w:space="0"/>
              <w:bottom w:val="single" w:color="000000" w:sz="4" w:space="0"/>
              <w:right w:val="single" w:color="000000" w:sz="4" w:space="0"/>
            </w:tcBorders>
            <w:vAlign w:val="center"/>
          </w:tcPr>
          <w:p w14:paraId="206F293A">
            <w:pPr>
              <w:pStyle w:val="28"/>
              <w:bidi w:val="0"/>
            </w:pPr>
            <w:r>
              <w:t>可燃，稳定，相对密度（水=1）：1.2</w:t>
            </w:r>
          </w:p>
        </w:tc>
        <w:tc>
          <w:tcPr>
            <w:tcW w:w="689" w:type="pct"/>
            <w:tcBorders>
              <w:top w:val="single" w:color="000000" w:sz="4" w:space="0"/>
              <w:left w:val="single" w:color="000000" w:sz="4" w:space="0"/>
              <w:bottom w:val="single" w:color="000000" w:sz="4" w:space="0"/>
              <w:right w:val="single" w:color="000000" w:sz="4" w:space="0"/>
            </w:tcBorders>
            <w:vAlign w:val="center"/>
          </w:tcPr>
          <w:p w14:paraId="56DD172C">
            <w:pPr>
              <w:pStyle w:val="28"/>
              <w:bidi w:val="0"/>
            </w:pPr>
            <w:r>
              <w:t>基于氟-硅复合体系的渗透型混凝土用双组分防护材料，A、B两组分组成，渗透成膜，渗透深度可达3～4mm，涂布于混凝土表面，起到耐盐碱、耐氯离子、防水防腐、防碳化的防护效果</w:t>
            </w:r>
          </w:p>
        </w:tc>
      </w:tr>
      <w:tr w14:paraId="0D9FE6CB">
        <w:tblPrEx>
          <w:tblCellMar>
            <w:top w:w="0" w:type="dxa"/>
            <w:left w:w="108" w:type="dxa"/>
            <w:bottom w:w="0" w:type="dxa"/>
            <w:right w:w="108" w:type="dxa"/>
          </w:tblCellMar>
        </w:tblPrEx>
        <w:trPr>
          <w:trHeight w:val="340" w:hRule="atLeast"/>
          <w:jc w:val="center"/>
        </w:trPr>
        <w:tc>
          <w:tcPr>
            <w:tcW w:w="230" w:type="pct"/>
            <w:tcBorders>
              <w:top w:val="single" w:color="000000" w:sz="4" w:space="0"/>
              <w:left w:val="single" w:color="000000" w:sz="4" w:space="0"/>
              <w:bottom w:val="single" w:color="000000" w:sz="4" w:space="0"/>
              <w:right w:val="single" w:color="000000" w:sz="4" w:space="0"/>
            </w:tcBorders>
            <w:vAlign w:val="center"/>
          </w:tcPr>
          <w:p w14:paraId="7486889A">
            <w:pPr>
              <w:pStyle w:val="28"/>
              <w:bidi w:val="0"/>
            </w:pPr>
            <w:r>
              <w:t>5</w:t>
            </w:r>
          </w:p>
        </w:tc>
        <w:tc>
          <w:tcPr>
            <w:tcW w:w="475" w:type="pct"/>
            <w:tcBorders>
              <w:top w:val="single" w:color="000000" w:sz="4" w:space="0"/>
              <w:left w:val="single" w:color="000000" w:sz="4" w:space="0"/>
              <w:bottom w:val="single" w:color="000000" w:sz="4" w:space="0"/>
              <w:right w:val="single" w:color="000000" w:sz="4" w:space="0"/>
            </w:tcBorders>
            <w:vAlign w:val="center"/>
          </w:tcPr>
          <w:p w14:paraId="69956F16">
            <w:pPr>
              <w:pStyle w:val="28"/>
              <w:bidi w:val="0"/>
            </w:pPr>
            <w:r>
              <w:t>聚氨酯密封胶</w:t>
            </w:r>
          </w:p>
        </w:tc>
        <w:tc>
          <w:tcPr>
            <w:tcW w:w="372" w:type="pct"/>
            <w:tcBorders>
              <w:top w:val="single" w:color="000000" w:sz="4" w:space="0"/>
              <w:left w:val="single" w:color="000000" w:sz="4" w:space="0"/>
              <w:bottom w:val="single" w:color="000000" w:sz="4" w:space="0"/>
              <w:right w:val="single" w:color="000000" w:sz="4" w:space="0"/>
            </w:tcBorders>
            <w:vAlign w:val="center"/>
          </w:tcPr>
          <w:p w14:paraId="42B24DD1">
            <w:pPr>
              <w:pStyle w:val="28"/>
              <w:bidi w:val="0"/>
            </w:pPr>
            <w:r>
              <w:t>5m2（1t）</w:t>
            </w:r>
          </w:p>
        </w:tc>
        <w:tc>
          <w:tcPr>
            <w:tcW w:w="336" w:type="pct"/>
            <w:tcBorders>
              <w:top w:val="single" w:color="000000" w:sz="4" w:space="0"/>
              <w:left w:val="single" w:color="000000" w:sz="4" w:space="0"/>
              <w:bottom w:val="single" w:color="000000" w:sz="4" w:space="0"/>
              <w:right w:val="single" w:color="000000" w:sz="4" w:space="0"/>
            </w:tcBorders>
            <w:vAlign w:val="center"/>
          </w:tcPr>
          <w:p w14:paraId="2AEDBB23">
            <w:pPr>
              <w:pStyle w:val="28"/>
              <w:bidi w:val="0"/>
            </w:pPr>
            <w:r>
              <w:t>/</w:t>
            </w:r>
          </w:p>
        </w:tc>
        <w:tc>
          <w:tcPr>
            <w:tcW w:w="230" w:type="pct"/>
            <w:tcBorders>
              <w:top w:val="single" w:color="000000" w:sz="4" w:space="0"/>
              <w:left w:val="single" w:color="000000" w:sz="4" w:space="0"/>
              <w:bottom w:val="single" w:color="000000" w:sz="4" w:space="0"/>
              <w:right w:val="single" w:color="000000" w:sz="4" w:space="0"/>
            </w:tcBorders>
            <w:vAlign w:val="center"/>
          </w:tcPr>
          <w:p w14:paraId="0BA88847">
            <w:pPr>
              <w:pStyle w:val="28"/>
              <w:bidi w:val="0"/>
            </w:pPr>
            <w:r>
              <w:t>25kg/桶</w:t>
            </w:r>
          </w:p>
        </w:tc>
        <w:tc>
          <w:tcPr>
            <w:tcW w:w="339" w:type="pct"/>
            <w:tcBorders>
              <w:top w:val="single" w:color="000000" w:sz="4" w:space="0"/>
              <w:left w:val="single" w:color="000000" w:sz="4" w:space="0"/>
              <w:bottom w:val="single" w:color="000000" w:sz="4" w:space="0"/>
              <w:right w:val="single" w:color="000000" w:sz="4" w:space="0"/>
            </w:tcBorders>
            <w:vAlign w:val="center"/>
          </w:tcPr>
          <w:p w14:paraId="3AD4CF1F">
            <w:pPr>
              <w:pStyle w:val="28"/>
              <w:bidi w:val="0"/>
            </w:pPr>
            <w:r>
              <w:t>0.095t</w:t>
            </w:r>
          </w:p>
        </w:tc>
        <w:tc>
          <w:tcPr>
            <w:tcW w:w="376" w:type="pct"/>
            <w:tcBorders>
              <w:top w:val="single" w:color="000000" w:sz="4" w:space="0"/>
              <w:left w:val="single" w:color="000000" w:sz="4" w:space="0"/>
              <w:bottom w:val="single" w:color="000000" w:sz="4" w:space="0"/>
              <w:right w:val="single" w:color="000000" w:sz="4" w:space="0"/>
            </w:tcBorders>
            <w:vAlign w:val="center"/>
          </w:tcPr>
          <w:p w14:paraId="57C265D5">
            <w:pPr>
              <w:pStyle w:val="28"/>
              <w:bidi w:val="0"/>
            </w:pPr>
            <w:r>
              <w:t>/</w:t>
            </w:r>
          </w:p>
        </w:tc>
        <w:tc>
          <w:tcPr>
            <w:tcW w:w="1310" w:type="pct"/>
            <w:tcBorders>
              <w:top w:val="single" w:color="000000" w:sz="4" w:space="0"/>
              <w:left w:val="single" w:color="000000" w:sz="4" w:space="0"/>
              <w:bottom w:val="single" w:color="000000" w:sz="4" w:space="0"/>
              <w:right w:val="single" w:color="000000" w:sz="4" w:space="0"/>
            </w:tcBorders>
            <w:vAlign w:val="center"/>
          </w:tcPr>
          <w:p w14:paraId="0306EF75">
            <w:pPr>
              <w:pStyle w:val="28"/>
              <w:bidi w:val="0"/>
            </w:pPr>
            <w:r>
              <w:t>聚氨酯橡胶及聚氨酯预聚体为主要成分的密封胶</w:t>
            </w:r>
          </w:p>
        </w:tc>
        <w:tc>
          <w:tcPr>
            <w:tcW w:w="637" w:type="pct"/>
            <w:tcBorders>
              <w:top w:val="single" w:color="000000" w:sz="4" w:space="0"/>
              <w:left w:val="single" w:color="000000" w:sz="4" w:space="0"/>
              <w:bottom w:val="single" w:color="000000" w:sz="4" w:space="0"/>
              <w:right w:val="single" w:color="000000" w:sz="4" w:space="0"/>
            </w:tcBorders>
            <w:vAlign w:val="center"/>
          </w:tcPr>
          <w:p w14:paraId="457E699E">
            <w:pPr>
              <w:pStyle w:val="28"/>
              <w:bidi w:val="0"/>
            </w:pPr>
            <w:r>
              <w:t>密度：1.1</w:t>
            </w:r>
            <w:r>
              <w:rPr>
                <w:rFonts w:hint="eastAsia"/>
              </w:rPr>
              <w:t>～</w:t>
            </w:r>
            <w:r>
              <w:t>1.2g/cm3；固含量：95%</w:t>
            </w:r>
          </w:p>
        </w:tc>
        <w:tc>
          <w:tcPr>
            <w:tcW w:w="689" w:type="pct"/>
            <w:tcBorders>
              <w:top w:val="single" w:color="000000" w:sz="4" w:space="0"/>
              <w:left w:val="single" w:color="000000" w:sz="4" w:space="0"/>
              <w:bottom w:val="single" w:color="000000" w:sz="4" w:space="0"/>
              <w:right w:val="single" w:color="000000" w:sz="4" w:space="0"/>
            </w:tcBorders>
            <w:vAlign w:val="center"/>
          </w:tcPr>
          <w:p w14:paraId="517D95AD">
            <w:pPr>
              <w:pStyle w:val="28"/>
              <w:bidi w:val="0"/>
            </w:pPr>
            <w:r>
              <w:t>固含量高，水性，不含溶剂</w:t>
            </w:r>
          </w:p>
        </w:tc>
      </w:tr>
      <w:tr w14:paraId="160241AD">
        <w:tblPrEx>
          <w:tblCellMar>
            <w:top w:w="0" w:type="dxa"/>
            <w:left w:w="108" w:type="dxa"/>
            <w:bottom w:w="0" w:type="dxa"/>
            <w:right w:w="108" w:type="dxa"/>
          </w:tblCellMar>
        </w:tblPrEx>
        <w:trPr>
          <w:trHeight w:val="340" w:hRule="atLeast"/>
          <w:jc w:val="center"/>
        </w:trPr>
        <w:tc>
          <w:tcPr>
            <w:tcW w:w="230" w:type="pct"/>
            <w:tcBorders>
              <w:top w:val="single" w:color="000000" w:sz="4" w:space="0"/>
              <w:left w:val="single" w:color="000000" w:sz="4" w:space="0"/>
              <w:bottom w:val="single" w:color="000000" w:sz="4" w:space="0"/>
              <w:right w:val="single" w:color="000000" w:sz="4" w:space="0"/>
            </w:tcBorders>
            <w:vAlign w:val="center"/>
          </w:tcPr>
          <w:p w14:paraId="187F74D5">
            <w:pPr>
              <w:pStyle w:val="28"/>
              <w:bidi w:val="0"/>
            </w:pPr>
            <w:r>
              <w:t>6</w:t>
            </w:r>
          </w:p>
        </w:tc>
        <w:tc>
          <w:tcPr>
            <w:tcW w:w="475" w:type="pct"/>
            <w:tcBorders>
              <w:top w:val="single" w:color="000000" w:sz="4" w:space="0"/>
              <w:left w:val="single" w:color="000000" w:sz="4" w:space="0"/>
              <w:bottom w:val="single" w:color="000000" w:sz="4" w:space="0"/>
              <w:right w:val="single" w:color="000000" w:sz="4" w:space="0"/>
            </w:tcBorders>
            <w:vAlign w:val="center"/>
          </w:tcPr>
          <w:p w14:paraId="14C87735">
            <w:pPr>
              <w:pStyle w:val="28"/>
              <w:bidi w:val="0"/>
            </w:pPr>
            <w:r>
              <w:t>水溶性聚氨酯灌浆</w:t>
            </w:r>
          </w:p>
        </w:tc>
        <w:tc>
          <w:tcPr>
            <w:tcW w:w="372" w:type="pct"/>
            <w:tcBorders>
              <w:top w:val="single" w:color="000000" w:sz="4" w:space="0"/>
              <w:left w:val="single" w:color="000000" w:sz="4" w:space="0"/>
              <w:bottom w:val="single" w:color="000000" w:sz="4" w:space="0"/>
              <w:right w:val="single" w:color="000000" w:sz="4" w:space="0"/>
            </w:tcBorders>
            <w:vAlign w:val="center"/>
          </w:tcPr>
          <w:p w14:paraId="30302309">
            <w:pPr>
              <w:pStyle w:val="28"/>
              <w:bidi w:val="0"/>
            </w:pPr>
            <w:r>
              <w:t>40m2（1t）</w:t>
            </w:r>
          </w:p>
        </w:tc>
        <w:tc>
          <w:tcPr>
            <w:tcW w:w="336" w:type="pct"/>
            <w:tcBorders>
              <w:top w:val="single" w:color="000000" w:sz="4" w:space="0"/>
              <w:left w:val="single" w:color="000000" w:sz="4" w:space="0"/>
              <w:bottom w:val="single" w:color="000000" w:sz="4" w:space="0"/>
              <w:right w:val="single" w:color="000000" w:sz="4" w:space="0"/>
            </w:tcBorders>
            <w:vAlign w:val="center"/>
          </w:tcPr>
          <w:p w14:paraId="531EDE85">
            <w:pPr>
              <w:pStyle w:val="28"/>
              <w:bidi w:val="0"/>
            </w:pPr>
            <w:r>
              <w:t>/</w:t>
            </w:r>
          </w:p>
        </w:tc>
        <w:tc>
          <w:tcPr>
            <w:tcW w:w="230" w:type="pct"/>
            <w:tcBorders>
              <w:top w:val="single" w:color="000000" w:sz="4" w:space="0"/>
              <w:left w:val="single" w:color="000000" w:sz="4" w:space="0"/>
              <w:bottom w:val="single" w:color="000000" w:sz="4" w:space="0"/>
              <w:right w:val="single" w:color="000000" w:sz="4" w:space="0"/>
            </w:tcBorders>
            <w:vAlign w:val="center"/>
          </w:tcPr>
          <w:p w14:paraId="2EDBC758">
            <w:pPr>
              <w:pStyle w:val="28"/>
              <w:bidi w:val="0"/>
            </w:pPr>
            <w:r>
              <w:t>25kg/桶</w:t>
            </w:r>
          </w:p>
        </w:tc>
        <w:tc>
          <w:tcPr>
            <w:tcW w:w="715" w:type="pct"/>
            <w:gridSpan w:val="2"/>
            <w:tcBorders>
              <w:top w:val="single" w:color="000000" w:sz="4" w:space="0"/>
              <w:left w:val="single" w:color="000000" w:sz="4" w:space="0"/>
              <w:bottom w:val="single" w:color="000000" w:sz="4" w:space="0"/>
              <w:right w:val="single" w:color="000000" w:sz="4" w:space="0"/>
            </w:tcBorders>
            <w:vAlign w:val="center"/>
          </w:tcPr>
          <w:p w14:paraId="2BA11305">
            <w:pPr>
              <w:pStyle w:val="28"/>
              <w:bidi w:val="0"/>
            </w:pPr>
            <w:r>
              <w:t>暂存量</w:t>
            </w:r>
          </w:p>
        </w:tc>
        <w:tc>
          <w:tcPr>
            <w:tcW w:w="1310" w:type="pct"/>
            <w:tcBorders>
              <w:top w:val="single" w:color="000000" w:sz="4" w:space="0"/>
              <w:left w:val="single" w:color="000000" w:sz="4" w:space="0"/>
              <w:bottom w:val="single" w:color="000000" w:sz="4" w:space="0"/>
              <w:right w:val="single" w:color="000000" w:sz="4" w:space="0"/>
            </w:tcBorders>
            <w:vAlign w:val="center"/>
          </w:tcPr>
          <w:p w14:paraId="31C3EB02">
            <w:pPr>
              <w:pStyle w:val="28"/>
              <w:bidi w:val="0"/>
            </w:pPr>
            <w:r>
              <w:rPr>
                <w:rFonts w:hint="eastAsia"/>
              </w:rPr>
              <w:t>单组分</w:t>
            </w:r>
            <w:r>
              <w:t>高分子聚合物材料</w:t>
            </w:r>
          </w:p>
        </w:tc>
        <w:tc>
          <w:tcPr>
            <w:tcW w:w="637" w:type="pct"/>
            <w:tcBorders>
              <w:top w:val="single" w:color="000000" w:sz="4" w:space="0"/>
              <w:left w:val="single" w:color="000000" w:sz="4" w:space="0"/>
              <w:bottom w:val="single" w:color="000000" w:sz="4" w:space="0"/>
              <w:right w:val="single" w:color="000000" w:sz="4" w:space="0"/>
            </w:tcBorders>
            <w:vAlign w:val="center"/>
          </w:tcPr>
          <w:p w14:paraId="3AA46FF1">
            <w:pPr>
              <w:pStyle w:val="28"/>
              <w:bidi w:val="0"/>
            </w:pPr>
            <w:r>
              <w:t>淡棕色透明液体，密度：0.98</w:t>
            </w:r>
            <w:r>
              <w:rPr>
                <w:rFonts w:hint="eastAsia"/>
              </w:rPr>
              <w:t>～</w:t>
            </w:r>
            <w:r>
              <w:t>1.1g/cm3</w:t>
            </w:r>
          </w:p>
        </w:tc>
        <w:tc>
          <w:tcPr>
            <w:tcW w:w="689" w:type="pct"/>
            <w:tcBorders>
              <w:top w:val="single" w:color="000000" w:sz="4" w:space="0"/>
              <w:left w:val="single" w:color="000000" w:sz="4" w:space="0"/>
              <w:bottom w:val="single" w:color="000000" w:sz="4" w:space="0"/>
              <w:right w:val="single" w:color="000000" w:sz="4" w:space="0"/>
            </w:tcBorders>
            <w:vAlign w:val="center"/>
          </w:tcPr>
          <w:p w14:paraId="279739B0">
            <w:pPr>
              <w:pStyle w:val="28"/>
              <w:bidi w:val="0"/>
            </w:pPr>
            <w:r>
              <w:t>固含量高，水性，不含溶剂</w:t>
            </w:r>
          </w:p>
        </w:tc>
      </w:tr>
    </w:tbl>
    <w:p w14:paraId="2A0B3B1F">
      <w:pPr>
        <w:rPr>
          <w:color w:val="0000FF"/>
        </w:rPr>
      </w:pPr>
    </w:p>
    <w:p w14:paraId="40E188F1">
      <w:pPr>
        <w:ind w:firstLine="482"/>
        <w:rPr>
          <w:rFonts w:cs="Times New Roman"/>
          <w:b/>
          <w:color w:val="0000FF"/>
        </w:rPr>
        <w:sectPr>
          <w:pgSz w:w="11905" w:h="16838"/>
          <w:pgMar w:top="1417" w:right="1417" w:bottom="1417" w:left="1417" w:header="850" w:footer="850" w:gutter="0"/>
          <w:pgNumType w:fmt="decimal"/>
          <w:cols w:space="0" w:num="1"/>
          <w:rtlGutter w:val="0"/>
          <w:docGrid w:linePitch="326" w:charSpace="0"/>
        </w:sectPr>
      </w:pPr>
    </w:p>
    <w:p w14:paraId="5C92BEDE">
      <w:pPr>
        <w:widowControl w:val="0"/>
        <w:ind w:firstLine="480" w:firstLineChars="200"/>
        <w:rPr>
          <w:rFonts w:cs="Times New Roman"/>
          <w:color w:val="0000FF"/>
        </w:rPr>
      </w:pPr>
      <w:r>
        <w:rPr>
          <w:rFonts w:cs="Times New Roman"/>
          <w:color w:val="0000FF"/>
        </w:rPr>
        <w:t>（1）涂料、胶粘剂相关技术规范符合性</w:t>
      </w:r>
    </w:p>
    <w:p w14:paraId="36AB3D83">
      <w:pPr>
        <w:widowControl w:val="0"/>
        <w:ind w:firstLine="480" w:firstLineChars="200"/>
        <w:rPr>
          <w:rFonts w:cs="Times New Roman"/>
          <w:color w:val="0000FF"/>
        </w:rPr>
      </w:pPr>
      <w:r>
        <w:rPr>
          <w:rFonts w:cs="Times New Roman"/>
          <w:color w:val="0000FF"/>
        </w:rPr>
        <w:t>项目拟用聚氨酯密封胶为水性、固含量较高，根据项目一期工程实际情况，聚氨酯密封胶中不含有挥发性有机溶剂成分，符合《胶粘剂挥发性有机化合物限量》（GB33372-2020）</w:t>
      </w:r>
    </w:p>
    <w:p w14:paraId="5F486BA3">
      <w:pPr>
        <w:ind w:firstLine="480" w:firstLineChars="200"/>
        <w:rPr>
          <w:rFonts w:cs="Times New Roman"/>
          <w:color w:val="0000FF"/>
        </w:rPr>
      </w:pPr>
      <w:r>
        <w:rPr>
          <w:rFonts w:cs="Times New Roman"/>
          <w:color w:val="0000FF"/>
        </w:rPr>
        <w:t>项目拟使用单组分聚脲防水涂料固含量约为80%，挥发性含量约为5%，涂料密度约为1.22g/cm</w:t>
      </w:r>
      <w:r>
        <w:rPr>
          <w:rFonts w:cs="Times New Roman"/>
          <w:color w:val="0000FF"/>
          <w:vertAlign w:val="superscript"/>
        </w:rPr>
        <w:t>3</w:t>
      </w:r>
      <w:r>
        <w:rPr>
          <w:rFonts w:cs="Times New Roman"/>
          <w:color w:val="0000FF"/>
        </w:rPr>
        <w:t>，挥发性有机物含量约为41g/L，满足《低挥发性有机化合物涂料产品技术要求》（GB/T3897-2020）中工业防护涂料—混凝土防护涂料—封闭底≤250g/L。</w:t>
      </w:r>
    </w:p>
    <w:p w14:paraId="2A22401C">
      <w:pPr>
        <w:ind w:firstLine="480" w:firstLineChars="200"/>
        <w:rPr>
          <w:rFonts w:cs="Times New Roman"/>
          <w:color w:val="0000FF"/>
        </w:rPr>
      </w:pPr>
      <w:r>
        <w:rPr>
          <w:rFonts w:cs="Times New Roman"/>
          <w:color w:val="0000FF"/>
        </w:rPr>
        <w:t>（2）物料理化性质分析</w:t>
      </w:r>
    </w:p>
    <w:p w14:paraId="79C51221">
      <w:pPr>
        <w:ind w:firstLine="480" w:firstLineChars="200"/>
        <w:rPr>
          <w:rFonts w:cs="Times New Roman"/>
          <w:color w:val="0000FF"/>
        </w:rPr>
      </w:pPr>
      <w:r>
        <w:rPr>
          <w:rFonts w:cs="Times New Roman"/>
          <w:color w:val="0000FF"/>
        </w:rPr>
        <w:t>单组分聚脲防水涂料：具有更好的操作性、经济性、方便施工。它是一种以功能性聚醚多元醇、脂肪族异氰酸酯及潜固化剂为主要原料，与多种助剂和填料配制而成的高分子材料，接触空气中的湿气室温固化，在整个反应过程不生成二氧化碳，可成膜任意厚度而不起泡。根据用途，手刮聚脲可分为自流平聚脲和触变型聚脲，对坡度小于3度的混凝土平面，使用自流平聚脲施工方便、速度快；对坡度大于3度的混凝土平面、立面和顶面，使用触变型聚脲，每次刮涂厚度小于1mm，可以保证不发生流淌。该产品为外露环保型涂料，具有抗紫外线性能和抗太阳暴晒性能，耐黄变。具有-40℃的低温柔性，能适应高寒地区的低温环境，尤其是能抵抗低温时混凝土开裂引起的形变而不渗漏。</w:t>
      </w:r>
    </w:p>
    <w:p w14:paraId="62B8B164">
      <w:pPr>
        <w:ind w:firstLine="480" w:firstLineChars="200"/>
        <w:rPr>
          <w:rFonts w:cs="Times New Roman"/>
          <w:color w:val="0000FF"/>
        </w:rPr>
      </w:pPr>
      <w:r>
        <w:rPr>
          <w:rFonts w:cs="Times New Roman"/>
          <w:color w:val="0000FF"/>
        </w:rPr>
        <w:t>渗透型纳米氟硅涂料：是一种以水性氟碳树脂为成膜物质、有机硅为渗透材料、基于氟-硅复合体系的渗透型混凝土用防护材料，渗透深度可达2～3mm，附着力达一级，形成既允许混凝土内部与外界进行水气交换、又防止外界水分子进入混凝土内部的渗透膜结构，具有防水、防腐、防碳化、耐候的防护效果。其主要特点为：</w:t>
      </w:r>
    </w:p>
    <w:p w14:paraId="564EBCC6">
      <w:pPr>
        <w:ind w:firstLine="480" w:firstLineChars="200"/>
        <w:rPr>
          <w:rFonts w:cs="Times New Roman"/>
          <w:color w:val="0000FF"/>
        </w:rPr>
      </w:pPr>
      <w:r>
        <w:rPr>
          <w:rFonts w:cs="Times New Roman"/>
          <w:color w:val="0000FF"/>
        </w:rPr>
        <w:t>①防水、防氯离子侵蚀：能减少90%以上的水渗透和95%以上的氯离子渗透，大大延缓混凝土的劣化；</w:t>
      </w:r>
    </w:p>
    <w:p w14:paraId="0BE638D9">
      <w:pPr>
        <w:ind w:firstLine="480" w:firstLineChars="200"/>
        <w:rPr>
          <w:rFonts w:cs="Times New Roman"/>
          <w:color w:val="0000FF"/>
        </w:rPr>
      </w:pPr>
      <w:r>
        <w:rPr>
          <w:rFonts w:cs="Times New Roman"/>
          <w:color w:val="0000FF"/>
        </w:rPr>
        <w:t>②优异的耐候性：经200次以上高低温循环和2000h紫外线照射后，涂层性能保持完好；</w:t>
      </w:r>
    </w:p>
    <w:p w14:paraId="7068AF1C">
      <w:pPr>
        <w:ind w:firstLine="480" w:firstLineChars="200"/>
        <w:rPr>
          <w:rFonts w:cs="Times New Roman"/>
          <w:color w:val="0000FF"/>
        </w:rPr>
      </w:pPr>
      <w:r>
        <w:rPr>
          <w:rFonts w:cs="Times New Roman"/>
          <w:color w:val="0000FF"/>
        </w:rPr>
        <w:t>③高工作性：同基材有良好的附着力，可以辊涂和刷涂、喷涂，低温渗透成膜，容易施工；</w:t>
      </w:r>
    </w:p>
    <w:p w14:paraId="3A10D937">
      <w:pPr>
        <w:ind w:firstLine="480" w:firstLineChars="200"/>
        <w:rPr>
          <w:rFonts w:cs="Times New Roman"/>
          <w:color w:val="0000FF"/>
        </w:rPr>
      </w:pPr>
      <w:r>
        <w:rPr>
          <w:rFonts w:cs="Times New Roman"/>
          <w:color w:val="0000FF"/>
        </w:rPr>
        <w:t>④绿色环保：无挥发性组分、无污染，固化物无毒、耐化学介质性好，施工过程对人体影响小。</w:t>
      </w:r>
    </w:p>
    <w:p w14:paraId="3E53BA07">
      <w:pPr>
        <w:ind w:firstLine="480" w:firstLineChars="200"/>
        <w:rPr>
          <w:rFonts w:cs="Times New Roman"/>
          <w:color w:val="0000FF"/>
        </w:rPr>
      </w:pPr>
      <w:r>
        <w:rPr>
          <w:rFonts w:cs="Times New Roman"/>
          <w:color w:val="0000FF"/>
        </w:rPr>
        <w:t>⑤单向呼吸性：在槽身内壁涂刷聚脲防水涂料的前提下，不影响槽身通过外壁进行水气交换，使槽身内潮气正常散发出来；</w:t>
      </w:r>
    </w:p>
    <w:p w14:paraId="1D123F2E">
      <w:pPr>
        <w:ind w:firstLine="480" w:firstLineChars="200"/>
        <w:rPr>
          <w:rFonts w:cs="Times New Roman"/>
          <w:color w:val="0000FF"/>
        </w:rPr>
      </w:pPr>
      <w:r>
        <w:rPr>
          <w:rFonts w:cs="Times New Roman"/>
          <w:color w:val="0000FF"/>
        </w:rPr>
        <w:t>⑥适应温差范围：-25℃—80℃。</w:t>
      </w:r>
    </w:p>
    <w:p w14:paraId="2FC742FF">
      <w:pPr>
        <w:pStyle w:val="4"/>
        <w:rPr>
          <w:color w:val="0000FF"/>
        </w:rPr>
      </w:pPr>
      <w:r>
        <w:rPr>
          <w:rFonts w:hint="eastAsia"/>
          <w:color w:val="0000FF"/>
        </w:rPr>
        <w:t xml:space="preserve">2.4.9 </w:t>
      </w:r>
      <w:r>
        <w:rPr>
          <w:color w:val="0000FF"/>
        </w:rPr>
        <w:t>施工机械设备</w:t>
      </w:r>
    </w:p>
    <w:p w14:paraId="6F41CBE9">
      <w:pPr>
        <w:ind w:firstLine="480"/>
        <w:rPr>
          <w:rFonts w:cs="Times New Roman"/>
          <w:color w:val="0000FF"/>
        </w:rPr>
      </w:pPr>
      <w:r>
        <w:rPr>
          <w:rFonts w:cs="Times New Roman"/>
          <w:color w:val="0000FF"/>
        </w:rPr>
        <w:t>根据施工进度安排，工程所需主要施工机械设备见表2-</w:t>
      </w:r>
      <w:r>
        <w:rPr>
          <w:rFonts w:hint="eastAsia" w:cs="Times New Roman"/>
          <w:color w:val="0000FF"/>
        </w:rPr>
        <w:t>4</w:t>
      </w:r>
      <w:r>
        <w:rPr>
          <w:rFonts w:cs="Times New Roman"/>
          <w:color w:val="0000FF"/>
        </w:rPr>
        <w:t>-</w:t>
      </w:r>
      <w:r>
        <w:rPr>
          <w:rFonts w:hint="eastAsia" w:cs="Times New Roman"/>
          <w:color w:val="0000FF"/>
        </w:rPr>
        <w:t>9</w:t>
      </w:r>
      <w:r>
        <w:rPr>
          <w:rFonts w:cs="Times New Roman"/>
          <w:color w:val="0000FF"/>
        </w:rPr>
        <w:t>。</w:t>
      </w:r>
    </w:p>
    <w:p w14:paraId="645E2707">
      <w:pPr>
        <w:rPr>
          <w:color w:val="0000FF"/>
        </w:rPr>
      </w:pPr>
      <w:r>
        <w:rPr>
          <w:color w:val="0000FF"/>
        </w:rPr>
        <w:t>表2-</w:t>
      </w:r>
      <w:r>
        <w:rPr>
          <w:rFonts w:hint="eastAsia"/>
          <w:color w:val="0000FF"/>
        </w:rPr>
        <w:t>4</w:t>
      </w:r>
      <w:r>
        <w:rPr>
          <w:color w:val="0000FF"/>
        </w:rPr>
        <w:t>-</w:t>
      </w:r>
      <w:r>
        <w:rPr>
          <w:rFonts w:hint="eastAsia"/>
          <w:color w:val="0000FF"/>
        </w:rPr>
        <w:t>9</w:t>
      </w:r>
      <w:r>
        <w:rPr>
          <w:color w:val="0000FF"/>
        </w:rPr>
        <w:t xml:space="preserve">  主要施工机械设备用量汇总表</w:t>
      </w:r>
    </w:p>
    <w:tbl>
      <w:tblPr>
        <w:tblStyle w:val="16"/>
        <w:tblW w:w="499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15" w:type="dxa"/>
          <w:bottom w:w="0" w:type="dxa"/>
          <w:right w:w="115" w:type="dxa"/>
        </w:tblCellMar>
      </w:tblPr>
      <w:tblGrid>
        <w:gridCol w:w="2734"/>
        <w:gridCol w:w="3041"/>
        <w:gridCol w:w="1175"/>
        <w:gridCol w:w="2340"/>
      </w:tblGrid>
      <w:tr w14:paraId="07BC2D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6488DBDE">
            <w:pPr>
              <w:pStyle w:val="28"/>
              <w:bidi w:val="0"/>
            </w:pPr>
            <w:r>
              <w:t>机械设备名称</w:t>
            </w:r>
          </w:p>
        </w:tc>
        <w:tc>
          <w:tcPr>
            <w:tcW w:w="1636" w:type="pct"/>
            <w:vAlign w:val="center"/>
          </w:tcPr>
          <w:p w14:paraId="7662F6B0">
            <w:pPr>
              <w:pStyle w:val="28"/>
              <w:bidi w:val="0"/>
            </w:pPr>
            <w:r>
              <w:t>规格、型号</w:t>
            </w:r>
          </w:p>
        </w:tc>
        <w:tc>
          <w:tcPr>
            <w:tcW w:w="632" w:type="pct"/>
            <w:vAlign w:val="center"/>
          </w:tcPr>
          <w:p w14:paraId="00A37546">
            <w:pPr>
              <w:pStyle w:val="28"/>
              <w:bidi w:val="0"/>
            </w:pPr>
            <w:r>
              <w:t>单位</w:t>
            </w:r>
          </w:p>
        </w:tc>
        <w:tc>
          <w:tcPr>
            <w:tcW w:w="1259" w:type="pct"/>
            <w:vAlign w:val="center"/>
          </w:tcPr>
          <w:p w14:paraId="3B6A5505">
            <w:pPr>
              <w:pStyle w:val="28"/>
              <w:bidi w:val="0"/>
            </w:pPr>
            <w:r>
              <w:t>机械使用量</w:t>
            </w:r>
          </w:p>
        </w:tc>
      </w:tr>
      <w:tr w14:paraId="79FA70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71907067">
            <w:pPr>
              <w:pStyle w:val="28"/>
              <w:bidi w:val="0"/>
            </w:pPr>
            <w:r>
              <w:t>推土机</w:t>
            </w:r>
          </w:p>
        </w:tc>
        <w:tc>
          <w:tcPr>
            <w:tcW w:w="1636" w:type="pct"/>
            <w:vAlign w:val="center"/>
          </w:tcPr>
          <w:p w14:paraId="5F0AA3DF">
            <w:pPr>
              <w:pStyle w:val="28"/>
              <w:bidi w:val="0"/>
            </w:pPr>
            <w:r>
              <w:t>59kW/74kW</w:t>
            </w:r>
          </w:p>
        </w:tc>
        <w:tc>
          <w:tcPr>
            <w:tcW w:w="632" w:type="pct"/>
            <w:vAlign w:val="center"/>
          </w:tcPr>
          <w:p w14:paraId="31B93A98">
            <w:pPr>
              <w:pStyle w:val="28"/>
              <w:bidi w:val="0"/>
            </w:pPr>
            <w:r>
              <w:t>台</w:t>
            </w:r>
          </w:p>
        </w:tc>
        <w:tc>
          <w:tcPr>
            <w:tcW w:w="1259" w:type="pct"/>
            <w:vAlign w:val="center"/>
          </w:tcPr>
          <w:p w14:paraId="11769A8A">
            <w:pPr>
              <w:pStyle w:val="28"/>
              <w:bidi w:val="0"/>
            </w:pPr>
            <w:r>
              <w:t>189</w:t>
            </w:r>
          </w:p>
        </w:tc>
      </w:tr>
      <w:tr w14:paraId="16E8B6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692E3948">
            <w:pPr>
              <w:pStyle w:val="28"/>
              <w:bidi w:val="0"/>
            </w:pPr>
            <w:r>
              <w:t>履带拖拉机</w:t>
            </w:r>
          </w:p>
        </w:tc>
        <w:tc>
          <w:tcPr>
            <w:tcW w:w="1636" w:type="pct"/>
            <w:vAlign w:val="center"/>
          </w:tcPr>
          <w:p w14:paraId="2548DD5C">
            <w:pPr>
              <w:pStyle w:val="28"/>
              <w:bidi w:val="0"/>
            </w:pPr>
            <w:r>
              <w:t>74kW</w:t>
            </w:r>
          </w:p>
        </w:tc>
        <w:tc>
          <w:tcPr>
            <w:tcW w:w="632" w:type="pct"/>
            <w:vAlign w:val="center"/>
          </w:tcPr>
          <w:p w14:paraId="4B6C8532">
            <w:pPr>
              <w:pStyle w:val="28"/>
              <w:bidi w:val="0"/>
            </w:pPr>
            <w:r>
              <w:t>台</w:t>
            </w:r>
          </w:p>
        </w:tc>
        <w:tc>
          <w:tcPr>
            <w:tcW w:w="1259" w:type="pct"/>
            <w:vAlign w:val="center"/>
          </w:tcPr>
          <w:p w14:paraId="18FAA26F">
            <w:pPr>
              <w:pStyle w:val="28"/>
              <w:bidi w:val="0"/>
            </w:pPr>
            <w:r>
              <w:t>130</w:t>
            </w:r>
          </w:p>
        </w:tc>
      </w:tr>
      <w:tr w14:paraId="4065C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53B9C644">
            <w:pPr>
              <w:pStyle w:val="28"/>
              <w:bidi w:val="0"/>
            </w:pPr>
            <w:r>
              <w:t>反铲挖掘机</w:t>
            </w:r>
          </w:p>
        </w:tc>
        <w:tc>
          <w:tcPr>
            <w:tcW w:w="1636" w:type="pct"/>
            <w:vAlign w:val="center"/>
          </w:tcPr>
          <w:p w14:paraId="27FB8252">
            <w:pPr>
              <w:pStyle w:val="28"/>
              <w:bidi w:val="0"/>
            </w:pPr>
            <w:r>
              <w:t>1.0m³</w:t>
            </w:r>
          </w:p>
        </w:tc>
        <w:tc>
          <w:tcPr>
            <w:tcW w:w="632" w:type="pct"/>
            <w:vAlign w:val="center"/>
          </w:tcPr>
          <w:p w14:paraId="0A106AAA">
            <w:pPr>
              <w:pStyle w:val="28"/>
              <w:bidi w:val="0"/>
            </w:pPr>
            <w:r>
              <w:t>台</w:t>
            </w:r>
          </w:p>
        </w:tc>
        <w:tc>
          <w:tcPr>
            <w:tcW w:w="1259" w:type="pct"/>
            <w:vAlign w:val="center"/>
          </w:tcPr>
          <w:p w14:paraId="3BDCB707">
            <w:pPr>
              <w:pStyle w:val="28"/>
              <w:bidi w:val="0"/>
            </w:pPr>
            <w:r>
              <w:t>256</w:t>
            </w:r>
          </w:p>
        </w:tc>
      </w:tr>
      <w:tr w14:paraId="480E61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765A1F19">
            <w:pPr>
              <w:pStyle w:val="28"/>
              <w:bidi w:val="0"/>
            </w:pPr>
            <w:r>
              <w:t>液压破碎镐</w:t>
            </w:r>
          </w:p>
        </w:tc>
        <w:tc>
          <w:tcPr>
            <w:tcW w:w="1636" w:type="pct"/>
            <w:vAlign w:val="center"/>
          </w:tcPr>
          <w:p w14:paraId="5106AF7B">
            <w:pPr>
              <w:pStyle w:val="28"/>
              <w:bidi w:val="0"/>
            </w:pPr>
            <w:r>
              <w:t>/</w:t>
            </w:r>
          </w:p>
        </w:tc>
        <w:tc>
          <w:tcPr>
            <w:tcW w:w="632" w:type="pct"/>
            <w:vAlign w:val="center"/>
          </w:tcPr>
          <w:p w14:paraId="23CC5E7F">
            <w:pPr>
              <w:pStyle w:val="28"/>
              <w:bidi w:val="0"/>
            </w:pPr>
            <w:r>
              <w:t>台</w:t>
            </w:r>
          </w:p>
        </w:tc>
        <w:tc>
          <w:tcPr>
            <w:tcW w:w="1259" w:type="pct"/>
            <w:vAlign w:val="center"/>
          </w:tcPr>
          <w:p w14:paraId="7FECDF92">
            <w:pPr>
              <w:pStyle w:val="28"/>
              <w:bidi w:val="0"/>
            </w:pPr>
            <w:r>
              <w:t>15</w:t>
            </w:r>
          </w:p>
        </w:tc>
      </w:tr>
      <w:tr w14:paraId="625299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02A67404">
            <w:pPr>
              <w:pStyle w:val="28"/>
              <w:bidi w:val="0"/>
            </w:pPr>
            <w:r>
              <w:t>电动振捣器</w:t>
            </w:r>
          </w:p>
        </w:tc>
        <w:tc>
          <w:tcPr>
            <w:tcW w:w="1636" w:type="pct"/>
            <w:vAlign w:val="center"/>
          </w:tcPr>
          <w:p w14:paraId="4845846E">
            <w:pPr>
              <w:pStyle w:val="28"/>
              <w:bidi w:val="0"/>
            </w:pPr>
            <w:r>
              <w:t>插入式</w:t>
            </w:r>
          </w:p>
        </w:tc>
        <w:tc>
          <w:tcPr>
            <w:tcW w:w="632" w:type="pct"/>
            <w:vAlign w:val="center"/>
          </w:tcPr>
          <w:p w14:paraId="0439040C">
            <w:pPr>
              <w:pStyle w:val="28"/>
              <w:bidi w:val="0"/>
            </w:pPr>
            <w:r>
              <w:t>台</w:t>
            </w:r>
          </w:p>
        </w:tc>
        <w:tc>
          <w:tcPr>
            <w:tcW w:w="1259" w:type="pct"/>
            <w:vAlign w:val="center"/>
          </w:tcPr>
          <w:p w14:paraId="6084D675">
            <w:pPr>
              <w:pStyle w:val="28"/>
              <w:bidi w:val="0"/>
            </w:pPr>
            <w:r>
              <w:t>66</w:t>
            </w:r>
          </w:p>
        </w:tc>
      </w:tr>
      <w:tr w14:paraId="055D67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656658A2">
            <w:pPr>
              <w:pStyle w:val="28"/>
              <w:bidi w:val="0"/>
            </w:pPr>
            <w:r>
              <w:t>自卸汽车</w:t>
            </w:r>
          </w:p>
        </w:tc>
        <w:tc>
          <w:tcPr>
            <w:tcW w:w="1636" w:type="pct"/>
            <w:vAlign w:val="center"/>
          </w:tcPr>
          <w:p w14:paraId="11D667F8">
            <w:pPr>
              <w:pStyle w:val="28"/>
              <w:bidi w:val="0"/>
            </w:pPr>
            <w:r>
              <w:t>8t</w:t>
            </w:r>
          </w:p>
        </w:tc>
        <w:tc>
          <w:tcPr>
            <w:tcW w:w="632" w:type="pct"/>
            <w:vAlign w:val="center"/>
          </w:tcPr>
          <w:p w14:paraId="79AC34A7">
            <w:pPr>
              <w:pStyle w:val="28"/>
              <w:bidi w:val="0"/>
            </w:pPr>
            <w:r>
              <w:t>辆</w:t>
            </w:r>
          </w:p>
        </w:tc>
        <w:tc>
          <w:tcPr>
            <w:tcW w:w="1259" w:type="pct"/>
            <w:vAlign w:val="center"/>
          </w:tcPr>
          <w:p w14:paraId="437EB840">
            <w:pPr>
              <w:pStyle w:val="28"/>
              <w:bidi w:val="0"/>
            </w:pPr>
            <w:r>
              <w:t>572</w:t>
            </w:r>
          </w:p>
        </w:tc>
      </w:tr>
      <w:tr w14:paraId="74C461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7A18425F">
            <w:pPr>
              <w:pStyle w:val="28"/>
              <w:bidi w:val="0"/>
            </w:pPr>
            <w:r>
              <w:t>载重汽车</w:t>
            </w:r>
          </w:p>
        </w:tc>
        <w:tc>
          <w:tcPr>
            <w:tcW w:w="1636" w:type="pct"/>
            <w:vAlign w:val="center"/>
          </w:tcPr>
          <w:p w14:paraId="1480A895">
            <w:pPr>
              <w:pStyle w:val="28"/>
              <w:bidi w:val="0"/>
            </w:pPr>
            <w:r>
              <w:t>15t</w:t>
            </w:r>
          </w:p>
        </w:tc>
        <w:tc>
          <w:tcPr>
            <w:tcW w:w="632" w:type="pct"/>
            <w:vAlign w:val="center"/>
          </w:tcPr>
          <w:p w14:paraId="3DBB5AD1">
            <w:pPr>
              <w:pStyle w:val="28"/>
              <w:bidi w:val="0"/>
            </w:pPr>
            <w:r>
              <w:t>辆</w:t>
            </w:r>
          </w:p>
        </w:tc>
        <w:tc>
          <w:tcPr>
            <w:tcW w:w="1259" w:type="pct"/>
            <w:vAlign w:val="center"/>
          </w:tcPr>
          <w:p w14:paraId="4F61EC13">
            <w:pPr>
              <w:pStyle w:val="28"/>
              <w:bidi w:val="0"/>
            </w:pPr>
            <w:r>
              <w:t>132</w:t>
            </w:r>
          </w:p>
        </w:tc>
      </w:tr>
      <w:tr w14:paraId="27A5AE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00E5584E">
            <w:pPr>
              <w:pStyle w:val="28"/>
              <w:bidi w:val="0"/>
            </w:pPr>
            <w:r>
              <w:t>压路机</w:t>
            </w:r>
          </w:p>
        </w:tc>
        <w:tc>
          <w:tcPr>
            <w:tcW w:w="1636" w:type="pct"/>
            <w:vAlign w:val="center"/>
          </w:tcPr>
          <w:p w14:paraId="6E90FDC7">
            <w:pPr>
              <w:pStyle w:val="28"/>
              <w:bidi w:val="0"/>
            </w:pPr>
            <w:r>
              <w:t>12</w:t>
            </w:r>
            <w:r>
              <w:rPr>
                <w:rFonts w:hint="eastAsia"/>
              </w:rPr>
              <w:t>～</w:t>
            </w:r>
            <w:r>
              <w:t>15t</w:t>
            </w:r>
          </w:p>
        </w:tc>
        <w:tc>
          <w:tcPr>
            <w:tcW w:w="632" w:type="pct"/>
            <w:vAlign w:val="center"/>
          </w:tcPr>
          <w:p w14:paraId="2B23E7AF">
            <w:pPr>
              <w:pStyle w:val="28"/>
              <w:bidi w:val="0"/>
            </w:pPr>
            <w:r>
              <w:t>台</w:t>
            </w:r>
          </w:p>
        </w:tc>
        <w:tc>
          <w:tcPr>
            <w:tcW w:w="1259" w:type="pct"/>
            <w:vAlign w:val="center"/>
          </w:tcPr>
          <w:p w14:paraId="5103C53D">
            <w:pPr>
              <w:pStyle w:val="28"/>
              <w:bidi w:val="0"/>
            </w:pPr>
            <w:r>
              <w:t>241</w:t>
            </w:r>
          </w:p>
        </w:tc>
      </w:tr>
      <w:tr w14:paraId="434589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5FB8FE6F">
            <w:pPr>
              <w:pStyle w:val="28"/>
              <w:bidi w:val="0"/>
            </w:pPr>
            <w:r>
              <w:t>蛙夯机</w:t>
            </w:r>
          </w:p>
        </w:tc>
        <w:tc>
          <w:tcPr>
            <w:tcW w:w="1636" w:type="pct"/>
            <w:vAlign w:val="center"/>
          </w:tcPr>
          <w:p w14:paraId="36F7BDDB">
            <w:pPr>
              <w:pStyle w:val="28"/>
              <w:bidi w:val="0"/>
            </w:pPr>
            <w:r>
              <w:t>/</w:t>
            </w:r>
          </w:p>
        </w:tc>
        <w:tc>
          <w:tcPr>
            <w:tcW w:w="632" w:type="pct"/>
            <w:vAlign w:val="center"/>
          </w:tcPr>
          <w:p w14:paraId="465BBCCB">
            <w:pPr>
              <w:pStyle w:val="28"/>
              <w:bidi w:val="0"/>
            </w:pPr>
            <w:r>
              <w:t>台</w:t>
            </w:r>
          </w:p>
        </w:tc>
        <w:tc>
          <w:tcPr>
            <w:tcW w:w="1259" w:type="pct"/>
            <w:vAlign w:val="center"/>
          </w:tcPr>
          <w:p w14:paraId="7381F4EF">
            <w:pPr>
              <w:pStyle w:val="28"/>
              <w:bidi w:val="0"/>
            </w:pPr>
            <w:r>
              <w:t>56</w:t>
            </w:r>
          </w:p>
        </w:tc>
      </w:tr>
      <w:tr w14:paraId="12BF3D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2759D7C1">
            <w:pPr>
              <w:pStyle w:val="28"/>
              <w:bidi w:val="0"/>
            </w:pPr>
            <w:r>
              <w:t>混凝土搅拌设备</w:t>
            </w:r>
          </w:p>
        </w:tc>
        <w:tc>
          <w:tcPr>
            <w:tcW w:w="1636" w:type="pct"/>
            <w:vAlign w:val="center"/>
          </w:tcPr>
          <w:p w14:paraId="15CDD0F3">
            <w:pPr>
              <w:pStyle w:val="28"/>
              <w:bidi w:val="0"/>
            </w:pPr>
            <w:r>
              <w:t>JC350型/HZ25型</w:t>
            </w:r>
          </w:p>
        </w:tc>
        <w:tc>
          <w:tcPr>
            <w:tcW w:w="632" w:type="pct"/>
            <w:vAlign w:val="center"/>
          </w:tcPr>
          <w:p w14:paraId="2CC1173B">
            <w:pPr>
              <w:pStyle w:val="28"/>
              <w:bidi w:val="0"/>
            </w:pPr>
            <w:r>
              <w:t>台</w:t>
            </w:r>
          </w:p>
        </w:tc>
        <w:tc>
          <w:tcPr>
            <w:tcW w:w="1259" w:type="pct"/>
            <w:vAlign w:val="center"/>
          </w:tcPr>
          <w:p w14:paraId="00089D4A">
            <w:pPr>
              <w:pStyle w:val="28"/>
              <w:bidi w:val="0"/>
            </w:pPr>
            <w:r>
              <w:t>84</w:t>
            </w:r>
          </w:p>
        </w:tc>
      </w:tr>
      <w:tr w14:paraId="1D09CE0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24327148">
            <w:pPr>
              <w:pStyle w:val="28"/>
              <w:bidi w:val="0"/>
            </w:pPr>
            <w:r>
              <w:t>混凝土输送泵</w:t>
            </w:r>
          </w:p>
        </w:tc>
        <w:tc>
          <w:tcPr>
            <w:tcW w:w="1636" w:type="pct"/>
            <w:vAlign w:val="center"/>
          </w:tcPr>
          <w:p w14:paraId="40B82636">
            <w:pPr>
              <w:pStyle w:val="28"/>
              <w:bidi w:val="0"/>
            </w:pPr>
            <w:r>
              <w:t>HZ40型</w:t>
            </w:r>
          </w:p>
        </w:tc>
        <w:tc>
          <w:tcPr>
            <w:tcW w:w="632" w:type="pct"/>
            <w:vAlign w:val="center"/>
          </w:tcPr>
          <w:p w14:paraId="33608869">
            <w:pPr>
              <w:pStyle w:val="28"/>
              <w:bidi w:val="0"/>
            </w:pPr>
            <w:r>
              <w:t>台</w:t>
            </w:r>
          </w:p>
        </w:tc>
        <w:tc>
          <w:tcPr>
            <w:tcW w:w="1259" w:type="pct"/>
            <w:vAlign w:val="center"/>
          </w:tcPr>
          <w:p w14:paraId="50C83B9D">
            <w:pPr>
              <w:pStyle w:val="28"/>
              <w:bidi w:val="0"/>
            </w:pPr>
            <w:r>
              <w:t>53</w:t>
            </w:r>
          </w:p>
        </w:tc>
      </w:tr>
      <w:tr w14:paraId="3DFA99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74B6CA28">
            <w:pPr>
              <w:pStyle w:val="28"/>
              <w:bidi w:val="0"/>
            </w:pPr>
            <w:r>
              <w:t>机动翻斗车</w:t>
            </w:r>
          </w:p>
        </w:tc>
        <w:tc>
          <w:tcPr>
            <w:tcW w:w="1636" w:type="pct"/>
            <w:vAlign w:val="center"/>
          </w:tcPr>
          <w:p w14:paraId="4F7DCBFB">
            <w:pPr>
              <w:pStyle w:val="28"/>
              <w:bidi w:val="0"/>
            </w:pPr>
            <w:r>
              <w:t>1t</w:t>
            </w:r>
          </w:p>
        </w:tc>
        <w:tc>
          <w:tcPr>
            <w:tcW w:w="632" w:type="pct"/>
            <w:vAlign w:val="center"/>
          </w:tcPr>
          <w:p w14:paraId="528863B7">
            <w:pPr>
              <w:pStyle w:val="28"/>
              <w:bidi w:val="0"/>
            </w:pPr>
            <w:r>
              <w:t>台</w:t>
            </w:r>
          </w:p>
        </w:tc>
        <w:tc>
          <w:tcPr>
            <w:tcW w:w="1259" w:type="pct"/>
            <w:vAlign w:val="center"/>
          </w:tcPr>
          <w:p w14:paraId="1B6BC1DA">
            <w:pPr>
              <w:pStyle w:val="28"/>
              <w:bidi w:val="0"/>
            </w:pPr>
            <w:r>
              <w:t>270</w:t>
            </w:r>
          </w:p>
        </w:tc>
      </w:tr>
      <w:tr w14:paraId="7CE87F9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46203DD1">
            <w:pPr>
              <w:pStyle w:val="28"/>
              <w:bidi w:val="0"/>
            </w:pPr>
            <w:r>
              <w:t>铲车</w:t>
            </w:r>
          </w:p>
        </w:tc>
        <w:tc>
          <w:tcPr>
            <w:tcW w:w="1636" w:type="pct"/>
            <w:vAlign w:val="center"/>
          </w:tcPr>
          <w:p w14:paraId="30644A10">
            <w:pPr>
              <w:pStyle w:val="28"/>
              <w:bidi w:val="0"/>
            </w:pPr>
            <w:r>
              <w:t>/</w:t>
            </w:r>
          </w:p>
        </w:tc>
        <w:tc>
          <w:tcPr>
            <w:tcW w:w="632" w:type="pct"/>
            <w:vAlign w:val="center"/>
          </w:tcPr>
          <w:p w14:paraId="6DEACC5C">
            <w:pPr>
              <w:pStyle w:val="28"/>
              <w:bidi w:val="0"/>
            </w:pPr>
            <w:r>
              <w:t>台</w:t>
            </w:r>
          </w:p>
        </w:tc>
        <w:tc>
          <w:tcPr>
            <w:tcW w:w="1259" w:type="pct"/>
            <w:vAlign w:val="center"/>
          </w:tcPr>
          <w:p w14:paraId="0319CE1E">
            <w:pPr>
              <w:pStyle w:val="28"/>
              <w:bidi w:val="0"/>
            </w:pPr>
            <w:r>
              <w:t>30</w:t>
            </w:r>
          </w:p>
        </w:tc>
      </w:tr>
      <w:tr w14:paraId="570A76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Merge w:val="restart"/>
            <w:vAlign w:val="center"/>
          </w:tcPr>
          <w:p w14:paraId="795204B8">
            <w:pPr>
              <w:pStyle w:val="28"/>
              <w:bidi w:val="0"/>
            </w:pPr>
            <w:r>
              <w:t>起重机</w:t>
            </w:r>
          </w:p>
        </w:tc>
        <w:tc>
          <w:tcPr>
            <w:tcW w:w="1636" w:type="pct"/>
            <w:vAlign w:val="center"/>
          </w:tcPr>
          <w:p w14:paraId="1E2B37AD">
            <w:pPr>
              <w:pStyle w:val="28"/>
              <w:bidi w:val="0"/>
            </w:pPr>
            <w:r>
              <w:t>15t</w:t>
            </w:r>
          </w:p>
        </w:tc>
        <w:tc>
          <w:tcPr>
            <w:tcW w:w="632" w:type="pct"/>
            <w:vAlign w:val="center"/>
          </w:tcPr>
          <w:p w14:paraId="50E0DA9E">
            <w:pPr>
              <w:pStyle w:val="28"/>
              <w:bidi w:val="0"/>
            </w:pPr>
            <w:r>
              <w:t>台</w:t>
            </w:r>
          </w:p>
        </w:tc>
        <w:tc>
          <w:tcPr>
            <w:tcW w:w="1259" w:type="pct"/>
            <w:vAlign w:val="center"/>
          </w:tcPr>
          <w:p w14:paraId="704CDFA5">
            <w:pPr>
              <w:pStyle w:val="28"/>
              <w:bidi w:val="0"/>
            </w:pPr>
            <w:r>
              <w:t>48</w:t>
            </w:r>
          </w:p>
        </w:tc>
      </w:tr>
      <w:tr w14:paraId="761A2EE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Merge w:val="continue"/>
            <w:vAlign w:val="center"/>
          </w:tcPr>
          <w:p w14:paraId="509A461B">
            <w:pPr>
              <w:pStyle w:val="28"/>
              <w:bidi w:val="0"/>
            </w:pPr>
          </w:p>
        </w:tc>
        <w:tc>
          <w:tcPr>
            <w:tcW w:w="1636" w:type="pct"/>
            <w:vAlign w:val="center"/>
          </w:tcPr>
          <w:p w14:paraId="7362546A">
            <w:pPr>
              <w:pStyle w:val="28"/>
              <w:bidi w:val="0"/>
            </w:pPr>
            <w:r>
              <w:t>300t</w:t>
            </w:r>
          </w:p>
        </w:tc>
        <w:tc>
          <w:tcPr>
            <w:tcW w:w="632" w:type="pct"/>
            <w:vAlign w:val="center"/>
          </w:tcPr>
          <w:p w14:paraId="34A4B777">
            <w:pPr>
              <w:pStyle w:val="28"/>
              <w:bidi w:val="0"/>
            </w:pPr>
            <w:r>
              <w:t>台</w:t>
            </w:r>
          </w:p>
        </w:tc>
        <w:tc>
          <w:tcPr>
            <w:tcW w:w="1259" w:type="pct"/>
            <w:vAlign w:val="center"/>
          </w:tcPr>
          <w:p w14:paraId="7BBCB44A">
            <w:pPr>
              <w:pStyle w:val="28"/>
              <w:bidi w:val="0"/>
            </w:pPr>
            <w:r>
              <w:t>3</w:t>
            </w:r>
          </w:p>
        </w:tc>
      </w:tr>
      <w:tr w14:paraId="04FDC1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66B54B42">
            <w:pPr>
              <w:pStyle w:val="28"/>
              <w:bidi w:val="0"/>
            </w:pPr>
            <w:r>
              <w:t>柴油发电机组</w:t>
            </w:r>
          </w:p>
        </w:tc>
        <w:tc>
          <w:tcPr>
            <w:tcW w:w="1636" w:type="pct"/>
            <w:vAlign w:val="center"/>
          </w:tcPr>
          <w:p w14:paraId="584DCFDF">
            <w:pPr>
              <w:pStyle w:val="28"/>
              <w:bidi w:val="0"/>
            </w:pPr>
            <w:r>
              <w:t>30kW/50kW</w:t>
            </w:r>
          </w:p>
        </w:tc>
        <w:tc>
          <w:tcPr>
            <w:tcW w:w="632" w:type="pct"/>
            <w:vAlign w:val="center"/>
          </w:tcPr>
          <w:p w14:paraId="0FCFC14C">
            <w:pPr>
              <w:pStyle w:val="28"/>
              <w:bidi w:val="0"/>
            </w:pPr>
            <w:r>
              <w:t>组</w:t>
            </w:r>
          </w:p>
        </w:tc>
        <w:tc>
          <w:tcPr>
            <w:tcW w:w="1259" w:type="pct"/>
            <w:vAlign w:val="center"/>
          </w:tcPr>
          <w:p w14:paraId="2220A4BB">
            <w:pPr>
              <w:pStyle w:val="28"/>
              <w:bidi w:val="0"/>
            </w:pPr>
            <w:r>
              <w:t>66</w:t>
            </w:r>
          </w:p>
        </w:tc>
      </w:tr>
      <w:tr w14:paraId="35D2AB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5C2FF464">
            <w:pPr>
              <w:pStyle w:val="28"/>
              <w:bidi w:val="0"/>
            </w:pPr>
            <w:r>
              <w:t>钢木加工设备</w:t>
            </w:r>
          </w:p>
        </w:tc>
        <w:tc>
          <w:tcPr>
            <w:tcW w:w="1636" w:type="pct"/>
            <w:vAlign w:val="center"/>
          </w:tcPr>
          <w:p w14:paraId="14BCCC8E">
            <w:pPr>
              <w:pStyle w:val="28"/>
              <w:bidi w:val="0"/>
            </w:pPr>
            <w:r>
              <w:t>/</w:t>
            </w:r>
          </w:p>
        </w:tc>
        <w:tc>
          <w:tcPr>
            <w:tcW w:w="632" w:type="pct"/>
            <w:vAlign w:val="center"/>
          </w:tcPr>
          <w:p w14:paraId="3D2631EC">
            <w:pPr>
              <w:pStyle w:val="28"/>
              <w:bidi w:val="0"/>
            </w:pPr>
            <w:r>
              <w:t>套</w:t>
            </w:r>
          </w:p>
        </w:tc>
        <w:tc>
          <w:tcPr>
            <w:tcW w:w="1259" w:type="pct"/>
            <w:vAlign w:val="center"/>
          </w:tcPr>
          <w:p w14:paraId="13A16EF2">
            <w:pPr>
              <w:pStyle w:val="28"/>
              <w:bidi w:val="0"/>
            </w:pPr>
            <w:r>
              <w:t>85</w:t>
            </w:r>
          </w:p>
        </w:tc>
      </w:tr>
      <w:tr w14:paraId="3A738C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471" w:type="pct"/>
            <w:vAlign w:val="center"/>
          </w:tcPr>
          <w:p w14:paraId="1BE18FDA">
            <w:pPr>
              <w:pStyle w:val="28"/>
              <w:bidi w:val="0"/>
            </w:pPr>
            <w:r>
              <w:t>铲运机</w:t>
            </w:r>
          </w:p>
        </w:tc>
        <w:tc>
          <w:tcPr>
            <w:tcW w:w="1636" w:type="pct"/>
            <w:vAlign w:val="center"/>
          </w:tcPr>
          <w:p w14:paraId="7809F0F7">
            <w:pPr>
              <w:pStyle w:val="28"/>
              <w:bidi w:val="0"/>
            </w:pPr>
            <w:r>
              <w:t>/</w:t>
            </w:r>
          </w:p>
        </w:tc>
        <w:tc>
          <w:tcPr>
            <w:tcW w:w="632" w:type="pct"/>
            <w:vAlign w:val="center"/>
          </w:tcPr>
          <w:p w14:paraId="56E0AEE2">
            <w:pPr>
              <w:pStyle w:val="28"/>
              <w:bidi w:val="0"/>
            </w:pPr>
            <w:r>
              <w:t>台</w:t>
            </w:r>
          </w:p>
        </w:tc>
        <w:tc>
          <w:tcPr>
            <w:tcW w:w="1259" w:type="pct"/>
            <w:vAlign w:val="center"/>
          </w:tcPr>
          <w:p w14:paraId="30D8DA6D">
            <w:pPr>
              <w:pStyle w:val="28"/>
              <w:bidi w:val="0"/>
            </w:pPr>
            <w:r>
              <w:t>3</w:t>
            </w:r>
          </w:p>
        </w:tc>
      </w:tr>
    </w:tbl>
    <w:p w14:paraId="0E901BB3">
      <w:pPr>
        <w:spacing w:line="240" w:lineRule="auto"/>
        <w:rPr>
          <w:rFonts w:cs="Times New Roman"/>
          <w:color w:val="0000FF"/>
        </w:rPr>
      </w:pPr>
    </w:p>
    <w:p w14:paraId="1BD6B45A">
      <w:pPr>
        <w:pStyle w:val="3"/>
        <w:rPr>
          <w:rFonts w:cs="Times New Roman"/>
          <w:color w:val="0000FF"/>
        </w:rPr>
      </w:pPr>
      <w:bookmarkStart w:id="30" w:name="_Toc11265"/>
      <w:r>
        <w:rPr>
          <w:rFonts w:cs="Times New Roman"/>
          <w:color w:val="0000FF"/>
        </w:rPr>
        <w:t>2.</w:t>
      </w:r>
      <w:r>
        <w:rPr>
          <w:rFonts w:hint="eastAsia" w:cs="Times New Roman"/>
          <w:color w:val="0000FF"/>
        </w:rPr>
        <w:t>5</w:t>
      </w:r>
      <w:r>
        <w:rPr>
          <w:rFonts w:cs="Times New Roman"/>
          <w:color w:val="0000FF"/>
        </w:rPr>
        <w:t xml:space="preserve"> 建设征地与移民安置</w:t>
      </w:r>
      <w:bookmarkEnd w:id="30"/>
    </w:p>
    <w:p w14:paraId="0E489E16">
      <w:pPr>
        <w:pStyle w:val="4"/>
        <w:rPr>
          <w:rFonts w:cs="Times New Roman"/>
          <w:color w:val="0000FF"/>
        </w:rPr>
      </w:pPr>
      <w:r>
        <w:rPr>
          <w:rFonts w:cs="Times New Roman"/>
          <w:color w:val="0000FF"/>
        </w:rPr>
        <w:t>2.</w:t>
      </w:r>
      <w:r>
        <w:rPr>
          <w:rFonts w:hint="eastAsia" w:cs="Times New Roman"/>
          <w:color w:val="0000FF"/>
        </w:rPr>
        <w:t>5</w:t>
      </w:r>
      <w:r>
        <w:rPr>
          <w:rFonts w:cs="Times New Roman"/>
          <w:color w:val="0000FF"/>
        </w:rPr>
        <w:t>.1 工程占地</w:t>
      </w:r>
    </w:p>
    <w:p w14:paraId="05A41159">
      <w:pPr>
        <w:ind w:firstLine="480"/>
        <w:rPr>
          <w:rFonts w:cs="Times New Roman"/>
          <w:color w:val="0000FF"/>
        </w:rPr>
      </w:pPr>
      <w:r>
        <w:rPr>
          <w:rFonts w:cs="Times New Roman"/>
          <w:color w:val="0000FF"/>
        </w:rPr>
        <w:t>工程建设征地分为永久占地和临时占地。项目永久占地</w:t>
      </w:r>
      <w:r>
        <w:rPr>
          <w:rFonts w:hint="eastAsia" w:cs="Times New Roman"/>
          <w:color w:val="0000FF"/>
        </w:rPr>
        <w:t>445.83</w:t>
      </w:r>
      <w:r>
        <w:rPr>
          <w:rFonts w:cs="Times New Roman"/>
          <w:color w:val="0000FF"/>
        </w:rPr>
        <w:t>hm</w:t>
      </w:r>
      <w:r>
        <w:rPr>
          <w:rFonts w:cs="Times New Roman"/>
          <w:color w:val="0000FF"/>
          <w:vertAlign w:val="superscript"/>
        </w:rPr>
        <w:t>2</w:t>
      </w:r>
      <w:r>
        <w:rPr>
          <w:rFonts w:cs="Times New Roman"/>
          <w:color w:val="0000FF"/>
        </w:rPr>
        <w:t>，均在灌区管理范围内，临时占地面积</w:t>
      </w:r>
      <w:r>
        <w:rPr>
          <w:rFonts w:hint="eastAsia" w:cs="Times New Roman"/>
          <w:color w:val="0000FF"/>
        </w:rPr>
        <w:t>167.15</w:t>
      </w:r>
      <w:r>
        <w:rPr>
          <w:rFonts w:cs="Times New Roman"/>
          <w:color w:val="0000FF"/>
        </w:rPr>
        <w:t>hm</w:t>
      </w:r>
      <w:r>
        <w:rPr>
          <w:rFonts w:cs="Times New Roman"/>
          <w:color w:val="0000FF"/>
          <w:vertAlign w:val="superscript"/>
        </w:rPr>
        <w:t>2</w:t>
      </w:r>
      <w:r>
        <w:rPr>
          <w:rFonts w:cs="Times New Roman"/>
          <w:color w:val="0000FF"/>
        </w:rPr>
        <w:t>。</w:t>
      </w:r>
    </w:p>
    <w:p w14:paraId="46FBA3CD">
      <w:pPr>
        <w:ind w:firstLine="480"/>
        <w:rPr>
          <w:rFonts w:cs="Times New Roman"/>
          <w:color w:val="0000FF"/>
        </w:rPr>
      </w:pPr>
      <w:r>
        <w:rPr>
          <w:rFonts w:cs="Times New Roman"/>
          <w:color w:val="0000FF"/>
        </w:rPr>
        <w:t>临时占地包括取土区、弃土区、临时堆土区、施工布置等占地范围，其中施工布置占地包括施工道路、施工场地等。范围内主要为耕地。</w:t>
      </w:r>
    </w:p>
    <w:p w14:paraId="43E3886E">
      <w:pPr>
        <w:ind w:firstLine="480" w:firstLineChars="200"/>
        <w:rPr>
          <w:rFonts w:cs="Times New Roman"/>
          <w:color w:val="0000FF"/>
        </w:rPr>
      </w:pPr>
    </w:p>
    <w:p w14:paraId="17E0950F">
      <w:pPr>
        <w:rPr>
          <w:color w:val="0000FF"/>
        </w:rPr>
        <w:sectPr>
          <w:headerReference r:id="rId25" w:type="default"/>
          <w:footerReference r:id="rId26" w:type="default"/>
          <w:pgSz w:w="11905" w:h="16838"/>
          <w:pgMar w:top="1417" w:right="1417" w:bottom="1417" w:left="1417" w:header="850" w:footer="850" w:gutter="0"/>
          <w:pgNumType w:fmt="decimal"/>
          <w:cols w:space="0" w:num="1"/>
          <w:rtlGutter w:val="0"/>
          <w:docGrid w:linePitch="326" w:charSpace="0"/>
        </w:sectPr>
      </w:pPr>
    </w:p>
    <w:p w14:paraId="2BF23454">
      <w:pPr>
        <w:rPr>
          <w:color w:val="0000FF"/>
        </w:rPr>
      </w:pPr>
      <w:r>
        <w:rPr>
          <w:color w:val="0000FF"/>
        </w:rPr>
        <w:t>表2-</w:t>
      </w:r>
      <w:r>
        <w:rPr>
          <w:rFonts w:hint="eastAsia"/>
          <w:color w:val="0000FF"/>
        </w:rPr>
        <w:t>5</w:t>
      </w:r>
      <w:r>
        <w:rPr>
          <w:color w:val="0000FF"/>
        </w:rPr>
        <w:t>-</w:t>
      </w:r>
      <w:r>
        <w:rPr>
          <w:rFonts w:hint="eastAsia"/>
          <w:color w:val="0000FF"/>
        </w:rPr>
        <w:t>1</w:t>
      </w:r>
      <w:r>
        <w:rPr>
          <w:color w:val="0000FF"/>
        </w:rPr>
        <w:t xml:space="preserve">  项目新增占地统计一览表单位：</w:t>
      </w:r>
      <w:r>
        <w:rPr>
          <w:rFonts w:hint="eastAsia"/>
          <w:color w:val="0000FF"/>
        </w:rPr>
        <w:t>hm</w:t>
      </w:r>
      <w:r>
        <w:rPr>
          <w:rFonts w:hint="eastAsia"/>
          <w:color w:val="0000FF"/>
          <w:vertAlign w:val="superscript"/>
        </w:rPr>
        <w:t>2</w:t>
      </w:r>
    </w:p>
    <w:tbl>
      <w:tblPr>
        <w:tblStyle w:val="16"/>
        <w:tblW w:w="4998" w:type="pct"/>
        <w:jc w:val="center"/>
        <w:tblLayout w:type="autofit"/>
        <w:tblCellMar>
          <w:top w:w="0" w:type="dxa"/>
          <w:left w:w="108" w:type="dxa"/>
          <w:bottom w:w="0" w:type="dxa"/>
          <w:right w:w="108" w:type="dxa"/>
        </w:tblCellMar>
      </w:tblPr>
      <w:tblGrid>
        <w:gridCol w:w="504"/>
        <w:gridCol w:w="774"/>
        <w:gridCol w:w="426"/>
        <w:gridCol w:w="794"/>
        <w:gridCol w:w="584"/>
        <w:gridCol w:w="689"/>
        <w:gridCol w:w="689"/>
        <w:gridCol w:w="689"/>
        <w:gridCol w:w="689"/>
        <w:gridCol w:w="689"/>
        <w:gridCol w:w="584"/>
        <w:gridCol w:w="584"/>
        <w:gridCol w:w="794"/>
        <w:gridCol w:w="794"/>
      </w:tblGrid>
      <w:tr w14:paraId="1DAEFD0C">
        <w:tblPrEx>
          <w:tblCellMar>
            <w:top w:w="0" w:type="dxa"/>
            <w:left w:w="108" w:type="dxa"/>
            <w:bottom w:w="0" w:type="dxa"/>
            <w:right w:w="108" w:type="dxa"/>
          </w:tblCellMar>
        </w:tblPrEx>
        <w:trPr>
          <w:trHeight w:val="340" w:hRule="atLeast"/>
          <w:jc w:val="center"/>
        </w:trPr>
        <w:tc>
          <w:tcPr>
            <w:tcW w:w="263" w:type="pct"/>
            <w:vMerge w:val="restart"/>
            <w:tcBorders>
              <w:top w:val="single" w:color="000000" w:sz="4" w:space="0"/>
              <w:left w:val="single" w:color="000000" w:sz="4" w:space="0"/>
              <w:bottom w:val="single" w:color="000000" w:sz="4" w:space="0"/>
              <w:right w:val="single" w:color="000000" w:sz="4" w:space="0"/>
            </w:tcBorders>
            <w:textDirection w:val="tbRlV"/>
            <w:vAlign w:val="center"/>
          </w:tcPr>
          <w:p w14:paraId="4F0B8C9D">
            <w:pPr>
              <w:pStyle w:val="28"/>
              <w:bidi w:val="0"/>
            </w:pPr>
            <w:r>
              <w:t>序号</w:t>
            </w:r>
          </w:p>
        </w:tc>
        <w:tc>
          <w:tcPr>
            <w:tcW w:w="597" w:type="pct"/>
            <w:vMerge w:val="restart"/>
            <w:tcBorders>
              <w:top w:val="single" w:color="000000" w:sz="4" w:space="0"/>
              <w:left w:val="single" w:color="000000" w:sz="4" w:space="0"/>
              <w:bottom w:val="single" w:color="000000" w:sz="4" w:space="0"/>
              <w:right w:val="single" w:color="000000" w:sz="4" w:space="0"/>
            </w:tcBorders>
            <w:vAlign w:val="center"/>
          </w:tcPr>
          <w:p w14:paraId="7A56136A">
            <w:pPr>
              <w:pStyle w:val="28"/>
              <w:bidi w:val="0"/>
            </w:pPr>
            <w:r>
              <w:t>项目名称</w:t>
            </w:r>
          </w:p>
        </w:tc>
        <w:tc>
          <w:tcPr>
            <w:tcW w:w="263" w:type="pct"/>
            <w:vMerge w:val="restart"/>
            <w:tcBorders>
              <w:top w:val="single" w:color="000000" w:sz="4" w:space="0"/>
              <w:left w:val="single" w:color="000000" w:sz="4" w:space="0"/>
              <w:bottom w:val="single" w:color="000000" w:sz="4" w:space="0"/>
              <w:right w:val="single" w:color="000000" w:sz="4" w:space="0"/>
            </w:tcBorders>
            <w:vAlign w:val="center"/>
          </w:tcPr>
          <w:p w14:paraId="4C22030A">
            <w:pPr>
              <w:pStyle w:val="28"/>
              <w:bidi w:val="0"/>
            </w:pPr>
            <w:r>
              <w:t>区县</w:t>
            </w:r>
          </w:p>
        </w:tc>
        <w:tc>
          <w:tcPr>
            <w:tcW w:w="308" w:type="pct"/>
            <w:tcBorders>
              <w:top w:val="single" w:color="000000" w:sz="4" w:space="0"/>
              <w:left w:val="single" w:color="000000" w:sz="4" w:space="0"/>
              <w:bottom w:val="single" w:color="000000" w:sz="4" w:space="0"/>
              <w:right w:val="single" w:color="000000" w:sz="4" w:space="0"/>
            </w:tcBorders>
            <w:vAlign w:val="center"/>
          </w:tcPr>
          <w:p w14:paraId="1E89713E">
            <w:pPr>
              <w:pStyle w:val="28"/>
              <w:bidi w:val="0"/>
            </w:pPr>
            <w:r>
              <w:t>永久征地（已征地）</w:t>
            </w:r>
          </w:p>
        </w:tc>
        <w:tc>
          <w:tcPr>
            <w:tcW w:w="3180" w:type="pct"/>
            <w:gridSpan w:val="9"/>
            <w:tcBorders>
              <w:top w:val="single" w:color="000000" w:sz="4" w:space="0"/>
              <w:left w:val="single" w:color="000000" w:sz="4" w:space="0"/>
              <w:bottom w:val="single" w:color="000000" w:sz="4" w:space="0"/>
              <w:right w:val="single" w:color="000000" w:sz="4" w:space="0"/>
            </w:tcBorders>
            <w:vAlign w:val="center"/>
          </w:tcPr>
          <w:p w14:paraId="4885F690">
            <w:pPr>
              <w:pStyle w:val="28"/>
              <w:bidi w:val="0"/>
            </w:pPr>
            <w:r>
              <w:t>临时用地</w:t>
            </w:r>
          </w:p>
        </w:tc>
        <w:tc>
          <w:tcPr>
            <w:tcW w:w="387" w:type="pct"/>
            <w:vMerge w:val="restart"/>
            <w:tcBorders>
              <w:top w:val="single" w:color="000000" w:sz="4" w:space="0"/>
              <w:left w:val="single" w:color="000000" w:sz="4" w:space="0"/>
              <w:bottom w:val="single" w:color="000000" w:sz="4" w:space="0"/>
              <w:right w:val="single" w:color="000000" w:sz="4" w:space="0"/>
            </w:tcBorders>
            <w:vAlign w:val="center"/>
          </w:tcPr>
          <w:p w14:paraId="39A091C3">
            <w:pPr>
              <w:pStyle w:val="28"/>
              <w:bidi w:val="0"/>
            </w:pPr>
            <w:r>
              <w:t>合计</w:t>
            </w:r>
          </w:p>
        </w:tc>
      </w:tr>
      <w:tr w14:paraId="4B7E4CE3">
        <w:tblPrEx>
          <w:tblCellMar>
            <w:top w:w="0" w:type="dxa"/>
            <w:left w:w="108" w:type="dxa"/>
            <w:bottom w:w="0" w:type="dxa"/>
            <w:right w:w="108" w:type="dxa"/>
          </w:tblCellMar>
        </w:tblPrEx>
        <w:trPr>
          <w:trHeight w:val="340" w:hRule="atLeast"/>
          <w:jc w:val="center"/>
        </w:trPr>
        <w:tc>
          <w:tcPr>
            <w:tcW w:w="263" w:type="pct"/>
            <w:vMerge w:val="continue"/>
            <w:tcBorders>
              <w:top w:val="single" w:color="000000" w:sz="4" w:space="0"/>
              <w:left w:val="single" w:color="000000" w:sz="4" w:space="0"/>
              <w:bottom w:val="single" w:color="000000" w:sz="4" w:space="0"/>
              <w:right w:val="single" w:color="000000" w:sz="4" w:space="0"/>
            </w:tcBorders>
            <w:textDirection w:val="tbRlV"/>
            <w:vAlign w:val="center"/>
          </w:tcPr>
          <w:p w14:paraId="376056CE">
            <w:pPr>
              <w:pStyle w:val="28"/>
              <w:bidi w:val="0"/>
            </w:pPr>
          </w:p>
        </w:tc>
        <w:tc>
          <w:tcPr>
            <w:tcW w:w="597" w:type="pct"/>
            <w:vMerge w:val="continue"/>
            <w:tcBorders>
              <w:top w:val="single" w:color="000000" w:sz="4" w:space="0"/>
              <w:left w:val="single" w:color="000000" w:sz="4" w:space="0"/>
              <w:bottom w:val="single" w:color="000000" w:sz="4" w:space="0"/>
              <w:right w:val="single" w:color="000000" w:sz="4" w:space="0"/>
            </w:tcBorders>
            <w:vAlign w:val="center"/>
          </w:tcPr>
          <w:p w14:paraId="4572E1AC">
            <w:pPr>
              <w:pStyle w:val="28"/>
              <w:bidi w:val="0"/>
            </w:pPr>
          </w:p>
        </w:tc>
        <w:tc>
          <w:tcPr>
            <w:tcW w:w="263" w:type="pct"/>
            <w:vMerge w:val="continue"/>
            <w:tcBorders>
              <w:top w:val="single" w:color="000000" w:sz="4" w:space="0"/>
              <w:left w:val="single" w:color="000000" w:sz="4" w:space="0"/>
              <w:bottom w:val="single" w:color="000000" w:sz="4" w:space="0"/>
              <w:right w:val="single" w:color="000000" w:sz="4" w:space="0"/>
            </w:tcBorders>
            <w:vAlign w:val="center"/>
          </w:tcPr>
          <w:p w14:paraId="6AE431F6">
            <w:pPr>
              <w:pStyle w:val="28"/>
              <w:bidi w:val="0"/>
            </w:pPr>
          </w:p>
        </w:tc>
        <w:tc>
          <w:tcPr>
            <w:tcW w:w="308" w:type="pct"/>
            <w:tcBorders>
              <w:top w:val="single" w:color="000000" w:sz="4" w:space="0"/>
              <w:left w:val="single" w:color="000000" w:sz="4" w:space="0"/>
              <w:bottom w:val="single" w:color="000000" w:sz="4" w:space="0"/>
              <w:right w:val="single" w:color="000000" w:sz="4" w:space="0"/>
            </w:tcBorders>
            <w:vAlign w:val="center"/>
          </w:tcPr>
          <w:p w14:paraId="4345F8AB">
            <w:pPr>
              <w:pStyle w:val="28"/>
              <w:bidi w:val="0"/>
              <w:rPr>
                <w:rFonts w:hint="eastAsia"/>
                <w:lang w:eastAsia="zh-CN"/>
              </w:rPr>
            </w:pPr>
            <w:r>
              <w:t>主体工程</w:t>
            </w:r>
          </w:p>
          <w:p w14:paraId="56394BF8">
            <w:pPr>
              <w:pStyle w:val="28"/>
              <w:bidi w:val="0"/>
            </w:pPr>
            <w:r>
              <w:t>区</w:t>
            </w:r>
          </w:p>
        </w:tc>
        <w:tc>
          <w:tcPr>
            <w:tcW w:w="386" w:type="pct"/>
            <w:tcBorders>
              <w:top w:val="single" w:color="000000" w:sz="4" w:space="0"/>
              <w:left w:val="single" w:color="000000" w:sz="4" w:space="0"/>
              <w:bottom w:val="single" w:color="000000" w:sz="4" w:space="0"/>
              <w:right w:val="single" w:color="000000" w:sz="4" w:space="0"/>
            </w:tcBorders>
            <w:vAlign w:val="center"/>
          </w:tcPr>
          <w:p w14:paraId="1D751325">
            <w:pPr>
              <w:pStyle w:val="28"/>
              <w:bidi w:val="0"/>
            </w:pPr>
            <w:r>
              <w:t>取土场</w:t>
            </w:r>
          </w:p>
        </w:tc>
        <w:tc>
          <w:tcPr>
            <w:tcW w:w="310" w:type="pct"/>
            <w:tcBorders>
              <w:top w:val="single" w:color="000000" w:sz="4" w:space="0"/>
              <w:left w:val="single" w:color="000000" w:sz="4" w:space="0"/>
              <w:bottom w:val="single" w:color="000000" w:sz="4" w:space="0"/>
              <w:right w:val="single" w:color="000000" w:sz="4" w:space="0"/>
            </w:tcBorders>
            <w:vAlign w:val="center"/>
          </w:tcPr>
          <w:p w14:paraId="1406AF05">
            <w:pPr>
              <w:pStyle w:val="28"/>
              <w:bidi w:val="0"/>
            </w:pPr>
            <w:r>
              <w:t>取弃土场</w:t>
            </w:r>
          </w:p>
        </w:tc>
        <w:tc>
          <w:tcPr>
            <w:tcW w:w="326" w:type="pct"/>
            <w:tcBorders>
              <w:top w:val="single" w:color="000000" w:sz="4" w:space="0"/>
              <w:left w:val="single" w:color="000000" w:sz="4" w:space="0"/>
              <w:bottom w:val="single" w:color="000000" w:sz="4" w:space="0"/>
              <w:right w:val="single" w:color="000000" w:sz="4" w:space="0"/>
            </w:tcBorders>
            <w:vAlign w:val="center"/>
          </w:tcPr>
          <w:p w14:paraId="1EFEBB40">
            <w:pPr>
              <w:pStyle w:val="28"/>
              <w:bidi w:val="0"/>
            </w:pPr>
            <w:r>
              <w:t>弃土场</w:t>
            </w:r>
          </w:p>
        </w:tc>
        <w:tc>
          <w:tcPr>
            <w:tcW w:w="354" w:type="pct"/>
            <w:tcBorders>
              <w:top w:val="single" w:color="000000" w:sz="4" w:space="0"/>
              <w:left w:val="single" w:color="000000" w:sz="4" w:space="0"/>
              <w:bottom w:val="single" w:color="000000" w:sz="4" w:space="0"/>
              <w:right w:val="single" w:color="000000" w:sz="4" w:space="0"/>
            </w:tcBorders>
            <w:vAlign w:val="center"/>
          </w:tcPr>
          <w:p w14:paraId="193136D1">
            <w:pPr>
              <w:pStyle w:val="28"/>
              <w:bidi w:val="0"/>
            </w:pPr>
            <w:r>
              <w:t>临时堆土场</w:t>
            </w:r>
          </w:p>
        </w:tc>
        <w:tc>
          <w:tcPr>
            <w:tcW w:w="387" w:type="pct"/>
            <w:tcBorders>
              <w:top w:val="single" w:color="000000" w:sz="4" w:space="0"/>
              <w:left w:val="single" w:color="000000" w:sz="4" w:space="0"/>
              <w:bottom w:val="single" w:color="000000" w:sz="4" w:space="0"/>
              <w:right w:val="single" w:color="000000" w:sz="4" w:space="0"/>
            </w:tcBorders>
            <w:vAlign w:val="center"/>
          </w:tcPr>
          <w:p w14:paraId="40CEDED7">
            <w:pPr>
              <w:pStyle w:val="28"/>
              <w:bidi w:val="0"/>
            </w:pPr>
            <w:r>
              <w:t>施工营地</w:t>
            </w:r>
          </w:p>
        </w:tc>
        <w:tc>
          <w:tcPr>
            <w:tcW w:w="354" w:type="pct"/>
            <w:tcBorders>
              <w:top w:val="single" w:color="000000" w:sz="4" w:space="0"/>
              <w:left w:val="single" w:color="000000" w:sz="4" w:space="0"/>
              <w:bottom w:val="single" w:color="000000" w:sz="4" w:space="0"/>
              <w:right w:val="single" w:color="000000" w:sz="4" w:space="0"/>
            </w:tcBorders>
            <w:vAlign w:val="center"/>
          </w:tcPr>
          <w:p w14:paraId="5562863C">
            <w:pPr>
              <w:pStyle w:val="28"/>
              <w:bidi w:val="0"/>
            </w:pPr>
            <w:r>
              <w:t>临时道路</w:t>
            </w:r>
          </w:p>
        </w:tc>
        <w:tc>
          <w:tcPr>
            <w:tcW w:w="318" w:type="pct"/>
            <w:tcBorders>
              <w:top w:val="single" w:color="000000" w:sz="4" w:space="0"/>
              <w:left w:val="single" w:color="000000" w:sz="4" w:space="0"/>
              <w:bottom w:val="single" w:color="000000" w:sz="4" w:space="0"/>
              <w:right w:val="single" w:color="000000" w:sz="4" w:space="0"/>
            </w:tcBorders>
            <w:vAlign w:val="center"/>
          </w:tcPr>
          <w:p w14:paraId="11A49614">
            <w:pPr>
              <w:pStyle w:val="28"/>
              <w:bidi w:val="0"/>
            </w:pPr>
            <w:r>
              <w:t>堤脚外延</w:t>
            </w:r>
          </w:p>
        </w:tc>
        <w:tc>
          <w:tcPr>
            <w:tcW w:w="354" w:type="pct"/>
            <w:tcBorders>
              <w:top w:val="single" w:color="000000" w:sz="4" w:space="0"/>
              <w:left w:val="single" w:color="000000" w:sz="4" w:space="0"/>
              <w:bottom w:val="single" w:color="000000" w:sz="4" w:space="0"/>
              <w:right w:val="single" w:color="000000" w:sz="4" w:space="0"/>
            </w:tcBorders>
            <w:vAlign w:val="center"/>
          </w:tcPr>
          <w:p w14:paraId="361974C7">
            <w:pPr>
              <w:pStyle w:val="28"/>
              <w:bidi w:val="0"/>
            </w:pPr>
            <w:r>
              <w:t>管道开挖区</w:t>
            </w:r>
          </w:p>
        </w:tc>
        <w:tc>
          <w:tcPr>
            <w:tcW w:w="388" w:type="pct"/>
            <w:tcBorders>
              <w:top w:val="single" w:color="000000" w:sz="4" w:space="0"/>
              <w:left w:val="single" w:color="000000" w:sz="4" w:space="0"/>
              <w:bottom w:val="single" w:color="000000" w:sz="4" w:space="0"/>
              <w:right w:val="single" w:color="000000" w:sz="4" w:space="0"/>
            </w:tcBorders>
            <w:vAlign w:val="center"/>
          </w:tcPr>
          <w:p w14:paraId="757B6715">
            <w:pPr>
              <w:pStyle w:val="28"/>
              <w:bidi w:val="0"/>
            </w:pPr>
            <w:r>
              <w:t>小计</w:t>
            </w:r>
          </w:p>
        </w:tc>
        <w:tc>
          <w:tcPr>
            <w:tcW w:w="387" w:type="pct"/>
            <w:vMerge w:val="continue"/>
            <w:tcBorders>
              <w:top w:val="single" w:color="000000" w:sz="4" w:space="0"/>
              <w:left w:val="single" w:color="000000" w:sz="4" w:space="0"/>
              <w:bottom w:val="single" w:color="000000" w:sz="4" w:space="0"/>
              <w:right w:val="single" w:color="000000" w:sz="4" w:space="0"/>
            </w:tcBorders>
            <w:vAlign w:val="center"/>
          </w:tcPr>
          <w:p w14:paraId="3EA11700">
            <w:pPr>
              <w:pStyle w:val="28"/>
              <w:bidi w:val="0"/>
            </w:pPr>
          </w:p>
        </w:tc>
      </w:tr>
      <w:tr w14:paraId="2E030096">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23439A55">
            <w:pPr>
              <w:pStyle w:val="28"/>
              <w:bidi w:val="0"/>
            </w:pPr>
            <w:r>
              <w:t>1</w:t>
            </w:r>
          </w:p>
        </w:tc>
        <w:tc>
          <w:tcPr>
            <w:tcW w:w="597" w:type="pct"/>
            <w:tcBorders>
              <w:top w:val="single" w:color="000000" w:sz="4" w:space="0"/>
              <w:left w:val="single" w:color="000000" w:sz="4" w:space="0"/>
              <w:bottom w:val="single" w:color="000000" w:sz="4" w:space="0"/>
              <w:right w:val="single" w:color="000000" w:sz="4" w:space="0"/>
            </w:tcBorders>
            <w:vAlign w:val="center"/>
          </w:tcPr>
          <w:p w14:paraId="553E6757">
            <w:pPr>
              <w:pStyle w:val="28"/>
              <w:bidi w:val="0"/>
            </w:pPr>
            <w:r>
              <w:rPr>
                <w:rFonts w:hint="eastAsia"/>
              </w:rPr>
              <w:t>淠河总干渠上段工程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35FC64FF">
            <w:pPr>
              <w:pStyle w:val="28"/>
              <w:bidi w:val="0"/>
            </w:pPr>
            <w:r>
              <w:t>裕安区</w:t>
            </w:r>
          </w:p>
        </w:tc>
        <w:tc>
          <w:tcPr>
            <w:tcW w:w="308" w:type="pct"/>
            <w:tcBorders>
              <w:top w:val="single" w:color="000000" w:sz="4" w:space="0"/>
              <w:left w:val="single" w:color="000000" w:sz="4" w:space="0"/>
              <w:bottom w:val="single" w:color="000000" w:sz="4" w:space="0"/>
              <w:right w:val="single" w:color="000000" w:sz="4" w:space="0"/>
            </w:tcBorders>
            <w:noWrap/>
            <w:vAlign w:val="center"/>
          </w:tcPr>
          <w:p w14:paraId="5E9CA442">
            <w:pPr>
              <w:pStyle w:val="28"/>
              <w:bidi w:val="0"/>
            </w:pPr>
            <w:r>
              <w:t>18.26</w:t>
            </w:r>
          </w:p>
        </w:tc>
        <w:tc>
          <w:tcPr>
            <w:tcW w:w="386" w:type="pct"/>
            <w:tcBorders>
              <w:top w:val="single" w:color="000000" w:sz="4" w:space="0"/>
              <w:left w:val="single" w:color="000000" w:sz="4" w:space="0"/>
              <w:bottom w:val="single" w:color="000000" w:sz="4" w:space="0"/>
              <w:right w:val="single" w:color="000000" w:sz="4" w:space="0"/>
            </w:tcBorders>
            <w:vAlign w:val="center"/>
          </w:tcPr>
          <w:p w14:paraId="50C40784">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52BA6400">
            <w:pPr>
              <w:pStyle w:val="28"/>
              <w:bidi w:val="0"/>
            </w:pPr>
            <w:r>
              <w:t>3.5</w:t>
            </w:r>
          </w:p>
        </w:tc>
        <w:tc>
          <w:tcPr>
            <w:tcW w:w="326" w:type="pct"/>
            <w:tcBorders>
              <w:top w:val="single" w:color="000000" w:sz="4" w:space="0"/>
              <w:left w:val="single" w:color="000000" w:sz="4" w:space="0"/>
              <w:bottom w:val="single" w:color="000000" w:sz="4" w:space="0"/>
              <w:right w:val="single" w:color="000000" w:sz="4" w:space="0"/>
            </w:tcBorders>
            <w:vAlign w:val="center"/>
          </w:tcPr>
          <w:p w14:paraId="3878E5FB">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5F1D74F8">
            <w:pPr>
              <w:pStyle w:val="28"/>
              <w:bidi w:val="0"/>
            </w:pPr>
            <w:r>
              <w:t>1.38</w:t>
            </w:r>
          </w:p>
        </w:tc>
        <w:tc>
          <w:tcPr>
            <w:tcW w:w="387" w:type="pct"/>
            <w:tcBorders>
              <w:top w:val="single" w:color="000000" w:sz="4" w:space="0"/>
              <w:left w:val="single" w:color="000000" w:sz="4" w:space="0"/>
              <w:bottom w:val="single" w:color="000000" w:sz="4" w:space="0"/>
              <w:right w:val="single" w:color="000000" w:sz="4" w:space="0"/>
            </w:tcBorders>
            <w:vAlign w:val="center"/>
          </w:tcPr>
          <w:p w14:paraId="149D2BFE">
            <w:pPr>
              <w:pStyle w:val="28"/>
              <w:bidi w:val="0"/>
            </w:pPr>
            <w:r>
              <w:t>0.75</w:t>
            </w:r>
          </w:p>
        </w:tc>
        <w:tc>
          <w:tcPr>
            <w:tcW w:w="354" w:type="pct"/>
            <w:tcBorders>
              <w:top w:val="single" w:color="000000" w:sz="4" w:space="0"/>
              <w:left w:val="single" w:color="000000" w:sz="4" w:space="0"/>
              <w:bottom w:val="single" w:color="000000" w:sz="4" w:space="0"/>
              <w:right w:val="single" w:color="000000" w:sz="4" w:space="0"/>
            </w:tcBorders>
            <w:vAlign w:val="center"/>
          </w:tcPr>
          <w:p w14:paraId="7EBAC71F">
            <w:pPr>
              <w:pStyle w:val="28"/>
              <w:bidi w:val="0"/>
            </w:pPr>
            <w:r>
              <w:t>1.07</w:t>
            </w:r>
          </w:p>
        </w:tc>
        <w:tc>
          <w:tcPr>
            <w:tcW w:w="318" w:type="pct"/>
            <w:tcBorders>
              <w:top w:val="single" w:color="000000" w:sz="4" w:space="0"/>
              <w:left w:val="single" w:color="000000" w:sz="4" w:space="0"/>
              <w:bottom w:val="single" w:color="000000" w:sz="4" w:space="0"/>
              <w:right w:val="single" w:color="000000" w:sz="4" w:space="0"/>
            </w:tcBorders>
            <w:vAlign w:val="center"/>
          </w:tcPr>
          <w:p w14:paraId="1126C7D5">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16F4851B">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62678D85">
            <w:pPr>
              <w:pStyle w:val="28"/>
              <w:bidi w:val="0"/>
            </w:pPr>
            <w:r>
              <w:t>6.70</w:t>
            </w:r>
          </w:p>
        </w:tc>
        <w:tc>
          <w:tcPr>
            <w:tcW w:w="387" w:type="pct"/>
            <w:tcBorders>
              <w:top w:val="single" w:color="000000" w:sz="4" w:space="0"/>
              <w:left w:val="single" w:color="000000" w:sz="4" w:space="0"/>
              <w:bottom w:val="single" w:color="000000" w:sz="4" w:space="0"/>
              <w:right w:val="single" w:color="000000" w:sz="4" w:space="0"/>
            </w:tcBorders>
            <w:vAlign w:val="center"/>
          </w:tcPr>
          <w:p w14:paraId="44435212">
            <w:pPr>
              <w:pStyle w:val="28"/>
              <w:bidi w:val="0"/>
            </w:pPr>
            <w:r>
              <w:t>24.96</w:t>
            </w:r>
          </w:p>
        </w:tc>
      </w:tr>
      <w:tr w14:paraId="19E37076">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724357E7">
            <w:pPr>
              <w:pStyle w:val="28"/>
              <w:bidi w:val="0"/>
            </w:pPr>
            <w:r>
              <w:t>2</w:t>
            </w:r>
          </w:p>
        </w:tc>
        <w:tc>
          <w:tcPr>
            <w:tcW w:w="597" w:type="pct"/>
            <w:tcBorders>
              <w:top w:val="single" w:color="000000" w:sz="4" w:space="0"/>
              <w:left w:val="single" w:color="000000" w:sz="4" w:space="0"/>
              <w:bottom w:val="single" w:color="000000" w:sz="4" w:space="0"/>
              <w:right w:val="single" w:color="000000" w:sz="4" w:space="0"/>
            </w:tcBorders>
            <w:vAlign w:val="center"/>
          </w:tcPr>
          <w:p w14:paraId="4E4A6ED2">
            <w:pPr>
              <w:pStyle w:val="28"/>
              <w:bidi w:val="0"/>
            </w:pPr>
            <w:r>
              <w:rPr>
                <w:rFonts w:hint="eastAsia"/>
              </w:rPr>
              <w:t>樊通桥渠下涵工程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00AD7057">
            <w:pPr>
              <w:pStyle w:val="28"/>
              <w:bidi w:val="0"/>
            </w:pPr>
            <w:r>
              <w:t>裕安区</w:t>
            </w:r>
          </w:p>
        </w:tc>
        <w:tc>
          <w:tcPr>
            <w:tcW w:w="308" w:type="pct"/>
            <w:tcBorders>
              <w:top w:val="single" w:color="000000" w:sz="4" w:space="0"/>
              <w:left w:val="single" w:color="000000" w:sz="4" w:space="0"/>
              <w:bottom w:val="single" w:color="000000" w:sz="4" w:space="0"/>
              <w:right w:val="single" w:color="000000" w:sz="4" w:space="0"/>
            </w:tcBorders>
            <w:noWrap/>
            <w:vAlign w:val="center"/>
          </w:tcPr>
          <w:p w14:paraId="015F12A2">
            <w:pPr>
              <w:pStyle w:val="28"/>
              <w:bidi w:val="0"/>
            </w:pPr>
            <w:r>
              <w:t>0.21</w:t>
            </w:r>
          </w:p>
        </w:tc>
        <w:tc>
          <w:tcPr>
            <w:tcW w:w="386" w:type="pct"/>
            <w:tcBorders>
              <w:top w:val="single" w:color="000000" w:sz="4" w:space="0"/>
              <w:left w:val="single" w:color="000000" w:sz="4" w:space="0"/>
              <w:bottom w:val="single" w:color="000000" w:sz="4" w:space="0"/>
              <w:right w:val="single" w:color="000000" w:sz="4" w:space="0"/>
            </w:tcBorders>
            <w:vAlign w:val="center"/>
          </w:tcPr>
          <w:p w14:paraId="4A0F653C">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74A63506">
            <w:pPr>
              <w:pStyle w:val="28"/>
              <w:bidi w:val="0"/>
            </w:pPr>
            <w:r>
              <w:t>0.08</w:t>
            </w:r>
          </w:p>
        </w:tc>
        <w:tc>
          <w:tcPr>
            <w:tcW w:w="326" w:type="pct"/>
            <w:tcBorders>
              <w:top w:val="single" w:color="000000" w:sz="4" w:space="0"/>
              <w:left w:val="single" w:color="000000" w:sz="4" w:space="0"/>
              <w:bottom w:val="single" w:color="000000" w:sz="4" w:space="0"/>
              <w:right w:val="single" w:color="000000" w:sz="4" w:space="0"/>
            </w:tcBorders>
            <w:vAlign w:val="center"/>
          </w:tcPr>
          <w:p w14:paraId="58268F3F">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234CF752">
            <w:pPr>
              <w:pStyle w:val="28"/>
              <w:bidi w:val="0"/>
            </w:pPr>
            <w:r>
              <w:t>0.05</w:t>
            </w:r>
          </w:p>
        </w:tc>
        <w:tc>
          <w:tcPr>
            <w:tcW w:w="387" w:type="pct"/>
            <w:tcBorders>
              <w:top w:val="single" w:color="000000" w:sz="4" w:space="0"/>
              <w:left w:val="single" w:color="000000" w:sz="4" w:space="0"/>
              <w:bottom w:val="single" w:color="000000" w:sz="4" w:space="0"/>
              <w:right w:val="single" w:color="000000" w:sz="4" w:space="0"/>
            </w:tcBorders>
            <w:vAlign w:val="center"/>
          </w:tcPr>
          <w:p w14:paraId="286ADA8A">
            <w:pPr>
              <w:pStyle w:val="28"/>
              <w:bidi w:val="0"/>
            </w:pPr>
            <w:r>
              <w:t>0.12</w:t>
            </w:r>
          </w:p>
        </w:tc>
        <w:tc>
          <w:tcPr>
            <w:tcW w:w="354" w:type="pct"/>
            <w:tcBorders>
              <w:top w:val="single" w:color="000000" w:sz="4" w:space="0"/>
              <w:left w:val="single" w:color="000000" w:sz="4" w:space="0"/>
              <w:bottom w:val="single" w:color="000000" w:sz="4" w:space="0"/>
              <w:right w:val="single" w:color="000000" w:sz="4" w:space="0"/>
            </w:tcBorders>
            <w:vAlign w:val="center"/>
          </w:tcPr>
          <w:p w14:paraId="294E9C19">
            <w:pPr>
              <w:pStyle w:val="28"/>
              <w:bidi w:val="0"/>
            </w:pPr>
            <w:r>
              <w:t>0.77</w:t>
            </w:r>
          </w:p>
        </w:tc>
        <w:tc>
          <w:tcPr>
            <w:tcW w:w="318" w:type="pct"/>
            <w:tcBorders>
              <w:top w:val="single" w:color="000000" w:sz="4" w:space="0"/>
              <w:left w:val="single" w:color="000000" w:sz="4" w:space="0"/>
              <w:bottom w:val="single" w:color="000000" w:sz="4" w:space="0"/>
              <w:right w:val="single" w:color="000000" w:sz="4" w:space="0"/>
            </w:tcBorders>
            <w:vAlign w:val="center"/>
          </w:tcPr>
          <w:p w14:paraId="288B2508">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47C25C5D">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4C742C5F">
            <w:pPr>
              <w:pStyle w:val="28"/>
              <w:bidi w:val="0"/>
            </w:pPr>
            <w:r>
              <w:t>1.02</w:t>
            </w:r>
          </w:p>
        </w:tc>
        <w:tc>
          <w:tcPr>
            <w:tcW w:w="387" w:type="pct"/>
            <w:tcBorders>
              <w:top w:val="single" w:color="000000" w:sz="4" w:space="0"/>
              <w:left w:val="single" w:color="000000" w:sz="4" w:space="0"/>
              <w:bottom w:val="single" w:color="000000" w:sz="4" w:space="0"/>
              <w:right w:val="single" w:color="000000" w:sz="4" w:space="0"/>
            </w:tcBorders>
            <w:vAlign w:val="center"/>
          </w:tcPr>
          <w:p w14:paraId="270D60F3">
            <w:pPr>
              <w:pStyle w:val="28"/>
              <w:bidi w:val="0"/>
            </w:pPr>
            <w:r>
              <w:t>1.23</w:t>
            </w:r>
          </w:p>
        </w:tc>
      </w:tr>
      <w:tr w14:paraId="1AAAF45B">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0155CCFD">
            <w:pPr>
              <w:pStyle w:val="28"/>
              <w:bidi w:val="0"/>
            </w:pPr>
            <w:r>
              <w:t>3</w:t>
            </w:r>
          </w:p>
        </w:tc>
        <w:tc>
          <w:tcPr>
            <w:tcW w:w="597" w:type="pct"/>
            <w:tcBorders>
              <w:top w:val="single" w:color="000000" w:sz="4" w:space="0"/>
              <w:left w:val="single" w:color="000000" w:sz="4" w:space="0"/>
              <w:bottom w:val="single" w:color="000000" w:sz="4" w:space="0"/>
              <w:right w:val="single" w:color="000000" w:sz="4" w:space="0"/>
            </w:tcBorders>
            <w:vAlign w:val="center"/>
          </w:tcPr>
          <w:p w14:paraId="5621DB5F">
            <w:pPr>
              <w:pStyle w:val="28"/>
              <w:bidi w:val="0"/>
            </w:pPr>
            <w:r>
              <w:rPr>
                <w:rFonts w:hint="eastAsia"/>
              </w:rPr>
              <w:t>淠河总干渠下段工程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4F03C813">
            <w:pPr>
              <w:pStyle w:val="28"/>
              <w:bidi w:val="0"/>
            </w:pPr>
            <w:r>
              <w:t>蜀山区</w:t>
            </w:r>
          </w:p>
        </w:tc>
        <w:tc>
          <w:tcPr>
            <w:tcW w:w="308" w:type="pct"/>
            <w:tcBorders>
              <w:top w:val="single" w:color="000000" w:sz="4" w:space="0"/>
              <w:left w:val="single" w:color="000000" w:sz="4" w:space="0"/>
              <w:bottom w:val="single" w:color="000000" w:sz="4" w:space="0"/>
              <w:right w:val="single" w:color="000000" w:sz="4" w:space="0"/>
            </w:tcBorders>
            <w:noWrap/>
            <w:vAlign w:val="center"/>
          </w:tcPr>
          <w:p w14:paraId="3BA99061">
            <w:pPr>
              <w:pStyle w:val="28"/>
              <w:bidi w:val="0"/>
            </w:pPr>
            <w:r>
              <w:t>8.82</w:t>
            </w:r>
          </w:p>
        </w:tc>
        <w:tc>
          <w:tcPr>
            <w:tcW w:w="386" w:type="pct"/>
            <w:tcBorders>
              <w:top w:val="single" w:color="000000" w:sz="4" w:space="0"/>
              <w:left w:val="single" w:color="000000" w:sz="4" w:space="0"/>
              <w:bottom w:val="single" w:color="000000" w:sz="4" w:space="0"/>
              <w:right w:val="single" w:color="000000" w:sz="4" w:space="0"/>
            </w:tcBorders>
            <w:vAlign w:val="center"/>
          </w:tcPr>
          <w:p w14:paraId="2C401B6A">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31B0A9CA">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51976522">
            <w:pPr>
              <w:pStyle w:val="28"/>
              <w:bidi w:val="0"/>
            </w:pPr>
            <w:r>
              <w:t>3.77</w:t>
            </w:r>
          </w:p>
        </w:tc>
        <w:tc>
          <w:tcPr>
            <w:tcW w:w="354" w:type="pct"/>
            <w:tcBorders>
              <w:top w:val="single" w:color="000000" w:sz="4" w:space="0"/>
              <w:left w:val="single" w:color="000000" w:sz="4" w:space="0"/>
              <w:bottom w:val="single" w:color="000000" w:sz="4" w:space="0"/>
              <w:right w:val="single" w:color="000000" w:sz="4" w:space="0"/>
            </w:tcBorders>
            <w:vAlign w:val="center"/>
          </w:tcPr>
          <w:p w14:paraId="726DF3FF">
            <w:pPr>
              <w:pStyle w:val="28"/>
              <w:bidi w:val="0"/>
            </w:pPr>
            <w:r>
              <w:t>0.31</w:t>
            </w:r>
          </w:p>
        </w:tc>
        <w:tc>
          <w:tcPr>
            <w:tcW w:w="387" w:type="pct"/>
            <w:tcBorders>
              <w:top w:val="single" w:color="000000" w:sz="4" w:space="0"/>
              <w:left w:val="single" w:color="000000" w:sz="4" w:space="0"/>
              <w:bottom w:val="single" w:color="000000" w:sz="4" w:space="0"/>
              <w:right w:val="single" w:color="000000" w:sz="4" w:space="0"/>
            </w:tcBorders>
            <w:vAlign w:val="center"/>
          </w:tcPr>
          <w:p w14:paraId="741A1915">
            <w:pPr>
              <w:pStyle w:val="28"/>
              <w:bidi w:val="0"/>
            </w:pPr>
            <w:r>
              <w:t>0.40</w:t>
            </w:r>
          </w:p>
        </w:tc>
        <w:tc>
          <w:tcPr>
            <w:tcW w:w="354" w:type="pct"/>
            <w:tcBorders>
              <w:top w:val="single" w:color="000000" w:sz="4" w:space="0"/>
              <w:left w:val="single" w:color="000000" w:sz="4" w:space="0"/>
              <w:bottom w:val="single" w:color="000000" w:sz="4" w:space="0"/>
              <w:right w:val="single" w:color="000000" w:sz="4" w:space="0"/>
            </w:tcBorders>
            <w:vAlign w:val="center"/>
          </w:tcPr>
          <w:p w14:paraId="2B4D173A">
            <w:pPr>
              <w:pStyle w:val="28"/>
              <w:bidi w:val="0"/>
            </w:pPr>
            <w:r>
              <w:t>1.68</w:t>
            </w:r>
          </w:p>
        </w:tc>
        <w:tc>
          <w:tcPr>
            <w:tcW w:w="318" w:type="pct"/>
            <w:tcBorders>
              <w:top w:val="single" w:color="000000" w:sz="4" w:space="0"/>
              <w:left w:val="single" w:color="000000" w:sz="4" w:space="0"/>
              <w:bottom w:val="single" w:color="000000" w:sz="4" w:space="0"/>
              <w:right w:val="single" w:color="000000" w:sz="4" w:space="0"/>
            </w:tcBorders>
            <w:vAlign w:val="center"/>
          </w:tcPr>
          <w:p w14:paraId="0FFB5BD5">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0A6C78BE">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4287EE83">
            <w:pPr>
              <w:pStyle w:val="28"/>
              <w:bidi w:val="0"/>
            </w:pPr>
            <w:r>
              <w:t>6.16</w:t>
            </w:r>
          </w:p>
        </w:tc>
        <w:tc>
          <w:tcPr>
            <w:tcW w:w="387" w:type="pct"/>
            <w:tcBorders>
              <w:top w:val="single" w:color="000000" w:sz="4" w:space="0"/>
              <w:left w:val="single" w:color="000000" w:sz="4" w:space="0"/>
              <w:bottom w:val="single" w:color="000000" w:sz="4" w:space="0"/>
              <w:right w:val="single" w:color="000000" w:sz="4" w:space="0"/>
            </w:tcBorders>
            <w:vAlign w:val="center"/>
          </w:tcPr>
          <w:p w14:paraId="6A4DBE2B">
            <w:pPr>
              <w:pStyle w:val="28"/>
              <w:bidi w:val="0"/>
            </w:pPr>
            <w:r>
              <w:t>14.98</w:t>
            </w:r>
          </w:p>
        </w:tc>
      </w:tr>
      <w:tr w14:paraId="3F727285">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12BDD0FA">
            <w:pPr>
              <w:pStyle w:val="28"/>
              <w:bidi w:val="0"/>
            </w:pPr>
            <w:r>
              <w:t>4</w:t>
            </w:r>
          </w:p>
        </w:tc>
        <w:tc>
          <w:tcPr>
            <w:tcW w:w="597" w:type="pct"/>
            <w:tcBorders>
              <w:top w:val="single" w:color="000000" w:sz="4" w:space="0"/>
              <w:left w:val="single" w:color="000000" w:sz="4" w:space="0"/>
              <w:bottom w:val="single" w:color="000000" w:sz="4" w:space="0"/>
              <w:right w:val="single" w:color="000000" w:sz="4" w:space="0"/>
            </w:tcBorders>
            <w:vAlign w:val="center"/>
          </w:tcPr>
          <w:p w14:paraId="4095DAD5">
            <w:pPr>
              <w:pStyle w:val="28"/>
              <w:bidi w:val="0"/>
            </w:pPr>
            <w:r>
              <w:rPr>
                <w:rFonts w:hint="eastAsia"/>
              </w:rPr>
              <w:t>聚星渡槽工程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61141A4A">
            <w:pPr>
              <w:pStyle w:val="28"/>
              <w:bidi w:val="0"/>
            </w:pPr>
            <w:r>
              <w:rPr>
                <w:rFonts w:hint="eastAsia"/>
              </w:rPr>
              <w:t>肥西县</w:t>
            </w:r>
          </w:p>
        </w:tc>
        <w:tc>
          <w:tcPr>
            <w:tcW w:w="308" w:type="pct"/>
            <w:tcBorders>
              <w:top w:val="single" w:color="000000" w:sz="4" w:space="0"/>
              <w:left w:val="single" w:color="000000" w:sz="4" w:space="0"/>
              <w:bottom w:val="single" w:color="000000" w:sz="4" w:space="0"/>
              <w:right w:val="single" w:color="000000" w:sz="4" w:space="0"/>
            </w:tcBorders>
            <w:vAlign w:val="center"/>
          </w:tcPr>
          <w:p w14:paraId="5976E3F6">
            <w:pPr>
              <w:pStyle w:val="28"/>
              <w:bidi w:val="0"/>
            </w:pPr>
            <w:r>
              <w:t>0.19</w:t>
            </w:r>
          </w:p>
        </w:tc>
        <w:tc>
          <w:tcPr>
            <w:tcW w:w="386" w:type="pct"/>
            <w:tcBorders>
              <w:top w:val="single" w:color="000000" w:sz="4" w:space="0"/>
              <w:left w:val="single" w:color="000000" w:sz="4" w:space="0"/>
              <w:bottom w:val="single" w:color="000000" w:sz="4" w:space="0"/>
              <w:right w:val="single" w:color="000000" w:sz="4" w:space="0"/>
            </w:tcBorders>
            <w:vAlign w:val="center"/>
          </w:tcPr>
          <w:p w14:paraId="504D34B1">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7F5B3A18">
            <w:pPr>
              <w:pStyle w:val="28"/>
              <w:bidi w:val="0"/>
            </w:pPr>
            <w:r>
              <w:t>0.43</w:t>
            </w:r>
          </w:p>
        </w:tc>
        <w:tc>
          <w:tcPr>
            <w:tcW w:w="326" w:type="pct"/>
            <w:tcBorders>
              <w:top w:val="single" w:color="000000" w:sz="4" w:space="0"/>
              <w:left w:val="single" w:color="000000" w:sz="4" w:space="0"/>
              <w:bottom w:val="single" w:color="000000" w:sz="4" w:space="0"/>
              <w:right w:val="single" w:color="000000" w:sz="4" w:space="0"/>
            </w:tcBorders>
            <w:vAlign w:val="center"/>
          </w:tcPr>
          <w:p w14:paraId="6E4789E3">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213A06AD">
            <w:pPr>
              <w:pStyle w:val="28"/>
              <w:bidi w:val="0"/>
            </w:pPr>
            <w:r>
              <w:t>1.28</w:t>
            </w:r>
          </w:p>
        </w:tc>
        <w:tc>
          <w:tcPr>
            <w:tcW w:w="387" w:type="pct"/>
            <w:tcBorders>
              <w:top w:val="single" w:color="000000" w:sz="4" w:space="0"/>
              <w:left w:val="single" w:color="000000" w:sz="4" w:space="0"/>
              <w:bottom w:val="single" w:color="000000" w:sz="4" w:space="0"/>
              <w:right w:val="single" w:color="000000" w:sz="4" w:space="0"/>
            </w:tcBorders>
            <w:vAlign w:val="center"/>
          </w:tcPr>
          <w:p w14:paraId="2091BF96">
            <w:pPr>
              <w:pStyle w:val="28"/>
              <w:bidi w:val="0"/>
            </w:pPr>
            <w:r>
              <w:t>0.80</w:t>
            </w:r>
          </w:p>
        </w:tc>
        <w:tc>
          <w:tcPr>
            <w:tcW w:w="354" w:type="pct"/>
            <w:tcBorders>
              <w:top w:val="single" w:color="000000" w:sz="4" w:space="0"/>
              <w:left w:val="single" w:color="000000" w:sz="4" w:space="0"/>
              <w:bottom w:val="single" w:color="000000" w:sz="4" w:space="0"/>
              <w:right w:val="single" w:color="000000" w:sz="4" w:space="0"/>
            </w:tcBorders>
            <w:vAlign w:val="center"/>
          </w:tcPr>
          <w:p w14:paraId="2B74B990">
            <w:pPr>
              <w:pStyle w:val="28"/>
              <w:bidi w:val="0"/>
            </w:pPr>
            <w:r>
              <w:t>1.05</w:t>
            </w:r>
          </w:p>
        </w:tc>
        <w:tc>
          <w:tcPr>
            <w:tcW w:w="318" w:type="pct"/>
            <w:tcBorders>
              <w:top w:val="single" w:color="000000" w:sz="4" w:space="0"/>
              <w:left w:val="single" w:color="000000" w:sz="4" w:space="0"/>
              <w:bottom w:val="single" w:color="000000" w:sz="4" w:space="0"/>
              <w:right w:val="single" w:color="000000" w:sz="4" w:space="0"/>
            </w:tcBorders>
            <w:vAlign w:val="center"/>
          </w:tcPr>
          <w:p w14:paraId="78754E91">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426C1D82">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2CA7017B">
            <w:pPr>
              <w:pStyle w:val="28"/>
              <w:bidi w:val="0"/>
            </w:pPr>
            <w:r>
              <w:t>3.56</w:t>
            </w:r>
          </w:p>
        </w:tc>
        <w:tc>
          <w:tcPr>
            <w:tcW w:w="387" w:type="pct"/>
            <w:tcBorders>
              <w:top w:val="single" w:color="000000" w:sz="4" w:space="0"/>
              <w:left w:val="single" w:color="000000" w:sz="4" w:space="0"/>
              <w:bottom w:val="single" w:color="000000" w:sz="4" w:space="0"/>
              <w:right w:val="single" w:color="000000" w:sz="4" w:space="0"/>
            </w:tcBorders>
            <w:vAlign w:val="center"/>
          </w:tcPr>
          <w:p w14:paraId="790CE0DC">
            <w:pPr>
              <w:pStyle w:val="28"/>
              <w:bidi w:val="0"/>
            </w:pPr>
            <w:r>
              <w:t>3.75</w:t>
            </w:r>
          </w:p>
        </w:tc>
      </w:tr>
      <w:tr w14:paraId="3E20347A">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23A032BC">
            <w:pPr>
              <w:pStyle w:val="28"/>
              <w:bidi w:val="0"/>
            </w:pPr>
            <w:r>
              <w:t>5</w:t>
            </w:r>
          </w:p>
        </w:tc>
        <w:tc>
          <w:tcPr>
            <w:tcW w:w="597" w:type="pct"/>
            <w:tcBorders>
              <w:top w:val="single" w:color="000000" w:sz="4" w:space="0"/>
              <w:left w:val="single" w:color="000000" w:sz="4" w:space="0"/>
              <w:bottom w:val="single" w:color="000000" w:sz="4" w:space="0"/>
              <w:right w:val="single" w:color="000000" w:sz="4" w:space="0"/>
            </w:tcBorders>
            <w:vAlign w:val="center"/>
          </w:tcPr>
          <w:p w14:paraId="1B6BCDB2">
            <w:pPr>
              <w:pStyle w:val="28"/>
              <w:bidi w:val="0"/>
            </w:pPr>
            <w:r>
              <w:rPr>
                <w:rFonts w:hint="eastAsia"/>
              </w:rPr>
              <w:t>滁河干渠总局直管段工程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651C44EB">
            <w:pPr>
              <w:pStyle w:val="28"/>
              <w:bidi w:val="0"/>
            </w:pPr>
            <w:r>
              <w:t>蜀山区</w:t>
            </w:r>
          </w:p>
        </w:tc>
        <w:tc>
          <w:tcPr>
            <w:tcW w:w="308" w:type="pct"/>
            <w:tcBorders>
              <w:top w:val="single" w:color="000000" w:sz="4" w:space="0"/>
              <w:left w:val="single" w:color="000000" w:sz="4" w:space="0"/>
              <w:bottom w:val="single" w:color="000000" w:sz="4" w:space="0"/>
              <w:right w:val="single" w:color="000000" w:sz="4" w:space="0"/>
            </w:tcBorders>
            <w:noWrap/>
            <w:vAlign w:val="center"/>
          </w:tcPr>
          <w:p w14:paraId="3D707587">
            <w:pPr>
              <w:pStyle w:val="28"/>
              <w:bidi w:val="0"/>
            </w:pPr>
            <w:r>
              <w:t>2.25</w:t>
            </w:r>
          </w:p>
        </w:tc>
        <w:tc>
          <w:tcPr>
            <w:tcW w:w="386" w:type="pct"/>
            <w:tcBorders>
              <w:top w:val="single" w:color="000000" w:sz="4" w:space="0"/>
              <w:left w:val="single" w:color="000000" w:sz="4" w:space="0"/>
              <w:bottom w:val="single" w:color="000000" w:sz="4" w:space="0"/>
              <w:right w:val="single" w:color="000000" w:sz="4" w:space="0"/>
            </w:tcBorders>
            <w:vAlign w:val="center"/>
          </w:tcPr>
          <w:p w14:paraId="0FCF821A">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3254DE73">
            <w:pPr>
              <w:pStyle w:val="28"/>
              <w:bidi w:val="0"/>
            </w:pPr>
            <w:r>
              <w:t>2.53</w:t>
            </w:r>
          </w:p>
        </w:tc>
        <w:tc>
          <w:tcPr>
            <w:tcW w:w="326" w:type="pct"/>
            <w:tcBorders>
              <w:top w:val="single" w:color="000000" w:sz="4" w:space="0"/>
              <w:left w:val="single" w:color="000000" w:sz="4" w:space="0"/>
              <w:bottom w:val="single" w:color="000000" w:sz="4" w:space="0"/>
              <w:right w:val="single" w:color="000000" w:sz="4" w:space="0"/>
            </w:tcBorders>
            <w:vAlign w:val="center"/>
          </w:tcPr>
          <w:p w14:paraId="3D6443C6">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42B4D84A">
            <w:pPr>
              <w:pStyle w:val="28"/>
              <w:bidi w:val="0"/>
            </w:pPr>
            <w:r>
              <w:t>0.57</w:t>
            </w:r>
          </w:p>
        </w:tc>
        <w:tc>
          <w:tcPr>
            <w:tcW w:w="387" w:type="pct"/>
            <w:tcBorders>
              <w:top w:val="single" w:color="000000" w:sz="4" w:space="0"/>
              <w:left w:val="single" w:color="000000" w:sz="4" w:space="0"/>
              <w:bottom w:val="single" w:color="000000" w:sz="4" w:space="0"/>
              <w:right w:val="single" w:color="000000" w:sz="4" w:space="0"/>
            </w:tcBorders>
            <w:vAlign w:val="center"/>
          </w:tcPr>
          <w:p w14:paraId="3F66FFCB">
            <w:pPr>
              <w:pStyle w:val="28"/>
              <w:bidi w:val="0"/>
            </w:pPr>
            <w:r>
              <w:t>0.40</w:t>
            </w:r>
          </w:p>
        </w:tc>
        <w:tc>
          <w:tcPr>
            <w:tcW w:w="354" w:type="pct"/>
            <w:tcBorders>
              <w:top w:val="single" w:color="000000" w:sz="4" w:space="0"/>
              <w:left w:val="single" w:color="000000" w:sz="4" w:space="0"/>
              <w:bottom w:val="single" w:color="000000" w:sz="4" w:space="0"/>
              <w:right w:val="single" w:color="000000" w:sz="4" w:space="0"/>
            </w:tcBorders>
            <w:vAlign w:val="center"/>
          </w:tcPr>
          <w:p w14:paraId="6421DF0D">
            <w:pPr>
              <w:pStyle w:val="28"/>
              <w:bidi w:val="0"/>
            </w:pPr>
            <w:r>
              <w:t>0.61</w:t>
            </w:r>
          </w:p>
        </w:tc>
        <w:tc>
          <w:tcPr>
            <w:tcW w:w="318" w:type="pct"/>
            <w:tcBorders>
              <w:top w:val="single" w:color="000000" w:sz="4" w:space="0"/>
              <w:left w:val="single" w:color="000000" w:sz="4" w:space="0"/>
              <w:bottom w:val="single" w:color="000000" w:sz="4" w:space="0"/>
              <w:right w:val="single" w:color="000000" w:sz="4" w:space="0"/>
            </w:tcBorders>
            <w:vAlign w:val="center"/>
          </w:tcPr>
          <w:p w14:paraId="553FE6E8">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448DE712">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6BB83F40">
            <w:pPr>
              <w:pStyle w:val="28"/>
              <w:bidi w:val="0"/>
            </w:pPr>
            <w:r>
              <w:t>4.11</w:t>
            </w:r>
          </w:p>
        </w:tc>
        <w:tc>
          <w:tcPr>
            <w:tcW w:w="387" w:type="pct"/>
            <w:tcBorders>
              <w:top w:val="single" w:color="000000" w:sz="4" w:space="0"/>
              <w:left w:val="single" w:color="000000" w:sz="4" w:space="0"/>
              <w:bottom w:val="single" w:color="000000" w:sz="4" w:space="0"/>
              <w:right w:val="single" w:color="000000" w:sz="4" w:space="0"/>
            </w:tcBorders>
            <w:vAlign w:val="center"/>
          </w:tcPr>
          <w:p w14:paraId="28652BBE">
            <w:pPr>
              <w:pStyle w:val="28"/>
              <w:bidi w:val="0"/>
            </w:pPr>
            <w:r>
              <w:t>6.36</w:t>
            </w:r>
          </w:p>
        </w:tc>
      </w:tr>
      <w:tr w14:paraId="282BDEFA">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61FC0E52">
            <w:pPr>
              <w:pStyle w:val="28"/>
              <w:bidi w:val="0"/>
            </w:pPr>
            <w:r>
              <w:t>6</w:t>
            </w:r>
          </w:p>
        </w:tc>
        <w:tc>
          <w:tcPr>
            <w:tcW w:w="597" w:type="pct"/>
            <w:tcBorders>
              <w:top w:val="single" w:color="000000" w:sz="4" w:space="0"/>
              <w:left w:val="single" w:color="000000" w:sz="4" w:space="0"/>
              <w:bottom w:val="single" w:color="000000" w:sz="4" w:space="0"/>
              <w:right w:val="single" w:color="000000" w:sz="4" w:space="0"/>
            </w:tcBorders>
            <w:vAlign w:val="center"/>
          </w:tcPr>
          <w:p w14:paraId="526D9C14">
            <w:pPr>
              <w:pStyle w:val="28"/>
              <w:bidi w:val="0"/>
            </w:pPr>
            <w:r>
              <w:rPr>
                <w:rFonts w:hint="eastAsia"/>
              </w:rPr>
              <w:t>滁河干渠</w:t>
            </w:r>
            <w:r>
              <w:t>6</w:t>
            </w:r>
            <w:r>
              <w:rPr>
                <w:rFonts w:hint="eastAsia"/>
              </w:rPr>
              <w:t>座渠下涵工程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0B196460">
            <w:pPr>
              <w:pStyle w:val="28"/>
              <w:bidi w:val="0"/>
            </w:pPr>
            <w:r>
              <w:t>长丰县</w:t>
            </w:r>
          </w:p>
        </w:tc>
        <w:tc>
          <w:tcPr>
            <w:tcW w:w="308" w:type="pct"/>
            <w:tcBorders>
              <w:top w:val="single" w:color="000000" w:sz="4" w:space="0"/>
              <w:left w:val="single" w:color="000000" w:sz="4" w:space="0"/>
              <w:bottom w:val="single" w:color="000000" w:sz="4" w:space="0"/>
              <w:right w:val="single" w:color="000000" w:sz="4" w:space="0"/>
            </w:tcBorders>
            <w:noWrap/>
            <w:vAlign w:val="center"/>
          </w:tcPr>
          <w:p w14:paraId="0171BCB7">
            <w:pPr>
              <w:pStyle w:val="28"/>
              <w:bidi w:val="0"/>
            </w:pPr>
            <w:r>
              <w:t>3.76</w:t>
            </w:r>
          </w:p>
        </w:tc>
        <w:tc>
          <w:tcPr>
            <w:tcW w:w="386" w:type="pct"/>
            <w:tcBorders>
              <w:top w:val="single" w:color="000000" w:sz="4" w:space="0"/>
              <w:left w:val="single" w:color="000000" w:sz="4" w:space="0"/>
              <w:bottom w:val="single" w:color="000000" w:sz="4" w:space="0"/>
              <w:right w:val="single" w:color="000000" w:sz="4" w:space="0"/>
            </w:tcBorders>
            <w:vAlign w:val="center"/>
          </w:tcPr>
          <w:p w14:paraId="7654A6D2">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5BEBFB00">
            <w:pPr>
              <w:pStyle w:val="28"/>
              <w:bidi w:val="0"/>
            </w:pPr>
            <w:r>
              <w:t>0.63</w:t>
            </w:r>
          </w:p>
        </w:tc>
        <w:tc>
          <w:tcPr>
            <w:tcW w:w="326" w:type="pct"/>
            <w:tcBorders>
              <w:top w:val="single" w:color="000000" w:sz="4" w:space="0"/>
              <w:left w:val="single" w:color="000000" w:sz="4" w:space="0"/>
              <w:bottom w:val="single" w:color="000000" w:sz="4" w:space="0"/>
              <w:right w:val="single" w:color="000000" w:sz="4" w:space="0"/>
            </w:tcBorders>
            <w:vAlign w:val="center"/>
          </w:tcPr>
          <w:p w14:paraId="53854770">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5DDAF019">
            <w:pPr>
              <w:pStyle w:val="28"/>
              <w:bidi w:val="0"/>
            </w:pPr>
            <w:r>
              <w:t>1.77</w:t>
            </w:r>
          </w:p>
        </w:tc>
        <w:tc>
          <w:tcPr>
            <w:tcW w:w="387" w:type="pct"/>
            <w:tcBorders>
              <w:top w:val="single" w:color="000000" w:sz="4" w:space="0"/>
              <w:left w:val="single" w:color="000000" w:sz="4" w:space="0"/>
              <w:bottom w:val="single" w:color="000000" w:sz="4" w:space="0"/>
              <w:right w:val="single" w:color="000000" w:sz="4" w:space="0"/>
            </w:tcBorders>
            <w:vAlign w:val="center"/>
          </w:tcPr>
          <w:p w14:paraId="19F74603">
            <w:pPr>
              <w:pStyle w:val="28"/>
              <w:bidi w:val="0"/>
            </w:pPr>
            <w:r>
              <w:t>0.13</w:t>
            </w:r>
          </w:p>
        </w:tc>
        <w:tc>
          <w:tcPr>
            <w:tcW w:w="354" w:type="pct"/>
            <w:tcBorders>
              <w:top w:val="single" w:color="000000" w:sz="4" w:space="0"/>
              <w:left w:val="single" w:color="000000" w:sz="4" w:space="0"/>
              <w:bottom w:val="single" w:color="000000" w:sz="4" w:space="0"/>
              <w:right w:val="single" w:color="000000" w:sz="4" w:space="0"/>
            </w:tcBorders>
            <w:vAlign w:val="center"/>
          </w:tcPr>
          <w:p w14:paraId="286D14FE">
            <w:pPr>
              <w:pStyle w:val="28"/>
              <w:bidi w:val="0"/>
            </w:pPr>
            <w:r>
              <w:t>—</w:t>
            </w:r>
          </w:p>
        </w:tc>
        <w:tc>
          <w:tcPr>
            <w:tcW w:w="318" w:type="pct"/>
            <w:tcBorders>
              <w:top w:val="single" w:color="000000" w:sz="4" w:space="0"/>
              <w:left w:val="single" w:color="000000" w:sz="4" w:space="0"/>
              <w:bottom w:val="single" w:color="000000" w:sz="4" w:space="0"/>
              <w:right w:val="single" w:color="000000" w:sz="4" w:space="0"/>
            </w:tcBorders>
            <w:vAlign w:val="center"/>
          </w:tcPr>
          <w:p w14:paraId="77784E20">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21339C49">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696CB103">
            <w:pPr>
              <w:pStyle w:val="28"/>
              <w:bidi w:val="0"/>
            </w:pPr>
            <w:r>
              <w:t>2.53</w:t>
            </w:r>
          </w:p>
        </w:tc>
        <w:tc>
          <w:tcPr>
            <w:tcW w:w="387" w:type="pct"/>
            <w:tcBorders>
              <w:top w:val="single" w:color="000000" w:sz="4" w:space="0"/>
              <w:left w:val="single" w:color="000000" w:sz="4" w:space="0"/>
              <w:bottom w:val="single" w:color="000000" w:sz="4" w:space="0"/>
              <w:right w:val="single" w:color="000000" w:sz="4" w:space="0"/>
            </w:tcBorders>
            <w:vAlign w:val="center"/>
          </w:tcPr>
          <w:p w14:paraId="4BBB6DA7">
            <w:pPr>
              <w:pStyle w:val="28"/>
              <w:bidi w:val="0"/>
            </w:pPr>
            <w:r>
              <w:t>6.29</w:t>
            </w:r>
          </w:p>
        </w:tc>
      </w:tr>
      <w:tr w14:paraId="6199FA47">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732C68B0">
            <w:pPr>
              <w:pStyle w:val="28"/>
              <w:bidi w:val="0"/>
            </w:pPr>
            <w:r>
              <w:t>7</w:t>
            </w:r>
          </w:p>
        </w:tc>
        <w:tc>
          <w:tcPr>
            <w:tcW w:w="597" w:type="pct"/>
            <w:tcBorders>
              <w:top w:val="single" w:color="000000" w:sz="4" w:space="0"/>
              <w:left w:val="single" w:color="000000" w:sz="4" w:space="0"/>
              <w:bottom w:val="single" w:color="000000" w:sz="4" w:space="0"/>
              <w:right w:val="single" w:color="000000" w:sz="4" w:space="0"/>
            </w:tcBorders>
            <w:vAlign w:val="center"/>
          </w:tcPr>
          <w:p w14:paraId="2D6F46DB">
            <w:pPr>
              <w:pStyle w:val="28"/>
              <w:bidi w:val="0"/>
            </w:pPr>
            <w:r>
              <w:rPr>
                <w:rFonts w:hint="eastAsia"/>
              </w:rPr>
              <w:t>淠杭干渠工程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6A5D4AA4">
            <w:pPr>
              <w:pStyle w:val="28"/>
              <w:bidi w:val="0"/>
            </w:pPr>
            <w:r>
              <w:t>金安区</w:t>
            </w:r>
          </w:p>
        </w:tc>
        <w:tc>
          <w:tcPr>
            <w:tcW w:w="308" w:type="pct"/>
            <w:tcBorders>
              <w:top w:val="single" w:color="000000" w:sz="4" w:space="0"/>
              <w:left w:val="single" w:color="000000" w:sz="4" w:space="0"/>
              <w:bottom w:val="single" w:color="000000" w:sz="4" w:space="0"/>
              <w:right w:val="single" w:color="000000" w:sz="4" w:space="0"/>
            </w:tcBorders>
            <w:noWrap/>
            <w:vAlign w:val="center"/>
          </w:tcPr>
          <w:p w14:paraId="6378D602">
            <w:pPr>
              <w:pStyle w:val="28"/>
              <w:bidi w:val="0"/>
            </w:pPr>
            <w:r>
              <w:t>2.67</w:t>
            </w:r>
          </w:p>
        </w:tc>
        <w:tc>
          <w:tcPr>
            <w:tcW w:w="386" w:type="pct"/>
            <w:tcBorders>
              <w:top w:val="single" w:color="000000" w:sz="4" w:space="0"/>
              <w:left w:val="single" w:color="000000" w:sz="4" w:space="0"/>
              <w:bottom w:val="single" w:color="000000" w:sz="4" w:space="0"/>
              <w:right w:val="single" w:color="000000" w:sz="4" w:space="0"/>
            </w:tcBorders>
            <w:vAlign w:val="center"/>
          </w:tcPr>
          <w:p w14:paraId="36D193D9">
            <w:pPr>
              <w:pStyle w:val="28"/>
              <w:bidi w:val="0"/>
            </w:pPr>
            <w:r>
              <w:t>1.1</w:t>
            </w:r>
          </w:p>
        </w:tc>
        <w:tc>
          <w:tcPr>
            <w:tcW w:w="310" w:type="pct"/>
            <w:tcBorders>
              <w:top w:val="single" w:color="000000" w:sz="4" w:space="0"/>
              <w:left w:val="single" w:color="000000" w:sz="4" w:space="0"/>
              <w:bottom w:val="single" w:color="000000" w:sz="4" w:space="0"/>
              <w:right w:val="single" w:color="000000" w:sz="4" w:space="0"/>
            </w:tcBorders>
            <w:vAlign w:val="center"/>
          </w:tcPr>
          <w:p w14:paraId="1F39EBE6">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4D096CE9">
            <w:pPr>
              <w:pStyle w:val="28"/>
              <w:bidi w:val="0"/>
            </w:pPr>
            <w:r>
              <w:t>1.65</w:t>
            </w:r>
          </w:p>
        </w:tc>
        <w:tc>
          <w:tcPr>
            <w:tcW w:w="354" w:type="pct"/>
            <w:tcBorders>
              <w:top w:val="single" w:color="000000" w:sz="4" w:space="0"/>
              <w:left w:val="single" w:color="000000" w:sz="4" w:space="0"/>
              <w:bottom w:val="single" w:color="000000" w:sz="4" w:space="0"/>
              <w:right w:val="single" w:color="000000" w:sz="4" w:space="0"/>
            </w:tcBorders>
            <w:vAlign w:val="center"/>
          </w:tcPr>
          <w:p w14:paraId="42BDA2BB">
            <w:pPr>
              <w:pStyle w:val="28"/>
              <w:bidi w:val="0"/>
            </w:pPr>
            <w:r>
              <w:t>0.08</w:t>
            </w:r>
          </w:p>
        </w:tc>
        <w:tc>
          <w:tcPr>
            <w:tcW w:w="387" w:type="pct"/>
            <w:tcBorders>
              <w:top w:val="single" w:color="000000" w:sz="4" w:space="0"/>
              <w:left w:val="single" w:color="000000" w:sz="4" w:space="0"/>
              <w:bottom w:val="single" w:color="000000" w:sz="4" w:space="0"/>
              <w:right w:val="single" w:color="000000" w:sz="4" w:space="0"/>
            </w:tcBorders>
            <w:vAlign w:val="center"/>
          </w:tcPr>
          <w:p w14:paraId="5FA8F427">
            <w:pPr>
              <w:pStyle w:val="28"/>
              <w:bidi w:val="0"/>
            </w:pPr>
            <w:r>
              <w:t>1.60</w:t>
            </w:r>
          </w:p>
        </w:tc>
        <w:tc>
          <w:tcPr>
            <w:tcW w:w="354" w:type="pct"/>
            <w:tcBorders>
              <w:top w:val="single" w:color="000000" w:sz="4" w:space="0"/>
              <w:left w:val="single" w:color="000000" w:sz="4" w:space="0"/>
              <w:bottom w:val="single" w:color="000000" w:sz="4" w:space="0"/>
              <w:right w:val="single" w:color="000000" w:sz="4" w:space="0"/>
            </w:tcBorders>
            <w:vAlign w:val="center"/>
          </w:tcPr>
          <w:p w14:paraId="1B922956">
            <w:pPr>
              <w:pStyle w:val="28"/>
              <w:bidi w:val="0"/>
            </w:pPr>
            <w:r>
              <w:t>0.34</w:t>
            </w:r>
          </w:p>
        </w:tc>
        <w:tc>
          <w:tcPr>
            <w:tcW w:w="318" w:type="pct"/>
            <w:tcBorders>
              <w:top w:val="single" w:color="000000" w:sz="4" w:space="0"/>
              <w:left w:val="single" w:color="000000" w:sz="4" w:space="0"/>
              <w:bottom w:val="single" w:color="000000" w:sz="4" w:space="0"/>
              <w:right w:val="single" w:color="000000" w:sz="4" w:space="0"/>
            </w:tcBorders>
            <w:vAlign w:val="center"/>
          </w:tcPr>
          <w:p w14:paraId="1816588A">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716CC3F7">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4BF2B1D7">
            <w:pPr>
              <w:pStyle w:val="28"/>
              <w:bidi w:val="0"/>
            </w:pPr>
            <w:r>
              <w:t>4.77</w:t>
            </w:r>
          </w:p>
        </w:tc>
        <w:tc>
          <w:tcPr>
            <w:tcW w:w="387" w:type="pct"/>
            <w:tcBorders>
              <w:top w:val="single" w:color="000000" w:sz="4" w:space="0"/>
              <w:left w:val="single" w:color="000000" w:sz="4" w:space="0"/>
              <w:bottom w:val="single" w:color="000000" w:sz="4" w:space="0"/>
              <w:right w:val="single" w:color="000000" w:sz="4" w:space="0"/>
            </w:tcBorders>
            <w:vAlign w:val="center"/>
          </w:tcPr>
          <w:p w14:paraId="7CDD029F">
            <w:pPr>
              <w:pStyle w:val="28"/>
              <w:bidi w:val="0"/>
            </w:pPr>
            <w:r>
              <w:t>7.44</w:t>
            </w:r>
          </w:p>
        </w:tc>
      </w:tr>
      <w:tr w14:paraId="1F048FD3">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2D85B29C">
            <w:pPr>
              <w:pStyle w:val="28"/>
              <w:bidi w:val="0"/>
            </w:pPr>
            <w:r>
              <w:t>8</w:t>
            </w:r>
          </w:p>
        </w:tc>
        <w:tc>
          <w:tcPr>
            <w:tcW w:w="597" w:type="pct"/>
            <w:tcBorders>
              <w:top w:val="single" w:color="000000" w:sz="4" w:space="0"/>
              <w:left w:val="single" w:color="000000" w:sz="4" w:space="0"/>
              <w:bottom w:val="single" w:color="000000" w:sz="4" w:space="0"/>
              <w:right w:val="single" w:color="000000" w:sz="4" w:space="0"/>
            </w:tcBorders>
            <w:vAlign w:val="center"/>
          </w:tcPr>
          <w:p w14:paraId="3F31806C">
            <w:pPr>
              <w:pStyle w:val="28"/>
              <w:bidi w:val="0"/>
            </w:pPr>
            <w:r>
              <w:rPr>
                <w:rFonts w:hint="eastAsia"/>
              </w:rPr>
              <w:t>淠东干渠工程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673EEE84">
            <w:pPr>
              <w:pStyle w:val="28"/>
              <w:bidi w:val="0"/>
            </w:pPr>
            <w:r>
              <w:t>寿县</w:t>
            </w:r>
          </w:p>
        </w:tc>
        <w:tc>
          <w:tcPr>
            <w:tcW w:w="308" w:type="pct"/>
            <w:tcBorders>
              <w:top w:val="single" w:color="000000" w:sz="4" w:space="0"/>
              <w:left w:val="single" w:color="000000" w:sz="4" w:space="0"/>
              <w:bottom w:val="single" w:color="000000" w:sz="4" w:space="0"/>
              <w:right w:val="single" w:color="000000" w:sz="4" w:space="0"/>
            </w:tcBorders>
            <w:noWrap/>
            <w:vAlign w:val="center"/>
          </w:tcPr>
          <w:p w14:paraId="6500B505">
            <w:pPr>
              <w:pStyle w:val="28"/>
              <w:bidi w:val="0"/>
            </w:pPr>
            <w:r>
              <w:t>44.63</w:t>
            </w:r>
          </w:p>
        </w:tc>
        <w:tc>
          <w:tcPr>
            <w:tcW w:w="386" w:type="pct"/>
            <w:tcBorders>
              <w:top w:val="single" w:color="000000" w:sz="4" w:space="0"/>
              <w:left w:val="single" w:color="000000" w:sz="4" w:space="0"/>
              <w:bottom w:val="single" w:color="000000" w:sz="4" w:space="0"/>
              <w:right w:val="single" w:color="000000" w:sz="4" w:space="0"/>
            </w:tcBorders>
            <w:vAlign w:val="center"/>
          </w:tcPr>
          <w:p w14:paraId="23882D0B">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015ECF72">
            <w:pPr>
              <w:pStyle w:val="28"/>
              <w:bidi w:val="0"/>
            </w:pPr>
            <w:r>
              <w:t>5.95</w:t>
            </w:r>
          </w:p>
        </w:tc>
        <w:tc>
          <w:tcPr>
            <w:tcW w:w="326" w:type="pct"/>
            <w:tcBorders>
              <w:top w:val="single" w:color="000000" w:sz="4" w:space="0"/>
              <w:left w:val="single" w:color="000000" w:sz="4" w:space="0"/>
              <w:bottom w:val="single" w:color="000000" w:sz="4" w:space="0"/>
              <w:right w:val="single" w:color="000000" w:sz="4" w:space="0"/>
            </w:tcBorders>
            <w:vAlign w:val="center"/>
          </w:tcPr>
          <w:p w14:paraId="790710A4">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7C2515E7">
            <w:pPr>
              <w:pStyle w:val="28"/>
              <w:bidi w:val="0"/>
            </w:pPr>
            <w:r>
              <w:t>3.74</w:t>
            </w:r>
          </w:p>
        </w:tc>
        <w:tc>
          <w:tcPr>
            <w:tcW w:w="387" w:type="pct"/>
            <w:tcBorders>
              <w:top w:val="single" w:color="000000" w:sz="4" w:space="0"/>
              <w:left w:val="single" w:color="000000" w:sz="4" w:space="0"/>
              <w:bottom w:val="single" w:color="000000" w:sz="4" w:space="0"/>
              <w:right w:val="single" w:color="000000" w:sz="4" w:space="0"/>
            </w:tcBorders>
            <w:vAlign w:val="center"/>
          </w:tcPr>
          <w:p w14:paraId="22A09FDF">
            <w:pPr>
              <w:pStyle w:val="28"/>
              <w:bidi w:val="0"/>
            </w:pPr>
            <w:r>
              <w:t>0.36</w:t>
            </w:r>
          </w:p>
        </w:tc>
        <w:tc>
          <w:tcPr>
            <w:tcW w:w="354" w:type="pct"/>
            <w:tcBorders>
              <w:top w:val="single" w:color="000000" w:sz="4" w:space="0"/>
              <w:left w:val="single" w:color="000000" w:sz="4" w:space="0"/>
              <w:bottom w:val="single" w:color="000000" w:sz="4" w:space="0"/>
              <w:right w:val="single" w:color="000000" w:sz="4" w:space="0"/>
            </w:tcBorders>
            <w:vAlign w:val="center"/>
          </w:tcPr>
          <w:p w14:paraId="19E781CF">
            <w:pPr>
              <w:pStyle w:val="28"/>
              <w:bidi w:val="0"/>
            </w:pPr>
            <w:r>
              <w:t>0.62</w:t>
            </w:r>
          </w:p>
        </w:tc>
        <w:tc>
          <w:tcPr>
            <w:tcW w:w="318" w:type="pct"/>
            <w:tcBorders>
              <w:top w:val="single" w:color="000000" w:sz="4" w:space="0"/>
              <w:left w:val="single" w:color="000000" w:sz="4" w:space="0"/>
              <w:bottom w:val="single" w:color="000000" w:sz="4" w:space="0"/>
              <w:right w:val="single" w:color="000000" w:sz="4" w:space="0"/>
            </w:tcBorders>
            <w:vAlign w:val="center"/>
          </w:tcPr>
          <w:p w14:paraId="775C9633">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17FFC836">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2128BDE0">
            <w:pPr>
              <w:pStyle w:val="28"/>
              <w:bidi w:val="0"/>
            </w:pPr>
            <w:r>
              <w:t>10.67</w:t>
            </w:r>
          </w:p>
        </w:tc>
        <w:tc>
          <w:tcPr>
            <w:tcW w:w="387" w:type="pct"/>
            <w:tcBorders>
              <w:top w:val="single" w:color="000000" w:sz="4" w:space="0"/>
              <w:left w:val="single" w:color="000000" w:sz="4" w:space="0"/>
              <w:bottom w:val="single" w:color="000000" w:sz="4" w:space="0"/>
              <w:right w:val="single" w:color="000000" w:sz="4" w:space="0"/>
            </w:tcBorders>
            <w:vAlign w:val="center"/>
          </w:tcPr>
          <w:p w14:paraId="36135FB7">
            <w:pPr>
              <w:pStyle w:val="28"/>
              <w:bidi w:val="0"/>
            </w:pPr>
            <w:r>
              <w:t>55.30</w:t>
            </w:r>
          </w:p>
        </w:tc>
      </w:tr>
      <w:tr w14:paraId="3B1CD4CB">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22C3E203">
            <w:pPr>
              <w:pStyle w:val="28"/>
              <w:bidi w:val="0"/>
            </w:pPr>
            <w:r>
              <w:t>9</w:t>
            </w:r>
          </w:p>
        </w:tc>
        <w:tc>
          <w:tcPr>
            <w:tcW w:w="597" w:type="pct"/>
            <w:tcBorders>
              <w:top w:val="single" w:color="000000" w:sz="4" w:space="0"/>
              <w:left w:val="single" w:color="000000" w:sz="4" w:space="0"/>
              <w:bottom w:val="single" w:color="000000" w:sz="4" w:space="0"/>
              <w:right w:val="single" w:color="000000" w:sz="4" w:space="0"/>
            </w:tcBorders>
            <w:vAlign w:val="center"/>
          </w:tcPr>
          <w:p w14:paraId="5F22BE02">
            <w:pPr>
              <w:pStyle w:val="28"/>
              <w:bidi w:val="0"/>
            </w:pPr>
            <w:r>
              <w:rPr>
                <w:rFonts w:hint="eastAsia"/>
              </w:rPr>
              <w:t>瓦西干渠工程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757C5ACB">
            <w:pPr>
              <w:pStyle w:val="28"/>
              <w:bidi w:val="0"/>
            </w:pPr>
            <w:r>
              <w:t>金安区</w:t>
            </w:r>
          </w:p>
        </w:tc>
        <w:tc>
          <w:tcPr>
            <w:tcW w:w="308" w:type="pct"/>
            <w:tcBorders>
              <w:top w:val="single" w:color="000000" w:sz="4" w:space="0"/>
              <w:left w:val="single" w:color="000000" w:sz="4" w:space="0"/>
              <w:bottom w:val="single" w:color="000000" w:sz="4" w:space="0"/>
              <w:right w:val="single" w:color="000000" w:sz="4" w:space="0"/>
            </w:tcBorders>
            <w:vAlign w:val="center"/>
          </w:tcPr>
          <w:p w14:paraId="7ADC3E09">
            <w:pPr>
              <w:pStyle w:val="28"/>
              <w:bidi w:val="0"/>
            </w:pPr>
            <w:r>
              <w:t>9.24</w:t>
            </w:r>
          </w:p>
        </w:tc>
        <w:tc>
          <w:tcPr>
            <w:tcW w:w="386" w:type="pct"/>
            <w:tcBorders>
              <w:top w:val="single" w:color="000000" w:sz="4" w:space="0"/>
              <w:left w:val="single" w:color="000000" w:sz="4" w:space="0"/>
              <w:bottom w:val="single" w:color="000000" w:sz="4" w:space="0"/>
              <w:right w:val="single" w:color="000000" w:sz="4" w:space="0"/>
            </w:tcBorders>
            <w:vAlign w:val="center"/>
          </w:tcPr>
          <w:p w14:paraId="2116B043">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3990A896">
            <w:pPr>
              <w:pStyle w:val="28"/>
              <w:bidi w:val="0"/>
            </w:pPr>
            <w:r>
              <w:t>4.25</w:t>
            </w:r>
          </w:p>
        </w:tc>
        <w:tc>
          <w:tcPr>
            <w:tcW w:w="326" w:type="pct"/>
            <w:tcBorders>
              <w:top w:val="single" w:color="000000" w:sz="4" w:space="0"/>
              <w:left w:val="single" w:color="000000" w:sz="4" w:space="0"/>
              <w:bottom w:val="single" w:color="000000" w:sz="4" w:space="0"/>
              <w:right w:val="single" w:color="000000" w:sz="4" w:space="0"/>
            </w:tcBorders>
            <w:vAlign w:val="center"/>
          </w:tcPr>
          <w:p w14:paraId="721DC614">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02517FE9">
            <w:pPr>
              <w:pStyle w:val="28"/>
              <w:bidi w:val="0"/>
            </w:pPr>
            <w:r>
              <w:t>—</w:t>
            </w:r>
          </w:p>
        </w:tc>
        <w:tc>
          <w:tcPr>
            <w:tcW w:w="387" w:type="pct"/>
            <w:tcBorders>
              <w:top w:val="single" w:color="000000" w:sz="4" w:space="0"/>
              <w:left w:val="single" w:color="000000" w:sz="4" w:space="0"/>
              <w:bottom w:val="single" w:color="000000" w:sz="4" w:space="0"/>
              <w:right w:val="single" w:color="000000" w:sz="4" w:space="0"/>
            </w:tcBorders>
            <w:vAlign w:val="center"/>
          </w:tcPr>
          <w:p w14:paraId="4768A4A3">
            <w:pPr>
              <w:pStyle w:val="28"/>
              <w:bidi w:val="0"/>
            </w:pPr>
            <w:r>
              <w:t>0.80</w:t>
            </w:r>
          </w:p>
        </w:tc>
        <w:tc>
          <w:tcPr>
            <w:tcW w:w="354" w:type="pct"/>
            <w:tcBorders>
              <w:top w:val="single" w:color="000000" w:sz="4" w:space="0"/>
              <w:left w:val="single" w:color="000000" w:sz="4" w:space="0"/>
              <w:bottom w:val="single" w:color="000000" w:sz="4" w:space="0"/>
              <w:right w:val="single" w:color="000000" w:sz="4" w:space="0"/>
            </w:tcBorders>
            <w:vAlign w:val="center"/>
          </w:tcPr>
          <w:p w14:paraId="19361392">
            <w:pPr>
              <w:pStyle w:val="28"/>
              <w:bidi w:val="0"/>
            </w:pPr>
            <w:r>
              <w:t>0.90</w:t>
            </w:r>
          </w:p>
        </w:tc>
        <w:tc>
          <w:tcPr>
            <w:tcW w:w="318" w:type="pct"/>
            <w:tcBorders>
              <w:top w:val="single" w:color="000000" w:sz="4" w:space="0"/>
              <w:left w:val="single" w:color="000000" w:sz="4" w:space="0"/>
              <w:bottom w:val="single" w:color="000000" w:sz="4" w:space="0"/>
              <w:right w:val="single" w:color="000000" w:sz="4" w:space="0"/>
            </w:tcBorders>
            <w:vAlign w:val="center"/>
          </w:tcPr>
          <w:p w14:paraId="44D93C60">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2DAA5386">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699405A9">
            <w:pPr>
              <w:pStyle w:val="28"/>
              <w:bidi w:val="0"/>
            </w:pPr>
            <w:r>
              <w:t>5.95</w:t>
            </w:r>
          </w:p>
        </w:tc>
        <w:tc>
          <w:tcPr>
            <w:tcW w:w="387" w:type="pct"/>
            <w:tcBorders>
              <w:top w:val="single" w:color="000000" w:sz="4" w:space="0"/>
              <w:left w:val="single" w:color="000000" w:sz="4" w:space="0"/>
              <w:bottom w:val="single" w:color="000000" w:sz="4" w:space="0"/>
              <w:right w:val="single" w:color="000000" w:sz="4" w:space="0"/>
            </w:tcBorders>
            <w:vAlign w:val="center"/>
          </w:tcPr>
          <w:p w14:paraId="39433F02">
            <w:pPr>
              <w:pStyle w:val="28"/>
              <w:bidi w:val="0"/>
            </w:pPr>
            <w:r>
              <w:t>15.19</w:t>
            </w:r>
          </w:p>
        </w:tc>
      </w:tr>
      <w:tr w14:paraId="35515722">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3E5C6AFE">
            <w:pPr>
              <w:pStyle w:val="28"/>
              <w:bidi w:val="0"/>
            </w:pPr>
            <w:r>
              <w:t>10</w:t>
            </w:r>
          </w:p>
        </w:tc>
        <w:tc>
          <w:tcPr>
            <w:tcW w:w="597" w:type="pct"/>
            <w:tcBorders>
              <w:top w:val="single" w:color="000000" w:sz="4" w:space="0"/>
              <w:left w:val="single" w:color="000000" w:sz="4" w:space="0"/>
              <w:bottom w:val="single" w:color="000000" w:sz="4" w:space="0"/>
              <w:right w:val="single" w:color="000000" w:sz="4" w:space="0"/>
            </w:tcBorders>
            <w:vAlign w:val="center"/>
          </w:tcPr>
          <w:p w14:paraId="634AA703">
            <w:pPr>
              <w:pStyle w:val="28"/>
              <w:bidi w:val="0"/>
            </w:pPr>
            <w:r>
              <w:rPr>
                <w:rFonts w:hint="eastAsia"/>
              </w:rPr>
              <w:t>堰口分干渠工程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08044D90">
            <w:pPr>
              <w:pStyle w:val="28"/>
              <w:bidi w:val="0"/>
            </w:pPr>
            <w:r>
              <w:t>寿县</w:t>
            </w:r>
          </w:p>
        </w:tc>
        <w:tc>
          <w:tcPr>
            <w:tcW w:w="308" w:type="pct"/>
            <w:tcBorders>
              <w:top w:val="single" w:color="000000" w:sz="4" w:space="0"/>
              <w:left w:val="single" w:color="000000" w:sz="4" w:space="0"/>
              <w:bottom w:val="single" w:color="000000" w:sz="4" w:space="0"/>
              <w:right w:val="single" w:color="000000" w:sz="4" w:space="0"/>
            </w:tcBorders>
            <w:vAlign w:val="center"/>
          </w:tcPr>
          <w:p w14:paraId="63780D7C">
            <w:pPr>
              <w:pStyle w:val="28"/>
              <w:bidi w:val="0"/>
            </w:pPr>
            <w:r>
              <w:t>16.20</w:t>
            </w:r>
          </w:p>
        </w:tc>
        <w:tc>
          <w:tcPr>
            <w:tcW w:w="386" w:type="pct"/>
            <w:tcBorders>
              <w:top w:val="single" w:color="000000" w:sz="4" w:space="0"/>
              <w:left w:val="single" w:color="000000" w:sz="4" w:space="0"/>
              <w:bottom w:val="single" w:color="000000" w:sz="4" w:space="0"/>
              <w:right w:val="single" w:color="000000" w:sz="4" w:space="0"/>
            </w:tcBorders>
            <w:vAlign w:val="center"/>
          </w:tcPr>
          <w:p w14:paraId="30572A5E">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36149638">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0A3AFC76">
            <w:pPr>
              <w:pStyle w:val="28"/>
              <w:bidi w:val="0"/>
            </w:pPr>
            <w:r>
              <w:t>2.04</w:t>
            </w:r>
          </w:p>
        </w:tc>
        <w:tc>
          <w:tcPr>
            <w:tcW w:w="354" w:type="pct"/>
            <w:tcBorders>
              <w:top w:val="single" w:color="000000" w:sz="4" w:space="0"/>
              <w:left w:val="single" w:color="000000" w:sz="4" w:space="0"/>
              <w:bottom w:val="single" w:color="000000" w:sz="4" w:space="0"/>
              <w:right w:val="single" w:color="000000" w:sz="4" w:space="0"/>
            </w:tcBorders>
            <w:vAlign w:val="center"/>
          </w:tcPr>
          <w:p w14:paraId="4B46E14F">
            <w:pPr>
              <w:pStyle w:val="28"/>
              <w:bidi w:val="0"/>
            </w:pPr>
            <w:r>
              <w:t>0.73</w:t>
            </w:r>
          </w:p>
        </w:tc>
        <w:tc>
          <w:tcPr>
            <w:tcW w:w="387" w:type="pct"/>
            <w:tcBorders>
              <w:top w:val="single" w:color="000000" w:sz="4" w:space="0"/>
              <w:left w:val="single" w:color="000000" w:sz="4" w:space="0"/>
              <w:bottom w:val="single" w:color="000000" w:sz="4" w:space="0"/>
              <w:right w:val="single" w:color="000000" w:sz="4" w:space="0"/>
            </w:tcBorders>
            <w:vAlign w:val="center"/>
          </w:tcPr>
          <w:p w14:paraId="231BEA9B">
            <w:pPr>
              <w:pStyle w:val="28"/>
              <w:bidi w:val="0"/>
            </w:pPr>
            <w:r>
              <w:t>2.03</w:t>
            </w:r>
          </w:p>
        </w:tc>
        <w:tc>
          <w:tcPr>
            <w:tcW w:w="354" w:type="pct"/>
            <w:tcBorders>
              <w:top w:val="single" w:color="000000" w:sz="4" w:space="0"/>
              <w:left w:val="single" w:color="000000" w:sz="4" w:space="0"/>
              <w:bottom w:val="single" w:color="000000" w:sz="4" w:space="0"/>
              <w:right w:val="single" w:color="000000" w:sz="4" w:space="0"/>
            </w:tcBorders>
            <w:vAlign w:val="center"/>
          </w:tcPr>
          <w:p w14:paraId="508A2404">
            <w:pPr>
              <w:pStyle w:val="28"/>
              <w:bidi w:val="0"/>
            </w:pPr>
            <w:r>
              <w:t>2.00</w:t>
            </w:r>
          </w:p>
        </w:tc>
        <w:tc>
          <w:tcPr>
            <w:tcW w:w="318" w:type="pct"/>
            <w:tcBorders>
              <w:top w:val="single" w:color="000000" w:sz="4" w:space="0"/>
              <w:left w:val="single" w:color="000000" w:sz="4" w:space="0"/>
              <w:bottom w:val="single" w:color="000000" w:sz="4" w:space="0"/>
              <w:right w:val="single" w:color="000000" w:sz="4" w:space="0"/>
            </w:tcBorders>
            <w:vAlign w:val="center"/>
          </w:tcPr>
          <w:p w14:paraId="20180F19">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170B48F6">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30C445C2">
            <w:pPr>
              <w:pStyle w:val="28"/>
              <w:bidi w:val="0"/>
            </w:pPr>
            <w:r>
              <w:t>6.81</w:t>
            </w:r>
          </w:p>
        </w:tc>
        <w:tc>
          <w:tcPr>
            <w:tcW w:w="387" w:type="pct"/>
            <w:tcBorders>
              <w:top w:val="single" w:color="000000" w:sz="4" w:space="0"/>
              <w:left w:val="single" w:color="000000" w:sz="4" w:space="0"/>
              <w:bottom w:val="single" w:color="000000" w:sz="4" w:space="0"/>
              <w:right w:val="single" w:color="000000" w:sz="4" w:space="0"/>
            </w:tcBorders>
            <w:vAlign w:val="center"/>
          </w:tcPr>
          <w:p w14:paraId="673A1F9A">
            <w:pPr>
              <w:pStyle w:val="28"/>
              <w:bidi w:val="0"/>
            </w:pPr>
            <w:r>
              <w:t>23.01</w:t>
            </w:r>
          </w:p>
        </w:tc>
      </w:tr>
      <w:tr w14:paraId="32F0EFB1">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58A99FFF">
            <w:pPr>
              <w:pStyle w:val="28"/>
              <w:bidi w:val="0"/>
            </w:pPr>
            <w:r>
              <w:t>11</w:t>
            </w:r>
          </w:p>
        </w:tc>
        <w:tc>
          <w:tcPr>
            <w:tcW w:w="597" w:type="pct"/>
            <w:tcBorders>
              <w:top w:val="single" w:color="000000" w:sz="4" w:space="0"/>
              <w:left w:val="single" w:color="000000" w:sz="4" w:space="0"/>
              <w:bottom w:val="single" w:color="000000" w:sz="4" w:space="0"/>
              <w:right w:val="single" w:color="000000" w:sz="4" w:space="0"/>
            </w:tcBorders>
            <w:vAlign w:val="center"/>
          </w:tcPr>
          <w:p w14:paraId="56B442ED">
            <w:pPr>
              <w:pStyle w:val="28"/>
              <w:bidi w:val="0"/>
            </w:pPr>
            <w:r>
              <w:rPr>
                <w:rFonts w:hint="eastAsia"/>
              </w:rPr>
              <w:t>淠源分干渠工程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1B0FF1D9">
            <w:pPr>
              <w:pStyle w:val="28"/>
              <w:bidi w:val="0"/>
            </w:pPr>
            <w:r>
              <w:t>霍山县</w:t>
            </w:r>
          </w:p>
        </w:tc>
        <w:tc>
          <w:tcPr>
            <w:tcW w:w="308" w:type="pct"/>
            <w:tcBorders>
              <w:top w:val="single" w:color="000000" w:sz="4" w:space="0"/>
              <w:left w:val="single" w:color="000000" w:sz="4" w:space="0"/>
              <w:bottom w:val="single" w:color="000000" w:sz="4" w:space="0"/>
              <w:right w:val="single" w:color="000000" w:sz="4" w:space="0"/>
            </w:tcBorders>
            <w:vAlign w:val="center"/>
          </w:tcPr>
          <w:p w14:paraId="68D3D2B2">
            <w:pPr>
              <w:pStyle w:val="28"/>
              <w:bidi w:val="0"/>
            </w:pPr>
            <w:r>
              <w:t>0.95</w:t>
            </w:r>
          </w:p>
        </w:tc>
        <w:tc>
          <w:tcPr>
            <w:tcW w:w="386" w:type="pct"/>
            <w:tcBorders>
              <w:top w:val="single" w:color="000000" w:sz="4" w:space="0"/>
              <w:left w:val="single" w:color="000000" w:sz="4" w:space="0"/>
              <w:bottom w:val="single" w:color="000000" w:sz="4" w:space="0"/>
              <w:right w:val="single" w:color="000000" w:sz="4" w:space="0"/>
            </w:tcBorders>
            <w:vAlign w:val="center"/>
          </w:tcPr>
          <w:p w14:paraId="2B90DE6A">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7BDE2726">
            <w:pPr>
              <w:pStyle w:val="28"/>
              <w:bidi w:val="0"/>
            </w:pPr>
            <w:r>
              <w:t>0.58</w:t>
            </w:r>
          </w:p>
        </w:tc>
        <w:tc>
          <w:tcPr>
            <w:tcW w:w="326" w:type="pct"/>
            <w:tcBorders>
              <w:top w:val="single" w:color="000000" w:sz="4" w:space="0"/>
              <w:left w:val="single" w:color="000000" w:sz="4" w:space="0"/>
              <w:bottom w:val="single" w:color="000000" w:sz="4" w:space="0"/>
              <w:right w:val="single" w:color="000000" w:sz="4" w:space="0"/>
            </w:tcBorders>
            <w:vAlign w:val="center"/>
          </w:tcPr>
          <w:p w14:paraId="61C83718">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6DB67DC4">
            <w:pPr>
              <w:pStyle w:val="28"/>
              <w:bidi w:val="0"/>
            </w:pPr>
            <w:r>
              <w:t>0.64</w:t>
            </w:r>
          </w:p>
        </w:tc>
        <w:tc>
          <w:tcPr>
            <w:tcW w:w="387" w:type="pct"/>
            <w:tcBorders>
              <w:top w:val="single" w:color="000000" w:sz="4" w:space="0"/>
              <w:left w:val="single" w:color="000000" w:sz="4" w:space="0"/>
              <w:bottom w:val="single" w:color="000000" w:sz="4" w:space="0"/>
              <w:right w:val="single" w:color="000000" w:sz="4" w:space="0"/>
            </w:tcBorders>
            <w:vAlign w:val="center"/>
          </w:tcPr>
          <w:p w14:paraId="06840C71">
            <w:pPr>
              <w:pStyle w:val="28"/>
              <w:bidi w:val="0"/>
            </w:pPr>
            <w:r>
              <w:t>1.40</w:t>
            </w:r>
          </w:p>
        </w:tc>
        <w:tc>
          <w:tcPr>
            <w:tcW w:w="354" w:type="pct"/>
            <w:tcBorders>
              <w:top w:val="single" w:color="000000" w:sz="4" w:space="0"/>
              <w:left w:val="single" w:color="000000" w:sz="4" w:space="0"/>
              <w:bottom w:val="single" w:color="000000" w:sz="4" w:space="0"/>
              <w:right w:val="single" w:color="000000" w:sz="4" w:space="0"/>
            </w:tcBorders>
            <w:vAlign w:val="center"/>
          </w:tcPr>
          <w:p w14:paraId="54770AF6">
            <w:pPr>
              <w:pStyle w:val="28"/>
              <w:bidi w:val="0"/>
            </w:pPr>
            <w:r>
              <w:t>0.12</w:t>
            </w:r>
          </w:p>
        </w:tc>
        <w:tc>
          <w:tcPr>
            <w:tcW w:w="318" w:type="pct"/>
            <w:tcBorders>
              <w:top w:val="single" w:color="000000" w:sz="4" w:space="0"/>
              <w:left w:val="single" w:color="000000" w:sz="4" w:space="0"/>
              <w:bottom w:val="single" w:color="000000" w:sz="4" w:space="0"/>
              <w:right w:val="single" w:color="000000" w:sz="4" w:space="0"/>
            </w:tcBorders>
            <w:vAlign w:val="center"/>
          </w:tcPr>
          <w:p w14:paraId="7B1C747F">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7A2BFB68">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4250E54B">
            <w:pPr>
              <w:pStyle w:val="28"/>
              <w:bidi w:val="0"/>
            </w:pPr>
            <w:r>
              <w:t>2.74</w:t>
            </w:r>
          </w:p>
        </w:tc>
        <w:tc>
          <w:tcPr>
            <w:tcW w:w="387" w:type="pct"/>
            <w:tcBorders>
              <w:top w:val="single" w:color="000000" w:sz="4" w:space="0"/>
              <w:left w:val="single" w:color="000000" w:sz="4" w:space="0"/>
              <w:bottom w:val="single" w:color="000000" w:sz="4" w:space="0"/>
              <w:right w:val="single" w:color="000000" w:sz="4" w:space="0"/>
            </w:tcBorders>
            <w:vAlign w:val="center"/>
          </w:tcPr>
          <w:p w14:paraId="0457B2CB">
            <w:pPr>
              <w:pStyle w:val="28"/>
              <w:bidi w:val="0"/>
            </w:pPr>
            <w:r>
              <w:t>3.69</w:t>
            </w:r>
          </w:p>
        </w:tc>
      </w:tr>
      <w:tr w14:paraId="64C57D78">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1F1E3084">
            <w:pPr>
              <w:pStyle w:val="28"/>
              <w:bidi w:val="0"/>
            </w:pPr>
            <w:r>
              <w:t>12</w:t>
            </w:r>
          </w:p>
        </w:tc>
        <w:tc>
          <w:tcPr>
            <w:tcW w:w="597" w:type="pct"/>
            <w:tcBorders>
              <w:top w:val="single" w:color="000000" w:sz="4" w:space="0"/>
              <w:left w:val="single" w:color="000000" w:sz="4" w:space="0"/>
              <w:bottom w:val="single" w:color="000000" w:sz="4" w:space="0"/>
              <w:right w:val="single" w:color="000000" w:sz="4" w:space="0"/>
            </w:tcBorders>
            <w:vAlign w:val="center"/>
          </w:tcPr>
          <w:p w14:paraId="3862D185">
            <w:pPr>
              <w:pStyle w:val="28"/>
              <w:bidi w:val="0"/>
            </w:pPr>
            <w:r>
              <w:rPr>
                <w:rFonts w:hint="eastAsia"/>
              </w:rPr>
              <w:t>小蜀山分干渠工程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726BF422">
            <w:pPr>
              <w:pStyle w:val="28"/>
              <w:bidi w:val="0"/>
            </w:pPr>
            <w:r>
              <w:t>蜀山区</w:t>
            </w:r>
          </w:p>
        </w:tc>
        <w:tc>
          <w:tcPr>
            <w:tcW w:w="308" w:type="pct"/>
            <w:tcBorders>
              <w:top w:val="single" w:color="000000" w:sz="4" w:space="0"/>
              <w:left w:val="single" w:color="000000" w:sz="4" w:space="0"/>
              <w:bottom w:val="single" w:color="000000" w:sz="4" w:space="0"/>
              <w:right w:val="single" w:color="000000" w:sz="4" w:space="0"/>
            </w:tcBorders>
            <w:vAlign w:val="center"/>
          </w:tcPr>
          <w:p w14:paraId="1E86C33F">
            <w:pPr>
              <w:pStyle w:val="28"/>
              <w:bidi w:val="0"/>
            </w:pPr>
            <w:r>
              <w:t>68.80</w:t>
            </w:r>
          </w:p>
        </w:tc>
        <w:tc>
          <w:tcPr>
            <w:tcW w:w="386" w:type="pct"/>
            <w:tcBorders>
              <w:top w:val="single" w:color="000000" w:sz="4" w:space="0"/>
              <w:left w:val="single" w:color="000000" w:sz="4" w:space="0"/>
              <w:bottom w:val="single" w:color="000000" w:sz="4" w:space="0"/>
              <w:right w:val="single" w:color="000000" w:sz="4" w:space="0"/>
            </w:tcBorders>
            <w:vAlign w:val="center"/>
          </w:tcPr>
          <w:p w14:paraId="18CDF6E2">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1CBE1B07">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22656C1C">
            <w:pPr>
              <w:pStyle w:val="28"/>
              <w:bidi w:val="0"/>
            </w:pPr>
            <w:r>
              <w:t>2.71</w:t>
            </w:r>
          </w:p>
        </w:tc>
        <w:tc>
          <w:tcPr>
            <w:tcW w:w="354" w:type="pct"/>
            <w:tcBorders>
              <w:top w:val="single" w:color="000000" w:sz="4" w:space="0"/>
              <w:left w:val="single" w:color="000000" w:sz="4" w:space="0"/>
              <w:bottom w:val="single" w:color="000000" w:sz="4" w:space="0"/>
              <w:right w:val="single" w:color="000000" w:sz="4" w:space="0"/>
            </w:tcBorders>
            <w:vAlign w:val="center"/>
          </w:tcPr>
          <w:p w14:paraId="355B2AD1">
            <w:pPr>
              <w:pStyle w:val="28"/>
              <w:bidi w:val="0"/>
            </w:pPr>
            <w:r>
              <w:t>—</w:t>
            </w:r>
          </w:p>
        </w:tc>
        <w:tc>
          <w:tcPr>
            <w:tcW w:w="387" w:type="pct"/>
            <w:tcBorders>
              <w:top w:val="single" w:color="000000" w:sz="4" w:space="0"/>
              <w:left w:val="single" w:color="000000" w:sz="4" w:space="0"/>
              <w:bottom w:val="single" w:color="000000" w:sz="4" w:space="0"/>
              <w:right w:val="single" w:color="000000" w:sz="4" w:space="0"/>
            </w:tcBorders>
            <w:vAlign w:val="center"/>
          </w:tcPr>
          <w:p w14:paraId="7AD34939">
            <w:pPr>
              <w:pStyle w:val="28"/>
              <w:bidi w:val="0"/>
            </w:pPr>
            <w:r>
              <w:t>0.25</w:t>
            </w:r>
          </w:p>
        </w:tc>
        <w:tc>
          <w:tcPr>
            <w:tcW w:w="354" w:type="pct"/>
            <w:tcBorders>
              <w:top w:val="single" w:color="000000" w:sz="4" w:space="0"/>
              <w:left w:val="single" w:color="000000" w:sz="4" w:space="0"/>
              <w:bottom w:val="single" w:color="000000" w:sz="4" w:space="0"/>
              <w:right w:val="single" w:color="000000" w:sz="4" w:space="0"/>
            </w:tcBorders>
            <w:vAlign w:val="center"/>
          </w:tcPr>
          <w:p w14:paraId="070E937C">
            <w:pPr>
              <w:pStyle w:val="28"/>
              <w:bidi w:val="0"/>
            </w:pPr>
            <w:r>
              <w:t>0.20</w:t>
            </w:r>
          </w:p>
        </w:tc>
        <w:tc>
          <w:tcPr>
            <w:tcW w:w="318" w:type="pct"/>
            <w:tcBorders>
              <w:top w:val="single" w:color="000000" w:sz="4" w:space="0"/>
              <w:left w:val="single" w:color="000000" w:sz="4" w:space="0"/>
              <w:bottom w:val="single" w:color="000000" w:sz="4" w:space="0"/>
              <w:right w:val="single" w:color="000000" w:sz="4" w:space="0"/>
            </w:tcBorders>
            <w:vAlign w:val="center"/>
          </w:tcPr>
          <w:p w14:paraId="145EC474">
            <w:pPr>
              <w:pStyle w:val="28"/>
              <w:bidi w:val="0"/>
            </w:pPr>
            <w:r>
              <w:t>0.37</w:t>
            </w:r>
          </w:p>
        </w:tc>
        <w:tc>
          <w:tcPr>
            <w:tcW w:w="354" w:type="pct"/>
            <w:tcBorders>
              <w:top w:val="single" w:color="000000" w:sz="4" w:space="0"/>
              <w:left w:val="single" w:color="000000" w:sz="4" w:space="0"/>
              <w:bottom w:val="single" w:color="000000" w:sz="4" w:space="0"/>
              <w:right w:val="single" w:color="000000" w:sz="4" w:space="0"/>
            </w:tcBorders>
            <w:vAlign w:val="center"/>
          </w:tcPr>
          <w:p w14:paraId="5B53310C">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5B94EA13">
            <w:pPr>
              <w:pStyle w:val="28"/>
              <w:bidi w:val="0"/>
            </w:pPr>
            <w:r>
              <w:t>3.53</w:t>
            </w:r>
          </w:p>
        </w:tc>
        <w:tc>
          <w:tcPr>
            <w:tcW w:w="387" w:type="pct"/>
            <w:tcBorders>
              <w:top w:val="single" w:color="000000" w:sz="4" w:space="0"/>
              <w:left w:val="single" w:color="000000" w:sz="4" w:space="0"/>
              <w:bottom w:val="single" w:color="000000" w:sz="4" w:space="0"/>
              <w:right w:val="single" w:color="000000" w:sz="4" w:space="0"/>
            </w:tcBorders>
            <w:vAlign w:val="center"/>
          </w:tcPr>
          <w:p w14:paraId="4FFCFE6E">
            <w:pPr>
              <w:pStyle w:val="28"/>
              <w:bidi w:val="0"/>
            </w:pPr>
            <w:r>
              <w:t>72.33</w:t>
            </w:r>
          </w:p>
        </w:tc>
      </w:tr>
      <w:tr w14:paraId="28E7264B">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185AE0ED">
            <w:pPr>
              <w:pStyle w:val="28"/>
              <w:bidi w:val="0"/>
            </w:pPr>
            <w:r>
              <w:t>13</w:t>
            </w:r>
          </w:p>
        </w:tc>
        <w:tc>
          <w:tcPr>
            <w:tcW w:w="597" w:type="pct"/>
            <w:tcBorders>
              <w:top w:val="single" w:color="000000" w:sz="4" w:space="0"/>
              <w:left w:val="single" w:color="000000" w:sz="4" w:space="0"/>
              <w:bottom w:val="single" w:color="000000" w:sz="4" w:space="0"/>
              <w:right w:val="single" w:color="000000" w:sz="4" w:space="0"/>
            </w:tcBorders>
            <w:vAlign w:val="center"/>
          </w:tcPr>
          <w:p w14:paraId="7D44EB19">
            <w:pPr>
              <w:pStyle w:val="28"/>
              <w:bidi w:val="0"/>
            </w:pPr>
            <w:r>
              <w:rPr>
                <w:rFonts w:hint="eastAsia"/>
              </w:rPr>
              <w:t>瓦东双庙支渠工程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4166DFF7">
            <w:pPr>
              <w:pStyle w:val="28"/>
              <w:bidi w:val="0"/>
            </w:pPr>
            <w:r>
              <w:t>寿县</w:t>
            </w:r>
          </w:p>
        </w:tc>
        <w:tc>
          <w:tcPr>
            <w:tcW w:w="308" w:type="pct"/>
            <w:tcBorders>
              <w:top w:val="single" w:color="000000" w:sz="4" w:space="0"/>
              <w:left w:val="single" w:color="000000" w:sz="4" w:space="0"/>
              <w:bottom w:val="single" w:color="000000" w:sz="4" w:space="0"/>
              <w:right w:val="single" w:color="000000" w:sz="4" w:space="0"/>
            </w:tcBorders>
            <w:vAlign w:val="center"/>
          </w:tcPr>
          <w:p w14:paraId="011E7F86">
            <w:pPr>
              <w:pStyle w:val="28"/>
              <w:bidi w:val="0"/>
            </w:pPr>
            <w:r>
              <w:t>27.79</w:t>
            </w:r>
          </w:p>
        </w:tc>
        <w:tc>
          <w:tcPr>
            <w:tcW w:w="386" w:type="pct"/>
            <w:tcBorders>
              <w:top w:val="single" w:color="000000" w:sz="4" w:space="0"/>
              <w:left w:val="single" w:color="000000" w:sz="4" w:space="0"/>
              <w:bottom w:val="single" w:color="000000" w:sz="4" w:space="0"/>
              <w:right w:val="single" w:color="000000" w:sz="4" w:space="0"/>
            </w:tcBorders>
            <w:vAlign w:val="center"/>
          </w:tcPr>
          <w:p w14:paraId="134D357D">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19A0BA35">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47AAEF8B">
            <w:pPr>
              <w:pStyle w:val="28"/>
              <w:bidi w:val="0"/>
            </w:pPr>
            <w:r>
              <w:t>3.84</w:t>
            </w:r>
          </w:p>
        </w:tc>
        <w:tc>
          <w:tcPr>
            <w:tcW w:w="354" w:type="pct"/>
            <w:tcBorders>
              <w:top w:val="single" w:color="000000" w:sz="4" w:space="0"/>
              <w:left w:val="single" w:color="000000" w:sz="4" w:space="0"/>
              <w:bottom w:val="single" w:color="000000" w:sz="4" w:space="0"/>
              <w:right w:val="single" w:color="000000" w:sz="4" w:space="0"/>
            </w:tcBorders>
            <w:vAlign w:val="center"/>
          </w:tcPr>
          <w:p w14:paraId="41708043">
            <w:pPr>
              <w:pStyle w:val="28"/>
              <w:bidi w:val="0"/>
            </w:pPr>
            <w:r>
              <w:t>3.20</w:t>
            </w:r>
          </w:p>
        </w:tc>
        <w:tc>
          <w:tcPr>
            <w:tcW w:w="387" w:type="pct"/>
            <w:tcBorders>
              <w:top w:val="single" w:color="000000" w:sz="4" w:space="0"/>
              <w:left w:val="single" w:color="000000" w:sz="4" w:space="0"/>
              <w:bottom w:val="single" w:color="000000" w:sz="4" w:space="0"/>
              <w:right w:val="single" w:color="000000" w:sz="4" w:space="0"/>
            </w:tcBorders>
            <w:vAlign w:val="center"/>
          </w:tcPr>
          <w:p w14:paraId="48F8AFC4">
            <w:pPr>
              <w:pStyle w:val="28"/>
              <w:bidi w:val="0"/>
            </w:pPr>
            <w:r>
              <w:t>1.54</w:t>
            </w:r>
          </w:p>
        </w:tc>
        <w:tc>
          <w:tcPr>
            <w:tcW w:w="354" w:type="pct"/>
            <w:tcBorders>
              <w:top w:val="single" w:color="000000" w:sz="4" w:space="0"/>
              <w:left w:val="single" w:color="000000" w:sz="4" w:space="0"/>
              <w:bottom w:val="single" w:color="000000" w:sz="4" w:space="0"/>
              <w:right w:val="single" w:color="000000" w:sz="4" w:space="0"/>
            </w:tcBorders>
            <w:vAlign w:val="center"/>
          </w:tcPr>
          <w:p w14:paraId="764007A5">
            <w:pPr>
              <w:pStyle w:val="28"/>
              <w:bidi w:val="0"/>
            </w:pPr>
            <w:r>
              <w:t>0.94</w:t>
            </w:r>
          </w:p>
        </w:tc>
        <w:tc>
          <w:tcPr>
            <w:tcW w:w="318" w:type="pct"/>
            <w:tcBorders>
              <w:top w:val="single" w:color="000000" w:sz="4" w:space="0"/>
              <w:left w:val="single" w:color="000000" w:sz="4" w:space="0"/>
              <w:bottom w:val="single" w:color="000000" w:sz="4" w:space="0"/>
              <w:right w:val="single" w:color="000000" w:sz="4" w:space="0"/>
            </w:tcBorders>
            <w:vAlign w:val="center"/>
          </w:tcPr>
          <w:p w14:paraId="39CF9EAD">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52DB5AD6">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077A5C6F">
            <w:pPr>
              <w:pStyle w:val="28"/>
              <w:bidi w:val="0"/>
            </w:pPr>
            <w:r>
              <w:t>9.52</w:t>
            </w:r>
          </w:p>
        </w:tc>
        <w:tc>
          <w:tcPr>
            <w:tcW w:w="387" w:type="pct"/>
            <w:tcBorders>
              <w:top w:val="single" w:color="000000" w:sz="4" w:space="0"/>
              <w:left w:val="single" w:color="000000" w:sz="4" w:space="0"/>
              <w:bottom w:val="single" w:color="000000" w:sz="4" w:space="0"/>
              <w:right w:val="single" w:color="000000" w:sz="4" w:space="0"/>
            </w:tcBorders>
            <w:vAlign w:val="center"/>
          </w:tcPr>
          <w:p w14:paraId="7956B387">
            <w:pPr>
              <w:pStyle w:val="28"/>
              <w:bidi w:val="0"/>
            </w:pPr>
            <w:r>
              <w:t>37.31</w:t>
            </w:r>
          </w:p>
        </w:tc>
      </w:tr>
      <w:tr w14:paraId="1BD4F7A0">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6540A633">
            <w:pPr>
              <w:pStyle w:val="28"/>
              <w:bidi w:val="0"/>
            </w:pPr>
            <w:r>
              <w:t>14</w:t>
            </w:r>
          </w:p>
        </w:tc>
        <w:tc>
          <w:tcPr>
            <w:tcW w:w="597" w:type="pct"/>
            <w:tcBorders>
              <w:top w:val="single" w:color="000000" w:sz="4" w:space="0"/>
              <w:left w:val="single" w:color="000000" w:sz="4" w:space="0"/>
              <w:bottom w:val="single" w:color="000000" w:sz="4" w:space="0"/>
              <w:right w:val="single" w:color="000000" w:sz="4" w:space="0"/>
            </w:tcBorders>
            <w:vAlign w:val="center"/>
          </w:tcPr>
          <w:p w14:paraId="24116C12">
            <w:pPr>
              <w:pStyle w:val="28"/>
              <w:bidi w:val="0"/>
            </w:pPr>
            <w:r>
              <w:rPr>
                <w:rFonts w:hint="eastAsia"/>
              </w:rPr>
              <w:t>东风支渠工程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10B63EFF">
            <w:pPr>
              <w:pStyle w:val="28"/>
              <w:bidi w:val="0"/>
            </w:pPr>
            <w:r>
              <w:t>寿县</w:t>
            </w:r>
          </w:p>
        </w:tc>
        <w:tc>
          <w:tcPr>
            <w:tcW w:w="308" w:type="pct"/>
            <w:tcBorders>
              <w:top w:val="single" w:color="000000" w:sz="4" w:space="0"/>
              <w:left w:val="single" w:color="000000" w:sz="4" w:space="0"/>
              <w:bottom w:val="single" w:color="000000" w:sz="4" w:space="0"/>
              <w:right w:val="single" w:color="000000" w:sz="4" w:space="0"/>
            </w:tcBorders>
            <w:vAlign w:val="center"/>
          </w:tcPr>
          <w:p w14:paraId="1A2ECD6E">
            <w:pPr>
              <w:pStyle w:val="28"/>
              <w:bidi w:val="0"/>
            </w:pPr>
            <w:r>
              <w:t>18.35</w:t>
            </w:r>
          </w:p>
        </w:tc>
        <w:tc>
          <w:tcPr>
            <w:tcW w:w="386" w:type="pct"/>
            <w:tcBorders>
              <w:top w:val="single" w:color="000000" w:sz="4" w:space="0"/>
              <w:left w:val="single" w:color="000000" w:sz="4" w:space="0"/>
              <w:bottom w:val="single" w:color="000000" w:sz="4" w:space="0"/>
              <w:right w:val="single" w:color="000000" w:sz="4" w:space="0"/>
            </w:tcBorders>
            <w:vAlign w:val="center"/>
          </w:tcPr>
          <w:p w14:paraId="1377B6E4">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0985F451">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7B335035">
            <w:pPr>
              <w:pStyle w:val="28"/>
              <w:bidi w:val="0"/>
            </w:pPr>
            <w:r>
              <w:t>1.36</w:t>
            </w:r>
          </w:p>
        </w:tc>
        <w:tc>
          <w:tcPr>
            <w:tcW w:w="354" w:type="pct"/>
            <w:tcBorders>
              <w:top w:val="single" w:color="000000" w:sz="4" w:space="0"/>
              <w:left w:val="single" w:color="000000" w:sz="4" w:space="0"/>
              <w:bottom w:val="single" w:color="000000" w:sz="4" w:space="0"/>
              <w:right w:val="single" w:color="000000" w:sz="4" w:space="0"/>
            </w:tcBorders>
            <w:vAlign w:val="center"/>
          </w:tcPr>
          <w:p w14:paraId="0E6A7BD1">
            <w:pPr>
              <w:pStyle w:val="28"/>
              <w:bidi w:val="0"/>
            </w:pPr>
            <w:r>
              <w:t>0.85</w:t>
            </w:r>
          </w:p>
        </w:tc>
        <w:tc>
          <w:tcPr>
            <w:tcW w:w="387" w:type="pct"/>
            <w:tcBorders>
              <w:top w:val="single" w:color="000000" w:sz="4" w:space="0"/>
              <w:left w:val="single" w:color="000000" w:sz="4" w:space="0"/>
              <w:bottom w:val="single" w:color="000000" w:sz="4" w:space="0"/>
              <w:right w:val="single" w:color="000000" w:sz="4" w:space="0"/>
            </w:tcBorders>
            <w:vAlign w:val="center"/>
          </w:tcPr>
          <w:p w14:paraId="39A1F86E">
            <w:pPr>
              <w:pStyle w:val="28"/>
              <w:bidi w:val="0"/>
            </w:pPr>
            <w:r>
              <w:t>0.27</w:t>
            </w:r>
          </w:p>
        </w:tc>
        <w:tc>
          <w:tcPr>
            <w:tcW w:w="354" w:type="pct"/>
            <w:tcBorders>
              <w:top w:val="single" w:color="000000" w:sz="4" w:space="0"/>
              <w:left w:val="single" w:color="000000" w:sz="4" w:space="0"/>
              <w:bottom w:val="single" w:color="000000" w:sz="4" w:space="0"/>
              <w:right w:val="single" w:color="000000" w:sz="4" w:space="0"/>
            </w:tcBorders>
            <w:vAlign w:val="center"/>
          </w:tcPr>
          <w:p w14:paraId="3EE0926D">
            <w:pPr>
              <w:pStyle w:val="28"/>
              <w:bidi w:val="0"/>
            </w:pPr>
            <w:r>
              <w:t>0.14</w:t>
            </w:r>
          </w:p>
        </w:tc>
        <w:tc>
          <w:tcPr>
            <w:tcW w:w="318" w:type="pct"/>
            <w:tcBorders>
              <w:top w:val="single" w:color="000000" w:sz="4" w:space="0"/>
              <w:left w:val="single" w:color="000000" w:sz="4" w:space="0"/>
              <w:bottom w:val="single" w:color="000000" w:sz="4" w:space="0"/>
              <w:right w:val="single" w:color="000000" w:sz="4" w:space="0"/>
            </w:tcBorders>
            <w:vAlign w:val="center"/>
          </w:tcPr>
          <w:p w14:paraId="08ED5C02">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56CA7899">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305B34A6">
            <w:pPr>
              <w:pStyle w:val="28"/>
              <w:bidi w:val="0"/>
            </w:pPr>
            <w:r>
              <w:t>2.62</w:t>
            </w:r>
          </w:p>
        </w:tc>
        <w:tc>
          <w:tcPr>
            <w:tcW w:w="387" w:type="pct"/>
            <w:tcBorders>
              <w:top w:val="single" w:color="000000" w:sz="4" w:space="0"/>
              <w:left w:val="single" w:color="000000" w:sz="4" w:space="0"/>
              <w:bottom w:val="single" w:color="000000" w:sz="4" w:space="0"/>
              <w:right w:val="single" w:color="000000" w:sz="4" w:space="0"/>
            </w:tcBorders>
            <w:vAlign w:val="center"/>
          </w:tcPr>
          <w:p w14:paraId="138A1C3D">
            <w:pPr>
              <w:pStyle w:val="28"/>
              <w:bidi w:val="0"/>
            </w:pPr>
            <w:r>
              <w:t>20.97</w:t>
            </w:r>
          </w:p>
        </w:tc>
      </w:tr>
      <w:tr w14:paraId="6465F0E2">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3DE3E298">
            <w:pPr>
              <w:pStyle w:val="28"/>
              <w:bidi w:val="0"/>
            </w:pPr>
            <w:r>
              <w:t>15</w:t>
            </w:r>
          </w:p>
        </w:tc>
        <w:tc>
          <w:tcPr>
            <w:tcW w:w="597" w:type="pct"/>
            <w:tcBorders>
              <w:top w:val="single" w:color="000000" w:sz="4" w:space="0"/>
              <w:left w:val="single" w:color="000000" w:sz="4" w:space="0"/>
              <w:bottom w:val="single" w:color="000000" w:sz="4" w:space="0"/>
              <w:right w:val="single" w:color="000000" w:sz="4" w:space="0"/>
            </w:tcBorders>
            <w:vAlign w:val="center"/>
          </w:tcPr>
          <w:p w14:paraId="7CA19F88">
            <w:pPr>
              <w:pStyle w:val="28"/>
              <w:bidi w:val="0"/>
            </w:pPr>
            <w:r>
              <w:rPr>
                <w:rFonts w:hint="eastAsia"/>
              </w:rPr>
              <w:t>界河支渠工程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56958CC5">
            <w:pPr>
              <w:pStyle w:val="28"/>
              <w:bidi w:val="0"/>
            </w:pPr>
            <w:r>
              <w:t>肥西县</w:t>
            </w:r>
          </w:p>
        </w:tc>
        <w:tc>
          <w:tcPr>
            <w:tcW w:w="308" w:type="pct"/>
            <w:tcBorders>
              <w:top w:val="single" w:color="000000" w:sz="4" w:space="0"/>
              <w:left w:val="single" w:color="000000" w:sz="4" w:space="0"/>
              <w:bottom w:val="single" w:color="000000" w:sz="4" w:space="0"/>
              <w:right w:val="single" w:color="000000" w:sz="4" w:space="0"/>
            </w:tcBorders>
            <w:vAlign w:val="center"/>
          </w:tcPr>
          <w:p w14:paraId="14B75429">
            <w:pPr>
              <w:pStyle w:val="28"/>
              <w:bidi w:val="0"/>
            </w:pPr>
            <w:r>
              <w:t>2.82</w:t>
            </w:r>
          </w:p>
        </w:tc>
        <w:tc>
          <w:tcPr>
            <w:tcW w:w="386" w:type="pct"/>
            <w:tcBorders>
              <w:top w:val="single" w:color="000000" w:sz="4" w:space="0"/>
              <w:left w:val="single" w:color="000000" w:sz="4" w:space="0"/>
              <w:bottom w:val="single" w:color="000000" w:sz="4" w:space="0"/>
              <w:right w:val="single" w:color="000000" w:sz="4" w:space="0"/>
            </w:tcBorders>
            <w:vAlign w:val="center"/>
          </w:tcPr>
          <w:p w14:paraId="2DF25CCD">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39EA6721">
            <w:pPr>
              <w:pStyle w:val="28"/>
              <w:bidi w:val="0"/>
            </w:pPr>
            <w:r>
              <w:t>1.2</w:t>
            </w:r>
          </w:p>
        </w:tc>
        <w:tc>
          <w:tcPr>
            <w:tcW w:w="326" w:type="pct"/>
            <w:tcBorders>
              <w:top w:val="single" w:color="000000" w:sz="4" w:space="0"/>
              <w:left w:val="single" w:color="000000" w:sz="4" w:space="0"/>
              <w:bottom w:val="single" w:color="000000" w:sz="4" w:space="0"/>
              <w:right w:val="single" w:color="000000" w:sz="4" w:space="0"/>
            </w:tcBorders>
            <w:vAlign w:val="center"/>
          </w:tcPr>
          <w:p w14:paraId="58FB8146">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4BE71AB9">
            <w:pPr>
              <w:pStyle w:val="28"/>
              <w:bidi w:val="0"/>
            </w:pPr>
            <w:r>
              <w:t>—</w:t>
            </w:r>
          </w:p>
        </w:tc>
        <w:tc>
          <w:tcPr>
            <w:tcW w:w="387" w:type="pct"/>
            <w:tcBorders>
              <w:top w:val="single" w:color="000000" w:sz="4" w:space="0"/>
              <w:left w:val="single" w:color="000000" w:sz="4" w:space="0"/>
              <w:bottom w:val="single" w:color="000000" w:sz="4" w:space="0"/>
              <w:right w:val="single" w:color="000000" w:sz="4" w:space="0"/>
            </w:tcBorders>
            <w:vAlign w:val="center"/>
          </w:tcPr>
          <w:p w14:paraId="59C50DEC">
            <w:pPr>
              <w:pStyle w:val="28"/>
              <w:bidi w:val="0"/>
            </w:pPr>
            <w:r>
              <w:t>0.30</w:t>
            </w:r>
          </w:p>
        </w:tc>
        <w:tc>
          <w:tcPr>
            <w:tcW w:w="354" w:type="pct"/>
            <w:tcBorders>
              <w:top w:val="single" w:color="000000" w:sz="4" w:space="0"/>
              <w:left w:val="single" w:color="000000" w:sz="4" w:space="0"/>
              <w:bottom w:val="single" w:color="000000" w:sz="4" w:space="0"/>
              <w:right w:val="single" w:color="000000" w:sz="4" w:space="0"/>
            </w:tcBorders>
            <w:vAlign w:val="center"/>
          </w:tcPr>
          <w:p w14:paraId="7D0AD58B">
            <w:pPr>
              <w:pStyle w:val="28"/>
              <w:bidi w:val="0"/>
            </w:pPr>
            <w:r>
              <w:t>1.90</w:t>
            </w:r>
          </w:p>
        </w:tc>
        <w:tc>
          <w:tcPr>
            <w:tcW w:w="318" w:type="pct"/>
            <w:tcBorders>
              <w:top w:val="single" w:color="000000" w:sz="4" w:space="0"/>
              <w:left w:val="single" w:color="000000" w:sz="4" w:space="0"/>
              <w:bottom w:val="single" w:color="000000" w:sz="4" w:space="0"/>
              <w:right w:val="single" w:color="000000" w:sz="4" w:space="0"/>
            </w:tcBorders>
            <w:vAlign w:val="center"/>
          </w:tcPr>
          <w:p w14:paraId="38527C06">
            <w:pPr>
              <w:pStyle w:val="28"/>
              <w:bidi w:val="0"/>
            </w:pPr>
            <w:r>
              <w:t>0.20</w:t>
            </w:r>
          </w:p>
        </w:tc>
        <w:tc>
          <w:tcPr>
            <w:tcW w:w="354" w:type="pct"/>
            <w:tcBorders>
              <w:top w:val="single" w:color="000000" w:sz="4" w:space="0"/>
              <w:left w:val="single" w:color="000000" w:sz="4" w:space="0"/>
              <w:bottom w:val="single" w:color="000000" w:sz="4" w:space="0"/>
              <w:right w:val="single" w:color="000000" w:sz="4" w:space="0"/>
            </w:tcBorders>
            <w:vAlign w:val="center"/>
          </w:tcPr>
          <w:p w14:paraId="7A117B3F">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0A794A45">
            <w:pPr>
              <w:pStyle w:val="28"/>
              <w:bidi w:val="0"/>
            </w:pPr>
            <w:r>
              <w:t>3.60</w:t>
            </w:r>
          </w:p>
        </w:tc>
        <w:tc>
          <w:tcPr>
            <w:tcW w:w="387" w:type="pct"/>
            <w:tcBorders>
              <w:top w:val="single" w:color="000000" w:sz="4" w:space="0"/>
              <w:left w:val="single" w:color="000000" w:sz="4" w:space="0"/>
              <w:bottom w:val="single" w:color="000000" w:sz="4" w:space="0"/>
              <w:right w:val="single" w:color="000000" w:sz="4" w:space="0"/>
            </w:tcBorders>
            <w:vAlign w:val="center"/>
          </w:tcPr>
          <w:p w14:paraId="1BE2B436">
            <w:pPr>
              <w:pStyle w:val="28"/>
              <w:bidi w:val="0"/>
            </w:pPr>
            <w:r>
              <w:t>6.42</w:t>
            </w:r>
          </w:p>
        </w:tc>
      </w:tr>
      <w:tr w14:paraId="12A23524">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70833CF3">
            <w:pPr>
              <w:pStyle w:val="28"/>
              <w:bidi w:val="0"/>
            </w:pPr>
            <w:r>
              <w:t>16</w:t>
            </w:r>
          </w:p>
        </w:tc>
        <w:tc>
          <w:tcPr>
            <w:tcW w:w="597" w:type="pct"/>
            <w:tcBorders>
              <w:top w:val="single" w:color="000000" w:sz="4" w:space="0"/>
              <w:left w:val="single" w:color="000000" w:sz="4" w:space="0"/>
              <w:bottom w:val="single" w:color="000000" w:sz="4" w:space="0"/>
              <w:right w:val="single" w:color="000000" w:sz="4" w:space="0"/>
            </w:tcBorders>
            <w:vAlign w:val="center"/>
          </w:tcPr>
          <w:p w14:paraId="26DFD477">
            <w:pPr>
              <w:pStyle w:val="28"/>
              <w:bidi w:val="0"/>
            </w:pPr>
            <w:r>
              <w:rPr>
                <w:rFonts w:hint="eastAsia"/>
              </w:rPr>
              <w:t>义河支渠工程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2C8056CB">
            <w:pPr>
              <w:pStyle w:val="28"/>
              <w:bidi w:val="0"/>
            </w:pPr>
            <w:r>
              <w:t>肥西县</w:t>
            </w:r>
          </w:p>
        </w:tc>
        <w:tc>
          <w:tcPr>
            <w:tcW w:w="308" w:type="pct"/>
            <w:tcBorders>
              <w:top w:val="single" w:color="000000" w:sz="4" w:space="0"/>
              <w:left w:val="single" w:color="000000" w:sz="4" w:space="0"/>
              <w:bottom w:val="single" w:color="000000" w:sz="4" w:space="0"/>
              <w:right w:val="single" w:color="000000" w:sz="4" w:space="0"/>
            </w:tcBorders>
            <w:vAlign w:val="center"/>
          </w:tcPr>
          <w:p w14:paraId="49390163">
            <w:pPr>
              <w:pStyle w:val="28"/>
              <w:bidi w:val="0"/>
            </w:pPr>
            <w:r>
              <w:t>4.49</w:t>
            </w:r>
          </w:p>
        </w:tc>
        <w:tc>
          <w:tcPr>
            <w:tcW w:w="386" w:type="pct"/>
            <w:tcBorders>
              <w:top w:val="single" w:color="000000" w:sz="4" w:space="0"/>
              <w:left w:val="single" w:color="000000" w:sz="4" w:space="0"/>
              <w:bottom w:val="single" w:color="000000" w:sz="4" w:space="0"/>
              <w:right w:val="single" w:color="000000" w:sz="4" w:space="0"/>
            </w:tcBorders>
            <w:vAlign w:val="center"/>
          </w:tcPr>
          <w:p w14:paraId="1B0B0E42">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5F1B441C">
            <w:pPr>
              <w:pStyle w:val="28"/>
              <w:bidi w:val="0"/>
            </w:pPr>
            <w:r>
              <w:t>1.05</w:t>
            </w:r>
          </w:p>
        </w:tc>
        <w:tc>
          <w:tcPr>
            <w:tcW w:w="326" w:type="pct"/>
            <w:tcBorders>
              <w:top w:val="single" w:color="000000" w:sz="4" w:space="0"/>
              <w:left w:val="single" w:color="000000" w:sz="4" w:space="0"/>
              <w:bottom w:val="single" w:color="000000" w:sz="4" w:space="0"/>
              <w:right w:val="single" w:color="000000" w:sz="4" w:space="0"/>
            </w:tcBorders>
            <w:vAlign w:val="center"/>
          </w:tcPr>
          <w:p w14:paraId="75D3D8D0">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7A08F1E4">
            <w:pPr>
              <w:pStyle w:val="28"/>
              <w:bidi w:val="0"/>
            </w:pPr>
            <w:r>
              <w:t>—</w:t>
            </w:r>
          </w:p>
        </w:tc>
        <w:tc>
          <w:tcPr>
            <w:tcW w:w="387" w:type="pct"/>
            <w:tcBorders>
              <w:top w:val="single" w:color="000000" w:sz="4" w:space="0"/>
              <w:left w:val="single" w:color="000000" w:sz="4" w:space="0"/>
              <w:bottom w:val="single" w:color="000000" w:sz="4" w:space="0"/>
              <w:right w:val="single" w:color="000000" w:sz="4" w:space="0"/>
            </w:tcBorders>
            <w:vAlign w:val="center"/>
          </w:tcPr>
          <w:p w14:paraId="6ED42C0E">
            <w:pPr>
              <w:pStyle w:val="28"/>
              <w:bidi w:val="0"/>
            </w:pPr>
            <w:r>
              <w:t>0.30</w:t>
            </w:r>
          </w:p>
        </w:tc>
        <w:tc>
          <w:tcPr>
            <w:tcW w:w="354" w:type="pct"/>
            <w:tcBorders>
              <w:top w:val="single" w:color="000000" w:sz="4" w:space="0"/>
              <w:left w:val="single" w:color="000000" w:sz="4" w:space="0"/>
              <w:bottom w:val="single" w:color="000000" w:sz="4" w:space="0"/>
              <w:right w:val="single" w:color="000000" w:sz="4" w:space="0"/>
            </w:tcBorders>
            <w:vAlign w:val="center"/>
          </w:tcPr>
          <w:p w14:paraId="3524C7A6">
            <w:pPr>
              <w:pStyle w:val="28"/>
              <w:bidi w:val="0"/>
            </w:pPr>
            <w:r>
              <w:t>0.19</w:t>
            </w:r>
          </w:p>
        </w:tc>
        <w:tc>
          <w:tcPr>
            <w:tcW w:w="318" w:type="pct"/>
            <w:tcBorders>
              <w:top w:val="single" w:color="000000" w:sz="4" w:space="0"/>
              <w:left w:val="single" w:color="000000" w:sz="4" w:space="0"/>
              <w:bottom w:val="single" w:color="000000" w:sz="4" w:space="0"/>
              <w:right w:val="single" w:color="000000" w:sz="4" w:space="0"/>
            </w:tcBorders>
            <w:vAlign w:val="center"/>
          </w:tcPr>
          <w:p w14:paraId="3A119D57">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4323AF9A">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38F64BEF">
            <w:pPr>
              <w:pStyle w:val="28"/>
              <w:bidi w:val="0"/>
            </w:pPr>
            <w:r>
              <w:t>1.54</w:t>
            </w:r>
          </w:p>
        </w:tc>
        <w:tc>
          <w:tcPr>
            <w:tcW w:w="387" w:type="pct"/>
            <w:tcBorders>
              <w:top w:val="single" w:color="000000" w:sz="4" w:space="0"/>
              <w:left w:val="single" w:color="000000" w:sz="4" w:space="0"/>
              <w:bottom w:val="single" w:color="000000" w:sz="4" w:space="0"/>
              <w:right w:val="single" w:color="000000" w:sz="4" w:space="0"/>
            </w:tcBorders>
            <w:vAlign w:val="center"/>
          </w:tcPr>
          <w:p w14:paraId="336035A1">
            <w:pPr>
              <w:pStyle w:val="28"/>
              <w:bidi w:val="0"/>
            </w:pPr>
            <w:r>
              <w:t>6.03</w:t>
            </w:r>
          </w:p>
        </w:tc>
      </w:tr>
      <w:tr w14:paraId="776E48B0">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3E84C8B8">
            <w:pPr>
              <w:pStyle w:val="28"/>
              <w:bidi w:val="0"/>
            </w:pPr>
            <w:r>
              <w:t>17</w:t>
            </w:r>
          </w:p>
        </w:tc>
        <w:tc>
          <w:tcPr>
            <w:tcW w:w="597" w:type="pct"/>
            <w:tcBorders>
              <w:top w:val="single" w:color="000000" w:sz="4" w:space="0"/>
              <w:left w:val="single" w:color="000000" w:sz="4" w:space="0"/>
              <w:bottom w:val="single" w:color="000000" w:sz="4" w:space="0"/>
              <w:right w:val="single" w:color="000000" w:sz="4" w:space="0"/>
            </w:tcBorders>
            <w:vAlign w:val="center"/>
          </w:tcPr>
          <w:p w14:paraId="437E616E">
            <w:pPr>
              <w:pStyle w:val="28"/>
              <w:bidi w:val="0"/>
            </w:pPr>
            <w:r>
              <w:rPr>
                <w:rFonts w:hint="eastAsia"/>
              </w:rPr>
              <w:t>袁店支渠工程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274BB0F1">
            <w:pPr>
              <w:pStyle w:val="28"/>
              <w:bidi w:val="0"/>
            </w:pPr>
            <w:r>
              <w:t>肥西县</w:t>
            </w:r>
          </w:p>
        </w:tc>
        <w:tc>
          <w:tcPr>
            <w:tcW w:w="308" w:type="pct"/>
            <w:tcBorders>
              <w:top w:val="single" w:color="000000" w:sz="4" w:space="0"/>
              <w:left w:val="single" w:color="000000" w:sz="4" w:space="0"/>
              <w:bottom w:val="single" w:color="000000" w:sz="4" w:space="0"/>
              <w:right w:val="single" w:color="000000" w:sz="4" w:space="0"/>
            </w:tcBorders>
            <w:vAlign w:val="center"/>
          </w:tcPr>
          <w:p w14:paraId="49C25944">
            <w:pPr>
              <w:pStyle w:val="28"/>
              <w:bidi w:val="0"/>
            </w:pPr>
            <w:r>
              <w:t>3.88</w:t>
            </w:r>
          </w:p>
        </w:tc>
        <w:tc>
          <w:tcPr>
            <w:tcW w:w="386" w:type="pct"/>
            <w:tcBorders>
              <w:top w:val="single" w:color="000000" w:sz="4" w:space="0"/>
              <w:left w:val="single" w:color="000000" w:sz="4" w:space="0"/>
              <w:bottom w:val="single" w:color="000000" w:sz="4" w:space="0"/>
              <w:right w:val="single" w:color="000000" w:sz="4" w:space="0"/>
            </w:tcBorders>
            <w:vAlign w:val="center"/>
          </w:tcPr>
          <w:p w14:paraId="7B57A882">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520DFE65">
            <w:pPr>
              <w:pStyle w:val="28"/>
              <w:bidi w:val="0"/>
            </w:pPr>
            <w:r>
              <w:t>1.05</w:t>
            </w:r>
          </w:p>
        </w:tc>
        <w:tc>
          <w:tcPr>
            <w:tcW w:w="326" w:type="pct"/>
            <w:tcBorders>
              <w:top w:val="single" w:color="000000" w:sz="4" w:space="0"/>
              <w:left w:val="single" w:color="000000" w:sz="4" w:space="0"/>
              <w:bottom w:val="single" w:color="000000" w:sz="4" w:space="0"/>
              <w:right w:val="single" w:color="000000" w:sz="4" w:space="0"/>
            </w:tcBorders>
            <w:vAlign w:val="center"/>
          </w:tcPr>
          <w:p w14:paraId="367137B0">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43AA88A4">
            <w:pPr>
              <w:pStyle w:val="28"/>
              <w:bidi w:val="0"/>
            </w:pPr>
            <w:r>
              <w:t>—</w:t>
            </w:r>
          </w:p>
        </w:tc>
        <w:tc>
          <w:tcPr>
            <w:tcW w:w="387" w:type="pct"/>
            <w:tcBorders>
              <w:top w:val="single" w:color="000000" w:sz="4" w:space="0"/>
              <w:left w:val="single" w:color="000000" w:sz="4" w:space="0"/>
              <w:bottom w:val="single" w:color="000000" w:sz="4" w:space="0"/>
              <w:right w:val="single" w:color="000000" w:sz="4" w:space="0"/>
            </w:tcBorders>
            <w:vAlign w:val="center"/>
          </w:tcPr>
          <w:p w14:paraId="1F4ADC03">
            <w:pPr>
              <w:pStyle w:val="28"/>
              <w:bidi w:val="0"/>
            </w:pPr>
            <w:r>
              <w:t>0.30</w:t>
            </w:r>
          </w:p>
        </w:tc>
        <w:tc>
          <w:tcPr>
            <w:tcW w:w="354" w:type="pct"/>
            <w:tcBorders>
              <w:top w:val="single" w:color="000000" w:sz="4" w:space="0"/>
              <w:left w:val="single" w:color="000000" w:sz="4" w:space="0"/>
              <w:bottom w:val="single" w:color="000000" w:sz="4" w:space="0"/>
              <w:right w:val="single" w:color="000000" w:sz="4" w:space="0"/>
            </w:tcBorders>
            <w:vAlign w:val="center"/>
          </w:tcPr>
          <w:p w14:paraId="64461E5B">
            <w:pPr>
              <w:pStyle w:val="28"/>
              <w:bidi w:val="0"/>
            </w:pPr>
            <w:r>
              <w:t>0.23</w:t>
            </w:r>
          </w:p>
        </w:tc>
        <w:tc>
          <w:tcPr>
            <w:tcW w:w="318" w:type="pct"/>
            <w:tcBorders>
              <w:top w:val="single" w:color="000000" w:sz="4" w:space="0"/>
              <w:left w:val="single" w:color="000000" w:sz="4" w:space="0"/>
              <w:bottom w:val="single" w:color="000000" w:sz="4" w:space="0"/>
              <w:right w:val="single" w:color="000000" w:sz="4" w:space="0"/>
            </w:tcBorders>
            <w:vAlign w:val="center"/>
          </w:tcPr>
          <w:p w14:paraId="344F7BA0">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3707F671">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4F24F003">
            <w:pPr>
              <w:pStyle w:val="28"/>
              <w:bidi w:val="0"/>
            </w:pPr>
            <w:r>
              <w:t>1.58</w:t>
            </w:r>
          </w:p>
        </w:tc>
        <w:tc>
          <w:tcPr>
            <w:tcW w:w="387" w:type="pct"/>
            <w:tcBorders>
              <w:top w:val="single" w:color="000000" w:sz="4" w:space="0"/>
              <w:left w:val="single" w:color="000000" w:sz="4" w:space="0"/>
              <w:bottom w:val="single" w:color="000000" w:sz="4" w:space="0"/>
              <w:right w:val="single" w:color="000000" w:sz="4" w:space="0"/>
            </w:tcBorders>
            <w:vAlign w:val="center"/>
          </w:tcPr>
          <w:p w14:paraId="6E6BBC9E">
            <w:pPr>
              <w:pStyle w:val="28"/>
              <w:bidi w:val="0"/>
            </w:pPr>
            <w:r>
              <w:t>5.46</w:t>
            </w:r>
          </w:p>
        </w:tc>
      </w:tr>
      <w:tr w14:paraId="78FA18B3">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0B9394A1">
            <w:pPr>
              <w:pStyle w:val="28"/>
              <w:bidi w:val="0"/>
            </w:pPr>
            <w:r>
              <w:t>18</w:t>
            </w:r>
          </w:p>
        </w:tc>
        <w:tc>
          <w:tcPr>
            <w:tcW w:w="597" w:type="pct"/>
            <w:tcBorders>
              <w:top w:val="single" w:color="000000" w:sz="4" w:space="0"/>
              <w:left w:val="single" w:color="000000" w:sz="4" w:space="0"/>
              <w:bottom w:val="single" w:color="000000" w:sz="4" w:space="0"/>
              <w:right w:val="single" w:color="000000" w:sz="4" w:space="0"/>
            </w:tcBorders>
            <w:vAlign w:val="center"/>
          </w:tcPr>
          <w:p w14:paraId="12CC1B12">
            <w:pPr>
              <w:pStyle w:val="28"/>
              <w:bidi w:val="0"/>
            </w:pPr>
            <w:r>
              <w:rPr>
                <w:rFonts w:hint="eastAsia"/>
              </w:rPr>
              <w:t>堰西支渠工程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67DF141E">
            <w:pPr>
              <w:pStyle w:val="28"/>
              <w:bidi w:val="0"/>
            </w:pPr>
            <w:r>
              <w:t>肥西县</w:t>
            </w:r>
          </w:p>
        </w:tc>
        <w:tc>
          <w:tcPr>
            <w:tcW w:w="308" w:type="pct"/>
            <w:tcBorders>
              <w:top w:val="single" w:color="000000" w:sz="4" w:space="0"/>
              <w:left w:val="single" w:color="000000" w:sz="4" w:space="0"/>
              <w:bottom w:val="single" w:color="000000" w:sz="4" w:space="0"/>
              <w:right w:val="single" w:color="000000" w:sz="4" w:space="0"/>
            </w:tcBorders>
            <w:vAlign w:val="center"/>
          </w:tcPr>
          <w:p w14:paraId="78070746">
            <w:pPr>
              <w:pStyle w:val="28"/>
              <w:bidi w:val="0"/>
            </w:pPr>
            <w:r>
              <w:t>0.95</w:t>
            </w:r>
          </w:p>
        </w:tc>
        <w:tc>
          <w:tcPr>
            <w:tcW w:w="386" w:type="pct"/>
            <w:tcBorders>
              <w:top w:val="single" w:color="000000" w:sz="4" w:space="0"/>
              <w:left w:val="single" w:color="000000" w:sz="4" w:space="0"/>
              <w:bottom w:val="single" w:color="000000" w:sz="4" w:space="0"/>
              <w:right w:val="single" w:color="000000" w:sz="4" w:space="0"/>
            </w:tcBorders>
            <w:vAlign w:val="center"/>
          </w:tcPr>
          <w:p w14:paraId="2C75CC9E">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5B97CBA4">
            <w:pPr>
              <w:pStyle w:val="28"/>
              <w:bidi w:val="0"/>
            </w:pPr>
            <w:r>
              <w:t>0.5</w:t>
            </w:r>
          </w:p>
        </w:tc>
        <w:tc>
          <w:tcPr>
            <w:tcW w:w="326" w:type="pct"/>
            <w:tcBorders>
              <w:top w:val="single" w:color="000000" w:sz="4" w:space="0"/>
              <w:left w:val="single" w:color="000000" w:sz="4" w:space="0"/>
              <w:bottom w:val="single" w:color="000000" w:sz="4" w:space="0"/>
              <w:right w:val="single" w:color="000000" w:sz="4" w:space="0"/>
            </w:tcBorders>
            <w:vAlign w:val="center"/>
          </w:tcPr>
          <w:p w14:paraId="55FF6971">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4188B4ED">
            <w:pPr>
              <w:pStyle w:val="28"/>
              <w:bidi w:val="0"/>
            </w:pPr>
            <w:r>
              <w:t>—</w:t>
            </w:r>
          </w:p>
        </w:tc>
        <w:tc>
          <w:tcPr>
            <w:tcW w:w="387" w:type="pct"/>
            <w:tcBorders>
              <w:top w:val="single" w:color="000000" w:sz="4" w:space="0"/>
              <w:left w:val="single" w:color="000000" w:sz="4" w:space="0"/>
              <w:bottom w:val="single" w:color="000000" w:sz="4" w:space="0"/>
              <w:right w:val="single" w:color="000000" w:sz="4" w:space="0"/>
            </w:tcBorders>
            <w:vAlign w:val="center"/>
          </w:tcPr>
          <w:p w14:paraId="53D52655">
            <w:pPr>
              <w:pStyle w:val="28"/>
              <w:bidi w:val="0"/>
            </w:pPr>
            <w:r>
              <w:t>0.20</w:t>
            </w:r>
          </w:p>
        </w:tc>
        <w:tc>
          <w:tcPr>
            <w:tcW w:w="354" w:type="pct"/>
            <w:tcBorders>
              <w:top w:val="single" w:color="000000" w:sz="4" w:space="0"/>
              <w:left w:val="single" w:color="000000" w:sz="4" w:space="0"/>
              <w:bottom w:val="single" w:color="000000" w:sz="4" w:space="0"/>
              <w:right w:val="single" w:color="000000" w:sz="4" w:space="0"/>
            </w:tcBorders>
            <w:vAlign w:val="center"/>
          </w:tcPr>
          <w:p w14:paraId="1B6E0B20">
            <w:pPr>
              <w:pStyle w:val="28"/>
              <w:bidi w:val="0"/>
            </w:pPr>
            <w:r>
              <w:t>0.19</w:t>
            </w:r>
          </w:p>
        </w:tc>
        <w:tc>
          <w:tcPr>
            <w:tcW w:w="318" w:type="pct"/>
            <w:tcBorders>
              <w:top w:val="single" w:color="000000" w:sz="4" w:space="0"/>
              <w:left w:val="single" w:color="000000" w:sz="4" w:space="0"/>
              <w:bottom w:val="single" w:color="000000" w:sz="4" w:space="0"/>
              <w:right w:val="single" w:color="000000" w:sz="4" w:space="0"/>
            </w:tcBorders>
            <w:vAlign w:val="center"/>
          </w:tcPr>
          <w:p w14:paraId="793AE6C1">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2C1540DE">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237A7434">
            <w:pPr>
              <w:pStyle w:val="28"/>
              <w:bidi w:val="0"/>
            </w:pPr>
            <w:r>
              <w:t>0.89</w:t>
            </w:r>
          </w:p>
        </w:tc>
        <w:tc>
          <w:tcPr>
            <w:tcW w:w="387" w:type="pct"/>
            <w:tcBorders>
              <w:top w:val="single" w:color="000000" w:sz="4" w:space="0"/>
              <w:left w:val="single" w:color="000000" w:sz="4" w:space="0"/>
              <w:bottom w:val="single" w:color="000000" w:sz="4" w:space="0"/>
              <w:right w:val="single" w:color="000000" w:sz="4" w:space="0"/>
            </w:tcBorders>
            <w:vAlign w:val="center"/>
          </w:tcPr>
          <w:p w14:paraId="57B52EB3">
            <w:pPr>
              <w:pStyle w:val="28"/>
              <w:bidi w:val="0"/>
            </w:pPr>
            <w:r>
              <w:t>1.84</w:t>
            </w:r>
          </w:p>
        </w:tc>
      </w:tr>
      <w:tr w14:paraId="27DFA9CC">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1F1EA101">
            <w:pPr>
              <w:pStyle w:val="28"/>
              <w:bidi w:val="0"/>
            </w:pPr>
            <w:r>
              <w:t>19</w:t>
            </w:r>
          </w:p>
        </w:tc>
        <w:tc>
          <w:tcPr>
            <w:tcW w:w="597" w:type="pct"/>
            <w:tcBorders>
              <w:top w:val="single" w:color="000000" w:sz="4" w:space="0"/>
              <w:left w:val="single" w:color="000000" w:sz="4" w:space="0"/>
              <w:bottom w:val="single" w:color="000000" w:sz="4" w:space="0"/>
              <w:right w:val="single" w:color="000000" w:sz="4" w:space="0"/>
            </w:tcBorders>
            <w:vAlign w:val="center"/>
          </w:tcPr>
          <w:p w14:paraId="56D2E1FA">
            <w:pPr>
              <w:pStyle w:val="28"/>
              <w:bidi w:val="0"/>
            </w:pPr>
            <w:r>
              <w:rPr>
                <w:rFonts w:hint="eastAsia"/>
              </w:rPr>
              <w:t>众兴双庙支渠工程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202A932C">
            <w:pPr>
              <w:pStyle w:val="28"/>
              <w:bidi w:val="0"/>
            </w:pPr>
            <w:r>
              <w:t>肥东县</w:t>
            </w:r>
          </w:p>
        </w:tc>
        <w:tc>
          <w:tcPr>
            <w:tcW w:w="308" w:type="pct"/>
            <w:tcBorders>
              <w:top w:val="single" w:color="000000" w:sz="4" w:space="0"/>
              <w:left w:val="single" w:color="000000" w:sz="4" w:space="0"/>
              <w:bottom w:val="single" w:color="000000" w:sz="4" w:space="0"/>
              <w:right w:val="single" w:color="000000" w:sz="4" w:space="0"/>
            </w:tcBorders>
            <w:vAlign w:val="center"/>
          </w:tcPr>
          <w:p w14:paraId="78CAE62B">
            <w:pPr>
              <w:pStyle w:val="28"/>
              <w:bidi w:val="0"/>
            </w:pPr>
            <w:r>
              <w:t>5.51</w:t>
            </w:r>
          </w:p>
        </w:tc>
        <w:tc>
          <w:tcPr>
            <w:tcW w:w="386" w:type="pct"/>
            <w:tcBorders>
              <w:top w:val="single" w:color="000000" w:sz="4" w:space="0"/>
              <w:left w:val="single" w:color="000000" w:sz="4" w:space="0"/>
              <w:bottom w:val="single" w:color="000000" w:sz="4" w:space="0"/>
              <w:right w:val="single" w:color="000000" w:sz="4" w:space="0"/>
            </w:tcBorders>
            <w:vAlign w:val="center"/>
          </w:tcPr>
          <w:p w14:paraId="0BAF0323">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33372E15">
            <w:pPr>
              <w:pStyle w:val="28"/>
              <w:bidi w:val="0"/>
            </w:pPr>
            <w:r>
              <w:t>0.92</w:t>
            </w:r>
          </w:p>
        </w:tc>
        <w:tc>
          <w:tcPr>
            <w:tcW w:w="326" w:type="pct"/>
            <w:tcBorders>
              <w:top w:val="single" w:color="000000" w:sz="4" w:space="0"/>
              <w:left w:val="single" w:color="000000" w:sz="4" w:space="0"/>
              <w:bottom w:val="single" w:color="000000" w:sz="4" w:space="0"/>
              <w:right w:val="single" w:color="000000" w:sz="4" w:space="0"/>
            </w:tcBorders>
            <w:vAlign w:val="center"/>
          </w:tcPr>
          <w:p w14:paraId="18980D28">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0C937637">
            <w:pPr>
              <w:pStyle w:val="28"/>
              <w:bidi w:val="0"/>
            </w:pPr>
            <w:r>
              <w:t>0.31</w:t>
            </w:r>
          </w:p>
        </w:tc>
        <w:tc>
          <w:tcPr>
            <w:tcW w:w="387" w:type="pct"/>
            <w:tcBorders>
              <w:top w:val="single" w:color="000000" w:sz="4" w:space="0"/>
              <w:left w:val="single" w:color="000000" w:sz="4" w:space="0"/>
              <w:bottom w:val="single" w:color="000000" w:sz="4" w:space="0"/>
              <w:right w:val="single" w:color="000000" w:sz="4" w:space="0"/>
            </w:tcBorders>
            <w:vAlign w:val="center"/>
          </w:tcPr>
          <w:p w14:paraId="2A4C4F52">
            <w:pPr>
              <w:pStyle w:val="28"/>
              <w:bidi w:val="0"/>
            </w:pPr>
            <w:r>
              <w:t>0.55</w:t>
            </w:r>
          </w:p>
        </w:tc>
        <w:tc>
          <w:tcPr>
            <w:tcW w:w="354" w:type="pct"/>
            <w:tcBorders>
              <w:top w:val="single" w:color="000000" w:sz="4" w:space="0"/>
              <w:left w:val="single" w:color="000000" w:sz="4" w:space="0"/>
              <w:bottom w:val="single" w:color="000000" w:sz="4" w:space="0"/>
              <w:right w:val="single" w:color="000000" w:sz="4" w:space="0"/>
            </w:tcBorders>
            <w:vAlign w:val="center"/>
          </w:tcPr>
          <w:p w14:paraId="2D79E145">
            <w:pPr>
              <w:pStyle w:val="28"/>
              <w:bidi w:val="0"/>
            </w:pPr>
            <w:r>
              <w:t>—</w:t>
            </w:r>
          </w:p>
        </w:tc>
        <w:tc>
          <w:tcPr>
            <w:tcW w:w="318" w:type="pct"/>
            <w:tcBorders>
              <w:top w:val="single" w:color="000000" w:sz="4" w:space="0"/>
              <w:left w:val="single" w:color="000000" w:sz="4" w:space="0"/>
              <w:bottom w:val="single" w:color="000000" w:sz="4" w:space="0"/>
              <w:right w:val="single" w:color="000000" w:sz="4" w:space="0"/>
            </w:tcBorders>
            <w:vAlign w:val="center"/>
          </w:tcPr>
          <w:p w14:paraId="309E91DA">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5E524778">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3C1C7E71">
            <w:pPr>
              <w:pStyle w:val="28"/>
              <w:bidi w:val="0"/>
            </w:pPr>
            <w:r>
              <w:t>1.78</w:t>
            </w:r>
          </w:p>
        </w:tc>
        <w:tc>
          <w:tcPr>
            <w:tcW w:w="387" w:type="pct"/>
            <w:tcBorders>
              <w:top w:val="single" w:color="000000" w:sz="4" w:space="0"/>
              <w:left w:val="single" w:color="000000" w:sz="4" w:space="0"/>
              <w:bottom w:val="single" w:color="000000" w:sz="4" w:space="0"/>
              <w:right w:val="single" w:color="000000" w:sz="4" w:space="0"/>
            </w:tcBorders>
            <w:vAlign w:val="center"/>
          </w:tcPr>
          <w:p w14:paraId="5C20CF8D">
            <w:pPr>
              <w:pStyle w:val="28"/>
              <w:bidi w:val="0"/>
            </w:pPr>
            <w:r>
              <w:t>7.29</w:t>
            </w:r>
          </w:p>
        </w:tc>
      </w:tr>
      <w:tr w14:paraId="6FD690F1">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4202DEBD">
            <w:pPr>
              <w:pStyle w:val="28"/>
              <w:bidi w:val="0"/>
            </w:pPr>
            <w:r>
              <w:t>20</w:t>
            </w:r>
          </w:p>
        </w:tc>
        <w:tc>
          <w:tcPr>
            <w:tcW w:w="597" w:type="pct"/>
            <w:tcBorders>
              <w:top w:val="single" w:color="000000" w:sz="4" w:space="0"/>
              <w:left w:val="single" w:color="000000" w:sz="4" w:space="0"/>
              <w:bottom w:val="single" w:color="000000" w:sz="4" w:space="0"/>
              <w:right w:val="single" w:color="000000" w:sz="4" w:space="0"/>
            </w:tcBorders>
            <w:vAlign w:val="center"/>
          </w:tcPr>
          <w:p w14:paraId="7DE491B6">
            <w:pPr>
              <w:pStyle w:val="28"/>
              <w:bidi w:val="0"/>
            </w:pPr>
            <w:r>
              <w:rPr>
                <w:rFonts w:hint="eastAsia"/>
              </w:rPr>
              <w:t>大高支渠工程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770C53A8">
            <w:pPr>
              <w:pStyle w:val="28"/>
              <w:bidi w:val="0"/>
            </w:pPr>
            <w:r>
              <w:t>肥东县</w:t>
            </w:r>
          </w:p>
        </w:tc>
        <w:tc>
          <w:tcPr>
            <w:tcW w:w="308" w:type="pct"/>
            <w:tcBorders>
              <w:top w:val="single" w:color="000000" w:sz="4" w:space="0"/>
              <w:left w:val="single" w:color="000000" w:sz="4" w:space="0"/>
              <w:bottom w:val="single" w:color="000000" w:sz="4" w:space="0"/>
              <w:right w:val="single" w:color="000000" w:sz="4" w:space="0"/>
            </w:tcBorders>
            <w:vAlign w:val="center"/>
          </w:tcPr>
          <w:p w14:paraId="3782826B">
            <w:pPr>
              <w:pStyle w:val="28"/>
              <w:bidi w:val="0"/>
            </w:pPr>
            <w:r>
              <w:t>17.07</w:t>
            </w:r>
          </w:p>
        </w:tc>
        <w:tc>
          <w:tcPr>
            <w:tcW w:w="386" w:type="pct"/>
            <w:tcBorders>
              <w:top w:val="single" w:color="000000" w:sz="4" w:space="0"/>
              <w:left w:val="single" w:color="000000" w:sz="4" w:space="0"/>
              <w:bottom w:val="single" w:color="000000" w:sz="4" w:space="0"/>
              <w:right w:val="single" w:color="000000" w:sz="4" w:space="0"/>
            </w:tcBorders>
            <w:vAlign w:val="center"/>
          </w:tcPr>
          <w:p w14:paraId="5E865928">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6826BBA7">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4512934F">
            <w:pPr>
              <w:pStyle w:val="28"/>
              <w:bidi w:val="0"/>
            </w:pPr>
            <w:r>
              <w:t>2</w:t>
            </w:r>
          </w:p>
        </w:tc>
        <w:tc>
          <w:tcPr>
            <w:tcW w:w="354" w:type="pct"/>
            <w:tcBorders>
              <w:top w:val="single" w:color="000000" w:sz="4" w:space="0"/>
              <w:left w:val="single" w:color="000000" w:sz="4" w:space="0"/>
              <w:bottom w:val="single" w:color="000000" w:sz="4" w:space="0"/>
              <w:right w:val="single" w:color="000000" w:sz="4" w:space="0"/>
            </w:tcBorders>
            <w:vAlign w:val="center"/>
          </w:tcPr>
          <w:p w14:paraId="215DF77B">
            <w:pPr>
              <w:pStyle w:val="28"/>
              <w:bidi w:val="0"/>
            </w:pPr>
            <w:r>
              <w:t>—</w:t>
            </w:r>
          </w:p>
        </w:tc>
        <w:tc>
          <w:tcPr>
            <w:tcW w:w="387" w:type="pct"/>
            <w:tcBorders>
              <w:top w:val="single" w:color="000000" w:sz="4" w:space="0"/>
              <w:left w:val="single" w:color="000000" w:sz="4" w:space="0"/>
              <w:bottom w:val="single" w:color="000000" w:sz="4" w:space="0"/>
              <w:right w:val="single" w:color="000000" w:sz="4" w:space="0"/>
            </w:tcBorders>
            <w:vAlign w:val="center"/>
          </w:tcPr>
          <w:p w14:paraId="0FA268AC">
            <w:pPr>
              <w:pStyle w:val="28"/>
              <w:bidi w:val="0"/>
            </w:pPr>
            <w:r>
              <w:t>0.25</w:t>
            </w:r>
          </w:p>
        </w:tc>
        <w:tc>
          <w:tcPr>
            <w:tcW w:w="354" w:type="pct"/>
            <w:tcBorders>
              <w:top w:val="single" w:color="000000" w:sz="4" w:space="0"/>
              <w:left w:val="single" w:color="000000" w:sz="4" w:space="0"/>
              <w:bottom w:val="single" w:color="000000" w:sz="4" w:space="0"/>
              <w:right w:val="single" w:color="000000" w:sz="4" w:space="0"/>
            </w:tcBorders>
            <w:vAlign w:val="center"/>
          </w:tcPr>
          <w:p w14:paraId="268171AE">
            <w:pPr>
              <w:pStyle w:val="28"/>
              <w:bidi w:val="0"/>
            </w:pPr>
            <w:r>
              <w:t>0.18</w:t>
            </w:r>
          </w:p>
        </w:tc>
        <w:tc>
          <w:tcPr>
            <w:tcW w:w="318" w:type="pct"/>
            <w:tcBorders>
              <w:top w:val="single" w:color="000000" w:sz="4" w:space="0"/>
              <w:left w:val="single" w:color="000000" w:sz="4" w:space="0"/>
              <w:bottom w:val="single" w:color="000000" w:sz="4" w:space="0"/>
              <w:right w:val="single" w:color="000000" w:sz="4" w:space="0"/>
            </w:tcBorders>
            <w:vAlign w:val="center"/>
          </w:tcPr>
          <w:p w14:paraId="16419216">
            <w:pPr>
              <w:pStyle w:val="28"/>
              <w:bidi w:val="0"/>
            </w:pPr>
            <w:r>
              <w:t>1.32</w:t>
            </w:r>
          </w:p>
        </w:tc>
        <w:tc>
          <w:tcPr>
            <w:tcW w:w="354" w:type="pct"/>
            <w:tcBorders>
              <w:top w:val="single" w:color="000000" w:sz="4" w:space="0"/>
              <w:left w:val="single" w:color="000000" w:sz="4" w:space="0"/>
              <w:bottom w:val="single" w:color="000000" w:sz="4" w:space="0"/>
              <w:right w:val="single" w:color="000000" w:sz="4" w:space="0"/>
            </w:tcBorders>
            <w:vAlign w:val="center"/>
          </w:tcPr>
          <w:p w14:paraId="56176163">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7A65C5A1">
            <w:pPr>
              <w:pStyle w:val="28"/>
              <w:bidi w:val="0"/>
            </w:pPr>
            <w:r>
              <w:t>3.75</w:t>
            </w:r>
          </w:p>
        </w:tc>
        <w:tc>
          <w:tcPr>
            <w:tcW w:w="387" w:type="pct"/>
            <w:tcBorders>
              <w:top w:val="single" w:color="000000" w:sz="4" w:space="0"/>
              <w:left w:val="single" w:color="000000" w:sz="4" w:space="0"/>
              <w:bottom w:val="single" w:color="000000" w:sz="4" w:space="0"/>
              <w:right w:val="single" w:color="000000" w:sz="4" w:space="0"/>
            </w:tcBorders>
            <w:vAlign w:val="center"/>
          </w:tcPr>
          <w:p w14:paraId="78C80C54">
            <w:pPr>
              <w:pStyle w:val="28"/>
              <w:bidi w:val="0"/>
            </w:pPr>
            <w:r>
              <w:t>20.82</w:t>
            </w:r>
          </w:p>
        </w:tc>
      </w:tr>
      <w:tr w14:paraId="49A19E1D">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61858E53">
            <w:pPr>
              <w:pStyle w:val="28"/>
              <w:bidi w:val="0"/>
            </w:pPr>
            <w:r>
              <w:t>21</w:t>
            </w:r>
          </w:p>
        </w:tc>
        <w:tc>
          <w:tcPr>
            <w:tcW w:w="597" w:type="pct"/>
            <w:tcBorders>
              <w:top w:val="single" w:color="000000" w:sz="4" w:space="0"/>
              <w:left w:val="single" w:color="000000" w:sz="4" w:space="0"/>
              <w:bottom w:val="single" w:color="000000" w:sz="4" w:space="0"/>
              <w:right w:val="single" w:color="000000" w:sz="4" w:space="0"/>
            </w:tcBorders>
            <w:vAlign w:val="center"/>
          </w:tcPr>
          <w:p w14:paraId="7C0D7791">
            <w:pPr>
              <w:pStyle w:val="28"/>
              <w:bidi w:val="0"/>
            </w:pPr>
            <w:r>
              <w:rPr>
                <w:rFonts w:hint="eastAsia"/>
              </w:rPr>
              <w:t>白龙支渠工程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50064DAA">
            <w:pPr>
              <w:pStyle w:val="28"/>
              <w:bidi w:val="0"/>
            </w:pPr>
            <w:r>
              <w:t>肥东县</w:t>
            </w:r>
          </w:p>
        </w:tc>
        <w:tc>
          <w:tcPr>
            <w:tcW w:w="308" w:type="pct"/>
            <w:tcBorders>
              <w:top w:val="single" w:color="000000" w:sz="4" w:space="0"/>
              <w:left w:val="single" w:color="000000" w:sz="4" w:space="0"/>
              <w:bottom w:val="single" w:color="000000" w:sz="4" w:space="0"/>
              <w:right w:val="single" w:color="000000" w:sz="4" w:space="0"/>
            </w:tcBorders>
            <w:vAlign w:val="center"/>
          </w:tcPr>
          <w:p w14:paraId="7CC1086E">
            <w:pPr>
              <w:pStyle w:val="28"/>
              <w:bidi w:val="0"/>
            </w:pPr>
            <w:r>
              <w:t>12.80</w:t>
            </w:r>
          </w:p>
        </w:tc>
        <w:tc>
          <w:tcPr>
            <w:tcW w:w="386" w:type="pct"/>
            <w:tcBorders>
              <w:top w:val="single" w:color="000000" w:sz="4" w:space="0"/>
              <w:left w:val="single" w:color="000000" w:sz="4" w:space="0"/>
              <w:bottom w:val="single" w:color="000000" w:sz="4" w:space="0"/>
              <w:right w:val="single" w:color="000000" w:sz="4" w:space="0"/>
            </w:tcBorders>
            <w:vAlign w:val="center"/>
          </w:tcPr>
          <w:p w14:paraId="5BBB2FB9">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0323A3EB">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0CB3E2AC">
            <w:pPr>
              <w:pStyle w:val="28"/>
              <w:bidi w:val="0"/>
            </w:pPr>
            <w:r>
              <w:t>0.92</w:t>
            </w:r>
          </w:p>
        </w:tc>
        <w:tc>
          <w:tcPr>
            <w:tcW w:w="354" w:type="pct"/>
            <w:tcBorders>
              <w:top w:val="single" w:color="000000" w:sz="4" w:space="0"/>
              <w:left w:val="single" w:color="000000" w:sz="4" w:space="0"/>
              <w:bottom w:val="single" w:color="000000" w:sz="4" w:space="0"/>
              <w:right w:val="single" w:color="000000" w:sz="4" w:space="0"/>
            </w:tcBorders>
            <w:vAlign w:val="center"/>
          </w:tcPr>
          <w:p w14:paraId="2541336E">
            <w:pPr>
              <w:pStyle w:val="28"/>
              <w:bidi w:val="0"/>
            </w:pPr>
            <w:r>
              <w:t>—</w:t>
            </w:r>
          </w:p>
        </w:tc>
        <w:tc>
          <w:tcPr>
            <w:tcW w:w="387" w:type="pct"/>
            <w:tcBorders>
              <w:top w:val="single" w:color="000000" w:sz="4" w:space="0"/>
              <w:left w:val="single" w:color="000000" w:sz="4" w:space="0"/>
              <w:bottom w:val="single" w:color="000000" w:sz="4" w:space="0"/>
              <w:right w:val="single" w:color="000000" w:sz="4" w:space="0"/>
            </w:tcBorders>
            <w:vAlign w:val="center"/>
          </w:tcPr>
          <w:p w14:paraId="4943E40D">
            <w:pPr>
              <w:pStyle w:val="28"/>
              <w:bidi w:val="0"/>
            </w:pPr>
            <w:r>
              <w:t>0.25</w:t>
            </w:r>
          </w:p>
        </w:tc>
        <w:tc>
          <w:tcPr>
            <w:tcW w:w="354" w:type="pct"/>
            <w:tcBorders>
              <w:top w:val="single" w:color="000000" w:sz="4" w:space="0"/>
              <w:left w:val="single" w:color="000000" w:sz="4" w:space="0"/>
              <w:bottom w:val="single" w:color="000000" w:sz="4" w:space="0"/>
              <w:right w:val="single" w:color="000000" w:sz="4" w:space="0"/>
            </w:tcBorders>
            <w:vAlign w:val="center"/>
          </w:tcPr>
          <w:p w14:paraId="43992AD5">
            <w:pPr>
              <w:pStyle w:val="28"/>
              <w:bidi w:val="0"/>
            </w:pPr>
            <w:r>
              <w:t>0.18</w:t>
            </w:r>
          </w:p>
        </w:tc>
        <w:tc>
          <w:tcPr>
            <w:tcW w:w="318" w:type="pct"/>
            <w:tcBorders>
              <w:top w:val="single" w:color="000000" w:sz="4" w:space="0"/>
              <w:left w:val="single" w:color="000000" w:sz="4" w:space="0"/>
              <w:bottom w:val="single" w:color="000000" w:sz="4" w:space="0"/>
              <w:right w:val="single" w:color="000000" w:sz="4" w:space="0"/>
            </w:tcBorders>
            <w:vAlign w:val="center"/>
          </w:tcPr>
          <w:p w14:paraId="26E5EDB6">
            <w:pPr>
              <w:pStyle w:val="28"/>
              <w:bidi w:val="0"/>
            </w:pPr>
            <w:r>
              <w:t>1.50</w:t>
            </w:r>
          </w:p>
        </w:tc>
        <w:tc>
          <w:tcPr>
            <w:tcW w:w="354" w:type="pct"/>
            <w:tcBorders>
              <w:top w:val="single" w:color="000000" w:sz="4" w:space="0"/>
              <w:left w:val="single" w:color="000000" w:sz="4" w:space="0"/>
              <w:bottom w:val="single" w:color="000000" w:sz="4" w:space="0"/>
              <w:right w:val="single" w:color="000000" w:sz="4" w:space="0"/>
            </w:tcBorders>
            <w:vAlign w:val="center"/>
          </w:tcPr>
          <w:p w14:paraId="1C4BF4D3">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75D0B6D3">
            <w:pPr>
              <w:pStyle w:val="28"/>
              <w:bidi w:val="0"/>
            </w:pPr>
            <w:r>
              <w:t>2.85</w:t>
            </w:r>
          </w:p>
        </w:tc>
        <w:tc>
          <w:tcPr>
            <w:tcW w:w="387" w:type="pct"/>
            <w:tcBorders>
              <w:top w:val="single" w:color="000000" w:sz="4" w:space="0"/>
              <w:left w:val="single" w:color="000000" w:sz="4" w:space="0"/>
              <w:bottom w:val="single" w:color="000000" w:sz="4" w:space="0"/>
              <w:right w:val="single" w:color="000000" w:sz="4" w:space="0"/>
            </w:tcBorders>
            <w:vAlign w:val="center"/>
          </w:tcPr>
          <w:p w14:paraId="5611AE72">
            <w:pPr>
              <w:pStyle w:val="28"/>
              <w:bidi w:val="0"/>
            </w:pPr>
            <w:r>
              <w:t>15.65</w:t>
            </w:r>
          </w:p>
        </w:tc>
      </w:tr>
      <w:tr w14:paraId="72D75DEB">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4EAF942B">
            <w:pPr>
              <w:pStyle w:val="28"/>
              <w:bidi w:val="0"/>
            </w:pPr>
            <w:r>
              <w:t>22</w:t>
            </w:r>
          </w:p>
        </w:tc>
        <w:tc>
          <w:tcPr>
            <w:tcW w:w="597" w:type="pct"/>
            <w:tcBorders>
              <w:top w:val="single" w:color="000000" w:sz="4" w:space="0"/>
              <w:left w:val="single" w:color="000000" w:sz="4" w:space="0"/>
              <w:bottom w:val="single" w:color="000000" w:sz="4" w:space="0"/>
              <w:right w:val="single" w:color="000000" w:sz="4" w:space="0"/>
            </w:tcBorders>
            <w:vAlign w:val="center"/>
          </w:tcPr>
          <w:p w14:paraId="6C823F8C">
            <w:pPr>
              <w:pStyle w:val="28"/>
              <w:bidi w:val="0"/>
            </w:pPr>
            <w:r>
              <w:rPr>
                <w:rFonts w:hint="eastAsia"/>
              </w:rPr>
              <w:t>郑岗泵站工程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6E5ADC26">
            <w:pPr>
              <w:pStyle w:val="28"/>
              <w:bidi w:val="0"/>
            </w:pPr>
            <w:r>
              <w:t>寿县</w:t>
            </w:r>
          </w:p>
        </w:tc>
        <w:tc>
          <w:tcPr>
            <w:tcW w:w="308" w:type="pct"/>
            <w:tcBorders>
              <w:top w:val="single" w:color="000000" w:sz="4" w:space="0"/>
              <w:left w:val="single" w:color="000000" w:sz="4" w:space="0"/>
              <w:bottom w:val="single" w:color="000000" w:sz="4" w:space="0"/>
              <w:right w:val="single" w:color="000000" w:sz="4" w:space="0"/>
            </w:tcBorders>
            <w:vAlign w:val="center"/>
          </w:tcPr>
          <w:p w14:paraId="49C4AF17">
            <w:pPr>
              <w:pStyle w:val="28"/>
              <w:bidi w:val="0"/>
            </w:pPr>
            <w:r>
              <w:t>2.46</w:t>
            </w:r>
          </w:p>
        </w:tc>
        <w:tc>
          <w:tcPr>
            <w:tcW w:w="386" w:type="pct"/>
            <w:tcBorders>
              <w:top w:val="single" w:color="000000" w:sz="4" w:space="0"/>
              <w:left w:val="single" w:color="000000" w:sz="4" w:space="0"/>
              <w:bottom w:val="single" w:color="000000" w:sz="4" w:space="0"/>
              <w:right w:val="single" w:color="000000" w:sz="4" w:space="0"/>
            </w:tcBorders>
            <w:vAlign w:val="center"/>
          </w:tcPr>
          <w:p w14:paraId="1052BFBD">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050D1076">
            <w:pPr>
              <w:pStyle w:val="28"/>
              <w:bidi w:val="0"/>
            </w:pPr>
            <w:r>
              <w:t>2.86</w:t>
            </w:r>
          </w:p>
        </w:tc>
        <w:tc>
          <w:tcPr>
            <w:tcW w:w="326" w:type="pct"/>
            <w:tcBorders>
              <w:top w:val="single" w:color="000000" w:sz="4" w:space="0"/>
              <w:left w:val="single" w:color="000000" w:sz="4" w:space="0"/>
              <w:bottom w:val="single" w:color="000000" w:sz="4" w:space="0"/>
              <w:right w:val="single" w:color="000000" w:sz="4" w:space="0"/>
            </w:tcBorders>
            <w:vAlign w:val="center"/>
          </w:tcPr>
          <w:p w14:paraId="6BE17E16">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104FB3F0">
            <w:pPr>
              <w:pStyle w:val="28"/>
              <w:bidi w:val="0"/>
            </w:pPr>
            <w:r>
              <w:t>0.74</w:t>
            </w:r>
          </w:p>
        </w:tc>
        <w:tc>
          <w:tcPr>
            <w:tcW w:w="387" w:type="pct"/>
            <w:tcBorders>
              <w:top w:val="single" w:color="000000" w:sz="4" w:space="0"/>
              <w:left w:val="single" w:color="000000" w:sz="4" w:space="0"/>
              <w:bottom w:val="single" w:color="000000" w:sz="4" w:space="0"/>
              <w:right w:val="single" w:color="000000" w:sz="4" w:space="0"/>
            </w:tcBorders>
            <w:vAlign w:val="center"/>
          </w:tcPr>
          <w:p w14:paraId="3C35A05F">
            <w:pPr>
              <w:pStyle w:val="28"/>
              <w:bidi w:val="0"/>
            </w:pPr>
            <w:r>
              <w:t>0.50</w:t>
            </w:r>
          </w:p>
        </w:tc>
        <w:tc>
          <w:tcPr>
            <w:tcW w:w="354" w:type="pct"/>
            <w:tcBorders>
              <w:top w:val="single" w:color="000000" w:sz="4" w:space="0"/>
              <w:left w:val="single" w:color="000000" w:sz="4" w:space="0"/>
              <w:bottom w:val="single" w:color="000000" w:sz="4" w:space="0"/>
              <w:right w:val="single" w:color="000000" w:sz="4" w:space="0"/>
            </w:tcBorders>
            <w:vAlign w:val="center"/>
          </w:tcPr>
          <w:p w14:paraId="12C9E4D7">
            <w:pPr>
              <w:pStyle w:val="28"/>
              <w:bidi w:val="0"/>
            </w:pPr>
            <w:r>
              <w:t>0.49</w:t>
            </w:r>
          </w:p>
        </w:tc>
        <w:tc>
          <w:tcPr>
            <w:tcW w:w="318" w:type="pct"/>
            <w:tcBorders>
              <w:top w:val="single" w:color="000000" w:sz="4" w:space="0"/>
              <w:left w:val="single" w:color="000000" w:sz="4" w:space="0"/>
              <w:bottom w:val="single" w:color="000000" w:sz="4" w:space="0"/>
              <w:right w:val="single" w:color="000000" w:sz="4" w:space="0"/>
            </w:tcBorders>
            <w:vAlign w:val="center"/>
          </w:tcPr>
          <w:p w14:paraId="6D6DDE5B">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407F7EFB">
            <w:pPr>
              <w:pStyle w:val="28"/>
              <w:bidi w:val="0"/>
            </w:pPr>
            <w:r>
              <w:t>0.38</w:t>
            </w:r>
          </w:p>
        </w:tc>
        <w:tc>
          <w:tcPr>
            <w:tcW w:w="388" w:type="pct"/>
            <w:tcBorders>
              <w:top w:val="single" w:color="000000" w:sz="4" w:space="0"/>
              <w:left w:val="single" w:color="000000" w:sz="4" w:space="0"/>
              <w:bottom w:val="single" w:color="000000" w:sz="4" w:space="0"/>
              <w:right w:val="single" w:color="000000" w:sz="4" w:space="0"/>
            </w:tcBorders>
            <w:vAlign w:val="center"/>
          </w:tcPr>
          <w:p w14:paraId="64304D83">
            <w:pPr>
              <w:pStyle w:val="28"/>
              <w:bidi w:val="0"/>
            </w:pPr>
            <w:r>
              <w:t>4.97</w:t>
            </w:r>
          </w:p>
        </w:tc>
        <w:tc>
          <w:tcPr>
            <w:tcW w:w="387" w:type="pct"/>
            <w:tcBorders>
              <w:top w:val="single" w:color="000000" w:sz="4" w:space="0"/>
              <w:left w:val="single" w:color="000000" w:sz="4" w:space="0"/>
              <w:bottom w:val="single" w:color="000000" w:sz="4" w:space="0"/>
              <w:right w:val="single" w:color="000000" w:sz="4" w:space="0"/>
            </w:tcBorders>
            <w:vAlign w:val="center"/>
          </w:tcPr>
          <w:p w14:paraId="4E22B998">
            <w:pPr>
              <w:pStyle w:val="28"/>
              <w:bidi w:val="0"/>
            </w:pPr>
            <w:r>
              <w:t>7.43</w:t>
            </w:r>
          </w:p>
        </w:tc>
      </w:tr>
      <w:tr w14:paraId="5BD41E9D">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614265B9">
            <w:pPr>
              <w:pStyle w:val="28"/>
              <w:bidi w:val="0"/>
            </w:pPr>
            <w:r>
              <w:t>23</w:t>
            </w:r>
          </w:p>
        </w:tc>
        <w:tc>
          <w:tcPr>
            <w:tcW w:w="597" w:type="pct"/>
            <w:tcBorders>
              <w:top w:val="single" w:color="000000" w:sz="4" w:space="0"/>
              <w:left w:val="single" w:color="000000" w:sz="4" w:space="0"/>
              <w:bottom w:val="single" w:color="000000" w:sz="4" w:space="0"/>
              <w:right w:val="single" w:color="000000" w:sz="4" w:space="0"/>
            </w:tcBorders>
            <w:vAlign w:val="center"/>
          </w:tcPr>
          <w:p w14:paraId="473A94AB">
            <w:pPr>
              <w:pStyle w:val="28"/>
              <w:bidi w:val="0"/>
            </w:pPr>
            <w:r>
              <w:rPr>
                <w:rFonts w:hint="eastAsia"/>
              </w:rPr>
              <w:t>沣东干渠工程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6C944938">
            <w:pPr>
              <w:pStyle w:val="28"/>
              <w:bidi w:val="0"/>
            </w:pPr>
            <w:r>
              <w:t>霍邱县</w:t>
            </w:r>
          </w:p>
        </w:tc>
        <w:tc>
          <w:tcPr>
            <w:tcW w:w="308" w:type="pct"/>
            <w:tcBorders>
              <w:top w:val="single" w:color="000000" w:sz="4" w:space="0"/>
              <w:left w:val="single" w:color="000000" w:sz="4" w:space="0"/>
              <w:bottom w:val="single" w:color="000000" w:sz="4" w:space="0"/>
              <w:right w:val="single" w:color="000000" w:sz="4" w:space="0"/>
            </w:tcBorders>
            <w:vAlign w:val="center"/>
          </w:tcPr>
          <w:p w14:paraId="7E66FA1E">
            <w:pPr>
              <w:pStyle w:val="28"/>
              <w:bidi w:val="0"/>
            </w:pPr>
            <w:r>
              <w:t>70.13</w:t>
            </w:r>
          </w:p>
        </w:tc>
        <w:tc>
          <w:tcPr>
            <w:tcW w:w="386" w:type="pct"/>
            <w:tcBorders>
              <w:top w:val="single" w:color="000000" w:sz="4" w:space="0"/>
              <w:left w:val="single" w:color="000000" w:sz="4" w:space="0"/>
              <w:bottom w:val="single" w:color="000000" w:sz="4" w:space="0"/>
              <w:right w:val="single" w:color="000000" w:sz="4" w:space="0"/>
            </w:tcBorders>
            <w:vAlign w:val="center"/>
          </w:tcPr>
          <w:p w14:paraId="4CEAAE88">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462AC6BB">
            <w:pPr>
              <w:pStyle w:val="28"/>
              <w:bidi w:val="0"/>
            </w:pPr>
            <w:r>
              <w:t>1.43</w:t>
            </w:r>
          </w:p>
        </w:tc>
        <w:tc>
          <w:tcPr>
            <w:tcW w:w="326" w:type="pct"/>
            <w:tcBorders>
              <w:top w:val="single" w:color="000000" w:sz="4" w:space="0"/>
              <w:left w:val="single" w:color="000000" w:sz="4" w:space="0"/>
              <w:bottom w:val="single" w:color="000000" w:sz="4" w:space="0"/>
              <w:right w:val="single" w:color="000000" w:sz="4" w:space="0"/>
            </w:tcBorders>
            <w:vAlign w:val="center"/>
          </w:tcPr>
          <w:p w14:paraId="2ABBD469">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3D8AC065">
            <w:pPr>
              <w:pStyle w:val="28"/>
              <w:bidi w:val="0"/>
            </w:pPr>
            <w:r>
              <w:t>—</w:t>
            </w:r>
          </w:p>
        </w:tc>
        <w:tc>
          <w:tcPr>
            <w:tcW w:w="387" w:type="pct"/>
            <w:tcBorders>
              <w:top w:val="single" w:color="000000" w:sz="4" w:space="0"/>
              <w:left w:val="single" w:color="000000" w:sz="4" w:space="0"/>
              <w:bottom w:val="single" w:color="000000" w:sz="4" w:space="0"/>
              <w:right w:val="single" w:color="000000" w:sz="4" w:space="0"/>
            </w:tcBorders>
            <w:vAlign w:val="center"/>
          </w:tcPr>
          <w:p w14:paraId="27C8D893">
            <w:pPr>
              <w:pStyle w:val="28"/>
              <w:bidi w:val="0"/>
            </w:pPr>
            <w:r>
              <w:t>0.59</w:t>
            </w:r>
          </w:p>
        </w:tc>
        <w:tc>
          <w:tcPr>
            <w:tcW w:w="354" w:type="pct"/>
            <w:tcBorders>
              <w:top w:val="single" w:color="000000" w:sz="4" w:space="0"/>
              <w:left w:val="single" w:color="000000" w:sz="4" w:space="0"/>
              <w:bottom w:val="single" w:color="000000" w:sz="4" w:space="0"/>
              <w:right w:val="single" w:color="000000" w:sz="4" w:space="0"/>
            </w:tcBorders>
            <w:vAlign w:val="center"/>
          </w:tcPr>
          <w:p w14:paraId="48E3C535">
            <w:pPr>
              <w:pStyle w:val="28"/>
              <w:bidi w:val="0"/>
            </w:pPr>
            <w:r>
              <w:t>—</w:t>
            </w:r>
          </w:p>
        </w:tc>
        <w:tc>
          <w:tcPr>
            <w:tcW w:w="318" w:type="pct"/>
            <w:tcBorders>
              <w:top w:val="single" w:color="000000" w:sz="4" w:space="0"/>
              <w:left w:val="single" w:color="000000" w:sz="4" w:space="0"/>
              <w:bottom w:val="single" w:color="000000" w:sz="4" w:space="0"/>
              <w:right w:val="single" w:color="000000" w:sz="4" w:space="0"/>
            </w:tcBorders>
            <w:vAlign w:val="center"/>
          </w:tcPr>
          <w:p w14:paraId="2AFE6D13">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20CB94B9">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147C5C97">
            <w:pPr>
              <w:pStyle w:val="28"/>
              <w:bidi w:val="0"/>
            </w:pPr>
            <w:r>
              <w:t>2.02</w:t>
            </w:r>
          </w:p>
        </w:tc>
        <w:tc>
          <w:tcPr>
            <w:tcW w:w="387" w:type="pct"/>
            <w:tcBorders>
              <w:top w:val="single" w:color="000000" w:sz="4" w:space="0"/>
              <w:left w:val="single" w:color="000000" w:sz="4" w:space="0"/>
              <w:bottom w:val="single" w:color="000000" w:sz="4" w:space="0"/>
              <w:right w:val="single" w:color="000000" w:sz="4" w:space="0"/>
            </w:tcBorders>
            <w:vAlign w:val="center"/>
          </w:tcPr>
          <w:p w14:paraId="73493CA9">
            <w:pPr>
              <w:pStyle w:val="28"/>
              <w:bidi w:val="0"/>
            </w:pPr>
            <w:r>
              <w:t>72.15</w:t>
            </w:r>
          </w:p>
        </w:tc>
      </w:tr>
      <w:tr w14:paraId="40A1A1D7">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3FCCA685">
            <w:pPr>
              <w:pStyle w:val="28"/>
              <w:bidi w:val="0"/>
            </w:pPr>
            <w:r>
              <w:t>24</w:t>
            </w:r>
          </w:p>
        </w:tc>
        <w:tc>
          <w:tcPr>
            <w:tcW w:w="597" w:type="pct"/>
            <w:tcBorders>
              <w:top w:val="single" w:color="000000" w:sz="4" w:space="0"/>
              <w:left w:val="single" w:color="000000" w:sz="4" w:space="0"/>
              <w:bottom w:val="single" w:color="000000" w:sz="4" w:space="0"/>
              <w:right w:val="single" w:color="000000" w:sz="4" w:space="0"/>
            </w:tcBorders>
            <w:vAlign w:val="center"/>
          </w:tcPr>
          <w:p w14:paraId="7FCF53AA">
            <w:pPr>
              <w:pStyle w:val="28"/>
              <w:bidi w:val="0"/>
            </w:pPr>
            <w:r>
              <w:rPr>
                <w:rFonts w:hint="eastAsia"/>
              </w:rPr>
              <w:t>沣西干渠工程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1F647E14">
            <w:pPr>
              <w:pStyle w:val="28"/>
              <w:bidi w:val="0"/>
            </w:pPr>
            <w:r>
              <w:t>霍邱县</w:t>
            </w:r>
          </w:p>
        </w:tc>
        <w:tc>
          <w:tcPr>
            <w:tcW w:w="308" w:type="pct"/>
            <w:tcBorders>
              <w:top w:val="single" w:color="000000" w:sz="4" w:space="0"/>
              <w:left w:val="single" w:color="000000" w:sz="4" w:space="0"/>
              <w:bottom w:val="single" w:color="000000" w:sz="4" w:space="0"/>
              <w:right w:val="single" w:color="000000" w:sz="4" w:space="0"/>
            </w:tcBorders>
            <w:vAlign w:val="center"/>
          </w:tcPr>
          <w:p w14:paraId="77601863">
            <w:pPr>
              <w:pStyle w:val="28"/>
              <w:bidi w:val="0"/>
            </w:pPr>
            <w:r>
              <w:t>45.89</w:t>
            </w:r>
          </w:p>
        </w:tc>
        <w:tc>
          <w:tcPr>
            <w:tcW w:w="386" w:type="pct"/>
            <w:tcBorders>
              <w:top w:val="single" w:color="000000" w:sz="4" w:space="0"/>
              <w:left w:val="single" w:color="000000" w:sz="4" w:space="0"/>
              <w:bottom w:val="single" w:color="000000" w:sz="4" w:space="0"/>
              <w:right w:val="single" w:color="000000" w:sz="4" w:space="0"/>
            </w:tcBorders>
            <w:vAlign w:val="center"/>
          </w:tcPr>
          <w:p w14:paraId="38827EDB">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52024326">
            <w:pPr>
              <w:pStyle w:val="28"/>
              <w:bidi w:val="0"/>
            </w:pPr>
            <w:r>
              <w:t>20.11</w:t>
            </w:r>
          </w:p>
        </w:tc>
        <w:tc>
          <w:tcPr>
            <w:tcW w:w="326" w:type="pct"/>
            <w:tcBorders>
              <w:top w:val="single" w:color="000000" w:sz="4" w:space="0"/>
              <w:left w:val="single" w:color="000000" w:sz="4" w:space="0"/>
              <w:bottom w:val="single" w:color="000000" w:sz="4" w:space="0"/>
              <w:right w:val="single" w:color="000000" w:sz="4" w:space="0"/>
            </w:tcBorders>
            <w:vAlign w:val="center"/>
          </w:tcPr>
          <w:p w14:paraId="79F3A6F1">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7136C037">
            <w:pPr>
              <w:pStyle w:val="28"/>
              <w:bidi w:val="0"/>
            </w:pPr>
            <w:r>
              <w:t>0.45</w:t>
            </w:r>
          </w:p>
        </w:tc>
        <w:tc>
          <w:tcPr>
            <w:tcW w:w="387" w:type="pct"/>
            <w:tcBorders>
              <w:top w:val="single" w:color="000000" w:sz="4" w:space="0"/>
              <w:left w:val="single" w:color="000000" w:sz="4" w:space="0"/>
              <w:bottom w:val="single" w:color="000000" w:sz="4" w:space="0"/>
              <w:right w:val="single" w:color="000000" w:sz="4" w:space="0"/>
            </w:tcBorders>
            <w:vAlign w:val="center"/>
          </w:tcPr>
          <w:p w14:paraId="5C98D4BE">
            <w:pPr>
              <w:pStyle w:val="28"/>
              <w:bidi w:val="0"/>
            </w:pPr>
            <w:r>
              <w:t>4.40</w:t>
            </w:r>
          </w:p>
        </w:tc>
        <w:tc>
          <w:tcPr>
            <w:tcW w:w="354" w:type="pct"/>
            <w:tcBorders>
              <w:top w:val="single" w:color="000000" w:sz="4" w:space="0"/>
              <w:left w:val="single" w:color="000000" w:sz="4" w:space="0"/>
              <w:bottom w:val="single" w:color="000000" w:sz="4" w:space="0"/>
              <w:right w:val="single" w:color="000000" w:sz="4" w:space="0"/>
            </w:tcBorders>
            <w:vAlign w:val="center"/>
          </w:tcPr>
          <w:p w14:paraId="1768AEDA">
            <w:pPr>
              <w:pStyle w:val="28"/>
              <w:bidi w:val="0"/>
            </w:pPr>
            <w:r>
              <w:t>1.70</w:t>
            </w:r>
          </w:p>
        </w:tc>
        <w:tc>
          <w:tcPr>
            <w:tcW w:w="318" w:type="pct"/>
            <w:tcBorders>
              <w:top w:val="single" w:color="000000" w:sz="4" w:space="0"/>
              <w:left w:val="single" w:color="000000" w:sz="4" w:space="0"/>
              <w:bottom w:val="single" w:color="000000" w:sz="4" w:space="0"/>
              <w:right w:val="single" w:color="000000" w:sz="4" w:space="0"/>
            </w:tcBorders>
            <w:vAlign w:val="center"/>
          </w:tcPr>
          <w:p w14:paraId="120901FB">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1216E9D3">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37571EF8">
            <w:pPr>
              <w:pStyle w:val="28"/>
              <w:bidi w:val="0"/>
            </w:pPr>
            <w:r>
              <w:t>26.66</w:t>
            </w:r>
          </w:p>
        </w:tc>
        <w:tc>
          <w:tcPr>
            <w:tcW w:w="387" w:type="pct"/>
            <w:tcBorders>
              <w:top w:val="single" w:color="000000" w:sz="4" w:space="0"/>
              <w:left w:val="single" w:color="000000" w:sz="4" w:space="0"/>
              <w:bottom w:val="single" w:color="000000" w:sz="4" w:space="0"/>
              <w:right w:val="single" w:color="000000" w:sz="4" w:space="0"/>
            </w:tcBorders>
            <w:vAlign w:val="center"/>
          </w:tcPr>
          <w:p w14:paraId="15230DC0">
            <w:pPr>
              <w:pStyle w:val="28"/>
              <w:bidi w:val="0"/>
            </w:pPr>
            <w:r>
              <w:t>72.55</w:t>
            </w:r>
          </w:p>
        </w:tc>
      </w:tr>
      <w:tr w14:paraId="0ACF3CF5">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19922879">
            <w:pPr>
              <w:pStyle w:val="28"/>
              <w:bidi w:val="0"/>
            </w:pPr>
            <w:r>
              <w:t>25</w:t>
            </w:r>
          </w:p>
        </w:tc>
        <w:tc>
          <w:tcPr>
            <w:tcW w:w="597" w:type="pct"/>
            <w:tcBorders>
              <w:top w:val="single" w:color="000000" w:sz="4" w:space="0"/>
              <w:left w:val="single" w:color="000000" w:sz="4" w:space="0"/>
              <w:bottom w:val="single" w:color="000000" w:sz="4" w:space="0"/>
              <w:right w:val="single" w:color="000000" w:sz="4" w:space="0"/>
            </w:tcBorders>
            <w:vAlign w:val="center"/>
          </w:tcPr>
          <w:p w14:paraId="59CAB606">
            <w:pPr>
              <w:pStyle w:val="28"/>
              <w:bidi w:val="0"/>
            </w:pPr>
            <w:r>
              <w:rPr>
                <w:rFonts w:hint="eastAsia"/>
              </w:rPr>
              <w:t>姚李支渠工程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0D631288">
            <w:pPr>
              <w:pStyle w:val="28"/>
              <w:bidi w:val="0"/>
            </w:pPr>
            <w:r>
              <w:t>叶集区</w:t>
            </w:r>
          </w:p>
        </w:tc>
        <w:tc>
          <w:tcPr>
            <w:tcW w:w="308" w:type="pct"/>
            <w:tcBorders>
              <w:top w:val="single" w:color="000000" w:sz="4" w:space="0"/>
              <w:left w:val="single" w:color="000000" w:sz="4" w:space="0"/>
              <w:bottom w:val="single" w:color="000000" w:sz="4" w:space="0"/>
              <w:right w:val="single" w:color="000000" w:sz="4" w:space="0"/>
            </w:tcBorders>
            <w:vAlign w:val="center"/>
          </w:tcPr>
          <w:p w14:paraId="3AE6380F">
            <w:pPr>
              <w:pStyle w:val="28"/>
              <w:bidi w:val="0"/>
            </w:pPr>
            <w:r>
              <w:t>9.88</w:t>
            </w:r>
          </w:p>
        </w:tc>
        <w:tc>
          <w:tcPr>
            <w:tcW w:w="386" w:type="pct"/>
            <w:tcBorders>
              <w:top w:val="single" w:color="000000" w:sz="4" w:space="0"/>
              <w:left w:val="single" w:color="000000" w:sz="4" w:space="0"/>
              <w:bottom w:val="single" w:color="000000" w:sz="4" w:space="0"/>
              <w:right w:val="single" w:color="000000" w:sz="4" w:space="0"/>
            </w:tcBorders>
            <w:vAlign w:val="center"/>
          </w:tcPr>
          <w:p w14:paraId="529D8DD1">
            <w:pPr>
              <w:pStyle w:val="28"/>
              <w:bidi w:val="0"/>
            </w:pPr>
            <w:r>
              <w:t>0.65</w:t>
            </w:r>
          </w:p>
        </w:tc>
        <w:tc>
          <w:tcPr>
            <w:tcW w:w="310" w:type="pct"/>
            <w:tcBorders>
              <w:top w:val="single" w:color="000000" w:sz="4" w:space="0"/>
              <w:left w:val="single" w:color="000000" w:sz="4" w:space="0"/>
              <w:bottom w:val="single" w:color="000000" w:sz="4" w:space="0"/>
              <w:right w:val="single" w:color="000000" w:sz="4" w:space="0"/>
            </w:tcBorders>
            <w:vAlign w:val="center"/>
          </w:tcPr>
          <w:p w14:paraId="5883DE46">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279BF749">
            <w:pPr>
              <w:pStyle w:val="28"/>
              <w:bidi w:val="0"/>
            </w:pPr>
            <w:r>
              <w:t>3.95</w:t>
            </w:r>
          </w:p>
        </w:tc>
        <w:tc>
          <w:tcPr>
            <w:tcW w:w="354" w:type="pct"/>
            <w:tcBorders>
              <w:top w:val="single" w:color="000000" w:sz="4" w:space="0"/>
              <w:left w:val="single" w:color="000000" w:sz="4" w:space="0"/>
              <w:bottom w:val="single" w:color="000000" w:sz="4" w:space="0"/>
              <w:right w:val="single" w:color="000000" w:sz="4" w:space="0"/>
            </w:tcBorders>
            <w:vAlign w:val="center"/>
          </w:tcPr>
          <w:p w14:paraId="3E396423">
            <w:pPr>
              <w:pStyle w:val="28"/>
              <w:bidi w:val="0"/>
            </w:pPr>
            <w:r>
              <w:t>0.15</w:t>
            </w:r>
          </w:p>
        </w:tc>
        <w:tc>
          <w:tcPr>
            <w:tcW w:w="387" w:type="pct"/>
            <w:tcBorders>
              <w:top w:val="single" w:color="000000" w:sz="4" w:space="0"/>
              <w:left w:val="single" w:color="000000" w:sz="4" w:space="0"/>
              <w:bottom w:val="single" w:color="000000" w:sz="4" w:space="0"/>
              <w:right w:val="single" w:color="000000" w:sz="4" w:space="0"/>
            </w:tcBorders>
            <w:vAlign w:val="center"/>
          </w:tcPr>
          <w:p w14:paraId="3FE8743C">
            <w:pPr>
              <w:pStyle w:val="28"/>
              <w:bidi w:val="0"/>
            </w:pPr>
            <w:r>
              <w:t>1.20</w:t>
            </w:r>
          </w:p>
        </w:tc>
        <w:tc>
          <w:tcPr>
            <w:tcW w:w="354" w:type="pct"/>
            <w:tcBorders>
              <w:top w:val="single" w:color="000000" w:sz="4" w:space="0"/>
              <w:left w:val="single" w:color="000000" w:sz="4" w:space="0"/>
              <w:bottom w:val="single" w:color="000000" w:sz="4" w:space="0"/>
              <w:right w:val="single" w:color="000000" w:sz="4" w:space="0"/>
            </w:tcBorders>
            <w:vAlign w:val="center"/>
          </w:tcPr>
          <w:p w14:paraId="031C2D59">
            <w:pPr>
              <w:pStyle w:val="28"/>
              <w:bidi w:val="0"/>
            </w:pPr>
            <w:r>
              <w:t>2.58</w:t>
            </w:r>
          </w:p>
        </w:tc>
        <w:tc>
          <w:tcPr>
            <w:tcW w:w="318" w:type="pct"/>
            <w:tcBorders>
              <w:top w:val="single" w:color="000000" w:sz="4" w:space="0"/>
              <w:left w:val="single" w:color="000000" w:sz="4" w:space="0"/>
              <w:bottom w:val="single" w:color="000000" w:sz="4" w:space="0"/>
              <w:right w:val="single" w:color="000000" w:sz="4" w:space="0"/>
            </w:tcBorders>
            <w:vAlign w:val="center"/>
          </w:tcPr>
          <w:p w14:paraId="42D1063A">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22E4594A">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461C31F6">
            <w:pPr>
              <w:pStyle w:val="28"/>
              <w:bidi w:val="0"/>
            </w:pPr>
            <w:r>
              <w:t>8.53</w:t>
            </w:r>
          </w:p>
        </w:tc>
        <w:tc>
          <w:tcPr>
            <w:tcW w:w="387" w:type="pct"/>
            <w:tcBorders>
              <w:top w:val="single" w:color="000000" w:sz="4" w:space="0"/>
              <w:left w:val="single" w:color="000000" w:sz="4" w:space="0"/>
              <w:bottom w:val="single" w:color="000000" w:sz="4" w:space="0"/>
              <w:right w:val="single" w:color="000000" w:sz="4" w:space="0"/>
            </w:tcBorders>
            <w:vAlign w:val="center"/>
          </w:tcPr>
          <w:p w14:paraId="085E3A2D">
            <w:pPr>
              <w:pStyle w:val="28"/>
              <w:bidi w:val="0"/>
            </w:pPr>
            <w:r>
              <w:t>18.41</w:t>
            </w:r>
          </w:p>
        </w:tc>
      </w:tr>
      <w:tr w14:paraId="7C06C525">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0102340E">
            <w:pPr>
              <w:pStyle w:val="28"/>
              <w:bidi w:val="0"/>
            </w:pPr>
            <w:r>
              <w:t>26</w:t>
            </w:r>
          </w:p>
        </w:tc>
        <w:tc>
          <w:tcPr>
            <w:tcW w:w="597" w:type="pct"/>
            <w:tcBorders>
              <w:top w:val="single" w:color="000000" w:sz="4" w:space="0"/>
              <w:left w:val="single" w:color="000000" w:sz="4" w:space="0"/>
              <w:bottom w:val="single" w:color="000000" w:sz="4" w:space="0"/>
              <w:right w:val="single" w:color="000000" w:sz="4" w:space="0"/>
            </w:tcBorders>
            <w:vAlign w:val="center"/>
          </w:tcPr>
          <w:p w14:paraId="718B5003">
            <w:pPr>
              <w:pStyle w:val="28"/>
              <w:bidi w:val="0"/>
            </w:pPr>
            <w:r>
              <w:rPr>
                <w:rFonts w:hint="eastAsia"/>
              </w:rPr>
              <w:t>胜天支渠工程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5C7A8BE8">
            <w:pPr>
              <w:pStyle w:val="28"/>
              <w:bidi w:val="0"/>
            </w:pPr>
            <w:r>
              <w:t>叶集区</w:t>
            </w:r>
          </w:p>
        </w:tc>
        <w:tc>
          <w:tcPr>
            <w:tcW w:w="308" w:type="pct"/>
            <w:tcBorders>
              <w:top w:val="single" w:color="000000" w:sz="4" w:space="0"/>
              <w:left w:val="single" w:color="000000" w:sz="4" w:space="0"/>
              <w:bottom w:val="single" w:color="000000" w:sz="4" w:space="0"/>
              <w:right w:val="single" w:color="000000" w:sz="4" w:space="0"/>
            </w:tcBorders>
            <w:vAlign w:val="center"/>
          </w:tcPr>
          <w:p w14:paraId="3852C2E1">
            <w:pPr>
              <w:pStyle w:val="28"/>
              <w:bidi w:val="0"/>
            </w:pPr>
            <w:r>
              <w:t>1.00</w:t>
            </w:r>
          </w:p>
        </w:tc>
        <w:tc>
          <w:tcPr>
            <w:tcW w:w="386" w:type="pct"/>
            <w:tcBorders>
              <w:top w:val="single" w:color="000000" w:sz="4" w:space="0"/>
              <w:left w:val="single" w:color="000000" w:sz="4" w:space="0"/>
              <w:bottom w:val="single" w:color="000000" w:sz="4" w:space="0"/>
              <w:right w:val="single" w:color="000000" w:sz="4" w:space="0"/>
            </w:tcBorders>
            <w:vAlign w:val="center"/>
          </w:tcPr>
          <w:p w14:paraId="2F0A9C0F">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50392F9D">
            <w:pPr>
              <w:pStyle w:val="28"/>
              <w:bidi w:val="0"/>
            </w:pPr>
            <w:r>
              <w:t>1.57</w:t>
            </w:r>
          </w:p>
        </w:tc>
        <w:tc>
          <w:tcPr>
            <w:tcW w:w="326" w:type="pct"/>
            <w:tcBorders>
              <w:top w:val="single" w:color="000000" w:sz="4" w:space="0"/>
              <w:left w:val="single" w:color="000000" w:sz="4" w:space="0"/>
              <w:bottom w:val="single" w:color="000000" w:sz="4" w:space="0"/>
              <w:right w:val="single" w:color="000000" w:sz="4" w:space="0"/>
            </w:tcBorders>
            <w:vAlign w:val="center"/>
          </w:tcPr>
          <w:p w14:paraId="50D4CDF8">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4711B5D3">
            <w:pPr>
              <w:pStyle w:val="28"/>
              <w:bidi w:val="0"/>
            </w:pPr>
            <w:r>
              <w:t>0.24</w:t>
            </w:r>
          </w:p>
        </w:tc>
        <w:tc>
          <w:tcPr>
            <w:tcW w:w="387" w:type="pct"/>
            <w:tcBorders>
              <w:top w:val="single" w:color="000000" w:sz="4" w:space="0"/>
              <w:left w:val="single" w:color="000000" w:sz="4" w:space="0"/>
              <w:bottom w:val="single" w:color="000000" w:sz="4" w:space="0"/>
              <w:right w:val="single" w:color="000000" w:sz="4" w:space="0"/>
            </w:tcBorders>
            <w:vAlign w:val="center"/>
          </w:tcPr>
          <w:p w14:paraId="4AF2806C">
            <w:pPr>
              <w:pStyle w:val="28"/>
              <w:bidi w:val="0"/>
            </w:pPr>
            <w:r>
              <w:t>1.00</w:t>
            </w:r>
          </w:p>
        </w:tc>
        <w:tc>
          <w:tcPr>
            <w:tcW w:w="354" w:type="pct"/>
            <w:tcBorders>
              <w:top w:val="single" w:color="000000" w:sz="4" w:space="0"/>
              <w:left w:val="single" w:color="000000" w:sz="4" w:space="0"/>
              <w:bottom w:val="single" w:color="000000" w:sz="4" w:space="0"/>
              <w:right w:val="single" w:color="000000" w:sz="4" w:space="0"/>
            </w:tcBorders>
            <w:vAlign w:val="center"/>
          </w:tcPr>
          <w:p w14:paraId="520095E1">
            <w:pPr>
              <w:pStyle w:val="28"/>
              <w:bidi w:val="0"/>
            </w:pPr>
            <w:r>
              <w:t>0.67</w:t>
            </w:r>
          </w:p>
        </w:tc>
        <w:tc>
          <w:tcPr>
            <w:tcW w:w="318" w:type="pct"/>
            <w:tcBorders>
              <w:top w:val="single" w:color="000000" w:sz="4" w:space="0"/>
              <w:left w:val="single" w:color="000000" w:sz="4" w:space="0"/>
              <w:bottom w:val="single" w:color="000000" w:sz="4" w:space="0"/>
              <w:right w:val="single" w:color="000000" w:sz="4" w:space="0"/>
            </w:tcBorders>
            <w:vAlign w:val="center"/>
          </w:tcPr>
          <w:p w14:paraId="6DC05C53">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58548629">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4667FC39">
            <w:pPr>
              <w:pStyle w:val="28"/>
              <w:bidi w:val="0"/>
            </w:pPr>
            <w:r>
              <w:t>3.49</w:t>
            </w:r>
          </w:p>
        </w:tc>
        <w:tc>
          <w:tcPr>
            <w:tcW w:w="387" w:type="pct"/>
            <w:tcBorders>
              <w:top w:val="single" w:color="000000" w:sz="4" w:space="0"/>
              <w:left w:val="single" w:color="000000" w:sz="4" w:space="0"/>
              <w:bottom w:val="single" w:color="000000" w:sz="4" w:space="0"/>
              <w:right w:val="single" w:color="000000" w:sz="4" w:space="0"/>
            </w:tcBorders>
            <w:vAlign w:val="center"/>
          </w:tcPr>
          <w:p w14:paraId="05EBC23F">
            <w:pPr>
              <w:pStyle w:val="28"/>
              <w:bidi w:val="0"/>
            </w:pPr>
            <w:r>
              <w:t>4.49</w:t>
            </w:r>
          </w:p>
        </w:tc>
      </w:tr>
      <w:tr w14:paraId="3264D960">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2B60A8B5">
            <w:pPr>
              <w:pStyle w:val="28"/>
              <w:bidi w:val="0"/>
            </w:pPr>
            <w:r>
              <w:t>27</w:t>
            </w:r>
          </w:p>
        </w:tc>
        <w:tc>
          <w:tcPr>
            <w:tcW w:w="597" w:type="pct"/>
            <w:tcBorders>
              <w:top w:val="single" w:color="000000" w:sz="4" w:space="0"/>
              <w:left w:val="single" w:color="000000" w:sz="4" w:space="0"/>
              <w:bottom w:val="single" w:color="000000" w:sz="4" w:space="0"/>
              <w:right w:val="single" w:color="000000" w:sz="4" w:space="0"/>
            </w:tcBorders>
            <w:vAlign w:val="center"/>
          </w:tcPr>
          <w:p w14:paraId="68C05DED">
            <w:pPr>
              <w:pStyle w:val="28"/>
              <w:bidi w:val="0"/>
            </w:pPr>
            <w:r>
              <w:rPr>
                <w:rFonts w:hint="eastAsia"/>
              </w:rPr>
              <w:t>乌斗支渠工程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16521273">
            <w:pPr>
              <w:pStyle w:val="28"/>
              <w:bidi w:val="0"/>
            </w:pPr>
            <w:r>
              <w:t>霍邱县</w:t>
            </w:r>
          </w:p>
        </w:tc>
        <w:tc>
          <w:tcPr>
            <w:tcW w:w="308" w:type="pct"/>
            <w:tcBorders>
              <w:top w:val="single" w:color="000000" w:sz="4" w:space="0"/>
              <w:left w:val="single" w:color="000000" w:sz="4" w:space="0"/>
              <w:bottom w:val="single" w:color="000000" w:sz="4" w:space="0"/>
              <w:right w:val="single" w:color="000000" w:sz="4" w:space="0"/>
            </w:tcBorders>
            <w:vAlign w:val="center"/>
          </w:tcPr>
          <w:p w14:paraId="0B1145F8">
            <w:pPr>
              <w:pStyle w:val="28"/>
              <w:bidi w:val="0"/>
            </w:pPr>
            <w:r>
              <w:t>17.00</w:t>
            </w:r>
          </w:p>
        </w:tc>
        <w:tc>
          <w:tcPr>
            <w:tcW w:w="386" w:type="pct"/>
            <w:tcBorders>
              <w:top w:val="single" w:color="000000" w:sz="4" w:space="0"/>
              <w:left w:val="single" w:color="000000" w:sz="4" w:space="0"/>
              <w:bottom w:val="single" w:color="000000" w:sz="4" w:space="0"/>
              <w:right w:val="single" w:color="000000" w:sz="4" w:space="0"/>
            </w:tcBorders>
            <w:vAlign w:val="center"/>
          </w:tcPr>
          <w:p w14:paraId="5AB6392C">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133F9260">
            <w:pPr>
              <w:pStyle w:val="28"/>
              <w:bidi w:val="0"/>
            </w:pPr>
            <w:r>
              <w:t>2.64</w:t>
            </w:r>
          </w:p>
        </w:tc>
        <w:tc>
          <w:tcPr>
            <w:tcW w:w="326" w:type="pct"/>
            <w:tcBorders>
              <w:top w:val="single" w:color="000000" w:sz="4" w:space="0"/>
              <w:left w:val="single" w:color="000000" w:sz="4" w:space="0"/>
              <w:bottom w:val="single" w:color="000000" w:sz="4" w:space="0"/>
              <w:right w:val="single" w:color="000000" w:sz="4" w:space="0"/>
            </w:tcBorders>
            <w:vAlign w:val="center"/>
          </w:tcPr>
          <w:p w14:paraId="5562FC50">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78D5DE8D">
            <w:pPr>
              <w:pStyle w:val="28"/>
              <w:bidi w:val="0"/>
            </w:pPr>
            <w:r>
              <w:t>0.50</w:t>
            </w:r>
          </w:p>
        </w:tc>
        <w:tc>
          <w:tcPr>
            <w:tcW w:w="387" w:type="pct"/>
            <w:tcBorders>
              <w:top w:val="single" w:color="000000" w:sz="4" w:space="0"/>
              <w:left w:val="single" w:color="000000" w:sz="4" w:space="0"/>
              <w:bottom w:val="single" w:color="000000" w:sz="4" w:space="0"/>
              <w:right w:val="single" w:color="000000" w:sz="4" w:space="0"/>
            </w:tcBorders>
            <w:vAlign w:val="center"/>
          </w:tcPr>
          <w:p w14:paraId="67F78D7E">
            <w:pPr>
              <w:pStyle w:val="28"/>
              <w:bidi w:val="0"/>
            </w:pPr>
            <w:r>
              <w:t>1.20</w:t>
            </w:r>
          </w:p>
        </w:tc>
        <w:tc>
          <w:tcPr>
            <w:tcW w:w="354" w:type="pct"/>
            <w:tcBorders>
              <w:top w:val="single" w:color="000000" w:sz="4" w:space="0"/>
              <w:left w:val="single" w:color="000000" w:sz="4" w:space="0"/>
              <w:bottom w:val="single" w:color="000000" w:sz="4" w:space="0"/>
              <w:right w:val="single" w:color="000000" w:sz="4" w:space="0"/>
            </w:tcBorders>
            <w:vAlign w:val="center"/>
          </w:tcPr>
          <w:p w14:paraId="2E0B2861">
            <w:pPr>
              <w:pStyle w:val="28"/>
              <w:bidi w:val="0"/>
            </w:pPr>
            <w:r>
              <w:t>3.64</w:t>
            </w:r>
          </w:p>
        </w:tc>
        <w:tc>
          <w:tcPr>
            <w:tcW w:w="318" w:type="pct"/>
            <w:tcBorders>
              <w:top w:val="single" w:color="000000" w:sz="4" w:space="0"/>
              <w:left w:val="single" w:color="000000" w:sz="4" w:space="0"/>
              <w:bottom w:val="single" w:color="000000" w:sz="4" w:space="0"/>
              <w:right w:val="single" w:color="000000" w:sz="4" w:space="0"/>
            </w:tcBorders>
            <w:vAlign w:val="center"/>
          </w:tcPr>
          <w:p w14:paraId="51EE092B">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0857F85D">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34972084">
            <w:pPr>
              <w:pStyle w:val="28"/>
              <w:bidi w:val="0"/>
            </w:pPr>
            <w:r>
              <w:t>7.98</w:t>
            </w:r>
          </w:p>
        </w:tc>
        <w:tc>
          <w:tcPr>
            <w:tcW w:w="387" w:type="pct"/>
            <w:tcBorders>
              <w:top w:val="single" w:color="000000" w:sz="4" w:space="0"/>
              <w:left w:val="single" w:color="000000" w:sz="4" w:space="0"/>
              <w:bottom w:val="single" w:color="000000" w:sz="4" w:space="0"/>
              <w:right w:val="single" w:color="000000" w:sz="4" w:space="0"/>
            </w:tcBorders>
            <w:vAlign w:val="center"/>
          </w:tcPr>
          <w:p w14:paraId="0743A6CA">
            <w:pPr>
              <w:pStyle w:val="28"/>
              <w:bidi w:val="0"/>
            </w:pPr>
            <w:r>
              <w:t>24.98</w:t>
            </w:r>
          </w:p>
        </w:tc>
      </w:tr>
      <w:tr w14:paraId="5CFD17E0">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3EDA40DC">
            <w:pPr>
              <w:pStyle w:val="28"/>
              <w:bidi w:val="0"/>
            </w:pPr>
            <w:r>
              <w:t>28</w:t>
            </w:r>
          </w:p>
        </w:tc>
        <w:tc>
          <w:tcPr>
            <w:tcW w:w="597" w:type="pct"/>
            <w:tcBorders>
              <w:top w:val="single" w:color="000000" w:sz="4" w:space="0"/>
              <w:left w:val="single" w:color="000000" w:sz="4" w:space="0"/>
              <w:bottom w:val="single" w:color="000000" w:sz="4" w:space="0"/>
              <w:right w:val="single" w:color="000000" w:sz="4" w:space="0"/>
            </w:tcBorders>
            <w:vAlign w:val="center"/>
          </w:tcPr>
          <w:p w14:paraId="4FEED626">
            <w:pPr>
              <w:pStyle w:val="28"/>
              <w:bidi w:val="0"/>
            </w:pPr>
            <w:r>
              <w:rPr>
                <w:rFonts w:hint="eastAsia"/>
              </w:rPr>
              <w:t>舒庐干渠</w:t>
            </w:r>
            <w:r>
              <w:t>7</w:t>
            </w:r>
            <w:r>
              <w:rPr>
                <w:rFonts w:hint="eastAsia"/>
              </w:rPr>
              <w:t>座水闸工程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5C61E2BC">
            <w:pPr>
              <w:pStyle w:val="28"/>
              <w:bidi w:val="0"/>
            </w:pPr>
            <w:r>
              <w:t>庐江县</w:t>
            </w:r>
          </w:p>
        </w:tc>
        <w:tc>
          <w:tcPr>
            <w:tcW w:w="308" w:type="pct"/>
            <w:tcBorders>
              <w:top w:val="single" w:color="000000" w:sz="4" w:space="0"/>
              <w:left w:val="single" w:color="000000" w:sz="4" w:space="0"/>
              <w:bottom w:val="single" w:color="000000" w:sz="4" w:space="0"/>
              <w:right w:val="single" w:color="000000" w:sz="4" w:space="0"/>
            </w:tcBorders>
            <w:vAlign w:val="center"/>
          </w:tcPr>
          <w:p w14:paraId="5C903E34">
            <w:pPr>
              <w:pStyle w:val="28"/>
              <w:bidi w:val="0"/>
            </w:pPr>
            <w:r>
              <w:t>0.41</w:t>
            </w:r>
          </w:p>
        </w:tc>
        <w:tc>
          <w:tcPr>
            <w:tcW w:w="386" w:type="pct"/>
            <w:tcBorders>
              <w:top w:val="single" w:color="000000" w:sz="4" w:space="0"/>
              <w:left w:val="single" w:color="000000" w:sz="4" w:space="0"/>
              <w:bottom w:val="single" w:color="000000" w:sz="4" w:space="0"/>
              <w:right w:val="single" w:color="000000" w:sz="4" w:space="0"/>
            </w:tcBorders>
            <w:vAlign w:val="center"/>
          </w:tcPr>
          <w:p w14:paraId="73285CFE">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10C673BF">
            <w:pPr>
              <w:pStyle w:val="28"/>
              <w:bidi w:val="0"/>
            </w:pPr>
            <w:r>
              <w:t>1.3</w:t>
            </w:r>
          </w:p>
        </w:tc>
        <w:tc>
          <w:tcPr>
            <w:tcW w:w="326" w:type="pct"/>
            <w:tcBorders>
              <w:top w:val="single" w:color="000000" w:sz="4" w:space="0"/>
              <w:left w:val="single" w:color="000000" w:sz="4" w:space="0"/>
              <w:bottom w:val="single" w:color="000000" w:sz="4" w:space="0"/>
              <w:right w:val="single" w:color="000000" w:sz="4" w:space="0"/>
            </w:tcBorders>
            <w:vAlign w:val="center"/>
          </w:tcPr>
          <w:p w14:paraId="5132351B">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58D296E8">
            <w:pPr>
              <w:pStyle w:val="28"/>
              <w:bidi w:val="0"/>
            </w:pPr>
            <w:r>
              <w:t>0.75</w:t>
            </w:r>
          </w:p>
        </w:tc>
        <w:tc>
          <w:tcPr>
            <w:tcW w:w="387" w:type="pct"/>
            <w:tcBorders>
              <w:top w:val="single" w:color="000000" w:sz="4" w:space="0"/>
              <w:left w:val="single" w:color="000000" w:sz="4" w:space="0"/>
              <w:bottom w:val="single" w:color="000000" w:sz="4" w:space="0"/>
              <w:right w:val="single" w:color="000000" w:sz="4" w:space="0"/>
            </w:tcBorders>
            <w:vAlign w:val="center"/>
          </w:tcPr>
          <w:p w14:paraId="119498A4">
            <w:pPr>
              <w:pStyle w:val="28"/>
              <w:bidi w:val="0"/>
            </w:pPr>
            <w:r>
              <w:t>0.21</w:t>
            </w:r>
          </w:p>
        </w:tc>
        <w:tc>
          <w:tcPr>
            <w:tcW w:w="354" w:type="pct"/>
            <w:tcBorders>
              <w:top w:val="single" w:color="000000" w:sz="4" w:space="0"/>
              <w:left w:val="single" w:color="000000" w:sz="4" w:space="0"/>
              <w:bottom w:val="single" w:color="000000" w:sz="4" w:space="0"/>
              <w:right w:val="single" w:color="000000" w:sz="4" w:space="0"/>
            </w:tcBorders>
            <w:vAlign w:val="center"/>
          </w:tcPr>
          <w:p w14:paraId="2D26176E">
            <w:pPr>
              <w:pStyle w:val="28"/>
              <w:bidi w:val="0"/>
            </w:pPr>
            <w:r>
              <w:t>1.50</w:t>
            </w:r>
          </w:p>
        </w:tc>
        <w:tc>
          <w:tcPr>
            <w:tcW w:w="318" w:type="pct"/>
            <w:tcBorders>
              <w:top w:val="single" w:color="000000" w:sz="4" w:space="0"/>
              <w:left w:val="single" w:color="000000" w:sz="4" w:space="0"/>
              <w:bottom w:val="single" w:color="000000" w:sz="4" w:space="0"/>
              <w:right w:val="single" w:color="000000" w:sz="4" w:space="0"/>
            </w:tcBorders>
            <w:vAlign w:val="center"/>
          </w:tcPr>
          <w:p w14:paraId="7BF195B0">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42EBC5BB">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4699BC4E">
            <w:pPr>
              <w:pStyle w:val="28"/>
              <w:bidi w:val="0"/>
            </w:pPr>
            <w:r>
              <w:t>3.76</w:t>
            </w:r>
          </w:p>
        </w:tc>
        <w:tc>
          <w:tcPr>
            <w:tcW w:w="387" w:type="pct"/>
            <w:tcBorders>
              <w:top w:val="single" w:color="000000" w:sz="4" w:space="0"/>
              <w:left w:val="single" w:color="000000" w:sz="4" w:space="0"/>
              <w:bottom w:val="single" w:color="000000" w:sz="4" w:space="0"/>
              <w:right w:val="single" w:color="000000" w:sz="4" w:space="0"/>
            </w:tcBorders>
            <w:vAlign w:val="center"/>
          </w:tcPr>
          <w:p w14:paraId="7D182E2D">
            <w:pPr>
              <w:pStyle w:val="28"/>
              <w:bidi w:val="0"/>
            </w:pPr>
            <w:r>
              <w:t>4.17</w:t>
            </w:r>
          </w:p>
        </w:tc>
      </w:tr>
      <w:tr w14:paraId="7B120DD2">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54EDCB0E">
            <w:pPr>
              <w:pStyle w:val="28"/>
              <w:bidi w:val="0"/>
            </w:pPr>
            <w:r>
              <w:t>29</w:t>
            </w:r>
          </w:p>
        </w:tc>
        <w:tc>
          <w:tcPr>
            <w:tcW w:w="597" w:type="pct"/>
            <w:tcBorders>
              <w:top w:val="single" w:color="000000" w:sz="4" w:space="0"/>
              <w:left w:val="single" w:color="000000" w:sz="4" w:space="0"/>
              <w:bottom w:val="single" w:color="000000" w:sz="4" w:space="0"/>
              <w:right w:val="single" w:color="000000" w:sz="4" w:space="0"/>
            </w:tcBorders>
            <w:vAlign w:val="center"/>
          </w:tcPr>
          <w:p w14:paraId="2F2AE154">
            <w:pPr>
              <w:pStyle w:val="28"/>
              <w:bidi w:val="0"/>
            </w:pPr>
            <w:r>
              <w:rPr>
                <w:rFonts w:hint="eastAsia"/>
              </w:rPr>
              <w:t>杭北干渠工程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7FD13394">
            <w:pPr>
              <w:pStyle w:val="28"/>
              <w:bidi w:val="0"/>
            </w:pPr>
            <w:r>
              <w:t>舒城县</w:t>
            </w:r>
          </w:p>
        </w:tc>
        <w:tc>
          <w:tcPr>
            <w:tcW w:w="308" w:type="pct"/>
            <w:tcBorders>
              <w:top w:val="single" w:color="000000" w:sz="4" w:space="0"/>
              <w:left w:val="single" w:color="000000" w:sz="4" w:space="0"/>
              <w:bottom w:val="single" w:color="000000" w:sz="4" w:space="0"/>
              <w:right w:val="single" w:color="000000" w:sz="4" w:space="0"/>
            </w:tcBorders>
            <w:vAlign w:val="center"/>
          </w:tcPr>
          <w:p w14:paraId="0AD01D5C">
            <w:pPr>
              <w:pStyle w:val="28"/>
              <w:bidi w:val="0"/>
            </w:pPr>
            <w:r>
              <w:t>8.41</w:t>
            </w:r>
          </w:p>
        </w:tc>
        <w:tc>
          <w:tcPr>
            <w:tcW w:w="386" w:type="pct"/>
            <w:tcBorders>
              <w:top w:val="single" w:color="000000" w:sz="4" w:space="0"/>
              <w:left w:val="single" w:color="000000" w:sz="4" w:space="0"/>
              <w:bottom w:val="single" w:color="000000" w:sz="4" w:space="0"/>
              <w:right w:val="single" w:color="000000" w:sz="4" w:space="0"/>
            </w:tcBorders>
            <w:vAlign w:val="center"/>
          </w:tcPr>
          <w:p w14:paraId="23E4C957">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7F2AE250">
            <w:pPr>
              <w:pStyle w:val="28"/>
              <w:bidi w:val="0"/>
            </w:pPr>
            <w:r>
              <w:t>3.18</w:t>
            </w:r>
          </w:p>
        </w:tc>
        <w:tc>
          <w:tcPr>
            <w:tcW w:w="326" w:type="pct"/>
            <w:tcBorders>
              <w:top w:val="single" w:color="000000" w:sz="4" w:space="0"/>
              <w:left w:val="single" w:color="000000" w:sz="4" w:space="0"/>
              <w:bottom w:val="single" w:color="000000" w:sz="4" w:space="0"/>
              <w:right w:val="single" w:color="000000" w:sz="4" w:space="0"/>
            </w:tcBorders>
            <w:vAlign w:val="center"/>
          </w:tcPr>
          <w:p w14:paraId="63A1CAA2">
            <w:pPr>
              <w:pStyle w:val="28"/>
              <w:bidi w:val="0"/>
            </w:pPr>
            <w:r>
              <w:t>0</w:t>
            </w:r>
          </w:p>
        </w:tc>
        <w:tc>
          <w:tcPr>
            <w:tcW w:w="354" w:type="pct"/>
            <w:tcBorders>
              <w:top w:val="single" w:color="000000" w:sz="4" w:space="0"/>
              <w:left w:val="single" w:color="000000" w:sz="4" w:space="0"/>
              <w:bottom w:val="single" w:color="000000" w:sz="4" w:space="0"/>
              <w:right w:val="single" w:color="000000" w:sz="4" w:space="0"/>
            </w:tcBorders>
            <w:vAlign w:val="center"/>
          </w:tcPr>
          <w:p w14:paraId="471E3709">
            <w:pPr>
              <w:pStyle w:val="28"/>
              <w:bidi w:val="0"/>
            </w:pPr>
            <w:r>
              <w:t>0.78</w:t>
            </w:r>
          </w:p>
        </w:tc>
        <w:tc>
          <w:tcPr>
            <w:tcW w:w="387" w:type="pct"/>
            <w:tcBorders>
              <w:top w:val="single" w:color="000000" w:sz="4" w:space="0"/>
              <w:left w:val="single" w:color="000000" w:sz="4" w:space="0"/>
              <w:bottom w:val="single" w:color="000000" w:sz="4" w:space="0"/>
              <w:right w:val="single" w:color="000000" w:sz="4" w:space="0"/>
            </w:tcBorders>
            <w:vAlign w:val="center"/>
          </w:tcPr>
          <w:p w14:paraId="6594DE63">
            <w:pPr>
              <w:pStyle w:val="28"/>
              <w:bidi w:val="0"/>
            </w:pPr>
            <w:r>
              <w:t>2.00</w:t>
            </w:r>
          </w:p>
        </w:tc>
        <w:tc>
          <w:tcPr>
            <w:tcW w:w="354" w:type="pct"/>
            <w:tcBorders>
              <w:top w:val="single" w:color="000000" w:sz="4" w:space="0"/>
              <w:left w:val="single" w:color="000000" w:sz="4" w:space="0"/>
              <w:bottom w:val="single" w:color="000000" w:sz="4" w:space="0"/>
              <w:right w:val="single" w:color="000000" w:sz="4" w:space="0"/>
            </w:tcBorders>
            <w:vAlign w:val="center"/>
          </w:tcPr>
          <w:p w14:paraId="64C76865">
            <w:pPr>
              <w:pStyle w:val="28"/>
              <w:bidi w:val="0"/>
            </w:pPr>
            <w:r>
              <w:t>0.07</w:t>
            </w:r>
          </w:p>
        </w:tc>
        <w:tc>
          <w:tcPr>
            <w:tcW w:w="318" w:type="pct"/>
            <w:tcBorders>
              <w:top w:val="single" w:color="000000" w:sz="4" w:space="0"/>
              <w:left w:val="single" w:color="000000" w:sz="4" w:space="0"/>
              <w:bottom w:val="single" w:color="000000" w:sz="4" w:space="0"/>
              <w:right w:val="single" w:color="000000" w:sz="4" w:space="0"/>
            </w:tcBorders>
            <w:vAlign w:val="center"/>
          </w:tcPr>
          <w:p w14:paraId="26AF6A31">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04737E1A">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57E9FDFA">
            <w:pPr>
              <w:pStyle w:val="28"/>
              <w:bidi w:val="0"/>
            </w:pPr>
            <w:r>
              <w:t>6.03</w:t>
            </w:r>
          </w:p>
        </w:tc>
        <w:tc>
          <w:tcPr>
            <w:tcW w:w="387" w:type="pct"/>
            <w:tcBorders>
              <w:top w:val="single" w:color="000000" w:sz="4" w:space="0"/>
              <w:left w:val="single" w:color="000000" w:sz="4" w:space="0"/>
              <w:bottom w:val="single" w:color="000000" w:sz="4" w:space="0"/>
              <w:right w:val="single" w:color="000000" w:sz="4" w:space="0"/>
            </w:tcBorders>
            <w:vAlign w:val="center"/>
          </w:tcPr>
          <w:p w14:paraId="571A198C">
            <w:pPr>
              <w:pStyle w:val="28"/>
              <w:bidi w:val="0"/>
            </w:pPr>
            <w:r>
              <w:t>14.44</w:t>
            </w:r>
          </w:p>
        </w:tc>
      </w:tr>
      <w:tr w14:paraId="64FAD6DC">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14706251">
            <w:pPr>
              <w:pStyle w:val="28"/>
              <w:bidi w:val="0"/>
            </w:pPr>
            <w:r>
              <w:t>30</w:t>
            </w:r>
          </w:p>
        </w:tc>
        <w:tc>
          <w:tcPr>
            <w:tcW w:w="597" w:type="pct"/>
            <w:tcBorders>
              <w:top w:val="single" w:color="000000" w:sz="4" w:space="0"/>
              <w:left w:val="single" w:color="000000" w:sz="4" w:space="0"/>
              <w:bottom w:val="single" w:color="000000" w:sz="4" w:space="0"/>
              <w:right w:val="single" w:color="000000" w:sz="4" w:space="0"/>
            </w:tcBorders>
            <w:vAlign w:val="center"/>
          </w:tcPr>
          <w:p w14:paraId="6199EBF6">
            <w:pPr>
              <w:pStyle w:val="28"/>
              <w:bidi w:val="0"/>
            </w:pPr>
            <w:r>
              <w:rPr>
                <w:rFonts w:hint="eastAsia"/>
              </w:rPr>
              <w:t>沙胜支渠工程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37AF4B98">
            <w:pPr>
              <w:pStyle w:val="28"/>
              <w:bidi w:val="0"/>
            </w:pPr>
            <w:r>
              <w:t>庐江县</w:t>
            </w:r>
          </w:p>
        </w:tc>
        <w:tc>
          <w:tcPr>
            <w:tcW w:w="308" w:type="pct"/>
            <w:tcBorders>
              <w:top w:val="single" w:color="000000" w:sz="4" w:space="0"/>
              <w:left w:val="single" w:color="000000" w:sz="4" w:space="0"/>
              <w:bottom w:val="single" w:color="000000" w:sz="4" w:space="0"/>
              <w:right w:val="single" w:color="000000" w:sz="4" w:space="0"/>
            </w:tcBorders>
            <w:vAlign w:val="center"/>
          </w:tcPr>
          <w:p w14:paraId="631181FB">
            <w:pPr>
              <w:pStyle w:val="28"/>
              <w:bidi w:val="0"/>
            </w:pPr>
            <w:r>
              <w:t>11.04</w:t>
            </w:r>
          </w:p>
        </w:tc>
        <w:tc>
          <w:tcPr>
            <w:tcW w:w="386" w:type="pct"/>
            <w:tcBorders>
              <w:top w:val="single" w:color="000000" w:sz="4" w:space="0"/>
              <w:left w:val="single" w:color="000000" w:sz="4" w:space="0"/>
              <w:bottom w:val="single" w:color="000000" w:sz="4" w:space="0"/>
              <w:right w:val="single" w:color="000000" w:sz="4" w:space="0"/>
            </w:tcBorders>
            <w:vAlign w:val="center"/>
          </w:tcPr>
          <w:p w14:paraId="39BD4D0C">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19FAA881">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30F3990C">
            <w:pPr>
              <w:pStyle w:val="28"/>
              <w:bidi w:val="0"/>
            </w:pPr>
            <w:r>
              <w:t>11.4</w:t>
            </w:r>
          </w:p>
        </w:tc>
        <w:tc>
          <w:tcPr>
            <w:tcW w:w="354" w:type="pct"/>
            <w:tcBorders>
              <w:top w:val="single" w:color="000000" w:sz="4" w:space="0"/>
              <w:left w:val="single" w:color="000000" w:sz="4" w:space="0"/>
              <w:bottom w:val="single" w:color="000000" w:sz="4" w:space="0"/>
              <w:right w:val="single" w:color="000000" w:sz="4" w:space="0"/>
            </w:tcBorders>
            <w:vAlign w:val="center"/>
          </w:tcPr>
          <w:p w14:paraId="6D6385BD">
            <w:pPr>
              <w:pStyle w:val="28"/>
              <w:bidi w:val="0"/>
            </w:pPr>
            <w:r>
              <w:t>—</w:t>
            </w:r>
          </w:p>
        </w:tc>
        <w:tc>
          <w:tcPr>
            <w:tcW w:w="387" w:type="pct"/>
            <w:tcBorders>
              <w:top w:val="single" w:color="000000" w:sz="4" w:space="0"/>
              <w:left w:val="single" w:color="000000" w:sz="4" w:space="0"/>
              <w:bottom w:val="single" w:color="000000" w:sz="4" w:space="0"/>
              <w:right w:val="single" w:color="000000" w:sz="4" w:space="0"/>
            </w:tcBorders>
            <w:vAlign w:val="center"/>
          </w:tcPr>
          <w:p w14:paraId="4E39A00E">
            <w:pPr>
              <w:pStyle w:val="28"/>
              <w:bidi w:val="0"/>
            </w:pPr>
            <w:r>
              <w:t>0.09</w:t>
            </w:r>
          </w:p>
        </w:tc>
        <w:tc>
          <w:tcPr>
            <w:tcW w:w="354" w:type="pct"/>
            <w:tcBorders>
              <w:top w:val="single" w:color="000000" w:sz="4" w:space="0"/>
              <w:left w:val="single" w:color="000000" w:sz="4" w:space="0"/>
              <w:bottom w:val="single" w:color="000000" w:sz="4" w:space="0"/>
              <w:right w:val="single" w:color="000000" w:sz="4" w:space="0"/>
            </w:tcBorders>
            <w:vAlign w:val="center"/>
          </w:tcPr>
          <w:p w14:paraId="33FB3A40">
            <w:pPr>
              <w:pStyle w:val="28"/>
              <w:bidi w:val="0"/>
            </w:pPr>
            <w:r>
              <w:t>1.75</w:t>
            </w:r>
          </w:p>
        </w:tc>
        <w:tc>
          <w:tcPr>
            <w:tcW w:w="318" w:type="pct"/>
            <w:tcBorders>
              <w:top w:val="single" w:color="000000" w:sz="4" w:space="0"/>
              <w:left w:val="single" w:color="000000" w:sz="4" w:space="0"/>
              <w:bottom w:val="single" w:color="000000" w:sz="4" w:space="0"/>
              <w:right w:val="single" w:color="000000" w:sz="4" w:space="0"/>
            </w:tcBorders>
            <w:vAlign w:val="center"/>
          </w:tcPr>
          <w:p w14:paraId="5B97B452">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272D4504">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4F13C354">
            <w:pPr>
              <w:pStyle w:val="28"/>
              <w:bidi w:val="0"/>
            </w:pPr>
            <w:r>
              <w:t>13.23</w:t>
            </w:r>
          </w:p>
        </w:tc>
        <w:tc>
          <w:tcPr>
            <w:tcW w:w="387" w:type="pct"/>
            <w:tcBorders>
              <w:top w:val="single" w:color="000000" w:sz="4" w:space="0"/>
              <w:left w:val="single" w:color="000000" w:sz="4" w:space="0"/>
              <w:bottom w:val="single" w:color="000000" w:sz="4" w:space="0"/>
              <w:right w:val="single" w:color="000000" w:sz="4" w:space="0"/>
            </w:tcBorders>
            <w:vAlign w:val="center"/>
          </w:tcPr>
          <w:p w14:paraId="1C0F4D71">
            <w:pPr>
              <w:pStyle w:val="28"/>
              <w:bidi w:val="0"/>
            </w:pPr>
            <w:r>
              <w:t>24.27</w:t>
            </w:r>
          </w:p>
        </w:tc>
      </w:tr>
      <w:tr w14:paraId="409E57A9">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1D84E3CA">
            <w:pPr>
              <w:pStyle w:val="28"/>
              <w:bidi w:val="0"/>
            </w:pPr>
            <w:r>
              <w:t>31</w:t>
            </w:r>
          </w:p>
        </w:tc>
        <w:tc>
          <w:tcPr>
            <w:tcW w:w="597" w:type="pct"/>
            <w:tcBorders>
              <w:top w:val="single" w:color="000000" w:sz="4" w:space="0"/>
              <w:left w:val="single" w:color="000000" w:sz="4" w:space="0"/>
              <w:bottom w:val="single" w:color="000000" w:sz="4" w:space="0"/>
              <w:right w:val="single" w:color="000000" w:sz="4" w:space="0"/>
            </w:tcBorders>
            <w:vAlign w:val="center"/>
          </w:tcPr>
          <w:p w14:paraId="7279BA2E">
            <w:pPr>
              <w:pStyle w:val="28"/>
              <w:bidi w:val="0"/>
            </w:pPr>
            <w:r>
              <w:rPr>
                <w:rFonts w:hint="eastAsia"/>
              </w:rPr>
              <w:t>乐桥支渠工程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65F94D5A">
            <w:pPr>
              <w:pStyle w:val="28"/>
              <w:bidi w:val="0"/>
            </w:pPr>
            <w:r>
              <w:t>庐江县</w:t>
            </w:r>
          </w:p>
        </w:tc>
        <w:tc>
          <w:tcPr>
            <w:tcW w:w="308" w:type="pct"/>
            <w:tcBorders>
              <w:top w:val="single" w:color="000000" w:sz="4" w:space="0"/>
              <w:left w:val="single" w:color="000000" w:sz="4" w:space="0"/>
              <w:bottom w:val="single" w:color="000000" w:sz="4" w:space="0"/>
              <w:right w:val="single" w:color="000000" w:sz="4" w:space="0"/>
            </w:tcBorders>
            <w:vAlign w:val="center"/>
          </w:tcPr>
          <w:p w14:paraId="675745DE">
            <w:pPr>
              <w:pStyle w:val="28"/>
              <w:bidi w:val="0"/>
            </w:pPr>
            <w:r>
              <w:t>6.32</w:t>
            </w:r>
          </w:p>
        </w:tc>
        <w:tc>
          <w:tcPr>
            <w:tcW w:w="386" w:type="pct"/>
            <w:tcBorders>
              <w:top w:val="single" w:color="000000" w:sz="4" w:space="0"/>
              <w:left w:val="single" w:color="000000" w:sz="4" w:space="0"/>
              <w:bottom w:val="single" w:color="000000" w:sz="4" w:space="0"/>
              <w:right w:val="single" w:color="000000" w:sz="4" w:space="0"/>
            </w:tcBorders>
            <w:vAlign w:val="center"/>
          </w:tcPr>
          <w:p w14:paraId="0398488B">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3E6F5E72">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5236C283">
            <w:pPr>
              <w:pStyle w:val="28"/>
              <w:bidi w:val="0"/>
            </w:pPr>
            <w:r>
              <w:t>1.44</w:t>
            </w:r>
          </w:p>
        </w:tc>
        <w:tc>
          <w:tcPr>
            <w:tcW w:w="354" w:type="pct"/>
            <w:tcBorders>
              <w:top w:val="single" w:color="000000" w:sz="4" w:space="0"/>
              <w:left w:val="single" w:color="000000" w:sz="4" w:space="0"/>
              <w:bottom w:val="single" w:color="000000" w:sz="4" w:space="0"/>
              <w:right w:val="single" w:color="000000" w:sz="4" w:space="0"/>
            </w:tcBorders>
            <w:vAlign w:val="center"/>
          </w:tcPr>
          <w:p w14:paraId="358B3BF3">
            <w:pPr>
              <w:pStyle w:val="28"/>
              <w:bidi w:val="0"/>
            </w:pPr>
            <w:r>
              <w:t>—</w:t>
            </w:r>
          </w:p>
        </w:tc>
        <w:tc>
          <w:tcPr>
            <w:tcW w:w="387" w:type="pct"/>
            <w:tcBorders>
              <w:top w:val="single" w:color="000000" w:sz="4" w:space="0"/>
              <w:left w:val="single" w:color="000000" w:sz="4" w:space="0"/>
              <w:bottom w:val="single" w:color="000000" w:sz="4" w:space="0"/>
              <w:right w:val="single" w:color="000000" w:sz="4" w:space="0"/>
            </w:tcBorders>
            <w:vAlign w:val="center"/>
          </w:tcPr>
          <w:p w14:paraId="1661B0BA">
            <w:pPr>
              <w:pStyle w:val="28"/>
              <w:bidi w:val="0"/>
            </w:pPr>
            <w:r>
              <w:t>0.09</w:t>
            </w:r>
          </w:p>
        </w:tc>
        <w:tc>
          <w:tcPr>
            <w:tcW w:w="354" w:type="pct"/>
            <w:tcBorders>
              <w:top w:val="single" w:color="000000" w:sz="4" w:space="0"/>
              <w:left w:val="single" w:color="000000" w:sz="4" w:space="0"/>
              <w:bottom w:val="single" w:color="000000" w:sz="4" w:space="0"/>
              <w:right w:val="single" w:color="000000" w:sz="4" w:space="0"/>
            </w:tcBorders>
            <w:vAlign w:val="center"/>
          </w:tcPr>
          <w:p w14:paraId="7F37A53B">
            <w:pPr>
              <w:pStyle w:val="28"/>
              <w:bidi w:val="0"/>
            </w:pPr>
            <w:r>
              <w:t>1.22</w:t>
            </w:r>
          </w:p>
        </w:tc>
        <w:tc>
          <w:tcPr>
            <w:tcW w:w="318" w:type="pct"/>
            <w:tcBorders>
              <w:top w:val="single" w:color="000000" w:sz="4" w:space="0"/>
              <w:left w:val="single" w:color="000000" w:sz="4" w:space="0"/>
              <w:bottom w:val="single" w:color="000000" w:sz="4" w:space="0"/>
              <w:right w:val="single" w:color="000000" w:sz="4" w:space="0"/>
            </w:tcBorders>
            <w:vAlign w:val="center"/>
          </w:tcPr>
          <w:p w14:paraId="5E020B2E">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10693701">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484D6B79">
            <w:pPr>
              <w:pStyle w:val="28"/>
              <w:bidi w:val="0"/>
            </w:pPr>
            <w:r>
              <w:t>2.75</w:t>
            </w:r>
          </w:p>
        </w:tc>
        <w:tc>
          <w:tcPr>
            <w:tcW w:w="387" w:type="pct"/>
            <w:tcBorders>
              <w:top w:val="single" w:color="000000" w:sz="4" w:space="0"/>
              <w:left w:val="single" w:color="000000" w:sz="4" w:space="0"/>
              <w:bottom w:val="single" w:color="000000" w:sz="4" w:space="0"/>
              <w:right w:val="single" w:color="000000" w:sz="4" w:space="0"/>
            </w:tcBorders>
            <w:vAlign w:val="center"/>
          </w:tcPr>
          <w:p w14:paraId="28BE162B">
            <w:pPr>
              <w:pStyle w:val="28"/>
              <w:bidi w:val="0"/>
            </w:pPr>
            <w:r>
              <w:t>9.07</w:t>
            </w:r>
          </w:p>
        </w:tc>
      </w:tr>
      <w:tr w14:paraId="457595C5">
        <w:tblPrEx>
          <w:tblCellMar>
            <w:top w:w="0" w:type="dxa"/>
            <w:left w:w="108" w:type="dxa"/>
            <w:bottom w:w="0" w:type="dxa"/>
            <w:right w:w="108" w:type="dxa"/>
          </w:tblCellMar>
        </w:tblPrEx>
        <w:trPr>
          <w:trHeight w:val="340" w:hRule="atLeast"/>
          <w:jc w:val="center"/>
        </w:trPr>
        <w:tc>
          <w:tcPr>
            <w:tcW w:w="263" w:type="pct"/>
            <w:tcBorders>
              <w:top w:val="single" w:color="000000" w:sz="4" w:space="0"/>
              <w:left w:val="single" w:color="000000" w:sz="4" w:space="0"/>
              <w:bottom w:val="single" w:color="000000" w:sz="4" w:space="0"/>
              <w:right w:val="single" w:color="000000" w:sz="4" w:space="0"/>
            </w:tcBorders>
            <w:vAlign w:val="center"/>
          </w:tcPr>
          <w:p w14:paraId="5DB96E4E">
            <w:pPr>
              <w:pStyle w:val="28"/>
              <w:bidi w:val="0"/>
            </w:pPr>
            <w:r>
              <w:t>32</w:t>
            </w:r>
          </w:p>
        </w:tc>
        <w:tc>
          <w:tcPr>
            <w:tcW w:w="597" w:type="pct"/>
            <w:tcBorders>
              <w:top w:val="single" w:color="000000" w:sz="4" w:space="0"/>
              <w:left w:val="single" w:color="000000" w:sz="4" w:space="0"/>
              <w:bottom w:val="single" w:color="000000" w:sz="4" w:space="0"/>
              <w:right w:val="single" w:color="000000" w:sz="4" w:space="0"/>
            </w:tcBorders>
            <w:vAlign w:val="center"/>
          </w:tcPr>
          <w:p w14:paraId="4B24F300">
            <w:pPr>
              <w:pStyle w:val="28"/>
              <w:bidi w:val="0"/>
            </w:pPr>
            <w:r>
              <w:rPr>
                <w:rFonts w:hint="eastAsia"/>
              </w:rPr>
              <w:t>马田支渠工程</w:t>
            </w:r>
          </w:p>
        </w:tc>
        <w:tc>
          <w:tcPr>
            <w:tcW w:w="263" w:type="pct"/>
            <w:tcBorders>
              <w:top w:val="single" w:color="000000" w:sz="4" w:space="0"/>
              <w:left w:val="single" w:color="000000" w:sz="4" w:space="0"/>
              <w:bottom w:val="single" w:color="000000" w:sz="4" w:space="0"/>
              <w:right w:val="single" w:color="000000" w:sz="4" w:space="0"/>
            </w:tcBorders>
            <w:vAlign w:val="center"/>
          </w:tcPr>
          <w:p w14:paraId="0E4B27D6">
            <w:pPr>
              <w:pStyle w:val="28"/>
              <w:bidi w:val="0"/>
            </w:pPr>
            <w:r>
              <w:t>庐江县</w:t>
            </w:r>
          </w:p>
        </w:tc>
        <w:tc>
          <w:tcPr>
            <w:tcW w:w="308" w:type="pct"/>
            <w:tcBorders>
              <w:top w:val="single" w:color="000000" w:sz="4" w:space="0"/>
              <w:left w:val="single" w:color="000000" w:sz="4" w:space="0"/>
              <w:bottom w:val="single" w:color="000000" w:sz="4" w:space="0"/>
              <w:right w:val="single" w:color="000000" w:sz="4" w:space="0"/>
            </w:tcBorders>
            <w:vAlign w:val="center"/>
          </w:tcPr>
          <w:p w14:paraId="63AB635E">
            <w:pPr>
              <w:pStyle w:val="28"/>
              <w:bidi w:val="0"/>
            </w:pPr>
            <w:r>
              <w:t>3.65</w:t>
            </w:r>
          </w:p>
        </w:tc>
        <w:tc>
          <w:tcPr>
            <w:tcW w:w="386" w:type="pct"/>
            <w:tcBorders>
              <w:top w:val="single" w:color="000000" w:sz="4" w:space="0"/>
              <w:left w:val="single" w:color="000000" w:sz="4" w:space="0"/>
              <w:bottom w:val="single" w:color="000000" w:sz="4" w:space="0"/>
              <w:right w:val="single" w:color="000000" w:sz="4" w:space="0"/>
            </w:tcBorders>
            <w:vAlign w:val="center"/>
          </w:tcPr>
          <w:p w14:paraId="53B72E72">
            <w:pPr>
              <w:pStyle w:val="28"/>
              <w:bidi w:val="0"/>
            </w:pPr>
            <w:r>
              <w:t>0</w:t>
            </w:r>
          </w:p>
        </w:tc>
        <w:tc>
          <w:tcPr>
            <w:tcW w:w="310" w:type="pct"/>
            <w:tcBorders>
              <w:top w:val="single" w:color="000000" w:sz="4" w:space="0"/>
              <w:left w:val="single" w:color="000000" w:sz="4" w:space="0"/>
              <w:bottom w:val="single" w:color="000000" w:sz="4" w:space="0"/>
              <w:right w:val="single" w:color="000000" w:sz="4" w:space="0"/>
            </w:tcBorders>
            <w:vAlign w:val="center"/>
          </w:tcPr>
          <w:p w14:paraId="7A13B776">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0677F213">
            <w:pPr>
              <w:pStyle w:val="28"/>
              <w:bidi w:val="0"/>
            </w:pPr>
            <w:r>
              <w:t>0.9</w:t>
            </w:r>
          </w:p>
        </w:tc>
        <w:tc>
          <w:tcPr>
            <w:tcW w:w="354" w:type="pct"/>
            <w:tcBorders>
              <w:top w:val="single" w:color="000000" w:sz="4" w:space="0"/>
              <w:left w:val="single" w:color="000000" w:sz="4" w:space="0"/>
              <w:bottom w:val="single" w:color="000000" w:sz="4" w:space="0"/>
              <w:right w:val="single" w:color="000000" w:sz="4" w:space="0"/>
            </w:tcBorders>
            <w:vAlign w:val="center"/>
          </w:tcPr>
          <w:p w14:paraId="1ABD2CC5">
            <w:pPr>
              <w:pStyle w:val="28"/>
              <w:bidi w:val="0"/>
            </w:pPr>
            <w:r>
              <w:t>—</w:t>
            </w:r>
          </w:p>
        </w:tc>
        <w:tc>
          <w:tcPr>
            <w:tcW w:w="387" w:type="pct"/>
            <w:tcBorders>
              <w:top w:val="single" w:color="000000" w:sz="4" w:space="0"/>
              <w:left w:val="single" w:color="000000" w:sz="4" w:space="0"/>
              <w:bottom w:val="single" w:color="000000" w:sz="4" w:space="0"/>
              <w:right w:val="single" w:color="000000" w:sz="4" w:space="0"/>
            </w:tcBorders>
            <w:vAlign w:val="center"/>
          </w:tcPr>
          <w:p w14:paraId="654EAB82">
            <w:pPr>
              <w:pStyle w:val="28"/>
              <w:bidi w:val="0"/>
            </w:pPr>
            <w:r>
              <w:t>0.03</w:t>
            </w:r>
          </w:p>
        </w:tc>
        <w:tc>
          <w:tcPr>
            <w:tcW w:w="354" w:type="pct"/>
            <w:tcBorders>
              <w:top w:val="single" w:color="000000" w:sz="4" w:space="0"/>
              <w:left w:val="single" w:color="000000" w:sz="4" w:space="0"/>
              <w:bottom w:val="single" w:color="000000" w:sz="4" w:space="0"/>
              <w:right w:val="single" w:color="000000" w:sz="4" w:space="0"/>
            </w:tcBorders>
            <w:vAlign w:val="center"/>
          </w:tcPr>
          <w:p w14:paraId="18E85DBA">
            <w:pPr>
              <w:pStyle w:val="28"/>
              <w:bidi w:val="0"/>
            </w:pPr>
            <w:r>
              <w:t>0.15</w:t>
            </w:r>
          </w:p>
        </w:tc>
        <w:tc>
          <w:tcPr>
            <w:tcW w:w="318" w:type="pct"/>
            <w:tcBorders>
              <w:top w:val="single" w:color="000000" w:sz="4" w:space="0"/>
              <w:left w:val="single" w:color="000000" w:sz="4" w:space="0"/>
              <w:bottom w:val="single" w:color="000000" w:sz="4" w:space="0"/>
              <w:right w:val="single" w:color="000000" w:sz="4" w:space="0"/>
            </w:tcBorders>
            <w:vAlign w:val="center"/>
          </w:tcPr>
          <w:p w14:paraId="09AD011F">
            <w:pPr>
              <w:pStyle w:val="28"/>
              <w:bidi w:val="0"/>
            </w:pPr>
            <w:r>
              <w:t>—</w:t>
            </w:r>
          </w:p>
        </w:tc>
        <w:tc>
          <w:tcPr>
            <w:tcW w:w="354" w:type="pct"/>
            <w:tcBorders>
              <w:top w:val="single" w:color="000000" w:sz="4" w:space="0"/>
              <w:left w:val="single" w:color="000000" w:sz="4" w:space="0"/>
              <w:bottom w:val="single" w:color="000000" w:sz="4" w:space="0"/>
              <w:right w:val="single" w:color="000000" w:sz="4" w:space="0"/>
            </w:tcBorders>
            <w:vAlign w:val="center"/>
          </w:tcPr>
          <w:p w14:paraId="6E3B521F">
            <w:pPr>
              <w:pStyle w:val="28"/>
              <w:bidi w:val="0"/>
            </w:pPr>
            <w:r>
              <w:t>—</w:t>
            </w:r>
          </w:p>
        </w:tc>
        <w:tc>
          <w:tcPr>
            <w:tcW w:w="388" w:type="pct"/>
            <w:tcBorders>
              <w:top w:val="single" w:color="000000" w:sz="4" w:space="0"/>
              <w:left w:val="single" w:color="000000" w:sz="4" w:space="0"/>
              <w:bottom w:val="single" w:color="000000" w:sz="4" w:space="0"/>
              <w:right w:val="single" w:color="000000" w:sz="4" w:space="0"/>
            </w:tcBorders>
            <w:vAlign w:val="center"/>
          </w:tcPr>
          <w:p w14:paraId="48FB6F33">
            <w:pPr>
              <w:pStyle w:val="28"/>
              <w:bidi w:val="0"/>
            </w:pPr>
            <w:r>
              <w:t>1.09</w:t>
            </w:r>
          </w:p>
        </w:tc>
        <w:tc>
          <w:tcPr>
            <w:tcW w:w="387" w:type="pct"/>
            <w:tcBorders>
              <w:top w:val="single" w:color="000000" w:sz="4" w:space="0"/>
              <w:left w:val="single" w:color="000000" w:sz="4" w:space="0"/>
              <w:bottom w:val="single" w:color="000000" w:sz="4" w:space="0"/>
              <w:right w:val="single" w:color="000000" w:sz="4" w:space="0"/>
            </w:tcBorders>
            <w:vAlign w:val="center"/>
          </w:tcPr>
          <w:p w14:paraId="2A81911F">
            <w:pPr>
              <w:pStyle w:val="28"/>
              <w:bidi w:val="0"/>
            </w:pPr>
            <w:r>
              <w:t>4.74</w:t>
            </w:r>
          </w:p>
        </w:tc>
      </w:tr>
      <w:tr w14:paraId="5AB86544">
        <w:tblPrEx>
          <w:tblCellMar>
            <w:top w:w="0" w:type="dxa"/>
            <w:left w:w="108" w:type="dxa"/>
            <w:bottom w:w="0" w:type="dxa"/>
            <w:right w:w="108" w:type="dxa"/>
          </w:tblCellMar>
        </w:tblPrEx>
        <w:trPr>
          <w:trHeight w:val="340" w:hRule="atLeast"/>
          <w:jc w:val="center"/>
        </w:trPr>
        <w:tc>
          <w:tcPr>
            <w:tcW w:w="1124" w:type="pct"/>
            <w:gridSpan w:val="3"/>
            <w:tcBorders>
              <w:top w:val="single" w:color="000000" w:sz="4" w:space="0"/>
              <w:left w:val="single" w:color="000000" w:sz="4" w:space="0"/>
              <w:bottom w:val="single" w:color="000000" w:sz="4" w:space="0"/>
              <w:right w:val="single" w:color="000000" w:sz="4" w:space="0"/>
            </w:tcBorders>
            <w:vAlign w:val="center"/>
          </w:tcPr>
          <w:p w14:paraId="1CEB01A3">
            <w:pPr>
              <w:pStyle w:val="28"/>
              <w:bidi w:val="0"/>
            </w:pPr>
            <w:r>
              <w:t>合计</w:t>
            </w:r>
          </w:p>
        </w:tc>
        <w:tc>
          <w:tcPr>
            <w:tcW w:w="308" w:type="pct"/>
            <w:tcBorders>
              <w:top w:val="single" w:color="000000" w:sz="4" w:space="0"/>
              <w:left w:val="single" w:color="000000" w:sz="4" w:space="0"/>
              <w:bottom w:val="single" w:color="000000" w:sz="4" w:space="0"/>
              <w:right w:val="single" w:color="000000" w:sz="4" w:space="0"/>
            </w:tcBorders>
            <w:vAlign w:val="center"/>
          </w:tcPr>
          <w:p w14:paraId="548396CD">
            <w:pPr>
              <w:pStyle w:val="28"/>
              <w:bidi w:val="0"/>
            </w:pPr>
            <w:r>
              <w:t>445.83</w:t>
            </w:r>
          </w:p>
        </w:tc>
        <w:tc>
          <w:tcPr>
            <w:tcW w:w="386" w:type="pct"/>
            <w:tcBorders>
              <w:top w:val="single" w:color="000000" w:sz="4" w:space="0"/>
              <w:left w:val="single" w:color="000000" w:sz="4" w:space="0"/>
              <w:bottom w:val="single" w:color="000000" w:sz="4" w:space="0"/>
              <w:right w:val="single" w:color="000000" w:sz="4" w:space="0"/>
            </w:tcBorders>
            <w:vAlign w:val="center"/>
          </w:tcPr>
          <w:p w14:paraId="082619DE">
            <w:pPr>
              <w:pStyle w:val="28"/>
              <w:bidi w:val="0"/>
            </w:pPr>
            <w:r>
              <w:t>1.75</w:t>
            </w:r>
          </w:p>
        </w:tc>
        <w:tc>
          <w:tcPr>
            <w:tcW w:w="310" w:type="pct"/>
            <w:tcBorders>
              <w:top w:val="single" w:color="000000" w:sz="4" w:space="0"/>
              <w:left w:val="single" w:color="000000" w:sz="4" w:space="0"/>
              <w:bottom w:val="single" w:color="000000" w:sz="4" w:space="0"/>
              <w:right w:val="single" w:color="000000" w:sz="4" w:space="0"/>
            </w:tcBorders>
            <w:vAlign w:val="center"/>
          </w:tcPr>
          <w:p w14:paraId="35AD8BA8">
            <w:pPr>
              <w:pStyle w:val="28"/>
              <w:bidi w:val="0"/>
            </w:pPr>
            <w:r>
              <w:t>55.76</w:t>
            </w:r>
          </w:p>
        </w:tc>
        <w:tc>
          <w:tcPr>
            <w:tcW w:w="326" w:type="pct"/>
            <w:tcBorders>
              <w:top w:val="single" w:color="000000" w:sz="4" w:space="0"/>
              <w:left w:val="single" w:color="000000" w:sz="4" w:space="0"/>
              <w:bottom w:val="single" w:color="000000" w:sz="4" w:space="0"/>
              <w:right w:val="single" w:color="000000" w:sz="4" w:space="0"/>
            </w:tcBorders>
            <w:vAlign w:val="center"/>
          </w:tcPr>
          <w:p w14:paraId="00E86E3D">
            <w:pPr>
              <w:pStyle w:val="28"/>
              <w:bidi w:val="0"/>
            </w:pPr>
            <w:r>
              <w:t>35.98</w:t>
            </w:r>
          </w:p>
        </w:tc>
        <w:tc>
          <w:tcPr>
            <w:tcW w:w="354" w:type="pct"/>
            <w:tcBorders>
              <w:top w:val="single" w:color="000000" w:sz="4" w:space="0"/>
              <w:left w:val="single" w:color="000000" w:sz="4" w:space="0"/>
              <w:bottom w:val="single" w:color="000000" w:sz="4" w:space="0"/>
              <w:right w:val="single" w:color="000000" w:sz="4" w:space="0"/>
            </w:tcBorders>
            <w:vAlign w:val="center"/>
          </w:tcPr>
          <w:p w14:paraId="6DBE5BF8">
            <w:pPr>
              <w:pStyle w:val="28"/>
              <w:bidi w:val="0"/>
            </w:pPr>
            <w:r>
              <w:t>18.50</w:t>
            </w:r>
          </w:p>
        </w:tc>
        <w:tc>
          <w:tcPr>
            <w:tcW w:w="387" w:type="pct"/>
            <w:tcBorders>
              <w:top w:val="single" w:color="000000" w:sz="4" w:space="0"/>
              <w:left w:val="single" w:color="000000" w:sz="4" w:space="0"/>
              <w:bottom w:val="single" w:color="000000" w:sz="4" w:space="0"/>
              <w:right w:val="single" w:color="000000" w:sz="4" w:space="0"/>
            </w:tcBorders>
            <w:vAlign w:val="center"/>
          </w:tcPr>
          <w:p w14:paraId="4ED1E0C4">
            <w:pPr>
              <w:pStyle w:val="28"/>
              <w:bidi w:val="0"/>
            </w:pPr>
            <w:r>
              <w:t>24.31</w:t>
            </w:r>
          </w:p>
        </w:tc>
        <w:tc>
          <w:tcPr>
            <w:tcW w:w="354" w:type="pct"/>
            <w:tcBorders>
              <w:top w:val="single" w:color="000000" w:sz="4" w:space="0"/>
              <w:left w:val="single" w:color="000000" w:sz="4" w:space="0"/>
              <w:bottom w:val="single" w:color="000000" w:sz="4" w:space="0"/>
              <w:right w:val="single" w:color="000000" w:sz="4" w:space="0"/>
            </w:tcBorders>
            <w:vAlign w:val="center"/>
          </w:tcPr>
          <w:p w14:paraId="2A958D17">
            <w:pPr>
              <w:pStyle w:val="28"/>
              <w:bidi w:val="0"/>
            </w:pPr>
            <w:r>
              <w:t>27.09</w:t>
            </w:r>
          </w:p>
        </w:tc>
        <w:tc>
          <w:tcPr>
            <w:tcW w:w="318" w:type="pct"/>
            <w:tcBorders>
              <w:top w:val="single" w:color="000000" w:sz="4" w:space="0"/>
              <w:left w:val="single" w:color="000000" w:sz="4" w:space="0"/>
              <w:bottom w:val="single" w:color="000000" w:sz="4" w:space="0"/>
              <w:right w:val="single" w:color="000000" w:sz="4" w:space="0"/>
            </w:tcBorders>
            <w:vAlign w:val="center"/>
          </w:tcPr>
          <w:p w14:paraId="1762712D">
            <w:pPr>
              <w:pStyle w:val="28"/>
              <w:bidi w:val="0"/>
            </w:pPr>
            <w:r>
              <w:t>3.39</w:t>
            </w:r>
          </w:p>
        </w:tc>
        <w:tc>
          <w:tcPr>
            <w:tcW w:w="354" w:type="pct"/>
            <w:tcBorders>
              <w:top w:val="single" w:color="000000" w:sz="4" w:space="0"/>
              <w:left w:val="single" w:color="000000" w:sz="4" w:space="0"/>
              <w:bottom w:val="single" w:color="000000" w:sz="4" w:space="0"/>
              <w:right w:val="single" w:color="000000" w:sz="4" w:space="0"/>
            </w:tcBorders>
            <w:vAlign w:val="center"/>
          </w:tcPr>
          <w:p w14:paraId="170D3FC3">
            <w:pPr>
              <w:pStyle w:val="28"/>
              <w:bidi w:val="0"/>
            </w:pPr>
            <w:r>
              <w:t>0.38</w:t>
            </w:r>
          </w:p>
        </w:tc>
        <w:tc>
          <w:tcPr>
            <w:tcW w:w="388" w:type="pct"/>
            <w:tcBorders>
              <w:top w:val="single" w:color="000000" w:sz="4" w:space="0"/>
              <w:left w:val="single" w:color="000000" w:sz="4" w:space="0"/>
              <w:bottom w:val="single" w:color="000000" w:sz="4" w:space="0"/>
              <w:right w:val="single" w:color="000000" w:sz="4" w:space="0"/>
            </w:tcBorders>
            <w:vAlign w:val="center"/>
          </w:tcPr>
          <w:p w14:paraId="5261C313">
            <w:pPr>
              <w:pStyle w:val="28"/>
              <w:bidi w:val="0"/>
            </w:pPr>
            <w:r>
              <w:t>167.15</w:t>
            </w:r>
          </w:p>
        </w:tc>
        <w:tc>
          <w:tcPr>
            <w:tcW w:w="387" w:type="pct"/>
            <w:tcBorders>
              <w:top w:val="single" w:color="000000" w:sz="4" w:space="0"/>
              <w:left w:val="single" w:color="000000" w:sz="4" w:space="0"/>
              <w:bottom w:val="single" w:color="000000" w:sz="4" w:space="0"/>
              <w:right w:val="single" w:color="000000" w:sz="4" w:space="0"/>
            </w:tcBorders>
            <w:vAlign w:val="center"/>
          </w:tcPr>
          <w:p w14:paraId="047FE18E">
            <w:pPr>
              <w:pStyle w:val="28"/>
              <w:bidi w:val="0"/>
            </w:pPr>
            <w:r>
              <w:t>612.98</w:t>
            </w:r>
          </w:p>
        </w:tc>
      </w:tr>
    </w:tbl>
    <w:p w14:paraId="0DEB5B9E">
      <w:pPr>
        <w:jc w:val="both"/>
        <w:rPr>
          <w:rFonts w:cs="Times New Roman"/>
          <w:b/>
          <w:bCs/>
          <w:color w:val="0000FF"/>
          <w:sz w:val="16"/>
          <w:szCs w:val="16"/>
        </w:rPr>
      </w:pPr>
    </w:p>
    <w:p w14:paraId="4B3B82FB">
      <w:pPr>
        <w:rPr>
          <w:color w:val="0000FF"/>
        </w:rPr>
      </w:pPr>
      <w:r>
        <w:rPr>
          <w:color w:val="0000FF"/>
        </w:rPr>
        <w:t>表2-</w:t>
      </w:r>
      <w:r>
        <w:rPr>
          <w:rFonts w:hint="eastAsia"/>
          <w:color w:val="0000FF"/>
        </w:rPr>
        <w:t>5</w:t>
      </w:r>
      <w:r>
        <w:rPr>
          <w:color w:val="0000FF"/>
        </w:rPr>
        <w:t>-</w:t>
      </w:r>
      <w:r>
        <w:rPr>
          <w:rFonts w:hint="eastAsia"/>
          <w:color w:val="0000FF"/>
        </w:rPr>
        <w:t>2</w:t>
      </w:r>
      <w:r>
        <w:rPr>
          <w:color w:val="0000FF"/>
        </w:rPr>
        <w:t xml:space="preserve">  </w:t>
      </w:r>
      <w:r>
        <w:rPr>
          <w:rFonts w:hint="eastAsia"/>
          <w:color w:val="0000FF"/>
        </w:rPr>
        <w:t>临时</w:t>
      </w:r>
      <w:r>
        <w:rPr>
          <w:color w:val="0000FF"/>
        </w:rPr>
        <w:t>占地</w:t>
      </w:r>
      <w:r>
        <w:rPr>
          <w:rFonts w:hint="eastAsia"/>
          <w:color w:val="0000FF"/>
        </w:rPr>
        <w:t>类型</w:t>
      </w:r>
      <w:r>
        <w:rPr>
          <w:color w:val="0000FF"/>
        </w:rPr>
        <w:t>一览表</w:t>
      </w:r>
      <w:r>
        <w:rPr>
          <w:rFonts w:hint="eastAsia"/>
          <w:color w:val="0000FF"/>
        </w:rPr>
        <w:t xml:space="preserve">  </w:t>
      </w:r>
      <w:r>
        <w:rPr>
          <w:color w:val="0000FF"/>
        </w:rPr>
        <w:t>单位：</w:t>
      </w:r>
      <w:r>
        <w:rPr>
          <w:rFonts w:hint="eastAsia"/>
          <w:color w:val="0000FF"/>
        </w:rPr>
        <w:t>hm</w:t>
      </w:r>
      <w:r>
        <w:rPr>
          <w:rFonts w:hint="eastAsia"/>
          <w:color w:val="0000FF"/>
          <w:vertAlign w:val="superscript"/>
        </w:rPr>
        <w:t>2</w:t>
      </w:r>
    </w:p>
    <w:tbl>
      <w:tblPr>
        <w:tblStyle w:val="16"/>
        <w:tblW w:w="4999" w:type="pct"/>
        <w:jc w:val="center"/>
        <w:tblLayout w:type="autofit"/>
        <w:tblCellMar>
          <w:top w:w="0" w:type="dxa"/>
          <w:left w:w="108" w:type="dxa"/>
          <w:bottom w:w="0" w:type="dxa"/>
          <w:right w:w="108" w:type="dxa"/>
        </w:tblCellMar>
      </w:tblPr>
      <w:tblGrid>
        <w:gridCol w:w="429"/>
        <w:gridCol w:w="432"/>
        <w:gridCol w:w="1066"/>
        <w:gridCol w:w="429"/>
        <w:gridCol w:w="517"/>
        <w:gridCol w:w="666"/>
        <w:gridCol w:w="794"/>
        <w:gridCol w:w="551"/>
        <w:gridCol w:w="794"/>
        <w:gridCol w:w="794"/>
        <w:gridCol w:w="689"/>
        <w:gridCol w:w="536"/>
        <w:gridCol w:w="794"/>
        <w:gridCol w:w="794"/>
      </w:tblGrid>
      <w:tr w14:paraId="2BD902ED">
        <w:tblPrEx>
          <w:tblCellMar>
            <w:top w:w="0" w:type="dxa"/>
            <w:left w:w="108" w:type="dxa"/>
            <w:bottom w:w="0" w:type="dxa"/>
            <w:right w:w="108" w:type="dxa"/>
          </w:tblCellMar>
        </w:tblPrEx>
        <w:trPr>
          <w:trHeight w:val="340" w:hRule="atLeast"/>
          <w:jc w:val="center"/>
        </w:trPr>
        <w:tc>
          <w:tcPr>
            <w:tcW w:w="540" w:type="pct"/>
            <w:gridSpan w:val="2"/>
            <w:vMerge w:val="restart"/>
            <w:tcBorders>
              <w:top w:val="single" w:color="000000" w:sz="4" w:space="0"/>
              <w:left w:val="single" w:color="000000" w:sz="4" w:space="0"/>
              <w:bottom w:val="single" w:color="000000" w:sz="4" w:space="0"/>
              <w:right w:val="single" w:color="000000" w:sz="4" w:space="0"/>
            </w:tcBorders>
            <w:vAlign w:val="center"/>
          </w:tcPr>
          <w:p w14:paraId="2C58D6B3">
            <w:pPr>
              <w:pStyle w:val="28"/>
              <w:bidi w:val="0"/>
            </w:pPr>
            <w:r>
              <w:t>行政区划</w:t>
            </w:r>
          </w:p>
        </w:tc>
        <w:tc>
          <w:tcPr>
            <w:tcW w:w="612" w:type="pct"/>
            <w:vMerge w:val="restart"/>
            <w:tcBorders>
              <w:top w:val="single" w:color="000000" w:sz="4" w:space="0"/>
              <w:left w:val="single" w:color="000000" w:sz="4" w:space="0"/>
              <w:bottom w:val="single" w:color="000000" w:sz="4" w:space="0"/>
              <w:right w:val="single" w:color="000000" w:sz="4" w:space="0"/>
            </w:tcBorders>
            <w:vAlign w:val="center"/>
          </w:tcPr>
          <w:p w14:paraId="4DC59911">
            <w:pPr>
              <w:pStyle w:val="28"/>
              <w:bidi w:val="0"/>
            </w:pPr>
            <w:r>
              <w:t>项目名称</w:t>
            </w:r>
          </w:p>
        </w:tc>
        <w:tc>
          <w:tcPr>
            <w:tcW w:w="1999" w:type="pct"/>
            <w:gridSpan w:val="6"/>
            <w:tcBorders>
              <w:top w:val="single" w:color="000000" w:sz="4" w:space="0"/>
              <w:left w:val="single" w:color="000000" w:sz="4" w:space="0"/>
              <w:bottom w:val="single" w:color="000000" w:sz="4" w:space="0"/>
              <w:right w:val="single" w:color="000000" w:sz="4" w:space="0"/>
            </w:tcBorders>
            <w:vAlign w:val="center"/>
          </w:tcPr>
          <w:p w14:paraId="6E5D6164">
            <w:pPr>
              <w:pStyle w:val="28"/>
              <w:bidi w:val="0"/>
            </w:pPr>
            <w:r>
              <w:t>永久占地</w:t>
            </w:r>
            <w:r>
              <w:rPr>
                <w:rFonts w:hint="eastAsia"/>
              </w:rPr>
              <w:t>（</w:t>
            </w:r>
            <w:r>
              <w:t>hm2</w:t>
            </w:r>
            <w:r>
              <w:rPr>
                <w:rFonts w:hint="eastAsia"/>
              </w:rPr>
              <w:t>）</w:t>
            </w:r>
          </w:p>
        </w:tc>
        <w:tc>
          <w:tcPr>
            <w:tcW w:w="1450" w:type="pct"/>
            <w:gridSpan w:val="4"/>
            <w:tcBorders>
              <w:top w:val="single" w:color="000000" w:sz="4" w:space="0"/>
              <w:left w:val="single" w:color="000000" w:sz="4" w:space="0"/>
              <w:bottom w:val="single" w:color="000000" w:sz="4" w:space="0"/>
              <w:right w:val="single" w:color="000000" w:sz="4" w:space="0"/>
            </w:tcBorders>
            <w:vAlign w:val="center"/>
          </w:tcPr>
          <w:p w14:paraId="5070738E">
            <w:pPr>
              <w:pStyle w:val="28"/>
              <w:bidi w:val="0"/>
            </w:pPr>
            <w:r>
              <w:t>临时占地</w:t>
            </w:r>
            <w:r>
              <w:rPr>
                <w:rFonts w:hint="eastAsia"/>
              </w:rPr>
              <w:t>（</w:t>
            </w:r>
            <w:r>
              <w:t>hm2</w:t>
            </w:r>
            <w:r>
              <w:rPr>
                <w:rFonts w:hint="eastAsia"/>
              </w:rPr>
              <w:t>）</w:t>
            </w:r>
          </w:p>
        </w:tc>
        <w:tc>
          <w:tcPr>
            <w:tcW w:w="397" w:type="pct"/>
            <w:vMerge w:val="restart"/>
            <w:tcBorders>
              <w:top w:val="single" w:color="000000" w:sz="4" w:space="0"/>
              <w:left w:val="single" w:color="000000" w:sz="4" w:space="0"/>
              <w:bottom w:val="single" w:color="000000" w:sz="4" w:space="0"/>
              <w:right w:val="single" w:color="000000" w:sz="4" w:space="0"/>
            </w:tcBorders>
            <w:vAlign w:val="center"/>
          </w:tcPr>
          <w:p w14:paraId="735ED2D1">
            <w:pPr>
              <w:pStyle w:val="28"/>
              <w:bidi w:val="0"/>
            </w:pPr>
            <w:r>
              <w:t>合计</w:t>
            </w:r>
          </w:p>
        </w:tc>
      </w:tr>
      <w:tr w14:paraId="347E278A">
        <w:tblPrEx>
          <w:tblCellMar>
            <w:top w:w="0" w:type="dxa"/>
            <w:left w:w="108" w:type="dxa"/>
            <w:bottom w:w="0" w:type="dxa"/>
            <w:right w:w="108" w:type="dxa"/>
          </w:tblCellMar>
        </w:tblPrEx>
        <w:trPr>
          <w:trHeight w:val="340" w:hRule="atLeast"/>
          <w:jc w:val="center"/>
        </w:trPr>
        <w:tc>
          <w:tcPr>
            <w:tcW w:w="540" w:type="pct"/>
            <w:gridSpan w:val="2"/>
            <w:vMerge w:val="continue"/>
            <w:tcBorders>
              <w:top w:val="single" w:color="000000" w:sz="4" w:space="0"/>
              <w:left w:val="single" w:color="000000" w:sz="4" w:space="0"/>
              <w:bottom w:val="single" w:color="000000" w:sz="4" w:space="0"/>
              <w:right w:val="single" w:color="000000" w:sz="4" w:space="0"/>
            </w:tcBorders>
            <w:vAlign w:val="center"/>
          </w:tcPr>
          <w:p w14:paraId="29EC587D">
            <w:pPr>
              <w:pStyle w:val="28"/>
              <w:bidi w:val="0"/>
            </w:pPr>
          </w:p>
        </w:tc>
        <w:tc>
          <w:tcPr>
            <w:tcW w:w="612" w:type="pct"/>
            <w:vMerge w:val="continue"/>
            <w:tcBorders>
              <w:top w:val="single" w:color="000000" w:sz="4" w:space="0"/>
              <w:left w:val="single" w:color="000000" w:sz="4" w:space="0"/>
              <w:bottom w:val="single" w:color="000000" w:sz="4" w:space="0"/>
              <w:right w:val="single" w:color="000000" w:sz="4" w:space="0"/>
            </w:tcBorders>
            <w:vAlign w:val="center"/>
          </w:tcPr>
          <w:p w14:paraId="7B8A9363">
            <w:pPr>
              <w:pStyle w:val="28"/>
              <w:bidi w:val="0"/>
            </w:pPr>
          </w:p>
        </w:tc>
        <w:tc>
          <w:tcPr>
            <w:tcW w:w="269" w:type="pct"/>
            <w:tcBorders>
              <w:top w:val="single" w:color="000000" w:sz="4" w:space="0"/>
              <w:left w:val="single" w:color="000000" w:sz="4" w:space="0"/>
              <w:bottom w:val="single" w:color="000000" w:sz="4" w:space="0"/>
              <w:right w:val="single" w:color="000000" w:sz="4" w:space="0"/>
            </w:tcBorders>
            <w:vAlign w:val="center"/>
          </w:tcPr>
          <w:p w14:paraId="40161F2D">
            <w:pPr>
              <w:pStyle w:val="28"/>
              <w:bidi w:val="0"/>
            </w:pPr>
            <w:r>
              <w:t>耕地</w:t>
            </w:r>
          </w:p>
        </w:tc>
        <w:tc>
          <w:tcPr>
            <w:tcW w:w="316" w:type="pct"/>
            <w:tcBorders>
              <w:top w:val="single" w:color="000000" w:sz="4" w:space="0"/>
              <w:left w:val="single" w:color="000000" w:sz="4" w:space="0"/>
              <w:bottom w:val="single" w:color="000000" w:sz="4" w:space="0"/>
              <w:right w:val="single" w:color="000000" w:sz="4" w:space="0"/>
            </w:tcBorders>
            <w:vAlign w:val="center"/>
          </w:tcPr>
          <w:p w14:paraId="355EE44A">
            <w:pPr>
              <w:pStyle w:val="28"/>
              <w:bidi w:val="0"/>
            </w:pPr>
            <w:r>
              <w:t>林地</w:t>
            </w:r>
          </w:p>
        </w:tc>
        <w:tc>
          <w:tcPr>
            <w:tcW w:w="396" w:type="pct"/>
            <w:tcBorders>
              <w:top w:val="single" w:color="000000" w:sz="4" w:space="0"/>
              <w:left w:val="single" w:color="000000" w:sz="4" w:space="0"/>
              <w:bottom w:val="single" w:color="000000" w:sz="4" w:space="0"/>
              <w:right w:val="single" w:color="000000" w:sz="4" w:space="0"/>
            </w:tcBorders>
            <w:vAlign w:val="center"/>
          </w:tcPr>
          <w:p w14:paraId="24881A94">
            <w:pPr>
              <w:pStyle w:val="28"/>
              <w:bidi w:val="0"/>
            </w:pPr>
            <w:r>
              <w:t>交通运输用地</w:t>
            </w:r>
          </w:p>
        </w:tc>
        <w:tc>
          <w:tcPr>
            <w:tcW w:w="317" w:type="pct"/>
            <w:tcBorders>
              <w:top w:val="single" w:color="000000" w:sz="4" w:space="0"/>
              <w:left w:val="single" w:color="000000" w:sz="4" w:space="0"/>
              <w:bottom w:val="single" w:color="000000" w:sz="4" w:space="0"/>
              <w:right w:val="single" w:color="000000" w:sz="4" w:space="0"/>
            </w:tcBorders>
            <w:vAlign w:val="center"/>
          </w:tcPr>
          <w:p w14:paraId="15284458">
            <w:pPr>
              <w:pStyle w:val="28"/>
              <w:bidi w:val="0"/>
            </w:pPr>
            <w:r>
              <w:t>水域及水利设施用地</w:t>
            </w:r>
          </w:p>
        </w:tc>
        <w:tc>
          <w:tcPr>
            <w:tcW w:w="334" w:type="pct"/>
            <w:tcBorders>
              <w:top w:val="single" w:color="000000" w:sz="4" w:space="0"/>
              <w:left w:val="single" w:color="000000" w:sz="4" w:space="0"/>
              <w:bottom w:val="single" w:color="000000" w:sz="4" w:space="0"/>
              <w:right w:val="single" w:color="000000" w:sz="4" w:space="0"/>
            </w:tcBorders>
            <w:vAlign w:val="center"/>
          </w:tcPr>
          <w:p w14:paraId="6894DE96">
            <w:pPr>
              <w:pStyle w:val="28"/>
              <w:bidi w:val="0"/>
            </w:pPr>
            <w:r>
              <w:t>住宅用地</w:t>
            </w:r>
          </w:p>
        </w:tc>
        <w:tc>
          <w:tcPr>
            <w:tcW w:w="363" w:type="pct"/>
            <w:tcBorders>
              <w:top w:val="single" w:color="000000" w:sz="4" w:space="0"/>
              <w:left w:val="single" w:color="000000" w:sz="4" w:space="0"/>
              <w:bottom w:val="single" w:color="000000" w:sz="4" w:space="0"/>
              <w:right w:val="single" w:color="000000" w:sz="4" w:space="0"/>
            </w:tcBorders>
            <w:vAlign w:val="center"/>
          </w:tcPr>
          <w:p w14:paraId="54F5CAF8">
            <w:pPr>
              <w:pStyle w:val="28"/>
              <w:bidi w:val="0"/>
            </w:pPr>
            <w:r>
              <w:t>小计</w:t>
            </w:r>
          </w:p>
        </w:tc>
        <w:tc>
          <w:tcPr>
            <w:tcW w:w="397" w:type="pct"/>
            <w:tcBorders>
              <w:top w:val="single" w:color="000000" w:sz="4" w:space="0"/>
              <w:left w:val="single" w:color="000000" w:sz="4" w:space="0"/>
              <w:bottom w:val="single" w:color="000000" w:sz="4" w:space="0"/>
              <w:right w:val="single" w:color="000000" w:sz="4" w:space="0"/>
            </w:tcBorders>
            <w:vAlign w:val="center"/>
          </w:tcPr>
          <w:p w14:paraId="5099C14B">
            <w:pPr>
              <w:pStyle w:val="28"/>
              <w:bidi w:val="0"/>
            </w:pPr>
            <w:r>
              <w:t>耕地</w:t>
            </w:r>
          </w:p>
        </w:tc>
        <w:tc>
          <w:tcPr>
            <w:tcW w:w="363" w:type="pct"/>
            <w:tcBorders>
              <w:top w:val="single" w:color="000000" w:sz="4" w:space="0"/>
              <w:left w:val="single" w:color="000000" w:sz="4" w:space="0"/>
              <w:bottom w:val="single" w:color="000000" w:sz="4" w:space="0"/>
              <w:right w:val="single" w:color="000000" w:sz="4" w:space="0"/>
            </w:tcBorders>
            <w:vAlign w:val="center"/>
          </w:tcPr>
          <w:p w14:paraId="4EE0F33E">
            <w:pPr>
              <w:pStyle w:val="28"/>
              <w:bidi w:val="0"/>
            </w:pPr>
            <w:r>
              <w:t>水域及水利设施用地</w:t>
            </w:r>
          </w:p>
        </w:tc>
        <w:tc>
          <w:tcPr>
            <w:tcW w:w="326" w:type="pct"/>
            <w:tcBorders>
              <w:top w:val="single" w:color="000000" w:sz="4" w:space="0"/>
              <w:left w:val="single" w:color="000000" w:sz="4" w:space="0"/>
              <w:bottom w:val="single" w:color="000000" w:sz="4" w:space="0"/>
              <w:right w:val="single" w:color="000000" w:sz="4" w:space="0"/>
            </w:tcBorders>
            <w:vAlign w:val="center"/>
          </w:tcPr>
          <w:p w14:paraId="2F88AF0D">
            <w:pPr>
              <w:pStyle w:val="28"/>
              <w:bidi w:val="0"/>
            </w:pPr>
            <w:r>
              <w:t>林地</w:t>
            </w:r>
          </w:p>
        </w:tc>
        <w:tc>
          <w:tcPr>
            <w:tcW w:w="363" w:type="pct"/>
            <w:tcBorders>
              <w:top w:val="single" w:color="000000" w:sz="4" w:space="0"/>
              <w:left w:val="single" w:color="000000" w:sz="4" w:space="0"/>
              <w:bottom w:val="single" w:color="000000" w:sz="4" w:space="0"/>
              <w:right w:val="single" w:color="000000" w:sz="4" w:space="0"/>
            </w:tcBorders>
            <w:vAlign w:val="center"/>
          </w:tcPr>
          <w:p w14:paraId="675E5F68">
            <w:pPr>
              <w:pStyle w:val="28"/>
              <w:bidi w:val="0"/>
            </w:pPr>
            <w:r>
              <w:t>小计</w:t>
            </w:r>
          </w:p>
        </w:tc>
        <w:tc>
          <w:tcPr>
            <w:tcW w:w="397" w:type="pct"/>
            <w:vMerge w:val="continue"/>
            <w:tcBorders>
              <w:top w:val="single" w:color="000000" w:sz="4" w:space="0"/>
              <w:left w:val="single" w:color="000000" w:sz="4" w:space="0"/>
              <w:bottom w:val="single" w:color="000000" w:sz="4" w:space="0"/>
              <w:right w:val="single" w:color="000000" w:sz="4" w:space="0"/>
            </w:tcBorders>
            <w:vAlign w:val="center"/>
          </w:tcPr>
          <w:p w14:paraId="4D2927A5">
            <w:pPr>
              <w:pStyle w:val="28"/>
              <w:bidi w:val="0"/>
            </w:pPr>
          </w:p>
        </w:tc>
      </w:tr>
      <w:tr w14:paraId="3C0E92E7">
        <w:tblPrEx>
          <w:tblCellMar>
            <w:top w:w="0" w:type="dxa"/>
            <w:left w:w="108" w:type="dxa"/>
            <w:bottom w:w="0" w:type="dxa"/>
            <w:right w:w="108" w:type="dxa"/>
          </w:tblCellMar>
        </w:tblPrEx>
        <w:trPr>
          <w:trHeight w:val="340" w:hRule="atLeast"/>
          <w:jc w:val="center"/>
        </w:trPr>
        <w:tc>
          <w:tcPr>
            <w:tcW w:w="269" w:type="pct"/>
            <w:vMerge w:val="restart"/>
            <w:tcBorders>
              <w:top w:val="single" w:color="000000" w:sz="4" w:space="0"/>
              <w:left w:val="single" w:color="000000" w:sz="4" w:space="0"/>
              <w:bottom w:val="single" w:color="000000" w:sz="4" w:space="0"/>
              <w:right w:val="single" w:color="000000" w:sz="4" w:space="0"/>
            </w:tcBorders>
            <w:vAlign w:val="center"/>
          </w:tcPr>
          <w:p w14:paraId="405272B3">
            <w:pPr>
              <w:pStyle w:val="28"/>
              <w:bidi w:val="0"/>
            </w:pPr>
            <w:r>
              <w:t>合肥市</w:t>
            </w:r>
          </w:p>
        </w:tc>
        <w:tc>
          <w:tcPr>
            <w:tcW w:w="270" w:type="pct"/>
            <w:vMerge w:val="restart"/>
            <w:tcBorders>
              <w:top w:val="single" w:color="000000" w:sz="4" w:space="0"/>
              <w:left w:val="single" w:color="000000" w:sz="4" w:space="0"/>
              <w:bottom w:val="single" w:color="000000" w:sz="4" w:space="0"/>
              <w:right w:val="single" w:color="000000" w:sz="4" w:space="0"/>
            </w:tcBorders>
            <w:vAlign w:val="center"/>
          </w:tcPr>
          <w:p w14:paraId="784E1E84">
            <w:pPr>
              <w:pStyle w:val="28"/>
              <w:bidi w:val="0"/>
            </w:pPr>
            <w:r>
              <w:t>肥东县</w:t>
            </w:r>
          </w:p>
        </w:tc>
        <w:tc>
          <w:tcPr>
            <w:tcW w:w="612" w:type="pct"/>
            <w:tcBorders>
              <w:top w:val="single" w:color="000000" w:sz="4" w:space="0"/>
              <w:left w:val="single" w:color="000000" w:sz="4" w:space="0"/>
              <w:bottom w:val="single" w:color="000000" w:sz="4" w:space="0"/>
              <w:right w:val="single" w:color="000000" w:sz="4" w:space="0"/>
            </w:tcBorders>
            <w:vAlign w:val="center"/>
          </w:tcPr>
          <w:p w14:paraId="357F5C45">
            <w:pPr>
              <w:pStyle w:val="28"/>
              <w:bidi w:val="0"/>
            </w:pPr>
            <w:r>
              <w:t>众兴双庙支渠工程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62C2C203">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74420A18">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2F294533">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6A584563">
            <w:pPr>
              <w:pStyle w:val="28"/>
              <w:bidi w:val="0"/>
            </w:pPr>
            <w:r>
              <w:t>5.51</w:t>
            </w:r>
          </w:p>
        </w:tc>
        <w:tc>
          <w:tcPr>
            <w:tcW w:w="334" w:type="pct"/>
            <w:tcBorders>
              <w:top w:val="single" w:color="000000" w:sz="4" w:space="0"/>
              <w:left w:val="single" w:color="000000" w:sz="4" w:space="0"/>
              <w:bottom w:val="single" w:color="000000" w:sz="4" w:space="0"/>
              <w:right w:val="single" w:color="000000" w:sz="4" w:space="0"/>
            </w:tcBorders>
            <w:vAlign w:val="center"/>
          </w:tcPr>
          <w:p w14:paraId="0BE6AF42">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799C0274">
            <w:pPr>
              <w:pStyle w:val="28"/>
              <w:bidi w:val="0"/>
            </w:pPr>
            <w:r>
              <w:t>5.51</w:t>
            </w:r>
          </w:p>
        </w:tc>
        <w:tc>
          <w:tcPr>
            <w:tcW w:w="397" w:type="pct"/>
            <w:tcBorders>
              <w:top w:val="single" w:color="000000" w:sz="4" w:space="0"/>
              <w:left w:val="single" w:color="000000" w:sz="4" w:space="0"/>
              <w:bottom w:val="single" w:color="000000" w:sz="4" w:space="0"/>
              <w:right w:val="single" w:color="000000" w:sz="4" w:space="0"/>
            </w:tcBorders>
            <w:vAlign w:val="center"/>
          </w:tcPr>
          <w:p w14:paraId="27D16481">
            <w:pPr>
              <w:pStyle w:val="28"/>
              <w:bidi w:val="0"/>
            </w:pPr>
            <w:r>
              <w:t>1.25</w:t>
            </w:r>
          </w:p>
        </w:tc>
        <w:tc>
          <w:tcPr>
            <w:tcW w:w="363" w:type="pct"/>
            <w:tcBorders>
              <w:top w:val="single" w:color="000000" w:sz="4" w:space="0"/>
              <w:left w:val="single" w:color="000000" w:sz="4" w:space="0"/>
              <w:bottom w:val="single" w:color="000000" w:sz="4" w:space="0"/>
              <w:right w:val="single" w:color="000000" w:sz="4" w:space="0"/>
            </w:tcBorders>
            <w:vAlign w:val="center"/>
          </w:tcPr>
          <w:p w14:paraId="04EA0FC6">
            <w:pPr>
              <w:pStyle w:val="28"/>
              <w:bidi w:val="0"/>
            </w:pPr>
            <w:r>
              <w:t>0.53</w:t>
            </w:r>
          </w:p>
        </w:tc>
        <w:tc>
          <w:tcPr>
            <w:tcW w:w="326" w:type="pct"/>
            <w:tcBorders>
              <w:top w:val="single" w:color="000000" w:sz="4" w:space="0"/>
              <w:left w:val="single" w:color="000000" w:sz="4" w:space="0"/>
              <w:bottom w:val="single" w:color="000000" w:sz="4" w:space="0"/>
              <w:right w:val="single" w:color="000000" w:sz="4" w:space="0"/>
            </w:tcBorders>
            <w:vAlign w:val="center"/>
          </w:tcPr>
          <w:p w14:paraId="2C48BBE1">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063583AF">
            <w:pPr>
              <w:pStyle w:val="28"/>
              <w:bidi w:val="0"/>
            </w:pPr>
            <w:r>
              <w:t>1.78</w:t>
            </w:r>
          </w:p>
        </w:tc>
        <w:tc>
          <w:tcPr>
            <w:tcW w:w="397" w:type="pct"/>
            <w:tcBorders>
              <w:top w:val="single" w:color="000000" w:sz="4" w:space="0"/>
              <w:left w:val="single" w:color="000000" w:sz="4" w:space="0"/>
              <w:bottom w:val="single" w:color="000000" w:sz="4" w:space="0"/>
              <w:right w:val="single" w:color="000000" w:sz="4" w:space="0"/>
            </w:tcBorders>
            <w:vAlign w:val="center"/>
          </w:tcPr>
          <w:p w14:paraId="4C8EE22F">
            <w:pPr>
              <w:pStyle w:val="28"/>
              <w:bidi w:val="0"/>
            </w:pPr>
            <w:r>
              <w:t xml:space="preserve">7.29 </w:t>
            </w:r>
          </w:p>
        </w:tc>
      </w:tr>
      <w:tr w14:paraId="2BD096C9">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759205B2">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37C9623B">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498560BA">
            <w:pPr>
              <w:pStyle w:val="28"/>
              <w:bidi w:val="0"/>
            </w:pPr>
            <w:r>
              <w:t>大高支渠工程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73B72224">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706047C5">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38ACB7E4">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03E37692">
            <w:pPr>
              <w:pStyle w:val="28"/>
              <w:bidi w:val="0"/>
            </w:pPr>
            <w:r>
              <w:t>17.07</w:t>
            </w:r>
          </w:p>
        </w:tc>
        <w:tc>
          <w:tcPr>
            <w:tcW w:w="334" w:type="pct"/>
            <w:tcBorders>
              <w:top w:val="single" w:color="000000" w:sz="4" w:space="0"/>
              <w:left w:val="single" w:color="000000" w:sz="4" w:space="0"/>
              <w:bottom w:val="single" w:color="000000" w:sz="4" w:space="0"/>
              <w:right w:val="single" w:color="000000" w:sz="4" w:space="0"/>
            </w:tcBorders>
            <w:vAlign w:val="center"/>
          </w:tcPr>
          <w:p w14:paraId="4B495C4D">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0E8D5F76">
            <w:pPr>
              <w:pStyle w:val="28"/>
              <w:bidi w:val="0"/>
            </w:pPr>
            <w:r>
              <w:t>17.07</w:t>
            </w:r>
          </w:p>
        </w:tc>
        <w:tc>
          <w:tcPr>
            <w:tcW w:w="397" w:type="pct"/>
            <w:tcBorders>
              <w:top w:val="single" w:color="000000" w:sz="4" w:space="0"/>
              <w:left w:val="single" w:color="000000" w:sz="4" w:space="0"/>
              <w:bottom w:val="single" w:color="000000" w:sz="4" w:space="0"/>
              <w:right w:val="single" w:color="000000" w:sz="4" w:space="0"/>
            </w:tcBorders>
            <w:vAlign w:val="center"/>
          </w:tcPr>
          <w:p w14:paraId="32E32A89">
            <w:pPr>
              <w:pStyle w:val="28"/>
              <w:bidi w:val="0"/>
            </w:pPr>
            <w:r>
              <w:t>2.42</w:t>
            </w:r>
          </w:p>
        </w:tc>
        <w:tc>
          <w:tcPr>
            <w:tcW w:w="363" w:type="pct"/>
            <w:tcBorders>
              <w:top w:val="single" w:color="000000" w:sz="4" w:space="0"/>
              <w:left w:val="single" w:color="000000" w:sz="4" w:space="0"/>
              <w:bottom w:val="single" w:color="000000" w:sz="4" w:space="0"/>
              <w:right w:val="single" w:color="000000" w:sz="4" w:space="0"/>
            </w:tcBorders>
            <w:vAlign w:val="center"/>
          </w:tcPr>
          <w:p w14:paraId="09DE7B3C">
            <w:pPr>
              <w:pStyle w:val="28"/>
              <w:bidi w:val="0"/>
            </w:pPr>
            <w:r>
              <w:t>1.33</w:t>
            </w:r>
          </w:p>
        </w:tc>
        <w:tc>
          <w:tcPr>
            <w:tcW w:w="326" w:type="pct"/>
            <w:tcBorders>
              <w:top w:val="single" w:color="000000" w:sz="4" w:space="0"/>
              <w:left w:val="single" w:color="000000" w:sz="4" w:space="0"/>
              <w:bottom w:val="single" w:color="000000" w:sz="4" w:space="0"/>
              <w:right w:val="single" w:color="000000" w:sz="4" w:space="0"/>
            </w:tcBorders>
            <w:vAlign w:val="center"/>
          </w:tcPr>
          <w:p w14:paraId="63A508AF">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6631EDDC">
            <w:pPr>
              <w:pStyle w:val="28"/>
              <w:bidi w:val="0"/>
            </w:pPr>
            <w:r>
              <w:t>3.75</w:t>
            </w:r>
          </w:p>
        </w:tc>
        <w:tc>
          <w:tcPr>
            <w:tcW w:w="397" w:type="pct"/>
            <w:tcBorders>
              <w:top w:val="single" w:color="000000" w:sz="4" w:space="0"/>
              <w:left w:val="single" w:color="000000" w:sz="4" w:space="0"/>
              <w:bottom w:val="single" w:color="000000" w:sz="4" w:space="0"/>
              <w:right w:val="single" w:color="000000" w:sz="4" w:space="0"/>
            </w:tcBorders>
            <w:vAlign w:val="center"/>
          </w:tcPr>
          <w:p w14:paraId="09A9A420">
            <w:pPr>
              <w:pStyle w:val="28"/>
              <w:bidi w:val="0"/>
            </w:pPr>
            <w:r>
              <w:t xml:space="preserve">20.82 </w:t>
            </w:r>
          </w:p>
        </w:tc>
      </w:tr>
      <w:tr w14:paraId="2708DA59">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41BD0369">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4468600F">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1E59D377">
            <w:pPr>
              <w:pStyle w:val="28"/>
              <w:bidi w:val="0"/>
            </w:pPr>
            <w:r>
              <w:t>白龙支渠工程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60958917">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6BB8C6B2">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5F32A06B">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5D8AD525">
            <w:pPr>
              <w:pStyle w:val="28"/>
              <w:bidi w:val="0"/>
            </w:pPr>
            <w:r>
              <w:t>12.8</w:t>
            </w:r>
          </w:p>
        </w:tc>
        <w:tc>
          <w:tcPr>
            <w:tcW w:w="334" w:type="pct"/>
            <w:tcBorders>
              <w:top w:val="single" w:color="000000" w:sz="4" w:space="0"/>
              <w:left w:val="single" w:color="000000" w:sz="4" w:space="0"/>
              <w:bottom w:val="single" w:color="000000" w:sz="4" w:space="0"/>
              <w:right w:val="single" w:color="000000" w:sz="4" w:space="0"/>
            </w:tcBorders>
            <w:vAlign w:val="center"/>
          </w:tcPr>
          <w:p w14:paraId="6BF2FA82">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207287F7">
            <w:pPr>
              <w:pStyle w:val="28"/>
              <w:bidi w:val="0"/>
            </w:pPr>
            <w:r>
              <w:t>12.8</w:t>
            </w:r>
          </w:p>
        </w:tc>
        <w:tc>
          <w:tcPr>
            <w:tcW w:w="397" w:type="pct"/>
            <w:tcBorders>
              <w:top w:val="single" w:color="000000" w:sz="4" w:space="0"/>
              <w:left w:val="single" w:color="000000" w:sz="4" w:space="0"/>
              <w:bottom w:val="single" w:color="000000" w:sz="4" w:space="0"/>
              <w:right w:val="single" w:color="000000" w:sz="4" w:space="0"/>
            </w:tcBorders>
            <w:vAlign w:val="center"/>
          </w:tcPr>
          <w:p w14:paraId="4A8224CF">
            <w:pPr>
              <w:pStyle w:val="28"/>
              <w:bidi w:val="0"/>
            </w:pPr>
            <w:r>
              <w:t>0.42</w:t>
            </w:r>
          </w:p>
        </w:tc>
        <w:tc>
          <w:tcPr>
            <w:tcW w:w="363" w:type="pct"/>
            <w:tcBorders>
              <w:top w:val="single" w:color="000000" w:sz="4" w:space="0"/>
              <w:left w:val="single" w:color="000000" w:sz="4" w:space="0"/>
              <w:bottom w:val="single" w:color="000000" w:sz="4" w:space="0"/>
              <w:right w:val="single" w:color="000000" w:sz="4" w:space="0"/>
            </w:tcBorders>
            <w:vAlign w:val="center"/>
          </w:tcPr>
          <w:p w14:paraId="14AAA11D">
            <w:pPr>
              <w:pStyle w:val="28"/>
              <w:bidi w:val="0"/>
            </w:pPr>
            <w:r>
              <w:t>2.43</w:t>
            </w:r>
          </w:p>
        </w:tc>
        <w:tc>
          <w:tcPr>
            <w:tcW w:w="326" w:type="pct"/>
            <w:tcBorders>
              <w:top w:val="single" w:color="000000" w:sz="4" w:space="0"/>
              <w:left w:val="single" w:color="000000" w:sz="4" w:space="0"/>
              <w:bottom w:val="single" w:color="000000" w:sz="4" w:space="0"/>
              <w:right w:val="single" w:color="000000" w:sz="4" w:space="0"/>
            </w:tcBorders>
            <w:vAlign w:val="center"/>
          </w:tcPr>
          <w:p w14:paraId="140B2F66">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07B4AFBA">
            <w:pPr>
              <w:pStyle w:val="28"/>
              <w:bidi w:val="0"/>
            </w:pPr>
            <w:r>
              <w:t>2.85</w:t>
            </w:r>
          </w:p>
        </w:tc>
        <w:tc>
          <w:tcPr>
            <w:tcW w:w="397" w:type="pct"/>
            <w:tcBorders>
              <w:top w:val="single" w:color="000000" w:sz="4" w:space="0"/>
              <w:left w:val="single" w:color="000000" w:sz="4" w:space="0"/>
              <w:bottom w:val="single" w:color="000000" w:sz="4" w:space="0"/>
              <w:right w:val="single" w:color="000000" w:sz="4" w:space="0"/>
            </w:tcBorders>
            <w:vAlign w:val="center"/>
          </w:tcPr>
          <w:p w14:paraId="7CDDEDF5">
            <w:pPr>
              <w:pStyle w:val="28"/>
              <w:bidi w:val="0"/>
            </w:pPr>
            <w:r>
              <w:t xml:space="preserve">15.65 </w:t>
            </w:r>
          </w:p>
        </w:tc>
      </w:tr>
      <w:tr w14:paraId="071109C6">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4AE5D40C">
            <w:pPr>
              <w:pStyle w:val="28"/>
              <w:bidi w:val="0"/>
            </w:pPr>
          </w:p>
        </w:tc>
        <w:tc>
          <w:tcPr>
            <w:tcW w:w="270" w:type="pct"/>
            <w:tcBorders>
              <w:top w:val="single" w:color="000000" w:sz="4" w:space="0"/>
              <w:left w:val="single" w:color="000000" w:sz="4" w:space="0"/>
              <w:bottom w:val="single" w:color="000000" w:sz="4" w:space="0"/>
              <w:right w:val="single" w:color="000000" w:sz="4" w:space="0"/>
            </w:tcBorders>
            <w:vAlign w:val="center"/>
          </w:tcPr>
          <w:p w14:paraId="0239F2ED">
            <w:pPr>
              <w:pStyle w:val="28"/>
              <w:bidi w:val="0"/>
            </w:pPr>
            <w:r>
              <w:t>长丰县</w:t>
            </w:r>
          </w:p>
        </w:tc>
        <w:tc>
          <w:tcPr>
            <w:tcW w:w="612" w:type="pct"/>
            <w:tcBorders>
              <w:top w:val="single" w:color="000000" w:sz="4" w:space="0"/>
              <w:left w:val="single" w:color="000000" w:sz="4" w:space="0"/>
              <w:bottom w:val="single" w:color="000000" w:sz="4" w:space="0"/>
              <w:right w:val="single" w:color="000000" w:sz="4" w:space="0"/>
            </w:tcBorders>
            <w:vAlign w:val="center"/>
          </w:tcPr>
          <w:p w14:paraId="250AC2C1">
            <w:pPr>
              <w:pStyle w:val="28"/>
              <w:bidi w:val="0"/>
            </w:pPr>
            <w:r>
              <w:t>滁河干渠6座渠下涵工程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5886BC6A">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66904CA8">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4BD0E40A">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7236C0AF">
            <w:pPr>
              <w:pStyle w:val="28"/>
              <w:bidi w:val="0"/>
            </w:pPr>
            <w:r>
              <w:t>3.76</w:t>
            </w:r>
          </w:p>
        </w:tc>
        <w:tc>
          <w:tcPr>
            <w:tcW w:w="334" w:type="pct"/>
            <w:tcBorders>
              <w:top w:val="single" w:color="000000" w:sz="4" w:space="0"/>
              <w:left w:val="single" w:color="000000" w:sz="4" w:space="0"/>
              <w:bottom w:val="single" w:color="000000" w:sz="4" w:space="0"/>
              <w:right w:val="single" w:color="000000" w:sz="4" w:space="0"/>
            </w:tcBorders>
            <w:vAlign w:val="center"/>
          </w:tcPr>
          <w:p w14:paraId="2F9A1839">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2E3EAFB7">
            <w:pPr>
              <w:pStyle w:val="28"/>
              <w:bidi w:val="0"/>
            </w:pPr>
            <w:r>
              <w:t>3.76</w:t>
            </w:r>
          </w:p>
        </w:tc>
        <w:tc>
          <w:tcPr>
            <w:tcW w:w="397" w:type="pct"/>
            <w:tcBorders>
              <w:top w:val="single" w:color="000000" w:sz="4" w:space="0"/>
              <w:left w:val="single" w:color="000000" w:sz="4" w:space="0"/>
              <w:bottom w:val="single" w:color="000000" w:sz="4" w:space="0"/>
              <w:right w:val="single" w:color="000000" w:sz="4" w:space="0"/>
            </w:tcBorders>
            <w:vAlign w:val="center"/>
          </w:tcPr>
          <w:p w14:paraId="4191AA85">
            <w:pPr>
              <w:pStyle w:val="28"/>
              <w:bidi w:val="0"/>
            </w:pPr>
            <w:r>
              <w:t>1.89</w:t>
            </w:r>
          </w:p>
        </w:tc>
        <w:tc>
          <w:tcPr>
            <w:tcW w:w="363" w:type="pct"/>
            <w:tcBorders>
              <w:top w:val="single" w:color="000000" w:sz="4" w:space="0"/>
              <w:left w:val="single" w:color="000000" w:sz="4" w:space="0"/>
              <w:bottom w:val="single" w:color="000000" w:sz="4" w:space="0"/>
              <w:right w:val="single" w:color="000000" w:sz="4" w:space="0"/>
            </w:tcBorders>
            <w:vAlign w:val="center"/>
          </w:tcPr>
          <w:p w14:paraId="33600530">
            <w:pPr>
              <w:pStyle w:val="28"/>
              <w:bidi w:val="0"/>
            </w:pPr>
            <w:r>
              <w:t>0.64</w:t>
            </w:r>
          </w:p>
        </w:tc>
        <w:tc>
          <w:tcPr>
            <w:tcW w:w="326" w:type="pct"/>
            <w:tcBorders>
              <w:top w:val="single" w:color="000000" w:sz="4" w:space="0"/>
              <w:left w:val="single" w:color="000000" w:sz="4" w:space="0"/>
              <w:bottom w:val="single" w:color="000000" w:sz="4" w:space="0"/>
              <w:right w:val="single" w:color="000000" w:sz="4" w:space="0"/>
            </w:tcBorders>
            <w:vAlign w:val="center"/>
          </w:tcPr>
          <w:p w14:paraId="1FD24A17">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05BDFB90">
            <w:pPr>
              <w:pStyle w:val="28"/>
              <w:bidi w:val="0"/>
            </w:pPr>
            <w:r>
              <w:t>2.53</w:t>
            </w:r>
          </w:p>
        </w:tc>
        <w:tc>
          <w:tcPr>
            <w:tcW w:w="397" w:type="pct"/>
            <w:tcBorders>
              <w:top w:val="single" w:color="000000" w:sz="4" w:space="0"/>
              <w:left w:val="single" w:color="000000" w:sz="4" w:space="0"/>
              <w:bottom w:val="single" w:color="000000" w:sz="4" w:space="0"/>
              <w:right w:val="single" w:color="000000" w:sz="4" w:space="0"/>
            </w:tcBorders>
            <w:vAlign w:val="center"/>
          </w:tcPr>
          <w:p w14:paraId="35063A69">
            <w:pPr>
              <w:pStyle w:val="28"/>
              <w:bidi w:val="0"/>
            </w:pPr>
            <w:r>
              <w:t xml:space="preserve">6.29 </w:t>
            </w:r>
          </w:p>
        </w:tc>
      </w:tr>
      <w:tr w14:paraId="163EF1BD">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0F6E9487">
            <w:pPr>
              <w:pStyle w:val="28"/>
              <w:bidi w:val="0"/>
            </w:pPr>
          </w:p>
        </w:tc>
        <w:tc>
          <w:tcPr>
            <w:tcW w:w="270" w:type="pct"/>
            <w:vMerge w:val="restart"/>
            <w:tcBorders>
              <w:top w:val="single" w:color="000000" w:sz="4" w:space="0"/>
              <w:left w:val="single" w:color="000000" w:sz="4" w:space="0"/>
              <w:bottom w:val="single" w:color="000000" w:sz="4" w:space="0"/>
              <w:right w:val="single" w:color="000000" w:sz="4" w:space="0"/>
            </w:tcBorders>
            <w:vAlign w:val="center"/>
          </w:tcPr>
          <w:p w14:paraId="4CF99FC9">
            <w:pPr>
              <w:pStyle w:val="28"/>
              <w:bidi w:val="0"/>
            </w:pPr>
            <w:r>
              <w:t>肥西县</w:t>
            </w:r>
          </w:p>
        </w:tc>
        <w:tc>
          <w:tcPr>
            <w:tcW w:w="612" w:type="pct"/>
            <w:tcBorders>
              <w:top w:val="single" w:color="000000" w:sz="4" w:space="0"/>
              <w:left w:val="single" w:color="000000" w:sz="4" w:space="0"/>
              <w:bottom w:val="single" w:color="000000" w:sz="4" w:space="0"/>
              <w:right w:val="single" w:color="000000" w:sz="4" w:space="0"/>
            </w:tcBorders>
            <w:vAlign w:val="center"/>
          </w:tcPr>
          <w:p w14:paraId="1C405AA7">
            <w:pPr>
              <w:pStyle w:val="28"/>
              <w:bidi w:val="0"/>
            </w:pPr>
            <w:r>
              <w:t>聚星渡槽工程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1A897204">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4BA6710F">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17E8D633">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58EBB3D3">
            <w:pPr>
              <w:pStyle w:val="28"/>
              <w:bidi w:val="0"/>
            </w:pPr>
            <w:r>
              <w:t>0.19</w:t>
            </w:r>
          </w:p>
        </w:tc>
        <w:tc>
          <w:tcPr>
            <w:tcW w:w="334" w:type="pct"/>
            <w:tcBorders>
              <w:top w:val="single" w:color="000000" w:sz="4" w:space="0"/>
              <w:left w:val="single" w:color="000000" w:sz="4" w:space="0"/>
              <w:bottom w:val="single" w:color="000000" w:sz="4" w:space="0"/>
              <w:right w:val="single" w:color="000000" w:sz="4" w:space="0"/>
            </w:tcBorders>
            <w:vAlign w:val="center"/>
          </w:tcPr>
          <w:p w14:paraId="2510FDA6">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71FD065C">
            <w:pPr>
              <w:pStyle w:val="28"/>
              <w:bidi w:val="0"/>
            </w:pPr>
            <w:r>
              <w:t>0.19</w:t>
            </w:r>
          </w:p>
        </w:tc>
        <w:tc>
          <w:tcPr>
            <w:tcW w:w="397" w:type="pct"/>
            <w:tcBorders>
              <w:top w:val="single" w:color="000000" w:sz="4" w:space="0"/>
              <w:left w:val="single" w:color="000000" w:sz="4" w:space="0"/>
              <w:bottom w:val="single" w:color="000000" w:sz="4" w:space="0"/>
              <w:right w:val="single" w:color="000000" w:sz="4" w:space="0"/>
            </w:tcBorders>
            <w:vAlign w:val="center"/>
          </w:tcPr>
          <w:p w14:paraId="4C9B9475">
            <w:pPr>
              <w:pStyle w:val="28"/>
              <w:bidi w:val="0"/>
            </w:pPr>
            <w:r>
              <w:t>2.4</w:t>
            </w:r>
          </w:p>
        </w:tc>
        <w:tc>
          <w:tcPr>
            <w:tcW w:w="363" w:type="pct"/>
            <w:tcBorders>
              <w:top w:val="single" w:color="000000" w:sz="4" w:space="0"/>
              <w:left w:val="single" w:color="000000" w:sz="4" w:space="0"/>
              <w:bottom w:val="single" w:color="000000" w:sz="4" w:space="0"/>
              <w:right w:val="single" w:color="000000" w:sz="4" w:space="0"/>
            </w:tcBorders>
            <w:vAlign w:val="center"/>
          </w:tcPr>
          <w:p w14:paraId="2A3F48B9">
            <w:pPr>
              <w:pStyle w:val="28"/>
              <w:bidi w:val="0"/>
            </w:pPr>
            <w:r>
              <w:t>1.16</w:t>
            </w:r>
          </w:p>
        </w:tc>
        <w:tc>
          <w:tcPr>
            <w:tcW w:w="326" w:type="pct"/>
            <w:tcBorders>
              <w:top w:val="single" w:color="000000" w:sz="4" w:space="0"/>
              <w:left w:val="single" w:color="000000" w:sz="4" w:space="0"/>
              <w:bottom w:val="single" w:color="000000" w:sz="4" w:space="0"/>
              <w:right w:val="single" w:color="000000" w:sz="4" w:space="0"/>
            </w:tcBorders>
            <w:vAlign w:val="center"/>
          </w:tcPr>
          <w:p w14:paraId="31826C7C">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1317568A">
            <w:pPr>
              <w:pStyle w:val="28"/>
              <w:bidi w:val="0"/>
            </w:pPr>
            <w:r>
              <w:t>3.56</w:t>
            </w:r>
          </w:p>
        </w:tc>
        <w:tc>
          <w:tcPr>
            <w:tcW w:w="397" w:type="pct"/>
            <w:tcBorders>
              <w:top w:val="single" w:color="000000" w:sz="4" w:space="0"/>
              <w:left w:val="single" w:color="000000" w:sz="4" w:space="0"/>
              <w:bottom w:val="single" w:color="000000" w:sz="4" w:space="0"/>
              <w:right w:val="single" w:color="000000" w:sz="4" w:space="0"/>
            </w:tcBorders>
            <w:vAlign w:val="center"/>
          </w:tcPr>
          <w:p w14:paraId="6853F2D8">
            <w:pPr>
              <w:pStyle w:val="28"/>
              <w:bidi w:val="0"/>
            </w:pPr>
            <w:r>
              <w:t xml:space="preserve">3.75 </w:t>
            </w:r>
          </w:p>
        </w:tc>
      </w:tr>
      <w:tr w14:paraId="7CADEC28">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206CA75F">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72890D90">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0709C54D">
            <w:pPr>
              <w:pStyle w:val="28"/>
              <w:bidi w:val="0"/>
            </w:pPr>
            <w:r>
              <w:t>界河支渠工程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0EF8DCC1">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5C572D98">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3C6CF903">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08586341">
            <w:pPr>
              <w:pStyle w:val="28"/>
              <w:bidi w:val="0"/>
            </w:pPr>
            <w:r>
              <w:t>2.82</w:t>
            </w:r>
          </w:p>
        </w:tc>
        <w:tc>
          <w:tcPr>
            <w:tcW w:w="334" w:type="pct"/>
            <w:tcBorders>
              <w:top w:val="single" w:color="000000" w:sz="4" w:space="0"/>
              <w:left w:val="single" w:color="000000" w:sz="4" w:space="0"/>
              <w:bottom w:val="single" w:color="000000" w:sz="4" w:space="0"/>
              <w:right w:val="single" w:color="000000" w:sz="4" w:space="0"/>
            </w:tcBorders>
            <w:vAlign w:val="center"/>
          </w:tcPr>
          <w:p w14:paraId="5ACAD1B3">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44F287E8">
            <w:pPr>
              <w:pStyle w:val="28"/>
              <w:bidi w:val="0"/>
            </w:pPr>
            <w:r>
              <w:t>2.82</w:t>
            </w:r>
          </w:p>
        </w:tc>
        <w:tc>
          <w:tcPr>
            <w:tcW w:w="397" w:type="pct"/>
            <w:tcBorders>
              <w:top w:val="single" w:color="000000" w:sz="4" w:space="0"/>
              <w:left w:val="single" w:color="000000" w:sz="4" w:space="0"/>
              <w:bottom w:val="single" w:color="000000" w:sz="4" w:space="0"/>
              <w:right w:val="single" w:color="000000" w:sz="4" w:space="0"/>
            </w:tcBorders>
            <w:vAlign w:val="center"/>
          </w:tcPr>
          <w:p w14:paraId="6828E653">
            <w:pPr>
              <w:pStyle w:val="28"/>
              <w:bidi w:val="0"/>
            </w:pPr>
            <w:r>
              <w:t>2.97</w:t>
            </w:r>
          </w:p>
        </w:tc>
        <w:tc>
          <w:tcPr>
            <w:tcW w:w="363" w:type="pct"/>
            <w:tcBorders>
              <w:top w:val="single" w:color="000000" w:sz="4" w:space="0"/>
              <w:left w:val="single" w:color="000000" w:sz="4" w:space="0"/>
              <w:bottom w:val="single" w:color="000000" w:sz="4" w:space="0"/>
              <w:right w:val="single" w:color="000000" w:sz="4" w:space="0"/>
            </w:tcBorders>
            <w:vAlign w:val="center"/>
          </w:tcPr>
          <w:p w14:paraId="3F4392AD">
            <w:pPr>
              <w:pStyle w:val="28"/>
              <w:bidi w:val="0"/>
            </w:pPr>
            <w:r>
              <w:t>0.63</w:t>
            </w:r>
          </w:p>
        </w:tc>
        <w:tc>
          <w:tcPr>
            <w:tcW w:w="326" w:type="pct"/>
            <w:tcBorders>
              <w:top w:val="single" w:color="000000" w:sz="4" w:space="0"/>
              <w:left w:val="single" w:color="000000" w:sz="4" w:space="0"/>
              <w:bottom w:val="single" w:color="000000" w:sz="4" w:space="0"/>
              <w:right w:val="single" w:color="000000" w:sz="4" w:space="0"/>
            </w:tcBorders>
            <w:vAlign w:val="center"/>
          </w:tcPr>
          <w:p w14:paraId="432E9787">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665F4261">
            <w:pPr>
              <w:pStyle w:val="28"/>
              <w:bidi w:val="0"/>
            </w:pPr>
            <w:r>
              <w:t>3.6</w:t>
            </w:r>
          </w:p>
        </w:tc>
        <w:tc>
          <w:tcPr>
            <w:tcW w:w="397" w:type="pct"/>
            <w:tcBorders>
              <w:top w:val="single" w:color="000000" w:sz="4" w:space="0"/>
              <w:left w:val="single" w:color="000000" w:sz="4" w:space="0"/>
              <w:bottom w:val="single" w:color="000000" w:sz="4" w:space="0"/>
              <w:right w:val="single" w:color="000000" w:sz="4" w:space="0"/>
            </w:tcBorders>
            <w:vAlign w:val="center"/>
          </w:tcPr>
          <w:p w14:paraId="4CFEF737">
            <w:pPr>
              <w:pStyle w:val="28"/>
              <w:bidi w:val="0"/>
            </w:pPr>
            <w:r>
              <w:t xml:space="preserve">6.42 </w:t>
            </w:r>
          </w:p>
        </w:tc>
      </w:tr>
      <w:tr w14:paraId="05271B3D">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756C11C8">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52D6EEEA">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727E00BB">
            <w:pPr>
              <w:pStyle w:val="28"/>
              <w:bidi w:val="0"/>
            </w:pPr>
            <w:r>
              <w:t>义河支渠工程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7129D738">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7DA7A748">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3F6EAECF">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4636734B">
            <w:pPr>
              <w:pStyle w:val="28"/>
              <w:bidi w:val="0"/>
            </w:pPr>
            <w:r>
              <w:t>4.49</w:t>
            </w:r>
          </w:p>
        </w:tc>
        <w:tc>
          <w:tcPr>
            <w:tcW w:w="334" w:type="pct"/>
            <w:tcBorders>
              <w:top w:val="single" w:color="000000" w:sz="4" w:space="0"/>
              <w:left w:val="single" w:color="000000" w:sz="4" w:space="0"/>
              <w:bottom w:val="single" w:color="000000" w:sz="4" w:space="0"/>
              <w:right w:val="single" w:color="000000" w:sz="4" w:space="0"/>
            </w:tcBorders>
            <w:vAlign w:val="center"/>
          </w:tcPr>
          <w:p w14:paraId="0339EDC5">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4CD82325">
            <w:pPr>
              <w:pStyle w:val="28"/>
              <w:bidi w:val="0"/>
            </w:pPr>
            <w:r>
              <w:t>4.49</w:t>
            </w:r>
          </w:p>
        </w:tc>
        <w:tc>
          <w:tcPr>
            <w:tcW w:w="397" w:type="pct"/>
            <w:tcBorders>
              <w:top w:val="single" w:color="000000" w:sz="4" w:space="0"/>
              <w:left w:val="single" w:color="000000" w:sz="4" w:space="0"/>
              <w:bottom w:val="single" w:color="000000" w:sz="4" w:space="0"/>
              <w:right w:val="single" w:color="000000" w:sz="4" w:space="0"/>
            </w:tcBorders>
            <w:vAlign w:val="center"/>
          </w:tcPr>
          <w:p w14:paraId="7ADAC5E8">
            <w:pPr>
              <w:pStyle w:val="28"/>
              <w:bidi w:val="0"/>
            </w:pPr>
            <w:r>
              <w:t>1.48</w:t>
            </w:r>
          </w:p>
        </w:tc>
        <w:tc>
          <w:tcPr>
            <w:tcW w:w="363" w:type="pct"/>
            <w:tcBorders>
              <w:top w:val="single" w:color="000000" w:sz="4" w:space="0"/>
              <w:left w:val="single" w:color="000000" w:sz="4" w:space="0"/>
              <w:bottom w:val="single" w:color="000000" w:sz="4" w:space="0"/>
              <w:right w:val="single" w:color="000000" w:sz="4" w:space="0"/>
            </w:tcBorders>
            <w:vAlign w:val="center"/>
          </w:tcPr>
          <w:p w14:paraId="515738D9">
            <w:pPr>
              <w:pStyle w:val="28"/>
              <w:bidi w:val="0"/>
            </w:pPr>
            <w:r>
              <w:t>0.06</w:t>
            </w:r>
          </w:p>
        </w:tc>
        <w:tc>
          <w:tcPr>
            <w:tcW w:w="326" w:type="pct"/>
            <w:tcBorders>
              <w:top w:val="single" w:color="000000" w:sz="4" w:space="0"/>
              <w:left w:val="single" w:color="000000" w:sz="4" w:space="0"/>
              <w:bottom w:val="single" w:color="000000" w:sz="4" w:space="0"/>
              <w:right w:val="single" w:color="000000" w:sz="4" w:space="0"/>
            </w:tcBorders>
            <w:vAlign w:val="center"/>
          </w:tcPr>
          <w:p w14:paraId="27F9B0BC">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6463C994">
            <w:pPr>
              <w:pStyle w:val="28"/>
              <w:bidi w:val="0"/>
            </w:pPr>
            <w:r>
              <w:t>1.54</w:t>
            </w:r>
          </w:p>
        </w:tc>
        <w:tc>
          <w:tcPr>
            <w:tcW w:w="397" w:type="pct"/>
            <w:tcBorders>
              <w:top w:val="single" w:color="000000" w:sz="4" w:space="0"/>
              <w:left w:val="single" w:color="000000" w:sz="4" w:space="0"/>
              <w:bottom w:val="single" w:color="000000" w:sz="4" w:space="0"/>
              <w:right w:val="single" w:color="000000" w:sz="4" w:space="0"/>
            </w:tcBorders>
            <w:vAlign w:val="center"/>
          </w:tcPr>
          <w:p w14:paraId="03903F4A">
            <w:pPr>
              <w:pStyle w:val="28"/>
              <w:bidi w:val="0"/>
            </w:pPr>
            <w:r>
              <w:t xml:space="preserve">6.03 </w:t>
            </w:r>
          </w:p>
        </w:tc>
      </w:tr>
      <w:tr w14:paraId="2565DA0C">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6EA884CF">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5B2536F2">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57F629B3">
            <w:pPr>
              <w:pStyle w:val="28"/>
              <w:bidi w:val="0"/>
            </w:pPr>
            <w:r>
              <w:t>袁店支渠工程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58214957">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35ECD876">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7D6A91B3">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200A51A0">
            <w:pPr>
              <w:pStyle w:val="28"/>
              <w:bidi w:val="0"/>
            </w:pPr>
            <w:r>
              <w:t>3.88</w:t>
            </w:r>
          </w:p>
        </w:tc>
        <w:tc>
          <w:tcPr>
            <w:tcW w:w="334" w:type="pct"/>
            <w:tcBorders>
              <w:top w:val="single" w:color="000000" w:sz="4" w:space="0"/>
              <w:left w:val="single" w:color="000000" w:sz="4" w:space="0"/>
              <w:bottom w:val="single" w:color="000000" w:sz="4" w:space="0"/>
              <w:right w:val="single" w:color="000000" w:sz="4" w:space="0"/>
            </w:tcBorders>
            <w:vAlign w:val="center"/>
          </w:tcPr>
          <w:p w14:paraId="03A3BDEC">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790C4893">
            <w:pPr>
              <w:pStyle w:val="28"/>
              <w:bidi w:val="0"/>
            </w:pPr>
            <w:r>
              <w:t>3.88</w:t>
            </w:r>
          </w:p>
        </w:tc>
        <w:tc>
          <w:tcPr>
            <w:tcW w:w="397" w:type="pct"/>
            <w:tcBorders>
              <w:top w:val="single" w:color="000000" w:sz="4" w:space="0"/>
              <w:left w:val="single" w:color="000000" w:sz="4" w:space="0"/>
              <w:bottom w:val="single" w:color="000000" w:sz="4" w:space="0"/>
              <w:right w:val="single" w:color="000000" w:sz="4" w:space="0"/>
            </w:tcBorders>
            <w:vAlign w:val="center"/>
          </w:tcPr>
          <w:p w14:paraId="3CE99DE7">
            <w:pPr>
              <w:pStyle w:val="28"/>
              <w:bidi w:val="0"/>
            </w:pPr>
            <w:r>
              <w:t>1.52</w:t>
            </w:r>
          </w:p>
        </w:tc>
        <w:tc>
          <w:tcPr>
            <w:tcW w:w="363" w:type="pct"/>
            <w:tcBorders>
              <w:top w:val="single" w:color="000000" w:sz="4" w:space="0"/>
              <w:left w:val="single" w:color="000000" w:sz="4" w:space="0"/>
              <w:bottom w:val="single" w:color="000000" w:sz="4" w:space="0"/>
              <w:right w:val="single" w:color="000000" w:sz="4" w:space="0"/>
            </w:tcBorders>
            <w:vAlign w:val="center"/>
          </w:tcPr>
          <w:p w14:paraId="649863AD">
            <w:pPr>
              <w:pStyle w:val="28"/>
              <w:bidi w:val="0"/>
            </w:pPr>
            <w:r>
              <w:t>0.06</w:t>
            </w:r>
          </w:p>
        </w:tc>
        <w:tc>
          <w:tcPr>
            <w:tcW w:w="326" w:type="pct"/>
            <w:tcBorders>
              <w:top w:val="single" w:color="000000" w:sz="4" w:space="0"/>
              <w:left w:val="single" w:color="000000" w:sz="4" w:space="0"/>
              <w:bottom w:val="single" w:color="000000" w:sz="4" w:space="0"/>
              <w:right w:val="single" w:color="000000" w:sz="4" w:space="0"/>
            </w:tcBorders>
            <w:vAlign w:val="center"/>
          </w:tcPr>
          <w:p w14:paraId="368C2A7A">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6A2C1E86">
            <w:pPr>
              <w:pStyle w:val="28"/>
              <w:bidi w:val="0"/>
            </w:pPr>
            <w:r>
              <w:t>1.58</w:t>
            </w:r>
          </w:p>
        </w:tc>
        <w:tc>
          <w:tcPr>
            <w:tcW w:w="397" w:type="pct"/>
            <w:tcBorders>
              <w:top w:val="single" w:color="000000" w:sz="4" w:space="0"/>
              <w:left w:val="single" w:color="000000" w:sz="4" w:space="0"/>
              <w:bottom w:val="single" w:color="000000" w:sz="4" w:space="0"/>
              <w:right w:val="single" w:color="000000" w:sz="4" w:space="0"/>
            </w:tcBorders>
            <w:vAlign w:val="center"/>
          </w:tcPr>
          <w:p w14:paraId="15982516">
            <w:pPr>
              <w:pStyle w:val="28"/>
              <w:bidi w:val="0"/>
            </w:pPr>
            <w:r>
              <w:t xml:space="preserve">5.46 </w:t>
            </w:r>
          </w:p>
        </w:tc>
      </w:tr>
      <w:tr w14:paraId="1CE4373C">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46BBEB74">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2401CD6B">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371D6682">
            <w:pPr>
              <w:pStyle w:val="28"/>
              <w:bidi w:val="0"/>
            </w:pPr>
            <w:r>
              <w:t>堰西支渠工程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00B23BBD">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0DFF47AA">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0A11CE2C">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1CFB57BF">
            <w:pPr>
              <w:pStyle w:val="28"/>
              <w:bidi w:val="0"/>
            </w:pPr>
            <w:r>
              <w:t>0.95</w:t>
            </w:r>
          </w:p>
        </w:tc>
        <w:tc>
          <w:tcPr>
            <w:tcW w:w="334" w:type="pct"/>
            <w:tcBorders>
              <w:top w:val="single" w:color="000000" w:sz="4" w:space="0"/>
              <w:left w:val="single" w:color="000000" w:sz="4" w:space="0"/>
              <w:bottom w:val="single" w:color="000000" w:sz="4" w:space="0"/>
              <w:right w:val="single" w:color="000000" w:sz="4" w:space="0"/>
            </w:tcBorders>
            <w:vAlign w:val="center"/>
          </w:tcPr>
          <w:p w14:paraId="2DED87B1">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454B8590">
            <w:pPr>
              <w:pStyle w:val="28"/>
              <w:bidi w:val="0"/>
            </w:pPr>
            <w:r>
              <w:t>0.95</w:t>
            </w:r>
          </w:p>
        </w:tc>
        <w:tc>
          <w:tcPr>
            <w:tcW w:w="397" w:type="pct"/>
            <w:tcBorders>
              <w:top w:val="single" w:color="000000" w:sz="4" w:space="0"/>
              <w:left w:val="single" w:color="000000" w:sz="4" w:space="0"/>
              <w:bottom w:val="single" w:color="000000" w:sz="4" w:space="0"/>
              <w:right w:val="single" w:color="000000" w:sz="4" w:space="0"/>
            </w:tcBorders>
            <w:vAlign w:val="center"/>
          </w:tcPr>
          <w:p w14:paraId="1CDDDCE9">
            <w:pPr>
              <w:pStyle w:val="28"/>
              <w:bidi w:val="0"/>
            </w:pPr>
            <w:r>
              <w:t>0.35</w:t>
            </w:r>
          </w:p>
        </w:tc>
        <w:tc>
          <w:tcPr>
            <w:tcW w:w="363" w:type="pct"/>
            <w:tcBorders>
              <w:top w:val="single" w:color="000000" w:sz="4" w:space="0"/>
              <w:left w:val="single" w:color="000000" w:sz="4" w:space="0"/>
              <w:bottom w:val="single" w:color="000000" w:sz="4" w:space="0"/>
              <w:right w:val="single" w:color="000000" w:sz="4" w:space="0"/>
            </w:tcBorders>
            <w:vAlign w:val="center"/>
          </w:tcPr>
          <w:p w14:paraId="77A10F32">
            <w:pPr>
              <w:pStyle w:val="28"/>
              <w:bidi w:val="0"/>
            </w:pPr>
            <w:r>
              <w:t>0.54</w:t>
            </w:r>
          </w:p>
        </w:tc>
        <w:tc>
          <w:tcPr>
            <w:tcW w:w="326" w:type="pct"/>
            <w:tcBorders>
              <w:top w:val="single" w:color="000000" w:sz="4" w:space="0"/>
              <w:left w:val="single" w:color="000000" w:sz="4" w:space="0"/>
              <w:bottom w:val="single" w:color="000000" w:sz="4" w:space="0"/>
              <w:right w:val="single" w:color="000000" w:sz="4" w:space="0"/>
            </w:tcBorders>
            <w:vAlign w:val="center"/>
          </w:tcPr>
          <w:p w14:paraId="0DF3A579">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734C82A5">
            <w:pPr>
              <w:pStyle w:val="28"/>
              <w:bidi w:val="0"/>
            </w:pPr>
            <w:r>
              <w:t>0.89</w:t>
            </w:r>
          </w:p>
        </w:tc>
        <w:tc>
          <w:tcPr>
            <w:tcW w:w="397" w:type="pct"/>
            <w:tcBorders>
              <w:top w:val="single" w:color="000000" w:sz="4" w:space="0"/>
              <w:left w:val="single" w:color="000000" w:sz="4" w:space="0"/>
              <w:bottom w:val="single" w:color="000000" w:sz="4" w:space="0"/>
              <w:right w:val="single" w:color="000000" w:sz="4" w:space="0"/>
            </w:tcBorders>
            <w:vAlign w:val="center"/>
          </w:tcPr>
          <w:p w14:paraId="14BCE6B4">
            <w:pPr>
              <w:pStyle w:val="28"/>
              <w:bidi w:val="0"/>
            </w:pPr>
            <w:r>
              <w:t xml:space="preserve">1.84 </w:t>
            </w:r>
          </w:p>
        </w:tc>
      </w:tr>
      <w:tr w14:paraId="2D4C5E7B">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4A2B80F0">
            <w:pPr>
              <w:pStyle w:val="28"/>
              <w:bidi w:val="0"/>
            </w:pPr>
          </w:p>
        </w:tc>
        <w:tc>
          <w:tcPr>
            <w:tcW w:w="270" w:type="pct"/>
            <w:vMerge w:val="restart"/>
            <w:tcBorders>
              <w:top w:val="single" w:color="000000" w:sz="4" w:space="0"/>
              <w:left w:val="single" w:color="000000" w:sz="4" w:space="0"/>
              <w:bottom w:val="single" w:color="000000" w:sz="4" w:space="0"/>
              <w:right w:val="single" w:color="000000" w:sz="4" w:space="0"/>
            </w:tcBorders>
            <w:vAlign w:val="center"/>
          </w:tcPr>
          <w:p w14:paraId="17FD0AD0">
            <w:pPr>
              <w:pStyle w:val="28"/>
              <w:bidi w:val="0"/>
            </w:pPr>
            <w:r>
              <w:t>蜀山区</w:t>
            </w:r>
          </w:p>
        </w:tc>
        <w:tc>
          <w:tcPr>
            <w:tcW w:w="612" w:type="pct"/>
            <w:tcBorders>
              <w:top w:val="single" w:color="000000" w:sz="4" w:space="0"/>
              <w:left w:val="single" w:color="000000" w:sz="4" w:space="0"/>
              <w:bottom w:val="single" w:color="000000" w:sz="4" w:space="0"/>
              <w:right w:val="single" w:color="000000" w:sz="4" w:space="0"/>
            </w:tcBorders>
            <w:vAlign w:val="center"/>
          </w:tcPr>
          <w:p w14:paraId="2FCE2593">
            <w:pPr>
              <w:pStyle w:val="28"/>
              <w:bidi w:val="0"/>
            </w:pPr>
            <w:r>
              <w:t>小蜀山分干渠工程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305969A0">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530FB8D8">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2ED59E46">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10B04D37">
            <w:pPr>
              <w:pStyle w:val="28"/>
              <w:bidi w:val="0"/>
            </w:pPr>
            <w:r>
              <w:t>68.8</w:t>
            </w:r>
          </w:p>
        </w:tc>
        <w:tc>
          <w:tcPr>
            <w:tcW w:w="334" w:type="pct"/>
            <w:tcBorders>
              <w:top w:val="single" w:color="000000" w:sz="4" w:space="0"/>
              <w:left w:val="single" w:color="000000" w:sz="4" w:space="0"/>
              <w:bottom w:val="single" w:color="000000" w:sz="4" w:space="0"/>
              <w:right w:val="single" w:color="000000" w:sz="4" w:space="0"/>
            </w:tcBorders>
            <w:vAlign w:val="center"/>
          </w:tcPr>
          <w:p w14:paraId="6951DFCB">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11EE7130">
            <w:pPr>
              <w:pStyle w:val="28"/>
              <w:bidi w:val="0"/>
            </w:pPr>
            <w:r>
              <w:t>68.8</w:t>
            </w:r>
          </w:p>
        </w:tc>
        <w:tc>
          <w:tcPr>
            <w:tcW w:w="397" w:type="pct"/>
            <w:tcBorders>
              <w:top w:val="single" w:color="000000" w:sz="4" w:space="0"/>
              <w:left w:val="single" w:color="000000" w:sz="4" w:space="0"/>
              <w:bottom w:val="single" w:color="000000" w:sz="4" w:space="0"/>
              <w:right w:val="single" w:color="000000" w:sz="4" w:space="0"/>
            </w:tcBorders>
            <w:vAlign w:val="center"/>
          </w:tcPr>
          <w:p w14:paraId="5EA56C1A">
            <w:pPr>
              <w:pStyle w:val="28"/>
              <w:bidi w:val="0"/>
            </w:pPr>
            <w:r>
              <w:t>3.16</w:t>
            </w:r>
          </w:p>
        </w:tc>
        <w:tc>
          <w:tcPr>
            <w:tcW w:w="363" w:type="pct"/>
            <w:tcBorders>
              <w:top w:val="single" w:color="000000" w:sz="4" w:space="0"/>
              <w:left w:val="single" w:color="000000" w:sz="4" w:space="0"/>
              <w:bottom w:val="single" w:color="000000" w:sz="4" w:space="0"/>
              <w:right w:val="single" w:color="000000" w:sz="4" w:space="0"/>
            </w:tcBorders>
            <w:vAlign w:val="center"/>
          </w:tcPr>
          <w:p w14:paraId="21878046">
            <w:pPr>
              <w:pStyle w:val="28"/>
              <w:bidi w:val="0"/>
            </w:pPr>
            <w:r>
              <w:t>0.37</w:t>
            </w:r>
          </w:p>
        </w:tc>
        <w:tc>
          <w:tcPr>
            <w:tcW w:w="326" w:type="pct"/>
            <w:tcBorders>
              <w:top w:val="single" w:color="000000" w:sz="4" w:space="0"/>
              <w:left w:val="single" w:color="000000" w:sz="4" w:space="0"/>
              <w:bottom w:val="single" w:color="000000" w:sz="4" w:space="0"/>
              <w:right w:val="single" w:color="000000" w:sz="4" w:space="0"/>
            </w:tcBorders>
            <w:vAlign w:val="center"/>
          </w:tcPr>
          <w:p w14:paraId="367E244F">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3302051F">
            <w:pPr>
              <w:pStyle w:val="28"/>
              <w:bidi w:val="0"/>
            </w:pPr>
            <w:r>
              <w:t>3.53</w:t>
            </w:r>
          </w:p>
        </w:tc>
        <w:tc>
          <w:tcPr>
            <w:tcW w:w="397" w:type="pct"/>
            <w:tcBorders>
              <w:top w:val="single" w:color="000000" w:sz="4" w:space="0"/>
              <w:left w:val="single" w:color="000000" w:sz="4" w:space="0"/>
              <w:bottom w:val="single" w:color="000000" w:sz="4" w:space="0"/>
              <w:right w:val="single" w:color="000000" w:sz="4" w:space="0"/>
            </w:tcBorders>
            <w:vAlign w:val="center"/>
          </w:tcPr>
          <w:p w14:paraId="4DB10750">
            <w:pPr>
              <w:pStyle w:val="28"/>
              <w:bidi w:val="0"/>
            </w:pPr>
            <w:r>
              <w:t xml:space="preserve">72.33 </w:t>
            </w:r>
          </w:p>
        </w:tc>
      </w:tr>
      <w:tr w14:paraId="595113A0">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6F00AC2B">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0320AAB9">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11D07662">
            <w:pPr>
              <w:pStyle w:val="28"/>
              <w:bidi w:val="0"/>
            </w:pPr>
            <w:r>
              <w:t>淠河总干渠下段工程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39B93027">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2C1BA4D3">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6502B1B4">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6F007F21">
            <w:pPr>
              <w:pStyle w:val="28"/>
              <w:bidi w:val="0"/>
            </w:pPr>
            <w:r>
              <w:t>8.82</w:t>
            </w:r>
          </w:p>
        </w:tc>
        <w:tc>
          <w:tcPr>
            <w:tcW w:w="334" w:type="pct"/>
            <w:tcBorders>
              <w:top w:val="single" w:color="000000" w:sz="4" w:space="0"/>
              <w:left w:val="single" w:color="000000" w:sz="4" w:space="0"/>
              <w:bottom w:val="single" w:color="000000" w:sz="4" w:space="0"/>
              <w:right w:val="single" w:color="000000" w:sz="4" w:space="0"/>
            </w:tcBorders>
            <w:vAlign w:val="center"/>
          </w:tcPr>
          <w:p w14:paraId="01212B54">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6AECC854">
            <w:pPr>
              <w:pStyle w:val="28"/>
              <w:bidi w:val="0"/>
            </w:pPr>
            <w:r>
              <w:t>8.82</w:t>
            </w:r>
          </w:p>
        </w:tc>
        <w:tc>
          <w:tcPr>
            <w:tcW w:w="397" w:type="pct"/>
            <w:tcBorders>
              <w:top w:val="single" w:color="000000" w:sz="4" w:space="0"/>
              <w:left w:val="single" w:color="000000" w:sz="4" w:space="0"/>
              <w:bottom w:val="single" w:color="000000" w:sz="4" w:space="0"/>
              <w:right w:val="single" w:color="000000" w:sz="4" w:space="0"/>
            </w:tcBorders>
            <w:vAlign w:val="center"/>
          </w:tcPr>
          <w:p w14:paraId="4DA9BCC5">
            <w:pPr>
              <w:pStyle w:val="28"/>
              <w:bidi w:val="0"/>
            </w:pPr>
            <w:r>
              <w:t>3.13</w:t>
            </w:r>
          </w:p>
        </w:tc>
        <w:tc>
          <w:tcPr>
            <w:tcW w:w="363" w:type="pct"/>
            <w:tcBorders>
              <w:top w:val="single" w:color="000000" w:sz="4" w:space="0"/>
              <w:left w:val="single" w:color="000000" w:sz="4" w:space="0"/>
              <w:bottom w:val="single" w:color="000000" w:sz="4" w:space="0"/>
              <w:right w:val="single" w:color="000000" w:sz="4" w:space="0"/>
            </w:tcBorders>
            <w:vAlign w:val="center"/>
          </w:tcPr>
          <w:p w14:paraId="0A7269B9">
            <w:pPr>
              <w:pStyle w:val="28"/>
              <w:bidi w:val="0"/>
            </w:pPr>
            <w:r>
              <w:t>3.03</w:t>
            </w:r>
          </w:p>
        </w:tc>
        <w:tc>
          <w:tcPr>
            <w:tcW w:w="326" w:type="pct"/>
            <w:tcBorders>
              <w:top w:val="single" w:color="000000" w:sz="4" w:space="0"/>
              <w:left w:val="single" w:color="000000" w:sz="4" w:space="0"/>
              <w:bottom w:val="single" w:color="000000" w:sz="4" w:space="0"/>
              <w:right w:val="single" w:color="000000" w:sz="4" w:space="0"/>
            </w:tcBorders>
            <w:vAlign w:val="center"/>
          </w:tcPr>
          <w:p w14:paraId="1235A1A7">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46343DF9">
            <w:pPr>
              <w:pStyle w:val="28"/>
              <w:bidi w:val="0"/>
            </w:pPr>
            <w:r>
              <w:t>6.16</w:t>
            </w:r>
          </w:p>
        </w:tc>
        <w:tc>
          <w:tcPr>
            <w:tcW w:w="397" w:type="pct"/>
            <w:tcBorders>
              <w:top w:val="single" w:color="000000" w:sz="4" w:space="0"/>
              <w:left w:val="single" w:color="000000" w:sz="4" w:space="0"/>
              <w:bottom w:val="single" w:color="000000" w:sz="4" w:space="0"/>
              <w:right w:val="single" w:color="000000" w:sz="4" w:space="0"/>
            </w:tcBorders>
            <w:vAlign w:val="center"/>
          </w:tcPr>
          <w:p w14:paraId="0BF5E87E">
            <w:pPr>
              <w:pStyle w:val="28"/>
              <w:bidi w:val="0"/>
            </w:pPr>
            <w:r>
              <w:t xml:space="preserve">14.98 </w:t>
            </w:r>
          </w:p>
        </w:tc>
      </w:tr>
      <w:tr w14:paraId="14BB17A9">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00E054BF">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5CE182E4">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10F1813E">
            <w:pPr>
              <w:pStyle w:val="28"/>
              <w:bidi w:val="0"/>
            </w:pPr>
            <w:r>
              <w:t>滁河干渠总局直管段工程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0EDD313D">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2B55C6E9">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2074DD77">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251A1998">
            <w:pPr>
              <w:pStyle w:val="28"/>
              <w:bidi w:val="0"/>
            </w:pPr>
            <w:r>
              <w:t>2.25</w:t>
            </w:r>
          </w:p>
        </w:tc>
        <w:tc>
          <w:tcPr>
            <w:tcW w:w="334" w:type="pct"/>
            <w:tcBorders>
              <w:top w:val="single" w:color="000000" w:sz="4" w:space="0"/>
              <w:left w:val="single" w:color="000000" w:sz="4" w:space="0"/>
              <w:bottom w:val="single" w:color="000000" w:sz="4" w:space="0"/>
              <w:right w:val="single" w:color="000000" w:sz="4" w:space="0"/>
            </w:tcBorders>
            <w:vAlign w:val="center"/>
          </w:tcPr>
          <w:p w14:paraId="01FB197F">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78307343">
            <w:pPr>
              <w:pStyle w:val="28"/>
              <w:bidi w:val="0"/>
            </w:pPr>
            <w:r>
              <w:t>2.25</w:t>
            </w:r>
          </w:p>
        </w:tc>
        <w:tc>
          <w:tcPr>
            <w:tcW w:w="397" w:type="pct"/>
            <w:tcBorders>
              <w:top w:val="single" w:color="000000" w:sz="4" w:space="0"/>
              <w:left w:val="single" w:color="000000" w:sz="4" w:space="0"/>
              <w:bottom w:val="single" w:color="000000" w:sz="4" w:space="0"/>
              <w:right w:val="single" w:color="000000" w:sz="4" w:space="0"/>
            </w:tcBorders>
            <w:vAlign w:val="center"/>
          </w:tcPr>
          <w:p w14:paraId="15C78B99">
            <w:pPr>
              <w:pStyle w:val="28"/>
              <w:bidi w:val="0"/>
            </w:pPr>
            <w:r>
              <w:t>1.34</w:t>
            </w:r>
          </w:p>
        </w:tc>
        <w:tc>
          <w:tcPr>
            <w:tcW w:w="363" w:type="pct"/>
            <w:tcBorders>
              <w:top w:val="single" w:color="000000" w:sz="4" w:space="0"/>
              <w:left w:val="single" w:color="000000" w:sz="4" w:space="0"/>
              <w:bottom w:val="single" w:color="000000" w:sz="4" w:space="0"/>
              <w:right w:val="single" w:color="000000" w:sz="4" w:space="0"/>
            </w:tcBorders>
            <w:vAlign w:val="center"/>
          </w:tcPr>
          <w:p w14:paraId="5BB6E07A">
            <w:pPr>
              <w:pStyle w:val="28"/>
              <w:bidi w:val="0"/>
            </w:pPr>
            <w:r>
              <w:t>2.77</w:t>
            </w:r>
          </w:p>
        </w:tc>
        <w:tc>
          <w:tcPr>
            <w:tcW w:w="326" w:type="pct"/>
            <w:tcBorders>
              <w:top w:val="single" w:color="000000" w:sz="4" w:space="0"/>
              <w:left w:val="single" w:color="000000" w:sz="4" w:space="0"/>
              <w:bottom w:val="single" w:color="000000" w:sz="4" w:space="0"/>
              <w:right w:val="single" w:color="000000" w:sz="4" w:space="0"/>
            </w:tcBorders>
            <w:vAlign w:val="center"/>
          </w:tcPr>
          <w:p w14:paraId="043CB744">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39E37DBB">
            <w:pPr>
              <w:pStyle w:val="28"/>
              <w:bidi w:val="0"/>
            </w:pPr>
            <w:r>
              <w:t>4.11</w:t>
            </w:r>
          </w:p>
        </w:tc>
        <w:tc>
          <w:tcPr>
            <w:tcW w:w="397" w:type="pct"/>
            <w:tcBorders>
              <w:top w:val="single" w:color="000000" w:sz="4" w:space="0"/>
              <w:left w:val="single" w:color="000000" w:sz="4" w:space="0"/>
              <w:bottom w:val="single" w:color="000000" w:sz="4" w:space="0"/>
              <w:right w:val="single" w:color="000000" w:sz="4" w:space="0"/>
            </w:tcBorders>
            <w:vAlign w:val="center"/>
          </w:tcPr>
          <w:p w14:paraId="7932DD2D">
            <w:pPr>
              <w:pStyle w:val="28"/>
              <w:bidi w:val="0"/>
            </w:pPr>
            <w:r>
              <w:t xml:space="preserve">6.36 </w:t>
            </w:r>
          </w:p>
        </w:tc>
      </w:tr>
      <w:tr w14:paraId="6C07EC1D">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78A0FDD5">
            <w:pPr>
              <w:pStyle w:val="28"/>
              <w:bidi w:val="0"/>
            </w:pPr>
          </w:p>
        </w:tc>
        <w:tc>
          <w:tcPr>
            <w:tcW w:w="270" w:type="pct"/>
            <w:vMerge w:val="restart"/>
            <w:tcBorders>
              <w:top w:val="single" w:color="000000" w:sz="4" w:space="0"/>
              <w:left w:val="single" w:color="000000" w:sz="4" w:space="0"/>
              <w:bottom w:val="single" w:color="000000" w:sz="4" w:space="0"/>
              <w:right w:val="single" w:color="000000" w:sz="4" w:space="0"/>
            </w:tcBorders>
            <w:vAlign w:val="center"/>
          </w:tcPr>
          <w:p w14:paraId="5A38AC09">
            <w:pPr>
              <w:pStyle w:val="28"/>
              <w:bidi w:val="0"/>
            </w:pPr>
            <w:r>
              <w:t>庐江县</w:t>
            </w:r>
          </w:p>
        </w:tc>
        <w:tc>
          <w:tcPr>
            <w:tcW w:w="612" w:type="pct"/>
            <w:tcBorders>
              <w:top w:val="single" w:color="000000" w:sz="4" w:space="0"/>
              <w:left w:val="single" w:color="000000" w:sz="4" w:space="0"/>
              <w:bottom w:val="single" w:color="000000" w:sz="4" w:space="0"/>
              <w:right w:val="single" w:color="000000" w:sz="4" w:space="0"/>
            </w:tcBorders>
            <w:vAlign w:val="center"/>
          </w:tcPr>
          <w:p w14:paraId="12CE0064">
            <w:pPr>
              <w:pStyle w:val="28"/>
              <w:bidi w:val="0"/>
            </w:pPr>
            <w:r>
              <w:t>舒庐干渠7座水闸工程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291E93B9">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44A873FF">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77164D14">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3AE056EF">
            <w:pPr>
              <w:pStyle w:val="28"/>
              <w:bidi w:val="0"/>
            </w:pPr>
            <w:r>
              <w:t>0.41</w:t>
            </w:r>
          </w:p>
        </w:tc>
        <w:tc>
          <w:tcPr>
            <w:tcW w:w="334" w:type="pct"/>
            <w:tcBorders>
              <w:top w:val="single" w:color="000000" w:sz="4" w:space="0"/>
              <w:left w:val="single" w:color="000000" w:sz="4" w:space="0"/>
              <w:bottom w:val="single" w:color="000000" w:sz="4" w:space="0"/>
              <w:right w:val="single" w:color="000000" w:sz="4" w:space="0"/>
            </w:tcBorders>
            <w:vAlign w:val="center"/>
          </w:tcPr>
          <w:p w14:paraId="6562621E">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7D8DAE58">
            <w:pPr>
              <w:pStyle w:val="28"/>
              <w:bidi w:val="0"/>
            </w:pPr>
            <w:r>
              <w:t>0.41</w:t>
            </w:r>
          </w:p>
        </w:tc>
        <w:tc>
          <w:tcPr>
            <w:tcW w:w="397" w:type="pct"/>
            <w:tcBorders>
              <w:top w:val="single" w:color="000000" w:sz="4" w:space="0"/>
              <w:left w:val="single" w:color="000000" w:sz="4" w:space="0"/>
              <w:bottom w:val="single" w:color="000000" w:sz="4" w:space="0"/>
              <w:right w:val="single" w:color="000000" w:sz="4" w:space="0"/>
            </w:tcBorders>
            <w:vAlign w:val="center"/>
          </w:tcPr>
          <w:p w14:paraId="1C836EE5">
            <w:pPr>
              <w:pStyle w:val="28"/>
              <w:bidi w:val="0"/>
            </w:pPr>
            <w:r>
              <w:t>3.33</w:t>
            </w:r>
          </w:p>
        </w:tc>
        <w:tc>
          <w:tcPr>
            <w:tcW w:w="363" w:type="pct"/>
            <w:tcBorders>
              <w:top w:val="single" w:color="000000" w:sz="4" w:space="0"/>
              <w:left w:val="single" w:color="000000" w:sz="4" w:space="0"/>
              <w:bottom w:val="single" w:color="000000" w:sz="4" w:space="0"/>
              <w:right w:val="single" w:color="000000" w:sz="4" w:space="0"/>
            </w:tcBorders>
            <w:vAlign w:val="center"/>
          </w:tcPr>
          <w:p w14:paraId="6336ADE5">
            <w:pPr>
              <w:pStyle w:val="28"/>
              <w:bidi w:val="0"/>
            </w:pPr>
            <w:r>
              <w:t>0.43</w:t>
            </w:r>
          </w:p>
        </w:tc>
        <w:tc>
          <w:tcPr>
            <w:tcW w:w="326" w:type="pct"/>
            <w:tcBorders>
              <w:top w:val="single" w:color="000000" w:sz="4" w:space="0"/>
              <w:left w:val="single" w:color="000000" w:sz="4" w:space="0"/>
              <w:bottom w:val="single" w:color="000000" w:sz="4" w:space="0"/>
              <w:right w:val="single" w:color="000000" w:sz="4" w:space="0"/>
            </w:tcBorders>
            <w:vAlign w:val="center"/>
          </w:tcPr>
          <w:p w14:paraId="0F571873">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3656A65B">
            <w:pPr>
              <w:pStyle w:val="28"/>
              <w:bidi w:val="0"/>
            </w:pPr>
            <w:r>
              <w:t>3.76</w:t>
            </w:r>
          </w:p>
        </w:tc>
        <w:tc>
          <w:tcPr>
            <w:tcW w:w="397" w:type="pct"/>
            <w:tcBorders>
              <w:top w:val="single" w:color="000000" w:sz="4" w:space="0"/>
              <w:left w:val="single" w:color="000000" w:sz="4" w:space="0"/>
              <w:bottom w:val="single" w:color="000000" w:sz="4" w:space="0"/>
              <w:right w:val="single" w:color="000000" w:sz="4" w:space="0"/>
            </w:tcBorders>
            <w:vAlign w:val="center"/>
          </w:tcPr>
          <w:p w14:paraId="4E3B7B3B">
            <w:pPr>
              <w:pStyle w:val="28"/>
              <w:bidi w:val="0"/>
            </w:pPr>
            <w:r>
              <w:t xml:space="preserve">4.17 </w:t>
            </w:r>
          </w:p>
        </w:tc>
      </w:tr>
      <w:tr w14:paraId="70725EE9">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62348EEF">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54E2B680">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1EF13018">
            <w:pPr>
              <w:pStyle w:val="28"/>
              <w:bidi w:val="0"/>
            </w:pPr>
            <w:r>
              <w:t>沙胜支渠工程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6CC23CC6">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1056053A">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34716F0A">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5710720D">
            <w:pPr>
              <w:pStyle w:val="28"/>
              <w:bidi w:val="0"/>
            </w:pPr>
            <w:r>
              <w:t>11.04</w:t>
            </w:r>
          </w:p>
        </w:tc>
        <w:tc>
          <w:tcPr>
            <w:tcW w:w="334" w:type="pct"/>
            <w:tcBorders>
              <w:top w:val="single" w:color="000000" w:sz="4" w:space="0"/>
              <w:left w:val="single" w:color="000000" w:sz="4" w:space="0"/>
              <w:bottom w:val="single" w:color="000000" w:sz="4" w:space="0"/>
              <w:right w:val="single" w:color="000000" w:sz="4" w:space="0"/>
            </w:tcBorders>
            <w:vAlign w:val="center"/>
          </w:tcPr>
          <w:p w14:paraId="6060F894">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07EEC5B6">
            <w:pPr>
              <w:pStyle w:val="28"/>
              <w:bidi w:val="0"/>
            </w:pPr>
            <w:r>
              <w:t>11.04</w:t>
            </w:r>
          </w:p>
        </w:tc>
        <w:tc>
          <w:tcPr>
            <w:tcW w:w="397" w:type="pct"/>
            <w:tcBorders>
              <w:top w:val="single" w:color="000000" w:sz="4" w:space="0"/>
              <w:left w:val="single" w:color="000000" w:sz="4" w:space="0"/>
              <w:bottom w:val="single" w:color="000000" w:sz="4" w:space="0"/>
              <w:right w:val="single" w:color="000000" w:sz="4" w:space="0"/>
            </w:tcBorders>
            <w:vAlign w:val="center"/>
          </w:tcPr>
          <w:p w14:paraId="52C958D8">
            <w:pPr>
              <w:pStyle w:val="28"/>
              <w:bidi w:val="0"/>
            </w:pPr>
            <w:r>
              <w:t>1.84</w:t>
            </w:r>
          </w:p>
        </w:tc>
        <w:tc>
          <w:tcPr>
            <w:tcW w:w="363" w:type="pct"/>
            <w:tcBorders>
              <w:top w:val="single" w:color="000000" w:sz="4" w:space="0"/>
              <w:left w:val="single" w:color="000000" w:sz="4" w:space="0"/>
              <w:bottom w:val="single" w:color="000000" w:sz="4" w:space="0"/>
              <w:right w:val="single" w:color="000000" w:sz="4" w:space="0"/>
            </w:tcBorders>
            <w:vAlign w:val="center"/>
          </w:tcPr>
          <w:p w14:paraId="1F3BEBF6">
            <w:pPr>
              <w:pStyle w:val="28"/>
              <w:bidi w:val="0"/>
            </w:pPr>
            <w:r>
              <w:t>11.39</w:t>
            </w:r>
          </w:p>
        </w:tc>
        <w:tc>
          <w:tcPr>
            <w:tcW w:w="326" w:type="pct"/>
            <w:tcBorders>
              <w:top w:val="single" w:color="000000" w:sz="4" w:space="0"/>
              <w:left w:val="single" w:color="000000" w:sz="4" w:space="0"/>
              <w:bottom w:val="single" w:color="000000" w:sz="4" w:space="0"/>
              <w:right w:val="single" w:color="000000" w:sz="4" w:space="0"/>
            </w:tcBorders>
            <w:vAlign w:val="center"/>
          </w:tcPr>
          <w:p w14:paraId="57E3F7D6">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6C91FE4B">
            <w:pPr>
              <w:pStyle w:val="28"/>
              <w:bidi w:val="0"/>
            </w:pPr>
            <w:r>
              <w:t>13.23</w:t>
            </w:r>
          </w:p>
        </w:tc>
        <w:tc>
          <w:tcPr>
            <w:tcW w:w="397" w:type="pct"/>
            <w:tcBorders>
              <w:top w:val="single" w:color="000000" w:sz="4" w:space="0"/>
              <w:left w:val="single" w:color="000000" w:sz="4" w:space="0"/>
              <w:bottom w:val="single" w:color="000000" w:sz="4" w:space="0"/>
              <w:right w:val="single" w:color="000000" w:sz="4" w:space="0"/>
            </w:tcBorders>
            <w:vAlign w:val="center"/>
          </w:tcPr>
          <w:p w14:paraId="3B5B8450">
            <w:pPr>
              <w:pStyle w:val="28"/>
              <w:bidi w:val="0"/>
            </w:pPr>
            <w:r>
              <w:t xml:space="preserve">24.27 </w:t>
            </w:r>
          </w:p>
        </w:tc>
      </w:tr>
      <w:tr w14:paraId="0A41E7D4">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223228BD">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7004ECF1">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06F92C6E">
            <w:pPr>
              <w:pStyle w:val="28"/>
              <w:bidi w:val="0"/>
            </w:pPr>
            <w:r>
              <w:t>乐桥支渠工程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65AA257E">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45C48E5C">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1141196B">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76F2E617">
            <w:pPr>
              <w:pStyle w:val="28"/>
              <w:bidi w:val="0"/>
            </w:pPr>
            <w:r>
              <w:t>6.32</w:t>
            </w:r>
          </w:p>
        </w:tc>
        <w:tc>
          <w:tcPr>
            <w:tcW w:w="334" w:type="pct"/>
            <w:tcBorders>
              <w:top w:val="single" w:color="000000" w:sz="4" w:space="0"/>
              <w:left w:val="single" w:color="000000" w:sz="4" w:space="0"/>
              <w:bottom w:val="single" w:color="000000" w:sz="4" w:space="0"/>
              <w:right w:val="single" w:color="000000" w:sz="4" w:space="0"/>
            </w:tcBorders>
            <w:vAlign w:val="center"/>
          </w:tcPr>
          <w:p w14:paraId="0D3263CB">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52CCDB3D">
            <w:pPr>
              <w:pStyle w:val="28"/>
              <w:bidi w:val="0"/>
            </w:pPr>
            <w:r>
              <w:t>6.32</w:t>
            </w:r>
          </w:p>
        </w:tc>
        <w:tc>
          <w:tcPr>
            <w:tcW w:w="397" w:type="pct"/>
            <w:tcBorders>
              <w:top w:val="single" w:color="000000" w:sz="4" w:space="0"/>
              <w:left w:val="single" w:color="000000" w:sz="4" w:space="0"/>
              <w:bottom w:val="single" w:color="000000" w:sz="4" w:space="0"/>
              <w:right w:val="single" w:color="000000" w:sz="4" w:space="0"/>
            </w:tcBorders>
            <w:vAlign w:val="center"/>
          </w:tcPr>
          <w:p w14:paraId="6A1B2539">
            <w:pPr>
              <w:pStyle w:val="28"/>
              <w:bidi w:val="0"/>
            </w:pPr>
            <w:r>
              <w:t>1.42</w:t>
            </w:r>
          </w:p>
        </w:tc>
        <w:tc>
          <w:tcPr>
            <w:tcW w:w="363" w:type="pct"/>
            <w:tcBorders>
              <w:top w:val="single" w:color="000000" w:sz="4" w:space="0"/>
              <w:left w:val="single" w:color="000000" w:sz="4" w:space="0"/>
              <w:bottom w:val="single" w:color="000000" w:sz="4" w:space="0"/>
              <w:right w:val="single" w:color="000000" w:sz="4" w:space="0"/>
            </w:tcBorders>
            <w:vAlign w:val="center"/>
          </w:tcPr>
          <w:p w14:paraId="64E4918E">
            <w:pPr>
              <w:pStyle w:val="28"/>
              <w:bidi w:val="0"/>
            </w:pPr>
            <w:r>
              <w:t>1.33</w:t>
            </w:r>
          </w:p>
        </w:tc>
        <w:tc>
          <w:tcPr>
            <w:tcW w:w="326" w:type="pct"/>
            <w:tcBorders>
              <w:top w:val="single" w:color="000000" w:sz="4" w:space="0"/>
              <w:left w:val="single" w:color="000000" w:sz="4" w:space="0"/>
              <w:bottom w:val="single" w:color="000000" w:sz="4" w:space="0"/>
              <w:right w:val="single" w:color="000000" w:sz="4" w:space="0"/>
            </w:tcBorders>
            <w:vAlign w:val="center"/>
          </w:tcPr>
          <w:p w14:paraId="71F128F5">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324F65A4">
            <w:pPr>
              <w:pStyle w:val="28"/>
              <w:bidi w:val="0"/>
            </w:pPr>
            <w:r>
              <w:t>2.75</w:t>
            </w:r>
          </w:p>
        </w:tc>
        <w:tc>
          <w:tcPr>
            <w:tcW w:w="397" w:type="pct"/>
            <w:tcBorders>
              <w:top w:val="single" w:color="000000" w:sz="4" w:space="0"/>
              <w:left w:val="single" w:color="000000" w:sz="4" w:space="0"/>
              <w:bottom w:val="single" w:color="000000" w:sz="4" w:space="0"/>
              <w:right w:val="single" w:color="000000" w:sz="4" w:space="0"/>
            </w:tcBorders>
            <w:vAlign w:val="center"/>
          </w:tcPr>
          <w:p w14:paraId="33B64602">
            <w:pPr>
              <w:pStyle w:val="28"/>
              <w:bidi w:val="0"/>
            </w:pPr>
            <w:r>
              <w:t xml:space="preserve">9.07 </w:t>
            </w:r>
          </w:p>
        </w:tc>
      </w:tr>
      <w:tr w14:paraId="50F96335">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74761461">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5C735EE9">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01850C4A">
            <w:pPr>
              <w:pStyle w:val="28"/>
              <w:bidi w:val="0"/>
            </w:pPr>
            <w:r>
              <w:t>马田支渠工程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5221C6BF">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548598F3">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6594E8D6">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5054F68F">
            <w:pPr>
              <w:pStyle w:val="28"/>
              <w:bidi w:val="0"/>
            </w:pPr>
            <w:r>
              <w:t>3.65</w:t>
            </w:r>
          </w:p>
        </w:tc>
        <w:tc>
          <w:tcPr>
            <w:tcW w:w="334" w:type="pct"/>
            <w:tcBorders>
              <w:top w:val="single" w:color="000000" w:sz="4" w:space="0"/>
              <w:left w:val="single" w:color="000000" w:sz="4" w:space="0"/>
              <w:bottom w:val="single" w:color="000000" w:sz="4" w:space="0"/>
              <w:right w:val="single" w:color="000000" w:sz="4" w:space="0"/>
            </w:tcBorders>
            <w:vAlign w:val="center"/>
          </w:tcPr>
          <w:p w14:paraId="4190A152">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59D0353B">
            <w:pPr>
              <w:pStyle w:val="28"/>
              <w:bidi w:val="0"/>
            </w:pPr>
            <w:r>
              <w:t>3.65</w:t>
            </w:r>
          </w:p>
        </w:tc>
        <w:tc>
          <w:tcPr>
            <w:tcW w:w="397" w:type="pct"/>
            <w:tcBorders>
              <w:top w:val="single" w:color="000000" w:sz="4" w:space="0"/>
              <w:left w:val="single" w:color="000000" w:sz="4" w:space="0"/>
              <w:bottom w:val="single" w:color="000000" w:sz="4" w:space="0"/>
              <w:right w:val="single" w:color="000000" w:sz="4" w:space="0"/>
            </w:tcBorders>
            <w:vAlign w:val="center"/>
          </w:tcPr>
          <w:p w14:paraId="25290071">
            <w:pPr>
              <w:pStyle w:val="28"/>
              <w:bidi w:val="0"/>
            </w:pPr>
            <w:r>
              <w:t>0.37</w:t>
            </w:r>
          </w:p>
        </w:tc>
        <w:tc>
          <w:tcPr>
            <w:tcW w:w="363" w:type="pct"/>
            <w:tcBorders>
              <w:top w:val="single" w:color="000000" w:sz="4" w:space="0"/>
              <w:left w:val="single" w:color="000000" w:sz="4" w:space="0"/>
              <w:bottom w:val="single" w:color="000000" w:sz="4" w:space="0"/>
              <w:right w:val="single" w:color="000000" w:sz="4" w:space="0"/>
            </w:tcBorders>
            <w:vAlign w:val="center"/>
          </w:tcPr>
          <w:p w14:paraId="48140C6E">
            <w:pPr>
              <w:pStyle w:val="28"/>
              <w:bidi w:val="0"/>
            </w:pPr>
            <w:r>
              <w:t>0.72</w:t>
            </w:r>
          </w:p>
        </w:tc>
        <w:tc>
          <w:tcPr>
            <w:tcW w:w="326" w:type="pct"/>
            <w:tcBorders>
              <w:top w:val="single" w:color="000000" w:sz="4" w:space="0"/>
              <w:left w:val="single" w:color="000000" w:sz="4" w:space="0"/>
              <w:bottom w:val="single" w:color="000000" w:sz="4" w:space="0"/>
              <w:right w:val="single" w:color="000000" w:sz="4" w:space="0"/>
            </w:tcBorders>
            <w:vAlign w:val="center"/>
          </w:tcPr>
          <w:p w14:paraId="51FCDBB0">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7DE361C5">
            <w:pPr>
              <w:pStyle w:val="28"/>
              <w:bidi w:val="0"/>
            </w:pPr>
            <w:r>
              <w:t>1.09</w:t>
            </w:r>
          </w:p>
        </w:tc>
        <w:tc>
          <w:tcPr>
            <w:tcW w:w="397" w:type="pct"/>
            <w:tcBorders>
              <w:top w:val="single" w:color="000000" w:sz="4" w:space="0"/>
              <w:left w:val="single" w:color="000000" w:sz="4" w:space="0"/>
              <w:bottom w:val="single" w:color="000000" w:sz="4" w:space="0"/>
              <w:right w:val="single" w:color="000000" w:sz="4" w:space="0"/>
            </w:tcBorders>
            <w:vAlign w:val="center"/>
          </w:tcPr>
          <w:p w14:paraId="4FD153B1">
            <w:pPr>
              <w:pStyle w:val="28"/>
              <w:bidi w:val="0"/>
            </w:pPr>
            <w:r>
              <w:t xml:space="preserve">4.74 </w:t>
            </w:r>
          </w:p>
        </w:tc>
      </w:tr>
      <w:tr w14:paraId="4D887035">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3D4A9C11">
            <w:pPr>
              <w:pStyle w:val="28"/>
              <w:bidi w:val="0"/>
            </w:pPr>
          </w:p>
        </w:tc>
        <w:tc>
          <w:tcPr>
            <w:tcW w:w="882" w:type="pct"/>
            <w:gridSpan w:val="2"/>
            <w:tcBorders>
              <w:top w:val="single" w:color="000000" w:sz="4" w:space="0"/>
              <w:left w:val="single" w:color="000000" w:sz="4" w:space="0"/>
              <w:bottom w:val="single" w:color="000000" w:sz="4" w:space="0"/>
              <w:right w:val="single" w:color="000000" w:sz="4" w:space="0"/>
            </w:tcBorders>
            <w:vAlign w:val="center"/>
          </w:tcPr>
          <w:p w14:paraId="20E435D4">
            <w:pPr>
              <w:pStyle w:val="28"/>
              <w:bidi w:val="0"/>
            </w:pPr>
            <w:r>
              <w:t>合计</w:t>
            </w:r>
          </w:p>
        </w:tc>
        <w:tc>
          <w:tcPr>
            <w:tcW w:w="269" w:type="pct"/>
            <w:tcBorders>
              <w:top w:val="single" w:color="000000" w:sz="4" w:space="0"/>
              <w:left w:val="single" w:color="000000" w:sz="4" w:space="0"/>
              <w:bottom w:val="single" w:color="000000" w:sz="4" w:space="0"/>
              <w:right w:val="single" w:color="000000" w:sz="4" w:space="0"/>
            </w:tcBorders>
            <w:vAlign w:val="center"/>
          </w:tcPr>
          <w:p w14:paraId="4E1E8A2C">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2FBB7159">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57983EDE">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0B2A4253">
            <w:pPr>
              <w:pStyle w:val="28"/>
              <w:bidi w:val="0"/>
            </w:pPr>
            <w:r>
              <w:t>152.76</w:t>
            </w:r>
          </w:p>
        </w:tc>
        <w:tc>
          <w:tcPr>
            <w:tcW w:w="334" w:type="pct"/>
            <w:tcBorders>
              <w:top w:val="single" w:color="000000" w:sz="4" w:space="0"/>
              <w:left w:val="single" w:color="000000" w:sz="4" w:space="0"/>
              <w:bottom w:val="single" w:color="000000" w:sz="4" w:space="0"/>
              <w:right w:val="single" w:color="000000" w:sz="4" w:space="0"/>
            </w:tcBorders>
            <w:vAlign w:val="center"/>
          </w:tcPr>
          <w:p w14:paraId="51EAD313">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399F8054">
            <w:pPr>
              <w:pStyle w:val="28"/>
              <w:bidi w:val="0"/>
            </w:pPr>
            <w:r>
              <w:t>152.76</w:t>
            </w:r>
          </w:p>
        </w:tc>
        <w:tc>
          <w:tcPr>
            <w:tcW w:w="397" w:type="pct"/>
            <w:tcBorders>
              <w:top w:val="single" w:color="000000" w:sz="4" w:space="0"/>
              <w:left w:val="single" w:color="000000" w:sz="4" w:space="0"/>
              <w:bottom w:val="single" w:color="000000" w:sz="4" w:space="0"/>
              <w:right w:val="single" w:color="000000" w:sz="4" w:space="0"/>
            </w:tcBorders>
            <w:vAlign w:val="center"/>
          </w:tcPr>
          <w:p w14:paraId="4A8053D5">
            <w:pPr>
              <w:pStyle w:val="28"/>
              <w:bidi w:val="0"/>
            </w:pPr>
            <w:r>
              <w:t>29.29</w:t>
            </w:r>
          </w:p>
        </w:tc>
        <w:tc>
          <w:tcPr>
            <w:tcW w:w="363" w:type="pct"/>
            <w:tcBorders>
              <w:top w:val="single" w:color="000000" w:sz="4" w:space="0"/>
              <w:left w:val="single" w:color="000000" w:sz="4" w:space="0"/>
              <w:bottom w:val="single" w:color="000000" w:sz="4" w:space="0"/>
              <w:right w:val="single" w:color="000000" w:sz="4" w:space="0"/>
            </w:tcBorders>
            <w:vAlign w:val="center"/>
          </w:tcPr>
          <w:p w14:paraId="16D27924">
            <w:pPr>
              <w:pStyle w:val="28"/>
              <w:bidi w:val="0"/>
            </w:pPr>
            <w:r>
              <w:t>27.42</w:t>
            </w:r>
          </w:p>
        </w:tc>
        <w:tc>
          <w:tcPr>
            <w:tcW w:w="326" w:type="pct"/>
            <w:tcBorders>
              <w:top w:val="single" w:color="000000" w:sz="4" w:space="0"/>
              <w:left w:val="single" w:color="000000" w:sz="4" w:space="0"/>
              <w:bottom w:val="single" w:color="000000" w:sz="4" w:space="0"/>
              <w:right w:val="single" w:color="000000" w:sz="4" w:space="0"/>
            </w:tcBorders>
            <w:vAlign w:val="center"/>
          </w:tcPr>
          <w:p w14:paraId="7E96F476">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167766C4">
            <w:pPr>
              <w:pStyle w:val="28"/>
              <w:bidi w:val="0"/>
            </w:pPr>
            <w:r>
              <w:t>56.71</w:t>
            </w:r>
          </w:p>
        </w:tc>
        <w:tc>
          <w:tcPr>
            <w:tcW w:w="397" w:type="pct"/>
            <w:tcBorders>
              <w:top w:val="single" w:color="000000" w:sz="4" w:space="0"/>
              <w:left w:val="single" w:color="000000" w:sz="4" w:space="0"/>
              <w:bottom w:val="single" w:color="000000" w:sz="4" w:space="0"/>
              <w:right w:val="single" w:color="000000" w:sz="4" w:space="0"/>
            </w:tcBorders>
            <w:vAlign w:val="center"/>
          </w:tcPr>
          <w:p w14:paraId="5C5DA4EE">
            <w:pPr>
              <w:pStyle w:val="28"/>
              <w:bidi w:val="0"/>
            </w:pPr>
            <w:r>
              <w:t xml:space="preserve">209.47 </w:t>
            </w:r>
          </w:p>
        </w:tc>
      </w:tr>
      <w:tr w14:paraId="61A3A8FE">
        <w:tblPrEx>
          <w:tblCellMar>
            <w:top w:w="0" w:type="dxa"/>
            <w:left w:w="108" w:type="dxa"/>
            <w:bottom w:w="0" w:type="dxa"/>
            <w:right w:w="108" w:type="dxa"/>
          </w:tblCellMar>
        </w:tblPrEx>
        <w:trPr>
          <w:trHeight w:val="340" w:hRule="atLeast"/>
          <w:jc w:val="center"/>
        </w:trPr>
        <w:tc>
          <w:tcPr>
            <w:tcW w:w="269" w:type="pct"/>
            <w:vMerge w:val="restart"/>
            <w:tcBorders>
              <w:top w:val="single" w:color="000000" w:sz="4" w:space="0"/>
              <w:left w:val="single" w:color="000000" w:sz="4" w:space="0"/>
              <w:bottom w:val="single" w:color="000000" w:sz="4" w:space="0"/>
              <w:right w:val="single" w:color="000000" w:sz="4" w:space="0"/>
            </w:tcBorders>
            <w:vAlign w:val="center"/>
          </w:tcPr>
          <w:p w14:paraId="4B880689">
            <w:pPr>
              <w:pStyle w:val="28"/>
              <w:bidi w:val="0"/>
            </w:pPr>
            <w:r>
              <w:t>六安市</w:t>
            </w:r>
          </w:p>
        </w:tc>
        <w:tc>
          <w:tcPr>
            <w:tcW w:w="270" w:type="pct"/>
            <w:vMerge w:val="restart"/>
            <w:tcBorders>
              <w:top w:val="single" w:color="000000" w:sz="4" w:space="0"/>
              <w:left w:val="single" w:color="000000" w:sz="4" w:space="0"/>
              <w:bottom w:val="single" w:color="000000" w:sz="4" w:space="0"/>
              <w:right w:val="single" w:color="000000" w:sz="4" w:space="0"/>
            </w:tcBorders>
            <w:vAlign w:val="center"/>
          </w:tcPr>
          <w:p w14:paraId="43C5D61C">
            <w:pPr>
              <w:pStyle w:val="28"/>
              <w:bidi w:val="0"/>
            </w:pPr>
            <w:r>
              <w:t>金安区</w:t>
            </w:r>
          </w:p>
        </w:tc>
        <w:tc>
          <w:tcPr>
            <w:tcW w:w="612" w:type="pct"/>
            <w:tcBorders>
              <w:top w:val="single" w:color="000000" w:sz="4" w:space="0"/>
              <w:left w:val="single" w:color="000000" w:sz="4" w:space="0"/>
              <w:bottom w:val="single" w:color="000000" w:sz="4" w:space="0"/>
              <w:right w:val="single" w:color="000000" w:sz="4" w:space="0"/>
            </w:tcBorders>
            <w:vAlign w:val="center"/>
          </w:tcPr>
          <w:p w14:paraId="54AAD645">
            <w:pPr>
              <w:pStyle w:val="28"/>
              <w:bidi w:val="0"/>
            </w:pPr>
            <w:r>
              <w:t>淠杭干渠工程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14DF9AEB">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53E51206">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7CD5AC8A">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28BBC55C">
            <w:pPr>
              <w:pStyle w:val="28"/>
              <w:bidi w:val="0"/>
            </w:pPr>
            <w:r>
              <w:t>2.67</w:t>
            </w:r>
          </w:p>
        </w:tc>
        <w:tc>
          <w:tcPr>
            <w:tcW w:w="334" w:type="pct"/>
            <w:tcBorders>
              <w:top w:val="single" w:color="000000" w:sz="4" w:space="0"/>
              <w:left w:val="single" w:color="000000" w:sz="4" w:space="0"/>
              <w:bottom w:val="single" w:color="000000" w:sz="4" w:space="0"/>
              <w:right w:val="single" w:color="000000" w:sz="4" w:space="0"/>
            </w:tcBorders>
            <w:vAlign w:val="center"/>
          </w:tcPr>
          <w:p w14:paraId="54F2FE93">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4620341B">
            <w:pPr>
              <w:pStyle w:val="28"/>
              <w:bidi w:val="0"/>
            </w:pPr>
            <w:r>
              <w:t>2.67</w:t>
            </w:r>
          </w:p>
        </w:tc>
        <w:tc>
          <w:tcPr>
            <w:tcW w:w="397" w:type="pct"/>
            <w:tcBorders>
              <w:top w:val="single" w:color="000000" w:sz="4" w:space="0"/>
              <w:left w:val="single" w:color="000000" w:sz="4" w:space="0"/>
              <w:bottom w:val="single" w:color="000000" w:sz="4" w:space="0"/>
              <w:right w:val="single" w:color="000000" w:sz="4" w:space="0"/>
            </w:tcBorders>
            <w:vAlign w:val="center"/>
          </w:tcPr>
          <w:p w14:paraId="52F6F679">
            <w:pPr>
              <w:pStyle w:val="28"/>
              <w:bidi w:val="0"/>
            </w:pPr>
            <w:r>
              <w:t>4.77</w:t>
            </w:r>
          </w:p>
        </w:tc>
        <w:tc>
          <w:tcPr>
            <w:tcW w:w="363" w:type="pct"/>
            <w:tcBorders>
              <w:top w:val="single" w:color="000000" w:sz="4" w:space="0"/>
              <w:left w:val="single" w:color="000000" w:sz="4" w:space="0"/>
              <w:bottom w:val="single" w:color="000000" w:sz="4" w:space="0"/>
              <w:right w:val="single" w:color="000000" w:sz="4" w:space="0"/>
            </w:tcBorders>
            <w:vAlign w:val="center"/>
          </w:tcPr>
          <w:p w14:paraId="305ED7D3">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4E08A7D7">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0358D1F6">
            <w:pPr>
              <w:pStyle w:val="28"/>
              <w:bidi w:val="0"/>
            </w:pPr>
            <w:r>
              <w:t>4.77</w:t>
            </w:r>
          </w:p>
        </w:tc>
        <w:tc>
          <w:tcPr>
            <w:tcW w:w="397" w:type="pct"/>
            <w:tcBorders>
              <w:top w:val="single" w:color="000000" w:sz="4" w:space="0"/>
              <w:left w:val="single" w:color="000000" w:sz="4" w:space="0"/>
              <w:bottom w:val="single" w:color="000000" w:sz="4" w:space="0"/>
              <w:right w:val="single" w:color="000000" w:sz="4" w:space="0"/>
            </w:tcBorders>
            <w:vAlign w:val="center"/>
          </w:tcPr>
          <w:p w14:paraId="1868FCF5">
            <w:pPr>
              <w:pStyle w:val="28"/>
              <w:bidi w:val="0"/>
            </w:pPr>
            <w:r>
              <w:t xml:space="preserve">7.44 </w:t>
            </w:r>
          </w:p>
        </w:tc>
      </w:tr>
      <w:tr w14:paraId="20A0ADEA">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150FD058">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74CE14CB">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6A50E984">
            <w:pPr>
              <w:pStyle w:val="28"/>
              <w:bidi w:val="0"/>
            </w:pPr>
            <w:r>
              <w:t>瓦西干渠工程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0C36958F">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69AB76D7">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1C91D8AA">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43C0CBB5">
            <w:pPr>
              <w:pStyle w:val="28"/>
              <w:bidi w:val="0"/>
            </w:pPr>
            <w:r>
              <w:t>9.24</w:t>
            </w:r>
          </w:p>
        </w:tc>
        <w:tc>
          <w:tcPr>
            <w:tcW w:w="334" w:type="pct"/>
            <w:tcBorders>
              <w:top w:val="single" w:color="000000" w:sz="4" w:space="0"/>
              <w:left w:val="single" w:color="000000" w:sz="4" w:space="0"/>
              <w:bottom w:val="single" w:color="000000" w:sz="4" w:space="0"/>
              <w:right w:val="single" w:color="000000" w:sz="4" w:space="0"/>
            </w:tcBorders>
            <w:vAlign w:val="center"/>
          </w:tcPr>
          <w:p w14:paraId="6DE3E98B">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334D45D7">
            <w:pPr>
              <w:pStyle w:val="28"/>
              <w:bidi w:val="0"/>
            </w:pPr>
            <w:r>
              <w:t>9.24</w:t>
            </w:r>
          </w:p>
        </w:tc>
        <w:tc>
          <w:tcPr>
            <w:tcW w:w="397" w:type="pct"/>
            <w:tcBorders>
              <w:top w:val="single" w:color="000000" w:sz="4" w:space="0"/>
              <w:left w:val="single" w:color="000000" w:sz="4" w:space="0"/>
              <w:bottom w:val="single" w:color="000000" w:sz="4" w:space="0"/>
              <w:right w:val="single" w:color="000000" w:sz="4" w:space="0"/>
            </w:tcBorders>
            <w:vAlign w:val="center"/>
          </w:tcPr>
          <w:p w14:paraId="3D4C21A0">
            <w:pPr>
              <w:pStyle w:val="28"/>
              <w:bidi w:val="0"/>
            </w:pPr>
            <w:r>
              <w:t>5.75</w:t>
            </w:r>
          </w:p>
        </w:tc>
        <w:tc>
          <w:tcPr>
            <w:tcW w:w="363" w:type="pct"/>
            <w:tcBorders>
              <w:top w:val="single" w:color="000000" w:sz="4" w:space="0"/>
              <w:left w:val="single" w:color="000000" w:sz="4" w:space="0"/>
              <w:bottom w:val="single" w:color="000000" w:sz="4" w:space="0"/>
              <w:right w:val="single" w:color="000000" w:sz="4" w:space="0"/>
            </w:tcBorders>
            <w:vAlign w:val="center"/>
          </w:tcPr>
          <w:p w14:paraId="28CDF86A">
            <w:pPr>
              <w:pStyle w:val="28"/>
              <w:bidi w:val="0"/>
            </w:pPr>
            <w:r>
              <w:t>0.2</w:t>
            </w:r>
          </w:p>
        </w:tc>
        <w:tc>
          <w:tcPr>
            <w:tcW w:w="326" w:type="pct"/>
            <w:tcBorders>
              <w:top w:val="single" w:color="000000" w:sz="4" w:space="0"/>
              <w:left w:val="single" w:color="000000" w:sz="4" w:space="0"/>
              <w:bottom w:val="single" w:color="000000" w:sz="4" w:space="0"/>
              <w:right w:val="single" w:color="000000" w:sz="4" w:space="0"/>
            </w:tcBorders>
            <w:vAlign w:val="center"/>
          </w:tcPr>
          <w:p w14:paraId="759461F7">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5655EAC7">
            <w:pPr>
              <w:pStyle w:val="28"/>
              <w:bidi w:val="0"/>
            </w:pPr>
            <w:r>
              <w:t>5.95</w:t>
            </w:r>
          </w:p>
        </w:tc>
        <w:tc>
          <w:tcPr>
            <w:tcW w:w="397" w:type="pct"/>
            <w:tcBorders>
              <w:top w:val="single" w:color="000000" w:sz="4" w:space="0"/>
              <w:left w:val="single" w:color="000000" w:sz="4" w:space="0"/>
              <w:bottom w:val="single" w:color="000000" w:sz="4" w:space="0"/>
              <w:right w:val="single" w:color="000000" w:sz="4" w:space="0"/>
            </w:tcBorders>
            <w:vAlign w:val="center"/>
          </w:tcPr>
          <w:p w14:paraId="04E50073">
            <w:pPr>
              <w:pStyle w:val="28"/>
              <w:bidi w:val="0"/>
            </w:pPr>
            <w:r>
              <w:t xml:space="preserve">15.19 </w:t>
            </w:r>
          </w:p>
        </w:tc>
      </w:tr>
      <w:tr w14:paraId="745BB775">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32E3DAD3">
            <w:pPr>
              <w:pStyle w:val="28"/>
              <w:bidi w:val="0"/>
            </w:pPr>
          </w:p>
        </w:tc>
        <w:tc>
          <w:tcPr>
            <w:tcW w:w="270" w:type="pct"/>
            <w:vMerge w:val="restart"/>
            <w:tcBorders>
              <w:top w:val="single" w:color="000000" w:sz="4" w:space="0"/>
              <w:left w:val="single" w:color="000000" w:sz="4" w:space="0"/>
              <w:bottom w:val="single" w:color="000000" w:sz="4" w:space="0"/>
              <w:right w:val="single" w:color="000000" w:sz="4" w:space="0"/>
            </w:tcBorders>
            <w:vAlign w:val="center"/>
          </w:tcPr>
          <w:p w14:paraId="65436CC5">
            <w:pPr>
              <w:pStyle w:val="28"/>
              <w:bidi w:val="0"/>
            </w:pPr>
            <w:r>
              <w:t>霍邱县</w:t>
            </w:r>
          </w:p>
        </w:tc>
        <w:tc>
          <w:tcPr>
            <w:tcW w:w="612" w:type="pct"/>
            <w:tcBorders>
              <w:top w:val="single" w:color="000000" w:sz="4" w:space="0"/>
              <w:left w:val="single" w:color="000000" w:sz="4" w:space="0"/>
              <w:bottom w:val="single" w:color="000000" w:sz="4" w:space="0"/>
              <w:right w:val="single" w:color="000000" w:sz="4" w:space="0"/>
            </w:tcBorders>
            <w:vAlign w:val="center"/>
          </w:tcPr>
          <w:p w14:paraId="441CCB9E">
            <w:pPr>
              <w:pStyle w:val="28"/>
              <w:bidi w:val="0"/>
            </w:pPr>
            <w:r>
              <w:t>沣东干渠工程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30758A13">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03B59A47">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6C5C6C34">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6051929D">
            <w:pPr>
              <w:pStyle w:val="28"/>
              <w:bidi w:val="0"/>
            </w:pPr>
            <w:r>
              <w:t>70.13</w:t>
            </w:r>
          </w:p>
        </w:tc>
        <w:tc>
          <w:tcPr>
            <w:tcW w:w="334" w:type="pct"/>
            <w:tcBorders>
              <w:top w:val="single" w:color="000000" w:sz="4" w:space="0"/>
              <w:left w:val="single" w:color="000000" w:sz="4" w:space="0"/>
              <w:bottom w:val="single" w:color="000000" w:sz="4" w:space="0"/>
              <w:right w:val="single" w:color="000000" w:sz="4" w:space="0"/>
            </w:tcBorders>
            <w:vAlign w:val="center"/>
          </w:tcPr>
          <w:p w14:paraId="7F12186B">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6D1224E3">
            <w:pPr>
              <w:pStyle w:val="28"/>
              <w:bidi w:val="0"/>
            </w:pPr>
            <w:r>
              <w:t>70.13</w:t>
            </w:r>
          </w:p>
        </w:tc>
        <w:tc>
          <w:tcPr>
            <w:tcW w:w="397" w:type="pct"/>
            <w:tcBorders>
              <w:top w:val="single" w:color="000000" w:sz="4" w:space="0"/>
              <w:left w:val="single" w:color="000000" w:sz="4" w:space="0"/>
              <w:bottom w:val="single" w:color="000000" w:sz="4" w:space="0"/>
              <w:right w:val="single" w:color="000000" w:sz="4" w:space="0"/>
            </w:tcBorders>
            <w:vAlign w:val="center"/>
          </w:tcPr>
          <w:p w14:paraId="004B43EA">
            <w:pPr>
              <w:pStyle w:val="28"/>
              <w:bidi w:val="0"/>
            </w:pPr>
            <w:r>
              <w:t>0.85</w:t>
            </w:r>
          </w:p>
        </w:tc>
        <w:tc>
          <w:tcPr>
            <w:tcW w:w="363" w:type="pct"/>
            <w:tcBorders>
              <w:top w:val="single" w:color="000000" w:sz="4" w:space="0"/>
              <w:left w:val="single" w:color="000000" w:sz="4" w:space="0"/>
              <w:bottom w:val="single" w:color="000000" w:sz="4" w:space="0"/>
              <w:right w:val="single" w:color="000000" w:sz="4" w:space="0"/>
            </w:tcBorders>
            <w:vAlign w:val="center"/>
          </w:tcPr>
          <w:p w14:paraId="0109AC23">
            <w:pPr>
              <w:pStyle w:val="28"/>
              <w:bidi w:val="0"/>
            </w:pPr>
            <w:r>
              <w:t>1.17</w:t>
            </w:r>
          </w:p>
        </w:tc>
        <w:tc>
          <w:tcPr>
            <w:tcW w:w="326" w:type="pct"/>
            <w:tcBorders>
              <w:top w:val="single" w:color="000000" w:sz="4" w:space="0"/>
              <w:left w:val="single" w:color="000000" w:sz="4" w:space="0"/>
              <w:bottom w:val="single" w:color="000000" w:sz="4" w:space="0"/>
              <w:right w:val="single" w:color="000000" w:sz="4" w:space="0"/>
            </w:tcBorders>
            <w:vAlign w:val="center"/>
          </w:tcPr>
          <w:p w14:paraId="1E287538">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7FAE0F0F">
            <w:pPr>
              <w:pStyle w:val="28"/>
              <w:bidi w:val="0"/>
            </w:pPr>
            <w:r>
              <w:t>2.02</w:t>
            </w:r>
          </w:p>
        </w:tc>
        <w:tc>
          <w:tcPr>
            <w:tcW w:w="397" w:type="pct"/>
            <w:tcBorders>
              <w:top w:val="single" w:color="000000" w:sz="4" w:space="0"/>
              <w:left w:val="single" w:color="000000" w:sz="4" w:space="0"/>
              <w:bottom w:val="single" w:color="000000" w:sz="4" w:space="0"/>
              <w:right w:val="single" w:color="000000" w:sz="4" w:space="0"/>
            </w:tcBorders>
            <w:vAlign w:val="center"/>
          </w:tcPr>
          <w:p w14:paraId="42B2F9D8">
            <w:pPr>
              <w:pStyle w:val="28"/>
              <w:bidi w:val="0"/>
            </w:pPr>
            <w:r>
              <w:t xml:space="preserve">72.15 </w:t>
            </w:r>
          </w:p>
        </w:tc>
      </w:tr>
      <w:tr w14:paraId="6045434B">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713AD645">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0AE236E9">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1A886FAA">
            <w:pPr>
              <w:pStyle w:val="28"/>
              <w:bidi w:val="0"/>
            </w:pPr>
            <w:r>
              <w:t>沣西干渠工程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53340C20">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257E8D5C">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333BDD81">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4AED120B">
            <w:pPr>
              <w:pStyle w:val="28"/>
              <w:bidi w:val="0"/>
            </w:pPr>
            <w:r>
              <w:t>45.89</w:t>
            </w:r>
          </w:p>
        </w:tc>
        <w:tc>
          <w:tcPr>
            <w:tcW w:w="334" w:type="pct"/>
            <w:tcBorders>
              <w:top w:val="single" w:color="000000" w:sz="4" w:space="0"/>
              <w:left w:val="single" w:color="000000" w:sz="4" w:space="0"/>
              <w:bottom w:val="single" w:color="000000" w:sz="4" w:space="0"/>
              <w:right w:val="single" w:color="000000" w:sz="4" w:space="0"/>
            </w:tcBorders>
            <w:vAlign w:val="center"/>
          </w:tcPr>
          <w:p w14:paraId="5774DF2C">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4C6CF20D">
            <w:pPr>
              <w:pStyle w:val="28"/>
              <w:bidi w:val="0"/>
            </w:pPr>
            <w:r>
              <w:t>45.89</w:t>
            </w:r>
          </w:p>
        </w:tc>
        <w:tc>
          <w:tcPr>
            <w:tcW w:w="397" w:type="pct"/>
            <w:tcBorders>
              <w:top w:val="single" w:color="000000" w:sz="4" w:space="0"/>
              <w:left w:val="single" w:color="000000" w:sz="4" w:space="0"/>
              <w:bottom w:val="single" w:color="000000" w:sz="4" w:space="0"/>
              <w:right w:val="single" w:color="000000" w:sz="4" w:space="0"/>
            </w:tcBorders>
            <w:vAlign w:val="center"/>
          </w:tcPr>
          <w:p w14:paraId="31574957">
            <w:pPr>
              <w:pStyle w:val="28"/>
              <w:bidi w:val="0"/>
            </w:pPr>
            <w:r>
              <w:t>13.25</w:t>
            </w:r>
          </w:p>
        </w:tc>
        <w:tc>
          <w:tcPr>
            <w:tcW w:w="363" w:type="pct"/>
            <w:tcBorders>
              <w:top w:val="single" w:color="000000" w:sz="4" w:space="0"/>
              <w:left w:val="single" w:color="000000" w:sz="4" w:space="0"/>
              <w:bottom w:val="single" w:color="000000" w:sz="4" w:space="0"/>
              <w:right w:val="single" w:color="000000" w:sz="4" w:space="0"/>
            </w:tcBorders>
            <w:vAlign w:val="center"/>
          </w:tcPr>
          <w:p w14:paraId="18A46AE4">
            <w:pPr>
              <w:pStyle w:val="28"/>
              <w:bidi w:val="0"/>
            </w:pPr>
            <w:r>
              <w:t>13.41</w:t>
            </w:r>
          </w:p>
        </w:tc>
        <w:tc>
          <w:tcPr>
            <w:tcW w:w="326" w:type="pct"/>
            <w:tcBorders>
              <w:top w:val="single" w:color="000000" w:sz="4" w:space="0"/>
              <w:left w:val="single" w:color="000000" w:sz="4" w:space="0"/>
              <w:bottom w:val="single" w:color="000000" w:sz="4" w:space="0"/>
              <w:right w:val="single" w:color="000000" w:sz="4" w:space="0"/>
            </w:tcBorders>
            <w:vAlign w:val="center"/>
          </w:tcPr>
          <w:p w14:paraId="64DD6E8D">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3755BEE6">
            <w:pPr>
              <w:pStyle w:val="28"/>
              <w:bidi w:val="0"/>
            </w:pPr>
            <w:r>
              <w:t>26.66</w:t>
            </w:r>
          </w:p>
        </w:tc>
        <w:tc>
          <w:tcPr>
            <w:tcW w:w="397" w:type="pct"/>
            <w:tcBorders>
              <w:top w:val="single" w:color="000000" w:sz="4" w:space="0"/>
              <w:left w:val="single" w:color="000000" w:sz="4" w:space="0"/>
              <w:bottom w:val="single" w:color="000000" w:sz="4" w:space="0"/>
              <w:right w:val="single" w:color="000000" w:sz="4" w:space="0"/>
            </w:tcBorders>
            <w:vAlign w:val="center"/>
          </w:tcPr>
          <w:p w14:paraId="23F556FD">
            <w:pPr>
              <w:pStyle w:val="28"/>
              <w:bidi w:val="0"/>
            </w:pPr>
            <w:r>
              <w:t xml:space="preserve">72.55 </w:t>
            </w:r>
          </w:p>
        </w:tc>
      </w:tr>
      <w:tr w14:paraId="49F9F368">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4E35413A">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7D5E9823">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511B1B65">
            <w:pPr>
              <w:pStyle w:val="28"/>
              <w:bidi w:val="0"/>
            </w:pPr>
            <w:r>
              <w:t>乌斗支渠工程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6CCF3035">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5A96C2B0">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5441E4AC">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7120A400">
            <w:pPr>
              <w:pStyle w:val="28"/>
              <w:bidi w:val="0"/>
            </w:pPr>
            <w:r>
              <w:t>17</w:t>
            </w:r>
          </w:p>
        </w:tc>
        <w:tc>
          <w:tcPr>
            <w:tcW w:w="334" w:type="pct"/>
            <w:tcBorders>
              <w:top w:val="single" w:color="000000" w:sz="4" w:space="0"/>
              <w:left w:val="single" w:color="000000" w:sz="4" w:space="0"/>
              <w:bottom w:val="single" w:color="000000" w:sz="4" w:space="0"/>
              <w:right w:val="single" w:color="000000" w:sz="4" w:space="0"/>
            </w:tcBorders>
            <w:vAlign w:val="center"/>
          </w:tcPr>
          <w:p w14:paraId="2530A1CB">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2B6CE933">
            <w:pPr>
              <w:pStyle w:val="28"/>
              <w:bidi w:val="0"/>
            </w:pPr>
            <w:r>
              <w:t>17</w:t>
            </w:r>
          </w:p>
        </w:tc>
        <w:tc>
          <w:tcPr>
            <w:tcW w:w="397" w:type="pct"/>
            <w:tcBorders>
              <w:top w:val="single" w:color="000000" w:sz="4" w:space="0"/>
              <w:left w:val="single" w:color="000000" w:sz="4" w:space="0"/>
              <w:bottom w:val="single" w:color="000000" w:sz="4" w:space="0"/>
              <w:right w:val="single" w:color="000000" w:sz="4" w:space="0"/>
            </w:tcBorders>
            <w:vAlign w:val="center"/>
          </w:tcPr>
          <w:p w14:paraId="6D32A576">
            <w:pPr>
              <w:pStyle w:val="28"/>
              <w:bidi w:val="0"/>
            </w:pPr>
            <w:r>
              <w:t>7.21</w:t>
            </w:r>
          </w:p>
        </w:tc>
        <w:tc>
          <w:tcPr>
            <w:tcW w:w="363" w:type="pct"/>
            <w:tcBorders>
              <w:top w:val="single" w:color="000000" w:sz="4" w:space="0"/>
              <w:left w:val="single" w:color="000000" w:sz="4" w:space="0"/>
              <w:bottom w:val="single" w:color="000000" w:sz="4" w:space="0"/>
              <w:right w:val="single" w:color="000000" w:sz="4" w:space="0"/>
            </w:tcBorders>
            <w:vAlign w:val="center"/>
          </w:tcPr>
          <w:p w14:paraId="461CD0B2">
            <w:pPr>
              <w:pStyle w:val="28"/>
              <w:bidi w:val="0"/>
            </w:pPr>
            <w:r>
              <w:t>0.73</w:t>
            </w:r>
          </w:p>
        </w:tc>
        <w:tc>
          <w:tcPr>
            <w:tcW w:w="326" w:type="pct"/>
            <w:tcBorders>
              <w:top w:val="single" w:color="000000" w:sz="4" w:space="0"/>
              <w:left w:val="single" w:color="000000" w:sz="4" w:space="0"/>
              <w:bottom w:val="single" w:color="000000" w:sz="4" w:space="0"/>
              <w:right w:val="single" w:color="000000" w:sz="4" w:space="0"/>
            </w:tcBorders>
            <w:vAlign w:val="center"/>
          </w:tcPr>
          <w:p w14:paraId="4C1BADE1">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37B9DE4B">
            <w:pPr>
              <w:pStyle w:val="28"/>
              <w:bidi w:val="0"/>
            </w:pPr>
            <w:r>
              <w:t>7.94</w:t>
            </w:r>
          </w:p>
        </w:tc>
        <w:tc>
          <w:tcPr>
            <w:tcW w:w="397" w:type="pct"/>
            <w:tcBorders>
              <w:top w:val="single" w:color="000000" w:sz="4" w:space="0"/>
              <w:left w:val="single" w:color="000000" w:sz="4" w:space="0"/>
              <w:bottom w:val="single" w:color="000000" w:sz="4" w:space="0"/>
              <w:right w:val="single" w:color="000000" w:sz="4" w:space="0"/>
            </w:tcBorders>
            <w:vAlign w:val="center"/>
          </w:tcPr>
          <w:p w14:paraId="45926786">
            <w:pPr>
              <w:pStyle w:val="28"/>
              <w:bidi w:val="0"/>
            </w:pPr>
            <w:r>
              <w:t xml:space="preserve">24.94 </w:t>
            </w:r>
          </w:p>
        </w:tc>
      </w:tr>
      <w:tr w14:paraId="3F8FC7C2">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3AF4E367">
            <w:pPr>
              <w:pStyle w:val="28"/>
              <w:bidi w:val="0"/>
            </w:pPr>
          </w:p>
        </w:tc>
        <w:tc>
          <w:tcPr>
            <w:tcW w:w="270" w:type="pct"/>
            <w:vMerge w:val="restart"/>
            <w:tcBorders>
              <w:top w:val="single" w:color="000000" w:sz="4" w:space="0"/>
              <w:left w:val="single" w:color="000000" w:sz="4" w:space="0"/>
              <w:bottom w:val="single" w:color="000000" w:sz="4" w:space="0"/>
              <w:right w:val="single" w:color="000000" w:sz="4" w:space="0"/>
            </w:tcBorders>
            <w:vAlign w:val="center"/>
          </w:tcPr>
          <w:p w14:paraId="61E892E2">
            <w:pPr>
              <w:pStyle w:val="28"/>
              <w:bidi w:val="0"/>
            </w:pPr>
            <w:r>
              <w:t>裕安区</w:t>
            </w:r>
          </w:p>
        </w:tc>
        <w:tc>
          <w:tcPr>
            <w:tcW w:w="612" w:type="pct"/>
            <w:tcBorders>
              <w:top w:val="single" w:color="000000" w:sz="4" w:space="0"/>
              <w:left w:val="single" w:color="000000" w:sz="4" w:space="0"/>
              <w:bottom w:val="single" w:color="000000" w:sz="4" w:space="0"/>
              <w:right w:val="single" w:color="000000" w:sz="4" w:space="0"/>
            </w:tcBorders>
            <w:vAlign w:val="center"/>
          </w:tcPr>
          <w:p w14:paraId="62B3878F">
            <w:pPr>
              <w:pStyle w:val="28"/>
              <w:bidi w:val="0"/>
            </w:pPr>
            <w:r>
              <w:t>樊通桥渠下涵工程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46B4B3C6">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696D62E2">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6DC2E17C">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2C17430A">
            <w:pPr>
              <w:pStyle w:val="28"/>
              <w:bidi w:val="0"/>
            </w:pPr>
            <w:r>
              <w:t>0.21</w:t>
            </w:r>
          </w:p>
        </w:tc>
        <w:tc>
          <w:tcPr>
            <w:tcW w:w="334" w:type="pct"/>
            <w:tcBorders>
              <w:top w:val="single" w:color="000000" w:sz="4" w:space="0"/>
              <w:left w:val="single" w:color="000000" w:sz="4" w:space="0"/>
              <w:bottom w:val="single" w:color="000000" w:sz="4" w:space="0"/>
              <w:right w:val="single" w:color="000000" w:sz="4" w:space="0"/>
            </w:tcBorders>
            <w:vAlign w:val="center"/>
          </w:tcPr>
          <w:p w14:paraId="5AC29E37">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0195EC7C">
            <w:pPr>
              <w:pStyle w:val="28"/>
              <w:bidi w:val="0"/>
            </w:pPr>
            <w:r>
              <w:t>0.21</w:t>
            </w:r>
          </w:p>
        </w:tc>
        <w:tc>
          <w:tcPr>
            <w:tcW w:w="397" w:type="pct"/>
            <w:tcBorders>
              <w:top w:val="single" w:color="000000" w:sz="4" w:space="0"/>
              <w:left w:val="single" w:color="000000" w:sz="4" w:space="0"/>
              <w:bottom w:val="single" w:color="000000" w:sz="4" w:space="0"/>
              <w:right w:val="single" w:color="000000" w:sz="4" w:space="0"/>
            </w:tcBorders>
            <w:vAlign w:val="center"/>
          </w:tcPr>
          <w:p w14:paraId="284B1784">
            <w:pPr>
              <w:pStyle w:val="28"/>
              <w:bidi w:val="0"/>
            </w:pPr>
            <w:r>
              <w:t>0.98</w:t>
            </w:r>
          </w:p>
        </w:tc>
        <w:tc>
          <w:tcPr>
            <w:tcW w:w="363" w:type="pct"/>
            <w:tcBorders>
              <w:top w:val="single" w:color="000000" w:sz="4" w:space="0"/>
              <w:left w:val="single" w:color="000000" w:sz="4" w:space="0"/>
              <w:bottom w:val="single" w:color="000000" w:sz="4" w:space="0"/>
              <w:right w:val="single" w:color="000000" w:sz="4" w:space="0"/>
            </w:tcBorders>
            <w:vAlign w:val="center"/>
          </w:tcPr>
          <w:p w14:paraId="4CB27045">
            <w:pPr>
              <w:pStyle w:val="28"/>
              <w:bidi w:val="0"/>
            </w:pPr>
            <w:r>
              <w:t>0.04</w:t>
            </w:r>
          </w:p>
        </w:tc>
        <w:tc>
          <w:tcPr>
            <w:tcW w:w="326" w:type="pct"/>
            <w:tcBorders>
              <w:top w:val="single" w:color="000000" w:sz="4" w:space="0"/>
              <w:left w:val="single" w:color="000000" w:sz="4" w:space="0"/>
              <w:bottom w:val="single" w:color="000000" w:sz="4" w:space="0"/>
              <w:right w:val="single" w:color="000000" w:sz="4" w:space="0"/>
            </w:tcBorders>
            <w:vAlign w:val="center"/>
          </w:tcPr>
          <w:p w14:paraId="52B8D337">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264F7DE4">
            <w:pPr>
              <w:pStyle w:val="28"/>
              <w:bidi w:val="0"/>
            </w:pPr>
            <w:r>
              <w:t>1.02</w:t>
            </w:r>
          </w:p>
        </w:tc>
        <w:tc>
          <w:tcPr>
            <w:tcW w:w="397" w:type="pct"/>
            <w:tcBorders>
              <w:top w:val="single" w:color="000000" w:sz="4" w:space="0"/>
              <w:left w:val="single" w:color="000000" w:sz="4" w:space="0"/>
              <w:bottom w:val="single" w:color="000000" w:sz="4" w:space="0"/>
              <w:right w:val="single" w:color="000000" w:sz="4" w:space="0"/>
            </w:tcBorders>
            <w:vAlign w:val="center"/>
          </w:tcPr>
          <w:p w14:paraId="314FE4D3">
            <w:pPr>
              <w:pStyle w:val="28"/>
              <w:bidi w:val="0"/>
            </w:pPr>
            <w:r>
              <w:t xml:space="preserve">1.23 </w:t>
            </w:r>
          </w:p>
        </w:tc>
      </w:tr>
      <w:tr w14:paraId="45E5375E">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0DB0BB32">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704418BB">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0993E424">
            <w:pPr>
              <w:pStyle w:val="28"/>
              <w:bidi w:val="0"/>
            </w:pPr>
            <w:r>
              <w:t>淠河总干渠上段工程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6715E00C">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085CEFA0">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5625DF10">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4E47BEAC">
            <w:pPr>
              <w:pStyle w:val="28"/>
              <w:bidi w:val="0"/>
            </w:pPr>
            <w:r>
              <w:t>18.26</w:t>
            </w:r>
          </w:p>
        </w:tc>
        <w:tc>
          <w:tcPr>
            <w:tcW w:w="334" w:type="pct"/>
            <w:tcBorders>
              <w:top w:val="single" w:color="000000" w:sz="4" w:space="0"/>
              <w:left w:val="single" w:color="000000" w:sz="4" w:space="0"/>
              <w:bottom w:val="single" w:color="000000" w:sz="4" w:space="0"/>
              <w:right w:val="single" w:color="000000" w:sz="4" w:space="0"/>
            </w:tcBorders>
            <w:vAlign w:val="center"/>
          </w:tcPr>
          <w:p w14:paraId="645B9DD4">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5EED361E">
            <w:pPr>
              <w:pStyle w:val="28"/>
              <w:bidi w:val="0"/>
            </w:pPr>
            <w:r>
              <w:t>18.26</w:t>
            </w:r>
          </w:p>
        </w:tc>
        <w:tc>
          <w:tcPr>
            <w:tcW w:w="397" w:type="pct"/>
            <w:tcBorders>
              <w:top w:val="single" w:color="000000" w:sz="4" w:space="0"/>
              <w:left w:val="single" w:color="000000" w:sz="4" w:space="0"/>
              <w:bottom w:val="single" w:color="000000" w:sz="4" w:space="0"/>
              <w:right w:val="single" w:color="000000" w:sz="4" w:space="0"/>
            </w:tcBorders>
            <w:vAlign w:val="center"/>
          </w:tcPr>
          <w:p w14:paraId="255FC785">
            <w:pPr>
              <w:pStyle w:val="28"/>
              <w:bidi w:val="0"/>
            </w:pPr>
            <w:r>
              <w:t>5.63</w:t>
            </w:r>
          </w:p>
        </w:tc>
        <w:tc>
          <w:tcPr>
            <w:tcW w:w="363" w:type="pct"/>
            <w:tcBorders>
              <w:top w:val="single" w:color="000000" w:sz="4" w:space="0"/>
              <w:left w:val="single" w:color="000000" w:sz="4" w:space="0"/>
              <w:bottom w:val="single" w:color="000000" w:sz="4" w:space="0"/>
              <w:right w:val="single" w:color="000000" w:sz="4" w:space="0"/>
            </w:tcBorders>
            <w:vAlign w:val="center"/>
          </w:tcPr>
          <w:p w14:paraId="4E35B3FB">
            <w:pPr>
              <w:pStyle w:val="28"/>
              <w:bidi w:val="0"/>
            </w:pPr>
            <w:r>
              <w:t>1.07</w:t>
            </w:r>
          </w:p>
        </w:tc>
        <w:tc>
          <w:tcPr>
            <w:tcW w:w="326" w:type="pct"/>
            <w:tcBorders>
              <w:top w:val="single" w:color="000000" w:sz="4" w:space="0"/>
              <w:left w:val="single" w:color="000000" w:sz="4" w:space="0"/>
              <w:bottom w:val="single" w:color="000000" w:sz="4" w:space="0"/>
              <w:right w:val="single" w:color="000000" w:sz="4" w:space="0"/>
            </w:tcBorders>
            <w:vAlign w:val="center"/>
          </w:tcPr>
          <w:p w14:paraId="1167C804">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5E0863C8">
            <w:pPr>
              <w:pStyle w:val="28"/>
              <w:bidi w:val="0"/>
            </w:pPr>
            <w:r>
              <w:t>6.7</w:t>
            </w:r>
          </w:p>
        </w:tc>
        <w:tc>
          <w:tcPr>
            <w:tcW w:w="397" w:type="pct"/>
            <w:tcBorders>
              <w:top w:val="single" w:color="000000" w:sz="4" w:space="0"/>
              <w:left w:val="single" w:color="000000" w:sz="4" w:space="0"/>
              <w:bottom w:val="single" w:color="000000" w:sz="4" w:space="0"/>
              <w:right w:val="single" w:color="000000" w:sz="4" w:space="0"/>
            </w:tcBorders>
            <w:vAlign w:val="center"/>
          </w:tcPr>
          <w:p w14:paraId="113B4F95">
            <w:pPr>
              <w:pStyle w:val="28"/>
              <w:bidi w:val="0"/>
            </w:pPr>
            <w:r>
              <w:t xml:space="preserve">24.96 </w:t>
            </w:r>
          </w:p>
        </w:tc>
      </w:tr>
      <w:tr w14:paraId="0C1CB37A">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74726944">
            <w:pPr>
              <w:pStyle w:val="28"/>
              <w:bidi w:val="0"/>
            </w:pPr>
          </w:p>
        </w:tc>
        <w:tc>
          <w:tcPr>
            <w:tcW w:w="270" w:type="pct"/>
            <w:tcBorders>
              <w:top w:val="single" w:color="000000" w:sz="4" w:space="0"/>
              <w:left w:val="single" w:color="000000" w:sz="4" w:space="0"/>
              <w:bottom w:val="single" w:color="000000" w:sz="4" w:space="0"/>
              <w:right w:val="single" w:color="000000" w:sz="4" w:space="0"/>
            </w:tcBorders>
            <w:vAlign w:val="center"/>
          </w:tcPr>
          <w:p w14:paraId="0B58266D">
            <w:pPr>
              <w:pStyle w:val="28"/>
              <w:bidi w:val="0"/>
            </w:pPr>
            <w:r>
              <w:t>霍山县</w:t>
            </w:r>
          </w:p>
        </w:tc>
        <w:tc>
          <w:tcPr>
            <w:tcW w:w="612" w:type="pct"/>
            <w:tcBorders>
              <w:top w:val="single" w:color="000000" w:sz="4" w:space="0"/>
              <w:left w:val="single" w:color="000000" w:sz="4" w:space="0"/>
              <w:bottom w:val="single" w:color="000000" w:sz="4" w:space="0"/>
              <w:right w:val="single" w:color="000000" w:sz="4" w:space="0"/>
            </w:tcBorders>
            <w:vAlign w:val="center"/>
          </w:tcPr>
          <w:p w14:paraId="735E3159">
            <w:pPr>
              <w:pStyle w:val="28"/>
              <w:bidi w:val="0"/>
            </w:pPr>
            <w:r>
              <w:t>淠源分干渠工程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7D8B94DE">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13B300EA">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0F45E962">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5C36D43F">
            <w:pPr>
              <w:pStyle w:val="28"/>
              <w:bidi w:val="0"/>
            </w:pPr>
            <w:r>
              <w:t>0.95</w:t>
            </w:r>
          </w:p>
        </w:tc>
        <w:tc>
          <w:tcPr>
            <w:tcW w:w="334" w:type="pct"/>
            <w:tcBorders>
              <w:top w:val="single" w:color="000000" w:sz="4" w:space="0"/>
              <w:left w:val="single" w:color="000000" w:sz="4" w:space="0"/>
              <w:bottom w:val="single" w:color="000000" w:sz="4" w:space="0"/>
              <w:right w:val="single" w:color="000000" w:sz="4" w:space="0"/>
            </w:tcBorders>
            <w:vAlign w:val="center"/>
          </w:tcPr>
          <w:p w14:paraId="5A32AAA8">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4B291A43">
            <w:pPr>
              <w:pStyle w:val="28"/>
              <w:bidi w:val="0"/>
            </w:pPr>
            <w:r>
              <w:t>0.95</w:t>
            </w:r>
          </w:p>
        </w:tc>
        <w:tc>
          <w:tcPr>
            <w:tcW w:w="397" w:type="pct"/>
            <w:tcBorders>
              <w:top w:val="single" w:color="000000" w:sz="4" w:space="0"/>
              <w:left w:val="single" w:color="000000" w:sz="4" w:space="0"/>
              <w:bottom w:val="single" w:color="000000" w:sz="4" w:space="0"/>
              <w:right w:val="single" w:color="000000" w:sz="4" w:space="0"/>
            </w:tcBorders>
            <w:vAlign w:val="center"/>
          </w:tcPr>
          <w:p w14:paraId="50F9349B">
            <w:pPr>
              <w:pStyle w:val="28"/>
              <w:bidi w:val="0"/>
            </w:pPr>
            <w:r>
              <w:t>2.74</w:t>
            </w:r>
          </w:p>
        </w:tc>
        <w:tc>
          <w:tcPr>
            <w:tcW w:w="363" w:type="pct"/>
            <w:tcBorders>
              <w:top w:val="single" w:color="000000" w:sz="4" w:space="0"/>
              <w:left w:val="single" w:color="000000" w:sz="4" w:space="0"/>
              <w:bottom w:val="single" w:color="000000" w:sz="4" w:space="0"/>
              <w:right w:val="single" w:color="000000" w:sz="4" w:space="0"/>
            </w:tcBorders>
            <w:vAlign w:val="center"/>
          </w:tcPr>
          <w:p w14:paraId="30DBEAAE">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0D3CBC93">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199D2DA2">
            <w:pPr>
              <w:pStyle w:val="28"/>
              <w:bidi w:val="0"/>
            </w:pPr>
            <w:r>
              <w:t>2.74</w:t>
            </w:r>
          </w:p>
        </w:tc>
        <w:tc>
          <w:tcPr>
            <w:tcW w:w="397" w:type="pct"/>
            <w:tcBorders>
              <w:top w:val="single" w:color="000000" w:sz="4" w:space="0"/>
              <w:left w:val="single" w:color="000000" w:sz="4" w:space="0"/>
              <w:bottom w:val="single" w:color="000000" w:sz="4" w:space="0"/>
              <w:right w:val="single" w:color="000000" w:sz="4" w:space="0"/>
            </w:tcBorders>
            <w:vAlign w:val="center"/>
          </w:tcPr>
          <w:p w14:paraId="65FBFB6E">
            <w:pPr>
              <w:pStyle w:val="28"/>
              <w:bidi w:val="0"/>
            </w:pPr>
            <w:r>
              <w:t xml:space="preserve">3.69 </w:t>
            </w:r>
          </w:p>
        </w:tc>
      </w:tr>
      <w:tr w14:paraId="21574134">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37C397BA">
            <w:pPr>
              <w:pStyle w:val="28"/>
              <w:bidi w:val="0"/>
            </w:pPr>
          </w:p>
        </w:tc>
        <w:tc>
          <w:tcPr>
            <w:tcW w:w="270" w:type="pct"/>
            <w:vMerge w:val="restart"/>
            <w:tcBorders>
              <w:top w:val="single" w:color="000000" w:sz="4" w:space="0"/>
              <w:left w:val="single" w:color="000000" w:sz="4" w:space="0"/>
              <w:bottom w:val="single" w:color="000000" w:sz="4" w:space="0"/>
              <w:right w:val="single" w:color="000000" w:sz="4" w:space="0"/>
            </w:tcBorders>
            <w:vAlign w:val="center"/>
          </w:tcPr>
          <w:p w14:paraId="45F10153">
            <w:pPr>
              <w:pStyle w:val="28"/>
              <w:bidi w:val="0"/>
            </w:pPr>
            <w:r>
              <w:t>叶集区</w:t>
            </w:r>
          </w:p>
        </w:tc>
        <w:tc>
          <w:tcPr>
            <w:tcW w:w="612" w:type="pct"/>
            <w:tcBorders>
              <w:top w:val="single" w:color="000000" w:sz="4" w:space="0"/>
              <w:left w:val="single" w:color="000000" w:sz="4" w:space="0"/>
              <w:bottom w:val="single" w:color="000000" w:sz="4" w:space="0"/>
              <w:right w:val="single" w:color="000000" w:sz="4" w:space="0"/>
            </w:tcBorders>
            <w:vAlign w:val="center"/>
          </w:tcPr>
          <w:p w14:paraId="063A46DB">
            <w:pPr>
              <w:pStyle w:val="28"/>
              <w:bidi w:val="0"/>
            </w:pPr>
            <w:r>
              <w:t>姚李支渠工程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41C2A12F">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18E986C4">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1503F8E6">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202E265A">
            <w:pPr>
              <w:pStyle w:val="28"/>
              <w:bidi w:val="0"/>
            </w:pPr>
            <w:r>
              <w:t>9.88</w:t>
            </w:r>
          </w:p>
        </w:tc>
        <w:tc>
          <w:tcPr>
            <w:tcW w:w="334" w:type="pct"/>
            <w:tcBorders>
              <w:top w:val="single" w:color="000000" w:sz="4" w:space="0"/>
              <w:left w:val="single" w:color="000000" w:sz="4" w:space="0"/>
              <w:bottom w:val="single" w:color="000000" w:sz="4" w:space="0"/>
              <w:right w:val="single" w:color="000000" w:sz="4" w:space="0"/>
            </w:tcBorders>
            <w:vAlign w:val="center"/>
          </w:tcPr>
          <w:p w14:paraId="41D17564">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4BBCD169">
            <w:pPr>
              <w:pStyle w:val="28"/>
              <w:bidi w:val="0"/>
            </w:pPr>
            <w:r>
              <w:t>9.88</w:t>
            </w:r>
          </w:p>
        </w:tc>
        <w:tc>
          <w:tcPr>
            <w:tcW w:w="397" w:type="pct"/>
            <w:tcBorders>
              <w:top w:val="single" w:color="000000" w:sz="4" w:space="0"/>
              <w:left w:val="single" w:color="000000" w:sz="4" w:space="0"/>
              <w:bottom w:val="single" w:color="000000" w:sz="4" w:space="0"/>
              <w:right w:val="single" w:color="000000" w:sz="4" w:space="0"/>
            </w:tcBorders>
            <w:vAlign w:val="center"/>
          </w:tcPr>
          <w:p w14:paraId="7DFF3A83">
            <w:pPr>
              <w:pStyle w:val="28"/>
              <w:bidi w:val="0"/>
            </w:pPr>
            <w:r>
              <w:t>8.15</w:t>
            </w:r>
          </w:p>
        </w:tc>
        <w:tc>
          <w:tcPr>
            <w:tcW w:w="363" w:type="pct"/>
            <w:tcBorders>
              <w:top w:val="single" w:color="000000" w:sz="4" w:space="0"/>
              <w:left w:val="single" w:color="000000" w:sz="4" w:space="0"/>
              <w:bottom w:val="single" w:color="000000" w:sz="4" w:space="0"/>
              <w:right w:val="single" w:color="000000" w:sz="4" w:space="0"/>
            </w:tcBorders>
            <w:vAlign w:val="center"/>
          </w:tcPr>
          <w:p w14:paraId="4EF1B9BE">
            <w:pPr>
              <w:pStyle w:val="28"/>
              <w:bidi w:val="0"/>
            </w:pPr>
            <w:r>
              <w:t>0.38</w:t>
            </w:r>
          </w:p>
        </w:tc>
        <w:tc>
          <w:tcPr>
            <w:tcW w:w="326" w:type="pct"/>
            <w:tcBorders>
              <w:top w:val="single" w:color="000000" w:sz="4" w:space="0"/>
              <w:left w:val="single" w:color="000000" w:sz="4" w:space="0"/>
              <w:bottom w:val="single" w:color="000000" w:sz="4" w:space="0"/>
              <w:right w:val="single" w:color="000000" w:sz="4" w:space="0"/>
            </w:tcBorders>
            <w:vAlign w:val="center"/>
          </w:tcPr>
          <w:p w14:paraId="0654954D">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7BF704B4">
            <w:pPr>
              <w:pStyle w:val="28"/>
              <w:bidi w:val="0"/>
            </w:pPr>
            <w:r>
              <w:t>8.53</w:t>
            </w:r>
          </w:p>
        </w:tc>
        <w:tc>
          <w:tcPr>
            <w:tcW w:w="397" w:type="pct"/>
            <w:tcBorders>
              <w:top w:val="single" w:color="000000" w:sz="4" w:space="0"/>
              <w:left w:val="single" w:color="000000" w:sz="4" w:space="0"/>
              <w:bottom w:val="single" w:color="000000" w:sz="4" w:space="0"/>
              <w:right w:val="single" w:color="000000" w:sz="4" w:space="0"/>
            </w:tcBorders>
            <w:vAlign w:val="center"/>
          </w:tcPr>
          <w:p w14:paraId="11FCAC35">
            <w:pPr>
              <w:pStyle w:val="28"/>
              <w:bidi w:val="0"/>
            </w:pPr>
            <w:r>
              <w:t xml:space="preserve">18.41 </w:t>
            </w:r>
          </w:p>
        </w:tc>
      </w:tr>
      <w:tr w14:paraId="650F3DAC">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03CEF23E">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4FA3D0CB">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1713125E">
            <w:pPr>
              <w:pStyle w:val="28"/>
              <w:bidi w:val="0"/>
            </w:pPr>
            <w:r>
              <w:t>胜天支渠工程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00F14F5D">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069738EE">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44E4572F">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73BD6D4D">
            <w:pPr>
              <w:pStyle w:val="28"/>
              <w:bidi w:val="0"/>
            </w:pPr>
            <w:r>
              <w:t>1</w:t>
            </w:r>
          </w:p>
        </w:tc>
        <w:tc>
          <w:tcPr>
            <w:tcW w:w="334" w:type="pct"/>
            <w:tcBorders>
              <w:top w:val="single" w:color="000000" w:sz="4" w:space="0"/>
              <w:left w:val="single" w:color="000000" w:sz="4" w:space="0"/>
              <w:bottom w:val="single" w:color="000000" w:sz="4" w:space="0"/>
              <w:right w:val="single" w:color="000000" w:sz="4" w:space="0"/>
            </w:tcBorders>
            <w:vAlign w:val="center"/>
          </w:tcPr>
          <w:p w14:paraId="10609A7B">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09C6C565">
            <w:pPr>
              <w:pStyle w:val="28"/>
              <w:bidi w:val="0"/>
            </w:pPr>
            <w:r>
              <w:t>1</w:t>
            </w:r>
          </w:p>
        </w:tc>
        <w:tc>
          <w:tcPr>
            <w:tcW w:w="397" w:type="pct"/>
            <w:tcBorders>
              <w:top w:val="single" w:color="000000" w:sz="4" w:space="0"/>
              <w:left w:val="single" w:color="000000" w:sz="4" w:space="0"/>
              <w:bottom w:val="single" w:color="000000" w:sz="4" w:space="0"/>
              <w:right w:val="single" w:color="000000" w:sz="4" w:space="0"/>
            </w:tcBorders>
            <w:vAlign w:val="center"/>
          </w:tcPr>
          <w:p w14:paraId="7BE984E2">
            <w:pPr>
              <w:pStyle w:val="28"/>
              <w:bidi w:val="0"/>
            </w:pPr>
            <w:r>
              <w:t>3.31</w:t>
            </w:r>
          </w:p>
        </w:tc>
        <w:tc>
          <w:tcPr>
            <w:tcW w:w="363" w:type="pct"/>
            <w:tcBorders>
              <w:top w:val="single" w:color="000000" w:sz="4" w:space="0"/>
              <w:left w:val="single" w:color="000000" w:sz="4" w:space="0"/>
              <w:bottom w:val="single" w:color="000000" w:sz="4" w:space="0"/>
              <w:right w:val="single" w:color="000000" w:sz="4" w:space="0"/>
            </w:tcBorders>
            <w:vAlign w:val="center"/>
          </w:tcPr>
          <w:p w14:paraId="155D88A6">
            <w:pPr>
              <w:pStyle w:val="28"/>
              <w:bidi w:val="0"/>
            </w:pPr>
            <w:r>
              <w:t>0.18</w:t>
            </w:r>
          </w:p>
        </w:tc>
        <w:tc>
          <w:tcPr>
            <w:tcW w:w="326" w:type="pct"/>
            <w:tcBorders>
              <w:top w:val="single" w:color="000000" w:sz="4" w:space="0"/>
              <w:left w:val="single" w:color="000000" w:sz="4" w:space="0"/>
              <w:bottom w:val="single" w:color="000000" w:sz="4" w:space="0"/>
              <w:right w:val="single" w:color="000000" w:sz="4" w:space="0"/>
            </w:tcBorders>
            <w:vAlign w:val="center"/>
          </w:tcPr>
          <w:p w14:paraId="51577FD5">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2D6B6EA8">
            <w:pPr>
              <w:pStyle w:val="28"/>
              <w:bidi w:val="0"/>
            </w:pPr>
            <w:r>
              <w:t>3.49</w:t>
            </w:r>
          </w:p>
        </w:tc>
        <w:tc>
          <w:tcPr>
            <w:tcW w:w="397" w:type="pct"/>
            <w:tcBorders>
              <w:top w:val="single" w:color="000000" w:sz="4" w:space="0"/>
              <w:left w:val="single" w:color="000000" w:sz="4" w:space="0"/>
              <w:bottom w:val="single" w:color="000000" w:sz="4" w:space="0"/>
              <w:right w:val="single" w:color="000000" w:sz="4" w:space="0"/>
            </w:tcBorders>
            <w:vAlign w:val="center"/>
          </w:tcPr>
          <w:p w14:paraId="150AA2B4">
            <w:pPr>
              <w:pStyle w:val="28"/>
              <w:bidi w:val="0"/>
            </w:pPr>
            <w:r>
              <w:t xml:space="preserve">4.49 </w:t>
            </w:r>
          </w:p>
        </w:tc>
      </w:tr>
      <w:tr w14:paraId="2E11B699">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6904743B">
            <w:pPr>
              <w:pStyle w:val="28"/>
              <w:bidi w:val="0"/>
            </w:pPr>
          </w:p>
        </w:tc>
        <w:tc>
          <w:tcPr>
            <w:tcW w:w="270" w:type="pct"/>
            <w:tcBorders>
              <w:top w:val="single" w:color="000000" w:sz="4" w:space="0"/>
              <w:left w:val="single" w:color="000000" w:sz="4" w:space="0"/>
              <w:bottom w:val="single" w:color="000000" w:sz="4" w:space="0"/>
              <w:right w:val="single" w:color="000000" w:sz="4" w:space="0"/>
            </w:tcBorders>
            <w:vAlign w:val="center"/>
          </w:tcPr>
          <w:p w14:paraId="6B197215">
            <w:pPr>
              <w:pStyle w:val="28"/>
              <w:bidi w:val="0"/>
            </w:pPr>
            <w:r>
              <w:t>舒城县</w:t>
            </w:r>
          </w:p>
        </w:tc>
        <w:tc>
          <w:tcPr>
            <w:tcW w:w="612" w:type="pct"/>
            <w:tcBorders>
              <w:top w:val="single" w:color="000000" w:sz="4" w:space="0"/>
              <w:left w:val="single" w:color="000000" w:sz="4" w:space="0"/>
              <w:bottom w:val="single" w:color="000000" w:sz="4" w:space="0"/>
              <w:right w:val="single" w:color="000000" w:sz="4" w:space="0"/>
            </w:tcBorders>
            <w:vAlign w:val="center"/>
          </w:tcPr>
          <w:p w14:paraId="777C5C68">
            <w:pPr>
              <w:pStyle w:val="28"/>
              <w:bidi w:val="0"/>
            </w:pPr>
            <w:r>
              <w:t>杭北干渠工程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4CA1042F">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31994694">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54B913E7">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4E4E313E">
            <w:pPr>
              <w:pStyle w:val="28"/>
              <w:bidi w:val="0"/>
            </w:pPr>
            <w:r>
              <w:t>8.41</w:t>
            </w:r>
          </w:p>
        </w:tc>
        <w:tc>
          <w:tcPr>
            <w:tcW w:w="334" w:type="pct"/>
            <w:tcBorders>
              <w:top w:val="single" w:color="000000" w:sz="4" w:space="0"/>
              <w:left w:val="single" w:color="000000" w:sz="4" w:space="0"/>
              <w:bottom w:val="single" w:color="000000" w:sz="4" w:space="0"/>
              <w:right w:val="single" w:color="000000" w:sz="4" w:space="0"/>
            </w:tcBorders>
            <w:vAlign w:val="center"/>
          </w:tcPr>
          <w:p w14:paraId="1B9F4266">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59E31796">
            <w:pPr>
              <w:pStyle w:val="28"/>
              <w:bidi w:val="0"/>
            </w:pPr>
            <w:r>
              <w:t>8.41</w:t>
            </w:r>
          </w:p>
        </w:tc>
        <w:tc>
          <w:tcPr>
            <w:tcW w:w="397" w:type="pct"/>
            <w:tcBorders>
              <w:top w:val="single" w:color="000000" w:sz="4" w:space="0"/>
              <w:left w:val="single" w:color="000000" w:sz="4" w:space="0"/>
              <w:bottom w:val="single" w:color="000000" w:sz="4" w:space="0"/>
              <w:right w:val="single" w:color="000000" w:sz="4" w:space="0"/>
            </w:tcBorders>
            <w:vAlign w:val="center"/>
          </w:tcPr>
          <w:p w14:paraId="208382F5">
            <w:pPr>
              <w:pStyle w:val="28"/>
              <w:bidi w:val="0"/>
            </w:pPr>
            <w:r>
              <w:t>6.03</w:t>
            </w:r>
          </w:p>
        </w:tc>
        <w:tc>
          <w:tcPr>
            <w:tcW w:w="363" w:type="pct"/>
            <w:tcBorders>
              <w:top w:val="single" w:color="000000" w:sz="4" w:space="0"/>
              <w:left w:val="single" w:color="000000" w:sz="4" w:space="0"/>
              <w:bottom w:val="single" w:color="000000" w:sz="4" w:space="0"/>
              <w:right w:val="single" w:color="000000" w:sz="4" w:space="0"/>
            </w:tcBorders>
            <w:vAlign w:val="center"/>
          </w:tcPr>
          <w:p w14:paraId="20237B5A">
            <w:pPr>
              <w:pStyle w:val="28"/>
              <w:bidi w:val="0"/>
            </w:pPr>
            <w:r>
              <w:t>0</w:t>
            </w:r>
          </w:p>
        </w:tc>
        <w:tc>
          <w:tcPr>
            <w:tcW w:w="326" w:type="pct"/>
            <w:tcBorders>
              <w:top w:val="single" w:color="000000" w:sz="4" w:space="0"/>
              <w:left w:val="single" w:color="000000" w:sz="4" w:space="0"/>
              <w:bottom w:val="single" w:color="000000" w:sz="4" w:space="0"/>
              <w:right w:val="single" w:color="000000" w:sz="4" w:space="0"/>
            </w:tcBorders>
            <w:vAlign w:val="center"/>
          </w:tcPr>
          <w:p w14:paraId="389FA178">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469FBC06">
            <w:pPr>
              <w:pStyle w:val="28"/>
              <w:bidi w:val="0"/>
            </w:pPr>
            <w:r>
              <w:t>6.03</w:t>
            </w:r>
          </w:p>
        </w:tc>
        <w:tc>
          <w:tcPr>
            <w:tcW w:w="397" w:type="pct"/>
            <w:tcBorders>
              <w:top w:val="single" w:color="000000" w:sz="4" w:space="0"/>
              <w:left w:val="single" w:color="000000" w:sz="4" w:space="0"/>
              <w:bottom w:val="single" w:color="000000" w:sz="4" w:space="0"/>
              <w:right w:val="single" w:color="000000" w:sz="4" w:space="0"/>
            </w:tcBorders>
            <w:vAlign w:val="center"/>
          </w:tcPr>
          <w:p w14:paraId="4E0C1D0A">
            <w:pPr>
              <w:pStyle w:val="28"/>
              <w:bidi w:val="0"/>
            </w:pPr>
            <w:r>
              <w:t xml:space="preserve">14.44 </w:t>
            </w:r>
          </w:p>
        </w:tc>
      </w:tr>
      <w:tr w14:paraId="0FB228B5">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53F9B45C">
            <w:pPr>
              <w:pStyle w:val="28"/>
              <w:bidi w:val="0"/>
            </w:pPr>
          </w:p>
        </w:tc>
        <w:tc>
          <w:tcPr>
            <w:tcW w:w="882" w:type="pct"/>
            <w:gridSpan w:val="2"/>
            <w:tcBorders>
              <w:top w:val="single" w:color="000000" w:sz="4" w:space="0"/>
              <w:left w:val="single" w:color="000000" w:sz="4" w:space="0"/>
              <w:bottom w:val="single" w:color="000000" w:sz="4" w:space="0"/>
              <w:right w:val="single" w:color="000000" w:sz="4" w:space="0"/>
            </w:tcBorders>
            <w:vAlign w:val="center"/>
          </w:tcPr>
          <w:p w14:paraId="7F839DF3">
            <w:pPr>
              <w:pStyle w:val="28"/>
              <w:bidi w:val="0"/>
            </w:pPr>
            <w:r>
              <w:t>合计</w:t>
            </w:r>
          </w:p>
        </w:tc>
        <w:tc>
          <w:tcPr>
            <w:tcW w:w="269" w:type="pct"/>
            <w:tcBorders>
              <w:top w:val="single" w:color="000000" w:sz="4" w:space="0"/>
              <w:left w:val="single" w:color="000000" w:sz="4" w:space="0"/>
              <w:bottom w:val="single" w:color="000000" w:sz="4" w:space="0"/>
              <w:right w:val="single" w:color="000000" w:sz="4" w:space="0"/>
            </w:tcBorders>
            <w:vAlign w:val="center"/>
          </w:tcPr>
          <w:p w14:paraId="6B501CD8">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418A5598">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00F0BB4E">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7809E840">
            <w:pPr>
              <w:pStyle w:val="28"/>
              <w:bidi w:val="0"/>
            </w:pPr>
            <w:r>
              <w:t>183.64</w:t>
            </w:r>
          </w:p>
        </w:tc>
        <w:tc>
          <w:tcPr>
            <w:tcW w:w="334" w:type="pct"/>
            <w:tcBorders>
              <w:top w:val="single" w:color="000000" w:sz="4" w:space="0"/>
              <w:left w:val="single" w:color="000000" w:sz="4" w:space="0"/>
              <w:bottom w:val="single" w:color="000000" w:sz="4" w:space="0"/>
              <w:right w:val="single" w:color="000000" w:sz="4" w:space="0"/>
            </w:tcBorders>
            <w:vAlign w:val="center"/>
          </w:tcPr>
          <w:p w14:paraId="51CFD825">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14DEBFB9">
            <w:pPr>
              <w:pStyle w:val="28"/>
              <w:bidi w:val="0"/>
            </w:pPr>
            <w:r>
              <w:t>183.64</w:t>
            </w:r>
          </w:p>
        </w:tc>
        <w:tc>
          <w:tcPr>
            <w:tcW w:w="397" w:type="pct"/>
            <w:tcBorders>
              <w:top w:val="single" w:color="000000" w:sz="4" w:space="0"/>
              <w:left w:val="single" w:color="000000" w:sz="4" w:space="0"/>
              <w:bottom w:val="single" w:color="000000" w:sz="4" w:space="0"/>
              <w:right w:val="single" w:color="000000" w:sz="4" w:space="0"/>
            </w:tcBorders>
            <w:vAlign w:val="center"/>
          </w:tcPr>
          <w:p w14:paraId="5728CE0F">
            <w:pPr>
              <w:pStyle w:val="28"/>
              <w:bidi w:val="0"/>
            </w:pPr>
            <w:r>
              <w:t>58.67</w:t>
            </w:r>
          </w:p>
        </w:tc>
        <w:tc>
          <w:tcPr>
            <w:tcW w:w="363" w:type="pct"/>
            <w:tcBorders>
              <w:top w:val="single" w:color="000000" w:sz="4" w:space="0"/>
              <w:left w:val="single" w:color="000000" w:sz="4" w:space="0"/>
              <w:bottom w:val="single" w:color="000000" w:sz="4" w:space="0"/>
              <w:right w:val="single" w:color="000000" w:sz="4" w:space="0"/>
            </w:tcBorders>
            <w:vAlign w:val="center"/>
          </w:tcPr>
          <w:p w14:paraId="6E4349B2">
            <w:pPr>
              <w:pStyle w:val="28"/>
              <w:bidi w:val="0"/>
            </w:pPr>
            <w:r>
              <w:t>17.18</w:t>
            </w:r>
          </w:p>
        </w:tc>
        <w:tc>
          <w:tcPr>
            <w:tcW w:w="326" w:type="pct"/>
            <w:tcBorders>
              <w:top w:val="single" w:color="000000" w:sz="4" w:space="0"/>
              <w:left w:val="single" w:color="000000" w:sz="4" w:space="0"/>
              <w:bottom w:val="single" w:color="000000" w:sz="4" w:space="0"/>
              <w:right w:val="single" w:color="000000" w:sz="4" w:space="0"/>
            </w:tcBorders>
            <w:vAlign w:val="center"/>
          </w:tcPr>
          <w:p w14:paraId="1E9F1125">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2F64A98D">
            <w:pPr>
              <w:pStyle w:val="28"/>
              <w:bidi w:val="0"/>
            </w:pPr>
            <w:r>
              <w:t>75.85</w:t>
            </w:r>
          </w:p>
        </w:tc>
        <w:tc>
          <w:tcPr>
            <w:tcW w:w="397" w:type="pct"/>
            <w:tcBorders>
              <w:top w:val="single" w:color="000000" w:sz="4" w:space="0"/>
              <w:left w:val="single" w:color="000000" w:sz="4" w:space="0"/>
              <w:bottom w:val="single" w:color="000000" w:sz="4" w:space="0"/>
              <w:right w:val="single" w:color="000000" w:sz="4" w:space="0"/>
            </w:tcBorders>
            <w:vAlign w:val="center"/>
          </w:tcPr>
          <w:p w14:paraId="65AEEC6A">
            <w:pPr>
              <w:pStyle w:val="28"/>
              <w:bidi w:val="0"/>
            </w:pPr>
            <w:r>
              <w:t xml:space="preserve">259.49 </w:t>
            </w:r>
          </w:p>
        </w:tc>
      </w:tr>
      <w:tr w14:paraId="22BFA257">
        <w:tblPrEx>
          <w:tblCellMar>
            <w:top w:w="0" w:type="dxa"/>
            <w:left w:w="108" w:type="dxa"/>
            <w:bottom w:w="0" w:type="dxa"/>
            <w:right w:w="108" w:type="dxa"/>
          </w:tblCellMar>
        </w:tblPrEx>
        <w:trPr>
          <w:trHeight w:val="340" w:hRule="atLeast"/>
          <w:jc w:val="center"/>
        </w:trPr>
        <w:tc>
          <w:tcPr>
            <w:tcW w:w="269" w:type="pct"/>
            <w:vMerge w:val="restart"/>
            <w:tcBorders>
              <w:top w:val="single" w:color="000000" w:sz="4" w:space="0"/>
              <w:left w:val="single" w:color="000000" w:sz="4" w:space="0"/>
              <w:bottom w:val="single" w:color="000000" w:sz="4" w:space="0"/>
              <w:right w:val="single" w:color="000000" w:sz="4" w:space="0"/>
            </w:tcBorders>
            <w:vAlign w:val="center"/>
          </w:tcPr>
          <w:p w14:paraId="5B79A47C">
            <w:pPr>
              <w:pStyle w:val="28"/>
              <w:bidi w:val="0"/>
            </w:pPr>
            <w:r>
              <w:t>淮南市</w:t>
            </w:r>
          </w:p>
        </w:tc>
        <w:tc>
          <w:tcPr>
            <w:tcW w:w="270" w:type="pct"/>
            <w:vMerge w:val="restart"/>
            <w:tcBorders>
              <w:top w:val="single" w:color="000000" w:sz="4" w:space="0"/>
              <w:left w:val="single" w:color="000000" w:sz="4" w:space="0"/>
              <w:bottom w:val="single" w:color="000000" w:sz="4" w:space="0"/>
              <w:right w:val="single" w:color="000000" w:sz="4" w:space="0"/>
            </w:tcBorders>
            <w:vAlign w:val="center"/>
          </w:tcPr>
          <w:p w14:paraId="466039DB">
            <w:pPr>
              <w:pStyle w:val="28"/>
              <w:bidi w:val="0"/>
            </w:pPr>
            <w:r>
              <w:t>寿县</w:t>
            </w:r>
          </w:p>
        </w:tc>
        <w:tc>
          <w:tcPr>
            <w:tcW w:w="612" w:type="pct"/>
            <w:tcBorders>
              <w:top w:val="single" w:color="000000" w:sz="4" w:space="0"/>
              <w:left w:val="single" w:color="000000" w:sz="4" w:space="0"/>
              <w:bottom w:val="single" w:color="000000" w:sz="4" w:space="0"/>
              <w:right w:val="single" w:color="000000" w:sz="4" w:space="0"/>
            </w:tcBorders>
            <w:vAlign w:val="center"/>
          </w:tcPr>
          <w:p w14:paraId="2D6610E2">
            <w:pPr>
              <w:pStyle w:val="28"/>
              <w:bidi w:val="0"/>
            </w:pPr>
            <w:r>
              <w:t>淠东干渠工程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34872F6C">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36FF72D9">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30A71A8A">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0C552962">
            <w:pPr>
              <w:pStyle w:val="28"/>
              <w:bidi w:val="0"/>
            </w:pPr>
            <w:r>
              <w:t>44.63</w:t>
            </w:r>
          </w:p>
        </w:tc>
        <w:tc>
          <w:tcPr>
            <w:tcW w:w="334" w:type="pct"/>
            <w:tcBorders>
              <w:top w:val="single" w:color="000000" w:sz="4" w:space="0"/>
              <w:left w:val="single" w:color="000000" w:sz="4" w:space="0"/>
              <w:bottom w:val="single" w:color="000000" w:sz="4" w:space="0"/>
              <w:right w:val="single" w:color="000000" w:sz="4" w:space="0"/>
            </w:tcBorders>
            <w:vAlign w:val="center"/>
          </w:tcPr>
          <w:p w14:paraId="71B629E7">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22D4C2BF">
            <w:pPr>
              <w:pStyle w:val="28"/>
              <w:bidi w:val="0"/>
            </w:pPr>
            <w:r>
              <w:t>44.63</w:t>
            </w:r>
          </w:p>
        </w:tc>
        <w:tc>
          <w:tcPr>
            <w:tcW w:w="397" w:type="pct"/>
            <w:tcBorders>
              <w:top w:val="single" w:color="000000" w:sz="4" w:space="0"/>
              <w:left w:val="single" w:color="000000" w:sz="4" w:space="0"/>
              <w:bottom w:val="single" w:color="000000" w:sz="4" w:space="0"/>
              <w:right w:val="single" w:color="000000" w:sz="4" w:space="0"/>
            </w:tcBorders>
            <w:vAlign w:val="center"/>
          </w:tcPr>
          <w:p w14:paraId="2E564EFC">
            <w:pPr>
              <w:pStyle w:val="28"/>
              <w:bidi w:val="0"/>
            </w:pPr>
            <w:r>
              <w:t>4.33</w:t>
            </w:r>
          </w:p>
        </w:tc>
        <w:tc>
          <w:tcPr>
            <w:tcW w:w="363" w:type="pct"/>
            <w:tcBorders>
              <w:top w:val="single" w:color="000000" w:sz="4" w:space="0"/>
              <w:left w:val="single" w:color="000000" w:sz="4" w:space="0"/>
              <w:bottom w:val="single" w:color="000000" w:sz="4" w:space="0"/>
              <w:right w:val="single" w:color="000000" w:sz="4" w:space="0"/>
            </w:tcBorders>
            <w:vAlign w:val="center"/>
          </w:tcPr>
          <w:p w14:paraId="61424DC0">
            <w:pPr>
              <w:pStyle w:val="28"/>
              <w:bidi w:val="0"/>
            </w:pPr>
            <w:r>
              <w:t>6.34</w:t>
            </w:r>
          </w:p>
        </w:tc>
        <w:tc>
          <w:tcPr>
            <w:tcW w:w="326" w:type="pct"/>
            <w:tcBorders>
              <w:top w:val="single" w:color="000000" w:sz="4" w:space="0"/>
              <w:left w:val="single" w:color="000000" w:sz="4" w:space="0"/>
              <w:bottom w:val="single" w:color="000000" w:sz="4" w:space="0"/>
              <w:right w:val="single" w:color="000000" w:sz="4" w:space="0"/>
            </w:tcBorders>
            <w:vAlign w:val="center"/>
          </w:tcPr>
          <w:p w14:paraId="06F5B3A7">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51753507">
            <w:pPr>
              <w:pStyle w:val="28"/>
              <w:bidi w:val="0"/>
            </w:pPr>
            <w:r>
              <w:t>10.67</w:t>
            </w:r>
          </w:p>
        </w:tc>
        <w:tc>
          <w:tcPr>
            <w:tcW w:w="397" w:type="pct"/>
            <w:tcBorders>
              <w:top w:val="single" w:color="000000" w:sz="4" w:space="0"/>
              <w:left w:val="single" w:color="000000" w:sz="4" w:space="0"/>
              <w:bottom w:val="single" w:color="000000" w:sz="4" w:space="0"/>
              <w:right w:val="single" w:color="000000" w:sz="4" w:space="0"/>
            </w:tcBorders>
            <w:vAlign w:val="center"/>
          </w:tcPr>
          <w:p w14:paraId="55A20695">
            <w:pPr>
              <w:pStyle w:val="28"/>
              <w:bidi w:val="0"/>
            </w:pPr>
            <w:r>
              <w:t xml:space="preserve">55.30 </w:t>
            </w:r>
          </w:p>
        </w:tc>
      </w:tr>
      <w:tr w14:paraId="6F9FCEEF">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0221B054">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28A6D6D0">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2DAB3D59">
            <w:pPr>
              <w:pStyle w:val="28"/>
              <w:bidi w:val="0"/>
            </w:pPr>
            <w:r>
              <w:t>堰口分干渠工程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619FC7D7">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513B7717">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38CA68F2">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44BDF68F">
            <w:pPr>
              <w:pStyle w:val="28"/>
              <w:bidi w:val="0"/>
            </w:pPr>
            <w:r>
              <w:t>16.2</w:t>
            </w:r>
          </w:p>
        </w:tc>
        <w:tc>
          <w:tcPr>
            <w:tcW w:w="334" w:type="pct"/>
            <w:tcBorders>
              <w:top w:val="single" w:color="000000" w:sz="4" w:space="0"/>
              <w:left w:val="single" w:color="000000" w:sz="4" w:space="0"/>
              <w:bottom w:val="single" w:color="000000" w:sz="4" w:space="0"/>
              <w:right w:val="single" w:color="000000" w:sz="4" w:space="0"/>
            </w:tcBorders>
            <w:vAlign w:val="center"/>
          </w:tcPr>
          <w:p w14:paraId="756612A1">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4DC7FFB3">
            <w:pPr>
              <w:pStyle w:val="28"/>
              <w:bidi w:val="0"/>
            </w:pPr>
            <w:r>
              <w:t>16.2</w:t>
            </w:r>
          </w:p>
        </w:tc>
        <w:tc>
          <w:tcPr>
            <w:tcW w:w="397" w:type="pct"/>
            <w:tcBorders>
              <w:top w:val="single" w:color="000000" w:sz="4" w:space="0"/>
              <w:left w:val="single" w:color="000000" w:sz="4" w:space="0"/>
              <w:bottom w:val="single" w:color="000000" w:sz="4" w:space="0"/>
              <w:right w:val="single" w:color="000000" w:sz="4" w:space="0"/>
            </w:tcBorders>
            <w:vAlign w:val="center"/>
          </w:tcPr>
          <w:p w14:paraId="5DDC10DA">
            <w:pPr>
              <w:pStyle w:val="28"/>
              <w:bidi w:val="0"/>
            </w:pPr>
            <w:r>
              <w:t>3.96</w:t>
            </w:r>
          </w:p>
        </w:tc>
        <w:tc>
          <w:tcPr>
            <w:tcW w:w="363" w:type="pct"/>
            <w:tcBorders>
              <w:top w:val="single" w:color="000000" w:sz="4" w:space="0"/>
              <w:left w:val="single" w:color="000000" w:sz="4" w:space="0"/>
              <w:bottom w:val="single" w:color="000000" w:sz="4" w:space="0"/>
              <w:right w:val="single" w:color="000000" w:sz="4" w:space="0"/>
            </w:tcBorders>
            <w:vAlign w:val="center"/>
          </w:tcPr>
          <w:p w14:paraId="3E823242">
            <w:pPr>
              <w:pStyle w:val="28"/>
              <w:bidi w:val="0"/>
            </w:pPr>
            <w:r>
              <w:t>2.85</w:t>
            </w:r>
          </w:p>
        </w:tc>
        <w:tc>
          <w:tcPr>
            <w:tcW w:w="326" w:type="pct"/>
            <w:tcBorders>
              <w:top w:val="single" w:color="000000" w:sz="4" w:space="0"/>
              <w:left w:val="single" w:color="000000" w:sz="4" w:space="0"/>
              <w:bottom w:val="single" w:color="000000" w:sz="4" w:space="0"/>
              <w:right w:val="single" w:color="000000" w:sz="4" w:space="0"/>
            </w:tcBorders>
            <w:vAlign w:val="center"/>
          </w:tcPr>
          <w:p w14:paraId="57645B17">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7516A9BB">
            <w:pPr>
              <w:pStyle w:val="28"/>
              <w:bidi w:val="0"/>
            </w:pPr>
            <w:r>
              <w:t>6.81</w:t>
            </w:r>
          </w:p>
        </w:tc>
        <w:tc>
          <w:tcPr>
            <w:tcW w:w="397" w:type="pct"/>
            <w:tcBorders>
              <w:top w:val="single" w:color="000000" w:sz="4" w:space="0"/>
              <w:left w:val="single" w:color="000000" w:sz="4" w:space="0"/>
              <w:bottom w:val="single" w:color="000000" w:sz="4" w:space="0"/>
              <w:right w:val="single" w:color="000000" w:sz="4" w:space="0"/>
            </w:tcBorders>
            <w:vAlign w:val="center"/>
          </w:tcPr>
          <w:p w14:paraId="10A4EA5F">
            <w:pPr>
              <w:pStyle w:val="28"/>
              <w:bidi w:val="0"/>
            </w:pPr>
            <w:r>
              <w:t xml:space="preserve">23.01 </w:t>
            </w:r>
          </w:p>
        </w:tc>
      </w:tr>
      <w:tr w14:paraId="2F40F68F">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3F84ED7B">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5BBE7DFB">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32488315">
            <w:pPr>
              <w:pStyle w:val="28"/>
              <w:bidi w:val="0"/>
            </w:pPr>
            <w:r>
              <w:t>瓦东双庙支渠工程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0685F14A">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7ABDFC62">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2959EC51">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5CC36AA9">
            <w:pPr>
              <w:pStyle w:val="28"/>
              <w:bidi w:val="0"/>
            </w:pPr>
            <w:r>
              <w:t>27.79</w:t>
            </w:r>
          </w:p>
        </w:tc>
        <w:tc>
          <w:tcPr>
            <w:tcW w:w="334" w:type="pct"/>
            <w:tcBorders>
              <w:top w:val="single" w:color="000000" w:sz="4" w:space="0"/>
              <w:left w:val="single" w:color="000000" w:sz="4" w:space="0"/>
              <w:bottom w:val="single" w:color="000000" w:sz="4" w:space="0"/>
              <w:right w:val="single" w:color="000000" w:sz="4" w:space="0"/>
            </w:tcBorders>
            <w:vAlign w:val="center"/>
          </w:tcPr>
          <w:p w14:paraId="5ECF8A31">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19CF7D9E">
            <w:pPr>
              <w:pStyle w:val="28"/>
              <w:bidi w:val="0"/>
            </w:pPr>
            <w:r>
              <w:t>27.79</w:t>
            </w:r>
          </w:p>
        </w:tc>
        <w:tc>
          <w:tcPr>
            <w:tcW w:w="397" w:type="pct"/>
            <w:tcBorders>
              <w:top w:val="single" w:color="000000" w:sz="4" w:space="0"/>
              <w:left w:val="single" w:color="000000" w:sz="4" w:space="0"/>
              <w:bottom w:val="single" w:color="000000" w:sz="4" w:space="0"/>
              <w:right w:val="single" w:color="000000" w:sz="4" w:space="0"/>
            </w:tcBorders>
            <w:vAlign w:val="center"/>
          </w:tcPr>
          <w:p w14:paraId="0C2105C3">
            <w:pPr>
              <w:pStyle w:val="28"/>
              <w:bidi w:val="0"/>
            </w:pPr>
            <w:r>
              <w:t>6.73</w:t>
            </w:r>
          </w:p>
        </w:tc>
        <w:tc>
          <w:tcPr>
            <w:tcW w:w="363" w:type="pct"/>
            <w:tcBorders>
              <w:top w:val="single" w:color="000000" w:sz="4" w:space="0"/>
              <w:left w:val="single" w:color="000000" w:sz="4" w:space="0"/>
              <w:bottom w:val="single" w:color="000000" w:sz="4" w:space="0"/>
              <w:right w:val="single" w:color="000000" w:sz="4" w:space="0"/>
            </w:tcBorders>
            <w:vAlign w:val="center"/>
          </w:tcPr>
          <w:p w14:paraId="7448A3FE">
            <w:pPr>
              <w:pStyle w:val="28"/>
              <w:bidi w:val="0"/>
            </w:pPr>
            <w:r>
              <w:t>2.79</w:t>
            </w:r>
          </w:p>
        </w:tc>
        <w:tc>
          <w:tcPr>
            <w:tcW w:w="326" w:type="pct"/>
            <w:tcBorders>
              <w:top w:val="single" w:color="000000" w:sz="4" w:space="0"/>
              <w:left w:val="single" w:color="000000" w:sz="4" w:space="0"/>
              <w:bottom w:val="single" w:color="000000" w:sz="4" w:space="0"/>
              <w:right w:val="single" w:color="000000" w:sz="4" w:space="0"/>
            </w:tcBorders>
            <w:vAlign w:val="center"/>
          </w:tcPr>
          <w:p w14:paraId="46122F5A">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1FE97A13">
            <w:pPr>
              <w:pStyle w:val="28"/>
              <w:bidi w:val="0"/>
            </w:pPr>
            <w:r>
              <w:t>9.52</w:t>
            </w:r>
          </w:p>
        </w:tc>
        <w:tc>
          <w:tcPr>
            <w:tcW w:w="397" w:type="pct"/>
            <w:tcBorders>
              <w:top w:val="single" w:color="000000" w:sz="4" w:space="0"/>
              <w:left w:val="single" w:color="000000" w:sz="4" w:space="0"/>
              <w:bottom w:val="single" w:color="000000" w:sz="4" w:space="0"/>
              <w:right w:val="single" w:color="000000" w:sz="4" w:space="0"/>
            </w:tcBorders>
            <w:vAlign w:val="center"/>
          </w:tcPr>
          <w:p w14:paraId="345E8347">
            <w:pPr>
              <w:pStyle w:val="28"/>
              <w:bidi w:val="0"/>
            </w:pPr>
            <w:r>
              <w:t xml:space="preserve">37.31 </w:t>
            </w:r>
          </w:p>
        </w:tc>
      </w:tr>
      <w:tr w14:paraId="54895EBD">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6AD2D3AD">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2FBD65BE">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6A3A8B72">
            <w:pPr>
              <w:pStyle w:val="28"/>
              <w:bidi w:val="0"/>
            </w:pPr>
            <w:r>
              <w:t>东风支渠工程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2827DE3F">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46D01CDA">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1995B201">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7D83BF03">
            <w:pPr>
              <w:pStyle w:val="28"/>
              <w:bidi w:val="0"/>
            </w:pPr>
            <w:r>
              <w:t>18.35</w:t>
            </w:r>
          </w:p>
        </w:tc>
        <w:tc>
          <w:tcPr>
            <w:tcW w:w="334" w:type="pct"/>
            <w:tcBorders>
              <w:top w:val="single" w:color="000000" w:sz="4" w:space="0"/>
              <w:left w:val="single" w:color="000000" w:sz="4" w:space="0"/>
              <w:bottom w:val="single" w:color="000000" w:sz="4" w:space="0"/>
              <w:right w:val="single" w:color="000000" w:sz="4" w:space="0"/>
            </w:tcBorders>
            <w:vAlign w:val="center"/>
          </w:tcPr>
          <w:p w14:paraId="144BD8B8">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7B5B315A">
            <w:pPr>
              <w:pStyle w:val="28"/>
              <w:bidi w:val="0"/>
            </w:pPr>
            <w:r>
              <w:t>18.35</w:t>
            </w:r>
          </w:p>
        </w:tc>
        <w:tc>
          <w:tcPr>
            <w:tcW w:w="397" w:type="pct"/>
            <w:tcBorders>
              <w:top w:val="single" w:color="000000" w:sz="4" w:space="0"/>
              <w:left w:val="single" w:color="000000" w:sz="4" w:space="0"/>
              <w:bottom w:val="single" w:color="000000" w:sz="4" w:space="0"/>
              <w:right w:val="single" w:color="000000" w:sz="4" w:space="0"/>
            </w:tcBorders>
            <w:vAlign w:val="center"/>
          </w:tcPr>
          <w:p w14:paraId="62A63640">
            <w:pPr>
              <w:pStyle w:val="28"/>
              <w:bidi w:val="0"/>
            </w:pPr>
            <w:r>
              <w:t>2.55</w:t>
            </w:r>
          </w:p>
        </w:tc>
        <w:tc>
          <w:tcPr>
            <w:tcW w:w="363" w:type="pct"/>
            <w:tcBorders>
              <w:top w:val="single" w:color="000000" w:sz="4" w:space="0"/>
              <w:left w:val="single" w:color="000000" w:sz="4" w:space="0"/>
              <w:bottom w:val="single" w:color="000000" w:sz="4" w:space="0"/>
              <w:right w:val="single" w:color="000000" w:sz="4" w:space="0"/>
            </w:tcBorders>
            <w:vAlign w:val="center"/>
          </w:tcPr>
          <w:p w14:paraId="1A431C2F">
            <w:pPr>
              <w:pStyle w:val="28"/>
              <w:bidi w:val="0"/>
            </w:pPr>
            <w:r>
              <w:t>0.07</w:t>
            </w:r>
          </w:p>
        </w:tc>
        <w:tc>
          <w:tcPr>
            <w:tcW w:w="326" w:type="pct"/>
            <w:tcBorders>
              <w:top w:val="single" w:color="000000" w:sz="4" w:space="0"/>
              <w:left w:val="single" w:color="000000" w:sz="4" w:space="0"/>
              <w:bottom w:val="single" w:color="000000" w:sz="4" w:space="0"/>
              <w:right w:val="single" w:color="000000" w:sz="4" w:space="0"/>
            </w:tcBorders>
            <w:vAlign w:val="center"/>
          </w:tcPr>
          <w:p w14:paraId="4F4793C7">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1658221E">
            <w:pPr>
              <w:pStyle w:val="28"/>
              <w:bidi w:val="0"/>
            </w:pPr>
            <w:r>
              <w:t>2.62</w:t>
            </w:r>
          </w:p>
        </w:tc>
        <w:tc>
          <w:tcPr>
            <w:tcW w:w="397" w:type="pct"/>
            <w:tcBorders>
              <w:top w:val="single" w:color="000000" w:sz="4" w:space="0"/>
              <w:left w:val="single" w:color="000000" w:sz="4" w:space="0"/>
              <w:bottom w:val="single" w:color="000000" w:sz="4" w:space="0"/>
              <w:right w:val="single" w:color="000000" w:sz="4" w:space="0"/>
            </w:tcBorders>
            <w:vAlign w:val="center"/>
          </w:tcPr>
          <w:p w14:paraId="3DB7F64F">
            <w:pPr>
              <w:pStyle w:val="28"/>
              <w:bidi w:val="0"/>
            </w:pPr>
            <w:r>
              <w:t xml:space="preserve">20.97 </w:t>
            </w:r>
          </w:p>
        </w:tc>
      </w:tr>
      <w:tr w14:paraId="39DE6039">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240A01C0">
            <w:pPr>
              <w:pStyle w:val="28"/>
              <w:bidi w:val="0"/>
            </w:pPr>
          </w:p>
        </w:tc>
        <w:tc>
          <w:tcPr>
            <w:tcW w:w="270" w:type="pct"/>
            <w:vMerge w:val="continue"/>
            <w:tcBorders>
              <w:top w:val="single" w:color="000000" w:sz="4" w:space="0"/>
              <w:left w:val="single" w:color="000000" w:sz="4" w:space="0"/>
              <w:bottom w:val="single" w:color="000000" w:sz="4" w:space="0"/>
              <w:right w:val="single" w:color="000000" w:sz="4" w:space="0"/>
            </w:tcBorders>
            <w:vAlign w:val="center"/>
          </w:tcPr>
          <w:p w14:paraId="5D36A2F3">
            <w:pPr>
              <w:pStyle w:val="28"/>
              <w:bidi w:val="0"/>
            </w:pPr>
          </w:p>
        </w:tc>
        <w:tc>
          <w:tcPr>
            <w:tcW w:w="612" w:type="pct"/>
            <w:tcBorders>
              <w:top w:val="single" w:color="000000" w:sz="4" w:space="0"/>
              <w:left w:val="single" w:color="000000" w:sz="4" w:space="0"/>
              <w:bottom w:val="single" w:color="000000" w:sz="4" w:space="0"/>
              <w:right w:val="single" w:color="000000" w:sz="4" w:space="0"/>
            </w:tcBorders>
            <w:vAlign w:val="center"/>
          </w:tcPr>
          <w:p w14:paraId="15F95807">
            <w:pPr>
              <w:pStyle w:val="28"/>
              <w:bidi w:val="0"/>
            </w:pPr>
            <w:r>
              <w:t>郑岗泵站工程</w:t>
            </w:r>
          </w:p>
        </w:tc>
        <w:tc>
          <w:tcPr>
            <w:tcW w:w="269" w:type="pct"/>
            <w:tcBorders>
              <w:top w:val="single" w:color="000000" w:sz="4" w:space="0"/>
              <w:left w:val="single" w:color="000000" w:sz="4" w:space="0"/>
              <w:bottom w:val="single" w:color="000000" w:sz="4" w:space="0"/>
              <w:right w:val="single" w:color="000000" w:sz="4" w:space="0"/>
            </w:tcBorders>
            <w:vAlign w:val="center"/>
          </w:tcPr>
          <w:p w14:paraId="545E6C97">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70495F31">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3BF8E311">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0A3BD5AA">
            <w:pPr>
              <w:pStyle w:val="28"/>
              <w:bidi w:val="0"/>
            </w:pPr>
            <w:r>
              <w:t>2.46</w:t>
            </w:r>
          </w:p>
        </w:tc>
        <w:tc>
          <w:tcPr>
            <w:tcW w:w="334" w:type="pct"/>
            <w:tcBorders>
              <w:top w:val="single" w:color="000000" w:sz="4" w:space="0"/>
              <w:left w:val="single" w:color="000000" w:sz="4" w:space="0"/>
              <w:bottom w:val="single" w:color="000000" w:sz="4" w:space="0"/>
              <w:right w:val="single" w:color="000000" w:sz="4" w:space="0"/>
            </w:tcBorders>
            <w:vAlign w:val="center"/>
          </w:tcPr>
          <w:p w14:paraId="5E1293CD">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3318E868">
            <w:pPr>
              <w:pStyle w:val="28"/>
              <w:bidi w:val="0"/>
            </w:pPr>
            <w:r>
              <w:t>2.46</w:t>
            </w:r>
          </w:p>
        </w:tc>
        <w:tc>
          <w:tcPr>
            <w:tcW w:w="397" w:type="pct"/>
            <w:tcBorders>
              <w:top w:val="single" w:color="000000" w:sz="4" w:space="0"/>
              <w:left w:val="single" w:color="000000" w:sz="4" w:space="0"/>
              <w:bottom w:val="single" w:color="000000" w:sz="4" w:space="0"/>
              <w:right w:val="single" w:color="000000" w:sz="4" w:space="0"/>
            </w:tcBorders>
            <w:vAlign w:val="center"/>
          </w:tcPr>
          <w:p w14:paraId="51E0C278">
            <w:pPr>
              <w:pStyle w:val="28"/>
              <w:bidi w:val="0"/>
            </w:pPr>
            <w:r>
              <w:t>4.3</w:t>
            </w:r>
          </w:p>
        </w:tc>
        <w:tc>
          <w:tcPr>
            <w:tcW w:w="363" w:type="pct"/>
            <w:tcBorders>
              <w:top w:val="single" w:color="000000" w:sz="4" w:space="0"/>
              <w:left w:val="single" w:color="000000" w:sz="4" w:space="0"/>
              <w:bottom w:val="single" w:color="000000" w:sz="4" w:space="0"/>
              <w:right w:val="single" w:color="000000" w:sz="4" w:space="0"/>
            </w:tcBorders>
            <w:vAlign w:val="center"/>
          </w:tcPr>
          <w:p w14:paraId="0D101F2F">
            <w:pPr>
              <w:pStyle w:val="28"/>
              <w:bidi w:val="0"/>
            </w:pPr>
            <w:r>
              <w:t>0.67</w:t>
            </w:r>
          </w:p>
        </w:tc>
        <w:tc>
          <w:tcPr>
            <w:tcW w:w="326" w:type="pct"/>
            <w:tcBorders>
              <w:top w:val="single" w:color="000000" w:sz="4" w:space="0"/>
              <w:left w:val="single" w:color="000000" w:sz="4" w:space="0"/>
              <w:bottom w:val="single" w:color="000000" w:sz="4" w:space="0"/>
              <w:right w:val="single" w:color="000000" w:sz="4" w:space="0"/>
            </w:tcBorders>
            <w:vAlign w:val="center"/>
          </w:tcPr>
          <w:p w14:paraId="4356F40F">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6C8A4030">
            <w:pPr>
              <w:pStyle w:val="28"/>
              <w:bidi w:val="0"/>
            </w:pPr>
            <w:r>
              <w:t>4.97</w:t>
            </w:r>
          </w:p>
        </w:tc>
        <w:tc>
          <w:tcPr>
            <w:tcW w:w="397" w:type="pct"/>
            <w:tcBorders>
              <w:top w:val="single" w:color="000000" w:sz="4" w:space="0"/>
              <w:left w:val="single" w:color="000000" w:sz="4" w:space="0"/>
              <w:bottom w:val="single" w:color="000000" w:sz="4" w:space="0"/>
              <w:right w:val="single" w:color="000000" w:sz="4" w:space="0"/>
            </w:tcBorders>
            <w:vAlign w:val="center"/>
          </w:tcPr>
          <w:p w14:paraId="270DDA7D">
            <w:pPr>
              <w:pStyle w:val="28"/>
              <w:bidi w:val="0"/>
            </w:pPr>
            <w:r>
              <w:t xml:space="preserve">7.43 </w:t>
            </w:r>
          </w:p>
        </w:tc>
      </w:tr>
      <w:tr w14:paraId="5E4C0582">
        <w:tblPrEx>
          <w:tblCellMar>
            <w:top w:w="0" w:type="dxa"/>
            <w:left w:w="108" w:type="dxa"/>
            <w:bottom w:w="0" w:type="dxa"/>
            <w:right w:w="108" w:type="dxa"/>
          </w:tblCellMar>
        </w:tblPrEx>
        <w:trPr>
          <w:trHeight w:val="340" w:hRule="atLeast"/>
          <w:jc w:val="center"/>
        </w:trPr>
        <w:tc>
          <w:tcPr>
            <w:tcW w:w="269" w:type="pct"/>
            <w:vMerge w:val="continue"/>
            <w:tcBorders>
              <w:top w:val="single" w:color="000000" w:sz="4" w:space="0"/>
              <w:left w:val="single" w:color="000000" w:sz="4" w:space="0"/>
              <w:bottom w:val="single" w:color="000000" w:sz="4" w:space="0"/>
              <w:right w:val="single" w:color="000000" w:sz="4" w:space="0"/>
            </w:tcBorders>
            <w:vAlign w:val="center"/>
          </w:tcPr>
          <w:p w14:paraId="4A73825D">
            <w:pPr>
              <w:pStyle w:val="28"/>
              <w:bidi w:val="0"/>
            </w:pPr>
          </w:p>
        </w:tc>
        <w:tc>
          <w:tcPr>
            <w:tcW w:w="882" w:type="pct"/>
            <w:gridSpan w:val="2"/>
            <w:tcBorders>
              <w:top w:val="single" w:color="000000" w:sz="4" w:space="0"/>
              <w:left w:val="single" w:color="000000" w:sz="4" w:space="0"/>
              <w:bottom w:val="single" w:color="000000" w:sz="4" w:space="0"/>
              <w:right w:val="single" w:color="000000" w:sz="4" w:space="0"/>
            </w:tcBorders>
            <w:vAlign w:val="center"/>
          </w:tcPr>
          <w:p w14:paraId="06A7A401">
            <w:pPr>
              <w:pStyle w:val="28"/>
              <w:bidi w:val="0"/>
            </w:pPr>
            <w:r>
              <w:t>合计</w:t>
            </w:r>
          </w:p>
        </w:tc>
        <w:tc>
          <w:tcPr>
            <w:tcW w:w="269" w:type="pct"/>
            <w:tcBorders>
              <w:top w:val="single" w:color="000000" w:sz="4" w:space="0"/>
              <w:left w:val="single" w:color="000000" w:sz="4" w:space="0"/>
              <w:bottom w:val="single" w:color="000000" w:sz="4" w:space="0"/>
              <w:right w:val="single" w:color="000000" w:sz="4" w:space="0"/>
            </w:tcBorders>
            <w:vAlign w:val="center"/>
          </w:tcPr>
          <w:p w14:paraId="27307413">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790EE1AE">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2508EC04">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2649B7A1">
            <w:pPr>
              <w:pStyle w:val="28"/>
              <w:bidi w:val="0"/>
            </w:pPr>
            <w:r>
              <w:t>109.43</w:t>
            </w:r>
          </w:p>
        </w:tc>
        <w:tc>
          <w:tcPr>
            <w:tcW w:w="334" w:type="pct"/>
            <w:tcBorders>
              <w:top w:val="single" w:color="000000" w:sz="4" w:space="0"/>
              <w:left w:val="single" w:color="000000" w:sz="4" w:space="0"/>
              <w:bottom w:val="single" w:color="000000" w:sz="4" w:space="0"/>
              <w:right w:val="single" w:color="000000" w:sz="4" w:space="0"/>
            </w:tcBorders>
            <w:vAlign w:val="center"/>
          </w:tcPr>
          <w:p w14:paraId="2D9F025E">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43672B44">
            <w:pPr>
              <w:pStyle w:val="28"/>
              <w:bidi w:val="0"/>
            </w:pPr>
            <w:r>
              <w:t>109.43</w:t>
            </w:r>
          </w:p>
        </w:tc>
        <w:tc>
          <w:tcPr>
            <w:tcW w:w="397" w:type="pct"/>
            <w:tcBorders>
              <w:top w:val="single" w:color="000000" w:sz="4" w:space="0"/>
              <w:left w:val="single" w:color="000000" w:sz="4" w:space="0"/>
              <w:bottom w:val="single" w:color="000000" w:sz="4" w:space="0"/>
              <w:right w:val="single" w:color="000000" w:sz="4" w:space="0"/>
            </w:tcBorders>
            <w:vAlign w:val="center"/>
          </w:tcPr>
          <w:p w14:paraId="4928DBC9">
            <w:pPr>
              <w:pStyle w:val="28"/>
              <w:bidi w:val="0"/>
            </w:pPr>
            <w:r>
              <w:t>21.87</w:t>
            </w:r>
          </w:p>
        </w:tc>
        <w:tc>
          <w:tcPr>
            <w:tcW w:w="363" w:type="pct"/>
            <w:tcBorders>
              <w:top w:val="single" w:color="000000" w:sz="4" w:space="0"/>
              <w:left w:val="single" w:color="000000" w:sz="4" w:space="0"/>
              <w:bottom w:val="single" w:color="000000" w:sz="4" w:space="0"/>
              <w:right w:val="single" w:color="000000" w:sz="4" w:space="0"/>
            </w:tcBorders>
            <w:vAlign w:val="center"/>
          </w:tcPr>
          <w:p w14:paraId="76BA8E4F">
            <w:pPr>
              <w:pStyle w:val="28"/>
              <w:bidi w:val="0"/>
            </w:pPr>
            <w:r>
              <w:t>12.72</w:t>
            </w:r>
          </w:p>
        </w:tc>
        <w:tc>
          <w:tcPr>
            <w:tcW w:w="326" w:type="pct"/>
            <w:tcBorders>
              <w:top w:val="single" w:color="000000" w:sz="4" w:space="0"/>
              <w:left w:val="single" w:color="000000" w:sz="4" w:space="0"/>
              <w:bottom w:val="single" w:color="000000" w:sz="4" w:space="0"/>
              <w:right w:val="single" w:color="000000" w:sz="4" w:space="0"/>
            </w:tcBorders>
            <w:vAlign w:val="center"/>
          </w:tcPr>
          <w:p w14:paraId="64088B91">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46BF6E47">
            <w:pPr>
              <w:pStyle w:val="28"/>
              <w:bidi w:val="0"/>
            </w:pPr>
            <w:r>
              <w:t>34.59</w:t>
            </w:r>
          </w:p>
        </w:tc>
        <w:tc>
          <w:tcPr>
            <w:tcW w:w="397" w:type="pct"/>
            <w:tcBorders>
              <w:top w:val="single" w:color="000000" w:sz="4" w:space="0"/>
              <w:left w:val="single" w:color="000000" w:sz="4" w:space="0"/>
              <w:bottom w:val="single" w:color="000000" w:sz="4" w:space="0"/>
              <w:right w:val="single" w:color="000000" w:sz="4" w:space="0"/>
            </w:tcBorders>
            <w:vAlign w:val="center"/>
          </w:tcPr>
          <w:p w14:paraId="68EA9649">
            <w:pPr>
              <w:pStyle w:val="28"/>
              <w:bidi w:val="0"/>
            </w:pPr>
            <w:r>
              <w:t xml:space="preserve">144.02 </w:t>
            </w:r>
          </w:p>
        </w:tc>
      </w:tr>
      <w:tr w14:paraId="2EAFD72E">
        <w:tblPrEx>
          <w:tblCellMar>
            <w:top w:w="0" w:type="dxa"/>
            <w:left w:w="108" w:type="dxa"/>
            <w:bottom w:w="0" w:type="dxa"/>
            <w:right w:w="108" w:type="dxa"/>
          </w:tblCellMar>
        </w:tblPrEx>
        <w:trPr>
          <w:trHeight w:val="340" w:hRule="atLeast"/>
          <w:jc w:val="center"/>
        </w:trPr>
        <w:tc>
          <w:tcPr>
            <w:tcW w:w="1152" w:type="pct"/>
            <w:gridSpan w:val="3"/>
            <w:tcBorders>
              <w:top w:val="single" w:color="000000" w:sz="4" w:space="0"/>
              <w:left w:val="single" w:color="000000" w:sz="4" w:space="0"/>
              <w:bottom w:val="single" w:color="000000" w:sz="4" w:space="0"/>
              <w:right w:val="single" w:color="000000" w:sz="4" w:space="0"/>
            </w:tcBorders>
            <w:vAlign w:val="center"/>
          </w:tcPr>
          <w:p w14:paraId="2B849B9B">
            <w:pPr>
              <w:pStyle w:val="28"/>
              <w:bidi w:val="0"/>
            </w:pPr>
            <w:r>
              <w:t>总计</w:t>
            </w:r>
          </w:p>
        </w:tc>
        <w:tc>
          <w:tcPr>
            <w:tcW w:w="269" w:type="pct"/>
            <w:tcBorders>
              <w:top w:val="single" w:color="000000" w:sz="4" w:space="0"/>
              <w:left w:val="single" w:color="000000" w:sz="4" w:space="0"/>
              <w:bottom w:val="single" w:color="000000" w:sz="4" w:space="0"/>
              <w:right w:val="single" w:color="000000" w:sz="4" w:space="0"/>
            </w:tcBorders>
            <w:vAlign w:val="center"/>
          </w:tcPr>
          <w:p w14:paraId="3C46830A">
            <w:pPr>
              <w:pStyle w:val="28"/>
              <w:bidi w:val="0"/>
            </w:pPr>
            <w:r>
              <w:t>0</w:t>
            </w:r>
          </w:p>
        </w:tc>
        <w:tc>
          <w:tcPr>
            <w:tcW w:w="316" w:type="pct"/>
            <w:tcBorders>
              <w:top w:val="single" w:color="000000" w:sz="4" w:space="0"/>
              <w:left w:val="single" w:color="000000" w:sz="4" w:space="0"/>
              <w:bottom w:val="single" w:color="000000" w:sz="4" w:space="0"/>
              <w:right w:val="single" w:color="000000" w:sz="4" w:space="0"/>
            </w:tcBorders>
            <w:vAlign w:val="center"/>
          </w:tcPr>
          <w:p w14:paraId="1F90828E">
            <w:pPr>
              <w:pStyle w:val="28"/>
              <w:bidi w:val="0"/>
            </w:pPr>
            <w:r>
              <w:t>0</w:t>
            </w:r>
          </w:p>
        </w:tc>
        <w:tc>
          <w:tcPr>
            <w:tcW w:w="396" w:type="pct"/>
            <w:tcBorders>
              <w:top w:val="single" w:color="000000" w:sz="4" w:space="0"/>
              <w:left w:val="single" w:color="000000" w:sz="4" w:space="0"/>
              <w:bottom w:val="single" w:color="000000" w:sz="4" w:space="0"/>
              <w:right w:val="single" w:color="000000" w:sz="4" w:space="0"/>
            </w:tcBorders>
            <w:vAlign w:val="center"/>
          </w:tcPr>
          <w:p w14:paraId="5E345218">
            <w:pPr>
              <w:pStyle w:val="28"/>
              <w:bidi w:val="0"/>
            </w:pPr>
            <w:r>
              <w:t>0</w:t>
            </w:r>
          </w:p>
        </w:tc>
        <w:tc>
          <w:tcPr>
            <w:tcW w:w="317" w:type="pct"/>
            <w:tcBorders>
              <w:top w:val="single" w:color="000000" w:sz="4" w:space="0"/>
              <w:left w:val="single" w:color="000000" w:sz="4" w:space="0"/>
              <w:bottom w:val="single" w:color="000000" w:sz="4" w:space="0"/>
              <w:right w:val="single" w:color="000000" w:sz="4" w:space="0"/>
            </w:tcBorders>
            <w:vAlign w:val="center"/>
          </w:tcPr>
          <w:p w14:paraId="661A3F77">
            <w:pPr>
              <w:pStyle w:val="28"/>
              <w:bidi w:val="0"/>
            </w:pPr>
            <w:r>
              <w:t>445.83</w:t>
            </w:r>
          </w:p>
        </w:tc>
        <w:tc>
          <w:tcPr>
            <w:tcW w:w="334" w:type="pct"/>
            <w:tcBorders>
              <w:top w:val="single" w:color="000000" w:sz="4" w:space="0"/>
              <w:left w:val="single" w:color="000000" w:sz="4" w:space="0"/>
              <w:bottom w:val="single" w:color="000000" w:sz="4" w:space="0"/>
              <w:right w:val="single" w:color="000000" w:sz="4" w:space="0"/>
            </w:tcBorders>
            <w:vAlign w:val="center"/>
          </w:tcPr>
          <w:p w14:paraId="3062EB15">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4ACE833B">
            <w:pPr>
              <w:pStyle w:val="28"/>
              <w:bidi w:val="0"/>
            </w:pPr>
            <w:r>
              <w:t>445.83</w:t>
            </w:r>
          </w:p>
        </w:tc>
        <w:tc>
          <w:tcPr>
            <w:tcW w:w="397" w:type="pct"/>
            <w:tcBorders>
              <w:top w:val="single" w:color="000000" w:sz="4" w:space="0"/>
              <w:left w:val="single" w:color="000000" w:sz="4" w:space="0"/>
              <w:bottom w:val="single" w:color="000000" w:sz="4" w:space="0"/>
              <w:right w:val="single" w:color="000000" w:sz="4" w:space="0"/>
            </w:tcBorders>
            <w:vAlign w:val="center"/>
          </w:tcPr>
          <w:p w14:paraId="1A953387">
            <w:pPr>
              <w:pStyle w:val="28"/>
              <w:bidi w:val="0"/>
            </w:pPr>
            <w:r>
              <w:t>109.83</w:t>
            </w:r>
          </w:p>
        </w:tc>
        <w:tc>
          <w:tcPr>
            <w:tcW w:w="363" w:type="pct"/>
            <w:tcBorders>
              <w:top w:val="single" w:color="000000" w:sz="4" w:space="0"/>
              <w:left w:val="single" w:color="000000" w:sz="4" w:space="0"/>
              <w:bottom w:val="single" w:color="000000" w:sz="4" w:space="0"/>
              <w:right w:val="single" w:color="000000" w:sz="4" w:space="0"/>
            </w:tcBorders>
            <w:vAlign w:val="center"/>
          </w:tcPr>
          <w:p w14:paraId="3EBBE755">
            <w:pPr>
              <w:pStyle w:val="28"/>
              <w:bidi w:val="0"/>
            </w:pPr>
            <w:r>
              <w:t>57.32</w:t>
            </w:r>
          </w:p>
        </w:tc>
        <w:tc>
          <w:tcPr>
            <w:tcW w:w="326" w:type="pct"/>
            <w:tcBorders>
              <w:top w:val="single" w:color="000000" w:sz="4" w:space="0"/>
              <w:left w:val="single" w:color="000000" w:sz="4" w:space="0"/>
              <w:bottom w:val="single" w:color="000000" w:sz="4" w:space="0"/>
              <w:right w:val="single" w:color="000000" w:sz="4" w:space="0"/>
            </w:tcBorders>
            <w:vAlign w:val="center"/>
          </w:tcPr>
          <w:p w14:paraId="08886A33">
            <w:pPr>
              <w:pStyle w:val="28"/>
              <w:bidi w:val="0"/>
            </w:pPr>
            <w:r>
              <w:t>0</w:t>
            </w:r>
          </w:p>
        </w:tc>
        <w:tc>
          <w:tcPr>
            <w:tcW w:w="363" w:type="pct"/>
            <w:tcBorders>
              <w:top w:val="single" w:color="000000" w:sz="4" w:space="0"/>
              <w:left w:val="single" w:color="000000" w:sz="4" w:space="0"/>
              <w:bottom w:val="single" w:color="000000" w:sz="4" w:space="0"/>
              <w:right w:val="single" w:color="000000" w:sz="4" w:space="0"/>
            </w:tcBorders>
            <w:vAlign w:val="center"/>
          </w:tcPr>
          <w:p w14:paraId="6832934B">
            <w:pPr>
              <w:pStyle w:val="28"/>
              <w:bidi w:val="0"/>
            </w:pPr>
            <w:r>
              <w:t>167.15</w:t>
            </w:r>
          </w:p>
        </w:tc>
        <w:tc>
          <w:tcPr>
            <w:tcW w:w="397" w:type="pct"/>
            <w:tcBorders>
              <w:top w:val="single" w:color="000000" w:sz="4" w:space="0"/>
              <w:left w:val="single" w:color="000000" w:sz="4" w:space="0"/>
              <w:bottom w:val="single" w:color="000000" w:sz="4" w:space="0"/>
              <w:right w:val="single" w:color="000000" w:sz="4" w:space="0"/>
            </w:tcBorders>
            <w:vAlign w:val="center"/>
          </w:tcPr>
          <w:p w14:paraId="505450F8">
            <w:pPr>
              <w:pStyle w:val="28"/>
              <w:bidi w:val="0"/>
            </w:pPr>
            <w:r>
              <w:t xml:space="preserve">612.98 </w:t>
            </w:r>
          </w:p>
        </w:tc>
      </w:tr>
    </w:tbl>
    <w:p w14:paraId="0F80895F">
      <w:pPr>
        <w:rPr>
          <w:color w:val="0000FF"/>
        </w:rPr>
        <w:sectPr>
          <w:pgSz w:w="11905" w:h="16838"/>
          <w:pgMar w:top="1417" w:right="1417" w:bottom="1417" w:left="1417" w:header="850" w:footer="850" w:gutter="0"/>
          <w:pgNumType w:fmt="decimal"/>
          <w:cols w:space="0" w:num="1"/>
          <w:rtlGutter w:val="0"/>
          <w:docGrid w:linePitch="326" w:charSpace="0"/>
        </w:sectPr>
      </w:pPr>
    </w:p>
    <w:p w14:paraId="69661BB1">
      <w:pPr>
        <w:rPr>
          <w:rFonts w:cs="Times New Roman"/>
        </w:rPr>
      </w:pPr>
      <w:r>
        <w:rPr>
          <w:rFonts w:cs="Times New Roman"/>
        </w:rPr>
        <w:t>施工结束后对临时占地进行恢复，占用的耕地进行复耕，原有土地功能得到恢复。</w:t>
      </w:r>
    </w:p>
    <w:p w14:paraId="1F9EC2FE">
      <w:pPr>
        <w:pStyle w:val="4"/>
        <w:rPr>
          <w:rFonts w:cs="Times New Roman"/>
        </w:rPr>
      </w:pPr>
      <w:r>
        <w:rPr>
          <w:rFonts w:cs="Times New Roman"/>
        </w:rPr>
        <w:t>2.</w:t>
      </w:r>
      <w:r>
        <w:rPr>
          <w:rFonts w:hint="eastAsia" w:cs="Times New Roman"/>
        </w:rPr>
        <w:t>5</w:t>
      </w:r>
      <w:r>
        <w:rPr>
          <w:rFonts w:cs="Times New Roman"/>
        </w:rPr>
        <w:t>.2 移民安置规划</w:t>
      </w:r>
    </w:p>
    <w:p w14:paraId="27810BDF">
      <w:pPr>
        <w:ind w:firstLine="480" w:firstLineChars="200"/>
      </w:pPr>
      <w:r>
        <w:rPr>
          <w:rFonts w:hint="eastAsia" w:ascii="宋体" w:hAnsi="宋体"/>
          <w:lang w:bidi="ar"/>
        </w:rPr>
        <w:t>本工程不涉及移民拆迁。</w:t>
      </w:r>
    </w:p>
    <w:p w14:paraId="460AEB1F">
      <w:pPr>
        <w:pStyle w:val="3"/>
        <w:rPr>
          <w:rFonts w:cs="Times New Roman"/>
        </w:rPr>
      </w:pPr>
      <w:bookmarkStart w:id="31" w:name="_Toc2131"/>
      <w:r>
        <w:rPr>
          <w:rFonts w:cs="Times New Roman"/>
        </w:rPr>
        <w:t>2.</w:t>
      </w:r>
      <w:r>
        <w:rPr>
          <w:rFonts w:hint="eastAsia" w:cs="Times New Roman"/>
        </w:rPr>
        <w:t>6</w:t>
      </w:r>
      <w:r>
        <w:rPr>
          <w:rFonts w:cs="Times New Roman"/>
        </w:rPr>
        <w:t xml:space="preserve"> 工程投资</w:t>
      </w:r>
      <w:bookmarkEnd w:id="31"/>
    </w:p>
    <w:p w14:paraId="5537325C">
      <w:pPr>
        <w:ind w:firstLine="480"/>
        <w:rPr>
          <w:rFonts w:cs="Times New Roman"/>
        </w:rPr>
      </w:pPr>
      <w:r>
        <w:rPr>
          <w:rFonts w:cs="Times New Roman"/>
        </w:rPr>
        <w:t>本工程估算投资总计13365.57万元。静态总投资为 13165.65元，其中建筑工程投资 6751.41万元，金属结构设备及安装工程71.73万元，临时工程投资495.57万元，独立费投资为1114.27万元；基本预备费1264.95万元；环境保护投资为36.59万元；水土保持投资为110.67万元。</w:t>
      </w:r>
    </w:p>
    <w:p w14:paraId="48746B6B">
      <w:pPr>
        <w:pStyle w:val="3"/>
        <w:bidi w:val="0"/>
      </w:pPr>
      <w:bookmarkStart w:id="32" w:name="_Toc12480"/>
      <w:r>
        <w:t>2.</w:t>
      </w:r>
      <w:r>
        <w:rPr>
          <w:rFonts w:hint="eastAsia"/>
        </w:rPr>
        <w:t>7</w:t>
      </w:r>
      <w:r>
        <w:t xml:space="preserve"> 工程特性表</w:t>
      </w:r>
      <w:bookmarkEnd w:id="32"/>
    </w:p>
    <w:p w14:paraId="11BF2068">
      <w:pPr>
        <w:bidi w:val="0"/>
      </w:pPr>
      <w:r>
        <w:rPr>
          <w:rFonts w:hint="eastAsia"/>
          <w:lang w:eastAsia="zh-CN"/>
        </w:rPr>
        <w:t>淮南市谢家集区朱集中型灌区续建配套与节水改造项目</w:t>
      </w:r>
      <w:r>
        <w:t>三期工程特性见表2</w:t>
      </w:r>
      <w:r>
        <w:rPr>
          <w:rFonts w:hint="eastAsia"/>
          <w:lang w:val="en-US" w:eastAsia="zh-CN"/>
        </w:rPr>
        <w:t>.</w:t>
      </w:r>
      <w:r>
        <w:rPr>
          <w:rFonts w:hint="eastAsia"/>
        </w:rPr>
        <w:t>7</w:t>
      </w:r>
      <w:r>
        <w:t>-</w:t>
      </w:r>
      <w:r>
        <w:rPr>
          <w:rFonts w:hint="eastAsia"/>
        </w:rPr>
        <w:t>1</w:t>
      </w:r>
      <w:r>
        <w:t>。</w:t>
      </w:r>
    </w:p>
    <w:p w14:paraId="086770F4">
      <w:pPr>
        <w:pStyle w:val="29"/>
        <w:bidi w:val="0"/>
      </w:pPr>
      <w:r>
        <w:t>表2</w:t>
      </w:r>
      <w:r>
        <w:rPr>
          <w:rFonts w:hint="eastAsia"/>
          <w:lang w:val="en-US" w:eastAsia="zh-CN"/>
        </w:rPr>
        <w:t>.</w:t>
      </w:r>
      <w:r>
        <w:rPr>
          <w:rFonts w:hint="eastAsia"/>
        </w:rPr>
        <w:t>7</w:t>
      </w:r>
      <w:r>
        <w:t>-</w:t>
      </w:r>
      <w:r>
        <w:rPr>
          <w:rFonts w:hint="eastAsia"/>
        </w:rPr>
        <w:t>1</w:t>
      </w:r>
      <w:r>
        <w:t xml:space="preserve">  </w:t>
      </w:r>
      <w:r>
        <w:rPr>
          <w:rFonts w:hint="eastAsia"/>
        </w:rPr>
        <w:t>淮南市谢家集区朱集中型灌区续建配套与节水改造项目</w:t>
      </w:r>
      <w:r>
        <w:t>三期特性表</w:t>
      </w:r>
    </w:p>
    <w:tbl>
      <w:tblPr>
        <w:tblStyle w:val="16"/>
        <w:tblW w:w="4991" w:type="pct"/>
        <w:jc w:val="center"/>
        <w:tblLayout w:type="autofit"/>
        <w:tblCellMar>
          <w:top w:w="0" w:type="dxa"/>
          <w:left w:w="108" w:type="dxa"/>
          <w:bottom w:w="0" w:type="dxa"/>
          <w:right w:w="108" w:type="dxa"/>
        </w:tblCellMar>
      </w:tblPr>
      <w:tblGrid>
        <w:gridCol w:w="818"/>
        <w:gridCol w:w="2937"/>
        <w:gridCol w:w="1103"/>
        <w:gridCol w:w="1263"/>
        <w:gridCol w:w="3149"/>
      </w:tblGrid>
      <w:tr w14:paraId="087F4CE1">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33F55F24">
            <w:pPr>
              <w:pStyle w:val="28"/>
              <w:bidi w:val="0"/>
            </w:pPr>
            <w:r>
              <w:t>序号</w:t>
            </w:r>
          </w:p>
        </w:tc>
        <w:tc>
          <w:tcPr>
            <w:tcW w:w="1584" w:type="pct"/>
            <w:tcBorders>
              <w:top w:val="single" w:color="000000" w:sz="4" w:space="0"/>
              <w:left w:val="single" w:color="000000" w:sz="4" w:space="0"/>
              <w:bottom w:val="single" w:color="000000" w:sz="4" w:space="0"/>
              <w:right w:val="single" w:color="000000" w:sz="4" w:space="0"/>
            </w:tcBorders>
            <w:vAlign w:val="center"/>
          </w:tcPr>
          <w:p w14:paraId="77A8945B">
            <w:pPr>
              <w:pStyle w:val="28"/>
              <w:bidi w:val="0"/>
            </w:pPr>
            <w:r>
              <w:t>序号及名称</w:t>
            </w:r>
          </w:p>
        </w:tc>
        <w:tc>
          <w:tcPr>
            <w:tcW w:w="595" w:type="pct"/>
            <w:tcBorders>
              <w:top w:val="single" w:color="000000" w:sz="4" w:space="0"/>
              <w:left w:val="single" w:color="000000" w:sz="4" w:space="0"/>
              <w:bottom w:val="single" w:color="000000" w:sz="4" w:space="0"/>
              <w:right w:val="single" w:color="000000" w:sz="4" w:space="0"/>
            </w:tcBorders>
            <w:vAlign w:val="center"/>
          </w:tcPr>
          <w:p w14:paraId="55234802">
            <w:pPr>
              <w:pStyle w:val="28"/>
              <w:bidi w:val="0"/>
            </w:pPr>
            <w:r>
              <w:t>单位</w:t>
            </w:r>
          </w:p>
        </w:tc>
        <w:tc>
          <w:tcPr>
            <w:tcW w:w="681" w:type="pct"/>
            <w:tcBorders>
              <w:top w:val="single" w:color="000000" w:sz="4" w:space="0"/>
              <w:left w:val="single" w:color="000000" w:sz="4" w:space="0"/>
              <w:bottom w:val="single" w:color="000000" w:sz="4" w:space="0"/>
              <w:right w:val="single" w:color="000000" w:sz="4" w:space="0"/>
            </w:tcBorders>
            <w:vAlign w:val="center"/>
          </w:tcPr>
          <w:p w14:paraId="1165101A">
            <w:pPr>
              <w:pStyle w:val="28"/>
              <w:bidi w:val="0"/>
            </w:pPr>
            <w:r>
              <w:t>数量</w:t>
            </w:r>
          </w:p>
        </w:tc>
        <w:tc>
          <w:tcPr>
            <w:tcW w:w="1697" w:type="pct"/>
            <w:tcBorders>
              <w:top w:val="single" w:color="000000" w:sz="4" w:space="0"/>
              <w:left w:val="single" w:color="000000" w:sz="4" w:space="0"/>
              <w:bottom w:val="single" w:color="000000" w:sz="4" w:space="0"/>
              <w:right w:val="single" w:color="000000" w:sz="4" w:space="0"/>
            </w:tcBorders>
            <w:vAlign w:val="center"/>
          </w:tcPr>
          <w:p w14:paraId="660190A7">
            <w:pPr>
              <w:pStyle w:val="28"/>
              <w:bidi w:val="0"/>
            </w:pPr>
            <w:r>
              <w:t>备注</w:t>
            </w:r>
          </w:p>
        </w:tc>
      </w:tr>
      <w:tr w14:paraId="7AC9B0F6">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121E74FD">
            <w:pPr>
              <w:pStyle w:val="28"/>
              <w:bidi w:val="0"/>
            </w:pPr>
            <w:r>
              <w:t>一</w:t>
            </w:r>
          </w:p>
        </w:tc>
        <w:tc>
          <w:tcPr>
            <w:tcW w:w="4558" w:type="pct"/>
            <w:gridSpan w:val="4"/>
            <w:tcBorders>
              <w:top w:val="single" w:color="000000" w:sz="4" w:space="0"/>
              <w:left w:val="single" w:color="000000" w:sz="4" w:space="0"/>
              <w:bottom w:val="single" w:color="000000" w:sz="4" w:space="0"/>
              <w:right w:val="single" w:color="000000" w:sz="4" w:space="0"/>
            </w:tcBorders>
            <w:vAlign w:val="center"/>
          </w:tcPr>
          <w:p w14:paraId="52398783">
            <w:pPr>
              <w:pStyle w:val="28"/>
              <w:bidi w:val="0"/>
            </w:pPr>
            <w:r>
              <w:t>项目区基本情况</w:t>
            </w:r>
          </w:p>
        </w:tc>
      </w:tr>
      <w:tr w14:paraId="22894758">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3CBCFB24">
            <w:pPr>
              <w:pStyle w:val="28"/>
              <w:bidi w:val="0"/>
            </w:pPr>
            <w:r>
              <w:t>1</w:t>
            </w:r>
          </w:p>
        </w:tc>
        <w:tc>
          <w:tcPr>
            <w:tcW w:w="1584" w:type="pct"/>
            <w:tcBorders>
              <w:top w:val="single" w:color="000000" w:sz="4" w:space="0"/>
              <w:left w:val="single" w:color="000000" w:sz="4" w:space="0"/>
              <w:bottom w:val="single" w:color="000000" w:sz="4" w:space="0"/>
              <w:right w:val="single" w:color="000000" w:sz="4" w:space="0"/>
            </w:tcBorders>
            <w:vAlign w:val="center"/>
          </w:tcPr>
          <w:p w14:paraId="54DBD8B4">
            <w:pPr>
              <w:pStyle w:val="28"/>
              <w:bidi w:val="0"/>
            </w:pPr>
            <w:r>
              <w:t>项目区涉及县区</w:t>
            </w:r>
          </w:p>
        </w:tc>
        <w:tc>
          <w:tcPr>
            <w:tcW w:w="2974" w:type="pct"/>
            <w:gridSpan w:val="3"/>
            <w:tcBorders>
              <w:top w:val="single" w:color="000000" w:sz="4" w:space="0"/>
              <w:left w:val="single" w:color="000000" w:sz="4" w:space="0"/>
              <w:bottom w:val="single" w:color="000000" w:sz="4" w:space="0"/>
              <w:right w:val="single" w:color="000000" w:sz="4" w:space="0"/>
            </w:tcBorders>
            <w:vAlign w:val="center"/>
          </w:tcPr>
          <w:p w14:paraId="461A1D94">
            <w:pPr>
              <w:pStyle w:val="28"/>
              <w:bidi w:val="0"/>
            </w:pPr>
            <w:r>
              <w:t>合肥市的肥东县、肥西县、长丰县、庐江县、蜀山区、</w:t>
            </w:r>
            <w:r>
              <w:rPr>
                <w:rFonts w:hint="eastAsia"/>
              </w:rPr>
              <w:t>新站区；</w:t>
            </w:r>
            <w:r>
              <w:t>淮南市寿县</w:t>
            </w:r>
            <w:r>
              <w:rPr>
                <w:rFonts w:hint="eastAsia"/>
              </w:rPr>
              <w:t>；</w:t>
            </w:r>
            <w:r>
              <w:t>六安市金安区、裕安区、叶集区、舒城县、霍邱县、霍山县</w:t>
            </w:r>
          </w:p>
        </w:tc>
      </w:tr>
      <w:tr w14:paraId="19BB9CF2">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3F99683A">
            <w:pPr>
              <w:pStyle w:val="28"/>
              <w:bidi w:val="0"/>
            </w:pPr>
            <w:r>
              <w:t>2</w:t>
            </w:r>
          </w:p>
        </w:tc>
        <w:tc>
          <w:tcPr>
            <w:tcW w:w="1584" w:type="pct"/>
            <w:tcBorders>
              <w:top w:val="single" w:color="000000" w:sz="4" w:space="0"/>
              <w:left w:val="single" w:color="000000" w:sz="4" w:space="0"/>
              <w:bottom w:val="single" w:color="000000" w:sz="4" w:space="0"/>
              <w:right w:val="single" w:color="000000" w:sz="4" w:space="0"/>
            </w:tcBorders>
            <w:vAlign w:val="center"/>
          </w:tcPr>
          <w:p w14:paraId="256BA365">
            <w:pPr>
              <w:pStyle w:val="28"/>
              <w:bidi w:val="0"/>
            </w:pPr>
            <w:r>
              <w:t>治理渠段桩号长度</w:t>
            </w:r>
          </w:p>
        </w:tc>
        <w:tc>
          <w:tcPr>
            <w:tcW w:w="595" w:type="pct"/>
            <w:tcBorders>
              <w:top w:val="single" w:color="000000" w:sz="4" w:space="0"/>
              <w:left w:val="single" w:color="000000" w:sz="4" w:space="0"/>
              <w:bottom w:val="single" w:color="000000" w:sz="4" w:space="0"/>
              <w:right w:val="single" w:color="000000" w:sz="4" w:space="0"/>
            </w:tcBorders>
            <w:vAlign w:val="center"/>
          </w:tcPr>
          <w:p w14:paraId="38D2E8F1">
            <w:pPr>
              <w:pStyle w:val="28"/>
              <w:bidi w:val="0"/>
            </w:pPr>
            <w:r>
              <w:t>km</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0411F05B">
            <w:pPr>
              <w:pStyle w:val="28"/>
              <w:bidi w:val="0"/>
            </w:pPr>
            <w:r>
              <w:rPr>
                <w:rFonts w:hint="eastAsia"/>
              </w:rPr>
              <w:t>432.29</w:t>
            </w:r>
          </w:p>
        </w:tc>
      </w:tr>
      <w:tr w14:paraId="2E9D00CD">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5DD3C8E8">
            <w:pPr>
              <w:pStyle w:val="28"/>
              <w:bidi w:val="0"/>
            </w:pPr>
            <w:r>
              <w:t>3</w:t>
            </w:r>
          </w:p>
        </w:tc>
        <w:tc>
          <w:tcPr>
            <w:tcW w:w="1584" w:type="pct"/>
            <w:tcBorders>
              <w:top w:val="single" w:color="000000" w:sz="4" w:space="0"/>
              <w:left w:val="single" w:color="000000" w:sz="4" w:space="0"/>
              <w:bottom w:val="single" w:color="000000" w:sz="4" w:space="0"/>
              <w:right w:val="single" w:color="000000" w:sz="4" w:space="0"/>
            </w:tcBorders>
            <w:vAlign w:val="center"/>
          </w:tcPr>
          <w:p w14:paraId="4F82036E">
            <w:pPr>
              <w:pStyle w:val="28"/>
              <w:bidi w:val="0"/>
            </w:pPr>
            <w:r>
              <w:t>总人口</w:t>
            </w:r>
          </w:p>
        </w:tc>
        <w:tc>
          <w:tcPr>
            <w:tcW w:w="595" w:type="pct"/>
            <w:tcBorders>
              <w:top w:val="single" w:color="000000" w:sz="4" w:space="0"/>
              <w:left w:val="single" w:color="000000" w:sz="4" w:space="0"/>
              <w:bottom w:val="single" w:color="000000" w:sz="4" w:space="0"/>
              <w:right w:val="single" w:color="000000" w:sz="4" w:space="0"/>
            </w:tcBorders>
            <w:vAlign w:val="center"/>
          </w:tcPr>
          <w:p w14:paraId="3B04DEA7">
            <w:pPr>
              <w:pStyle w:val="28"/>
              <w:bidi w:val="0"/>
            </w:pPr>
            <w:r>
              <w:t>万人</w:t>
            </w:r>
          </w:p>
        </w:tc>
        <w:tc>
          <w:tcPr>
            <w:tcW w:w="681" w:type="pct"/>
            <w:tcBorders>
              <w:top w:val="single" w:color="000000" w:sz="4" w:space="0"/>
              <w:left w:val="single" w:color="000000" w:sz="4" w:space="0"/>
              <w:bottom w:val="single" w:color="000000" w:sz="4" w:space="0"/>
              <w:right w:val="single" w:color="000000" w:sz="4" w:space="0"/>
            </w:tcBorders>
            <w:vAlign w:val="center"/>
          </w:tcPr>
          <w:p w14:paraId="73307CAC">
            <w:pPr>
              <w:pStyle w:val="28"/>
              <w:bidi w:val="0"/>
            </w:pPr>
            <w:r>
              <w:t>1398</w:t>
            </w:r>
          </w:p>
        </w:tc>
        <w:tc>
          <w:tcPr>
            <w:tcW w:w="1697" w:type="pct"/>
            <w:tcBorders>
              <w:top w:val="single" w:color="000000" w:sz="4" w:space="0"/>
              <w:left w:val="single" w:color="000000" w:sz="4" w:space="0"/>
              <w:bottom w:val="single" w:color="000000" w:sz="4" w:space="0"/>
              <w:right w:val="single" w:color="000000" w:sz="4" w:space="0"/>
            </w:tcBorders>
            <w:vAlign w:val="center"/>
          </w:tcPr>
          <w:p w14:paraId="2880E8E3">
            <w:pPr>
              <w:pStyle w:val="28"/>
              <w:bidi w:val="0"/>
            </w:pPr>
            <w:r>
              <w:t>安徽省灌区</w:t>
            </w:r>
          </w:p>
        </w:tc>
      </w:tr>
      <w:tr w14:paraId="6C60DC1A">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1E7C7977">
            <w:pPr>
              <w:pStyle w:val="28"/>
              <w:bidi w:val="0"/>
            </w:pPr>
            <w:r>
              <w:t>4</w:t>
            </w:r>
          </w:p>
        </w:tc>
        <w:tc>
          <w:tcPr>
            <w:tcW w:w="1584" w:type="pct"/>
            <w:tcBorders>
              <w:top w:val="single" w:color="000000" w:sz="4" w:space="0"/>
              <w:left w:val="single" w:color="000000" w:sz="4" w:space="0"/>
              <w:bottom w:val="single" w:color="000000" w:sz="4" w:space="0"/>
              <w:right w:val="single" w:color="000000" w:sz="4" w:space="0"/>
            </w:tcBorders>
            <w:vAlign w:val="center"/>
          </w:tcPr>
          <w:p w14:paraId="7EE90AC9">
            <w:pPr>
              <w:pStyle w:val="28"/>
              <w:bidi w:val="0"/>
            </w:pPr>
            <w:r>
              <w:t>国内生产总值（GDP）</w:t>
            </w:r>
          </w:p>
        </w:tc>
        <w:tc>
          <w:tcPr>
            <w:tcW w:w="595" w:type="pct"/>
            <w:tcBorders>
              <w:top w:val="single" w:color="000000" w:sz="4" w:space="0"/>
              <w:left w:val="single" w:color="000000" w:sz="4" w:space="0"/>
              <w:bottom w:val="single" w:color="000000" w:sz="4" w:space="0"/>
              <w:right w:val="single" w:color="000000" w:sz="4" w:space="0"/>
            </w:tcBorders>
            <w:vAlign w:val="center"/>
          </w:tcPr>
          <w:p w14:paraId="6CABF8B2">
            <w:pPr>
              <w:pStyle w:val="28"/>
              <w:bidi w:val="0"/>
            </w:pPr>
            <w:r>
              <w:t>亿元</w:t>
            </w:r>
          </w:p>
        </w:tc>
        <w:tc>
          <w:tcPr>
            <w:tcW w:w="681" w:type="pct"/>
            <w:tcBorders>
              <w:top w:val="single" w:color="000000" w:sz="4" w:space="0"/>
              <w:left w:val="single" w:color="000000" w:sz="4" w:space="0"/>
              <w:bottom w:val="single" w:color="000000" w:sz="4" w:space="0"/>
              <w:right w:val="single" w:color="000000" w:sz="4" w:space="0"/>
            </w:tcBorders>
            <w:vAlign w:val="center"/>
          </w:tcPr>
          <w:p w14:paraId="55E64E07">
            <w:pPr>
              <w:pStyle w:val="28"/>
              <w:bidi w:val="0"/>
            </w:pPr>
            <w:r>
              <w:t>12172</w:t>
            </w:r>
          </w:p>
        </w:tc>
        <w:tc>
          <w:tcPr>
            <w:tcW w:w="1697" w:type="pct"/>
            <w:tcBorders>
              <w:top w:val="single" w:color="000000" w:sz="4" w:space="0"/>
              <w:left w:val="single" w:color="000000" w:sz="4" w:space="0"/>
              <w:bottom w:val="single" w:color="000000" w:sz="4" w:space="0"/>
              <w:right w:val="single" w:color="000000" w:sz="4" w:space="0"/>
            </w:tcBorders>
            <w:vAlign w:val="center"/>
          </w:tcPr>
          <w:p w14:paraId="3243C6E6">
            <w:pPr>
              <w:pStyle w:val="28"/>
              <w:bidi w:val="0"/>
            </w:pPr>
            <w:r>
              <w:t>安徽省灌区</w:t>
            </w:r>
          </w:p>
        </w:tc>
      </w:tr>
      <w:tr w14:paraId="65CBDD3F">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16289CB8">
            <w:pPr>
              <w:pStyle w:val="28"/>
              <w:bidi w:val="0"/>
            </w:pPr>
            <w:r>
              <w:t>5</w:t>
            </w:r>
          </w:p>
        </w:tc>
        <w:tc>
          <w:tcPr>
            <w:tcW w:w="1584" w:type="pct"/>
            <w:tcBorders>
              <w:top w:val="single" w:color="000000" w:sz="4" w:space="0"/>
              <w:left w:val="single" w:color="000000" w:sz="4" w:space="0"/>
              <w:bottom w:val="single" w:color="000000" w:sz="4" w:space="0"/>
              <w:right w:val="single" w:color="000000" w:sz="4" w:space="0"/>
            </w:tcBorders>
            <w:vAlign w:val="center"/>
          </w:tcPr>
          <w:p w14:paraId="040D6047">
            <w:pPr>
              <w:pStyle w:val="28"/>
              <w:bidi w:val="0"/>
            </w:pPr>
            <w:r>
              <w:t>灌溉面积</w:t>
            </w:r>
          </w:p>
        </w:tc>
        <w:tc>
          <w:tcPr>
            <w:tcW w:w="595" w:type="pct"/>
            <w:tcBorders>
              <w:top w:val="single" w:color="000000" w:sz="4" w:space="0"/>
              <w:left w:val="single" w:color="000000" w:sz="4" w:space="0"/>
              <w:bottom w:val="single" w:color="000000" w:sz="4" w:space="0"/>
              <w:right w:val="single" w:color="000000" w:sz="4" w:space="0"/>
            </w:tcBorders>
            <w:vAlign w:val="center"/>
          </w:tcPr>
          <w:p w14:paraId="1470768B">
            <w:pPr>
              <w:pStyle w:val="28"/>
              <w:bidi w:val="0"/>
            </w:pPr>
            <w:r>
              <w:t>万亩</w:t>
            </w:r>
          </w:p>
        </w:tc>
        <w:tc>
          <w:tcPr>
            <w:tcW w:w="681" w:type="pct"/>
            <w:tcBorders>
              <w:top w:val="single" w:color="000000" w:sz="4" w:space="0"/>
              <w:left w:val="single" w:color="000000" w:sz="4" w:space="0"/>
              <w:bottom w:val="single" w:color="000000" w:sz="4" w:space="0"/>
              <w:right w:val="single" w:color="000000" w:sz="4" w:space="0"/>
            </w:tcBorders>
            <w:vAlign w:val="center"/>
          </w:tcPr>
          <w:p w14:paraId="7DEE9230">
            <w:pPr>
              <w:pStyle w:val="28"/>
              <w:bidi w:val="0"/>
            </w:pPr>
            <w:r>
              <w:t>1100</w:t>
            </w:r>
          </w:p>
        </w:tc>
        <w:tc>
          <w:tcPr>
            <w:tcW w:w="1697" w:type="pct"/>
            <w:tcBorders>
              <w:top w:val="single" w:color="000000" w:sz="4" w:space="0"/>
              <w:left w:val="single" w:color="000000" w:sz="4" w:space="0"/>
              <w:bottom w:val="single" w:color="000000" w:sz="4" w:space="0"/>
              <w:right w:val="single" w:color="000000" w:sz="4" w:space="0"/>
            </w:tcBorders>
            <w:vAlign w:val="center"/>
          </w:tcPr>
          <w:p w14:paraId="0032ABFE">
            <w:pPr>
              <w:pStyle w:val="28"/>
              <w:bidi w:val="0"/>
            </w:pPr>
            <w:r>
              <w:t>安徽省灌区</w:t>
            </w:r>
          </w:p>
        </w:tc>
      </w:tr>
      <w:tr w14:paraId="5D869239">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75B31DCA">
            <w:pPr>
              <w:pStyle w:val="28"/>
              <w:bidi w:val="0"/>
            </w:pPr>
            <w:r>
              <w:t>（1）</w:t>
            </w:r>
          </w:p>
        </w:tc>
        <w:tc>
          <w:tcPr>
            <w:tcW w:w="1584" w:type="pct"/>
            <w:tcBorders>
              <w:top w:val="single" w:color="000000" w:sz="4" w:space="0"/>
              <w:left w:val="single" w:color="000000" w:sz="4" w:space="0"/>
              <w:bottom w:val="single" w:color="000000" w:sz="4" w:space="0"/>
              <w:right w:val="single" w:color="000000" w:sz="4" w:space="0"/>
            </w:tcBorders>
            <w:vAlign w:val="center"/>
          </w:tcPr>
          <w:p w14:paraId="41E20BBA">
            <w:pPr>
              <w:pStyle w:val="28"/>
              <w:bidi w:val="0"/>
            </w:pPr>
            <w:r>
              <w:t>淠河灌区</w:t>
            </w:r>
          </w:p>
        </w:tc>
        <w:tc>
          <w:tcPr>
            <w:tcW w:w="595" w:type="pct"/>
            <w:tcBorders>
              <w:top w:val="single" w:color="000000" w:sz="4" w:space="0"/>
              <w:left w:val="single" w:color="000000" w:sz="4" w:space="0"/>
              <w:bottom w:val="single" w:color="000000" w:sz="4" w:space="0"/>
              <w:right w:val="single" w:color="000000" w:sz="4" w:space="0"/>
            </w:tcBorders>
            <w:vAlign w:val="center"/>
          </w:tcPr>
          <w:p w14:paraId="3E035FFA">
            <w:pPr>
              <w:pStyle w:val="28"/>
              <w:bidi w:val="0"/>
            </w:pPr>
            <w:r>
              <w:t>万亩</w:t>
            </w:r>
          </w:p>
        </w:tc>
        <w:tc>
          <w:tcPr>
            <w:tcW w:w="681" w:type="pct"/>
            <w:tcBorders>
              <w:top w:val="single" w:color="000000" w:sz="4" w:space="0"/>
              <w:left w:val="single" w:color="000000" w:sz="4" w:space="0"/>
              <w:bottom w:val="single" w:color="000000" w:sz="4" w:space="0"/>
              <w:right w:val="single" w:color="000000" w:sz="4" w:space="0"/>
            </w:tcBorders>
            <w:vAlign w:val="center"/>
          </w:tcPr>
          <w:p w14:paraId="304F7E8E">
            <w:pPr>
              <w:pStyle w:val="28"/>
              <w:bidi w:val="0"/>
            </w:pPr>
            <w:r>
              <w:t>660</w:t>
            </w:r>
          </w:p>
        </w:tc>
        <w:tc>
          <w:tcPr>
            <w:tcW w:w="1697" w:type="pct"/>
            <w:tcBorders>
              <w:top w:val="single" w:color="000000" w:sz="4" w:space="0"/>
              <w:left w:val="single" w:color="000000" w:sz="4" w:space="0"/>
              <w:bottom w:val="single" w:color="000000" w:sz="4" w:space="0"/>
              <w:right w:val="single" w:color="000000" w:sz="4" w:space="0"/>
            </w:tcBorders>
            <w:vAlign w:val="center"/>
          </w:tcPr>
          <w:p w14:paraId="45645BC0">
            <w:pPr>
              <w:pStyle w:val="28"/>
              <w:bidi w:val="0"/>
            </w:pPr>
            <w:r>
              <w:t>/</w:t>
            </w:r>
          </w:p>
        </w:tc>
      </w:tr>
      <w:tr w14:paraId="21A9160F">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42175291">
            <w:pPr>
              <w:pStyle w:val="28"/>
              <w:bidi w:val="0"/>
            </w:pPr>
            <w:r>
              <w:t>（2）</w:t>
            </w:r>
          </w:p>
        </w:tc>
        <w:tc>
          <w:tcPr>
            <w:tcW w:w="1584" w:type="pct"/>
            <w:tcBorders>
              <w:top w:val="single" w:color="000000" w:sz="4" w:space="0"/>
              <w:left w:val="single" w:color="000000" w:sz="4" w:space="0"/>
              <w:bottom w:val="single" w:color="000000" w:sz="4" w:space="0"/>
              <w:right w:val="single" w:color="000000" w:sz="4" w:space="0"/>
            </w:tcBorders>
            <w:vAlign w:val="center"/>
          </w:tcPr>
          <w:p w14:paraId="5144D525">
            <w:pPr>
              <w:pStyle w:val="28"/>
              <w:bidi w:val="0"/>
            </w:pPr>
            <w:r>
              <w:t>史河灌区</w:t>
            </w:r>
          </w:p>
        </w:tc>
        <w:tc>
          <w:tcPr>
            <w:tcW w:w="595" w:type="pct"/>
            <w:tcBorders>
              <w:top w:val="single" w:color="000000" w:sz="4" w:space="0"/>
              <w:left w:val="single" w:color="000000" w:sz="4" w:space="0"/>
              <w:bottom w:val="single" w:color="000000" w:sz="4" w:space="0"/>
              <w:right w:val="single" w:color="000000" w:sz="4" w:space="0"/>
            </w:tcBorders>
            <w:vAlign w:val="center"/>
          </w:tcPr>
          <w:p w14:paraId="6675010A">
            <w:pPr>
              <w:pStyle w:val="28"/>
              <w:bidi w:val="0"/>
            </w:pPr>
            <w:r>
              <w:t>万亩</w:t>
            </w:r>
          </w:p>
        </w:tc>
        <w:tc>
          <w:tcPr>
            <w:tcW w:w="681" w:type="pct"/>
            <w:tcBorders>
              <w:top w:val="single" w:color="000000" w:sz="4" w:space="0"/>
              <w:left w:val="single" w:color="000000" w:sz="4" w:space="0"/>
              <w:bottom w:val="single" w:color="000000" w:sz="4" w:space="0"/>
              <w:right w:val="single" w:color="000000" w:sz="4" w:space="0"/>
            </w:tcBorders>
            <w:vAlign w:val="center"/>
          </w:tcPr>
          <w:p w14:paraId="3EB88891">
            <w:pPr>
              <w:pStyle w:val="28"/>
              <w:bidi w:val="0"/>
            </w:pPr>
            <w:r>
              <w:t>285</w:t>
            </w:r>
          </w:p>
        </w:tc>
        <w:tc>
          <w:tcPr>
            <w:tcW w:w="1697" w:type="pct"/>
            <w:tcBorders>
              <w:top w:val="single" w:color="000000" w:sz="4" w:space="0"/>
              <w:left w:val="single" w:color="000000" w:sz="4" w:space="0"/>
              <w:bottom w:val="single" w:color="000000" w:sz="4" w:space="0"/>
              <w:right w:val="single" w:color="000000" w:sz="4" w:space="0"/>
            </w:tcBorders>
            <w:vAlign w:val="center"/>
          </w:tcPr>
          <w:p w14:paraId="317349E0">
            <w:pPr>
              <w:pStyle w:val="28"/>
              <w:bidi w:val="0"/>
            </w:pPr>
            <w:r>
              <w:t>不含河南省灌溉面积</w:t>
            </w:r>
          </w:p>
        </w:tc>
      </w:tr>
      <w:tr w14:paraId="4FC32978">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480324A2">
            <w:pPr>
              <w:pStyle w:val="28"/>
              <w:bidi w:val="0"/>
            </w:pPr>
            <w:r>
              <w:t>（3）</w:t>
            </w:r>
          </w:p>
        </w:tc>
        <w:tc>
          <w:tcPr>
            <w:tcW w:w="1584" w:type="pct"/>
            <w:tcBorders>
              <w:top w:val="single" w:color="000000" w:sz="4" w:space="0"/>
              <w:left w:val="single" w:color="000000" w:sz="4" w:space="0"/>
              <w:bottom w:val="single" w:color="000000" w:sz="4" w:space="0"/>
              <w:right w:val="single" w:color="000000" w:sz="4" w:space="0"/>
            </w:tcBorders>
            <w:vAlign w:val="center"/>
          </w:tcPr>
          <w:p w14:paraId="793777B7">
            <w:pPr>
              <w:pStyle w:val="28"/>
              <w:bidi w:val="0"/>
            </w:pPr>
            <w:r>
              <w:t>杭埠河灌区</w:t>
            </w:r>
          </w:p>
        </w:tc>
        <w:tc>
          <w:tcPr>
            <w:tcW w:w="595" w:type="pct"/>
            <w:tcBorders>
              <w:top w:val="single" w:color="000000" w:sz="4" w:space="0"/>
              <w:left w:val="single" w:color="000000" w:sz="4" w:space="0"/>
              <w:bottom w:val="single" w:color="000000" w:sz="4" w:space="0"/>
              <w:right w:val="single" w:color="000000" w:sz="4" w:space="0"/>
            </w:tcBorders>
            <w:vAlign w:val="center"/>
          </w:tcPr>
          <w:p w14:paraId="275A3411">
            <w:pPr>
              <w:pStyle w:val="28"/>
              <w:bidi w:val="0"/>
            </w:pPr>
            <w:r>
              <w:t>万亩</w:t>
            </w:r>
          </w:p>
        </w:tc>
        <w:tc>
          <w:tcPr>
            <w:tcW w:w="681" w:type="pct"/>
            <w:tcBorders>
              <w:top w:val="single" w:color="000000" w:sz="4" w:space="0"/>
              <w:left w:val="single" w:color="000000" w:sz="4" w:space="0"/>
              <w:bottom w:val="single" w:color="000000" w:sz="4" w:space="0"/>
              <w:right w:val="single" w:color="000000" w:sz="4" w:space="0"/>
            </w:tcBorders>
            <w:vAlign w:val="center"/>
          </w:tcPr>
          <w:p w14:paraId="384211AF">
            <w:pPr>
              <w:pStyle w:val="28"/>
              <w:bidi w:val="0"/>
            </w:pPr>
            <w:r>
              <w:t>155</w:t>
            </w:r>
          </w:p>
        </w:tc>
        <w:tc>
          <w:tcPr>
            <w:tcW w:w="1697" w:type="pct"/>
            <w:tcBorders>
              <w:top w:val="single" w:color="000000" w:sz="4" w:space="0"/>
              <w:left w:val="single" w:color="000000" w:sz="4" w:space="0"/>
              <w:bottom w:val="single" w:color="000000" w:sz="4" w:space="0"/>
              <w:right w:val="single" w:color="000000" w:sz="4" w:space="0"/>
            </w:tcBorders>
            <w:vAlign w:val="center"/>
          </w:tcPr>
          <w:p w14:paraId="5453BE5C">
            <w:pPr>
              <w:pStyle w:val="28"/>
              <w:bidi w:val="0"/>
            </w:pPr>
            <w:r>
              <w:t>/</w:t>
            </w:r>
          </w:p>
        </w:tc>
      </w:tr>
      <w:tr w14:paraId="14D41EFD">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768025A1">
            <w:pPr>
              <w:pStyle w:val="28"/>
              <w:bidi w:val="0"/>
            </w:pPr>
            <w:r>
              <w:t>二</w:t>
            </w:r>
          </w:p>
        </w:tc>
        <w:tc>
          <w:tcPr>
            <w:tcW w:w="4558" w:type="pct"/>
            <w:gridSpan w:val="4"/>
            <w:tcBorders>
              <w:top w:val="single" w:color="000000" w:sz="4" w:space="0"/>
              <w:left w:val="single" w:color="000000" w:sz="4" w:space="0"/>
              <w:bottom w:val="single" w:color="000000" w:sz="4" w:space="0"/>
              <w:right w:val="single" w:color="000000" w:sz="4" w:space="0"/>
            </w:tcBorders>
            <w:vAlign w:val="center"/>
          </w:tcPr>
          <w:p w14:paraId="6BDD73FD">
            <w:pPr>
              <w:pStyle w:val="28"/>
              <w:bidi w:val="0"/>
            </w:pPr>
            <w:r>
              <w:t>水文</w:t>
            </w:r>
          </w:p>
        </w:tc>
      </w:tr>
      <w:tr w14:paraId="0FB2323D">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3943308E">
            <w:pPr>
              <w:pStyle w:val="28"/>
              <w:bidi w:val="0"/>
            </w:pPr>
            <w:r>
              <w:t>1</w:t>
            </w:r>
          </w:p>
        </w:tc>
        <w:tc>
          <w:tcPr>
            <w:tcW w:w="1584" w:type="pct"/>
            <w:tcBorders>
              <w:top w:val="single" w:color="000000" w:sz="4" w:space="0"/>
              <w:left w:val="single" w:color="000000" w:sz="4" w:space="0"/>
              <w:bottom w:val="single" w:color="000000" w:sz="4" w:space="0"/>
              <w:right w:val="single" w:color="000000" w:sz="4" w:space="0"/>
            </w:tcBorders>
            <w:vAlign w:val="center"/>
          </w:tcPr>
          <w:p w14:paraId="17EE644E">
            <w:pPr>
              <w:pStyle w:val="28"/>
              <w:bidi w:val="0"/>
            </w:pPr>
            <w:r>
              <w:t>淠河灌区渠首流量</w:t>
            </w:r>
          </w:p>
        </w:tc>
        <w:tc>
          <w:tcPr>
            <w:tcW w:w="595" w:type="pct"/>
            <w:tcBorders>
              <w:top w:val="single" w:color="000000" w:sz="4" w:space="0"/>
              <w:left w:val="single" w:color="000000" w:sz="4" w:space="0"/>
              <w:bottom w:val="single" w:color="000000" w:sz="4" w:space="0"/>
              <w:right w:val="single" w:color="000000" w:sz="4" w:space="0"/>
            </w:tcBorders>
            <w:vAlign w:val="center"/>
          </w:tcPr>
          <w:p w14:paraId="42DE5A16">
            <w:pPr>
              <w:pStyle w:val="28"/>
              <w:bidi w:val="0"/>
            </w:pPr>
            <w:r>
              <w:t>m3/s</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7D568C18">
            <w:pPr>
              <w:pStyle w:val="28"/>
              <w:bidi w:val="0"/>
            </w:pPr>
            <w:r>
              <w:t>300</w:t>
            </w:r>
          </w:p>
        </w:tc>
      </w:tr>
      <w:tr w14:paraId="51ACC8ED">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762ED308">
            <w:pPr>
              <w:pStyle w:val="28"/>
              <w:bidi w:val="0"/>
            </w:pPr>
            <w:r>
              <w:t>2</w:t>
            </w:r>
          </w:p>
        </w:tc>
        <w:tc>
          <w:tcPr>
            <w:tcW w:w="1584" w:type="pct"/>
            <w:tcBorders>
              <w:top w:val="single" w:color="000000" w:sz="4" w:space="0"/>
              <w:left w:val="single" w:color="000000" w:sz="4" w:space="0"/>
              <w:bottom w:val="single" w:color="000000" w:sz="4" w:space="0"/>
              <w:right w:val="single" w:color="000000" w:sz="4" w:space="0"/>
            </w:tcBorders>
            <w:vAlign w:val="center"/>
          </w:tcPr>
          <w:p w14:paraId="46FF0965">
            <w:pPr>
              <w:pStyle w:val="28"/>
              <w:bidi w:val="0"/>
            </w:pPr>
            <w:r>
              <w:t>史河灌区渠首流量</w:t>
            </w:r>
          </w:p>
        </w:tc>
        <w:tc>
          <w:tcPr>
            <w:tcW w:w="595" w:type="pct"/>
            <w:tcBorders>
              <w:top w:val="single" w:color="000000" w:sz="4" w:space="0"/>
              <w:left w:val="single" w:color="000000" w:sz="4" w:space="0"/>
              <w:bottom w:val="single" w:color="000000" w:sz="4" w:space="0"/>
              <w:right w:val="single" w:color="000000" w:sz="4" w:space="0"/>
            </w:tcBorders>
            <w:vAlign w:val="center"/>
          </w:tcPr>
          <w:p w14:paraId="206A5C0C">
            <w:pPr>
              <w:pStyle w:val="28"/>
              <w:bidi w:val="0"/>
            </w:pPr>
            <w:r>
              <w:t>m3/s</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60FE90F9">
            <w:pPr>
              <w:pStyle w:val="28"/>
              <w:bidi w:val="0"/>
            </w:pPr>
            <w:r>
              <w:t>145</w:t>
            </w:r>
          </w:p>
        </w:tc>
      </w:tr>
      <w:tr w14:paraId="3F2F1B1B">
        <w:tblPrEx>
          <w:tblCellMar>
            <w:top w:w="0" w:type="dxa"/>
            <w:left w:w="108" w:type="dxa"/>
            <w:bottom w:w="0" w:type="dxa"/>
            <w:right w:w="108" w:type="dxa"/>
          </w:tblCellMar>
        </w:tblPrEx>
        <w:trPr>
          <w:trHeight w:val="340" w:hRule="atLeast"/>
          <w:jc w:val="center"/>
        </w:trPr>
        <w:tc>
          <w:tcPr>
            <w:tcW w:w="441" w:type="pct"/>
            <w:vMerge w:val="restart"/>
            <w:tcBorders>
              <w:top w:val="single" w:color="000000" w:sz="4" w:space="0"/>
              <w:left w:val="single" w:color="000000" w:sz="4" w:space="0"/>
              <w:bottom w:val="single" w:color="000000" w:sz="4" w:space="0"/>
              <w:right w:val="single" w:color="000000" w:sz="4" w:space="0"/>
            </w:tcBorders>
            <w:vAlign w:val="center"/>
          </w:tcPr>
          <w:p w14:paraId="632F7397">
            <w:pPr>
              <w:pStyle w:val="28"/>
              <w:bidi w:val="0"/>
            </w:pPr>
            <w:r>
              <w:t>3</w:t>
            </w:r>
          </w:p>
        </w:tc>
        <w:tc>
          <w:tcPr>
            <w:tcW w:w="1584" w:type="pct"/>
            <w:vMerge w:val="restart"/>
            <w:tcBorders>
              <w:top w:val="single" w:color="000000" w:sz="4" w:space="0"/>
              <w:left w:val="single" w:color="000000" w:sz="4" w:space="0"/>
              <w:bottom w:val="single" w:color="000000" w:sz="4" w:space="0"/>
              <w:right w:val="single" w:color="000000" w:sz="4" w:space="0"/>
            </w:tcBorders>
            <w:vAlign w:val="center"/>
          </w:tcPr>
          <w:p w14:paraId="30E1F09C">
            <w:pPr>
              <w:pStyle w:val="28"/>
              <w:bidi w:val="0"/>
            </w:pPr>
            <w:r>
              <w:t>杭埠</w:t>
            </w:r>
            <w:r>
              <w:rPr>
                <w:rFonts w:hint="eastAsia"/>
              </w:rPr>
              <w:t>河</w:t>
            </w:r>
            <w:r>
              <w:t>灌区渠首流量</w:t>
            </w:r>
          </w:p>
        </w:tc>
        <w:tc>
          <w:tcPr>
            <w:tcW w:w="595" w:type="pct"/>
            <w:vMerge w:val="restart"/>
            <w:tcBorders>
              <w:top w:val="single" w:color="000000" w:sz="4" w:space="0"/>
              <w:left w:val="single" w:color="000000" w:sz="4" w:space="0"/>
              <w:bottom w:val="single" w:color="000000" w:sz="4" w:space="0"/>
              <w:right w:val="single" w:color="000000" w:sz="4" w:space="0"/>
            </w:tcBorders>
            <w:vAlign w:val="center"/>
          </w:tcPr>
          <w:p w14:paraId="2B7D9D10">
            <w:pPr>
              <w:pStyle w:val="28"/>
              <w:bidi w:val="0"/>
            </w:pPr>
            <w:r>
              <w:t>m3/s</w:t>
            </w:r>
          </w:p>
        </w:tc>
        <w:tc>
          <w:tcPr>
            <w:tcW w:w="681" w:type="pct"/>
            <w:tcBorders>
              <w:top w:val="single" w:color="000000" w:sz="4" w:space="0"/>
              <w:left w:val="single" w:color="000000" w:sz="4" w:space="0"/>
              <w:bottom w:val="single" w:color="000000" w:sz="4" w:space="0"/>
              <w:right w:val="single" w:color="000000" w:sz="4" w:space="0"/>
            </w:tcBorders>
            <w:vAlign w:val="center"/>
          </w:tcPr>
          <w:p w14:paraId="3DE1DCC4">
            <w:pPr>
              <w:pStyle w:val="28"/>
              <w:bidi w:val="0"/>
            </w:pPr>
            <w:r>
              <w:t>50</w:t>
            </w:r>
          </w:p>
        </w:tc>
        <w:tc>
          <w:tcPr>
            <w:tcW w:w="1697" w:type="pct"/>
            <w:tcBorders>
              <w:top w:val="single" w:color="000000" w:sz="4" w:space="0"/>
              <w:left w:val="single" w:color="000000" w:sz="4" w:space="0"/>
              <w:bottom w:val="single" w:color="000000" w:sz="4" w:space="0"/>
              <w:right w:val="single" w:color="000000" w:sz="4" w:space="0"/>
            </w:tcBorders>
            <w:vAlign w:val="center"/>
          </w:tcPr>
          <w:p w14:paraId="0DB47024">
            <w:pPr>
              <w:pStyle w:val="28"/>
              <w:bidi w:val="0"/>
            </w:pPr>
            <w:r>
              <w:t>梅岭进水闸</w:t>
            </w:r>
          </w:p>
        </w:tc>
      </w:tr>
      <w:tr w14:paraId="3DC37682">
        <w:tblPrEx>
          <w:tblCellMar>
            <w:top w:w="0" w:type="dxa"/>
            <w:left w:w="108" w:type="dxa"/>
            <w:bottom w:w="0" w:type="dxa"/>
            <w:right w:w="108" w:type="dxa"/>
          </w:tblCellMar>
        </w:tblPrEx>
        <w:trPr>
          <w:trHeight w:val="340" w:hRule="atLeast"/>
          <w:jc w:val="center"/>
        </w:trPr>
        <w:tc>
          <w:tcPr>
            <w:tcW w:w="441" w:type="pct"/>
            <w:vMerge w:val="continue"/>
            <w:tcBorders>
              <w:top w:val="single" w:color="000000" w:sz="4" w:space="0"/>
              <w:left w:val="single" w:color="000000" w:sz="4" w:space="0"/>
              <w:bottom w:val="single" w:color="000000" w:sz="4" w:space="0"/>
              <w:right w:val="single" w:color="000000" w:sz="4" w:space="0"/>
            </w:tcBorders>
            <w:vAlign w:val="center"/>
          </w:tcPr>
          <w:p w14:paraId="045A904F">
            <w:pPr>
              <w:pStyle w:val="28"/>
              <w:bidi w:val="0"/>
            </w:pPr>
          </w:p>
        </w:tc>
        <w:tc>
          <w:tcPr>
            <w:tcW w:w="1584" w:type="pct"/>
            <w:vMerge w:val="continue"/>
            <w:tcBorders>
              <w:top w:val="single" w:color="000000" w:sz="4" w:space="0"/>
              <w:left w:val="single" w:color="000000" w:sz="4" w:space="0"/>
              <w:bottom w:val="single" w:color="000000" w:sz="4" w:space="0"/>
              <w:right w:val="single" w:color="000000" w:sz="4" w:space="0"/>
            </w:tcBorders>
            <w:vAlign w:val="center"/>
          </w:tcPr>
          <w:p w14:paraId="34E0D686">
            <w:pPr>
              <w:pStyle w:val="28"/>
              <w:bidi w:val="0"/>
            </w:pPr>
          </w:p>
        </w:tc>
        <w:tc>
          <w:tcPr>
            <w:tcW w:w="595" w:type="pct"/>
            <w:vMerge w:val="continue"/>
            <w:tcBorders>
              <w:top w:val="single" w:color="000000" w:sz="4" w:space="0"/>
              <w:left w:val="single" w:color="000000" w:sz="4" w:space="0"/>
              <w:bottom w:val="single" w:color="000000" w:sz="4" w:space="0"/>
              <w:right w:val="single" w:color="000000" w:sz="4" w:space="0"/>
            </w:tcBorders>
            <w:vAlign w:val="center"/>
          </w:tcPr>
          <w:p w14:paraId="618EBE5E">
            <w:pPr>
              <w:pStyle w:val="28"/>
              <w:bidi w:val="0"/>
            </w:pPr>
          </w:p>
        </w:tc>
        <w:tc>
          <w:tcPr>
            <w:tcW w:w="681" w:type="pct"/>
            <w:tcBorders>
              <w:top w:val="single" w:color="000000" w:sz="4" w:space="0"/>
              <w:left w:val="single" w:color="000000" w:sz="4" w:space="0"/>
              <w:bottom w:val="single" w:color="000000" w:sz="4" w:space="0"/>
              <w:right w:val="single" w:color="000000" w:sz="4" w:space="0"/>
            </w:tcBorders>
            <w:vAlign w:val="center"/>
          </w:tcPr>
          <w:p w14:paraId="1BCFF729">
            <w:pPr>
              <w:pStyle w:val="28"/>
              <w:bidi w:val="0"/>
            </w:pPr>
            <w:r>
              <w:t>55</w:t>
            </w:r>
          </w:p>
        </w:tc>
        <w:tc>
          <w:tcPr>
            <w:tcW w:w="1697" w:type="pct"/>
            <w:tcBorders>
              <w:top w:val="single" w:color="000000" w:sz="4" w:space="0"/>
              <w:left w:val="single" w:color="000000" w:sz="4" w:space="0"/>
              <w:bottom w:val="single" w:color="000000" w:sz="4" w:space="0"/>
              <w:right w:val="single" w:color="000000" w:sz="4" w:space="0"/>
            </w:tcBorders>
            <w:vAlign w:val="center"/>
          </w:tcPr>
          <w:p w14:paraId="406A4945">
            <w:pPr>
              <w:pStyle w:val="28"/>
              <w:bidi w:val="0"/>
            </w:pPr>
            <w:r>
              <w:t>牛角冲进水闸</w:t>
            </w:r>
          </w:p>
        </w:tc>
      </w:tr>
      <w:tr w14:paraId="02BB9C33">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52133B22">
            <w:pPr>
              <w:pStyle w:val="28"/>
              <w:bidi w:val="0"/>
            </w:pPr>
            <w:r>
              <w:t>三</w:t>
            </w:r>
          </w:p>
        </w:tc>
        <w:tc>
          <w:tcPr>
            <w:tcW w:w="4558" w:type="pct"/>
            <w:gridSpan w:val="4"/>
            <w:tcBorders>
              <w:top w:val="single" w:color="000000" w:sz="4" w:space="0"/>
              <w:left w:val="single" w:color="000000" w:sz="4" w:space="0"/>
              <w:bottom w:val="single" w:color="000000" w:sz="4" w:space="0"/>
              <w:right w:val="single" w:color="000000" w:sz="4" w:space="0"/>
            </w:tcBorders>
            <w:vAlign w:val="center"/>
          </w:tcPr>
          <w:p w14:paraId="121174AD">
            <w:pPr>
              <w:pStyle w:val="28"/>
              <w:bidi w:val="0"/>
            </w:pPr>
            <w:r>
              <w:t>工程任务与规模</w:t>
            </w:r>
          </w:p>
        </w:tc>
      </w:tr>
      <w:tr w14:paraId="478FEDD1">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7558C687">
            <w:pPr>
              <w:pStyle w:val="28"/>
              <w:bidi w:val="0"/>
            </w:pPr>
            <w:r>
              <w:t>1</w:t>
            </w:r>
          </w:p>
        </w:tc>
        <w:tc>
          <w:tcPr>
            <w:tcW w:w="4558" w:type="pct"/>
            <w:gridSpan w:val="4"/>
            <w:tcBorders>
              <w:top w:val="single" w:color="000000" w:sz="4" w:space="0"/>
              <w:left w:val="single" w:color="000000" w:sz="4" w:space="0"/>
              <w:bottom w:val="single" w:color="000000" w:sz="4" w:space="0"/>
              <w:right w:val="single" w:color="000000" w:sz="4" w:space="0"/>
            </w:tcBorders>
            <w:vAlign w:val="center"/>
          </w:tcPr>
          <w:p w14:paraId="15497D83">
            <w:pPr>
              <w:pStyle w:val="28"/>
              <w:bidi w:val="0"/>
            </w:pPr>
            <w:r>
              <w:t>设计标准</w:t>
            </w:r>
          </w:p>
        </w:tc>
      </w:tr>
      <w:tr w14:paraId="77059882">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3F42458A">
            <w:pPr>
              <w:pStyle w:val="28"/>
              <w:bidi w:val="0"/>
            </w:pPr>
            <w:r>
              <w:t>（1）</w:t>
            </w:r>
          </w:p>
        </w:tc>
        <w:tc>
          <w:tcPr>
            <w:tcW w:w="1584" w:type="pct"/>
            <w:tcBorders>
              <w:top w:val="single" w:color="000000" w:sz="4" w:space="0"/>
              <w:left w:val="single" w:color="000000" w:sz="4" w:space="0"/>
              <w:bottom w:val="single" w:color="000000" w:sz="4" w:space="0"/>
              <w:right w:val="single" w:color="000000" w:sz="4" w:space="0"/>
            </w:tcBorders>
            <w:vAlign w:val="center"/>
          </w:tcPr>
          <w:p w14:paraId="79039D28">
            <w:pPr>
              <w:pStyle w:val="28"/>
              <w:bidi w:val="0"/>
            </w:pPr>
            <w:r>
              <w:t>农业灌溉保证率</w:t>
            </w:r>
          </w:p>
        </w:tc>
        <w:tc>
          <w:tcPr>
            <w:tcW w:w="2974" w:type="pct"/>
            <w:gridSpan w:val="3"/>
            <w:tcBorders>
              <w:top w:val="single" w:color="000000" w:sz="4" w:space="0"/>
              <w:left w:val="single" w:color="000000" w:sz="4" w:space="0"/>
              <w:bottom w:val="single" w:color="000000" w:sz="4" w:space="0"/>
              <w:right w:val="single" w:color="000000" w:sz="4" w:space="0"/>
            </w:tcBorders>
            <w:vAlign w:val="center"/>
          </w:tcPr>
          <w:p w14:paraId="56402D0F">
            <w:pPr>
              <w:pStyle w:val="28"/>
              <w:bidi w:val="0"/>
            </w:pPr>
            <w:r>
              <w:t>80%</w:t>
            </w:r>
          </w:p>
        </w:tc>
      </w:tr>
      <w:tr w14:paraId="43069B8C">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1B7C4933">
            <w:pPr>
              <w:pStyle w:val="28"/>
              <w:bidi w:val="0"/>
            </w:pPr>
            <w:r>
              <w:t>（2）</w:t>
            </w:r>
          </w:p>
        </w:tc>
        <w:tc>
          <w:tcPr>
            <w:tcW w:w="1584" w:type="pct"/>
            <w:tcBorders>
              <w:top w:val="single" w:color="000000" w:sz="4" w:space="0"/>
              <w:left w:val="single" w:color="000000" w:sz="4" w:space="0"/>
              <w:bottom w:val="single" w:color="000000" w:sz="4" w:space="0"/>
              <w:right w:val="single" w:color="000000" w:sz="4" w:space="0"/>
            </w:tcBorders>
            <w:vAlign w:val="center"/>
          </w:tcPr>
          <w:p w14:paraId="275D0136">
            <w:pPr>
              <w:pStyle w:val="28"/>
              <w:bidi w:val="0"/>
            </w:pPr>
            <w:r>
              <w:t>城市供水保证率</w:t>
            </w:r>
          </w:p>
        </w:tc>
        <w:tc>
          <w:tcPr>
            <w:tcW w:w="2974" w:type="pct"/>
            <w:gridSpan w:val="3"/>
            <w:tcBorders>
              <w:top w:val="single" w:color="000000" w:sz="4" w:space="0"/>
              <w:left w:val="single" w:color="000000" w:sz="4" w:space="0"/>
              <w:bottom w:val="single" w:color="000000" w:sz="4" w:space="0"/>
              <w:right w:val="single" w:color="000000" w:sz="4" w:space="0"/>
            </w:tcBorders>
            <w:vAlign w:val="center"/>
          </w:tcPr>
          <w:p w14:paraId="6B054DB5">
            <w:pPr>
              <w:pStyle w:val="28"/>
              <w:bidi w:val="0"/>
            </w:pPr>
            <w:r>
              <w:t>98%</w:t>
            </w:r>
          </w:p>
        </w:tc>
      </w:tr>
      <w:tr w14:paraId="36801CFC">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6F2BDF08">
            <w:pPr>
              <w:pStyle w:val="28"/>
              <w:bidi w:val="0"/>
            </w:pPr>
            <w:r>
              <w:t>2</w:t>
            </w:r>
          </w:p>
        </w:tc>
        <w:tc>
          <w:tcPr>
            <w:tcW w:w="4558" w:type="pct"/>
            <w:gridSpan w:val="4"/>
            <w:tcBorders>
              <w:top w:val="single" w:color="000000" w:sz="4" w:space="0"/>
              <w:left w:val="single" w:color="000000" w:sz="4" w:space="0"/>
              <w:bottom w:val="single" w:color="000000" w:sz="4" w:space="0"/>
              <w:right w:val="single" w:color="000000" w:sz="4" w:space="0"/>
            </w:tcBorders>
            <w:vAlign w:val="center"/>
          </w:tcPr>
          <w:p w14:paraId="12077049">
            <w:pPr>
              <w:pStyle w:val="28"/>
              <w:bidi w:val="0"/>
            </w:pPr>
            <w:r>
              <w:t>工程规模</w:t>
            </w:r>
          </w:p>
        </w:tc>
      </w:tr>
      <w:tr w14:paraId="1F8BAEF2">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2DD1BF97">
            <w:pPr>
              <w:pStyle w:val="28"/>
              <w:bidi w:val="0"/>
            </w:pPr>
            <w:r>
              <w:t>（1）</w:t>
            </w:r>
          </w:p>
        </w:tc>
        <w:tc>
          <w:tcPr>
            <w:tcW w:w="4558" w:type="pct"/>
            <w:gridSpan w:val="4"/>
            <w:tcBorders>
              <w:top w:val="single" w:color="000000" w:sz="4" w:space="0"/>
              <w:left w:val="single" w:color="000000" w:sz="4" w:space="0"/>
              <w:bottom w:val="single" w:color="000000" w:sz="4" w:space="0"/>
              <w:right w:val="single" w:color="000000" w:sz="4" w:space="0"/>
            </w:tcBorders>
            <w:vAlign w:val="center"/>
          </w:tcPr>
          <w:p w14:paraId="20684AEA">
            <w:pPr>
              <w:pStyle w:val="28"/>
              <w:bidi w:val="0"/>
            </w:pPr>
            <w:r>
              <w:t>渠道工程</w:t>
            </w:r>
          </w:p>
        </w:tc>
      </w:tr>
      <w:tr w14:paraId="7C19410A">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02D0C2BC">
            <w:pPr>
              <w:pStyle w:val="28"/>
              <w:bidi w:val="0"/>
            </w:pPr>
            <w:r>
              <w:t>①</w:t>
            </w:r>
          </w:p>
        </w:tc>
        <w:tc>
          <w:tcPr>
            <w:tcW w:w="1584" w:type="pct"/>
            <w:tcBorders>
              <w:top w:val="single" w:color="000000" w:sz="4" w:space="0"/>
              <w:left w:val="single" w:color="000000" w:sz="4" w:space="0"/>
              <w:bottom w:val="single" w:color="000000" w:sz="4" w:space="0"/>
              <w:right w:val="single" w:color="000000" w:sz="4" w:space="0"/>
            </w:tcBorders>
            <w:vAlign w:val="center"/>
          </w:tcPr>
          <w:p w14:paraId="0A4CE16D">
            <w:pPr>
              <w:pStyle w:val="28"/>
              <w:bidi w:val="0"/>
            </w:pPr>
            <w:r>
              <w:t>渠道清淤</w:t>
            </w:r>
          </w:p>
        </w:tc>
        <w:tc>
          <w:tcPr>
            <w:tcW w:w="595" w:type="pct"/>
            <w:tcBorders>
              <w:top w:val="single" w:color="000000" w:sz="4" w:space="0"/>
              <w:left w:val="single" w:color="000000" w:sz="4" w:space="0"/>
              <w:bottom w:val="single" w:color="000000" w:sz="4" w:space="0"/>
              <w:right w:val="single" w:color="000000" w:sz="4" w:space="0"/>
            </w:tcBorders>
            <w:vAlign w:val="center"/>
          </w:tcPr>
          <w:p w14:paraId="5C21B930">
            <w:pPr>
              <w:pStyle w:val="28"/>
              <w:bidi w:val="0"/>
            </w:pPr>
            <w:r>
              <w:t>km</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29AA7482">
            <w:pPr>
              <w:pStyle w:val="28"/>
              <w:bidi w:val="0"/>
            </w:pPr>
            <w:r>
              <w:t>72.3</w:t>
            </w:r>
            <w:r>
              <w:rPr>
                <w:rFonts w:hint="eastAsia"/>
              </w:rPr>
              <w:t>9</w:t>
            </w:r>
          </w:p>
        </w:tc>
      </w:tr>
      <w:tr w14:paraId="60298FB0">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6E611A1E">
            <w:pPr>
              <w:pStyle w:val="28"/>
              <w:bidi w:val="0"/>
            </w:pPr>
            <w:r>
              <w:t>②</w:t>
            </w:r>
          </w:p>
        </w:tc>
        <w:tc>
          <w:tcPr>
            <w:tcW w:w="1584" w:type="pct"/>
            <w:tcBorders>
              <w:top w:val="single" w:color="000000" w:sz="4" w:space="0"/>
              <w:left w:val="single" w:color="000000" w:sz="4" w:space="0"/>
              <w:bottom w:val="single" w:color="000000" w:sz="4" w:space="0"/>
              <w:right w:val="single" w:color="000000" w:sz="4" w:space="0"/>
            </w:tcBorders>
            <w:vAlign w:val="center"/>
          </w:tcPr>
          <w:p w14:paraId="35A71E38">
            <w:pPr>
              <w:pStyle w:val="28"/>
              <w:bidi w:val="0"/>
            </w:pPr>
            <w:r>
              <w:t>渠堤加培</w:t>
            </w:r>
          </w:p>
        </w:tc>
        <w:tc>
          <w:tcPr>
            <w:tcW w:w="595" w:type="pct"/>
            <w:tcBorders>
              <w:top w:val="single" w:color="000000" w:sz="4" w:space="0"/>
              <w:left w:val="single" w:color="000000" w:sz="4" w:space="0"/>
              <w:bottom w:val="single" w:color="000000" w:sz="4" w:space="0"/>
              <w:right w:val="single" w:color="000000" w:sz="4" w:space="0"/>
            </w:tcBorders>
            <w:vAlign w:val="center"/>
          </w:tcPr>
          <w:p w14:paraId="4BA0AF17">
            <w:pPr>
              <w:pStyle w:val="28"/>
              <w:bidi w:val="0"/>
            </w:pPr>
            <w:r>
              <w:t>km</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5EAEB286">
            <w:pPr>
              <w:pStyle w:val="28"/>
              <w:bidi w:val="0"/>
            </w:pPr>
            <w:r>
              <w:t>63.7</w:t>
            </w:r>
            <w:r>
              <w:rPr>
                <w:rFonts w:hint="eastAsia"/>
              </w:rPr>
              <w:t>5</w:t>
            </w:r>
          </w:p>
        </w:tc>
      </w:tr>
      <w:tr w14:paraId="2B610FA0">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33E7E11B">
            <w:pPr>
              <w:pStyle w:val="28"/>
              <w:bidi w:val="0"/>
            </w:pPr>
            <w:r>
              <w:t>③</w:t>
            </w:r>
          </w:p>
        </w:tc>
        <w:tc>
          <w:tcPr>
            <w:tcW w:w="1584" w:type="pct"/>
            <w:tcBorders>
              <w:top w:val="single" w:color="000000" w:sz="4" w:space="0"/>
              <w:left w:val="single" w:color="000000" w:sz="4" w:space="0"/>
              <w:bottom w:val="single" w:color="000000" w:sz="4" w:space="0"/>
              <w:right w:val="single" w:color="000000" w:sz="4" w:space="0"/>
            </w:tcBorders>
            <w:vAlign w:val="center"/>
          </w:tcPr>
          <w:p w14:paraId="73BA425F">
            <w:pPr>
              <w:pStyle w:val="28"/>
              <w:bidi w:val="0"/>
            </w:pPr>
            <w:r>
              <w:t>坡面整治</w:t>
            </w:r>
          </w:p>
        </w:tc>
        <w:tc>
          <w:tcPr>
            <w:tcW w:w="595" w:type="pct"/>
            <w:tcBorders>
              <w:top w:val="single" w:color="000000" w:sz="4" w:space="0"/>
              <w:left w:val="single" w:color="000000" w:sz="4" w:space="0"/>
              <w:bottom w:val="single" w:color="000000" w:sz="4" w:space="0"/>
              <w:right w:val="single" w:color="000000" w:sz="4" w:space="0"/>
            </w:tcBorders>
            <w:vAlign w:val="center"/>
          </w:tcPr>
          <w:p w14:paraId="050DBA6D">
            <w:pPr>
              <w:pStyle w:val="28"/>
              <w:bidi w:val="0"/>
            </w:pPr>
            <w:r>
              <w:t>km</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2A076B9C">
            <w:pPr>
              <w:pStyle w:val="28"/>
              <w:bidi w:val="0"/>
            </w:pPr>
            <w:r>
              <w:t>46.16</w:t>
            </w:r>
          </w:p>
        </w:tc>
      </w:tr>
      <w:tr w14:paraId="5E4278C1">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6C2464B3">
            <w:pPr>
              <w:pStyle w:val="28"/>
              <w:bidi w:val="0"/>
            </w:pPr>
            <w:r>
              <w:t>④</w:t>
            </w:r>
          </w:p>
        </w:tc>
        <w:tc>
          <w:tcPr>
            <w:tcW w:w="1584" w:type="pct"/>
            <w:tcBorders>
              <w:top w:val="single" w:color="000000" w:sz="4" w:space="0"/>
              <w:left w:val="single" w:color="000000" w:sz="4" w:space="0"/>
              <w:bottom w:val="single" w:color="000000" w:sz="4" w:space="0"/>
              <w:right w:val="single" w:color="000000" w:sz="4" w:space="0"/>
            </w:tcBorders>
            <w:vAlign w:val="center"/>
          </w:tcPr>
          <w:p w14:paraId="4FA97C3D">
            <w:pPr>
              <w:pStyle w:val="28"/>
              <w:bidi w:val="0"/>
            </w:pPr>
            <w:r>
              <w:t>渠道护砌</w:t>
            </w:r>
          </w:p>
        </w:tc>
        <w:tc>
          <w:tcPr>
            <w:tcW w:w="595" w:type="pct"/>
            <w:tcBorders>
              <w:top w:val="single" w:color="000000" w:sz="4" w:space="0"/>
              <w:left w:val="single" w:color="000000" w:sz="4" w:space="0"/>
              <w:bottom w:val="single" w:color="000000" w:sz="4" w:space="0"/>
              <w:right w:val="single" w:color="000000" w:sz="4" w:space="0"/>
            </w:tcBorders>
            <w:vAlign w:val="center"/>
          </w:tcPr>
          <w:p w14:paraId="2DB76B08">
            <w:pPr>
              <w:pStyle w:val="28"/>
              <w:bidi w:val="0"/>
            </w:pPr>
            <w:r>
              <w:t>km</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1196C0CB">
            <w:pPr>
              <w:pStyle w:val="28"/>
              <w:bidi w:val="0"/>
            </w:pPr>
            <w:r>
              <w:t>385.6</w:t>
            </w:r>
            <w:r>
              <w:rPr>
                <w:rFonts w:hint="eastAsia"/>
              </w:rPr>
              <w:t>1</w:t>
            </w:r>
          </w:p>
        </w:tc>
      </w:tr>
      <w:tr w14:paraId="3A377464">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4F1B23E4">
            <w:pPr>
              <w:pStyle w:val="28"/>
              <w:bidi w:val="0"/>
            </w:pPr>
            <w:r>
              <w:t>⑤</w:t>
            </w:r>
          </w:p>
        </w:tc>
        <w:tc>
          <w:tcPr>
            <w:tcW w:w="1584" w:type="pct"/>
            <w:tcBorders>
              <w:top w:val="single" w:color="000000" w:sz="4" w:space="0"/>
              <w:left w:val="single" w:color="000000" w:sz="4" w:space="0"/>
              <w:bottom w:val="single" w:color="000000" w:sz="4" w:space="0"/>
              <w:right w:val="single" w:color="000000" w:sz="4" w:space="0"/>
            </w:tcBorders>
            <w:vAlign w:val="center"/>
          </w:tcPr>
          <w:p w14:paraId="78E4E210">
            <w:pPr>
              <w:pStyle w:val="28"/>
              <w:bidi w:val="0"/>
            </w:pPr>
            <w:r>
              <w:t>切岭段治理</w:t>
            </w:r>
          </w:p>
        </w:tc>
        <w:tc>
          <w:tcPr>
            <w:tcW w:w="595" w:type="pct"/>
            <w:tcBorders>
              <w:top w:val="single" w:color="000000" w:sz="4" w:space="0"/>
              <w:left w:val="single" w:color="000000" w:sz="4" w:space="0"/>
              <w:bottom w:val="single" w:color="000000" w:sz="4" w:space="0"/>
              <w:right w:val="single" w:color="000000" w:sz="4" w:space="0"/>
            </w:tcBorders>
            <w:vAlign w:val="center"/>
          </w:tcPr>
          <w:p w14:paraId="1C97B71A">
            <w:pPr>
              <w:pStyle w:val="28"/>
              <w:bidi w:val="0"/>
            </w:pPr>
            <w:r>
              <w:t>km</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2B4256E8">
            <w:pPr>
              <w:pStyle w:val="28"/>
              <w:bidi w:val="0"/>
            </w:pPr>
            <w:r>
              <w:t>36.19</w:t>
            </w:r>
          </w:p>
        </w:tc>
      </w:tr>
      <w:tr w14:paraId="079ECE48">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4D975BCA">
            <w:pPr>
              <w:pStyle w:val="28"/>
              <w:bidi w:val="0"/>
            </w:pPr>
            <w:r>
              <w:t>⑥</w:t>
            </w:r>
          </w:p>
        </w:tc>
        <w:tc>
          <w:tcPr>
            <w:tcW w:w="1584" w:type="pct"/>
            <w:tcBorders>
              <w:top w:val="single" w:color="000000" w:sz="4" w:space="0"/>
              <w:left w:val="single" w:color="000000" w:sz="4" w:space="0"/>
              <w:bottom w:val="single" w:color="000000" w:sz="4" w:space="0"/>
              <w:right w:val="single" w:color="000000" w:sz="4" w:space="0"/>
            </w:tcBorders>
            <w:vAlign w:val="center"/>
          </w:tcPr>
          <w:p w14:paraId="023F1996">
            <w:pPr>
              <w:pStyle w:val="28"/>
              <w:bidi w:val="0"/>
            </w:pPr>
            <w:r>
              <w:t>滑坡段治理</w:t>
            </w:r>
          </w:p>
        </w:tc>
        <w:tc>
          <w:tcPr>
            <w:tcW w:w="595" w:type="pct"/>
            <w:tcBorders>
              <w:top w:val="single" w:color="000000" w:sz="4" w:space="0"/>
              <w:left w:val="single" w:color="000000" w:sz="4" w:space="0"/>
              <w:bottom w:val="single" w:color="000000" w:sz="4" w:space="0"/>
              <w:right w:val="single" w:color="000000" w:sz="4" w:space="0"/>
            </w:tcBorders>
            <w:vAlign w:val="center"/>
          </w:tcPr>
          <w:p w14:paraId="601579D2">
            <w:pPr>
              <w:pStyle w:val="28"/>
              <w:bidi w:val="0"/>
            </w:pPr>
            <w:r>
              <w:t>km</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153B7EE7">
            <w:pPr>
              <w:pStyle w:val="28"/>
              <w:bidi w:val="0"/>
            </w:pPr>
            <w:r>
              <w:t>5.16</w:t>
            </w:r>
          </w:p>
        </w:tc>
      </w:tr>
      <w:tr w14:paraId="2F7AA3A4">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635CC6F8">
            <w:pPr>
              <w:pStyle w:val="28"/>
              <w:bidi w:val="0"/>
            </w:pPr>
            <w:r>
              <w:t>⑦</w:t>
            </w:r>
          </w:p>
        </w:tc>
        <w:tc>
          <w:tcPr>
            <w:tcW w:w="1584" w:type="pct"/>
            <w:tcBorders>
              <w:top w:val="single" w:color="000000" w:sz="4" w:space="0"/>
              <w:left w:val="single" w:color="000000" w:sz="4" w:space="0"/>
              <w:bottom w:val="single" w:color="000000" w:sz="4" w:space="0"/>
              <w:right w:val="single" w:color="000000" w:sz="4" w:space="0"/>
            </w:tcBorders>
            <w:vAlign w:val="center"/>
          </w:tcPr>
          <w:p w14:paraId="7D2D6408">
            <w:pPr>
              <w:pStyle w:val="28"/>
              <w:bidi w:val="0"/>
            </w:pPr>
            <w:r>
              <w:t>渗漏段治理</w:t>
            </w:r>
          </w:p>
        </w:tc>
        <w:tc>
          <w:tcPr>
            <w:tcW w:w="595" w:type="pct"/>
            <w:tcBorders>
              <w:top w:val="single" w:color="000000" w:sz="4" w:space="0"/>
              <w:left w:val="single" w:color="000000" w:sz="4" w:space="0"/>
              <w:bottom w:val="single" w:color="000000" w:sz="4" w:space="0"/>
              <w:right w:val="single" w:color="000000" w:sz="4" w:space="0"/>
            </w:tcBorders>
            <w:vAlign w:val="center"/>
          </w:tcPr>
          <w:p w14:paraId="435C3F4C">
            <w:pPr>
              <w:pStyle w:val="28"/>
              <w:bidi w:val="0"/>
            </w:pPr>
            <w:r>
              <w:t>km</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317FEBFF">
            <w:pPr>
              <w:pStyle w:val="28"/>
              <w:bidi w:val="0"/>
            </w:pPr>
            <w:r>
              <w:t>21.11</w:t>
            </w:r>
          </w:p>
        </w:tc>
      </w:tr>
      <w:tr w14:paraId="3EB28699">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6F238CFB">
            <w:pPr>
              <w:pStyle w:val="28"/>
              <w:bidi w:val="0"/>
            </w:pPr>
            <w:r>
              <w:t>⑧</w:t>
            </w:r>
          </w:p>
        </w:tc>
        <w:tc>
          <w:tcPr>
            <w:tcW w:w="1584" w:type="pct"/>
            <w:tcBorders>
              <w:top w:val="single" w:color="000000" w:sz="4" w:space="0"/>
              <w:left w:val="single" w:color="000000" w:sz="4" w:space="0"/>
              <w:bottom w:val="single" w:color="000000" w:sz="4" w:space="0"/>
              <w:right w:val="single" w:color="000000" w:sz="4" w:space="0"/>
            </w:tcBorders>
            <w:vAlign w:val="center"/>
          </w:tcPr>
          <w:p w14:paraId="3810C1C4">
            <w:pPr>
              <w:pStyle w:val="28"/>
              <w:bidi w:val="0"/>
            </w:pPr>
            <w:r>
              <w:t>渠堤加培</w:t>
            </w:r>
          </w:p>
        </w:tc>
        <w:tc>
          <w:tcPr>
            <w:tcW w:w="595" w:type="pct"/>
            <w:tcBorders>
              <w:top w:val="single" w:color="000000" w:sz="4" w:space="0"/>
              <w:left w:val="single" w:color="000000" w:sz="4" w:space="0"/>
              <w:bottom w:val="single" w:color="000000" w:sz="4" w:space="0"/>
              <w:right w:val="single" w:color="000000" w:sz="4" w:space="0"/>
            </w:tcBorders>
            <w:vAlign w:val="center"/>
          </w:tcPr>
          <w:p w14:paraId="3226BC53">
            <w:pPr>
              <w:pStyle w:val="28"/>
              <w:bidi w:val="0"/>
            </w:pPr>
            <w:r>
              <w:t>km</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612C452D">
            <w:pPr>
              <w:pStyle w:val="28"/>
              <w:bidi w:val="0"/>
            </w:pPr>
            <w:r>
              <w:t>63.7</w:t>
            </w:r>
            <w:r>
              <w:rPr>
                <w:rFonts w:hint="eastAsia"/>
              </w:rPr>
              <w:t>5</w:t>
            </w:r>
          </w:p>
        </w:tc>
      </w:tr>
      <w:tr w14:paraId="4339D62F">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38717971">
            <w:pPr>
              <w:pStyle w:val="28"/>
              <w:bidi w:val="0"/>
            </w:pPr>
            <w:r>
              <w:t>⑨</w:t>
            </w:r>
          </w:p>
        </w:tc>
        <w:tc>
          <w:tcPr>
            <w:tcW w:w="1584" w:type="pct"/>
            <w:tcBorders>
              <w:top w:val="single" w:color="000000" w:sz="4" w:space="0"/>
              <w:left w:val="single" w:color="000000" w:sz="4" w:space="0"/>
              <w:bottom w:val="single" w:color="000000" w:sz="4" w:space="0"/>
              <w:right w:val="single" w:color="000000" w:sz="4" w:space="0"/>
            </w:tcBorders>
            <w:vAlign w:val="center"/>
          </w:tcPr>
          <w:p w14:paraId="11F3DB6D">
            <w:pPr>
              <w:pStyle w:val="28"/>
              <w:bidi w:val="0"/>
            </w:pPr>
            <w:r>
              <w:t>管理道路</w:t>
            </w:r>
          </w:p>
        </w:tc>
        <w:tc>
          <w:tcPr>
            <w:tcW w:w="595" w:type="pct"/>
            <w:tcBorders>
              <w:top w:val="single" w:color="000000" w:sz="4" w:space="0"/>
              <w:left w:val="single" w:color="000000" w:sz="4" w:space="0"/>
              <w:bottom w:val="single" w:color="000000" w:sz="4" w:space="0"/>
              <w:right w:val="single" w:color="000000" w:sz="4" w:space="0"/>
            </w:tcBorders>
            <w:vAlign w:val="center"/>
          </w:tcPr>
          <w:p w14:paraId="0B4DB91B">
            <w:pPr>
              <w:pStyle w:val="28"/>
              <w:bidi w:val="0"/>
            </w:pPr>
            <w:r>
              <w:t>km</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1F956215">
            <w:pPr>
              <w:pStyle w:val="28"/>
              <w:bidi w:val="0"/>
            </w:pPr>
            <w:r>
              <w:t>62.08</w:t>
            </w:r>
          </w:p>
        </w:tc>
      </w:tr>
      <w:tr w14:paraId="09B9F6A6">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1A8051E5">
            <w:pPr>
              <w:pStyle w:val="28"/>
              <w:bidi w:val="0"/>
            </w:pPr>
            <w:r>
              <w:t>⑩</w:t>
            </w:r>
          </w:p>
        </w:tc>
        <w:tc>
          <w:tcPr>
            <w:tcW w:w="1584" w:type="pct"/>
            <w:tcBorders>
              <w:top w:val="single" w:color="000000" w:sz="4" w:space="0"/>
              <w:left w:val="single" w:color="000000" w:sz="4" w:space="0"/>
              <w:bottom w:val="single" w:color="000000" w:sz="4" w:space="0"/>
              <w:right w:val="single" w:color="000000" w:sz="4" w:space="0"/>
            </w:tcBorders>
            <w:vAlign w:val="center"/>
          </w:tcPr>
          <w:p w14:paraId="6C120E35">
            <w:pPr>
              <w:pStyle w:val="28"/>
              <w:bidi w:val="0"/>
            </w:pPr>
            <w:r>
              <w:t>管理房</w:t>
            </w:r>
          </w:p>
        </w:tc>
        <w:tc>
          <w:tcPr>
            <w:tcW w:w="595" w:type="pct"/>
            <w:tcBorders>
              <w:top w:val="single" w:color="000000" w:sz="4" w:space="0"/>
              <w:left w:val="single" w:color="000000" w:sz="4" w:space="0"/>
              <w:bottom w:val="single" w:color="000000" w:sz="4" w:space="0"/>
              <w:right w:val="single" w:color="000000" w:sz="4" w:space="0"/>
            </w:tcBorders>
            <w:vAlign w:val="center"/>
          </w:tcPr>
          <w:p w14:paraId="480A3C26">
            <w:pPr>
              <w:pStyle w:val="28"/>
              <w:bidi w:val="0"/>
            </w:pPr>
            <w:r>
              <w:t>m2</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61F289CD">
            <w:pPr>
              <w:pStyle w:val="28"/>
              <w:bidi w:val="0"/>
            </w:pPr>
            <w:r>
              <w:t>1309.111</w:t>
            </w:r>
          </w:p>
        </w:tc>
      </w:tr>
      <w:tr w14:paraId="4A5AEA44">
        <w:tblPrEx>
          <w:tblCellMar>
            <w:top w:w="0" w:type="dxa"/>
            <w:left w:w="108" w:type="dxa"/>
            <w:bottom w:w="0" w:type="dxa"/>
            <w:right w:w="108" w:type="dxa"/>
          </w:tblCellMar>
        </w:tblPrEx>
        <w:trPr>
          <w:trHeight w:val="340" w:hRule="atLeast"/>
          <w:jc w:val="center"/>
        </w:trPr>
        <w:tc>
          <w:tcPr>
            <w:tcW w:w="441" w:type="pct"/>
            <w:tcBorders>
              <w:top w:val="single" w:color="000000" w:sz="4" w:space="0"/>
              <w:left w:val="single" w:color="000000" w:sz="4" w:space="0"/>
              <w:bottom w:val="single" w:color="000000" w:sz="4" w:space="0"/>
              <w:right w:val="single" w:color="000000" w:sz="4" w:space="0"/>
            </w:tcBorders>
            <w:vAlign w:val="center"/>
          </w:tcPr>
          <w:p w14:paraId="6815761C">
            <w:pPr>
              <w:pStyle w:val="28"/>
              <w:bidi w:val="0"/>
            </w:pPr>
            <w:r>
              <w:t>（3）</w:t>
            </w:r>
          </w:p>
        </w:tc>
        <w:tc>
          <w:tcPr>
            <w:tcW w:w="1584" w:type="pct"/>
            <w:tcBorders>
              <w:top w:val="single" w:color="000000" w:sz="4" w:space="0"/>
              <w:left w:val="single" w:color="000000" w:sz="4" w:space="0"/>
              <w:bottom w:val="single" w:color="000000" w:sz="4" w:space="0"/>
              <w:right w:val="single" w:color="000000" w:sz="4" w:space="0"/>
            </w:tcBorders>
            <w:vAlign w:val="center"/>
          </w:tcPr>
          <w:p w14:paraId="2AEC6419">
            <w:pPr>
              <w:pStyle w:val="28"/>
              <w:bidi w:val="0"/>
            </w:pPr>
            <w:r>
              <w:t>渠系建筑物工程</w:t>
            </w:r>
          </w:p>
        </w:tc>
        <w:tc>
          <w:tcPr>
            <w:tcW w:w="595" w:type="pct"/>
            <w:tcBorders>
              <w:top w:val="single" w:color="000000" w:sz="4" w:space="0"/>
              <w:left w:val="single" w:color="000000" w:sz="4" w:space="0"/>
              <w:bottom w:val="single" w:color="000000" w:sz="4" w:space="0"/>
              <w:right w:val="single" w:color="000000" w:sz="4" w:space="0"/>
            </w:tcBorders>
            <w:vAlign w:val="center"/>
          </w:tcPr>
          <w:p w14:paraId="4C7E28C9">
            <w:pPr>
              <w:pStyle w:val="28"/>
              <w:bidi w:val="0"/>
            </w:pPr>
            <w:r>
              <w:t>座</w:t>
            </w:r>
          </w:p>
        </w:tc>
        <w:tc>
          <w:tcPr>
            <w:tcW w:w="2378" w:type="pct"/>
            <w:gridSpan w:val="2"/>
            <w:tcBorders>
              <w:top w:val="single" w:color="000000" w:sz="4" w:space="0"/>
              <w:left w:val="single" w:color="000000" w:sz="4" w:space="0"/>
              <w:bottom w:val="single" w:color="000000" w:sz="4" w:space="0"/>
              <w:right w:val="single" w:color="000000" w:sz="4" w:space="0"/>
            </w:tcBorders>
            <w:vAlign w:val="center"/>
          </w:tcPr>
          <w:p w14:paraId="5945D17A">
            <w:pPr>
              <w:pStyle w:val="28"/>
              <w:bidi w:val="0"/>
            </w:pPr>
            <w:r>
              <w:rPr>
                <w:rFonts w:hint="eastAsia"/>
              </w:rPr>
              <w:t>渠系建筑物</w:t>
            </w:r>
            <w:r>
              <w:t>153</w:t>
            </w:r>
            <w:r>
              <w:rPr>
                <w:rFonts w:hint="eastAsia"/>
              </w:rPr>
              <w:t>0、泵站1座</w:t>
            </w:r>
          </w:p>
        </w:tc>
      </w:tr>
      <w:tr w14:paraId="6D146228">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77966423">
            <w:pPr>
              <w:pStyle w:val="28"/>
              <w:bidi w:val="0"/>
            </w:pPr>
            <w:r>
              <w:t>①</w:t>
            </w:r>
          </w:p>
        </w:tc>
        <w:tc>
          <w:tcPr>
            <w:tcW w:w="1584" w:type="pct"/>
            <w:tcBorders>
              <w:top w:val="single" w:color="000000" w:sz="4" w:space="0"/>
              <w:left w:val="single" w:color="000000" w:sz="4" w:space="0"/>
              <w:bottom w:val="single" w:color="000000" w:sz="4" w:space="0"/>
              <w:right w:val="single" w:color="000000" w:sz="4" w:space="0"/>
            </w:tcBorders>
            <w:vAlign w:val="center"/>
          </w:tcPr>
          <w:p w14:paraId="023C70D3">
            <w:pPr>
              <w:pStyle w:val="28"/>
              <w:bidi w:val="0"/>
            </w:pPr>
            <w:r>
              <w:t>节制闸</w:t>
            </w:r>
          </w:p>
        </w:tc>
        <w:tc>
          <w:tcPr>
            <w:tcW w:w="595" w:type="pct"/>
            <w:tcBorders>
              <w:top w:val="single" w:color="000000" w:sz="4" w:space="0"/>
              <w:left w:val="single" w:color="000000" w:sz="4" w:space="0"/>
              <w:bottom w:val="single" w:color="000000" w:sz="4" w:space="0"/>
              <w:right w:val="single" w:color="000000" w:sz="4" w:space="0"/>
            </w:tcBorders>
            <w:vAlign w:val="center"/>
          </w:tcPr>
          <w:p w14:paraId="6B5DEF14">
            <w:pPr>
              <w:pStyle w:val="28"/>
              <w:bidi w:val="0"/>
            </w:pPr>
            <w:r>
              <w:t>座</w:t>
            </w:r>
          </w:p>
        </w:tc>
        <w:tc>
          <w:tcPr>
            <w:tcW w:w="681" w:type="pct"/>
            <w:tcBorders>
              <w:top w:val="single" w:color="000000" w:sz="4" w:space="0"/>
              <w:left w:val="single" w:color="000000" w:sz="4" w:space="0"/>
              <w:bottom w:val="single" w:color="000000" w:sz="4" w:space="0"/>
              <w:right w:val="single" w:color="000000" w:sz="4" w:space="0"/>
            </w:tcBorders>
            <w:vAlign w:val="center"/>
          </w:tcPr>
          <w:p w14:paraId="2DEF17CA">
            <w:pPr>
              <w:pStyle w:val="28"/>
              <w:bidi w:val="0"/>
            </w:pPr>
            <w:r>
              <w:t>39</w:t>
            </w:r>
          </w:p>
        </w:tc>
        <w:tc>
          <w:tcPr>
            <w:tcW w:w="1697" w:type="pct"/>
            <w:tcBorders>
              <w:top w:val="single" w:color="000000" w:sz="4" w:space="0"/>
              <w:left w:val="single" w:color="000000" w:sz="4" w:space="0"/>
              <w:bottom w:val="single" w:color="000000" w:sz="4" w:space="0"/>
              <w:right w:val="single" w:color="000000" w:sz="4" w:space="0"/>
            </w:tcBorders>
            <w:vAlign w:val="center"/>
          </w:tcPr>
          <w:p w14:paraId="2A7A11D6">
            <w:pPr>
              <w:pStyle w:val="28"/>
              <w:bidi w:val="0"/>
            </w:pPr>
            <w:r>
              <w:t>/</w:t>
            </w:r>
          </w:p>
        </w:tc>
      </w:tr>
      <w:tr w14:paraId="45164BB6">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096EAB34">
            <w:pPr>
              <w:pStyle w:val="28"/>
              <w:bidi w:val="0"/>
            </w:pPr>
            <w:r>
              <w:t>②</w:t>
            </w:r>
          </w:p>
        </w:tc>
        <w:tc>
          <w:tcPr>
            <w:tcW w:w="1584" w:type="pct"/>
            <w:tcBorders>
              <w:top w:val="single" w:color="000000" w:sz="4" w:space="0"/>
              <w:left w:val="single" w:color="000000" w:sz="4" w:space="0"/>
              <w:bottom w:val="single" w:color="000000" w:sz="4" w:space="0"/>
              <w:right w:val="single" w:color="000000" w:sz="4" w:space="0"/>
            </w:tcBorders>
            <w:vAlign w:val="center"/>
          </w:tcPr>
          <w:p w14:paraId="2CBD63B0">
            <w:pPr>
              <w:pStyle w:val="28"/>
              <w:bidi w:val="0"/>
            </w:pPr>
            <w:r>
              <w:t>进水闸</w:t>
            </w:r>
          </w:p>
        </w:tc>
        <w:tc>
          <w:tcPr>
            <w:tcW w:w="595" w:type="pct"/>
            <w:tcBorders>
              <w:top w:val="single" w:color="000000" w:sz="4" w:space="0"/>
              <w:left w:val="single" w:color="000000" w:sz="4" w:space="0"/>
              <w:bottom w:val="single" w:color="000000" w:sz="4" w:space="0"/>
              <w:right w:val="single" w:color="000000" w:sz="4" w:space="0"/>
            </w:tcBorders>
            <w:vAlign w:val="center"/>
          </w:tcPr>
          <w:p w14:paraId="42B5BF62">
            <w:pPr>
              <w:pStyle w:val="28"/>
              <w:bidi w:val="0"/>
            </w:pPr>
            <w:r>
              <w:t>座</w:t>
            </w:r>
          </w:p>
        </w:tc>
        <w:tc>
          <w:tcPr>
            <w:tcW w:w="681" w:type="pct"/>
            <w:tcBorders>
              <w:top w:val="single" w:color="000000" w:sz="4" w:space="0"/>
              <w:left w:val="single" w:color="000000" w:sz="4" w:space="0"/>
              <w:bottom w:val="single" w:color="000000" w:sz="4" w:space="0"/>
              <w:right w:val="single" w:color="000000" w:sz="4" w:space="0"/>
            </w:tcBorders>
            <w:vAlign w:val="center"/>
          </w:tcPr>
          <w:p w14:paraId="5C84BAF7">
            <w:pPr>
              <w:pStyle w:val="28"/>
              <w:bidi w:val="0"/>
            </w:pPr>
            <w:r>
              <w:t>67</w:t>
            </w:r>
          </w:p>
        </w:tc>
        <w:tc>
          <w:tcPr>
            <w:tcW w:w="1697" w:type="pct"/>
            <w:tcBorders>
              <w:top w:val="single" w:color="000000" w:sz="4" w:space="0"/>
              <w:left w:val="single" w:color="000000" w:sz="4" w:space="0"/>
              <w:bottom w:val="single" w:color="000000" w:sz="4" w:space="0"/>
              <w:right w:val="single" w:color="000000" w:sz="4" w:space="0"/>
            </w:tcBorders>
            <w:vAlign w:val="center"/>
          </w:tcPr>
          <w:p w14:paraId="4BF89EBC">
            <w:pPr>
              <w:pStyle w:val="28"/>
              <w:bidi w:val="0"/>
            </w:pPr>
            <w:r>
              <w:t>/</w:t>
            </w:r>
          </w:p>
        </w:tc>
      </w:tr>
      <w:tr w14:paraId="47E6F4C7">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024C148E">
            <w:pPr>
              <w:pStyle w:val="28"/>
              <w:bidi w:val="0"/>
            </w:pPr>
            <w:r>
              <w:t>③</w:t>
            </w:r>
          </w:p>
        </w:tc>
        <w:tc>
          <w:tcPr>
            <w:tcW w:w="1584" w:type="pct"/>
            <w:tcBorders>
              <w:top w:val="single" w:color="000000" w:sz="4" w:space="0"/>
              <w:left w:val="single" w:color="000000" w:sz="4" w:space="0"/>
              <w:bottom w:val="single" w:color="000000" w:sz="4" w:space="0"/>
              <w:right w:val="single" w:color="000000" w:sz="4" w:space="0"/>
            </w:tcBorders>
            <w:vAlign w:val="center"/>
          </w:tcPr>
          <w:p w14:paraId="6FB76AF0">
            <w:pPr>
              <w:pStyle w:val="28"/>
              <w:bidi w:val="0"/>
            </w:pPr>
            <w:r>
              <w:t>放水涵</w:t>
            </w:r>
          </w:p>
        </w:tc>
        <w:tc>
          <w:tcPr>
            <w:tcW w:w="595" w:type="pct"/>
            <w:tcBorders>
              <w:top w:val="single" w:color="000000" w:sz="4" w:space="0"/>
              <w:left w:val="single" w:color="000000" w:sz="4" w:space="0"/>
              <w:bottom w:val="single" w:color="000000" w:sz="4" w:space="0"/>
              <w:right w:val="single" w:color="000000" w:sz="4" w:space="0"/>
            </w:tcBorders>
            <w:vAlign w:val="center"/>
          </w:tcPr>
          <w:p w14:paraId="517A42CB">
            <w:pPr>
              <w:pStyle w:val="28"/>
              <w:bidi w:val="0"/>
            </w:pPr>
            <w:r>
              <w:t>座</w:t>
            </w:r>
          </w:p>
        </w:tc>
        <w:tc>
          <w:tcPr>
            <w:tcW w:w="681" w:type="pct"/>
            <w:tcBorders>
              <w:top w:val="single" w:color="000000" w:sz="4" w:space="0"/>
              <w:left w:val="single" w:color="000000" w:sz="4" w:space="0"/>
              <w:bottom w:val="single" w:color="000000" w:sz="4" w:space="0"/>
              <w:right w:val="single" w:color="000000" w:sz="4" w:space="0"/>
            </w:tcBorders>
            <w:vAlign w:val="center"/>
          </w:tcPr>
          <w:p w14:paraId="21AFE578">
            <w:pPr>
              <w:pStyle w:val="28"/>
              <w:bidi w:val="0"/>
            </w:pPr>
            <w:r>
              <w:t>848</w:t>
            </w:r>
          </w:p>
        </w:tc>
        <w:tc>
          <w:tcPr>
            <w:tcW w:w="1697" w:type="pct"/>
            <w:tcBorders>
              <w:top w:val="single" w:color="000000" w:sz="4" w:space="0"/>
              <w:left w:val="single" w:color="000000" w:sz="4" w:space="0"/>
              <w:bottom w:val="single" w:color="000000" w:sz="4" w:space="0"/>
              <w:right w:val="single" w:color="000000" w:sz="4" w:space="0"/>
            </w:tcBorders>
            <w:vAlign w:val="center"/>
          </w:tcPr>
          <w:p w14:paraId="3BF4E82D">
            <w:pPr>
              <w:pStyle w:val="28"/>
              <w:bidi w:val="0"/>
            </w:pPr>
            <w:r>
              <w:t>/</w:t>
            </w:r>
          </w:p>
        </w:tc>
      </w:tr>
      <w:tr w14:paraId="0B66DD94">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56E3CEFC">
            <w:pPr>
              <w:pStyle w:val="28"/>
              <w:bidi w:val="0"/>
            </w:pPr>
            <w:r>
              <w:t>④</w:t>
            </w:r>
          </w:p>
        </w:tc>
        <w:tc>
          <w:tcPr>
            <w:tcW w:w="1584" w:type="pct"/>
            <w:tcBorders>
              <w:top w:val="single" w:color="000000" w:sz="4" w:space="0"/>
              <w:left w:val="single" w:color="000000" w:sz="4" w:space="0"/>
              <w:bottom w:val="single" w:color="000000" w:sz="4" w:space="0"/>
              <w:right w:val="single" w:color="000000" w:sz="4" w:space="0"/>
            </w:tcBorders>
            <w:vAlign w:val="center"/>
          </w:tcPr>
          <w:p w14:paraId="4E8E0437">
            <w:pPr>
              <w:pStyle w:val="28"/>
              <w:bidi w:val="0"/>
            </w:pPr>
            <w:r>
              <w:t>泄洪闸/退水闸</w:t>
            </w:r>
          </w:p>
        </w:tc>
        <w:tc>
          <w:tcPr>
            <w:tcW w:w="595" w:type="pct"/>
            <w:tcBorders>
              <w:top w:val="single" w:color="000000" w:sz="4" w:space="0"/>
              <w:left w:val="single" w:color="000000" w:sz="4" w:space="0"/>
              <w:bottom w:val="single" w:color="000000" w:sz="4" w:space="0"/>
              <w:right w:val="single" w:color="000000" w:sz="4" w:space="0"/>
            </w:tcBorders>
            <w:vAlign w:val="center"/>
          </w:tcPr>
          <w:p w14:paraId="62C41A5A">
            <w:pPr>
              <w:pStyle w:val="28"/>
              <w:bidi w:val="0"/>
            </w:pPr>
            <w:r>
              <w:t>座</w:t>
            </w:r>
          </w:p>
        </w:tc>
        <w:tc>
          <w:tcPr>
            <w:tcW w:w="681" w:type="pct"/>
            <w:tcBorders>
              <w:top w:val="single" w:color="000000" w:sz="4" w:space="0"/>
              <w:left w:val="single" w:color="000000" w:sz="4" w:space="0"/>
              <w:bottom w:val="single" w:color="000000" w:sz="4" w:space="0"/>
              <w:right w:val="single" w:color="000000" w:sz="4" w:space="0"/>
            </w:tcBorders>
            <w:vAlign w:val="center"/>
          </w:tcPr>
          <w:p w14:paraId="264CE682">
            <w:pPr>
              <w:pStyle w:val="28"/>
              <w:bidi w:val="0"/>
            </w:pPr>
            <w:r>
              <w:t>21</w:t>
            </w:r>
          </w:p>
        </w:tc>
        <w:tc>
          <w:tcPr>
            <w:tcW w:w="1697" w:type="pct"/>
            <w:tcBorders>
              <w:top w:val="single" w:color="000000" w:sz="4" w:space="0"/>
              <w:left w:val="single" w:color="000000" w:sz="4" w:space="0"/>
              <w:bottom w:val="single" w:color="000000" w:sz="4" w:space="0"/>
              <w:right w:val="single" w:color="000000" w:sz="4" w:space="0"/>
            </w:tcBorders>
            <w:vAlign w:val="center"/>
          </w:tcPr>
          <w:p w14:paraId="0ABCD4C6">
            <w:pPr>
              <w:pStyle w:val="28"/>
              <w:bidi w:val="0"/>
            </w:pPr>
            <w:r>
              <w:t>/</w:t>
            </w:r>
          </w:p>
        </w:tc>
      </w:tr>
      <w:tr w14:paraId="127EBDF9">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4CF2006C">
            <w:pPr>
              <w:pStyle w:val="28"/>
              <w:bidi w:val="0"/>
            </w:pPr>
            <w:r>
              <w:t>⑤</w:t>
            </w:r>
          </w:p>
        </w:tc>
        <w:tc>
          <w:tcPr>
            <w:tcW w:w="1584" w:type="pct"/>
            <w:tcBorders>
              <w:top w:val="single" w:color="000000" w:sz="4" w:space="0"/>
              <w:left w:val="single" w:color="000000" w:sz="4" w:space="0"/>
              <w:bottom w:val="single" w:color="000000" w:sz="4" w:space="0"/>
              <w:right w:val="single" w:color="000000" w:sz="4" w:space="0"/>
            </w:tcBorders>
            <w:vAlign w:val="center"/>
          </w:tcPr>
          <w:p w14:paraId="40588153">
            <w:pPr>
              <w:pStyle w:val="28"/>
              <w:bidi w:val="0"/>
            </w:pPr>
            <w:r>
              <w:t>渠下涵</w:t>
            </w:r>
          </w:p>
        </w:tc>
        <w:tc>
          <w:tcPr>
            <w:tcW w:w="595" w:type="pct"/>
            <w:tcBorders>
              <w:top w:val="single" w:color="000000" w:sz="4" w:space="0"/>
              <w:left w:val="single" w:color="000000" w:sz="4" w:space="0"/>
              <w:bottom w:val="single" w:color="000000" w:sz="4" w:space="0"/>
              <w:right w:val="single" w:color="000000" w:sz="4" w:space="0"/>
            </w:tcBorders>
            <w:vAlign w:val="center"/>
          </w:tcPr>
          <w:p w14:paraId="347D9E46">
            <w:pPr>
              <w:pStyle w:val="28"/>
              <w:bidi w:val="0"/>
            </w:pPr>
            <w:r>
              <w:t>座</w:t>
            </w:r>
          </w:p>
        </w:tc>
        <w:tc>
          <w:tcPr>
            <w:tcW w:w="681" w:type="pct"/>
            <w:tcBorders>
              <w:top w:val="single" w:color="000000" w:sz="4" w:space="0"/>
              <w:left w:val="single" w:color="000000" w:sz="4" w:space="0"/>
              <w:bottom w:val="single" w:color="000000" w:sz="4" w:space="0"/>
              <w:right w:val="single" w:color="000000" w:sz="4" w:space="0"/>
            </w:tcBorders>
            <w:vAlign w:val="center"/>
          </w:tcPr>
          <w:p w14:paraId="0502D4D2">
            <w:pPr>
              <w:pStyle w:val="28"/>
              <w:bidi w:val="0"/>
            </w:pPr>
            <w:r>
              <w:t>42</w:t>
            </w:r>
          </w:p>
        </w:tc>
        <w:tc>
          <w:tcPr>
            <w:tcW w:w="1697" w:type="pct"/>
            <w:tcBorders>
              <w:top w:val="single" w:color="000000" w:sz="4" w:space="0"/>
              <w:left w:val="single" w:color="000000" w:sz="4" w:space="0"/>
              <w:bottom w:val="single" w:color="000000" w:sz="4" w:space="0"/>
              <w:right w:val="single" w:color="000000" w:sz="4" w:space="0"/>
            </w:tcBorders>
            <w:vAlign w:val="center"/>
          </w:tcPr>
          <w:p w14:paraId="5D2ED57F">
            <w:pPr>
              <w:pStyle w:val="28"/>
              <w:bidi w:val="0"/>
            </w:pPr>
            <w:r>
              <w:t>/</w:t>
            </w:r>
          </w:p>
        </w:tc>
      </w:tr>
      <w:tr w14:paraId="3785FE5A">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11BFAF38">
            <w:pPr>
              <w:pStyle w:val="28"/>
              <w:bidi w:val="0"/>
            </w:pPr>
            <w:r>
              <w:t>⑥</w:t>
            </w:r>
          </w:p>
        </w:tc>
        <w:tc>
          <w:tcPr>
            <w:tcW w:w="1584" w:type="pct"/>
            <w:tcBorders>
              <w:top w:val="single" w:color="000000" w:sz="4" w:space="0"/>
              <w:left w:val="single" w:color="000000" w:sz="4" w:space="0"/>
              <w:bottom w:val="single" w:color="000000" w:sz="4" w:space="0"/>
              <w:right w:val="single" w:color="000000" w:sz="4" w:space="0"/>
            </w:tcBorders>
            <w:vAlign w:val="center"/>
          </w:tcPr>
          <w:p w14:paraId="77DC799E">
            <w:pPr>
              <w:pStyle w:val="28"/>
              <w:bidi w:val="0"/>
            </w:pPr>
            <w:r>
              <w:t>渡槽</w:t>
            </w:r>
          </w:p>
        </w:tc>
        <w:tc>
          <w:tcPr>
            <w:tcW w:w="595" w:type="pct"/>
            <w:tcBorders>
              <w:top w:val="single" w:color="000000" w:sz="4" w:space="0"/>
              <w:left w:val="single" w:color="000000" w:sz="4" w:space="0"/>
              <w:bottom w:val="single" w:color="000000" w:sz="4" w:space="0"/>
              <w:right w:val="single" w:color="000000" w:sz="4" w:space="0"/>
            </w:tcBorders>
            <w:vAlign w:val="center"/>
          </w:tcPr>
          <w:p w14:paraId="244B8237">
            <w:pPr>
              <w:pStyle w:val="28"/>
              <w:bidi w:val="0"/>
            </w:pPr>
            <w:r>
              <w:t>座</w:t>
            </w:r>
          </w:p>
        </w:tc>
        <w:tc>
          <w:tcPr>
            <w:tcW w:w="681" w:type="pct"/>
            <w:tcBorders>
              <w:top w:val="single" w:color="000000" w:sz="4" w:space="0"/>
              <w:left w:val="single" w:color="000000" w:sz="4" w:space="0"/>
              <w:bottom w:val="single" w:color="000000" w:sz="4" w:space="0"/>
              <w:right w:val="single" w:color="000000" w:sz="4" w:space="0"/>
            </w:tcBorders>
            <w:vAlign w:val="center"/>
          </w:tcPr>
          <w:p w14:paraId="6FA1C596">
            <w:pPr>
              <w:pStyle w:val="28"/>
              <w:bidi w:val="0"/>
            </w:pPr>
            <w:r>
              <w:t>25</w:t>
            </w:r>
          </w:p>
        </w:tc>
        <w:tc>
          <w:tcPr>
            <w:tcW w:w="1697" w:type="pct"/>
            <w:tcBorders>
              <w:top w:val="single" w:color="000000" w:sz="4" w:space="0"/>
              <w:left w:val="single" w:color="000000" w:sz="4" w:space="0"/>
              <w:bottom w:val="single" w:color="000000" w:sz="4" w:space="0"/>
              <w:right w:val="single" w:color="000000" w:sz="4" w:space="0"/>
            </w:tcBorders>
            <w:vAlign w:val="center"/>
          </w:tcPr>
          <w:p w14:paraId="2377458D">
            <w:pPr>
              <w:pStyle w:val="28"/>
              <w:bidi w:val="0"/>
            </w:pPr>
            <w:r>
              <w:t>/</w:t>
            </w:r>
          </w:p>
        </w:tc>
      </w:tr>
      <w:tr w14:paraId="60A93716">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494A1EF7">
            <w:pPr>
              <w:pStyle w:val="28"/>
              <w:bidi w:val="0"/>
            </w:pPr>
            <w:r>
              <w:t>⑦</w:t>
            </w:r>
          </w:p>
        </w:tc>
        <w:tc>
          <w:tcPr>
            <w:tcW w:w="1584" w:type="pct"/>
            <w:tcBorders>
              <w:top w:val="single" w:color="000000" w:sz="4" w:space="0"/>
              <w:left w:val="single" w:color="000000" w:sz="4" w:space="0"/>
              <w:bottom w:val="single" w:color="000000" w:sz="4" w:space="0"/>
              <w:right w:val="single" w:color="000000" w:sz="4" w:space="0"/>
            </w:tcBorders>
            <w:vAlign w:val="center"/>
          </w:tcPr>
          <w:p w14:paraId="0B79BE62">
            <w:pPr>
              <w:pStyle w:val="28"/>
              <w:bidi w:val="0"/>
            </w:pPr>
            <w:r>
              <w:t>机耕桥</w:t>
            </w:r>
          </w:p>
        </w:tc>
        <w:tc>
          <w:tcPr>
            <w:tcW w:w="595" w:type="pct"/>
            <w:tcBorders>
              <w:top w:val="single" w:color="000000" w:sz="4" w:space="0"/>
              <w:left w:val="single" w:color="000000" w:sz="4" w:space="0"/>
              <w:bottom w:val="single" w:color="000000" w:sz="4" w:space="0"/>
              <w:right w:val="single" w:color="000000" w:sz="4" w:space="0"/>
            </w:tcBorders>
            <w:vAlign w:val="center"/>
          </w:tcPr>
          <w:p w14:paraId="43554EF5">
            <w:pPr>
              <w:pStyle w:val="28"/>
              <w:bidi w:val="0"/>
            </w:pPr>
            <w:r>
              <w:t>座</w:t>
            </w:r>
          </w:p>
        </w:tc>
        <w:tc>
          <w:tcPr>
            <w:tcW w:w="681" w:type="pct"/>
            <w:tcBorders>
              <w:top w:val="single" w:color="000000" w:sz="4" w:space="0"/>
              <w:left w:val="single" w:color="000000" w:sz="4" w:space="0"/>
              <w:bottom w:val="single" w:color="000000" w:sz="4" w:space="0"/>
              <w:right w:val="single" w:color="000000" w:sz="4" w:space="0"/>
            </w:tcBorders>
            <w:vAlign w:val="center"/>
          </w:tcPr>
          <w:p w14:paraId="6749AAAE">
            <w:pPr>
              <w:pStyle w:val="28"/>
              <w:bidi w:val="0"/>
            </w:pPr>
            <w:r>
              <w:t>193</w:t>
            </w:r>
          </w:p>
        </w:tc>
        <w:tc>
          <w:tcPr>
            <w:tcW w:w="1697" w:type="pct"/>
            <w:tcBorders>
              <w:top w:val="single" w:color="000000" w:sz="4" w:space="0"/>
              <w:left w:val="single" w:color="000000" w:sz="4" w:space="0"/>
              <w:bottom w:val="single" w:color="000000" w:sz="4" w:space="0"/>
              <w:right w:val="single" w:color="000000" w:sz="4" w:space="0"/>
            </w:tcBorders>
            <w:vAlign w:val="center"/>
          </w:tcPr>
          <w:p w14:paraId="40A09AEA">
            <w:pPr>
              <w:pStyle w:val="28"/>
              <w:bidi w:val="0"/>
            </w:pPr>
            <w:r>
              <w:t>/</w:t>
            </w:r>
          </w:p>
        </w:tc>
      </w:tr>
      <w:tr w14:paraId="2D146299">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003CABBF">
            <w:pPr>
              <w:pStyle w:val="28"/>
              <w:bidi w:val="0"/>
            </w:pPr>
            <w:r>
              <w:t>⑧</w:t>
            </w:r>
          </w:p>
        </w:tc>
        <w:tc>
          <w:tcPr>
            <w:tcW w:w="1584" w:type="pct"/>
            <w:tcBorders>
              <w:top w:val="single" w:color="000000" w:sz="4" w:space="0"/>
              <w:left w:val="single" w:color="000000" w:sz="4" w:space="0"/>
              <w:bottom w:val="single" w:color="000000" w:sz="4" w:space="0"/>
              <w:right w:val="single" w:color="000000" w:sz="4" w:space="0"/>
            </w:tcBorders>
            <w:vAlign w:val="center"/>
          </w:tcPr>
          <w:p w14:paraId="66C5DDE2">
            <w:pPr>
              <w:pStyle w:val="28"/>
              <w:bidi w:val="0"/>
            </w:pPr>
            <w:r>
              <w:t>人行桥</w:t>
            </w:r>
          </w:p>
        </w:tc>
        <w:tc>
          <w:tcPr>
            <w:tcW w:w="595" w:type="pct"/>
            <w:tcBorders>
              <w:top w:val="single" w:color="000000" w:sz="4" w:space="0"/>
              <w:left w:val="single" w:color="000000" w:sz="4" w:space="0"/>
              <w:bottom w:val="single" w:color="000000" w:sz="4" w:space="0"/>
              <w:right w:val="single" w:color="000000" w:sz="4" w:space="0"/>
            </w:tcBorders>
            <w:vAlign w:val="center"/>
          </w:tcPr>
          <w:p w14:paraId="0C724308">
            <w:pPr>
              <w:pStyle w:val="28"/>
              <w:bidi w:val="0"/>
            </w:pPr>
            <w:r>
              <w:t>座</w:t>
            </w:r>
          </w:p>
        </w:tc>
        <w:tc>
          <w:tcPr>
            <w:tcW w:w="681" w:type="pct"/>
            <w:tcBorders>
              <w:top w:val="single" w:color="000000" w:sz="4" w:space="0"/>
              <w:left w:val="single" w:color="000000" w:sz="4" w:space="0"/>
              <w:bottom w:val="single" w:color="000000" w:sz="4" w:space="0"/>
              <w:right w:val="single" w:color="000000" w:sz="4" w:space="0"/>
            </w:tcBorders>
            <w:vAlign w:val="center"/>
          </w:tcPr>
          <w:p w14:paraId="14BF688E">
            <w:pPr>
              <w:pStyle w:val="28"/>
              <w:bidi w:val="0"/>
            </w:pPr>
            <w:r>
              <w:t>57</w:t>
            </w:r>
          </w:p>
        </w:tc>
        <w:tc>
          <w:tcPr>
            <w:tcW w:w="1697" w:type="pct"/>
            <w:tcBorders>
              <w:top w:val="single" w:color="000000" w:sz="4" w:space="0"/>
              <w:left w:val="single" w:color="000000" w:sz="4" w:space="0"/>
              <w:bottom w:val="single" w:color="000000" w:sz="4" w:space="0"/>
              <w:right w:val="single" w:color="000000" w:sz="4" w:space="0"/>
            </w:tcBorders>
            <w:vAlign w:val="center"/>
          </w:tcPr>
          <w:p w14:paraId="75EDA15C">
            <w:pPr>
              <w:pStyle w:val="28"/>
              <w:bidi w:val="0"/>
            </w:pPr>
            <w:r>
              <w:t>/</w:t>
            </w:r>
          </w:p>
        </w:tc>
      </w:tr>
      <w:tr w14:paraId="3DEF2A8B">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11349EED">
            <w:pPr>
              <w:pStyle w:val="28"/>
              <w:bidi w:val="0"/>
            </w:pPr>
            <w:r>
              <w:t>⑨</w:t>
            </w:r>
          </w:p>
        </w:tc>
        <w:tc>
          <w:tcPr>
            <w:tcW w:w="1584" w:type="pct"/>
            <w:tcBorders>
              <w:top w:val="single" w:color="000000" w:sz="4" w:space="0"/>
              <w:left w:val="single" w:color="000000" w:sz="4" w:space="0"/>
              <w:bottom w:val="single" w:color="000000" w:sz="4" w:space="0"/>
              <w:right w:val="single" w:color="000000" w:sz="4" w:space="0"/>
            </w:tcBorders>
            <w:vAlign w:val="center"/>
          </w:tcPr>
          <w:p w14:paraId="679CC0F0">
            <w:pPr>
              <w:pStyle w:val="28"/>
              <w:bidi w:val="0"/>
            </w:pPr>
            <w:r>
              <w:t>跌水</w:t>
            </w:r>
          </w:p>
        </w:tc>
        <w:tc>
          <w:tcPr>
            <w:tcW w:w="595" w:type="pct"/>
            <w:tcBorders>
              <w:top w:val="single" w:color="000000" w:sz="4" w:space="0"/>
              <w:left w:val="single" w:color="000000" w:sz="4" w:space="0"/>
              <w:bottom w:val="single" w:color="000000" w:sz="4" w:space="0"/>
              <w:right w:val="single" w:color="000000" w:sz="4" w:space="0"/>
            </w:tcBorders>
            <w:vAlign w:val="center"/>
          </w:tcPr>
          <w:p w14:paraId="769BF5E1">
            <w:pPr>
              <w:pStyle w:val="28"/>
              <w:bidi w:val="0"/>
            </w:pPr>
            <w:r>
              <w:t>座</w:t>
            </w:r>
          </w:p>
        </w:tc>
        <w:tc>
          <w:tcPr>
            <w:tcW w:w="681" w:type="pct"/>
            <w:tcBorders>
              <w:top w:val="single" w:color="000000" w:sz="4" w:space="0"/>
              <w:left w:val="single" w:color="000000" w:sz="4" w:space="0"/>
              <w:bottom w:val="single" w:color="000000" w:sz="4" w:space="0"/>
              <w:right w:val="single" w:color="000000" w:sz="4" w:space="0"/>
            </w:tcBorders>
            <w:vAlign w:val="center"/>
          </w:tcPr>
          <w:p w14:paraId="2FA39F1D">
            <w:pPr>
              <w:pStyle w:val="28"/>
              <w:bidi w:val="0"/>
            </w:pPr>
            <w:r>
              <w:t>167</w:t>
            </w:r>
          </w:p>
        </w:tc>
        <w:tc>
          <w:tcPr>
            <w:tcW w:w="1697" w:type="pct"/>
            <w:tcBorders>
              <w:top w:val="single" w:color="000000" w:sz="4" w:space="0"/>
              <w:left w:val="single" w:color="000000" w:sz="4" w:space="0"/>
              <w:bottom w:val="single" w:color="000000" w:sz="4" w:space="0"/>
              <w:right w:val="single" w:color="000000" w:sz="4" w:space="0"/>
            </w:tcBorders>
            <w:vAlign w:val="center"/>
          </w:tcPr>
          <w:p w14:paraId="192CA16C">
            <w:pPr>
              <w:pStyle w:val="28"/>
              <w:bidi w:val="0"/>
            </w:pPr>
            <w:r>
              <w:t>/</w:t>
            </w:r>
          </w:p>
        </w:tc>
      </w:tr>
      <w:tr w14:paraId="5228FDD3">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28DEF99A">
            <w:pPr>
              <w:pStyle w:val="28"/>
              <w:bidi w:val="0"/>
            </w:pPr>
            <w:r>
              <w:t>10</w:t>
            </w:r>
          </w:p>
        </w:tc>
        <w:tc>
          <w:tcPr>
            <w:tcW w:w="1584" w:type="pct"/>
            <w:tcBorders>
              <w:top w:val="single" w:color="000000" w:sz="4" w:space="0"/>
              <w:left w:val="single" w:color="000000" w:sz="4" w:space="0"/>
              <w:bottom w:val="single" w:color="000000" w:sz="4" w:space="0"/>
              <w:right w:val="single" w:color="000000" w:sz="4" w:space="0"/>
            </w:tcBorders>
            <w:vAlign w:val="center"/>
          </w:tcPr>
          <w:p w14:paraId="0C2594AE">
            <w:pPr>
              <w:pStyle w:val="28"/>
              <w:bidi w:val="0"/>
            </w:pPr>
            <w:r>
              <w:t>倒虹吸</w:t>
            </w:r>
          </w:p>
        </w:tc>
        <w:tc>
          <w:tcPr>
            <w:tcW w:w="595" w:type="pct"/>
            <w:tcBorders>
              <w:top w:val="single" w:color="000000" w:sz="4" w:space="0"/>
              <w:left w:val="single" w:color="000000" w:sz="4" w:space="0"/>
              <w:bottom w:val="single" w:color="000000" w:sz="4" w:space="0"/>
              <w:right w:val="single" w:color="000000" w:sz="4" w:space="0"/>
            </w:tcBorders>
            <w:vAlign w:val="center"/>
          </w:tcPr>
          <w:p w14:paraId="296377B3">
            <w:pPr>
              <w:pStyle w:val="28"/>
              <w:bidi w:val="0"/>
            </w:pPr>
            <w:r>
              <w:t>座</w:t>
            </w:r>
          </w:p>
        </w:tc>
        <w:tc>
          <w:tcPr>
            <w:tcW w:w="681" w:type="pct"/>
            <w:tcBorders>
              <w:top w:val="single" w:color="000000" w:sz="4" w:space="0"/>
              <w:left w:val="single" w:color="000000" w:sz="4" w:space="0"/>
              <w:bottom w:val="single" w:color="000000" w:sz="4" w:space="0"/>
              <w:right w:val="single" w:color="000000" w:sz="4" w:space="0"/>
            </w:tcBorders>
            <w:vAlign w:val="center"/>
          </w:tcPr>
          <w:p w14:paraId="52E2100B">
            <w:pPr>
              <w:pStyle w:val="28"/>
              <w:bidi w:val="0"/>
            </w:pPr>
            <w:r>
              <w:t>2</w:t>
            </w:r>
          </w:p>
        </w:tc>
        <w:tc>
          <w:tcPr>
            <w:tcW w:w="1697" w:type="pct"/>
            <w:tcBorders>
              <w:top w:val="single" w:color="000000" w:sz="4" w:space="0"/>
              <w:left w:val="single" w:color="000000" w:sz="4" w:space="0"/>
              <w:bottom w:val="single" w:color="000000" w:sz="4" w:space="0"/>
              <w:right w:val="single" w:color="000000" w:sz="4" w:space="0"/>
            </w:tcBorders>
            <w:vAlign w:val="center"/>
          </w:tcPr>
          <w:p w14:paraId="548EF2D5">
            <w:pPr>
              <w:pStyle w:val="28"/>
              <w:bidi w:val="0"/>
            </w:pPr>
            <w:r>
              <w:t>/</w:t>
            </w:r>
          </w:p>
        </w:tc>
      </w:tr>
      <w:tr w14:paraId="57E36FB0">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64C47968">
            <w:pPr>
              <w:pStyle w:val="28"/>
              <w:bidi w:val="0"/>
            </w:pPr>
            <w:r>
              <w:t>11</w:t>
            </w:r>
          </w:p>
        </w:tc>
        <w:tc>
          <w:tcPr>
            <w:tcW w:w="1584" w:type="pct"/>
            <w:tcBorders>
              <w:top w:val="single" w:color="000000" w:sz="4" w:space="0"/>
              <w:left w:val="single" w:color="000000" w:sz="4" w:space="0"/>
              <w:bottom w:val="single" w:color="000000" w:sz="4" w:space="0"/>
              <w:right w:val="single" w:color="000000" w:sz="4" w:space="0"/>
            </w:tcBorders>
            <w:vAlign w:val="center"/>
          </w:tcPr>
          <w:p w14:paraId="23A9F38B">
            <w:pPr>
              <w:pStyle w:val="28"/>
              <w:bidi w:val="0"/>
            </w:pPr>
            <w:r>
              <w:t>过路涵</w:t>
            </w:r>
          </w:p>
        </w:tc>
        <w:tc>
          <w:tcPr>
            <w:tcW w:w="595" w:type="pct"/>
            <w:tcBorders>
              <w:top w:val="single" w:color="000000" w:sz="4" w:space="0"/>
              <w:left w:val="single" w:color="000000" w:sz="4" w:space="0"/>
              <w:bottom w:val="single" w:color="000000" w:sz="4" w:space="0"/>
              <w:right w:val="single" w:color="000000" w:sz="4" w:space="0"/>
            </w:tcBorders>
            <w:vAlign w:val="center"/>
          </w:tcPr>
          <w:p w14:paraId="273743F9">
            <w:pPr>
              <w:pStyle w:val="28"/>
              <w:bidi w:val="0"/>
            </w:pPr>
            <w:r>
              <w:t>座</w:t>
            </w:r>
          </w:p>
        </w:tc>
        <w:tc>
          <w:tcPr>
            <w:tcW w:w="681" w:type="pct"/>
            <w:tcBorders>
              <w:top w:val="single" w:color="000000" w:sz="4" w:space="0"/>
              <w:left w:val="single" w:color="000000" w:sz="4" w:space="0"/>
              <w:bottom w:val="single" w:color="000000" w:sz="4" w:space="0"/>
              <w:right w:val="single" w:color="000000" w:sz="4" w:space="0"/>
            </w:tcBorders>
            <w:vAlign w:val="center"/>
          </w:tcPr>
          <w:p w14:paraId="0FACCCED">
            <w:pPr>
              <w:pStyle w:val="28"/>
              <w:bidi w:val="0"/>
            </w:pPr>
            <w:r>
              <w:t>67</w:t>
            </w:r>
          </w:p>
        </w:tc>
        <w:tc>
          <w:tcPr>
            <w:tcW w:w="1697" w:type="pct"/>
            <w:tcBorders>
              <w:top w:val="single" w:color="000000" w:sz="4" w:space="0"/>
              <w:left w:val="single" w:color="000000" w:sz="4" w:space="0"/>
              <w:bottom w:val="single" w:color="000000" w:sz="4" w:space="0"/>
              <w:right w:val="single" w:color="000000" w:sz="4" w:space="0"/>
            </w:tcBorders>
            <w:vAlign w:val="center"/>
          </w:tcPr>
          <w:p w14:paraId="484587C5">
            <w:pPr>
              <w:pStyle w:val="28"/>
              <w:bidi w:val="0"/>
            </w:pPr>
            <w:r>
              <w:t>/</w:t>
            </w:r>
          </w:p>
        </w:tc>
      </w:tr>
      <w:tr w14:paraId="036DFC2B">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2E7D8796">
            <w:pPr>
              <w:pStyle w:val="28"/>
              <w:bidi w:val="0"/>
            </w:pPr>
            <w:r>
              <w:t>12</w:t>
            </w:r>
          </w:p>
        </w:tc>
        <w:tc>
          <w:tcPr>
            <w:tcW w:w="1584" w:type="pct"/>
            <w:tcBorders>
              <w:top w:val="single" w:color="000000" w:sz="4" w:space="0"/>
              <w:left w:val="single" w:color="000000" w:sz="4" w:space="0"/>
              <w:bottom w:val="single" w:color="000000" w:sz="4" w:space="0"/>
              <w:right w:val="single" w:color="000000" w:sz="4" w:space="0"/>
            </w:tcBorders>
            <w:vAlign w:val="center"/>
          </w:tcPr>
          <w:p w14:paraId="5D2D4EE6">
            <w:pPr>
              <w:pStyle w:val="28"/>
              <w:bidi w:val="0"/>
            </w:pPr>
            <w:r>
              <w:t>暗涵</w:t>
            </w:r>
          </w:p>
        </w:tc>
        <w:tc>
          <w:tcPr>
            <w:tcW w:w="595" w:type="pct"/>
            <w:tcBorders>
              <w:top w:val="single" w:color="000000" w:sz="4" w:space="0"/>
              <w:left w:val="single" w:color="000000" w:sz="4" w:space="0"/>
              <w:bottom w:val="single" w:color="000000" w:sz="4" w:space="0"/>
              <w:right w:val="single" w:color="000000" w:sz="4" w:space="0"/>
            </w:tcBorders>
            <w:vAlign w:val="center"/>
          </w:tcPr>
          <w:p w14:paraId="04B84843">
            <w:pPr>
              <w:pStyle w:val="28"/>
              <w:bidi w:val="0"/>
            </w:pPr>
            <w:r>
              <w:t>座</w:t>
            </w:r>
          </w:p>
        </w:tc>
        <w:tc>
          <w:tcPr>
            <w:tcW w:w="681" w:type="pct"/>
            <w:tcBorders>
              <w:top w:val="single" w:color="000000" w:sz="4" w:space="0"/>
              <w:left w:val="single" w:color="000000" w:sz="4" w:space="0"/>
              <w:bottom w:val="single" w:color="000000" w:sz="4" w:space="0"/>
              <w:right w:val="single" w:color="000000" w:sz="4" w:space="0"/>
            </w:tcBorders>
            <w:vAlign w:val="center"/>
          </w:tcPr>
          <w:p w14:paraId="77C5EDF6">
            <w:pPr>
              <w:pStyle w:val="28"/>
              <w:bidi w:val="0"/>
            </w:pPr>
            <w:r>
              <w:t>2</w:t>
            </w:r>
          </w:p>
        </w:tc>
        <w:tc>
          <w:tcPr>
            <w:tcW w:w="1697" w:type="pct"/>
            <w:tcBorders>
              <w:top w:val="single" w:color="000000" w:sz="4" w:space="0"/>
              <w:left w:val="single" w:color="000000" w:sz="4" w:space="0"/>
              <w:bottom w:val="single" w:color="000000" w:sz="4" w:space="0"/>
              <w:right w:val="single" w:color="000000" w:sz="4" w:space="0"/>
            </w:tcBorders>
            <w:vAlign w:val="center"/>
          </w:tcPr>
          <w:p w14:paraId="0A19D0B3">
            <w:pPr>
              <w:pStyle w:val="28"/>
              <w:bidi w:val="0"/>
            </w:pPr>
            <w:r>
              <w:t>/</w:t>
            </w:r>
          </w:p>
        </w:tc>
      </w:tr>
      <w:tr w14:paraId="3664704F">
        <w:tblPrEx>
          <w:tblCellMar>
            <w:top w:w="0" w:type="dxa"/>
            <w:left w:w="108" w:type="dxa"/>
            <w:bottom w:w="0" w:type="dxa"/>
            <w:right w:w="108" w:type="dxa"/>
          </w:tblCellMar>
        </w:tblPrEx>
        <w:trPr>
          <w:trHeight w:val="340" w:hRule="atLeast"/>
          <w:jc w:val="center"/>
        </w:trPr>
        <w:tc>
          <w:tcPr>
            <w:tcW w:w="857" w:type="dxa"/>
            <w:tcBorders>
              <w:top w:val="single" w:color="000000" w:sz="4" w:space="0"/>
              <w:left w:val="single" w:color="000000" w:sz="4" w:space="0"/>
              <w:bottom w:val="single" w:color="000000" w:sz="4" w:space="0"/>
              <w:right w:val="single" w:color="000000" w:sz="4" w:space="0"/>
            </w:tcBorders>
            <w:vAlign w:val="center"/>
          </w:tcPr>
          <w:p w14:paraId="75CC3CC6">
            <w:pPr>
              <w:pStyle w:val="28"/>
              <w:bidi w:val="0"/>
            </w:pPr>
            <w:r>
              <w:t>13</w:t>
            </w:r>
          </w:p>
        </w:tc>
        <w:tc>
          <w:tcPr>
            <w:tcW w:w="1584" w:type="pct"/>
            <w:tcBorders>
              <w:top w:val="single" w:color="000000" w:sz="4" w:space="0"/>
              <w:left w:val="single" w:color="000000" w:sz="4" w:space="0"/>
              <w:bottom w:val="single" w:color="000000" w:sz="4" w:space="0"/>
              <w:right w:val="single" w:color="000000" w:sz="4" w:space="0"/>
            </w:tcBorders>
            <w:vAlign w:val="center"/>
          </w:tcPr>
          <w:p w14:paraId="719447CB">
            <w:pPr>
              <w:pStyle w:val="28"/>
              <w:bidi w:val="0"/>
            </w:pPr>
            <w:r>
              <w:t>泵站</w:t>
            </w:r>
          </w:p>
        </w:tc>
        <w:tc>
          <w:tcPr>
            <w:tcW w:w="595" w:type="pct"/>
            <w:tcBorders>
              <w:top w:val="single" w:color="000000" w:sz="4" w:space="0"/>
              <w:left w:val="single" w:color="000000" w:sz="4" w:space="0"/>
              <w:bottom w:val="single" w:color="000000" w:sz="4" w:space="0"/>
              <w:right w:val="single" w:color="000000" w:sz="4" w:space="0"/>
            </w:tcBorders>
            <w:vAlign w:val="center"/>
          </w:tcPr>
          <w:p w14:paraId="6A6A235C">
            <w:pPr>
              <w:pStyle w:val="28"/>
              <w:bidi w:val="0"/>
            </w:pPr>
            <w:r>
              <w:t>座</w:t>
            </w:r>
          </w:p>
        </w:tc>
        <w:tc>
          <w:tcPr>
            <w:tcW w:w="681" w:type="pct"/>
            <w:tcBorders>
              <w:top w:val="single" w:color="000000" w:sz="4" w:space="0"/>
              <w:left w:val="single" w:color="000000" w:sz="4" w:space="0"/>
              <w:bottom w:val="single" w:color="000000" w:sz="4" w:space="0"/>
              <w:right w:val="single" w:color="000000" w:sz="4" w:space="0"/>
            </w:tcBorders>
            <w:vAlign w:val="center"/>
          </w:tcPr>
          <w:p w14:paraId="3148CBD5">
            <w:pPr>
              <w:pStyle w:val="28"/>
              <w:bidi w:val="0"/>
            </w:pPr>
            <w:r>
              <w:t>1</w:t>
            </w:r>
          </w:p>
        </w:tc>
        <w:tc>
          <w:tcPr>
            <w:tcW w:w="1697" w:type="pct"/>
            <w:tcBorders>
              <w:top w:val="single" w:color="000000" w:sz="4" w:space="0"/>
              <w:left w:val="single" w:color="000000" w:sz="4" w:space="0"/>
              <w:bottom w:val="single" w:color="000000" w:sz="4" w:space="0"/>
              <w:right w:val="single" w:color="000000" w:sz="4" w:space="0"/>
            </w:tcBorders>
            <w:vAlign w:val="center"/>
          </w:tcPr>
          <w:p w14:paraId="7949DE67">
            <w:pPr>
              <w:pStyle w:val="28"/>
              <w:bidi w:val="0"/>
            </w:pPr>
            <w:r>
              <w:t>/</w:t>
            </w:r>
          </w:p>
        </w:tc>
      </w:tr>
    </w:tbl>
    <w:p w14:paraId="3CD89C7C">
      <w:pPr>
        <w:ind w:firstLine="480"/>
        <w:rPr>
          <w:rFonts w:cs="Times New Roman"/>
          <w:color w:val="0000FF"/>
        </w:rPr>
        <w:sectPr>
          <w:pgSz w:w="11905" w:h="16838"/>
          <w:pgMar w:top="1417" w:right="1417" w:bottom="1417" w:left="1417" w:header="850" w:footer="850" w:gutter="0"/>
          <w:pgNumType w:fmt="decimal"/>
          <w:cols w:space="0" w:num="1"/>
          <w:rtlGutter w:val="0"/>
          <w:docGrid w:linePitch="326" w:charSpace="0"/>
        </w:sectPr>
      </w:pPr>
    </w:p>
    <w:p w14:paraId="64295FD7">
      <w:pPr>
        <w:pStyle w:val="2"/>
        <w:bidi w:val="0"/>
      </w:pPr>
      <w:bookmarkStart w:id="33" w:name="_Toc27325"/>
      <w:r>
        <w:t>3 建设项目工程分析</w:t>
      </w:r>
      <w:bookmarkEnd w:id="33"/>
    </w:p>
    <w:p w14:paraId="58A4CDB5">
      <w:pPr>
        <w:pStyle w:val="3"/>
        <w:bidi w:val="0"/>
      </w:pPr>
      <w:bookmarkStart w:id="34" w:name="_Toc8362"/>
      <w:r>
        <w:t>3.1 环境合理性分析</w:t>
      </w:r>
      <w:bookmarkEnd w:id="34"/>
    </w:p>
    <w:p w14:paraId="1A0590E1">
      <w:pPr>
        <w:pStyle w:val="4"/>
        <w:bidi w:val="0"/>
      </w:pPr>
      <w:r>
        <w:t>3.1.1 主体工程方案环境合理性分析</w:t>
      </w:r>
    </w:p>
    <w:p w14:paraId="612C2280">
      <w:pPr>
        <w:pStyle w:val="5"/>
        <w:bidi w:val="0"/>
      </w:pPr>
      <w:r>
        <w:rPr>
          <w:rFonts w:hint="eastAsia"/>
        </w:rPr>
        <w:t>3.1.1.1 工程整体环境合理分析</w:t>
      </w:r>
    </w:p>
    <w:p w14:paraId="3D71FF04">
      <w:pPr>
        <w:ind w:firstLine="480" w:firstLineChars="200"/>
        <w:rPr>
          <w:rFonts w:cs="Times New Roman"/>
          <w:color w:val="0000FF"/>
        </w:rPr>
      </w:pPr>
      <w:r>
        <w:rPr>
          <w:rFonts w:cs="Times New Roman"/>
          <w:color w:val="0000FF"/>
        </w:rPr>
        <w:t>根据工程初步设计报告，本次工程包括32个子项目。</w:t>
      </w:r>
    </w:p>
    <w:p w14:paraId="3FBC6F4A">
      <w:pPr>
        <w:ind w:firstLine="480" w:firstLineChars="200"/>
        <w:rPr>
          <w:rFonts w:cs="Times New Roman"/>
          <w:color w:val="0000FF"/>
        </w:rPr>
      </w:pPr>
      <w:r>
        <w:rPr>
          <w:rFonts w:cs="Times New Roman"/>
          <w:color w:val="0000FF"/>
        </w:rPr>
        <w:t>（1）淠河灌区</w:t>
      </w:r>
    </w:p>
    <w:p w14:paraId="0A33227C">
      <w:pPr>
        <w:ind w:firstLine="480" w:firstLineChars="200"/>
        <w:rPr>
          <w:rFonts w:cs="Times New Roman"/>
          <w:color w:val="0000FF"/>
        </w:rPr>
      </w:pPr>
      <w:r>
        <w:rPr>
          <w:rFonts w:cs="Times New Roman"/>
          <w:color w:val="0000FF"/>
        </w:rPr>
        <w:t>淠河灌区工程主要是：渠道整治和渠系建筑物改造工程，包括新建2座节制闸、2座进水闸、111座跌水、17座过路涵以及1处暗涵；拆除重建18座节制闸、29座进水闸、363座放水涵、9座泄洪闸、27座渠下涵、8处跌水、81座机耕桥、16座人行桥、4座过路涵、1座暗涵，维修加固3座节制闸、19座进水闸、190座放水涵、1座泄洪闸、3座渠下涵、10处跌水、1处倒虹吸、3座机耕桥、3座机耕桥等。</w:t>
      </w:r>
    </w:p>
    <w:p w14:paraId="5E71143F">
      <w:pPr>
        <w:ind w:firstLine="480" w:firstLineChars="200"/>
        <w:rPr>
          <w:rFonts w:cs="Times New Roman"/>
          <w:color w:val="0000FF"/>
        </w:rPr>
      </w:pPr>
      <w:r>
        <w:rPr>
          <w:rFonts w:cs="Times New Roman"/>
          <w:color w:val="0000FF"/>
        </w:rPr>
        <w:t>（2）史河灌区</w:t>
      </w:r>
    </w:p>
    <w:p w14:paraId="41B7CFE1">
      <w:pPr>
        <w:ind w:firstLine="480" w:firstLineChars="200"/>
        <w:rPr>
          <w:rFonts w:cs="Times New Roman"/>
          <w:color w:val="0000FF"/>
        </w:rPr>
      </w:pPr>
      <w:r>
        <w:rPr>
          <w:rFonts w:cs="Times New Roman"/>
          <w:color w:val="0000FF"/>
        </w:rPr>
        <w:t>史河灌区工程主要是：渠道整治和渠系建筑物改造工程，包括新建1座放水涵、10处跌水、1座机耕桥，拆除重建4座节制闸、10座进水闸、114座放水涵、4座泄洪闸、12座渠下涵、28座机耕桥、2座过路涵、座暗涵、166座放水涵、3座泄洪闸、7座渠下涵、3座渡槽、50座机耕桥、4座人行桥，维修加固1座节制闸、2座进水闸、34座放水涵、1座泄洪闸等。</w:t>
      </w:r>
    </w:p>
    <w:p w14:paraId="7DBEBE49">
      <w:pPr>
        <w:ind w:firstLine="480" w:firstLineChars="200"/>
        <w:rPr>
          <w:rFonts w:cs="Times New Roman"/>
          <w:color w:val="0000FF"/>
        </w:rPr>
      </w:pPr>
      <w:r>
        <w:rPr>
          <w:rFonts w:cs="Times New Roman"/>
          <w:color w:val="0000FF"/>
        </w:rPr>
        <w:t>（3）杭埠河灌区</w:t>
      </w:r>
    </w:p>
    <w:p w14:paraId="3721564E">
      <w:pPr>
        <w:ind w:firstLine="480" w:firstLineChars="200"/>
        <w:rPr>
          <w:rFonts w:cs="Times New Roman"/>
          <w:color w:val="0000FF"/>
        </w:rPr>
      </w:pPr>
      <w:r>
        <w:rPr>
          <w:rFonts w:cs="Times New Roman"/>
          <w:color w:val="0000FF"/>
        </w:rPr>
        <w:t>杭埠河灌区工程主要是：渠道整治和渠系建筑物改造工程，包括新建5座节制闸、1处跌水、1处渡槽、1座机耕桥、3座人行桥、16个过路涵，拆除重建6座节制闸、4座进水闸、144座放水涵、5座泄洪闸、16处跌水、18座渡槽、60座机耕桥、33座人行桥、21座过路涵，维修加固1座进水闸、2座放水涵、1座泄洪闸、11处跌水、1座倒虹吸、19座机耕桥、5座人行桥、7座过路涵等。</w:t>
      </w:r>
    </w:p>
    <w:p w14:paraId="0AF5335C">
      <w:pPr>
        <w:ind w:firstLine="480" w:firstLineChars="200"/>
        <w:rPr>
          <w:rFonts w:cs="Times New Roman"/>
          <w:color w:val="0000FF"/>
        </w:rPr>
      </w:pPr>
      <w:r>
        <w:rPr>
          <w:rFonts w:cs="Times New Roman"/>
          <w:color w:val="0000FF"/>
        </w:rPr>
        <w:t>工程无新增管理范围外永久占地，防汛道路均沿现有堤线；渠道建筑物均为原址拆除重建或加固工程，新建节制闸、跨区渡槽、桥梁、涵洞等均位于现有渠道及管理范围内，工程设计已减少拆迁和占地，从环境影响角度分析，工程总体布置合理。工程设计考虑减少拆迁和占地，从环境影响角度分析，工程总体布置合理。</w:t>
      </w:r>
    </w:p>
    <w:p w14:paraId="455D994B">
      <w:pPr>
        <w:pStyle w:val="5"/>
        <w:rPr>
          <w:rFonts w:cs="Times New Roman"/>
          <w:color w:val="0000FF"/>
        </w:rPr>
      </w:pPr>
      <w:r>
        <w:rPr>
          <w:rFonts w:hint="eastAsia"/>
          <w:color w:val="0000FF"/>
        </w:rPr>
        <w:t>3.1.1.2 涉及饮用水水源工程合理性分析</w:t>
      </w:r>
    </w:p>
    <w:p w14:paraId="397E37D0">
      <w:pPr>
        <w:ind w:firstLine="480" w:firstLineChars="200"/>
        <w:rPr>
          <w:rFonts w:cs="Times New Roman"/>
          <w:color w:val="0000FF"/>
        </w:rPr>
      </w:pPr>
      <w:r>
        <w:rPr>
          <w:rFonts w:hint="eastAsia" w:cs="Times New Roman"/>
          <w:color w:val="0000FF"/>
        </w:rPr>
        <w:t>本项目不涉及饮用水水源保护区。</w:t>
      </w:r>
    </w:p>
    <w:p w14:paraId="243D9359">
      <w:pPr>
        <w:pStyle w:val="5"/>
        <w:rPr>
          <w:rFonts w:cs="Times New Roman"/>
          <w:color w:val="0000FF"/>
        </w:rPr>
      </w:pPr>
      <w:r>
        <w:rPr>
          <w:rFonts w:hint="eastAsia"/>
          <w:color w:val="0000FF"/>
        </w:rPr>
        <w:t>3.1.1.3 涉及生态红线工程合理性分析</w:t>
      </w:r>
    </w:p>
    <w:p w14:paraId="7B01B36F">
      <w:pPr>
        <w:ind w:firstLine="480" w:firstLineChars="200"/>
        <w:rPr>
          <w:rFonts w:cs="Times New Roman"/>
          <w:color w:val="0000FF"/>
        </w:rPr>
      </w:pPr>
      <w:r>
        <w:rPr>
          <w:rFonts w:cs="Times New Roman"/>
          <w:color w:val="0000FF"/>
        </w:rPr>
        <w:t>根据工程设计，</w:t>
      </w:r>
      <w:r>
        <w:rPr>
          <w:rFonts w:hint="eastAsia" w:cs="Times New Roman"/>
          <w:color w:val="0000FF"/>
        </w:rPr>
        <w:t>本项目不</w:t>
      </w:r>
      <w:r>
        <w:rPr>
          <w:rFonts w:cs="Times New Roman"/>
          <w:color w:val="0000FF"/>
        </w:rPr>
        <w:t>涉及生态红线</w:t>
      </w:r>
      <w:r>
        <w:rPr>
          <w:rFonts w:hint="eastAsia" w:cs="Times New Roman"/>
          <w:color w:val="0000FF"/>
        </w:rPr>
        <w:t>，</w:t>
      </w:r>
      <w:r>
        <w:rPr>
          <w:rFonts w:cs="Times New Roman"/>
          <w:color w:val="0000FF"/>
        </w:rPr>
        <w:t>本工程在原址对渠道及渠系建筑物进行修复、拆除重建等，对周边生态环境、水土流失影响较小，工程方案具有环境合理性。</w:t>
      </w:r>
    </w:p>
    <w:p w14:paraId="3565A751">
      <w:pPr>
        <w:pStyle w:val="5"/>
        <w:rPr>
          <w:rFonts w:cs="Times New Roman"/>
          <w:color w:val="0000FF"/>
        </w:rPr>
      </w:pPr>
      <w:r>
        <w:rPr>
          <w:rFonts w:hint="eastAsia"/>
          <w:color w:val="0000FF"/>
        </w:rPr>
        <w:t>3.1.1.4 涉及其他生态敏感区工程合理性分析</w:t>
      </w:r>
    </w:p>
    <w:p w14:paraId="552B0343">
      <w:pPr>
        <w:ind w:firstLine="480" w:firstLineChars="200"/>
        <w:rPr>
          <w:rFonts w:cs="Times New Roman"/>
          <w:color w:val="0000FF"/>
        </w:rPr>
      </w:pPr>
      <w:r>
        <w:rPr>
          <w:rFonts w:hint="eastAsia" w:cs="Times New Roman"/>
          <w:color w:val="0000FF"/>
        </w:rPr>
        <w:t>横排头进水闸出口翼墙加固工程距离最近，距离约为73m，工程原址进行加固改造，不占用；</w:t>
      </w:r>
    </w:p>
    <w:p w14:paraId="388DEB77">
      <w:pPr>
        <w:ind w:firstLine="480" w:firstLineChars="200"/>
        <w:rPr>
          <w:rFonts w:cs="Times New Roman"/>
          <w:color w:val="0000FF"/>
        </w:rPr>
      </w:pPr>
      <w:r>
        <w:rPr>
          <w:rFonts w:hint="eastAsia" w:cs="Times New Roman"/>
          <w:color w:val="0000FF"/>
        </w:rPr>
        <w:t>聚星渡槽改造工程距离紫蓬山国家森林公园约为533m，工程原址对1988年建设的渡槽进行原址拆除重建，不占用紫蓬山国家森林公园；</w:t>
      </w:r>
    </w:p>
    <w:p w14:paraId="3EE6EF30">
      <w:pPr>
        <w:ind w:firstLine="480" w:firstLineChars="200"/>
        <w:rPr>
          <w:rFonts w:cs="Times New Roman"/>
          <w:color w:val="0000FF"/>
        </w:rPr>
      </w:pPr>
      <w:r>
        <w:rPr>
          <w:rFonts w:hint="eastAsia" w:cs="Times New Roman"/>
          <w:color w:val="0000FF"/>
        </w:rPr>
        <w:t>老聚星渡槽为县级文物，本次工程对其进行保留，改造1988年建设的渡槽实施后，老渡槽不再担任输水任务，有利于文物的保护；</w:t>
      </w:r>
    </w:p>
    <w:p w14:paraId="71F09987">
      <w:pPr>
        <w:ind w:firstLine="480" w:firstLineChars="200"/>
        <w:rPr>
          <w:rFonts w:cs="Times New Roman"/>
          <w:color w:val="0000FF"/>
        </w:rPr>
      </w:pPr>
      <w:r>
        <w:rPr>
          <w:rFonts w:hint="eastAsia" w:cs="Times New Roman"/>
          <w:color w:val="0000FF"/>
        </w:rPr>
        <w:t>聚星渡槽位于内，工程沿用原渡槽设计风格，老化的渡槽拆除重建后，景区景观有所改善；</w:t>
      </w:r>
    </w:p>
    <w:p w14:paraId="4C55411B">
      <w:pPr>
        <w:ind w:firstLine="480" w:firstLineChars="200"/>
        <w:rPr>
          <w:rFonts w:cs="Times New Roman"/>
          <w:color w:val="0000FF"/>
        </w:rPr>
      </w:pPr>
      <w:r>
        <w:rPr>
          <w:rFonts w:hint="eastAsia" w:cs="Times New Roman"/>
          <w:color w:val="0000FF"/>
        </w:rPr>
        <w:t>淠东干渠渠道工程、堰口分干渠渠道工程属于文物的改造工程，渠系建筑物工程位于文物保护范围内，工程对老化损毁的渠系建筑物进行改造，对渠道进行清淤、护砌等整治，有利于保护文物，改善文物的使用功能。</w:t>
      </w:r>
    </w:p>
    <w:p w14:paraId="7C4F206A">
      <w:pPr>
        <w:ind w:firstLine="480" w:firstLineChars="200"/>
        <w:rPr>
          <w:rFonts w:cs="Times New Roman"/>
          <w:color w:val="0000FF"/>
        </w:rPr>
      </w:pPr>
      <w:r>
        <w:rPr>
          <w:rFonts w:hint="eastAsia" w:cs="Times New Roman"/>
          <w:color w:val="0000FF"/>
        </w:rPr>
        <w:t>综上，本项目工程布置具有环境合理性。</w:t>
      </w:r>
    </w:p>
    <w:p w14:paraId="641ECEE0">
      <w:pPr>
        <w:pStyle w:val="4"/>
        <w:bidi w:val="0"/>
      </w:pPr>
      <w:r>
        <w:t>3.1.2 施工布置方案环境合理性分析</w:t>
      </w:r>
    </w:p>
    <w:p w14:paraId="276C7F11">
      <w:pPr>
        <w:ind w:firstLine="480" w:firstLineChars="200"/>
        <w:rPr>
          <w:color w:val="0000FF"/>
        </w:rPr>
      </w:pPr>
      <w:r>
        <w:rPr>
          <w:rFonts w:hint="eastAsia"/>
          <w:color w:val="0000FF"/>
        </w:rPr>
        <w:t>施工布置包括施工营地、取土场、弃土场、取弃土场等，施工布置占地均为临时占地，据估算约为167.15hm</w:t>
      </w:r>
      <w:r>
        <w:rPr>
          <w:rFonts w:hint="eastAsia"/>
          <w:color w:val="0000FF"/>
          <w:vertAlign w:val="superscript"/>
        </w:rPr>
        <w:t>2</w:t>
      </w:r>
      <w:r>
        <w:rPr>
          <w:rFonts w:hint="eastAsia"/>
          <w:color w:val="0000FF"/>
        </w:rPr>
        <w:t>。</w:t>
      </w:r>
    </w:p>
    <w:p w14:paraId="2B7501B1">
      <w:pPr>
        <w:pStyle w:val="5"/>
        <w:rPr>
          <w:color w:val="0000FF"/>
        </w:rPr>
      </w:pPr>
      <w:r>
        <w:rPr>
          <w:rFonts w:hint="eastAsia"/>
          <w:color w:val="0000FF"/>
        </w:rPr>
        <w:t>3.1.2.1 施工布置原则及环保要求</w:t>
      </w:r>
    </w:p>
    <w:p w14:paraId="08305F19">
      <w:pPr>
        <w:ind w:firstLine="480" w:firstLineChars="200"/>
        <w:rPr>
          <w:color w:val="0000FF"/>
        </w:rPr>
      </w:pPr>
      <w:r>
        <w:rPr>
          <w:rFonts w:hint="eastAsia"/>
          <w:color w:val="0000FF"/>
        </w:rPr>
        <w:t>（1）本工程施工战线较长，范围广，土方挖填分布不均，工区布置时应尽量减少各工区间的土方调配交叉。</w:t>
      </w:r>
    </w:p>
    <w:p w14:paraId="6DF3F062">
      <w:pPr>
        <w:ind w:firstLine="480" w:firstLineChars="200"/>
        <w:rPr>
          <w:color w:val="0000FF"/>
        </w:rPr>
      </w:pPr>
      <w:r>
        <w:rPr>
          <w:rFonts w:hint="eastAsia"/>
          <w:color w:val="0000FF"/>
        </w:rPr>
        <w:t>（2）规模较大和相对独立的建筑物可单独进行施工布置，其他建筑物施工与渠道统一布置。</w:t>
      </w:r>
    </w:p>
    <w:p w14:paraId="6DB6978C">
      <w:pPr>
        <w:ind w:firstLine="480" w:firstLineChars="200"/>
        <w:rPr>
          <w:color w:val="0000FF"/>
        </w:rPr>
      </w:pPr>
      <w:r>
        <w:rPr>
          <w:rFonts w:hint="eastAsia"/>
          <w:color w:val="0000FF"/>
        </w:rPr>
        <w:t>（3）施工布置时充分利用附近城镇已有的服务设施和机械加工修理设施，生活办公设施应充分利用附近乡村闲置房屋。</w:t>
      </w:r>
    </w:p>
    <w:p w14:paraId="0A5D7515">
      <w:pPr>
        <w:ind w:firstLine="480" w:firstLineChars="200"/>
        <w:rPr>
          <w:color w:val="0000FF"/>
        </w:rPr>
      </w:pPr>
      <w:r>
        <w:rPr>
          <w:rFonts w:hint="eastAsia"/>
          <w:color w:val="0000FF"/>
        </w:rPr>
        <w:t>（4）取土场、弃土场、取弃土场</w:t>
      </w:r>
      <w:r>
        <w:rPr>
          <w:rFonts w:cs="Times New Roman"/>
          <w:color w:val="0000FF"/>
        </w:rPr>
        <w:t>避让饮用</w:t>
      </w:r>
      <w:r>
        <w:rPr>
          <w:rFonts w:hint="eastAsia" w:cs="Times New Roman"/>
          <w:color w:val="0000FF"/>
        </w:rPr>
        <w:t>水水源保护区、、文物保护范围等</w:t>
      </w:r>
      <w:r>
        <w:rPr>
          <w:rFonts w:cs="Times New Roman"/>
          <w:color w:val="0000FF"/>
        </w:rPr>
        <w:t>。</w:t>
      </w:r>
    </w:p>
    <w:p w14:paraId="0E2BC50B">
      <w:pPr>
        <w:ind w:firstLine="480" w:firstLineChars="200"/>
        <w:rPr>
          <w:color w:val="0000FF"/>
        </w:rPr>
      </w:pPr>
      <w:r>
        <w:rPr>
          <w:rFonts w:hint="eastAsia"/>
          <w:color w:val="0000FF"/>
        </w:rPr>
        <w:t>（5）弃土场、取弃土场</w:t>
      </w:r>
      <w:r>
        <w:rPr>
          <w:rFonts w:cs="Times New Roman"/>
          <w:color w:val="0000FF"/>
        </w:rPr>
        <w:t>尽可能远离生活区，运输弃土的临时施工道路尽可能绕过村镇，远离学校、医院等人群集散区，减免施工期间对当地老百姓生活造成干扰。</w:t>
      </w:r>
    </w:p>
    <w:p w14:paraId="081DE9F3">
      <w:pPr>
        <w:ind w:firstLine="480" w:firstLineChars="200"/>
        <w:rPr>
          <w:color w:val="0000FF"/>
        </w:rPr>
      </w:pPr>
      <w:r>
        <w:rPr>
          <w:rFonts w:hint="eastAsia"/>
          <w:color w:val="0000FF"/>
        </w:rPr>
        <w:t>（6）</w:t>
      </w:r>
      <w:r>
        <w:rPr>
          <w:rFonts w:cs="Times New Roman"/>
          <w:color w:val="0000FF"/>
        </w:rPr>
        <w:t>优先选择地势低洼、少拆迁、不影响灌溉水系的就近区域，或者优先选用旱地，特别是首先利用提水灌溉旱地，充分考虑弃渣土场的后期再利用</w:t>
      </w:r>
      <w:r>
        <w:rPr>
          <w:rFonts w:hint="eastAsia" w:cs="Times New Roman"/>
          <w:color w:val="0000FF"/>
        </w:rPr>
        <w:t>，少占用耕地</w:t>
      </w:r>
      <w:r>
        <w:rPr>
          <w:rFonts w:cs="Times New Roman"/>
          <w:color w:val="0000FF"/>
        </w:rPr>
        <w:t>。</w:t>
      </w:r>
    </w:p>
    <w:p w14:paraId="54B82C6F">
      <w:pPr>
        <w:ind w:firstLine="480" w:firstLineChars="200"/>
        <w:rPr>
          <w:color w:val="0000FF"/>
        </w:rPr>
      </w:pPr>
      <w:r>
        <w:rPr>
          <w:rFonts w:hint="eastAsia"/>
          <w:color w:val="0000FF"/>
        </w:rPr>
        <w:t>（7）取土场布</w:t>
      </w:r>
      <w:r>
        <w:rPr>
          <w:rFonts w:cs="Times New Roman"/>
          <w:color w:val="0000FF"/>
        </w:rPr>
        <w:t>置不得影响附近建构物稳定、变形，尤其是切岭段弃渣土场根据堆高确定距开挖边坡距离，弃渣土场边距开挖边坡距离不小于渠道挖深值。</w:t>
      </w:r>
    </w:p>
    <w:p w14:paraId="735407C6">
      <w:pPr>
        <w:ind w:firstLine="480" w:firstLineChars="200"/>
        <w:rPr>
          <w:color w:val="0000FF"/>
        </w:rPr>
      </w:pPr>
    </w:p>
    <w:p w14:paraId="04BC639D">
      <w:pPr>
        <w:pStyle w:val="5"/>
        <w:rPr>
          <w:rFonts w:cs="Times New Roman"/>
          <w:color w:val="0000FF"/>
        </w:rPr>
      </w:pPr>
      <w:r>
        <w:rPr>
          <w:rFonts w:cs="Times New Roman"/>
          <w:color w:val="0000FF"/>
        </w:rPr>
        <w:t>3.1.2.</w:t>
      </w:r>
      <w:r>
        <w:rPr>
          <w:rFonts w:hint="eastAsia" w:cs="Times New Roman"/>
          <w:color w:val="0000FF"/>
        </w:rPr>
        <w:t>2</w:t>
      </w:r>
      <w:r>
        <w:rPr>
          <w:rFonts w:cs="Times New Roman"/>
          <w:color w:val="0000FF"/>
        </w:rPr>
        <w:t xml:space="preserve"> 取土</w:t>
      </w:r>
      <w:r>
        <w:rPr>
          <w:rFonts w:hint="eastAsia" w:cs="Times New Roman"/>
          <w:color w:val="0000FF"/>
        </w:rPr>
        <w:t>场</w:t>
      </w:r>
      <w:r>
        <w:rPr>
          <w:rFonts w:cs="Times New Roman"/>
          <w:color w:val="0000FF"/>
        </w:rPr>
        <w:t>环境合理性分析</w:t>
      </w:r>
    </w:p>
    <w:p w14:paraId="429F6BBE">
      <w:pPr>
        <w:ind w:firstLine="480" w:firstLineChars="200"/>
        <w:rPr>
          <w:color w:val="0000FF"/>
        </w:rPr>
      </w:pPr>
      <w:r>
        <w:rPr>
          <w:rFonts w:hint="eastAsia"/>
          <w:color w:val="0000FF"/>
        </w:rPr>
        <w:t>工程设置27个取弃结合的取弃土场，通过取弃结合，减少了大量取土场占地，经优化调整，工程仅设置2个单独的取土场，分别为淠杭干渠工程1#取土场、姚李支渠工程2#取土场，占地合计1.75hm</w:t>
      </w:r>
      <w:r>
        <w:rPr>
          <w:rFonts w:hint="eastAsia"/>
          <w:color w:val="0000FF"/>
          <w:vertAlign w:val="superscript"/>
        </w:rPr>
        <w:t>2</w:t>
      </w:r>
      <w:r>
        <w:rPr>
          <w:rFonts w:hint="eastAsia"/>
          <w:color w:val="0000FF"/>
        </w:rPr>
        <w:t>。</w:t>
      </w:r>
    </w:p>
    <w:p w14:paraId="21D42CC5">
      <w:pPr>
        <w:ind w:firstLine="480" w:firstLineChars="200"/>
        <w:rPr>
          <w:color w:val="0000FF"/>
        </w:rPr>
      </w:pPr>
      <w:r>
        <w:rPr>
          <w:rFonts w:hint="eastAsia"/>
          <w:color w:val="0000FF"/>
        </w:rPr>
        <w:t>取土场的选址避开居民区、生态保护红线、基本农田保护区、饮用水水源保护区、、紫蓬山国家森林公园、、文物保护范围等环境敏感区；取土场的选址遵循“少占压耕地，少破坏水土保持设施”的原则，取土场的设置严格按照技术规范的要求，设置有效的水土保持措施，取土结束后应对取土场进行生态恢复，恢复为耕地或林草地。</w:t>
      </w:r>
    </w:p>
    <w:p w14:paraId="578DB3A5">
      <w:pPr>
        <w:ind w:firstLine="480" w:firstLineChars="200"/>
        <w:rPr>
          <w:color w:val="0000FF"/>
        </w:rPr>
      </w:pPr>
      <w:r>
        <w:rPr>
          <w:rFonts w:hint="eastAsia"/>
          <w:color w:val="0000FF"/>
        </w:rPr>
        <w:t>因此，本工程取土场设置具有环境合理性。</w:t>
      </w:r>
    </w:p>
    <w:p w14:paraId="63EC9D9A">
      <w:pPr>
        <w:pStyle w:val="5"/>
        <w:rPr>
          <w:rFonts w:cs="Times New Roman"/>
          <w:color w:val="0000FF"/>
        </w:rPr>
      </w:pPr>
      <w:r>
        <w:rPr>
          <w:rFonts w:hint="eastAsia" w:cs="Times New Roman"/>
          <w:color w:val="0000FF"/>
        </w:rPr>
        <w:t xml:space="preserve">3.1.2.3 </w:t>
      </w:r>
      <w:r>
        <w:rPr>
          <w:rFonts w:cs="Times New Roman"/>
          <w:color w:val="0000FF"/>
        </w:rPr>
        <w:t>弃土</w:t>
      </w:r>
      <w:r>
        <w:rPr>
          <w:rFonts w:hint="eastAsia" w:cs="Times New Roman"/>
          <w:color w:val="0000FF"/>
        </w:rPr>
        <w:t>场、取弃土场</w:t>
      </w:r>
      <w:r>
        <w:rPr>
          <w:rFonts w:cs="Times New Roman"/>
          <w:color w:val="0000FF"/>
        </w:rPr>
        <w:t>环境合理性分析</w:t>
      </w:r>
    </w:p>
    <w:p w14:paraId="7FB68C5C">
      <w:pPr>
        <w:widowControl w:val="0"/>
        <w:adjustRightInd w:val="0"/>
        <w:ind w:firstLine="480" w:firstLineChars="200"/>
        <w:textAlignment w:val="center"/>
        <w:rPr>
          <w:color w:val="0000FF"/>
        </w:rPr>
      </w:pPr>
      <w:r>
        <w:rPr>
          <w:rFonts w:hint="eastAsia" w:cs="Times New Roman"/>
          <w:color w:val="0000FF"/>
        </w:rPr>
        <w:t>工程通过取弃结合等方式优化调整后，设置16个弃土场、27个取弃土场，合计占地面积91.74</w:t>
      </w:r>
      <w:r>
        <w:rPr>
          <w:rFonts w:hint="eastAsia"/>
          <w:color w:val="0000FF"/>
        </w:rPr>
        <w:t>hm</w:t>
      </w:r>
      <w:r>
        <w:rPr>
          <w:rFonts w:hint="eastAsia"/>
          <w:color w:val="0000FF"/>
          <w:vertAlign w:val="superscript"/>
        </w:rPr>
        <w:t>2</w:t>
      </w:r>
      <w:r>
        <w:rPr>
          <w:rFonts w:hint="eastAsia"/>
          <w:color w:val="0000FF"/>
        </w:rPr>
        <w:t>。取土场、取弃土场合计可取土量超过62.75万m</w:t>
      </w:r>
      <w:r>
        <w:rPr>
          <w:rFonts w:hint="eastAsia"/>
          <w:color w:val="0000FF"/>
          <w:vertAlign w:val="superscript"/>
        </w:rPr>
        <w:t>3</w:t>
      </w:r>
      <w:r>
        <w:rPr>
          <w:rFonts w:hint="eastAsia"/>
          <w:color w:val="0000FF"/>
        </w:rPr>
        <w:t>，合计容纳弃土超过174.54万m</w:t>
      </w:r>
      <w:r>
        <w:rPr>
          <w:rFonts w:hint="eastAsia"/>
          <w:color w:val="0000FF"/>
          <w:vertAlign w:val="superscript"/>
        </w:rPr>
        <w:t>3</w:t>
      </w:r>
      <w:r>
        <w:rPr>
          <w:rFonts w:hint="eastAsia"/>
          <w:color w:val="0000FF"/>
        </w:rPr>
        <w:t>，能满足工程取土、弃土要求。</w:t>
      </w:r>
    </w:p>
    <w:p w14:paraId="13A4CAD9">
      <w:pPr>
        <w:widowControl w:val="0"/>
        <w:adjustRightInd w:val="0"/>
        <w:ind w:firstLine="480" w:firstLineChars="200"/>
        <w:textAlignment w:val="center"/>
        <w:rPr>
          <w:rFonts w:cs="Times New Roman"/>
          <w:color w:val="0000FF"/>
        </w:rPr>
      </w:pPr>
      <w:r>
        <w:rPr>
          <w:rFonts w:cs="Times New Roman"/>
          <w:color w:val="0000FF"/>
        </w:rPr>
        <w:t>经叠图分析，所有弃土场</w:t>
      </w:r>
      <w:r>
        <w:rPr>
          <w:rFonts w:hint="eastAsia" w:cs="Times New Roman"/>
          <w:color w:val="0000FF"/>
        </w:rPr>
        <w:t>、取弃土场</w:t>
      </w:r>
      <w:r>
        <w:rPr>
          <w:rFonts w:cs="Times New Roman"/>
          <w:color w:val="0000FF"/>
        </w:rPr>
        <w:t>均不占用生态保护红线、基本农田保护区、饮用水水源保护区、、紫蓬山国家森林公园、、文物保护范围等环境敏感区、公益林和天然河流湖泊等生态环境敏感区，其中</w:t>
      </w:r>
      <w:r>
        <w:rPr>
          <w:rFonts w:hint="eastAsia" w:cs="Times New Roman"/>
          <w:color w:val="0000FF"/>
        </w:rPr>
        <w:t>樊通桥渠下涵2</w:t>
      </w:r>
      <w:r>
        <w:rPr>
          <w:rFonts w:cs="Times New Roman"/>
          <w:color w:val="0000FF"/>
        </w:rPr>
        <w:t>#</w:t>
      </w:r>
      <w:r>
        <w:rPr>
          <w:rFonts w:hint="eastAsia" w:cs="Times New Roman"/>
          <w:color w:val="0000FF"/>
        </w:rPr>
        <w:t>取</w:t>
      </w:r>
      <w:r>
        <w:rPr>
          <w:rFonts w:cs="Times New Roman"/>
          <w:color w:val="0000FF"/>
        </w:rPr>
        <w:t>弃土场原位于</w:t>
      </w:r>
      <w:r>
        <w:rPr>
          <w:rFonts w:hint="eastAsia" w:cs="Times New Roman"/>
          <w:color w:val="0000FF"/>
        </w:rPr>
        <w:t>六安市城区饮用水水源二级保护区内</w:t>
      </w:r>
      <w:r>
        <w:rPr>
          <w:rFonts w:cs="Times New Roman"/>
          <w:color w:val="0000FF"/>
        </w:rPr>
        <w:t>，为了减少</w:t>
      </w:r>
      <w:r>
        <w:rPr>
          <w:rFonts w:hint="eastAsia" w:cs="Times New Roman"/>
          <w:color w:val="0000FF"/>
        </w:rPr>
        <w:t>取</w:t>
      </w:r>
      <w:r>
        <w:rPr>
          <w:rFonts w:cs="Times New Roman"/>
          <w:color w:val="0000FF"/>
        </w:rPr>
        <w:t>弃土场可能对水源地的影响，将</w:t>
      </w:r>
      <w:r>
        <w:rPr>
          <w:rFonts w:hint="eastAsia" w:cs="Times New Roman"/>
          <w:color w:val="0000FF"/>
        </w:rPr>
        <w:t>樊通桥渠下涵2</w:t>
      </w:r>
      <w:r>
        <w:rPr>
          <w:rFonts w:cs="Times New Roman"/>
          <w:color w:val="0000FF"/>
        </w:rPr>
        <w:t>#</w:t>
      </w:r>
      <w:r>
        <w:rPr>
          <w:rFonts w:hint="eastAsia" w:cs="Times New Roman"/>
          <w:color w:val="0000FF"/>
        </w:rPr>
        <w:t>取</w:t>
      </w:r>
      <w:r>
        <w:rPr>
          <w:rFonts w:cs="Times New Roman"/>
          <w:color w:val="0000FF"/>
        </w:rPr>
        <w:t>弃土场由</w:t>
      </w:r>
      <w:r>
        <w:rPr>
          <w:rFonts w:hint="eastAsia" w:cs="Times New Roman"/>
          <w:color w:val="0000FF"/>
        </w:rPr>
        <w:t>淠河总干渠与宁蓉铁路交口东北侧调整至宁西线西合段东侧</w:t>
      </w:r>
      <w:r>
        <w:rPr>
          <w:rFonts w:cs="Times New Roman"/>
          <w:color w:val="0000FF"/>
        </w:rPr>
        <w:t>，水源地保护区之外，弃土场与水源地</w:t>
      </w:r>
      <w:r>
        <w:rPr>
          <w:rFonts w:hint="eastAsia" w:cs="Times New Roman"/>
          <w:color w:val="0000FF"/>
        </w:rPr>
        <w:t>宁西线西合段</w:t>
      </w:r>
      <w:r>
        <w:rPr>
          <w:rFonts w:cs="Times New Roman"/>
          <w:color w:val="0000FF"/>
        </w:rPr>
        <w:t>，两者无水力联系，其余弃土场均在水源地保护区之外，因此弃土场设置具有环境合理性</w:t>
      </w:r>
      <w:r>
        <w:rPr>
          <w:rFonts w:hint="eastAsia" w:cs="Times New Roman"/>
          <w:color w:val="0000FF"/>
        </w:rPr>
        <w:t>。</w:t>
      </w:r>
    </w:p>
    <w:p w14:paraId="62CC73E8">
      <w:pPr>
        <w:widowControl w:val="0"/>
        <w:adjustRightInd w:val="0"/>
        <w:ind w:firstLine="480" w:firstLineChars="200"/>
        <w:textAlignment w:val="center"/>
        <w:rPr>
          <w:rFonts w:cs="Times New Roman"/>
          <w:color w:val="0000FF"/>
        </w:rPr>
      </w:pPr>
      <w:r>
        <w:rPr>
          <w:rFonts w:cs="Times New Roman"/>
          <w:color w:val="0000FF"/>
        </w:rPr>
        <w:t>目前项目渠道两岸空旷区域较多，弃土区的分布已尽量避开居民区，且弃土区呈线性分布，</w:t>
      </w:r>
      <w:r>
        <w:rPr>
          <w:rFonts w:hint="eastAsia" w:cs="Times New Roman"/>
          <w:color w:val="0000FF"/>
        </w:rPr>
        <w:t>干淤泥</w:t>
      </w:r>
      <w:r>
        <w:rPr>
          <w:rFonts w:cs="Times New Roman"/>
          <w:color w:val="0000FF"/>
        </w:rPr>
        <w:t>臭气的影响范围较小，对沿线的居民点的影响有限</w:t>
      </w:r>
      <w:r>
        <w:rPr>
          <w:rFonts w:hint="eastAsia" w:cs="Times New Roman"/>
          <w:color w:val="0000FF"/>
        </w:rPr>
        <w:t>，</w:t>
      </w:r>
      <w:r>
        <w:rPr>
          <w:rFonts w:cs="Times New Roman"/>
          <w:color w:val="0000FF"/>
        </w:rPr>
        <w:t>因此，其位置分布基本合理。</w:t>
      </w:r>
    </w:p>
    <w:p w14:paraId="1AF8DA3F">
      <w:pPr>
        <w:widowControl w:val="0"/>
        <w:adjustRightInd w:val="0"/>
        <w:ind w:firstLine="480" w:firstLineChars="200"/>
        <w:textAlignment w:val="center"/>
        <w:rPr>
          <w:rFonts w:cs="Times New Roman"/>
          <w:color w:val="0000FF"/>
        </w:rPr>
      </w:pPr>
      <w:r>
        <w:rPr>
          <w:rFonts w:cs="Times New Roman"/>
          <w:color w:val="0000FF"/>
        </w:rPr>
        <w:t>待国土空间规划发布后，若项目选址或变更后选址占用基本农田，建议进行优化调整，若确实无法避让，施工前建设单位需到管理部门办理基本农田临时占用手续，并在施工结束后对占地进行恢复。由于其分布为沿渠道两岸分布，其环境保护目标</w:t>
      </w:r>
      <w:r>
        <w:rPr>
          <w:rFonts w:hint="eastAsia" w:cs="Times New Roman"/>
          <w:color w:val="0000FF"/>
        </w:rPr>
        <w:t>见</w:t>
      </w:r>
      <w:r>
        <w:rPr>
          <w:rFonts w:cs="Times New Roman"/>
          <w:color w:val="0000FF"/>
        </w:rPr>
        <w:t>1.9章节的声环境保护目标基本一致，因此在此不</w:t>
      </w:r>
      <w:r>
        <w:rPr>
          <w:rFonts w:hint="eastAsia" w:cs="Times New Roman"/>
          <w:color w:val="0000FF"/>
        </w:rPr>
        <w:t>作</w:t>
      </w:r>
      <w:r>
        <w:rPr>
          <w:rFonts w:cs="Times New Roman"/>
          <w:color w:val="0000FF"/>
        </w:rPr>
        <w:t>详细分析。</w:t>
      </w:r>
    </w:p>
    <w:p w14:paraId="1AA1C146">
      <w:pPr>
        <w:widowControl w:val="0"/>
        <w:adjustRightInd w:val="0"/>
        <w:ind w:firstLine="480" w:firstLineChars="200"/>
        <w:textAlignment w:val="center"/>
        <w:rPr>
          <w:rFonts w:cs="Times New Roman"/>
          <w:color w:val="0000FF"/>
        </w:rPr>
      </w:pPr>
      <w:r>
        <w:rPr>
          <w:rFonts w:cs="Times New Roman"/>
          <w:color w:val="0000FF"/>
        </w:rPr>
        <w:t>同时，本环评阶段对弃土区的布置提出以下环境合理化要求。弃土场的选址应避开居民区、生态保护红线、基本农田保护区、饮用水水源保护区、国家森林公园、国家湿地公园等环境敏感区；弃土场的选址应遵循</w:t>
      </w:r>
      <w:r>
        <w:rPr>
          <w:rFonts w:hint="eastAsia" w:cs="Times New Roman"/>
          <w:color w:val="0000FF"/>
        </w:rPr>
        <w:t>“</w:t>
      </w:r>
      <w:r>
        <w:rPr>
          <w:rFonts w:cs="Times New Roman"/>
          <w:color w:val="0000FF"/>
        </w:rPr>
        <w:t>少占压耕地，少破坏水土保持设施</w:t>
      </w:r>
      <w:r>
        <w:rPr>
          <w:rFonts w:hint="eastAsia" w:cs="Times New Roman"/>
          <w:color w:val="0000FF"/>
        </w:rPr>
        <w:t>”</w:t>
      </w:r>
      <w:r>
        <w:rPr>
          <w:rFonts w:cs="Times New Roman"/>
          <w:color w:val="0000FF"/>
        </w:rPr>
        <w:t>的原则，优先考虑渠道两岸的洼地、裸地、空闲地等，但不能影响渠道的行洪安全，不得影响水利工程取水建筑物、泄水建筑物、灌排干渠沟功能；严禁在对重要基础设施、人民群众生命财产安全及行洪安全有重大影响的区域布置弃土场；弃土区的设置应严格按照技术规范的要求，设置有效的水土保持措施，弃土结束后应对弃土场进行生态恢复。</w:t>
      </w:r>
    </w:p>
    <w:p w14:paraId="6F634374">
      <w:pPr>
        <w:rPr>
          <w:rFonts w:cs="Times New Roman"/>
          <w:color w:val="0000FF"/>
        </w:rPr>
      </w:pPr>
      <w:r>
        <w:rPr>
          <w:rFonts w:cs="Times New Roman"/>
          <w:color w:val="0000FF"/>
        </w:rPr>
        <w:t>因此，本工程弃土区在选址和设计上落实以上要求后，其设置具有一定的环境合理性。</w:t>
      </w:r>
    </w:p>
    <w:p w14:paraId="328F62C0">
      <w:pPr>
        <w:rPr>
          <w:rFonts w:cs="Times New Roman"/>
          <w:color w:val="0000FF"/>
        </w:rPr>
        <w:sectPr>
          <w:pgSz w:w="11905" w:h="16838"/>
          <w:pgMar w:top="1417" w:right="1417" w:bottom="1417" w:left="1417" w:header="850" w:footer="850" w:gutter="0"/>
          <w:pgNumType w:fmt="decimal"/>
          <w:cols w:space="0" w:num="1"/>
          <w:rtlGutter w:val="0"/>
          <w:docGrid w:linePitch="326" w:charSpace="0"/>
        </w:sectPr>
      </w:pPr>
    </w:p>
    <w:p w14:paraId="3D757DE8">
      <w:pPr>
        <w:jc w:val="center"/>
        <w:rPr>
          <w:rFonts w:cs="Times New Roman"/>
          <w:color w:val="0000FF"/>
        </w:rPr>
      </w:pPr>
      <w:r>
        <w:rPr>
          <w:color w:val="0000FF"/>
        </w:rPr>
        <w:t>表</w:t>
      </w:r>
      <w:r>
        <w:rPr>
          <w:rFonts w:hint="eastAsia"/>
          <w:color w:val="0000FF"/>
        </w:rPr>
        <w:t>3-1-1</w:t>
      </w:r>
      <w:r>
        <w:rPr>
          <w:color w:val="0000FF"/>
        </w:rPr>
        <w:t xml:space="preserve">  取土场、</w:t>
      </w:r>
      <w:r>
        <w:rPr>
          <w:rFonts w:hint="eastAsia"/>
          <w:color w:val="0000FF"/>
        </w:rPr>
        <w:t>弃</w:t>
      </w:r>
      <w:r>
        <w:rPr>
          <w:color w:val="0000FF"/>
        </w:rPr>
        <w:t>土场以及取弃土场设置环境合理性</w:t>
      </w:r>
    </w:p>
    <w:tbl>
      <w:tblPr>
        <w:tblStyle w:val="16"/>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43"/>
        <w:gridCol w:w="768"/>
        <w:gridCol w:w="803"/>
        <w:gridCol w:w="723"/>
        <w:gridCol w:w="817"/>
        <w:gridCol w:w="680"/>
        <w:gridCol w:w="611"/>
        <w:gridCol w:w="624"/>
        <w:gridCol w:w="1697"/>
        <w:gridCol w:w="1808"/>
      </w:tblGrid>
      <w:tr w14:paraId="6D5DFF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Align w:val="center"/>
          </w:tcPr>
          <w:p w14:paraId="05B3A12E">
            <w:pPr>
              <w:pStyle w:val="28"/>
              <w:bidi w:val="0"/>
            </w:pPr>
            <w:r>
              <w:rPr>
                <w:rFonts w:hint="eastAsia"/>
              </w:rPr>
              <w:t>类型</w:t>
            </w:r>
          </w:p>
        </w:tc>
        <w:tc>
          <w:tcPr>
            <w:tcW w:w="423" w:type="pct"/>
            <w:vAlign w:val="center"/>
          </w:tcPr>
          <w:p w14:paraId="38E997C0">
            <w:pPr>
              <w:pStyle w:val="28"/>
              <w:bidi w:val="0"/>
            </w:pPr>
            <w:r>
              <w:rPr>
                <w:rFonts w:hint="eastAsia"/>
              </w:rPr>
              <w:t>名称</w:t>
            </w:r>
          </w:p>
        </w:tc>
        <w:tc>
          <w:tcPr>
            <w:tcW w:w="442" w:type="pct"/>
            <w:vAlign w:val="center"/>
          </w:tcPr>
          <w:p w14:paraId="44633327">
            <w:pPr>
              <w:pStyle w:val="28"/>
              <w:bidi w:val="0"/>
            </w:pPr>
            <w:r>
              <w:rPr>
                <w:rFonts w:hint="eastAsia"/>
              </w:rPr>
              <w:t>位置</w:t>
            </w:r>
          </w:p>
        </w:tc>
        <w:tc>
          <w:tcPr>
            <w:tcW w:w="398" w:type="pct"/>
            <w:vAlign w:val="center"/>
          </w:tcPr>
          <w:p w14:paraId="65DB00B0">
            <w:pPr>
              <w:pStyle w:val="28"/>
              <w:bidi w:val="0"/>
            </w:pPr>
            <w:r>
              <w:rPr>
                <w:rFonts w:hint="eastAsia"/>
              </w:rPr>
              <w:t>面积（</w:t>
            </w:r>
            <w:r>
              <w:t>hm2</w:t>
            </w:r>
            <w:r>
              <w:rPr>
                <w:rFonts w:hint="eastAsia"/>
              </w:rPr>
              <w:t>）</w:t>
            </w:r>
          </w:p>
        </w:tc>
        <w:tc>
          <w:tcPr>
            <w:tcW w:w="450" w:type="pct"/>
            <w:vAlign w:val="center"/>
          </w:tcPr>
          <w:p w14:paraId="20782E65">
            <w:pPr>
              <w:pStyle w:val="28"/>
              <w:bidi w:val="0"/>
            </w:pPr>
            <w:r>
              <w:rPr>
                <w:rFonts w:hint="eastAsia"/>
              </w:rPr>
              <w:t>设计取土量（万</w:t>
            </w:r>
            <w:r>
              <w:t>m3</w:t>
            </w:r>
            <w:r>
              <w:rPr>
                <w:rFonts w:hint="eastAsia"/>
              </w:rPr>
              <w:t>）</w:t>
            </w:r>
          </w:p>
        </w:tc>
        <w:tc>
          <w:tcPr>
            <w:tcW w:w="375" w:type="pct"/>
            <w:vAlign w:val="center"/>
          </w:tcPr>
          <w:p w14:paraId="0AB89612">
            <w:pPr>
              <w:pStyle w:val="28"/>
              <w:bidi w:val="0"/>
            </w:pPr>
            <w:r>
              <w:rPr>
                <w:rFonts w:hint="eastAsia"/>
              </w:rPr>
              <w:t>设计弃渣量（万</w:t>
            </w:r>
            <w:r>
              <w:t>m3</w:t>
            </w:r>
            <w:r>
              <w:rPr>
                <w:rFonts w:hint="eastAsia"/>
              </w:rPr>
              <w:t>）</w:t>
            </w:r>
          </w:p>
        </w:tc>
        <w:tc>
          <w:tcPr>
            <w:tcW w:w="337" w:type="pct"/>
            <w:vAlign w:val="center"/>
          </w:tcPr>
          <w:p w14:paraId="17183148">
            <w:pPr>
              <w:pStyle w:val="28"/>
              <w:bidi w:val="0"/>
            </w:pPr>
            <w:r>
              <w:rPr>
                <w:rFonts w:hint="eastAsia"/>
              </w:rPr>
              <w:t>最大堆高</w:t>
            </w:r>
            <w:r>
              <w:t>m</w:t>
            </w:r>
          </w:p>
        </w:tc>
        <w:tc>
          <w:tcPr>
            <w:tcW w:w="344" w:type="pct"/>
            <w:vAlign w:val="center"/>
          </w:tcPr>
          <w:p w14:paraId="7395BC33">
            <w:pPr>
              <w:pStyle w:val="28"/>
              <w:bidi w:val="0"/>
            </w:pPr>
            <w:r>
              <w:rPr>
                <w:rFonts w:hint="eastAsia"/>
              </w:rPr>
              <w:t>占地类型</w:t>
            </w:r>
          </w:p>
        </w:tc>
        <w:tc>
          <w:tcPr>
            <w:tcW w:w="934" w:type="pct"/>
            <w:vAlign w:val="center"/>
          </w:tcPr>
          <w:p w14:paraId="4597889A">
            <w:pPr>
              <w:pStyle w:val="28"/>
              <w:bidi w:val="0"/>
            </w:pPr>
            <w:r>
              <w:rPr>
                <w:rFonts w:hint="eastAsia"/>
              </w:rPr>
              <w:t>图片</w:t>
            </w:r>
          </w:p>
        </w:tc>
        <w:tc>
          <w:tcPr>
            <w:tcW w:w="995" w:type="pct"/>
            <w:vAlign w:val="center"/>
          </w:tcPr>
          <w:p w14:paraId="15EC96F0">
            <w:pPr>
              <w:pStyle w:val="28"/>
              <w:bidi w:val="0"/>
            </w:pPr>
            <w:r>
              <w:rPr>
                <w:rFonts w:hint="eastAsia"/>
              </w:rPr>
              <w:t>与环境合理性分析</w:t>
            </w:r>
          </w:p>
        </w:tc>
      </w:tr>
      <w:tr w14:paraId="24B59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restart"/>
            <w:noWrap/>
            <w:vAlign w:val="center"/>
          </w:tcPr>
          <w:p w14:paraId="2900D12D">
            <w:pPr>
              <w:pStyle w:val="28"/>
              <w:bidi w:val="0"/>
            </w:pPr>
            <w:r>
              <w:rPr>
                <w:rFonts w:hint="eastAsia"/>
              </w:rPr>
              <w:t>取土场</w:t>
            </w:r>
          </w:p>
        </w:tc>
        <w:tc>
          <w:tcPr>
            <w:tcW w:w="423" w:type="pct"/>
            <w:noWrap/>
            <w:vAlign w:val="center"/>
          </w:tcPr>
          <w:p w14:paraId="620FEAF7">
            <w:pPr>
              <w:pStyle w:val="28"/>
              <w:bidi w:val="0"/>
            </w:pPr>
            <w:r>
              <w:t>1#</w:t>
            </w:r>
            <w:r>
              <w:rPr>
                <w:rFonts w:hint="eastAsia"/>
              </w:rPr>
              <w:t>取土场</w:t>
            </w:r>
          </w:p>
        </w:tc>
        <w:tc>
          <w:tcPr>
            <w:tcW w:w="442" w:type="pct"/>
            <w:vAlign w:val="center"/>
          </w:tcPr>
          <w:p w14:paraId="24269FD6">
            <w:pPr>
              <w:pStyle w:val="28"/>
              <w:bidi w:val="0"/>
            </w:pPr>
            <w:r>
              <w:t>116.61066771</w:t>
            </w:r>
            <w:r>
              <w:rPr>
                <w:rFonts w:hint="eastAsia"/>
              </w:rPr>
              <w:t>，</w:t>
            </w:r>
            <w:r>
              <w:t>31.57710041</w:t>
            </w:r>
          </w:p>
        </w:tc>
        <w:tc>
          <w:tcPr>
            <w:tcW w:w="398" w:type="pct"/>
            <w:noWrap/>
            <w:vAlign w:val="center"/>
          </w:tcPr>
          <w:p w14:paraId="432255FB">
            <w:pPr>
              <w:pStyle w:val="28"/>
              <w:bidi w:val="0"/>
            </w:pPr>
            <w:r>
              <w:t>1.1</w:t>
            </w:r>
          </w:p>
        </w:tc>
        <w:tc>
          <w:tcPr>
            <w:tcW w:w="450" w:type="pct"/>
            <w:noWrap/>
            <w:vAlign w:val="center"/>
          </w:tcPr>
          <w:p w14:paraId="71B92E37">
            <w:pPr>
              <w:pStyle w:val="28"/>
              <w:bidi w:val="0"/>
            </w:pPr>
            <w:r>
              <w:t>2.11</w:t>
            </w:r>
          </w:p>
        </w:tc>
        <w:tc>
          <w:tcPr>
            <w:tcW w:w="375" w:type="pct"/>
            <w:noWrap/>
            <w:vAlign w:val="center"/>
          </w:tcPr>
          <w:p w14:paraId="6C05B79F">
            <w:pPr>
              <w:pStyle w:val="28"/>
              <w:bidi w:val="0"/>
            </w:pPr>
            <w:r>
              <w:t>0</w:t>
            </w:r>
          </w:p>
        </w:tc>
        <w:tc>
          <w:tcPr>
            <w:tcW w:w="337" w:type="pct"/>
            <w:noWrap/>
            <w:vAlign w:val="center"/>
          </w:tcPr>
          <w:p w14:paraId="31A9B9C3">
            <w:pPr>
              <w:pStyle w:val="28"/>
              <w:bidi w:val="0"/>
            </w:pPr>
            <w:r>
              <w:t>/</w:t>
            </w:r>
          </w:p>
        </w:tc>
        <w:tc>
          <w:tcPr>
            <w:tcW w:w="344" w:type="pct"/>
            <w:noWrap/>
            <w:vAlign w:val="center"/>
          </w:tcPr>
          <w:p w14:paraId="15C11292">
            <w:pPr>
              <w:pStyle w:val="28"/>
              <w:bidi w:val="0"/>
            </w:pPr>
            <w:r>
              <w:rPr>
                <w:rFonts w:hint="eastAsia"/>
              </w:rPr>
              <w:t>耕地</w:t>
            </w:r>
          </w:p>
        </w:tc>
        <w:tc>
          <w:tcPr>
            <w:tcW w:w="934" w:type="pct"/>
            <w:noWrap/>
            <w:vAlign w:val="center"/>
          </w:tcPr>
          <w:p w14:paraId="61DECD76">
            <w:pPr>
              <w:pStyle w:val="28"/>
              <w:bidi w:val="0"/>
            </w:pPr>
            <w:r>
              <w:drawing>
                <wp:inline distT="0" distB="0" distL="114300" distR="114300">
                  <wp:extent cx="1691640" cy="1302385"/>
                  <wp:effectExtent l="0" t="0" r="10160" b="5715"/>
                  <wp:docPr id="17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6"/>
                          <pic:cNvPicPr>
                            <a:picLocks noChangeAspect="1"/>
                          </pic:cNvPicPr>
                        </pic:nvPicPr>
                        <pic:blipFill>
                          <a:blip r:embed="rId71"/>
                          <a:stretch>
                            <a:fillRect/>
                          </a:stretch>
                        </pic:blipFill>
                        <pic:spPr>
                          <a:xfrm>
                            <a:off x="0" y="0"/>
                            <a:ext cx="1691640" cy="1302385"/>
                          </a:xfrm>
                          <a:prstGeom prst="rect">
                            <a:avLst/>
                          </a:prstGeom>
                          <a:noFill/>
                          <a:ln>
                            <a:noFill/>
                          </a:ln>
                        </pic:spPr>
                      </pic:pic>
                    </a:graphicData>
                  </a:graphic>
                </wp:inline>
              </w:drawing>
            </w:r>
          </w:p>
        </w:tc>
        <w:tc>
          <w:tcPr>
            <w:tcW w:w="995" w:type="pct"/>
            <w:noWrap/>
            <w:vAlign w:val="center"/>
          </w:tcPr>
          <w:p w14:paraId="6C2944F7">
            <w:pPr>
              <w:pStyle w:val="28"/>
              <w:bidi w:val="0"/>
            </w:pPr>
            <w:r>
              <w:t>不涉及饮用水水源保护区和生态保护红线，距离最近的敏感点为南侧</w:t>
            </w:r>
            <w:r>
              <w:rPr>
                <w:rFonts w:hint="eastAsia"/>
              </w:rPr>
              <w:t>孙槽坊</w:t>
            </w:r>
            <w:r>
              <w:t>居民点（</w:t>
            </w:r>
            <w:r>
              <w:rPr>
                <w:rFonts w:hint="eastAsia"/>
              </w:rPr>
              <w:t>38</w:t>
            </w:r>
            <w:r>
              <w:t>m），通过加强</w:t>
            </w:r>
            <w:r>
              <w:rPr>
                <w:rFonts w:hint="eastAsia"/>
              </w:rPr>
              <w:t>取</w:t>
            </w:r>
            <w:r>
              <w:t>土场和运输道路抑尘降噪措施，选址满足要求</w:t>
            </w:r>
          </w:p>
        </w:tc>
      </w:tr>
      <w:tr w14:paraId="0AD20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05D0CD29">
            <w:pPr>
              <w:pStyle w:val="28"/>
              <w:bidi w:val="0"/>
            </w:pPr>
          </w:p>
        </w:tc>
        <w:tc>
          <w:tcPr>
            <w:tcW w:w="423" w:type="pct"/>
            <w:noWrap/>
            <w:vAlign w:val="center"/>
          </w:tcPr>
          <w:p w14:paraId="7AE5611A">
            <w:pPr>
              <w:pStyle w:val="28"/>
              <w:bidi w:val="0"/>
            </w:pPr>
            <w:r>
              <w:t>2#</w:t>
            </w:r>
            <w:r>
              <w:rPr>
                <w:rFonts w:hint="eastAsia"/>
              </w:rPr>
              <w:t>取土场</w:t>
            </w:r>
          </w:p>
        </w:tc>
        <w:tc>
          <w:tcPr>
            <w:tcW w:w="442" w:type="pct"/>
            <w:vAlign w:val="center"/>
          </w:tcPr>
          <w:p w14:paraId="7724DB2C">
            <w:pPr>
              <w:pStyle w:val="28"/>
              <w:bidi w:val="0"/>
            </w:pPr>
            <w:r>
              <w:t>116.12924371</w:t>
            </w:r>
            <w:r>
              <w:rPr>
                <w:rFonts w:hint="eastAsia"/>
              </w:rPr>
              <w:t>，</w:t>
            </w:r>
            <w:r>
              <w:t>31.79824227</w:t>
            </w:r>
          </w:p>
        </w:tc>
        <w:tc>
          <w:tcPr>
            <w:tcW w:w="398" w:type="pct"/>
            <w:noWrap/>
            <w:vAlign w:val="center"/>
          </w:tcPr>
          <w:p w14:paraId="169A6D8D">
            <w:pPr>
              <w:pStyle w:val="28"/>
              <w:bidi w:val="0"/>
            </w:pPr>
            <w:r>
              <w:t>0.65</w:t>
            </w:r>
          </w:p>
        </w:tc>
        <w:tc>
          <w:tcPr>
            <w:tcW w:w="450" w:type="pct"/>
            <w:noWrap/>
            <w:vAlign w:val="center"/>
          </w:tcPr>
          <w:p w14:paraId="43B807EC">
            <w:pPr>
              <w:pStyle w:val="28"/>
              <w:bidi w:val="0"/>
            </w:pPr>
            <w:r>
              <w:t>1.24</w:t>
            </w:r>
          </w:p>
        </w:tc>
        <w:tc>
          <w:tcPr>
            <w:tcW w:w="375" w:type="pct"/>
            <w:noWrap/>
            <w:vAlign w:val="center"/>
          </w:tcPr>
          <w:p w14:paraId="642E61AB">
            <w:pPr>
              <w:pStyle w:val="28"/>
              <w:bidi w:val="0"/>
            </w:pPr>
            <w:r>
              <w:t>0</w:t>
            </w:r>
          </w:p>
        </w:tc>
        <w:tc>
          <w:tcPr>
            <w:tcW w:w="337" w:type="pct"/>
            <w:noWrap/>
            <w:vAlign w:val="center"/>
          </w:tcPr>
          <w:p w14:paraId="67A851D8">
            <w:pPr>
              <w:pStyle w:val="28"/>
              <w:bidi w:val="0"/>
            </w:pPr>
            <w:r>
              <w:t>/</w:t>
            </w:r>
          </w:p>
        </w:tc>
        <w:tc>
          <w:tcPr>
            <w:tcW w:w="344" w:type="pct"/>
            <w:noWrap/>
            <w:vAlign w:val="center"/>
          </w:tcPr>
          <w:p w14:paraId="33DD11F2">
            <w:pPr>
              <w:pStyle w:val="28"/>
              <w:bidi w:val="0"/>
            </w:pPr>
            <w:r>
              <w:rPr>
                <w:rFonts w:hint="eastAsia"/>
              </w:rPr>
              <w:t>耕地</w:t>
            </w:r>
          </w:p>
        </w:tc>
        <w:tc>
          <w:tcPr>
            <w:tcW w:w="934" w:type="pct"/>
            <w:noWrap/>
            <w:vAlign w:val="center"/>
          </w:tcPr>
          <w:p w14:paraId="0647F97F">
            <w:pPr>
              <w:pStyle w:val="28"/>
              <w:bidi w:val="0"/>
            </w:pPr>
            <w:r>
              <w:drawing>
                <wp:inline distT="0" distB="0" distL="114300" distR="114300">
                  <wp:extent cx="1692275" cy="1242060"/>
                  <wp:effectExtent l="0" t="0" r="9525" b="2540"/>
                  <wp:docPr id="17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
                          <pic:cNvPicPr>
                            <a:picLocks noChangeAspect="1"/>
                          </pic:cNvPicPr>
                        </pic:nvPicPr>
                        <pic:blipFill>
                          <a:blip r:embed="rId72"/>
                          <a:stretch>
                            <a:fillRect/>
                          </a:stretch>
                        </pic:blipFill>
                        <pic:spPr>
                          <a:xfrm>
                            <a:off x="0" y="0"/>
                            <a:ext cx="1692275" cy="1242060"/>
                          </a:xfrm>
                          <a:prstGeom prst="rect">
                            <a:avLst/>
                          </a:prstGeom>
                          <a:noFill/>
                          <a:ln>
                            <a:noFill/>
                          </a:ln>
                        </pic:spPr>
                      </pic:pic>
                    </a:graphicData>
                  </a:graphic>
                </wp:inline>
              </w:drawing>
            </w:r>
          </w:p>
        </w:tc>
        <w:tc>
          <w:tcPr>
            <w:tcW w:w="995" w:type="pct"/>
            <w:noWrap/>
            <w:vAlign w:val="center"/>
          </w:tcPr>
          <w:p w14:paraId="185E489B">
            <w:pPr>
              <w:pStyle w:val="28"/>
              <w:bidi w:val="0"/>
            </w:pPr>
            <w:r>
              <w:t>不涉及饮用水水源保护区和生态保护红线，距离最近的敏感点为</w:t>
            </w:r>
            <w:r>
              <w:rPr>
                <w:rFonts w:hint="eastAsia"/>
              </w:rPr>
              <w:t>西北</w:t>
            </w:r>
            <w:r>
              <w:t>侧</w:t>
            </w:r>
            <w:r>
              <w:rPr>
                <w:rFonts w:hint="eastAsia"/>
              </w:rPr>
              <w:t>前楼</w:t>
            </w:r>
            <w:r>
              <w:t>居民点（</w:t>
            </w:r>
            <w:r>
              <w:rPr>
                <w:rFonts w:hint="eastAsia"/>
              </w:rPr>
              <w:t>45</w:t>
            </w:r>
            <w:r>
              <w:t>m），通过加强</w:t>
            </w:r>
            <w:r>
              <w:rPr>
                <w:rFonts w:hint="eastAsia"/>
              </w:rPr>
              <w:t>取</w:t>
            </w:r>
            <w:r>
              <w:t>土场和运输道路抑尘降噪措施，选址满足要求</w:t>
            </w:r>
          </w:p>
        </w:tc>
      </w:tr>
      <w:tr w14:paraId="184B7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restart"/>
            <w:noWrap/>
            <w:vAlign w:val="center"/>
          </w:tcPr>
          <w:p w14:paraId="377B5589">
            <w:pPr>
              <w:pStyle w:val="28"/>
              <w:bidi w:val="0"/>
            </w:pPr>
            <w:r>
              <w:rPr>
                <w:rFonts w:hint="eastAsia"/>
              </w:rPr>
              <w:t>弃土场</w:t>
            </w:r>
          </w:p>
        </w:tc>
        <w:tc>
          <w:tcPr>
            <w:tcW w:w="423" w:type="pct"/>
            <w:noWrap/>
            <w:vAlign w:val="center"/>
          </w:tcPr>
          <w:p w14:paraId="149673C2">
            <w:pPr>
              <w:pStyle w:val="28"/>
              <w:bidi w:val="0"/>
            </w:pPr>
            <w:r>
              <w:t>1#</w:t>
            </w:r>
            <w:r>
              <w:rPr>
                <w:rFonts w:hint="eastAsia"/>
              </w:rPr>
              <w:t>弃土场</w:t>
            </w:r>
          </w:p>
        </w:tc>
        <w:tc>
          <w:tcPr>
            <w:tcW w:w="442" w:type="pct"/>
            <w:vAlign w:val="center"/>
          </w:tcPr>
          <w:p w14:paraId="0C8CD5C0">
            <w:pPr>
              <w:pStyle w:val="28"/>
              <w:bidi w:val="0"/>
            </w:pPr>
            <w:r>
              <w:t>116.96879666</w:t>
            </w:r>
            <w:r>
              <w:rPr>
                <w:rFonts w:hint="eastAsia"/>
              </w:rPr>
              <w:t>，</w:t>
            </w:r>
            <w:r>
              <w:t>31.88119011</w:t>
            </w:r>
          </w:p>
        </w:tc>
        <w:tc>
          <w:tcPr>
            <w:tcW w:w="398" w:type="pct"/>
            <w:vAlign w:val="center"/>
          </w:tcPr>
          <w:p w14:paraId="56C0A940">
            <w:pPr>
              <w:pStyle w:val="28"/>
              <w:bidi w:val="0"/>
            </w:pPr>
            <w:r>
              <w:t>1.45</w:t>
            </w:r>
          </w:p>
        </w:tc>
        <w:tc>
          <w:tcPr>
            <w:tcW w:w="450" w:type="pct"/>
            <w:vAlign w:val="center"/>
          </w:tcPr>
          <w:p w14:paraId="2BD85C2A">
            <w:pPr>
              <w:pStyle w:val="28"/>
              <w:bidi w:val="0"/>
            </w:pPr>
            <w:r>
              <w:t>0</w:t>
            </w:r>
          </w:p>
        </w:tc>
        <w:tc>
          <w:tcPr>
            <w:tcW w:w="375" w:type="pct"/>
            <w:vAlign w:val="center"/>
          </w:tcPr>
          <w:p w14:paraId="0BBFA80F">
            <w:pPr>
              <w:pStyle w:val="28"/>
              <w:bidi w:val="0"/>
            </w:pPr>
            <w:r>
              <w:t>3.02</w:t>
            </w:r>
          </w:p>
        </w:tc>
        <w:tc>
          <w:tcPr>
            <w:tcW w:w="337" w:type="pct"/>
            <w:vAlign w:val="center"/>
          </w:tcPr>
          <w:p w14:paraId="6897373E">
            <w:pPr>
              <w:pStyle w:val="28"/>
              <w:bidi w:val="0"/>
            </w:pPr>
            <w:r>
              <w:t>2.28</w:t>
            </w:r>
          </w:p>
        </w:tc>
        <w:tc>
          <w:tcPr>
            <w:tcW w:w="344" w:type="pct"/>
            <w:vAlign w:val="center"/>
          </w:tcPr>
          <w:p w14:paraId="773766F5">
            <w:pPr>
              <w:pStyle w:val="28"/>
              <w:bidi w:val="0"/>
            </w:pPr>
            <w:r>
              <w:rPr>
                <w:rFonts w:hint="eastAsia"/>
              </w:rPr>
              <w:t>耕地</w:t>
            </w:r>
          </w:p>
        </w:tc>
        <w:tc>
          <w:tcPr>
            <w:tcW w:w="934" w:type="pct"/>
            <w:noWrap/>
            <w:vAlign w:val="center"/>
          </w:tcPr>
          <w:p w14:paraId="6C80B617">
            <w:pPr>
              <w:pStyle w:val="28"/>
              <w:bidi w:val="0"/>
            </w:pPr>
            <w:r>
              <w:drawing>
                <wp:inline distT="0" distB="0" distL="114300" distR="114300">
                  <wp:extent cx="1692275" cy="1309370"/>
                  <wp:effectExtent l="0" t="0" r="9525" b="11430"/>
                  <wp:docPr id="17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8"/>
                          <pic:cNvPicPr>
                            <a:picLocks noChangeAspect="1"/>
                          </pic:cNvPicPr>
                        </pic:nvPicPr>
                        <pic:blipFill>
                          <a:blip r:embed="rId73"/>
                          <a:stretch>
                            <a:fillRect/>
                          </a:stretch>
                        </pic:blipFill>
                        <pic:spPr>
                          <a:xfrm>
                            <a:off x="0" y="0"/>
                            <a:ext cx="1692275" cy="1309370"/>
                          </a:xfrm>
                          <a:prstGeom prst="rect">
                            <a:avLst/>
                          </a:prstGeom>
                          <a:noFill/>
                          <a:ln>
                            <a:noFill/>
                          </a:ln>
                        </pic:spPr>
                      </pic:pic>
                    </a:graphicData>
                  </a:graphic>
                </wp:inline>
              </w:drawing>
            </w:r>
          </w:p>
        </w:tc>
        <w:tc>
          <w:tcPr>
            <w:tcW w:w="995" w:type="pct"/>
            <w:vAlign w:val="center"/>
          </w:tcPr>
          <w:p w14:paraId="776A8FB1">
            <w:pPr>
              <w:pStyle w:val="28"/>
              <w:bidi w:val="0"/>
            </w:pPr>
            <w:r>
              <w:rPr>
                <w:rFonts w:hint="eastAsia"/>
              </w:rPr>
              <w:t>不涉及生态保护红线和饮用水水源保护区，远离居民点等保护目标</w:t>
            </w:r>
          </w:p>
        </w:tc>
      </w:tr>
      <w:tr w14:paraId="5128A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388B8F4E">
            <w:pPr>
              <w:pStyle w:val="28"/>
              <w:bidi w:val="0"/>
            </w:pPr>
          </w:p>
        </w:tc>
        <w:tc>
          <w:tcPr>
            <w:tcW w:w="423" w:type="pct"/>
            <w:noWrap/>
            <w:vAlign w:val="center"/>
          </w:tcPr>
          <w:p w14:paraId="0B7A4345">
            <w:pPr>
              <w:pStyle w:val="28"/>
              <w:bidi w:val="0"/>
            </w:pPr>
            <w:r>
              <w:t>2#</w:t>
            </w:r>
            <w:r>
              <w:rPr>
                <w:rFonts w:hint="eastAsia"/>
              </w:rPr>
              <w:t>弃土场</w:t>
            </w:r>
          </w:p>
        </w:tc>
        <w:tc>
          <w:tcPr>
            <w:tcW w:w="442" w:type="pct"/>
            <w:vAlign w:val="center"/>
          </w:tcPr>
          <w:p w14:paraId="04B725FC">
            <w:pPr>
              <w:pStyle w:val="28"/>
              <w:bidi w:val="0"/>
            </w:pPr>
            <w:r>
              <w:t>116.96895954</w:t>
            </w:r>
            <w:r>
              <w:rPr>
                <w:rFonts w:hint="eastAsia"/>
              </w:rPr>
              <w:t>，</w:t>
            </w:r>
            <w:r>
              <w:t>31.88244296</w:t>
            </w:r>
          </w:p>
        </w:tc>
        <w:tc>
          <w:tcPr>
            <w:tcW w:w="398" w:type="pct"/>
            <w:vAlign w:val="center"/>
          </w:tcPr>
          <w:p w14:paraId="7093ACD7">
            <w:pPr>
              <w:pStyle w:val="28"/>
              <w:bidi w:val="0"/>
            </w:pPr>
            <w:r>
              <w:t>2.32</w:t>
            </w:r>
          </w:p>
        </w:tc>
        <w:tc>
          <w:tcPr>
            <w:tcW w:w="450" w:type="pct"/>
            <w:vAlign w:val="center"/>
          </w:tcPr>
          <w:p w14:paraId="5A56A403">
            <w:pPr>
              <w:pStyle w:val="28"/>
              <w:bidi w:val="0"/>
            </w:pPr>
            <w:r>
              <w:t>0</w:t>
            </w:r>
          </w:p>
        </w:tc>
        <w:tc>
          <w:tcPr>
            <w:tcW w:w="375" w:type="pct"/>
            <w:vAlign w:val="center"/>
          </w:tcPr>
          <w:p w14:paraId="3552B1F7">
            <w:pPr>
              <w:pStyle w:val="28"/>
              <w:bidi w:val="0"/>
            </w:pPr>
            <w:r>
              <w:t>4.83</w:t>
            </w:r>
          </w:p>
        </w:tc>
        <w:tc>
          <w:tcPr>
            <w:tcW w:w="337" w:type="pct"/>
            <w:vAlign w:val="center"/>
          </w:tcPr>
          <w:p w14:paraId="70C8D201">
            <w:pPr>
              <w:pStyle w:val="28"/>
              <w:bidi w:val="0"/>
            </w:pPr>
            <w:r>
              <w:t>2</w:t>
            </w:r>
          </w:p>
        </w:tc>
        <w:tc>
          <w:tcPr>
            <w:tcW w:w="344" w:type="pct"/>
            <w:vAlign w:val="center"/>
          </w:tcPr>
          <w:p w14:paraId="41B651F6">
            <w:pPr>
              <w:pStyle w:val="28"/>
              <w:bidi w:val="0"/>
            </w:pPr>
            <w:r>
              <w:rPr>
                <w:rFonts w:hint="eastAsia"/>
              </w:rPr>
              <w:t>水域及水利设施用地</w:t>
            </w:r>
          </w:p>
        </w:tc>
        <w:tc>
          <w:tcPr>
            <w:tcW w:w="934" w:type="pct"/>
            <w:noWrap/>
            <w:vAlign w:val="center"/>
          </w:tcPr>
          <w:p w14:paraId="47CF000B">
            <w:pPr>
              <w:pStyle w:val="28"/>
              <w:bidi w:val="0"/>
            </w:pPr>
            <w:r>
              <w:drawing>
                <wp:inline distT="0" distB="0" distL="114300" distR="114300">
                  <wp:extent cx="1692275" cy="1332230"/>
                  <wp:effectExtent l="0" t="0" r="9525" b="1270"/>
                  <wp:docPr id="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pic:cNvPicPr>
                            <a:picLocks noChangeAspect="1"/>
                          </pic:cNvPicPr>
                        </pic:nvPicPr>
                        <pic:blipFill>
                          <a:blip r:embed="rId74"/>
                          <a:stretch>
                            <a:fillRect/>
                          </a:stretch>
                        </pic:blipFill>
                        <pic:spPr>
                          <a:xfrm>
                            <a:off x="0" y="0"/>
                            <a:ext cx="1692275" cy="1332230"/>
                          </a:xfrm>
                          <a:prstGeom prst="rect">
                            <a:avLst/>
                          </a:prstGeom>
                          <a:noFill/>
                          <a:ln>
                            <a:noFill/>
                          </a:ln>
                        </pic:spPr>
                      </pic:pic>
                    </a:graphicData>
                  </a:graphic>
                </wp:inline>
              </w:drawing>
            </w:r>
          </w:p>
        </w:tc>
        <w:tc>
          <w:tcPr>
            <w:tcW w:w="995" w:type="pct"/>
            <w:noWrap/>
            <w:vAlign w:val="center"/>
          </w:tcPr>
          <w:p w14:paraId="3C4FA3EB">
            <w:pPr>
              <w:pStyle w:val="28"/>
              <w:bidi w:val="0"/>
            </w:pPr>
            <w:r>
              <w:rPr>
                <w:rFonts w:hint="eastAsia"/>
              </w:rPr>
              <w:t>不涉及生态保护红线和饮用水水源保护区，远离居民点等保护目标</w:t>
            </w:r>
          </w:p>
        </w:tc>
      </w:tr>
      <w:tr w14:paraId="1B2DC8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440" w:hRule="atLeast"/>
        </w:trPr>
        <w:tc>
          <w:tcPr>
            <w:tcW w:w="299" w:type="pct"/>
            <w:vMerge w:val="continue"/>
            <w:noWrap/>
            <w:vAlign w:val="center"/>
          </w:tcPr>
          <w:p w14:paraId="4BA3D825">
            <w:pPr>
              <w:pStyle w:val="28"/>
              <w:bidi w:val="0"/>
            </w:pPr>
          </w:p>
        </w:tc>
        <w:tc>
          <w:tcPr>
            <w:tcW w:w="423" w:type="pct"/>
            <w:noWrap/>
            <w:vAlign w:val="center"/>
          </w:tcPr>
          <w:p w14:paraId="6815AECC">
            <w:pPr>
              <w:pStyle w:val="28"/>
              <w:bidi w:val="0"/>
            </w:pPr>
            <w:r>
              <w:t>3#</w:t>
            </w:r>
            <w:r>
              <w:rPr>
                <w:rFonts w:hint="eastAsia"/>
              </w:rPr>
              <w:t>弃土场</w:t>
            </w:r>
          </w:p>
        </w:tc>
        <w:tc>
          <w:tcPr>
            <w:tcW w:w="442" w:type="pct"/>
            <w:vAlign w:val="center"/>
          </w:tcPr>
          <w:p w14:paraId="0B33DF93">
            <w:pPr>
              <w:pStyle w:val="28"/>
              <w:bidi w:val="0"/>
            </w:pPr>
            <w:r>
              <w:t>116.61431551</w:t>
            </w:r>
            <w:r>
              <w:rPr>
                <w:rFonts w:hint="eastAsia"/>
              </w:rPr>
              <w:t>，</w:t>
            </w:r>
            <w:r>
              <w:t>31.64528939</w:t>
            </w:r>
          </w:p>
        </w:tc>
        <w:tc>
          <w:tcPr>
            <w:tcW w:w="398" w:type="pct"/>
            <w:noWrap/>
            <w:vAlign w:val="center"/>
          </w:tcPr>
          <w:p w14:paraId="078909CB">
            <w:pPr>
              <w:pStyle w:val="28"/>
              <w:bidi w:val="0"/>
            </w:pPr>
            <w:r>
              <w:rPr>
                <w:rFonts w:hint="eastAsia"/>
              </w:rPr>
              <w:t>1.65</w:t>
            </w:r>
          </w:p>
        </w:tc>
        <w:tc>
          <w:tcPr>
            <w:tcW w:w="450" w:type="pct"/>
            <w:vAlign w:val="center"/>
          </w:tcPr>
          <w:p w14:paraId="34F8FE54">
            <w:pPr>
              <w:pStyle w:val="28"/>
              <w:bidi w:val="0"/>
            </w:pPr>
            <w:r>
              <w:t>0</w:t>
            </w:r>
          </w:p>
        </w:tc>
        <w:tc>
          <w:tcPr>
            <w:tcW w:w="375" w:type="pct"/>
            <w:vAlign w:val="center"/>
          </w:tcPr>
          <w:p w14:paraId="65333DF7">
            <w:pPr>
              <w:pStyle w:val="28"/>
              <w:bidi w:val="0"/>
            </w:pPr>
            <w:r>
              <w:t>3.92</w:t>
            </w:r>
          </w:p>
        </w:tc>
        <w:tc>
          <w:tcPr>
            <w:tcW w:w="337" w:type="pct"/>
            <w:vAlign w:val="center"/>
          </w:tcPr>
          <w:p w14:paraId="245D3F9D">
            <w:pPr>
              <w:pStyle w:val="28"/>
              <w:bidi w:val="0"/>
            </w:pPr>
            <w:r>
              <w:t>3</w:t>
            </w:r>
          </w:p>
        </w:tc>
        <w:tc>
          <w:tcPr>
            <w:tcW w:w="344" w:type="pct"/>
            <w:vAlign w:val="center"/>
          </w:tcPr>
          <w:p w14:paraId="6B547649">
            <w:pPr>
              <w:pStyle w:val="28"/>
              <w:bidi w:val="0"/>
            </w:pPr>
            <w:r>
              <w:rPr>
                <w:rFonts w:hint="eastAsia"/>
              </w:rPr>
              <w:t>耕地</w:t>
            </w:r>
          </w:p>
        </w:tc>
        <w:tc>
          <w:tcPr>
            <w:tcW w:w="934" w:type="pct"/>
            <w:noWrap/>
            <w:vAlign w:val="center"/>
          </w:tcPr>
          <w:p w14:paraId="2D721CD3">
            <w:pPr>
              <w:pStyle w:val="28"/>
              <w:bidi w:val="0"/>
            </w:pPr>
            <w:r>
              <w:drawing>
                <wp:inline distT="0" distB="0" distL="114300" distR="114300">
                  <wp:extent cx="1692275" cy="1526540"/>
                  <wp:effectExtent l="0" t="0" r="9525" b="10160"/>
                  <wp:docPr id="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0"/>
                          <pic:cNvPicPr>
                            <a:picLocks noChangeAspect="1"/>
                          </pic:cNvPicPr>
                        </pic:nvPicPr>
                        <pic:blipFill>
                          <a:blip r:embed="rId75"/>
                          <a:stretch>
                            <a:fillRect/>
                          </a:stretch>
                        </pic:blipFill>
                        <pic:spPr>
                          <a:xfrm>
                            <a:off x="0" y="0"/>
                            <a:ext cx="1692275" cy="1526540"/>
                          </a:xfrm>
                          <a:prstGeom prst="rect">
                            <a:avLst/>
                          </a:prstGeom>
                          <a:noFill/>
                          <a:ln>
                            <a:noFill/>
                          </a:ln>
                        </pic:spPr>
                      </pic:pic>
                    </a:graphicData>
                  </a:graphic>
                </wp:inline>
              </w:drawing>
            </w:r>
          </w:p>
        </w:tc>
        <w:tc>
          <w:tcPr>
            <w:tcW w:w="995" w:type="pct"/>
            <w:noWrap/>
            <w:vAlign w:val="center"/>
          </w:tcPr>
          <w:p w14:paraId="129B9FAC">
            <w:pPr>
              <w:pStyle w:val="28"/>
              <w:bidi w:val="0"/>
            </w:pPr>
            <w:r>
              <w:t>不涉及饮用水水源保护区和生态保护红线，距离最近的敏感点为南侧</w:t>
            </w:r>
            <w:r>
              <w:rPr>
                <w:rFonts w:hint="eastAsia"/>
              </w:rPr>
              <w:t>杨家塝</w:t>
            </w:r>
            <w:r>
              <w:t>居民点（</w:t>
            </w:r>
            <w:r>
              <w:rPr>
                <w:rFonts w:hint="eastAsia"/>
              </w:rPr>
              <w:t>60</w:t>
            </w:r>
            <w:r>
              <w:t>m），通过加强弃土场和运输道路抑尘降噪措施，选址满足要求</w:t>
            </w:r>
          </w:p>
        </w:tc>
      </w:tr>
      <w:tr w14:paraId="3B39E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64E8A2EA">
            <w:pPr>
              <w:pStyle w:val="28"/>
              <w:bidi w:val="0"/>
            </w:pPr>
          </w:p>
        </w:tc>
        <w:tc>
          <w:tcPr>
            <w:tcW w:w="423" w:type="pct"/>
            <w:noWrap/>
            <w:vAlign w:val="center"/>
          </w:tcPr>
          <w:p w14:paraId="62827590">
            <w:pPr>
              <w:pStyle w:val="28"/>
              <w:bidi w:val="0"/>
            </w:pPr>
            <w:r>
              <w:t>4#</w:t>
            </w:r>
            <w:r>
              <w:rPr>
                <w:rFonts w:hint="eastAsia"/>
              </w:rPr>
              <w:t>弃土场</w:t>
            </w:r>
          </w:p>
        </w:tc>
        <w:tc>
          <w:tcPr>
            <w:tcW w:w="442" w:type="pct"/>
            <w:vAlign w:val="center"/>
          </w:tcPr>
          <w:p w14:paraId="5F8A8D1C">
            <w:pPr>
              <w:pStyle w:val="28"/>
              <w:bidi w:val="0"/>
            </w:pPr>
            <w:r>
              <w:t>116.80424809</w:t>
            </w:r>
            <w:r>
              <w:rPr>
                <w:rFonts w:hint="eastAsia"/>
              </w:rPr>
              <w:t>，</w:t>
            </w:r>
            <w:r>
              <w:t>32.40579879</w:t>
            </w:r>
          </w:p>
        </w:tc>
        <w:tc>
          <w:tcPr>
            <w:tcW w:w="398" w:type="pct"/>
            <w:noWrap/>
            <w:vAlign w:val="center"/>
          </w:tcPr>
          <w:p w14:paraId="0D130FBB">
            <w:pPr>
              <w:pStyle w:val="28"/>
              <w:bidi w:val="0"/>
            </w:pPr>
            <w:r>
              <w:rPr>
                <w:rFonts w:hint="eastAsia"/>
              </w:rPr>
              <w:t>0.38</w:t>
            </w:r>
          </w:p>
        </w:tc>
        <w:tc>
          <w:tcPr>
            <w:tcW w:w="450" w:type="pct"/>
            <w:vAlign w:val="center"/>
          </w:tcPr>
          <w:p w14:paraId="7E1DC5B1">
            <w:pPr>
              <w:pStyle w:val="28"/>
              <w:bidi w:val="0"/>
            </w:pPr>
            <w:r>
              <w:t>0</w:t>
            </w:r>
          </w:p>
        </w:tc>
        <w:tc>
          <w:tcPr>
            <w:tcW w:w="375" w:type="pct"/>
            <w:vAlign w:val="center"/>
          </w:tcPr>
          <w:p w14:paraId="7C49C198">
            <w:pPr>
              <w:pStyle w:val="28"/>
              <w:bidi w:val="0"/>
            </w:pPr>
            <w:r>
              <w:t>1.51</w:t>
            </w:r>
          </w:p>
        </w:tc>
        <w:tc>
          <w:tcPr>
            <w:tcW w:w="337" w:type="pct"/>
            <w:vAlign w:val="center"/>
          </w:tcPr>
          <w:p w14:paraId="4C1B2B07">
            <w:pPr>
              <w:pStyle w:val="28"/>
              <w:bidi w:val="0"/>
            </w:pPr>
            <w:r>
              <w:t>3</w:t>
            </w:r>
          </w:p>
        </w:tc>
        <w:tc>
          <w:tcPr>
            <w:tcW w:w="344" w:type="pct"/>
            <w:vAlign w:val="center"/>
          </w:tcPr>
          <w:p w14:paraId="0B8C7A3D">
            <w:pPr>
              <w:pStyle w:val="28"/>
              <w:bidi w:val="0"/>
            </w:pPr>
            <w:r>
              <w:rPr>
                <w:rFonts w:hint="eastAsia"/>
              </w:rPr>
              <w:t>水域及水利设施用地</w:t>
            </w:r>
          </w:p>
        </w:tc>
        <w:tc>
          <w:tcPr>
            <w:tcW w:w="934" w:type="pct"/>
            <w:noWrap/>
            <w:vAlign w:val="center"/>
          </w:tcPr>
          <w:p w14:paraId="52310420">
            <w:pPr>
              <w:pStyle w:val="28"/>
              <w:bidi w:val="0"/>
            </w:pPr>
            <w:r>
              <w:drawing>
                <wp:inline distT="0" distB="0" distL="114300" distR="114300">
                  <wp:extent cx="1692275" cy="1072515"/>
                  <wp:effectExtent l="0" t="0" r="9525" b="6985"/>
                  <wp:docPr id="9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21"/>
                          <pic:cNvPicPr>
                            <a:picLocks noChangeAspect="1"/>
                          </pic:cNvPicPr>
                        </pic:nvPicPr>
                        <pic:blipFill>
                          <a:blip r:embed="rId76"/>
                          <a:stretch>
                            <a:fillRect/>
                          </a:stretch>
                        </pic:blipFill>
                        <pic:spPr>
                          <a:xfrm>
                            <a:off x="0" y="0"/>
                            <a:ext cx="1692275" cy="1072515"/>
                          </a:xfrm>
                          <a:prstGeom prst="rect">
                            <a:avLst/>
                          </a:prstGeom>
                          <a:noFill/>
                          <a:ln>
                            <a:noFill/>
                          </a:ln>
                        </pic:spPr>
                      </pic:pic>
                    </a:graphicData>
                  </a:graphic>
                </wp:inline>
              </w:drawing>
            </w:r>
          </w:p>
        </w:tc>
        <w:tc>
          <w:tcPr>
            <w:tcW w:w="995" w:type="pct"/>
            <w:noWrap/>
            <w:vAlign w:val="center"/>
          </w:tcPr>
          <w:p w14:paraId="7E5FAB29">
            <w:pPr>
              <w:pStyle w:val="28"/>
              <w:bidi w:val="0"/>
            </w:pPr>
            <w:r>
              <w:t>不涉及饮用水水源保护区和生态保护红线，距离最近的敏感点为</w:t>
            </w:r>
            <w:r>
              <w:rPr>
                <w:rFonts w:hint="eastAsia"/>
              </w:rPr>
              <w:t>东</w:t>
            </w:r>
            <w:r>
              <w:t>侧</w:t>
            </w:r>
            <w:r>
              <w:rPr>
                <w:rFonts w:hint="eastAsia"/>
              </w:rPr>
              <w:t>严家圩</w:t>
            </w:r>
            <w:r>
              <w:t>居民点（</w:t>
            </w:r>
            <w:r>
              <w:rPr>
                <w:rFonts w:hint="eastAsia"/>
              </w:rPr>
              <w:t>38</w:t>
            </w:r>
            <w:r>
              <w:t>m），通过加强弃土场和运输道路抑尘降噪措施，选址满足要求</w:t>
            </w:r>
          </w:p>
        </w:tc>
      </w:tr>
      <w:tr w14:paraId="1A799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5542AE32">
            <w:pPr>
              <w:pStyle w:val="28"/>
              <w:bidi w:val="0"/>
            </w:pPr>
          </w:p>
        </w:tc>
        <w:tc>
          <w:tcPr>
            <w:tcW w:w="423" w:type="pct"/>
            <w:noWrap/>
            <w:vAlign w:val="center"/>
          </w:tcPr>
          <w:p w14:paraId="19102D6D">
            <w:pPr>
              <w:pStyle w:val="28"/>
              <w:bidi w:val="0"/>
            </w:pPr>
            <w:r>
              <w:t>5#</w:t>
            </w:r>
            <w:r>
              <w:rPr>
                <w:rFonts w:hint="eastAsia"/>
              </w:rPr>
              <w:t>弃土场</w:t>
            </w:r>
          </w:p>
        </w:tc>
        <w:tc>
          <w:tcPr>
            <w:tcW w:w="442" w:type="pct"/>
            <w:vAlign w:val="center"/>
          </w:tcPr>
          <w:p w14:paraId="3104CDBE">
            <w:pPr>
              <w:pStyle w:val="28"/>
              <w:bidi w:val="0"/>
            </w:pPr>
            <w:r>
              <w:t>116.73476011</w:t>
            </w:r>
            <w:r>
              <w:rPr>
                <w:rFonts w:hint="eastAsia"/>
              </w:rPr>
              <w:t>，</w:t>
            </w:r>
            <w:r>
              <w:t>32.31474193</w:t>
            </w:r>
          </w:p>
        </w:tc>
        <w:tc>
          <w:tcPr>
            <w:tcW w:w="398" w:type="pct"/>
            <w:vAlign w:val="center"/>
          </w:tcPr>
          <w:p w14:paraId="03EEEE5C">
            <w:pPr>
              <w:pStyle w:val="28"/>
              <w:bidi w:val="0"/>
            </w:pPr>
            <w:r>
              <w:t>0.99</w:t>
            </w:r>
          </w:p>
        </w:tc>
        <w:tc>
          <w:tcPr>
            <w:tcW w:w="450" w:type="pct"/>
            <w:vAlign w:val="center"/>
          </w:tcPr>
          <w:p w14:paraId="08C1F1FF">
            <w:pPr>
              <w:pStyle w:val="28"/>
              <w:bidi w:val="0"/>
            </w:pPr>
            <w:r>
              <w:t>0</w:t>
            </w:r>
          </w:p>
        </w:tc>
        <w:tc>
          <w:tcPr>
            <w:tcW w:w="375" w:type="pct"/>
            <w:vAlign w:val="center"/>
          </w:tcPr>
          <w:p w14:paraId="6BB2FAAC">
            <w:pPr>
              <w:pStyle w:val="28"/>
              <w:bidi w:val="0"/>
            </w:pPr>
            <w:r>
              <w:t>4.54</w:t>
            </w:r>
          </w:p>
        </w:tc>
        <w:tc>
          <w:tcPr>
            <w:tcW w:w="337" w:type="pct"/>
            <w:vAlign w:val="center"/>
          </w:tcPr>
          <w:p w14:paraId="36997940">
            <w:pPr>
              <w:pStyle w:val="28"/>
              <w:bidi w:val="0"/>
            </w:pPr>
            <w:r>
              <w:t>3</w:t>
            </w:r>
          </w:p>
        </w:tc>
        <w:tc>
          <w:tcPr>
            <w:tcW w:w="344" w:type="pct"/>
            <w:vAlign w:val="center"/>
          </w:tcPr>
          <w:p w14:paraId="58024E19">
            <w:pPr>
              <w:pStyle w:val="28"/>
              <w:bidi w:val="0"/>
            </w:pPr>
            <w:r>
              <w:rPr>
                <w:rFonts w:hint="eastAsia"/>
              </w:rPr>
              <w:t>水塘</w:t>
            </w:r>
          </w:p>
        </w:tc>
        <w:tc>
          <w:tcPr>
            <w:tcW w:w="934" w:type="pct"/>
            <w:noWrap/>
            <w:vAlign w:val="center"/>
          </w:tcPr>
          <w:p w14:paraId="0E7A95BA">
            <w:pPr>
              <w:pStyle w:val="28"/>
              <w:bidi w:val="0"/>
            </w:pPr>
            <w:r>
              <w:drawing>
                <wp:inline distT="0" distB="0" distL="114300" distR="114300">
                  <wp:extent cx="1692275" cy="1261110"/>
                  <wp:effectExtent l="0" t="0" r="9525" b="8890"/>
                  <wp:docPr id="17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22"/>
                          <pic:cNvPicPr>
                            <a:picLocks noChangeAspect="1"/>
                          </pic:cNvPicPr>
                        </pic:nvPicPr>
                        <pic:blipFill>
                          <a:blip r:embed="rId77"/>
                          <a:srcRect/>
                          <a:stretch>
                            <a:fillRect/>
                          </a:stretch>
                        </pic:blipFill>
                        <pic:spPr>
                          <a:xfrm>
                            <a:off x="0" y="0"/>
                            <a:ext cx="1692275" cy="1261110"/>
                          </a:xfrm>
                          <a:prstGeom prst="rect">
                            <a:avLst/>
                          </a:prstGeom>
                          <a:noFill/>
                          <a:ln>
                            <a:noFill/>
                          </a:ln>
                        </pic:spPr>
                      </pic:pic>
                    </a:graphicData>
                  </a:graphic>
                </wp:inline>
              </w:drawing>
            </w:r>
          </w:p>
        </w:tc>
        <w:tc>
          <w:tcPr>
            <w:tcW w:w="995" w:type="pct"/>
            <w:noWrap/>
            <w:vAlign w:val="center"/>
          </w:tcPr>
          <w:p w14:paraId="4FE7BDCB">
            <w:pPr>
              <w:pStyle w:val="28"/>
              <w:bidi w:val="0"/>
            </w:pPr>
            <w:r>
              <w:t>不涉及饮用水水源保护区和生态保护红线，距离最近的敏感点为</w:t>
            </w:r>
            <w:r>
              <w:rPr>
                <w:rFonts w:hint="eastAsia"/>
              </w:rPr>
              <w:t>西</w:t>
            </w:r>
            <w:r>
              <w:t>侧</w:t>
            </w:r>
            <w:r>
              <w:rPr>
                <w:rFonts w:hint="eastAsia"/>
              </w:rPr>
              <w:t>徐家盐行</w:t>
            </w:r>
            <w:r>
              <w:t>居民点（</w:t>
            </w:r>
            <w:r>
              <w:rPr>
                <w:rFonts w:hint="eastAsia"/>
              </w:rPr>
              <w:t>80</w:t>
            </w:r>
            <w:r>
              <w:t>m），通过加强弃土场和运输道路抑尘降噪措施，选址满足要求</w:t>
            </w:r>
          </w:p>
        </w:tc>
      </w:tr>
      <w:tr w14:paraId="3FC37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0256D8E8">
            <w:pPr>
              <w:pStyle w:val="28"/>
              <w:bidi w:val="0"/>
            </w:pPr>
          </w:p>
        </w:tc>
        <w:tc>
          <w:tcPr>
            <w:tcW w:w="423" w:type="pct"/>
            <w:noWrap/>
            <w:vAlign w:val="center"/>
          </w:tcPr>
          <w:p w14:paraId="4E1F41AA">
            <w:pPr>
              <w:pStyle w:val="28"/>
              <w:bidi w:val="0"/>
            </w:pPr>
            <w:r>
              <w:t>6#</w:t>
            </w:r>
            <w:r>
              <w:rPr>
                <w:rFonts w:hint="eastAsia"/>
              </w:rPr>
              <w:t>弃土场</w:t>
            </w:r>
          </w:p>
        </w:tc>
        <w:tc>
          <w:tcPr>
            <w:tcW w:w="442" w:type="pct"/>
            <w:vAlign w:val="center"/>
          </w:tcPr>
          <w:p w14:paraId="0BC6E987">
            <w:pPr>
              <w:pStyle w:val="28"/>
              <w:bidi w:val="0"/>
            </w:pPr>
            <w:r>
              <w:t>116.77506298</w:t>
            </w:r>
            <w:r>
              <w:rPr>
                <w:rFonts w:hint="eastAsia"/>
              </w:rPr>
              <w:t>，</w:t>
            </w:r>
            <w:r>
              <w:t>32.36491951</w:t>
            </w:r>
          </w:p>
        </w:tc>
        <w:tc>
          <w:tcPr>
            <w:tcW w:w="398" w:type="pct"/>
            <w:vAlign w:val="center"/>
          </w:tcPr>
          <w:p w14:paraId="5AEAC56F">
            <w:pPr>
              <w:pStyle w:val="28"/>
              <w:bidi w:val="0"/>
            </w:pPr>
            <w:r>
              <w:t>0.67</w:t>
            </w:r>
          </w:p>
        </w:tc>
        <w:tc>
          <w:tcPr>
            <w:tcW w:w="450" w:type="pct"/>
            <w:vAlign w:val="center"/>
          </w:tcPr>
          <w:p w14:paraId="1FCE9BDE">
            <w:pPr>
              <w:pStyle w:val="28"/>
              <w:bidi w:val="0"/>
            </w:pPr>
            <w:r>
              <w:t>0</w:t>
            </w:r>
          </w:p>
        </w:tc>
        <w:tc>
          <w:tcPr>
            <w:tcW w:w="375" w:type="pct"/>
            <w:vAlign w:val="center"/>
          </w:tcPr>
          <w:p w14:paraId="6FF2A812">
            <w:pPr>
              <w:pStyle w:val="28"/>
              <w:bidi w:val="0"/>
            </w:pPr>
            <w:r>
              <w:t>2.08</w:t>
            </w:r>
          </w:p>
        </w:tc>
        <w:tc>
          <w:tcPr>
            <w:tcW w:w="337" w:type="pct"/>
            <w:vAlign w:val="center"/>
          </w:tcPr>
          <w:p w14:paraId="7AC6497B">
            <w:pPr>
              <w:pStyle w:val="28"/>
              <w:bidi w:val="0"/>
            </w:pPr>
            <w:r>
              <w:t>3</w:t>
            </w:r>
          </w:p>
        </w:tc>
        <w:tc>
          <w:tcPr>
            <w:tcW w:w="344" w:type="pct"/>
            <w:vAlign w:val="center"/>
          </w:tcPr>
          <w:p w14:paraId="57259E61">
            <w:pPr>
              <w:pStyle w:val="28"/>
              <w:bidi w:val="0"/>
            </w:pPr>
            <w:r>
              <w:rPr>
                <w:rFonts w:hint="eastAsia"/>
              </w:rPr>
              <w:t>耕地</w:t>
            </w:r>
          </w:p>
        </w:tc>
        <w:tc>
          <w:tcPr>
            <w:tcW w:w="934" w:type="pct"/>
            <w:noWrap/>
            <w:vAlign w:val="center"/>
          </w:tcPr>
          <w:p w14:paraId="5D1A275E">
            <w:pPr>
              <w:pStyle w:val="28"/>
              <w:bidi w:val="0"/>
            </w:pPr>
            <w:r>
              <w:drawing>
                <wp:inline distT="0" distB="0" distL="114300" distR="114300">
                  <wp:extent cx="1692275" cy="1319530"/>
                  <wp:effectExtent l="0" t="0" r="9525" b="1270"/>
                  <wp:docPr id="17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23"/>
                          <pic:cNvPicPr>
                            <a:picLocks noChangeAspect="1"/>
                          </pic:cNvPicPr>
                        </pic:nvPicPr>
                        <pic:blipFill>
                          <a:blip r:embed="rId78"/>
                          <a:stretch>
                            <a:fillRect/>
                          </a:stretch>
                        </pic:blipFill>
                        <pic:spPr>
                          <a:xfrm>
                            <a:off x="0" y="0"/>
                            <a:ext cx="1692275" cy="1319530"/>
                          </a:xfrm>
                          <a:prstGeom prst="rect">
                            <a:avLst/>
                          </a:prstGeom>
                          <a:noFill/>
                          <a:ln>
                            <a:noFill/>
                          </a:ln>
                        </pic:spPr>
                      </pic:pic>
                    </a:graphicData>
                  </a:graphic>
                </wp:inline>
              </w:drawing>
            </w:r>
          </w:p>
        </w:tc>
        <w:tc>
          <w:tcPr>
            <w:tcW w:w="995" w:type="pct"/>
            <w:noWrap/>
            <w:vAlign w:val="center"/>
          </w:tcPr>
          <w:p w14:paraId="32C8F95D">
            <w:pPr>
              <w:pStyle w:val="28"/>
              <w:bidi w:val="0"/>
            </w:pPr>
            <w:r>
              <w:t>不涉及饮用水水源保护区和生态保护红线，距离最近的敏感点为</w:t>
            </w:r>
            <w:r>
              <w:rPr>
                <w:rFonts w:hint="eastAsia"/>
              </w:rPr>
              <w:t>东南</w:t>
            </w:r>
            <w:r>
              <w:t>侧</w:t>
            </w:r>
            <w:r>
              <w:rPr>
                <w:rFonts w:hint="eastAsia"/>
              </w:rPr>
              <w:t>寿县大光中学</w:t>
            </w:r>
            <w:r>
              <w:t>（</w:t>
            </w:r>
            <w:r>
              <w:rPr>
                <w:rFonts w:hint="eastAsia"/>
              </w:rPr>
              <w:t>145</w:t>
            </w:r>
            <w:r>
              <w:t>m），通过加强弃土场和运输道路抑尘降噪措施，选址满足要求</w:t>
            </w:r>
          </w:p>
        </w:tc>
      </w:tr>
      <w:tr w14:paraId="1FFE55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447C1C21">
            <w:pPr>
              <w:pStyle w:val="28"/>
              <w:bidi w:val="0"/>
            </w:pPr>
          </w:p>
        </w:tc>
        <w:tc>
          <w:tcPr>
            <w:tcW w:w="423" w:type="pct"/>
            <w:noWrap/>
            <w:vAlign w:val="center"/>
          </w:tcPr>
          <w:p w14:paraId="312E2024">
            <w:pPr>
              <w:pStyle w:val="28"/>
              <w:bidi w:val="0"/>
            </w:pPr>
            <w:r>
              <w:t>7#</w:t>
            </w:r>
            <w:r>
              <w:rPr>
                <w:rFonts w:hint="eastAsia"/>
              </w:rPr>
              <w:t>弃土场</w:t>
            </w:r>
          </w:p>
        </w:tc>
        <w:tc>
          <w:tcPr>
            <w:tcW w:w="442" w:type="pct"/>
            <w:vAlign w:val="center"/>
          </w:tcPr>
          <w:p w14:paraId="34A1E644">
            <w:pPr>
              <w:pStyle w:val="28"/>
              <w:bidi w:val="0"/>
            </w:pPr>
            <w:r>
              <w:t>116.95921978</w:t>
            </w:r>
            <w:r>
              <w:rPr>
                <w:rFonts w:hint="eastAsia"/>
              </w:rPr>
              <w:t>，</w:t>
            </w:r>
            <w:r>
              <w:t>31.79838917</w:t>
            </w:r>
          </w:p>
        </w:tc>
        <w:tc>
          <w:tcPr>
            <w:tcW w:w="398" w:type="pct"/>
            <w:vAlign w:val="center"/>
          </w:tcPr>
          <w:p w14:paraId="0687F082">
            <w:pPr>
              <w:pStyle w:val="28"/>
              <w:bidi w:val="0"/>
            </w:pPr>
            <w:r>
              <w:t>2.71</w:t>
            </w:r>
          </w:p>
        </w:tc>
        <w:tc>
          <w:tcPr>
            <w:tcW w:w="450" w:type="pct"/>
            <w:vAlign w:val="center"/>
          </w:tcPr>
          <w:p w14:paraId="2FB74019">
            <w:pPr>
              <w:pStyle w:val="28"/>
              <w:bidi w:val="0"/>
            </w:pPr>
            <w:r>
              <w:t>0</w:t>
            </w:r>
          </w:p>
        </w:tc>
        <w:tc>
          <w:tcPr>
            <w:tcW w:w="375" w:type="pct"/>
            <w:vAlign w:val="center"/>
          </w:tcPr>
          <w:p w14:paraId="040F469A">
            <w:pPr>
              <w:pStyle w:val="28"/>
              <w:bidi w:val="0"/>
            </w:pPr>
            <w:r>
              <w:t>8.02</w:t>
            </w:r>
          </w:p>
        </w:tc>
        <w:tc>
          <w:tcPr>
            <w:tcW w:w="337" w:type="pct"/>
            <w:vAlign w:val="center"/>
          </w:tcPr>
          <w:p w14:paraId="46FC6E6B">
            <w:pPr>
              <w:pStyle w:val="28"/>
              <w:bidi w:val="0"/>
            </w:pPr>
            <w:r>
              <w:t>3</w:t>
            </w:r>
          </w:p>
        </w:tc>
        <w:tc>
          <w:tcPr>
            <w:tcW w:w="344" w:type="pct"/>
            <w:vAlign w:val="center"/>
          </w:tcPr>
          <w:p w14:paraId="36763A99">
            <w:pPr>
              <w:pStyle w:val="28"/>
              <w:bidi w:val="0"/>
            </w:pPr>
            <w:r>
              <w:rPr>
                <w:rFonts w:hint="eastAsia"/>
              </w:rPr>
              <w:t>耕地</w:t>
            </w:r>
          </w:p>
        </w:tc>
        <w:tc>
          <w:tcPr>
            <w:tcW w:w="934" w:type="pct"/>
            <w:noWrap/>
            <w:vAlign w:val="center"/>
          </w:tcPr>
          <w:p w14:paraId="74CDFE99">
            <w:pPr>
              <w:pStyle w:val="28"/>
              <w:bidi w:val="0"/>
            </w:pPr>
            <w:r>
              <w:drawing>
                <wp:inline distT="0" distB="0" distL="114300" distR="114300">
                  <wp:extent cx="1692275" cy="998855"/>
                  <wp:effectExtent l="0" t="0" r="9525" b="4445"/>
                  <wp:docPr id="17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24"/>
                          <pic:cNvPicPr>
                            <a:picLocks noChangeAspect="1"/>
                          </pic:cNvPicPr>
                        </pic:nvPicPr>
                        <pic:blipFill>
                          <a:blip r:embed="rId79"/>
                          <a:stretch>
                            <a:fillRect/>
                          </a:stretch>
                        </pic:blipFill>
                        <pic:spPr>
                          <a:xfrm>
                            <a:off x="0" y="0"/>
                            <a:ext cx="1692275" cy="998855"/>
                          </a:xfrm>
                          <a:prstGeom prst="rect">
                            <a:avLst/>
                          </a:prstGeom>
                          <a:noFill/>
                          <a:ln>
                            <a:noFill/>
                          </a:ln>
                        </pic:spPr>
                      </pic:pic>
                    </a:graphicData>
                  </a:graphic>
                </wp:inline>
              </w:drawing>
            </w:r>
          </w:p>
        </w:tc>
        <w:tc>
          <w:tcPr>
            <w:tcW w:w="995" w:type="pct"/>
            <w:noWrap/>
            <w:vAlign w:val="center"/>
          </w:tcPr>
          <w:p w14:paraId="438E6199">
            <w:pPr>
              <w:pStyle w:val="28"/>
              <w:bidi w:val="0"/>
            </w:pPr>
            <w:r>
              <w:t>不涉及饮用水水源保护区和生态保护红线，距离最近的敏感点为</w:t>
            </w:r>
            <w:r>
              <w:rPr>
                <w:rFonts w:hint="eastAsia"/>
              </w:rPr>
              <w:t>西南</w:t>
            </w:r>
            <w:r>
              <w:t>侧</w:t>
            </w:r>
            <w:r>
              <w:rPr>
                <w:rFonts w:hint="eastAsia"/>
              </w:rPr>
              <w:t>周新庄</w:t>
            </w:r>
            <w:r>
              <w:t>（</w:t>
            </w:r>
            <w:r>
              <w:rPr>
                <w:rFonts w:hint="eastAsia"/>
              </w:rPr>
              <w:t>135</w:t>
            </w:r>
            <w:r>
              <w:t>m），通过加强弃土场和运输道路抑尘降噪措施，选址满足要求</w:t>
            </w:r>
          </w:p>
        </w:tc>
      </w:tr>
      <w:tr w14:paraId="7D9FA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18893D95">
            <w:pPr>
              <w:pStyle w:val="28"/>
              <w:bidi w:val="0"/>
            </w:pPr>
          </w:p>
        </w:tc>
        <w:tc>
          <w:tcPr>
            <w:tcW w:w="423" w:type="pct"/>
            <w:noWrap/>
            <w:vAlign w:val="center"/>
          </w:tcPr>
          <w:p w14:paraId="7A6A50F9">
            <w:pPr>
              <w:pStyle w:val="28"/>
              <w:bidi w:val="0"/>
            </w:pPr>
            <w:r>
              <w:t>8#</w:t>
            </w:r>
            <w:r>
              <w:rPr>
                <w:rFonts w:hint="eastAsia"/>
              </w:rPr>
              <w:t>弃土场</w:t>
            </w:r>
          </w:p>
        </w:tc>
        <w:tc>
          <w:tcPr>
            <w:tcW w:w="442" w:type="pct"/>
            <w:vAlign w:val="center"/>
          </w:tcPr>
          <w:p w14:paraId="022EEAA7">
            <w:pPr>
              <w:pStyle w:val="28"/>
              <w:bidi w:val="0"/>
            </w:pPr>
            <w:r>
              <w:t>116.89491749</w:t>
            </w:r>
            <w:r>
              <w:rPr>
                <w:rFonts w:hint="eastAsia"/>
              </w:rPr>
              <w:t>，</w:t>
            </w:r>
            <w:r>
              <w:t>32.17134653</w:t>
            </w:r>
          </w:p>
        </w:tc>
        <w:tc>
          <w:tcPr>
            <w:tcW w:w="398" w:type="pct"/>
            <w:vAlign w:val="center"/>
          </w:tcPr>
          <w:p w14:paraId="6C16B7F1">
            <w:pPr>
              <w:pStyle w:val="28"/>
              <w:bidi w:val="0"/>
            </w:pPr>
            <w:r>
              <w:t>2.52</w:t>
            </w:r>
          </w:p>
        </w:tc>
        <w:tc>
          <w:tcPr>
            <w:tcW w:w="450" w:type="pct"/>
            <w:vAlign w:val="center"/>
          </w:tcPr>
          <w:p w14:paraId="33B40F6D">
            <w:pPr>
              <w:pStyle w:val="28"/>
              <w:bidi w:val="0"/>
            </w:pPr>
            <w:r>
              <w:t>0</w:t>
            </w:r>
          </w:p>
        </w:tc>
        <w:tc>
          <w:tcPr>
            <w:tcW w:w="375" w:type="pct"/>
            <w:vAlign w:val="center"/>
          </w:tcPr>
          <w:p w14:paraId="2C409D06">
            <w:pPr>
              <w:pStyle w:val="28"/>
              <w:bidi w:val="0"/>
            </w:pPr>
            <w:r>
              <w:t>7.5</w:t>
            </w:r>
          </w:p>
        </w:tc>
        <w:tc>
          <w:tcPr>
            <w:tcW w:w="337" w:type="pct"/>
            <w:vAlign w:val="center"/>
          </w:tcPr>
          <w:p w14:paraId="16CE012D">
            <w:pPr>
              <w:pStyle w:val="28"/>
              <w:bidi w:val="0"/>
            </w:pPr>
            <w:r>
              <w:t>3</w:t>
            </w:r>
          </w:p>
        </w:tc>
        <w:tc>
          <w:tcPr>
            <w:tcW w:w="344" w:type="pct"/>
            <w:vAlign w:val="center"/>
          </w:tcPr>
          <w:p w14:paraId="44819D74">
            <w:pPr>
              <w:pStyle w:val="28"/>
              <w:bidi w:val="0"/>
            </w:pPr>
            <w:r>
              <w:rPr>
                <w:rFonts w:hint="eastAsia"/>
              </w:rPr>
              <w:t>耕地</w:t>
            </w:r>
          </w:p>
        </w:tc>
        <w:tc>
          <w:tcPr>
            <w:tcW w:w="934" w:type="pct"/>
            <w:noWrap/>
            <w:vAlign w:val="center"/>
          </w:tcPr>
          <w:p w14:paraId="5E7FD7A8">
            <w:pPr>
              <w:pStyle w:val="28"/>
              <w:bidi w:val="0"/>
            </w:pPr>
            <w:r>
              <w:drawing>
                <wp:inline distT="0" distB="0" distL="114300" distR="114300">
                  <wp:extent cx="1692275" cy="1173480"/>
                  <wp:effectExtent l="0" t="0" r="9525" b="7620"/>
                  <wp:docPr id="17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25"/>
                          <pic:cNvPicPr>
                            <a:picLocks noChangeAspect="1"/>
                          </pic:cNvPicPr>
                        </pic:nvPicPr>
                        <pic:blipFill>
                          <a:blip r:embed="rId80"/>
                          <a:stretch>
                            <a:fillRect/>
                          </a:stretch>
                        </pic:blipFill>
                        <pic:spPr>
                          <a:xfrm>
                            <a:off x="0" y="0"/>
                            <a:ext cx="1692275" cy="1173480"/>
                          </a:xfrm>
                          <a:prstGeom prst="rect">
                            <a:avLst/>
                          </a:prstGeom>
                          <a:noFill/>
                          <a:ln>
                            <a:noFill/>
                          </a:ln>
                        </pic:spPr>
                      </pic:pic>
                    </a:graphicData>
                  </a:graphic>
                </wp:inline>
              </w:drawing>
            </w:r>
          </w:p>
        </w:tc>
        <w:tc>
          <w:tcPr>
            <w:tcW w:w="995" w:type="pct"/>
            <w:noWrap/>
            <w:vAlign w:val="center"/>
          </w:tcPr>
          <w:p w14:paraId="22F91F45">
            <w:pPr>
              <w:pStyle w:val="28"/>
              <w:bidi w:val="0"/>
            </w:pPr>
            <w:r>
              <w:t>不涉及饮用水水源保护区和生态保护红线，200m范围内无居民敏感点，选址满足要求</w:t>
            </w:r>
          </w:p>
        </w:tc>
      </w:tr>
      <w:tr w14:paraId="0EE3B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367FD33A">
            <w:pPr>
              <w:pStyle w:val="28"/>
              <w:bidi w:val="0"/>
            </w:pPr>
          </w:p>
        </w:tc>
        <w:tc>
          <w:tcPr>
            <w:tcW w:w="423" w:type="pct"/>
            <w:noWrap/>
            <w:vAlign w:val="center"/>
          </w:tcPr>
          <w:p w14:paraId="7A2960A1">
            <w:pPr>
              <w:pStyle w:val="28"/>
              <w:bidi w:val="0"/>
            </w:pPr>
            <w:r>
              <w:t>9#</w:t>
            </w:r>
            <w:r>
              <w:rPr>
                <w:rFonts w:hint="eastAsia"/>
              </w:rPr>
              <w:t>弃土场</w:t>
            </w:r>
          </w:p>
        </w:tc>
        <w:tc>
          <w:tcPr>
            <w:tcW w:w="442" w:type="pct"/>
            <w:vAlign w:val="center"/>
          </w:tcPr>
          <w:p w14:paraId="24201C37">
            <w:pPr>
              <w:pStyle w:val="28"/>
              <w:bidi w:val="0"/>
            </w:pPr>
            <w:r>
              <w:t>116.92390680</w:t>
            </w:r>
            <w:r>
              <w:rPr>
                <w:rFonts w:hint="eastAsia"/>
              </w:rPr>
              <w:t>，</w:t>
            </w:r>
            <w:r>
              <w:t>32.11698875</w:t>
            </w:r>
          </w:p>
        </w:tc>
        <w:tc>
          <w:tcPr>
            <w:tcW w:w="398" w:type="pct"/>
            <w:vAlign w:val="center"/>
          </w:tcPr>
          <w:p w14:paraId="24DA5E50">
            <w:pPr>
              <w:pStyle w:val="28"/>
              <w:bidi w:val="0"/>
            </w:pPr>
            <w:r>
              <w:t>1.32</w:t>
            </w:r>
          </w:p>
        </w:tc>
        <w:tc>
          <w:tcPr>
            <w:tcW w:w="450" w:type="pct"/>
            <w:vAlign w:val="center"/>
          </w:tcPr>
          <w:p w14:paraId="67CDB5BD">
            <w:pPr>
              <w:pStyle w:val="28"/>
              <w:bidi w:val="0"/>
            </w:pPr>
            <w:r>
              <w:t>0</w:t>
            </w:r>
          </w:p>
        </w:tc>
        <w:tc>
          <w:tcPr>
            <w:tcW w:w="375" w:type="pct"/>
            <w:vAlign w:val="center"/>
          </w:tcPr>
          <w:p w14:paraId="2D01DBF3">
            <w:pPr>
              <w:pStyle w:val="28"/>
              <w:bidi w:val="0"/>
            </w:pPr>
            <w:r>
              <w:t>3.89</w:t>
            </w:r>
          </w:p>
        </w:tc>
        <w:tc>
          <w:tcPr>
            <w:tcW w:w="337" w:type="pct"/>
            <w:vAlign w:val="center"/>
          </w:tcPr>
          <w:p w14:paraId="41FC9DD4">
            <w:pPr>
              <w:pStyle w:val="28"/>
              <w:bidi w:val="0"/>
            </w:pPr>
            <w:r>
              <w:t>3</w:t>
            </w:r>
          </w:p>
        </w:tc>
        <w:tc>
          <w:tcPr>
            <w:tcW w:w="344" w:type="pct"/>
            <w:vAlign w:val="center"/>
          </w:tcPr>
          <w:p w14:paraId="68604D1B">
            <w:pPr>
              <w:pStyle w:val="28"/>
              <w:bidi w:val="0"/>
            </w:pPr>
            <w:r>
              <w:rPr>
                <w:rFonts w:hint="eastAsia"/>
              </w:rPr>
              <w:t>耕地</w:t>
            </w:r>
          </w:p>
        </w:tc>
        <w:tc>
          <w:tcPr>
            <w:tcW w:w="934" w:type="pct"/>
            <w:noWrap/>
            <w:vAlign w:val="center"/>
          </w:tcPr>
          <w:p w14:paraId="3E410DA3">
            <w:pPr>
              <w:pStyle w:val="28"/>
              <w:bidi w:val="0"/>
            </w:pPr>
            <w:r>
              <w:drawing>
                <wp:inline distT="0" distB="0" distL="114300" distR="114300">
                  <wp:extent cx="1692275" cy="1370965"/>
                  <wp:effectExtent l="0" t="0" r="9525" b="635"/>
                  <wp:docPr id="17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26"/>
                          <pic:cNvPicPr>
                            <a:picLocks noChangeAspect="1"/>
                          </pic:cNvPicPr>
                        </pic:nvPicPr>
                        <pic:blipFill>
                          <a:blip r:embed="rId81"/>
                          <a:stretch>
                            <a:fillRect/>
                          </a:stretch>
                        </pic:blipFill>
                        <pic:spPr>
                          <a:xfrm>
                            <a:off x="0" y="0"/>
                            <a:ext cx="1692275" cy="1370965"/>
                          </a:xfrm>
                          <a:prstGeom prst="rect">
                            <a:avLst/>
                          </a:prstGeom>
                          <a:noFill/>
                          <a:ln>
                            <a:noFill/>
                          </a:ln>
                        </pic:spPr>
                      </pic:pic>
                    </a:graphicData>
                  </a:graphic>
                </wp:inline>
              </w:drawing>
            </w:r>
          </w:p>
        </w:tc>
        <w:tc>
          <w:tcPr>
            <w:tcW w:w="995" w:type="pct"/>
            <w:noWrap/>
            <w:vAlign w:val="center"/>
          </w:tcPr>
          <w:p w14:paraId="41D6A273">
            <w:pPr>
              <w:pStyle w:val="28"/>
              <w:bidi w:val="0"/>
            </w:pPr>
            <w:r>
              <w:t>不涉及饮用水水源保护区和生态保护红线，距离最近的敏感点为</w:t>
            </w:r>
            <w:r>
              <w:rPr>
                <w:rFonts w:hint="eastAsia"/>
              </w:rPr>
              <w:t>西南</w:t>
            </w:r>
            <w:r>
              <w:t>侧</w:t>
            </w:r>
            <w:r>
              <w:rPr>
                <w:rFonts w:hint="eastAsia"/>
              </w:rPr>
              <w:t>陆堰</w:t>
            </w:r>
            <w:r>
              <w:t>（</w:t>
            </w:r>
            <w:r>
              <w:rPr>
                <w:rFonts w:hint="eastAsia"/>
              </w:rPr>
              <w:t>141</w:t>
            </w:r>
            <w:r>
              <w:t>m），通过加强弃土场和运输道路抑尘降噪措施，选址满足要求</w:t>
            </w:r>
          </w:p>
        </w:tc>
      </w:tr>
      <w:tr w14:paraId="49427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1CA2087C">
            <w:pPr>
              <w:pStyle w:val="28"/>
              <w:bidi w:val="0"/>
            </w:pPr>
          </w:p>
        </w:tc>
        <w:tc>
          <w:tcPr>
            <w:tcW w:w="423" w:type="pct"/>
            <w:noWrap/>
            <w:vAlign w:val="center"/>
          </w:tcPr>
          <w:p w14:paraId="33654277">
            <w:pPr>
              <w:pStyle w:val="28"/>
              <w:bidi w:val="0"/>
            </w:pPr>
            <w:r>
              <w:t>10</w:t>
            </w:r>
            <w:r>
              <w:rPr>
                <w:rFonts w:hint="eastAsia"/>
              </w:rPr>
              <w:t>#弃土场</w:t>
            </w:r>
          </w:p>
        </w:tc>
        <w:tc>
          <w:tcPr>
            <w:tcW w:w="442" w:type="pct"/>
            <w:vAlign w:val="center"/>
          </w:tcPr>
          <w:p w14:paraId="6B0BF2D9">
            <w:pPr>
              <w:pStyle w:val="28"/>
              <w:bidi w:val="0"/>
            </w:pPr>
            <w:r>
              <w:t>116.55646026</w:t>
            </w:r>
            <w:r>
              <w:rPr>
                <w:rFonts w:hint="eastAsia"/>
              </w:rPr>
              <w:t>，</w:t>
            </w:r>
            <w:r>
              <w:t>32.32296551</w:t>
            </w:r>
          </w:p>
        </w:tc>
        <w:tc>
          <w:tcPr>
            <w:tcW w:w="398" w:type="pct"/>
            <w:vAlign w:val="center"/>
          </w:tcPr>
          <w:p w14:paraId="494BF548">
            <w:pPr>
              <w:pStyle w:val="28"/>
              <w:bidi w:val="0"/>
            </w:pPr>
            <w:r>
              <w:t>1.36</w:t>
            </w:r>
          </w:p>
        </w:tc>
        <w:tc>
          <w:tcPr>
            <w:tcW w:w="450" w:type="pct"/>
            <w:vAlign w:val="center"/>
          </w:tcPr>
          <w:p w14:paraId="7649A697">
            <w:pPr>
              <w:pStyle w:val="28"/>
              <w:bidi w:val="0"/>
            </w:pPr>
            <w:r>
              <w:t>0</w:t>
            </w:r>
          </w:p>
        </w:tc>
        <w:tc>
          <w:tcPr>
            <w:tcW w:w="375" w:type="pct"/>
            <w:vAlign w:val="center"/>
          </w:tcPr>
          <w:p w14:paraId="6098EBD5">
            <w:pPr>
              <w:pStyle w:val="28"/>
              <w:bidi w:val="0"/>
            </w:pPr>
            <w:r>
              <w:t>3.47</w:t>
            </w:r>
          </w:p>
        </w:tc>
        <w:tc>
          <w:tcPr>
            <w:tcW w:w="337" w:type="pct"/>
            <w:vAlign w:val="center"/>
          </w:tcPr>
          <w:p w14:paraId="69CE15F4">
            <w:pPr>
              <w:pStyle w:val="28"/>
              <w:bidi w:val="0"/>
            </w:pPr>
            <w:r>
              <w:t>3</w:t>
            </w:r>
          </w:p>
        </w:tc>
        <w:tc>
          <w:tcPr>
            <w:tcW w:w="344" w:type="pct"/>
            <w:vAlign w:val="center"/>
          </w:tcPr>
          <w:p w14:paraId="545407DE">
            <w:pPr>
              <w:pStyle w:val="28"/>
              <w:bidi w:val="0"/>
            </w:pPr>
            <w:r>
              <w:rPr>
                <w:rFonts w:hint="eastAsia"/>
              </w:rPr>
              <w:t>耕地</w:t>
            </w:r>
          </w:p>
        </w:tc>
        <w:tc>
          <w:tcPr>
            <w:tcW w:w="934" w:type="pct"/>
            <w:noWrap/>
            <w:vAlign w:val="center"/>
          </w:tcPr>
          <w:p w14:paraId="55B1BC73">
            <w:pPr>
              <w:pStyle w:val="28"/>
              <w:bidi w:val="0"/>
            </w:pPr>
            <w:r>
              <w:drawing>
                <wp:inline distT="0" distB="0" distL="114300" distR="114300">
                  <wp:extent cx="1692275" cy="1036955"/>
                  <wp:effectExtent l="0" t="0" r="9525" b="4445"/>
                  <wp:docPr id="19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27"/>
                          <pic:cNvPicPr>
                            <a:picLocks noChangeAspect="1"/>
                          </pic:cNvPicPr>
                        </pic:nvPicPr>
                        <pic:blipFill>
                          <a:blip r:embed="rId82"/>
                          <a:stretch>
                            <a:fillRect/>
                          </a:stretch>
                        </pic:blipFill>
                        <pic:spPr>
                          <a:xfrm>
                            <a:off x="0" y="0"/>
                            <a:ext cx="1692275" cy="1036955"/>
                          </a:xfrm>
                          <a:prstGeom prst="rect">
                            <a:avLst/>
                          </a:prstGeom>
                          <a:noFill/>
                          <a:ln>
                            <a:noFill/>
                          </a:ln>
                        </pic:spPr>
                      </pic:pic>
                    </a:graphicData>
                  </a:graphic>
                </wp:inline>
              </w:drawing>
            </w:r>
          </w:p>
        </w:tc>
        <w:tc>
          <w:tcPr>
            <w:tcW w:w="995" w:type="pct"/>
            <w:noWrap/>
            <w:vAlign w:val="center"/>
          </w:tcPr>
          <w:p w14:paraId="47DA9C94">
            <w:pPr>
              <w:pStyle w:val="28"/>
              <w:bidi w:val="0"/>
            </w:pPr>
            <w:r>
              <w:t>不涉及饮用水水源保护区和生态保护红线，距离最近的敏感点为北侧新建村（170m），通过加强弃土场和运输道路抑尘降噪措施，选址满足要求</w:t>
            </w:r>
          </w:p>
        </w:tc>
      </w:tr>
      <w:tr w14:paraId="5B0196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3FAB3A29">
            <w:pPr>
              <w:pStyle w:val="28"/>
              <w:bidi w:val="0"/>
            </w:pPr>
          </w:p>
        </w:tc>
        <w:tc>
          <w:tcPr>
            <w:tcW w:w="423" w:type="pct"/>
            <w:noWrap/>
            <w:vAlign w:val="center"/>
          </w:tcPr>
          <w:p w14:paraId="1ACEB74E">
            <w:pPr>
              <w:pStyle w:val="28"/>
              <w:bidi w:val="0"/>
            </w:pPr>
            <w:r>
              <w:t>11</w:t>
            </w:r>
            <w:r>
              <w:rPr>
                <w:rFonts w:hint="eastAsia"/>
              </w:rPr>
              <w:t>#弃土场</w:t>
            </w:r>
          </w:p>
        </w:tc>
        <w:tc>
          <w:tcPr>
            <w:tcW w:w="442" w:type="pct"/>
            <w:vAlign w:val="center"/>
          </w:tcPr>
          <w:p w14:paraId="518DA7BE">
            <w:pPr>
              <w:pStyle w:val="28"/>
              <w:bidi w:val="0"/>
            </w:pPr>
            <w:r>
              <w:t>117.40358539</w:t>
            </w:r>
            <w:r>
              <w:rPr>
                <w:rFonts w:hint="eastAsia"/>
              </w:rPr>
              <w:t>，</w:t>
            </w:r>
            <w:r>
              <w:t>32.10736056</w:t>
            </w:r>
          </w:p>
        </w:tc>
        <w:tc>
          <w:tcPr>
            <w:tcW w:w="398" w:type="pct"/>
            <w:vAlign w:val="center"/>
          </w:tcPr>
          <w:p w14:paraId="68CEA2A0">
            <w:pPr>
              <w:pStyle w:val="28"/>
              <w:bidi w:val="0"/>
            </w:pPr>
            <w:r>
              <w:t>2</w:t>
            </w:r>
          </w:p>
        </w:tc>
        <w:tc>
          <w:tcPr>
            <w:tcW w:w="450" w:type="pct"/>
            <w:vAlign w:val="center"/>
          </w:tcPr>
          <w:p w14:paraId="58B1F9F2">
            <w:pPr>
              <w:pStyle w:val="28"/>
              <w:bidi w:val="0"/>
            </w:pPr>
            <w:r>
              <w:t>0</w:t>
            </w:r>
          </w:p>
        </w:tc>
        <w:tc>
          <w:tcPr>
            <w:tcW w:w="375" w:type="pct"/>
            <w:vAlign w:val="center"/>
          </w:tcPr>
          <w:p w14:paraId="4AD8F83C">
            <w:pPr>
              <w:pStyle w:val="28"/>
              <w:bidi w:val="0"/>
            </w:pPr>
            <w:r>
              <w:t>4.44</w:t>
            </w:r>
          </w:p>
        </w:tc>
        <w:tc>
          <w:tcPr>
            <w:tcW w:w="337" w:type="pct"/>
            <w:vAlign w:val="center"/>
          </w:tcPr>
          <w:p w14:paraId="3B70357B">
            <w:pPr>
              <w:pStyle w:val="28"/>
              <w:bidi w:val="0"/>
            </w:pPr>
            <w:r>
              <w:t>2.5</w:t>
            </w:r>
          </w:p>
        </w:tc>
        <w:tc>
          <w:tcPr>
            <w:tcW w:w="344" w:type="pct"/>
            <w:vAlign w:val="center"/>
          </w:tcPr>
          <w:p w14:paraId="7EF4A817">
            <w:pPr>
              <w:pStyle w:val="28"/>
              <w:bidi w:val="0"/>
            </w:pPr>
            <w:r>
              <w:rPr>
                <w:rFonts w:hint="eastAsia"/>
              </w:rPr>
              <w:t>耕地</w:t>
            </w:r>
          </w:p>
        </w:tc>
        <w:tc>
          <w:tcPr>
            <w:tcW w:w="934" w:type="pct"/>
            <w:noWrap/>
            <w:vAlign w:val="center"/>
          </w:tcPr>
          <w:p w14:paraId="33280CA1">
            <w:pPr>
              <w:pStyle w:val="28"/>
              <w:bidi w:val="0"/>
            </w:pPr>
            <w:r>
              <w:drawing>
                <wp:inline distT="0" distB="0" distL="114300" distR="114300">
                  <wp:extent cx="1692275" cy="1283335"/>
                  <wp:effectExtent l="0" t="0" r="9525" b="12065"/>
                  <wp:docPr id="17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28"/>
                          <pic:cNvPicPr>
                            <a:picLocks noChangeAspect="1"/>
                          </pic:cNvPicPr>
                        </pic:nvPicPr>
                        <pic:blipFill>
                          <a:blip r:embed="rId83"/>
                          <a:stretch>
                            <a:fillRect/>
                          </a:stretch>
                        </pic:blipFill>
                        <pic:spPr>
                          <a:xfrm>
                            <a:off x="0" y="0"/>
                            <a:ext cx="1692275" cy="1283335"/>
                          </a:xfrm>
                          <a:prstGeom prst="rect">
                            <a:avLst/>
                          </a:prstGeom>
                          <a:noFill/>
                          <a:ln>
                            <a:noFill/>
                          </a:ln>
                        </pic:spPr>
                      </pic:pic>
                    </a:graphicData>
                  </a:graphic>
                </wp:inline>
              </w:drawing>
            </w:r>
          </w:p>
        </w:tc>
        <w:tc>
          <w:tcPr>
            <w:tcW w:w="995" w:type="pct"/>
            <w:noWrap/>
            <w:vAlign w:val="center"/>
          </w:tcPr>
          <w:p w14:paraId="3A1289A6">
            <w:pPr>
              <w:pStyle w:val="28"/>
              <w:bidi w:val="0"/>
            </w:pPr>
            <w:r>
              <w:t>不涉及饮用水水源保护区和生态保护红线，距离最近的敏感点为</w:t>
            </w:r>
            <w:r>
              <w:rPr>
                <w:rFonts w:hint="eastAsia"/>
              </w:rPr>
              <w:t>北</w:t>
            </w:r>
            <w:r>
              <w:t>侧</w:t>
            </w:r>
            <w:r>
              <w:rPr>
                <w:rFonts w:hint="eastAsia"/>
              </w:rPr>
              <w:t>大封洼</w:t>
            </w:r>
            <w:r>
              <w:t>（</w:t>
            </w:r>
            <w:r>
              <w:rPr>
                <w:rFonts w:hint="eastAsia"/>
              </w:rPr>
              <w:t>105</w:t>
            </w:r>
            <w:r>
              <w:t>m），通过加强弃土场和运输道路抑尘降噪措施，选址满足要求</w:t>
            </w:r>
          </w:p>
        </w:tc>
      </w:tr>
      <w:tr w14:paraId="41286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41150F90">
            <w:pPr>
              <w:pStyle w:val="28"/>
              <w:bidi w:val="0"/>
            </w:pPr>
          </w:p>
        </w:tc>
        <w:tc>
          <w:tcPr>
            <w:tcW w:w="423" w:type="pct"/>
            <w:noWrap/>
            <w:vAlign w:val="center"/>
          </w:tcPr>
          <w:p w14:paraId="6D3C803A">
            <w:pPr>
              <w:pStyle w:val="28"/>
              <w:bidi w:val="0"/>
            </w:pPr>
            <w:r>
              <w:t>12</w:t>
            </w:r>
            <w:r>
              <w:rPr>
                <w:rFonts w:hint="eastAsia"/>
              </w:rPr>
              <w:t>#弃土场</w:t>
            </w:r>
          </w:p>
        </w:tc>
        <w:tc>
          <w:tcPr>
            <w:tcW w:w="442" w:type="pct"/>
            <w:vAlign w:val="center"/>
          </w:tcPr>
          <w:p w14:paraId="29B2A903">
            <w:pPr>
              <w:pStyle w:val="28"/>
              <w:bidi w:val="0"/>
            </w:pPr>
            <w:r>
              <w:t>117.38835812</w:t>
            </w:r>
            <w:r>
              <w:rPr>
                <w:rFonts w:hint="eastAsia"/>
              </w:rPr>
              <w:t>，</w:t>
            </w:r>
            <w:r>
              <w:t>32.12521660</w:t>
            </w:r>
          </w:p>
        </w:tc>
        <w:tc>
          <w:tcPr>
            <w:tcW w:w="398" w:type="pct"/>
            <w:vAlign w:val="center"/>
          </w:tcPr>
          <w:p w14:paraId="7229E462">
            <w:pPr>
              <w:pStyle w:val="28"/>
              <w:bidi w:val="0"/>
            </w:pPr>
            <w:r>
              <w:t>0.92</w:t>
            </w:r>
          </w:p>
        </w:tc>
        <w:tc>
          <w:tcPr>
            <w:tcW w:w="450" w:type="pct"/>
            <w:vAlign w:val="center"/>
          </w:tcPr>
          <w:p w14:paraId="4C99BA96">
            <w:pPr>
              <w:pStyle w:val="28"/>
              <w:bidi w:val="0"/>
            </w:pPr>
            <w:r>
              <w:t>0</w:t>
            </w:r>
          </w:p>
        </w:tc>
        <w:tc>
          <w:tcPr>
            <w:tcW w:w="375" w:type="pct"/>
            <w:vAlign w:val="center"/>
          </w:tcPr>
          <w:p w14:paraId="6F4D868A">
            <w:pPr>
              <w:pStyle w:val="28"/>
              <w:bidi w:val="0"/>
            </w:pPr>
            <w:r>
              <w:t>2.02</w:t>
            </w:r>
          </w:p>
        </w:tc>
        <w:tc>
          <w:tcPr>
            <w:tcW w:w="337" w:type="pct"/>
            <w:vAlign w:val="center"/>
          </w:tcPr>
          <w:p w14:paraId="3EE94868">
            <w:pPr>
              <w:pStyle w:val="28"/>
              <w:bidi w:val="0"/>
            </w:pPr>
            <w:r>
              <w:t>2.5</w:t>
            </w:r>
          </w:p>
        </w:tc>
        <w:tc>
          <w:tcPr>
            <w:tcW w:w="344" w:type="pct"/>
            <w:vAlign w:val="center"/>
          </w:tcPr>
          <w:p w14:paraId="5FA3AC11">
            <w:pPr>
              <w:pStyle w:val="28"/>
              <w:bidi w:val="0"/>
            </w:pPr>
            <w:r>
              <w:rPr>
                <w:rFonts w:hint="eastAsia"/>
              </w:rPr>
              <w:t>耕地</w:t>
            </w:r>
          </w:p>
        </w:tc>
        <w:tc>
          <w:tcPr>
            <w:tcW w:w="934" w:type="pct"/>
            <w:noWrap/>
            <w:vAlign w:val="center"/>
          </w:tcPr>
          <w:p w14:paraId="58DD8E59">
            <w:pPr>
              <w:pStyle w:val="28"/>
              <w:bidi w:val="0"/>
            </w:pPr>
            <w:r>
              <w:drawing>
                <wp:inline distT="0" distB="0" distL="114300" distR="114300">
                  <wp:extent cx="1692275" cy="1090930"/>
                  <wp:effectExtent l="0" t="0" r="9525" b="1270"/>
                  <wp:docPr id="19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29"/>
                          <pic:cNvPicPr>
                            <a:picLocks noChangeAspect="1"/>
                          </pic:cNvPicPr>
                        </pic:nvPicPr>
                        <pic:blipFill>
                          <a:blip r:embed="rId84"/>
                          <a:stretch>
                            <a:fillRect/>
                          </a:stretch>
                        </pic:blipFill>
                        <pic:spPr>
                          <a:xfrm>
                            <a:off x="0" y="0"/>
                            <a:ext cx="1692275" cy="1090930"/>
                          </a:xfrm>
                          <a:prstGeom prst="rect">
                            <a:avLst/>
                          </a:prstGeom>
                          <a:noFill/>
                          <a:ln>
                            <a:noFill/>
                          </a:ln>
                        </pic:spPr>
                      </pic:pic>
                    </a:graphicData>
                  </a:graphic>
                </wp:inline>
              </w:drawing>
            </w:r>
          </w:p>
        </w:tc>
        <w:tc>
          <w:tcPr>
            <w:tcW w:w="995" w:type="pct"/>
            <w:noWrap/>
            <w:vAlign w:val="center"/>
          </w:tcPr>
          <w:p w14:paraId="1AAECFAD">
            <w:pPr>
              <w:pStyle w:val="28"/>
              <w:bidi w:val="0"/>
            </w:pPr>
            <w:r>
              <w:t>不涉及饮用水水源保护区和生态保护红线，200m范围内无居民敏感点，选址满足要求</w:t>
            </w:r>
          </w:p>
        </w:tc>
      </w:tr>
      <w:tr w14:paraId="29862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35C51200">
            <w:pPr>
              <w:pStyle w:val="28"/>
              <w:bidi w:val="0"/>
            </w:pPr>
          </w:p>
        </w:tc>
        <w:tc>
          <w:tcPr>
            <w:tcW w:w="423" w:type="pct"/>
            <w:noWrap/>
            <w:vAlign w:val="center"/>
          </w:tcPr>
          <w:p w14:paraId="7AA027EE">
            <w:pPr>
              <w:pStyle w:val="28"/>
              <w:bidi w:val="0"/>
            </w:pPr>
            <w:r>
              <w:t>13</w:t>
            </w:r>
            <w:r>
              <w:rPr>
                <w:rFonts w:hint="eastAsia"/>
              </w:rPr>
              <w:t>#弃土场</w:t>
            </w:r>
          </w:p>
        </w:tc>
        <w:tc>
          <w:tcPr>
            <w:tcW w:w="442" w:type="pct"/>
            <w:vAlign w:val="center"/>
          </w:tcPr>
          <w:p w14:paraId="17D90730">
            <w:pPr>
              <w:pStyle w:val="28"/>
              <w:bidi w:val="0"/>
            </w:pPr>
            <w:r>
              <w:t>116.11138606</w:t>
            </w:r>
            <w:r>
              <w:rPr>
                <w:rFonts w:hint="eastAsia"/>
              </w:rPr>
              <w:t>，</w:t>
            </w:r>
            <w:r>
              <w:t>31.79344521</w:t>
            </w:r>
          </w:p>
        </w:tc>
        <w:tc>
          <w:tcPr>
            <w:tcW w:w="398" w:type="pct"/>
            <w:vAlign w:val="center"/>
          </w:tcPr>
          <w:p w14:paraId="56921D7B">
            <w:pPr>
              <w:pStyle w:val="28"/>
              <w:bidi w:val="0"/>
            </w:pPr>
            <w:r>
              <w:t>3.95</w:t>
            </w:r>
          </w:p>
        </w:tc>
        <w:tc>
          <w:tcPr>
            <w:tcW w:w="450" w:type="pct"/>
            <w:vAlign w:val="center"/>
          </w:tcPr>
          <w:p w14:paraId="6F32E462">
            <w:pPr>
              <w:pStyle w:val="28"/>
              <w:bidi w:val="0"/>
            </w:pPr>
            <w:r>
              <w:t>0</w:t>
            </w:r>
          </w:p>
        </w:tc>
        <w:tc>
          <w:tcPr>
            <w:tcW w:w="375" w:type="pct"/>
            <w:vAlign w:val="center"/>
          </w:tcPr>
          <w:p w14:paraId="22E66D61">
            <w:pPr>
              <w:pStyle w:val="28"/>
              <w:bidi w:val="0"/>
            </w:pPr>
            <w:r>
              <w:t>9.4</w:t>
            </w:r>
          </w:p>
        </w:tc>
        <w:tc>
          <w:tcPr>
            <w:tcW w:w="337" w:type="pct"/>
            <w:vAlign w:val="center"/>
          </w:tcPr>
          <w:p w14:paraId="6404194A">
            <w:pPr>
              <w:pStyle w:val="28"/>
              <w:bidi w:val="0"/>
            </w:pPr>
            <w:r>
              <w:t>2.5</w:t>
            </w:r>
          </w:p>
        </w:tc>
        <w:tc>
          <w:tcPr>
            <w:tcW w:w="344" w:type="pct"/>
            <w:vAlign w:val="center"/>
          </w:tcPr>
          <w:p w14:paraId="74842B66">
            <w:pPr>
              <w:pStyle w:val="28"/>
              <w:bidi w:val="0"/>
            </w:pPr>
            <w:r>
              <w:rPr>
                <w:rFonts w:hint="eastAsia"/>
              </w:rPr>
              <w:t>耕地</w:t>
            </w:r>
          </w:p>
        </w:tc>
        <w:tc>
          <w:tcPr>
            <w:tcW w:w="934" w:type="pct"/>
            <w:noWrap/>
            <w:vAlign w:val="center"/>
          </w:tcPr>
          <w:p w14:paraId="5FF40CCB">
            <w:pPr>
              <w:pStyle w:val="28"/>
              <w:bidi w:val="0"/>
            </w:pPr>
            <w:r>
              <w:drawing>
                <wp:inline distT="0" distB="0" distL="114300" distR="114300">
                  <wp:extent cx="1692275" cy="998220"/>
                  <wp:effectExtent l="0" t="0" r="9525" b="5080"/>
                  <wp:docPr id="19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30"/>
                          <pic:cNvPicPr>
                            <a:picLocks noChangeAspect="1"/>
                          </pic:cNvPicPr>
                        </pic:nvPicPr>
                        <pic:blipFill>
                          <a:blip r:embed="rId85"/>
                          <a:stretch>
                            <a:fillRect/>
                          </a:stretch>
                        </pic:blipFill>
                        <pic:spPr>
                          <a:xfrm>
                            <a:off x="0" y="0"/>
                            <a:ext cx="1692275" cy="998220"/>
                          </a:xfrm>
                          <a:prstGeom prst="rect">
                            <a:avLst/>
                          </a:prstGeom>
                          <a:noFill/>
                          <a:ln>
                            <a:noFill/>
                          </a:ln>
                        </pic:spPr>
                      </pic:pic>
                    </a:graphicData>
                  </a:graphic>
                </wp:inline>
              </w:drawing>
            </w:r>
          </w:p>
        </w:tc>
        <w:tc>
          <w:tcPr>
            <w:tcW w:w="995" w:type="pct"/>
            <w:noWrap/>
            <w:vAlign w:val="center"/>
          </w:tcPr>
          <w:p w14:paraId="446E5E18">
            <w:pPr>
              <w:pStyle w:val="28"/>
              <w:bidi w:val="0"/>
            </w:pPr>
            <w:r>
              <w:t>不涉及饮用水水源保护区和生态保护红线，200m范围内无居民敏感点，选址满足要求</w:t>
            </w:r>
          </w:p>
        </w:tc>
      </w:tr>
      <w:tr w14:paraId="7DCDD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34D9A9C8">
            <w:pPr>
              <w:pStyle w:val="28"/>
              <w:bidi w:val="0"/>
            </w:pPr>
          </w:p>
        </w:tc>
        <w:tc>
          <w:tcPr>
            <w:tcW w:w="423" w:type="pct"/>
            <w:noWrap/>
            <w:vAlign w:val="center"/>
          </w:tcPr>
          <w:p w14:paraId="50BEEB71">
            <w:pPr>
              <w:pStyle w:val="28"/>
              <w:bidi w:val="0"/>
            </w:pPr>
            <w:r>
              <w:t>14</w:t>
            </w:r>
            <w:r>
              <w:rPr>
                <w:rFonts w:hint="eastAsia"/>
              </w:rPr>
              <w:t>#弃土场</w:t>
            </w:r>
          </w:p>
        </w:tc>
        <w:tc>
          <w:tcPr>
            <w:tcW w:w="442" w:type="pct"/>
            <w:vAlign w:val="center"/>
          </w:tcPr>
          <w:p w14:paraId="0D25052B">
            <w:pPr>
              <w:pStyle w:val="28"/>
              <w:bidi w:val="0"/>
            </w:pPr>
            <w:r>
              <w:t>117.31256962</w:t>
            </w:r>
            <w:r>
              <w:rPr>
                <w:rFonts w:hint="eastAsia"/>
              </w:rPr>
              <w:t>，</w:t>
            </w:r>
            <w:r>
              <w:t>31.16722795</w:t>
            </w:r>
          </w:p>
        </w:tc>
        <w:tc>
          <w:tcPr>
            <w:tcW w:w="398" w:type="pct"/>
            <w:vAlign w:val="center"/>
          </w:tcPr>
          <w:p w14:paraId="1625BD4D">
            <w:pPr>
              <w:pStyle w:val="28"/>
              <w:bidi w:val="0"/>
            </w:pPr>
            <w:r>
              <w:t>11.4</w:t>
            </w:r>
          </w:p>
        </w:tc>
        <w:tc>
          <w:tcPr>
            <w:tcW w:w="450" w:type="pct"/>
            <w:vAlign w:val="center"/>
          </w:tcPr>
          <w:p w14:paraId="6366ACE9">
            <w:pPr>
              <w:pStyle w:val="28"/>
              <w:bidi w:val="0"/>
            </w:pPr>
            <w:r>
              <w:t>0</w:t>
            </w:r>
          </w:p>
        </w:tc>
        <w:tc>
          <w:tcPr>
            <w:tcW w:w="375" w:type="pct"/>
            <w:vAlign w:val="center"/>
          </w:tcPr>
          <w:p w14:paraId="52BB65A6">
            <w:pPr>
              <w:pStyle w:val="28"/>
              <w:bidi w:val="0"/>
            </w:pPr>
            <w:r>
              <w:t>4.04</w:t>
            </w:r>
          </w:p>
        </w:tc>
        <w:tc>
          <w:tcPr>
            <w:tcW w:w="337" w:type="pct"/>
            <w:vAlign w:val="center"/>
          </w:tcPr>
          <w:p w14:paraId="4390EDD4">
            <w:pPr>
              <w:pStyle w:val="28"/>
              <w:bidi w:val="0"/>
            </w:pPr>
            <w:r>
              <w:t>1</w:t>
            </w:r>
          </w:p>
        </w:tc>
        <w:tc>
          <w:tcPr>
            <w:tcW w:w="344" w:type="pct"/>
            <w:vAlign w:val="center"/>
          </w:tcPr>
          <w:p w14:paraId="27456AFD">
            <w:pPr>
              <w:pStyle w:val="28"/>
              <w:bidi w:val="0"/>
            </w:pPr>
            <w:r>
              <w:rPr>
                <w:rFonts w:hint="eastAsia"/>
              </w:rPr>
              <w:t>水域及水利设施用地</w:t>
            </w:r>
          </w:p>
        </w:tc>
        <w:tc>
          <w:tcPr>
            <w:tcW w:w="934" w:type="pct"/>
            <w:noWrap/>
            <w:vAlign w:val="center"/>
          </w:tcPr>
          <w:p w14:paraId="326EACE9">
            <w:pPr>
              <w:pStyle w:val="28"/>
              <w:bidi w:val="0"/>
            </w:pPr>
            <w:r>
              <w:drawing>
                <wp:inline distT="0" distB="0" distL="114300" distR="114300">
                  <wp:extent cx="1692275" cy="1316355"/>
                  <wp:effectExtent l="0" t="0" r="9525" b="4445"/>
                  <wp:docPr id="20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31"/>
                          <pic:cNvPicPr>
                            <a:picLocks noChangeAspect="1"/>
                          </pic:cNvPicPr>
                        </pic:nvPicPr>
                        <pic:blipFill>
                          <a:blip r:embed="rId86"/>
                          <a:stretch>
                            <a:fillRect/>
                          </a:stretch>
                        </pic:blipFill>
                        <pic:spPr>
                          <a:xfrm>
                            <a:off x="0" y="0"/>
                            <a:ext cx="1692275" cy="1316355"/>
                          </a:xfrm>
                          <a:prstGeom prst="rect">
                            <a:avLst/>
                          </a:prstGeom>
                          <a:noFill/>
                          <a:ln>
                            <a:noFill/>
                          </a:ln>
                        </pic:spPr>
                      </pic:pic>
                    </a:graphicData>
                  </a:graphic>
                </wp:inline>
              </w:drawing>
            </w:r>
          </w:p>
        </w:tc>
        <w:tc>
          <w:tcPr>
            <w:tcW w:w="995" w:type="pct"/>
            <w:noWrap/>
            <w:vAlign w:val="center"/>
          </w:tcPr>
          <w:p w14:paraId="6BAD52C4">
            <w:pPr>
              <w:pStyle w:val="28"/>
              <w:bidi w:val="0"/>
            </w:pPr>
            <w:r>
              <w:t>不涉及饮用水水源保护区和生态保护红线，200m范围内无居民敏感点，选址满足要求</w:t>
            </w:r>
          </w:p>
        </w:tc>
      </w:tr>
      <w:tr w14:paraId="696A55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5FA7E174">
            <w:pPr>
              <w:pStyle w:val="28"/>
              <w:bidi w:val="0"/>
            </w:pPr>
          </w:p>
        </w:tc>
        <w:tc>
          <w:tcPr>
            <w:tcW w:w="423" w:type="pct"/>
            <w:noWrap/>
            <w:vAlign w:val="center"/>
          </w:tcPr>
          <w:p w14:paraId="39A8369C">
            <w:pPr>
              <w:pStyle w:val="28"/>
              <w:bidi w:val="0"/>
            </w:pPr>
            <w:r>
              <w:t>15</w:t>
            </w:r>
            <w:r>
              <w:rPr>
                <w:rFonts w:hint="eastAsia"/>
              </w:rPr>
              <w:t>#弃土场</w:t>
            </w:r>
          </w:p>
        </w:tc>
        <w:tc>
          <w:tcPr>
            <w:tcW w:w="442" w:type="pct"/>
            <w:vAlign w:val="center"/>
          </w:tcPr>
          <w:p w14:paraId="1A2FC689">
            <w:pPr>
              <w:pStyle w:val="28"/>
              <w:bidi w:val="0"/>
            </w:pPr>
            <w:r>
              <w:t>117.17991829</w:t>
            </w:r>
            <w:r>
              <w:rPr>
                <w:rFonts w:hint="eastAsia"/>
              </w:rPr>
              <w:t>，</w:t>
            </w:r>
            <w:r>
              <w:t>31.11181359</w:t>
            </w:r>
          </w:p>
        </w:tc>
        <w:tc>
          <w:tcPr>
            <w:tcW w:w="398" w:type="pct"/>
            <w:vAlign w:val="center"/>
          </w:tcPr>
          <w:p w14:paraId="2A3824A8">
            <w:pPr>
              <w:pStyle w:val="28"/>
              <w:bidi w:val="0"/>
            </w:pPr>
            <w:r>
              <w:t>1.44</w:t>
            </w:r>
          </w:p>
        </w:tc>
        <w:tc>
          <w:tcPr>
            <w:tcW w:w="450" w:type="pct"/>
            <w:vAlign w:val="center"/>
          </w:tcPr>
          <w:p w14:paraId="3E75162F">
            <w:pPr>
              <w:pStyle w:val="28"/>
              <w:bidi w:val="0"/>
            </w:pPr>
            <w:r>
              <w:t>0</w:t>
            </w:r>
          </w:p>
        </w:tc>
        <w:tc>
          <w:tcPr>
            <w:tcW w:w="375" w:type="pct"/>
            <w:vAlign w:val="center"/>
          </w:tcPr>
          <w:p w14:paraId="6CD85510">
            <w:pPr>
              <w:pStyle w:val="28"/>
              <w:bidi w:val="0"/>
            </w:pPr>
            <w:r>
              <w:t>1.19</w:t>
            </w:r>
          </w:p>
        </w:tc>
        <w:tc>
          <w:tcPr>
            <w:tcW w:w="337" w:type="pct"/>
            <w:vAlign w:val="center"/>
          </w:tcPr>
          <w:p w14:paraId="2D92980F">
            <w:pPr>
              <w:pStyle w:val="28"/>
              <w:bidi w:val="0"/>
            </w:pPr>
            <w:r>
              <w:t>1</w:t>
            </w:r>
          </w:p>
        </w:tc>
        <w:tc>
          <w:tcPr>
            <w:tcW w:w="344" w:type="pct"/>
            <w:vAlign w:val="center"/>
          </w:tcPr>
          <w:p w14:paraId="39D563D8">
            <w:pPr>
              <w:pStyle w:val="28"/>
              <w:bidi w:val="0"/>
            </w:pPr>
            <w:r>
              <w:rPr>
                <w:rFonts w:hint="eastAsia"/>
              </w:rPr>
              <w:t>耕地</w:t>
            </w:r>
          </w:p>
        </w:tc>
        <w:tc>
          <w:tcPr>
            <w:tcW w:w="934" w:type="pct"/>
            <w:noWrap/>
            <w:vAlign w:val="center"/>
          </w:tcPr>
          <w:p w14:paraId="6059BF8F">
            <w:pPr>
              <w:pStyle w:val="28"/>
              <w:bidi w:val="0"/>
            </w:pPr>
            <w:r>
              <w:drawing>
                <wp:inline distT="0" distB="0" distL="114300" distR="114300">
                  <wp:extent cx="1692275" cy="982345"/>
                  <wp:effectExtent l="0" t="0" r="9525" b="8255"/>
                  <wp:docPr id="18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32"/>
                          <pic:cNvPicPr>
                            <a:picLocks noChangeAspect="1"/>
                          </pic:cNvPicPr>
                        </pic:nvPicPr>
                        <pic:blipFill>
                          <a:blip r:embed="rId87"/>
                          <a:stretch>
                            <a:fillRect/>
                          </a:stretch>
                        </pic:blipFill>
                        <pic:spPr>
                          <a:xfrm>
                            <a:off x="0" y="0"/>
                            <a:ext cx="1692275" cy="982345"/>
                          </a:xfrm>
                          <a:prstGeom prst="rect">
                            <a:avLst/>
                          </a:prstGeom>
                          <a:noFill/>
                          <a:ln>
                            <a:noFill/>
                          </a:ln>
                        </pic:spPr>
                      </pic:pic>
                    </a:graphicData>
                  </a:graphic>
                </wp:inline>
              </w:drawing>
            </w:r>
          </w:p>
        </w:tc>
        <w:tc>
          <w:tcPr>
            <w:tcW w:w="995" w:type="pct"/>
            <w:noWrap/>
            <w:vAlign w:val="center"/>
          </w:tcPr>
          <w:p w14:paraId="7348DD45">
            <w:pPr>
              <w:pStyle w:val="28"/>
              <w:bidi w:val="0"/>
            </w:pPr>
            <w:r>
              <w:t>不涉及饮用水水源保护区和生态保护红线，距离最近的敏感点为</w:t>
            </w:r>
            <w:r>
              <w:rPr>
                <w:rFonts w:hint="eastAsia"/>
              </w:rPr>
              <w:t>东南</w:t>
            </w:r>
            <w:r>
              <w:t>侧</w:t>
            </w:r>
            <w:r>
              <w:rPr>
                <w:rFonts w:hint="eastAsia"/>
              </w:rPr>
              <w:t>白路岗</w:t>
            </w:r>
            <w:r>
              <w:t>（</w:t>
            </w:r>
            <w:r>
              <w:rPr>
                <w:rFonts w:hint="eastAsia"/>
              </w:rPr>
              <w:t>92</w:t>
            </w:r>
            <w:r>
              <w:t>m），通过加强弃土场和运输道路抑尘降噪措施，选址满足要求</w:t>
            </w:r>
          </w:p>
        </w:tc>
      </w:tr>
      <w:tr w14:paraId="52D230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39FB4D07">
            <w:pPr>
              <w:pStyle w:val="28"/>
              <w:bidi w:val="0"/>
            </w:pPr>
          </w:p>
        </w:tc>
        <w:tc>
          <w:tcPr>
            <w:tcW w:w="423" w:type="pct"/>
            <w:noWrap/>
            <w:vAlign w:val="center"/>
          </w:tcPr>
          <w:p w14:paraId="2F5B80C6">
            <w:pPr>
              <w:pStyle w:val="28"/>
              <w:bidi w:val="0"/>
            </w:pPr>
            <w:r>
              <w:t>16</w:t>
            </w:r>
            <w:r>
              <w:rPr>
                <w:rFonts w:hint="eastAsia"/>
              </w:rPr>
              <w:t>#弃土场</w:t>
            </w:r>
          </w:p>
        </w:tc>
        <w:tc>
          <w:tcPr>
            <w:tcW w:w="442" w:type="pct"/>
            <w:vAlign w:val="center"/>
          </w:tcPr>
          <w:p w14:paraId="2D35D44A">
            <w:pPr>
              <w:pStyle w:val="28"/>
              <w:bidi w:val="0"/>
            </w:pPr>
            <w:r>
              <w:t>117.16517150</w:t>
            </w:r>
            <w:r>
              <w:rPr>
                <w:rFonts w:hint="eastAsia"/>
              </w:rPr>
              <w:t>，</w:t>
            </w:r>
            <w:r>
              <w:t>31.34605956</w:t>
            </w:r>
          </w:p>
        </w:tc>
        <w:tc>
          <w:tcPr>
            <w:tcW w:w="398" w:type="pct"/>
            <w:vAlign w:val="center"/>
          </w:tcPr>
          <w:p w14:paraId="040C3591">
            <w:pPr>
              <w:pStyle w:val="28"/>
              <w:bidi w:val="0"/>
            </w:pPr>
            <w:r>
              <w:t>0.90</w:t>
            </w:r>
          </w:p>
        </w:tc>
        <w:tc>
          <w:tcPr>
            <w:tcW w:w="450" w:type="pct"/>
            <w:vAlign w:val="center"/>
          </w:tcPr>
          <w:p w14:paraId="1EA4EE23">
            <w:pPr>
              <w:pStyle w:val="28"/>
              <w:bidi w:val="0"/>
            </w:pPr>
            <w:r>
              <w:t>0</w:t>
            </w:r>
          </w:p>
        </w:tc>
        <w:tc>
          <w:tcPr>
            <w:tcW w:w="375" w:type="pct"/>
            <w:vAlign w:val="center"/>
          </w:tcPr>
          <w:p w14:paraId="53EEA275">
            <w:pPr>
              <w:pStyle w:val="28"/>
              <w:bidi w:val="0"/>
            </w:pPr>
            <w:r>
              <w:t>1.20</w:t>
            </w:r>
          </w:p>
        </w:tc>
        <w:tc>
          <w:tcPr>
            <w:tcW w:w="337" w:type="pct"/>
            <w:vAlign w:val="center"/>
          </w:tcPr>
          <w:p w14:paraId="2CD56A78">
            <w:pPr>
              <w:pStyle w:val="28"/>
              <w:bidi w:val="0"/>
            </w:pPr>
            <w:r>
              <w:t>1.5</w:t>
            </w:r>
          </w:p>
        </w:tc>
        <w:tc>
          <w:tcPr>
            <w:tcW w:w="344" w:type="pct"/>
            <w:vAlign w:val="center"/>
          </w:tcPr>
          <w:p w14:paraId="73E0AEF7">
            <w:pPr>
              <w:pStyle w:val="28"/>
              <w:bidi w:val="0"/>
            </w:pPr>
            <w:r>
              <w:rPr>
                <w:rFonts w:hint="eastAsia"/>
              </w:rPr>
              <w:t>水塘</w:t>
            </w:r>
          </w:p>
        </w:tc>
        <w:tc>
          <w:tcPr>
            <w:tcW w:w="934" w:type="pct"/>
            <w:noWrap/>
            <w:vAlign w:val="center"/>
          </w:tcPr>
          <w:p w14:paraId="580EC781">
            <w:pPr>
              <w:pStyle w:val="28"/>
              <w:bidi w:val="0"/>
            </w:pPr>
          </w:p>
          <w:p w14:paraId="7EA494E8">
            <w:pPr>
              <w:pStyle w:val="28"/>
              <w:bidi w:val="0"/>
            </w:pPr>
            <w:r>
              <w:drawing>
                <wp:inline distT="0" distB="0" distL="114300" distR="114300">
                  <wp:extent cx="1692275" cy="1095375"/>
                  <wp:effectExtent l="0" t="0" r="9525" b="9525"/>
                  <wp:docPr id="19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33"/>
                          <pic:cNvPicPr>
                            <a:picLocks noChangeAspect="1"/>
                          </pic:cNvPicPr>
                        </pic:nvPicPr>
                        <pic:blipFill>
                          <a:blip r:embed="rId88"/>
                          <a:stretch>
                            <a:fillRect/>
                          </a:stretch>
                        </pic:blipFill>
                        <pic:spPr>
                          <a:xfrm>
                            <a:off x="0" y="0"/>
                            <a:ext cx="1692275" cy="1095375"/>
                          </a:xfrm>
                          <a:prstGeom prst="rect">
                            <a:avLst/>
                          </a:prstGeom>
                          <a:noFill/>
                          <a:ln>
                            <a:noFill/>
                          </a:ln>
                        </pic:spPr>
                      </pic:pic>
                    </a:graphicData>
                  </a:graphic>
                </wp:inline>
              </w:drawing>
            </w:r>
          </w:p>
          <w:p w14:paraId="63ADEA86">
            <w:pPr>
              <w:pStyle w:val="28"/>
              <w:bidi w:val="0"/>
            </w:pPr>
          </w:p>
        </w:tc>
        <w:tc>
          <w:tcPr>
            <w:tcW w:w="995" w:type="pct"/>
            <w:noWrap/>
            <w:vAlign w:val="center"/>
          </w:tcPr>
          <w:p w14:paraId="4AA18833">
            <w:pPr>
              <w:pStyle w:val="28"/>
              <w:bidi w:val="0"/>
            </w:pPr>
            <w:r>
              <w:t>不涉及饮用水水源保护区和生态保护红线，距离最近的敏感点为</w:t>
            </w:r>
            <w:r>
              <w:rPr>
                <w:rFonts w:hint="eastAsia"/>
              </w:rPr>
              <w:t>西南</w:t>
            </w:r>
            <w:r>
              <w:t>侧</w:t>
            </w:r>
            <w:r>
              <w:rPr>
                <w:rFonts w:hint="eastAsia"/>
              </w:rPr>
              <w:t>管岗</w:t>
            </w:r>
            <w:r>
              <w:t>（</w:t>
            </w:r>
            <w:r>
              <w:rPr>
                <w:rFonts w:hint="eastAsia"/>
              </w:rPr>
              <w:t>42</w:t>
            </w:r>
            <w:r>
              <w:t>m），通过加强弃土场和运输道路抑尘降噪措施，选址满足要求</w:t>
            </w:r>
          </w:p>
        </w:tc>
      </w:tr>
      <w:tr w14:paraId="57ECD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restart"/>
            <w:noWrap/>
            <w:vAlign w:val="center"/>
          </w:tcPr>
          <w:p w14:paraId="02313010">
            <w:pPr>
              <w:pStyle w:val="28"/>
              <w:bidi w:val="0"/>
            </w:pPr>
            <w:r>
              <w:rPr>
                <w:rFonts w:hint="eastAsia"/>
              </w:rPr>
              <w:t>取弃土场</w:t>
            </w:r>
          </w:p>
        </w:tc>
        <w:tc>
          <w:tcPr>
            <w:tcW w:w="423" w:type="pct"/>
            <w:noWrap/>
            <w:vAlign w:val="center"/>
          </w:tcPr>
          <w:p w14:paraId="6FBFD672">
            <w:pPr>
              <w:pStyle w:val="28"/>
              <w:bidi w:val="0"/>
            </w:pPr>
            <w:r>
              <w:t>1</w:t>
            </w:r>
            <w:r>
              <w:rPr>
                <w:rFonts w:hint="eastAsia"/>
              </w:rPr>
              <w:t>#取弃土场</w:t>
            </w:r>
          </w:p>
        </w:tc>
        <w:tc>
          <w:tcPr>
            <w:tcW w:w="442" w:type="pct"/>
            <w:vAlign w:val="center"/>
          </w:tcPr>
          <w:p w14:paraId="0C4CA92E">
            <w:pPr>
              <w:pStyle w:val="28"/>
              <w:bidi w:val="0"/>
            </w:pPr>
            <w:r>
              <w:t>116.4813745,31.70306879</w:t>
            </w:r>
          </w:p>
        </w:tc>
        <w:tc>
          <w:tcPr>
            <w:tcW w:w="398" w:type="pct"/>
            <w:vAlign w:val="center"/>
          </w:tcPr>
          <w:p w14:paraId="1FD652F5">
            <w:pPr>
              <w:pStyle w:val="28"/>
              <w:bidi w:val="0"/>
            </w:pPr>
            <w:r>
              <w:t>3.5</w:t>
            </w:r>
          </w:p>
        </w:tc>
        <w:tc>
          <w:tcPr>
            <w:tcW w:w="450" w:type="pct"/>
            <w:vAlign w:val="center"/>
          </w:tcPr>
          <w:p w14:paraId="6282BF7B">
            <w:pPr>
              <w:pStyle w:val="28"/>
              <w:bidi w:val="0"/>
            </w:pPr>
            <w:r>
              <w:t>2.65</w:t>
            </w:r>
          </w:p>
        </w:tc>
        <w:tc>
          <w:tcPr>
            <w:tcW w:w="375" w:type="pct"/>
            <w:vAlign w:val="center"/>
          </w:tcPr>
          <w:p w14:paraId="7DB1A26A">
            <w:pPr>
              <w:pStyle w:val="28"/>
              <w:bidi w:val="0"/>
            </w:pPr>
            <w:r>
              <w:t>7.3</w:t>
            </w:r>
          </w:p>
        </w:tc>
        <w:tc>
          <w:tcPr>
            <w:tcW w:w="337" w:type="pct"/>
            <w:vAlign w:val="center"/>
          </w:tcPr>
          <w:p w14:paraId="14E0CFA3">
            <w:pPr>
              <w:pStyle w:val="28"/>
              <w:bidi w:val="0"/>
            </w:pPr>
            <w:r>
              <w:t>2</w:t>
            </w:r>
          </w:p>
        </w:tc>
        <w:tc>
          <w:tcPr>
            <w:tcW w:w="344" w:type="pct"/>
            <w:vAlign w:val="center"/>
          </w:tcPr>
          <w:p w14:paraId="68A156E9">
            <w:pPr>
              <w:pStyle w:val="28"/>
              <w:bidi w:val="0"/>
            </w:pPr>
            <w:r>
              <w:rPr>
                <w:rFonts w:hint="eastAsia"/>
              </w:rPr>
              <w:t>耕地</w:t>
            </w:r>
          </w:p>
        </w:tc>
        <w:tc>
          <w:tcPr>
            <w:tcW w:w="934" w:type="pct"/>
            <w:vMerge w:val="restart"/>
            <w:noWrap/>
            <w:vAlign w:val="center"/>
          </w:tcPr>
          <w:p w14:paraId="52A0D0D0">
            <w:pPr>
              <w:pStyle w:val="28"/>
              <w:bidi w:val="0"/>
            </w:pPr>
            <w:r>
              <w:rPr>
                <w:rFonts w:hint="eastAsia"/>
              </w:rPr>
              <w:drawing>
                <wp:inline distT="0" distB="0" distL="114300" distR="114300">
                  <wp:extent cx="1692275" cy="1165225"/>
                  <wp:effectExtent l="0" t="0" r="9525" b="3175"/>
                  <wp:docPr id="203" name="图片 34" descr="樊通桥渠下涵施工布置合理性分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34" descr="樊通桥渠下涵施工布置合理性分析"/>
                          <pic:cNvPicPr>
                            <a:picLocks noChangeAspect="1"/>
                          </pic:cNvPicPr>
                        </pic:nvPicPr>
                        <pic:blipFill>
                          <a:blip r:embed="rId89"/>
                          <a:stretch>
                            <a:fillRect/>
                          </a:stretch>
                        </pic:blipFill>
                        <pic:spPr>
                          <a:xfrm>
                            <a:off x="0" y="0"/>
                            <a:ext cx="1692275" cy="1165225"/>
                          </a:xfrm>
                          <a:prstGeom prst="rect">
                            <a:avLst/>
                          </a:prstGeom>
                          <a:noFill/>
                          <a:ln>
                            <a:noFill/>
                          </a:ln>
                        </pic:spPr>
                      </pic:pic>
                    </a:graphicData>
                  </a:graphic>
                </wp:inline>
              </w:drawing>
            </w:r>
          </w:p>
        </w:tc>
        <w:tc>
          <w:tcPr>
            <w:tcW w:w="995" w:type="pct"/>
            <w:vMerge w:val="restart"/>
            <w:noWrap/>
            <w:vAlign w:val="center"/>
          </w:tcPr>
          <w:p w14:paraId="76A1F4E7">
            <w:pPr>
              <w:pStyle w:val="28"/>
              <w:bidi w:val="0"/>
            </w:pPr>
            <w:r>
              <w:t>不涉及饮用水水源保护区和生态保护红线，200m范围内无居民敏感点，选址满足要求</w:t>
            </w:r>
          </w:p>
        </w:tc>
      </w:tr>
      <w:tr w14:paraId="2B341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1176C528">
            <w:pPr>
              <w:pStyle w:val="28"/>
              <w:bidi w:val="0"/>
            </w:pPr>
          </w:p>
        </w:tc>
        <w:tc>
          <w:tcPr>
            <w:tcW w:w="423" w:type="pct"/>
            <w:noWrap/>
            <w:vAlign w:val="center"/>
          </w:tcPr>
          <w:p w14:paraId="69C981FC">
            <w:pPr>
              <w:pStyle w:val="28"/>
              <w:bidi w:val="0"/>
            </w:pPr>
            <w:r>
              <w:t>2</w:t>
            </w:r>
            <w:r>
              <w:rPr>
                <w:rFonts w:hint="eastAsia"/>
              </w:rPr>
              <w:t>#取弃土场</w:t>
            </w:r>
          </w:p>
        </w:tc>
        <w:tc>
          <w:tcPr>
            <w:tcW w:w="442" w:type="pct"/>
            <w:vAlign w:val="center"/>
          </w:tcPr>
          <w:p w14:paraId="17C82341">
            <w:pPr>
              <w:pStyle w:val="28"/>
              <w:bidi w:val="0"/>
            </w:pPr>
            <w:r>
              <w:t>116.4813745,31.70306879</w:t>
            </w:r>
          </w:p>
        </w:tc>
        <w:tc>
          <w:tcPr>
            <w:tcW w:w="398" w:type="pct"/>
            <w:vAlign w:val="center"/>
          </w:tcPr>
          <w:p w14:paraId="1E576280">
            <w:pPr>
              <w:pStyle w:val="28"/>
              <w:bidi w:val="0"/>
            </w:pPr>
            <w:r>
              <w:t>0.08</w:t>
            </w:r>
          </w:p>
        </w:tc>
        <w:tc>
          <w:tcPr>
            <w:tcW w:w="450" w:type="pct"/>
            <w:vAlign w:val="center"/>
          </w:tcPr>
          <w:p w14:paraId="491CB10B">
            <w:pPr>
              <w:pStyle w:val="28"/>
              <w:bidi w:val="0"/>
            </w:pPr>
            <w:r>
              <w:t>0.1</w:t>
            </w:r>
          </w:p>
        </w:tc>
        <w:tc>
          <w:tcPr>
            <w:tcW w:w="375" w:type="pct"/>
            <w:vAlign w:val="center"/>
          </w:tcPr>
          <w:p w14:paraId="502E4489">
            <w:pPr>
              <w:pStyle w:val="28"/>
              <w:bidi w:val="0"/>
            </w:pPr>
            <w:r>
              <w:t>0.2</w:t>
            </w:r>
          </w:p>
        </w:tc>
        <w:tc>
          <w:tcPr>
            <w:tcW w:w="337" w:type="pct"/>
            <w:vAlign w:val="center"/>
          </w:tcPr>
          <w:p w14:paraId="32FE644A">
            <w:pPr>
              <w:pStyle w:val="28"/>
              <w:bidi w:val="0"/>
            </w:pPr>
            <w:r>
              <w:t>2</w:t>
            </w:r>
          </w:p>
        </w:tc>
        <w:tc>
          <w:tcPr>
            <w:tcW w:w="344" w:type="pct"/>
            <w:vAlign w:val="center"/>
          </w:tcPr>
          <w:p w14:paraId="7E47B96B">
            <w:pPr>
              <w:pStyle w:val="28"/>
              <w:bidi w:val="0"/>
            </w:pPr>
            <w:r>
              <w:rPr>
                <w:rFonts w:hint="eastAsia"/>
              </w:rPr>
              <w:t>耕地</w:t>
            </w:r>
          </w:p>
        </w:tc>
        <w:tc>
          <w:tcPr>
            <w:tcW w:w="934" w:type="pct"/>
            <w:vMerge w:val="continue"/>
            <w:noWrap/>
            <w:vAlign w:val="center"/>
          </w:tcPr>
          <w:p w14:paraId="233F0E68">
            <w:pPr>
              <w:pStyle w:val="28"/>
              <w:bidi w:val="0"/>
            </w:pPr>
          </w:p>
        </w:tc>
        <w:tc>
          <w:tcPr>
            <w:tcW w:w="995" w:type="pct"/>
            <w:vMerge w:val="continue"/>
            <w:noWrap/>
            <w:vAlign w:val="center"/>
          </w:tcPr>
          <w:p w14:paraId="35EBF6CB">
            <w:pPr>
              <w:pStyle w:val="28"/>
              <w:bidi w:val="0"/>
            </w:pPr>
          </w:p>
        </w:tc>
      </w:tr>
      <w:tr w14:paraId="0D5A4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6B55C1EA">
            <w:pPr>
              <w:pStyle w:val="28"/>
              <w:bidi w:val="0"/>
            </w:pPr>
          </w:p>
        </w:tc>
        <w:tc>
          <w:tcPr>
            <w:tcW w:w="423" w:type="pct"/>
            <w:noWrap/>
            <w:vAlign w:val="center"/>
          </w:tcPr>
          <w:p w14:paraId="0A5C6FDF">
            <w:pPr>
              <w:pStyle w:val="28"/>
              <w:bidi w:val="0"/>
            </w:pPr>
            <w:r>
              <w:t>3</w:t>
            </w:r>
            <w:r>
              <w:rPr>
                <w:rFonts w:hint="eastAsia"/>
              </w:rPr>
              <w:t>#取弃土场</w:t>
            </w:r>
          </w:p>
        </w:tc>
        <w:tc>
          <w:tcPr>
            <w:tcW w:w="442" w:type="pct"/>
            <w:vAlign w:val="center"/>
          </w:tcPr>
          <w:p w14:paraId="61A5203B">
            <w:pPr>
              <w:pStyle w:val="28"/>
              <w:bidi w:val="0"/>
            </w:pPr>
            <w:r>
              <w:t>116.86658800N31.78206912</w:t>
            </w:r>
          </w:p>
        </w:tc>
        <w:tc>
          <w:tcPr>
            <w:tcW w:w="398" w:type="pct"/>
            <w:vAlign w:val="center"/>
          </w:tcPr>
          <w:p w14:paraId="389CACD4">
            <w:pPr>
              <w:pStyle w:val="28"/>
              <w:bidi w:val="0"/>
            </w:pPr>
            <w:r>
              <w:t>0.43</w:t>
            </w:r>
          </w:p>
        </w:tc>
        <w:tc>
          <w:tcPr>
            <w:tcW w:w="450" w:type="pct"/>
            <w:vAlign w:val="center"/>
          </w:tcPr>
          <w:p w14:paraId="3F5C5810">
            <w:pPr>
              <w:pStyle w:val="28"/>
              <w:bidi w:val="0"/>
            </w:pPr>
            <w:r>
              <w:t>0.59</w:t>
            </w:r>
          </w:p>
        </w:tc>
        <w:tc>
          <w:tcPr>
            <w:tcW w:w="375" w:type="pct"/>
            <w:vAlign w:val="center"/>
          </w:tcPr>
          <w:p w14:paraId="28312E63">
            <w:pPr>
              <w:pStyle w:val="28"/>
              <w:bidi w:val="0"/>
            </w:pPr>
            <w:r>
              <w:t>0.9</w:t>
            </w:r>
          </w:p>
        </w:tc>
        <w:tc>
          <w:tcPr>
            <w:tcW w:w="337" w:type="pct"/>
            <w:vAlign w:val="center"/>
          </w:tcPr>
          <w:p w14:paraId="35E6EC8A">
            <w:pPr>
              <w:pStyle w:val="28"/>
              <w:bidi w:val="0"/>
            </w:pPr>
            <w:r>
              <w:t>3.5</w:t>
            </w:r>
          </w:p>
        </w:tc>
        <w:tc>
          <w:tcPr>
            <w:tcW w:w="344" w:type="pct"/>
            <w:vAlign w:val="center"/>
          </w:tcPr>
          <w:p w14:paraId="25C81E9C">
            <w:pPr>
              <w:pStyle w:val="28"/>
              <w:bidi w:val="0"/>
            </w:pPr>
            <w:r>
              <w:rPr>
                <w:rFonts w:hint="eastAsia"/>
              </w:rPr>
              <w:t>耕地</w:t>
            </w:r>
          </w:p>
        </w:tc>
        <w:tc>
          <w:tcPr>
            <w:tcW w:w="934" w:type="pct"/>
            <w:noWrap/>
            <w:vAlign w:val="center"/>
          </w:tcPr>
          <w:p w14:paraId="009CA431">
            <w:pPr>
              <w:pStyle w:val="28"/>
              <w:bidi w:val="0"/>
            </w:pPr>
            <w:r>
              <w:rPr>
                <w:rFonts w:hint="eastAsia"/>
              </w:rPr>
              <w:drawing>
                <wp:inline distT="0" distB="0" distL="114300" distR="114300">
                  <wp:extent cx="1692275" cy="1128395"/>
                  <wp:effectExtent l="0" t="0" r="9525" b="1905"/>
                  <wp:docPr id="187" name="图片 35" descr="聚星渡槽弃土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35" descr="聚星渡槽弃土场"/>
                          <pic:cNvPicPr>
                            <a:picLocks noChangeAspect="1"/>
                          </pic:cNvPicPr>
                        </pic:nvPicPr>
                        <pic:blipFill>
                          <a:blip r:embed="rId90"/>
                          <a:stretch>
                            <a:fillRect/>
                          </a:stretch>
                        </pic:blipFill>
                        <pic:spPr>
                          <a:xfrm>
                            <a:off x="0" y="0"/>
                            <a:ext cx="1692275" cy="1128395"/>
                          </a:xfrm>
                          <a:prstGeom prst="rect">
                            <a:avLst/>
                          </a:prstGeom>
                          <a:noFill/>
                          <a:ln>
                            <a:noFill/>
                          </a:ln>
                        </pic:spPr>
                      </pic:pic>
                    </a:graphicData>
                  </a:graphic>
                </wp:inline>
              </w:drawing>
            </w:r>
          </w:p>
        </w:tc>
        <w:tc>
          <w:tcPr>
            <w:tcW w:w="995" w:type="pct"/>
            <w:noWrap/>
            <w:vAlign w:val="center"/>
          </w:tcPr>
          <w:p w14:paraId="46F63822">
            <w:pPr>
              <w:pStyle w:val="28"/>
              <w:bidi w:val="0"/>
            </w:pPr>
            <w:r>
              <w:t>不涉及饮用水水源保护区和生态保护红线</w:t>
            </w:r>
            <w:r>
              <w:rPr>
                <w:rFonts w:hint="eastAsia"/>
              </w:rPr>
              <w:t>，</w:t>
            </w:r>
            <w:r>
              <w:t>200m范围内无居民敏感点，选址满足要求</w:t>
            </w:r>
          </w:p>
        </w:tc>
      </w:tr>
      <w:tr w14:paraId="69657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6041B84A">
            <w:pPr>
              <w:pStyle w:val="28"/>
              <w:bidi w:val="0"/>
            </w:pPr>
          </w:p>
        </w:tc>
        <w:tc>
          <w:tcPr>
            <w:tcW w:w="423" w:type="pct"/>
            <w:noWrap/>
            <w:vAlign w:val="center"/>
          </w:tcPr>
          <w:p w14:paraId="1F2D25AD">
            <w:pPr>
              <w:pStyle w:val="28"/>
              <w:bidi w:val="0"/>
            </w:pPr>
            <w:r>
              <w:t>4</w:t>
            </w:r>
            <w:r>
              <w:rPr>
                <w:rFonts w:hint="eastAsia"/>
              </w:rPr>
              <w:t>#取弃土场</w:t>
            </w:r>
          </w:p>
        </w:tc>
        <w:tc>
          <w:tcPr>
            <w:tcW w:w="442" w:type="pct"/>
            <w:vAlign w:val="center"/>
          </w:tcPr>
          <w:p w14:paraId="08A6B76D">
            <w:pPr>
              <w:pStyle w:val="28"/>
              <w:bidi w:val="0"/>
            </w:pPr>
            <w:r>
              <w:t>117.05605909</w:t>
            </w:r>
            <w:r>
              <w:rPr>
                <w:rFonts w:hint="eastAsia"/>
              </w:rPr>
              <w:t>，</w:t>
            </w:r>
            <w:r>
              <w:t>31.92834896</w:t>
            </w:r>
          </w:p>
        </w:tc>
        <w:tc>
          <w:tcPr>
            <w:tcW w:w="398" w:type="pct"/>
            <w:vAlign w:val="center"/>
          </w:tcPr>
          <w:p w14:paraId="5B65CC6A">
            <w:pPr>
              <w:pStyle w:val="28"/>
              <w:bidi w:val="0"/>
            </w:pPr>
            <w:r>
              <w:t>2.53</w:t>
            </w:r>
          </w:p>
        </w:tc>
        <w:tc>
          <w:tcPr>
            <w:tcW w:w="450" w:type="pct"/>
            <w:vAlign w:val="center"/>
          </w:tcPr>
          <w:p w14:paraId="64B8FDD1">
            <w:pPr>
              <w:pStyle w:val="28"/>
              <w:bidi w:val="0"/>
            </w:pPr>
            <w:r>
              <w:t>2.35</w:t>
            </w:r>
          </w:p>
        </w:tc>
        <w:tc>
          <w:tcPr>
            <w:tcW w:w="375" w:type="pct"/>
            <w:vAlign w:val="center"/>
          </w:tcPr>
          <w:p w14:paraId="1ACC19EC">
            <w:pPr>
              <w:pStyle w:val="28"/>
              <w:bidi w:val="0"/>
            </w:pPr>
            <w:r>
              <w:t>5.26</w:t>
            </w:r>
          </w:p>
        </w:tc>
        <w:tc>
          <w:tcPr>
            <w:tcW w:w="337" w:type="pct"/>
            <w:vAlign w:val="center"/>
          </w:tcPr>
          <w:p w14:paraId="65675467">
            <w:pPr>
              <w:pStyle w:val="28"/>
              <w:bidi w:val="0"/>
            </w:pPr>
            <w:r>
              <w:t>2.5</w:t>
            </w:r>
          </w:p>
        </w:tc>
        <w:tc>
          <w:tcPr>
            <w:tcW w:w="344" w:type="pct"/>
            <w:vAlign w:val="center"/>
          </w:tcPr>
          <w:p w14:paraId="5B6B88AA">
            <w:pPr>
              <w:pStyle w:val="28"/>
              <w:bidi w:val="0"/>
            </w:pPr>
            <w:r>
              <w:rPr>
                <w:rFonts w:hint="eastAsia"/>
              </w:rPr>
              <w:t>水域及水利设施用地</w:t>
            </w:r>
          </w:p>
        </w:tc>
        <w:tc>
          <w:tcPr>
            <w:tcW w:w="934" w:type="pct"/>
            <w:noWrap/>
            <w:vAlign w:val="center"/>
          </w:tcPr>
          <w:p w14:paraId="55CDA0C0">
            <w:pPr>
              <w:pStyle w:val="28"/>
              <w:bidi w:val="0"/>
            </w:pPr>
            <w:r>
              <w:drawing>
                <wp:inline distT="0" distB="0" distL="114300" distR="114300">
                  <wp:extent cx="1692275" cy="1180465"/>
                  <wp:effectExtent l="0" t="0" r="9525" b="635"/>
                  <wp:docPr id="18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36"/>
                          <pic:cNvPicPr>
                            <a:picLocks noChangeAspect="1"/>
                          </pic:cNvPicPr>
                        </pic:nvPicPr>
                        <pic:blipFill>
                          <a:blip r:embed="rId91"/>
                          <a:stretch>
                            <a:fillRect/>
                          </a:stretch>
                        </pic:blipFill>
                        <pic:spPr>
                          <a:xfrm>
                            <a:off x="0" y="0"/>
                            <a:ext cx="1692275" cy="1180465"/>
                          </a:xfrm>
                          <a:prstGeom prst="rect">
                            <a:avLst/>
                          </a:prstGeom>
                          <a:noFill/>
                          <a:ln>
                            <a:noFill/>
                          </a:ln>
                        </pic:spPr>
                      </pic:pic>
                    </a:graphicData>
                  </a:graphic>
                </wp:inline>
              </w:drawing>
            </w:r>
          </w:p>
        </w:tc>
        <w:tc>
          <w:tcPr>
            <w:tcW w:w="995" w:type="pct"/>
            <w:noWrap/>
            <w:vAlign w:val="center"/>
          </w:tcPr>
          <w:p w14:paraId="0795C408">
            <w:pPr>
              <w:pStyle w:val="28"/>
              <w:bidi w:val="0"/>
            </w:pPr>
            <w:r>
              <w:t>不涉及饮用水水源保护区和生态保护红线，200m范围内</w:t>
            </w:r>
            <w:r>
              <w:rPr>
                <w:rFonts w:hint="eastAsia"/>
              </w:rPr>
              <w:t>均为厂房，</w:t>
            </w:r>
            <w:r>
              <w:t>无居民敏感点，选址满足要求</w:t>
            </w:r>
          </w:p>
        </w:tc>
      </w:tr>
      <w:tr w14:paraId="614FD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7AD14C53">
            <w:pPr>
              <w:pStyle w:val="28"/>
              <w:bidi w:val="0"/>
            </w:pPr>
          </w:p>
        </w:tc>
        <w:tc>
          <w:tcPr>
            <w:tcW w:w="423" w:type="pct"/>
            <w:noWrap/>
            <w:vAlign w:val="center"/>
          </w:tcPr>
          <w:p w14:paraId="41270E52">
            <w:pPr>
              <w:pStyle w:val="28"/>
              <w:bidi w:val="0"/>
            </w:pPr>
            <w:r>
              <w:t>5</w:t>
            </w:r>
            <w:r>
              <w:rPr>
                <w:rFonts w:hint="eastAsia"/>
              </w:rPr>
              <w:t>#取弃土场</w:t>
            </w:r>
          </w:p>
        </w:tc>
        <w:tc>
          <w:tcPr>
            <w:tcW w:w="442" w:type="pct"/>
            <w:vAlign w:val="center"/>
          </w:tcPr>
          <w:p w14:paraId="674F0E4B">
            <w:pPr>
              <w:pStyle w:val="28"/>
              <w:bidi w:val="0"/>
            </w:pPr>
            <w:r>
              <w:t>117.05623627</w:t>
            </w:r>
            <w:r>
              <w:rPr>
                <w:rFonts w:hint="eastAsia"/>
              </w:rPr>
              <w:t>，</w:t>
            </w:r>
            <w:r>
              <w:t>31.92579526</w:t>
            </w:r>
          </w:p>
        </w:tc>
        <w:tc>
          <w:tcPr>
            <w:tcW w:w="398" w:type="pct"/>
            <w:vAlign w:val="center"/>
          </w:tcPr>
          <w:p w14:paraId="078C0B25">
            <w:pPr>
              <w:pStyle w:val="28"/>
              <w:bidi w:val="0"/>
            </w:pPr>
            <w:r>
              <w:t>0.63</w:t>
            </w:r>
          </w:p>
        </w:tc>
        <w:tc>
          <w:tcPr>
            <w:tcW w:w="450" w:type="pct"/>
            <w:vAlign w:val="center"/>
          </w:tcPr>
          <w:p w14:paraId="54F62714">
            <w:pPr>
              <w:pStyle w:val="28"/>
              <w:bidi w:val="0"/>
            </w:pPr>
            <w:r>
              <w:t>0.7</w:t>
            </w:r>
          </w:p>
        </w:tc>
        <w:tc>
          <w:tcPr>
            <w:tcW w:w="375" w:type="pct"/>
            <w:vAlign w:val="center"/>
          </w:tcPr>
          <w:p w14:paraId="08C69720">
            <w:pPr>
              <w:pStyle w:val="28"/>
              <w:bidi w:val="0"/>
            </w:pPr>
            <w:r>
              <w:t>1.2</w:t>
            </w:r>
          </w:p>
        </w:tc>
        <w:tc>
          <w:tcPr>
            <w:tcW w:w="337" w:type="pct"/>
            <w:vAlign w:val="center"/>
          </w:tcPr>
          <w:p w14:paraId="3DC4D05E">
            <w:pPr>
              <w:pStyle w:val="28"/>
              <w:bidi w:val="0"/>
            </w:pPr>
            <w:r>
              <w:t>2</w:t>
            </w:r>
          </w:p>
        </w:tc>
        <w:tc>
          <w:tcPr>
            <w:tcW w:w="344" w:type="pct"/>
            <w:vAlign w:val="center"/>
          </w:tcPr>
          <w:p w14:paraId="5BBA0C83">
            <w:pPr>
              <w:pStyle w:val="28"/>
              <w:bidi w:val="0"/>
            </w:pPr>
            <w:r>
              <w:rPr>
                <w:rFonts w:hint="eastAsia"/>
              </w:rPr>
              <w:t>水域及水利设施用地</w:t>
            </w:r>
          </w:p>
        </w:tc>
        <w:tc>
          <w:tcPr>
            <w:tcW w:w="934" w:type="pct"/>
            <w:noWrap/>
            <w:vAlign w:val="center"/>
          </w:tcPr>
          <w:p w14:paraId="73FA7649">
            <w:pPr>
              <w:pStyle w:val="28"/>
              <w:bidi w:val="0"/>
            </w:pPr>
            <w:r>
              <w:drawing>
                <wp:inline distT="0" distB="0" distL="114300" distR="114300">
                  <wp:extent cx="1692275" cy="1137285"/>
                  <wp:effectExtent l="0" t="0" r="9525" b="5715"/>
                  <wp:docPr id="19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37"/>
                          <pic:cNvPicPr>
                            <a:picLocks noChangeAspect="1"/>
                          </pic:cNvPicPr>
                        </pic:nvPicPr>
                        <pic:blipFill>
                          <a:blip r:embed="rId92"/>
                          <a:stretch>
                            <a:fillRect/>
                          </a:stretch>
                        </pic:blipFill>
                        <pic:spPr>
                          <a:xfrm>
                            <a:off x="0" y="0"/>
                            <a:ext cx="1692275" cy="1137285"/>
                          </a:xfrm>
                          <a:prstGeom prst="rect">
                            <a:avLst/>
                          </a:prstGeom>
                          <a:noFill/>
                          <a:ln>
                            <a:noFill/>
                          </a:ln>
                        </pic:spPr>
                      </pic:pic>
                    </a:graphicData>
                  </a:graphic>
                </wp:inline>
              </w:drawing>
            </w:r>
          </w:p>
        </w:tc>
        <w:tc>
          <w:tcPr>
            <w:tcW w:w="995" w:type="pct"/>
            <w:noWrap/>
            <w:vAlign w:val="center"/>
          </w:tcPr>
          <w:p w14:paraId="463E8D62">
            <w:pPr>
              <w:pStyle w:val="28"/>
              <w:bidi w:val="0"/>
            </w:pPr>
            <w:r>
              <w:t>不涉及饮用水水源保护区和生态保护红线，200m范围内无居民敏感点，选址满足要求</w:t>
            </w:r>
          </w:p>
        </w:tc>
      </w:tr>
      <w:tr w14:paraId="7CE67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72B5F3F2">
            <w:pPr>
              <w:pStyle w:val="28"/>
              <w:bidi w:val="0"/>
            </w:pPr>
          </w:p>
        </w:tc>
        <w:tc>
          <w:tcPr>
            <w:tcW w:w="423" w:type="pct"/>
            <w:noWrap/>
            <w:vAlign w:val="center"/>
          </w:tcPr>
          <w:p w14:paraId="4556A559">
            <w:pPr>
              <w:pStyle w:val="28"/>
              <w:bidi w:val="0"/>
            </w:pPr>
            <w:r>
              <w:t>6</w:t>
            </w:r>
            <w:r>
              <w:rPr>
                <w:rFonts w:hint="eastAsia"/>
              </w:rPr>
              <w:t>#取弃土场</w:t>
            </w:r>
          </w:p>
        </w:tc>
        <w:tc>
          <w:tcPr>
            <w:tcW w:w="442" w:type="pct"/>
            <w:vAlign w:val="center"/>
          </w:tcPr>
          <w:p w14:paraId="6787BB12">
            <w:pPr>
              <w:pStyle w:val="28"/>
              <w:bidi w:val="0"/>
            </w:pPr>
            <w:r>
              <w:t>116.66418314</w:t>
            </w:r>
            <w:r>
              <w:rPr>
                <w:rFonts w:hint="eastAsia"/>
              </w:rPr>
              <w:t>，</w:t>
            </w:r>
            <w:r>
              <w:t>32.04930686</w:t>
            </w:r>
          </w:p>
        </w:tc>
        <w:tc>
          <w:tcPr>
            <w:tcW w:w="398" w:type="pct"/>
            <w:vAlign w:val="center"/>
          </w:tcPr>
          <w:p w14:paraId="7EA9307C">
            <w:pPr>
              <w:pStyle w:val="28"/>
              <w:bidi w:val="0"/>
            </w:pPr>
            <w:r>
              <w:t>2.08</w:t>
            </w:r>
          </w:p>
        </w:tc>
        <w:tc>
          <w:tcPr>
            <w:tcW w:w="450" w:type="pct"/>
            <w:vAlign w:val="center"/>
          </w:tcPr>
          <w:p w14:paraId="7CF5F670">
            <w:pPr>
              <w:pStyle w:val="28"/>
              <w:bidi w:val="0"/>
            </w:pPr>
            <w:r>
              <w:t>0.27</w:t>
            </w:r>
          </w:p>
        </w:tc>
        <w:tc>
          <w:tcPr>
            <w:tcW w:w="375" w:type="pct"/>
            <w:vAlign w:val="center"/>
          </w:tcPr>
          <w:p w14:paraId="690B6BEF">
            <w:pPr>
              <w:pStyle w:val="28"/>
              <w:bidi w:val="0"/>
            </w:pPr>
            <w:r>
              <w:t>8.45</w:t>
            </w:r>
          </w:p>
        </w:tc>
        <w:tc>
          <w:tcPr>
            <w:tcW w:w="337" w:type="pct"/>
            <w:vAlign w:val="center"/>
          </w:tcPr>
          <w:p w14:paraId="1801172E">
            <w:pPr>
              <w:pStyle w:val="28"/>
              <w:bidi w:val="0"/>
            </w:pPr>
            <w:r>
              <w:t>3</w:t>
            </w:r>
          </w:p>
        </w:tc>
        <w:tc>
          <w:tcPr>
            <w:tcW w:w="344" w:type="pct"/>
            <w:vAlign w:val="center"/>
          </w:tcPr>
          <w:p w14:paraId="35F7FB2D">
            <w:pPr>
              <w:pStyle w:val="28"/>
              <w:bidi w:val="0"/>
            </w:pPr>
            <w:r>
              <w:rPr>
                <w:rFonts w:hint="eastAsia"/>
              </w:rPr>
              <w:t>水域及水利设施用地</w:t>
            </w:r>
          </w:p>
        </w:tc>
        <w:tc>
          <w:tcPr>
            <w:tcW w:w="934" w:type="pct"/>
            <w:noWrap/>
            <w:vAlign w:val="center"/>
          </w:tcPr>
          <w:p w14:paraId="608A2D74">
            <w:pPr>
              <w:pStyle w:val="28"/>
              <w:bidi w:val="0"/>
            </w:pPr>
            <w:r>
              <w:drawing>
                <wp:inline distT="0" distB="0" distL="114300" distR="114300">
                  <wp:extent cx="1692275" cy="1335405"/>
                  <wp:effectExtent l="0" t="0" r="9525" b="10795"/>
                  <wp:docPr id="18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38"/>
                          <pic:cNvPicPr>
                            <a:picLocks noChangeAspect="1"/>
                          </pic:cNvPicPr>
                        </pic:nvPicPr>
                        <pic:blipFill>
                          <a:blip r:embed="rId93"/>
                          <a:stretch>
                            <a:fillRect/>
                          </a:stretch>
                        </pic:blipFill>
                        <pic:spPr>
                          <a:xfrm>
                            <a:off x="0" y="0"/>
                            <a:ext cx="1692275" cy="1335405"/>
                          </a:xfrm>
                          <a:prstGeom prst="rect">
                            <a:avLst/>
                          </a:prstGeom>
                          <a:noFill/>
                          <a:ln>
                            <a:noFill/>
                          </a:ln>
                        </pic:spPr>
                      </pic:pic>
                    </a:graphicData>
                  </a:graphic>
                </wp:inline>
              </w:drawing>
            </w:r>
          </w:p>
        </w:tc>
        <w:tc>
          <w:tcPr>
            <w:tcW w:w="995" w:type="pct"/>
            <w:noWrap/>
            <w:vAlign w:val="center"/>
          </w:tcPr>
          <w:p w14:paraId="6080D121">
            <w:pPr>
              <w:pStyle w:val="28"/>
              <w:bidi w:val="0"/>
            </w:pPr>
            <w:r>
              <w:t>不涉及饮用水水源保护区和生态保护红线，距离最近的敏感点为</w:t>
            </w:r>
            <w:r>
              <w:rPr>
                <w:rFonts w:hint="eastAsia"/>
              </w:rPr>
              <w:t>西北</w:t>
            </w:r>
            <w:r>
              <w:t>侧</w:t>
            </w:r>
            <w:r>
              <w:rPr>
                <w:rFonts w:hint="eastAsia"/>
              </w:rPr>
              <w:t>土城</w:t>
            </w:r>
            <w:r>
              <w:t>（</w:t>
            </w:r>
            <w:r>
              <w:rPr>
                <w:rFonts w:hint="eastAsia"/>
              </w:rPr>
              <w:t>179</w:t>
            </w:r>
            <w:r>
              <w:t>m），通过加强</w:t>
            </w:r>
            <w:r>
              <w:rPr>
                <w:rFonts w:hint="eastAsia"/>
              </w:rPr>
              <w:t>取</w:t>
            </w:r>
            <w:r>
              <w:t>弃土场和运输道路抑尘降噪措施，选址满足要求</w:t>
            </w:r>
          </w:p>
        </w:tc>
      </w:tr>
      <w:tr w14:paraId="13F89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4D7B0D88">
            <w:pPr>
              <w:pStyle w:val="28"/>
              <w:bidi w:val="0"/>
            </w:pPr>
          </w:p>
        </w:tc>
        <w:tc>
          <w:tcPr>
            <w:tcW w:w="423" w:type="pct"/>
            <w:noWrap/>
            <w:vAlign w:val="center"/>
          </w:tcPr>
          <w:p w14:paraId="1AB9DC2F">
            <w:pPr>
              <w:pStyle w:val="28"/>
              <w:bidi w:val="0"/>
            </w:pPr>
            <w:r>
              <w:t>7</w:t>
            </w:r>
            <w:r>
              <w:rPr>
                <w:rFonts w:hint="eastAsia"/>
              </w:rPr>
              <w:t>#取弃土场</w:t>
            </w:r>
          </w:p>
        </w:tc>
        <w:tc>
          <w:tcPr>
            <w:tcW w:w="442" w:type="pct"/>
            <w:vAlign w:val="center"/>
          </w:tcPr>
          <w:p w14:paraId="083B9CA8">
            <w:pPr>
              <w:pStyle w:val="28"/>
              <w:bidi w:val="0"/>
            </w:pPr>
            <w:r>
              <w:t>116.66434944</w:t>
            </w:r>
            <w:r>
              <w:rPr>
                <w:rFonts w:hint="eastAsia"/>
              </w:rPr>
              <w:t>，</w:t>
            </w:r>
            <w:r>
              <w:t>32.03498320</w:t>
            </w:r>
          </w:p>
        </w:tc>
        <w:tc>
          <w:tcPr>
            <w:tcW w:w="398" w:type="pct"/>
            <w:vAlign w:val="center"/>
          </w:tcPr>
          <w:p w14:paraId="25A0A3E5">
            <w:pPr>
              <w:pStyle w:val="28"/>
              <w:bidi w:val="0"/>
            </w:pPr>
            <w:r>
              <w:t>3.87</w:t>
            </w:r>
          </w:p>
        </w:tc>
        <w:tc>
          <w:tcPr>
            <w:tcW w:w="450" w:type="pct"/>
            <w:vAlign w:val="center"/>
          </w:tcPr>
          <w:p w14:paraId="7B7FE20B">
            <w:pPr>
              <w:pStyle w:val="28"/>
              <w:bidi w:val="0"/>
            </w:pPr>
            <w:r>
              <w:t>0.52</w:t>
            </w:r>
          </w:p>
        </w:tc>
        <w:tc>
          <w:tcPr>
            <w:tcW w:w="375" w:type="pct"/>
            <w:vAlign w:val="center"/>
          </w:tcPr>
          <w:p w14:paraId="77F4C676">
            <w:pPr>
              <w:pStyle w:val="28"/>
              <w:bidi w:val="0"/>
            </w:pPr>
            <w:r>
              <w:t>15.69</w:t>
            </w:r>
          </w:p>
        </w:tc>
        <w:tc>
          <w:tcPr>
            <w:tcW w:w="337" w:type="pct"/>
            <w:vAlign w:val="center"/>
          </w:tcPr>
          <w:p w14:paraId="4751710C">
            <w:pPr>
              <w:pStyle w:val="28"/>
              <w:bidi w:val="0"/>
            </w:pPr>
            <w:r>
              <w:t>3</w:t>
            </w:r>
          </w:p>
        </w:tc>
        <w:tc>
          <w:tcPr>
            <w:tcW w:w="344" w:type="pct"/>
            <w:vAlign w:val="center"/>
          </w:tcPr>
          <w:p w14:paraId="5F52D3D8">
            <w:pPr>
              <w:pStyle w:val="28"/>
              <w:bidi w:val="0"/>
            </w:pPr>
            <w:r>
              <w:rPr>
                <w:rFonts w:hint="eastAsia"/>
              </w:rPr>
              <w:t>水域及水利设施用地</w:t>
            </w:r>
          </w:p>
        </w:tc>
        <w:tc>
          <w:tcPr>
            <w:tcW w:w="934" w:type="pct"/>
            <w:noWrap/>
            <w:vAlign w:val="center"/>
          </w:tcPr>
          <w:p w14:paraId="6A5F5087">
            <w:pPr>
              <w:pStyle w:val="28"/>
              <w:bidi w:val="0"/>
            </w:pPr>
            <w:r>
              <w:drawing>
                <wp:inline distT="0" distB="0" distL="114300" distR="114300">
                  <wp:extent cx="1692275" cy="843915"/>
                  <wp:effectExtent l="0" t="0" r="9525" b="6985"/>
                  <wp:docPr id="18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39"/>
                          <pic:cNvPicPr>
                            <a:picLocks noChangeAspect="1"/>
                          </pic:cNvPicPr>
                        </pic:nvPicPr>
                        <pic:blipFill>
                          <a:blip r:embed="rId94"/>
                          <a:stretch>
                            <a:fillRect/>
                          </a:stretch>
                        </pic:blipFill>
                        <pic:spPr>
                          <a:xfrm>
                            <a:off x="0" y="0"/>
                            <a:ext cx="1692275" cy="843915"/>
                          </a:xfrm>
                          <a:prstGeom prst="rect">
                            <a:avLst/>
                          </a:prstGeom>
                          <a:noFill/>
                          <a:ln>
                            <a:noFill/>
                          </a:ln>
                        </pic:spPr>
                      </pic:pic>
                    </a:graphicData>
                  </a:graphic>
                </wp:inline>
              </w:drawing>
            </w:r>
          </w:p>
        </w:tc>
        <w:tc>
          <w:tcPr>
            <w:tcW w:w="995" w:type="pct"/>
            <w:noWrap/>
            <w:vAlign w:val="center"/>
          </w:tcPr>
          <w:p w14:paraId="13F0A83A">
            <w:pPr>
              <w:pStyle w:val="28"/>
              <w:bidi w:val="0"/>
            </w:pPr>
            <w:r>
              <w:t>不涉及饮用水水源保护区和生态保护红线，距离最近的敏感点为</w:t>
            </w:r>
            <w:r>
              <w:rPr>
                <w:rFonts w:hint="eastAsia"/>
              </w:rPr>
              <w:t>西北</w:t>
            </w:r>
            <w:r>
              <w:t>侧</w:t>
            </w:r>
            <w:r>
              <w:rPr>
                <w:rFonts w:hint="eastAsia"/>
              </w:rPr>
              <w:t>长郢</w:t>
            </w:r>
            <w:r>
              <w:t>（</w:t>
            </w:r>
            <w:r>
              <w:rPr>
                <w:rFonts w:hint="eastAsia"/>
              </w:rPr>
              <w:t>130</w:t>
            </w:r>
            <w:r>
              <w:t>m），通过加强</w:t>
            </w:r>
            <w:r>
              <w:rPr>
                <w:rFonts w:hint="eastAsia"/>
              </w:rPr>
              <w:t>取</w:t>
            </w:r>
            <w:r>
              <w:t>弃土场和运输道路抑尘降噪措施，选址满足要求</w:t>
            </w:r>
          </w:p>
        </w:tc>
      </w:tr>
      <w:tr w14:paraId="42B73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18D84CEB">
            <w:pPr>
              <w:pStyle w:val="28"/>
              <w:bidi w:val="0"/>
            </w:pPr>
          </w:p>
        </w:tc>
        <w:tc>
          <w:tcPr>
            <w:tcW w:w="423" w:type="pct"/>
            <w:noWrap/>
            <w:vAlign w:val="center"/>
          </w:tcPr>
          <w:p w14:paraId="76EE0282">
            <w:pPr>
              <w:pStyle w:val="28"/>
              <w:bidi w:val="0"/>
            </w:pPr>
            <w:r>
              <w:t>8</w:t>
            </w:r>
            <w:r>
              <w:rPr>
                <w:rFonts w:hint="eastAsia"/>
              </w:rPr>
              <w:t>#取弃土场</w:t>
            </w:r>
          </w:p>
        </w:tc>
        <w:tc>
          <w:tcPr>
            <w:tcW w:w="442" w:type="pct"/>
            <w:vAlign w:val="center"/>
          </w:tcPr>
          <w:p w14:paraId="360DBA7E">
            <w:pPr>
              <w:pStyle w:val="28"/>
              <w:bidi w:val="0"/>
            </w:pPr>
            <w:r>
              <w:t>116.65342748</w:t>
            </w:r>
            <w:r>
              <w:rPr>
                <w:rFonts w:hint="eastAsia"/>
              </w:rPr>
              <w:t>，</w:t>
            </w:r>
            <w:r>
              <w:t>31.94356376</w:t>
            </w:r>
          </w:p>
        </w:tc>
        <w:tc>
          <w:tcPr>
            <w:tcW w:w="398" w:type="pct"/>
            <w:vAlign w:val="center"/>
          </w:tcPr>
          <w:p w14:paraId="21D74EB0">
            <w:pPr>
              <w:pStyle w:val="28"/>
              <w:bidi w:val="0"/>
            </w:pPr>
            <w:r>
              <w:t>1.95</w:t>
            </w:r>
          </w:p>
        </w:tc>
        <w:tc>
          <w:tcPr>
            <w:tcW w:w="450" w:type="pct"/>
            <w:vAlign w:val="center"/>
          </w:tcPr>
          <w:p w14:paraId="1EC76CDA">
            <w:pPr>
              <w:pStyle w:val="28"/>
              <w:bidi w:val="0"/>
            </w:pPr>
            <w:r>
              <w:t>3.43</w:t>
            </w:r>
          </w:p>
        </w:tc>
        <w:tc>
          <w:tcPr>
            <w:tcW w:w="375" w:type="pct"/>
            <w:vAlign w:val="center"/>
          </w:tcPr>
          <w:p w14:paraId="74A0E147">
            <w:pPr>
              <w:pStyle w:val="28"/>
              <w:bidi w:val="0"/>
            </w:pPr>
            <w:r>
              <w:t>2.80</w:t>
            </w:r>
          </w:p>
        </w:tc>
        <w:tc>
          <w:tcPr>
            <w:tcW w:w="337" w:type="pct"/>
            <w:vMerge w:val="restart"/>
            <w:vAlign w:val="center"/>
          </w:tcPr>
          <w:p w14:paraId="103A3D75">
            <w:pPr>
              <w:pStyle w:val="28"/>
              <w:bidi w:val="0"/>
            </w:pPr>
            <w:r>
              <w:t>3</w:t>
            </w:r>
          </w:p>
        </w:tc>
        <w:tc>
          <w:tcPr>
            <w:tcW w:w="344" w:type="pct"/>
            <w:vMerge w:val="restart"/>
            <w:vAlign w:val="center"/>
          </w:tcPr>
          <w:p w14:paraId="17310502">
            <w:pPr>
              <w:pStyle w:val="28"/>
              <w:bidi w:val="0"/>
            </w:pPr>
            <w:r>
              <w:rPr>
                <w:rFonts w:hint="eastAsia"/>
              </w:rPr>
              <w:t>耕地</w:t>
            </w:r>
          </w:p>
        </w:tc>
        <w:tc>
          <w:tcPr>
            <w:tcW w:w="934" w:type="pct"/>
            <w:noWrap/>
            <w:vAlign w:val="center"/>
          </w:tcPr>
          <w:p w14:paraId="2489CC0A">
            <w:pPr>
              <w:pStyle w:val="28"/>
              <w:bidi w:val="0"/>
            </w:pPr>
            <w:r>
              <w:drawing>
                <wp:inline distT="0" distB="0" distL="114300" distR="114300">
                  <wp:extent cx="1692275" cy="1239520"/>
                  <wp:effectExtent l="0" t="0" r="9525" b="5080"/>
                  <wp:docPr id="20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40"/>
                          <pic:cNvPicPr>
                            <a:picLocks noChangeAspect="1"/>
                          </pic:cNvPicPr>
                        </pic:nvPicPr>
                        <pic:blipFill>
                          <a:blip r:embed="rId95"/>
                          <a:stretch>
                            <a:fillRect/>
                          </a:stretch>
                        </pic:blipFill>
                        <pic:spPr>
                          <a:xfrm>
                            <a:off x="0" y="0"/>
                            <a:ext cx="1692275" cy="1239520"/>
                          </a:xfrm>
                          <a:prstGeom prst="rect">
                            <a:avLst/>
                          </a:prstGeom>
                          <a:noFill/>
                          <a:ln>
                            <a:noFill/>
                          </a:ln>
                        </pic:spPr>
                      </pic:pic>
                    </a:graphicData>
                  </a:graphic>
                </wp:inline>
              </w:drawing>
            </w:r>
          </w:p>
        </w:tc>
        <w:tc>
          <w:tcPr>
            <w:tcW w:w="995" w:type="pct"/>
            <w:noWrap/>
            <w:vAlign w:val="center"/>
          </w:tcPr>
          <w:p w14:paraId="46ABBE51">
            <w:pPr>
              <w:pStyle w:val="28"/>
              <w:bidi w:val="0"/>
            </w:pPr>
            <w:r>
              <w:t>不涉及饮用水水源保护区和生态保护红线，200m范围内无居民敏感点，选址满足要求</w:t>
            </w:r>
          </w:p>
        </w:tc>
      </w:tr>
      <w:tr w14:paraId="5713F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204C1794">
            <w:pPr>
              <w:pStyle w:val="28"/>
              <w:bidi w:val="0"/>
            </w:pPr>
          </w:p>
        </w:tc>
        <w:tc>
          <w:tcPr>
            <w:tcW w:w="423" w:type="pct"/>
            <w:noWrap/>
            <w:vAlign w:val="center"/>
          </w:tcPr>
          <w:p w14:paraId="0162685C">
            <w:pPr>
              <w:pStyle w:val="28"/>
              <w:bidi w:val="0"/>
            </w:pPr>
            <w:r>
              <w:t>9</w:t>
            </w:r>
            <w:r>
              <w:rPr>
                <w:rFonts w:hint="eastAsia"/>
              </w:rPr>
              <w:t>#取弃土场</w:t>
            </w:r>
          </w:p>
        </w:tc>
        <w:tc>
          <w:tcPr>
            <w:tcW w:w="442" w:type="pct"/>
            <w:vAlign w:val="center"/>
          </w:tcPr>
          <w:p w14:paraId="7C57F4CF">
            <w:pPr>
              <w:pStyle w:val="28"/>
              <w:bidi w:val="0"/>
            </w:pPr>
            <w:r>
              <w:t>116.64630353</w:t>
            </w:r>
            <w:r>
              <w:rPr>
                <w:rFonts w:hint="eastAsia"/>
              </w:rPr>
              <w:t>，</w:t>
            </w:r>
            <w:r>
              <w:t>31.90116499</w:t>
            </w:r>
          </w:p>
        </w:tc>
        <w:tc>
          <w:tcPr>
            <w:tcW w:w="398" w:type="pct"/>
            <w:vAlign w:val="center"/>
          </w:tcPr>
          <w:p w14:paraId="7A07A629">
            <w:pPr>
              <w:pStyle w:val="28"/>
              <w:bidi w:val="0"/>
            </w:pPr>
            <w:r>
              <w:t>2.3</w:t>
            </w:r>
          </w:p>
        </w:tc>
        <w:tc>
          <w:tcPr>
            <w:tcW w:w="450" w:type="pct"/>
            <w:vAlign w:val="center"/>
          </w:tcPr>
          <w:p w14:paraId="1C1DC7DF">
            <w:pPr>
              <w:pStyle w:val="28"/>
              <w:bidi w:val="0"/>
            </w:pPr>
            <w:r>
              <w:t>4.03</w:t>
            </w:r>
          </w:p>
        </w:tc>
        <w:tc>
          <w:tcPr>
            <w:tcW w:w="375" w:type="pct"/>
            <w:vAlign w:val="center"/>
          </w:tcPr>
          <w:p w14:paraId="179974C0">
            <w:pPr>
              <w:pStyle w:val="28"/>
              <w:bidi w:val="0"/>
            </w:pPr>
            <w:r>
              <w:t>3.29</w:t>
            </w:r>
          </w:p>
        </w:tc>
        <w:tc>
          <w:tcPr>
            <w:tcW w:w="337" w:type="pct"/>
            <w:vMerge w:val="continue"/>
            <w:vAlign w:val="center"/>
          </w:tcPr>
          <w:p w14:paraId="03F22399">
            <w:pPr>
              <w:pStyle w:val="28"/>
              <w:bidi w:val="0"/>
            </w:pPr>
          </w:p>
        </w:tc>
        <w:tc>
          <w:tcPr>
            <w:tcW w:w="344" w:type="pct"/>
            <w:vMerge w:val="continue"/>
            <w:vAlign w:val="center"/>
          </w:tcPr>
          <w:p w14:paraId="281E801E">
            <w:pPr>
              <w:pStyle w:val="28"/>
              <w:bidi w:val="0"/>
            </w:pPr>
          </w:p>
        </w:tc>
        <w:tc>
          <w:tcPr>
            <w:tcW w:w="934" w:type="pct"/>
            <w:noWrap/>
            <w:vAlign w:val="center"/>
          </w:tcPr>
          <w:p w14:paraId="6F56F465">
            <w:pPr>
              <w:pStyle w:val="28"/>
              <w:bidi w:val="0"/>
            </w:pPr>
            <w:r>
              <w:drawing>
                <wp:inline distT="0" distB="0" distL="114300" distR="114300">
                  <wp:extent cx="1692275" cy="1383665"/>
                  <wp:effectExtent l="0" t="0" r="9525" b="635"/>
                  <wp:docPr id="19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41"/>
                          <pic:cNvPicPr>
                            <a:picLocks noChangeAspect="1"/>
                          </pic:cNvPicPr>
                        </pic:nvPicPr>
                        <pic:blipFill>
                          <a:blip r:embed="rId96"/>
                          <a:stretch>
                            <a:fillRect/>
                          </a:stretch>
                        </pic:blipFill>
                        <pic:spPr>
                          <a:xfrm>
                            <a:off x="0" y="0"/>
                            <a:ext cx="1692275" cy="1383665"/>
                          </a:xfrm>
                          <a:prstGeom prst="rect">
                            <a:avLst/>
                          </a:prstGeom>
                          <a:noFill/>
                          <a:ln>
                            <a:noFill/>
                          </a:ln>
                        </pic:spPr>
                      </pic:pic>
                    </a:graphicData>
                  </a:graphic>
                </wp:inline>
              </w:drawing>
            </w:r>
          </w:p>
        </w:tc>
        <w:tc>
          <w:tcPr>
            <w:tcW w:w="995" w:type="pct"/>
            <w:noWrap/>
            <w:vAlign w:val="center"/>
          </w:tcPr>
          <w:p w14:paraId="47DCF39F">
            <w:pPr>
              <w:pStyle w:val="28"/>
              <w:bidi w:val="0"/>
            </w:pPr>
            <w:r>
              <w:t>不涉及饮用水水源保护区和生态保护红线，200m范围内</w:t>
            </w:r>
            <w:r>
              <w:rPr>
                <w:rFonts w:hint="eastAsia"/>
              </w:rPr>
              <w:t>均为厂房，</w:t>
            </w:r>
            <w:r>
              <w:t>无居民敏感点，选址满足要求</w:t>
            </w:r>
          </w:p>
        </w:tc>
      </w:tr>
      <w:tr w14:paraId="7B40A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7B7C8781">
            <w:pPr>
              <w:pStyle w:val="28"/>
              <w:bidi w:val="0"/>
            </w:pPr>
          </w:p>
        </w:tc>
        <w:tc>
          <w:tcPr>
            <w:tcW w:w="423" w:type="pct"/>
            <w:noWrap/>
            <w:vAlign w:val="center"/>
          </w:tcPr>
          <w:p w14:paraId="09D7E8AE">
            <w:pPr>
              <w:pStyle w:val="28"/>
              <w:bidi w:val="0"/>
            </w:pPr>
            <w:r>
              <w:t>1</w:t>
            </w:r>
            <w:r>
              <w:rPr>
                <w:rFonts w:hint="eastAsia"/>
              </w:rPr>
              <w:t>0#取弃土场</w:t>
            </w:r>
          </w:p>
        </w:tc>
        <w:tc>
          <w:tcPr>
            <w:tcW w:w="442" w:type="pct"/>
            <w:vAlign w:val="center"/>
          </w:tcPr>
          <w:p w14:paraId="38F1CBDF">
            <w:pPr>
              <w:pStyle w:val="28"/>
              <w:bidi w:val="0"/>
            </w:pPr>
            <w:r>
              <w:t>116.39905899</w:t>
            </w:r>
            <w:r>
              <w:rPr>
                <w:rFonts w:hint="eastAsia"/>
              </w:rPr>
              <w:t>，</w:t>
            </w:r>
            <w:r>
              <w:t>31.40733794</w:t>
            </w:r>
          </w:p>
        </w:tc>
        <w:tc>
          <w:tcPr>
            <w:tcW w:w="398" w:type="pct"/>
            <w:vAlign w:val="center"/>
          </w:tcPr>
          <w:p w14:paraId="46E003B2">
            <w:pPr>
              <w:pStyle w:val="28"/>
              <w:bidi w:val="0"/>
            </w:pPr>
            <w:r>
              <w:t>0.58</w:t>
            </w:r>
          </w:p>
        </w:tc>
        <w:tc>
          <w:tcPr>
            <w:tcW w:w="450" w:type="pct"/>
            <w:vAlign w:val="center"/>
          </w:tcPr>
          <w:p w14:paraId="7621B2CB">
            <w:pPr>
              <w:pStyle w:val="28"/>
              <w:bidi w:val="0"/>
            </w:pPr>
            <w:r>
              <w:t>2.4</w:t>
            </w:r>
          </w:p>
        </w:tc>
        <w:tc>
          <w:tcPr>
            <w:tcW w:w="375" w:type="pct"/>
            <w:vAlign w:val="center"/>
          </w:tcPr>
          <w:p w14:paraId="698C1526">
            <w:pPr>
              <w:pStyle w:val="28"/>
              <w:bidi w:val="0"/>
            </w:pPr>
            <w:r>
              <w:t>1.37</w:t>
            </w:r>
          </w:p>
        </w:tc>
        <w:tc>
          <w:tcPr>
            <w:tcW w:w="337" w:type="pct"/>
            <w:vAlign w:val="center"/>
          </w:tcPr>
          <w:p w14:paraId="7AE6E602">
            <w:pPr>
              <w:pStyle w:val="28"/>
              <w:bidi w:val="0"/>
            </w:pPr>
            <w:r>
              <w:t>2</w:t>
            </w:r>
          </w:p>
        </w:tc>
        <w:tc>
          <w:tcPr>
            <w:tcW w:w="344" w:type="pct"/>
            <w:vAlign w:val="center"/>
          </w:tcPr>
          <w:p w14:paraId="10FE2C8E">
            <w:pPr>
              <w:pStyle w:val="28"/>
              <w:bidi w:val="0"/>
            </w:pPr>
            <w:r>
              <w:rPr>
                <w:rFonts w:hint="eastAsia"/>
              </w:rPr>
              <w:t>耕地</w:t>
            </w:r>
          </w:p>
        </w:tc>
        <w:tc>
          <w:tcPr>
            <w:tcW w:w="934" w:type="pct"/>
            <w:noWrap/>
            <w:vAlign w:val="center"/>
          </w:tcPr>
          <w:p w14:paraId="0088502F">
            <w:pPr>
              <w:pStyle w:val="28"/>
              <w:bidi w:val="0"/>
            </w:pPr>
            <w:r>
              <w:drawing>
                <wp:inline distT="0" distB="0" distL="114300" distR="114300">
                  <wp:extent cx="1692275" cy="1205230"/>
                  <wp:effectExtent l="0" t="0" r="9525" b="1270"/>
                  <wp:docPr id="18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42"/>
                          <pic:cNvPicPr>
                            <a:picLocks noChangeAspect="1"/>
                          </pic:cNvPicPr>
                        </pic:nvPicPr>
                        <pic:blipFill>
                          <a:blip r:embed="rId97"/>
                          <a:stretch>
                            <a:fillRect/>
                          </a:stretch>
                        </pic:blipFill>
                        <pic:spPr>
                          <a:xfrm>
                            <a:off x="0" y="0"/>
                            <a:ext cx="1692275" cy="1205230"/>
                          </a:xfrm>
                          <a:prstGeom prst="rect">
                            <a:avLst/>
                          </a:prstGeom>
                          <a:noFill/>
                          <a:ln>
                            <a:noFill/>
                          </a:ln>
                        </pic:spPr>
                      </pic:pic>
                    </a:graphicData>
                  </a:graphic>
                </wp:inline>
              </w:drawing>
            </w:r>
          </w:p>
        </w:tc>
        <w:tc>
          <w:tcPr>
            <w:tcW w:w="995" w:type="pct"/>
            <w:noWrap/>
            <w:vAlign w:val="center"/>
          </w:tcPr>
          <w:p w14:paraId="4D774E4E">
            <w:pPr>
              <w:pStyle w:val="28"/>
              <w:bidi w:val="0"/>
            </w:pPr>
            <w:r>
              <w:t>不涉及饮用水水源保护区和生态保护红线，距离最近的敏感点为北侧旱龙头村（98m），通过加强取弃土场和运输道路抑尘降噪措施，选址满足要求</w:t>
            </w:r>
          </w:p>
        </w:tc>
      </w:tr>
      <w:tr w14:paraId="44A69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2D34A846">
            <w:pPr>
              <w:pStyle w:val="28"/>
              <w:bidi w:val="0"/>
            </w:pPr>
          </w:p>
        </w:tc>
        <w:tc>
          <w:tcPr>
            <w:tcW w:w="423" w:type="pct"/>
            <w:noWrap/>
            <w:vAlign w:val="center"/>
          </w:tcPr>
          <w:p w14:paraId="0A0233C0">
            <w:pPr>
              <w:pStyle w:val="28"/>
              <w:bidi w:val="0"/>
            </w:pPr>
            <w:r>
              <w:t>1</w:t>
            </w:r>
            <w:r>
              <w:rPr>
                <w:rFonts w:hint="eastAsia"/>
              </w:rPr>
              <w:t>1#取弃土场</w:t>
            </w:r>
          </w:p>
        </w:tc>
        <w:tc>
          <w:tcPr>
            <w:tcW w:w="442" w:type="pct"/>
            <w:vAlign w:val="center"/>
          </w:tcPr>
          <w:p w14:paraId="643F3045">
            <w:pPr>
              <w:pStyle w:val="28"/>
              <w:bidi w:val="0"/>
            </w:pPr>
            <w:r>
              <w:t>116.86908245</w:t>
            </w:r>
            <w:r>
              <w:rPr>
                <w:rFonts w:hint="eastAsia"/>
              </w:rPr>
              <w:t>，</w:t>
            </w:r>
            <w:r>
              <w:t>31.59136731</w:t>
            </w:r>
          </w:p>
        </w:tc>
        <w:tc>
          <w:tcPr>
            <w:tcW w:w="398" w:type="pct"/>
            <w:vAlign w:val="center"/>
          </w:tcPr>
          <w:p w14:paraId="57CCF69F">
            <w:pPr>
              <w:pStyle w:val="28"/>
              <w:bidi w:val="0"/>
            </w:pPr>
            <w:r>
              <w:t>1.2</w:t>
            </w:r>
          </w:p>
        </w:tc>
        <w:tc>
          <w:tcPr>
            <w:tcW w:w="450" w:type="pct"/>
            <w:vAlign w:val="center"/>
          </w:tcPr>
          <w:p w14:paraId="19905C96">
            <w:pPr>
              <w:pStyle w:val="28"/>
              <w:bidi w:val="0"/>
            </w:pPr>
            <w:r>
              <w:t>0.82</w:t>
            </w:r>
          </w:p>
        </w:tc>
        <w:tc>
          <w:tcPr>
            <w:tcW w:w="375" w:type="pct"/>
            <w:vAlign w:val="center"/>
          </w:tcPr>
          <w:p w14:paraId="51341B12">
            <w:pPr>
              <w:pStyle w:val="28"/>
              <w:bidi w:val="0"/>
            </w:pPr>
            <w:r>
              <w:t>2.21</w:t>
            </w:r>
          </w:p>
        </w:tc>
        <w:tc>
          <w:tcPr>
            <w:tcW w:w="337" w:type="pct"/>
            <w:vAlign w:val="center"/>
          </w:tcPr>
          <w:p w14:paraId="2677A6BE">
            <w:pPr>
              <w:pStyle w:val="28"/>
              <w:bidi w:val="0"/>
            </w:pPr>
            <w:r>
              <w:t>2.5</w:t>
            </w:r>
          </w:p>
        </w:tc>
        <w:tc>
          <w:tcPr>
            <w:tcW w:w="344" w:type="pct"/>
            <w:vAlign w:val="center"/>
          </w:tcPr>
          <w:p w14:paraId="7D127AA8">
            <w:pPr>
              <w:pStyle w:val="28"/>
              <w:bidi w:val="0"/>
            </w:pPr>
            <w:r>
              <w:rPr>
                <w:rFonts w:hint="eastAsia"/>
              </w:rPr>
              <w:t>耕地</w:t>
            </w:r>
          </w:p>
        </w:tc>
        <w:tc>
          <w:tcPr>
            <w:tcW w:w="934" w:type="pct"/>
            <w:noWrap/>
            <w:vAlign w:val="center"/>
          </w:tcPr>
          <w:p w14:paraId="54B7BAEB">
            <w:pPr>
              <w:pStyle w:val="28"/>
              <w:bidi w:val="0"/>
            </w:pPr>
            <w:r>
              <w:drawing>
                <wp:inline distT="0" distB="0" distL="114300" distR="114300">
                  <wp:extent cx="1692275" cy="1113155"/>
                  <wp:effectExtent l="0" t="0" r="9525" b="4445"/>
                  <wp:docPr id="18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43"/>
                          <pic:cNvPicPr>
                            <a:picLocks noChangeAspect="1"/>
                          </pic:cNvPicPr>
                        </pic:nvPicPr>
                        <pic:blipFill>
                          <a:blip r:embed="rId98"/>
                          <a:stretch>
                            <a:fillRect/>
                          </a:stretch>
                        </pic:blipFill>
                        <pic:spPr>
                          <a:xfrm>
                            <a:off x="0" y="0"/>
                            <a:ext cx="1692275" cy="1113155"/>
                          </a:xfrm>
                          <a:prstGeom prst="rect">
                            <a:avLst/>
                          </a:prstGeom>
                          <a:noFill/>
                          <a:ln>
                            <a:noFill/>
                          </a:ln>
                        </pic:spPr>
                      </pic:pic>
                    </a:graphicData>
                  </a:graphic>
                </wp:inline>
              </w:drawing>
            </w:r>
          </w:p>
        </w:tc>
        <w:tc>
          <w:tcPr>
            <w:tcW w:w="995" w:type="pct"/>
            <w:noWrap/>
            <w:vAlign w:val="center"/>
          </w:tcPr>
          <w:p w14:paraId="65A44932">
            <w:pPr>
              <w:pStyle w:val="28"/>
              <w:bidi w:val="0"/>
            </w:pPr>
            <w:r>
              <w:t>不涉及饮用水水源保护区和生态保护红线，200m范围内</w:t>
            </w:r>
            <w:r>
              <w:rPr>
                <w:rFonts w:hint="eastAsia"/>
              </w:rPr>
              <w:t>均为厂房，</w:t>
            </w:r>
            <w:r>
              <w:t>无居民敏感点，选址满足要求</w:t>
            </w:r>
          </w:p>
        </w:tc>
      </w:tr>
      <w:tr w14:paraId="21C63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7F1E2BB5">
            <w:pPr>
              <w:pStyle w:val="28"/>
              <w:bidi w:val="0"/>
            </w:pPr>
          </w:p>
        </w:tc>
        <w:tc>
          <w:tcPr>
            <w:tcW w:w="423" w:type="pct"/>
            <w:noWrap/>
            <w:vAlign w:val="center"/>
          </w:tcPr>
          <w:p w14:paraId="688D680B">
            <w:pPr>
              <w:pStyle w:val="28"/>
              <w:bidi w:val="0"/>
            </w:pPr>
            <w:r>
              <w:t>1</w:t>
            </w:r>
            <w:r>
              <w:rPr>
                <w:rFonts w:hint="eastAsia"/>
              </w:rPr>
              <w:t>2#取弃土场</w:t>
            </w:r>
          </w:p>
        </w:tc>
        <w:tc>
          <w:tcPr>
            <w:tcW w:w="442" w:type="pct"/>
            <w:vAlign w:val="center"/>
          </w:tcPr>
          <w:p w14:paraId="5183C3A4">
            <w:pPr>
              <w:pStyle w:val="28"/>
              <w:bidi w:val="0"/>
            </w:pPr>
            <w:r>
              <w:t>116.88476801</w:t>
            </w:r>
            <w:r>
              <w:rPr>
                <w:rFonts w:hint="eastAsia"/>
              </w:rPr>
              <w:t>，</w:t>
            </w:r>
            <w:r>
              <w:t>31.59131547</w:t>
            </w:r>
          </w:p>
        </w:tc>
        <w:tc>
          <w:tcPr>
            <w:tcW w:w="398" w:type="pct"/>
            <w:vAlign w:val="center"/>
          </w:tcPr>
          <w:p w14:paraId="67A36711">
            <w:pPr>
              <w:pStyle w:val="28"/>
              <w:bidi w:val="0"/>
            </w:pPr>
            <w:r>
              <w:t>1.05</w:t>
            </w:r>
          </w:p>
        </w:tc>
        <w:tc>
          <w:tcPr>
            <w:tcW w:w="450" w:type="pct"/>
            <w:vAlign w:val="center"/>
          </w:tcPr>
          <w:p w14:paraId="33BCECB1">
            <w:pPr>
              <w:pStyle w:val="28"/>
              <w:bidi w:val="0"/>
            </w:pPr>
            <w:r>
              <w:t>0.59</w:t>
            </w:r>
          </w:p>
        </w:tc>
        <w:tc>
          <w:tcPr>
            <w:tcW w:w="375" w:type="pct"/>
            <w:vAlign w:val="center"/>
          </w:tcPr>
          <w:p w14:paraId="2E4494E8">
            <w:pPr>
              <w:pStyle w:val="28"/>
              <w:bidi w:val="0"/>
            </w:pPr>
            <w:r>
              <w:t>1.67</w:t>
            </w:r>
          </w:p>
        </w:tc>
        <w:tc>
          <w:tcPr>
            <w:tcW w:w="337" w:type="pct"/>
            <w:vAlign w:val="center"/>
          </w:tcPr>
          <w:p w14:paraId="53C759BF">
            <w:pPr>
              <w:pStyle w:val="28"/>
              <w:bidi w:val="0"/>
            </w:pPr>
            <w:r>
              <w:t>3</w:t>
            </w:r>
          </w:p>
        </w:tc>
        <w:tc>
          <w:tcPr>
            <w:tcW w:w="344" w:type="pct"/>
            <w:vAlign w:val="center"/>
          </w:tcPr>
          <w:p w14:paraId="571F84F1">
            <w:pPr>
              <w:pStyle w:val="28"/>
              <w:bidi w:val="0"/>
            </w:pPr>
            <w:r>
              <w:rPr>
                <w:rFonts w:hint="eastAsia"/>
              </w:rPr>
              <w:t>耕地</w:t>
            </w:r>
          </w:p>
        </w:tc>
        <w:tc>
          <w:tcPr>
            <w:tcW w:w="934" w:type="pct"/>
            <w:noWrap/>
            <w:vAlign w:val="center"/>
          </w:tcPr>
          <w:p w14:paraId="36D7D8BA">
            <w:pPr>
              <w:pStyle w:val="28"/>
              <w:bidi w:val="0"/>
            </w:pPr>
            <w:r>
              <w:drawing>
                <wp:inline distT="0" distB="0" distL="114300" distR="114300">
                  <wp:extent cx="1692275" cy="1078865"/>
                  <wp:effectExtent l="0" t="0" r="9525" b="635"/>
                  <wp:docPr id="19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44"/>
                          <pic:cNvPicPr>
                            <a:picLocks noChangeAspect="1"/>
                          </pic:cNvPicPr>
                        </pic:nvPicPr>
                        <pic:blipFill>
                          <a:blip r:embed="rId99"/>
                          <a:stretch>
                            <a:fillRect/>
                          </a:stretch>
                        </pic:blipFill>
                        <pic:spPr>
                          <a:xfrm>
                            <a:off x="0" y="0"/>
                            <a:ext cx="1692275" cy="1078865"/>
                          </a:xfrm>
                          <a:prstGeom prst="rect">
                            <a:avLst/>
                          </a:prstGeom>
                          <a:noFill/>
                          <a:ln>
                            <a:noFill/>
                          </a:ln>
                        </pic:spPr>
                      </pic:pic>
                    </a:graphicData>
                  </a:graphic>
                </wp:inline>
              </w:drawing>
            </w:r>
          </w:p>
        </w:tc>
        <w:tc>
          <w:tcPr>
            <w:tcW w:w="995" w:type="pct"/>
            <w:noWrap/>
            <w:vAlign w:val="center"/>
          </w:tcPr>
          <w:p w14:paraId="779C5168">
            <w:pPr>
              <w:pStyle w:val="28"/>
              <w:bidi w:val="0"/>
            </w:pPr>
            <w:r>
              <w:t>不涉及饮用水水源保护区和生态保护红线，距离最近的敏感点为</w:t>
            </w:r>
            <w:r>
              <w:rPr>
                <w:rFonts w:hint="eastAsia"/>
              </w:rPr>
              <w:t>西南</w:t>
            </w:r>
            <w:r>
              <w:t>侧</w:t>
            </w:r>
            <w:r>
              <w:rPr>
                <w:rFonts w:hint="eastAsia"/>
              </w:rPr>
              <w:t>横店小学</w:t>
            </w:r>
            <w:r>
              <w:t>（</w:t>
            </w:r>
            <w:r>
              <w:rPr>
                <w:rFonts w:hint="eastAsia"/>
              </w:rPr>
              <w:t>88</w:t>
            </w:r>
            <w:r>
              <w:t>m），通过加强</w:t>
            </w:r>
            <w:r>
              <w:rPr>
                <w:rFonts w:hint="eastAsia"/>
              </w:rPr>
              <w:t>取</w:t>
            </w:r>
            <w:r>
              <w:t>弃土场和运输道路抑尘降噪措施，选址满足要求</w:t>
            </w:r>
          </w:p>
        </w:tc>
      </w:tr>
      <w:tr w14:paraId="71340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773323A3">
            <w:pPr>
              <w:pStyle w:val="28"/>
              <w:bidi w:val="0"/>
            </w:pPr>
          </w:p>
        </w:tc>
        <w:tc>
          <w:tcPr>
            <w:tcW w:w="423" w:type="pct"/>
            <w:noWrap/>
            <w:vAlign w:val="center"/>
          </w:tcPr>
          <w:p w14:paraId="718BD96C">
            <w:pPr>
              <w:pStyle w:val="28"/>
              <w:bidi w:val="0"/>
            </w:pPr>
            <w:r>
              <w:t>1</w:t>
            </w:r>
            <w:r>
              <w:rPr>
                <w:rFonts w:hint="eastAsia"/>
              </w:rPr>
              <w:t>3#取弃土场</w:t>
            </w:r>
          </w:p>
        </w:tc>
        <w:tc>
          <w:tcPr>
            <w:tcW w:w="442" w:type="pct"/>
            <w:vAlign w:val="center"/>
          </w:tcPr>
          <w:p w14:paraId="4FB8DC12">
            <w:pPr>
              <w:pStyle w:val="28"/>
              <w:bidi w:val="0"/>
            </w:pPr>
            <w:r>
              <w:t>116.88569069</w:t>
            </w:r>
            <w:r>
              <w:rPr>
                <w:rFonts w:hint="eastAsia"/>
              </w:rPr>
              <w:t>，</w:t>
            </w:r>
            <w:r>
              <w:t>31.57835262</w:t>
            </w:r>
          </w:p>
        </w:tc>
        <w:tc>
          <w:tcPr>
            <w:tcW w:w="398" w:type="pct"/>
            <w:vAlign w:val="center"/>
          </w:tcPr>
          <w:p w14:paraId="295FBEF2">
            <w:pPr>
              <w:pStyle w:val="28"/>
              <w:bidi w:val="0"/>
            </w:pPr>
            <w:r>
              <w:t>1.05</w:t>
            </w:r>
          </w:p>
        </w:tc>
        <w:tc>
          <w:tcPr>
            <w:tcW w:w="450" w:type="pct"/>
            <w:vAlign w:val="center"/>
          </w:tcPr>
          <w:p w14:paraId="3889BCCB">
            <w:pPr>
              <w:pStyle w:val="28"/>
              <w:bidi w:val="0"/>
            </w:pPr>
            <w:r>
              <w:t>0.81</w:t>
            </w:r>
          </w:p>
        </w:tc>
        <w:tc>
          <w:tcPr>
            <w:tcW w:w="375" w:type="pct"/>
            <w:vAlign w:val="center"/>
          </w:tcPr>
          <w:p w14:paraId="306BDA33">
            <w:pPr>
              <w:pStyle w:val="28"/>
              <w:bidi w:val="0"/>
            </w:pPr>
            <w:r>
              <w:t>1.76</w:t>
            </w:r>
          </w:p>
        </w:tc>
        <w:tc>
          <w:tcPr>
            <w:tcW w:w="337" w:type="pct"/>
            <w:vAlign w:val="center"/>
          </w:tcPr>
          <w:p w14:paraId="4B9DBFE1">
            <w:pPr>
              <w:pStyle w:val="28"/>
              <w:bidi w:val="0"/>
            </w:pPr>
            <w:r>
              <w:t>2</w:t>
            </w:r>
          </w:p>
        </w:tc>
        <w:tc>
          <w:tcPr>
            <w:tcW w:w="344" w:type="pct"/>
            <w:vAlign w:val="center"/>
          </w:tcPr>
          <w:p w14:paraId="472B3901">
            <w:pPr>
              <w:pStyle w:val="28"/>
              <w:bidi w:val="0"/>
            </w:pPr>
            <w:r>
              <w:rPr>
                <w:rFonts w:hint="eastAsia"/>
              </w:rPr>
              <w:t>耕地</w:t>
            </w:r>
          </w:p>
        </w:tc>
        <w:tc>
          <w:tcPr>
            <w:tcW w:w="934" w:type="pct"/>
            <w:noWrap/>
            <w:vAlign w:val="center"/>
          </w:tcPr>
          <w:p w14:paraId="2F51401C">
            <w:pPr>
              <w:pStyle w:val="28"/>
              <w:bidi w:val="0"/>
            </w:pPr>
            <w:r>
              <w:drawing>
                <wp:inline distT="0" distB="0" distL="114300" distR="114300">
                  <wp:extent cx="1692275" cy="1194435"/>
                  <wp:effectExtent l="0" t="0" r="9525" b="12065"/>
                  <wp:docPr id="20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45"/>
                          <pic:cNvPicPr>
                            <a:picLocks noChangeAspect="1"/>
                          </pic:cNvPicPr>
                        </pic:nvPicPr>
                        <pic:blipFill>
                          <a:blip r:embed="rId100"/>
                          <a:stretch>
                            <a:fillRect/>
                          </a:stretch>
                        </pic:blipFill>
                        <pic:spPr>
                          <a:xfrm>
                            <a:off x="0" y="0"/>
                            <a:ext cx="1692275" cy="1194435"/>
                          </a:xfrm>
                          <a:prstGeom prst="rect">
                            <a:avLst/>
                          </a:prstGeom>
                          <a:noFill/>
                          <a:ln>
                            <a:noFill/>
                          </a:ln>
                        </pic:spPr>
                      </pic:pic>
                    </a:graphicData>
                  </a:graphic>
                </wp:inline>
              </w:drawing>
            </w:r>
          </w:p>
        </w:tc>
        <w:tc>
          <w:tcPr>
            <w:tcW w:w="995" w:type="pct"/>
            <w:noWrap/>
            <w:vAlign w:val="center"/>
          </w:tcPr>
          <w:p w14:paraId="11E6E12E">
            <w:pPr>
              <w:pStyle w:val="28"/>
              <w:bidi w:val="0"/>
            </w:pPr>
            <w:r>
              <w:t>不涉及饮用水水源保护区和生态保护红线，距离最近的敏感点为</w:t>
            </w:r>
            <w:r>
              <w:rPr>
                <w:rFonts w:hint="eastAsia"/>
              </w:rPr>
              <w:t>西南</w:t>
            </w:r>
            <w:r>
              <w:t>侧</w:t>
            </w:r>
            <w:r>
              <w:rPr>
                <w:rFonts w:hint="eastAsia"/>
              </w:rPr>
              <w:t>张大郢</w:t>
            </w:r>
            <w:r>
              <w:t>（</w:t>
            </w:r>
            <w:r>
              <w:rPr>
                <w:rFonts w:hint="eastAsia"/>
              </w:rPr>
              <w:t>120</w:t>
            </w:r>
            <w:r>
              <w:t>m），通过加强</w:t>
            </w:r>
            <w:r>
              <w:rPr>
                <w:rFonts w:hint="eastAsia"/>
              </w:rPr>
              <w:t>取</w:t>
            </w:r>
            <w:r>
              <w:t>弃土场和运输道路抑尘降噪措施，选址满足要求</w:t>
            </w:r>
          </w:p>
        </w:tc>
      </w:tr>
      <w:tr w14:paraId="1BC26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1FA3B523">
            <w:pPr>
              <w:pStyle w:val="28"/>
              <w:bidi w:val="0"/>
            </w:pPr>
          </w:p>
        </w:tc>
        <w:tc>
          <w:tcPr>
            <w:tcW w:w="423" w:type="pct"/>
            <w:noWrap/>
            <w:vAlign w:val="center"/>
          </w:tcPr>
          <w:p w14:paraId="6F539937">
            <w:pPr>
              <w:pStyle w:val="28"/>
              <w:bidi w:val="0"/>
            </w:pPr>
            <w:r>
              <w:t>1</w:t>
            </w:r>
            <w:r>
              <w:rPr>
                <w:rFonts w:hint="eastAsia"/>
              </w:rPr>
              <w:t>4#取弃土场</w:t>
            </w:r>
          </w:p>
        </w:tc>
        <w:tc>
          <w:tcPr>
            <w:tcW w:w="442" w:type="pct"/>
            <w:vAlign w:val="center"/>
          </w:tcPr>
          <w:p w14:paraId="2E2B9E07">
            <w:pPr>
              <w:pStyle w:val="28"/>
              <w:bidi w:val="0"/>
            </w:pPr>
            <w:r>
              <w:t>116.99517846</w:t>
            </w:r>
            <w:r>
              <w:rPr>
                <w:rFonts w:hint="eastAsia"/>
              </w:rPr>
              <w:t>，</w:t>
            </w:r>
            <w:r>
              <w:t>31.5713443</w:t>
            </w:r>
          </w:p>
        </w:tc>
        <w:tc>
          <w:tcPr>
            <w:tcW w:w="398" w:type="pct"/>
            <w:vAlign w:val="center"/>
          </w:tcPr>
          <w:p w14:paraId="6647CEFC">
            <w:pPr>
              <w:pStyle w:val="28"/>
              <w:bidi w:val="0"/>
            </w:pPr>
            <w:r>
              <w:t>0.5</w:t>
            </w:r>
          </w:p>
        </w:tc>
        <w:tc>
          <w:tcPr>
            <w:tcW w:w="450" w:type="pct"/>
            <w:vAlign w:val="center"/>
          </w:tcPr>
          <w:p w14:paraId="710F1A39">
            <w:pPr>
              <w:pStyle w:val="28"/>
              <w:bidi w:val="0"/>
            </w:pPr>
            <w:r>
              <w:t>0.11</w:t>
            </w:r>
          </w:p>
        </w:tc>
        <w:tc>
          <w:tcPr>
            <w:tcW w:w="375" w:type="pct"/>
            <w:vAlign w:val="center"/>
          </w:tcPr>
          <w:p w14:paraId="1C052E9E">
            <w:pPr>
              <w:pStyle w:val="28"/>
              <w:bidi w:val="0"/>
            </w:pPr>
            <w:r>
              <w:t>0.40</w:t>
            </w:r>
          </w:p>
        </w:tc>
        <w:tc>
          <w:tcPr>
            <w:tcW w:w="337" w:type="pct"/>
            <w:vAlign w:val="center"/>
          </w:tcPr>
          <w:p w14:paraId="3074612A">
            <w:pPr>
              <w:pStyle w:val="28"/>
              <w:bidi w:val="0"/>
            </w:pPr>
            <w:r>
              <w:t>1</w:t>
            </w:r>
          </w:p>
        </w:tc>
        <w:tc>
          <w:tcPr>
            <w:tcW w:w="344" w:type="pct"/>
            <w:vAlign w:val="center"/>
          </w:tcPr>
          <w:p w14:paraId="4DE54C7F">
            <w:pPr>
              <w:pStyle w:val="28"/>
              <w:bidi w:val="0"/>
            </w:pPr>
            <w:r>
              <w:rPr>
                <w:rFonts w:hint="eastAsia"/>
              </w:rPr>
              <w:t>耕地</w:t>
            </w:r>
          </w:p>
        </w:tc>
        <w:tc>
          <w:tcPr>
            <w:tcW w:w="934" w:type="pct"/>
            <w:noWrap/>
            <w:vAlign w:val="center"/>
          </w:tcPr>
          <w:p w14:paraId="006E4350">
            <w:pPr>
              <w:pStyle w:val="28"/>
              <w:bidi w:val="0"/>
            </w:pPr>
            <w:r>
              <w:drawing>
                <wp:inline distT="0" distB="0" distL="114300" distR="114300">
                  <wp:extent cx="1692275" cy="1082675"/>
                  <wp:effectExtent l="0" t="0" r="9525" b="9525"/>
                  <wp:docPr id="20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46"/>
                          <pic:cNvPicPr>
                            <a:picLocks noChangeAspect="1"/>
                          </pic:cNvPicPr>
                        </pic:nvPicPr>
                        <pic:blipFill>
                          <a:blip r:embed="rId101"/>
                          <a:stretch>
                            <a:fillRect/>
                          </a:stretch>
                        </pic:blipFill>
                        <pic:spPr>
                          <a:xfrm>
                            <a:off x="0" y="0"/>
                            <a:ext cx="1692275" cy="1082675"/>
                          </a:xfrm>
                          <a:prstGeom prst="rect">
                            <a:avLst/>
                          </a:prstGeom>
                          <a:noFill/>
                          <a:ln>
                            <a:noFill/>
                          </a:ln>
                        </pic:spPr>
                      </pic:pic>
                    </a:graphicData>
                  </a:graphic>
                </wp:inline>
              </w:drawing>
            </w:r>
          </w:p>
        </w:tc>
        <w:tc>
          <w:tcPr>
            <w:tcW w:w="995" w:type="pct"/>
            <w:noWrap/>
            <w:vAlign w:val="center"/>
          </w:tcPr>
          <w:p w14:paraId="572434B2">
            <w:pPr>
              <w:pStyle w:val="28"/>
              <w:bidi w:val="0"/>
            </w:pPr>
            <w:r>
              <w:t>不涉及饮用水水源保护区和生态保护红线，200m范围内无居民敏感点，选址满足要求</w:t>
            </w:r>
          </w:p>
        </w:tc>
      </w:tr>
      <w:tr w14:paraId="61D55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262D7287">
            <w:pPr>
              <w:pStyle w:val="28"/>
              <w:bidi w:val="0"/>
            </w:pPr>
          </w:p>
        </w:tc>
        <w:tc>
          <w:tcPr>
            <w:tcW w:w="423" w:type="pct"/>
            <w:noWrap/>
            <w:vAlign w:val="center"/>
          </w:tcPr>
          <w:p w14:paraId="1657C097">
            <w:pPr>
              <w:pStyle w:val="28"/>
              <w:bidi w:val="0"/>
            </w:pPr>
            <w:r>
              <w:t>1</w:t>
            </w:r>
            <w:r>
              <w:rPr>
                <w:rFonts w:hint="eastAsia"/>
              </w:rPr>
              <w:t>5#取弃土场</w:t>
            </w:r>
          </w:p>
        </w:tc>
        <w:tc>
          <w:tcPr>
            <w:tcW w:w="442" w:type="pct"/>
            <w:vAlign w:val="center"/>
          </w:tcPr>
          <w:p w14:paraId="2B29168D">
            <w:pPr>
              <w:pStyle w:val="28"/>
              <w:bidi w:val="0"/>
            </w:pPr>
            <w:r>
              <w:t>117.48094067</w:t>
            </w:r>
            <w:r>
              <w:rPr>
                <w:rFonts w:hint="eastAsia"/>
              </w:rPr>
              <w:t>，</w:t>
            </w:r>
            <w:r>
              <w:t>32.13915815</w:t>
            </w:r>
          </w:p>
        </w:tc>
        <w:tc>
          <w:tcPr>
            <w:tcW w:w="398" w:type="pct"/>
            <w:vAlign w:val="center"/>
          </w:tcPr>
          <w:p w14:paraId="297EB466">
            <w:pPr>
              <w:pStyle w:val="28"/>
              <w:bidi w:val="0"/>
            </w:pPr>
            <w:r>
              <w:t>0.92</w:t>
            </w:r>
          </w:p>
        </w:tc>
        <w:tc>
          <w:tcPr>
            <w:tcW w:w="450" w:type="pct"/>
            <w:vAlign w:val="center"/>
          </w:tcPr>
          <w:p w14:paraId="46B64468">
            <w:pPr>
              <w:pStyle w:val="28"/>
              <w:bidi w:val="0"/>
            </w:pPr>
            <w:r>
              <w:t>0.91</w:t>
            </w:r>
          </w:p>
        </w:tc>
        <w:tc>
          <w:tcPr>
            <w:tcW w:w="375" w:type="pct"/>
            <w:vAlign w:val="center"/>
          </w:tcPr>
          <w:p w14:paraId="50081970">
            <w:pPr>
              <w:pStyle w:val="28"/>
              <w:bidi w:val="0"/>
            </w:pPr>
            <w:r>
              <w:t>2.75</w:t>
            </w:r>
          </w:p>
        </w:tc>
        <w:tc>
          <w:tcPr>
            <w:tcW w:w="337" w:type="pct"/>
            <w:vAlign w:val="center"/>
          </w:tcPr>
          <w:p w14:paraId="2DACEF7F">
            <w:pPr>
              <w:pStyle w:val="28"/>
              <w:bidi w:val="0"/>
            </w:pPr>
            <w:r>
              <w:t>2.5</w:t>
            </w:r>
          </w:p>
        </w:tc>
        <w:tc>
          <w:tcPr>
            <w:tcW w:w="344" w:type="pct"/>
            <w:vAlign w:val="center"/>
          </w:tcPr>
          <w:p w14:paraId="6BD1ADA1">
            <w:pPr>
              <w:pStyle w:val="28"/>
              <w:bidi w:val="0"/>
            </w:pPr>
            <w:r>
              <w:rPr>
                <w:rFonts w:hint="eastAsia"/>
              </w:rPr>
              <w:t>耕地</w:t>
            </w:r>
          </w:p>
        </w:tc>
        <w:tc>
          <w:tcPr>
            <w:tcW w:w="934" w:type="pct"/>
            <w:noWrap/>
            <w:vAlign w:val="center"/>
          </w:tcPr>
          <w:p w14:paraId="27557340">
            <w:pPr>
              <w:pStyle w:val="28"/>
              <w:bidi w:val="0"/>
            </w:pPr>
            <w:r>
              <w:drawing>
                <wp:inline distT="0" distB="0" distL="114300" distR="114300">
                  <wp:extent cx="1692275" cy="1001395"/>
                  <wp:effectExtent l="0" t="0" r="9525" b="1905"/>
                  <wp:docPr id="18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47"/>
                          <pic:cNvPicPr>
                            <a:picLocks noChangeAspect="1"/>
                          </pic:cNvPicPr>
                        </pic:nvPicPr>
                        <pic:blipFill>
                          <a:blip r:embed="rId102"/>
                          <a:stretch>
                            <a:fillRect/>
                          </a:stretch>
                        </pic:blipFill>
                        <pic:spPr>
                          <a:xfrm>
                            <a:off x="0" y="0"/>
                            <a:ext cx="1692275" cy="1001395"/>
                          </a:xfrm>
                          <a:prstGeom prst="rect">
                            <a:avLst/>
                          </a:prstGeom>
                          <a:noFill/>
                          <a:ln>
                            <a:noFill/>
                          </a:ln>
                        </pic:spPr>
                      </pic:pic>
                    </a:graphicData>
                  </a:graphic>
                </wp:inline>
              </w:drawing>
            </w:r>
          </w:p>
        </w:tc>
        <w:tc>
          <w:tcPr>
            <w:tcW w:w="995" w:type="pct"/>
            <w:noWrap/>
            <w:vAlign w:val="center"/>
          </w:tcPr>
          <w:p w14:paraId="7EF00538">
            <w:pPr>
              <w:pStyle w:val="28"/>
              <w:bidi w:val="0"/>
            </w:pPr>
            <w:r>
              <w:t>不涉及饮用水水源保护区和生态保护红线，200m范围内</w:t>
            </w:r>
            <w:r>
              <w:rPr>
                <w:rFonts w:hint="eastAsia"/>
              </w:rPr>
              <w:t>均为厂房，</w:t>
            </w:r>
            <w:r>
              <w:t>无居民敏感点，选址满足要求</w:t>
            </w:r>
          </w:p>
        </w:tc>
      </w:tr>
      <w:tr w14:paraId="421B09FE">
        <w:tblPrEx>
          <w:tblCellMar>
            <w:top w:w="0" w:type="dxa"/>
            <w:left w:w="0" w:type="dxa"/>
            <w:bottom w:w="0" w:type="dxa"/>
            <w:right w:w="0" w:type="dxa"/>
          </w:tblCellMar>
        </w:tblPrEx>
        <w:trPr>
          <w:trHeight w:val="340" w:hRule="atLeast"/>
        </w:trPr>
        <w:tc>
          <w:tcPr>
            <w:tcW w:w="299" w:type="pct"/>
            <w:vMerge w:val="continue"/>
            <w:noWrap/>
            <w:vAlign w:val="center"/>
          </w:tcPr>
          <w:p w14:paraId="632CB026">
            <w:pPr>
              <w:pStyle w:val="28"/>
              <w:bidi w:val="0"/>
            </w:pPr>
          </w:p>
        </w:tc>
        <w:tc>
          <w:tcPr>
            <w:tcW w:w="423" w:type="pct"/>
            <w:noWrap/>
            <w:vAlign w:val="center"/>
          </w:tcPr>
          <w:p w14:paraId="16C1DCBA">
            <w:pPr>
              <w:pStyle w:val="28"/>
              <w:bidi w:val="0"/>
            </w:pPr>
            <w:r>
              <w:t>1</w:t>
            </w:r>
            <w:r>
              <w:rPr>
                <w:rFonts w:hint="eastAsia"/>
              </w:rPr>
              <w:t>6#取弃土场</w:t>
            </w:r>
          </w:p>
        </w:tc>
        <w:tc>
          <w:tcPr>
            <w:tcW w:w="442" w:type="pct"/>
            <w:vAlign w:val="center"/>
          </w:tcPr>
          <w:p w14:paraId="20BE284C">
            <w:pPr>
              <w:pStyle w:val="28"/>
              <w:bidi w:val="0"/>
            </w:pPr>
            <w:r>
              <w:t>116.92322552</w:t>
            </w:r>
            <w:r>
              <w:rPr>
                <w:rFonts w:hint="eastAsia"/>
              </w:rPr>
              <w:t>，</w:t>
            </w:r>
            <w:r>
              <w:t>32.25591298</w:t>
            </w:r>
          </w:p>
        </w:tc>
        <w:tc>
          <w:tcPr>
            <w:tcW w:w="398" w:type="pct"/>
            <w:vAlign w:val="center"/>
          </w:tcPr>
          <w:p w14:paraId="29AAD0D5">
            <w:pPr>
              <w:pStyle w:val="28"/>
              <w:bidi w:val="0"/>
            </w:pPr>
            <w:r>
              <w:t>2.86</w:t>
            </w:r>
          </w:p>
        </w:tc>
        <w:tc>
          <w:tcPr>
            <w:tcW w:w="450" w:type="pct"/>
            <w:vAlign w:val="center"/>
          </w:tcPr>
          <w:p w14:paraId="4614F8E4">
            <w:pPr>
              <w:pStyle w:val="28"/>
              <w:bidi w:val="0"/>
            </w:pPr>
            <w:r>
              <w:t>2.46</w:t>
            </w:r>
          </w:p>
        </w:tc>
        <w:tc>
          <w:tcPr>
            <w:tcW w:w="375" w:type="pct"/>
            <w:vAlign w:val="center"/>
          </w:tcPr>
          <w:p w14:paraId="71F7D850">
            <w:pPr>
              <w:pStyle w:val="28"/>
              <w:bidi w:val="0"/>
            </w:pPr>
            <w:r>
              <w:t>0.41</w:t>
            </w:r>
          </w:p>
        </w:tc>
        <w:tc>
          <w:tcPr>
            <w:tcW w:w="337" w:type="pct"/>
            <w:vAlign w:val="center"/>
          </w:tcPr>
          <w:p w14:paraId="2B2E6A3C">
            <w:pPr>
              <w:pStyle w:val="28"/>
              <w:bidi w:val="0"/>
            </w:pPr>
            <w:r>
              <w:t>1</w:t>
            </w:r>
          </w:p>
        </w:tc>
        <w:tc>
          <w:tcPr>
            <w:tcW w:w="344" w:type="pct"/>
            <w:vAlign w:val="center"/>
          </w:tcPr>
          <w:p w14:paraId="5F74FE7B">
            <w:pPr>
              <w:pStyle w:val="28"/>
              <w:bidi w:val="0"/>
            </w:pPr>
            <w:r>
              <w:rPr>
                <w:rFonts w:hint="eastAsia"/>
              </w:rPr>
              <w:t>水塘</w:t>
            </w:r>
          </w:p>
        </w:tc>
        <w:tc>
          <w:tcPr>
            <w:tcW w:w="934" w:type="pct"/>
            <w:noWrap/>
            <w:vAlign w:val="center"/>
          </w:tcPr>
          <w:p w14:paraId="4775AD5F">
            <w:pPr>
              <w:pStyle w:val="28"/>
              <w:bidi w:val="0"/>
            </w:pPr>
            <w:r>
              <w:drawing>
                <wp:inline distT="0" distB="0" distL="114300" distR="114300">
                  <wp:extent cx="1692275" cy="1381760"/>
                  <wp:effectExtent l="0" t="0" r="9525" b="2540"/>
                  <wp:docPr id="18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48"/>
                          <pic:cNvPicPr>
                            <a:picLocks noChangeAspect="1"/>
                          </pic:cNvPicPr>
                        </pic:nvPicPr>
                        <pic:blipFill>
                          <a:blip r:embed="rId103"/>
                          <a:stretch>
                            <a:fillRect/>
                          </a:stretch>
                        </pic:blipFill>
                        <pic:spPr>
                          <a:xfrm>
                            <a:off x="0" y="0"/>
                            <a:ext cx="1692275" cy="1381760"/>
                          </a:xfrm>
                          <a:prstGeom prst="rect">
                            <a:avLst/>
                          </a:prstGeom>
                          <a:noFill/>
                          <a:ln>
                            <a:noFill/>
                          </a:ln>
                        </pic:spPr>
                      </pic:pic>
                    </a:graphicData>
                  </a:graphic>
                </wp:inline>
              </w:drawing>
            </w:r>
          </w:p>
        </w:tc>
        <w:tc>
          <w:tcPr>
            <w:tcW w:w="995" w:type="pct"/>
            <w:noWrap/>
            <w:vAlign w:val="center"/>
          </w:tcPr>
          <w:p w14:paraId="7130C617">
            <w:pPr>
              <w:pStyle w:val="28"/>
              <w:bidi w:val="0"/>
            </w:pPr>
            <w:r>
              <w:t>不涉及饮用水水源保护区和生态保护红线，距离最近的敏感点为</w:t>
            </w:r>
            <w:r>
              <w:rPr>
                <w:rFonts w:hint="eastAsia"/>
              </w:rPr>
              <w:t>东北侧唐店村令喜希望小学</w:t>
            </w:r>
            <w:r>
              <w:t>（</w:t>
            </w:r>
            <w:r>
              <w:rPr>
                <w:rFonts w:hint="eastAsia"/>
              </w:rPr>
              <w:t>62</w:t>
            </w:r>
            <w:r>
              <w:t>m），通过加强</w:t>
            </w:r>
            <w:r>
              <w:rPr>
                <w:rFonts w:hint="eastAsia"/>
              </w:rPr>
              <w:t>取</w:t>
            </w:r>
            <w:r>
              <w:t>弃土场和运输道路抑尘降噪措施，选址满足要求</w:t>
            </w:r>
          </w:p>
        </w:tc>
      </w:tr>
      <w:tr w14:paraId="57F4BA8B">
        <w:tblPrEx>
          <w:tblCellMar>
            <w:top w:w="0" w:type="dxa"/>
            <w:left w:w="0" w:type="dxa"/>
            <w:bottom w:w="0" w:type="dxa"/>
            <w:right w:w="0" w:type="dxa"/>
          </w:tblCellMar>
        </w:tblPrEx>
        <w:trPr>
          <w:trHeight w:val="340" w:hRule="atLeast"/>
        </w:trPr>
        <w:tc>
          <w:tcPr>
            <w:tcW w:w="299" w:type="pct"/>
            <w:vMerge w:val="continue"/>
            <w:noWrap/>
            <w:vAlign w:val="center"/>
          </w:tcPr>
          <w:p w14:paraId="00DD8A88">
            <w:pPr>
              <w:pStyle w:val="28"/>
              <w:bidi w:val="0"/>
            </w:pPr>
          </w:p>
        </w:tc>
        <w:tc>
          <w:tcPr>
            <w:tcW w:w="423" w:type="pct"/>
            <w:noWrap/>
            <w:vAlign w:val="center"/>
          </w:tcPr>
          <w:p w14:paraId="73419B2F">
            <w:pPr>
              <w:pStyle w:val="28"/>
              <w:bidi w:val="0"/>
            </w:pPr>
            <w:r>
              <w:t>1</w:t>
            </w:r>
            <w:r>
              <w:rPr>
                <w:rFonts w:hint="eastAsia"/>
              </w:rPr>
              <w:t>7#取弃土场</w:t>
            </w:r>
          </w:p>
        </w:tc>
        <w:tc>
          <w:tcPr>
            <w:tcW w:w="442" w:type="pct"/>
            <w:vAlign w:val="center"/>
          </w:tcPr>
          <w:p w14:paraId="3F12B5A9">
            <w:pPr>
              <w:pStyle w:val="28"/>
              <w:bidi w:val="0"/>
            </w:pPr>
            <w:r>
              <w:t>116.24917727</w:t>
            </w:r>
            <w:r>
              <w:rPr>
                <w:rFonts w:hint="eastAsia"/>
              </w:rPr>
              <w:t>，</w:t>
            </w:r>
            <w:r>
              <w:t>32.23154562</w:t>
            </w:r>
          </w:p>
        </w:tc>
        <w:tc>
          <w:tcPr>
            <w:tcW w:w="398" w:type="pct"/>
            <w:vAlign w:val="center"/>
          </w:tcPr>
          <w:p w14:paraId="22DD6EBD">
            <w:pPr>
              <w:pStyle w:val="28"/>
              <w:bidi w:val="0"/>
            </w:pPr>
            <w:r>
              <w:t>1.43</w:t>
            </w:r>
          </w:p>
        </w:tc>
        <w:tc>
          <w:tcPr>
            <w:tcW w:w="450" w:type="pct"/>
            <w:vAlign w:val="center"/>
          </w:tcPr>
          <w:p w14:paraId="7BA824FF">
            <w:pPr>
              <w:pStyle w:val="28"/>
              <w:bidi w:val="0"/>
            </w:pPr>
            <w:r>
              <w:t>3.05</w:t>
            </w:r>
          </w:p>
        </w:tc>
        <w:tc>
          <w:tcPr>
            <w:tcW w:w="375" w:type="pct"/>
            <w:vAlign w:val="center"/>
          </w:tcPr>
          <w:p w14:paraId="39E3C3B2">
            <w:pPr>
              <w:pStyle w:val="28"/>
              <w:bidi w:val="0"/>
            </w:pPr>
            <w:r>
              <w:t>5.13</w:t>
            </w:r>
          </w:p>
        </w:tc>
        <w:tc>
          <w:tcPr>
            <w:tcW w:w="337" w:type="pct"/>
            <w:vAlign w:val="center"/>
          </w:tcPr>
          <w:p w14:paraId="22061BB7">
            <w:pPr>
              <w:pStyle w:val="28"/>
              <w:bidi w:val="0"/>
            </w:pPr>
            <w:r>
              <w:t>3</w:t>
            </w:r>
          </w:p>
        </w:tc>
        <w:tc>
          <w:tcPr>
            <w:tcW w:w="344" w:type="pct"/>
            <w:vAlign w:val="center"/>
          </w:tcPr>
          <w:p w14:paraId="11DD39AB">
            <w:pPr>
              <w:pStyle w:val="28"/>
              <w:bidi w:val="0"/>
            </w:pPr>
            <w:r>
              <w:rPr>
                <w:rFonts w:hint="eastAsia"/>
              </w:rPr>
              <w:t>水塘</w:t>
            </w:r>
          </w:p>
        </w:tc>
        <w:tc>
          <w:tcPr>
            <w:tcW w:w="934" w:type="pct"/>
            <w:noWrap/>
            <w:vAlign w:val="center"/>
          </w:tcPr>
          <w:p w14:paraId="0D6696D2">
            <w:pPr>
              <w:pStyle w:val="28"/>
              <w:bidi w:val="0"/>
            </w:pPr>
            <w:r>
              <w:drawing>
                <wp:inline distT="0" distB="0" distL="114300" distR="114300">
                  <wp:extent cx="1692275" cy="1097280"/>
                  <wp:effectExtent l="0" t="0" r="9525" b="7620"/>
                  <wp:docPr id="19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49"/>
                          <pic:cNvPicPr>
                            <a:picLocks noChangeAspect="1"/>
                          </pic:cNvPicPr>
                        </pic:nvPicPr>
                        <pic:blipFill>
                          <a:blip r:embed="rId104"/>
                          <a:stretch>
                            <a:fillRect/>
                          </a:stretch>
                        </pic:blipFill>
                        <pic:spPr>
                          <a:xfrm>
                            <a:off x="0" y="0"/>
                            <a:ext cx="1692275" cy="1097280"/>
                          </a:xfrm>
                          <a:prstGeom prst="rect">
                            <a:avLst/>
                          </a:prstGeom>
                          <a:noFill/>
                          <a:ln>
                            <a:noFill/>
                          </a:ln>
                        </pic:spPr>
                      </pic:pic>
                    </a:graphicData>
                  </a:graphic>
                </wp:inline>
              </w:drawing>
            </w:r>
          </w:p>
        </w:tc>
        <w:tc>
          <w:tcPr>
            <w:tcW w:w="995" w:type="pct"/>
            <w:noWrap/>
            <w:vAlign w:val="center"/>
          </w:tcPr>
          <w:p w14:paraId="0F851E42">
            <w:pPr>
              <w:pStyle w:val="28"/>
              <w:bidi w:val="0"/>
            </w:pPr>
            <w:r>
              <w:t>不涉及饮用水水源保护区和生态保护红线，距离最近的敏感点为</w:t>
            </w:r>
            <w:r>
              <w:rPr>
                <w:rFonts w:hint="eastAsia"/>
              </w:rPr>
              <w:t>西南</w:t>
            </w:r>
            <w:r>
              <w:t>侧</w:t>
            </w:r>
            <w:r>
              <w:rPr>
                <w:rFonts w:hint="eastAsia"/>
              </w:rPr>
              <w:t>桃园</w:t>
            </w:r>
            <w:r>
              <w:t>（</w:t>
            </w:r>
            <w:r>
              <w:rPr>
                <w:rFonts w:hint="eastAsia"/>
              </w:rPr>
              <w:t>41</w:t>
            </w:r>
            <w:r>
              <w:t>m），通过加强</w:t>
            </w:r>
            <w:r>
              <w:rPr>
                <w:rFonts w:hint="eastAsia"/>
              </w:rPr>
              <w:t>取</w:t>
            </w:r>
            <w:r>
              <w:t>弃土场和运输道路抑尘降噪措施，选址满足要求</w:t>
            </w:r>
          </w:p>
        </w:tc>
      </w:tr>
      <w:tr w14:paraId="1CEAC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0F5B0AF4">
            <w:pPr>
              <w:pStyle w:val="28"/>
              <w:bidi w:val="0"/>
            </w:pPr>
          </w:p>
        </w:tc>
        <w:tc>
          <w:tcPr>
            <w:tcW w:w="423" w:type="pct"/>
            <w:noWrap/>
            <w:vAlign w:val="center"/>
          </w:tcPr>
          <w:p w14:paraId="00B4238E">
            <w:pPr>
              <w:pStyle w:val="28"/>
              <w:bidi w:val="0"/>
            </w:pPr>
            <w:r>
              <w:t>1</w:t>
            </w:r>
            <w:r>
              <w:rPr>
                <w:rFonts w:hint="eastAsia"/>
              </w:rPr>
              <w:t>8#取弃土场</w:t>
            </w:r>
          </w:p>
        </w:tc>
        <w:tc>
          <w:tcPr>
            <w:tcW w:w="442" w:type="pct"/>
            <w:vAlign w:val="center"/>
          </w:tcPr>
          <w:p w14:paraId="74BB667F">
            <w:pPr>
              <w:pStyle w:val="28"/>
              <w:bidi w:val="0"/>
            </w:pPr>
            <w:r>
              <w:t>115.93493691</w:t>
            </w:r>
            <w:r>
              <w:rPr>
                <w:rFonts w:hint="eastAsia"/>
              </w:rPr>
              <w:t>，</w:t>
            </w:r>
            <w:r>
              <w:t>32.23340152</w:t>
            </w:r>
          </w:p>
        </w:tc>
        <w:tc>
          <w:tcPr>
            <w:tcW w:w="398" w:type="pct"/>
            <w:vAlign w:val="center"/>
          </w:tcPr>
          <w:p w14:paraId="5B765EEF">
            <w:pPr>
              <w:pStyle w:val="28"/>
              <w:bidi w:val="0"/>
            </w:pPr>
            <w:r>
              <w:t>1.27</w:t>
            </w:r>
          </w:p>
        </w:tc>
        <w:tc>
          <w:tcPr>
            <w:tcW w:w="450" w:type="pct"/>
            <w:vAlign w:val="center"/>
          </w:tcPr>
          <w:p w14:paraId="1D14369D">
            <w:pPr>
              <w:pStyle w:val="28"/>
              <w:bidi w:val="0"/>
            </w:pPr>
            <w:r>
              <w:t>1.65</w:t>
            </w:r>
          </w:p>
        </w:tc>
        <w:tc>
          <w:tcPr>
            <w:tcW w:w="375" w:type="pct"/>
            <w:vAlign w:val="center"/>
          </w:tcPr>
          <w:p w14:paraId="5E9133A2">
            <w:pPr>
              <w:pStyle w:val="28"/>
              <w:bidi w:val="0"/>
            </w:pPr>
            <w:r>
              <w:t>1.95</w:t>
            </w:r>
          </w:p>
        </w:tc>
        <w:tc>
          <w:tcPr>
            <w:tcW w:w="337" w:type="pct"/>
            <w:vAlign w:val="center"/>
          </w:tcPr>
          <w:p w14:paraId="5F9D305C">
            <w:pPr>
              <w:pStyle w:val="28"/>
              <w:bidi w:val="0"/>
            </w:pPr>
            <w:r>
              <w:t>2</w:t>
            </w:r>
          </w:p>
        </w:tc>
        <w:tc>
          <w:tcPr>
            <w:tcW w:w="344" w:type="pct"/>
            <w:vAlign w:val="center"/>
          </w:tcPr>
          <w:p w14:paraId="145436BB">
            <w:pPr>
              <w:pStyle w:val="28"/>
              <w:bidi w:val="0"/>
            </w:pPr>
            <w:r>
              <w:rPr>
                <w:rFonts w:hint="eastAsia"/>
              </w:rPr>
              <w:t>耕地</w:t>
            </w:r>
          </w:p>
        </w:tc>
        <w:tc>
          <w:tcPr>
            <w:tcW w:w="934" w:type="pct"/>
            <w:noWrap/>
            <w:vAlign w:val="center"/>
          </w:tcPr>
          <w:p w14:paraId="7ACB9019">
            <w:pPr>
              <w:pStyle w:val="28"/>
              <w:bidi w:val="0"/>
            </w:pPr>
            <w:r>
              <w:drawing>
                <wp:inline distT="0" distB="0" distL="114300" distR="114300">
                  <wp:extent cx="1692275" cy="899160"/>
                  <wp:effectExtent l="0" t="0" r="9525" b="2540"/>
                  <wp:docPr id="19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50"/>
                          <pic:cNvPicPr>
                            <a:picLocks noChangeAspect="1"/>
                          </pic:cNvPicPr>
                        </pic:nvPicPr>
                        <pic:blipFill>
                          <a:blip r:embed="rId105"/>
                          <a:stretch>
                            <a:fillRect/>
                          </a:stretch>
                        </pic:blipFill>
                        <pic:spPr>
                          <a:xfrm>
                            <a:off x="0" y="0"/>
                            <a:ext cx="1692275" cy="899160"/>
                          </a:xfrm>
                          <a:prstGeom prst="rect">
                            <a:avLst/>
                          </a:prstGeom>
                          <a:noFill/>
                          <a:ln>
                            <a:noFill/>
                          </a:ln>
                        </pic:spPr>
                      </pic:pic>
                    </a:graphicData>
                  </a:graphic>
                </wp:inline>
              </w:drawing>
            </w:r>
          </w:p>
        </w:tc>
        <w:tc>
          <w:tcPr>
            <w:tcW w:w="995" w:type="pct"/>
            <w:noWrap/>
            <w:vAlign w:val="center"/>
          </w:tcPr>
          <w:p w14:paraId="739B2599">
            <w:pPr>
              <w:pStyle w:val="28"/>
              <w:bidi w:val="0"/>
            </w:pPr>
            <w:r>
              <w:t>不涉及饮用水水源保护区和生态保护红线，距离最近的敏感点为东北侧新塘（39m），通过加强取弃土场和运输道路抑尘降噪措施，选址满足要求</w:t>
            </w:r>
          </w:p>
        </w:tc>
      </w:tr>
      <w:tr w14:paraId="492A2BEB">
        <w:tblPrEx>
          <w:tblCellMar>
            <w:top w:w="0" w:type="dxa"/>
            <w:left w:w="0" w:type="dxa"/>
            <w:bottom w:w="0" w:type="dxa"/>
            <w:right w:w="0" w:type="dxa"/>
          </w:tblCellMar>
        </w:tblPrEx>
        <w:trPr>
          <w:trHeight w:val="340" w:hRule="atLeast"/>
        </w:trPr>
        <w:tc>
          <w:tcPr>
            <w:tcW w:w="299" w:type="pct"/>
            <w:vMerge w:val="continue"/>
            <w:noWrap/>
            <w:vAlign w:val="center"/>
          </w:tcPr>
          <w:p w14:paraId="2EC9B9AE">
            <w:pPr>
              <w:pStyle w:val="28"/>
              <w:bidi w:val="0"/>
            </w:pPr>
          </w:p>
        </w:tc>
        <w:tc>
          <w:tcPr>
            <w:tcW w:w="423" w:type="pct"/>
            <w:noWrap/>
            <w:vAlign w:val="center"/>
          </w:tcPr>
          <w:p w14:paraId="1BF5AEE9">
            <w:pPr>
              <w:pStyle w:val="28"/>
              <w:bidi w:val="0"/>
            </w:pPr>
            <w:r>
              <w:t>1</w:t>
            </w:r>
            <w:r>
              <w:rPr>
                <w:rFonts w:hint="eastAsia"/>
              </w:rPr>
              <w:t>9#取弃土场</w:t>
            </w:r>
          </w:p>
        </w:tc>
        <w:tc>
          <w:tcPr>
            <w:tcW w:w="442" w:type="pct"/>
            <w:vAlign w:val="center"/>
          </w:tcPr>
          <w:p w14:paraId="063B1334">
            <w:pPr>
              <w:pStyle w:val="28"/>
              <w:bidi w:val="0"/>
            </w:pPr>
            <w:r>
              <w:t>115.95671428</w:t>
            </w:r>
            <w:r>
              <w:rPr>
                <w:rFonts w:hint="eastAsia"/>
              </w:rPr>
              <w:t>，</w:t>
            </w:r>
            <w:r>
              <w:t>32.19568319</w:t>
            </w:r>
          </w:p>
        </w:tc>
        <w:tc>
          <w:tcPr>
            <w:tcW w:w="398" w:type="pct"/>
            <w:vAlign w:val="center"/>
          </w:tcPr>
          <w:p w14:paraId="17A00414">
            <w:pPr>
              <w:pStyle w:val="28"/>
              <w:bidi w:val="0"/>
            </w:pPr>
            <w:r>
              <w:t>3.12</w:t>
            </w:r>
          </w:p>
        </w:tc>
        <w:tc>
          <w:tcPr>
            <w:tcW w:w="450" w:type="pct"/>
            <w:vAlign w:val="center"/>
          </w:tcPr>
          <w:p w14:paraId="1A596CF9">
            <w:pPr>
              <w:pStyle w:val="28"/>
              <w:bidi w:val="0"/>
            </w:pPr>
            <w:r>
              <w:t>4.05</w:t>
            </w:r>
          </w:p>
        </w:tc>
        <w:tc>
          <w:tcPr>
            <w:tcW w:w="375" w:type="pct"/>
            <w:vAlign w:val="center"/>
          </w:tcPr>
          <w:p w14:paraId="5B7028D7">
            <w:pPr>
              <w:pStyle w:val="28"/>
              <w:bidi w:val="0"/>
            </w:pPr>
            <w:r>
              <w:t>4.82</w:t>
            </w:r>
          </w:p>
        </w:tc>
        <w:tc>
          <w:tcPr>
            <w:tcW w:w="337" w:type="pct"/>
            <w:vAlign w:val="center"/>
          </w:tcPr>
          <w:p w14:paraId="03B6F2B4">
            <w:pPr>
              <w:pStyle w:val="28"/>
              <w:bidi w:val="0"/>
            </w:pPr>
            <w:r>
              <w:t>2</w:t>
            </w:r>
          </w:p>
        </w:tc>
        <w:tc>
          <w:tcPr>
            <w:tcW w:w="344" w:type="pct"/>
            <w:vAlign w:val="center"/>
          </w:tcPr>
          <w:p w14:paraId="18DA2D3A">
            <w:pPr>
              <w:pStyle w:val="28"/>
              <w:bidi w:val="0"/>
            </w:pPr>
            <w:r>
              <w:rPr>
                <w:rFonts w:hint="eastAsia"/>
              </w:rPr>
              <w:t>水塘</w:t>
            </w:r>
          </w:p>
        </w:tc>
        <w:tc>
          <w:tcPr>
            <w:tcW w:w="934" w:type="pct"/>
            <w:noWrap/>
            <w:vAlign w:val="center"/>
          </w:tcPr>
          <w:p w14:paraId="703F18C8">
            <w:pPr>
              <w:pStyle w:val="28"/>
              <w:bidi w:val="0"/>
            </w:pPr>
            <w:r>
              <w:drawing>
                <wp:inline distT="0" distB="0" distL="114300" distR="114300">
                  <wp:extent cx="1692275" cy="1197610"/>
                  <wp:effectExtent l="0" t="0" r="9525" b="8890"/>
                  <wp:docPr id="20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51"/>
                          <pic:cNvPicPr>
                            <a:picLocks noChangeAspect="1"/>
                          </pic:cNvPicPr>
                        </pic:nvPicPr>
                        <pic:blipFill>
                          <a:blip r:embed="rId106"/>
                          <a:stretch>
                            <a:fillRect/>
                          </a:stretch>
                        </pic:blipFill>
                        <pic:spPr>
                          <a:xfrm>
                            <a:off x="0" y="0"/>
                            <a:ext cx="1692275" cy="1197610"/>
                          </a:xfrm>
                          <a:prstGeom prst="rect">
                            <a:avLst/>
                          </a:prstGeom>
                          <a:noFill/>
                          <a:ln>
                            <a:noFill/>
                          </a:ln>
                        </pic:spPr>
                      </pic:pic>
                    </a:graphicData>
                  </a:graphic>
                </wp:inline>
              </w:drawing>
            </w:r>
          </w:p>
        </w:tc>
        <w:tc>
          <w:tcPr>
            <w:tcW w:w="995" w:type="pct"/>
            <w:noWrap/>
            <w:vAlign w:val="center"/>
          </w:tcPr>
          <w:p w14:paraId="1B968EB8">
            <w:pPr>
              <w:pStyle w:val="28"/>
              <w:bidi w:val="0"/>
            </w:pPr>
            <w:r>
              <w:t>不涉及饮用水水源保护区和生态保护红线，距离最近的敏感点为</w:t>
            </w:r>
            <w:r>
              <w:rPr>
                <w:rFonts w:hint="eastAsia"/>
              </w:rPr>
              <w:t>东南</w:t>
            </w:r>
            <w:r>
              <w:t>侧</w:t>
            </w:r>
            <w:r>
              <w:rPr>
                <w:rFonts w:hint="eastAsia"/>
              </w:rPr>
              <w:t>金田</w:t>
            </w:r>
            <w:r>
              <w:t>（</w:t>
            </w:r>
            <w:r>
              <w:rPr>
                <w:rFonts w:hint="eastAsia"/>
              </w:rPr>
              <w:t>181</w:t>
            </w:r>
            <w:r>
              <w:t>m），通过加强</w:t>
            </w:r>
            <w:r>
              <w:rPr>
                <w:rFonts w:hint="eastAsia"/>
              </w:rPr>
              <w:t>取</w:t>
            </w:r>
            <w:r>
              <w:t>弃土场和运输道路抑尘降噪措施，选址满足要求</w:t>
            </w:r>
          </w:p>
        </w:tc>
      </w:tr>
      <w:tr w14:paraId="673B92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5E647FF9">
            <w:pPr>
              <w:pStyle w:val="28"/>
              <w:bidi w:val="0"/>
            </w:pPr>
          </w:p>
        </w:tc>
        <w:tc>
          <w:tcPr>
            <w:tcW w:w="423" w:type="pct"/>
            <w:noWrap/>
            <w:vAlign w:val="center"/>
          </w:tcPr>
          <w:p w14:paraId="76D7E659">
            <w:pPr>
              <w:pStyle w:val="28"/>
              <w:bidi w:val="0"/>
            </w:pPr>
            <w:r>
              <w:t>2</w:t>
            </w:r>
            <w:r>
              <w:rPr>
                <w:rFonts w:hint="eastAsia"/>
              </w:rPr>
              <w:t>0#取弃土场</w:t>
            </w:r>
          </w:p>
        </w:tc>
        <w:tc>
          <w:tcPr>
            <w:tcW w:w="442" w:type="pct"/>
            <w:vAlign w:val="center"/>
          </w:tcPr>
          <w:p w14:paraId="3553C481">
            <w:pPr>
              <w:pStyle w:val="28"/>
              <w:bidi w:val="0"/>
            </w:pPr>
            <w:r>
              <w:t>115.94704941</w:t>
            </w:r>
            <w:r>
              <w:rPr>
                <w:rFonts w:hint="eastAsia"/>
              </w:rPr>
              <w:t>，</w:t>
            </w:r>
            <w:r>
              <w:t>32.17208722</w:t>
            </w:r>
          </w:p>
        </w:tc>
        <w:tc>
          <w:tcPr>
            <w:tcW w:w="398" w:type="pct"/>
            <w:vAlign w:val="center"/>
          </w:tcPr>
          <w:p w14:paraId="1454D9BF">
            <w:pPr>
              <w:pStyle w:val="28"/>
              <w:bidi w:val="0"/>
            </w:pPr>
            <w:r>
              <w:t>5.84</w:t>
            </w:r>
          </w:p>
        </w:tc>
        <w:tc>
          <w:tcPr>
            <w:tcW w:w="450" w:type="pct"/>
            <w:vAlign w:val="center"/>
          </w:tcPr>
          <w:p w14:paraId="271C0AB9">
            <w:pPr>
              <w:pStyle w:val="28"/>
              <w:bidi w:val="0"/>
            </w:pPr>
            <w:r>
              <w:t>7.58</w:t>
            </w:r>
          </w:p>
        </w:tc>
        <w:tc>
          <w:tcPr>
            <w:tcW w:w="375" w:type="pct"/>
            <w:vAlign w:val="center"/>
          </w:tcPr>
          <w:p w14:paraId="7D5D5DBC">
            <w:pPr>
              <w:pStyle w:val="28"/>
              <w:bidi w:val="0"/>
            </w:pPr>
            <w:r>
              <w:t>9.02</w:t>
            </w:r>
          </w:p>
        </w:tc>
        <w:tc>
          <w:tcPr>
            <w:tcW w:w="337" w:type="pct"/>
            <w:vAlign w:val="center"/>
          </w:tcPr>
          <w:p w14:paraId="78CC5BA4">
            <w:pPr>
              <w:pStyle w:val="28"/>
              <w:bidi w:val="0"/>
            </w:pPr>
            <w:r>
              <w:t>2</w:t>
            </w:r>
          </w:p>
        </w:tc>
        <w:tc>
          <w:tcPr>
            <w:tcW w:w="344" w:type="pct"/>
            <w:vAlign w:val="center"/>
          </w:tcPr>
          <w:p w14:paraId="38F4CB3B">
            <w:pPr>
              <w:pStyle w:val="28"/>
              <w:bidi w:val="0"/>
            </w:pPr>
            <w:r>
              <w:rPr>
                <w:rFonts w:hint="eastAsia"/>
              </w:rPr>
              <w:t>水塘</w:t>
            </w:r>
          </w:p>
        </w:tc>
        <w:tc>
          <w:tcPr>
            <w:tcW w:w="934" w:type="pct"/>
            <w:noWrap/>
            <w:vAlign w:val="center"/>
          </w:tcPr>
          <w:p w14:paraId="23FD4D46">
            <w:pPr>
              <w:pStyle w:val="28"/>
              <w:bidi w:val="0"/>
            </w:pPr>
            <w:r>
              <w:drawing>
                <wp:inline distT="0" distB="0" distL="114300" distR="114300">
                  <wp:extent cx="1692275" cy="1449705"/>
                  <wp:effectExtent l="0" t="0" r="9525" b="10795"/>
                  <wp:docPr id="20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52"/>
                          <pic:cNvPicPr>
                            <a:picLocks noChangeAspect="1"/>
                          </pic:cNvPicPr>
                        </pic:nvPicPr>
                        <pic:blipFill>
                          <a:blip r:embed="rId107"/>
                          <a:stretch>
                            <a:fillRect/>
                          </a:stretch>
                        </pic:blipFill>
                        <pic:spPr>
                          <a:xfrm>
                            <a:off x="0" y="0"/>
                            <a:ext cx="1692275" cy="1449705"/>
                          </a:xfrm>
                          <a:prstGeom prst="rect">
                            <a:avLst/>
                          </a:prstGeom>
                          <a:noFill/>
                          <a:ln>
                            <a:noFill/>
                          </a:ln>
                        </pic:spPr>
                      </pic:pic>
                    </a:graphicData>
                  </a:graphic>
                </wp:inline>
              </w:drawing>
            </w:r>
          </w:p>
        </w:tc>
        <w:tc>
          <w:tcPr>
            <w:tcW w:w="995" w:type="pct"/>
            <w:noWrap/>
            <w:vAlign w:val="center"/>
          </w:tcPr>
          <w:p w14:paraId="2CDFA761">
            <w:pPr>
              <w:pStyle w:val="28"/>
              <w:bidi w:val="0"/>
            </w:pPr>
            <w:r>
              <w:t>不涉及饮用水水源保护区和生态保护红线，距离最近的敏感点为</w:t>
            </w:r>
            <w:r>
              <w:rPr>
                <w:rFonts w:hint="eastAsia"/>
              </w:rPr>
              <w:t>西</w:t>
            </w:r>
            <w:r>
              <w:t>侧</w:t>
            </w:r>
            <w:r>
              <w:rPr>
                <w:rFonts w:hint="eastAsia"/>
              </w:rPr>
              <w:t>陈棚子</w:t>
            </w:r>
            <w:r>
              <w:t>（</w:t>
            </w:r>
            <w:r>
              <w:rPr>
                <w:rFonts w:hint="eastAsia"/>
              </w:rPr>
              <w:t>35</w:t>
            </w:r>
            <w:r>
              <w:t>m），通过加强</w:t>
            </w:r>
            <w:r>
              <w:rPr>
                <w:rFonts w:hint="eastAsia"/>
              </w:rPr>
              <w:t>取</w:t>
            </w:r>
            <w:r>
              <w:t>弃土场和运输道路抑尘降噪措施，选址满足要求</w:t>
            </w:r>
          </w:p>
        </w:tc>
      </w:tr>
      <w:tr w14:paraId="0407C5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1E0E4365">
            <w:pPr>
              <w:pStyle w:val="28"/>
              <w:bidi w:val="0"/>
            </w:pPr>
          </w:p>
        </w:tc>
        <w:tc>
          <w:tcPr>
            <w:tcW w:w="423" w:type="pct"/>
            <w:noWrap/>
            <w:vAlign w:val="center"/>
          </w:tcPr>
          <w:p w14:paraId="19DBBA74">
            <w:pPr>
              <w:pStyle w:val="28"/>
              <w:bidi w:val="0"/>
            </w:pPr>
            <w:r>
              <w:t>2</w:t>
            </w:r>
            <w:r>
              <w:rPr>
                <w:rFonts w:hint="eastAsia"/>
              </w:rPr>
              <w:t>1#取弃土场</w:t>
            </w:r>
          </w:p>
        </w:tc>
        <w:tc>
          <w:tcPr>
            <w:tcW w:w="442" w:type="pct"/>
            <w:vAlign w:val="center"/>
          </w:tcPr>
          <w:p w14:paraId="416C8C67">
            <w:pPr>
              <w:pStyle w:val="28"/>
              <w:bidi w:val="0"/>
            </w:pPr>
            <w:r>
              <w:t>115.92730155</w:t>
            </w:r>
            <w:r>
              <w:rPr>
                <w:rFonts w:hint="eastAsia"/>
              </w:rPr>
              <w:t>，</w:t>
            </w:r>
            <w:r>
              <w:t>32.10161260</w:t>
            </w:r>
          </w:p>
        </w:tc>
        <w:tc>
          <w:tcPr>
            <w:tcW w:w="398" w:type="pct"/>
            <w:vAlign w:val="center"/>
          </w:tcPr>
          <w:p w14:paraId="59D1D9E9">
            <w:pPr>
              <w:pStyle w:val="28"/>
              <w:bidi w:val="0"/>
            </w:pPr>
            <w:r>
              <w:t>3.05</w:t>
            </w:r>
          </w:p>
        </w:tc>
        <w:tc>
          <w:tcPr>
            <w:tcW w:w="450" w:type="pct"/>
            <w:vAlign w:val="center"/>
          </w:tcPr>
          <w:p w14:paraId="172CEE74">
            <w:pPr>
              <w:pStyle w:val="28"/>
              <w:bidi w:val="0"/>
            </w:pPr>
            <w:r>
              <w:t>3.96</w:t>
            </w:r>
          </w:p>
        </w:tc>
        <w:tc>
          <w:tcPr>
            <w:tcW w:w="375" w:type="pct"/>
            <w:vAlign w:val="center"/>
          </w:tcPr>
          <w:p w14:paraId="5668C5BD">
            <w:pPr>
              <w:pStyle w:val="28"/>
              <w:bidi w:val="0"/>
            </w:pPr>
            <w:r>
              <w:t>4.71</w:t>
            </w:r>
          </w:p>
        </w:tc>
        <w:tc>
          <w:tcPr>
            <w:tcW w:w="337" w:type="pct"/>
            <w:vAlign w:val="center"/>
          </w:tcPr>
          <w:p w14:paraId="20742293">
            <w:pPr>
              <w:pStyle w:val="28"/>
              <w:bidi w:val="0"/>
            </w:pPr>
            <w:r>
              <w:t>2</w:t>
            </w:r>
          </w:p>
        </w:tc>
        <w:tc>
          <w:tcPr>
            <w:tcW w:w="344" w:type="pct"/>
            <w:vAlign w:val="center"/>
          </w:tcPr>
          <w:p w14:paraId="1A31AEE0">
            <w:pPr>
              <w:pStyle w:val="28"/>
              <w:bidi w:val="0"/>
            </w:pPr>
            <w:r>
              <w:rPr>
                <w:rFonts w:hint="eastAsia"/>
              </w:rPr>
              <w:t>水塘</w:t>
            </w:r>
          </w:p>
        </w:tc>
        <w:tc>
          <w:tcPr>
            <w:tcW w:w="934" w:type="pct"/>
            <w:noWrap/>
            <w:vAlign w:val="center"/>
          </w:tcPr>
          <w:p w14:paraId="4EB9C880">
            <w:pPr>
              <w:pStyle w:val="28"/>
              <w:bidi w:val="0"/>
            </w:pPr>
            <w:r>
              <w:drawing>
                <wp:inline distT="0" distB="0" distL="114300" distR="114300">
                  <wp:extent cx="1692275" cy="1398270"/>
                  <wp:effectExtent l="0" t="0" r="9525" b="11430"/>
                  <wp:docPr id="20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53"/>
                          <pic:cNvPicPr>
                            <a:picLocks noChangeAspect="1"/>
                          </pic:cNvPicPr>
                        </pic:nvPicPr>
                        <pic:blipFill>
                          <a:blip r:embed="rId108"/>
                          <a:stretch>
                            <a:fillRect/>
                          </a:stretch>
                        </pic:blipFill>
                        <pic:spPr>
                          <a:xfrm>
                            <a:off x="0" y="0"/>
                            <a:ext cx="1692275" cy="1398270"/>
                          </a:xfrm>
                          <a:prstGeom prst="rect">
                            <a:avLst/>
                          </a:prstGeom>
                          <a:noFill/>
                          <a:ln>
                            <a:noFill/>
                          </a:ln>
                        </pic:spPr>
                      </pic:pic>
                    </a:graphicData>
                  </a:graphic>
                </wp:inline>
              </w:drawing>
            </w:r>
          </w:p>
        </w:tc>
        <w:tc>
          <w:tcPr>
            <w:tcW w:w="995" w:type="pct"/>
            <w:noWrap/>
            <w:vAlign w:val="center"/>
          </w:tcPr>
          <w:p w14:paraId="59923F3A">
            <w:pPr>
              <w:pStyle w:val="28"/>
              <w:bidi w:val="0"/>
            </w:pPr>
            <w:r>
              <w:t>不涉及饮用水水源保护区和生态保护红线，距离最近的敏感点为</w:t>
            </w:r>
            <w:r>
              <w:rPr>
                <w:rFonts w:hint="eastAsia"/>
              </w:rPr>
              <w:t>东</w:t>
            </w:r>
            <w:r>
              <w:t>侧</w:t>
            </w:r>
            <w:r>
              <w:rPr>
                <w:rFonts w:hint="eastAsia"/>
              </w:rPr>
              <w:t>西蔡下楼</w:t>
            </w:r>
            <w:r>
              <w:t>（</w:t>
            </w:r>
            <w:r>
              <w:rPr>
                <w:rFonts w:hint="eastAsia"/>
              </w:rPr>
              <w:t>103</w:t>
            </w:r>
            <w:r>
              <w:t>m），通过加强</w:t>
            </w:r>
            <w:r>
              <w:rPr>
                <w:rFonts w:hint="eastAsia"/>
              </w:rPr>
              <w:t>取</w:t>
            </w:r>
            <w:r>
              <w:t>弃土场和运输道路抑尘降噪措施，选址满足要求</w:t>
            </w:r>
          </w:p>
        </w:tc>
      </w:tr>
      <w:tr w14:paraId="0CF31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4C16570C">
            <w:pPr>
              <w:pStyle w:val="28"/>
              <w:bidi w:val="0"/>
            </w:pPr>
          </w:p>
        </w:tc>
        <w:tc>
          <w:tcPr>
            <w:tcW w:w="423" w:type="pct"/>
            <w:noWrap/>
            <w:vAlign w:val="center"/>
          </w:tcPr>
          <w:p w14:paraId="72CAC16B">
            <w:pPr>
              <w:pStyle w:val="28"/>
              <w:bidi w:val="0"/>
            </w:pPr>
            <w:r>
              <w:t>2</w:t>
            </w:r>
            <w:r>
              <w:rPr>
                <w:rFonts w:hint="eastAsia"/>
              </w:rPr>
              <w:t>2#取弃土场</w:t>
            </w:r>
          </w:p>
        </w:tc>
        <w:tc>
          <w:tcPr>
            <w:tcW w:w="442" w:type="pct"/>
            <w:vAlign w:val="center"/>
          </w:tcPr>
          <w:p w14:paraId="72C3FEC6">
            <w:pPr>
              <w:pStyle w:val="28"/>
              <w:bidi w:val="0"/>
            </w:pPr>
            <w:r>
              <w:t>115.90129698</w:t>
            </w:r>
            <w:r>
              <w:rPr>
                <w:rFonts w:hint="eastAsia"/>
              </w:rPr>
              <w:t>，</w:t>
            </w:r>
            <w:r>
              <w:t>32.46518693</w:t>
            </w:r>
          </w:p>
        </w:tc>
        <w:tc>
          <w:tcPr>
            <w:tcW w:w="398" w:type="pct"/>
            <w:vAlign w:val="center"/>
          </w:tcPr>
          <w:p w14:paraId="5D80D5C4">
            <w:pPr>
              <w:pStyle w:val="28"/>
              <w:bidi w:val="0"/>
            </w:pPr>
            <w:r>
              <w:t>6.83</w:t>
            </w:r>
          </w:p>
        </w:tc>
        <w:tc>
          <w:tcPr>
            <w:tcW w:w="450" w:type="pct"/>
            <w:vAlign w:val="center"/>
          </w:tcPr>
          <w:p w14:paraId="1A5BF3DD">
            <w:pPr>
              <w:pStyle w:val="28"/>
              <w:bidi w:val="0"/>
            </w:pPr>
            <w:r>
              <w:t>8.61</w:t>
            </w:r>
          </w:p>
        </w:tc>
        <w:tc>
          <w:tcPr>
            <w:tcW w:w="375" w:type="pct"/>
            <w:vAlign w:val="center"/>
          </w:tcPr>
          <w:p w14:paraId="5DD62224">
            <w:pPr>
              <w:pStyle w:val="28"/>
              <w:bidi w:val="0"/>
            </w:pPr>
            <w:r>
              <w:t>10.23</w:t>
            </w:r>
          </w:p>
        </w:tc>
        <w:tc>
          <w:tcPr>
            <w:tcW w:w="337" w:type="pct"/>
            <w:vAlign w:val="center"/>
          </w:tcPr>
          <w:p w14:paraId="3C592C1B">
            <w:pPr>
              <w:pStyle w:val="28"/>
              <w:bidi w:val="0"/>
            </w:pPr>
            <w:r>
              <w:t>2</w:t>
            </w:r>
          </w:p>
        </w:tc>
        <w:tc>
          <w:tcPr>
            <w:tcW w:w="344" w:type="pct"/>
            <w:vAlign w:val="center"/>
          </w:tcPr>
          <w:p w14:paraId="71192E58">
            <w:pPr>
              <w:pStyle w:val="28"/>
              <w:bidi w:val="0"/>
            </w:pPr>
            <w:r>
              <w:rPr>
                <w:rFonts w:hint="eastAsia"/>
              </w:rPr>
              <w:t>水塘</w:t>
            </w:r>
          </w:p>
        </w:tc>
        <w:tc>
          <w:tcPr>
            <w:tcW w:w="934" w:type="pct"/>
            <w:noWrap/>
            <w:vAlign w:val="center"/>
          </w:tcPr>
          <w:p w14:paraId="1196404D">
            <w:pPr>
              <w:pStyle w:val="28"/>
              <w:bidi w:val="0"/>
            </w:pPr>
            <w:r>
              <w:drawing>
                <wp:inline distT="0" distB="0" distL="114300" distR="114300">
                  <wp:extent cx="1692275" cy="1000125"/>
                  <wp:effectExtent l="0" t="0" r="9525" b="3175"/>
                  <wp:docPr id="19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54"/>
                          <pic:cNvPicPr>
                            <a:picLocks noChangeAspect="1"/>
                          </pic:cNvPicPr>
                        </pic:nvPicPr>
                        <pic:blipFill>
                          <a:blip r:embed="rId109"/>
                          <a:stretch>
                            <a:fillRect/>
                          </a:stretch>
                        </pic:blipFill>
                        <pic:spPr>
                          <a:xfrm>
                            <a:off x="0" y="0"/>
                            <a:ext cx="1692275" cy="1000125"/>
                          </a:xfrm>
                          <a:prstGeom prst="rect">
                            <a:avLst/>
                          </a:prstGeom>
                          <a:noFill/>
                          <a:ln>
                            <a:noFill/>
                          </a:ln>
                        </pic:spPr>
                      </pic:pic>
                    </a:graphicData>
                  </a:graphic>
                </wp:inline>
              </w:drawing>
            </w:r>
          </w:p>
        </w:tc>
        <w:tc>
          <w:tcPr>
            <w:tcW w:w="995" w:type="pct"/>
            <w:noWrap/>
            <w:vAlign w:val="center"/>
          </w:tcPr>
          <w:p w14:paraId="7EB5DF76">
            <w:pPr>
              <w:pStyle w:val="28"/>
              <w:bidi w:val="0"/>
            </w:pPr>
            <w:r>
              <w:t>不涉及饮用水水源保护区和生态保护红线，200m范围内无居民敏感点，选址满足要求</w:t>
            </w:r>
          </w:p>
        </w:tc>
      </w:tr>
      <w:tr w14:paraId="754976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2FFDC46D">
            <w:pPr>
              <w:pStyle w:val="28"/>
              <w:bidi w:val="0"/>
            </w:pPr>
          </w:p>
        </w:tc>
        <w:tc>
          <w:tcPr>
            <w:tcW w:w="423" w:type="pct"/>
            <w:noWrap/>
            <w:vAlign w:val="center"/>
          </w:tcPr>
          <w:p w14:paraId="4A5935AB">
            <w:pPr>
              <w:pStyle w:val="28"/>
              <w:bidi w:val="0"/>
            </w:pPr>
            <w:r>
              <w:t>2</w:t>
            </w:r>
            <w:r>
              <w:rPr>
                <w:rFonts w:hint="eastAsia"/>
              </w:rPr>
              <w:t>3#取弃土场</w:t>
            </w:r>
          </w:p>
        </w:tc>
        <w:tc>
          <w:tcPr>
            <w:tcW w:w="442" w:type="pct"/>
            <w:vAlign w:val="center"/>
          </w:tcPr>
          <w:p w14:paraId="180BC88B">
            <w:pPr>
              <w:pStyle w:val="28"/>
              <w:bidi w:val="0"/>
            </w:pPr>
            <w:r>
              <w:t>115.96074718</w:t>
            </w:r>
            <w:r>
              <w:rPr>
                <w:rFonts w:hint="eastAsia"/>
              </w:rPr>
              <w:t>，</w:t>
            </w:r>
            <w:r>
              <w:t>31.96650888</w:t>
            </w:r>
          </w:p>
        </w:tc>
        <w:tc>
          <w:tcPr>
            <w:tcW w:w="398" w:type="pct"/>
            <w:vAlign w:val="center"/>
          </w:tcPr>
          <w:p w14:paraId="52E5263E">
            <w:pPr>
              <w:pStyle w:val="28"/>
              <w:bidi w:val="0"/>
            </w:pPr>
            <w:r>
              <w:t>1.57</w:t>
            </w:r>
          </w:p>
        </w:tc>
        <w:tc>
          <w:tcPr>
            <w:tcW w:w="450" w:type="pct"/>
            <w:vAlign w:val="center"/>
          </w:tcPr>
          <w:p w14:paraId="74B12974">
            <w:pPr>
              <w:pStyle w:val="28"/>
              <w:bidi w:val="0"/>
            </w:pPr>
            <w:r>
              <w:t>0.67</w:t>
            </w:r>
          </w:p>
        </w:tc>
        <w:tc>
          <w:tcPr>
            <w:tcW w:w="375" w:type="pct"/>
            <w:vAlign w:val="center"/>
          </w:tcPr>
          <w:p w14:paraId="6DA3E069">
            <w:pPr>
              <w:pStyle w:val="28"/>
              <w:bidi w:val="0"/>
            </w:pPr>
            <w:r>
              <w:t>3.2</w:t>
            </w:r>
          </w:p>
        </w:tc>
        <w:tc>
          <w:tcPr>
            <w:tcW w:w="337" w:type="pct"/>
            <w:vAlign w:val="center"/>
          </w:tcPr>
          <w:p w14:paraId="19E07B80">
            <w:pPr>
              <w:pStyle w:val="28"/>
              <w:bidi w:val="0"/>
            </w:pPr>
            <w:r>
              <w:t>2.5</w:t>
            </w:r>
          </w:p>
        </w:tc>
        <w:tc>
          <w:tcPr>
            <w:tcW w:w="344" w:type="pct"/>
            <w:vAlign w:val="center"/>
          </w:tcPr>
          <w:p w14:paraId="4DAD98A5">
            <w:pPr>
              <w:pStyle w:val="28"/>
              <w:bidi w:val="0"/>
            </w:pPr>
            <w:r>
              <w:rPr>
                <w:rFonts w:hint="eastAsia"/>
              </w:rPr>
              <w:t>耕地</w:t>
            </w:r>
          </w:p>
        </w:tc>
        <w:tc>
          <w:tcPr>
            <w:tcW w:w="934" w:type="pct"/>
            <w:noWrap/>
            <w:vAlign w:val="center"/>
          </w:tcPr>
          <w:p w14:paraId="340A1C59">
            <w:pPr>
              <w:pStyle w:val="28"/>
              <w:bidi w:val="0"/>
            </w:pPr>
            <w:r>
              <w:drawing>
                <wp:inline distT="0" distB="0" distL="114300" distR="114300">
                  <wp:extent cx="1692275" cy="963930"/>
                  <wp:effectExtent l="0" t="0" r="9525" b="1270"/>
                  <wp:docPr id="20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55"/>
                          <pic:cNvPicPr>
                            <a:picLocks noChangeAspect="1"/>
                          </pic:cNvPicPr>
                        </pic:nvPicPr>
                        <pic:blipFill>
                          <a:blip r:embed="rId110"/>
                          <a:stretch>
                            <a:fillRect/>
                          </a:stretch>
                        </pic:blipFill>
                        <pic:spPr>
                          <a:xfrm>
                            <a:off x="0" y="0"/>
                            <a:ext cx="1692275" cy="963930"/>
                          </a:xfrm>
                          <a:prstGeom prst="rect">
                            <a:avLst/>
                          </a:prstGeom>
                          <a:noFill/>
                          <a:ln>
                            <a:noFill/>
                          </a:ln>
                        </pic:spPr>
                      </pic:pic>
                    </a:graphicData>
                  </a:graphic>
                </wp:inline>
              </w:drawing>
            </w:r>
          </w:p>
        </w:tc>
        <w:tc>
          <w:tcPr>
            <w:tcW w:w="995" w:type="pct"/>
            <w:noWrap/>
            <w:vAlign w:val="center"/>
          </w:tcPr>
          <w:p w14:paraId="45A4AA6C">
            <w:pPr>
              <w:pStyle w:val="28"/>
              <w:bidi w:val="0"/>
            </w:pPr>
            <w:r>
              <w:t>不涉及饮用水水源保护区和生态保护红线，距离最近的敏感点为</w:t>
            </w:r>
            <w:r>
              <w:rPr>
                <w:rFonts w:hint="eastAsia"/>
              </w:rPr>
              <w:t>东</w:t>
            </w:r>
            <w:r>
              <w:t>侧</w:t>
            </w:r>
            <w:r>
              <w:rPr>
                <w:rFonts w:hint="eastAsia"/>
              </w:rPr>
              <w:t>南昄</w:t>
            </w:r>
            <w:r>
              <w:t>（</w:t>
            </w:r>
            <w:r>
              <w:rPr>
                <w:rFonts w:hint="eastAsia"/>
              </w:rPr>
              <w:t>75</w:t>
            </w:r>
            <w:r>
              <w:t>m），通过加强</w:t>
            </w:r>
            <w:r>
              <w:rPr>
                <w:rFonts w:hint="eastAsia"/>
              </w:rPr>
              <w:t>取</w:t>
            </w:r>
            <w:r>
              <w:t>弃土场和运输道路抑尘降噪措施，选址满足要求</w:t>
            </w:r>
          </w:p>
        </w:tc>
      </w:tr>
      <w:tr w14:paraId="560BA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01B3842B">
            <w:pPr>
              <w:pStyle w:val="28"/>
              <w:bidi w:val="0"/>
            </w:pPr>
          </w:p>
        </w:tc>
        <w:tc>
          <w:tcPr>
            <w:tcW w:w="423" w:type="pct"/>
            <w:noWrap/>
            <w:vAlign w:val="center"/>
          </w:tcPr>
          <w:p w14:paraId="7AD924BC">
            <w:pPr>
              <w:pStyle w:val="28"/>
              <w:bidi w:val="0"/>
            </w:pPr>
            <w:r>
              <w:t>2</w:t>
            </w:r>
            <w:r>
              <w:rPr>
                <w:rFonts w:hint="eastAsia"/>
              </w:rPr>
              <w:t>4#取弃土场</w:t>
            </w:r>
          </w:p>
        </w:tc>
        <w:tc>
          <w:tcPr>
            <w:tcW w:w="442" w:type="pct"/>
            <w:vAlign w:val="center"/>
          </w:tcPr>
          <w:p w14:paraId="4FA0AC72">
            <w:pPr>
              <w:pStyle w:val="28"/>
              <w:bidi w:val="0"/>
            </w:pPr>
            <w:r>
              <w:t>116.04723215</w:t>
            </w:r>
            <w:r>
              <w:rPr>
                <w:rFonts w:hint="eastAsia"/>
              </w:rPr>
              <w:t>，</w:t>
            </w:r>
            <w:r>
              <w:t>32.01635455</w:t>
            </w:r>
          </w:p>
        </w:tc>
        <w:tc>
          <w:tcPr>
            <w:tcW w:w="398" w:type="pct"/>
            <w:vAlign w:val="center"/>
          </w:tcPr>
          <w:p w14:paraId="0BB27817">
            <w:pPr>
              <w:pStyle w:val="28"/>
              <w:bidi w:val="0"/>
            </w:pPr>
            <w:r>
              <w:t>2.64</w:t>
            </w:r>
          </w:p>
        </w:tc>
        <w:tc>
          <w:tcPr>
            <w:tcW w:w="450" w:type="pct"/>
            <w:vAlign w:val="center"/>
          </w:tcPr>
          <w:p w14:paraId="4641062B">
            <w:pPr>
              <w:pStyle w:val="28"/>
              <w:bidi w:val="0"/>
            </w:pPr>
            <w:r>
              <w:t>1.58</w:t>
            </w:r>
          </w:p>
        </w:tc>
        <w:tc>
          <w:tcPr>
            <w:tcW w:w="375" w:type="pct"/>
            <w:vAlign w:val="center"/>
          </w:tcPr>
          <w:p w14:paraId="54B52EE7">
            <w:pPr>
              <w:pStyle w:val="28"/>
              <w:bidi w:val="0"/>
            </w:pPr>
            <w:r>
              <w:t>5.12</w:t>
            </w:r>
          </w:p>
        </w:tc>
        <w:tc>
          <w:tcPr>
            <w:tcW w:w="337" w:type="pct"/>
            <w:vAlign w:val="center"/>
          </w:tcPr>
          <w:p w14:paraId="1B20251F">
            <w:pPr>
              <w:pStyle w:val="28"/>
              <w:bidi w:val="0"/>
            </w:pPr>
            <w:r>
              <w:t>3</w:t>
            </w:r>
          </w:p>
        </w:tc>
        <w:tc>
          <w:tcPr>
            <w:tcW w:w="344" w:type="pct"/>
            <w:vAlign w:val="center"/>
          </w:tcPr>
          <w:p w14:paraId="55B14F4D">
            <w:pPr>
              <w:pStyle w:val="28"/>
              <w:bidi w:val="0"/>
            </w:pPr>
            <w:r>
              <w:rPr>
                <w:rFonts w:hint="eastAsia"/>
              </w:rPr>
              <w:t>水域及水利设施用地</w:t>
            </w:r>
          </w:p>
        </w:tc>
        <w:tc>
          <w:tcPr>
            <w:tcW w:w="934" w:type="pct"/>
            <w:noWrap/>
            <w:vAlign w:val="center"/>
          </w:tcPr>
          <w:p w14:paraId="035B210A">
            <w:pPr>
              <w:pStyle w:val="28"/>
              <w:bidi w:val="0"/>
            </w:pPr>
            <w:r>
              <w:drawing>
                <wp:inline distT="0" distB="0" distL="114300" distR="114300">
                  <wp:extent cx="1692275" cy="1283335"/>
                  <wp:effectExtent l="0" t="0" r="9525" b="12065"/>
                  <wp:docPr id="20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56"/>
                          <pic:cNvPicPr>
                            <a:picLocks noChangeAspect="1"/>
                          </pic:cNvPicPr>
                        </pic:nvPicPr>
                        <pic:blipFill>
                          <a:blip r:embed="rId111"/>
                          <a:stretch>
                            <a:fillRect/>
                          </a:stretch>
                        </pic:blipFill>
                        <pic:spPr>
                          <a:xfrm>
                            <a:off x="0" y="0"/>
                            <a:ext cx="1692275" cy="1283335"/>
                          </a:xfrm>
                          <a:prstGeom prst="rect">
                            <a:avLst/>
                          </a:prstGeom>
                          <a:noFill/>
                          <a:ln>
                            <a:noFill/>
                          </a:ln>
                        </pic:spPr>
                      </pic:pic>
                    </a:graphicData>
                  </a:graphic>
                </wp:inline>
              </w:drawing>
            </w:r>
          </w:p>
        </w:tc>
        <w:tc>
          <w:tcPr>
            <w:tcW w:w="995" w:type="pct"/>
            <w:noWrap/>
            <w:vAlign w:val="center"/>
          </w:tcPr>
          <w:p w14:paraId="750DC6E3">
            <w:pPr>
              <w:pStyle w:val="28"/>
              <w:bidi w:val="0"/>
            </w:pPr>
            <w:r>
              <w:t>不涉及饮用水水源保护区和生态保护红线，距离最近的敏感点为</w:t>
            </w:r>
            <w:r>
              <w:rPr>
                <w:rFonts w:hint="eastAsia"/>
              </w:rPr>
              <w:t>北</w:t>
            </w:r>
            <w:r>
              <w:t>侧</w:t>
            </w:r>
            <w:r>
              <w:rPr>
                <w:rFonts w:hint="eastAsia"/>
              </w:rPr>
              <w:t>小圩子</w:t>
            </w:r>
            <w:r>
              <w:t>（</w:t>
            </w:r>
            <w:r>
              <w:rPr>
                <w:rFonts w:hint="eastAsia"/>
              </w:rPr>
              <w:t>115</w:t>
            </w:r>
            <w:r>
              <w:t>m），通过加强</w:t>
            </w:r>
            <w:r>
              <w:rPr>
                <w:rFonts w:hint="eastAsia"/>
              </w:rPr>
              <w:t>取</w:t>
            </w:r>
            <w:r>
              <w:t>弃土场和运输道路抑尘降噪措施，选址满足要求</w:t>
            </w:r>
          </w:p>
        </w:tc>
      </w:tr>
      <w:tr w14:paraId="49672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455DF852">
            <w:pPr>
              <w:pStyle w:val="28"/>
              <w:bidi w:val="0"/>
            </w:pPr>
          </w:p>
        </w:tc>
        <w:tc>
          <w:tcPr>
            <w:tcW w:w="423" w:type="pct"/>
            <w:noWrap/>
            <w:vAlign w:val="center"/>
          </w:tcPr>
          <w:p w14:paraId="0B89A4DB">
            <w:pPr>
              <w:pStyle w:val="28"/>
              <w:bidi w:val="0"/>
            </w:pPr>
            <w:r>
              <w:t>2</w:t>
            </w:r>
            <w:r>
              <w:rPr>
                <w:rFonts w:hint="eastAsia"/>
              </w:rPr>
              <w:t>5#取弃土场</w:t>
            </w:r>
          </w:p>
        </w:tc>
        <w:tc>
          <w:tcPr>
            <w:tcW w:w="442" w:type="pct"/>
            <w:vAlign w:val="center"/>
          </w:tcPr>
          <w:p w14:paraId="5C07EB9D">
            <w:pPr>
              <w:pStyle w:val="28"/>
              <w:bidi w:val="0"/>
            </w:pPr>
            <w:r>
              <w:t>117.18781471</w:t>
            </w:r>
            <w:r>
              <w:rPr>
                <w:rFonts w:hint="eastAsia"/>
              </w:rPr>
              <w:t>，</w:t>
            </w:r>
            <w:r>
              <w:t>31.28049476</w:t>
            </w:r>
          </w:p>
        </w:tc>
        <w:tc>
          <w:tcPr>
            <w:tcW w:w="398" w:type="pct"/>
            <w:vAlign w:val="center"/>
          </w:tcPr>
          <w:p w14:paraId="66B85149">
            <w:pPr>
              <w:pStyle w:val="28"/>
              <w:bidi w:val="0"/>
            </w:pPr>
            <w:r>
              <w:t>1.3</w:t>
            </w:r>
          </w:p>
        </w:tc>
        <w:tc>
          <w:tcPr>
            <w:tcW w:w="450" w:type="pct"/>
            <w:vAlign w:val="center"/>
          </w:tcPr>
          <w:p w14:paraId="550B5CB1">
            <w:pPr>
              <w:pStyle w:val="28"/>
              <w:bidi w:val="0"/>
            </w:pPr>
            <w:r>
              <w:t>0.97</w:t>
            </w:r>
          </w:p>
        </w:tc>
        <w:tc>
          <w:tcPr>
            <w:tcW w:w="375" w:type="pct"/>
            <w:vAlign w:val="center"/>
          </w:tcPr>
          <w:p w14:paraId="61E75652">
            <w:pPr>
              <w:pStyle w:val="28"/>
              <w:bidi w:val="0"/>
            </w:pPr>
            <w:r>
              <w:t>1.67</w:t>
            </w:r>
          </w:p>
        </w:tc>
        <w:tc>
          <w:tcPr>
            <w:tcW w:w="337" w:type="pct"/>
            <w:vAlign w:val="center"/>
          </w:tcPr>
          <w:p w14:paraId="19538A0C">
            <w:pPr>
              <w:pStyle w:val="28"/>
              <w:bidi w:val="0"/>
            </w:pPr>
            <w:r>
              <w:t>1.5</w:t>
            </w:r>
          </w:p>
        </w:tc>
        <w:tc>
          <w:tcPr>
            <w:tcW w:w="344" w:type="pct"/>
            <w:vAlign w:val="center"/>
          </w:tcPr>
          <w:p w14:paraId="22BA63B9">
            <w:pPr>
              <w:pStyle w:val="28"/>
              <w:bidi w:val="0"/>
            </w:pPr>
            <w:r>
              <w:rPr>
                <w:rFonts w:hint="eastAsia"/>
              </w:rPr>
              <w:t>水域及水利设施用地</w:t>
            </w:r>
          </w:p>
        </w:tc>
        <w:tc>
          <w:tcPr>
            <w:tcW w:w="934" w:type="pct"/>
            <w:noWrap/>
            <w:vAlign w:val="center"/>
          </w:tcPr>
          <w:p w14:paraId="097BC5CD">
            <w:pPr>
              <w:pStyle w:val="28"/>
              <w:bidi w:val="0"/>
            </w:pPr>
            <w:r>
              <w:drawing>
                <wp:inline distT="0" distB="0" distL="114300" distR="114300">
                  <wp:extent cx="1692275" cy="978535"/>
                  <wp:effectExtent l="0" t="0" r="9525" b="12065"/>
                  <wp:docPr id="17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57"/>
                          <pic:cNvPicPr>
                            <a:picLocks noChangeAspect="1"/>
                          </pic:cNvPicPr>
                        </pic:nvPicPr>
                        <pic:blipFill>
                          <a:blip r:embed="rId112"/>
                          <a:stretch>
                            <a:fillRect/>
                          </a:stretch>
                        </pic:blipFill>
                        <pic:spPr>
                          <a:xfrm>
                            <a:off x="0" y="0"/>
                            <a:ext cx="1692275" cy="978535"/>
                          </a:xfrm>
                          <a:prstGeom prst="rect">
                            <a:avLst/>
                          </a:prstGeom>
                          <a:noFill/>
                          <a:ln>
                            <a:noFill/>
                          </a:ln>
                        </pic:spPr>
                      </pic:pic>
                    </a:graphicData>
                  </a:graphic>
                </wp:inline>
              </w:drawing>
            </w:r>
          </w:p>
        </w:tc>
        <w:tc>
          <w:tcPr>
            <w:tcW w:w="995" w:type="pct"/>
            <w:noWrap/>
            <w:vAlign w:val="center"/>
          </w:tcPr>
          <w:p w14:paraId="593B3A63">
            <w:pPr>
              <w:pStyle w:val="28"/>
              <w:bidi w:val="0"/>
            </w:pPr>
            <w:r>
              <w:t>不涉及饮用水水源保护区和生态保护红线，距离最近的敏感点为</w:t>
            </w:r>
            <w:r>
              <w:rPr>
                <w:rFonts w:hint="eastAsia"/>
              </w:rPr>
              <w:t>北</w:t>
            </w:r>
            <w:r>
              <w:t>侧</w:t>
            </w:r>
            <w:r>
              <w:rPr>
                <w:rFonts w:hint="eastAsia"/>
              </w:rPr>
              <w:t>谷老屋</w:t>
            </w:r>
            <w:r>
              <w:t>（</w:t>
            </w:r>
            <w:r>
              <w:rPr>
                <w:rFonts w:hint="eastAsia"/>
              </w:rPr>
              <w:t>55</w:t>
            </w:r>
            <w:r>
              <w:t>m），通过加强</w:t>
            </w:r>
            <w:r>
              <w:rPr>
                <w:rFonts w:hint="eastAsia"/>
              </w:rPr>
              <w:t>取</w:t>
            </w:r>
            <w:r>
              <w:t>弃土场和运输道路抑尘降噪措施，选址满足要求</w:t>
            </w:r>
          </w:p>
        </w:tc>
      </w:tr>
      <w:tr w14:paraId="610A5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64EFFD84">
            <w:pPr>
              <w:pStyle w:val="28"/>
              <w:bidi w:val="0"/>
            </w:pPr>
          </w:p>
        </w:tc>
        <w:tc>
          <w:tcPr>
            <w:tcW w:w="423" w:type="pct"/>
            <w:noWrap/>
            <w:vAlign w:val="center"/>
          </w:tcPr>
          <w:p w14:paraId="1A5A8413">
            <w:pPr>
              <w:pStyle w:val="28"/>
              <w:bidi w:val="0"/>
            </w:pPr>
            <w:r>
              <w:t>2</w:t>
            </w:r>
            <w:r>
              <w:rPr>
                <w:rFonts w:hint="eastAsia"/>
              </w:rPr>
              <w:t>6#取弃土场</w:t>
            </w:r>
          </w:p>
        </w:tc>
        <w:tc>
          <w:tcPr>
            <w:tcW w:w="442" w:type="pct"/>
            <w:vAlign w:val="center"/>
          </w:tcPr>
          <w:p w14:paraId="5BA9E61B">
            <w:pPr>
              <w:pStyle w:val="28"/>
              <w:bidi w:val="0"/>
            </w:pPr>
            <w:r>
              <w:t>117.13120937</w:t>
            </w:r>
            <w:r>
              <w:rPr>
                <w:rFonts w:hint="eastAsia"/>
              </w:rPr>
              <w:t>，</w:t>
            </w:r>
            <w:r>
              <w:t>31.51700197</w:t>
            </w:r>
          </w:p>
        </w:tc>
        <w:tc>
          <w:tcPr>
            <w:tcW w:w="398" w:type="pct"/>
            <w:vAlign w:val="center"/>
          </w:tcPr>
          <w:p w14:paraId="0BC9BE4C">
            <w:pPr>
              <w:pStyle w:val="28"/>
              <w:bidi w:val="0"/>
            </w:pPr>
            <w:r>
              <w:t>2.06</w:t>
            </w:r>
          </w:p>
        </w:tc>
        <w:tc>
          <w:tcPr>
            <w:tcW w:w="450" w:type="pct"/>
            <w:vAlign w:val="center"/>
          </w:tcPr>
          <w:p w14:paraId="3DC77EBD">
            <w:pPr>
              <w:pStyle w:val="28"/>
              <w:bidi w:val="0"/>
            </w:pPr>
            <w:r>
              <w:t>5.1</w:t>
            </w:r>
          </w:p>
        </w:tc>
        <w:tc>
          <w:tcPr>
            <w:tcW w:w="375" w:type="pct"/>
            <w:vAlign w:val="center"/>
          </w:tcPr>
          <w:p w14:paraId="6AAE1958">
            <w:pPr>
              <w:pStyle w:val="28"/>
              <w:bidi w:val="0"/>
            </w:pPr>
            <w:r>
              <w:t>5.63</w:t>
            </w:r>
          </w:p>
        </w:tc>
        <w:tc>
          <w:tcPr>
            <w:tcW w:w="337" w:type="pct"/>
            <w:vAlign w:val="center"/>
          </w:tcPr>
          <w:p w14:paraId="534B49EF">
            <w:pPr>
              <w:pStyle w:val="28"/>
              <w:bidi w:val="0"/>
            </w:pPr>
            <w:r>
              <w:t>3</w:t>
            </w:r>
          </w:p>
        </w:tc>
        <w:tc>
          <w:tcPr>
            <w:tcW w:w="344" w:type="pct"/>
            <w:vAlign w:val="center"/>
          </w:tcPr>
          <w:p w14:paraId="1BEFA7E4">
            <w:pPr>
              <w:pStyle w:val="28"/>
              <w:bidi w:val="0"/>
            </w:pPr>
            <w:r>
              <w:rPr>
                <w:rFonts w:hint="eastAsia"/>
              </w:rPr>
              <w:t>水域及水利设施用地</w:t>
            </w:r>
          </w:p>
        </w:tc>
        <w:tc>
          <w:tcPr>
            <w:tcW w:w="934" w:type="pct"/>
            <w:noWrap/>
            <w:vAlign w:val="center"/>
          </w:tcPr>
          <w:p w14:paraId="5DAFFADE">
            <w:pPr>
              <w:pStyle w:val="28"/>
              <w:bidi w:val="0"/>
            </w:pPr>
            <w:r>
              <w:drawing>
                <wp:inline distT="0" distB="0" distL="114300" distR="114300">
                  <wp:extent cx="1692275" cy="1207770"/>
                  <wp:effectExtent l="0" t="0" r="9525" b="11430"/>
                  <wp:docPr id="18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58"/>
                          <pic:cNvPicPr>
                            <a:picLocks noChangeAspect="1"/>
                          </pic:cNvPicPr>
                        </pic:nvPicPr>
                        <pic:blipFill>
                          <a:blip r:embed="rId113"/>
                          <a:stretch>
                            <a:fillRect/>
                          </a:stretch>
                        </pic:blipFill>
                        <pic:spPr>
                          <a:xfrm>
                            <a:off x="0" y="0"/>
                            <a:ext cx="1692275" cy="1207770"/>
                          </a:xfrm>
                          <a:prstGeom prst="rect">
                            <a:avLst/>
                          </a:prstGeom>
                          <a:noFill/>
                          <a:ln>
                            <a:noFill/>
                          </a:ln>
                        </pic:spPr>
                      </pic:pic>
                    </a:graphicData>
                  </a:graphic>
                </wp:inline>
              </w:drawing>
            </w:r>
          </w:p>
        </w:tc>
        <w:tc>
          <w:tcPr>
            <w:tcW w:w="995" w:type="pct"/>
            <w:noWrap/>
            <w:vAlign w:val="center"/>
          </w:tcPr>
          <w:p w14:paraId="211EB3B2">
            <w:pPr>
              <w:pStyle w:val="28"/>
              <w:bidi w:val="0"/>
            </w:pPr>
            <w:r>
              <w:t>不涉及饮用水水源保护区和生态保护红线，距离最近的敏感点为</w:t>
            </w:r>
            <w:r>
              <w:rPr>
                <w:rFonts w:hint="eastAsia"/>
              </w:rPr>
              <w:t>南</w:t>
            </w:r>
            <w:r>
              <w:t>侧</w:t>
            </w:r>
            <w:r>
              <w:rPr>
                <w:rFonts w:hint="eastAsia"/>
              </w:rPr>
              <w:t>大墩</w:t>
            </w:r>
            <w:r>
              <w:t>（</w:t>
            </w:r>
            <w:r>
              <w:rPr>
                <w:rFonts w:hint="eastAsia"/>
              </w:rPr>
              <w:t>51</w:t>
            </w:r>
            <w:r>
              <w:t>m），通过加强</w:t>
            </w:r>
            <w:r>
              <w:rPr>
                <w:rFonts w:hint="eastAsia"/>
              </w:rPr>
              <w:t>取</w:t>
            </w:r>
            <w:r>
              <w:t>弃土场和运输道路抑尘降噪措施，选址满足要求</w:t>
            </w:r>
          </w:p>
        </w:tc>
      </w:tr>
      <w:tr w14:paraId="15866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99" w:type="pct"/>
            <w:vMerge w:val="continue"/>
            <w:noWrap/>
            <w:vAlign w:val="center"/>
          </w:tcPr>
          <w:p w14:paraId="34CC0DE8">
            <w:pPr>
              <w:pStyle w:val="28"/>
              <w:bidi w:val="0"/>
            </w:pPr>
          </w:p>
        </w:tc>
        <w:tc>
          <w:tcPr>
            <w:tcW w:w="423" w:type="pct"/>
            <w:noWrap/>
            <w:vAlign w:val="center"/>
          </w:tcPr>
          <w:p w14:paraId="7CCAE6E6">
            <w:pPr>
              <w:pStyle w:val="28"/>
              <w:bidi w:val="0"/>
            </w:pPr>
            <w:r>
              <w:t>2</w:t>
            </w:r>
            <w:r>
              <w:rPr>
                <w:rFonts w:hint="eastAsia"/>
              </w:rPr>
              <w:t>7#取弃土场</w:t>
            </w:r>
          </w:p>
        </w:tc>
        <w:tc>
          <w:tcPr>
            <w:tcW w:w="442" w:type="pct"/>
            <w:vAlign w:val="center"/>
          </w:tcPr>
          <w:p w14:paraId="7DBA1055">
            <w:pPr>
              <w:pStyle w:val="28"/>
              <w:bidi w:val="0"/>
            </w:pPr>
            <w:r>
              <w:t>116.86226964</w:t>
            </w:r>
            <w:r>
              <w:rPr>
                <w:rFonts w:hint="eastAsia"/>
              </w:rPr>
              <w:t>，</w:t>
            </w:r>
            <w:r>
              <w:t>31.41137267</w:t>
            </w:r>
          </w:p>
        </w:tc>
        <w:tc>
          <w:tcPr>
            <w:tcW w:w="398" w:type="pct"/>
            <w:vAlign w:val="center"/>
          </w:tcPr>
          <w:p w14:paraId="0AC46AA5">
            <w:pPr>
              <w:pStyle w:val="28"/>
              <w:bidi w:val="0"/>
            </w:pPr>
            <w:r>
              <w:t>1.12</w:t>
            </w:r>
          </w:p>
        </w:tc>
        <w:tc>
          <w:tcPr>
            <w:tcW w:w="450" w:type="pct"/>
            <w:vAlign w:val="center"/>
          </w:tcPr>
          <w:p w14:paraId="42FF1D1D">
            <w:pPr>
              <w:pStyle w:val="28"/>
              <w:bidi w:val="0"/>
            </w:pPr>
            <w:r>
              <w:t>2.78</w:t>
            </w:r>
          </w:p>
        </w:tc>
        <w:tc>
          <w:tcPr>
            <w:tcW w:w="375" w:type="pct"/>
            <w:vAlign w:val="center"/>
          </w:tcPr>
          <w:p w14:paraId="5688B010">
            <w:pPr>
              <w:pStyle w:val="28"/>
              <w:bidi w:val="0"/>
            </w:pPr>
            <w:r>
              <w:t>2.33</w:t>
            </w:r>
          </w:p>
        </w:tc>
        <w:tc>
          <w:tcPr>
            <w:tcW w:w="337" w:type="pct"/>
            <w:vAlign w:val="center"/>
          </w:tcPr>
          <w:p w14:paraId="635EB922">
            <w:pPr>
              <w:pStyle w:val="28"/>
              <w:bidi w:val="0"/>
            </w:pPr>
            <w:r>
              <w:t>2.5</w:t>
            </w:r>
          </w:p>
        </w:tc>
        <w:tc>
          <w:tcPr>
            <w:tcW w:w="344" w:type="pct"/>
            <w:vAlign w:val="center"/>
          </w:tcPr>
          <w:p w14:paraId="2745D238">
            <w:pPr>
              <w:pStyle w:val="28"/>
              <w:bidi w:val="0"/>
            </w:pPr>
            <w:r>
              <w:rPr>
                <w:rFonts w:hint="eastAsia"/>
              </w:rPr>
              <w:t>耕地</w:t>
            </w:r>
          </w:p>
        </w:tc>
        <w:tc>
          <w:tcPr>
            <w:tcW w:w="934" w:type="pct"/>
            <w:noWrap/>
            <w:vAlign w:val="center"/>
          </w:tcPr>
          <w:p w14:paraId="367CCE06">
            <w:pPr>
              <w:pStyle w:val="28"/>
              <w:bidi w:val="0"/>
            </w:pPr>
            <w:r>
              <w:drawing>
                <wp:inline distT="0" distB="0" distL="114300" distR="114300">
                  <wp:extent cx="1692275" cy="1265555"/>
                  <wp:effectExtent l="0" t="0" r="9525" b="4445"/>
                  <wp:docPr id="21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59"/>
                          <pic:cNvPicPr>
                            <a:picLocks noChangeAspect="1"/>
                          </pic:cNvPicPr>
                        </pic:nvPicPr>
                        <pic:blipFill>
                          <a:blip r:embed="rId114"/>
                          <a:stretch>
                            <a:fillRect/>
                          </a:stretch>
                        </pic:blipFill>
                        <pic:spPr>
                          <a:xfrm>
                            <a:off x="0" y="0"/>
                            <a:ext cx="1692275" cy="1265555"/>
                          </a:xfrm>
                          <a:prstGeom prst="rect">
                            <a:avLst/>
                          </a:prstGeom>
                          <a:noFill/>
                          <a:ln>
                            <a:noFill/>
                          </a:ln>
                        </pic:spPr>
                      </pic:pic>
                    </a:graphicData>
                  </a:graphic>
                </wp:inline>
              </w:drawing>
            </w:r>
          </w:p>
        </w:tc>
        <w:tc>
          <w:tcPr>
            <w:tcW w:w="995" w:type="pct"/>
            <w:noWrap/>
            <w:vAlign w:val="center"/>
          </w:tcPr>
          <w:p w14:paraId="59499DEF">
            <w:pPr>
              <w:pStyle w:val="28"/>
              <w:bidi w:val="0"/>
            </w:pPr>
            <w:r>
              <w:t>不涉及饮用水水源保护区和生态保护红线，距离最近的敏感点为</w:t>
            </w:r>
            <w:r>
              <w:rPr>
                <w:rFonts w:hint="eastAsia"/>
              </w:rPr>
              <w:t>北</w:t>
            </w:r>
            <w:r>
              <w:t>侧</w:t>
            </w:r>
            <w:r>
              <w:rPr>
                <w:rFonts w:hint="eastAsia"/>
              </w:rPr>
              <w:t>大湾</w:t>
            </w:r>
            <w:r>
              <w:t>（</w:t>
            </w:r>
            <w:r>
              <w:rPr>
                <w:rFonts w:hint="eastAsia"/>
              </w:rPr>
              <w:t>44</w:t>
            </w:r>
            <w:r>
              <w:t>m），通过加强</w:t>
            </w:r>
            <w:r>
              <w:rPr>
                <w:rFonts w:hint="eastAsia"/>
              </w:rPr>
              <w:t>取</w:t>
            </w:r>
            <w:r>
              <w:t>弃土场和运输道路抑尘降噪措施，选址满足要求</w:t>
            </w:r>
          </w:p>
        </w:tc>
      </w:tr>
    </w:tbl>
    <w:p w14:paraId="47D8AF8F">
      <w:pPr>
        <w:rPr>
          <w:color w:val="0000FF"/>
        </w:rPr>
      </w:pPr>
    </w:p>
    <w:p w14:paraId="47468F67">
      <w:pPr>
        <w:pStyle w:val="5"/>
        <w:rPr>
          <w:rFonts w:cs="Times New Roman"/>
          <w:color w:val="0000FF"/>
        </w:rPr>
        <w:sectPr>
          <w:pgSz w:w="11905" w:h="16838"/>
          <w:pgMar w:top="1417" w:right="1417" w:bottom="1417" w:left="1417" w:header="850" w:footer="850" w:gutter="0"/>
          <w:pgNumType w:fmt="decimal"/>
          <w:cols w:space="0" w:num="1"/>
          <w:rtlGutter w:val="0"/>
          <w:docGrid w:linePitch="326" w:charSpace="0"/>
        </w:sectPr>
      </w:pPr>
    </w:p>
    <w:p w14:paraId="55A99201">
      <w:pPr>
        <w:pStyle w:val="5"/>
        <w:rPr>
          <w:rFonts w:cs="Times New Roman"/>
          <w:color w:val="0000FF"/>
        </w:rPr>
      </w:pPr>
      <w:r>
        <w:rPr>
          <w:rFonts w:cs="Times New Roman"/>
          <w:color w:val="0000FF"/>
        </w:rPr>
        <w:t>3.1.2.2 施工营地选址环境合理性分析</w:t>
      </w:r>
    </w:p>
    <w:p w14:paraId="2E64E153">
      <w:pPr>
        <w:numPr>
          <w:ilvl w:val="1"/>
          <w:numId w:val="0"/>
        </w:numPr>
        <w:tabs>
          <w:tab w:val="left" w:pos="3564"/>
        </w:tabs>
        <w:ind w:firstLine="480" w:firstLineChars="200"/>
        <w:rPr>
          <w:rFonts w:cs="Times New Roman"/>
          <w:color w:val="0000FF"/>
          <w:szCs w:val="22"/>
        </w:rPr>
      </w:pPr>
      <w:bookmarkStart w:id="35" w:name="_Toc31683"/>
      <w:bookmarkStart w:id="36" w:name="_Toc4630"/>
      <w:bookmarkStart w:id="37" w:name="_Toc32725"/>
      <w:bookmarkStart w:id="38" w:name="_Toc26959"/>
      <w:bookmarkStart w:id="39" w:name="_Toc4803"/>
      <w:r>
        <w:rPr>
          <w:rFonts w:cs="Times New Roman"/>
          <w:color w:val="0000FF"/>
          <w:szCs w:val="22"/>
        </w:rPr>
        <w:t>本工程初步拟定施工生产区和施工生活区，施工生活区均依托施工生产区建设，不独立选址建设。</w:t>
      </w:r>
      <w:bookmarkEnd w:id="35"/>
      <w:bookmarkEnd w:id="36"/>
    </w:p>
    <w:p w14:paraId="1BEA3EEE">
      <w:pPr>
        <w:numPr>
          <w:ilvl w:val="1"/>
          <w:numId w:val="0"/>
        </w:numPr>
        <w:tabs>
          <w:tab w:val="left" w:pos="3564"/>
        </w:tabs>
        <w:ind w:firstLine="480" w:firstLineChars="200"/>
        <w:rPr>
          <w:rFonts w:cs="Times New Roman"/>
          <w:color w:val="0000FF"/>
          <w:szCs w:val="22"/>
        </w:rPr>
      </w:pPr>
      <w:bookmarkStart w:id="40" w:name="_Toc23718"/>
      <w:bookmarkStart w:id="41" w:name="_Toc32695"/>
      <w:bookmarkStart w:id="42" w:name="_Toc26520"/>
      <w:bookmarkStart w:id="43" w:name="_Toc14607"/>
      <w:r>
        <w:rPr>
          <w:rFonts w:cs="Times New Roman"/>
          <w:color w:val="0000FF"/>
          <w:szCs w:val="22"/>
        </w:rPr>
        <w:t>施工布置区临时房屋优先租用工程附近村庄的房屋，综合加工厂以及机械修配间布置在工程已征用的永久占地范围内；工程施工道路利用现有道路，施工结束后进行复建，以减少施工期工程临时占地。</w:t>
      </w:r>
      <w:bookmarkEnd w:id="40"/>
      <w:bookmarkEnd w:id="41"/>
    </w:p>
    <w:p w14:paraId="3FCD631A">
      <w:pPr>
        <w:numPr>
          <w:ilvl w:val="1"/>
          <w:numId w:val="0"/>
        </w:numPr>
        <w:tabs>
          <w:tab w:val="left" w:pos="3564"/>
        </w:tabs>
        <w:ind w:firstLine="480" w:firstLineChars="200"/>
        <w:rPr>
          <w:rFonts w:cs="Times New Roman"/>
          <w:color w:val="0000FF"/>
          <w:szCs w:val="22"/>
        </w:rPr>
      </w:pPr>
      <w:r>
        <w:rPr>
          <w:rFonts w:cs="Times New Roman"/>
          <w:color w:val="0000FF"/>
          <w:szCs w:val="22"/>
        </w:rPr>
        <w:t>施工生活区有条件的情况优先就</w:t>
      </w:r>
      <w:r>
        <w:rPr>
          <w:rFonts w:cs="Times New Roman"/>
          <w:bCs/>
          <w:color w:val="0000FF"/>
          <w:szCs w:val="22"/>
        </w:rPr>
        <w:t>近租用附近民房，没有条件的依托施工工厂，就近集中布置施工生活区，</w:t>
      </w:r>
      <w:r>
        <w:rPr>
          <w:rFonts w:cs="Times New Roman"/>
          <w:color w:val="0000FF"/>
          <w:szCs w:val="22"/>
        </w:rPr>
        <w:t>选址优先在已征用的永久占地范围内，连接道路优先利用现有道路，施工结束后进行复建，以减少施工期工程临时占地。</w:t>
      </w:r>
    </w:p>
    <w:p w14:paraId="440DBEB3">
      <w:pPr>
        <w:numPr>
          <w:ilvl w:val="1"/>
          <w:numId w:val="0"/>
        </w:numPr>
        <w:tabs>
          <w:tab w:val="left" w:pos="3564"/>
        </w:tabs>
        <w:ind w:firstLine="480" w:firstLineChars="200"/>
        <w:rPr>
          <w:rFonts w:cs="Times New Roman"/>
          <w:color w:val="0000FF"/>
          <w:szCs w:val="22"/>
        </w:rPr>
      </w:pPr>
      <w:r>
        <w:rPr>
          <w:rFonts w:cs="Times New Roman"/>
          <w:color w:val="0000FF"/>
          <w:szCs w:val="22"/>
        </w:rPr>
        <w:t>本次工程均不设置混凝土拌合站等，施工的混凝土全线采用商混，同时各类预制件采用外购的方式，因此，各项目各施工布置区仅设置综合加工厂、机械修配间以及临时房屋等。针对200m范围涉及敏感点的施工生产区，将噪声大的设备放置远离居民点一侧，并加装声屏障。</w:t>
      </w:r>
      <w:bookmarkEnd w:id="42"/>
      <w:bookmarkEnd w:id="43"/>
    </w:p>
    <w:p w14:paraId="25C665F2">
      <w:pPr>
        <w:numPr>
          <w:ilvl w:val="1"/>
          <w:numId w:val="0"/>
        </w:numPr>
        <w:tabs>
          <w:tab w:val="left" w:pos="3564"/>
        </w:tabs>
        <w:ind w:firstLine="480" w:firstLineChars="200"/>
        <w:rPr>
          <w:rFonts w:cs="Times New Roman"/>
          <w:color w:val="0000FF"/>
          <w:szCs w:val="22"/>
        </w:rPr>
      </w:pPr>
      <w:bookmarkStart w:id="44" w:name="_Toc19920"/>
      <w:bookmarkStart w:id="45" w:name="_Toc31674"/>
      <w:r>
        <w:rPr>
          <w:rFonts w:cs="Times New Roman"/>
          <w:color w:val="0000FF"/>
          <w:szCs w:val="22"/>
        </w:rPr>
        <w:t>考虑本次工程樊通桥渠下涵工程、淠河总干渠上段工程等工程涉及水土保持生态红线、饮用水水源保护区、国家湿地公园等，施工布置的选址考虑减少临时道路长度的同时避免临时占用生态红线、饮用水水源保护区和湿地公园等生态敏感目标。</w:t>
      </w:r>
    </w:p>
    <w:p w14:paraId="4A2930C3">
      <w:pPr>
        <w:numPr>
          <w:ilvl w:val="1"/>
          <w:numId w:val="0"/>
        </w:numPr>
        <w:tabs>
          <w:tab w:val="left" w:pos="3564"/>
        </w:tabs>
        <w:ind w:firstLine="480" w:firstLineChars="200"/>
        <w:rPr>
          <w:rFonts w:cs="Times New Roman"/>
          <w:color w:val="0000FF"/>
          <w:szCs w:val="22"/>
        </w:rPr>
      </w:pPr>
      <w:r>
        <w:rPr>
          <w:rFonts w:cs="Times New Roman"/>
          <w:color w:val="0000FF"/>
          <w:szCs w:val="22"/>
        </w:rPr>
        <w:t>工程通过在施工交通及总体布置上充分利用区域现有条件，减少施工临时占地面积及对环境的扰动破坏，同时合理布置位置远离居民点、敏感区，并采取一定的生态、环境保护措施。总体来上，在落实以上措施和要求后</w:t>
      </w:r>
      <w:bookmarkEnd w:id="44"/>
      <w:bookmarkEnd w:id="45"/>
      <w:r>
        <w:rPr>
          <w:rFonts w:cs="Times New Roman"/>
          <w:color w:val="0000FF"/>
          <w:szCs w:val="22"/>
        </w:rPr>
        <w:t>，工程施工布置具有环境合理性。</w:t>
      </w:r>
    </w:p>
    <w:bookmarkEnd w:id="37"/>
    <w:bookmarkEnd w:id="38"/>
    <w:bookmarkEnd w:id="39"/>
    <w:p w14:paraId="27A70F79">
      <w:pPr>
        <w:pStyle w:val="5"/>
        <w:rPr>
          <w:rFonts w:cs="Times New Roman"/>
          <w:color w:val="0000FF"/>
        </w:rPr>
      </w:pPr>
      <w:r>
        <w:rPr>
          <w:rFonts w:cs="Times New Roman"/>
          <w:color w:val="0000FF"/>
        </w:rPr>
        <w:t>3.1.2.</w:t>
      </w:r>
      <w:r>
        <w:rPr>
          <w:rFonts w:hint="eastAsia" w:cs="Times New Roman"/>
          <w:color w:val="0000FF"/>
        </w:rPr>
        <w:t>3</w:t>
      </w:r>
      <w:r>
        <w:rPr>
          <w:rFonts w:cs="Times New Roman"/>
          <w:color w:val="0000FF"/>
        </w:rPr>
        <w:t xml:space="preserve"> </w:t>
      </w:r>
      <w:r>
        <w:rPr>
          <w:rFonts w:hint="eastAsia" w:cs="Times New Roman"/>
          <w:color w:val="0000FF"/>
        </w:rPr>
        <w:t>典型工程施工总布置环境合理性分析</w:t>
      </w:r>
    </w:p>
    <w:p w14:paraId="0895E3F2">
      <w:pPr>
        <w:ind w:firstLine="480" w:firstLineChars="200"/>
        <w:rPr>
          <w:color w:val="0000FF"/>
        </w:rPr>
      </w:pPr>
      <w:r>
        <w:rPr>
          <w:rFonts w:hint="eastAsia"/>
          <w:color w:val="0000FF"/>
        </w:rPr>
        <w:t>1、涉及生态保护红线的典型工程—聚星渡槽改造工程</w:t>
      </w:r>
    </w:p>
    <w:p w14:paraId="2D19F629">
      <w:pPr>
        <w:ind w:firstLine="480" w:firstLineChars="200"/>
        <w:rPr>
          <w:color w:val="0000FF"/>
        </w:rPr>
      </w:pPr>
      <w:r>
        <w:rPr>
          <w:rFonts w:hint="eastAsia"/>
          <w:color w:val="0000FF"/>
        </w:rPr>
        <w:t>聚星渡槽工程施工布置有钢木加工厂、仓库、临时堆土场、取弃土场，根据工程施工布置方案可知，施工布置不涉及生态红线、，临时堆土场位于内，为了减少临时堆土对风景名胜区内景观的影响，将临时堆土场有聚星社区北侧调整至聚星社区南侧，调整后的临时堆土场不位于风景名胜区内，且该区域周边200m范围内无景点分布。</w:t>
      </w:r>
    </w:p>
    <w:p w14:paraId="63C49116">
      <w:pPr>
        <w:ind w:firstLine="480" w:firstLineChars="200"/>
        <w:rPr>
          <w:color w:val="0000FF"/>
        </w:rPr>
      </w:pPr>
      <w:r>
        <w:rPr>
          <w:rFonts w:hint="eastAsia"/>
          <w:color w:val="0000FF"/>
        </w:rPr>
        <w:t>取弃土场距离最近的居民点约238m，200m范围内无敏感点，该选址满足要求；</w:t>
      </w:r>
    </w:p>
    <w:p w14:paraId="0F2F234F">
      <w:pPr>
        <w:ind w:firstLine="480" w:firstLineChars="200"/>
        <w:rPr>
          <w:color w:val="0000FF"/>
        </w:rPr>
      </w:pPr>
      <w:r>
        <w:rPr>
          <w:rFonts w:hint="eastAsia"/>
          <w:color w:val="0000FF"/>
        </w:rPr>
        <w:t>临时堆土场、施工营地距离最近的敏感点聚星社区约20m，通过调整设备布置和设置降噪措施后，该选址满足要求；</w:t>
      </w:r>
    </w:p>
    <w:p w14:paraId="0EF2592A">
      <w:pPr>
        <w:ind w:firstLine="480" w:firstLineChars="200"/>
        <w:rPr>
          <w:color w:val="0000FF"/>
        </w:rPr>
      </w:pPr>
      <w:r>
        <w:rPr>
          <w:rFonts w:hint="eastAsia"/>
          <w:color w:val="0000FF"/>
        </w:rPr>
        <w:t>综上，聚星渡槽施工临时布置合理。</w:t>
      </w:r>
    </w:p>
    <w:p w14:paraId="01265F57">
      <w:pPr>
        <w:jc w:val="center"/>
        <w:rPr>
          <w:color w:val="0000FF"/>
        </w:rPr>
      </w:pPr>
    </w:p>
    <w:p w14:paraId="399C3E73">
      <w:pPr>
        <w:rPr>
          <w:color w:val="0000FF"/>
        </w:rPr>
      </w:pPr>
      <w:r>
        <w:rPr>
          <w:rFonts w:hint="eastAsia"/>
          <w:color w:val="0000FF"/>
        </w:rPr>
        <w:t>图3-1-1  优化前—聚星渡槽施工总布置合理性分析示意图</w:t>
      </w:r>
    </w:p>
    <w:p w14:paraId="39AC4853">
      <w:pPr>
        <w:rPr>
          <w:color w:val="0000FF"/>
        </w:rPr>
      </w:pPr>
    </w:p>
    <w:p w14:paraId="78A06FE4">
      <w:pPr>
        <w:rPr>
          <w:color w:val="0000FF"/>
        </w:rPr>
      </w:pPr>
      <w:r>
        <w:rPr>
          <w:rFonts w:hint="eastAsia"/>
          <w:color w:val="0000FF"/>
        </w:rPr>
        <w:t>图3-1-2  优化后—聚星渡槽施工总布置合理性分析示意图</w:t>
      </w:r>
    </w:p>
    <w:p w14:paraId="55321E54">
      <w:pPr>
        <w:rPr>
          <w:color w:val="0000FF"/>
        </w:rPr>
      </w:pPr>
      <w:r>
        <w:rPr>
          <w:rFonts w:hint="eastAsia"/>
          <w:color w:val="0000FF"/>
        </w:rPr>
        <w:t>图3-1-3  聚星渡槽取弃土场合理性分析示意图</w:t>
      </w:r>
    </w:p>
    <w:p w14:paraId="1752322B">
      <w:pPr>
        <w:ind w:firstLine="480" w:firstLineChars="200"/>
        <w:rPr>
          <w:color w:val="0000FF"/>
        </w:rPr>
      </w:pPr>
      <w:r>
        <w:rPr>
          <w:rFonts w:hint="eastAsia"/>
          <w:color w:val="0000FF"/>
        </w:rPr>
        <w:t>1、涉及饮用水水源保护区的典型工程—樊通桥渠下涵工程</w:t>
      </w:r>
    </w:p>
    <w:p w14:paraId="69DAE4F9">
      <w:pPr>
        <w:jc w:val="center"/>
        <w:rPr>
          <w:color w:val="0000FF"/>
        </w:rPr>
      </w:pPr>
    </w:p>
    <w:p w14:paraId="13235175">
      <w:pPr>
        <w:rPr>
          <w:color w:val="0000FF"/>
        </w:rPr>
      </w:pPr>
      <w:r>
        <w:rPr>
          <w:rFonts w:hint="eastAsia"/>
          <w:color w:val="0000FF"/>
        </w:rPr>
        <w:t>图3-1-4  樊通桥渠下涵施工总布置合理性分析示意图</w:t>
      </w:r>
    </w:p>
    <w:p w14:paraId="6FBAF00B">
      <w:pPr>
        <w:ind w:firstLine="480" w:firstLineChars="200"/>
        <w:rPr>
          <w:color w:val="0000FF"/>
        </w:rPr>
      </w:pPr>
      <w:r>
        <w:rPr>
          <w:rFonts w:hint="eastAsia"/>
          <w:color w:val="0000FF"/>
        </w:rPr>
        <w:t>樊通桥渠下涵工程施工布置有钢木加工厂、仓库、临时堆土场，根据工程施工布置方案可知，施工布置不涉及生态红线、饮用水水源一级和二级保护区。取弃土场、临时堆土场、施工营地距离最近的居民点约210m，200m范围内无居民敏感点，该选址满足要求；</w:t>
      </w:r>
    </w:p>
    <w:p w14:paraId="7891064C">
      <w:pPr>
        <w:ind w:firstLine="480" w:firstLineChars="200"/>
        <w:rPr>
          <w:color w:val="0000FF"/>
        </w:rPr>
      </w:pPr>
      <w:r>
        <w:rPr>
          <w:rFonts w:hint="eastAsia"/>
          <w:color w:val="0000FF"/>
        </w:rPr>
        <w:t>综上，樊通桥渠下涵工程施工临时布置合理。</w:t>
      </w:r>
    </w:p>
    <w:p w14:paraId="1F779221">
      <w:pPr>
        <w:ind w:firstLine="480" w:firstLineChars="200"/>
        <w:rPr>
          <w:color w:val="0000FF"/>
        </w:rPr>
      </w:pPr>
      <w:r>
        <w:rPr>
          <w:rFonts w:hint="eastAsia"/>
          <w:color w:val="0000FF"/>
        </w:rPr>
        <w:t>3、涉及的典型工程—淠河总干渠上段工程</w:t>
      </w:r>
    </w:p>
    <w:p w14:paraId="3D872A56">
      <w:pPr>
        <w:ind w:firstLine="480" w:firstLineChars="200"/>
        <w:rPr>
          <w:color w:val="0000FF"/>
        </w:rPr>
      </w:pPr>
      <w:r>
        <w:rPr>
          <w:rFonts w:hint="eastAsia"/>
          <w:color w:val="0000FF"/>
        </w:rPr>
        <w:t>横排头进水闸出口翼墙加固、素砼挡墙建设工程施工布置仅设置仓库、办公生活区，仓库、办公生活区均依托</w:t>
      </w:r>
      <w:r>
        <w:rPr>
          <w:rFonts w:hint="eastAsia"/>
          <w:color w:val="0000FF"/>
          <w:lang w:eastAsia="zh-CN"/>
        </w:rPr>
        <w:t>朱集灌区</w:t>
      </w:r>
      <w:r>
        <w:rPr>
          <w:rFonts w:hint="eastAsia"/>
          <w:color w:val="0000FF"/>
        </w:rPr>
        <w:t>横排头管理处，不涉及、生态保护红线以及饮用水水源保护区。</w:t>
      </w:r>
    </w:p>
    <w:p w14:paraId="5D00CCAA">
      <w:pPr>
        <w:ind w:firstLine="480" w:firstLineChars="200"/>
        <w:rPr>
          <w:color w:val="0000FF"/>
        </w:rPr>
      </w:pPr>
      <w:r>
        <w:rPr>
          <w:rFonts w:hint="eastAsia"/>
          <w:color w:val="0000FF"/>
        </w:rPr>
        <w:t>依托的</w:t>
      </w:r>
      <w:r>
        <w:rPr>
          <w:rFonts w:hint="eastAsia"/>
          <w:color w:val="0000FF"/>
          <w:lang w:eastAsia="zh-CN"/>
        </w:rPr>
        <w:t>朱集灌区</w:t>
      </w:r>
      <w:r>
        <w:rPr>
          <w:rFonts w:hint="eastAsia"/>
          <w:color w:val="0000FF"/>
        </w:rPr>
        <w:t>横排头管理处200m范围内无居民敏感点，该选址满足要求；</w:t>
      </w:r>
    </w:p>
    <w:p w14:paraId="608FF690">
      <w:pPr>
        <w:jc w:val="center"/>
        <w:rPr>
          <w:color w:val="0000FF"/>
        </w:rPr>
      </w:pPr>
    </w:p>
    <w:p w14:paraId="35E8D5E4">
      <w:pPr>
        <w:rPr>
          <w:color w:val="0000FF"/>
        </w:rPr>
      </w:pPr>
      <w:r>
        <w:rPr>
          <w:rFonts w:hint="eastAsia"/>
          <w:color w:val="0000FF"/>
        </w:rPr>
        <w:t>图3-1-5  淠河总干渠上段-横排头进水闸出口翼墙加固工程施工总布置合理性分析示意图</w:t>
      </w:r>
    </w:p>
    <w:p w14:paraId="548EF70B">
      <w:pPr>
        <w:pStyle w:val="4"/>
        <w:rPr>
          <w:rFonts w:cs="Times New Roman"/>
          <w:color w:val="0000FF"/>
        </w:rPr>
      </w:pPr>
      <w:r>
        <w:rPr>
          <w:rFonts w:cs="Times New Roman"/>
          <w:color w:val="0000FF"/>
        </w:rPr>
        <w:t>3.1.3 施工工艺环境合理性分析</w:t>
      </w:r>
    </w:p>
    <w:p w14:paraId="27BE6625">
      <w:pPr>
        <w:ind w:firstLine="480"/>
        <w:rPr>
          <w:rFonts w:cs="Times New Roman"/>
          <w:color w:val="0000FF"/>
        </w:rPr>
      </w:pPr>
      <w:r>
        <w:rPr>
          <w:rFonts w:cs="Times New Roman"/>
          <w:color w:val="0000FF"/>
        </w:rPr>
        <w:t>渠道工程主要包括输水渠道填方段堤防填筑、渠道护砌、渠道防渗、渠道清淤、切岭段土方开挖等。工程施工均在渠道无水的枯水时段施工。</w:t>
      </w:r>
    </w:p>
    <w:p w14:paraId="0E83C933">
      <w:pPr>
        <w:ind w:firstLine="480"/>
        <w:rPr>
          <w:rFonts w:cs="Times New Roman"/>
          <w:color w:val="0000FF"/>
        </w:rPr>
      </w:pPr>
      <w:r>
        <w:rPr>
          <w:rFonts w:cs="Times New Roman"/>
          <w:color w:val="0000FF"/>
        </w:rPr>
        <w:t>渠道土方开挖主要为渠道清淤，枯水期施工，均为干地施工，渠道断面扩挖，以及堤身加培削坡与清基等。土方开挖采用机械与人工相结合，其中堤防清基及用于回填的土料表层剥离采用反铲挖掘机或推土机开挖，其余土方主要采用反铲挖掘机开挖，对于挡墙建基面保护层和机械难以施工的沟槽等部位采用人工开挖。挖方中用于后期回填的土料就近堆放，直接用于附近堤防填筑的土料采用推土机或自卸汽车运输至填筑部位，弃土采用自卸汽车或推土机运输至指定弃土区。</w:t>
      </w:r>
    </w:p>
    <w:p w14:paraId="1CB84CAA">
      <w:pPr>
        <w:ind w:firstLine="480"/>
        <w:rPr>
          <w:rFonts w:cs="Times New Roman"/>
          <w:color w:val="0000FF"/>
        </w:rPr>
      </w:pPr>
      <w:r>
        <w:rPr>
          <w:rFonts w:cs="Times New Roman"/>
          <w:color w:val="0000FF"/>
        </w:rPr>
        <w:t>对于开挖量较大的建筑物，基坑开挖以机械施工为主，人工开挖为辅，开挖量较小的建筑物，基坑开挖主要采用人工进行，挖方除不符合填筑质量的就近弃土外，其余用于围堰填筑或就近堆放用于基坑回填。</w:t>
      </w:r>
    </w:p>
    <w:p w14:paraId="4DA56C7F">
      <w:pPr>
        <w:ind w:firstLine="480"/>
        <w:rPr>
          <w:rFonts w:cs="Times New Roman"/>
          <w:color w:val="0000FF"/>
        </w:rPr>
      </w:pPr>
      <w:r>
        <w:rPr>
          <w:rFonts w:cs="Times New Roman"/>
          <w:color w:val="0000FF"/>
        </w:rPr>
        <w:t>建筑物基坑回填土方除利用就近堆放的土方外，不够部分选用人工或机械从建筑物附近征地取土。填筑时，靠近建筑物、工作面狭窄或填筑量不大的部位，土料采用人工配蛙式打夯机夯实，其余采用74kw履带拖拉机压实。</w:t>
      </w:r>
    </w:p>
    <w:p w14:paraId="6B24EFB0">
      <w:pPr>
        <w:ind w:firstLine="480"/>
        <w:rPr>
          <w:rFonts w:cs="Times New Roman"/>
          <w:color w:val="0000FF"/>
        </w:rPr>
      </w:pPr>
      <w:r>
        <w:rPr>
          <w:rFonts w:cs="Times New Roman"/>
          <w:color w:val="0000FF"/>
        </w:rPr>
        <w:t>由于本项目渠道清淤工程施工时间为非灌溉期施工，采用关闭上下游闸门或设置施工围堰方法确保干地施工，渠道宽度较窄，采用人工开挖配合挖掘机挖掘，施工时间短，随着施工结束，打开上下游闸门或拆除施工围堰后，受沉降作用影响，受影响区域水质会迅速恢复到现状水平，水生生境也会逐渐恢复。</w:t>
      </w:r>
    </w:p>
    <w:p w14:paraId="2877D075">
      <w:pPr>
        <w:rPr>
          <w:rFonts w:cs="Times New Roman"/>
          <w:color w:val="0000FF"/>
          <w:szCs w:val="22"/>
        </w:rPr>
      </w:pPr>
      <w:r>
        <w:rPr>
          <w:rFonts w:cs="Times New Roman"/>
          <w:color w:val="0000FF"/>
          <w:szCs w:val="22"/>
        </w:rPr>
        <w:t>淠河总干渠兼有向合肥市、六安市供水的功能，淠河总干渠上段工程横排头进水闸消力池翼墙整修导流时段选取在11月～次年2月，拟在总干渠非灌溉期的供水停水间歇内，半幅围封筑袋装土围堰围挡维修部位，突击完成水下部位。8座放水涵、1进水闸拆除重建导流时段选取在第一年10月～第二年3月，在取水头部围封袋装土围堰挡水，保证合肥市</w:t>
      </w:r>
      <w:r>
        <w:rPr>
          <w:rFonts w:hint="eastAsia" w:cs="Times New Roman"/>
          <w:color w:val="0000FF"/>
          <w:szCs w:val="22"/>
        </w:rPr>
        <w:t>、六安市</w:t>
      </w:r>
      <w:r>
        <w:rPr>
          <w:rFonts w:cs="Times New Roman"/>
          <w:color w:val="0000FF"/>
          <w:szCs w:val="22"/>
        </w:rPr>
        <w:t>供水需求。</w:t>
      </w:r>
    </w:p>
    <w:p w14:paraId="05AB7494">
      <w:pPr>
        <w:rPr>
          <w:rFonts w:cs="Times New Roman"/>
          <w:color w:val="0000FF"/>
          <w:szCs w:val="22"/>
        </w:rPr>
      </w:pPr>
      <w:r>
        <w:rPr>
          <w:rFonts w:cs="Times New Roman"/>
          <w:color w:val="0000FF"/>
          <w:szCs w:val="22"/>
        </w:rPr>
        <w:t>舒庐干渠有向果园山水库补水的需求（果园山水库承担着向庐江县供水的任务），果园山节制闸下游无供水任务。汤池泄洪闸施工期来水可通过上下游围堰挡水，舒庐干渠为导流渠道；金冲泄洪闸施工期来水可通过上下游围堰挡水，舒庐干渠为导流渠道；果园水库进水闸可通过上下游围堰挡水，放水涵及水库2#泄洪闸作为其导流工程；果园山上泄洪闸及果园山节制闸可通过上下游围堰挡水，错开施工，互相作为各自的导流工程；果园山节制闸下游干渠区间来水可由放水涵闸进行导流，保证庐江县供水需求。</w:t>
      </w:r>
    </w:p>
    <w:p w14:paraId="2C8A081B">
      <w:pPr>
        <w:ind w:firstLine="480"/>
        <w:rPr>
          <w:rFonts w:cs="Times New Roman"/>
          <w:color w:val="0000FF"/>
        </w:rPr>
      </w:pPr>
      <w:r>
        <w:rPr>
          <w:rFonts w:cs="Times New Roman"/>
          <w:color w:val="0000FF"/>
        </w:rPr>
        <w:t>结合本工程的实际情况及不同施工方式对环境影响程度分析，工程在渠道段采用干法施工方式是合理的。</w:t>
      </w:r>
    </w:p>
    <w:p w14:paraId="3C2DF3D5">
      <w:pPr>
        <w:pStyle w:val="3"/>
        <w:rPr>
          <w:rFonts w:cs="Times New Roman"/>
          <w:color w:val="0000FF"/>
        </w:rPr>
      </w:pPr>
      <w:bookmarkStart w:id="46" w:name="_Toc6692"/>
      <w:r>
        <w:rPr>
          <w:rFonts w:cs="Times New Roman"/>
          <w:color w:val="0000FF"/>
        </w:rPr>
        <w:t>3.2 施工期工程分析</w:t>
      </w:r>
      <w:bookmarkEnd w:id="46"/>
    </w:p>
    <w:p w14:paraId="11BAAB91">
      <w:pPr>
        <w:ind w:firstLine="480"/>
        <w:rPr>
          <w:rFonts w:cs="Times New Roman"/>
          <w:color w:val="0000FF"/>
        </w:rPr>
      </w:pPr>
      <w:r>
        <w:rPr>
          <w:rFonts w:hint="eastAsia" w:cs="Times New Roman"/>
          <w:color w:val="0000FF"/>
          <w:lang w:eastAsia="zh-CN"/>
        </w:rPr>
        <w:t>淮南市谢家集区朱集中型灌区续建配套与节水改造项目</w:t>
      </w:r>
      <w:r>
        <w:rPr>
          <w:rFonts w:cs="Times New Roman"/>
          <w:color w:val="0000FF"/>
        </w:rPr>
        <w:t>三期项目建成后，在其发挥效益期间，本身并不排放污染物，不会对环境产生不利影响。对环境的影响主要发生在工程建设期间，施工活动对环境产生的扰动。因此本工程对环境的不利影响主要发生在施工期。运行期对环境的影响仅仅只是新增管理人员产生的生活污水，本项目不新增人员，对环境影响较小。</w:t>
      </w:r>
    </w:p>
    <w:p w14:paraId="225B5603">
      <w:pPr>
        <w:ind w:firstLine="480"/>
        <w:rPr>
          <w:rFonts w:cs="Times New Roman"/>
          <w:color w:val="0000FF"/>
        </w:rPr>
      </w:pPr>
      <w:r>
        <w:rPr>
          <w:rFonts w:cs="Times New Roman"/>
          <w:color w:val="0000FF"/>
        </w:rPr>
        <w:t>本次工程在29条干、支渠沿线分布，施工活动分期分段进行，其主要影响范围为防汛道路沿线、河道沿线以及渠系建筑物工程局部区域，工程施工扰动区域主要为渠道边滩，影响范围呈狭窄的线型分布，具有影响区域有限、影响分散、时间短的特点。</w:t>
      </w:r>
    </w:p>
    <w:p w14:paraId="66E2D233">
      <w:pPr>
        <w:pStyle w:val="4"/>
        <w:rPr>
          <w:rFonts w:cs="Times New Roman"/>
          <w:color w:val="0000FF"/>
        </w:rPr>
      </w:pPr>
      <w:r>
        <w:rPr>
          <w:rFonts w:cs="Times New Roman"/>
          <w:color w:val="0000FF"/>
        </w:rPr>
        <w:t>3.2.1施工工艺</w:t>
      </w:r>
    </w:p>
    <w:p w14:paraId="56C33570">
      <w:pPr>
        <w:pStyle w:val="5"/>
        <w:rPr>
          <w:rFonts w:cs="Times New Roman"/>
          <w:color w:val="0000FF"/>
        </w:rPr>
      </w:pPr>
      <w:r>
        <w:rPr>
          <w:rFonts w:cs="Times New Roman"/>
          <w:color w:val="0000FF"/>
        </w:rPr>
        <w:t>3.2.1.</w:t>
      </w:r>
      <w:r>
        <w:rPr>
          <w:rFonts w:hint="eastAsia" w:cs="Times New Roman"/>
          <w:color w:val="0000FF"/>
        </w:rPr>
        <w:t>1</w:t>
      </w:r>
      <w:r>
        <w:rPr>
          <w:rFonts w:cs="Times New Roman"/>
          <w:color w:val="0000FF"/>
        </w:rPr>
        <w:t xml:space="preserve"> 渠系建筑物工程</w:t>
      </w:r>
    </w:p>
    <w:p w14:paraId="5AC56D41">
      <w:pPr>
        <w:pStyle w:val="6"/>
        <w:ind w:firstLine="482" w:firstLineChars="200"/>
        <w:rPr>
          <w:b/>
          <w:bCs/>
          <w:color w:val="0000FF"/>
        </w:rPr>
      </w:pPr>
      <w:r>
        <w:rPr>
          <w:rFonts w:hint="eastAsia"/>
          <w:b/>
          <w:bCs/>
          <w:color w:val="0000FF"/>
        </w:rPr>
        <w:t>一、涉及饮用湿地公园典型工程①—横排头进水闸出口翼墙加固</w:t>
      </w:r>
    </w:p>
    <w:p w14:paraId="4F94EF67">
      <w:pPr>
        <w:ind w:firstLine="480" w:firstLineChars="200"/>
        <w:rPr>
          <w:rFonts w:cs="Times New Roman"/>
          <w:color w:val="0000FF"/>
        </w:rPr>
      </w:pPr>
      <w:r>
        <w:rPr>
          <w:rFonts w:hint="eastAsia" w:cs="Times New Roman"/>
          <w:color w:val="0000FF"/>
        </w:rPr>
        <w:t>1、导流施工</w:t>
      </w:r>
    </w:p>
    <w:p w14:paraId="6A734BD5">
      <w:pPr>
        <w:ind w:firstLine="480" w:firstLineChars="200"/>
        <w:rPr>
          <w:rFonts w:cs="Times New Roman"/>
          <w:color w:val="0000FF"/>
        </w:rPr>
      </w:pPr>
      <w:r>
        <w:rPr>
          <w:rFonts w:hint="eastAsia" w:cs="Times New Roman"/>
          <w:color w:val="0000FF"/>
        </w:rPr>
        <w:t>横排头进水闸出口翼墙加固涉及水下部分施工且淠河总干渠担任着向合肥市、六安市供水的任务，施工期需要采取导流措施。</w:t>
      </w:r>
    </w:p>
    <w:p w14:paraId="34A5631D">
      <w:pPr>
        <w:ind w:firstLine="480" w:firstLineChars="200"/>
        <w:rPr>
          <w:rFonts w:cs="Times New Roman"/>
          <w:color w:val="0000FF"/>
        </w:rPr>
      </w:pPr>
      <w:r>
        <w:rPr>
          <w:rFonts w:hint="eastAsia" w:cs="Times New Roman"/>
          <w:color w:val="0000FF"/>
        </w:rPr>
        <w:t>工程水下部分施工安排在非灌溉期内进行，导流时段选取在10月～次年2月，拟在淠河总干渠非灌溉期的停水间歇内，关闭横排头进水闸，渠道无水状态下采用半幅围封筑袋装土围堰围挡维修部位，突击完成水下部位。</w:t>
      </w:r>
    </w:p>
    <w:p w14:paraId="615CEFB9">
      <w:pPr>
        <w:ind w:firstLine="480" w:firstLineChars="200"/>
        <w:rPr>
          <w:rFonts w:cs="Times New Roman"/>
          <w:color w:val="0000FF"/>
        </w:rPr>
      </w:pPr>
      <w:r>
        <w:rPr>
          <w:rFonts w:hint="eastAsia" w:cs="Times New Roman"/>
          <w:color w:val="0000FF"/>
        </w:rPr>
        <w:t>袋装土围堰顶宽取2m，围堰高度4.4m，袋装土围堰填筑从土料场取土，人工装袋后辅以1m³挖掘机进占抛填。</w:t>
      </w:r>
    </w:p>
    <w:p w14:paraId="167D2497">
      <w:pPr>
        <w:ind w:firstLine="480" w:firstLineChars="200"/>
        <w:rPr>
          <w:color w:val="0000FF"/>
        </w:rPr>
      </w:pPr>
      <w:r>
        <w:rPr>
          <w:rFonts w:hint="eastAsia"/>
          <w:color w:val="0000FF"/>
        </w:rPr>
        <w:t>围堰填筑过程前关闭横排头进水闸，渠道无水，工程与淠和国家湿地公园无水力联系。</w:t>
      </w:r>
    </w:p>
    <w:p w14:paraId="1CDE598E">
      <w:pPr>
        <w:ind w:firstLine="480" w:firstLineChars="200"/>
        <w:rPr>
          <w:color w:val="0000FF"/>
        </w:rPr>
      </w:pPr>
      <w:r>
        <w:rPr>
          <w:rFonts w:hint="eastAsia"/>
          <w:color w:val="0000FF"/>
        </w:rPr>
        <w:t>围堰填筑后通水对围堰冲刷导致水中悬浮物浓度升高。</w:t>
      </w:r>
    </w:p>
    <w:p w14:paraId="677E6AF7">
      <w:pPr>
        <w:ind w:firstLine="480" w:firstLineChars="200"/>
        <w:rPr>
          <w:rFonts w:cs="Times New Roman"/>
          <w:color w:val="0000FF"/>
        </w:rPr>
      </w:pPr>
      <w:r>
        <w:rPr>
          <w:rFonts w:hint="eastAsia"/>
          <w:color w:val="0000FF"/>
        </w:rPr>
        <w:t>围堰拆除的弃土经挖掘机挖出后转运至取弃土场。</w:t>
      </w:r>
    </w:p>
    <w:p w14:paraId="45CB709E">
      <w:pPr>
        <w:ind w:firstLine="480" w:firstLineChars="200"/>
        <w:rPr>
          <w:rFonts w:cs="Times New Roman"/>
          <w:color w:val="0000FF"/>
        </w:rPr>
      </w:pPr>
      <w:r>
        <w:rPr>
          <w:rFonts w:hint="eastAsia" w:cs="Times New Roman"/>
          <w:color w:val="0000FF"/>
        </w:rPr>
        <w:t>2、工程施工</w:t>
      </w:r>
    </w:p>
    <w:p w14:paraId="5F5B272C">
      <w:pPr>
        <w:ind w:firstLine="480" w:firstLineChars="200"/>
        <w:rPr>
          <w:rFonts w:cs="Times New Roman"/>
          <w:color w:val="0000FF"/>
        </w:rPr>
      </w:pPr>
      <w:r>
        <w:rPr>
          <w:rFonts w:hint="eastAsia" w:cs="Times New Roman"/>
          <w:color w:val="0000FF"/>
        </w:rPr>
        <w:t>横排头进水闸出口翼墙加固工程施工安排在11月～次年2月，根据现状调查，淠河湿地公园秋季湿地公园内所调查到的重要鸟类较少，调整施工时间，高噪声施工调整至10~12月内突击完成。</w:t>
      </w:r>
    </w:p>
    <w:p w14:paraId="5DDF1A2D">
      <w:pPr>
        <w:ind w:firstLine="480" w:firstLineChars="200"/>
        <w:rPr>
          <w:rFonts w:cs="Times New Roman"/>
          <w:color w:val="0000FF"/>
        </w:rPr>
      </w:pPr>
      <w:r>
        <w:rPr>
          <w:rFonts w:hint="eastAsia" w:cs="Times New Roman"/>
          <w:color w:val="0000FF"/>
        </w:rPr>
        <w:t>围堰填筑后，工程施工区域保持无水状态，施工区域与淠河总干渠、均无水力联系。</w:t>
      </w:r>
    </w:p>
    <w:p w14:paraId="701A53BF">
      <w:pPr>
        <w:ind w:firstLine="480" w:firstLineChars="200"/>
        <w:rPr>
          <w:rFonts w:cs="Times New Roman"/>
          <w:color w:val="0000FF"/>
        </w:rPr>
      </w:pPr>
      <w:r>
        <w:rPr>
          <w:rFonts w:hint="eastAsia" w:cs="Times New Roman"/>
          <w:color w:val="0000FF"/>
        </w:rPr>
        <w:t>具体施工工艺如下：</w:t>
      </w:r>
    </w:p>
    <w:p w14:paraId="675497F0">
      <w:pPr>
        <w:ind w:firstLine="480" w:firstLineChars="200"/>
        <w:rPr>
          <w:rFonts w:cs="Times New Roman"/>
          <w:color w:val="0000FF"/>
        </w:rPr>
      </w:pPr>
      <w:r>
        <w:rPr>
          <w:rFonts w:hint="eastAsia" w:cs="Times New Roman"/>
          <w:color w:val="0000FF"/>
        </w:rPr>
        <w:t>①伸缩缝渗漏处理</w:t>
      </w:r>
    </w:p>
    <w:p w14:paraId="7C6EDFF8">
      <w:pPr>
        <w:ind w:firstLine="480" w:firstLineChars="200"/>
        <w:rPr>
          <w:rFonts w:cs="Times New Roman"/>
          <w:color w:val="0000FF"/>
        </w:rPr>
      </w:pPr>
      <w:r>
        <w:rPr>
          <w:rFonts w:hint="eastAsia" w:cs="Times New Roman"/>
          <w:color w:val="0000FF"/>
        </w:rPr>
        <w:t>将伸缩缝内原有止水填料全部清除干净，深度至原有橡胶止水处，缝中两侧结构表面进行清理，使之规整、平顺，在伸缩缝上部 2～3cm 范围内、自下而上采用丙乳砂浆封堵密实，确保封堵严实，并在伸缩缝上合理埋设灌浆管，采用水溶性聚氨酯灌浆材料进行灌浆，自下而上进行，在规定压力下并浆10～20min，直到灌浆结束。</w:t>
      </w:r>
    </w:p>
    <w:p w14:paraId="48B03796">
      <w:pPr>
        <w:ind w:firstLine="480" w:firstLineChars="200"/>
        <w:rPr>
          <w:rFonts w:cs="Times New Roman"/>
          <w:color w:val="0000FF"/>
        </w:rPr>
      </w:pPr>
      <w:r>
        <w:rPr>
          <w:rFonts w:hint="eastAsia" w:cs="Times New Roman"/>
          <w:color w:val="0000FF"/>
        </w:rPr>
        <w:t>灌浆结束后，待灌浆材料固化后，将丙乳砂浆封闭体拆除，并将结合面清理干净。</w:t>
      </w:r>
    </w:p>
    <w:p w14:paraId="342709EC">
      <w:pPr>
        <w:ind w:firstLine="480" w:firstLineChars="200"/>
        <w:rPr>
          <w:rFonts w:cs="Times New Roman"/>
          <w:color w:val="0000FF"/>
        </w:rPr>
      </w:pPr>
      <w:r>
        <w:rPr>
          <w:rFonts w:hint="eastAsia" w:cs="Times New Roman"/>
          <w:color w:val="0000FF"/>
        </w:rPr>
        <w:t>采用聚氨酯密封胶进行封口</w:t>
      </w:r>
    </w:p>
    <w:p w14:paraId="0FB8E373">
      <w:pPr>
        <w:ind w:firstLine="480" w:firstLineChars="200"/>
        <w:rPr>
          <w:rFonts w:cs="Times New Roman"/>
          <w:color w:val="0000FF"/>
        </w:rPr>
      </w:pPr>
      <w:r>
        <w:rPr>
          <w:rFonts w:hint="eastAsia" w:cs="Times New Roman"/>
          <w:color w:val="0000FF"/>
        </w:rPr>
        <w:t>②翼墙表面清理</w:t>
      </w:r>
    </w:p>
    <w:p w14:paraId="6F7C712F">
      <w:pPr>
        <w:ind w:firstLine="480" w:firstLineChars="200"/>
        <w:rPr>
          <w:rFonts w:cs="Times New Roman"/>
          <w:color w:val="0000FF"/>
        </w:rPr>
      </w:pPr>
      <w:r>
        <w:rPr>
          <w:rFonts w:hint="eastAsia" w:cs="Times New Roman"/>
          <w:color w:val="0000FF"/>
        </w:rPr>
        <w:t>翼墙表面素砼护面存在裂缝、老化脱落、剥蚀等问题，需全部铲除浆砌石墙体表面残留素砼、垃圾等，先用钢丝刷刷洗，再采用高压水枪冲洗干净。</w:t>
      </w:r>
    </w:p>
    <w:p w14:paraId="63CFC5F6">
      <w:pPr>
        <w:ind w:firstLine="480" w:firstLineChars="200"/>
        <w:rPr>
          <w:rFonts w:cs="Times New Roman"/>
          <w:color w:val="0000FF"/>
        </w:rPr>
      </w:pPr>
      <w:r>
        <w:rPr>
          <w:rFonts w:hint="eastAsia" w:cs="Times New Roman"/>
          <w:color w:val="0000FF"/>
        </w:rPr>
        <w:t>将现状浆砌石墙体砂浆勾缝清除，采用M10水泥砂浆重新勾缝，在块石相交处预埋φ12锚筋，浆砌石墙体表面凿毛，冲洗干净，横排头进水闸出口翼墙加固完成。</w:t>
      </w:r>
    </w:p>
    <w:p w14:paraId="24C4962B">
      <w:pPr>
        <w:pStyle w:val="6"/>
        <w:ind w:firstLine="482" w:firstLineChars="200"/>
        <w:rPr>
          <w:b/>
          <w:bCs/>
          <w:color w:val="0000FF"/>
        </w:rPr>
      </w:pPr>
      <w:r>
        <w:rPr>
          <w:rFonts w:hint="eastAsia"/>
          <w:b/>
          <w:bCs/>
          <w:color w:val="0000FF"/>
        </w:rPr>
        <w:t>二</w:t>
      </w:r>
      <w:r>
        <w:rPr>
          <w:b/>
          <w:bCs/>
          <w:color w:val="0000FF"/>
        </w:rPr>
        <w:t>、</w:t>
      </w:r>
      <w:r>
        <w:rPr>
          <w:rFonts w:hint="eastAsia"/>
          <w:b/>
          <w:bCs/>
          <w:color w:val="0000FF"/>
        </w:rPr>
        <w:t>涉及饮用水水源保护区典型工程②—灯笼店放水涵拆除重建工程</w:t>
      </w:r>
    </w:p>
    <w:p w14:paraId="388C02C5">
      <w:pPr>
        <w:ind w:firstLine="480" w:firstLineChars="200"/>
        <w:rPr>
          <w:rFonts w:cs="Times New Roman"/>
          <w:color w:val="0000FF"/>
        </w:rPr>
      </w:pPr>
      <w:r>
        <w:rPr>
          <w:rFonts w:hint="eastAsia" w:cs="Times New Roman"/>
          <w:color w:val="0000FF"/>
        </w:rPr>
        <w:t>1、导流施工</w:t>
      </w:r>
    </w:p>
    <w:p w14:paraId="069613B1">
      <w:pPr>
        <w:ind w:firstLine="480" w:firstLineChars="200"/>
        <w:rPr>
          <w:rFonts w:cs="Times New Roman"/>
          <w:color w:val="0000FF"/>
        </w:rPr>
      </w:pPr>
      <w:r>
        <w:rPr>
          <w:rFonts w:hint="eastAsia" w:cs="Times New Roman"/>
          <w:color w:val="0000FF"/>
        </w:rPr>
        <w:t>灯笼店放水涵拆除重建工程涉及水下部分施工且淠河总干渠担任着向合肥市、六安市供水的任务，施工期需要采取导流措施。</w:t>
      </w:r>
    </w:p>
    <w:p w14:paraId="4C1042D3">
      <w:pPr>
        <w:ind w:firstLine="480" w:firstLineChars="200"/>
        <w:rPr>
          <w:rFonts w:cs="Times New Roman"/>
          <w:color w:val="0000FF"/>
        </w:rPr>
      </w:pPr>
      <w:r>
        <w:rPr>
          <w:rFonts w:hint="eastAsia" w:cs="Times New Roman"/>
          <w:color w:val="0000FF"/>
        </w:rPr>
        <w:t>工程水下部分施工安排在非灌溉期内进行，导流时段选取在10月～次年3月，拟在淠河总干渠非灌溉期的停水间歇内，关闭横排头进水闸，渠道无水状态下在取水头部围封袋装土围堰挡水。</w:t>
      </w:r>
    </w:p>
    <w:p w14:paraId="4DDC19AA">
      <w:pPr>
        <w:ind w:firstLine="480" w:firstLineChars="200"/>
        <w:rPr>
          <w:rFonts w:cs="Times New Roman"/>
          <w:color w:val="0000FF"/>
        </w:rPr>
      </w:pPr>
      <w:r>
        <w:rPr>
          <w:rFonts w:hint="eastAsia"/>
          <w:color w:val="0000FF"/>
        </w:rPr>
        <w:t>围堰填筑过程渠道无水，填筑后通水对围堰冲刷导致水中悬浮物浓度升高；围堰拆除的弃土经挖掘机挖出后转运至取弃土场。</w:t>
      </w:r>
    </w:p>
    <w:p w14:paraId="5FABE08B">
      <w:pPr>
        <w:ind w:firstLine="480" w:firstLineChars="200"/>
        <w:rPr>
          <w:rFonts w:cs="Times New Roman"/>
          <w:color w:val="0000FF"/>
        </w:rPr>
      </w:pPr>
      <w:r>
        <w:rPr>
          <w:rFonts w:hint="eastAsia" w:cs="Times New Roman"/>
          <w:color w:val="0000FF"/>
        </w:rPr>
        <w:t>2、工程施工</w:t>
      </w:r>
    </w:p>
    <w:p w14:paraId="47C770C6">
      <w:pPr>
        <w:ind w:firstLine="480" w:firstLineChars="200"/>
        <w:rPr>
          <w:rFonts w:cs="Times New Roman"/>
          <w:color w:val="0000FF"/>
        </w:rPr>
      </w:pPr>
      <w:r>
        <w:rPr>
          <w:rFonts w:hint="eastAsia" w:cs="Times New Roman"/>
          <w:color w:val="0000FF"/>
        </w:rPr>
        <w:t>在灯笼店涵取水头部设置围堰挡水后，渠水头部、涵身以及下游灌溉渠道均无水，工程施工与淠河总干渠饮用水水源无水力联系。</w:t>
      </w:r>
    </w:p>
    <w:p w14:paraId="02822CE6">
      <w:pPr>
        <w:ind w:firstLine="480" w:firstLineChars="200"/>
        <w:rPr>
          <w:rFonts w:cs="Times New Roman"/>
          <w:color w:val="0000FF"/>
        </w:rPr>
      </w:pPr>
      <w:r>
        <w:rPr>
          <w:rFonts w:hint="eastAsia" w:cs="Times New Roman"/>
          <w:color w:val="0000FF"/>
        </w:rPr>
        <w:t>工程施工工艺与常规的渠系建筑物工程一致，详见本小节第7条。</w:t>
      </w:r>
    </w:p>
    <w:p w14:paraId="65A57827">
      <w:pPr>
        <w:pStyle w:val="6"/>
        <w:ind w:firstLine="482" w:firstLineChars="200"/>
        <w:rPr>
          <w:b/>
          <w:bCs/>
          <w:color w:val="0000FF"/>
        </w:rPr>
      </w:pPr>
      <w:r>
        <w:rPr>
          <w:rFonts w:hint="eastAsia"/>
          <w:b/>
          <w:bCs/>
          <w:color w:val="0000FF"/>
        </w:rPr>
        <w:t>三</w:t>
      </w:r>
      <w:r>
        <w:rPr>
          <w:b/>
          <w:bCs/>
          <w:color w:val="0000FF"/>
        </w:rPr>
        <w:t>、</w:t>
      </w:r>
      <w:r>
        <w:rPr>
          <w:rFonts w:hint="eastAsia"/>
          <w:b/>
          <w:bCs/>
          <w:color w:val="0000FF"/>
        </w:rPr>
        <w:t>涉及饮用水水源保护区典型工程③—樊通桥渠下涵加固工程</w:t>
      </w:r>
    </w:p>
    <w:p w14:paraId="00DE20BB">
      <w:pPr>
        <w:ind w:firstLine="480" w:firstLineChars="200"/>
        <w:rPr>
          <w:rFonts w:cs="Times New Roman"/>
          <w:color w:val="0000FF"/>
        </w:rPr>
      </w:pPr>
      <w:r>
        <w:rPr>
          <w:rFonts w:hint="eastAsia" w:cs="Times New Roman"/>
          <w:color w:val="0000FF"/>
        </w:rPr>
        <w:t>1、导流施工</w:t>
      </w:r>
    </w:p>
    <w:p w14:paraId="31129739">
      <w:pPr>
        <w:ind w:firstLine="480" w:firstLineChars="200"/>
        <w:rPr>
          <w:rFonts w:cs="Times New Roman"/>
          <w:color w:val="0000FF"/>
        </w:rPr>
      </w:pPr>
      <w:r>
        <w:rPr>
          <w:rFonts w:hint="eastAsia" w:cs="Times New Roman"/>
          <w:color w:val="0000FF"/>
        </w:rPr>
        <w:t>导流时段选取在12月～次年2月。本次渠下涵加固拟采用“河道调蓄+明管闸阀控制”的方式导流。</w:t>
      </w:r>
    </w:p>
    <w:p w14:paraId="0F6D0709">
      <w:pPr>
        <w:ind w:firstLine="480" w:firstLineChars="200"/>
        <w:rPr>
          <w:color w:val="0000FF"/>
        </w:rPr>
      </w:pPr>
      <w:r>
        <w:rPr>
          <w:rFonts w:hint="eastAsia"/>
          <w:color w:val="0000FF"/>
        </w:rPr>
        <w:t>对于枯水期平常期间，填筑上下游横向围堰拦断河道，施工期间河道少量汇水在河道内调蓄，必要时打开明管阀门导流至陡步河下游。如突遭暴雨，则打开上下游围堰，利用渠下涵泄水。待洪水过程结束后，复填上下游围堰挡水。利用渠下涵泄水前，应对基坑预充水，并对围堰及基坑过水部分采取临时防护措施。</w:t>
      </w:r>
    </w:p>
    <w:p w14:paraId="098D4BA4">
      <w:pPr>
        <w:ind w:firstLine="480" w:firstLineChars="200"/>
        <w:rPr>
          <w:color w:val="0000FF"/>
        </w:rPr>
      </w:pPr>
      <w:r>
        <w:rPr>
          <w:rFonts w:hint="eastAsia"/>
          <w:color w:val="0000FF"/>
        </w:rPr>
        <w:t>围堰填筑前先清除河底淤泥，以保证围堰嵌入河岸，围堰填筑土料需料场取土，围堰由自卸汽车配合推土机进占填筑，水上方部分予以压实。围堰拆除采用挖掘机后退开挖，局部深槽处采用长臂挖掘机开挖，拆除后的土方由自卸汽车运至弃土场弃土。</w:t>
      </w:r>
    </w:p>
    <w:p w14:paraId="70A3D465">
      <w:pPr>
        <w:ind w:firstLine="480" w:firstLineChars="200"/>
        <w:rPr>
          <w:color w:val="0000FF"/>
        </w:rPr>
      </w:pPr>
      <w:r>
        <w:rPr>
          <w:rFonts w:hint="eastAsia"/>
          <w:color w:val="0000FF"/>
        </w:rPr>
        <w:t>工程枯水期施工，底泥处于干态，经挖掘机挖出后转运至取弃土场；围堰填筑过程渠道无水，填筑后通水对围堰冲刷导致水中悬浮物浓度升高；围堰拆除的弃土经挖掘机挖出后转运至取弃土场。</w:t>
      </w:r>
    </w:p>
    <w:p w14:paraId="0C9B3FCD">
      <w:pPr>
        <w:ind w:firstLine="480" w:firstLineChars="200"/>
        <w:rPr>
          <w:color w:val="0000FF"/>
        </w:rPr>
      </w:pPr>
      <w:r>
        <w:rPr>
          <w:rFonts w:hint="eastAsia"/>
          <w:color w:val="0000FF"/>
        </w:rPr>
        <w:t>2、工程施工</w:t>
      </w:r>
    </w:p>
    <w:p w14:paraId="584AB1FE">
      <w:pPr>
        <w:ind w:firstLine="480" w:firstLineChars="200"/>
        <w:rPr>
          <w:color w:val="0000FF"/>
        </w:rPr>
      </w:pPr>
      <w:r>
        <w:rPr>
          <w:rFonts w:hint="eastAsia"/>
          <w:color w:val="0000FF"/>
        </w:rPr>
        <w:t>①拆除工程</w:t>
      </w:r>
    </w:p>
    <w:p w14:paraId="358A4D62">
      <w:pPr>
        <w:ind w:firstLine="480" w:firstLineChars="200"/>
        <w:rPr>
          <w:color w:val="0000FF"/>
        </w:rPr>
      </w:pPr>
      <w:r>
        <w:rPr>
          <w:rFonts w:hint="eastAsia"/>
          <w:color w:val="0000FF"/>
        </w:rPr>
        <w:t>拆除主要为原建筑物圬工结构和混凝土结构拆除。采用液压破碎机、风镐进行，对于尺寸较大的构件就地肢解成小块后运出；堆砌石拆除以人工为主，砌石经撬松后抬运出基坑，可回收的部分经清洗后码放整齐以备用。</w:t>
      </w:r>
    </w:p>
    <w:p w14:paraId="7516A177">
      <w:pPr>
        <w:ind w:firstLine="480" w:firstLineChars="200"/>
        <w:rPr>
          <w:rFonts w:cs="Times New Roman"/>
          <w:color w:val="0000FF"/>
          <w:kern w:val="2"/>
        </w:rPr>
      </w:pPr>
      <w:r>
        <w:rPr>
          <w:rFonts w:hint="eastAsia"/>
          <w:color w:val="0000FF"/>
        </w:rPr>
        <w:t>建筑垃圾优先用于后期渠下涵进出口碎石垫层等，其他有利用价值的外售综合处置，没有利用价值的</w:t>
      </w:r>
      <w:r>
        <w:rPr>
          <w:rFonts w:cs="Times New Roman"/>
          <w:color w:val="0000FF"/>
        </w:rPr>
        <w:t>严格执行《城市建筑垃圾管理规定》，服从当地城市市容环境卫生行政主管部门统一管理，优先运往建筑垃圾填埋场进行处置，没有条件进行填埋处置的地区，综合考虑周边区域远距离填埋或外售综合利用</w:t>
      </w:r>
      <w:r>
        <w:rPr>
          <w:rFonts w:cs="Times New Roman"/>
          <w:color w:val="0000FF"/>
          <w:kern w:val="2"/>
        </w:rPr>
        <w:t>。</w:t>
      </w:r>
    </w:p>
    <w:p w14:paraId="53CD93DE">
      <w:pPr>
        <w:ind w:firstLine="480" w:firstLineChars="200"/>
        <w:rPr>
          <w:rFonts w:cs="Times New Roman"/>
          <w:color w:val="0000FF"/>
          <w:kern w:val="2"/>
        </w:rPr>
      </w:pPr>
      <w:r>
        <w:rPr>
          <w:rFonts w:hint="eastAsia" w:cs="Times New Roman"/>
          <w:color w:val="0000FF"/>
          <w:kern w:val="2"/>
        </w:rPr>
        <w:t>②土方施工、混凝土工程</w:t>
      </w:r>
    </w:p>
    <w:p w14:paraId="420653D7">
      <w:pPr>
        <w:ind w:firstLine="480" w:firstLineChars="200"/>
        <w:rPr>
          <w:rFonts w:cs="Times New Roman"/>
          <w:color w:val="0000FF"/>
          <w:kern w:val="2"/>
        </w:rPr>
      </w:pPr>
      <w:r>
        <w:rPr>
          <w:rFonts w:hint="eastAsia" w:cs="Times New Roman"/>
          <w:color w:val="0000FF"/>
          <w:kern w:val="2"/>
        </w:rPr>
        <w:t>工程施工在淠河总干渠下方，与淠河总干渠饮用水水源无水力联系。</w:t>
      </w:r>
    </w:p>
    <w:p w14:paraId="505D8BA7">
      <w:pPr>
        <w:ind w:firstLine="480" w:firstLineChars="200"/>
        <w:rPr>
          <w:rFonts w:cs="Times New Roman"/>
          <w:color w:val="0000FF"/>
          <w:kern w:val="2"/>
        </w:rPr>
      </w:pPr>
      <w:r>
        <w:rPr>
          <w:rFonts w:hint="eastAsia" w:cs="Times New Roman"/>
          <w:color w:val="0000FF"/>
          <w:kern w:val="2"/>
        </w:rPr>
        <w:t>土方施工包括土方开挖、土方回填、混凝土施工，工程</w:t>
      </w:r>
      <w:r>
        <w:rPr>
          <w:rFonts w:hint="eastAsia" w:cs="Times New Roman"/>
          <w:color w:val="0000FF"/>
        </w:rPr>
        <w:t>施工工艺与常规的渠系建筑物工程一致，详见本小节第7条。</w:t>
      </w:r>
    </w:p>
    <w:p w14:paraId="002C9679">
      <w:pPr>
        <w:ind w:firstLine="480" w:firstLineChars="200"/>
        <w:rPr>
          <w:rFonts w:cs="Times New Roman"/>
          <w:color w:val="0000FF"/>
          <w:kern w:val="2"/>
        </w:rPr>
      </w:pPr>
      <w:r>
        <w:rPr>
          <w:rFonts w:hint="eastAsia" w:cs="Times New Roman"/>
          <w:color w:val="0000FF"/>
          <w:kern w:val="2"/>
        </w:rPr>
        <w:t>④灌浆施工</w:t>
      </w:r>
    </w:p>
    <w:p w14:paraId="203CC9A9">
      <w:pPr>
        <w:ind w:firstLine="480" w:firstLineChars="200"/>
        <w:rPr>
          <w:rFonts w:cs="Times New Roman"/>
          <w:color w:val="0000FF"/>
          <w:kern w:val="2"/>
        </w:rPr>
      </w:pPr>
      <w:r>
        <w:rPr>
          <w:rFonts w:hint="eastAsia" w:cs="Times New Roman"/>
          <w:color w:val="0000FF"/>
          <w:kern w:val="2"/>
        </w:rPr>
        <w:t>骑缝贴嘴灌浆工艺流程如下：表面打磨冲洗→现场检查描述→粘贴灌浆嘴→封缝→压气或压水试验→配浆灌浆→灌浆嘴清除→封孔修整→效果检查与验收。</w:t>
      </w:r>
    </w:p>
    <w:p w14:paraId="5877906A">
      <w:pPr>
        <w:ind w:firstLine="480" w:firstLineChars="200"/>
        <w:rPr>
          <w:rFonts w:cs="Times New Roman"/>
          <w:color w:val="0000FF"/>
          <w:kern w:val="2"/>
        </w:rPr>
      </w:pPr>
      <w:r>
        <w:rPr>
          <w:rFonts w:hint="eastAsia" w:cs="Times New Roman"/>
          <w:color w:val="0000FF"/>
          <w:kern w:val="2"/>
        </w:rPr>
        <w:t>此工序采用实施打磨，灌浆材料无挥发性，不产生废气；灌浆施工产生少量冲洗废水、试压废水等施工废水，经施工区布设的沉淀池处理后回用。</w:t>
      </w:r>
    </w:p>
    <w:p w14:paraId="543F4B11">
      <w:pPr>
        <w:ind w:firstLine="480" w:firstLineChars="200"/>
        <w:rPr>
          <w:rFonts w:cs="Times New Roman"/>
          <w:color w:val="0000FF"/>
          <w:kern w:val="2"/>
        </w:rPr>
      </w:pPr>
      <w:r>
        <w:rPr>
          <w:rFonts w:hint="eastAsia" w:cs="Times New Roman"/>
          <w:color w:val="0000FF"/>
          <w:kern w:val="2"/>
        </w:rPr>
        <w:t>⑤洞身衬砌</w:t>
      </w:r>
    </w:p>
    <w:p w14:paraId="395BC1B2">
      <w:pPr>
        <w:ind w:firstLine="480" w:firstLineChars="200"/>
        <w:rPr>
          <w:rFonts w:cs="Times New Roman"/>
          <w:color w:val="0000FF"/>
          <w:kern w:val="2"/>
        </w:rPr>
      </w:pPr>
      <w:r>
        <w:rPr>
          <w:rFonts w:hint="eastAsia" w:cs="Times New Roman"/>
          <w:color w:val="0000FF"/>
          <w:kern w:val="2"/>
        </w:rPr>
        <w:t>采用自制钢模台车，待灌浆结束后施工。</w:t>
      </w:r>
    </w:p>
    <w:p w14:paraId="2936E70F">
      <w:pPr>
        <w:ind w:firstLine="480" w:firstLineChars="200"/>
        <w:rPr>
          <w:rFonts w:cs="Times New Roman"/>
          <w:color w:val="0000FF"/>
          <w:kern w:val="2"/>
        </w:rPr>
      </w:pPr>
      <w:r>
        <w:rPr>
          <w:rFonts w:hint="eastAsia" w:cs="Times New Roman"/>
          <w:color w:val="0000FF"/>
          <w:kern w:val="2"/>
        </w:rPr>
        <w:t>衬砌施工时，先对涵洞顶拱、侧墙表面凿毛，衬砌结构与侧墙、顶拱间设锚筋，内表设 φ200 双向钢筋网，以增强砼与岩石基础及浆砌石面连接。</w:t>
      </w:r>
    </w:p>
    <w:p w14:paraId="6FBBC7AB">
      <w:pPr>
        <w:ind w:firstLine="480" w:firstLineChars="200"/>
        <w:rPr>
          <w:rFonts w:cs="Times New Roman"/>
          <w:color w:val="0000FF"/>
          <w:kern w:val="2"/>
        </w:rPr>
      </w:pPr>
      <w:r>
        <w:rPr>
          <w:rFonts w:hint="eastAsia" w:cs="Times New Roman"/>
          <w:color w:val="0000FF"/>
          <w:kern w:val="2"/>
        </w:rPr>
        <w:t>主要工艺流程为：铺设轨道→台车就位→进行台车立模作业→调整合格→测量复测合格→加固台车→拼装堵头模板→浇筑→拆模→清理模板。</w:t>
      </w:r>
    </w:p>
    <w:p w14:paraId="54734DA2">
      <w:pPr>
        <w:ind w:firstLine="480" w:firstLineChars="200"/>
        <w:rPr>
          <w:rFonts w:cs="Times New Roman"/>
          <w:color w:val="0000FF"/>
          <w:kern w:val="2"/>
        </w:rPr>
      </w:pPr>
      <w:r>
        <w:rPr>
          <w:rFonts w:hint="eastAsia" w:cs="Times New Roman"/>
          <w:color w:val="0000FF"/>
          <w:kern w:val="2"/>
        </w:rPr>
        <w:t>⑥浆砌石清理修复施工</w:t>
      </w:r>
    </w:p>
    <w:p w14:paraId="2EF46E60">
      <w:pPr>
        <w:ind w:firstLine="480" w:firstLineChars="200"/>
        <w:rPr>
          <w:rFonts w:cs="Times New Roman"/>
          <w:color w:val="0000FF"/>
          <w:kern w:val="2"/>
        </w:rPr>
      </w:pPr>
      <w:r>
        <w:rPr>
          <w:rFonts w:hint="eastAsia" w:cs="Times New Roman"/>
          <w:color w:val="0000FF"/>
          <w:kern w:val="2"/>
        </w:rPr>
        <w:t>本次拟对进口段采取包括：表面清理整修、M10 水泥砂浆勾缝等加固措施。</w:t>
      </w:r>
    </w:p>
    <w:p w14:paraId="480380B0">
      <w:pPr>
        <w:ind w:firstLine="480" w:firstLineChars="200"/>
        <w:rPr>
          <w:rFonts w:cs="Times New Roman"/>
          <w:color w:val="0000FF"/>
          <w:kern w:val="2"/>
        </w:rPr>
      </w:pPr>
      <w:r>
        <w:rPr>
          <w:rFonts w:hint="eastAsia" w:cs="Times New Roman"/>
          <w:color w:val="0000FF"/>
          <w:kern w:val="2"/>
        </w:rPr>
        <w:t>表面清理：主要由人工清理，采用高压水枪配合钢丝刷进行清理，着重对勾缝修复位置的泥渍、风化部分进行清理，保证修复质量。</w:t>
      </w:r>
    </w:p>
    <w:p w14:paraId="4292AA87">
      <w:pPr>
        <w:ind w:firstLine="480" w:firstLineChars="200"/>
        <w:rPr>
          <w:rFonts w:cs="Times New Roman"/>
          <w:color w:val="0000FF"/>
          <w:kern w:val="2"/>
        </w:rPr>
      </w:pPr>
      <w:r>
        <w:rPr>
          <w:rFonts w:hint="eastAsia" w:cs="Times New Roman"/>
          <w:color w:val="0000FF"/>
          <w:kern w:val="2"/>
        </w:rPr>
        <w:t>M10 水泥砂浆勾缝：先剔除原有砂浆并清理干净，不得残留灰渣和积水，并保持缝面湿润进行勾缝；</w:t>
      </w:r>
    </w:p>
    <w:p w14:paraId="6B5F6598">
      <w:pPr>
        <w:ind w:firstLine="480" w:firstLineChars="200"/>
        <w:rPr>
          <w:rFonts w:cs="Times New Roman"/>
          <w:color w:val="0000FF"/>
          <w:kern w:val="2"/>
        </w:rPr>
      </w:pPr>
      <w:r>
        <w:rPr>
          <w:rFonts w:hint="eastAsia" w:cs="Times New Roman"/>
          <w:color w:val="0000FF"/>
          <w:kern w:val="2"/>
        </w:rPr>
        <w:t>施工产生少量冲洗施工废水，经施工区布设的沉淀池处理后回用。</w:t>
      </w:r>
    </w:p>
    <w:p w14:paraId="1BAD1027">
      <w:pPr>
        <w:ind w:firstLine="480" w:firstLineChars="200"/>
        <w:rPr>
          <w:rFonts w:cs="Times New Roman"/>
          <w:color w:val="0000FF"/>
          <w:kern w:val="2"/>
        </w:rPr>
      </w:pPr>
      <w:r>
        <w:rPr>
          <w:rFonts w:hint="eastAsia" w:cs="Times New Roman"/>
          <w:color w:val="0000FF"/>
          <w:kern w:val="2"/>
        </w:rPr>
        <w:t>⑦预制块施工</w:t>
      </w:r>
    </w:p>
    <w:p w14:paraId="38651536">
      <w:pPr>
        <w:ind w:firstLine="480" w:firstLineChars="200"/>
        <w:rPr>
          <w:rFonts w:cs="Times New Roman"/>
          <w:color w:val="0000FF"/>
          <w:kern w:val="2"/>
        </w:rPr>
      </w:pPr>
      <w:r>
        <w:rPr>
          <w:rFonts w:hint="eastAsia" w:cs="Times New Roman"/>
          <w:color w:val="0000FF"/>
          <w:kern w:val="2"/>
        </w:rPr>
        <w:t>由厂家直接提供成品或者施工单位预制，自卸车运至现场，人工抬运到砌筑工作面。施工程序按坡、岸平整→碎石垫层铺设→砼预制块安砌的顺序进行。</w:t>
      </w:r>
    </w:p>
    <w:p w14:paraId="7DE0F76C">
      <w:pPr>
        <w:ind w:firstLine="480" w:firstLineChars="200"/>
        <w:rPr>
          <w:rFonts w:cs="Times New Roman"/>
          <w:color w:val="0000FF"/>
          <w:kern w:val="2"/>
        </w:rPr>
      </w:pPr>
      <w:r>
        <w:rPr>
          <w:rFonts w:hint="eastAsia" w:cs="Times New Roman"/>
          <w:color w:val="0000FF"/>
          <w:kern w:val="2"/>
        </w:rPr>
        <w:t>⑧混凝土表面防碳化处理</w:t>
      </w:r>
    </w:p>
    <w:p w14:paraId="2814EE4F">
      <w:pPr>
        <w:ind w:firstLine="480" w:firstLineChars="200"/>
        <w:rPr>
          <w:rFonts w:cs="Times New Roman"/>
          <w:color w:val="0000FF"/>
          <w:kern w:val="2"/>
        </w:rPr>
      </w:pPr>
      <w:r>
        <w:rPr>
          <w:rFonts w:hint="eastAsia" w:cs="Times New Roman"/>
          <w:color w:val="0000FF"/>
          <w:kern w:val="2"/>
        </w:rPr>
        <w:t>本次防碳化处理措施采用渗透型纳米氟硅涂料。</w:t>
      </w:r>
    </w:p>
    <w:p w14:paraId="7D4ED51B">
      <w:pPr>
        <w:ind w:firstLine="480" w:firstLineChars="200"/>
        <w:rPr>
          <w:rFonts w:cs="Times New Roman"/>
          <w:color w:val="0000FF"/>
          <w:kern w:val="2"/>
        </w:rPr>
      </w:pPr>
      <w:r>
        <w:rPr>
          <w:rFonts w:hint="eastAsia" w:cs="Times New Roman"/>
          <w:color w:val="0000FF"/>
          <w:kern w:val="2"/>
        </w:rPr>
        <w:t>基面处理→涂刷净浆→拌制涂抹聚合物砂浆→涂抹聚合物砂浆修补→养护→涂刷封闭材料。</w:t>
      </w:r>
    </w:p>
    <w:p w14:paraId="421122D5">
      <w:pPr>
        <w:ind w:firstLine="480" w:firstLineChars="200"/>
        <w:rPr>
          <w:rFonts w:cs="Times New Roman"/>
          <w:color w:val="0000FF"/>
          <w:kern w:val="2"/>
        </w:rPr>
      </w:pPr>
      <w:r>
        <w:rPr>
          <w:rFonts w:hint="eastAsia" w:cs="Times New Roman"/>
          <w:color w:val="0000FF"/>
          <w:kern w:val="2"/>
        </w:rPr>
        <w:t>施工过程使用渗透型纳米氟硅涂料产生少量的有机废气。</w:t>
      </w:r>
    </w:p>
    <w:p w14:paraId="518357B9">
      <w:pPr>
        <w:pStyle w:val="6"/>
        <w:ind w:firstLine="480" w:firstLineChars="200"/>
        <w:rPr>
          <w:color w:val="0000FF"/>
        </w:rPr>
      </w:pPr>
      <w:r>
        <w:rPr>
          <w:rFonts w:hint="eastAsia"/>
          <w:color w:val="0000FF"/>
        </w:rPr>
        <w:t>五</w:t>
      </w:r>
      <w:r>
        <w:rPr>
          <w:color w:val="0000FF"/>
        </w:rPr>
        <w:t>、桥梁工程</w:t>
      </w:r>
    </w:p>
    <w:p w14:paraId="19B8E906">
      <w:pPr>
        <w:ind w:firstLine="480" w:firstLineChars="200"/>
        <w:rPr>
          <w:rFonts w:cs="Times New Roman"/>
          <w:color w:val="0000FF"/>
        </w:rPr>
      </w:pPr>
      <w:r>
        <w:rPr>
          <w:rFonts w:cs="Times New Roman"/>
          <w:color w:val="0000FF"/>
        </w:rPr>
        <w:t>①老桥拆除施工</w:t>
      </w:r>
    </w:p>
    <w:p w14:paraId="4938B7C2">
      <w:pPr>
        <w:ind w:firstLine="480" w:firstLineChars="200"/>
        <w:rPr>
          <w:rFonts w:cs="Times New Roman"/>
          <w:color w:val="0000FF"/>
        </w:rPr>
      </w:pPr>
      <w:r>
        <w:rPr>
          <w:rFonts w:cs="Times New Roman"/>
          <w:color w:val="0000FF"/>
        </w:rPr>
        <w:t>对于砼采用液压破碎机分解后，由1m³挖掘机集料装自卸汽车运至</w:t>
      </w:r>
      <w:r>
        <w:rPr>
          <w:rFonts w:hint="eastAsia" w:cs="Times New Roman"/>
          <w:color w:val="0000FF"/>
        </w:rPr>
        <w:t>弃土场</w:t>
      </w:r>
      <w:r>
        <w:rPr>
          <w:rFonts w:cs="Times New Roman"/>
          <w:color w:val="0000FF"/>
        </w:rPr>
        <w:t>弃渣；对于砌石结构的，采用人工拆除，拆除的砌石可利用的经清洗后临时堆放，废弃的装自卸汽车运至</w:t>
      </w:r>
      <w:r>
        <w:rPr>
          <w:rFonts w:hint="eastAsia" w:cs="Times New Roman"/>
          <w:color w:val="0000FF"/>
        </w:rPr>
        <w:t>弃土场</w:t>
      </w:r>
      <w:r>
        <w:rPr>
          <w:rFonts w:cs="Times New Roman"/>
          <w:color w:val="0000FF"/>
        </w:rPr>
        <w:t>弃渣。</w:t>
      </w:r>
    </w:p>
    <w:p w14:paraId="135967FB">
      <w:pPr>
        <w:ind w:firstLine="480" w:firstLineChars="200"/>
        <w:rPr>
          <w:rFonts w:cs="Times New Roman"/>
          <w:color w:val="0000FF"/>
        </w:rPr>
      </w:pPr>
      <w:r>
        <w:rPr>
          <w:rFonts w:cs="Times New Roman"/>
          <w:color w:val="0000FF"/>
        </w:rPr>
        <w:t>②墩柱施工</w:t>
      </w:r>
    </w:p>
    <w:p w14:paraId="502DF423">
      <w:pPr>
        <w:ind w:firstLine="480" w:firstLineChars="200"/>
        <w:rPr>
          <w:rFonts w:cs="Times New Roman"/>
          <w:color w:val="0000FF"/>
        </w:rPr>
      </w:pPr>
      <w:r>
        <w:rPr>
          <w:rFonts w:cs="Times New Roman"/>
          <w:color w:val="0000FF"/>
        </w:rPr>
        <w:t>墩柱施工同</w:t>
      </w:r>
      <w:r>
        <w:rPr>
          <w:rFonts w:hint="eastAsia" w:cs="Times New Roman"/>
          <w:color w:val="0000FF"/>
        </w:rPr>
        <w:t>“</w:t>
      </w:r>
      <w:r>
        <w:rPr>
          <w:rFonts w:cs="Times New Roman"/>
          <w:color w:val="0000FF"/>
        </w:rPr>
        <w:t>聚星渡槽工程墩柱施工</w:t>
      </w:r>
      <w:r>
        <w:rPr>
          <w:rFonts w:hint="eastAsia" w:cs="Times New Roman"/>
          <w:color w:val="0000FF"/>
        </w:rPr>
        <w:t>”</w:t>
      </w:r>
      <w:r>
        <w:rPr>
          <w:rFonts w:cs="Times New Roman"/>
          <w:color w:val="0000FF"/>
        </w:rPr>
        <w:t>，此处不再赘述。</w:t>
      </w:r>
    </w:p>
    <w:p w14:paraId="334C4816">
      <w:pPr>
        <w:ind w:firstLine="480" w:firstLineChars="200"/>
        <w:rPr>
          <w:rFonts w:cs="Times New Roman"/>
          <w:color w:val="0000FF"/>
        </w:rPr>
      </w:pPr>
      <w:r>
        <w:rPr>
          <w:rFonts w:cs="Times New Roman"/>
          <w:color w:val="0000FF"/>
        </w:rPr>
        <w:t>③盖梁砼施工</w:t>
      </w:r>
    </w:p>
    <w:p w14:paraId="6B8B0CAC">
      <w:pPr>
        <w:ind w:firstLine="480" w:firstLineChars="200"/>
        <w:rPr>
          <w:rFonts w:cs="Times New Roman"/>
          <w:color w:val="0000FF"/>
        </w:rPr>
      </w:pPr>
      <w:r>
        <w:rPr>
          <w:rFonts w:cs="Times New Roman"/>
          <w:color w:val="0000FF"/>
        </w:rPr>
        <w:t>盖梁的施工顺序为：立支架和平台→组装底模→绑扎钢筋→安装侧模→浇筑砼。盖梁施工采用满布脚手架法，对原地面进行夯实处理后，搭设钢管架</w:t>
      </w:r>
      <w:r>
        <w:rPr>
          <w:rFonts w:hint="eastAsia" w:cs="Times New Roman"/>
          <w:color w:val="0000FF"/>
        </w:rPr>
        <w:t>作为</w:t>
      </w:r>
      <w:r>
        <w:rPr>
          <w:rFonts w:cs="Times New Roman"/>
          <w:color w:val="0000FF"/>
        </w:rPr>
        <w:t>盖梁作业平台。盖梁采用大块整体钢模，模板钢度及接缝满足规范要求，为脱模方便在立模前对模板进行清理并涂刷脱模剂。盖梁模板采用吊车吊装。</w:t>
      </w:r>
    </w:p>
    <w:p w14:paraId="25D87070">
      <w:pPr>
        <w:ind w:firstLine="480" w:firstLineChars="200"/>
        <w:rPr>
          <w:rFonts w:cs="Times New Roman"/>
          <w:color w:val="0000FF"/>
        </w:rPr>
      </w:pPr>
      <w:r>
        <w:rPr>
          <w:rFonts w:cs="Times New Roman"/>
          <w:color w:val="0000FF"/>
        </w:rPr>
        <w:t>混凝土浇筑采取一次成型的方法。混凝土骨料粒径根据钢筋的网孔大小选择，并加强内部振捣。灌注至垫石部分时，采取必要的措施确保倾倒混凝土及振捣不得造成模板及螺栓孔木塞位置偏移，垫石顶面平整，高程正确。</w:t>
      </w:r>
    </w:p>
    <w:p w14:paraId="4F999B8F">
      <w:pPr>
        <w:ind w:firstLine="480" w:firstLineChars="200"/>
        <w:rPr>
          <w:rFonts w:cs="Times New Roman"/>
          <w:color w:val="0000FF"/>
        </w:rPr>
      </w:pPr>
      <w:r>
        <w:rPr>
          <w:rFonts w:cs="Times New Roman"/>
          <w:color w:val="0000FF"/>
        </w:rPr>
        <w:t>④预应力空心板预制</w:t>
      </w:r>
    </w:p>
    <w:p w14:paraId="64A398CA">
      <w:pPr>
        <w:ind w:firstLine="480" w:firstLineChars="200"/>
        <w:rPr>
          <w:rFonts w:cs="Times New Roman"/>
          <w:color w:val="0000FF"/>
        </w:rPr>
      </w:pPr>
      <w:r>
        <w:rPr>
          <w:rFonts w:cs="Times New Roman"/>
          <w:color w:val="0000FF"/>
        </w:rPr>
        <w:t>后张法预应力空心板施工工艺见下图：</w:t>
      </w:r>
    </w:p>
    <w:p w14:paraId="2598490E">
      <w:pPr>
        <w:jc w:val="center"/>
        <w:rPr>
          <w:rFonts w:cs="Times New Roman"/>
          <w:color w:val="0000FF"/>
        </w:rPr>
      </w:pPr>
      <w:r>
        <w:rPr>
          <w:rFonts w:cs="Times New Roman"/>
          <w:color w:val="0000FF"/>
        </w:rPr>
        <w:drawing>
          <wp:inline distT="0" distB="0" distL="114300" distR="114300">
            <wp:extent cx="2496820" cy="3129915"/>
            <wp:effectExtent l="0" t="0" r="5080" b="6985"/>
            <wp:docPr id="44" name="图片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473"/>
                    <pic:cNvPicPr>
                      <a:picLocks noChangeAspect="1"/>
                    </pic:cNvPicPr>
                  </pic:nvPicPr>
                  <pic:blipFill>
                    <a:blip r:embed="rId115"/>
                    <a:stretch>
                      <a:fillRect/>
                    </a:stretch>
                  </pic:blipFill>
                  <pic:spPr>
                    <a:xfrm>
                      <a:off x="0" y="0"/>
                      <a:ext cx="2496820" cy="3129915"/>
                    </a:xfrm>
                    <a:prstGeom prst="rect">
                      <a:avLst/>
                    </a:prstGeom>
                    <a:noFill/>
                    <a:ln>
                      <a:noFill/>
                    </a:ln>
                  </pic:spPr>
                </pic:pic>
              </a:graphicData>
            </a:graphic>
          </wp:inline>
        </w:drawing>
      </w:r>
    </w:p>
    <w:p w14:paraId="7080D555">
      <w:pPr>
        <w:ind w:firstLine="480" w:firstLineChars="200"/>
        <w:rPr>
          <w:rFonts w:cs="Times New Roman"/>
          <w:color w:val="0000FF"/>
        </w:rPr>
      </w:pPr>
      <w:r>
        <w:rPr>
          <w:rFonts w:cs="Times New Roman"/>
          <w:color w:val="0000FF"/>
        </w:rPr>
        <w:t>⑤预制空心板运输及架设</w:t>
      </w:r>
    </w:p>
    <w:p w14:paraId="0D6AAEA3">
      <w:pPr>
        <w:ind w:firstLine="480" w:firstLineChars="200"/>
        <w:rPr>
          <w:rFonts w:cs="Times New Roman"/>
          <w:color w:val="0000FF"/>
        </w:rPr>
      </w:pPr>
      <w:r>
        <w:rPr>
          <w:rFonts w:cs="Times New Roman"/>
          <w:color w:val="0000FF"/>
        </w:rPr>
        <w:t>预制空心板运输采用自制运梁轨道车运输。在存梁场路基形成后用拖挂汽车倒运到架梁地点。预制空心板架设采用起重吊车进行架设，其施工顺序为：施工准备、吊车就位、挂梁起吊，摆放梁体，调整就位</w:t>
      </w:r>
      <w:r>
        <w:rPr>
          <w:rFonts w:hint="eastAsia" w:cs="Times New Roman"/>
          <w:color w:val="0000FF"/>
        </w:rPr>
        <w:t>。</w:t>
      </w:r>
    </w:p>
    <w:p w14:paraId="3096DB7B">
      <w:pPr>
        <w:pStyle w:val="6"/>
        <w:ind w:firstLine="480" w:firstLineChars="200"/>
        <w:rPr>
          <w:color w:val="0000FF"/>
        </w:rPr>
      </w:pPr>
      <w:r>
        <w:rPr>
          <w:color w:val="0000FF"/>
        </w:rPr>
        <w:t>6、围堰施工</w:t>
      </w:r>
    </w:p>
    <w:p w14:paraId="2BBBCB92">
      <w:pPr>
        <w:ind w:firstLine="480" w:firstLineChars="200"/>
        <w:rPr>
          <w:rFonts w:cs="Times New Roman"/>
          <w:color w:val="0000FF"/>
        </w:rPr>
      </w:pPr>
      <w:r>
        <w:rPr>
          <w:rFonts w:cs="Times New Roman"/>
          <w:color w:val="0000FF"/>
        </w:rPr>
        <w:t>围堰施工主要采用土围堰，部分采用袋装土围堰。护坡施工和桥梁施工土围堰部分利用附近开挖土方填筑，渠下涵围堰土方来源于基坑开挖土方填筑，不足部分自取土场取土，围堰土料采用1.0m</w:t>
      </w:r>
      <w:r>
        <w:rPr>
          <w:rFonts w:cs="Times New Roman"/>
          <w:color w:val="0000FF"/>
          <w:vertAlign w:val="superscript"/>
        </w:rPr>
        <w:t>3</w:t>
      </w:r>
      <w:r>
        <w:rPr>
          <w:rFonts w:cs="Times New Roman"/>
          <w:color w:val="0000FF"/>
        </w:rPr>
        <w:t>反铲挖掘机开挖，5～8t自卸汽车运输，74kW推土机自一端推土进占，水上部分分层压实。围堰在对应建筑物工程施工结束后采用反铲挖掘机配自卸汽车拆除。</w:t>
      </w:r>
    </w:p>
    <w:p w14:paraId="15533D7E">
      <w:pPr>
        <w:pStyle w:val="6"/>
        <w:ind w:firstLine="480" w:firstLineChars="200"/>
        <w:rPr>
          <w:color w:val="0000FF"/>
        </w:rPr>
      </w:pPr>
      <w:r>
        <w:rPr>
          <w:color w:val="0000FF"/>
        </w:rPr>
        <w:t>7、其他渠系建筑物工程</w:t>
      </w:r>
    </w:p>
    <w:p w14:paraId="0DBAF61B">
      <w:pPr>
        <w:ind w:firstLine="480"/>
        <w:rPr>
          <w:rFonts w:cs="Times New Roman"/>
          <w:color w:val="0000FF"/>
        </w:rPr>
      </w:pPr>
      <w:r>
        <w:rPr>
          <w:rFonts w:cs="Times New Roman"/>
          <w:color w:val="0000FF"/>
        </w:rPr>
        <w:t>渠系建筑物工程主要包括节制闸、渠下涵和机耕桥等，其施工方式基本相同。</w:t>
      </w:r>
    </w:p>
    <w:p w14:paraId="45B79B4B">
      <w:pPr>
        <w:ind w:firstLine="480"/>
        <w:rPr>
          <w:rFonts w:cs="Times New Roman"/>
          <w:color w:val="0000FF"/>
        </w:rPr>
      </w:pPr>
      <w:r>
        <w:rPr>
          <w:rFonts w:cs="Times New Roman"/>
          <w:color w:val="0000FF"/>
        </w:rPr>
        <w:t>（1）土方开挖与回填</w:t>
      </w:r>
    </w:p>
    <w:p w14:paraId="78E98E70">
      <w:pPr>
        <w:ind w:firstLine="480"/>
        <w:rPr>
          <w:rFonts w:cs="Times New Roman"/>
          <w:color w:val="0000FF"/>
        </w:rPr>
      </w:pPr>
      <w:r>
        <w:rPr>
          <w:rFonts w:cs="Times New Roman"/>
          <w:color w:val="0000FF"/>
        </w:rPr>
        <w:t>对于开挖量较大的建筑物，基坑开挖以机械施工为主，人工开挖为辅，开挖量较小的建筑物，基坑开挖主要采用人工进行，挖方除不符合填筑质量的就近弃土外，其余用于围堰填筑或就近堆放用于基坑回填。</w:t>
      </w:r>
    </w:p>
    <w:p w14:paraId="19E062D7">
      <w:pPr>
        <w:ind w:firstLine="480"/>
        <w:rPr>
          <w:rFonts w:cs="Times New Roman"/>
          <w:color w:val="0000FF"/>
        </w:rPr>
      </w:pPr>
      <w:r>
        <w:rPr>
          <w:rFonts w:cs="Times New Roman"/>
          <w:color w:val="0000FF"/>
        </w:rPr>
        <w:t>建筑物基坑回填土方除利用就近堆放的土方外，不够部分就近从周边工程区段调入。填筑时，靠近建筑物、工作面狭窄或填筑量不大的部位，土料采用人工配蛙式打夯机夯实，其余采用履带拖拉机压实。</w:t>
      </w:r>
    </w:p>
    <w:p w14:paraId="72736D4D">
      <w:pPr>
        <w:ind w:firstLine="480"/>
        <w:rPr>
          <w:rFonts w:cs="Times New Roman"/>
          <w:color w:val="0000FF"/>
        </w:rPr>
      </w:pPr>
      <w:r>
        <w:rPr>
          <w:rFonts w:cs="Times New Roman"/>
          <w:color w:val="0000FF"/>
        </w:rPr>
        <w:t>（2）建筑物拆除及堆、砌石施工</w:t>
      </w:r>
    </w:p>
    <w:p w14:paraId="07CB7893">
      <w:pPr>
        <w:ind w:firstLine="480"/>
        <w:rPr>
          <w:rFonts w:cs="Times New Roman"/>
          <w:color w:val="0000FF"/>
        </w:rPr>
      </w:pPr>
      <w:r>
        <w:rPr>
          <w:rFonts w:cs="Times New Roman"/>
          <w:color w:val="0000FF"/>
        </w:rPr>
        <w:t>砌石拆除采取人工配钢钎进行，对于石质较好、外形尺寸符合要求的石块，就近堆放于建筑物附近，在砌筑时加以利用。</w:t>
      </w:r>
    </w:p>
    <w:p w14:paraId="70F7D454">
      <w:pPr>
        <w:ind w:firstLine="480"/>
        <w:rPr>
          <w:rFonts w:cs="Times New Roman"/>
          <w:color w:val="0000FF"/>
        </w:rPr>
      </w:pPr>
      <w:r>
        <w:rPr>
          <w:rFonts w:cs="Times New Roman"/>
          <w:color w:val="0000FF"/>
        </w:rPr>
        <w:t>桥梁拆除主要是现状小机耕桥，基本都是危桥，采用破碎机破碎后挖掘机挖装，自卸汽车运输至弃土区。</w:t>
      </w:r>
    </w:p>
    <w:p w14:paraId="7BC8EEB5">
      <w:pPr>
        <w:ind w:firstLine="480"/>
        <w:rPr>
          <w:rFonts w:cs="Times New Roman"/>
          <w:color w:val="0000FF"/>
        </w:rPr>
      </w:pPr>
      <w:r>
        <w:rPr>
          <w:rFonts w:cs="Times New Roman"/>
          <w:color w:val="0000FF"/>
        </w:rPr>
        <w:t>浆砌石采用坐浆法砌筑，砌缝间砂浆采用扁铁插捣密实，块石不得无浆直接贴靠，砂浆采用搅拌机或人工拌制，胶轮车或翻斗车运料；干砌石采用错缝砌筑，砌筑时不应出现叠砌、拳石支脚和片石找平的现象；防冲槽抛石采用手推车运料，对于底部设有反滤层的防冲槽，抛石需采用人工自下向上逐层填筑，其余均直接采用手推车从防冲槽边向下翻倒。</w:t>
      </w:r>
    </w:p>
    <w:p w14:paraId="1457125D">
      <w:pPr>
        <w:ind w:firstLine="480"/>
        <w:rPr>
          <w:rFonts w:cs="Times New Roman"/>
          <w:color w:val="0000FF"/>
        </w:rPr>
      </w:pPr>
      <w:r>
        <w:rPr>
          <w:rFonts w:cs="Times New Roman"/>
          <w:color w:val="0000FF"/>
        </w:rPr>
        <w:t>（3）砼施工</w:t>
      </w:r>
    </w:p>
    <w:p w14:paraId="74B3A779">
      <w:pPr>
        <w:ind w:firstLine="480"/>
        <w:rPr>
          <w:rFonts w:cs="Times New Roman"/>
          <w:color w:val="0000FF"/>
        </w:rPr>
      </w:pPr>
      <w:r>
        <w:rPr>
          <w:rFonts w:cs="Times New Roman"/>
          <w:color w:val="0000FF"/>
        </w:rPr>
        <w:t>现浇砼构件拆除采用人工配风镐进行，预制砼构件拆除采用人工或扒杆整块搬抬至基坑外。</w:t>
      </w:r>
    </w:p>
    <w:p w14:paraId="5BF7232E">
      <w:pPr>
        <w:ind w:firstLine="480"/>
        <w:rPr>
          <w:rFonts w:cs="Times New Roman"/>
          <w:color w:val="0000FF"/>
        </w:rPr>
      </w:pPr>
      <w:r>
        <w:rPr>
          <w:rFonts w:cs="Times New Roman"/>
          <w:color w:val="0000FF"/>
        </w:rPr>
        <w:t>现浇砼熟料由就近布置的砼搅拌机拌制，手推车配溜筒、溜槽运送熟料入仓，振捣器或人工插捣密实；启闭机台、桥梁面板等砼预制构件，拟在建筑物附近预制，涵洞预制涵管从工程附近的预制厂订购，各预制构件在具备安装条件后，扒杆或汽车起重机吊装就位。</w:t>
      </w:r>
    </w:p>
    <w:p w14:paraId="0B499B9C">
      <w:pPr>
        <w:ind w:firstLine="480"/>
        <w:rPr>
          <w:rFonts w:cs="Times New Roman"/>
          <w:color w:val="0000FF"/>
        </w:rPr>
      </w:pPr>
      <w:r>
        <w:rPr>
          <w:rFonts w:cs="Times New Roman"/>
          <w:color w:val="0000FF"/>
        </w:rPr>
        <w:t>（4）金属结构制作、安装</w:t>
      </w:r>
    </w:p>
    <w:p w14:paraId="75E17F74">
      <w:pPr>
        <w:ind w:firstLine="480"/>
        <w:rPr>
          <w:rFonts w:cs="Times New Roman"/>
          <w:color w:val="0000FF"/>
        </w:rPr>
      </w:pPr>
      <w:r>
        <w:rPr>
          <w:rFonts w:cs="Times New Roman"/>
          <w:color w:val="0000FF"/>
        </w:rPr>
        <w:t>老闸门、启闭机拆除选用扒杆或汽车起重机进行，通过位于堤顶处的自卸汽车或滚筒拖运至闸附近的空地堆放。</w:t>
      </w:r>
    </w:p>
    <w:p w14:paraId="624F5D23">
      <w:pPr>
        <w:ind w:firstLine="480"/>
        <w:rPr>
          <w:rFonts w:cs="Times New Roman"/>
          <w:color w:val="0000FF"/>
        </w:rPr>
      </w:pPr>
      <w:r>
        <w:rPr>
          <w:rFonts w:cs="Times New Roman"/>
          <w:color w:val="0000FF"/>
        </w:rPr>
        <w:t>闸门、启闭机拟在专业厂家制作，汽车运至现场，在闸门埋件安装完成后，使用扒杆或汽车吊安装就位。</w:t>
      </w:r>
    </w:p>
    <w:p w14:paraId="5B711E66">
      <w:pPr>
        <w:pStyle w:val="5"/>
        <w:bidi w:val="0"/>
      </w:pPr>
      <w:r>
        <w:t>3.2.1.</w:t>
      </w:r>
      <w:r>
        <w:rPr>
          <w:rFonts w:hint="eastAsia"/>
        </w:rPr>
        <w:t>2</w:t>
      </w:r>
      <w:r>
        <w:t xml:space="preserve"> 渠道工程</w:t>
      </w:r>
    </w:p>
    <w:p w14:paraId="0BE0A5CD">
      <w:pPr>
        <w:pStyle w:val="6"/>
        <w:ind w:firstLine="480" w:firstLineChars="200"/>
        <w:rPr>
          <w:color w:val="0000FF"/>
        </w:rPr>
      </w:pPr>
      <w:r>
        <w:rPr>
          <w:color w:val="0000FF"/>
        </w:rPr>
        <w:t>1、土方开挖</w:t>
      </w:r>
    </w:p>
    <w:p w14:paraId="5A8A3E83">
      <w:pPr>
        <w:ind w:firstLine="480" w:firstLineChars="200"/>
        <w:rPr>
          <w:rFonts w:cs="Times New Roman"/>
          <w:color w:val="0000FF"/>
        </w:rPr>
      </w:pPr>
      <w:r>
        <w:rPr>
          <w:rFonts w:cs="Times New Roman"/>
          <w:color w:val="0000FF"/>
        </w:rPr>
        <w:t>渠道土方开挖主要为渠道清淤，渠道断面扩挖，切岭滑坡削坡处理、排水井开挖和挡墙基槽开挖，以及堤身加培削坡与清基等。</w:t>
      </w:r>
    </w:p>
    <w:p w14:paraId="7A087169">
      <w:pPr>
        <w:ind w:firstLine="480" w:firstLineChars="200"/>
        <w:rPr>
          <w:rFonts w:cs="Times New Roman"/>
          <w:color w:val="0000FF"/>
        </w:rPr>
      </w:pPr>
      <w:r>
        <w:rPr>
          <w:rFonts w:cs="Times New Roman"/>
          <w:color w:val="0000FF"/>
        </w:rPr>
        <w:t>土方开挖采用机械与人工相结合，其中堤防清基及用于回填的土料表层剥离采用反铲挖掘机或推土机开挖，其余土方主要采用反铲挖掘机开挖，对于挡墙建基面保护层和机械难以施工的沟槽等部位采用人工开挖。挖方中用于后期回填的土料就近堆放，直接用于附近堤防填筑的土料采用推土机或自卸汽车运输至填筑部位，弃土采用自卸汽车或推土机运输至指定弃土区。</w:t>
      </w:r>
    </w:p>
    <w:p w14:paraId="0B8106BC">
      <w:pPr>
        <w:ind w:firstLine="482" w:firstLineChars="200"/>
        <w:rPr>
          <w:rFonts w:cs="Times New Roman"/>
          <w:b/>
          <w:bCs/>
          <w:color w:val="0000FF"/>
        </w:rPr>
      </w:pPr>
      <w:r>
        <w:rPr>
          <w:rFonts w:hint="eastAsia" w:cs="Times New Roman"/>
          <w:b/>
          <w:bCs/>
          <w:color w:val="0000FF"/>
        </w:rPr>
        <w:t>涉及清淤的渠道包括淠东干渠工程、瓦东干渠双庙支渠工程、杨西分干渠东风支渠工程、潜南干渠界河支渠工程、潜南干渠义河支渠工程、潜南干渠袁店支渠工程、众兴分干渠双庙支渠工程、沣西干渠工程、汲东干渠姚李支渠工程、乌斗支渠工程、杭北干渠工程、庐南分干渠沙胜支渠工程、庐南分干渠乐桥支渠工程、舒庐干渠马田支渠工程，以上渠道非灌溉期均无供水任务，9月份后关闭进水闸，渠道无水状态，工程清淤均安排在12月份，机械铲除后及时运送至弃土场。</w:t>
      </w:r>
    </w:p>
    <w:p w14:paraId="4A919D36">
      <w:pPr>
        <w:ind w:firstLine="482" w:firstLineChars="200"/>
        <w:rPr>
          <w:rFonts w:cs="Times New Roman"/>
          <w:b/>
          <w:bCs/>
          <w:color w:val="0000FF"/>
        </w:rPr>
      </w:pPr>
      <w:r>
        <w:rPr>
          <w:rFonts w:cs="Times New Roman"/>
          <w:b/>
          <w:bCs/>
          <w:color w:val="0000FF"/>
        </w:rPr>
        <w:t>渠道清淤采取干挖法</w:t>
      </w:r>
      <w:r>
        <w:rPr>
          <w:rFonts w:hint="eastAsia" w:cs="Times New Roman"/>
          <w:b/>
          <w:bCs/>
          <w:color w:val="0000FF"/>
        </w:rPr>
        <w:t>，</w:t>
      </w:r>
      <w:r>
        <w:rPr>
          <w:rFonts w:cs="Times New Roman"/>
          <w:b/>
          <w:bCs/>
          <w:color w:val="0000FF"/>
        </w:rPr>
        <w:t>清淤采取分段施工的方式，对施工段上下游设围堰，采用反铲挖掘机清淤，</w:t>
      </w:r>
      <w:r>
        <w:rPr>
          <w:rFonts w:hint="eastAsia" w:cs="Times New Roman"/>
          <w:b/>
          <w:bCs/>
          <w:color w:val="0000FF"/>
        </w:rPr>
        <w:t>清除的底泥</w:t>
      </w:r>
      <w:r>
        <w:rPr>
          <w:rFonts w:cs="Times New Roman"/>
          <w:b/>
          <w:bCs/>
          <w:color w:val="0000FF"/>
        </w:rPr>
        <w:t>直接装于自卸汽车运输至指定弃土区。</w:t>
      </w:r>
    </w:p>
    <w:p w14:paraId="65044107">
      <w:pPr>
        <w:pStyle w:val="6"/>
        <w:ind w:firstLine="480" w:firstLineChars="200"/>
        <w:rPr>
          <w:color w:val="0000FF"/>
        </w:rPr>
      </w:pPr>
      <w:r>
        <w:rPr>
          <w:rFonts w:hint="eastAsia"/>
          <w:color w:val="0000FF"/>
        </w:rPr>
        <w:t>2</w:t>
      </w:r>
      <w:r>
        <w:rPr>
          <w:color w:val="0000FF"/>
        </w:rPr>
        <w:t>、护砌工程</w:t>
      </w:r>
    </w:p>
    <w:p w14:paraId="28713DED">
      <w:pPr>
        <w:ind w:firstLine="480" w:firstLineChars="200"/>
        <w:rPr>
          <w:rFonts w:cs="Times New Roman"/>
          <w:color w:val="0000FF"/>
        </w:rPr>
      </w:pPr>
      <w:r>
        <w:rPr>
          <w:rFonts w:cs="Times New Roman"/>
          <w:color w:val="0000FF"/>
        </w:rPr>
        <w:t>（1）现浇勒脚压顶</w:t>
      </w:r>
    </w:p>
    <w:p w14:paraId="38EF72FF">
      <w:pPr>
        <w:ind w:firstLine="480" w:firstLineChars="200"/>
        <w:rPr>
          <w:rFonts w:cs="Times New Roman"/>
          <w:color w:val="0000FF"/>
        </w:rPr>
      </w:pPr>
      <w:r>
        <w:rPr>
          <w:rFonts w:cs="Times New Roman"/>
          <w:color w:val="0000FF"/>
        </w:rPr>
        <w:t>首先对坡面表土进行清理，表土清理可自下而上采用机械进行，坡面上冲沟及塌陷部位应分层回填夯实，在完成上述工作并挖好齿槽后，即可浇筑砼压顶和勒脚，砼用0.25～0.4m</w:t>
      </w:r>
      <w:r>
        <w:rPr>
          <w:rFonts w:cs="Times New Roman"/>
          <w:color w:val="0000FF"/>
          <w:vertAlign w:val="superscript"/>
        </w:rPr>
        <w:t>3</w:t>
      </w:r>
      <w:r>
        <w:rPr>
          <w:rFonts w:cs="Times New Roman"/>
          <w:color w:val="0000FF"/>
        </w:rPr>
        <w:t>商品混凝土，胶轮车进出料，人工转运入仓，齿槽砼浇筑时应用插入式振捣器振捣密实。</w:t>
      </w:r>
    </w:p>
    <w:p w14:paraId="6B09ADAF">
      <w:pPr>
        <w:ind w:firstLine="480" w:firstLineChars="200"/>
        <w:rPr>
          <w:rFonts w:cs="Times New Roman"/>
          <w:color w:val="0000FF"/>
        </w:rPr>
      </w:pPr>
      <w:r>
        <w:rPr>
          <w:rFonts w:cs="Times New Roman"/>
          <w:color w:val="0000FF"/>
        </w:rPr>
        <w:t>（2）坡面护砌</w:t>
      </w:r>
    </w:p>
    <w:p w14:paraId="6EF755B4">
      <w:pPr>
        <w:ind w:firstLine="480" w:firstLineChars="200"/>
        <w:rPr>
          <w:rFonts w:cs="Times New Roman"/>
          <w:color w:val="0000FF"/>
        </w:rPr>
      </w:pPr>
      <w:r>
        <w:rPr>
          <w:rFonts w:cs="Times New Roman"/>
          <w:color w:val="0000FF"/>
        </w:rPr>
        <w:t>护坡采用的砼预制块均外购。</w:t>
      </w:r>
    </w:p>
    <w:p w14:paraId="6B2C2193">
      <w:pPr>
        <w:ind w:firstLine="480" w:firstLineChars="200"/>
        <w:rPr>
          <w:rFonts w:cs="Times New Roman"/>
          <w:color w:val="0000FF"/>
        </w:rPr>
      </w:pPr>
      <w:r>
        <w:rPr>
          <w:rFonts w:cs="Times New Roman"/>
          <w:color w:val="0000FF"/>
        </w:rPr>
        <w:t>坡面护砌主要是砼预制块护坡，预制块铺砌前按设计要求浇筑砼隔埂，并将坡面整平压实，均匀铺设砂垫层。预制块人工进行铺砌，砌筑面应平整，块间相互咬合、嵌紧，预制块与隔埂、勒脚、封顶间的空隙采用现浇砼封堵。</w:t>
      </w:r>
    </w:p>
    <w:p w14:paraId="340622E1">
      <w:pPr>
        <w:ind w:firstLine="480" w:firstLineChars="200"/>
        <w:rPr>
          <w:rFonts w:cs="Times New Roman"/>
          <w:color w:val="0000FF"/>
        </w:rPr>
      </w:pPr>
      <w:r>
        <w:rPr>
          <w:rFonts w:cs="Times New Roman"/>
          <w:color w:val="0000FF"/>
        </w:rPr>
        <w:t>（3）拱形骨架护坡施工</w:t>
      </w:r>
    </w:p>
    <w:p w14:paraId="226A8118">
      <w:pPr>
        <w:ind w:firstLine="480" w:firstLineChars="200"/>
        <w:rPr>
          <w:rFonts w:cs="Times New Roman"/>
          <w:color w:val="0000FF"/>
        </w:rPr>
      </w:pPr>
      <w:r>
        <w:rPr>
          <w:rFonts w:cs="Times New Roman"/>
          <w:color w:val="0000FF"/>
        </w:rPr>
        <w:t>C20现浇砼拱型骨架护坡，框格内植草防护。</w:t>
      </w:r>
    </w:p>
    <w:p w14:paraId="3E128729">
      <w:pPr>
        <w:ind w:firstLine="480" w:firstLineChars="200"/>
        <w:rPr>
          <w:rFonts w:cs="Times New Roman"/>
          <w:color w:val="0000FF"/>
        </w:rPr>
      </w:pPr>
      <w:r>
        <w:rPr>
          <w:rFonts w:cs="Times New Roman"/>
          <w:color w:val="0000FF"/>
        </w:rPr>
        <w:t>（4）草皮护坡</w:t>
      </w:r>
    </w:p>
    <w:p w14:paraId="2E81CAD5">
      <w:pPr>
        <w:ind w:firstLine="480" w:firstLineChars="200"/>
        <w:rPr>
          <w:rFonts w:cs="Times New Roman"/>
          <w:color w:val="0000FF"/>
        </w:rPr>
      </w:pPr>
      <w:r>
        <w:rPr>
          <w:rFonts w:cs="Times New Roman"/>
          <w:color w:val="0000FF"/>
        </w:rPr>
        <w:t>草皮护坡采用全铺草皮法或种草护坡法铺设，种草护坡法铺设，即在坡面上铺草皮条成1m×1m方格，方格中播种矮草，如紫苜蓿、猫尾草、三叶草等，草种要避免采用易招白蚁的白毛根草，种草皮前先在坡面上铺筑一层腐殖土，并注意加强草皮养护，提高成活率。</w:t>
      </w:r>
    </w:p>
    <w:p w14:paraId="1815215E">
      <w:pPr>
        <w:pStyle w:val="6"/>
        <w:ind w:firstLine="480" w:firstLineChars="200"/>
        <w:rPr>
          <w:color w:val="0000FF"/>
        </w:rPr>
      </w:pPr>
      <w:r>
        <w:rPr>
          <w:rFonts w:hint="eastAsia"/>
          <w:color w:val="0000FF"/>
        </w:rPr>
        <w:t>3</w:t>
      </w:r>
      <w:r>
        <w:rPr>
          <w:color w:val="0000FF"/>
        </w:rPr>
        <w:t>、管理道路工程</w:t>
      </w:r>
    </w:p>
    <w:p w14:paraId="3E9D0C33">
      <w:pPr>
        <w:ind w:firstLine="480" w:firstLineChars="200"/>
        <w:rPr>
          <w:rFonts w:cs="Times New Roman"/>
          <w:color w:val="0000FF"/>
        </w:rPr>
      </w:pPr>
      <w:r>
        <w:rPr>
          <w:rFonts w:cs="Times New Roman"/>
          <w:color w:val="0000FF"/>
        </w:rPr>
        <w:t>路基开挖、平整会产生噪声、扬尘；路面压实用压路机，会产生噪声；砼面板购买商混，砼的振捣将产生噪声、混凝土养护废水。</w:t>
      </w:r>
    </w:p>
    <w:p w14:paraId="474564F1">
      <w:pPr>
        <w:ind w:firstLine="480" w:firstLineChars="200"/>
        <w:rPr>
          <w:rFonts w:cs="Times New Roman"/>
          <w:color w:val="0000FF"/>
        </w:rPr>
      </w:pPr>
      <w:r>
        <w:rPr>
          <w:rFonts w:cs="Times New Roman"/>
          <w:color w:val="0000FF"/>
        </w:rPr>
        <w:t>原有砼道路采用破碎机破碎后，部分用于路基填筑，不可利用的送至当地建筑垃圾综合利用厂进行加工、筛分利用。</w:t>
      </w:r>
    </w:p>
    <w:p w14:paraId="6FBC3E2B">
      <w:pPr>
        <w:ind w:firstLine="480" w:firstLineChars="200"/>
        <w:rPr>
          <w:rFonts w:cs="Times New Roman"/>
          <w:color w:val="0000FF"/>
        </w:rPr>
      </w:pPr>
      <w:r>
        <w:rPr>
          <w:rFonts w:cs="Times New Roman"/>
          <w:color w:val="0000FF"/>
        </w:rPr>
        <w:t>堤顶砼道路产污环节如下图。</w:t>
      </w:r>
    </w:p>
    <w:p w14:paraId="5234AF4B">
      <w:pPr>
        <w:ind w:firstLine="480" w:firstLineChars="200"/>
        <w:rPr>
          <w:rFonts w:cs="Times New Roman"/>
          <w:color w:val="0000FF"/>
        </w:rPr>
      </w:pPr>
      <w:r>
        <w:rPr>
          <w:rFonts w:cs="Times New Roman"/>
          <w:color w:val="0000FF"/>
        </w:rPr>
        <w:object>
          <v:shape id="_x0000_i1026" o:spt="75" type="#_x0000_t75" style="height:84pt;width:447.95pt;" o:ole="t" filled="f" o:preferrelative="t" stroked="f" coordsize="21600,21600">
            <v:path/>
            <v:fill on="f" focussize="0,0"/>
            <v:stroke on="f" joinstyle="miter"/>
            <v:imagedata r:id="rId117" o:title=""/>
            <o:lock v:ext="edit" aspectratio="f"/>
            <w10:wrap type="none"/>
            <w10:anchorlock/>
          </v:shape>
          <o:OLEObject Type="Embed" ProgID="Visio.Drawing.11" ShapeID="_x0000_i1026" DrawAspect="Content" ObjectID="_1468075726" r:id="rId116">
            <o:LockedField>false</o:LockedField>
          </o:OLEObject>
        </w:object>
      </w:r>
    </w:p>
    <w:p w14:paraId="2CDA4B28">
      <w:pPr>
        <w:rPr>
          <w:color w:val="0000FF"/>
        </w:rPr>
      </w:pPr>
      <w:r>
        <w:rPr>
          <w:color w:val="0000FF"/>
        </w:rPr>
        <w:t>图3-1-</w:t>
      </w:r>
      <w:r>
        <w:rPr>
          <w:rFonts w:hint="eastAsia"/>
          <w:color w:val="0000FF"/>
        </w:rPr>
        <w:t>6</w:t>
      </w:r>
      <w:r>
        <w:rPr>
          <w:color w:val="0000FF"/>
        </w:rPr>
        <w:t xml:space="preserve">  堤顶砼道路产污节点图</w:t>
      </w:r>
    </w:p>
    <w:p w14:paraId="5F713810">
      <w:pPr>
        <w:pStyle w:val="4"/>
        <w:rPr>
          <w:rFonts w:cs="Times New Roman"/>
          <w:color w:val="0000FF"/>
        </w:rPr>
      </w:pPr>
      <w:r>
        <w:rPr>
          <w:rFonts w:cs="Times New Roman"/>
          <w:color w:val="0000FF"/>
        </w:rPr>
        <w:t>3.2.2产污环节</w:t>
      </w:r>
    </w:p>
    <w:p w14:paraId="4C068C35">
      <w:pPr>
        <w:pStyle w:val="5"/>
        <w:rPr>
          <w:rFonts w:cs="Times New Roman"/>
          <w:color w:val="0000FF"/>
        </w:rPr>
      </w:pPr>
      <w:r>
        <w:rPr>
          <w:rFonts w:cs="Times New Roman"/>
          <w:color w:val="0000FF"/>
        </w:rPr>
        <w:t>3.2.2.</w:t>
      </w:r>
      <w:r>
        <w:rPr>
          <w:rFonts w:hint="eastAsia" w:cs="Times New Roman"/>
          <w:color w:val="0000FF"/>
        </w:rPr>
        <w:t>1</w:t>
      </w:r>
      <w:r>
        <w:rPr>
          <w:rFonts w:cs="Times New Roman"/>
          <w:color w:val="0000FF"/>
        </w:rPr>
        <w:t>土方工程</w:t>
      </w:r>
    </w:p>
    <w:p w14:paraId="5CE8190B">
      <w:pPr>
        <w:ind w:firstLine="480"/>
        <w:rPr>
          <w:rFonts w:cs="Times New Roman"/>
          <w:color w:val="0000FF"/>
        </w:rPr>
      </w:pPr>
      <w:r>
        <w:rPr>
          <w:rFonts w:cs="Times New Roman"/>
          <w:color w:val="0000FF"/>
        </w:rPr>
        <w:t>土方的开挖对植被造成影响，开挖过程中产生废气和扬尘，施工机械会产生噪声和车辆冲洗水，多余的土方将产生弃土。土方运输过程中产生一定量的扬尘，施工车辆产生的尾气，会对施工现场周围环境产生一定的影响。</w:t>
      </w:r>
    </w:p>
    <w:p w14:paraId="4592C994">
      <w:pPr>
        <w:pStyle w:val="5"/>
        <w:rPr>
          <w:rFonts w:cs="Times New Roman"/>
          <w:color w:val="0000FF"/>
        </w:rPr>
      </w:pPr>
      <w:r>
        <w:rPr>
          <w:rFonts w:cs="Times New Roman"/>
          <w:color w:val="0000FF"/>
        </w:rPr>
        <w:t>3.2.2.3 清淤工程</w:t>
      </w:r>
    </w:p>
    <w:p w14:paraId="50ECC835">
      <w:pPr>
        <w:ind w:firstLine="482"/>
        <w:rPr>
          <w:rFonts w:cs="Times New Roman"/>
          <w:color w:val="0000FF"/>
        </w:rPr>
      </w:pPr>
      <w:r>
        <w:rPr>
          <w:rFonts w:cs="Times New Roman"/>
          <w:color w:val="0000FF"/>
        </w:rPr>
        <w:t>本工程涉及渠道清淤工程为14个子项目，总清淤长度为72.3</w:t>
      </w:r>
      <w:r>
        <w:rPr>
          <w:rFonts w:hint="eastAsia" w:cs="Times New Roman"/>
          <w:color w:val="0000FF"/>
        </w:rPr>
        <w:t>9</w:t>
      </w:r>
      <w:r>
        <w:rPr>
          <w:rFonts w:cs="Times New Roman"/>
          <w:color w:val="0000FF"/>
        </w:rPr>
        <w:t>km，清淤量约26.13万m</w:t>
      </w:r>
      <w:r>
        <w:rPr>
          <w:rFonts w:cs="Times New Roman"/>
          <w:color w:val="0000FF"/>
          <w:vertAlign w:val="superscript"/>
        </w:rPr>
        <w:t>3</w:t>
      </w:r>
      <w:r>
        <w:rPr>
          <w:rFonts w:cs="Times New Roman"/>
          <w:color w:val="0000FF"/>
        </w:rPr>
        <w:t>。分段进行施工，一般自上而下逐段施工，主要采用反铲挖掘机开挖；渠道利用现有渠系建筑物进行下泄，枯水期施工渠道内基本无水。然后采用自卸汽车运土，开挖弃土运至渠道两侧选定弃土区弃土。影响范围主要为开挖渠道、弃土区及其工程附近的区域，主要影响为弃土区产生的恶臭气体、粉尘、反铲挖掘机、自卸汽车等施工机械运行产生的噪声、生态等影响。</w:t>
      </w:r>
    </w:p>
    <w:p w14:paraId="60A0679F">
      <w:pPr>
        <w:pStyle w:val="5"/>
        <w:rPr>
          <w:rFonts w:cs="Times New Roman"/>
          <w:color w:val="0000FF"/>
        </w:rPr>
      </w:pPr>
      <w:r>
        <w:rPr>
          <w:rFonts w:cs="Times New Roman"/>
          <w:color w:val="0000FF"/>
        </w:rPr>
        <w:t>3.2.2.4 护坡工程</w:t>
      </w:r>
    </w:p>
    <w:p w14:paraId="4F566760">
      <w:pPr>
        <w:ind w:firstLine="480"/>
        <w:rPr>
          <w:rFonts w:cs="Times New Roman"/>
          <w:color w:val="0000FF"/>
        </w:rPr>
      </w:pPr>
      <w:r>
        <w:rPr>
          <w:rFonts w:cs="Times New Roman"/>
          <w:color w:val="0000FF"/>
        </w:rPr>
        <w:t>护坡所用的砼预制块均外购。</w:t>
      </w:r>
    </w:p>
    <w:p w14:paraId="0C06F2A4">
      <w:pPr>
        <w:ind w:firstLine="480"/>
        <w:rPr>
          <w:rFonts w:cs="Times New Roman"/>
          <w:color w:val="0000FF"/>
        </w:rPr>
      </w:pPr>
      <w:r>
        <w:rPr>
          <w:rFonts w:cs="Times New Roman"/>
          <w:color w:val="0000FF"/>
        </w:rPr>
        <w:t>坡面表土进行清理时会产生扬尘，施工机械噪声以及弃土；</w:t>
      </w:r>
    </w:p>
    <w:p w14:paraId="0CACC8FF">
      <w:pPr>
        <w:ind w:firstLine="480"/>
        <w:rPr>
          <w:rFonts w:cs="Times New Roman"/>
          <w:color w:val="0000FF"/>
        </w:rPr>
      </w:pPr>
      <w:r>
        <w:rPr>
          <w:rFonts w:cs="Times New Roman"/>
          <w:color w:val="0000FF"/>
        </w:rPr>
        <w:t>堤防勒脚浇筑砼用商品混凝土，振捣器振捣密实，将产生噪声、扬尘、混凝土养护废水。</w:t>
      </w:r>
    </w:p>
    <w:p w14:paraId="68483A84">
      <w:pPr>
        <w:ind w:firstLine="480"/>
        <w:jc w:val="center"/>
        <w:rPr>
          <w:rFonts w:cs="Times New Roman"/>
          <w:color w:val="0000FF"/>
        </w:rPr>
      </w:pPr>
      <w:r>
        <w:rPr>
          <w:rFonts w:cs="Times New Roman"/>
          <w:color w:val="0000FF"/>
        </w:rPr>
        <w:object>
          <v:shape id="_x0000_i1027" o:spt="75" type="#_x0000_t75" style="height:56.05pt;width:247pt;" o:ole="t" filled="f" o:preferrelative="t" stroked="f" coordsize="21600,21600">
            <v:path/>
            <v:fill on="f" focussize="0,0"/>
            <v:stroke on="f" joinstyle="miter"/>
            <v:imagedata r:id="rId119" o:title=""/>
            <o:lock v:ext="edit" aspectratio="f"/>
            <w10:wrap type="none"/>
            <w10:anchorlock/>
          </v:shape>
          <o:OLEObject Type="Embed" ProgID="Visio.Drawing.11" ShapeID="_x0000_i1027" DrawAspect="Content" ObjectID="_1468075727" r:id="rId118">
            <o:LockedField>false</o:LockedField>
          </o:OLEObject>
        </w:object>
      </w:r>
    </w:p>
    <w:p w14:paraId="243B588E">
      <w:pPr>
        <w:rPr>
          <w:color w:val="0000FF"/>
        </w:rPr>
      </w:pPr>
      <w:r>
        <w:rPr>
          <w:color w:val="0000FF"/>
        </w:rPr>
        <w:t>图3-1-7  护坡工程产污节点图</w:t>
      </w:r>
    </w:p>
    <w:p w14:paraId="250FAFD8">
      <w:pPr>
        <w:pStyle w:val="5"/>
        <w:rPr>
          <w:rFonts w:cs="Times New Roman"/>
          <w:color w:val="0000FF"/>
        </w:rPr>
      </w:pPr>
      <w:r>
        <w:rPr>
          <w:rFonts w:cs="Times New Roman"/>
          <w:color w:val="0000FF"/>
        </w:rPr>
        <w:t>3.2.2.5 堤顶砼道路</w:t>
      </w:r>
    </w:p>
    <w:p w14:paraId="21EA9C70">
      <w:pPr>
        <w:ind w:firstLine="480"/>
        <w:rPr>
          <w:rFonts w:cs="Times New Roman"/>
          <w:color w:val="0000FF"/>
        </w:rPr>
      </w:pPr>
      <w:r>
        <w:rPr>
          <w:rFonts w:cs="Times New Roman"/>
          <w:color w:val="0000FF"/>
        </w:rPr>
        <w:t>路基开挖、平整会产生噪声、扬尘；路面压实用压路机，会产生噪声；砼面板购买商混，砼的振捣将产生噪声、混凝土养护废水。</w:t>
      </w:r>
    </w:p>
    <w:p w14:paraId="566E2777">
      <w:pPr>
        <w:ind w:firstLine="480"/>
        <w:rPr>
          <w:rFonts w:cs="Times New Roman"/>
          <w:bCs/>
          <w:color w:val="0000FF"/>
        </w:rPr>
      </w:pPr>
      <w:r>
        <w:rPr>
          <w:rFonts w:cs="Times New Roman"/>
          <w:color w:val="0000FF"/>
        </w:rPr>
        <w:t>原有砼道路采用</w:t>
      </w:r>
      <w:r>
        <w:rPr>
          <w:rFonts w:cs="Times New Roman"/>
          <w:bCs/>
          <w:color w:val="0000FF"/>
        </w:rPr>
        <w:t>破碎机破碎后，部分用于路基填筑，不可利用的送至当地建筑垃圾综合利用厂进行加工、筛分利用。</w:t>
      </w:r>
    </w:p>
    <w:p w14:paraId="7C14A4B3">
      <w:pPr>
        <w:ind w:firstLine="480"/>
        <w:rPr>
          <w:rFonts w:cs="Times New Roman"/>
          <w:color w:val="0000FF"/>
        </w:rPr>
      </w:pPr>
      <w:r>
        <w:rPr>
          <w:rFonts w:cs="Times New Roman"/>
          <w:color w:val="0000FF"/>
        </w:rPr>
        <w:t>堤顶砼道路产污环节如下图。</w:t>
      </w:r>
    </w:p>
    <w:p w14:paraId="1E2C85F7">
      <w:pPr>
        <w:spacing w:line="240" w:lineRule="auto"/>
        <w:rPr>
          <w:rFonts w:cs="Times New Roman"/>
          <w:color w:val="0000FF"/>
        </w:rPr>
      </w:pPr>
      <w:r>
        <w:rPr>
          <w:rFonts w:cs="Times New Roman"/>
          <w:color w:val="0000FF"/>
        </w:rPr>
        <w:object>
          <v:shape id="_x0000_i1028" o:spt="75" type="#_x0000_t75" style="height:84pt;width:385.65pt;" o:ole="t" filled="f" o:preferrelative="t" stroked="f" coordsize="21600,21600">
            <v:path/>
            <v:fill on="f" focussize="0,0"/>
            <v:stroke on="f" joinstyle="miter"/>
            <v:imagedata r:id="rId117" o:title=""/>
            <o:lock v:ext="edit" aspectratio="f"/>
            <w10:wrap type="none"/>
            <w10:anchorlock/>
          </v:shape>
          <o:OLEObject Type="Embed" ProgID="Visio.Drawing.11" ShapeID="_x0000_i1028" DrawAspect="Content" ObjectID="_1468075728" r:id="rId120">
            <o:LockedField>false</o:LockedField>
          </o:OLEObject>
        </w:object>
      </w:r>
    </w:p>
    <w:p w14:paraId="77C784C4">
      <w:pPr>
        <w:rPr>
          <w:color w:val="0000FF"/>
        </w:rPr>
      </w:pPr>
      <w:r>
        <w:rPr>
          <w:color w:val="0000FF"/>
        </w:rPr>
        <w:t>图3-1-8  堤顶砼道路产污节点图</w:t>
      </w:r>
    </w:p>
    <w:p w14:paraId="15DF7A56">
      <w:pPr>
        <w:pStyle w:val="5"/>
        <w:rPr>
          <w:rFonts w:cs="Times New Roman"/>
          <w:color w:val="0000FF"/>
        </w:rPr>
      </w:pPr>
      <w:r>
        <w:rPr>
          <w:rFonts w:cs="Times New Roman"/>
          <w:color w:val="0000FF"/>
        </w:rPr>
        <w:t>3.2.2.8 渠系建筑物工程</w:t>
      </w:r>
    </w:p>
    <w:p w14:paraId="4A0F2A3C">
      <w:pPr>
        <w:ind w:firstLine="480" w:firstLineChars="200"/>
        <w:rPr>
          <w:rFonts w:cs="Times New Roman"/>
          <w:color w:val="0000FF"/>
        </w:rPr>
      </w:pPr>
      <w:r>
        <w:rPr>
          <w:rFonts w:cs="Times New Roman"/>
          <w:color w:val="0000FF"/>
        </w:rPr>
        <w:t>渠系建筑物工程主要包括节制闸、泄洪闸、进水闸、放水涵、放水口、渠下涵、过路涵、跌水、渡槽和机耕桥等。</w:t>
      </w:r>
    </w:p>
    <w:p w14:paraId="27767DB7">
      <w:pPr>
        <w:ind w:firstLine="480" w:firstLineChars="200"/>
        <w:rPr>
          <w:rFonts w:cs="Times New Roman"/>
          <w:color w:val="0000FF"/>
        </w:rPr>
      </w:pPr>
      <w:r>
        <w:rPr>
          <w:rFonts w:cs="Times New Roman"/>
          <w:color w:val="0000FF"/>
        </w:rPr>
        <w:t>（1）土方开挖与回填</w:t>
      </w:r>
    </w:p>
    <w:p w14:paraId="28917693">
      <w:pPr>
        <w:ind w:firstLine="480" w:firstLineChars="200"/>
        <w:rPr>
          <w:rFonts w:cs="Times New Roman"/>
          <w:color w:val="0000FF"/>
        </w:rPr>
      </w:pPr>
      <w:r>
        <w:rPr>
          <w:rFonts w:cs="Times New Roman"/>
          <w:color w:val="0000FF"/>
        </w:rPr>
        <w:t>对于开挖量较大的建筑物，基坑开挖以机械施工为主，人工开挖为辅；开挖量较小的建筑物，基坑开挖主要采用人工进行。挖方大部分用于围堰填筑或就近堆放用于基坑回填，不符合填筑质量的送弃土区。填筑时，部分土料采用人工配蛙式打夯机夯实，部分用履带拖拉机压实。</w:t>
      </w:r>
    </w:p>
    <w:p w14:paraId="16A97AD7">
      <w:pPr>
        <w:ind w:firstLine="480" w:firstLineChars="200"/>
        <w:rPr>
          <w:rFonts w:cs="Times New Roman"/>
          <w:color w:val="0000FF"/>
        </w:rPr>
      </w:pPr>
      <w:r>
        <w:rPr>
          <w:rFonts w:cs="Times New Roman"/>
          <w:color w:val="0000FF"/>
        </w:rPr>
        <w:t>开挖与回填产生的主要污染物为扬尘、噪声、弃土、施工机械冲洗水。</w:t>
      </w:r>
    </w:p>
    <w:p w14:paraId="5D23BFAF">
      <w:pPr>
        <w:ind w:firstLine="480" w:firstLineChars="200"/>
        <w:rPr>
          <w:rFonts w:cs="Times New Roman"/>
          <w:color w:val="0000FF"/>
        </w:rPr>
      </w:pPr>
      <w:r>
        <w:rPr>
          <w:rFonts w:cs="Times New Roman"/>
          <w:color w:val="0000FF"/>
        </w:rPr>
        <w:t>（2）建筑物拆除及堆、砌石施工</w:t>
      </w:r>
    </w:p>
    <w:p w14:paraId="63A1A92A">
      <w:pPr>
        <w:ind w:firstLine="480" w:firstLineChars="200"/>
        <w:rPr>
          <w:rFonts w:cs="Times New Roman"/>
          <w:color w:val="0000FF"/>
        </w:rPr>
      </w:pPr>
      <w:r>
        <w:rPr>
          <w:rFonts w:cs="Times New Roman"/>
          <w:color w:val="0000FF"/>
        </w:rPr>
        <w:t>砌石拆除采取人工配钢钎进行，基本不产生污染；桥梁拆除采用破碎机破碎后挖掘机挖装，拆除的石块大部分利用。其余弃渣送至当地建筑垃圾综合利用厂进行处理。产生的主要污染物为运输车辆扬尘、破碎机破碎产生的施工扬尘、噪声、弃土。</w:t>
      </w:r>
    </w:p>
    <w:p w14:paraId="08C352C3">
      <w:pPr>
        <w:ind w:firstLine="480" w:firstLineChars="200"/>
        <w:rPr>
          <w:rFonts w:cs="Times New Roman"/>
          <w:color w:val="0000FF"/>
        </w:rPr>
      </w:pPr>
      <w:r>
        <w:rPr>
          <w:rFonts w:cs="Times New Roman"/>
          <w:color w:val="0000FF"/>
        </w:rPr>
        <w:t>浆砌石中所用的砂浆采用搅拌机或人工拌制，胶轮车运料，会产生扬尘。</w:t>
      </w:r>
    </w:p>
    <w:p w14:paraId="1BC5653E">
      <w:pPr>
        <w:ind w:firstLine="480" w:firstLineChars="200"/>
        <w:rPr>
          <w:rFonts w:cs="Times New Roman"/>
          <w:color w:val="0000FF"/>
        </w:rPr>
      </w:pPr>
      <w:r>
        <w:rPr>
          <w:rFonts w:cs="Times New Roman"/>
          <w:color w:val="0000FF"/>
        </w:rPr>
        <w:t>（3）砼施工</w:t>
      </w:r>
    </w:p>
    <w:p w14:paraId="3CA98A8F">
      <w:pPr>
        <w:ind w:firstLine="480" w:firstLineChars="200"/>
        <w:rPr>
          <w:rFonts w:cs="Times New Roman"/>
          <w:color w:val="0000FF"/>
        </w:rPr>
      </w:pPr>
      <w:r>
        <w:rPr>
          <w:rFonts w:cs="Times New Roman"/>
          <w:color w:val="0000FF"/>
        </w:rPr>
        <w:t>现浇砼构件拆除采用人工配风镐进行，会产生噪声和扬尘；预制砼构件拆除采用人工或扒杆整块搬抬至基坑外，基本无污染。</w:t>
      </w:r>
    </w:p>
    <w:p w14:paraId="0AB38EE3">
      <w:pPr>
        <w:ind w:firstLine="480" w:firstLineChars="200"/>
        <w:rPr>
          <w:rFonts w:cs="Times New Roman"/>
          <w:color w:val="0000FF"/>
        </w:rPr>
      </w:pPr>
      <w:r>
        <w:rPr>
          <w:rFonts w:cs="Times New Roman"/>
          <w:color w:val="0000FF"/>
        </w:rPr>
        <w:t>现浇砼熟料由就近布置的砼搅拌机拌制，手推车配溜筒、溜槽运送熟料入仓，振捣器或人工插捣密实，会产生扬尘、噪声和混凝土废水。</w:t>
      </w:r>
    </w:p>
    <w:p w14:paraId="171E224C">
      <w:pPr>
        <w:ind w:firstLine="480" w:firstLineChars="200"/>
        <w:rPr>
          <w:rFonts w:cs="Times New Roman"/>
          <w:color w:val="0000FF"/>
        </w:rPr>
      </w:pPr>
      <w:r>
        <w:rPr>
          <w:rFonts w:cs="Times New Roman"/>
          <w:color w:val="0000FF"/>
        </w:rPr>
        <w:t>（4）金属结构制作、安装</w:t>
      </w:r>
    </w:p>
    <w:p w14:paraId="64E909E2">
      <w:pPr>
        <w:ind w:firstLine="480" w:firstLineChars="200"/>
        <w:rPr>
          <w:rFonts w:cs="Times New Roman"/>
          <w:color w:val="0000FF"/>
        </w:rPr>
      </w:pPr>
      <w:r>
        <w:rPr>
          <w:rFonts w:cs="Times New Roman"/>
          <w:color w:val="0000FF"/>
        </w:rPr>
        <w:t>老闸门、启闭机拆除选用扒杆或汽车起重机进行，再用自卸汽车拖运至闸附近的空地。产生的污染主要为噪声和废机油及其包装容器。</w:t>
      </w:r>
    </w:p>
    <w:p w14:paraId="1B073B60">
      <w:pPr>
        <w:spacing w:line="240" w:lineRule="auto"/>
        <w:rPr>
          <w:rFonts w:cs="Times New Roman"/>
          <w:color w:val="0000FF"/>
        </w:rPr>
      </w:pPr>
      <w:r>
        <w:rPr>
          <w:rFonts w:cs="Times New Roman"/>
          <w:color w:val="0000FF"/>
        </w:rPr>
        <w:object>
          <v:shape id="_x0000_i1029" o:spt="75" type="#_x0000_t75" style="height:73.6pt;width:453.05pt;" o:ole="t" filled="f" o:preferrelative="t" stroked="f" coordsize="21600,21600">
            <v:path/>
            <v:fill on="f" focussize="0,0"/>
            <v:stroke on="f" joinstyle="miter"/>
            <v:imagedata r:id="rId122" o:title=""/>
            <o:lock v:ext="edit" aspectratio="f"/>
            <w10:wrap type="none"/>
            <w10:anchorlock/>
          </v:shape>
          <o:OLEObject Type="Embed" ProgID="Visio.Drawing.11" ShapeID="_x0000_i1029" DrawAspect="Content" ObjectID="_1468075729" r:id="rId121">
            <o:LockedField>false</o:LockedField>
          </o:OLEObject>
        </w:object>
      </w:r>
    </w:p>
    <w:p w14:paraId="0BAC55F7">
      <w:pPr>
        <w:rPr>
          <w:color w:val="0000FF"/>
        </w:rPr>
      </w:pPr>
      <w:r>
        <w:rPr>
          <w:color w:val="0000FF"/>
        </w:rPr>
        <w:t>图3-1-12  渠系建筑物施工过程产污节点图</w:t>
      </w:r>
    </w:p>
    <w:p w14:paraId="12DDD036">
      <w:pPr>
        <w:pStyle w:val="5"/>
        <w:rPr>
          <w:rFonts w:cs="Times New Roman"/>
          <w:color w:val="0000FF"/>
        </w:rPr>
      </w:pPr>
      <w:r>
        <w:rPr>
          <w:rFonts w:cs="Times New Roman"/>
          <w:color w:val="0000FF"/>
        </w:rPr>
        <w:t>3.2.2.9 围堰施工</w:t>
      </w:r>
    </w:p>
    <w:p w14:paraId="328959C8">
      <w:pPr>
        <w:ind w:firstLine="480" w:firstLineChars="200"/>
        <w:rPr>
          <w:rFonts w:cs="Times New Roman"/>
          <w:color w:val="0000FF"/>
        </w:rPr>
      </w:pPr>
      <w:r>
        <w:rPr>
          <w:rFonts w:cs="Times New Roman"/>
          <w:color w:val="0000FF"/>
        </w:rPr>
        <w:t>护坡施工和桥梁施工土围堰部分利用附近开挖土方填筑，渠下涵围堰土方来源于基坑开挖土方填筑，不足部分自取土场取土，围堰土料采用1.0m</w:t>
      </w:r>
      <w:r>
        <w:rPr>
          <w:rFonts w:cs="Times New Roman"/>
          <w:color w:val="0000FF"/>
          <w:vertAlign w:val="superscript"/>
        </w:rPr>
        <w:t>3</w:t>
      </w:r>
      <w:r>
        <w:rPr>
          <w:rFonts w:cs="Times New Roman"/>
          <w:color w:val="0000FF"/>
        </w:rPr>
        <w:t>反铲挖掘机开挖，5～8t自卸汽车运输，74kW推土机自一端推土进占，分层压实。围堰在施工结束后采用反铲挖掘机配自卸汽车拆除。</w:t>
      </w:r>
    </w:p>
    <w:p w14:paraId="6585239E">
      <w:pPr>
        <w:ind w:firstLine="480" w:firstLineChars="200"/>
        <w:rPr>
          <w:rFonts w:cs="Times New Roman"/>
          <w:color w:val="0000FF"/>
        </w:rPr>
      </w:pPr>
      <w:r>
        <w:rPr>
          <w:rFonts w:cs="Times New Roman"/>
          <w:color w:val="0000FF"/>
        </w:rPr>
        <w:t>围堰所需的土方开挖、运输会产生噪声和扬尘；围堰填筑和拆除会对水体造成扰动，会水体中的SS浓度增加，拆除的围堰会产生弃土。</w:t>
      </w:r>
    </w:p>
    <w:p w14:paraId="78FDFBBE">
      <w:pPr>
        <w:spacing w:line="240" w:lineRule="auto"/>
        <w:rPr>
          <w:rFonts w:cs="Times New Roman"/>
          <w:color w:val="0000FF"/>
        </w:rPr>
      </w:pPr>
      <w:r>
        <w:rPr>
          <w:rFonts w:cs="Times New Roman"/>
          <w:color w:val="0000FF"/>
        </w:rPr>
        <w:object>
          <v:shape id="_x0000_i1030" o:spt="75" type="#_x0000_t75" style="height:59.6pt;width:330.9pt;" o:ole="t" filled="f" o:preferrelative="t" stroked="f" coordsize="21600,21600">
            <v:path/>
            <v:fill on="f" focussize="0,0"/>
            <v:stroke on="f" joinstyle="miter"/>
            <v:imagedata r:id="rId124" o:title=""/>
            <o:lock v:ext="edit" aspectratio="f"/>
            <w10:wrap type="none"/>
            <w10:anchorlock/>
          </v:shape>
          <o:OLEObject Type="Embed" ProgID="Visio.Drawing.11" ShapeID="_x0000_i1030" DrawAspect="Content" ObjectID="_1468075730" r:id="rId123">
            <o:LockedField>false</o:LockedField>
          </o:OLEObject>
        </w:object>
      </w:r>
    </w:p>
    <w:p w14:paraId="7677C5CC">
      <w:pPr>
        <w:rPr>
          <w:color w:val="0000FF"/>
        </w:rPr>
      </w:pPr>
      <w:r>
        <w:rPr>
          <w:color w:val="0000FF"/>
        </w:rPr>
        <w:t>图3-1-13  围堰施工产污节点图</w:t>
      </w:r>
    </w:p>
    <w:p w14:paraId="68DAD09F">
      <w:pPr>
        <w:pStyle w:val="4"/>
        <w:rPr>
          <w:rFonts w:cs="Times New Roman"/>
          <w:color w:val="0000FF"/>
        </w:rPr>
      </w:pPr>
      <w:r>
        <w:rPr>
          <w:rFonts w:cs="Times New Roman"/>
          <w:color w:val="0000FF"/>
        </w:rPr>
        <w:t>3.2.3 施工期污染源强分析</w:t>
      </w:r>
    </w:p>
    <w:p w14:paraId="4E2F91BD">
      <w:pPr>
        <w:pStyle w:val="5"/>
        <w:rPr>
          <w:rFonts w:cs="Times New Roman"/>
          <w:color w:val="0000FF"/>
        </w:rPr>
      </w:pPr>
      <w:r>
        <w:rPr>
          <w:rFonts w:cs="Times New Roman"/>
          <w:color w:val="0000FF"/>
        </w:rPr>
        <w:t>3.2.3.1水污染物</w:t>
      </w:r>
    </w:p>
    <w:p w14:paraId="69BD3FD6">
      <w:pPr>
        <w:ind w:firstLine="480"/>
        <w:rPr>
          <w:rFonts w:cs="Times New Roman"/>
          <w:color w:val="0000FF"/>
        </w:rPr>
      </w:pPr>
      <w:r>
        <w:rPr>
          <w:rFonts w:cs="Times New Roman"/>
          <w:color w:val="0000FF"/>
        </w:rPr>
        <w:t>施工期地表水污染源主要来自施工人员产生的生活污水；施工机械设备冲洗产生的含油废水；混凝土施工废水；穿堤建筑物开挖清基产生的基坑废水。</w:t>
      </w:r>
    </w:p>
    <w:p w14:paraId="2E44F22F">
      <w:pPr>
        <w:ind w:firstLine="480"/>
        <w:rPr>
          <w:rFonts w:cs="Times New Roman"/>
          <w:color w:val="0000FF"/>
        </w:rPr>
      </w:pPr>
      <w:r>
        <w:rPr>
          <w:rFonts w:cs="Times New Roman"/>
          <w:color w:val="0000FF"/>
        </w:rPr>
        <w:t>工程施工主要水污染源情况见表3-2-1。</w:t>
      </w:r>
    </w:p>
    <w:p w14:paraId="159E8BCD">
      <w:pPr>
        <w:rPr>
          <w:color w:val="0000FF"/>
        </w:rPr>
      </w:pPr>
      <w:r>
        <w:rPr>
          <w:color w:val="0000FF"/>
        </w:rPr>
        <w:t>表3-2-1  施工期废水污染源情况表</w:t>
      </w:r>
    </w:p>
    <w:tbl>
      <w:tblPr>
        <w:tblStyle w:val="16"/>
        <w:tblW w:w="4905" w:type="pct"/>
        <w:jc w:val="center"/>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28" w:type="dxa"/>
          <w:left w:w="57" w:type="dxa"/>
          <w:bottom w:w="0" w:type="dxa"/>
          <w:right w:w="57" w:type="dxa"/>
        </w:tblCellMar>
      </w:tblPr>
      <w:tblGrid>
        <w:gridCol w:w="750"/>
        <w:gridCol w:w="1853"/>
        <w:gridCol w:w="1464"/>
        <w:gridCol w:w="1410"/>
        <w:gridCol w:w="3533"/>
      </w:tblGrid>
      <w:tr w14:paraId="4597E3D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28" w:type="dxa"/>
            <w:left w:w="57" w:type="dxa"/>
            <w:bottom w:w="0" w:type="dxa"/>
            <w:right w:w="57" w:type="dxa"/>
          </w:tblCellMar>
        </w:tblPrEx>
        <w:trPr>
          <w:trHeight w:val="340" w:hRule="atLeast"/>
          <w:jc w:val="center"/>
        </w:trPr>
        <w:tc>
          <w:tcPr>
            <w:tcW w:w="1444" w:type="pct"/>
            <w:gridSpan w:val="2"/>
            <w:tcBorders>
              <w:left w:val="single" w:color="auto" w:sz="4" w:space="0"/>
            </w:tcBorders>
            <w:vAlign w:val="center"/>
          </w:tcPr>
          <w:p w14:paraId="72B24277">
            <w:pPr>
              <w:pStyle w:val="28"/>
              <w:bidi w:val="0"/>
            </w:pPr>
            <w:r>
              <w:t>污染源名称</w:t>
            </w:r>
          </w:p>
        </w:tc>
        <w:tc>
          <w:tcPr>
            <w:tcW w:w="812" w:type="pct"/>
            <w:vAlign w:val="center"/>
          </w:tcPr>
          <w:p w14:paraId="2225AB24">
            <w:pPr>
              <w:pStyle w:val="28"/>
              <w:bidi w:val="0"/>
            </w:pPr>
            <w:r>
              <w:t>污水</w:t>
            </w:r>
          </w:p>
        </w:tc>
        <w:tc>
          <w:tcPr>
            <w:tcW w:w="782" w:type="pct"/>
            <w:vAlign w:val="center"/>
          </w:tcPr>
          <w:p w14:paraId="67828927">
            <w:pPr>
              <w:pStyle w:val="28"/>
              <w:bidi w:val="0"/>
            </w:pPr>
            <w:r>
              <w:t>主要污染物</w:t>
            </w:r>
          </w:p>
        </w:tc>
        <w:tc>
          <w:tcPr>
            <w:tcW w:w="1960" w:type="pct"/>
            <w:tcBorders>
              <w:right w:val="single" w:color="auto" w:sz="4" w:space="0"/>
            </w:tcBorders>
            <w:vAlign w:val="center"/>
          </w:tcPr>
          <w:p w14:paraId="12AD0EF8">
            <w:pPr>
              <w:pStyle w:val="28"/>
              <w:bidi w:val="0"/>
            </w:pPr>
            <w:r>
              <w:t>去向</w:t>
            </w:r>
          </w:p>
        </w:tc>
      </w:tr>
      <w:tr w14:paraId="5D95B17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28" w:type="dxa"/>
            <w:left w:w="57" w:type="dxa"/>
            <w:bottom w:w="0" w:type="dxa"/>
            <w:right w:w="57" w:type="dxa"/>
          </w:tblCellMar>
        </w:tblPrEx>
        <w:trPr>
          <w:trHeight w:val="340" w:hRule="atLeast"/>
          <w:jc w:val="center"/>
        </w:trPr>
        <w:tc>
          <w:tcPr>
            <w:tcW w:w="416" w:type="pct"/>
            <w:vMerge w:val="restart"/>
            <w:tcBorders>
              <w:left w:val="single" w:color="auto" w:sz="4" w:space="0"/>
            </w:tcBorders>
            <w:vAlign w:val="center"/>
          </w:tcPr>
          <w:p w14:paraId="4E8B53FB">
            <w:pPr>
              <w:pStyle w:val="28"/>
              <w:bidi w:val="0"/>
            </w:pPr>
            <w:r>
              <w:t>施工生产废水</w:t>
            </w:r>
          </w:p>
        </w:tc>
        <w:tc>
          <w:tcPr>
            <w:tcW w:w="1027" w:type="pct"/>
            <w:vAlign w:val="center"/>
          </w:tcPr>
          <w:p w14:paraId="6BD152FB">
            <w:pPr>
              <w:pStyle w:val="28"/>
              <w:bidi w:val="0"/>
            </w:pPr>
            <w:r>
              <w:t>混凝土工程</w:t>
            </w:r>
          </w:p>
        </w:tc>
        <w:tc>
          <w:tcPr>
            <w:tcW w:w="812" w:type="pct"/>
            <w:vAlign w:val="center"/>
          </w:tcPr>
          <w:p w14:paraId="1E844603">
            <w:pPr>
              <w:pStyle w:val="28"/>
              <w:bidi w:val="0"/>
            </w:pPr>
            <w:r>
              <w:t>商混混凝土搅拌及养护废水</w:t>
            </w:r>
          </w:p>
        </w:tc>
        <w:tc>
          <w:tcPr>
            <w:tcW w:w="782" w:type="pct"/>
            <w:vAlign w:val="center"/>
          </w:tcPr>
          <w:p w14:paraId="11ABC728">
            <w:pPr>
              <w:pStyle w:val="28"/>
              <w:bidi w:val="0"/>
            </w:pPr>
            <w:r>
              <w:t>SS，pH</w:t>
            </w:r>
          </w:p>
        </w:tc>
        <w:tc>
          <w:tcPr>
            <w:tcW w:w="1960" w:type="pct"/>
            <w:tcBorders>
              <w:right w:val="single" w:color="auto" w:sz="4" w:space="0"/>
            </w:tcBorders>
            <w:vAlign w:val="center"/>
          </w:tcPr>
          <w:p w14:paraId="3B3B7A78">
            <w:pPr>
              <w:pStyle w:val="28"/>
              <w:bidi w:val="0"/>
            </w:pPr>
            <w:r>
              <w:t>处理后回用</w:t>
            </w:r>
          </w:p>
        </w:tc>
      </w:tr>
      <w:tr w14:paraId="4F9BB74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28" w:type="dxa"/>
            <w:left w:w="57" w:type="dxa"/>
            <w:bottom w:w="0" w:type="dxa"/>
            <w:right w:w="57" w:type="dxa"/>
          </w:tblCellMar>
        </w:tblPrEx>
        <w:trPr>
          <w:trHeight w:val="340" w:hRule="atLeast"/>
          <w:jc w:val="center"/>
        </w:trPr>
        <w:tc>
          <w:tcPr>
            <w:tcW w:w="416" w:type="pct"/>
            <w:vMerge w:val="continue"/>
            <w:tcBorders>
              <w:left w:val="single" w:color="auto" w:sz="4" w:space="0"/>
            </w:tcBorders>
            <w:vAlign w:val="center"/>
          </w:tcPr>
          <w:p w14:paraId="1B501EF2">
            <w:pPr>
              <w:pStyle w:val="28"/>
              <w:bidi w:val="0"/>
            </w:pPr>
          </w:p>
        </w:tc>
        <w:tc>
          <w:tcPr>
            <w:tcW w:w="1027" w:type="pct"/>
            <w:vAlign w:val="center"/>
          </w:tcPr>
          <w:p w14:paraId="7A0A3034">
            <w:pPr>
              <w:pStyle w:val="28"/>
              <w:bidi w:val="0"/>
            </w:pPr>
            <w:r>
              <w:t>护坡及建筑物施工</w:t>
            </w:r>
          </w:p>
        </w:tc>
        <w:tc>
          <w:tcPr>
            <w:tcW w:w="812" w:type="pct"/>
            <w:vAlign w:val="center"/>
          </w:tcPr>
          <w:p w14:paraId="2C3AE827">
            <w:pPr>
              <w:pStyle w:val="28"/>
              <w:bidi w:val="0"/>
            </w:pPr>
            <w:r>
              <w:t>基坑排水</w:t>
            </w:r>
          </w:p>
        </w:tc>
        <w:tc>
          <w:tcPr>
            <w:tcW w:w="782" w:type="pct"/>
            <w:vAlign w:val="center"/>
          </w:tcPr>
          <w:p w14:paraId="6F2D0A62">
            <w:pPr>
              <w:pStyle w:val="28"/>
              <w:bidi w:val="0"/>
            </w:pPr>
            <w:r>
              <w:t>SS</w:t>
            </w:r>
          </w:p>
        </w:tc>
        <w:tc>
          <w:tcPr>
            <w:tcW w:w="1960" w:type="pct"/>
            <w:tcBorders>
              <w:right w:val="single" w:color="auto" w:sz="4" w:space="0"/>
            </w:tcBorders>
            <w:vAlign w:val="center"/>
          </w:tcPr>
          <w:p w14:paraId="1EAADF4B">
            <w:pPr>
              <w:pStyle w:val="28"/>
              <w:bidi w:val="0"/>
            </w:pPr>
            <w:r>
              <w:t>处理后回用</w:t>
            </w:r>
          </w:p>
        </w:tc>
      </w:tr>
      <w:tr w14:paraId="1BA8299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28" w:type="dxa"/>
            <w:left w:w="57" w:type="dxa"/>
            <w:bottom w:w="0" w:type="dxa"/>
            <w:right w:w="57" w:type="dxa"/>
          </w:tblCellMar>
        </w:tblPrEx>
        <w:trPr>
          <w:trHeight w:val="340" w:hRule="atLeast"/>
          <w:jc w:val="center"/>
        </w:trPr>
        <w:tc>
          <w:tcPr>
            <w:tcW w:w="416" w:type="pct"/>
            <w:vMerge w:val="continue"/>
            <w:tcBorders>
              <w:left w:val="single" w:color="auto" w:sz="4" w:space="0"/>
            </w:tcBorders>
            <w:vAlign w:val="center"/>
          </w:tcPr>
          <w:p w14:paraId="1DDDE804">
            <w:pPr>
              <w:pStyle w:val="28"/>
              <w:bidi w:val="0"/>
            </w:pPr>
          </w:p>
        </w:tc>
        <w:tc>
          <w:tcPr>
            <w:tcW w:w="1027" w:type="pct"/>
            <w:vAlign w:val="center"/>
          </w:tcPr>
          <w:p w14:paraId="3CC46997">
            <w:pPr>
              <w:pStyle w:val="28"/>
              <w:bidi w:val="0"/>
            </w:pPr>
            <w:r>
              <w:t>施工机械</w:t>
            </w:r>
          </w:p>
        </w:tc>
        <w:tc>
          <w:tcPr>
            <w:tcW w:w="812" w:type="pct"/>
            <w:vAlign w:val="center"/>
          </w:tcPr>
          <w:p w14:paraId="77169A32">
            <w:pPr>
              <w:pStyle w:val="28"/>
              <w:bidi w:val="0"/>
            </w:pPr>
            <w:r>
              <w:t>车辆冲洗水</w:t>
            </w:r>
          </w:p>
        </w:tc>
        <w:tc>
          <w:tcPr>
            <w:tcW w:w="782" w:type="pct"/>
            <w:vAlign w:val="center"/>
          </w:tcPr>
          <w:p w14:paraId="3DE8967F">
            <w:pPr>
              <w:pStyle w:val="28"/>
              <w:bidi w:val="0"/>
            </w:pPr>
            <w:r>
              <w:t>SS，石油类</w:t>
            </w:r>
          </w:p>
        </w:tc>
        <w:tc>
          <w:tcPr>
            <w:tcW w:w="1960" w:type="pct"/>
            <w:tcBorders>
              <w:right w:val="single" w:color="auto" w:sz="4" w:space="0"/>
            </w:tcBorders>
            <w:vAlign w:val="center"/>
          </w:tcPr>
          <w:p w14:paraId="7CD46E38">
            <w:pPr>
              <w:pStyle w:val="28"/>
              <w:bidi w:val="0"/>
            </w:pPr>
            <w:r>
              <w:t>处理后回用</w:t>
            </w:r>
          </w:p>
        </w:tc>
      </w:tr>
      <w:tr w14:paraId="4C21A84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28" w:type="dxa"/>
            <w:left w:w="57" w:type="dxa"/>
            <w:bottom w:w="0" w:type="dxa"/>
            <w:right w:w="57" w:type="dxa"/>
          </w:tblCellMar>
        </w:tblPrEx>
        <w:trPr>
          <w:trHeight w:val="340" w:hRule="atLeast"/>
          <w:jc w:val="center"/>
        </w:trPr>
        <w:tc>
          <w:tcPr>
            <w:tcW w:w="416" w:type="pct"/>
            <w:tcBorders>
              <w:left w:val="single" w:color="auto" w:sz="4" w:space="0"/>
            </w:tcBorders>
            <w:vAlign w:val="center"/>
          </w:tcPr>
          <w:p w14:paraId="750F8A65">
            <w:pPr>
              <w:pStyle w:val="28"/>
              <w:bidi w:val="0"/>
            </w:pPr>
            <w:r>
              <w:t>施工人员</w:t>
            </w:r>
          </w:p>
        </w:tc>
        <w:tc>
          <w:tcPr>
            <w:tcW w:w="1027" w:type="pct"/>
            <w:vAlign w:val="center"/>
          </w:tcPr>
          <w:p w14:paraId="5332A391">
            <w:pPr>
              <w:pStyle w:val="28"/>
              <w:bidi w:val="0"/>
            </w:pPr>
            <w:r>
              <w:t>施工生活污水</w:t>
            </w:r>
          </w:p>
        </w:tc>
        <w:tc>
          <w:tcPr>
            <w:tcW w:w="812" w:type="pct"/>
            <w:vAlign w:val="center"/>
          </w:tcPr>
          <w:p w14:paraId="2DD02E6A">
            <w:pPr>
              <w:pStyle w:val="28"/>
              <w:bidi w:val="0"/>
            </w:pPr>
            <w:r>
              <w:t>施工人员</w:t>
            </w:r>
          </w:p>
        </w:tc>
        <w:tc>
          <w:tcPr>
            <w:tcW w:w="782" w:type="pct"/>
            <w:vAlign w:val="center"/>
          </w:tcPr>
          <w:p w14:paraId="34F4AC60">
            <w:pPr>
              <w:pStyle w:val="28"/>
              <w:bidi w:val="0"/>
            </w:pPr>
            <w:r>
              <w:t>COD，氨氮</w:t>
            </w:r>
          </w:p>
        </w:tc>
        <w:tc>
          <w:tcPr>
            <w:tcW w:w="1960" w:type="pct"/>
            <w:tcBorders>
              <w:right w:val="single" w:color="auto" w:sz="4" w:space="0"/>
            </w:tcBorders>
            <w:vAlign w:val="center"/>
          </w:tcPr>
          <w:p w14:paraId="042DBC7C">
            <w:pPr>
              <w:pStyle w:val="28"/>
              <w:bidi w:val="0"/>
            </w:pPr>
            <w:r>
              <w:rPr>
                <w:rFonts w:hint="eastAsia"/>
              </w:rPr>
              <w:t>30</w:t>
            </w:r>
            <w:r>
              <w:t>个施工生活区</w:t>
            </w:r>
            <w:r>
              <w:rPr>
                <w:rFonts w:hint="eastAsia"/>
              </w:rPr>
              <w:t>，生活污水依托周边村庄或者经一体化生活污水处理设施处理达到行《农田灌溉水质标准》（GB5084-2021）中“水田作物”标准，用作周边农田灌溉。</w:t>
            </w:r>
          </w:p>
        </w:tc>
      </w:tr>
    </w:tbl>
    <w:p w14:paraId="2AA74131">
      <w:pPr>
        <w:spacing w:line="240" w:lineRule="auto"/>
        <w:rPr>
          <w:rFonts w:cs="Times New Roman"/>
          <w:color w:val="0000FF"/>
        </w:rPr>
      </w:pPr>
    </w:p>
    <w:p w14:paraId="096A5EEC">
      <w:pPr>
        <w:pStyle w:val="6"/>
        <w:ind w:firstLine="482"/>
        <w:rPr>
          <w:color w:val="0000FF"/>
        </w:rPr>
      </w:pPr>
      <w:r>
        <w:rPr>
          <w:color w:val="0000FF"/>
        </w:rPr>
        <w:t>1、生活污水</w:t>
      </w:r>
    </w:p>
    <w:p w14:paraId="3D56F041">
      <w:pPr>
        <w:ind w:firstLine="480"/>
        <w:rPr>
          <w:rFonts w:cs="Times New Roman"/>
          <w:color w:val="0000FF"/>
        </w:rPr>
      </w:pPr>
      <w:r>
        <w:rPr>
          <w:rFonts w:cs="Times New Roman"/>
          <w:color w:val="0000FF"/>
        </w:rPr>
        <w:t>本工程施工总工日共约113.28万个，工程施工平均上工人数约为2059人，高峰期上工人数约为6623人。根据水利工程施工经验，生活用水按60L/（人*d），排污系数按80%计，则高峰期施工人员生活污水的产生量为317.9m</w:t>
      </w:r>
      <w:r>
        <w:rPr>
          <w:rFonts w:cs="Times New Roman"/>
          <w:color w:val="0000FF"/>
          <w:vertAlign w:val="superscript"/>
        </w:rPr>
        <w:t>3</w:t>
      </w:r>
      <w:r>
        <w:rPr>
          <w:rFonts w:cs="Times New Roman"/>
          <w:color w:val="0000FF"/>
        </w:rPr>
        <w:t>/d，污水中主要污染因子为COD、BOD</w:t>
      </w:r>
      <w:r>
        <w:rPr>
          <w:rFonts w:cs="Times New Roman"/>
          <w:color w:val="0000FF"/>
          <w:vertAlign w:val="subscript"/>
        </w:rPr>
        <w:t>5</w:t>
      </w:r>
      <w:r>
        <w:rPr>
          <w:rFonts w:cs="Times New Roman"/>
          <w:color w:val="0000FF"/>
        </w:rPr>
        <w:t>、SS和NH</w:t>
      </w:r>
      <w:r>
        <w:rPr>
          <w:rFonts w:cs="Times New Roman"/>
          <w:color w:val="0000FF"/>
          <w:vertAlign w:val="subscript"/>
        </w:rPr>
        <w:t>3</w:t>
      </w:r>
      <w:r>
        <w:rPr>
          <w:rFonts w:cs="Times New Roman"/>
          <w:color w:val="0000FF"/>
        </w:rPr>
        <w:t>-N，其浓度分别为300mg/L、150mg/L、180mg/L和25mg/L，则COD、BOD</w:t>
      </w:r>
      <w:r>
        <w:rPr>
          <w:rFonts w:cs="Times New Roman"/>
          <w:color w:val="0000FF"/>
          <w:vertAlign w:val="subscript"/>
        </w:rPr>
        <w:t>5</w:t>
      </w:r>
      <w:r>
        <w:rPr>
          <w:rFonts w:cs="Times New Roman"/>
          <w:color w:val="0000FF"/>
        </w:rPr>
        <w:t>、SS和NH</w:t>
      </w:r>
      <w:r>
        <w:rPr>
          <w:rFonts w:cs="Times New Roman"/>
          <w:color w:val="0000FF"/>
          <w:vertAlign w:val="subscript"/>
        </w:rPr>
        <w:t>3</w:t>
      </w:r>
      <w:r>
        <w:rPr>
          <w:rFonts w:cs="Times New Roman"/>
          <w:color w:val="0000FF"/>
        </w:rPr>
        <w:t>-N产生情况见下表：</w:t>
      </w:r>
    </w:p>
    <w:p w14:paraId="0792AB2D">
      <w:pPr>
        <w:rPr>
          <w:color w:val="0000FF"/>
        </w:rPr>
        <w:sectPr>
          <w:headerReference r:id="rId27" w:type="default"/>
          <w:pgSz w:w="11905" w:h="16838"/>
          <w:pgMar w:top="1417" w:right="1417" w:bottom="1417" w:left="1417" w:header="850" w:footer="850" w:gutter="0"/>
          <w:pgNumType w:fmt="decimal"/>
          <w:cols w:space="0" w:num="1"/>
          <w:rtlGutter w:val="0"/>
          <w:docGrid w:linePitch="326" w:charSpace="0"/>
        </w:sectPr>
      </w:pPr>
    </w:p>
    <w:p w14:paraId="626B4D07">
      <w:pPr>
        <w:rPr>
          <w:color w:val="0000FF"/>
        </w:rPr>
      </w:pPr>
      <w:r>
        <w:rPr>
          <w:color w:val="0000FF"/>
        </w:rPr>
        <w:t>表3-2-</w:t>
      </w:r>
      <w:r>
        <w:rPr>
          <w:rFonts w:hint="eastAsia"/>
          <w:color w:val="0000FF"/>
        </w:rPr>
        <w:t>2</w:t>
      </w:r>
      <w:r>
        <w:rPr>
          <w:color w:val="0000FF"/>
        </w:rPr>
        <w:t xml:space="preserve">  废水污染物产生情况</w:t>
      </w:r>
    </w:p>
    <w:tbl>
      <w:tblPr>
        <w:tblStyle w:val="16"/>
        <w:tblW w:w="4994" w:type="pct"/>
        <w:jc w:val="center"/>
        <w:tblLayout w:type="fixed"/>
        <w:tblCellMar>
          <w:top w:w="0" w:type="dxa"/>
          <w:left w:w="108" w:type="dxa"/>
          <w:bottom w:w="0" w:type="dxa"/>
          <w:right w:w="108" w:type="dxa"/>
        </w:tblCellMar>
      </w:tblPr>
      <w:tblGrid>
        <w:gridCol w:w="337"/>
        <w:gridCol w:w="1769"/>
        <w:gridCol w:w="498"/>
        <w:gridCol w:w="498"/>
        <w:gridCol w:w="503"/>
        <w:gridCol w:w="479"/>
        <w:gridCol w:w="459"/>
        <w:gridCol w:w="498"/>
        <w:gridCol w:w="563"/>
        <w:gridCol w:w="407"/>
        <w:gridCol w:w="499"/>
        <w:gridCol w:w="498"/>
        <w:gridCol w:w="408"/>
        <w:gridCol w:w="393"/>
        <w:gridCol w:w="337"/>
        <w:gridCol w:w="375"/>
        <w:gridCol w:w="755"/>
      </w:tblGrid>
      <w:tr w14:paraId="5A121AF5">
        <w:tblPrEx>
          <w:tblCellMar>
            <w:top w:w="0" w:type="dxa"/>
            <w:left w:w="108" w:type="dxa"/>
            <w:bottom w:w="0" w:type="dxa"/>
            <w:right w:w="108" w:type="dxa"/>
          </w:tblCellMar>
        </w:tblPrEx>
        <w:trPr>
          <w:trHeight w:val="340" w:hRule="atLeast"/>
          <w:jc w:val="center"/>
        </w:trPr>
        <w:tc>
          <w:tcPr>
            <w:tcW w:w="181" w:type="pct"/>
            <w:vMerge w:val="restart"/>
            <w:tcBorders>
              <w:top w:val="single" w:color="000000" w:sz="4" w:space="0"/>
              <w:left w:val="single" w:color="000000" w:sz="4" w:space="0"/>
              <w:bottom w:val="single" w:color="000000" w:sz="4" w:space="0"/>
              <w:right w:val="single" w:color="000000" w:sz="4" w:space="0"/>
            </w:tcBorders>
            <w:vAlign w:val="center"/>
          </w:tcPr>
          <w:p w14:paraId="7F363E84">
            <w:pPr>
              <w:pStyle w:val="28"/>
              <w:bidi w:val="0"/>
            </w:pPr>
            <w:r>
              <w:t>序号</w:t>
            </w:r>
          </w:p>
        </w:tc>
        <w:tc>
          <w:tcPr>
            <w:tcW w:w="952" w:type="pct"/>
            <w:vMerge w:val="restart"/>
            <w:tcBorders>
              <w:top w:val="single" w:color="000000" w:sz="4" w:space="0"/>
              <w:left w:val="single" w:color="000000" w:sz="4" w:space="0"/>
              <w:bottom w:val="single" w:color="000000" w:sz="4" w:space="0"/>
              <w:right w:val="single" w:color="000000" w:sz="4" w:space="0"/>
            </w:tcBorders>
            <w:vAlign w:val="center"/>
          </w:tcPr>
          <w:p w14:paraId="32CB26B1">
            <w:pPr>
              <w:pStyle w:val="28"/>
              <w:bidi w:val="0"/>
            </w:pPr>
            <w:r>
              <w:t>项目</w:t>
            </w:r>
          </w:p>
        </w:tc>
        <w:tc>
          <w:tcPr>
            <w:tcW w:w="268" w:type="pct"/>
            <w:tcBorders>
              <w:top w:val="single" w:color="000000" w:sz="4" w:space="0"/>
              <w:left w:val="single" w:color="000000" w:sz="4" w:space="0"/>
              <w:bottom w:val="single" w:color="000000" w:sz="4" w:space="0"/>
              <w:right w:val="single" w:color="000000" w:sz="4" w:space="0"/>
            </w:tcBorders>
            <w:vAlign w:val="center"/>
          </w:tcPr>
          <w:p w14:paraId="3E9FF966">
            <w:pPr>
              <w:pStyle w:val="28"/>
              <w:bidi w:val="0"/>
            </w:pPr>
            <w:r>
              <w:t>施工生活区</w:t>
            </w:r>
          </w:p>
        </w:tc>
        <w:tc>
          <w:tcPr>
            <w:tcW w:w="268" w:type="pct"/>
            <w:tcBorders>
              <w:top w:val="single" w:color="000000" w:sz="4" w:space="0"/>
              <w:left w:val="single" w:color="000000" w:sz="4" w:space="0"/>
              <w:bottom w:val="single" w:color="000000" w:sz="4" w:space="0"/>
              <w:right w:val="single" w:color="000000" w:sz="4" w:space="0"/>
            </w:tcBorders>
            <w:vAlign w:val="center"/>
          </w:tcPr>
          <w:p w14:paraId="4D6030AE">
            <w:pPr>
              <w:pStyle w:val="28"/>
              <w:bidi w:val="0"/>
            </w:pPr>
            <w:r>
              <w:t>平均上工人数</w:t>
            </w:r>
          </w:p>
        </w:tc>
        <w:tc>
          <w:tcPr>
            <w:tcW w:w="271" w:type="pct"/>
            <w:tcBorders>
              <w:top w:val="single" w:color="000000" w:sz="4" w:space="0"/>
              <w:left w:val="single" w:color="000000" w:sz="4" w:space="0"/>
              <w:bottom w:val="single" w:color="000000" w:sz="4" w:space="0"/>
              <w:right w:val="single" w:color="000000" w:sz="4" w:space="0"/>
            </w:tcBorders>
            <w:vAlign w:val="center"/>
          </w:tcPr>
          <w:p w14:paraId="62EB8D64">
            <w:pPr>
              <w:pStyle w:val="28"/>
              <w:bidi w:val="0"/>
            </w:pPr>
            <w:r>
              <w:t>施工高峰人数</w:t>
            </w:r>
          </w:p>
        </w:tc>
        <w:tc>
          <w:tcPr>
            <w:tcW w:w="258" w:type="pct"/>
            <w:tcBorders>
              <w:top w:val="single" w:color="000000" w:sz="4" w:space="0"/>
              <w:left w:val="single" w:color="000000" w:sz="4" w:space="0"/>
              <w:bottom w:val="single" w:color="000000" w:sz="4" w:space="0"/>
              <w:right w:val="single" w:color="000000" w:sz="4" w:space="0"/>
            </w:tcBorders>
            <w:vAlign w:val="center"/>
          </w:tcPr>
          <w:p w14:paraId="22BB5192">
            <w:pPr>
              <w:pStyle w:val="28"/>
              <w:bidi w:val="0"/>
            </w:pPr>
            <w:r>
              <w:t>上工日</w:t>
            </w:r>
          </w:p>
        </w:tc>
        <w:tc>
          <w:tcPr>
            <w:tcW w:w="247" w:type="pct"/>
            <w:vMerge w:val="restart"/>
            <w:tcBorders>
              <w:top w:val="single" w:color="000000" w:sz="4" w:space="0"/>
              <w:left w:val="single" w:color="000000" w:sz="4" w:space="0"/>
              <w:bottom w:val="single" w:color="000000" w:sz="4" w:space="0"/>
              <w:right w:val="single" w:color="000000" w:sz="4" w:space="0"/>
            </w:tcBorders>
            <w:vAlign w:val="center"/>
          </w:tcPr>
          <w:p w14:paraId="638ADF4A">
            <w:pPr>
              <w:pStyle w:val="28"/>
              <w:bidi w:val="0"/>
            </w:pPr>
            <w:r>
              <w:t>排污系数</w:t>
            </w:r>
          </w:p>
        </w:tc>
        <w:tc>
          <w:tcPr>
            <w:tcW w:w="571" w:type="pct"/>
            <w:gridSpan w:val="2"/>
            <w:tcBorders>
              <w:top w:val="single" w:color="000000" w:sz="4" w:space="0"/>
              <w:left w:val="nil"/>
              <w:bottom w:val="single" w:color="000000" w:sz="4" w:space="0"/>
              <w:right w:val="single" w:color="000000" w:sz="4" w:space="0"/>
            </w:tcBorders>
            <w:vAlign w:val="center"/>
          </w:tcPr>
          <w:p w14:paraId="7E7091C0">
            <w:pPr>
              <w:pStyle w:val="28"/>
              <w:bidi w:val="0"/>
            </w:pPr>
            <w:r>
              <w:t>污水产生量</w:t>
            </w:r>
          </w:p>
        </w:tc>
        <w:tc>
          <w:tcPr>
            <w:tcW w:w="488" w:type="pct"/>
            <w:gridSpan w:val="2"/>
            <w:tcBorders>
              <w:top w:val="single" w:color="000000" w:sz="4" w:space="0"/>
              <w:left w:val="single" w:color="000000" w:sz="4" w:space="0"/>
              <w:bottom w:val="single" w:color="000000" w:sz="4" w:space="0"/>
              <w:right w:val="single" w:color="000000" w:sz="4" w:space="0"/>
            </w:tcBorders>
            <w:vAlign w:val="center"/>
          </w:tcPr>
          <w:p w14:paraId="767597B1">
            <w:pPr>
              <w:pStyle w:val="28"/>
              <w:bidi w:val="0"/>
            </w:pPr>
            <w:r>
              <w:t>COD</w:t>
            </w:r>
          </w:p>
        </w:tc>
        <w:tc>
          <w:tcPr>
            <w:tcW w:w="488" w:type="pct"/>
            <w:gridSpan w:val="2"/>
            <w:tcBorders>
              <w:top w:val="single" w:color="000000" w:sz="4" w:space="0"/>
              <w:left w:val="single" w:color="000000" w:sz="4" w:space="0"/>
              <w:bottom w:val="single" w:color="000000" w:sz="4" w:space="0"/>
              <w:right w:val="single" w:color="000000" w:sz="4" w:space="0"/>
            </w:tcBorders>
            <w:vAlign w:val="center"/>
          </w:tcPr>
          <w:p w14:paraId="21DFEB20">
            <w:pPr>
              <w:pStyle w:val="28"/>
              <w:bidi w:val="0"/>
            </w:pPr>
            <w:r>
              <w:t>BOD5</w:t>
            </w:r>
          </w:p>
        </w:tc>
        <w:tc>
          <w:tcPr>
            <w:tcW w:w="394" w:type="pct"/>
            <w:gridSpan w:val="2"/>
            <w:tcBorders>
              <w:top w:val="single" w:color="000000" w:sz="4" w:space="0"/>
              <w:left w:val="single" w:color="000000" w:sz="4" w:space="0"/>
              <w:bottom w:val="single" w:color="000000" w:sz="4" w:space="0"/>
              <w:right w:val="single" w:color="000000" w:sz="4" w:space="0"/>
            </w:tcBorders>
            <w:vAlign w:val="center"/>
          </w:tcPr>
          <w:p w14:paraId="2E2D3EC7">
            <w:pPr>
              <w:pStyle w:val="28"/>
              <w:bidi w:val="0"/>
            </w:pPr>
            <w:r>
              <w:t>SS</w:t>
            </w:r>
          </w:p>
        </w:tc>
        <w:tc>
          <w:tcPr>
            <w:tcW w:w="609" w:type="pct"/>
            <w:gridSpan w:val="2"/>
            <w:tcBorders>
              <w:top w:val="single" w:color="000000" w:sz="4" w:space="0"/>
              <w:left w:val="single" w:color="000000" w:sz="4" w:space="0"/>
              <w:bottom w:val="single" w:color="000000" w:sz="4" w:space="0"/>
              <w:right w:val="single" w:color="000000" w:sz="4" w:space="0"/>
            </w:tcBorders>
            <w:vAlign w:val="center"/>
          </w:tcPr>
          <w:p w14:paraId="424D579B">
            <w:pPr>
              <w:pStyle w:val="28"/>
              <w:bidi w:val="0"/>
            </w:pPr>
            <w:r>
              <w:t>NH3-N</w:t>
            </w:r>
          </w:p>
        </w:tc>
      </w:tr>
      <w:tr w14:paraId="2A8DF743">
        <w:tblPrEx>
          <w:tblCellMar>
            <w:top w:w="0" w:type="dxa"/>
            <w:left w:w="108" w:type="dxa"/>
            <w:bottom w:w="0" w:type="dxa"/>
            <w:right w:w="108" w:type="dxa"/>
          </w:tblCellMar>
        </w:tblPrEx>
        <w:trPr>
          <w:trHeight w:val="340" w:hRule="atLeast"/>
          <w:jc w:val="center"/>
        </w:trPr>
        <w:tc>
          <w:tcPr>
            <w:tcW w:w="181" w:type="pct"/>
            <w:vMerge w:val="continue"/>
            <w:tcBorders>
              <w:top w:val="single" w:color="000000" w:sz="4" w:space="0"/>
              <w:left w:val="single" w:color="000000" w:sz="4" w:space="0"/>
              <w:bottom w:val="single" w:color="000000" w:sz="4" w:space="0"/>
              <w:right w:val="single" w:color="000000" w:sz="4" w:space="0"/>
            </w:tcBorders>
            <w:vAlign w:val="center"/>
          </w:tcPr>
          <w:p w14:paraId="06A7FCB3">
            <w:pPr>
              <w:pStyle w:val="28"/>
              <w:bidi w:val="0"/>
            </w:pPr>
          </w:p>
        </w:tc>
        <w:tc>
          <w:tcPr>
            <w:tcW w:w="952" w:type="pct"/>
            <w:vMerge w:val="continue"/>
            <w:tcBorders>
              <w:top w:val="single" w:color="000000" w:sz="4" w:space="0"/>
              <w:left w:val="single" w:color="000000" w:sz="4" w:space="0"/>
              <w:bottom w:val="single" w:color="000000" w:sz="4" w:space="0"/>
              <w:right w:val="single" w:color="000000" w:sz="4" w:space="0"/>
            </w:tcBorders>
            <w:vAlign w:val="center"/>
          </w:tcPr>
          <w:p w14:paraId="794A51B2">
            <w:pPr>
              <w:pStyle w:val="28"/>
              <w:bidi w:val="0"/>
            </w:pPr>
          </w:p>
        </w:tc>
        <w:tc>
          <w:tcPr>
            <w:tcW w:w="268" w:type="pct"/>
            <w:tcBorders>
              <w:top w:val="single" w:color="000000" w:sz="4" w:space="0"/>
              <w:left w:val="single" w:color="000000" w:sz="4" w:space="0"/>
              <w:bottom w:val="single" w:color="000000" w:sz="4" w:space="0"/>
              <w:right w:val="single" w:color="000000" w:sz="4" w:space="0"/>
            </w:tcBorders>
            <w:vAlign w:val="center"/>
          </w:tcPr>
          <w:p w14:paraId="7FC9B175">
            <w:pPr>
              <w:pStyle w:val="28"/>
              <w:bidi w:val="0"/>
            </w:pPr>
            <w:r>
              <w:t>（个）</w:t>
            </w:r>
          </w:p>
        </w:tc>
        <w:tc>
          <w:tcPr>
            <w:tcW w:w="268" w:type="pct"/>
            <w:tcBorders>
              <w:top w:val="single" w:color="000000" w:sz="4" w:space="0"/>
              <w:left w:val="single" w:color="000000" w:sz="4" w:space="0"/>
              <w:bottom w:val="single" w:color="000000" w:sz="4" w:space="0"/>
              <w:right w:val="single" w:color="000000" w:sz="4" w:space="0"/>
            </w:tcBorders>
            <w:vAlign w:val="center"/>
          </w:tcPr>
          <w:p w14:paraId="42E90B65">
            <w:pPr>
              <w:pStyle w:val="28"/>
              <w:bidi w:val="0"/>
            </w:pPr>
            <w:r>
              <w:t>（人）</w:t>
            </w:r>
          </w:p>
        </w:tc>
        <w:tc>
          <w:tcPr>
            <w:tcW w:w="271" w:type="pct"/>
            <w:tcBorders>
              <w:top w:val="single" w:color="000000" w:sz="4" w:space="0"/>
              <w:left w:val="single" w:color="000000" w:sz="4" w:space="0"/>
              <w:bottom w:val="single" w:color="000000" w:sz="4" w:space="0"/>
              <w:right w:val="single" w:color="000000" w:sz="4" w:space="0"/>
            </w:tcBorders>
            <w:vAlign w:val="center"/>
          </w:tcPr>
          <w:p w14:paraId="3904079B">
            <w:pPr>
              <w:pStyle w:val="28"/>
              <w:bidi w:val="0"/>
            </w:pPr>
            <w:r>
              <w:t>（人）</w:t>
            </w:r>
          </w:p>
        </w:tc>
        <w:tc>
          <w:tcPr>
            <w:tcW w:w="258" w:type="pct"/>
            <w:tcBorders>
              <w:top w:val="single" w:color="000000" w:sz="4" w:space="0"/>
              <w:left w:val="single" w:color="000000" w:sz="4" w:space="0"/>
              <w:bottom w:val="single" w:color="000000" w:sz="4" w:space="0"/>
              <w:right w:val="single" w:color="000000" w:sz="4" w:space="0"/>
            </w:tcBorders>
            <w:vAlign w:val="center"/>
          </w:tcPr>
          <w:p w14:paraId="25ED66C8">
            <w:pPr>
              <w:pStyle w:val="28"/>
              <w:bidi w:val="0"/>
            </w:pPr>
            <w:r>
              <w:t>（万日）</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2D417AB1">
            <w:pPr>
              <w:pStyle w:val="28"/>
              <w:bidi w:val="0"/>
            </w:pPr>
          </w:p>
        </w:tc>
        <w:tc>
          <w:tcPr>
            <w:tcW w:w="268" w:type="pct"/>
            <w:tcBorders>
              <w:top w:val="single" w:color="000000" w:sz="4" w:space="0"/>
              <w:left w:val="nil"/>
              <w:bottom w:val="single" w:color="000000" w:sz="4" w:space="0"/>
              <w:right w:val="single" w:color="000000" w:sz="4" w:space="0"/>
            </w:tcBorders>
            <w:vAlign w:val="center"/>
          </w:tcPr>
          <w:p w14:paraId="12F4A9E4">
            <w:pPr>
              <w:pStyle w:val="28"/>
              <w:bidi w:val="0"/>
            </w:pPr>
            <w:r>
              <w:t>m3/d</w:t>
            </w:r>
          </w:p>
        </w:tc>
        <w:tc>
          <w:tcPr>
            <w:tcW w:w="303" w:type="pct"/>
            <w:tcBorders>
              <w:top w:val="single" w:color="000000" w:sz="4" w:space="0"/>
              <w:left w:val="single" w:color="000000" w:sz="4" w:space="0"/>
              <w:bottom w:val="single" w:color="000000" w:sz="4" w:space="0"/>
              <w:right w:val="single" w:color="000000" w:sz="4" w:space="0"/>
            </w:tcBorders>
            <w:vAlign w:val="center"/>
          </w:tcPr>
          <w:p w14:paraId="5B80EB7A">
            <w:pPr>
              <w:pStyle w:val="28"/>
              <w:bidi w:val="0"/>
            </w:pPr>
            <w:r>
              <w:t>m3</w:t>
            </w:r>
          </w:p>
        </w:tc>
        <w:tc>
          <w:tcPr>
            <w:tcW w:w="219" w:type="pct"/>
            <w:tcBorders>
              <w:top w:val="single" w:color="000000" w:sz="4" w:space="0"/>
              <w:left w:val="single" w:color="000000" w:sz="4" w:space="0"/>
              <w:bottom w:val="single" w:color="000000" w:sz="4" w:space="0"/>
              <w:right w:val="single" w:color="000000" w:sz="4" w:space="0"/>
            </w:tcBorders>
            <w:vAlign w:val="center"/>
          </w:tcPr>
          <w:p w14:paraId="653D2A45">
            <w:pPr>
              <w:pStyle w:val="28"/>
              <w:bidi w:val="0"/>
            </w:pPr>
            <w:r>
              <w:t>kg/d</w:t>
            </w:r>
          </w:p>
        </w:tc>
        <w:tc>
          <w:tcPr>
            <w:tcW w:w="269" w:type="pct"/>
            <w:tcBorders>
              <w:top w:val="single" w:color="000000" w:sz="4" w:space="0"/>
              <w:left w:val="single" w:color="000000" w:sz="4" w:space="0"/>
              <w:bottom w:val="single" w:color="000000" w:sz="4" w:space="0"/>
              <w:right w:val="single" w:color="000000" w:sz="4" w:space="0"/>
            </w:tcBorders>
            <w:vAlign w:val="center"/>
          </w:tcPr>
          <w:p w14:paraId="72652101">
            <w:pPr>
              <w:pStyle w:val="28"/>
              <w:bidi w:val="0"/>
            </w:pPr>
            <w:r>
              <w:t>t</w:t>
            </w:r>
          </w:p>
        </w:tc>
        <w:tc>
          <w:tcPr>
            <w:tcW w:w="268" w:type="pct"/>
            <w:tcBorders>
              <w:top w:val="single" w:color="000000" w:sz="4" w:space="0"/>
              <w:left w:val="single" w:color="000000" w:sz="4" w:space="0"/>
              <w:bottom w:val="single" w:color="000000" w:sz="4" w:space="0"/>
              <w:right w:val="single" w:color="000000" w:sz="4" w:space="0"/>
            </w:tcBorders>
            <w:vAlign w:val="center"/>
          </w:tcPr>
          <w:p w14:paraId="6FED35FD">
            <w:pPr>
              <w:pStyle w:val="28"/>
              <w:bidi w:val="0"/>
            </w:pPr>
            <w:r>
              <w:t>kg/d</w:t>
            </w:r>
          </w:p>
        </w:tc>
        <w:tc>
          <w:tcPr>
            <w:tcW w:w="220" w:type="pct"/>
            <w:tcBorders>
              <w:top w:val="single" w:color="000000" w:sz="4" w:space="0"/>
              <w:left w:val="single" w:color="000000" w:sz="4" w:space="0"/>
              <w:bottom w:val="single" w:color="000000" w:sz="4" w:space="0"/>
              <w:right w:val="single" w:color="000000" w:sz="4" w:space="0"/>
            </w:tcBorders>
            <w:vAlign w:val="center"/>
          </w:tcPr>
          <w:p w14:paraId="32383FE2">
            <w:pPr>
              <w:pStyle w:val="28"/>
              <w:bidi w:val="0"/>
            </w:pPr>
            <w:r>
              <w:t>t</w:t>
            </w:r>
          </w:p>
        </w:tc>
        <w:tc>
          <w:tcPr>
            <w:tcW w:w="212" w:type="pct"/>
            <w:tcBorders>
              <w:top w:val="single" w:color="000000" w:sz="4" w:space="0"/>
              <w:left w:val="single" w:color="000000" w:sz="4" w:space="0"/>
              <w:bottom w:val="single" w:color="000000" w:sz="4" w:space="0"/>
              <w:right w:val="single" w:color="000000" w:sz="4" w:space="0"/>
            </w:tcBorders>
            <w:vAlign w:val="center"/>
          </w:tcPr>
          <w:p w14:paraId="74B76281">
            <w:pPr>
              <w:pStyle w:val="28"/>
              <w:bidi w:val="0"/>
            </w:pPr>
            <w:r>
              <w:t>kg/d</w:t>
            </w:r>
          </w:p>
        </w:tc>
        <w:tc>
          <w:tcPr>
            <w:tcW w:w="182" w:type="pct"/>
            <w:tcBorders>
              <w:top w:val="single" w:color="000000" w:sz="4" w:space="0"/>
              <w:left w:val="single" w:color="000000" w:sz="4" w:space="0"/>
              <w:bottom w:val="single" w:color="000000" w:sz="4" w:space="0"/>
              <w:right w:val="single" w:color="000000" w:sz="4" w:space="0"/>
            </w:tcBorders>
            <w:vAlign w:val="center"/>
          </w:tcPr>
          <w:p w14:paraId="67A04492">
            <w:pPr>
              <w:pStyle w:val="28"/>
              <w:bidi w:val="0"/>
            </w:pPr>
            <w:r>
              <w:t>t</w:t>
            </w:r>
          </w:p>
        </w:tc>
        <w:tc>
          <w:tcPr>
            <w:tcW w:w="202" w:type="pct"/>
            <w:tcBorders>
              <w:top w:val="single" w:color="000000" w:sz="4" w:space="0"/>
              <w:left w:val="single" w:color="000000" w:sz="4" w:space="0"/>
              <w:bottom w:val="single" w:color="000000" w:sz="4" w:space="0"/>
              <w:right w:val="single" w:color="000000" w:sz="4" w:space="0"/>
            </w:tcBorders>
            <w:vAlign w:val="center"/>
          </w:tcPr>
          <w:p w14:paraId="4461AF7C">
            <w:pPr>
              <w:pStyle w:val="28"/>
              <w:bidi w:val="0"/>
            </w:pPr>
            <w:r>
              <w:t>kg/d</w:t>
            </w:r>
          </w:p>
        </w:tc>
        <w:tc>
          <w:tcPr>
            <w:tcW w:w="407" w:type="pct"/>
            <w:tcBorders>
              <w:top w:val="single" w:color="000000" w:sz="4" w:space="0"/>
              <w:left w:val="single" w:color="000000" w:sz="4" w:space="0"/>
              <w:bottom w:val="single" w:color="000000" w:sz="4" w:space="0"/>
              <w:right w:val="single" w:color="000000" w:sz="4" w:space="0"/>
            </w:tcBorders>
            <w:vAlign w:val="center"/>
          </w:tcPr>
          <w:p w14:paraId="03590896">
            <w:pPr>
              <w:pStyle w:val="28"/>
              <w:bidi w:val="0"/>
            </w:pPr>
            <w:r>
              <w:t>t</w:t>
            </w:r>
          </w:p>
        </w:tc>
      </w:tr>
      <w:tr w14:paraId="75725438">
        <w:tblPrEx>
          <w:tblCellMar>
            <w:top w:w="0" w:type="dxa"/>
            <w:left w:w="108" w:type="dxa"/>
            <w:bottom w:w="0" w:type="dxa"/>
            <w:right w:w="108" w:type="dxa"/>
          </w:tblCellMar>
        </w:tblPrEx>
        <w:trPr>
          <w:trHeight w:val="448"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64BECC07">
            <w:pPr>
              <w:pStyle w:val="28"/>
              <w:bidi w:val="0"/>
            </w:pPr>
            <w:r>
              <w:t>1</w:t>
            </w:r>
          </w:p>
        </w:tc>
        <w:tc>
          <w:tcPr>
            <w:tcW w:w="2792" w:type="dxa"/>
            <w:tcBorders>
              <w:top w:val="single" w:color="000000" w:sz="4" w:space="0"/>
              <w:left w:val="single" w:color="000000" w:sz="4" w:space="0"/>
              <w:bottom w:val="single" w:color="000000" w:sz="4" w:space="0"/>
              <w:right w:val="single" w:color="000000" w:sz="4" w:space="0"/>
            </w:tcBorders>
            <w:vAlign w:val="center"/>
          </w:tcPr>
          <w:p w14:paraId="0A88CA5B">
            <w:pPr>
              <w:pStyle w:val="28"/>
              <w:bidi w:val="0"/>
            </w:pPr>
            <w:r>
              <w:rPr>
                <w:rFonts w:hint="eastAsia"/>
              </w:rPr>
              <w:t>淠河总干渠上段工程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4DFE32A4">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7ADB057C">
            <w:pPr>
              <w:pStyle w:val="28"/>
              <w:bidi w:val="0"/>
            </w:pPr>
            <w:r>
              <w:t>172</w:t>
            </w:r>
          </w:p>
        </w:tc>
        <w:tc>
          <w:tcPr>
            <w:tcW w:w="271" w:type="pct"/>
            <w:tcBorders>
              <w:top w:val="single" w:color="000000" w:sz="4" w:space="0"/>
              <w:left w:val="single" w:color="000000" w:sz="4" w:space="0"/>
              <w:bottom w:val="single" w:color="000000" w:sz="4" w:space="0"/>
              <w:right w:val="single" w:color="000000" w:sz="4" w:space="0"/>
            </w:tcBorders>
            <w:vAlign w:val="center"/>
          </w:tcPr>
          <w:p w14:paraId="3387852A">
            <w:pPr>
              <w:pStyle w:val="28"/>
              <w:bidi w:val="0"/>
            </w:pPr>
            <w:r>
              <w:t>206</w:t>
            </w:r>
          </w:p>
        </w:tc>
        <w:tc>
          <w:tcPr>
            <w:tcW w:w="258" w:type="pct"/>
            <w:tcBorders>
              <w:top w:val="single" w:color="000000" w:sz="4" w:space="0"/>
              <w:left w:val="single" w:color="000000" w:sz="4" w:space="0"/>
              <w:bottom w:val="single" w:color="000000" w:sz="4" w:space="0"/>
              <w:right w:val="single" w:color="000000" w:sz="4" w:space="0"/>
            </w:tcBorders>
            <w:vAlign w:val="center"/>
          </w:tcPr>
          <w:p w14:paraId="5C010189">
            <w:pPr>
              <w:pStyle w:val="28"/>
              <w:bidi w:val="0"/>
            </w:pPr>
            <w:r>
              <w:t>8.22</w:t>
            </w:r>
          </w:p>
        </w:tc>
        <w:tc>
          <w:tcPr>
            <w:tcW w:w="247" w:type="pct"/>
            <w:vMerge w:val="restart"/>
            <w:tcBorders>
              <w:top w:val="single" w:color="000000" w:sz="4" w:space="0"/>
              <w:left w:val="single" w:color="000000" w:sz="4" w:space="0"/>
              <w:bottom w:val="single" w:color="000000" w:sz="4" w:space="0"/>
              <w:right w:val="single" w:color="000000" w:sz="4" w:space="0"/>
            </w:tcBorders>
            <w:vAlign w:val="center"/>
          </w:tcPr>
          <w:p w14:paraId="6CFB4DB9">
            <w:pPr>
              <w:pStyle w:val="28"/>
              <w:bidi w:val="0"/>
            </w:pPr>
            <w:r>
              <w:t>0.8</w:t>
            </w:r>
          </w:p>
        </w:tc>
        <w:tc>
          <w:tcPr>
            <w:tcW w:w="268" w:type="pct"/>
            <w:tcBorders>
              <w:top w:val="single" w:color="000000" w:sz="4" w:space="0"/>
              <w:left w:val="nil"/>
              <w:bottom w:val="single" w:color="000000" w:sz="4" w:space="0"/>
              <w:right w:val="single" w:color="000000" w:sz="4" w:space="0"/>
            </w:tcBorders>
            <w:vAlign w:val="center"/>
          </w:tcPr>
          <w:p w14:paraId="5B4BA54C">
            <w:pPr>
              <w:pStyle w:val="28"/>
              <w:bidi w:val="0"/>
            </w:pPr>
            <w:r>
              <w:t>9.89</w:t>
            </w:r>
          </w:p>
        </w:tc>
        <w:tc>
          <w:tcPr>
            <w:tcW w:w="303" w:type="pct"/>
            <w:tcBorders>
              <w:top w:val="single" w:color="000000" w:sz="4" w:space="0"/>
              <w:left w:val="single" w:color="000000" w:sz="4" w:space="0"/>
              <w:bottom w:val="single" w:color="000000" w:sz="4" w:space="0"/>
              <w:right w:val="single" w:color="000000" w:sz="4" w:space="0"/>
            </w:tcBorders>
            <w:vAlign w:val="center"/>
          </w:tcPr>
          <w:p w14:paraId="5BD9D3F5">
            <w:pPr>
              <w:pStyle w:val="28"/>
              <w:bidi w:val="0"/>
            </w:pPr>
            <w:r>
              <w:t>3945.60</w:t>
            </w:r>
          </w:p>
        </w:tc>
        <w:tc>
          <w:tcPr>
            <w:tcW w:w="219" w:type="pct"/>
            <w:tcBorders>
              <w:top w:val="single" w:color="000000" w:sz="4" w:space="0"/>
              <w:left w:val="single" w:color="000000" w:sz="4" w:space="0"/>
              <w:bottom w:val="single" w:color="000000" w:sz="4" w:space="0"/>
              <w:right w:val="single" w:color="000000" w:sz="4" w:space="0"/>
            </w:tcBorders>
            <w:vAlign w:val="center"/>
          </w:tcPr>
          <w:p w14:paraId="5535C2E9">
            <w:pPr>
              <w:pStyle w:val="28"/>
              <w:bidi w:val="0"/>
            </w:pPr>
            <w:r>
              <w:t>2.97</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628627DB">
            <w:pPr>
              <w:pStyle w:val="28"/>
              <w:bidi w:val="0"/>
            </w:pPr>
            <w:r>
              <w:t>1.18</w:t>
            </w:r>
          </w:p>
        </w:tc>
        <w:tc>
          <w:tcPr>
            <w:tcW w:w="268" w:type="pct"/>
            <w:tcBorders>
              <w:top w:val="single" w:color="000000" w:sz="4" w:space="0"/>
              <w:left w:val="single" w:color="000000" w:sz="4" w:space="0"/>
              <w:bottom w:val="single" w:color="000000" w:sz="4" w:space="0"/>
              <w:right w:val="single" w:color="000000" w:sz="4" w:space="0"/>
            </w:tcBorders>
            <w:vAlign w:val="center"/>
          </w:tcPr>
          <w:p w14:paraId="3D82BB05">
            <w:pPr>
              <w:pStyle w:val="28"/>
              <w:bidi w:val="0"/>
            </w:pPr>
            <w:r>
              <w:t>1.48</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78B252E2">
            <w:pPr>
              <w:pStyle w:val="28"/>
              <w:bidi w:val="0"/>
            </w:pPr>
            <w:r>
              <w:t>0.59</w:t>
            </w:r>
          </w:p>
        </w:tc>
        <w:tc>
          <w:tcPr>
            <w:tcW w:w="212" w:type="pct"/>
            <w:tcBorders>
              <w:top w:val="single" w:color="000000" w:sz="4" w:space="0"/>
              <w:left w:val="single" w:color="000000" w:sz="4" w:space="0"/>
              <w:bottom w:val="single" w:color="000000" w:sz="4" w:space="0"/>
              <w:right w:val="single" w:color="000000" w:sz="4" w:space="0"/>
            </w:tcBorders>
            <w:vAlign w:val="center"/>
          </w:tcPr>
          <w:p w14:paraId="155036C3">
            <w:pPr>
              <w:pStyle w:val="28"/>
              <w:bidi w:val="0"/>
            </w:pPr>
            <w:r>
              <w:t>1.78</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555687E2">
            <w:pPr>
              <w:pStyle w:val="28"/>
              <w:bidi w:val="0"/>
            </w:pPr>
            <w:r>
              <w:t>0.71</w:t>
            </w:r>
          </w:p>
        </w:tc>
        <w:tc>
          <w:tcPr>
            <w:tcW w:w="202" w:type="pct"/>
            <w:tcBorders>
              <w:top w:val="single" w:color="000000" w:sz="4" w:space="0"/>
              <w:left w:val="single" w:color="000000" w:sz="4" w:space="0"/>
              <w:bottom w:val="single" w:color="000000" w:sz="4" w:space="0"/>
              <w:right w:val="single" w:color="000000" w:sz="4" w:space="0"/>
            </w:tcBorders>
            <w:vAlign w:val="center"/>
          </w:tcPr>
          <w:p w14:paraId="4B002593">
            <w:pPr>
              <w:pStyle w:val="28"/>
              <w:bidi w:val="0"/>
            </w:pPr>
            <w:r>
              <w:t>0.25</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0576368F">
            <w:pPr>
              <w:pStyle w:val="28"/>
              <w:bidi w:val="0"/>
            </w:pPr>
            <w:r>
              <w:t>0.10</w:t>
            </w:r>
          </w:p>
        </w:tc>
      </w:tr>
      <w:tr w14:paraId="7382864D">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0728ACFA">
            <w:pPr>
              <w:pStyle w:val="28"/>
              <w:bidi w:val="0"/>
            </w:pPr>
            <w:r>
              <w:t>2</w:t>
            </w:r>
          </w:p>
        </w:tc>
        <w:tc>
          <w:tcPr>
            <w:tcW w:w="2792" w:type="dxa"/>
            <w:tcBorders>
              <w:top w:val="single" w:color="000000" w:sz="4" w:space="0"/>
              <w:left w:val="single" w:color="000000" w:sz="4" w:space="0"/>
              <w:bottom w:val="single" w:color="000000" w:sz="4" w:space="0"/>
              <w:right w:val="single" w:color="000000" w:sz="4" w:space="0"/>
            </w:tcBorders>
            <w:vAlign w:val="center"/>
          </w:tcPr>
          <w:p w14:paraId="69D56D67">
            <w:pPr>
              <w:pStyle w:val="28"/>
              <w:bidi w:val="0"/>
            </w:pPr>
            <w:r>
              <w:rPr>
                <w:rFonts w:hint="eastAsia"/>
              </w:rPr>
              <w:t>樊通桥渠下涵工程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6689064B">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70306DC4">
            <w:pPr>
              <w:pStyle w:val="28"/>
              <w:bidi w:val="0"/>
            </w:pPr>
            <w:r>
              <w:t>27</w:t>
            </w:r>
          </w:p>
        </w:tc>
        <w:tc>
          <w:tcPr>
            <w:tcW w:w="271" w:type="pct"/>
            <w:tcBorders>
              <w:top w:val="single" w:color="000000" w:sz="4" w:space="0"/>
              <w:left w:val="single" w:color="000000" w:sz="4" w:space="0"/>
              <w:bottom w:val="single" w:color="000000" w:sz="4" w:space="0"/>
              <w:right w:val="single" w:color="000000" w:sz="4" w:space="0"/>
            </w:tcBorders>
            <w:vAlign w:val="center"/>
          </w:tcPr>
          <w:p w14:paraId="610C1970">
            <w:pPr>
              <w:pStyle w:val="28"/>
              <w:bidi w:val="0"/>
            </w:pPr>
            <w:r>
              <w:t>35</w:t>
            </w:r>
          </w:p>
        </w:tc>
        <w:tc>
          <w:tcPr>
            <w:tcW w:w="258" w:type="pct"/>
            <w:tcBorders>
              <w:top w:val="single" w:color="000000" w:sz="4" w:space="0"/>
              <w:left w:val="single" w:color="000000" w:sz="4" w:space="0"/>
              <w:bottom w:val="single" w:color="000000" w:sz="4" w:space="0"/>
              <w:right w:val="single" w:color="000000" w:sz="4" w:space="0"/>
            </w:tcBorders>
            <w:vAlign w:val="center"/>
          </w:tcPr>
          <w:p w14:paraId="1FE1F486">
            <w:pPr>
              <w:pStyle w:val="28"/>
              <w:bidi w:val="0"/>
            </w:pPr>
            <w:r>
              <w:t>0.38</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442BF079">
            <w:pPr>
              <w:pStyle w:val="28"/>
              <w:bidi w:val="0"/>
            </w:pPr>
          </w:p>
        </w:tc>
        <w:tc>
          <w:tcPr>
            <w:tcW w:w="268" w:type="pct"/>
            <w:tcBorders>
              <w:top w:val="single" w:color="000000" w:sz="4" w:space="0"/>
              <w:left w:val="nil"/>
              <w:bottom w:val="single" w:color="000000" w:sz="4" w:space="0"/>
              <w:right w:val="single" w:color="000000" w:sz="4" w:space="0"/>
            </w:tcBorders>
            <w:vAlign w:val="center"/>
          </w:tcPr>
          <w:p w14:paraId="6A4A1691">
            <w:pPr>
              <w:pStyle w:val="28"/>
              <w:bidi w:val="0"/>
            </w:pPr>
            <w:r>
              <w:t>1.68</w:t>
            </w:r>
          </w:p>
        </w:tc>
        <w:tc>
          <w:tcPr>
            <w:tcW w:w="303" w:type="pct"/>
            <w:tcBorders>
              <w:top w:val="single" w:color="000000" w:sz="4" w:space="0"/>
              <w:left w:val="single" w:color="000000" w:sz="4" w:space="0"/>
              <w:bottom w:val="single" w:color="000000" w:sz="4" w:space="0"/>
              <w:right w:val="single" w:color="000000" w:sz="4" w:space="0"/>
            </w:tcBorders>
            <w:vAlign w:val="center"/>
          </w:tcPr>
          <w:p w14:paraId="5D59EA0A">
            <w:pPr>
              <w:pStyle w:val="28"/>
              <w:bidi w:val="0"/>
            </w:pPr>
            <w:r>
              <w:t>182.40</w:t>
            </w:r>
          </w:p>
        </w:tc>
        <w:tc>
          <w:tcPr>
            <w:tcW w:w="219" w:type="pct"/>
            <w:tcBorders>
              <w:top w:val="single" w:color="000000" w:sz="4" w:space="0"/>
              <w:left w:val="single" w:color="000000" w:sz="4" w:space="0"/>
              <w:bottom w:val="single" w:color="000000" w:sz="4" w:space="0"/>
              <w:right w:val="single" w:color="000000" w:sz="4" w:space="0"/>
            </w:tcBorders>
            <w:vAlign w:val="center"/>
          </w:tcPr>
          <w:p w14:paraId="6B13D969">
            <w:pPr>
              <w:pStyle w:val="28"/>
              <w:bidi w:val="0"/>
            </w:pPr>
            <w:r>
              <w:t>0.50</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7288ACF5">
            <w:pPr>
              <w:pStyle w:val="28"/>
              <w:bidi w:val="0"/>
            </w:pPr>
            <w:r>
              <w:t>0.05</w:t>
            </w:r>
          </w:p>
        </w:tc>
        <w:tc>
          <w:tcPr>
            <w:tcW w:w="268" w:type="pct"/>
            <w:tcBorders>
              <w:top w:val="single" w:color="000000" w:sz="4" w:space="0"/>
              <w:left w:val="single" w:color="000000" w:sz="4" w:space="0"/>
              <w:bottom w:val="single" w:color="000000" w:sz="4" w:space="0"/>
              <w:right w:val="single" w:color="000000" w:sz="4" w:space="0"/>
            </w:tcBorders>
            <w:vAlign w:val="center"/>
          </w:tcPr>
          <w:p w14:paraId="6400E85C">
            <w:pPr>
              <w:pStyle w:val="28"/>
              <w:bidi w:val="0"/>
            </w:pPr>
            <w:r>
              <w:t>0.25</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5DD41EDA">
            <w:pPr>
              <w:pStyle w:val="28"/>
              <w:bidi w:val="0"/>
            </w:pPr>
            <w:r>
              <w:t>0.03</w:t>
            </w:r>
          </w:p>
        </w:tc>
        <w:tc>
          <w:tcPr>
            <w:tcW w:w="212" w:type="pct"/>
            <w:tcBorders>
              <w:top w:val="single" w:color="000000" w:sz="4" w:space="0"/>
              <w:left w:val="single" w:color="000000" w:sz="4" w:space="0"/>
              <w:bottom w:val="single" w:color="000000" w:sz="4" w:space="0"/>
              <w:right w:val="single" w:color="000000" w:sz="4" w:space="0"/>
            </w:tcBorders>
            <w:vAlign w:val="center"/>
          </w:tcPr>
          <w:p w14:paraId="0675A862">
            <w:pPr>
              <w:pStyle w:val="28"/>
              <w:bidi w:val="0"/>
            </w:pPr>
            <w:r>
              <w:t>0.30</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77979581">
            <w:pPr>
              <w:pStyle w:val="28"/>
              <w:bidi w:val="0"/>
            </w:pPr>
            <w:r>
              <w:t>0.03</w:t>
            </w:r>
          </w:p>
        </w:tc>
        <w:tc>
          <w:tcPr>
            <w:tcW w:w="202" w:type="pct"/>
            <w:tcBorders>
              <w:top w:val="single" w:color="000000" w:sz="4" w:space="0"/>
              <w:left w:val="single" w:color="000000" w:sz="4" w:space="0"/>
              <w:bottom w:val="single" w:color="000000" w:sz="4" w:space="0"/>
              <w:right w:val="single" w:color="000000" w:sz="4" w:space="0"/>
            </w:tcBorders>
            <w:vAlign w:val="center"/>
          </w:tcPr>
          <w:p w14:paraId="379072B8">
            <w:pPr>
              <w:pStyle w:val="28"/>
              <w:bidi w:val="0"/>
            </w:pPr>
            <w:r>
              <w:t>0.04</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5ACEA2A2">
            <w:pPr>
              <w:pStyle w:val="28"/>
              <w:bidi w:val="0"/>
            </w:pPr>
            <w:r>
              <w:t>0.00</w:t>
            </w:r>
          </w:p>
        </w:tc>
      </w:tr>
      <w:tr w14:paraId="2DF5AE37">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569AE639">
            <w:pPr>
              <w:pStyle w:val="28"/>
              <w:bidi w:val="0"/>
            </w:pPr>
            <w:r>
              <w:t>3</w:t>
            </w:r>
          </w:p>
        </w:tc>
        <w:tc>
          <w:tcPr>
            <w:tcW w:w="2792" w:type="dxa"/>
            <w:tcBorders>
              <w:top w:val="single" w:color="000000" w:sz="4" w:space="0"/>
              <w:left w:val="single" w:color="000000" w:sz="4" w:space="0"/>
              <w:bottom w:val="single" w:color="000000" w:sz="4" w:space="0"/>
              <w:right w:val="single" w:color="000000" w:sz="4" w:space="0"/>
            </w:tcBorders>
            <w:vAlign w:val="center"/>
          </w:tcPr>
          <w:p w14:paraId="764285DD">
            <w:pPr>
              <w:pStyle w:val="28"/>
              <w:bidi w:val="0"/>
            </w:pPr>
            <w:r>
              <w:rPr>
                <w:rFonts w:hint="eastAsia"/>
              </w:rPr>
              <w:t>淠河总干渠下段工程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7EB946FC">
            <w:pPr>
              <w:pStyle w:val="28"/>
              <w:bidi w:val="0"/>
            </w:pPr>
            <w:r>
              <w:t>2</w:t>
            </w:r>
          </w:p>
        </w:tc>
        <w:tc>
          <w:tcPr>
            <w:tcW w:w="268" w:type="pct"/>
            <w:tcBorders>
              <w:top w:val="single" w:color="000000" w:sz="4" w:space="0"/>
              <w:left w:val="single" w:color="000000" w:sz="4" w:space="0"/>
              <w:bottom w:val="single" w:color="000000" w:sz="4" w:space="0"/>
              <w:right w:val="single" w:color="000000" w:sz="4" w:space="0"/>
            </w:tcBorders>
            <w:vAlign w:val="center"/>
          </w:tcPr>
          <w:p w14:paraId="72ECEF79">
            <w:pPr>
              <w:pStyle w:val="28"/>
              <w:bidi w:val="0"/>
            </w:pPr>
            <w:r>
              <w:t>57</w:t>
            </w:r>
          </w:p>
        </w:tc>
        <w:tc>
          <w:tcPr>
            <w:tcW w:w="271" w:type="pct"/>
            <w:tcBorders>
              <w:top w:val="single" w:color="000000" w:sz="4" w:space="0"/>
              <w:left w:val="single" w:color="000000" w:sz="4" w:space="0"/>
              <w:bottom w:val="single" w:color="000000" w:sz="4" w:space="0"/>
              <w:right w:val="single" w:color="000000" w:sz="4" w:space="0"/>
            </w:tcBorders>
            <w:vAlign w:val="center"/>
          </w:tcPr>
          <w:p w14:paraId="24E306BB">
            <w:pPr>
              <w:pStyle w:val="28"/>
              <w:bidi w:val="0"/>
            </w:pPr>
            <w:r>
              <w:t>68</w:t>
            </w:r>
          </w:p>
        </w:tc>
        <w:tc>
          <w:tcPr>
            <w:tcW w:w="258" w:type="pct"/>
            <w:tcBorders>
              <w:top w:val="single" w:color="000000" w:sz="4" w:space="0"/>
              <w:left w:val="single" w:color="000000" w:sz="4" w:space="0"/>
              <w:bottom w:val="single" w:color="000000" w:sz="4" w:space="0"/>
              <w:right w:val="single" w:color="000000" w:sz="4" w:space="0"/>
            </w:tcBorders>
            <w:vAlign w:val="center"/>
          </w:tcPr>
          <w:p w14:paraId="11BB32FF">
            <w:pPr>
              <w:pStyle w:val="28"/>
              <w:bidi w:val="0"/>
            </w:pPr>
            <w:r>
              <w:t>1.88</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2ED46B7E">
            <w:pPr>
              <w:pStyle w:val="28"/>
              <w:bidi w:val="0"/>
            </w:pPr>
          </w:p>
        </w:tc>
        <w:tc>
          <w:tcPr>
            <w:tcW w:w="268" w:type="pct"/>
            <w:tcBorders>
              <w:top w:val="single" w:color="000000" w:sz="4" w:space="0"/>
              <w:left w:val="nil"/>
              <w:bottom w:val="single" w:color="000000" w:sz="4" w:space="0"/>
              <w:right w:val="single" w:color="000000" w:sz="4" w:space="0"/>
            </w:tcBorders>
            <w:vAlign w:val="center"/>
          </w:tcPr>
          <w:p w14:paraId="34E8C4DE">
            <w:pPr>
              <w:pStyle w:val="28"/>
              <w:bidi w:val="0"/>
            </w:pPr>
            <w:r>
              <w:t>3.26</w:t>
            </w:r>
          </w:p>
        </w:tc>
        <w:tc>
          <w:tcPr>
            <w:tcW w:w="303" w:type="pct"/>
            <w:tcBorders>
              <w:top w:val="single" w:color="000000" w:sz="4" w:space="0"/>
              <w:left w:val="single" w:color="000000" w:sz="4" w:space="0"/>
              <w:bottom w:val="single" w:color="000000" w:sz="4" w:space="0"/>
              <w:right w:val="single" w:color="000000" w:sz="4" w:space="0"/>
            </w:tcBorders>
            <w:vAlign w:val="center"/>
          </w:tcPr>
          <w:p w14:paraId="539425F1">
            <w:pPr>
              <w:pStyle w:val="28"/>
              <w:bidi w:val="0"/>
            </w:pPr>
            <w:r>
              <w:t>902.40</w:t>
            </w:r>
          </w:p>
        </w:tc>
        <w:tc>
          <w:tcPr>
            <w:tcW w:w="219" w:type="pct"/>
            <w:tcBorders>
              <w:top w:val="single" w:color="000000" w:sz="4" w:space="0"/>
              <w:left w:val="single" w:color="000000" w:sz="4" w:space="0"/>
              <w:bottom w:val="single" w:color="000000" w:sz="4" w:space="0"/>
              <w:right w:val="single" w:color="000000" w:sz="4" w:space="0"/>
            </w:tcBorders>
            <w:vAlign w:val="center"/>
          </w:tcPr>
          <w:p w14:paraId="7ED03DDB">
            <w:pPr>
              <w:pStyle w:val="28"/>
              <w:bidi w:val="0"/>
            </w:pPr>
            <w:r>
              <w:t>0.98</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787A10B0">
            <w:pPr>
              <w:pStyle w:val="28"/>
              <w:bidi w:val="0"/>
            </w:pPr>
            <w:r>
              <w:t>0.27</w:t>
            </w:r>
          </w:p>
        </w:tc>
        <w:tc>
          <w:tcPr>
            <w:tcW w:w="268" w:type="pct"/>
            <w:tcBorders>
              <w:top w:val="single" w:color="000000" w:sz="4" w:space="0"/>
              <w:left w:val="single" w:color="000000" w:sz="4" w:space="0"/>
              <w:bottom w:val="single" w:color="000000" w:sz="4" w:space="0"/>
              <w:right w:val="single" w:color="000000" w:sz="4" w:space="0"/>
            </w:tcBorders>
            <w:vAlign w:val="center"/>
          </w:tcPr>
          <w:p w14:paraId="3E3F3B94">
            <w:pPr>
              <w:pStyle w:val="28"/>
              <w:bidi w:val="0"/>
            </w:pPr>
            <w:r>
              <w:t>0.49</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02F0D1AB">
            <w:pPr>
              <w:pStyle w:val="28"/>
              <w:bidi w:val="0"/>
            </w:pPr>
            <w:r>
              <w:t>0.14</w:t>
            </w:r>
          </w:p>
        </w:tc>
        <w:tc>
          <w:tcPr>
            <w:tcW w:w="212" w:type="pct"/>
            <w:tcBorders>
              <w:top w:val="single" w:color="000000" w:sz="4" w:space="0"/>
              <w:left w:val="single" w:color="000000" w:sz="4" w:space="0"/>
              <w:bottom w:val="single" w:color="000000" w:sz="4" w:space="0"/>
              <w:right w:val="single" w:color="000000" w:sz="4" w:space="0"/>
            </w:tcBorders>
            <w:vAlign w:val="center"/>
          </w:tcPr>
          <w:p w14:paraId="776F89C9">
            <w:pPr>
              <w:pStyle w:val="28"/>
              <w:bidi w:val="0"/>
            </w:pPr>
            <w:r>
              <w:t>0.59</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65E24569">
            <w:pPr>
              <w:pStyle w:val="28"/>
              <w:bidi w:val="0"/>
            </w:pPr>
            <w:r>
              <w:t>0.16</w:t>
            </w:r>
          </w:p>
        </w:tc>
        <w:tc>
          <w:tcPr>
            <w:tcW w:w="202" w:type="pct"/>
            <w:tcBorders>
              <w:top w:val="single" w:color="000000" w:sz="4" w:space="0"/>
              <w:left w:val="single" w:color="000000" w:sz="4" w:space="0"/>
              <w:bottom w:val="single" w:color="000000" w:sz="4" w:space="0"/>
              <w:right w:val="single" w:color="000000" w:sz="4" w:space="0"/>
            </w:tcBorders>
            <w:vAlign w:val="center"/>
          </w:tcPr>
          <w:p w14:paraId="4BD98F0A">
            <w:pPr>
              <w:pStyle w:val="28"/>
              <w:bidi w:val="0"/>
            </w:pPr>
            <w:r>
              <w:t>0.08</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2101BBC7">
            <w:pPr>
              <w:pStyle w:val="28"/>
              <w:bidi w:val="0"/>
            </w:pPr>
            <w:r>
              <w:t>0.02</w:t>
            </w:r>
          </w:p>
        </w:tc>
      </w:tr>
      <w:tr w14:paraId="78944589">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5AEFE1B2">
            <w:pPr>
              <w:pStyle w:val="28"/>
              <w:bidi w:val="0"/>
            </w:pPr>
            <w:r>
              <w:t>4</w:t>
            </w:r>
          </w:p>
        </w:tc>
        <w:tc>
          <w:tcPr>
            <w:tcW w:w="2792" w:type="dxa"/>
            <w:tcBorders>
              <w:top w:val="single" w:color="000000" w:sz="4" w:space="0"/>
              <w:left w:val="single" w:color="000000" w:sz="4" w:space="0"/>
              <w:bottom w:val="single" w:color="000000" w:sz="4" w:space="0"/>
              <w:right w:val="single" w:color="000000" w:sz="4" w:space="0"/>
            </w:tcBorders>
            <w:vAlign w:val="center"/>
          </w:tcPr>
          <w:p w14:paraId="0846F548">
            <w:pPr>
              <w:pStyle w:val="28"/>
              <w:bidi w:val="0"/>
            </w:pPr>
            <w:r>
              <w:rPr>
                <w:rFonts w:hint="eastAsia"/>
              </w:rPr>
              <w:t>聚星渡槽工程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15EFBE96">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75D18824">
            <w:pPr>
              <w:pStyle w:val="28"/>
              <w:bidi w:val="0"/>
            </w:pPr>
            <w:r>
              <w:t>74</w:t>
            </w:r>
          </w:p>
        </w:tc>
        <w:tc>
          <w:tcPr>
            <w:tcW w:w="271" w:type="pct"/>
            <w:tcBorders>
              <w:top w:val="single" w:color="000000" w:sz="4" w:space="0"/>
              <w:left w:val="single" w:color="000000" w:sz="4" w:space="0"/>
              <w:bottom w:val="single" w:color="000000" w:sz="4" w:space="0"/>
              <w:right w:val="single" w:color="000000" w:sz="4" w:space="0"/>
            </w:tcBorders>
            <w:vAlign w:val="center"/>
          </w:tcPr>
          <w:p w14:paraId="39D29D5C">
            <w:pPr>
              <w:pStyle w:val="28"/>
              <w:bidi w:val="0"/>
            </w:pPr>
            <w:r>
              <w:t>96</w:t>
            </w:r>
          </w:p>
        </w:tc>
        <w:tc>
          <w:tcPr>
            <w:tcW w:w="258" w:type="pct"/>
            <w:tcBorders>
              <w:top w:val="single" w:color="000000" w:sz="4" w:space="0"/>
              <w:left w:val="single" w:color="000000" w:sz="4" w:space="0"/>
              <w:bottom w:val="single" w:color="000000" w:sz="4" w:space="0"/>
              <w:right w:val="single" w:color="000000" w:sz="4" w:space="0"/>
            </w:tcBorders>
            <w:vAlign w:val="center"/>
          </w:tcPr>
          <w:p w14:paraId="21D79F37">
            <w:pPr>
              <w:pStyle w:val="28"/>
              <w:bidi w:val="0"/>
            </w:pP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57791BD6">
            <w:pPr>
              <w:pStyle w:val="28"/>
              <w:bidi w:val="0"/>
            </w:pPr>
          </w:p>
        </w:tc>
        <w:tc>
          <w:tcPr>
            <w:tcW w:w="268" w:type="pct"/>
            <w:tcBorders>
              <w:top w:val="single" w:color="000000" w:sz="4" w:space="0"/>
              <w:left w:val="nil"/>
              <w:bottom w:val="single" w:color="000000" w:sz="4" w:space="0"/>
              <w:right w:val="single" w:color="000000" w:sz="4" w:space="0"/>
            </w:tcBorders>
            <w:vAlign w:val="center"/>
          </w:tcPr>
          <w:p w14:paraId="3B211188">
            <w:pPr>
              <w:pStyle w:val="28"/>
              <w:bidi w:val="0"/>
            </w:pPr>
            <w:r>
              <w:t>4.61</w:t>
            </w:r>
          </w:p>
        </w:tc>
        <w:tc>
          <w:tcPr>
            <w:tcW w:w="303" w:type="pct"/>
            <w:tcBorders>
              <w:top w:val="single" w:color="000000" w:sz="4" w:space="0"/>
              <w:left w:val="single" w:color="000000" w:sz="4" w:space="0"/>
              <w:bottom w:val="single" w:color="000000" w:sz="4" w:space="0"/>
              <w:right w:val="single" w:color="000000" w:sz="4" w:space="0"/>
            </w:tcBorders>
            <w:vAlign w:val="center"/>
          </w:tcPr>
          <w:p w14:paraId="377F466B">
            <w:pPr>
              <w:pStyle w:val="28"/>
              <w:bidi w:val="0"/>
            </w:pPr>
            <w:r>
              <w:t>0.00</w:t>
            </w:r>
          </w:p>
        </w:tc>
        <w:tc>
          <w:tcPr>
            <w:tcW w:w="219" w:type="pct"/>
            <w:tcBorders>
              <w:top w:val="single" w:color="000000" w:sz="4" w:space="0"/>
              <w:left w:val="single" w:color="000000" w:sz="4" w:space="0"/>
              <w:bottom w:val="single" w:color="000000" w:sz="4" w:space="0"/>
              <w:right w:val="single" w:color="000000" w:sz="4" w:space="0"/>
            </w:tcBorders>
            <w:vAlign w:val="center"/>
          </w:tcPr>
          <w:p w14:paraId="24B1452B">
            <w:pPr>
              <w:pStyle w:val="28"/>
              <w:bidi w:val="0"/>
            </w:pPr>
            <w:r>
              <w:t>1.38</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448EF5A2">
            <w:pPr>
              <w:pStyle w:val="28"/>
              <w:bidi w:val="0"/>
            </w:pPr>
            <w:r>
              <w:t>0.00</w:t>
            </w:r>
          </w:p>
        </w:tc>
        <w:tc>
          <w:tcPr>
            <w:tcW w:w="268" w:type="pct"/>
            <w:tcBorders>
              <w:top w:val="single" w:color="000000" w:sz="4" w:space="0"/>
              <w:left w:val="single" w:color="000000" w:sz="4" w:space="0"/>
              <w:bottom w:val="single" w:color="000000" w:sz="4" w:space="0"/>
              <w:right w:val="single" w:color="000000" w:sz="4" w:space="0"/>
            </w:tcBorders>
            <w:vAlign w:val="center"/>
          </w:tcPr>
          <w:p w14:paraId="31BEB76A">
            <w:pPr>
              <w:pStyle w:val="28"/>
              <w:bidi w:val="0"/>
            </w:pPr>
            <w:r>
              <w:t>0.69</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26307D50">
            <w:pPr>
              <w:pStyle w:val="28"/>
              <w:bidi w:val="0"/>
            </w:pPr>
            <w:r>
              <w:t>0.00</w:t>
            </w:r>
          </w:p>
        </w:tc>
        <w:tc>
          <w:tcPr>
            <w:tcW w:w="212" w:type="pct"/>
            <w:tcBorders>
              <w:top w:val="single" w:color="000000" w:sz="4" w:space="0"/>
              <w:left w:val="single" w:color="000000" w:sz="4" w:space="0"/>
              <w:bottom w:val="single" w:color="000000" w:sz="4" w:space="0"/>
              <w:right w:val="single" w:color="000000" w:sz="4" w:space="0"/>
            </w:tcBorders>
            <w:vAlign w:val="center"/>
          </w:tcPr>
          <w:p w14:paraId="7F2E6E2F">
            <w:pPr>
              <w:pStyle w:val="28"/>
              <w:bidi w:val="0"/>
            </w:pPr>
            <w:r>
              <w:t>0.83</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3E53B95A">
            <w:pPr>
              <w:pStyle w:val="28"/>
              <w:bidi w:val="0"/>
            </w:pPr>
            <w:r>
              <w:t>0.00</w:t>
            </w:r>
          </w:p>
        </w:tc>
        <w:tc>
          <w:tcPr>
            <w:tcW w:w="202" w:type="pct"/>
            <w:tcBorders>
              <w:top w:val="single" w:color="000000" w:sz="4" w:space="0"/>
              <w:left w:val="single" w:color="000000" w:sz="4" w:space="0"/>
              <w:bottom w:val="single" w:color="000000" w:sz="4" w:space="0"/>
              <w:right w:val="single" w:color="000000" w:sz="4" w:space="0"/>
            </w:tcBorders>
            <w:vAlign w:val="center"/>
          </w:tcPr>
          <w:p w14:paraId="347E9B43">
            <w:pPr>
              <w:pStyle w:val="28"/>
              <w:bidi w:val="0"/>
            </w:pPr>
            <w:r>
              <w:t>0.12</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70361F2E">
            <w:pPr>
              <w:pStyle w:val="28"/>
              <w:bidi w:val="0"/>
            </w:pPr>
            <w:r>
              <w:t>0.00</w:t>
            </w:r>
          </w:p>
        </w:tc>
      </w:tr>
      <w:tr w14:paraId="43F46426">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56CC9713">
            <w:pPr>
              <w:pStyle w:val="28"/>
              <w:bidi w:val="0"/>
            </w:pPr>
            <w:r>
              <w:t>5</w:t>
            </w:r>
          </w:p>
        </w:tc>
        <w:tc>
          <w:tcPr>
            <w:tcW w:w="2792" w:type="dxa"/>
            <w:tcBorders>
              <w:top w:val="single" w:color="000000" w:sz="4" w:space="0"/>
              <w:left w:val="single" w:color="000000" w:sz="4" w:space="0"/>
              <w:bottom w:val="single" w:color="000000" w:sz="4" w:space="0"/>
              <w:right w:val="single" w:color="000000" w:sz="4" w:space="0"/>
            </w:tcBorders>
            <w:vAlign w:val="center"/>
          </w:tcPr>
          <w:p w14:paraId="32B858A3">
            <w:pPr>
              <w:pStyle w:val="28"/>
              <w:bidi w:val="0"/>
            </w:pPr>
            <w:r>
              <w:rPr>
                <w:rFonts w:hint="eastAsia"/>
              </w:rPr>
              <w:t>滁河干渠总局直管段工程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256AA621">
            <w:pPr>
              <w:pStyle w:val="28"/>
              <w:bidi w:val="0"/>
            </w:pPr>
            <w:r>
              <w:t>1</w:t>
            </w:r>
          </w:p>
        </w:tc>
        <w:tc>
          <w:tcPr>
            <w:tcW w:w="268" w:type="pct"/>
            <w:tcBorders>
              <w:top w:val="single" w:color="000000" w:sz="4" w:space="0"/>
              <w:left w:val="single" w:color="000000" w:sz="4" w:space="0"/>
              <w:bottom w:val="single" w:color="000000" w:sz="4" w:space="0"/>
              <w:right w:val="single" w:color="000000" w:sz="4" w:space="0"/>
            </w:tcBorders>
            <w:vAlign w:val="center"/>
          </w:tcPr>
          <w:p w14:paraId="1B1FFD8E">
            <w:pPr>
              <w:pStyle w:val="28"/>
              <w:bidi w:val="0"/>
            </w:pPr>
            <w:r>
              <w:t>62</w:t>
            </w:r>
          </w:p>
        </w:tc>
        <w:tc>
          <w:tcPr>
            <w:tcW w:w="271" w:type="pct"/>
            <w:tcBorders>
              <w:top w:val="single" w:color="000000" w:sz="4" w:space="0"/>
              <w:left w:val="single" w:color="000000" w:sz="4" w:space="0"/>
              <w:bottom w:val="single" w:color="000000" w:sz="4" w:space="0"/>
              <w:right w:val="single" w:color="000000" w:sz="4" w:space="0"/>
            </w:tcBorders>
            <w:vAlign w:val="center"/>
          </w:tcPr>
          <w:p w14:paraId="6B06BC52">
            <w:pPr>
              <w:pStyle w:val="28"/>
              <w:bidi w:val="0"/>
            </w:pPr>
            <w:r>
              <w:t>76</w:t>
            </w:r>
          </w:p>
        </w:tc>
        <w:tc>
          <w:tcPr>
            <w:tcW w:w="258" w:type="pct"/>
            <w:tcBorders>
              <w:top w:val="single" w:color="000000" w:sz="4" w:space="0"/>
              <w:left w:val="single" w:color="000000" w:sz="4" w:space="0"/>
              <w:bottom w:val="single" w:color="000000" w:sz="4" w:space="0"/>
              <w:right w:val="single" w:color="000000" w:sz="4" w:space="0"/>
            </w:tcBorders>
            <w:vAlign w:val="center"/>
          </w:tcPr>
          <w:p w14:paraId="311B6547">
            <w:pPr>
              <w:pStyle w:val="28"/>
              <w:bidi w:val="0"/>
            </w:pPr>
            <w:r>
              <w:t>3.19</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661B09FD">
            <w:pPr>
              <w:pStyle w:val="28"/>
              <w:bidi w:val="0"/>
            </w:pPr>
          </w:p>
        </w:tc>
        <w:tc>
          <w:tcPr>
            <w:tcW w:w="268" w:type="pct"/>
            <w:tcBorders>
              <w:top w:val="single" w:color="000000" w:sz="4" w:space="0"/>
              <w:left w:val="nil"/>
              <w:bottom w:val="single" w:color="000000" w:sz="4" w:space="0"/>
              <w:right w:val="single" w:color="000000" w:sz="4" w:space="0"/>
            </w:tcBorders>
            <w:vAlign w:val="center"/>
          </w:tcPr>
          <w:p w14:paraId="34F6A173">
            <w:pPr>
              <w:pStyle w:val="28"/>
              <w:bidi w:val="0"/>
            </w:pPr>
            <w:r>
              <w:t>3.65</w:t>
            </w:r>
          </w:p>
        </w:tc>
        <w:tc>
          <w:tcPr>
            <w:tcW w:w="303" w:type="pct"/>
            <w:tcBorders>
              <w:top w:val="single" w:color="000000" w:sz="4" w:space="0"/>
              <w:left w:val="single" w:color="000000" w:sz="4" w:space="0"/>
              <w:bottom w:val="single" w:color="000000" w:sz="4" w:space="0"/>
              <w:right w:val="single" w:color="000000" w:sz="4" w:space="0"/>
            </w:tcBorders>
            <w:vAlign w:val="center"/>
          </w:tcPr>
          <w:p w14:paraId="28B88CA6">
            <w:pPr>
              <w:pStyle w:val="28"/>
              <w:bidi w:val="0"/>
            </w:pPr>
            <w:r>
              <w:t>1531.20</w:t>
            </w:r>
          </w:p>
        </w:tc>
        <w:tc>
          <w:tcPr>
            <w:tcW w:w="219" w:type="pct"/>
            <w:tcBorders>
              <w:top w:val="single" w:color="000000" w:sz="4" w:space="0"/>
              <w:left w:val="single" w:color="000000" w:sz="4" w:space="0"/>
              <w:bottom w:val="single" w:color="000000" w:sz="4" w:space="0"/>
              <w:right w:val="single" w:color="000000" w:sz="4" w:space="0"/>
            </w:tcBorders>
            <w:vAlign w:val="center"/>
          </w:tcPr>
          <w:p w14:paraId="6C326E55">
            <w:pPr>
              <w:pStyle w:val="28"/>
              <w:bidi w:val="0"/>
            </w:pPr>
            <w:r>
              <w:t>1.09</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11C0A4D6">
            <w:pPr>
              <w:pStyle w:val="28"/>
              <w:bidi w:val="0"/>
            </w:pPr>
            <w:r>
              <w:t>0.46</w:t>
            </w:r>
          </w:p>
        </w:tc>
        <w:tc>
          <w:tcPr>
            <w:tcW w:w="268" w:type="pct"/>
            <w:tcBorders>
              <w:top w:val="single" w:color="000000" w:sz="4" w:space="0"/>
              <w:left w:val="single" w:color="000000" w:sz="4" w:space="0"/>
              <w:bottom w:val="single" w:color="000000" w:sz="4" w:space="0"/>
              <w:right w:val="single" w:color="000000" w:sz="4" w:space="0"/>
            </w:tcBorders>
            <w:vAlign w:val="center"/>
          </w:tcPr>
          <w:p w14:paraId="41AF9095">
            <w:pPr>
              <w:pStyle w:val="28"/>
              <w:bidi w:val="0"/>
            </w:pPr>
            <w:r>
              <w:t>0.55</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3193C7A6">
            <w:pPr>
              <w:pStyle w:val="28"/>
              <w:bidi w:val="0"/>
            </w:pPr>
            <w:r>
              <w:t>0.23</w:t>
            </w:r>
          </w:p>
        </w:tc>
        <w:tc>
          <w:tcPr>
            <w:tcW w:w="212" w:type="pct"/>
            <w:tcBorders>
              <w:top w:val="single" w:color="000000" w:sz="4" w:space="0"/>
              <w:left w:val="single" w:color="000000" w:sz="4" w:space="0"/>
              <w:bottom w:val="single" w:color="000000" w:sz="4" w:space="0"/>
              <w:right w:val="single" w:color="000000" w:sz="4" w:space="0"/>
            </w:tcBorders>
            <w:vAlign w:val="center"/>
          </w:tcPr>
          <w:p w14:paraId="44482460">
            <w:pPr>
              <w:pStyle w:val="28"/>
              <w:bidi w:val="0"/>
            </w:pPr>
            <w:r>
              <w:t>0.66</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10B9466C">
            <w:pPr>
              <w:pStyle w:val="28"/>
              <w:bidi w:val="0"/>
            </w:pPr>
            <w:r>
              <w:t>0.28</w:t>
            </w:r>
          </w:p>
        </w:tc>
        <w:tc>
          <w:tcPr>
            <w:tcW w:w="202" w:type="pct"/>
            <w:tcBorders>
              <w:top w:val="single" w:color="000000" w:sz="4" w:space="0"/>
              <w:left w:val="single" w:color="000000" w:sz="4" w:space="0"/>
              <w:bottom w:val="single" w:color="000000" w:sz="4" w:space="0"/>
              <w:right w:val="single" w:color="000000" w:sz="4" w:space="0"/>
            </w:tcBorders>
            <w:vAlign w:val="center"/>
          </w:tcPr>
          <w:p w14:paraId="2D700157">
            <w:pPr>
              <w:pStyle w:val="28"/>
              <w:bidi w:val="0"/>
            </w:pPr>
            <w:r>
              <w:t>0.09</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5ECA7DB3">
            <w:pPr>
              <w:pStyle w:val="28"/>
              <w:bidi w:val="0"/>
            </w:pPr>
            <w:r>
              <w:t>0.04</w:t>
            </w:r>
          </w:p>
        </w:tc>
      </w:tr>
      <w:tr w14:paraId="200C6C32">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43DCA76B">
            <w:pPr>
              <w:pStyle w:val="28"/>
              <w:bidi w:val="0"/>
            </w:pPr>
            <w:r>
              <w:t>6</w:t>
            </w:r>
          </w:p>
        </w:tc>
        <w:tc>
          <w:tcPr>
            <w:tcW w:w="2792" w:type="dxa"/>
            <w:tcBorders>
              <w:top w:val="single" w:color="000000" w:sz="4" w:space="0"/>
              <w:left w:val="single" w:color="000000" w:sz="4" w:space="0"/>
              <w:bottom w:val="single" w:color="000000" w:sz="4" w:space="0"/>
              <w:right w:val="single" w:color="000000" w:sz="4" w:space="0"/>
            </w:tcBorders>
            <w:vAlign w:val="center"/>
          </w:tcPr>
          <w:p w14:paraId="44FD11F4">
            <w:pPr>
              <w:pStyle w:val="28"/>
              <w:bidi w:val="0"/>
            </w:pPr>
            <w:r>
              <w:rPr>
                <w:rFonts w:hint="eastAsia"/>
              </w:rPr>
              <w:t>滁河干渠</w:t>
            </w:r>
            <w:r>
              <w:t>6</w:t>
            </w:r>
            <w:r>
              <w:rPr>
                <w:rFonts w:hint="eastAsia"/>
              </w:rPr>
              <w:t>座渠下涵工程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2FD47379">
            <w:pPr>
              <w:pStyle w:val="28"/>
              <w:bidi w:val="0"/>
            </w:pPr>
            <w:r>
              <w:t>1</w:t>
            </w:r>
          </w:p>
        </w:tc>
        <w:tc>
          <w:tcPr>
            <w:tcW w:w="268" w:type="pct"/>
            <w:tcBorders>
              <w:top w:val="single" w:color="000000" w:sz="4" w:space="0"/>
              <w:left w:val="single" w:color="000000" w:sz="4" w:space="0"/>
              <w:bottom w:val="single" w:color="000000" w:sz="4" w:space="0"/>
              <w:right w:val="single" w:color="000000" w:sz="4" w:space="0"/>
            </w:tcBorders>
            <w:vAlign w:val="center"/>
          </w:tcPr>
          <w:p w14:paraId="0473E713">
            <w:pPr>
              <w:pStyle w:val="28"/>
              <w:bidi w:val="0"/>
            </w:pPr>
            <w:r>
              <w:t>85</w:t>
            </w:r>
          </w:p>
        </w:tc>
        <w:tc>
          <w:tcPr>
            <w:tcW w:w="271" w:type="pct"/>
            <w:tcBorders>
              <w:top w:val="single" w:color="000000" w:sz="4" w:space="0"/>
              <w:left w:val="single" w:color="000000" w:sz="4" w:space="0"/>
              <w:bottom w:val="single" w:color="000000" w:sz="4" w:space="0"/>
              <w:right w:val="single" w:color="000000" w:sz="4" w:space="0"/>
            </w:tcBorders>
            <w:vAlign w:val="center"/>
          </w:tcPr>
          <w:p w14:paraId="34829E11">
            <w:pPr>
              <w:pStyle w:val="28"/>
              <w:bidi w:val="0"/>
            </w:pPr>
            <w:r>
              <w:t>185</w:t>
            </w:r>
          </w:p>
        </w:tc>
        <w:tc>
          <w:tcPr>
            <w:tcW w:w="258" w:type="pct"/>
            <w:tcBorders>
              <w:top w:val="single" w:color="000000" w:sz="4" w:space="0"/>
              <w:left w:val="single" w:color="000000" w:sz="4" w:space="0"/>
              <w:bottom w:val="single" w:color="000000" w:sz="4" w:space="0"/>
              <w:right w:val="single" w:color="000000" w:sz="4" w:space="0"/>
            </w:tcBorders>
            <w:vAlign w:val="center"/>
          </w:tcPr>
          <w:p w14:paraId="1C91F495">
            <w:pPr>
              <w:pStyle w:val="28"/>
              <w:bidi w:val="0"/>
            </w:pPr>
            <w:r>
              <w:t>2.07</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27C0C644">
            <w:pPr>
              <w:pStyle w:val="28"/>
              <w:bidi w:val="0"/>
            </w:pPr>
          </w:p>
        </w:tc>
        <w:tc>
          <w:tcPr>
            <w:tcW w:w="268" w:type="pct"/>
            <w:tcBorders>
              <w:top w:val="single" w:color="000000" w:sz="4" w:space="0"/>
              <w:left w:val="nil"/>
              <w:bottom w:val="single" w:color="000000" w:sz="4" w:space="0"/>
              <w:right w:val="single" w:color="000000" w:sz="4" w:space="0"/>
            </w:tcBorders>
            <w:vAlign w:val="center"/>
          </w:tcPr>
          <w:p w14:paraId="38694672">
            <w:pPr>
              <w:pStyle w:val="28"/>
              <w:bidi w:val="0"/>
            </w:pPr>
            <w:r>
              <w:t>8.88</w:t>
            </w:r>
          </w:p>
        </w:tc>
        <w:tc>
          <w:tcPr>
            <w:tcW w:w="303" w:type="pct"/>
            <w:tcBorders>
              <w:top w:val="single" w:color="000000" w:sz="4" w:space="0"/>
              <w:left w:val="single" w:color="000000" w:sz="4" w:space="0"/>
              <w:bottom w:val="single" w:color="000000" w:sz="4" w:space="0"/>
              <w:right w:val="single" w:color="000000" w:sz="4" w:space="0"/>
            </w:tcBorders>
            <w:vAlign w:val="center"/>
          </w:tcPr>
          <w:p w14:paraId="47D44C19">
            <w:pPr>
              <w:pStyle w:val="28"/>
              <w:bidi w:val="0"/>
            </w:pPr>
            <w:r>
              <w:t>993.60</w:t>
            </w:r>
          </w:p>
        </w:tc>
        <w:tc>
          <w:tcPr>
            <w:tcW w:w="219" w:type="pct"/>
            <w:tcBorders>
              <w:top w:val="single" w:color="000000" w:sz="4" w:space="0"/>
              <w:left w:val="single" w:color="000000" w:sz="4" w:space="0"/>
              <w:bottom w:val="single" w:color="000000" w:sz="4" w:space="0"/>
              <w:right w:val="single" w:color="000000" w:sz="4" w:space="0"/>
            </w:tcBorders>
            <w:vAlign w:val="center"/>
          </w:tcPr>
          <w:p w14:paraId="699EF4C2">
            <w:pPr>
              <w:pStyle w:val="28"/>
              <w:bidi w:val="0"/>
            </w:pPr>
            <w:r>
              <w:t>2.66</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6009A40B">
            <w:pPr>
              <w:pStyle w:val="28"/>
              <w:bidi w:val="0"/>
            </w:pPr>
            <w:r>
              <w:t>0.30</w:t>
            </w:r>
          </w:p>
        </w:tc>
        <w:tc>
          <w:tcPr>
            <w:tcW w:w="268" w:type="pct"/>
            <w:tcBorders>
              <w:top w:val="single" w:color="000000" w:sz="4" w:space="0"/>
              <w:left w:val="single" w:color="000000" w:sz="4" w:space="0"/>
              <w:bottom w:val="single" w:color="000000" w:sz="4" w:space="0"/>
              <w:right w:val="single" w:color="000000" w:sz="4" w:space="0"/>
            </w:tcBorders>
            <w:vAlign w:val="center"/>
          </w:tcPr>
          <w:p w14:paraId="6FDFD0BA">
            <w:pPr>
              <w:pStyle w:val="28"/>
              <w:bidi w:val="0"/>
            </w:pPr>
            <w:r>
              <w:t>1.33</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4C58CFD0">
            <w:pPr>
              <w:pStyle w:val="28"/>
              <w:bidi w:val="0"/>
            </w:pPr>
            <w:r>
              <w:t>0.15</w:t>
            </w:r>
          </w:p>
        </w:tc>
        <w:tc>
          <w:tcPr>
            <w:tcW w:w="212" w:type="pct"/>
            <w:tcBorders>
              <w:top w:val="single" w:color="000000" w:sz="4" w:space="0"/>
              <w:left w:val="single" w:color="000000" w:sz="4" w:space="0"/>
              <w:bottom w:val="single" w:color="000000" w:sz="4" w:space="0"/>
              <w:right w:val="single" w:color="000000" w:sz="4" w:space="0"/>
            </w:tcBorders>
            <w:vAlign w:val="center"/>
          </w:tcPr>
          <w:p w14:paraId="49F0A96A">
            <w:pPr>
              <w:pStyle w:val="28"/>
              <w:bidi w:val="0"/>
            </w:pPr>
            <w:r>
              <w:t>1.60</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485454AF">
            <w:pPr>
              <w:pStyle w:val="28"/>
              <w:bidi w:val="0"/>
            </w:pPr>
            <w:r>
              <w:t>0.18</w:t>
            </w:r>
          </w:p>
        </w:tc>
        <w:tc>
          <w:tcPr>
            <w:tcW w:w="202" w:type="pct"/>
            <w:tcBorders>
              <w:top w:val="single" w:color="000000" w:sz="4" w:space="0"/>
              <w:left w:val="single" w:color="000000" w:sz="4" w:space="0"/>
              <w:bottom w:val="single" w:color="000000" w:sz="4" w:space="0"/>
              <w:right w:val="single" w:color="000000" w:sz="4" w:space="0"/>
            </w:tcBorders>
            <w:vAlign w:val="center"/>
          </w:tcPr>
          <w:p w14:paraId="05353D03">
            <w:pPr>
              <w:pStyle w:val="28"/>
              <w:bidi w:val="0"/>
            </w:pPr>
            <w:r>
              <w:t>0.22</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43F2DBD4">
            <w:pPr>
              <w:pStyle w:val="28"/>
              <w:bidi w:val="0"/>
            </w:pPr>
            <w:r>
              <w:t>0.02</w:t>
            </w:r>
          </w:p>
        </w:tc>
      </w:tr>
      <w:tr w14:paraId="18FA1360">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523B5CB0">
            <w:pPr>
              <w:pStyle w:val="28"/>
              <w:bidi w:val="0"/>
            </w:pPr>
            <w:r>
              <w:t>7</w:t>
            </w:r>
          </w:p>
        </w:tc>
        <w:tc>
          <w:tcPr>
            <w:tcW w:w="2792" w:type="dxa"/>
            <w:tcBorders>
              <w:top w:val="single" w:color="000000" w:sz="4" w:space="0"/>
              <w:left w:val="single" w:color="000000" w:sz="4" w:space="0"/>
              <w:bottom w:val="single" w:color="000000" w:sz="4" w:space="0"/>
              <w:right w:val="single" w:color="000000" w:sz="4" w:space="0"/>
            </w:tcBorders>
            <w:vAlign w:val="center"/>
          </w:tcPr>
          <w:p w14:paraId="6679DF65">
            <w:pPr>
              <w:pStyle w:val="28"/>
              <w:bidi w:val="0"/>
            </w:pPr>
            <w:r>
              <w:rPr>
                <w:rFonts w:hint="eastAsia"/>
              </w:rPr>
              <w:t>淠杭干渠工程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64018334">
            <w:pPr>
              <w:pStyle w:val="28"/>
              <w:bidi w:val="0"/>
            </w:pPr>
            <w:r>
              <w:t>2</w:t>
            </w:r>
          </w:p>
        </w:tc>
        <w:tc>
          <w:tcPr>
            <w:tcW w:w="268" w:type="pct"/>
            <w:tcBorders>
              <w:top w:val="single" w:color="000000" w:sz="4" w:space="0"/>
              <w:left w:val="single" w:color="000000" w:sz="4" w:space="0"/>
              <w:bottom w:val="single" w:color="000000" w:sz="4" w:space="0"/>
              <w:right w:val="single" w:color="000000" w:sz="4" w:space="0"/>
            </w:tcBorders>
            <w:vAlign w:val="center"/>
          </w:tcPr>
          <w:p w14:paraId="7DDAF48C">
            <w:pPr>
              <w:pStyle w:val="28"/>
              <w:bidi w:val="0"/>
            </w:pPr>
            <w:r>
              <w:t>248</w:t>
            </w:r>
          </w:p>
        </w:tc>
        <w:tc>
          <w:tcPr>
            <w:tcW w:w="271" w:type="pct"/>
            <w:tcBorders>
              <w:top w:val="single" w:color="000000" w:sz="4" w:space="0"/>
              <w:left w:val="single" w:color="000000" w:sz="4" w:space="0"/>
              <w:bottom w:val="single" w:color="000000" w:sz="4" w:space="0"/>
              <w:right w:val="single" w:color="000000" w:sz="4" w:space="0"/>
            </w:tcBorders>
            <w:vAlign w:val="center"/>
          </w:tcPr>
          <w:p w14:paraId="19DCFC7B">
            <w:pPr>
              <w:pStyle w:val="28"/>
              <w:bidi w:val="0"/>
            </w:pPr>
            <w:r>
              <w:t>322</w:t>
            </w:r>
          </w:p>
        </w:tc>
        <w:tc>
          <w:tcPr>
            <w:tcW w:w="258" w:type="pct"/>
            <w:tcBorders>
              <w:top w:val="single" w:color="000000" w:sz="4" w:space="0"/>
              <w:left w:val="single" w:color="000000" w:sz="4" w:space="0"/>
              <w:bottom w:val="single" w:color="000000" w:sz="4" w:space="0"/>
              <w:right w:val="single" w:color="000000" w:sz="4" w:space="0"/>
            </w:tcBorders>
            <w:vAlign w:val="center"/>
          </w:tcPr>
          <w:p w14:paraId="07193A25">
            <w:pPr>
              <w:pStyle w:val="28"/>
              <w:bidi w:val="0"/>
            </w:pPr>
            <w:r>
              <w:t>3.59</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16E48DAA">
            <w:pPr>
              <w:pStyle w:val="28"/>
              <w:bidi w:val="0"/>
            </w:pPr>
          </w:p>
        </w:tc>
        <w:tc>
          <w:tcPr>
            <w:tcW w:w="268" w:type="pct"/>
            <w:tcBorders>
              <w:top w:val="single" w:color="000000" w:sz="4" w:space="0"/>
              <w:left w:val="nil"/>
              <w:bottom w:val="single" w:color="000000" w:sz="4" w:space="0"/>
              <w:right w:val="single" w:color="000000" w:sz="4" w:space="0"/>
            </w:tcBorders>
            <w:vAlign w:val="center"/>
          </w:tcPr>
          <w:p w14:paraId="6E8A3820">
            <w:pPr>
              <w:pStyle w:val="28"/>
              <w:bidi w:val="0"/>
            </w:pPr>
            <w:r>
              <w:t>15.46</w:t>
            </w:r>
          </w:p>
        </w:tc>
        <w:tc>
          <w:tcPr>
            <w:tcW w:w="303" w:type="pct"/>
            <w:tcBorders>
              <w:top w:val="single" w:color="000000" w:sz="4" w:space="0"/>
              <w:left w:val="single" w:color="000000" w:sz="4" w:space="0"/>
              <w:bottom w:val="single" w:color="000000" w:sz="4" w:space="0"/>
              <w:right w:val="single" w:color="000000" w:sz="4" w:space="0"/>
            </w:tcBorders>
            <w:vAlign w:val="center"/>
          </w:tcPr>
          <w:p w14:paraId="657B29F8">
            <w:pPr>
              <w:pStyle w:val="28"/>
              <w:bidi w:val="0"/>
            </w:pPr>
            <w:r>
              <w:t>1723.20</w:t>
            </w:r>
          </w:p>
        </w:tc>
        <w:tc>
          <w:tcPr>
            <w:tcW w:w="219" w:type="pct"/>
            <w:tcBorders>
              <w:top w:val="single" w:color="000000" w:sz="4" w:space="0"/>
              <w:left w:val="single" w:color="000000" w:sz="4" w:space="0"/>
              <w:bottom w:val="single" w:color="000000" w:sz="4" w:space="0"/>
              <w:right w:val="single" w:color="000000" w:sz="4" w:space="0"/>
            </w:tcBorders>
            <w:vAlign w:val="center"/>
          </w:tcPr>
          <w:p w14:paraId="30C4879A">
            <w:pPr>
              <w:pStyle w:val="28"/>
              <w:bidi w:val="0"/>
            </w:pPr>
            <w:r>
              <w:t>4.64</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02D6771C">
            <w:pPr>
              <w:pStyle w:val="28"/>
              <w:bidi w:val="0"/>
            </w:pPr>
            <w:r>
              <w:t>0.52</w:t>
            </w:r>
          </w:p>
        </w:tc>
        <w:tc>
          <w:tcPr>
            <w:tcW w:w="268" w:type="pct"/>
            <w:tcBorders>
              <w:top w:val="single" w:color="000000" w:sz="4" w:space="0"/>
              <w:left w:val="single" w:color="000000" w:sz="4" w:space="0"/>
              <w:bottom w:val="single" w:color="000000" w:sz="4" w:space="0"/>
              <w:right w:val="single" w:color="000000" w:sz="4" w:space="0"/>
            </w:tcBorders>
            <w:vAlign w:val="center"/>
          </w:tcPr>
          <w:p w14:paraId="3C6C3267">
            <w:pPr>
              <w:pStyle w:val="28"/>
              <w:bidi w:val="0"/>
            </w:pPr>
            <w:r>
              <w:t>2.32</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004EC27D">
            <w:pPr>
              <w:pStyle w:val="28"/>
              <w:bidi w:val="0"/>
            </w:pPr>
            <w:r>
              <w:t>0.26</w:t>
            </w:r>
          </w:p>
        </w:tc>
        <w:tc>
          <w:tcPr>
            <w:tcW w:w="212" w:type="pct"/>
            <w:tcBorders>
              <w:top w:val="single" w:color="000000" w:sz="4" w:space="0"/>
              <w:left w:val="single" w:color="000000" w:sz="4" w:space="0"/>
              <w:bottom w:val="single" w:color="000000" w:sz="4" w:space="0"/>
              <w:right w:val="single" w:color="000000" w:sz="4" w:space="0"/>
            </w:tcBorders>
            <w:vAlign w:val="center"/>
          </w:tcPr>
          <w:p w14:paraId="19C46BA6">
            <w:pPr>
              <w:pStyle w:val="28"/>
              <w:bidi w:val="0"/>
            </w:pPr>
            <w:r>
              <w:t>2.78</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3472F076">
            <w:pPr>
              <w:pStyle w:val="28"/>
              <w:bidi w:val="0"/>
            </w:pPr>
            <w:r>
              <w:t>0.31</w:t>
            </w:r>
          </w:p>
        </w:tc>
        <w:tc>
          <w:tcPr>
            <w:tcW w:w="202" w:type="pct"/>
            <w:tcBorders>
              <w:top w:val="single" w:color="000000" w:sz="4" w:space="0"/>
              <w:left w:val="single" w:color="000000" w:sz="4" w:space="0"/>
              <w:bottom w:val="single" w:color="000000" w:sz="4" w:space="0"/>
              <w:right w:val="single" w:color="000000" w:sz="4" w:space="0"/>
            </w:tcBorders>
            <w:vAlign w:val="center"/>
          </w:tcPr>
          <w:p w14:paraId="056508FA">
            <w:pPr>
              <w:pStyle w:val="28"/>
              <w:bidi w:val="0"/>
            </w:pPr>
            <w:r>
              <w:t>0.39</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5FAA6B3A">
            <w:pPr>
              <w:pStyle w:val="28"/>
              <w:bidi w:val="0"/>
            </w:pPr>
            <w:r>
              <w:t>0.04</w:t>
            </w:r>
          </w:p>
        </w:tc>
      </w:tr>
      <w:tr w14:paraId="5F872793">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3BD0ACBD">
            <w:pPr>
              <w:pStyle w:val="28"/>
              <w:bidi w:val="0"/>
            </w:pPr>
            <w:r>
              <w:t>8</w:t>
            </w:r>
          </w:p>
        </w:tc>
        <w:tc>
          <w:tcPr>
            <w:tcW w:w="2792" w:type="dxa"/>
            <w:tcBorders>
              <w:top w:val="single" w:color="000000" w:sz="4" w:space="0"/>
              <w:left w:val="single" w:color="000000" w:sz="4" w:space="0"/>
              <w:bottom w:val="single" w:color="000000" w:sz="4" w:space="0"/>
              <w:right w:val="single" w:color="000000" w:sz="4" w:space="0"/>
            </w:tcBorders>
            <w:vAlign w:val="center"/>
          </w:tcPr>
          <w:p w14:paraId="04C0B395">
            <w:pPr>
              <w:pStyle w:val="28"/>
              <w:bidi w:val="0"/>
            </w:pPr>
            <w:r>
              <w:rPr>
                <w:rFonts w:hint="eastAsia"/>
              </w:rPr>
              <w:t>淠东干渠工程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1BC6A7E5">
            <w:pPr>
              <w:pStyle w:val="28"/>
              <w:bidi w:val="0"/>
            </w:pPr>
            <w:r>
              <w:t>2</w:t>
            </w:r>
          </w:p>
        </w:tc>
        <w:tc>
          <w:tcPr>
            <w:tcW w:w="268" w:type="pct"/>
            <w:tcBorders>
              <w:top w:val="single" w:color="000000" w:sz="4" w:space="0"/>
              <w:left w:val="single" w:color="000000" w:sz="4" w:space="0"/>
              <w:bottom w:val="single" w:color="000000" w:sz="4" w:space="0"/>
              <w:right w:val="single" w:color="000000" w:sz="4" w:space="0"/>
            </w:tcBorders>
            <w:vAlign w:val="center"/>
          </w:tcPr>
          <w:p w14:paraId="791A2863">
            <w:pPr>
              <w:pStyle w:val="28"/>
              <w:bidi w:val="0"/>
            </w:pPr>
            <w:r>
              <w:t>216</w:t>
            </w:r>
          </w:p>
        </w:tc>
        <w:tc>
          <w:tcPr>
            <w:tcW w:w="271" w:type="pct"/>
            <w:tcBorders>
              <w:top w:val="single" w:color="000000" w:sz="4" w:space="0"/>
              <w:left w:val="single" w:color="000000" w:sz="4" w:space="0"/>
              <w:bottom w:val="single" w:color="000000" w:sz="4" w:space="0"/>
              <w:right w:val="single" w:color="000000" w:sz="4" w:space="0"/>
            </w:tcBorders>
            <w:vAlign w:val="center"/>
          </w:tcPr>
          <w:p w14:paraId="1EF01052">
            <w:pPr>
              <w:pStyle w:val="28"/>
              <w:bidi w:val="0"/>
            </w:pPr>
            <w:r>
              <w:t>285</w:t>
            </w:r>
          </w:p>
        </w:tc>
        <w:tc>
          <w:tcPr>
            <w:tcW w:w="258" w:type="pct"/>
            <w:tcBorders>
              <w:top w:val="single" w:color="000000" w:sz="4" w:space="0"/>
              <w:left w:val="single" w:color="000000" w:sz="4" w:space="0"/>
              <w:bottom w:val="single" w:color="000000" w:sz="4" w:space="0"/>
              <w:right w:val="single" w:color="000000" w:sz="4" w:space="0"/>
            </w:tcBorders>
            <w:vAlign w:val="center"/>
          </w:tcPr>
          <w:p w14:paraId="2D4E1180">
            <w:pPr>
              <w:pStyle w:val="28"/>
              <w:bidi w:val="0"/>
            </w:pPr>
            <w:r>
              <w:t>10.40</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5EE6EB28">
            <w:pPr>
              <w:pStyle w:val="28"/>
              <w:bidi w:val="0"/>
            </w:pPr>
          </w:p>
        </w:tc>
        <w:tc>
          <w:tcPr>
            <w:tcW w:w="268" w:type="pct"/>
            <w:tcBorders>
              <w:top w:val="single" w:color="000000" w:sz="4" w:space="0"/>
              <w:left w:val="nil"/>
              <w:bottom w:val="single" w:color="000000" w:sz="4" w:space="0"/>
              <w:right w:val="single" w:color="000000" w:sz="4" w:space="0"/>
            </w:tcBorders>
            <w:vAlign w:val="center"/>
          </w:tcPr>
          <w:p w14:paraId="2DF185E0">
            <w:pPr>
              <w:pStyle w:val="28"/>
              <w:bidi w:val="0"/>
            </w:pPr>
            <w:r>
              <w:t>13.68</w:t>
            </w:r>
          </w:p>
        </w:tc>
        <w:tc>
          <w:tcPr>
            <w:tcW w:w="303" w:type="pct"/>
            <w:tcBorders>
              <w:top w:val="single" w:color="000000" w:sz="4" w:space="0"/>
              <w:left w:val="single" w:color="000000" w:sz="4" w:space="0"/>
              <w:bottom w:val="single" w:color="000000" w:sz="4" w:space="0"/>
              <w:right w:val="single" w:color="000000" w:sz="4" w:space="0"/>
            </w:tcBorders>
            <w:vAlign w:val="center"/>
          </w:tcPr>
          <w:p w14:paraId="07CA3805">
            <w:pPr>
              <w:pStyle w:val="28"/>
              <w:bidi w:val="0"/>
            </w:pPr>
            <w:r>
              <w:t>4992.00</w:t>
            </w:r>
          </w:p>
        </w:tc>
        <w:tc>
          <w:tcPr>
            <w:tcW w:w="219" w:type="pct"/>
            <w:tcBorders>
              <w:top w:val="single" w:color="000000" w:sz="4" w:space="0"/>
              <w:left w:val="single" w:color="000000" w:sz="4" w:space="0"/>
              <w:bottom w:val="single" w:color="000000" w:sz="4" w:space="0"/>
              <w:right w:val="single" w:color="000000" w:sz="4" w:space="0"/>
            </w:tcBorders>
            <w:vAlign w:val="center"/>
          </w:tcPr>
          <w:p w14:paraId="43A0E0FE">
            <w:pPr>
              <w:pStyle w:val="28"/>
              <w:bidi w:val="0"/>
            </w:pPr>
            <w:r>
              <w:t>4.10</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1A2A018F">
            <w:pPr>
              <w:pStyle w:val="28"/>
              <w:bidi w:val="0"/>
            </w:pPr>
            <w:r>
              <w:t>1.50</w:t>
            </w:r>
          </w:p>
        </w:tc>
        <w:tc>
          <w:tcPr>
            <w:tcW w:w="268" w:type="pct"/>
            <w:tcBorders>
              <w:top w:val="single" w:color="000000" w:sz="4" w:space="0"/>
              <w:left w:val="single" w:color="000000" w:sz="4" w:space="0"/>
              <w:bottom w:val="single" w:color="000000" w:sz="4" w:space="0"/>
              <w:right w:val="single" w:color="000000" w:sz="4" w:space="0"/>
            </w:tcBorders>
            <w:vAlign w:val="center"/>
          </w:tcPr>
          <w:p w14:paraId="159BB3EB">
            <w:pPr>
              <w:pStyle w:val="28"/>
              <w:bidi w:val="0"/>
            </w:pPr>
            <w:r>
              <w:t>2.05</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57B0965D">
            <w:pPr>
              <w:pStyle w:val="28"/>
              <w:bidi w:val="0"/>
            </w:pPr>
            <w:r>
              <w:t>0.75</w:t>
            </w:r>
          </w:p>
        </w:tc>
        <w:tc>
          <w:tcPr>
            <w:tcW w:w="212" w:type="pct"/>
            <w:tcBorders>
              <w:top w:val="single" w:color="000000" w:sz="4" w:space="0"/>
              <w:left w:val="single" w:color="000000" w:sz="4" w:space="0"/>
              <w:bottom w:val="single" w:color="000000" w:sz="4" w:space="0"/>
              <w:right w:val="single" w:color="000000" w:sz="4" w:space="0"/>
            </w:tcBorders>
            <w:vAlign w:val="center"/>
          </w:tcPr>
          <w:p w14:paraId="574F3BB3">
            <w:pPr>
              <w:pStyle w:val="28"/>
              <w:bidi w:val="0"/>
            </w:pPr>
            <w:r>
              <w:t>2.46</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2EA047A6">
            <w:pPr>
              <w:pStyle w:val="28"/>
              <w:bidi w:val="0"/>
            </w:pPr>
            <w:r>
              <w:t>0.90</w:t>
            </w:r>
          </w:p>
        </w:tc>
        <w:tc>
          <w:tcPr>
            <w:tcW w:w="202" w:type="pct"/>
            <w:tcBorders>
              <w:top w:val="single" w:color="000000" w:sz="4" w:space="0"/>
              <w:left w:val="single" w:color="000000" w:sz="4" w:space="0"/>
              <w:bottom w:val="single" w:color="000000" w:sz="4" w:space="0"/>
              <w:right w:val="single" w:color="000000" w:sz="4" w:space="0"/>
            </w:tcBorders>
            <w:vAlign w:val="center"/>
          </w:tcPr>
          <w:p w14:paraId="6DD02263">
            <w:pPr>
              <w:pStyle w:val="28"/>
              <w:bidi w:val="0"/>
            </w:pPr>
            <w:r>
              <w:t>0.34</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4E2F10AC">
            <w:pPr>
              <w:pStyle w:val="28"/>
              <w:bidi w:val="0"/>
            </w:pPr>
            <w:r>
              <w:t>0.12</w:t>
            </w:r>
          </w:p>
        </w:tc>
      </w:tr>
      <w:tr w14:paraId="656AA19D">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6F05F53D">
            <w:pPr>
              <w:pStyle w:val="28"/>
              <w:bidi w:val="0"/>
            </w:pPr>
            <w:r>
              <w:t>9</w:t>
            </w:r>
          </w:p>
        </w:tc>
        <w:tc>
          <w:tcPr>
            <w:tcW w:w="2792" w:type="dxa"/>
            <w:tcBorders>
              <w:top w:val="single" w:color="000000" w:sz="4" w:space="0"/>
              <w:left w:val="single" w:color="000000" w:sz="4" w:space="0"/>
              <w:bottom w:val="single" w:color="000000" w:sz="4" w:space="0"/>
              <w:right w:val="single" w:color="000000" w:sz="4" w:space="0"/>
            </w:tcBorders>
            <w:vAlign w:val="center"/>
          </w:tcPr>
          <w:p w14:paraId="321F71DB">
            <w:pPr>
              <w:pStyle w:val="28"/>
              <w:bidi w:val="0"/>
            </w:pPr>
            <w:r>
              <w:rPr>
                <w:rFonts w:hint="eastAsia"/>
              </w:rPr>
              <w:t>瓦西干渠工程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77FA76EC">
            <w:pPr>
              <w:pStyle w:val="28"/>
              <w:bidi w:val="0"/>
            </w:pPr>
            <w:r>
              <w:t>1</w:t>
            </w:r>
          </w:p>
        </w:tc>
        <w:tc>
          <w:tcPr>
            <w:tcW w:w="268" w:type="pct"/>
            <w:tcBorders>
              <w:top w:val="single" w:color="000000" w:sz="4" w:space="0"/>
              <w:left w:val="single" w:color="000000" w:sz="4" w:space="0"/>
              <w:bottom w:val="single" w:color="000000" w:sz="4" w:space="0"/>
              <w:right w:val="single" w:color="000000" w:sz="4" w:space="0"/>
            </w:tcBorders>
            <w:vAlign w:val="center"/>
          </w:tcPr>
          <w:p w14:paraId="48B0C4D2">
            <w:pPr>
              <w:pStyle w:val="28"/>
              <w:bidi w:val="0"/>
            </w:pPr>
            <w:r>
              <w:t>403</w:t>
            </w:r>
          </w:p>
        </w:tc>
        <w:tc>
          <w:tcPr>
            <w:tcW w:w="271" w:type="pct"/>
            <w:tcBorders>
              <w:top w:val="single" w:color="000000" w:sz="4" w:space="0"/>
              <w:left w:val="single" w:color="000000" w:sz="4" w:space="0"/>
              <w:bottom w:val="single" w:color="000000" w:sz="4" w:space="0"/>
              <w:right w:val="single" w:color="000000" w:sz="4" w:space="0"/>
            </w:tcBorders>
            <w:vAlign w:val="center"/>
          </w:tcPr>
          <w:p w14:paraId="3C713EC8">
            <w:pPr>
              <w:pStyle w:val="28"/>
              <w:bidi w:val="0"/>
            </w:pPr>
            <w:r>
              <w:t>524</w:t>
            </w:r>
          </w:p>
        </w:tc>
        <w:tc>
          <w:tcPr>
            <w:tcW w:w="258" w:type="pct"/>
            <w:tcBorders>
              <w:top w:val="single" w:color="000000" w:sz="4" w:space="0"/>
              <w:left w:val="single" w:color="000000" w:sz="4" w:space="0"/>
              <w:bottom w:val="single" w:color="000000" w:sz="4" w:space="0"/>
              <w:right w:val="single" w:color="000000" w:sz="4" w:space="0"/>
            </w:tcBorders>
            <w:vAlign w:val="center"/>
          </w:tcPr>
          <w:p w14:paraId="1AF14BD3">
            <w:pPr>
              <w:pStyle w:val="28"/>
              <w:bidi w:val="0"/>
            </w:pPr>
            <w:r>
              <w:t>6.39</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04636A88">
            <w:pPr>
              <w:pStyle w:val="28"/>
              <w:bidi w:val="0"/>
            </w:pPr>
          </w:p>
        </w:tc>
        <w:tc>
          <w:tcPr>
            <w:tcW w:w="268" w:type="pct"/>
            <w:tcBorders>
              <w:top w:val="single" w:color="000000" w:sz="4" w:space="0"/>
              <w:left w:val="nil"/>
              <w:bottom w:val="single" w:color="000000" w:sz="4" w:space="0"/>
              <w:right w:val="single" w:color="000000" w:sz="4" w:space="0"/>
            </w:tcBorders>
            <w:vAlign w:val="center"/>
          </w:tcPr>
          <w:p w14:paraId="496E0D44">
            <w:pPr>
              <w:pStyle w:val="28"/>
              <w:bidi w:val="0"/>
            </w:pPr>
            <w:r>
              <w:t>25.15</w:t>
            </w:r>
          </w:p>
        </w:tc>
        <w:tc>
          <w:tcPr>
            <w:tcW w:w="303" w:type="pct"/>
            <w:tcBorders>
              <w:top w:val="single" w:color="000000" w:sz="4" w:space="0"/>
              <w:left w:val="single" w:color="000000" w:sz="4" w:space="0"/>
              <w:bottom w:val="single" w:color="000000" w:sz="4" w:space="0"/>
              <w:right w:val="single" w:color="000000" w:sz="4" w:space="0"/>
            </w:tcBorders>
            <w:vAlign w:val="center"/>
          </w:tcPr>
          <w:p w14:paraId="1483160C">
            <w:pPr>
              <w:pStyle w:val="28"/>
              <w:bidi w:val="0"/>
            </w:pPr>
            <w:r>
              <w:t>3067.20</w:t>
            </w:r>
          </w:p>
        </w:tc>
        <w:tc>
          <w:tcPr>
            <w:tcW w:w="219" w:type="pct"/>
            <w:tcBorders>
              <w:top w:val="single" w:color="000000" w:sz="4" w:space="0"/>
              <w:left w:val="single" w:color="000000" w:sz="4" w:space="0"/>
              <w:bottom w:val="single" w:color="000000" w:sz="4" w:space="0"/>
              <w:right w:val="single" w:color="000000" w:sz="4" w:space="0"/>
            </w:tcBorders>
            <w:vAlign w:val="center"/>
          </w:tcPr>
          <w:p w14:paraId="29C57D54">
            <w:pPr>
              <w:pStyle w:val="28"/>
              <w:bidi w:val="0"/>
            </w:pPr>
            <w:r>
              <w:t>7.55</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00EABCA9">
            <w:pPr>
              <w:pStyle w:val="28"/>
              <w:bidi w:val="0"/>
            </w:pPr>
            <w:r>
              <w:t>0.92</w:t>
            </w:r>
          </w:p>
        </w:tc>
        <w:tc>
          <w:tcPr>
            <w:tcW w:w="268" w:type="pct"/>
            <w:tcBorders>
              <w:top w:val="single" w:color="000000" w:sz="4" w:space="0"/>
              <w:left w:val="single" w:color="000000" w:sz="4" w:space="0"/>
              <w:bottom w:val="single" w:color="000000" w:sz="4" w:space="0"/>
              <w:right w:val="single" w:color="000000" w:sz="4" w:space="0"/>
            </w:tcBorders>
            <w:vAlign w:val="center"/>
          </w:tcPr>
          <w:p w14:paraId="7EE9912F">
            <w:pPr>
              <w:pStyle w:val="28"/>
              <w:bidi w:val="0"/>
            </w:pPr>
            <w:r>
              <w:t>3.77</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47D69E16">
            <w:pPr>
              <w:pStyle w:val="28"/>
              <w:bidi w:val="0"/>
            </w:pPr>
            <w:r>
              <w:t>0.46</w:t>
            </w:r>
          </w:p>
        </w:tc>
        <w:tc>
          <w:tcPr>
            <w:tcW w:w="212" w:type="pct"/>
            <w:tcBorders>
              <w:top w:val="single" w:color="000000" w:sz="4" w:space="0"/>
              <w:left w:val="single" w:color="000000" w:sz="4" w:space="0"/>
              <w:bottom w:val="single" w:color="000000" w:sz="4" w:space="0"/>
              <w:right w:val="single" w:color="000000" w:sz="4" w:space="0"/>
            </w:tcBorders>
            <w:vAlign w:val="center"/>
          </w:tcPr>
          <w:p w14:paraId="0C816038">
            <w:pPr>
              <w:pStyle w:val="28"/>
              <w:bidi w:val="0"/>
            </w:pPr>
            <w:r>
              <w:t>4.53</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7121A454">
            <w:pPr>
              <w:pStyle w:val="28"/>
              <w:bidi w:val="0"/>
            </w:pPr>
            <w:r>
              <w:t>0.55</w:t>
            </w:r>
          </w:p>
        </w:tc>
        <w:tc>
          <w:tcPr>
            <w:tcW w:w="202" w:type="pct"/>
            <w:tcBorders>
              <w:top w:val="single" w:color="000000" w:sz="4" w:space="0"/>
              <w:left w:val="single" w:color="000000" w:sz="4" w:space="0"/>
              <w:bottom w:val="single" w:color="000000" w:sz="4" w:space="0"/>
              <w:right w:val="single" w:color="000000" w:sz="4" w:space="0"/>
            </w:tcBorders>
            <w:vAlign w:val="center"/>
          </w:tcPr>
          <w:p w14:paraId="1F1F350C">
            <w:pPr>
              <w:pStyle w:val="28"/>
              <w:bidi w:val="0"/>
            </w:pPr>
            <w:r>
              <w:t>0.63</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7551C4BE">
            <w:pPr>
              <w:pStyle w:val="28"/>
              <w:bidi w:val="0"/>
            </w:pPr>
            <w:r>
              <w:t>0.08</w:t>
            </w:r>
          </w:p>
        </w:tc>
      </w:tr>
      <w:tr w14:paraId="70585495">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2EB4F4B3">
            <w:pPr>
              <w:pStyle w:val="28"/>
              <w:bidi w:val="0"/>
            </w:pPr>
            <w:r>
              <w:t>10</w:t>
            </w:r>
          </w:p>
        </w:tc>
        <w:tc>
          <w:tcPr>
            <w:tcW w:w="2792" w:type="dxa"/>
            <w:tcBorders>
              <w:top w:val="single" w:color="000000" w:sz="4" w:space="0"/>
              <w:left w:val="single" w:color="000000" w:sz="4" w:space="0"/>
              <w:bottom w:val="single" w:color="000000" w:sz="4" w:space="0"/>
              <w:right w:val="single" w:color="000000" w:sz="4" w:space="0"/>
            </w:tcBorders>
            <w:vAlign w:val="center"/>
          </w:tcPr>
          <w:p w14:paraId="75CC4B60">
            <w:pPr>
              <w:pStyle w:val="28"/>
              <w:bidi w:val="0"/>
            </w:pPr>
            <w:r>
              <w:rPr>
                <w:rFonts w:hint="eastAsia"/>
              </w:rPr>
              <w:t>堰口分干渠工程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78AF03F6">
            <w:pPr>
              <w:pStyle w:val="28"/>
              <w:bidi w:val="0"/>
            </w:pPr>
            <w:r>
              <w:t>1</w:t>
            </w:r>
          </w:p>
        </w:tc>
        <w:tc>
          <w:tcPr>
            <w:tcW w:w="268" w:type="pct"/>
            <w:tcBorders>
              <w:top w:val="single" w:color="000000" w:sz="4" w:space="0"/>
              <w:left w:val="single" w:color="000000" w:sz="4" w:space="0"/>
              <w:bottom w:val="single" w:color="000000" w:sz="4" w:space="0"/>
              <w:right w:val="single" w:color="000000" w:sz="4" w:space="0"/>
            </w:tcBorders>
            <w:vAlign w:val="center"/>
          </w:tcPr>
          <w:p w14:paraId="3F0B21EB">
            <w:pPr>
              <w:pStyle w:val="28"/>
              <w:bidi w:val="0"/>
            </w:pPr>
            <w:r>
              <w:t>190</w:t>
            </w:r>
          </w:p>
        </w:tc>
        <w:tc>
          <w:tcPr>
            <w:tcW w:w="271" w:type="pct"/>
            <w:tcBorders>
              <w:top w:val="single" w:color="000000" w:sz="4" w:space="0"/>
              <w:left w:val="single" w:color="000000" w:sz="4" w:space="0"/>
              <w:bottom w:val="single" w:color="000000" w:sz="4" w:space="0"/>
              <w:right w:val="single" w:color="000000" w:sz="4" w:space="0"/>
            </w:tcBorders>
            <w:vAlign w:val="center"/>
          </w:tcPr>
          <w:p w14:paraId="411BD69D">
            <w:pPr>
              <w:pStyle w:val="28"/>
              <w:bidi w:val="0"/>
            </w:pPr>
            <w:r>
              <w:t>245</w:t>
            </w:r>
          </w:p>
        </w:tc>
        <w:tc>
          <w:tcPr>
            <w:tcW w:w="258" w:type="pct"/>
            <w:tcBorders>
              <w:top w:val="single" w:color="000000" w:sz="4" w:space="0"/>
              <w:left w:val="single" w:color="000000" w:sz="4" w:space="0"/>
              <w:bottom w:val="single" w:color="000000" w:sz="4" w:space="0"/>
              <w:right w:val="single" w:color="000000" w:sz="4" w:space="0"/>
            </w:tcBorders>
            <w:vAlign w:val="center"/>
          </w:tcPr>
          <w:p w14:paraId="04B318F2">
            <w:pPr>
              <w:pStyle w:val="28"/>
              <w:bidi w:val="0"/>
            </w:pPr>
            <w:r>
              <w:t>9.10</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00750B13">
            <w:pPr>
              <w:pStyle w:val="28"/>
              <w:bidi w:val="0"/>
            </w:pPr>
          </w:p>
        </w:tc>
        <w:tc>
          <w:tcPr>
            <w:tcW w:w="268" w:type="pct"/>
            <w:tcBorders>
              <w:top w:val="single" w:color="000000" w:sz="4" w:space="0"/>
              <w:left w:val="nil"/>
              <w:bottom w:val="single" w:color="000000" w:sz="4" w:space="0"/>
              <w:right w:val="single" w:color="000000" w:sz="4" w:space="0"/>
            </w:tcBorders>
            <w:vAlign w:val="center"/>
          </w:tcPr>
          <w:p w14:paraId="1A6FC6B1">
            <w:pPr>
              <w:pStyle w:val="28"/>
              <w:bidi w:val="0"/>
            </w:pPr>
            <w:r>
              <w:t>11.76</w:t>
            </w:r>
          </w:p>
        </w:tc>
        <w:tc>
          <w:tcPr>
            <w:tcW w:w="303" w:type="pct"/>
            <w:tcBorders>
              <w:top w:val="single" w:color="000000" w:sz="4" w:space="0"/>
              <w:left w:val="single" w:color="000000" w:sz="4" w:space="0"/>
              <w:bottom w:val="single" w:color="000000" w:sz="4" w:space="0"/>
              <w:right w:val="single" w:color="000000" w:sz="4" w:space="0"/>
            </w:tcBorders>
            <w:vAlign w:val="center"/>
          </w:tcPr>
          <w:p w14:paraId="0CA16CF3">
            <w:pPr>
              <w:pStyle w:val="28"/>
              <w:bidi w:val="0"/>
            </w:pPr>
            <w:r>
              <w:t>4368.00</w:t>
            </w:r>
          </w:p>
        </w:tc>
        <w:tc>
          <w:tcPr>
            <w:tcW w:w="219" w:type="pct"/>
            <w:tcBorders>
              <w:top w:val="single" w:color="000000" w:sz="4" w:space="0"/>
              <w:left w:val="single" w:color="000000" w:sz="4" w:space="0"/>
              <w:bottom w:val="single" w:color="000000" w:sz="4" w:space="0"/>
              <w:right w:val="single" w:color="000000" w:sz="4" w:space="0"/>
            </w:tcBorders>
            <w:vAlign w:val="center"/>
          </w:tcPr>
          <w:p w14:paraId="5DEE0B15">
            <w:pPr>
              <w:pStyle w:val="28"/>
              <w:bidi w:val="0"/>
            </w:pPr>
            <w:r>
              <w:t>3.53</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66D41905">
            <w:pPr>
              <w:pStyle w:val="28"/>
              <w:bidi w:val="0"/>
            </w:pPr>
            <w:r>
              <w:t>1.31</w:t>
            </w:r>
          </w:p>
        </w:tc>
        <w:tc>
          <w:tcPr>
            <w:tcW w:w="268" w:type="pct"/>
            <w:tcBorders>
              <w:top w:val="single" w:color="000000" w:sz="4" w:space="0"/>
              <w:left w:val="single" w:color="000000" w:sz="4" w:space="0"/>
              <w:bottom w:val="single" w:color="000000" w:sz="4" w:space="0"/>
              <w:right w:val="single" w:color="000000" w:sz="4" w:space="0"/>
            </w:tcBorders>
            <w:vAlign w:val="center"/>
          </w:tcPr>
          <w:p w14:paraId="659CB99D">
            <w:pPr>
              <w:pStyle w:val="28"/>
              <w:bidi w:val="0"/>
            </w:pPr>
            <w:r>
              <w:t>1.76</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6FA23555">
            <w:pPr>
              <w:pStyle w:val="28"/>
              <w:bidi w:val="0"/>
            </w:pPr>
            <w:r>
              <w:t>0.66</w:t>
            </w:r>
          </w:p>
        </w:tc>
        <w:tc>
          <w:tcPr>
            <w:tcW w:w="212" w:type="pct"/>
            <w:tcBorders>
              <w:top w:val="single" w:color="000000" w:sz="4" w:space="0"/>
              <w:left w:val="single" w:color="000000" w:sz="4" w:space="0"/>
              <w:bottom w:val="single" w:color="000000" w:sz="4" w:space="0"/>
              <w:right w:val="single" w:color="000000" w:sz="4" w:space="0"/>
            </w:tcBorders>
            <w:vAlign w:val="center"/>
          </w:tcPr>
          <w:p w14:paraId="399D082A">
            <w:pPr>
              <w:pStyle w:val="28"/>
              <w:bidi w:val="0"/>
            </w:pPr>
            <w:r>
              <w:t>2.12</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1013C861">
            <w:pPr>
              <w:pStyle w:val="28"/>
              <w:bidi w:val="0"/>
            </w:pPr>
            <w:r>
              <w:t>0.79</w:t>
            </w:r>
          </w:p>
        </w:tc>
        <w:tc>
          <w:tcPr>
            <w:tcW w:w="202" w:type="pct"/>
            <w:tcBorders>
              <w:top w:val="single" w:color="000000" w:sz="4" w:space="0"/>
              <w:left w:val="single" w:color="000000" w:sz="4" w:space="0"/>
              <w:bottom w:val="single" w:color="000000" w:sz="4" w:space="0"/>
              <w:right w:val="single" w:color="000000" w:sz="4" w:space="0"/>
            </w:tcBorders>
            <w:vAlign w:val="center"/>
          </w:tcPr>
          <w:p w14:paraId="7A2C8795">
            <w:pPr>
              <w:pStyle w:val="28"/>
              <w:bidi w:val="0"/>
            </w:pPr>
            <w:r>
              <w:t>0.29</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23A9D445">
            <w:pPr>
              <w:pStyle w:val="28"/>
              <w:bidi w:val="0"/>
            </w:pPr>
            <w:r>
              <w:t>0.11</w:t>
            </w:r>
          </w:p>
        </w:tc>
      </w:tr>
      <w:tr w14:paraId="34328CD0">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442CB59A">
            <w:pPr>
              <w:pStyle w:val="28"/>
              <w:bidi w:val="0"/>
            </w:pPr>
            <w:r>
              <w:t>11</w:t>
            </w:r>
          </w:p>
        </w:tc>
        <w:tc>
          <w:tcPr>
            <w:tcW w:w="2792" w:type="dxa"/>
            <w:tcBorders>
              <w:top w:val="single" w:color="000000" w:sz="4" w:space="0"/>
              <w:left w:val="single" w:color="000000" w:sz="4" w:space="0"/>
              <w:bottom w:val="single" w:color="000000" w:sz="4" w:space="0"/>
              <w:right w:val="single" w:color="000000" w:sz="4" w:space="0"/>
            </w:tcBorders>
            <w:vAlign w:val="center"/>
          </w:tcPr>
          <w:p w14:paraId="1586A735">
            <w:pPr>
              <w:pStyle w:val="28"/>
              <w:bidi w:val="0"/>
            </w:pPr>
            <w:r>
              <w:rPr>
                <w:rFonts w:hint="eastAsia"/>
              </w:rPr>
              <w:t>淠源分干渠工程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1279457E">
            <w:pPr>
              <w:pStyle w:val="28"/>
              <w:bidi w:val="0"/>
            </w:pPr>
            <w:r>
              <w:t>3</w:t>
            </w:r>
          </w:p>
        </w:tc>
        <w:tc>
          <w:tcPr>
            <w:tcW w:w="268" w:type="pct"/>
            <w:tcBorders>
              <w:top w:val="single" w:color="000000" w:sz="4" w:space="0"/>
              <w:left w:val="single" w:color="000000" w:sz="4" w:space="0"/>
              <w:bottom w:val="single" w:color="000000" w:sz="4" w:space="0"/>
              <w:right w:val="single" w:color="000000" w:sz="4" w:space="0"/>
            </w:tcBorders>
            <w:vAlign w:val="center"/>
          </w:tcPr>
          <w:p w14:paraId="05EF7033">
            <w:pPr>
              <w:pStyle w:val="28"/>
              <w:bidi w:val="0"/>
            </w:pPr>
            <w:r>
              <w:t>156</w:t>
            </w:r>
          </w:p>
        </w:tc>
        <w:tc>
          <w:tcPr>
            <w:tcW w:w="271" w:type="pct"/>
            <w:tcBorders>
              <w:top w:val="single" w:color="000000" w:sz="4" w:space="0"/>
              <w:left w:val="single" w:color="000000" w:sz="4" w:space="0"/>
              <w:bottom w:val="single" w:color="000000" w:sz="4" w:space="0"/>
              <w:right w:val="single" w:color="000000" w:sz="4" w:space="0"/>
            </w:tcBorders>
            <w:vAlign w:val="center"/>
          </w:tcPr>
          <w:p w14:paraId="225041A4">
            <w:pPr>
              <w:pStyle w:val="28"/>
              <w:bidi w:val="0"/>
            </w:pPr>
            <w:r>
              <w:t>203</w:t>
            </w:r>
          </w:p>
        </w:tc>
        <w:tc>
          <w:tcPr>
            <w:tcW w:w="258" w:type="pct"/>
            <w:tcBorders>
              <w:top w:val="single" w:color="000000" w:sz="4" w:space="0"/>
              <w:left w:val="single" w:color="000000" w:sz="4" w:space="0"/>
              <w:bottom w:val="single" w:color="000000" w:sz="4" w:space="0"/>
              <w:right w:val="single" w:color="000000" w:sz="4" w:space="0"/>
            </w:tcBorders>
            <w:vAlign w:val="center"/>
          </w:tcPr>
          <w:p w14:paraId="320F70CA">
            <w:pPr>
              <w:pStyle w:val="28"/>
              <w:bidi w:val="0"/>
            </w:pPr>
            <w:r>
              <w:t>2.39</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6561E9BA">
            <w:pPr>
              <w:pStyle w:val="28"/>
              <w:bidi w:val="0"/>
            </w:pPr>
          </w:p>
        </w:tc>
        <w:tc>
          <w:tcPr>
            <w:tcW w:w="268" w:type="pct"/>
            <w:tcBorders>
              <w:top w:val="single" w:color="000000" w:sz="4" w:space="0"/>
              <w:left w:val="nil"/>
              <w:bottom w:val="single" w:color="000000" w:sz="4" w:space="0"/>
              <w:right w:val="single" w:color="000000" w:sz="4" w:space="0"/>
            </w:tcBorders>
            <w:vAlign w:val="center"/>
          </w:tcPr>
          <w:p w14:paraId="75238983">
            <w:pPr>
              <w:pStyle w:val="28"/>
              <w:bidi w:val="0"/>
            </w:pPr>
            <w:r>
              <w:t>9.74</w:t>
            </w:r>
          </w:p>
        </w:tc>
        <w:tc>
          <w:tcPr>
            <w:tcW w:w="303" w:type="pct"/>
            <w:tcBorders>
              <w:top w:val="single" w:color="000000" w:sz="4" w:space="0"/>
              <w:left w:val="single" w:color="000000" w:sz="4" w:space="0"/>
              <w:bottom w:val="single" w:color="000000" w:sz="4" w:space="0"/>
              <w:right w:val="single" w:color="000000" w:sz="4" w:space="0"/>
            </w:tcBorders>
            <w:vAlign w:val="center"/>
          </w:tcPr>
          <w:p w14:paraId="11E971B3">
            <w:pPr>
              <w:pStyle w:val="28"/>
              <w:bidi w:val="0"/>
            </w:pPr>
            <w:r>
              <w:t>1147.20</w:t>
            </w:r>
          </w:p>
        </w:tc>
        <w:tc>
          <w:tcPr>
            <w:tcW w:w="219" w:type="pct"/>
            <w:tcBorders>
              <w:top w:val="single" w:color="000000" w:sz="4" w:space="0"/>
              <w:left w:val="single" w:color="000000" w:sz="4" w:space="0"/>
              <w:bottom w:val="single" w:color="000000" w:sz="4" w:space="0"/>
              <w:right w:val="single" w:color="000000" w:sz="4" w:space="0"/>
            </w:tcBorders>
            <w:vAlign w:val="center"/>
          </w:tcPr>
          <w:p w14:paraId="5B6462CF">
            <w:pPr>
              <w:pStyle w:val="28"/>
              <w:bidi w:val="0"/>
            </w:pPr>
            <w:r>
              <w:t>2.92</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604E6702">
            <w:pPr>
              <w:pStyle w:val="28"/>
              <w:bidi w:val="0"/>
            </w:pPr>
            <w:r>
              <w:t>0.34</w:t>
            </w:r>
          </w:p>
        </w:tc>
        <w:tc>
          <w:tcPr>
            <w:tcW w:w="268" w:type="pct"/>
            <w:tcBorders>
              <w:top w:val="single" w:color="000000" w:sz="4" w:space="0"/>
              <w:left w:val="single" w:color="000000" w:sz="4" w:space="0"/>
              <w:bottom w:val="single" w:color="000000" w:sz="4" w:space="0"/>
              <w:right w:val="single" w:color="000000" w:sz="4" w:space="0"/>
            </w:tcBorders>
            <w:vAlign w:val="center"/>
          </w:tcPr>
          <w:p w14:paraId="1BC25205">
            <w:pPr>
              <w:pStyle w:val="28"/>
              <w:bidi w:val="0"/>
            </w:pPr>
            <w:r>
              <w:t>1.46</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480DFABC">
            <w:pPr>
              <w:pStyle w:val="28"/>
              <w:bidi w:val="0"/>
            </w:pPr>
            <w:r>
              <w:t>0.17</w:t>
            </w:r>
          </w:p>
        </w:tc>
        <w:tc>
          <w:tcPr>
            <w:tcW w:w="212" w:type="pct"/>
            <w:tcBorders>
              <w:top w:val="single" w:color="000000" w:sz="4" w:space="0"/>
              <w:left w:val="single" w:color="000000" w:sz="4" w:space="0"/>
              <w:bottom w:val="single" w:color="000000" w:sz="4" w:space="0"/>
              <w:right w:val="single" w:color="000000" w:sz="4" w:space="0"/>
            </w:tcBorders>
            <w:vAlign w:val="center"/>
          </w:tcPr>
          <w:p w14:paraId="2E1D1AC0">
            <w:pPr>
              <w:pStyle w:val="28"/>
              <w:bidi w:val="0"/>
            </w:pPr>
            <w:r>
              <w:t>1.75</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436219FC">
            <w:pPr>
              <w:pStyle w:val="28"/>
              <w:bidi w:val="0"/>
            </w:pPr>
            <w:r>
              <w:t>0.21</w:t>
            </w:r>
          </w:p>
        </w:tc>
        <w:tc>
          <w:tcPr>
            <w:tcW w:w="202" w:type="pct"/>
            <w:tcBorders>
              <w:top w:val="single" w:color="000000" w:sz="4" w:space="0"/>
              <w:left w:val="single" w:color="000000" w:sz="4" w:space="0"/>
              <w:bottom w:val="single" w:color="000000" w:sz="4" w:space="0"/>
              <w:right w:val="single" w:color="000000" w:sz="4" w:space="0"/>
            </w:tcBorders>
            <w:vAlign w:val="center"/>
          </w:tcPr>
          <w:p w14:paraId="17015633">
            <w:pPr>
              <w:pStyle w:val="28"/>
              <w:bidi w:val="0"/>
            </w:pPr>
            <w:r>
              <w:t>0.24</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589A4FE1">
            <w:pPr>
              <w:pStyle w:val="28"/>
              <w:bidi w:val="0"/>
            </w:pPr>
            <w:r>
              <w:t>0.03</w:t>
            </w:r>
          </w:p>
        </w:tc>
      </w:tr>
      <w:tr w14:paraId="1A7CCDDF">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7EB6DB38">
            <w:pPr>
              <w:pStyle w:val="28"/>
              <w:bidi w:val="0"/>
            </w:pPr>
            <w:r>
              <w:t>12</w:t>
            </w:r>
          </w:p>
        </w:tc>
        <w:tc>
          <w:tcPr>
            <w:tcW w:w="2792" w:type="dxa"/>
            <w:tcBorders>
              <w:top w:val="single" w:color="000000" w:sz="4" w:space="0"/>
              <w:left w:val="single" w:color="000000" w:sz="4" w:space="0"/>
              <w:bottom w:val="single" w:color="000000" w:sz="4" w:space="0"/>
              <w:right w:val="single" w:color="000000" w:sz="4" w:space="0"/>
            </w:tcBorders>
            <w:vAlign w:val="center"/>
          </w:tcPr>
          <w:p w14:paraId="3D598298">
            <w:pPr>
              <w:pStyle w:val="28"/>
              <w:bidi w:val="0"/>
            </w:pPr>
            <w:r>
              <w:rPr>
                <w:rFonts w:hint="eastAsia"/>
              </w:rPr>
              <w:t>小蜀山分干渠工程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113B7519">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119E0228">
            <w:pPr>
              <w:pStyle w:val="28"/>
              <w:bidi w:val="0"/>
            </w:pPr>
            <w:r>
              <w:t>281</w:t>
            </w:r>
          </w:p>
        </w:tc>
        <w:tc>
          <w:tcPr>
            <w:tcW w:w="271" w:type="pct"/>
            <w:tcBorders>
              <w:top w:val="single" w:color="000000" w:sz="4" w:space="0"/>
              <w:left w:val="single" w:color="000000" w:sz="4" w:space="0"/>
              <w:bottom w:val="single" w:color="000000" w:sz="4" w:space="0"/>
              <w:right w:val="single" w:color="000000" w:sz="4" w:space="0"/>
            </w:tcBorders>
            <w:vAlign w:val="center"/>
          </w:tcPr>
          <w:p w14:paraId="0CED76B0">
            <w:pPr>
              <w:pStyle w:val="28"/>
              <w:bidi w:val="0"/>
            </w:pPr>
            <w:r>
              <w:t>338</w:t>
            </w:r>
          </w:p>
        </w:tc>
        <w:tc>
          <w:tcPr>
            <w:tcW w:w="258" w:type="pct"/>
            <w:tcBorders>
              <w:top w:val="single" w:color="000000" w:sz="4" w:space="0"/>
              <w:left w:val="single" w:color="000000" w:sz="4" w:space="0"/>
              <w:bottom w:val="single" w:color="000000" w:sz="4" w:space="0"/>
              <w:right w:val="single" w:color="000000" w:sz="4" w:space="0"/>
            </w:tcBorders>
            <w:vAlign w:val="center"/>
          </w:tcPr>
          <w:p w14:paraId="0294ACC7">
            <w:pPr>
              <w:pStyle w:val="28"/>
              <w:bidi w:val="0"/>
            </w:pPr>
            <w:r>
              <w:t>0.63</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1450135F">
            <w:pPr>
              <w:pStyle w:val="28"/>
              <w:bidi w:val="0"/>
            </w:pPr>
          </w:p>
        </w:tc>
        <w:tc>
          <w:tcPr>
            <w:tcW w:w="268" w:type="pct"/>
            <w:tcBorders>
              <w:top w:val="single" w:color="000000" w:sz="4" w:space="0"/>
              <w:left w:val="nil"/>
              <w:bottom w:val="single" w:color="000000" w:sz="4" w:space="0"/>
              <w:right w:val="single" w:color="000000" w:sz="4" w:space="0"/>
            </w:tcBorders>
            <w:vAlign w:val="center"/>
          </w:tcPr>
          <w:p w14:paraId="37CA5688">
            <w:pPr>
              <w:pStyle w:val="28"/>
              <w:bidi w:val="0"/>
            </w:pPr>
            <w:r>
              <w:t>16.22</w:t>
            </w:r>
          </w:p>
        </w:tc>
        <w:tc>
          <w:tcPr>
            <w:tcW w:w="303" w:type="pct"/>
            <w:tcBorders>
              <w:top w:val="single" w:color="000000" w:sz="4" w:space="0"/>
              <w:left w:val="single" w:color="000000" w:sz="4" w:space="0"/>
              <w:bottom w:val="single" w:color="000000" w:sz="4" w:space="0"/>
              <w:right w:val="single" w:color="000000" w:sz="4" w:space="0"/>
            </w:tcBorders>
            <w:vAlign w:val="center"/>
          </w:tcPr>
          <w:p w14:paraId="1F885616">
            <w:pPr>
              <w:pStyle w:val="28"/>
              <w:bidi w:val="0"/>
            </w:pPr>
            <w:r>
              <w:t>302.40</w:t>
            </w:r>
          </w:p>
        </w:tc>
        <w:tc>
          <w:tcPr>
            <w:tcW w:w="219" w:type="pct"/>
            <w:tcBorders>
              <w:top w:val="single" w:color="000000" w:sz="4" w:space="0"/>
              <w:left w:val="single" w:color="000000" w:sz="4" w:space="0"/>
              <w:bottom w:val="single" w:color="000000" w:sz="4" w:space="0"/>
              <w:right w:val="single" w:color="000000" w:sz="4" w:space="0"/>
            </w:tcBorders>
            <w:vAlign w:val="center"/>
          </w:tcPr>
          <w:p w14:paraId="21C4DE58">
            <w:pPr>
              <w:pStyle w:val="28"/>
              <w:bidi w:val="0"/>
            </w:pPr>
            <w:r>
              <w:t>4.87</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4EBEFE51">
            <w:pPr>
              <w:pStyle w:val="28"/>
              <w:bidi w:val="0"/>
            </w:pPr>
            <w:r>
              <w:t>0.09</w:t>
            </w:r>
          </w:p>
        </w:tc>
        <w:tc>
          <w:tcPr>
            <w:tcW w:w="268" w:type="pct"/>
            <w:tcBorders>
              <w:top w:val="single" w:color="000000" w:sz="4" w:space="0"/>
              <w:left w:val="single" w:color="000000" w:sz="4" w:space="0"/>
              <w:bottom w:val="single" w:color="000000" w:sz="4" w:space="0"/>
              <w:right w:val="single" w:color="000000" w:sz="4" w:space="0"/>
            </w:tcBorders>
            <w:vAlign w:val="center"/>
          </w:tcPr>
          <w:p w14:paraId="7BEC9F15">
            <w:pPr>
              <w:pStyle w:val="28"/>
              <w:bidi w:val="0"/>
            </w:pPr>
            <w:r>
              <w:t>2.43</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5F31C93C">
            <w:pPr>
              <w:pStyle w:val="28"/>
              <w:bidi w:val="0"/>
            </w:pPr>
            <w:r>
              <w:t>0.05</w:t>
            </w:r>
          </w:p>
        </w:tc>
        <w:tc>
          <w:tcPr>
            <w:tcW w:w="212" w:type="pct"/>
            <w:tcBorders>
              <w:top w:val="single" w:color="000000" w:sz="4" w:space="0"/>
              <w:left w:val="single" w:color="000000" w:sz="4" w:space="0"/>
              <w:bottom w:val="single" w:color="000000" w:sz="4" w:space="0"/>
              <w:right w:val="single" w:color="000000" w:sz="4" w:space="0"/>
            </w:tcBorders>
            <w:vAlign w:val="center"/>
          </w:tcPr>
          <w:p w14:paraId="05F40648">
            <w:pPr>
              <w:pStyle w:val="28"/>
              <w:bidi w:val="0"/>
            </w:pPr>
            <w:r>
              <w:t>2.92</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6FEA7A39">
            <w:pPr>
              <w:pStyle w:val="28"/>
              <w:bidi w:val="0"/>
            </w:pPr>
            <w:r>
              <w:t>0.05</w:t>
            </w:r>
          </w:p>
        </w:tc>
        <w:tc>
          <w:tcPr>
            <w:tcW w:w="202" w:type="pct"/>
            <w:tcBorders>
              <w:top w:val="single" w:color="000000" w:sz="4" w:space="0"/>
              <w:left w:val="single" w:color="000000" w:sz="4" w:space="0"/>
              <w:bottom w:val="single" w:color="000000" w:sz="4" w:space="0"/>
              <w:right w:val="single" w:color="000000" w:sz="4" w:space="0"/>
            </w:tcBorders>
            <w:vAlign w:val="center"/>
          </w:tcPr>
          <w:p w14:paraId="7FD51702">
            <w:pPr>
              <w:pStyle w:val="28"/>
              <w:bidi w:val="0"/>
            </w:pPr>
            <w:r>
              <w:t>0.41</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2FD6FFC9">
            <w:pPr>
              <w:pStyle w:val="28"/>
              <w:bidi w:val="0"/>
            </w:pPr>
            <w:r>
              <w:t>0.01</w:t>
            </w:r>
          </w:p>
        </w:tc>
      </w:tr>
      <w:tr w14:paraId="58D4DDB7">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5DDE73AB">
            <w:pPr>
              <w:pStyle w:val="28"/>
              <w:bidi w:val="0"/>
            </w:pPr>
            <w:r>
              <w:t>13</w:t>
            </w:r>
          </w:p>
        </w:tc>
        <w:tc>
          <w:tcPr>
            <w:tcW w:w="2792" w:type="dxa"/>
            <w:tcBorders>
              <w:top w:val="single" w:color="000000" w:sz="4" w:space="0"/>
              <w:left w:val="single" w:color="000000" w:sz="4" w:space="0"/>
              <w:bottom w:val="single" w:color="000000" w:sz="4" w:space="0"/>
              <w:right w:val="single" w:color="000000" w:sz="4" w:space="0"/>
            </w:tcBorders>
            <w:vAlign w:val="center"/>
          </w:tcPr>
          <w:p w14:paraId="7C18EDA6">
            <w:pPr>
              <w:pStyle w:val="28"/>
              <w:bidi w:val="0"/>
            </w:pPr>
            <w:r>
              <w:rPr>
                <w:rFonts w:hint="eastAsia"/>
              </w:rPr>
              <w:t>瓦东双庙支渠工程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1F3CAB42">
            <w:pPr>
              <w:pStyle w:val="28"/>
              <w:bidi w:val="0"/>
            </w:pPr>
            <w:r>
              <w:t>1</w:t>
            </w:r>
          </w:p>
        </w:tc>
        <w:tc>
          <w:tcPr>
            <w:tcW w:w="268" w:type="pct"/>
            <w:tcBorders>
              <w:top w:val="single" w:color="000000" w:sz="4" w:space="0"/>
              <w:left w:val="single" w:color="000000" w:sz="4" w:space="0"/>
              <w:bottom w:val="single" w:color="000000" w:sz="4" w:space="0"/>
              <w:right w:val="single" w:color="000000" w:sz="4" w:space="0"/>
            </w:tcBorders>
            <w:vAlign w:val="center"/>
          </w:tcPr>
          <w:p w14:paraId="511F80EA">
            <w:pPr>
              <w:pStyle w:val="28"/>
              <w:bidi w:val="0"/>
            </w:pPr>
            <w:r>
              <w:t>126</w:t>
            </w:r>
          </w:p>
        </w:tc>
        <w:tc>
          <w:tcPr>
            <w:tcW w:w="271" w:type="pct"/>
            <w:tcBorders>
              <w:top w:val="single" w:color="000000" w:sz="4" w:space="0"/>
              <w:left w:val="single" w:color="000000" w:sz="4" w:space="0"/>
              <w:bottom w:val="single" w:color="000000" w:sz="4" w:space="0"/>
              <w:right w:val="single" w:color="000000" w:sz="4" w:space="0"/>
            </w:tcBorders>
            <w:vAlign w:val="center"/>
          </w:tcPr>
          <w:p w14:paraId="735CCA57">
            <w:pPr>
              <w:pStyle w:val="28"/>
              <w:bidi w:val="0"/>
            </w:pPr>
            <w:r>
              <w:t>168</w:t>
            </w:r>
          </w:p>
        </w:tc>
        <w:tc>
          <w:tcPr>
            <w:tcW w:w="258" w:type="pct"/>
            <w:tcBorders>
              <w:top w:val="single" w:color="000000" w:sz="4" w:space="0"/>
              <w:left w:val="single" w:color="000000" w:sz="4" w:space="0"/>
              <w:bottom w:val="single" w:color="000000" w:sz="4" w:space="0"/>
              <w:right w:val="single" w:color="000000" w:sz="4" w:space="0"/>
            </w:tcBorders>
            <w:vAlign w:val="center"/>
          </w:tcPr>
          <w:p w14:paraId="4E6DD05B">
            <w:pPr>
              <w:pStyle w:val="28"/>
              <w:bidi w:val="0"/>
            </w:pPr>
            <w:r>
              <w:t>6.10</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1711C531">
            <w:pPr>
              <w:pStyle w:val="28"/>
              <w:bidi w:val="0"/>
            </w:pPr>
          </w:p>
        </w:tc>
        <w:tc>
          <w:tcPr>
            <w:tcW w:w="268" w:type="pct"/>
            <w:tcBorders>
              <w:top w:val="single" w:color="000000" w:sz="4" w:space="0"/>
              <w:left w:val="nil"/>
              <w:bottom w:val="single" w:color="000000" w:sz="4" w:space="0"/>
              <w:right w:val="single" w:color="000000" w:sz="4" w:space="0"/>
            </w:tcBorders>
            <w:vAlign w:val="center"/>
          </w:tcPr>
          <w:p w14:paraId="3A8BBB87">
            <w:pPr>
              <w:pStyle w:val="28"/>
              <w:bidi w:val="0"/>
            </w:pPr>
            <w:r>
              <w:t>8.06</w:t>
            </w:r>
          </w:p>
        </w:tc>
        <w:tc>
          <w:tcPr>
            <w:tcW w:w="303" w:type="pct"/>
            <w:tcBorders>
              <w:top w:val="single" w:color="000000" w:sz="4" w:space="0"/>
              <w:left w:val="single" w:color="000000" w:sz="4" w:space="0"/>
              <w:bottom w:val="single" w:color="000000" w:sz="4" w:space="0"/>
              <w:right w:val="single" w:color="000000" w:sz="4" w:space="0"/>
            </w:tcBorders>
            <w:vAlign w:val="center"/>
          </w:tcPr>
          <w:p w14:paraId="26D50FDD">
            <w:pPr>
              <w:pStyle w:val="28"/>
              <w:bidi w:val="0"/>
            </w:pPr>
            <w:r>
              <w:t>2928.00</w:t>
            </w:r>
          </w:p>
        </w:tc>
        <w:tc>
          <w:tcPr>
            <w:tcW w:w="219" w:type="pct"/>
            <w:tcBorders>
              <w:top w:val="single" w:color="000000" w:sz="4" w:space="0"/>
              <w:left w:val="single" w:color="000000" w:sz="4" w:space="0"/>
              <w:bottom w:val="single" w:color="000000" w:sz="4" w:space="0"/>
              <w:right w:val="single" w:color="000000" w:sz="4" w:space="0"/>
            </w:tcBorders>
            <w:vAlign w:val="center"/>
          </w:tcPr>
          <w:p w14:paraId="348163C0">
            <w:pPr>
              <w:pStyle w:val="28"/>
              <w:bidi w:val="0"/>
            </w:pPr>
            <w:r>
              <w:t>2.42</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0B2576ED">
            <w:pPr>
              <w:pStyle w:val="28"/>
              <w:bidi w:val="0"/>
            </w:pPr>
            <w:r>
              <w:t>0.88</w:t>
            </w:r>
          </w:p>
        </w:tc>
        <w:tc>
          <w:tcPr>
            <w:tcW w:w="268" w:type="pct"/>
            <w:tcBorders>
              <w:top w:val="single" w:color="000000" w:sz="4" w:space="0"/>
              <w:left w:val="single" w:color="000000" w:sz="4" w:space="0"/>
              <w:bottom w:val="single" w:color="000000" w:sz="4" w:space="0"/>
              <w:right w:val="single" w:color="000000" w:sz="4" w:space="0"/>
            </w:tcBorders>
            <w:vAlign w:val="center"/>
          </w:tcPr>
          <w:p w14:paraId="60C14D34">
            <w:pPr>
              <w:pStyle w:val="28"/>
              <w:bidi w:val="0"/>
            </w:pPr>
            <w:r>
              <w:t>1.21</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3BD868CC">
            <w:pPr>
              <w:pStyle w:val="28"/>
              <w:bidi w:val="0"/>
            </w:pPr>
            <w:r>
              <w:t>0.44</w:t>
            </w:r>
          </w:p>
        </w:tc>
        <w:tc>
          <w:tcPr>
            <w:tcW w:w="212" w:type="pct"/>
            <w:tcBorders>
              <w:top w:val="single" w:color="000000" w:sz="4" w:space="0"/>
              <w:left w:val="single" w:color="000000" w:sz="4" w:space="0"/>
              <w:bottom w:val="single" w:color="000000" w:sz="4" w:space="0"/>
              <w:right w:val="single" w:color="000000" w:sz="4" w:space="0"/>
            </w:tcBorders>
            <w:vAlign w:val="center"/>
          </w:tcPr>
          <w:p w14:paraId="6393FF91">
            <w:pPr>
              <w:pStyle w:val="28"/>
              <w:bidi w:val="0"/>
            </w:pPr>
            <w:r>
              <w:t>1.45</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4A10B736">
            <w:pPr>
              <w:pStyle w:val="28"/>
              <w:bidi w:val="0"/>
            </w:pPr>
            <w:r>
              <w:t>0.53</w:t>
            </w:r>
          </w:p>
        </w:tc>
        <w:tc>
          <w:tcPr>
            <w:tcW w:w="202" w:type="pct"/>
            <w:tcBorders>
              <w:top w:val="single" w:color="000000" w:sz="4" w:space="0"/>
              <w:left w:val="single" w:color="000000" w:sz="4" w:space="0"/>
              <w:bottom w:val="single" w:color="000000" w:sz="4" w:space="0"/>
              <w:right w:val="single" w:color="000000" w:sz="4" w:space="0"/>
            </w:tcBorders>
            <w:vAlign w:val="center"/>
          </w:tcPr>
          <w:p w14:paraId="0277EF5D">
            <w:pPr>
              <w:pStyle w:val="28"/>
              <w:bidi w:val="0"/>
            </w:pPr>
            <w:r>
              <w:t>0.20</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7F3653E9">
            <w:pPr>
              <w:pStyle w:val="28"/>
              <w:bidi w:val="0"/>
            </w:pPr>
            <w:r>
              <w:t>0.07</w:t>
            </w:r>
          </w:p>
        </w:tc>
      </w:tr>
      <w:tr w14:paraId="2A5D0E67">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139D1403">
            <w:pPr>
              <w:pStyle w:val="28"/>
              <w:bidi w:val="0"/>
            </w:pPr>
            <w:r>
              <w:t>14</w:t>
            </w:r>
          </w:p>
        </w:tc>
        <w:tc>
          <w:tcPr>
            <w:tcW w:w="2792" w:type="dxa"/>
            <w:tcBorders>
              <w:top w:val="single" w:color="000000" w:sz="4" w:space="0"/>
              <w:left w:val="single" w:color="000000" w:sz="4" w:space="0"/>
              <w:bottom w:val="single" w:color="000000" w:sz="4" w:space="0"/>
              <w:right w:val="single" w:color="000000" w:sz="4" w:space="0"/>
            </w:tcBorders>
            <w:vAlign w:val="center"/>
          </w:tcPr>
          <w:p w14:paraId="4B3C2010">
            <w:pPr>
              <w:pStyle w:val="28"/>
              <w:bidi w:val="0"/>
            </w:pPr>
            <w:r>
              <w:rPr>
                <w:rFonts w:hint="eastAsia"/>
              </w:rPr>
              <w:t>东风支渠工程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3FF3AC59">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74AC3DC5">
            <w:pPr>
              <w:pStyle w:val="28"/>
              <w:bidi w:val="0"/>
            </w:pPr>
            <w:r>
              <w:t>95</w:t>
            </w:r>
          </w:p>
        </w:tc>
        <w:tc>
          <w:tcPr>
            <w:tcW w:w="271" w:type="pct"/>
            <w:tcBorders>
              <w:top w:val="single" w:color="000000" w:sz="4" w:space="0"/>
              <w:left w:val="single" w:color="000000" w:sz="4" w:space="0"/>
              <w:bottom w:val="single" w:color="000000" w:sz="4" w:space="0"/>
              <w:right w:val="single" w:color="000000" w:sz="4" w:space="0"/>
            </w:tcBorders>
            <w:vAlign w:val="center"/>
          </w:tcPr>
          <w:p w14:paraId="5546EA44">
            <w:pPr>
              <w:pStyle w:val="28"/>
              <w:bidi w:val="0"/>
            </w:pPr>
            <w:r>
              <w:t>124</w:t>
            </w:r>
          </w:p>
        </w:tc>
        <w:tc>
          <w:tcPr>
            <w:tcW w:w="258" w:type="pct"/>
            <w:tcBorders>
              <w:top w:val="single" w:color="000000" w:sz="4" w:space="0"/>
              <w:left w:val="single" w:color="000000" w:sz="4" w:space="0"/>
              <w:bottom w:val="single" w:color="000000" w:sz="4" w:space="0"/>
              <w:right w:val="single" w:color="000000" w:sz="4" w:space="0"/>
            </w:tcBorders>
            <w:vAlign w:val="center"/>
          </w:tcPr>
          <w:p w14:paraId="63ECC387">
            <w:pPr>
              <w:pStyle w:val="28"/>
              <w:bidi w:val="0"/>
            </w:pPr>
            <w:r>
              <w:t>4.50</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1AF1F07D">
            <w:pPr>
              <w:pStyle w:val="28"/>
              <w:bidi w:val="0"/>
            </w:pPr>
          </w:p>
        </w:tc>
        <w:tc>
          <w:tcPr>
            <w:tcW w:w="268" w:type="pct"/>
            <w:tcBorders>
              <w:top w:val="single" w:color="000000" w:sz="4" w:space="0"/>
              <w:left w:val="nil"/>
              <w:bottom w:val="single" w:color="000000" w:sz="4" w:space="0"/>
              <w:right w:val="single" w:color="000000" w:sz="4" w:space="0"/>
            </w:tcBorders>
            <w:vAlign w:val="center"/>
          </w:tcPr>
          <w:p w14:paraId="47A26406">
            <w:pPr>
              <w:pStyle w:val="28"/>
              <w:bidi w:val="0"/>
            </w:pPr>
            <w:r>
              <w:t>5.95</w:t>
            </w:r>
          </w:p>
        </w:tc>
        <w:tc>
          <w:tcPr>
            <w:tcW w:w="303" w:type="pct"/>
            <w:tcBorders>
              <w:top w:val="single" w:color="000000" w:sz="4" w:space="0"/>
              <w:left w:val="single" w:color="000000" w:sz="4" w:space="0"/>
              <w:bottom w:val="single" w:color="000000" w:sz="4" w:space="0"/>
              <w:right w:val="single" w:color="000000" w:sz="4" w:space="0"/>
            </w:tcBorders>
            <w:vAlign w:val="center"/>
          </w:tcPr>
          <w:p w14:paraId="5C8DBE5C">
            <w:pPr>
              <w:pStyle w:val="28"/>
              <w:bidi w:val="0"/>
            </w:pPr>
            <w:r>
              <w:t>2160.00</w:t>
            </w:r>
          </w:p>
        </w:tc>
        <w:tc>
          <w:tcPr>
            <w:tcW w:w="219" w:type="pct"/>
            <w:tcBorders>
              <w:top w:val="single" w:color="000000" w:sz="4" w:space="0"/>
              <w:left w:val="single" w:color="000000" w:sz="4" w:space="0"/>
              <w:bottom w:val="single" w:color="000000" w:sz="4" w:space="0"/>
              <w:right w:val="single" w:color="000000" w:sz="4" w:space="0"/>
            </w:tcBorders>
            <w:vAlign w:val="center"/>
          </w:tcPr>
          <w:p w14:paraId="1C8B36D7">
            <w:pPr>
              <w:pStyle w:val="28"/>
              <w:bidi w:val="0"/>
            </w:pPr>
            <w:r>
              <w:t>1.79</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3E6BB0F7">
            <w:pPr>
              <w:pStyle w:val="28"/>
              <w:bidi w:val="0"/>
            </w:pPr>
            <w:r>
              <w:t>0.65</w:t>
            </w:r>
          </w:p>
        </w:tc>
        <w:tc>
          <w:tcPr>
            <w:tcW w:w="268" w:type="pct"/>
            <w:tcBorders>
              <w:top w:val="single" w:color="000000" w:sz="4" w:space="0"/>
              <w:left w:val="single" w:color="000000" w:sz="4" w:space="0"/>
              <w:bottom w:val="single" w:color="000000" w:sz="4" w:space="0"/>
              <w:right w:val="single" w:color="000000" w:sz="4" w:space="0"/>
            </w:tcBorders>
            <w:vAlign w:val="center"/>
          </w:tcPr>
          <w:p w14:paraId="17919BC1">
            <w:pPr>
              <w:pStyle w:val="28"/>
              <w:bidi w:val="0"/>
            </w:pPr>
            <w:r>
              <w:t>0.89</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360C8EC9">
            <w:pPr>
              <w:pStyle w:val="28"/>
              <w:bidi w:val="0"/>
            </w:pPr>
            <w:r>
              <w:t>0.32</w:t>
            </w:r>
          </w:p>
        </w:tc>
        <w:tc>
          <w:tcPr>
            <w:tcW w:w="212" w:type="pct"/>
            <w:tcBorders>
              <w:top w:val="single" w:color="000000" w:sz="4" w:space="0"/>
              <w:left w:val="single" w:color="000000" w:sz="4" w:space="0"/>
              <w:bottom w:val="single" w:color="000000" w:sz="4" w:space="0"/>
              <w:right w:val="single" w:color="000000" w:sz="4" w:space="0"/>
            </w:tcBorders>
            <w:vAlign w:val="center"/>
          </w:tcPr>
          <w:p w14:paraId="605BFB6B">
            <w:pPr>
              <w:pStyle w:val="28"/>
              <w:bidi w:val="0"/>
            </w:pPr>
            <w:r>
              <w:t>1.07</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0DEF6D9F">
            <w:pPr>
              <w:pStyle w:val="28"/>
              <w:bidi w:val="0"/>
            </w:pPr>
            <w:r>
              <w:t>0.39</w:t>
            </w:r>
          </w:p>
        </w:tc>
        <w:tc>
          <w:tcPr>
            <w:tcW w:w="202" w:type="pct"/>
            <w:tcBorders>
              <w:top w:val="single" w:color="000000" w:sz="4" w:space="0"/>
              <w:left w:val="single" w:color="000000" w:sz="4" w:space="0"/>
              <w:bottom w:val="single" w:color="000000" w:sz="4" w:space="0"/>
              <w:right w:val="single" w:color="000000" w:sz="4" w:space="0"/>
            </w:tcBorders>
            <w:vAlign w:val="center"/>
          </w:tcPr>
          <w:p w14:paraId="166A5E88">
            <w:pPr>
              <w:pStyle w:val="28"/>
              <w:bidi w:val="0"/>
            </w:pPr>
            <w:r>
              <w:t>0.15</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63113AC4">
            <w:pPr>
              <w:pStyle w:val="28"/>
              <w:bidi w:val="0"/>
            </w:pPr>
            <w:r>
              <w:t>0.05</w:t>
            </w:r>
          </w:p>
        </w:tc>
      </w:tr>
      <w:tr w14:paraId="404DAEE4">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53CCE6BD">
            <w:pPr>
              <w:pStyle w:val="28"/>
              <w:bidi w:val="0"/>
            </w:pPr>
            <w:r>
              <w:t>15</w:t>
            </w:r>
          </w:p>
        </w:tc>
        <w:tc>
          <w:tcPr>
            <w:tcW w:w="2792" w:type="dxa"/>
            <w:tcBorders>
              <w:top w:val="single" w:color="000000" w:sz="4" w:space="0"/>
              <w:left w:val="single" w:color="000000" w:sz="4" w:space="0"/>
              <w:bottom w:val="single" w:color="000000" w:sz="4" w:space="0"/>
              <w:right w:val="single" w:color="000000" w:sz="4" w:space="0"/>
            </w:tcBorders>
            <w:vAlign w:val="center"/>
          </w:tcPr>
          <w:p w14:paraId="2135A321">
            <w:pPr>
              <w:pStyle w:val="28"/>
              <w:bidi w:val="0"/>
            </w:pPr>
            <w:r>
              <w:rPr>
                <w:rFonts w:hint="eastAsia"/>
              </w:rPr>
              <w:t>界河支渠工程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0E383F98">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66C73BFB">
            <w:pPr>
              <w:pStyle w:val="28"/>
              <w:bidi w:val="0"/>
            </w:pPr>
            <w:r>
              <w:t>80</w:t>
            </w:r>
          </w:p>
        </w:tc>
        <w:tc>
          <w:tcPr>
            <w:tcW w:w="271" w:type="pct"/>
            <w:tcBorders>
              <w:top w:val="single" w:color="000000" w:sz="4" w:space="0"/>
              <w:left w:val="single" w:color="000000" w:sz="4" w:space="0"/>
              <w:bottom w:val="single" w:color="000000" w:sz="4" w:space="0"/>
              <w:right w:val="single" w:color="000000" w:sz="4" w:space="0"/>
            </w:tcBorders>
            <w:vAlign w:val="center"/>
          </w:tcPr>
          <w:p w14:paraId="6904A18C">
            <w:pPr>
              <w:pStyle w:val="28"/>
              <w:bidi w:val="0"/>
            </w:pPr>
            <w:r>
              <w:t>130</w:t>
            </w:r>
          </w:p>
        </w:tc>
        <w:tc>
          <w:tcPr>
            <w:tcW w:w="258" w:type="pct"/>
            <w:tcBorders>
              <w:top w:val="single" w:color="000000" w:sz="4" w:space="0"/>
              <w:left w:val="single" w:color="000000" w:sz="4" w:space="0"/>
              <w:bottom w:val="single" w:color="000000" w:sz="4" w:space="0"/>
              <w:right w:val="single" w:color="000000" w:sz="4" w:space="0"/>
            </w:tcBorders>
            <w:vAlign w:val="center"/>
          </w:tcPr>
          <w:p w14:paraId="4F087EE5">
            <w:pPr>
              <w:pStyle w:val="28"/>
              <w:bidi w:val="0"/>
            </w:pPr>
            <w:r>
              <w:t>1.26</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7389990F">
            <w:pPr>
              <w:pStyle w:val="28"/>
              <w:bidi w:val="0"/>
            </w:pPr>
          </w:p>
        </w:tc>
        <w:tc>
          <w:tcPr>
            <w:tcW w:w="268" w:type="pct"/>
            <w:tcBorders>
              <w:top w:val="single" w:color="000000" w:sz="4" w:space="0"/>
              <w:left w:val="nil"/>
              <w:bottom w:val="single" w:color="000000" w:sz="4" w:space="0"/>
              <w:right w:val="single" w:color="000000" w:sz="4" w:space="0"/>
            </w:tcBorders>
            <w:vAlign w:val="center"/>
          </w:tcPr>
          <w:p w14:paraId="0F24F34B">
            <w:pPr>
              <w:pStyle w:val="28"/>
              <w:bidi w:val="0"/>
            </w:pPr>
            <w:r>
              <w:t>6.24</w:t>
            </w:r>
          </w:p>
        </w:tc>
        <w:tc>
          <w:tcPr>
            <w:tcW w:w="303" w:type="pct"/>
            <w:tcBorders>
              <w:top w:val="single" w:color="000000" w:sz="4" w:space="0"/>
              <w:left w:val="single" w:color="000000" w:sz="4" w:space="0"/>
              <w:bottom w:val="single" w:color="000000" w:sz="4" w:space="0"/>
              <w:right w:val="single" w:color="000000" w:sz="4" w:space="0"/>
            </w:tcBorders>
            <w:vAlign w:val="center"/>
          </w:tcPr>
          <w:p w14:paraId="2EC1E54A">
            <w:pPr>
              <w:pStyle w:val="28"/>
              <w:bidi w:val="0"/>
            </w:pPr>
            <w:r>
              <w:t>604.80</w:t>
            </w:r>
          </w:p>
        </w:tc>
        <w:tc>
          <w:tcPr>
            <w:tcW w:w="219" w:type="pct"/>
            <w:tcBorders>
              <w:top w:val="single" w:color="000000" w:sz="4" w:space="0"/>
              <w:left w:val="single" w:color="000000" w:sz="4" w:space="0"/>
              <w:bottom w:val="single" w:color="000000" w:sz="4" w:space="0"/>
              <w:right w:val="single" w:color="000000" w:sz="4" w:space="0"/>
            </w:tcBorders>
            <w:vAlign w:val="center"/>
          </w:tcPr>
          <w:p w14:paraId="63A98560">
            <w:pPr>
              <w:pStyle w:val="28"/>
              <w:bidi w:val="0"/>
            </w:pPr>
            <w:r>
              <w:t>1.87</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321E62FA">
            <w:pPr>
              <w:pStyle w:val="28"/>
              <w:bidi w:val="0"/>
            </w:pPr>
            <w:r>
              <w:t>0.18</w:t>
            </w:r>
          </w:p>
        </w:tc>
        <w:tc>
          <w:tcPr>
            <w:tcW w:w="268" w:type="pct"/>
            <w:tcBorders>
              <w:top w:val="single" w:color="000000" w:sz="4" w:space="0"/>
              <w:left w:val="single" w:color="000000" w:sz="4" w:space="0"/>
              <w:bottom w:val="single" w:color="000000" w:sz="4" w:space="0"/>
              <w:right w:val="single" w:color="000000" w:sz="4" w:space="0"/>
            </w:tcBorders>
            <w:vAlign w:val="center"/>
          </w:tcPr>
          <w:p w14:paraId="57560C15">
            <w:pPr>
              <w:pStyle w:val="28"/>
              <w:bidi w:val="0"/>
            </w:pPr>
            <w:r>
              <w:t>0.94</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514CD7BD">
            <w:pPr>
              <w:pStyle w:val="28"/>
              <w:bidi w:val="0"/>
            </w:pPr>
            <w:r>
              <w:t>0.09</w:t>
            </w:r>
          </w:p>
        </w:tc>
        <w:tc>
          <w:tcPr>
            <w:tcW w:w="212" w:type="pct"/>
            <w:tcBorders>
              <w:top w:val="single" w:color="000000" w:sz="4" w:space="0"/>
              <w:left w:val="single" w:color="000000" w:sz="4" w:space="0"/>
              <w:bottom w:val="single" w:color="000000" w:sz="4" w:space="0"/>
              <w:right w:val="single" w:color="000000" w:sz="4" w:space="0"/>
            </w:tcBorders>
            <w:vAlign w:val="center"/>
          </w:tcPr>
          <w:p w14:paraId="01B4A129">
            <w:pPr>
              <w:pStyle w:val="28"/>
              <w:bidi w:val="0"/>
            </w:pPr>
            <w:r>
              <w:t>1.12</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5C387701">
            <w:pPr>
              <w:pStyle w:val="28"/>
              <w:bidi w:val="0"/>
            </w:pPr>
            <w:r>
              <w:t>0.11</w:t>
            </w:r>
          </w:p>
        </w:tc>
        <w:tc>
          <w:tcPr>
            <w:tcW w:w="202" w:type="pct"/>
            <w:tcBorders>
              <w:top w:val="single" w:color="000000" w:sz="4" w:space="0"/>
              <w:left w:val="single" w:color="000000" w:sz="4" w:space="0"/>
              <w:bottom w:val="single" w:color="000000" w:sz="4" w:space="0"/>
              <w:right w:val="single" w:color="000000" w:sz="4" w:space="0"/>
            </w:tcBorders>
            <w:vAlign w:val="center"/>
          </w:tcPr>
          <w:p w14:paraId="340A3449">
            <w:pPr>
              <w:pStyle w:val="28"/>
              <w:bidi w:val="0"/>
            </w:pPr>
            <w:r>
              <w:t>0.16</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37FFF6BC">
            <w:pPr>
              <w:pStyle w:val="28"/>
              <w:bidi w:val="0"/>
            </w:pPr>
            <w:r>
              <w:t>0.02</w:t>
            </w:r>
          </w:p>
        </w:tc>
      </w:tr>
      <w:tr w14:paraId="469202A6">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1BBA786A">
            <w:pPr>
              <w:pStyle w:val="28"/>
              <w:bidi w:val="0"/>
            </w:pPr>
            <w:r>
              <w:t>16</w:t>
            </w:r>
          </w:p>
        </w:tc>
        <w:tc>
          <w:tcPr>
            <w:tcW w:w="2792" w:type="dxa"/>
            <w:tcBorders>
              <w:top w:val="single" w:color="000000" w:sz="4" w:space="0"/>
              <w:left w:val="single" w:color="000000" w:sz="4" w:space="0"/>
              <w:bottom w:val="single" w:color="000000" w:sz="4" w:space="0"/>
              <w:right w:val="single" w:color="000000" w:sz="4" w:space="0"/>
            </w:tcBorders>
            <w:vAlign w:val="center"/>
          </w:tcPr>
          <w:p w14:paraId="28BA61C7">
            <w:pPr>
              <w:pStyle w:val="28"/>
              <w:bidi w:val="0"/>
            </w:pPr>
            <w:r>
              <w:rPr>
                <w:rFonts w:hint="eastAsia"/>
              </w:rPr>
              <w:t>义河支渠工程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07F82151">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54F14871">
            <w:pPr>
              <w:pStyle w:val="28"/>
              <w:bidi w:val="0"/>
            </w:pPr>
            <w:r>
              <w:t>70</w:t>
            </w:r>
          </w:p>
        </w:tc>
        <w:tc>
          <w:tcPr>
            <w:tcW w:w="271" w:type="pct"/>
            <w:tcBorders>
              <w:top w:val="single" w:color="000000" w:sz="4" w:space="0"/>
              <w:left w:val="single" w:color="000000" w:sz="4" w:space="0"/>
              <w:bottom w:val="single" w:color="000000" w:sz="4" w:space="0"/>
              <w:right w:val="single" w:color="000000" w:sz="4" w:space="0"/>
            </w:tcBorders>
            <w:vAlign w:val="center"/>
          </w:tcPr>
          <w:p w14:paraId="6D3819C0">
            <w:pPr>
              <w:pStyle w:val="28"/>
              <w:bidi w:val="0"/>
            </w:pPr>
            <w:r>
              <w:t>110</w:t>
            </w:r>
          </w:p>
        </w:tc>
        <w:tc>
          <w:tcPr>
            <w:tcW w:w="258" w:type="pct"/>
            <w:tcBorders>
              <w:top w:val="single" w:color="000000" w:sz="4" w:space="0"/>
              <w:left w:val="single" w:color="000000" w:sz="4" w:space="0"/>
              <w:bottom w:val="single" w:color="000000" w:sz="4" w:space="0"/>
              <w:right w:val="single" w:color="000000" w:sz="4" w:space="0"/>
            </w:tcBorders>
            <w:vAlign w:val="center"/>
          </w:tcPr>
          <w:p w14:paraId="705454E3">
            <w:pPr>
              <w:pStyle w:val="28"/>
              <w:bidi w:val="0"/>
            </w:pPr>
            <w:r>
              <w:t>1.06</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2FD59D9C">
            <w:pPr>
              <w:pStyle w:val="28"/>
              <w:bidi w:val="0"/>
            </w:pPr>
          </w:p>
        </w:tc>
        <w:tc>
          <w:tcPr>
            <w:tcW w:w="268" w:type="pct"/>
            <w:tcBorders>
              <w:top w:val="single" w:color="000000" w:sz="4" w:space="0"/>
              <w:left w:val="nil"/>
              <w:bottom w:val="single" w:color="000000" w:sz="4" w:space="0"/>
              <w:right w:val="single" w:color="000000" w:sz="4" w:space="0"/>
            </w:tcBorders>
            <w:vAlign w:val="center"/>
          </w:tcPr>
          <w:p w14:paraId="5CF9F678">
            <w:pPr>
              <w:pStyle w:val="28"/>
              <w:bidi w:val="0"/>
            </w:pPr>
            <w:r>
              <w:t>5.28</w:t>
            </w:r>
          </w:p>
        </w:tc>
        <w:tc>
          <w:tcPr>
            <w:tcW w:w="303" w:type="pct"/>
            <w:tcBorders>
              <w:top w:val="single" w:color="000000" w:sz="4" w:space="0"/>
              <w:left w:val="single" w:color="000000" w:sz="4" w:space="0"/>
              <w:bottom w:val="single" w:color="000000" w:sz="4" w:space="0"/>
              <w:right w:val="single" w:color="000000" w:sz="4" w:space="0"/>
            </w:tcBorders>
            <w:vAlign w:val="center"/>
          </w:tcPr>
          <w:p w14:paraId="09C446FE">
            <w:pPr>
              <w:pStyle w:val="28"/>
              <w:bidi w:val="0"/>
            </w:pPr>
            <w:r>
              <w:t>508.80</w:t>
            </w:r>
          </w:p>
        </w:tc>
        <w:tc>
          <w:tcPr>
            <w:tcW w:w="219" w:type="pct"/>
            <w:tcBorders>
              <w:top w:val="single" w:color="000000" w:sz="4" w:space="0"/>
              <w:left w:val="single" w:color="000000" w:sz="4" w:space="0"/>
              <w:bottom w:val="single" w:color="000000" w:sz="4" w:space="0"/>
              <w:right w:val="single" w:color="000000" w:sz="4" w:space="0"/>
            </w:tcBorders>
            <w:vAlign w:val="center"/>
          </w:tcPr>
          <w:p w14:paraId="4323FFA8">
            <w:pPr>
              <w:pStyle w:val="28"/>
              <w:bidi w:val="0"/>
            </w:pPr>
            <w:r>
              <w:t>1.58</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42231F5A">
            <w:pPr>
              <w:pStyle w:val="28"/>
              <w:bidi w:val="0"/>
            </w:pPr>
            <w:r>
              <w:t>0.15</w:t>
            </w:r>
          </w:p>
        </w:tc>
        <w:tc>
          <w:tcPr>
            <w:tcW w:w="268" w:type="pct"/>
            <w:tcBorders>
              <w:top w:val="single" w:color="000000" w:sz="4" w:space="0"/>
              <w:left w:val="single" w:color="000000" w:sz="4" w:space="0"/>
              <w:bottom w:val="single" w:color="000000" w:sz="4" w:space="0"/>
              <w:right w:val="single" w:color="000000" w:sz="4" w:space="0"/>
            </w:tcBorders>
            <w:vAlign w:val="center"/>
          </w:tcPr>
          <w:p w14:paraId="20F6FD7E">
            <w:pPr>
              <w:pStyle w:val="28"/>
              <w:bidi w:val="0"/>
            </w:pPr>
            <w:r>
              <w:t>0.79</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7DCF4C42">
            <w:pPr>
              <w:pStyle w:val="28"/>
              <w:bidi w:val="0"/>
            </w:pPr>
            <w:r>
              <w:t>0.08</w:t>
            </w:r>
          </w:p>
        </w:tc>
        <w:tc>
          <w:tcPr>
            <w:tcW w:w="212" w:type="pct"/>
            <w:tcBorders>
              <w:top w:val="single" w:color="000000" w:sz="4" w:space="0"/>
              <w:left w:val="single" w:color="000000" w:sz="4" w:space="0"/>
              <w:bottom w:val="single" w:color="000000" w:sz="4" w:space="0"/>
              <w:right w:val="single" w:color="000000" w:sz="4" w:space="0"/>
            </w:tcBorders>
            <w:vAlign w:val="center"/>
          </w:tcPr>
          <w:p w14:paraId="003CF83B">
            <w:pPr>
              <w:pStyle w:val="28"/>
              <w:bidi w:val="0"/>
            </w:pPr>
            <w:r>
              <w:t>0.95</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330F69D8">
            <w:pPr>
              <w:pStyle w:val="28"/>
              <w:bidi w:val="0"/>
            </w:pPr>
            <w:r>
              <w:t>0.09</w:t>
            </w:r>
          </w:p>
        </w:tc>
        <w:tc>
          <w:tcPr>
            <w:tcW w:w="202" w:type="pct"/>
            <w:tcBorders>
              <w:top w:val="single" w:color="000000" w:sz="4" w:space="0"/>
              <w:left w:val="single" w:color="000000" w:sz="4" w:space="0"/>
              <w:bottom w:val="single" w:color="000000" w:sz="4" w:space="0"/>
              <w:right w:val="single" w:color="000000" w:sz="4" w:space="0"/>
            </w:tcBorders>
            <w:vAlign w:val="center"/>
          </w:tcPr>
          <w:p w14:paraId="263712D5">
            <w:pPr>
              <w:pStyle w:val="28"/>
              <w:bidi w:val="0"/>
            </w:pPr>
            <w:r>
              <w:t>0.13</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22CBB18A">
            <w:pPr>
              <w:pStyle w:val="28"/>
              <w:bidi w:val="0"/>
            </w:pPr>
            <w:r>
              <w:t>0.01</w:t>
            </w:r>
          </w:p>
        </w:tc>
      </w:tr>
      <w:tr w14:paraId="3DC7877A">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2EF6D0F6">
            <w:pPr>
              <w:pStyle w:val="28"/>
              <w:bidi w:val="0"/>
            </w:pPr>
            <w:r>
              <w:t>17</w:t>
            </w:r>
          </w:p>
        </w:tc>
        <w:tc>
          <w:tcPr>
            <w:tcW w:w="2792" w:type="dxa"/>
            <w:tcBorders>
              <w:top w:val="single" w:color="000000" w:sz="4" w:space="0"/>
              <w:left w:val="single" w:color="000000" w:sz="4" w:space="0"/>
              <w:bottom w:val="single" w:color="000000" w:sz="4" w:space="0"/>
              <w:right w:val="single" w:color="000000" w:sz="4" w:space="0"/>
            </w:tcBorders>
            <w:vAlign w:val="center"/>
          </w:tcPr>
          <w:p w14:paraId="44BAE04A">
            <w:pPr>
              <w:pStyle w:val="28"/>
              <w:bidi w:val="0"/>
            </w:pPr>
            <w:r>
              <w:rPr>
                <w:rFonts w:hint="eastAsia"/>
              </w:rPr>
              <w:t>袁店支渠工程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2E1024F7">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7EE58708">
            <w:pPr>
              <w:pStyle w:val="28"/>
              <w:bidi w:val="0"/>
            </w:pPr>
            <w:r>
              <w:t>70</w:t>
            </w:r>
          </w:p>
        </w:tc>
        <w:tc>
          <w:tcPr>
            <w:tcW w:w="271" w:type="pct"/>
            <w:tcBorders>
              <w:top w:val="single" w:color="000000" w:sz="4" w:space="0"/>
              <w:left w:val="single" w:color="000000" w:sz="4" w:space="0"/>
              <w:bottom w:val="single" w:color="000000" w:sz="4" w:space="0"/>
              <w:right w:val="single" w:color="000000" w:sz="4" w:space="0"/>
            </w:tcBorders>
            <w:vAlign w:val="center"/>
          </w:tcPr>
          <w:p w14:paraId="0CC0731A">
            <w:pPr>
              <w:pStyle w:val="28"/>
              <w:bidi w:val="0"/>
            </w:pPr>
            <w:r>
              <w:t>100</w:t>
            </w:r>
          </w:p>
        </w:tc>
        <w:tc>
          <w:tcPr>
            <w:tcW w:w="258" w:type="pct"/>
            <w:tcBorders>
              <w:top w:val="single" w:color="000000" w:sz="4" w:space="0"/>
              <w:left w:val="single" w:color="000000" w:sz="4" w:space="0"/>
              <w:bottom w:val="single" w:color="000000" w:sz="4" w:space="0"/>
              <w:right w:val="single" w:color="000000" w:sz="4" w:space="0"/>
            </w:tcBorders>
            <w:vAlign w:val="center"/>
          </w:tcPr>
          <w:p w14:paraId="1F1D7B41">
            <w:pPr>
              <w:pStyle w:val="28"/>
              <w:bidi w:val="0"/>
            </w:pPr>
            <w:r>
              <w:t>0.93</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2F9A122A">
            <w:pPr>
              <w:pStyle w:val="28"/>
              <w:bidi w:val="0"/>
            </w:pPr>
          </w:p>
        </w:tc>
        <w:tc>
          <w:tcPr>
            <w:tcW w:w="268" w:type="pct"/>
            <w:tcBorders>
              <w:top w:val="single" w:color="000000" w:sz="4" w:space="0"/>
              <w:left w:val="nil"/>
              <w:bottom w:val="single" w:color="000000" w:sz="4" w:space="0"/>
              <w:right w:val="single" w:color="000000" w:sz="4" w:space="0"/>
            </w:tcBorders>
            <w:vAlign w:val="center"/>
          </w:tcPr>
          <w:p w14:paraId="2F8B1405">
            <w:pPr>
              <w:pStyle w:val="28"/>
              <w:bidi w:val="0"/>
            </w:pPr>
            <w:r>
              <w:t>4.80</w:t>
            </w:r>
          </w:p>
        </w:tc>
        <w:tc>
          <w:tcPr>
            <w:tcW w:w="303" w:type="pct"/>
            <w:tcBorders>
              <w:top w:val="single" w:color="000000" w:sz="4" w:space="0"/>
              <w:left w:val="single" w:color="000000" w:sz="4" w:space="0"/>
              <w:bottom w:val="single" w:color="000000" w:sz="4" w:space="0"/>
              <w:right w:val="single" w:color="000000" w:sz="4" w:space="0"/>
            </w:tcBorders>
            <w:vAlign w:val="center"/>
          </w:tcPr>
          <w:p w14:paraId="2B21E8D1">
            <w:pPr>
              <w:pStyle w:val="28"/>
              <w:bidi w:val="0"/>
            </w:pPr>
            <w:r>
              <w:t>446.40</w:t>
            </w:r>
          </w:p>
        </w:tc>
        <w:tc>
          <w:tcPr>
            <w:tcW w:w="219" w:type="pct"/>
            <w:tcBorders>
              <w:top w:val="single" w:color="000000" w:sz="4" w:space="0"/>
              <w:left w:val="single" w:color="000000" w:sz="4" w:space="0"/>
              <w:bottom w:val="single" w:color="000000" w:sz="4" w:space="0"/>
              <w:right w:val="single" w:color="000000" w:sz="4" w:space="0"/>
            </w:tcBorders>
            <w:vAlign w:val="center"/>
          </w:tcPr>
          <w:p w14:paraId="09AEBBA2">
            <w:pPr>
              <w:pStyle w:val="28"/>
              <w:bidi w:val="0"/>
            </w:pPr>
            <w:r>
              <w:t>1.44</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6DAD8F12">
            <w:pPr>
              <w:pStyle w:val="28"/>
              <w:bidi w:val="0"/>
            </w:pPr>
            <w:r>
              <w:t>0.13</w:t>
            </w:r>
          </w:p>
        </w:tc>
        <w:tc>
          <w:tcPr>
            <w:tcW w:w="268" w:type="pct"/>
            <w:tcBorders>
              <w:top w:val="single" w:color="000000" w:sz="4" w:space="0"/>
              <w:left w:val="single" w:color="000000" w:sz="4" w:space="0"/>
              <w:bottom w:val="single" w:color="000000" w:sz="4" w:space="0"/>
              <w:right w:val="single" w:color="000000" w:sz="4" w:space="0"/>
            </w:tcBorders>
            <w:vAlign w:val="center"/>
          </w:tcPr>
          <w:p w14:paraId="23AFCE26">
            <w:pPr>
              <w:pStyle w:val="28"/>
              <w:bidi w:val="0"/>
            </w:pPr>
            <w:r>
              <w:t>0.72</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38D8F6DC">
            <w:pPr>
              <w:pStyle w:val="28"/>
              <w:bidi w:val="0"/>
            </w:pPr>
            <w:r>
              <w:t>0.07</w:t>
            </w:r>
          </w:p>
        </w:tc>
        <w:tc>
          <w:tcPr>
            <w:tcW w:w="212" w:type="pct"/>
            <w:tcBorders>
              <w:top w:val="single" w:color="000000" w:sz="4" w:space="0"/>
              <w:left w:val="single" w:color="000000" w:sz="4" w:space="0"/>
              <w:bottom w:val="single" w:color="000000" w:sz="4" w:space="0"/>
              <w:right w:val="single" w:color="000000" w:sz="4" w:space="0"/>
            </w:tcBorders>
            <w:vAlign w:val="center"/>
          </w:tcPr>
          <w:p w14:paraId="1A158F47">
            <w:pPr>
              <w:pStyle w:val="28"/>
              <w:bidi w:val="0"/>
            </w:pPr>
            <w:r>
              <w:t>0.86</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3B9AC7E3">
            <w:pPr>
              <w:pStyle w:val="28"/>
              <w:bidi w:val="0"/>
            </w:pPr>
            <w:r>
              <w:t>0.08</w:t>
            </w:r>
          </w:p>
        </w:tc>
        <w:tc>
          <w:tcPr>
            <w:tcW w:w="202" w:type="pct"/>
            <w:tcBorders>
              <w:top w:val="single" w:color="000000" w:sz="4" w:space="0"/>
              <w:left w:val="single" w:color="000000" w:sz="4" w:space="0"/>
              <w:bottom w:val="single" w:color="000000" w:sz="4" w:space="0"/>
              <w:right w:val="single" w:color="000000" w:sz="4" w:space="0"/>
            </w:tcBorders>
            <w:vAlign w:val="center"/>
          </w:tcPr>
          <w:p w14:paraId="5BE99A90">
            <w:pPr>
              <w:pStyle w:val="28"/>
              <w:bidi w:val="0"/>
            </w:pPr>
            <w:r>
              <w:t>0.12</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55DB2224">
            <w:pPr>
              <w:pStyle w:val="28"/>
              <w:bidi w:val="0"/>
            </w:pPr>
            <w:r>
              <w:t>0.01</w:t>
            </w:r>
          </w:p>
        </w:tc>
      </w:tr>
      <w:tr w14:paraId="5DF79D25">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451CC1F7">
            <w:pPr>
              <w:pStyle w:val="28"/>
              <w:bidi w:val="0"/>
            </w:pPr>
            <w:r>
              <w:t>18</w:t>
            </w:r>
          </w:p>
        </w:tc>
        <w:tc>
          <w:tcPr>
            <w:tcW w:w="2792" w:type="dxa"/>
            <w:tcBorders>
              <w:top w:val="single" w:color="000000" w:sz="4" w:space="0"/>
              <w:left w:val="single" w:color="000000" w:sz="4" w:space="0"/>
              <w:bottom w:val="single" w:color="000000" w:sz="4" w:space="0"/>
              <w:right w:val="single" w:color="000000" w:sz="4" w:space="0"/>
            </w:tcBorders>
            <w:vAlign w:val="center"/>
          </w:tcPr>
          <w:p w14:paraId="5331ABBE">
            <w:pPr>
              <w:pStyle w:val="28"/>
              <w:bidi w:val="0"/>
            </w:pPr>
            <w:r>
              <w:rPr>
                <w:rFonts w:hint="eastAsia"/>
              </w:rPr>
              <w:t>堰西支渠工程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479ACBB2">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1A6E97D6">
            <w:pPr>
              <w:pStyle w:val="28"/>
              <w:bidi w:val="0"/>
            </w:pPr>
            <w:r>
              <w:t>40</w:t>
            </w:r>
          </w:p>
        </w:tc>
        <w:tc>
          <w:tcPr>
            <w:tcW w:w="271" w:type="pct"/>
            <w:tcBorders>
              <w:top w:val="single" w:color="000000" w:sz="4" w:space="0"/>
              <w:left w:val="single" w:color="000000" w:sz="4" w:space="0"/>
              <w:bottom w:val="single" w:color="000000" w:sz="4" w:space="0"/>
              <w:right w:val="single" w:color="000000" w:sz="4" w:space="0"/>
            </w:tcBorders>
            <w:vAlign w:val="center"/>
          </w:tcPr>
          <w:p w14:paraId="47299080">
            <w:pPr>
              <w:pStyle w:val="28"/>
              <w:bidi w:val="0"/>
            </w:pPr>
            <w:r>
              <w:t>60</w:t>
            </w:r>
          </w:p>
        </w:tc>
        <w:tc>
          <w:tcPr>
            <w:tcW w:w="258" w:type="pct"/>
            <w:tcBorders>
              <w:top w:val="single" w:color="000000" w:sz="4" w:space="0"/>
              <w:left w:val="single" w:color="000000" w:sz="4" w:space="0"/>
              <w:bottom w:val="single" w:color="000000" w:sz="4" w:space="0"/>
              <w:right w:val="single" w:color="000000" w:sz="4" w:space="0"/>
            </w:tcBorders>
            <w:vAlign w:val="center"/>
          </w:tcPr>
          <w:p w14:paraId="3C66E226">
            <w:pPr>
              <w:pStyle w:val="28"/>
              <w:bidi w:val="0"/>
            </w:pPr>
            <w:r>
              <w:t>0.20</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16C9728E">
            <w:pPr>
              <w:pStyle w:val="28"/>
              <w:bidi w:val="0"/>
            </w:pPr>
          </w:p>
        </w:tc>
        <w:tc>
          <w:tcPr>
            <w:tcW w:w="268" w:type="pct"/>
            <w:tcBorders>
              <w:top w:val="single" w:color="000000" w:sz="4" w:space="0"/>
              <w:left w:val="nil"/>
              <w:bottom w:val="single" w:color="000000" w:sz="4" w:space="0"/>
              <w:right w:val="single" w:color="000000" w:sz="4" w:space="0"/>
            </w:tcBorders>
            <w:vAlign w:val="center"/>
          </w:tcPr>
          <w:p w14:paraId="2095C639">
            <w:pPr>
              <w:pStyle w:val="28"/>
              <w:bidi w:val="0"/>
            </w:pPr>
            <w:r>
              <w:t>2.88</w:t>
            </w:r>
          </w:p>
        </w:tc>
        <w:tc>
          <w:tcPr>
            <w:tcW w:w="303" w:type="pct"/>
            <w:tcBorders>
              <w:top w:val="single" w:color="000000" w:sz="4" w:space="0"/>
              <w:left w:val="single" w:color="000000" w:sz="4" w:space="0"/>
              <w:bottom w:val="single" w:color="000000" w:sz="4" w:space="0"/>
              <w:right w:val="single" w:color="000000" w:sz="4" w:space="0"/>
            </w:tcBorders>
            <w:vAlign w:val="center"/>
          </w:tcPr>
          <w:p w14:paraId="76E86C35">
            <w:pPr>
              <w:pStyle w:val="28"/>
              <w:bidi w:val="0"/>
            </w:pPr>
            <w:r>
              <w:t>96.00</w:t>
            </w:r>
          </w:p>
        </w:tc>
        <w:tc>
          <w:tcPr>
            <w:tcW w:w="219" w:type="pct"/>
            <w:tcBorders>
              <w:top w:val="single" w:color="000000" w:sz="4" w:space="0"/>
              <w:left w:val="single" w:color="000000" w:sz="4" w:space="0"/>
              <w:bottom w:val="single" w:color="000000" w:sz="4" w:space="0"/>
              <w:right w:val="single" w:color="000000" w:sz="4" w:space="0"/>
            </w:tcBorders>
            <w:vAlign w:val="center"/>
          </w:tcPr>
          <w:p w14:paraId="170CF10F">
            <w:pPr>
              <w:pStyle w:val="28"/>
              <w:bidi w:val="0"/>
            </w:pPr>
            <w:r>
              <w:t>0.86</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17C1DC12">
            <w:pPr>
              <w:pStyle w:val="28"/>
              <w:bidi w:val="0"/>
            </w:pPr>
            <w:r>
              <w:t>0.03</w:t>
            </w:r>
          </w:p>
        </w:tc>
        <w:tc>
          <w:tcPr>
            <w:tcW w:w="268" w:type="pct"/>
            <w:tcBorders>
              <w:top w:val="single" w:color="000000" w:sz="4" w:space="0"/>
              <w:left w:val="single" w:color="000000" w:sz="4" w:space="0"/>
              <w:bottom w:val="single" w:color="000000" w:sz="4" w:space="0"/>
              <w:right w:val="single" w:color="000000" w:sz="4" w:space="0"/>
            </w:tcBorders>
            <w:vAlign w:val="center"/>
          </w:tcPr>
          <w:p w14:paraId="64EBB86E">
            <w:pPr>
              <w:pStyle w:val="28"/>
              <w:bidi w:val="0"/>
            </w:pPr>
            <w:r>
              <w:t>0.43</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4824AF22">
            <w:pPr>
              <w:pStyle w:val="28"/>
              <w:bidi w:val="0"/>
            </w:pPr>
            <w:r>
              <w:t>0.01</w:t>
            </w:r>
          </w:p>
        </w:tc>
        <w:tc>
          <w:tcPr>
            <w:tcW w:w="212" w:type="pct"/>
            <w:tcBorders>
              <w:top w:val="single" w:color="000000" w:sz="4" w:space="0"/>
              <w:left w:val="single" w:color="000000" w:sz="4" w:space="0"/>
              <w:bottom w:val="single" w:color="000000" w:sz="4" w:space="0"/>
              <w:right w:val="single" w:color="000000" w:sz="4" w:space="0"/>
            </w:tcBorders>
            <w:vAlign w:val="center"/>
          </w:tcPr>
          <w:p w14:paraId="7434F34A">
            <w:pPr>
              <w:pStyle w:val="28"/>
              <w:bidi w:val="0"/>
            </w:pPr>
            <w:r>
              <w:t>0.52</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7424FAFE">
            <w:pPr>
              <w:pStyle w:val="28"/>
              <w:bidi w:val="0"/>
            </w:pPr>
            <w:r>
              <w:t>0.02</w:t>
            </w:r>
          </w:p>
        </w:tc>
        <w:tc>
          <w:tcPr>
            <w:tcW w:w="202" w:type="pct"/>
            <w:tcBorders>
              <w:top w:val="single" w:color="000000" w:sz="4" w:space="0"/>
              <w:left w:val="single" w:color="000000" w:sz="4" w:space="0"/>
              <w:bottom w:val="single" w:color="000000" w:sz="4" w:space="0"/>
              <w:right w:val="single" w:color="000000" w:sz="4" w:space="0"/>
            </w:tcBorders>
            <w:vAlign w:val="center"/>
          </w:tcPr>
          <w:p w14:paraId="2A84C07C">
            <w:pPr>
              <w:pStyle w:val="28"/>
              <w:bidi w:val="0"/>
            </w:pPr>
            <w:r>
              <w:t>0.07</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3A436415">
            <w:pPr>
              <w:pStyle w:val="28"/>
              <w:bidi w:val="0"/>
            </w:pPr>
            <w:r>
              <w:t>0.00</w:t>
            </w:r>
          </w:p>
        </w:tc>
      </w:tr>
      <w:tr w14:paraId="7846CF39">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0C71901E">
            <w:pPr>
              <w:pStyle w:val="28"/>
              <w:bidi w:val="0"/>
            </w:pPr>
            <w:r>
              <w:t>19</w:t>
            </w:r>
          </w:p>
        </w:tc>
        <w:tc>
          <w:tcPr>
            <w:tcW w:w="2792" w:type="dxa"/>
            <w:tcBorders>
              <w:top w:val="single" w:color="000000" w:sz="4" w:space="0"/>
              <w:left w:val="single" w:color="000000" w:sz="4" w:space="0"/>
              <w:bottom w:val="single" w:color="000000" w:sz="4" w:space="0"/>
              <w:right w:val="single" w:color="000000" w:sz="4" w:space="0"/>
            </w:tcBorders>
            <w:vAlign w:val="center"/>
          </w:tcPr>
          <w:p w14:paraId="124D6C59">
            <w:pPr>
              <w:pStyle w:val="28"/>
              <w:bidi w:val="0"/>
            </w:pPr>
            <w:r>
              <w:rPr>
                <w:rFonts w:hint="eastAsia"/>
              </w:rPr>
              <w:t>众兴双庙支渠工程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6C87A3F7">
            <w:pPr>
              <w:pStyle w:val="28"/>
              <w:bidi w:val="0"/>
            </w:pPr>
            <w:r>
              <w:t>1</w:t>
            </w:r>
          </w:p>
        </w:tc>
        <w:tc>
          <w:tcPr>
            <w:tcW w:w="268" w:type="pct"/>
            <w:tcBorders>
              <w:top w:val="single" w:color="000000" w:sz="4" w:space="0"/>
              <w:left w:val="single" w:color="000000" w:sz="4" w:space="0"/>
              <w:bottom w:val="single" w:color="000000" w:sz="4" w:space="0"/>
              <w:right w:val="single" w:color="000000" w:sz="4" w:space="0"/>
            </w:tcBorders>
            <w:vAlign w:val="center"/>
          </w:tcPr>
          <w:p w14:paraId="769BF958">
            <w:pPr>
              <w:pStyle w:val="28"/>
              <w:bidi w:val="0"/>
            </w:pPr>
            <w:r>
              <w:t>73</w:t>
            </w:r>
          </w:p>
        </w:tc>
        <w:tc>
          <w:tcPr>
            <w:tcW w:w="271" w:type="pct"/>
            <w:tcBorders>
              <w:top w:val="single" w:color="000000" w:sz="4" w:space="0"/>
              <w:left w:val="single" w:color="000000" w:sz="4" w:space="0"/>
              <w:bottom w:val="single" w:color="000000" w:sz="4" w:space="0"/>
              <w:right w:val="single" w:color="000000" w:sz="4" w:space="0"/>
            </w:tcBorders>
            <w:vAlign w:val="center"/>
          </w:tcPr>
          <w:p w14:paraId="0AF6FAB4">
            <w:pPr>
              <w:pStyle w:val="28"/>
              <w:bidi w:val="0"/>
            </w:pPr>
            <w:r>
              <w:t>88</w:t>
            </w:r>
          </w:p>
        </w:tc>
        <w:tc>
          <w:tcPr>
            <w:tcW w:w="258" w:type="pct"/>
            <w:tcBorders>
              <w:top w:val="single" w:color="000000" w:sz="4" w:space="0"/>
              <w:left w:val="single" w:color="000000" w:sz="4" w:space="0"/>
              <w:bottom w:val="single" w:color="000000" w:sz="4" w:space="0"/>
              <w:right w:val="single" w:color="000000" w:sz="4" w:space="0"/>
            </w:tcBorders>
            <w:vAlign w:val="center"/>
          </w:tcPr>
          <w:p w14:paraId="5CC66F28">
            <w:pPr>
              <w:pStyle w:val="28"/>
              <w:bidi w:val="0"/>
            </w:pPr>
            <w:r>
              <w:t>4.94</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627BB0CC">
            <w:pPr>
              <w:pStyle w:val="28"/>
              <w:bidi w:val="0"/>
            </w:pPr>
          </w:p>
        </w:tc>
        <w:tc>
          <w:tcPr>
            <w:tcW w:w="268" w:type="pct"/>
            <w:tcBorders>
              <w:top w:val="single" w:color="000000" w:sz="4" w:space="0"/>
              <w:left w:val="nil"/>
              <w:bottom w:val="single" w:color="000000" w:sz="4" w:space="0"/>
              <w:right w:val="single" w:color="000000" w:sz="4" w:space="0"/>
            </w:tcBorders>
            <w:vAlign w:val="center"/>
          </w:tcPr>
          <w:p w14:paraId="4994BDF3">
            <w:pPr>
              <w:pStyle w:val="28"/>
              <w:bidi w:val="0"/>
            </w:pPr>
            <w:r>
              <w:t>4.22</w:t>
            </w:r>
          </w:p>
        </w:tc>
        <w:tc>
          <w:tcPr>
            <w:tcW w:w="303" w:type="pct"/>
            <w:tcBorders>
              <w:top w:val="single" w:color="000000" w:sz="4" w:space="0"/>
              <w:left w:val="single" w:color="000000" w:sz="4" w:space="0"/>
              <w:bottom w:val="single" w:color="000000" w:sz="4" w:space="0"/>
              <w:right w:val="single" w:color="000000" w:sz="4" w:space="0"/>
            </w:tcBorders>
            <w:vAlign w:val="center"/>
          </w:tcPr>
          <w:p w14:paraId="703507E5">
            <w:pPr>
              <w:pStyle w:val="28"/>
              <w:bidi w:val="0"/>
            </w:pPr>
            <w:r>
              <w:t>2371.20</w:t>
            </w:r>
          </w:p>
        </w:tc>
        <w:tc>
          <w:tcPr>
            <w:tcW w:w="219" w:type="pct"/>
            <w:tcBorders>
              <w:top w:val="single" w:color="000000" w:sz="4" w:space="0"/>
              <w:left w:val="single" w:color="000000" w:sz="4" w:space="0"/>
              <w:bottom w:val="single" w:color="000000" w:sz="4" w:space="0"/>
              <w:right w:val="single" w:color="000000" w:sz="4" w:space="0"/>
            </w:tcBorders>
            <w:vAlign w:val="center"/>
          </w:tcPr>
          <w:p w14:paraId="2B93EFCF">
            <w:pPr>
              <w:pStyle w:val="28"/>
              <w:bidi w:val="0"/>
            </w:pPr>
            <w:r>
              <w:t>1.27</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577CA866">
            <w:pPr>
              <w:pStyle w:val="28"/>
              <w:bidi w:val="0"/>
            </w:pPr>
            <w:r>
              <w:t>0.71</w:t>
            </w:r>
          </w:p>
        </w:tc>
        <w:tc>
          <w:tcPr>
            <w:tcW w:w="268" w:type="pct"/>
            <w:tcBorders>
              <w:top w:val="single" w:color="000000" w:sz="4" w:space="0"/>
              <w:left w:val="single" w:color="000000" w:sz="4" w:space="0"/>
              <w:bottom w:val="single" w:color="000000" w:sz="4" w:space="0"/>
              <w:right w:val="single" w:color="000000" w:sz="4" w:space="0"/>
            </w:tcBorders>
            <w:vAlign w:val="center"/>
          </w:tcPr>
          <w:p w14:paraId="0595420E">
            <w:pPr>
              <w:pStyle w:val="28"/>
              <w:bidi w:val="0"/>
            </w:pPr>
            <w:r>
              <w:t>0.63</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33883B9A">
            <w:pPr>
              <w:pStyle w:val="28"/>
              <w:bidi w:val="0"/>
            </w:pPr>
            <w:r>
              <w:t>0.36</w:t>
            </w:r>
          </w:p>
        </w:tc>
        <w:tc>
          <w:tcPr>
            <w:tcW w:w="212" w:type="pct"/>
            <w:tcBorders>
              <w:top w:val="single" w:color="000000" w:sz="4" w:space="0"/>
              <w:left w:val="single" w:color="000000" w:sz="4" w:space="0"/>
              <w:bottom w:val="single" w:color="000000" w:sz="4" w:space="0"/>
              <w:right w:val="single" w:color="000000" w:sz="4" w:space="0"/>
            </w:tcBorders>
            <w:vAlign w:val="center"/>
          </w:tcPr>
          <w:p w14:paraId="69C3ED6A">
            <w:pPr>
              <w:pStyle w:val="28"/>
              <w:bidi w:val="0"/>
            </w:pPr>
            <w:r>
              <w:t>0.76</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15B080B0">
            <w:pPr>
              <w:pStyle w:val="28"/>
              <w:bidi w:val="0"/>
            </w:pPr>
            <w:r>
              <w:t>0.43</w:t>
            </w:r>
          </w:p>
        </w:tc>
        <w:tc>
          <w:tcPr>
            <w:tcW w:w="202" w:type="pct"/>
            <w:tcBorders>
              <w:top w:val="single" w:color="000000" w:sz="4" w:space="0"/>
              <w:left w:val="single" w:color="000000" w:sz="4" w:space="0"/>
              <w:bottom w:val="single" w:color="000000" w:sz="4" w:space="0"/>
              <w:right w:val="single" w:color="000000" w:sz="4" w:space="0"/>
            </w:tcBorders>
            <w:vAlign w:val="center"/>
          </w:tcPr>
          <w:p w14:paraId="6E5C405C">
            <w:pPr>
              <w:pStyle w:val="28"/>
              <w:bidi w:val="0"/>
            </w:pPr>
            <w:r>
              <w:t>0.11</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7B7849DE">
            <w:pPr>
              <w:pStyle w:val="28"/>
              <w:bidi w:val="0"/>
            </w:pPr>
            <w:r>
              <w:t>0.06</w:t>
            </w:r>
          </w:p>
        </w:tc>
      </w:tr>
      <w:tr w14:paraId="06327AEA">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30322F99">
            <w:pPr>
              <w:pStyle w:val="28"/>
              <w:bidi w:val="0"/>
            </w:pPr>
            <w:r>
              <w:t>20</w:t>
            </w:r>
          </w:p>
        </w:tc>
        <w:tc>
          <w:tcPr>
            <w:tcW w:w="2792" w:type="dxa"/>
            <w:tcBorders>
              <w:top w:val="single" w:color="000000" w:sz="4" w:space="0"/>
              <w:left w:val="single" w:color="000000" w:sz="4" w:space="0"/>
              <w:bottom w:val="single" w:color="000000" w:sz="4" w:space="0"/>
              <w:right w:val="single" w:color="000000" w:sz="4" w:space="0"/>
            </w:tcBorders>
            <w:vAlign w:val="center"/>
          </w:tcPr>
          <w:p w14:paraId="3AF824B1">
            <w:pPr>
              <w:pStyle w:val="28"/>
              <w:bidi w:val="0"/>
            </w:pPr>
            <w:r>
              <w:rPr>
                <w:rFonts w:hint="eastAsia"/>
              </w:rPr>
              <w:t>大高支渠工程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41A96F94">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6C8DEDD3">
            <w:pPr>
              <w:pStyle w:val="28"/>
              <w:bidi w:val="0"/>
            </w:pPr>
            <w:r>
              <w:t>175</w:t>
            </w:r>
          </w:p>
        </w:tc>
        <w:tc>
          <w:tcPr>
            <w:tcW w:w="271" w:type="pct"/>
            <w:tcBorders>
              <w:top w:val="single" w:color="000000" w:sz="4" w:space="0"/>
              <w:left w:val="single" w:color="000000" w:sz="4" w:space="0"/>
              <w:bottom w:val="single" w:color="000000" w:sz="4" w:space="0"/>
              <w:right w:val="single" w:color="000000" w:sz="4" w:space="0"/>
            </w:tcBorders>
            <w:vAlign w:val="center"/>
          </w:tcPr>
          <w:p w14:paraId="77AC2624">
            <w:pPr>
              <w:pStyle w:val="28"/>
              <w:bidi w:val="0"/>
            </w:pPr>
            <w:r>
              <w:t>210</w:t>
            </w:r>
          </w:p>
        </w:tc>
        <w:tc>
          <w:tcPr>
            <w:tcW w:w="258" w:type="pct"/>
            <w:tcBorders>
              <w:top w:val="single" w:color="000000" w:sz="4" w:space="0"/>
              <w:left w:val="single" w:color="000000" w:sz="4" w:space="0"/>
              <w:bottom w:val="single" w:color="000000" w:sz="4" w:space="0"/>
              <w:right w:val="single" w:color="000000" w:sz="4" w:space="0"/>
            </w:tcBorders>
            <w:vAlign w:val="center"/>
          </w:tcPr>
          <w:p w14:paraId="09964A74">
            <w:pPr>
              <w:pStyle w:val="28"/>
              <w:bidi w:val="0"/>
            </w:pPr>
            <w:r>
              <w:t>0.91</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1D0A2D23">
            <w:pPr>
              <w:pStyle w:val="28"/>
              <w:bidi w:val="0"/>
            </w:pPr>
          </w:p>
        </w:tc>
        <w:tc>
          <w:tcPr>
            <w:tcW w:w="268" w:type="pct"/>
            <w:tcBorders>
              <w:top w:val="single" w:color="000000" w:sz="4" w:space="0"/>
              <w:left w:val="nil"/>
              <w:bottom w:val="single" w:color="000000" w:sz="4" w:space="0"/>
              <w:right w:val="single" w:color="000000" w:sz="4" w:space="0"/>
            </w:tcBorders>
            <w:vAlign w:val="center"/>
          </w:tcPr>
          <w:p w14:paraId="470B678E">
            <w:pPr>
              <w:pStyle w:val="28"/>
              <w:bidi w:val="0"/>
            </w:pPr>
            <w:r>
              <w:t>10.08</w:t>
            </w:r>
          </w:p>
        </w:tc>
        <w:tc>
          <w:tcPr>
            <w:tcW w:w="303" w:type="pct"/>
            <w:tcBorders>
              <w:top w:val="single" w:color="000000" w:sz="4" w:space="0"/>
              <w:left w:val="single" w:color="000000" w:sz="4" w:space="0"/>
              <w:bottom w:val="single" w:color="000000" w:sz="4" w:space="0"/>
              <w:right w:val="single" w:color="000000" w:sz="4" w:space="0"/>
            </w:tcBorders>
            <w:vAlign w:val="center"/>
          </w:tcPr>
          <w:p w14:paraId="6C95F52B">
            <w:pPr>
              <w:pStyle w:val="28"/>
              <w:bidi w:val="0"/>
            </w:pPr>
            <w:r>
              <w:t>436.80</w:t>
            </w:r>
          </w:p>
        </w:tc>
        <w:tc>
          <w:tcPr>
            <w:tcW w:w="219" w:type="pct"/>
            <w:tcBorders>
              <w:top w:val="single" w:color="000000" w:sz="4" w:space="0"/>
              <w:left w:val="single" w:color="000000" w:sz="4" w:space="0"/>
              <w:bottom w:val="single" w:color="000000" w:sz="4" w:space="0"/>
              <w:right w:val="single" w:color="000000" w:sz="4" w:space="0"/>
            </w:tcBorders>
            <w:vAlign w:val="center"/>
          </w:tcPr>
          <w:p w14:paraId="35B80C4D">
            <w:pPr>
              <w:pStyle w:val="28"/>
              <w:bidi w:val="0"/>
            </w:pPr>
            <w:r>
              <w:t>3.02</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6B64A633">
            <w:pPr>
              <w:pStyle w:val="28"/>
              <w:bidi w:val="0"/>
            </w:pPr>
            <w:r>
              <w:t>0.13</w:t>
            </w:r>
          </w:p>
        </w:tc>
        <w:tc>
          <w:tcPr>
            <w:tcW w:w="268" w:type="pct"/>
            <w:tcBorders>
              <w:top w:val="single" w:color="000000" w:sz="4" w:space="0"/>
              <w:left w:val="single" w:color="000000" w:sz="4" w:space="0"/>
              <w:bottom w:val="single" w:color="000000" w:sz="4" w:space="0"/>
              <w:right w:val="single" w:color="000000" w:sz="4" w:space="0"/>
            </w:tcBorders>
            <w:vAlign w:val="center"/>
          </w:tcPr>
          <w:p w14:paraId="39AB9139">
            <w:pPr>
              <w:pStyle w:val="28"/>
              <w:bidi w:val="0"/>
            </w:pPr>
            <w:r>
              <w:t>1.51</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3C23FD49">
            <w:pPr>
              <w:pStyle w:val="28"/>
              <w:bidi w:val="0"/>
            </w:pPr>
            <w:r>
              <w:t>0.07</w:t>
            </w:r>
          </w:p>
        </w:tc>
        <w:tc>
          <w:tcPr>
            <w:tcW w:w="212" w:type="pct"/>
            <w:tcBorders>
              <w:top w:val="single" w:color="000000" w:sz="4" w:space="0"/>
              <w:left w:val="single" w:color="000000" w:sz="4" w:space="0"/>
              <w:bottom w:val="single" w:color="000000" w:sz="4" w:space="0"/>
              <w:right w:val="single" w:color="000000" w:sz="4" w:space="0"/>
            </w:tcBorders>
            <w:vAlign w:val="center"/>
          </w:tcPr>
          <w:p w14:paraId="0BB4FD54">
            <w:pPr>
              <w:pStyle w:val="28"/>
              <w:bidi w:val="0"/>
            </w:pPr>
            <w:r>
              <w:t>1.81</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6827A5E9">
            <w:pPr>
              <w:pStyle w:val="28"/>
              <w:bidi w:val="0"/>
            </w:pPr>
            <w:r>
              <w:t>0.08</w:t>
            </w:r>
          </w:p>
        </w:tc>
        <w:tc>
          <w:tcPr>
            <w:tcW w:w="202" w:type="pct"/>
            <w:tcBorders>
              <w:top w:val="single" w:color="000000" w:sz="4" w:space="0"/>
              <w:left w:val="single" w:color="000000" w:sz="4" w:space="0"/>
              <w:bottom w:val="single" w:color="000000" w:sz="4" w:space="0"/>
              <w:right w:val="single" w:color="000000" w:sz="4" w:space="0"/>
            </w:tcBorders>
            <w:vAlign w:val="center"/>
          </w:tcPr>
          <w:p w14:paraId="6D331DB1">
            <w:pPr>
              <w:pStyle w:val="28"/>
              <w:bidi w:val="0"/>
            </w:pPr>
            <w:r>
              <w:t>0.25</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7A39A93F">
            <w:pPr>
              <w:pStyle w:val="28"/>
              <w:bidi w:val="0"/>
            </w:pPr>
            <w:r>
              <w:t>0.01</w:t>
            </w:r>
          </w:p>
        </w:tc>
      </w:tr>
      <w:tr w14:paraId="5762AFCD">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243042CE">
            <w:pPr>
              <w:pStyle w:val="28"/>
              <w:bidi w:val="0"/>
            </w:pPr>
            <w:r>
              <w:t>21</w:t>
            </w:r>
          </w:p>
        </w:tc>
        <w:tc>
          <w:tcPr>
            <w:tcW w:w="2792" w:type="dxa"/>
            <w:tcBorders>
              <w:top w:val="single" w:color="000000" w:sz="4" w:space="0"/>
              <w:left w:val="single" w:color="000000" w:sz="4" w:space="0"/>
              <w:bottom w:val="single" w:color="000000" w:sz="4" w:space="0"/>
              <w:right w:val="single" w:color="000000" w:sz="4" w:space="0"/>
            </w:tcBorders>
            <w:vAlign w:val="center"/>
          </w:tcPr>
          <w:p w14:paraId="758DDFE7">
            <w:pPr>
              <w:pStyle w:val="28"/>
              <w:bidi w:val="0"/>
            </w:pPr>
            <w:r>
              <w:rPr>
                <w:rFonts w:hint="eastAsia"/>
              </w:rPr>
              <w:t>白龙支渠工程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136C6311">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6830EC77">
            <w:pPr>
              <w:pStyle w:val="28"/>
              <w:bidi w:val="0"/>
            </w:pPr>
            <w:r>
              <w:t>97</w:t>
            </w:r>
          </w:p>
        </w:tc>
        <w:tc>
          <w:tcPr>
            <w:tcW w:w="271" w:type="pct"/>
            <w:tcBorders>
              <w:top w:val="single" w:color="000000" w:sz="4" w:space="0"/>
              <w:left w:val="single" w:color="000000" w:sz="4" w:space="0"/>
              <w:bottom w:val="single" w:color="000000" w:sz="4" w:space="0"/>
              <w:right w:val="single" w:color="000000" w:sz="4" w:space="0"/>
            </w:tcBorders>
            <w:vAlign w:val="center"/>
          </w:tcPr>
          <w:p w14:paraId="4DC5E8FA">
            <w:pPr>
              <w:pStyle w:val="28"/>
              <w:bidi w:val="0"/>
            </w:pPr>
            <w:r>
              <w:t>116</w:t>
            </w:r>
          </w:p>
        </w:tc>
        <w:tc>
          <w:tcPr>
            <w:tcW w:w="258" w:type="pct"/>
            <w:tcBorders>
              <w:top w:val="single" w:color="000000" w:sz="4" w:space="0"/>
              <w:left w:val="single" w:color="000000" w:sz="4" w:space="0"/>
              <w:bottom w:val="single" w:color="000000" w:sz="4" w:space="0"/>
              <w:right w:val="single" w:color="000000" w:sz="4" w:space="0"/>
            </w:tcBorders>
            <w:vAlign w:val="center"/>
          </w:tcPr>
          <w:p w14:paraId="00237BD0">
            <w:pPr>
              <w:pStyle w:val="28"/>
              <w:bidi w:val="0"/>
            </w:pPr>
            <w:r>
              <w:t>0.63</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328B678B">
            <w:pPr>
              <w:pStyle w:val="28"/>
              <w:bidi w:val="0"/>
            </w:pPr>
          </w:p>
        </w:tc>
        <w:tc>
          <w:tcPr>
            <w:tcW w:w="268" w:type="pct"/>
            <w:tcBorders>
              <w:top w:val="single" w:color="000000" w:sz="4" w:space="0"/>
              <w:left w:val="nil"/>
              <w:bottom w:val="single" w:color="000000" w:sz="4" w:space="0"/>
              <w:right w:val="single" w:color="000000" w:sz="4" w:space="0"/>
            </w:tcBorders>
            <w:vAlign w:val="center"/>
          </w:tcPr>
          <w:p w14:paraId="0F8181AB">
            <w:pPr>
              <w:pStyle w:val="28"/>
              <w:bidi w:val="0"/>
            </w:pPr>
            <w:r>
              <w:t>5.57</w:t>
            </w:r>
          </w:p>
        </w:tc>
        <w:tc>
          <w:tcPr>
            <w:tcW w:w="303" w:type="pct"/>
            <w:tcBorders>
              <w:top w:val="single" w:color="000000" w:sz="4" w:space="0"/>
              <w:left w:val="single" w:color="000000" w:sz="4" w:space="0"/>
              <w:bottom w:val="single" w:color="000000" w:sz="4" w:space="0"/>
              <w:right w:val="single" w:color="000000" w:sz="4" w:space="0"/>
            </w:tcBorders>
            <w:vAlign w:val="center"/>
          </w:tcPr>
          <w:p w14:paraId="378FBDF5">
            <w:pPr>
              <w:pStyle w:val="28"/>
              <w:bidi w:val="0"/>
            </w:pPr>
            <w:r>
              <w:t>302.40</w:t>
            </w:r>
          </w:p>
        </w:tc>
        <w:tc>
          <w:tcPr>
            <w:tcW w:w="219" w:type="pct"/>
            <w:tcBorders>
              <w:top w:val="single" w:color="000000" w:sz="4" w:space="0"/>
              <w:left w:val="single" w:color="000000" w:sz="4" w:space="0"/>
              <w:bottom w:val="single" w:color="000000" w:sz="4" w:space="0"/>
              <w:right w:val="single" w:color="000000" w:sz="4" w:space="0"/>
            </w:tcBorders>
            <w:vAlign w:val="center"/>
          </w:tcPr>
          <w:p w14:paraId="6674521E">
            <w:pPr>
              <w:pStyle w:val="28"/>
              <w:bidi w:val="0"/>
            </w:pPr>
            <w:r>
              <w:t>1.67</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16D981F1">
            <w:pPr>
              <w:pStyle w:val="28"/>
              <w:bidi w:val="0"/>
            </w:pPr>
            <w:r>
              <w:t>0.09</w:t>
            </w:r>
          </w:p>
        </w:tc>
        <w:tc>
          <w:tcPr>
            <w:tcW w:w="268" w:type="pct"/>
            <w:tcBorders>
              <w:top w:val="single" w:color="000000" w:sz="4" w:space="0"/>
              <w:left w:val="single" w:color="000000" w:sz="4" w:space="0"/>
              <w:bottom w:val="single" w:color="000000" w:sz="4" w:space="0"/>
              <w:right w:val="single" w:color="000000" w:sz="4" w:space="0"/>
            </w:tcBorders>
            <w:vAlign w:val="center"/>
          </w:tcPr>
          <w:p w14:paraId="792D6F15">
            <w:pPr>
              <w:pStyle w:val="28"/>
              <w:bidi w:val="0"/>
            </w:pPr>
            <w:r>
              <w:t>0.84</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4FF5F3A0">
            <w:pPr>
              <w:pStyle w:val="28"/>
              <w:bidi w:val="0"/>
            </w:pPr>
            <w:r>
              <w:t>0.05</w:t>
            </w:r>
          </w:p>
        </w:tc>
        <w:tc>
          <w:tcPr>
            <w:tcW w:w="212" w:type="pct"/>
            <w:tcBorders>
              <w:top w:val="single" w:color="000000" w:sz="4" w:space="0"/>
              <w:left w:val="single" w:color="000000" w:sz="4" w:space="0"/>
              <w:bottom w:val="single" w:color="000000" w:sz="4" w:space="0"/>
              <w:right w:val="single" w:color="000000" w:sz="4" w:space="0"/>
            </w:tcBorders>
            <w:vAlign w:val="center"/>
          </w:tcPr>
          <w:p w14:paraId="0DF0007E">
            <w:pPr>
              <w:pStyle w:val="28"/>
              <w:bidi w:val="0"/>
            </w:pPr>
            <w:r>
              <w:t>1.00</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31A09CB4">
            <w:pPr>
              <w:pStyle w:val="28"/>
              <w:bidi w:val="0"/>
            </w:pPr>
            <w:r>
              <w:t>0.05</w:t>
            </w:r>
          </w:p>
        </w:tc>
        <w:tc>
          <w:tcPr>
            <w:tcW w:w="202" w:type="pct"/>
            <w:tcBorders>
              <w:top w:val="single" w:color="000000" w:sz="4" w:space="0"/>
              <w:left w:val="single" w:color="000000" w:sz="4" w:space="0"/>
              <w:bottom w:val="single" w:color="000000" w:sz="4" w:space="0"/>
              <w:right w:val="single" w:color="000000" w:sz="4" w:space="0"/>
            </w:tcBorders>
            <w:vAlign w:val="center"/>
          </w:tcPr>
          <w:p w14:paraId="05A0B9B6">
            <w:pPr>
              <w:pStyle w:val="28"/>
              <w:bidi w:val="0"/>
            </w:pPr>
            <w:r>
              <w:t>0.14</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1777B349">
            <w:pPr>
              <w:pStyle w:val="28"/>
              <w:bidi w:val="0"/>
            </w:pPr>
            <w:r>
              <w:t>0.01</w:t>
            </w:r>
          </w:p>
        </w:tc>
      </w:tr>
      <w:tr w14:paraId="645D78F2">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06791E50">
            <w:pPr>
              <w:pStyle w:val="28"/>
              <w:bidi w:val="0"/>
            </w:pPr>
            <w:r>
              <w:t>22</w:t>
            </w:r>
          </w:p>
        </w:tc>
        <w:tc>
          <w:tcPr>
            <w:tcW w:w="2792" w:type="dxa"/>
            <w:tcBorders>
              <w:top w:val="single" w:color="000000" w:sz="4" w:space="0"/>
              <w:left w:val="single" w:color="000000" w:sz="4" w:space="0"/>
              <w:bottom w:val="single" w:color="000000" w:sz="4" w:space="0"/>
              <w:right w:val="single" w:color="000000" w:sz="4" w:space="0"/>
            </w:tcBorders>
            <w:vAlign w:val="center"/>
          </w:tcPr>
          <w:p w14:paraId="5BD3CB93">
            <w:pPr>
              <w:pStyle w:val="28"/>
              <w:bidi w:val="0"/>
            </w:pPr>
            <w:r>
              <w:rPr>
                <w:rFonts w:hint="eastAsia"/>
              </w:rPr>
              <w:t>郑岗泵站工程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7A219919">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375F1094">
            <w:pPr>
              <w:pStyle w:val="28"/>
              <w:bidi w:val="0"/>
            </w:pPr>
            <w:r>
              <w:t>100</w:t>
            </w:r>
          </w:p>
        </w:tc>
        <w:tc>
          <w:tcPr>
            <w:tcW w:w="271" w:type="pct"/>
            <w:tcBorders>
              <w:top w:val="single" w:color="000000" w:sz="4" w:space="0"/>
              <w:left w:val="single" w:color="000000" w:sz="4" w:space="0"/>
              <w:bottom w:val="single" w:color="000000" w:sz="4" w:space="0"/>
              <w:right w:val="single" w:color="000000" w:sz="4" w:space="0"/>
            </w:tcBorders>
            <w:vAlign w:val="center"/>
          </w:tcPr>
          <w:p w14:paraId="730DD7BC">
            <w:pPr>
              <w:pStyle w:val="28"/>
              <w:bidi w:val="0"/>
            </w:pPr>
            <w:r>
              <w:t>130</w:t>
            </w:r>
          </w:p>
        </w:tc>
        <w:tc>
          <w:tcPr>
            <w:tcW w:w="258" w:type="pct"/>
            <w:tcBorders>
              <w:top w:val="single" w:color="000000" w:sz="4" w:space="0"/>
              <w:left w:val="single" w:color="000000" w:sz="4" w:space="0"/>
              <w:bottom w:val="single" w:color="000000" w:sz="4" w:space="0"/>
              <w:right w:val="single" w:color="000000" w:sz="4" w:space="0"/>
            </w:tcBorders>
            <w:vAlign w:val="center"/>
          </w:tcPr>
          <w:p w14:paraId="79E9B969">
            <w:pPr>
              <w:pStyle w:val="28"/>
              <w:bidi w:val="0"/>
            </w:pPr>
            <w:r>
              <w:t>1.19</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2AD83D84">
            <w:pPr>
              <w:pStyle w:val="28"/>
              <w:bidi w:val="0"/>
            </w:pPr>
          </w:p>
        </w:tc>
        <w:tc>
          <w:tcPr>
            <w:tcW w:w="268" w:type="pct"/>
            <w:tcBorders>
              <w:top w:val="single" w:color="000000" w:sz="4" w:space="0"/>
              <w:left w:val="nil"/>
              <w:bottom w:val="single" w:color="000000" w:sz="4" w:space="0"/>
              <w:right w:val="single" w:color="000000" w:sz="4" w:space="0"/>
            </w:tcBorders>
            <w:vAlign w:val="center"/>
          </w:tcPr>
          <w:p w14:paraId="3BC6326E">
            <w:pPr>
              <w:pStyle w:val="28"/>
              <w:bidi w:val="0"/>
            </w:pPr>
            <w:r>
              <w:t>6.24</w:t>
            </w:r>
          </w:p>
        </w:tc>
        <w:tc>
          <w:tcPr>
            <w:tcW w:w="303" w:type="pct"/>
            <w:tcBorders>
              <w:top w:val="single" w:color="000000" w:sz="4" w:space="0"/>
              <w:left w:val="single" w:color="000000" w:sz="4" w:space="0"/>
              <w:bottom w:val="single" w:color="000000" w:sz="4" w:space="0"/>
              <w:right w:val="single" w:color="000000" w:sz="4" w:space="0"/>
            </w:tcBorders>
            <w:vAlign w:val="center"/>
          </w:tcPr>
          <w:p w14:paraId="16B72486">
            <w:pPr>
              <w:pStyle w:val="28"/>
              <w:bidi w:val="0"/>
            </w:pPr>
            <w:r>
              <w:t>571.20</w:t>
            </w:r>
          </w:p>
        </w:tc>
        <w:tc>
          <w:tcPr>
            <w:tcW w:w="219" w:type="pct"/>
            <w:tcBorders>
              <w:top w:val="single" w:color="000000" w:sz="4" w:space="0"/>
              <w:left w:val="single" w:color="000000" w:sz="4" w:space="0"/>
              <w:bottom w:val="single" w:color="000000" w:sz="4" w:space="0"/>
              <w:right w:val="single" w:color="000000" w:sz="4" w:space="0"/>
            </w:tcBorders>
            <w:vAlign w:val="center"/>
          </w:tcPr>
          <w:p w14:paraId="2F19CC54">
            <w:pPr>
              <w:pStyle w:val="28"/>
              <w:bidi w:val="0"/>
            </w:pPr>
            <w:r>
              <w:t>1.87</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2D88452D">
            <w:pPr>
              <w:pStyle w:val="28"/>
              <w:bidi w:val="0"/>
            </w:pPr>
            <w:r>
              <w:t>0.17</w:t>
            </w:r>
          </w:p>
        </w:tc>
        <w:tc>
          <w:tcPr>
            <w:tcW w:w="268" w:type="pct"/>
            <w:tcBorders>
              <w:top w:val="single" w:color="000000" w:sz="4" w:space="0"/>
              <w:left w:val="single" w:color="000000" w:sz="4" w:space="0"/>
              <w:bottom w:val="single" w:color="000000" w:sz="4" w:space="0"/>
              <w:right w:val="single" w:color="000000" w:sz="4" w:space="0"/>
            </w:tcBorders>
            <w:vAlign w:val="center"/>
          </w:tcPr>
          <w:p w14:paraId="0CA07831">
            <w:pPr>
              <w:pStyle w:val="28"/>
              <w:bidi w:val="0"/>
            </w:pPr>
            <w:r>
              <w:t>0.94</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28798BF5">
            <w:pPr>
              <w:pStyle w:val="28"/>
              <w:bidi w:val="0"/>
            </w:pPr>
            <w:r>
              <w:t>0.09</w:t>
            </w:r>
          </w:p>
        </w:tc>
        <w:tc>
          <w:tcPr>
            <w:tcW w:w="212" w:type="pct"/>
            <w:tcBorders>
              <w:top w:val="single" w:color="000000" w:sz="4" w:space="0"/>
              <w:left w:val="single" w:color="000000" w:sz="4" w:space="0"/>
              <w:bottom w:val="single" w:color="000000" w:sz="4" w:space="0"/>
              <w:right w:val="single" w:color="000000" w:sz="4" w:space="0"/>
            </w:tcBorders>
            <w:vAlign w:val="center"/>
          </w:tcPr>
          <w:p w14:paraId="6544ADF7">
            <w:pPr>
              <w:pStyle w:val="28"/>
              <w:bidi w:val="0"/>
            </w:pPr>
            <w:r>
              <w:t>1.12</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5E233B31">
            <w:pPr>
              <w:pStyle w:val="28"/>
              <w:bidi w:val="0"/>
            </w:pPr>
            <w:r>
              <w:t>0.10</w:t>
            </w:r>
          </w:p>
        </w:tc>
        <w:tc>
          <w:tcPr>
            <w:tcW w:w="202" w:type="pct"/>
            <w:tcBorders>
              <w:top w:val="single" w:color="000000" w:sz="4" w:space="0"/>
              <w:left w:val="single" w:color="000000" w:sz="4" w:space="0"/>
              <w:bottom w:val="single" w:color="000000" w:sz="4" w:space="0"/>
              <w:right w:val="single" w:color="000000" w:sz="4" w:space="0"/>
            </w:tcBorders>
            <w:vAlign w:val="center"/>
          </w:tcPr>
          <w:p w14:paraId="1B8331A8">
            <w:pPr>
              <w:pStyle w:val="28"/>
              <w:bidi w:val="0"/>
            </w:pPr>
            <w:r>
              <w:t>0.16</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5DE7B66E">
            <w:pPr>
              <w:pStyle w:val="28"/>
              <w:bidi w:val="0"/>
            </w:pPr>
            <w:r>
              <w:t>0.01</w:t>
            </w:r>
          </w:p>
        </w:tc>
      </w:tr>
      <w:tr w14:paraId="1AEC5EAC">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7B76857C">
            <w:pPr>
              <w:pStyle w:val="28"/>
              <w:bidi w:val="0"/>
            </w:pPr>
            <w:r>
              <w:t>23</w:t>
            </w:r>
          </w:p>
        </w:tc>
        <w:tc>
          <w:tcPr>
            <w:tcW w:w="2792" w:type="dxa"/>
            <w:tcBorders>
              <w:top w:val="single" w:color="000000" w:sz="4" w:space="0"/>
              <w:left w:val="single" w:color="000000" w:sz="4" w:space="0"/>
              <w:bottom w:val="single" w:color="000000" w:sz="4" w:space="0"/>
              <w:right w:val="single" w:color="000000" w:sz="4" w:space="0"/>
            </w:tcBorders>
            <w:vAlign w:val="center"/>
          </w:tcPr>
          <w:p w14:paraId="543A8950">
            <w:pPr>
              <w:pStyle w:val="28"/>
              <w:bidi w:val="0"/>
            </w:pPr>
            <w:r>
              <w:rPr>
                <w:rFonts w:hint="eastAsia"/>
              </w:rPr>
              <w:t>沣东干渠工程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49E9AA2E">
            <w:pPr>
              <w:pStyle w:val="28"/>
              <w:bidi w:val="0"/>
            </w:pPr>
            <w:r>
              <w:t>2</w:t>
            </w:r>
          </w:p>
        </w:tc>
        <w:tc>
          <w:tcPr>
            <w:tcW w:w="268" w:type="pct"/>
            <w:tcBorders>
              <w:top w:val="single" w:color="000000" w:sz="4" w:space="0"/>
              <w:left w:val="single" w:color="000000" w:sz="4" w:space="0"/>
              <w:bottom w:val="single" w:color="000000" w:sz="4" w:space="0"/>
              <w:right w:val="single" w:color="000000" w:sz="4" w:space="0"/>
            </w:tcBorders>
            <w:vAlign w:val="center"/>
          </w:tcPr>
          <w:p w14:paraId="508742C2">
            <w:pPr>
              <w:pStyle w:val="28"/>
              <w:bidi w:val="0"/>
            </w:pPr>
            <w:r>
              <w:t>178</w:t>
            </w:r>
          </w:p>
        </w:tc>
        <w:tc>
          <w:tcPr>
            <w:tcW w:w="271" w:type="pct"/>
            <w:tcBorders>
              <w:top w:val="single" w:color="000000" w:sz="4" w:space="0"/>
              <w:left w:val="single" w:color="000000" w:sz="4" w:space="0"/>
              <w:bottom w:val="single" w:color="000000" w:sz="4" w:space="0"/>
              <w:right w:val="single" w:color="000000" w:sz="4" w:space="0"/>
            </w:tcBorders>
            <w:vAlign w:val="center"/>
          </w:tcPr>
          <w:p w14:paraId="77074D07">
            <w:pPr>
              <w:pStyle w:val="28"/>
              <w:bidi w:val="0"/>
            </w:pPr>
            <w:r>
              <w:t>185</w:t>
            </w:r>
          </w:p>
        </w:tc>
        <w:tc>
          <w:tcPr>
            <w:tcW w:w="258" w:type="pct"/>
            <w:tcBorders>
              <w:top w:val="single" w:color="000000" w:sz="4" w:space="0"/>
              <w:left w:val="single" w:color="000000" w:sz="4" w:space="0"/>
              <w:bottom w:val="single" w:color="000000" w:sz="4" w:space="0"/>
              <w:right w:val="single" w:color="000000" w:sz="4" w:space="0"/>
            </w:tcBorders>
            <w:vAlign w:val="center"/>
          </w:tcPr>
          <w:p w14:paraId="1673067B">
            <w:pPr>
              <w:pStyle w:val="28"/>
              <w:bidi w:val="0"/>
            </w:pPr>
            <w:r>
              <w:t>2.39</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61FBC4B6">
            <w:pPr>
              <w:pStyle w:val="28"/>
              <w:bidi w:val="0"/>
            </w:pPr>
          </w:p>
        </w:tc>
        <w:tc>
          <w:tcPr>
            <w:tcW w:w="268" w:type="pct"/>
            <w:tcBorders>
              <w:top w:val="single" w:color="000000" w:sz="4" w:space="0"/>
              <w:left w:val="nil"/>
              <w:bottom w:val="single" w:color="000000" w:sz="4" w:space="0"/>
              <w:right w:val="single" w:color="000000" w:sz="4" w:space="0"/>
            </w:tcBorders>
            <w:vAlign w:val="center"/>
          </w:tcPr>
          <w:p w14:paraId="5B8B4A4B">
            <w:pPr>
              <w:pStyle w:val="28"/>
              <w:bidi w:val="0"/>
            </w:pPr>
            <w:r>
              <w:t>8.88</w:t>
            </w:r>
          </w:p>
        </w:tc>
        <w:tc>
          <w:tcPr>
            <w:tcW w:w="303" w:type="pct"/>
            <w:tcBorders>
              <w:top w:val="single" w:color="000000" w:sz="4" w:space="0"/>
              <w:left w:val="single" w:color="000000" w:sz="4" w:space="0"/>
              <w:bottom w:val="single" w:color="000000" w:sz="4" w:space="0"/>
              <w:right w:val="single" w:color="000000" w:sz="4" w:space="0"/>
            </w:tcBorders>
            <w:vAlign w:val="center"/>
          </w:tcPr>
          <w:p w14:paraId="2ADF83DF">
            <w:pPr>
              <w:pStyle w:val="28"/>
              <w:bidi w:val="0"/>
            </w:pPr>
            <w:r>
              <w:t>1147.20</w:t>
            </w:r>
          </w:p>
        </w:tc>
        <w:tc>
          <w:tcPr>
            <w:tcW w:w="219" w:type="pct"/>
            <w:tcBorders>
              <w:top w:val="single" w:color="000000" w:sz="4" w:space="0"/>
              <w:left w:val="single" w:color="000000" w:sz="4" w:space="0"/>
              <w:bottom w:val="single" w:color="000000" w:sz="4" w:space="0"/>
              <w:right w:val="single" w:color="000000" w:sz="4" w:space="0"/>
            </w:tcBorders>
            <w:vAlign w:val="center"/>
          </w:tcPr>
          <w:p w14:paraId="3572DF8C">
            <w:pPr>
              <w:pStyle w:val="28"/>
              <w:bidi w:val="0"/>
            </w:pPr>
            <w:r>
              <w:t>2.66</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5B58124D">
            <w:pPr>
              <w:pStyle w:val="28"/>
              <w:bidi w:val="0"/>
            </w:pPr>
            <w:r>
              <w:t>0.34</w:t>
            </w:r>
          </w:p>
        </w:tc>
        <w:tc>
          <w:tcPr>
            <w:tcW w:w="268" w:type="pct"/>
            <w:tcBorders>
              <w:top w:val="single" w:color="000000" w:sz="4" w:space="0"/>
              <w:left w:val="single" w:color="000000" w:sz="4" w:space="0"/>
              <w:bottom w:val="single" w:color="000000" w:sz="4" w:space="0"/>
              <w:right w:val="single" w:color="000000" w:sz="4" w:space="0"/>
            </w:tcBorders>
            <w:vAlign w:val="center"/>
          </w:tcPr>
          <w:p w14:paraId="1089346C">
            <w:pPr>
              <w:pStyle w:val="28"/>
              <w:bidi w:val="0"/>
            </w:pPr>
            <w:r>
              <w:t>1.33</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2627630F">
            <w:pPr>
              <w:pStyle w:val="28"/>
              <w:bidi w:val="0"/>
            </w:pPr>
            <w:r>
              <w:t>0.17</w:t>
            </w:r>
          </w:p>
        </w:tc>
        <w:tc>
          <w:tcPr>
            <w:tcW w:w="212" w:type="pct"/>
            <w:tcBorders>
              <w:top w:val="single" w:color="000000" w:sz="4" w:space="0"/>
              <w:left w:val="single" w:color="000000" w:sz="4" w:space="0"/>
              <w:bottom w:val="single" w:color="000000" w:sz="4" w:space="0"/>
              <w:right w:val="single" w:color="000000" w:sz="4" w:space="0"/>
            </w:tcBorders>
            <w:vAlign w:val="center"/>
          </w:tcPr>
          <w:p w14:paraId="392EDEE7">
            <w:pPr>
              <w:pStyle w:val="28"/>
              <w:bidi w:val="0"/>
            </w:pPr>
            <w:r>
              <w:t>1.60</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69610735">
            <w:pPr>
              <w:pStyle w:val="28"/>
              <w:bidi w:val="0"/>
            </w:pPr>
            <w:r>
              <w:t>0.21</w:t>
            </w:r>
          </w:p>
        </w:tc>
        <w:tc>
          <w:tcPr>
            <w:tcW w:w="202" w:type="pct"/>
            <w:tcBorders>
              <w:top w:val="single" w:color="000000" w:sz="4" w:space="0"/>
              <w:left w:val="single" w:color="000000" w:sz="4" w:space="0"/>
              <w:bottom w:val="single" w:color="000000" w:sz="4" w:space="0"/>
              <w:right w:val="single" w:color="000000" w:sz="4" w:space="0"/>
            </w:tcBorders>
            <w:vAlign w:val="center"/>
          </w:tcPr>
          <w:p w14:paraId="35F793B7">
            <w:pPr>
              <w:pStyle w:val="28"/>
              <w:bidi w:val="0"/>
            </w:pPr>
            <w:r>
              <w:t>0.22</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2D710211">
            <w:pPr>
              <w:pStyle w:val="28"/>
              <w:bidi w:val="0"/>
            </w:pPr>
            <w:r>
              <w:t>0.03</w:t>
            </w:r>
          </w:p>
        </w:tc>
      </w:tr>
      <w:tr w14:paraId="2B6A169E">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3791625F">
            <w:pPr>
              <w:pStyle w:val="28"/>
              <w:bidi w:val="0"/>
            </w:pPr>
            <w:r>
              <w:t>24</w:t>
            </w:r>
          </w:p>
        </w:tc>
        <w:tc>
          <w:tcPr>
            <w:tcW w:w="2792" w:type="dxa"/>
            <w:tcBorders>
              <w:top w:val="single" w:color="000000" w:sz="4" w:space="0"/>
              <w:left w:val="single" w:color="000000" w:sz="4" w:space="0"/>
              <w:bottom w:val="single" w:color="000000" w:sz="4" w:space="0"/>
              <w:right w:val="single" w:color="000000" w:sz="4" w:space="0"/>
            </w:tcBorders>
            <w:vAlign w:val="center"/>
          </w:tcPr>
          <w:p w14:paraId="3420E336">
            <w:pPr>
              <w:pStyle w:val="28"/>
              <w:bidi w:val="0"/>
            </w:pPr>
            <w:r>
              <w:rPr>
                <w:rFonts w:hint="eastAsia"/>
              </w:rPr>
              <w:t>沣西干渠工程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0E22A999">
            <w:pPr>
              <w:pStyle w:val="28"/>
              <w:bidi w:val="0"/>
            </w:pPr>
            <w:r>
              <w:t>5</w:t>
            </w:r>
          </w:p>
        </w:tc>
        <w:tc>
          <w:tcPr>
            <w:tcW w:w="268" w:type="pct"/>
            <w:tcBorders>
              <w:top w:val="single" w:color="000000" w:sz="4" w:space="0"/>
              <w:left w:val="single" w:color="000000" w:sz="4" w:space="0"/>
              <w:bottom w:val="single" w:color="000000" w:sz="4" w:space="0"/>
              <w:right w:val="single" w:color="000000" w:sz="4" w:space="0"/>
            </w:tcBorders>
            <w:vAlign w:val="center"/>
          </w:tcPr>
          <w:p w14:paraId="70786D95">
            <w:pPr>
              <w:pStyle w:val="28"/>
              <w:bidi w:val="0"/>
            </w:pPr>
            <w:r>
              <w:t>501</w:t>
            </w:r>
          </w:p>
        </w:tc>
        <w:tc>
          <w:tcPr>
            <w:tcW w:w="271" w:type="pct"/>
            <w:tcBorders>
              <w:top w:val="single" w:color="000000" w:sz="4" w:space="0"/>
              <w:left w:val="single" w:color="000000" w:sz="4" w:space="0"/>
              <w:bottom w:val="single" w:color="000000" w:sz="4" w:space="0"/>
              <w:right w:val="single" w:color="000000" w:sz="4" w:space="0"/>
            </w:tcBorders>
            <w:vAlign w:val="center"/>
          </w:tcPr>
          <w:p w14:paraId="38514FB7">
            <w:pPr>
              <w:pStyle w:val="28"/>
              <w:bidi w:val="0"/>
            </w:pPr>
            <w:r>
              <w:t>651</w:t>
            </w:r>
          </w:p>
        </w:tc>
        <w:tc>
          <w:tcPr>
            <w:tcW w:w="258" w:type="pct"/>
            <w:tcBorders>
              <w:top w:val="single" w:color="000000" w:sz="4" w:space="0"/>
              <w:left w:val="single" w:color="000000" w:sz="4" w:space="0"/>
              <w:bottom w:val="single" w:color="000000" w:sz="4" w:space="0"/>
              <w:right w:val="single" w:color="000000" w:sz="4" w:space="0"/>
            </w:tcBorders>
            <w:vAlign w:val="center"/>
          </w:tcPr>
          <w:p w14:paraId="2EB17C9A">
            <w:pPr>
              <w:pStyle w:val="28"/>
              <w:bidi w:val="0"/>
            </w:pPr>
            <w:r>
              <w:t>13.31</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54144810">
            <w:pPr>
              <w:pStyle w:val="28"/>
              <w:bidi w:val="0"/>
            </w:pPr>
          </w:p>
        </w:tc>
        <w:tc>
          <w:tcPr>
            <w:tcW w:w="268" w:type="pct"/>
            <w:tcBorders>
              <w:top w:val="single" w:color="000000" w:sz="4" w:space="0"/>
              <w:left w:val="nil"/>
              <w:bottom w:val="single" w:color="000000" w:sz="4" w:space="0"/>
              <w:right w:val="single" w:color="000000" w:sz="4" w:space="0"/>
            </w:tcBorders>
            <w:vAlign w:val="center"/>
          </w:tcPr>
          <w:p w14:paraId="5FA12356">
            <w:pPr>
              <w:pStyle w:val="28"/>
              <w:bidi w:val="0"/>
            </w:pPr>
            <w:r>
              <w:t>31.25</w:t>
            </w:r>
          </w:p>
        </w:tc>
        <w:tc>
          <w:tcPr>
            <w:tcW w:w="303" w:type="pct"/>
            <w:tcBorders>
              <w:top w:val="single" w:color="000000" w:sz="4" w:space="0"/>
              <w:left w:val="single" w:color="000000" w:sz="4" w:space="0"/>
              <w:bottom w:val="single" w:color="000000" w:sz="4" w:space="0"/>
              <w:right w:val="single" w:color="000000" w:sz="4" w:space="0"/>
            </w:tcBorders>
            <w:vAlign w:val="center"/>
          </w:tcPr>
          <w:p w14:paraId="71859C7E">
            <w:pPr>
              <w:pStyle w:val="28"/>
              <w:bidi w:val="0"/>
            </w:pPr>
            <w:r>
              <w:t>6388.80</w:t>
            </w:r>
          </w:p>
        </w:tc>
        <w:tc>
          <w:tcPr>
            <w:tcW w:w="219" w:type="pct"/>
            <w:tcBorders>
              <w:top w:val="single" w:color="000000" w:sz="4" w:space="0"/>
              <w:left w:val="single" w:color="000000" w:sz="4" w:space="0"/>
              <w:bottom w:val="single" w:color="000000" w:sz="4" w:space="0"/>
              <w:right w:val="single" w:color="000000" w:sz="4" w:space="0"/>
            </w:tcBorders>
            <w:vAlign w:val="center"/>
          </w:tcPr>
          <w:p w14:paraId="5FBBFF5D">
            <w:pPr>
              <w:pStyle w:val="28"/>
              <w:bidi w:val="0"/>
            </w:pPr>
            <w:r>
              <w:t>9.37</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31FF724A">
            <w:pPr>
              <w:pStyle w:val="28"/>
              <w:bidi w:val="0"/>
            </w:pPr>
            <w:r>
              <w:t>1.92</w:t>
            </w:r>
          </w:p>
        </w:tc>
        <w:tc>
          <w:tcPr>
            <w:tcW w:w="268" w:type="pct"/>
            <w:tcBorders>
              <w:top w:val="single" w:color="000000" w:sz="4" w:space="0"/>
              <w:left w:val="single" w:color="000000" w:sz="4" w:space="0"/>
              <w:bottom w:val="single" w:color="000000" w:sz="4" w:space="0"/>
              <w:right w:val="single" w:color="000000" w:sz="4" w:space="0"/>
            </w:tcBorders>
            <w:vAlign w:val="center"/>
          </w:tcPr>
          <w:p w14:paraId="3498081F">
            <w:pPr>
              <w:pStyle w:val="28"/>
              <w:bidi w:val="0"/>
            </w:pPr>
            <w:r>
              <w:t>4.69</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017B7873">
            <w:pPr>
              <w:pStyle w:val="28"/>
              <w:bidi w:val="0"/>
            </w:pPr>
            <w:r>
              <w:t>0.96</w:t>
            </w:r>
          </w:p>
        </w:tc>
        <w:tc>
          <w:tcPr>
            <w:tcW w:w="212" w:type="pct"/>
            <w:tcBorders>
              <w:top w:val="single" w:color="000000" w:sz="4" w:space="0"/>
              <w:left w:val="single" w:color="000000" w:sz="4" w:space="0"/>
              <w:bottom w:val="single" w:color="000000" w:sz="4" w:space="0"/>
              <w:right w:val="single" w:color="000000" w:sz="4" w:space="0"/>
            </w:tcBorders>
            <w:vAlign w:val="center"/>
          </w:tcPr>
          <w:p w14:paraId="10188A3E">
            <w:pPr>
              <w:pStyle w:val="28"/>
              <w:bidi w:val="0"/>
            </w:pPr>
            <w:r>
              <w:t>5.62</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44C1E533">
            <w:pPr>
              <w:pStyle w:val="28"/>
              <w:bidi w:val="0"/>
            </w:pPr>
            <w:r>
              <w:t>1.15</w:t>
            </w:r>
          </w:p>
        </w:tc>
        <w:tc>
          <w:tcPr>
            <w:tcW w:w="202" w:type="pct"/>
            <w:tcBorders>
              <w:top w:val="single" w:color="000000" w:sz="4" w:space="0"/>
              <w:left w:val="single" w:color="000000" w:sz="4" w:space="0"/>
              <w:bottom w:val="single" w:color="000000" w:sz="4" w:space="0"/>
              <w:right w:val="single" w:color="000000" w:sz="4" w:space="0"/>
            </w:tcBorders>
            <w:vAlign w:val="center"/>
          </w:tcPr>
          <w:p w14:paraId="2B303A43">
            <w:pPr>
              <w:pStyle w:val="28"/>
              <w:bidi w:val="0"/>
            </w:pPr>
            <w:r>
              <w:t>0.78</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7C4ABB01">
            <w:pPr>
              <w:pStyle w:val="28"/>
              <w:bidi w:val="0"/>
            </w:pPr>
            <w:r>
              <w:t>0.16</w:t>
            </w:r>
          </w:p>
        </w:tc>
      </w:tr>
      <w:tr w14:paraId="3E6E3CAB">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688577F3">
            <w:pPr>
              <w:pStyle w:val="28"/>
              <w:bidi w:val="0"/>
            </w:pPr>
            <w:r>
              <w:t>25</w:t>
            </w:r>
          </w:p>
        </w:tc>
        <w:tc>
          <w:tcPr>
            <w:tcW w:w="2792" w:type="dxa"/>
            <w:tcBorders>
              <w:top w:val="single" w:color="000000" w:sz="4" w:space="0"/>
              <w:left w:val="single" w:color="000000" w:sz="4" w:space="0"/>
              <w:bottom w:val="single" w:color="000000" w:sz="4" w:space="0"/>
              <w:right w:val="single" w:color="000000" w:sz="4" w:space="0"/>
            </w:tcBorders>
            <w:vAlign w:val="center"/>
          </w:tcPr>
          <w:p w14:paraId="6671629F">
            <w:pPr>
              <w:pStyle w:val="28"/>
              <w:bidi w:val="0"/>
            </w:pPr>
            <w:r>
              <w:rPr>
                <w:rFonts w:hint="eastAsia"/>
              </w:rPr>
              <w:t>姚李支渠工程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5E6F47C6">
            <w:pPr>
              <w:pStyle w:val="28"/>
              <w:bidi w:val="0"/>
            </w:pPr>
            <w:r>
              <w:t>2</w:t>
            </w:r>
          </w:p>
        </w:tc>
        <w:tc>
          <w:tcPr>
            <w:tcW w:w="268" w:type="pct"/>
            <w:tcBorders>
              <w:top w:val="single" w:color="000000" w:sz="4" w:space="0"/>
              <w:left w:val="single" w:color="000000" w:sz="4" w:space="0"/>
              <w:bottom w:val="single" w:color="000000" w:sz="4" w:space="0"/>
              <w:right w:val="single" w:color="000000" w:sz="4" w:space="0"/>
            </w:tcBorders>
            <w:vAlign w:val="center"/>
          </w:tcPr>
          <w:p w14:paraId="3054C208">
            <w:pPr>
              <w:pStyle w:val="28"/>
              <w:bidi w:val="0"/>
            </w:pPr>
            <w:r>
              <w:t>110</w:t>
            </w:r>
          </w:p>
        </w:tc>
        <w:tc>
          <w:tcPr>
            <w:tcW w:w="271" w:type="pct"/>
            <w:tcBorders>
              <w:top w:val="single" w:color="000000" w:sz="4" w:space="0"/>
              <w:left w:val="single" w:color="000000" w:sz="4" w:space="0"/>
              <w:bottom w:val="single" w:color="000000" w:sz="4" w:space="0"/>
              <w:right w:val="single" w:color="000000" w:sz="4" w:space="0"/>
            </w:tcBorders>
            <w:vAlign w:val="center"/>
          </w:tcPr>
          <w:p w14:paraId="42F9CA48">
            <w:pPr>
              <w:pStyle w:val="28"/>
              <w:bidi w:val="0"/>
            </w:pPr>
            <w:r>
              <w:t>143</w:t>
            </w:r>
          </w:p>
        </w:tc>
        <w:tc>
          <w:tcPr>
            <w:tcW w:w="258" w:type="pct"/>
            <w:tcBorders>
              <w:top w:val="single" w:color="000000" w:sz="4" w:space="0"/>
              <w:left w:val="single" w:color="000000" w:sz="4" w:space="0"/>
              <w:bottom w:val="single" w:color="000000" w:sz="4" w:space="0"/>
              <w:right w:val="single" w:color="000000" w:sz="4" w:space="0"/>
            </w:tcBorders>
            <w:vAlign w:val="center"/>
          </w:tcPr>
          <w:p w14:paraId="249A5810">
            <w:pPr>
              <w:pStyle w:val="28"/>
              <w:bidi w:val="0"/>
            </w:pPr>
            <w:r>
              <w:t>3.15</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01D9174B">
            <w:pPr>
              <w:pStyle w:val="28"/>
              <w:bidi w:val="0"/>
            </w:pPr>
          </w:p>
        </w:tc>
        <w:tc>
          <w:tcPr>
            <w:tcW w:w="268" w:type="pct"/>
            <w:tcBorders>
              <w:top w:val="single" w:color="000000" w:sz="4" w:space="0"/>
              <w:left w:val="nil"/>
              <w:bottom w:val="single" w:color="000000" w:sz="4" w:space="0"/>
              <w:right w:val="single" w:color="000000" w:sz="4" w:space="0"/>
            </w:tcBorders>
            <w:vAlign w:val="center"/>
          </w:tcPr>
          <w:p w14:paraId="4E505BF6">
            <w:pPr>
              <w:pStyle w:val="28"/>
              <w:bidi w:val="0"/>
            </w:pPr>
            <w:r>
              <w:t>6.86</w:t>
            </w:r>
          </w:p>
        </w:tc>
        <w:tc>
          <w:tcPr>
            <w:tcW w:w="303" w:type="pct"/>
            <w:tcBorders>
              <w:top w:val="single" w:color="000000" w:sz="4" w:space="0"/>
              <w:left w:val="single" w:color="000000" w:sz="4" w:space="0"/>
              <w:bottom w:val="single" w:color="000000" w:sz="4" w:space="0"/>
              <w:right w:val="single" w:color="000000" w:sz="4" w:space="0"/>
            </w:tcBorders>
            <w:vAlign w:val="center"/>
          </w:tcPr>
          <w:p w14:paraId="41D8EC3A">
            <w:pPr>
              <w:pStyle w:val="28"/>
              <w:bidi w:val="0"/>
            </w:pPr>
            <w:r>
              <w:t>1512.00</w:t>
            </w:r>
          </w:p>
        </w:tc>
        <w:tc>
          <w:tcPr>
            <w:tcW w:w="219" w:type="pct"/>
            <w:tcBorders>
              <w:top w:val="single" w:color="000000" w:sz="4" w:space="0"/>
              <w:left w:val="single" w:color="000000" w:sz="4" w:space="0"/>
              <w:bottom w:val="single" w:color="000000" w:sz="4" w:space="0"/>
              <w:right w:val="single" w:color="000000" w:sz="4" w:space="0"/>
            </w:tcBorders>
            <w:vAlign w:val="center"/>
          </w:tcPr>
          <w:p w14:paraId="5751B33E">
            <w:pPr>
              <w:pStyle w:val="28"/>
              <w:bidi w:val="0"/>
            </w:pPr>
            <w:r>
              <w:t>2.06</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56176E2F">
            <w:pPr>
              <w:pStyle w:val="28"/>
              <w:bidi w:val="0"/>
            </w:pPr>
            <w:r>
              <w:t>0.45</w:t>
            </w:r>
          </w:p>
        </w:tc>
        <w:tc>
          <w:tcPr>
            <w:tcW w:w="268" w:type="pct"/>
            <w:tcBorders>
              <w:top w:val="single" w:color="000000" w:sz="4" w:space="0"/>
              <w:left w:val="single" w:color="000000" w:sz="4" w:space="0"/>
              <w:bottom w:val="single" w:color="000000" w:sz="4" w:space="0"/>
              <w:right w:val="single" w:color="000000" w:sz="4" w:space="0"/>
            </w:tcBorders>
            <w:vAlign w:val="center"/>
          </w:tcPr>
          <w:p w14:paraId="79397703">
            <w:pPr>
              <w:pStyle w:val="28"/>
              <w:bidi w:val="0"/>
            </w:pPr>
            <w:r>
              <w:t>1.03</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56FC5EC4">
            <w:pPr>
              <w:pStyle w:val="28"/>
              <w:bidi w:val="0"/>
            </w:pPr>
            <w:r>
              <w:t>0.23</w:t>
            </w:r>
          </w:p>
        </w:tc>
        <w:tc>
          <w:tcPr>
            <w:tcW w:w="212" w:type="pct"/>
            <w:tcBorders>
              <w:top w:val="single" w:color="000000" w:sz="4" w:space="0"/>
              <w:left w:val="single" w:color="000000" w:sz="4" w:space="0"/>
              <w:bottom w:val="single" w:color="000000" w:sz="4" w:space="0"/>
              <w:right w:val="single" w:color="000000" w:sz="4" w:space="0"/>
            </w:tcBorders>
            <w:vAlign w:val="center"/>
          </w:tcPr>
          <w:p w14:paraId="51B2B2F7">
            <w:pPr>
              <w:pStyle w:val="28"/>
              <w:bidi w:val="0"/>
            </w:pPr>
            <w:r>
              <w:t>1.24</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5FC84DAE">
            <w:pPr>
              <w:pStyle w:val="28"/>
              <w:bidi w:val="0"/>
            </w:pPr>
            <w:r>
              <w:t>0.27</w:t>
            </w:r>
          </w:p>
        </w:tc>
        <w:tc>
          <w:tcPr>
            <w:tcW w:w="202" w:type="pct"/>
            <w:tcBorders>
              <w:top w:val="single" w:color="000000" w:sz="4" w:space="0"/>
              <w:left w:val="single" w:color="000000" w:sz="4" w:space="0"/>
              <w:bottom w:val="single" w:color="000000" w:sz="4" w:space="0"/>
              <w:right w:val="single" w:color="000000" w:sz="4" w:space="0"/>
            </w:tcBorders>
            <w:vAlign w:val="center"/>
          </w:tcPr>
          <w:p w14:paraId="6C3B459F">
            <w:pPr>
              <w:pStyle w:val="28"/>
              <w:bidi w:val="0"/>
            </w:pPr>
            <w:r>
              <w:t>0.17</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10C488CF">
            <w:pPr>
              <w:pStyle w:val="28"/>
              <w:bidi w:val="0"/>
            </w:pPr>
            <w:r>
              <w:t>0.04</w:t>
            </w:r>
          </w:p>
        </w:tc>
      </w:tr>
      <w:tr w14:paraId="2949EFD7">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12C77A57">
            <w:pPr>
              <w:pStyle w:val="28"/>
              <w:bidi w:val="0"/>
            </w:pPr>
            <w:r>
              <w:t>26</w:t>
            </w:r>
          </w:p>
        </w:tc>
        <w:tc>
          <w:tcPr>
            <w:tcW w:w="2792" w:type="dxa"/>
            <w:tcBorders>
              <w:top w:val="single" w:color="000000" w:sz="4" w:space="0"/>
              <w:left w:val="single" w:color="000000" w:sz="4" w:space="0"/>
              <w:bottom w:val="single" w:color="000000" w:sz="4" w:space="0"/>
              <w:right w:val="single" w:color="000000" w:sz="4" w:space="0"/>
            </w:tcBorders>
            <w:vAlign w:val="center"/>
          </w:tcPr>
          <w:p w14:paraId="08799288">
            <w:pPr>
              <w:pStyle w:val="28"/>
              <w:bidi w:val="0"/>
            </w:pPr>
            <w:r>
              <w:rPr>
                <w:rFonts w:hint="eastAsia"/>
              </w:rPr>
              <w:t>胜天支渠工程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385CC5E0">
            <w:pPr>
              <w:pStyle w:val="28"/>
              <w:bidi w:val="0"/>
            </w:pPr>
            <w:r>
              <w:t>1</w:t>
            </w:r>
          </w:p>
        </w:tc>
        <w:tc>
          <w:tcPr>
            <w:tcW w:w="268" w:type="pct"/>
            <w:tcBorders>
              <w:top w:val="single" w:color="000000" w:sz="4" w:space="0"/>
              <w:left w:val="single" w:color="000000" w:sz="4" w:space="0"/>
              <w:bottom w:val="single" w:color="000000" w:sz="4" w:space="0"/>
              <w:right w:val="single" w:color="000000" w:sz="4" w:space="0"/>
            </w:tcBorders>
            <w:vAlign w:val="center"/>
          </w:tcPr>
          <w:p w14:paraId="0E2959B0">
            <w:pPr>
              <w:pStyle w:val="28"/>
              <w:bidi w:val="0"/>
            </w:pPr>
            <w:r>
              <w:t>325</w:t>
            </w:r>
          </w:p>
        </w:tc>
        <w:tc>
          <w:tcPr>
            <w:tcW w:w="271" w:type="pct"/>
            <w:tcBorders>
              <w:top w:val="single" w:color="000000" w:sz="4" w:space="0"/>
              <w:left w:val="single" w:color="000000" w:sz="4" w:space="0"/>
              <w:bottom w:val="single" w:color="000000" w:sz="4" w:space="0"/>
              <w:right w:val="single" w:color="000000" w:sz="4" w:space="0"/>
            </w:tcBorders>
            <w:vAlign w:val="center"/>
          </w:tcPr>
          <w:p w14:paraId="3192720D">
            <w:pPr>
              <w:pStyle w:val="28"/>
              <w:bidi w:val="0"/>
            </w:pPr>
            <w:r>
              <w:t>422</w:t>
            </w:r>
          </w:p>
        </w:tc>
        <w:tc>
          <w:tcPr>
            <w:tcW w:w="258" w:type="pct"/>
            <w:tcBorders>
              <w:top w:val="single" w:color="000000" w:sz="4" w:space="0"/>
              <w:left w:val="single" w:color="000000" w:sz="4" w:space="0"/>
              <w:bottom w:val="single" w:color="000000" w:sz="4" w:space="0"/>
              <w:right w:val="single" w:color="000000" w:sz="4" w:space="0"/>
            </w:tcBorders>
            <w:vAlign w:val="center"/>
          </w:tcPr>
          <w:p w14:paraId="5203A432">
            <w:pPr>
              <w:pStyle w:val="28"/>
              <w:bidi w:val="0"/>
            </w:pPr>
            <w:r>
              <w:t>5.04</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00AA3594">
            <w:pPr>
              <w:pStyle w:val="28"/>
              <w:bidi w:val="0"/>
            </w:pPr>
          </w:p>
        </w:tc>
        <w:tc>
          <w:tcPr>
            <w:tcW w:w="268" w:type="pct"/>
            <w:tcBorders>
              <w:top w:val="single" w:color="000000" w:sz="4" w:space="0"/>
              <w:left w:val="nil"/>
              <w:bottom w:val="single" w:color="000000" w:sz="4" w:space="0"/>
              <w:right w:val="single" w:color="000000" w:sz="4" w:space="0"/>
            </w:tcBorders>
            <w:vAlign w:val="center"/>
          </w:tcPr>
          <w:p w14:paraId="2C7D68DA">
            <w:pPr>
              <w:pStyle w:val="28"/>
              <w:bidi w:val="0"/>
            </w:pPr>
            <w:r>
              <w:t>20.26</w:t>
            </w:r>
          </w:p>
        </w:tc>
        <w:tc>
          <w:tcPr>
            <w:tcW w:w="303" w:type="pct"/>
            <w:tcBorders>
              <w:top w:val="single" w:color="000000" w:sz="4" w:space="0"/>
              <w:left w:val="single" w:color="000000" w:sz="4" w:space="0"/>
              <w:bottom w:val="single" w:color="000000" w:sz="4" w:space="0"/>
              <w:right w:val="single" w:color="000000" w:sz="4" w:space="0"/>
            </w:tcBorders>
            <w:vAlign w:val="center"/>
          </w:tcPr>
          <w:p w14:paraId="31E2F80F">
            <w:pPr>
              <w:pStyle w:val="28"/>
              <w:bidi w:val="0"/>
            </w:pPr>
            <w:r>
              <w:t>2419.20</w:t>
            </w:r>
          </w:p>
        </w:tc>
        <w:tc>
          <w:tcPr>
            <w:tcW w:w="219" w:type="pct"/>
            <w:tcBorders>
              <w:top w:val="single" w:color="000000" w:sz="4" w:space="0"/>
              <w:left w:val="single" w:color="000000" w:sz="4" w:space="0"/>
              <w:bottom w:val="single" w:color="000000" w:sz="4" w:space="0"/>
              <w:right w:val="single" w:color="000000" w:sz="4" w:space="0"/>
            </w:tcBorders>
            <w:vAlign w:val="center"/>
          </w:tcPr>
          <w:p w14:paraId="2CAABEBC">
            <w:pPr>
              <w:pStyle w:val="28"/>
              <w:bidi w:val="0"/>
            </w:pPr>
            <w:r>
              <w:t>6.08</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170609AB">
            <w:pPr>
              <w:pStyle w:val="28"/>
              <w:bidi w:val="0"/>
            </w:pPr>
            <w:r>
              <w:t>0.73</w:t>
            </w:r>
          </w:p>
        </w:tc>
        <w:tc>
          <w:tcPr>
            <w:tcW w:w="268" w:type="pct"/>
            <w:tcBorders>
              <w:top w:val="single" w:color="000000" w:sz="4" w:space="0"/>
              <w:left w:val="single" w:color="000000" w:sz="4" w:space="0"/>
              <w:bottom w:val="single" w:color="000000" w:sz="4" w:space="0"/>
              <w:right w:val="single" w:color="000000" w:sz="4" w:space="0"/>
            </w:tcBorders>
            <w:vAlign w:val="center"/>
          </w:tcPr>
          <w:p w14:paraId="734E8CD3">
            <w:pPr>
              <w:pStyle w:val="28"/>
              <w:bidi w:val="0"/>
            </w:pPr>
            <w:r>
              <w:t>3.04</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3475D68E">
            <w:pPr>
              <w:pStyle w:val="28"/>
              <w:bidi w:val="0"/>
            </w:pPr>
            <w:r>
              <w:t>0.36</w:t>
            </w:r>
          </w:p>
        </w:tc>
        <w:tc>
          <w:tcPr>
            <w:tcW w:w="212" w:type="pct"/>
            <w:tcBorders>
              <w:top w:val="single" w:color="000000" w:sz="4" w:space="0"/>
              <w:left w:val="single" w:color="000000" w:sz="4" w:space="0"/>
              <w:bottom w:val="single" w:color="000000" w:sz="4" w:space="0"/>
              <w:right w:val="single" w:color="000000" w:sz="4" w:space="0"/>
            </w:tcBorders>
            <w:vAlign w:val="center"/>
          </w:tcPr>
          <w:p w14:paraId="3C11E7B2">
            <w:pPr>
              <w:pStyle w:val="28"/>
              <w:bidi w:val="0"/>
            </w:pPr>
            <w:r>
              <w:t>3.65</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1DA4E326">
            <w:pPr>
              <w:pStyle w:val="28"/>
              <w:bidi w:val="0"/>
            </w:pPr>
            <w:r>
              <w:t>0.44</w:t>
            </w:r>
          </w:p>
        </w:tc>
        <w:tc>
          <w:tcPr>
            <w:tcW w:w="202" w:type="pct"/>
            <w:tcBorders>
              <w:top w:val="single" w:color="000000" w:sz="4" w:space="0"/>
              <w:left w:val="single" w:color="000000" w:sz="4" w:space="0"/>
              <w:bottom w:val="single" w:color="000000" w:sz="4" w:space="0"/>
              <w:right w:val="single" w:color="000000" w:sz="4" w:space="0"/>
            </w:tcBorders>
            <w:vAlign w:val="center"/>
          </w:tcPr>
          <w:p w14:paraId="73F65BB3">
            <w:pPr>
              <w:pStyle w:val="28"/>
              <w:bidi w:val="0"/>
            </w:pPr>
            <w:r>
              <w:t>0.51</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4D08BBE6">
            <w:pPr>
              <w:pStyle w:val="28"/>
              <w:bidi w:val="0"/>
            </w:pPr>
            <w:r>
              <w:t>0.06</w:t>
            </w:r>
          </w:p>
        </w:tc>
      </w:tr>
      <w:tr w14:paraId="0E96BC90">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5A4A86CF">
            <w:pPr>
              <w:pStyle w:val="28"/>
              <w:bidi w:val="0"/>
            </w:pPr>
            <w:r>
              <w:t>27</w:t>
            </w:r>
          </w:p>
        </w:tc>
        <w:tc>
          <w:tcPr>
            <w:tcW w:w="2792" w:type="dxa"/>
            <w:tcBorders>
              <w:top w:val="single" w:color="000000" w:sz="4" w:space="0"/>
              <w:left w:val="single" w:color="000000" w:sz="4" w:space="0"/>
              <w:bottom w:val="single" w:color="000000" w:sz="4" w:space="0"/>
              <w:right w:val="single" w:color="000000" w:sz="4" w:space="0"/>
            </w:tcBorders>
            <w:vAlign w:val="center"/>
          </w:tcPr>
          <w:p w14:paraId="18383396">
            <w:pPr>
              <w:pStyle w:val="28"/>
              <w:bidi w:val="0"/>
            </w:pPr>
            <w:r>
              <w:rPr>
                <w:rFonts w:hint="eastAsia"/>
              </w:rPr>
              <w:t>乌斗支渠工程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41C04A98">
            <w:pPr>
              <w:pStyle w:val="28"/>
              <w:bidi w:val="0"/>
            </w:pPr>
            <w:r>
              <w:t>1</w:t>
            </w:r>
          </w:p>
        </w:tc>
        <w:tc>
          <w:tcPr>
            <w:tcW w:w="268" w:type="pct"/>
            <w:tcBorders>
              <w:top w:val="single" w:color="000000" w:sz="4" w:space="0"/>
              <w:left w:val="single" w:color="000000" w:sz="4" w:space="0"/>
              <w:bottom w:val="single" w:color="000000" w:sz="4" w:space="0"/>
              <w:right w:val="single" w:color="000000" w:sz="4" w:space="0"/>
            </w:tcBorders>
            <w:vAlign w:val="center"/>
          </w:tcPr>
          <w:p w14:paraId="31F36634">
            <w:pPr>
              <w:pStyle w:val="28"/>
              <w:bidi w:val="0"/>
            </w:pPr>
            <w:r>
              <w:t>396</w:t>
            </w:r>
          </w:p>
        </w:tc>
        <w:tc>
          <w:tcPr>
            <w:tcW w:w="271" w:type="pct"/>
            <w:tcBorders>
              <w:top w:val="single" w:color="000000" w:sz="4" w:space="0"/>
              <w:left w:val="single" w:color="000000" w:sz="4" w:space="0"/>
              <w:bottom w:val="single" w:color="000000" w:sz="4" w:space="0"/>
              <w:right w:val="single" w:color="000000" w:sz="4" w:space="0"/>
            </w:tcBorders>
            <w:vAlign w:val="center"/>
          </w:tcPr>
          <w:p w14:paraId="1D9B97B6">
            <w:pPr>
              <w:pStyle w:val="28"/>
              <w:bidi w:val="0"/>
            </w:pPr>
            <w:r>
              <w:t>515</w:t>
            </w:r>
          </w:p>
        </w:tc>
        <w:tc>
          <w:tcPr>
            <w:tcW w:w="258" w:type="pct"/>
            <w:tcBorders>
              <w:top w:val="single" w:color="000000" w:sz="4" w:space="0"/>
              <w:left w:val="single" w:color="000000" w:sz="4" w:space="0"/>
              <w:bottom w:val="single" w:color="000000" w:sz="4" w:space="0"/>
              <w:right w:val="single" w:color="000000" w:sz="4" w:space="0"/>
            </w:tcBorders>
            <w:vAlign w:val="center"/>
          </w:tcPr>
          <w:p w14:paraId="53A23D53">
            <w:pPr>
              <w:pStyle w:val="28"/>
              <w:bidi w:val="0"/>
            </w:pPr>
            <w:r>
              <w:t>6.10</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74E0A153">
            <w:pPr>
              <w:pStyle w:val="28"/>
              <w:bidi w:val="0"/>
            </w:pPr>
          </w:p>
        </w:tc>
        <w:tc>
          <w:tcPr>
            <w:tcW w:w="268" w:type="pct"/>
            <w:tcBorders>
              <w:top w:val="single" w:color="000000" w:sz="4" w:space="0"/>
              <w:left w:val="nil"/>
              <w:bottom w:val="single" w:color="000000" w:sz="4" w:space="0"/>
              <w:right w:val="single" w:color="000000" w:sz="4" w:space="0"/>
            </w:tcBorders>
            <w:vAlign w:val="center"/>
          </w:tcPr>
          <w:p w14:paraId="146262CF">
            <w:pPr>
              <w:pStyle w:val="28"/>
              <w:bidi w:val="0"/>
            </w:pPr>
            <w:r>
              <w:t>24.72</w:t>
            </w:r>
          </w:p>
        </w:tc>
        <w:tc>
          <w:tcPr>
            <w:tcW w:w="303" w:type="pct"/>
            <w:tcBorders>
              <w:top w:val="single" w:color="000000" w:sz="4" w:space="0"/>
              <w:left w:val="single" w:color="000000" w:sz="4" w:space="0"/>
              <w:bottom w:val="single" w:color="000000" w:sz="4" w:space="0"/>
              <w:right w:val="single" w:color="000000" w:sz="4" w:space="0"/>
            </w:tcBorders>
            <w:vAlign w:val="center"/>
          </w:tcPr>
          <w:p w14:paraId="70F0B006">
            <w:pPr>
              <w:pStyle w:val="28"/>
              <w:bidi w:val="0"/>
            </w:pPr>
            <w:r>
              <w:t>2928.00</w:t>
            </w:r>
          </w:p>
        </w:tc>
        <w:tc>
          <w:tcPr>
            <w:tcW w:w="219" w:type="pct"/>
            <w:tcBorders>
              <w:top w:val="single" w:color="000000" w:sz="4" w:space="0"/>
              <w:left w:val="single" w:color="000000" w:sz="4" w:space="0"/>
              <w:bottom w:val="single" w:color="000000" w:sz="4" w:space="0"/>
              <w:right w:val="single" w:color="000000" w:sz="4" w:space="0"/>
            </w:tcBorders>
            <w:vAlign w:val="center"/>
          </w:tcPr>
          <w:p w14:paraId="7BF67A53">
            <w:pPr>
              <w:pStyle w:val="28"/>
              <w:bidi w:val="0"/>
            </w:pPr>
            <w:r>
              <w:t>7.42</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4F9C2242">
            <w:pPr>
              <w:pStyle w:val="28"/>
              <w:bidi w:val="0"/>
            </w:pPr>
            <w:r>
              <w:t>0.88</w:t>
            </w:r>
          </w:p>
        </w:tc>
        <w:tc>
          <w:tcPr>
            <w:tcW w:w="268" w:type="pct"/>
            <w:tcBorders>
              <w:top w:val="single" w:color="000000" w:sz="4" w:space="0"/>
              <w:left w:val="single" w:color="000000" w:sz="4" w:space="0"/>
              <w:bottom w:val="single" w:color="000000" w:sz="4" w:space="0"/>
              <w:right w:val="single" w:color="000000" w:sz="4" w:space="0"/>
            </w:tcBorders>
            <w:vAlign w:val="center"/>
          </w:tcPr>
          <w:p w14:paraId="7F880C5E">
            <w:pPr>
              <w:pStyle w:val="28"/>
              <w:bidi w:val="0"/>
            </w:pPr>
            <w:r>
              <w:t>3.71</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48B9B69D">
            <w:pPr>
              <w:pStyle w:val="28"/>
              <w:bidi w:val="0"/>
            </w:pPr>
            <w:r>
              <w:t>0.44</w:t>
            </w:r>
          </w:p>
        </w:tc>
        <w:tc>
          <w:tcPr>
            <w:tcW w:w="212" w:type="pct"/>
            <w:tcBorders>
              <w:top w:val="single" w:color="000000" w:sz="4" w:space="0"/>
              <w:left w:val="single" w:color="000000" w:sz="4" w:space="0"/>
              <w:bottom w:val="single" w:color="000000" w:sz="4" w:space="0"/>
              <w:right w:val="single" w:color="000000" w:sz="4" w:space="0"/>
            </w:tcBorders>
            <w:vAlign w:val="center"/>
          </w:tcPr>
          <w:p w14:paraId="1DF961C1">
            <w:pPr>
              <w:pStyle w:val="28"/>
              <w:bidi w:val="0"/>
            </w:pPr>
            <w:r>
              <w:t>4.45</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2193BF23">
            <w:pPr>
              <w:pStyle w:val="28"/>
              <w:bidi w:val="0"/>
            </w:pPr>
            <w:r>
              <w:t>0.53</w:t>
            </w:r>
          </w:p>
        </w:tc>
        <w:tc>
          <w:tcPr>
            <w:tcW w:w="202" w:type="pct"/>
            <w:tcBorders>
              <w:top w:val="single" w:color="000000" w:sz="4" w:space="0"/>
              <w:left w:val="single" w:color="000000" w:sz="4" w:space="0"/>
              <w:bottom w:val="single" w:color="000000" w:sz="4" w:space="0"/>
              <w:right w:val="single" w:color="000000" w:sz="4" w:space="0"/>
            </w:tcBorders>
            <w:vAlign w:val="center"/>
          </w:tcPr>
          <w:p w14:paraId="42DE7110">
            <w:pPr>
              <w:pStyle w:val="28"/>
              <w:bidi w:val="0"/>
            </w:pPr>
            <w:r>
              <w:t>0.62</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4B20DF4F">
            <w:pPr>
              <w:pStyle w:val="28"/>
              <w:bidi w:val="0"/>
            </w:pPr>
            <w:r>
              <w:t>0.07</w:t>
            </w:r>
          </w:p>
        </w:tc>
      </w:tr>
      <w:tr w14:paraId="07712BFA">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319C19DE">
            <w:pPr>
              <w:pStyle w:val="28"/>
              <w:bidi w:val="0"/>
            </w:pPr>
            <w:r>
              <w:t>28</w:t>
            </w:r>
          </w:p>
        </w:tc>
        <w:tc>
          <w:tcPr>
            <w:tcW w:w="2792" w:type="dxa"/>
            <w:tcBorders>
              <w:top w:val="single" w:color="000000" w:sz="4" w:space="0"/>
              <w:left w:val="single" w:color="000000" w:sz="4" w:space="0"/>
              <w:bottom w:val="single" w:color="000000" w:sz="4" w:space="0"/>
              <w:right w:val="single" w:color="000000" w:sz="4" w:space="0"/>
            </w:tcBorders>
            <w:vAlign w:val="center"/>
          </w:tcPr>
          <w:p w14:paraId="6B6E463E">
            <w:pPr>
              <w:pStyle w:val="28"/>
              <w:bidi w:val="0"/>
            </w:pPr>
            <w:r>
              <w:rPr>
                <w:rFonts w:hint="eastAsia"/>
              </w:rPr>
              <w:t>舒庐干渠</w:t>
            </w:r>
            <w:r>
              <w:t>7</w:t>
            </w:r>
            <w:r>
              <w:rPr>
                <w:rFonts w:hint="eastAsia"/>
              </w:rPr>
              <w:t>座水闸工程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047636AE">
            <w:pPr>
              <w:pStyle w:val="28"/>
              <w:bidi w:val="0"/>
            </w:pPr>
            <w:r>
              <w:t>1</w:t>
            </w:r>
          </w:p>
        </w:tc>
        <w:tc>
          <w:tcPr>
            <w:tcW w:w="268" w:type="pct"/>
            <w:tcBorders>
              <w:top w:val="single" w:color="000000" w:sz="4" w:space="0"/>
              <w:left w:val="single" w:color="000000" w:sz="4" w:space="0"/>
              <w:bottom w:val="single" w:color="000000" w:sz="4" w:space="0"/>
              <w:right w:val="single" w:color="000000" w:sz="4" w:space="0"/>
            </w:tcBorders>
            <w:vAlign w:val="center"/>
          </w:tcPr>
          <w:p w14:paraId="368F351B">
            <w:pPr>
              <w:pStyle w:val="28"/>
              <w:bidi w:val="0"/>
            </w:pPr>
            <w:r>
              <w:t>173</w:t>
            </w:r>
          </w:p>
        </w:tc>
        <w:tc>
          <w:tcPr>
            <w:tcW w:w="271" w:type="pct"/>
            <w:tcBorders>
              <w:top w:val="single" w:color="000000" w:sz="4" w:space="0"/>
              <w:left w:val="single" w:color="000000" w:sz="4" w:space="0"/>
              <w:bottom w:val="single" w:color="000000" w:sz="4" w:space="0"/>
              <w:right w:val="single" w:color="000000" w:sz="4" w:space="0"/>
            </w:tcBorders>
            <w:vAlign w:val="center"/>
          </w:tcPr>
          <w:p w14:paraId="53B4D737">
            <w:pPr>
              <w:pStyle w:val="28"/>
              <w:bidi w:val="0"/>
            </w:pPr>
            <w:r>
              <w:t>259</w:t>
            </w:r>
          </w:p>
        </w:tc>
        <w:tc>
          <w:tcPr>
            <w:tcW w:w="258" w:type="pct"/>
            <w:tcBorders>
              <w:top w:val="single" w:color="000000" w:sz="4" w:space="0"/>
              <w:left w:val="single" w:color="000000" w:sz="4" w:space="0"/>
              <w:bottom w:val="single" w:color="000000" w:sz="4" w:space="0"/>
              <w:right w:val="single" w:color="000000" w:sz="4" w:space="0"/>
            </w:tcBorders>
            <w:vAlign w:val="center"/>
          </w:tcPr>
          <w:p w14:paraId="1D1C6B77">
            <w:pPr>
              <w:pStyle w:val="28"/>
              <w:bidi w:val="0"/>
            </w:pPr>
            <w:r>
              <w:t>3.16</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013A8D90">
            <w:pPr>
              <w:pStyle w:val="28"/>
              <w:bidi w:val="0"/>
            </w:pPr>
          </w:p>
        </w:tc>
        <w:tc>
          <w:tcPr>
            <w:tcW w:w="268" w:type="pct"/>
            <w:tcBorders>
              <w:top w:val="single" w:color="000000" w:sz="4" w:space="0"/>
              <w:left w:val="nil"/>
              <w:bottom w:val="single" w:color="000000" w:sz="4" w:space="0"/>
              <w:right w:val="single" w:color="000000" w:sz="4" w:space="0"/>
            </w:tcBorders>
            <w:vAlign w:val="center"/>
          </w:tcPr>
          <w:p w14:paraId="12E69590">
            <w:pPr>
              <w:pStyle w:val="28"/>
              <w:bidi w:val="0"/>
            </w:pPr>
            <w:r>
              <w:t>12.43</w:t>
            </w:r>
          </w:p>
        </w:tc>
        <w:tc>
          <w:tcPr>
            <w:tcW w:w="303" w:type="pct"/>
            <w:tcBorders>
              <w:top w:val="single" w:color="000000" w:sz="4" w:space="0"/>
              <w:left w:val="single" w:color="000000" w:sz="4" w:space="0"/>
              <w:bottom w:val="single" w:color="000000" w:sz="4" w:space="0"/>
              <w:right w:val="single" w:color="000000" w:sz="4" w:space="0"/>
            </w:tcBorders>
            <w:vAlign w:val="center"/>
          </w:tcPr>
          <w:p w14:paraId="7276CB1F">
            <w:pPr>
              <w:pStyle w:val="28"/>
              <w:bidi w:val="0"/>
            </w:pPr>
            <w:r>
              <w:t>1516.80</w:t>
            </w:r>
          </w:p>
        </w:tc>
        <w:tc>
          <w:tcPr>
            <w:tcW w:w="219" w:type="pct"/>
            <w:tcBorders>
              <w:top w:val="single" w:color="000000" w:sz="4" w:space="0"/>
              <w:left w:val="single" w:color="000000" w:sz="4" w:space="0"/>
              <w:bottom w:val="single" w:color="000000" w:sz="4" w:space="0"/>
              <w:right w:val="single" w:color="000000" w:sz="4" w:space="0"/>
            </w:tcBorders>
            <w:vAlign w:val="center"/>
          </w:tcPr>
          <w:p w14:paraId="5B24F19F">
            <w:pPr>
              <w:pStyle w:val="28"/>
              <w:bidi w:val="0"/>
            </w:pPr>
            <w:r>
              <w:t>3.73</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4F17E9B4">
            <w:pPr>
              <w:pStyle w:val="28"/>
              <w:bidi w:val="0"/>
            </w:pPr>
            <w:r>
              <w:t>0.46</w:t>
            </w:r>
          </w:p>
        </w:tc>
        <w:tc>
          <w:tcPr>
            <w:tcW w:w="268" w:type="pct"/>
            <w:tcBorders>
              <w:top w:val="single" w:color="000000" w:sz="4" w:space="0"/>
              <w:left w:val="single" w:color="000000" w:sz="4" w:space="0"/>
              <w:bottom w:val="single" w:color="000000" w:sz="4" w:space="0"/>
              <w:right w:val="single" w:color="000000" w:sz="4" w:space="0"/>
            </w:tcBorders>
            <w:vAlign w:val="center"/>
          </w:tcPr>
          <w:p w14:paraId="55891B7E">
            <w:pPr>
              <w:pStyle w:val="28"/>
              <w:bidi w:val="0"/>
            </w:pPr>
            <w:r>
              <w:t>1.86</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5E10A646">
            <w:pPr>
              <w:pStyle w:val="28"/>
              <w:bidi w:val="0"/>
            </w:pPr>
            <w:r>
              <w:t>0.23</w:t>
            </w:r>
          </w:p>
        </w:tc>
        <w:tc>
          <w:tcPr>
            <w:tcW w:w="212" w:type="pct"/>
            <w:tcBorders>
              <w:top w:val="single" w:color="000000" w:sz="4" w:space="0"/>
              <w:left w:val="single" w:color="000000" w:sz="4" w:space="0"/>
              <w:bottom w:val="single" w:color="000000" w:sz="4" w:space="0"/>
              <w:right w:val="single" w:color="000000" w:sz="4" w:space="0"/>
            </w:tcBorders>
            <w:vAlign w:val="center"/>
          </w:tcPr>
          <w:p w14:paraId="512B1A51">
            <w:pPr>
              <w:pStyle w:val="28"/>
              <w:bidi w:val="0"/>
            </w:pPr>
            <w:r>
              <w:t>2.24</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3F745ED2">
            <w:pPr>
              <w:pStyle w:val="28"/>
              <w:bidi w:val="0"/>
            </w:pPr>
            <w:r>
              <w:t>0.27</w:t>
            </w:r>
          </w:p>
        </w:tc>
        <w:tc>
          <w:tcPr>
            <w:tcW w:w="202" w:type="pct"/>
            <w:tcBorders>
              <w:top w:val="single" w:color="000000" w:sz="4" w:space="0"/>
              <w:left w:val="single" w:color="000000" w:sz="4" w:space="0"/>
              <w:bottom w:val="single" w:color="000000" w:sz="4" w:space="0"/>
              <w:right w:val="single" w:color="000000" w:sz="4" w:space="0"/>
            </w:tcBorders>
            <w:vAlign w:val="center"/>
          </w:tcPr>
          <w:p w14:paraId="3471E271">
            <w:pPr>
              <w:pStyle w:val="28"/>
              <w:bidi w:val="0"/>
            </w:pPr>
            <w:r>
              <w:t>0.31</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1C05A385">
            <w:pPr>
              <w:pStyle w:val="28"/>
              <w:bidi w:val="0"/>
            </w:pPr>
            <w:r>
              <w:t>0.04</w:t>
            </w:r>
          </w:p>
        </w:tc>
      </w:tr>
      <w:tr w14:paraId="3829661E">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39F0FFCD">
            <w:pPr>
              <w:pStyle w:val="28"/>
              <w:bidi w:val="0"/>
            </w:pPr>
            <w:r>
              <w:t>29</w:t>
            </w:r>
          </w:p>
        </w:tc>
        <w:tc>
          <w:tcPr>
            <w:tcW w:w="2792" w:type="dxa"/>
            <w:tcBorders>
              <w:top w:val="single" w:color="000000" w:sz="4" w:space="0"/>
              <w:left w:val="single" w:color="000000" w:sz="4" w:space="0"/>
              <w:bottom w:val="single" w:color="000000" w:sz="4" w:space="0"/>
              <w:right w:val="single" w:color="000000" w:sz="4" w:space="0"/>
            </w:tcBorders>
            <w:vAlign w:val="center"/>
          </w:tcPr>
          <w:p w14:paraId="795D6FF6">
            <w:pPr>
              <w:pStyle w:val="28"/>
              <w:bidi w:val="0"/>
            </w:pPr>
            <w:r>
              <w:rPr>
                <w:rFonts w:hint="eastAsia"/>
              </w:rPr>
              <w:t>杭北干渠工程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5C9533FB">
            <w:pPr>
              <w:pStyle w:val="28"/>
              <w:bidi w:val="0"/>
            </w:pPr>
            <w:r>
              <w:t>2</w:t>
            </w:r>
          </w:p>
        </w:tc>
        <w:tc>
          <w:tcPr>
            <w:tcW w:w="268" w:type="pct"/>
            <w:tcBorders>
              <w:top w:val="single" w:color="000000" w:sz="4" w:space="0"/>
              <w:left w:val="single" w:color="000000" w:sz="4" w:space="0"/>
              <w:bottom w:val="single" w:color="000000" w:sz="4" w:space="0"/>
              <w:right w:val="single" w:color="000000" w:sz="4" w:space="0"/>
            </w:tcBorders>
            <w:vAlign w:val="center"/>
          </w:tcPr>
          <w:p w14:paraId="170894DD">
            <w:pPr>
              <w:pStyle w:val="28"/>
              <w:bidi w:val="0"/>
            </w:pPr>
            <w:r>
              <w:t>166</w:t>
            </w:r>
          </w:p>
        </w:tc>
        <w:tc>
          <w:tcPr>
            <w:tcW w:w="271" w:type="pct"/>
            <w:tcBorders>
              <w:top w:val="single" w:color="000000" w:sz="4" w:space="0"/>
              <w:left w:val="single" w:color="000000" w:sz="4" w:space="0"/>
              <w:bottom w:val="single" w:color="000000" w:sz="4" w:space="0"/>
              <w:right w:val="single" w:color="000000" w:sz="4" w:space="0"/>
            </w:tcBorders>
            <w:vAlign w:val="center"/>
          </w:tcPr>
          <w:p w14:paraId="31D0E40A">
            <w:pPr>
              <w:pStyle w:val="28"/>
              <w:bidi w:val="0"/>
            </w:pPr>
            <w:r>
              <w:t>216</w:t>
            </w:r>
          </w:p>
        </w:tc>
        <w:tc>
          <w:tcPr>
            <w:tcW w:w="258" w:type="pct"/>
            <w:tcBorders>
              <w:top w:val="single" w:color="000000" w:sz="4" w:space="0"/>
              <w:left w:val="single" w:color="000000" w:sz="4" w:space="0"/>
              <w:bottom w:val="single" w:color="000000" w:sz="4" w:space="0"/>
              <w:right w:val="single" w:color="000000" w:sz="4" w:space="0"/>
            </w:tcBorders>
            <w:vAlign w:val="center"/>
          </w:tcPr>
          <w:p w14:paraId="3DBA9927">
            <w:pPr>
              <w:pStyle w:val="28"/>
              <w:bidi w:val="0"/>
            </w:pPr>
            <w:r>
              <w:t>5.09</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56CA6F46">
            <w:pPr>
              <w:pStyle w:val="28"/>
              <w:bidi w:val="0"/>
            </w:pPr>
          </w:p>
        </w:tc>
        <w:tc>
          <w:tcPr>
            <w:tcW w:w="268" w:type="pct"/>
            <w:tcBorders>
              <w:top w:val="single" w:color="000000" w:sz="4" w:space="0"/>
              <w:left w:val="nil"/>
              <w:bottom w:val="single" w:color="000000" w:sz="4" w:space="0"/>
              <w:right w:val="single" w:color="000000" w:sz="4" w:space="0"/>
            </w:tcBorders>
            <w:vAlign w:val="center"/>
          </w:tcPr>
          <w:p w14:paraId="5F9D5B2D">
            <w:pPr>
              <w:pStyle w:val="28"/>
              <w:bidi w:val="0"/>
            </w:pPr>
            <w:r>
              <w:t>10.37</w:t>
            </w:r>
          </w:p>
        </w:tc>
        <w:tc>
          <w:tcPr>
            <w:tcW w:w="303" w:type="pct"/>
            <w:tcBorders>
              <w:top w:val="single" w:color="000000" w:sz="4" w:space="0"/>
              <w:left w:val="single" w:color="000000" w:sz="4" w:space="0"/>
              <w:bottom w:val="single" w:color="000000" w:sz="4" w:space="0"/>
              <w:right w:val="single" w:color="000000" w:sz="4" w:space="0"/>
            </w:tcBorders>
            <w:vAlign w:val="center"/>
          </w:tcPr>
          <w:p w14:paraId="046B770B">
            <w:pPr>
              <w:pStyle w:val="28"/>
              <w:bidi w:val="0"/>
            </w:pPr>
            <w:r>
              <w:t>2443.20</w:t>
            </w:r>
          </w:p>
        </w:tc>
        <w:tc>
          <w:tcPr>
            <w:tcW w:w="219" w:type="pct"/>
            <w:tcBorders>
              <w:top w:val="single" w:color="000000" w:sz="4" w:space="0"/>
              <w:left w:val="single" w:color="000000" w:sz="4" w:space="0"/>
              <w:bottom w:val="single" w:color="000000" w:sz="4" w:space="0"/>
              <w:right w:val="single" w:color="000000" w:sz="4" w:space="0"/>
            </w:tcBorders>
            <w:vAlign w:val="center"/>
          </w:tcPr>
          <w:p w14:paraId="3D6234B7">
            <w:pPr>
              <w:pStyle w:val="28"/>
              <w:bidi w:val="0"/>
            </w:pPr>
            <w:r>
              <w:t>3.11</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6C535608">
            <w:pPr>
              <w:pStyle w:val="28"/>
              <w:bidi w:val="0"/>
            </w:pPr>
            <w:r>
              <w:t>0.73</w:t>
            </w:r>
          </w:p>
        </w:tc>
        <w:tc>
          <w:tcPr>
            <w:tcW w:w="268" w:type="pct"/>
            <w:tcBorders>
              <w:top w:val="single" w:color="000000" w:sz="4" w:space="0"/>
              <w:left w:val="single" w:color="000000" w:sz="4" w:space="0"/>
              <w:bottom w:val="single" w:color="000000" w:sz="4" w:space="0"/>
              <w:right w:val="single" w:color="000000" w:sz="4" w:space="0"/>
            </w:tcBorders>
            <w:vAlign w:val="center"/>
          </w:tcPr>
          <w:p w14:paraId="1318E8C6">
            <w:pPr>
              <w:pStyle w:val="28"/>
              <w:bidi w:val="0"/>
            </w:pPr>
            <w:r>
              <w:t>1.56</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0DA738D8">
            <w:pPr>
              <w:pStyle w:val="28"/>
              <w:bidi w:val="0"/>
            </w:pPr>
            <w:r>
              <w:t>0.37</w:t>
            </w:r>
          </w:p>
        </w:tc>
        <w:tc>
          <w:tcPr>
            <w:tcW w:w="212" w:type="pct"/>
            <w:tcBorders>
              <w:top w:val="single" w:color="000000" w:sz="4" w:space="0"/>
              <w:left w:val="single" w:color="000000" w:sz="4" w:space="0"/>
              <w:bottom w:val="single" w:color="000000" w:sz="4" w:space="0"/>
              <w:right w:val="single" w:color="000000" w:sz="4" w:space="0"/>
            </w:tcBorders>
            <w:vAlign w:val="center"/>
          </w:tcPr>
          <w:p w14:paraId="07E40E1F">
            <w:pPr>
              <w:pStyle w:val="28"/>
              <w:bidi w:val="0"/>
            </w:pPr>
            <w:r>
              <w:t>1.87</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3AE68B10">
            <w:pPr>
              <w:pStyle w:val="28"/>
              <w:bidi w:val="0"/>
            </w:pPr>
            <w:r>
              <w:t>0.44</w:t>
            </w:r>
          </w:p>
        </w:tc>
        <w:tc>
          <w:tcPr>
            <w:tcW w:w="202" w:type="pct"/>
            <w:tcBorders>
              <w:top w:val="single" w:color="000000" w:sz="4" w:space="0"/>
              <w:left w:val="single" w:color="000000" w:sz="4" w:space="0"/>
              <w:bottom w:val="single" w:color="000000" w:sz="4" w:space="0"/>
              <w:right w:val="single" w:color="000000" w:sz="4" w:space="0"/>
            </w:tcBorders>
            <w:vAlign w:val="center"/>
          </w:tcPr>
          <w:p w14:paraId="6D05FB8F">
            <w:pPr>
              <w:pStyle w:val="28"/>
              <w:bidi w:val="0"/>
            </w:pPr>
            <w:r>
              <w:t>0.26</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1474F4CA">
            <w:pPr>
              <w:pStyle w:val="28"/>
              <w:bidi w:val="0"/>
            </w:pPr>
            <w:r>
              <w:t>0.06</w:t>
            </w:r>
          </w:p>
        </w:tc>
      </w:tr>
      <w:tr w14:paraId="570CE994">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097B32CD">
            <w:pPr>
              <w:pStyle w:val="28"/>
              <w:bidi w:val="0"/>
            </w:pPr>
            <w:r>
              <w:t>30</w:t>
            </w:r>
          </w:p>
        </w:tc>
        <w:tc>
          <w:tcPr>
            <w:tcW w:w="2792" w:type="dxa"/>
            <w:tcBorders>
              <w:top w:val="single" w:color="000000" w:sz="4" w:space="0"/>
              <w:left w:val="single" w:color="000000" w:sz="4" w:space="0"/>
              <w:bottom w:val="single" w:color="000000" w:sz="4" w:space="0"/>
              <w:right w:val="single" w:color="000000" w:sz="4" w:space="0"/>
            </w:tcBorders>
            <w:vAlign w:val="center"/>
          </w:tcPr>
          <w:p w14:paraId="4900A78C">
            <w:pPr>
              <w:pStyle w:val="28"/>
              <w:bidi w:val="0"/>
            </w:pPr>
            <w:r>
              <w:rPr>
                <w:rFonts w:hint="eastAsia"/>
              </w:rPr>
              <w:t>沙胜支渠工程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21BCD4E8">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0E150CB5">
            <w:pPr>
              <w:pStyle w:val="28"/>
              <w:bidi w:val="0"/>
            </w:pPr>
            <w:r>
              <w:t>125</w:t>
            </w:r>
          </w:p>
        </w:tc>
        <w:tc>
          <w:tcPr>
            <w:tcW w:w="271" w:type="pct"/>
            <w:tcBorders>
              <w:top w:val="single" w:color="000000" w:sz="4" w:space="0"/>
              <w:left w:val="single" w:color="000000" w:sz="4" w:space="0"/>
              <w:bottom w:val="single" w:color="000000" w:sz="4" w:space="0"/>
              <w:right w:val="single" w:color="000000" w:sz="4" w:space="0"/>
            </w:tcBorders>
            <w:vAlign w:val="center"/>
          </w:tcPr>
          <w:p w14:paraId="13659543">
            <w:pPr>
              <w:pStyle w:val="28"/>
              <w:bidi w:val="0"/>
            </w:pPr>
            <w:r>
              <w:t>147</w:t>
            </w:r>
          </w:p>
        </w:tc>
        <w:tc>
          <w:tcPr>
            <w:tcW w:w="258" w:type="pct"/>
            <w:tcBorders>
              <w:top w:val="single" w:color="000000" w:sz="4" w:space="0"/>
              <w:left w:val="single" w:color="000000" w:sz="4" w:space="0"/>
              <w:bottom w:val="single" w:color="000000" w:sz="4" w:space="0"/>
              <w:right w:val="single" w:color="000000" w:sz="4" w:space="0"/>
            </w:tcBorders>
            <w:vAlign w:val="center"/>
          </w:tcPr>
          <w:p w14:paraId="5A8DD747">
            <w:pPr>
              <w:pStyle w:val="28"/>
              <w:bidi w:val="0"/>
            </w:pPr>
            <w:r>
              <w:t>3.12</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0EF2B26D">
            <w:pPr>
              <w:pStyle w:val="28"/>
              <w:bidi w:val="0"/>
            </w:pPr>
          </w:p>
        </w:tc>
        <w:tc>
          <w:tcPr>
            <w:tcW w:w="268" w:type="pct"/>
            <w:tcBorders>
              <w:top w:val="single" w:color="000000" w:sz="4" w:space="0"/>
              <w:left w:val="nil"/>
              <w:bottom w:val="single" w:color="000000" w:sz="4" w:space="0"/>
              <w:right w:val="single" w:color="000000" w:sz="4" w:space="0"/>
            </w:tcBorders>
            <w:vAlign w:val="center"/>
          </w:tcPr>
          <w:p w14:paraId="3C66AA65">
            <w:pPr>
              <w:pStyle w:val="28"/>
              <w:bidi w:val="0"/>
            </w:pPr>
            <w:r>
              <w:t>7.06</w:t>
            </w:r>
          </w:p>
        </w:tc>
        <w:tc>
          <w:tcPr>
            <w:tcW w:w="303" w:type="pct"/>
            <w:tcBorders>
              <w:top w:val="single" w:color="000000" w:sz="4" w:space="0"/>
              <w:left w:val="single" w:color="000000" w:sz="4" w:space="0"/>
              <w:bottom w:val="single" w:color="000000" w:sz="4" w:space="0"/>
              <w:right w:val="single" w:color="000000" w:sz="4" w:space="0"/>
            </w:tcBorders>
            <w:vAlign w:val="center"/>
          </w:tcPr>
          <w:p w14:paraId="1EFE8DD9">
            <w:pPr>
              <w:pStyle w:val="28"/>
              <w:bidi w:val="0"/>
            </w:pPr>
            <w:r>
              <w:t>1497.60</w:t>
            </w:r>
          </w:p>
        </w:tc>
        <w:tc>
          <w:tcPr>
            <w:tcW w:w="219" w:type="pct"/>
            <w:tcBorders>
              <w:top w:val="single" w:color="000000" w:sz="4" w:space="0"/>
              <w:left w:val="single" w:color="000000" w:sz="4" w:space="0"/>
              <w:bottom w:val="single" w:color="000000" w:sz="4" w:space="0"/>
              <w:right w:val="single" w:color="000000" w:sz="4" w:space="0"/>
            </w:tcBorders>
            <w:vAlign w:val="center"/>
          </w:tcPr>
          <w:p w14:paraId="3027D4FB">
            <w:pPr>
              <w:pStyle w:val="28"/>
              <w:bidi w:val="0"/>
            </w:pPr>
            <w:r>
              <w:t>2.12</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277B0EDE">
            <w:pPr>
              <w:pStyle w:val="28"/>
              <w:bidi w:val="0"/>
            </w:pPr>
            <w:r>
              <w:t>0.45</w:t>
            </w:r>
          </w:p>
        </w:tc>
        <w:tc>
          <w:tcPr>
            <w:tcW w:w="268" w:type="pct"/>
            <w:tcBorders>
              <w:top w:val="single" w:color="000000" w:sz="4" w:space="0"/>
              <w:left w:val="single" w:color="000000" w:sz="4" w:space="0"/>
              <w:bottom w:val="single" w:color="000000" w:sz="4" w:space="0"/>
              <w:right w:val="single" w:color="000000" w:sz="4" w:space="0"/>
            </w:tcBorders>
            <w:vAlign w:val="center"/>
          </w:tcPr>
          <w:p w14:paraId="426CFCD2">
            <w:pPr>
              <w:pStyle w:val="28"/>
              <w:bidi w:val="0"/>
            </w:pPr>
            <w:r>
              <w:t>1.06</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207F093C">
            <w:pPr>
              <w:pStyle w:val="28"/>
              <w:bidi w:val="0"/>
            </w:pPr>
            <w:r>
              <w:t>0.22</w:t>
            </w:r>
          </w:p>
        </w:tc>
        <w:tc>
          <w:tcPr>
            <w:tcW w:w="212" w:type="pct"/>
            <w:tcBorders>
              <w:top w:val="single" w:color="000000" w:sz="4" w:space="0"/>
              <w:left w:val="single" w:color="000000" w:sz="4" w:space="0"/>
              <w:bottom w:val="single" w:color="000000" w:sz="4" w:space="0"/>
              <w:right w:val="single" w:color="000000" w:sz="4" w:space="0"/>
            </w:tcBorders>
            <w:vAlign w:val="center"/>
          </w:tcPr>
          <w:p w14:paraId="2215BB55">
            <w:pPr>
              <w:pStyle w:val="28"/>
              <w:bidi w:val="0"/>
            </w:pPr>
            <w:r>
              <w:t>1.27</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1F66C635">
            <w:pPr>
              <w:pStyle w:val="28"/>
              <w:bidi w:val="0"/>
            </w:pPr>
            <w:r>
              <w:t>0.27</w:t>
            </w:r>
          </w:p>
        </w:tc>
        <w:tc>
          <w:tcPr>
            <w:tcW w:w="202" w:type="pct"/>
            <w:tcBorders>
              <w:top w:val="single" w:color="000000" w:sz="4" w:space="0"/>
              <w:left w:val="single" w:color="000000" w:sz="4" w:space="0"/>
              <w:bottom w:val="single" w:color="000000" w:sz="4" w:space="0"/>
              <w:right w:val="single" w:color="000000" w:sz="4" w:space="0"/>
            </w:tcBorders>
            <w:vAlign w:val="center"/>
          </w:tcPr>
          <w:p w14:paraId="02921D4E">
            <w:pPr>
              <w:pStyle w:val="28"/>
              <w:bidi w:val="0"/>
            </w:pPr>
            <w:r>
              <w:t>0.18</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5D83194B">
            <w:pPr>
              <w:pStyle w:val="28"/>
              <w:bidi w:val="0"/>
            </w:pPr>
            <w:r>
              <w:t>0.04</w:t>
            </w:r>
          </w:p>
        </w:tc>
      </w:tr>
      <w:tr w14:paraId="41B53848">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0C078948">
            <w:pPr>
              <w:pStyle w:val="28"/>
              <w:bidi w:val="0"/>
            </w:pPr>
            <w:r>
              <w:t>31</w:t>
            </w:r>
          </w:p>
        </w:tc>
        <w:tc>
          <w:tcPr>
            <w:tcW w:w="2792" w:type="dxa"/>
            <w:tcBorders>
              <w:top w:val="single" w:color="000000" w:sz="4" w:space="0"/>
              <w:left w:val="single" w:color="000000" w:sz="4" w:space="0"/>
              <w:bottom w:val="single" w:color="000000" w:sz="4" w:space="0"/>
              <w:right w:val="single" w:color="000000" w:sz="4" w:space="0"/>
            </w:tcBorders>
            <w:vAlign w:val="center"/>
          </w:tcPr>
          <w:p w14:paraId="1122D795">
            <w:pPr>
              <w:pStyle w:val="28"/>
              <w:bidi w:val="0"/>
            </w:pPr>
            <w:r>
              <w:rPr>
                <w:rFonts w:hint="eastAsia"/>
              </w:rPr>
              <w:t>乐桥支渠工程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005DB272">
            <w:pPr>
              <w:pStyle w:val="28"/>
              <w:bidi w:val="0"/>
            </w:pPr>
            <w:r>
              <w:t>0</w:t>
            </w:r>
          </w:p>
        </w:tc>
        <w:tc>
          <w:tcPr>
            <w:tcW w:w="268" w:type="pct"/>
            <w:tcBorders>
              <w:top w:val="single" w:color="000000" w:sz="4" w:space="0"/>
              <w:left w:val="single" w:color="000000" w:sz="4" w:space="0"/>
              <w:bottom w:val="single" w:color="000000" w:sz="4" w:space="0"/>
              <w:right w:val="single" w:color="000000" w:sz="4" w:space="0"/>
            </w:tcBorders>
            <w:vAlign w:val="center"/>
          </w:tcPr>
          <w:p w14:paraId="07822631">
            <w:pPr>
              <w:pStyle w:val="28"/>
              <w:bidi w:val="0"/>
            </w:pPr>
            <w:r>
              <w:t>94</w:t>
            </w:r>
          </w:p>
        </w:tc>
        <w:tc>
          <w:tcPr>
            <w:tcW w:w="271" w:type="pct"/>
            <w:tcBorders>
              <w:top w:val="single" w:color="000000" w:sz="4" w:space="0"/>
              <w:left w:val="single" w:color="000000" w:sz="4" w:space="0"/>
              <w:bottom w:val="single" w:color="000000" w:sz="4" w:space="0"/>
              <w:right w:val="single" w:color="000000" w:sz="4" w:space="0"/>
            </w:tcBorders>
            <w:vAlign w:val="center"/>
          </w:tcPr>
          <w:p w14:paraId="1B39A95C">
            <w:pPr>
              <w:pStyle w:val="28"/>
              <w:bidi w:val="0"/>
            </w:pPr>
            <w:r>
              <w:t>133</w:t>
            </w:r>
          </w:p>
        </w:tc>
        <w:tc>
          <w:tcPr>
            <w:tcW w:w="258" w:type="pct"/>
            <w:tcBorders>
              <w:top w:val="single" w:color="000000" w:sz="4" w:space="0"/>
              <w:left w:val="single" w:color="000000" w:sz="4" w:space="0"/>
              <w:bottom w:val="single" w:color="000000" w:sz="4" w:space="0"/>
              <w:right w:val="single" w:color="000000" w:sz="4" w:space="0"/>
            </w:tcBorders>
            <w:vAlign w:val="center"/>
          </w:tcPr>
          <w:p w14:paraId="76F6D542">
            <w:pPr>
              <w:pStyle w:val="28"/>
              <w:bidi w:val="0"/>
            </w:pPr>
            <w:r>
              <w:t>1.31</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07AD916E">
            <w:pPr>
              <w:pStyle w:val="28"/>
              <w:bidi w:val="0"/>
            </w:pPr>
          </w:p>
        </w:tc>
        <w:tc>
          <w:tcPr>
            <w:tcW w:w="268" w:type="pct"/>
            <w:tcBorders>
              <w:top w:val="single" w:color="000000" w:sz="4" w:space="0"/>
              <w:left w:val="nil"/>
              <w:bottom w:val="single" w:color="000000" w:sz="4" w:space="0"/>
              <w:right w:val="single" w:color="000000" w:sz="4" w:space="0"/>
            </w:tcBorders>
            <w:vAlign w:val="center"/>
          </w:tcPr>
          <w:p w14:paraId="5356B3B5">
            <w:pPr>
              <w:pStyle w:val="28"/>
              <w:bidi w:val="0"/>
            </w:pPr>
            <w:r>
              <w:t>6.38</w:t>
            </w:r>
          </w:p>
        </w:tc>
        <w:tc>
          <w:tcPr>
            <w:tcW w:w="303" w:type="pct"/>
            <w:tcBorders>
              <w:top w:val="single" w:color="000000" w:sz="4" w:space="0"/>
              <w:left w:val="single" w:color="000000" w:sz="4" w:space="0"/>
              <w:bottom w:val="single" w:color="000000" w:sz="4" w:space="0"/>
              <w:right w:val="single" w:color="000000" w:sz="4" w:space="0"/>
            </w:tcBorders>
            <w:vAlign w:val="center"/>
          </w:tcPr>
          <w:p w14:paraId="01719BDD">
            <w:pPr>
              <w:pStyle w:val="28"/>
              <w:bidi w:val="0"/>
            </w:pPr>
            <w:r>
              <w:t>628.80</w:t>
            </w:r>
          </w:p>
        </w:tc>
        <w:tc>
          <w:tcPr>
            <w:tcW w:w="219" w:type="pct"/>
            <w:tcBorders>
              <w:top w:val="single" w:color="000000" w:sz="4" w:space="0"/>
              <w:left w:val="single" w:color="000000" w:sz="4" w:space="0"/>
              <w:bottom w:val="single" w:color="000000" w:sz="4" w:space="0"/>
              <w:right w:val="single" w:color="000000" w:sz="4" w:space="0"/>
            </w:tcBorders>
            <w:vAlign w:val="center"/>
          </w:tcPr>
          <w:p w14:paraId="480896E4">
            <w:pPr>
              <w:pStyle w:val="28"/>
              <w:bidi w:val="0"/>
            </w:pPr>
            <w:r>
              <w:t>1.92</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7D56CF1D">
            <w:pPr>
              <w:pStyle w:val="28"/>
              <w:bidi w:val="0"/>
            </w:pPr>
            <w:r>
              <w:t>0.19</w:t>
            </w:r>
          </w:p>
        </w:tc>
        <w:tc>
          <w:tcPr>
            <w:tcW w:w="268" w:type="pct"/>
            <w:tcBorders>
              <w:top w:val="single" w:color="000000" w:sz="4" w:space="0"/>
              <w:left w:val="single" w:color="000000" w:sz="4" w:space="0"/>
              <w:bottom w:val="single" w:color="000000" w:sz="4" w:space="0"/>
              <w:right w:val="single" w:color="000000" w:sz="4" w:space="0"/>
            </w:tcBorders>
            <w:vAlign w:val="center"/>
          </w:tcPr>
          <w:p w14:paraId="1A4CFD4D">
            <w:pPr>
              <w:pStyle w:val="28"/>
              <w:bidi w:val="0"/>
            </w:pPr>
            <w:r>
              <w:t>0.96</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063349CA">
            <w:pPr>
              <w:pStyle w:val="28"/>
              <w:bidi w:val="0"/>
            </w:pPr>
            <w:r>
              <w:t>0.09</w:t>
            </w:r>
          </w:p>
        </w:tc>
        <w:tc>
          <w:tcPr>
            <w:tcW w:w="212" w:type="pct"/>
            <w:tcBorders>
              <w:top w:val="single" w:color="000000" w:sz="4" w:space="0"/>
              <w:left w:val="single" w:color="000000" w:sz="4" w:space="0"/>
              <w:bottom w:val="single" w:color="000000" w:sz="4" w:space="0"/>
              <w:right w:val="single" w:color="000000" w:sz="4" w:space="0"/>
            </w:tcBorders>
            <w:vAlign w:val="center"/>
          </w:tcPr>
          <w:p w14:paraId="37C1CCDA">
            <w:pPr>
              <w:pStyle w:val="28"/>
              <w:bidi w:val="0"/>
            </w:pPr>
            <w:r>
              <w:t>1.15</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18494598">
            <w:pPr>
              <w:pStyle w:val="28"/>
              <w:bidi w:val="0"/>
            </w:pPr>
            <w:r>
              <w:t>0.11</w:t>
            </w:r>
          </w:p>
        </w:tc>
        <w:tc>
          <w:tcPr>
            <w:tcW w:w="202" w:type="pct"/>
            <w:tcBorders>
              <w:top w:val="single" w:color="000000" w:sz="4" w:space="0"/>
              <w:left w:val="single" w:color="000000" w:sz="4" w:space="0"/>
              <w:bottom w:val="single" w:color="000000" w:sz="4" w:space="0"/>
              <w:right w:val="single" w:color="000000" w:sz="4" w:space="0"/>
            </w:tcBorders>
            <w:vAlign w:val="center"/>
          </w:tcPr>
          <w:p w14:paraId="613F761E">
            <w:pPr>
              <w:pStyle w:val="28"/>
              <w:bidi w:val="0"/>
            </w:pPr>
            <w:r>
              <w:t>0.16</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2945D27C">
            <w:pPr>
              <w:pStyle w:val="28"/>
              <w:bidi w:val="0"/>
            </w:pPr>
            <w:r>
              <w:t>0.02</w:t>
            </w:r>
          </w:p>
        </w:tc>
      </w:tr>
      <w:tr w14:paraId="2B865606">
        <w:tblPrEx>
          <w:tblCellMar>
            <w:top w:w="0" w:type="dxa"/>
            <w:left w:w="108" w:type="dxa"/>
            <w:bottom w:w="0" w:type="dxa"/>
            <w:right w:w="108" w:type="dxa"/>
          </w:tblCellMar>
        </w:tblPrEx>
        <w:trPr>
          <w:trHeight w:val="340" w:hRule="atLeast"/>
          <w:jc w:val="center"/>
        </w:trPr>
        <w:tc>
          <w:tcPr>
            <w:tcW w:w="181" w:type="pct"/>
            <w:tcBorders>
              <w:top w:val="single" w:color="000000" w:sz="4" w:space="0"/>
              <w:left w:val="single" w:color="000000" w:sz="4" w:space="0"/>
              <w:bottom w:val="single" w:color="000000" w:sz="4" w:space="0"/>
              <w:right w:val="single" w:color="000000" w:sz="4" w:space="0"/>
            </w:tcBorders>
            <w:vAlign w:val="center"/>
          </w:tcPr>
          <w:p w14:paraId="1C2EF166">
            <w:pPr>
              <w:pStyle w:val="28"/>
              <w:bidi w:val="0"/>
            </w:pPr>
            <w:r>
              <w:t>32</w:t>
            </w:r>
          </w:p>
        </w:tc>
        <w:tc>
          <w:tcPr>
            <w:tcW w:w="2792" w:type="dxa"/>
            <w:tcBorders>
              <w:top w:val="single" w:color="000000" w:sz="4" w:space="0"/>
              <w:left w:val="single" w:color="000000" w:sz="4" w:space="0"/>
              <w:bottom w:val="single" w:color="000000" w:sz="4" w:space="0"/>
              <w:right w:val="single" w:color="000000" w:sz="4" w:space="0"/>
            </w:tcBorders>
            <w:vAlign w:val="center"/>
          </w:tcPr>
          <w:p w14:paraId="61FE02B3">
            <w:pPr>
              <w:pStyle w:val="28"/>
              <w:bidi w:val="0"/>
            </w:pPr>
            <w:r>
              <w:rPr>
                <w:rFonts w:hint="eastAsia"/>
              </w:rPr>
              <w:t>马田支渠工程</w:t>
            </w:r>
          </w:p>
        </w:tc>
        <w:tc>
          <w:tcPr>
            <w:tcW w:w="786" w:type="dxa"/>
            <w:tcBorders>
              <w:top w:val="single" w:color="000000" w:sz="4" w:space="0"/>
              <w:left w:val="single" w:color="000000" w:sz="4" w:space="0"/>
              <w:bottom w:val="single" w:color="000000" w:sz="4" w:space="0"/>
              <w:right w:val="single" w:color="000000" w:sz="4" w:space="0"/>
            </w:tcBorders>
            <w:vAlign w:val="center"/>
          </w:tcPr>
          <w:p w14:paraId="1EC41BA9">
            <w:pPr>
              <w:pStyle w:val="28"/>
              <w:bidi w:val="0"/>
            </w:pPr>
            <w:r>
              <w:t>1</w:t>
            </w:r>
          </w:p>
        </w:tc>
        <w:tc>
          <w:tcPr>
            <w:tcW w:w="268" w:type="pct"/>
            <w:tcBorders>
              <w:top w:val="single" w:color="000000" w:sz="4" w:space="0"/>
              <w:left w:val="single" w:color="000000" w:sz="4" w:space="0"/>
              <w:bottom w:val="single" w:color="000000" w:sz="4" w:space="0"/>
              <w:right w:val="single" w:color="000000" w:sz="4" w:space="0"/>
            </w:tcBorders>
            <w:vAlign w:val="center"/>
          </w:tcPr>
          <w:p w14:paraId="378CD17F">
            <w:pPr>
              <w:pStyle w:val="28"/>
              <w:bidi w:val="0"/>
            </w:pPr>
            <w:r>
              <w:t>94</w:t>
            </w:r>
          </w:p>
        </w:tc>
        <w:tc>
          <w:tcPr>
            <w:tcW w:w="271" w:type="pct"/>
            <w:tcBorders>
              <w:top w:val="single" w:color="000000" w:sz="4" w:space="0"/>
              <w:left w:val="single" w:color="000000" w:sz="4" w:space="0"/>
              <w:bottom w:val="single" w:color="000000" w:sz="4" w:space="0"/>
              <w:right w:val="single" w:color="000000" w:sz="4" w:space="0"/>
            </w:tcBorders>
            <w:vAlign w:val="center"/>
          </w:tcPr>
          <w:p w14:paraId="3E14F615">
            <w:pPr>
              <w:pStyle w:val="28"/>
              <w:bidi w:val="0"/>
            </w:pPr>
            <w:r>
              <w:t>133</w:t>
            </w:r>
          </w:p>
        </w:tc>
        <w:tc>
          <w:tcPr>
            <w:tcW w:w="258" w:type="pct"/>
            <w:tcBorders>
              <w:top w:val="single" w:color="000000" w:sz="4" w:space="0"/>
              <w:left w:val="single" w:color="000000" w:sz="4" w:space="0"/>
              <w:bottom w:val="single" w:color="000000" w:sz="4" w:space="0"/>
              <w:right w:val="single" w:color="000000" w:sz="4" w:space="0"/>
            </w:tcBorders>
            <w:vAlign w:val="center"/>
          </w:tcPr>
          <w:p w14:paraId="59A8D69E">
            <w:pPr>
              <w:pStyle w:val="28"/>
              <w:bidi w:val="0"/>
            </w:pPr>
            <w:r>
              <w:t>0.65</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760772F1">
            <w:pPr>
              <w:pStyle w:val="28"/>
              <w:bidi w:val="0"/>
            </w:pPr>
          </w:p>
        </w:tc>
        <w:tc>
          <w:tcPr>
            <w:tcW w:w="268" w:type="pct"/>
            <w:tcBorders>
              <w:top w:val="single" w:color="000000" w:sz="4" w:space="0"/>
              <w:left w:val="nil"/>
              <w:bottom w:val="single" w:color="000000" w:sz="4" w:space="0"/>
              <w:right w:val="single" w:color="000000" w:sz="4" w:space="0"/>
            </w:tcBorders>
            <w:vAlign w:val="center"/>
          </w:tcPr>
          <w:p w14:paraId="5D4DA74E">
            <w:pPr>
              <w:pStyle w:val="28"/>
              <w:bidi w:val="0"/>
            </w:pPr>
            <w:r>
              <w:t>6.38</w:t>
            </w:r>
          </w:p>
        </w:tc>
        <w:tc>
          <w:tcPr>
            <w:tcW w:w="303" w:type="pct"/>
            <w:tcBorders>
              <w:top w:val="single" w:color="000000" w:sz="4" w:space="0"/>
              <w:left w:val="single" w:color="000000" w:sz="4" w:space="0"/>
              <w:bottom w:val="single" w:color="000000" w:sz="4" w:space="0"/>
              <w:right w:val="single" w:color="000000" w:sz="4" w:space="0"/>
            </w:tcBorders>
            <w:vAlign w:val="center"/>
          </w:tcPr>
          <w:p w14:paraId="56697093">
            <w:pPr>
              <w:pStyle w:val="28"/>
              <w:bidi w:val="0"/>
            </w:pPr>
            <w:r>
              <w:t>312.00</w:t>
            </w:r>
          </w:p>
        </w:tc>
        <w:tc>
          <w:tcPr>
            <w:tcW w:w="219" w:type="pct"/>
            <w:tcBorders>
              <w:top w:val="single" w:color="000000" w:sz="4" w:space="0"/>
              <w:left w:val="single" w:color="000000" w:sz="4" w:space="0"/>
              <w:bottom w:val="single" w:color="000000" w:sz="4" w:space="0"/>
              <w:right w:val="single" w:color="000000" w:sz="4" w:space="0"/>
            </w:tcBorders>
            <w:vAlign w:val="center"/>
          </w:tcPr>
          <w:p w14:paraId="588C607E">
            <w:pPr>
              <w:pStyle w:val="28"/>
              <w:bidi w:val="0"/>
            </w:pPr>
            <w:r>
              <w:t>1.92</w:t>
            </w:r>
          </w:p>
        </w:tc>
        <w:tc>
          <w:tcPr>
            <w:tcW w:w="269" w:type="pct"/>
            <w:tcBorders>
              <w:top w:val="single" w:color="000000" w:sz="4" w:space="0"/>
              <w:left w:val="single" w:color="000000" w:sz="4" w:space="0"/>
              <w:bottom w:val="single" w:color="000000" w:sz="4" w:space="0"/>
              <w:right w:val="single" w:color="000000" w:sz="4" w:space="0"/>
            </w:tcBorders>
            <w:noWrap/>
            <w:vAlign w:val="center"/>
          </w:tcPr>
          <w:p w14:paraId="4056613A">
            <w:pPr>
              <w:pStyle w:val="28"/>
              <w:bidi w:val="0"/>
            </w:pPr>
            <w:r>
              <w:t>0.09</w:t>
            </w:r>
          </w:p>
        </w:tc>
        <w:tc>
          <w:tcPr>
            <w:tcW w:w="268" w:type="pct"/>
            <w:tcBorders>
              <w:top w:val="single" w:color="000000" w:sz="4" w:space="0"/>
              <w:left w:val="single" w:color="000000" w:sz="4" w:space="0"/>
              <w:bottom w:val="single" w:color="000000" w:sz="4" w:space="0"/>
              <w:right w:val="single" w:color="000000" w:sz="4" w:space="0"/>
            </w:tcBorders>
            <w:vAlign w:val="center"/>
          </w:tcPr>
          <w:p w14:paraId="52DE3CB8">
            <w:pPr>
              <w:pStyle w:val="28"/>
              <w:bidi w:val="0"/>
            </w:pPr>
            <w:r>
              <w:t>0.96</w:t>
            </w:r>
          </w:p>
        </w:tc>
        <w:tc>
          <w:tcPr>
            <w:tcW w:w="220" w:type="pct"/>
            <w:tcBorders>
              <w:top w:val="single" w:color="000000" w:sz="4" w:space="0"/>
              <w:left w:val="single" w:color="000000" w:sz="4" w:space="0"/>
              <w:bottom w:val="single" w:color="000000" w:sz="4" w:space="0"/>
              <w:right w:val="single" w:color="000000" w:sz="4" w:space="0"/>
            </w:tcBorders>
            <w:noWrap/>
            <w:vAlign w:val="center"/>
          </w:tcPr>
          <w:p w14:paraId="72565ACC">
            <w:pPr>
              <w:pStyle w:val="28"/>
              <w:bidi w:val="0"/>
            </w:pPr>
            <w:r>
              <w:t>0.05</w:t>
            </w:r>
          </w:p>
        </w:tc>
        <w:tc>
          <w:tcPr>
            <w:tcW w:w="212" w:type="pct"/>
            <w:tcBorders>
              <w:top w:val="single" w:color="000000" w:sz="4" w:space="0"/>
              <w:left w:val="single" w:color="000000" w:sz="4" w:space="0"/>
              <w:bottom w:val="single" w:color="000000" w:sz="4" w:space="0"/>
              <w:right w:val="single" w:color="000000" w:sz="4" w:space="0"/>
            </w:tcBorders>
            <w:vAlign w:val="center"/>
          </w:tcPr>
          <w:p w14:paraId="71ED0790">
            <w:pPr>
              <w:pStyle w:val="28"/>
              <w:bidi w:val="0"/>
            </w:pPr>
            <w:r>
              <w:t>1.15</w:t>
            </w:r>
          </w:p>
        </w:tc>
        <w:tc>
          <w:tcPr>
            <w:tcW w:w="182" w:type="pct"/>
            <w:tcBorders>
              <w:top w:val="single" w:color="000000" w:sz="4" w:space="0"/>
              <w:left w:val="single" w:color="000000" w:sz="4" w:space="0"/>
              <w:bottom w:val="single" w:color="000000" w:sz="4" w:space="0"/>
              <w:right w:val="single" w:color="000000" w:sz="4" w:space="0"/>
            </w:tcBorders>
            <w:noWrap/>
            <w:vAlign w:val="center"/>
          </w:tcPr>
          <w:p w14:paraId="56D3F065">
            <w:pPr>
              <w:pStyle w:val="28"/>
              <w:bidi w:val="0"/>
            </w:pPr>
            <w:r>
              <w:t>0.06</w:t>
            </w:r>
          </w:p>
        </w:tc>
        <w:tc>
          <w:tcPr>
            <w:tcW w:w="202" w:type="pct"/>
            <w:tcBorders>
              <w:top w:val="single" w:color="000000" w:sz="4" w:space="0"/>
              <w:left w:val="single" w:color="000000" w:sz="4" w:space="0"/>
              <w:bottom w:val="single" w:color="000000" w:sz="4" w:space="0"/>
              <w:right w:val="single" w:color="000000" w:sz="4" w:space="0"/>
            </w:tcBorders>
            <w:vAlign w:val="center"/>
          </w:tcPr>
          <w:p w14:paraId="419E1EB8">
            <w:pPr>
              <w:pStyle w:val="28"/>
              <w:bidi w:val="0"/>
            </w:pPr>
            <w:r>
              <w:t>0.16</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1AD5B7EE">
            <w:pPr>
              <w:pStyle w:val="28"/>
              <w:bidi w:val="0"/>
            </w:pPr>
            <w:r>
              <w:t>0.01</w:t>
            </w:r>
          </w:p>
        </w:tc>
      </w:tr>
      <w:tr w14:paraId="653A8721">
        <w:tblPrEx>
          <w:tblCellMar>
            <w:top w:w="0" w:type="dxa"/>
            <w:left w:w="108" w:type="dxa"/>
            <w:bottom w:w="0" w:type="dxa"/>
            <w:right w:w="108" w:type="dxa"/>
          </w:tblCellMar>
        </w:tblPrEx>
        <w:trPr>
          <w:trHeight w:val="340" w:hRule="atLeast"/>
          <w:jc w:val="center"/>
        </w:trPr>
        <w:tc>
          <w:tcPr>
            <w:tcW w:w="1133" w:type="pct"/>
            <w:gridSpan w:val="2"/>
            <w:tcBorders>
              <w:top w:val="single" w:color="000000" w:sz="4" w:space="0"/>
              <w:left w:val="single" w:color="000000" w:sz="4" w:space="0"/>
              <w:bottom w:val="single" w:color="000000" w:sz="4" w:space="0"/>
              <w:right w:val="single" w:color="000000" w:sz="4" w:space="0"/>
            </w:tcBorders>
            <w:noWrap/>
            <w:vAlign w:val="center"/>
          </w:tcPr>
          <w:p w14:paraId="58605600">
            <w:pPr>
              <w:pStyle w:val="28"/>
              <w:bidi w:val="0"/>
            </w:pPr>
            <w:r>
              <w:t>合计</w:t>
            </w:r>
          </w:p>
        </w:tc>
        <w:tc>
          <w:tcPr>
            <w:tcW w:w="786" w:type="dxa"/>
            <w:tcBorders>
              <w:top w:val="single" w:color="000000" w:sz="4" w:space="0"/>
              <w:left w:val="single" w:color="000000" w:sz="4" w:space="0"/>
              <w:bottom w:val="single" w:color="000000" w:sz="4" w:space="0"/>
              <w:right w:val="single" w:color="000000" w:sz="4" w:space="0"/>
            </w:tcBorders>
            <w:vAlign w:val="center"/>
          </w:tcPr>
          <w:p w14:paraId="5B9A1AF4">
            <w:pPr>
              <w:pStyle w:val="28"/>
              <w:bidi w:val="0"/>
            </w:pPr>
            <w:r>
              <w:t xml:space="preserve">30.0 </w:t>
            </w:r>
          </w:p>
        </w:tc>
        <w:tc>
          <w:tcPr>
            <w:tcW w:w="268" w:type="pct"/>
            <w:tcBorders>
              <w:top w:val="single" w:color="000000" w:sz="4" w:space="0"/>
              <w:left w:val="single" w:color="000000" w:sz="4" w:space="0"/>
              <w:bottom w:val="single" w:color="000000" w:sz="4" w:space="0"/>
              <w:right w:val="single" w:color="000000" w:sz="4" w:space="0"/>
            </w:tcBorders>
            <w:vAlign w:val="center"/>
          </w:tcPr>
          <w:p w14:paraId="3D45740B">
            <w:pPr>
              <w:pStyle w:val="28"/>
              <w:bidi w:val="0"/>
            </w:pPr>
            <w:r>
              <w:t>5059</w:t>
            </w:r>
          </w:p>
        </w:tc>
        <w:tc>
          <w:tcPr>
            <w:tcW w:w="271" w:type="pct"/>
            <w:tcBorders>
              <w:top w:val="single" w:color="000000" w:sz="4" w:space="0"/>
              <w:left w:val="single" w:color="000000" w:sz="4" w:space="0"/>
              <w:bottom w:val="single" w:color="000000" w:sz="4" w:space="0"/>
              <w:right w:val="single" w:color="000000" w:sz="4" w:space="0"/>
            </w:tcBorders>
            <w:vAlign w:val="center"/>
          </w:tcPr>
          <w:p w14:paraId="7FF4C56E">
            <w:pPr>
              <w:pStyle w:val="28"/>
              <w:bidi w:val="0"/>
            </w:pPr>
            <w:r>
              <w:t>6623</w:t>
            </w:r>
          </w:p>
        </w:tc>
        <w:tc>
          <w:tcPr>
            <w:tcW w:w="258" w:type="pct"/>
            <w:tcBorders>
              <w:top w:val="single" w:color="000000" w:sz="4" w:space="0"/>
              <w:left w:val="single" w:color="000000" w:sz="4" w:space="0"/>
              <w:bottom w:val="single" w:color="000000" w:sz="4" w:space="0"/>
              <w:right w:val="single" w:color="000000" w:sz="4" w:space="0"/>
            </w:tcBorders>
            <w:vAlign w:val="center"/>
          </w:tcPr>
          <w:p w14:paraId="0C1891A1">
            <w:pPr>
              <w:pStyle w:val="28"/>
              <w:bidi w:val="0"/>
            </w:pPr>
            <w:r>
              <w:t>113.28</w:t>
            </w:r>
          </w:p>
        </w:tc>
        <w:tc>
          <w:tcPr>
            <w:tcW w:w="247" w:type="pct"/>
            <w:vMerge w:val="continue"/>
            <w:tcBorders>
              <w:top w:val="single" w:color="000000" w:sz="4" w:space="0"/>
              <w:left w:val="single" w:color="000000" w:sz="4" w:space="0"/>
              <w:bottom w:val="single" w:color="000000" w:sz="4" w:space="0"/>
              <w:right w:val="single" w:color="000000" w:sz="4" w:space="0"/>
            </w:tcBorders>
            <w:vAlign w:val="center"/>
          </w:tcPr>
          <w:p w14:paraId="0B9E0848">
            <w:pPr>
              <w:pStyle w:val="28"/>
              <w:bidi w:val="0"/>
            </w:pPr>
          </w:p>
        </w:tc>
        <w:tc>
          <w:tcPr>
            <w:tcW w:w="268" w:type="pct"/>
            <w:tcBorders>
              <w:top w:val="single" w:color="000000" w:sz="4" w:space="0"/>
              <w:left w:val="single" w:color="000000" w:sz="4" w:space="0"/>
              <w:bottom w:val="single" w:color="000000" w:sz="4" w:space="0"/>
              <w:right w:val="single" w:color="000000" w:sz="4" w:space="0"/>
            </w:tcBorders>
            <w:vAlign w:val="center"/>
          </w:tcPr>
          <w:p w14:paraId="70BDCD72">
            <w:pPr>
              <w:pStyle w:val="28"/>
              <w:bidi w:val="0"/>
            </w:pPr>
            <w:r>
              <w:t>317.90</w:t>
            </w:r>
          </w:p>
        </w:tc>
        <w:tc>
          <w:tcPr>
            <w:tcW w:w="303" w:type="pct"/>
            <w:tcBorders>
              <w:top w:val="single" w:color="000000" w:sz="4" w:space="0"/>
              <w:left w:val="single" w:color="000000" w:sz="4" w:space="0"/>
              <w:bottom w:val="single" w:color="000000" w:sz="4" w:space="0"/>
              <w:right w:val="single" w:color="000000" w:sz="4" w:space="0"/>
            </w:tcBorders>
            <w:vAlign w:val="center"/>
          </w:tcPr>
          <w:p w14:paraId="624F91C6">
            <w:pPr>
              <w:pStyle w:val="28"/>
              <w:bidi w:val="0"/>
            </w:pPr>
            <w:r>
              <w:t>54374.40</w:t>
            </w:r>
          </w:p>
        </w:tc>
        <w:tc>
          <w:tcPr>
            <w:tcW w:w="219" w:type="pct"/>
            <w:tcBorders>
              <w:top w:val="single" w:color="000000" w:sz="4" w:space="0"/>
              <w:left w:val="single" w:color="000000" w:sz="4" w:space="0"/>
              <w:bottom w:val="single" w:color="000000" w:sz="4" w:space="0"/>
              <w:right w:val="single" w:color="000000" w:sz="4" w:space="0"/>
            </w:tcBorders>
            <w:vAlign w:val="center"/>
          </w:tcPr>
          <w:p w14:paraId="59EB9A2C">
            <w:pPr>
              <w:pStyle w:val="28"/>
              <w:bidi w:val="0"/>
            </w:pPr>
            <w:r>
              <w:t>95.37</w:t>
            </w:r>
          </w:p>
        </w:tc>
        <w:tc>
          <w:tcPr>
            <w:tcW w:w="269" w:type="pct"/>
            <w:tcBorders>
              <w:top w:val="single" w:color="000000" w:sz="4" w:space="0"/>
              <w:left w:val="single" w:color="000000" w:sz="4" w:space="0"/>
              <w:bottom w:val="single" w:color="000000" w:sz="4" w:space="0"/>
              <w:right w:val="single" w:color="000000" w:sz="4" w:space="0"/>
            </w:tcBorders>
            <w:vAlign w:val="center"/>
          </w:tcPr>
          <w:p w14:paraId="4720ECA8">
            <w:pPr>
              <w:pStyle w:val="28"/>
              <w:bidi w:val="0"/>
            </w:pPr>
            <w:r>
              <w:t>16.31</w:t>
            </w:r>
          </w:p>
        </w:tc>
        <w:tc>
          <w:tcPr>
            <w:tcW w:w="268" w:type="pct"/>
            <w:tcBorders>
              <w:top w:val="single" w:color="000000" w:sz="4" w:space="0"/>
              <w:left w:val="single" w:color="000000" w:sz="4" w:space="0"/>
              <w:bottom w:val="single" w:color="000000" w:sz="4" w:space="0"/>
              <w:right w:val="single" w:color="000000" w:sz="4" w:space="0"/>
            </w:tcBorders>
            <w:vAlign w:val="center"/>
          </w:tcPr>
          <w:p w14:paraId="57956D3A">
            <w:pPr>
              <w:pStyle w:val="28"/>
              <w:bidi w:val="0"/>
            </w:pPr>
            <w:r>
              <w:t>47.69</w:t>
            </w:r>
          </w:p>
        </w:tc>
        <w:tc>
          <w:tcPr>
            <w:tcW w:w="220" w:type="pct"/>
            <w:tcBorders>
              <w:top w:val="single" w:color="000000" w:sz="4" w:space="0"/>
              <w:left w:val="single" w:color="000000" w:sz="4" w:space="0"/>
              <w:bottom w:val="single" w:color="000000" w:sz="4" w:space="0"/>
              <w:right w:val="single" w:color="000000" w:sz="4" w:space="0"/>
            </w:tcBorders>
            <w:vAlign w:val="center"/>
          </w:tcPr>
          <w:p w14:paraId="6376B02A">
            <w:pPr>
              <w:pStyle w:val="28"/>
              <w:bidi w:val="0"/>
            </w:pPr>
            <w:r>
              <w:t>8.16</w:t>
            </w:r>
          </w:p>
        </w:tc>
        <w:tc>
          <w:tcPr>
            <w:tcW w:w="212" w:type="pct"/>
            <w:tcBorders>
              <w:top w:val="single" w:color="000000" w:sz="4" w:space="0"/>
              <w:left w:val="single" w:color="000000" w:sz="4" w:space="0"/>
              <w:bottom w:val="single" w:color="000000" w:sz="4" w:space="0"/>
              <w:right w:val="single" w:color="000000" w:sz="4" w:space="0"/>
            </w:tcBorders>
            <w:vAlign w:val="center"/>
          </w:tcPr>
          <w:p w14:paraId="5FF62F10">
            <w:pPr>
              <w:pStyle w:val="28"/>
              <w:bidi w:val="0"/>
            </w:pPr>
            <w:r>
              <w:t>57.22</w:t>
            </w:r>
          </w:p>
        </w:tc>
        <w:tc>
          <w:tcPr>
            <w:tcW w:w="182" w:type="pct"/>
            <w:tcBorders>
              <w:top w:val="single" w:color="000000" w:sz="4" w:space="0"/>
              <w:left w:val="single" w:color="000000" w:sz="4" w:space="0"/>
              <w:bottom w:val="single" w:color="000000" w:sz="4" w:space="0"/>
              <w:right w:val="single" w:color="000000" w:sz="4" w:space="0"/>
            </w:tcBorders>
            <w:vAlign w:val="center"/>
          </w:tcPr>
          <w:p w14:paraId="00B3D2F1">
            <w:pPr>
              <w:pStyle w:val="28"/>
              <w:bidi w:val="0"/>
            </w:pPr>
            <w:r>
              <w:t>9.79</w:t>
            </w:r>
          </w:p>
        </w:tc>
        <w:tc>
          <w:tcPr>
            <w:tcW w:w="202" w:type="pct"/>
            <w:tcBorders>
              <w:top w:val="single" w:color="000000" w:sz="4" w:space="0"/>
              <w:left w:val="single" w:color="000000" w:sz="4" w:space="0"/>
              <w:bottom w:val="single" w:color="000000" w:sz="4" w:space="0"/>
              <w:right w:val="single" w:color="000000" w:sz="4" w:space="0"/>
            </w:tcBorders>
            <w:vAlign w:val="center"/>
          </w:tcPr>
          <w:p w14:paraId="3DBCD7D8">
            <w:pPr>
              <w:pStyle w:val="28"/>
              <w:bidi w:val="0"/>
            </w:pPr>
            <w:r>
              <w:t>7.95</w:t>
            </w:r>
          </w:p>
        </w:tc>
        <w:tc>
          <w:tcPr>
            <w:tcW w:w="407" w:type="pct"/>
            <w:tcBorders>
              <w:top w:val="single" w:color="000000" w:sz="4" w:space="0"/>
              <w:left w:val="single" w:color="000000" w:sz="4" w:space="0"/>
              <w:bottom w:val="single" w:color="000000" w:sz="4" w:space="0"/>
              <w:right w:val="single" w:color="000000" w:sz="4" w:space="0"/>
            </w:tcBorders>
            <w:vAlign w:val="center"/>
          </w:tcPr>
          <w:p w14:paraId="2BF4DCBD">
            <w:pPr>
              <w:pStyle w:val="28"/>
              <w:bidi w:val="0"/>
            </w:pPr>
            <w:r>
              <w:t>1.36</w:t>
            </w:r>
          </w:p>
        </w:tc>
      </w:tr>
    </w:tbl>
    <w:p w14:paraId="6E938FD0">
      <w:pPr>
        <w:ind w:firstLine="480"/>
        <w:rPr>
          <w:rFonts w:cs="Times New Roman"/>
          <w:color w:val="0000FF"/>
        </w:rPr>
      </w:pPr>
    </w:p>
    <w:p w14:paraId="10B13B15">
      <w:pPr>
        <w:ind w:firstLine="480"/>
        <w:rPr>
          <w:rFonts w:cs="Times New Roman"/>
          <w:color w:val="0000FF"/>
        </w:rPr>
        <w:sectPr>
          <w:pgSz w:w="11905" w:h="16838"/>
          <w:pgMar w:top="1417" w:right="1417" w:bottom="1417" w:left="1417" w:header="850" w:footer="850" w:gutter="0"/>
          <w:pgNumType w:fmt="decimal"/>
          <w:cols w:space="0" w:num="1"/>
          <w:rtlGutter w:val="0"/>
          <w:docGrid w:linePitch="326" w:charSpace="0"/>
        </w:sectPr>
      </w:pPr>
    </w:p>
    <w:p w14:paraId="28AAAC77">
      <w:pPr>
        <w:ind w:firstLine="480"/>
        <w:rPr>
          <w:rFonts w:cs="Times New Roman"/>
          <w:color w:val="0000FF"/>
        </w:rPr>
      </w:pPr>
      <w:r>
        <w:rPr>
          <w:rFonts w:cs="Times New Roman"/>
          <w:color w:val="0000FF"/>
        </w:rPr>
        <w:t>根据施工组织安排，本工程共布置施工生活区</w:t>
      </w:r>
      <w:r>
        <w:rPr>
          <w:rFonts w:hint="eastAsia" w:cs="Times New Roman"/>
          <w:color w:val="0000FF"/>
        </w:rPr>
        <w:t>30</w:t>
      </w:r>
      <w:r>
        <w:rPr>
          <w:rFonts w:cs="Times New Roman"/>
          <w:color w:val="0000FF"/>
        </w:rPr>
        <w:t>处，各工区分别布置相应的生活设施，其中淠河总干渠上段工程、淠河总干渠樊通桥渠下涵工程、淠河总干渠下段切岭段整治工程、潜南干渠聚星渡槽工程、滁河干渠总局直管段续建配套与现代化改造工程、滁河干渠瞿岗等6座渠下涵拆除重建工程等施工生活区租用工程沿线的居民房屋。总体来说，本工程施工布置区相对分散，单个施工布置区产生的生活污水量不大，但若不妥善处理，直接排放可能对排入区域环境产生短期的不利影响。</w:t>
      </w:r>
    </w:p>
    <w:p w14:paraId="7EA9BD3F">
      <w:pPr>
        <w:pStyle w:val="6"/>
        <w:ind w:firstLine="482"/>
        <w:rPr>
          <w:color w:val="0000FF"/>
        </w:rPr>
      </w:pPr>
      <w:r>
        <w:rPr>
          <w:color w:val="0000FF"/>
        </w:rPr>
        <w:t>2、含油废水</w:t>
      </w:r>
    </w:p>
    <w:p w14:paraId="3B8155A3">
      <w:pPr>
        <w:autoSpaceDE w:val="0"/>
        <w:autoSpaceDN w:val="0"/>
        <w:ind w:firstLine="480"/>
        <w:rPr>
          <w:rFonts w:cs="Times New Roman"/>
          <w:color w:val="0000FF"/>
        </w:rPr>
      </w:pPr>
      <w:r>
        <w:rPr>
          <w:rFonts w:cs="Times New Roman"/>
          <w:color w:val="0000FF"/>
        </w:rPr>
        <w:t>施工中各类机械如检修、冲洗机械设备产生的含油废水的主要特点是悬浮物和石油类含量较高，含油废水中石油类平均浓度约为30</w:t>
      </w:r>
      <w:r>
        <w:rPr>
          <w:rFonts w:hint="eastAsia" w:cs="Times New Roman"/>
          <w:color w:val="0000FF"/>
        </w:rPr>
        <w:t>～</w:t>
      </w:r>
      <w:r>
        <w:rPr>
          <w:rFonts w:cs="Times New Roman"/>
          <w:color w:val="0000FF"/>
        </w:rPr>
        <w:t>50mg/L。在车辆机械清洗保养过程时，将产生一定量的含油废水，含油废水如不经处理直接集中排放，会对周围土壤和河渠造成污染，因此对于机械维修厂的废水需经油水分离器进行处理。本工程以油料为动力且需要冲洗维护的施工机械约985（辆），按每月冲洗3次，每台机械冲洗一次废水排放量0.5m</w:t>
      </w:r>
      <w:r>
        <w:rPr>
          <w:rFonts w:cs="Times New Roman"/>
          <w:color w:val="0000FF"/>
          <w:vertAlign w:val="superscript"/>
        </w:rPr>
        <w:t>3</w:t>
      </w:r>
      <w:r>
        <w:rPr>
          <w:rFonts w:cs="Times New Roman"/>
          <w:color w:val="0000FF"/>
        </w:rPr>
        <w:t>计，施工期安排24月，则工程含油废水产生量约为1477.5m</w:t>
      </w:r>
      <w:r>
        <w:rPr>
          <w:rFonts w:cs="Times New Roman"/>
          <w:color w:val="0000FF"/>
          <w:vertAlign w:val="superscript"/>
        </w:rPr>
        <w:t>3</w:t>
      </w:r>
      <w:r>
        <w:rPr>
          <w:rFonts w:cs="Times New Roman"/>
          <w:color w:val="0000FF"/>
        </w:rPr>
        <w:t>/月，24个施工月共产生35460m</w:t>
      </w:r>
      <w:r>
        <w:rPr>
          <w:rFonts w:cs="Times New Roman"/>
          <w:color w:val="0000FF"/>
          <w:vertAlign w:val="superscript"/>
        </w:rPr>
        <w:t>3</w:t>
      </w:r>
      <w:r>
        <w:rPr>
          <w:rFonts w:cs="Times New Roman"/>
          <w:color w:val="0000FF"/>
        </w:rPr>
        <w:t>含油废水，平均每个施工工区（共43个）每月产生34.4m</w:t>
      </w:r>
      <w:r>
        <w:rPr>
          <w:rFonts w:cs="Times New Roman"/>
          <w:color w:val="0000FF"/>
          <w:vertAlign w:val="superscript"/>
        </w:rPr>
        <w:t>3</w:t>
      </w:r>
      <w:r>
        <w:rPr>
          <w:rFonts w:cs="Times New Roman"/>
          <w:color w:val="0000FF"/>
        </w:rPr>
        <w:t>含油废水。</w:t>
      </w:r>
    </w:p>
    <w:p w14:paraId="6376E32D">
      <w:pPr>
        <w:autoSpaceDE w:val="0"/>
        <w:autoSpaceDN w:val="0"/>
        <w:ind w:firstLine="480"/>
        <w:rPr>
          <w:rFonts w:cs="Times New Roman"/>
          <w:color w:val="0000FF"/>
        </w:rPr>
      </w:pPr>
      <w:r>
        <w:rPr>
          <w:rFonts w:cs="Times New Roman"/>
          <w:color w:val="0000FF"/>
        </w:rPr>
        <w:t>根据施工组织设计，工程施工过程中施工机械主要以柴油和汽油为动力燃料。工程所需施工机械为常用机械，工程附近的城镇均具备修理条件，施工现场不考虑机械的大修，仅布置一般供零配件更换和维护机械修理。</w:t>
      </w:r>
    </w:p>
    <w:p w14:paraId="07946B56">
      <w:pPr>
        <w:pStyle w:val="6"/>
        <w:ind w:firstLine="482"/>
        <w:rPr>
          <w:color w:val="0000FF"/>
        </w:rPr>
      </w:pPr>
      <w:r>
        <w:rPr>
          <w:color w:val="0000FF"/>
        </w:rPr>
        <w:t>3、混凝土施工废水</w:t>
      </w:r>
    </w:p>
    <w:p w14:paraId="2E27957E">
      <w:pPr>
        <w:ind w:firstLine="480"/>
        <w:rPr>
          <w:rFonts w:cs="Times New Roman"/>
          <w:color w:val="0000FF"/>
        </w:rPr>
      </w:pPr>
      <w:r>
        <w:rPr>
          <w:rFonts w:cs="Times New Roman"/>
          <w:color w:val="0000FF"/>
        </w:rPr>
        <w:t>1）混凝土搅拌系统废水</w:t>
      </w:r>
    </w:p>
    <w:p w14:paraId="58149654">
      <w:pPr>
        <w:ind w:firstLine="480"/>
        <w:rPr>
          <w:rFonts w:cs="Times New Roman"/>
          <w:color w:val="0000FF"/>
        </w:rPr>
      </w:pPr>
      <w:r>
        <w:rPr>
          <w:rFonts w:cs="Times New Roman"/>
          <w:color w:val="0000FF"/>
        </w:rPr>
        <w:t>混凝土搅拌系统废水来源于商品混凝土临时搅拌机和地面冲洗废水，废水经处理后全部回用，不外排。混凝土搅拌系统冲洗废水中含有较高的悬浮物且含粉率较高，废水呈碱性，pH值为11～12，并含有较高的SS，浓度一般为2000mg/L，本工程各施工段共使用商品混凝土搅拌机共84台。根据类比，每台搅拌机每班冲一次，用水量为每台0.5m</w:t>
      </w:r>
      <w:r>
        <w:rPr>
          <w:rFonts w:cs="Times New Roman"/>
          <w:color w:val="0000FF"/>
          <w:vertAlign w:val="superscript"/>
        </w:rPr>
        <w:t>3</w:t>
      </w:r>
      <w:r>
        <w:rPr>
          <w:rFonts w:cs="Times New Roman"/>
          <w:color w:val="0000FF"/>
        </w:rPr>
        <w:t>/次，产污系数按0.9计算，废水产生量为37.8m</w:t>
      </w:r>
      <w:r>
        <w:rPr>
          <w:rFonts w:cs="Times New Roman"/>
          <w:color w:val="0000FF"/>
          <w:vertAlign w:val="superscript"/>
        </w:rPr>
        <w:t>3</w:t>
      </w:r>
      <w:r>
        <w:rPr>
          <w:rFonts w:cs="Times New Roman"/>
          <w:color w:val="0000FF"/>
        </w:rPr>
        <w:t>/d。根据经验数据类比，经中和沉淀处理后，SS浓度降至100mg/L以下，回用于施工场地洒水，不外排。</w:t>
      </w:r>
    </w:p>
    <w:p w14:paraId="22C091E8">
      <w:pPr>
        <w:ind w:firstLine="480"/>
        <w:rPr>
          <w:rFonts w:cs="Times New Roman"/>
          <w:color w:val="0000FF"/>
        </w:rPr>
      </w:pPr>
      <w:r>
        <w:rPr>
          <w:rFonts w:cs="Times New Roman"/>
          <w:color w:val="0000FF"/>
        </w:rPr>
        <w:t>2）混凝土养护废水</w:t>
      </w:r>
    </w:p>
    <w:p w14:paraId="38BACE2E">
      <w:pPr>
        <w:ind w:firstLine="480"/>
        <w:rPr>
          <w:rFonts w:cs="Times New Roman"/>
          <w:color w:val="0000FF"/>
        </w:rPr>
      </w:pPr>
      <w:r>
        <w:rPr>
          <w:rFonts w:cs="Times New Roman"/>
          <w:color w:val="0000FF"/>
        </w:rPr>
        <w:t>根据施工主体工程量，本工程共需混凝土总量39.84万m</w:t>
      </w:r>
      <w:r>
        <w:rPr>
          <w:rFonts w:cs="Times New Roman"/>
          <w:color w:val="0000FF"/>
          <w:vertAlign w:val="superscript"/>
        </w:rPr>
        <w:t>3</w:t>
      </w:r>
      <w:r>
        <w:rPr>
          <w:rFonts w:cs="Times New Roman"/>
          <w:color w:val="0000FF"/>
        </w:rPr>
        <w:t>，根据工程量类比相似工程等同类工程分析，平均养护1m</w:t>
      </w:r>
      <w:r>
        <w:rPr>
          <w:rFonts w:cs="Times New Roman"/>
          <w:color w:val="0000FF"/>
          <w:vertAlign w:val="superscript"/>
        </w:rPr>
        <w:t>3</w:t>
      </w:r>
      <w:r>
        <w:rPr>
          <w:rFonts w:cs="Times New Roman"/>
          <w:color w:val="0000FF"/>
        </w:rPr>
        <w:t>混凝土约产生0.32m</w:t>
      </w:r>
      <w:r>
        <w:rPr>
          <w:rFonts w:cs="Times New Roman"/>
          <w:color w:val="0000FF"/>
          <w:vertAlign w:val="superscript"/>
        </w:rPr>
        <w:t>3</w:t>
      </w:r>
      <w:r>
        <w:rPr>
          <w:rFonts w:cs="Times New Roman"/>
          <w:color w:val="0000FF"/>
        </w:rPr>
        <w:t>养护废水，工程施工过程中共产生碱性废水约12.75万m</w:t>
      </w:r>
      <w:r>
        <w:rPr>
          <w:rFonts w:cs="Times New Roman"/>
          <w:color w:val="0000FF"/>
          <w:vertAlign w:val="superscript"/>
        </w:rPr>
        <w:t>3</w:t>
      </w:r>
      <w:r>
        <w:rPr>
          <w:rFonts w:cs="Times New Roman"/>
          <w:color w:val="0000FF"/>
        </w:rPr>
        <w:t>。</w:t>
      </w:r>
    </w:p>
    <w:p w14:paraId="6FE2DF9E">
      <w:pPr>
        <w:ind w:firstLine="480"/>
        <w:rPr>
          <w:rFonts w:cs="Times New Roman"/>
          <w:color w:val="0000FF"/>
        </w:rPr>
      </w:pPr>
      <w:r>
        <w:rPr>
          <w:rFonts w:cs="Times New Roman"/>
          <w:color w:val="0000FF"/>
        </w:rPr>
        <w:t>混凝土养护过程中产生的废水pH值可达到9～10，如不采取处理措施而排入附近水域，会使局部水域pH值升高。本工程工期共24个月，混凝土施工按20个月考虑，月施工25天，则平均废水量255m</w:t>
      </w:r>
      <w:r>
        <w:rPr>
          <w:rFonts w:cs="Times New Roman"/>
          <w:color w:val="0000FF"/>
          <w:vertAlign w:val="superscript"/>
        </w:rPr>
        <w:t>3</w:t>
      </w:r>
      <w:r>
        <w:rPr>
          <w:rFonts w:cs="Times New Roman"/>
          <w:color w:val="0000FF"/>
        </w:rPr>
        <w:t>/d。这些废水分布在32个子工程，单个施工点的水量较小。</w:t>
      </w:r>
    </w:p>
    <w:p w14:paraId="0748FB68">
      <w:pPr>
        <w:ind w:firstLine="480"/>
        <w:rPr>
          <w:rFonts w:cs="Times New Roman"/>
          <w:color w:val="0000FF"/>
        </w:rPr>
      </w:pPr>
      <w:r>
        <w:rPr>
          <w:rFonts w:cs="Times New Roman"/>
          <w:color w:val="0000FF"/>
        </w:rPr>
        <w:t>混凝土养护废水进入基坑，经中和+三级沉淀后回用路面洒水，不对外排放。</w:t>
      </w:r>
    </w:p>
    <w:p w14:paraId="1FC810EE">
      <w:pPr>
        <w:pStyle w:val="6"/>
        <w:ind w:firstLine="482"/>
        <w:rPr>
          <w:color w:val="0000FF"/>
        </w:rPr>
      </w:pPr>
      <w:r>
        <w:rPr>
          <w:color w:val="0000FF"/>
        </w:rPr>
        <w:t>4、基坑排水</w:t>
      </w:r>
    </w:p>
    <w:p w14:paraId="752712A4">
      <w:pPr>
        <w:ind w:firstLine="480"/>
        <w:rPr>
          <w:rFonts w:cs="Times New Roman"/>
          <w:color w:val="0000FF"/>
        </w:rPr>
      </w:pPr>
      <w:r>
        <w:rPr>
          <w:rFonts w:cs="Times New Roman"/>
          <w:color w:val="0000FF"/>
        </w:rPr>
        <w:t>基坑排水分初期排水、经常性排水和围堰过水时的基坑排水。初期排水是排入围堰内的基坑存水；经常性排水是由降水、渗水等，可使基坑水的悬浮物和pH值增加。要求本工程产生的基坑废水经集水井沉淀后回用于车辆洒水等。根据渠道实际情况，工程施工均处在枯水期，基坑排水主要来自于降水。考虑</w:t>
      </w:r>
      <w:r>
        <w:rPr>
          <w:rFonts w:hint="eastAsia" w:cs="Times New Roman"/>
          <w:color w:val="0000FF"/>
          <w:lang w:eastAsia="zh-CN"/>
        </w:rPr>
        <w:t>朱集灌区</w:t>
      </w:r>
      <w:r>
        <w:rPr>
          <w:rFonts w:cs="Times New Roman"/>
          <w:color w:val="0000FF"/>
        </w:rPr>
        <w:t>多年平均降雨量为1010mm，此次工程渠道总长度432.29km，根据估算总产生雨水量约21614.5m</w:t>
      </w:r>
      <w:r>
        <w:rPr>
          <w:rFonts w:cs="Times New Roman"/>
          <w:color w:val="0000FF"/>
          <w:vertAlign w:val="superscript"/>
        </w:rPr>
        <w:t>3</w:t>
      </w:r>
      <w:r>
        <w:rPr>
          <w:rFonts w:cs="Times New Roman"/>
          <w:color w:val="0000FF"/>
        </w:rPr>
        <w:t>，日产生基坑废水约43.23m</w:t>
      </w:r>
      <w:r>
        <w:rPr>
          <w:rFonts w:cs="Times New Roman"/>
          <w:color w:val="0000FF"/>
          <w:vertAlign w:val="superscript"/>
        </w:rPr>
        <w:t>3</w:t>
      </w:r>
      <w:r>
        <w:rPr>
          <w:rFonts w:cs="Times New Roman"/>
          <w:color w:val="0000FF"/>
        </w:rPr>
        <w:t>/d。</w:t>
      </w:r>
    </w:p>
    <w:p w14:paraId="67605371">
      <w:pPr>
        <w:pStyle w:val="5"/>
        <w:rPr>
          <w:rFonts w:cs="Times New Roman"/>
          <w:color w:val="0000FF"/>
        </w:rPr>
      </w:pPr>
      <w:r>
        <w:rPr>
          <w:rFonts w:cs="Times New Roman"/>
          <w:color w:val="0000FF"/>
        </w:rPr>
        <w:t>3.2.3.2 大气污染源</w:t>
      </w:r>
    </w:p>
    <w:p w14:paraId="57AB3AA4">
      <w:pPr>
        <w:rPr>
          <w:rFonts w:cs="Times New Roman"/>
          <w:color w:val="0000FF"/>
        </w:rPr>
      </w:pPr>
      <w:r>
        <w:rPr>
          <w:rFonts w:cs="Times New Roman"/>
          <w:color w:val="0000FF"/>
        </w:rPr>
        <w:t>本工程对大气环境的影响主要发生施工期。施工期大气污染主要来自施工扬尘、运输车辆及机械产生的尾气、恶臭气体等。</w:t>
      </w:r>
    </w:p>
    <w:p w14:paraId="4750C2C2">
      <w:pPr>
        <w:pStyle w:val="6"/>
        <w:ind w:firstLine="482"/>
        <w:rPr>
          <w:color w:val="0000FF"/>
        </w:rPr>
      </w:pPr>
      <w:r>
        <w:rPr>
          <w:color w:val="0000FF"/>
        </w:rPr>
        <w:t>1、扬尘</w:t>
      </w:r>
    </w:p>
    <w:p w14:paraId="10BC8606">
      <w:pPr>
        <w:rPr>
          <w:rFonts w:cs="Times New Roman"/>
          <w:color w:val="0000FF"/>
        </w:rPr>
      </w:pPr>
      <w:r>
        <w:rPr>
          <w:rFonts w:cs="Times New Roman"/>
          <w:color w:val="0000FF"/>
        </w:rPr>
        <w:t>根据扬尘污染环节，扬尘的来源可分施工过程、装卸物料、桥梁道路和渠系建筑物拆除产生的扬尘、交通运输扬尘。</w:t>
      </w:r>
    </w:p>
    <w:p w14:paraId="667891B4">
      <w:pPr>
        <w:rPr>
          <w:rFonts w:cs="Times New Roman"/>
          <w:color w:val="0000FF"/>
        </w:rPr>
      </w:pPr>
      <w:r>
        <w:rPr>
          <w:rFonts w:cs="Times New Roman"/>
          <w:color w:val="0000FF"/>
        </w:rPr>
        <w:t>①施工扬尘：参考文献《施工扬尘污染监测与分析》（张涛等，2023.1.26），通过参与研究的150个施工工地监测数据进行分析，场界TSP排放浓度约为70μg/m</w:t>
      </w:r>
      <w:r>
        <w:rPr>
          <w:rFonts w:cs="Times New Roman"/>
          <w:color w:val="0000FF"/>
          <w:vertAlign w:val="superscript"/>
        </w:rPr>
        <w:t>3</w:t>
      </w:r>
      <w:r>
        <w:rPr>
          <w:rFonts w:cs="Times New Roman"/>
          <w:color w:val="0000FF"/>
        </w:rPr>
        <w:t>，低于无组织排放浓度限值1.0mg/m</w:t>
      </w:r>
      <w:r>
        <w:rPr>
          <w:rFonts w:cs="Times New Roman"/>
          <w:color w:val="0000FF"/>
          <w:vertAlign w:val="superscript"/>
        </w:rPr>
        <w:t>3</w:t>
      </w:r>
      <w:r>
        <w:rPr>
          <w:rFonts w:cs="Times New Roman"/>
          <w:color w:val="0000FF"/>
        </w:rPr>
        <w:t>，均达标排放。临时施工场地最大影响范围为100m，施工扬尘最大影响范围为200m。</w:t>
      </w:r>
    </w:p>
    <w:p w14:paraId="31433306">
      <w:pPr>
        <w:rPr>
          <w:rFonts w:cs="Times New Roman"/>
          <w:bCs/>
          <w:color w:val="0000FF"/>
        </w:rPr>
      </w:pPr>
      <w:r>
        <w:rPr>
          <w:rFonts w:cs="Times New Roman"/>
          <w:bCs/>
          <w:color w:val="0000FF"/>
        </w:rPr>
        <w:t>②交通运输扬尘污染源主要包括两部分，一是汽车行驶产生的扬尘，二是土方等多尘物质运输时，因防护不当导致物料失落和飘散。交通运输扬尘将导致进场道路两侧空气中含尘量的增加，对道路两侧区域环境空气质量产生一定影响。基于相关工程资料，施工过程中车辆行驶产生的扬尘约占施工总扬尘量的60%以上。一般情况车辆行驶产生的扬尘在同样路面清洁程度下，车速越快，扬尘量越大，而在同样车速下，路面越脏扬尘量越大。</w:t>
      </w:r>
    </w:p>
    <w:p w14:paraId="4D61F5DC">
      <w:pPr>
        <w:pStyle w:val="6"/>
        <w:ind w:firstLine="482"/>
        <w:rPr>
          <w:color w:val="0000FF"/>
        </w:rPr>
      </w:pPr>
      <w:r>
        <w:rPr>
          <w:color w:val="0000FF"/>
        </w:rPr>
        <w:t>2、燃油废气</w:t>
      </w:r>
    </w:p>
    <w:p w14:paraId="7C0A58BF">
      <w:pPr>
        <w:rPr>
          <w:rFonts w:cs="Times New Roman"/>
          <w:color w:val="0000FF"/>
        </w:rPr>
      </w:pPr>
      <w:r>
        <w:rPr>
          <w:rFonts w:cs="Times New Roman"/>
          <w:color w:val="0000FF"/>
        </w:rPr>
        <w:t>根据施工组织设计，本工程消耗柴油约6161t、汽油用量810t，根据《水电水利工程施工环境保护技术规程》（DL/T5260-2010），油料的大气污染物排放系数CO为29.35kg/t、NOx为48.261kg/t、SO</w:t>
      </w:r>
      <w:r>
        <w:rPr>
          <w:rFonts w:cs="Times New Roman"/>
          <w:color w:val="0000FF"/>
          <w:vertAlign w:val="subscript"/>
        </w:rPr>
        <w:t>2</w:t>
      </w:r>
      <w:r>
        <w:rPr>
          <w:rFonts w:cs="Times New Roman"/>
          <w:color w:val="0000FF"/>
        </w:rPr>
        <w:t>为3.522kg/t。合计污染物的产生量为：CO为204.6t、NOx为336.43t、SO</w:t>
      </w:r>
      <w:r>
        <w:rPr>
          <w:rFonts w:cs="Times New Roman"/>
          <w:color w:val="0000FF"/>
          <w:vertAlign w:val="subscript"/>
        </w:rPr>
        <w:t>2</w:t>
      </w:r>
      <w:r>
        <w:rPr>
          <w:rFonts w:cs="Times New Roman"/>
          <w:color w:val="0000FF"/>
        </w:rPr>
        <w:t>为24.55t。</w:t>
      </w:r>
    </w:p>
    <w:p w14:paraId="354ABE35">
      <w:pPr>
        <w:pStyle w:val="6"/>
        <w:ind w:firstLine="482"/>
        <w:rPr>
          <w:color w:val="0000FF"/>
        </w:rPr>
      </w:pPr>
      <w:r>
        <w:rPr>
          <w:color w:val="0000FF"/>
        </w:rPr>
        <w:t>3、恶臭气体</w:t>
      </w:r>
    </w:p>
    <w:p w14:paraId="2E464283">
      <w:pPr>
        <w:rPr>
          <w:rFonts w:cs="Times New Roman"/>
          <w:color w:val="0000FF"/>
        </w:rPr>
      </w:pPr>
      <w:r>
        <w:rPr>
          <w:rFonts w:cs="Times New Roman"/>
          <w:color w:val="0000FF"/>
        </w:rPr>
        <w:t>因渠道清淤、底泥晾晒过程中，渠道底泥厌氧分解会产生一些具有臭味的物质（如H</w:t>
      </w:r>
      <w:r>
        <w:rPr>
          <w:rFonts w:cs="Times New Roman"/>
          <w:color w:val="0000FF"/>
          <w:vertAlign w:val="subscript"/>
        </w:rPr>
        <w:t>2</w:t>
      </w:r>
      <w:r>
        <w:rPr>
          <w:rFonts w:cs="Times New Roman"/>
          <w:color w:val="0000FF"/>
        </w:rPr>
        <w:t>S、NH</w:t>
      </w:r>
      <w:r>
        <w:rPr>
          <w:rFonts w:cs="Times New Roman"/>
          <w:color w:val="0000FF"/>
          <w:vertAlign w:val="subscript"/>
        </w:rPr>
        <w:t>3</w:t>
      </w:r>
      <w:r>
        <w:rPr>
          <w:rFonts w:cs="Times New Roman"/>
          <w:color w:val="0000FF"/>
        </w:rPr>
        <w:t>等），这些具有臭味的物质会挥发进入大气，影响周围的环境空气质量。</w:t>
      </w:r>
    </w:p>
    <w:p w14:paraId="0EDBF82E">
      <w:pPr>
        <w:pStyle w:val="5"/>
        <w:rPr>
          <w:rFonts w:cs="Times New Roman"/>
          <w:color w:val="0000FF"/>
        </w:rPr>
      </w:pPr>
      <w:r>
        <w:rPr>
          <w:rFonts w:cs="Times New Roman"/>
          <w:color w:val="0000FF"/>
        </w:rPr>
        <w:t>3.2.3.3 噪声</w:t>
      </w:r>
    </w:p>
    <w:p w14:paraId="09454E7E">
      <w:pPr>
        <w:ind w:firstLine="480"/>
        <w:rPr>
          <w:rFonts w:cs="Times New Roman"/>
          <w:color w:val="0000FF"/>
        </w:rPr>
      </w:pPr>
      <w:r>
        <w:rPr>
          <w:rFonts w:cs="Times New Roman"/>
          <w:color w:val="0000FF"/>
        </w:rPr>
        <w:t>（1）施工机械噪声</w:t>
      </w:r>
    </w:p>
    <w:p w14:paraId="040B1204">
      <w:pPr>
        <w:ind w:firstLine="480"/>
        <w:rPr>
          <w:rFonts w:cs="Times New Roman"/>
          <w:color w:val="0000FF"/>
        </w:rPr>
      </w:pPr>
      <w:r>
        <w:rPr>
          <w:rFonts w:cs="Times New Roman"/>
          <w:color w:val="0000FF"/>
        </w:rPr>
        <w:t>工程对声环境的影响在施工期，主要噪声源有挖掘机、推土机等大型施工机械运行噪声，自卸汽车等运输车辆噪声。其中，挖掘机、推土机等具有声源强、声级大、连续性特点；运输车辆噪声来自车辆引擎声和喇叭声，具有源强大、流动性特点。根据施工设备选型情况，主要施工机械、车辆及加工设备噪声源强（取最大值），详见表3-2-</w:t>
      </w:r>
      <w:r>
        <w:rPr>
          <w:rFonts w:hint="eastAsia" w:cs="Times New Roman"/>
          <w:color w:val="0000FF"/>
        </w:rPr>
        <w:t>3</w:t>
      </w:r>
      <w:r>
        <w:rPr>
          <w:rFonts w:cs="Times New Roman"/>
          <w:color w:val="0000FF"/>
        </w:rPr>
        <w:t>。</w:t>
      </w:r>
    </w:p>
    <w:p w14:paraId="081CFADE">
      <w:pPr>
        <w:rPr>
          <w:color w:val="0000FF"/>
        </w:rPr>
      </w:pPr>
      <w:r>
        <w:rPr>
          <w:color w:val="0000FF"/>
        </w:rPr>
        <w:t>表3-2-</w:t>
      </w:r>
      <w:r>
        <w:rPr>
          <w:rFonts w:hint="eastAsia"/>
          <w:color w:val="0000FF"/>
        </w:rPr>
        <w:t>3</w:t>
      </w:r>
      <w:r>
        <w:rPr>
          <w:color w:val="0000FF"/>
        </w:rPr>
        <w:t xml:space="preserve">  施工期主要噪声源及其声级单位：dB（A）</w:t>
      </w:r>
    </w:p>
    <w:tbl>
      <w:tblPr>
        <w:tblStyle w:val="16"/>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15" w:type="dxa"/>
          <w:bottom w:w="0" w:type="dxa"/>
          <w:right w:w="115" w:type="dxa"/>
        </w:tblCellMar>
      </w:tblPr>
      <w:tblGrid>
        <w:gridCol w:w="2527"/>
        <w:gridCol w:w="2692"/>
        <w:gridCol w:w="4082"/>
      </w:tblGrid>
      <w:tr w14:paraId="17D0BA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 w:hRule="atLeast"/>
          <w:jc w:val="center"/>
        </w:trPr>
        <w:tc>
          <w:tcPr>
            <w:tcW w:w="1358" w:type="pct"/>
            <w:vAlign w:val="center"/>
          </w:tcPr>
          <w:p w14:paraId="7267384F">
            <w:pPr>
              <w:pStyle w:val="28"/>
              <w:bidi w:val="0"/>
            </w:pPr>
            <w:r>
              <w:t>机械设备名称</w:t>
            </w:r>
          </w:p>
        </w:tc>
        <w:tc>
          <w:tcPr>
            <w:tcW w:w="1447" w:type="pct"/>
            <w:vAlign w:val="center"/>
          </w:tcPr>
          <w:p w14:paraId="6F21D237">
            <w:pPr>
              <w:pStyle w:val="28"/>
              <w:bidi w:val="0"/>
            </w:pPr>
            <w:r>
              <w:t>机械使用量（台）</w:t>
            </w:r>
          </w:p>
        </w:tc>
        <w:tc>
          <w:tcPr>
            <w:tcW w:w="2194" w:type="pct"/>
            <w:vAlign w:val="center"/>
          </w:tcPr>
          <w:p w14:paraId="5B6D0112">
            <w:pPr>
              <w:pStyle w:val="28"/>
              <w:bidi w:val="0"/>
            </w:pPr>
            <w:r>
              <w:rPr>
                <w:rFonts w:hint="eastAsia"/>
              </w:rPr>
              <w:t>5m处声源源强</w:t>
            </w:r>
            <w:r>
              <w:t>（dB）</w:t>
            </w:r>
          </w:p>
        </w:tc>
      </w:tr>
      <w:tr w14:paraId="66F5D4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5D336F79">
            <w:pPr>
              <w:pStyle w:val="28"/>
              <w:bidi w:val="0"/>
            </w:pPr>
            <w:r>
              <w:t>推土机</w:t>
            </w:r>
          </w:p>
        </w:tc>
        <w:tc>
          <w:tcPr>
            <w:tcW w:w="1447" w:type="pct"/>
            <w:vAlign w:val="center"/>
          </w:tcPr>
          <w:p w14:paraId="0DF30B23">
            <w:pPr>
              <w:pStyle w:val="28"/>
              <w:bidi w:val="0"/>
            </w:pPr>
            <w:r>
              <w:t>189</w:t>
            </w:r>
          </w:p>
        </w:tc>
        <w:tc>
          <w:tcPr>
            <w:tcW w:w="2194" w:type="pct"/>
            <w:vAlign w:val="center"/>
          </w:tcPr>
          <w:p w14:paraId="44FA4CBC">
            <w:pPr>
              <w:pStyle w:val="28"/>
              <w:bidi w:val="0"/>
            </w:pPr>
            <w:r>
              <w:t>82</w:t>
            </w:r>
          </w:p>
        </w:tc>
      </w:tr>
      <w:tr w14:paraId="05643D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6235CDEE">
            <w:pPr>
              <w:pStyle w:val="28"/>
              <w:bidi w:val="0"/>
            </w:pPr>
            <w:r>
              <w:t>履带拖拉机</w:t>
            </w:r>
          </w:p>
        </w:tc>
        <w:tc>
          <w:tcPr>
            <w:tcW w:w="1447" w:type="pct"/>
            <w:vAlign w:val="center"/>
          </w:tcPr>
          <w:p w14:paraId="052897BC">
            <w:pPr>
              <w:pStyle w:val="28"/>
              <w:bidi w:val="0"/>
            </w:pPr>
            <w:r>
              <w:t>130</w:t>
            </w:r>
          </w:p>
        </w:tc>
        <w:tc>
          <w:tcPr>
            <w:tcW w:w="2194" w:type="pct"/>
            <w:vAlign w:val="center"/>
          </w:tcPr>
          <w:p w14:paraId="10EE075E">
            <w:pPr>
              <w:pStyle w:val="28"/>
              <w:bidi w:val="0"/>
            </w:pPr>
            <w:r>
              <w:t>80</w:t>
            </w:r>
          </w:p>
        </w:tc>
      </w:tr>
      <w:tr w14:paraId="49A1AD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3B653555">
            <w:pPr>
              <w:pStyle w:val="28"/>
              <w:bidi w:val="0"/>
            </w:pPr>
            <w:r>
              <w:t>反铲挖掘机</w:t>
            </w:r>
          </w:p>
        </w:tc>
        <w:tc>
          <w:tcPr>
            <w:tcW w:w="1447" w:type="pct"/>
            <w:vAlign w:val="center"/>
          </w:tcPr>
          <w:p w14:paraId="7B7884DA">
            <w:pPr>
              <w:pStyle w:val="28"/>
              <w:bidi w:val="0"/>
            </w:pPr>
            <w:r>
              <w:t>256</w:t>
            </w:r>
          </w:p>
        </w:tc>
        <w:tc>
          <w:tcPr>
            <w:tcW w:w="2194" w:type="pct"/>
            <w:vAlign w:val="center"/>
          </w:tcPr>
          <w:p w14:paraId="013F0E2B">
            <w:pPr>
              <w:pStyle w:val="28"/>
              <w:bidi w:val="0"/>
            </w:pPr>
            <w:r>
              <w:t>85</w:t>
            </w:r>
          </w:p>
        </w:tc>
      </w:tr>
      <w:tr w14:paraId="4C13A2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716DBBAF">
            <w:pPr>
              <w:pStyle w:val="28"/>
              <w:bidi w:val="0"/>
            </w:pPr>
            <w:r>
              <w:t>液压破碎镐</w:t>
            </w:r>
          </w:p>
        </w:tc>
        <w:tc>
          <w:tcPr>
            <w:tcW w:w="1447" w:type="pct"/>
            <w:vAlign w:val="center"/>
          </w:tcPr>
          <w:p w14:paraId="69F4BA04">
            <w:pPr>
              <w:pStyle w:val="28"/>
              <w:bidi w:val="0"/>
            </w:pPr>
            <w:r>
              <w:t>15</w:t>
            </w:r>
          </w:p>
        </w:tc>
        <w:tc>
          <w:tcPr>
            <w:tcW w:w="2194" w:type="pct"/>
            <w:vAlign w:val="center"/>
          </w:tcPr>
          <w:p w14:paraId="4DC789F3">
            <w:pPr>
              <w:pStyle w:val="28"/>
              <w:bidi w:val="0"/>
            </w:pPr>
            <w:r>
              <w:t>85</w:t>
            </w:r>
          </w:p>
        </w:tc>
      </w:tr>
      <w:tr w14:paraId="6B1A86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535E8BD5">
            <w:pPr>
              <w:pStyle w:val="28"/>
              <w:bidi w:val="0"/>
            </w:pPr>
            <w:r>
              <w:t>电动振捣器</w:t>
            </w:r>
          </w:p>
        </w:tc>
        <w:tc>
          <w:tcPr>
            <w:tcW w:w="1447" w:type="pct"/>
            <w:vAlign w:val="center"/>
          </w:tcPr>
          <w:p w14:paraId="276FE8D6">
            <w:pPr>
              <w:pStyle w:val="28"/>
              <w:bidi w:val="0"/>
            </w:pPr>
            <w:r>
              <w:t>35</w:t>
            </w:r>
          </w:p>
        </w:tc>
        <w:tc>
          <w:tcPr>
            <w:tcW w:w="2194" w:type="pct"/>
            <w:vAlign w:val="center"/>
          </w:tcPr>
          <w:p w14:paraId="6B0622E1">
            <w:pPr>
              <w:pStyle w:val="28"/>
              <w:bidi w:val="0"/>
            </w:pPr>
            <w:r>
              <w:t>85</w:t>
            </w:r>
          </w:p>
        </w:tc>
      </w:tr>
      <w:tr w14:paraId="65762A1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2913EC18">
            <w:pPr>
              <w:pStyle w:val="28"/>
              <w:bidi w:val="0"/>
            </w:pPr>
            <w:r>
              <w:t>自卸汽车</w:t>
            </w:r>
          </w:p>
        </w:tc>
        <w:tc>
          <w:tcPr>
            <w:tcW w:w="1447" w:type="pct"/>
            <w:vAlign w:val="center"/>
          </w:tcPr>
          <w:p w14:paraId="127F49B0">
            <w:pPr>
              <w:pStyle w:val="28"/>
              <w:bidi w:val="0"/>
            </w:pPr>
            <w:r>
              <w:t>572</w:t>
            </w:r>
          </w:p>
        </w:tc>
        <w:tc>
          <w:tcPr>
            <w:tcW w:w="2194" w:type="pct"/>
            <w:vAlign w:val="center"/>
          </w:tcPr>
          <w:p w14:paraId="05BD436D">
            <w:pPr>
              <w:pStyle w:val="28"/>
              <w:bidi w:val="0"/>
            </w:pPr>
            <w:r>
              <w:t>82</w:t>
            </w:r>
          </w:p>
        </w:tc>
      </w:tr>
      <w:tr w14:paraId="226B2A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2127D786">
            <w:pPr>
              <w:pStyle w:val="28"/>
              <w:bidi w:val="0"/>
            </w:pPr>
            <w:r>
              <w:t>载重汽车</w:t>
            </w:r>
          </w:p>
        </w:tc>
        <w:tc>
          <w:tcPr>
            <w:tcW w:w="1447" w:type="pct"/>
            <w:vAlign w:val="center"/>
          </w:tcPr>
          <w:p w14:paraId="2101D68D">
            <w:pPr>
              <w:pStyle w:val="28"/>
              <w:bidi w:val="0"/>
            </w:pPr>
            <w:r>
              <w:t>132</w:t>
            </w:r>
          </w:p>
        </w:tc>
        <w:tc>
          <w:tcPr>
            <w:tcW w:w="2194" w:type="pct"/>
            <w:vAlign w:val="center"/>
          </w:tcPr>
          <w:p w14:paraId="63F1B920">
            <w:pPr>
              <w:pStyle w:val="28"/>
              <w:bidi w:val="0"/>
            </w:pPr>
            <w:r>
              <w:t>80</w:t>
            </w:r>
          </w:p>
        </w:tc>
      </w:tr>
      <w:tr w14:paraId="395829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4CD75700">
            <w:pPr>
              <w:pStyle w:val="28"/>
              <w:bidi w:val="0"/>
            </w:pPr>
            <w:r>
              <w:t>压路机</w:t>
            </w:r>
          </w:p>
        </w:tc>
        <w:tc>
          <w:tcPr>
            <w:tcW w:w="1447" w:type="pct"/>
            <w:vAlign w:val="center"/>
          </w:tcPr>
          <w:p w14:paraId="51F56D8A">
            <w:pPr>
              <w:pStyle w:val="28"/>
              <w:bidi w:val="0"/>
            </w:pPr>
            <w:r>
              <w:t>241</w:t>
            </w:r>
          </w:p>
        </w:tc>
        <w:tc>
          <w:tcPr>
            <w:tcW w:w="2194" w:type="pct"/>
            <w:vAlign w:val="center"/>
          </w:tcPr>
          <w:p w14:paraId="73A17D1B">
            <w:pPr>
              <w:pStyle w:val="28"/>
              <w:bidi w:val="0"/>
            </w:pPr>
            <w:r>
              <w:t>80</w:t>
            </w:r>
          </w:p>
        </w:tc>
      </w:tr>
      <w:tr w14:paraId="40E6E91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7C95F178">
            <w:pPr>
              <w:pStyle w:val="28"/>
              <w:bidi w:val="0"/>
            </w:pPr>
            <w:r>
              <w:t>蛙夯机</w:t>
            </w:r>
          </w:p>
        </w:tc>
        <w:tc>
          <w:tcPr>
            <w:tcW w:w="1447" w:type="pct"/>
            <w:vAlign w:val="center"/>
          </w:tcPr>
          <w:p w14:paraId="68FAA4A1">
            <w:pPr>
              <w:pStyle w:val="28"/>
              <w:bidi w:val="0"/>
            </w:pPr>
            <w:r>
              <w:t>56</w:t>
            </w:r>
          </w:p>
        </w:tc>
        <w:tc>
          <w:tcPr>
            <w:tcW w:w="2194" w:type="pct"/>
            <w:vAlign w:val="center"/>
          </w:tcPr>
          <w:p w14:paraId="042F7E66">
            <w:pPr>
              <w:pStyle w:val="28"/>
              <w:bidi w:val="0"/>
            </w:pPr>
            <w:r>
              <w:t>85</w:t>
            </w:r>
          </w:p>
        </w:tc>
      </w:tr>
      <w:tr w14:paraId="18F222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0EEFE214">
            <w:pPr>
              <w:pStyle w:val="28"/>
              <w:bidi w:val="0"/>
            </w:pPr>
            <w:r>
              <w:t>混凝土搅拌设备（搅拌车等）</w:t>
            </w:r>
          </w:p>
        </w:tc>
        <w:tc>
          <w:tcPr>
            <w:tcW w:w="1447" w:type="pct"/>
            <w:vAlign w:val="center"/>
          </w:tcPr>
          <w:p w14:paraId="6D148ABB">
            <w:pPr>
              <w:pStyle w:val="28"/>
              <w:bidi w:val="0"/>
            </w:pPr>
            <w:r>
              <w:t>84</w:t>
            </w:r>
          </w:p>
        </w:tc>
        <w:tc>
          <w:tcPr>
            <w:tcW w:w="2194" w:type="pct"/>
            <w:vAlign w:val="center"/>
          </w:tcPr>
          <w:p w14:paraId="18FC78BC">
            <w:pPr>
              <w:pStyle w:val="28"/>
              <w:bidi w:val="0"/>
            </w:pPr>
            <w:r>
              <w:t>85</w:t>
            </w:r>
          </w:p>
        </w:tc>
      </w:tr>
      <w:tr w14:paraId="39E292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376C09FE">
            <w:pPr>
              <w:pStyle w:val="28"/>
              <w:bidi w:val="0"/>
            </w:pPr>
            <w:r>
              <w:t>混凝土输送泵</w:t>
            </w:r>
          </w:p>
        </w:tc>
        <w:tc>
          <w:tcPr>
            <w:tcW w:w="1447" w:type="pct"/>
            <w:vAlign w:val="center"/>
          </w:tcPr>
          <w:p w14:paraId="1CD14595">
            <w:pPr>
              <w:pStyle w:val="28"/>
              <w:bidi w:val="0"/>
            </w:pPr>
            <w:r>
              <w:t>53</w:t>
            </w:r>
          </w:p>
        </w:tc>
        <w:tc>
          <w:tcPr>
            <w:tcW w:w="2194" w:type="pct"/>
            <w:vAlign w:val="center"/>
          </w:tcPr>
          <w:p w14:paraId="029097A7">
            <w:pPr>
              <w:pStyle w:val="28"/>
              <w:bidi w:val="0"/>
            </w:pPr>
            <w:r>
              <w:t>87</w:t>
            </w:r>
          </w:p>
        </w:tc>
      </w:tr>
      <w:tr w14:paraId="66E91C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2990ACA8">
            <w:pPr>
              <w:pStyle w:val="28"/>
              <w:bidi w:val="0"/>
            </w:pPr>
            <w:r>
              <w:t>机动翻斗车</w:t>
            </w:r>
          </w:p>
        </w:tc>
        <w:tc>
          <w:tcPr>
            <w:tcW w:w="1447" w:type="pct"/>
            <w:vAlign w:val="center"/>
          </w:tcPr>
          <w:p w14:paraId="621AA546">
            <w:pPr>
              <w:pStyle w:val="28"/>
              <w:bidi w:val="0"/>
            </w:pPr>
            <w:r>
              <w:t>270</w:t>
            </w:r>
          </w:p>
        </w:tc>
        <w:tc>
          <w:tcPr>
            <w:tcW w:w="2194" w:type="pct"/>
            <w:vAlign w:val="center"/>
          </w:tcPr>
          <w:p w14:paraId="45D247B8">
            <w:pPr>
              <w:pStyle w:val="28"/>
              <w:bidi w:val="0"/>
            </w:pPr>
            <w:r>
              <w:t>85</w:t>
            </w:r>
          </w:p>
        </w:tc>
      </w:tr>
      <w:tr w14:paraId="652AC6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77539069">
            <w:pPr>
              <w:pStyle w:val="28"/>
              <w:bidi w:val="0"/>
            </w:pPr>
            <w:r>
              <w:t>铲车</w:t>
            </w:r>
          </w:p>
        </w:tc>
        <w:tc>
          <w:tcPr>
            <w:tcW w:w="1447" w:type="pct"/>
            <w:vAlign w:val="center"/>
          </w:tcPr>
          <w:p w14:paraId="24108EE8">
            <w:pPr>
              <w:pStyle w:val="28"/>
              <w:bidi w:val="0"/>
            </w:pPr>
            <w:r>
              <w:t>30</w:t>
            </w:r>
          </w:p>
        </w:tc>
        <w:tc>
          <w:tcPr>
            <w:tcW w:w="2194" w:type="pct"/>
            <w:vAlign w:val="center"/>
          </w:tcPr>
          <w:p w14:paraId="560A669E">
            <w:pPr>
              <w:pStyle w:val="28"/>
              <w:bidi w:val="0"/>
            </w:pPr>
            <w:r>
              <w:t>85</w:t>
            </w:r>
          </w:p>
        </w:tc>
      </w:tr>
      <w:tr w14:paraId="60A211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5D8E656A">
            <w:pPr>
              <w:pStyle w:val="28"/>
              <w:bidi w:val="0"/>
            </w:pPr>
            <w:r>
              <w:t>起重机</w:t>
            </w:r>
          </w:p>
        </w:tc>
        <w:tc>
          <w:tcPr>
            <w:tcW w:w="1447" w:type="pct"/>
            <w:vAlign w:val="center"/>
          </w:tcPr>
          <w:p w14:paraId="46180601">
            <w:pPr>
              <w:pStyle w:val="28"/>
              <w:bidi w:val="0"/>
            </w:pPr>
            <w:r>
              <w:t>51</w:t>
            </w:r>
          </w:p>
        </w:tc>
        <w:tc>
          <w:tcPr>
            <w:tcW w:w="2194" w:type="pct"/>
            <w:vAlign w:val="center"/>
          </w:tcPr>
          <w:p w14:paraId="63040028">
            <w:pPr>
              <w:pStyle w:val="28"/>
              <w:bidi w:val="0"/>
            </w:pPr>
            <w:r>
              <w:t>85</w:t>
            </w:r>
          </w:p>
        </w:tc>
      </w:tr>
      <w:tr w14:paraId="2A387A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656F1251">
            <w:pPr>
              <w:pStyle w:val="28"/>
              <w:bidi w:val="0"/>
            </w:pPr>
            <w:r>
              <w:t>柴油发电机组</w:t>
            </w:r>
          </w:p>
        </w:tc>
        <w:tc>
          <w:tcPr>
            <w:tcW w:w="1447" w:type="pct"/>
            <w:vAlign w:val="center"/>
          </w:tcPr>
          <w:p w14:paraId="4F7EF4A9">
            <w:pPr>
              <w:pStyle w:val="28"/>
              <w:bidi w:val="0"/>
            </w:pPr>
            <w:r>
              <w:t>66</w:t>
            </w:r>
          </w:p>
        </w:tc>
        <w:tc>
          <w:tcPr>
            <w:tcW w:w="2194" w:type="pct"/>
            <w:vAlign w:val="center"/>
          </w:tcPr>
          <w:p w14:paraId="7863165D">
            <w:pPr>
              <w:pStyle w:val="28"/>
              <w:bidi w:val="0"/>
            </w:pPr>
            <w:r>
              <w:t>80</w:t>
            </w:r>
          </w:p>
        </w:tc>
      </w:tr>
      <w:tr w14:paraId="089A6C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213EC001">
            <w:pPr>
              <w:pStyle w:val="28"/>
              <w:bidi w:val="0"/>
            </w:pPr>
            <w:r>
              <w:t>钢木加工设备</w:t>
            </w:r>
          </w:p>
        </w:tc>
        <w:tc>
          <w:tcPr>
            <w:tcW w:w="1447" w:type="pct"/>
            <w:vAlign w:val="center"/>
          </w:tcPr>
          <w:p w14:paraId="340807DA">
            <w:pPr>
              <w:pStyle w:val="28"/>
              <w:bidi w:val="0"/>
            </w:pPr>
            <w:r>
              <w:t>48</w:t>
            </w:r>
          </w:p>
        </w:tc>
        <w:tc>
          <w:tcPr>
            <w:tcW w:w="2194" w:type="pct"/>
            <w:vAlign w:val="center"/>
          </w:tcPr>
          <w:p w14:paraId="7989C755">
            <w:pPr>
              <w:pStyle w:val="28"/>
              <w:bidi w:val="0"/>
            </w:pPr>
            <w:r>
              <w:t>90</w:t>
            </w:r>
          </w:p>
        </w:tc>
      </w:tr>
      <w:tr w14:paraId="302AD2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trHeight w:val="340" w:hRule="atLeast"/>
          <w:jc w:val="center"/>
        </w:trPr>
        <w:tc>
          <w:tcPr>
            <w:tcW w:w="1358" w:type="pct"/>
            <w:vAlign w:val="center"/>
          </w:tcPr>
          <w:p w14:paraId="4E88C249">
            <w:pPr>
              <w:pStyle w:val="28"/>
              <w:bidi w:val="0"/>
            </w:pPr>
            <w:r>
              <w:t>铲运机</w:t>
            </w:r>
          </w:p>
        </w:tc>
        <w:tc>
          <w:tcPr>
            <w:tcW w:w="1447" w:type="pct"/>
            <w:vAlign w:val="center"/>
          </w:tcPr>
          <w:p w14:paraId="3BE4A20F">
            <w:pPr>
              <w:pStyle w:val="28"/>
              <w:bidi w:val="0"/>
            </w:pPr>
            <w:r>
              <w:t>3</w:t>
            </w:r>
          </w:p>
        </w:tc>
        <w:tc>
          <w:tcPr>
            <w:tcW w:w="2194" w:type="pct"/>
            <w:vAlign w:val="center"/>
          </w:tcPr>
          <w:p w14:paraId="183B5A4E">
            <w:pPr>
              <w:pStyle w:val="28"/>
              <w:bidi w:val="0"/>
            </w:pPr>
            <w:r>
              <w:t>80</w:t>
            </w:r>
          </w:p>
        </w:tc>
      </w:tr>
    </w:tbl>
    <w:p w14:paraId="0048BE82">
      <w:pPr>
        <w:spacing w:line="240" w:lineRule="auto"/>
        <w:ind w:firstLine="480"/>
        <w:rPr>
          <w:rFonts w:cs="Times New Roman"/>
          <w:color w:val="0000FF"/>
        </w:rPr>
      </w:pPr>
    </w:p>
    <w:p w14:paraId="16683146">
      <w:pPr>
        <w:ind w:firstLine="480"/>
        <w:rPr>
          <w:rFonts w:cs="Times New Roman"/>
          <w:color w:val="0000FF"/>
        </w:rPr>
      </w:pPr>
      <w:r>
        <w:rPr>
          <w:rFonts w:cs="Times New Roman"/>
          <w:color w:val="0000FF"/>
        </w:rPr>
        <w:t>（2）交通噪声</w:t>
      </w:r>
    </w:p>
    <w:p w14:paraId="103BCED6">
      <w:pPr>
        <w:tabs>
          <w:tab w:val="left" w:pos="1080"/>
        </w:tabs>
        <w:ind w:firstLine="480"/>
        <w:rPr>
          <w:rFonts w:cs="Times New Roman"/>
          <w:color w:val="0000FF"/>
        </w:rPr>
      </w:pPr>
      <w:r>
        <w:rPr>
          <w:rFonts w:cs="Times New Roman"/>
          <w:color w:val="0000FF"/>
        </w:rPr>
        <w:t>工程区乡间公路网发达，交通便利，场外物资运输均利用周边现在的道路。场内交通主要为土方运输和弃土运输。</w:t>
      </w:r>
    </w:p>
    <w:p w14:paraId="63EBB1D9">
      <w:pPr>
        <w:tabs>
          <w:tab w:val="left" w:pos="1080"/>
        </w:tabs>
        <w:ind w:firstLine="480"/>
        <w:rPr>
          <w:rFonts w:cs="Times New Roman"/>
          <w:color w:val="0000FF"/>
        </w:rPr>
      </w:pPr>
      <w:r>
        <w:rPr>
          <w:rFonts w:cs="Times New Roman"/>
          <w:color w:val="0000FF"/>
        </w:rPr>
        <w:t>堤防加固的料场</w:t>
      </w:r>
      <w:r>
        <w:rPr>
          <w:rFonts w:hint="eastAsia" w:cs="Times New Roman"/>
          <w:color w:val="0000FF"/>
        </w:rPr>
        <w:t>均在</w:t>
      </w:r>
      <w:r>
        <w:rPr>
          <w:rFonts w:cs="Times New Roman"/>
          <w:color w:val="0000FF"/>
        </w:rPr>
        <w:t>工程附近，主要利用堤顶道路，并辅助新修道路连接土料场和堤顶的道路。每个施工区的场内临时道路长度一般不超过500m。</w:t>
      </w:r>
    </w:p>
    <w:p w14:paraId="2628B2C7">
      <w:pPr>
        <w:ind w:firstLine="480"/>
        <w:rPr>
          <w:color w:val="0000FF"/>
        </w:rPr>
      </w:pPr>
      <w:r>
        <w:rPr>
          <w:color w:val="0000FF"/>
        </w:rPr>
        <w:t>由于工程分散，单个施工区工程量小，运输车辆车速慢、流量很小、运输距离短，因此交通噪声按点源考虑。</w:t>
      </w:r>
    </w:p>
    <w:p w14:paraId="6935D25F">
      <w:pPr>
        <w:pStyle w:val="5"/>
        <w:rPr>
          <w:rFonts w:cs="Times New Roman"/>
          <w:color w:val="0000FF"/>
        </w:rPr>
      </w:pPr>
      <w:r>
        <w:rPr>
          <w:rFonts w:cs="Times New Roman"/>
          <w:color w:val="0000FF"/>
        </w:rPr>
        <w:t>3.2.3.4 固体废弃物</w:t>
      </w:r>
    </w:p>
    <w:p w14:paraId="7C6E0A93">
      <w:pPr>
        <w:ind w:firstLine="480"/>
        <w:rPr>
          <w:rFonts w:cs="Times New Roman"/>
          <w:color w:val="0000FF"/>
        </w:rPr>
      </w:pPr>
      <w:r>
        <w:rPr>
          <w:rFonts w:cs="Times New Roman"/>
          <w:color w:val="0000FF"/>
        </w:rPr>
        <w:t>本工程施工期固体废弃物主要是施工人员生活垃圾、弃土、混凝土养护废渣、建筑垃圾、废机油及包装容器和废涂料及包装容器。</w:t>
      </w:r>
    </w:p>
    <w:p w14:paraId="4B974806">
      <w:pPr>
        <w:ind w:firstLine="480"/>
        <w:rPr>
          <w:rFonts w:cs="Times New Roman"/>
          <w:color w:val="0000FF"/>
        </w:rPr>
      </w:pPr>
      <w:r>
        <w:rPr>
          <w:rFonts w:cs="Times New Roman"/>
          <w:color w:val="0000FF"/>
        </w:rPr>
        <w:t>（1）生活垃圾</w:t>
      </w:r>
    </w:p>
    <w:p w14:paraId="34BB7F97">
      <w:pPr>
        <w:ind w:firstLine="480"/>
        <w:rPr>
          <w:rFonts w:cs="Times New Roman"/>
          <w:color w:val="0000FF"/>
        </w:rPr>
      </w:pPr>
      <w:r>
        <w:rPr>
          <w:rFonts w:cs="Times New Roman"/>
          <w:color w:val="0000FF"/>
        </w:rPr>
        <w:t>根据工程施工组织设计，工程施工总工日共约113.28万个，根据进度安排，工程施工平均上工人数约为5059人，高峰期上工人数约为6623人。施工总工期为24个月，按人均每天产生0.8kg生活垃圾计算，工程施工期共产生生活垃圾906t，高峰期每天产生生活垃圾5.3t。项目共设置</w:t>
      </w:r>
      <w:r>
        <w:rPr>
          <w:rFonts w:hint="eastAsia" w:cs="Times New Roman"/>
          <w:color w:val="0000FF"/>
        </w:rPr>
        <w:t>30</w:t>
      </w:r>
      <w:r>
        <w:rPr>
          <w:rFonts w:cs="Times New Roman"/>
          <w:color w:val="0000FF"/>
        </w:rPr>
        <w:t>个施工生活区。</w:t>
      </w:r>
    </w:p>
    <w:p w14:paraId="0D6D3F00">
      <w:pPr>
        <w:rPr>
          <w:color w:val="0000FF"/>
        </w:rPr>
      </w:pPr>
      <w:r>
        <w:rPr>
          <w:color w:val="0000FF"/>
        </w:rPr>
        <w:t>表3-2-</w:t>
      </w:r>
      <w:r>
        <w:rPr>
          <w:rFonts w:hint="eastAsia"/>
          <w:color w:val="0000FF"/>
        </w:rPr>
        <w:t>4</w:t>
      </w:r>
      <w:r>
        <w:rPr>
          <w:color w:val="0000FF"/>
        </w:rPr>
        <w:t xml:space="preserve">  各子项目生活垃圾产生情况一览表</w:t>
      </w:r>
    </w:p>
    <w:tbl>
      <w:tblPr>
        <w:tblStyle w:val="16"/>
        <w:tblW w:w="4995" w:type="pct"/>
        <w:jc w:val="center"/>
        <w:tblLayout w:type="autofit"/>
        <w:tblCellMar>
          <w:top w:w="0" w:type="dxa"/>
          <w:left w:w="108" w:type="dxa"/>
          <w:bottom w:w="0" w:type="dxa"/>
          <w:right w:w="108" w:type="dxa"/>
        </w:tblCellMar>
      </w:tblPr>
      <w:tblGrid>
        <w:gridCol w:w="629"/>
        <w:gridCol w:w="3248"/>
        <w:gridCol w:w="927"/>
        <w:gridCol w:w="927"/>
        <w:gridCol w:w="927"/>
        <w:gridCol w:w="852"/>
        <w:gridCol w:w="838"/>
        <w:gridCol w:w="930"/>
      </w:tblGrid>
      <w:tr w14:paraId="10819E10">
        <w:tblPrEx>
          <w:tblCellMar>
            <w:top w:w="0" w:type="dxa"/>
            <w:left w:w="108" w:type="dxa"/>
            <w:bottom w:w="0" w:type="dxa"/>
            <w:right w:w="108" w:type="dxa"/>
          </w:tblCellMar>
        </w:tblPrEx>
        <w:trPr>
          <w:trHeight w:val="340" w:hRule="atLeast"/>
          <w:jc w:val="center"/>
        </w:trPr>
        <w:tc>
          <w:tcPr>
            <w:tcW w:w="339" w:type="pct"/>
            <w:vMerge w:val="restart"/>
            <w:tcBorders>
              <w:top w:val="single" w:color="000000" w:sz="4" w:space="0"/>
              <w:left w:val="single" w:color="000000" w:sz="4" w:space="0"/>
              <w:bottom w:val="single" w:color="000000" w:sz="4" w:space="0"/>
              <w:right w:val="single" w:color="000000" w:sz="4" w:space="0"/>
            </w:tcBorders>
            <w:vAlign w:val="center"/>
          </w:tcPr>
          <w:p w14:paraId="4B3F72F9">
            <w:pPr>
              <w:pStyle w:val="28"/>
              <w:bidi w:val="0"/>
            </w:pPr>
            <w:r>
              <w:t>序号</w:t>
            </w:r>
          </w:p>
        </w:tc>
        <w:tc>
          <w:tcPr>
            <w:tcW w:w="1749" w:type="pct"/>
            <w:vMerge w:val="restart"/>
            <w:tcBorders>
              <w:top w:val="single" w:color="000000" w:sz="4" w:space="0"/>
              <w:left w:val="single" w:color="000000" w:sz="4" w:space="0"/>
              <w:bottom w:val="single" w:color="000000" w:sz="4" w:space="0"/>
              <w:right w:val="single" w:color="000000" w:sz="4" w:space="0"/>
            </w:tcBorders>
            <w:vAlign w:val="center"/>
          </w:tcPr>
          <w:p w14:paraId="4443E3A1">
            <w:pPr>
              <w:pStyle w:val="28"/>
              <w:bidi w:val="0"/>
            </w:pPr>
            <w:r>
              <w:t>项目</w:t>
            </w:r>
          </w:p>
        </w:tc>
        <w:tc>
          <w:tcPr>
            <w:tcW w:w="499" w:type="pct"/>
            <w:tcBorders>
              <w:top w:val="single" w:color="000000" w:sz="4" w:space="0"/>
              <w:left w:val="single" w:color="000000" w:sz="4" w:space="0"/>
              <w:bottom w:val="single" w:color="000000" w:sz="4" w:space="0"/>
              <w:right w:val="single" w:color="000000" w:sz="4" w:space="0"/>
            </w:tcBorders>
            <w:vAlign w:val="center"/>
          </w:tcPr>
          <w:p w14:paraId="3A19A108">
            <w:pPr>
              <w:pStyle w:val="28"/>
              <w:bidi w:val="0"/>
            </w:pPr>
            <w:r>
              <w:t>施工营地</w:t>
            </w:r>
          </w:p>
        </w:tc>
        <w:tc>
          <w:tcPr>
            <w:tcW w:w="499" w:type="pct"/>
            <w:tcBorders>
              <w:top w:val="single" w:color="000000" w:sz="4" w:space="0"/>
              <w:left w:val="single" w:color="000000" w:sz="4" w:space="0"/>
              <w:bottom w:val="single" w:color="000000" w:sz="4" w:space="0"/>
              <w:right w:val="single" w:color="000000" w:sz="4" w:space="0"/>
            </w:tcBorders>
            <w:vAlign w:val="center"/>
          </w:tcPr>
          <w:p w14:paraId="1EEEED70">
            <w:pPr>
              <w:pStyle w:val="28"/>
              <w:bidi w:val="0"/>
            </w:pPr>
            <w:r>
              <w:t>平均上工人数</w:t>
            </w:r>
          </w:p>
        </w:tc>
        <w:tc>
          <w:tcPr>
            <w:tcW w:w="499" w:type="pct"/>
            <w:tcBorders>
              <w:top w:val="single" w:color="000000" w:sz="4" w:space="0"/>
              <w:left w:val="single" w:color="000000" w:sz="4" w:space="0"/>
              <w:bottom w:val="single" w:color="000000" w:sz="4" w:space="0"/>
              <w:right w:val="single" w:color="000000" w:sz="4" w:space="0"/>
            </w:tcBorders>
            <w:vAlign w:val="center"/>
          </w:tcPr>
          <w:p w14:paraId="6BB2980D">
            <w:pPr>
              <w:pStyle w:val="28"/>
              <w:bidi w:val="0"/>
            </w:pPr>
            <w:r>
              <w:t>施工高峰人数</w:t>
            </w:r>
          </w:p>
        </w:tc>
        <w:tc>
          <w:tcPr>
            <w:tcW w:w="459" w:type="pct"/>
            <w:tcBorders>
              <w:top w:val="single" w:color="000000" w:sz="4" w:space="0"/>
              <w:left w:val="single" w:color="000000" w:sz="4" w:space="0"/>
              <w:bottom w:val="single" w:color="000000" w:sz="4" w:space="0"/>
              <w:right w:val="single" w:color="000000" w:sz="4" w:space="0"/>
            </w:tcBorders>
            <w:vAlign w:val="center"/>
          </w:tcPr>
          <w:p w14:paraId="49F19249">
            <w:pPr>
              <w:pStyle w:val="28"/>
              <w:bidi w:val="0"/>
            </w:pPr>
            <w:r>
              <w:t>上工日</w:t>
            </w:r>
          </w:p>
        </w:tc>
        <w:tc>
          <w:tcPr>
            <w:tcW w:w="451" w:type="pct"/>
            <w:vMerge w:val="restart"/>
            <w:tcBorders>
              <w:top w:val="single" w:color="000000" w:sz="4" w:space="0"/>
              <w:left w:val="single" w:color="000000" w:sz="4" w:space="0"/>
              <w:bottom w:val="single" w:color="000000" w:sz="4" w:space="0"/>
              <w:right w:val="nil"/>
            </w:tcBorders>
            <w:vAlign w:val="center"/>
          </w:tcPr>
          <w:p w14:paraId="457F63E0">
            <w:pPr>
              <w:pStyle w:val="28"/>
              <w:bidi w:val="0"/>
            </w:pPr>
            <w:r>
              <w:t>排污系数kg/人</w:t>
            </w: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3EB47CAC">
            <w:pPr>
              <w:pStyle w:val="28"/>
              <w:bidi w:val="0"/>
            </w:pPr>
            <w:r>
              <w:t>产生量</w:t>
            </w:r>
          </w:p>
        </w:tc>
      </w:tr>
      <w:tr w14:paraId="38428DFB">
        <w:tblPrEx>
          <w:tblCellMar>
            <w:top w:w="0" w:type="dxa"/>
            <w:left w:w="108" w:type="dxa"/>
            <w:bottom w:w="0" w:type="dxa"/>
            <w:right w:w="108" w:type="dxa"/>
          </w:tblCellMar>
        </w:tblPrEx>
        <w:trPr>
          <w:trHeight w:val="340" w:hRule="atLeast"/>
          <w:jc w:val="center"/>
        </w:trPr>
        <w:tc>
          <w:tcPr>
            <w:tcW w:w="339" w:type="pct"/>
            <w:vMerge w:val="continue"/>
            <w:tcBorders>
              <w:top w:val="single" w:color="000000" w:sz="4" w:space="0"/>
              <w:left w:val="single" w:color="000000" w:sz="4" w:space="0"/>
              <w:bottom w:val="single" w:color="000000" w:sz="4" w:space="0"/>
              <w:right w:val="single" w:color="000000" w:sz="4" w:space="0"/>
            </w:tcBorders>
            <w:vAlign w:val="center"/>
          </w:tcPr>
          <w:p w14:paraId="74E0C858">
            <w:pPr>
              <w:pStyle w:val="28"/>
              <w:bidi w:val="0"/>
            </w:pPr>
          </w:p>
        </w:tc>
        <w:tc>
          <w:tcPr>
            <w:tcW w:w="1749" w:type="pct"/>
            <w:vMerge w:val="continue"/>
            <w:tcBorders>
              <w:top w:val="single" w:color="000000" w:sz="4" w:space="0"/>
              <w:left w:val="single" w:color="000000" w:sz="4" w:space="0"/>
              <w:bottom w:val="single" w:color="000000" w:sz="4" w:space="0"/>
              <w:right w:val="single" w:color="000000" w:sz="4" w:space="0"/>
            </w:tcBorders>
            <w:vAlign w:val="center"/>
          </w:tcPr>
          <w:p w14:paraId="205A717B">
            <w:pPr>
              <w:pStyle w:val="28"/>
              <w:bidi w:val="0"/>
            </w:pPr>
          </w:p>
        </w:tc>
        <w:tc>
          <w:tcPr>
            <w:tcW w:w="499" w:type="pct"/>
            <w:tcBorders>
              <w:top w:val="single" w:color="000000" w:sz="4" w:space="0"/>
              <w:left w:val="single" w:color="000000" w:sz="4" w:space="0"/>
              <w:bottom w:val="single" w:color="000000" w:sz="4" w:space="0"/>
              <w:right w:val="single" w:color="000000" w:sz="4" w:space="0"/>
            </w:tcBorders>
            <w:vAlign w:val="center"/>
          </w:tcPr>
          <w:p w14:paraId="08CAD32B">
            <w:pPr>
              <w:pStyle w:val="28"/>
              <w:bidi w:val="0"/>
            </w:pPr>
            <w:r>
              <w:t>（个）</w:t>
            </w:r>
          </w:p>
        </w:tc>
        <w:tc>
          <w:tcPr>
            <w:tcW w:w="499" w:type="pct"/>
            <w:tcBorders>
              <w:top w:val="single" w:color="000000" w:sz="4" w:space="0"/>
              <w:left w:val="single" w:color="000000" w:sz="4" w:space="0"/>
              <w:bottom w:val="single" w:color="000000" w:sz="4" w:space="0"/>
              <w:right w:val="single" w:color="000000" w:sz="4" w:space="0"/>
            </w:tcBorders>
            <w:vAlign w:val="center"/>
          </w:tcPr>
          <w:p w14:paraId="5A6F2D6D">
            <w:pPr>
              <w:pStyle w:val="28"/>
              <w:bidi w:val="0"/>
            </w:pPr>
            <w:r>
              <w:t>（人）</w:t>
            </w:r>
          </w:p>
        </w:tc>
        <w:tc>
          <w:tcPr>
            <w:tcW w:w="499" w:type="pct"/>
            <w:tcBorders>
              <w:top w:val="single" w:color="000000" w:sz="4" w:space="0"/>
              <w:left w:val="single" w:color="000000" w:sz="4" w:space="0"/>
              <w:bottom w:val="single" w:color="000000" w:sz="4" w:space="0"/>
              <w:right w:val="single" w:color="000000" w:sz="4" w:space="0"/>
            </w:tcBorders>
            <w:vAlign w:val="center"/>
          </w:tcPr>
          <w:p w14:paraId="576BE508">
            <w:pPr>
              <w:pStyle w:val="28"/>
              <w:bidi w:val="0"/>
            </w:pPr>
            <w:r>
              <w:t>（人）</w:t>
            </w:r>
          </w:p>
        </w:tc>
        <w:tc>
          <w:tcPr>
            <w:tcW w:w="459" w:type="pct"/>
            <w:tcBorders>
              <w:top w:val="single" w:color="000000" w:sz="4" w:space="0"/>
              <w:left w:val="single" w:color="000000" w:sz="4" w:space="0"/>
              <w:bottom w:val="single" w:color="000000" w:sz="4" w:space="0"/>
              <w:right w:val="single" w:color="000000" w:sz="4" w:space="0"/>
            </w:tcBorders>
            <w:vAlign w:val="center"/>
          </w:tcPr>
          <w:p w14:paraId="301710A9">
            <w:pPr>
              <w:pStyle w:val="28"/>
              <w:bidi w:val="0"/>
            </w:pPr>
            <w:r>
              <w:t>（万日）</w:t>
            </w:r>
          </w:p>
        </w:tc>
        <w:tc>
          <w:tcPr>
            <w:tcW w:w="451" w:type="pct"/>
            <w:vMerge w:val="continue"/>
            <w:tcBorders>
              <w:top w:val="single" w:color="000000" w:sz="4" w:space="0"/>
              <w:left w:val="single" w:color="000000" w:sz="4" w:space="0"/>
              <w:bottom w:val="single" w:color="000000" w:sz="4" w:space="0"/>
              <w:right w:val="nil"/>
            </w:tcBorders>
            <w:vAlign w:val="center"/>
          </w:tcPr>
          <w:p w14:paraId="70504178">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4CD74B00">
            <w:pPr>
              <w:pStyle w:val="28"/>
              <w:bidi w:val="0"/>
            </w:pPr>
            <w:r>
              <w:t>t/d</w:t>
            </w:r>
          </w:p>
        </w:tc>
      </w:tr>
      <w:tr w14:paraId="6CB89C07">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65EA236B">
            <w:pPr>
              <w:pStyle w:val="28"/>
              <w:bidi w:val="0"/>
            </w:pPr>
            <w:r>
              <w:t>1</w:t>
            </w:r>
          </w:p>
        </w:tc>
        <w:tc>
          <w:tcPr>
            <w:tcW w:w="1749" w:type="pct"/>
            <w:tcBorders>
              <w:top w:val="single" w:color="000000" w:sz="4" w:space="0"/>
              <w:left w:val="single" w:color="000000" w:sz="4" w:space="0"/>
              <w:bottom w:val="single" w:color="000000" w:sz="4" w:space="0"/>
              <w:right w:val="single" w:color="000000" w:sz="4" w:space="0"/>
            </w:tcBorders>
            <w:vAlign w:val="center"/>
          </w:tcPr>
          <w:p w14:paraId="26D01813">
            <w:pPr>
              <w:pStyle w:val="28"/>
              <w:bidi w:val="0"/>
            </w:pPr>
            <w:r>
              <w:rPr>
                <w:rFonts w:hint="eastAsia"/>
              </w:rPr>
              <w:t>淠河总干渠上段工程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5E32E85E">
            <w:pPr>
              <w:pStyle w:val="28"/>
              <w:bidi w:val="0"/>
            </w:pPr>
            <w:r>
              <w:t>0</w:t>
            </w:r>
          </w:p>
        </w:tc>
        <w:tc>
          <w:tcPr>
            <w:tcW w:w="499" w:type="pct"/>
            <w:tcBorders>
              <w:top w:val="single" w:color="000000" w:sz="4" w:space="0"/>
              <w:left w:val="single" w:color="000000" w:sz="4" w:space="0"/>
              <w:bottom w:val="single" w:color="000000" w:sz="4" w:space="0"/>
              <w:right w:val="single" w:color="000000" w:sz="4" w:space="0"/>
            </w:tcBorders>
            <w:vAlign w:val="center"/>
          </w:tcPr>
          <w:p w14:paraId="105F31A6">
            <w:pPr>
              <w:pStyle w:val="28"/>
              <w:bidi w:val="0"/>
            </w:pPr>
            <w:r>
              <w:t>172</w:t>
            </w:r>
          </w:p>
        </w:tc>
        <w:tc>
          <w:tcPr>
            <w:tcW w:w="499" w:type="pct"/>
            <w:tcBorders>
              <w:top w:val="single" w:color="000000" w:sz="4" w:space="0"/>
              <w:left w:val="single" w:color="000000" w:sz="4" w:space="0"/>
              <w:bottom w:val="single" w:color="000000" w:sz="4" w:space="0"/>
              <w:right w:val="single" w:color="000000" w:sz="4" w:space="0"/>
            </w:tcBorders>
            <w:vAlign w:val="center"/>
          </w:tcPr>
          <w:p w14:paraId="1F6E0414">
            <w:pPr>
              <w:pStyle w:val="28"/>
              <w:bidi w:val="0"/>
            </w:pPr>
            <w:r>
              <w:t>206</w:t>
            </w:r>
          </w:p>
        </w:tc>
        <w:tc>
          <w:tcPr>
            <w:tcW w:w="459" w:type="pct"/>
            <w:tcBorders>
              <w:top w:val="single" w:color="000000" w:sz="4" w:space="0"/>
              <w:left w:val="single" w:color="000000" w:sz="4" w:space="0"/>
              <w:bottom w:val="single" w:color="000000" w:sz="4" w:space="0"/>
              <w:right w:val="single" w:color="000000" w:sz="4" w:space="0"/>
            </w:tcBorders>
            <w:vAlign w:val="center"/>
          </w:tcPr>
          <w:p w14:paraId="3F3D5346">
            <w:pPr>
              <w:pStyle w:val="28"/>
              <w:bidi w:val="0"/>
            </w:pPr>
            <w:r>
              <w:t>8.22</w:t>
            </w:r>
          </w:p>
        </w:tc>
        <w:tc>
          <w:tcPr>
            <w:tcW w:w="451" w:type="pct"/>
            <w:vMerge w:val="restart"/>
            <w:tcBorders>
              <w:top w:val="single" w:color="000000" w:sz="4" w:space="0"/>
              <w:left w:val="single" w:color="000000" w:sz="4" w:space="0"/>
              <w:bottom w:val="single" w:color="000000" w:sz="4" w:space="0"/>
              <w:right w:val="nil"/>
            </w:tcBorders>
            <w:vAlign w:val="center"/>
          </w:tcPr>
          <w:p w14:paraId="686577A3">
            <w:pPr>
              <w:pStyle w:val="28"/>
              <w:bidi w:val="0"/>
            </w:pPr>
            <w:r>
              <w:t>0.8</w:t>
            </w: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51E8294F">
            <w:pPr>
              <w:pStyle w:val="28"/>
              <w:bidi w:val="0"/>
            </w:pPr>
            <w:r>
              <w:t>0.16</w:t>
            </w:r>
          </w:p>
        </w:tc>
      </w:tr>
      <w:tr w14:paraId="6374F7A3">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06421C02">
            <w:pPr>
              <w:pStyle w:val="28"/>
              <w:bidi w:val="0"/>
            </w:pPr>
            <w:r>
              <w:t>2</w:t>
            </w:r>
          </w:p>
        </w:tc>
        <w:tc>
          <w:tcPr>
            <w:tcW w:w="1749" w:type="pct"/>
            <w:tcBorders>
              <w:top w:val="single" w:color="000000" w:sz="4" w:space="0"/>
              <w:left w:val="single" w:color="000000" w:sz="4" w:space="0"/>
              <w:bottom w:val="single" w:color="000000" w:sz="4" w:space="0"/>
              <w:right w:val="single" w:color="000000" w:sz="4" w:space="0"/>
            </w:tcBorders>
            <w:vAlign w:val="center"/>
          </w:tcPr>
          <w:p w14:paraId="52367EB2">
            <w:pPr>
              <w:pStyle w:val="28"/>
              <w:bidi w:val="0"/>
            </w:pPr>
            <w:r>
              <w:rPr>
                <w:rFonts w:hint="eastAsia"/>
              </w:rPr>
              <w:t>樊通桥渠下涵工程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7D0B273E">
            <w:pPr>
              <w:pStyle w:val="28"/>
              <w:bidi w:val="0"/>
            </w:pPr>
            <w:r>
              <w:t>0</w:t>
            </w:r>
          </w:p>
        </w:tc>
        <w:tc>
          <w:tcPr>
            <w:tcW w:w="499" w:type="pct"/>
            <w:tcBorders>
              <w:top w:val="single" w:color="000000" w:sz="4" w:space="0"/>
              <w:left w:val="single" w:color="000000" w:sz="4" w:space="0"/>
              <w:bottom w:val="single" w:color="000000" w:sz="4" w:space="0"/>
              <w:right w:val="single" w:color="000000" w:sz="4" w:space="0"/>
            </w:tcBorders>
            <w:vAlign w:val="center"/>
          </w:tcPr>
          <w:p w14:paraId="51EE7F13">
            <w:pPr>
              <w:pStyle w:val="28"/>
              <w:bidi w:val="0"/>
            </w:pPr>
            <w:r>
              <w:t>27</w:t>
            </w:r>
          </w:p>
        </w:tc>
        <w:tc>
          <w:tcPr>
            <w:tcW w:w="499" w:type="pct"/>
            <w:tcBorders>
              <w:top w:val="single" w:color="000000" w:sz="4" w:space="0"/>
              <w:left w:val="single" w:color="000000" w:sz="4" w:space="0"/>
              <w:bottom w:val="single" w:color="000000" w:sz="4" w:space="0"/>
              <w:right w:val="single" w:color="000000" w:sz="4" w:space="0"/>
            </w:tcBorders>
            <w:vAlign w:val="center"/>
          </w:tcPr>
          <w:p w14:paraId="76794753">
            <w:pPr>
              <w:pStyle w:val="28"/>
              <w:bidi w:val="0"/>
            </w:pPr>
            <w:r>
              <w:t>35</w:t>
            </w:r>
          </w:p>
        </w:tc>
        <w:tc>
          <w:tcPr>
            <w:tcW w:w="459" w:type="pct"/>
            <w:tcBorders>
              <w:top w:val="single" w:color="000000" w:sz="4" w:space="0"/>
              <w:left w:val="single" w:color="000000" w:sz="4" w:space="0"/>
              <w:bottom w:val="single" w:color="000000" w:sz="4" w:space="0"/>
              <w:right w:val="single" w:color="000000" w:sz="4" w:space="0"/>
            </w:tcBorders>
            <w:vAlign w:val="center"/>
          </w:tcPr>
          <w:p w14:paraId="283DF698">
            <w:pPr>
              <w:pStyle w:val="28"/>
              <w:bidi w:val="0"/>
            </w:pPr>
            <w:r>
              <w:t>0.38</w:t>
            </w:r>
          </w:p>
        </w:tc>
        <w:tc>
          <w:tcPr>
            <w:tcW w:w="451" w:type="pct"/>
            <w:vMerge w:val="continue"/>
            <w:tcBorders>
              <w:top w:val="single" w:color="000000" w:sz="4" w:space="0"/>
              <w:left w:val="single" w:color="000000" w:sz="4" w:space="0"/>
              <w:bottom w:val="single" w:color="000000" w:sz="4" w:space="0"/>
              <w:right w:val="nil"/>
            </w:tcBorders>
            <w:vAlign w:val="center"/>
          </w:tcPr>
          <w:p w14:paraId="104BE8B9">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1336CCBF">
            <w:pPr>
              <w:pStyle w:val="28"/>
              <w:bidi w:val="0"/>
            </w:pPr>
            <w:r>
              <w:t>0.03</w:t>
            </w:r>
          </w:p>
        </w:tc>
      </w:tr>
      <w:tr w14:paraId="6E4982E5">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692422A2">
            <w:pPr>
              <w:pStyle w:val="28"/>
              <w:bidi w:val="0"/>
            </w:pPr>
            <w:r>
              <w:t>3</w:t>
            </w:r>
          </w:p>
        </w:tc>
        <w:tc>
          <w:tcPr>
            <w:tcW w:w="1749" w:type="pct"/>
            <w:tcBorders>
              <w:top w:val="single" w:color="000000" w:sz="4" w:space="0"/>
              <w:left w:val="single" w:color="000000" w:sz="4" w:space="0"/>
              <w:bottom w:val="single" w:color="000000" w:sz="4" w:space="0"/>
              <w:right w:val="single" w:color="000000" w:sz="4" w:space="0"/>
            </w:tcBorders>
            <w:vAlign w:val="center"/>
          </w:tcPr>
          <w:p w14:paraId="2288BD2C">
            <w:pPr>
              <w:pStyle w:val="28"/>
              <w:bidi w:val="0"/>
            </w:pPr>
            <w:r>
              <w:rPr>
                <w:rFonts w:hint="eastAsia"/>
              </w:rPr>
              <w:t>淠河总干渠下段工程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5934416B">
            <w:pPr>
              <w:pStyle w:val="28"/>
              <w:bidi w:val="0"/>
            </w:pPr>
            <w:r>
              <w:t>2</w:t>
            </w:r>
          </w:p>
        </w:tc>
        <w:tc>
          <w:tcPr>
            <w:tcW w:w="499" w:type="pct"/>
            <w:tcBorders>
              <w:top w:val="single" w:color="000000" w:sz="4" w:space="0"/>
              <w:left w:val="single" w:color="000000" w:sz="4" w:space="0"/>
              <w:bottom w:val="single" w:color="000000" w:sz="4" w:space="0"/>
              <w:right w:val="single" w:color="000000" w:sz="4" w:space="0"/>
            </w:tcBorders>
            <w:vAlign w:val="center"/>
          </w:tcPr>
          <w:p w14:paraId="38D38FB8">
            <w:pPr>
              <w:pStyle w:val="28"/>
              <w:bidi w:val="0"/>
            </w:pPr>
            <w:r>
              <w:t>57</w:t>
            </w:r>
          </w:p>
        </w:tc>
        <w:tc>
          <w:tcPr>
            <w:tcW w:w="499" w:type="pct"/>
            <w:tcBorders>
              <w:top w:val="single" w:color="000000" w:sz="4" w:space="0"/>
              <w:left w:val="single" w:color="000000" w:sz="4" w:space="0"/>
              <w:bottom w:val="single" w:color="000000" w:sz="4" w:space="0"/>
              <w:right w:val="single" w:color="000000" w:sz="4" w:space="0"/>
            </w:tcBorders>
            <w:vAlign w:val="center"/>
          </w:tcPr>
          <w:p w14:paraId="20FDF157">
            <w:pPr>
              <w:pStyle w:val="28"/>
              <w:bidi w:val="0"/>
            </w:pPr>
            <w:r>
              <w:t>68</w:t>
            </w:r>
          </w:p>
        </w:tc>
        <w:tc>
          <w:tcPr>
            <w:tcW w:w="459" w:type="pct"/>
            <w:tcBorders>
              <w:top w:val="single" w:color="000000" w:sz="4" w:space="0"/>
              <w:left w:val="single" w:color="000000" w:sz="4" w:space="0"/>
              <w:bottom w:val="single" w:color="000000" w:sz="4" w:space="0"/>
              <w:right w:val="single" w:color="000000" w:sz="4" w:space="0"/>
            </w:tcBorders>
            <w:vAlign w:val="center"/>
          </w:tcPr>
          <w:p w14:paraId="18441729">
            <w:pPr>
              <w:pStyle w:val="28"/>
              <w:bidi w:val="0"/>
            </w:pPr>
            <w:r>
              <w:t>1.88</w:t>
            </w:r>
          </w:p>
        </w:tc>
        <w:tc>
          <w:tcPr>
            <w:tcW w:w="451" w:type="pct"/>
            <w:vMerge w:val="continue"/>
            <w:tcBorders>
              <w:top w:val="single" w:color="000000" w:sz="4" w:space="0"/>
              <w:left w:val="single" w:color="000000" w:sz="4" w:space="0"/>
              <w:bottom w:val="single" w:color="000000" w:sz="4" w:space="0"/>
              <w:right w:val="nil"/>
            </w:tcBorders>
            <w:vAlign w:val="center"/>
          </w:tcPr>
          <w:p w14:paraId="21560D1E">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05B94F2B">
            <w:pPr>
              <w:pStyle w:val="28"/>
              <w:bidi w:val="0"/>
            </w:pPr>
            <w:r>
              <w:t>0.05</w:t>
            </w:r>
          </w:p>
        </w:tc>
      </w:tr>
      <w:tr w14:paraId="4079F35C">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008C03F6">
            <w:pPr>
              <w:pStyle w:val="28"/>
              <w:bidi w:val="0"/>
            </w:pPr>
            <w:r>
              <w:t>4</w:t>
            </w:r>
          </w:p>
        </w:tc>
        <w:tc>
          <w:tcPr>
            <w:tcW w:w="1749" w:type="pct"/>
            <w:tcBorders>
              <w:top w:val="single" w:color="000000" w:sz="4" w:space="0"/>
              <w:left w:val="single" w:color="000000" w:sz="4" w:space="0"/>
              <w:bottom w:val="single" w:color="000000" w:sz="4" w:space="0"/>
              <w:right w:val="single" w:color="000000" w:sz="4" w:space="0"/>
            </w:tcBorders>
            <w:vAlign w:val="center"/>
          </w:tcPr>
          <w:p w14:paraId="3B31BAB9">
            <w:pPr>
              <w:pStyle w:val="28"/>
              <w:bidi w:val="0"/>
            </w:pPr>
            <w:r>
              <w:rPr>
                <w:rFonts w:hint="eastAsia"/>
              </w:rPr>
              <w:t>聚星渡槽工程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1F23A042">
            <w:pPr>
              <w:pStyle w:val="28"/>
              <w:bidi w:val="0"/>
            </w:pPr>
            <w:r>
              <w:t>0</w:t>
            </w:r>
          </w:p>
        </w:tc>
        <w:tc>
          <w:tcPr>
            <w:tcW w:w="499" w:type="pct"/>
            <w:tcBorders>
              <w:top w:val="single" w:color="000000" w:sz="4" w:space="0"/>
              <w:left w:val="single" w:color="000000" w:sz="4" w:space="0"/>
              <w:bottom w:val="single" w:color="000000" w:sz="4" w:space="0"/>
              <w:right w:val="single" w:color="000000" w:sz="4" w:space="0"/>
            </w:tcBorders>
            <w:vAlign w:val="center"/>
          </w:tcPr>
          <w:p w14:paraId="42F7FC6F">
            <w:pPr>
              <w:pStyle w:val="28"/>
              <w:bidi w:val="0"/>
            </w:pPr>
            <w:r>
              <w:t>74</w:t>
            </w:r>
          </w:p>
        </w:tc>
        <w:tc>
          <w:tcPr>
            <w:tcW w:w="499" w:type="pct"/>
            <w:tcBorders>
              <w:top w:val="single" w:color="000000" w:sz="4" w:space="0"/>
              <w:left w:val="single" w:color="000000" w:sz="4" w:space="0"/>
              <w:bottom w:val="single" w:color="000000" w:sz="4" w:space="0"/>
              <w:right w:val="single" w:color="000000" w:sz="4" w:space="0"/>
            </w:tcBorders>
            <w:vAlign w:val="center"/>
          </w:tcPr>
          <w:p w14:paraId="30489A68">
            <w:pPr>
              <w:pStyle w:val="28"/>
              <w:bidi w:val="0"/>
            </w:pPr>
            <w:r>
              <w:t>96</w:t>
            </w:r>
          </w:p>
        </w:tc>
        <w:tc>
          <w:tcPr>
            <w:tcW w:w="459" w:type="pct"/>
            <w:tcBorders>
              <w:top w:val="single" w:color="000000" w:sz="4" w:space="0"/>
              <w:left w:val="single" w:color="000000" w:sz="4" w:space="0"/>
              <w:bottom w:val="single" w:color="000000" w:sz="4" w:space="0"/>
              <w:right w:val="single" w:color="000000" w:sz="4" w:space="0"/>
            </w:tcBorders>
            <w:vAlign w:val="center"/>
          </w:tcPr>
          <w:p w14:paraId="0D2AF461">
            <w:pPr>
              <w:pStyle w:val="28"/>
              <w:bidi w:val="0"/>
            </w:pPr>
          </w:p>
        </w:tc>
        <w:tc>
          <w:tcPr>
            <w:tcW w:w="451" w:type="pct"/>
            <w:vMerge w:val="continue"/>
            <w:tcBorders>
              <w:top w:val="single" w:color="000000" w:sz="4" w:space="0"/>
              <w:left w:val="single" w:color="000000" w:sz="4" w:space="0"/>
              <w:bottom w:val="single" w:color="000000" w:sz="4" w:space="0"/>
              <w:right w:val="nil"/>
            </w:tcBorders>
            <w:vAlign w:val="center"/>
          </w:tcPr>
          <w:p w14:paraId="49BF8072">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6DF64003">
            <w:pPr>
              <w:pStyle w:val="28"/>
              <w:bidi w:val="0"/>
            </w:pPr>
            <w:r>
              <w:t>0.08</w:t>
            </w:r>
          </w:p>
        </w:tc>
      </w:tr>
      <w:tr w14:paraId="4EA89076">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1571B479">
            <w:pPr>
              <w:pStyle w:val="28"/>
              <w:bidi w:val="0"/>
            </w:pPr>
            <w:r>
              <w:t>5</w:t>
            </w:r>
          </w:p>
        </w:tc>
        <w:tc>
          <w:tcPr>
            <w:tcW w:w="1749" w:type="pct"/>
            <w:tcBorders>
              <w:top w:val="single" w:color="000000" w:sz="4" w:space="0"/>
              <w:left w:val="single" w:color="000000" w:sz="4" w:space="0"/>
              <w:bottom w:val="single" w:color="000000" w:sz="4" w:space="0"/>
              <w:right w:val="single" w:color="000000" w:sz="4" w:space="0"/>
            </w:tcBorders>
            <w:vAlign w:val="center"/>
          </w:tcPr>
          <w:p w14:paraId="203BE183">
            <w:pPr>
              <w:pStyle w:val="28"/>
              <w:bidi w:val="0"/>
            </w:pPr>
            <w:r>
              <w:rPr>
                <w:rFonts w:hint="eastAsia"/>
              </w:rPr>
              <w:t>滁河干渠总局直管段工程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01492BEC">
            <w:pPr>
              <w:pStyle w:val="28"/>
              <w:bidi w:val="0"/>
            </w:pPr>
            <w:r>
              <w:t>1</w:t>
            </w:r>
          </w:p>
        </w:tc>
        <w:tc>
          <w:tcPr>
            <w:tcW w:w="499" w:type="pct"/>
            <w:tcBorders>
              <w:top w:val="single" w:color="000000" w:sz="4" w:space="0"/>
              <w:left w:val="single" w:color="000000" w:sz="4" w:space="0"/>
              <w:bottom w:val="single" w:color="000000" w:sz="4" w:space="0"/>
              <w:right w:val="single" w:color="000000" w:sz="4" w:space="0"/>
            </w:tcBorders>
            <w:vAlign w:val="center"/>
          </w:tcPr>
          <w:p w14:paraId="05E9D5D5">
            <w:pPr>
              <w:pStyle w:val="28"/>
              <w:bidi w:val="0"/>
            </w:pPr>
            <w:r>
              <w:t>62</w:t>
            </w:r>
          </w:p>
        </w:tc>
        <w:tc>
          <w:tcPr>
            <w:tcW w:w="499" w:type="pct"/>
            <w:tcBorders>
              <w:top w:val="single" w:color="000000" w:sz="4" w:space="0"/>
              <w:left w:val="single" w:color="000000" w:sz="4" w:space="0"/>
              <w:bottom w:val="single" w:color="000000" w:sz="4" w:space="0"/>
              <w:right w:val="single" w:color="000000" w:sz="4" w:space="0"/>
            </w:tcBorders>
            <w:vAlign w:val="center"/>
          </w:tcPr>
          <w:p w14:paraId="4F2C46C0">
            <w:pPr>
              <w:pStyle w:val="28"/>
              <w:bidi w:val="0"/>
            </w:pPr>
            <w:r>
              <w:t>76</w:t>
            </w:r>
          </w:p>
        </w:tc>
        <w:tc>
          <w:tcPr>
            <w:tcW w:w="459" w:type="pct"/>
            <w:tcBorders>
              <w:top w:val="single" w:color="000000" w:sz="4" w:space="0"/>
              <w:left w:val="single" w:color="000000" w:sz="4" w:space="0"/>
              <w:bottom w:val="single" w:color="000000" w:sz="4" w:space="0"/>
              <w:right w:val="single" w:color="000000" w:sz="4" w:space="0"/>
            </w:tcBorders>
            <w:vAlign w:val="center"/>
          </w:tcPr>
          <w:p w14:paraId="78089C64">
            <w:pPr>
              <w:pStyle w:val="28"/>
              <w:bidi w:val="0"/>
            </w:pPr>
            <w:r>
              <w:t>3.19</w:t>
            </w:r>
          </w:p>
        </w:tc>
        <w:tc>
          <w:tcPr>
            <w:tcW w:w="451" w:type="pct"/>
            <w:vMerge w:val="continue"/>
            <w:tcBorders>
              <w:top w:val="single" w:color="000000" w:sz="4" w:space="0"/>
              <w:left w:val="single" w:color="000000" w:sz="4" w:space="0"/>
              <w:bottom w:val="single" w:color="000000" w:sz="4" w:space="0"/>
              <w:right w:val="nil"/>
            </w:tcBorders>
            <w:vAlign w:val="center"/>
          </w:tcPr>
          <w:p w14:paraId="363620CB">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742EAF19">
            <w:pPr>
              <w:pStyle w:val="28"/>
              <w:bidi w:val="0"/>
            </w:pPr>
            <w:r>
              <w:t>0.06</w:t>
            </w:r>
          </w:p>
        </w:tc>
      </w:tr>
      <w:tr w14:paraId="0BF50C90">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612EC7B3">
            <w:pPr>
              <w:pStyle w:val="28"/>
              <w:bidi w:val="0"/>
            </w:pPr>
            <w:r>
              <w:t>6</w:t>
            </w:r>
          </w:p>
        </w:tc>
        <w:tc>
          <w:tcPr>
            <w:tcW w:w="1749" w:type="pct"/>
            <w:tcBorders>
              <w:top w:val="single" w:color="000000" w:sz="4" w:space="0"/>
              <w:left w:val="single" w:color="000000" w:sz="4" w:space="0"/>
              <w:bottom w:val="single" w:color="000000" w:sz="4" w:space="0"/>
              <w:right w:val="single" w:color="000000" w:sz="4" w:space="0"/>
            </w:tcBorders>
            <w:vAlign w:val="center"/>
          </w:tcPr>
          <w:p w14:paraId="3A8A7135">
            <w:pPr>
              <w:pStyle w:val="28"/>
              <w:bidi w:val="0"/>
            </w:pPr>
            <w:r>
              <w:rPr>
                <w:rFonts w:hint="eastAsia"/>
              </w:rPr>
              <w:t>滁河干渠</w:t>
            </w:r>
            <w:r>
              <w:t>6</w:t>
            </w:r>
            <w:r>
              <w:rPr>
                <w:rFonts w:hint="eastAsia"/>
              </w:rPr>
              <w:t>座渠下涵工程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392761CA">
            <w:pPr>
              <w:pStyle w:val="28"/>
              <w:bidi w:val="0"/>
            </w:pPr>
            <w:r>
              <w:t>1</w:t>
            </w:r>
          </w:p>
        </w:tc>
        <w:tc>
          <w:tcPr>
            <w:tcW w:w="499" w:type="pct"/>
            <w:tcBorders>
              <w:top w:val="single" w:color="000000" w:sz="4" w:space="0"/>
              <w:left w:val="single" w:color="000000" w:sz="4" w:space="0"/>
              <w:bottom w:val="single" w:color="000000" w:sz="4" w:space="0"/>
              <w:right w:val="single" w:color="000000" w:sz="4" w:space="0"/>
            </w:tcBorders>
            <w:vAlign w:val="center"/>
          </w:tcPr>
          <w:p w14:paraId="33D346BF">
            <w:pPr>
              <w:pStyle w:val="28"/>
              <w:bidi w:val="0"/>
            </w:pPr>
            <w:r>
              <w:t>85</w:t>
            </w:r>
          </w:p>
        </w:tc>
        <w:tc>
          <w:tcPr>
            <w:tcW w:w="499" w:type="pct"/>
            <w:tcBorders>
              <w:top w:val="single" w:color="000000" w:sz="4" w:space="0"/>
              <w:left w:val="single" w:color="000000" w:sz="4" w:space="0"/>
              <w:bottom w:val="single" w:color="000000" w:sz="4" w:space="0"/>
              <w:right w:val="single" w:color="000000" w:sz="4" w:space="0"/>
            </w:tcBorders>
            <w:vAlign w:val="center"/>
          </w:tcPr>
          <w:p w14:paraId="6B867C09">
            <w:pPr>
              <w:pStyle w:val="28"/>
              <w:bidi w:val="0"/>
            </w:pPr>
            <w:r>
              <w:t>185</w:t>
            </w:r>
          </w:p>
        </w:tc>
        <w:tc>
          <w:tcPr>
            <w:tcW w:w="459" w:type="pct"/>
            <w:tcBorders>
              <w:top w:val="single" w:color="000000" w:sz="4" w:space="0"/>
              <w:left w:val="single" w:color="000000" w:sz="4" w:space="0"/>
              <w:bottom w:val="single" w:color="000000" w:sz="4" w:space="0"/>
              <w:right w:val="single" w:color="000000" w:sz="4" w:space="0"/>
            </w:tcBorders>
            <w:vAlign w:val="center"/>
          </w:tcPr>
          <w:p w14:paraId="5DA65BC2">
            <w:pPr>
              <w:pStyle w:val="28"/>
              <w:bidi w:val="0"/>
            </w:pPr>
            <w:r>
              <w:t>2.07</w:t>
            </w:r>
          </w:p>
        </w:tc>
        <w:tc>
          <w:tcPr>
            <w:tcW w:w="451" w:type="pct"/>
            <w:vMerge w:val="continue"/>
            <w:tcBorders>
              <w:top w:val="single" w:color="000000" w:sz="4" w:space="0"/>
              <w:left w:val="single" w:color="000000" w:sz="4" w:space="0"/>
              <w:bottom w:val="single" w:color="000000" w:sz="4" w:space="0"/>
              <w:right w:val="nil"/>
            </w:tcBorders>
            <w:vAlign w:val="center"/>
          </w:tcPr>
          <w:p w14:paraId="61599DBE">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35324E96">
            <w:pPr>
              <w:pStyle w:val="28"/>
              <w:bidi w:val="0"/>
            </w:pPr>
            <w:r>
              <w:t>0.15</w:t>
            </w:r>
          </w:p>
        </w:tc>
      </w:tr>
      <w:tr w14:paraId="582752AC">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2A29A4E2">
            <w:pPr>
              <w:pStyle w:val="28"/>
              <w:bidi w:val="0"/>
            </w:pPr>
            <w:r>
              <w:t>7</w:t>
            </w:r>
          </w:p>
        </w:tc>
        <w:tc>
          <w:tcPr>
            <w:tcW w:w="1749" w:type="pct"/>
            <w:tcBorders>
              <w:top w:val="single" w:color="000000" w:sz="4" w:space="0"/>
              <w:left w:val="single" w:color="000000" w:sz="4" w:space="0"/>
              <w:bottom w:val="single" w:color="000000" w:sz="4" w:space="0"/>
              <w:right w:val="single" w:color="000000" w:sz="4" w:space="0"/>
            </w:tcBorders>
            <w:vAlign w:val="center"/>
          </w:tcPr>
          <w:p w14:paraId="5BAD5E89">
            <w:pPr>
              <w:pStyle w:val="28"/>
              <w:bidi w:val="0"/>
            </w:pPr>
            <w:r>
              <w:rPr>
                <w:rFonts w:hint="eastAsia"/>
              </w:rPr>
              <w:t>淠杭干渠工程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0E310B23">
            <w:pPr>
              <w:pStyle w:val="28"/>
              <w:bidi w:val="0"/>
            </w:pPr>
            <w:r>
              <w:t>2</w:t>
            </w:r>
          </w:p>
        </w:tc>
        <w:tc>
          <w:tcPr>
            <w:tcW w:w="499" w:type="pct"/>
            <w:tcBorders>
              <w:top w:val="single" w:color="000000" w:sz="4" w:space="0"/>
              <w:left w:val="single" w:color="000000" w:sz="4" w:space="0"/>
              <w:bottom w:val="single" w:color="000000" w:sz="4" w:space="0"/>
              <w:right w:val="single" w:color="000000" w:sz="4" w:space="0"/>
            </w:tcBorders>
            <w:vAlign w:val="center"/>
          </w:tcPr>
          <w:p w14:paraId="4E24BA28">
            <w:pPr>
              <w:pStyle w:val="28"/>
              <w:bidi w:val="0"/>
            </w:pPr>
            <w:r>
              <w:t>248</w:t>
            </w:r>
          </w:p>
        </w:tc>
        <w:tc>
          <w:tcPr>
            <w:tcW w:w="499" w:type="pct"/>
            <w:tcBorders>
              <w:top w:val="single" w:color="000000" w:sz="4" w:space="0"/>
              <w:left w:val="single" w:color="000000" w:sz="4" w:space="0"/>
              <w:bottom w:val="single" w:color="000000" w:sz="4" w:space="0"/>
              <w:right w:val="single" w:color="000000" w:sz="4" w:space="0"/>
            </w:tcBorders>
            <w:vAlign w:val="center"/>
          </w:tcPr>
          <w:p w14:paraId="40B88CEB">
            <w:pPr>
              <w:pStyle w:val="28"/>
              <w:bidi w:val="0"/>
            </w:pPr>
            <w:r>
              <w:t>322</w:t>
            </w:r>
          </w:p>
        </w:tc>
        <w:tc>
          <w:tcPr>
            <w:tcW w:w="459" w:type="pct"/>
            <w:tcBorders>
              <w:top w:val="single" w:color="000000" w:sz="4" w:space="0"/>
              <w:left w:val="single" w:color="000000" w:sz="4" w:space="0"/>
              <w:bottom w:val="single" w:color="000000" w:sz="4" w:space="0"/>
              <w:right w:val="single" w:color="000000" w:sz="4" w:space="0"/>
            </w:tcBorders>
            <w:vAlign w:val="center"/>
          </w:tcPr>
          <w:p w14:paraId="66685A92">
            <w:pPr>
              <w:pStyle w:val="28"/>
              <w:bidi w:val="0"/>
            </w:pPr>
            <w:r>
              <w:t>3.59</w:t>
            </w:r>
          </w:p>
        </w:tc>
        <w:tc>
          <w:tcPr>
            <w:tcW w:w="451" w:type="pct"/>
            <w:vMerge w:val="continue"/>
            <w:tcBorders>
              <w:top w:val="single" w:color="000000" w:sz="4" w:space="0"/>
              <w:left w:val="single" w:color="000000" w:sz="4" w:space="0"/>
              <w:bottom w:val="single" w:color="000000" w:sz="4" w:space="0"/>
              <w:right w:val="nil"/>
            </w:tcBorders>
            <w:vAlign w:val="center"/>
          </w:tcPr>
          <w:p w14:paraId="3E1B0E7E">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07C62FBE">
            <w:pPr>
              <w:pStyle w:val="28"/>
              <w:bidi w:val="0"/>
            </w:pPr>
            <w:r>
              <w:t>0.26</w:t>
            </w:r>
          </w:p>
        </w:tc>
      </w:tr>
      <w:tr w14:paraId="1F4E8B6A">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05C41122">
            <w:pPr>
              <w:pStyle w:val="28"/>
              <w:bidi w:val="0"/>
            </w:pPr>
            <w:r>
              <w:t>8</w:t>
            </w:r>
          </w:p>
        </w:tc>
        <w:tc>
          <w:tcPr>
            <w:tcW w:w="1749" w:type="pct"/>
            <w:tcBorders>
              <w:top w:val="single" w:color="000000" w:sz="4" w:space="0"/>
              <w:left w:val="single" w:color="000000" w:sz="4" w:space="0"/>
              <w:bottom w:val="single" w:color="000000" w:sz="4" w:space="0"/>
              <w:right w:val="single" w:color="000000" w:sz="4" w:space="0"/>
            </w:tcBorders>
            <w:vAlign w:val="center"/>
          </w:tcPr>
          <w:p w14:paraId="678C338C">
            <w:pPr>
              <w:pStyle w:val="28"/>
              <w:bidi w:val="0"/>
            </w:pPr>
            <w:r>
              <w:rPr>
                <w:rFonts w:hint="eastAsia"/>
              </w:rPr>
              <w:t>淠东干渠工程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1887517F">
            <w:pPr>
              <w:pStyle w:val="28"/>
              <w:bidi w:val="0"/>
            </w:pPr>
            <w:r>
              <w:t>2</w:t>
            </w:r>
          </w:p>
        </w:tc>
        <w:tc>
          <w:tcPr>
            <w:tcW w:w="499" w:type="pct"/>
            <w:tcBorders>
              <w:top w:val="single" w:color="000000" w:sz="4" w:space="0"/>
              <w:left w:val="single" w:color="000000" w:sz="4" w:space="0"/>
              <w:bottom w:val="single" w:color="000000" w:sz="4" w:space="0"/>
              <w:right w:val="single" w:color="000000" w:sz="4" w:space="0"/>
            </w:tcBorders>
            <w:vAlign w:val="center"/>
          </w:tcPr>
          <w:p w14:paraId="5E9AB00B">
            <w:pPr>
              <w:pStyle w:val="28"/>
              <w:bidi w:val="0"/>
            </w:pPr>
            <w:r>
              <w:t>216</w:t>
            </w:r>
          </w:p>
        </w:tc>
        <w:tc>
          <w:tcPr>
            <w:tcW w:w="499" w:type="pct"/>
            <w:tcBorders>
              <w:top w:val="single" w:color="000000" w:sz="4" w:space="0"/>
              <w:left w:val="single" w:color="000000" w:sz="4" w:space="0"/>
              <w:bottom w:val="single" w:color="000000" w:sz="4" w:space="0"/>
              <w:right w:val="single" w:color="000000" w:sz="4" w:space="0"/>
            </w:tcBorders>
            <w:vAlign w:val="center"/>
          </w:tcPr>
          <w:p w14:paraId="15BFA3E6">
            <w:pPr>
              <w:pStyle w:val="28"/>
              <w:bidi w:val="0"/>
            </w:pPr>
            <w:r>
              <w:t>285</w:t>
            </w:r>
          </w:p>
        </w:tc>
        <w:tc>
          <w:tcPr>
            <w:tcW w:w="459" w:type="pct"/>
            <w:tcBorders>
              <w:top w:val="single" w:color="000000" w:sz="4" w:space="0"/>
              <w:left w:val="single" w:color="000000" w:sz="4" w:space="0"/>
              <w:bottom w:val="single" w:color="000000" w:sz="4" w:space="0"/>
              <w:right w:val="single" w:color="000000" w:sz="4" w:space="0"/>
            </w:tcBorders>
            <w:vAlign w:val="center"/>
          </w:tcPr>
          <w:p w14:paraId="3691BCB8">
            <w:pPr>
              <w:pStyle w:val="28"/>
              <w:bidi w:val="0"/>
            </w:pPr>
            <w:r>
              <w:t>10.40</w:t>
            </w:r>
          </w:p>
        </w:tc>
        <w:tc>
          <w:tcPr>
            <w:tcW w:w="451" w:type="pct"/>
            <w:vMerge w:val="continue"/>
            <w:tcBorders>
              <w:top w:val="single" w:color="000000" w:sz="4" w:space="0"/>
              <w:left w:val="single" w:color="000000" w:sz="4" w:space="0"/>
              <w:bottom w:val="single" w:color="000000" w:sz="4" w:space="0"/>
              <w:right w:val="nil"/>
            </w:tcBorders>
            <w:vAlign w:val="center"/>
          </w:tcPr>
          <w:p w14:paraId="35631A9C">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52821F79">
            <w:pPr>
              <w:pStyle w:val="28"/>
              <w:bidi w:val="0"/>
            </w:pPr>
            <w:r>
              <w:t>0.23</w:t>
            </w:r>
          </w:p>
        </w:tc>
      </w:tr>
      <w:tr w14:paraId="01178E8E">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203DB22D">
            <w:pPr>
              <w:pStyle w:val="28"/>
              <w:bidi w:val="0"/>
            </w:pPr>
            <w:r>
              <w:t>9</w:t>
            </w:r>
          </w:p>
        </w:tc>
        <w:tc>
          <w:tcPr>
            <w:tcW w:w="1749" w:type="pct"/>
            <w:tcBorders>
              <w:top w:val="single" w:color="000000" w:sz="4" w:space="0"/>
              <w:left w:val="single" w:color="000000" w:sz="4" w:space="0"/>
              <w:bottom w:val="single" w:color="000000" w:sz="4" w:space="0"/>
              <w:right w:val="single" w:color="000000" w:sz="4" w:space="0"/>
            </w:tcBorders>
            <w:vAlign w:val="center"/>
          </w:tcPr>
          <w:p w14:paraId="145BED6E">
            <w:pPr>
              <w:pStyle w:val="28"/>
              <w:bidi w:val="0"/>
            </w:pPr>
            <w:r>
              <w:rPr>
                <w:rFonts w:hint="eastAsia"/>
              </w:rPr>
              <w:t>瓦西干渠工程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5B824376">
            <w:pPr>
              <w:pStyle w:val="28"/>
              <w:bidi w:val="0"/>
            </w:pPr>
            <w:r>
              <w:t>1</w:t>
            </w:r>
          </w:p>
        </w:tc>
        <w:tc>
          <w:tcPr>
            <w:tcW w:w="499" w:type="pct"/>
            <w:tcBorders>
              <w:top w:val="single" w:color="000000" w:sz="4" w:space="0"/>
              <w:left w:val="single" w:color="000000" w:sz="4" w:space="0"/>
              <w:bottom w:val="single" w:color="000000" w:sz="4" w:space="0"/>
              <w:right w:val="single" w:color="000000" w:sz="4" w:space="0"/>
            </w:tcBorders>
            <w:vAlign w:val="center"/>
          </w:tcPr>
          <w:p w14:paraId="2A554669">
            <w:pPr>
              <w:pStyle w:val="28"/>
              <w:bidi w:val="0"/>
            </w:pPr>
            <w:r>
              <w:t>403</w:t>
            </w:r>
          </w:p>
        </w:tc>
        <w:tc>
          <w:tcPr>
            <w:tcW w:w="499" w:type="pct"/>
            <w:tcBorders>
              <w:top w:val="single" w:color="000000" w:sz="4" w:space="0"/>
              <w:left w:val="single" w:color="000000" w:sz="4" w:space="0"/>
              <w:bottom w:val="single" w:color="000000" w:sz="4" w:space="0"/>
              <w:right w:val="single" w:color="000000" w:sz="4" w:space="0"/>
            </w:tcBorders>
            <w:vAlign w:val="center"/>
          </w:tcPr>
          <w:p w14:paraId="615410F2">
            <w:pPr>
              <w:pStyle w:val="28"/>
              <w:bidi w:val="0"/>
            </w:pPr>
            <w:r>
              <w:t>524</w:t>
            </w:r>
          </w:p>
        </w:tc>
        <w:tc>
          <w:tcPr>
            <w:tcW w:w="459" w:type="pct"/>
            <w:tcBorders>
              <w:top w:val="single" w:color="000000" w:sz="4" w:space="0"/>
              <w:left w:val="single" w:color="000000" w:sz="4" w:space="0"/>
              <w:bottom w:val="single" w:color="000000" w:sz="4" w:space="0"/>
              <w:right w:val="single" w:color="000000" w:sz="4" w:space="0"/>
            </w:tcBorders>
            <w:vAlign w:val="center"/>
          </w:tcPr>
          <w:p w14:paraId="16B8CC30">
            <w:pPr>
              <w:pStyle w:val="28"/>
              <w:bidi w:val="0"/>
            </w:pPr>
            <w:r>
              <w:t>6.39</w:t>
            </w:r>
          </w:p>
        </w:tc>
        <w:tc>
          <w:tcPr>
            <w:tcW w:w="451" w:type="pct"/>
            <w:vMerge w:val="continue"/>
            <w:tcBorders>
              <w:top w:val="single" w:color="000000" w:sz="4" w:space="0"/>
              <w:left w:val="single" w:color="000000" w:sz="4" w:space="0"/>
              <w:bottom w:val="single" w:color="000000" w:sz="4" w:space="0"/>
              <w:right w:val="nil"/>
            </w:tcBorders>
            <w:vAlign w:val="center"/>
          </w:tcPr>
          <w:p w14:paraId="52D37DA4">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5B85C765">
            <w:pPr>
              <w:pStyle w:val="28"/>
              <w:bidi w:val="0"/>
            </w:pPr>
            <w:r>
              <w:t>0.42</w:t>
            </w:r>
          </w:p>
        </w:tc>
      </w:tr>
      <w:tr w14:paraId="01634CBD">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55F2F2BF">
            <w:pPr>
              <w:pStyle w:val="28"/>
              <w:bidi w:val="0"/>
            </w:pPr>
            <w:r>
              <w:t>10</w:t>
            </w:r>
          </w:p>
        </w:tc>
        <w:tc>
          <w:tcPr>
            <w:tcW w:w="1749" w:type="pct"/>
            <w:tcBorders>
              <w:top w:val="single" w:color="000000" w:sz="4" w:space="0"/>
              <w:left w:val="single" w:color="000000" w:sz="4" w:space="0"/>
              <w:bottom w:val="single" w:color="000000" w:sz="4" w:space="0"/>
              <w:right w:val="single" w:color="000000" w:sz="4" w:space="0"/>
            </w:tcBorders>
            <w:vAlign w:val="center"/>
          </w:tcPr>
          <w:p w14:paraId="03F9726A">
            <w:pPr>
              <w:pStyle w:val="28"/>
              <w:bidi w:val="0"/>
            </w:pPr>
            <w:r>
              <w:rPr>
                <w:rFonts w:hint="eastAsia"/>
              </w:rPr>
              <w:t>堰口分干渠工程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601A4F6B">
            <w:pPr>
              <w:pStyle w:val="28"/>
              <w:bidi w:val="0"/>
            </w:pPr>
            <w:r>
              <w:t>1</w:t>
            </w:r>
          </w:p>
        </w:tc>
        <w:tc>
          <w:tcPr>
            <w:tcW w:w="499" w:type="pct"/>
            <w:tcBorders>
              <w:top w:val="single" w:color="000000" w:sz="4" w:space="0"/>
              <w:left w:val="single" w:color="000000" w:sz="4" w:space="0"/>
              <w:bottom w:val="single" w:color="000000" w:sz="4" w:space="0"/>
              <w:right w:val="single" w:color="000000" w:sz="4" w:space="0"/>
            </w:tcBorders>
            <w:vAlign w:val="center"/>
          </w:tcPr>
          <w:p w14:paraId="569BB413">
            <w:pPr>
              <w:pStyle w:val="28"/>
              <w:bidi w:val="0"/>
            </w:pPr>
            <w:r>
              <w:t>190</w:t>
            </w:r>
          </w:p>
        </w:tc>
        <w:tc>
          <w:tcPr>
            <w:tcW w:w="499" w:type="pct"/>
            <w:tcBorders>
              <w:top w:val="single" w:color="000000" w:sz="4" w:space="0"/>
              <w:left w:val="single" w:color="000000" w:sz="4" w:space="0"/>
              <w:bottom w:val="single" w:color="000000" w:sz="4" w:space="0"/>
              <w:right w:val="single" w:color="000000" w:sz="4" w:space="0"/>
            </w:tcBorders>
            <w:vAlign w:val="center"/>
          </w:tcPr>
          <w:p w14:paraId="110F01F1">
            <w:pPr>
              <w:pStyle w:val="28"/>
              <w:bidi w:val="0"/>
            </w:pPr>
            <w:r>
              <w:t>245</w:t>
            </w:r>
          </w:p>
        </w:tc>
        <w:tc>
          <w:tcPr>
            <w:tcW w:w="459" w:type="pct"/>
            <w:tcBorders>
              <w:top w:val="single" w:color="000000" w:sz="4" w:space="0"/>
              <w:left w:val="single" w:color="000000" w:sz="4" w:space="0"/>
              <w:bottom w:val="single" w:color="000000" w:sz="4" w:space="0"/>
              <w:right w:val="single" w:color="000000" w:sz="4" w:space="0"/>
            </w:tcBorders>
            <w:vAlign w:val="center"/>
          </w:tcPr>
          <w:p w14:paraId="324F943E">
            <w:pPr>
              <w:pStyle w:val="28"/>
              <w:bidi w:val="0"/>
            </w:pPr>
            <w:r>
              <w:t>9.10</w:t>
            </w:r>
          </w:p>
        </w:tc>
        <w:tc>
          <w:tcPr>
            <w:tcW w:w="451" w:type="pct"/>
            <w:vMerge w:val="continue"/>
            <w:tcBorders>
              <w:top w:val="single" w:color="000000" w:sz="4" w:space="0"/>
              <w:left w:val="single" w:color="000000" w:sz="4" w:space="0"/>
              <w:bottom w:val="single" w:color="000000" w:sz="4" w:space="0"/>
              <w:right w:val="nil"/>
            </w:tcBorders>
            <w:vAlign w:val="center"/>
          </w:tcPr>
          <w:p w14:paraId="4EC98219">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5FD50B91">
            <w:pPr>
              <w:pStyle w:val="28"/>
              <w:bidi w:val="0"/>
            </w:pPr>
            <w:r>
              <w:t>0.20</w:t>
            </w:r>
          </w:p>
        </w:tc>
      </w:tr>
      <w:tr w14:paraId="434E13DC">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0A733C4B">
            <w:pPr>
              <w:pStyle w:val="28"/>
              <w:bidi w:val="0"/>
            </w:pPr>
            <w:r>
              <w:t>11</w:t>
            </w:r>
          </w:p>
        </w:tc>
        <w:tc>
          <w:tcPr>
            <w:tcW w:w="1749" w:type="pct"/>
            <w:tcBorders>
              <w:top w:val="single" w:color="000000" w:sz="4" w:space="0"/>
              <w:left w:val="single" w:color="000000" w:sz="4" w:space="0"/>
              <w:bottom w:val="single" w:color="000000" w:sz="4" w:space="0"/>
              <w:right w:val="single" w:color="000000" w:sz="4" w:space="0"/>
            </w:tcBorders>
            <w:vAlign w:val="center"/>
          </w:tcPr>
          <w:p w14:paraId="44549EDE">
            <w:pPr>
              <w:pStyle w:val="28"/>
              <w:bidi w:val="0"/>
            </w:pPr>
            <w:r>
              <w:rPr>
                <w:rFonts w:hint="eastAsia"/>
              </w:rPr>
              <w:t>淠源分干渠工程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2B73A07A">
            <w:pPr>
              <w:pStyle w:val="28"/>
              <w:bidi w:val="0"/>
            </w:pPr>
            <w:r>
              <w:t>3</w:t>
            </w:r>
          </w:p>
        </w:tc>
        <w:tc>
          <w:tcPr>
            <w:tcW w:w="499" w:type="pct"/>
            <w:tcBorders>
              <w:top w:val="single" w:color="000000" w:sz="4" w:space="0"/>
              <w:left w:val="single" w:color="000000" w:sz="4" w:space="0"/>
              <w:bottom w:val="single" w:color="000000" w:sz="4" w:space="0"/>
              <w:right w:val="single" w:color="000000" w:sz="4" w:space="0"/>
            </w:tcBorders>
            <w:vAlign w:val="center"/>
          </w:tcPr>
          <w:p w14:paraId="40ADA8FD">
            <w:pPr>
              <w:pStyle w:val="28"/>
              <w:bidi w:val="0"/>
            </w:pPr>
            <w:r>
              <w:t>156</w:t>
            </w:r>
          </w:p>
        </w:tc>
        <w:tc>
          <w:tcPr>
            <w:tcW w:w="499" w:type="pct"/>
            <w:tcBorders>
              <w:top w:val="single" w:color="000000" w:sz="4" w:space="0"/>
              <w:left w:val="single" w:color="000000" w:sz="4" w:space="0"/>
              <w:bottom w:val="single" w:color="000000" w:sz="4" w:space="0"/>
              <w:right w:val="single" w:color="000000" w:sz="4" w:space="0"/>
            </w:tcBorders>
            <w:vAlign w:val="center"/>
          </w:tcPr>
          <w:p w14:paraId="192A4693">
            <w:pPr>
              <w:pStyle w:val="28"/>
              <w:bidi w:val="0"/>
            </w:pPr>
            <w:r>
              <w:t>203</w:t>
            </w:r>
          </w:p>
        </w:tc>
        <w:tc>
          <w:tcPr>
            <w:tcW w:w="459" w:type="pct"/>
            <w:tcBorders>
              <w:top w:val="single" w:color="000000" w:sz="4" w:space="0"/>
              <w:left w:val="single" w:color="000000" w:sz="4" w:space="0"/>
              <w:bottom w:val="single" w:color="000000" w:sz="4" w:space="0"/>
              <w:right w:val="single" w:color="000000" w:sz="4" w:space="0"/>
            </w:tcBorders>
            <w:vAlign w:val="center"/>
          </w:tcPr>
          <w:p w14:paraId="56A8A8BB">
            <w:pPr>
              <w:pStyle w:val="28"/>
              <w:bidi w:val="0"/>
            </w:pPr>
            <w:r>
              <w:t>2.39</w:t>
            </w:r>
          </w:p>
        </w:tc>
        <w:tc>
          <w:tcPr>
            <w:tcW w:w="451" w:type="pct"/>
            <w:vMerge w:val="continue"/>
            <w:tcBorders>
              <w:top w:val="single" w:color="000000" w:sz="4" w:space="0"/>
              <w:left w:val="single" w:color="000000" w:sz="4" w:space="0"/>
              <w:bottom w:val="single" w:color="000000" w:sz="4" w:space="0"/>
              <w:right w:val="nil"/>
            </w:tcBorders>
            <w:vAlign w:val="center"/>
          </w:tcPr>
          <w:p w14:paraId="586D5FF2">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68842069">
            <w:pPr>
              <w:pStyle w:val="28"/>
              <w:bidi w:val="0"/>
            </w:pPr>
            <w:r>
              <w:t>0.16</w:t>
            </w:r>
          </w:p>
        </w:tc>
      </w:tr>
      <w:tr w14:paraId="63535414">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3ED6D05C">
            <w:pPr>
              <w:pStyle w:val="28"/>
              <w:bidi w:val="0"/>
            </w:pPr>
            <w:r>
              <w:t>12</w:t>
            </w:r>
          </w:p>
        </w:tc>
        <w:tc>
          <w:tcPr>
            <w:tcW w:w="1749" w:type="pct"/>
            <w:tcBorders>
              <w:top w:val="single" w:color="000000" w:sz="4" w:space="0"/>
              <w:left w:val="single" w:color="000000" w:sz="4" w:space="0"/>
              <w:bottom w:val="single" w:color="000000" w:sz="4" w:space="0"/>
              <w:right w:val="single" w:color="000000" w:sz="4" w:space="0"/>
            </w:tcBorders>
            <w:vAlign w:val="center"/>
          </w:tcPr>
          <w:p w14:paraId="3812B263">
            <w:pPr>
              <w:pStyle w:val="28"/>
              <w:bidi w:val="0"/>
            </w:pPr>
            <w:r>
              <w:rPr>
                <w:rFonts w:hint="eastAsia"/>
              </w:rPr>
              <w:t>小蜀山分干渠工程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4430A0DA">
            <w:pPr>
              <w:pStyle w:val="28"/>
              <w:bidi w:val="0"/>
            </w:pPr>
            <w:r>
              <w:t>0</w:t>
            </w:r>
          </w:p>
        </w:tc>
        <w:tc>
          <w:tcPr>
            <w:tcW w:w="499" w:type="pct"/>
            <w:tcBorders>
              <w:top w:val="single" w:color="000000" w:sz="4" w:space="0"/>
              <w:left w:val="single" w:color="000000" w:sz="4" w:space="0"/>
              <w:bottom w:val="single" w:color="000000" w:sz="4" w:space="0"/>
              <w:right w:val="single" w:color="000000" w:sz="4" w:space="0"/>
            </w:tcBorders>
            <w:vAlign w:val="center"/>
          </w:tcPr>
          <w:p w14:paraId="619FE288">
            <w:pPr>
              <w:pStyle w:val="28"/>
              <w:bidi w:val="0"/>
            </w:pPr>
            <w:r>
              <w:t>281</w:t>
            </w:r>
          </w:p>
        </w:tc>
        <w:tc>
          <w:tcPr>
            <w:tcW w:w="499" w:type="pct"/>
            <w:tcBorders>
              <w:top w:val="single" w:color="000000" w:sz="4" w:space="0"/>
              <w:left w:val="single" w:color="000000" w:sz="4" w:space="0"/>
              <w:bottom w:val="single" w:color="000000" w:sz="4" w:space="0"/>
              <w:right w:val="single" w:color="000000" w:sz="4" w:space="0"/>
            </w:tcBorders>
            <w:vAlign w:val="center"/>
          </w:tcPr>
          <w:p w14:paraId="6B461636">
            <w:pPr>
              <w:pStyle w:val="28"/>
              <w:bidi w:val="0"/>
            </w:pPr>
            <w:r>
              <w:t>338</w:t>
            </w:r>
          </w:p>
        </w:tc>
        <w:tc>
          <w:tcPr>
            <w:tcW w:w="459" w:type="pct"/>
            <w:tcBorders>
              <w:top w:val="single" w:color="000000" w:sz="4" w:space="0"/>
              <w:left w:val="single" w:color="000000" w:sz="4" w:space="0"/>
              <w:bottom w:val="single" w:color="000000" w:sz="4" w:space="0"/>
              <w:right w:val="single" w:color="000000" w:sz="4" w:space="0"/>
            </w:tcBorders>
            <w:vAlign w:val="center"/>
          </w:tcPr>
          <w:p w14:paraId="134D9451">
            <w:pPr>
              <w:pStyle w:val="28"/>
              <w:bidi w:val="0"/>
            </w:pPr>
            <w:r>
              <w:t>0.63</w:t>
            </w:r>
          </w:p>
        </w:tc>
        <w:tc>
          <w:tcPr>
            <w:tcW w:w="451" w:type="pct"/>
            <w:vMerge w:val="continue"/>
            <w:tcBorders>
              <w:top w:val="single" w:color="000000" w:sz="4" w:space="0"/>
              <w:left w:val="single" w:color="000000" w:sz="4" w:space="0"/>
              <w:bottom w:val="single" w:color="000000" w:sz="4" w:space="0"/>
              <w:right w:val="nil"/>
            </w:tcBorders>
            <w:vAlign w:val="center"/>
          </w:tcPr>
          <w:p w14:paraId="664992DF">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3B28F402">
            <w:pPr>
              <w:pStyle w:val="28"/>
              <w:bidi w:val="0"/>
            </w:pPr>
            <w:r>
              <w:t>0.27</w:t>
            </w:r>
          </w:p>
        </w:tc>
      </w:tr>
      <w:tr w14:paraId="74522190">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2FCF4508">
            <w:pPr>
              <w:pStyle w:val="28"/>
              <w:bidi w:val="0"/>
            </w:pPr>
            <w:r>
              <w:t>13</w:t>
            </w:r>
          </w:p>
        </w:tc>
        <w:tc>
          <w:tcPr>
            <w:tcW w:w="1749" w:type="pct"/>
            <w:tcBorders>
              <w:top w:val="single" w:color="000000" w:sz="4" w:space="0"/>
              <w:left w:val="single" w:color="000000" w:sz="4" w:space="0"/>
              <w:bottom w:val="single" w:color="000000" w:sz="4" w:space="0"/>
              <w:right w:val="single" w:color="000000" w:sz="4" w:space="0"/>
            </w:tcBorders>
            <w:vAlign w:val="center"/>
          </w:tcPr>
          <w:p w14:paraId="19329CA2">
            <w:pPr>
              <w:pStyle w:val="28"/>
              <w:bidi w:val="0"/>
            </w:pPr>
            <w:r>
              <w:rPr>
                <w:rFonts w:hint="eastAsia"/>
              </w:rPr>
              <w:t>瓦东双庙支渠工程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1FFD2D4C">
            <w:pPr>
              <w:pStyle w:val="28"/>
              <w:bidi w:val="0"/>
            </w:pPr>
            <w:r>
              <w:t>1</w:t>
            </w:r>
          </w:p>
        </w:tc>
        <w:tc>
          <w:tcPr>
            <w:tcW w:w="499" w:type="pct"/>
            <w:tcBorders>
              <w:top w:val="single" w:color="000000" w:sz="4" w:space="0"/>
              <w:left w:val="single" w:color="000000" w:sz="4" w:space="0"/>
              <w:bottom w:val="single" w:color="000000" w:sz="4" w:space="0"/>
              <w:right w:val="single" w:color="000000" w:sz="4" w:space="0"/>
            </w:tcBorders>
            <w:vAlign w:val="center"/>
          </w:tcPr>
          <w:p w14:paraId="02C35BDE">
            <w:pPr>
              <w:pStyle w:val="28"/>
              <w:bidi w:val="0"/>
            </w:pPr>
            <w:r>
              <w:t>126</w:t>
            </w:r>
          </w:p>
        </w:tc>
        <w:tc>
          <w:tcPr>
            <w:tcW w:w="499" w:type="pct"/>
            <w:tcBorders>
              <w:top w:val="single" w:color="000000" w:sz="4" w:space="0"/>
              <w:left w:val="single" w:color="000000" w:sz="4" w:space="0"/>
              <w:bottom w:val="single" w:color="000000" w:sz="4" w:space="0"/>
              <w:right w:val="single" w:color="000000" w:sz="4" w:space="0"/>
            </w:tcBorders>
            <w:vAlign w:val="center"/>
          </w:tcPr>
          <w:p w14:paraId="03ABC9D1">
            <w:pPr>
              <w:pStyle w:val="28"/>
              <w:bidi w:val="0"/>
            </w:pPr>
            <w:r>
              <w:t>168</w:t>
            </w:r>
          </w:p>
        </w:tc>
        <w:tc>
          <w:tcPr>
            <w:tcW w:w="459" w:type="pct"/>
            <w:tcBorders>
              <w:top w:val="single" w:color="000000" w:sz="4" w:space="0"/>
              <w:left w:val="single" w:color="000000" w:sz="4" w:space="0"/>
              <w:bottom w:val="single" w:color="000000" w:sz="4" w:space="0"/>
              <w:right w:val="single" w:color="000000" w:sz="4" w:space="0"/>
            </w:tcBorders>
            <w:vAlign w:val="center"/>
          </w:tcPr>
          <w:p w14:paraId="45EAAD02">
            <w:pPr>
              <w:pStyle w:val="28"/>
              <w:bidi w:val="0"/>
            </w:pPr>
            <w:r>
              <w:t>6.10</w:t>
            </w:r>
          </w:p>
        </w:tc>
        <w:tc>
          <w:tcPr>
            <w:tcW w:w="451" w:type="pct"/>
            <w:vMerge w:val="continue"/>
            <w:tcBorders>
              <w:top w:val="single" w:color="000000" w:sz="4" w:space="0"/>
              <w:left w:val="single" w:color="000000" w:sz="4" w:space="0"/>
              <w:bottom w:val="single" w:color="000000" w:sz="4" w:space="0"/>
              <w:right w:val="nil"/>
            </w:tcBorders>
            <w:vAlign w:val="center"/>
          </w:tcPr>
          <w:p w14:paraId="09D4371E">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219AC2FA">
            <w:pPr>
              <w:pStyle w:val="28"/>
              <w:bidi w:val="0"/>
            </w:pPr>
            <w:r>
              <w:t>0.13</w:t>
            </w:r>
          </w:p>
        </w:tc>
      </w:tr>
      <w:tr w14:paraId="25365B0E">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52F0E5E9">
            <w:pPr>
              <w:pStyle w:val="28"/>
              <w:bidi w:val="0"/>
            </w:pPr>
            <w:r>
              <w:t>14</w:t>
            </w:r>
          </w:p>
        </w:tc>
        <w:tc>
          <w:tcPr>
            <w:tcW w:w="1749" w:type="pct"/>
            <w:tcBorders>
              <w:top w:val="single" w:color="000000" w:sz="4" w:space="0"/>
              <w:left w:val="single" w:color="000000" w:sz="4" w:space="0"/>
              <w:bottom w:val="single" w:color="000000" w:sz="4" w:space="0"/>
              <w:right w:val="single" w:color="000000" w:sz="4" w:space="0"/>
            </w:tcBorders>
            <w:vAlign w:val="center"/>
          </w:tcPr>
          <w:p w14:paraId="0A2EB91B">
            <w:pPr>
              <w:pStyle w:val="28"/>
              <w:bidi w:val="0"/>
            </w:pPr>
            <w:r>
              <w:rPr>
                <w:rFonts w:hint="eastAsia"/>
              </w:rPr>
              <w:t>东风支渠工程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1E86CA67">
            <w:pPr>
              <w:pStyle w:val="28"/>
              <w:bidi w:val="0"/>
            </w:pPr>
            <w:r>
              <w:t>0</w:t>
            </w:r>
          </w:p>
        </w:tc>
        <w:tc>
          <w:tcPr>
            <w:tcW w:w="499" w:type="pct"/>
            <w:tcBorders>
              <w:top w:val="single" w:color="000000" w:sz="4" w:space="0"/>
              <w:left w:val="single" w:color="000000" w:sz="4" w:space="0"/>
              <w:bottom w:val="single" w:color="000000" w:sz="4" w:space="0"/>
              <w:right w:val="single" w:color="000000" w:sz="4" w:space="0"/>
            </w:tcBorders>
            <w:vAlign w:val="center"/>
          </w:tcPr>
          <w:p w14:paraId="03908A03">
            <w:pPr>
              <w:pStyle w:val="28"/>
              <w:bidi w:val="0"/>
            </w:pPr>
            <w:r>
              <w:t>95</w:t>
            </w:r>
          </w:p>
        </w:tc>
        <w:tc>
          <w:tcPr>
            <w:tcW w:w="499" w:type="pct"/>
            <w:tcBorders>
              <w:top w:val="single" w:color="000000" w:sz="4" w:space="0"/>
              <w:left w:val="single" w:color="000000" w:sz="4" w:space="0"/>
              <w:bottom w:val="single" w:color="000000" w:sz="4" w:space="0"/>
              <w:right w:val="single" w:color="000000" w:sz="4" w:space="0"/>
            </w:tcBorders>
            <w:vAlign w:val="center"/>
          </w:tcPr>
          <w:p w14:paraId="0FEF0D71">
            <w:pPr>
              <w:pStyle w:val="28"/>
              <w:bidi w:val="0"/>
            </w:pPr>
            <w:r>
              <w:t>124</w:t>
            </w:r>
          </w:p>
        </w:tc>
        <w:tc>
          <w:tcPr>
            <w:tcW w:w="459" w:type="pct"/>
            <w:tcBorders>
              <w:top w:val="single" w:color="000000" w:sz="4" w:space="0"/>
              <w:left w:val="single" w:color="000000" w:sz="4" w:space="0"/>
              <w:bottom w:val="single" w:color="000000" w:sz="4" w:space="0"/>
              <w:right w:val="single" w:color="000000" w:sz="4" w:space="0"/>
            </w:tcBorders>
            <w:vAlign w:val="center"/>
          </w:tcPr>
          <w:p w14:paraId="63E6077A">
            <w:pPr>
              <w:pStyle w:val="28"/>
              <w:bidi w:val="0"/>
            </w:pPr>
            <w:r>
              <w:t>4.50</w:t>
            </w:r>
          </w:p>
        </w:tc>
        <w:tc>
          <w:tcPr>
            <w:tcW w:w="451" w:type="pct"/>
            <w:vMerge w:val="continue"/>
            <w:tcBorders>
              <w:top w:val="single" w:color="000000" w:sz="4" w:space="0"/>
              <w:left w:val="single" w:color="000000" w:sz="4" w:space="0"/>
              <w:bottom w:val="single" w:color="000000" w:sz="4" w:space="0"/>
              <w:right w:val="nil"/>
            </w:tcBorders>
            <w:vAlign w:val="center"/>
          </w:tcPr>
          <w:p w14:paraId="27AFBD1E">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0BF3ED40">
            <w:pPr>
              <w:pStyle w:val="28"/>
              <w:bidi w:val="0"/>
            </w:pPr>
            <w:r>
              <w:t>0.10</w:t>
            </w:r>
          </w:p>
        </w:tc>
      </w:tr>
      <w:tr w14:paraId="53A24ABE">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41EC5F4C">
            <w:pPr>
              <w:pStyle w:val="28"/>
              <w:bidi w:val="0"/>
            </w:pPr>
            <w:r>
              <w:t>15</w:t>
            </w:r>
          </w:p>
        </w:tc>
        <w:tc>
          <w:tcPr>
            <w:tcW w:w="1749" w:type="pct"/>
            <w:tcBorders>
              <w:top w:val="single" w:color="000000" w:sz="4" w:space="0"/>
              <w:left w:val="single" w:color="000000" w:sz="4" w:space="0"/>
              <w:bottom w:val="single" w:color="000000" w:sz="4" w:space="0"/>
              <w:right w:val="single" w:color="000000" w:sz="4" w:space="0"/>
            </w:tcBorders>
            <w:vAlign w:val="center"/>
          </w:tcPr>
          <w:p w14:paraId="059AB947">
            <w:pPr>
              <w:pStyle w:val="28"/>
              <w:bidi w:val="0"/>
            </w:pPr>
            <w:r>
              <w:rPr>
                <w:rFonts w:hint="eastAsia"/>
              </w:rPr>
              <w:t>界河支渠工程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679FC2F0">
            <w:pPr>
              <w:pStyle w:val="28"/>
              <w:bidi w:val="0"/>
            </w:pPr>
            <w:r>
              <w:t>0</w:t>
            </w:r>
          </w:p>
        </w:tc>
        <w:tc>
          <w:tcPr>
            <w:tcW w:w="499" w:type="pct"/>
            <w:tcBorders>
              <w:top w:val="single" w:color="000000" w:sz="4" w:space="0"/>
              <w:left w:val="single" w:color="000000" w:sz="4" w:space="0"/>
              <w:bottom w:val="single" w:color="000000" w:sz="4" w:space="0"/>
              <w:right w:val="single" w:color="000000" w:sz="4" w:space="0"/>
            </w:tcBorders>
            <w:vAlign w:val="center"/>
          </w:tcPr>
          <w:p w14:paraId="1B2FE396">
            <w:pPr>
              <w:pStyle w:val="28"/>
              <w:bidi w:val="0"/>
            </w:pPr>
            <w:r>
              <w:t>80</w:t>
            </w:r>
          </w:p>
        </w:tc>
        <w:tc>
          <w:tcPr>
            <w:tcW w:w="499" w:type="pct"/>
            <w:tcBorders>
              <w:top w:val="single" w:color="000000" w:sz="4" w:space="0"/>
              <w:left w:val="single" w:color="000000" w:sz="4" w:space="0"/>
              <w:bottom w:val="single" w:color="000000" w:sz="4" w:space="0"/>
              <w:right w:val="single" w:color="000000" w:sz="4" w:space="0"/>
            </w:tcBorders>
            <w:vAlign w:val="center"/>
          </w:tcPr>
          <w:p w14:paraId="05E26BC4">
            <w:pPr>
              <w:pStyle w:val="28"/>
              <w:bidi w:val="0"/>
            </w:pPr>
            <w:r>
              <w:t>130</w:t>
            </w:r>
          </w:p>
        </w:tc>
        <w:tc>
          <w:tcPr>
            <w:tcW w:w="459" w:type="pct"/>
            <w:tcBorders>
              <w:top w:val="single" w:color="000000" w:sz="4" w:space="0"/>
              <w:left w:val="single" w:color="000000" w:sz="4" w:space="0"/>
              <w:bottom w:val="single" w:color="000000" w:sz="4" w:space="0"/>
              <w:right w:val="single" w:color="000000" w:sz="4" w:space="0"/>
            </w:tcBorders>
            <w:vAlign w:val="center"/>
          </w:tcPr>
          <w:p w14:paraId="0E9AC899">
            <w:pPr>
              <w:pStyle w:val="28"/>
              <w:bidi w:val="0"/>
            </w:pPr>
            <w:r>
              <w:t>1.26</w:t>
            </w:r>
          </w:p>
        </w:tc>
        <w:tc>
          <w:tcPr>
            <w:tcW w:w="451" w:type="pct"/>
            <w:vMerge w:val="continue"/>
            <w:tcBorders>
              <w:top w:val="single" w:color="000000" w:sz="4" w:space="0"/>
              <w:left w:val="single" w:color="000000" w:sz="4" w:space="0"/>
              <w:bottom w:val="single" w:color="000000" w:sz="4" w:space="0"/>
              <w:right w:val="nil"/>
            </w:tcBorders>
            <w:vAlign w:val="center"/>
          </w:tcPr>
          <w:p w14:paraId="55513A4A">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4CDDF183">
            <w:pPr>
              <w:pStyle w:val="28"/>
              <w:bidi w:val="0"/>
            </w:pPr>
            <w:r>
              <w:t>0.10</w:t>
            </w:r>
          </w:p>
        </w:tc>
      </w:tr>
      <w:tr w14:paraId="1F561CDF">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538B28B5">
            <w:pPr>
              <w:pStyle w:val="28"/>
              <w:bidi w:val="0"/>
            </w:pPr>
            <w:r>
              <w:t>16</w:t>
            </w:r>
          </w:p>
        </w:tc>
        <w:tc>
          <w:tcPr>
            <w:tcW w:w="1749" w:type="pct"/>
            <w:tcBorders>
              <w:top w:val="single" w:color="000000" w:sz="4" w:space="0"/>
              <w:left w:val="single" w:color="000000" w:sz="4" w:space="0"/>
              <w:bottom w:val="single" w:color="000000" w:sz="4" w:space="0"/>
              <w:right w:val="single" w:color="000000" w:sz="4" w:space="0"/>
            </w:tcBorders>
            <w:vAlign w:val="center"/>
          </w:tcPr>
          <w:p w14:paraId="2944807C">
            <w:pPr>
              <w:pStyle w:val="28"/>
              <w:bidi w:val="0"/>
            </w:pPr>
            <w:r>
              <w:rPr>
                <w:rFonts w:hint="eastAsia"/>
              </w:rPr>
              <w:t>义河支渠工程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01EECA4E">
            <w:pPr>
              <w:pStyle w:val="28"/>
              <w:bidi w:val="0"/>
            </w:pPr>
            <w:r>
              <w:t>0</w:t>
            </w:r>
          </w:p>
        </w:tc>
        <w:tc>
          <w:tcPr>
            <w:tcW w:w="499" w:type="pct"/>
            <w:tcBorders>
              <w:top w:val="single" w:color="000000" w:sz="4" w:space="0"/>
              <w:left w:val="single" w:color="000000" w:sz="4" w:space="0"/>
              <w:bottom w:val="single" w:color="000000" w:sz="4" w:space="0"/>
              <w:right w:val="single" w:color="000000" w:sz="4" w:space="0"/>
            </w:tcBorders>
            <w:vAlign w:val="center"/>
          </w:tcPr>
          <w:p w14:paraId="362A51F7">
            <w:pPr>
              <w:pStyle w:val="28"/>
              <w:bidi w:val="0"/>
            </w:pPr>
            <w:r>
              <w:t>70</w:t>
            </w:r>
          </w:p>
        </w:tc>
        <w:tc>
          <w:tcPr>
            <w:tcW w:w="499" w:type="pct"/>
            <w:tcBorders>
              <w:top w:val="single" w:color="000000" w:sz="4" w:space="0"/>
              <w:left w:val="single" w:color="000000" w:sz="4" w:space="0"/>
              <w:bottom w:val="single" w:color="000000" w:sz="4" w:space="0"/>
              <w:right w:val="single" w:color="000000" w:sz="4" w:space="0"/>
            </w:tcBorders>
            <w:vAlign w:val="center"/>
          </w:tcPr>
          <w:p w14:paraId="3D5BB857">
            <w:pPr>
              <w:pStyle w:val="28"/>
              <w:bidi w:val="0"/>
            </w:pPr>
            <w:r>
              <w:t>110</w:t>
            </w:r>
          </w:p>
        </w:tc>
        <w:tc>
          <w:tcPr>
            <w:tcW w:w="459" w:type="pct"/>
            <w:tcBorders>
              <w:top w:val="single" w:color="000000" w:sz="4" w:space="0"/>
              <w:left w:val="single" w:color="000000" w:sz="4" w:space="0"/>
              <w:bottom w:val="single" w:color="000000" w:sz="4" w:space="0"/>
              <w:right w:val="single" w:color="000000" w:sz="4" w:space="0"/>
            </w:tcBorders>
            <w:vAlign w:val="center"/>
          </w:tcPr>
          <w:p w14:paraId="6B77EA53">
            <w:pPr>
              <w:pStyle w:val="28"/>
              <w:bidi w:val="0"/>
            </w:pPr>
            <w:r>
              <w:t>1.06</w:t>
            </w:r>
          </w:p>
        </w:tc>
        <w:tc>
          <w:tcPr>
            <w:tcW w:w="451" w:type="pct"/>
            <w:vMerge w:val="continue"/>
            <w:tcBorders>
              <w:top w:val="single" w:color="000000" w:sz="4" w:space="0"/>
              <w:left w:val="single" w:color="000000" w:sz="4" w:space="0"/>
              <w:bottom w:val="single" w:color="000000" w:sz="4" w:space="0"/>
              <w:right w:val="nil"/>
            </w:tcBorders>
            <w:vAlign w:val="center"/>
          </w:tcPr>
          <w:p w14:paraId="74DC5771">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222256B0">
            <w:pPr>
              <w:pStyle w:val="28"/>
              <w:bidi w:val="0"/>
            </w:pPr>
            <w:r>
              <w:t>0.09</w:t>
            </w:r>
          </w:p>
        </w:tc>
      </w:tr>
      <w:tr w14:paraId="3EF54D93">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5FDEF197">
            <w:pPr>
              <w:pStyle w:val="28"/>
              <w:bidi w:val="0"/>
            </w:pPr>
            <w:r>
              <w:t>17</w:t>
            </w:r>
          </w:p>
        </w:tc>
        <w:tc>
          <w:tcPr>
            <w:tcW w:w="1749" w:type="pct"/>
            <w:tcBorders>
              <w:top w:val="single" w:color="000000" w:sz="4" w:space="0"/>
              <w:left w:val="single" w:color="000000" w:sz="4" w:space="0"/>
              <w:bottom w:val="single" w:color="000000" w:sz="4" w:space="0"/>
              <w:right w:val="single" w:color="000000" w:sz="4" w:space="0"/>
            </w:tcBorders>
            <w:vAlign w:val="center"/>
          </w:tcPr>
          <w:p w14:paraId="4642C88F">
            <w:pPr>
              <w:pStyle w:val="28"/>
              <w:bidi w:val="0"/>
            </w:pPr>
            <w:r>
              <w:rPr>
                <w:rFonts w:hint="eastAsia"/>
              </w:rPr>
              <w:t>袁店支渠工程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25C8C04B">
            <w:pPr>
              <w:pStyle w:val="28"/>
              <w:bidi w:val="0"/>
            </w:pPr>
            <w:r>
              <w:t>0</w:t>
            </w:r>
          </w:p>
        </w:tc>
        <w:tc>
          <w:tcPr>
            <w:tcW w:w="499" w:type="pct"/>
            <w:tcBorders>
              <w:top w:val="single" w:color="000000" w:sz="4" w:space="0"/>
              <w:left w:val="single" w:color="000000" w:sz="4" w:space="0"/>
              <w:bottom w:val="single" w:color="000000" w:sz="4" w:space="0"/>
              <w:right w:val="single" w:color="000000" w:sz="4" w:space="0"/>
            </w:tcBorders>
            <w:vAlign w:val="center"/>
          </w:tcPr>
          <w:p w14:paraId="7CEF7A08">
            <w:pPr>
              <w:pStyle w:val="28"/>
              <w:bidi w:val="0"/>
            </w:pPr>
            <w:r>
              <w:t>70</w:t>
            </w:r>
          </w:p>
        </w:tc>
        <w:tc>
          <w:tcPr>
            <w:tcW w:w="499" w:type="pct"/>
            <w:tcBorders>
              <w:top w:val="single" w:color="000000" w:sz="4" w:space="0"/>
              <w:left w:val="single" w:color="000000" w:sz="4" w:space="0"/>
              <w:bottom w:val="single" w:color="000000" w:sz="4" w:space="0"/>
              <w:right w:val="single" w:color="000000" w:sz="4" w:space="0"/>
            </w:tcBorders>
            <w:vAlign w:val="center"/>
          </w:tcPr>
          <w:p w14:paraId="1BE742CE">
            <w:pPr>
              <w:pStyle w:val="28"/>
              <w:bidi w:val="0"/>
            </w:pPr>
            <w:r>
              <w:t>100</w:t>
            </w:r>
          </w:p>
        </w:tc>
        <w:tc>
          <w:tcPr>
            <w:tcW w:w="459" w:type="pct"/>
            <w:tcBorders>
              <w:top w:val="single" w:color="000000" w:sz="4" w:space="0"/>
              <w:left w:val="single" w:color="000000" w:sz="4" w:space="0"/>
              <w:bottom w:val="single" w:color="000000" w:sz="4" w:space="0"/>
              <w:right w:val="single" w:color="000000" w:sz="4" w:space="0"/>
            </w:tcBorders>
            <w:vAlign w:val="center"/>
          </w:tcPr>
          <w:p w14:paraId="68CFD731">
            <w:pPr>
              <w:pStyle w:val="28"/>
              <w:bidi w:val="0"/>
            </w:pPr>
            <w:r>
              <w:t>0.93</w:t>
            </w:r>
          </w:p>
        </w:tc>
        <w:tc>
          <w:tcPr>
            <w:tcW w:w="451" w:type="pct"/>
            <w:vMerge w:val="continue"/>
            <w:tcBorders>
              <w:top w:val="single" w:color="000000" w:sz="4" w:space="0"/>
              <w:left w:val="single" w:color="000000" w:sz="4" w:space="0"/>
              <w:bottom w:val="single" w:color="000000" w:sz="4" w:space="0"/>
              <w:right w:val="nil"/>
            </w:tcBorders>
            <w:vAlign w:val="center"/>
          </w:tcPr>
          <w:p w14:paraId="752F36CD">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5F9C101A">
            <w:pPr>
              <w:pStyle w:val="28"/>
              <w:bidi w:val="0"/>
            </w:pPr>
            <w:r>
              <w:t>0.08</w:t>
            </w:r>
          </w:p>
        </w:tc>
      </w:tr>
      <w:tr w14:paraId="621886E0">
        <w:tblPrEx>
          <w:tblCellMar>
            <w:top w:w="0" w:type="dxa"/>
            <w:left w:w="108" w:type="dxa"/>
            <w:bottom w:w="0" w:type="dxa"/>
            <w:right w:w="108" w:type="dxa"/>
          </w:tblCellMar>
        </w:tblPrEx>
        <w:trPr>
          <w:trHeight w:val="340" w:hRule="atLeast"/>
          <w:jc w:val="center"/>
        </w:trPr>
        <w:tc>
          <w:tcPr>
            <w:tcW w:w="339" w:type="pct"/>
            <w:tcBorders>
              <w:top w:val="single" w:color="000000" w:sz="4" w:space="0"/>
              <w:left w:val="single" w:color="000000" w:sz="4" w:space="0"/>
              <w:bottom w:val="single" w:color="000000" w:sz="4" w:space="0"/>
              <w:right w:val="single" w:color="000000" w:sz="4" w:space="0"/>
            </w:tcBorders>
            <w:vAlign w:val="center"/>
          </w:tcPr>
          <w:p w14:paraId="6A84453D">
            <w:pPr>
              <w:pStyle w:val="28"/>
              <w:bidi w:val="0"/>
            </w:pPr>
            <w:r>
              <w:t>18</w:t>
            </w:r>
          </w:p>
        </w:tc>
        <w:tc>
          <w:tcPr>
            <w:tcW w:w="1749" w:type="pct"/>
            <w:tcBorders>
              <w:top w:val="single" w:color="000000" w:sz="4" w:space="0"/>
              <w:left w:val="single" w:color="000000" w:sz="4" w:space="0"/>
              <w:bottom w:val="single" w:color="000000" w:sz="4" w:space="0"/>
              <w:right w:val="single" w:color="000000" w:sz="4" w:space="0"/>
            </w:tcBorders>
            <w:vAlign w:val="center"/>
          </w:tcPr>
          <w:p w14:paraId="5150C44A">
            <w:pPr>
              <w:pStyle w:val="28"/>
              <w:bidi w:val="0"/>
            </w:pPr>
            <w:r>
              <w:rPr>
                <w:rFonts w:hint="eastAsia"/>
              </w:rPr>
              <w:t>堰西支渠工程</w:t>
            </w:r>
          </w:p>
        </w:tc>
        <w:tc>
          <w:tcPr>
            <w:tcW w:w="499" w:type="pct"/>
            <w:tcBorders>
              <w:top w:val="single" w:color="000000" w:sz="4" w:space="0"/>
              <w:left w:val="single" w:color="000000" w:sz="4" w:space="0"/>
              <w:bottom w:val="single" w:color="000000" w:sz="4" w:space="0"/>
              <w:right w:val="single" w:color="000000" w:sz="4" w:space="0"/>
            </w:tcBorders>
            <w:vAlign w:val="center"/>
          </w:tcPr>
          <w:p w14:paraId="78F1FB35">
            <w:pPr>
              <w:pStyle w:val="28"/>
              <w:bidi w:val="0"/>
            </w:pPr>
            <w:r>
              <w:t>0</w:t>
            </w:r>
          </w:p>
        </w:tc>
        <w:tc>
          <w:tcPr>
            <w:tcW w:w="499" w:type="pct"/>
            <w:tcBorders>
              <w:top w:val="single" w:color="000000" w:sz="4" w:space="0"/>
              <w:left w:val="single" w:color="000000" w:sz="4" w:space="0"/>
              <w:bottom w:val="single" w:color="000000" w:sz="4" w:space="0"/>
              <w:right w:val="single" w:color="000000" w:sz="4" w:space="0"/>
            </w:tcBorders>
            <w:vAlign w:val="center"/>
          </w:tcPr>
          <w:p w14:paraId="5CB56918">
            <w:pPr>
              <w:pStyle w:val="28"/>
              <w:bidi w:val="0"/>
            </w:pPr>
            <w:r>
              <w:t>40</w:t>
            </w:r>
          </w:p>
        </w:tc>
        <w:tc>
          <w:tcPr>
            <w:tcW w:w="499" w:type="pct"/>
            <w:tcBorders>
              <w:top w:val="single" w:color="000000" w:sz="4" w:space="0"/>
              <w:left w:val="single" w:color="000000" w:sz="4" w:space="0"/>
              <w:bottom w:val="single" w:color="000000" w:sz="4" w:space="0"/>
              <w:right w:val="single" w:color="000000" w:sz="4" w:space="0"/>
            </w:tcBorders>
            <w:vAlign w:val="center"/>
          </w:tcPr>
          <w:p w14:paraId="60B8093D">
            <w:pPr>
              <w:pStyle w:val="28"/>
              <w:bidi w:val="0"/>
            </w:pPr>
            <w:r>
              <w:t>60</w:t>
            </w:r>
          </w:p>
        </w:tc>
        <w:tc>
          <w:tcPr>
            <w:tcW w:w="459" w:type="pct"/>
            <w:tcBorders>
              <w:top w:val="single" w:color="000000" w:sz="4" w:space="0"/>
              <w:left w:val="single" w:color="000000" w:sz="4" w:space="0"/>
              <w:bottom w:val="single" w:color="000000" w:sz="4" w:space="0"/>
              <w:right w:val="single" w:color="000000" w:sz="4" w:space="0"/>
            </w:tcBorders>
            <w:vAlign w:val="center"/>
          </w:tcPr>
          <w:p w14:paraId="0BA02DA9">
            <w:pPr>
              <w:pStyle w:val="28"/>
              <w:bidi w:val="0"/>
            </w:pPr>
            <w:r>
              <w:t>0.20</w:t>
            </w:r>
          </w:p>
        </w:tc>
        <w:tc>
          <w:tcPr>
            <w:tcW w:w="451" w:type="pct"/>
            <w:vMerge w:val="continue"/>
            <w:tcBorders>
              <w:top w:val="single" w:color="000000" w:sz="4" w:space="0"/>
              <w:left w:val="single" w:color="000000" w:sz="4" w:space="0"/>
              <w:bottom w:val="single" w:color="000000" w:sz="4" w:space="0"/>
              <w:right w:val="nil"/>
            </w:tcBorders>
            <w:vAlign w:val="center"/>
          </w:tcPr>
          <w:p w14:paraId="0545EAA8">
            <w:pPr>
              <w:pStyle w:val="28"/>
              <w:bidi w:val="0"/>
            </w:pPr>
          </w:p>
        </w:tc>
        <w:tc>
          <w:tcPr>
            <w:tcW w:w="501" w:type="pct"/>
            <w:tcBorders>
              <w:top w:val="single" w:color="000000" w:sz="4" w:space="0"/>
              <w:left w:val="single" w:color="000000" w:sz="4" w:space="0"/>
              <w:bottom w:val="single" w:color="000000" w:sz="4" w:space="0"/>
              <w:right w:val="single" w:color="000000" w:sz="4" w:space="0"/>
            </w:tcBorders>
            <w:noWrap/>
            <w:vAlign w:val="center"/>
          </w:tcPr>
          <w:p w14:paraId="1B8D5B9D">
            <w:pPr>
              <w:pStyle w:val="28"/>
              <w:bidi w:val="0"/>
            </w:pPr>
            <w:r>
              <w:t>0.05</w:t>
            </w:r>
          </w:p>
        </w:tc>
      </w:tr>
    </w:tbl>
    <w:p w14:paraId="5425AD85">
      <w:pPr>
        <w:spacing w:line="240" w:lineRule="auto"/>
        <w:ind w:firstLine="480"/>
        <w:rPr>
          <w:rFonts w:cs="Times New Roman"/>
          <w:color w:val="0000FF"/>
        </w:rPr>
      </w:pPr>
    </w:p>
    <w:p w14:paraId="0AD6C7C8">
      <w:pPr>
        <w:ind w:firstLine="480"/>
        <w:rPr>
          <w:rFonts w:cs="Times New Roman"/>
          <w:color w:val="0000FF"/>
        </w:rPr>
      </w:pPr>
      <w:r>
        <w:rPr>
          <w:rFonts w:cs="Times New Roman"/>
          <w:color w:val="0000FF"/>
        </w:rPr>
        <w:t>本工程施工人员生活垃圾依托当地设施收集，生活垃圾定期集中就近运往各工程区附近的城镇垃圾站进行处置。</w:t>
      </w:r>
    </w:p>
    <w:p w14:paraId="5281714C">
      <w:pPr>
        <w:ind w:firstLine="480"/>
        <w:rPr>
          <w:rFonts w:cs="Times New Roman"/>
          <w:color w:val="0000FF"/>
        </w:rPr>
      </w:pPr>
      <w:r>
        <w:rPr>
          <w:rFonts w:cs="Times New Roman"/>
          <w:color w:val="0000FF"/>
        </w:rPr>
        <w:t>（2）弃土</w:t>
      </w:r>
    </w:p>
    <w:p w14:paraId="4A5B01D7">
      <w:pPr>
        <w:ind w:firstLine="480"/>
        <w:rPr>
          <w:rFonts w:cs="Times New Roman"/>
          <w:color w:val="0000FF"/>
        </w:rPr>
      </w:pPr>
      <w:r>
        <w:rPr>
          <w:rFonts w:cs="Times New Roman"/>
          <w:color w:val="0000FF"/>
        </w:rPr>
        <w:t>本工程弃土量共174.54万m</w:t>
      </w:r>
      <w:r>
        <w:rPr>
          <w:rFonts w:cs="Times New Roman"/>
          <w:color w:val="0000FF"/>
          <w:vertAlign w:val="superscript"/>
        </w:rPr>
        <w:t>3</w:t>
      </w:r>
      <w:r>
        <w:rPr>
          <w:rFonts w:cs="Times New Roman"/>
          <w:color w:val="0000FF"/>
        </w:rPr>
        <w:t>。本工程涉及渠道清淤工程为14个子项目，分别为淠东干渠30+400~43+000、69+908~99+300续建配套与现代化改造工程、瓦东干渠双庙支渠0+000~24+200续建配套与现代化改造工程、杨西分干渠东风支渠0+700~10+200续建配套与现代化改造工程、潜南干渠界河支渠0+000~7+780段续建配套与现代化改造工程、潜南干渠义河支渠0+000~5+750段续建配套与现代化改造工程、潜南干渠袁店支渠0+000~6+000段续建配套与现代化改造工程、众兴分干渠双庙支渠0+650~5+135续建配套与现代化改造工程、沣西干渠30+000~107+000续建配套与现代化改造工程、汲东干渠姚李支渠0+000~17+700续建配套与现代化改造工程、乌斗支渠0+000~27+500续建配套与现代化改造工程、杭北干渠25+430~34+580、49+500~68+890段续建配套与现代化改造工程、庐南分干渠沙胜支渠0+000~24+000续建配套与现代化改造工程、庐南分干渠乐桥支渠0+000~10+200段续建配套与现代化改造工程、舒庐干渠马田支渠0+000~5+000段续建配套与现代化改造工程，总清淤长度为</w:t>
      </w:r>
      <w:r>
        <w:rPr>
          <w:rFonts w:hint="eastAsia" w:cs="Times New Roman"/>
          <w:color w:val="0000FF"/>
        </w:rPr>
        <w:t>72.39</w:t>
      </w:r>
      <w:r>
        <w:rPr>
          <w:rFonts w:cs="Times New Roman"/>
          <w:color w:val="0000FF"/>
        </w:rPr>
        <w:t>km。本次清淤方式均为干地施工，施工期均在枯水期进行，清淤采用挖掘机和人工结合的方式进行。清淤出的淤泥</w:t>
      </w:r>
      <w:r>
        <w:rPr>
          <w:rFonts w:hint="eastAsia" w:cs="Times New Roman"/>
          <w:color w:val="0000FF"/>
        </w:rPr>
        <w:t>及时转</w:t>
      </w:r>
      <w:r>
        <w:rPr>
          <w:rFonts w:cs="Times New Roman"/>
          <w:color w:val="0000FF"/>
        </w:rPr>
        <w:t>运至弃土区。</w:t>
      </w:r>
      <w:r>
        <w:rPr>
          <w:rFonts w:cs="Times New Roman"/>
          <w:b/>
          <w:bCs/>
          <w:color w:val="0000FF"/>
        </w:rPr>
        <w:t>本工程不设置抛泥区。</w:t>
      </w:r>
    </w:p>
    <w:p w14:paraId="5B2474B6">
      <w:pPr>
        <w:ind w:firstLine="480"/>
        <w:rPr>
          <w:rFonts w:cs="Times New Roman"/>
          <w:color w:val="0000FF"/>
        </w:rPr>
      </w:pPr>
      <w:r>
        <w:rPr>
          <w:rFonts w:cs="Times New Roman"/>
          <w:color w:val="0000FF"/>
        </w:rPr>
        <w:t>各子工程弃土量如下表。</w:t>
      </w:r>
    </w:p>
    <w:p w14:paraId="1AAB35A6">
      <w:pPr>
        <w:rPr>
          <w:color w:val="0000FF"/>
        </w:rPr>
        <w:sectPr>
          <w:pgSz w:w="11905" w:h="16838"/>
          <w:pgMar w:top="1417" w:right="1417" w:bottom="1417" w:left="1417" w:header="850" w:footer="850" w:gutter="0"/>
          <w:pgNumType w:fmt="decimal"/>
          <w:cols w:space="0" w:num="1"/>
          <w:rtlGutter w:val="0"/>
          <w:docGrid w:linePitch="326" w:charSpace="0"/>
        </w:sectPr>
      </w:pPr>
    </w:p>
    <w:p w14:paraId="4C0AB431">
      <w:pPr>
        <w:rPr>
          <w:color w:val="0000FF"/>
        </w:rPr>
      </w:pPr>
      <w:r>
        <w:rPr>
          <w:color w:val="0000FF"/>
        </w:rPr>
        <w:t>表3-2-</w:t>
      </w:r>
      <w:r>
        <w:rPr>
          <w:rFonts w:hint="eastAsia"/>
          <w:color w:val="0000FF"/>
        </w:rPr>
        <w:t>5</w:t>
      </w:r>
      <w:r>
        <w:rPr>
          <w:color w:val="0000FF"/>
        </w:rPr>
        <w:t xml:space="preserve">  各子工程弃土量统计表</w:t>
      </w:r>
    </w:p>
    <w:tbl>
      <w:tblPr>
        <w:tblStyle w:val="16"/>
        <w:tblW w:w="5000" w:type="pct"/>
        <w:jc w:val="center"/>
        <w:tblLayout w:type="autofit"/>
        <w:tblCellMar>
          <w:top w:w="0" w:type="dxa"/>
          <w:left w:w="108" w:type="dxa"/>
          <w:bottom w:w="0" w:type="dxa"/>
          <w:right w:w="108" w:type="dxa"/>
        </w:tblCellMar>
      </w:tblPr>
      <w:tblGrid>
        <w:gridCol w:w="388"/>
        <w:gridCol w:w="3274"/>
        <w:gridCol w:w="780"/>
        <w:gridCol w:w="780"/>
        <w:gridCol w:w="736"/>
        <w:gridCol w:w="823"/>
        <w:gridCol w:w="866"/>
        <w:gridCol w:w="1079"/>
        <w:gridCol w:w="561"/>
      </w:tblGrid>
      <w:tr w14:paraId="04CB855B">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74F9BE43">
            <w:pPr>
              <w:pStyle w:val="28"/>
              <w:bidi w:val="0"/>
            </w:pPr>
            <w:r>
              <w:t>序号</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44EF4B29">
            <w:pPr>
              <w:pStyle w:val="28"/>
              <w:bidi w:val="0"/>
            </w:pPr>
            <w:r>
              <w:t>工程名称</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654588EB">
            <w:pPr>
              <w:pStyle w:val="28"/>
              <w:bidi w:val="0"/>
            </w:pPr>
            <w:r>
              <w:t>弃土（万m3）</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6FE28652">
            <w:pPr>
              <w:pStyle w:val="28"/>
              <w:bidi w:val="0"/>
            </w:pPr>
            <w:r>
              <w:t>清淤段长度km</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070D5EC9">
            <w:pPr>
              <w:pStyle w:val="28"/>
              <w:bidi w:val="0"/>
            </w:pPr>
            <w:r>
              <w:t>设计河底宽m</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50E2906D">
            <w:pPr>
              <w:pStyle w:val="28"/>
              <w:bidi w:val="0"/>
            </w:pPr>
            <w:r>
              <w:t>平均清淤厚度m</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4626A2A2">
            <w:pPr>
              <w:pStyle w:val="28"/>
              <w:bidi w:val="0"/>
            </w:pPr>
            <w:r>
              <w:t>清淤量（万m3）</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611F1AAC">
            <w:pPr>
              <w:pStyle w:val="28"/>
              <w:bidi w:val="0"/>
            </w:pPr>
            <w:r>
              <w:t>弃土来源</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7AFA56A0">
            <w:pPr>
              <w:pStyle w:val="28"/>
              <w:bidi w:val="0"/>
            </w:pPr>
            <w:r>
              <w:t>淤泥去向</w:t>
            </w:r>
          </w:p>
        </w:tc>
      </w:tr>
      <w:tr w14:paraId="4A0E7B0D">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38EDE94E">
            <w:pPr>
              <w:pStyle w:val="28"/>
              <w:bidi w:val="0"/>
            </w:pPr>
            <w:r>
              <w:t>1</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2B7EDC99">
            <w:pPr>
              <w:pStyle w:val="28"/>
              <w:bidi w:val="0"/>
            </w:pPr>
            <w:r>
              <w:t>淠河总干渠上段续建配套与现代化改造工程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712547F0">
            <w:pPr>
              <w:pStyle w:val="28"/>
              <w:bidi w:val="0"/>
            </w:pPr>
            <w:r>
              <w:t>7.30</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02F486AB">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574F88B4">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7817B399">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78690ECE">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215826DF">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0F3981AB">
            <w:pPr>
              <w:pStyle w:val="28"/>
              <w:bidi w:val="0"/>
            </w:pPr>
            <w:r>
              <w:t>无</w:t>
            </w:r>
          </w:p>
        </w:tc>
      </w:tr>
      <w:tr w14:paraId="47635186">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400C2CB6">
            <w:pPr>
              <w:pStyle w:val="28"/>
              <w:bidi w:val="0"/>
            </w:pPr>
            <w:r>
              <w:t>2</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118103C1">
            <w:pPr>
              <w:pStyle w:val="28"/>
              <w:bidi w:val="0"/>
            </w:pPr>
            <w:r>
              <w:t>淠河总干渠樊通桥渠下涵拆除重建工程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61C7F436">
            <w:pPr>
              <w:pStyle w:val="28"/>
              <w:bidi w:val="0"/>
            </w:pPr>
            <w:r>
              <w:t>0.20</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6ED5870F">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2FC74F59">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1589588E">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6ECB869E">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3AA4713C">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79FC8EBB">
            <w:pPr>
              <w:pStyle w:val="28"/>
              <w:bidi w:val="0"/>
            </w:pPr>
            <w:r>
              <w:t>无</w:t>
            </w:r>
          </w:p>
        </w:tc>
      </w:tr>
      <w:tr w14:paraId="442126D6">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6D108334">
            <w:pPr>
              <w:pStyle w:val="28"/>
              <w:bidi w:val="0"/>
            </w:pPr>
            <w:r>
              <w:t>3</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30B00DB1">
            <w:pPr>
              <w:pStyle w:val="28"/>
              <w:bidi w:val="0"/>
            </w:pPr>
            <w:r>
              <w:t>淠河总干渠下段切岭段整治工程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3F6ECD73">
            <w:pPr>
              <w:pStyle w:val="28"/>
              <w:bidi w:val="0"/>
            </w:pPr>
            <w:r>
              <w:t>7.85</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362F15D9">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43B3D760">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3B01DCB7">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58B238F7">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5E388270">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1427DC01">
            <w:pPr>
              <w:pStyle w:val="28"/>
              <w:bidi w:val="0"/>
            </w:pPr>
            <w:r>
              <w:t>无</w:t>
            </w:r>
          </w:p>
        </w:tc>
      </w:tr>
      <w:tr w14:paraId="3A3BB4EB">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79C7EC82">
            <w:pPr>
              <w:pStyle w:val="28"/>
              <w:bidi w:val="0"/>
            </w:pPr>
            <w:r>
              <w:t>4</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7D74F195">
            <w:pPr>
              <w:pStyle w:val="28"/>
              <w:bidi w:val="0"/>
            </w:pPr>
            <w:r>
              <w:t>潜南干渠聚星渡槽</w:t>
            </w:r>
            <w:r>
              <w:rPr>
                <w:rFonts w:hint="eastAsia"/>
              </w:rPr>
              <w:t>·</w:t>
            </w:r>
            <w:r>
              <w:t>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1519BD44">
            <w:pPr>
              <w:pStyle w:val="28"/>
              <w:bidi w:val="0"/>
            </w:pPr>
            <w:r>
              <w:t>0.90</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6C11CBE6">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3CB47A00">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4C55B719">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2DB4FC5B">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279FE8FA">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0E5B865A">
            <w:pPr>
              <w:pStyle w:val="28"/>
              <w:bidi w:val="0"/>
            </w:pPr>
            <w:r>
              <w:t>无</w:t>
            </w:r>
          </w:p>
        </w:tc>
      </w:tr>
      <w:tr w14:paraId="1988DBE2">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79C7BE0A">
            <w:pPr>
              <w:pStyle w:val="28"/>
              <w:bidi w:val="0"/>
            </w:pPr>
            <w:r>
              <w:t>5</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03410E9D">
            <w:pPr>
              <w:pStyle w:val="28"/>
              <w:bidi w:val="0"/>
            </w:pPr>
            <w:r>
              <w:t>滁河干渠总局直管段续建配套与现代化改造工程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45CE84E3">
            <w:pPr>
              <w:pStyle w:val="28"/>
              <w:bidi w:val="0"/>
            </w:pPr>
            <w:r>
              <w:t>5.26</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18C0BEF4">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69963E3F">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32B1EFDF">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4689F16D">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65932D1E">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1943C50F">
            <w:pPr>
              <w:pStyle w:val="28"/>
              <w:bidi w:val="0"/>
            </w:pPr>
            <w:r>
              <w:t>无</w:t>
            </w:r>
          </w:p>
        </w:tc>
      </w:tr>
      <w:tr w14:paraId="004A4B25">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69B21ABD">
            <w:pPr>
              <w:pStyle w:val="28"/>
              <w:bidi w:val="0"/>
            </w:pPr>
            <w:r>
              <w:t>6</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63D5E98F">
            <w:pPr>
              <w:pStyle w:val="28"/>
              <w:bidi w:val="0"/>
            </w:pPr>
            <w:r>
              <w:t>滁河干渠瞿岗等6座渠下涵拆除重建工程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3B3E5874">
            <w:pPr>
              <w:pStyle w:val="28"/>
              <w:bidi w:val="0"/>
            </w:pPr>
            <w:r>
              <w:t>1.20</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1061D583">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2BFBD72F">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1D292221">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70979949">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7B78E6FE">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736714D6">
            <w:pPr>
              <w:pStyle w:val="28"/>
              <w:bidi w:val="0"/>
            </w:pPr>
            <w:r>
              <w:t>无</w:t>
            </w:r>
          </w:p>
        </w:tc>
      </w:tr>
      <w:tr w14:paraId="3F569AEF">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4547714B">
            <w:pPr>
              <w:pStyle w:val="28"/>
              <w:bidi w:val="0"/>
            </w:pPr>
            <w:r>
              <w:t>7</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30314C8E">
            <w:pPr>
              <w:pStyle w:val="28"/>
              <w:bidi w:val="0"/>
            </w:pPr>
            <w:r>
              <w:rPr>
                <w:rFonts w:hint="eastAsia"/>
              </w:rPr>
              <w:t>淠</w:t>
            </w:r>
            <w:r>
              <w:t>杭干渠渠系建筑物除险加固工程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48589E3B">
            <w:pPr>
              <w:pStyle w:val="28"/>
              <w:bidi w:val="0"/>
            </w:pPr>
            <w:r>
              <w:t>3.92</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79306841">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12FE40DD">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7505285E">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23453087">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22B64130">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6D1BD6CD">
            <w:pPr>
              <w:pStyle w:val="28"/>
              <w:bidi w:val="0"/>
            </w:pPr>
            <w:r>
              <w:t>无</w:t>
            </w:r>
          </w:p>
        </w:tc>
      </w:tr>
      <w:tr w14:paraId="59B89ACA">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2E5A9559">
            <w:pPr>
              <w:pStyle w:val="28"/>
              <w:bidi w:val="0"/>
            </w:pPr>
            <w:r>
              <w:t>8</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01F1F3A5">
            <w:pPr>
              <w:pStyle w:val="28"/>
              <w:bidi w:val="0"/>
            </w:pPr>
            <w:r>
              <w:t>淠东干渠30+400～43+000、69+908～99+300续建配套与现代化改造工程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4D588C5B">
            <w:pPr>
              <w:pStyle w:val="28"/>
              <w:bidi w:val="0"/>
            </w:pPr>
            <w:r>
              <w:t>24.14</w:t>
            </w:r>
          </w:p>
        </w:tc>
        <w:tc>
          <w:tcPr>
            <w:tcW w:w="407" w:type="pct"/>
            <w:tcBorders>
              <w:top w:val="single" w:color="000000" w:sz="4" w:space="0"/>
              <w:left w:val="single" w:color="000000" w:sz="4" w:space="0"/>
              <w:bottom w:val="single" w:color="000000" w:sz="4" w:space="0"/>
              <w:right w:val="single" w:color="000000" w:sz="4" w:space="0"/>
            </w:tcBorders>
            <w:vAlign w:val="center"/>
          </w:tcPr>
          <w:p w14:paraId="1458EC3F">
            <w:pPr>
              <w:pStyle w:val="28"/>
              <w:bidi w:val="0"/>
            </w:pPr>
            <w:r>
              <w:t>8.25</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2B511ECC">
            <w:pPr>
              <w:pStyle w:val="28"/>
              <w:bidi w:val="0"/>
            </w:pPr>
            <w:r>
              <w:t>25~50</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035C8506">
            <w:pPr>
              <w:pStyle w:val="28"/>
              <w:bidi w:val="0"/>
            </w:pPr>
            <w:r>
              <w:t>0.3</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2B3CF127">
            <w:pPr>
              <w:pStyle w:val="28"/>
              <w:bidi w:val="0"/>
            </w:pPr>
            <w:r>
              <w:t>12.38</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0149D95C">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6A71E41B">
            <w:pPr>
              <w:pStyle w:val="28"/>
              <w:bidi w:val="0"/>
            </w:pPr>
            <w:r>
              <w:t>弃土区</w:t>
            </w:r>
          </w:p>
        </w:tc>
      </w:tr>
      <w:tr w14:paraId="5459B88F">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78B1EA91">
            <w:pPr>
              <w:pStyle w:val="28"/>
              <w:bidi w:val="0"/>
            </w:pPr>
            <w:r>
              <w:t>9</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09E23522">
            <w:pPr>
              <w:pStyle w:val="28"/>
              <w:bidi w:val="0"/>
            </w:pPr>
            <w:r>
              <w:t>瓦西干渠15+000～27+500续建配套与现代化改造工程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7E73952C">
            <w:pPr>
              <w:pStyle w:val="28"/>
              <w:bidi w:val="0"/>
            </w:pPr>
            <w:r>
              <w:t>6.09</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20087E31">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28A895BD">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6018F2F6">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61E4693A">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283193B0">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3EA5C282">
            <w:pPr>
              <w:pStyle w:val="28"/>
              <w:bidi w:val="0"/>
            </w:pPr>
            <w:r>
              <w:t>无</w:t>
            </w:r>
          </w:p>
        </w:tc>
      </w:tr>
      <w:tr w14:paraId="73DF0ADB">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185BF934">
            <w:pPr>
              <w:pStyle w:val="28"/>
              <w:bidi w:val="0"/>
            </w:pPr>
            <w:r>
              <w:t>10</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6D7E2C9C">
            <w:pPr>
              <w:pStyle w:val="28"/>
              <w:bidi w:val="0"/>
            </w:pPr>
            <w:r>
              <w:t>堰口分干渠0+000～18+000续建配套与现代化改造工程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68FA5649">
            <w:pPr>
              <w:pStyle w:val="28"/>
              <w:bidi w:val="0"/>
            </w:pPr>
            <w:r>
              <w:t>8.13</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41392134">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60A7307A">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2873C265">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501A20DC">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266A4708">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037E3FB5">
            <w:pPr>
              <w:pStyle w:val="28"/>
              <w:bidi w:val="0"/>
            </w:pPr>
            <w:r>
              <w:t>无</w:t>
            </w:r>
          </w:p>
        </w:tc>
      </w:tr>
      <w:tr w14:paraId="26106AF6">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0CB3ED93">
            <w:pPr>
              <w:pStyle w:val="28"/>
              <w:bidi w:val="0"/>
            </w:pPr>
            <w:r>
              <w:t>11</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2EF3E60A">
            <w:pPr>
              <w:pStyle w:val="28"/>
              <w:bidi w:val="0"/>
            </w:pPr>
            <w:r>
              <w:t>淠源分干渠23+070～27+070、35+190～37+120、43+640~44+000段除险加固工程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508E5EB7">
            <w:pPr>
              <w:pStyle w:val="28"/>
              <w:bidi w:val="0"/>
            </w:pPr>
            <w:r>
              <w:t>1.37</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292865C4">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53FEC226">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38882B14">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4897C2BC">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7BC60852">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32CCFCCA">
            <w:pPr>
              <w:pStyle w:val="28"/>
              <w:bidi w:val="0"/>
            </w:pPr>
            <w:r>
              <w:t>无</w:t>
            </w:r>
          </w:p>
        </w:tc>
      </w:tr>
      <w:tr w14:paraId="05B05626">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39C63B57">
            <w:pPr>
              <w:pStyle w:val="28"/>
              <w:bidi w:val="0"/>
            </w:pPr>
            <w:r>
              <w:t>12</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297B2EDE">
            <w:pPr>
              <w:pStyle w:val="28"/>
              <w:bidi w:val="0"/>
            </w:pPr>
            <w:r>
              <w:t>小蜀山分干渠2+500～20+500段续建配套与现代化改造工程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2595FDDA">
            <w:pPr>
              <w:pStyle w:val="28"/>
              <w:bidi w:val="0"/>
            </w:pPr>
            <w:r>
              <w:t>8.02</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167A4051">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610D9951">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260F5ED3">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03D1218D">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36B73D54">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090E11E9">
            <w:pPr>
              <w:pStyle w:val="28"/>
              <w:bidi w:val="0"/>
            </w:pPr>
            <w:r>
              <w:t>无</w:t>
            </w:r>
          </w:p>
        </w:tc>
      </w:tr>
      <w:tr w14:paraId="76118716">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1564EC9C">
            <w:pPr>
              <w:pStyle w:val="28"/>
              <w:bidi w:val="0"/>
            </w:pPr>
            <w:r>
              <w:t>13</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1D955174">
            <w:pPr>
              <w:pStyle w:val="28"/>
              <w:bidi w:val="0"/>
            </w:pPr>
            <w:r>
              <w:t>瓦东干渠双庙支渠0+000～24+200续建配套与现代化改造工程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39FAB835">
            <w:pPr>
              <w:pStyle w:val="28"/>
              <w:bidi w:val="0"/>
            </w:pPr>
            <w:r>
              <w:t>11.39</w:t>
            </w:r>
          </w:p>
        </w:tc>
        <w:tc>
          <w:tcPr>
            <w:tcW w:w="407" w:type="pct"/>
            <w:tcBorders>
              <w:top w:val="single" w:color="000000" w:sz="4" w:space="0"/>
              <w:left w:val="single" w:color="000000" w:sz="4" w:space="0"/>
              <w:bottom w:val="single" w:color="000000" w:sz="4" w:space="0"/>
              <w:right w:val="single" w:color="000000" w:sz="4" w:space="0"/>
            </w:tcBorders>
            <w:vAlign w:val="center"/>
          </w:tcPr>
          <w:p w14:paraId="738DB4BC">
            <w:pPr>
              <w:pStyle w:val="28"/>
              <w:bidi w:val="0"/>
            </w:pPr>
            <w:r>
              <w:t>14.1</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3734E192">
            <w:pPr>
              <w:pStyle w:val="28"/>
              <w:bidi w:val="0"/>
            </w:pPr>
            <w:r>
              <w:t>5</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658A0E11">
            <w:pPr>
              <w:pStyle w:val="28"/>
              <w:bidi w:val="0"/>
            </w:pPr>
            <w:r>
              <w:t>0.2~0.5</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2CDB053B">
            <w:pPr>
              <w:pStyle w:val="28"/>
              <w:bidi w:val="0"/>
            </w:pPr>
            <w:r>
              <w:t>2.12</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7E7F87CF">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3F9184D5">
            <w:pPr>
              <w:pStyle w:val="28"/>
              <w:bidi w:val="0"/>
            </w:pPr>
            <w:r>
              <w:t>弃土区</w:t>
            </w:r>
          </w:p>
        </w:tc>
      </w:tr>
      <w:tr w14:paraId="42087065">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4E40DBA3">
            <w:pPr>
              <w:pStyle w:val="28"/>
              <w:bidi w:val="0"/>
            </w:pPr>
            <w:r>
              <w:t>14</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0D5D10F4">
            <w:pPr>
              <w:pStyle w:val="28"/>
              <w:bidi w:val="0"/>
            </w:pPr>
            <w:r>
              <w:t>杨西分干渠东风支渠0+700～10+200续建配套与现代化改造工程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39F0A183">
            <w:pPr>
              <w:pStyle w:val="28"/>
              <w:bidi w:val="0"/>
            </w:pPr>
            <w:r>
              <w:t>3.47</w:t>
            </w:r>
          </w:p>
        </w:tc>
        <w:tc>
          <w:tcPr>
            <w:tcW w:w="407" w:type="pct"/>
            <w:tcBorders>
              <w:top w:val="single" w:color="000000" w:sz="4" w:space="0"/>
              <w:left w:val="single" w:color="000000" w:sz="4" w:space="0"/>
              <w:bottom w:val="single" w:color="000000" w:sz="4" w:space="0"/>
              <w:right w:val="single" w:color="000000" w:sz="4" w:space="0"/>
            </w:tcBorders>
            <w:vAlign w:val="center"/>
          </w:tcPr>
          <w:p w14:paraId="67A240DB">
            <w:pPr>
              <w:pStyle w:val="28"/>
              <w:bidi w:val="0"/>
            </w:pPr>
            <w:r>
              <w:t>6.18</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0A2F4FFB">
            <w:pPr>
              <w:pStyle w:val="28"/>
              <w:bidi w:val="0"/>
            </w:pPr>
            <w:r>
              <w:t>4</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32D6A608">
            <w:pPr>
              <w:pStyle w:val="28"/>
              <w:bidi w:val="0"/>
            </w:pPr>
            <w:r>
              <w:t>0.2~0.5</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5C6179FF">
            <w:pPr>
              <w:pStyle w:val="28"/>
              <w:bidi w:val="0"/>
            </w:pPr>
            <w:r>
              <w:t>0.74</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24CE1468">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020C2995">
            <w:pPr>
              <w:pStyle w:val="28"/>
              <w:bidi w:val="0"/>
            </w:pPr>
            <w:r>
              <w:t>弃土区</w:t>
            </w:r>
          </w:p>
        </w:tc>
      </w:tr>
      <w:tr w14:paraId="15C160A9">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30017A7E">
            <w:pPr>
              <w:pStyle w:val="28"/>
              <w:bidi w:val="0"/>
            </w:pPr>
            <w:r>
              <w:t>15</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6A39BCCD">
            <w:pPr>
              <w:pStyle w:val="28"/>
              <w:bidi w:val="0"/>
            </w:pPr>
            <w:r>
              <w:t>潜南干渠界河支渠0+000～7+780段续建配套与现代化改造工程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05926FC1">
            <w:pPr>
              <w:pStyle w:val="28"/>
              <w:bidi w:val="0"/>
            </w:pPr>
            <w:r>
              <w:t>2.21</w:t>
            </w:r>
          </w:p>
        </w:tc>
        <w:tc>
          <w:tcPr>
            <w:tcW w:w="407" w:type="pct"/>
            <w:tcBorders>
              <w:top w:val="single" w:color="000000" w:sz="4" w:space="0"/>
              <w:left w:val="single" w:color="000000" w:sz="4" w:space="0"/>
              <w:bottom w:val="single" w:color="000000" w:sz="4" w:space="0"/>
              <w:right w:val="single" w:color="000000" w:sz="4" w:space="0"/>
            </w:tcBorders>
            <w:vAlign w:val="center"/>
          </w:tcPr>
          <w:p w14:paraId="7CF5A96E">
            <w:pPr>
              <w:pStyle w:val="28"/>
              <w:bidi w:val="0"/>
            </w:pPr>
            <w:r>
              <w:t>3.64</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4A5FA928">
            <w:pPr>
              <w:pStyle w:val="28"/>
              <w:bidi w:val="0"/>
            </w:pPr>
            <w:r>
              <w:t>2~3</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06D99594">
            <w:pPr>
              <w:pStyle w:val="28"/>
              <w:bidi w:val="0"/>
            </w:pPr>
            <w:r>
              <w:t>0.2~0.5</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5254E988">
            <w:pPr>
              <w:pStyle w:val="28"/>
              <w:bidi w:val="0"/>
            </w:pPr>
            <w:r>
              <w:t>0.33</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37D69173">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0F7A1E44">
            <w:pPr>
              <w:pStyle w:val="28"/>
              <w:bidi w:val="0"/>
            </w:pPr>
            <w:r>
              <w:t>弃土区</w:t>
            </w:r>
          </w:p>
        </w:tc>
      </w:tr>
      <w:tr w14:paraId="2893D9CB">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0FEBA042">
            <w:pPr>
              <w:pStyle w:val="28"/>
              <w:bidi w:val="0"/>
            </w:pPr>
            <w:r>
              <w:t>16</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5AB2641F">
            <w:pPr>
              <w:pStyle w:val="28"/>
              <w:bidi w:val="0"/>
            </w:pPr>
            <w:r>
              <w:t>潜南干渠义河支渠0+000～5+750段续建配套与现代化改造工程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6CBF138C">
            <w:pPr>
              <w:pStyle w:val="28"/>
              <w:bidi w:val="0"/>
            </w:pPr>
            <w:r>
              <w:t>1.67</w:t>
            </w:r>
          </w:p>
        </w:tc>
        <w:tc>
          <w:tcPr>
            <w:tcW w:w="407" w:type="pct"/>
            <w:tcBorders>
              <w:top w:val="single" w:color="000000" w:sz="4" w:space="0"/>
              <w:left w:val="single" w:color="000000" w:sz="4" w:space="0"/>
              <w:bottom w:val="single" w:color="000000" w:sz="4" w:space="0"/>
              <w:right w:val="single" w:color="000000" w:sz="4" w:space="0"/>
            </w:tcBorders>
            <w:vAlign w:val="center"/>
          </w:tcPr>
          <w:p w14:paraId="7BC1435A">
            <w:pPr>
              <w:pStyle w:val="28"/>
              <w:bidi w:val="0"/>
            </w:pPr>
            <w:r>
              <w:t>0.93</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6E23F7C7">
            <w:pPr>
              <w:pStyle w:val="28"/>
              <w:bidi w:val="0"/>
            </w:pPr>
            <w:r>
              <w:t>2</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76918086">
            <w:pPr>
              <w:pStyle w:val="28"/>
              <w:bidi w:val="0"/>
            </w:pPr>
            <w:r>
              <w:t>0.2~0.5</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188B0122">
            <w:pPr>
              <w:pStyle w:val="28"/>
              <w:bidi w:val="0"/>
            </w:pPr>
            <w:r>
              <w:t>0.06</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1829F512">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405082B4">
            <w:pPr>
              <w:pStyle w:val="28"/>
              <w:bidi w:val="0"/>
            </w:pPr>
            <w:r>
              <w:t>弃土区</w:t>
            </w:r>
          </w:p>
        </w:tc>
      </w:tr>
      <w:tr w14:paraId="78993844">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33A4FC8C">
            <w:pPr>
              <w:pStyle w:val="28"/>
              <w:bidi w:val="0"/>
            </w:pPr>
            <w:r>
              <w:t>17</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2693F5EF">
            <w:pPr>
              <w:pStyle w:val="28"/>
              <w:bidi w:val="0"/>
            </w:pPr>
            <w:r>
              <w:t>潜南干渠袁店支渠0+000～6+000段续建配套与现代化改造工程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440FDDE7">
            <w:pPr>
              <w:pStyle w:val="28"/>
              <w:bidi w:val="0"/>
            </w:pPr>
            <w:r>
              <w:t>1.76</w:t>
            </w:r>
          </w:p>
        </w:tc>
        <w:tc>
          <w:tcPr>
            <w:tcW w:w="407" w:type="pct"/>
            <w:tcBorders>
              <w:top w:val="single" w:color="000000" w:sz="4" w:space="0"/>
              <w:left w:val="single" w:color="000000" w:sz="4" w:space="0"/>
              <w:bottom w:val="single" w:color="000000" w:sz="4" w:space="0"/>
              <w:right w:val="single" w:color="000000" w:sz="4" w:space="0"/>
            </w:tcBorders>
            <w:vAlign w:val="center"/>
          </w:tcPr>
          <w:p w14:paraId="6004FCFB">
            <w:pPr>
              <w:pStyle w:val="28"/>
              <w:bidi w:val="0"/>
            </w:pPr>
            <w:r>
              <w:t>2.08</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78677880">
            <w:pPr>
              <w:pStyle w:val="28"/>
              <w:bidi w:val="0"/>
            </w:pPr>
            <w:r>
              <w:t>1~2</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7AA9B4A0">
            <w:pPr>
              <w:pStyle w:val="28"/>
              <w:bidi w:val="0"/>
            </w:pPr>
            <w:r>
              <w:t>0.2~0.5</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2D5D0782">
            <w:pPr>
              <w:pStyle w:val="28"/>
              <w:bidi w:val="0"/>
            </w:pPr>
            <w:r>
              <w:t>0.12</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2D0CE742">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28D2FC0F">
            <w:pPr>
              <w:pStyle w:val="28"/>
              <w:bidi w:val="0"/>
            </w:pPr>
            <w:r>
              <w:t>弃土区</w:t>
            </w:r>
          </w:p>
        </w:tc>
      </w:tr>
      <w:tr w14:paraId="4BEBE782">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0AA9CE95">
            <w:pPr>
              <w:pStyle w:val="28"/>
              <w:bidi w:val="0"/>
            </w:pPr>
            <w:r>
              <w:t>18</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2C97ADAF">
            <w:pPr>
              <w:pStyle w:val="28"/>
              <w:bidi w:val="0"/>
            </w:pPr>
            <w:r>
              <w:t>潜南干渠堰西支渠0+000～11+440段续建配套与现代化改造工程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457C3C1D">
            <w:pPr>
              <w:pStyle w:val="28"/>
              <w:bidi w:val="0"/>
            </w:pPr>
            <w:r>
              <w:t>0.40</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4978E54D">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001D429C">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54398315">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53AA3A0F">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4A8EE954">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2F77304D">
            <w:pPr>
              <w:pStyle w:val="28"/>
              <w:bidi w:val="0"/>
            </w:pPr>
            <w:r>
              <w:t>无</w:t>
            </w:r>
          </w:p>
        </w:tc>
      </w:tr>
      <w:tr w14:paraId="5C11DF81">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33518C9F">
            <w:pPr>
              <w:pStyle w:val="28"/>
              <w:bidi w:val="0"/>
            </w:pPr>
            <w:r>
              <w:t>19</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7A262673">
            <w:pPr>
              <w:pStyle w:val="28"/>
              <w:bidi w:val="0"/>
            </w:pPr>
            <w:r>
              <w:t>众兴分干渠双庙支渠（0+650～5+135）续建配套与现代化改造工程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5AD8F3B3">
            <w:pPr>
              <w:pStyle w:val="28"/>
              <w:bidi w:val="0"/>
            </w:pPr>
            <w:r>
              <w:t>2.75</w:t>
            </w:r>
          </w:p>
        </w:tc>
        <w:tc>
          <w:tcPr>
            <w:tcW w:w="407" w:type="pct"/>
            <w:tcBorders>
              <w:top w:val="single" w:color="000000" w:sz="4" w:space="0"/>
              <w:left w:val="single" w:color="000000" w:sz="4" w:space="0"/>
              <w:bottom w:val="single" w:color="000000" w:sz="4" w:space="0"/>
              <w:right w:val="single" w:color="000000" w:sz="4" w:space="0"/>
            </w:tcBorders>
            <w:vAlign w:val="center"/>
          </w:tcPr>
          <w:p w14:paraId="1088911A">
            <w:pPr>
              <w:pStyle w:val="28"/>
              <w:bidi w:val="0"/>
            </w:pPr>
            <w:r>
              <w:t>4.485</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7764B965">
            <w:pPr>
              <w:pStyle w:val="28"/>
              <w:bidi w:val="0"/>
            </w:pPr>
            <w:r>
              <w:t>3</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18B6EC22">
            <w:pPr>
              <w:pStyle w:val="28"/>
              <w:bidi w:val="0"/>
            </w:pPr>
            <w:r>
              <w:t>0.2~0.5</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2565714C">
            <w:pPr>
              <w:pStyle w:val="28"/>
              <w:bidi w:val="0"/>
            </w:pPr>
            <w:r>
              <w:t>0.40</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2053A12E">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6559FAF5">
            <w:pPr>
              <w:pStyle w:val="28"/>
              <w:bidi w:val="0"/>
            </w:pPr>
            <w:r>
              <w:t>弃土区</w:t>
            </w:r>
          </w:p>
        </w:tc>
      </w:tr>
      <w:tr w14:paraId="6BA119E9">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2A315D1C">
            <w:pPr>
              <w:pStyle w:val="28"/>
              <w:bidi w:val="0"/>
            </w:pPr>
            <w:r>
              <w:t>20</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34FA16A1">
            <w:pPr>
              <w:pStyle w:val="28"/>
              <w:bidi w:val="0"/>
            </w:pPr>
            <w:r>
              <w:t>众兴分干渠大高支渠0+000～6+800段续建配套与现代化改造工程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29B30E43">
            <w:pPr>
              <w:pStyle w:val="28"/>
              <w:bidi w:val="0"/>
            </w:pPr>
            <w:r>
              <w:t>4.44</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0327D634">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7FF4BA21">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434E2CCE">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2139F0EB">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55380222">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50EC99F3">
            <w:pPr>
              <w:pStyle w:val="28"/>
              <w:bidi w:val="0"/>
            </w:pPr>
            <w:r>
              <w:t>无</w:t>
            </w:r>
          </w:p>
        </w:tc>
      </w:tr>
      <w:tr w14:paraId="08009BB1">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07539396">
            <w:pPr>
              <w:pStyle w:val="28"/>
              <w:bidi w:val="0"/>
            </w:pPr>
            <w:r>
              <w:t>21</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04E018B5">
            <w:pPr>
              <w:pStyle w:val="28"/>
              <w:bidi w:val="0"/>
            </w:pPr>
            <w:r>
              <w:t>众兴分干渠白龙支渠0+000～12+000段续建配套与现代化改造工程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7CEF9566">
            <w:pPr>
              <w:pStyle w:val="28"/>
              <w:bidi w:val="0"/>
            </w:pPr>
            <w:r>
              <w:t>2.02</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6EFC6B2B">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046D9B77">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5BC5B41A">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2C1BB5C7">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70D2D100">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7EB75AE6">
            <w:pPr>
              <w:pStyle w:val="28"/>
              <w:bidi w:val="0"/>
            </w:pPr>
            <w:r>
              <w:t>无</w:t>
            </w:r>
          </w:p>
        </w:tc>
      </w:tr>
      <w:tr w14:paraId="3058FCF4">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1AC0ABD3">
            <w:pPr>
              <w:pStyle w:val="28"/>
              <w:bidi w:val="0"/>
            </w:pPr>
            <w:r>
              <w:t>22</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23729230">
            <w:pPr>
              <w:pStyle w:val="28"/>
              <w:bidi w:val="0"/>
            </w:pPr>
            <w:r>
              <w:t>瓦东干渠李山支渠补水工程（郑岗泵站重建）</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163BA3B9">
            <w:pPr>
              <w:pStyle w:val="28"/>
              <w:bidi w:val="0"/>
            </w:pPr>
            <w:r>
              <w:t>0.41</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74BEE3B9">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11D03653">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2E63E46A">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4C5815AC">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7E5F922B">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50F2AD05">
            <w:pPr>
              <w:pStyle w:val="28"/>
              <w:bidi w:val="0"/>
            </w:pPr>
            <w:r>
              <w:t>无</w:t>
            </w:r>
          </w:p>
        </w:tc>
      </w:tr>
      <w:tr w14:paraId="50163E23">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5906D5F8">
            <w:pPr>
              <w:pStyle w:val="28"/>
              <w:bidi w:val="0"/>
            </w:pPr>
            <w:r>
              <w:t>23</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4466DCAB">
            <w:pPr>
              <w:pStyle w:val="28"/>
              <w:bidi w:val="0"/>
            </w:pPr>
            <w:r>
              <w:t>沣东干渠（37+700～53+000）续建配套与现代化改造工程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06967D3D">
            <w:pPr>
              <w:pStyle w:val="28"/>
              <w:bidi w:val="0"/>
            </w:pPr>
            <w:r>
              <w:t>5.13</w:t>
            </w:r>
          </w:p>
        </w:tc>
        <w:tc>
          <w:tcPr>
            <w:tcW w:w="407" w:type="pct"/>
            <w:tcBorders>
              <w:top w:val="single" w:color="000000" w:sz="4" w:space="0"/>
              <w:left w:val="single" w:color="000000" w:sz="4" w:space="0"/>
              <w:bottom w:val="single" w:color="000000" w:sz="4" w:space="0"/>
              <w:right w:val="single" w:color="000000" w:sz="4" w:space="0"/>
            </w:tcBorders>
            <w:noWrap/>
            <w:vAlign w:val="center"/>
          </w:tcPr>
          <w:p w14:paraId="77E14419">
            <w:pPr>
              <w:pStyle w:val="28"/>
              <w:bidi w:val="0"/>
            </w:pPr>
            <w:r>
              <w:t>0</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30EEBA5A">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783CE8F5">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6637B723">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29827C9A">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587C74E4">
            <w:pPr>
              <w:pStyle w:val="28"/>
              <w:bidi w:val="0"/>
            </w:pPr>
            <w:r>
              <w:t>无</w:t>
            </w:r>
          </w:p>
        </w:tc>
      </w:tr>
      <w:tr w14:paraId="62EC7390">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4A4DCD53">
            <w:pPr>
              <w:pStyle w:val="28"/>
              <w:bidi w:val="0"/>
            </w:pPr>
            <w:r>
              <w:t>24</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4FF8ACC3">
            <w:pPr>
              <w:pStyle w:val="28"/>
              <w:bidi w:val="0"/>
            </w:pPr>
            <w:r>
              <w:t>沣西干渠30+000～107+000续建配套与现代化改造工程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45933EED">
            <w:pPr>
              <w:pStyle w:val="28"/>
              <w:bidi w:val="0"/>
            </w:pPr>
            <w:r>
              <w:t>30.74</w:t>
            </w:r>
          </w:p>
        </w:tc>
        <w:tc>
          <w:tcPr>
            <w:tcW w:w="407" w:type="pct"/>
            <w:tcBorders>
              <w:top w:val="single" w:color="000000" w:sz="4" w:space="0"/>
              <w:left w:val="single" w:color="000000" w:sz="4" w:space="0"/>
              <w:bottom w:val="single" w:color="000000" w:sz="4" w:space="0"/>
              <w:right w:val="single" w:color="000000" w:sz="4" w:space="0"/>
            </w:tcBorders>
            <w:vAlign w:val="center"/>
          </w:tcPr>
          <w:p w14:paraId="04841EAF">
            <w:pPr>
              <w:pStyle w:val="28"/>
              <w:bidi w:val="0"/>
            </w:pPr>
            <w:r>
              <w:t>13.66</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677780BE">
            <w:pPr>
              <w:pStyle w:val="28"/>
              <w:bidi w:val="0"/>
            </w:pPr>
            <w:r>
              <w:t>20</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0E6E1D17">
            <w:pPr>
              <w:pStyle w:val="28"/>
              <w:bidi w:val="0"/>
            </w:pPr>
            <w:r>
              <w:t>0.3</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25F2F6C8">
            <w:pPr>
              <w:pStyle w:val="28"/>
              <w:bidi w:val="0"/>
            </w:pPr>
            <w:r>
              <w:t>8.20</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1A89C0F7">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5CF0AE19">
            <w:pPr>
              <w:pStyle w:val="28"/>
              <w:bidi w:val="0"/>
            </w:pPr>
            <w:r>
              <w:t>弃土区</w:t>
            </w:r>
          </w:p>
        </w:tc>
      </w:tr>
      <w:tr w14:paraId="5C4131E6">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2644479E">
            <w:pPr>
              <w:pStyle w:val="28"/>
              <w:bidi w:val="0"/>
            </w:pPr>
            <w:r>
              <w:t>25</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3DC65530">
            <w:pPr>
              <w:pStyle w:val="28"/>
              <w:bidi w:val="0"/>
            </w:pPr>
            <w:r>
              <w:t>汲东干渠姚李支渠0+000～17+700续建配套与现代化改造工程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67E00538">
            <w:pPr>
              <w:pStyle w:val="28"/>
              <w:bidi w:val="0"/>
            </w:pPr>
            <w:r>
              <w:t>9.40</w:t>
            </w:r>
          </w:p>
        </w:tc>
        <w:tc>
          <w:tcPr>
            <w:tcW w:w="407" w:type="pct"/>
            <w:tcBorders>
              <w:top w:val="single" w:color="000000" w:sz="4" w:space="0"/>
              <w:left w:val="single" w:color="000000" w:sz="4" w:space="0"/>
              <w:bottom w:val="single" w:color="000000" w:sz="4" w:space="0"/>
              <w:right w:val="single" w:color="000000" w:sz="4" w:space="0"/>
            </w:tcBorders>
            <w:vAlign w:val="center"/>
          </w:tcPr>
          <w:p w14:paraId="492A7A0B">
            <w:pPr>
              <w:pStyle w:val="28"/>
              <w:bidi w:val="0"/>
            </w:pPr>
            <w:r>
              <w:t>7.4</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76F1D08A">
            <w:pPr>
              <w:pStyle w:val="28"/>
              <w:bidi w:val="0"/>
            </w:pPr>
            <w:r>
              <w:t>2~3</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49B1EFDF">
            <w:pPr>
              <w:pStyle w:val="28"/>
              <w:bidi w:val="0"/>
            </w:pPr>
            <w:r>
              <w:t>0.2~0.5</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63128EE4">
            <w:pPr>
              <w:pStyle w:val="28"/>
              <w:bidi w:val="0"/>
            </w:pPr>
            <w:r>
              <w:t>0.67</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38DED00B">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22BD28ED">
            <w:pPr>
              <w:pStyle w:val="28"/>
              <w:bidi w:val="0"/>
            </w:pPr>
            <w:r>
              <w:t>弃土区</w:t>
            </w:r>
          </w:p>
        </w:tc>
      </w:tr>
      <w:tr w14:paraId="05F9FB11">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2E905609">
            <w:pPr>
              <w:pStyle w:val="28"/>
              <w:bidi w:val="0"/>
            </w:pPr>
            <w:r>
              <w:t>26</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6356B623">
            <w:pPr>
              <w:pStyle w:val="28"/>
              <w:bidi w:val="0"/>
            </w:pPr>
            <w:r>
              <w:t>沣西干渠胜天支渠0+000～16+500续建配套与现代化改造工程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0571FB92">
            <w:pPr>
              <w:pStyle w:val="28"/>
              <w:bidi w:val="0"/>
            </w:pPr>
            <w:r>
              <w:t>3.20</w:t>
            </w:r>
          </w:p>
        </w:tc>
        <w:tc>
          <w:tcPr>
            <w:tcW w:w="407" w:type="pct"/>
            <w:tcBorders>
              <w:top w:val="single" w:color="000000" w:sz="4" w:space="0"/>
              <w:left w:val="single" w:color="000000" w:sz="4" w:space="0"/>
              <w:bottom w:val="single" w:color="000000" w:sz="4" w:space="0"/>
              <w:right w:val="single" w:color="000000" w:sz="4" w:space="0"/>
            </w:tcBorders>
            <w:vAlign w:val="center"/>
          </w:tcPr>
          <w:p w14:paraId="521A8B3F">
            <w:pPr>
              <w:pStyle w:val="28"/>
              <w:bidi w:val="0"/>
            </w:pP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19490F45">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693A0F76">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183D09CA">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0F11F3DE">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7D31DB89">
            <w:pPr>
              <w:pStyle w:val="28"/>
              <w:bidi w:val="0"/>
            </w:pPr>
            <w:r>
              <w:t>无</w:t>
            </w:r>
          </w:p>
        </w:tc>
      </w:tr>
      <w:tr w14:paraId="427603E3">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424E5D14">
            <w:pPr>
              <w:pStyle w:val="28"/>
              <w:bidi w:val="0"/>
            </w:pPr>
            <w:r>
              <w:t>27</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759E3C0D">
            <w:pPr>
              <w:pStyle w:val="28"/>
              <w:bidi w:val="0"/>
            </w:pPr>
            <w:r>
              <w:t>乌斗支渠0+000～27+500续建配套与现代化改造工程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7AB1E687">
            <w:pPr>
              <w:pStyle w:val="28"/>
              <w:bidi w:val="0"/>
            </w:pPr>
            <w:r>
              <w:t>5.12</w:t>
            </w:r>
          </w:p>
        </w:tc>
        <w:tc>
          <w:tcPr>
            <w:tcW w:w="407" w:type="pct"/>
            <w:tcBorders>
              <w:top w:val="single" w:color="000000" w:sz="4" w:space="0"/>
              <w:left w:val="single" w:color="000000" w:sz="4" w:space="0"/>
              <w:bottom w:val="single" w:color="000000" w:sz="4" w:space="0"/>
              <w:right w:val="single" w:color="000000" w:sz="4" w:space="0"/>
            </w:tcBorders>
            <w:vAlign w:val="center"/>
          </w:tcPr>
          <w:p w14:paraId="2F69CCC9">
            <w:pPr>
              <w:pStyle w:val="28"/>
              <w:bidi w:val="0"/>
            </w:pPr>
            <w:r>
              <w:t>3</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30688205">
            <w:pPr>
              <w:pStyle w:val="28"/>
              <w:bidi w:val="0"/>
            </w:pPr>
            <w:r>
              <w:t>3.5</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5F838E5E">
            <w:pPr>
              <w:pStyle w:val="28"/>
              <w:bidi w:val="0"/>
            </w:pPr>
            <w:r>
              <w:t>0.2~0.5</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464BA2D0">
            <w:pPr>
              <w:pStyle w:val="28"/>
              <w:bidi w:val="0"/>
            </w:pPr>
            <w:r>
              <w:t>0.27</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410F437D">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7BB139F4">
            <w:pPr>
              <w:pStyle w:val="28"/>
              <w:bidi w:val="0"/>
            </w:pPr>
            <w:r>
              <w:t>弃土区</w:t>
            </w:r>
          </w:p>
        </w:tc>
      </w:tr>
      <w:tr w14:paraId="4503DF75">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5F6C735F">
            <w:pPr>
              <w:pStyle w:val="28"/>
              <w:bidi w:val="0"/>
            </w:pPr>
            <w:r>
              <w:t>28</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5C425071">
            <w:pPr>
              <w:pStyle w:val="28"/>
              <w:bidi w:val="0"/>
            </w:pPr>
            <w:r>
              <w:t>舒庐干渠庐江段汤池泄洪闸等七座水闸现代化改造工程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63264847">
            <w:pPr>
              <w:pStyle w:val="28"/>
              <w:bidi w:val="0"/>
            </w:pPr>
            <w:r>
              <w:t>1.68</w:t>
            </w:r>
          </w:p>
        </w:tc>
        <w:tc>
          <w:tcPr>
            <w:tcW w:w="407" w:type="pct"/>
            <w:tcBorders>
              <w:top w:val="single" w:color="000000" w:sz="4" w:space="0"/>
              <w:left w:val="single" w:color="000000" w:sz="4" w:space="0"/>
              <w:bottom w:val="single" w:color="000000" w:sz="4" w:space="0"/>
              <w:right w:val="single" w:color="000000" w:sz="4" w:space="0"/>
            </w:tcBorders>
            <w:vAlign w:val="center"/>
          </w:tcPr>
          <w:p w14:paraId="0CC6B9FE">
            <w:pPr>
              <w:pStyle w:val="28"/>
              <w:bidi w:val="0"/>
            </w:pP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05F11A49">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0A9675F3">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33DFB241">
            <w:pPr>
              <w:pStyle w:val="28"/>
              <w:bidi w:val="0"/>
            </w:pPr>
            <w:r>
              <w:t>/</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5244F6DA">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22C0AB5A">
            <w:pPr>
              <w:pStyle w:val="28"/>
              <w:bidi w:val="0"/>
            </w:pPr>
            <w:r>
              <w:t>无</w:t>
            </w:r>
          </w:p>
        </w:tc>
      </w:tr>
      <w:tr w14:paraId="69ACA274">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1CBC779D">
            <w:pPr>
              <w:pStyle w:val="28"/>
              <w:bidi w:val="0"/>
            </w:pPr>
            <w:r>
              <w:t>29</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05ED9778">
            <w:pPr>
              <w:pStyle w:val="28"/>
              <w:bidi w:val="0"/>
            </w:pPr>
            <w:r>
              <w:t>杭北干渠25+430～34+580、49+500～68+890段续建配套与现代化改造工程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6B1AC676">
            <w:pPr>
              <w:pStyle w:val="28"/>
              <w:bidi w:val="0"/>
            </w:pPr>
            <w:r>
              <w:t>7.96</w:t>
            </w:r>
          </w:p>
        </w:tc>
        <w:tc>
          <w:tcPr>
            <w:tcW w:w="407" w:type="pct"/>
            <w:tcBorders>
              <w:top w:val="single" w:color="000000" w:sz="4" w:space="0"/>
              <w:left w:val="single" w:color="000000" w:sz="4" w:space="0"/>
              <w:bottom w:val="single" w:color="000000" w:sz="4" w:space="0"/>
              <w:right w:val="single" w:color="000000" w:sz="4" w:space="0"/>
            </w:tcBorders>
            <w:vAlign w:val="center"/>
          </w:tcPr>
          <w:p w14:paraId="772F473C">
            <w:pPr>
              <w:pStyle w:val="28"/>
              <w:bidi w:val="0"/>
            </w:pPr>
            <w:r>
              <w:t>3.1</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7853CEB2">
            <w:pPr>
              <w:pStyle w:val="28"/>
              <w:bidi w:val="0"/>
            </w:pPr>
            <w:r>
              <w:t>10</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75C5223B">
            <w:pPr>
              <w:pStyle w:val="28"/>
              <w:bidi w:val="0"/>
            </w:pPr>
            <w:r>
              <w:t>0.2~0.5</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1EDD68B5">
            <w:pPr>
              <w:pStyle w:val="28"/>
              <w:bidi w:val="0"/>
            </w:pPr>
            <w:r>
              <w:t>0.29</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52DEFA4F">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3B645D14">
            <w:pPr>
              <w:pStyle w:val="28"/>
              <w:bidi w:val="0"/>
            </w:pPr>
            <w:r>
              <w:t>弃土区</w:t>
            </w:r>
          </w:p>
        </w:tc>
      </w:tr>
      <w:tr w14:paraId="7706C786">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731A1A45">
            <w:pPr>
              <w:pStyle w:val="28"/>
              <w:bidi w:val="0"/>
            </w:pPr>
            <w:r>
              <w:t>30</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4FDDE81C">
            <w:pPr>
              <w:pStyle w:val="28"/>
              <w:bidi w:val="0"/>
            </w:pPr>
            <w:r>
              <w:t>庐南分干渠沙胜支渠0+000～24+000续建配套与现代化改造工程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2DB1D1E8">
            <w:pPr>
              <w:pStyle w:val="28"/>
              <w:bidi w:val="0"/>
            </w:pPr>
            <w:r>
              <w:t>4.04</w:t>
            </w:r>
          </w:p>
        </w:tc>
        <w:tc>
          <w:tcPr>
            <w:tcW w:w="407" w:type="pct"/>
            <w:tcBorders>
              <w:top w:val="single" w:color="000000" w:sz="4" w:space="0"/>
              <w:left w:val="single" w:color="000000" w:sz="4" w:space="0"/>
              <w:bottom w:val="single" w:color="000000" w:sz="4" w:space="0"/>
              <w:right w:val="single" w:color="000000" w:sz="4" w:space="0"/>
            </w:tcBorders>
            <w:vAlign w:val="center"/>
          </w:tcPr>
          <w:p w14:paraId="7082541D">
            <w:pPr>
              <w:pStyle w:val="28"/>
              <w:bidi w:val="0"/>
            </w:pPr>
            <w:r>
              <w:t>0.81</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4F6BEAF5">
            <w:pPr>
              <w:pStyle w:val="28"/>
              <w:bidi w:val="0"/>
            </w:pPr>
            <w:r>
              <w:t>1.5</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1CC3B5AE">
            <w:pPr>
              <w:pStyle w:val="28"/>
              <w:bidi w:val="0"/>
            </w:pPr>
            <w:r>
              <w:t>0.2~0.5</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59C909F8">
            <w:pPr>
              <w:pStyle w:val="28"/>
              <w:bidi w:val="0"/>
            </w:pPr>
            <w:r>
              <w:t>0.02</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77D22CED">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291BE354">
            <w:pPr>
              <w:pStyle w:val="28"/>
              <w:bidi w:val="0"/>
            </w:pPr>
            <w:r>
              <w:t>弃土区</w:t>
            </w:r>
          </w:p>
        </w:tc>
      </w:tr>
      <w:tr w14:paraId="347CAD21">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17041CE5">
            <w:pPr>
              <w:pStyle w:val="28"/>
              <w:bidi w:val="0"/>
            </w:pPr>
            <w:r>
              <w:t>31</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66F18399">
            <w:pPr>
              <w:pStyle w:val="28"/>
              <w:bidi w:val="0"/>
            </w:pPr>
            <w:r>
              <w:t>庐南分干渠乐桥支渠0+000～10+200段续建配套与现代化改造工程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01682751">
            <w:pPr>
              <w:pStyle w:val="28"/>
              <w:bidi w:val="0"/>
            </w:pPr>
            <w:r>
              <w:t>1.19</w:t>
            </w:r>
          </w:p>
        </w:tc>
        <w:tc>
          <w:tcPr>
            <w:tcW w:w="407" w:type="pct"/>
            <w:tcBorders>
              <w:top w:val="single" w:color="000000" w:sz="4" w:space="0"/>
              <w:left w:val="single" w:color="000000" w:sz="4" w:space="0"/>
              <w:bottom w:val="single" w:color="000000" w:sz="4" w:space="0"/>
              <w:right w:val="single" w:color="000000" w:sz="4" w:space="0"/>
            </w:tcBorders>
            <w:vAlign w:val="center"/>
          </w:tcPr>
          <w:p w14:paraId="2048C30D">
            <w:pPr>
              <w:pStyle w:val="28"/>
              <w:bidi w:val="0"/>
            </w:pPr>
            <w:r>
              <w:t>0.5</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16744D7F">
            <w:pPr>
              <w:pStyle w:val="28"/>
              <w:bidi w:val="0"/>
            </w:pPr>
            <w:r>
              <w:t>1.5~2</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2ACEBC49">
            <w:pPr>
              <w:pStyle w:val="28"/>
              <w:bidi w:val="0"/>
            </w:pPr>
            <w:r>
              <w:t>0.2~0.5</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01CFF746">
            <w:pPr>
              <w:pStyle w:val="28"/>
              <w:bidi w:val="0"/>
            </w:pPr>
            <w:r>
              <w:t>0.01</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4EBD40E4">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7123189E">
            <w:pPr>
              <w:pStyle w:val="28"/>
              <w:bidi w:val="0"/>
            </w:pPr>
            <w:r>
              <w:t>弃土区</w:t>
            </w:r>
          </w:p>
        </w:tc>
      </w:tr>
      <w:tr w14:paraId="3B2C1E8F">
        <w:tblPrEx>
          <w:tblCellMar>
            <w:top w:w="0" w:type="dxa"/>
            <w:left w:w="108" w:type="dxa"/>
            <w:bottom w:w="0" w:type="dxa"/>
            <w:right w:w="108" w:type="dxa"/>
          </w:tblCellMar>
        </w:tblPrEx>
        <w:trPr>
          <w:trHeight w:val="340" w:hRule="atLeast"/>
          <w:jc w:val="center"/>
        </w:trPr>
        <w:tc>
          <w:tcPr>
            <w:tcW w:w="175" w:type="pct"/>
            <w:tcBorders>
              <w:top w:val="single" w:color="000000" w:sz="4" w:space="0"/>
              <w:left w:val="single" w:color="000000" w:sz="4" w:space="0"/>
              <w:bottom w:val="single" w:color="000000" w:sz="4" w:space="0"/>
              <w:right w:val="single" w:color="000000" w:sz="4" w:space="0"/>
            </w:tcBorders>
            <w:noWrap/>
            <w:vAlign w:val="center"/>
          </w:tcPr>
          <w:p w14:paraId="4A105DE8">
            <w:pPr>
              <w:pStyle w:val="28"/>
              <w:bidi w:val="0"/>
            </w:pPr>
            <w:r>
              <w:t>32</w:t>
            </w:r>
          </w:p>
        </w:tc>
        <w:tc>
          <w:tcPr>
            <w:tcW w:w="1887" w:type="pct"/>
            <w:tcBorders>
              <w:top w:val="single" w:color="000000" w:sz="4" w:space="0"/>
              <w:left w:val="single" w:color="000000" w:sz="4" w:space="0"/>
              <w:bottom w:val="single" w:color="000000" w:sz="4" w:space="0"/>
              <w:right w:val="single" w:color="000000" w:sz="4" w:space="0"/>
            </w:tcBorders>
            <w:noWrap/>
            <w:vAlign w:val="center"/>
          </w:tcPr>
          <w:p w14:paraId="1323900E">
            <w:pPr>
              <w:pStyle w:val="28"/>
              <w:bidi w:val="0"/>
            </w:pPr>
            <w:r>
              <w:t>舒庐干渠马田支渠0+000～5+000段续建配套与现代化改造工程</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5CB2E464">
            <w:pPr>
              <w:pStyle w:val="28"/>
              <w:bidi w:val="0"/>
            </w:pPr>
            <w:r>
              <w:t>1.20</w:t>
            </w:r>
          </w:p>
        </w:tc>
        <w:tc>
          <w:tcPr>
            <w:tcW w:w="407" w:type="pct"/>
            <w:tcBorders>
              <w:top w:val="single" w:color="000000" w:sz="4" w:space="0"/>
              <w:left w:val="single" w:color="000000" w:sz="4" w:space="0"/>
              <w:bottom w:val="single" w:color="000000" w:sz="4" w:space="0"/>
              <w:right w:val="single" w:color="000000" w:sz="4" w:space="0"/>
            </w:tcBorders>
            <w:vAlign w:val="center"/>
          </w:tcPr>
          <w:p w14:paraId="62BE22F6">
            <w:pPr>
              <w:pStyle w:val="28"/>
              <w:bidi w:val="0"/>
            </w:pPr>
            <w:r>
              <w:t>4.25</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408C5AEC">
            <w:pPr>
              <w:pStyle w:val="28"/>
              <w:bidi w:val="0"/>
            </w:pPr>
            <w:r>
              <w:t>1~3</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630338DC">
            <w:pPr>
              <w:pStyle w:val="28"/>
              <w:bidi w:val="0"/>
            </w:pPr>
            <w:r>
              <w:t>0.2~0.5</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79314353">
            <w:pPr>
              <w:pStyle w:val="28"/>
              <w:bidi w:val="0"/>
            </w:pPr>
            <w:r>
              <w:t>0.54</w:t>
            </w:r>
          </w:p>
        </w:tc>
        <w:tc>
          <w:tcPr>
            <w:tcW w:w="585" w:type="pct"/>
            <w:tcBorders>
              <w:top w:val="single" w:color="000000" w:sz="4" w:space="0"/>
              <w:left w:val="single" w:color="000000" w:sz="4" w:space="0"/>
              <w:bottom w:val="single" w:color="000000" w:sz="4" w:space="0"/>
              <w:right w:val="single" w:color="000000" w:sz="4" w:space="0"/>
            </w:tcBorders>
            <w:noWrap/>
            <w:vAlign w:val="center"/>
          </w:tcPr>
          <w:p w14:paraId="0C329FF3">
            <w:pPr>
              <w:pStyle w:val="28"/>
              <w:bidi w:val="0"/>
            </w:pPr>
            <w:r>
              <w:t>渠道及建筑物开挖弃方</w:t>
            </w:r>
          </w:p>
        </w:tc>
        <w:tc>
          <w:tcPr>
            <w:tcW w:w="278" w:type="pct"/>
            <w:tcBorders>
              <w:top w:val="single" w:color="000000" w:sz="4" w:space="0"/>
              <w:left w:val="single" w:color="000000" w:sz="4" w:space="0"/>
              <w:bottom w:val="single" w:color="000000" w:sz="4" w:space="0"/>
              <w:right w:val="single" w:color="000000" w:sz="4" w:space="0"/>
            </w:tcBorders>
            <w:noWrap/>
            <w:vAlign w:val="center"/>
          </w:tcPr>
          <w:p w14:paraId="11A13D6B">
            <w:pPr>
              <w:pStyle w:val="28"/>
              <w:bidi w:val="0"/>
            </w:pPr>
            <w:r>
              <w:t>弃土区</w:t>
            </w:r>
          </w:p>
        </w:tc>
      </w:tr>
      <w:tr w14:paraId="322D8537">
        <w:tblPrEx>
          <w:tblCellMar>
            <w:top w:w="0" w:type="dxa"/>
            <w:left w:w="108" w:type="dxa"/>
            <w:bottom w:w="0" w:type="dxa"/>
            <w:right w:w="108" w:type="dxa"/>
          </w:tblCellMar>
        </w:tblPrEx>
        <w:trPr>
          <w:trHeight w:val="340" w:hRule="atLeast"/>
          <w:jc w:val="center"/>
        </w:trPr>
        <w:tc>
          <w:tcPr>
            <w:tcW w:w="2062" w:type="pct"/>
            <w:gridSpan w:val="2"/>
            <w:tcBorders>
              <w:top w:val="single" w:color="000000" w:sz="4" w:space="0"/>
              <w:left w:val="single" w:color="000000" w:sz="4" w:space="0"/>
              <w:bottom w:val="single" w:color="000000" w:sz="4" w:space="0"/>
              <w:right w:val="single" w:color="000000" w:sz="4" w:space="0"/>
            </w:tcBorders>
            <w:noWrap/>
            <w:vAlign w:val="center"/>
          </w:tcPr>
          <w:p w14:paraId="3928C3D4">
            <w:pPr>
              <w:pStyle w:val="28"/>
              <w:bidi w:val="0"/>
            </w:pPr>
            <w:r>
              <w:t>合计</w:t>
            </w:r>
          </w:p>
        </w:tc>
        <w:tc>
          <w:tcPr>
            <w:tcW w:w="399" w:type="pct"/>
            <w:tcBorders>
              <w:top w:val="single" w:color="000000" w:sz="4" w:space="0"/>
              <w:left w:val="single" w:color="000000" w:sz="4" w:space="0"/>
              <w:bottom w:val="single" w:color="000000" w:sz="4" w:space="0"/>
              <w:right w:val="single" w:color="000000" w:sz="4" w:space="0"/>
            </w:tcBorders>
            <w:noWrap/>
            <w:vAlign w:val="center"/>
          </w:tcPr>
          <w:p w14:paraId="20526D99">
            <w:pPr>
              <w:pStyle w:val="28"/>
              <w:bidi w:val="0"/>
            </w:pPr>
            <w:r>
              <w:t>174.54</w:t>
            </w:r>
          </w:p>
        </w:tc>
        <w:tc>
          <w:tcPr>
            <w:tcW w:w="407" w:type="pct"/>
            <w:tcBorders>
              <w:top w:val="single" w:color="000000" w:sz="4" w:space="0"/>
              <w:left w:val="single" w:color="000000" w:sz="4" w:space="0"/>
              <w:bottom w:val="single" w:color="000000" w:sz="4" w:space="0"/>
              <w:right w:val="single" w:color="000000" w:sz="4" w:space="0"/>
            </w:tcBorders>
            <w:vAlign w:val="center"/>
          </w:tcPr>
          <w:p w14:paraId="3B2E26D2">
            <w:pPr>
              <w:pStyle w:val="28"/>
              <w:bidi w:val="0"/>
            </w:pPr>
            <w:r>
              <w:rPr>
                <w:rFonts w:hint="eastAsia"/>
              </w:rPr>
              <w:t>72.39</w:t>
            </w:r>
          </w:p>
        </w:tc>
        <w:tc>
          <w:tcPr>
            <w:tcW w:w="382" w:type="pct"/>
            <w:tcBorders>
              <w:top w:val="single" w:color="000000" w:sz="4" w:space="0"/>
              <w:left w:val="single" w:color="000000" w:sz="4" w:space="0"/>
              <w:bottom w:val="single" w:color="000000" w:sz="4" w:space="0"/>
              <w:right w:val="single" w:color="000000" w:sz="4" w:space="0"/>
            </w:tcBorders>
            <w:noWrap/>
            <w:vAlign w:val="center"/>
          </w:tcPr>
          <w:p w14:paraId="7510F371">
            <w:pPr>
              <w:pStyle w:val="28"/>
              <w:bidi w:val="0"/>
            </w:pPr>
            <w:r>
              <w:t>/</w:t>
            </w:r>
          </w:p>
        </w:tc>
        <w:tc>
          <w:tcPr>
            <w:tcW w:w="433" w:type="pct"/>
            <w:tcBorders>
              <w:top w:val="single" w:color="000000" w:sz="4" w:space="0"/>
              <w:left w:val="single" w:color="000000" w:sz="4" w:space="0"/>
              <w:bottom w:val="single" w:color="000000" w:sz="4" w:space="0"/>
              <w:right w:val="single" w:color="000000" w:sz="4" w:space="0"/>
            </w:tcBorders>
            <w:noWrap/>
            <w:vAlign w:val="center"/>
          </w:tcPr>
          <w:p w14:paraId="56F9A56E">
            <w:pPr>
              <w:pStyle w:val="28"/>
              <w:bidi w:val="0"/>
            </w:pPr>
            <w:r>
              <w:t>/</w:t>
            </w:r>
          </w:p>
        </w:tc>
        <w:tc>
          <w:tcPr>
            <w:tcW w:w="450" w:type="pct"/>
            <w:tcBorders>
              <w:top w:val="single" w:color="000000" w:sz="4" w:space="0"/>
              <w:left w:val="single" w:color="000000" w:sz="4" w:space="0"/>
              <w:bottom w:val="single" w:color="000000" w:sz="4" w:space="0"/>
              <w:right w:val="single" w:color="000000" w:sz="4" w:space="0"/>
            </w:tcBorders>
            <w:noWrap/>
            <w:vAlign w:val="center"/>
          </w:tcPr>
          <w:p w14:paraId="377304FB">
            <w:pPr>
              <w:pStyle w:val="28"/>
              <w:bidi w:val="0"/>
            </w:pPr>
            <w:r>
              <w:t>26.13</w:t>
            </w:r>
          </w:p>
        </w:tc>
        <w:tc>
          <w:tcPr>
            <w:tcW w:w="1718" w:type="dxa"/>
            <w:tcBorders>
              <w:top w:val="single" w:color="000000" w:sz="4" w:space="0"/>
              <w:left w:val="single" w:color="000000" w:sz="4" w:space="0"/>
              <w:bottom w:val="single" w:color="000000" w:sz="4" w:space="0"/>
              <w:right w:val="single" w:color="000000" w:sz="4" w:space="0"/>
            </w:tcBorders>
            <w:noWrap/>
            <w:vAlign w:val="center"/>
          </w:tcPr>
          <w:p w14:paraId="7512D78A">
            <w:pPr>
              <w:pStyle w:val="28"/>
              <w:bidi w:val="0"/>
            </w:pPr>
            <w:r>
              <w:t>/</w:t>
            </w:r>
          </w:p>
        </w:tc>
        <w:tc>
          <w:tcPr>
            <w:tcW w:w="817" w:type="dxa"/>
            <w:tcBorders>
              <w:top w:val="single" w:color="000000" w:sz="4" w:space="0"/>
              <w:left w:val="single" w:color="000000" w:sz="4" w:space="0"/>
              <w:bottom w:val="single" w:color="000000" w:sz="4" w:space="0"/>
              <w:right w:val="single" w:color="000000" w:sz="4" w:space="0"/>
            </w:tcBorders>
            <w:noWrap/>
            <w:vAlign w:val="center"/>
          </w:tcPr>
          <w:p w14:paraId="1F2209AD">
            <w:pPr>
              <w:pStyle w:val="28"/>
              <w:bidi w:val="0"/>
            </w:pPr>
            <w:r>
              <w:t>/</w:t>
            </w:r>
          </w:p>
        </w:tc>
      </w:tr>
    </w:tbl>
    <w:p w14:paraId="26848FBC">
      <w:pPr>
        <w:spacing w:line="240" w:lineRule="auto"/>
        <w:ind w:firstLine="480"/>
        <w:rPr>
          <w:rFonts w:cs="Times New Roman"/>
          <w:color w:val="0000FF"/>
        </w:rPr>
      </w:pPr>
    </w:p>
    <w:p w14:paraId="34A09F86">
      <w:pPr>
        <w:ind w:firstLine="480"/>
        <w:rPr>
          <w:rFonts w:cs="Times New Roman"/>
          <w:color w:val="0000FF"/>
        </w:rPr>
        <w:sectPr>
          <w:pgSz w:w="11905" w:h="16838"/>
          <w:pgMar w:top="1417" w:right="1417" w:bottom="1417" w:left="1417" w:header="850" w:footer="850" w:gutter="0"/>
          <w:pgNumType w:fmt="decimal"/>
          <w:cols w:space="0" w:num="1"/>
          <w:rtlGutter w:val="0"/>
          <w:docGrid w:linePitch="326" w:charSpace="0"/>
        </w:sectPr>
      </w:pPr>
    </w:p>
    <w:p w14:paraId="5B2011EA">
      <w:pPr>
        <w:ind w:firstLine="480"/>
        <w:rPr>
          <w:rFonts w:cs="Times New Roman"/>
          <w:color w:val="0000FF"/>
        </w:rPr>
      </w:pPr>
      <w:r>
        <w:rPr>
          <w:rFonts w:cs="Times New Roman"/>
          <w:color w:val="0000FF"/>
        </w:rPr>
        <w:t>施工期应严格按照设计将弃方运送至指定弃土区，不可随意堆放，同时对弃土堆放区进行定期洒水，防止风吹扬尘，或者使用薄膜覆盖防风和降雨；堆放过程中要严格按照设计控制堆放高度，并采取建设围挡等措施防止其被冲刷流失，后期进行土地复垦或植被恢复。</w:t>
      </w:r>
    </w:p>
    <w:p w14:paraId="61995B4E">
      <w:pPr>
        <w:ind w:firstLine="480"/>
        <w:rPr>
          <w:rFonts w:cs="Times New Roman"/>
          <w:color w:val="0000FF"/>
        </w:rPr>
      </w:pPr>
      <w:r>
        <w:rPr>
          <w:rFonts w:cs="Times New Roman"/>
          <w:color w:val="0000FF"/>
        </w:rPr>
        <w:t>（3）混凝土养护废渣</w:t>
      </w:r>
    </w:p>
    <w:p w14:paraId="2B642D23">
      <w:pPr>
        <w:ind w:firstLine="480"/>
        <w:rPr>
          <w:rFonts w:cs="Times New Roman"/>
          <w:color w:val="0000FF"/>
        </w:rPr>
      </w:pPr>
      <w:r>
        <w:rPr>
          <w:rFonts w:cs="Times New Roman"/>
          <w:color w:val="0000FF"/>
        </w:rPr>
        <w:t>混凝土养护过程会产生一些混凝土边角料，根据生态环境部发布的《排放源统计调查产排污核算方法和系数手册》，</w:t>
      </w:r>
      <w:r>
        <w:rPr>
          <w:rFonts w:cs="Times New Roman"/>
          <w:b/>
          <w:bCs/>
          <w:color w:val="0000FF"/>
        </w:rPr>
        <w:t>3021</w:t>
      </w:r>
      <w:r>
        <w:rPr>
          <w:rFonts w:cs="Times New Roman"/>
          <w:color w:val="0000FF"/>
        </w:rPr>
        <w:t>水泥制品制造业-水泥制品-养护工序的工业固废产生系数为4.5*10</w:t>
      </w:r>
      <w:r>
        <w:rPr>
          <w:rFonts w:cs="Times New Roman"/>
          <w:color w:val="0000FF"/>
          <w:vertAlign w:val="superscript"/>
        </w:rPr>
        <w:t>-5</w:t>
      </w:r>
      <w:r>
        <w:rPr>
          <w:rFonts w:cs="Times New Roman"/>
          <w:color w:val="0000FF"/>
        </w:rPr>
        <w:t>t/t产品，项目共需要使用商砼和钢筋砼39.8万m</w:t>
      </w:r>
      <w:r>
        <w:rPr>
          <w:rFonts w:cs="Times New Roman"/>
          <w:color w:val="0000FF"/>
          <w:vertAlign w:val="superscript"/>
        </w:rPr>
        <w:t>3</w:t>
      </w:r>
      <w:r>
        <w:rPr>
          <w:rFonts w:cs="Times New Roman"/>
          <w:color w:val="0000FF"/>
        </w:rPr>
        <w:t>（111.56万t），养护废渣产生量为41.23t。</w:t>
      </w:r>
    </w:p>
    <w:p w14:paraId="726AB68A">
      <w:pPr>
        <w:ind w:firstLine="480"/>
        <w:rPr>
          <w:rFonts w:cs="Times New Roman"/>
          <w:color w:val="0000FF"/>
        </w:rPr>
      </w:pPr>
      <w:r>
        <w:rPr>
          <w:rFonts w:cs="Times New Roman"/>
          <w:color w:val="0000FF"/>
        </w:rPr>
        <w:t>（4）建筑垃圾</w:t>
      </w:r>
    </w:p>
    <w:p w14:paraId="539E3B51">
      <w:pPr>
        <w:ind w:firstLine="480"/>
        <w:rPr>
          <w:rFonts w:cs="Times New Roman"/>
          <w:color w:val="0000FF"/>
        </w:rPr>
      </w:pPr>
      <w:r>
        <w:rPr>
          <w:rFonts w:cs="Times New Roman"/>
          <w:color w:val="0000FF"/>
        </w:rPr>
        <w:t>工程中建筑物垃圾主要来源于建筑物、道路工程中的拆除建筑产生的建筑垃圾。主体工程中1530座渠系建筑物拆除重建或维修加固以及渠道工程与管理道路等原砼拆除，共计约产生建筑物垃圾9000m</w:t>
      </w:r>
      <w:r>
        <w:rPr>
          <w:rFonts w:cs="Times New Roman"/>
          <w:color w:val="0000FF"/>
          <w:vertAlign w:val="superscript"/>
        </w:rPr>
        <w:t>3</w:t>
      </w:r>
      <w:r>
        <w:rPr>
          <w:rFonts w:cs="Times New Roman"/>
          <w:color w:val="0000FF"/>
        </w:rPr>
        <w:t>（207000t）。拆除重建1309.11m</w:t>
      </w:r>
      <w:r>
        <w:rPr>
          <w:rFonts w:cs="Times New Roman"/>
          <w:color w:val="0000FF"/>
          <w:vertAlign w:val="superscript"/>
        </w:rPr>
        <w:t>2</w:t>
      </w:r>
      <w:r>
        <w:rPr>
          <w:rFonts w:cs="Times New Roman"/>
          <w:color w:val="0000FF"/>
        </w:rPr>
        <w:t>管理房，拆迁过程将产生一定的建筑垃圾，按5000t/万m</w:t>
      </w:r>
      <w:r>
        <w:rPr>
          <w:rFonts w:cs="Times New Roman"/>
          <w:color w:val="0000FF"/>
          <w:vertAlign w:val="superscript"/>
        </w:rPr>
        <w:t>2</w:t>
      </w:r>
      <w:r>
        <w:rPr>
          <w:rFonts w:cs="Times New Roman"/>
          <w:color w:val="0000FF"/>
        </w:rPr>
        <w:t>计，则产生建筑垃圾654.6t，共计产生建筑垃圾207654.6t。</w:t>
      </w:r>
    </w:p>
    <w:p w14:paraId="7D633841">
      <w:pPr>
        <w:ind w:firstLine="480"/>
        <w:rPr>
          <w:rFonts w:cs="Times New Roman"/>
          <w:color w:val="0000FF"/>
        </w:rPr>
      </w:pPr>
      <w:r>
        <w:rPr>
          <w:rFonts w:cs="Times New Roman"/>
          <w:color w:val="0000FF"/>
        </w:rPr>
        <w:t>（5）危险废物</w:t>
      </w:r>
    </w:p>
    <w:p w14:paraId="71779026">
      <w:pPr>
        <w:ind w:firstLine="480"/>
        <w:rPr>
          <w:rFonts w:cs="Times New Roman"/>
          <w:color w:val="0000FF"/>
        </w:rPr>
      </w:pPr>
      <w:r>
        <w:rPr>
          <w:rFonts w:cs="Times New Roman"/>
          <w:color w:val="0000FF"/>
        </w:rPr>
        <w:t>项目施工过程中产生的危废包括施工机械和车辆日常检修和维护产生少量废机油及包装容器、樊通桥渠下涵工程使用产生的废涂料及包装容器。废机油及其包装容器属于危险废物，危废类别为HW08，900-249-08；樊通桥渠下涵工程施工过程会产生废弃涂料，属于危险废物，危废类别为HW12，900-251-12；其包装容器属于HW49，900-041-49。各施工区集中收集，并交由有危险废物处置资质的专门机构进行安全处置。其中废机油及其包装容器产生量约为1.8t/a，含油抹布产生量约为1t/a；废弃涂料量约为0.5t/a，废包装容器产生量为4t/a。</w:t>
      </w:r>
    </w:p>
    <w:p w14:paraId="47C5A5CE">
      <w:pPr>
        <w:ind w:firstLine="480"/>
        <w:rPr>
          <w:rFonts w:cs="Times New Roman"/>
          <w:color w:val="0000FF"/>
        </w:rPr>
      </w:pPr>
      <w:r>
        <w:rPr>
          <w:rFonts w:cs="Times New Roman"/>
          <w:color w:val="0000FF"/>
        </w:rPr>
        <w:t>项目设置车辆、设备冲洗废水沉淀池，机械车辆冲洗维修排放的污水中悬浮物和石油类浓度较高，施工结束后清捞沉淀池中的含油污泥，根据建设单位监督施工经验，沉淀池污泥产生量约为1kg/d·辆车，项目设置约974辆汽油/柴油车辆、设备，施工期合计产生量为654.53t，年平均产生量327.26t/a，含油污泥属于危险废物，危废类别为HW08，900-210-08，各施工区集中收集，暂存于管理房危险废物仓库，交由有资质的单位处置。</w:t>
      </w:r>
    </w:p>
    <w:p w14:paraId="4315E11E">
      <w:pPr>
        <w:pStyle w:val="5"/>
        <w:rPr>
          <w:rFonts w:cs="Times New Roman"/>
          <w:color w:val="0000FF"/>
        </w:rPr>
      </w:pPr>
      <w:r>
        <w:rPr>
          <w:rFonts w:cs="Times New Roman"/>
          <w:color w:val="0000FF"/>
        </w:rPr>
        <w:t>3.2.3.5 生态环境</w:t>
      </w:r>
    </w:p>
    <w:p w14:paraId="4B6662E2">
      <w:pPr>
        <w:pStyle w:val="6"/>
        <w:ind w:firstLine="482"/>
        <w:rPr>
          <w:color w:val="0000FF"/>
        </w:rPr>
      </w:pPr>
      <w:r>
        <w:rPr>
          <w:color w:val="0000FF"/>
        </w:rPr>
        <w:t>1、工程占地的影响</w:t>
      </w:r>
    </w:p>
    <w:p w14:paraId="447AEC2F">
      <w:pPr>
        <w:ind w:firstLine="480"/>
        <w:rPr>
          <w:rFonts w:cs="Times New Roman"/>
          <w:color w:val="0000FF"/>
        </w:rPr>
      </w:pPr>
      <w:r>
        <w:rPr>
          <w:rFonts w:cs="Times New Roman"/>
          <w:color w:val="0000FF"/>
        </w:rPr>
        <w:t>项目永久占地</w:t>
      </w:r>
      <w:r>
        <w:rPr>
          <w:rFonts w:hint="eastAsia" w:cs="Times New Roman"/>
          <w:color w:val="0000FF"/>
        </w:rPr>
        <w:t>445.83</w:t>
      </w:r>
      <w:r>
        <w:rPr>
          <w:rFonts w:cs="Times New Roman"/>
          <w:color w:val="0000FF"/>
        </w:rPr>
        <w:t>hm</w:t>
      </w:r>
      <w:r>
        <w:rPr>
          <w:rFonts w:cs="Times New Roman"/>
          <w:color w:val="0000FF"/>
          <w:vertAlign w:val="superscript"/>
        </w:rPr>
        <w:t>2</w:t>
      </w:r>
      <w:r>
        <w:rPr>
          <w:rFonts w:cs="Times New Roman"/>
          <w:color w:val="0000FF"/>
        </w:rPr>
        <w:t>，均在渠道管理范围内，为已征用地。</w:t>
      </w:r>
    </w:p>
    <w:p w14:paraId="1A788785">
      <w:pPr>
        <w:ind w:firstLine="480"/>
        <w:rPr>
          <w:rFonts w:cs="Times New Roman"/>
          <w:color w:val="0000FF"/>
        </w:rPr>
      </w:pPr>
      <w:r>
        <w:rPr>
          <w:rFonts w:cs="Times New Roman"/>
          <w:color w:val="0000FF"/>
        </w:rPr>
        <w:t>项目新增临时占地</w:t>
      </w:r>
      <w:r>
        <w:rPr>
          <w:rFonts w:hint="eastAsia" w:cs="Times New Roman"/>
          <w:color w:val="0000FF"/>
        </w:rPr>
        <w:t>167.15</w:t>
      </w:r>
      <w:r>
        <w:rPr>
          <w:rFonts w:cs="Times New Roman"/>
          <w:color w:val="0000FF"/>
        </w:rPr>
        <w:t>hm</w:t>
      </w:r>
      <w:r>
        <w:rPr>
          <w:rFonts w:cs="Times New Roman"/>
          <w:color w:val="0000FF"/>
          <w:vertAlign w:val="superscript"/>
        </w:rPr>
        <w:t>2</w:t>
      </w:r>
      <w:r>
        <w:rPr>
          <w:rFonts w:cs="Times New Roman"/>
          <w:color w:val="0000FF"/>
        </w:rPr>
        <w:t>，临时占地包括取土区占地，弃土占地，临时堆土占地，施工布置占地和临时施工道路占地等。</w:t>
      </w:r>
    </w:p>
    <w:p w14:paraId="76EE2DED">
      <w:pPr>
        <w:ind w:firstLine="480"/>
        <w:rPr>
          <w:rFonts w:cs="Times New Roman"/>
          <w:color w:val="0000FF"/>
        </w:rPr>
      </w:pPr>
      <w:r>
        <w:rPr>
          <w:rFonts w:cs="Times New Roman"/>
          <w:color w:val="0000FF"/>
        </w:rPr>
        <w:t>本次工程施工占地影响主要表现在建设施工对土地资源的占用方面。工程所占土地类型主要为耕地、水域及水利设施用、交通设施用地等，工程施工占地将使土壤环境发生改变，造成被占地部分土地生产和使用功能的部分和全部丧失，改变了土地的利用格局，增加了人类对土壤自然状况的干扰程度。</w:t>
      </w:r>
    </w:p>
    <w:p w14:paraId="5BE36533">
      <w:pPr>
        <w:ind w:firstLine="480"/>
        <w:rPr>
          <w:rFonts w:cs="Times New Roman"/>
          <w:color w:val="0000FF"/>
        </w:rPr>
      </w:pPr>
      <w:r>
        <w:rPr>
          <w:rFonts w:cs="Times New Roman"/>
          <w:color w:val="0000FF"/>
        </w:rPr>
        <w:t>施工道路、施工营地、取弃土区等临时占地对人工林木、农田、草地和动物栖息地造成破坏，临时占地随工程建成后将进行复垦或复耕。部分临时占地不能复耕成耕地原状，耕地生产力在一定时间内有所下降。</w:t>
      </w:r>
    </w:p>
    <w:p w14:paraId="31D35260">
      <w:pPr>
        <w:pStyle w:val="6"/>
        <w:ind w:firstLine="482"/>
        <w:rPr>
          <w:color w:val="0000FF"/>
        </w:rPr>
      </w:pPr>
      <w:r>
        <w:rPr>
          <w:color w:val="0000FF"/>
        </w:rPr>
        <w:t>2、水生生态的影响</w:t>
      </w:r>
    </w:p>
    <w:p w14:paraId="531F7F0F">
      <w:pPr>
        <w:ind w:firstLine="480"/>
        <w:rPr>
          <w:rFonts w:cs="Times New Roman"/>
          <w:color w:val="0000FF"/>
        </w:rPr>
      </w:pPr>
      <w:r>
        <w:rPr>
          <w:rFonts w:cs="Times New Roman"/>
          <w:color w:val="0000FF"/>
        </w:rPr>
        <w:t>根据水利工程施特点，本项目大部分任务安排在枯水期进行堤防加固工程、护坡防汛道路多在干地施工，本次工程任务中对水生境有影响的工程或</w:t>
      </w:r>
      <w:r>
        <w:rPr>
          <w:rFonts w:hint="eastAsia" w:cs="Times New Roman"/>
          <w:color w:val="0000FF"/>
        </w:rPr>
        <w:t>施工</w:t>
      </w:r>
      <w:r>
        <w:rPr>
          <w:rFonts w:cs="Times New Roman"/>
          <w:color w:val="0000FF"/>
        </w:rPr>
        <w:t>环节包括：①渠道清淤；②穿堤建筑物施工过程中的施工围堰填筑、拆除重建等。</w:t>
      </w:r>
    </w:p>
    <w:p w14:paraId="5E072C01">
      <w:pPr>
        <w:pStyle w:val="5"/>
        <w:rPr>
          <w:rFonts w:cs="Times New Roman"/>
          <w:color w:val="0000FF"/>
        </w:rPr>
      </w:pPr>
      <w:r>
        <w:rPr>
          <w:rFonts w:cs="Times New Roman"/>
          <w:color w:val="0000FF"/>
        </w:rPr>
        <w:t>3.2.3.6 施工期污染物源强及拟采取的环保措施</w:t>
      </w:r>
    </w:p>
    <w:p w14:paraId="3CD9318A">
      <w:pPr>
        <w:ind w:firstLine="480"/>
        <w:rPr>
          <w:rFonts w:cs="Times New Roman"/>
          <w:color w:val="0000FF"/>
        </w:rPr>
      </w:pPr>
      <w:r>
        <w:rPr>
          <w:rFonts w:cs="Times New Roman"/>
          <w:color w:val="0000FF"/>
        </w:rPr>
        <w:t>施工期污染物源强及拟采取的环保措施汇总如下表：</w:t>
      </w:r>
    </w:p>
    <w:p w14:paraId="7E461721">
      <w:pPr>
        <w:rPr>
          <w:color w:val="0000FF"/>
        </w:rPr>
      </w:pPr>
      <w:r>
        <w:rPr>
          <w:color w:val="0000FF"/>
        </w:rPr>
        <w:t>表3-2-</w:t>
      </w:r>
      <w:r>
        <w:rPr>
          <w:rFonts w:hint="eastAsia"/>
          <w:color w:val="0000FF"/>
        </w:rPr>
        <w:t>6</w:t>
      </w:r>
      <w:r>
        <w:rPr>
          <w:color w:val="0000FF"/>
        </w:rPr>
        <w:t xml:space="preserve">  施工期污染物源强及拟采取的环保措施汇总</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9"/>
        <w:gridCol w:w="788"/>
        <w:gridCol w:w="1613"/>
        <w:gridCol w:w="2323"/>
        <w:gridCol w:w="2800"/>
        <w:gridCol w:w="1134"/>
      </w:tblGrid>
      <w:tr w14:paraId="75ED9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Align w:val="center"/>
          </w:tcPr>
          <w:p w14:paraId="3253AAA4">
            <w:pPr>
              <w:pStyle w:val="28"/>
              <w:bidi w:val="0"/>
            </w:pPr>
            <w:r>
              <w:t>阶段</w:t>
            </w:r>
          </w:p>
        </w:tc>
        <w:tc>
          <w:tcPr>
            <w:tcW w:w="1292" w:type="pct"/>
            <w:gridSpan w:val="2"/>
            <w:vAlign w:val="center"/>
          </w:tcPr>
          <w:p w14:paraId="0F7D55EF">
            <w:pPr>
              <w:pStyle w:val="28"/>
              <w:bidi w:val="0"/>
            </w:pPr>
            <w:r>
              <w:t>影响源</w:t>
            </w:r>
          </w:p>
        </w:tc>
        <w:tc>
          <w:tcPr>
            <w:tcW w:w="1250" w:type="pct"/>
            <w:vAlign w:val="center"/>
          </w:tcPr>
          <w:p w14:paraId="25F0C678">
            <w:pPr>
              <w:pStyle w:val="28"/>
              <w:bidi w:val="0"/>
            </w:pPr>
            <w:r>
              <w:t>主要污染物及产生强度</w:t>
            </w:r>
          </w:p>
        </w:tc>
        <w:tc>
          <w:tcPr>
            <w:tcW w:w="1507" w:type="pct"/>
            <w:vAlign w:val="center"/>
          </w:tcPr>
          <w:p w14:paraId="4806046D">
            <w:pPr>
              <w:pStyle w:val="28"/>
              <w:bidi w:val="0"/>
            </w:pPr>
            <w:r>
              <w:t>拟采取的环保措施</w:t>
            </w:r>
          </w:p>
        </w:tc>
        <w:tc>
          <w:tcPr>
            <w:tcW w:w="610" w:type="pct"/>
            <w:vAlign w:val="center"/>
          </w:tcPr>
          <w:p w14:paraId="38BD8C51">
            <w:pPr>
              <w:pStyle w:val="28"/>
              <w:bidi w:val="0"/>
            </w:pPr>
            <w:r>
              <w:t>最终去向</w:t>
            </w:r>
          </w:p>
        </w:tc>
      </w:tr>
      <w:tr w14:paraId="3937C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restart"/>
            <w:vAlign w:val="center"/>
          </w:tcPr>
          <w:p w14:paraId="404118B5">
            <w:pPr>
              <w:pStyle w:val="28"/>
              <w:bidi w:val="0"/>
            </w:pPr>
            <w:r>
              <w:t>施工期</w:t>
            </w:r>
          </w:p>
        </w:tc>
        <w:tc>
          <w:tcPr>
            <w:tcW w:w="424" w:type="pct"/>
            <w:vMerge w:val="restart"/>
            <w:vAlign w:val="center"/>
          </w:tcPr>
          <w:p w14:paraId="4A68F720">
            <w:pPr>
              <w:pStyle w:val="28"/>
              <w:bidi w:val="0"/>
            </w:pPr>
            <w:r>
              <w:t>废水</w:t>
            </w:r>
          </w:p>
        </w:tc>
        <w:tc>
          <w:tcPr>
            <w:tcW w:w="868" w:type="pct"/>
            <w:vAlign w:val="center"/>
          </w:tcPr>
          <w:p w14:paraId="507CB198">
            <w:pPr>
              <w:pStyle w:val="28"/>
              <w:bidi w:val="0"/>
            </w:pPr>
            <w:r>
              <w:t>商品混凝土搅拌系统废水</w:t>
            </w:r>
          </w:p>
        </w:tc>
        <w:tc>
          <w:tcPr>
            <w:tcW w:w="1250" w:type="pct"/>
            <w:vAlign w:val="center"/>
          </w:tcPr>
          <w:p w14:paraId="182F2DD3">
            <w:pPr>
              <w:pStyle w:val="28"/>
              <w:bidi w:val="0"/>
            </w:pPr>
            <w:r>
              <w:t>SS2000mg/L，37.8m3/d</w:t>
            </w:r>
          </w:p>
        </w:tc>
        <w:tc>
          <w:tcPr>
            <w:tcW w:w="1507" w:type="pct"/>
            <w:vAlign w:val="center"/>
          </w:tcPr>
          <w:p w14:paraId="6EA0622A">
            <w:pPr>
              <w:pStyle w:val="28"/>
              <w:bidi w:val="0"/>
            </w:pPr>
            <w:r>
              <w:t>中和沉淀处理后回用</w:t>
            </w:r>
          </w:p>
        </w:tc>
        <w:tc>
          <w:tcPr>
            <w:tcW w:w="610" w:type="pct"/>
            <w:vMerge w:val="restart"/>
            <w:vAlign w:val="center"/>
          </w:tcPr>
          <w:p w14:paraId="2EFCEE21">
            <w:pPr>
              <w:pStyle w:val="28"/>
              <w:bidi w:val="0"/>
            </w:pPr>
            <w:r>
              <w:t>不外排</w:t>
            </w:r>
          </w:p>
        </w:tc>
      </w:tr>
      <w:tr w14:paraId="6E996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23311820">
            <w:pPr>
              <w:pStyle w:val="28"/>
              <w:bidi w:val="0"/>
            </w:pPr>
          </w:p>
        </w:tc>
        <w:tc>
          <w:tcPr>
            <w:tcW w:w="424" w:type="pct"/>
            <w:vMerge w:val="continue"/>
            <w:vAlign w:val="center"/>
          </w:tcPr>
          <w:p w14:paraId="0A685DC8">
            <w:pPr>
              <w:pStyle w:val="28"/>
              <w:bidi w:val="0"/>
            </w:pPr>
          </w:p>
        </w:tc>
        <w:tc>
          <w:tcPr>
            <w:tcW w:w="868" w:type="pct"/>
            <w:vAlign w:val="center"/>
          </w:tcPr>
          <w:p w14:paraId="182243C1">
            <w:pPr>
              <w:pStyle w:val="28"/>
              <w:bidi w:val="0"/>
            </w:pPr>
            <w:r>
              <w:t>基坑废水</w:t>
            </w:r>
          </w:p>
        </w:tc>
        <w:tc>
          <w:tcPr>
            <w:tcW w:w="1250" w:type="pct"/>
            <w:vAlign w:val="center"/>
          </w:tcPr>
          <w:p w14:paraId="2457E90A">
            <w:pPr>
              <w:pStyle w:val="28"/>
              <w:bidi w:val="0"/>
            </w:pPr>
            <w:r>
              <w:t>SS2000mg/L</w:t>
            </w:r>
          </w:p>
        </w:tc>
        <w:tc>
          <w:tcPr>
            <w:tcW w:w="1507" w:type="pct"/>
            <w:vAlign w:val="center"/>
          </w:tcPr>
          <w:p w14:paraId="52E504B5">
            <w:pPr>
              <w:pStyle w:val="28"/>
              <w:bidi w:val="0"/>
            </w:pPr>
            <w:r>
              <w:t>设置沉淀池，处理后回用</w:t>
            </w:r>
          </w:p>
        </w:tc>
        <w:tc>
          <w:tcPr>
            <w:tcW w:w="610" w:type="pct"/>
            <w:vMerge w:val="continue"/>
            <w:vAlign w:val="center"/>
          </w:tcPr>
          <w:p w14:paraId="6A8C65B4">
            <w:pPr>
              <w:pStyle w:val="28"/>
              <w:bidi w:val="0"/>
            </w:pPr>
          </w:p>
        </w:tc>
      </w:tr>
      <w:tr w14:paraId="0AADF7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31194F1D">
            <w:pPr>
              <w:pStyle w:val="28"/>
              <w:bidi w:val="0"/>
            </w:pPr>
          </w:p>
        </w:tc>
        <w:tc>
          <w:tcPr>
            <w:tcW w:w="424" w:type="pct"/>
            <w:vMerge w:val="continue"/>
            <w:vAlign w:val="center"/>
          </w:tcPr>
          <w:p w14:paraId="688546F5">
            <w:pPr>
              <w:pStyle w:val="28"/>
              <w:bidi w:val="0"/>
            </w:pPr>
          </w:p>
        </w:tc>
        <w:tc>
          <w:tcPr>
            <w:tcW w:w="868" w:type="pct"/>
            <w:vAlign w:val="center"/>
          </w:tcPr>
          <w:p w14:paraId="19970414">
            <w:pPr>
              <w:pStyle w:val="28"/>
              <w:bidi w:val="0"/>
            </w:pPr>
            <w:r>
              <w:t>施工机械冲洗水</w:t>
            </w:r>
          </w:p>
        </w:tc>
        <w:tc>
          <w:tcPr>
            <w:tcW w:w="1250" w:type="pct"/>
            <w:vAlign w:val="center"/>
          </w:tcPr>
          <w:p w14:paraId="2D346FB9">
            <w:pPr>
              <w:pStyle w:val="28"/>
              <w:bidi w:val="0"/>
            </w:pPr>
            <w:r>
              <w:t>石油类30-50mg/l</w:t>
            </w:r>
          </w:p>
          <w:p w14:paraId="162549EE">
            <w:pPr>
              <w:pStyle w:val="28"/>
              <w:bidi w:val="0"/>
            </w:pPr>
            <w:r>
              <w:t>平均34.4m3/d</w:t>
            </w:r>
          </w:p>
        </w:tc>
        <w:tc>
          <w:tcPr>
            <w:tcW w:w="1507" w:type="pct"/>
            <w:vAlign w:val="center"/>
          </w:tcPr>
          <w:p w14:paraId="7A8D68E5">
            <w:pPr>
              <w:pStyle w:val="28"/>
              <w:bidi w:val="0"/>
            </w:pPr>
            <w:r>
              <w:t>隔油沉淀处理后回用</w:t>
            </w:r>
          </w:p>
        </w:tc>
        <w:tc>
          <w:tcPr>
            <w:tcW w:w="610" w:type="pct"/>
            <w:vAlign w:val="center"/>
          </w:tcPr>
          <w:p w14:paraId="1FC091A0">
            <w:pPr>
              <w:pStyle w:val="28"/>
              <w:bidi w:val="0"/>
            </w:pPr>
            <w:r>
              <w:t>不外排</w:t>
            </w:r>
          </w:p>
        </w:tc>
      </w:tr>
      <w:tr w14:paraId="4FAF0F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69820844">
            <w:pPr>
              <w:pStyle w:val="28"/>
              <w:bidi w:val="0"/>
            </w:pPr>
          </w:p>
        </w:tc>
        <w:tc>
          <w:tcPr>
            <w:tcW w:w="424" w:type="pct"/>
            <w:vMerge w:val="continue"/>
            <w:vAlign w:val="center"/>
          </w:tcPr>
          <w:p w14:paraId="2D36D817">
            <w:pPr>
              <w:pStyle w:val="28"/>
              <w:bidi w:val="0"/>
            </w:pPr>
          </w:p>
        </w:tc>
        <w:tc>
          <w:tcPr>
            <w:tcW w:w="868" w:type="pct"/>
            <w:vAlign w:val="center"/>
          </w:tcPr>
          <w:p w14:paraId="0E15C22B">
            <w:pPr>
              <w:pStyle w:val="28"/>
              <w:bidi w:val="0"/>
            </w:pPr>
            <w:r>
              <w:t>生活污水</w:t>
            </w:r>
          </w:p>
        </w:tc>
        <w:tc>
          <w:tcPr>
            <w:tcW w:w="1250" w:type="pct"/>
            <w:vAlign w:val="center"/>
          </w:tcPr>
          <w:p w14:paraId="78F4F09B">
            <w:pPr>
              <w:pStyle w:val="28"/>
              <w:bidi w:val="0"/>
            </w:pPr>
            <w:r>
              <w:t>COD300mg/L、NH3-N25mg/L，311.62m3/d</w:t>
            </w:r>
          </w:p>
        </w:tc>
        <w:tc>
          <w:tcPr>
            <w:tcW w:w="1507" w:type="pct"/>
            <w:vAlign w:val="center"/>
          </w:tcPr>
          <w:p w14:paraId="4B673500">
            <w:pPr>
              <w:pStyle w:val="28"/>
              <w:bidi w:val="0"/>
            </w:pPr>
            <w:r>
              <w:rPr>
                <w:rFonts w:hint="eastAsia"/>
              </w:rPr>
              <w:t>30</w:t>
            </w:r>
            <w:r>
              <w:t>个施工生活区</w:t>
            </w:r>
            <w:r>
              <w:rPr>
                <w:rFonts w:hint="eastAsia"/>
              </w:rPr>
              <w:t>，</w:t>
            </w:r>
            <w:r>
              <w:t>生活污水依托周边村庄或者经一体化生活污水处理设施处理达到行《农田灌溉水质标准》（GB5084-2021）中“水田作物”标准，用作周边农田灌溉</w:t>
            </w:r>
          </w:p>
        </w:tc>
        <w:tc>
          <w:tcPr>
            <w:tcW w:w="610" w:type="pct"/>
            <w:vAlign w:val="center"/>
          </w:tcPr>
          <w:p w14:paraId="703B5A9E">
            <w:pPr>
              <w:pStyle w:val="28"/>
              <w:bidi w:val="0"/>
            </w:pPr>
            <w:r>
              <w:t>农田</w:t>
            </w:r>
            <w:r>
              <w:rPr>
                <w:rFonts w:hint="eastAsia"/>
              </w:rPr>
              <w:t>灌溉</w:t>
            </w:r>
          </w:p>
        </w:tc>
      </w:tr>
      <w:tr w14:paraId="14F48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5BBD868D">
            <w:pPr>
              <w:pStyle w:val="28"/>
              <w:bidi w:val="0"/>
            </w:pPr>
          </w:p>
        </w:tc>
        <w:tc>
          <w:tcPr>
            <w:tcW w:w="424" w:type="pct"/>
            <w:vMerge w:val="continue"/>
            <w:vAlign w:val="center"/>
          </w:tcPr>
          <w:p w14:paraId="6370075A">
            <w:pPr>
              <w:pStyle w:val="28"/>
              <w:bidi w:val="0"/>
            </w:pPr>
          </w:p>
        </w:tc>
        <w:tc>
          <w:tcPr>
            <w:tcW w:w="868" w:type="pct"/>
            <w:vAlign w:val="center"/>
          </w:tcPr>
          <w:p w14:paraId="151D0DA5">
            <w:pPr>
              <w:pStyle w:val="28"/>
              <w:bidi w:val="0"/>
            </w:pPr>
            <w:r>
              <w:t>生活污水（樊通桥渠下涵、聚星渡槽工程等）</w:t>
            </w:r>
          </w:p>
        </w:tc>
        <w:tc>
          <w:tcPr>
            <w:tcW w:w="1250" w:type="pct"/>
            <w:vAlign w:val="center"/>
          </w:tcPr>
          <w:p w14:paraId="159A8A7C">
            <w:pPr>
              <w:pStyle w:val="28"/>
              <w:bidi w:val="0"/>
            </w:pPr>
            <w:r>
              <w:t>COD300mg/L、NH3-N30mg/L，6.29m3/d</w:t>
            </w:r>
          </w:p>
        </w:tc>
        <w:tc>
          <w:tcPr>
            <w:tcW w:w="1507" w:type="pct"/>
            <w:vAlign w:val="center"/>
          </w:tcPr>
          <w:p w14:paraId="4D09F246">
            <w:pPr>
              <w:pStyle w:val="28"/>
              <w:bidi w:val="0"/>
            </w:pPr>
            <w:r>
              <w:t>不设施工生活区，依托现有民房</w:t>
            </w:r>
          </w:p>
        </w:tc>
        <w:tc>
          <w:tcPr>
            <w:tcW w:w="610" w:type="pct"/>
            <w:vAlign w:val="center"/>
          </w:tcPr>
          <w:p w14:paraId="43E398BE">
            <w:pPr>
              <w:pStyle w:val="28"/>
              <w:bidi w:val="0"/>
            </w:pPr>
            <w:r>
              <w:t>排入现有污水系统中</w:t>
            </w:r>
          </w:p>
        </w:tc>
      </w:tr>
      <w:tr w14:paraId="17E91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47DBEFA0">
            <w:pPr>
              <w:pStyle w:val="28"/>
              <w:bidi w:val="0"/>
            </w:pPr>
          </w:p>
        </w:tc>
        <w:tc>
          <w:tcPr>
            <w:tcW w:w="424" w:type="pct"/>
            <w:vMerge w:val="restart"/>
            <w:vAlign w:val="center"/>
          </w:tcPr>
          <w:p w14:paraId="33127080">
            <w:pPr>
              <w:pStyle w:val="28"/>
              <w:bidi w:val="0"/>
            </w:pPr>
            <w:r>
              <w:t>大气</w:t>
            </w:r>
          </w:p>
        </w:tc>
        <w:tc>
          <w:tcPr>
            <w:tcW w:w="868" w:type="pct"/>
            <w:vAlign w:val="center"/>
          </w:tcPr>
          <w:p w14:paraId="0322BFD2">
            <w:pPr>
              <w:pStyle w:val="28"/>
              <w:bidi w:val="0"/>
            </w:pPr>
            <w:r>
              <w:t>施工扬尘</w:t>
            </w:r>
          </w:p>
        </w:tc>
        <w:tc>
          <w:tcPr>
            <w:tcW w:w="1250" w:type="pct"/>
            <w:vAlign w:val="center"/>
          </w:tcPr>
          <w:p w14:paraId="4433D1AF">
            <w:pPr>
              <w:pStyle w:val="28"/>
              <w:bidi w:val="0"/>
            </w:pPr>
            <w:r>
              <w:t>TSP，0.3-0.5mg/m3</w:t>
            </w:r>
          </w:p>
        </w:tc>
        <w:tc>
          <w:tcPr>
            <w:tcW w:w="1507" w:type="pct"/>
            <w:vMerge w:val="restart"/>
            <w:vAlign w:val="center"/>
          </w:tcPr>
          <w:p w14:paraId="20032535">
            <w:pPr>
              <w:pStyle w:val="28"/>
              <w:bidi w:val="0"/>
            </w:pPr>
            <w:r>
              <w:t>加强洒水、车辆限速、设置围栏等</w:t>
            </w:r>
          </w:p>
        </w:tc>
        <w:tc>
          <w:tcPr>
            <w:tcW w:w="610" w:type="pct"/>
            <w:vMerge w:val="restart"/>
            <w:vAlign w:val="center"/>
          </w:tcPr>
          <w:p w14:paraId="1180EF97">
            <w:pPr>
              <w:pStyle w:val="28"/>
              <w:bidi w:val="0"/>
            </w:pPr>
            <w:r>
              <w:t>需采取降尘等环保措施</w:t>
            </w:r>
          </w:p>
        </w:tc>
      </w:tr>
      <w:tr w14:paraId="63C13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3450652F">
            <w:pPr>
              <w:pStyle w:val="28"/>
              <w:bidi w:val="0"/>
            </w:pPr>
          </w:p>
        </w:tc>
        <w:tc>
          <w:tcPr>
            <w:tcW w:w="424" w:type="pct"/>
            <w:vMerge w:val="continue"/>
            <w:vAlign w:val="center"/>
          </w:tcPr>
          <w:p w14:paraId="52E08678">
            <w:pPr>
              <w:pStyle w:val="28"/>
              <w:bidi w:val="0"/>
            </w:pPr>
          </w:p>
        </w:tc>
        <w:tc>
          <w:tcPr>
            <w:tcW w:w="868" w:type="pct"/>
            <w:vAlign w:val="center"/>
          </w:tcPr>
          <w:p w14:paraId="36AEEB30">
            <w:pPr>
              <w:pStyle w:val="28"/>
              <w:bidi w:val="0"/>
            </w:pPr>
            <w:r>
              <w:t>燃油废气</w:t>
            </w:r>
          </w:p>
        </w:tc>
        <w:tc>
          <w:tcPr>
            <w:tcW w:w="1250" w:type="pct"/>
            <w:vAlign w:val="center"/>
          </w:tcPr>
          <w:p w14:paraId="597A448A">
            <w:pPr>
              <w:pStyle w:val="28"/>
              <w:bidi w:val="0"/>
            </w:pPr>
            <w:r>
              <w:t>CO、NO2、SO2，少量</w:t>
            </w:r>
          </w:p>
        </w:tc>
        <w:tc>
          <w:tcPr>
            <w:tcW w:w="1507" w:type="pct"/>
            <w:vMerge w:val="continue"/>
            <w:vAlign w:val="center"/>
          </w:tcPr>
          <w:p w14:paraId="4836DCD9">
            <w:pPr>
              <w:pStyle w:val="28"/>
              <w:bidi w:val="0"/>
            </w:pPr>
          </w:p>
        </w:tc>
        <w:tc>
          <w:tcPr>
            <w:tcW w:w="610" w:type="pct"/>
            <w:vMerge w:val="continue"/>
            <w:vAlign w:val="center"/>
          </w:tcPr>
          <w:p w14:paraId="4826D38E">
            <w:pPr>
              <w:pStyle w:val="28"/>
              <w:bidi w:val="0"/>
            </w:pPr>
          </w:p>
        </w:tc>
      </w:tr>
      <w:tr w14:paraId="792D4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0EA77D9C">
            <w:pPr>
              <w:pStyle w:val="28"/>
              <w:bidi w:val="0"/>
            </w:pPr>
          </w:p>
        </w:tc>
        <w:tc>
          <w:tcPr>
            <w:tcW w:w="424" w:type="pct"/>
            <w:vMerge w:val="continue"/>
            <w:vAlign w:val="center"/>
          </w:tcPr>
          <w:p w14:paraId="27333014">
            <w:pPr>
              <w:pStyle w:val="28"/>
              <w:bidi w:val="0"/>
            </w:pPr>
          </w:p>
        </w:tc>
        <w:tc>
          <w:tcPr>
            <w:tcW w:w="868" w:type="pct"/>
            <w:vAlign w:val="center"/>
          </w:tcPr>
          <w:p w14:paraId="7EB9EA8A">
            <w:pPr>
              <w:pStyle w:val="28"/>
              <w:bidi w:val="0"/>
            </w:pPr>
            <w:r>
              <w:t>有机废气</w:t>
            </w:r>
          </w:p>
        </w:tc>
        <w:tc>
          <w:tcPr>
            <w:tcW w:w="1250" w:type="pct"/>
            <w:vAlign w:val="center"/>
          </w:tcPr>
          <w:p w14:paraId="342470C3">
            <w:pPr>
              <w:pStyle w:val="28"/>
              <w:bidi w:val="0"/>
            </w:pPr>
            <w:r>
              <w:t>非甲烷总烃</w:t>
            </w:r>
          </w:p>
        </w:tc>
        <w:tc>
          <w:tcPr>
            <w:tcW w:w="1507" w:type="pct"/>
            <w:vAlign w:val="center"/>
          </w:tcPr>
          <w:p w14:paraId="298CC997">
            <w:pPr>
              <w:pStyle w:val="28"/>
              <w:bidi w:val="0"/>
            </w:pPr>
            <w:r>
              <w:t>加强施工管理</w:t>
            </w:r>
          </w:p>
        </w:tc>
        <w:tc>
          <w:tcPr>
            <w:tcW w:w="610" w:type="pct"/>
            <w:vAlign w:val="center"/>
          </w:tcPr>
          <w:p w14:paraId="019203F3">
            <w:pPr>
              <w:pStyle w:val="28"/>
              <w:bidi w:val="0"/>
            </w:pPr>
            <w:r>
              <w:t>无组织</w:t>
            </w:r>
          </w:p>
        </w:tc>
      </w:tr>
      <w:tr w14:paraId="453CD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0896386A">
            <w:pPr>
              <w:pStyle w:val="28"/>
              <w:bidi w:val="0"/>
            </w:pPr>
          </w:p>
        </w:tc>
        <w:tc>
          <w:tcPr>
            <w:tcW w:w="424" w:type="pct"/>
            <w:vMerge w:val="continue"/>
            <w:vAlign w:val="center"/>
          </w:tcPr>
          <w:p w14:paraId="0FFAB989">
            <w:pPr>
              <w:pStyle w:val="28"/>
              <w:bidi w:val="0"/>
            </w:pPr>
          </w:p>
        </w:tc>
        <w:tc>
          <w:tcPr>
            <w:tcW w:w="868" w:type="pct"/>
            <w:vAlign w:val="center"/>
          </w:tcPr>
          <w:p w14:paraId="6BE20CC7">
            <w:pPr>
              <w:pStyle w:val="28"/>
              <w:bidi w:val="0"/>
            </w:pPr>
            <w:r>
              <w:t>恶臭气体</w:t>
            </w:r>
          </w:p>
        </w:tc>
        <w:tc>
          <w:tcPr>
            <w:tcW w:w="1250" w:type="pct"/>
            <w:vAlign w:val="center"/>
          </w:tcPr>
          <w:p w14:paraId="05C5E671">
            <w:pPr>
              <w:pStyle w:val="28"/>
              <w:bidi w:val="0"/>
            </w:pPr>
            <w:r>
              <w:t>NH3、H2S</w:t>
            </w:r>
          </w:p>
        </w:tc>
        <w:tc>
          <w:tcPr>
            <w:tcW w:w="1507" w:type="pct"/>
            <w:vAlign w:val="center"/>
          </w:tcPr>
          <w:p w14:paraId="5E50FA28">
            <w:pPr>
              <w:pStyle w:val="28"/>
              <w:bidi w:val="0"/>
            </w:pPr>
            <w:r>
              <w:t>喷洒除臭剂</w:t>
            </w:r>
          </w:p>
        </w:tc>
        <w:tc>
          <w:tcPr>
            <w:tcW w:w="610" w:type="pct"/>
            <w:vAlign w:val="center"/>
          </w:tcPr>
          <w:p w14:paraId="45030BF0">
            <w:pPr>
              <w:pStyle w:val="28"/>
              <w:bidi w:val="0"/>
            </w:pPr>
            <w:r>
              <w:t>无组织</w:t>
            </w:r>
          </w:p>
        </w:tc>
      </w:tr>
      <w:tr w14:paraId="1DC11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19AD24DF">
            <w:pPr>
              <w:pStyle w:val="28"/>
              <w:bidi w:val="0"/>
            </w:pPr>
          </w:p>
        </w:tc>
        <w:tc>
          <w:tcPr>
            <w:tcW w:w="424" w:type="pct"/>
            <w:vMerge w:val="restart"/>
            <w:vAlign w:val="center"/>
          </w:tcPr>
          <w:p w14:paraId="0DEA0C25">
            <w:pPr>
              <w:pStyle w:val="28"/>
              <w:bidi w:val="0"/>
            </w:pPr>
            <w:r>
              <w:t>噪声</w:t>
            </w:r>
          </w:p>
        </w:tc>
        <w:tc>
          <w:tcPr>
            <w:tcW w:w="868" w:type="pct"/>
            <w:vAlign w:val="center"/>
          </w:tcPr>
          <w:p w14:paraId="5AC67C05">
            <w:pPr>
              <w:pStyle w:val="28"/>
              <w:bidi w:val="0"/>
            </w:pPr>
            <w:r>
              <w:t>施工机械</w:t>
            </w:r>
          </w:p>
        </w:tc>
        <w:tc>
          <w:tcPr>
            <w:tcW w:w="1250" w:type="pct"/>
            <w:vMerge w:val="restart"/>
            <w:vAlign w:val="center"/>
          </w:tcPr>
          <w:p w14:paraId="56D2324C">
            <w:pPr>
              <w:pStyle w:val="28"/>
              <w:bidi w:val="0"/>
            </w:pPr>
            <w:r>
              <w:t>83~95dB（A）</w:t>
            </w:r>
          </w:p>
        </w:tc>
        <w:tc>
          <w:tcPr>
            <w:tcW w:w="1507" w:type="pct"/>
            <w:vMerge w:val="restart"/>
            <w:vAlign w:val="center"/>
          </w:tcPr>
          <w:p w14:paraId="2E1060D9">
            <w:pPr>
              <w:pStyle w:val="28"/>
              <w:bidi w:val="0"/>
            </w:pPr>
            <w:r>
              <w:t>合理安排施工时间，选用低</w:t>
            </w:r>
            <w:r>
              <w:rPr>
                <w:rFonts w:hint="eastAsia"/>
              </w:rPr>
              <w:t>噪声</w:t>
            </w:r>
            <w:r>
              <w:t>设备，较近的敏感点设置声屏障</w:t>
            </w:r>
          </w:p>
        </w:tc>
        <w:tc>
          <w:tcPr>
            <w:tcW w:w="610" w:type="pct"/>
            <w:vMerge w:val="restart"/>
            <w:vAlign w:val="center"/>
          </w:tcPr>
          <w:p w14:paraId="0FECAD5C">
            <w:pPr>
              <w:pStyle w:val="28"/>
              <w:bidi w:val="0"/>
            </w:pPr>
            <w:r>
              <w:t>需采取降噪措施</w:t>
            </w:r>
          </w:p>
        </w:tc>
      </w:tr>
      <w:tr w14:paraId="254A6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2EB56E53">
            <w:pPr>
              <w:pStyle w:val="28"/>
              <w:bidi w:val="0"/>
            </w:pPr>
          </w:p>
        </w:tc>
        <w:tc>
          <w:tcPr>
            <w:tcW w:w="424" w:type="pct"/>
            <w:vMerge w:val="continue"/>
            <w:vAlign w:val="center"/>
          </w:tcPr>
          <w:p w14:paraId="6B469706">
            <w:pPr>
              <w:pStyle w:val="28"/>
              <w:bidi w:val="0"/>
            </w:pPr>
          </w:p>
        </w:tc>
        <w:tc>
          <w:tcPr>
            <w:tcW w:w="868" w:type="pct"/>
            <w:vAlign w:val="center"/>
          </w:tcPr>
          <w:p w14:paraId="5D61AA97">
            <w:pPr>
              <w:pStyle w:val="28"/>
              <w:bidi w:val="0"/>
            </w:pPr>
            <w:r>
              <w:t>交通噪声</w:t>
            </w:r>
          </w:p>
        </w:tc>
        <w:tc>
          <w:tcPr>
            <w:tcW w:w="1250" w:type="pct"/>
            <w:vMerge w:val="continue"/>
            <w:vAlign w:val="center"/>
          </w:tcPr>
          <w:p w14:paraId="08B783F5">
            <w:pPr>
              <w:pStyle w:val="28"/>
              <w:bidi w:val="0"/>
            </w:pPr>
          </w:p>
        </w:tc>
        <w:tc>
          <w:tcPr>
            <w:tcW w:w="1507" w:type="pct"/>
            <w:vMerge w:val="continue"/>
            <w:vAlign w:val="center"/>
          </w:tcPr>
          <w:p w14:paraId="05E54A0D">
            <w:pPr>
              <w:pStyle w:val="28"/>
              <w:bidi w:val="0"/>
            </w:pPr>
          </w:p>
        </w:tc>
        <w:tc>
          <w:tcPr>
            <w:tcW w:w="610" w:type="pct"/>
            <w:vMerge w:val="continue"/>
            <w:vAlign w:val="center"/>
          </w:tcPr>
          <w:p w14:paraId="335A6526">
            <w:pPr>
              <w:pStyle w:val="28"/>
              <w:bidi w:val="0"/>
            </w:pPr>
          </w:p>
        </w:tc>
      </w:tr>
      <w:tr w14:paraId="20FD2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50CAA45A">
            <w:pPr>
              <w:pStyle w:val="28"/>
              <w:bidi w:val="0"/>
            </w:pPr>
          </w:p>
        </w:tc>
        <w:tc>
          <w:tcPr>
            <w:tcW w:w="424" w:type="pct"/>
            <w:vMerge w:val="restart"/>
            <w:vAlign w:val="center"/>
          </w:tcPr>
          <w:p w14:paraId="1744B14B">
            <w:pPr>
              <w:pStyle w:val="28"/>
              <w:bidi w:val="0"/>
            </w:pPr>
            <w:r>
              <w:t>固废</w:t>
            </w:r>
          </w:p>
        </w:tc>
        <w:tc>
          <w:tcPr>
            <w:tcW w:w="868" w:type="pct"/>
            <w:vAlign w:val="center"/>
          </w:tcPr>
          <w:p w14:paraId="13F5C35B">
            <w:pPr>
              <w:pStyle w:val="28"/>
              <w:bidi w:val="0"/>
            </w:pPr>
            <w:r>
              <w:t>弃土及建筑物拆除弃渣</w:t>
            </w:r>
          </w:p>
        </w:tc>
        <w:tc>
          <w:tcPr>
            <w:tcW w:w="1250" w:type="pct"/>
            <w:vAlign w:val="center"/>
          </w:tcPr>
          <w:p w14:paraId="7CE79582">
            <w:pPr>
              <w:pStyle w:val="28"/>
              <w:bidi w:val="0"/>
            </w:pPr>
            <w:r>
              <w:t>弃</w:t>
            </w:r>
            <w:r>
              <w:rPr>
                <w:rFonts w:hint="eastAsia"/>
              </w:rPr>
              <w:t>土方</w:t>
            </w:r>
            <w:r>
              <w:t>174.54m3；建筑垃圾207654.6t；养护废渣29.9t</w:t>
            </w:r>
          </w:p>
        </w:tc>
        <w:tc>
          <w:tcPr>
            <w:tcW w:w="1507" w:type="pct"/>
            <w:vAlign w:val="center"/>
          </w:tcPr>
          <w:p w14:paraId="5DFC0329">
            <w:pPr>
              <w:pStyle w:val="28"/>
              <w:bidi w:val="0"/>
            </w:pPr>
            <w:r>
              <w:t>弃土优先回用项目建设，剩余运至弃土场；建筑垃圾优先回用于临时道路铺筑等工程建设，剩余外售综合利用或委托建筑垃圾填埋场填埋；</w:t>
            </w:r>
          </w:p>
        </w:tc>
        <w:tc>
          <w:tcPr>
            <w:tcW w:w="610" w:type="pct"/>
            <w:vMerge w:val="restart"/>
            <w:vAlign w:val="center"/>
          </w:tcPr>
          <w:p w14:paraId="0101BBD1">
            <w:pPr>
              <w:pStyle w:val="28"/>
              <w:bidi w:val="0"/>
            </w:pPr>
            <w:r>
              <w:t>合理处置，不外排</w:t>
            </w:r>
          </w:p>
        </w:tc>
      </w:tr>
      <w:tr w14:paraId="36C2D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1237D5ED">
            <w:pPr>
              <w:pStyle w:val="28"/>
              <w:bidi w:val="0"/>
            </w:pPr>
          </w:p>
        </w:tc>
        <w:tc>
          <w:tcPr>
            <w:tcW w:w="424" w:type="pct"/>
            <w:vMerge w:val="continue"/>
            <w:vAlign w:val="center"/>
          </w:tcPr>
          <w:p w14:paraId="4DD1D9D7">
            <w:pPr>
              <w:pStyle w:val="28"/>
              <w:bidi w:val="0"/>
            </w:pPr>
          </w:p>
        </w:tc>
        <w:tc>
          <w:tcPr>
            <w:tcW w:w="868" w:type="pct"/>
            <w:vAlign w:val="center"/>
          </w:tcPr>
          <w:p w14:paraId="0963DE1B">
            <w:pPr>
              <w:pStyle w:val="28"/>
              <w:bidi w:val="0"/>
            </w:pPr>
            <w:r>
              <w:t>施工人员生活</w:t>
            </w:r>
          </w:p>
        </w:tc>
        <w:tc>
          <w:tcPr>
            <w:tcW w:w="1250" w:type="pct"/>
            <w:vAlign w:val="center"/>
          </w:tcPr>
          <w:p w14:paraId="2A921941">
            <w:pPr>
              <w:pStyle w:val="28"/>
              <w:bidi w:val="0"/>
            </w:pPr>
            <w:r>
              <w:t>生活垃圾，高峰期5.3t/d</w:t>
            </w:r>
          </w:p>
        </w:tc>
        <w:tc>
          <w:tcPr>
            <w:tcW w:w="1507" w:type="pct"/>
            <w:vAlign w:val="center"/>
          </w:tcPr>
          <w:p w14:paraId="48FEBF21">
            <w:pPr>
              <w:pStyle w:val="28"/>
              <w:bidi w:val="0"/>
            </w:pPr>
            <w:r>
              <w:t>收集后委托环卫部门定期清运</w:t>
            </w:r>
          </w:p>
        </w:tc>
        <w:tc>
          <w:tcPr>
            <w:tcW w:w="610" w:type="pct"/>
            <w:vMerge w:val="continue"/>
            <w:vAlign w:val="center"/>
          </w:tcPr>
          <w:p w14:paraId="614DE209">
            <w:pPr>
              <w:pStyle w:val="28"/>
              <w:bidi w:val="0"/>
            </w:pPr>
          </w:p>
        </w:tc>
      </w:tr>
      <w:tr w14:paraId="1A609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15A42AF7">
            <w:pPr>
              <w:pStyle w:val="28"/>
              <w:bidi w:val="0"/>
            </w:pPr>
          </w:p>
        </w:tc>
        <w:tc>
          <w:tcPr>
            <w:tcW w:w="424" w:type="pct"/>
            <w:vMerge w:val="continue"/>
            <w:vAlign w:val="center"/>
          </w:tcPr>
          <w:p w14:paraId="1E2B64AB">
            <w:pPr>
              <w:pStyle w:val="28"/>
              <w:bidi w:val="0"/>
            </w:pPr>
          </w:p>
        </w:tc>
        <w:tc>
          <w:tcPr>
            <w:tcW w:w="868" w:type="pct"/>
            <w:vAlign w:val="center"/>
          </w:tcPr>
          <w:p w14:paraId="46724495">
            <w:pPr>
              <w:pStyle w:val="28"/>
              <w:bidi w:val="0"/>
            </w:pPr>
            <w:r>
              <w:t>废机油及其包装物、含油手套抹布</w:t>
            </w:r>
          </w:p>
        </w:tc>
        <w:tc>
          <w:tcPr>
            <w:tcW w:w="1250" w:type="pct"/>
            <w:vAlign w:val="center"/>
          </w:tcPr>
          <w:p w14:paraId="3A894B24">
            <w:pPr>
              <w:pStyle w:val="28"/>
              <w:bidi w:val="0"/>
            </w:pPr>
            <w:r>
              <w:t>属于危险废物，废机油及其包装容器产生量约为1.8t/a，</w:t>
            </w:r>
          </w:p>
        </w:tc>
        <w:tc>
          <w:tcPr>
            <w:tcW w:w="1507" w:type="pct"/>
            <w:vMerge w:val="restart"/>
            <w:vAlign w:val="center"/>
          </w:tcPr>
          <w:p w14:paraId="26812318">
            <w:pPr>
              <w:pStyle w:val="28"/>
              <w:bidi w:val="0"/>
            </w:pPr>
            <w:r>
              <w:t>暂存后委托有资质单位处理</w:t>
            </w:r>
          </w:p>
        </w:tc>
        <w:tc>
          <w:tcPr>
            <w:tcW w:w="610" w:type="pct"/>
            <w:vMerge w:val="continue"/>
            <w:vAlign w:val="center"/>
          </w:tcPr>
          <w:p w14:paraId="09C4FC25">
            <w:pPr>
              <w:pStyle w:val="28"/>
              <w:bidi w:val="0"/>
            </w:pPr>
          </w:p>
        </w:tc>
      </w:tr>
      <w:tr w14:paraId="2641EC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7B7881E6">
            <w:pPr>
              <w:pStyle w:val="28"/>
              <w:bidi w:val="0"/>
            </w:pPr>
          </w:p>
        </w:tc>
        <w:tc>
          <w:tcPr>
            <w:tcW w:w="424" w:type="pct"/>
            <w:vMerge w:val="continue"/>
            <w:vAlign w:val="center"/>
          </w:tcPr>
          <w:p w14:paraId="6CB1C6A9">
            <w:pPr>
              <w:pStyle w:val="28"/>
              <w:bidi w:val="0"/>
            </w:pPr>
          </w:p>
        </w:tc>
        <w:tc>
          <w:tcPr>
            <w:tcW w:w="868" w:type="pct"/>
            <w:vAlign w:val="center"/>
          </w:tcPr>
          <w:p w14:paraId="77392B31">
            <w:pPr>
              <w:pStyle w:val="28"/>
              <w:bidi w:val="0"/>
            </w:pPr>
            <w:r>
              <w:t>废涂料及其包装容器</w:t>
            </w:r>
          </w:p>
        </w:tc>
        <w:tc>
          <w:tcPr>
            <w:tcW w:w="1250" w:type="pct"/>
            <w:vAlign w:val="center"/>
          </w:tcPr>
          <w:p w14:paraId="1C79AA3D">
            <w:pPr>
              <w:pStyle w:val="28"/>
              <w:bidi w:val="0"/>
            </w:pPr>
            <w:r>
              <w:t>废弃涂料量约为0.5t/a，废包装容器产生量为4t/a；含油抹布手套1t/a</w:t>
            </w:r>
          </w:p>
        </w:tc>
        <w:tc>
          <w:tcPr>
            <w:tcW w:w="1507" w:type="pct"/>
            <w:vMerge w:val="continue"/>
            <w:vAlign w:val="center"/>
          </w:tcPr>
          <w:p w14:paraId="6EA7B83F">
            <w:pPr>
              <w:pStyle w:val="28"/>
              <w:bidi w:val="0"/>
            </w:pPr>
          </w:p>
        </w:tc>
        <w:tc>
          <w:tcPr>
            <w:tcW w:w="610" w:type="pct"/>
            <w:vMerge w:val="continue"/>
            <w:vAlign w:val="center"/>
          </w:tcPr>
          <w:p w14:paraId="28E57928">
            <w:pPr>
              <w:pStyle w:val="28"/>
              <w:bidi w:val="0"/>
            </w:pPr>
          </w:p>
        </w:tc>
      </w:tr>
      <w:tr w14:paraId="4C082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6F01A7DB">
            <w:pPr>
              <w:pStyle w:val="28"/>
              <w:bidi w:val="0"/>
            </w:pPr>
          </w:p>
        </w:tc>
        <w:tc>
          <w:tcPr>
            <w:tcW w:w="424" w:type="pct"/>
            <w:vMerge w:val="continue"/>
            <w:vAlign w:val="center"/>
          </w:tcPr>
          <w:p w14:paraId="78DE6839">
            <w:pPr>
              <w:pStyle w:val="28"/>
              <w:bidi w:val="0"/>
            </w:pPr>
          </w:p>
        </w:tc>
        <w:tc>
          <w:tcPr>
            <w:tcW w:w="868" w:type="pct"/>
            <w:vAlign w:val="center"/>
          </w:tcPr>
          <w:p w14:paraId="254C0C5F">
            <w:pPr>
              <w:pStyle w:val="28"/>
              <w:bidi w:val="0"/>
            </w:pPr>
            <w:r>
              <w:t>含油污泥</w:t>
            </w:r>
          </w:p>
        </w:tc>
        <w:tc>
          <w:tcPr>
            <w:tcW w:w="1250" w:type="pct"/>
            <w:vAlign w:val="center"/>
          </w:tcPr>
          <w:p w14:paraId="4F17F3A8">
            <w:pPr>
              <w:pStyle w:val="28"/>
              <w:bidi w:val="0"/>
            </w:pPr>
            <w:r>
              <w:t>327.26t/a</w:t>
            </w:r>
          </w:p>
        </w:tc>
        <w:tc>
          <w:tcPr>
            <w:tcW w:w="1507" w:type="pct"/>
            <w:vAlign w:val="center"/>
          </w:tcPr>
          <w:p w14:paraId="54F1FFA6">
            <w:pPr>
              <w:pStyle w:val="28"/>
              <w:bidi w:val="0"/>
            </w:pPr>
            <w:r>
              <w:t>暂存后委托有资质单位处理</w:t>
            </w:r>
          </w:p>
        </w:tc>
        <w:tc>
          <w:tcPr>
            <w:tcW w:w="610" w:type="pct"/>
            <w:vMerge w:val="continue"/>
            <w:vAlign w:val="center"/>
          </w:tcPr>
          <w:p w14:paraId="50EB11EC">
            <w:pPr>
              <w:pStyle w:val="28"/>
              <w:bidi w:val="0"/>
            </w:pPr>
          </w:p>
        </w:tc>
      </w:tr>
      <w:tr w14:paraId="1B7B7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39" w:type="pct"/>
            <w:vMerge w:val="continue"/>
            <w:vAlign w:val="center"/>
          </w:tcPr>
          <w:p w14:paraId="6ED6256E">
            <w:pPr>
              <w:pStyle w:val="28"/>
              <w:bidi w:val="0"/>
            </w:pPr>
          </w:p>
        </w:tc>
        <w:tc>
          <w:tcPr>
            <w:tcW w:w="424" w:type="pct"/>
            <w:vAlign w:val="center"/>
          </w:tcPr>
          <w:p w14:paraId="63CA60A8">
            <w:pPr>
              <w:pStyle w:val="28"/>
              <w:bidi w:val="0"/>
            </w:pPr>
            <w:r>
              <w:t>生态环境</w:t>
            </w:r>
          </w:p>
        </w:tc>
        <w:tc>
          <w:tcPr>
            <w:tcW w:w="868" w:type="pct"/>
            <w:vAlign w:val="center"/>
          </w:tcPr>
          <w:p w14:paraId="4CEBE15A">
            <w:pPr>
              <w:pStyle w:val="28"/>
              <w:bidi w:val="0"/>
            </w:pPr>
            <w:r>
              <w:t>临时占地、植被破坏</w:t>
            </w:r>
          </w:p>
        </w:tc>
        <w:tc>
          <w:tcPr>
            <w:tcW w:w="1250" w:type="pct"/>
            <w:vAlign w:val="center"/>
          </w:tcPr>
          <w:p w14:paraId="4C62376A">
            <w:pPr>
              <w:pStyle w:val="28"/>
              <w:bidi w:val="0"/>
            </w:pPr>
            <w:r>
              <w:t>临时占地</w:t>
            </w:r>
            <w:r>
              <w:rPr>
                <w:rFonts w:hint="eastAsia"/>
              </w:rPr>
              <w:t>167.15</w:t>
            </w:r>
            <w:r>
              <w:t>hm2，占压和扰动地表面积，损坏植被</w:t>
            </w:r>
          </w:p>
        </w:tc>
        <w:tc>
          <w:tcPr>
            <w:tcW w:w="1507" w:type="pct"/>
            <w:vAlign w:val="center"/>
          </w:tcPr>
          <w:p w14:paraId="1E830F84">
            <w:pPr>
              <w:pStyle w:val="28"/>
              <w:bidi w:val="0"/>
            </w:pPr>
            <w:r>
              <w:t>施工临时设施拆除，部分迹地平整；工程临时占用耕地复耕</w:t>
            </w:r>
          </w:p>
        </w:tc>
        <w:tc>
          <w:tcPr>
            <w:tcW w:w="610" w:type="pct"/>
            <w:vAlign w:val="center"/>
          </w:tcPr>
          <w:p w14:paraId="769312A8">
            <w:pPr>
              <w:pStyle w:val="28"/>
              <w:bidi w:val="0"/>
            </w:pPr>
            <w:r>
              <w:t>占地范围内及周边生态系统</w:t>
            </w:r>
          </w:p>
        </w:tc>
      </w:tr>
    </w:tbl>
    <w:p w14:paraId="41DFBE7A">
      <w:pPr>
        <w:spacing w:line="240" w:lineRule="auto"/>
        <w:rPr>
          <w:rFonts w:cs="Times New Roman"/>
          <w:color w:val="0000FF"/>
        </w:rPr>
      </w:pPr>
    </w:p>
    <w:p w14:paraId="0CD2654E">
      <w:pPr>
        <w:pStyle w:val="3"/>
        <w:rPr>
          <w:rFonts w:cs="Times New Roman"/>
          <w:color w:val="0000FF"/>
        </w:rPr>
      </w:pPr>
      <w:bookmarkStart w:id="47" w:name="_Toc18210"/>
      <w:r>
        <w:rPr>
          <w:rFonts w:cs="Times New Roman"/>
          <w:color w:val="0000FF"/>
        </w:rPr>
        <w:t>3.3 运行期污染源强分析</w:t>
      </w:r>
      <w:bookmarkEnd w:id="47"/>
    </w:p>
    <w:p w14:paraId="7204D0B5">
      <w:pPr>
        <w:pStyle w:val="4"/>
        <w:rPr>
          <w:rFonts w:cs="Times New Roman"/>
          <w:color w:val="0000FF"/>
        </w:rPr>
      </w:pPr>
      <w:r>
        <w:rPr>
          <w:rFonts w:cs="Times New Roman"/>
          <w:color w:val="0000FF"/>
        </w:rPr>
        <w:t>3.3.1 运行期环境影响因素分析</w:t>
      </w:r>
    </w:p>
    <w:p w14:paraId="0CAC901F">
      <w:pPr>
        <w:ind w:firstLine="480"/>
        <w:rPr>
          <w:rFonts w:cs="Times New Roman"/>
          <w:color w:val="0000FF"/>
        </w:rPr>
      </w:pPr>
      <w:r>
        <w:rPr>
          <w:rFonts w:cs="Times New Roman"/>
          <w:color w:val="0000FF"/>
        </w:rPr>
        <w:t>工程建设运行后，有利于区域内的防洪安全，对社会经济、人群健康、生态环境产生正面影响。工程运行后，新增管理人员办公生活产生的生活污水、生活垃圾，如不处理将影响周边环境。</w:t>
      </w:r>
    </w:p>
    <w:p w14:paraId="3C63976E">
      <w:pPr>
        <w:ind w:firstLine="480"/>
        <w:rPr>
          <w:rFonts w:cs="Times New Roman"/>
          <w:color w:val="0000FF"/>
        </w:rPr>
      </w:pPr>
      <w:r>
        <w:rPr>
          <w:rFonts w:cs="Times New Roman"/>
          <w:color w:val="0000FF"/>
        </w:rPr>
        <w:t>社会经济：工程实施后，可以提高</w:t>
      </w:r>
      <w:r>
        <w:rPr>
          <w:rFonts w:hint="eastAsia" w:cs="Times New Roman"/>
          <w:color w:val="0000FF"/>
          <w:lang w:eastAsia="zh-CN"/>
        </w:rPr>
        <w:t>朱集灌区</w:t>
      </w:r>
      <w:r>
        <w:rPr>
          <w:rFonts w:cs="Times New Roman"/>
          <w:color w:val="0000FF"/>
        </w:rPr>
        <w:t>的防洪能力，减少洪灾发生的几率，也有利于解决区域</w:t>
      </w:r>
      <w:r>
        <w:rPr>
          <w:rFonts w:hint="eastAsia" w:cs="Times New Roman"/>
          <w:color w:val="0000FF"/>
        </w:rPr>
        <w:t>“</w:t>
      </w:r>
      <w:r>
        <w:rPr>
          <w:rFonts w:cs="Times New Roman"/>
          <w:color w:val="0000FF"/>
        </w:rPr>
        <w:t>三农</w:t>
      </w:r>
      <w:r>
        <w:rPr>
          <w:rFonts w:hint="eastAsia" w:cs="Times New Roman"/>
          <w:color w:val="0000FF"/>
        </w:rPr>
        <w:t>”</w:t>
      </w:r>
      <w:r>
        <w:rPr>
          <w:rFonts w:cs="Times New Roman"/>
          <w:color w:val="0000FF"/>
        </w:rPr>
        <w:t>问题，促进区域经济的发展。</w:t>
      </w:r>
    </w:p>
    <w:p w14:paraId="6D436C5B">
      <w:pPr>
        <w:ind w:firstLine="480"/>
        <w:rPr>
          <w:rFonts w:cs="Times New Roman"/>
          <w:color w:val="0000FF"/>
        </w:rPr>
      </w:pPr>
      <w:r>
        <w:rPr>
          <w:rFonts w:cs="Times New Roman"/>
          <w:color w:val="0000FF"/>
        </w:rPr>
        <w:t>人群健康：工程实施后，可减少因洪水泛滥而引起的各类疾病流行。</w:t>
      </w:r>
    </w:p>
    <w:p w14:paraId="18C2EF8D">
      <w:pPr>
        <w:ind w:firstLine="480"/>
        <w:rPr>
          <w:rFonts w:cs="Times New Roman"/>
          <w:color w:val="0000FF"/>
        </w:rPr>
      </w:pPr>
      <w:r>
        <w:rPr>
          <w:rFonts w:cs="Times New Roman"/>
          <w:color w:val="0000FF"/>
        </w:rPr>
        <w:t>生态环境：工程建设运行后，对正阳分干渠、史小圩支渠以及下骆山支渠等进行清淤，有利于灌区水质的改善，对水生生态环境有利。同时工程减少了洪灾发生的几率，对区域生境条件与生态系统的稳定性产生正面影响。</w:t>
      </w:r>
    </w:p>
    <w:p w14:paraId="0E84CC00">
      <w:pPr>
        <w:ind w:firstLine="480"/>
        <w:rPr>
          <w:rFonts w:cs="Times New Roman"/>
          <w:color w:val="0000FF"/>
        </w:rPr>
      </w:pPr>
      <w:r>
        <w:rPr>
          <w:rFonts w:cs="Times New Roman"/>
          <w:color w:val="0000FF"/>
        </w:rPr>
        <w:t>水环境：工程管理人员日常办公产生生活污水，如不处理直接排放将影响周边水域水质，主要污染物为COD、BOD</w:t>
      </w:r>
      <w:r>
        <w:rPr>
          <w:rFonts w:cs="Times New Roman"/>
          <w:color w:val="0000FF"/>
          <w:vertAlign w:val="subscript"/>
        </w:rPr>
        <w:t>5</w:t>
      </w:r>
      <w:r>
        <w:rPr>
          <w:rFonts w:cs="Times New Roman"/>
          <w:color w:val="0000FF"/>
        </w:rPr>
        <w:t>、氨氮等。</w:t>
      </w:r>
    </w:p>
    <w:p w14:paraId="76353AA3">
      <w:pPr>
        <w:ind w:firstLine="480"/>
        <w:rPr>
          <w:rFonts w:cs="Times New Roman"/>
          <w:color w:val="0000FF"/>
        </w:rPr>
      </w:pPr>
      <w:r>
        <w:rPr>
          <w:rFonts w:cs="Times New Roman"/>
          <w:color w:val="0000FF"/>
        </w:rPr>
        <w:t>固体废物：主要为工程管理人员产生的生活垃圾，如不处理随意丢弃影响周边水域水质、景观并滋生疾病，影响人群健康。</w:t>
      </w:r>
    </w:p>
    <w:p w14:paraId="1EA1CAE2">
      <w:pPr>
        <w:ind w:firstLine="480"/>
        <w:rPr>
          <w:rFonts w:cs="Times New Roman"/>
          <w:color w:val="0000FF"/>
        </w:rPr>
      </w:pPr>
      <w:r>
        <w:rPr>
          <w:rFonts w:cs="Times New Roman"/>
          <w:color w:val="0000FF"/>
        </w:rPr>
        <w:t>交通：防汛道路建设、上堤路建设等当地交通产生的影响。</w:t>
      </w:r>
    </w:p>
    <w:p w14:paraId="2DB401FC">
      <w:pPr>
        <w:pStyle w:val="4"/>
        <w:rPr>
          <w:rFonts w:cs="Times New Roman"/>
          <w:color w:val="0000FF"/>
        </w:rPr>
      </w:pPr>
      <w:r>
        <w:rPr>
          <w:rFonts w:cs="Times New Roman"/>
          <w:color w:val="0000FF"/>
        </w:rPr>
        <w:t>3.3.2 运行期污染源强分析</w:t>
      </w:r>
    </w:p>
    <w:p w14:paraId="1AEBB3C7">
      <w:pPr>
        <w:pStyle w:val="5"/>
        <w:rPr>
          <w:rFonts w:cs="Times New Roman"/>
          <w:color w:val="0000FF"/>
        </w:rPr>
      </w:pPr>
      <w:r>
        <w:rPr>
          <w:rFonts w:cs="Times New Roman"/>
          <w:color w:val="0000FF"/>
        </w:rPr>
        <w:t>3.3.2.1 水文情势</w:t>
      </w:r>
    </w:p>
    <w:p w14:paraId="3BED3ECC">
      <w:pPr>
        <w:rPr>
          <w:rFonts w:cs="Times New Roman"/>
          <w:color w:val="0000FF"/>
        </w:rPr>
      </w:pPr>
      <w:r>
        <w:rPr>
          <w:rFonts w:cs="Times New Roman"/>
          <w:color w:val="0000FF"/>
        </w:rPr>
        <w:t>一、渠道工程</w:t>
      </w:r>
    </w:p>
    <w:p w14:paraId="23B975B0">
      <w:pPr>
        <w:rPr>
          <w:rFonts w:cs="Times New Roman"/>
          <w:color w:val="0000FF"/>
        </w:rPr>
      </w:pPr>
      <w:r>
        <w:rPr>
          <w:rFonts w:cs="Times New Roman"/>
          <w:color w:val="0000FF"/>
        </w:rPr>
        <w:t>本工程滑坡和切岭的治理使局部的渠道断面有所变化，由于工程量小，不足以影响到河流的水位及流速变化。渠道的整治，基本不改变渠道的走势，渠道的清淤使水流更顺畅，水位略微降低；</w:t>
      </w:r>
    </w:p>
    <w:p w14:paraId="30C9A21F">
      <w:pPr>
        <w:rPr>
          <w:rFonts w:cs="Times New Roman"/>
          <w:color w:val="0000FF"/>
        </w:rPr>
      </w:pPr>
      <w:r>
        <w:rPr>
          <w:rFonts w:cs="Times New Roman"/>
          <w:color w:val="0000FF"/>
        </w:rPr>
        <w:t>二、渠系建筑物</w:t>
      </w:r>
    </w:p>
    <w:p w14:paraId="50702F9F">
      <w:pPr>
        <w:rPr>
          <w:rFonts w:cs="Times New Roman"/>
          <w:color w:val="0000FF"/>
        </w:rPr>
      </w:pPr>
      <w:r>
        <w:rPr>
          <w:rFonts w:cs="Times New Roman"/>
          <w:color w:val="0000FF"/>
        </w:rPr>
        <w:t>1、沣东干渠工程于桩号43+240处新建1处何庄放水口，拟建放水口处现状为渠道堤防，考虑地方背坡灌溉渠道被人为的挖深，有较大的灌溉需求，在此处新建1座放水口，拟建放水口设计孔口尺寸Φ0.5m，新建放水口对沣东干渠灌溉用水流量、水温产生一定的影响。</w:t>
      </w:r>
    </w:p>
    <w:p w14:paraId="24E5B483">
      <w:pPr>
        <w:rPr>
          <w:rFonts w:cs="Times New Roman"/>
          <w:color w:val="0000FF"/>
        </w:rPr>
      </w:pPr>
      <w:r>
        <w:rPr>
          <w:rFonts w:cs="Times New Roman"/>
          <w:color w:val="0000FF"/>
        </w:rPr>
        <w:t>2、界河支渠工程、袁店支渠工程、沙胜支渠工程以及马田支渠工程涉及新建节制闸，新建节制闸工程整体类似，均不涉及生态保护红线、饮用水水源保护区等，本次评价以马田支渠为例，新建的节制闸设计情况如下：</w:t>
      </w:r>
    </w:p>
    <w:p w14:paraId="0E27197C">
      <w:pPr>
        <w:rPr>
          <w:rFonts w:cs="Times New Roman"/>
          <w:color w:val="0000FF"/>
        </w:rPr>
      </w:pPr>
      <w:r>
        <w:rPr>
          <w:rFonts w:cs="Times New Roman"/>
          <w:color w:val="0000FF"/>
        </w:rPr>
        <w:t>马田支渠渠道比降较低，坡势较陡，原为涵管过流，无法控制上、下游水位及流量，导致上游两侧放水涵无法放水；东马田处渠道未建有控制性闸，渠道比降较低，坡势较陡，工程考虑渠道各渠段的比降、上下游实际的用水需求以及运行调度方便等方面，新建的4座节制闸。</w:t>
      </w:r>
    </w:p>
    <w:p w14:paraId="055A7AA3">
      <w:pPr>
        <w:rPr>
          <w:rFonts w:cs="Times New Roman"/>
          <w:color w:val="0000FF"/>
        </w:rPr>
      </w:pPr>
      <w:r>
        <w:rPr>
          <w:rFonts w:cs="Times New Roman"/>
          <w:color w:val="0000FF"/>
        </w:rPr>
        <w:t>工程所在区域灌溉期一般为每年5月</w:t>
      </w:r>
      <w:r>
        <w:rPr>
          <w:rFonts w:hint="eastAsia" w:cs="Times New Roman"/>
          <w:color w:val="0000FF"/>
        </w:rPr>
        <w:t>～</w:t>
      </w:r>
      <w:r>
        <w:rPr>
          <w:rFonts w:cs="Times New Roman"/>
          <w:color w:val="0000FF"/>
        </w:rPr>
        <w:t>8月，非灌溉期为每年9月</w:t>
      </w:r>
      <w:r>
        <w:rPr>
          <w:rFonts w:hint="eastAsia" w:cs="Times New Roman"/>
          <w:color w:val="0000FF"/>
        </w:rPr>
        <w:t>～</w:t>
      </w:r>
      <w:r>
        <w:rPr>
          <w:rFonts w:cs="Times New Roman"/>
          <w:color w:val="0000FF"/>
        </w:rPr>
        <w:t>次年4月，非灌溉期渠首进水闸关闭，渠道内无固定水源，闸门处于常开状态；灌溉期统筹考虑上游、下游用水需求和蒸发损失水等情况，保持节制闸处于50%以上开度进行上游水位控制和下游泄流。</w:t>
      </w:r>
    </w:p>
    <w:p w14:paraId="3AF8EB95">
      <w:pPr>
        <w:rPr>
          <w:rFonts w:cs="Times New Roman"/>
          <w:color w:val="0000FF"/>
        </w:rPr>
      </w:pPr>
      <w:r>
        <w:rPr>
          <w:rFonts w:cs="Times New Roman"/>
          <w:color w:val="0000FF"/>
        </w:rPr>
        <w:t>新建节制闸运行期间拦截渠道内水流，对马田支渠等灌溉用水流量、流速以及水位产生一定的影响。</w:t>
      </w:r>
    </w:p>
    <w:p w14:paraId="0B929E5C">
      <w:pPr>
        <w:ind w:firstLine="480" w:firstLineChars="200"/>
        <w:rPr>
          <w:rFonts w:cs="Times New Roman"/>
          <w:color w:val="0000FF"/>
        </w:rPr>
      </w:pPr>
      <w:r>
        <w:rPr>
          <w:rFonts w:hint="eastAsia" w:cs="Times New Roman"/>
          <w:color w:val="0000FF"/>
        </w:rPr>
        <w:t>3、</w:t>
      </w:r>
      <w:r>
        <w:rPr>
          <w:rFonts w:cs="Times New Roman"/>
          <w:color w:val="0000FF"/>
        </w:rPr>
        <w:t>大高支渠工程、白龙支渠工程设计新建进水闸，该2个条支渠均为众兴分干渠的支渠，渠道流量大小相近，进水闸尺寸规格类似，本次评价以大高支渠为例，新建的进水闸设计情况如下：</w:t>
      </w:r>
    </w:p>
    <w:p w14:paraId="1D3DFB56">
      <w:pPr>
        <w:rPr>
          <w:rFonts w:cs="Times New Roman"/>
          <w:color w:val="0000FF"/>
        </w:rPr>
      </w:pPr>
      <w:r>
        <w:rPr>
          <w:rFonts w:cs="Times New Roman"/>
          <w:color w:val="0000FF"/>
        </w:rPr>
        <w:t>为确保大高支渠和程段水库用水的安全性和稳定性，新建1座程段水库进水闸，进水闸单孔，总净宽1.50m，闸室顺水流方向长3.0m。</w:t>
      </w:r>
    </w:p>
    <w:p w14:paraId="43D5CCDB">
      <w:pPr>
        <w:rPr>
          <w:rFonts w:cs="Times New Roman"/>
          <w:color w:val="0000FF"/>
        </w:rPr>
      </w:pPr>
      <w:r>
        <w:rPr>
          <w:rFonts w:cs="Times New Roman"/>
          <w:color w:val="0000FF"/>
        </w:rPr>
        <w:t>新建进水闸运行期间拦截渠道内水流，对大高支渠、程段水库水文情势产生一定的影响。</w:t>
      </w:r>
    </w:p>
    <w:p w14:paraId="775758FB">
      <w:pPr>
        <w:rPr>
          <w:rFonts w:cs="Times New Roman"/>
          <w:color w:val="0000FF"/>
        </w:rPr>
      </w:pPr>
      <w:r>
        <w:rPr>
          <w:rFonts w:hint="eastAsia" w:cs="Times New Roman"/>
          <w:color w:val="0000FF"/>
        </w:rPr>
        <w:t>4</w:t>
      </w:r>
      <w:r>
        <w:rPr>
          <w:rFonts w:cs="Times New Roman"/>
          <w:color w:val="0000FF"/>
        </w:rPr>
        <w:t>、胜天支渠、马田支渠以及沙胜支渠等新建机耕桥/人行桥，新建桥梁位于渠道及渠道管理范围内为水利设施用地，由于支渠规模类似，机耕桥、人行桥的结构类似，本次评价以胜天支渠为例，新建的人行桥设计情况如下：</w:t>
      </w:r>
    </w:p>
    <w:p w14:paraId="2B22CBF5">
      <w:pPr>
        <w:rPr>
          <w:rFonts w:cs="Times New Roman"/>
          <w:color w:val="0000FF"/>
        </w:rPr>
      </w:pPr>
      <w:r>
        <w:rPr>
          <w:rFonts w:cs="Times New Roman"/>
          <w:color w:val="0000FF"/>
        </w:rPr>
        <w:t>拟在</w:t>
      </w:r>
      <w:r>
        <w:rPr>
          <w:rFonts w:hint="eastAsia" w:cs="Times New Roman"/>
          <w:color w:val="0000FF"/>
        </w:rPr>
        <w:t>沣西干渠胜天支渠</w:t>
      </w:r>
      <w:r>
        <w:rPr>
          <w:rFonts w:cs="Times New Roman"/>
          <w:color w:val="0000FF"/>
        </w:rPr>
        <w:t>新建1座</w:t>
      </w:r>
      <w:r>
        <w:rPr>
          <w:rFonts w:hint="eastAsia" w:cs="Times New Roman"/>
          <w:color w:val="0000FF"/>
        </w:rPr>
        <w:t>人行桥</w:t>
      </w:r>
      <w:r>
        <w:rPr>
          <w:rFonts w:cs="Times New Roman"/>
          <w:color w:val="0000FF"/>
        </w:rPr>
        <w:t>，满足当地居民生产要求</w:t>
      </w:r>
      <w:r>
        <w:rPr>
          <w:rFonts w:hint="eastAsia" w:cs="Times New Roman"/>
          <w:color w:val="0000FF"/>
        </w:rPr>
        <w:t>，根据设计资料，桥梁不在渠道内设置桥墩，渠岸的桥墩均设置在设计灌溉水位线以上，运行期对水文情势没有影响</w:t>
      </w:r>
      <w:r>
        <w:rPr>
          <w:rFonts w:cs="Times New Roman"/>
          <w:color w:val="0000FF"/>
        </w:rPr>
        <w:t>。</w:t>
      </w:r>
    </w:p>
    <w:p w14:paraId="5A5F8AFD">
      <w:pPr>
        <w:pStyle w:val="5"/>
        <w:rPr>
          <w:rFonts w:cs="Times New Roman"/>
          <w:color w:val="0000FF"/>
        </w:rPr>
      </w:pPr>
      <w:r>
        <w:rPr>
          <w:rFonts w:cs="Times New Roman"/>
          <w:color w:val="0000FF"/>
        </w:rPr>
        <w:t>3.3.2.2 地表水污染源分析</w:t>
      </w:r>
    </w:p>
    <w:p w14:paraId="0A30ADAA">
      <w:pPr>
        <w:ind w:firstLine="480" w:firstLineChars="200"/>
        <w:rPr>
          <w:rFonts w:cs="Times New Roman"/>
          <w:color w:val="0000FF"/>
        </w:rPr>
      </w:pPr>
      <w:r>
        <w:rPr>
          <w:rFonts w:cs="Times New Roman"/>
          <w:color w:val="0000FF"/>
        </w:rPr>
        <w:t>本工程为灌区工程，工程运行期基本污染源排放主要为新增管理人员生活办公产生的生活污水，本项目不新增劳动人员，不新增生活污水。</w:t>
      </w:r>
    </w:p>
    <w:p w14:paraId="212ABFD0">
      <w:pPr>
        <w:pStyle w:val="5"/>
        <w:rPr>
          <w:rFonts w:cs="Times New Roman"/>
          <w:color w:val="0000FF"/>
        </w:rPr>
      </w:pPr>
      <w:r>
        <w:rPr>
          <w:rFonts w:cs="Times New Roman"/>
          <w:color w:val="0000FF"/>
        </w:rPr>
        <w:t>3.3.2.3 噪声污染源分析</w:t>
      </w:r>
    </w:p>
    <w:p w14:paraId="5955F7E2">
      <w:pPr>
        <w:ind w:firstLine="480" w:firstLineChars="200"/>
        <w:rPr>
          <w:rFonts w:cs="Times New Roman"/>
          <w:color w:val="0000FF"/>
        </w:rPr>
      </w:pPr>
      <w:r>
        <w:rPr>
          <w:rFonts w:cs="Times New Roman"/>
          <w:color w:val="0000FF"/>
        </w:rPr>
        <w:t>工程对声环境的影响主要在施工期。工程实施后主要为渠系建筑物在开、启闭时产生的瞬时噪声，其对周边影响不大。</w:t>
      </w:r>
    </w:p>
    <w:p w14:paraId="3C03061C">
      <w:pPr>
        <w:ind w:firstLine="480" w:firstLineChars="200"/>
        <w:rPr>
          <w:rFonts w:cs="Times New Roman"/>
          <w:color w:val="0000FF"/>
        </w:rPr>
      </w:pPr>
      <w:r>
        <w:rPr>
          <w:rFonts w:cs="Times New Roman"/>
          <w:color w:val="0000FF"/>
        </w:rPr>
        <w:t>本次工程中的郑岗泵站拆除重建工程拆除重建1座泵站，现状设计为3级泵站，泵站装机容量单台水泵设备型号和规模发生了变化。原设计如下：</w:t>
      </w:r>
    </w:p>
    <w:p w14:paraId="7E2ECEDF">
      <w:pPr>
        <w:rPr>
          <w:color w:val="0000FF"/>
        </w:rPr>
      </w:pPr>
      <w:r>
        <w:rPr>
          <w:color w:val="0000FF"/>
        </w:rPr>
        <w:t>图3-3-</w:t>
      </w:r>
      <w:r>
        <w:rPr>
          <w:rFonts w:hint="eastAsia"/>
          <w:color w:val="0000FF"/>
        </w:rPr>
        <w:t>1</w:t>
      </w:r>
      <w:r>
        <w:rPr>
          <w:color w:val="0000FF"/>
        </w:rPr>
        <w:t xml:space="preserve">  郑岗泵站灌溉范围情况调查表</w:t>
      </w:r>
    </w:p>
    <w:tbl>
      <w:tblPr>
        <w:tblStyle w:val="16"/>
        <w:tblW w:w="4999" w:type="pct"/>
        <w:tblInd w:w="0" w:type="dxa"/>
        <w:tblLayout w:type="autofit"/>
        <w:tblCellMar>
          <w:top w:w="0" w:type="dxa"/>
          <w:left w:w="108" w:type="dxa"/>
          <w:bottom w:w="0" w:type="dxa"/>
          <w:right w:w="108" w:type="dxa"/>
        </w:tblCellMar>
      </w:tblPr>
      <w:tblGrid>
        <w:gridCol w:w="1688"/>
        <w:gridCol w:w="1418"/>
        <w:gridCol w:w="2114"/>
        <w:gridCol w:w="4065"/>
      </w:tblGrid>
      <w:tr w14:paraId="333782F5">
        <w:tblPrEx>
          <w:tblCellMar>
            <w:top w:w="0" w:type="dxa"/>
            <w:left w:w="108" w:type="dxa"/>
            <w:bottom w:w="0" w:type="dxa"/>
            <w:right w:w="108" w:type="dxa"/>
          </w:tblCellMar>
        </w:tblPrEx>
        <w:trPr>
          <w:trHeight w:val="340" w:hRule="atLeast"/>
        </w:trPr>
        <w:tc>
          <w:tcPr>
            <w:tcW w:w="909" w:type="pct"/>
            <w:tcBorders>
              <w:top w:val="single" w:color="000000" w:sz="4" w:space="0"/>
              <w:left w:val="single" w:color="000000" w:sz="4" w:space="0"/>
              <w:bottom w:val="single" w:color="000000" w:sz="4" w:space="0"/>
              <w:right w:val="single" w:color="000000" w:sz="4" w:space="0"/>
            </w:tcBorders>
            <w:vAlign w:val="center"/>
          </w:tcPr>
          <w:p w14:paraId="4DA0F56C">
            <w:pPr>
              <w:pStyle w:val="28"/>
              <w:bidi w:val="0"/>
            </w:pPr>
            <w:r>
              <w:t>站名</w:t>
            </w:r>
          </w:p>
        </w:tc>
        <w:tc>
          <w:tcPr>
            <w:tcW w:w="763" w:type="pct"/>
            <w:tcBorders>
              <w:top w:val="single" w:color="000000" w:sz="4" w:space="0"/>
              <w:left w:val="single" w:color="000000" w:sz="4" w:space="0"/>
              <w:bottom w:val="single" w:color="000000" w:sz="4" w:space="0"/>
              <w:right w:val="single" w:color="000000" w:sz="4" w:space="0"/>
            </w:tcBorders>
            <w:vAlign w:val="center"/>
          </w:tcPr>
          <w:p w14:paraId="49FAD9E4">
            <w:pPr>
              <w:pStyle w:val="28"/>
              <w:bidi w:val="0"/>
            </w:pPr>
            <w:r>
              <w:t>设计装机（kw）</w:t>
            </w:r>
          </w:p>
        </w:tc>
        <w:tc>
          <w:tcPr>
            <w:tcW w:w="1138" w:type="pct"/>
            <w:tcBorders>
              <w:top w:val="single" w:color="000000" w:sz="4" w:space="0"/>
              <w:left w:val="single" w:color="000000" w:sz="4" w:space="0"/>
              <w:bottom w:val="single" w:color="000000" w:sz="4" w:space="0"/>
              <w:right w:val="single" w:color="000000" w:sz="4" w:space="0"/>
            </w:tcBorders>
            <w:vAlign w:val="center"/>
          </w:tcPr>
          <w:p w14:paraId="0E621066">
            <w:pPr>
              <w:pStyle w:val="28"/>
              <w:bidi w:val="0"/>
            </w:pPr>
            <w:r>
              <w:t>灌溉面积（万亩）</w:t>
            </w:r>
          </w:p>
        </w:tc>
        <w:tc>
          <w:tcPr>
            <w:tcW w:w="2188" w:type="pct"/>
            <w:tcBorders>
              <w:top w:val="single" w:color="000000" w:sz="4" w:space="0"/>
              <w:left w:val="single" w:color="000000" w:sz="4" w:space="0"/>
              <w:bottom w:val="single" w:color="000000" w:sz="4" w:space="0"/>
              <w:right w:val="single" w:color="000000" w:sz="4" w:space="0"/>
            </w:tcBorders>
            <w:vAlign w:val="center"/>
          </w:tcPr>
          <w:p w14:paraId="04C9971E">
            <w:pPr>
              <w:pStyle w:val="28"/>
              <w:bidi w:val="0"/>
            </w:pPr>
            <w:r>
              <w:t>灌溉行政村</w:t>
            </w:r>
          </w:p>
        </w:tc>
      </w:tr>
      <w:tr w14:paraId="173C284F">
        <w:tblPrEx>
          <w:tblCellMar>
            <w:top w:w="0" w:type="dxa"/>
            <w:left w:w="108" w:type="dxa"/>
            <w:bottom w:w="0" w:type="dxa"/>
            <w:right w:w="108" w:type="dxa"/>
          </w:tblCellMar>
        </w:tblPrEx>
        <w:trPr>
          <w:trHeight w:val="340" w:hRule="atLeast"/>
        </w:trPr>
        <w:tc>
          <w:tcPr>
            <w:tcW w:w="909" w:type="pct"/>
            <w:tcBorders>
              <w:top w:val="single" w:color="000000" w:sz="4" w:space="0"/>
              <w:left w:val="single" w:color="000000" w:sz="4" w:space="0"/>
              <w:bottom w:val="single" w:color="000000" w:sz="4" w:space="0"/>
              <w:right w:val="single" w:color="000000" w:sz="4" w:space="0"/>
            </w:tcBorders>
            <w:vAlign w:val="center"/>
          </w:tcPr>
          <w:p w14:paraId="15B3F9FD">
            <w:pPr>
              <w:pStyle w:val="28"/>
              <w:bidi w:val="0"/>
            </w:pPr>
            <w:r>
              <w:t>郑岗一级站</w:t>
            </w:r>
          </w:p>
        </w:tc>
        <w:tc>
          <w:tcPr>
            <w:tcW w:w="763" w:type="pct"/>
            <w:tcBorders>
              <w:top w:val="single" w:color="000000" w:sz="4" w:space="0"/>
              <w:left w:val="single" w:color="000000" w:sz="4" w:space="0"/>
              <w:bottom w:val="single" w:color="000000" w:sz="4" w:space="0"/>
              <w:right w:val="single" w:color="000000" w:sz="4" w:space="0"/>
            </w:tcBorders>
            <w:vAlign w:val="center"/>
          </w:tcPr>
          <w:p w14:paraId="201412E8">
            <w:pPr>
              <w:pStyle w:val="28"/>
              <w:bidi w:val="0"/>
            </w:pPr>
            <w:r>
              <w:t>980</w:t>
            </w:r>
          </w:p>
        </w:tc>
        <w:tc>
          <w:tcPr>
            <w:tcW w:w="1138" w:type="pct"/>
            <w:tcBorders>
              <w:top w:val="single" w:color="000000" w:sz="4" w:space="0"/>
              <w:left w:val="single" w:color="000000" w:sz="4" w:space="0"/>
              <w:bottom w:val="single" w:color="000000" w:sz="4" w:space="0"/>
              <w:right w:val="single" w:color="000000" w:sz="4" w:space="0"/>
            </w:tcBorders>
            <w:vAlign w:val="center"/>
          </w:tcPr>
          <w:p w14:paraId="7AC0D614">
            <w:pPr>
              <w:pStyle w:val="28"/>
              <w:bidi w:val="0"/>
            </w:pPr>
            <w:r>
              <w:t>1.04</w:t>
            </w:r>
          </w:p>
        </w:tc>
        <w:tc>
          <w:tcPr>
            <w:tcW w:w="2188" w:type="pct"/>
            <w:tcBorders>
              <w:top w:val="single" w:color="000000" w:sz="4" w:space="0"/>
              <w:left w:val="single" w:color="000000" w:sz="4" w:space="0"/>
              <w:bottom w:val="single" w:color="000000" w:sz="4" w:space="0"/>
              <w:right w:val="single" w:color="000000" w:sz="4" w:space="0"/>
            </w:tcBorders>
            <w:vAlign w:val="center"/>
          </w:tcPr>
          <w:p w14:paraId="3473707E">
            <w:pPr>
              <w:pStyle w:val="28"/>
              <w:bidi w:val="0"/>
            </w:pPr>
            <w:r>
              <w:t>小甸镇唐店村</w:t>
            </w:r>
          </w:p>
        </w:tc>
      </w:tr>
      <w:tr w14:paraId="321C86C7">
        <w:tblPrEx>
          <w:tblCellMar>
            <w:top w:w="0" w:type="dxa"/>
            <w:left w:w="108" w:type="dxa"/>
            <w:bottom w:w="0" w:type="dxa"/>
            <w:right w:w="108" w:type="dxa"/>
          </w:tblCellMar>
        </w:tblPrEx>
        <w:trPr>
          <w:trHeight w:val="340" w:hRule="atLeast"/>
        </w:trPr>
        <w:tc>
          <w:tcPr>
            <w:tcW w:w="909" w:type="pct"/>
            <w:tcBorders>
              <w:top w:val="single" w:color="000000" w:sz="4" w:space="0"/>
              <w:left w:val="single" w:color="000000" w:sz="4" w:space="0"/>
              <w:bottom w:val="single" w:color="000000" w:sz="4" w:space="0"/>
              <w:right w:val="single" w:color="000000" w:sz="4" w:space="0"/>
            </w:tcBorders>
            <w:vAlign w:val="center"/>
          </w:tcPr>
          <w:p w14:paraId="61EE5FC9">
            <w:pPr>
              <w:pStyle w:val="28"/>
              <w:bidi w:val="0"/>
            </w:pPr>
            <w:r>
              <w:t>郑岗二级站</w:t>
            </w:r>
          </w:p>
        </w:tc>
        <w:tc>
          <w:tcPr>
            <w:tcW w:w="763" w:type="pct"/>
            <w:tcBorders>
              <w:top w:val="single" w:color="000000" w:sz="4" w:space="0"/>
              <w:left w:val="single" w:color="000000" w:sz="4" w:space="0"/>
              <w:bottom w:val="single" w:color="000000" w:sz="4" w:space="0"/>
              <w:right w:val="single" w:color="000000" w:sz="4" w:space="0"/>
            </w:tcBorders>
            <w:vAlign w:val="center"/>
          </w:tcPr>
          <w:p w14:paraId="56379E68">
            <w:pPr>
              <w:pStyle w:val="28"/>
              <w:bidi w:val="0"/>
            </w:pPr>
            <w:r>
              <w:t>875</w:t>
            </w:r>
          </w:p>
        </w:tc>
        <w:tc>
          <w:tcPr>
            <w:tcW w:w="1138" w:type="pct"/>
            <w:tcBorders>
              <w:top w:val="single" w:color="000000" w:sz="4" w:space="0"/>
              <w:left w:val="single" w:color="000000" w:sz="4" w:space="0"/>
              <w:bottom w:val="single" w:color="000000" w:sz="4" w:space="0"/>
              <w:right w:val="single" w:color="000000" w:sz="4" w:space="0"/>
            </w:tcBorders>
            <w:vAlign w:val="center"/>
          </w:tcPr>
          <w:p w14:paraId="2F31AB5E">
            <w:pPr>
              <w:pStyle w:val="28"/>
              <w:bidi w:val="0"/>
            </w:pPr>
            <w:r>
              <w:t>0.03</w:t>
            </w:r>
          </w:p>
        </w:tc>
        <w:tc>
          <w:tcPr>
            <w:tcW w:w="2188" w:type="pct"/>
            <w:tcBorders>
              <w:top w:val="single" w:color="000000" w:sz="4" w:space="0"/>
              <w:left w:val="single" w:color="000000" w:sz="4" w:space="0"/>
              <w:bottom w:val="single" w:color="000000" w:sz="4" w:space="0"/>
              <w:right w:val="single" w:color="000000" w:sz="4" w:space="0"/>
            </w:tcBorders>
            <w:vAlign w:val="center"/>
          </w:tcPr>
          <w:p w14:paraId="5DD82842">
            <w:pPr>
              <w:pStyle w:val="28"/>
              <w:bidi w:val="0"/>
            </w:pPr>
            <w:r>
              <w:t>小甸镇唐店村</w:t>
            </w:r>
          </w:p>
        </w:tc>
      </w:tr>
      <w:tr w14:paraId="199E4330">
        <w:tblPrEx>
          <w:tblCellMar>
            <w:top w:w="0" w:type="dxa"/>
            <w:left w:w="108" w:type="dxa"/>
            <w:bottom w:w="0" w:type="dxa"/>
            <w:right w:w="108" w:type="dxa"/>
          </w:tblCellMar>
        </w:tblPrEx>
        <w:trPr>
          <w:trHeight w:val="340" w:hRule="atLeast"/>
        </w:trPr>
        <w:tc>
          <w:tcPr>
            <w:tcW w:w="909" w:type="pct"/>
            <w:tcBorders>
              <w:top w:val="single" w:color="000000" w:sz="4" w:space="0"/>
              <w:left w:val="single" w:color="000000" w:sz="4" w:space="0"/>
              <w:bottom w:val="single" w:color="000000" w:sz="4" w:space="0"/>
              <w:right w:val="single" w:color="000000" w:sz="4" w:space="0"/>
            </w:tcBorders>
            <w:vAlign w:val="center"/>
          </w:tcPr>
          <w:p w14:paraId="1F15B473">
            <w:pPr>
              <w:pStyle w:val="28"/>
              <w:bidi w:val="0"/>
            </w:pPr>
            <w:r>
              <w:t>郑岗三级站</w:t>
            </w:r>
          </w:p>
        </w:tc>
        <w:tc>
          <w:tcPr>
            <w:tcW w:w="763" w:type="pct"/>
            <w:tcBorders>
              <w:top w:val="single" w:color="000000" w:sz="4" w:space="0"/>
              <w:left w:val="single" w:color="000000" w:sz="4" w:space="0"/>
              <w:bottom w:val="single" w:color="000000" w:sz="4" w:space="0"/>
              <w:right w:val="single" w:color="000000" w:sz="4" w:space="0"/>
            </w:tcBorders>
            <w:vAlign w:val="center"/>
          </w:tcPr>
          <w:p w14:paraId="76CECCCC">
            <w:pPr>
              <w:pStyle w:val="28"/>
              <w:bidi w:val="0"/>
            </w:pPr>
            <w:r>
              <w:t>770</w:t>
            </w:r>
          </w:p>
        </w:tc>
        <w:tc>
          <w:tcPr>
            <w:tcW w:w="1138" w:type="pct"/>
            <w:tcBorders>
              <w:top w:val="single" w:color="000000" w:sz="4" w:space="0"/>
              <w:left w:val="single" w:color="000000" w:sz="4" w:space="0"/>
              <w:bottom w:val="single" w:color="000000" w:sz="4" w:space="0"/>
              <w:right w:val="single" w:color="000000" w:sz="4" w:space="0"/>
            </w:tcBorders>
            <w:vAlign w:val="center"/>
          </w:tcPr>
          <w:p w14:paraId="42B37195">
            <w:pPr>
              <w:pStyle w:val="28"/>
              <w:bidi w:val="0"/>
            </w:pPr>
            <w:r>
              <w:t>3.12</w:t>
            </w:r>
          </w:p>
        </w:tc>
        <w:tc>
          <w:tcPr>
            <w:tcW w:w="2188" w:type="pct"/>
            <w:tcBorders>
              <w:top w:val="single" w:color="000000" w:sz="4" w:space="0"/>
              <w:left w:val="single" w:color="000000" w:sz="4" w:space="0"/>
              <w:bottom w:val="single" w:color="000000" w:sz="4" w:space="0"/>
              <w:right w:val="single" w:color="000000" w:sz="4" w:space="0"/>
            </w:tcBorders>
            <w:vAlign w:val="center"/>
          </w:tcPr>
          <w:p w14:paraId="60000548">
            <w:pPr>
              <w:pStyle w:val="28"/>
              <w:bidi w:val="0"/>
            </w:pPr>
            <w:r>
              <w:t>保障李山支渠下游小甸镇邵店、田铺、姚郢、杨圩等村；向上延伸至小甸镇李山、吕圩、魏庙村；并可向上延伸至瓦东干渠沙井冲闸上进行补水。</w:t>
            </w:r>
          </w:p>
        </w:tc>
      </w:tr>
      <w:tr w14:paraId="06C34392">
        <w:tblPrEx>
          <w:tblCellMar>
            <w:top w:w="0" w:type="dxa"/>
            <w:left w:w="108" w:type="dxa"/>
            <w:bottom w:w="0" w:type="dxa"/>
            <w:right w:w="108" w:type="dxa"/>
          </w:tblCellMar>
        </w:tblPrEx>
        <w:trPr>
          <w:trHeight w:val="340" w:hRule="atLeast"/>
        </w:trPr>
        <w:tc>
          <w:tcPr>
            <w:tcW w:w="909" w:type="pct"/>
            <w:tcBorders>
              <w:top w:val="single" w:color="000000" w:sz="4" w:space="0"/>
              <w:left w:val="single" w:color="000000" w:sz="4" w:space="0"/>
              <w:bottom w:val="single" w:color="000000" w:sz="4" w:space="0"/>
              <w:right w:val="single" w:color="000000" w:sz="4" w:space="0"/>
            </w:tcBorders>
            <w:vAlign w:val="center"/>
          </w:tcPr>
          <w:p w14:paraId="004018AA">
            <w:pPr>
              <w:pStyle w:val="28"/>
              <w:bidi w:val="0"/>
            </w:pPr>
            <w:r>
              <w:t>合计</w:t>
            </w:r>
          </w:p>
        </w:tc>
        <w:tc>
          <w:tcPr>
            <w:tcW w:w="763" w:type="pct"/>
            <w:tcBorders>
              <w:top w:val="single" w:color="000000" w:sz="4" w:space="0"/>
              <w:left w:val="single" w:color="000000" w:sz="4" w:space="0"/>
              <w:bottom w:val="single" w:color="000000" w:sz="4" w:space="0"/>
              <w:right w:val="single" w:color="000000" w:sz="4" w:space="0"/>
            </w:tcBorders>
            <w:vAlign w:val="center"/>
          </w:tcPr>
          <w:p w14:paraId="4A45F0AA">
            <w:pPr>
              <w:pStyle w:val="28"/>
              <w:bidi w:val="0"/>
            </w:pPr>
            <w:r>
              <w:t>2625</w:t>
            </w:r>
          </w:p>
        </w:tc>
        <w:tc>
          <w:tcPr>
            <w:tcW w:w="1138" w:type="pct"/>
            <w:tcBorders>
              <w:top w:val="single" w:color="000000" w:sz="4" w:space="0"/>
              <w:left w:val="single" w:color="000000" w:sz="4" w:space="0"/>
              <w:bottom w:val="single" w:color="000000" w:sz="4" w:space="0"/>
              <w:right w:val="single" w:color="000000" w:sz="4" w:space="0"/>
            </w:tcBorders>
            <w:vAlign w:val="center"/>
          </w:tcPr>
          <w:p w14:paraId="7AD12F86">
            <w:pPr>
              <w:pStyle w:val="28"/>
              <w:bidi w:val="0"/>
            </w:pPr>
            <w:r>
              <w:t>4.19</w:t>
            </w:r>
          </w:p>
        </w:tc>
        <w:tc>
          <w:tcPr>
            <w:tcW w:w="2188" w:type="pct"/>
            <w:tcBorders>
              <w:top w:val="single" w:color="000000" w:sz="4" w:space="0"/>
              <w:left w:val="single" w:color="000000" w:sz="4" w:space="0"/>
              <w:bottom w:val="single" w:color="000000" w:sz="4" w:space="0"/>
              <w:right w:val="single" w:color="000000" w:sz="4" w:space="0"/>
            </w:tcBorders>
            <w:vAlign w:val="center"/>
          </w:tcPr>
          <w:p w14:paraId="22C43D75">
            <w:pPr>
              <w:pStyle w:val="28"/>
              <w:bidi w:val="0"/>
            </w:pPr>
            <w:r>
              <w:t>/</w:t>
            </w:r>
          </w:p>
        </w:tc>
      </w:tr>
    </w:tbl>
    <w:p w14:paraId="2987DCEC">
      <w:pPr>
        <w:spacing w:line="240" w:lineRule="auto"/>
        <w:rPr>
          <w:rFonts w:cs="Times New Roman"/>
          <w:color w:val="0000FF"/>
        </w:rPr>
      </w:pPr>
    </w:p>
    <w:p w14:paraId="2A653D3E">
      <w:pPr>
        <w:ind w:firstLine="480" w:firstLineChars="200"/>
        <w:rPr>
          <w:rFonts w:cs="Times New Roman"/>
          <w:color w:val="0000FF"/>
        </w:rPr>
      </w:pPr>
      <w:r>
        <w:rPr>
          <w:rFonts w:cs="Times New Roman"/>
          <w:color w:val="0000FF"/>
        </w:rPr>
        <w:t>郑岗泵站自1978年夏开工至1981年建成。因1978年大旱后，李山支渠末梢的用水矛盾并不突出，泵站建设仅一级站安装了20台机泵，二级站安装了5台机泵，总投资180万元。至1988年，以上三站没有发挥工程效益，主要设备基本毁坏。目前一级站泵房均已倒塌，泵站仅有村民自建的二台37kw水泵，原机电设备均不复存在。</w:t>
      </w:r>
    </w:p>
    <w:p w14:paraId="7C3C32DA">
      <w:pPr>
        <w:ind w:firstLine="480" w:firstLineChars="200"/>
        <w:rPr>
          <w:rFonts w:cs="Times New Roman"/>
          <w:color w:val="0000FF"/>
        </w:rPr>
      </w:pPr>
      <w:r>
        <w:rPr>
          <w:rFonts w:cs="Times New Roman"/>
          <w:color w:val="0000FF"/>
        </w:rPr>
        <w:t>郑岗泵站工程本次设置2级泵站，以及泵闸。</w:t>
      </w:r>
    </w:p>
    <w:p w14:paraId="38DB7BC1">
      <w:pPr>
        <w:ind w:firstLine="480" w:firstLineChars="200"/>
        <w:rPr>
          <w:rFonts w:cs="Times New Roman"/>
          <w:color w:val="0000FF"/>
        </w:rPr>
      </w:pPr>
      <w:r>
        <w:rPr>
          <w:rFonts w:cs="Times New Roman"/>
          <w:color w:val="0000FF"/>
        </w:rPr>
        <w:t>郑岗一级站选用3台600QH—50型立式潜水混流泵，配套YQGN520S—6型潜水电机，单机功率132kW，额定电压380V，总装机功率396kW。</w:t>
      </w:r>
    </w:p>
    <w:p w14:paraId="1EB33A19">
      <w:pPr>
        <w:ind w:firstLine="480" w:firstLineChars="200"/>
        <w:rPr>
          <w:rFonts w:cs="Times New Roman"/>
          <w:color w:val="0000FF"/>
        </w:rPr>
      </w:pPr>
      <w:r>
        <w:rPr>
          <w:rFonts w:cs="Times New Roman"/>
          <w:color w:val="0000FF"/>
        </w:rPr>
        <w:t>郑岗二级站选用2台600QH—40型立式潜水混流泵，配套YQGN740M—6型潜水电机，单机功率250kW，额定电压380V，总装机功率500kW。</w:t>
      </w:r>
    </w:p>
    <w:p w14:paraId="71F04E7C">
      <w:pPr>
        <w:adjustRightInd w:val="0"/>
        <w:snapToGrid w:val="0"/>
        <w:ind w:firstLine="480"/>
        <w:rPr>
          <w:rFonts w:eastAsia="黑体" w:cs="Times New Roman"/>
          <w:color w:val="0000FF"/>
          <w:kern w:val="2"/>
        </w:rPr>
        <w:sectPr>
          <w:headerReference r:id="rId28" w:type="default"/>
          <w:footerReference r:id="rId29" w:type="default"/>
          <w:pgSz w:w="11905" w:h="16838"/>
          <w:pgMar w:top="1417" w:right="1417" w:bottom="1417" w:left="1417" w:header="850" w:footer="850" w:gutter="0"/>
          <w:pgNumType w:fmt="decimal"/>
          <w:cols w:space="0" w:num="1"/>
          <w:rtlGutter w:val="0"/>
          <w:docGrid w:linePitch="0" w:charSpace="0"/>
        </w:sectPr>
      </w:pPr>
    </w:p>
    <w:p w14:paraId="53F99B18">
      <w:pPr>
        <w:adjustRightInd w:val="0"/>
        <w:snapToGrid w:val="0"/>
        <w:ind w:firstLine="480"/>
        <w:rPr>
          <w:rFonts w:eastAsia="黑体" w:cs="Times New Roman"/>
          <w:color w:val="0000FF"/>
          <w:kern w:val="2"/>
        </w:rPr>
      </w:pPr>
      <w:r>
        <w:rPr>
          <w:rFonts w:cs="Times New Roman"/>
          <w:color w:val="0000FF"/>
        </w:rPr>
        <w:t>本项目参照《</w:t>
      </w:r>
      <w:r>
        <w:rPr>
          <w:rFonts w:hint="eastAsia" w:cs="Times New Roman"/>
          <w:color w:val="0000FF"/>
        </w:rPr>
        <w:t>环境保护产品技术要求 潜水排污泵</w:t>
      </w:r>
      <w:r>
        <w:rPr>
          <w:rFonts w:cs="Times New Roman"/>
          <w:color w:val="0000FF"/>
        </w:rPr>
        <w:t>》（HJ</w:t>
      </w:r>
      <w:r>
        <w:rPr>
          <w:rFonts w:hint="eastAsia" w:cs="Times New Roman"/>
          <w:color w:val="0000FF"/>
        </w:rPr>
        <w:t>/T336-2006</w:t>
      </w:r>
      <w:r>
        <w:rPr>
          <w:rFonts w:cs="Times New Roman"/>
          <w:color w:val="0000FF"/>
        </w:rPr>
        <w:t>）</w:t>
      </w:r>
      <w:r>
        <w:rPr>
          <w:rFonts w:hint="eastAsia" w:cs="Times New Roman"/>
          <w:color w:val="0000FF"/>
        </w:rPr>
        <w:t>“</w:t>
      </w:r>
      <w:r>
        <w:rPr>
          <w:rFonts w:cs="Times New Roman"/>
          <w:color w:val="0000FF"/>
        </w:rPr>
        <w:t>潜水排污泵空载运行时产生的噪声声压级不大于80dB</w:t>
      </w:r>
      <w:r>
        <w:rPr>
          <w:rFonts w:hint="eastAsia" w:cs="Times New Roman"/>
          <w:color w:val="0000FF"/>
        </w:rPr>
        <w:t>（A）”</w:t>
      </w:r>
      <w:r>
        <w:rPr>
          <w:rFonts w:cs="Times New Roman"/>
          <w:color w:val="0000FF"/>
        </w:rPr>
        <w:t>，本项目取值</w:t>
      </w:r>
      <w:r>
        <w:rPr>
          <w:rFonts w:hint="eastAsia" w:cs="Times New Roman"/>
          <w:color w:val="0000FF"/>
        </w:rPr>
        <w:t>单台潜水混流泵噪声声压级80dB（A）</w:t>
      </w:r>
      <w:r>
        <w:rPr>
          <w:rFonts w:cs="Times New Roman"/>
          <w:color w:val="0000FF"/>
        </w:rPr>
        <w:t>。</w:t>
      </w:r>
    </w:p>
    <w:p w14:paraId="2CB8AD65">
      <w:pPr>
        <w:adjustRightInd w:val="0"/>
        <w:snapToGrid w:val="0"/>
        <w:ind w:firstLine="480"/>
        <w:rPr>
          <w:rFonts w:cs="Times New Roman"/>
          <w:color w:val="0000FF"/>
        </w:rPr>
      </w:pPr>
      <w:r>
        <w:rPr>
          <w:rFonts w:eastAsia="黑体" w:cs="Times New Roman"/>
          <w:color w:val="0000FF"/>
          <w:kern w:val="2"/>
        </w:rPr>
        <w:t>表</w:t>
      </w:r>
      <w:r>
        <w:rPr>
          <w:rFonts w:eastAsia="黑体" w:cs="Times New Roman"/>
          <w:color w:val="0000FF"/>
        </w:rPr>
        <w:t>3</w:t>
      </w:r>
      <w:r>
        <w:rPr>
          <w:rFonts w:hint="eastAsia" w:eastAsia="黑体" w:cs="Times New Roman"/>
          <w:color w:val="0000FF"/>
        </w:rPr>
        <w:t>-3</w:t>
      </w:r>
      <w:r>
        <w:rPr>
          <w:rFonts w:eastAsia="黑体" w:cs="Times New Roman"/>
          <w:color w:val="0000FF"/>
        </w:rPr>
        <w:t>-</w:t>
      </w:r>
      <w:r>
        <w:rPr>
          <w:rFonts w:hint="eastAsia" w:eastAsia="黑体" w:cs="Times New Roman"/>
          <w:color w:val="0000FF"/>
        </w:rPr>
        <w:t>2</w:t>
      </w:r>
      <w:r>
        <w:rPr>
          <w:rFonts w:eastAsia="黑体" w:cs="Times New Roman"/>
          <w:color w:val="0000FF"/>
          <w:kern w:val="2"/>
        </w:rPr>
        <w:t xml:space="preserve">  工业企业噪声源强调查清单（室内声源）</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2"/>
        <w:gridCol w:w="480"/>
        <w:gridCol w:w="784"/>
        <w:gridCol w:w="986"/>
        <w:gridCol w:w="688"/>
        <w:gridCol w:w="552"/>
        <w:gridCol w:w="539"/>
        <w:gridCol w:w="615"/>
        <w:gridCol w:w="491"/>
        <w:gridCol w:w="250"/>
        <w:gridCol w:w="250"/>
        <w:gridCol w:w="250"/>
        <w:gridCol w:w="268"/>
        <w:gridCol w:w="355"/>
        <w:gridCol w:w="249"/>
        <w:gridCol w:w="249"/>
        <w:gridCol w:w="262"/>
        <w:gridCol w:w="381"/>
        <w:gridCol w:w="445"/>
        <w:gridCol w:w="445"/>
        <w:gridCol w:w="386"/>
      </w:tblGrid>
      <w:tr w14:paraId="6095AC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95" w:type="pct"/>
            <w:vMerge w:val="restart"/>
            <w:noWrap/>
            <w:vAlign w:val="center"/>
          </w:tcPr>
          <w:p w14:paraId="76A4A389">
            <w:pPr>
              <w:pStyle w:val="28"/>
              <w:bidi w:val="0"/>
            </w:pPr>
            <w:r>
              <w:t>序号</w:t>
            </w:r>
          </w:p>
        </w:tc>
        <w:tc>
          <w:tcPr>
            <w:tcW w:w="258" w:type="pct"/>
            <w:vMerge w:val="restart"/>
            <w:vAlign w:val="center"/>
          </w:tcPr>
          <w:p w14:paraId="70B75798">
            <w:pPr>
              <w:pStyle w:val="28"/>
              <w:bidi w:val="0"/>
            </w:pPr>
            <w:r>
              <w:t>建筑物名称</w:t>
            </w:r>
          </w:p>
        </w:tc>
        <w:tc>
          <w:tcPr>
            <w:tcW w:w="421" w:type="pct"/>
            <w:vMerge w:val="restart"/>
            <w:vAlign w:val="center"/>
          </w:tcPr>
          <w:p w14:paraId="4B57A6BC">
            <w:pPr>
              <w:pStyle w:val="28"/>
              <w:bidi w:val="0"/>
            </w:pPr>
            <w:r>
              <w:t>声源名称</w:t>
            </w:r>
          </w:p>
        </w:tc>
        <w:tc>
          <w:tcPr>
            <w:tcW w:w="529" w:type="pct"/>
            <w:vMerge w:val="restart"/>
            <w:vAlign w:val="center"/>
          </w:tcPr>
          <w:p w14:paraId="41FA52B4">
            <w:pPr>
              <w:pStyle w:val="28"/>
              <w:bidi w:val="0"/>
            </w:pPr>
            <w:r>
              <w:t>规格</w:t>
            </w:r>
          </w:p>
        </w:tc>
        <w:tc>
          <w:tcPr>
            <w:tcW w:w="370" w:type="pct"/>
            <w:vMerge w:val="restart"/>
            <w:vAlign w:val="center"/>
          </w:tcPr>
          <w:p w14:paraId="6EDB158F">
            <w:pPr>
              <w:pStyle w:val="28"/>
              <w:bidi w:val="0"/>
            </w:pPr>
            <w:r>
              <w:t>声功率级/dB（A）</w:t>
            </w:r>
          </w:p>
        </w:tc>
        <w:tc>
          <w:tcPr>
            <w:tcW w:w="297" w:type="pct"/>
            <w:vMerge w:val="restart"/>
            <w:vAlign w:val="center"/>
          </w:tcPr>
          <w:p w14:paraId="5CD2E5EA">
            <w:pPr>
              <w:pStyle w:val="28"/>
              <w:bidi w:val="0"/>
            </w:pPr>
            <w:r>
              <w:t>声源控制措施</w:t>
            </w:r>
          </w:p>
        </w:tc>
        <w:tc>
          <w:tcPr>
            <w:tcW w:w="885" w:type="pct"/>
            <w:gridSpan w:val="3"/>
            <w:vAlign w:val="center"/>
          </w:tcPr>
          <w:p w14:paraId="7897FCFB">
            <w:pPr>
              <w:pStyle w:val="28"/>
              <w:bidi w:val="0"/>
            </w:pPr>
            <w:r>
              <w:t>空间相对位置</w:t>
            </w:r>
          </w:p>
        </w:tc>
        <w:tc>
          <w:tcPr>
            <w:tcW w:w="546" w:type="pct"/>
            <w:gridSpan w:val="4"/>
            <w:vAlign w:val="center"/>
          </w:tcPr>
          <w:p w14:paraId="698DA5CC">
            <w:pPr>
              <w:pStyle w:val="28"/>
              <w:bidi w:val="0"/>
            </w:pPr>
            <w:r>
              <w:t>距室内边界距离/m</w:t>
            </w:r>
          </w:p>
        </w:tc>
        <w:tc>
          <w:tcPr>
            <w:tcW w:w="600" w:type="pct"/>
            <w:gridSpan w:val="4"/>
            <w:vAlign w:val="center"/>
          </w:tcPr>
          <w:p w14:paraId="3B43C369">
            <w:pPr>
              <w:pStyle w:val="28"/>
              <w:bidi w:val="0"/>
            </w:pPr>
            <w:r>
              <w:t>室内边界声级/dB（A）</w:t>
            </w:r>
          </w:p>
        </w:tc>
        <w:tc>
          <w:tcPr>
            <w:tcW w:w="205" w:type="pct"/>
            <w:vMerge w:val="restart"/>
            <w:vAlign w:val="center"/>
          </w:tcPr>
          <w:p w14:paraId="0C0F65B3">
            <w:pPr>
              <w:pStyle w:val="28"/>
              <w:bidi w:val="0"/>
            </w:pPr>
            <w:r>
              <w:t>运行时段</w:t>
            </w:r>
          </w:p>
        </w:tc>
        <w:tc>
          <w:tcPr>
            <w:tcW w:w="240" w:type="pct"/>
            <w:vMerge w:val="restart"/>
            <w:vAlign w:val="center"/>
          </w:tcPr>
          <w:p w14:paraId="6DAC70AB">
            <w:pPr>
              <w:pStyle w:val="28"/>
              <w:bidi w:val="0"/>
            </w:pPr>
            <w:r>
              <w:t>建筑物插入损失/dB（A）</w:t>
            </w:r>
          </w:p>
        </w:tc>
        <w:tc>
          <w:tcPr>
            <w:tcW w:w="448" w:type="pct"/>
            <w:gridSpan w:val="2"/>
            <w:vAlign w:val="center"/>
          </w:tcPr>
          <w:p w14:paraId="2EC283A3">
            <w:pPr>
              <w:pStyle w:val="28"/>
              <w:bidi w:val="0"/>
            </w:pPr>
            <w:r>
              <w:t>建筑物外噪声</w:t>
            </w:r>
          </w:p>
        </w:tc>
      </w:tr>
      <w:tr w14:paraId="0C228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95" w:type="pct"/>
            <w:vMerge w:val="continue"/>
            <w:vAlign w:val="center"/>
          </w:tcPr>
          <w:p w14:paraId="1D354ADC">
            <w:pPr>
              <w:pStyle w:val="28"/>
              <w:bidi w:val="0"/>
            </w:pPr>
          </w:p>
        </w:tc>
        <w:tc>
          <w:tcPr>
            <w:tcW w:w="258" w:type="pct"/>
            <w:vMerge w:val="continue"/>
            <w:vAlign w:val="center"/>
          </w:tcPr>
          <w:p w14:paraId="144775C0">
            <w:pPr>
              <w:pStyle w:val="28"/>
              <w:bidi w:val="0"/>
            </w:pPr>
          </w:p>
        </w:tc>
        <w:tc>
          <w:tcPr>
            <w:tcW w:w="421" w:type="pct"/>
            <w:vMerge w:val="continue"/>
            <w:vAlign w:val="center"/>
          </w:tcPr>
          <w:p w14:paraId="7A1C3E05">
            <w:pPr>
              <w:pStyle w:val="28"/>
              <w:bidi w:val="0"/>
            </w:pPr>
          </w:p>
        </w:tc>
        <w:tc>
          <w:tcPr>
            <w:tcW w:w="529" w:type="pct"/>
            <w:vMerge w:val="continue"/>
            <w:vAlign w:val="center"/>
          </w:tcPr>
          <w:p w14:paraId="04275BC7">
            <w:pPr>
              <w:pStyle w:val="28"/>
              <w:bidi w:val="0"/>
            </w:pPr>
          </w:p>
        </w:tc>
        <w:tc>
          <w:tcPr>
            <w:tcW w:w="370" w:type="pct"/>
            <w:vMerge w:val="continue"/>
            <w:vAlign w:val="center"/>
          </w:tcPr>
          <w:p w14:paraId="4048D0D8">
            <w:pPr>
              <w:pStyle w:val="28"/>
              <w:bidi w:val="0"/>
            </w:pPr>
          </w:p>
        </w:tc>
        <w:tc>
          <w:tcPr>
            <w:tcW w:w="297" w:type="pct"/>
            <w:vMerge w:val="continue"/>
            <w:vAlign w:val="center"/>
          </w:tcPr>
          <w:p w14:paraId="27EBC45C">
            <w:pPr>
              <w:pStyle w:val="28"/>
              <w:bidi w:val="0"/>
            </w:pPr>
          </w:p>
        </w:tc>
        <w:tc>
          <w:tcPr>
            <w:tcW w:w="290" w:type="pct"/>
            <w:vAlign w:val="center"/>
          </w:tcPr>
          <w:p w14:paraId="19002DA0">
            <w:pPr>
              <w:pStyle w:val="28"/>
              <w:bidi w:val="0"/>
            </w:pPr>
            <w:r>
              <w:t>X</w:t>
            </w:r>
          </w:p>
        </w:tc>
        <w:tc>
          <w:tcPr>
            <w:tcW w:w="331" w:type="pct"/>
            <w:vAlign w:val="center"/>
          </w:tcPr>
          <w:p w14:paraId="59692FBB">
            <w:pPr>
              <w:pStyle w:val="28"/>
              <w:bidi w:val="0"/>
            </w:pPr>
            <w:r>
              <w:t>Y</w:t>
            </w:r>
          </w:p>
        </w:tc>
        <w:tc>
          <w:tcPr>
            <w:tcW w:w="264" w:type="pct"/>
            <w:vAlign w:val="center"/>
          </w:tcPr>
          <w:p w14:paraId="21AA2B9B">
            <w:pPr>
              <w:pStyle w:val="28"/>
              <w:bidi w:val="0"/>
            </w:pPr>
            <w:r>
              <w:t>Z</w:t>
            </w:r>
          </w:p>
        </w:tc>
        <w:tc>
          <w:tcPr>
            <w:tcW w:w="134" w:type="pct"/>
            <w:vAlign w:val="center"/>
          </w:tcPr>
          <w:p w14:paraId="528A9048">
            <w:pPr>
              <w:pStyle w:val="28"/>
              <w:bidi w:val="0"/>
            </w:pPr>
            <w:r>
              <w:t>东</w:t>
            </w:r>
          </w:p>
        </w:tc>
        <w:tc>
          <w:tcPr>
            <w:tcW w:w="134" w:type="pct"/>
            <w:vAlign w:val="center"/>
          </w:tcPr>
          <w:p w14:paraId="0ED7521B">
            <w:pPr>
              <w:pStyle w:val="28"/>
              <w:bidi w:val="0"/>
            </w:pPr>
            <w:r>
              <w:t>西</w:t>
            </w:r>
          </w:p>
        </w:tc>
        <w:tc>
          <w:tcPr>
            <w:tcW w:w="134" w:type="pct"/>
            <w:vAlign w:val="center"/>
          </w:tcPr>
          <w:p w14:paraId="0B2DF735">
            <w:pPr>
              <w:pStyle w:val="28"/>
              <w:bidi w:val="0"/>
            </w:pPr>
            <w:r>
              <w:t>南</w:t>
            </w:r>
          </w:p>
        </w:tc>
        <w:tc>
          <w:tcPr>
            <w:tcW w:w="144" w:type="pct"/>
            <w:vAlign w:val="center"/>
          </w:tcPr>
          <w:p w14:paraId="7616597A">
            <w:pPr>
              <w:pStyle w:val="28"/>
              <w:bidi w:val="0"/>
            </w:pPr>
            <w:r>
              <w:t>北</w:t>
            </w:r>
          </w:p>
        </w:tc>
        <w:tc>
          <w:tcPr>
            <w:tcW w:w="191" w:type="pct"/>
            <w:vAlign w:val="center"/>
          </w:tcPr>
          <w:p w14:paraId="499BB878">
            <w:pPr>
              <w:pStyle w:val="28"/>
              <w:bidi w:val="0"/>
            </w:pPr>
            <w:r>
              <w:t>东</w:t>
            </w:r>
          </w:p>
        </w:tc>
        <w:tc>
          <w:tcPr>
            <w:tcW w:w="134" w:type="pct"/>
            <w:vAlign w:val="center"/>
          </w:tcPr>
          <w:p w14:paraId="092F84BB">
            <w:pPr>
              <w:pStyle w:val="28"/>
              <w:bidi w:val="0"/>
            </w:pPr>
            <w:r>
              <w:t>西</w:t>
            </w:r>
          </w:p>
        </w:tc>
        <w:tc>
          <w:tcPr>
            <w:tcW w:w="134" w:type="pct"/>
            <w:vAlign w:val="center"/>
          </w:tcPr>
          <w:p w14:paraId="3E27CCFE">
            <w:pPr>
              <w:pStyle w:val="28"/>
              <w:bidi w:val="0"/>
            </w:pPr>
            <w:r>
              <w:t>南</w:t>
            </w:r>
          </w:p>
        </w:tc>
        <w:tc>
          <w:tcPr>
            <w:tcW w:w="141" w:type="pct"/>
            <w:vAlign w:val="center"/>
          </w:tcPr>
          <w:p w14:paraId="3D4520CB">
            <w:pPr>
              <w:pStyle w:val="28"/>
              <w:bidi w:val="0"/>
            </w:pPr>
            <w:r>
              <w:t>北</w:t>
            </w:r>
          </w:p>
        </w:tc>
        <w:tc>
          <w:tcPr>
            <w:tcW w:w="205" w:type="pct"/>
            <w:vMerge w:val="continue"/>
            <w:vAlign w:val="center"/>
          </w:tcPr>
          <w:p w14:paraId="79448696">
            <w:pPr>
              <w:pStyle w:val="28"/>
              <w:bidi w:val="0"/>
            </w:pPr>
          </w:p>
        </w:tc>
        <w:tc>
          <w:tcPr>
            <w:tcW w:w="240" w:type="pct"/>
            <w:vMerge w:val="continue"/>
            <w:vAlign w:val="center"/>
          </w:tcPr>
          <w:p w14:paraId="7D006D47">
            <w:pPr>
              <w:pStyle w:val="28"/>
              <w:bidi w:val="0"/>
            </w:pPr>
          </w:p>
        </w:tc>
        <w:tc>
          <w:tcPr>
            <w:tcW w:w="240" w:type="pct"/>
            <w:vAlign w:val="center"/>
          </w:tcPr>
          <w:p w14:paraId="481456B3">
            <w:pPr>
              <w:pStyle w:val="28"/>
              <w:bidi w:val="0"/>
            </w:pPr>
            <w:r>
              <w:t>声压级/dB（A）</w:t>
            </w:r>
          </w:p>
        </w:tc>
        <w:tc>
          <w:tcPr>
            <w:tcW w:w="208" w:type="pct"/>
            <w:vAlign w:val="center"/>
          </w:tcPr>
          <w:p w14:paraId="0E91CC1D">
            <w:pPr>
              <w:pStyle w:val="28"/>
              <w:bidi w:val="0"/>
            </w:pPr>
            <w:r>
              <w:t>建筑物外距离/m</w:t>
            </w:r>
          </w:p>
        </w:tc>
      </w:tr>
      <w:tr w14:paraId="412BB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95" w:type="pct"/>
            <w:noWrap/>
            <w:vAlign w:val="center"/>
          </w:tcPr>
          <w:p w14:paraId="6289528E">
            <w:pPr>
              <w:pStyle w:val="28"/>
              <w:bidi w:val="0"/>
            </w:pPr>
            <w:r>
              <w:t>1</w:t>
            </w:r>
          </w:p>
        </w:tc>
        <w:tc>
          <w:tcPr>
            <w:tcW w:w="258" w:type="pct"/>
            <w:vAlign w:val="center"/>
          </w:tcPr>
          <w:p w14:paraId="3FB449DC">
            <w:pPr>
              <w:pStyle w:val="28"/>
              <w:bidi w:val="0"/>
            </w:pPr>
            <w:r>
              <w:t>一级泵站</w:t>
            </w:r>
          </w:p>
        </w:tc>
        <w:tc>
          <w:tcPr>
            <w:tcW w:w="421" w:type="pct"/>
            <w:vAlign w:val="center"/>
          </w:tcPr>
          <w:p w14:paraId="5170D30E">
            <w:pPr>
              <w:pStyle w:val="28"/>
              <w:bidi w:val="0"/>
            </w:pPr>
            <w:r>
              <w:t>潜水混流泵</w:t>
            </w:r>
          </w:p>
        </w:tc>
        <w:tc>
          <w:tcPr>
            <w:tcW w:w="529" w:type="pct"/>
            <w:vAlign w:val="center"/>
          </w:tcPr>
          <w:p w14:paraId="50AE2701">
            <w:pPr>
              <w:pStyle w:val="28"/>
              <w:bidi w:val="0"/>
            </w:pPr>
            <w:r>
              <w:t>3台600QH—50，单机功率132kW</w:t>
            </w:r>
          </w:p>
        </w:tc>
        <w:tc>
          <w:tcPr>
            <w:tcW w:w="370" w:type="pct"/>
            <w:vAlign w:val="center"/>
          </w:tcPr>
          <w:p w14:paraId="6508B6F4">
            <w:pPr>
              <w:pStyle w:val="28"/>
              <w:bidi w:val="0"/>
            </w:pPr>
            <w:r>
              <w:rPr>
                <w:rFonts w:hint="eastAsia"/>
              </w:rPr>
              <w:t>84.77</w:t>
            </w:r>
          </w:p>
        </w:tc>
        <w:tc>
          <w:tcPr>
            <w:tcW w:w="297" w:type="pct"/>
            <w:vAlign w:val="center"/>
          </w:tcPr>
          <w:p w14:paraId="2E899B3D">
            <w:pPr>
              <w:pStyle w:val="28"/>
              <w:bidi w:val="0"/>
            </w:pPr>
            <w:r>
              <w:t>减震、厂房隔声</w:t>
            </w:r>
          </w:p>
        </w:tc>
        <w:tc>
          <w:tcPr>
            <w:tcW w:w="290" w:type="pct"/>
            <w:noWrap/>
            <w:vAlign w:val="center"/>
          </w:tcPr>
          <w:p w14:paraId="3A4AB093">
            <w:pPr>
              <w:pStyle w:val="28"/>
              <w:bidi w:val="0"/>
            </w:pPr>
            <w:r>
              <w:t>1~</w:t>
            </w:r>
            <w:r>
              <w:rPr>
                <w:rFonts w:hint="eastAsia"/>
              </w:rPr>
              <w:t>76</w:t>
            </w:r>
          </w:p>
        </w:tc>
        <w:tc>
          <w:tcPr>
            <w:tcW w:w="331" w:type="pct"/>
            <w:noWrap/>
            <w:vAlign w:val="center"/>
          </w:tcPr>
          <w:p w14:paraId="5DD6591F">
            <w:pPr>
              <w:pStyle w:val="28"/>
              <w:bidi w:val="0"/>
            </w:pPr>
            <w:r>
              <w:rPr>
                <w:rFonts w:hint="eastAsia"/>
              </w:rPr>
              <w:t>1</w:t>
            </w:r>
            <w:r>
              <w:t>~</w:t>
            </w:r>
            <w:r>
              <w:rPr>
                <w:rFonts w:hint="eastAsia"/>
              </w:rPr>
              <w:t>56</w:t>
            </w:r>
          </w:p>
        </w:tc>
        <w:tc>
          <w:tcPr>
            <w:tcW w:w="264" w:type="pct"/>
            <w:noWrap/>
            <w:vAlign w:val="center"/>
          </w:tcPr>
          <w:p w14:paraId="602F3BD8">
            <w:pPr>
              <w:pStyle w:val="28"/>
              <w:bidi w:val="0"/>
            </w:pPr>
            <w:r>
              <w:t>1~5</w:t>
            </w:r>
          </w:p>
        </w:tc>
        <w:tc>
          <w:tcPr>
            <w:tcW w:w="134" w:type="pct"/>
            <w:vAlign w:val="center"/>
          </w:tcPr>
          <w:p w14:paraId="4BAD96D6">
            <w:pPr>
              <w:pStyle w:val="28"/>
              <w:bidi w:val="0"/>
            </w:pPr>
            <w:r>
              <w:t>3</w:t>
            </w:r>
          </w:p>
        </w:tc>
        <w:tc>
          <w:tcPr>
            <w:tcW w:w="134" w:type="pct"/>
            <w:vAlign w:val="center"/>
          </w:tcPr>
          <w:p w14:paraId="1DC1D041">
            <w:pPr>
              <w:pStyle w:val="28"/>
              <w:bidi w:val="0"/>
            </w:pPr>
            <w:r>
              <w:t>3</w:t>
            </w:r>
          </w:p>
        </w:tc>
        <w:tc>
          <w:tcPr>
            <w:tcW w:w="134" w:type="pct"/>
            <w:vAlign w:val="center"/>
          </w:tcPr>
          <w:p w14:paraId="275F1BF4">
            <w:pPr>
              <w:pStyle w:val="28"/>
              <w:bidi w:val="0"/>
            </w:pPr>
            <w:r>
              <w:t>3</w:t>
            </w:r>
          </w:p>
        </w:tc>
        <w:tc>
          <w:tcPr>
            <w:tcW w:w="144" w:type="pct"/>
            <w:vAlign w:val="center"/>
          </w:tcPr>
          <w:p w14:paraId="25EFECA0">
            <w:pPr>
              <w:pStyle w:val="28"/>
              <w:bidi w:val="0"/>
            </w:pPr>
            <w:r>
              <w:t>0</w:t>
            </w:r>
          </w:p>
        </w:tc>
        <w:tc>
          <w:tcPr>
            <w:tcW w:w="191" w:type="pct"/>
            <w:vAlign w:val="center"/>
          </w:tcPr>
          <w:p w14:paraId="2FF8B106">
            <w:pPr>
              <w:pStyle w:val="28"/>
              <w:bidi w:val="0"/>
            </w:pPr>
            <w:r>
              <w:t>4</w:t>
            </w:r>
          </w:p>
        </w:tc>
        <w:tc>
          <w:tcPr>
            <w:tcW w:w="134" w:type="pct"/>
            <w:vAlign w:val="center"/>
          </w:tcPr>
          <w:p w14:paraId="075CF2F7">
            <w:pPr>
              <w:pStyle w:val="28"/>
              <w:bidi w:val="0"/>
            </w:pPr>
            <w:r>
              <w:t>4</w:t>
            </w:r>
          </w:p>
        </w:tc>
        <w:tc>
          <w:tcPr>
            <w:tcW w:w="134" w:type="pct"/>
            <w:vAlign w:val="center"/>
          </w:tcPr>
          <w:p w14:paraId="6D810A2C">
            <w:pPr>
              <w:pStyle w:val="28"/>
              <w:bidi w:val="0"/>
            </w:pPr>
            <w:r>
              <w:t>4</w:t>
            </w:r>
          </w:p>
        </w:tc>
        <w:tc>
          <w:tcPr>
            <w:tcW w:w="141" w:type="pct"/>
            <w:vAlign w:val="center"/>
          </w:tcPr>
          <w:p w14:paraId="524C4DC6">
            <w:pPr>
              <w:pStyle w:val="28"/>
              <w:bidi w:val="0"/>
            </w:pPr>
            <w:r>
              <w:t>1</w:t>
            </w:r>
          </w:p>
        </w:tc>
        <w:tc>
          <w:tcPr>
            <w:tcW w:w="205" w:type="pct"/>
            <w:vAlign w:val="center"/>
          </w:tcPr>
          <w:p w14:paraId="610EC545">
            <w:pPr>
              <w:pStyle w:val="28"/>
              <w:bidi w:val="0"/>
            </w:pPr>
            <w:r>
              <w:t>昼夜</w:t>
            </w:r>
          </w:p>
        </w:tc>
        <w:tc>
          <w:tcPr>
            <w:tcW w:w="240" w:type="pct"/>
            <w:vAlign w:val="center"/>
          </w:tcPr>
          <w:p w14:paraId="143085EE">
            <w:pPr>
              <w:pStyle w:val="28"/>
              <w:bidi w:val="0"/>
            </w:pPr>
            <w:r>
              <w:t>15</w:t>
            </w:r>
          </w:p>
        </w:tc>
        <w:tc>
          <w:tcPr>
            <w:tcW w:w="240" w:type="pct"/>
            <w:vAlign w:val="center"/>
          </w:tcPr>
          <w:p w14:paraId="1B84CD54">
            <w:pPr>
              <w:pStyle w:val="28"/>
              <w:bidi w:val="0"/>
            </w:pPr>
            <w:r>
              <w:rPr>
                <w:rFonts w:hint="eastAsia"/>
              </w:rPr>
              <w:t>52.1</w:t>
            </w:r>
          </w:p>
        </w:tc>
        <w:tc>
          <w:tcPr>
            <w:tcW w:w="208" w:type="pct"/>
            <w:vAlign w:val="center"/>
          </w:tcPr>
          <w:p w14:paraId="14AFB979">
            <w:pPr>
              <w:pStyle w:val="28"/>
              <w:bidi w:val="0"/>
            </w:pPr>
            <w:r>
              <w:t>1</w:t>
            </w:r>
          </w:p>
        </w:tc>
      </w:tr>
      <w:tr w14:paraId="625BF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95" w:type="pct"/>
            <w:noWrap/>
            <w:vAlign w:val="center"/>
          </w:tcPr>
          <w:p w14:paraId="5003E341">
            <w:pPr>
              <w:pStyle w:val="28"/>
              <w:bidi w:val="0"/>
            </w:pPr>
            <w:r>
              <w:t>2</w:t>
            </w:r>
          </w:p>
        </w:tc>
        <w:tc>
          <w:tcPr>
            <w:tcW w:w="258" w:type="pct"/>
            <w:vAlign w:val="center"/>
          </w:tcPr>
          <w:p w14:paraId="6C05CB69">
            <w:pPr>
              <w:pStyle w:val="28"/>
              <w:bidi w:val="0"/>
            </w:pPr>
            <w:r>
              <w:t>二级泵站</w:t>
            </w:r>
          </w:p>
        </w:tc>
        <w:tc>
          <w:tcPr>
            <w:tcW w:w="421" w:type="pct"/>
            <w:vAlign w:val="center"/>
          </w:tcPr>
          <w:p w14:paraId="6D9DBC23">
            <w:pPr>
              <w:pStyle w:val="28"/>
              <w:bidi w:val="0"/>
            </w:pPr>
            <w:r>
              <w:t>潜水混流泵</w:t>
            </w:r>
          </w:p>
        </w:tc>
        <w:tc>
          <w:tcPr>
            <w:tcW w:w="529" w:type="pct"/>
            <w:vAlign w:val="center"/>
          </w:tcPr>
          <w:p w14:paraId="0E601DF3">
            <w:pPr>
              <w:pStyle w:val="28"/>
              <w:bidi w:val="0"/>
            </w:pPr>
            <w:r>
              <w:t>2台600QH—40，单机功率250kW</w:t>
            </w:r>
          </w:p>
        </w:tc>
        <w:tc>
          <w:tcPr>
            <w:tcW w:w="370" w:type="pct"/>
            <w:vAlign w:val="center"/>
          </w:tcPr>
          <w:p w14:paraId="6D96B008">
            <w:pPr>
              <w:pStyle w:val="28"/>
              <w:bidi w:val="0"/>
            </w:pPr>
            <w:r>
              <w:rPr>
                <w:rFonts w:hint="eastAsia"/>
              </w:rPr>
              <w:t>83.01</w:t>
            </w:r>
          </w:p>
        </w:tc>
        <w:tc>
          <w:tcPr>
            <w:tcW w:w="297" w:type="pct"/>
            <w:vAlign w:val="center"/>
          </w:tcPr>
          <w:p w14:paraId="77CBE1E4">
            <w:pPr>
              <w:pStyle w:val="28"/>
              <w:bidi w:val="0"/>
            </w:pPr>
            <w:r>
              <w:t>减震、厂房隔声</w:t>
            </w:r>
          </w:p>
        </w:tc>
        <w:tc>
          <w:tcPr>
            <w:tcW w:w="290" w:type="pct"/>
            <w:noWrap/>
            <w:vAlign w:val="center"/>
          </w:tcPr>
          <w:p w14:paraId="4FE01A06">
            <w:pPr>
              <w:pStyle w:val="28"/>
              <w:bidi w:val="0"/>
            </w:pPr>
            <w:r>
              <w:t>600~6</w:t>
            </w:r>
            <w:r>
              <w:rPr>
                <w:rFonts w:hint="eastAsia"/>
              </w:rPr>
              <w:t>76</w:t>
            </w:r>
          </w:p>
        </w:tc>
        <w:tc>
          <w:tcPr>
            <w:tcW w:w="331" w:type="pct"/>
            <w:noWrap/>
            <w:vAlign w:val="center"/>
          </w:tcPr>
          <w:p w14:paraId="66F6C18A">
            <w:pPr>
              <w:pStyle w:val="28"/>
              <w:bidi w:val="0"/>
            </w:pPr>
            <w:r>
              <w:t>-1457~-1</w:t>
            </w:r>
            <w:r>
              <w:rPr>
                <w:rFonts w:hint="eastAsia"/>
              </w:rPr>
              <w:t>513</w:t>
            </w:r>
          </w:p>
        </w:tc>
        <w:tc>
          <w:tcPr>
            <w:tcW w:w="264" w:type="pct"/>
            <w:noWrap/>
            <w:vAlign w:val="center"/>
          </w:tcPr>
          <w:p w14:paraId="4AF3DA0B">
            <w:pPr>
              <w:pStyle w:val="28"/>
              <w:bidi w:val="0"/>
            </w:pPr>
            <w:r>
              <w:t>1~5</w:t>
            </w:r>
          </w:p>
        </w:tc>
        <w:tc>
          <w:tcPr>
            <w:tcW w:w="134" w:type="pct"/>
            <w:vAlign w:val="center"/>
          </w:tcPr>
          <w:p w14:paraId="243F6C51">
            <w:pPr>
              <w:pStyle w:val="28"/>
              <w:bidi w:val="0"/>
            </w:pPr>
            <w:r>
              <w:t>3</w:t>
            </w:r>
          </w:p>
        </w:tc>
        <w:tc>
          <w:tcPr>
            <w:tcW w:w="134" w:type="pct"/>
            <w:vAlign w:val="center"/>
          </w:tcPr>
          <w:p w14:paraId="7278CD57">
            <w:pPr>
              <w:pStyle w:val="28"/>
              <w:bidi w:val="0"/>
            </w:pPr>
            <w:r>
              <w:t>3</w:t>
            </w:r>
          </w:p>
        </w:tc>
        <w:tc>
          <w:tcPr>
            <w:tcW w:w="134" w:type="pct"/>
            <w:vAlign w:val="center"/>
          </w:tcPr>
          <w:p w14:paraId="1FEE151D">
            <w:pPr>
              <w:pStyle w:val="28"/>
              <w:bidi w:val="0"/>
            </w:pPr>
            <w:r>
              <w:t>3</w:t>
            </w:r>
          </w:p>
        </w:tc>
        <w:tc>
          <w:tcPr>
            <w:tcW w:w="144" w:type="pct"/>
            <w:vAlign w:val="center"/>
          </w:tcPr>
          <w:p w14:paraId="4DB47A4E">
            <w:pPr>
              <w:pStyle w:val="28"/>
              <w:bidi w:val="0"/>
            </w:pPr>
            <w:r>
              <w:t>0</w:t>
            </w:r>
          </w:p>
        </w:tc>
        <w:tc>
          <w:tcPr>
            <w:tcW w:w="191" w:type="pct"/>
            <w:vAlign w:val="center"/>
          </w:tcPr>
          <w:p w14:paraId="28581C16">
            <w:pPr>
              <w:pStyle w:val="28"/>
              <w:bidi w:val="0"/>
            </w:pPr>
            <w:r>
              <w:t>4</w:t>
            </w:r>
          </w:p>
        </w:tc>
        <w:tc>
          <w:tcPr>
            <w:tcW w:w="134" w:type="pct"/>
            <w:vAlign w:val="center"/>
          </w:tcPr>
          <w:p w14:paraId="72FCEEDA">
            <w:pPr>
              <w:pStyle w:val="28"/>
              <w:bidi w:val="0"/>
            </w:pPr>
            <w:r>
              <w:t>4</w:t>
            </w:r>
          </w:p>
        </w:tc>
        <w:tc>
          <w:tcPr>
            <w:tcW w:w="134" w:type="pct"/>
            <w:vAlign w:val="center"/>
          </w:tcPr>
          <w:p w14:paraId="5FDCB46D">
            <w:pPr>
              <w:pStyle w:val="28"/>
              <w:bidi w:val="0"/>
            </w:pPr>
            <w:r>
              <w:t>4</w:t>
            </w:r>
          </w:p>
        </w:tc>
        <w:tc>
          <w:tcPr>
            <w:tcW w:w="141" w:type="pct"/>
            <w:vAlign w:val="center"/>
          </w:tcPr>
          <w:p w14:paraId="4779163C">
            <w:pPr>
              <w:pStyle w:val="28"/>
              <w:bidi w:val="0"/>
            </w:pPr>
            <w:r>
              <w:t>1</w:t>
            </w:r>
          </w:p>
        </w:tc>
        <w:tc>
          <w:tcPr>
            <w:tcW w:w="205" w:type="pct"/>
            <w:vAlign w:val="center"/>
          </w:tcPr>
          <w:p w14:paraId="1989DE13">
            <w:pPr>
              <w:pStyle w:val="28"/>
              <w:bidi w:val="0"/>
            </w:pPr>
            <w:r>
              <w:t>昼夜</w:t>
            </w:r>
          </w:p>
        </w:tc>
        <w:tc>
          <w:tcPr>
            <w:tcW w:w="240" w:type="pct"/>
            <w:vAlign w:val="center"/>
          </w:tcPr>
          <w:p w14:paraId="7A1B191B">
            <w:pPr>
              <w:pStyle w:val="28"/>
              <w:bidi w:val="0"/>
            </w:pPr>
            <w:r>
              <w:t>15</w:t>
            </w:r>
          </w:p>
        </w:tc>
        <w:tc>
          <w:tcPr>
            <w:tcW w:w="240" w:type="pct"/>
            <w:vAlign w:val="center"/>
          </w:tcPr>
          <w:p w14:paraId="5A807453">
            <w:pPr>
              <w:pStyle w:val="28"/>
              <w:bidi w:val="0"/>
            </w:pPr>
            <w:r>
              <w:rPr>
                <w:rFonts w:hint="eastAsia"/>
              </w:rPr>
              <w:t>53.0</w:t>
            </w:r>
          </w:p>
        </w:tc>
        <w:tc>
          <w:tcPr>
            <w:tcW w:w="208" w:type="pct"/>
            <w:vAlign w:val="center"/>
          </w:tcPr>
          <w:p w14:paraId="5F66973C">
            <w:pPr>
              <w:pStyle w:val="28"/>
              <w:bidi w:val="0"/>
            </w:pPr>
            <w:r>
              <w:t>1</w:t>
            </w:r>
          </w:p>
        </w:tc>
      </w:tr>
    </w:tbl>
    <w:p w14:paraId="4E4ED2CF">
      <w:pPr>
        <w:rPr>
          <w:rFonts w:cs="Times New Roman"/>
          <w:color w:val="0000FF"/>
          <w:sz w:val="20"/>
          <w:szCs w:val="20"/>
        </w:rPr>
      </w:pPr>
      <w:r>
        <w:rPr>
          <w:rFonts w:cs="Times New Roman"/>
          <w:b/>
          <w:bCs/>
          <w:color w:val="0000FF"/>
          <w:sz w:val="16"/>
          <w:szCs w:val="16"/>
        </w:rPr>
        <w:t>以一级泵站西南角为坐标原点。</w:t>
      </w:r>
    </w:p>
    <w:p w14:paraId="6B8CED00">
      <w:pPr>
        <w:rPr>
          <w:rFonts w:cs="Times New Roman"/>
          <w:color w:val="0000FF"/>
        </w:rPr>
      </w:pPr>
    </w:p>
    <w:p w14:paraId="45EC3D15">
      <w:pPr>
        <w:pStyle w:val="5"/>
        <w:rPr>
          <w:rFonts w:cs="Times New Roman"/>
          <w:color w:val="0000FF"/>
        </w:rPr>
        <w:sectPr>
          <w:pgSz w:w="11905" w:h="16838"/>
          <w:pgMar w:top="1417" w:right="1417" w:bottom="1417" w:left="1417" w:header="850" w:footer="850" w:gutter="0"/>
          <w:pgNumType w:fmt="decimal"/>
          <w:cols w:space="0" w:num="1"/>
          <w:rtlGutter w:val="0"/>
          <w:docGrid w:linePitch="0" w:charSpace="0"/>
        </w:sectPr>
      </w:pPr>
    </w:p>
    <w:p w14:paraId="34FD8B54">
      <w:pPr>
        <w:pStyle w:val="5"/>
        <w:rPr>
          <w:rFonts w:cs="Times New Roman"/>
          <w:color w:val="0000FF"/>
        </w:rPr>
      </w:pPr>
      <w:r>
        <w:rPr>
          <w:rFonts w:cs="Times New Roman"/>
          <w:color w:val="0000FF"/>
        </w:rPr>
        <w:t>3.3.2.4 固体废物污染源分析</w:t>
      </w:r>
    </w:p>
    <w:p w14:paraId="039B50A9">
      <w:pPr>
        <w:ind w:firstLine="480"/>
        <w:rPr>
          <w:rFonts w:cs="Times New Roman"/>
          <w:color w:val="0000FF"/>
        </w:rPr>
      </w:pPr>
      <w:r>
        <w:rPr>
          <w:rFonts w:cs="Times New Roman"/>
          <w:color w:val="0000FF"/>
        </w:rPr>
        <w:t>（1）生活垃圾</w:t>
      </w:r>
    </w:p>
    <w:p w14:paraId="7D1F688C">
      <w:pPr>
        <w:ind w:firstLine="480"/>
        <w:rPr>
          <w:rFonts w:cs="Times New Roman"/>
          <w:color w:val="0000FF"/>
        </w:rPr>
      </w:pPr>
      <w:r>
        <w:rPr>
          <w:rFonts w:cs="Times New Roman"/>
          <w:color w:val="0000FF"/>
        </w:rPr>
        <w:t>本项目不新增人员，不新增生活垃圾。</w:t>
      </w:r>
    </w:p>
    <w:p w14:paraId="5B413D41">
      <w:pPr>
        <w:ind w:left="480"/>
        <w:rPr>
          <w:rFonts w:cs="Times New Roman"/>
          <w:color w:val="0000FF"/>
        </w:rPr>
      </w:pPr>
      <w:r>
        <w:rPr>
          <w:rFonts w:cs="Times New Roman"/>
          <w:color w:val="0000FF"/>
        </w:rPr>
        <w:t>（2）危险废物</w:t>
      </w:r>
    </w:p>
    <w:p w14:paraId="1298B79D">
      <w:pPr>
        <w:ind w:firstLine="480"/>
        <w:rPr>
          <w:rFonts w:cs="Times New Roman"/>
          <w:color w:val="0000FF"/>
        </w:rPr>
      </w:pPr>
      <w:r>
        <w:rPr>
          <w:rFonts w:cs="Times New Roman"/>
          <w:color w:val="0000FF"/>
        </w:rPr>
        <w:t>项目运营期各类涵闸等渠系建筑物运行检修会产生的危废包括设备日常检修和维护产生少量废机油及其包装容器。废机油及其包装容器属于危险废物，危废类别为HW08，900-249-08。各管理处集中收集，在管理处设置危废暂存设施，并交由有危险废物处置资质的专门机构进行安全处置。其中废机油及其包装容器总产生量约为0.5t/a。</w:t>
      </w:r>
    </w:p>
    <w:p w14:paraId="383023AF">
      <w:pPr>
        <w:pStyle w:val="5"/>
        <w:rPr>
          <w:rFonts w:cs="Times New Roman"/>
          <w:color w:val="0000FF"/>
        </w:rPr>
      </w:pPr>
      <w:r>
        <w:rPr>
          <w:rFonts w:cs="Times New Roman"/>
          <w:color w:val="0000FF"/>
        </w:rPr>
        <w:t>3.3.2.5 生态环境影响源分析</w:t>
      </w:r>
    </w:p>
    <w:p w14:paraId="6E41741C">
      <w:pPr>
        <w:ind w:firstLine="480"/>
        <w:rPr>
          <w:rFonts w:cs="Times New Roman"/>
          <w:color w:val="0000FF"/>
        </w:rPr>
      </w:pPr>
      <w:r>
        <w:rPr>
          <w:rFonts w:cs="Times New Roman"/>
          <w:color w:val="0000FF"/>
        </w:rPr>
        <w:t>项目对生态环境的影响主要为工程占地和新建构筑物对水生生态环境的影响。</w:t>
      </w:r>
    </w:p>
    <w:p w14:paraId="34790C0A">
      <w:pPr>
        <w:ind w:firstLine="480"/>
        <w:rPr>
          <w:rFonts w:cs="Times New Roman"/>
          <w:color w:val="0000FF"/>
        </w:rPr>
      </w:pPr>
      <w:r>
        <w:rPr>
          <w:rFonts w:cs="Times New Roman"/>
          <w:color w:val="0000FF"/>
        </w:rPr>
        <w:t>项目新建工程占地均位于灌区管理范围内，为已征地块。占地对生态环境的影响主要在施工期，运行期对堤脚进行提防沿岸进行绿化使生态影响得以恢复，新建建筑物主要为节制闸、进水闸占地，放水涵等占地面积较小，均位于渠道范围内旱地植被生物量较少，生态影响极小。</w:t>
      </w:r>
    </w:p>
    <w:p w14:paraId="3335C4F2">
      <w:pPr>
        <w:ind w:firstLine="480"/>
        <w:rPr>
          <w:rFonts w:cs="Times New Roman"/>
          <w:color w:val="0000FF"/>
        </w:rPr>
      </w:pPr>
      <w:r>
        <w:rPr>
          <w:rFonts w:cs="Times New Roman"/>
          <w:color w:val="0000FF"/>
        </w:rPr>
        <w:t>项目运行期不新增永久占地，堤顶防汛道路工程在项目管理范围内，本工程防汛道路现状为土路或碎石路面，并不是新增选址，道路周边现状存在少量的植物，改建后防汛道路可能会造成评价区陆生植被和生物量少量损失，施工后期统一进行植被恢复和绿化，经调查，不涉及珍稀、濒危和国家重点保护的野生动植物，影响较小。</w:t>
      </w:r>
    </w:p>
    <w:p w14:paraId="30D2F7F7">
      <w:pPr>
        <w:ind w:firstLine="480"/>
        <w:rPr>
          <w:rFonts w:cs="Times New Roman"/>
          <w:color w:val="0000FF"/>
        </w:rPr>
      </w:pPr>
      <w:r>
        <w:rPr>
          <w:rFonts w:cs="Times New Roman"/>
          <w:color w:val="0000FF"/>
        </w:rPr>
        <w:t>渠道治理工程和渠系建筑物建设过程可能会导致渠道中的水生生物生境条件发生一定改变，从而对区域水生态系统产生一定影响。一方面，新建渠系建筑物选址位于渠道内部，不涉及生态保护红线、饮用水水源保护区、基本农田、重要野生动植物生境、洄游性鱼类洄游通，工程为人工灌溉渠道，无其他供水需求。考虑非灌溉期下游岸坡植物生长状态良好，对渠道内水无较大额外需求，工程保证下游一定的水位，对岸坡植物影响较小，另一方面，本工程运行期，堤防沿岸的绿化可使施工对沿线生态环境的影响得以恢复，保持生态稳定性。渠道两岸的生态护坡及绿化建设还能在一定程度上改善工程渠道的景观。</w:t>
      </w:r>
    </w:p>
    <w:p w14:paraId="43082A33">
      <w:pPr>
        <w:pStyle w:val="2"/>
        <w:rPr>
          <w:sz w:val="32"/>
          <w:lang w:val="zh-CN" w:bidi="zh-CN"/>
        </w:rPr>
      </w:pPr>
      <w:r>
        <w:rPr>
          <w:color w:val="0000FF"/>
        </w:rPr>
        <w:br w:type="page"/>
      </w:r>
      <w:bookmarkStart w:id="48" w:name="_Toc29266"/>
      <w:bookmarkStart w:id="49" w:name="_Toc85309329"/>
      <w:r>
        <w:rPr>
          <w:sz w:val="32"/>
          <w:lang w:val="zh-CN" w:bidi="zh-CN"/>
        </w:rPr>
        <w:t xml:space="preserve">4 </w:t>
      </w:r>
      <w:r>
        <w:fldChar w:fldCharType="begin"/>
      </w:r>
      <w:r>
        <w:instrText xml:space="preserve"> HYPERLINK \l "_bookmark5" </w:instrText>
      </w:r>
      <w:r>
        <w:fldChar w:fldCharType="separate"/>
      </w:r>
      <w:r>
        <w:rPr>
          <w:sz w:val="32"/>
          <w:lang w:val="zh-CN" w:bidi="zh-CN"/>
        </w:rPr>
        <w:t>环境现状调查与评价</w:t>
      </w:r>
      <w:r>
        <w:rPr>
          <w:sz w:val="32"/>
          <w:lang w:val="zh-CN" w:bidi="zh-CN"/>
        </w:rPr>
        <w:fldChar w:fldCharType="end"/>
      </w:r>
      <w:bookmarkEnd w:id="48"/>
    </w:p>
    <w:p w14:paraId="4F6AC776">
      <w:pPr>
        <w:pStyle w:val="3"/>
        <w:bidi w:val="0"/>
        <w:rPr>
          <w:lang w:val="zh-CN"/>
        </w:rPr>
      </w:pPr>
      <w:bookmarkStart w:id="50" w:name="_Toc7926"/>
      <w:r>
        <w:rPr>
          <w:lang w:val="zh-CN"/>
        </w:rPr>
        <w:t xml:space="preserve">4.1 </w:t>
      </w:r>
      <w:r>
        <w:fldChar w:fldCharType="begin"/>
      </w:r>
      <w:r>
        <w:instrText xml:space="preserve"> HYPERLINK \l "_bookmark20" </w:instrText>
      </w:r>
      <w:r>
        <w:fldChar w:fldCharType="separate"/>
      </w:r>
      <w:r>
        <w:rPr>
          <w:lang w:val="zh-CN"/>
        </w:rPr>
        <w:t>自然环境概况</w:t>
      </w:r>
      <w:r>
        <w:rPr>
          <w:lang w:val="zh-CN"/>
        </w:rPr>
        <w:fldChar w:fldCharType="end"/>
      </w:r>
      <w:bookmarkEnd w:id="50"/>
    </w:p>
    <w:p w14:paraId="43969CF5">
      <w:pPr>
        <w:pStyle w:val="4"/>
        <w:bidi w:val="0"/>
      </w:pPr>
      <w:r>
        <w:t>4.1.1 流域概况</w:t>
      </w:r>
    </w:p>
    <w:p w14:paraId="5F971BDB">
      <w:pPr>
        <w:pStyle w:val="5"/>
        <w:bidi w:val="0"/>
      </w:pPr>
      <w:r>
        <w:t>4.1.1.1 自然地理</w:t>
      </w:r>
    </w:p>
    <w:p w14:paraId="7163BBD8">
      <w:pPr>
        <w:ind w:firstLine="480" w:firstLineChars="200"/>
        <w:rPr>
          <w:rFonts w:ascii="宋体" w:hAnsi="宋体"/>
          <w:color w:val="000000"/>
          <w:lang w:bidi="ar"/>
        </w:rPr>
      </w:pPr>
      <w:r>
        <w:rPr>
          <w:rFonts w:hint="eastAsia" w:ascii="宋体" w:hAnsi="宋体"/>
          <w:color w:val="000000"/>
          <w:lang w:bidi="ar"/>
        </w:rPr>
        <w:t>淮南</w:t>
      </w:r>
      <w:r>
        <w:rPr>
          <w:rFonts w:cs="Times New Roman"/>
          <w:color w:val="000000"/>
          <w:lang w:bidi="ar"/>
        </w:rPr>
        <w:t>市位于安徽省中部偏北，淮河中游，横跨淮河两岸。地处东经116°21′21″~117°11′59″与北纬32°32′45″~33°0′24″之间，东与滁州市凤阳、定远县毗邻，南与合肥市长丰县接壤，西南与六安市霍邱县相连，西及西北与阜阳市颍上县，亳州市利辛县、蒙城县交界，东北与蚌埠市怀远县相交。淮南市总面积5533km</w:t>
      </w:r>
      <w:r>
        <w:rPr>
          <w:rFonts w:cs="Times New Roman"/>
          <w:color w:val="000000"/>
          <w:vertAlign w:val="superscript"/>
          <w:lang w:bidi="ar"/>
        </w:rPr>
        <w:t>2</w:t>
      </w:r>
      <w:r>
        <w:rPr>
          <w:rFonts w:cs="Times New Roman"/>
          <w:color w:val="000000"/>
          <w:lang w:bidi="ar"/>
        </w:rPr>
        <w:t>，辖大通、田家庵、谢家集、八公山、潘集五个区、凤台</w:t>
      </w:r>
      <w:r>
        <w:rPr>
          <w:rFonts w:hint="eastAsia" w:ascii="宋体" w:hAnsi="宋体"/>
          <w:color w:val="000000"/>
          <w:lang w:bidi="ar"/>
        </w:rPr>
        <w:t>县、寿县以及毛集实验区，其中凤台县和潘集区位于淮河北岸，其余县区位于淮河南岸。</w:t>
      </w:r>
    </w:p>
    <w:p w14:paraId="7BE896F3">
      <w:pPr>
        <w:ind w:firstLine="480" w:firstLineChars="200"/>
        <w:rPr>
          <w:rFonts w:ascii="宋体" w:hAnsi="宋体"/>
          <w:color w:val="000000"/>
          <w:lang w:bidi="ar"/>
        </w:rPr>
      </w:pPr>
      <w:r>
        <w:rPr>
          <w:rFonts w:cs="Times New Roman"/>
          <w:color w:val="000000"/>
          <w:lang w:bidi="ar"/>
        </w:rPr>
        <w:t>淮南市谢家集区位于淮南市的西南部，淮河与东淝河之间，地理坐标为东经116°54'~117°01'与北纬32°32'~32°39'之间。下辖谢家集街道、蔡家岗街道、立新街道、谢三村街道和平山街道5个街道，望峰岗镇、李郢孜镇、唐山镇、杨公镇、孙庙乡和孤堆回族乡6个乡镇，辖区面积275.7km</w:t>
      </w:r>
      <w:r>
        <w:rPr>
          <w:rFonts w:cs="Times New Roman"/>
          <w:color w:val="000000"/>
          <w:vertAlign w:val="superscript"/>
          <w:lang w:bidi="ar"/>
        </w:rPr>
        <w:t>2</w:t>
      </w:r>
      <w:r>
        <w:rPr>
          <w:rFonts w:cs="Times New Roman"/>
          <w:color w:val="000000"/>
          <w:lang w:bidi="ar"/>
        </w:rPr>
        <w:t>。城市建成区面积20km²，辖区东与田家庵区接壤，东南与长丰县为邻，西南与寿县以瓦埠湖、东淝河为界，西北与八公山区相连，北分二道河滩地与潘集区相交。最东端位于望峰岗镇山余村大、小罗山的腰部；最西端位于唐山乡乳山村的花山顶部；最北端位于望峰岗镇二道河农场机耕队大坝北侧；最南端位于淮南、六安、合肥三地市在瓦埠湖中的交汇点。</w:t>
      </w:r>
    </w:p>
    <w:p w14:paraId="3A8DA672">
      <w:pPr>
        <w:pStyle w:val="5"/>
        <w:bidi w:val="0"/>
      </w:pPr>
      <w:r>
        <w:t>4.1.1.2 河流水系</w:t>
      </w:r>
    </w:p>
    <w:p w14:paraId="6F494899">
      <w:pPr>
        <w:ind w:firstLine="480" w:firstLineChars="200"/>
        <w:rPr>
          <w:rFonts w:cs="Times New Roman"/>
          <w:color w:val="0000FF"/>
          <w:lang w:bidi="zh-CN"/>
        </w:rPr>
      </w:pPr>
      <w:r>
        <w:rPr>
          <w:rFonts w:hint="eastAsia" w:ascii="宋体" w:hAnsi="宋体"/>
          <w:color w:val="000000"/>
          <w:lang w:bidi="ar"/>
        </w:rPr>
        <w:t>朱集灌区位于淮南市杨公镇、曹庵镇、孙庙乡、三和乡和孤堆回族乡</w:t>
      </w:r>
      <w:r>
        <w:rPr>
          <w:rFonts w:cs="Times New Roman"/>
          <w:color w:val="000000"/>
          <w:lang w:bidi="ar"/>
        </w:rPr>
        <w:t>5</w:t>
      </w:r>
      <w:r>
        <w:rPr>
          <w:rFonts w:hint="eastAsia" w:ascii="宋体" w:hAnsi="宋体"/>
          <w:color w:val="000000"/>
          <w:lang w:bidi="ar"/>
        </w:rPr>
        <w:t>个乡镇境内，灌区现状灌溉面积</w:t>
      </w:r>
      <w:r>
        <w:rPr>
          <w:rFonts w:cs="Times New Roman"/>
          <w:color w:val="000000"/>
          <w:lang w:bidi="ar"/>
        </w:rPr>
        <w:t>7.30</w:t>
      </w:r>
      <w:r>
        <w:rPr>
          <w:rFonts w:hint="eastAsia" w:ascii="宋体" w:hAnsi="宋体"/>
          <w:color w:val="000000"/>
          <w:lang w:bidi="ar"/>
        </w:rPr>
        <w:t>万亩，本次规划设计灌溉面积为</w:t>
      </w:r>
      <w:r>
        <w:rPr>
          <w:rFonts w:cs="Times New Roman"/>
          <w:color w:val="000000"/>
          <w:lang w:bidi="ar"/>
        </w:rPr>
        <w:t>11.80</w:t>
      </w:r>
      <w:r>
        <w:rPr>
          <w:rFonts w:hint="eastAsia" w:ascii="宋体" w:hAnsi="宋体"/>
          <w:color w:val="000000"/>
          <w:lang w:bidi="ar"/>
        </w:rPr>
        <w:t>万亩。灌区现状用水主要为农业用水，现状灌溉水源主要有瓦埠湖和灌区现有塘坝，灌区多年平均降水量</w:t>
      </w:r>
      <w:r>
        <w:rPr>
          <w:rFonts w:cs="Times New Roman"/>
          <w:color w:val="000000"/>
          <w:lang w:bidi="ar"/>
        </w:rPr>
        <w:t>944mm</w:t>
      </w:r>
      <w:r>
        <w:rPr>
          <w:rFonts w:hint="eastAsia" w:ascii="宋体" w:hAnsi="宋体"/>
          <w:color w:val="000000"/>
          <w:lang w:bidi="ar"/>
        </w:rPr>
        <w:t>，多年平均径流深</w:t>
      </w:r>
      <w:r>
        <w:rPr>
          <w:rFonts w:cs="Times New Roman"/>
          <w:color w:val="000000"/>
          <w:lang w:bidi="ar"/>
        </w:rPr>
        <w:t>192mm</w:t>
      </w:r>
      <w:r>
        <w:rPr>
          <w:rFonts w:hint="eastAsia" w:ascii="宋体" w:hAnsi="宋体"/>
          <w:color w:val="000000"/>
          <w:lang w:bidi="ar"/>
        </w:rPr>
        <w:t>。朱集灌区现状多年平均、</w:t>
      </w:r>
      <w:r>
        <w:rPr>
          <w:rFonts w:cs="Times New Roman"/>
          <w:color w:val="000000"/>
          <w:lang w:bidi="ar"/>
        </w:rPr>
        <w:t>P=50%</w:t>
      </w:r>
      <w:r>
        <w:rPr>
          <w:rFonts w:hint="eastAsia" w:ascii="宋体" w:hAnsi="宋体"/>
          <w:color w:val="000000"/>
          <w:lang w:bidi="ar"/>
        </w:rPr>
        <w:t>、</w:t>
      </w:r>
      <w:r>
        <w:rPr>
          <w:rFonts w:cs="Times New Roman"/>
          <w:color w:val="000000"/>
          <w:lang w:bidi="ar"/>
        </w:rPr>
        <w:t>75%</w:t>
      </w:r>
      <w:r>
        <w:rPr>
          <w:rFonts w:hint="eastAsia" w:ascii="宋体" w:hAnsi="宋体"/>
          <w:color w:val="000000"/>
          <w:lang w:bidi="ar"/>
        </w:rPr>
        <w:t>可供水量分别为</w:t>
      </w:r>
      <w:r>
        <w:rPr>
          <w:rFonts w:cs="Times New Roman"/>
          <w:color w:val="000000"/>
          <w:lang w:bidi="ar"/>
        </w:rPr>
        <w:t>3446</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w:t>
      </w:r>
      <w:r>
        <w:rPr>
          <w:rFonts w:cs="Times New Roman"/>
          <w:color w:val="000000"/>
          <w:lang w:bidi="ar"/>
        </w:rPr>
        <w:t>3426</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w:t>
      </w:r>
      <w:r>
        <w:rPr>
          <w:rFonts w:cs="Times New Roman"/>
          <w:color w:val="000000"/>
          <w:lang w:bidi="ar"/>
        </w:rPr>
        <w:t>3205</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w:t>
      </w:r>
    </w:p>
    <w:p w14:paraId="33E9BF4D">
      <w:pPr>
        <w:ind w:firstLine="480" w:firstLineChars="200"/>
        <w:rPr>
          <w:rFonts w:cs="Times New Roman"/>
          <w:color w:val="0000FF"/>
          <w:lang w:val="zh-CN" w:bidi="zh-CN"/>
        </w:rPr>
      </w:pPr>
      <w:r>
        <w:rPr>
          <w:rFonts w:hint="eastAsia" w:ascii="宋体" w:hAnsi="宋体"/>
          <w:color w:val="000000"/>
          <w:lang w:bidi="ar"/>
        </w:rPr>
        <w:t>淮南市谢家集区境内河流属淮河水系。主要河流有淮河、东淝河、新河。因受地形影响，河流多呈南北流向</w:t>
      </w:r>
      <w:r>
        <w:rPr>
          <w:rFonts w:cs="Times New Roman"/>
          <w:color w:val="000000"/>
          <w:lang w:bidi="ar"/>
        </w:rPr>
        <w:t>。主要湖泊有瓦埠湖、十涧湖，小型水库有乳山水库、徐桥水库、罗山水库。引用安徽省水利厅2021年11月编制的《瓦埠湖保护规划》，如下：瓦埠湖流域地跨六安、合肥、淮南三市，流域总控制面积4650km</w:t>
      </w:r>
      <w:r>
        <w:rPr>
          <w:rFonts w:cs="Times New Roman"/>
          <w:color w:val="000000"/>
          <w:vertAlign w:val="superscript"/>
          <w:lang w:bidi="ar"/>
        </w:rPr>
        <w:t>2</w:t>
      </w:r>
      <w:r>
        <w:rPr>
          <w:rFonts w:cs="Times New Roman"/>
          <w:color w:val="000000"/>
          <w:lang w:bidi="ar"/>
        </w:rPr>
        <w:t>，流域呈扇形，西自龙穴山，东北至吴山庙江淮分水岭以北的来水，分两支汇入瓦埠湖，一支源出肥西</w:t>
      </w:r>
      <w:r>
        <w:rPr>
          <w:rFonts w:hint="eastAsia" w:ascii="宋体" w:hAnsi="宋体"/>
          <w:color w:val="000000"/>
          <w:lang w:bidi="ar"/>
        </w:rPr>
        <w:t>的大潜山，一支出自六安的龙穴山，两支于董铺汇合后进入平原，至白洋店进入湖区。湖水经东涨河下段与寿县北五里庙，过东涨闸。</w:t>
      </w:r>
      <w:r>
        <w:rPr>
          <w:rFonts w:cs="Times New Roman"/>
          <w:color w:val="000000"/>
          <w:lang w:bidi="ar"/>
        </w:rPr>
        <w:t>北流至赵台子注入淮河。瓦埠湖地理位置为北纬32°13"14"~32°32*51"和东经116°2700"~117°04'。湖泊南北长约60km，湖宽最宽处约6km，湖底高程15.5m，平均水深2~2.5m，最大深度4.5m。现状正常蓄水位18.0~18.5m，常年水面面积162.7km</w:t>
      </w:r>
      <w:r>
        <w:rPr>
          <w:rFonts w:cs="Times New Roman"/>
          <w:color w:val="000000"/>
          <w:vertAlign w:val="superscript"/>
          <w:lang w:bidi="ar"/>
        </w:rPr>
        <w:t>2</w:t>
      </w:r>
      <w:r>
        <w:rPr>
          <w:rFonts w:cs="Times New Roman"/>
          <w:color w:val="000000"/>
          <w:lang w:bidi="ar"/>
        </w:rPr>
        <w:t>（含施家湖3.1km</w:t>
      </w:r>
      <w:r>
        <w:rPr>
          <w:rFonts w:cs="Times New Roman"/>
          <w:color w:val="000000"/>
          <w:vertAlign w:val="superscript"/>
          <w:lang w:bidi="ar"/>
        </w:rPr>
        <w:t>2</w:t>
      </w:r>
      <w:r>
        <w:rPr>
          <w:rFonts w:cs="Times New Roman"/>
          <w:color w:val="000000"/>
          <w:lang w:bidi="ar"/>
        </w:rPr>
        <w:t>），库容2.2亿m</w:t>
      </w:r>
      <w:r>
        <w:rPr>
          <w:rFonts w:cs="Times New Roman"/>
          <w:color w:val="000000"/>
          <w:vertAlign w:val="superscript"/>
          <w:lang w:bidi="ar"/>
        </w:rPr>
        <w:t>3</w:t>
      </w:r>
      <w:r>
        <w:rPr>
          <w:rFonts w:cs="Times New Roman"/>
          <w:color w:val="000000"/>
          <w:lang w:bidi="ar"/>
        </w:rPr>
        <w:t>，50年一遇设计洪水位24.5m，历史最高洪水位为25.78m（1954年7月27日），东肥闸上警戒水位23.0m，保证水位25.5m。</w:t>
      </w:r>
    </w:p>
    <w:p w14:paraId="659A9987">
      <w:pPr>
        <w:autoSpaceDE w:val="0"/>
        <w:autoSpaceDN w:val="0"/>
        <w:ind w:firstLine="482"/>
        <w:rPr>
          <w:rFonts w:cs="Times New Roman"/>
          <w:color w:val="0000FF"/>
          <w:lang w:val="zh-CN" w:bidi="zh-CN"/>
        </w:rPr>
      </w:pPr>
    </w:p>
    <w:p w14:paraId="46887666">
      <w:pPr>
        <w:pStyle w:val="31"/>
        <w:bidi w:val="0"/>
        <w:rPr>
          <w:lang w:val="zh-CN"/>
        </w:rPr>
      </w:pPr>
      <w:r>
        <w:rPr>
          <w:lang w:val="zh-CN"/>
        </w:rPr>
        <w:drawing>
          <wp:inline distT="0" distB="0" distL="114300" distR="114300">
            <wp:extent cx="6049645" cy="8555990"/>
            <wp:effectExtent l="0" t="0" r="635" b="8890"/>
            <wp:docPr id="1" name="图片 1" descr="04水系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4水系图"/>
                    <pic:cNvPicPr>
                      <a:picLocks noChangeAspect="1"/>
                    </pic:cNvPicPr>
                  </pic:nvPicPr>
                  <pic:blipFill>
                    <a:blip r:embed="rId125"/>
                    <a:stretch>
                      <a:fillRect/>
                    </a:stretch>
                  </pic:blipFill>
                  <pic:spPr>
                    <a:xfrm>
                      <a:off x="0" y="0"/>
                      <a:ext cx="6049645" cy="8555990"/>
                    </a:xfrm>
                    <a:prstGeom prst="rect">
                      <a:avLst/>
                    </a:prstGeom>
                  </pic:spPr>
                </pic:pic>
              </a:graphicData>
            </a:graphic>
          </wp:inline>
        </w:drawing>
      </w:r>
    </w:p>
    <w:p w14:paraId="591070E9">
      <w:pPr>
        <w:pStyle w:val="30"/>
        <w:bidi w:val="0"/>
        <w:rPr>
          <w:lang w:val="zh-CN"/>
        </w:rPr>
      </w:pPr>
      <w:r>
        <w:rPr>
          <w:lang w:val="zh-CN"/>
        </w:rPr>
        <w:t>图4</w:t>
      </w:r>
      <w:r>
        <w:rPr>
          <w:rFonts w:hint="eastAsia"/>
          <w:lang w:val="en-US" w:eastAsia="zh-CN"/>
        </w:rPr>
        <w:t>.</w:t>
      </w:r>
      <w:r>
        <w:rPr>
          <w:lang w:val="zh-CN"/>
        </w:rPr>
        <w:t xml:space="preserve">1-1  </w:t>
      </w:r>
      <w:r>
        <w:rPr>
          <w:rFonts w:hint="eastAsia"/>
        </w:rPr>
        <w:t>淮南市</w:t>
      </w:r>
      <w:r>
        <w:rPr>
          <w:lang w:val="zh-CN"/>
        </w:rPr>
        <w:t>水系图</w:t>
      </w:r>
    </w:p>
    <w:p w14:paraId="755C2D05">
      <w:pPr>
        <w:pStyle w:val="5"/>
        <w:bidi w:val="0"/>
      </w:pPr>
      <w:r>
        <w:t>4.1.1.3 水文气象</w:t>
      </w:r>
    </w:p>
    <w:p w14:paraId="523D6DD6">
      <w:pPr>
        <w:ind w:firstLine="480" w:firstLineChars="200"/>
        <w:rPr>
          <w:rFonts w:cs="Times New Roman"/>
        </w:rPr>
      </w:pPr>
      <w:r>
        <w:rPr>
          <w:rFonts w:cs="Times New Roman"/>
        </w:rPr>
        <w:t>淮南市属暖温带半湿润季风气候区，四季分明，春暖秋爽，夏炎冬寒，具有明显的大陆气候。平均风速2.6m/s，最大风速为19.7m/秒，常年主导风向为东风；年平均降雨量945.1mm，年最大降水量1567.5mm，年最小降水量471.0mm；一月份最低气温-16.7℃，七月份最高气温41.2℃，年平均气温为15.7℃；历年平均蒸发量1600.3mm，最大年蒸发量2008.1mm，平均相对湿度72%；年均日照时数2218.7h，日照率51%，无霜期216天。</w:t>
      </w:r>
    </w:p>
    <w:p w14:paraId="000F8B6C">
      <w:pPr>
        <w:ind w:firstLine="480" w:firstLineChars="200"/>
        <w:rPr>
          <w:rFonts w:cs="Times New Roman"/>
        </w:rPr>
      </w:pPr>
      <w:r>
        <w:rPr>
          <w:rFonts w:cs="Times New Roman"/>
        </w:rPr>
        <w:t>全年气候相对正常，气温总体趋于变暖，全年没有重大灾害性天气。春季气温较高，雨水相对偏少，日照偏多；夏季雨水略偏少，气温与往年持平；秋季，气温偏高，雨水偏少，形成秋旱。</w:t>
      </w:r>
    </w:p>
    <w:p w14:paraId="3DDCF80A">
      <w:pPr>
        <w:pStyle w:val="4"/>
        <w:bidi w:val="0"/>
      </w:pPr>
      <w:r>
        <w:t>4.1.2 水资源平衡分析</w:t>
      </w:r>
    </w:p>
    <w:p w14:paraId="42216722">
      <w:pPr>
        <w:ind w:firstLine="480" w:firstLineChars="200"/>
        <w:rPr>
          <w:rFonts w:ascii="宋体" w:hAnsi="宋体"/>
          <w:color w:val="000000"/>
          <w:lang w:bidi="ar"/>
        </w:rPr>
      </w:pPr>
      <w:r>
        <w:rPr>
          <w:rFonts w:hint="eastAsia" w:ascii="宋体" w:hAnsi="宋体"/>
          <w:lang w:bidi="ar"/>
        </w:rPr>
        <w:t>现状灌区内生产生活用</w:t>
      </w:r>
      <w:r>
        <w:rPr>
          <w:rFonts w:hint="eastAsia" w:ascii="宋体" w:hAnsi="宋体"/>
          <w:color w:val="000000"/>
          <w:lang w:bidi="ar"/>
        </w:rPr>
        <w:t>水的水源主要为地表水，目前灌区已实现城乡供水一体化，城镇和农村生活供水主要由水厂统一提供。灌区现状可供水量主要由现状塘坝和泵站提水（朱集一站从瓦埠湖提水）提供。瓦埠湖位于淮河中游南岸，原名东淝河，属丘陵区河道。瓦埠湖流域面积</w:t>
      </w:r>
      <w:r>
        <w:rPr>
          <w:rFonts w:cs="Times New Roman"/>
          <w:color w:val="000000"/>
          <w:lang w:bidi="ar"/>
        </w:rPr>
        <w:t>4193km</w:t>
      </w:r>
      <w:r>
        <w:rPr>
          <w:rFonts w:cs="Times New Roman"/>
          <w:color w:val="000000"/>
          <w:vertAlign w:val="superscript"/>
          <w:lang w:bidi="ar"/>
        </w:rPr>
        <w:t>2</w:t>
      </w:r>
      <w:r>
        <w:rPr>
          <w:rFonts w:hint="eastAsia" w:ascii="宋体" w:hAnsi="宋体"/>
          <w:color w:val="000000"/>
          <w:lang w:bidi="ar"/>
        </w:rPr>
        <w:t>，涉及六安、合肥、淮南三市的寿县、金安区、长丰县、肥西县、谢家集区共五个县（区），耕地</w:t>
      </w:r>
      <w:r>
        <w:rPr>
          <w:rFonts w:cs="Times New Roman"/>
          <w:color w:val="000000"/>
          <w:lang w:bidi="ar"/>
        </w:rPr>
        <w:t>338</w:t>
      </w:r>
      <w:r>
        <w:rPr>
          <w:rFonts w:hint="eastAsia" w:ascii="宋体" w:hAnsi="宋体"/>
          <w:color w:val="000000"/>
          <w:lang w:bidi="ar"/>
        </w:rPr>
        <w:t>万亩。正常蓄水位</w:t>
      </w:r>
      <w:r>
        <w:rPr>
          <w:rFonts w:cs="Times New Roman"/>
          <w:color w:val="000000"/>
          <w:lang w:bidi="ar"/>
        </w:rPr>
        <w:t>18.00m</w:t>
      </w:r>
      <w:r>
        <w:rPr>
          <w:rFonts w:hint="eastAsia" w:ascii="宋体" w:hAnsi="宋体"/>
          <w:color w:val="000000"/>
          <w:lang w:bidi="ar"/>
        </w:rPr>
        <w:t>时，瓦埠湖总库容</w:t>
      </w:r>
      <w:r>
        <w:rPr>
          <w:rFonts w:cs="Times New Roman"/>
          <w:color w:val="000000"/>
          <w:lang w:bidi="ar"/>
        </w:rPr>
        <w:t>2.39</w:t>
      </w:r>
      <w:r>
        <w:rPr>
          <w:rFonts w:hint="eastAsia" w:ascii="宋体" w:hAnsi="宋体"/>
          <w:color w:val="000000"/>
          <w:lang w:bidi="ar"/>
        </w:rPr>
        <w:t>亿</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；死水位</w:t>
      </w:r>
      <w:r>
        <w:rPr>
          <w:rFonts w:cs="Times New Roman"/>
          <w:color w:val="000000"/>
          <w:lang w:bidi="ar"/>
        </w:rPr>
        <w:t>16.5m</w:t>
      </w:r>
      <w:r>
        <w:rPr>
          <w:rFonts w:hint="eastAsia" w:ascii="宋体" w:hAnsi="宋体"/>
          <w:color w:val="000000"/>
          <w:lang w:bidi="ar"/>
        </w:rPr>
        <w:t>，相应库容为</w:t>
      </w:r>
      <w:r>
        <w:rPr>
          <w:rFonts w:cs="Times New Roman"/>
          <w:color w:val="000000"/>
          <w:lang w:bidi="ar"/>
        </w:rPr>
        <w:t>0.7</w:t>
      </w:r>
      <w:r>
        <w:rPr>
          <w:rFonts w:hint="eastAsia" w:ascii="宋体" w:hAnsi="宋体"/>
          <w:color w:val="000000"/>
          <w:lang w:bidi="ar"/>
        </w:rPr>
        <w:t>亿</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；瓦埠湖有效调节库容为</w:t>
      </w:r>
      <w:r>
        <w:rPr>
          <w:rFonts w:cs="Times New Roman"/>
          <w:color w:val="000000"/>
          <w:lang w:bidi="ar"/>
        </w:rPr>
        <w:t>1.69</w:t>
      </w:r>
      <w:r>
        <w:rPr>
          <w:rFonts w:hint="eastAsia" w:ascii="宋体" w:hAnsi="宋体"/>
          <w:color w:val="000000"/>
          <w:lang w:bidi="ar"/>
        </w:rPr>
        <w:t>亿</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。根据《淮南市朱集电灌站灌区节水配套改造项目可行性研究报告》（滁州市水利勘测设计院，</w:t>
      </w:r>
      <w:r>
        <w:rPr>
          <w:rFonts w:cs="Times New Roman"/>
          <w:color w:val="000000"/>
          <w:lang w:bidi="ar"/>
        </w:rPr>
        <w:t>2006</w:t>
      </w:r>
      <w:r>
        <w:rPr>
          <w:rFonts w:hint="eastAsia" w:ascii="宋体" w:hAnsi="宋体"/>
          <w:color w:val="000000"/>
          <w:lang w:bidi="ar"/>
        </w:rPr>
        <w:t>年</w:t>
      </w:r>
      <w:r>
        <w:rPr>
          <w:rFonts w:cs="Times New Roman"/>
          <w:color w:val="000000"/>
          <w:lang w:bidi="ar"/>
        </w:rPr>
        <w:t>4</w:t>
      </w:r>
      <w:r>
        <w:rPr>
          <w:rFonts w:hint="eastAsia" w:ascii="宋体" w:hAnsi="宋体"/>
          <w:color w:val="000000"/>
          <w:lang w:bidi="ar"/>
        </w:rPr>
        <w:t>月），瓦埠湖流域多年平均径流深为</w:t>
      </w:r>
      <w:r>
        <w:rPr>
          <w:rFonts w:cs="Times New Roman"/>
          <w:color w:val="000000"/>
          <w:lang w:bidi="ar"/>
        </w:rPr>
        <w:t>192mm</w:t>
      </w:r>
      <w:r>
        <w:rPr>
          <w:rFonts w:hint="eastAsia" w:ascii="宋体" w:hAnsi="宋体"/>
          <w:color w:val="000000"/>
          <w:lang w:bidi="ar"/>
        </w:rPr>
        <w:t>，多年平均来水量</w:t>
      </w:r>
      <w:r>
        <w:rPr>
          <w:rFonts w:cs="Times New Roman"/>
          <w:color w:val="000000"/>
          <w:lang w:bidi="ar"/>
        </w:rPr>
        <w:t>8.05</w:t>
      </w:r>
      <w:r>
        <w:rPr>
          <w:rFonts w:hint="eastAsia" w:ascii="宋体" w:hAnsi="宋体"/>
          <w:color w:val="000000"/>
          <w:lang w:bidi="ar"/>
        </w:rPr>
        <w:t>亿</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w:t>
      </w:r>
      <w:r>
        <w:rPr>
          <w:rFonts w:cs="Times New Roman"/>
          <w:color w:val="000000"/>
          <w:lang w:bidi="ar"/>
        </w:rPr>
        <w:t>75%</w:t>
      </w:r>
      <w:r>
        <w:rPr>
          <w:rFonts w:hint="eastAsia" w:ascii="宋体" w:hAnsi="宋体"/>
          <w:color w:val="000000"/>
          <w:lang w:bidi="ar"/>
        </w:rPr>
        <w:t>保证率来水量</w:t>
      </w:r>
      <w:r>
        <w:rPr>
          <w:rFonts w:cs="Times New Roman"/>
          <w:color w:val="000000"/>
          <w:lang w:bidi="ar"/>
        </w:rPr>
        <w:t>2.95</w:t>
      </w:r>
      <w:r>
        <w:rPr>
          <w:rFonts w:hint="eastAsia" w:ascii="宋体" w:hAnsi="宋体"/>
          <w:color w:val="000000"/>
          <w:lang w:bidi="ar"/>
        </w:rPr>
        <w:t>亿</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。根据《淮南市朱集电灌站灌区节水配套改造项目可行性研究报告》（滁州市水利勘测设计院，</w:t>
      </w:r>
      <w:r>
        <w:rPr>
          <w:rFonts w:cs="Times New Roman"/>
          <w:color w:val="000000"/>
          <w:lang w:bidi="ar"/>
        </w:rPr>
        <w:t>2006</w:t>
      </w:r>
      <w:r>
        <w:rPr>
          <w:rFonts w:hint="eastAsia" w:ascii="宋体" w:hAnsi="宋体"/>
          <w:color w:val="000000"/>
          <w:lang w:bidi="ar"/>
        </w:rPr>
        <w:t>年</w:t>
      </w:r>
      <w:r>
        <w:rPr>
          <w:rFonts w:cs="Times New Roman"/>
          <w:color w:val="000000"/>
          <w:lang w:bidi="ar"/>
        </w:rPr>
        <w:t>4</w:t>
      </w:r>
      <w:r>
        <w:rPr>
          <w:rFonts w:hint="eastAsia" w:ascii="宋体" w:hAnsi="宋体"/>
          <w:color w:val="000000"/>
          <w:lang w:bidi="ar"/>
        </w:rPr>
        <w:t>月），塘坝供水量为塘坝调节计算成果，多年平均、</w:t>
      </w:r>
      <w:r>
        <w:rPr>
          <w:rFonts w:cs="Times New Roman"/>
          <w:color w:val="000000"/>
          <w:lang w:bidi="ar"/>
        </w:rPr>
        <w:t>P=50%</w:t>
      </w:r>
      <w:r>
        <w:rPr>
          <w:rFonts w:hint="eastAsia" w:ascii="宋体" w:hAnsi="宋体"/>
          <w:color w:val="000000"/>
          <w:lang w:bidi="ar"/>
        </w:rPr>
        <w:t>、</w:t>
      </w:r>
      <w:r>
        <w:rPr>
          <w:rFonts w:cs="Times New Roman"/>
          <w:color w:val="000000"/>
          <w:lang w:bidi="ar"/>
        </w:rPr>
        <w:t>75%</w:t>
      </w:r>
      <w:r>
        <w:rPr>
          <w:rFonts w:hint="eastAsia" w:ascii="宋体" w:hAnsi="宋体"/>
          <w:color w:val="000000"/>
          <w:lang w:bidi="ar"/>
        </w:rPr>
        <w:t>保证率下可供水量分别为</w:t>
      </w:r>
      <w:r>
        <w:rPr>
          <w:rFonts w:cs="Times New Roman"/>
          <w:color w:val="000000"/>
          <w:lang w:bidi="ar"/>
        </w:rPr>
        <w:t>1576</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w:t>
      </w:r>
      <w:r>
        <w:rPr>
          <w:rFonts w:cs="Times New Roman"/>
          <w:color w:val="000000"/>
          <w:lang w:bidi="ar"/>
        </w:rPr>
        <w:t>1556</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w:t>
      </w:r>
      <w:r>
        <w:rPr>
          <w:rFonts w:cs="Times New Roman"/>
          <w:color w:val="000000"/>
          <w:lang w:bidi="ar"/>
        </w:rPr>
        <w:t>1335</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。灌区现有取水许可证年最大取水量为</w:t>
      </w:r>
      <w:r>
        <w:rPr>
          <w:rFonts w:cs="Times New Roman"/>
          <w:color w:val="000000"/>
          <w:lang w:bidi="ar"/>
        </w:rPr>
        <w:t>1870</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，即灌区提水工程可供水量为</w:t>
      </w:r>
      <w:r>
        <w:rPr>
          <w:rFonts w:cs="Times New Roman"/>
          <w:color w:val="000000"/>
          <w:lang w:bidi="ar"/>
        </w:rPr>
        <w:t>1870</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w:t>
      </w:r>
    </w:p>
    <w:p w14:paraId="33F715AB">
      <w:pPr>
        <w:ind w:firstLine="480" w:firstLineChars="200"/>
        <w:rPr>
          <w:rFonts w:ascii="宋体" w:hAnsi="宋体"/>
          <w:color w:val="000000"/>
          <w:lang w:bidi="ar"/>
        </w:rPr>
      </w:pPr>
      <w:r>
        <w:rPr>
          <w:rFonts w:hint="eastAsia" w:ascii="宋体" w:hAnsi="宋体"/>
          <w:color w:val="000000"/>
          <w:lang w:bidi="ar"/>
        </w:rPr>
        <w:t>到</w:t>
      </w:r>
      <w:r>
        <w:rPr>
          <w:rFonts w:cs="Times New Roman"/>
          <w:color w:val="000000"/>
          <w:lang w:bidi="ar"/>
        </w:rPr>
        <w:t>2025</w:t>
      </w:r>
      <w:r>
        <w:rPr>
          <w:rFonts w:hint="eastAsia" w:ascii="宋体" w:hAnsi="宋体"/>
          <w:color w:val="000000"/>
          <w:lang w:bidi="ar"/>
        </w:rPr>
        <w:t>年，灌区塘坝可供水量随着区内河湖治理和农田水利工程的陆续建设实施（如塘坝清淤疏浚和岸坡护砌等），供水能力会有一定的增加。根据类似灌区工程经验，灌区项目建成后塘坝供水能力比现状增加约</w:t>
      </w:r>
      <w:r>
        <w:rPr>
          <w:rFonts w:cs="Times New Roman"/>
          <w:color w:val="000000"/>
          <w:lang w:bidi="ar"/>
        </w:rPr>
        <w:t>10%</w:t>
      </w:r>
      <w:r>
        <w:rPr>
          <w:rFonts w:hint="eastAsia" w:ascii="宋体" w:hAnsi="宋体"/>
          <w:color w:val="000000"/>
          <w:lang w:bidi="ar"/>
        </w:rPr>
        <w:t>。多年平均、</w:t>
      </w:r>
      <w:r>
        <w:rPr>
          <w:rFonts w:cs="Times New Roman"/>
          <w:color w:val="000000"/>
          <w:lang w:bidi="ar"/>
        </w:rPr>
        <w:t>P=50%</w:t>
      </w:r>
      <w:r>
        <w:rPr>
          <w:rFonts w:hint="eastAsia" w:ascii="宋体" w:hAnsi="宋体"/>
          <w:color w:val="000000"/>
          <w:lang w:bidi="ar"/>
        </w:rPr>
        <w:t>、</w:t>
      </w:r>
      <w:r>
        <w:rPr>
          <w:rFonts w:cs="Times New Roman"/>
          <w:color w:val="000000"/>
          <w:lang w:bidi="ar"/>
        </w:rPr>
        <w:t>75%</w:t>
      </w:r>
      <w:r>
        <w:rPr>
          <w:rFonts w:hint="eastAsia" w:ascii="宋体" w:hAnsi="宋体"/>
          <w:color w:val="000000"/>
          <w:lang w:bidi="ar"/>
        </w:rPr>
        <w:t>保证率下可供水量分别为</w:t>
      </w:r>
      <w:r>
        <w:rPr>
          <w:rFonts w:cs="Times New Roman"/>
          <w:color w:val="000000"/>
          <w:lang w:bidi="ar"/>
        </w:rPr>
        <w:t>1734</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w:t>
      </w:r>
      <w:r>
        <w:rPr>
          <w:rFonts w:cs="Times New Roman"/>
          <w:color w:val="000000"/>
          <w:lang w:bidi="ar"/>
        </w:rPr>
        <w:t>1712</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w:t>
      </w:r>
      <w:r>
        <w:rPr>
          <w:rFonts w:cs="Times New Roman"/>
          <w:color w:val="000000"/>
          <w:lang w:bidi="ar"/>
        </w:rPr>
        <w:t>1469</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。泵站可提水量为</w:t>
      </w:r>
      <w:r>
        <w:rPr>
          <w:rFonts w:cs="Times New Roman"/>
          <w:color w:val="000000"/>
          <w:lang w:bidi="ar"/>
        </w:rPr>
        <w:t>1870</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（现有取水许可）。</w:t>
      </w:r>
    </w:p>
    <w:p w14:paraId="45DCD9EB">
      <w:pPr>
        <w:pStyle w:val="4"/>
        <w:bidi w:val="0"/>
      </w:pPr>
      <w:r>
        <w:t>4.1.3 径流</w:t>
      </w:r>
    </w:p>
    <w:p w14:paraId="24A46CA8">
      <w:pPr>
        <w:ind w:firstLine="480" w:firstLineChars="200"/>
        <w:rPr>
          <w:rFonts w:cs="Times New Roman"/>
          <w:color w:val="0000FF"/>
          <w:lang w:bidi="zh-CN"/>
        </w:rPr>
      </w:pPr>
      <w:r>
        <w:rPr>
          <w:rFonts w:hint="eastAsia" w:ascii="宋体" w:hAnsi="宋体"/>
          <w:color w:val="000000"/>
          <w:lang w:bidi="ar"/>
        </w:rPr>
        <w:t>灌区现状可供水量主要由现状塘坝和泵站提水（朱集一站从瓦埠湖提水）提供。</w:t>
      </w:r>
      <w:r>
        <w:rPr>
          <w:rFonts w:cs="Times New Roman"/>
          <w:color w:val="0000FF"/>
          <w:lang w:bidi="zh-CN"/>
        </w:rPr>
        <w:t>。</w:t>
      </w:r>
    </w:p>
    <w:p w14:paraId="7C6B14D4">
      <w:pPr>
        <w:ind w:firstLine="480" w:firstLineChars="200"/>
        <w:rPr>
          <w:rFonts w:cs="Times New Roman"/>
          <w:color w:val="0000FF"/>
          <w:lang w:bidi="zh-CN"/>
        </w:rPr>
      </w:pPr>
      <w:r>
        <w:rPr>
          <w:rFonts w:hint="eastAsia" w:ascii="宋体" w:hAnsi="宋体"/>
          <w:color w:val="000000"/>
          <w:lang w:bidi="ar"/>
        </w:rPr>
        <w:t>根据《淮南市朱集电灌站灌区节水配套改造项目可行性研究报告》（滁州市水利勘测设计院，</w:t>
      </w:r>
      <w:r>
        <w:rPr>
          <w:rFonts w:cs="Times New Roman"/>
          <w:color w:val="000000"/>
          <w:lang w:bidi="ar"/>
        </w:rPr>
        <w:t>2006</w:t>
      </w:r>
      <w:r>
        <w:rPr>
          <w:rFonts w:hint="eastAsia" w:ascii="宋体" w:hAnsi="宋体"/>
          <w:color w:val="000000"/>
          <w:lang w:bidi="ar"/>
        </w:rPr>
        <w:t>年</w:t>
      </w:r>
      <w:r>
        <w:rPr>
          <w:rFonts w:cs="Times New Roman"/>
          <w:color w:val="000000"/>
          <w:lang w:bidi="ar"/>
        </w:rPr>
        <w:t>4</w:t>
      </w:r>
      <w:r>
        <w:rPr>
          <w:rFonts w:hint="eastAsia" w:ascii="宋体" w:hAnsi="宋体"/>
          <w:color w:val="000000"/>
          <w:lang w:bidi="ar"/>
        </w:rPr>
        <w:t>月），瓦埠湖流域多年平均径流深为</w:t>
      </w:r>
      <w:r>
        <w:rPr>
          <w:rFonts w:cs="Times New Roman"/>
          <w:color w:val="000000"/>
          <w:lang w:bidi="ar"/>
        </w:rPr>
        <w:t>192mm</w:t>
      </w:r>
      <w:r>
        <w:rPr>
          <w:rFonts w:hint="eastAsia" w:ascii="宋体" w:hAnsi="宋体"/>
          <w:color w:val="000000"/>
          <w:lang w:bidi="ar"/>
        </w:rPr>
        <w:t>，多年平均来水量</w:t>
      </w:r>
      <w:r>
        <w:rPr>
          <w:rFonts w:cs="Times New Roman"/>
          <w:color w:val="000000"/>
          <w:lang w:bidi="ar"/>
        </w:rPr>
        <w:t>8.05</w:t>
      </w:r>
      <w:r>
        <w:rPr>
          <w:rFonts w:hint="eastAsia" w:ascii="宋体" w:hAnsi="宋体"/>
          <w:color w:val="000000"/>
          <w:lang w:bidi="ar"/>
        </w:rPr>
        <w:t>亿</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w:t>
      </w:r>
      <w:r>
        <w:rPr>
          <w:rFonts w:cs="Times New Roman"/>
          <w:color w:val="000000"/>
          <w:lang w:bidi="ar"/>
        </w:rPr>
        <w:t>75%</w:t>
      </w:r>
      <w:r>
        <w:rPr>
          <w:rFonts w:hint="eastAsia" w:ascii="宋体" w:hAnsi="宋体"/>
          <w:color w:val="000000"/>
          <w:lang w:bidi="ar"/>
        </w:rPr>
        <w:t>保证率来水量</w:t>
      </w:r>
      <w:r>
        <w:rPr>
          <w:rFonts w:cs="Times New Roman"/>
          <w:color w:val="000000"/>
          <w:lang w:bidi="ar"/>
        </w:rPr>
        <w:t>2.95</w:t>
      </w:r>
      <w:r>
        <w:rPr>
          <w:rFonts w:hint="eastAsia" w:ascii="宋体" w:hAnsi="宋体"/>
          <w:color w:val="000000"/>
          <w:lang w:bidi="ar"/>
        </w:rPr>
        <w:t>亿</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。塘坝供水量为塘坝调节计算成果，多年平均、</w:t>
      </w:r>
      <w:r>
        <w:rPr>
          <w:rFonts w:cs="Times New Roman"/>
          <w:color w:val="000000"/>
          <w:lang w:bidi="ar"/>
        </w:rPr>
        <w:t>P=50%</w:t>
      </w:r>
      <w:r>
        <w:rPr>
          <w:rFonts w:hint="eastAsia" w:ascii="宋体" w:hAnsi="宋体"/>
          <w:color w:val="000000"/>
          <w:lang w:bidi="ar"/>
        </w:rPr>
        <w:t>、</w:t>
      </w:r>
      <w:r>
        <w:rPr>
          <w:rFonts w:cs="Times New Roman"/>
          <w:color w:val="000000"/>
          <w:lang w:bidi="ar"/>
        </w:rPr>
        <w:t>75%</w:t>
      </w:r>
      <w:r>
        <w:rPr>
          <w:rFonts w:hint="eastAsia" w:ascii="宋体" w:hAnsi="宋体"/>
          <w:color w:val="000000"/>
          <w:lang w:bidi="ar"/>
        </w:rPr>
        <w:t>保证率下可供水量分别为</w:t>
      </w:r>
      <w:r>
        <w:rPr>
          <w:rFonts w:cs="Times New Roman"/>
          <w:color w:val="000000"/>
          <w:lang w:bidi="ar"/>
        </w:rPr>
        <w:t>1576</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w:t>
      </w:r>
      <w:r>
        <w:rPr>
          <w:rFonts w:cs="Times New Roman"/>
          <w:color w:val="000000"/>
          <w:lang w:bidi="ar"/>
        </w:rPr>
        <w:t>1556</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w:t>
      </w:r>
      <w:r>
        <w:rPr>
          <w:rFonts w:cs="Times New Roman"/>
          <w:color w:val="000000"/>
          <w:lang w:bidi="ar"/>
        </w:rPr>
        <w:t>1335</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。灌区现有取水许可证年最大取水量为</w:t>
      </w:r>
      <w:r>
        <w:rPr>
          <w:rFonts w:cs="Times New Roman"/>
          <w:color w:val="000000"/>
          <w:lang w:bidi="ar"/>
        </w:rPr>
        <w:t>1870</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，即灌区提水工程可供水量为</w:t>
      </w:r>
      <w:r>
        <w:rPr>
          <w:rFonts w:cs="Times New Roman"/>
          <w:color w:val="000000"/>
          <w:lang w:bidi="ar"/>
        </w:rPr>
        <w:t>1870</w:t>
      </w:r>
      <w:r>
        <w:rPr>
          <w:rFonts w:hint="eastAsia" w:ascii="宋体" w:hAnsi="宋体"/>
          <w:color w:val="000000"/>
          <w:lang w:bidi="ar"/>
        </w:rPr>
        <w:t>万</w:t>
      </w:r>
      <w:r>
        <w:rPr>
          <w:rFonts w:cs="Times New Roman"/>
          <w:color w:val="000000"/>
          <w:lang w:bidi="ar"/>
        </w:rPr>
        <w:t>m</w:t>
      </w:r>
      <w:r>
        <w:rPr>
          <w:rFonts w:cs="Times New Roman"/>
          <w:color w:val="000000"/>
          <w:vertAlign w:val="superscript"/>
          <w:lang w:bidi="ar"/>
        </w:rPr>
        <w:t>3</w:t>
      </w:r>
      <w:r>
        <w:rPr>
          <w:rFonts w:hint="eastAsia" w:ascii="宋体" w:hAnsi="宋体"/>
          <w:color w:val="000000"/>
          <w:lang w:bidi="ar"/>
        </w:rPr>
        <w:t>。</w:t>
      </w:r>
    </w:p>
    <w:p w14:paraId="284714E0">
      <w:pPr>
        <w:pStyle w:val="4"/>
        <w:rPr>
          <w:rFonts w:cs="Times New Roman"/>
          <w:lang w:bidi="zh-CN"/>
        </w:rPr>
      </w:pPr>
      <w:r>
        <w:rPr>
          <w:rFonts w:cs="Times New Roman"/>
          <w:lang w:bidi="zh-CN"/>
        </w:rPr>
        <w:t>4.1.4 土地资源</w:t>
      </w:r>
    </w:p>
    <w:p w14:paraId="3E9A597F">
      <w:pPr>
        <w:adjustRightInd w:val="0"/>
        <w:ind w:firstLine="480" w:firstLineChars="200"/>
        <w:textAlignment w:val="center"/>
        <w:rPr>
          <w:rFonts w:cs="Times New Roman"/>
        </w:rPr>
      </w:pPr>
      <w:r>
        <w:rPr>
          <w:rFonts w:hint="eastAsia" w:cs="Times New Roman"/>
        </w:rPr>
        <w:t>（1）土地利用现状调查</w:t>
      </w:r>
    </w:p>
    <w:p w14:paraId="32B86450">
      <w:pPr>
        <w:adjustRightInd w:val="0"/>
        <w:ind w:firstLine="480" w:firstLineChars="200"/>
        <w:textAlignment w:val="center"/>
        <w:rPr>
          <w:rFonts w:cs="Times New Roman"/>
          <w:color w:val="0000FF"/>
        </w:rPr>
      </w:pPr>
      <w:r>
        <w:rPr>
          <w:rFonts w:cs="Times New Roman"/>
          <w:color w:val="0000FF"/>
        </w:rPr>
        <w:t>根据</w:t>
      </w:r>
      <w:r>
        <w:rPr>
          <w:rFonts w:hint="eastAsia" w:cs="Times New Roman"/>
          <w:color w:val="0000FF"/>
        </w:rPr>
        <w:t>朱集</w:t>
      </w:r>
      <w:r>
        <w:rPr>
          <w:rFonts w:cs="Times New Roman"/>
          <w:color w:val="0000FF"/>
        </w:rPr>
        <w:t>灌区土地利用现状图，</w:t>
      </w:r>
      <w:r>
        <w:rPr>
          <w:rFonts w:hint="eastAsia" w:cs="Times New Roman"/>
          <w:color w:val="0000FF"/>
        </w:rPr>
        <w:t>朱集</w:t>
      </w:r>
      <w:r>
        <w:rPr>
          <w:rFonts w:cs="Times New Roman"/>
          <w:color w:val="0000FF"/>
        </w:rPr>
        <w:t>灌区土地利用类型主要包括水田、旱地、有林地、灌木林、疏林地、其他林地、高覆盖度草地、低覆盖度草地、河渠、湖泊、水库坑塘、滩地、城镇用地、农村居民点、其他建设用地、裸岩石砾地等16类。</w:t>
      </w:r>
    </w:p>
    <w:p w14:paraId="365D476B">
      <w:pPr>
        <w:adjustRightInd w:val="0"/>
        <w:ind w:firstLine="480" w:firstLineChars="200"/>
        <w:textAlignment w:val="center"/>
        <w:rPr>
          <w:rFonts w:cs="Times New Roman"/>
          <w:color w:val="0000FF"/>
        </w:rPr>
      </w:pPr>
      <w:r>
        <w:rPr>
          <w:rFonts w:cs="Times New Roman"/>
          <w:color w:val="0000FF"/>
        </w:rPr>
        <w:t>灌区耕地总面积1402.32万亩，占总面积的63.43%。其中，灌区耕地面积1270.54万亩。</w:t>
      </w:r>
    </w:p>
    <w:p w14:paraId="483466C8">
      <w:pPr>
        <w:numPr>
          <w:ilvl w:val="4"/>
          <w:numId w:val="0"/>
        </w:numPr>
        <w:adjustRightInd w:val="0"/>
        <w:jc w:val="center"/>
        <w:textAlignment w:val="center"/>
        <w:rPr>
          <w:rFonts w:eastAsia="黑体" w:cs="Times New Roman"/>
          <w:bCs/>
          <w:color w:val="0000FF"/>
        </w:rPr>
      </w:pPr>
      <w:r>
        <w:rPr>
          <w:rFonts w:eastAsia="黑体" w:cs="Times New Roman"/>
          <w:bCs/>
          <w:color w:val="0000FF"/>
        </w:rPr>
        <w:t xml:space="preserve">表4-1-1  </w:t>
      </w:r>
      <w:r>
        <w:rPr>
          <w:rFonts w:hint="eastAsia" w:eastAsia="黑体" w:cs="Times New Roman"/>
          <w:bCs/>
          <w:color w:val="0000FF"/>
          <w:lang w:eastAsia="zh-CN"/>
        </w:rPr>
        <w:t>朱集灌区</w:t>
      </w:r>
      <w:r>
        <w:rPr>
          <w:rFonts w:eastAsia="黑体" w:cs="Times New Roman"/>
          <w:bCs/>
          <w:color w:val="0000FF"/>
        </w:rPr>
        <w:t>各地类面积统计表    单位：万亩</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54"/>
        <w:gridCol w:w="1856"/>
        <w:gridCol w:w="1859"/>
        <w:gridCol w:w="1859"/>
        <w:gridCol w:w="1859"/>
      </w:tblGrid>
      <w:tr w14:paraId="76B77A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998" w:type="pct"/>
            <w:vAlign w:val="center"/>
          </w:tcPr>
          <w:p w14:paraId="0DBF9AC1">
            <w:pPr>
              <w:pStyle w:val="28"/>
              <w:bidi w:val="0"/>
            </w:pPr>
            <w:r>
              <w:t>地类</w:t>
            </w:r>
          </w:p>
        </w:tc>
        <w:tc>
          <w:tcPr>
            <w:tcW w:w="999" w:type="pct"/>
            <w:vAlign w:val="center"/>
          </w:tcPr>
          <w:p w14:paraId="232EF957">
            <w:pPr>
              <w:pStyle w:val="28"/>
              <w:bidi w:val="0"/>
            </w:pPr>
            <w:r>
              <w:t>淠河灌区</w:t>
            </w:r>
          </w:p>
        </w:tc>
        <w:tc>
          <w:tcPr>
            <w:tcW w:w="1000" w:type="pct"/>
            <w:vAlign w:val="center"/>
          </w:tcPr>
          <w:p w14:paraId="1EC06407">
            <w:pPr>
              <w:pStyle w:val="28"/>
              <w:bidi w:val="0"/>
            </w:pPr>
            <w:r>
              <w:t>史河灌区</w:t>
            </w:r>
          </w:p>
        </w:tc>
        <w:tc>
          <w:tcPr>
            <w:tcW w:w="1000" w:type="pct"/>
            <w:vAlign w:val="center"/>
          </w:tcPr>
          <w:p w14:paraId="06DE192B">
            <w:pPr>
              <w:pStyle w:val="28"/>
              <w:bidi w:val="0"/>
            </w:pPr>
            <w:r>
              <w:t>杭埠河灌区</w:t>
            </w:r>
          </w:p>
        </w:tc>
        <w:tc>
          <w:tcPr>
            <w:tcW w:w="1000" w:type="pct"/>
            <w:vAlign w:val="center"/>
          </w:tcPr>
          <w:p w14:paraId="715ECEED">
            <w:pPr>
              <w:pStyle w:val="28"/>
              <w:bidi w:val="0"/>
            </w:pPr>
            <w:r>
              <w:t>安徽合计</w:t>
            </w:r>
          </w:p>
        </w:tc>
      </w:tr>
      <w:tr w14:paraId="38209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0ED7B89E">
            <w:pPr>
              <w:pStyle w:val="28"/>
              <w:bidi w:val="0"/>
            </w:pPr>
            <w:r>
              <w:t>水田</w:t>
            </w:r>
          </w:p>
        </w:tc>
        <w:tc>
          <w:tcPr>
            <w:tcW w:w="999" w:type="pct"/>
            <w:vAlign w:val="center"/>
          </w:tcPr>
          <w:p w14:paraId="55BBDA02">
            <w:pPr>
              <w:pStyle w:val="28"/>
              <w:bidi w:val="0"/>
            </w:pPr>
            <w:r>
              <w:t>689.91</w:t>
            </w:r>
          </w:p>
        </w:tc>
        <w:tc>
          <w:tcPr>
            <w:tcW w:w="1000" w:type="pct"/>
            <w:vAlign w:val="center"/>
          </w:tcPr>
          <w:p w14:paraId="4E1FA349">
            <w:pPr>
              <w:pStyle w:val="28"/>
              <w:bidi w:val="0"/>
            </w:pPr>
            <w:r>
              <w:t>324.32</w:t>
            </w:r>
          </w:p>
        </w:tc>
        <w:tc>
          <w:tcPr>
            <w:tcW w:w="1000" w:type="pct"/>
            <w:vAlign w:val="center"/>
          </w:tcPr>
          <w:p w14:paraId="03BAF118">
            <w:pPr>
              <w:pStyle w:val="28"/>
              <w:bidi w:val="0"/>
            </w:pPr>
            <w:r>
              <w:t>163.87</w:t>
            </w:r>
          </w:p>
        </w:tc>
        <w:tc>
          <w:tcPr>
            <w:tcW w:w="1000" w:type="pct"/>
            <w:vAlign w:val="center"/>
          </w:tcPr>
          <w:p w14:paraId="706E74AA">
            <w:pPr>
              <w:pStyle w:val="28"/>
              <w:bidi w:val="0"/>
            </w:pPr>
            <w:r>
              <w:t>1178.1</w:t>
            </w:r>
          </w:p>
        </w:tc>
      </w:tr>
      <w:tr w14:paraId="6720F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4D10928D">
            <w:pPr>
              <w:pStyle w:val="28"/>
              <w:bidi w:val="0"/>
            </w:pPr>
            <w:r>
              <w:t>旱地</w:t>
            </w:r>
          </w:p>
        </w:tc>
        <w:tc>
          <w:tcPr>
            <w:tcW w:w="999" w:type="pct"/>
            <w:vAlign w:val="center"/>
          </w:tcPr>
          <w:p w14:paraId="2755C4AA">
            <w:pPr>
              <w:pStyle w:val="28"/>
              <w:bidi w:val="0"/>
            </w:pPr>
            <w:r>
              <w:t>48.45</w:t>
            </w:r>
          </w:p>
        </w:tc>
        <w:tc>
          <w:tcPr>
            <w:tcW w:w="1000" w:type="pct"/>
            <w:vAlign w:val="center"/>
          </w:tcPr>
          <w:p w14:paraId="497B5C32">
            <w:pPr>
              <w:pStyle w:val="28"/>
              <w:bidi w:val="0"/>
            </w:pPr>
            <w:r>
              <w:t>39</w:t>
            </w:r>
          </w:p>
        </w:tc>
        <w:tc>
          <w:tcPr>
            <w:tcW w:w="1000" w:type="pct"/>
            <w:vAlign w:val="center"/>
          </w:tcPr>
          <w:p w14:paraId="0107B50F">
            <w:pPr>
              <w:pStyle w:val="28"/>
              <w:bidi w:val="0"/>
            </w:pPr>
            <w:r>
              <w:t>4.99</w:t>
            </w:r>
          </w:p>
        </w:tc>
        <w:tc>
          <w:tcPr>
            <w:tcW w:w="1000" w:type="pct"/>
            <w:vAlign w:val="center"/>
          </w:tcPr>
          <w:p w14:paraId="7C3AFD48">
            <w:pPr>
              <w:pStyle w:val="28"/>
              <w:bidi w:val="0"/>
            </w:pPr>
            <w:r>
              <w:t>92.44</w:t>
            </w:r>
          </w:p>
        </w:tc>
      </w:tr>
      <w:tr w14:paraId="14C31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27F96FF9">
            <w:pPr>
              <w:pStyle w:val="28"/>
              <w:bidi w:val="0"/>
            </w:pPr>
            <w:r>
              <w:t>有林地</w:t>
            </w:r>
          </w:p>
        </w:tc>
        <w:tc>
          <w:tcPr>
            <w:tcW w:w="999" w:type="pct"/>
            <w:vAlign w:val="center"/>
          </w:tcPr>
          <w:p w14:paraId="79BA2503">
            <w:pPr>
              <w:pStyle w:val="28"/>
              <w:bidi w:val="0"/>
            </w:pPr>
            <w:r>
              <w:t>11.39</w:t>
            </w:r>
          </w:p>
        </w:tc>
        <w:tc>
          <w:tcPr>
            <w:tcW w:w="1000" w:type="pct"/>
            <w:vAlign w:val="center"/>
          </w:tcPr>
          <w:p w14:paraId="1936815F">
            <w:pPr>
              <w:pStyle w:val="28"/>
              <w:bidi w:val="0"/>
            </w:pPr>
            <w:r>
              <w:t>19.84</w:t>
            </w:r>
          </w:p>
        </w:tc>
        <w:tc>
          <w:tcPr>
            <w:tcW w:w="1000" w:type="pct"/>
            <w:vAlign w:val="center"/>
          </w:tcPr>
          <w:p w14:paraId="1EE7234A">
            <w:pPr>
              <w:pStyle w:val="28"/>
              <w:bidi w:val="0"/>
            </w:pPr>
            <w:r>
              <w:t>12.62</w:t>
            </w:r>
          </w:p>
        </w:tc>
        <w:tc>
          <w:tcPr>
            <w:tcW w:w="1000" w:type="pct"/>
            <w:vAlign w:val="center"/>
          </w:tcPr>
          <w:p w14:paraId="224F8570">
            <w:pPr>
              <w:pStyle w:val="28"/>
              <w:bidi w:val="0"/>
            </w:pPr>
            <w:r>
              <w:t>43.85</w:t>
            </w:r>
          </w:p>
        </w:tc>
      </w:tr>
      <w:tr w14:paraId="6ED61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6FE9A807">
            <w:pPr>
              <w:pStyle w:val="28"/>
              <w:bidi w:val="0"/>
            </w:pPr>
            <w:r>
              <w:t>灌木林</w:t>
            </w:r>
          </w:p>
        </w:tc>
        <w:tc>
          <w:tcPr>
            <w:tcW w:w="999" w:type="pct"/>
            <w:vAlign w:val="center"/>
          </w:tcPr>
          <w:p w14:paraId="6278DF9E">
            <w:pPr>
              <w:pStyle w:val="28"/>
              <w:bidi w:val="0"/>
            </w:pPr>
            <w:r>
              <w:t>2.39</w:t>
            </w:r>
          </w:p>
        </w:tc>
        <w:tc>
          <w:tcPr>
            <w:tcW w:w="1000" w:type="pct"/>
            <w:vAlign w:val="center"/>
          </w:tcPr>
          <w:p w14:paraId="02428979">
            <w:pPr>
              <w:pStyle w:val="28"/>
              <w:bidi w:val="0"/>
            </w:pPr>
            <w:r>
              <w:t>6.45</w:t>
            </w:r>
          </w:p>
        </w:tc>
        <w:tc>
          <w:tcPr>
            <w:tcW w:w="1000" w:type="pct"/>
            <w:vAlign w:val="center"/>
          </w:tcPr>
          <w:p w14:paraId="343DA273">
            <w:pPr>
              <w:pStyle w:val="28"/>
              <w:bidi w:val="0"/>
            </w:pPr>
            <w:r>
              <w:t>2.49</w:t>
            </w:r>
          </w:p>
        </w:tc>
        <w:tc>
          <w:tcPr>
            <w:tcW w:w="1000" w:type="pct"/>
            <w:vAlign w:val="center"/>
          </w:tcPr>
          <w:p w14:paraId="7BD20FA5">
            <w:pPr>
              <w:pStyle w:val="28"/>
              <w:bidi w:val="0"/>
            </w:pPr>
            <w:r>
              <w:t>11.33</w:t>
            </w:r>
          </w:p>
        </w:tc>
      </w:tr>
      <w:tr w14:paraId="619CD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998" w:type="pct"/>
            <w:vAlign w:val="center"/>
          </w:tcPr>
          <w:p w14:paraId="28C0C809">
            <w:pPr>
              <w:pStyle w:val="28"/>
              <w:bidi w:val="0"/>
            </w:pPr>
            <w:r>
              <w:t>疏林地</w:t>
            </w:r>
          </w:p>
        </w:tc>
        <w:tc>
          <w:tcPr>
            <w:tcW w:w="999" w:type="pct"/>
            <w:vAlign w:val="center"/>
          </w:tcPr>
          <w:p w14:paraId="6B1C5F07">
            <w:pPr>
              <w:pStyle w:val="28"/>
              <w:bidi w:val="0"/>
            </w:pPr>
            <w:r>
              <w:t>0.57</w:t>
            </w:r>
          </w:p>
        </w:tc>
        <w:tc>
          <w:tcPr>
            <w:tcW w:w="1000" w:type="pct"/>
            <w:vAlign w:val="center"/>
          </w:tcPr>
          <w:p w14:paraId="7B5C006D">
            <w:pPr>
              <w:pStyle w:val="28"/>
              <w:bidi w:val="0"/>
            </w:pPr>
            <w:r>
              <w:t>0.23</w:t>
            </w:r>
          </w:p>
        </w:tc>
        <w:tc>
          <w:tcPr>
            <w:tcW w:w="1000" w:type="pct"/>
            <w:vAlign w:val="center"/>
          </w:tcPr>
          <w:p w14:paraId="24CD4F64">
            <w:pPr>
              <w:pStyle w:val="28"/>
              <w:bidi w:val="0"/>
            </w:pPr>
            <w:r>
              <w:t>0.12</w:t>
            </w:r>
          </w:p>
        </w:tc>
        <w:tc>
          <w:tcPr>
            <w:tcW w:w="1000" w:type="pct"/>
            <w:vAlign w:val="center"/>
          </w:tcPr>
          <w:p w14:paraId="245B9DD5">
            <w:pPr>
              <w:pStyle w:val="28"/>
              <w:bidi w:val="0"/>
            </w:pPr>
            <w:r>
              <w:t>0.92</w:t>
            </w:r>
          </w:p>
        </w:tc>
      </w:tr>
      <w:tr w14:paraId="0F91F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4F20CBDF">
            <w:pPr>
              <w:pStyle w:val="28"/>
              <w:bidi w:val="0"/>
            </w:pPr>
            <w:r>
              <w:t>其他林地</w:t>
            </w:r>
          </w:p>
        </w:tc>
        <w:tc>
          <w:tcPr>
            <w:tcW w:w="999" w:type="pct"/>
            <w:vAlign w:val="center"/>
          </w:tcPr>
          <w:p w14:paraId="5999ADFF">
            <w:pPr>
              <w:pStyle w:val="28"/>
              <w:bidi w:val="0"/>
            </w:pPr>
            <w:r>
              <w:t>0.73</w:t>
            </w:r>
          </w:p>
        </w:tc>
        <w:tc>
          <w:tcPr>
            <w:tcW w:w="1000" w:type="pct"/>
            <w:vAlign w:val="center"/>
          </w:tcPr>
          <w:p w14:paraId="5F8F0B9D">
            <w:pPr>
              <w:pStyle w:val="28"/>
              <w:bidi w:val="0"/>
            </w:pPr>
            <w:r>
              <w:t>1.62</w:t>
            </w:r>
          </w:p>
        </w:tc>
        <w:tc>
          <w:tcPr>
            <w:tcW w:w="1000" w:type="pct"/>
            <w:vAlign w:val="center"/>
          </w:tcPr>
          <w:p w14:paraId="1ED7769B">
            <w:pPr>
              <w:pStyle w:val="28"/>
              <w:bidi w:val="0"/>
            </w:pPr>
            <w:r>
              <w:t>0.64</w:t>
            </w:r>
          </w:p>
        </w:tc>
        <w:tc>
          <w:tcPr>
            <w:tcW w:w="1000" w:type="pct"/>
            <w:vAlign w:val="center"/>
          </w:tcPr>
          <w:p w14:paraId="22E91E10">
            <w:pPr>
              <w:pStyle w:val="28"/>
              <w:bidi w:val="0"/>
            </w:pPr>
            <w:r>
              <w:t>2.99</w:t>
            </w:r>
          </w:p>
        </w:tc>
      </w:tr>
      <w:tr w14:paraId="64904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36CEC61C">
            <w:pPr>
              <w:pStyle w:val="28"/>
              <w:bidi w:val="0"/>
            </w:pPr>
            <w:r>
              <w:t>高覆盖度草地</w:t>
            </w:r>
          </w:p>
        </w:tc>
        <w:tc>
          <w:tcPr>
            <w:tcW w:w="999" w:type="pct"/>
            <w:vAlign w:val="center"/>
          </w:tcPr>
          <w:p w14:paraId="220FEDFE">
            <w:pPr>
              <w:pStyle w:val="28"/>
              <w:bidi w:val="0"/>
            </w:pPr>
            <w:r>
              <w:t>3.02</w:t>
            </w:r>
          </w:p>
        </w:tc>
        <w:tc>
          <w:tcPr>
            <w:tcW w:w="1000" w:type="pct"/>
            <w:vAlign w:val="center"/>
          </w:tcPr>
          <w:p w14:paraId="31C0AC9B">
            <w:pPr>
              <w:pStyle w:val="28"/>
              <w:bidi w:val="0"/>
            </w:pPr>
            <w:r>
              <w:t>1.09</w:t>
            </w:r>
          </w:p>
        </w:tc>
        <w:tc>
          <w:tcPr>
            <w:tcW w:w="1000" w:type="pct"/>
            <w:vAlign w:val="center"/>
          </w:tcPr>
          <w:p w14:paraId="0834556E">
            <w:pPr>
              <w:pStyle w:val="28"/>
              <w:bidi w:val="0"/>
            </w:pPr>
            <w:r>
              <w:t>2.54</w:t>
            </w:r>
          </w:p>
        </w:tc>
        <w:tc>
          <w:tcPr>
            <w:tcW w:w="1000" w:type="pct"/>
            <w:vAlign w:val="center"/>
          </w:tcPr>
          <w:p w14:paraId="7D780B49">
            <w:pPr>
              <w:pStyle w:val="28"/>
              <w:bidi w:val="0"/>
            </w:pPr>
            <w:r>
              <w:t>6.65</w:t>
            </w:r>
          </w:p>
        </w:tc>
      </w:tr>
      <w:tr w14:paraId="57496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4A4EE89F">
            <w:pPr>
              <w:pStyle w:val="28"/>
              <w:bidi w:val="0"/>
            </w:pPr>
            <w:r>
              <w:t>低覆盖度草地</w:t>
            </w:r>
          </w:p>
        </w:tc>
        <w:tc>
          <w:tcPr>
            <w:tcW w:w="999" w:type="pct"/>
            <w:vAlign w:val="center"/>
          </w:tcPr>
          <w:p w14:paraId="5F4D3E12">
            <w:pPr>
              <w:pStyle w:val="28"/>
              <w:bidi w:val="0"/>
            </w:pPr>
            <w:r>
              <w:t>0.03</w:t>
            </w:r>
          </w:p>
        </w:tc>
        <w:tc>
          <w:tcPr>
            <w:tcW w:w="1000" w:type="pct"/>
            <w:vAlign w:val="center"/>
          </w:tcPr>
          <w:p w14:paraId="163F55AA">
            <w:pPr>
              <w:pStyle w:val="28"/>
              <w:bidi w:val="0"/>
            </w:pPr>
            <w:r>
              <w:t>0.06</w:t>
            </w:r>
          </w:p>
        </w:tc>
        <w:tc>
          <w:tcPr>
            <w:tcW w:w="1000" w:type="pct"/>
            <w:vAlign w:val="center"/>
          </w:tcPr>
          <w:p w14:paraId="6E3A0CC8">
            <w:pPr>
              <w:pStyle w:val="28"/>
              <w:bidi w:val="0"/>
            </w:pPr>
            <w:r>
              <w:t>0.02</w:t>
            </w:r>
          </w:p>
        </w:tc>
        <w:tc>
          <w:tcPr>
            <w:tcW w:w="1000" w:type="pct"/>
            <w:vAlign w:val="center"/>
          </w:tcPr>
          <w:p w14:paraId="3CA550AE">
            <w:pPr>
              <w:pStyle w:val="28"/>
              <w:bidi w:val="0"/>
            </w:pPr>
            <w:r>
              <w:t>0.11</w:t>
            </w:r>
          </w:p>
        </w:tc>
      </w:tr>
      <w:tr w14:paraId="4CB9F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44154DAE">
            <w:pPr>
              <w:pStyle w:val="28"/>
              <w:bidi w:val="0"/>
            </w:pPr>
            <w:r>
              <w:t>河渠</w:t>
            </w:r>
          </w:p>
        </w:tc>
        <w:tc>
          <w:tcPr>
            <w:tcW w:w="999" w:type="pct"/>
            <w:vAlign w:val="center"/>
          </w:tcPr>
          <w:p w14:paraId="3886AC9E">
            <w:pPr>
              <w:pStyle w:val="28"/>
              <w:bidi w:val="0"/>
            </w:pPr>
            <w:r>
              <w:t>1.42</w:t>
            </w:r>
          </w:p>
        </w:tc>
        <w:tc>
          <w:tcPr>
            <w:tcW w:w="1000" w:type="pct"/>
            <w:vAlign w:val="center"/>
          </w:tcPr>
          <w:p w14:paraId="7F8F7621">
            <w:pPr>
              <w:pStyle w:val="28"/>
              <w:bidi w:val="0"/>
            </w:pPr>
            <w:r>
              <w:t>1.81</w:t>
            </w:r>
          </w:p>
        </w:tc>
        <w:tc>
          <w:tcPr>
            <w:tcW w:w="1000" w:type="pct"/>
            <w:vAlign w:val="center"/>
          </w:tcPr>
          <w:p w14:paraId="7FE18F25">
            <w:pPr>
              <w:pStyle w:val="28"/>
              <w:bidi w:val="0"/>
            </w:pPr>
            <w:r>
              <w:t>2.05</w:t>
            </w:r>
          </w:p>
        </w:tc>
        <w:tc>
          <w:tcPr>
            <w:tcW w:w="1000" w:type="pct"/>
            <w:vAlign w:val="center"/>
          </w:tcPr>
          <w:p w14:paraId="4DED5E11">
            <w:pPr>
              <w:pStyle w:val="28"/>
              <w:bidi w:val="0"/>
            </w:pPr>
            <w:r>
              <w:t>5.28</w:t>
            </w:r>
          </w:p>
        </w:tc>
      </w:tr>
      <w:tr w14:paraId="38203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1EE7A32E">
            <w:pPr>
              <w:pStyle w:val="28"/>
              <w:bidi w:val="0"/>
            </w:pPr>
            <w:r>
              <w:t>湖泊</w:t>
            </w:r>
          </w:p>
        </w:tc>
        <w:tc>
          <w:tcPr>
            <w:tcW w:w="999" w:type="pct"/>
            <w:vAlign w:val="center"/>
          </w:tcPr>
          <w:p w14:paraId="5AA017F4">
            <w:pPr>
              <w:pStyle w:val="28"/>
              <w:bidi w:val="0"/>
            </w:pPr>
            <w:r>
              <w:t>7.15</w:t>
            </w:r>
          </w:p>
        </w:tc>
        <w:tc>
          <w:tcPr>
            <w:tcW w:w="1000" w:type="pct"/>
            <w:vAlign w:val="center"/>
          </w:tcPr>
          <w:p w14:paraId="2B9C0787">
            <w:pPr>
              <w:pStyle w:val="28"/>
              <w:bidi w:val="0"/>
            </w:pPr>
            <w:r>
              <w:t>0.11</w:t>
            </w:r>
          </w:p>
        </w:tc>
        <w:tc>
          <w:tcPr>
            <w:tcW w:w="1000" w:type="pct"/>
            <w:vAlign w:val="center"/>
          </w:tcPr>
          <w:p w14:paraId="5CE31AC4">
            <w:pPr>
              <w:pStyle w:val="28"/>
              <w:bidi w:val="0"/>
            </w:pPr>
            <w:r>
              <w:t>0.56</w:t>
            </w:r>
          </w:p>
        </w:tc>
        <w:tc>
          <w:tcPr>
            <w:tcW w:w="1000" w:type="pct"/>
            <w:vAlign w:val="center"/>
          </w:tcPr>
          <w:p w14:paraId="0707D3DE">
            <w:pPr>
              <w:pStyle w:val="28"/>
              <w:bidi w:val="0"/>
            </w:pPr>
            <w:r>
              <w:t>7.82</w:t>
            </w:r>
          </w:p>
        </w:tc>
      </w:tr>
      <w:tr w14:paraId="501D4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1BD54554">
            <w:pPr>
              <w:pStyle w:val="28"/>
              <w:bidi w:val="0"/>
            </w:pPr>
            <w:r>
              <w:t>水库坑塘</w:t>
            </w:r>
          </w:p>
        </w:tc>
        <w:tc>
          <w:tcPr>
            <w:tcW w:w="999" w:type="pct"/>
            <w:vAlign w:val="center"/>
          </w:tcPr>
          <w:p w14:paraId="1EB8A4A4">
            <w:pPr>
              <w:pStyle w:val="28"/>
              <w:bidi w:val="0"/>
            </w:pPr>
            <w:r>
              <w:t>21.76</w:t>
            </w:r>
          </w:p>
        </w:tc>
        <w:tc>
          <w:tcPr>
            <w:tcW w:w="1000" w:type="pct"/>
            <w:vAlign w:val="center"/>
          </w:tcPr>
          <w:p w14:paraId="51C559C4">
            <w:pPr>
              <w:pStyle w:val="28"/>
              <w:bidi w:val="0"/>
            </w:pPr>
            <w:r>
              <w:t>7.14</w:t>
            </w:r>
          </w:p>
        </w:tc>
        <w:tc>
          <w:tcPr>
            <w:tcW w:w="1000" w:type="pct"/>
            <w:vAlign w:val="center"/>
          </w:tcPr>
          <w:p w14:paraId="57EA9C27">
            <w:pPr>
              <w:pStyle w:val="28"/>
              <w:bidi w:val="0"/>
            </w:pPr>
            <w:r>
              <w:t>2.12</w:t>
            </w:r>
          </w:p>
        </w:tc>
        <w:tc>
          <w:tcPr>
            <w:tcW w:w="1000" w:type="pct"/>
            <w:vAlign w:val="center"/>
          </w:tcPr>
          <w:p w14:paraId="35A6BD58">
            <w:pPr>
              <w:pStyle w:val="28"/>
              <w:bidi w:val="0"/>
            </w:pPr>
            <w:r>
              <w:t>31.02</w:t>
            </w:r>
          </w:p>
        </w:tc>
      </w:tr>
      <w:tr w14:paraId="032F6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5D75E90B">
            <w:pPr>
              <w:pStyle w:val="28"/>
              <w:bidi w:val="0"/>
            </w:pPr>
            <w:r>
              <w:t>滩地</w:t>
            </w:r>
          </w:p>
        </w:tc>
        <w:tc>
          <w:tcPr>
            <w:tcW w:w="999" w:type="pct"/>
            <w:vAlign w:val="center"/>
          </w:tcPr>
          <w:p w14:paraId="432C05EC">
            <w:pPr>
              <w:pStyle w:val="28"/>
              <w:bidi w:val="0"/>
            </w:pPr>
            <w:r>
              <w:t>4.75</w:t>
            </w:r>
          </w:p>
        </w:tc>
        <w:tc>
          <w:tcPr>
            <w:tcW w:w="1000" w:type="pct"/>
            <w:vAlign w:val="center"/>
          </w:tcPr>
          <w:p w14:paraId="12AAC976">
            <w:pPr>
              <w:pStyle w:val="28"/>
              <w:bidi w:val="0"/>
            </w:pPr>
            <w:r>
              <w:t>6.33</w:t>
            </w:r>
          </w:p>
        </w:tc>
        <w:tc>
          <w:tcPr>
            <w:tcW w:w="1000" w:type="pct"/>
            <w:vAlign w:val="center"/>
          </w:tcPr>
          <w:p w14:paraId="6A383CAB">
            <w:pPr>
              <w:pStyle w:val="28"/>
              <w:bidi w:val="0"/>
            </w:pPr>
            <w:r>
              <w:t>0.78</w:t>
            </w:r>
          </w:p>
        </w:tc>
        <w:tc>
          <w:tcPr>
            <w:tcW w:w="1000" w:type="pct"/>
            <w:vAlign w:val="center"/>
          </w:tcPr>
          <w:p w14:paraId="2CEB6B2E">
            <w:pPr>
              <w:pStyle w:val="28"/>
              <w:bidi w:val="0"/>
            </w:pPr>
            <w:r>
              <w:t>11.86</w:t>
            </w:r>
          </w:p>
        </w:tc>
      </w:tr>
      <w:tr w14:paraId="2F23B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181FC355">
            <w:pPr>
              <w:pStyle w:val="28"/>
              <w:bidi w:val="0"/>
            </w:pPr>
            <w:r>
              <w:t>城镇用地</w:t>
            </w:r>
          </w:p>
        </w:tc>
        <w:tc>
          <w:tcPr>
            <w:tcW w:w="999" w:type="pct"/>
            <w:vAlign w:val="center"/>
          </w:tcPr>
          <w:p w14:paraId="2C058E68">
            <w:pPr>
              <w:pStyle w:val="28"/>
              <w:bidi w:val="0"/>
            </w:pPr>
            <w:r>
              <w:t>2.98</w:t>
            </w:r>
          </w:p>
        </w:tc>
        <w:tc>
          <w:tcPr>
            <w:tcW w:w="1000" w:type="pct"/>
            <w:vAlign w:val="center"/>
          </w:tcPr>
          <w:p w14:paraId="3AA5A66D">
            <w:pPr>
              <w:pStyle w:val="28"/>
              <w:bidi w:val="0"/>
            </w:pPr>
            <w:r>
              <w:t>3.26</w:t>
            </w:r>
          </w:p>
        </w:tc>
        <w:tc>
          <w:tcPr>
            <w:tcW w:w="1000" w:type="pct"/>
            <w:vAlign w:val="center"/>
          </w:tcPr>
          <w:p w14:paraId="634668B4">
            <w:pPr>
              <w:pStyle w:val="28"/>
              <w:bidi w:val="0"/>
            </w:pPr>
            <w:r>
              <w:t>0.43</w:t>
            </w:r>
          </w:p>
        </w:tc>
        <w:tc>
          <w:tcPr>
            <w:tcW w:w="1000" w:type="pct"/>
            <w:vAlign w:val="center"/>
          </w:tcPr>
          <w:p w14:paraId="0D215449">
            <w:pPr>
              <w:pStyle w:val="28"/>
              <w:bidi w:val="0"/>
            </w:pPr>
            <w:r>
              <w:t>6.67</w:t>
            </w:r>
          </w:p>
        </w:tc>
      </w:tr>
      <w:tr w14:paraId="2548E4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66E829AD">
            <w:pPr>
              <w:pStyle w:val="28"/>
              <w:bidi w:val="0"/>
            </w:pPr>
            <w:r>
              <w:t>农村居民点</w:t>
            </w:r>
          </w:p>
        </w:tc>
        <w:tc>
          <w:tcPr>
            <w:tcW w:w="999" w:type="pct"/>
            <w:vAlign w:val="center"/>
          </w:tcPr>
          <w:p w14:paraId="502FF741">
            <w:pPr>
              <w:pStyle w:val="28"/>
              <w:bidi w:val="0"/>
            </w:pPr>
            <w:r>
              <w:t>161.37</w:t>
            </w:r>
          </w:p>
        </w:tc>
        <w:tc>
          <w:tcPr>
            <w:tcW w:w="1000" w:type="pct"/>
            <w:vAlign w:val="center"/>
          </w:tcPr>
          <w:p w14:paraId="7167D6ED">
            <w:pPr>
              <w:pStyle w:val="28"/>
              <w:bidi w:val="0"/>
            </w:pPr>
            <w:r>
              <w:t>69.59</w:t>
            </w:r>
          </w:p>
        </w:tc>
        <w:tc>
          <w:tcPr>
            <w:tcW w:w="1000" w:type="pct"/>
            <w:vAlign w:val="center"/>
          </w:tcPr>
          <w:p w14:paraId="348AB072">
            <w:pPr>
              <w:pStyle w:val="28"/>
              <w:bidi w:val="0"/>
            </w:pPr>
            <w:r>
              <w:t>28.66</w:t>
            </w:r>
          </w:p>
        </w:tc>
        <w:tc>
          <w:tcPr>
            <w:tcW w:w="1000" w:type="pct"/>
            <w:vAlign w:val="center"/>
          </w:tcPr>
          <w:p w14:paraId="20543730">
            <w:pPr>
              <w:pStyle w:val="28"/>
              <w:bidi w:val="0"/>
            </w:pPr>
            <w:r>
              <w:t>259.62</w:t>
            </w:r>
          </w:p>
        </w:tc>
      </w:tr>
      <w:tr w14:paraId="3B331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998" w:type="pct"/>
            <w:vAlign w:val="center"/>
          </w:tcPr>
          <w:p w14:paraId="07320E0F">
            <w:pPr>
              <w:pStyle w:val="28"/>
              <w:bidi w:val="0"/>
            </w:pPr>
            <w:r>
              <w:t>其他建设用地</w:t>
            </w:r>
          </w:p>
        </w:tc>
        <w:tc>
          <w:tcPr>
            <w:tcW w:w="999" w:type="pct"/>
            <w:vAlign w:val="center"/>
          </w:tcPr>
          <w:p w14:paraId="1A911A77">
            <w:pPr>
              <w:pStyle w:val="28"/>
              <w:bidi w:val="0"/>
            </w:pPr>
            <w:r>
              <w:t>5.98</w:t>
            </w:r>
          </w:p>
        </w:tc>
        <w:tc>
          <w:tcPr>
            <w:tcW w:w="1000" w:type="pct"/>
            <w:vAlign w:val="center"/>
          </w:tcPr>
          <w:p w14:paraId="48AD82B7">
            <w:pPr>
              <w:pStyle w:val="28"/>
              <w:bidi w:val="0"/>
            </w:pPr>
            <w:r>
              <w:t>0.55</w:t>
            </w:r>
          </w:p>
        </w:tc>
        <w:tc>
          <w:tcPr>
            <w:tcW w:w="1000" w:type="pct"/>
            <w:vAlign w:val="center"/>
          </w:tcPr>
          <w:p w14:paraId="292CB03E">
            <w:pPr>
              <w:pStyle w:val="28"/>
              <w:bidi w:val="0"/>
            </w:pPr>
            <w:r>
              <w:t>0.33</w:t>
            </w:r>
          </w:p>
        </w:tc>
        <w:tc>
          <w:tcPr>
            <w:tcW w:w="1000" w:type="pct"/>
            <w:vAlign w:val="center"/>
          </w:tcPr>
          <w:p w14:paraId="2926486E">
            <w:pPr>
              <w:pStyle w:val="28"/>
              <w:bidi w:val="0"/>
            </w:pPr>
            <w:r>
              <w:t>6.86</w:t>
            </w:r>
          </w:p>
        </w:tc>
      </w:tr>
      <w:tr w14:paraId="544E1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63CC4020">
            <w:pPr>
              <w:pStyle w:val="28"/>
              <w:bidi w:val="0"/>
            </w:pPr>
            <w:r>
              <w:t>裸岩石砾地</w:t>
            </w:r>
          </w:p>
        </w:tc>
        <w:tc>
          <w:tcPr>
            <w:tcW w:w="999" w:type="pct"/>
            <w:vAlign w:val="center"/>
          </w:tcPr>
          <w:p w14:paraId="75B3615E">
            <w:pPr>
              <w:pStyle w:val="28"/>
              <w:bidi w:val="0"/>
            </w:pPr>
            <w:r>
              <w:t>0</w:t>
            </w:r>
          </w:p>
        </w:tc>
        <w:tc>
          <w:tcPr>
            <w:tcW w:w="1000" w:type="pct"/>
            <w:vAlign w:val="center"/>
          </w:tcPr>
          <w:p w14:paraId="72069AA6">
            <w:pPr>
              <w:pStyle w:val="28"/>
              <w:bidi w:val="0"/>
            </w:pPr>
            <w:r>
              <w:t>0</w:t>
            </w:r>
          </w:p>
        </w:tc>
        <w:tc>
          <w:tcPr>
            <w:tcW w:w="1000" w:type="pct"/>
            <w:vAlign w:val="center"/>
          </w:tcPr>
          <w:p w14:paraId="7DCC2FCE">
            <w:pPr>
              <w:pStyle w:val="28"/>
              <w:bidi w:val="0"/>
            </w:pPr>
            <w:r>
              <w:t>0.01</w:t>
            </w:r>
          </w:p>
        </w:tc>
        <w:tc>
          <w:tcPr>
            <w:tcW w:w="1000" w:type="pct"/>
            <w:vAlign w:val="center"/>
          </w:tcPr>
          <w:p w14:paraId="4875CFB0">
            <w:pPr>
              <w:pStyle w:val="28"/>
              <w:bidi w:val="0"/>
            </w:pPr>
            <w:r>
              <w:t>0.01</w:t>
            </w:r>
          </w:p>
        </w:tc>
      </w:tr>
      <w:tr w14:paraId="3CFA2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98" w:type="pct"/>
            <w:vAlign w:val="center"/>
          </w:tcPr>
          <w:p w14:paraId="7785F4E8">
            <w:pPr>
              <w:pStyle w:val="28"/>
              <w:bidi w:val="0"/>
            </w:pPr>
            <w:r>
              <w:t>总计</w:t>
            </w:r>
          </w:p>
        </w:tc>
        <w:tc>
          <w:tcPr>
            <w:tcW w:w="999" w:type="pct"/>
            <w:vAlign w:val="center"/>
          </w:tcPr>
          <w:p w14:paraId="64BAFA72">
            <w:pPr>
              <w:pStyle w:val="28"/>
              <w:bidi w:val="0"/>
            </w:pPr>
            <w:r>
              <w:t>961.9</w:t>
            </w:r>
          </w:p>
        </w:tc>
        <w:tc>
          <w:tcPr>
            <w:tcW w:w="1000" w:type="pct"/>
            <w:vAlign w:val="center"/>
          </w:tcPr>
          <w:p w14:paraId="28F5D5AF">
            <w:pPr>
              <w:pStyle w:val="28"/>
              <w:bidi w:val="0"/>
            </w:pPr>
            <w:r>
              <w:t>481.4</w:t>
            </w:r>
          </w:p>
        </w:tc>
        <w:tc>
          <w:tcPr>
            <w:tcW w:w="1000" w:type="pct"/>
            <w:vAlign w:val="center"/>
          </w:tcPr>
          <w:p w14:paraId="5CBA8B9D">
            <w:pPr>
              <w:pStyle w:val="28"/>
              <w:bidi w:val="0"/>
            </w:pPr>
            <w:r>
              <w:t>222.23</w:t>
            </w:r>
          </w:p>
        </w:tc>
        <w:tc>
          <w:tcPr>
            <w:tcW w:w="1000" w:type="pct"/>
            <w:vAlign w:val="center"/>
          </w:tcPr>
          <w:p w14:paraId="711D6693">
            <w:pPr>
              <w:pStyle w:val="28"/>
              <w:bidi w:val="0"/>
            </w:pPr>
            <w:r>
              <w:t>1665.53</w:t>
            </w:r>
          </w:p>
        </w:tc>
      </w:tr>
    </w:tbl>
    <w:p w14:paraId="6C07289E">
      <w:pPr>
        <w:autoSpaceDE w:val="0"/>
        <w:autoSpaceDN w:val="0"/>
        <w:rPr>
          <w:rFonts w:cs="Times New Roman"/>
          <w:color w:val="0000FF"/>
          <w:lang w:bidi="zh-CN"/>
        </w:rPr>
      </w:pPr>
    </w:p>
    <w:p w14:paraId="44796712">
      <w:pPr>
        <w:autoSpaceDE w:val="0"/>
        <w:autoSpaceDN w:val="0"/>
        <w:jc w:val="both"/>
        <w:rPr>
          <w:rFonts w:cs="Times New Roman"/>
          <w:color w:val="0000FF"/>
          <w:lang w:val="zh-CN" w:bidi="zh-CN"/>
        </w:rPr>
      </w:pPr>
      <w:r>
        <w:rPr>
          <w:rFonts w:cs="Times New Roman"/>
          <w:color w:val="0000FF"/>
          <w:lang w:val="zh-CN" w:bidi="zh-CN"/>
        </w:rPr>
        <w:drawing>
          <wp:inline distT="0" distB="0" distL="114300" distR="114300">
            <wp:extent cx="6092825" cy="4773295"/>
            <wp:effectExtent l="9525" t="9525" r="19050" b="17780"/>
            <wp:docPr id="46" name="图片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449"/>
                    <pic:cNvPicPr>
                      <a:picLocks noChangeAspect="1"/>
                    </pic:cNvPicPr>
                  </pic:nvPicPr>
                  <pic:blipFill>
                    <a:blip r:embed="rId126"/>
                    <a:stretch>
                      <a:fillRect/>
                    </a:stretch>
                  </pic:blipFill>
                  <pic:spPr>
                    <a:xfrm>
                      <a:off x="0" y="0"/>
                      <a:ext cx="6092825" cy="4773295"/>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33AC31F2">
      <w:pPr>
        <w:autoSpaceDE w:val="0"/>
        <w:autoSpaceDN w:val="0"/>
        <w:jc w:val="center"/>
        <w:rPr>
          <w:rFonts w:eastAsia="黑体" w:cs="Times New Roman"/>
          <w:color w:val="0000FF"/>
          <w:lang w:val="zh-CN" w:bidi="zh-CN"/>
        </w:rPr>
      </w:pPr>
      <w:r>
        <w:rPr>
          <w:rFonts w:eastAsia="黑体" w:cs="Times New Roman"/>
          <w:color w:val="0000FF"/>
          <w:lang w:val="zh-CN" w:bidi="zh-CN"/>
        </w:rPr>
        <w:t xml:space="preserve">图4-1-2  </w:t>
      </w:r>
      <w:r>
        <w:rPr>
          <w:rFonts w:hint="eastAsia" w:eastAsia="黑体" w:cs="Times New Roman"/>
          <w:color w:val="0000FF"/>
          <w:lang w:val="zh-CN" w:bidi="zh-CN"/>
        </w:rPr>
        <w:t>朱集灌区</w:t>
      </w:r>
      <w:r>
        <w:rPr>
          <w:rFonts w:eastAsia="黑体" w:cs="Times New Roman"/>
          <w:color w:val="0000FF"/>
          <w:lang w:val="zh-CN" w:bidi="zh-CN"/>
        </w:rPr>
        <w:t>土地利用现状图</w:t>
      </w:r>
    </w:p>
    <w:p w14:paraId="10213B89">
      <w:pPr>
        <w:adjustRightInd w:val="0"/>
        <w:ind w:firstLine="480"/>
        <w:textAlignment w:val="center"/>
        <w:rPr>
          <w:rFonts w:cs="Times New Roman"/>
        </w:rPr>
      </w:pPr>
      <w:r>
        <w:rPr>
          <w:rFonts w:hint="eastAsia" w:cs="Times New Roman"/>
        </w:rPr>
        <w:t>（</w:t>
      </w:r>
      <w:r>
        <w:rPr>
          <w:rFonts w:cs="Times New Roman"/>
        </w:rPr>
        <w:t>2）水土流失</w:t>
      </w:r>
      <w:r>
        <w:rPr>
          <w:rFonts w:hint="eastAsia" w:cs="Times New Roman"/>
        </w:rPr>
        <w:t>现状调查</w:t>
      </w:r>
    </w:p>
    <w:p w14:paraId="4DB1325F">
      <w:pPr>
        <w:tabs>
          <w:tab w:val="left" w:pos="1440"/>
        </w:tabs>
        <w:ind w:firstLine="480"/>
        <w:rPr>
          <w:rFonts w:cs="Times New Roman"/>
        </w:rPr>
      </w:pPr>
      <w:r>
        <w:rPr>
          <w:rFonts w:cs="Times New Roman"/>
        </w:rPr>
        <w:t>根据《土壤侵蚀分类分级标准》（SL190-2007），本项目区属南方红壤区，土壤侵蚀以水力侵蚀为主。南方红壤区容许土壤流失量为500t/（km²·a）。根据《202</w:t>
      </w:r>
      <w:r>
        <w:rPr>
          <w:rFonts w:hint="eastAsia" w:cs="Times New Roman"/>
        </w:rPr>
        <w:t>2</w:t>
      </w:r>
      <w:r>
        <w:rPr>
          <w:rFonts w:cs="Times New Roman"/>
        </w:rPr>
        <w:t>年安徽省水土保持公报》，项目区所在地水土流失现状见下表。</w:t>
      </w:r>
    </w:p>
    <w:p w14:paraId="56F22025">
      <w:pPr>
        <w:jc w:val="center"/>
        <w:rPr>
          <w:rFonts w:eastAsia="黑体" w:cs="Times New Roman"/>
        </w:rPr>
      </w:pPr>
      <w:r>
        <w:rPr>
          <w:rFonts w:eastAsia="黑体" w:cs="Times New Roman"/>
        </w:rPr>
        <w:t>表4-1-2  项目区域水土流失现状一览表</w:t>
      </w:r>
    </w:p>
    <w:tbl>
      <w:tblPr>
        <w:tblStyle w:val="16"/>
        <w:tblW w:w="4994" w:type="pct"/>
        <w:tblInd w:w="0" w:type="dxa"/>
        <w:tblLayout w:type="autofit"/>
        <w:tblCellMar>
          <w:top w:w="0" w:type="dxa"/>
          <w:left w:w="108" w:type="dxa"/>
          <w:bottom w:w="0" w:type="dxa"/>
          <w:right w:w="108" w:type="dxa"/>
        </w:tblCellMar>
      </w:tblPr>
      <w:tblGrid>
        <w:gridCol w:w="972"/>
        <w:gridCol w:w="975"/>
        <w:gridCol w:w="911"/>
        <w:gridCol w:w="800"/>
        <w:gridCol w:w="800"/>
        <w:gridCol w:w="973"/>
        <w:gridCol w:w="733"/>
        <w:gridCol w:w="1001"/>
        <w:gridCol w:w="1240"/>
        <w:gridCol w:w="871"/>
      </w:tblGrid>
      <w:tr w14:paraId="51608523">
        <w:tblPrEx>
          <w:tblCellMar>
            <w:top w:w="0" w:type="dxa"/>
            <w:left w:w="108" w:type="dxa"/>
            <w:bottom w:w="0" w:type="dxa"/>
            <w:right w:w="108" w:type="dxa"/>
          </w:tblCellMar>
        </w:tblPrEx>
        <w:trPr>
          <w:trHeight w:val="340" w:hRule="atLeast"/>
        </w:trPr>
        <w:tc>
          <w:tcPr>
            <w:tcW w:w="52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018F2C">
            <w:pPr>
              <w:pStyle w:val="28"/>
              <w:bidi w:val="0"/>
            </w:pPr>
            <w:r>
              <w:t>市区</w:t>
            </w:r>
          </w:p>
        </w:tc>
        <w:tc>
          <w:tcPr>
            <w:tcW w:w="52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FEE9BA">
            <w:pPr>
              <w:pStyle w:val="28"/>
              <w:bidi w:val="0"/>
            </w:pPr>
            <w:r>
              <w:t>县区</w:t>
            </w:r>
          </w:p>
        </w:tc>
        <w:tc>
          <w:tcPr>
            <w:tcW w:w="3479" w:type="pct"/>
            <w:gridSpan w:val="7"/>
            <w:tcBorders>
              <w:top w:val="single" w:color="000000" w:sz="4" w:space="0"/>
              <w:left w:val="single" w:color="000000" w:sz="4" w:space="0"/>
              <w:bottom w:val="single" w:color="000000" w:sz="4" w:space="0"/>
              <w:right w:val="single" w:color="000000" w:sz="4" w:space="0"/>
            </w:tcBorders>
            <w:shd w:val="clear" w:color="auto" w:fill="auto"/>
            <w:vAlign w:val="center"/>
          </w:tcPr>
          <w:p w14:paraId="6C4DB9B5">
            <w:pPr>
              <w:pStyle w:val="28"/>
              <w:bidi w:val="0"/>
            </w:pPr>
            <w:r>
              <w:t>水土流失面积</w:t>
            </w:r>
            <w:r>
              <w:rPr>
                <w:rFonts w:hint="eastAsia"/>
              </w:rPr>
              <w:t>（</w:t>
            </w:r>
            <w:r>
              <w:t>km2</w:t>
            </w:r>
            <w:r>
              <w:rPr>
                <w:rFonts w:hint="eastAsia"/>
              </w:rPr>
              <w:t>）</w:t>
            </w:r>
          </w:p>
        </w:tc>
        <w:tc>
          <w:tcPr>
            <w:tcW w:w="46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265A01">
            <w:pPr>
              <w:pStyle w:val="28"/>
              <w:bidi w:val="0"/>
            </w:pPr>
            <w:r>
              <w:t>总面积</w:t>
            </w:r>
          </w:p>
        </w:tc>
      </w:tr>
      <w:tr w14:paraId="6B6F0274">
        <w:tblPrEx>
          <w:tblCellMar>
            <w:top w:w="0" w:type="dxa"/>
            <w:left w:w="108" w:type="dxa"/>
            <w:bottom w:w="0" w:type="dxa"/>
            <w:right w:w="108" w:type="dxa"/>
          </w:tblCellMar>
        </w:tblPrEx>
        <w:trPr>
          <w:trHeight w:val="340" w:hRule="atLeast"/>
        </w:trPr>
        <w:tc>
          <w:tcPr>
            <w:tcW w:w="52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4AB52F">
            <w:pPr>
              <w:pStyle w:val="28"/>
              <w:bidi w:val="0"/>
            </w:pPr>
          </w:p>
        </w:tc>
        <w:tc>
          <w:tcPr>
            <w:tcW w:w="5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071143">
            <w:pPr>
              <w:pStyle w:val="28"/>
              <w:bidi w:val="0"/>
            </w:pPr>
          </w:p>
        </w:tc>
        <w:tc>
          <w:tcPr>
            <w:tcW w:w="4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BE0785">
            <w:pPr>
              <w:pStyle w:val="28"/>
              <w:bidi w:val="0"/>
            </w:pPr>
            <w:r>
              <w:t>轻度</w:t>
            </w:r>
          </w:p>
        </w:tc>
        <w:tc>
          <w:tcPr>
            <w:tcW w:w="4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05322B">
            <w:pPr>
              <w:pStyle w:val="28"/>
              <w:bidi w:val="0"/>
            </w:pPr>
            <w:r>
              <w:t>中度</w:t>
            </w:r>
          </w:p>
        </w:tc>
        <w:tc>
          <w:tcPr>
            <w:tcW w:w="4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125DE5">
            <w:pPr>
              <w:pStyle w:val="28"/>
              <w:bidi w:val="0"/>
            </w:pPr>
            <w:r>
              <w:t>强烈</w:t>
            </w:r>
          </w:p>
        </w:tc>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8D9EAA">
            <w:pPr>
              <w:pStyle w:val="28"/>
              <w:bidi w:val="0"/>
            </w:pPr>
            <w:r>
              <w:t>极强烈</w:t>
            </w:r>
          </w:p>
        </w:tc>
        <w:tc>
          <w:tcPr>
            <w:tcW w:w="3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11B710">
            <w:pPr>
              <w:pStyle w:val="28"/>
              <w:bidi w:val="0"/>
            </w:pPr>
            <w:r>
              <w:t>剧烈</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BEAD1D">
            <w:pPr>
              <w:pStyle w:val="28"/>
              <w:bidi w:val="0"/>
            </w:pPr>
            <w:r>
              <w:t>小计</w:t>
            </w:r>
          </w:p>
        </w:tc>
        <w:tc>
          <w:tcPr>
            <w:tcW w:w="6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963FA">
            <w:pPr>
              <w:pStyle w:val="28"/>
              <w:bidi w:val="0"/>
            </w:pPr>
            <w:r>
              <w:t>占国土面积比例</w:t>
            </w:r>
          </w:p>
        </w:tc>
        <w:tc>
          <w:tcPr>
            <w:tcW w:w="46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D32F06">
            <w:pPr>
              <w:pStyle w:val="28"/>
              <w:bidi w:val="0"/>
            </w:pPr>
          </w:p>
        </w:tc>
      </w:tr>
      <w:tr w14:paraId="7AC08BA4">
        <w:tblPrEx>
          <w:tblCellMar>
            <w:top w:w="0" w:type="dxa"/>
            <w:left w:w="108" w:type="dxa"/>
            <w:bottom w:w="0" w:type="dxa"/>
            <w:right w:w="108" w:type="dxa"/>
          </w:tblCellMar>
        </w:tblPrEx>
        <w:trPr>
          <w:trHeight w:val="340" w:hRule="atLeast"/>
        </w:trPr>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8324B">
            <w:pPr>
              <w:pStyle w:val="28"/>
              <w:bidi w:val="0"/>
            </w:pPr>
            <w:r>
              <w:t>淮南市</w:t>
            </w:r>
          </w:p>
        </w:tc>
        <w:tc>
          <w:tcPr>
            <w:tcW w:w="5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1F6BFF">
            <w:pPr>
              <w:pStyle w:val="28"/>
              <w:bidi w:val="0"/>
            </w:pPr>
            <w:r>
              <w:rPr>
                <w:rFonts w:hint="eastAsia"/>
              </w:rPr>
              <w:t>谢家集区</w:t>
            </w:r>
          </w:p>
        </w:tc>
        <w:tc>
          <w:tcPr>
            <w:tcW w:w="49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E84B34">
            <w:pPr>
              <w:pStyle w:val="28"/>
              <w:bidi w:val="0"/>
            </w:pPr>
            <w:r>
              <w:rPr>
                <w:rFonts w:hint="eastAsia"/>
              </w:rPr>
              <w:t>0.72</w:t>
            </w:r>
          </w:p>
        </w:tc>
        <w:tc>
          <w:tcPr>
            <w:tcW w:w="4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7F9BBB">
            <w:pPr>
              <w:pStyle w:val="28"/>
              <w:bidi w:val="0"/>
            </w:pPr>
            <w:r>
              <w:rPr>
                <w:rFonts w:hint="eastAsia"/>
              </w:rPr>
              <w:t>0.16</w:t>
            </w:r>
          </w:p>
        </w:tc>
        <w:tc>
          <w:tcPr>
            <w:tcW w:w="43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3CCCBA">
            <w:pPr>
              <w:pStyle w:val="28"/>
              <w:bidi w:val="0"/>
            </w:pPr>
            <w:r>
              <w:rPr>
                <w:rFonts w:hint="eastAsia"/>
              </w:rPr>
              <w:t>0</w:t>
            </w:r>
          </w:p>
        </w:tc>
        <w:tc>
          <w:tcPr>
            <w:tcW w:w="5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64CA2">
            <w:pPr>
              <w:pStyle w:val="28"/>
              <w:bidi w:val="0"/>
            </w:pPr>
            <w:r>
              <w:rPr>
                <w:rFonts w:hint="eastAsia"/>
              </w:rPr>
              <w:t>0</w:t>
            </w:r>
          </w:p>
        </w:tc>
        <w:tc>
          <w:tcPr>
            <w:tcW w:w="3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77491">
            <w:pPr>
              <w:pStyle w:val="28"/>
              <w:bidi w:val="0"/>
            </w:pPr>
            <w:r>
              <w:t>0</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3F4007">
            <w:pPr>
              <w:pStyle w:val="28"/>
              <w:bidi w:val="0"/>
            </w:pPr>
            <w:r>
              <w:rPr>
                <w:rFonts w:hint="eastAsia"/>
              </w:rPr>
              <w:t>0.88</w:t>
            </w:r>
          </w:p>
        </w:tc>
        <w:tc>
          <w:tcPr>
            <w:tcW w:w="6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7134C">
            <w:pPr>
              <w:pStyle w:val="28"/>
              <w:bidi w:val="0"/>
            </w:pPr>
            <w:r>
              <w:t>0.</w:t>
            </w:r>
            <w:r>
              <w:rPr>
                <w:rFonts w:hint="eastAsia"/>
              </w:rPr>
              <w:t>32</w:t>
            </w:r>
          </w:p>
        </w:tc>
        <w:tc>
          <w:tcPr>
            <w:tcW w:w="46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C04B7D">
            <w:pPr>
              <w:pStyle w:val="28"/>
              <w:bidi w:val="0"/>
            </w:pPr>
            <w:r>
              <w:rPr>
                <w:rFonts w:hint="eastAsia"/>
              </w:rPr>
              <w:t>276</w:t>
            </w:r>
          </w:p>
        </w:tc>
      </w:tr>
    </w:tbl>
    <w:p w14:paraId="20A02101">
      <w:pPr>
        <w:rPr>
          <w:color w:val="0000FF"/>
        </w:rPr>
      </w:pPr>
    </w:p>
    <w:p w14:paraId="7474E683">
      <w:pPr>
        <w:pStyle w:val="4"/>
      </w:pPr>
      <w:r>
        <w:t xml:space="preserve">4.1.5 </w:t>
      </w:r>
      <w:r>
        <w:rPr>
          <w:rFonts w:hint="eastAsia"/>
        </w:rPr>
        <w:t>旱涝</w:t>
      </w:r>
    </w:p>
    <w:p w14:paraId="4A46BC7D">
      <w:pPr>
        <w:ind w:firstLine="480" w:firstLineChars="200"/>
        <w:rPr>
          <w:rFonts w:cs="Times New Roman"/>
          <w:bCs/>
          <w:lang w:bidi="zh-CN"/>
        </w:rPr>
      </w:pPr>
      <w:r>
        <w:rPr>
          <w:rFonts w:cs="Times New Roman"/>
          <w:bCs/>
          <w:lang w:bidi="zh-CN"/>
        </w:rPr>
        <w:t>淮南市谢家集区位于安徽省江淮地区中北部，沿淮丘陵地区。由于受过渡性季风环流的影响，冷暖气团交锋频繁，降水时空分布极不均匀，年内、年际变化较大，旱涝十分频繁。</w:t>
      </w:r>
    </w:p>
    <w:p w14:paraId="71E1398B">
      <w:pPr>
        <w:ind w:firstLine="480" w:firstLineChars="200"/>
        <w:rPr>
          <w:rFonts w:cs="Times New Roman"/>
          <w:bCs/>
          <w:lang w:bidi="zh-CN"/>
        </w:rPr>
      </w:pPr>
      <w:r>
        <w:rPr>
          <w:rFonts w:cs="Times New Roman"/>
          <w:bCs/>
          <w:lang w:bidi="zh-CN"/>
        </w:rPr>
        <w:t>据气象资料记载，淮南市谢家集区的旱灾类型有春旱、初夏旱、伏旱、秋旱、冬旱等5种，以伏旱、秋旱危害最大，伏旱连秋旱更甚。旱灾的出现频率频繁，伏旱连秋旱三年一遇。涝灾类型肩春涝、初夏涝、夏涝、秋涝四种，以初夏涝、夏涝最差，约两年一遇，春涝、秋涝次之，为三年一遇。有时一年内既有旱又有涝，旱涝多次出现，旱连涝、涝连旱持续发生。</w:t>
      </w:r>
    </w:p>
    <w:p w14:paraId="7002A32B">
      <w:pPr>
        <w:ind w:firstLine="480" w:firstLineChars="200"/>
        <w:rPr>
          <w:rFonts w:cs="Times New Roman"/>
          <w:bCs/>
          <w:lang w:bidi="zh-CN"/>
        </w:rPr>
      </w:pPr>
      <w:r>
        <w:rPr>
          <w:rFonts w:cs="Times New Roman"/>
          <w:bCs/>
          <w:lang w:bidi="zh-CN"/>
        </w:rPr>
        <w:t>淮南市谢家集区的旱涝成因复杂，有多种原因。一是地形原因，境内中南部以丘陵区和瓦埠湖洼地为主，岗冲交错，湖洼纵横。北部则是采煤塌陷区和沿淮石涧湖洼地。遇到强降雨，地面径流汇集快，最终流入低洼地区，积水成灾；或者客水使河湖水位猛涨，造成下游排水困难，形成涝灾。二是降水偏少和丘陵区储水困难原因，该区降水量比同纬度附近地区少50~120mm，即少降雨10~20%，而蒸发量却相同，是本省严重易旱地区之一。三是降水分布原因，由于该区处于暖温带和亚热带的过渡地带，气候变化大，年季和年内降水分布极其不均，梅雨季节连阴雨、暴雨多，易形成夏涝。入伏后负高压北移稳定，控制江淮地区，降雨稀少，造成伏旱。秋季境内又常受南下的冷高压控制，易形成秋旱。四是境内土壤多属粘盘黄棕壤，质地密实，理性差，只在耕作土形成滞水层。</w:t>
      </w:r>
    </w:p>
    <w:p w14:paraId="7E79D0CD">
      <w:pPr>
        <w:ind w:firstLine="480" w:firstLineChars="200"/>
        <w:rPr>
          <w:rFonts w:cs="Times New Roman"/>
          <w:bCs/>
          <w:lang w:bidi="zh-CN"/>
        </w:rPr>
      </w:pPr>
      <w:r>
        <w:rPr>
          <w:rFonts w:cs="Times New Roman"/>
          <w:bCs/>
          <w:lang w:bidi="zh-CN"/>
        </w:rPr>
        <w:t>据淮南市和长丰县 1984 年土壤普查，全区耕作层土壤平均厚度只有14.6cm左右。土壤的耕作层愈浅，蓄水保水能力愈差，易旱易涝。另外，塘坝蓄水能力不足，几大灌区均为多级提水，瓦埠湖和淮河来水量偏少年份，供水不稳定，渠渗漏等，都是不可忽视的干旱问题。近年来，淮南市谢家集区的水旱灾害主要有：</w:t>
      </w:r>
    </w:p>
    <w:p w14:paraId="780F09F8">
      <w:pPr>
        <w:ind w:firstLine="480" w:firstLineChars="200"/>
        <w:rPr>
          <w:rFonts w:cs="Times New Roman"/>
          <w:bCs/>
          <w:lang w:bidi="zh-CN"/>
        </w:rPr>
      </w:pPr>
      <w:r>
        <w:rPr>
          <w:rFonts w:cs="Times New Roman"/>
          <w:bCs/>
          <w:lang w:bidi="zh-CN"/>
        </w:rPr>
        <w:t>1）洪涝灾害</w:t>
      </w:r>
    </w:p>
    <w:p w14:paraId="19A40D4E">
      <w:pPr>
        <w:ind w:firstLine="480" w:firstLineChars="200"/>
        <w:rPr>
          <w:rFonts w:cs="Times New Roman"/>
          <w:bCs/>
          <w:lang w:bidi="zh-CN"/>
        </w:rPr>
      </w:pPr>
      <w:r>
        <w:rPr>
          <w:rFonts w:cs="Times New Roman"/>
          <w:bCs/>
          <w:lang w:bidi="zh-CN"/>
        </w:rPr>
        <w:t>1991年淮河及瓦埠湖遭到历史上罕见的百年一遇的大洪水，湖区最高水位达到24.46m，全区受灾，交通中断，工矿企业停产。成灾面积约10万亩，绝收面积5.2万亩，倒塌房屋约2000间，水利设施被淹，紧急转移安置人员3.0万人，各项水灾损失极为惨重，造成直接经济损失1.5亿元。2003年6月下旬以来，淮河及瓦埠湖发生流域性大水，瓦埠湖水位达到24.13m，全区6个乡镇全面受灾，8万人受灾，5500人被洪水围困，倒塌房屋2000间，成灾面积6万亩，绝收面积2.5万亩，交通中断，工矿企业停产。冲毁闸坝、桥梁、排涝站和灌溉站等百余处，累计造成直接经济损失1.37亿元。2007年7月上旬，淮南市谢家集区遭遇特大暴雨袭击，集中强降雨造成区城多处被淹，城区主干道被淹受阻，全区6个乡镇不同程度受灾，部分村庄被水围困，全区受灾人口达近3万人，农作物受灾面积3万亩，绝收约1.0万亩；水利工程严重水毁近50处，洪涝灾害造成全区直接经济损失0.5亿元。</w:t>
      </w:r>
    </w:p>
    <w:p w14:paraId="34F4C1D8">
      <w:pPr>
        <w:ind w:firstLine="480" w:firstLineChars="200"/>
        <w:rPr>
          <w:rFonts w:cs="Times New Roman"/>
          <w:bCs/>
          <w:lang w:bidi="zh-CN"/>
        </w:rPr>
      </w:pPr>
      <w:r>
        <w:rPr>
          <w:rFonts w:cs="Times New Roman"/>
          <w:bCs/>
          <w:lang w:bidi="zh-CN"/>
        </w:rPr>
        <w:t>2）旱灾</w:t>
      </w:r>
    </w:p>
    <w:p w14:paraId="3E178F39">
      <w:pPr>
        <w:ind w:firstLine="480" w:firstLineChars="200"/>
        <w:rPr>
          <w:rFonts w:cs="Times New Roman"/>
          <w:bCs/>
          <w:color w:val="0000FF"/>
          <w:lang w:bidi="zh-CN"/>
        </w:rPr>
      </w:pPr>
      <w:r>
        <w:rPr>
          <w:rFonts w:cs="Times New Roman"/>
          <w:bCs/>
          <w:lang w:bidi="zh-CN"/>
        </w:rPr>
        <w:t>淮南市谢家集区境轻重不同的旱灾几乎年年发生，主要有夏旱/伏旱和秋旱，间有春旱，有时一年中既有涝灾，又有旱灾。1994年从4月份出现干旱，到9月初缓解，长达6个月。全区受灾面积2.14khm</w:t>
      </w:r>
      <w:r>
        <w:rPr>
          <w:rFonts w:cs="Times New Roman"/>
          <w:bCs/>
          <w:vertAlign w:val="superscript"/>
          <w:lang w:bidi="zh-CN"/>
        </w:rPr>
        <w:t>2</w:t>
      </w:r>
      <w:r>
        <w:rPr>
          <w:rFonts w:cs="Times New Roman"/>
          <w:bCs/>
          <w:lang w:bidi="zh-CN"/>
        </w:rPr>
        <w:t>，受灾1.74khm</w:t>
      </w:r>
      <w:r>
        <w:rPr>
          <w:rFonts w:cs="Times New Roman"/>
          <w:bCs/>
          <w:vertAlign w:val="superscript"/>
          <w:lang w:bidi="zh-CN"/>
        </w:rPr>
        <w:t>2</w:t>
      </w:r>
      <w:r>
        <w:rPr>
          <w:rFonts w:cs="Times New Roman"/>
          <w:bCs/>
          <w:lang w:bidi="zh-CN"/>
        </w:rPr>
        <w:t>，成灾1.45khm</w:t>
      </w:r>
      <w:r>
        <w:rPr>
          <w:rFonts w:cs="Times New Roman"/>
          <w:bCs/>
          <w:vertAlign w:val="superscript"/>
          <w:lang w:bidi="zh-CN"/>
        </w:rPr>
        <w:t>2</w:t>
      </w:r>
      <w:r>
        <w:rPr>
          <w:rFonts w:cs="Times New Roman"/>
          <w:bCs/>
          <w:lang w:bidi="zh-CN"/>
        </w:rPr>
        <w:t>，绝收0.28khm</w:t>
      </w:r>
      <w:r>
        <w:rPr>
          <w:rFonts w:cs="Times New Roman"/>
          <w:bCs/>
          <w:vertAlign w:val="superscript"/>
          <w:lang w:bidi="zh-CN"/>
        </w:rPr>
        <w:t>2</w:t>
      </w:r>
      <w:r>
        <w:rPr>
          <w:rFonts w:cs="Times New Roman"/>
          <w:bCs/>
          <w:lang w:bidi="zh-CN"/>
        </w:rPr>
        <w:t>。粮食损失474万公斤。农业直接损失615万元，因旱减少供水量483万m³。1997年7~8月，全区受旱面积2.5khm</w:t>
      </w:r>
      <w:r>
        <w:rPr>
          <w:rFonts w:cs="Times New Roman"/>
          <w:bCs/>
          <w:vertAlign w:val="superscript"/>
          <w:lang w:bidi="zh-CN"/>
        </w:rPr>
        <w:t>2</w:t>
      </w:r>
      <w:r>
        <w:rPr>
          <w:rFonts w:cs="Times New Roman"/>
          <w:bCs/>
          <w:lang w:bidi="zh-CN"/>
        </w:rPr>
        <w:t>，受灾1.85khm</w:t>
      </w:r>
      <w:r>
        <w:rPr>
          <w:rFonts w:cs="Times New Roman"/>
          <w:bCs/>
          <w:vertAlign w:val="superscript"/>
          <w:lang w:bidi="zh-CN"/>
        </w:rPr>
        <w:t>2</w:t>
      </w:r>
      <w:r>
        <w:rPr>
          <w:rFonts w:cs="Times New Roman"/>
          <w:bCs/>
          <w:lang w:bidi="zh-CN"/>
        </w:rPr>
        <w:t>，成灾1.63khm</w:t>
      </w:r>
      <w:r>
        <w:rPr>
          <w:rFonts w:cs="Times New Roman"/>
          <w:bCs/>
          <w:vertAlign w:val="superscript"/>
          <w:lang w:bidi="zh-CN"/>
        </w:rPr>
        <w:t>2</w:t>
      </w:r>
      <w:r>
        <w:rPr>
          <w:rFonts w:cs="Times New Roman"/>
          <w:bCs/>
          <w:lang w:bidi="zh-CN"/>
        </w:rPr>
        <w:t>，绝收0.312khm</w:t>
      </w:r>
      <w:r>
        <w:rPr>
          <w:rFonts w:cs="Times New Roman"/>
          <w:bCs/>
          <w:vertAlign w:val="superscript"/>
          <w:lang w:bidi="zh-CN"/>
        </w:rPr>
        <w:t>2</w:t>
      </w:r>
      <w:r>
        <w:rPr>
          <w:rFonts w:cs="Times New Roman"/>
          <w:bCs/>
          <w:lang w:bidi="zh-CN"/>
        </w:rPr>
        <w:t>。农业直接损失752万元，因旱减少供水量1100万m³。2001年3月初~8月，全区平均降雨不足200mm，是建国以来同期降雨量最少的年份，造成河道断流、小型水库、塘坝、浅井干涸，存水基本耗尽。全区受旱面积2.805khm</w:t>
      </w:r>
      <w:r>
        <w:rPr>
          <w:rFonts w:cs="Times New Roman"/>
          <w:bCs/>
          <w:vertAlign w:val="superscript"/>
          <w:lang w:bidi="zh-CN"/>
        </w:rPr>
        <w:t>2</w:t>
      </w:r>
      <w:r>
        <w:rPr>
          <w:rFonts w:cs="Times New Roman"/>
          <w:bCs/>
          <w:lang w:bidi="zh-CN"/>
        </w:rPr>
        <w:t>，受灾1.985khm</w:t>
      </w:r>
      <w:r>
        <w:rPr>
          <w:rFonts w:cs="Times New Roman"/>
          <w:bCs/>
          <w:vertAlign w:val="superscript"/>
          <w:lang w:bidi="zh-CN"/>
        </w:rPr>
        <w:t>2</w:t>
      </w:r>
      <w:r>
        <w:rPr>
          <w:rFonts w:cs="Times New Roman"/>
          <w:bCs/>
          <w:lang w:bidi="zh-CN"/>
        </w:rPr>
        <w:t>，成灾1.72khm</w:t>
      </w:r>
      <w:r>
        <w:rPr>
          <w:rFonts w:cs="Times New Roman"/>
          <w:bCs/>
          <w:vertAlign w:val="superscript"/>
          <w:lang w:bidi="zh-CN"/>
        </w:rPr>
        <w:t>2</w:t>
      </w:r>
      <w:r>
        <w:rPr>
          <w:rFonts w:cs="Times New Roman"/>
          <w:bCs/>
          <w:lang w:bidi="zh-CN"/>
        </w:rPr>
        <w:t>，绝收0.426khm</w:t>
      </w:r>
      <w:r>
        <w:rPr>
          <w:rFonts w:cs="Times New Roman"/>
          <w:bCs/>
          <w:vertAlign w:val="superscript"/>
          <w:lang w:bidi="zh-CN"/>
        </w:rPr>
        <w:t>2</w:t>
      </w:r>
      <w:r>
        <w:rPr>
          <w:rFonts w:cs="Times New Roman"/>
          <w:bCs/>
          <w:lang w:bidi="zh-CN"/>
        </w:rPr>
        <w:t>。粮食损失617万公斤。农业直接损失1230万元，因旱减少供水量764万m³。</w:t>
      </w:r>
    </w:p>
    <w:p w14:paraId="3BD5CBB7">
      <w:pPr>
        <w:pStyle w:val="4"/>
        <w:bidi w:val="0"/>
      </w:pPr>
      <w:r>
        <w:t>4.1.</w:t>
      </w:r>
      <w:r>
        <w:rPr>
          <w:rFonts w:hint="eastAsia"/>
        </w:rPr>
        <w:t>6</w:t>
      </w:r>
      <w:r>
        <w:t xml:space="preserve"> 渠道设计流量</w:t>
      </w:r>
    </w:p>
    <w:p w14:paraId="23786416">
      <w:pPr>
        <w:bidi w:val="0"/>
      </w:pPr>
      <w:r>
        <w:t>考虑到项目区气候变化等因素，加大流量依据《灌溉与排水工程设计标准》（GB50288-2018），渠道流量小于1m</w:t>
      </w:r>
      <w:r>
        <w:rPr>
          <w:vertAlign w:val="superscript"/>
        </w:rPr>
        <w:t>3</w:t>
      </w:r>
      <w:r>
        <w:t>/s时，加大35％～30％；流量在1～5m</w:t>
      </w:r>
      <w:r>
        <w:rPr>
          <w:vertAlign w:val="superscript"/>
        </w:rPr>
        <w:t>3</w:t>
      </w:r>
      <w:r>
        <w:t>/s时，加大30％～25％；流量5～20m</w:t>
      </w:r>
      <w:r>
        <w:rPr>
          <w:vertAlign w:val="superscript"/>
        </w:rPr>
        <w:t>3</w:t>
      </w:r>
      <w:r>
        <w:t>/s时，加大25％～20％。本次设计1m3/s以下渠道加大系数取1.3；1～5m</w:t>
      </w:r>
      <w:r>
        <w:rPr>
          <w:vertAlign w:val="superscript"/>
        </w:rPr>
        <w:t>3</w:t>
      </w:r>
      <w:r>
        <w:t>/s渠道加大系数取1.25，5m</w:t>
      </w:r>
      <w:r>
        <w:rPr>
          <w:vertAlign w:val="superscript"/>
        </w:rPr>
        <w:t>3</w:t>
      </w:r>
      <w:r>
        <w:t>/s以上渠道加大系数取1.2。续灌渠道的最小流量不宜小于设计流量的40%，相应的最小水深不宜小于设计水深的60%。</w:t>
      </w:r>
    </w:p>
    <w:p w14:paraId="26E16DF9">
      <w:pPr>
        <w:pStyle w:val="29"/>
        <w:bidi w:val="0"/>
      </w:pPr>
      <w:r>
        <w:rPr>
          <w:rFonts w:hint="eastAsia"/>
        </w:rPr>
        <w:t>表4</w:t>
      </w:r>
      <w:r>
        <w:rPr>
          <w:rFonts w:hint="eastAsia"/>
          <w:lang w:val="en-US" w:eastAsia="zh-CN"/>
        </w:rPr>
        <w:t>.</w:t>
      </w:r>
      <w:r>
        <w:rPr>
          <w:rFonts w:hint="eastAsia"/>
        </w:rPr>
        <w:t xml:space="preserve">1-3 </w:t>
      </w:r>
      <w:r>
        <w:rPr>
          <w:rFonts w:hint="eastAsia"/>
          <w:lang w:val="en-US" w:eastAsia="zh-CN"/>
        </w:rPr>
        <w:t xml:space="preserve"> </w:t>
      </w:r>
      <w:r>
        <w:rPr>
          <w:rFonts w:hint="eastAsia"/>
        </w:rPr>
        <w:t>灌区渠道设计流量表</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0"/>
        <w:gridCol w:w="1310"/>
        <w:gridCol w:w="1310"/>
        <w:gridCol w:w="1362"/>
        <w:gridCol w:w="1323"/>
        <w:gridCol w:w="1362"/>
        <w:gridCol w:w="1310"/>
      </w:tblGrid>
      <w:tr w14:paraId="58B20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2" w:type="dxa"/>
            <w:vAlign w:val="center"/>
          </w:tcPr>
          <w:p w14:paraId="293B4111">
            <w:pPr>
              <w:pStyle w:val="28"/>
              <w:bidi w:val="0"/>
            </w:pPr>
            <w:r>
              <w:rPr>
                <w:rFonts w:hint="eastAsia"/>
              </w:rPr>
              <w:t>序号</w:t>
            </w:r>
          </w:p>
        </w:tc>
        <w:tc>
          <w:tcPr>
            <w:tcW w:w="1392" w:type="dxa"/>
            <w:vAlign w:val="center"/>
          </w:tcPr>
          <w:p w14:paraId="7EEEBDBB">
            <w:pPr>
              <w:pStyle w:val="28"/>
              <w:bidi w:val="0"/>
            </w:pPr>
            <w:r>
              <w:rPr>
                <w:rFonts w:hint="eastAsia"/>
              </w:rPr>
              <w:t>渠道名称</w:t>
            </w:r>
          </w:p>
        </w:tc>
        <w:tc>
          <w:tcPr>
            <w:tcW w:w="1392" w:type="dxa"/>
            <w:vAlign w:val="center"/>
          </w:tcPr>
          <w:p w14:paraId="25CFD041">
            <w:pPr>
              <w:pStyle w:val="28"/>
              <w:bidi w:val="0"/>
            </w:pPr>
            <w:r>
              <w:rPr>
                <w:rFonts w:hint="eastAsia"/>
              </w:rPr>
              <w:t>渠道级别</w:t>
            </w:r>
          </w:p>
        </w:tc>
        <w:tc>
          <w:tcPr>
            <w:tcW w:w="1392" w:type="dxa"/>
            <w:shd w:val="clear" w:color="auto" w:fill="auto"/>
            <w:vAlign w:val="center"/>
          </w:tcPr>
          <w:p w14:paraId="6055E21F">
            <w:pPr>
              <w:pStyle w:val="28"/>
              <w:bidi w:val="0"/>
            </w:pPr>
            <w:r>
              <w:rPr>
                <w:rFonts w:hint="eastAsia"/>
              </w:rPr>
              <w:t>设计流量（m3/s）</w:t>
            </w:r>
          </w:p>
        </w:tc>
        <w:tc>
          <w:tcPr>
            <w:tcW w:w="1392" w:type="dxa"/>
            <w:shd w:val="clear" w:color="auto" w:fill="auto"/>
            <w:vAlign w:val="center"/>
          </w:tcPr>
          <w:p w14:paraId="3BE65786">
            <w:pPr>
              <w:pStyle w:val="28"/>
              <w:bidi w:val="0"/>
            </w:pPr>
            <w:r>
              <w:rPr>
                <w:rFonts w:hint="eastAsia"/>
              </w:rPr>
              <w:t>加大系数</w:t>
            </w:r>
          </w:p>
        </w:tc>
        <w:tc>
          <w:tcPr>
            <w:tcW w:w="1392" w:type="dxa"/>
            <w:shd w:val="clear" w:color="auto" w:fill="auto"/>
            <w:vAlign w:val="center"/>
          </w:tcPr>
          <w:p w14:paraId="318E2DA7">
            <w:pPr>
              <w:pStyle w:val="28"/>
              <w:bidi w:val="0"/>
            </w:pPr>
            <w:r>
              <w:rPr>
                <w:rFonts w:hint="eastAsia"/>
              </w:rPr>
              <w:t>加大流量（m3/s）</w:t>
            </w:r>
          </w:p>
        </w:tc>
        <w:tc>
          <w:tcPr>
            <w:tcW w:w="1393" w:type="dxa"/>
            <w:vAlign w:val="center"/>
          </w:tcPr>
          <w:p w14:paraId="312AA3A4">
            <w:pPr>
              <w:pStyle w:val="28"/>
              <w:bidi w:val="0"/>
            </w:pPr>
            <w:r>
              <w:rPr>
                <w:rFonts w:hint="eastAsia"/>
              </w:rPr>
              <w:t>备注</w:t>
            </w:r>
          </w:p>
        </w:tc>
      </w:tr>
      <w:tr w14:paraId="7B3BA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2" w:type="dxa"/>
            <w:vAlign w:val="center"/>
          </w:tcPr>
          <w:p w14:paraId="0B3F1E8B">
            <w:pPr>
              <w:pStyle w:val="28"/>
              <w:bidi w:val="0"/>
            </w:pPr>
            <w:r>
              <w:rPr>
                <w:rFonts w:hint="eastAsia"/>
              </w:rPr>
              <w:t>1</w:t>
            </w:r>
          </w:p>
        </w:tc>
        <w:tc>
          <w:tcPr>
            <w:tcW w:w="1392" w:type="dxa"/>
            <w:vAlign w:val="center"/>
          </w:tcPr>
          <w:p w14:paraId="22571BB7">
            <w:pPr>
              <w:pStyle w:val="28"/>
              <w:bidi w:val="0"/>
            </w:pPr>
            <w:r>
              <w:rPr>
                <w:rFonts w:hint="eastAsia"/>
              </w:rPr>
              <w:t>二引干渠</w:t>
            </w:r>
          </w:p>
        </w:tc>
        <w:tc>
          <w:tcPr>
            <w:tcW w:w="1392" w:type="dxa"/>
            <w:vAlign w:val="center"/>
          </w:tcPr>
          <w:p w14:paraId="53E4CD99">
            <w:pPr>
              <w:pStyle w:val="28"/>
              <w:bidi w:val="0"/>
            </w:pPr>
            <w:r>
              <w:rPr>
                <w:rFonts w:hint="eastAsia"/>
              </w:rPr>
              <w:t>干渠</w:t>
            </w:r>
          </w:p>
        </w:tc>
        <w:tc>
          <w:tcPr>
            <w:tcW w:w="1392" w:type="dxa"/>
            <w:vAlign w:val="center"/>
          </w:tcPr>
          <w:p w14:paraId="17F428BD">
            <w:pPr>
              <w:pStyle w:val="28"/>
              <w:bidi w:val="0"/>
            </w:pPr>
            <w:r>
              <w:rPr>
                <w:rFonts w:hint="eastAsia"/>
              </w:rPr>
              <w:t>10.7</w:t>
            </w:r>
          </w:p>
        </w:tc>
        <w:tc>
          <w:tcPr>
            <w:tcW w:w="1392" w:type="dxa"/>
            <w:vAlign w:val="center"/>
          </w:tcPr>
          <w:p w14:paraId="68616374">
            <w:pPr>
              <w:pStyle w:val="28"/>
              <w:bidi w:val="0"/>
            </w:pPr>
            <w:r>
              <w:rPr>
                <w:rFonts w:hint="eastAsia"/>
              </w:rPr>
              <w:t>1.2</w:t>
            </w:r>
          </w:p>
        </w:tc>
        <w:tc>
          <w:tcPr>
            <w:tcW w:w="1392" w:type="dxa"/>
            <w:vAlign w:val="center"/>
          </w:tcPr>
          <w:p w14:paraId="77FB86B5">
            <w:pPr>
              <w:pStyle w:val="28"/>
              <w:bidi w:val="0"/>
            </w:pPr>
            <w:r>
              <w:rPr>
                <w:rFonts w:hint="eastAsia"/>
              </w:rPr>
              <w:t>12.84</w:t>
            </w:r>
          </w:p>
        </w:tc>
        <w:tc>
          <w:tcPr>
            <w:tcW w:w="1393" w:type="dxa"/>
            <w:vAlign w:val="center"/>
          </w:tcPr>
          <w:p w14:paraId="321A93D7">
            <w:pPr>
              <w:pStyle w:val="28"/>
              <w:bidi w:val="0"/>
            </w:pPr>
            <w:r>
              <w:rPr>
                <w:rFonts w:hint="eastAsia"/>
              </w:rPr>
              <w:t>衬砌渠道</w:t>
            </w:r>
          </w:p>
        </w:tc>
      </w:tr>
      <w:tr w14:paraId="267B9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2" w:type="dxa"/>
            <w:vAlign w:val="center"/>
          </w:tcPr>
          <w:p w14:paraId="0AEBC8CF">
            <w:pPr>
              <w:pStyle w:val="28"/>
              <w:bidi w:val="0"/>
            </w:pPr>
            <w:r>
              <w:rPr>
                <w:rFonts w:hint="eastAsia"/>
              </w:rPr>
              <w:t>2</w:t>
            </w:r>
          </w:p>
        </w:tc>
        <w:tc>
          <w:tcPr>
            <w:tcW w:w="1392" w:type="dxa"/>
            <w:vAlign w:val="center"/>
          </w:tcPr>
          <w:p w14:paraId="0ED1B4F6">
            <w:pPr>
              <w:pStyle w:val="28"/>
              <w:bidi w:val="0"/>
            </w:pPr>
            <w:r>
              <w:rPr>
                <w:rFonts w:hint="eastAsia"/>
              </w:rPr>
              <w:t>一东干渠</w:t>
            </w:r>
          </w:p>
        </w:tc>
        <w:tc>
          <w:tcPr>
            <w:tcW w:w="1392" w:type="dxa"/>
            <w:vAlign w:val="center"/>
          </w:tcPr>
          <w:p w14:paraId="6E0A76E0">
            <w:pPr>
              <w:pStyle w:val="28"/>
              <w:bidi w:val="0"/>
            </w:pPr>
            <w:r>
              <w:rPr>
                <w:rFonts w:hint="eastAsia"/>
              </w:rPr>
              <w:t>干渠</w:t>
            </w:r>
          </w:p>
        </w:tc>
        <w:tc>
          <w:tcPr>
            <w:tcW w:w="1392" w:type="dxa"/>
            <w:vAlign w:val="center"/>
          </w:tcPr>
          <w:p w14:paraId="2FE8E631">
            <w:pPr>
              <w:pStyle w:val="28"/>
              <w:bidi w:val="0"/>
            </w:pPr>
            <w:r>
              <w:rPr>
                <w:rFonts w:hint="eastAsia"/>
              </w:rPr>
              <w:t>5.79</w:t>
            </w:r>
          </w:p>
        </w:tc>
        <w:tc>
          <w:tcPr>
            <w:tcW w:w="1392" w:type="dxa"/>
            <w:vAlign w:val="center"/>
          </w:tcPr>
          <w:p w14:paraId="107BD597">
            <w:pPr>
              <w:pStyle w:val="28"/>
              <w:bidi w:val="0"/>
            </w:pPr>
            <w:r>
              <w:rPr>
                <w:rFonts w:hint="eastAsia"/>
              </w:rPr>
              <w:t>1.2</w:t>
            </w:r>
          </w:p>
        </w:tc>
        <w:tc>
          <w:tcPr>
            <w:tcW w:w="1392" w:type="dxa"/>
            <w:vAlign w:val="center"/>
          </w:tcPr>
          <w:p w14:paraId="09F6AD4E">
            <w:pPr>
              <w:pStyle w:val="28"/>
              <w:bidi w:val="0"/>
            </w:pPr>
            <w:r>
              <w:rPr>
                <w:rFonts w:hint="eastAsia"/>
              </w:rPr>
              <w:t>6.95</w:t>
            </w:r>
          </w:p>
        </w:tc>
        <w:tc>
          <w:tcPr>
            <w:tcW w:w="1393" w:type="dxa"/>
            <w:vAlign w:val="center"/>
          </w:tcPr>
          <w:p w14:paraId="5F9F94E3">
            <w:pPr>
              <w:pStyle w:val="28"/>
              <w:bidi w:val="0"/>
            </w:pPr>
            <w:r>
              <w:rPr>
                <w:rFonts w:hint="eastAsia"/>
              </w:rPr>
              <w:t>衬砌渠道</w:t>
            </w:r>
          </w:p>
        </w:tc>
      </w:tr>
      <w:tr w14:paraId="1572E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2" w:type="dxa"/>
            <w:vAlign w:val="center"/>
          </w:tcPr>
          <w:p w14:paraId="275DDB13">
            <w:pPr>
              <w:pStyle w:val="28"/>
              <w:bidi w:val="0"/>
            </w:pPr>
            <w:r>
              <w:rPr>
                <w:rFonts w:hint="eastAsia"/>
              </w:rPr>
              <w:t>3</w:t>
            </w:r>
          </w:p>
        </w:tc>
        <w:tc>
          <w:tcPr>
            <w:tcW w:w="1392" w:type="dxa"/>
            <w:vAlign w:val="center"/>
          </w:tcPr>
          <w:p w14:paraId="56B29F43">
            <w:pPr>
              <w:pStyle w:val="28"/>
              <w:bidi w:val="0"/>
            </w:pPr>
            <w:r>
              <w:rPr>
                <w:rFonts w:hint="eastAsia"/>
              </w:rPr>
              <w:t>二东干渠</w:t>
            </w:r>
          </w:p>
        </w:tc>
        <w:tc>
          <w:tcPr>
            <w:tcW w:w="1392" w:type="dxa"/>
            <w:vAlign w:val="center"/>
          </w:tcPr>
          <w:p w14:paraId="47849AD5">
            <w:pPr>
              <w:pStyle w:val="28"/>
              <w:bidi w:val="0"/>
            </w:pPr>
            <w:r>
              <w:rPr>
                <w:rFonts w:hint="eastAsia"/>
              </w:rPr>
              <w:t>干渠</w:t>
            </w:r>
          </w:p>
        </w:tc>
        <w:tc>
          <w:tcPr>
            <w:tcW w:w="1392" w:type="dxa"/>
            <w:vAlign w:val="center"/>
          </w:tcPr>
          <w:p w14:paraId="7258DF9C">
            <w:pPr>
              <w:pStyle w:val="28"/>
              <w:bidi w:val="0"/>
            </w:pPr>
            <w:r>
              <w:rPr>
                <w:rFonts w:hint="eastAsia"/>
              </w:rPr>
              <w:t>1.63</w:t>
            </w:r>
          </w:p>
        </w:tc>
        <w:tc>
          <w:tcPr>
            <w:tcW w:w="1392" w:type="dxa"/>
            <w:vAlign w:val="center"/>
          </w:tcPr>
          <w:p w14:paraId="1B1B8DAB">
            <w:pPr>
              <w:pStyle w:val="28"/>
              <w:bidi w:val="0"/>
            </w:pPr>
            <w:r>
              <w:rPr>
                <w:rFonts w:hint="eastAsia"/>
              </w:rPr>
              <w:t>1.25</w:t>
            </w:r>
          </w:p>
        </w:tc>
        <w:tc>
          <w:tcPr>
            <w:tcW w:w="1392" w:type="dxa"/>
            <w:vAlign w:val="center"/>
          </w:tcPr>
          <w:p w14:paraId="50299092">
            <w:pPr>
              <w:pStyle w:val="28"/>
              <w:bidi w:val="0"/>
            </w:pPr>
            <w:r>
              <w:rPr>
                <w:rFonts w:hint="eastAsia"/>
              </w:rPr>
              <w:t>2.03</w:t>
            </w:r>
          </w:p>
        </w:tc>
        <w:tc>
          <w:tcPr>
            <w:tcW w:w="1393" w:type="dxa"/>
            <w:vAlign w:val="center"/>
          </w:tcPr>
          <w:p w14:paraId="7D92913C">
            <w:pPr>
              <w:pStyle w:val="28"/>
              <w:bidi w:val="0"/>
            </w:pPr>
            <w:r>
              <w:rPr>
                <w:rFonts w:hint="eastAsia"/>
              </w:rPr>
              <w:t>衬砌渠道</w:t>
            </w:r>
          </w:p>
        </w:tc>
      </w:tr>
      <w:tr w14:paraId="66DBC7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2" w:type="dxa"/>
            <w:vAlign w:val="center"/>
          </w:tcPr>
          <w:p w14:paraId="5EF33C0A">
            <w:pPr>
              <w:pStyle w:val="28"/>
              <w:bidi w:val="0"/>
            </w:pPr>
            <w:r>
              <w:rPr>
                <w:rFonts w:hint="eastAsia"/>
              </w:rPr>
              <w:t>4</w:t>
            </w:r>
          </w:p>
        </w:tc>
        <w:tc>
          <w:tcPr>
            <w:tcW w:w="1392" w:type="dxa"/>
            <w:vAlign w:val="center"/>
          </w:tcPr>
          <w:p w14:paraId="3DBECF0D">
            <w:pPr>
              <w:pStyle w:val="28"/>
              <w:bidi w:val="0"/>
            </w:pPr>
            <w:r>
              <w:rPr>
                <w:rFonts w:hint="eastAsia"/>
              </w:rPr>
              <w:t>二北干渠</w:t>
            </w:r>
          </w:p>
        </w:tc>
        <w:tc>
          <w:tcPr>
            <w:tcW w:w="1392" w:type="dxa"/>
            <w:vAlign w:val="center"/>
          </w:tcPr>
          <w:p w14:paraId="6EB4D4B7">
            <w:pPr>
              <w:pStyle w:val="28"/>
              <w:bidi w:val="0"/>
            </w:pPr>
            <w:r>
              <w:rPr>
                <w:rFonts w:hint="eastAsia"/>
              </w:rPr>
              <w:t>干渠</w:t>
            </w:r>
          </w:p>
        </w:tc>
        <w:tc>
          <w:tcPr>
            <w:tcW w:w="1392" w:type="dxa"/>
            <w:vAlign w:val="center"/>
          </w:tcPr>
          <w:p w14:paraId="62357E8A">
            <w:pPr>
              <w:pStyle w:val="28"/>
              <w:bidi w:val="0"/>
            </w:pPr>
            <w:r>
              <w:rPr>
                <w:rFonts w:hint="eastAsia"/>
              </w:rPr>
              <w:t>2.55</w:t>
            </w:r>
          </w:p>
        </w:tc>
        <w:tc>
          <w:tcPr>
            <w:tcW w:w="1392" w:type="dxa"/>
            <w:vAlign w:val="center"/>
          </w:tcPr>
          <w:p w14:paraId="34B47931">
            <w:pPr>
              <w:pStyle w:val="28"/>
              <w:bidi w:val="0"/>
            </w:pPr>
            <w:r>
              <w:rPr>
                <w:rFonts w:hint="eastAsia"/>
              </w:rPr>
              <w:t>1.25</w:t>
            </w:r>
          </w:p>
        </w:tc>
        <w:tc>
          <w:tcPr>
            <w:tcW w:w="1392" w:type="dxa"/>
            <w:vAlign w:val="center"/>
          </w:tcPr>
          <w:p w14:paraId="27EDF976">
            <w:pPr>
              <w:pStyle w:val="28"/>
              <w:bidi w:val="0"/>
            </w:pPr>
            <w:r>
              <w:rPr>
                <w:rFonts w:hint="eastAsia"/>
              </w:rPr>
              <w:t>3.19</w:t>
            </w:r>
          </w:p>
        </w:tc>
        <w:tc>
          <w:tcPr>
            <w:tcW w:w="1393" w:type="dxa"/>
            <w:vAlign w:val="center"/>
          </w:tcPr>
          <w:p w14:paraId="1FE69336">
            <w:pPr>
              <w:pStyle w:val="28"/>
              <w:bidi w:val="0"/>
            </w:pPr>
            <w:r>
              <w:rPr>
                <w:rFonts w:hint="eastAsia"/>
              </w:rPr>
              <w:t>衬砌渠道</w:t>
            </w:r>
          </w:p>
        </w:tc>
      </w:tr>
      <w:tr w14:paraId="72605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2" w:type="dxa"/>
            <w:vAlign w:val="center"/>
          </w:tcPr>
          <w:p w14:paraId="56057DD1">
            <w:pPr>
              <w:pStyle w:val="28"/>
              <w:bidi w:val="0"/>
            </w:pPr>
            <w:r>
              <w:rPr>
                <w:rFonts w:hint="eastAsia"/>
              </w:rPr>
              <w:t>5</w:t>
            </w:r>
          </w:p>
        </w:tc>
        <w:tc>
          <w:tcPr>
            <w:tcW w:w="1392" w:type="dxa"/>
            <w:vAlign w:val="center"/>
          </w:tcPr>
          <w:p w14:paraId="2ADD770A">
            <w:pPr>
              <w:pStyle w:val="28"/>
              <w:bidi w:val="0"/>
            </w:pPr>
            <w:r>
              <w:rPr>
                <w:rFonts w:hint="eastAsia"/>
              </w:rPr>
              <w:t>三北干渠</w:t>
            </w:r>
          </w:p>
        </w:tc>
        <w:tc>
          <w:tcPr>
            <w:tcW w:w="1392" w:type="dxa"/>
            <w:vAlign w:val="center"/>
          </w:tcPr>
          <w:p w14:paraId="29A4976F">
            <w:pPr>
              <w:pStyle w:val="28"/>
              <w:bidi w:val="0"/>
            </w:pPr>
            <w:r>
              <w:rPr>
                <w:rFonts w:hint="eastAsia"/>
              </w:rPr>
              <w:t>干渠</w:t>
            </w:r>
          </w:p>
        </w:tc>
        <w:tc>
          <w:tcPr>
            <w:tcW w:w="1392" w:type="dxa"/>
            <w:vAlign w:val="center"/>
          </w:tcPr>
          <w:p w14:paraId="1A401279">
            <w:pPr>
              <w:pStyle w:val="28"/>
              <w:bidi w:val="0"/>
            </w:pPr>
            <w:r>
              <w:rPr>
                <w:rFonts w:hint="eastAsia"/>
              </w:rPr>
              <w:t>1.00</w:t>
            </w:r>
          </w:p>
        </w:tc>
        <w:tc>
          <w:tcPr>
            <w:tcW w:w="1392" w:type="dxa"/>
            <w:vAlign w:val="center"/>
          </w:tcPr>
          <w:p w14:paraId="4F0190DC">
            <w:pPr>
              <w:pStyle w:val="28"/>
              <w:bidi w:val="0"/>
            </w:pPr>
            <w:r>
              <w:rPr>
                <w:rFonts w:hint="eastAsia"/>
              </w:rPr>
              <w:t>1.25</w:t>
            </w:r>
          </w:p>
        </w:tc>
        <w:tc>
          <w:tcPr>
            <w:tcW w:w="1392" w:type="dxa"/>
            <w:vAlign w:val="center"/>
          </w:tcPr>
          <w:p w14:paraId="6F90FDE1">
            <w:pPr>
              <w:pStyle w:val="28"/>
              <w:bidi w:val="0"/>
            </w:pPr>
            <w:r>
              <w:rPr>
                <w:rFonts w:hint="eastAsia"/>
              </w:rPr>
              <w:t>1.25</w:t>
            </w:r>
          </w:p>
        </w:tc>
        <w:tc>
          <w:tcPr>
            <w:tcW w:w="1393" w:type="dxa"/>
            <w:vAlign w:val="center"/>
          </w:tcPr>
          <w:p w14:paraId="64DAC9BE">
            <w:pPr>
              <w:pStyle w:val="28"/>
              <w:bidi w:val="0"/>
            </w:pPr>
            <w:r>
              <w:rPr>
                <w:rFonts w:hint="eastAsia"/>
              </w:rPr>
              <w:t>衬砌渠道</w:t>
            </w:r>
          </w:p>
        </w:tc>
      </w:tr>
      <w:tr w14:paraId="58EDF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392" w:type="dxa"/>
            <w:vAlign w:val="center"/>
          </w:tcPr>
          <w:p w14:paraId="3DF6C323">
            <w:pPr>
              <w:pStyle w:val="28"/>
              <w:bidi w:val="0"/>
            </w:pPr>
            <w:r>
              <w:rPr>
                <w:rFonts w:hint="eastAsia"/>
              </w:rPr>
              <w:t>6</w:t>
            </w:r>
          </w:p>
        </w:tc>
        <w:tc>
          <w:tcPr>
            <w:tcW w:w="1392" w:type="dxa"/>
            <w:vAlign w:val="center"/>
          </w:tcPr>
          <w:p w14:paraId="03D76228">
            <w:pPr>
              <w:pStyle w:val="28"/>
              <w:bidi w:val="0"/>
            </w:pPr>
            <w:r>
              <w:rPr>
                <w:rFonts w:hint="eastAsia"/>
              </w:rPr>
              <w:t>桂岗支渠</w:t>
            </w:r>
          </w:p>
        </w:tc>
        <w:tc>
          <w:tcPr>
            <w:tcW w:w="1392" w:type="dxa"/>
            <w:vAlign w:val="center"/>
          </w:tcPr>
          <w:p w14:paraId="4701CB53">
            <w:pPr>
              <w:pStyle w:val="28"/>
              <w:bidi w:val="0"/>
            </w:pPr>
            <w:r>
              <w:rPr>
                <w:rFonts w:hint="eastAsia"/>
              </w:rPr>
              <w:t>支渠</w:t>
            </w:r>
          </w:p>
        </w:tc>
        <w:tc>
          <w:tcPr>
            <w:tcW w:w="1392" w:type="dxa"/>
            <w:vAlign w:val="center"/>
          </w:tcPr>
          <w:p w14:paraId="1EB0215C">
            <w:pPr>
              <w:pStyle w:val="28"/>
              <w:bidi w:val="0"/>
            </w:pPr>
            <w:r>
              <w:rPr>
                <w:rFonts w:hint="eastAsia"/>
              </w:rPr>
              <w:t>1.53</w:t>
            </w:r>
          </w:p>
        </w:tc>
        <w:tc>
          <w:tcPr>
            <w:tcW w:w="1392" w:type="dxa"/>
            <w:vAlign w:val="center"/>
          </w:tcPr>
          <w:p w14:paraId="1D4A5B9A">
            <w:pPr>
              <w:pStyle w:val="28"/>
              <w:bidi w:val="0"/>
            </w:pPr>
            <w:r>
              <w:rPr>
                <w:rFonts w:hint="eastAsia"/>
              </w:rPr>
              <w:t>1.25</w:t>
            </w:r>
          </w:p>
        </w:tc>
        <w:tc>
          <w:tcPr>
            <w:tcW w:w="1392" w:type="dxa"/>
            <w:vAlign w:val="center"/>
          </w:tcPr>
          <w:p w14:paraId="78534E21">
            <w:pPr>
              <w:pStyle w:val="28"/>
              <w:bidi w:val="0"/>
            </w:pPr>
            <w:r>
              <w:rPr>
                <w:rFonts w:hint="eastAsia"/>
              </w:rPr>
              <w:t>1.92</w:t>
            </w:r>
          </w:p>
        </w:tc>
        <w:tc>
          <w:tcPr>
            <w:tcW w:w="1393" w:type="dxa"/>
            <w:vAlign w:val="center"/>
          </w:tcPr>
          <w:p w14:paraId="7340CBC9">
            <w:pPr>
              <w:pStyle w:val="28"/>
              <w:bidi w:val="0"/>
            </w:pPr>
            <w:r>
              <w:rPr>
                <w:rFonts w:hint="eastAsia"/>
              </w:rPr>
              <w:t>衬砌渠道</w:t>
            </w:r>
          </w:p>
        </w:tc>
      </w:tr>
      <w:tr w14:paraId="3B8A8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jc w:val="center"/>
        </w:trPr>
        <w:tc>
          <w:tcPr>
            <w:tcW w:w="1392" w:type="dxa"/>
            <w:vAlign w:val="center"/>
          </w:tcPr>
          <w:p w14:paraId="09EDF47A">
            <w:pPr>
              <w:pStyle w:val="28"/>
              <w:bidi w:val="0"/>
            </w:pPr>
            <w:r>
              <w:rPr>
                <w:rFonts w:hint="eastAsia"/>
              </w:rPr>
              <w:t>7</w:t>
            </w:r>
          </w:p>
        </w:tc>
        <w:tc>
          <w:tcPr>
            <w:tcW w:w="1392" w:type="dxa"/>
            <w:vAlign w:val="center"/>
          </w:tcPr>
          <w:p w14:paraId="7697D6CE">
            <w:pPr>
              <w:pStyle w:val="28"/>
              <w:bidi w:val="0"/>
            </w:pPr>
            <w:r>
              <w:rPr>
                <w:rFonts w:hint="eastAsia"/>
              </w:rPr>
              <w:t>染坊支渠</w:t>
            </w:r>
          </w:p>
        </w:tc>
        <w:tc>
          <w:tcPr>
            <w:tcW w:w="1392" w:type="dxa"/>
            <w:vAlign w:val="center"/>
          </w:tcPr>
          <w:p w14:paraId="6376120E">
            <w:pPr>
              <w:pStyle w:val="28"/>
              <w:bidi w:val="0"/>
            </w:pPr>
            <w:r>
              <w:rPr>
                <w:rFonts w:hint="eastAsia"/>
              </w:rPr>
              <w:t>支渠</w:t>
            </w:r>
          </w:p>
        </w:tc>
        <w:tc>
          <w:tcPr>
            <w:tcW w:w="1392" w:type="dxa"/>
            <w:vAlign w:val="center"/>
          </w:tcPr>
          <w:p w14:paraId="6DF43503">
            <w:pPr>
              <w:pStyle w:val="28"/>
              <w:bidi w:val="0"/>
            </w:pPr>
            <w:r>
              <w:rPr>
                <w:rFonts w:hint="eastAsia"/>
              </w:rPr>
              <w:t>1.87</w:t>
            </w:r>
          </w:p>
        </w:tc>
        <w:tc>
          <w:tcPr>
            <w:tcW w:w="1392" w:type="dxa"/>
            <w:vAlign w:val="center"/>
          </w:tcPr>
          <w:p w14:paraId="10C5601B">
            <w:pPr>
              <w:pStyle w:val="28"/>
              <w:bidi w:val="0"/>
            </w:pPr>
            <w:r>
              <w:rPr>
                <w:rFonts w:hint="eastAsia"/>
              </w:rPr>
              <w:t>1.25</w:t>
            </w:r>
          </w:p>
        </w:tc>
        <w:tc>
          <w:tcPr>
            <w:tcW w:w="1392" w:type="dxa"/>
            <w:vAlign w:val="center"/>
          </w:tcPr>
          <w:p w14:paraId="24CF860A">
            <w:pPr>
              <w:pStyle w:val="28"/>
              <w:bidi w:val="0"/>
            </w:pPr>
            <w:r>
              <w:rPr>
                <w:rFonts w:hint="eastAsia"/>
              </w:rPr>
              <w:t>2.34</w:t>
            </w:r>
          </w:p>
        </w:tc>
        <w:tc>
          <w:tcPr>
            <w:tcW w:w="1393" w:type="dxa"/>
            <w:vAlign w:val="center"/>
          </w:tcPr>
          <w:p w14:paraId="0F259032">
            <w:pPr>
              <w:pStyle w:val="28"/>
              <w:bidi w:val="0"/>
            </w:pPr>
            <w:r>
              <w:rPr>
                <w:rFonts w:hint="eastAsia"/>
              </w:rPr>
              <w:t>衬砌渠道</w:t>
            </w:r>
          </w:p>
        </w:tc>
      </w:tr>
      <w:tr w14:paraId="5AA06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2" w:type="dxa"/>
            <w:vAlign w:val="center"/>
          </w:tcPr>
          <w:p w14:paraId="5D66EF36">
            <w:pPr>
              <w:pStyle w:val="28"/>
              <w:bidi w:val="0"/>
            </w:pPr>
            <w:r>
              <w:rPr>
                <w:rFonts w:hint="eastAsia"/>
              </w:rPr>
              <w:t>8</w:t>
            </w:r>
          </w:p>
        </w:tc>
        <w:tc>
          <w:tcPr>
            <w:tcW w:w="1392" w:type="dxa"/>
            <w:vAlign w:val="center"/>
          </w:tcPr>
          <w:p w14:paraId="67491E01">
            <w:pPr>
              <w:pStyle w:val="28"/>
              <w:bidi w:val="0"/>
            </w:pPr>
            <w:r>
              <w:rPr>
                <w:rFonts w:hint="eastAsia"/>
              </w:rPr>
              <w:t>一北干渠</w:t>
            </w:r>
          </w:p>
        </w:tc>
        <w:tc>
          <w:tcPr>
            <w:tcW w:w="1392" w:type="dxa"/>
            <w:vAlign w:val="center"/>
          </w:tcPr>
          <w:p w14:paraId="4E29AA16">
            <w:pPr>
              <w:pStyle w:val="28"/>
              <w:bidi w:val="0"/>
            </w:pPr>
            <w:r>
              <w:rPr>
                <w:rFonts w:hint="eastAsia"/>
              </w:rPr>
              <w:t>干渠</w:t>
            </w:r>
          </w:p>
        </w:tc>
        <w:tc>
          <w:tcPr>
            <w:tcW w:w="1392" w:type="dxa"/>
            <w:vAlign w:val="center"/>
          </w:tcPr>
          <w:p w14:paraId="57B69762">
            <w:pPr>
              <w:pStyle w:val="28"/>
              <w:bidi w:val="0"/>
            </w:pPr>
            <w:r>
              <w:rPr>
                <w:rFonts w:hint="eastAsia"/>
              </w:rPr>
              <w:t>0.34</w:t>
            </w:r>
          </w:p>
        </w:tc>
        <w:tc>
          <w:tcPr>
            <w:tcW w:w="1392" w:type="dxa"/>
            <w:vAlign w:val="center"/>
          </w:tcPr>
          <w:p w14:paraId="396735D5">
            <w:pPr>
              <w:pStyle w:val="28"/>
              <w:bidi w:val="0"/>
            </w:pPr>
            <w:r>
              <w:rPr>
                <w:rFonts w:hint="eastAsia"/>
              </w:rPr>
              <w:t>1.25</w:t>
            </w:r>
          </w:p>
        </w:tc>
        <w:tc>
          <w:tcPr>
            <w:tcW w:w="1392" w:type="dxa"/>
            <w:vAlign w:val="center"/>
          </w:tcPr>
          <w:p w14:paraId="4E0677F9">
            <w:pPr>
              <w:pStyle w:val="28"/>
              <w:bidi w:val="0"/>
            </w:pPr>
            <w:r>
              <w:rPr>
                <w:rFonts w:hint="eastAsia"/>
              </w:rPr>
              <w:t>0.42</w:t>
            </w:r>
          </w:p>
        </w:tc>
        <w:tc>
          <w:tcPr>
            <w:tcW w:w="1393" w:type="dxa"/>
            <w:vAlign w:val="center"/>
          </w:tcPr>
          <w:p w14:paraId="1E489CE2">
            <w:pPr>
              <w:pStyle w:val="28"/>
              <w:bidi w:val="0"/>
            </w:pPr>
            <w:r>
              <w:rPr>
                <w:rFonts w:hint="eastAsia"/>
              </w:rPr>
              <w:t>衬砌渠道</w:t>
            </w:r>
          </w:p>
        </w:tc>
      </w:tr>
      <w:tr w14:paraId="7D911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92" w:type="dxa"/>
            <w:vAlign w:val="center"/>
          </w:tcPr>
          <w:p w14:paraId="7752143C">
            <w:pPr>
              <w:pStyle w:val="28"/>
              <w:bidi w:val="0"/>
            </w:pPr>
            <w:r>
              <w:rPr>
                <w:rFonts w:hint="eastAsia"/>
              </w:rPr>
              <w:t>9</w:t>
            </w:r>
          </w:p>
        </w:tc>
        <w:tc>
          <w:tcPr>
            <w:tcW w:w="1392" w:type="dxa"/>
            <w:vAlign w:val="center"/>
          </w:tcPr>
          <w:p w14:paraId="389C66FF">
            <w:pPr>
              <w:pStyle w:val="28"/>
              <w:bidi w:val="0"/>
            </w:pPr>
            <w:r>
              <w:rPr>
                <w:rFonts w:hint="eastAsia"/>
              </w:rPr>
              <w:t>双庙支渠</w:t>
            </w:r>
          </w:p>
        </w:tc>
        <w:tc>
          <w:tcPr>
            <w:tcW w:w="1392" w:type="dxa"/>
            <w:vAlign w:val="center"/>
          </w:tcPr>
          <w:p w14:paraId="0D8F1950">
            <w:pPr>
              <w:pStyle w:val="28"/>
              <w:bidi w:val="0"/>
            </w:pPr>
            <w:r>
              <w:rPr>
                <w:rFonts w:hint="eastAsia"/>
              </w:rPr>
              <w:t>支渠</w:t>
            </w:r>
          </w:p>
        </w:tc>
        <w:tc>
          <w:tcPr>
            <w:tcW w:w="1392" w:type="dxa"/>
            <w:vAlign w:val="center"/>
          </w:tcPr>
          <w:p w14:paraId="05EC3306">
            <w:pPr>
              <w:pStyle w:val="28"/>
              <w:bidi w:val="0"/>
            </w:pPr>
            <w:r>
              <w:rPr>
                <w:rFonts w:hint="eastAsia"/>
              </w:rPr>
              <w:t>0.29</w:t>
            </w:r>
          </w:p>
        </w:tc>
        <w:tc>
          <w:tcPr>
            <w:tcW w:w="1392" w:type="dxa"/>
            <w:vAlign w:val="center"/>
          </w:tcPr>
          <w:p w14:paraId="6E8BB19F">
            <w:pPr>
              <w:pStyle w:val="28"/>
              <w:bidi w:val="0"/>
            </w:pPr>
            <w:r>
              <w:rPr>
                <w:rFonts w:hint="eastAsia"/>
              </w:rPr>
              <w:t>1.25</w:t>
            </w:r>
          </w:p>
        </w:tc>
        <w:tc>
          <w:tcPr>
            <w:tcW w:w="1392" w:type="dxa"/>
            <w:vAlign w:val="center"/>
          </w:tcPr>
          <w:p w14:paraId="18C93464">
            <w:pPr>
              <w:pStyle w:val="28"/>
              <w:bidi w:val="0"/>
            </w:pPr>
            <w:r>
              <w:rPr>
                <w:rFonts w:hint="eastAsia"/>
              </w:rPr>
              <w:t>0.36</w:t>
            </w:r>
          </w:p>
        </w:tc>
        <w:tc>
          <w:tcPr>
            <w:tcW w:w="1393" w:type="dxa"/>
            <w:vAlign w:val="center"/>
          </w:tcPr>
          <w:p w14:paraId="3790B835">
            <w:pPr>
              <w:pStyle w:val="28"/>
              <w:bidi w:val="0"/>
            </w:pPr>
            <w:r>
              <w:rPr>
                <w:rFonts w:hint="eastAsia"/>
              </w:rPr>
              <w:t>衬砌渠道</w:t>
            </w:r>
          </w:p>
        </w:tc>
      </w:tr>
    </w:tbl>
    <w:p w14:paraId="4A0F6501">
      <w:pPr>
        <w:pStyle w:val="4"/>
        <w:bidi w:val="0"/>
      </w:pPr>
      <w:r>
        <w:t>4.1.</w:t>
      </w:r>
      <w:r>
        <w:rPr>
          <w:rFonts w:hint="eastAsia"/>
        </w:rPr>
        <w:t>7</w:t>
      </w:r>
      <w:r>
        <w:t xml:space="preserve"> 地质概况</w:t>
      </w:r>
    </w:p>
    <w:p w14:paraId="5DE7054D">
      <w:pPr>
        <w:pStyle w:val="5"/>
        <w:bidi w:val="0"/>
      </w:pPr>
      <w:r>
        <w:t>4.1.</w:t>
      </w:r>
      <w:r>
        <w:rPr>
          <w:rFonts w:hint="eastAsia"/>
        </w:rPr>
        <w:t>7</w:t>
      </w:r>
      <w:r>
        <w:t>.1 地形地貌</w:t>
      </w:r>
    </w:p>
    <w:p w14:paraId="16AD1BDC">
      <w:pPr>
        <w:bidi w:val="0"/>
      </w:pPr>
      <w:r>
        <w:t>区境地层发育基本齐全，但大部分地区均被冲积层覆盖，基岩出露仅限于中部低山丘陵（八公山、舜耕山等低山），出露地层以青白口系、震旦系、寒武系、奥陶系为主，古老的变质岩系局限在打石山一罗山南麓一线零星分布，其他地层偶尔见于地表。区境位于淮南复向斜南翼，间夹于舜耕山与阜（阳）凤（台）两大逆冲推覆构造之间。沿罗山一打石山出露地层以震旦、寒武、奥陶系石灰岩为主，前震旦系变质岩和古近系地层零星分布。山南的寿县一老人仓断层与合肥坳陷相接；山北第四系覆盖层下大面积赋存石炭、二叠纪含煤地层，李郢孜、谢家集各矿坐落在煤系之上。区境东、西两部分地质特征有显著差异，西部地质情况简单，东部复杂。西部谢家集煤系之上直接覆盖第四纪冲积层，冲积层一般厚20m。东部李郢孜煤系之上盖有逆冲推覆断裂形成的片麻岩、石灰岩岩帽，推覆断层呈坡状起伏形态。因此，煤系埋藏深浅不一，同时有古近系地层不整合于煤系或岩帽之上，古近系最大厚度893m，往东超过1200m。区境在淮南西部，南靠瓦埠湖，西南有东淝河，淮河从区境北部穿过。丘陵自西北至东南绵亘于中部，占区境总面积的19.7%；天然湖泊分布四周，因采煤而形成的大、小塌陷区相嵌其间，水面占区境总面积的6%；平原洼地占区境总面积的74.3%。</w:t>
      </w:r>
    </w:p>
    <w:p w14:paraId="23650369">
      <w:pPr>
        <w:bidi w:val="0"/>
      </w:pPr>
      <w:r>
        <w:rPr>
          <w:rFonts w:hint="eastAsia"/>
        </w:rPr>
        <w:t>（</w:t>
      </w:r>
      <w:r>
        <w:t>1</w:t>
      </w:r>
      <w:r>
        <w:rPr>
          <w:rFonts w:hint="eastAsia"/>
        </w:rPr>
        <w:t>）南部滨湖平原区</w:t>
      </w:r>
    </w:p>
    <w:p w14:paraId="76EFA74B">
      <w:pPr>
        <w:bidi w:val="0"/>
      </w:pPr>
      <w:r>
        <w:rPr>
          <w:rFonts w:hint="eastAsia"/>
        </w:rPr>
        <w:t>南自瓦埠湖北岸，北至唐山镇和李郢孜镇西南，西抵东淝河，面积</w:t>
      </w:r>
      <w:r>
        <w:t>15.4km</w:t>
      </w:r>
      <w:r>
        <w:rPr>
          <w:vertAlign w:val="superscript"/>
        </w:rPr>
        <w:t>2</w:t>
      </w:r>
      <w:r>
        <w:rPr>
          <w:rFonts w:hint="eastAsia"/>
        </w:rPr>
        <w:t>。</w:t>
      </w:r>
    </w:p>
    <w:p w14:paraId="674EBA81">
      <w:pPr>
        <w:bidi w:val="0"/>
      </w:pPr>
      <w:r>
        <w:rPr>
          <w:rFonts w:hint="eastAsia"/>
        </w:rPr>
        <w:t>（</w:t>
      </w:r>
      <w:r>
        <w:t>2</w:t>
      </w:r>
      <w:r>
        <w:rPr>
          <w:rFonts w:hint="eastAsia"/>
        </w:rPr>
        <w:t>）中部低山丘陵区</w:t>
      </w:r>
    </w:p>
    <w:p w14:paraId="139A8C96">
      <w:pPr>
        <w:bidi w:val="0"/>
      </w:pPr>
      <w:r>
        <w:rPr>
          <w:rFonts w:hint="eastAsia"/>
        </w:rPr>
        <w:t>其为八公山、舜耕山余脉，西起卧龙山水库西南角，沿唐山镇北，李郢孜镇西，望峰岗镇南绵延起伏，呈带状，贯穿于区境中部，面积</w:t>
      </w:r>
      <w:r>
        <w:t>18.7km</w:t>
      </w:r>
      <w:r>
        <w:rPr>
          <w:vertAlign w:val="superscript"/>
        </w:rPr>
        <w:t>2</w:t>
      </w:r>
      <w:r>
        <w:rPr>
          <w:rFonts w:hint="eastAsia"/>
        </w:rPr>
        <w:t>。峰脊为东南、西北向。丘陵主体基岩由上元古界震旦系、下古生界寒武系灰岩、页岩、砂页等组成，以灰岩为主。高程一般在</w:t>
      </w:r>
      <w:r>
        <w:t>50</w:t>
      </w:r>
      <w:r>
        <w:rPr>
          <w:rFonts w:hint="eastAsia"/>
        </w:rPr>
        <w:t>～</w:t>
      </w:r>
      <w:r>
        <w:t>200m</w:t>
      </w:r>
      <w:r>
        <w:rPr>
          <w:rFonts w:hint="eastAsia"/>
        </w:rPr>
        <w:t>，最高的犁锏山高程</w:t>
      </w:r>
      <w:r>
        <w:t>200m</w:t>
      </w:r>
      <w:r>
        <w:rPr>
          <w:rFonts w:hint="eastAsia"/>
        </w:rPr>
        <w:t>。高程</w:t>
      </w:r>
      <w:r>
        <w:t>100m</w:t>
      </w:r>
      <w:r>
        <w:rPr>
          <w:rFonts w:hint="eastAsia"/>
        </w:rPr>
        <w:t>以下的中丘和浅丘，脊线无一定方面，坡度平缓，小于</w:t>
      </w:r>
      <w:r>
        <w:t>15</w:t>
      </w:r>
      <w:r>
        <w:rPr>
          <w:rFonts w:hint="eastAsia"/>
        </w:rPr>
        <w:t>，丘顶多呈浑圆状态。</w:t>
      </w:r>
    </w:p>
    <w:p w14:paraId="0DA734FC">
      <w:pPr>
        <w:bidi w:val="0"/>
      </w:pPr>
      <w:r>
        <w:rPr>
          <w:rFonts w:hint="eastAsia"/>
        </w:rPr>
        <w:t>（</w:t>
      </w:r>
      <w:r>
        <w:t>3</w:t>
      </w:r>
      <w:r>
        <w:rPr>
          <w:rFonts w:hint="eastAsia"/>
        </w:rPr>
        <w:t>）城镇境内及周围波状平原区</w:t>
      </w:r>
    </w:p>
    <w:p w14:paraId="21FCE34D">
      <w:pPr>
        <w:bidi w:val="0"/>
      </w:pPr>
      <w:r>
        <w:rPr>
          <w:rFonts w:hint="eastAsia"/>
        </w:rPr>
        <w:t>位于低山丘陵以北，面积</w:t>
      </w:r>
      <w:r>
        <w:t>29.8mkm</w:t>
      </w:r>
      <w:r>
        <w:rPr>
          <w:vertAlign w:val="superscript"/>
        </w:rPr>
        <w:t>2</w:t>
      </w:r>
      <w:r>
        <w:rPr>
          <w:rFonts w:hint="eastAsia"/>
        </w:rPr>
        <w:t>。地势由南向北倾斜，为南部低山丘缓冲地带。因采煤塌陷区切割及低山丘陵的起伏，多呈岗、塝、块相间状态。</w:t>
      </w:r>
    </w:p>
    <w:p w14:paraId="1F21E241">
      <w:pPr>
        <w:bidi w:val="0"/>
      </w:pPr>
      <w:r>
        <w:rPr>
          <w:rFonts w:hint="eastAsia"/>
        </w:rPr>
        <w:t>（</w:t>
      </w:r>
      <w:r>
        <w:t>4</w:t>
      </w:r>
      <w:r>
        <w:rPr>
          <w:rFonts w:hint="eastAsia"/>
        </w:rPr>
        <w:t>）河间平原区</w:t>
      </w:r>
    </w:p>
    <w:p w14:paraId="708EDD74">
      <w:pPr>
        <w:bidi w:val="0"/>
      </w:pPr>
      <w:r>
        <w:rPr>
          <w:rFonts w:hint="eastAsia"/>
        </w:rPr>
        <w:t>西至谢三矿南，东至十涧湖，北抵二道河农场中部，南达张铁路边界，面积约</w:t>
      </w:r>
      <w:r>
        <w:t>31.9km</w:t>
      </w:r>
      <w:r>
        <w:rPr>
          <w:vertAlign w:val="superscript"/>
        </w:rPr>
        <w:t>2</w:t>
      </w:r>
      <w:r>
        <w:rPr>
          <w:rFonts w:hint="eastAsia"/>
        </w:rPr>
        <w:t>。一般高度为海拔高程</w:t>
      </w:r>
      <w:r>
        <w:t>15.7</w:t>
      </w:r>
      <w:r>
        <w:rPr>
          <w:rFonts w:hint="eastAsia"/>
        </w:rPr>
        <w:t>～</w:t>
      </w:r>
      <w:r>
        <w:t>22m</w:t>
      </w:r>
      <w:r>
        <w:rPr>
          <w:rFonts w:hint="eastAsia"/>
        </w:rPr>
        <w:t>之间。其为第四纪更新地层，基质是黄河、淮河流域沉积物。</w:t>
      </w:r>
    </w:p>
    <w:p w14:paraId="6CDEBCE5">
      <w:pPr>
        <w:pStyle w:val="5"/>
        <w:bidi w:val="0"/>
      </w:pPr>
      <w:r>
        <w:t>4.1.</w:t>
      </w:r>
      <w:r>
        <w:rPr>
          <w:rFonts w:hint="eastAsia"/>
        </w:rPr>
        <w:t>7</w:t>
      </w:r>
      <w:r>
        <w:t>.</w:t>
      </w:r>
      <w:r>
        <w:rPr>
          <w:rFonts w:hint="eastAsia"/>
        </w:rPr>
        <w:t>2</w:t>
      </w:r>
      <w:r>
        <w:t xml:space="preserve"> 地震</w:t>
      </w:r>
    </w:p>
    <w:p w14:paraId="0DD750EC">
      <w:pPr>
        <w:bidi w:val="0"/>
        <w:rPr>
          <w:lang w:val="zh-CN"/>
        </w:rPr>
      </w:pPr>
      <w:r>
        <w:t>根据2016年6月1日实施的中华人民共和国《中国地震动参数区划图》（GB18306-2015），项目区地震动反应谱特征周期为0.35s，地震动峰值加速度分区为0.10g，本工程抗震设计基本烈度按7度控制。</w:t>
      </w:r>
    </w:p>
    <w:p w14:paraId="4E560AEB">
      <w:pPr>
        <w:pStyle w:val="3"/>
        <w:bidi w:val="0"/>
        <w:rPr>
          <w:lang w:val="zh-CN"/>
        </w:rPr>
      </w:pPr>
      <w:bookmarkStart w:id="51" w:name="_Toc96"/>
      <w:r>
        <w:rPr>
          <w:lang w:val="zh-CN"/>
        </w:rPr>
        <w:t>4.2 环境质量现状调查与评价</w:t>
      </w:r>
      <w:bookmarkEnd w:id="51"/>
    </w:p>
    <w:p w14:paraId="7A582E10">
      <w:pPr>
        <w:pStyle w:val="4"/>
        <w:bidi w:val="0"/>
      </w:pPr>
      <w:r>
        <w:t>4.2.1 大气环境质量现状调查与评价</w:t>
      </w:r>
    </w:p>
    <w:p w14:paraId="1E9C55E5">
      <w:pPr>
        <w:pStyle w:val="5"/>
        <w:bidi w:val="0"/>
      </w:pPr>
      <w:r>
        <w:t>4.2.1.1 区域环境空气质量达标判定</w:t>
      </w:r>
    </w:p>
    <w:p w14:paraId="26815942">
      <w:pPr>
        <w:adjustRightInd w:val="0"/>
        <w:ind w:firstLine="480"/>
        <w:textAlignment w:val="center"/>
        <w:rPr>
          <w:rFonts w:cs="Times New Roman"/>
        </w:rPr>
      </w:pPr>
      <w:r>
        <w:rPr>
          <w:rFonts w:cs="Times New Roman"/>
        </w:rPr>
        <w:t>根据《202</w:t>
      </w:r>
      <w:r>
        <w:rPr>
          <w:rFonts w:hint="eastAsia" w:cs="Times New Roman"/>
        </w:rPr>
        <w:t>3</w:t>
      </w:r>
      <w:r>
        <w:rPr>
          <w:rFonts w:cs="Times New Roman"/>
        </w:rPr>
        <w:t>年</w:t>
      </w:r>
      <w:r>
        <w:rPr>
          <w:rFonts w:hint="eastAsia" w:cs="Times New Roman"/>
        </w:rPr>
        <w:t>淮南市生态环境质量状况公报</w:t>
      </w:r>
      <w:r>
        <w:rPr>
          <w:rFonts w:cs="Times New Roman"/>
        </w:rPr>
        <w:t>》</w:t>
      </w:r>
      <w:r>
        <w:rPr>
          <w:rFonts w:hint="eastAsia" w:cs="Times New Roman"/>
        </w:rPr>
        <w:t>，项目所在</w:t>
      </w:r>
      <w:r>
        <w:rPr>
          <w:rFonts w:cs="Times New Roman"/>
        </w:rPr>
        <w:t>地区环境</w:t>
      </w:r>
      <w:r>
        <w:rPr>
          <w:rFonts w:hint="eastAsia" w:cs="Times New Roman"/>
        </w:rPr>
        <w:t>空气</w:t>
      </w:r>
      <w:r>
        <w:rPr>
          <w:rFonts w:cs="Times New Roman"/>
        </w:rPr>
        <w:t>质量现状数据如下：</w:t>
      </w:r>
    </w:p>
    <w:p w14:paraId="2966C225">
      <w:pPr>
        <w:pStyle w:val="29"/>
        <w:bidi w:val="0"/>
      </w:pPr>
      <w:r>
        <w:t>表</w:t>
      </w:r>
      <w:r>
        <w:rPr>
          <w:rFonts w:hint="eastAsia"/>
          <w:lang w:eastAsia="zh-CN"/>
        </w:rPr>
        <w:t>4.2</w:t>
      </w:r>
      <w:r>
        <w:t>-1  环境空气质量现状评价一览表    单位：μg/m</w:t>
      </w:r>
      <w:r>
        <w:rPr>
          <w:vertAlign w:val="superscript"/>
        </w:rPr>
        <w:t>3</w:t>
      </w:r>
    </w:p>
    <w:tbl>
      <w:tblPr>
        <w:tblStyle w:val="16"/>
        <w:tblW w:w="498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85"/>
        <w:gridCol w:w="3247"/>
        <w:gridCol w:w="1222"/>
        <w:gridCol w:w="1254"/>
        <w:gridCol w:w="1198"/>
        <w:gridCol w:w="1161"/>
      </w:tblGrid>
      <w:tr w14:paraId="38BB9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9" w:type="pct"/>
            <w:vAlign w:val="center"/>
          </w:tcPr>
          <w:p w14:paraId="1719A392">
            <w:pPr>
              <w:pStyle w:val="28"/>
              <w:bidi w:val="0"/>
            </w:pPr>
            <w:r>
              <w:t>污染物</w:t>
            </w:r>
          </w:p>
        </w:tc>
        <w:tc>
          <w:tcPr>
            <w:tcW w:w="1751" w:type="pct"/>
            <w:vAlign w:val="center"/>
          </w:tcPr>
          <w:p w14:paraId="27A8977A">
            <w:pPr>
              <w:pStyle w:val="28"/>
              <w:bidi w:val="0"/>
            </w:pPr>
            <w:r>
              <w:t>年评价指标</w:t>
            </w:r>
          </w:p>
        </w:tc>
        <w:tc>
          <w:tcPr>
            <w:tcW w:w="659" w:type="pct"/>
            <w:vAlign w:val="center"/>
          </w:tcPr>
          <w:p w14:paraId="35658C04">
            <w:pPr>
              <w:pStyle w:val="28"/>
              <w:bidi w:val="0"/>
            </w:pPr>
            <w:r>
              <w:t>质量浓度</w:t>
            </w:r>
          </w:p>
        </w:tc>
        <w:tc>
          <w:tcPr>
            <w:tcW w:w="676" w:type="pct"/>
            <w:vAlign w:val="center"/>
          </w:tcPr>
          <w:p w14:paraId="4FDF15F0">
            <w:pPr>
              <w:pStyle w:val="28"/>
              <w:bidi w:val="0"/>
            </w:pPr>
            <w:r>
              <w:t>标准值</w:t>
            </w:r>
          </w:p>
        </w:tc>
        <w:tc>
          <w:tcPr>
            <w:tcW w:w="646" w:type="pct"/>
            <w:vAlign w:val="center"/>
          </w:tcPr>
          <w:p w14:paraId="4D510A00">
            <w:pPr>
              <w:pStyle w:val="28"/>
              <w:bidi w:val="0"/>
            </w:pPr>
            <w:r>
              <w:t>占标率%</w:t>
            </w:r>
          </w:p>
        </w:tc>
        <w:tc>
          <w:tcPr>
            <w:tcW w:w="626" w:type="pct"/>
            <w:vAlign w:val="center"/>
          </w:tcPr>
          <w:p w14:paraId="732506EB">
            <w:pPr>
              <w:pStyle w:val="28"/>
              <w:bidi w:val="0"/>
            </w:pPr>
            <w:r>
              <w:t>达标情况</w:t>
            </w:r>
          </w:p>
        </w:tc>
      </w:tr>
      <w:tr w14:paraId="4444FF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9" w:type="pct"/>
            <w:vAlign w:val="center"/>
          </w:tcPr>
          <w:p w14:paraId="7BD87F21">
            <w:pPr>
              <w:pStyle w:val="28"/>
              <w:bidi w:val="0"/>
            </w:pPr>
            <w:r>
              <w:t>SO</w:t>
            </w:r>
            <w:r>
              <w:rPr>
                <w:vertAlign w:val="subscript"/>
              </w:rPr>
              <w:t>2</w:t>
            </w:r>
          </w:p>
        </w:tc>
        <w:tc>
          <w:tcPr>
            <w:tcW w:w="1751" w:type="pct"/>
            <w:vAlign w:val="center"/>
          </w:tcPr>
          <w:p w14:paraId="5B14B63F">
            <w:pPr>
              <w:pStyle w:val="28"/>
              <w:bidi w:val="0"/>
            </w:pPr>
            <w:r>
              <w:rPr>
                <w:rFonts w:hint="eastAsia"/>
              </w:rPr>
              <w:t>年</w:t>
            </w:r>
            <w:r>
              <w:t>平均质量浓度</w:t>
            </w:r>
          </w:p>
        </w:tc>
        <w:tc>
          <w:tcPr>
            <w:tcW w:w="659" w:type="pct"/>
            <w:vAlign w:val="center"/>
          </w:tcPr>
          <w:p w14:paraId="54740E02">
            <w:pPr>
              <w:pStyle w:val="28"/>
              <w:bidi w:val="0"/>
            </w:pPr>
            <w:r>
              <w:rPr>
                <w:rFonts w:hint="eastAsia"/>
              </w:rPr>
              <w:t>8</w:t>
            </w:r>
          </w:p>
        </w:tc>
        <w:tc>
          <w:tcPr>
            <w:tcW w:w="676" w:type="pct"/>
            <w:vAlign w:val="center"/>
          </w:tcPr>
          <w:p w14:paraId="257D28E9">
            <w:pPr>
              <w:pStyle w:val="28"/>
              <w:bidi w:val="0"/>
            </w:pPr>
            <w:r>
              <w:t>60</w:t>
            </w:r>
          </w:p>
        </w:tc>
        <w:tc>
          <w:tcPr>
            <w:tcW w:w="646" w:type="pct"/>
            <w:vAlign w:val="center"/>
          </w:tcPr>
          <w:p w14:paraId="2BB0CF8E">
            <w:pPr>
              <w:pStyle w:val="28"/>
              <w:bidi w:val="0"/>
            </w:pPr>
            <w:r>
              <w:rPr>
                <w:rFonts w:hint="eastAsia"/>
              </w:rPr>
              <w:t>13.3</w:t>
            </w:r>
          </w:p>
        </w:tc>
        <w:tc>
          <w:tcPr>
            <w:tcW w:w="626" w:type="pct"/>
            <w:vAlign w:val="center"/>
          </w:tcPr>
          <w:p w14:paraId="651EEE63">
            <w:pPr>
              <w:pStyle w:val="28"/>
              <w:bidi w:val="0"/>
            </w:pPr>
            <w:r>
              <w:t>达标</w:t>
            </w:r>
          </w:p>
        </w:tc>
      </w:tr>
      <w:tr w14:paraId="3E07DC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9" w:type="pct"/>
            <w:vAlign w:val="center"/>
          </w:tcPr>
          <w:p w14:paraId="528F9159">
            <w:pPr>
              <w:pStyle w:val="28"/>
              <w:bidi w:val="0"/>
            </w:pPr>
            <w:r>
              <w:t>NO</w:t>
            </w:r>
            <w:r>
              <w:rPr>
                <w:vertAlign w:val="subscript"/>
              </w:rPr>
              <w:t>2</w:t>
            </w:r>
          </w:p>
        </w:tc>
        <w:tc>
          <w:tcPr>
            <w:tcW w:w="1751" w:type="pct"/>
            <w:vAlign w:val="center"/>
          </w:tcPr>
          <w:p w14:paraId="71A7E3A7">
            <w:pPr>
              <w:pStyle w:val="28"/>
              <w:bidi w:val="0"/>
            </w:pPr>
            <w:r>
              <w:rPr>
                <w:rFonts w:hint="eastAsia"/>
              </w:rPr>
              <w:t>年</w:t>
            </w:r>
            <w:r>
              <w:t>平均质量浓度</w:t>
            </w:r>
          </w:p>
        </w:tc>
        <w:tc>
          <w:tcPr>
            <w:tcW w:w="659" w:type="pct"/>
            <w:vAlign w:val="center"/>
          </w:tcPr>
          <w:p w14:paraId="2AC52554">
            <w:pPr>
              <w:pStyle w:val="28"/>
              <w:bidi w:val="0"/>
            </w:pPr>
            <w:r>
              <w:rPr>
                <w:rFonts w:hint="eastAsia"/>
              </w:rPr>
              <w:t>21</w:t>
            </w:r>
          </w:p>
        </w:tc>
        <w:tc>
          <w:tcPr>
            <w:tcW w:w="676" w:type="pct"/>
            <w:vAlign w:val="center"/>
          </w:tcPr>
          <w:p w14:paraId="7C815F5F">
            <w:pPr>
              <w:pStyle w:val="28"/>
              <w:bidi w:val="0"/>
            </w:pPr>
            <w:r>
              <w:t>40</w:t>
            </w:r>
          </w:p>
        </w:tc>
        <w:tc>
          <w:tcPr>
            <w:tcW w:w="646" w:type="pct"/>
            <w:vAlign w:val="center"/>
          </w:tcPr>
          <w:p w14:paraId="3F94A6EA">
            <w:pPr>
              <w:pStyle w:val="28"/>
              <w:bidi w:val="0"/>
            </w:pPr>
            <w:r>
              <w:rPr>
                <w:rFonts w:hint="eastAsia"/>
              </w:rPr>
              <w:t>52.5</w:t>
            </w:r>
          </w:p>
        </w:tc>
        <w:tc>
          <w:tcPr>
            <w:tcW w:w="626" w:type="pct"/>
            <w:vAlign w:val="center"/>
          </w:tcPr>
          <w:p w14:paraId="73CFB579">
            <w:pPr>
              <w:pStyle w:val="28"/>
              <w:bidi w:val="0"/>
            </w:pPr>
            <w:r>
              <w:t>达标</w:t>
            </w:r>
          </w:p>
        </w:tc>
      </w:tr>
      <w:tr w14:paraId="34261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639" w:type="pct"/>
            <w:vAlign w:val="center"/>
          </w:tcPr>
          <w:p w14:paraId="5702E4B9">
            <w:pPr>
              <w:pStyle w:val="28"/>
              <w:bidi w:val="0"/>
            </w:pPr>
            <w:r>
              <w:t>PM</w:t>
            </w:r>
            <w:r>
              <w:rPr>
                <w:vertAlign w:val="subscript"/>
              </w:rPr>
              <w:t>10</w:t>
            </w:r>
          </w:p>
        </w:tc>
        <w:tc>
          <w:tcPr>
            <w:tcW w:w="1751" w:type="pct"/>
            <w:vAlign w:val="center"/>
          </w:tcPr>
          <w:p w14:paraId="1F812F81">
            <w:pPr>
              <w:pStyle w:val="28"/>
              <w:bidi w:val="0"/>
            </w:pPr>
            <w:r>
              <w:rPr>
                <w:rFonts w:hint="eastAsia"/>
              </w:rPr>
              <w:t>年</w:t>
            </w:r>
            <w:r>
              <w:t>平均质量浓度</w:t>
            </w:r>
          </w:p>
        </w:tc>
        <w:tc>
          <w:tcPr>
            <w:tcW w:w="659" w:type="pct"/>
            <w:vAlign w:val="center"/>
          </w:tcPr>
          <w:p w14:paraId="09627A57">
            <w:pPr>
              <w:pStyle w:val="28"/>
              <w:bidi w:val="0"/>
            </w:pPr>
            <w:r>
              <w:rPr>
                <w:rFonts w:hint="eastAsia"/>
              </w:rPr>
              <w:t>65.9</w:t>
            </w:r>
          </w:p>
        </w:tc>
        <w:tc>
          <w:tcPr>
            <w:tcW w:w="676" w:type="pct"/>
            <w:vAlign w:val="center"/>
          </w:tcPr>
          <w:p w14:paraId="463BF8F5">
            <w:pPr>
              <w:pStyle w:val="28"/>
              <w:bidi w:val="0"/>
            </w:pPr>
            <w:r>
              <w:t>70</w:t>
            </w:r>
          </w:p>
        </w:tc>
        <w:tc>
          <w:tcPr>
            <w:tcW w:w="646" w:type="pct"/>
            <w:vAlign w:val="center"/>
          </w:tcPr>
          <w:p w14:paraId="1218F056">
            <w:pPr>
              <w:pStyle w:val="28"/>
              <w:bidi w:val="0"/>
            </w:pPr>
            <w:r>
              <w:rPr>
                <w:rFonts w:hint="eastAsia"/>
              </w:rPr>
              <w:t>94.1</w:t>
            </w:r>
          </w:p>
        </w:tc>
        <w:tc>
          <w:tcPr>
            <w:tcW w:w="626" w:type="pct"/>
            <w:vAlign w:val="center"/>
          </w:tcPr>
          <w:p w14:paraId="63C97C79">
            <w:pPr>
              <w:pStyle w:val="28"/>
              <w:bidi w:val="0"/>
            </w:pPr>
            <w:r>
              <w:t>达标</w:t>
            </w:r>
          </w:p>
        </w:tc>
      </w:tr>
      <w:tr w14:paraId="43D29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9" w:type="pct"/>
            <w:vAlign w:val="center"/>
          </w:tcPr>
          <w:p w14:paraId="6CCA6E5A">
            <w:pPr>
              <w:pStyle w:val="28"/>
              <w:bidi w:val="0"/>
            </w:pPr>
            <w:r>
              <w:t>PM</w:t>
            </w:r>
            <w:r>
              <w:rPr>
                <w:vertAlign w:val="subscript"/>
              </w:rPr>
              <w:t>2.5</w:t>
            </w:r>
          </w:p>
        </w:tc>
        <w:tc>
          <w:tcPr>
            <w:tcW w:w="1751" w:type="pct"/>
            <w:vAlign w:val="center"/>
          </w:tcPr>
          <w:p w14:paraId="00D1A3DD">
            <w:pPr>
              <w:pStyle w:val="28"/>
              <w:bidi w:val="0"/>
            </w:pPr>
            <w:r>
              <w:rPr>
                <w:rFonts w:hint="eastAsia"/>
              </w:rPr>
              <w:t>年</w:t>
            </w:r>
            <w:r>
              <w:t>平均质量浓度</w:t>
            </w:r>
          </w:p>
        </w:tc>
        <w:tc>
          <w:tcPr>
            <w:tcW w:w="659" w:type="pct"/>
            <w:vAlign w:val="center"/>
          </w:tcPr>
          <w:p w14:paraId="7B5E0753">
            <w:pPr>
              <w:pStyle w:val="28"/>
              <w:bidi w:val="0"/>
            </w:pPr>
            <w:r>
              <w:rPr>
                <w:rFonts w:hint="eastAsia"/>
              </w:rPr>
              <w:t>38.7</w:t>
            </w:r>
          </w:p>
        </w:tc>
        <w:tc>
          <w:tcPr>
            <w:tcW w:w="676" w:type="pct"/>
            <w:vAlign w:val="center"/>
          </w:tcPr>
          <w:p w14:paraId="666D58EB">
            <w:pPr>
              <w:pStyle w:val="28"/>
              <w:bidi w:val="0"/>
            </w:pPr>
            <w:r>
              <w:t>35</w:t>
            </w:r>
          </w:p>
        </w:tc>
        <w:tc>
          <w:tcPr>
            <w:tcW w:w="646" w:type="pct"/>
            <w:vAlign w:val="center"/>
          </w:tcPr>
          <w:p w14:paraId="78F030C8">
            <w:pPr>
              <w:pStyle w:val="28"/>
              <w:bidi w:val="0"/>
            </w:pPr>
            <w:r>
              <w:rPr>
                <w:rFonts w:hint="eastAsia"/>
              </w:rPr>
              <w:t>110.6</w:t>
            </w:r>
          </w:p>
        </w:tc>
        <w:tc>
          <w:tcPr>
            <w:tcW w:w="626" w:type="pct"/>
            <w:vAlign w:val="center"/>
          </w:tcPr>
          <w:p w14:paraId="7B64C79C">
            <w:pPr>
              <w:pStyle w:val="28"/>
              <w:bidi w:val="0"/>
            </w:pPr>
            <w:r>
              <w:rPr>
                <w:rFonts w:hint="eastAsia"/>
              </w:rPr>
              <w:t>不</w:t>
            </w:r>
            <w:r>
              <w:t>达标</w:t>
            </w:r>
          </w:p>
        </w:tc>
      </w:tr>
      <w:tr w14:paraId="2F600B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39" w:type="pct"/>
            <w:vAlign w:val="center"/>
          </w:tcPr>
          <w:p w14:paraId="2D6ED9FF">
            <w:pPr>
              <w:pStyle w:val="28"/>
              <w:bidi w:val="0"/>
            </w:pPr>
            <w:r>
              <w:t>CO</w:t>
            </w:r>
          </w:p>
        </w:tc>
        <w:tc>
          <w:tcPr>
            <w:tcW w:w="1751" w:type="pct"/>
            <w:vAlign w:val="center"/>
          </w:tcPr>
          <w:p w14:paraId="35A40F0F">
            <w:pPr>
              <w:pStyle w:val="28"/>
              <w:bidi w:val="0"/>
            </w:pPr>
            <w:r>
              <w:t>24小时平均第95百分位质量浓度</w:t>
            </w:r>
          </w:p>
        </w:tc>
        <w:tc>
          <w:tcPr>
            <w:tcW w:w="659" w:type="pct"/>
            <w:vAlign w:val="center"/>
          </w:tcPr>
          <w:p w14:paraId="7D36F1C6">
            <w:pPr>
              <w:pStyle w:val="28"/>
              <w:bidi w:val="0"/>
            </w:pPr>
            <w:r>
              <w:rPr>
                <w:rFonts w:hint="eastAsia"/>
              </w:rPr>
              <w:t>700</w:t>
            </w:r>
          </w:p>
        </w:tc>
        <w:tc>
          <w:tcPr>
            <w:tcW w:w="676" w:type="pct"/>
            <w:vAlign w:val="center"/>
          </w:tcPr>
          <w:p w14:paraId="798E6B1C">
            <w:pPr>
              <w:pStyle w:val="28"/>
              <w:bidi w:val="0"/>
            </w:pPr>
            <w:r>
              <w:t>4000</w:t>
            </w:r>
          </w:p>
        </w:tc>
        <w:tc>
          <w:tcPr>
            <w:tcW w:w="646" w:type="pct"/>
            <w:vAlign w:val="center"/>
          </w:tcPr>
          <w:p w14:paraId="4F336012">
            <w:pPr>
              <w:pStyle w:val="28"/>
              <w:bidi w:val="0"/>
            </w:pPr>
            <w:r>
              <w:rPr>
                <w:rFonts w:hint="eastAsia"/>
              </w:rPr>
              <w:t>17.5</w:t>
            </w:r>
          </w:p>
        </w:tc>
        <w:tc>
          <w:tcPr>
            <w:tcW w:w="626" w:type="pct"/>
            <w:vAlign w:val="center"/>
          </w:tcPr>
          <w:p w14:paraId="2753DBE8">
            <w:pPr>
              <w:pStyle w:val="28"/>
              <w:bidi w:val="0"/>
            </w:pPr>
            <w:r>
              <w:t>达标</w:t>
            </w:r>
          </w:p>
        </w:tc>
      </w:tr>
      <w:tr w14:paraId="6D0A6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639" w:type="pct"/>
            <w:vAlign w:val="center"/>
          </w:tcPr>
          <w:p w14:paraId="23250246">
            <w:pPr>
              <w:pStyle w:val="28"/>
              <w:bidi w:val="0"/>
            </w:pPr>
            <w:r>
              <w:t>O</w:t>
            </w:r>
            <w:r>
              <w:rPr>
                <w:vertAlign w:val="subscript"/>
              </w:rPr>
              <w:t>3</w:t>
            </w:r>
          </w:p>
        </w:tc>
        <w:tc>
          <w:tcPr>
            <w:tcW w:w="1751" w:type="pct"/>
            <w:vAlign w:val="center"/>
          </w:tcPr>
          <w:p w14:paraId="763AA10D">
            <w:pPr>
              <w:pStyle w:val="28"/>
              <w:bidi w:val="0"/>
            </w:pPr>
            <w:r>
              <w:t>8h平均第90百分位质量浓度</w:t>
            </w:r>
          </w:p>
        </w:tc>
        <w:tc>
          <w:tcPr>
            <w:tcW w:w="659" w:type="pct"/>
            <w:vAlign w:val="center"/>
          </w:tcPr>
          <w:p w14:paraId="513A3EA6">
            <w:pPr>
              <w:pStyle w:val="28"/>
              <w:bidi w:val="0"/>
            </w:pPr>
            <w:r>
              <w:rPr>
                <w:rFonts w:hint="eastAsia"/>
              </w:rPr>
              <w:t>157</w:t>
            </w:r>
          </w:p>
        </w:tc>
        <w:tc>
          <w:tcPr>
            <w:tcW w:w="676" w:type="pct"/>
            <w:vAlign w:val="center"/>
          </w:tcPr>
          <w:p w14:paraId="37804ABF">
            <w:pPr>
              <w:pStyle w:val="28"/>
              <w:bidi w:val="0"/>
            </w:pPr>
            <w:r>
              <w:t>160</w:t>
            </w:r>
          </w:p>
        </w:tc>
        <w:tc>
          <w:tcPr>
            <w:tcW w:w="646" w:type="pct"/>
            <w:vAlign w:val="center"/>
          </w:tcPr>
          <w:p w14:paraId="4E40914E">
            <w:pPr>
              <w:pStyle w:val="28"/>
              <w:bidi w:val="0"/>
            </w:pPr>
            <w:r>
              <w:rPr>
                <w:rFonts w:hint="eastAsia"/>
              </w:rPr>
              <w:t>98.1</w:t>
            </w:r>
          </w:p>
        </w:tc>
        <w:tc>
          <w:tcPr>
            <w:tcW w:w="626" w:type="pct"/>
            <w:vAlign w:val="center"/>
          </w:tcPr>
          <w:p w14:paraId="6661DC5C">
            <w:pPr>
              <w:pStyle w:val="28"/>
              <w:bidi w:val="0"/>
            </w:pPr>
            <w:r>
              <w:t>达标</w:t>
            </w:r>
          </w:p>
        </w:tc>
      </w:tr>
    </w:tbl>
    <w:p w14:paraId="20543D7A">
      <w:pPr>
        <w:bidi w:val="0"/>
      </w:pPr>
      <w:r>
        <w:t>综上分析，</w:t>
      </w:r>
      <w:r>
        <w:rPr>
          <w:rFonts w:hint="eastAsia"/>
        </w:rPr>
        <w:t>项目</w:t>
      </w:r>
      <w:r>
        <w:t>所在区域淮南市PM</w:t>
      </w:r>
      <w:r>
        <w:rPr>
          <w:vertAlign w:val="subscript"/>
        </w:rPr>
        <w:t>2.5</w:t>
      </w:r>
      <w:r>
        <w:t>年均质量浓度不满足《环境空气质量标准》（GB3095-2012）中的二级标准。因此判定淮南市环境空气质量为不达标区。</w:t>
      </w:r>
    </w:p>
    <w:p w14:paraId="2B7C27E2">
      <w:pPr>
        <w:pStyle w:val="5"/>
        <w:bidi w:val="0"/>
      </w:pPr>
      <w:r>
        <w:t>4.2.1.2 特征因子补充监测</w:t>
      </w:r>
    </w:p>
    <w:p w14:paraId="3BB0BCB8">
      <w:pPr>
        <w:adjustRightInd w:val="0"/>
        <w:ind w:firstLine="480"/>
        <w:textAlignment w:val="center"/>
        <w:rPr>
          <w:rFonts w:cs="Times New Roman"/>
        </w:rPr>
      </w:pPr>
      <w:r>
        <w:rPr>
          <w:rFonts w:cs="Times New Roman"/>
        </w:rPr>
        <w:t>为了解区域特征因子TSP、</w:t>
      </w:r>
      <w:r>
        <w:rPr>
          <w:rFonts w:hint="eastAsia" w:cs="Times New Roman"/>
        </w:rPr>
        <w:t>NH</w:t>
      </w:r>
      <w:r>
        <w:rPr>
          <w:rFonts w:hint="eastAsia" w:cs="Times New Roman"/>
          <w:vertAlign w:val="subscript"/>
        </w:rPr>
        <w:t>3</w:t>
      </w:r>
      <w:r>
        <w:rPr>
          <w:rFonts w:cs="Times New Roman"/>
        </w:rPr>
        <w:t>、</w:t>
      </w:r>
      <w:r>
        <w:rPr>
          <w:rFonts w:hint="eastAsia" w:cs="Times New Roman"/>
        </w:rPr>
        <w:t>H</w:t>
      </w:r>
      <w:r>
        <w:rPr>
          <w:rFonts w:hint="eastAsia" w:cs="Times New Roman"/>
          <w:vertAlign w:val="subscript"/>
        </w:rPr>
        <w:t>2</w:t>
      </w:r>
      <w:r>
        <w:rPr>
          <w:rFonts w:hint="eastAsia" w:cs="Times New Roman"/>
        </w:rPr>
        <w:t>S</w:t>
      </w:r>
      <w:r>
        <w:rPr>
          <w:rFonts w:cs="Times New Roman"/>
        </w:rPr>
        <w:t>的背景值，本次评价对灌区沿线部分工程的选址处进行现状监测。</w:t>
      </w:r>
    </w:p>
    <w:p w14:paraId="49CB1EA4">
      <w:pPr>
        <w:adjustRightInd w:val="0"/>
        <w:ind w:firstLine="480"/>
        <w:textAlignment w:val="center"/>
        <w:rPr>
          <w:rFonts w:cs="Times New Roman"/>
        </w:rPr>
      </w:pPr>
      <w:r>
        <w:rPr>
          <w:rFonts w:cs="Times New Roman"/>
        </w:rPr>
        <w:t>（1）监测点布设</w:t>
      </w:r>
    </w:p>
    <w:p w14:paraId="78A141CF">
      <w:pPr>
        <w:autoSpaceDE w:val="0"/>
        <w:autoSpaceDN w:val="0"/>
        <w:adjustRightInd w:val="0"/>
        <w:ind w:firstLine="480"/>
        <w:textAlignment w:val="center"/>
        <w:rPr>
          <w:rFonts w:cs="Times New Roman"/>
        </w:rPr>
      </w:pPr>
      <w:r>
        <w:rPr>
          <w:rFonts w:cs="Times New Roman"/>
        </w:rPr>
        <w:t>根据建设项目所涉及的地理位置及代表性，</w:t>
      </w:r>
      <w:r>
        <w:rPr>
          <w:rFonts w:hint="eastAsia" w:cs="Times New Roman"/>
        </w:rPr>
        <w:t>在干化场主导风向下风向5km内布设2</w:t>
      </w:r>
      <w:r>
        <w:rPr>
          <w:rFonts w:cs="Times New Roman"/>
        </w:rPr>
        <w:t>个</w:t>
      </w:r>
      <w:r>
        <w:rPr>
          <w:rFonts w:hint="eastAsia" w:cs="Times New Roman"/>
        </w:rPr>
        <w:t>大气</w:t>
      </w:r>
      <w:r>
        <w:rPr>
          <w:rFonts w:cs="Times New Roman"/>
        </w:rPr>
        <w:t>监测点。监测点位布设详见下表</w:t>
      </w:r>
      <w:r>
        <w:rPr>
          <w:rFonts w:hint="eastAsia" w:cs="Times New Roman"/>
        </w:rPr>
        <w:t>、下图</w:t>
      </w:r>
      <w:r>
        <w:rPr>
          <w:rFonts w:cs="Times New Roman"/>
        </w:rPr>
        <w:t>所示。</w:t>
      </w:r>
    </w:p>
    <w:p w14:paraId="03D0098A">
      <w:pPr>
        <w:pStyle w:val="29"/>
        <w:bidi w:val="0"/>
      </w:pPr>
      <w:r>
        <w:t>表</w:t>
      </w:r>
      <w:r>
        <w:rPr>
          <w:rFonts w:hint="eastAsia"/>
          <w:lang w:eastAsia="zh-CN"/>
        </w:rPr>
        <w:t>4.2</w:t>
      </w:r>
      <w:r>
        <w:t>-2  大气环境质量补充监测点位一览表</w:t>
      </w:r>
    </w:p>
    <w:tbl>
      <w:tblPr>
        <w:tblStyle w:val="1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7"/>
        <w:gridCol w:w="2337"/>
        <w:gridCol w:w="1700"/>
        <w:gridCol w:w="2808"/>
        <w:gridCol w:w="1768"/>
      </w:tblGrid>
      <w:tr w14:paraId="1D464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59" w:type="pct"/>
            <w:vAlign w:val="center"/>
          </w:tcPr>
          <w:p w14:paraId="6AA925A6">
            <w:pPr>
              <w:pStyle w:val="28"/>
              <w:bidi w:val="0"/>
            </w:pPr>
            <w:r>
              <w:t>编号</w:t>
            </w:r>
          </w:p>
        </w:tc>
        <w:tc>
          <w:tcPr>
            <w:tcW w:w="1258" w:type="pct"/>
            <w:vAlign w:val="center"/>
          </w:tcPr>
          <w:p w14:paraId="23687BA6">
            <w:pPr>
              <w:pStyle w:val="28"/>
              <w:bidi w:val="0"/>
            </w:pPr>
            <w:r>
              <w:t>监测点位名称</w:t>
            </w:r>
          </w:p>
        </w:tc>
        <w:tc>
          <w:tcPr>
            <w:tcW w:w="915" w:type="pct"/>
            <w:vAlign w:val="center"/>
          </w:tcPr>
          <w:p w14:paraId="59F2FE8C">
            <w:pPr>
              <w:pStyle w:val="28"/>
              <w:bidi w:val="0"/>
            </w:pPr>
            <w:r>
              <w:t>行政区域</w:t>
            </w:r>
          </w:p>
        </w:tc>
        <w:tc>
          <w:tcPr>
            <w:tcW w:w="1512" w:type="pct"/>
            <w:vAlign w:val="center"/>
          </w:tcPr>
          <w:p w14:paraId="4FEC0D59">
            <w:pPr>
              <w:pStyle w:val="28"/>
              <w:bidi w:val="0"/>
            </w:pPr>
            <w:r>
              <w:t>监测因子</w:t>
            </w:r>
          </w:p>
        </w:tc>
        <w:tc>
          <w:tcPr>
            <w:tcW w:w="952" w:type="pct"/>
            <w:vAlign w:val="center"/>
          </w:tcPr>
          <w:p w14:paraId="5E053A54">
            <w:pPr>
              <w:pStyle w:val="28"/>
              <w:bidi w:val="0"/>
            </w:pPr>
            <w:r>
              <w:t>控制级别</w:t>
            </w:r>
          </w:p>
        </w:tc>
      </w:tr>
      <w:tr w14:paraId="3E6E8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9" w:type="pct"/>
            <w:vAlign w:val="center"/>
          </w:tcPr>
          <w:p w14:paraId="1D2CC7B3">
            <w:pPr>
              <w:pStyle w:val="28"/>
              <w:bidi w:val="0"/>
            </w:pPr>
            <w:r>
              <w:rPr>
                <w:rFonts w:hint="eastAsia"/>
              </w:rPr>
              <w:t>G1</w:t>
            </w:r>
          </w:p>
        </w:tc>
        <w:tc>
          <w:tcPr>
            <w:tcW w:w="1258" w:type="pct"/>
            <w:vAlign w:val="center"/>
          </w:tcPr>
          <w:p w14:paraId="3E50138A">
            <w:pPr>
              <w:pStyle w:val="28"/>
              <w:bidi w:val="0"/>
            </w:pPr>
            <w:r>
              <w:rPr>
                <w:rFonts w:hint="eastAsia"/>
              </w:rPr>
              <w:t>干化场主导风向下风向1#</w:t>
            </w:r>
          </w:p>
        </w:tc>
        <w:tc>
          <w:tcPr>
            <w:tcW w:w="915" w:type="pct"/>
            <w:vAlign w:val="center"/>
          </w:tcPr>
          <w:p w14:paraId="29D8A75C">
            <w:pPr>
              <w:pStyle w:val="28"/>
              <w:bidi w:val="0"/>
            </w:pPr>
            <w:r>
              <w:rPr>
                <w:rFonts w:hint="eastAsia"/>
              </w:rPr>
              <w:t>谢家集</w:t>
            </w:r>
            <w:r>
              <w:t>区</w:t>
            </w:r>
          </w:p>
        </w:tc>
        <w:tc>
          <w:tcPr>
            <w:tcW w:w="1512" w:type="pct"/>
            <w:vAlign w:val="center"/>
          </w:tcPr>
          <w:p w14:paraId="7F7C28DB">
            <w:pPr>
              <w:pStyle w:val="28"/>
              <w:bidi w:val="0"/>
            </w:pPr>
            <w:r>
              <w:t>TSP、</w:t>
            </w:r>
            <w:r>
              <w:rPr>
                <w:rFonts w:hint="eastAsia"/>
              </w:rPr>
              <w:t>NH3</w:t>
            </w:r>
            <w:r>
              <w:t>、</w:t>
            </w:r>
            <w:r>
              <w:rPr>
                <w:rFonts w:hint="eastAsia"/>
              </w:rPr>
              <w:t>H2S</w:t>
            </w:r>
          </w:p>
        </w:tc>
        <w:tc>
          <w:tcPr>
            <w:tcW w:w="952" w:type="pct"/>
            <w:vAlign w:val="center"/>
          </w:tcPr>
          <w:p w14:paraId="1946CE20">
            <w:pPr>
              <w:pStyle w:val="28"/>
              <w:bidi w:val="0"/>
            </w:pPr>
            <w:r>
              <w:t>二类区</w:t>
            </w:r>
          </w:p>
        </w:tc>
      </w:tr>
      <w:tr w14:paraId="4633C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9" w:type="pct"/>
            <w:vAlign w:val="center"/>
          </w:tcPr>
          <w:p w14:paraId="3B21394F">
            <w:pPr>
              <w:pStyle w:val="28"/>
              <w:bidi w:val="0"/>
            </w:pPr>
            <w:r>
              <w:rPr>
                <w:rFonts w:hint="eastAsia"/>
              </w:rPr>
              <w:t>G2</w:t>
            </w:r>
          </w:p>
        </w:tc>
        <w:tc>
          <w:tcPr>
            <w:tcW w:w="1258" w:type="pct"/>
            <w:vAlign w:val="center"/>
          </w:tcPr>
          <w:p w14:paraId="65AC61EC">
            <w:pPr>
              <w:pStyle w:val="28"/>
              <w:bidi w:val="0"/>
            </w:pPr>
            <w:r>
              <w:rPr>
                <w:rFonts w:hint="eastAsia"/>
              </w:rPr>
              <w:t>干化场主导风向下风向2#</w:t>
            </w:r>
          </w:p>
        </w:tc>
        <w:tc>
          <w:tcPr>
            <w:tcW w:w="915" w:type="pct"/>
            <w:vAlign w:val="center"/>
          </w:tcPr>
          <w:p w14:paraId="16B824F2">
            <w:pPr>
              <w:pStyle w:val="28"/>
              <w:bidi w:val="0"/>
            </w:pPr>
            <w:r>
              <w:rPr>
                <w:rFonts w:hint="eastAsia"/>
              </w:rPr>
              <w:t>谢家集</w:t>
            </w:r>
            <w:r>
              <w:t>区</w:t>
            </w:r>
          </w:p>
        </w:tc>
        <w:tc>
          <w:tcPr>
            <w:tcW w:w="1512" w:type="pct"/>
            <w:vAlign w:val="center"/>
          </w:tcPr>
          <w:p w14:paraId="7AFDA539">
            <w:pPr>
              <w:pStyle w:val="28"/>
              <w:bidi w:val="0"/>
            </w:pPr>
            <w:r>
              <w:t>TSP、</w:t>
            </w:r>
            <w:r>
              <w:rPr>
                <w:rFonts w:hint="eastAsia"/>
              </w:rPr>
              <w:t>NH3</w:t>
            </w:r>
            <w:r>
              <w:t>、</w:t>
            </w:r>
            <w:r>
              <w:rPr>
                <w:rFonts w:hint="eastAsia"/>
              </w:rPr>
              <w:t>H2S</w:t>
            </w:r>
          </w:p>
        </w:tc>
        <w:tc>
          <w:tcPr>
            <w:tcW w:w="952" w:type="pct"/>
            <w:vAlign w:val="center"/>
          </w:tcPr>
          <w:p w14:paraId="403D307A">
            <w:pPr>
              <w:pStyle w:val="28"/>
              <w:bidi w:val="0"/>
            </w:pPr>
            <w:r>
              <w:t>二类区</w:t>
            </w:r>
          </w:p>
        </w:tc>
      </w:tr>
    </w:tbl>
    <w:p w14:paraId="040FFDE1">
      <w:pPr>
        <w:adjustRightInd w:val="0"/>
        <w:spacing w:line="240" w:lineRule="auto"/>
        <w:ind w:firstLine="480" w:firstLineChars="200"/>
        <w:textAlignment w:val="center"/>
        <w:rPr>
          <w:rFonts w:cs="Times New Roman"/>
        </w:rPr>
      </w:pPr>
    </w:p>
    <w:p w14:paraId="467ADC3B">
      <w:pPr>
        <w:adjustRightInd w:val="0"/>
        <w:ind w:firstLine="480" w:firstLineChars="200"/>
        <w:textAlignment w:val="center"/>
        <w:rPr>
          <w:rFonts w:cs="Times New Roman"/>
        </w:rPr>
      </w:pPr>
      <w:r>
        <w:rPr>
          <w:rFonts w:cs="Times New Roman"/>
        </w:rPr>
        <w:t>（2）监测因子及监测分析方法</w:t>
      </w:r>
    </w:p>
    <w:p w14:paraId="48248126">
      <w:pPr>
        <w:autoSpaceDE w:val="0"/>
        <w:autoSpaceDN w:val="0"/>
        <w:adjustRightInd w:val="0"/>
        <w:ind w:firstLine="480" w:firstLineChars="200"/>
        <w:textAlignment w:val="center"/>
        <w:rPr>
          <w:rFonts w:cs="Times New Roman"/>
        </w:rPr>
      </w:pPr>
      <w:r>
        <w:rPr>
          <w:rFonts w:cs="Times New Roman"/>
        </w:rPr>
        <w:t>监测因子：TSP、氨、硫化氢共</w:t>
      </w:r>
      <w:r>
        <w:rPr>
          <w:rFonts w:hint="eastAsia" w:cs="Times New Roman"/>
        </w:rPr>
        <w:t>3</w:t>
      </w:r>
      <w:r>
        <w:rPr>
          <w:rFonts w:cs="Times New Roman"/>
        </w:rPr>
        <w:t>项指标，同时观测风向、风速、气压、气温等常规气象要素。</w:t>
      </w:r>
    </w:p>
    <w:p w14:paraId="0570B6F3">
      <w:pPr>
        <w:autoSpaceDE w:val="0"/>
        <w:autoSpaceDN w:val="0"/>
        <w:adjustRightInd w:val="0"/>
        <w:ind w:firstLine="480" w:firstLineChars="200"/>
        <w:textAlignment w:val="center"/>
        <w:rPr>
          <w:rFonts w:cs="Times New Roman"/>
        </w:rPr>
      </w:pPr>
      <w:r>
        <w:rPr>
          <w:rFonts w:cs="Times New Roman"/>
        </w:rPr>
        <w:t>监测分析方法：按照生态环境部颁发的大气环境监测方法标准和《环境空气质量标准》（GB3095-2012）中的相关规定和要求执行。</w:t>
      </w:r>
    </w:p>
    <w:p w14:paraId="5F00D193">
      <w:pPr>
        <w:autoSpaceDE w:val="0"/>
        <w:autoSpaceDN w:val="0"/>
        <w:adjustRightInd w:val="0"/>
        <w:ind w:firstLine="480" w:firstLineChars="200"/>
        <w:textAlignment w:val="center"/>
        <w:rPr>
          <w:rFonts w:cs="Times New Roman"/>
        </w:rPr>
      </w:pPr>
      <w:r>
        <w:rPr>
          <w:rFonts w:cs="Times New Roman"/>
        </w:rPr>
        <w:t>（3）监测时段</w:t>
      </w:r>
    </w:p>
    <w:p w14:paraId="18F1A83E">
      <w:pPr>
        <w:adjustRightInd w:val="0"/>
        <w:ind w:firstLine="480" w:firstLineChars="200"/>
        <w:textAlignment w:val="center"/>
        <w:rPr>
          <w:rFonts w:cs="Times New Roman"/>
        </w:rPr>
      </w:pPr>
      <w:r>
        <w:rPr>
          <w:rFonts w:cs="Times New Roman"/>
        </w:rPr>
        <w:t>202</w:t>
      </w:r>
      <w:r>
        <w:rPr>
          <w:rFonts w:hint="eastAsia" w:cs="Times New Roman"/>
        </w:rPr>
        <w:t>4</w:t>
      </w:r>
      <w:r>
        <w:rPr>
          <w:rFonts w:cs="Times New Roman"/>
        </w:rPr>
        <w:t>年</w:t>
      </w:r>
      <w:r>
        <w:rPr>
          <w:rFonts w:hint="eastAsia" w:cs="Times New Roman"/>
        </w:rPr>
        <w:t>6</w:t>
      </w:r>
      <w:r>
        <w:rPr>
          <w:rFonts w:cs="Times New Roman"/>
        </w:rPr>
        <w:t>月</w:t>
      </w:r>
      <w:r>
        <w:rPr>
          <w:rFonts w:hint="eastAsia" w:cs="Times New Roman"/>
        </w:rPr>
        <w:t>27</w:t>
      </w:r>
      <w:r>
        <w:rPr>
          <w:rFonts w:cs="Times New Roman"/>
        </w:rPr>
        <w:t>日至</w:t>
      </w:r>
      <w:r>
        <w:rPr>
          <w:rFonts w:hint="eastAsia" w:cs="Times New Roman"/>
        </w:rPr>
        <w:t>7</w:t>
      </w:r>
      <w:r>
        <w:rPr>
          <w:rFonts w:cs="Times New Roman"/>
        </w:rPr>
        <w:t>月</w:t>
      </w:r>
      <w:r>
        <w:rPr>
          <w:rFonts w:hint="eastAsia" w:cs="Times New Roman"/>
        </w:rPr>
        <w:t>03</w:t>
      </w:r>
      <w:r>
        <w:rPr>
          <w:rFonts w:cs="Times New Roman"/>
        </w:rPr>
        <w:t>日，连续监测7天。</w:t>
      </w:r>
    </w:p>
    <w:p w14:paraId="4C37BD25">
      <w:pPr>
        <w:autoSpaceDE w:val="0"/>
        <w:autoSpaceDN w:val="0"/>
        <w:adjustRightInd w:val="0"/>
        <w:ind w:firstLine="480" w:firstLineChars="200"/>
        <w:textAlignment w:val="center"/>
        <w:rPr>
          <w:rFonts w:cs="Times New Roman"/>
        </w:rPr>
      </w:pPr>
      <w:r>
        <w:rPr>
          <w:rFonts w:cs="Times New Roman"/>
        </w:rPr>
        <w:t>（4）监测结果</w:t>
      </w:r>
    </w:p>
    <w:p w14:paraId="1C735F49">
      <w:pPr>
        <w:autoSpaceDE w:val="0"/>
        <w:autoSpaceDN w:val="0"/>
        <w:adjustRightInd w:val="0"/>
        <w:ind w:firstLine="480" w:firstLineChars="200"/>
        <w:textAlignment w:val="center"/>
        <w:rPr>
          <w:rFonts w:cs="Times New Roman"/>
        </w:rPr>
      </w:pPr>
      <w:r>
        <w:rPr>
          <w:rFonts w:cs="Times New Roman"/>
        </w:rPr>
        <w:t>H</w:t>
      </w:r>
      <w:r>
        <w:rPr>
          <w:rFonts w:cs="Times New Roman"/>
          <w:vertAlign w:val="subscript"/>
        </w:rPr>
        <w:t>2</w:t>
      </w:r>
      <w:r>
        <w:rPr>
          <w:rFonts w:cs="Times New Roman"/>
        </w:rPr>
        <w:t>S、NH</w:t>
      </w:r>
      <w:r>
        <w:rPr>
          <w:rFonts w:cs="Times New Roman"/>
          <w:vertAlign w:val="subscript"/>
        </w:rPr>
        <w:t>3</w:t>
      </w:r>
      <w:r>
        <w:rPr>
          <w:rFonts w:cs="Times New Roman"/>
        </w:rPr>
        <w:t>执行《环境影响评价技术导则 大气环境》（HJ2.2-2018）附录D表D.1其他污染物空气质量浓度参考限值，TSP执行《环境空气质量标准》（GB 3095-2012）表2其他项目浓度限值。监测及评价结果见下表。</w:t>
      </w:r>
    </w:p>
    <w:p w14:paraId="041CF2D0">
      <w:pPr>
        <w:pStyle w:val="29"/>
        <w:bidi w:val="0"/>
      </w:pPr>
      <w:r>
        <w:t>表</w:t>
      </w:r>
      <w:r>
        <w:rPr>
          <w:rFonts w:hint="eastAsia"/>
          <w:lang w:eastAsia="zh-CN"/>
        </w:rPr>
        <w:t>4.2</w:t>
      </w:r>
      <w:r>
        <w:t>-</w:t>
      </w:r>
      <w:r>
        <w:rPr>
          <w:rFonts w:hint="eastAsia"/>
        </w:rPr>
        <w:t>3</w:t>
      </w:r>
      <w:r>
        <w:t xml:space="preserve">  </w:t>
      </w:r>
      <w:r>
        <w:rPr>
          <w:rFonts w:hint="eastAsia"/>
        </w:rPr>
        <w:t>环境空气参数一览表</w:t>
      </w:r>
      <w:r>
        <w:t xml:space="preserve">    单位：mg/m</w:t>
      </w:r>
      <w:r>
        <w:rPr>
          <w:vertAlign w:val="superscript"/>
        </w:rPr>
        <w:t>3</w:t>
      </w:r>
    </w:p>
    <w:tbl>
      <w:tblPr>
        <w:tblStyle w:val="16"/>
        <w:tblW w:w="499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5"/>
        <w:gridCol w:w="1880"/>
        <w:gridCol w:w="1880"/>
        <w:gridCol w:w="1880"/>
        <w:gridCol w:w="1883"/>
      </w:tblGrid>
      <w:tr w14:paraId="52FEB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1" w:type="pct"/>
            <w:vAlign w:val="center"/>
          </w:tcPr>
          <w:p w14:paraId="52854AEF">
            <w:pPr>
              <w:pStyle w:val="28"/>
              <w:bidi w:val="0"/>
            </w:pPr>
            <w:r>
              <w:t>采样时间</w:t>
            </w:r>
          </w:p>
        </w:tc>
        <w:tc>
          <w:tcPr>
            <w:tcW w:w="1014" w:type="pct"/>
            <w:vAlign w:val="center"/>
          </w:tcPr>
          <w:p w14:paraId="02E5768D">
            <w:pPr>
              <w:pStyle w:val="28"/>
              <w:bidi w:val="0"/>
            </w:pPr>
            <w:r>
              <w:t>风向/风速</w:t>
            </w:r>
            <w:r>
              <w:rPr>
                <w:rFonts w:hint="eastAsia"/>
              </w:rPr>
              <w:t>（</w:t>
            </w:r>
            <w:r>
              <w:t>m/s</w:t>
            </w:r>
            <w:r>
              <w:rPr>
                <w:rFonts w:hint="eastAsia"/>
              </w:rPr>
              <w:t>）</w:t>
            </w:r>
          </w:p>
        </w:tc>
        <w:tc>
          <w:tcPr>
            <w:tcW w:w="1014" w:type="pct"/>
            <w:vAlign w:val="center"/>
          </w:tcPr>
          <w:p w14:paraId="4C321033">
            <w:pPr>
              <w:pStyle w:val="28"/>
              <w:bidi w:val="0"/>
            </w:pPr>
            <w:r>
              <w:t>大气压</w:t>
            </w:r>
            <w:r>
              <w:rPr>
                <w:rFonts w:hint="eastAsia"/>
              </w:rPr>
              <w:t>（h</w:t>
            </w:r>
            <w:r>
              <w:t>Pa</w:t>
            </w:r>
            <w:r>
              <w:rPr>
                <w:rFonts w:hint="eastAsia"/>
              </w:rPr>
              <w:t>）</w:t>
            </w:r>
          </w:p>
        </w:tc>
        <w:tc>
          <w:tcPr>
            <w:tcW w:w="1014" w:type="pct"/>
            <w:vAlign w:val="center"/>
          </w:tcPr>
          <w:p w14:paraId="453FACDE">
            <w:pPr>
              <w:pStyle w:val="28"/>
              <w:bidi w:val="0"/>
            </w:pPr>
            <w:r>
              <w:t>气温</w:t>
            </w:r>
            <w:r>
              <w:rPr>
                <w:rFonts w:hint="eastAsia"/>
              </w:rPr>
              <w:t>（</w:t>
            </w:r>
            <w:r>
              <w:t>℃</w:t>
            </w:r>
            <w:r>
              <w:rPr>
                <w:rFonts w:hint="eastAsia"/>
              </w:rPr>
              <w:t>）</w:t>
            </w:r>
          </w:p>
        </w:tc>
        <w:tc>
          <w:tcPr>
            <w:tcW w:w="1015" w:type="pct"/>
            <w:vAlign w:val="center"/>
          </w:tcPr>
          <w:p w14:paraId="08304DB1">
            <w:pPr>
              <w:pStyle w:val="28"/>
              <w:bidi w:val="0"/>
            </w:pPr>
            <w:r>
              <w:t>天气状况</w:t>
            </w:r>
          </w:p>
        </w:tc>
      </w:tr>
      <w:tr w14:paraId="7AF31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1" w:type="pct"/>
            <w:vAlign w:val="center"/>
          </w:tcPr>
          <w:p w14:paraId="114A9458">
            <w:pPr>
              <w:pStyle w:val="28"/>
              <w:bidi w:val="0"/>
            </w:pPr>
            <w:r>
              <w:t>202</w:t>
            </w:r>
            <w:r>
              <w:rPr>
                <w:rFonts w:hint="eastAsia"/>
              </w:rPr>
              <w:t>4</w:t>
            </w:r>
            <w:r>
              <w:t>/0</w:t>
            </w:r>
            <w:r>
              <w:rPr>
                <w:rFonts w:hint="eastAsia"/>
              </w:rPr>
              <w:t>6</w:t>
            </w:r>
            <w:r>
              <w:t>/2</w:t>
            </w:r>
            <w:r>
              <w:rPr>
                <w:rFonts w:hint="eastAsia"/>
              </w:rPr>
              <w:t>7</w:t>
            </w:r>
          </w:p>
        </w:tc>
        <w:tc>
          <w:tcPr>
            <w:tcW w:w="1014" w:type="pct"/>
            <w:vAlign w:val="center"/>
          </w:tcPr>
          <w:p w14:paraId="35E3D4B2">
            <w:pPr>
              <w:pStyle w:val="28"/>
              <w:bidi w:val="0"/>
            </w:pPr>
            <w:r>
              <w:rPr>
                <w:rFonts w:hint="eastAsia"/>
              </w:rPr>
              <w:t>西</w:t>
            </w:r>
            <w:r>
              <w:t>南/1.</w:t>
            </w:r>
            <w:r>
              <w:rPr>
                <w:rFonts w:hint="eastAsia"/>
              </w:rPr>
              <w:t>2~1.3</w:t>
            </w:r>
          </w:p>
        </w:tc>
        <w:tc>
          <w:tcPr>
            <w:tcW w:w="1014" w:type="pct"/>
            <w:vAlign w:val="center"/>
          </w:tcPr>
          <w:p w14:paraId="59FF011F">
            <w:pPr>
              <w:pStyle w:val="28"/>
              <w:bidi w:val="0"/>
            </w:pPr>
            <w:r>
              <w:rPr>
                <w:rFonts w:hint="eastAsia"/>
              </w:rPr>
              <w:t>1004~1005</w:t>
            </w:r>
          </w:p>
        </w:tc>
        <w:tc>
          <w:tcPr>
            <w:tcW w:w="1014" w:type="pct"/>
            <w:vAlign w:val="center"/>
          </w:tcPr>
          <w:p w14:paraId="5CD16B15">
            <w:pPr>
              <w:pStyle w:val="28"/>
              <w:bidi w:val="0"/>
            </w:pPr>
            <w:r>
              <w:rPr>
                <w:rFonts w:hint="eastAsia"/>
              </w:rPr>
              <w:t>27.5</w:t>
            </w:r>
            <w:r>
              <w:t>~</w:t>
            </w:r>
            <w:r>
              <w:rPr>
                <w:rFonts w:hint="eastAsia"/>
              </w:rPr>
              <w:t>31.5</w:t>
            </w:r>
          </w:p>
        </w:tc>
        <w:tc>
          <w:tcPr>
            <w:tcW w:w="1015" w:type="pct"/>
            <w:vAlign w:val="center"/>
          </w:tcPr>
          <w:p w14:paraId="4B1954D1">
            <w:pPr>
              <w:pStyle w:val="28"/>
              <w:bidi w:val="0"/>
            </w:pPr>
            <w:r>
              <w:rPr>
                <w:rFonts w:hint="eastAsia"/>
              </w:rPr>
              <w:t>阴</w:t>
            </w:r>
          </w:p>
        </w:tc>
      </w:tr>
      <w:tr w14:paraId="38B50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1" w:type="pct"/>
            <w:vAlign w:val="center"/>
          </w:tcPr>
          <w:p w14:paraId="46E133AF">
            <w:pPr>
              <w:pStyle w:val="28"/>
              <w:bidi w:val="0"/>
            </w:pPr>
            <w:r>
              <w:t>202</w:t>
            </w:r>
            <w:r>
              <w:rPr>
                <w:rFonts w:hint="eastAsia"/>
              </w:rPr>
              <w:t>4</w:t>
            </w:r>
            <w:r>
              <w:t>/0</w:t>
            </w:r>
            <w:r>
              <w:rPr>
                <w:rFonts w:hint="eastAsia"/>
              </w:rPr>
              <w:t>6</w:t>
            </w:r>
            <w:r>
              <w:t>/2</w:t>
            </w:r>
            <w:r>
              <w:rPr>
                <w:rFonts w:hint="eastAsia"/>
              </w:rPr>
              <w:t>8</w:t>
            </w:r>
          </w:p>
        </w:tc>
        <w:tc>
          <w:tcPr>
            <w:tcW w:w="1014" w:type="pct"/>
            <w:vAlign w:val="center"/>
          </w:tcPr>
          <w:p w14:paraId="553298AC">
            <w:pPr>
              <w:pStyle w:val="28"/>
              <w:bidi w:val="0"/>
            </w:pPr>
            <w:r>
              <w:rPr>
                <w:rFonts w:hint="eastAsia"/>
              </w:rPr>
              <w:t>西</w:t>
            </w:r>
            <w:r>
              <w:t>/</w:t>
            </w:r>
            <w:r>
              <w:rPr>
                <w:rFonts w:hint="eastAsia"/>
              </w:rPr>
              <w:t>1.1~1.2</w:t>
            </w:r>
          </w:p>
        </w:tc>
        <w:tc>
          <w:tcPr>
            <w:tcW w:w="1014" w:type="pct"/>
            <w:vAlign w:val="center"/>
          </w:tcPr>
          <w:p w14:paraId="20CC48C7">
            <w:pPr>
              <w:pStyle w:val="28"/>
              <w:bidi w:val="0"/>
            </w:pPr>
            <w:r>
              <w:rPr>
                <w:rFonts w:hint="eastAsia"/>
              </w:rPr>
              <w:t>1004~1005</w:t>
            </w:r>
          </w:p>
        </w:tc>
        <w:tc>
          <w:tcPr>
            <w:tcW w:w="1014" w:type="pct"/>
            <w:vAlign w:val="center"/>
          </w:tcPr>
          <w:p w14:paraId="26B2B77A">
            <w:pPr>
              <w:pStyle w:val="28"/>
              <w:bidi w:val="0"/>
            </w:pPr>
            <w:r>
              <w:rPr>
                <w:rFonts w:hint="eastAsia"/>
              </w:rPr>
              <w:t>27.0</w:t>
            </w:r>
            <w:r>
              <w:t>~</w:t>
            </w:r>
            <w:r>
              <w:rPr>
                <w:rFonts w:hint="eastAsia"/>
              </w:rPr>
              <w:t>30.8</w:t>
            </w:r>
          </w:p>
        </w:tc>
        <w:tc>
          <w:tcPr>
            <w:tcW w:w="1015" w:type="pct"/>
            <w:vAlign w:val="center"/>
          </w:tcPr>
          <w:p w14:paraId="59818A90">
            <w:pPr>
              <w:pStyle w:val="28"/>
              <w:bidi w:val="0"/>
            </w:pPr>
            <w:r>
              <w:t>多云</w:t>
            </w:r>
          </w:p>
        </w:tc>
      </w:tr>
      <w:tr w14:paraId="3E9B54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1" w:type="pct"/>
            <w:vAlign w:val="center"/>
          </w:tcPr>
          <w:p w14:paraId="73357552">
            <w:pPr>
              <w:pStyle w:val="28"/>
              <w:bidi w:val="0"/>
            </w:pPr>
            <w:r>
              <w:t>202</w:t>
            </w:r>
            <w:r>
              <w:rPr>
                <w:rFonts w:hint="eastAsia"/>
              </w:rPr>
              <w:t>4</w:t>
            </w:r>
            <w:r>
              <w:t>/0</w:t>
            </w:r>
            <w:r>
              <w:rPr>
                <w:rFonts w:hint="eastAsia"/>
              </w:rPr>
              <w:t>6</w:t>
            </w:r>
            <w:r>
              <w:t>/</w:t>
            </w:r>
            <w:r>
              <w:rPr>
                <w:rFonts w:hint="eastAsia"/>
              </w:rPr>
              <w:t>29</w:t>
            </w:r>
          </w:p>
        </w:tc>
        <w:tc>
          <w:tcPr>
            <w:tcW w:w="1014" w:type="pct"/>
            <w:vAlign w:val="center"/>
          </w:tcPr>
          <w:p w14:paraId="2784534C">
            <w:pPr>
              <w:pStyle w:val="28"/>
              <w:bidi w:val="0"/>
            </w:pPr>
            <w:r>
              <w:rPr>
                <w:rFonts w:hint="eastAsia"/>
              </w:rPr>
              <w:t>北</w:t>
            </w:r>
            <w:r>
              <w:t>/</w:t>
            </w:r>
            <w:r>
              <w:rPr>
                <w:rFonts w:hint="eastAsia"/>
              </w:rPr>
              <w:t>1.1~1.2</w:t>
            </w:r>
          </w:p>
        </w:tc>
        <w:tc>
          <w:tcPr>
            <w:tcW w:w="1014" w:type="pct"/>
            <w:vAlign w:val="center"/>
          </w:tcPr>
          <w:p w14:paraId="29353CC7">
            <w:pPr>
              <w:pStyle w:val="28"/>
              <w:bidi w:val="0"/>
            </w:pPr>
            <w:r>
              <w:rPr>
                <w:rFonts w:hint="eastAsia"/>
              </w:rPr>
              <w:t>1005~1006</w:t>
            </w:r>
          </w:p>
        </w:tc>
        <w:tc>
          <w:tcPr>
            <w:tcW w:w="1014" w:type="pct"/>
            <w:vAlign w:val="center"/>
          </w:tcPr>
          <w:p w14:paraId="77D3AA2D">
            <w:pPr>
              <w:pStyle w:val="28"/>
              <w:bidi w:val="0"/>
            </w:pPr>
            <w:r>
              <w:rPr>
                <w:rFonts w:hint="eastAsia"/>
              </w:rPr>
              <w:t>26.2</w:t>
            </w:r>
            <w:r>
              <w:t>~-</w:t>
            </w:r>
            <w:r>
              <w:rPr>
                <w:rFonts w:hint="eastAsia"/>
              </w:rPr>
              <w:t>28.3</w:t>
            </w:r>
          </w:p>
        </w:tc>
        <w:tc>
          <w:tcPr>
            <w:tcW w:w="1015" w:type="pct"/>
            <w:vAlign w:val="center"/>
          </w:tcPr>
          <w:p w14:paraId="2E838635">
            <w:pPr>
              <w:pStyle w:val="28"/>
              <w:bidi w:val="0"/>
            </w:pPr>
            <w:r>
              <w:rPr>
                <w:rFonts w:hint="eastAsia"/>
              </w:rPr>
              <w:t>阴</w:t>
            </w:r>
          </w:p>
        </w:tc>
      </w:tr>
      <w:tr w14:paraId="360FB5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1" w:type="pct"/>
            <w:vAlign w:val="center"/>
          </w:tcPr>
          <w:p w14:paraId="76AE87DA">
            <w:pPr>
              <w:pStyle w:val="28"/>
              <w:bidi w:val="0"/>
            </w:pPr>
            <w:r>
              <w:t>202</w:t>
            </w:r>
            <w:r>
              <w:rPr>
                <w:rFonts w:hint="eastAsia"/>
              </w:rPr>
              <w:t>4</w:t>
            </w:r>
            <w:r>
              <w:t>/0</w:t>
            </w:r>
            <w:r>
              <w:rPr>
                <w:rFonts w:hint="eastAsia"/>
              </w:rPr>
              <w:t>6</w:t>
            </w:r>
            <w:r>
              <w:t>/</w:t>
            </w:r>
            <w:r>
              <w:rPr>
                <w:rFonts w:hint="eastAsia"/>
              </w:rPr>
              <w:t>30</w:t>
            </w:r>
          </w:p>
        </w:tc>
        <w:tc>
          <w:tcPr>
            <w:tcW w:w="1014" w:type="pct"/>
            <w:vAlign w:val="center"/>
          </w:tcPr>
          <w:p w14:paraId="4AF3106D">
            <w:pPr>
              <w:pStyle w:val="28"/>
              <w:bidi w:val="0"/>
            </w:pPr>
            <w:r>
              <w:rPr>
                <w:rFonts w:hint="eastAsia"/>
              </w:rPr>
              <w:t>西南1.1~1.3</w:t>
            </w:r>
          </w:p>
        </w:tc>
        <w:tc>
          <w:tcPr>
            <w:tcW w:w="1014" w:type="pct"/>
            <w:vAlign w:val="center"/>
          </w:tcPr>
          <w:p w14:paraId="72F053A2">
            <w:pPr>
              <w:pStyle w:val="28"/>
              <w:bidi w:val="0"/>
            </w:pPr>
            <w:r>
              <w:rPr>
                <w:rFonts w:hint="eastAsia"/>
              </w:rPr>
              <w:t>1004~1005</w:t>
            </w:r>
          </w:p>
        </w:tc>
        <w:tc>
          <w:tcPr>
            <w:tcW w:w="1014" w:type="pct"/>
            <w:vAlign w:val="center"/>
          </w:tcPr>
          <w:p w14:paraId="11802F00">
            <w:pPr>
              <w:pStyle w:val="28"/>
              <w:bidi w:val="0"/>
            </w:pPr>
            <w:r>
              <w:rPr>
                <w:rFonts w:hint="eastAsia"/>
              </w:rPr>
              <w:t>27.2</w:t>
            </w:r>
            <w:r>
              <w:t>~</w:t>
            </w:r>
            <w:r>
              <w:rPr>
                <w:rFonts w:hint="eastAsia"/>
              </w:rPr>
              <w:t>29.3</w:t>
            </w:r>
          </w:p>
        </w:tc>
        <w:tc>
          <w:tcPr>
            <w:tcW w:w="1015" w:type="pct"/>
            <w:vAlign w:val="center"/>
          </w:tcPr>
          <w:p w14:paraId="21C9634A">
            <w:pPr>
              <w:pStyle w:val="28"/>
              <w:bidi w:val="0"/>
            </w:pPr>
            <w:r>
              <w:rPr>
                <w:rFonts w:hint="eastAsia"/>
              </w:rPr>
              <w:t>阴</w:t>
            </w:r>
          </w:p>
        </w:tc>
      </w:tr>
      <w:tr w14:paraId="04F9E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1" w:type="pct"/>
            <w:vAlign w:val="center"/>
          </w:tcPr>
          <w:p w14:paraId="2364E3BF">
            <w:pPr>
              <w:pStyle w:val="28"/>
              <w:bidi w:val="0"/>
            </w:pPr>
            <w:r>
              <w:t>202</w:t>
            </w:r>
            <w:r>
              <w:rPr>
                <w:rFonts w:hint="eastAsia"/>
              </w:rPr>
              <w:t>4</w:t>
            </w:r>
            <w:r>
              <w:t>/0</w:t>
            </w:r>
            <w:r>
              <w:rPr>
                <w:rFonts w:hint="eastAsia"/>
              </w:rPr>
              <w:t>7</w:t>
            </w:r>
            <w:r>
              <w:t>/</w:t>
            </w:r>
            <w:r>
              <w:rPr>
                <w:rFonts w:hint="eastAsia"/>
              </w:rPr>
              <w:t>01</w:t>
            </w:r>
          </w:p>
        </w:tc>
        <w:tc>
          <w:tcPr>
            <w:tcW w:w="1014" w:type="pct"/>
            <w:vAlign w:val="center"/>
          </w:tcPr>
          <w:p w14:paraId="7E34F90B">
            <w:pPr>
              <w:pStyle w:val="28"/>
              <w:bidi w:val="0"/>
            </w:pPr>
            <w:r>
              <w:t>北/</w:t>
            </w:r>
            <w:r>
              <w:rPr>
                <w:rFonts w:hint="eastAsia"/>
              </w:rPr>
              <w:t>1.1~1.3</w:t>
            </w:r>
          </w:p>
        </w:tc>
        <w:tc>
          <w:tcPr>
            <w:tcW w:w="1014" w:type="pct"/>
            <w:vAlign w:val="center"/>
          </w:tcPr>
          <w:p w14:paraId="6D2EC66E">
            <w:pPr>
              <w:pStyle w:val="28"/>
              <w:bidi w:val="0"/>
            </w:pPr>
            <w:r>
              <w:rPr>
                <w:rFonts w:hint="eastAsia"/>
              </w:rPr>
              <w:t>1005~1006</w:t>
            </w:r>
          </w:p>
        </w:tc>
        <w:tc>
          <w:tcPr>
            <w:tcW w:w="1014" w:type="pct"/>
            <w:vAlign w:val="center"/>
          </w:tcPr>
          <w:p w14:paraId="77E1D850">
            <w:pPr>
              <w:pStyle w:val="28"/>
              <w:bidi w:val="0"/>
            </w:pPr>
            <w:r>
              <w:rPr>
                <w:rFonts w:hint="eastAsia"/>
              </w:rPr>
              <w:t>27.1</w:t>
            </w:r>
            <w:r>
              <w:t>~</w:t>
            </w:r>
            <w:r>
              <w:rPr>
                <w:rFonts w:hint="eastAsia"/>
              </w:rPr>
              <w:t>29.7</w:t>
            </w:r>
          </w:p>
        </w:tc>
        <w:tc>
          <w:tcPr>
            <w:tcW w:w="1015" w:type="pct"/>
            <w:vAlign w:val="center"/>
          </w:tcPr>
          <w:p w14:paraId="0AD18FE9">
            <w:pPr>
              <w:pStyle w:val="28"/>
              <w:bidi w:val="0"/>
            </w:pPr>
            <w:r>
              <w:t>多云</w:t>
            </w:r>
          </w:p>
        </w:tc>
      </w:tr>
      <w:tr w14:paraId="6F84F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 w:hRule="atLeast"/>
          <w:jc w:val="center"/>
        </w:trPr>
        <w:tc>
          <w:tcPr>
            <w:tcW w:w="941" w:type="pct"/>
            <w:vAlign w:val="center"/>
          </w:tcPr>
          <w:p w14:paraId="724293FA">
            <w:pPr>
              <w:pStyle w:val="28"/>
              <w:bidi w:val="0"/>
            </w:pPr>
            <w:r>
              <w:t>202</w:t>
            </w:r>
            <w:r>
              <w:rPr>
                <w:rFonts w:hint="eastAsia"/>
              </w:rPr>
              <w:t>4</w:t>
            </w:r>
            <w:r>
              <w:t>/0</w:t>
            </w:r>
            <w:r>
              <w:rPr>
                <w:rFonts w:hint="eastAsia"/>
              </w:rPr>
              <w:t>7</w:t>
            </w:r>
            <w:r>
              <w:t>/</w:t>
            </w:r>
            <w:r>
              <w:rPr>
                <w:rFonts w:hint="eastAsia"/>
              </w:rPr>
              <w:t>02</w:t>
            </w:r>
          </w:p>
        </w:tc>
        <w:tc>
          <w:tcPr>
            <w:tcW w:w="1014" w:type="pct"/>
            <w:vAlign w:val="center"/>
          </w:tcPr>
          <w:p w14:paraId="1CFA701E">
            <w:pPr>
              <w:pStyle w:val="28"/>
              <w:bidi w:val="0"/>
            </w:pPr>
            <w:r>
              <w:rPr>
                <w:rFonts w:hint="eastAsia"/>
              </w:rPr>
              <w:t>西</w:t>
            </w:r>
            <w:r>
              <w:t>/</w:t>
            </w:r>
            <w:r>
              <w:rPr>
                <w:rFonts w:hint="eastAsia"/>
              </w:rPr>
              <w:t>1.1~1.2</w:t>
            </w:r>
          </w:p>
        </w:tc>
        <w:tc>
          <w:tcPr>
            <w:tcW w:w="1014" w:type="pct"/>
            <w:vAlign w:val="center"/>
          </w:tcPr>
          <w:p w14:paraId="2170F13E">
            <w:pPr>
              <w:pStyle w:val="28"/>
              <w:bidi w:val="0"/>
            </w:pPr>
            <w:r>
              <w:rPr>
                <w:rFonts w:hint="eastAsia"/>
              </w:rPr>
              <w:t>1006~1007</w:t>
            </w:r>
          </w:p>
        </w:tc>
        <w:tc>
          <w:tcPr>
            <w:tcW w:w="1014" w:type="pct"/>
            <w:vAlign w:val="center"/>
          </w:tcPr>
          <w:p w14:paraId="33FD53F5">
            <w:pPr>
              <w:pStyle w:val="28"/>
              <w:bidi w:val="0"/>
            </w:pPr>
            <w:r>
              <w:rPr>
                <w:rFonts w:hint="eastAsia"/>
              </w:rPr>
              <w:t>24.6</w:t>
            </w:r>
            <w:r>
              <w:t>~</w:t>
            </w:r>
            <w:r>
              <w:rPr>
                <w:rFonts w:hint="eastAsia"/>
              </w:rPr>
              <w:t>27.3</w:t>
            </w:r>
          </w:p>
        </w:tc>
        <w:tc>
          <w:tcPr>
            <w:tcW w:w="1015" w:type="pct"/>
            <w:vAlign w:val="center"/>
          </w:tcPr>
          <w:p w14:paraId="5FEF2D94">
            <w:pPr>
              <w:pStyle w:val="28"/>
              <w:bidi w:val="0"/>
            </w:pPr>
            <w:r>
              <w:rPr>
                <w:rFonts w:hint="eastAsia"/>
              </w:rPr>
              <w:t>阴</w:t>
            </w:r>
          </w:p>
        </w:tc>
      </w:tr>
      <w:tr w14:paraId="235C9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41" w:type="pct"/>
            <w:vAlign w:val="center"/>
          </w:tcPr>
          <w:p w14:paraId="2F7CD0E4">
            <w:pPr>
              <w:pStyle w:val="28"/>
              <w:bidi w:val="0"/>
            </w:pPr>
            <w:r>
              <w:t>202</w:t>
            </w:r>
            <w:r>
              <w:rPr>
                <w:rFonts w:hint="eastAsia"/>
              </w:rPr>
              <w:t>4</w:t>
            </w:r>
            <w:r>
              <w:t>/0</w:t>
            </w:r>
            <w:r>
              <w:rPr>
                <w:rFonts w:hint="eastAsia"/>
              </w:rPr>
              <w:t>7</w:t>
            </w:r>
            <w:r>
              <w:t>/</w:t>
            </w:r>
            <w:r>
              <w:rPr>
                <w:rFonts w:hint="eastAsia"/>
              </w:rPr>
              <w:t>03</w:t>
            </w:r>
          </w:p>
        </w:tc>
        <w:tc>
          <w:tcPr>
            <w:tcW w:w="1014" w:type="pct"/>
            <w:vAlign w:val="center"/>
          </w:tcPr>
          <w:p w14:paraId="38E2D016">
            <w:pPr>
              <w:pStyle w:val="28"/>
              <w:bidi w:val="0"/>
            </w:pPr>
            <w:r>
              <w:rPr>
                <w:rFonts w:hint="eastAsia"/>
              </w:rPr>
              <w:t>西</w:t>
            </w:r>
            <w:r>
              <w:t>北/1.</w:t>
            </w:r>
            <w:r>
              <w:rPr>
                <w:rFonts w:hint="eastAsia"/>
              </w:rPr>
              <w:t>2~1.3</w:t>
            </w:r>
          </w:p>
        </w:tc>
        <w:tc>
          <w:tcPr>
            <w:tcW w:w="1014" w:type="pct"/>
            <w:vAlign w:val="center"/>
          </w:tcPr>
          <w:p w14:paraId="56C773AB">
            <w:pPr>
              <w:pStyle w:val="28"/>
              <w:bidi w:val="0"/>
            </w:pPr>
            <w:r>
              <w:rPr>
                <w:rFonts w:hint="eastAsia"/>
              </w:rPr>
              <w:t>1003~1004</w:t>
            </w:r>
          </w:p>
        </w:tc>
        <w:tc>
          <w:tcPr>
            <w:tcW w:w="1014" w:type="pct"/>
            <w:vAlign w:val="center"/>
          </w:tcPr>
          <w:p w14:paraId="1C37E613">
            <w:pPr>
              <w:pStyle w:val="28"/>
              <w:bidi w:val="0"/>
            </w:pPr>
            <w:r>
              <w:rPr>
                <w:rFonts w:hint="eastAsia"/>
              </w:rPr>
              <w:t>28.0</w:t>
            </w:r>
            <w:r>
              <w:t>~</w:t>
            </w:r>
            <w:r>
              <w:rPr>
                <w:rFonts w:hint="eastAsia"/>
              </w:rPr>
              <w:t>30.1</w:t>
            </w:r>
          </w:p>
        </w:tc>
        <w:tc>
          <w:tcPr>
            <w:tcW w:w="1015" w:type="pct"/>
            <w:vAlign w:val="center"/>
          </w:tcPr>
          <w:p w14:paraId="302BC4D6">
            <w:pPr>
              <w:pStyle w:val="28"/>
              <w:bidi w:val="0"/>
            </w:pPr>
            <w:r>
              <w:rPr>
                <w:rFonts w:hint="eastAsia"/>
              </w:rPr>
              <w:t>阴</w:t>
            </w:r>
          </w:p>
        </w:tc>
      </w:tr>
    </w:tbl>
    <w:p w14:paraId="2BF2AE76">
      <w:pPr>
        <w:adjustRightInd w:val="0"/>
        <w:spacing w:line="240" w:lineRule="auto"/>
        <w:ind w:firstLine="480"/>
        <w:jc w:val="center"/>
        <w:textAlignment w:val="center"/>
        <w:rPr>
          <w:rFonts w:eastAsia="黑体" w:cs="Times New Roman"/>
          <w:bCs/>
          <w:color w:val="0000FF"/>
        </w:rPr>
      </w:pPr>
    </w:p>
    <w:p w14:paraId="42206E1D">
      <w:pPr>
        <w:pStyle w:val="29"/>
        <w:bidi w:val="0"/>
      </w:pPr>
      <w:r>
        <w:t>表</w:t>
      </w:r>
      <w:r>
        <w:rPr>
          <w:rFonts w:hint="eastAsia"/>
          <w:lang w:eastAsia="zh-CN"/>
        </w:rPr>
        <w:t>4.2</w:t>
      </w:r>
      <w:r>
        <w:t>-</w:t>
      </w:r>
      <w:r>
        <w:rPr>
          <w:rFonts w:hint="eastAsia"/>
        </w:rPr>
        <w:t>4</w:t>
      </w:r>
      <w:r>
        <w:t xml:space="preserve">  </w:t>
      </w:r>
      <w:r>
        <w:rPr>
          <w:rFonts w:hint="eastAsia"/>
        </w:rPr>
        <w:t>TSP日平均浓度</w:t>
      </w:r>
      <w:r>
        <w:t>补充监测结果一览表    单位：</w:t>
      </w:r>
      <w:r>
        <w:rPr>
          <w:rFonts w:hint="eastAsia"/>
        </w:rPr>
        <w:t>μ</w:t>
      </w:r>
      <w:r>
        <w:t>g/m</w:t>
      </w:r>
      <w:r>
        <w:rPr>
          <w:vertAlign w:val="superscript"/>
        </w:rPr>
        <w:t>3</w:t>
      </w:r>
    </w:p>
    <w:tbl>
      <w:tblPr>
        <w:tblStyle w:val="16"/>
        <w:tblpPr w:leftFromText="180" w:rightFromText="180" w:vertAnchor="text" w:horzAnchor="page" w:tblpX="1340" w:tblpY="12"/>
        <w:tblOverlap w:val="never"/>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08"/>
        <w:gridCol w:w="3036"/>
        <w:gridCol w:w="3037"/>
      </w:tblGrid>
      <w:tr w14:paraId="32C7E6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28" w:type="pct"/>
            <w:vMerge w:val="restart"/>
            <w:vAlign w:val="center"/>
          </w:tcPr>
          <w:p w14:paraId="66DB4A67">
            <w:pPr>
              <w:pStyle w:val="28"/>
              <w:bidi w:val="0"/>
            </w:pPr>
            <w:r>
              <w:t>采样时间</w:t>
            </w:r>
          </w:p>
        </w:tc>
        <w:tc>
          <w:tcPr>
            <w:tcW w:w="3271" w:type="pct"/>
            <w:gridSpan w:val="2"/>
            <w:vAlign w:val="center"/>
          </w:tcPr>
          <w:p w14:paraId="6923091F">
            <w:pPr>
              <w:pStyle w:val="28"/>
              <w:bidi w:val="0"/>
            </w:pPr>
            <w:r>
              <w:t>日均值</w:t>
            </w:r>
          </w:p>
        </w:tc>
      </w:tr>
      <w:tr w14:paraId="35AFD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28" w:type="pct"/>
            <w:vMerge w:val="continue"/>
            <w:vAlign w:val="center"/>
          </w:tcPr>
          <w:p w14:paraId="7F604D5D">
            <w:pPr>
              <w:pStyle w:val="28"/>
              <w:bidi w:val="0"/>
            </w:pPr>
          </w:p>
        </w:tc>
        <w:tc>
          <w:tcPr>
            <w:tcW w:w="3271" w:type="pct"/>
            <w:gridSpan w:val="2"/>
            <w:vAlign w:val="center"/>
          </w:tcPr>
          <w:p w14:paraId="55245472">
            <w:pPr>
              <w:pStyle w:val="28"/>
              <w:bidi w:val="0"/>
            </w:pPr>
            <w:r>
              <w:rPr>
                <w:rFonts w:hint="eastAsia"/>
              </w:rPr>
              <w:t>TSP</w:t>
            </w:r>
          </w:p>
        </w:tc>
      </w:tr>
      <w:tr w14:paraId="7BF0B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728" w:type="pct"/>
            <w:vMerge w:val="continue"/>
            <w:vAlign w:val="center"/>
          </w:tcPr>
          <w:p w14:paraId="5D548AAD">
            <w:pPr>
              <w:pStyle w:val="28"/>
              <w:bidi w:val="0"/>
            </w:pPr>
          </w:p>
        </w:tc>
        <w:tc>
          <w:tcPr>
            <w:tcW w:w="1635" w:type="pct"/>
            <w:vAlign w:val="center"/>
          </w:tcPr>
          <w:p w14:paraId="144F8BBF">
            <w:pPr>
              <w:pStyle w:val="28"/>
              <w:bidi w:val="0"/>
            </w:pPr>
            <w:r>
              <w:rPr>
                <w:rFonts w:hint="eastAsia"/>
              </w:rPr>
              <w:t>干化场主导风向下风向1#</w:t>
            </w:r>
          </w:p>
        </w:tc>
        <w:tc>
          <w:tcPr>
            <w:tcW w:w="1636" w:type="pct"/>
            <w:vAlign w:val="center"/>
          </w:tcPr>
          <w:p w14:paraId="3CD4E711">
            <w:pPr>
              <w:pStyle w:val="28"/>
              <w:bidi w:val="0"/>
            </w:pPr>
            <w:r>
              <w:rPr>
                <w:rFonts w:hint="eastAsia"/>
              </w:rPr>
              <w:t>干化场主导风向下风向2#</w:t>
            </w:r>
          </w:p>
        </w:tc>
      </w:tr>
      <w:tr w14:paraId="17F136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366" w:type="dxa"/>
            <w:vAlign w:val="center"/>
          </w:tcPr>
          <w:p w14:paraId="6EB04EB8">
            <w:pPr>
              <w:pStyle w:val="28"/>
              <w:bidi w:val="0"/>
            </w:pPr>
            <w:r>
              <w:t>202</w:t>
            </w:r>
            <w:r>
              <w:rPr>
                <w:rFonts w:hint="eastAsia"/>
              </w:rPr>
              <w:t>4</w:t>
            </w:r>
            <w:r>
              <w:t>/0</w:t>
            </w:r>
            <w:r>
              <w:rPr>
                <w:rFonts w:hint="eastAsia"/>
              </w:rPr>
              <w:t>6</w:t>
            </w:r>
            <w:r>
              <w:t>/2</w:t>
            </w:r>
            <w:r>
              <w:rPr>
                <w:rFonts w:hint="eastAsia"/>
              </w:rPr>
              <w:t>7</w:t>
            </w:r>
          </w:p>
        </w:tc>
        <w:tc>
          <w:tcPr>
            <w:tcW w:w="1635" w:type="pct"/>
            <w:vAlign w:val="center"/>
          </w:tcPr>
          <w:p w14:paraId="22E4FC58">
            <w:pPr>
              <w:pStyle w:val="28"/>
              <w:bidi w:val="0"/>
            </w:pPr>
            <w:r>
              <w:rPr>
                <w:rFonts w:hint="eastAsia"/>
              </w:rPr>
              <w:t>20</w:t>
            </w:r>
          </w:p>
        </w:tc>
        <w:tc>
          <w:tcPr>
            <w:tcW w:w="1636" w:type="pct"/>
            <w:vAlign w:val="center"/>
          </w:tcPr>
          <w:p w14:paraId="7A495314">
            <w:pPr>
              <w:pStyle w:val="28"/>
              <w:bidi w:val="0"/>
            </w:pPr>
            <w:r>
              <w:rPr>
                <w:rFonts w:hint="eastAsia"/>
              </w:rPr>
              <w:t>23</w:t>
            </w:r>
          </w:p>
        </w:tc>
      </w:tr>
      <w:tr w14:paraId="75D6D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366" w:type="dxa"/>
            <w:vAlign w:val="center"/>
          </w:tcPr>
          <w:p w14:paraId="3465A112">
            <w:pPr>
              <w:pStyle w:val="28"/>
              <w:bidi w:val="0"/>
            </w:pPr>
            <w:r>
              <w:t>202</w:t>
            </w:r>
            <w:r>
              <w:rPr>
                <w:rFonts w:hint="eastAsia"/>
              </w:rPr>
              <w:t>4</w:t>
            </w:r>
            <w:r>
              <w:t>/0</w:t>
            </w:r>
            <w:r>
              <w:rPr>
                <w:rFonts w:hint="eastAsia"/>
              </w:rPr>
              <w:t>6</w:t>
            </w:r>
            <w:r>
              <w:t>/2</w:t>
            </w:r>
            <w:r>
              <w:rPr>
                <w:rFonts w:hint="eastAsia"/>
              </w:rPr>
              <w:t>8</w:t>
            </w:r>
          </w:p>
        </w:tc>
        <w:tc>
          <w:tcPr>
            <w:tcW w:w="1635" w:type="pct"/>
            <w:vAlign w:val="center"/>
          </w:tcPr>
          <w:p w14:paraId="2E420519">
            <w:pPr>
              <w:pStyle w:val="28"/>
              <w:bidi w:val="0"/>
            </w:pPr>
            <w:r>
              <w:rPr>
                <w:rFonts w:hint="eastAsia"/>
              </w:rPr>
              <w:t>32</w:t>
            </w:r>
          </w:p>
        </w:tc>
        <w:tc>
          <w:tcPr>
            <w:tcW w:w="1636" w:type="pct"/>
            <w:vAlign w:val="center"/>
          </w:tcPr>
          <w:p w14:paraId="2E49275A">
            <w:pPr>
              <w:pStyle w:val="28"/>
              <w:bidi w:val="0"/>
            </w:pPr>
            <w:r>
              <w:rPr>
                <w:rFonts w:hint="eastAsia"/>
              </w:rPr>
              <w:t>35</w:t>
            </w:r>
          </w:p>
        </w:tc>
      </w:tr>
      <w:tr w14:paraId="50E763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366" w:type="dxa"/>
            <w:vAlign w:val="center"/>
          </w:tcPr>
          <w:p w14:paraId="564A0302">
            <w:pPr>
              <w:pStyle w:val="28"/>
              <w:bidi w:val="0"/>
            </w:pPr>
            <w:r>
              <w:t>202</w:t>
            </w:r>
            <w:r>
              <w:rPr>
                <w:rFonts w:hint="eastAsia"/>
              </w:rPr>
              <w:t>4</w:t>
            </w:r>
            <w:r>
              <w:t>/0</w:t>
            </w:r>
            <w:r>
              <w:rPr>
                <w:rFonts w:hint="eastAsia"/>
              </w:rPr>
              <w:t>6</w:t>
            </w:r>
            <w:r>
              <w:t>/</w:t>
            </w:r>
            <w:r>
              <w:rPr>
                <w:rFonts w:hint="eastAsia"/>
              </w:rPr>
              <w:t>29</w:t>
            </w:r>
          </w:p>
        </w:tc>
        <w:tc>
          <w:tcPr>
            <w:tcW w:w="1635" w:type="pct"/>
            <w:vAlign w:val="center"/>
          </w:tcPr>
          <w:p w14:paraId="269B570D">
            <w:pPr>
              <w:pStyle w:val="28"/>
              <w:bidi w:val="0"/>
            </w:pPr>
            <w:r>
              <w:rPr>
                <w:rFonts w:hint="eastAsia"/>
              </w:rPr>
              <w:t>22</w:t>
            </w:r>
          </w:p>
        </w:tc>
        <w:tc>
          <w:tcPr>
            <w:tcW w:w="1636" w:type="pct"/>
            <w:vAlign w:val="center"/>
          </w:tcPr>
          <w:p w14:paraId="0729AB80">
            <w:pPr>
              <w:pStyle w:val="28"/>
              <w:bidi w:val="0"/>
            </w:pPr>
            <w:r>
              <w:rPr>
                <w:rFonts w:hint="eastAsia"/>
              </w:rPr>
              <w:t>29</w:t>
            </w:r>
          </w:p>
        </w:tc>
      </w:tr>
      <w:tr w14:paraId="42880D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366" w:type="dxa"/>
            <w:vAlign w:val="center"/>
          </w:tcPr>
          <w:p w14:paraId="5D3AABCD">
            <w:pPr>
              <w:pStyle w:val="28"/>
              <w:bidi w:val="0"/>
            </w:pPr>
            <w:r>
              <w:t>202</w:t>
            </w:r>
            <w:r>
              <w:rPr>
                <w:rFonts w:hint="eastAsia"/>
              </w:rPr>
              <w:t>4</w:t>
            </w:r>
            <w:r>
              <w:t>/0</w:t>
            </w:r>
            <w:r>
              <w:rPr>
                <w:rFonts w:hint="eastAsia"/>
              </w:rPr>
              <w:t>6</w:t>
            </w:r>
            <w:r>
              <w:t>/</w:t>
            </w:r>
            <w:r>
              <w:rPr>
                <w:rFonts w:hint="eastAsia"/>
              </w:rPr>
              <w:t>30</w:t>
            </w:r>
          </w:p>
        </w:tc>
        <w:tc>
          <w:tcPr>
            <w:tcW w:w="1635" w:type="pct"/>
            <w:vAlign w:val="center"/>
          </w:tcPr>
          <w:p w14:paraId="5DF16CE4">
            <w:pPr>
              <w:pStyle w:val="28"/>
              <w:bidi w:val="0"/>
            </w:pPr>
            <w:r>
              <w:rPr>
                <w:rFonts w:hint="eastAsia"/>
              </w:rPr>
              <w:t>31</w:t>
            </w:r>
          </w:p>
        </w:tc>
        <w:tc>
          <w:tcPr>
            <w:tcW w:w="1636" w:type="pct"/>
            <w:vAlign w:val="center"/>
          </w:tcPr>
          <w:p w14:paraId="5C69E410">
            <w:pPr>
              <w:pStyle w:val="28"/>
              <w:bidi w:val="0"/>
            </w:pPr>
            <w:r>
              <w:rPr>
                <w:rFonts w:hint="eastAsia"/>
              </w:rPr>
              <w:t>35</w:t>
            </w:r>
          </w:p>
        </w:tc>
      </w:tr>
      <w:tr w14:paraId="44165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366" w:type="dxa"/>
            <w:vAlign w:val="center"/>
          </w:tcPr>
          <w:p w14:paraId="520055EA">
            <w:pPr>
              <w:pStyle w:val="28"/>
              <w:bidi w:val="0"/>
            </w:pPr>
            <w:r>
              <w:t>202</w:t>
            </w:r>
            <w:r>
              <w:rPr>
                <w:rFonts w:hint="eastAsia"/>
              </w:rPr>
              <w:t>4</w:t>
            </w:r>
            <w:r>
              <w:t>/0</w:t>
            </w:r>
            <w:r>
              <w:rPr>
                <w:rFonts w:hint="eastAsia"/>
              </w:rPr>
              <w:t>7</w:t>
            </w:r>
            <w:r>
              <w:t>/</w:t>
            </w:r>
            <w:r>
              <w:rPr>
                <w:rFonts w:hint="eastAsia"/>
              </w:rPr>
              <w:t>01</w:t>
            </w:r>
          </w:p>
        </w:tc>
        <w:tc>
          <w:tcPr>
            <w:tcW w:w="1635" w:type="pct"/>
            <w:vAlign w:val="center"/>
          </w:tcPr>
          <w:p w14:paraId="44427371">
            <w:pPr>
              <w:pStyle w:val="28"/>
              <w:bidi w:val="0"/>
            </w:pPr>
            <w:r>
              <w:rPr>
                <w:rFonts w:hint="eastAsia"/>
              </w:rPr>
              <w:t>37</w:t>
            </w:r>
          </w:p>
        </w:tc>
        <w:tc>
          <w:tcPr>
            <w:tcW w:w="1636" w:type="pct"/>
            <w:vAlign w:val="center"/>
          </w:tcPr>
          <w:p w14:paraId="4867147F">
            <w:pPr>
              <w:pStyle w:val="28"/>
              <w:bidi w:val="0"/>
            </w:pPr>
            <w:r>
              <w:rPr>
                <w:rFonts w:hint="eastAsia"/>
              </w:rPr>
              <w:t>39</w:t>
            </w:r>
          </w:p>
        </w:tc>
      </w:tr>
      <w:tr w14:paraId="1B4D7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366" w:type="dxa"/>
            <w:vAlign w:val="center"/>
          </w:tcPr>
          <w:p w14:paraId="28DF737C">
            <w:pPr>
              <w:pStyle w:val="28"/>
              <w:bidi w:val="0"/>
            </w:pPr>
            <w:r>
              <w:t>202</w:t>
            </w:r>
            <w:r>
              <w:rPr>
                <w:rFonts w:hint="eastAsia"/>
              </w:rPr>
              <w:t>4</w:t>
            </w:r>
            <w:r>
              <w:t>/0</w:t>
            </w:r>
            <w:r>
              <w:rPr>
                <w:rFonts w:hint="eastAsia"/>
              </w:rPr>
              <w:t>7</w:t>
            </w:r>
            <w:r>
              <w:t>/</w:t>
            </w:r>
            <w:r>
              <w:rPr>
                <w:rFonts w:hint="eastAsia"/>
              </w:rPr>
              <w:t>02</w:t>
            </w:r>
          </w:p>
        </w:tc>
        <w:tc>
          <w:tcPr>
            <w:tcW w:w="1635" w:type="pct"/>
            <w:vAlign w:val="center"/>
          </w:tcPr>
          <w:p w14:paraId="6715548D">
            <w:pPr>
              <w:pStyle w:val="28"/>
              <w:bidi w:val="0"/>
            </w:pPr>
            <w:r>
              <w:rPr>
                <w:rFonts w:hint="eastAsia"/>
              </w:rPr>
              <w:t>33</w:t>
            </w:r>
          </w:p>
        </w:tc>
        <w:tc>
          <w:tcPr>
            <w:tcW w:w="1636" w:type="pct"/>
            <w:vAlign w:val="center"/>
          </w:tcPr>
          <w:p w14:paraId="15728F96">
            <w:pPr>
              <w:pStyle w:val="28"/>
              <w:bidi w:val="0"/>
            </w:pPr>
            <w:r>
              <w:rPr>
                <w:rFonts w:hint="eastAsia"/>
              </w:rPr>
              <w:t>35</w:t>
            </w:r>
          </w:p>
        </w:tc>
      </w:tr>
      <w:tr w14:paraId="036A6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366" w:type="dxa"/>
            <w:vAlign w:val="center"/>
          </w:tcPr>
          <w:p w14:paraId="65A70183">
            <w:pPr>
              <w:pStyle w:val="28"/>
              <w:bidi w:val="0"/>
            </w:pPr>
            <w:r>
              <w:t>202</w:t>
            </w:r>
            <w:r>
              <w:rPr>
                <w:rFonts w:hint="eastAsia"/>
              </w:rPr>
              <w:t>4</w:t>
            </w:r>
            <w:r>
              <w:t>/0</w:t>
            </w:r>
            <w:r>
              <w:rPr>
                <w:rFonts w:hint="eastAsia"/>
              </w:rPr>
              <w:t>7</w:t>
            </w:r>
            <w:r>
              <w:t>/</w:t>
            </w:r>
            <w:r>
              <w:rPr>
                <w:rFonts w:hint="eastAsia"/>
              </w:rPr>
              <w:t>03</w:t>
            </w:r>
          </w:p>
        </w:tc>
        <w:tc>
          <w:tcPr>
            <w:tcW w:w="1635" w:type="pct"/>
            <w:vAlign w:val="center"/>
          </w:tcPr>
          <w:p w14:paraId="702AA282">
            <w:pPr>
              <w:pStyle w:val="28"/>
              <w:bidi w:val="0"/>
            </w:pPr>
            <w:r>
              <w:rPr>
                <w:rFonts w:hint="eastAsia"/>
              </w:rPr>
              <w:t>38</w:t>
            </w:r>
          </w:p>
        </w:tc>
        <w:tc>
          <w:tcPr>
            <w:tcW w:w="1636" w:type="pct"/>
            <w:vAlign w:val="center"/>
          </w:tcPr>
          <w:p w14:paraId="1B471F64">
            <w:pPr>
              <w:pStyle w:val="28"/>
              <w:bidi w:val="0"/>
            </w:pPr>
            <w:r>
              <w:rPr>
                <w:rFonts w:hint="eastAsia"/>
              </w:rPr>
              <w:t>41</w:t>
            </w:r>
          </w:p>
        </w:tc>
      </w:tr>
    </w:tbl>
    <w:p w14:paraId="6DF52513">
      <w:pPr>
        <w:adjustRightInd w:val="0"/>
        <w:jc w:val="both"/>
        <w:textAlignment w:val="center"/>
        <w:rPr>
          <w:rFonts w:eastAsia="黑体" w:cs="Times New Roman"/>
          <w:bCs/>
          <w:sz w:val="22"/>
          <w:szCs w:val="22"/>
        </w:rPr>
      </w:pPr>
    </w:p>
    <w:p w14:paraId="739E9293">
      <w:pPr>
        <w:pStyle w:val="29"/>
        <w:bidi w:val="0"/>
      </w:pPr>
      <w:r>
        <w:t>表</w:t>
      </w:r>
      <w:r>
        <w:rPr>
          <w:rFonts w:hint="eastAsia"/>
          <w:lang w:eastAsia="zh-CN"/>
        </w:rPr>
        <w:t>4.2</w:t>
      </w:r>
      <w:r>
        <w:t>-</w:t>
      </w:r>
      <w:r>
        <w:rPr>
          <w:rFonts w:hint="eastAsia"/>
        </w:rPr>
        <w:t>5</w:t>
      </w:r>
      <w:r>
        <w:t xml:space="preserve">  </w:t>
      </w:r>
      <w:r>
        <w:rPr>
          <w:rFonts w:hint="eastAsia"/>
        </w:rPr>
        <w:t>氨、硫化氢小时平均浓度</w:t>
      </w:r>
      <w:r>
        <w:t>大气环境质量补充监测结果一览表    单位：mg/m</w:t>
      </w:r>
      <w:r>
        <w:rPr>
          <w:vertAlign w:val="superscript"/>
        </w:rPr>
        <w:t>3</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5"/>
        <w:gridCol w:w="1264"/>
        <w:gridCol w:w="1514"/>
        <w:gridCol w:w="1698"/>
        <w:gridCol w:w="1605"/>
        <w:gridCol w:w="1607"/>
      </w:tblGrid>
      <w:tr w14:paraId="17460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 w:hRule="atLeast"/>
          <w:jc w:val="center"/>
        </w:trPr>
        <w:tc>
          <w:tcPr>
            <w:tcW w:w="859" w:type="pct"/>
            <w:vMerge w:val="restart"/>
            <w:vAlign w:val="center"/>
          </w:tcPr>
          <w:p w14:paraId="2F875781">
            <w:pPr>
              <w:pStyle w:val="28"/>
              <w:bidi w:val="0"/>
            </w:pPr>
            <w:r>
              <w:t>采样时间</w:t>
            </w:r>
          </w:p>
        </w:tc>
        <w:tc>
          <w:tcPr>
            <w:tcW w:w="681" w:type="pct"/>
            <w:vMerge w:val="restart"/>
            <w:vAlign w:val="center"/>
          </w:tcPr>
          <w:p w14:paraId="64E28502">
            <w:pPr>
              <w:pStyle w:val="28"/>
              <w:bidi w:val="0"/>
            </w:pPr>
            <w:r>
              <w:t>频次</w:t>
            </w:r>
          </w:p>
        </w:tc>
        <w:tc>
          <w:tcPr>
            <w:tcW w:w="3369" w:type="dxa"/>
            <w:gridSpan w:val="2"/>
            <w:vAlign w:val="center"/>
          </w:tcPr>
          <w:p w14:paraId="553357C2">
            <w:pPr>
              <w:pStyle w:val="28"/>
              <w:bidi w:val="0"/>
            </w:pPr>
            <w:r>
              <w:rPr>
                <w:rFonts w:hint="eastAsia"/>
              </w:rPr>
              <w:t>干化场主导风向下风向1#</w:t>
            </w:r>
          </w:p>
        </w:tc>
        <w:tc>
          <w:tcPr>
            <w:tcW w:w="3371" w:type="dxa"/>
            <w:gridSpan w:val="2"/>
            <w:vAlign w:val="center"/>
          </w:tcPr>
          <w:p w14:paraId="15DCFEBB">
            <w:pPr>
              <w:pStyle w:val="28"/>
              <w:bidi w:val="0"/>
            </w:pPr>
            <w:r>
              <w:rPr>
                <w:rFonts w:hint="eastAsia"/>
              </w:rPr>
              <w:t>干化场主导风向下风向2#</w:t>
            </w:r>
          </w:p>
        </w:tc>
      </w:tr>
      <w:tr w14:paraId="03E6B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400941A6">
            <w:pPr>
              <w:pStyle w:val="28"/>
              <w:bidi w:val="0"/>
            </w:pPr>
          </w:p>
        </w:tc>
        <w:tc>
          <w:tcPr>
            <w:tcW w:w="681" w:type="pct"/>
            <w:vMerge w:val="continue"/>
            <w:vAlign w:val="center"/>
          </w:tcPr>
          <w:p w14:paraId="6BCDA8E8">
            <w:pPr>
              <w:pStyle w:val="28"/>
              <w:bidi w:val="0"/>
            </w:pPr>
          </w:p>
        </w:tc>
        <w:tc>
          <w:tcPr>
            <w:tcW w:w="815" w:type="pct"/>
            <w:vAlign w:val="center"/>
          </w:tcPr>
          <w:p w14:paraId="51D45C6C">
            <w:pPr>
              <w:pStyle w:val="28"/>
              <w:bidi w:val="0"/>
            </w:pPr>
            <w:r>
              <w:t>氨</w:t>
            </w:r>
          </w:p>
        </w:tc>
        <w:tc>
          <w:tcPr>
            <w:tcW w:w="914" w:type="pct"/>
            <w:vAlign w:val="center"/>
          </w:tcPr>
          <w:p w14:paraId="2451BB16">
            <w:pPr>
              <w:pStyle w:val="28"/>
              <w:bidi w:val="0"/>
            </w:pPr>
            <w:r>
              <w:t>硫化氢</w:t>
            </w:r>
          </w:p>
        </w:tc>
        <w:tc>
          <w:tcPr>
            <w:tcW w:w="864" w:type="pct"/>
            <w:vAlign w:val="center"/>
          </w:tcPr>
          <w:p w14:paraId="0DB5E672">
            <w:pPr>
              <w:pStyle w:val="28"/>
              <w:bidi w:val="0"/>
            </w:pPr>
            <w:r>
              <w:t>氨</w:t>
            </w:r>
          </w:p>
        </w:tc>
        <w:tc>
          <w:tcPr>
            <w:tcW w:w="865" w:type="pct"/>
            <w:vAlign w:val="center"/>
          </w:tcPr>
          <w:p w14:paraId="6A7ECC34">
            <w:pPr>
              <w:pStyle w:val="28"/>
              <w:bidi w:val="0"/>
            </w:pPr>
            <w:r>
              <w:t>硫化氢</w:t>
            </w:r>
          </w:p>
        </w:tc>
      </w:tr>
      <w:tr w14:paraId="78E673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674" w:type="dxa"/>
            <w:vMerge w:val="restart"/>
            <w:vAlign w:val="center"/>
          </w:tcPr>
          <w:p w14:paraId="21C0A5D8">
            <w:pPr>
              <w:pStyle w:val="28"/>
              <w:bidi w:val="0"/>
            </w:pPr>
            <w:r>
              <w:t>202</w:t>
            </w:r>
            <w:r>
              <w:rPr>
                <w:rFonts w:hint="eastAsia"/>
              </w:rPr>
              <w:t>4</w:t>
            </w:r>
            <w:r>
              <w:t>/0</w:t>
            </w:r>
            <w:r>
              <w:rPr>
                <w:rFonts w:hint="eastAsia"/>
              </w:rPr>
              <w:t>6</w:t>
            </w:r>
            <w:r>
              <w:t>/2</w:t>
            </w:r>
            <w:r>
              <w:rPr>
                <w:rFonts w:hint="eastAsia"/>
              </w:rPr>
              <w:t>7</w:t>
            </w:r>
          </w:p>
        </w:tc>
        <w:tc>
          <w:tcPr>
            <w:tcW w:w="681" w:type="pct"/>
            <w:vAlign w:val="center"/>
          </w:tcPr>
          <w:p w14:paraId="1FAD8F6B">
            <w:pPr>
              <w:pStyle w:val="28"/>
              <w:bidi w:val="0"/>
            </w:pPr>
            <w:r>
              <w:t>第一次</w:t>
            </w:r>
          </w:p>
        </w:tc>
        <w:tc>
          <w:tcPr>
            <w:tcW w:w="1588" w:type="dxa"/>
            <w:vAlign w:val="center"/>
          </w:tcPr>
          <w:p w14:paraId="1F9E240B">
            <w:pPr>
              <w:pStyle w:val="28"/>
              <w:bidi w:val="0"/>
            </w:pPr>
            <w:r>
              <w:t>0.0</w:t>
            </w:r>
            <w:r>
              <w:rPr>
                <w:rFonts w:hint="eastAsia"/>
              </w:rPr>
              <w:t>3</w:t>
            </w:r>
          </w:p>
        </w:tc>
        <w:tc>
          <w:tcPr>
            <w:tcW w:w="1781" w:type="dxa"/>
            <w:vAlign w:val="center"/>
          </w:tcPr>
          <w:p w14:paraId="748FAEE9">
            <w:pPr>
              <w:pStyle w:val="28"/>
              <w:bidi w:val="0"/>
            </w:pPr>
            <w:r>
              <w:t>0.00</w:t>
            </w:r>
            <w:r>
              <w:rPr>
                <w:rFonts w:hint="eastAsia"/>
              </w:rPr>
              <w:t>5</w:t>
            </w:r>
          </w:p>
        </w:tc>
        <w:tc>
          <w:tcPr>
            <w:tcW w:w="1684" w:type="dxa"/>
            <w:vAlign w:val="center"/>
          </w:tcPr>
          <w:p w14:paraId="31C04CE9">
            <w:pPr>
              <w:pStyle w:val="28"/>
              <w:bidi w:val="0"/>
            </w:pPr>
            <w:r>
              <w:t>0.0</w:t>
            </w:r>
            <w:r>
              <w:rPr>
                <w:rFonts w:hint="eastAsia"/>
              </w:rPr>
              <w:t>4</w:t>
            </w:r>
          </w:p>
        </w:tc>
        <w:tc>
          <w:tcPr>
            <w:tcW w:w="1687" w:type="dxa"/>
            <w:vAlign w:val="center"/>
          </w:tcPr>
          <w:p w14:paraId="3C96C987">
            <w:pPr>
              <w:pStyle w:val="28"/>
              <w:bidi w:val="0"/>
            </w:pPr>
            <w:r>
              <w:t>0.00</w:t>
            </w:r>
            <w:r>
              <w:rPr>
                <w:rFonts w:hint="eastAsia"/>
              </w:rPr>
              <w:t>5</w:t>
            </w:r>
          </w:p>
        </w:tc>
      </w:tr>
      <w:tr w14:paraId="11E77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3A4C7B9B">
            <w:pPr>
              <w:pStyle w:val="28"/>
              <w:bidi w:val="0"/>
            </w:pPr>
          </w:p>
        </w:tc>
        <w:tc>
          <w:tcPr>
            <w:tcW w:w="681" w:type="pct"/>
            <w:vAlign w:val="center"/>
          </w:tcPr>
          <w:p w14:paraId="3CD3C1E9">
            <w:pPr>
              <w:pStyle w:val="28"/>
              <w:bidi w:val="0"/>
            </w:pPr>
            <w:r>
              <w:t>第二次</w:t>
            </w:r>
          </w:p>
        </w:tc>
        <w:tc>
          <w:tcPr>
            <w:tcW w:w="1588" w:type="dxa"/>
            <w:vAlign w:val="center"/>
          </w:tcPr>
          <w:p w14:paraId="6130B8DB">
            <w:pPr>
              <w:pStyle w:val="28"/>
              <w:bidi w:val="0"/>
            </w:pPr>
            <w:r>
              <w:t>0.0</w:t>
            </w:r>
            <w:r>
              <w:rPr>
                <w:rFonts w:hint="eastAsia"/>
              </w:rPr>
              <w:t>3</w:t>
            </w:r>
          </w:p>
        </w:tc>
        <w:tc>
          <w:tcPr>
            <w:tcW w:w="1781" w:type="dxa"/>
            <w:vAlign w:val="center"/>
          </w:tcPr>
          <w:p w14:paraId="2F016354">
            <w:pPr>
              <w:pStyle w:val="28"/>
              <w:bidi w:val="0"/>
            </w:pPr>
            <w:r>
              <w:t>0.00</w:t>
            </w:r>
            <w:r>
              <w:rPr>
                <w:rFonts w:hint="eastAsia"/>
              </w:rPr>
              <w:t>5</w:t>
            </w:r>
          </w:p>
        </w:tc>
        <w:tc>
          <w:tcPr>
            <w:tcW w:w="1684" w:type="dxa"/>
            <w:vAlign w:val="center"/>
          </w:tcPr>
          <w:p w14:paraId="75881B7E">
            <w:pPr>
              <w:pStyle w:val="28"/>
              <w:bidi w:val="0"/>
            </w:pPr>
            <w:r>
              <w:t>0.0</w:t>
            </w:r>
            <w:r>
              <w:rPr>
                <w:rFonts w:hint="eastAsia"/>
              </w:rPr>
              <w:t>3</w:t>
            </w:r>
          </w:p>
        </w:tc>
        <w:tc>
          <w:tcPr>
            <w:tcW w:w="1687" w:type="dxa"/>
            <w:vAlign w:val="center"/>
          </w:tcPr>
          <w:p w14:paraId="161217FA">
            <w:pPr>
              <w:pStyle w:val="28"/>
              <w:bidi w:val="0"/>
            </w:pPr>
            <w:r>
              <w:t>0.00</w:t>
            </w:r>
            <w:r>
              <w:rPr>
                <w:rFonts w:hint="eastAsia"/>
              </w:rPr>
              <w:t>4</w:t>
            </w:r>
          </w:p>
        </w:tc>
      </w:tr>
      <w:tr w14:paraId="13780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543A4591">
            <w:pPr>
              <w:pStyle w:val="28"/>
              <w:bidi w:val="0"/>
            </w:pPr>
          </w:p>
        </w:tc>
        <w:tc>
          <w:tcPr>
            <w:tcW w:w="681" w:type="pct"/>
            <w:vAlign w:val="center"/>
          </w:tcPr>
          <w:p w14:paraId="747F88B6">
            <w:pPr>
              <w:pStyle w:val="28"/>
              <w:bidi w:val="0"/>
            </w:pPr>
            <w:r>
              <w:t>第三次</w:t>
            </w:r>
          </w:p>
        </w:tc>
        <w:tc>
          <w:tcPr>
            <w:tcW w:w="1588" w:type="dxa"/>
            <w:vAlign w:val="center"/>
          </w:tcPr>
          <w:p w14:paraId="7ADB68BE">
            <w:pPr>
              <w:pStyle w:val="28"/>
              <w:bidi w:val="0"/>
            </w:pPr>
            <w:r>
              <w:t>0.0</w:t>
            </w:r>
            <w:r>
              <w:rPr>
                <w:rFonts w:hint="eastAsia"/>
              </w:rPr>
              <w:t>3</w:t>
            </w:r>
          </w:p>
        </w:tc>
        <w:tc>
          <w:tcPr>
            <w:tcW w:w="1781" w:type="dxa"/>
            <w:vAlign w:val="center"/>
          </w:tcPr>
          <w:p w14:paraId="4313608C">
            <w:pPr>
              <w:pStyle w:val="28"/>
              <w:bidi w:val="0"/>
            </w:pPr>
            <w:r>
              <w:t>0.00</w:t>
            </w:r>
            <w:r>
              <w:rPr>
                <w:rFonts w:hint="eastAsia"/>
              </w:rPr>
              <w:t>5</w:t>
            </w:r>
          </w:p>
        </w:tc>
        <w:tc>
          <w:tcPr>
            <w:tcW w:w="1684" w:type="dxa"/>
            <w:vAlign w:val="center"/>
          </w:tcPr>
          <w:p w14:paraId="5CB50241">
            <w:pPr>
              <w:pStyle w:val="28"/>
              <w:bidi w:val="0"/>
            </w:pPr>
            <w:r>
              <w:t>0.0</w:t>
            </w:r>
            <w:r>
              <w:rPr>
                <w:rFonts w:hint="eastAsia"/>
              </w:rPr>
              <w:t>4</w:t>
            </w:r>
          </w:p>
        </w:tc>
        <w:tc>
          <w:tcPr>
            <w:tcW w:w="1687" w:type="dxa"/>
            <w:vAlign w:val="center"/>
          </w:tcPr>
          <w:p w14:paraId="48A396E5">
            <w:pPr>
              <w:pStyle w:val="28"/>
              <w:bidi w:val="0"/>
            </w:pPr>
            <w:r>
              <w:t>0.00</w:t>
            </w:r>
            <w:r>
              <w:rPr>
                <w:rFonts w:hint="eastAsia"/>
              </w:rPr>
              <w:t>4</w:t>
            </w:r>
          </w:p>
        </w:tc>
      </w:tr>
      <w:tr w14:paraId="322581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39B02760">
            <w:pPr>
              <w:pStyle w:val="28"/>
              <w:bidi w:val="0"/>
            </w:pPr>
          </w:p>
        </w:tc>
        <w:tc>
          <w:tcPr>
            <w:tcW w:w="681" w:type="pct"/>
            <w:vAlign w:val="center"/>
          </w:tcPr>
          <w:p w14:paraId="27562044">
            <w:pPr>
              <w:pStyle w:val="28"/>
              <w:bidi w:val="0"/>
            </w:pPr>
            <w:r>
              <w:t>第四次</w:t>
            </w:r>
          </w:p>
        </w:tc>
        <w:tc>
          <w:tcPr>
            <w:tcW w:w="1588" w:type="dxa"/>
            <w:vAlign w:val="center"/>
          </w:tcPr>
          <w:p w14:paraId="2A57B6AA">
            <w:pPr>
              <w:pStyle w:val="28"/>
              <w:bidi w:val="0"/>
            </w:pPr>
            <w:r>
              <w:t>0.0</w:t>
            </w:r>
            <w:r>
              <w:rPr>
                <w:rFonts w:hint="eastAsia"/>
              </w:rPr>
              <w:t>4</w:t>
            </w:r>
          </w:p>
        </w:tc>
        <w:tc>
          <w:tcPr>
            <w:tcW w:w="1781" w:type="dxa"/>
            <w:vAlign w:val="center"/>
          </w:tcPr>
          <w:p w14:paraId="529602D9">
            <w:pPr>
              <w:pStyle w:val="28"/>
              <w:bidi w:val="0"/>
            </w:pPr>
            <w:r>
              <w:t>0.00</w:t>
            </w:r>
            <w:r>
              <w:rPr>
                <w:rFonts w:hint="eastAsia"/>
              </w:rPr>
              <w:t>4</w:t>
            </w:r>
          </w:p>
        </w:tc>
        <w:tc>
          <w:tcPr>
            <w:tcW w:w="1684" w:type="dxa"/>
            <w:vAlign w:val="center"/>
          </w:tcPr>
          <w:p w14:paraId="772F789A">
            <w:pPr>
              <w:pStyle w:val="28"/>
              <w:bidi w:val="0"/>
            </w:pPr>
            <w:r>
              <w:t>0.0</w:t>
            </w:r>
            <w:r>
              <w:rPr>
                <w:rFonts w:hint="eastAsia"/>
              </w:rPr>
              <w:t>4</w:t>
            </w:r>
          </w:p>
        </w:tc>
        <w:tc>
          <w:tcPr>
            <w:tcW w:w="1687" w:type="dxa"/>
            <w:vAlign w:val="center"/>
          </w:tcPr>
          <w:p w14:paraId="59628BC6">
            <w:pPr>
              <w:pStyle w:val="28"/>
              <w:bidi w:val="0"/>
            </w:pPr>
            <w:r>
              <w:t>0.00</w:t>
            </w:r>
            <w:r>
              <w:rPr>
                <w:rFonts w:hint="eastAsia"/>
              </w:rPr>
              <w:t>4</w:t>
            </w:r>
          </w:p>
        </w:tc>
      </w:tr>
      <w:tr w14:paraId="0D691E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674" w:type="dxa"/>
            <w:vMerge w:val="restart"/>
            <w:vAlign w:val="center"/>
          </w:tcPr>
          <w:p w14:paraId="7C410285">
            <w:pPr>
              <w:pStyle w:val="28"/>
              <w:bidi w:val="0"/>
            </w:pPr>
            <w:r>
              <w:t>202</w:t>
            </w:r>
            <w:r>
              <w:rPr>
                <w:rFonts w:hint="eastAsia"/>
              </w:rPr>
              <w:t>4</w:t>
            </w:r>
            <w:r>
              <w:t>/0</w:t>
            </w:r>
            <w:r>
              <w:rPr>
                <w:rFonts w:hint="eastAsia"/>
              </w:rPr>
              <w:t>6</w:t>
            </w:r>
            <w:r>
              <w:t>/2</w:t>
            </w:r>
            <w:r>
              <w:rPr>
                <w:rFonts w:hint="eastAsia"/>
              </w:rPr>
              <w:t>8</w:t>
            </w:r>
          </w:p>
        </w:tc>
        <w:tc>
          <w:tcPr>
            <w:tcW w:w="681" w:type="pct"/>
            <w:vAlign w:val="center"/>
          </w:tcPr>
          <w:p w14:paraId="26E2C7D7">
            <w:pPr>
              <w:pStyle w:val="28"/>
              <w:bidi w:val="0"/>
            </w:pPr>
            <w:r>
              <w:t>第一次</w:t>
            </w:r>
          </w:p>
        </w:tc>
        <w:tc>
          <w:tcPr>
            <w:tcW w:w="1588" w:type="dxa"/>
            <w:vAlign w:val="center"/>
          </w:tcPr>
          <w:p w14:paraId="472739D9">
            <w:pPr>
              <w:pStyle w:val="28"/>
              <w:bidi w:val="0"/>
            </w:pPr>
            <w:r>
              <w:t>0.0</w:t>
            </w:r>
            <w:r>
              <w:rPr>
                <w:rFonts w:hint="eastAsia"/>
              </w:rPr>
              <w:t>3</w:t>
            </w:r>
          </w:p>
        </w:tc>
        <w:tc>
          <w:tcPr>
            <w:tcW w:w="1781" w:type="dxa"/>
            <w:vAlign w:val="center"/>
          </w:tcPr>
          <w:p w14:paraId="38F6DBFA">
            <w:pPr>
              <w:pStyle w:val="28"/>
              <w:bidi w:val="0"/>
            </w:pPr>
            <w:r>
              <w:t>0.00</w:t>
            </w:r>
            <w:r>
              <w:rPr>
                <w:rFonts w:hint="eastAsia"/>
              </w:rPr>
              <w:t>4</w:t>
            </w:r>
          </w:p>
        </w:tc>
        <w:tc>
          <w:tcPr>
            <w:tcW w:w="1684" w:type="dxa"/>
            <w:vAlign w:val="center"/>
          </w:tcPr>
          <w:p w14:paraId="4A21033F">
            <w:pPr>
              <w:pStyle w:val="28"/>
              <w:bidi w:val="0"/>
            </w:pPr>
            <w:r>
              <w:t>0.0</w:t>
            </w:r>
            <w:r>
              <w:rPr>
                <w:rFonts w:hint="eastAsia"/>
              </w:rPr>
              <w:t>5</w:t>
            </w:r>
          </w:p>
        </w:tc>
        <w:tc>
          <w:tcPr>
            <w:tcW w:w="1687" w:type="dxa"/>
            <w:vAlign w:val="center"/>
          </w:tcPr>
          <w:p w14:paraId="2C9B23AD">
            <w:pPr>
              <w:pStyle w:val="28"/>
              <w:bidi w:val="0"/>
            </w:pPr>
            <w:r>
              <w:t>0.00</w:t>
            </w:r>
            <w:r>
              <w:rPr>
                <w:rFonts w:hint="eastAsia"/>
              </w:rPr>
              <w:t>3</w:t>
            </w:r>
          </w:p>
        </w:tc>
      </w:tr>
      <w:tr w14:paraId="2B0DE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25FDE46F">
            <w:pPr>
              <w:pStyle w:val="28"/>
              <w:bidi w:val="0"/>
            </w:pPr>
          </w:p>
        </w:tc>
        <w:tc>
          <w:tcPr>
            <w:tcW w:w="681" w:type="pct"/>
            <w:vAlign w:val="center"/>
          </w:tcPr>
          <w:p w14:paraId="450A7731">
            <w:pPr>
              <w:pStyle w:val="28"/>
              <w:bidi w:val="0"/>
            </w:pPr>
            <w:r>
              <w:t>第二次</w:t>
            </w:r>
          </w:p>
        </w:tc>
        <w:tc>
          <w:tcPr>
            <w:tcW w:w="1588" w:type="dxa"/>
            <w:vAlign w:val="center"/>
          </w:tcPr>
          <w:p w14:paraId="42714BE8">
            <w:pPr>
              <w:pStyle w:val="28"/>
              <w:bidi w:val="0"/>
            </w:pPr>
            <w:r>
              <w:t>0.0</w:t>
            </w:r>
            <w:r>
              <w:rPr>
                <w:rFonts w:hint="eastAsia"/>
              </w:rPr>
              <w:t>3</w:t>
            </w:r>
          </w:p>
        </w:tc>
        <w:tc>
          <w:tcPr>
            <w:tcW w:w="1781" w:type="dxa"/>
            <w:vAlign w:val="center"/>
          </w:tcPr>
          <w:p w14:paraId="4D85E57C">
            <w:pPr>
              <w:pStyle w:val="28"/>
              <w:bidi w:val="0"/>
            </w:pPr>
            <w:r>
              <w:t>0.00</w:t>
            </w:r>
            <w:r>
              <w:rPr>
                <w:rFonts w:hint="eastAsia"/>
              </w:rPr>
              <w:t>4</w:t>
            </w:r>
          </w:p>
        </w:tc>
        <w:tc>
          <w:tcPr>
            <w:tcW w:w="1684" w:type="dxa"/>
            <w:vAlign w:val="center"/>
          </w:tcPr>
          <w:p w14:paraId="2F6F6799">
            <w:pPr>
              <w:pStyle w:val="28"/>
              <w:bidi w:val="0"/>
            </w:pPr>
            <w:r>
              <w:t>0.0</w:t>
            </w:r>
            <w:r>
              <w:rPr>
                <w:rFonts w:hint="eastAsia"/>
              </w:rPr>
              <w:t>4</w:t>
            </w:r>
          </w:p>
        </w:tc>
        <w:tc>
          <w:tcPr>
            <w:tcW w:w="1687" w:type="dxa"/>
            <w:vAlign w:val="center"/>
          </w:tcPr>
          <w:p w14:paraId="5AF61A2F">
            <w:pPr>
              <w:pStyle w:val="28"/>
              <w:bidi w:val="0"/>
            </w:pPr>
            <w:r>
              <w:t>0.00</w:t>
            </w:r>
            <w:r>
              <w:rPr>
                <w:rFonts w:hint="eastAsia"/>
              </w:rPr>
              <w:t>3</w:t>
            </w:r>
          </w:p>
        </w:tc>
      </w:tr>
      <w:tr w14:paraId="6919F0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093C7C39">
            <w:pPr>
              <w:pStyle w:val="28"/>
              <w:bidi w:val="0"/>
            </w:pPr>
          </w:p>
        </w:tc>
        <w:tc>
          <w:tcPr>
            <w:tcW w:w="681" w:type="pct"/>
            <w:vAlign w:val="center"/>
          </w:tcPr>
          <w:p w14:paraId="5233B86F">
            <w:pPr>
              <w:pStyle w:val="28"/>
              <w:bidi w:val="0"/>
            </w:pPr>
            <w:r>
              <w:t>第三次</w:t>
            </w:r>
          </w:p>
        </w:tc>
        <w:tc>
          <w:tcPr>
            <w:tcW w:w="1588" w:type="dxa"/>
            <w:vAlign w:val="center"/>
          </w:tcPr>
          <w:p w14:paraId="4D5ACCEA">
            <w:pPr>
              <w:pStyle w:val="28"/>
              <w:bidi w:val="0"/>
            </w:pPr>
            <w:r>
              <w:t>0.0</w:t>
            </w:r>
            <w:r>
              <w:rPr>
                <w:rFonts w:hint="eastAsia"/>
              </w:rPr>
              <w:t>4</w:t>
            </w:r>
          </w:p>
        </w:tc>
        <w:tc>
          <w:tcPr>
            <w:tcW w:w="1781" w:type="dxa"/>
            <w:vAlign w:val="center"/>
          </w:tcPr>
          <w:p w14:paraId="6B340478">
            <w:pPr>
              <w:pStyle w:val="28"/>
              <w:bidi w:val="0"/>
            </w:pPr>
            <w:r>
              <w:t>0.00</w:t>
            </w:r>
            <w:r>
              <w:rPr>
                <w:rFonts w:hint="eastAsia"/>
              </w:rPr>
              <w:t>3</w:t>
            </w:r>
          </w:p>
        </w:tc>
        <w:tc>
          <w:tcPr>
            <w:tcW w:w="1684" w:type="dxa"/>
            <w:vAlign w:val="center"/>
          </w:tcPr>
          <w:p w14:paraId="1AA43E38">
            <w:pPr>
              <w:pStyle w:val="28"/>
              <w:bidi w:val="0"/>
            </w:pPr>
            <w:r>
              <w:t>0.0</w:t>
            </w:r>
            <w:r>
              <w:rPr>
                <w:rFonts w:hint="eastAsia"/>
              </w:rPr>
              <w:t>4</w:t>
            </w:r>
          </w:p>
        </w:tc>
        <w:tc>
          <w:tcPr>
            <w:tcW w:w="1687" w:type="dxa"/>
            <w:vAlign w:val="center"/>
          </w:tcPr>
          <w:p w14:paraId="7BA4821A">
            <w:pPr>
              <w:pStyle w:val="28"/>
              <w:bidi w:val="0"/>
            </w:pPr>
            <w:r>
              <w:t>0.00</w:t>
            </w:r>
            <w:r>
              <w:rPr>
                <w:rFonts w:hint="eastAsia"/>
              </w:rPr>
              <w:t>3</w:t>
            </w:r>
          </w:p>
        </w:tc>
      </w:tr>
      <w:tr w14:paraId="0DDE57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0DBF2E16">
            <w:pPr>
              <w:pStyle w:val="28"/>
              <w:bidi w:val="0"/>
            </w:pPr>
          </w:p>
        </w:tc>
        <w:tc>
          <w:tcPr>
            <w:tcW w:w="681" w:type="pct"/>
            <w:vAlign w:val="center"/>
          </w:tcPr>
          <w:p w14:paraId="135F0D80">
            <w:pPr>
              <w:pStyle w:val="28"/>
              <w:bidi w:val="0"/>
            </w:pPr>
            <w:r>
              <w:t>第四次</w:t>
            </w:r>
          </w:p>
        </w:tc>
        <w:tc>
          <w:tcPr>
            <w:tcW w:w="1588" w:type="dxa"/>
            <w:vAlign w:val="center"/>
          </w:tcPr>
          <w:p w14:paraId="21584619">
            <w:pPr>
              <w:pStyle w:val="28"/>
              <w:bidi w:val="0"/>
            </w:pPr>
            <w:r>
              <w:t>0.0</w:t>
            </w:r>
            <w:r>
              <w:rPr>
                <w:rFonts w:hint="eastAsia"/>
              </w:rPr>
              <w:t>5</w:t>
            </w:r>
          </w:p>
        </w:tc>
        <w:tc>
          <w:tcPr>
            <w:tcW w:w="1781" w:type="dxa"/>
            <w:vAlign w:val="center"/>
          </w:tcPr>
          <w:p w14:paraId="1CFCE47C">
            <w:pPr>
              <w:pStyle w:val="28"/>
              <w:bidi w:val="0"/>
            </w:pPr>
            <w:r>
              <w:t>0.00</w:t>
            </w:r>
            <w:r>
              <w:rPr>
                <w:rFonts w:hint="eastAsia"/>
              </w:rPr>
              <w:t>4</w:t>
            </w:r>
          </w:p>
        </w:tc>
        <w:tc>
          <w:tcPr>
            <w:tcW w:w="1684" w:type="dxa"/>
            <w:vAlign w:val="center"/>
          </w:tcPr>
          <w:p w14:paraId="62B863D0">
            <w:pPr>
              <w:pStyle w:val="28"/>
              <w:bidi w:val="0"/>
            </w:pPr>
            <w:r>
              <w:t>0.0</w:t>
            </w:r>
            <w:r>
              <w:rPr>
                <w:rFonts w:hint="eastAsia"/>
              </w:rPr>
              <w:t>5</w:t>
            </w:r>
          </w:p>
        </w:tc>
        <w:tc>
          <w:tcPr>
            <w:tcW w:w="1687" w:type="dxa"/>
            <w:vAlign w:val="center"/>
          </w:tcPr>
          <w:p w14:paraId="1EC0D7C9">
            <w:pPr>
              <w:pStyle w:val="28"/>
              <w:bidi w:val="0"/>
            </w:pPr>
            <w:r>
              <w:t>0.00</w:t>
            </w:r>
            <w:r>
              <w:rPr>
                <w:rFonts w:hint="eastAsia"/>
              </w:rPr>
              <w:t>3</w:t>
            </w:r>
          </w:p>
        </w:tc>
      </w:tr>
      <w:tr w14:paraId="0D690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674" w:type="dxa"/>
            <w:vMerge w:val="restart"/>
            <w:vAlign w:val="center"/>
          </w:tcPr>
          <w:p w14:paraId="6DAA5549">
            <w:pPr>
              <w:pStyle w:val="28"/>
              <w:bidi w:val="0"/>
            </w:pPr>
            <w:r>
              <w:t>202</w:t>
            </w:r>
            <w:r>
              <w:rPr>
                <w:rFonts w:hint="eastAsia"/>
              </w:rPr>
              <w:t>4</w:t>
            </w:r>
            <w:r>
              <w:t>/0</w:t>
            </w:r>
            <w:r>
              <w:rPr>
                <w:rFonts w:hint="eastAsia"/>
              </w:rPr>
              <w:t>6</w:t>
            </w:r>
            <w:r>
              <w:t>/</w:t>
            </w:r>
            <w:r>
              <w:rPr>
                <w:rFonts w:hint="eastAsia"/>
              </w:rPr>
              <w:t>29</w:t>
            </w:r>
          </w:p>
        </w:tc>
        <w:tc>
          <w:tcPr>
            <w:tcW w:w="681" w:type="pct"/>
            <w:vAlign w:val="center"/>
          </w:tcPr>
          <w:p w14:paraId="707E3B5B">
            <w:pPr>
              <w:pStyle w:val="28"/>
              <w:bidi w:val="0"/>
            </w:pPr>
            <w:r>
              <w:t>第一次</w:t>
            </w:r>
          </w:p>
        </w:tc>
        <w:tc>
          <w:tcPr>
            <w:tcW w:w="1588" w:type="dxa"/>
            <w:vAlign w:val="center"/>
          </w:tcPr>
          <w:p w14:paraId="5AB37582">
            <w:pPr>
              <w:pStyle w:val="28"/>
              <w:bidi w:val="0"/>
            </w:pPr>
            <w:r>
              <w:t>0.0</w:t>
            </w:r>
            <w:r>
              <w:rPr>
                <w:rFonts w:hint="eastAsia"/>
              </w:rPr>
              <w:t>3</w:t>
            </w:r>
          </w:p>
        </w:tc>
        <w:tc>
          <w:tcPr>
            <w:tcW w:w="1781" w:type="dxa"/>
            <w:vAlign w:val="center"/>
          </w:tcPr>
          <w:p w14:paraId="14904C20">
            <w:pPr>
              <w:pStyle w:val="28"/>
              <w:bidi w:val="0"/>
            </w:pPr>
            <w:r>
              <w:t>0.00</w:t>
            </w:r>
            <w:r>
              <w:rPr>
                <w:rFonts w:hint="eastAsia"/>
              </w:rPr>
              <w:t>4</w:t>
            </w:r>
          </w:p>
        </w:tc>
        <w:tc>
          <w:tcPr>
            <w:tcW w:w="1684" w:type="dxa"/>
            <w:vAlign w:val="center"/>
          </w:tcPr>
          <w:p w14:paraId="219D5C95">
            <w:pPr>
              <w:pStyle w:val="28"/>
              <w:bidi w:val="0"/>
            </w:pPr>
            <w:r>
              <w:t>0.0</w:t>
            </w:r>
            <w:r>
              <w:rPr>
                <w:rFonts w:hint="eastAsia"/>
              </w:rPr>
              <w:t>4</w:t>
            </w:r>
          </w:p>
        </w:tc>
        <w:tc>
          <w:tcPr>
            <w:tcW w:w="1687" w:type="dxa"/>
            <w:vAlign w:val="center"/>
          </w:tcPr>
          <w:p w14:paraId="53CC1BD1">
            <w:pPr>
              <w:pStyle w:val="28"/>
              <w:bidi w:val="0"/>
            </w:pPr>
            <w:r>
              <w:t>0.00</w:t>
            </w:r>
            <w:r>
              <w:rPr>
                <w:rFonts w:hint="eastAsia"/>
              </w:rPr>
              <w:t>4</w:t>
            </w:r>
          </w:p>
        </w:tc>
      </w:tr>
      <w:tr w14:paraId="75981B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169C5FDD">
            <w:pPr>
              <w:pStyle w:val="28"/>
              <w:bidi w:val="0"/>
            </w:pPr>
          </w:p>
        </w:tc>
        <w:tc>
          <w:tcPr>
            <w:tcW w:w="681" w:type="pct"/>
            <w:vAlign w:val="center"/>
          </w:tcPr>
          <w:p w14:paraId="755765D0">
            <w:pPr>
              <w:pStyle w:val="28"/>
              <w:bidi w:val="0"/>
            </w:pPr>
            <w:r>
              <w:t>第二次</w:t>
            </w:r>
          </w:p>
        </w:tc>
        <w:tc>
          <w:tcPr>
            <w:tcW w:w="1588" w:type="dxa"/>
            <w:vAlign w:val="center"/>
          </w:tcPr>
          <w:p w14:paraId="78F12CFF">
            <w:pPr>
              <w:pStyle w:val="28"/>
              <w:bidi w:val="0"/>
            </w:pPr>
            <w:r>
              <w:t>0.0</w:t>
            </w:r>
            <w:r>
              <w:rPr>
                <w:rFonts w:hint="eastAsia"/>
              </w:rPr>
              <w:t>3</w:t>
            </w:r>
          </w:p>
        </w:tc>
        <w:tc>
          <w:tcPr>
            <w:tcW w:w="1781" w:type="dxa"/>
            <w:vAlign w:val="center"/>
          </w:tcPr>
          <w:p w14:paraId="1746CDCD">
            <w:pPr>
              <w:pStyle w:val="28"/>
              <w:bidi w:val="0"/>
            </w:pPr>
            <w:r>
              <w:t>0.00</w:t>
            </w:r>
            <w:r>
              <w:rPr>
                <w:rFonts w:hint="eastAsia"/>
              </w:rPr>
              <w:t>4</w:t>
            </w:r>
          </w:p>
        </w:tc>
        <w:tc>
          <w:tcPr>
            <w:tcW w:w="1684" w:type="dxa"/>
            <w:vAlign w:val="center"/>
          </w:tcPr>
          <w:p w14:paraId="69D63D9A">
            <w:pPr>
              <w:pStyle w:val="28"/>
              <w:bidi w:val="0"/>
            </w:pPr>
            <w:r>
              <w:t>0.0</w:t>
            </w:r>
            <w:r>
              <w:rPr>
                <w:rFonts w:hint="eastAsia"/>
              </w:rPr>
              <w:t>5</w:t>
            </w:r>
          </w:p>
        </w:tc>
        <w:tc>
          <w:tcPr>
            <w:tcW w:w="1687" w:type="dxa"/>
            <w:vAlign w:val="center"/>
          </w:tcPr>
          <w:p w14:paraId="33B83EE3">
            <w:pPr>
              <w:pStyle w:val="28"/>
              <w:bidi w:val="0"/>
            </w:pPr>
            <w:r>
              <w:t>0.00</w:t>
            </w:r>
            <w:r>
              <w:rPr>
                <w:rFonts w:hint="eastAsia"/>
              </w:rPr>
              <w:t>3</w:t>
            </w:r>
          </w:p>
        </w:tc>
      </w:tr>
      <w:tr w14:paraId="41379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46DB0FB7">
            <w:pPr>
              <w:pStyle w:val="28"/>
              <w:bidi w:val="0"/>
            </w:pPr>
          </w:p>
        </w:tc>
        <w:tc>
          <w:tcPr>
            <w:tcW w:w="681" w:type="pct"/>
            <w:vAlign w:val="center"/>
          </w:tcPr>
          <w:p w14:paraId="63EC687C">
            <w:pPr>
              <w:pStyle w:val="28"/>
              <w:bidi w:val="0"/>
            </w:pPr>
            <w:r>
              <w:t>第三次</w:t>
            </w:r>
          </w:p>
        </w:tc>
        <w:tc>
          <w:tcPr>
            <w:tcW w:w="1588" w:type="dxa"/>
            <w:vAlign w:val="center"/>
          </w:tcPr>
          <w:p w14:paraId="08923B02">
            <w:pPr>
              <w:pStyle w:val="28"/>
              <w:bidi w:val="0"/>
            </w:pPr>
            <w:r>
              <w:t>0.0</w:t>
            </w:r>
            <w:r>
              <w:rPr>
                <w:rFonts w:hint="eastAsia"/>
              </w:rPr>
              <w:t>3</w:t>
            </w:r>
          </w:p>
        </w:tc>
        <w:tc>
          <w:tcPr>
            <w:tcW w:w="1781" w:type="dxa"/>
            <w:vAlign w:val="center"/>
          </w:tcPr>
          <w:p w14:paraId="01E967E0">
            <w:pPr>
              <w:pStyle w:val="28"/>
              <w:bidi w:val="0"/>
            </w:pPr>
            <w:r>
              <w:t>0.00</w:t>
            </w:r>
            <w:r>
              <w:rPr>
                <w:rFonts w:hint="eastAsia"/>
              </w:rPr>
              <w:t>4</w:t>
            </w:r>
          </w:p>
        </w:tc>
        <w:tc>
          <w:tcPr>
            <w:tcW w:w="1684" w:type="dxa"/>
            <w:vAlign w:val="center"/>
          </w:tcPr>
          <w:p w14:paraId="2C1D5AFD">
            <w:pPr>
              <w:pStyle w:val="28"/>
              <w:bidi w:val="0"/>
            </w:pPr>
            <w:r>
              <w:t>0.0</w:t>
            </w:r>
            <w:r>
              <w:rPr>
                <w:rFonts w:hint="eastAsia"/>
              </w:rPr>
              <w:t>5</w:t>
            </w:r>
          </w:p>
        </w:tc>
        <w:tc>
          <w:tcPr>
            <w:tcW w:w="1687" w:type="dxa"/>
            <w:vAlign w:val="center"/>
          </w:tcPr>
          <w:p w14:paraId="15CC37EE">
            <w:pPr>
              <w:pStyle w:val="28"/>
              <w:bidi w:val="0"/>
            </w:pPr>
            <w:r>
              <w:t>0.00</w:t>
            </w:r>
            <w:r>
              <w:rPr>
                <w:rFonts w:hint="eastAsia"/>
              </w:rPr>
              <w:t>4</w:t>
            </w:r>
          </w:p>
        </w:tc>
      </w:tr>
      <w:tr w14:paraId="392C7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746CAE56">
            <w:pPr>
              <w:pStyle w:val="28"/>
              <w:bidi w:val="0"/>
            </w:pPr>
          </w:p>
        </w:tc>
        <w:tc>
          <w:tcPr>
            <w:tcW w:w="681" w:type="pct"/>
            <w:vAlign w:val="center"/>
          </w:tcPr>
          <w:p w14:paraId="4E651E5B">
            <w:pPr>
              <w:pStyle w:val="28"/>
              <w:bidi w:val="0"/>
            </w:pPr>
            <w:r>
              <w:t>第四次</w:t>
            </w:r>
          </w:p>
        </w:tc>
        <w:tc>
          <w:tcPr>
            <w:tcW w:w="1588" w:type="dxa"/>
            <w:vAlign w:val="center"/>
          </w:tcPr>
          <w:p w14:paraId="11FF1CE9">
            <w:pPr>
              <w:pStyle w:val="28"/>
              <w:bidi w:val="0"/>
            </w:pPr>
            <w:r>
              <w:t>0.0</w:t>
            </w:r>
            <w:r>
              <w:rPr>
                <w:rFonts w:hint="eastAsia"/>
              </w:rPr>
              <w:t>4</w:t>
            </w:r>
          </w:p>
        </w:tc>
        <w:tc>
          <w:tcPr>
            <w:tcW w:w="1781" w:type="dxa"/>
            <w:vAlign w:val="center"/>
          </w:tcPr>
          <w:p w14:paraId="6BF7FCFB">
            <w:pPr>
              <w:pStyle w:val="28"/>
              <w:bidi w:val="0"/>
            </w:pPr>
            <w:r>
              <w:t>0.00</w:t>
            </w:r>
            <w:r>
              <w:rPr>
                <w:rFonts w:hint="eastAsia"/>
              </w:rPr>
              <w:t>3</w:t>
            </w:r>
          </w:p>
        </w:tc>
        <w:tc>
          <w:tcPr>
            <w:tcW w:w="1684" w:type="dxa"/>
            <w:vAlign w:val="center"/>
          </w:tcPr>
          <w:p w14:paraId="75B8A3A0">
            <w:pPr>
              <w:pStyle w:val="28"/>
              <w:bidi w:val="0"/>
            </w:pPr>
            <w:r>
              <w:t>0.0</w:t>
            </w:r>
            <w:r>
              <w:rPr>
                <w:rFonts w:hint="eastAsia"/>
              </w:rPr>
              <w:t>4</w:t>
            </w:r>
          </w:p>
        </w:tc>
        <w:tc>
          <w:tcPr>
            <w:tcW w:w="1687" w:type="dxa"/>
            <w:vAlign w:val="center"/>
          </w:tcPr>
          <w:p w14:paraId="47CD4A34">
            <w:pPr>
              <w:pStyle w:val="28"/>
              <w:bidi w:val="0"/>
            </w:pPr>
            <w:r>
              <w:t>0.00</w:t>
            </w:r>
            <w:r>
              <w:rPr>
                <w:rFonts w:hint="eastAsia"/>
              </w:rPr>
              <w:t>3</w:t>
            </w:r>
          </w:p>
        </w:tc>
      </w:tr>
      <w:tr w14:paraId="57021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674" w:type="dxa"/>
            <w:vMerge w:val="restart"/>
            <w:vAlign w:val="center"/>
          </w:tcPr>
          <w:p w14:paraId="681A5A54">
            <w:pPr>
              <w:pStyle w:val="28"/>
              <w:bidi w:val="0"/>
            </w:pPr>
            <w:r>
              <w:t>202</w:t>
            </w:r>
            <w:r>
              <w:rPr>
                <w:rFonts w:hint="eastAsia"/>
              </w:rPr>
              <w:t>4</w:t>
            </w:r>
            <w:r>
              <w:t>/0</w:t>
            </w:r>
            <w:r>
              <w:rPr>
                <w:rFonts w:hint="eastAsia"/>
              </w:rPr>
              <w:t>6</w:t>
            </w:r>
            <w:r>
              <w:t>/</w:t>
            </w:r>
            <w:r>
              <w:rPr>
                <w:rFonts w:hint="eastAsia"/>
              </w:rPr>
              <w:t>30</w:t>
            </w:r>
          </w:p>
        </w:tc>
        <w:tc>
          <w:tcPr>
            <w:tcW w:w="681" w:type="pct"/>
            <w:vAlign w:val="center"/>
          </w:tcPr>
          <w:p w14:paraId="0D7BCEAE">
            <w:pPr>
              <w:pStyle w:val="28"/>
              <w:bidi w:val="0"/>
            </w:pPr>
            <w:r>
              <w:t>第一次</w:t>
            </w:r>
          </w:p>
        </w:tc>
        <w:tc>
          <w:tcPr>
            <w:tcW w:w="1588" w:type="dxa"/>
            <w:vAlign w:val="center"/>
          </w:tcPr>
          <w:p w14:paraId="7677D31C">
            <w:pPr>
              <w:pStyle w:val="28"/>
              <w:bidi w:val="0"/>
            </w:pPr>
            <w:r>
              <w:t>0.0</w:t>
            </w:r>
            <w:r>
              <w:rPr>
                <w:rFonts w:hint="eastAsia"/>
              </w:rPr>
              <w:t>4</w:t>
            </w:r>
          </w:p>
        </w:tc>
        <w:tc>
          <w:tcPr>
            <w:tcW w:w="1781" w:type="dxa"/>
            <w:vAlign w:val="center"/>
          </w:tcPr>
          <w:p w14:paraId="23111933">
            <w:pPr>
              <w:pStyle w:val="28"/>
              <w:bidi w:val="0"/>
            </w:pPr>
            <w:r>
              <w:t>0.00</w:t>
            </w:r>
            <w:r>
              <w:rPr>
                <w:rFonts w:hint="eastAsia"/>
              </w:rPr>
              <w:t>4</w:t>
            </w:r>
          </w:p>
        </w:tc>
        <w:tc>
          <w:tcPr>
            <w:tcW w:w="1684" w:type="dxa"/>
            <w:vAlign w:val="center"/>
          </w:tcPr>
          <w:p w14:paraId="5265043C">
            <w:pPr>
              <w:pStyle w:val="28"/>
              <w:bidi w:val="0"/>
            </w:pPr>
            <w:r>
              <w:t>0.0</w:t>
            </w:r>
            <w:r>
              <w:rPr>
                <w:rFonts w:hint="eastAsia"/>
              </w:rPr>
              <w:t>4</w:t>
            </w:r>
          </w:p>
        </w:tc>
        <w:tc>
          <w:tcPr>
            <w:tcW w:w="1687" w:type="dxa"/>
            <w:vAlign w:val="center"/>
          </w:tcPr>
          <w:p w14:paraId="66530CB1">
            <w:pPr>
              <w:pStyle w:val="28"/>
              <w:bidi w:val="0"/>
            </w:pPr>
            <w:r>
              <w:t>0.00</w:t>
            </w:r>
            <w:r>
              <w:rPr>
                <w:rFonts w:hint="eastAsia"/>
              </w:rPr>
              <w:t>4</w:t>
            </w:r>
          </w:p>
        </w:tc>
      </w:tr>
      <w:tr w14:paraId="298D3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04295864">
            <w:pPr>
              <w:pStyle w:val="28"/>
              <w:bidi w:val="0"/>
            </w:pPr>
          </w:p>
        </w:tc>
        <w:tc>
          <w:tcPr>
            <w:tcW w:w="681" w:type="pct"/>
            <w:vAlign w:val="center"/>
          </w:tcPr>
          <w:p w14:paraId="1A084B24">
            <w:pPr>
              <w:pStyle w:val="28"/>
              <w:bidi w:val="0"/>
            </w:pPr>
            <w:r>
              <w:t>第二次</w:t>
            </w:r>
          </w:p>
        </w:tc>
        <w:tc>
          <w:tcPr>
            <w:tcW w:w="1588" w:type="dxa"/>
            <w:vAlign w:val="center"/>
          </w:tcPr>
          <w:p w14:paraId="4BB48FE5">
            <w:pPr>
              <w:pStyle w:val="28"/>
              <w:bidi w:val="0"/>
            </w:pPr>
            <w:r>
              <w:t>0.0</w:t>
            </w:r>
            <w:r>
              <w:rPr>
                <w:rFonts w:hint="eastAsia"/>
              </w:rPr>
              <w:t>3</w:t>
            </w:r>
          </w:p>
        </w:tc>
        <w:tc>
          <w:tcPr>
            <w:tcW w:w="1781" w:type="dxa"/>
            <w:vAlign w:val="center"/>
          </w:tcPr>
          <w:p w14:paraId="3EA8DFB7">
            <w:pPr>
              <w:pStyle w:val="28"/>
              <w:bidi w:val="0"/>
            </w:pPr>
            <w:r>
              <w:t>0.00</w:t>
            </w:r>
            <w:r>
              <w:rPr>
                <w:rFonts w:hint="eastAsia"/>
              </w:rPr>
              <w:t>4</w:t>
            </w:r>
          </w:p>
        </w:tc>
        <w:tc>
          <w:tcPr>
            <w:tcW w:w="1684" w:type="dxa"/>
            <w:vAlign w:val="center"/>
          </w:tcPr>
          <w:p w14:paraId="642E67D3">
            <w:pPr>
              <w:pStyle w:val="28"/>
              <w:bidi w:val="0"/>
            </w:pPr>
            <w:r>
              <w:t>0.0</w:t>
            </w:r>
            <w:r>
              <w:rPr>
                <w:rFonts w:hint="eastAsia"/>
              </w:rPr>
              <w:t>4</w:t>
            </w:r>
          </w:p>
        </w:tc>
        <w:tc>
          <w:tcPr>
            <w:tcW w:w="1687" w:type="dxa"/>
            <w:vAlign w:val="center"/>
          </w:tcPr>
          <w:p w14:paraId="769E11FC">
            <w:pPr>
              <w:pStyle w:val="28"/>
              <w:bidi w:val="0"/>
            </w:pPr>
            <w:r>
              <w:t>0.00</w:t>
            </w:r>
            <w:r>
              <w:rPr>
                <w:rFonts w:hint="eastAsia"/>
              </w:rPr>
              <w:t>4</w:t>
            </w:r>
          </w:p>
        </w:tc>
      </w:tr>
      <w:tr w14:paraId="75E7DD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57154FC2">
            <w:pPr>
              <w:pStyle w:val="28"/>
              <w:bidi w:val="0"/>
            </w:pPr>
          </w:p>
        </w:tc>
        <w:tc>
          <w:tcPr>
            <w:tcW w:w="681" w:type="pct"/>
            <w:vAlign w:val="center"/>
          </w:tcPr>
          <w:p w14:paraId="4535F94D">
            <w:pPr>
              <w:pStyle w:val="28"/>
              <w:bidi w:val="0"/>
            </w:pPr>
            <w:r>
              <w:t>第三次</w:t>
            </w:r>
          </w:p>
        </w:tc>
        <w:tc>
          <w:tcPr>
            <w:tcW w:w="1588" w:type="dxa"/>
            <w:vAlign w:val="center"/>
          </w:tcPr>
          <w:p w14:paraId="3B588ACE">
            <w:pPr>
              <w:pStyle w:val="28"/>
              <w:bidi w:val="0"/>
            </w:pPr>
            <w:r>
              <w:t>0.0</w:t>
            </w:r>
            <w:r>
              <w:rPr>
                <w:rFonts w:hint="eastAsia"/>
              </w:rPr>
              <w:t>3</w:t>
            </w:r>
          </w:p>
        </w:tc>
        <w:tc>
          <w:tcPr>
            <w:tcW w:w="1781" w:type="dxa"/>
            <w:vAlign w:val="center"/>
          </w:tcPr>
          <w:p w14:paraId="5FDC65B6">
            <w:pPr>
              <w:pStyle w:val="28"/>
              <w:bidi w:val="0"/>
            </w:pPr>
            <w:r>
              <w:t>0.00</w:t>
            </w:r>
            <w:r>
              <w:rPr>
                <w:rFonts w:hint="eastAsia"/>
              </w:rPr>
              <w:t>4</w:t>
            </w:r>
          </w:p>
        </w:tc>
        <w:tc>
          <w:tcPr>
            <w:tcW w:w="1684" w:type="dxa"/>
            <w:vAlign w:val="center"/>
          </w:tcPr>
          <w:p w14:paraId="4BFE4CCD">
            <w:pPr>
              <w:pStyle w:val="28"/>
              <w:bidi w:val="0"/>
            </w:pPr>
            <w:r>
              <w:t>0.0</w:t>
            </w:r>
            <w:r>
              <w:rPr>
                <w:rFonts w:hint="eastAsia"/>
              </w:rPr>
              <w:t>5</w:t>
            </w:r>
          </w:p>
        </w:tc>
        <w:tc>
          <w:tcPr>
            <w:tcW w:w="1687" w:type="dxa"/>
            <w:vAlign w:val="center"/>
          </w:tcPr>
          <w:p w14:paraId="25E66125">
            <w:pPr>
              <w:pStyle w:val="28"/>
              <w:bidi w:val="0"/>
            </w:pPr>
            <w:r>
              <w:t>0.00</w:t>
            </w:r>
            <w:r>
              <w:rPr>
                <w:rFonts w:hint="eastAsia"/>
              </w:rPr>
              <w:t>4</w:t>
            </w:r>
          </w:p>
        </w:tc>
      </w:tr>
      <w:tr w14:paraId="5D938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7FF06610">
            <w:pPr>
              <w:pStyle w:val="28"/>
              <w:bidi w:val="0"/>
            </w:pPr>
          </w:p>
        </w:tc>
        <w:tc>
          <w:tcPr>
            <w:tcW w:w="681" w:type="pct"/>
            <w:vAlign w:val="center"/>
          </w:tcPr>
          <w:p w14:paraId="4CB6121B">
            <w:pPr>
              <w:pStyle w:val="28"/>
              <w:bidi w:val="0"/>
            </w:pPr>
            <w:r>
              <w:t>第四次</w:t>
            </w:r>
          </w:p>
        </w:tc>
        <w:tc>
          <w:tcPr>
            <w:tcW w:w="1588" w:type="dxa"/>
            <w:vAlign w:val="center"/>
          </w:tcPr>
          <w:p w14:paraId="1065FF47">
            <w:pPr>
              <w:pStyle w:val="28"/>
              <w:bidi w:val="0"/>
            </w:pPr>
            <w:r>
              <w:t>0.0</w:t>
            </w:r>
            <w:r>
              <w:rPr>
                <w:rFonts w:hint="eastAsia"/>
              </w:rPr>
              <w:t>3</w:t>
            </w:r>
          </w:p>
        </w:tc>
        <w:tc>
          <w:tcPr>
            <w:tcW w:w="1781" w:type="dxa"/>
            <w:vAlign w:val="center"/>
          </w:tcPr>
          <w:p w14:paraId="1975E06B">
            <w:pPr>
              <w:pStyle w:val="28"/>
              <w:bidi w:val="0"/>
            </w:pPr>
            <w:r>
              <w:t>0.00</w:t>
            </w:r>
            <w:r>
              <w:rPr>
                <w:rFonts w:hint="eastAsia"/>
              </w:rPr>
              <w:t>4</w:t>
            </w:r>
          </w:p>
        </w:tc>
        <w:tc>
          <w:tcPr>
            <w:tcW w:w="1684" w:type="dxa"/>
            <w:vAlign w:val="center"/>
          </w:tcPr>
          <w:p w14:paraId="113C809D">
            <w:pPr>
              <w:pStyle w:val="28"/>
              <w:bidi w:val="0"/>
            </w:pPr>
            <w:r>
              <w:t>0.0</w:t>
            </w:r>
            <w:r>
              <w:rPr>
                <w:rFonts w:hint="eastAsia"/>
              </w:rPr>
              <w:t>4</w:t>
            </w:r>
          </w:p>
        </w:tc>
        <w:tc>
          <w:tcPr>
            <w:tcW w:w="1687" w:type="dxa"/>
            <w:vAlign w:val="center"/>
          </w:tcPr>
          <w:p w14:paraId="25492582">
            <w:pPr>
              <w:pStyle w:val="28"/>
              <w:bidi w:val="0"/>
            </w:pPr>
            <w:r>
              <w:t>0.00</w:t>
            </w:r>
            <w:r>
              <w:rPr>
                <w:rFonts w:hint="eastAsia"/>
              </w:rPr>
              <w:t>4</w:t>
            </w:r>
          </w:p>
        </w:tc>
      </w:tr>
      <w:tr w14:paraId="046E8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674" w:type="dxa"/>
            <w:vMerge w:val="restart"/>
            <w:vAlign w:val="center"/>
          </w:tcPr>
          <w:p w14:paraId="71FE69B6">
            <w:pPr>
              <w:pStyle w:val="28"/>
              <w:bidi w:val="0"/>
            </w:pPr>
            <w:r>
              <w:t>202</w:t>
            </w:r>
            <w:r>
              <w:rPr>
                <w:rFonts w:hint="eastAsia"/>
              </w:rPr>
              <w:t>4</w:t>
            </w:r>
            <w:r>
              <w:t>/0</w:t>
            </w:r>
            <w:r>
              <w:rPr>
                <w:rFonts w:hint="eastAsia"/>
              </w:rPr>
              <w:t>7</w:t>
            </w:r>
            <w:r>
              <w:t>/</w:t>
            </w:r>
            <w:r>
              <w:rPr>
                <w:rFonts w:hint="eastAsia"/>
              </w:rPr>
              <w:t>01</w:t>
            </w:r>
          </w:p>
        </w:tc>
        <w:tc>
          <w:tcPr>
            <w:tcW w:w="681" w:type="pct"/>
            <w:vAlign w:val="center"/>
          </w:tcPr>
          <w:p w14:paraId="121954FA">
            <w:pPr>
              <w:pStyle w:val="28"/>
              <w:bidi w:val="0"/>
            </w:pPr>
            <w:r>
              <w:t>第一次</w:t>
            </w:r>
          </w:p>
        </w:tc>
        <w:tc>
          <w:tcPr>
            <w:tcW w:w="1588" w:type="dxa"/>
            <w:vAlign w:val="center"/>
          </w:tcPr>
          <w:p w14:paraId="51339CA9">
            <w:pPr>
              <w:pStyle w:val="28"/>
              <w:bidi w:val="0"/>
            </w:pPr>
            <w:r>
              <w:t>0.0</w:t>
            </w:r>
            <w:r>
              <w:rPr>
                <w:rFonts w:hint="eastAsia"/>
              </w:rPr>
              <w:t>2</w:t>
            </w:r>
          </w:p>
        </w:tc>
        <w:tc>
          <w:tcPr>
            <w:tcW w:w="1781" w:type="dxa"/>
            <w:vAlign w:val="center"/>
          </w:tcPr>
          <w:p w14:paraId="213B46E6">
            <w:pPr>
              <w:pStyle w:val="28"/>
              <w:bidi w:val="0"/>
            </w:pPr>
            <w:r>
              <w:t>0.00</w:t>
            </w:r>
            <w:r>
              <w:rPr>
                <w:rFonts w:hint="eastAsia"/>
              </w:rPr>
              <w:t>4</w:t>
            </w:r>
          </w:p>
        </w:tc>
        <w:tc>
          <w:tcPr>
            <w:tcW w:w="1684" w:type="dxa"/>
            <w:vAlign w:val="center"/>
          </w:tcPr>
          <w:p w14:paraId="30480EC8">
            <w:pPr>
              <w:pStyle w:val="28"/>
              <w:bidi w:val="0"/>
            </w:pPr>
            <w:r>
              <w:t>0.0</w:t>
            </w:r>
            <w:r>
              <w:rPr>
                <w:rFonts w:hint="eastAsia"/>
              </w:rPr>
              <w:t>4</w:t>
            </w:r>
          </w:p>
        </w:tc>
        <w:tc>
          <w:tcPr>
            <w:tcW w:w="1687" w:type="dxa"/>
            <w:vAlign w:val="center"/>
          </w:tcPr>
          <w:p w14:paraId="2758B100">
            <w:pPr>
              <w:pStyle w:val="28"/>
              <w:bidi w:val="0"/>
            </w:pPr>
            <w:r>
              <w:t>0.00</w:t>
            </w:r>
            <w:r>
              <w:rPr>
                <w:rFonts w:hint="eastAsia"/>
              </w:rPr>
              <w:t>4</w:t>
            </w:r>
          </w:p>
        </w:tc>
      </w:tr>
      <w:tr w14:paraId="631B8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1EEC6184">
            <w:pPr>
              <w:pStyle w:val="28"/>
              <w:bidi w:val="0"/>
            </w:pPr>
          </w:p>
        </w:tc>
        <w:tc>
          <w:tcPr>
            <w:tcW w:w="681" w:type="pct"/>
            <w:vAlign w:val="center"/>
          </w:tcPr>
          <w:p w14:paraId="05352A3E">
            <w:pPr>
              <w:pStyle w:val="28"/>
              <w:bidi w:val="0"/>
            </w:pPr>
            <w:r>
              <w:t>第二次</w:t>
            </w:r>
          </w:p>
        </w:tc>
        <w:tc>
          <w:tcPr>
            <w:tcW w:w="1588" w:type="dxa"/>
            <w:vAlign w:val="center"/>
          </w:tcPr>
          <w:p w14:paraId="0959DC8A">
            <w:pPr>
              <w:pStyle w:val="28"/>
              <w:bidi w:val="0"/>
            </w:pPr>
            <w:r>
              <w:t>0.0</w:t>
            </w:r>
            <w:r>
              <w:rPr>
                <w:rFonts w:hint="eastAsia"/>
              </w:rPr>
              <w:t>3</w:t>
            </w:r>
          </w:p>
        </w:tc>
        <w:tc>
          <w:tcPr>
            <w:tcW w:w="1781" w:type="dxa"/>
            <w:vAlign w:val="center"/>
          </w:tcPr>
          <w:p w14:paraId="4A518709">
            <w:pPr>
              <w:pStyle w:val="28"/>
              <w:bidi w:val="0"/>
            </w:pPr>
            <w:r>
              <w:t>0.00</w:t>
            </w:r>
            <w:r>
              <w:rPr>
                <w:rFonts w:hint="eastAsia"/>
              </w:rPr>
              <w:t>5</w:t>
            </w:r>
          </w:p>
        </w:tc>
        <w:tc>
          <w:tcPr>
            <w:tcW w:w="1684" w:type="dxa"/>
            <w:vAlign w:val="center"/>
          </w:tcPr>
          <w:p w14:paraId="3C72967C">
            <w:pPr>
              <w:pStyle w:val="28"/>
              <w:bidi w:val="0"/>
            </w:pPr>
            <w:r>
              <w:t>0.0</w:t>
            </w:r>
            <w:r>
              <w:rPr>
                <w:rFonts w:hint="eastAsia"/>
              </w:rPr>
              <w:t>4</w:t>
            </w:r>
          </w:p>
        </w:tc>
        <w:tc>
          <w:tcPr>
            <w:tcW w:w="1687" w:type="dxa"/>
            <w:vAlign w:val="center"/>
          </w:tcPr>
          <w:p w14:paraId="615BC7E1">
            <w:pPr>
              <w:pStyle w:val="28"/>
              <w:bidi w:val="0"/>
            </w:pPr>
            <w:r>
              <w:t>0.00</w:t>
            </w:r>
            <w:r>
              <w:rPr>
                <w:rFonts w:hint="eastAsia"/>
              </w:rPr>
              <w:t>5</w:t>
            </w:r>
          </w:p>
        </w:tc>
      </w:tr>
      <w:tr w14:paraId="32D76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74D352B5">
            <w:pPr>
              <w:pStyle w:val="28"/>
              <w:bidi w:val="0"/>
            </w:pPr>
          </w:p>
        </w:tc>
        <w:tc>
          <w:tcPr>
            <w:tcW w:w="681" w:type="pct"/>
            <w:vAlign w:val="center"/>
          </w:tcPr>
          <w:p w14:paraId="5D3535BC">
            <w:pPr>
              <w:pStyle w:val="28"/>
              <w:bidi w:val="0"/>
            </w:pPr>
            <w:r>
              <w:t>第三次</w:t>
            </w:r>
          </w:p>
        </w:tc>
        <w:tc>
          <w:tcPr>
            <w:tcW w:w="1588" w:type="dxa"/>
            <w:vAlign w:val="center"/>
          </w:tcPr>
          <w:p w14:paraId="0C97519F">
            <w:pPr>
              <w:pStyle w:val="28"/>
              <w:bidi w:val="0"/>
            </w:pPr>
            <w:r>
              <w:t>0.0</w:t>
            </w:r>
            <w:r>
              <w:rPr>
                <w:rFonts w:hint="eastAsia"/>
              </w:rPr>
              <w:t>3</w:t>
            </w:r>
          </w:p>
        </w:tc>
        <w:tc>
          <w:tcPr>
            <w:tcW w:w="1781" w:type="dxa"/>
            <w:vAlign w:val="center"/>
          </w:tcPr>
          <w:p w14:paraId="28A4B24B">
            <w:pPr>
              <w:pStyle w:val="28"/>
              <w:bidi w:val="0"/>
            </w:pPr>
            <w:r>
              <w:t>0.00</w:t>
            </w:r>
            <w:r>
              <w:rPr>
                <w:rFonts w:hint="eastAsia"/>
              </w:rPr>
              <w:t>4</w:t>
            </w:r>
          </w:p>
        </w:tc>
        <w:tc>
          <w:tcPr>
            <w:tcW w:w="1684" w:type="dxa"/>
            <w:vAlign w:val="center"/>
          </w:tcPr>
          <w:p w14:paraId="1E231284">
            <w:pPr>
              <w:pStyle w:val="28"/>
              <w:bidi w:val="0"/>
            </w:pPr>
            <w:r>
              <w:t>0.0</w:t>
            </w:r>
            <w:r>
              <w:rPr>
                <w:rFonts w:hint="eastAsia"/>
              </w:rPr>
              <w:t>5</w:t>
            </w:r>
          </w:p>
        </w:tc>
        <w:tc>
          <w:tcPr>
            <w:tcW w:w="1687" w:type="dxa"/>
            <w:vAlign w:val="center"/>
          </w:tcPr>
          <w:p w14:paraId="58148472">
            <w:pPr>
              <w:pStyle w:val="28"/>
              <w:bidi w:val="0"/>
            </w:pPr>
            <w:r>
              <w:t>0.00</w:t>
            </w:r>
            <w:r>
              <w:rPr>
                <w:rFonts w:hint="eastAsia"/>
              </w:rPr>
              <w:t>4</w:t>
            </w:r>
          </w:p>
        </w:tc>
      </w:tr>
      <w:tr w14:paraId="764E6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10124DC8">
            <w:pPr>
              <w:pStyle w:val="28"/>
              <w:bidi w:val="0"/>
            </w:pPr>
          </w:p>
        </w:tc>
        <w:tc>
          <w:tcPr>
            <w:tcW w:w="681" w:type="pct"/>
            <w:vAlign w:val="center"/>
          </w:tcPr>
          <w:p w14:paraId="50582C5C">
            <w:pPr>
              <w:pStyle w:val="28"/>
              <w:bidi w:val="0"/>
            </w:pPr>
            <w:r>
              <w:t>第四次</w:t>
            </w:r>
          </w:p>
        </w:tc>
        <w:tc>
          <w:tcPr>
            <w:tcW w:w="1588" w:type="dxa"/>
            <w:vAlign w:val="center"/>
          </w:tcPr>
          <w:p w14:paraId="2CA3A09F">
            <w:pPr>
              <w:pStyle w:val="28"/>
              <w:bidi w:val="0"/>
            </w:pPr>
            <w:r>
              <w:t>0.0</w:t>
            </w:r>
            <w:r>
              <w:rPr>
                <w:rFonts w:hint="eastAsia"/>
              </w:rPr>
              <w:t>3</w:t>
            </w:r>
          </w:p>
        </w:tc>
        <w:tc>
          <w:tcPr>
            <w:tcW w:w="1781" w:type="dxa"/>
            <w:vAlign w:val="center"/>
          </w:tcPr>
          <w:p w14:paraId="4DF94192">
            <w:pPr>
              <w:pStyle w:val="28"/>
              <w:bidi w:val="0"/>
            </w:pPr>
            <w:r>
              <w:t>0.00</w:t>
            </w:r>
            <w:r>
              <w:rPr>
                <w:rFonts w:hint="eastAsia"/>
              </w:rPr>
              <w:t>4</w:t>
            </w:r>
          </w:p>
        </w:tc>
        <w:tc>
          <w:tcPr>
            <w:tcW w:w="1684" w:type="dxa"/>
            <w:vAlign w:val="center"/>
          </w:tcPr>
          <w:p w14:paraId="0E280681">
            <w:pPr>
              <w:pStyle w:val="28"/>
              <w:bidi w:val="0"/>
            </w:pPr>
            <w:r>
              <w:t>0.0</w:t>
            </w:r>
            <w:r>
              <w:rPr>
                <w:rFonts w:hint="eastAsia"/>
              </w:rPr>
              <w:t>5</w:t>
            </w:r>
          </w:p>
        </w:tc>
        <w:tc>
          <w:tcPr>
            <w:tcW w:w="1687" w:type="dxa"/>
            <w:vAlign w:val="center"/>
          </w:tcPr>
          <w:p w14:paraId="71C0DC10">
            <w:pPr>
              <w:pStyle w:val="28"/>
              <w:bidi w:val="0"/>
            </w:pPr>
            <w:r>
              <w:t>0.00</w:t>
            </w:r>
            <w:r>
              <w:rPr>
                <w:rFonts w:hint="eastAsia"/>
              </w:rPr>
              <w:t>4</w:t>
            </w:r>
          </w:p>
        </w:tc>
      </w:tr>
      <w:tr w14:paraId="3D722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674" w:type="dxa"/>
            <w:vMerge w:val="restart"/>
            <w:vAlign w:val="center"/>
          </w:tcPr>
          <w:p w14:paraId="6DA75156">
            <w:pPr>
              <w:pStyle w:val="28"/>
              <w:bidi w:val="0"/>
            </w:pPr>
            <w:r>
              <w:t>202</w:t>
            </w:r>
            <w:r>
              <w:rPr>
                <w:rFonts w:hint="eastAsia"/>
              </w:rPr>
              <w:t>4</w:t>
            </w:r>
            <w:r>
              <w:t>/0</w:t>
            </w:r>
            <w:r>
              <w:rPr>
                <w:rFonts w:hint="eastAsia"/>
              </w:rPr>
              <w:t>7</w:t>
            </w:r>
            <w:r>
              <w:t>/</w:t>
            </w:r>
            <w:r>
              <w:rPr>
                <w:rFonts w:hint="eastAsia"/>
              </w:rPr>
              <w:t>02</w:t>
            </w:r>
          </w:p>
        </w:tc>
        <w:tc>
          <w:tcPr>
            <w:tcW w:w="681" w:type="pct"/>
            <w:vAlign w:val="center"/>
          </w:tcPr>
          <w:p w14:paraId="31070885">
            <w:pPr>
              <w:pStyle w:val="28"/>
              <w:bidi w:val="0"/>
            </w:pPr>
            <w:r>
              <w:t>第一次</w:t>
            </w:r>
          </w:p>
        </w:tc>
        <w:tc>
          <w:tcPr>
            <w:tcW w:w="1588" w:type="dxa"/>
            <w:vAlign w:val="center"/>
          </w:tcPr>
          <w:p w14:paraId="6D4DB555">
            <w:pPr>
              <w:pStyle w:val="28"/>
              <w:bidi w:val="0"/>
            </w:pPr>
            <w:r>
              <w:t>0.0</w:t>
            </w:r>
            <w:r>
              <w:rPr>
                <w:rFonts w:hint="eastAsia"/>
              </w:rPr>
              <w:t>3</w:t>
            </w:r>
          </w:p>
        </w:tc>
        <w:tc>
          <w:tcPr>
            <w:tcW w:w="1781" w:type="dxa"/>
            <w:vAlign w:val="center"/>
          </w:tcPr>
          <w:p w14:paraId="05AE35B1">
            <w:pPr>
              <w:pStyle w:val="28"/>
              <w:bidi w:val="0"/>
            </w:pPr>
            <w:r>
              <w:t>0.00</w:t>
            </w:r>
            <w:r>
              <w:rPr>
                <w:rFonts w:hint="eastAsia"/>
              </w:rPr>
              <w:t>3</w:t>
            </w:r>
          </w:p>
        </w:tc>
        <w:tc>
          <w:tcPr>
            <w:tcW w:w="1684" w:type="dxa"/>
            <w:vAlign w:val="center"/>
          </w:tcPr>
          <w:p w14:paraId="1A76A178">
            <w:pPr>
              <w:pStyle w:val="28"/>
              <w:bidi w:val="0"/>
            </w:pPr>
            <w:r>
              <w:t>0.0</w:t>
            </w:r>
            <w:r>
              <w:rPr>
                <w:rFonts w:hint="eastAsia"/>
              </w:rPr>
              <w:t>4</w:t>
            </w:r>
          </w:p>
        </w:tc>
        <w:tc>
          <w:tcPr>
            <w:tcW w:w="1687" w:type="dxa"/>
            <w:vAlign w:val="center"/>
          </w:tcPr>
          <w:p w14:paraId="6E2B0C5B">
            <w:pPr>
              <w:pStyle w:val="28"/>
              <w:bidi w:val="0"/>
            </w:pPr>
            <w:r>
              <w:t>0.00</w:t>
            </w:r>
            <w:r>
              <w:rPr>
                <w:rFonts w:hint="eastAsia"/>
              </w:rPr>
              <w:t>3</w:t>
            </w:r>
          </w:p>
        </w:tc>
      </w:tr>
      <w:tr w14:paraId="00915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1788E382">
            <w:pPr>
              <w:pStyle w:val="28"/>
              <w:bidi w:val="0"/>
            </w:pPr>
          </w:p>
        </w:tc>
        <w:tc>
          <w:tcPr>
            <w:tcW w:w="681" w:type="pct"/>
            <w:vAlign w:val="center"/>
          </w:tcPr>
          <w:p w14:paraId="207937BC">
            <w:pPr>
              <w:pStyle w:val="28"/>
              <w:bidi w:val="0"/>
            </w:pPr>
            <w:r>
              <w:t>第二次</w:t>
            </w:r>
          </w:p>
        </w:tc>
        <w:tc>
          <w:tcPr>
            <w:tcW w:w="1588" w:type="dxa"/>
            <w:vAlign w:val="center"/>
          </w:tcPr>
          <w:p w14:paraId="576A55A8">
            <w:pPr>
              <w:pStyle w:val="28"/>
              <w:bidi w:val="0"/>
            </w:pPr>
            <w:r>
              <w:t>0.0</w:t>
            </w:r>
            <w:r>
              <w:rPr>
                <w:rFonts w:hint="eastAsia"/>
              </w:rPr>
              <w:t>3</w:t>
            </w:r>
          </w:p>
        </w:tc>
        <w:tc>
          <w:tcPr>
            <w:tcW w:w="1781" w:type="dxa"/>
            <w:vAlign w:val="center"/>
          </w:tcPr>
          <w:p w14:paraId="2A801A22">
            <w:pPr>
              <w:pStyle w:val="28"/>
              <w:bidi w:val="0"/>
            </w:pPr>
            <w:r>
              <w:t>0.00</w:t>
            </w:r>
            <w:r>
              <w:rPr>
                <w:rFonts w:hint="eastAsia"/>
              </w:rPr>
              <w:t>4</w:t>
            </w:r>
          </w:p>
        </w:tc>
        <w:tc>
          <w:tcPr>
            <w:tcW w:w="1684" w:type="dxa"/>
            <w:vAlign w:val="center"/>
          </w:tcPr>
          <w:p w14:paraId="01711680">
            <w:pPr>
              <w:pStyle w:val="28"/>
              <w:bidi w:val="0"/>
            </w:pPr>
            <w:r>
              <w:t>0.05</w:t>
            </w:r>
          </w:p>
        </w:tc>
        <w:tc>
          <w:tcPr>
            <w:tcW w:w="1687" w:type="dxa"/>
            <w:vAlign w:val="center"/>
          </w:tcPr>
          <w:p w14:paraId="19EAD57C">
            <w:pPr>
              <w:pStyle w:val="28"/>
              <w:bidi w:val="0"/>
            </w:pPr>
            <w:r>
              <w:t>0.00</w:t>
            </w:r>
            <w:r>
              <w:rPr>
                <w:rFonts w:hint="eastAsia"/>
              </w:rPr>
              <w:t>3</w:t>
            </w:r>
          </w:p>
        </w:tc>
      </w:tr>
      <w:tr w14:paraId="5ECF6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534E3EE6">
            <w:pPr>
              <w:pStyle w:val="28"/>
              <w:bidi w:val="0"/>
            </w:pPr>
          </w:p>
        </w:tc>
        <w:tc>
          <w:tcPr>
            <w:tcW w:w="681" w:type="pct"/>
            <w:vAlign w:val="center"/>
          </w:tcPr>
          <w:p w14:paraId="0E49BCA3">
            <w:pPr>
              <w:pStyle w:val="28"/>
              <w:bidi w:val="0"/>
            </w:pPr>
            <w:r>
              <w:t>第三次</w:t>
            </w:r>
          </w:p>
        </w:tc>
        <w:tc>
          <w:tcPr>
            <w:tcW w:w="1588" w:type="dxa"/>
            <w:vAlign w:val="center"/>
          </w:tcPr>
          <w:p w14:paraId="42E60B7B">
            <w:pPr>
              <w:pStyle w:val="28"/>
              <w:bidi w:val="0"/>
            </w:pPr>
            <w:r>
              <w:t>0.0</w:t>
            </w:r>
            <w:r>
              <w:rPr>
                <w:rFonts w:hint="eastAsia"/>
              </w:rPr>
              <w:t>4</w:t>
            </w:r>
          </w:p>
        </w:tc>
        <w:tc>
          <w:tcPr>
            <w:tcW w:w="1781" w:type="dxa"/>
            <w:vAlign w:val="center"/>
          </w:tcPr>
          <w:p w14:paraId="42AFA4D2">
            <w:pPr>
              <w:pStyle w:val="28"/>
              <w:bidi w:val="0"/>
            </w:pPr>
            <w:r>
              <w:t>0.00</w:t>
            </w:r>
            <w:r>
              <w:rPr>
                <w:rFonts w:hint="eastAsia"/>
              </w:rPr>
              <w:t>3</w:t>
            </w:r>
          </w:p>
        </w:tc>
        <w:tc>
          <w:tcPr>
            <w:tcW w:w="1684" w:type="dxa"/>
            <w:vAlign w:val="center"/>
          </w:tcPr>
          <w:p w14:paraId="70064B18">
            <w:pPr>
              <w:pStyle w:val="28"/>
              <w:bidi w:val="0"/>
            </w:pPr>
            <w:r>
              <w:t>0.0</w:t>
            </w:r>
            <w:r>
              <w:rPr>
                <w:rFonts w:hint="eastAsia"/>
              </w:rPr>
              <w:t>4</w:t>
            </w:r>
          </w:p>
        </w:tc>
        <w:tc>
          <w:tcPr>
            <w:tcW w:w="1687" w:type="dxa"/>
            <w:vAlign w:val="center"/>
          </w:tcPr>
          <w:p w14:paraId="59387623">
            <w:pPr>
              <w:pStyle w:val="28"/>
              <w:bidi w:val="0"/>
            </w:pPr>
            <w:r>
              <w:t>0.00</w:t>
            </w:r>
            <w:r>
              <w:rPr>
                <w:rFonts w:hint="eastAsia"/>
              </w:rPr>
              <w:t>3</w:t>
            </w:r>
          </w:p>
        </w:tc>
      </w:tr>
      <w:tr w14:paraId="1B8A0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56C98E24">
            <w:pPr>
              <w:pStyle w:val="28"/>
              <w:bidi w:val="0"/>
            </w:pPr>
          </w:p>
        </w:tc>
        <w:tc>
          <w:tcPr>
            <w:tcW w:w="681" w:type="pct"/>
            <w:vAlign w:val="center"/>
          </w:tcPr>
          <w:p w14:paraId="7806AA23">
            <w:pPr>
              <w:pStyle w:val="28"/>
              <w:bidi w:val="0"/>
            </w:pPr>
            <w:r>
              <w:t>第四次</w:t>
            </w:r>
          </w:p>
        </w:tc>
        <w:tc>
          <w:tcPr>
            <w:tcW w:w="1588" w:type="dxa"/>
            <w:vAlign w:val="center"/>
          </w:tcPr>
          <w:p w14:paraId="5E1F8608">
            <w:pPr>
              <w:pStyle w:val="28"/>
              <w:bidi w:val="0"/>
            </w:pPr>
            <w:r>
              <w:t>0.0</w:t>
            </w:r>
            <w:r>
              <w:rPr>
                <w:rFonts w:hint="eastAsia"/>
              </w:rPr>
              <w:t>3</w:t>
            </w:r>
          </w:p>
        </w:tc>
        <w:tc>
          <w:tcPr>
            <w:tcW w:w="1781" w:type="dxa"/>
            <w:vAlign w:val="center"/>
          </w:tcPr>
          <w:p w14:paraId="5D3068B4">
            <w:pPr>
              <w:pStyle w:val="28"/>
              <w:bidi w:val="0"/>
            </w:pPr>
            <w:r>
              <w:t>0.00</w:t>
            </w:r>
            <w:r>
              <w:rPr>
                <w:rFonts w:hint="eastAsia"/>
              </w:rPr>
              <w:t>3</w:t>
            </w:r>
          </w:p>
        </w:tc>
        <w:tc>
          <w:tcPr>
            <w:tcW w:w="1684" w:type="dxa"/>
            <w:vAlign w:val="center"/>
          </w:tcPr>
          <w:p w14:paraId="3B276BF6">
            <w:pPr>
              <w:pStyle w:val="28"/>
              <w:bidi w:val="0"/>
            </w:pPr>
            <w:r>
              <w:t>0.06</w:t>
            </w:r>
          </w:p>
        </w:tc>
        <w:tc>
          <w:tcPr>
            <w:tcW w:w="1687" w:type="dxa"/>
            <w:vAlign w:val="center"/>
          </w:tcPr>
          <w:p w14:paraId="1F3C63D5">
            <w:pPr>
              <w:pStyle w:val="28"/>
              <w:bidi w:val="0"/>
            </w:pPr>
            <w:r>
              <w:t>0.00</w:t>
            </w:r>
            <w:r>
              <w:rPr>
                <w:rFonts w:hint="eastAsia"/>
              </w:rPr>
              <w:t>3</w:t>
            </w:r>
          </w:p>
        </w:tc>
      </w:tr>
      <w:tr w14:paraId="430FF1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674" w:type="dxa"/>
            <w:vMerge w:val="restart"/>
            <w:vAlign w:val="center"/>
          </w:tcPr>
          <w:p w14:paraId="28E9C1E5">
            <w:pPr>
              <w:pStyle w:val="28"/>
              <w:bidi w:val="0"/>
            </w:pPr>
            <w:r>
              <w:t>202</w:t>
            </w:r>
            <w:r>
              <w:rPr>
                <w:rFonts w:hint="eastAsia"/>
              </w:rPr>
              <w:t>4</w:t>
            </w:r>
            <w:r>
              <w:t>/0</w:t>
            </w:r>
            <w:r>
              <w:rPr>
                <w:rFonts w:hint="eastAsia"/>
              </w:rPr>
              <w:t>7</w:t>
            </w:r>
            <w:r>
              <w:t>/</w:t>
            </w:r>
            <w:r>
              <w:rPr>
                <w:rFonts w:hint="eastAsia"/>
              </w:rPr>
              <w:t>03</w:t>
            </w:r>
          </w:p>
        </w:tc>
        <w:tc>
          <w:tcPr>
            <w:tcW w:w="681" w:type="pct"/>
            <w:vAlign w:val="center"/>
          </w:tcPr>
          <w:p w14:paraId="585882AF">
            <w:pPr>
              <w:pStyle w:val="28"/>
              <w:bidi w:val="0"/>
            </w:pPr>
            <w:r>
              <w:t>第一次</w:t>
            </w:r>
          </w:p>
        </w:tc>
        <w:tc>
          <w:tcPr>
            <w:tcW w:w="1588" w:type="dxa"/>
            <w:vAlign w:val="center"/>
          </w:tcPr>
          <w:p w14:paraId="617F4A20">
            <w:pPr>
              <w:pStyle w:val="28"/>
              <w:bidi w:val="0"/>
            </w:pPr>
            <w:r>
              <w:t>0.0</w:t>
            </w:r>
            <w:r>
              <w:rPr>
                <w:rFonts w:hint="eastAsia"/>
              </w:rPr>
              <w:t>3</w:t>
            </w:r>
          </w:p>
        </w:tc>
        <w:tc>
          <w:tcPr>
            <w:tcW w:w="1781" w:type="dxa"/>
            <w:vAlign w:val="center"/>
          </w:tcPr>
          <w:p w14:paraId="10CDCF0C">
            <w:pPr>
              <w:pStyle w:val="28"/>
              <w:bidi w:val="0"/>
            </w:pPr>
            <w:r>
              <w:t>0.00</w:t>
            </w:r>
            <w:r>
              <w:rPr>
                <w:rFonts w:hint="eastAsia"/>
              </w:rPr>
              <w:t>4</w:t>
            </w:r>
          </w:p>
        </w:tc>
        <w:tc>
          <w:tcPr>
            <w:tcW w:w="1684" w:type="dxa"/>
            <w:vAlign w:val="center"/>
          </w:tcPr>
          <w:p w14:paraId="1B7C6F6A">
            <w:pPr>
              <w:pStyle w:val="28"/>
              <w:bidi w:val="0"/>
            </w:pPr>
            <w:r>
              <w:t>0.05</w:t>
            </w:r>
          </w:p>
        </w:tc>
        <w:tc>
          <w:tcPr>
            <w:tcW w:w="1687" w:type="dxa"/>
            <w:vAlign w:val="center"/>
          </w:tcPr>
          <w:p w14:paraId="52A4631B">
            <w:pPr>
              <w:pStyle w:val="28"/>
              <w:bidi w:val="0"/>
            </w:pPr>
            <w:r>
              <w:t>0.00</w:t>
            </w:r>
            <w:r>
              <w:rPr>
                <w:rFonts w:hint="eastAsia"/>
              </w:rPr>
              <w:t>3</w:t>
            </w:r>
          </w:p>
        </w:tc>
      </w:tr>
      <w:tr w14:paraId="3603C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68C93994">
            <w:pPr>
              <w:pStyle w:val="28"/>
              <w:bidi w:val="0"/>
            </w:pPr>
          </w:p>
        </w:tc>
        <w:tc>
          <w:tcPr>
            <w:tcW w:w="681" w:type="pct"/>
            <w:vAlign w:val="center"/>
          </w:tcPr>
          <w:p w14:paraId="1A1538FC">
            <w:pPr>
              <w:pStyle w:val="28"/>
              <w:bidi w:val="0"/>
            </w:pPr>
            <w:r>
              <w:t>第二次</w:t>
            </w:r>
          </w:p>
        </w:tc>
        <w:tc>
          <w:tcPr>
            <w:tcW w:w="1588" w:type="dxa"/>
            <w:vAlign w:val="center"/>
          </w:tcPr>
          <w:p w14:paraId="5012439A">
            <w:pPr>
              <w:pStyle w:val="28"/>
              <w:bidi w:val="0"/>
            </w:pPr>
            <w:r>
              <w:t>0.0</w:t>
            </w:r>
            <w:r>
              <w:rPr>
                <w:rFonts w:hint="eastAsia"/>
              </w:rPr>
              <w:t>3</w:t>
            </w:r>
          </w:p>
        </w:tc>
        <w:tc>
          <w:tcPr>
            <w:tcW w:w="1781" w:type="dxa"/>
            <w:vAlign w:val="center"/>
          </w:tcPr>
          <w:p w14:paraId="36B2E494">
            <w:pPr>
              <w:pStyle w:val="28"/>
              <w:bidi w:val="0"/>
            </w:pPr>
            <w:r>
              <w:t>0.00</w:t>
            </w:r>
            <w:r>
              <w:rPr>
                <w:rFonts w:hint="eastAsia"/>
              </w:rPr>
              <w:t>4</w:t>
            </w:r>
          </w:p>
        </w:tc>
        <w:tc>
          <w:tcPr>
            <w:tcW w:w="1684" w:type="dxa"/>
            <w:vAlign w:val="center"/>
          </w:tcPr>
          <w:p w14:paraId="283508DB">
            <w:pPr>
              <w:pStyle w:val="28"/>
              <w:bidi w:val="0"/>
            </w:pPr>
            <w:r>
              <w:t>0.0</w:t>
            </w:r>
            <w:r>
              <w:rPr>
                <w:rFonts w:hint="eastAsia"/>
              </w:rPr>
              <w:t>4</w:t>
            </w:r>
          </w:p>
        </w:tc>
        <w:tc>
          <w:tcPr>
            <w:tcW w:w="1687" w:type="dxa"/>
            <w:vAlign w:val="center"/>
          </w:tcPr>
          <w:p w14:paraId="49199545">
            <w:pPr>
              <w:pStyle w:val="28"/>
              <w:bidi w:val="0"/>
            </w:pPr>
            <w:r>
              <w:t>0.00</w:t>
            </w:r>
            <w:r>
              <w:rPr>
                <w:rFonts w:hint="eastAsia"/>
              </w:rPr>
              <w:t>4</w:t>
            </w:r>
          </w:p>
        </w:tc>
      </w:tr>
      <w:tr w14:paraId="3C5EA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11E1EBCF">
            <w:pPr>
              <w:pStyle w:val="28"/>
              <w:bidi w:val="0"/>
            </w:pPr>
          </w:p>
        </w:tc>
        <w:tc>
          <w:tcPr>
            <w:tcW w:w="681" w:type="pct"/>
            <w:vAlign w:val="center"/>
          </w:tcPr>
          <w:p w14:paraId="76936A16">
            <w:pPr>
              <w:pStyle w:val="28"/>
              <w:bidi w:val="0"/>
            </w:pPr>
            <w:r>
              <w:t>第三次</w:t>
            </w:r>
          </w:p>
        </w:tc>
        <w:tc>
          <w:tcPr>
            <w:tcW w:w="1588" w:type="dxa"/>
            <w:vAlign w:val="center"/>
          </w:tcPr>
          <w:p w14:paraId="3A314EC5">
            <w:pPr>
              <w:pStyle w:val="28"/>
              <w:bidi w:val="0"/>
            </w:pPr>
            <w:r>
              <w:t>0.0</w:t>
            </w:r>
            <w:r>
              <w:rPr>
                <w:rFonts w:hint="eastAsia"/>
              </w:rPr>
              <w:t>4</w:t>
            </w:r>
          </w:p>
        </w:tc>
        <w:tc>
          <w:tcPr>
            <w:tcW w:w="1781" w:type="dxa"/>
            <w:vAlign w:val="center"/>
          </w:tcPr>
          <w:p w14:paraId="0AFC2022">
            <w:pPr>
              <w:pStyle w:val="28"/>
              <w:bidi w:val="0"/>
            </w:pPr>
            <w:r>
              <w:t>0.00</w:t>
            </w:r>
            <w:r>
              <w:rPr>
                <w:rFonts w:hint="eastAsia"/>
              </w:rPr>
              <w:t>3</w:t>
            </w:r>
          </w:p>
        </w:tc>
        <w:tc>
          <w:tcPr>
            <w:tcW w:w="1684" w:type="dxa"/>
            <w:vAlign w:val="center"/>
          </w:tcPr>
          <w:p w14:paraId="2FDB0BFB">
            <w:pPr>
              <w:pStyle w:val="28"/>
              <w:bidi w:val="0"/>
            </w:pPr>
            <w:r>
              <w:t>0.05</w:t>
            </w:r>
          </w:p>
        </w:tc>
        <w:tc>
          <w:tcPr>
            <w:tcW w:w="1687" w:type="dxa"/>
            <w:vAlign w:val="center"/>
          </w:tcPr>
          <w:p w14:paraId="3FAAE7C4">
            <w:pPr>
              <w:pStyle w:val="28"/>
              <w:bidi w:val="0"/>
            </w:pPr>
            <w:r>
              <w:t>0.00</w:t>
            </w:r>
            <w:r>
              <w:rPr>
                <w:rFonts w:hint="eastAsia"/>
              </w:rPr>
              <w:t>4</w:t>
            </w:r>
          </w:p>
        </w:tc>
      </w:tr>
      <w:tr w14:paraId="5984B5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859" w:type="pct"/>
            <w:vMerge w:val="continue"/>
            <w:vAlign w:val="center"/>
          </w:tcPr>
          <w:p w14:paraId="18B484D4">
            <w:pPr>
              <w:pStyle w:val="28"/>
              <w:bidi w:val="0"/>
            </w:pPr>
          </w:p>
        </w:tc>
        <w:tc>
          <w:tcPr>
            <w:tcW w:w="681" w:type="pct"/>
            <w:vAlign w:val="center"/>
          </w:tcPr>
          <w:p w14:paraId="449045B5">
            <w:pPr>
              <w:pStyle w:val="28"/>
              <w:bidi w:val="0"/>
            </w:pPr>
            <w:r>
              <w:t>第四次</w:t>
            </w:r>
          </w:p>
        </w:tc>
        <w:tc>
          <w:tcPr>
            <w:tcW w:w="1588" w:type="dxa"/>
            <w:vAlign w:val="center"/>
          </w:tcPr>
          <w:p w14:paraId="1FC5F703">
            <w:pPr>
              <w:pStyle w:val="28"/>
              <w:bidi w:val="0"/>
            </w:pPr>
            <w:r>
              <w:t>0.0</w:t>
            </w:r>
            <w:r>
              <w:rPr>
                <w:rFonts w:hint="eastAsia"/>
              </w:rPr>
              <w:t>4</w:t>
            </w:r>
          </w:p>
        </w:tc>
        <w:tc>
          <w:tcPr>
            <w:tcW w:w="1781" w:type="dxa"/>
            <w:vAlign w:val="center"/>
          </w:tcPr>
          <w:p w14:paraId="32F2577C">
            <w:pPr>
              <w:pStyle w:val="28"/>
              <w:bidi w:val="0"/>
            </w:pPr>
            <w:r>
              <w:t>0.00</w:t>
            </w:r>
            <w:r>
              <w:rPr>
                <w:rFonts w:hint="eastAsia"/>
              </w:rPr>
              <w:t>5</w:t>
            </w:r>
          </w:p>
        </w:tc>
        <w:tc>
          <w:tcPr>
            <w:tcW w:w="1684" w:type="dxa"/>
            <w:vAlign w:val="center"/>
          </w:tcPr>
          <w:p w14:paraId="30D4F35A">
            <w:pPr>
              <w:pStyle w:val="28"/>
              <w:bidi w:val="0"/>
            </w:pPr>
            <w:r>
              <w:t>0.0</w:t>
            </w:r>
            <w:r>
              <w:rPr>
                <w:rFonts w:hint="eastAsia"/>
              </w:rPr>
              <w:t>4</w:t>
            </w:r>
          </w:p>
        </w:tc>
        <w:tc>
          <w:tcPr>
            <w:tcW w:w="1687" w:type="dxa"/>
            <w:vAlign w:val="center"/>
          </w:tcPr>
          <w:p w14:paraId="004A9881">
            <w:pPr>
              <w:pStyle w:val="28"/>
              <w:bidi w:val="0"/>
            </w:pPr>
            <w:r>
              <w:t>0.00</w:t>
            </w:r>
            <w:r>
              <w:rPr>
                <w:rFonts w:hint="eastAsia"/>
              </w:rPr>
              <w:t>3</w:t>
            </w:r>
          </w:p>
        </w:tc>
      </w:tr>
    </w:tbl>
    <w:p w14:paraId="5A0BF56C">
      <w:pPr>
        <w:adjustRightInd w:val="0"/>
        <w:spacing w:before="120" w:beforeLines="50" w:line="240" w:lineRule="auto"/>
        <w:jc w:val="both"/>
        <w:textAlignment w:val="center"/>
        <w:rPr>
          <w:rFonts w:eastAsia="黑体" w:cs="Times New Roman"/>
          <w:bCs/>
          <w:color w:val="0000FF"/>
        </w:rPr>
      </w:pPr>
    </w:p>
    <w:p w14:paraId="7E55897E">
      <w:pPr>
        <w:pStyle w:val="29"/>
        <w:bidi w:val="0"/>
      </w:pPr>
      <w:r>
        <w:rPr>
          <w:rFonts w:hint="eastAsia"/>
        </w:rPr>
        <w:t>表</w:t>
      </w:r>
      <w:r>
        <w:rPr>
          <w:rFonts w:hint="eastAsia"/>
          <w:lang w:eastAsia="zh-CN"/>
        </w:rPr>
        <w:t>4.2</w:t>
      </w:r>
      <w:r>
        <w:t>-</w:t>
      </w:r>
      <w:r>
        <w:rPr>
          <w:rFonts w:hint="eastAsia"/>
        </w:rPr>
        <w:t xml:space="preserve">6  </w:t>
      </w:r>
      <w:r>
        <w:t>环境空气质量现状评价结果一览表</w:t>
      </w:r>
    </w:p>
    <w:tbl>
      <w:tblPr>
        <w:tblStyle w:val="16"/>
        <w:tblW w:w="5000" w:type="pct"/>
        <w:tblInd w:w="0" w:type="dxa"/>
        <w:tblLayout w:type="fixed"/>
        <w:tblCellMar>
          <w:top w:w="0" w:type="dxa"/>
          <w:left w:w="108" w:type="dxa"/>
          <w:bottom w:w="0" w:type="dxa"/>
          <w:right w:w="108" w:type="dxa"/>
        </w:tblCellMar>
      </w:tblPr>
      <w:tblGrid>
        <w:gridCol w:w="1188"/>
        <w:gridCol w:w="561"/>
        <w:gridCol w:w="544"/>
        <w:gridCol w:w="1138"/>
        <w:gridCol w:w="795"/>
        <w:gridCol w:w="971"/>
        <w:gridCol w:w="1127"/>
        <w:gridCol w:w="1380"/>
        <w:gridCol w:w="791"/>
        <w:gridCol w:w="791"/>
      </w:tblGrid>
      <w:tr w14:paraId="43F1588F">
        <w:trPr>
          <w:trHeight w:val="340" w:hRule="atLeast"/>
        </w:trPr>
        <w:tc>
          <w:tcPr>
            <w:tcW w:w="638" w:type="pct"/>
            <w:vMerge w:val="restart"/>
            <w:tcBorders>
              <w:top w:val="single" w:color="000000" w:sz="4" w:space="0"/>
              <w:left w:val="single" w:color="000000" w:sz="4" w:space="0"/>
              <w:bottom w:val="single" w:color="000000" w:sz="4" w:space="0"/>
              <w:right w:val="single" w:color="000000" w:sz="4" w:space="0"/>
            </w:tcBorders>
            <w:noWrap/>
            <w:vAlign w:val="center"/>
          </w:tcPr>
          <w:p w14:paraId="043F5B54">
            <w:pPr>
              <w:pStyle w:val="28"/>
              <w:bidi w:val="0"/>
            </w:pPr>
            <w:r>
              <w:t>监测点位</w:t>
            </w:r>
          </w:p>
        </w:tc>
        <w:tc>
          <w:tcPr>
            <w:tcW w:w="595" w:type="pct"/>
            <w:gridSpan w:val="2"/>
            <w:tcBorders>
              <w:top w:val="single" w:color="000000" w:sz="4" w:space="0"/>
              <w:left w:val="single" w:color="000000" w:sz="4" w:space="0"/>
              <w:bottom w:val="single" w:color="000000" w:sz="4" w:space="0"/>
              <w:right w:val="single" w:color="000000" w:sz="4" w:space="0"/>
            </w:tcBorders>
            <w:noWrap/>
            <w:vAlign w:val="center"/>
          </w:tcPr>
          <w:p w14:paraId="12F5A7A9">
            <w:pPr>
              <w:pStyle w:val="28"/>
              <w:bidi w:val="0"/>
            </w:pPr>
            <w:r>
              <w:t>监测点坐标</w:t>
            </w:r>
          </w:p>
        </w:tc>
        <w:tc>
          <w:tcPr>
            <w:tcW w:w="612" w:type="pct"/>
            <w:vMerge w:val="restart"/>
            <w:tcBorders>
              <w:top w:val="single" w:color="000000" w:sz="4" w:space="0"/>
              <w:left w:val="single" w:color="000000" w:sz="4" w:space="0"/>
              <w:bottom w:val="single" w:color="000000" w:sz="4" w:space="0"/>
              <w:right w:val="single" w:color="000000" w:sz="4" w:space="0"/>
            </w:tcBorders>
            <w:noWrap/>
            <w:vAlign w:val="center"/>
          </w:tcPr>
          <w:p w14:paraId="2E9A7D13">
            <w:pPr>
              <w:pStyle w:val="28"/>
              <w:bidi w:val="0"/>
            </w:pPr>
            <w:r>
              <w:t>污染物</w:t>
            </w:r>
          </w:p>
        </w:tc>
        <w:tc>
          <w:tcPr>
            <w:tcW w:w="428" w:type="pct"/>
            <w:vMerge w:val="restart"/>
            <w:tcBorders>
              <w:top w:val="single" w:color="000000" w:sz="4" w:space="0"/>
              <w:left w:val="single" w:color="000000" w:sz="4" w:space="0"/>
              <w:bottom w:val="single" w:color="000000" w:sz="4" w:space="0"/>
              <w:right w:val="single" w:color="000000" w:sz="4" w:space="0"/>
            </w:tcBorders>
            <w:noWrap/>
            <w:vAlign w:val="center"/>
          </w:tcPr>
          <w:p w14:paraId="5A9916D2">
            <w:pPr>
              <w:pStyle w:val="28"/>
              <w:bidi w:val="0"/>
            </w:pPr>
            <w:r>
              <w:t>平均时间</w:t>
            </w:r>
          </w:p>
        </w:tc>
        <w:tc>
          <w:tcPr>
            <w:tcW w:w="522" w:type="pct"/>
            <w:vMerge w:val="restart"/>
            <w:tcBorders>
              <w:top w:val="single" w:color="000000" w:sz="4" w:space="0"/>
              <w:left w:val="single" w:color="000000" w:sz="4" w:space="0"/>
              <w:bottom w:val="single" w:color="000000" w:sz="4" w:space="0"/>
              <w:right w:val="single" w:color="000000" w:sz="4" w:space="0"/>
            </w:tcBorders>
            <w:noWrap/>
            <w:vAlign w:val="center"/>
          </w:tcPr>
          <w:p w14:paraId="0D46802D">
            <w:pPr>
              <w:pStyle w:val="28"/>
              <w:bidi w:val="0"/>
            </w:pPr>
            <w:r>
              <w:t>评价标准/(μg/m</w:t>
            </w:r>
            <w:r>
              <w:rPr>
                <w:vertAlign w:val="superscript"/>
              </w:rPr>
              <w:t>3</w:t>
            </w:r>
            <w:r>
              <w:t>)</w:t>
            </w:r>
          </w:p>
        </w:tc>
        <w:tc>
          <w:tcPr>
            <w:tcW w:w="606" w:type="pct"/>
            <w:vMerge w:val="restart"/>
            <w:tcBorders>
              <w:top w:val="single" w:color="000000" w:sz="4" w:space="0"/>
              <w:left w:val="single" w:color="000000" w:sz="4" w:space="0"/>
              <w:bottom w:val="single" w:color="000000" w:sz="4" w:space="0"/>
              <w:right w:val="single" w:color="000000" w:sz="4" w:space="0"/>
            </w:tcBorders>
            <w:noWrap/>
            <w:vAlign w:val="center"/>
          </w:tcPr>
          <w:p w14:paraId="5FA4DB7C">
            <w:pPr>
              <w:pStyle w:val="28"/>
              <w:bidi w:val="0"/>
            </w:pPr>
            <w:r>
              <w:t>监测浓度范围/(μg/m</w:t>
            </w:r>
            <w:r>
              <w:rPr>
                <w:vertAlign w:val="superscript"/>
              </w:rPr>
              <w:t>3</w:t>
            </w:r>
            <w:r>
              <w:t>)</w:t>
            </w:r>
          </w:p>
        </w:tc>
        <w:tc>
          <w:tcPr>
            <w:tcW w:w="742" w:type="pct"/>
            <w:vMerge w:val="restart"/>
            <w:tcBorders>
              <w:top w:val="single" w:color="000000" w:sz="4" w:space="0"/>
              <w:left w:val="single" w:color="000000" w:sz="4" w:space="0"/>
              <w:bottom w:val="single" w:color="000000" w:sz="4" w:space="0"/>
              <w:right w:val="single" w:color="000000" w:sz="4" w:space="0"/>
            </w:tcBorders>
            <w:noWrap/>
            <w:vAlign w:val="center"/>
          </w:tcPr>
          <w:p w14:paraId="0B7A0C2F">
            <w:pPr>
              <w:pStyle w:val="28"/>
              <w:bidi w:val="0"/>
            </w:pPr>
            <w:r>
              <w:t>最大浓度占标率/%</w:t>
            </w:r>
          </w:p>
        </w:tc>
        <w:tc>
          <w:tcPr>
            <w:tcW w:w="426" w:type="pct"/>
            <w:vMerge w:val="restart"/>
            <w:tcBorders>
              <w:top w:val="single" w:color="000000" w:sz="4" w:space="0"/>
              <w:left w:val="single" w:color="000000" w:sz="4" w:space="0"/>
              <w:bottom w:val="single" w:color="000000" w:sz="4" w:space="0"/>
              <w:right w:val="single" w:color="000000" w:sz="4" w:space="0"/>
            </w:tcBorders>
            <w:noWrap/>
            <w:vAlign w:val="center"/>
          </w:tcPr>
          <w:p w14:paraId="368E6A9F">
            <w:pPr>
              <w:pStyle w:val="28"/>
              <w:bidi w:val="0"/>
            </w:pPr>
            <w:r>
              <w:t>超标率/%</w:t>
            </w:r>
          </w:p>
        </w:tc>
        <w:tc>
          <w:tcPr>
            <w:tcW w:w="426" w:type="pct"/>
            <w:vMerge w:val="restart"/>
            <w:tcBorders>
              <w:top w:val="single" w:color="000000" w:sz="4" w:space="0"/>
              <w:left w:val="single" w:color="000000" w:sz="4" w:space="0"/>
              <w:bottom w:val="single" w:color="000000" w:sz="4" w:space="0"/>
              <w:right w:val="single" w:color="000000" w:sz="4" w:space="0"/>
            </w:tcBorders>
            <w:noWrap/>
            <w:vAlign w:val="center"/>
          </w:tcPr>
          <w:p w14:paraId="7BE684BF">
            <w:pPr>
              <w:pStyle w:val="28"/>
              <w:bidi w:val="0"/>
            </w:pPr>
            <w:r>
              <w:t>达标情况</w:t>
            </w:r>
          </w:p>
        </w:tc>
      </w:tr>
      <w:tr w14:paraId="036BB83E">
        <w:tblPrEx>
          <w:tblCellMar>
            <w:top w:w="0" w:type="dxa"/>
            <w:left w:w="108" w:type="dxa"/>
            <w:bottom w:w="0" w:type="dxa"/>
            <w:right w:w="108" w:type="dxa"/>
          </w:tblCellMar>
        </w:tblPrEx>
        <w:trPr>
          <w:trHeight w:val="340" w:hRule="atLeast"/>
        </w:trPr>
        <w:tc>
          <w:tcPr>
            <w:tcW w:w="638" w:type="pct"/>
            <w:vMerge w:val="continue"/>
            <w:tcBorders>
              <w:top w:val="single" w:color="000000" w:sz="4" w:space="0"/>
              <w:left w:val="single" w:color="000000" w:sz="4" w:space="0"/>
              <w:bottom w:val="single" w:color="000000" w:sz="4" w:space="0"/>
              <w:right w:val="single" w:color="000000" w:sz="4" w:space="0"/>
            </w:tcBorders>
            <w:noWrap/>
            <w:vAlign w:val="center"/>
          </w:tcPr>
          <w:p w14:paraId="1B87FAD9">
            <w:pPr>
              <w:pStyle w:val="28"/>
              <w:bidi w:val="0"/>
            </w:pPr>
          </w:p>
        </w:tc>
        <w:tc>
          <w:tcPr>
            <w:tcW w:w="302" w:type="pct"/>
            <w:tcBorders>
              <w:top w:val="single" w:color="000000" w:sz="4" w:space="0"/>
              <w:left w:val="single" w:color="000000" w:sz="4" w:space="0"/>
              <w:bottom w:val="single" w:color="000000" w:sz="4" w:space="0"/>
              <w:right w:val="single" w:color="000000" w:sz="4" w:space="0"/>
            </w:tcBorders>
            <w:noWrap/>
            <w:vAlign w:val="center"/>
          </w:tcPr>
          <w:p w14:paraId="20AFCD27">
            <w:pPr>
              <w:pStyle w:val="28"/>
              <w:bidi w:val="0"/>
            </w:pPr>
            <w:r>
              <w:t>X</w:t>
            </w:r>
          </w:p>
        </w:tc>
        <w:tc>
          <w:tcPr>
            <w:tcW w:w="292" w:type="pct"/>
            <w:tcBorders>
              <w:top w:val="single" w:color="000000" w:sz="4" w:space="0"/>
              <w:left w:val="single" w:color="000000" w:sz="4" w:space="0"/>
              <w:bottom w:val="single" w:color="000000" w:sz="4" w:space="0"/>
              <w:right w:val="single" w:color="000000" w:sz="4" w:space="0"/>
            </w:tcBorders>
            <w:noWrap/>
            <w:vAlign w:val="center"/>
          </w:tcPr>
          <w:p w14:paraId="69D8125E">
            <w:pPr>
              <w:pStyle w:val="28"/>
              <w:bidi w:val="0"/>
            </w:pPr>
            <w:r>
              <w:t>Y</w:t>
            </w:r>
          </w:p>
        </w:tc>
        <w:tc>
          <w:tcPr>
            <w:tcW w:w="612" w:type="pct"/>
            <w:vMerge w:val="continue"/>
            <w:tcBorders>
              <w:top w:val="single" w:color="000000" w:sz="4" w:space="0"/>
              <w:left w:val="single" w:color="000000" w:sz="4" w:space="0"/>
              <w:bottom w:val="single" w:color="000000" w:sz="4" w:space="0"/>
              <w:right w:val="single" w:color="000000" w:sz="4" w:space="0"/>
            </w:tcBorders>
            <w:noWrap/>
            <w:vAlign w:val="center"/>
          </w:tcPr>
          <w:p w14:paraId="673F656C">
            <w:pPr>
              <w:pStyle w:val="28"/>
              <w:bidi w:val="0"/>
            </w:pPr>
          </w:p>
        </w:tc>
        <w:tc>
          <w:tcPr>
            <w:tcW w:w="428" w:type="pct"/>
            <w:vMerge w:val="continue"/>
            <w:tcBorders>
              <w:top w:val="single" w:color="000000" w:sz="4" w:space="0"/>
              <w:left w:val="single" w:color="000000" w:sz="4" w:space="0"/>
              <w:bottom w:val="single" w:color="000000" w:sz="4" w:space="0"/>
              <w:right w:val="single" w:color="000000" w:sz="4" w:space="0"/>
            </w:tcBorders>
            <w:noWrap/>
            <w:vAlign w:val="center"/>
          </w:tcPr>
          <w:p w14:paraId="6FADB9B3">
            <w:pPr>
              <w:pStyle w:val="28"/>
              <w:bidi w:val="0"/>
            </w:pPr>
          </w:p>
        </w:tc>
        <w:tc>
          <w:tcPr>
            <w:tcW w:w="522" w:type="pct"/>
            <w:vMerge w:val="continue"/>
            <w:tcBorders>
              <w:top w:val="single" w:color="000000" w:sz="4" w:space="0"/>
              <w:left w:val="single" w:color="000000" w:sz="4" w:space="0"/>
              <w:bottom w:val="single" w:color="000000" w:sz="4" w:space="0"/>
              <w:right w:val="single" w:color="000000" w:sz="4" w:space="0"/>
            </w:tcBorders>
            <w:noWrap/>
            <w:vAlign w:val="center"/>
          </w:tcPr>
          <w:p w14:paraId="53623951">
            <w:pPr>
              <w:pStyle w:val="28"/>
              <w:bidi w:val="0"/>
            </w:pPr>
          </w:p>
        </w:tc>
        <w:tc>
          <w:tcPr>
            <w:tcW w:w="606" w:type="pct"/>
            <w:vMerge w:val="continue"/>
            <w:tcBorders>
              <w:top w:val="single" w:color="000000" w:sz="4" w:space="0"/>
              <w:left w:val="single" w:color="000000" w:sz="4" w:space="0"/>
              <w:bottom w:val="single" w:color="000000" w:sz="4" w:space="0"/>
              <w:right w:val="single" w:color="000000" w:sz="4" w:space="0"/>
            </w:tcBorders>
            <w:noWrap/>
            <w:vAlign w:val="center"/>
          </w:tcPr>
          <w:p w14:paraId="21D9DEE2">
            <w:pPr>
              <w:pStyle w:val="28"/>
              <w:bidi w:val="0"/>
            </w:pPr>
          </w:p>
        </w:tc>
        <w:tc>
          <w:tcPr>
            <w:tcW w:w="742" w:type="pct"/>
            <w:vMerge w:val="continue"/>
            <w:tcBorders>
              <w:top w:val="single" w:color="000000" w:sz="4" w:space="0"/>
              <w:left w:val="single" w:color="000000" w:sz="4" w:space="0"/>
              <w:bottom w:val="single" w:color="000000" w:sz="4" w:space="0"/>
              <w:right w:val="single" w:color="000000" w:sz="4" w:space="0"/>
            </w:tcBorders>
            <w:noWrap/>
            <w:vAlign w:val="center"/>
          </w:tcPr>
          <w:p w14:paraId="44F3F08F">
            <w:pPr>
              <w:pStyle w:val="28"/>
              <w:bidi w:val="0"/>
            </w:pPr>
          </w:p>
        </w:tc>
        <w:tc>
          <w:tcPr>
            <w:tcW w:w="426" w:type="pct"/>
            <w:vMerge w:val="continue"/>
            <w:tcBorders>
              <w:top w:val="single" w:color="000000" w:sz="4" w:space="0"/>
              <w:left w:val="single" w:color="000000" w:sz="4" w:space="0"/>
              <w:bottom w:val="single" w:color="000000" w:sz="4" w:space="0"/>
              <w:right w:val="single" w:color="000000" w:sz="4" w:space="0"/>
            </w:tcBorders>
            <w:noWrap/>
            <w:vAlign w:val="center"/>
          </w:tcPr>
          <w:p w14:paraId="1DFA67ED">
            <w:pPr>
              <w:pStyle w:val="28"/>
              <w:bidi w:val="0"/>
            </w:pPr>
          </w:p>
        </w:tc>
        <w:tc>
          <w:tcPr>
            <w:tcW w:w="426" w:type="pct"/>
            <w:vMerge w:val="continue"/>
            <w:tcBorders>
              <w:top w:val="single" w:color="000000" w:sz="4" w:space="0"/>
              <w:left w:val="single" w:color="000000" w:sz="4" w:space="0"/>
              <w:bottom w:val="single" w:color="000000" w:sz="4" w:space="0"/>
              <w:right w:val="single" w:color="000000" w:sz="4" w:space="0"/>
            </w:tcBorders>
            <w:noWrap/>
            <w:vAlign w:val="center"/>
          </w:tcPr>
          <w:p w14:paraId="408151F9">
            <w:pPr>
              <w:pStyle w:val="28"/>
              <w:bidi w:val="0"/>
            </w:pPr>
          </w:p>
        </w:tc>
      </w:tr>
      <w:tr w14:paraId="00083B14">
        <w:tblPrEx>
          <w:tblCellMar>
            <w:top w:w="0" w:type="dxa"/>
            <w:left w:w="108" w:type="dxa"/>
            <w:bottom w:w="0" w:type="dxa"/>
            <w:right w:w="108" w:type="dxa"/>
          </w:tblCellMar>
        </w:tblPrEx>
        <w:trPr>
          <w:trHeight w:val="340" w:hRule="atLeast"/>
        </w:trPr>
        <w:tc>
          <w:tcPr>
            <w:tcW w:w="1245" w:type="dxa"/>
            <w:vMerge w:val="restart"/>
            <w:tcBorders>
              <w:top w:val="single" w:color="000000" w:sz="4" w:space="0"/>
              <w:left w:val="single" w:color="000000" w:sz="4" w:space="0"/>
              <w:right w:val="single" w:color="000000" w:sz="4" w:space="0"/>
            </w:tcBorders>
            <w:noWrap/>
            <w:vAlign w:val="center"/>
          </w:tcPr>
          <w:p w14:paraId="2FAA2AC9">
            <w:pPr>
              <w:pStyle w:val="28"/>
              <w:bidi w:val="0"/>
            </w:pPr>
            <w:r>
              <w:rPr>
                <w:rFonts w:hint="eastAsia"/>
              </w:rPr>
              <w:t>干化场主导风向下风向1#</w:t>
            </w:r>
          </w:p>
        </w:tc>
        <w:tc>
          <w:tcPr>
            <w:tcW w:w="302" w:type="pct"/>
            <w:tcBorders>
              <w:top w:val="single" w:color="000000" w:sz="4" w:space="0"/>
              <w:left w:val="single" w:color="000000" w:sz="4" w:space="0"/>
              <w:bottom w:val="single" w:color="000000" w:sz="4" w:space="0"/>
              <w:right w:val="single" w:color="000000" w:sz="4" w:space="0"/>
            </w:tcBorders>
            <w:noWrap/>
            <w:vAlign w:val="center"/>
          </w:tcPr>
          <w:p w14:paraId="311FC2A6">
            <w:pPr>
              <w:pStyle w:val="28"/>
              <w:bidi w:val="0"/>
            </w:pPr>
            <w:r>
              <w:t>/</w:t>
            </w:r>
          </w:p>
        </w:tc>
        <w:tc>
          <w:tcPr>
            <w:tcW w:w="292" w:type="pct"/>
            <w:tcBorders>
              <w:top w:val="single" w:color="000000" w:sz="4" w:space="0"/>
              <w:left w:val="single" w:color="000000" w:sz="4" w:space="0"/>
              <w:bottom w:val="single" w:color="000000" w:sz="4" w:space="0"/>
              <w:right w:val="single" w:color="000000" w:sz="4" w:space="0"/>
            </w:tcBorders>
            <w:noWrap/>
            <w:vAlign w:val="center"/>
          </w:tcPr>
          <w:p w14:paraId="662A7FCC">
            <w:pPr>
              <w:pStyle w:val="28"/>
              <w:bidi w:val="0"/>
            </w:pPr>
            <w:r>
              <w:t>/</w:t>
            </w:r>
          </w:p>
        </w:tc>
        <w:tc>
          <w:tcPr>
            <w:tcW w:w="612" w:type="pct"/>
            <w:tcBorders>
              <w:top w:val="single" w:color="000000" w:sz="4" w:space="0"/>
              <w:left w:val="single" w:color="000000" w:sz="4" w:space="0"/>
              <w:bottom w:val="single" w:color="000000" w:sz="4" w:space="0"/>
              <w:right w:val="single" w:color="000000" w:sz="4" w:space="0"/>
            </w:tcBorders>
            <w:noWrap/>
            <w:vAlign w:val="center"/>
          </w:tcPr>
          <w:p w14:paraId="58575F2C">
            <w:pPr>
              <w:pStyle w:val="28"/>
              <w:bidi w:val="0"/>
            </w:pPr>
            <w:r>
              <w:t>TSP</w:t>
            </w:r>
          </w:p>
        </w:tc>
        <w:tc>
          <w:tcPr>
            <w:tcW w:w="428" w:type="pct"/>
            <w:tcBorders>
              <w:top w:val="single" w:color="000000" w:sz="4" w:space="0"/>
              <w:left w:val="single" w:color="000000" w:sz="4" w:space="0"/>
              <w:bottom w:val="single" w:color="000000" w:sz="4" w:space="0"/>
              <w:right w:val="single" w:color="000000" w:sz="4" w:space="0"/>
            </w:tcBorders>
            <w:noWrap/>
            <w:vAlign w:val="center"/>
          </w:tcPr>
          <w:p w14:paraId="63A15C17">
            <w:pPr>
              <w:pStyle w:val="28"/>
              <w:bidi w:val="0"/>
            </w:pPr>
            <w:r>
              <w:t>日均值</w:t>
            </w:r>
          </w:p>
        </w:tc>
        <w:tc>
          <w:tcPr>
            <w:tcW w:w="522" w:type="pct"/>
            <w:tcBorders>
              <w:top w:val="single" w:color="000000" w:sz="4" w:space="0"/>
              <w:left w:val="single" w:color="000000" w:sz="4" w:space="0"/>
              <w:bottom w:val="single" w:color="000000" w:sz="4" w:space="0"/>
              <w:right w:val="single" w:color="000000" w:sz="4" w:space="0"/>
            </w:tcBorders>
            <w:noWrap/>
            <w:vAlign w:val="center"/>
          </w:tcPr>
          <w:p w14:paraId="56A60D52">
            <w:pPr>
              <w:pStyle w:val="28"/>
              <w:bidi w:val="0"/>
            </w:pPr>
            <w:r>
              <w:t>300</w:t>
            </w:r>
          </w:p>
        </w:tc>
        <w:tc>
          <w:tcPr>
            <w:tcW w:w="606" w:type="pct"/>
            <w:tcBorders>
              <w:top w:val="single" w:color="000000" w:sz="4" w:space="0"/>
              <w:left w:val="single" w:color="000000" w:sz="4" w:space="0"/>
              <w:bottom w:val="single" w:color="000000" w:sz="4" w:space="0"/>
              <w:right w:val="single" w:color="000000" w:sz="4" w:space="0"/>
            </w:tcBorders>
            <w:noWrap/>
            <w:vAlign w:val="center"/>
          </w:tcPr>
          <w:p w14:paraId="58EAEBEC">
            <w:pPr>
              <w:pStyle w:val="28"/>
              <w:bidi w:val="0"/>
            </w:pPr>
            <w:r>
              <w:rPr>
                <w:rFonts w:hint="eastAsia"/>
              </w:rPr>
              <w:t>20~38</w:t>
            </w:r>
          </w:p>
        </w:tc>
        <w:tc>
          <w:tcPr>
            <w:tcW w:w="742" w:type="pct"/>
            <w:tcBorders>
              <w:top w:val="single" w:color="000000" w:sz="4" w:space="0"/>
              <w:left w:val="single" w:color="000000" w:sz="4" w:space="0"/>
              <w:bottom w:val="single" w:color="000000" w:sz="4" w:space="0"/>
              <w:right w:val="single" w:color="000000" w:sz="4" w:space="0"/>
            </w:tcBorders>
            <w:noWrap/>
            <w:vAlign w:val="center"/>
          </w:tcPr>
          <w:p w14:paraId="704B1B37">
            <w:pPr>
              <w:pStyle w:val="28"/>
              <w:bidi w:val="0"/>
            </w:pPr>
            <w:r>
              <w:rPr>
                <w:rFonts w:hint="eastAsia"/>
              </w:rPr>
              <w:t>12.67</w:t>
            </w:r>
          </w:p>
        </w:tc>
        <w:tc>
          <w:tcPr>
            <w:tcW w:w="426" w:type="pct"/>
            <w:tcBorders>
              <w:top w:val="single" w:color="000000" w:sz="4" w:space="0"/>
              <w:left w:val="single" w:color="000000" w:sz="4" w:space="0"/>
              <w:bottom w:val="single" w:color="000000" w:sz="4" w:space="0"/>
              <w:right w:val="single" w:color="000000" w:sz="4" w:space="0"/>
            </w:tcBorders>
            <w:noWrap/>
            <w:vAlign w:val="center"/>
          </w:tcPr>
          <w:p w14:paraId="0195005F">
            <w:pPr>
              <w:pStyle w:val="28"/>
              <w:bidi w:val="0"/>
            </w:pPr>
            <w:r>
              <w:t>0</w:t>
            </w:r>
          </w:p>
        </w:tc>
        <w:tc>
          <w:tcPr>
            <w:tcW w:w="426" w:type="pct"/>
            <w:tcBorders>
              <w:top w:val="single" w:color="000000" w:sz="4" w:space="0"/>
              <w:left w:val="single" w:color="000000" w:sz="4" w:space="0"/>
              <w:bottom w:val="single" w:color="000000" w:sz="4" w:space="0"/>
              <w:right w:val="single" w:color="000000" w:sz="4" w:space="0"/>
            </w:tcBorders>
            <w:noWrap/>
            <w:vAlign w:val="center"/>
          </w:tcPr>
          <w:p w14:paraId="7910B4F2">
            <w:pPr>
              <w:pStyle w:val="28"/>
              <w:bidi w:val="0"/>
            </w:pPr>
            <w:r>
              <w:t>达标</w:t>
            </w:r>
          </w:p>
        </w:tc>
      </w:tr>
      <w:tr w14:paraId="43E80F91">
        <w:tblPrEx>
          <w:tblCellMar>
            <w:top w:w="0" w:type="dxa"/>
            <w:left w:w="108" w:type="dxa"/>
            <w:bottom w:w="0" w:type="dxa"/>
            <w:right w:w="108" w:type="dxa"/>
          </w:tblCellMar>
        </w:tblPrEx>
        <w:trPr>
          <w:trHeight w:val="340" w:hRule="atLeast"/>
        </w:trPr>
        <w:tc>
          <w:tcPr>
            <w:tcW w:w="638" w:type="pct"/>
            <w:vMerge w:val="continue"/>
            <w:tcBorders>
              <w:left w:val="single" w:color="000000" w:sz="4" w:space="0"/>
              <w:right w:val="single" w:color="000000" w:sz="4" w:space="0"/>
            </w:tcBorders>
            <w:noWrap/>
            <w:vAlign w:val="center"/>
          </w:tcPr>
          <w:p w14:paraId="4D24A03D">
            <w:pPr>
              <w:pStyle w:val="28"/>
              <w:bidi w:val="0"/>
            </w:pPr>
          </w:p>
        </w:tc>
        <w:tc>
          <w:tcPr>
            <w:tcW w:w="302" w:type="pct"/>
            <w:tcBorders>
              <w:top w:val="single" w:color="000000" w:sz="4" w:space="0"/>
              <w:left w:val="single" w:color="000000" w:sz="4" w:space="0"/>
              <w:bottom w:val="single" w:color="000000" w:sz="4" w:space="0"/>
              <w:right w:val="single" w:color="000000" w:sz="4" w:space="0"/>
            </w:tcBorders>
            <w:noWrap/>
            <w:vAlign w:val="center"/>
          </w:tcPr>
          <w:p w14:paraId="0CFFC07E">
            <w:pPr>
              <w:pStyle w:val="28"/>
              <w:bidi w:val="0"/>
            </w:pPr>
            <w:r>
              <w:t>/</w:t>
            </w:r>
          </w:p>
        </w:tc>
        <w:tc>
          <w:tcPr>
            <w:tcW w:w="292" w:type="pct"/>
            <w:tcBorders>
              <w:top w:val="single" w:color="000000" w:sz="4" w:space="0"/>
              <w:left w:val="single" w:color="000000" w:sz="4" w:space="0"/>
              <w:bottom w:val="single" w:color="000000" w:sz="4" w:space="0"/>
              <w:right w:val="single" w:color="000000" w:sz="4" w:space="0"/>
            </w:tcBorders>
            <w:noWrap/>
            <w:vAlign w:val="center"/>
          </w:tcPr>
          <w:p w14:paraId="4C1C219C">
            <w:pPr>
              <w:pStyle w:val="28"/>
              <w:bidi w:val="0"/>
            </w:pPr>
            <w:r>
              <w:t>/</w:t>
            </w:r>
          </w:p>
        </w:tc>
        <w:tc>
          <w:tcPr>
            <w:tcW w:w="612" w:type="pct"/>
            <w:tcBorders>
              <w:top w:val="single" w:color="000000" w:sz="4" w:space="0"/>
              <w:left w:val="single" w:color="000000" w:sz="4" w:space="0"/>
              <w:bottom w:val="single" w:color="000000" w:sz="4" w:space="0"/>
              <w:right w:val="single" w:color="000000" w:sz="4" w:space="0"/>
            </w:tcBorders>
            <w:noWrap/>
            <w:vAlign w:val="center"/>
          </w:tcPr>
          <w:p w14:paraId="4305DFB8">
            <w:pPr>
              <w:pStyle w:val="28"/>
              <w:bidi w:val="0"/>
            </w:pPr>
            <w:r>
              <w:rPr>
                <w:rFonts w:hint="eastAsia"/>
              </w:rPr>
              <w:t>NH3</w:t>
            </w:r>
          </w:p>
        </w:tc>
        <w:tc>
          <w:tcPr>
            <w:tcW w:w="428" w:type="pct"/>
            <w:tcBorders>
              <w:top w:val="single" w:color="000000" w:sz="4" w:space="0"/>
              <w:left w:val="single" w:color="000000" w:sz="4" w:space="0"/>
              <w:bottom w:val="single" w:color="000000" w:sz="4" w:space="0"/>
              <w:right w:val="single" w:color="000000" w:sz="4" w:space="0"/>
            </w:tcBorders>
            <w:noWrap/>
            <w:vAlign w:val="center"/>
          </w:tcPr>
          <w:p w14:paraId="641219EC">
            <w:pPr>
              <w:pStyle w:val="28"/>
              <w:bidi w:val="0"/>
            </w:pPr>
            <w:r>
              <w:rPr>
                <w:rFonts w:hint="eastAsia"/>
              </w:rPr>
              <w:t>小时</w:t>
            </w:r>
            <w:r>
              <w:t>均值</w:t>
            </w:r>
          </w:p>
        </w:tc>
        <w:tc>
          <w:tcPr>
            <w:tcW w:w="522" w:type="pct"/>
            <w:tcBorders>
              <w:top w:val="single" w:color="000000" w:sz="4" w:space="0"/>
              <w:left w:val="single" w:color="000000" w:sz="4" w:space="0"/>
              <w:bottom w:val="single" w:color="000000" w:sz="4" w:space="0"/>
              <w:right w:val="single" w:color="000000" w:sz="4" w:space="0"/>
            </w:tcBorders>
            <w:noWrap/>
            <w:vAlign w:val="center"/>
          </w:tcPr>
          <w:p w14:paraId="65CB5285">
            <w:pPr>
              <w:pStyle w:val="28"/>
              <w:bidi w:val="0"/>
            </w:pPr>
            <w:r>
              <w:rPr>
                <w:rFonts w:hint="eastAsia"/>
              </w:rPr>
              <w:t>2</w:t>
            </w:r>
            <w:r>
              <w:t>00</w:t>
            </w:r>
          </w:p>
        </w:tc>
        <w:tc>
          <w:tcPr>
            <w:tcW w:w="606" w:type="pct"/>
            <w:tcBorders>
              <w:top w:val="single" w:color="000000" w:sz="4" w:space="0"/>
              <w:left w:val="single" w:color="000000" w:sz="4" w:space="0"/>
              <w:bottom w:val="single" w:color="000000" w:sz="4" w:space="0"/>
              <w:right w:val="single" w:color="000000" w:sz="4" w:space="0"/>
            </w:tcBorders>
            <w:noWrap/>
            <w:vAlign w:val="center"/>
          </w:tcPr>
          <w:p w14:paraId="1C2F2E3B">
            <w:pPr>
              <w:pStyle w:val="28"/>
              <w:bidi w:val="0"/>
            </w:pPr>
            <w:r>
              <w:rPr>
                <w:rFonts w:hint="eastAsia"/>
              </w:rPr>
              <w:t>20~50</w:t>
            </w:r>
          </w:p>
        </w:tc>
        <w:tc>
          <w:tcPr>
            <w:tcW w:w="742" w:type="pct"/>
            <w:tcBorders>
              <w:top w:val="single" w:color="000000" w:sz="4" w:space="0"/>
              <w:left w:val="single" w:color="000000" w:sz="4" w:space="0"/>
              <w:bottom w:val="single" w:color="000000" w:sz="4" w:space="0"/>
              <w:right w:val="single" w:color="000000" w:sz="4" w:space="0"/>
            </w:tcBorders>
            <w:noWrap/>
            <w:vAlign w:val="center"/>
          </w:tcPr>
          <w:p w14:paraId="18AAD51B">
            <w:pPr>
              <w:pStyle w:val="28"/>
              <w:bidi w:val="0"/>
            </w:pPr>
            <w:r>
              <w:rPr>
                <w:rFonts w:hint="eastAsia"/>
              </w:rPr>
              <w:t>25.00</w:t>
            </w:r>
          </w:p>
        </w:tc>
        <w:tc>
          <w:tcPr>
            <w:tcW w:w="426" w:type="pct"/>
            <w:tcBorders>
              <w:top w:val="single" w:color="000000" w:sz="4" w:space="0"/>
              <w:left w:val="single" w:color="000000" w:sz="4" w:space="0"/>
              <w:bottom w:val="single" w:color="000000" w:sz="4" w:space="0"/>
              <w:right w:val="single" w:color="000000" w:sz="4" w:space="0"/>
            </w:tcBorders>
            <w:noWrap/>
            <w:vAlign w:val="center"/>
          </w:tcPr>
          <w:p w14:paraId="5BA56F38">
            <w:pPr>
              <w:pStyle w:val="28"/>
              <w:bidi w:val="0"/>
            </w:pPr>
            <w:r>
              <w:t>0</w:t>
            </w:r>
          </w:p>
        </w:tc>
        <w:tc>
          <w:tcPr>
            <w:tcW w:w="426" w:type="pct"/>
            <w:tcBorders>
              <w:top w:val="single" w:color="000000" w:sz="4" w:space="0"/>
              <w:left w:val="single" w:color="000000" w:sz="4" w:space="0"/>
              <w:bottom w:val="single" w:color="000000" w:sz="4" w:space="0"/>
              <w:right w:val="single" w:color="000000" w:sz="4" w:space="0"/>
            </w:tcBorders>
            <w:noWrap/>
            <w:vAlign w:val="center"/>
          </w:tcPr>
          <w:p w14:paraId="6685FBAF">
            <w:pPr>
              <w:pStyle w:val="28"/>
              <w:bidi w:val="0"/>
            </w:pPr>
            <w:r>
              <w:t>达标</w:t>
            </w:r>
          </w:p>
        </w:tc>
      </w:tr>
      <w:tr w14:paraId="160B9C49">
        <w:trPr>
          <w:trHeight w:val="340" w:hRule="atLeast"/>
        </w:trPr>
        <w:tc>
          <w:tcPr>
            <w:tcW w:w="638" w:type="pct"/>
            <w:vMerge w:val="continue"/>
            <w:tcBorders>
              <w:left w:val="single" w:color="000000" w:sz="4" w:space="0"/>
              <w:bottom w:val="single" w:color="000000" w:sz="4" w:space="0"/>
              <w:right w:val="single" w:color="000000" w:sz="4" w:space="0"/>
            </w:tcBorders>
            <w:noWrap/>
            <w:vAlign w:val="center"/>
          </w:tcPr>
          <w:p w14:paraId="5C222A4A">
            <w:pPr>
              <w:pStyle w:val="28"/>
              <w:bidi w:val="0"/>
            </w:pPr>
          </w:p>
        </w:tc>
        <w:tc>
          <w:tcPr>
            <w:tcW w:w="302" w:type="pct"/>
            <w:tcBorders>
              <w:top w:val="single" w:color="000000" w:sz="4" w:space="0"/>
              <w:left w:val="single" w:color="000000" w:sz="4" w:space="0"/>
              <w:bottom w:val="single" w:color="000000" w:sz="4" w:space="0"/>
              <w:right w:val="single" w:color="000000" w:sz="4" w:space="0"/>
            </w:tcBorders>
            <w:noWrap/>
            <w:vAlign w:val="center"/>
          </w:tcPr>
          <w:p w14:paraId="7221FE4F">
            <w:pPr>
              <w:pStyle w:val="28"/>
              <w:bidi w:val="0"/>
            </w:pPr>
            <w:r>
              <w:t>/</w:t>
            </w:r>
          </w:p>
        </w:tc>
        <w:tc>
          <w:tcPr>
            <w:tcW w:w="292" w:type="pct"/>
            <w:tcBorders>
              <w:top w:val="single" w:color="000000" w:sz="4" w:space="0"/>
              <w:left w:val="single" w:color="000000" w:sz="4" w:space="0"/>
              <w:bottom w:val="single" w:color="000000" w:sz="4" w:space="0"/>
              <w:right w:val="single" w:color="000000" w:sz="4" w:space="0"/>
            </w:tcBorders>
            <w:noWrap/>
            <w:vAlign w:val="center"/>
          </w:tcPr>
          <w:p w14:paraId="1FB51B11">
            <w:pPr>
              <w:pStyle w:val="28"/>
              <w:bidi w:val="0"/>
            </w:pPr>
            <w:r>
              <w:t>/</w:t>
            </w:r>
          </w:p>
        </w:tc>
        <w:tc>
          <w:tcPr>
            <w:tcW w:w="612" w:type="pct"/>
            <w:tcBorders>
              <w:top w:val="single" w:color="000000" w:sz="4" w:space="0"/>
              <w:left w:val="single" w:color="000000" w:sz="4" w:space="0"/>
              <w:bottom w:val="single" w:color="000000" w:sz="4" w:space="0"/>
              <w:right w:val="single" w:color="000000" w:sz="4" w:space="0"/>
            </w:tcBorders>
            <w:noWrap/>
            <w:vAlign w:val="center"/>
          </w:tcPr>
          <w:p w14:paraId="7CD6075C">
            <w:pPr>
              <w:pStyle w:val="28"/>
              <w:bidi w:val="0"/>
            </w:pPr>
            <w:r>
              <w:rPr>
                <w:rFonts w:hint="eastAsia"/>
              </w:rPr>
              <w:t>H2S</w:t>
            </w:r>
          </w:p>
        </w:tc>
        <w:tc>
          <w:tcPr>
            <w:tcW w:w="428" w:type="pct"/>
            <w:tcBorders>
              <w:top w:val="single" w:color="000000" w:sz="4" w:space="0"/>
              <w:left w:val="single" w:color="000000" w:sz="4" w:space="0"/>
              <w:bottom w:val="single" w:color="000000" w:sz="4" w:space="0"/>
              <w:right w:val="single" w:color="000000" w:sz="4" w:space="0"/>
            </w:tcBorders>
            <w:noWrap/>
            <w:vAlign w:val="center"/>
          </w:tcPr>
          <w:p w14:paraId="4693AEB7">
            <w:pPr>
              <w:pStyle w:val="28"/>
              <w:bidi w:val="0"/>
            </w:pPr>
            <w:r>
              <w:rPr>
                <w:rFonts w:hint="eastAsia"/>
              </w:rPr>
              <w:t>小时</w:t>
            </w:r>
            <w:r>
              <w:t>值</w:t>
            </w:r>
          </w:p>
        </w:tc>
        <w:tc>
          <w:tcPr>
            <w:tcW w:w="522" w:type="pct"/>
            <w:tcBorders>
              <w:top w:val="single" w:color="000000" w:sz="4" w:space="0"/>
              <w:left w:val="single" w:color="000000" w:sz="4" w:space="0"/>
              <w:bottom w:val="single" w:color="000000" w:sz="4" w:space="0"/>
              <w:right w:val="single" w:color="000000" w:sz="4" w:space="0"/>
            </w:tcBorders>
            <w:noWrap/>
            <w:vAlign w:val="center"/>
          </w:tcPr>
          <w:p w14:paraId="703C498B">
            <w:pPr>
              <w:pStyle w:val="28"/>
              <w:bidi w:val="0"/>
            </w:pPr>
            <w:r>
              <w:rPr>
                <w:rFonts w:hint="eastAsia"/>
              </w:rPr>
              <w:t>1</w:t>
            </w:r>
            <w:r>
              <w:t>0</w:t>
            </w:r>
          </w:p>
        </w:tc>
        <w:tc>
          <w:tcPr>
            <w:tcW w:w="606" w:type="pct"/>
            <w:tcBorders>
              <w:top w:val="single" w:color="000000" w:sz="4" w:space="0"/>
              <w:left w:val="single" w:color="000000" w:sz="4" w:space="0"/>
              <w:bottom w:val="single" w:color="000000" w:sz="4" w:space="0"/>
              <w:right w:val="single" w:color="000000" w:sz="4" w:space="0"/>
            </w:tcBorders>
            <w:noWrap/>
            <w:vAlign w:val="center"/>
          </w:tcPr>
          <w:p w14:paraId="4C03A9CA">
            <w:pPr>
              <w:pStyle w:val="28"/>
              <w:bidi w:val="0"/>
            </w:pPr>
            <w:r>
              <w:rPr>
                <w:rFonts w:hint="eastAsia"/>
              </w:rPr>
              <w:t>3~5</w:t>
            </w:r>
          </w:p>
        </w:tc>
        <w:tc>
          <w:tcPr>
            <w:tcW w:w="742" w:type="pct"/>
            <w:tcBorders>
              <w:top w:val="single" w:color="000000" w:sz="4" w:space="0"/>
              <w:left w:val="single" w:color="000000" w:sz="4" w:space="0"/>
              <w:bottom w:val="single" w:color="000000" w:sz="4" w:space="0"/>
              <w:right w:val="single" w:color="000000" w:sz="4" w:space="0"/>
            </w:tcBorders>
            <w:noWrap/>
            <w:vAlign w:val="center"/>
          </w:tcPr>
          <w:p w14:paraId="79739AA9">
            <w:pPr>
              <w:pStyle w:val="28"/>
              <w:bidi w:val="0"/>
            </w:pPr>
            <w:r>
              <w:rPr>
                <w:rFonts w:hint="eastAsia"/>
              </w:rPr>
              <w:t>50.00</w:t>
            </w:r>
          </w:p>
        </w:tc>
        <w:tc>
          <w:tcPr>
            <w:tcW w:w="426" w:type="pct"/>
            <w:tcBorders>
              <w:top w:val="single" w:color="000000" w:sz="4" w:space="0"/>
              <w:left w:val="single" w:color="000000" w:sz="4" w:space="0"/>
              <w:bottom w:val="single" w:color="000000" w:sz="4" w:space="0"/>
              <w:right w:val="single" w:color="000000" w:sz="4" w:space="0"/>
            </w:tcBorders>
            <w:noWrap/>
            <w:vAlign w:val="center"/>
          </w:tcPr>
          <w:p w14:paraId="0741C63E">
            <w:pPr>
              <w:pStyle w:val="28"/>
              <w:bidi w:val="0"/>
            </w:pPr>
            <w:r>
              <w:t>0</w:t>
            </w:r>
          </w:p>
        </w:tc>
        <w:tc>
          <w:tcPr>
            <w:tcW w:w="426" w:type="pct"/>
            <w:tcBorders>
              <w:top w:val="single" w:color="000000" w:sz="4" w:space="0"/>
              <w:left w:val="single" w:color="000000" w:sz="4" w:space="0"/>
              <w:bottom w:val="single" w:color="000000" w:sz="4" w:space="0"/>
              <w:right w:val="single" w:color="000000" w:sz="4" w:space="0"/>
            </w:tcBorders>
            <w:noWrap/>
            <w:vAlign w:val="center"/>
          </w:tcPr>
          <w:p w14:paraId="4D37B413">
            <w:pPr>
              <w:pStyle w:val="28"/>
              <w:bidi w:val="0"/>
            </w:pPr>
            <w:r>
              <w:t>达标</w:t>
            </w:r>
          </w:p>
        </w:tc>
      </w:tr>
      <w:tr w14:paraId="2CE27423">
        <w:tblPrEx>
          <w:tblCellMar>
            <w:top w:w="0" w:type="dxa"/>
            <w:left w:w="108" w:type="dxa"/>
            <w:bottom w:w="0" w:type="dxa"/>
            <w:right w:w="108" w:type="dxa"/>
          </w:tblCellMar>
        </w:tblPrEx>
        <w:trPr>
          <w:trHeight w:val="312" w:hRule="atLeast"/>
        </w:trPr>
        <w:tc>
          <w:tcPr>
            <w:tcW w:w="1245" w:type="dxa"/>
            <w:vMerge w:val="restart"/>
            <w:tcBorders>
              <w:top w:val="single" w:color="000000" w:sz="4" w:space="0"/>
              <w:left w:val="single" w:color="000000" w:sz="4" w:space="0"/>
              <w:right w:val="single" w:color="000000" w:sz="4" w:space="0"/>
            </w:tcBorders>
            <w:noWrap/>
            <w:vAlign w:val="center"/>
          </w:tcPr>
          <w:p w14:paraId="569BF10B">
            <w:pPr>
              <w:pStyle w:val="28"/>
              <w:bidi w:val="0"/>
            </w:pPr>
            <w:r>
              <w:rPr>
                <w:rFonts w:hint="eastAsia"/>
              </w:rPr>
              <w:t>干化场主导风向下风向2#</w:t>
            </w:r>
          </w:p>
        </w:tc>
        <w:tc>
          <w:tcPr>
            <w:tcW w:w="302" w:type="pct"/>
            <w:tcBorders>
              <w:top w:val="single" w:color="000000" w:sz="4" w:space="0"/>
              <w:left w:val="single" w:color="000000" w:sz="4" w:space="0"/>
              <w:bottom w:val="single" w:color="000000" w:sz="4" w:space="0"/>
              <w:right w:val="single" w:color="000000" w:sz="4" w:space="0"/>
            </w:tcBorders>
            <w:noWrap/>
            <w:vAlign w:val="center"/>
          </w:tcPr>
          <w:p w14:paraId="5F2BE8E1">
            <w:pPr>
              <w:pStyle w:val="28"/>
              <w:bidi w:val="0"/>
            </w:pPr>
            <w:r>
              <w:t>/</w:t>
            </w:r>
          </w:p>
        </w:tc>
        <w:tc>
          <w:tcPr>
            <w:tcW w:w="292" w:type="pct"/>
            <w:tcBorders>
              <w:top w:val="single" w:color="000000" w:sz="4" w:space="0"/>
              <w:left w:val="single" w:color="000000" w:sz="4" w:space="0"/>
              <w:bottom w:val="single" w:color="000000" w:sz="4" w:space="0"/>
              <w:right w:val="single" w:color="000000" w:sz="4" w:space="0"/>
            </w:tcBorders>
            <w:noWrap/>
            <w:vAlign w:val="center"/>
          </w:tcPr>
          <w:p w14:paraId="07DE080D">
            <w:pPr>
              <w:pStyle w:val="28"/>
              <w:bidi w:val="0"/>
            </w:pPr>
            <w:r>
              <w:t>/</w:t>
            </w:r>
          </w:p>
        </w:tc>
        <w:tc>
          <w:tcPr>
            <w:tcW w:w="612" w:type="pct"/>
            <w:tcBorders>
              <w:top w:val="single" w:color="000000" w:sz="4" w:space="0"/>
              <w:left w:val="single" w:color="000000" w:sz="4" w:space="0"/>
              <w:bottom w:val="single" w:color="000000" w:sz="4" w:space="0"/>
              <w:right w:val="single" w:color="000000" w:sz="4" w:space="0"/>
            </w:tcBorders>
            <w:noWrap/>
            <w:vAlign w:val="center"/>
          </w:tcPr>
          <w:p w14:paraId="4B4865CB">
            <w:pPr>
              <w:pStyle w:val="28"/>
              <w:bidi w:val="0"/>
            </w:pPr>
            <w:r>
              <w:t>TSP</w:t>
            </w:r>
          </w:p>
        </w:tc>
        <w:tc>
          <w:tcPr>
            <w:tcW w:w="428" w:type="pct"/>
            <w:tcBorders>
              <w:top w:val="single" w:color="000000" w:sz="4" w:space="0"/>
              <w:left w:val="single" w:color="000000" w:sz="4" w:space="0"/>
              <w:bottom w:val="single" w:color="000000" w:sz="4" w:space="0"/>
              <w:right w:val="single" w:color="000000" w:sz="4" w:space="0"/>
            </w:tcBorders>
            <w:noWrap/>
            <w:vAlign w:val="center"/>
          </w:tcPr>
          <w:p w14:paraId="1C496D08">
            <w:pPr>
              <w:pStyle w:val="28"/>
              <w:bidi w:val="0"/>
            </w:pPr>
            <w:r>
              <w:t>日均值</w:t>
            </w:r>
          </w:p>
        </w:tc>
        <w:tc>
          <w:tcPr>
            <w:tcW w:w="522" w:type="pct"/>
            <w:tcBorders>
              <w:top w:val="single" w:color="000000" w:sz="4" w:space="0"/>
              <w:left w:val="single" w:color="000000" w:sz="4" w:space="0"/>
              <w:bottom w:val="single" w:color="000000" w:sz="4" w:space="0"/>
              <w:right w:val="single" w:color="000000" w:sz="4" w:space="0"/>
            </w:tcBorders>
            <w:noWrap/>
            <w:vAlign w:val="center"/>
          </w:tcPr>
          <w:p w14:paraId="77B6351A">
            <w:pPr>
              <w:pStyle w:val="28"/>
              <w:bidi w:val="0"/>
            </w:pPr>
            <w:r>
              <w:t>300</w:t>
            </w:r>
          </w:p>
        </w:tc>
        <w:tc>
          <w:tcPr>
            <w:tcW w:w="606" w:type="pct"/>
            <w:tcBorders>
              <w:top w:val="single" w:color="000000" w:sz="4" w:space="0"/>
              <w:left w:val="single" w:color="000000" w:sz="4" w:space="0"/>
              <w:bottom w:val="single" w:color="000000" w:sz="4" w:space="0"/>
              <w:right w:val="single" w:color="000000" w:sz="4" w:space="0"/>
            </w:tcBorders>
            <w:noWrap/>
            <w:vAlign w:val="center"/>
          </w:tcPr>
          <w:p w14:paraId="48DB3AAB">
            <w:pPr>
              <w:pStyle w:val="28"/>
              <w:bidi w:val="0"/>
            </w:pPr>
            <w:r>
              <w:rPr>
                <w:rFonts w:hint="eastAsia"/>
              </w:rPr>
              <w:t>23~41</w:t>
            </w:r>
          </w:p>
        </w:tc>
        <w:tc>
          <w:tcPr>
            <w:tcW w:w="742" w:type="pct"/>
            <w:tcBorders>
              <w:top w:val="single" w:color="000000" w:sz="4" w:space="0"/>
              <w:left w:val="single" w:color="000000" w:sz="4" w:space="0"/>
              <w:bottom w:val="single" w:color="000000" w:sz="4" w:space="0"/>
              <w:right w:val="single" w:color="000000" w:sz="4" w:space="0"/>
            </w:tcBorders>
            <w:noWrap/>
            <w:vAlign w:val="center"/>
          </w:tcPr>
          <w:p w14:paraId="623034E4">
            <w:pPr>
              <w:pStyle w:val="28"/>
              <w:bidi w:val="0"/>
            </w:pPr>
            <w:r>
              <w:rPr>
                <w:rFonts w:hint="eastAsia"/>
              </w:rPr>
              <w:t>13.67</w:t>
            </w:r>
          </w:p>
        </w:tc>
        <w:tc>
          <w:tcPr>
            <w:tcW w:w="426" w:type="pct"/>
            <w:tcBorders>
              <w:top w:val="single" w:color="000000" w:sz="4" w:space="0"/>
              <w:left w:val="single" w:color="000000" w:sz="4" w:space="0"/>
              <w:bottom w:val="single" w:color="000000" w:sz="4" w:space="0"/>
              <w:right w:val="single" w:color="000000" w:sz="4" w:space="0"/>
            </w:tcBorders>
            <w:noWrap/>
            <w:vAlign w:val="center"/>
          </w:tcPr>
          <w:p w14:paraId="65B190E4">
            <w:pPr>
              <w:pStyle w:val="28"/>
              <w:bidi w:val="0"/>
            </w:pPr>
            <w:r>
              <w:t>0</w:t>
            </w:r>
          </w:p>
        </w:tc>
        <w:tc>
          <w:tcPr>
            <w:tcW w:w="426" w:type="pct"/>
            <w:tcBorders>
              <w:top w:val="single" w:color="000000" w:sz="4" w:space="0"/>
              <w:left w:val="single" w:color="000000" w:sz="4" w:space="0"/>
              <w:bottom w:val="single" w:color="000000" w:sz="4" w:space="0"/>
              <w:right w:val="single" w:color="000000" w:sz="4" w:space="0"/>
            </w:tcBorders>
            <w:noWrap/>
            <w:vAlign w:val="center"/>
          </w:tcPr>
          <w:p w14:paraId="0350EBDB">
            <w:pPr>
              <w:pStyle w:val="28"/>
              <w:bidi w:val="0"/>
            </w:pPr>
            <w:r>
              <w:t>达标</w:t>
            </w:r>
          </w:p>
        </w:tc>
      </w:tr>
      <w:tr w14:paraId="6006580C">
        <w:tblPrEx>
          <w:tblCellMar>
            <w:top w:w="0" w:type="dxa"/>
            <w:left w:w="108" w:type="dxa"/>
            <w:bottom w:w="0" w:type="dxa"/>
            <w:right w:w="108" w:type="dxa"/>
          </w:tblCellMar>
        </w:tblPrEx>
        <w:trPr>
          <w:trHeight w:val="340" w:hRule="atLeast"/>
        </w:trPr>
        <w:tc>
          <w:tcPr>
            <w:tcW w:w="638" w:type="pct"/>
            <w:vMerge w:val="continue"/>
            <w:tcBorders>
              <w:left w:val="single" w:color="000000" w:sz="4" w:space="0"/>
              <w:right w:val="single" w:color="000000" w:sz="4" w:space="0"/>
            </w:tcBorders>
            <w:noWrap/>
            <w:vAlign w:val="center"/>
          </w:tcPr>
          <w:p w14:paraId="28AE66FB">
            <w:pPr>
              <w:pStyle w:val="28"/>
              <w:bidi w:val="0"/>
            </w:pPr>
          </w:p>
        </w:tc>
        <w:tc>
          <w:tcPr>
            <w:tcW w:w="302" w:type="pct"/>
            <w:tcBorders>
              <w:top w:val="single" w:color="000000" w:sz="4" w:space="0"/>
              <w:left w:val="single" w:color="000000" w:sz="4" w:space="0"/>
              <w:bottom w:val="single" w:color="000000" w:sz="4" w:space="0"/>
              <w:right w:val="single" w:color="000000" w:sz="4" w:space="0"/>
            </w:tcBorders>
            <w:noWrap/>
            <w:vAlign w:val="center"/>
          </w:tcPr>
          <w:p w14:paraId="54F90323">
            <w:pPr>
              <w:pStyle w:val="28"/>
              <w:bidi w:val="0"/>
            </w:pPr>
            <w:r>
              <w:t>/</w:t>
            </w:r>
          </w:p>
        </w:tc>
        <w:tc>
          <w:tcPr>
            <w:tcW w:w="292" w:type="pct"/>
            <w:tcBorders>
              <w:top w:val="single" w:color="000000" w:sz="4" w:space="0"/>
              <w:left w:val="single" w:color="000000" w:sz="4" w:space="0"/>
              <w:bottom w:val="single" w:color="000000" w:sz="4" w:space="0"/>
              <w:right w:val="single" w:color="000000" w:sz="4" w:space="0"/>
            </w:tcBorders>
            <w:noWrap/>
            <w:vAlign w:val="center"/>
          </w:tcPr>
          <w:p w14:paraId="62875C00">
            <w:pPr>
              <w:pStyle w:val="28"/>
              <w:bidi w:val="0"/>
            </w:pPr>
            <w:r>
              <w:t>/</w:t>
            </w:r>
          </w:p>
        </w:tc>
        <w:tc>
          <w:tcPr>
            <w:tcW w:w="1193" w:type="dxa"/>
            <w:tcBorders>
              <w:top w:val="single" w:color="000000" w:sz="4" w:space="0"/>
              <w:left w:val="single" w:color="000000" w:sz="4" w:space="0"/>
              <w:bottom w:val="single" w:color="000000" w:sz="4" w:space="0"/>
              <w:right w:val="single" w:color="000000" w:sz="4" w:space="0"/>
            </w:tcBorders>
            <w:noWrap/>
            <w:vAlign w:val="center"/>
          </w:tcPr>
          <w:p w14:paraId="5413BEC8">
            <w:pPr>
              <w:pStyle w:val="28"/>
              <w:bidi w:val="0"/>
            </w:pPr>
            <w:r>
              <w:rPr>
                <w:rFonts w:hint="eastAsia"/>
              </w:rPr>
              <w:t>NH3</w:t>
            </w:r>
          </w:p>
        </w:tc>
        <w:tc>
          <w:tcPr>
            <w:tcW w:w="428" w:type="pct"/>
            <w:tcBorders>
              <w:top w:val="single" w:color="000000" w:sz="4" w:space="0"/>
              <w:left w:val="single" w:color="000000" w:sz="4" w:space="0"/>
              <w:bottom w:val="single" w:color="000000" w:sz="4" w:space="0"/>
              <w:right w:val="single" w:color="000000" w:sz="4" w:space="0"/>
            </w:tcBorders>
            <w:noWrap/>
            <w:vAlign w:val="center"/>
          </w:tcPr>
          <w:p w14:paraId="6FFE7CEE">
            <w:pPr>
              <w:pStyle w:val="28"/>
              <w:bidi w:val="0"/>
            </w:pPr>
            <w:r>
              <w:rPr>
                <w:rFonts w:hint="eastAsia"/>
              </w:rPr>
              <w:t>小时</w:t>
            </w:r>
            <w:r>
              <w:t>值</w:t>
            </w:r>
          </w:p>
        </w:tc>
        <w:tc>
          <w:tcPr>
            <w:tcW w:w="1019" w:type="dxa"/>
            <w:tcBorders>
              <w:top w:val="single" w:color="000000" w:sz="4" w:space="0"/>
              <w:left w:val="single" w:color="000000" w:sz="4" w:space="0"/>
              <w:bottom w:val="single" w:color="000000" w:sz="4" w:space="0"/>
              <w:right w:val="single" w:color="000000" w:sz="4" w:space="0"/>
            </w:tcBorders>
            <w:noWrap/>
            <w:vAlign w:val="center"/>
          </w:tcPr>
          <w:p w14:paraId="00F4F2BF">
            <w:pPr>
              <w:pStyle w:val="28"/>
              <w:bidi w:val="0"/>
            </w:pPr>
            <w:r>
              <w:rPr>
                <w:rFonts w:hint="eastAsia"/>
              </w:rPr>
              <w:t>2</w:t>
            </w:r>
            <w:r>
              <w:t>00</w:t>
            </w:r>
          </w:p>
        </w:tc>
        <w:tc>
          <w:tcPr>
            <w:tcW w:w="606" w:type="pct"/>
            <w:tcBorders>
              <w:top w:val="single" w:color="000000" w:sz="4" w:space="0"/>
              <w:left w:val="single" w:color="000000" w:sz="4" w:space="0"/>
              <w:bottom w:val="single" w:color="000000" w:sz="4" w:space="0"/>
              <w:right w:val="single" w:color="000000" w:sz="4" w:space="0"/>
            </w:tcBorders>
            <w:noWrap/>
            <w:vAlign w:val="center"/>
          </w:tcPr>
          <w:p w14:paraId="2EA73781">
            <w:pPr>
              <w:pStyle w:val="28"/>
              <w:bidi w:val="0"/>
            </w:pPr>
            <w:r>
              <w:rPr>
                <w:rFonts w:hint="eastAsia"/>
              </w:rPr>
              <w:t>30~60</w:t>
            </w:r>
          </w:p>
        </w:tc>
        <w:tc>
          <w:tcPr>
            <w:tcW w:w="742" w:type="pct"/>
            <w:tcBorders>
              <w:top w:val="single" w:color="000000" w:sz="4" w:space="0"/>
              <w:left w:val="single" w:color="000000" w:sz="4" w:space="0"/>
              <w:bottom w:val="single" w:color="000000" w:sz="4" w:space="0"/>
              <w:right w:val="single" w:color="000000" w:sz="4" w:space="0"/>
            </w:tcBorders>
            <w:noWrap/>
            <w:vAlign w:val="center"/>
          </w:tcPr>
          <w:p w14:paraId="54420749">
            <w:pPr>
              <w:pStyle w:val="28"/>
              <w:bidi w:val="0"/>
            </w:pPr>
            <w:r>
              <w:rPr>
                <w:rFonts w:hint="eastAsia"/>
              </w:rPr>
              <w:t>30.00</w:t>
            </w:r>
          </w:p>
        </w:tc>
        <w:tc>
          <w:tcPr>
            <w:tcW w:w="426" w:type="pct"/>
            <w:tcBorders>
              <w:top w:val="single" w:color="000000" w:sz="4" w:space="0"/>
              <w:left w:val="single" w:color="000000" w:sz="4" w:space="0"/>
              <w:bottom w:val="single" w:color="000000" w:sz="4" w:space="0"/>
              <w:right w:val="single" w:color="000000" w:sz="4" w:space="0"/>
            </w:tcBorders>
            <w:noWrap/>
            <w:vAlign w:val="center"/>
          </w:tcPr>
          <w:p w14:paraId="57920D95">
            <w:pPr>
              <w:pStyle w:val="28"/>
              <w:bidi w:val="0"/>
            </w:pPr>
            <w:r>
              <w:t>0</w:t>
            </w:r>
          </w:p>
        </w:tc>
        <w:tc>
          <w:tcPr>
            <w:tcW w:w="426" w:type="pct"/>
            <w:tcBorders>
              <w:top w:val="single" w:color="000000" w:sz="4" w:space="0"/>
              <w:left w:val="single" w:color="000000" w:sz="4" w:space="0"/>
              <w:bottom w:val="single" w:color="000000" w:sz="4" w:space="0"/>
              <w:right w:val="single" w:color="000000" w:sz="4" w:space="0"/>
            </w:tcBorders>
            <w:noWrap/>
            <w:vAlign w:val="center"/>
          </w:tcPr>
          <w:p w14:paraId="0B29035C">
            <w:pPr>
              <w:pStyle w:val="28"/>
              <w:bidi w:val="0"/>
            </w:pPr>
            <w:r>
              <w:t>达标</w:t>
            </w:r>
          </w:p>
        </w:tc>
      </w:tr>
      <w:tr w14:paraId="5557BAAF">
        <w:tblPrEx>
          <w:tblCellMar>
            <w:top w:w="0" w:type="dxa"/>
            <w:left w:w="108" w:type="dxa"/>
            <w:bottom w:w="0" w:type="dxa"/>
            <w:right w:w="108" w:type="dxa"/>
          </w:tblCellMar>
        </w:tblPrEx>
        <w:trPr>
          <w:trHeight w:val="340" w:hRule="atLeast"/>
        </w:trPr>
        <w:tc>
          <w:tcPr>
            <w:tcW w:w="638" w:type="pct"/>
            <w:vMerge w:val="continue"/>
            <w:tcBorders>
              <w:left w:val="single" w:color="000000" w:sz="4" w:space="0"/>
              <w:bottom w:val="single" w:color="000000" w:sz="4" w:space="0"/>
              <w:right w:val="single" w:color="000000" w:sz="4" w:space="0"/>
            </w:tcBorders>
            <w:noWrap/>
            <w:vAlign w:val="center"/>
          </w:tcPr>
          <w:p w14:paraId="7AA639FE">
            <w:pPr>
              <w:pStyle w:val="28"/>
              <w:bidi w:val="0"/>
            </w:pPr>
          </w:p>
        </w:tc>
        <w:tc>
          <w:tcPr>
            <w:tcW w:w="302" w:type="pct"/>
            <w:tcBorders>
              <w:top w:val="single" w:color="000000" w:sz="4" w:space="0"/>
              <w:left w:val="single" w:color="000000" w:sz="4" w:space="0"/>
              <w:bottom w:val="single" w:color="000000" w:sz="4" w:space="0"/>
              <w:right w:val="single" w:color="000000" w:sz="4" w:space="0"/>
            </w:tcBorders>
            <w:noWrap/>
            <w:vAlign w:val="center"/>
          </w:tcPr>
          <w:p w14:paraId="7893CA31">
            <w:pPr>
              <w:pStyle w:val="28"/>
              <w:bidi w:val="0"/>
            </w:pPr>
            <w:r>
              <w:t>/</w:t>
            </w:r>
          </w:p>
        </w:tc>
        <w:tc>
          <w:tcPr>
            <w:tcW w:w="292" w:type="pct"/>
            <w:tcBorders>
              <w:top w:val="single" w:color="000000" w:sz="4" w:space="0"/>
              <w:left w:val="single" w:color="000000" w:sz="4" w:space="0"/>
              <w:bottom w:val="single" w:color="000000" w:sz="4" w:space="0"/>
              <w:right w:val="single" w:color="000000" w:sz="4" w:space="0"/>
            </w:tcBorders>
            <w:noWrap/>
            <w:vAlign w:val="center"/>
          </w:tcPr>
          <w:p w14:paraId="52B381EB">
            <w:pPr>
              <w:pStyle w:val="28"/>
              <w:bidi w:val="0"/>
            </w:pPr>
            <w:r>
              <w:t>/</w:t>
            </w:r>
          </w:p>
        </w:tc>
        <w:tc>
          <w:tcPr>
            <w:tcW w:w="1193" w:type="dxa"/>
            <w:tcBorders>
              <w:top w:val="single" w:color="000000" w:sz="4" w:space="0"/>
              <w:left w:val="single" w:color="000000" w:sz="4" w:space="0"/>
              <w:bottom w:val="single" w:color="000000" w:sz="4" w:space="0"/>
              <w:right w:val="single" w:color="000000" w:sz="4" w:space="0"/>
            </w:tcBorders>
            <w:noWrap/>
            <w:vAlign w:val="center"/>
          </w:tcPr>
          <w:p w14:paraId="303953DF">
            <w:pPr>
              <w:pStyle w:val="28"/>
              <w:bidi w:val="0"/>
            </w:pPr>
            <w:r>
              <w:rPr>
                <w:rFonts w:hint="eastAsia"/>
              </w:rPr>
              <w:t>H2S</w:t>
            </w:r>
          </w:p>
        </w:tc>
        <w:tc>
          <w:tcPr>
            <w:tcW w:w="428" w:type="pct"/>
            <w:tcBorders>
              <w:top w:val="single" w:color="000000" w:sz="4" w:space="0"/>
              <w:left w:val="single" w:color="000000" w:sz="4" w:space="0"/>
              <w:bottom w:val="single" w:color="000000" w:sz="4" w:space="0"/>
              <w:right w:val="single" w:color="000000" w:sz="4" w:space="0"/>
            </w:tcBorders>
            <w:noWrap/>
            <w:vAlign w:val="center"/>
          </w:tcPr>
          <w:p w14:paraId="48D460D5">
            <w:pPr>
              <w:pStyle w:val="28"/>
              <w:bidi w:val="0"/>
            </w:pPr>
            <w:r>
              <w:rPr>
                <w:rFonts w:hint="eastAsia"/>
              </w:rPr>
              <w:t>小时</w:t>
            </w:r>
            <w:r>
              <w:t>值</w:t>
            </w:r>
          </w:p>
        </w:tc>
        <w:tc>
          <w:tcPr>
            <w:tcW w:w="1019" w:type="dxa"/>
            <w:tcBorders>
              <w:top w:val="single" w:color="000000" w:sz="4" w:space="0"/>
              <w:left w:val="single" w:color="000000" w:sz="4" w:space="0"/>
              <w:bottom w:val="single" w:color="000000" w:sz="4" w:space="0"/>
              <w:right w:val="single" w:color="000000" w:sz="4" w:space="0"/>
            </w:tcBorders>
            <w:noWrap/>
            <w:vAlign w:val="center"/>
          </w:tcPr>
          <w:p w14:paraId="0E81D644">
            <w:pPr>
              <w:pStyle w:val="28"/>
              <w:bidi w:val="0"/>
            </w:pPr>
            <w:r>
              <w:rPr>
                <w:rFonts w:hint="eastAsia"/>
              </w:rPr>
              <w:t>1</w:t>
            </w:r>
            <w:r>
              <w:t>0</w:t>
            </w:r>
          </w:p>
        </w:tc>
        <w:tc>
          <w:tcPr>
            <w:tcW w:w="606" w:type="pct"/>
            <w:tcBorders>
              <w:top w:val="single" w:color="000000" w:sz="4" w:space="0"/>
              <w:left w:val="single" w:color="000000" w:sz="4" w:space="0"/>
              <w:bottom w:val="single" w:color="000000" w:sz="4" w:space="0"/>
              <w:right w:val="single" w:color="000000" w:sz="4" w:space="0"/>
            </w:tcBorders>
            <w:noWrap/>
            <w:vAlign w:val="center"/>
          </w:tcPr>
          <w:p w14:paraId="7956BC73">
            <w:pPr>
              <w:pStyle w:val="28"/>
              <w:bidi w:val="0"/>
            </w:pPr>
            <w:r>
              <w:rPr>
                <w:rFonts w:hint="eastAsia"/>
              </w:rPr>
              <w:t>3~5</w:t>
            </w:r>
          </w:p>
        </w:tc>
        <w:tc>
          <w:tcPr>
            <w:tcW w:w="742" w:type="pct"/>
            <w:tcBorders>
              <w:top w:val="single" w:color="000000" w:sz="4" w:space="0"/>
              <w:left w:val="single" w:color="000000" w:sz="4" w:space="0"/>
              <w:bottom w:val="single" w:color="000000" w:sz="4" w:space="0"/>
              <w:right w:val="single" w:color="000000" w:sz="4" w:space="0"/>
            </w:tcBorders>
            <w:noWrap/>
            <w:vAlign w:val="center"/>
          </w:tcPr>
          <w:p w14:paraId="41F6A639">
            <w:pPr>
              <w:pStyle w:val="28"/>
              <w:bidi w:val="0"/>
            </w:pPr>
            <w:r>
              <w:rPr>
                <w:rFonts w:hint="eastAsia"/>
              </w:rPr>
              <w:t>50.00</w:t>
            </w:r>
          </w:p>
        </w:tc>
        <w:tc>
          <w:tcPr>
            <w:tcW w:w="426" w:type="pct"/>
            <w:tcBorders>
              <w:top w:val="single" w:color="000000" w:sz="4" w:space="0"/>
              <w:left w:val="single" w:color="000000" w:sz="4" w:space="0"/>
              <w:bottom w:val="single" w:color="000000" w:sz="4" w:space="0"/>
              <w:right w:val="single" w:color="000000" w:sz="4" w:space="0"/>
            </w:tcBorders>
            <w:noWrap/>
            <w:vAlign w:val="center"/>
          </w:tcPr>
          <w:p w14:paraId="11F04A9A">
            <w:pPr>
              <w:pStyle w:val="28"/>
              <w:bidi w:val="0"/>
            </w:pPr>
            <w:r>
              <w:t>0</w:t>
            </w:r>
          </w:p>
        </w:tc>
        <w:tc>
          <w:tcPr>
            <w:tcW w:w="426" w:type="pct"/>
            <w:tcBorders>
              <w:top w:val="single" w:color="000000" w:sz="4" w:space="0"/>
              <w:left w:val="single" w:color="000000" w:sz="4" w:space="0"/>
              <w:bottom w:val="single" w:color="000000" w:sz="4" w:space="0"/>
              <w:right w:val="single" w:color="000000" w:sz="4" w:space="0"/>
            </w:tcBorders>
            <w:noWrap/>
            <w:vAlign w:val="center"/>
          </w:tcPr>
          <w:p w14:paraId="4A90D207">
            <w:pPr>
              <w:pStyle w:val="28"/>
              <w:bidi w:val="0"/>
            </w:pPr>
            <w:r>
              <w:t>达标</w:t>
            </w:r>
          </w:p>
        </w:tc>
      </w:tr>
    </w:tbl>
    <w:p w14:paraId="7E1E9D11">
      <w:pPr>
        <w:spacing w:line="240" w:lineRule="auto"/>
        <w:ind w:firstLine="480" w:firstLineChars="200"/>
        <w:rPr>
          <w:rFonts w:cs="Times New Roman"/>
          <w:color w:val="0000FF"/>
        </w:rPr>
      </w:pPr>
    </w:p>
    <w:p w14:paraId="2DD1195A">
      <w:pPr>
        <w:ind w:firstLine="480" w:firstLineChars="200"/>
        <w:rPr>
          <w:rFonts w:cs="Times New Roman"/>
        </w:rPr>
      </w:pPr>
      <w:r>
        <w:rPr>
          <w:rFonts w:cs="Times New Roman"/>
        </w:rPr>
        <w:t>由上表评价结果可以看出，评价区域TSP、氨、硫化氢的现状监测结果中，TSP满足《环境空气质量标准》（GB3095-2012）中二级标准，氨、硫化氢满足《环境影响评价技术导则 大气环境》HJ2.2-2018附录D相应标准限值要求。</w:t>
      </w:r>
    </w:p>
    <w:p w14:paraId="6E568CB9">
      <w:pPr>
        <w:pStyle w:val="4"/>
        <w:rPr>
          <w:rFonts w:cs="Times New Roman"/>
          <w:b/>
          <w:lang w:bidi="zh-CN"/>
        </w:rPr>
      </w:pPr>
      <w:r>
        <w:rPr>
          <w:rFonts w:cs="Times New Roman"/>
          <w:lang w:bidi="zh-CN"/>
        </w:rPr>
        <w:t>4.2.2 地表水环境质量现状调查与评价</w:t>
      </w:r>
    </w:p>
    <w:p w14:paraId="271ED8F6">
      <w:pPr>
        <w:pStyle w:val="5"/>
        <w:jc w:val="both"/>
        <w:rPr>
          <w:rFonts w:cs="Times New Roman"/>
          <w:bCs/>
        </w:rPr>
      </w:pPr>
      <w:r>
        <w:rPr>
          <w:rFonts w:cs="Times New Roman"/>
          <w:bCs/>
        </w:rPr>
        <w:t>4.2.2.1 地表水环境监测现状与评价</w:t>
      </w:r>
    </w:p>
    <w:p w14:paraId="2A571FF8">
      <w:pPr>
        <w:ind w:firstLine="454"/>
        <w:rPr>
          <w:rFonts w:cs="Times New Roman"/>
        </w:rPr>
      </w:pPr>
      <w:r>
        <w:rPr>
          <w:rFonts w:cs="Times New Roman"/>
        </w:rPr>
        <w:t>根据《环境影响评价技术导则 地表水环境》（HJ 2.3-2018）的相关要求，水环境质量现状调查应优先采用国务院生态环境保护主管部门统一发布的水环境状况信息。</w:t>
      </w:r>
    </w:p>
    <w:p w14:paraId="468BA7FA">
      <w:pPr>
        <w:adjustRightInd w:val="0"/>
        <w:ind w:firstLine="480" w:firstLineChars="200"/>
        <w:textAlignment w:val="center"/>
        <w:rPr>
          <w:rFonts w:cs="Times New Roman"/>
        </w:rPr>
      </w:pPr>
      <w:r>
        <w:rPr>
          <w:rFonts w:cs="Times New Roman"/>
        </w:rPr>
        <w:t>根据《202</w:t>
      </w:r>
      <w:r>
        <w:rPr>
          <w:rFonts w:hint="eastAsia" w:cs="Times New Roman"/>
        </w:rPr>
        <w:t>3</w:t>
      </w:r>
      <w:r>
        <w:rPr>
          <w:rFonts w:cs="Times New Roman"/>
        </w:rPr>
        <w:t>年淮南市生态环境</w:t>
      </w:r>
      <w:r>
        <w:rPr>
          <w:rFonts w:hint="eastAsia" w:cs="Times New Roman"/>
        </w:rPr>
        <w:t>质量</w:t>
      </w:r>
      <w:r>
        <w:rPr>
          <w:rFonts w:cs="Times New Roman"/>
        </w:rPr>
        <w:t>状况公报》，202</w:t>
      </w:r>
      <w:r>
        <w:rPr>
          <w:rFonts w:hint="eastAsia" w:cs="Times New Roman"/>
        </w:rPr>
        <w:t>3</w:t>
      </w:r>
      <w:r>
        <w:rPr>
          <w:rFonts w:cs="Times New Roman"/>
        </w:rPr>
        <w:t>年，全市地表水24个监测断面</w:t>
      </w:r>
      <w:r>
        <w:rPr>
          <w:rFonts w:hint="eastAsia" w:cs="Times New Roman"/>
        </w:rPr>
        <w:t>（</w:t>
      </w:r>
      <w:r>
        <w:rPr>
          <w:rFonts w:cs="Times New Roman"/>
        </w:rPr>
        <w:t>点位</w:t>
      </w:r>
      <w:r>
        <w:rPr>
          <w:rFonts w:hint="eastAsia" w:cs="Times New Roman"/>
        </w:rPr>
        <w:t>）</w:t>
      </w:r>
      <w:r>
        <w:rPr>
          <w:rFonts w:cs="Times New Roman"/>
        </w:rPr>
        <w:t>中</w:t>
      </w:r>
      <w:r>
        <w:rPr>
          <w:rFonts w:hint="eastAsia" w:cs="Times New Roman"/>
        </w:rPr>
        <w:t>优良</w:t>
      </w:r>
      <w:r>
        <w:rPr>
          <w:rFonts w:cs="Times New Roman"/>
        </w:rPr>
        <w:t>水质比例为</w:t>
      </w:r>
      <w:r>
        <w:rPr>
          <w:rFonts w:hint="eastAsia" w:cs="Times New Roman"/>
        </w:rPr>
        <w:t>95.8</w:t>
      </w:r>
      <w:r>
        <w:rPr>
          <w:rFonts w:cs="Times New Roman"/>
        </w:rPr>
        <w:t>%</w:t>
      </w:r>
      <w:r>
        <w:rPr>
          <w:rFonts w:hint="eastAsia" w:cs="Times New Roman"/>
        </w:rPr>
        <w:t>，</w:t>
      </w:r>
      <w:r>
        <w:rPr>
          <w:rFonts w:cs="Times New Roman"/>
        </w:rPr>
        <w:t>比上年增加</w:t>
      </w:r>
      <w:r>
        <w:rPr>
          <w:rFonts w:hint="eastAsia" w:cs="Times New Roman"/>
        </w:rPr>
        <w:t>16.6</w:t>
      </w:r>
      <w:r>
        <w:rPr>
          <w:rFonts w:cs="Times New Roman"/>
        </w:rPr>
        <w:t>个百分点，</w:t>
      </w:r>
      <w:r>
        <w:rPr>
          <w:rFonts w:hint="eastAsia" w:cs="Times New Roman"/>
        </w:rPr>
        <w:t>Ⅳ类</w:t>
      </w:r>
      <w:r>
        <w:rPr>
          <w:rFonts w:cs="Times New Roman"/>
        </w:rPr>
        <w:t>水质比例</w:t>
      </w:r>
      <w:r>
        <w:rPr>
          <w:rFonts w:hint="eastAsia" w:cs="Times New Roman"/>
        </w:rPr>
        <w:t>4.2</w:t>
      </w:r>
      <w:r>
        <w:rPr>
          <w:rFonts w:cs="Times New Roman"/>
        </w:rPr>
        <w:t>%，总体水质状况</w:t>
      </w:r>
      <w:r>
        <w:rPr>
          <w:rFonts w:hint="eastAsia" w:cs="Times New Roman"/>
        </w:rPr>
        <w:t>优</w:t>
      </w:r>
      <w:r>
        <w:rPr>
          <w:rFonts w:cs="Times New Roman"/>
        </w:rPr>
        <w:t>。</w:t>
      </w:r>
      <w:r>
        <w:rPr>
          <w:rFonts w:hint="eastAsia" w:cs="Times New Roman"/>
        </w:rPr>
        <w:t>全市8个国控断面中优良水质比例为87.5%，Ⅳ类水质比例12.5%，总体水质状况良好；11个省控断面中优良水质比例为100%，总体水质状况优。</w:t>
      </w:r>
    </w:p>
    <w:p w14:paraId="521EB63E">
      <w:pPr>
        <w:adjustRightInd w:val="0"/>
        <w:ind w:firstLine="480" w:firstLineChars="200"/>
        <w:textAlignment w:val="center"/>
        <w:rPr>
          <w:rFonts w:cs="Times New Roman"/>
        </w:rPr>
      </w:pPr>
      <w:r>
        <w:rPr>
          <w:rFonts w:hint="eastAsia" w:cs="Times New Roman"/>
        </w:rPr>
        <w:t>（</w:t>
      </w:r>
      <w:r>
        <w:rPr>
          <w:rFonts w:cs="Times New Roman"/>
        </w:rPr>
        <w:t>1）</w:t>
      </w:r>
      <w:r>
        <w:rPr>
          <w:rFonts w:hint="eastAsia" w:cs="Times New Roman"/>
        </w:rPr>
        <w:t>河流</w:t>
      </w:r>
    </w:p>
    <w:p w14:paraId="5270364E">
      <w:pPr>
        <w:adjustRightInd w:val="0"/>
        <w:ind w:firstLine="480" w:firstLineChars="200"/>
        <w:textAlignment w:val="center"/>
        <w:rPr>
          <w:rFonts w:cs="Times New Roman"/>
        </w:rPr>
      </w:pPr>
      <w:r>
        <w:rPr>
          <w:rFonts w:hint="eastAsia" w:cs="Times New Roman"/>
        </w:rPr>
        <w:t>全市辖区内淮河干流水质状况为优，西淝河水质状况为优，东淝河、永幸河、架河、泥河、瓦西干渠、陡涧河、万小河、便民沟和丁家沟水质状况为良好。20个监测断面中优良水质比例为100%，比上年提升了15个百分点。其中新城口、西淝河闸下断面水质均有所好转（Ⅲ类→Ⅱ类），泥河入河口、便民沟焦岗闸、丁家沟河口和安丰塘水质均有所好转（Ⅳ类→Ⅲ类），其他断面水质保持稳定。</w:t>
      </w:r>
      <w:r>
        <w:rPr>
          <w:rFonts w:cs="Times New Roman"/>
        </w:rPr>
        <w:t>与上年相比，各断面水质无明显变化。</w:t>
      </w:r>
    </w:p>
    <w:p w14:paraId="6FDDA43A">
      <w:pPr>
        <w:adjustRightInd w:val="0"/>
        <w:ind w:firstLine="480" w:firstLineChars="200"/>
        <w:textAlignment w:val="center"/>
        <w:rPr>
          <w:rFonts w:cs="Times New Roman"/>
        </w:rPr>
      </w:pPr>
      <w:r>
        <w:rPr>
          <w:rFonts w:hint="eastAsia" w:cs="Times New Roman"/>
        </w:rPr>
        <w:t>（2）湖泊</w:t>
      </w:r>
    </w:p>
    <w:p w14:paraId="294791E3">
      <w:pPr>
        <w:adjustRightInd w:val="0"/>
        <w:ind w:firstLine="480" w:firstLineChars="200"/>
        <w:textAlignment w:val="center"/>
        <w:rPr>
          <w:rFonts w:cs="Times New Roman"/>
        </w:rPr>
      </w:pPr>
      <w:r>
        <w:rPr>
          <w:rFonts w:hint="eastAsia" w:cs="Times New Roman"/>
        </w:rPr>
        <w:t>瓦埠湖、焦岗湖和安丰塘点位水质年均值符合Ⅲ类标准，水质状况为良好；高塘湖点位水质年均值符合Ⅳ类标准，水质轻度污染，主要污染指标为总磷。瓦埠湖营养状态为中营养，焦岗湖、高塘湖和安丰塘营养状态均为轻度富营养。与上年相比，安丰塘点位水质类别由Ⅳ类好转为Ⅲ类，瓦埠湖、高塘湖和焦岗湖点位水质类别保持稳定。</w:t>
      </w:r>
    </w:p>
    <w:p w14:paraId="34C61F68">
      <w:pPr>
        <w:adjustRightInd w:val="0"/>
        <w:ind w:firstLine="480" w:firstLineChars="200"/>
        <w:textAlignment w:val="center"/>
        <w:rPr>
          <w:rFonts w:cs="Times New Roman"/>
        </w:rPr>
      </w:pPr>
      <w:r>
        <w:rPr>
          <w:rFonts w:hint="eastAsia" w:cs="Times New Roman"/>
        </w:rPr>
        <w:t>（3）集中式饮用水源地</w:t>
      </w:r>
    </w:p>
    <w:p w14:paraId="79BC133B">
      <w:pPr>
        <w:ind w:firstLine="480" w:firstLineChars="200"/>
        <w:rPr>
          <w:rFonts w:cs="Times New Roman"/>
        </w:rPr>
      </w:pPr>
      <w:r>
        <w:rPr>
          <w:rFonts w:cs="Times New Roman"/>
        </w:rPr>
        <w:t>2023年，东部城区水源地、平山头水厂、袁庄水厂、凤台水厂和寿县二水厂等5个在用县级及以上地表集中式饮用水水源地全年取水量13253.7万吨，水质达标率100%与上年相比保持稳定。</w:t>
      </w:r>
    </w:p>
    <w:p w14:paraId="15E2FB9C">
      <w:pPr>
        <w:rPr>
          <w:color w:val="0000FF"/>
        </w:rPr>
        <w:sectPr>
          <w:pgSz w:w="11905" w:h="16838"/>
          <w:pgMar w:top="1417" w:right="1417" w:bottom="1417" w:left="1417" w:header="850" w:footer="850" w:gutter="0"/>
          <w:pgNumType w:fmt="decimal"/>
          <w:cols w:space="0" w:num="1"/>
          <w:rtlGutter w:val="0"/>
          <w:docGrid w:linePitch="0" w:charSpace="0"/>
        </w:sectPr>
      </w:pPr>
    </w:p>
    <w:p w14:paraId="6F5B19F6">
      <w:pPr>
        <w:pStyle w:val="5"/>
        <w:jc w:val="both"/>
        <w:rPr>
          <w:rFonts w:cs="Times New Roman"/>
          <w:bCs/>
        </w:rPr>
      </w:pPr>
      <w:r>
        <w:rPr>
          <w:rFonts w:cs="Times New Roman"/>
          <w:bCs/>
        </w:rPr>
        <w:t>4.2.2.2 评价区污染源调查</w:t>
      </w:r>
    </w:p>
    <w:p w14:paraId="10587A67">
      <w:pPr>
        <w:adjustRightInd w:val="0"/>
        <w:ind w:firstLine="480" w:firstLineChars="200"/>
        <w:textAlignment w:val="center"/>
        <w:rPr>
          <w:rFonts w:cs="Times New Roman"/>
        </w:rPr>
      </w:pPr>
      <w:r>
        <w:rPr>
          <w:rFonts w:cs="Times New Roman"/>
        </w:rPr>
        <w:t>经环境现状调查，本次涉及的渠道两侧大部分为农业用地，部分堤段现状居住有较大量的居民，居民的农业生产、生活产生的面源污染是影响两河道水质的主要原因之一，且治理难度较大；堤防上堆放、倾倒生活垃圾，在部分渠道沿线存在养殖等现象，对渠道水质存在不利影响。</w:t>
      </w:r>
    </w:p>
    <w:p w14:paraId="24D466AB">
      <w:pPr>
        <w:adjustRightInd w:val="0"/>
        <w:ind w:firstLine="480" w:firstLineChars="200"/>
        <w:textAlignment w:val="center"/>
        <w:rPr>
          <w:rFonts w:cs="Times New Roman"/>
        </w:rPr>
      </w:pPr>
      <w:r>
        <w:rPr>
          <w:rFonts w:cs="Times New Roman"/>
        </w:rPr>
        <w:t>根据现场踏勘调查，项目渠道无入河排污口。</w:t>
      </w:r>
    </w:p>
    <w:p w14:paraId="13079545">
      <w:pPr>
        <w:pStyle w:val="5"/>
        <w:jc w:val="both"/>
        <w:rPr>
          <w:rFonts w:cs="Times New Roman"/>
          <w:bCs/>
        </w:rPr>
      </w:pPr>
      <w:r>
        <w:rPr>
          <w:rFonts w:cs="Times New Roman"/>
          <w:bCs/>
        </w:rPr>
        <w:t>4.2.2.3 水资源开发利用情况</w:t>
      </w:r>
    </w:p>
    <w:p w14:paraId="06FCDF08">
      <w:pPr>
        <w:ind w:firstLine="480" w:firstLineChars="200"/>
        <w:rPr>
          <w:rFonts w:cs="Times New Roman"/>
          <w:bCs/>
          <w:lang w:bidi="zh-CN"/>
        </w:rPr>
      </w:pPr>
      <w:r>
        <w:rPr>
          <w:rFonts w:cs="Times New Roman"/>
          <w:bCs/>
          <w:lang w:bidi="zh-CN"/>
        </w:rPr>
        <w:t>1、水资源及开发利用现状</w:t>
      </w:r>
    </w:p>
    <w:p w14:paraId="170CE0EC">
      <w:pPr>
        <w:ind w:firstLine="480" w:firstLineChars="200"/>
        <w:rPr>
          <w:rFonts w:cs="Times New Roman"/>
          <w:bCs/>
          <w:lang w:bidi="zh-CN"/>
        </w:rPr>
      </w:pPr>
      <w:r>
        <w:rPr>
          <w:rFonts w:cs="Times New Roman"/>
          <w:bCs/>
          <w:lang w:bidi="zh-CN"/>
        </w:rPr>
        <w:t>引用《淮南市谢家集区农田水利专项规划》文本如下：淮南市谢家集区水资源可利用总量为15347万m</w:t>
      </w:r>
      <w:r>
        <w:rPr>
          <w:rFonts w:cs="Times New Roman"/>
          <w:bCs/>
          <w:vertAlign w:val="superscript"/>
          <w:lang w:bidi="zh-CN"/>
        </w:rPr>
        <w:t>3</w:t>
      </w:r>
      <w:r>
        <w:rPr>
          <w:rFonts w:cs="Times New Roman"/>
          <w:bCs/>
          <w:lang w:bidi="zh-CN"/>
        </w:rPr>
        <w:t>，其中，地表水可利用量为8418万m</w:t>
      </w:r>
      <w:r>
        <w:rPr>
          <w:rFonts w:cs="Times New Roman"/>
          <w:bCs/>
          <w:vertAlign w:val="superscript"/>
          <w:lang w:bidi="zh-CN"/>
        </w:rPr>
        <w:t>3</w:t>
      </w:r>
      <w:r>
        <w:rPr>
          <w:rFonts w:cs="Times New Roman"/>
          <w:bCs/>
          <w:lang w:bidi="zh-CN"/>
        </w:rPr>
        <w:t>，占水资源可利用量的54.85%；浅层地下水开采量为6543万m</w:t>
      </w:r>
      <w:r>
        <w:rPr>
          <w:rFonts w:cs="Times New Roman"/>
          <w:bCs/>
          <w:vertAlign w:val="superscript"/>
          <w:lang w:bidi="zh-CN"/>
        </w:rPr>
        <w:t>3</w:t>
      </w:r>
      <w:r>
        <w:rPr>
          <w:rFonts w:cs="Times New Roman"/>
          <w:bCs/>
          <w:lang w:bidi="zh-CN"/>
        </w:rPr>
        <w:t>，占水资源可利用量的42.63%，中深层地下水开采量为386万m</w:t>
      </w:r>
      <w:r>
        <w:rPr>
          <w:rFonts w:cs="Times New Roman"/>
          <w:bCs/>
          <w:vertAlign w:val="superscript"/>
          <w:lang w:bidi="zh-CN"/>
        </w:rPr>
        <w:t>3</w:t>
      </w:r>
      <w:r>
        <w:rPr>
          <w:rFonts w:cs="Times New Roman"/>
          <w:bCs/>
          <w:lang w:bidi="zh-CN"/>
        </w:rPr>
        <w:t>，占水资源可利用量的0.2%</w:t>
      </w:r>
      <w:r>
        <w:rPr>
          <w:rFonts w:hint="eastAsia" w:cs="Times New Roman"/>
          <w:bCs/>
          <w:lang w:bidi="zh-CN"/>
        </w:rPr>
        <w:t>。</w:t>
      </w:r>
    </w:p>
    <w:p w14:paraId="45BC9460">
      <w:pPr>
        <w:ind w:firstLine="480" w:firstLineChars="200"/>
        <w:rPr>
          <w:rFonts w:cs="Times New Roman"/>
          <w:bCs/>
          <w:lang w:bidi="zh-CN"/>
        </w:rPr>
      </w:pPr>
      <w:r>
        <w:rPr>
          <w:rFonts w:cs="Times New Roman"/>
          <w:bCs/>
          <w:lang w:bidi="zh-CN"/>
        </w:rPr>
        <w:t>2、灌区需水量分析</w:t>
      </w:r>
    </w:p>
    <w:p w14:paraId="476026D2">
      <w:pPr>
        <w:ind w:firstLine="480" w:firstLineChars="200"/>
        <w:rPr>
          <w:rFonts w:cs="Times New Roman"/>
          <w:b/>
          <w:lang w:bidi="zh-CN"/>
        </w:rPr>
      </w:pPr>
      <w:r>
        <w:rPr>
          <w:rFonts w:cs="Times New Roman"/>
          <w:bCs/>
          <w:lang w:bidi="zh-CN"/>
        </w:rPr>
        <w:t>朱集灌区内主要为农业灌溉用水，无工业用水，居民生活用水由自来水厂按需供水，因此本次分析不考虑工业和居民生活用水。根据计算，50%保证率下灌区农业年需水量为2478.86万m</w:t>
      </w:r>
      <w:r>
        <w:rPr>
          <w:rFonts w:cs="Times New Roman"/>
          <w:bCs/>
          <w:vertAlign w:val="superscript"/>
          <w:lang w:bidi="zh-CN"/>
        </w:rPr>
        <w:t>3</w:t>
      </w:r>
      <w:r>
        <w:rPr>
          <w:rFonts w:cs="Times New Roman"/>
          <w:bCs/>
          <w:lang w:bidi="zh-CN"/>
        </w:rPr>
        <w:t>，75%保证率下灌区农业年需水量为3808.41万m</w:t>
      </w:r>
      <w:r>
        <w:rPr>
          <w:rFonts w:cs="Times New Roman"/>
          <w:bCs/>
          <w:vertAlign w:val="superscript"/>
          <w:lang w:bidi="zh-CN"/>
        </w:rPr>
        <w:t>3</w:t>
      </w:r>
      <w:r>
        <w:rPr>
          <w:rFonts w:cs="Times New Roman"/>
          <w:bCs/>
          <w:lang w:bidi="zh-CN"/>
        </w:rPr>
        <w:t>，80%保证率下灌区农业年需水量为4032.34万m</w:t>
      </w:r>
      <w:r>
        <w:rPr>
          <w:rFonts w:cs="Times New Roman"/>
          <w:bCs/>
          <w:vertAlign w:val="superscript"/>
          <w:lang w:bidi="zh-CN"/>
        </w:rPr>
        <w:t>3</w:t>
      </w:r>
      <w:r>
        <w:rPr>
          <w:rFonts w:cs="Times New Roman"/>
          <w:bCs/>
          <w:lang w:bidi="zh-CN"/>
        </w:rPr>
        <w:t>。</w:t>
      </w:r>
    </w:p>
    <w:p w14:paraId="125CA8EE">
      <w:pPr>
        <w:ind w:firstLine="480" w:firstLineChars="200"/>
        <w:rPr>
          <w:rFonts w:cs="Times New Roman"/>
          <w:bCs/>
          <w:lang w:bidi="zh-CN"/>
        </w:rPr>
      </w:pPr>
      <w:r>
        <w:rPr>
          <w:rFonts w:cs="Times New Roman"/>
          <w:bCs/>
          <w:lang w:bidi="zh-CN"/>
        </w:rPr>
        <w:t>3、灌区供水量分析</w:t>
      </w:r>
    </w:p>
    <w:p w14:paraId="030F1936">
      <w:pPr>
        <w:ind w:firstLine="480" w:firstLineChars="200"/>
      </w:pPr>
      <w:r>
        <w:rPr>
          <w:rFonts w:ascii="CIDFont" w:hAnsi="CIDFont" w:eastAsia="CIDFont" w:cs="CIDFont"/>
          <w:lang w:bidi="ar"/>
        </w:rPr>
        <w:t>灌区内可供水量主要由</w:t>
      </w:r>
      <w:r>
        <w:rPr>
          <w:rFonts w:ascii="CIDFont" w:hAnsi="CIDFont" w:eastAsia="CIDFont" w:cs="CIDFont"/>
          <w:color w:val="000000"/>
          <w:lang w:bidi="ar"/>
        </w:rPr>
        <w:t>三部分组成，一是灌区蓄水工程的可供水量，二是灌区提水工程的可供水量，三是灌区地下水可供水量。朱集灌区灌溉水源主要来自瓦埠湖和塘坝，灌区现状可供水量主要由朱集一站和塘坝提供。</w:t>
      </w:r>
    </w:p>
    <w:p w14:paraId="73077CF1">
      <w:pPr>
        <w:ind w:firstLine="480" w:firstLineChars="200"/>
        <w:rPr>
          <w:rFonts w:cs="Times New Roman"/>
          <w:bCs/>
          <w:lang w:bidi="zh-CN"/>
        </w:rPr>
      </w:pPr>
      <w:r>
        <w:rPr>
          <w:rFonts w:cs="Times New Roman"/>
          <w:bCs/>
          <w:lang w:bidi="zh-CN"/>
        </w:rPr>
        <w:t>（1）</w:t>
      </w:r>
      <w:r>
        <w:rPr>
          <w:rFonts w:hint="eastAsia" w:cs="Times New Roman"/>
          <w:bCs/>
          <w:lang w:bidi="zh-CN"/>
        </w:rPr>
        <w:t>朱集一站可</w:t>
      </w:r>
      <w:r>
        <w:rPr>
          <w:rFonts w:cs="Times New Roman"/>
          <w:bCs/>
          <w:lang w:bidi="zh-CN"/>
        </w:rPr>
        <w:t>供水量</w:t>
      </w:r>
    </w:p>
    <w:p w14:paraId="15B703AB">
      <w:pPr>
        <w:ind w:firstLine="480" w:firstLineChars="200"/>
        <w:rPr>
          <w:rFonts w:cs="Times New Roman"/>
          <w:bCs/>
          <w:lang w:bidi="zh-CN"/>
        </w:rPr>
      </w:pPr>
      <w:r>
        <w:rPr>
          <w:rFonts w:cs="Times New Roman"/>
          <w:bCs/>
          <w:lang w:bidi="zh-CN"/>
        </w:rPr>
        <w:t>朱集一站取水水源为瓦埠湖。瓦埠湖位于淮河中游南岸，原名东淝河，属丘陵区河道。瓦埠湖流域面积4193km</w:t>
      </w:r>
      <w:r>
        <w:rPr>
          <w:rFonts w:cs="Times New Roman"/>
          <w:bCs/>
          <w:vertAlign w:val="superscript"/>
          <w:lang w:bidi="zh-CN"/>
        </w:rPr>
        <w:t>2</w:t>
      </w:r>
      <w:r>
        <w:rPr>
          <w:rFonts w:cs="Times New Roman"/>
          <w:bCs/>
          <w:lang w:bidi="zh-CN"/>
        </w:rPr>
        <w:t>，涉及六安、合肥、淮南三市的寿县、金安区、长丰县、肥西县、谢家集区共五个县（区），耕地338万亩。正常蓄水位18.00m时，瓦埠湖总库容2.39亿m</w:t>
      </w:r>
      <w:r>
        <w:rPr>
          <w:rFonts w:cs="Times New Roman"/>
          <w:bCs/>
          <w:vertAlign w:val="superscript"/>
          <w:lang w:bidi="zh-CN"/>
        </w:rPr>
        <w:t>3</w:t>
      </w:r>
      <w:r>
        <w:rPr>
          <w:rFonts w:cs="Times New Roman"/>
          <w:bCs/>
          <w:lang w:bidi="zh-CN"/>
        </w:rPr>
        <w:t>；枯水位16.5m，相应库容为0.7亿m</w:t>
      </w:r>
      <w:r>
        <w:rPr>
          <w:rFonts w:cs="Times New Roman"/>
          <w:bCs/>
          <w:vertAlign w:val="superscript"/>
          <w:lang w:bidi="zh-CN"/>
        </w:rPr>
        <w:t>3</w:t>
      </w:r>
      <w:r>
        <w:rPr>
          <w:rFonts w:cs="Times New Roman"/>
          <w:bCs/>
          <w:lang w:bidi="zh-CN"/>
        </w:rPr>
        <w:t>；瓦埠湖有效调节库容为1.69亿m</w:t>
      </w:r>
      <w:r>
        <w:rPr>
          <w:rFonts w:cs="Times New Roman"/>
          <w:bCs/>
          <w:vertAlign w:val="superscript"/>
          <w:lang w:bidi="zh-CN"/>
        </w:rPr>
        <w:t>3</w:t>
      </w:r>
      <w:r>
        <w:rPr>
          <w:rFonts w:cs="Times New Roman"/>
          <w:bCs/>
          <w:lang w:bidi="zh-CN"/>
        </w:rPr>
        <w:t>。根据《淮南市朱集电灌站灌区节水配套改造项目可行性研究报告》（滁州市水利勘测设计院，2006年4月），瓦埠湖流域多年平均径流深为192mm，多年平均来水量8.05亿m</w:t>
      </w:r>
      <w:r>
        <w:rPr>
          <w:rFonts w:cs="Times New Roman"/>
          <w:bCs/>
          <w:vertAlign w:val="superscript"/>
          <w:lang w:bidi="zh-CN"/>
        </w:rPr>
        <w:t>3</w:t>
      </w:r>
      <w:r>
        <w:rPr>
          <w:rFonts w:cs="Times New Roman"/>
          <w:bCs/>
          <w:lang w:bidi="zh-CN"/>
        </w:rPr>
        <w:t>，75%保证率来水量2.95亿m</w:t>
      </w:r>
      <w:r>
        <w:rPr>
          <w:rFonts w:cs="Times New Roman"/>
          <w:bCs/>
          <w:vertAlign w:val="superscript"/>
          <w:lang w:bidi="zh-CN"/>
        </w:rPr>
        <w:t>3</w:t>
      </w:r>
      <w:r>
        <w:rPr>
          <w:rFonts w:cs="Times New Roman"/>
          <w:bCs/>
          <w:lang w:bidi="zh-CN"/>
        </w:rPr>
        <w:t>。</w:t>
      </w:r>
    </w:p>
    <w:p w14:paraId="280F2926">
      <w:pPr>
        <w:ind w:firstLine="480" w:firstLineChars="200"/>
        <w:rPr>
          <w:rFonts w:cs="Times New Roman"/>
          <w:bCs/>
          <w:lang w:bidi="zh-CN"/>
        </w:rPr>
      </w:pPr>
      <w:r>
        <w:rPr>
          <w:rFonts w:cs="Times New Roman"/>
          <w:bCs/>
          <w:lang w:bidi="zh-CN"/>
        </w:rPr>
        <w:t>根据调查，朱集一站取水许可证的取水量1870.45万m</w:t>
      </w:r>
      <w:r>
        <w:rPr>
          <w:rFonts w:cs="Times New Roman"/>
          <w:bCs/>
          <w:vertAlign w:val="superscript"/>
          <w:lang w:bidi="zh-CN"/>
        </w:rPr>
        <w:t>3</w:t>
      </w:r>
      <w:r>
        <w:rPr>
          <w:rFonts w:cs="Times New Roman"/>
          <w:bCs/>
          <w:lang w:bidi="zh-CN"/>
        </w:rPr>
        <w:t>、柯湖电灌站取水许可证的取水量127万m</w:t>
      </w:r>
      <w:r>
        <w:rPr>
          <w:rFonts w:cs="Times New Roman"/>
          <w:bCs/>
          <w:vertAlign w:val="superscript"/>
          <w:lang w:bidi="zh-CN"/>
        </w:rPr>
        <w:t>3</w:t>
      </w:r>
      <w:r>
        <w:rPr>
          <w:rFonts w:cs="Times New Roman"/>
          <w:bCs/>
          <w:lang w:bidi="zh-CN"/>
        </w:rPr>
        <w:t>、老岗电灌站取水许可证的取水量228.6万m</w:t>
      </w:r>
      <w:r>
        <w:rPr>
          <w:rFonts w:cs="Times New Roman"/>
          <w:bCs/>
          <w:vertAlign w:val="superscript"/>
          <w:lang w:bidi="zh-CN"/>
        </w:rPr>
        <w:t>3</w:t>
      </w:r>
      <w:r>
        <w:rPr>
          <w:rFonts w:cs="Times New Roman"/>
          <w:bCs/>
          <w:lang w:bidi="zh-CN"/>
        </w:rPr>
        <w:t>、刘郢电灌站取水许可证的取水量142.24万m</w:t>
      </w:r>
      <w:r>
        <w:rPr>
          <w:rFonts w:cs="Times New Roman"/>
          <w:bCs/>
          <w:vertAlign w:val="superscript"/>
          <w:lang w:bidi="zh-CN"/>
        </w:rPr>
        <w:t>3</w:t>
      </w:r>
      <w:r>
        <w:rPr>
          <w:rFonts w:cs="Times New Roman"/>
          <w:bCs/>
          <w:lang w:bidi="zh-CN"/>
        </w:rPr>
        <w:t>、王集电灌站取水许可证的取水量182.88万m</w:t>
      </w:r>
      <w:r>
        <w:rPr>
          <w:rFonts w:cs="Times New Roman"/>
          <w:bCs/>
          <w:vertAlign w:val="superscript"/>
          <w:lang w:bidi="zh-CN"/>
        </w:rPr>
        <w:t>3</w:t>
      </w:r>
      <w:r>
        <w:rPr>
          <w:rFonts w:cs="Times New Roman"/>
          <w:bCs/>
          <w:lang w:bidi="zh-CN"/>
        </w:rPr>
        <w:t>、新庄电灌站取水许可证的取水量134.62万m</w:t>
      </w:r>
      <w:r>
        <w:rPr>
          <w:rFonts w:cs="Times New Roman"/>
          <w:bCs/>
          <w:vertAlign w:val="superscript"/>
          <w:lang w:bidi="zh-CN"/>
        </w:rPr>
        <w:t>3</w:t>
      </w:r>
      <w:r>
        <w:rPr>
          <w:rFonts w:cs="Times New Roman"/>
          <w:bCs/>
          <w:lang w:bidi="zh-CN"/>
        </w:rPr>
        <w:t>和徐庙电灌站取水许可证的取水量215.9万m</w:t>
      </w:r>
      <w:r>
        <w:rPr>
          <w:rFonts w:cs="Times New Roman"/>
          <w:bCs/>
          <w:vertAlign w:val="superscript"/>
          <w:lang w:bidi="zh-CN"/>
        </w:rPr>
        <w:t>3</w:t>
      </w:r>
      <w:r>
        <w:rPr>
          <w:rFonts w:cs="Times New Roman"/>
          <w:bCs/>
          <w:lang w:bidi="zh-CN"/>
        </w:rPr>
        <w:t>；7座泵站总取水许可量为2901.69万m</w:t>
      </w:r>
      <w:r>
        <w:rPr>
          <w:rFonts w:cs="Times New Roman"/>
          <w:bCs/>
          <w:vertAlign w:val="superscript"/>
          <w:lang w:bidi="zh-CN"/>
        </w:rPr>
        <w:t>3</w:t>
      </w:r>
      <w:r>
        <w:rPr>
          <w:rFonts w:cs="Times New Roman"/>
          <w:bCs/>
          <w:lang w:bidi="zh-CN"/>
        </w:rPr>
        <w:t>。</w:t>
      </w:r>
    </w:p>
    <w:p w14:paraId="1DE7175A">
      <w:pPr>
        <w:ind w:firstLine="480" w:firstLineChars="200"/>
        <w:rPr>
          <w:rFonts w:cs="Times New Roman"/>
          <w:bCs/>
          <w:lang w:bidi="zh-CN"/>
        </w:rPr>
      </w:pPr>
      <w:r>
        <w:rPr>
          <w:rFonts w:cs="Times New Roman"/>
          <w:bCs/>
          <w:lang w:bidi="zh-CN"/>
        </w:rPr>
        <w:t>（2）</w:t>
      </w:r>
      <w:r>
        <w:rPr>
          <w:rFonts w:hint="eastAsia" w:cs="Times New Roman"/>
          <w:bCs/>
          <w:lang w:bidi="zh-CN"/>
        </w:rPr>
        <w:t>塘坝</w:t>
      </w:r>
      <w:r>
        <w:rPr>
          <w:rFonts w:cs="Times New Roman"/>
          <w:bCs/>
          <w:lang w:bidi="zh-CN"/>
        </w:rPr>
        <w:t>可供水量</w:t>
      </w:r>
    </w:p>
    <w:p w14:paraId="7151753B">
      <w:pPr>
        <w:ind w:firstLine="480" w:firstLineChars="200"/>
        <w:rPr>
          <w:rFonts w:cs="Times New Roman"/>
          <w:bCs/>
          <w:lang w:bidi="zh-CN"/>
        </w:rPr>
      </w:pPr>
      <w:r>
        <w:rPr>
          <w:rFonts w:cs="Times New Roman"/>
          <w:bCs/>
          <w:lang w:bidi="zh-CN"/>
        </w:rPr>
        <w:t>经统计，现状灌区内塘坝总容量约为1069.44万m</w:t>
      </w:r>
      <w:r>
        <w:rPr>
          <w:rFonts w:cs="Times New Roman"/>
          <w:bCs/>
          <w:vertAlign w:val="superscript"/>
          <w:lang w:bidi="zh-CN"/>
        </w:rPr>
        <w:t>3</w:t>
      </w:r>
      <w:r>
        <w:rPr>
          <w:rFonts w:cs="Times New Roman"/>
          <w:bCs/>
          <w:lang w:bidi="zh-CN"/>
        </w:rPr>
        <w:t>，考虑塘坝渗漏、蒸发后，可供用于蓄水灌溉容量约为962.5万m</w:t>
      </w:r>
      <w:r>
        <w:rPr>
          <w:rFonts w:cs="Times New Roman"/>
          <w:bCs/>
          <w:vertAlign w:val="superscript"/>
          <w:lang w:bidi="zh-CN"/>
        </w:rPr>
        <w:t>3</w:t>
      </w:r>
      <w:r>
        <w:rPr>
          <w:rFonts w:cs="Times New Roman"/>
          <w:bCs/>
          <w:lang w:bidi="zh-CN"/>
        </w:rPr>
        <w:t>。根据淮南市灌区设计经验和灌区实际情况，塘坝复蓄系数50%保证率下采用1.5，75%保证率下采用1.2，80%保 证率下采用1.1，经统计，现状灌区内塘坝考虑渗漏、蒸发、复蓄系数等后，P=50%、75%、80%保证率下塘坝总容量为1443.75万m</w:t>
      </w:r>
      <w:r>
        <w:rPr>
          <w:rFonts w:cs="Times New Roman"/>
          <w:bCs/>
          <w:vertAlign w:val="superscript"/>
          <w:lang w:bidi="zh-CN"/>
        </w:rPr>
        <w:t>3</w:t>
      </w:r>
      <w:r>
        <w:rPr>
          <w:rFonts w:cs="Times New Roman"/>
          <w:bCs/>
          <w:lang w:bidi="zh-CN"/>
        </w:rPr>
        <w:t>、1155万m</w:t>
      </w:r>
      <w:r>
        <w:rPr>
          <w:rFonts w:cs="Times New Roman"/>
          <w:bCs/>
          <w:vertAlign w:val="superscript"/>
          <w:lang w:bidi="zh-CN"/>
        </w:rPr>
        <w:t>3</w:t>
      </w:r>
      <w:r>
        <w:rPr>
          <w:rFonts w:cs="Times New Roman"/>
          <w:bCs/>
          <w:lang w:bidi="zh-CN"/>
        </w:rPr>
        <w:t>、1058.75万m</w:t>
      </w:r>
      <w:r>
        <w:rPr>
          <w:rFonts w:cs="Times New Roman"/>
          <w:bCs/>
          <w:vertAlign w:val="superscript"/>
          <w:lang w:bidi="zh-CN"/>
        </w:rPr>
        <w:t>3</w:t>
      </w:r>
      <w:r>
        <w:rPr>
          <w:rFonts w:cs="Times New Roman"/>
          <w:bCs/>
          <w:lang w:bidi="zh-CN"/>
        </w:rPr>
        <w:t>。</w:t>
      </w:r>
    </w:p>
    <w:p w14:paraId="7C3C6DA6">
      <w:pPr>
        <w:ind w:firstLine="480" w:firstLineChars="200"/>
        <w:rPr>
          <w:rFonts w:cs="Times New Roman"/>
          <w:bCs/>
          <w:lang w:bidi="zh-CN"/>
        </w:rPr>
      </w:pPr>
      <w:r>
        <w:rPr>
          <w:rFonts w:cs="Times New Roman"/>
          <w:bCs/>
          <w:lang w:bidi="zh-CN"/>
        </w:rPr>
        <w:t>综上所述，朱集灌区水源P=50%、75%、80%保证率下，可供水量分别为4345.44万m</w:t>
      </w:r>
      <w:r>
        <w:rPr>
          <w:rFonts w:cs="Times New Roman"/>
          <w:bCs/>
          <w:vertAlign w:val="superscript"/>
          <w:lang w:bidi="zh-CN"/>
        </w:rPr>
        <w:t>3</w:t>
      </w:r>
      <w:r>
        <w:rPr>
          <w:rFonts w:cs="Times New Roman"/>
          <w:bCs/>
          <w:lang w:bidi="zh-CN"/>
        </w:rPr>
        <w:t>、4056.69万m</w:t>
      </w:r>
      <w:r>
        <w:rPr>
          <w:rFonts w:cs="Times New Roman"/>
          <w:bCs/>
          <w:vertAlign w:val="superscript"/>
          <w:lang w:bidi="zh-CN"/>
        </w:rPr>
        <w:t>3</w:t>
      </w:r>
      <w:r>
        <w:rPr>
          <w:rFonts w:cs="Times New Roman"/>
          <w:bCs/>
          <w:lang w:bidi="zh-CN"/>
        </w:rPr>
        <w:t>、3960.44万m</w:t>
      </w:r>
      <w:r>
        <w:rPr>
          <w:rFonts w:cs="Times New Roman"/>
          <w:bCs/>
          <w:vertAlign w:val="superscript"/>
          <w:lang w:bidi="zh-CN"/>
        </w:rPr>
        <w:t>3</w:t>
      </w:r>
      <w:r>
        <w:rPr>
          <w:rFonts w:cs="Times New Roman"/>
          <w:bCs/>
          <w:lang w:bidi="zh-CN"/>
        </w:rPr>
        <w:t>。</w:t>
      </w:r>
    </w:p>
    <w:p w14:paraId="739FB909">
      <w:pPr>
        <w:pStyle w:val="29"/>
        <w:bidi w:val="0"/>
      </w:pPr>
      <w:r>
        <w:rPr>
          <w:rFonts w:hint="eastAsia"/>
        </w:rPr>
        <w:t>表</w:t>
      </w:r>
      <w:r>
        <w:rPr>
          <w:rFonts w:hint="eastAsia"/>
          <w:lang w:eastAsia="zh-CN"/>
        </w:rPr>
        <w:t>4.2</w:t>
      </w:r>
      <w:r>
        <w:rPr>
          <w:rFonts w:hint="eastAsia"/>
        </w:rPr>
        <w:t>-7</w:t>
      </w:r>
      <w:r>
        <w:rPr>
          <w:rFonts w:hint="eastAsia"/>
          <w:lang w:val="en-US" w:eastAsia="zh-CN"/>
        </w:rPr>
        <w:t xml:space="preserve">  </w:t>
      </w:r>
      <w:r>
        <w:rPr>
          <w:rFonts w:hint="eastAsia"/>
        </w:rPr>
        <w:t>灌区现状水资源供需平衡分析表</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0"/>
        <w:gridCol w:w="899"/>
        <w:gridCol w:w="899"/>
        <w:gridCol w:w="899"/>
        <w:gridCol w:w="899"/>
        <w:gridCol w:w="748"/>
        <w:gridCol w:w="748"/>
        <w:gridCol w:w="748"/>
        <w:gridCol w:w="899"/>
        <w:gridCol w:w="899"/>
        <w:gridCol w:w="849"/>
      </w:tblGrid>
      <w:tr w14:paraId="33EB14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5" w:type="dxa"/>
            <w:vMerge w:val="restart"/>
            <w:vAlign w:val="center"/>
          </w:tcPr>
          <w:p w14:paraId="4FB07BFD">
            <w:pPr>
              <w:pStyle w:val="28"/>
              <w:bidi w:val="0"/>
            </w:pPr>
            <w:r>
              <w:t>灌溉设计保证率</w:t>
            </w:r>
          </w:p>
        </w:tc>
        <w:tc>
          <w:tcPr>
            <w:tcW w:w="2658" w:type="dxa"/>
            <w:gridSpan w:val="3"/>
            <w:vAlign w:val="center"/>
          </w:tcPr>
          <w:p w14:paraId="1E0D92E1">
            <w:pPr>
              <w:pStyle w:val="28"/>
              <w:bidi w:val="0"/>
            </w:pPr>
            <w:r>
              <w:t>可供水量（万m</w:t>
            </w:r>
            <w:r>
              <w:rPr>
                <w:vertAlign w:val="superscript"/>
              </w:rPr>
              <w:t>3</w:t>
            </w:r>
            <w:r>
              <w:t>）</w:t>
            </w:r>
          </w:p>
        </w:tc>
        <w:tc>
          <w:tcPr>
            <w:tcW w:w="4430" w:type="dxa"/>
            <w:gridSpan w:val="5"/>
            <w:vAlign w:val="center"/>
          </w:tcPr>
          <w:p w14:paraId="1969590B">
            <w:pPr>
              <w:pStyle w:val="28"/>
              <w:bidi w:val="0"/>
            </w:pPr>
            <w:r>
              <w:t>需水量（万m</w:t>
            </w:r>
            <w:r>
              <w:rPr>
                <w:vertAlign w:val="superscript"/>
              </w:rPr>
              <w:t>3</w:t>
            </w:r>
            <w:r>
              <w:t>）</w:t>
            </w:r>
          </w:p>
        </w:tc>
        <w:tc>
          <w:tcPr>
            <w:tcW w:w="1772" w:type="dxa"/>
            <w:gridSpan w:val="2"/>
            <w:vAlign w:val="center"/>
          </w:tcPr>
          <w:p w14:paraId="0C1FB5D8">
            <w:pPr>
              <w:pStyle w:val="28"/>
              <w:bidi w:val="0"/>
            </w:pPr>
            <w:r>
              <w:t>供需平衡（万m</w:t>
            </w:r>
            <w:r>
              <w:rPr>
                <w:vertAlign w:val="superscript"/>
              </w:rPr>
              <w:t>3</w:t>
            </w:r>
            <w:r>
              <w:t>）</w:t>
            </w:r>
          </w:p>
        </w:tc>
      </w:tr>
      <w:tr w14:paraId="0DC84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5" w:type="dxa"/>
            <w:vMerge w:val="continue"/>
            <w:vAlign w:val="center"/>
          </w:tcPr>
          <w:p w14:paraId="68500EF4">
            <w:pPr>
              <w:pStyle w:val="28"/>
              <w:bidi w:val="0"/>
            </w:pPr>
          </w:p>
        </w:tc>
        <w:tc>
          <w:tcPr>
            <w:tcW w:w="886" w:type="dxa"/>
            <w:vAlign w:val="center"/>
          </w:tcPr>
          <w:p w14:paraId="2BC7D887">
            <w:pPr>
              <w:pStyle w:val="28"/>
              <w:bidi w:val="0"/>
            </w:pPr>
            <w:r>
              <w:t>瓦埠湖</w:t>
            </w:r>
          </w:p>
        </w:tc>
        <w:tc>
          <w:tcPr>
            <w:tcW w:w="886" w:type="dxa"/>
            <w:vAlign w:val="center"/>
          </w:tcPr>
          <w:p w14:paraId="5494A36C">
            <w:pPr>
              <w:pStyle w:val="28"/>
              <w:bidi w:val="0"/>
            </w:pPr>
            <w:r>
              <w:t>塘坝</w:t>
            </w:r>
          </w:p>
        </w:tc>
        <w:tc>
          <w:tcPr>
            <w:tcW w:w="886" w:type="dxa"/>
            <w:vAlign w:val="center"/>
          </w:tcPr>
          <w:p w14:paraId="2C228B8B">
            <w:pPr>
              <w:pStyle w:val="28"/>
              <w:bidi w:val="0"/>
            </w:pPr>
            <w:r>
              <w:t>合计</w:t>
            </w:r>
          </w:p>
        </w:tc>
        <w:tc>
          <w:tcPr>
            <w:tcW w:w="886" w:type="dxa"/>
            <w:vAlign w:val="center"/>
          </w:tcPr>
          <w:p w14:paraId="534D0F0E">
            <w:pPr>
              <w:pStyle w:val="28"/>
              <w:bidi w:val="0"/>
            </w:pPr>
            <w:r>
              <w:t>农业</w:t>
            </w:r>
          </w:p>
        </w:tc>
        <w:tc>
          <w:tcPr>
            <w:tcW w:w="886" w:type="dxa"/>
            <w:vAlign w:val="center"/>
          </w:tcPr>
          <w:p w14:paraId="5A6F7D1A">
            <w:pPr>
              <w:pStyle w:val="28"/>
              <w:bidi w:val="0"/>
            </w:pPr>
            <w:r>
              <w:t>工业</w:t>
            </w:r>
          </w:p>
        </w:tc>
        <w:tc>
          <w:tcPr>
            <w:tcW w:w="886" w:type="dxa"/>
            <w:vAlign w:val="center"/>
          </w:tcPr>
          <w:p w14:paraId="5A0A6275">
            <w:pPr>
              <w:pStyle w:val="28"/>
              <w:bidi w:val="0"/>
            </w:pPr>
            <w:r>
              <w:t>生活</w:t>
            </w:r>
          </w:p>
        </w:tc>
        <w:tc>
          <w:tcPr>
            <w:tcW w:w="886" w:type="dxa"/>
            <w:vAlign w:val="center"/>
          </w:tcPr>
          <w:p w14:paraId="6F093682">
            <w:pPr>
              <w:pStyle w:val="28"/>
              <w:bidi w:val="0"/>
            </w:pPr>
            <w:r>
              <w:t>生态</w:t>
            </w:r>
          </w:p>
        </w:tc>
        <w:tc>
          <w:tcPr>
            <w:tcW w:w="886" w:type="dxa"/>
            <w:vAlign w:val="center"/>
          </w:tcPr>
          <w:p w14:paraId="1A4B9CB9">
            <w:pPr>
              <w:pStyle w:val="28"/>
              <w:bidi w:val="0"/>
            </w:pPr>
            <w:r>
              <w:t>合计</w:t>
            </w:r>
          </w:p>
        </w:tc>
        <w:tc>
          <w:tcPr>
            <w:tcW w:w="886" w:type="dxa"/>
            <w:vAlign w:val="center"/>
          </w:tcPr>
          <w:p w14:paraId="096F9EA0">
            <w:pPr>
              <w:pStyle w:val="28"/>
              <w:bidi w:val="0"/>
            </w:pPr>
            <w:r>
              <w:t>余</w:t>
            </w:r>
          </w:p>
        </w:tc>
        <w:tc>
          <w:tcPr>
            <w:tcW w:w="886" w:type="dxa"/>
            <w:vAlign w:val="center"/>
          </w:tcPr>
          <w:p w14:paraId="78AD6CF8">
            <w:pPr>
              <w:pStyle w:val="28"/>
              <w:bidi w:val="0"/>
            </w:pPr>
            <w:r>
              <w:t>缺</w:t>
            </w:r>
          </w:p>
        </w:tc>
      </w:tr>
      <w:tr w14:paraId="116E8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5" w:type="dxa"/>
            <w:vAlign w:val="center"/>
          </w:tcPr>
          <w:p w14:paraId="7F66C2A2">
            <w:pPr>
              <w:pStyle w:val="28"/>
              <w:bidi w:val="0"/>
            </w:pPr>
            <w:r>
              <w:rPr>
                <w:rFonts w:hint="eastAsia"/>
              </w:rPr>
              <w:t>50%</w:t>
            </w:r>
          </w:p>
        </w:tc>
        <w:tc>
          <w:tcPr>
            <w:tcW w:w="886" w:type="dxa"/>
            <w:vAlign w:val="center"/>
          </w:tcPr>
          <w:p w14:paraId="14AB0A0C">
            <w:pPr>
              <w:pStyle w:val="28"/>
              <w:bidi w:val="0"/>
            </w:pPr>
            <w:r>
              <w:rPr>
                <w:rFonts w:hint="eastAsia"/>
              </w:rPr>
              <w:t>2901.69</w:t>
            </w:r>
          </w:p>
        </w:tc>
        <w:tc>
          <w:tcPr>
            <w:tcW w:w="886" w:type="dxa"/>
            <w:vAlign w:val="center"/>
          </w:tcPr>
          <w:p w14:paraId="6B75AE97">
            <w:pPr>
              <w:pStyle w:val="28"/>
              <w:bidi w:val="0"/>
            </w:pPr>
            <w:r>
              <w:rPr>
                <w:rFonts w:hint="eastAsia"/>
              </w:rPr>
              <w:t>1443.75</w:t>
            </w:r>
          </w:p>
        </w:tc>
        <w:tc>
          <w:tcPr>
            <w:tcW w:w="886" w:type="dxa"/>
            <w:vAlign w:val="center"/>
          </w:tcPr>
          <w:p w14:paraId="14FD7A05">
            <w:pPr>
              <w:pStyle w:val="28"/>
              <w:bidi w:val="0"/>
            </w:pPr>
            <w:r>
              <w:rPr>
                <w:rFonts w:hint="eastAsia"/>
              </w:rPr>
              <w:t>4345.44</w:t>
            </w:r>
          </w:p>
        </w:tc>
        <w:tc>
          <w:tcPr>
            <w:tcW w:w="886" w:type="dxa"/>
            <w:vAlign w:val="center"/>
          </w:tcPr>
          <w:p w14:paraId="5CA1DBB7">
            <w:pPr>
              <w:pStyle w:val="28"/>
              <w:bidi w:val="0"/>
            </w:pPr>
            <w:r>
              <w:rPr>
                <w:rFonts w:hint="eastAsia"/>
              </w:rPr>
              <w:t>2478.86</w:t>
            </w:r>
          </w:p>
        </w:tc>
        <w:tc>
          <w:tcPr>
            <w:tcW w:w="886" w:type="dxa"/>
            <w:vAlign w:val="center"/>
          </w:tcPr>
          <w:p w14:paraId="03DE2E0E">
            <w:pPr>
              <w:pStyle w:val="28"/>
              <w:bidi w:val="0"/>
            </w:pPr>
            <w:r>
              <w:rPr>
                <w:rFonts w:hint="eastAsia"/>
              </w:rPr>
              <w:t>/</w:t>
            </w:r>
          </w:p>
        </w:tc>
        <w:tc>
          <w:tcPr>
            <w:tcW w:w="886" w:type="dxa"/>
            <w:vAlign w:val="center"/>
          </w:tcPr>
          <w:p w14:paraId="466EEC7D">
            <w:pPr>
              <w:pStyle w:val="28"/>
              <w:bidi w:val="0"/>
            </w:pPr>
            <w:r>
              <w:rPr>
                <w:rFonts w:hint="eastAsia"/>
              </w:rPr>
              <w:t>/</w:t>
            </w:r>
          </w:p>
        </w:tc>
        <w:tc>
          <w:tcPr>
            <w:tcW w:w="886" w:type="dxa"/>
            <w:vAlign w:val="center"/>
          </w:tcPr>
          <w:p w14:paraId="0B7DC5CB">
            <w:pPr>
              <w:pStyle w:val="28"/>
              <w:bidi w:val="0"/>
            </w:pPr>
            <w:r>
              <w:rPr>
                <w:rFonts w:hint="eastAsia"/>
              </w:rPr>
              <w:t>/</w:t>
            </w:r>
          </w:p>
        </w:tc>
        <w:tc>
          <w:tcPr>
            <w:tcW w:w="886" w:type="dxa"/>
            <w:vAlign w:val="center"/>
          </w:tcPr>
          <w:p w14:paraId="31835ACF">
            <w:pPr>
              <w:pStyle w:val="28"/>
              <w:bidi w:val="0"/>
            </w:pPr>
            <w:r>
              <w:rPr>
                <w:rFonts w:hint="eastAsia"/>
              </w:rPr>
              <w:t>2478.86</w:t>
            </w:r>
          </w:p>
        </w:tc>
        <w:tc>
          <w:tcPr>
            <w:tcW w:w="886" w:type="dxa"/>
            <w:vAlign w:val="center"/>
          </w:tcPr>
          <w:p w14:paraId="4254E77F">
            <w:pPr>
              <w:pStyle w:val="28"/>
              <w:bidi w:val="0"/>
            </w:pPr>
            <w:r>
              <w:rPr>
                <w:rFonts w:hint="eastAsia"/>
              </w:rPr>
              <w:t>1866.58</w:t>
            </w:r>
          </w:p>
        </w:tc>
        <w:tc>
          <w:tcPr>
            <w:tcW w:w="886" w:type="dxa"/>
            <w:vAlign w:val="center"/>
          </w:tcPr>
          <w:p w14:paraId="4E0DBD72">
            <w:pPr>
              <w:pStyle w:val="28"/>
              <w:bidi w:val="0"/>
            </w:pPr>
            <w:r>
              <w:rPr>
                <w:rFonts w:hint="eastAsia"/>
              </w:rPr>
              <w:t>/</w:t>
            </w:r>
          </w:p>
        </w:tc>
      </w:tr>
      <w:tr w14:paraId="78B79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5" w:type="dxa"/>
            <w:vAlign w:val="center"/>
          </w:tcPr>
          <w:p w14:paraId="11DF1293">
            <w:pPr>
              <w:pStyle w:val="28"/>
              <w:bidi w:val="0"/>
            </w:pPr>
            <w:r>
              <w:rPr>
                <w:rFonts w:hint="eastAsia"/>
              </w:rPr>
              <w:t>75%</w:t>
            </w:r>
          </w:p>
        </w:tc>
        <w:tc>
          <w:tcPr>
            <w:tcW w:w="886" w:type="dxa"/>
            <w:vAlign w:val="center"/>
          </w:tcPr>
          <w:p w14:paraId="152A4A06">
            <w:pPr>
              <w:pStyle w:val="28"/>
              <w:bidi w:val="0"/>
            </w:pPr>
            <w:r>
              <w:rPr>
                <w:rFonts w:hint="eastAsia"/>
              </w:rPr>
              <w:t>2901.69</w:t>
            </w:r>
          </w:p>
        </w:tc>
        <w:tc>
          <w:tcPr>
            <w:tcW w:w="886" w:type="dxa"/>
            <w:vAlign w:val="center"/>
          </w:tcPr>
          <w:p w14:paraId="5C196A3A">
            <w:pPr>
              <w:pStyle w:val="28"/>
              <w:bidi w:val="0"/>
            </w:pPr>
            <w:r>
              <w:rPr>
                <w:rFonts w:hint="eastAsia"/>
              </w:rPr>
              <w:t>1155.00</w:t>
            </w:r>
          </w:p>
        </w:tc>
        <w:tc>
          <w:tcPr>
            <w:tcW w:w="886" w:type="dxa"/>
            <w:vAlign w:val="center"/>
          </w:tcPr>
          <w:p w14:paraId="70F8C2DC">
            <w:pPr>
              <w:pStyle w:val="28"/>
              <w:bidi w:val="0"/>
            </w:pPr>
            <w:r>
              <w:rPr>
                <w:rFonts w:hint="eastAsia"/>
              </w:rPr>
              <w:t>4056.69</w:t>
            </w:r>
          </w:p>
        </w:tc>
        <w:tc>
          <w:tcPr>
            <w:tcW w:w="886" w:type="dxa"/>
            <w:vAlign w:val="center"/>
          </w:tcPr>
          <w:p w14:paraId="019BCB7B">
            <w:pPr>
              <w:pStyle w:val="28"/>
              <w:bidi w:val="0"/>
            </w:pPr>
            <w:r>
              <w:rPr>
                <w:rFonts w:hint="eastAsia"/>
              </w:rPr>
              <w:t>3808.41</w:t>
            </w:r>
          </w:p>
        </w:tc>
        <w:tc>
          <w:tcPr>
            <w:tcW w:w="886" w:type="dxa"/>
            <w:vAlign w:val="center"/>
          </w:tcPr>
          <w:p w14:paraId="735BF39A">
            <w:pPr>
              <w:pStyle w:val="28"/>
              <w:bidi w:val="0"/>
            </w:pPr>
            <w:r>
              <w:rPr>
                <w:rFonts w:hint="eastAsia"/>
              </w:rPr>
              <w:t>/</w:t>
            </w:r>
          </w:p>
        </w:tc>
        <w:tc>
          <w:tcPr>
            <w:tcW w:w="886" w:type="dxa"/>
            <w:vAlign w:val="center"/>
          </w:tcPr>
          <w:p w14:paraId="0A202D83">
            <w:pPr>
              <w:pStyle w:val="28"/>
              <w:bidi w:val="0"/>
            </w:pPr>
            <w:r>
              <w:rPr>
                <w:rFonts w:hint="eastAsia"/>
              </w:rPr>
              <w:t>/</w:t>
            </w:r>
          </w:p>
        </w:tc>
        <w:tc>
          <w:tcPr>
            <w:tcW w:w="886" w:type="dxa"/>
            <w:vAlign w:val="center"/>
          </w:tcPr>
          <w:p w14:paraId="623557EB">
            <w:pPr>
              <w:pStyle w:val="28"/>
              <w:bidi w:val="0"/>
            </w:pPr>
            <w:r>
              <w:rPr>
                <w:rFonts w:hint="eastAsia"/>
              </w:rPr>
              <w:t>/</w:t>
            </w:r>
          </w:p>
        </w:tc>
        <w:tc>
          <w:tcPr>
            <w:tcW w:w="886" w:type="dxa"/>
            <w:vAlign w:val="center"/>
          </w:tcPr>
          <w:p w14:paraId="6E2D6150">
            <w:pPr>
              <w:pStyle w:val="28"/>
              <w:bidi w:val="0"/>
            </w:pPr>
            <w:r>
              <w:rPr>
                <w:rFonts w:hint="eastAsia"/>
              </w:rPr>
              <w:t>3808.41</w:t>
            </w:r>
          </w:p>
        </w:tc>
        <w:tc>
          <w:tcPr>
            <w:tcW w:w="886" w:type="dxa"/>
            <w:vAlign w:val="center"/>
          </w:tcPr>
          <w:p w14:paraId="1840AED3">
            <w:pPr>
              <w:pStyle w:val="28"/>
              <w:bidi w:val="0"/>
            </w:pPr>
            <w:r>
              <w:rPr>
                <w:rFonts w:hint="eastAsia"/>
              </w:rPr>
              <w:t>248.28</w:t>
            </w:r>
          </w:p>
        </w:tc>
        <w:tc>
          <w:tcPr>
            <w:tcW w:w="886" w:type="dxa"/>
            <w:vAlign w:val="center"/>
          </w:tcPr>
          <w:p w14:paraId="2DC7E9D6">
            <w:pPr>
              <w:pStyle w:val="28"/>
              <w:bidi w:val="0"/>
            </w:pPr>
            <w:r>
              <w:rPr>
                <w:rFonts w:hint="eastAsia"/>
              </w:rPr>
              <w:t>/</w:t>
            </w:r>
          </w:p>
        </w:tc>
      </w:tr>
      <w:tr w14:paraId="045F9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5" w:type="dxa"/>
            <w:vAlign w:val="center"/>
          </w:tcPr>
          <w:p w14:paraId="4C519951">
            <w:pPr>
              <w:pStyle w:val="28"/>
              <w:bidi w:val="0"/>
            </w:pPr>
            <w:r>
              <w:rPr>
                <w:rFonts w:hint="eastAsia"/>
              </w:rPr>
              <w:t>80%</w:t>
            </w:r>
          </w:p>
        </w:tc>
        <w:tc>
          <w:tcPr>
            <w:tcW w:w="886" w:type="dxa"/>
            <w:vAlign w:val="center"/>
          </w:tcPr>
          <w:p w14:paraId="3EBA56A3">
            <w:pPr>
              <w:pStyle w:val="28"/>
              <w:bidi w:val="0"/>
            </w:pPr>
            <w:r>
              <w:rPr>
                <w:rFonts w:hint="eastAsia"/>
              </w:rPr>
              <w:t>2901.69</w:t>
            </w:r>
          </w:p>
        </w:tc>
        <w:tc>
          <w:tcPr>
            <w:tcW w:w="886" w:type="dxa"/>
            <w:vAlign w:val="center"/>
          </w:tcPr>
          <w:p w14:paraId="6E48C536">
            <w:pPr>
              <w:pStyle w:val="28"/>
              <w:bidi w:val="0"/>
            </w:pPr>
            <w:r>
              <w:rPr>
                <w:rFonts w:hint="eastAsia"/>
              </w:rPr>
              <w:t>1058.75</w:t>
            </w:r>
          </w:p>
        </w:tc>
        <w:tc>
          <w:tcPr>
            <w:tcW w:w="886" w:type="dxa"/>
            <w:vAlign w:val="center"/>
          </w:tcPr>
          <w:p w14:paraId="05127C9E">
            <w:pPr>
              <w:pStyle w:val="28"/>
              <w:bidi w:val="0"/>
            </w:pPr>
            <w:r>
              <w:rPr>
                <w:rFonts w:hint="eastAsia"/>
              </w:rPr>
              <w:t>3960.44</w:t>
            </w:r>
          </w:p>
        </w:tc>
        <w:tc>
          <w:tcPr>
            <w:tcW w:w="886" w:type="dxa"/>
            <w:vAlign w:val="center"/>
          </w:tcPr>
          <w:p w14:paraId="5B87FFC1">
            <w:pPr>
              <w:pStyle w:val="28"/>
              <w:bidi w:val="0"/>
            </w:pPr>
            <w:r>
              <w:rPr>
                <w:rFonts w:hint="eastAsia"/>
              </w:rPr>
              <w:t>4032.34</w:t>
            </w:r>
          </w:p>
        </w:tc>
        <w:tc>
          <w:tcPr>
            <w:tcW w:w="886" w:type="dxa"/>
            <w:vAlign w:val="center"/>
          </w:tcPr>
          <w:p w14:paraId="7069A05F">
            <w:pPr>
              <w:pStyle w:val="28"/>
              <w:bidi w:val="0"/>
            </w:pPr>
            <w:r>
              <w:rPr>
                <w:rFonts w:hint="eastAsia"/>
              </w:rPr>
              <w:t>/</w:t>
            </w:r>
          </w:p>
        </w:tc>
        <w:tc>
          <w:tcPr>
            <w:tcW w:w="886" w:type="dxa"/>
            <w:vAlign w:val="center"/>
          </w:tcPr>
          <w:p w14:paraId="73BD83BA">
            <w:pPr>
              <w:pStyle w:val="28"/>
              <w:bidi w:val="0"/>
            </w:pPr>
            <w:r>
              <w:rPr>
                <w:rFonts w:hint="eastAsia"/>
              </w:rPr>
              <w:t>/</w:t>
            </w:r>
          </w:p>
        </w:tc>
        <w:tc>
          <w:tcPr>
            <w:tcW w:w="886" w:type="dxa"/>
            <w:vAlign w:val="center"/>
          </w:tcPr>
          <w:p w14:paraId="0B6A3633">
            <w:pPr>
              <w:pStyle w:val="28"/>
              <w:bidi w:val="0"/>
            </w:pPr>
            <w:r>
              <w:rPr>
                <w:rFonts w:hint="eastAsia"/>
              </w:rPr>
              <w:t>/</w:t>
            </w:r>
          </w:p>
        </w:tc>
        <w:tc>
          <w:tcPr>
            <w:tcW w:w="886" w:type="dxa"/>
            <w:vAlign w:val="center"/>
          </w:tcPr>
          <w:p w14:paraId="4C70DC90">
            <w:pPr>
              <w:pStyle w:val="28"/>
              <w:bidi w:val="0"/>
            </w:pPr>
            <w:r>
              <w:rPr>
                <w:rFonts w:hint="eastAsia"/>
              </w:rPr>
              <w:t>4032.34</w:t>
            </w:r>
          </w:p>
        </w:tc>
        <w:tc>
          <w:tcPr>
            <w:tcW w:w="886" w:type="dxa"/>
            <w:vAlign w:val="center"/>
          </w:tcPr>
          <w:p w14:paraId="18DFF8AD">
            <w:pPr>
              <w:pStyle w:val="28"/>
              <w:bidi w:val="0"/>
            </w:pPr>
            <w:r>
              <w:rPr>
                <w:rFonts w:hint="eastAsia"/>
              </w:rPr>
              <w:t>/</w:t>
            </w:r>
          </w:p>
        </w:tc>
        <w:tc>
          <w:tcPr>
            <w:tcW w:w="886" w:type="dxa"/>
            <w:vAlign w:val="center"/>
          </w:tcPr>
          <w:p w14:paraId="0DC325B1">
            <w:pPr>
              <w:pStyle w:val="28"/>
              <w:bidi w:val="0"/>
            </w:pPr>
            <w:r>
              <w:rPr>
                <w:rFonts w:hint="eastAsia"/>
              </w:rPr>
              <w:t>-71.90</w:t>
            </w:r>
          </w:p>
        </w:tc>
      </w:tr>
    </w:tbl>
    <w:p w14:paraId="7BBE4A54">
      <w:pPr>
        <w:ind w:firstLine="480" w:firstLineChars="200"/>
        <w:rPr>
          <w:rFonts w:cs="Times New Roman"/>
          <w:bCs/>
          <w:lang w:bidi="zh-CN"/>
        </w:rPr>
      </w:pPr>
    </w:p>
    <w:p w14:paraId="51CDFC6B">
      <w:pPr>
        <w:ind w:firstLine="482" w:firstLineChars="200"/>
        <w:rPr>
          <w:rFonts w:cs="Times New Roman"/>
          <w:b/>
          <w:color w:val="0000FF"/>
          <w:lang w:bidi="zh-CN"/>
        </w:rPr>
        <w:sectPr>
          <w:pgSz w:w="11905" w:h="16838"/>
          <w:pgMar w:top="1417" w:right="1417" w:bottom="1417" w:left="1417" w:header="850" w:footer="850" w:gutter="0"/>
          <w:pgNumType w:fmt="decimal"/>
          <w:cols w:space="0" w:num="1"/>
          <w:rtlGutter w:val="0"/>
          <w:docGrid w:linePitch="0" w:charSpace="0"/>
        </w:sectPr>
      </w:pPr>
    </w:p>
    <w:p w14:paraId="5BB763C3">
      <w:pPr>
        <w:pStyle w:val="5"/>
        <w:rPr>
          <w:rFonts w:cs="Times New Roman"/>
        </w:rPr>
      </w:pPr>
      <w:r>
        <w:rPr>
          <w:rFonts w:cs="Times New Roman"/>
        </w:rPr>
        <w:t>4.2.2.4 补充监测</w:t>
      </w:r>
    </w:p>
    <w:p w14:paraId="69D5217E">
      <w:pPr>
        <w:ind w:firstLine="480" w:firstLineChars="200"/>
        <w:rPr>
          <w:rFonts w:cs="Times New Roman"/>
          <w:bCs/>
          <w:lang w:bidi="zh-CN"/>
        </w:rPr>
      </w:pPr>
      <w:r>
        <w:rPr>
          <w:rFonts w:cs="Times New Roman"/>
          <w:bCs/>
          <w:lang w:bidi="zh-CN"/>
        </w:rPr>
        <w:t>由于常规监测断面较少，不能较好</w:t>
      </w:r>
      <w:r>
        <w:rPr>
          <w:rFonts w:hint="eastAsia" w:cs="Times New Roman"/>
          <w:bCs/>
          <w:lang w:bidi="zh-CN"/>
        </w:rPr>
        <w:t>反映</w:t>
      </w:r>
      <w:r>
        <w:rPr>
          <w:rFonts w:cs="Times New Roman"/>
          <w:bCs/>
          <w:lang w:bidi="zh-CN"/>
        </w:rPr>
        <w:t>区域地表水环境质量状况，</w:t>
      </w:r>
      <w:r>
        <w:rPr>
          <w:rFonts w:hint="eastAsia" w:cs="Times New Roman"/>
          <w:bCs/>
          <w:lang w:bidi="zh-CN"/>
        </w:rPr>
        <w:t>本次评价</w:t>
      </w:r>
      <w:r>
        <w:rPr>
          <w:rFonts w:cs="Times New Roman"/>
          <w:bCs/>
          <w:lang w:bidi="zh-CN"/>
        </w:rPr>
        <w:t>根据建设项目所处地理位置及现场踏勘调研情况，</w:t>
      </w:r>
      <w:r>
        <w:rPr>
          <w:rFonts w:hint="eastAsia" w:cs="Times New Roman"/>
          <w:bCs/>
          <w:lang w:bidi="zh-CN"/>
        </w:rPr>
        <w:t>对本项目涉及所有渠道的典型断面进行补充监测，并在部分控制断面监测点增设监测点位，</w:t>
      </w:r>
      <w:r>
        <w:rPr>
          <w:rFonts w:cs="Times New Roman"/>
          <w:bCs/>
          <w:lang w:bidi="zh-CN"/>
        </w:rPr>
        <w:t>补充监测断面</w:t>
      </w:r>
      <w:r>
        <w:rPr>
          <w:rFonts w:hint="eastAsia" w:cs="Times New Roman"/>
          <w:bCs/>
          <w:lang w:bidi="zh-CN"/>
        </w:rPr>
        <w:t>数量为9</w:t>
      </w:r>
      <w:r>
        <w:rPr>
          <w:rFonts w:cs="Times New Roman"/>
          <w:bCs/>
          <w:lang w:bidi="zh-CN"/>
        </w:rPr>
        <w:t>个，监测断面设置见</w:t>
      </w:r>
      <w:r>
        <w:rPr>
          <w:rFonts w:hint="eastAsia" w:cs="Times New Roman"/>
          <w:bCs/>
          <w:lang w:bidi="zh-CN"/>
        </w:rPr>
        <w:t>下</w:t>
      </w:r>
      <w:r>
        <w:rPr>
          <w:rFonts w:cs="Times New Roman"/>
          <w:bCs/>
          <w:lang w:bidi="zh-CN"/>
        </w:rPr>
        <w:t>表。</w:t>
      </w:r>
    </w:p>
    <w:p w14:paraId="62B2BE46">
      <w:pPr>
        <w:pStyle w:val="29"/>
        <w:bidi w:val="0"/>
      </w:pPr>
      <w:r>
        <w:t>表</w:t>
      </w:r>
      <w:r>
        <w:rPr>
          <w:rFonts w:hint="eastAsia"/>
        </w:rPr>
        <w:t>4.2</w:t>
      </w:r>
      <w:r>
        <w:t>-</w:t>
      </w:r>
      <w:r>
        <w:rPr>
          <w:rFonts w:hint="eastAsia"/>
        </w:rPr>
        <w:t>8</w:t>
      </w:r>
      <w:r>
        <w:t xml:space="preserve">  本项目区地表水环境质量现状监测布点一览表</w:t>
      </w:r>
    </w:p>
    <w:tbl>
      <w:tblPr>
        <w:tblStyle w:val="16"/>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8"/>
        <w:gridCol w:w="1255"/>
        <w:gridCol w:w="1566"/>
        <w:gridCol w:w="1951"/>
        <w:gridCol w:w="1514"/>
        <w:gridCol w:w="1494"/>
        <w:gridCol w:w="750"/>
      </w:tblGrid>
      <w:tr w14:paraId="10A07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3" w:type="pct"/>
            <w:vMerge w:val="restart"/>
            <w:vAlign w:val="center"/>
          </w:tcPr>
          <w:p w14:paraId="3972CA84">
            <w:pPr>
              <w:pStyle w:val="28"/>
              <w:bidi w:val="0"/>
            </w:pPr>
            <w:r>
              <w:t>编号</w:t>
            </w:r>
          </w:p>
        </w:tc>
        <w:tc>
          <w:tcPr>
            <w:tcW w:w="676" w:type="pct"/>
            <w:vMerge w:val="restart"/>
            <w:vAlign w:val="center"/>
          </w:tcPr>
          <w:p w14:paraId="5BE59501">
            <w:pPr>
              <w:pStyle w:val="28"/>
              <w:bidi w:val="0"/>
            </w:pPr>
            <w:r>
              <w:t>河流名称</w:t>
            </w:r>
          </w:p>
        </w:tc>
        <w:tc>
          <w:tcPr>
            <w:tcW w:w="844" w:type="pct"/>
            <w:vMerge w:val="restart"/>
            <w:vAlign w:val="center"/>
          </w:tcPr>
          <w:p w14:paraId="7E030E61">
            <w:pPr>
              <w:pStyle w:val="28"/>
              <w:bidi w:val="0"/>
            </w:pPr>
            <w:r>
              <w:t>监测断面</w:t>
            </w:r>
          </w:p>
        </w:tc>
        <w:tc>
          <w:tcPr>
            <w:tcW w:w="1051" w:type="pct"/>
            <w:vMerge w:val="restart"/>
            <w:vAlign w:val="center"/>
          </w:tcPr>
          <w:p w14:paraId="3FB32EEB">
            <w:pPr>
              <w:pStyle w:val="28"/>
              <w:bidi w:val="0"/>
            </w:pPr>
            <w:r>
              <w:t>点位描述</w:t>
            </w:r>
          </w:p>
        </w:tc>
        <w:tc>
          <w:tcPr>
            <w:tcW w:w="1621" w:type="pct"/>
            <w:gridSpan w:val="2"/>
            <w:vAlign w:val="center"/>
          </w:tcPr>
          <w:p w14:paraId="701C7BD5">
            <w:pPr>
              <w:pStyle w:val="28"/>
              <w:bidi w:val="0"/>
            </w:pPr>
            <w:r>
              <w:t>地理坐标</w:t>
            </w:r>
          </w:p>
        </w:tc>
        <w:tc>
          <w:tcPr>
            <w:tcW w:w="404" w:type="pct"/>
            <w:vMerge w:val="restart"/>
            <w:vAlign w:val="center"/>
          </w:tcPr>
          <w:p w14:paraId="0789E710">
            <w:pPr>
              <w:pStyle w:val="28"/>
              <w:bidi w:val="0"/>
            </w:pPr>
            <w:r>
              <w:rPr>
                <w:rFonts w:hint="eastAsia"/>
              </w:rPr>
              <w:t>水质</w:t>
            </w:r>
          </w:p>
        </w:tc>
      </w:tr>
      <w:tr w14:paraId="75B3B0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403" w:type="pct"/>
            <w:vMerge w:val="continue"/>
            <w:vAlign w:val="center"/>
          </w:tcPr>
          <w:p w14:paraId="134F5F6C">
            <w:pPr>
              <w:pStyle w:val="28"/>
              <w:bidi w:val="0"/>
            </w:pPr>
          </w:p>
        </w:tc>
        <w:tc>
          <w:tcPr>
            <w:tcW w:w="676" w:type="pct"/>
            <w:vMerge w:val="continue"/>
            <w:vAlign w:val="center"/>
          </w:tcPr>
          <w:p w14:paraId="3430A685">
            <w:pPr>
              <w:pStyle w:val="28"/>
              <w:bidi w:val="0"/>
            </w:pPr>
          </w:p>
        </w:tc>
        <w:tc>
          <w:tcPr>
            <w:tcW w:w="844" w:type="pct"/>
            <w:vMerge w:val="continue"/>
            <w:vAlign w:val="center"/>
          </w:tcPr>
          <w:p w14:paraId="53013AE3">
            <w:pPr>
              <w:pStyle w:val="28"/>
              <w:bidi w:val="0"/>
            </w:pPr>
          </w:p>
        </w:tc>
        <w:tc>
          <w:tcPr>
            <w:tcW w:w="1051" w:type="pct"/>
            <w:vMerge w:val="continue"/>
            <w:vAlign w:val="center"/>
          </w:tcPr>
          <w:p w14:paraId="0ED8514D">
            <w:pPr>
              <w:pStyle w:val="28"/>
              <w:bidi w:val="0"/>
            </w:pPr>
          </w:p>
        </w:tc>
        <w:tc>
          <w:tcPr>
            <w:tcW w:w="816" w:type="pct"/>
            <w:vAlign w:val="center"/>
          </w:tcPr>
          <w:p w14:paraId="2190F625">
            <w:pPr>
              <w:pStyle w:val="28"/>
              <w:bidi w:val="0"/>
            </w:pPr>
            <w:r>
              <w:t>经度</w:t>
            </w:r>
          </w:p>
        </w:tc>
        <w:tc>
          <w:tcPr>
            <w:tcW w:w="804" w:type="pct"/>
            <w:vAlign w:val="center"/>
          </w:tcPr>
          <w:p w14:paraId="5E3779E6">
            <w:pPr>
              <w:pStyle w:val="28"/>
              <w:bidi w:val="0"/>
            </w:pPr>
            <w:r>
              <w:t>纬度</w:t>
            </w:r>
          </w:p>
        </w:tc>
        <w:tc>
          <w:tcPr>
            <w:tcW w:w="404" w:type="pct"/>
            <w:vMerge w:val="continue"/>
            <w:vAlign w:val="center"/>
          </w:tcPr>
          <w:p w14:paraId="7FEA4313">
            <w:pPr>
              <w:pStyle w:val="28"/>
              <w:bidi w:val="0"/>
            </w:pPr>
          </w:p>
        </w:tc>
      </w:tr>
      <w:tr w14:paraId="6C6A5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3" w:type="pct"/>
            <w:vAlign w:val="center"/>
          </w:tcPr>
          <w:p w14:paraId="53B0993D">
            <w:pPr>
              <w:pStyle w:val="28"/>
              <w:bidi w:val="0"/>
            </w:pPr>
            <w:r>
              <w:t>W1</w:t>
            </w:r>
          </w:p>
        </w:tc>
        <w:tc>
          <w:tcPr>
            <w:tcW w:w="676" w:type="pct"/>
            <w:vAlign w:val="center"/>
          </w:tcPr>
          <w:p w14:paraId="105316BE">
            <w:pPr>
              <w:pStyle w:val="28"/>
              <w:bidi w:val="0"/>
            </w:pPr>
            <w:r>
              <w:rPr>
                <w:rFonts w:hint="eastAsia"/>
              </w:rPr>
              <w:t>一站引水渠</w:t>
            </w:r>
          </w:p>
        </w:tc>
        <w:tc>
          <w:tcPr>
            <w:tcW w:w="844" w:type="pct"/>
            <w:vAlign w:val="center"/>
          </w:tcPr>
          <w:p w14:paraId="0184BE22">
            <w:pPr>
              <w:pStyle w:val="28"/>
              <w:bidi w:val="0"/>
            </w:pPr>
            <w:r>
              <w:rPr>
                <w:rFonts w:hint="eastAsia"/>
              </w:rPr>
              <w:t>一站引水渠上游</w:t>
            </w:r>
          </w:p>
        </w:tc>
        <w:tc>
          <w:tcPr>
            <w:tcW w:w="1051" w:type="pct"/>
            <w:vAlign w:val="center"/>
          </w:tcPr>
          <w:p w14:paraId="34355E39">
            <w:pPr>
              <w:pStyle w:val="28"/>
              <w:bidi w:val="0"/>
            </w:pPr>
            <w:r>
              <w:rPr>
                <w:rFonts w:hint="eastAsia"/>
              </w:rPr>
              <w:t>渠道代表断面水质背景</w:t>
            </w:r>
          </w:p>
        </w:tc>
        <w:tc>
          <w:tcPr>
            <w:tcW w:w="1589" w:type="dxa"/>
            <w:vAlign w:val="center"/>
          </w:tcPr>
          <w:p w14:paraId="7D6A571F">
            <w:pPr>
              <w:pStyle w:val="28"/>
              <w:bidi w:val="0"/>
            </w:pPr>
            <w:r>
              <w:t>116.93810262</w:t>
            </w:r>
          </w:p>
        </w:tc>
        <w:tc>
          <w:tcPr>
            <w:tcW w:w="1568" w:type="dxa"/>
            <w:vAlign w:val="center"/>
          </w:tcPr>
          <w:p w14:paraId="7645F959">
            <w:pPr>
              <w:pStyle w:val="28"/>
              <w:bidi w:val="0"/>
            </w:pPr>
            <w:r>
              <w:t>32.48738424</w:t>
            </w:r>
          </w:p>
        </w:tc>
        <w:tc>
          <w:tcPr>
            <w:tcW w:w="404" w:type="pct"/>
            <w:vAlign w:val="center"/>
          </w:tcPr>
          <w:p w14:paraId="639B9EB5">
            <w:pPr>
              <w:pStyle w:val="28"/>
              <w:bidi w:val="0"/>
            </w:pPr>
            <w:r>
              <w:rPr>
                <w:rFonts w:hint="eastAsia"/>
              </w:rPr>
              <w:t>Ⅲ</w:t>
            </w:r>
          </w:p>
        </w:tc>
      </w:tr>
      <w:tr w14:paraId="1800D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3" w:type="pct"/>
            <w:vAlign w:val="center"/>
          </w:tcPr>
          <w:p w14:paraId="1D6211BD">
            <w:pPr>
              <w:pStyle w:val="28"/>
              <w:bidi w:val="0"/>
            </w:pPr>
            <w:r>
              <w:t>W2</w:t>
            </w:r>
          </w:p>
        </w:tc>
        <w:tc>
          <w:tcPr>
            <w:tcW w:w="676" w:type="pct"/>
            <w:vAlign w:val="center"/>
          </w:tcPr>
          <w:p w14:paraId="2569EBB5">
            <w:pPr>
              <w:pStyle w:val="28"/>
              <w:bidi w:val="0"/>
            </w:pPr>
            <w:r>
              <w:rPr>
                <w:rFonts w:hint="eastAsia"/>
              </w:rPr>
              <w:t>一北干渠</w:t>
            </w:r>
          </w:p>
        </w:tc>
        <w:tc>
          <w:tcPr>
            <w:tcW w:w="844" w:type="pct"/>
            <w:vAlign w:val="center"/>
          </w:tcPr>
          <w:p w14:paraId="3E32C302">
            <w:pPr>
              <w:pStyle w:val="28"/>
              <w:bidi w:val="0"/>
            </w:pPr>
            <w:r>
              <w:rPr>
                <w:rFonts w:hint="eastAsia"/>
              </w:rPr>
              <w:t>一北干渠下游</w:t>
            </w:r>
          </w:p>
        </w:tc>
        <w:tc>
          <w:tcPr>
            <w:tcW w:w="1051" w:type="pct"/>
            <w:vAlign w:val="center"/>
          </w:tcPr>
          <w:p w14:paraId="670A8BBD">
            <w:pPr>
              <w:pStyle w:val="28"/>
              <w:bidi w:val="0"/>
            </w:pPr>
            <w:r>
              <w:rPr>
                <w:rFonts w:hint="eastAsia"/>
              </w:rPr>
              <w:t>渠道代表断面水质背景</w:t>
            </w:r>
          </w:p>
        </w:tc>
        <w:tc>
          <w:tcPr>
            <w:tcW w:w="1589" w:type="dxa"/>
            <w:vAlign w:val="center"/>
          </w:tcPr>
          <w:p w14:paraId="0DCFC18D">
            <w:pPr>
              <w:pStyle w:val="28"/>
              <w:bidi w:val="0"/>
            </w:pPr>
            <w:r>
              <w:t>116.95609078</w:t>
            </w:r>
          </w:p>
        </w:tc>
        <w:tc>
          <w:tcPr>
            <w:tcW w:w="1568" w:type="dxa"/>
            <w:vAlign w:val="center"/>
          </w:tcPr>
          <w:p w14:paraId="73954247">
            <w:pPr>
              <w:pStyle w:val="28"/>
              <w:bidi w:val="0"/>
            </w:pPr>
            <w:r>
              <w:t>32.51705469</w:t>
            </w:r>
          </w:p>
        </w:tc>
        <w:tc>
          <w:tcPr>
            <w:tcW w:w="404" w:type="pct"/>
            <w:vAlign w:val="center"/>
          </w:tcPr>
          <w:p w14:paraId="3D5B928A">
            <w:pPr>
              <w:pStyle w:val="28"/>
              <w:bidi w:val="0"/>
            </w:pPr>
            <w:r>
              <w:rPr>
                <w:rFonts w:hint="eastAsia"/>
              </w:rPr>
              <w:t>Ⅲ</w:t>
            </w:r>
          </w:p>
        </w:tc>
      </w:tr>
      <w:tr w14:paraId="2D7E3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3" w:type="pct"/>
            <w:vAlign w:val="center"/>
          </w:tcPr>
          <w:p w14:paraId="592B4D3C">
            <w:pPr>
              <w:pStyle w:val="28"/>
              <w:bidi w:val="0"/>
            </w:pPr>
            <w:r>
              <w:t>W3</w:t>
            </w:r>
          </w:p>
        </w:tc>
        <w:tc>
          <w:tcPr>
            <w:tcW w:w="676" w:type="pct"/>
            <w:vAlign w:val="center"/>
          </w:tcPr>
          <w:p w14:paraId="0CB472B0">
            <w:pPr>
              <w:pStyle w:val="28"/>
              <w:bidi w:val="0"/>
            </w:pPr>
            <w:r>
              <w:rPr>
                <w:rFonts w:hint="eastAsia"/>
              </w:rPr>
              <w:t>二东干渠</w:t>
            </w:r>
          </w:p>
        </w:tc>
        <w:tc>
          <w:tcPr>
            <w:tcW w:w="844" w:type="pct"/>
            <w:vAlign w:val="center"/>
          </w:tcPr>
          <w:p w14:paraId="401391B1">
            <w:pPr>
              <w:pStyle w:val="28"/>
              <w:bidi w:val="0"/>
            </w:pPr>
            <w:r>
              <w:rPr>
                <w:rFonts w:hint="eastAsia"/>
              </w:rPr>
              <w:t>二东干渠下游</w:t>
            </w:r>
          </w:p>
        </w:tc>
        <w:tc>
          <w:tcPr>
            <w:tcW w:w="1051" w:type="pct"/>
            <w:vAlign w:val="center"/>
          </w:tcPr>
          <w:p w14:paraId="2816E8CF">
            <w:pPr>
              <w:pStyle w:val="28"/>
              <w:bidi w:val="0"/>
            </w:pPr>
            <w:r>
              <w:rPr>
                <w:rFonts w:hint="eastAsia"/>
              </w:rPr>
              <w:t>渠道代表断面水质背景</w:t>
            </w:r>
          </w:p>
        </w:tc>
        <w:tc>
          <w:tcPr>
            <w:tcW w:w="1589" w:type="dxa"/>
            <w:vAlign w:val="center"/>
          </w:tcPr>
          <w:p w14:paraId="0A2B6409">
            <w:pPr>
              <w:pStyle w:val="28"/>
              <w:bidi w:val="0"/>
            </w:pPr>
            <w:r>
              <w:t>116.98863020</w:t>
            </w:r>
          </w:p>
        </w:tc>
        <w:tc>
          <w:tcPr>
            <w:tcW w:w="1568" w:type="dxa"/>
            <w:vAlign w:val="center"/>
          </w:tcPr>
          <w:p w14:paraId="3AF52575">
            <w:pPr>
              <w:pStyle w:val="28"/>
              <w:bidi w:val="0"/>
            </w:pPr>
            <w:r>
              <w:t>32.52632208</w:t>
            </w:r>
          </w:p>
        </w:tc>
        <w:tc>
          <w:tcPr>
            <w:tcW w:w="404" w:type="pct"/>
            <w:vAlign w:val="center"/>
          </w:tcPr>
          <w:p w14:paraId="7985B20A">
            <w:pPr>
              <w:pStyle w:val="28"/>
              <w:bidi w:val="0"/>
            </w:pPr>
            <w:r>
              <w:rPr>
                <w:rFonts w:hint="eastAsia"/>
              </w:rPr>
              <w:t>Ⅲ</w:t>
            </w:r>
          </w:p>
        </w:tc>
      </w:tr>
      <w:tr w14:paraId="46170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3" w:type="pct"/>
            <w:vAlign w:val="center"/>
          </w:tcPr>
          <w:p w14:paraId="30D660DC">
            <w:pPr>
              <w:pStyle w:val="28"/>
              <w:bidi w:val="0"/>
            </w:pPr>
            <w:r>
              <w:t>W4</w:t>
            </w:r>
          </w:p>
        </w:tc>
        <w:tc>
          <w:tcPr>
            <w:tcW w:w="676" w:type="pct"/>
            <w:vAlign w:val="center"/>
          </w:tcPr>
          <w:p w14:paraId="7472E9CC">
            <w:pPr>
              <w:pStyle w:val="28"/>
              <w:bidi w:val="0"/>
            </w:pPr>
            <w:r>
              <w:rPr>
                <w:rFonts w:hint="eastAsia"/>
              </w:rPr>
              <w:t>二北干渠</w:t>
            </w:r>
          </w:p>
        </w:tc>
        <w:tc>
          <w:tcPr>
            <w:tcW w:w="844" w:type="pct"/>
            <w:vAlign w:val="center"/>
          </w:tcPr>
          <w:p w14:paraId="5106685C">
            <w:pPr>
              <w:pStyle w:val="28"/>
              <w:bidi w:val="0"/>
            </w:pPr>
            <w:r>
              <w:rPr>
                <w:rFonts w:hint="eastAsia"/>
              </w:rPr>
              <w:t>二北干渠下游</w:t>
            </w:r>
          </w:p>
        </w:tc>
        <w:tc>
          <w:tcPr>
            <w:tcW w:w="1051" w:type="pct"/>
            <w:vAlign w:val="center"/>
          </w:tcPr>
          <w:p w14:paraId="7D705C47">
            <w:pPr>
              <w:pStyle w:val="28"/>
              <w:bidi w:val="0"/>
            </w:pPr>
            <w:r>
              <w:rPr>
                <w:rFonts w:hint="eastAsia"/>
              </w:rPr>
              <w:t>渠道代表断面水质背景</w:t>
            </w:r>
          </w:p>
        </w:tc>
        <w:tc>
          <w:tcPr>
            <w:tcW w:w="1589" w:type="dxa"/>
            <w:vAlign w:val="center"/>
          </w:tcPr>
          <w:p w14:paraId="4BC0CE8E">
            <w:pPr>
              <w:pStyle w:val="28"/>
              <w:bidi w:val="0"/>
            </w:pPr>
            <w:r>
              <w:t>116.96333583</w:t>
            </w:r>
          </w:p>
        </w:tc>
        <w:tc>
          <w:tcPr>
            <w:tcW w:w="1568" w:type="dxa"/>
            <w:vAlign w:val="center"/>
          </w:tcPr>
          <w:p w14:paraId="27B64942">
            <w:pPr>
              <w:pStyle w:val="28"/>
              <w:bidi w:val="0"/>
            </w:pPr>
            <w:r>
              <w:t>32.53532725</w:t>
            </w:r>
          </w:p>
        </w:tc>
        <w:tc>
          <w:tcPr>
            <w:tcW w:w="404" w:type="pct"/>
            <w:vAlign w:val="center"/>
          </w:tcPr>
          <w:p w14:paraId="0CC3CBD1">
            <w:pPr>
              <w:pStyle w:val="28"/>
              <w:bidi w:val="0"/>
            </w:pPr>
            <w:r>
              <w:rPr>
                <w:rFonts w:hint="eastAsia"/>
              </w:rPr>
              <w:t>Ⅲ</w:t>
            </w:r>
          </w:p>
        </w:tc>
      </w:tr>
      <w:tr w14:paraId="0644B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3" w:type="pct"/>
            <w:vAlign w:val="center"/>
          </w:tcPr>
          <w:p w14:paraId="059F03ED">
            <w:pPr>
              <w:pStyle w:val="28"/>
              <w:bidi w:val="0"/>
            </w:pPr>
            <w:r>
              <w:t>W5</w:t>
            </w:r>
          </w:p>
        </w:tc>
        <w:tc>
          <w:tcPr>
            <w:tcW w:w="676" w:type="pct"/>
            <w:vAlign w:val="center"/>
          </w:tcPr>
          <w:p w14:paraId="0C346196">
            <w:pPr>
              <w:pStyle w:val="28"/>
              <w:bidi w:val="0"/>
            </w:pPr>
            <w:r>
              <w:rPr>
                <w:rFonts w:hint="eastAsia"/>
              </w:rPr>
              <w:t>三北干渠</w:t>
            </w:r>
          </w:p>
        </w:tc>
        <w:tc>
          <w:tcPr>
            <w:tcW w:w="844" w:type="pct"/>
            <w:vAlign w:val="center"/>
          </w:tcPr>
          <w:p w14:paraId="335E5623">
            <w:pPr>
              <w:pStyle w:val="28"/>
              <w:bidi w:val="0"/>
            </w:pPr>
            <w:r>
              <w:rPr>
                <w:rFonts w:hint="eastAsia"/>
              </w:rPr>
              <w:t>三北干渠下游</w:t>
            </w:r>
          </w:p>
        </w:tc>
        <w:tc>
          <w:tcPr>
            <w:tcW w:w="1051" w:type="pct"/>
            <w:vAlign w:val="center"/>
          </w:tcPr>
          <w:p w14:paraId="1F89E31C">
            <w:pPr>
              <w:pStyle w:val="28"/>
              <w:bidi w:val="0"/>
            </w:pPr>
            <w:r>
              <w:rPr>
                <w:rFonts w:hint="eastAsia"/>
              </w:rPr>
              <w:t>渠道代表断面水质背景</w:t>
            </w:r>
          </w:p>
        </w:tc>
        <w:tc>
          <w:tcPr>
            <w:tcW w:w="1589" w:type="dxa"/>
            <w:vAlign w:val="center"/>
          </w:tcPr>
          <w:p w14:paraId="0DAD8F0F">
            <w:pPr>
              <w:pStyle w:val="28"/>
              <w:bidi w:val="0"/>
            </w:pPr>
            <w:r>
              <w:t>116.97472731</w:t>
            </w:r>
          </w:p>
        </w:tc>
        <w:tc>
          <w:tcPr>
            <w:tcW w:w="1568" w:type="dxa"/>
            <w:vAlign w:val="center"/>
          </w:tcPr>
          <w:p w14:paraId="1E6F5373">
            <w:pPr>
              <w:pStyle w:val="28"/>
              <w:bidi w:val="0"/>
            </w:pPr>
            <w:r>
              <w:t>32.54175410</w:t>
            </w:r>
          </w:p>
        </w:tc>
        <w:tc>
          <w:tcPr>
            <w:tcW w:w="404" w:type="pct"/>
            <w:vAlign w:val="center"/>
          </w:tcPr>
          <w:p w14:paraId="0DA54D96">
            <w:pPr>
              <w:pStyle w:val="28"/>
              <w:bidi w:val="0"/>
            </w:pPr>
            <w:r>
              <w:rPr>
                <w:rFonts w:hint="eastAsia"/>
              </w:rPr>
              <w:t>Ⅲ</w:t>
            </w:r>
          </w:p>
        </w:tc>
      </w:tr>
      <w:tr w14:paraId="7D6FC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3" w:type="pct"/>
            <w:vAlign w:val="center"/>
          </w:tcPr>
          <w:p w14:paraId="4CF2B73D">
            <w:pPr>
              <w:pStyle w:val="28"/>
              <w:bidi w:val="0"/>
            </w:pPr>
            <w:r>
              <w:t>W6</w:t>
            </w:r>
          </w:p>
        </w:tc>
        <w:tc>
          <w:tcPr>
            <w:tcW w:w="676" w:type="pct"/>
            <w:vAlign w:val="center"/>
          </w:tcPr>
          <w:p w14:paraId="44E65107">
            <w:pPr>
              <w:pStyle w:val="28"/>
              <w:bidi w:val="0"/>
            </w:pPr>
            <w:r>
              <w:rPr>
                <w:rFonts w:hint="eastAsia"/>
              </w:rPr>
              <w:t>一东干渠</w:t>
            </w:r>
          </w:p>
        </w:tc>
        <w:tc>
          <w:tcPr>
            <w:tcW w:w="844" w:type="pct"/>
            <w:vAlign w:val="center"/>
          </w:tcPr>
          <w:p w14:paraId="65754790">
            <w:pPr>
              <w:pStyle w:val="28"/>
              <w:bidi w:val="0"/>
            </w:pPr>
            <w:r>
              <w:rPr>
                <w:rFonts w:hint="eastAsia"/>
              </w:rPr>
              <w:t>一东干渠下游</w:t>
            </w:r>
          </w:p>
        </w:tc>
        <w:tc>
          <w:tcPr>
            <w:tcW w:w="1051" w:type="pct"/>
            <w:vAlign w:val="center"/>
          </w:tcPr>
          <w:p w14:paraId="272E18BA">
            <w:pPr>
              <w:pStyle w:val="28"/>
              <w:bidi w:val="0"/>
            </w:pPr>
            <w:r>
              <w:rPr>
                <w:rFonts w:hint="eastAsia"/>
              </w:rPr>
              <w:t>渠道代表断面水质背景</w:t>
            </w:r>
          </w:p>
        </w:tc>
        <w:tc>
          <w:tcPr>
            <w:tcW w:w="1589" w:type="dxa"/>
            <w:vAlign w:val="center"/>
          </w:tcPr>
          <w:p w14:paraId="49C77653">
            <w:pPr>
              <w:pStyle w:val="28"/>
              <w:bidi w:val="0"/>
            </w:pPr>
            <w:r>
              <w:t>116.97008728</w:t>
            </w:r>
          </w:p>
        </w:tc>
        <w:tc>
          <w:tcPr>
            <w:tcW w:w="1568" w:type="dxa"/>
            <w:vAlign w:val="center"/>
          </w:tcPr>
          <w:p w14:paraId="3911E0CB">
            <w:pPr>
              <w:pStyle w:val="28"/>
              <w:bidi w:val="0"/>
            </w:pPr>
            <w:r>
              <w:t>32.43394510</w:t>
            </w:r>
          </w:p>
        </w:tc>
        <w:tc>
          <w:tcPr>
            <w:tcW w:w="404" w:type="pct"/>
            <w:vAlign w:val="center"/>
          </w:tcPr>
          <w:p w14:paraId="085250CA">
            <w:pPr>
              <w:pStyle w:val="28"/>
              <w:bidi w:val="0"/>
            </w:pPr>
            <w:r>
              <w:rPr>
                <w:rFonts w:hint="eastAsia"/>
              </w:rPr>
              <w:t>Ⅲ</w:t>
            </w:r>
          </w:p>
        </w:tc>
      </w:tr>
      <w:tr w14:paraId="65DB1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3" w:type="pct"/>
            <w:vAlign w:val="center"/>
          </w:tcPr>
          <w:p w14:paraId="1F4160F8">
            <w:pPr>
              <w:pStyle w:val="28"/>
              <w:bidi w:val="0"/>
            </w:pPr>
            <w:r>
              <w:t>W7</w:t>
            </w:r>
          </w:p>
        </w:tc>
        <w:tc>
          <w:tcPr>
            <w:tcW w:w="676" w:type="pct"/>
            <w:vAlign w:val="center"/>
          </w:tcPr>
          <w:p w14:paraId="0EEC62BB">
            <w:pPr>
              <w:pStyle w:val="28"/>
              <w:bidi w:val="0"/>
            </w:pPr>
            <w:r>
              <w:rPr>
                <w:rFonts w:hint="eastAsia"/>
              </w:rPr>
              <w:t>染坊支渠</w:t>
            </w:r>
          </w:p>
        </w:tc>
        <w:tc>
          <w:tcPr>
            <w:tcW w:w="844" w:type="pct"/>
            <w:vAlign w:val="center"/>
          </w:tcPr>
          <w:p w14:paraId="25158CD3">
            <w:pPr>
              <w:pStyle w:val="28"/>
              <w:bidi w:val="0"/>
            </w:pPr>
            <w:r>
              <w:rPr>
                <w:rFonts w:hint="eastAsia"/>
              </w:rPr>
              <w:t>染坊支渠下游</w:t>
            </w:r>
          </w:p>
        </w:tc>
        <w:tc>
          <w:tcPr>
            <w:tcW w:w="1051" w:type="pct"/>
            <w:vAlign w:val="center"/>
          </w:tcPr>
          <w:p w14:paraId="6EAB2829">
            <w:pPr>
              <w:pStyle w:val="28"/>
              <w:bidi w:val="0"/>
            </w:pPr>
            <w:r>
              <w:rPr>
                <w:rFonts w:hint="eastAsia"/>
              </w:rPr>
              <w:t>渠道代表断面水质背景</w:t>
            </w:r>
          </w:p>
        </w:tc>
        <w:tc>
          <w:tcPr>
            <w:tcW w:w="1589" w:type="dxa"/>
            <w:vAlign w:val="center"/>
          </w:tcPr>
          <w:p w14:paraId="1E1FC27A">
            <w:pPr>
              <w:pStyle w:val="28"/>
              <w:bidi w:val="0"/>
            </w:pPr>
            <w:r>
              <w:t>116.96214187</w:t>
            </w:r>
          </w:p>
        </w:tc>
        <w:tc>
          <w:tcPr>
            <w:tcW w:w="1568" w:type="dxa"/>
            <w:vAlign w:val="center"/>
          </w:tcPr>
          <w:p w14:paraId="2675D0F4">
            <w:pPr>
              <w:pStyle w:val="28"/>
              <w:bidi w:val="0"/>
            </w:pPr>
            <w:r>
              <w:t>32.45690319</w:t>
            </w:r>
          </w:p>
        </w:tc>
        <w:tc>
          <w:tcPr>
            <w:tcW w:w="404" w:type="pct"/>
            <w:vAlign w:val="center"/>
          </w:tcPr>
          <w:p w14:paraId="0A04065C">
            <w:pPr>
              <w:pStyle w:val="28"/>
              <w:bidi w:val="0"/>
            </w:pPr>
            <w:r>
              <w:rPr>
                <w:rFonts w:hint="eastAsia"/>
              </w:rPr>
              <w:t>Ⅲ</w:t>
            </w:r>
          </w:p>
        </w:tc>
      </w:tr>
      <w:tr w14:paraId="1A4F03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3" w:type="pct"/>
            <w:vAlign w:val="center"/>
          </w:tcPr>
          <w:p w14:paraId="0DE86909">
            <w:pPr>
              <w:pStyle w:val="28"/>
              <w:bidi w:val="0"/>
            </w:pPr>
            <w:r>
              <w:t>W8</w:t>
            </w:r>
          </w:p>
        </w:tc>
        <w:tc>
          <w:tcPr>
            <w:tcW w:w="676" w:type="pct"/>
            <w:vAlign w:val="center"/>
          </w:tcPr>
          <w:p w14:paraId="153D4C4F">
            <w:pPr>
              <w:pStyle w:val="28"/>
              <w:bidi w:val="0"/>
            </w:pPr>
            <w:r>
              <w:rPr>
                <w:rFonts w:hint="eastAsia"/>
              </w:rPr>
              <w:t>方庄支渠</w:t>
            </w:r>
          </w:p>
        </w:tc>
        <w:tc>
          <w:tcPr>
            <w:tcW w:w="844" w:type="pct"/>
            <w:vAlign w:val="center"/>
          </w:tcPr>
          <w:p w14:paraId="5B91A305">
            <w:pPr>
              <w:pStyle w:val="28"/>
              <w:bidi w:val="0"/>
            </w:pPr>
            <w:r>
              <w:rPr>
                <w:rFonts w:hint="eastAsia"/>
              </w:rPr>
              <w:t>方庄支渠下游</w:t>
            </w:r>
          </w:p>
        </w:tc>
        <w:tc>
          <w:tcPr>
            <w:tcW w:w="1051" w:type="pct"/>
            <w:vAlign w:val="center"/>
          </w:tcPr>
          <w:p w14:paraId="24820E1F">
            <w:pPr>
              <w:pStyle w:val="28"/>
              <w:bidi w:val="0"/>
            </w:pPr>
            <w:r>
              <w:rPr>
                <w:rFonts w:hint="eastAsia"/>
              </w:rPr>
              <w:t>渠道代表断面水质背景</w:t>
            </w:r>
          </w:p>
        </w:tc>
        <w:tc>
          <w:tcPr>
            <w:tcW w:w="1589" w:type="dxa"/>
            <w:vAlign w:val="center"/>
          </w:tcPr>
          <w:p w14:paraId="23A1418F">
            <w:pPr>
              <w:pStyle w:val="28"/>
              <w:bidi w:val="0"/>
            </w:pPr>
            <w:r>
              <w:t>116.98259861</w:t>
            </w:r>
          </w:p>
        </w:tc>
        <w:tc>
          <w:tcPr>
            <w:tcW w:w="1568" w:type="dxa"/>
            <w:vAlign w:val="center"/>
          </w:tcPr>
          <w:p w14:paraId="0EE3FB0D">
            <w:pPr>
              <w:pStyle w:val="28"/>
              <w:bidi w:val="0"/>
            </w:pPr>
            <w:r>
              <w:t>32.47098426</w:t>
            </w:r>
          </w:p>
        </w:tc>
        <w:tc>
          <w:tcPr>
            <w:tcW w:w="404" w:type="pct"/>
            <w:vAlign w:val="center"/>
          </w:tcPr>
          <w:p w14:paraId="6916F50E">
            <w:pPr>
              <w:pStyle w:val="28"/>
              <w:bidi w:val="0"/>
            </w:pPr>
            <w:r>
              <w:rPr>
                <w:rFonts w:hint="eastAsia"/>
              </w:rPr>
              <w:t>Ⅲ</w:t>
            </w:r>
          </w:p>
        </w:tc>
      </w:tr>
      <w:tr w14:paraId="343EA3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03" w:type="pct"/>
            <w:vAlign w:val="center"/>
          </w:tcPr>
          <w:p w14:paraId="0B96A2B1">
            <w:pPr>
              <w:pStyle w:val="28"/>
              <w:bidi w:val="0"/>
            </w:pPr>
            <w:r>
              <w:t>W9</w:t>
            </w:r>
          </w:p>
        </w:tc>
        <w:tc>
          <w:tcPr>
            <w:tcW w:w="676" w:type="pct"/>
            <w:vAlign w:val="center"/>
          </w:tcPr>
          <w:p w14:paraId="6A004733">
            <w:pPr>
              <w:pStyle w:val="28"/>
              <w:bidi w:val="0"/>
            </w:pPr>
            <w:r>
              <w:rPr>
                <w:rFonts w:hint="eastAsia"/>
              </w:rPr>
              <w:t>桂岗支渠</w:t>
            </w:r>
          </w:p>
        </w:tc>
        <w:tc>
          <w:tcPr>
            <w:tcW w:w="844" w:type="pct"/>
            <w:vAlign w:val="center"/>
          </w:tcPr>
          <w:p w14:paraId="37A11F96">
            <w:pPr>
              <w:pStyle w:val="28"/>
              <w:bidi w:val="0"/>
            </w:pPr>
            <w:r>
              <w:rPr>
                <w:rFonts w:hint="eastAsia"/>
              </w:rPr>
              <w:t>桂岗支渠下游</w:t>
            </w:r>
          </w:p>
        </w:tc>
        <w:tc>
          <w:tcPr>
            <w:tcW w:w="1051" w:type="pct"/>
            <w:vAlign w:val="center"/>
          </w:tcPr>
          <w:p w14:paraId="62982AC1">
            <w:pPr>
              <w:pStyle w:val="28"/>
              <w:bidi w:val="0"/>
            </w:pPr>
            <w:r>
              <w:rPr>
                <w:rFonts w:hint="eastAsia"/>
              </w:rPr>
              <w:t>渠道代表断面水质背景</w:t>
            </w:r>
          </w:p>
        </w:tc>
        <w:tc>
          <w:tcPr>
            <w:tcW w:w="1589" w:type="dxa"/>
            <w:vAlign w:val="center"/>
          </w:tcPr>
          <w:p w14:paraId="28707751">
            <w:pPr>
              <w:pStyle w:val="28"/>
              <w:bidi w:val="0"/>
            </w:pPr>
            <w:r>
              <w:t>116.92808936</w:t>
            </w:r>
          </w:p>
        </w:tc>
        <w:tc>
          <w:tcPr>
            <w:tcW w:w="1568" w:type="dxa"/>
            <w:vAlign w:val="center"/>
          </w:tcPr>
          <w:p w14:paraId="415CD91C">
            <w:pPr>
              <w:pStyle w:val="28"/>
              <w:bidi w:val="0"/>
            </w:pPr>
            <w:r>
              <w:t>32.42648392</w:t>
            </w:r>
          </w:p>
        </w:tc>
        <w:tc>
          <w:tcPr>
            <w:tcW w:w="404" w:type="pct"/>
            <w:vAlign w:val="center"/>
          </w:tcPr>
          <w:p w14:paraId="1C8141DA">
            <w:pPr>
              <w:pStyle w:val="28"/>
              <w:bidi w:val="0"/>
            </w:pPr>
            <w:r>
              <w:rPr>
                <w:rFonts w:hint="eastAsia"/>
              </w:rPr>
              <w:t>Ⅲ</w:t>
            </w:r>
          </w:p>
        </w:tc>
      </w:tr>
    </w:tbl>
    <w:p w14:paraId="37F8AAA8">
      <w:pPr>
        <w:adjustRightInd w:val="0"/>
        <w:spacing w:line="240" w:lineRule="auto"/>
        <w:ind w:firstLine="480" w:firstLineChars="200"/>
        <w:textAlignment w:val="center"/>
        <w:rPr>
          <w:rFonts w:cs="Times New Roman"/>
        </w:rPr>
      </w:pPr>
    </w:p>
    <w:p w14:paraId="640EF9E2">
      <w:pPr>
        <w:adjustRightInd w:val="0"/>
        <w:spacing w:before="120" w:beforeLines="50"/>
        <w:ind w:firstLine="480" w:firstLineChars="200"/>
        <w:textAlignment w:val="center"/>
        <w:rPr>
          <w:rFonts w:cs="Times New Roman"/>
        </w:rPr>
      </w:pPr>
      <w:r>
        <w:rPr>
          <w:rFonts w:cs="Times New Roman"/>
        </w:rPr>
        <w:t>①监测因子与监测分析方法</w:t>
      </w:r>
    </w:p>
    <w:p w14:paraId="2770FF45">
      <w:pPr>
        <w:adjustRightInd w:val="0"/>
        <w:ind w:firstLine="480" w:firstLineChars="200"/>
        <w:textAlignment w:val="center"/>
        <w:rPr>
          <w:rFonts w:cs="Times New Roman"/>
        </w:rPr>
      </w:pPr>
      <w:r>
        <w:rPr>
          <w:rFonts w:cs="Times New Roman"/>
        </w:rPr>
        <w:t>监测因子：pH、化学需氧量、五日生化需氧量、悬浮物、氨氮、总磷、石油类共7项指标。</w:t>
      </w:r>
    </w:p>
    <w:p w14:paraId="548008F8">
      <w:pPr>
        <w:adjustRightInd w:val="0"/>
        <w:ind w:firstLine="480" w:firstLineChars="200"/>
        <w:textAlignment w:val="center"/>
        <w:rPr>
          <w:rFonts w:cs="Times New Roman"/>
        </w:rPr>
      </w:pPr>
      <w:r>
        <w:rPr>
          <w:rFonts w:cs="Times New Roman"/>
        </w:rPr>
        <w:t>监测分析方法：水样的采集、保存、输送均按《水环境监测规范》（SL219-2013）中的有关规定进行，样品分析方法按国家标准分析方法执行，现状评价按照《地表水环境质量标准》（GB3838-2002）相关规定执行。</w:t>
      </w:r>
    </w:p>
    <w:p w14:paraId="5B029613">
      <w:pPr>
        <w:adjustRightInd w:val="0"/>
        <w:ind w:firstLine="480" w:firstLineChars="200"/>
        <w:textAlignment w:val="center"/>
        <w:rPr>
          <w:rFonts w:cs="Times New Roman"/>
        </w:rPr>
      </w:pPr>
      <w:r>
        <w:rPr>
          <w:rFonts w:cs="Times New Roman"/>
        </w:rPr>
        <w:t>②监测时间和监测频次</w:t>
      </w:r>
    </w:p>
    <w:p w14:paraId="71ECD696">
      <w:pPr>
        <w:adjustRightInd w:val="0"/>
        <w:ind w:firstLine="480" w:firstLineChars="200"/>
        <w:textAlignment w:val="center"/>
        <w:rPr>
          <w:rFonts w:cs="Times New Roman"/>
        </w:rPr>
      </w:pPr>
      <w:r>
        <w:rPr>
          <w:rFonts w:cs="Times New Roman"/>
        </w:rPr>
        <w:t>监测时间：</w:t>
      </w:r>
      <w:r>
        <w:rPr>
          <w:rFonts w:hint="eastAsia" w:cs="Times New Roman"/>
        </w:rPr>
        <w:t>淮南市宜青环境检测有限公司</w:t>
      </w:r>
      <w:r>
        <w:rPr>
          <w:rFonts w:cs="Times New Roman"/>
        </w:rPr>
        <w:t>202</w:t>
      </w:r>
      <w:r>
        <w:rPr>
          <w:rFonts w:hint="eastAsia" w:cs="Times New Roman"/>
        </w:rPr>
        <w:t>4</w:t>
      </w:r>
      <w:r>
        <w:rPr>
          <w:rFonts w:cs="Times New Roman"/>
        </w:rPr>
        <w:t>年</w:t>
      </w:r>
      <w:r>
        <w:rPr>
          <w:rFonts w:hint="eastAsia" w:cs="Times New Roman"/>
        </w:rPr>
        <w:t>6</w:t>
      </w:r>
      <w:r>
        <w:rPr>
          <w:rFonts w:cs="Times New Roman"/>
        </w:rPr>
        <w:t>月</w:t>
      </w:r>
      <w:r>
        <w:rPr>
          <w:rFonts w:hint="eastAsia" w:cs="Times New Roman"/>
        </w:rPr>
        <w:t>27</w:t>
      </w:r>
      <w:r>
        <w:rPr>
          <w:rFonts w:cs="Times New Roman"/>
        </w:rPr>
        <w:t>日至</w:t>
      </w:r>
      <w:r>
        <w:rPr>
          <w:rFonts w:hint="eastAsia" w:cs="Times New Roman"/>
        </w:rPr>
        <w:t>7</w:t>
      </w:r>
      <w:r>
        <w:rPr>
          <w:rFonts w:cs="Times New Roman"/>
        </w:rPr>
        <w:t>月</w:t>
      </w:r>
      <w:r>
        <w:rPr>
          <w:rFonts w:hint="eastAsia" w:cs="Times New Roman"/>
        </w:rPr>
        <w:t>03</w:t>
      </w:r>
      <w:r>
        <w:rPr>
          <w:rFonts w:cs="Times New Roman"/>
        </w:rPr>
        <w:t>日。</w:t>
      </w:r>
    </w:p>
    <w:p w14:paraId="509CA4C1">
      <w:pPr>
        <w:adjustRightInd w:val="0"/>
        <w:ind w:firstLine="480" w:firstLineChars="200"/>
        <w:textAlignment w:val="center"/>
        <w:rPr>
          <w:rFonts w:cs="Times New Roman"/>
        </w:rPr>
      </w:pPr>
      <w:r>
        <w:rPr>
          <w:rFonts w:cs="Times New Roman"/>
        </w:rPr>
        <w:t>监测频次：连续监测3天，每天采样分析一次。</w:t>
      </w:r>
    </w:p>
    <w:p w14:paraId="333C5D47">
      <w:pPr>
        <w:autoSpaceDE w:val="0"/>
        <w:autoSpaceDN w:val="0"/>
        <w:adjustRightInd w:val="0"/>
        <w:ind w:firstLine="480" w:firstLineChars="200"/>
        <w:textAlignment w:val="center"/>
        <w:rPr>
          <w:rFonts w:cs="Times New Roman"/>
        </w:rPr>
      </w:pPr>
      <w:r>
        <w:rPr>
          <w:rFonts w:cs="Times New Roman"/>
        </w:rPr>
        <w:t>③水质现状监测评价方法</w:t>
      </w:r>
    </w:p>
    <w:p w14:paraId="6E29591D">
      <w:pPr>
        <w:adjustRightInd w:val="0"/>
        <w:ind w:firstLine="480" w:firstLineChars="200"/>
        <w:textAlignment w:val="center"/>
        <w:rPr>
          <w:rFonts w:cs="Times New Roman"/>
          <w:bCs/>
        </w:rPr>
      </w:pPr>
      <w:r>
        <w:rPr>
          <w:rFonts w:cs="Times New Roman"/>
          <w:bCs/>
        </w:rPr>
        <w:t>评价标准：采用《地表水环境质量标准》（GB3838-2002）中相关标准。</w:t>
      </w:r>
    </w:p>
    <w:p w14:paraId="3DA5A213">
      <w:pPr>
        <w:adjustRightInd w:val="0"/>
        <w:ind w:firstLine="480" w:firstLineChars="200"/>
        <w:textAlignment w:val="center"/>
        <w:rPr>
          <w:rFonts w:cs="Times New Roman"/>
          <w:bCs/>
        </w:rPr>
      </w:pPr>
      <w:r>
        <w:rPr>
          <w:rFonts w:cs="Times New Roman"/>
          <w:bCs/>
        </w:rPr>
        <w:t>评价方法：采用单因子法评价工程所在河段水环境现状质量。</w:t>
      </w:r>
    </w:p>
    <w:p w14:paraId="6F5C8488">
      <w:pPr>
        <w:adjustRightInd w:val="0"/>
        <w:ind w:firstLine="1440" w:firstLineChars="600"/>
        <w:textAlignment w:val="center"/>
        <w:rPr>
          <w:rFonts w:cs="Times New Roman"/>
        </w:rPr>
      </w:pPr>
      <w:r>
        <w:rPr>
          <w:rFonts w:cs="Times New Roman"/>
          <w:bCs/>
        </w:rPr>
        <w:t>单因子指</w:t>
      </w:r>
      <w:r>
        <w:rPr>
          <w:rFonts w:cs="Times New Roman"/>
        </w:rPr>
        <w:t>数按下式计算：P</w:t>
      </w:r>
      <w:r>
        <w:rPr>
          <w:rFonts w:cs="Times New Roman"/>
          <w:vertAlign w:val="subscript"/>
        </w:rPr>
        <w:t>i</w:t>
      </w:r>
      <w:r>
        <w:rPr>
          <w:rFonts w:cs="Times New Roman"/>
        </w:rPr>
        <w:t>=C</w:t>
      </w:r>
      <w:r>
        <w:rPr>
          <w:rFonts w:cs="Times New Roman"/>
          <w:vertAlign w:val="subscript"/>
        </w:rPr>
        <w:t>i</w:t>
      </w:r>
      <w:r>
        <w:rPr>
          <w:rFonts w:cs="Times New Roman"/>
        </w:rPr>
        <w:t>/B</w:t>
      </w:r>
      <w:r>
        <w:rPr>
          <w:rFonts w:cs="Times New Roman"/>
          <w:vertAlign w:val="subscript"/>
        </w:rPr>
        <w:t>i</w:t>
      </w:r>
    </w:p>
    <w:p w14:paraId="2BFCCB17">
      <w:pPr>
        <w:adjustRightInd w:val="0"/>
        <w:ind w:firstLine="1200" w:firstLineChars="500"/>
        <w:textAlignment w:val="center"/>
        <w:rPr>
          <w:rFonts w:cs="Times New Roman"/>
        </w:rPr>
      </w:pPr>
      <w:r>
        <w:rPr>
          <w:rFonts w:cs="Times New Roman"/>
        </w:rPr>
        <w:t>式中：P</w:t>
      </w:r>
      <w:r>
        <w:rPr>
          <w:rFonts w:cs="Times New Roman"/>
          <w:vertAlign w:val="subscript"/>
        </w:rPr>
        <w:t>i</w:t>
      </w:r>
      <w:r>
        <w:rPr>
          <w:rFonts w:cs="Times New Roman"/>
        </w:rPr>
        <w:t>——i因子的环境质量指数；</w:t>
      </w:r>
    </w:p>
    <w:p w14:paraId="6B6F29F2">
      <w:pPr>
        <w:adjustRightInd w:val="0"/>
        <w:ind w:firstLine="1920" w:firstLineChars="800"/>
        <w:textAlignment w:val="center"/>
        <w:rPr>
          <w:rFonts w:cs="Times New Roman"/>
        </w:rPr>
      </w:pPr>
      <w:r>
        <w:rPr>
          <w:rFonts w:cs="Times New Roman"/>
        </w:rPr>
        <w:t>C</w:t>
      </w:r>
      <w:r>
        <w:rPr>
          <w:rFonts w:cs="Times New Roman"/>
          <w:vertAlign w:val="subscript"/>
        </w:rPr>
        <w:t>i</w:t>
      </w:r>
      <w:r>
        <w:rPr>
          <w:rFonts w:cs="Times New Roman"/>
        </w:rPr>
        <w:t>——i因子的现状监测结果，mg/L；</w:t>
      </w:r>
    </w:p>
    <w:p w14:paraId="09CDC87C">
      <w:pPr>
        <w:adjustRightInd w:val="0"/>
        <w:ind w:firstLine="1920" w:firstLineChars="800"/>
        <w:textAlignment w:val="center"/>
        <w:rPr>
          <w:rFonts w:cs="Times New Roman"/>
        </w:rPr>
      </w:pPr>
      <w:r>
        <w:rPr>
          <w:rFonts w:cs="Times New Roman"/>
        </w:rPr>
        <w:t>B</w:t>
      </w:r>
      <w:r>
        <w:rPr>
          <w:rFonts w:cs="Times New Roman"/>
          <w:vertAlign w:val="subscript"/>
        </w:rPr>
        <w:t>i</w:t>
      </w:r>
      <w:r>
        <w:rPr>
          <w:rFonts w:cs="Times New Roman"/>
        </w:rPr>
        <w:t>——i因子的评价标准，mg/L。</w:t>
      </w:r>
    </w:p>
    <w:p w14:paraId="1F403859">
      <w:pPr>
        <w:adjustRightInd w:val="0"/>
        <w:ind w:firstLine="1200" w:firstLineChars="500"/>
        <w:textAlignment w:val="center"/>
        <w:rPr>
          <w:rFonts w:cs="Times New Roman"/>
        </w:rPr>
      </w:pPr>
      <w:r>
        <w:rPr>
          <w:rFonts w:cs="Times New Roman"/>
        </w:rPr>
        <w:t>其中pH值单因子指数的计算公式为：</w:t>
      </w:r>
    </w:p>
    <w:p w14:paraId="1ED3FD1F">
      <w:pPr>
        <w:adjustRightInd w:val="0"/>
        <w:ind w:firstLine="2160" w:firstLineChars="900"/>
        <w:textAlignment w:val="center"/>
        <w:rPr>
          <w:rFonts w:cs="Times New Roman"/>
          <w:lang w:val="fr-FR"/>
        </w:rPr>
      </w:pPr>
      <w:r>
        <w:rPr>
          <w:rFonts w:cs="Times New Roman"/>
          <w:lang w:val="fr-FR"/>
        </w:rPr>
        <w:t>P</w:t>
      </w:r>
      <w:r>
        <w:rPr>
          <w:rFonts w:cs="Times New Roman"/>
          <w:vertAlign w:val="subscript"/>
          <w:lang w:val="fr-FR"/>
        </w:rPr>
        <w:t>i</w:t>
      </w:r>
      <w:r>
        <w:rPr>
          <w:rFonts w:cs="Times New Roman"/>
          <w:lang w:val="fr-FR"/>
        </w:rPr>
        <w:t>=（7.0-C</w:t>
      </w:r>
      <w:r>
        <w:rPr>
          <w:rFonts w:cs="Times New Roman"/>
          <w:vertAlign w:val="subscript"/>
          <w:lang w:val="fr-FR"/>
        </w:rPr>
        <w:t>i</w:t>
      </w:r>
      <w:r>
        <w:rPr>
          <w:rFonts w:cs="Times New Roman"/>
          <w:lang w:val="fr-FR"/>
        </w:rPr>
        <w:t>）/（7.0-C</w:t>
      </w:r>
      <w:r>
        <w:rPr>
          <w:rFonts w:cs="Times New Roman"/>
          <w:vertAlign w:val="subscript"/>
          <w:lang w:val="fr-FR"/>
        </w:rPr>
        <w:t>sd</w:t>
      </w:r>
      <w:r>
        <w:rPr>
          <w:rFonts w:cs="Times New Roman"/>
          <w:lang w:val="fr-FR"/>
        </w:rPr>
        <w:t>）         （C</w:t>
      </w:r>
      <w:r>
        <w:rPr>
          <w:rFonts w:cs="Times New Roman"/>
          <w:vertAlign w:val="subscript"/>
          <w:lang w:val="fr-FR"/>
        </w:rPr>
        <w:t>i</w:t>
      </w:r>
      <w:r>
        <w:rPr>
          <w:rFonts w:cs="Times New Roman"/>
          <w:lang w:val="fr-FR"/>
        </w:rPr>
        <w:t>≤7.0）</w:t>
      </w:r>
    </w:p>
    <w:p w14:paraId="206BD818">
      <w:pPr>
        <w:adjustRightInd w:val="0"/>
        <w:ind w:firstLine="2160" w:firstLineChars="900"/>
        <w:textAlignment w:val="center"/>
        <w:rPr>
          <w:rFonts w:cs="Times New Roman"/>
          <w:lang w:val="fr-FR"/>
        </w:rPr>
      </w:pPr>
      <w:r>
        <w:rPr>
          <w:rFonts w:cs="Times New Roman"/>
          <w:lang w:val="fr-FR"/>
        </w:rPr>
        <w:t>P</w:t>
      </w:r>
      <w:r>
        <w:rPr>
          <w:rFonts w:cs="Times New Roman"/>
          <w:vertAlign w:val="subscript"/>
          <w:lang w:val="fr-FR"/>
        </w:rPr>
        <w:t>i</w:t>
      </w:r>
      <w:r>
        <w:rPr>
          <w:rFonts w:cs="Times New Roman"/>
          <w:lang w:val="fr-FR"/>
        </w:rPr>
        <w:t>=（C</w:t>
      </w:r>
      <w:r>
        <w:rPr>
          <w:rFonts w:cs="Times New Roman"/>
          <w:vertAlign w:val="subscript"/>
          <w:lang w:val="fr-FR"/>
        </w:rPr>
        <w:t>i</w:t>
      </w:r>
      <w:r>
        <w:rPr>
          <w:rFonts w:cs="Times New Roman"/>
          <w:lang w:val="fr-FR"/>
        </w:rPr>
        <w:t>-7.0）/（C</w:t>
      </w:r>
      <w:r>
        <w:rPr>
          <w:rFonts w:cs="Times New Roman"/>
          <w:vertAlign w:val="subscript"/>
          <w:lang w:val="fr-FR"/>
        </w:rPr>
        <w:t>su</w:t>
      </w:r>
      <w:r>
        <w:rPr>
          <w:rFonts w:cs="Times New Roman"/>
          <w:lang w:val="fr-FR"/>
        </w:rPr>
        <w:t>-7.0）          （C</w:t>
      </w:r>
      <w:r>
        <w:rPr>
          <w:rFonts w:cs="Times New Roman"/>
          <w:vertAlign w:val="subscript"/>
          <w:lang w:val="fr-FR"/>
        </w:rPr>
        <w:t>i</w:t>
      </w:r>
      <w:r>
        <w:rPr>
          <w:rFonts w:cs="Times New Roman"/>
          <w:lang w:val="fr-FR"/>
        </w:rPr>
        <w:t>≥7.0）</w:t>
      </w:r>
    </w:p>
    <w:p w14:paraId="69F1C2FF">
      <w:pPr>
        <w:adjustRightInd w:val="0"/>
        <w:ind w:firstLine="1200" w:firstLineChars="500"/>
        <w:textAlignment w:val="center"/>
        <w:rPr>
          <w:rFonts w:cs="Times New Roman"/>
        </w:rPr>
      </w:pPr>
      <w:r>
        <w:rPr>
          <w:rFonts w:cs="Times New Roman"/>
        </w:rPr>
        <w:t>式中：C</w:t>
      </w:r>
      <w:r>
        <w:rPr>
          <w:rFonts w:cs="Times New Roman"/>
          <w:vertAlign w:val="subscript"/>
        </w:rPr>
        <w:t>sd</w:t>
      </w:r>
      <w:r>
        <w:rPr>
          <w:rFonts w:cs="Times New Roman"/>
        </w:rPr>
        <w:t>——评价标准的下限值；</w:t>
      </w:r>
    </w:p>
    <w:p w14:paraId="77B02B83">
      <w:pPr>
        <w:adjustRightInd w:val="0"/>
        <w:ind w:firstLine="1920" w:firstLineChars="800"/>
        <w:textAlignment w:val="center"/>
        <w:rPr>
          <w:rFonts w:cs="Times New Roman"/>
        </w:rPr>
      </w:pPr>
      <w:r>
        <w:rPr>
          <w:rFonts w:cs="Times New Roman"/>
        </w:rPr>
        <w:t>C</w:t>
      </w:r>
      <w:r>
        <w:rPr>
          <w:rFonts w:cs="Times New Roman"/>
          <w:vertAlign w:val="subscript"/>
        </w:rPr>
        <w:t>su</w:t>
      </w:r>
      <w:r>
        <w:rPr>
          <w:rFonts w:cs="Times New Roman"/>
        </w:rPr>
        <w:t>——评价标准的上限值。</w:t>
      </w:r>
    </w:p>
    <w:p w14:paraId="398134AD">
      <w:pPr>
        <w:adjustRightInd w:val="0"/>
        <w:ind w:firstLine="480" w:firstLineChars="200"/>
        <w:textAlignment w:val="center"/>
        <w:rPr>
          <w:rFonts w:cs="Times New Roman"/>
          <w:color w:val="0000FF"/>
        </w:rPr>
      </w:pPr>
      <w:r>
        <w:rPr>
          <w:rFonts w:cs="Times New Roman"/>
        </w:rPr>
        <w:t>④水质现状监测结果</w:t>
      </w:r>
    </w:p>
    <w:p w14:paraId="170DA9F9">
      <w:pPr>
        <w:adjustRightInd w:val="0"/>
        <w:ind w:firstLine="480" w:firstLineChars="200"/>
        <w:textAlignment w:val="center"/>
        <w:rPr>
          <w:rFonts w:cs="Times New Roman"/>
          <w:color w:val="0000FF"/>
        </w:rPr>
      </w:pPr>
      <w:r>
        <w:rPr>
          <w:rFonts w:cs="Times New Roman"/>
        </w:rPr>
        <w:t>从监测结果可以看出，</w:t>
      </w:r>
      <w:r>
        <w:rPr>
          <w:rFonts w:hint="eastAsia" w:cs="Times New Roman"/>
        </w:rPr>
        <w:t>项目设置的各监测点位均不满足Ⅲ类水质标准要求，其中W1一站引水渠上游</w:t>
      </w:r>
      <w:bookmarkStart w:id="52" w:name="_Hlk117019030"/>
      <w:r>
        <w:rPr>
          <w:rFonts w:hint="eastAsia" w:cs="Times New Roman"/>
        </w:rPr>
        <w:t>、W2一北干渠下游、W4二北干渠下游、W7染坊支渠下游水质满足Ⅳ类水质标准要求，W3二东干渠下游、W5三北干渠下游、W6一东干渠下游、W8方庄支渠下游、W9桂岗支渠下游水质满足Ⅴ类水质标准要求</w:t>
      </w:r>
      <w:r>
        <w:rPr>
          <w:rFonts w:cs="Times New Roman"/>
        </w:rPr>
        <w:t>。</w:t>
      </w:r>
      <w:bookmarkEnd w:id="52"/>
    </w:p>
    <w:p w14:paraId="2650CD5E">
      <w:pPr>
        <w:pStyle w:val="29"/>
        <w:bidi w:val="0"/>
      </w:pPr>
      <w:r>
        <w:t>表</w:t>
      </w:r>
      <w:r>
        <w:rPr>
          <w:rFonts w:hint="eastAsia"/>
          <w:lang w:eastAsia="zh-CN"/>
        </w:rPr>
        <w:t>4.2</w:t>
      </w:r>
      <w:r>
        <w:t>-</w:t>
      </w:r>
      <w:r>
        <w:rPr>
          <w:rFonts w:hint="eastAsia"/>
        </w:rPr>
        <w:t>9</w:t>
      </w:r>
      <w:r>
        <w:t xml:space="preserve">  地表水环境质量现状评价结果一览表    单位：mg/L，pH除外</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64"/>
        <w:gridCol w:w="1477"/>
        <w:gridCol w:w="1317"/>
        <w:gridCol w:w="838"/>
        <w:gridCol w:w="1120"/>
        <w:gridCol w:w="838"/>
        <w:gridCol w:w="738"/>
        <w:gridCol w:w="849"/>
        <w:gridCol w:w="846"/>
      </w:tblGrid>
      <w:tr w14:paraId="1E07E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1475" w:type="pct"/>
            <w:gridSpan w:val="2"/>
            <w:vAlign w:val="center"/>
          </w:tcPr>
          <w:p w14:paraId="1A7D36C7">
            <w:pPr>
              <w:pStyle w:val="28"/>
              <w:bidi w:val="0"/>
            </w:pPr>
            <w:r>
              <w:rPr>
                <w:rFonts w:hint="eastAsia"/>
              </w:rPr>
              <w:t>检测项目</w:t>
            </w:r>
          </w:p>
        </w:tc>
        <w:tc>
          <w:tcPr>
            <w:tcW w:w="709" w:type="pct"/>
            <w:vAlign w:val="center"/>
          </w:tcPr>
          <w:p w14:paraId="385EFB7F">
            <w:pPr>
              <w:pStyle w:val="28"/>
              <w:bidi w:val="0"/>
            </w:pPr>
            <w:r>
              <w:t>pH</w:t>
            </w:r>
            <w:r>
              <w:rPr>
                <w:rFonts w:hint="eastAsia"/>
              </w:rPr>
              <w:t>值（无量纲）</w:t>
            </w:r>
          </w:p>
        </w:tc>
        <w:tc>
          <w:tcPr>
            <w:tcW w:w="451" w:type="pct"/>
            <w:vAlign w:val="center"/>
          </w:tcPr>
          <w:p w14:paraId="16E57498">
            <w:pPr>
              <w:pStyle w:val="28"/>
              <w:bidi w:val="0"/>
            </w:pPr>
            <w:r>
              <w:rPr>
                <w:rFonts w:hint="eastAsia"/>
              </w:rPr>
              <w:t>化学需氧量</w:t>
            </w:r>
          </w:p>
        </w:tc>
        <w:tc>
          <w:tcPr>
            <w:tcW w:w="603" w:type="pct"/>
            <w:vAlign w:val="center"/>
          </w:tcPr>
          <w:p w14:paraId="4D7E6D94">
            <w:pPr>
              <w:pStyle w:val="28"/>
              <w:bidi w:val="0"/>
            </w:pPr>
            <w:r>
              <w:rPr>
                <w:rFonts w:hint="eastAsia"/>
              </w:rPr>
              <w:t>五日生化需氧量</w:t>
            </w:r>
          </w:p>
        </w:tc>
        <w:tc>
          <w:tcPr>
            <w:tcW w:w="451" w:type="pct"/>
            <w:vAlign w:val="center"/>
          </w:tcPr>
          <w:p w14:paraId="09D0A2F3">
            <w:pPr>
              <w:pStyle w:val="28"/>
              <w:bidi w:val="0"/>
            </w:pPr>
            <w:r>
              <w:rPr>
                <w:rFonts w:hint="eastAsia"/>
              </w:rPr>
              <w:t>悬浮物</w:t>
            </w:r>
          </w:p>
        </w:tc>
        <w:tc>
          <w:tcPr>
            <w:tcW w:w="397" w:type="pct"/>
            <w:vAlign w:val="center"/>
          </w:tcPr>
          <w:p w14:paraId="4CBEED89">
            <w:pPr>
              <w:pStyle w:val="28"/>
              <w:bidi w:val="0"/>
            </w:pPr>
            <w:r>
              <w:rPr>
                <w:rFonts w:hint="eastAsia"/>
              </w:rPr>
              <w:t>氨氮</w:t>
            </w:r>
          </w:p>
        </w:tc>
        <w:tc>
          <w:tcPr>
            <w:tcW w:w="457" w:type="pct"/>
            <w:vAlign w:val="center"/>
          </w:tcPr>
          <w:p w14:paraId="016091B4">
            <w:pPr>
              <w:pStyle w:val="28"/>
              <w:bidi w:val="0"/>
            </w:pPr>
            <w:r>
              <w:rPr>
                <w:rFonts w:hint="eastAsia"/>
              </w:rPr>
              <w:t>总磷</w:t>
            </w:r>
          </w:p>
        </w:tc>
        <w:tc>
          <w:tcPr>
            <w:tcW w:w="455" w:type="pct"/>
            <w:vAlign w:val="center"/>
          </w:tcPr>
          <w:p w14:paraId="3082D6F8">
            <w:pPr>
              <w:pStyle w:val="28"/>
              <w:bidi w:val="0"/>
            </w:pPr>
            <w:r>
              <w:rPr>
                <w:rFonts w:hint="eastAsia"/>
              </w:rPr>
              <w:t>石油类</w:t>
            </w:r>
          </w:p>
        </w:tc>
      </w:tr>
      <w:tr w14:paraId="2E3B81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restart"/>
            <w:vAlign w:val="center"/>
          </w:tcPr>
          <w:p w14:paraId="76DA1947">
            <w:pPr>
              <w:pStyle w:val="28"/>
              <w:bidi w:val="0"/>
            </w:pPr>
            <w:r>
              <w:rPr>
                <w:rFonts w:hint="eastAsia"/>
              </w:rPr>
              <w:t>W1一站引水渠上游</w:t>
            </w:r>
          </w:p>
        </w:tc>
        <w:tc>
          <w:tcPr>
            <w:tcW w:w="795" w:type="pct"/>
            <w:vAlign w:val="center"/>
          </w:tcPr>
          <w:p w14:paraId="4F84ECDC">
            <w:pPr>
              <w:pStyle w:val="28"/>
              <w:bidi w:val="0"/>
            </w:pPr>
            <w:r>
              <w:t>202</w:t>
            </w:r>
            <w:r>
              <w:rPr>
                <w:rFonts w:hint="eastAsia"/>
              </w:rPr>
              <w:t>4</w:t>
            </w:r>
            <w:r>
              <w:t>/</w:t>
            </w:r>
            <w:r>
              <w:rPr>
                <w:rFonts w:hint="eastAsia"/>
              </w:rPr>
              <w:t>6</w:t>
            </w:r>
            <w:r>
              <w:t>/2</w:t>
            </w:r>
            <w:r>
              <w:rPr>
                <w:rFonts w:hint="eastAsia"/>
              </w:rPr>
              <w:t>7</w:t>
            </w:r>
          </w:p>
        </w:tc>
        <w:tc>
          <w:tcPr>
            <w:tcW w:w="709" w:type="pct"/>
            <w:vAlign w:val="center"/>
          </w:tcPr>
          <w:p w14:paraId="6052052B">
            <w:pPr>
              <w:pStyle w:val="28"/>
              <w:bidi w:val="0"/>
            </w:pPr>
            <w:r>
              <w:t>7.</w:t>
            </w:r>
            <w:r>
              <w:rPr>
                <w:rFonts w:hint="eastAsia"/>
              </w:rPr>
              <w:t>4</w:t>
            </w:r>
          </w:p>
        </w:tc>
        <w:tc>
          <w:tcPr>
            <w:tcW w:w="451" w:type="pct"/>
            <w:vAlign w:val="center"/>
          </w:tcPr>
          <w:p w14:paraId="3EC24CBC">
            <w:pPr>
              <w:pStyle w:val="28"/>
              <w:bidi w:val="0"/>
            </w:pPr>
            <w:r>
              <w:rPr>
                <w:rFonts w:hint="eastAsia"/>
              </w:rPr>
              <w:t>16</w:t>
            </w:r>
          </w:p>
        </w:tc>
        <w:tc>
          <w:tcPr>
            <w:tcW w:w="603" w:type="pct"/>
            <w:vAlign w:val="center"/>
          </w:tcPr>
          <w:p w14:paraId="042BD466">
            <w:pPr>
              <w:pStyle w:val="28"/>
              <w:bidi w:val="0"/>
            </w:pPr>
            <w:r>
              <w:rPr>
                <w:rFonts w:hint="eastAsia"/>
              </w:rPr>
              <w:t>4.4</w:t>
            </w:r>
          </w:p>
        </w:tc>
        <w:tc>
          <w:tcPr>
            <w:tcW w:w="451" w:type="pct"/>
            <w:vAlign w:val="center"/>
          </w:tcPr>
          <w:p w14:paraId="7919886F">
            <w:pPr>
              <w:pStyle w:val="28"/>
              <w:bidi w:val="0"/>
            </w:pPr>
            <w:r>
              <w:rPr>
                <w:rFonts w:hint="eastAsia"/>
              </w:rPr>
              <w:t>18</w:t>
            </w:r>
          </w:p>
        </w:tc>
        <w:tc>
          <w:tcPr>
            <w:tcW w:w="397" w:type="pct"/>
            <w:vAlign w:val="center"/>
          </w:tcPr>
          <w:p w14:paraId="20127E32">
            <w:pPr>
              <w:pStyle w:val="28"/>
              <w:bidi w:val="0"/>
            </w:pPr>
            <w:r>
              <w:rPr>
                <w:rFonts w:hint="eastAsia"/>
              </w:rPr>
              <w:t>0.729</w:t>
            </w:r>
          </w:p>
        </w:tc>
        <w:tc>
          <w:tcPr>
            <w:tcW w:w="457" w:type="pct"/>
            <w:vAlign w:val="center"/>
          </w:tcPr>
          <w:p w14:paraId="499E6527">
            <w:pPr>
              <w:pStyle w:val="28"/>
              <w:bidi w:val="0"/>
            </w:pPr>
            <w:r>
              <w:rPr>
                <w:rFonts w:hint="eastAsia"/>
              </w:rPr>
              <w:t>0.06</w:t>
            </w:r>
          </w:p>
        </w:tc>
        <w:tc>
          <w:tcPr>
            <w:tcW w:w="455" w:type="pct"/>
            <w:vAlign w:val="center"/>
          </w:tcPr>
          <w:p w14:paraId="7935443E">
            <w:pPr>
              <w:pStyle w:val="28"/>
              <w:bidi w:val="0"/>
            </w:pPr>
            <w:r>
              <w:rPr>
                <w:rFonts w:hint="eastAsia"/>
              </w:rPr>
              <w:t>/</w:t>
            </w:r>
          </w:p>
        </w:tc>
      </w:tr>
      <w:tr w14:paraId="7FA97B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0502972C">
            <w:pPr>
              <w:pStyle w:val="28"/>
              <w:bidi w:val="0"/>
            </w:pPr>
          </w:p>
        </w:tc>
        <w:tc>
          <w:tcPr>
            <w:tcW w:w="795" w:type="pct"/>
            <w:vAlign w:val="center"/>
          </w:tcPr>
          <w:p w14:paraId="52899367">
            <w:pPr>
              <w:pStyle w:val="28"/>
              <w:bidi w:val="0"/>
            </w:pPr>
            <w:r>
              <w:t>202</w:t>
            </w:r>
            <w:r>
              <w:rPr>
                <w:rFonts w:hint="eastAsia"/>
              </w:rPr>
              <w:t>4</w:t>
            </w:r>
            <w:r>
              <w:t>/</w:t>
            </w:r>
            <w:r>
              <w:rPr>
                <w:rFonts w:hint="eastAsia"/>
              </w:rPr>
              <w:t>6</w:t>
            </w:r>
            <w:r>
              <w:t>/2</w:t>
            </w:r>
            <w:r>
              <w:rPr>
                <w:rFonts w:hint="eastAsia"/>
              </w:rPr>
              <w:t>8</w:t>
            </w:r>
          </w:p>
        </w:tc>
        <w:tc>
          <w:tcPr>
            <w:tcW w:w="709" w:type="pct"/>
            <w:vAlign w:val="center"/>
          </w:tcPr>
          <w:p w14:paraId="226AA5E0">
            <w:pPr>
              <w:pStyle w:val="28"/>
              <w:bidi w:val="0"/>
            </w:pPr>
            <w:r>
              <w:t>7.</w:t>
            </w:r>
            <w:r>
              <w:rPr>
                <w:rFonts w:hint="eastAsia"/>
              </w:rPr>
              <w:t>4</w:t>
            </w:r>
          </w:p>
        </w:tc>
        <w:tc>
          <w:tcPr>
            <w:tcW w:w="451" w:type="pct"/>
            <w:vAlign w:val="center"/>
          </w:tcPr>
          <w:p w14:paraId="6349D7D0">
            <w:pPr>
              <w:pStyle w:val="28"/>
              <w:bidi w:val="0"/>
            </w:pPr>
            <w:r>
              <w:rPr>
                <w:rFonts w:hint="eastAsia"/>
              </w:rPr>
              <w:t>14</w:t>
            </w:r>
          </w:p>
        </w:tc>
        <w:tc>
          <w:tcPr>
            <w:tcW w:w="603" w:type="pct"/>
            <w:vAlign w:val="center"/>
          </w:tcPr>
          <w:p w14:paraId="69A6ED7B">
            <w:pPr>
              <w:pStyle w:val="28"/>
              <w:bidi w:val="0"/>
            </w:pPr>
            <w:r>
              <w:rPr>
                <w:rFonts w:hint="eastAsia"/>
              </w:rPr>
              <w:t>3.6</w:t>
            </w:r>
          </w:p>
        </w:tc>
        <w:tc>
          <w:tcPr>
            <w:tcW w:w="451" w:type="pct"/>
            <w:vAlign w:val="center"/>
          </w:tcPr>
          <w:p w14:paraId="6AAD4E37">
            <w:pPr>
              <w:pStyle w:val="28"/>
              <w:bidi w:val="0"/>
            </w:pPr>
            <w:r>
              <w:rPr>
                <w:rFonts w:hint="eastAsia"/>
              </w:rPr>
              <w:t>21</w:t>
            </w:r>
          </w:p>
        </w:tc>
        <w:tc>
          <w:tcPr>
            <w:tcW w:w="397" w:type="pct"/>
            <w:vAlign w:val="center"/>
          </w:tcPr>
          <w:p w14:paraId="2288270C">
            <w:pPr>
              <w:pStyle w:val="28"/>
              <w:bidi w:val="0"/>
            </w:pPr>
            <w:r>
              <w:rPr>
                <w:rFonts w:hint="eastAsia"/>
              </w:rPr>
              <w:t>0.770</w:t>
            </w:r>
          </w:p>
        </w:tc>
        <w:tc>
          <w:tcPr>
            <w:tcW w:w="457" w:type="pct"/>
            <w:vAlign w:val="center"/>
          </w:tcPr>
          <w:p w14:paraId="683389CC">
            <w:pPr>
              <w:pStyle w:val="28"/>
              <w:bidi w:val="0"/>
            </w:pPr>
            <w:r>
              <w:rPr>
                <w:rFonts w:hint="eastAsia"/>
              </w:rPr>
              <w:t>0.08</w:t>
            </w:r>
          </w:p>
        </w:tc>
        <w:tc>
          <w:tcPr>
            <w:tcW w:w="455" w:type="pct"/>
            <w:vAlign w:val="center"/>
          </w:tcPr>
          <w:p w14:paraId="788220E8">
            <w:pPr>
              <w:pStyle w:val="28"/>
              <w:bidi w:val="0"/>
            </w:pPr>
            <w:r>
              <w:rPr>
                <w:rFonts w:hint="eastAsia"/>
              </w:rPr>
              <w:t>/</w:t>
            </w:r>
          </w:p>
        </w:tc>
      </w:tr>
      <w:tr w14:paraId="12121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05AFB091">
            <w:pPr>
              <w:pStyle w:val="28"/>
              <w:bidi w:val="0"/>
            </w:pPr>
          </w:p>
        </w:tc>
        <w:tc>
          <w:tcPr>
            <w:tcW w:w="795" w:type="pct"/>
            <w:vAlign w:val="center"/>
          </w:tcPr>
          <w:p w14:paraId="33C1C29C">
            <w:pPr>
              <w:pStyle w:val="28"/>
              <w:bidi w:val="0"/>
            </w:pPr>
            <w:r>
              <w:t>202</w:t>
            </w:r>
            <w:r>
              <w:rPr>
                <w:rFonts w:hint="eastAsia"/>
              </w:rPr>
              <w:t>4</w:t>
            </w:r>
            <w:r>
              <w:t>/</w:t>
            </w:r>
            <w:r>
              <w:rPr>
                <w:rFonts w:hint="eastAsia"/>
              </w:rPr>
              <w:t>6</w:t>
            </w:r>
            <w:r>
              <w:t>/2</w:t>
            </w:r>
            <w:r>
              <w:rPr>
                <w:rFonts w:hint="eastAsia"/>
              </w:rPr>
              <w:t>9</w:t>
            </w:r>
          </w:p>
        </w:tc>
        <w:tc>
          <w:tcPr>
            <w:tcW w:w="709" w:type="pct"/>
            <w:vAlign w:val="center"/>
          </w:tcPr>
          <w:p w14:paraId="2DAE8A3B">
            <w:pPr>
              <w:pStyle w:val="28"/>
              <w:bidi w:val="0"/>
            </w:pPr>
            <w:r>
              <w:t>7.</w:t>
            </w:r>
            <w:r>
              <w:rPr>
                <w:rFonts w:hint="eastAsia"/>
              </w:rPr>
              <w:t>3</w:t>
            </w:r>
          </w:p>
        </w:tc>
        <w:tc>
          <w:tcPr>
            <w:tcW w:w="451" w:type="pct"/>
            <w:vAlign w:val="center"/>
          </w:tcPr>
          <w:p w14:paraId="3C1AB6BB">
            <w:pPr>
              <w:pStyle w:val="28"/>
              <w:bidi w:val="0"/>
            </w:pPr>
            <w:r>
              <w:rPr>
                <w:rFonts w:hint="eastAsia"/>
              </w:rPr>
              <w:t>15</w:t>
            </w:r>
          </w:p>
        </w:tc>
        <w:tc>
          <w:tcPr>
            <w:tcW w:w="603" w:type="pct"/>
            <w:vAlign w:val="center"/>
          </w:tcPr>
          <w:p w14:paraId="02B9DD61">
            <w:pPr>
              <w:pStyle w:val="28"/>
              <w:bidi w:val="0"/>
            </w:pPr>
            <w:r>
              <w:rPr>
                <w:rFonts w:hint="eastAsia"/>
              </w:rPr>
              <w:t>4.2</w:t>
            </w:r>
          </w:p>
        </w:tc>
        <w:tc>
          <w:tcPr>
            <w:tcW w:w="451" w:type="pct"/>
            <w:vAlign w:val="center"/>
          </w:tcPr>
          <w:p w14:paraId="52D101F7">
            <w:pPr>
              <w:pStyle w:val="28"/>
              <w:bidi w:val="0"/>
            </w:pPr>
            <w:r>
              <w:rPr>
                <w:rFonts w:hint="eastAsia"/>
              </w:rPr>
              <w:t>22</w:t>
            </w:r>
          </w:p>
        </w:tc>
        <w:tc>
          <w:tcPr>
            <w:tcW w:w="397" w:type="pct"/>
            <w:vAlign w:val="center"/>
          </w:tcPr>
          <w:p w14:paraId="5A1AFF50">
            <w:pPr>
              <w:pStyle w:val="28"/>
              <w:bidi w:val="0"/>
            </w:pPr>
            <w:r>
              <w:rPr>
                <w:rFonts w:hint="eastAsia"/>
              </w:rPr>
              <w:t>0.735</w:t>
            </w:r>
          </w:p>
        </w:tc>
        <w:tc>
          <w:tcPr>
            <w:tcW w:w="457" w:type="pct"/>
            <w:vAlign w:val="center"/>
          </w:tcPr>
          <w:p w14:paraId="1C9C7D51">
            <w:pPr>
              <w:pStyle w:val="28"/>
              <w:bidi w:val="0"/>
            </w:pPr>
            <w:r>
              <w:rPr>
                <w:rFonts w:hint="eastAsia"/>
              </w:rPr>
              <w:t>0.10</w:t>
            </w:r>
          </w:p>
        </w:tc>
        <w:tc>
          <w:tcPr>
            <w:tcW w:w="455" w:type="pct"/>
            <w:vAlign w:val="center"/>
          </w:tcPr>
          <w:p w14:paraId="3BFC6359">
            <w:pPr>
              <w:pStyle w:val="28"/>
              <w:bidi w:val="0"/>
            </w:pPr>
            <w:r>
              <w:rPr>
                <w:rFonts w:hint="eastAsia"/>
              </w:rPr>
              <w:t>/</w:t>
            </w:r>
          </w:p>
        </w:tc>
      </w:tr>
      <w:tr w14:paraId="159A3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0D897CEC">
            <w:pPr>
              <w:pStyle w:val="28"/>
              <w:bidi w:val="0"/>
            </w:pPr>
          </w:p>
        </w:tc>
        <w:tc>
          <w:tcPr>
            <w:tcW w:w="795" w:type="pct"/>
            <w:vAlign w:val="center"/>
          </w:tcPr>
          <w:p w14:paraId="7EA3533F">
            <w:pPr>
              <w:pStyle w:val="28"/>
              <w:bidi w:val="0"/>
            </w:pPr>
            <w:r>
              <w:rPr>
                <w:rFonts w:hint="eastAsia"/>
              </w:rPr>
              <w:t>最大单因子指数</w:t>
            </w:r>
          </w:p>
        </w:tc>
        <w:tc>
          <w:tcPr>
            <w:tcW w:w="709" w:type="pct"/>
            <w:vAlign w:val="center"/>
          </w:tcPr>
          <w:p w14:paraId="3E8DF4F1">
            <w:pPr>
              <w:pStyle w:val="28"/>
              <w:bidi w:val="0"/>
            </w:pPr>
            <w:r>
              <w:t>0.</w:t>
            </w:r>
            <w:r>
              <w:rPr>
                <w:rFonts w:hint="eastAsia"/>
              </w:rPr>
              <w:t>2</w:t>
            </w:r>
          </w:p>
        </w:tc>
        <w:tc>
          <w:tcPr>
            <w:tcW w:w="451" w:type="pct"/>
            <w:vAlign w:val="center"/>
          </w:tcPr>
          <w:p w14:paraId="5DB71425">
            <w:pPr>
              <w:pStyle w:val="28"/>
              <w:bidi w:val="0"/>
            </w:pPr>
            <w:r>
              <w:rPr>
                <w:rFonts w:hint="eastAsia"/>
              </w:rPr>
              <w:t>0.8</w:t>
            </w:r>
          </w:p>
        </w:tc>
        <w:tc>
          <w:tcPr>
            <w:tcW w:w="603" w:type="pct"/>
            <w:vAlign w:val="center"/>
          </w:tcPr>
          <w:p w14:paraId="16C2C834">
            <w:pPr>
              <w:pStyle w:val="28"/>
              <w:bidi w:val="0"/>
            </w:pPr>
            <w:r>
              <w:rPr>
                <w:rFonts w:hint="eastAsia"/>
              </w:rPr>
              <w:t>1.1</w:t>
            </w:r>
          </w:p>
        </w:tc>
        <w:tc>
          <w:tcPr>
            <w:tcW w:w="451" w:type="pct"/>
            <w:vAlign w:val="center"/>
          </w:tcPr>
          <w:p w14:paraId="6F6B75C2">
            <w:pPr>
              <w:pStyle w:val="28"/>
              <w:bidi w:val="0"/>
            </w:pPr>
            <w:r>
              <w:rPr>
                <w:rFonts w:hint="eastAsia"/>
              </w:rPr>
              <w:t>/</w:t>
            </w:r>
          </w:p>
        </w:tc>
        <w:tc>
          <w:tcPr>
            <w:tcW w:w="397" w:type="pct"/>
            <w:vAlign w:val="center"/>
          </w:tcPr>
          <w:p w14:paraId="7AD09CD5">
            <w:pPr>
              <w:pStyle w:val="28"/>
              <w:bidi w:val="0"/>
            </w:pPr>
            <w:r>
              <w:rPr>
                <w:rFonts w:hint="eastAsia"/>
              </w:rPr>
              <w:t>0.770</w:t>
            </w:r>
          </w:p>
        </w:tc>
        <w:tc>
          <w:tcPr>
            <w:tcW w:w="457" w:type="pct"/>
            <w:vAlign w:val="center"/>
          </w:tcPr>
          <w:p w14:paraId="2889EE2E">
            <w:pPr>
              <w:pStyle w:val="28"/>
              <w:bidi w:val="0"/>
            </w:pPr>
            <w:r>
              <w:rPr>
                <w:rFonts w:hint="eastAsia"/>
              </w:rPr>
              <w:t>0.50</w:t>
            </w:r>
          </w:p>
        </w:tc>
        <w:tc>
          <w:tcPr>
            <w:tcW w:w="455" w:type="pct"/>
            <w:vAlign w:val="center"/>
          </w:tcPr>
          <w:p w14:paraId="439E2AAB">
            <w:pPr>
              <w:pStyle w:val="28"/>
              <w:bidi w:val="0"/>
            </w:pPr>
            <w:r>
              <w:rPr>
                <w:rFonts w:hint="eastAsia"/>
              </w:rPr>
              <w:t>/</w:t>
            </w:r>
          </w:p>
        </w:tc>
      </w:tr>
      <w:tr w14:paraId="57977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restart"/>
            <w:vAlign w:val="center"/>
          </w:tcPr>
          <w:p w14:paraId="76D109E1">
            <w:pPr>
              <w:pStyle w:val="28"/>
              <w:bidi w:val="0"/>
            </w:pPr>
            <w:r>
              <w:rPr>
                <w:rFonts w:hint="eastAsia"/>
              </w:rPr>
              <w:t>W2一北干渠下游</w:t>
            </w:r>
          </w:p>
        </w:tc>
        <w:tc>
          <w:tcPr>
            <w:tcW w:w="795" w:type="pct"/>
            <w:vAlign w:val="center"/>
          </w:tcPr>
          <w:p w14:paraId="7C4B8CD5">
            <w:pPr>
              <w:pStyle w:val="28"/>
              <w:bidi w:val="0"/>
            </w:pPr>
            <w:r>
              <w:t>202</w:t>
            </w:r>
            <w:r>
              <w:rPr>
                <w:rFonts w:hint="eastAsia"/>
              </w:rPr>
              <w:t>4</w:t>
            </w:r>
            <w:r>
              <w:t>/</w:t>
            </w:r>
            <w:r>
              <w:rPr>
                <w:rFonts w:hint="eastAsia"/>
              </w:rPr>
              <w:t>6</w:t>
            </w:r>
            <w:r>
              <w:t>/2</w:t>
            </w:r>
            <w:r>
              <w:rPr>
                <w:rFonts w:hint="eastAsia"/>
              </w:rPr>
              <w:t>7</w:t>
            </w:r>
          </w:p>
        </w:tc>
        <w:tc>
          <w:tcPr>
            <w:tcW w:w="709" w:type="pct"/>
            <w:vAlign w:val="center"/>
          </w:tcPr>
          <w:p w14:paraId="10B55A37">
            <w:pPr>
              <w:pStyle w:val="28"/>
              <w:bidi w:val="0"/>
            </w:pPr>
            <w:r>
              <w:t>7.</w:t>
            </w:r>
            <w:r>
              <w:rPr>
                <w:rFonts w:hint="eastAsia"/>
              </w:rPr>
              <w:t>4</w:t>
            </w:r>
          </w:p>
        </w:tc>
        <w:tc>
          <w:tcPr>
            <w:tcW w:w="451" w:type="pct"/>
            <w:vAlign w:val="center"/>
          </w:tcPr>
          <w:p w14:paraId="1A7E7F6A">
            <w:pPr>
              <w:pStyle w:val="28"/>
              <w:bidi w:val="0"/>
            </w:pPr>
            <w:r>
              <w:rPr>
                <w:rFonts w:hint="eastAsia"/>
              </w:rPr>
              <w:t>20</w:t>
            </w:r>
          </w:p>
        </w:tc>
        <w:tc>
          <w:tcPr>
            <w:tcW w:w="603" w:type="pct"/>
            <w:vAlign w:val="center"/>
          </w:tcPr>
          <w:p w14:paraId="6EF41ABB">
            <w:pPr>
              <w:pStyle w:val="28"/>
              <w:bidi w:val="0"/>
            </w:pPr>
            <w:r>
              <w:rPr>
                <w:rFonts w:hint="eastAsia"/>
              </w:rPr>
              <w:t>5.3</w:t>
            </w:r>
          </w:p>
        </w:tc>
        <w:tc>
          <w:tcPr>
            <w:tcW w:w="451" w:type="pct"/>
            <w:vAlign w:val="center"/>
          </w:tcPr>
          <w:p w14:paraId="04515F2F">
            <w:pPr>
              <w:pStyle w:val="28"/>
              <w:bidi w:val="0"/>
            </w:pPr>
            <w:r>
              <w:rPr>
                <w:rFonts w:hint="eastAsia"/>
              </w:rPr>
              <w:t>21</w:t>
            </w:r>
          </w:p>
        </w:tc>
        <w:tc>
          <w:tcPr>
            <w:tcW w:w="397" w:type="pct"/>
            <w:vAlign w:val="center"/>
          </w:tcPr>
          <w:p w14:paraId="2D2BC6EE">
            <w:pPr>
              <w:pStyle w:val="28"/>
              <w:bidi w:val="0"/>
            </w:pPr>
            <w:r>
              <w:rPr>
                <w:rFonts w:hint="eastAsia"/>
              </w:rPr>
              <w:t>0.051</w:t>
            </w:r>
          </w:p>
        </w:tc>
        <w:tc>
          <w:tcPr>
            <w:tcW w:w="457" w:type="pct"/>
            <w:vAlign w:val="center"/>
          </w:tcPr>
          <w:p w14:paraId="2D651497">
            <w:pPr>
              <w:pStyle w:val="28"/>
              <w:bidi w:val="0"/>
            </w:pPr>
            <w:r>
              <w:rPr>
                <w:rFonts w:hint="eastAsia"/>
              </w:rPr>
              <w:t>0.09</w:t>
            </w:r>
          </w:p>
        </w:tc>
        <w:tc>
          <w:tcPr>
            <w:tcW w:w="455" w:type="pct"/>
            <w:vAlign w:val="center"/>
          </w:tcPr>
          <w:p w14:paraId="1F38513D">
            <w:pPr>
              <w:pStyle w:val="28"/>
              <w:bidi w:val="0"/>
            </w:pPr>
            <w:r>
              <w:rPr>
                <w:rFonts w:hint="eastAsia"/>
              </w:rPr>
              <w:t>/</w:t>
            </w:r>
          </w:p>
        </w:tc>
      </w:tr>
      <w:tr w14:paraId="7A7054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18A2549B">
            <w:pPr>
              <w:pStyle w:val="28"/>
              <w:bidi w:val="0"/>
            </w:pPr>
          </w:p>
        </w:tc>
        <w:tc>
          <w:tcPr>
            <w:tcW w:w="795" w:type="pct"/>
            <w:vAlign w:val="center"/>
          </w:tcPr>
          <w:p w14:paraId="7579B2D5">
            <w:pPr>
              <w:pStyle w:val="28"/>
              <w:bidi w:val="0"/>
            </w:pPr>
            <w:r>
              <w:t>202</w:t>
            </w:r>
            <w:r>
              <w:rPr>
                <w:rFonts w:hint="eastAsia"/>
              </w:rPr>
              <w:t>4</w:t>
            </w:r>
            <w:r>
              <w:t>/</w:t>
            </w:r>
            <w:r>
              <w:rPr>
                <w:rFonts w:hint="eastAsia"/>
              </w:rPr>
              <w:t>6</w:t>
            </w:r>
            <w:r>
              <w:t>/2</w:t>
            </w:r>
            <w:r>
              <w:rPr>
                <w:rFonts w:hint="eastAsia"/>
              </w:rPr>
              <w:t>8</w:t>
            </w:r>
          </w:p>
        </w:tc>
        <w:tc>
          <w:tcPr>
            <w:tcW w:w="709" w:type="pct"/>
            <w:vAlign w:val="center"/>
          </w:tcPr>
          <w:p w14:paraId="126612B5">
            <w:pPr>
              <w:pStyle w:val="28"/>
              <w:bidi w:val="0"/>
            </w:pPr>
            <w:r>
              <w:t>7.</w:t>
            </w:r>
            <w:r>
              <w:rPr>
                <w:rFonts w:hint="eastAsia"/>
              </w:rPr>
              <w:t>4</w:t>
            </w:r>
          </w:p>
        </w:tc>
        <w:tc>
          <w:tcPr>
            <w:tcW w:w="451" w:type="pct"/>
            <w:vAlign w:val="center"/>
          </w:tcPr>
          <w:p w14:paraId="53CF0027">
            <w:pPr>
              <w:pStyle w:val="28"/>
              <w:bidi w:val="0"/>
            </w:pPr>
            <w:r>
              <w:rPr>
                <w:rFonts w:hint="eastAsia"/>
              </w:rPr>
              <w:t>21</w:t>
            </w:r>
          </w:p>
        </w:tc>
        <w:tc>
          <w:tcPr>
            <w:tcW w:w="603" w:type="pct"/>
            <w:vAlign w:val="center"/>
          </w:tcPr>
          <w:p w14:paraId="3F74D3AC">
            <w:pPr>
              <w:pStyle w:val="28"/>
              <w:bidi w:val="0"/>
            </w:pPr>
            <w:r>
              <w:rPr>
                <w:rFonts w:hint="eastAsia"/>
              </w:rPr>
              <w:t>4.9</w:t>
            </w:r>
          </w:p>
        </w:tc>
        <w:tc>
          <w:tcPr>
            <w:tcW w:w="451" w:type="pct"/>
            <w:vAlign w:val="center"/>
          </w:tcPr>
          <w:p w14:paraId="64522AC1">
            <w:pPr>
              <w:pStyle w:val="28"/>
              <w:bidi w:val="0"/>
            </w:pPr>
            <w:r>
              <w:rPr>
                <w:rFonts w:hint="eastAsia"/>
              </w:rPr>
              <w:t>23</w:t>
            </w:r>
          </w:p>
        </w:tc>
        <w:tc>
          <w:tcPr>
            <w:tcW w:w="397" w:type="pct"/>
            <w:vAlign w:val="center"/>
          </w:tcPr>
          <w:p w14:paraId="3407F97D">
            <w:pPr>
              <w:pStyle w:val="28"/>
              <w:bidi w:val="0"/>
            </w:pPr>
            <w:r>
              <w:rPr>
                <w:rFonts w:hint="eastAsia"/>
              </w:rPr>
              <w:t>0.692</w:t>
            </w:r>
          </w:p>
        </w:tc>
        <w:tc>
          <w:tcPr>
            <w:tcW w:w="457" w:type="pct"/>
            <w:vAlign w:val="center"/>
          </w:tcPr>
          <w:p w14:paraId="25D8398F">
            <w:pPr>
              <w:pStyle w:val="28"/>
              <w:bidi w:val="0"/>
            </w:pPr>
            <w:r>
              <w:rPr>
                <w:rFonts w:hint="eastAsia"/>
              </w:rPr>
              <w:t>0.13</w:t>
            </w:r>
          </w:p>
        </w:tc>
        <w:tc>
          <w:tcPr>
            <w:tcW w:w="455" w:type="pct"/>
            <w:vAlign w:val="center"/>
          </w:tcPr>
          <w:p w14:paraId="0AD1115F">
            <w:pPr>
              <w:pStyle w:val="28"/>
              <w:bidi w:val="0"/>
            </w:pPr>
            <w:r>
              <w:rPr>
                <w:rFonts w:hint="eastAsia"/>
              </w:rPr>
              <w:t>/</w:t>
            </w:r>
          </w:p>
        </w:tc>
      </w:tr>
      <w:tr w14:paraId="32729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2A04C9EB">
            <w:pPr>
              <w:pStyle w:val="28"/>
              <w:bidi w:val="0"/>
            </w:pPr>
          </w:p>
        </w:tc>
        <w:tc>
          <w:tcPr>
            <w:tcW w:w="795" w:type="pct"/>
            <w:vAlign w:val="center"/>
          </w:tcPr>
          <w:p w14:paraId="3386DD83">
            <w:pPr>
              <w:pStyle w:val="28"/>
              <w:bidi w:val="0"/>
            </w:pPr>
            <w:r>
              <w:t>202</w:t>
            </w:r>
            <w:r>
              <w:rPr>
                <w:rFonts w:hint="eastAsia"/>
              </w:rPr>
              <w:t>4</w:t>
            </w:r>
            <w:r>
              <w:t>/</w:t>
            </w:r>
            <w:r>
              <w:rPr>
                <w:rFonts w:hint="eastAsia"/>
              </w:rPr>
              <w:t>6</w:t>
            </w:r>
            <w:r>
              <w:t>/2</w:t>
            </w:r>
            <w:r>
              <w:rPr>
                <w:rFonts w:hint="eastAsia"/>
              </w:rPr>
              <w:t>9</w:t>
            </w:r>
          </w:p>
        </w:tc>
        <w:tc>
          <w:tcPr>
            <w:tcW w:w="709" w:type="pct"/>
            <w:vAlign w:val="center"/>
          </w:tcPr>
          <w:p w14:paraId="0C62E5C0">
            <w:pPr>
              <w:pStyle w:val="28"/>
              <w:bidi w:val="0"/>
            </w:pPr>
            <w:r>
              <w:t>7.</w:t>
            </w:r>
            <w:r>
              <w:rPr>
                <w:rFonts w:hint="eastAsia"/>
              </w:rPr>
              <w:t>3</w:t>
            </w:r>
          </w:p>
        </w:tc>
        <w:tc>
          <w:tcPr>
            <w:tcW w:w="451" w:type="pct"/>
            <w:vAlign w:val="center"/>
          </w:tcPr>
          <w:p w14:paraId="183C1BA2">
            <w:pPr>
              <w:pStyle w:val="28"/>
              <w:bidi w:val="0"/>
            </w:pPr>
            <w:r>
              <w:rPr>
                <w:rFonts w:hint="eastAsia"/>
              </w:rPr>
              <w:t>18</w:t>
            </w:r>
          </w:p>
        </w:tc>
        <w:tc>
          <w:tcPr>
            <w:tcW w:w="603" w:type="pct"/>
            <w:vAlign w:val="center"/>
          </w:tcPr>
          <w:p w14:paraId="15D315AE">
            <w:pPr>
              <w:pStyle w:val="28"/>
              <w:bidi w:val="0"/>
            </w:pPr>
            <w:r>
              <w:rPr>
                <w:rFonts w:hint="eastAsia"/>
              </w:rPr>
              <w:t>5.1</w:t>
            </w:r>
          </w:p>
        </w:tc>
        <w:tc>
          <w:tcPr>
            <w:tcW w:w="451" w:type="pct"/>
            <w:vAlign w:val="center"/>
          </w:tcPr>
          <w:p w14:paraId="4DE8C468">
            <w:pPr>
              <w:pStyle w:val="28"/>
              <w:bidi w:val="0"/>
            </w:pPr>
            <w:r>
              <w:rPr>
                <w:rFonts w:hint="eastAsia"/>
              </w:rPr>
              <w:t>25</w:t>
            </w:r>
          </w:p>
        </w:tc>
        <w:tc>
          <w:tcPr>
            <w:tcW w:w="397" w:type="pct"/>
            <w:vAlign w:val="center"/>
          </w:tcPr>
          <w:p w14:paraId="79A8B019">
            <w:pPr>
              <w:pStyle w:val="28"/>
              <w:bidi w:val="0"/>
            </w:pPr>
            <w:r>
              <w:rPr>
                <w:rFonts w:hint="eastAsia"/>
              </w:rPr>
              <w:t>0.673</w:t>
            </w:r>
          </w:p>
        </w:tc>
        <w:tc>
          <w:tcPr>
            <w:tcW w:w="457" w:type="pct"/>
            <w:vAlign w:val="center"/>
          </w:tcPr>
          <w:p w14:paraId="7BDD47A5">
            <w:pPr>
              <w:pStyle w:val="28"/>
              <w:bidi w:val="0"/>
            </w:pPr>
            <w:r>
              <w:rPr>
                <w:rFonts w:hint="eastAsia"/>
              </w:rPr>
              <w:t>0.07</w:t>
            </w:r>
          </w:p>
        </w:tc>
        <w:tc>
          <w:tcPr>
            <w:tcW w:w="455" w:type="pct"/>
            <w:vAlign w:val="center"/>
          </w:tcPr>
          <w:p w14:paraId="10786786">
            <w:pPr>
              <w:pStyle w:val="28"/>
              <w:bidi w:val="0"/>
            </w:pPr>
            <w:r>
              <w:rPr>
                <w:rFonts w:hint="eastAsia"/>
              </w:rPr>
              <w:t>/</w:t>
            </w:r>
          </w:p>
        </w:tc>
      </w:tr>
      <w:tr w14:paraId="7F889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29EB10F6">
            <w:pPr>
              <w:pStyle w:val="28"/>
              <w:bidi w:val="0"/>
            </w:pPr>
          </w:p>
        </w:tc>
        <w:tc>
          <w:tcPr>
            <w:tcW w:w="795" w:type="pct"/>
            <w:vAlign w:val="center"/>
          </w:tcPr>
          <w:p w14:paraId="355A79F5">
            <w:pPr>
              <w:pStyle w:val="28"/>
              <w:bidi w:val="0"/>
            </w:pPr>
            <w:r>
              <w:rPr>
                <w:rFonts w:hint="eastAsia"/>
              </w:rPr>
              <w:t>最大单因子指数</w:t>
            </w:r>
          </w:p>
        </w:tc>
        <w:tc>
          <w:tcPr>
            <w:tcW w:w="709" w:type="pct"/>
            <w:vAlign w:val="center"/>
          </w:tcPr>
          <w:p w14:paraId="75F61ED5">
            <w:pPr>
              <w:pStyle w:val="28"/>
              <w:bidi w:val="0"/>
            </w:pPr>
            <w:r>
              <w:t>0.2</w:t>
            </w:r>
          </w:p>
        </w:tc>
        <w:tc>
          <w:tcPr>
            <w:tcW w:w="451" w:type="pct"/>
            <w:vAlign w:val="center"/>
          </w:tcPr>
          <w:p w14:paraId="4EC37621">
            <w:pPr>
              <w:pStyle w:val="28"/>
              <w:bidi w:val="0"/>
            </w:pPr>
            <w:r>
              <w:rPr>
                <w:rFonts w:hint="eastAsia"/>
              </w:rPr>
              <w:t>1.05</w:t>
            </w:r>
          </w:p>
        </w:tc>
        <w:tc>
          <w:tcPr>
            <w:tcW w:w="603" w:type="pct"/>
            <w:vAlign w:val="center"/>
          </w:tcPr>
          <w:p w14:paraId="1270AF40">
            <w:pPr>
              <w:pStyle w:val="28"/>
              <w:bidi w:val="0"/>
            </w:pPr>
            <w:r>
              <w:rPr>
                <w:rFonts w:hint="eastAsia"/>
              </w:rPr>
              <w:t>1.325</w:t>
            </w:r>
          </w:p>
        </w:tc>
        <w:tc>
          <w:tcPr>
            <w:tcW w:w="451" w:type="pct"/>
            <w:vAlign w:val="center"/>
          </w:tcPr>
          <w:p w14:paraId="6CC1E985">
            <w:pPr>
              <w:pStyle w:val="28"/>
              <w:bidi w:val="0"/>
            </w:pPr>
            <w:r>
              <w:rPr>
                <w:rFonts w:hint="eastAsia"/>
              </w:rPr>
              <w:t>/</w:t>
            </w:r>
          </w:p>
        </w:tc>
        <w:tc>
          <w:tcPr>
            <w:tcW w:w="397" w:type="pct"/>
            <w:vAlign w:val="center"/>
          </w:tcPr>
          <w:p w14:paraId="496A4740">
            <w:pPr>
              <w:pStyle w:val="28"/>
              <w:bidi w:val="0"/>
            </w:pPr>
            <w:r>
              <w:rPr>
                <w:rFonts w:hint="eastAsia"/>
              </w:rPr>
              <w:t>0.692</w:t>
            </w:r>
          </w:p>
        </w:tc>
        <w:tc>
          <w:tcPr>
            <w:tcW w:w="457" w:type="pct"/>
            <w:vAlign w:val="center"/>
          </w:tcPr>
          <w:p w14:paraId="09CF56D9">
            <w:pPr>
              <w:pStyle w:val="28"/>
              <w:bidi w:val="0"/>
            </w:pPr>
            <w:r>
              <w:rPr>
                <w:rFonts w:hint="eastAsia"/>
              </w:rPr>
              <w:t>0.65</w:t>
            </w:r>
          </w:p>
        </w:tc>
        <w:tc>
          <w:tcPr>
            <w:tcW w:w="455" w:type="pct"/>
            <w:vAlign w:val="center"/>
          </w:tcPr>
          <w:p w14:paraId="17DDD8C4">
            <w:pPr>
              <w:pStyle w:val="28"/>
              <w:bidi w:val="0"/>
            </w:pPr>
            <w:r>
              <w:rPr>
                <w:rFonts w:hint="eastAsia"/>
              </w:rPr>
              <w:t>/</w:t>
            </w:r>
          </w:p>
        </w:tc>
      </w:tr>
      <w:tr w14:paraId="76DAB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restart"/>
            <w:vAlign w:val="center"/>
          </w:tcPr>
          <w:p w14:paraId="4FC98690">
            <w:pPr>
              <w:pStyle w:val="28"/>
              <w:bidi w:val="0"/>
            </w:pPr>
            <w:r>
              <w:rPr>
                <w:rFonts w:hint="eastAsia"/>
              </w:rPr>
              <w:t>W3二东干渠下游</w:t>
            </w:r>
          </w:p>
        </w:tc>
        <w:tc>
          <w:tcPr>
            <w:tcW w:w="795" w:type="pct"/>
            <w:vAlign w:val="center"/>
          </w:tcPr>
          <w:p w14:paraId="0C1D675C">
            <w:pPr>
              <w:pStyle w:val="28"/>
              <w:bidi w:val="0"/>
            </w:pPr>
            <w:r>
              <w:t>202</w:t>
            </w:r>
            <w:r>
              <w:rPr>
                <w:rFonts w:hint="eastAsia"/>
              </w:rPr>
              <w:t>4</w:t>
            </w:r>
            <w:r>
              <w:t>/</w:t>
            </w:r>
            <w:r>
              <w:rPr>
                <w:rFonts w:hint="eastAsia"/>
              </w:rPr>
              <w:t>6</w:t>
            </w:r>
            <w:r>
              <w:t>/2</w:t>
            </w:r>
            <w:r>
              <w:rPr>
                <w:rFonts w:hint="eastAsia"/>
              </w:rPr>
              <w:t>7</w:t>
            </w:r>
          </w:p>
        </w:tc>
        <w:tc>
          <w:tcPr>
            <w:tcW w:w="709" w:type="pct"/>
            <w:vAlign w:val="center"/>
          </w:tcPr>
          <w:p w14:paraId="23419320">
            <w:pPr>
              <w:pStyle w:val="28"/>
              <w:bidi w:val="0"/>
            </w:pPr>
            <w:r>
              <w:t>7.</w:t>
            </w:r>
            <w:r>
              <w:rPr>
                <w:rFonts w:hint="eastAsia"/>
              </w:rPr>
              <w:t>3</w:t>
            </w:r>
          </w:p>
        </w:tc>
        <w:tc>
          <w:tcPr>
            <w:tcW w:w="451" w:type="pct"/>
            <w:vAlign w:val="center"/>
          </w:tcPr>
          <w:p w14:paraId="4AE26744">
            <w:pPr>
              <w:pStyle w:val="28"/>
              <w:bidi w:val="0"/>
            </w:pPr>
            <w:r>
              <w:rPr>
                <w:rFonts w:hint="eastAsia"/>
              </w:rPr>
              <w:t>32</w:t>
            </w:r>
          </w:p>
        </w:tc>
        <w:tc>
          <w:tcPr>
            <w:tcW w:w="603" w:type="pct"/>
            <w:vAlign w:val="center"/>
          </w:tcPr>
          <w:p w14:paraId="1A732E87">
            <w:pPr>
              <w:pStyle w:val="28"/>
              <w:bidi w:val="0"/>
            </w:pPr>
            <w:r>
              <w:rPr>
                <w:rFonts w:hint="eastAsia"/>
              </w:rPr>
              <w:t>9.6</w:t>
            </w:r>
          </w:p>
        </w:tc>
        <w:tc>
          <w:tcPr>
            <w:tcW w:w="451" w:type="pct"/>
            <w:vAlign w:val="center"/>
          </w:tcPr>
          <w:p w14:paraId="2164F84E">
            <w:pPr>
              <w:pStyle w:val="28"/>
              <w:bidi w:val="0"/>
            </w:pPr>
            <w:r>
              <w:rPr>
                <w:rFonts w:hint="eastAsia"/>
              </w:rPr>
              <w:t>24</w:t>
            </w:r>
          </w:p>
        </w:tc>
        <w:tc>
          <w:tcPr>
            <w:tcW w:w="397" w:type="pct"/>
            <w:vAlign w:val="center"/>
          </w:tcPr>
          <w:p w14:paraId="5CAA1293">
            <w:pPr>
              <w:pStyle w:val="28"/>
              <w:bidi w:val="0"/>
            </w:pPr>
            <w:r>
              <w:rPr>
                <w:rFonts w:hint="eastAsia"/>
              </w:rPr>
              <w:t>0.716</w:t>
            </w:r>
          </w:p>
        </w:tc>
        <w:tc>
          <w:tcPr>
            <w:tcW w:w="457" w:type="pct"/>
            <w:vAlign w:val="center"/>
          </w:tcPr>
          <w:p w14:paraId="1776522B">
            <w:pPr>
              <w:pStyle w:val="28"/>
              <w:bidi w:val="0"/>
            </w:pPr>
            <w:r>
              <w:rPr>
                <w:rFonts w:hint="eastAsia"/>
              </w:rPr>
              <w:t>0.07</w:t>
            </w:r>
          </w:p>
        </w:tc>
        <w:tc>
          <w:tcPr>
            <w:tcW w:w="455" w:type="pct"/>
            <w:vAlign w:val="center"/>
          </w:tcPr>
          <w:p w14:paraId="51FC4B62">
            <w:pPr>
              <w:pStyle w:val="28"/>
              <w:bidi w:val="0"/>
            </w:pPr>
            <w:r>
              <w:rPr>
                <w:rFonts w:hint="eastAsia"/>
              </w:rPr>
              <w:t>/</w:t>
            </w:r>
          </w:p>
        </w:tc>
      </w:tr>
      <w:tr w14:paraId="36E66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4DF168E3">
            <w:pPr>
              <w:pStyle w:val="28"/>
              <w:bidi w:val="0"/>
            </w:pPr>
          </w:p>
        </w:tc>
        <w:tc>
          <w:tcPr>
            <w:tcW w:w="795" w:type="pct"/>
            <w:vAlign w:val="center"/>
          </w:tcPr>
          <w:p w14:paraId="51A2C703">
            <w:pPr>
              <w:pStyle w:val="28"/>
              <w:bidi w:val="0"/>
            </w:pPr>
            <w:r>
              <w:t>202</w:t>
            </w:r>
            <w:r>
              <w:rPr>
                <w:rFonts w:hint="eastAsia"/>
              </w:rPr>
              <w:t>4</w:t>
            </w:r>
            <w:r>
              <w:t>/</w:t>
            </w:r>
            <w:r>
              <w:rPr>
                <w:rFonts w:hint="eastAsia"/>
              </w:rPr>
              <w:t>6</w:t>
            </w:r>
            <w:r>
              <w:t>/2</w:t>
            </w:r>
            <w:r>
              <w:rPr>
                <w:rFonts w:hint="eastAsia"/>
              </w:rPr>
              <w:t>8</w:t>
            </w:r>
          </w:p>
        </w:tc>
        <w:tc>
          <w:tcPr>
            <w:tcW w:w="709" w:type="pct"/>
            <w:vAlign w:val="center"/>
          </w:tcPr>
          <w:p w14:paraId="000FFB07">
            <w:pPr>
              <w:pStyle w:val="28"/>
              <w:bidi w:val="0"/>
            </w:pPr>
            <w:r>
              <w:t>7.</w:t>
            </w:r>
            <w:r>
              <w:rPr>
                <w:rFonts w:hint="eastAsia"/>
              </w:rPr>
              <w:t>3</w:t>
            </w:r>
          </w:p>
        </w:tc>
        <w:tc>
          <w:tcPr>
            <w:tcW w:w="451" w:type="pct"/>
            <w:vAlign w:val="center"/>
          </w:tcPr>
          <w:p w14:paraId="7538C1E3">
            <w:pPr>
              <w:pStyle w:val="28"/>
              <w:bidi w:val="0"/>
            </w:pPr>
            <w:r>
              <w:rPr>
                <w:rFonts w:hint="eastAsia"/>
              </w:rPr>
              <w:t>26</w:t>
            </w:r>
          </w:p>
        </w:tc>
        <w:tc>
          <w:tcPr>
            <w:tcW w:w="603" w:type="pct"/>
            <w:vAlign w:val="center"/>
          </w:tcPr>
          <w:p w14:paraId="2861FC75">
            <w:pPr>
              <w:pStyle w:val="28"/>
              <w:bidi w:val="0"/>
            </w:pPr>
            <w:r>
              <w:rPr>
                <w:rFonts w:hint="eastAsia"/>
              </w:rPr>
              <w:t>8.6</w:t>
            </w:r>
          </w:p>
        </w:tc>
        <w:tc>
          <w:tcPr>
            <w:tcW w:w="451" w:type="pct"/>
            <w:vAlign w:val="center"/>
          </w:tcPr>
          <w:p w14:paraId="2CA6B16F">
            <w:pPr>
              <w:pStyle w:val="28"/>
              <w:bidi w:val="0"/>
            </w:pPr>
            <w:r>
              <w:rPr>
                <w:rFonts w:hint="eastAsia"/>
              </w:rPr>
              <w:t>17</w:t>
            </w:r>
          </w:p>
        </w:tc>
        <w:tc>
          <w:tcPr>
            <w:tcW w:w="397" w:type="pct"/>
            <w:vAlign w:val="center"/>
          </w:tcPr>
          <w:p w14:paraId="05423F16">
            <w:pPr>
              <w:pStyle w:val="28"/>
              <w:bidi w:val="0"/>
            </w:pPr>
            <w:r>
              <w:rPr>
                <w:rFonts w:hint="eastAsia"/>
              </w:rPr>
              <w:t>0.694</w:t>
            </w:r>
          </w:p>
        </w:tc>
        <w:tc>
          <w:tcPr>
            <w:tcW w:w="457" w:type="pct"/>
            <w:vAlign w:val="center"/>
          </w:tcPr>
          <w:p w14:paraId="663FCF14">
            <w:pPr>
              <w:pStyle w:val="28"/>
              <w:bidi w:val="0"/>
            </w:pPr>
            <w:r>
              <w:rPr>
                <w:rFonts w:hint="eastAsia"/>
              </w:rPr>
              <w:t>0.10</w:t>
            </w:r>
          </w:p>
        </w:tc>
        <w:tc>
          <w:tcPr>
            <w:tcW w:w="455" w:type="pct"/>
            <w:vAlign w:val="center"/>
          </w:tcPr>
          <w:p w14:paraId="2BA4CBAB">
            <w:pPr>
              <w:pStyle w:val="28"/>
              <w:bidi w:val="0"/>
            </w:pPr>
            <w:r>
              <w:rPr>
                <w:rFonts w:hint="eastAsia"/>
              </w:rPr>
              <w:t>/</w:t>
            </w:r>
          </w:p>
        </w:tc>
      </w:tr>
      <w:tr w14:paraId="1C905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67F4811D">
            <w:pPr>
              <w:pStyle w:val="28"/>
              <w:bidi w:val="0"/>
            </w:pPr>
          </w:p>
        </w:tc>
        <w:tc>
          <w:tcPr>
            <w:tcW w:w="795" w:type="pct"/>
            <w:vAlign w:val="center"/>
          </w:tcPr>
          <w:p w14:paraId="304E2A8C">
            <w:pPr>
              <w:pStyle w:val="28"/>
              <w:bidi w:val="0"/>
            </w:pPr>
            <w:r>
              <w:t>202</w:t>
            </w:r>
            <w:r>
              <w:rPr>
                <w:rFonts w:hint="eastAsia"/>
              </w:rPr>
              <w:t>4</w:t>
            </w:r>
            <w:r>
              <w:t>/</w:t>
            </w:r>
            <w:r>
              <w:rPr>
                <w:rFonts w:hint="eastAsia"/>
              </w:rPr>
              <w:t>6</w:t>
            </w:r>
            <w:r>
              <w:t>/2</w:t>
            </w:r>
            <w:r>
              <w:rPr>
                <w:rFonts w:hint="eastAsia"/>
              </w:rPr>
              <w:t>9</w:t>
            </w:r>
          </w:p>
        </w:tc>
        <w:tc>
          <w:tcPr>
            <w:tcW w:w="709" w:type="pct"/>
            <w:vAlign w:val="center"/>
          </w:tcPr>
          <w:p w14:paraId="1C7D751D">
            <w:pPr>
              <w:pStyle w:val="28"/>
              <w:bidi w:val="0"/>
            </w:pPr>
            <w:r>
              <w:t>7.</w:t>
            </w:r>
            <w:r>
              <w:rPr>
                <w:rFonts w:hint="eastAsia"/>
              </w:rPr>
              <w:t>3</w:t>
            </w:r>
          </w:p>
        </w:tc>
        <w:tc>
          <w:tcPr>
            <w:tcW w:w="451" w:type="pct"/>
            <w:vAlign w:val="center"/>
          </w:tcPr>
          <w:p w14:paraId="32E45E81">
            <w:pPr>
              <w:pStyle w:val="28"/>
              <w:bidi w:val="0"/>
            </w:pPr>
            <w:r>
              <w:rPr>
                <w:rFonts w:hint="eastAsia"/>
              </w:rPr>
              <w:t>29</w:t>
            </w:r>
          </w:p>
        </w:tc>
        <w:tc>
          <w:tcPr>
            <w:tcW w:w="603" w:type="pct"/>
            <w:vAlign w:val="center"/>
          </w:tcPr>
          <w:p w14:paraId="4220320F">
            <w:pPr>
              <w:pStyle w:val="28"/>
              <w:bidi w:val="0"/>
            </w:pPr>
            <w:r>
              <w:rPr>
                <w:rFonts w:hint="eastAsia"/>
              </w:rPr>
              <w:t>9.4</w:t>
            </w:r>
          </w:p>
        </w:tc>
        <w:tc>
          <w:tcPr>
            <w:tcW w:w="451" w:type="pct"/>
            <w:vAlign w:val="center"/>
          </w:tcPr>
          <w:p w14:paraId="0F85E331">
            <w:pPr>
              <w:pStyle w:val="28"/>
              <w:bidi w:val="0"/>
            </w:pPr>
            <w:r>
              <w:rPr>
                <w:rFonts w:hint="eastAsia"/>
              </w:rPr>
              <w:t>20</w:t>
            </w:r>
          </w:p>
        </w:tc>
        <w:tc>
          <w:tcPr>
            <w:tcW w:w="397" w:type="pct"/>
            <w:vAlign w:val="center"/>
          </w:tcPr>
          <w:p w14:paraId="14D70DD9">
            <w:pPr>
              <w:pStyle w:val="28"/>
              <w:bidi w:val="0"/>
            </w:pPr>
            <w:r>
              <w:rPr>
                <w:rFonts w:hint="eastAsia"/>
              </w:rPr>
              <w:t>0.705</w:t>
            </w:r>
          </w:p>
        </w:tc>
        <w:tc>
          <w:tcPr>
            <w:tcW w:w="457" w:type="pct"/>
            <w:vAlign w:val="center"/>
          </w:tcPr>
          <w:p w14:paraId="28183753">
            <w:pPr>
              <w:pStyle w:val="28"/>
              <w:bidi w:val="0"/>
            </w:pPr>
            <w:r>
              <w:rPr>
                <w:rFonts w:hint="eastAsia"/>
              </w:rPr>
              <w:t>0.09</w:t>
            </w:r>
          </w:p>
        </w:tc>
        <w:tc>
          <w:tcPr>
            <w:tcW w:w="455" w:type="pct"/>
            <w:vAlign w:val="center"/>
          </w:tcPr>
          <w:p w14:paraId="7D8CD2A9">
            <w:pPr>
              <w:pStyle w:val="28"/>
              <w:bidi w:val="0"/>
            </w:pPr>
            <w:r>
              <w:rPr>
                <w:rFonts w:hint="eastAsia"/>
              </w:rPr>
              <w:t>/</w:t>
            </w:r>
          </w:p>
        </w:tc>
      </w:tr>
      <w:tr w14:paraId="1326D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6CA31DFF">
            <w:pPr>
              <w:pStyle w:val="28"/>
              <w:bidi w:val="0"/>
            </w:pPr>
          </w:p>
        </w:tc>
        <w:tc>
          <w:tcPr>
            <w:tcW w:w="795" w:type="pct"/>
            <w:vAlign w:val="center"/>
          </w:tcPr>
          <w:p w14:paraId="718533AF">
            <w:pPr>
              <w:pStyle w:val="28"/>
              <w:bidi w:val="0"/>
            </w:pPr>
            <w:r>
              <w:rPr>
                <w:rFonts w:hint="eastAsia"/>
              </w:rPr>
              <w:t>最大单因子指数</w:t>
            </w:r>
          </w:p>
        </w:tc>
        <w:tc>
          <w:tcPr>
            <w:tcW w:w="709" w:type="pct"/>
            <w:vAlign w:val="center"/>
          </w:tcPr>
          <w:p w14:paraId="0137A9CF">
            <w:pPr>
              <w:pStyle w:val="28"/>
              <w:bidi w:val="0"/>
            </w:pPr>
            <w:r>
              <w:t>0.</w:t>
            </w:r>
            <w:r>
              <w:rPr>
                <w:rFonts w:hint="eastAsia"/>
              </w:rPr>
              <w:t>15</w:t>
            </w:r>
          </w:p>
        </w:tc>
        <w:tc>
          <w:tcPr>
            <w:tcW w:w="451" w:type="pct"/>
            <w:vAlign w:val="center"/>
          </w:tcPr>
          <w:p w14:paraId="624564DB">
            <w:pPr>
              <w:pStyle w:val="28"/>
              <w:bidi w:val="0"/>
            </w:pPr>
            <w:r>
              <w:rPr>
                <w:rFonts w:hint="eastAsia"/>
              </w:rPr>
              <w:t>1.6</w:t>
            </w:r>
          </w:p>
        </w:tc>
        <w:tc>
          <w:tcPr>
            <w:tcW w:w="603" w:type="pct"/>
            <w:vAlign w:val="center"/>
          </w:tcPr>
          <w:p w14:paraId="0B8A5231">
            <w:pPr>
              <w:pStyle w:val="28"/>
              <w:bidi w:val="0"/>
            </w:pPr>
            <w:r>
              <w:rPr>
                <w:rFonts w:hint="eastAsia"/>
              </w:rPr>
              <w:t>2.4</w:t>
            </w:r>
          </w:p>
        </w:tc>
        <w:tc>
          <w:tcPr>
            <w:tcW w:w="451" w:type="pct"/>
            <w:vAlign w:val="center"/>
          </w:tcPr>
          <w:p w14:paraId="7E3702E8">
            <w:pPr>
              <w:pStyle w:val="28"/>
              <w:bidi w:val="0"/>
            </w:pPr>
            <w:r>
              <w:rPr>
                <w:rFonts w:hint="eastAsia"/>
              </w:rPr>
              <w:t>/</w:t>
            </w:r>
          </w:p>
        </w:tc>
        <w:tc>
          <w:tcPr>
            <w:tcW w:w="397" w:type="pct"/>
            <w:vAlign w:val="center"/>
          </w:tcPr>
          <w:p w14:paraId="2A5B209F">
            <w:pPr>
              <w:pStyle w:val="28"/>
              <w:bidi w:val="0"/>
            </w:pPr>
            <w:r>
              <w:rPr>
                <w:rFonts w:hint="eastAsia"/>
              </w:rPr>
              <w:t>0.716</w:t>
            </w:r>
          </w:p>
        </w:tc>
        <w:tc>
          <w:tcPr>
            <w:tcW w:w="457" w:type="pct"/>
            <w:vAlign w:val="center"/>
          </w:tcPr>
          <w:p w14:paraId="09E3F5F0">
            <w:pPr>
              <w:pStyle w:val="28"/>
              <w:bidi w:val="0"/>
            </w:pPr>
            <w:r>
              <w:rPr>
                <w:rFonts w:hint="eastAsia"/>
              </w:rPr>
              <w:t>0.50</w:t>
            </w:r>
          </w:p>
        </w:tc>
        <w:tc>
          <w:tcPr>
            <w:tcW w:w="455" w:type="pct"/>
            <w:vAlign w:val="center"/>
          </w:tcPr>
          <w:p w14:paraId="11B13E4A">
            <w:pPr>
              <w:pStyle w:val="28"/>
              <w:bidi w:val="0"/>
            </w:pPr>
            <w:r>
              <w:rPr>
                <w:rFonts w:hint="eastAsia"/>
              </w:rPr>
              <w:t>/</w:t>
            </w:r>
          </w:p>
        </w:tc>
      </w:tr>
      <w:tr w14:paraId="2B6C6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restart"/>
            <w:vAlign w:val="center"/>
          </w:tcPr>
          <w:p w14:paraId="15330E64">
            <w:pPr>
              <w:pStyle w:val="28"/>
              <w:bidi w:val="0"/>
            </w:pPr>
            <w:r>
              <w:rPr>
                <w:rFonts w:hint="eastAsia"/>
              </w:rPr>
              <w:t>W4二北干渠下游</w:t>
            </w:r>
          </w:p>
        </w:tc>
        <w:tc>
          <w:tcPr>
            <w:tcW w:w="795" w:type="pct"/>
            <w:vAlign w:val="center"/>
          </w:tcPr>
          <w:p w14:paraId="3ED8A114">
            <w:pPr>
              <w:pStyle w:val="28"/>
              <w:bidi w:val="0"/>
            </w:pPr>
            <w:r>
              <w:t>202</w:t>
            </w:r>
            <w:r>
              <w:rPr>
                <w:rFonts w:hint="eastAsia"/>
              </w:rPr>
              <w:t>4</w:t>
            </w:r>
            <w:r>
              <w:t>/</w:t>
            </w:r>
            <w:r>
              <w:rPr>
                <w:rFonts w:hint="eastAsia"/>
              </w:rPr>
              <w:t>6</w:t>
            </w:r>
            <w:r>
              <w:t>/2</w:t>
            </w:r>
            <w:r>
              <w:rPr>
                <w:rFonts w:hint="eastAsia"/>
              </w:rPr>
              <w:t>7</w:t>
            </w:r>
          </w:p>
        </w:tc>
        <w:tc>
          <w:tcPr>
            <w:tcW w:w="709" w:type="pct"/>
            <w:vAlign w:val="center"/>
          </w:tcPr>
          <w:p w14:paraId="4185F2EE">
            <w:pPr>
              <w:pStyle w:val="28"/>
              <w:bidi w:val="0"/>
            </w:pPr>
            <w:r>
              <w:t>7</w:t>
            </w:r>
            <w:r>
              <w:rPr>
                <w:rFonts w:hint="eastAsia"/>
              </w:rPr>
              <w:t>.5</w:t>
            </w:r>
          </w:p>
        </w:tc>
        <w:tc>
          <w:tcPr>
            <w:tcW w:w="451" w:type="pct"/>
            <w:vAlign w:val="center"/>
          </w:tcPr>
          <w:p w14:paraId="084CDF71">
            <w:pPr>
              <w:pStyle w:val="28"/>
              <w:bidi w:val="0"/>
            </w:pPr>
            <w:r>
              <w:rPr>
                <w:rFonts w:hint="eastAsia"/>
              </w:rPr>
              <w:t>21</w:t>
            </w:r>
          </w:p>
        </w:tc>
        <w:tc>
          <w:tcPr>
            <w:tcW w:w="603" w:type="pct"/>
            <w:vAlign w:val="center"/>
          </w:tcPr>
          <w:p w14:paraId="68E0CE82">
            <w:pPr>
              <w:pStyle w:val="28"/>
              <w:bidi w:val="0"/>
            </w:pPr>
            <w:r>
              <w:rPr>
                <w:rFonts w:hint="eastAsia"/>
              </w:rPr>
              <w:t>5.6</w:t>
            </w:r>
          </w:p>
        </w:tc>
        <w:tc>
          <w:tcPr>
            <w:tcW w:w="451" w:type="pct"/>
            <w:vAlign w:val="center"/>
          </w:tcPr>
          <w:p w14:paraId="536E6025">
            <w:pPr>
              <w:pStyle w:val="28"/>
              <w:bidi w:val="0"/>
            </w:pPr>
            <w:r>
              <w:rPr>
                <w:rFonts w:hint="eastAsia"/>
              </w:rPr>
              <w:t>19</w:t>
            </w:r>
          </w:p>
        </w:tc>
        <w:tc>
          <w:tcPr>
            <w:tcW w:w="397" w:type="pct"/>
            <w:vAlign w:val="center"/>
          </w:tcPr>
          <w:p w14:paraId="289AFC98">
            <w:pPr>
              <w:pStyle w:val="28"/>
              <w:bidi w:val="0"/>
            </w:pPr>
            <w:r>
              <w:rPr>
                <w:rFonts w:hint="eastAsia"/>
              </w:rPr>
              <w:t>0.859</w:t>
            </w:r>
          </w:p>
        </w:tc>
        <w:tc>
          <w:tcPr>
            <w:tcW w:w="457" w:type="pct"/>
            <w:vAlign w:val="center"/>
          </w:tcPr>
          <w:p w14:paraId="046986CE">
            <w:pPr>
              <w:pStyle w:val="28"/>
              <w:bidi w:val="0"/>
            </w:pPr>
            <w:r>
              <w:rPr>
                <w:rFonts w:hint="eastAsia"/>
              </w:rPr>
              <w:t>0.12</w:t>
            </w:r>
          </w:p>
        </w:tc>
        <w:tc>
          <w:tcPr>
            <w:tcW w:w="455" w:type="pct"/>
            <w:vAlign w:val="center"/>
          </w:tcPr>
          <w:p w14:paraId="32BD074A">
            <w:pPr>
              <w:pStyle w:val="28"/>
              <w:bidi w:val="0"/>
            </w:pPr>
            <w:r>
              <w:rPr>
                <w:rFonts w:hint="eastAsia"/>
              </w:rPr>
              <w:t>/</w:t>
            </w:r>
          </w:p>
        </w:tc>
      </w:tr>
      <w:tr w14:paraId="11A54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19A7B061">
            <w:pPr>
              <w:pStyle w:val="28"/>
              <w:bidi w:val="0"/>
            </w:pPr>
          </w:p>
        </w:tc>
        <w:tc>
          <w:tcPr>
            <w:tcW w:w="795" w:type="pct"/>
            <w:vAlign w:val="center"/>
          </w:tcPr>
          <w:p w14:paraId="282E4085">
            <w:pPr>
              <w:pStyle w:val="28"/>
              <w:bidi w:val="0"/>
            </w:pPr>
            <w:r>
              <w:t>202</w:t>
            </w:r>
            <w:r>
              <w:rPr>
                <w:rFonts w:hint="eastAsia"/>
              </w:rPr>
              <w:t>4</w:t>
            </w:r>
            <w:r>
              <w:t>/</w:t>
            </w:r>
            <w:r>
              <w:rPr>
                <w:rFonts w:hint="eastAsia"/>
              </w:rPr>
              <w:t>6</w:t>
            </w:r>
            <w:r>
              <w:t>/2</w:t>
            </w:r>
            <w:r>
              <w:rPr>
                <w:rFonts w:hint="eastAsia"/>
              </w:rPr>
              <w:t>8</w:t>
            </w:r>
          </w:p>
        </w:tc>
        <w:tc>
          <w:tcPr>
            <w:tcW w:w="709" w:type="pct"/>
            <w:vAlign w:val="center"/>
          </w:tcPr>
          <w:p w14:paraId="0B81FEFE">
            <w:pPr>
              <w:pStyle w:val="28"/>
              <w:bidi w:val="0"/>
            </w:pPr>
            <w:r>
              <w:t>7.</w:t>
            </w:r>
            <w:r>
              <w:rPr>
                <w:rFonts w:hint="eastAsia"/>
              </w:rPr>
              <w:t>5</w:t>
            </w:r>
          </w:p>
        </w:tc>
        <w:tc>
          <w:tcPr>
            <w:tcW w:w="451" w:type="pct"/>
            <w:vAlign w:val="center"/>
          </w:tcPr>
          <w:p w14:paraId="2CD5F0BC">
            <w:pPr>
              <w:pStyle w:val="28"/>
              <w:bidi w:val="0"/>
            </w:pPr>
            <w:r>
              <w:rPr>
                <w:rFonts w:hint="eastAsia"/>
              </w:rPr>
              <w:t>19</w:t>
            </w:r>
          </w:p>
        </w:tc>
        <w:tc>
          <w:tcPr>
            <w:tcW w:w="603" w:type="pct"/>
            <w:vAlign w:val="center"/>
          </w:tcPr>
          <w:p w14:paraId="3D9DE5C9">
            <w:pPr>
              <w:pStyle w:val="28"/>
              <w:bidi w:val="0"/>
            </w:pPr>
            <w:r>
              <w:rPr>
                <w:rFonts w:hint="eastAsia"/>
              </w:rPr>
              <w:t>5.9</w:t>
            </w:r>
          </w:p>
        </w:tc>
        <w:tc>
          <w:tcPr>
            <w:tcW w:w="451" w:type="pct"/>
            <w:vAlign w:val="center"/>
          </w:tcPr>
          <w:p w14:paraId="209B1DB1">
            <w:pPr>
              <w:pStyle w:val="28"/>
              <w:bidi w:val="0"/>
            </w:pPr>
            <w:r>
              <w:rPr>
                <w:rFonts w:hint="eastAsia"/>
              </w:rPr>
              <w:t>22</w:t>
            </w:r>
          </w:p>
        </w:tc>
        <w:tc>
          <w:tcPr>
            <w:tcW w:w="397" w:type="pct"/>
            <w:vAlign w:val="center"/>
          </w:tcPr>
          <w:p w14:paraId="74C91624">
            <w:pPr>
              <w:pStyle w:val="28"/>
              <w:bidi w:val="0"/>
            </w:pPr>
            <w:r>
              <w:rPr>
                <w:rFonts w:hint="eastAsia"/>
              </w:rPr>
              <w:t>0.811</w:t>
            </w:r>
          </w:p>
        </w:tc>
        <w:tc>
          <w:tcPr>
            <w:tcW w:w="457" w:type="pct"/>
            <w:vAlign w:val="center"/>
          </w:tcPr>
          <w:p w14:paraId="18DDFE97">
            <w:pPr>
              <w:pStyle w:val="28"/>
              <w:bidi w:val="0"/>
            </w:pPr>
            <w:r>
              <w:rPr>
                <w:rFonts w:hint="eastAsia"/>
              </w:rPr>
              <w:t>0.09</w:t>
            </w:r>
          </w:p>
        </w:tc>
        <w:tc>
          <w:tcPr>
            <w:tcW w:w="455" w:type="pct"/>
            <w:vAlign w:val="center"/>
          </w:tcPr>
          <w:p w14:paraId="519E8503">
            <w:pPr>
              <w:pStyle w:val="28"/>
              <w:bidi w:val="0"/>
            </w:pPr>
            <w:r>
              <w:rPr>
                <w:rFonts w:hint="eastAsia"/>
              </w:rPr>
              <w:t>/</w:t>
            </w:r>
          </w:p>
        </w:tc>
      </w:tr>
      <w:tr w14:paraId="487BB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6655A578">
            <w:pPr>
              <w:pStyle w:val="28"/>
              <w:bidi w:val="0"/>
            </w:pPr>
          </w:p>
        </w:tc>
        <w:tc>
          <w:tcPr>
            <w:tcW w:w="795" w:type="pct"/>
            <w:vAlign w:val="center"/>
          </w:tcPr>
          <w:p w14:paraId="712F003E">
            <w:pPr>
              <w:pStyle w:val="28"/>
              <w:bidi w:val="0"/>
            </w:pPr>
            <w:r>
              <w:t>202</w:t>
            </w:r>
            <w:r>
              <w:rPr>
                <w:rFonts w:hint="eastAsia"/>
              </w:rPr>
              <w:t>4</w:t>
            </w:r>
            <w:r>
              <w:t>/</w:t>
            </w:r>
            <w:r>
              <w:rPr>
                <w:rFonts w:hint="eastAsia"/>
              </w:rPr>
              <w:t>6</w:t>
            </w:r>
            <w:r>
              <w:t>/2</w:t>
            </w:r>
            <w:r>
              <w:rPr>
                <w:rFonts w:hint="eastAsia"/>
              </w:rPr>
              <w:t>9</w:t>
            </w:r>
          </w:p>
        </w:tc>
        <w:tc>
          <w:tcPr>
            <w:tcW w:w="709" w:type="pct"/>
            <w:vAlign w:val="center"/>
          </w:tcPr>
          <w:p w14:paraId="532228CF">
            <w:pPr>
              <w:pStyle w:val="28"/>
              <w:bidi w:val="0"/>
            </w:pPr>
            <w:r>
              <w:t>7</w:t>
            </w:r>
            <w:r>
              <w:rPr>
                <w:rFonts w:hint="eastAsia"/>
              </w:rPr>
              <w:t>.5</w:t>
            </w:r>
          </w:p>
        </w:tc>
        <w:tc>
          <w:tcPr>
            <w:tcW w:w="451" w:type="pct"/>
            <w:vAlign w:val="center"/>
          </w:tcPr>
          <w:p w14:paraId="033203A3">
            <w:pPr>
              <w:pStyle w:val="28"/>
              <w:bidi w:val="0"/>
            </w:pPr>
            <w:r>
              <w:rPr>
                <w:rFonts w:hint="eastAsia"/>
              </w:rPr>
              <w:t>24</w:t>
            </w:r>
          </w:p>
        </w:tc>
        <w:tc>
          <w:tcPr>
            <w:tcW w:w="603" w:type="pct"/>
            <w:vAlign w:val="center"/>
          </w:tcPr>
          <w:p w14:paraId="1092B6E8">
            <w:pPr>
              <w:pStyle w:val="28"/>
              <w:bidi w:val="0"/>
            </w:pPr>
            <w:r>
              <w:rPr>
                <w:rFonts w:hint="eastAsia"/>
              </w:rPr>
              <w:t>5.6</w:t>
            </w:r>
          </w:p>
        </w:tc>
        <w:tc>
          <w:tcPr>
            <w:tcW w:w="451" w:type="pct"/>
            <w:vAlign w:val="center"/>
          </w:tcPr>
          <w:p w14:paraId="7F499169">
            <w:pPr>
              <w:pStyle w:val="28"/>
              <w:bidi w:val="0"/>
            </w:pPr>
            <w:r>
              <w:rPr>
                <w:rFonts w:hint="eastAsia"/>
              </w:rPr>
              <w:t>18</w:t>
            </w:r>
          </w:p>
        </w:tc>
        <w:tc>
          <w:tcPr>
            <w:tcW w:w="397" w:type="pct"/>
            <w:vAlign w:val="center"/>
          </w:tcPr>
          <w:p w14:paraId="4D62BBD3">
            <w:pPr>
              <w:pStyle w:val="28"/>
              <w:bidi w:val="0"/>
            </w:pPr>
            <w:r>
              <w:rPr>
                <w:rFonts w:hint="eastAsia"/>
              </w:rPr>
              <w:t>0.773</w:t>
            </w:r>
          </w:p>
        </w:tc>
        <w:tc>
          <w:tcPr>
            <w:tcW w:w="457" w:type="pct"/>
            <w:vAlign w:val="center"/>
          </w:tcPr>
          <w:p w14:paraId="6C730014">
            <w:pPr>
              <w:pStyle w:val="28"/>
              <w:bidi w:val="0"/>
            </w:pPr>
            <w:r>
              <w:rPr>
                <w:rFonts w:hint="eastAsia"/>
              </w:rPr>
              <w:t>0.11</w:t>
            </w:r>
          </w:p>
        </w:tc>
        <w:tc>
          <w:tcPr>
            <w:tcW w:w="455" w:type="pct"/>
            <w:vAlign w:val="center"/>
          </w:tcPr>
          <w:p w14:paraId="5C7AD078">
            <w:pPr>
              <w:pStyle w:val="28"/>
              <w:bidi w:val="0"/>
            </w:pPr>
            <w:r>
              <w:rPr>
                <w:rFonts w:hint="eastAsia"/>
              </w:rPr>
              <w:t>/</w:t>
            </w:r>
          </w:p>
        </w:tc>
      </w:tr>
      <w:tr w14:paraId="587FE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175B78B4">
            <w:pPr>
              <w:pStyle w:val="28"/>
              <w:bidi w:val="0"/>
            </w:pPr>
          </w:p>
        </w:tc>
        <w:tc>
          <w:tcPr>
            <w:tcW w:w="795" w:type="pct"/>
            <w:vAlign w:val="center"/>
          </w:tcPr>
          <w:p w14:paraId="45DB733A">
            <w:pPr>
              <w:pStyle w:val="28"/>
              <w:bidi w:val="0"/>
            </w:pPr>
            <w:r>
              <w:rPr>
                <w:rFonts w:hint="eastAsia"/>
              </w:rPr>
              <w:t>最大单因子指数</w:t>
            </w:r>
          </w:p>
        </w:tc>
        <w:tc>
          <w:tcPr>
            <w:tcW w:w="709" w:type="pct"/>
            <w:vAlign w:val="center"/>
          </w:tcPr>
          <w:p w14:paraId="15DF1763">
            <w:pPr>
              <w:pStyle w:val="28"/>
              <w:bidi w:val="0"/>
            </w:pPr>
            <w:r>
              <w:t>0.</w:t>
            </w:r>
            <w:r>
              <w:rPr>
                <w:rFonts w:hint="eastAsia"/>
              </w:rPr>
              <w:t>25</w:t>
            </w:r>
          </w:p>
        </w:tc>
        <w:tc>
          <w:tcPr>
            <w:tcW w:w="451" w:type="pct"/>
            <w:vAlign w:val="center"/>
          </w:tcPr>
          <w:p w14:paraId="15142C1D">
            <w:pPr>
              <w:pStyle w:val="28"/>
              <w:bidi w:val="0"/>
            </w:pPr>
            <w:r>
              <w:rPr>
                <w:rFonts w:hint="eastAsia"/>
              </w:rPr>
              <w:t>1.2</w:t>
            </w:r>
          </w:p>
        </w:tc>
        <w:tc>
          <w:tcPr>
            <w:tcW w:w="603" w:type="pct"/>
            <w:vAlign w:val="center"/>
          </w:tcPr>
          <w:p w14:paraId="0F0E7E3B">
            <w:pPr>
              <w:pStyle w:val="28"/>
              <w:bidi w:val="0"/>
            </w:pPr>
            <w:r>
              <w:rPr>
                <w:rFonts w:hint="eastAsia"/>
              </w:rPr>
              <w:t>1.475</w:t>
            </w:r>
          </w:p>
        </w:tc>
        <w:tc>
          <w:tcPr>
            <w:tcW w:w="451" w:type="pct"/>
            <w:vAlign w:val="center"/>
          </w:tcPr>
          <w:p w14:paraId="0947F80E">
            <w:pPr>
              <w:pStyle w:val="28"/>
              <w:bidi w:val="0"/>
            </w:pPr>
            <w:r>
              <w:rPr>
                <w:rFonts w:hint="eastAsia"/>
              </w:rPr>
              <w:t>/</w:t>
            </w:r>
          </w:p>
        </w:tc>
        <w:tc>
          <w:tcPr>
            <w:tcW w:w="397" w:type="pct"/>
            <w:vAlign w:val="center"/>
          </w:tcPr>
          <w:p w14:paraId="13A6FDA9">
            <w:pPr>
              <w:pStyle w:val="28"/>
              <w:bidi w:val="0"/>
            </w:pPr>
            <w:r>
              <w:rPr>
                <w:rFonts w:hint="eastAsia"/>
              </w:rPr>
              <w:t>0.859</w:t>
            </w:r>
          </w:p>
        </w:tc>
        <w:tc>
          <w:tcPr>
            <w:tcW w:w="457" w:type="pct"/>
            <w:vAlign w:val="center"/>
          </w:tcPr>
          <w:p w14:paraId="38C80027">
            <w:pPr>
              <w:pStyle w:val="28"/>
              <w:bidi w:val="0"/>
            </w:pPr>
            <w:r>
              <w:rPr>
                <w:rFonts w:hint="eastAsia"/>
              </w:rPr>
              <w:t>0.6</w:t>
            </w:r>
          </w:p>
        </w:tc>
        <w:tc>
          <w:tcPr>
            <w:tcW w:w="455" w:type="pct"/>
            <w:vAlign w:val="center"/>
          </w:tcPr>
          <w:p w14:paraId="56FD10CE">
            <w:pPr>
              <w:pStyle w:val="28"/>
              <w:bidi w:val="0"/>
            </w:pPr>
            <w:r>
              <w:rPr>
                <w:rFonts w:hint="eastAsia"/>
              </w:rPr>
              <w:t>/</w:t>
            </w:r>
          </w:p>
        </w:tc>
      </w:tr>
      <w:tr w14:paraId="0D84A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trPr>
        <w:tc>
          <w:tcPr>
            <w:tcW w:w="680" w:type="pct"/>
            <w:vMerge w:val="restart"/>
            <w:vAlign w:val="center"/>
          </w:tcPr>
          <w:p w14:paraId="11ED965B">
            <w:pPr>
              <w:pStyle w:val="28"/>
              <w:bidi w:val="0"/>
            </w:pPr>
            <w:r>
              <w:rPr>
                <w:rFonts w:hint="eastAsia"/>
              </w:rPr>
              <w:t>W5三北干渠下游</w:t>
            </w:r>
          </w:p>
        </w:tc>
        <w:tc>
          <w:tcPr>
            <w:tcW w:w="795" w:type="pct"/>
            <w:vAlign w:val="center"/>
          </w:tcPr>
          <w:p w14:paraId="1E6A5705">
            <w:pPr>
              <w:pStyle w:val="28"/>
              <w:bidi w:val="0"/>
            </w:pPr>
            <w:r>
              <w:t>202</w:t>
            </w:r>
            <w:r>
              <w:rPr>
                <w:rFonts w:hint="eastAsia"/>
              </w:rPr>
              <w:t>4</w:t>
            </w:r>
            <w:r>
              <w:t>/</w:t>
            </w:r>
            <w:r>
              <w:rPr>
                <w:rFonts w:hint="eastAsia"/>
              </w:rPr>
              <w:t>6</w:t>
            </w:r>
            <w:r>
              <w:t>/2</w:t>
            </w:r>
            <w:r>
              <w:rPr>
                <w:rFonts w:hint="eastAsia"/>
              </w:rPr>
              <w:t>7</w:t>
            </w:r>
          </w:p>
        </w:tc>
        <w:tc>
          <w:tcPr>
            <w:tcW w:w="709" w:type="pct"/>
            <w:vAlign w:val="center"/>
          </w:tcPr>
          <w:p w14:paraId="00303721">
            <w:pPr>
              <w:pStyle w:val="28"/>
              <w:bidi w:val="0"/>
            </w:pPr>
            <w:r>
              <w:t>7.4</w:t>
            </w:r>
          </w:p>
        </w:tc>
        <w:tc>
          <w:tcPr>
            <w:tcW w:w="451" w:type="pct"/>
            <w:vAlign w:val="center"/>
          </w:tcPr>
          <w:p w14:paraId="1C964B25">
            <w:pPr>
              <w:pStyle w:val="28"/>
              <w:bidi w:val="0"/>
            </w:pPr>
            <w:r>
              <w:rPr>
                <w:rFonts w:hint="eastAsia"/>
              </w:rPr>
              <w:t>24</w:t>
            </w:r>
          </w:p>
        </w:tc>
        <w:tc>
          <w:tcPr>
            <w:tcW w:w="603" w:type="pct"/>
            <w:vAlign w:val="center"/>
          </w:tcPr>
          <w:p w14:paraId="5FC6ACEB">
            <w:pPr>
              <w:pStyle w:val="28"/>
              <w:bidi w:val="0"/>
            </w:pPr>
            <w:r>
              <w:rPr>
                <w:rFonts w:hint="eastAsia"/>
              </w:rPr>
              <w:t>6.7</w:t>
            </w:r>
          </w:p>
        </w:tc>
        <w:tc>
          <w:tcPr>
            <w:tcW w:w="451" w:type="pct"/>
            <w:vAlign w:val="center"/>
          </w:tcPr>
          <w:p w14:paraId="53206E44">
            <w:pPr>
              <w:pStyle w:val="28"/>
              <w:bidi w:val="0"/>
            </w:pPr>
            <w:r>
              <w:rPr>
                <w:rFonts w:hint="eastAsia"/>
              </w:rPr>
              <w:t>22</w:t>
            </w:r>
          </w:p>
        </w:tc>
        <w:tc>
          <w:tcPr>
            <w:tcW w:w="397" w:type="pct"/>
            <w:vAlign w:val="center"/>
          </w:tcPr>
          <w:p w14:paraId="1DFFFFAE">
            <w:pPr>
              <w:pStyle w:val="28"/>
              <w:bidi w:val="0"/>
            </w:pPr>
            <w:r>
              <w:rPr>
                <w:rFonts w:hint="eastAsia"/>
              </w:rPr>
              <w:t>0.675</w:t>
            </w:r>
          </w:p>
        </w:tc>
        <w:tc>
          <w:tcPr>
            <w:tcW w:w="457" w:type="pct"/>
            <w:vAlign w:val="center"/>
          </w:tcPr>
          <w:p w14:paraId="05736C95">
            <w:pPr>
              <w:pStyle w:val="28"/>
              <w:bidi w:val="0"/>
            </w:pPr>
            <w:r>
              <w:rPr>
                <w:rFonts w:hint="eastAsia"/>
              </w:rPr>
              <w:t>0.10</w:t>
            </w:r>
          </w:p>
        </w:tc>
        <w:tc>
          <w:tcPr>
            <w:tcW w:w="455" w:type="pct"/>
            <w:vAlign w:val="center"/>
          </w:tcPr>
          <w:p w14:paraId="34834CC5">
            <w:pPr>
              <w:pStyle w:val="28"/>
              <w:bidi w:val="0"/>
            </w:pPr>
            <w:r>
              <w:rPr>
                <w:rFonts w:hint="eastAsia"/>
              </w:rPr>
              <w:t>/</w:t>
            </w:r>
          </w:p>
        </w:tc>
      </w:tr>
      <w:tr w14:paraId="468070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32D13141">
            <w:pPr>
              <w:pStyle w:val="28"/>
              <w:bidi w:val="0"/>
            </w:pPr>
          </w:p>
        </w:tc>
        <w:tc>
          <w:tcPr>
            <w:tcW w:w="795" w:type="pct"/>
            <w:vAlign w:val="center"/>
          </w:tcPr>
          <w:p w14:paraId="06D6B628">
            <w:pPr>
              <w:pStyle w:val="28"/>
              <w:bidi w:val="0"/>
            </w:pPr>
            <w:r>
              <w:t>202</w:t>
            </w:r>
            <w:r>
              <w:rPr>
                <w:rFonts w:hint="eastAsia"/>
              </w:rPr>
              <w:t>4</w:t>
            </w:r>
            <w:r>
              <w:t>/</w:t>
            </w:r>
            <w:r>
              <w:rPr>
                <w:rFonts w:hint="eastAsia"/>
              </w:rPr>
              <w:t>6</w:t>
            </w:r>
            <w:r>
              <w:t>/2</w:t>
            </w:r>
            <w:r>
              <w:rPr>
                <w:rFonts w:hint="eastAsia"/>
              </w:rPr>
              <w:t>8</w:t>
            </w:r>
          </w:p>
        </w:tc>
        <w:tc>
          <w:tcPr>
            <w:tcW w:w="709" w:type="pct"/>
            <w:vAlign w:val="center"/>
          </w:tcPr>
          <w:p w14:paraId="67BB680C">
            <w:pPr>
              <w:pStyle w:val="28"/>
              <w:bidi w:val="0"/>
            </w:pPr>
            <w:r>
              <w:t>7.</w:t>
            </w:r>
            <w:r>
              <w:rPr>
                <w:rFonts w:hint="eastAsia"/>
              </w:rPr>
              <w:t>4</w:t>
            </w:r>
          </w:p>
        </w:tc>
        <w:tc>
          <w:tcPr>
            <w:tcW w:w="451" w:type="pct"/>
            <w:vAlign w:val="center"/>
          </w:tcPr>
          <w:p w14:paraId="62A5EDEA">
            <w:pPr>
              <w:pStyle w:val="28"/>
              <w:bidi w:val="0"/>
            </w:pPr>
            <w:r>
              <w:rPr>
                <w:rFonts w:hint="eastAsia"/>
              </w:rPr>
              <w:t>21</w:t>
            </w:r>
          </w:p>
        </w:tc>
        <w:tc>
          <w:tcPr>
            <w:tcW w:w="603" w:type="pct"/>
            <w:vAlign w:val="center"/>
          </w:tcPr>
          <w:p w14:paraId="3E8B5C28">
            <w:pPr>
              <w:pStyle w:val="28"/>
              <w:bidi w:val="0"/>
            </w:pPr>
            <w:r>
              <w:rPr>
                <w:rFonts w:hint="eastAsia"/>
              </w:rPr>
              <w:t>6.4</w:t>
            </w:r>
          </w:p>
        </w:tc>
        <w:tc>
          <w:tcPr>
            <w:tcW w:w="451" w:type="pct"/>
            <w:vAlign w:val="center"/>
          </w:tcPr>
          <w:p w14:paraId="1BFE5817">
            <w:pPr>
              <w:pStyle w:val="28"/>
              <w:bidi w:val="0"/>
            </w:pPr>
            <w:r>
              <w:rPr>
                <w:rFonts w:hint="eastAsia"/>
              </w:rPr>
              <w:t>26</w:t>
            </w:r>
          </w:p>
        </w:tc>
        <w:tc>
          <w:tcPr>
            <w:tcW w:w="397" w:type="pct"/>
            <w:vAlign w:val="center"/>
          </w:tcPr>
          <w:p w14:paraId="11EB13BC">
            <w:pPr>
              <w:pStyle w:val="28"/>
              <w:bidi w:val="0"/>
            </w:pPr>
            <w:r>
              <w:rPr>
                <w:rFonts w:hint="eastAsia"/>
              </w:rPr>
              <w:t>0.662</w:t>
            </w:r>
          </w:p>
        </w:tc>
        <w:tc>
          <w:tcPr>
            <w:tcW w:w="457" w:type="pct"/>
            <w:vAlign w:val="center"/>
          </w:tcPr>
          <w:p w14:paraId="3146CCB3">
            <w:pPr>
              <w:pStyle w:val="28"/>
              <w:bidi w:val="0"/>
            </w:pPr>
            <w:r>
              <w:rPr>
                <w:rFonts w:hint="eastAsia"/>
              </w:rPr>
              <w:t>0.11</w:t>
            </w:r>
          </w:p>
        </w:tc>
        <w:tc>
          <w:tcPr>
            <w:tcW w:w="455" w:type="pct"/>
            <w:vAlign w:val="center"/>
          </w:tcPr>
          <w:p w14:paraId="5BB71457">
            <w:pPr>
              <w:pStyle w:val="28"/>
              <w:bidi w:val="0"/>
            </w:pPr>
            <w:r>
              <w:rPr>
                <w:rFonts w:hint="eastAsia"/>
              </w:rPr>
              <w:t>/</w:t>
            </w:r>
          </w:p>
        </w:tc>
      </w:tr>
      <w:tr w14:paraId="1987C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0851F545">
            <w:pPr>
              <w:pStyle w:val="28"/>
              <w:bidi w:val="0"/>
            </w:pPr>
          </w:p>
        </w:tc>
        <w:tc>
          <w:tcPr>
            <w:tcW w:w="795" w:type="pct"/>
            <w:vAlign w:val="center"/>
          </w:tcPr>
          <w:p w14:paraId="28CFC293">
            <w:pPr>
              <w:pStyle w:val="28"/>
              <w:bidi w:val="0"/>
            </w:pPr>
            <w:r>
              <w:t>202</w:t>
            </w:r>
            <w:r>
              <w:rPr>
                <w:rFonts w:hint="eastAsia"/>
              </w:rPr>
              <w:t>4</w:t>
            </w:r>
            <w:r>
              <w:t>/</w:t>
            </w:r>
            <w:r>
              <w:rPr>
                <w:rFonts w:hint="eastAsia"/>
              </w:rPr>
              <w:t>6</w:t>
            </w:r>
            <w:r>
              <w:t>/2</w:t>
            </w:r>
            <w:r>
              <w:rPr>
                <w:rFonts w:hint="eastAsia"/>
              </w:rPr>
              <w:t>9</w:t>
            </w:r>
          </w:p>
        </w:tc>
        <w:tc>
          <w:tcPr>
            <w:tcW w:w="709" w:type="pct"/>
            <w:vAlign w:val="center"/>
          </w:tcPr>
          <w:p w14:paraId="4A2E937D">
            <w:pPr>
              <w:pStyle w:val="28"/>
              <w:bidi w:val="0"/>
            </w:pPr>
            <w:r>
              <w:t>7.4</w:t>
            </w:r>
          </w:p>
        </w:tc>
        <w:tc>
          <w:tcPr>
            <w:tcW w:w="451" w:type="pct"/>
            <w:vAlign w:val="center"/>
          </w:tcPr>
          <w:p w14:paraId="27928818">
            <w:pPr>
              <w:pStyle w:val="28"/>
              <w:bidi w:val="0"/>
            </w:pPr>
            <w:r>
              <w:rPr>
                <w:rFonts w:hint="eastAsia"/>
              </w:rPr>
              <w:t>26</w:t>
            </w:r>
          </w:p>
        </w:tc>
        <w:tc>
          <w:tcPr>
            <w:tcW w:w="603" w:type="pct"/>
            <w:vAlign w:val="center"/>
          </w:tcPr>
          <w:p w14:paraId="208F467D">
            <w:pPr>
              <w:pStyle w:val="28"/>
              <w:bidi w:val="0"/>
            </w:pPr>
            <w:r>
              <w:rPr>
                <w:rFonts w:hint="eastAsia"/>
              </w:rPr>
              <w:t>6.0</w:t>
            </w:r>
          </w:p>
        </w:tc>
        <w:tc>
          <w:tcPr>
            <w:tcW w:w="451" w:type="pct"/>
            <w:vAlign w:val="center"/>
          </w:tcPr>
          <w:p w14:paraId="637D8050">
            <w:pPr>
              <w:pStyle w:val="28"/>
              <w:bidi w:val="0"/>
            </w:pPr>
            <w:r>
              <w:rPr>
                <w:rFonts w:hint="eastAsia"/>
              </w:rPr>
              <w:t>23</w:t>
            </w:r>
          </w:p>
        </w:tc>
        <w:tc>
          <w:tcPr>
            <w:tcW w:w="397" w:type="pct"/>
            <w:vAlign w:val="center"/>
          </w:tcPr>
          <w:p w14:paraId="71CE310D">
            <w:pPr>
              <w:pStyle w:val="28"/>
              <w:bidi w:val="0"/>
            </w:pPr>
            <w:r>
              <w:rPr>
                <w:rFonts w:hint="eastAsia"/>
              </w:rPr>
              <w:t>0.684</w:t>
            </w:r>
          </w:p>
        </w:tc>
        <w:tc>
          <w:tcPr>
            <w:tcW w:w="457" w:type="pct"/>
            <w:vAlign w:val="center"/>
          </w:tcPr>
          <w:p w14:paraId="4C7E4726">
            <w:pPr>
              <w:pStyle w:val="28"/>
              <w:bidi w:val="0"/>
            </w:pPr>
            <w:r>
              <w:rPr>
                <w:rFonts w:hint="eastAsia"/>
              </w:rPr>
              <w:t>0.13</w:t>
            </w:r>
          </w:p>
        </w:tc>
        <w:tc>
          <w:tcPr>
            <w:tcW w:w="455" w:type="pct"/>
            <w:vAlign w:val="center"/>
          </w:tcPr>
          <w:p w14:paraId="5E884D4B">
            <w:pPr>
              <w:pStyle w:val="28"/>
              <w:bidi w:val="0"/>
            </w:pPr>
            <w:r>
              <w:rPr>
                <w:rFonts w:hint="eastAsia"/>
              </w:rPr>
              <w:t>/</w:t>
            </w:r>
          </w:p>
        </w:tc>
      </w:tr>
      <w:tr w14:paraId="0F40EE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6F80AAAF">
            <w:pPr>
              <w:pStyle w:val="28"/>
              <w:bidi w:val="0"/>
            </w:pPr>
          </w:p>
        </w:tc>
        <w:tc>
          <w:tcPr>
            <w:tcW w:w="795" w:type="pct"/>
            <w:vAlign w:val="center"/>
          </w:tcPr>
          <w:p w14:paraId="780C53BE">
            <w:pPr>
              <w:pStyle w:val="28"/>
              <w:bidi w:val="0"/>
            </w:pPr>
            <w:r>
              <w:rPr>
                <w:rFonts w:hint="eastAsia"/>
              </w:rPr>
              <w:t>最大单因子指数</w:t>
            </w:r>
          </w:p>
        </w:tc>
        <w:tc>
          <w:tcPr>
            <w:tcW w:w="709" w:type="pct"/>
            <w:vAlign w:val="center"/>
          </w:tcPr>
          <w:p w14:paraId="49256C16">
            <w:pPr>
              <w:pStyle w:val="28"/>
              <w:bidi w:val="0"/>
            </w:pPr>
            <w:r>
              <w:t>0.</w:t>
            </w:r>
            <w:r>
              <w:rPr>
                <w:rFonts w:hint="eastAsia"/>
              </w:rPr>
              <w:t>2</w:t>
            </w:r>
          </w:p>
        </w:tc>
        <w:tc>
          <w:tcPr>
            <w:tcW w:w="451" w:type="pct"/>
            <w:vAlign w:val="center"/>
          </w:tcPr>
          <w:p w14:paraId="2560602F">
            <w:pPr>
              <w:pStyle w:val="28"/>
              <w:bidi w:val="0"/>
            </w:pPr>
            <w:r>
              <w:rPr>
                <w:rFonts w:hint="eastAsia"/>
              </w:rPr>
              <w:t>1.3</w:t>
            </w:r>
          </w:p>
        </w:tc>
        <w:tc>
          <w:tcPr>
            <w:tcW w:w="603" w:type="pct"/>
            <w:vAlign w:val="center"/>
          </w:tcPr>
          <w:p w14:paraId="2752622D">
            <w:pPr>
              <w:pStyle w:val="28"/>
              <w:bidi w:val="0"/>
            </w:pPr>
            <w:r>
              <w:rPr>
                <w:rFonts w:hint="eastAsia"/>
              </w:rPr>
              <w:t>1.675</w:t>
            </w:r>
          </w:p>
        </w:tc>
        <w:tc>
          <w:tcPr>
            <w:tcW w:w="451" w:type="pct"/>
            <w:vAlign w:val="center"/>
          </w:tcPr>
          <w:p w14:paraId="4AC7B3F0">
            <w:pPr>
              <w:pStyle w:val="28"/>
              <w:bidi w:val="0"/>
            </w:pPr>
            <w:r>
              <w:rPr>
                <w:rFonts w:hint="eastAsia"/>
              </w:rPr>
              <w:t>/</w:t>
            </w:r>
          </w:p>
        </w:tc>
        <w:tc>
          <w:tcPr>
            <w:tcW w:w="397" w:type="pct"/>
            <w:vAlign w:val="center"/>
          </w:tcPr>
          <w:p w14:paraId="1E013906">
            <w:pPr>
              <w:pStyle w:val="28"/>
              <w:bidi w:val="0"/>
            </w:pPr>
            <w:r>
              <w:rPr>
                <w:rFonts w:hint="eastAsia"/>
              </w:rPr>
              <w:t>0.684</w:t>
            </w:r>
          </w:p>
        </w:tc>
        <w:tc>
          <w:tcPr>
            <w:tcW w:w="457" w:type="pct"/>
            <w:vAlign w:val="center"/>
          </w:tcPr>
          <w:p w14:paraId="7E63506C">
            <w:pPr>
              <w:pStyle w:val="28"/>
              <w:bidi w:val="0"/>
            </w:pPr>
            <w:r>
              <w:rPr>
                <w:rFonts w:hint="eastAsia"/>
              </w:rPr>
              <w:t>0.65</w:t>
            </w:r>
          </w:p>
        </w:tc>
        <w:tc>
          <w:tcPr>
            <w:tcW w:w="455" w:type="pct"/>
            <w:vAlign w:val="center"/>
          </w:tcPr>
          <w:p w14:paraId="72C90710">
            <w:pPr>
              <w:pStyle w:val="28"/>
              <w:bidi w:val="0"/>
            </w:pPr>
            <w:r>
              <w:rPr>
                <w:rFonts w:hint="eastAsia"/>
              </w:rPr>
              <w:t>/</w:t>
            </w:r>
          </w:p>
        </w:tc>
      </w:tr>
      <w:tr w14:paraId="4A6C0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restart"/>
            <w:vAlign w:val="center"/>
          </w:tcPr>
          <w:p w14:paraId="62D5E5CC">
            <w:pPr>
              <w:pStyle w:val="28"/>
              <w:bidi w:val="0"/>
            </w:pPr>
            <w:r>
              <w:rPr>
                <w:rFonts w:hint="eastAsia"/>
              </w:rPr>
              <w:t>W6一东干渠下游</w:t>
            </w:r>
          </w:p>
        </w:tc>
        <w:tc>
          <w:tcPr>
            <w:tcW w:w="795" w:type="pct"/>
            <w:vAlign w:val="center"/>
          </w:tcPr>
          <w:p w14:paraId="389F7C62">
            <w:pPr>
              <w:pStyle w:val="28"/>
              <w:bidi w:val="0"/>
            </w:pPr>
            <w:r>
              <w:t>202</w:t>
            </w:r>
            <w:r>
              <w:rPr>
                <w:rFonts w:hint="eastAsia"/>
              </w:rPr>
              <w:t>4</w:t>
            </w:r>
            <w:r>
              <w:t>/</w:t>
            </w:r>
            <w:r>
              <w:rPr>
                <w:rFonts w:hint="eastAsia"/>
              </w:rPr>
              <w:t>6</w:t>
            </w:r>
            <w:r>
              <w:t>/2</w:t>
            </w:r>
            <w:r>
              <w:rPr>
                <w:rFonts w:hint="eastAsia"/>
              </w:rPr>
              <w:t>7</w:t>
            </w:r>
          </w:p>
        </w:tc>
        <w:tc>
          <w:tcPr>
            <w:tcW w:w="709" w:type="pct"/>
            <w:vAlign w:val="center"/>
          </w:tcPr>
          <w:p w14:paraId="79A7A7D6">
            <w:pPr>
              <w:pStyle w:val="28"/>
              <w:bidi w:val="0"/>
            </w:pPr>
            <w:r>
              <w:t>7</w:t>
            </w:r>
            <w:r>
              <w:rPr>
                <w:rFonts w:hint="eastAsia"/>
              </w:rPr>
              <w:t>.5</w:t>
            </w:r>
          </w:p>
        </w:tc>
        <w:tc>
          <w:tcPr>
            <w:tcW w:w="451" w:type="pct"/>
            <w:vAlign w:val="center"/>
          </w:tcPr>
          <w:p w14:paraId="731446C9">
            <w:pPr>
              <w:pStyle w:val="28"/>
              <w:bidi w:val="0"/>
            </w:pPr>
            <w:r>
              <w:rPr>
                <w:rFonts w:hint="eastAsia"/>
              </w:rPr>
              <w:t>19</w:t>
            </w:r>
          </w:p>
        </w:tc>
        <w:tc>
          <w:tcPr>
            <w:tcW w:w="603" w:type="pct"/>
            <w:vAlign w:val="center"/>
          </w:tcPr>
          <w:p w14:paraId="655BE889">
            <w:pPr>
              <w:pStyle w:val="28"/>
              <w:bidi w:val="0"/>
            </w:pPr>
            <w:r>
              <w:rPr>
                <w:rFonts w:hint="eastAsia"/>
              </w:rPr>
              <w:t>6.4</w:t>
            </w:r>
          </w:p>
        </w:tc>
        <w:tc>
          <w:tcPr>
            <w:tcW w:w="451" w:type="pct"/>
            <w:vAlign w:val="center"/>
          </w:tcPr>
          <w:p w14:paraId="3B66B16F">
            <w:pPr>
              <w:pStyle w:val="28"/>
              <w:bidi w:val="0"/>
            </w:pPr>
            <w:r>
              <w:rPr>
                <w:rFonts w:hint="eastAsia"/>
              </w:rPr>
              <w:t>20</w:t>
            </w:r>
          </w:p>
        </w:tc>
        <w:tc>
          <w:tcPr>
            <w:tcW w:w="397" w:type="pct"/>
            <w:vAlign w:val="center"/>
          </w:tcPr>
          <w:p w14:paraId="3C2F23CA">
            <w:pPr>
              <w:pStyle w:val="28"/>
              <w:bidi w:val="0"/>
            </w:pPr>
            <w:r>
              <w:rPr>
                <w:rFonts w:hint="eastAsia"/>
              </w:rPr>
              <w:t>0.686</w:t>
            </w:r>
          </w:p>
        </w:tc>
        <w:tc>
          <w:tcPr>
            <w:tcW w:w="457" w:type="pct"/>
            <w:vAlign w:val="center"/>
          </w:tcPr>
          <w:p w14:paraId="5EFFCEF2">
            <w:pPr>
              <w:pStyle w:val="28"/>
              <w:bidi w:val="0"/>
            </w:pPr>
            <w:r>
              <w:rPr>
                <w:rFonts w:hint="eastAsia"/>
              </w:rPr>
              <w:t>0.07</w:t>
            </w:r>
          </w:p>
        </w:tc>
        <w:tc>
          <w:tcPr>
            <w:tcW w:w="455" w:type="pct"/>
            <w:vAlign w:val="center"/>
          </w:tcPr>
          <w:p w14:paraId="148C541E">
            <w:pPr>
              <w:pStyle w:val="28"/>
              <w:bidi w:val="0"/>
            </w:pPr>
            <w:r>
              <w:rPr>
                <w:rFonts w:hint="eastAsia"/>
              </w:rPr>
              <w:t>/</w:t>
            </w:r>
          </w:p>
        </w:tc>
      </w:tr>
      <w:tr w14:paraId="08FE7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60535322">
            <w:pPr>
              <w:pStyle w:val="28"/>
              <w:bidi w:val="0"/>
            </w:pPr>
          </w:p>
        </w:tc>
        <w:tc>
          <w:tcPr>
            <w:tcW w:w="795" w:type="pct"/>
            <w:vAlign w:val="center"/>
          </w:tcPr>
          <w:p w14:paraId="3292DF0A">
            <w:pPr>
              <w:pStyle w:val="28"/>
              <w:bidi w:val="0"/>
            </w:pPr>
            <w:r>
              <w:t>202</w:t>
            </w:r>
            <w:r>
              <w:rPr>
                <w:rFonts w:hint="eastAsia"/>
              </w:rPr>
              <w:t>4</w:t>
            </w:r>
            <w:r>
              <w:t>/</w:t>
            </w:r>
            <w:r>
              <w:rPr>
                <w:rFonts w:hint="eastAsia"/>
              </w:rPr>
              <w:t>6</w:t>
            </w:r>
            <w:r>
              <w:t>/2</w:t>
            </w:r>
            <w:r>
              <w:rPr>
                <w:rFonts w:hint="eastAsia"/>
              </w:rPr>
              <w:t>8</w:t>
            </w:r>
          </w:p>
        </w:tc>
        <w:tc>
          <w:tcPr>
            <w:tcW w:w="709" w:type="pct"/>
            <w:vAlign w:val="center"/>
          </w:tcPr>
          <w:p w14:paraId="3A5CB3BE">
            <w:pPr>
              <w:pStyle w:val="28"/>
              <w:bidi w:val="0"/>
            </w:pPr>
            <w:r>
              <w:t>7.</w:t>
            </w:r>
            <w:r>
              <w:rPr>
                <w:rFonts w:hint="eastAsia"/>
              </w:rPr>
              <w:t>5</w:t>
            </w:r>
          </w:p>
        </w:tc>
        <w:tc>
          <w:tcPr>
            <w:tcW w:w="451" w:type="pct"/>
            <w:vAlign w:val="center"/>
          </w:tcPr>
          <w:p w14:paraId="4EF33D00">
            <w:pPr>
              <w:pStyle w:val="28"/>
              <w:bidi w:val="0"/>
            </w:pPr>
            <w:r>
              <w:rPr>
                <w:rFonts w:hint="eastAsia"/>
              </w:rPr>
              <w:t>17</w:t>
            </w:r>
          </w:p>
        </w:tc>
        <w:tc>
          <w:tcPr>
            <w:tcW w:w="603" w:type="pct"/>
            <w:vAlign w:val="center"/>
          </w:tcPr>
          <w:p w14:paraId="11AE13F0">
            <w:pPr>
              <w:pStyle w:val="28"/>
              <w:bidi w:val="0"/>
            </w:pPr>
            <w:r>
              <w:rPr>
                <w:rFonts w:hint="eastAsia"/>
              </w:rPr>
              <w:t>6.1</w:t>
            </w:r>
          </w:p>
        </w:tc>
        <w:tc>
          <w:tcPr>
            <w:tcW w:w="451" w:type="pct"/>
            <w:vAlign w:val="center"/>
          </w:tcPr>
          <w:p w14:paraId="431856F9">
            <w:pPr>
              <w:pStyle w:val="28"/>
              <w:bidi w:val="0"/>
            </w:pPr>
            <w:r>
              <w:rPr>
                <w:rFonts w:hint="eastAsia"/>
              </w:rPr>
              <w:t>18</w:t>
            </w:r>
          </w:p>
        </w:tc>
        <w:tc>
          <w:tcPr>
            <w:tcW w:w="397" w:type="pct"/>
            <w:vAlign w:val="center"/>
          </w:tcPr>
          <w:p w14:paraId="22365CD4">
            <w:pPr>
              <w:pStyle w:val="28"/>
              <w:bidi w:val="0"/>
            </w:pPr>
            <w:r>
              <w:rPr>
                <w:rFonts w:hint="eastAsia"/>
              </w:rPr>
              <w:t>0.675</w:t>
            </w:r>
          </w:p>
        </w:tc>
        <w:tc>
          <w:tcPr>
            <w:tcW w:w="457" w:type="pct"/>
            <w:vAlign w:val="center"/>
          </w:tcPr>
          <w:p w14:paraId="520BBF67">
            <w:pPr>
              <w:pStyle w:val="28"/>
              <w:bidi w:val="0"/>
            </w:pPr>
            <w:r>
              <w:rPr>
                <w:rFonts w:hint="eastAsia"/>
              </w:rPr>
              <w:t>0.06</w:t>
            </w:r>
          </w:p>
        </w:tc>
        <w:tc>
          <w:tcPr>
            <w:tcW w:w="455" w:type="pct"/>
            <w:vAlign w:val="center"/>
          </w:tcPr>
          <w:p w14:paraId="6B49CA17">
            <w:pPr>
              <w:pStyle w:val="28"/>
              <w:bidi w:val="0"/>
            </w:pPr>
            <w:r>
              <w:rPr>
                <w:rFonts w:hint="eastAsia"/>
              </w:rPr>
              <w:t>/</w:t>
            </w:r>
          </w:p>
        </w:tc>
      </w:tr>
      <w:tr w14:paraId="23928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54C41D89">
            <w:pPr>
              <w:pStyle w:val="28"/>
              <w:bidi w:val="0"/>
            </w:pPr>
          </w:p>
        </w:tc>
        <w:tc>
          <w:tcPr>
            <w:tcW w:w="795" w:type="pct"/>
            <w:vAlign w:val="center"/>
          </w:tcPr>
          <w:p w14:paraId="49916DC6">
            <w:pPr>
              <w:pStyle w:val="28"/>
              <w:bidi w:val="0"/>
            </w:pPr>
            <w:r>
              <w:t>202</w:t>
            </w:r>
            <w:r>
              <w:rPr>
                <w:rFonts w:hint="eastAsia"/>
              </w:rPr>
              <w:t>4</w:t>
            </w:r>
            <w:r>
              <w:t>/</w:t>
            </w:r>
            <w:r>
              <w:rPr>
                <w:rFonts w:hint="eastAsia"/>
              </w:rPr>
              <w:t>6</w:t>
            </w:r>
            <w:r>
              <w:t>/2</w:t>
            </w:r>
            <w:r>
              <w:rPr>
                <w:rFonts w:hint="eastAsia"/>
              </w:rPr>
              <w:t>9</w:t>
            </w:r>
          </w:p>
        </w:tc>
        <w:tc>
          <w:tcPr>
            <w:tcW w:w="709" w:type="pct"/>
            <w:vAlign w:val="center"/>
          </w:tcPr>
          <w:p w14:paraId="10C442DE">
            <w:pPr>
              <w:pStyle w:val="28"/>
              <w:bidi w:val="0"/>
            </w:pPr>
            <w:r>
              <w:t>7</w:t>
            </w:r>
            <w:r>
              <w:rPr>
                <w:rFonts w:hint="eastAsia"/>
              </w:rPr>
              <w:t>.5</w:t>
            </w:r>
          </w:p>
        </w:tc>
        <w:tc>
          <w:tcPr>
            <w:tcW w:w="451" w:type="pct"/>
            <w:vAlign w:val="center"/>
          </w:tcPr>
          <w:p w14:paraId="07B6F3EB">
            <w:pPr>
              <w:pStyle w:val="28"/>
              <w:bidi w:val="0"/>
            </w:pPr>
            <w:r>
              <w:rPr>
                <w:rFonts w:hint="eastAsia"/>
              </w:rPr>
              <w:t>21</w:t>
            </w:r>
          </w:p>
        </w:tc>
        <w:tc>
          <w:tcPr>
            <w:tcW w:w="603" w:type="pct"/>
            <w:vAlign w:val="center"/>
          </w:tcPr>
          <w:p w14:paraId="3FF83E97">
            <w:pPr>
              <w:pStyle w:val="28"/>
              <w:bidi w:val="0"/>
            </w:pPr>
            <w:r>
              <w:rPr>
                <w:rFonts w:hint="eastAsia"/>
              </w:rPr>
              <w:t>6.3</w:t>
            </w:r>
          </w:p>
        </w:tc>
        <w:tc>
          <w:tcPr>
            <w:tcW w:w="451" w:type="pct"/>
            <w:vAlign w:val="center"/>
          </w:tcPr>
          <w:p w14:paraId="18BD6597">
            <w:pPr>
              <w:pStyle w:val="28"/>
              <w:bidi w:val="0"/>
            </w:pPr>
            <w:r>
              <w:rPr>
                <w:rFonts w:hint="eastAsia"/>
              </w:rPr>
              <w:t>17</w:t>
            </w:r>
          </w:p>
        </w:tc>
        <w:tc>
          <w:tcPr>
            <w:tcW w:w="397" w:type="pct"/>
            <w:vAlign w:val="center"/>
          </w:tcPr>
          <w:p w14:paraId="7819680F">
            <w:pPr>
              <w:pStyle w:val="28"/>
              <w:bidi w:val="0"/>
            </w:pPr>
            <w:r>
              <w:rPr>
                <w:rFonts w:hint="eastAsia"/>
              </w:rPr>
              <w:t>0.697</w:t>
            </w:r>
          </w:p>
        </w:tc>
        <w:tc>
          <w:tcPr>
            <w:tcW w:w="457" w:type="pct"/>
            <w:vAlign w:val="center"/>
          </w:tcPr>
          <w:p w14:paraId="3F3E99B1">
            <w:pPr>
              <w:pStyle w:val="28"/>
              <w:bidi w:val="0"/>
            </w:pPr>
            <w:r>
              <w:rPr>
                <w:rFonts w:hint="eastAsia"/>
              </w:rPr>
              <w:t>0.08</w:t>
            </w:r>
          </w:p>
        </w:tc>
        <w:tc>
          <w:tcPr>
            <w:tcW w:w="455" w:type="pct"/>
            <w:vAlign w:val="center"/>
          </w:tcPr>
          <w:p w14:paraId="0BD4FF8E">
            <w:pPr>
              <w:pStyle w:val="28"/>
              <w:bidi w:val="0"/>
            </w:pPr>
            <w:r>
              <w:rPr>
                <w:rFonts w:hint="eastAsia"/>
              </w:rPr>
              <w:t>/</w:t>
            </w:r>
          </w:p>
        </w:tc>
      </w:tr>
      <w:tr w14:paraId="4AD59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7A47A745">
            <w:pPr>
              <w:pStyle w:val="28"/>
              <w:bidi w:val="0"/>
            </w:pPr>
          </w:p>
        </w:tc>
        <w:tc>
          <w:tcPr>
            <w:tcW w:w="795" w:type="pct"/>
            <w:vAlign w:val="center"/>
          </w:tcPr>
          <w:p w14:paraId="3F3B6996">
            <w:pPr>
              <w:pStyle w:val="28"/>
              <w:bidi w:val="0"/>
            </w:pPr>
            <w:r>
              <w:rPr>
                <w:rFonts w:hint="eastAsia"/>
              </w:rPr>
              <w:t>最大单因子指数</w:t>
            </w:r>
          </w:p>
        </w:tc>
        <w:tc>
          <w:tcPr>
            <w:tcW w:w="709" w:type="pct"/>
            <w:vAlign w:val="center"/>
          </w:tcPr>
          <w:p w14:paraId="32815D57">
            <w:pPr>
              <w:pStyle w:val="28"/>
              <w:bidi w:val="0"/>
            </w:pPr>
            <w:r>
              <w:t>0.</w:t>
            </w:r>
            <w:r>
              <w:rPr>
                <w:rFonts w:hint="eastAsia"/>
              </w:rPr>
              <w:t>25</w:t>
            </w:r>
          </w:p>
        </w:tc>
        <w:tc>
          <w:tcPr>
            <w:tcW w:w="451" w:type="pct"/>
            <w:vAlign w:val="center"/>
          </w:tcPr>
          <w:p w14:paraId="03C3EB5D">
            <w:pPr>
              <w:pStyle w:val="28"/>
              <w:bidi w:val="0"/>
            </w:pPr>
            <w:r>
              <w:rPr>
                <w:rFonts w:hint="eastAsia"/>
              </w:rPr>
              <w:t>1.05</w:t>
            </w:r>
          </w:p>
        </w:tc>
        <w:tc>
          <w:tcPr>
            <w:tcW w:w="603" w:type="pct"/>
            <w:vAlign w:val="center"/>
          </w:tcPr>
          <w:p w14:paraId="4A06B547">
            <w:pPr>
              <w:pStyle w:val="28"/>
              <w:bidi w:val="0"/>
            </w:pPr>
            <w:r>
              <w:rPr>
                <w:rFonts w:hint="eastAsia"/>
              </w:rPr>
              <w:t>1.6</w:t>
            </w:r>
          </w:p>
        </w:tc>
        <w:tc>
          <w:tcPr>
            <w:tcW w:w="451" w:type="pct"/>
            <w:vAlign w:val="center"/>
          </w:tcPr>
          <w:p w14:paraId="1D2A379B">
            <w:pPr>
              <w:pStyle w:val="28"/>
              <w:bidi w:val="0"/>
            </w:pPr>
            <w:r>
              <w:rPr>
                <w:rFonts w:hint="eastAsia"/>
              </w:rPr>
              <w:t>/</w:t>
            </w:r>
          </w:p>
        </w:tc>
        <w:tc>
          <w:tcPr>
            <w:tcW w:w="397" w:type="pct"/>
            <w:vAlign w:val="center"/>
          </w:tcPr>
          <w:p w14:paraId="71EEF7E8">
            <w:pPr>
              <w:pStyle w:val="28"/>
              <w:bidi w:val="0"/>
            </w:pPr>
            <w:r>
              <w:rPr>
                <w:rFonts w:hint="eastAsia"/>
              </w:rPr>
              <w:t>0.697</w:t>
            </w:r>
          </w:p>
        </w:tc>
        <w:tc>
          <w:tcPr>
            <w:tcW w:w="457" w:type="pct"/>
            <w:vAlign w:val="center"/>
          </w:tcPr>
          <w:p w14:paraId="3A1FED69">
            <w:pPr>
              <w:pStyle w:val="28"/>
              <w:bidi w:val="0"/>
            </w:pPr>
            <w:r>
              <w:rPr>
                <w:rFonts w:hint="eastAsia"/>
              </w:rPr>
              <w:t>0.40</w:t>
            </w:r>
          </w:p>
        </w:tc>
        <w:tc>
          <w:tcPr>
            <w:tcW w:w="455" w:type="pct"/>
            <w:vAlign w:val="center"/>
          </w:tcPr>
          <w:p w14:paraId="7CA74F80">
            <w:pPr>
              <w:pStyle w:val="28"/>
              <w:bidi w:val="0"/>
            </w:pPr>
            <w:r>
              <w:rPr>
                <w:rFonts w:hint="eastAsia"/>
              </w:rPr>
              <w:t>/</w:t>
            </w:r>
          </w:p>
        </w:tc>
      </w:tr>
      <w:tr w14:paraId="05710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restart"/>
            <w:vAlign w:val="center"/>
          </w:tcPr>
          <w:p w14:paraId="4AD07645">
            <w:pPr>
              <w:pStyle w:val="28"/>
              <w:bidi w:val="0"/>
            </w:pPr>
            <w:r>
              <w:rPr>
                <w:rFonts w:hint="eastAsia"/>
              </w:rPr>
              <w:t>W7染坊支渠下游</w:t>
            </w:r>
          </w:p>
        </w:tc>
        <w:tc>
          <w:tcPr>
            <w:tcW w:w="795" w:type="pct"/>
            <w:vAlign w:val="center"/>
          </w:tcPr>
          <w:p w14:paraId="1E628827">
            <w:pPr>
              <w:pStyle w:val="28"/>
              <w:bidi w:val="0"/>
            </w:pPr>
            <w:r>
              <w:t>202</w:t>
            </w:r>
            <w:r>
              <w:rPr>
                <w:rFonts w:hint="eastAsia"/>
              </w:rPr>
              <w:t>4</w:t>
            </w:r>
            <w:r>
              <w:t>/</w:t>
            </w:r>
            <w:r>
              <w:rPr>
                <w:rFonts w:hint="eastAsia"/>
              </w:rPr>
              <w:t>6</w:t>
            </w:r>
            <w:r>
              <w:t>/2</w:t>
            </w:r>
            <w:r>
              <w:rPr>
                <w:rFonts w:hint="eastAsia"/>
              </w:rPr>
              <w:t>7</w:t>
            </w:r>
          </w:p>
        </w:tc>
        <w:tc>
          <w:tcPr>
            <w:tcW w:w="709" w:type="pct"/>
            <w:vAlign w:val="center"/>
          </w:tcPr>
          <w:p w14:paraId="5E652BD7">
            <w:pPr>
              <w:pStyle w:val="28"/>
              <w:bidi w:val="0"/>
            </w:pPr>
            <w:r>
              <w:t>7</w:t>
            </w:r>
            <w:r>
              <w:rPr>
                <w:rFonts w:hint="eastAsia"/>
              </w:rPr>
              <w:t>.5</w:t>
            </w:r>
          </w:p>
        </w:tc>
        <w:tc>
          <w:tcPr>
            <w:tcW w:w="451" w:type="pct"/>
            <w:vAlign w:val="center"/>
          </w:tcPr>
          <w:p w14:paraId="06D3D616">
            <w:pPr>
              <w:pStyle w:val="28"/>
              <w:bidi w:val="0"/>
            </w:pPr>
            <w:r>
              <w:rPr>
                <w:rFonts w:hint="eastAsia"/>
              </w:rPr>
              <w:t>17</w:t>
            </w:r>
          </w:p>
        </w:tc>
        <w:tc>
          <w:tcPr>
            <w:tcW w:w="603" w:type="pct"/>
            <w:vAlign w:val="center"/>
          </w:tcPr>
          <w:p w14:paraId="7BA519AC">
            <w:pPr>
              <w:pStyle w:val="28"/>
              <w:bidi w:val="0"/>
            </w:pPr>
            <w:r>
              <w:rPr>
                <w:rFonts w:hint="eastAsia"/>
              </w:rPr>
              <w:t>5.9</w:t>
            </w:r>
          </w:p>
        </w:tc>
        <w:tc>
          <w:tcPr>
            <w:tcW w:w="451" w:type="pct"/>
            <w:vAlign w:val="center"/>
          </w:tcPr>
          <w:p w14:paraId="6C2E7753">
            <w:pPr>
              <w:pStyle w:val="28"/>
              <w:bidi w:val="0"/>
            </w:pPr>
            <w:r>
              <w:rPr>
                <w:rFonts w:hint="eastAsia"/>
              </w:rPr>
              <w:t>23</w:t>
            </w:r>
          </w:p>
        </w:tc>
        <w:tc>
          <w:tcPr>
            <w:tcW w:w="397" w:type="pct"/>
            <w:vAlign w:val="center"/>
          </w:tcPr>
          <w:p w14:paraId="19751B11">
            <w:pPr>
              <w:pStyle w:val="28"/>
              <w:bidi w:val="0"/>
            </w:pPr>
            <w:r>
              <w:rPr>
                <w:rFonts w:hint="eastAsia"/>
              </w:rPr>
              <w:t>0.924</w:t>
            </w:r>
          </w:p>
        </w:tc>
        <w:tc>
          <w:tcPr>
            <w:tcW w:w="457" w:type="pct"/>
            <w:vAlign w:val="center"/>
          </w:tcPr>
          <w:p w14:paraId="6CEA998C">
            <w:pPr>
              <w:pStyle w:val="28"/>
              <w:bidi w:val="0"/>
            </w:pPr>
            <w:r>
              <w:rPr>
                <w:rFonts w:hint="eastAsia"/>
              </w:rPr>
              <w:t>0.14</w:t>
            </w:r>
          </w:p>
        </w:tc>
        <w:tc>
          <w:tcPr>
            <w:tcW w:w="455" w:type="pct"/>
            <w:vAlign w:val="center"/>
          </w:tcPr>
          <w:p w14:paraId="070B8AF5">
            <w:pPr>
              <w:pStyle w:val="28"/>
              <w:bidi w:val="0"/>
            </w:pPr>
            <w:r>
              <w:rPr>
                <w:rFonts w:hint="eastAsia"/>
              </w:rPr>
              <w:t>/</w:t>
            </w:r>
          </w:p>
        </w:tc>
      </w:tr>
      <w:tr w14:paraId="22B8D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2A793740">
            <w:pPr>
              <w:pStyle w:val="28"/>
              <w:bidi w:val="0"/>
            </w:pPr>
          </w:p>
        </w:tc>
        <w:tc>
          <w:tcPr>
            <w:tcW w:w="795" w:type="pct"/>
            <w:vAlign w:val="center"/>
          </w:tcPr>
          <w:p w14:paraId="316ACFAB">
            <w:pPr>
              <w:pStyle w:val="28"/>
              <w:bidi w:val="0"/>
            </w:pPr>
            <w:r>
              <w:t>202</w:t>
            </w:r>
            <w:r>
              <w:rPr>
                <w:rFonts w:hint="eastAsia"/>
              </w:rPr>
              <w:t>4</w:t>
            </w:r>
            <w:r>
              <w:t>/</w:t>
            </w:r>
            <w:r>
              <w:rPr>
                <w:rFonts w:hint="eastAsia"/>
              </w:rPr>
              <w:t>6</w:t>
            </w:r>
            <w:r>
              <w:t>/2</w:t>
            </w:r>
            <w:r>
              <w:rPr>
                <w:rFonts w:hint="eastAsia"/>
              </w:rPr>
              <w:t>8</w:t>
            </w:r>
          </w:p>
        </w:tc>
        <w:tc>
          <w:tcPr>
            <w:tcW w:w="709" w:type="pct"/>
            <w:vAlign w:val="center"/>
          </w:tcPr>
          <w:p w14:paraId="146ECFC2">
            <w:pPr>
              <w:pStyle w:val="28"/>
              <w:bidi w:val="0"/>
            </w:pPr>
            <w:r>
              <w:t>7.</w:t>
            </w:r>
            <w:r>
              <w:rPr>
                <w:rFonts w:hint="eastAsia"/>
              </w:rPr>
              <w:t>5</w:t>
            </w:r>
          </w:p>
        </w:tc>
        <w:tc>
          <w:tcPr>
            <w:tcW w:w="451" w:type="pct"/>
            <w:vAlign w:val="center"/>
          </w:tcPr>
          <w:p w14:paraId="2875E4C7">
            <w:pPr>
              <w:pStyle w:val="28"/>
              <w:bidi w:val="0"/>
            </w:pPr>
            <w:r>
              <w:rPr>
                <w:rFonts w:hint="eastAsia"/>
              </w:rPr>
              <w:t>15</w:t>
            </w:r>
          </w:p>
        </w:tc>
        <w:tc>
          <w:tcPr>
            <w:tcW w:w="603" w:type="pct"/>
            <w:vAlign w:val="center"/>
          </w:tcPr>
          <w:p w14:paraId="71F6B026">
            <w:pPr>
              <w:pStyle w:val="28"/>
              <w:bidi w:val="0"/>
            </w:pPr>
            <w:r>
              <w:rPr>
                <w:rFonts w:hint="eastAsia"/>
              </w:rPr>
              <w:t>5.8</w:t>
            </w:r>
          </w:p>
        </w:tc>
        <w:tc>
          <w:tcPr>
            <w:tcW w:w="451" w:type="pct"/>
            <w:vAlign w:val="center"/>
          </w:tcPr>
          <w:p w14:paraId="6B433D50">
            <w:pPr>
              <w:pStyle w:val="28"/>
              <w:bidi w:val="0"/>
            </w:pPr>
            <w:r>
              <w:rPr>
                <w:rFonts w:hint="eastAsia"/>
              </w:rPr>
              <w:t>21</w:t>
            </w:r>
          </w:p>
        </w:tc>
        <w:tc>
          <w:tcPr>
            <w:tcW w:w="397" w:type="pct"/>
            <w:vAlign w:val="center"/>
          </w:tcPr>
          <w:p w14:paraId="3A4F4707">
            <w:pPr>
              <w:pStyle w:val="28"/>
              <w:bidi w:val="0"/>
            </w:pPr>
            <w:r>
              <w:rPr>
                <w:rFonts w:hint="eastAsia"/>
              </w:rPr>
              <w:t>0.908</w:t>
            </w:r>
          </w:p>
        </w:tc>
        <w:tc>
          <w:tcPr>
            <w:tcW w:w="457" w:type="pct"/>
            <w:vAlign w:val="center"/>
          </w:tcPr>
          <w:p w14:paraId="38007F95">
            <w:pPr>
              <w:pStyle w:val="28"/>
              <w:bidi w:val="0"/>
            </w:pPr>
            <w:r>
              <w:rPr>
                <w:rFonts w:hint="eastAsia"/>
              </w:rPr>
              <w:t>0.12</w:t>
            </w:r>
          </w:p>
        </w:tc>
        <w:tc>
          <w:tcPr>
            <w:tcW w:w="455" w:type="pct"/>
            <w:vAlign w:val="center"/>
          </w:tcPr>
          <w:p w14:paraId="24E3935C">
            <w:pPr>
              <w:pStyle w:val="28"/>
              <w:bidi w:val="0"/>
            </w:pPr>
            <w:r>
              <w:rPr>
                <w:rFonts w:hint="eastAsia"/>
              </w:rPr>
              <w:t>/</w:t>
            </w:r>
          </w:p>
        </w:tc>
      </w:tr>
      <w:tr w14:paraId="42D4E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6BEF77F4">
            <w:pPr>
              <w:pStyle w:val="28"/>
              <w:bidi w:val="0"/>
            </w:pPr>
          </w:p>
        </w:tc>
        <w:tc>
          <w:tcPr>
            <w:tcW w:w="795" w:type="pct"/>
            <w:vAlign w:val="center"/>
          </w:tcPr>
          <w:p w14:paraId="5FE620D6">
            <w:pPr>
              <w:pStyle w:val="28"/>
              <w:bidi w:val="0"/>
            </w:pPr>
            <w:r>
              <w:t>202</w:t>
            </w:r>
            <w:r>
              <w:rPr>
                <w:rFonts w:hint="eastAsia"/>
              </w:rPr>
              <w:t>4</w:t>
            </w:r>
            <w:r>
              <w:t>/</w:t>
            </w:r>
            <w:r>
              <w:rPr>
                <w:rFonts w:hint="eastAsia"/>
              </w:rPr>
              <w:t>6</w:t>
            </w:r>
            <w:r>
              <w:t>/2</w:t>
            </w:r>
            <w:r>
              <w:rPr>
                <w:rFonts w:hint="eastAsia"/>
              </w:rPr>
              <w:t>9</w:t>
            </w:r>
          </w:p>
        </w:tc>
        <w:tc>
          <w:tcPr>
            <w:tcW w:w="709" w:type="pct"/>
            <w:vAlign w:val="center"/>
          </w:tcPr>
          <w:p w14:paraId="75B53B85">
            <w:pPr>
              <w:pStyle w:val="28"/>
              <w:bidi w:val="0"/>
            </w:pPr>
            <w:r>
              <w:t>7</w:t>
            </w:r>
            <w:r>
              <w:rPr>
                <w:rFonts w:hint="eastAsia"/>
              </w:rPr>
              <w:t>.5</w:t>
            </w:r>
          </w:p>
        </w:tc>
        <w:tc>
          <w:tcPr>
            <w:tcW w:w="451" w:type="pct"/>
            <w:vAlign w:val="center"/>
          </w:tcPr>
          <w:p w14:paraId="71D352BA">
            <w:pPr>
              <w:pStyle w:val="28"/>
              <w:bidi w:val="0"/>
            </w:pPr>
            <w:r>
              <w:rPr>
                <w:rFonts w:hint="eastAsia"/>
              </w:rPr>
              <w:t>19</w:t>
            </w:r>
          </w:p>
        </w:tc>
        <w:tc>
          <w:tcPr>
            <w:tcW w:w="603" w:type="pct"/>
            <w:vAlign w:val="center"/>
          </w:tcPr>
          <w:p w14:paraId="16E8B790">
            <w:pPr>
              <w:pStyle w:val="28"/>
              <w:bidi w:val="0"/>
            </w:pPr>
            <w:r>
              <w:rPr>
                <w:rFonts w:hint="eastAsia"/>
              </w:rPr>
              <w:t>5.7</w:t>
            </w:r>
          </w:p>
        </w:tc>
        <w:tc>
          <w:tcPr>
            <w:tcW w:w="451" w:type="pct"/>
            <w:vAlign w:val="center"/>
          </w:tcPr>
          <w:p w14:paraId="3081C36A">
            <w:pPr>
              <w:pStyle w:val="28"/>
              <w:bidi w:val="0"/>
            </w:pPr>
            <w:r>
              <w:rPr>
                <w:rFonts w:hint="eastAsia"/>
              </w:rPr>
              <w:t>19</w:t>
            </w:r>
          </w:p>
        </w:tc>
        <w:tc>
          <w:tcPr>
            <w:tcW w:w="397" w:type="pct"/>
            <w:vAlign w:val="center"/>
          </w:tcPr>
          <w:p w14:paraId="21AA274E">
            <w:pPr>
              <w:pStyle w:val="28"/>
              <w:bidi w:val="0"/>
            </w:pPr>
            <w:r>
              <w:rPr>
                <w:rFonts w:hint="eastAsia"/>
              </w:rPr>
              <w:t>0.938</w:t>
            </w:r>
          </w:p>
        </w:tc>
        <w:tc>
          <w:tcPr>
            <w:tcW w:w="457" w:type="pct"/>
            <w:vAlign w:val="center"/>
          </w:tcPr>
          <w:p w14:paraId="24357027">
            <w:pPr>
              <w:pStyle w:val="28"/>
              <w:bidi w:val="0"/>
            </w:pPr>
            <w:r>
              <w:rPr>
                <w:rFonts w:hint="eastAsia"/>
              </w:rPr>
              <w:t>0.10</w:t>
            </w:r>
          </w:p>
        </w:tc>
        <w:tc>
          <w:tcPr>
            <w:tcW w:w="455" w:type="pct"/>
            <w:vAlign w:val="center"/>
          </w:tcPr>
          <w:p w14:paraId="0DE3C484">
            <w:pPr>
              <w:pStyle w:val="28"/>
              <w:bidi w:val="0"/>
            </w:pPr>
            <w:r>
              <w:rPr>
                <w:rFonts w:hint="eastAsia"/>
              </w:rPr>
              <w:t>/</w:t>
            </w:r>
          </w:p>
        </w:tc>
      </w:tr>
      <w:tr w14:paraId="058E1B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2212C7EF">
            <w:pPr>
              <w:pStyle w:val="28"/>
              <w:bidi w:val="0"/>
            </w:pPr>
          </w:p>
        </w:tc>
        <w:tc>
          <w:tcPr>
            <w:tcW w:w="795" w:type="pct"/>
            <w:vAlign w:val="center"/>
          </w:tcPr>
          <w:p w14:paraId="330C23FE">
            <w:pPr>
              <w:pStyle w:val="28"/>
              <w:bidi w:val="0"/>
            </w:pPr>
            <w:r>
              <w:rPr>
                <w:rFonts w:hint="eastAsia"/>
              </w:rPr>
              <w:t>最大单因子指数</w:t>
            </w:r>
          </w:p>
        </w:tc>
        <w:tc>
          <w:tcPr>
            <w:tcW w:w="709" w:type="pct"/>
            <w:noWrap/>
            <w:vAlign w:val="center"/>
          </w:tcPr>
          <w:p w14:paraId="04FD4C55">
            <w:pPr>
              <w:pStyle w:val="28"/>
              <w:bidi w:val="0"/>
            </w:pPr>
            <w:r>
              <w:t>0.</w:t>
            </w:r>
            <w:r>
              <w:rPr>
                <w:rFonts w:hint="eastAsia"/>
              </w:rPr>
              <w:t>25</w:t>
            </w:r>
          </w:p>
        </w:tc>
        <w:tc>
          <w:tcPr>
            <w:tcW w:w="451" w:type="pct"/>
            <w:vAlign w:val="center"/>
          </w:tcPr>
          <w:p w14:paraId="3C5E994C">
            <w:pPr>
              <w:pStyle w:val="28"/>
              <w:bidi w:val="0"/>
            </w:pPr>
            <w:r>
              <w:rPr>
                <w:rFonts w:hint="eastAsia"/>
              </w:rPr>
              <w:t>0.95</w:t>
            </w:r>
          </w:p>
        </w:tc>
        <w:tc>
          <w:tcPr>
            <w:tcW w:w="603" w:type="pct"/>
            <w:vAlign w:val="center"/>
          </w:tcPr>
          <w:p w14:paraId="29C11490">
            <w:pPr>
              <w:pStyle w:val="28"/>
              <w:bidi w:val="0"/>
            </w:pPr>
            <w:r>
              <w:rPr>
                <w:rFonts w:hint="eastAsia"/>
              </w:rPr>
              <w:t>1.475</w:t>
            </w:r>
          </w:p>
        </w:tc>
        <w:tc>
          <w:tcPr>
            <w:tcW w:w="451" w:type="pct"/>
            <w:noWrap/>
            <w:vAlign w:val="center"/>
          </w:tcPr>
          <w:p w14:paraId="6E3E0571">
            <w:pPr>
              <w:pStyle w:val="28"/>
              <w:bidi w:val="0"/>
            </w:pPr>
            <w:r>
              <w:rPr>
                <w:rFonts w:hint="eastAsia"/>
              </w:rPr>
              <w:t>/</w:t>
            </w:r>
          </w:p>
        </w:tc>
        <w:tc>
          <w:tcPr>
            <w:tcW w:w="397" w:type="pct"/>
            <w:noWrap/>
            <w:vAlign w:val="center"/>
          </w:tcPr>
          <w:p w14:paraId="7B36C9E9">
            <w:pPr>
              <w:pStyle w:val="28"/>
              <w:bidi w:val="0"/>
            </w:pPr>
            <w:r>
              <w:rPr>
                <w:rFonts w:hint="eastAsia"/>
              </w:rPr>
              <w:t>0.938</w:t>
            </w:r>
          </w:p>
        </w:tc>
        <w:tc>
          <w:tcPr>
            <w:tcW w:w="457" w:type="pct"/>
            <w:vAlign w:val="center"/>
          </w:tcPr>
          <w:p w14:paraId="6005DC9D">
            <w:pPr>
              <w:pStyle w:val="28"/>
              <w:bidi w:val="0"/>
            </w:pPr>
            <w:r>
              <w:rPr>
                <w:rFonts w:hint="eastAsia"/>
              </w:rPr>
              <w:t>0.70</w:t>
            </w:r>
          </w:p>
        </w:tc>
        <w:tc>
          <w:tcPr>
            <w:tcW w:w="455" w:type="pct"/>
            <w:vAlign w:val="center"/>
          </w:tcPr>
          <w:p w14:paraId="3DC6F99E">
            <w:pPr>
              <w:pStyle w:val="28"/>
              <w:bidi w:val="0"/>
            </w:pPr>
            <w:r>
              <w:rPr>
                <w:rFonts w:hint="eastAsia"/>
              </w:rPr>
              <w:t>/</w:t>
            </w:r>
          </w:p>
        </w:tc>
      </w:tr>
      <w:tr w14:paraId="63E62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restart"/>
            <w:vAlign w:val="center"/>
          </w:tcPr>
          <w:p w14:paraId="6B4B17CB">
            <w:pPr>
              <w:pStyle w:val="28"/>
              <w:bidi w:val="0"/>
            </w:pPr>
            <w:r>
              <w:rPr>
                <w:rFonts w:hint="eastAsia"/>
              </w:rPr>
              <w:t>W8方庄支渠下游</w:t>
            </w:r>
          </w:p>
        </w:tc>
        <w:tc>
          <w:tcPr>
            <w:tcW w:w="795" w:type="pct"/>
            <w:vAlign w:val="center"/>
          </w:tcPr>
          <w:p w14:paraId="596FE40E">
            <w:pPr>
              <w:pStyle w:val="28"/>
              <w:bidi w:val="0"/>
            </w:pPr>
            <w:r>
              <w:t>202</w:t>
            </w:r>
            <w:r>
              <w:rPr>
                <w:rFonts w:hint="eastAsia"/>
              </w:rPr>
              <w:t>4</w:t>
            </w:r>
            <w:r>
              <w:t>/</w:t>
            </w:r>
            <w:r>
              <w:rPr>
                <w:rFonts w:hint="eastAsia"/>
              </w:rPr>
              <w:t>6</w:t>
            </w:r>
            <w:r>
              <w:t>/2</w:t>
            </w:r>
            <w:r>
              <w:rPr>
                <w:rFonts w:hint="eastAsia"/>
              </w:rPr>
              <w:t>7</w:t>
            </w:r>
          </w:p>
        </w:tc>
        <w:tc>
          <w:tcPr>
            <w:tcW w:w="709" w:type="pct"/>
            <w:vAlign w:val="center"/>
          </w:tcPr>
          <w:p w14:paraId="75013262">
            <w:pPr>
              <w:pStyle w:val="28"/>
              <w:bidi w:val="0"/>
            </w:pPr>
            <w:r>
              <w:t>7.</w:t>
            </w:r>
            <w:r>
              <w:rPr>
                <w:rFonts w:hint="eastAsia"/>
              </w:rPr>
              <w:t>4</w:t>
            </w:r>
          </w:p>
        </w:tc>
        <w:tc>
          <w:tcPr>
            <w:tcW w:w="451" w:type="pct"/>
            <w:vAlign w:val="center"/>
          </w:tcPr>
          <w:p w14:paraId="4F3C74C7">
            <w:pPr>
              <w:pStyle w:val="28"/>
              <w:bidi w:val="0"/>
            </w:pPr>
            <w:r>
              <w:rPr>
                <w:rFonts w:hint="eastAsia"/>
              </w:rPr>
              <w:t>21</w:t>
            </w:r>
          </w:p>
        </w:tc>
        <w:tc>
          <w:tcPr>
            <w:tcW w:w="603" w:type="pct"/>
            <w:vAlign w:val="center"/>
          </w:tcPr>
          <w:p w14:paraId="2745D70A">
            <w:pPr>
              <w:pStyle w:val="28"/>
              <w:bidi w:val="0"/>
            </w:pPr>
            <w:r>
              <w:rPr>
                <w:rFonts w:hint="eastAsia"/>
              </w:rPr>
              <w:t>6.6</w:t>
            </w:r>
          </w:p>
        </w:tc>
        <w:tc>
          <w:tcPr>
            <w:tcW w:w="451" w:type="pct"/>
            <w:vAlign w:val="center"/>
          </w:tcPr>
          <w:p w14:paraId="489C4B8D">
            <w:pPr>
              <w:pStyle w:val="28"/>
              <w:bidi w:val="0"/>
            </w:pPr>
            <w:r>
              <w:rPr>
                <w:rFonts w:hint="eastAsia"/>
              </w:rPr>
              <w:t>19</w:t>
            </w:r>
          </w:p>
        </w:tc>
        <w:tc>
          <w:tcPr>
            <w:tcW w:w="397" w:type="pct"/>
            <w:vAlign w:val="center"/>
          </w:tcPr>
          <w:p w14:paraId="67BC5E32">
            <w:pPr>
              <w:pStyle w:val="28"/>
              <w:bidi w:val="0"/>
            </w:pPr>
            <w:r>
              <w:rPr>
                <w:rFonts w:hint="eastAsia"/>
              </w:rPr>
              <w:t>0.541</w:t>
            </w:r>
          </w:p>
        </w:tc>
        <w:tc>
          <w:tcPr>
            <w:tcW w:w="457" w:type="pct"/>
            <w:vAlign w:val="center"/>
          </w:tcPr>
          <w:p w14:paraId="70E469CE">
            <w:pPr>
              <w:pStyle w:val="28"/>
              <w:bidi w:val="0"/>
            </w:pPr>
            <w:r>
              <w:rPr>
                <w:rFonts w:hint="eastAsia"/>
              </w:rPr>
              <w:t>0.10</w:t>
            </w:r>
          </w:p>
        </w:tc>
        <w:tc>
          <w:tcPr>
            <w:tcW w:w="455" w:type="pct"/>
            <w:vAlign w:val="center"/>
          </w:tcPr>
          <w:p w14:paraId="5D3E995F">
            <w:pPr>
              <w:pStyle w:val="28"/>
              <w:bidi w:val="0"/>
            </w:pPr>
            <w:r>
              <w:rPr>
                <w:rFonts w:hint="eastAsia"/>
              </w:rPr>
              <w:t>/</w:t>
            </w:r>
          </w:p>
        </w:tc>
      </w:tr>
      <w:tr w14:paraId="083D2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281762D2">
            <w:pPr>
              <w:pStyle w:val="28"/>
              <w:bidi w:val="0"/>
            </w:pPr>
          </w:p>
        </w:tc>
        <w:tc>
          <w:tcPr>
            <w:tcW w:w="795" w:type="pct"/>
            <w:vAlign w:val="center"/>
          </w:tcPr>
          <w:p w14:paraId="5A4EBCED">
            <w:pPr>
              <w:pStyle w:val="28"/>
              <w:bidi w:val="0"/>
            </w:pPr>
            <w:r>
              <w:t>202</w:t>
            </w:r>
            <w:r>
              <w:rPr>
                <w:rFonts w:hint="eastAsia"/>
              </w:rPr>
              <w:t>4</w:t>
            </w:r>
            <w:r>
              <w:t>/</w:t>
            </w:r>
            <w:r>
              <w:rPr>
                <w:rFonts w:hint="eastAsia"/>
              </w:rPr>
              <w:t>6</w:t>
            </w:r>
            <w:r>
              <w:t>/2</w:t>
            </w:r>
            <w:r>
              <w:rPr>
                <w:rFonts w:hint="eastAsia"/>
              </w:rPr>
              <w:t>8</w:t>
            </w:r>
          </w:p>
        </w:tc>
        <w:tc>
          <w:tcPr>
            <w:tcW w:w="709" w:type="pct"/>
            <w:vAlign w:val="center"/>
          </w:tcPr>
          <w:p w14:paraId="07B767BF">
            <w:pPr>
              <w:pStyle w:val="28"/>
              <w:bidi w:val="0"/>
            </w:pPr>
            <w:r>
              <w:t>7.4</w:t>
            </w:r>
          </w:p>
        </w:tc>
        <w:tc>
          <w:tcPr>
            <w:tcW w:w="451" w:type="pct"/>
            <w:vAlign w:val="center"/>
          </w:tcPr>
          <w:p w14:paraId="09F7E2A3">
            <w:pPr>
              <w:pStyle w:val="28"/>
              <w:bidi w:val="0"/>
            </w:pPr>
            <w:r>
              <w:rPr>
                <w:rFonts w:hint="eastAsia"/>
              </w:rPr>
              <w:t>19</w:t>
            </w:r>
          </w:p>
        </w:tc>
        <w:tc>
          <w:tcPr>
            <w:tcW w:w="603" w:type="pct"/>
            <w:vAlign w:val="center"/>
          </w:tcPr>
          <w:p w14:paraId="511146A3">
            <w:pPr>
              <w:pStyle w:val="28"/>
              <w:bidi w:val="0"/>
            </w:pPr>
            <w:r>
              <w:rPr>
                <w:rFonts w:hint="eastAsia"/>
              </w:rPr>
              <w:t>6.8</w:t>
            </w:r>
          </w:p>
        </w:tc>
        <w:tc>
          <w:tcPr>
            <w:tcW w:w="451" w:type="pct"/>
            <w:vAlign w:val="center"/>
          </w:tcPr>
          <w:p w14:paraId="05E3254B">
            <w:pPr>
              <w:pStyle w:val="28"/>
              <w:bidi w:val="0"/>
            </w:pPr>
            <w:r>
              <w:rPr>
                <w:rFonts w:hint="eastAsia"/>
              </w:rPr>
              <w:t>17</w:t>
            </w:r>
          </w:p>
        </w:tc>
        <w:tc>
          <w:tcPr>
            <w:tcW w:w="397" w:type="pct"/>
            <w:vAlign w:val="center"/>
          </w:tcPr>
          <w:p w14:paraId="01C09D45">
            <w:pPr>
              <w:pStyle w:val="28"/>
              <w:bidi w:val="0"/>
            </w:pPr>
            <w:r>
              <w:rPr>
                <w:rFonts w:hint="eastAsia"/>
              </w:rPr>
              <w:t>0.554</w:t>
            </w:r>
          </w:p>
        </w:tc>
        <w:tc>
          <w:tcPr>
            <w:tcW w:w="457" w:type="pct"/>
            <w:vAlign w:val="center"/>
          </w:tcPr>
          <w:p w14:paraId="0A5E9E69">
            <w:pPr>
              <w:pStyle w:val="28"/>
              <w:bidi w:val="0"/>
            </w:pPr>
            <w:r>
              <w:rPr>
                <w:rFonts w:hint="eastAsia"/>
              </w:rPr>
              <w:t>0.15</w:t>
            </w:r>
          </w:p>
        </w:tc>
        <w:tc>
          <w:tcPr>
            <w:tcW w:w="455" w:type="pct"/>
            <w:vAlign w:val="center"/>
          </w:tcPr>
          <w:p w14:paraId="7F6EBF6A">
            <w:pPr>
              <w:pStyle w:val="28"/>
              <w:bidi w:val="0"/>
            </w:pPr>
            <w:r>
              <w:rPr>
                <w:rFonts w:hint="eastAsia"/>
              </w:rPr>
              <w:t>/</w:t>
            </w:r>
          </w:p>
        </w:tc>
      </w:tr>
      <w:tr w14:paraId="66766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7B8EABF7">
            <w:pPr>
              <w:pStyle w:val="28"/>
              <w:bidi w:val="0"/>
            </w:pPr>
          </w:p>
        </w:tc>
        <w:tc>
          <w:tcPr>
            <w:tcW w:w="795" w:type="pct"/>
            <w:vAlign w:val="center"/>
          </w:tcPr>
          <w:p w14:paraId="18F3DD05">
            <w:pPr>
              <w:pStyle w:val="28"/>
              <w:bidi w:val="0"/>
            </w:pPr>
            <w:r>
              <w:t>202</w:t>
            </w:r>
            <w:r>
              <w:rPr>
                <w:rFonts w:hint="eastAsia"/>
              </w:rPr>
              <w:t>4</w:t>
            </w:r>
            <w:r>
              <w:t>/</w:t>
            </w:r>
            <w:r>
              <w:rPr>
                <w:rFonts w:hint="eastAsia"/>
              </w:rPr>
              <w:t>6</w:t>
            </w:r>
            <w:r>
              <w:t>/2</w:t>
            </w:r>
            <w:r>
              <w:rPr>
                <w:rFonts w:hint="eastAsia"/>
              </w:rPr>
              <w:t>9</w:t>
            </w:r>
          </w:p>
        </w:tc>
        <w:tc>
          <w:tcPr>
            <w:tcW w:w="709" w:type="pct"/>
            <w:vAlign w:val="center"/>
          </w:tcPr>
          <w:p w14:paraId="2A3F6EA3">
            <w:pPr>
              <w:pStyle w:val="28"/>
              <w:bidi w:val="0"/>
            </w:pPr>
            <w:r>
              <w:t>7.</w:t>
            </w:r>
            <w:r>
              <w:rPr>
                <w:rFonts w:hint="eastAsia"/>
              </w:rPr>
              <w:t>4</w:t>
            </w:r>
          </w:p>
        </w:tc>
        <w:tc>
          <w:tcPr>
            <w:tcW w:w="451" w:type="pct"/>
            <w:vAlign w:val="center"/>
          </w:tcPr>
          <w:p w14:paraId="4005D5D4">
            <w:pPr>
              <w:pStyle w:val="28"/>
              <w:bidi w:val="0"/>
            </w:pPr>
            <w:r>
              <w:rPr>
                <w:rFonts w:hint="eastAsia"/>
              </w:rPr>
              <w:t>21</w:t>
            </w:r>
          </w:p>
        </w:tc>
        <w:tc>
          <w:tcPr>
            <w:tcW w:w="603" w:type="pct"/>
            <w:vAlign w:val="center"/>
          </w:tcPr>
          <w:p w14:paraId="24E3C85A">
            <w:pPr>
              <w:pStyle w:val="28"/>
              <w:bidi w:val="0"/>
            </w:pPr>
            <w:r>
              <w:rPr>
                <w:rFonts w:hint="eastAsia"/>
              </w:rPr>
              <w:t>7.1</w:t>
            </w:r>
          </w:p>
        </w:tc>
        <w:tc>
          <w:tcPr>
            <w:tcW w:w="451" w:type="pct"/>
            <w:vAlign w:val="center"/>
          </w:tcPr>
          <w:p w14:paraId="40EA477D">
            <w:pPr>
              <w:pStyle w:val="28"/>
              <w:bidi w:val="0"/>
            </w:pPr>
            <w:r>
              <w:rPr>
                <w:rFonts w:hint="eastAsia"/>
              </w:rPr>
              <w:t>21</w:t>
            </w:r>
          </w:p>
        </w:tc>
        <w:tc>
          <w:tcPr>
            <w:tcW w:w="397" w:type="pct"/>
            <w:vAlign w:val="center"/>
          </w:tcPr>
          <w:p w14:paraId="6B824934">
            <w:pPr>
              <w:pStyle w:val="28"/>
              <w:bidi w:val="0"/>
            </w:pPr>
            <w:r>
              <w:rPr>
                <w:rFonts w:hint="eastAsia"/>
              </w:rPr>
              <w:t>0.546</w:t>
            </w:r>
          </w:p>
        </w:tc>
        <w:tc>
          <w:tcPr>
            <w:tcW w:w="457" w:type="pct"/>
            <w:vAlign w:val="center"/>
          </w:tcPr>
          <w:p w14:paraId="672DF030">
            <w:pPr>
              <w:pStyle w:val="28"/>
              <w:bidi w:val="0"/>
            </w:pPr>
            <w:r>
              <w:rPr>
                <w:rFonts w:hint="eastAsia"/>
              </w:rPr>
              <w:t>0.12</w:t>
            </w:r>
          </w:p>
        </w:tc>
        <w:tc>
          <w:tcPr>
            <w:tcW w:w="455" w:type="pct"/>
            <w:vAlign w:val="center"/>
          </w:tcPr>
          <w:p w14:paraId="09FB903A">
            <w:pPr>
              <w:pStyle w:val="28"/>
              <w:bidi w:val="0"/>
            </w:pPr>
            <w:r>
              <w:rPr>
                <w:rFonts w:hint="eastAsia"/>
              </w:rPr>
              <w:t>/</w:t>
            </w:r>
          </w:p>
        </w:tc>
      </w:tr>
      <w:tr w14:paraId="750D6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1914298D">
            <w:pPr>
              <w:pStyle w:val="28"/>
              <w:bidi w:val="0"/>
            </w:pPr>
          </w:p>
        </w:tc>
        <w:tc>
          <w:tcPr>
            <w:tcW w:w="795" w:type="pct"/>
            <w:vAlign w:val="center"/>
          </w:tcPr>
          <w:p w14:paraId="287317C2">
            <w:pPr>
              <w:pStyle w:val="28"/>
              <w:bidi w:val="0"/>
            </w:pPr>
            <w:r>
              <w:rPr>
                <w:rFonts w:hint="eastAsia"/>
              </w:rPr>
              <w:t>最大单因子指数</w:t>
            </w:r>
          </w:p>
        </w:tc>
        <w:tc>
          <w:tcPr>
            <w:tcW w:w="709" w:type="pct"/>
            <w:noWrap/>
            <w:vAlign w:val="center"/>
          </w:tcPr>
          <w:p w14:paraId="5B1FC2DA">
            <w:pPr>
              <w:pStyle w:val="28"/>
              <w:bidi w:val="0"/>
            </w:pPr>
            <w:r>
              <w:t>0.2</w:t>
            </w:r>
          </w:p>
        </w:tc>
        <w:tc>
          <w:tcPr>
            <w:tcW w:w="451" w:type="pct"/>
            <w:vAlign w:val="center"/>
          </w:tcPr>
          <w:p w14:paraId="460D3143">
            <w:pPr>
              <w:pStyle w:val="28"/>
              <w:bidi w:val="0"/>
            </w:pPr>
            <w:r>
              <w:rPr>
                <w:rFonts w:hint="eastAsia"/>
              </w:rPr>
              <w:t>1.05</w:t>
            </w:r>
          </w:p>
        </w:tc>
        <w:tc>
          <w:tcPr>
            <w:tcW w:w="603" w:type="pct"/>
            <w:vAlign w:val="center"/>
          </w:tcPr>
          <w:p w14:paraId="3E4E9763">
            <w:pPr>
              <w:pStyle w:val="28"/>
              <w:bidi w:val="0"/>
            </w:pPr>
            <w:r>
              <w:rPr>
                <w:rFonts w:hint="eastAsia"/>
              </w:rPr>
              <w:t>1.775</w:t>
            </w:r>
          </w:p>
        </w:tc>
        <w:tc>
          <w:tcPr>
            <w:tcW w:w="451" w:type="pct"/>
            <w:noWrap/>
            <w:vAlign w:val="center"/>
          </w:tcPr>
          <w:p w14:paraId="4382E376">
            <w:pPr>
              <w:pStyle w:val="28"/>
              <w:bidi w:val="0"/>
            </w:pPr>
            <w:r>
              <w:rPr>
                <w:rFonts w:hint="eastAsia"/>
              </w:rPr>
              <w:t>/</w:t>
            </w:r>
          </w:p>
        </w:tc>
        <w:tc>
          <w:tcPr>
            <w:tcW w:w="397" w:type="pct"/>
            <w:noWrap/>
            <w:vAlign w:val="center"/>
          </w:tcPr>
          <w:p w14:paraId="12609EC1">
            <w:pPr>
              <w:pStyle w:val="28"/>
              <w:bidi w:val="0"/>
            </w:pPr>
            <w:r>
              <w:rPr>
                <w:rFonts w:hint="eastAsia"/>
              </w:rPr>
              <w:t>0.554</w:t>
            </w:r>
          </w:p>
        </w:tc>
        <w:tc>
          <w:tcPr>
            <w:tcW w:w="457" w:type="pct"/>
            <w:vAlign w:val="center"/>
          </w:tcPr>
          <w:p w14:paraId="7A494FE7">
            <w:pPr>
              <w:pStyle w:val="28"/>
              <w:bidi w:val="0"/>
            </w:pPr>
            <w:r>
              <w:rPr>
                <w:rFonts w:hint="eastAsia"/>
              </w:rPr>
              <w:t>0.75</w:t>
            </w:r>
          </w:p>
        </w:tc>
        <w:tc>
          <w:tcPr>
            <w:tcW w:w="455" w:type="pct"/>
            <w:vAlign w:val="center"/>
          </w:tcPr>
          <w:p w14:paraId="766C0D86">
            <w:pPr>
              <w:pStyle w:val="28"/>
              <w:bidi w:val="0"/>
            </w:pPr>
            <w:r>
              <w:rPr>
                <w:rFonts w:hint="eastAsia"/>
              </w:rPr>
              <w:t>/</w:t>
            </w:r>
          </w:p>
        </w:tc>
      </w:tr>
      <w:tr w14:paraId="656F6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restart"/>
            <w:vAlign w:val="center"/>
          </w:tcPr>
          <w:p w14:paraId="3D08CA38">
            <w:pPr>
              <w:pStyle w:val="28"/>
              <w:bidi w:val="0"/>
            </w:pPr>
            <w:r>
              <w:rPr>
                <w:rFonts w:hint="eastAsia"/>
              </w:rPr>
              <w:t>W9桂岗支渠下游</w:t>
            </w:r>
          </w:p>
        </w:tc>
        <w:tc>
          <w:tcPr>
            <w:tcW w:w="795" w:type="pct"/>
            <w:vAlign w:val="center"/>
          </w:tcPr>
          <w:p w14:paraId="4472C086">
            <w:pPr>
              <w:pStyle w:val="28"/>
              <w:bidi w:val="0"/>
            </w:pPr>
            <w:r>
              <w:t>202</w:t>
            </w:r>
            <w:r>
              <w:rPr>
                <w:rFonts w:hint="eastAsia"/>
              </w:rPr>
              <w:t>4</w:t>
            </w:r>
            <w:r>
              <w:t>/</w:t>
            </w:r>
            <w:r>
              <w:rPr>
                <w:rFonts w:hint="eastAsia"/>
              </w:rPr>
              <w:t>6</w:t>
            </w:r>
            <w:r>
              <w:t>/2</w:t>
            </w:r>
            <w:r>
              <w:rPr>
                <w:rFonts w:hint="eastAsia"/>
              </w:rPr>
              <w:t>7</w:t>
            </w:r>
          </w:p>
        </w:tc>
        <w:tc>
          <w:tcPr>
            <w:tcW w:w="709" w:type="pct"/>
            <w:vAlign w:val="center"/>
          </w:tcPr>
          <w:p w14:paraId="54D75AC8">
            <w:pPr>
              <w:pStyle w:val="28"/>
              <w:bidi w:val="0"/>
            </w:pPr>
            <w:r>
              <w:t>7.3</w:t>
            </w:r>
          </w:p>
        </w:tc>
        <w:tc>
          <w:tcPr>
            <w:tcW w:w="451" w:type="pct"/>
            <w:vAlign w:val="center"/>
          </w:tcPr>
          <w:p w14:paraId="728D939A">
            <w:pPr>
              <w:pStyle w:val="28"/>
              <w:bidi w:val="0"/>
            </w:pPr>
            <w:r>
              <w:rPr>
                <w:rFonts w:hint="eastAsia"/>
              </w:rPr>
              <w:t>20</w:t>
            </w:r>
          </w:p>
        </w:tc>
        <w:tc>
          <w:tcPr>
            <w:tcW w:w="603" w:type="pct"/>
            <w:vAlign w:val="center"/>
          </w:tcPr>
          <w:p w14:paraId="7D0755BE">
            <w:pPr>
              <w:pStyle w:val="28"/>
              <w:bidi w:val="0"/>
            </w:pPr>
            <w:r>
              <w:rPr>
                <w:rFonts w:hint="eastAsia"/>
              </w:rPr>
              <w:t>6.2</w:t>
            </w:r>
          </w:p>
        </w:tc>
        <w:tc>
          <w:tcPr>
            <w:tcW w:w="451" w:type="pct"/>
            <w:vAlign w:val="center"/>
          </w:tcPr>
          <w:p w14:paraId="27E30F8F">
            <w:pPr>
              <w:pStyle w:val="28"/>
              <w:bidi w:val="0"/>
            </w:pPr>
            <w:r>
              <w:rPr>
                <w:rFonts w:hint="eastAsia"/>
              </w:rPr>
              <w:t>17</w:t>
            </w:r>
          </w:p>
        </w:tc>
        <w:tc>
          <w:tcPr>
            <w:tcW w:w="397" w:type="pct"/>
            <w:shd w:val="clear" w:color="auto" w:fill="auto"/>
            <w:vAlign w:val="center"/>
          </w:tcPr>
          <w:p w14:paraId="553B23D7">
            <w:pPr>
              <w:pStyle w:val="28"/>
              <w:bidi w:val="0"/>
            </w:pPr>
            <w:r>
              <w:rPr>
                <w:rFonts w:hint="eastAsia"/>
              </w:rPr>
              <w:t>0.608</w:t>
            </w:r>
          </w:p>
        </w:tc>
        <w:tc>
          <w:tcPr>
            <w:tcW w:w="457" w:type="pct"/>
            <w:vAlign w:val="center"/>
          </w:tcPr>
          <w:p w14:paraId="54358440">
            <w:pPr>
              <w:pStyle w:val="28"/>
              <w:bidi w:val="0"/>
            </w:pPr>
            <w:r>
              <w:rPr>
                <w:rFonts w:hint="eastAsia"/>
              </w:rPr>
              <w:t>0.08</w:t>
            </w:r>
          </w:p>
        </w:tc>
        <w:tc>
          <w:tcPr>
            <w:tcW w:w="455" w:type="pct"/>
            <w:vAlign w:val="center"/>
          </w:tcPr>
          <w:p w14:paraId="7552F097">
            <w:pPr>
              <w:pStyle w:val="28"/>
              <w:bidi w:val="0"/>
            </w:pPr>
            <w:r>
              <w:rPr>
                <w:rFonts w:hint="eastAsia"/>
              </w:rPr>
              <w:t>/</w:t>
            </w:r>
          </w:p>
        </w:tc>
      </w:tr>
      <w:tr w14:paraId="7E74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469B1B35">
            <w:pPr>
              <w:pStyle w:val="28"/>
              <w:bidi w:val="0"/>
            </w:pPr>
          </w:p>
        </w:tc>
        <w:tc>
          <w:tcPr>
            <w:tcW w:w="795" w:type="pct"/>
            <w:vAlign w:val="center"/>
          </w:tcPr>
          <w:p w14:paraId="2634F2D5">
            <w:pPr>
              <w:pStyle w:val="28"/>
              <w:bidi w:val="0"/>
            </w:pPr>
            <w:r>
              <w:t>202</w:t>
            </w:r>
            <w:r>
              <w:rPr>
                <w:rFonts w:hint="eastAsia"/>
              </w:rPr>
              <w:t>4</w:t>
            </w:r>
            <w:r>
              <w:t>/</w:t>
            </w:r>
            <w:r>
              <w:rPr>
                <w:rFonts w:hint="eastAsia"/>
              </w:rPr>
              <w:t>6</w:t>
            </w:r>
            <w:r>
              <w:t>/2</w:t>
            </w:r>
            <w:r>
              <w:rPr>
                <w:rFonts w:hint="eastAsia"/>
              </w:rPr>
              <w:t>8</w:t>
            </w:r>
          </w:p>
        </w:tc>
        <w:tc>
          <w:tcPr>
            <w:tcW w:w="709" w:type="pct"/>
            <w:vAlign w:val="center"/>
          </w:tcPr>
          <w:p w14:paraId="6C21CB0F">
            <w:pPr>
              <w:pStyle w:val="28"/>
              <w:bidi w:val="0"/>
            </w:pPr>
            <w:r>
              <w:t>7.3</w:t>
            </w:r>
          </w:p>
        </w:tc>
        <w:tc>
          <w:tcPr>
            <w:tcW w:w="451" w:type="pct"/>
            <w:vAlign w:val="center"/>
          </w:tcPr>
          <w:p w14:paraId="09905082">
            <w:pPr>
              <w:pStyle w:val="28"/>
              <w:bidi w:val="0"/>
            </w:pPr>
            <w:r>
              <w:rPr>
                <w:rFonts w:hint="eastAsia"/>
              </w:rPr>
              <w:t>19</w:t>
            </w:r>
          </w:p>
        </w:tc>
        <w:tc>
          <w:tcPr>
            <w:tcW w:w="603" w:type="pct"/>
            <w:vAlign w:val="center"/>
          </w:tcPr>
          <w:p w14:paraId="7CFE0571">
            <w:pPr>
              <w:pStyle w:val="28"/>
              <w:bidi w:val="0"/>
            </w:pPr>
            <w:r>
              <w:rPr>
                <w:rFonts w:hint="eastAsia"/>
              </w:rPr>
              <w:t>6.0</w:t>
            </w:r>
          </w:p>
        </w:tc>
        <w:tc>
          <w:tcPr>
            <w:tcW w:w="451" w:type="pct"/>
            <w:vAlign w:val="center"/>
          </w:tcPr>
          <w:p w14:paraId="60E9EED9">
            <w:pPr>
              <w:pStyle w:val="28"/>
              <w:bidi w:val="0"/>
            </w:pPr>
            <w:r>
              <w:rPr>
                <w:rFonts w:hint="eastAsia"/>
              </w:rPr>
              <w:t>19</w:t>
            </w:r>
          </w:p>
        </w:tc>
        <w:tc>
          <w:tcPr>
            <w:tcW w:w="397" w:type="pct"/>
            <w:shd w:val="clear" w:color="auto" w:fill="auto"/>
            <w:vAlign w:val="center"/>
          </w:tcPr>
          <w:p w14:paraId="66950056">
            <w:pPr>
              <w:pStyle w:val="28"/>
              <w:bidi w:val="0"/>
            </w:pPr>
            <w:r>
              <w:rPr>
                <w:rFonts w:hint="eastAsia"/>
              </w:rPr>
              <w:t>0.585</w:t>
            </w:r>
          </w:p>
        </w:tc>
        <w:tc>
          <w:tcPr>
            <w:tcW w:w="457" w:type="pct"/>
            <w:vAlign w:val="center"/>
          </w:tcPr>
          <w:p w14:paraId="08AB137A">
            <w:pPr>
              <w:pStyle w:val="28"/>
              <w:bidi w:val="0"/>
            </w:pPr>
            <w:r>
              <w:rPr>
                <w:rFonts w:hint="eastAsia"/>
              </w:rPr>
              <w:t>0.10</w:t>
            </w:r>
          </w:p>
        </w:tc>
        <w:tc>
          <w:tcPr>
            <w:tcW w:w="455" w:type="pct"/>
            <w:vAlign w:val="center"/>
          </w:tcPr>
          <w:p w14:paraId="446484E4">
            <w:pPr>
              <w:pStyle w:val="28"/>
              <w:bidi w:val="0"/>
            </w:pPr>
            <w:r>
              <w:rPr>
                <w:rFonts w:hint="eastAsia"/>
              </w:rPr>
              <w:t>/</w:t>
            </w:r>
          </w:p>
        </w:tc>
      </w:tr>
      <w:tr w14:paraId="733C8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2AC9FB28">
            <w:pPr>
              <w:pStyle w:val="28"/>
              <w:bidi w:val="0"/>
            </w:pPr>
          </w:p>
        </w:tc>
        <w:tc>
          <w:tcPr>
            <w:tcW w:w="795" w:type="pct"/>
            <w:vAlign w:val="center"/>
          </w:tcPr>
          <w:p w14:paraId="502C5A2A">
            <w:pPr>
              <w:pStyle w:val="28"/>
              <w:bidi w:val="0"/>
            </w:pPr>
            <w:r>
              <w:t>202</w:t>
            </w:r>
            <w:r>
              <w:rPr>
                <w:rFonts w:hint="eastAsia"/>
              </w:rPr>
              <w:t>4</w:t>
            </w:r>
            <w:r>
              <w:t>/</w:t>
            </w:r>
            <w:r>
              <w:rPr>
                <w:rFonts w:hint="eastAsia"/>
              </w:rPr>
              <w:t>6</w:t>
            </w:r>
            <w:r>
              <w:t>/2</w:t>
            </w:r>
            <w:r>
              <w:rPr>
                <w:rFonts w:hint="eastAsia"/>
              </w:rPr>
              <w:t>9</w:t>
            </w:r>
          </w:p>
        </w:tc>
        <w:tc>
          <w:tcPr>
            <w:tcW w:w="709" w:type="pct"/>
            <w:vAlign w:val="center"/>
          </w:tcPr>
          <w:p w14:paraId="03BA94B4">
            <w:pPr>
              <w:pStyle w:val="28"/>
              <w:bidi w:val="0"/>
            </w:pPr>
            <w:r>
              <w:t>7.</w:t>
            </w:r>
            <w:r>
              <w:rPr>
                <w:rFonts w:hint="eastAsia"/>
              </w:rPr>
              <w:t>4</w:t>
            </w:r>
          </w:p>
        </w:tc>
        <w:tc>
          <w:tcPr>
            <w:tcW w:w="451" w:type="pct"/>
            <w:vAlign w:val="center"/>
          </w:tcPr>
          <w:p w14:paraId="1CFAAD59">
            <w:pPr>
              <w:pStyle w:val="28"/>
              <w:bidi w:val="0"/>
            </w:pPr>
            <w:r>
              <w:rPr>
                <w:rFonts w:hint="eastAsia"/>
              </w:rPr>
              <w:t>22</w:t>
            </w:r>
          </w:p>
        </w:tc>
        <w:tc>
          <w:tcPr>
            <w:tcW w:w="603" w:type="pct"/>
            <w:vAlign w:val="center"/>
          </w:tcPr>
          <w:p w14:paraId="1907CBA0">
            <w:pPr>
              <w:pStyle w:val="28"/>
              <w:bidi w:val="0"/>
            </w:pPr>
            <w:r>
              <w:rPr>
                <w:rFonts w:hint="eastAsia"/>
              </w:rPr>
              <w:t>6.5</w:t>
            </w:r>
          </w:p>
        </w:tc>
        <w:tc>
          <w:tcPr>
            <w:tcW w:w="451" w:type="pct"/>
            <w:vAlign w:val="center"/>
          </w:tcPr>
          <w:p w14:paraId="486CFEE0">
            <w:pPr>
              <w:pStyle w:val="28"/>
              <w:bidi w:val="0"/>
            </w:pPr>
            <w:r>
              <w:rPr>
                <w:rFonts w:hint="eastAsia"/>
              </w:rPr>
              <w:t>22</w:t>
            </w:r>
          </w:p>
        </w:tc>
        <w:tc>
          <w:tcPr>
            <w:tcW w:w="397" w:type="pct"/>
            <w:shd w:val="clear" w:color="auto" w:fill="auto"/>
            <w:vAlign w:val="center"/>
          </w:tcPr>
          <w:p w14:paraId="5E1F2C21">
            <w:pPr>
              <w:pStyle w:val="28"/>
              <w:bidi w:val="0"/>
            </w:pPr>
            <w:r>
              <w:rPr>
                <w:rFonts w:hint="eastAsia"/>
              </w:rPr>
              <w:t>0.690</w:t>
            </w:r>
          </w:p>
        </w:tc>
        <w:tc>
          <w:tcPr>
            <w:tcW w:w="457" w:type="pct"/>
            <w:vAlign w:val="center"/>
          </w:tcPr>
          <w:p w14:paraId="32AF475D">
            <w:pPr>
              <w:pStyle w:val="28"/>
              <w:bidi w:val="0"/>
            </w:pPr>
            <w:r>
              <w:rPr>
                <w:rFonts w:hint="eastAsia"/>
              </w:rPr>
              <w:t>0.09</w:t>
            </w:r>
          </w:p>
        </w:tc>
        <w:tc>
          <w:tcPr>
            <w:tcW w:w="455" w:type="pct"/>
            <w:vAlign w:val="center"/>
          </w:tcPr>
          <w:p w14:paraId="7A64C549">
            <w:pPr>
              <w:pStyle w:val="28"/>
              <w:bidi w:val="0"/>
            </w:pPr>
            <w:r>
              <w:rPr>
                <w:rFonts w:hint="eastAsia"/>
              </w:rPr>
              <w:t>/</w:t>
            </w:r>
          </w:p>
        </w:tc>
      </w:tr>
      <w:tr w14:paraId="4E71B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Merge w:val="continue"/>
            <w:vAlign w:val="center"/>
          </w:tcPr>
          <w:p w14:paraId="027CF519">
            <w:pPr>
              <w:pStyle w:val="28"/>
              <w:bidi w:val="0"/>
            </w:pPr>
          </w:p>
        </w:tc>
        <w:tc>
          <w:tcPr>
            <w:tcW w:w="795" w:type="pct"/>
            <w:vAlign w:val="center"/>
          </w:tcPr>
          <w:p w14:paraId="74D5011D">
            <w:pPr>
              <w:pStyle w:val="28"/>
              <w:bidi w:val="0"/>
            </w:pPr>
            <w:r>
              <w:rPr>
                <w:rFonts w:hint="eastAsia"/>
              </w:rPr>
              <w:t>最大单因子指数</w:t>
            </w:r>
          </w:p>
        </w:tc>
        <w:tc>
          <w:tcPr>
            <w:tcW w:w="709" w:type="pct"/>
            <w:noWrap/>
            <w:vAlign w:val="center"/>
          </w:tcPr>
          <w:p w14:paraId="024891BB">
            <w:pPr>
              <w:pStyle w:val="28"/>
              <w:bidi w:val="0"/>
            </w:pPr>
            <w:r>
              <w:t>0.2</w:t>
            </w:r>
          </w:p>
        </w:tc>
        <w:tc>
          <w:tcPr>
            <w:tcW w:w="451" w:type="pct"/>
            <w:vAlign w:val="center"/>
          </w:tcPr>
          <w:p w14:paraId="6F153669">
            <w:pPr>
              <w:pStyle w:val="28"/>
              <w:bidi w:val="0"/>
            </w:pPr>
            <w:r>
              <w:rPr>
                <w:rFonts w:hint="eastAsia"/>
              </w:rPr>
              <w:t>1.1</w:t>
            </w:r>
          </w:p>
        </w:tc>
        <w:tc>
          <w:tcPr>
            <w:tcW w:w="603" w:type="pct"/>
            <w:vAlign w:val="center"/>
          </w:tcPr>
          <w:p w14:paraId="49B00ED0">
            <w:pPr>
              <w:pStyle w:val="28"/>
              <w:bidi w:val="0"/>
            </w:pPr>
            <w:r>
              <w:rPr>
                <w:rFonts w:hint="eastAsia"/>
              </w:rPr>
              <w:t>1.625</w:t>
            </w:r>
          </w:p>
        </w:tc>
        <w:tc>
          <w:tcPr>
            <w:tcW w:w="451" w:type="pct"/>
            <w:noWrap/>
            <w:vAlign w:val="center"/>
          </w:tcPr>
          <w:p w14:paraId="6BC3477D">
            <w:pPr>
              <w:pStyle w:val="28"/>
              <w:bidi w:val="0"/>
            </w:pPr>
            <w:r>
              <w:rPr>
                <w:rFonts w:hint="eastAsia"/>
              </w:rPr>
              <w:t>/</w:t>
            </w:r>
          </w:p>
        </w:tc>
        <w:tc>
          <w:tcPr>
            <w:tcW w:w="397" w:type="pct"/>
            <w:noWrap/>
            <w:vAlign w:val="center"/>
          </w:tcPr>
          <w:p w14:paraId="17030016">
            <w:pPr>
              <w:pStyle w:val="28"/>
              <w:bidi w:val="0"/>
            </w:pPr>
            <w:r>
              <w:rPr>
                <w:rFonts w:hint="eastAsia"/>
              </w:rPr>
              <w:t>0.690</w:t>
            </w:r>
          </w:p>
        </w:tc>
        <w:tc>
          <w:tcPr>
            <w:tcW w:w="457" w:type="pct"/>
            <w:vAlign w:val="center"/>
          </w:tcPr>
          <w:p w14:paraId="60A22ABB">
            <w:pPr>
              <w:pStyle w:val="28"/>
              <w:bidi w:val="0"/>
            </w:pPr>
            <w:r>
              <w:rPr>
                <w:rFonts w:hint="eastAsia"/>
              </w:rPr>
              <w:t>0.50</w:t>
            </w:r>
          </w:p>
        </w:tc>
        <w:tc>
          <w:tcPr>
            <w:tcW w:w="455" w:type="pct"/>
            <w:vAlign w:val="center"/>
          </w:tcPr>
          <w:p w14:paraId="496F7859">
            <w:pPr>
              <w:pStyle w:val="28"/>
              <w:bidi w:val="0"/>
            </w:pPr>
            <w:r>
              <w:rPr>
                <w:rFonts w:hint="eastAsia"/>
              </w:rPr>
              <w:t>/</w:t>
            </w:r>
          </w:p>
        </w:tc>
      </w:tr>
    </w:tbl>
    <w:p w14:paraId="1E4E85F5">
      <w:pPr>
        <w:pStyle w:val="4"/>
        <w:rPr>
          <w:rFonts w:cs="Times New Roman"/>
          <w:b/>
          <w:lang w:bidi="zh-CN"/>
        </w:rPr>
      </w:pPr>
      <w:r>
        <w:rPr>
          <w:rFonts w:cs="Times New Roman"/>
          <w:lang w:bidi="zh-CN"/>
        </w:rPr>
        <w:t>4.2.3 声环境质量现状调查与评价</w:t>
      </w:r>
    </w:p>
    <w:p w14:paraId="390BD51A">
      <w:pPr>
        <w:adjustRightInd w:val="0"/>
        <w:ind w:firstLine="480" w:firstLineChars="200"/>
        <w:textAlignment w:val="center"/>
        <w:rPr>
          <w:rFonts w:cs="Times New Roman"/>
          <w:bCs/>
        </w:rPr>
      </w:pPr>
      <w:r>
        <w:rPr>
          <w:rFonts w:cs="Times New Roman"/>
          <w:bCs/>
        </w:rPr>
        <w:t>（1）监测点布置</w:t>
      </w:r>
    </w:p>
    <w:p w14:paraId="2AAF4F3C">
      <w:pPr>
        <w:adjustRightInd w:val="0"/>
        <w:ind w:firstLine="480" w:firstLineChars="200"/>
        <w:textAlignment w:val="center"/>
        <w:rPr>
          <w:rFonts w:cs="Times New Roman"/>
          <w:color w:val="0000FF"/>
        </w:rPr>
        <w:sectPr>
          <w:pgSz w:w="11905" w:h="16838"/>
          <w:pgMar w:top="1417" w:right="1417" w:bottom="1417" w:left="1417" w:header="850" w:footer="850" w:gutter="0"/>
          <w:pgNumType w:fmt="decimal"/>
          <w:cols w:space="0" w:num="1"/>
          <w:rtlGutter w:val="0"/>
          <w:docGrid w:linePitch="0" w:charSpace="0"/>
        </w:sectPr>
      </w:pPr>
      <w:bookmarkStart w:id="53" w:name="_Hlk117016775"/>
      <w:r>
        <w:rPr>
          <w:rFonts w:cs="Times New Roman"/>
        </w:rPr>
        <w:t>根据建设项目所在地理位置、功能区划及代表性，确定</w:t>
      </w:r>
      <w:r>
        <w:rPr>
          <w:rFonts w:hint="eastAsia" w:cs="Times New Roman"/>
        </w:rPr>
        <w:t>51</w:t>
      </w:r>
      <w:r>
        <w:rPr>
          <w:rFonts w:cs="Times New Roman"/>
        </w:rPr>
        <w:t>个噪声监测点。以上监测点位覆盖了本项目的评价范围，分布于本项目各子工程所在区域。各监测点位分别距运输道路、施工区域、护砌工程、机耕桥拆建、新建节制闸、清淤工程等有明显声源的区域较近，点位选取具有代表性。</w:t>
      </w:r>
      <w:bookmarkEnd w:id="53"/>
      <w:r>
        <w:rPr>
          <w:rFonts w:cs="Times New Roman"/>
        </w:rPr>
        <w:t>具体监测点位见下表所示。</w:t>
      </w:r>
    </w:p>
    <w:p w14:paraId="38CEB227">
      <w:pPr>
        <w:pStyle w:val="29"/>
        <w:bidi w:val="0"/>
      </w:pPr>
      <w:r>
        <w:t>表</w:t>
      </w:r>
      <w:r>
        <w:rPr>
          <w:rFonts w:hint="eastAsia"/>
          <w:lang w:eastAsia="zh-CN"/>
        </w:rPr>
        <w:t>4.2</w:t>
      </w:r>
      <w:r>
        <w:t>-</w:t>
      </w:r>
      <w:r>
        <w:rPr>
          <w:rFonts w:hint="eastAsia"/>
        </w:rPr>
        <w:t>10</w:t>
      </w:r>
      <w:r>
        <w:t xml:space="preserve">  声环境质量现状监测点位一览表</w:t>
      </w:r>
    </w:p>
    <w:tbl>
      <w:tblPr>
        <w:tblStyle w:val="16"/>
        <w:tblW w:w="4992" w:type="pct"/>
        <w:jc w:val="center"/>
        <w:tblLayout w:type="autofit"/>
        <w:tblCellMar>
          <w:top w:w="0" w:type="dxa"/>
          <w:left w:w="108" w:type="dxa"/>
          <w:bottom w:w="0" w:type="dxa"/>
          <w:right w:w="108" w:type="dxa"/>
        </w:tblCellMar>
      </w:tblPr>
      <w:tblGrid>
        <w:gridCol w:w="790"/>
        <w:gridCol w:w="790"/>
        <w:gridCol w:w="790"/>
        <w:gridCol w:w="634"/>
        <w:gridCol w:w="944"/>
        <w:gridCol w:w="881"/>
        <w:gridCol w:w="2280"/>
        <w:gridCol w:w="1191"/>
        <w:gridCol w:w="765"/>
        <w:gridCol w:w="736"/>
        <w:gridCol w:w="1320"/>
        <w:gridCol w:w="1320"/>
        <w:gridCol w:w="959"/>
        <w:gridCol w:w="797"/>
      </w:tblGrid>
      <w:tr w14:paraId="01CCAA30">
        <w:tblPrEx>
          <w:tblCellMar>
            <w:top w:w="0" w:type="dxa"/>
            <w:left w:w="108" w:type="dxa"/>
            <w:bottom w:w="0" w:type="dxa"/>
            <w:right w:w="108" w:type="dxa"/>
          </w:tblCellMar>
        </w:tblPrEx>
        <w:trPr>
          <w:trHeight w:val="228" w:hRule="atLeast"/>
          <w:jc w:val="center"/>
        </w:trPr>
        <w:tc>
          <w:tcPr>
            <w:tcW w:w="289" w:type="pct"/>
            <w:vMerge w:val="restart"/>
            <w:tcBorders>
              <w:top w:val="single" w:color="000000" w:sz="4" w:space="0"/>
              <w:left w:val="single" w:color="000000" w:sz="4" w:space="0"/>
              <w:right w:val="single" w:color="000000" w:sz="4" w:space="0"/>
            </w:tcBorders>
            <w:vAlign w:val="center"/>
          </w:tcPr>
          <w:p w14:paraId="080B2E2F">
            <w:pPr>
              <w:pStyle w:val="28"/>
              <w:bidi w:val="0"/>
            </w:pPr>
            <w:r>
              <w:t>点位</w:t>
            </w:r>
          </w:p>
        </w:tc>
        <w:tc>
          <w:tcPr>
            <w:tcW w:w="289" w:type="pct"/>
            <w:vMerge w:val="restart"/>
            <w:tcBorders>
              <w:top w:val="single" w:color="000000" w:sz="4" w:space="0"/>
              <w:left w:val="single" w:color="000000" w:sz="4" w:space="0"/>
              <w:right w:val="single" w:color="000000" w:sz="4" w:space="0"/>
            </w:tcBorders>
            <w:vAlign w:val="center"/>
          </w:tcPr>
          <w:p w14:paraId="3FE85A6D">
            <w:pPr>
              <w:pStyle w:val="28"/>
              <w:bidi w:val="0"/>
            </w:pPr>
            <w:r>
              <w:t>河系</w:t>
            </w:r>
          </w:p>
        </w:tc>
        <w:tc>
          <w:tcPr>
            <w:tcW w:w="289" w:type="pct"/>
            <w:vMerge w:val="restart"/>
            <w:tcBorders>
              <w:top w:val="single" w:color="000000" w:sz="4" w:space="0"/>
              <w:left w:val="single" w:color="000000" w:sz="4" w:space="0"/>
              <w:right w:val="single" w:color="000000" w:sz="4" w:space="0"/>
            </w:tcBorders>
            <w:vAlign w:val="center"/>
          </w:tcPr>
          <w:p w14:paraId="2D56BD9C">
            <w:pPr>
              <w:pStyle w:val="28"/>
              <w:bidi w:val="0"/>
            </w:pPr>
            <w:r>
              <w:t>总干渠</w:t>
            </w:r>
          </w:p>
        </w:tc>
        <w:tc>
          <w:tcPr>
            <w:tcW w:w="234" w:type="pct"/>
            <w:vMerge w:val="restart"/>
            <w:tcBorders>
              <w:top w:val="single" w:color="000000" w:sz="4" w:space="0"/>
              <w:left w:val="single" w:color="000000" w:sz="4" w:space="0"/>
              <w:right w:val="single" w:color="000000" w:sz="4" w:space="0"/>
            </w:tcBorders>
            <w:vAlign w:val="center"/>
          </w:tcPr>
          <w:p w14:paraId="1E5460E3">
            <w:pPr>
              <w:pStyle w:val="28"/>
              <w:bidi w:val="0"/>
            </w:pPr>
            <w:r>
              <w:t>干渠</w:t>
            </w:r>
          </w:p>
        </w:tc>
        <w:tc>
          <w:tcPr>
            <w:tcW w:w="343" w:type="pct"/>
            <w:vMerge w:val="restart"/>
            <w:tcBorders>
              <w:top w:val="single" w:color="000000" w:sz="4" w:space="0"/>
              <w:left w:val="single" w:color="000000" w:sz="4" w:space="0"/>
              <w:right w:val="single" w:color="000000" w:sz="4" w:space="0"/>
            </w:tcBorders>
            <w:vAlign w:val="center"/>
          </w:tcPr>
          <w:p w14:paraId="3DEFC895">
            <w:pPr>
              <w:pStyle w:val="28"/>
              <w:bidi w:val="0"/>
            </w:pPr>
            <w:r>
              <w:t>分干渠</w:t>
            </w:r>
          </w:p>
        </w:tc>
        <w:tc>
          <w:tcPr>
            <w:tcW w:w="321" w:type="pct"/>
            <w:vMerge w:val="restart"/>
            <w:tcBorders>
              <w:top w:val="single" w:color="000000" w:sz="4" w:space="0"/>
              <w:left w:val="single" w:color="000000" w:sz="4" w:space="0"/>
              <w:right w:val="single" w:color="000000" w:sz="4" w:space="0"/>
            </w:tcBorders>
            <w:vAlign w:val="center"/>
          </w:tcPr>
          <w:p w14:paraId="2D162CE0">
            <w:pPr>
              <w:pStyle w:val="28"/>
              <w:bidi w:val="0"/>
            </w:pPr>
            <w:r>
              <w:t>支渠</w:t>
            </w:r>
          </w:p>
        </w:tc>
        <w:tc>
          <w:tcPr>
            <w:tcW w:w="813" w:type="pct"/>
            <w:vMerge w:val="restart"/>
            <w:tcBorders>
              <w:top w:val="single" w:color="000000" w:sz="4" w:space="0"/>
              <w:left w:val="single" w:color="000000" w:sz="4" w:space="0"/>
              <w:right w:val="single" w:color="000000" w:sz="4" w:space="0"/>
            </w:tcBorders>
            <w:vAlign w:val="center"/>
          </w:tcPr>
          <w:p w14:paraId="1D5AC8F6">
            <w:pPr>
              <w:pStyle w:val="28"/>
              <w:bidi w:val="0"/>
            </w:pPr>
            <w:r>
              <w:rPr>
                <w:rFonts w:hint="eastAsia"/>
              </w:rPr>
              <w:t>工程内容</w:t>
            </w:r>
          </w:p>
        </w:tc>
        <w:tc>
          <w:tcPr>
            <w:tcW w:w="430" w:type="pct"/>
            <w:vMerge w:val="restart"/>
            <w:tcBorders>
              <w:top w:val="single" w:color="000000" w:sz="4" w:space="0"/>
              <w:left w:val="single" w:color="000000" w:sz="4" w:space="0"/>
              <w:right w:val="single" w:color="000000" w:sz="4" w:space="0"/>
            </w:tcBorders>
            <w:vAlign w:val="center"/>
          </w:tcPr>
          <w:p w14:paraId="33CB8644">
            <w:pPr>
              <w:pStyle w:val="28"/>
              <w:bidi w:val="0"/>
            </w:pPr>
            <w:r>
              <w:t>噪声监测点位</w:t>
            </w:r>
          </w:p>
        </w:tc>
        <w:tc>
          <w:tcPr>
            <w:tcW w:w="280" w:type="pct"/>
            <w:vMerge w:val="restart"/>
            <w:tcBorders>
              <w:top w:val="single" w:color="000000" w:sz="4" w:space="0"/>
              <w:left w:val="single" w:color="000000" w:sz="4" w:space="0"/>
              <w:right w:val="single" w:color="000000" w:sz="4" w:space="0"/>
            </w:tcBorders>
            <w:vAlign w:val="center"/>
          </w:tcPr>
          <w:p w14:paraId="25C3FFC9">
            <w:pPr>
              <w:pStyle w:val="28"/>
              <w:bidi w:val="0"/>
            </w:pPr>
            <w:r>
              <w:t>相对位置</w:t>
            </w:r>
          </w:p>
        </w:tc>
        <w:tc>
          <w:tcPr>
            <w:tcW w:w="270" w:type="pct"/>
            <w:vMerge w:val="restart"/>
            <w:tcBorders>
              <w:top w:val="single" w:color="000000" w:sz="4" w:space="0"/>
              <w:left w:val="single" w:color="000000" w:sz="4" w:space="0"/>
              <w:right w:val="single" w:color="000000" w:sz="4" w:space="0"/>
            </w:tcBorders>
            <w:vAlign w:val="center"/>
          </w:tcPr>
          <w:p w14:paraId="2543AC01">
            <w:pPr>
              <w:pStyle w:val="28"/>
              <w:bidi w:val="0"/>
            </w:pPr>
            <w:r>
              <w:t>距离m</w:t>
            </w:r>
          </w:p>
        </w:tc>
        <w:tc>
          <w:tcPr>
            <w:tcW w:w="798" w:type="pct"/>
            <w:gridSpan w:val="2"/>
            <w:tcBorders>
              <w:top w:val="single" w:color="000000" w:sz="4" w:space="0"/>
              <w:left w:val="single" w:color="000000" w:sz="4" w:space="0"/>
              <w:bottom w:val="single" w:color="000000" w:sz="4" w:space="0"/>
              <w:right w:val="single" w:color="000000" w:sz="4" w:space="0"/>
            </w:tcBorders>
            <w:vAlign w:val="center"/>
          </w:tcPr>
          <w:p w14:paraId="5F4CDFC5">
            <w:pPr>
              <w:pStyle w:val="28"/>
              <w:bidi w:val="0"/>
            </w:pPr>
            <w:r>
              <w:t>坐标</w:t>
            </w:r>
          </w:p>
        </w:tc>
        <w:tc>
          <w:tcPr>
            <w:tcW w:w="348" w:type="pct"/>
            <w:vMerge w:val="restart"/>
            <w:tcBorders>
              <w:top w:val="single" w:color="000000" w:sz="4" w:space="0"/>
              <w:left w:val="single" w:color="000000" w:sz="4" w:space="0"/>
              <w:right w:val="single" w:color="000000" w:sz="4" w:space="0"/>
            </w:tcBorders>
            <w:vAlign w:val="center"/>
          </w:tcPr>
          <w:p w14:paraId="09519D5D">
            <w:pPr>
              <w:pStyle w:val="28"/>
              <w:bidi w:val="0"/>
            </w:pPr>
            <w:r>
              <w:t>行政区域</w:t>
            </w:r>
          </w:p>
        </w:tc>
        <w:tc>
          <w:tcPr>
            <w:tcW w:w="291" w:type="pct"/>
            <w:vMerge w:val="restart"/>
            <w:tcBorders>
              <w:top w:val="single" w:color="000000" w:sz="4" w:space="0"/>
              <w:left w:val="single" w:color="000000" w:sz="4" w:space="0"/>
              <w:right w:val="single" w:color="000000" w:sz="4" w:space="0"/>
            </w:tcBorders>
            <w:vAlign w:val="center"/>
          </w:tcPr>
          <w:p w14:paraId="6C5B278E">
            <w:pPr>
              <w:pStyle w:val="28"/>
              <w:bidi w:val="0"/>
            </w:pPr>
            <w:r>
              <w:t>控制级别</w:t>
            </w:r>
          </w:p>
        </w:tc>
      </w:tr>
      <w:tr w14:paraId="15305960">
        <w:tblPrEx>
          <w:tblCellMar>
            <w:top w:w="0" w:type="dxa"/>
            <w:left w:w="108" w:type="dxa"/>
            <w:bottom w:w="0" w:type="dxa"/>
            <w:right w:w="108" w:type="dxa"/>
          </w:tblCellMar>
        </w:tblPrEx>
        <w:trPr>
          <w:trHeight w:val="228" w:hRule="atLeast"/>
          <w:jc w:val="center"/>
        </w:trPr>
        <w:tc>
          <w:tcPr>
            <w:tcW w:w="289" w:type="pct"/>
            <w:vMerge w:val="continue"/>
            <w:tcBorders>
              <w:left w:val="single" w:color="000000" w:sz="4" w:space="0"/>
              <w:bottom w:val="single" w:color="000000" w:sz="4" w:space="0"/>
              <w:right w:val="single" w:color="000000" w:sz="4" w:space="0"/>
            </w:tcBorders>
            <w:vAlign w:val="center"/>
          </w:tcPr>
          <w:p w14:paraId="4D7C2645">
            <w:pPr>
              <w:pStyle w:val="28"/>
              <w:bidi w:val="0"/>
            </w:pPr>
          </w:p>
        </w:tc>
        <w:tc>
          <w:tcPr>
            <w:tcW w:w="289" w:type="pct"/>
            <w:vMerge w:val="continue"/>
            <w:tcBorders>
              <w:left w:val="single" w:color="000000" w:sz="4" w:space="0"/>
              <w:bottom w:val="single" w:color="000000" w:sz="4" w:space="0"/>
              <w:right w:val="single" w:color="000000" w:sz="4" w:space="0"/>
            </w:tcBorders>
            <w:vAlign w:val="center"/>
          </w:tcPr>
          <w:p w14:paraId="7D2F4989">
            <w:pPr>
              <w:pStyle w:val="28"/>
              <w:bidi w:val="0"/>
            </w:pPr>
          </w:p>
        </w:tc>
        <w:tc>
          <w:tcPr>
            <w:tcW w:w="289" w:type="pct"/>
            <w:vMerge w:val="continue"/>
            <w:tcBorders>
              <w:left w:val="single" w:color="000000" w:sz="4" w:space="0"/>
              <w:bottom w:val="single" w:color="000000" w:sz="4" w:space="0"/>
              <w:right w:val="single" w:color="000000" w:sz="4" w:space="0"/>
            </w:tcBorders>
            <w:vAlign w:val="center"/>
          </w:tcPr>
          <w:p w14:paraId="7EB04009">
            <w:pPr>
              <w:pStyle w:val="28"/>
              <w:bidi w:val="0"/>
            </w:pPr>
          </w:p>
        </w:tc>
        <w:tc>
          <w:tcPr>
            <w:tcW w:w="234" w:type="pct"/>
            <w:vMerge w:val="continue"/>
            <w:tcBorders>
              <w:left w:val="single" w:color="000000" w:sz="4" w:space="0"/>
              <w:bottom w:val="single" w:color="000000" w:sz="4" w:space="0"/>
              <w:right w:val="single" w:color="000000" w:sz="4" w:space="0"/>
            </w:tcBorders>
            <w:vAlign w:val="center"/>
          </w:tcPr>
          <w:p w14:paraId="407AF974">
            <w:pPr>
              <w:pStyle w:val="28"/>
              <w:bidi w:val="0"/>
            </w:pPr>
          </w:p>
        </w:tc>
        <w:tc>
          <w:tcPr>
            <w:tcW w:w="343" w:type="pct"/>
            <w:vMerge w:val="continue"/>
            <w:tcBorders>
              <w:left w:val="single" w:color="000000" w:sz="4" w:space="0"/>
              <w:bottom w:val="single" w:color="000000" w:sz="4" w:space="0"/>
              <w:right w:val="single" w:color="000000" w:sz="4" w:space="0"/>
            </w:tcBorders>
            <w:vAlign w:val="center"/>
          </w:tcPr>
          <w:p w14:paraId="1B233767">
            <w:pPr>
              <w:pStyle w:val="28"/>
              <w:bidi w:val="0"/>
            </w:pPr>
          </w:p>
        </w:tc>
        <w:tc>
          <w:tcPr>
            <w:tcW w:w="321" w:type="pct"/>
            <w:vMerge w:val="continue"/>
            <w:tcBorders>
              <w:left w:val="single" w:color="000000" w:sz="4" w:space="0"/>
              <w:bottom w:val="single" w:color="000000" w:sz="4" w:space="0"/>
              <w:right w:val="single" w:color="000000" w:sz="4" w:space="0"/>
            </w:tcBorders>
            <w:vAlign w:val="center"/>
          </w:tcPr>
          <w:p w14:paraId="2F4E19FF">
            <w:pPr>
              <w:pStyle w:val="28"/>
              <w:bidi w:val="0"/>
            </w:pPr>
          </w:p>
        </w:tc>
        <w:tc>
          <w:tcPr>
            <w:tcW w:w="813" w:type="pct"/>
            <w:vMerge w:val="continue"/>
            <w:tcBorders>
              <w:left w:val="single" w:color="000000" w:sz="4" w:space="0"/>
              <w:bottom w:val="single" w:color="000000" w:sz="4" w:space="0"/>
              <w:right w:val="single" w:color="000000" w:sz="4" w:space="0"/>
            </w:tcBorders>
            <w:vAlign w:val="center"/>
          </w:tcPr>
          <w:p w14:paraId="16D6B741">
            <w:pPr>
              <w:pStyle w:val="28"/>
              <w:bidi w:val="0"/>
            </w:pPr>
          </w:p>
        </w:tc>
        <w:tc>
          <w:tcPr>
            <w:tcW w:w="430" w:type="pct"/>
            <w:vMerge w:val="continue"/>
            <w:tcBorders>
              <w:left w:val="single" w:color="000000" w:sz="4" w:space="0"/>
              <w:bottom w:val="single" w:color="000000" w:sz="4" w:space="0"/>
              <w:right w:val="single" w:color="000000" w:sz="4" w:space="0"/>
            </w:tcBorders>
            <w:vAlign w:val="center"/>
          </w:tcPr>
          <w:p w14:paraId="5520B8FD">
            <w:pPr>
              <w:pStyle w:val="28"/>
              <w:bidi w:val="0"/>
            </w:pPr>
          </w:p>
        </w:tc>
        <w:tc>
          <w:tcPr>
            <w:tcW w:w="280" w:type="pct"/>
            <w:vMerge w:val="continue"/>
            <w:tcBorders>
              <w:left w:val="single" w:color="000000" w:sz="4" w:space="0"/>
              <w:bottom w:val="single" w:color="000000" w:sz="4" w:space="0"/>
              <w:right w:val="single" w:color="000000" w:sz="4" w:space="0"/>
            </w:tcBorders>
            <w:vAlign w:val="center"/>
          </w:tcPr>
          <w:p w14:paraId="40D5412C">
            <w:pPr>
              <w:pStyle w:val="28"/>
              <w:bidi w:val="0"/>
            </w:pPr>
          </w:p>
        </w:tc>
        <w:tc>
          <w:tcPr>
            <w:tcW w:w="270" w:type="pct"/>
            <w:vMerge w:val="continue"/>
            <w:tcBorders>
              <w:left w:val="single" w:color="000000" w:sz="4" w:space="0"/>
              <w:bottom w:val="single" w:color="000000" w:sz="4" w:space="0"/>
              <w:right w:val="single" w:color="000000" w:sz="4" w:space="0"/>
            </w:tcBorders>
            <w:vAlign w:val="center"/>
          </w:tcPr>
          <w:p w14:paraId="318EAEC4">
            <w:pPr>
              <w:pStyle w:val="28"/>
              <w:bidi w:val="0"/>
            </w:pPr>
          </w:p>
        </w:tc>
        <w:tc>
          <w:tcPr>
            <w:tcW w:w="398" w:type="pct"/>
            <w:tcBorders>
              <w:top w:val="single" w:color="000000" w:sz="4" w:space="0"/>
              <w:left w:val="single" w:color="000000" w:sz="4" w:space="0"/>
              <w:bottom w:val="single" w:color="000000" w:sz="4" w:space="0"/>
              <w:right w:val="single" w:color="000000" w:sz="4" w:space="0"/>
            </w:tcBorders>
            <w:vAlign w:val="center"/>
          </w:tcPr>
          <w:p w14:paraId="11EC8C1C">
            <w:pPr>
              <w:pStyle w:val="28"/>
              <w:bidi w:val="0"/>
            </w:pPr>
            <w:r>
              <w:rPr>
                <w:rFonts w:hint="eastAsia"/>
              </w:rPr>
              <w:t>东经</w:t>
            </w:r>
          </w:p>
        </w:tc>
        <w:tc>
          <w:tcPr>
            <w:tcW w:w="400" w:type="pct"/>
            <w:tcBorders>
              <w:top w:val="single" w:color="000000" w:sz="4" w:space="0"/>
              <w:left w:val="single" w:color="000000" w:sz="4" w:space="0"/>
              <w:bottom w:val="single" w:color="000000" w:sz="4" w:space="0"/>
              <w:right w:val="single" w:color="000000" w:sz="4" w:space="0"/>
            </w:tcBorders>
            <w:vAlign w:val="center"/>
          </w:tcPr>
          <w:p w14:paraId="31234D26">
            <w:pPr>
              <w:pStyle w:val="28"/>
              <w:bidi w:val="0"/>
            </w:pPr>
            <w:r>
              <w:rPr>
                <w:rFonts w:hint="eastAsia"/>
              </w:rPr>
              <w:t>北纬</w:t>
            </w:r>
          </w:p>
        </w:tc>
        <w:tc>
          <w:tcPr>
            <w:tcW w:w="348" w:type="pct"/>
            <w:vMerge w:val="continue"/>
            <w:tcBorders>
              <w:left w:val="single" w:color="000000" w:sz="4" w:space="0"/>
              <w:bottom w:val="single" w:color="000000" w:sz="4" w:space="0"/>
              <w:right w:val="single" w:color="000000" w:sz="4" w:space="0"/>
            </w:tcBorders>
            <w:vAlign w:val="center"/>
          </w:tcPr>
          <w:p w14:paraId="007C1FD9">
            <w:pPr>
              <w:pStyle w:val="28"/>
              <w:bidi w:val="0"/>
            </w:pPr>
          </w:p>
        </w:tc>
        <w:tc>
          <w:tcPr>
            <w:tcW w:w="291" w:type="pct"/>
            <w:vMerge w:val="continue"/>
            <w:tcBorders>
              <w:left w:val="single" w:color="000000" w:sz="4" w:space="0"/>
              <w:bottom w:val="single" w:color="000000" w:sz="4" w:space="0"/>
              <w:right w:val="single" w:color="000000" w:sz="4" w:space="0"/>
            </w:tcBorders>
            <w:vAlign w:val="center"/>
          </w:tcPr>
          <w:p w14:paraId="338AF925">
            <w:pPr>
              <w:pStyle w:val="28"/>
              <w:bidi w:val="0"/>
            </w:pPr>
          </w:p>
        </w:tc>
      </w:tr>
      <w:tr w14:paraId="3CBB2709">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5D68021C">
            <w:pPr>
              <w:pStyle w:val="28"/>
              <w:bidi w:val="0"/>
            </w:pPr>
            <w:r>
              <w:t>1</w:t>
            </w:r>
          </w:p>
        </w:tc>
        <w:tc>
          <w:tcPr>
            <w:tcW w:w="289" w:type="pct"/>
            <w:vMerge w:val="restart"/>
            <w:tcBorders>
              <w:top w:val="single" w:color="000000" w:sz="4" w:space="0"/>
              <w:left w:val="single" w:color="000000" w:sz="4" w:space="0"/>
              <w:right w:val="single" w:color="000000" w:sz="4" w:space="0"/>
            </w:tcBorders>
            <w:vAlign w:val="center"/>
          </w:tcPr>
          <w:p w14:paraId="7643068E">
            <w:pPr>
              <w:pStyle w:val="28"/>
              <w:bidi w:val="0"/>
            </w:pPr>
            <w:r>
              <w:rPr>
                <w:rFonts w:hint="eastAsia"/>
              </w:rPr>
              <w:t>朱集</w:t>
            </w:r>
            <w:r>
              <w:t>灌区</w:t>
            </w:r>
          </w:p>
        </w:tc>
        <w:tc>
          <w:tcPr>
            <w:tcW w:w="289" w:type="pct"/>
            <w:tcBorders>
              <w:top w:val="single" w:color="000000" w:sz="4" w:space="0"/>
              <w:left w:val="single" w:color="000000" w:sz="4" w:space="0"/>
              <w:bottom w:val="single" w:color="000000" w:sz="4" w:space="0"/>
              <w:right w:val="single" w:color="000000" w:sz="4" w:space="0"/>
            </w:tcBorders>
            <w:vAlign w:val="center"/>
          </w:tcPr>
          <w:p w14:paraId="1EC7EFB2">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202932FA">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0B0893A6">
            <w:pPr>
              <w:pStyle w:val="28"/>
              <w:bidi w:val="0"/>
            </w:pPr>
            <w:r>
              <w:rPr>
                <w:rFonts w:hint="eastAsia"/>
              </w:rPr>
              <w:t>三北干渠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3CDFDBBF">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55612381">
            <w:pPr>
              <w:pStyle w:val="28"/>
              <w:bidi w:val="0"/>
            </w:pPr>
            <w:r>
              <w:rPr>
                <w:rFonts w:hint="eastAsia"/>
              </w:rPr>
              <w:t>清淤工程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11082CFC">
            <w:pPr>
              <w:pStyle w:val="28"/>
              <w:bidi w:val="0"/>
            </w:pPr>
            <w:r>
              <w:t>陈瓦房</w:t>
            </w:r>
          </w:p>
        </w:tc>
        <w:tc>
          <w:tcPr>
            <w:tcW w:w="280" w:type="pct"/>
            <w:tcBorders>
              <w:top w:val="single" w:color="000000" w:sz="4" w:space="0"/>
              <w:left w:val="single" w:color="000000" w:sz="4" w:space="0"/>
              <w:bottom w:val="single" w:color="000000" w:sz="4" w:space="0"/>
              <w:right w:val="single" w:color="000000" w:sz="4" w:space="0"/>
            </w:tcBorders>
            <w:vAlign w:val="center"/>
          </w:tcPr>
          <w:p w14:paraId="158116D3">
            <w:pPr>
              <w:pStyle w:val="28"/>
              <w:bidi w:val="0"/>
            </w:pPr>
            <w:r>
              <w:t>W</w:t>
            </w:r>
          </w:p>
        </w:tc>
        <w:tc>
          <w:tcPr>
            <w:tcW w:w="270" w:type="pct"/>
            <w:tcBorders>
              <w:top w:val="single" w:color="000000" w:sz="4" w:space="0"/>
              <w:left w:val="single" w:color="000000" w:sz="4" w:space="0"/>
              <w:bottom w:val="single" w:color="000000" w:sz="4" w:space="0"/>
              <w:right w:val="single" w:color="000000" w:sz="4" w:space="0"/>
            </w:tcBorders>
            <w:vAlign w:val="center"/>
          </w:tcPr>
          <w:p w14:paraId="0786E15A">
            <w:pPr>
              <w:pStyle w:val="28"/>
              <w:bidi w:val="0"/>
            </w:pPr>
            <w:r>
              <w:rPr>
                <w:rFonts w:hint="eastAsia"/>
              </w:rPr>
              <w:t>100</w:t>
            </w:r>
          </w:p>
        </w:tc>
        <w:tc>
          <w:tcPr>
            <w:tcW w:w="398" w:type="pct"/>
            <w:tcBorders>
              <w:top w:val="single" w:color="000000" w:sz="4" w:space="0"/>
              <w:left w:val="single" w:color="000000" w:sz="4" w:space="0"/>
              <w:bottom w:val="single" w:color="000000" w:sz="4" w:space="0"/>
              <w:right w:val="single" w:color="000000" w:sz="4" w:space="0"/>
            </w:tcBorders>
            <w:vAlign w:val="center"/>
          </w:tcPr>
          <w:p w14:paraId="3B8CFD73">
            <w:pPr>
              <w:pStyle w:val="28"/>
              <w:bidi w:val="0"/>
            </w:pPr>
            <w:r>
              <w:t>116.9667578</w:t>
            </w:r>
          </w:p>
        </w:tc>
        <w:tc>
          <w:tcPr>
            <w:tcW w:w="400" w:type="pct"/>
            <w:tcBorders>
              <w:top w:val="single" w:color="000000" w:sz="4" w:space="0"/>
              <w:left w:val="single" w:color="000000" w:sz="4" w:space="0"/>
              <w:bottom w:val="single" w:color="000000" w:sz="4" w:space="0"/>
              <w:right w:val="single" w:color="000000" w:sz="4" w:space="0"/>
            </w:tcBorders>
            <w:vAlign w:val="center"/>
          </w:tcPr>
          <w:p w14:paraId="463E6123">
            <w:pPr>
              <w:pStyle w:val="28"/>
              <w:bidi w:val="0"/>
            </w:pPr>
            <w:r>
              <w:t>32.54776299</w:t>
            </w:r>
          </w:p>
        </w:tc>
        <w:tc>
          <w:tcPr>
            <w:tcW w:w="348" w:type="pct"/>
            <w:tcBorders>
              <w:top w:val="single" w:color="000000" w:sz="4" w:space="0"/>
              <w:left w:val="single" w:color="000000" w:sz="4" w:space="0"/>
              <w:bottom w:val="single" w:color="000000" w:sz="4" w:space="0"/>
              <w:right w:val="single" w:color="000000" w:sz="4" w:space="0"/>
            </w:tcBorders>
            <w:vAlign w:val="center"/>
          </w:tcPr>
          <w:p w14:paraId="7A9A9035">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4BAA8173">
            <w:pPr>
              <w:pStyle w:val="28"/>
              <w:bidi w:val="0"/>
            </w:pPr>
            <w:r>
              <w:rPr>
                <w:rFonts w:hint="eastAsia"/>
              </w:rPr>
              <w:t>1</w:t>
            </w:r>
          </w:p>
        </w:tc>
      </w:tr>
      <w:tr w14:paraId="4D8B8FED">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2B4DE7CA">
            <w:pPr>
              <w:pStyle w:val="28"/>
              <w:bidi w:val="0"/>
            </w:pPr>
            <w:r>
              <w:t>2</w:t>
            </w:r>
          </w:p>
        </w:tc>
        <w:tc>
          <w:tcPr>
            <w:tcW w:w="289" w:type="pct"/>
            <w:vMerge w:val="continue"/>
            <w:tcBorders>
              <w:left w:val="single" w:color="000000" w:sz="4" w:space="0"/>
              <w:right w:val="single" w:color="000000" w:sz="4" w:space="0"/>
            </w:tcBorders>
            <w:vAlign w:val="center"/>
          </w:tcPr>
          <w:p w14:paraId="727DAF60">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4231D427">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79AFCA5D">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0278C2CA">
            <w:pPr>
              <w:pStyle w:val="28"/>
              <w:bidi w:val="0"/>
            </w:pPr>
            <w:r>
              <w:rPr>
                <w:rFonts w:hint="eastAsia"/>
              </w:rPr>
              <w:t>三北干渠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3A0D33E1">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64FC63DD">
            <w:pPr>
              <w:pStyle w:val="28"/>
              <w:bidi w:val="0"/>
            </w:pPr>
            <w:r>
              <w:rPr>
                <w:rFonts w:hint="eastAsia"/>
              </w:rPr>
              <w:t>清淤工程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6ED2919B">
            <w:pPr>
              <w:pStyle w:val="28"/>
              <w:bidi w:val="0"/>
            </w:pPr>
            <w:r>
              <w:t>陈庙村</w:t>
            </w:r>
          </w:p>
        </w:tc>
        <w:tc>
          <w:tcPr>
            <w:tcW w:w="280" w:type="pct"/>
            <w:tcBorders>
              <w:top w:val="single" w:color="000000" w:sz="4" w:space="0"/>
              <w:left w:val="single" w:color="000000" w:sz="4" w:space="0"/>
              <w:bottom w:val="single" w:color="000000" w:sz="4" w:space="0"/>
              <w:right w:val="single" w:color="000000" w:sz="4" w:space="0"/>
            </w:tcBorders>
            <w:vAlign w:val="center"/>
          </w:tcPr>
          <w:p w14:paraId="1B43B025">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597BF3C6">
            <w:pPr>
              <w:pStyle w:val="28"/>
              <w:bidi w:val="0"/>
            </w:pPr>
            <w:r>
              <w:rPr>
                <w:rFonts w:hint="eastAsia"/>
              </w:rPr>
              <w:t>150</w:t>
            </w:r>
          </w:p>
        </w:tc>
        <w:tc>
          <w:tcPr>
            <w:tcW w:w="39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6F0D1">
            <w:pPr>
              <w:pStyle w:val="28"/>
              <w:bidi w:val="0"/>
            </w:pPr>
            <w:r>
              <w:t>116.9714141</w:t>
            </w:r>
          </w:p>
        </w:tc>
        <w:tc>
          <w:tcPr>
            <w:tcW w:w="4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5AC983">
            <w:pPr>
              <w:pStyle w:val="28"/>
              <w:bidi w:val="0"/>
            </w:pPr>
            <w:r>
              <w:t>32.54124217</w:t>
            </w:r>
          </w:p>
        </w:tc>
        <w:tc>
          <w:tcPr>
            <w:tcW w:w="348" w:type="pct"/>
            <w:tcBorders>
              <w:top w:val="single" w:color="000000" w:sz="4" w:space="0"/>
              <w:left w:val="single" w:color="000000" w:sz="4" w:space="0"/>
              <w:bottom w:val="single" w:color="000000" w:sz="4" w:space="0"/>
              <w:right w:val="single" w:color="000000" w:sz="4" w:space="0"/>
            </w:tcBorders>
            <w:vAlign w:val="center"/>
          </w:tcPr>
          <w:p w14:paraId="4D88A4CB">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6E9E5EEF">
            <w:pPr>
              <w:pStyle w:val="28"/>
              <w:bidi w:val="0"/>
            </w:pPr>
            <w:r>
              <w:rPr>
                <w:rFonts w:hint="eastAsia"/>
              </w:rPr>
              <w:t>1</w:t>
            </w:r>
          </w:p>
        </w:tc>
      </w:tr>
      <w:tr w14:paraId="487BCC46">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76E31D3D">
            <w:pPr>
              <w:pStyle w:val="28"/>
              <w:bidi w:val="0"/>
            </w:pPr>
            <w:r>
              <w:t>3</w:t>
            </w:r>
          </w:p>
        </w:tc>
        <w:tc>
          <w:tcPr>
            <w:tcW w:w="289" w:type="pct"/>
            <w:vMerge w:val="continue"/>
            <w:tcBorders>
              <w:left w:val="single" w:color="000000" w:sz="4" w:space="0"/>
              <w:right w:val="single" w:color="000000" w:sz="4" w:space="0"/>
            </w:tcBorders>
            <w:vAlign w:val="center"/>
          </w:tcPr>
          <w:p w14:paraId="74208E3C">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65E13FA3">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647E85C1">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2FB38CE2">
            <w:pPr>
              <w:pStyle w:val="28"/>
              <w:bidi w:val="0"/>
            </w:pPr>
            <w:r>
              <w:rPr>
                <w:rFonts w:hint="eastAsia"/>
              </w:rPr>
              <w:t>二北干渠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22D8CE23">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315DC147">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0FA3295C">
            <w:pPr>
              <w:pStyle w:val="28"/>
              <w:bidi w:val="0"/>
            </w:pPr>
            <w:r>
              <w:rPr>
                <w:rFonts w:hint="eastAsia"/>
              </w:rPr>
              <w:t>小夏洼</w:t>
            </w:r>
          </w:p>
        </w:tc>
        <w:tc>
          <w:tcPr>
            <w:tcW w:w="280" w:type="pct"/>
            <w:tcBorders>
              <w:top w:val="single" w:color="000000" w:sz="4" w:space="0"/>
              <w:left w:val="single" w:color="000000" w:sz="4" w:space="0"/>
              <w:bottom w:val="single" w:color="000000" w:sz="4" w:space="0"/>
              <w:right w:val="single" w:color="000000" w:sz="4" w:space="0"/>
            </w:tcBorders>
            <w:vAlign w:val="center"/>
          </w:tcPr>
          <w:p w14:paraId="70D27628">
            <w:pPr>
              <w:pStyle w:val="28"/>
              <w:bidi w:val="0"/>
            </w:pPr>
            <w:r>
              <w:rPr>
                <w:rFonts w:hint="eastAsia"/>
              </w:rPr>
              <w:t>NE</w:t>
            </w:r>
          </w:p>
        </w:tc>
        <w:tc>
          <w:tcPr>
            <w:tcW w:w="270" w:type="pct"/>
            <w:tcBorders>
              <w:top w:val="single" w:color="000000" w:sz="4" w:space="0"/>
              <w:left w:val="single" w:color="000000" w:sz="4" w:space="0"/>
              <w:bottom w:val="single" w:color="000000" w:sz="4" w:space="0"/>
              <w:right w:val="single" w:color="000000" w:sz="4" w:space="0"/>
            </w:tcBorders>
            <w:vAlign w:val="center"/>
          </w:tcPr>
          <w:p w14:paraId="61A917EE">
            <w:pPr>
              <w:pStyle w:val="28"/>
              <w:bidi w:val="0"/>
            </w:pPr>
            <w:r>
              <w:rPr>
                <w:rFonts w:hint="eastAsia"/>
              </w:rPr>
              <w:t>156</w:t>
            </w:r>
          </w:p>
        </w:tc>
        <w:tc>
          <w:tcPr>
            <w:tcW w:w="398" w:type="pct"/>
            <w:tcBorders>
              <w:top w:val="single" w:color="000000" w:sz="4" w:space="0"/>
              <w:left w:val="single" w:color="000000" w:sz="4" w:space="0"/>
              <w:bottom w:val="single" w:color="000000" w:sz="4" w:space="0"/>
              <w:right w:val="single" w:color="000000" w:sz="4" w:space="0"/>
            </w:tcBorders>
            <w:vAlign w:val="center"/>
          </w:tcPr>
          <w:p w14:paraId="57BA2E51">
            <w:pPr>
              <w:pStyle w:val="28"/>
              <w:bidi w:val="0"/>
            </w:pPr>
            <w:r>
              <w:t>116.9622302</w:t>
            </w:r>
          </w:p>
        </w:tc>
        <w:tc>
          <w:tcPr>
            <w:tcW w:w="400" w:type="pct"/>
            <w:tcBorders>
              <w:top w:val="single" w:color="000000" w:sz="4" w:space="0"/>
              <w:left w:val="single" w:color="000000" w:sz="4" w:space="0"/>
              <w:bottom w:val="single" w:color="000000" w:sz="4" w:space="0"/>
              <w:right w:val="single" w:color="000000" w:sz="4" w:space="0"/>
            </w:tcBorders>
            <w:vAlign w:val="center"/>
          </w:tcPr>
          <w:p w14:paraId="3AD1900C">
            <w:pPr>
              <w:pStyle w:val="28"/>
              <w:bidi w:val="0"/>
            </w:pPr>
            <w:r>
              <w:t>32.5355259</w:t>
            </w:r>
          </w:p>
        </w:tc>
        <w:tc>
          <w:tcPr>
            <w:tcW w:w="348" w:type="pct"/>
            <w:tcBorders>
              <w:top w:val="single" w:color="000000" w:sz="4" w:space="0"/>
              <w:left w:val="single" w:color="000000" w:sz="4" w:space="0"/>
              <w:bottom w:val="single" w:color="000000" w:sz="4" w:space="0"/>
              <w:right w:val="single" w:color="000000" w:sz="4" w:space="0"/>
            </w:tcBorders>
            <w:vAlign w:val="center"/>
          </w:tcPr>
          <w:p w14:paraId="743993AC">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6138DA9A">
            <w:pPr>
              <w:pStyle w:val="28"/>
              <w:bidi w:val="0"/>
            </w:pPr>
            <w:r>
              <w:rPr>
                <w:rFonts w:hint="eastAsia"/>
              </w:rPr>
              <w:t>1</w:t>
            </w:r>
          </w:p>
        </w:tc>
      </w:tr>
      <w:tr w14:paraId="7BE74638">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76F3AB57">
            <w:pPr>
              <w:pStyle w:val="28"/>
              <w:bidi w:val="0"/>
            </w:pPr>
            <w:r>
              <w:t>4</w:t>
            </w:r>
          </w:p>
        </w:tc>
        <w:tc>
          <w:tcPr>
            <w:tcW w:w="289" w:type="pct"/>
            <w:vMerge w:val="continue"/>
            <w:tcBorders>
              <w:left w:val="single" w:color="000000" w:sz="4" w:space="0"/>
              <w:right w:val="single" w:color="000000" w:sz="4" w:space="0"/>
            </w:tcBorders>
            <w:vAlign w:val="center"/>
          </w:tcPr>
          <w:p w14:paraId="3E68EEFB">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2BA8595F">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1D05E100">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75A8D41E">
            <w:pPr>
              <w:pStyle w:val="28"/>
              <w:bidi w:val="0"/>
            </w:pPr>
            <w:r>
              <w:rPr>
                <w:rFonts w:hint="eastAsia"/>
              </w:rPr>
              <w:t>三北干渠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34379959">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1AA92A94">
            <w:pPr>
              <w:pStyle w:val="28"/>
              <w:bidi w:val="0"/>
            </w:pPr>
            <w:r>
              <w:rPr>
                <w:rFonts w:hint="eastAsia"/>
              </w:rPr>
              <w:t>清淤工程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72C506D1">
            <w:pPr>
              <w:pStyle w:val="28"/>
              <w:bidi w:val="0"/>
            </w:pPr>
            <w:r>
              <w:rPr>
                <w:rFonts w:hint="eastAsia"/>
              </w:rPr>
              <w:t>板凳岗</w:t>
            </w:r>
          </w:p>
        </w:tc>
        <w:tc>
          <w:tcPr>
            <w:tcW w:w="280" w:type="pct"/>
            <w:tcBorders>
              <w:top w:val="single" w:color="000000" w:sz="4" w:space="0"/>
              <w:left w:val="single" w:color="000000" w:sz="4" w:space="0"/>
              <w:bottom w:val="single" w:color="000000" w:sz="4" w:space="0"/>
              <w:right w:val="single" w:color="000000" w:sz="4" w:space="0"/>
            </w:tcBorders>
            <w:vAlign w:val="center"/>
          </w:tcPr>
          <w:p w14:paraId="00ABE6C0">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5E6B5F2D">
            <w:pPr>
              <w:pStyle w:val="28"/>
              <w:bidi w:val="0"/>
            </w:pPr>
            <w:r>
              <w:rPr>
                <w:rFonts w:hint="eastAsia"/>
              </w:rPr>
              <w:t>145</w:t>
            </w:r>
          </w:p>
        </w:tc>
        <w:tc>
          <w:tcPr>
            <w:tcW w:w="398" w:type="pct"/>
            <w:tcBorders>
              <w:top w:val="single" w:color="000000" w:sz="4" w:space="0"/>
              <w:left w:val="single" w:color="000000" w:sz="4" w:space="0"/>
              <w:bottom w:val="single" w:color="000000" w:sz="4" w:space="0"/>
              <w:right w:val="single" w:color="000000" w:sz="4" w:space="0"/>
            </w:tcBorders>
            <w:vAlign w:val="center"/>
          </w:tcPr>
          <w:p w14:paraId="66675E51">
            <w:pPr>
              <w:pStyle w:val="28"/>
              <w:bidi w:val="0"/>
            </w:pPr>
            <w:r>
              <w:t>116.9744289</w:t>
            </w:r>
          </w:p>
        </w:tc>
        <w:tc>
          <w:tcPr>
            <w:tcW w:w="400" w:type="pct"/>
            <w:tcBorders>
              <w:top w:val="single" w:color="000000" w:sz="4" w:space="0"/>
              <w:left w:val="single" w:color="000000" w:sz="4" w:space="0"/>
              <w:bottom w:val="single" w:color="000000" w:sz="4" w:space="0"/>
              <w:right w:val="single" w:color="000000" w:sz="4" w:space="0"/>
            </w:tcBorders>
            <w:vAlign w:val="center"/>
          </w:tcPr>
          <w:p w14:paraId="67E0967C">
            <w:pPr>
              <w:pStyle w:val="28"/>
              <w:bidi w:val="0"/>
            </w:pPr>
            <w:r>
              <w:t>32.53284853</w:t>
            </w:r>
          </w:p>
        </w:tc>
        <w:tc>
          <w:tcPr>
            <w:tcW w:w="348" w:type="pct"/>
            <w:tcBorders>
              <w:top w:val="single" w:color="000000" w:sz="4" w:space="0"/>
              <w:left w:val="single" w:color="000000" w:sz="4" w:space="0"/>
              <w:bottom w:val="single" w:color="000000" w:sz="4" w:space="0"/>
              <w:right w:val="single" w:color="000000" w:sz="4" w:space="0"/>
            </w:tcBorders>
            <w:vAlign w:val="center"/>
          </w:tcPr>
          <w:p w14:paraId="50D4C4C7">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4E829968">
            <w:pPr>
              <w:pStyle w:val="28"/>
              <w:bidi w:val="0"/>
            </w:pPr>
            <w:r>
              <w:rPr>
                <w:rFonts w:hint="eastAsia"/>
              </w:rPr>
              <w:t>1</w:t>
            </w:r>
          </w:p>
        </w:tc>
      </w:tr>
      <w:tr w14:paraId="18256120">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7AC0FD6F">
            <w:pPr>
              <w:pStyle w:val="28"/>
              <w:bidi w:val="0"/>
            </w:pPr>
            <w:r>
              <w:t>5</w:t>
            </w:r>
          </w:p>
        </w:tc>
        <w:tc>
          <w:tcPr>
            <w:tcW w:w="289" w:type="pct"/>
            <w:vMerge w:val="continue"/>
            <w:tcBorders>
              <w:left w:val="single" w:color="000000" w:sz="4" w:space="0"/>
              <w:right w:val="single" w:color="000000" w:sz="4" w:space="0"/>
            </w:tcBorders>
            <w:vAlign w:val="center"/>
          </w:tcPr>
          <w:p w14:paraId="1E8E4413">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029FABED">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23AC972B">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5833687F">
            <w:pPr>
              <w:pStyle w:val="28"/>
              <w:bidi w:val="0"/>
            </w:pPr>
            <w:r>
              <w:rPr>
                <w:rFonts w:hint="eastAsia"/>
              </w:rPr>
              <w:t>二北干渠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2D92805C">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7AFE8B8A">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1F10DF42">
            <w:pPr>
              <w:pStyle w:val="28"/>
              <w:bidi w:val="0"/>
            </w:pPr>
            <w:r>
              <w:rPr>
                <w:rFonts w:hint="eastAsia"/>
              </w:rPr>
              <w:t>夏家岗</w:t>
            </w:r>
          </w:p>
        </w:tc>
        <w:tc>
          <w:tcPr>
            <w:tcW w:w="280" w:type="pct"/>
            <w:tcBorders>
              <w:top w:val="single" w:color="000000" w:sz="4" w:space="0"/>
              <w:left w:val="single" w:color="000000" w:sz="4" w:space="0"/>
              <w:bottom w:val="single" w:color="000000" w:sz="4" w:space="0"/>
              <w:right w:val="single" w:color="000000" w:sz="4" w:space="0"/>
            </w:tcBorders>
            <w:vAlign w:val="center"/>
          </w:tcPr>
          <w:p w14:paraId="7BAACD41">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1800BE9B">
            <w:pPr>
              <w:pStyle w:val="28"/>
              <w:bidi w:val="0"/>
            </w:pPr>
            <w:r>
              <w:rPr>
                <w:rFonts w:hint="eastAsia"/>
              </w:rPr>
              <w:t>102</w:t>
            </w:r>
          </w:p>
        </w:tc>
        <w:tc>
          <w:tcPr>
            <w:tcW w:w="398" w:type="pct"/>
            <w:tcBorders>
              <w:top w:val="single" w:color="000000" w:sz="4" w:space="0"/>
              <w:left w:val="single" w:color="000000" w:sz="4" w:space="0"/>
              <w:bottom w:val="single" w:color="000000" w:sz="4" w:space="0"/>
              <w:right w:val="single" w:color="000000" w:sz="4" w:space="0"/>
            </w:tcBorders>
            <w:vAlign w:val="center"/>
          </w:tcPr>
          <w:p w14:paraId="1272B22A">
            <w:pPr>
              <w:pStyle w:val="28"/>
              <w:bidi w:val="0"/>
            </w:pPr>
            <w:r>
              <w:t>116.9662803</w:t>
            </w:r>
          </w:p>
        </w:tc>
        <w:tc>
          <w:tcPr>
            <w:tcW w:w="400" w:type="pct"/>
            <w:tcBorders>
              <w:top w:val="single" w:color="000000" w:sz="4" w:space="0"/>
              <w:left w:val="single" w:color="000000" w:sz="4" w:space="0"/>
              <w:bottom w:val="single" w:color="000000" w:sz="4" w:space="0"/>
              <w:right w:val="single" w:color="000000" w:sz="4" w:space="0"/>
            </w:tcBorders>
            <w:vAlign w:val="center"/>
          </w:tcPr>
          <w:p w14:paraId="19FFC5D2">
            <w:pPr>
              <w:pStyle w:val="28"/>
              <w:bidi w:val="0"/>
            </w:pPr>
            <w:r>
              <w:t>32.52743927</w:t>
            </w:r>
          </w:p>
        </w:tc>
        <w:tc>
          <w:tcPr>
            <w:tcW w:w="348" w:type="pct"/>
            <w:tcBorders>
              <w:top w:val="single" w:color="000000" w:sz="4" w:space="0"/>
              <w:left w:val="single" w:color="000000" w:sz="4" w:space="0"/>
              <w:bottom w:val="single" w:color="000000" w:sz="4" w:space="0"/>
              <w:right w:val="single" w:color="000000" w:sz="4" w:space="0"/>
            </w:tcBorders>
            <w:vAlign w:val="center"/>
          </w:tcPr>
          <w:p w14:paraId="4966BD8F">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0F465CD4">
            <w:pPr>
              <w:pStyle w:val="28"/>
              <w:bidi w:val="0"/>
            </w:pPr>
            <w:r>
              <w:rPr>
                <w:rFonts w:hint="eastAsia"/>
              </w:rPr>
              <w:t>1</w:t>
            </w:r>
          </w:p>
        </w:tc>
      </w:tr>
      <w:tr w14:paraId="527A3ABF">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68C901C9">
            <w:pPr>
              <w:pStyle w:val="28"/>
              <w:bidi w:val="0"/>
            </w:pPr>
            <w:r>
              <w:t>6</w:t>
            </w:r>
          </w:p>
        </w:tc>
        <w:tc>
          <w:tcPr>
            <w:tcW w:w="289" w:type="pct"/>
            <w:vMerge w:val="continue"/>
            <w:tcBorders>
              <w:left w:val="single" w:color="000000" w:sz="4" w:space="0"/>
              <w:right w:val="single" w:color="000000" w:sz="4" w:space="0"/>
            </w:tcBorders>
            <w:vAlign w:val="center"/>
          </w:tcPr>
          <w:p w14:paraId="595FB700">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5E66B241">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3C138714">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700D63A2">
            <w:pPr>
              <w:pStyle w:val="28"/>
              <w:bidi w:val="0"/>
            </w:pPr>
            <w:r>
              <w:rPr>
                <w:rFonts w:hint="eastAsia"/>
              </w:rPr>
              <w:t>二北干渠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0407A54A">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17024877">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644E8F5F">
            <w:pPr>
              <w:pStyle w:val="28"/>
              <w:bidi w:val="0"/>
            </w:pPr>
            <w:r>
              <w:rPr>
                <w:rFonts w:hint="eastAsia"/>
              </w:rPr>
              <w:t>杨公镇区西</w:t>
            </w:r>
          </w:p>
        </w:tc>
        <w:tc>
          <w:tcPr>
            <w:tcW w:w="280" w:type="pct"/>
            <w:tcBorders>
              <w:top w:val="single" w:color="000000" w:sz="4" w:space="0"/>
              <w:left w:val="single" w:color="000000" w:sz="4" w:space="0"/>
              <w:bottom w:val="single" w:color="000000" w:sz="4" w:space="0"/>
              <w:right w:val="single" w:color="000000" w:sz="4" w:space="0"/>
            </w:tcBorders>
            <w:vAlign w:val="center"/>
          </w:tcPr>
          <w:p w14:paraId="0B15031F">
            <w:pPr>
              <w:pStyle w:val="28"/>
              <w:bidi w:val="0"/>
            </w:pPr>
            <w:r>
              <w:t>W</w:t>
            </w:r>
          </w:p>
        </w:tc>
        <w:tc>
          <w:tcPr>
            <w:tcW w:w="270" w:type="pct"/>
            <w:tcBorders>
              <w:top w:val="single" w:color="000000" w:sz="4" w:space="0"/>
              <w:left w:val="single" w:color="000000" w:sz="4" w:space="0"/>
              <w:bottom w:val="single" w:color="000000" w:sz="4" w:space="0"/>
              <w:right w:val="single" w:color="000000" w:sz="4" w:space="0"/>
            </w:tcBorders>
            <w:vAlign w:val="center"/>
          </w:tcPr>
          <w:p w14:paraId="4AA53210">
            <w:pPr>
              <w:pStyle w:val="28"/>
              <w:bidi w:val="0"/>
            </w:pPr>
            <w:r>
              <w:rPr>
                <w:rFonts w:hint="eastAsia"/>
              </w:rPr>
              <w:t>51</w:t>
            </w:r>
          </w:p>
        </w:tc>
        <w:tc>
          <w:tcPr>
            <w:tcW w:w="398" w:type="pct"/>
            <w:tcBorders>
              <w:top w:val="single" w:color="000000" w:sz="4" w:space="0"/>
              <w:left w:val="single" w:color="000000" w:sz="4" w:space="0"/>
              <w:bottom w:val="single" w:color="000000" w:sz="4" w:space="0"/>
              <w:right w:val="single" w:color="000000" w:sz="4" w:space="0"/>
            </w:tcBorders>
            <w:vAlign w:val="center"/>
          </w:tcPr>
          <w:p w14:paraId="4FF32145">
            <w:pPr>
              <w:pStyle w:val="28"/>
              <w:bidi w:val="0"/>
            </w:pPr>
            <w:r>
              <w:t>116.9655561</w:t>
            </w:r>
          </w:p>
        </w:tc>
        <w:tc>
          <w:tcPr>
            <w:tcW w:w="400" w:type="pct"/>
            <w:tcBorders>
              <w:top w:val="single" w:color="000000" w:sz="4" w:space="0"/>
              <w:left w:val="single" w:color="000000" w:sz="4" w:space="0"/>
              <w:bottom w:val="single" w:color="000000" w:sz="4" w:space="0"/>
              <w:right w:val="single" w:color="000000" w:sz="4" w:space="0"/>
            </w:tcBorders>
            <w:vAlign w:val="center"/>
          </w:tcPr>
          <w:p w14:paraId="6F7C189A">
            <w:pPr>
              <w:pStyle w:val="28"/>
              <w:bidi w:val="0"/>
            </w:pPr>
            <w:r>
              <w:t>32.52278054</w:t>
            </w:r>
          </w:p>
        </w:tc>
        <w:tc>
          <w:tcPr>
            <w:tcW w:w="348" w:type="pct"/>
            <w:tcBorders>
              <w:top w:val="single" w:color="000000" w:sz="4" w:space="0"/>
              <w:left w:val="single" w:color="000000" w:sz="4" w:space="0"/>
              <w:bottom w:val="single" w:color="000000" w:sz="4" w:space="0"/>
              <w:right w:val="single" w:color="000000" w:sz="4" w:space="0"/>
            </w:tcBorders>
            <w:vAlign w:val="center"/>
          </w:tcPr>
          <w:p w14:paraId="1D710AE3">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1741A318">
            <w:pPr>
              <w:pStyle w:val="28"/>
              <w:bidi w:val="0"/>
            </w:pPr>
            <w:r>
              <w:rPr>
                <w:rFonts w:hint="eastAsia"/>
              </w:rPr>
              <w:t>2</w:t>
            </w:r>
          </w:p>
        </w:tc>
      </w:tr>
      <w:tr w14:paraId="70A63E5D">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35D203ED">
            <w:pPr>
              <w:pStyle w:val="28"/>
              <w:bidi w:val="0"/>
            </w:pPr>
            <w:r>
              <w:t>7</w:t>
            </w:r>
          </w:p>
        </w:tc>
        <w:tc>
          <w:tcPr>
            <w:tcW w:w="289" w:type="pct"/>
            <w:vMerge w:val="continue"/>
            <w:tcBorders>
              <w:left w:val="single" w:color="000000" w:sz="4" w:space="0"/>
              <w:right w:val="single" w:color="000000" w:sz="4" w:space="0"/>
            </w:tcBorders>
            <w:vAlign w:val="center"/>
          </w:tcPr>
          <w:p w14:paraId="2B3A5169">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7C63B40E">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1F1D5E87">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4BC17DDF">
            <w:pPr>
              <w:pStyle w:val="28"/>
              <w:bidi w:val="0"/>
            </w:pPr>
            <w:r>
              <w:rPr>
                <w:rFonts w:hint="eastAsia"/>
              </w:rPr>
              <w:t>三东干渠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0DE2A014">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769835C7">
            <w:pPr>
              <w:pStyle w:val="28"/>
              <w:bidi w:val="0"/>
            </w:pPr>
            <w:r>
              <w:rPr>
                <w:rFonts w:hint="eastAsia"/>
              </w:rPr>
              <w:t>新建1座李岗放水渠节制闸</w:t>
            </w:r>
          </w:p>
        </w:tc>
        <w:tc>
          <w:tcPr>
            <w:tcW w:w="430" w:type="pct"/>
            <w:tcBorders>
              <w:top w:val="single" w:color="000000" w:sz="4" w:space="0"/>
              <w:left w:val="single" w:color="000000" w:sz="4" w:space="0"/>
              <w:bottom w:val="single" w:color="000000" w:sz="4" w:space="0"/>
              <w:right w:val="single" w:color="000000" w:sz="4" w:space="0"/>
            </w:tcBorders>
            <w:vAlign w:val="center"/>
          </w:tcPr>
          <w:p w14:paraId="25CB9032">
            <w:pPr>
              <w:pStyle w:val="28"/>
              <w:bidi w:val="0"/>
            </w:pPr>
            <w:r>
              <w:rPr>
                <w:rFonts w:hint="eastAsia"/>
              </w:rPr>
              <w:t>杨公中学</w:t>
            </w:r>
          </w:p>
        </w:tc>
        <w:tc>
          <w:tcPr>
            <w:tcW w:w="280" w:type="pct"/>
            <w:tcBorders>
              <w:top w:val="single" w:color="000000" w:sz="4" w:space="0"/>
              <w:left w:val="single" w:color="000000" w:sz="4" w:space="0"/>
              <w:bottom w:val="single" w:color="000000" w:sz="4" w:space="0"/>
              <w:right w:val="single" w:color="000000" w:sz="4" w:space="0"/>
            </w:tcBorders>
            <w:vAlign w:val="center"/>
          </w:tcPr>
          <w:p w14:paraId="1F710139">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34EFD802">
            <w:pPr>
              <w:pStyle w:val="28"/>
              <w:bidi w:val="0"/>
            </w:pPr>
            <w:r>
              <w:rPr>
                <w:rFonts w:hint="eastAsia"/>
              </w:rPr>
              <w:t>97</w:t>
            </w:r>
          </w:p>
        </w:tc>
        <w:tc>
          <w:tcPr>
            <w:tcW w:w="398" w:type="pct"/>
            <w:tcBorders>
              <w:top w:val="single" w:color="000000" w:sz="4" w:space="0"/>
              <w:left w:val="single" w:color="000000" w:sz="4" w:space="0"/>
              <w:bottom w:val="single" w:color="000000" w:sz="4" w:space="0"/>
              <w:right w:val="single" w:color="000000" w:sz="4" w:space="0"/>
            </w:tcBorders>
            <w:vAlign w:val="center"/>
          </w:tcPr>
          <w:p w14:paraId="313CAFB0">
            <w:pPr>
              <w:pStyle w:val="28"/>
              <w:bidi w:val="0"/>
            </w:pPr>
            <w:r>
              <w:t>116.977272</w:t>
            </w:r>
          </w:p>
        </w:tc>
        <w:tc>
          <w:tcPr>
            <w:tcW w:w="400" w:type="pct"/>
            <w:tcBorders>
              <w:top w:val="single" w:color="000000" w:sz="4" w:space="0"/>
              <w:left w:val="single" w:color="000000" w:sz="4" w:space="0"/>
              <w:bottom w:val="single" w:color="000000" w:sz="4" w:space="0"/>
              <w:right w:val="single" w:color="000000" w:sz="4" w:space="0"/>
            </w:tcBorders>
            <w:vAlign w:val="center"/>
          </w:tcPr>
          <w:p w14:paraId="4C6CABD8">
            <w:pPr>
              <w:pStyle w:val="28"/>
              <w:bidi w:val="0"/>
            </w:pPr>
            <w:r>
              <w:t>32.52202969</w:t>
            </w:r>
          </w:p>
        </w:tc>
        <w:tc>
          <w:tcPr>
            <w:tcW w:w="348" w:type="pct"/>
            <w:tcBorders>
              <w:top w:val="single" w:color="000000" w:sz="4" w:space="0"/>
              <w:left w:val="single" w:color="000000" w:sz="4" w:space="0"/>
              <w:bottom w:val="single" w:color="000000" w:sz="4" w:space="0"/>
              <w:right w:val="single" w:color="000000" w:sz="4" w:space="0"/>
            </w:tcBorders>
            <w:vAlign w:val="center"/>
          </w:tcPr>
          <w:p w14:paraId="4505C610">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77958E8B">
            <w:pPr>
              <w:pStyle w:val="28"/>
              <w:bidi w:val="0"/>
            </w:pPr>
            <w:r>
              <w:rPr>
                <w:rFonts w:hint="eastAsia"/>
              </w:rPr>
              <w:t>2</w:t>
            </w:r>
          </w:p>
        </w:tc>
      </w:tr>
      <w:tr w14:paraId="0C3AFEAB">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48C41508">
            <w:pPr>
              <w:pStyle w:val="28"/>
              <w:bidi w:val="0"/>
            </w:pPr>
            <w:r>
              <w:t>8</w:t>
            </w:r>
          </w:p>
        </w:tc>
        <w:tc>
          <w:tcPr>
            <w:tcW w:w="289" w:type="pct"/>
            <w:vMerge w:val="continue"/>
            <w:tcBorders>
              <w:left w:val="single" w:color="000000" w:sz="4" w:space="0"/>
              <w:right w:val="single" w:color="000000" w:sz="4" w:space="0"/>
            </w:tcBorders>
            <w:vAlign w:val="center"/>
          </w:tcPr>
          <w:p w14:paraId="0543D4E5">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15032649">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7FCB9111">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022A78A5">
            <w:pPr>
              <w:pStyle w:val="28"/>
              <w:bidi w:val="0"/>
            </w:pPr>
            <w:r>
              <w:rPr>
                <w:rFonts w:hint="eastAsia"/>
              </w:rPr>
              <w:t>二东干渠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38079844">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4851EA9B">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22B4A909">
            <w:pPr>
              <w:pStyle w:val="28"/>
              <w:bidi w:val="0"/>
            </w:pPr>
            <w:r>
              <w:rPr>
                <w:rFonts w:hint="eastAsia"/>
              </w:rPr>
              <w:t>王郢</w:t>
            </w:r>
          </w:p>
        </w:tc>
        <w:tc>
          <w:tcPr>
            <w:tcW w:w="280" w:type="pct"/>
            <w:tcBorders>
              <w:top w:val="single" w:color="000000" w:sz="4" w:space="0"/>
              <w:left w:val="single" w:color="000000" w:sz="4" w:space="0"/>
              <w:bottom w:val="single" w:color="000000" w:sz="4" w:space="0"/>
              <w:right w:val="single" w:color="000000" w:sz="4" w:space="0"/>
            </w:tcBorders>
            <w:vAlign w:val="center"/>
          </w:tcPr>
          <w:p w14:paraId="32373981">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550A8B82">
            <w:pPr>
              <w:pStyle w:val="28"/>
              <w:bidi w:val="0"/>
            </w:pPr>
            <w:r>
              <w:rPr>
                <w:rFonts w:hint="eastAsia"/>
              </w:rPr>
              <w:t>178</w:t>
            </w:r>
          </w:p>
        </w:tc>
        <w:tc>
          <w:tcPr>
            <w:tcW w:w="398" w:type="pct"/>
            <w:tcBorders>
              <w:top w:val="single" w:color="000000" w:sz="4" w:space="0"/>
              <w:left w:val="single" w:color="000000" w:sz="4" w:space="0"/>
              <w:bottom w:val="single" w:color="000000" w:sz="4" w:space="0"/>
              <w:right w:val="single" w:color="000000" w:sz="4" w:space="0"/>
            </w:tcBorders>
            <w:vAlign w:val="center"/>
          </w:tcPr>
          <w:p w14:paraId="1B294425">
            <w:pPr>
              <w:pStyle w:val="28"/>
              <w:bidi w:val="0"/>
            </w:pPr>
            <w:r>
              <w:t>116.9846535</w:t>
            </w:r>
          </w:p>
        </w:tc>
        <w:tc>
          <w:tcPr>
            <w:tcW w:w="400" w:type="pct"/>
            <w:tcBorders>
              <w:top w:val="single" w:color="000000" w:sz="4" w:space="0"/>
              <w:left w:val="single" w:color="000000" w:sz="4" w:space="0"/>
              <w:bottom w:val="single" w:color="000000" w:sz="4" w:space="0"/>
              <w:right w:val="single" w:color="000000" w:sz="4" w:space="0"/>
            </w:tcBorders>
            <w:vAlign w:val="center"/>
          </w:tcPr>
          <w:p w14:paraId="52527EA9">
            <w:pPr>
              <w:pStyle w:val="28"/>
              <w:bidi w:val="0"/>
            </w:pPr>
            <w:r>
              <w:t>32.52866045</w:t>
            </w:r>
          </w:p>
        </w:tc>
        <w:tc>
          <w:tcPr>
            <w:tcW w:w="348" w:type="pct"/>
            <w:tcBorders>
              <w:top w:val="single" w:color="000000" w:sz="4" w:space="0"/>
              <w:left w:val="single" w:color="000000" w:sz="4" w:space="0"/>
              <w:bottom w:val="single" w:color="000000" w:sz="4" w:space="0"/>
              <w:right w:val="single" w:color="000000" w:sz="4" w:space="0"/>
            </w:tcBorders>
            <w:vAlign w:val="center"/>
          </w:tcPr>
          <w:p w14:paraId="6F1D7743">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7C1D575A">
            <w:pPr>
              <w:pStyle w:val="28"/>
              <w:bidi w:val="0"/>
            </w:pPr>
            <w:r>
              <w:rPr>
                <w:rFonts w:hint="eastAsia"/>
              </w:rPr>
              <w:t>2</w:t>
            </w:r>
          </w:p>
        </w:tc>
      </w:tr>
      <w:tr w14:paraId="14B19C9A">
        <w:tblPrEx>
          <w:tblCellMar>
            <w:top w:w="0" w:type="dxa"/>
            <w:left w:w="108" w:type="dxa"/>
            <w:bottom w:w="0" w:type="dxa"/>
            <w:right w:w="108" w:type="dxa"/>
          </w:tblCellMar>
        </w:tblPrEx>
        <w:trPr>
          <w:trHeight w:val="9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72271816">
            <w:pPr>
              <w:pStyle w:val="28"/>
              <w:bidi w:val="0"/>
            </w:pPr>
            <w:r>
              <w:t>9</w:t>
            </w:r>
          </w:p>
        </w:tc>
        <w:tc>
          <w:tcPr>
            <w:tcW w:w="289" w:type="pct"/>
            <w:vMerge w:val="continue"/>
            <w:tcBorders>
              <w:left w:val="single" w:color="000000" w:sz="4" w:space="0"/>
              <w:right w:val="single" w:color="000000" w:sz="4" w:space="0"/>
            </w:tcBorders>
            <w:vAlign w:val="center"/>
          </w:tcPr>
          <w:p w14:paraId="1C1E52E3">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20DF63F7">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0F0BC5E6">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042276AF">
            <w:pPr>
              <w:pStyle w:val="28"/>
              <w:bidi w:val="0"/>
            </w:pPr>
            <w:r>
              <w:rPr>
                <w:rFonts w:hint="eastAsia"/>
              </w:rPr>
              <w:t>一北干渠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4AF6CE7E">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0CF051E2">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72DB25F1">
            <w:pPr>
              <w:pStyle w:val="28"/>
              <w:bidi w:val="0"/>
            </w:pPr>
            <w:r>
              <w:rPr>
                <w:rFonts w:hint="eastAsia"/>
              </w:rPr>
              <w:t>夏家洼</w:t>
            </w:r>
          </w:p>
        </w:tc>
        <w:tc>
          <w:tcPr>
            <w:tcW w:w="280" w:type="pct"/>
            <w:tcBorders>
              <w:top w:val="single" w:color="000000" w:sz="4" w:space="0"/>
              <w:left w:val="single" w:color="000000" w:sz="4" w:space="0"/>
              <w:bottom w:val="single" w:color="000000" w:sz="4" w:space="0"/>
              <w:right w:val="single" w:color="000000" w:sz="4" w:space="0"/>
            </w:tcBorders>
            <w:vAlign w:val="center"/>
          </w:tcPr>
          <w:p w14:paraId="4877ECDD">
            <w:pPr>
              <w:pStyle w:val="28"/>
              <w:bidi w:val="0"/>
            </w:pPr>
            <w:r>
              <w:rPr>
                <w:rFonts w:hint="eastAsia"/>
              </w:rPr>
              <w:t>S</w:t>
            </w:r>
          </w:p>
        </w:tc>
        <w:tc>
          <w:tcPr>
            <w:tcW w:w="270" w:type="pct"/>
            <w:tcBorders>
              <w:top w:val="single" w:color="000000" w:sz="4" w:space="0"/>
              <w:left w:val="single" w:color="000000" w:sz="4" w:space="0"/>
              <w:bottom w:val="single" w:color="000000" w:sz="4" w:space="0"/>
              <w:right w:val="single" w:color="000000" w:sz="4" w:space="0"/>
            </w:tcBorders>
            <w:vAlign w:val="center"/>
          </w:tcPr>
          <w:p w14:paraId="56E2C193">
            <w:pPr>
              <w:pStyle w:val="28"/>
              <w:bidi w:val="0"/>
            </w:pPr>
            <w:r>
              <w:rPr>
                <w:rFonts w:hint="eastAsia"/>
              </w:rPr>
              <w:t>43</w:t>
            </w:r>
          </w:p>
        </w:tc>
        <w:tc>
          <w:tcPr>
            <w:tcW w:w="398" w:type="pct"/>
            <w:tcBorders>
              <w:top w:val="single" w:color="000000" w:sz="4" w:space="0"/>
              <w:left w:val="single" w:color="000000" w:sz="4" w:space="0"/>
              <w:bottom w:val="single" w:color="000000" w:sz="4" w:space="0"/>
              <w:right w:val="single" w:color="000000" w:sz="4" w:space="0"/>
            </w:tcBorders>
            <w:vAlign w:val="center"/>
          </w:tcPr>
          <w:p w14:paraId="412E8A51">
            <w:pPr>
              <w:pStyle w:val="28"/>
              <w:bidi w:val="0"/>
            </w:pPr>
            <w:r>
              <w:t>116.9510937</w:t>
            </w:r>
          </w:p>
        </w:tc>
        <w:tc>
          <w:tcPr>
            <w:tcW w:w="400" w:type="pct"/>
            <w:tcBorders>
              <w:top w:val="single" w:color="000000" w:sz="4" w:space="0"/>
              <w:left w:val="single" w:color="000000" w:sz="4" w:space="0"/>
              <w:bottom w:val="single" w:color="000000" w:sz="4" w:space="0"/>
              <w:right w:val="single" w:color="000000" w:sz="4" w:space="0"/>
            </w:tcBorders>
            <w:vAlign w:val="center"/>
          </w:tcPr>
          <w:p w14:paraId="5C0C9C78">
            <w:pPr>
              <w:pStyle w:val="28"/>
              <w:bidi w:val="0"/>
            </w:pPr>
            <w:r>
              <w:t>32.51877293</w:t>
            </w:r>
          </w:p>
        </w:tc>
        <w:tc>
          <w:tcPr>
            <w:tcW w:w="348" w:type="pct"/>
            <w:tcBorders>
              <w:top w:val="single" w:color="000000" w:sz="4" w:space="0"/>
              <w:left w:val="single" w:color="000000" w:sz="4" w:space="0"/>
              <w:bottom w:val="single" w:color="000000" w:sz="4" w:space="0"/>
              <w:right w:val="single" w:color="000000" w:sz="4" w:space="0"/>
            </w:tcBorders>
            <w:vAlign w:val="center"/>
          </w:tcPr>
          <w:p w14:paraId="080E2F3D">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17A9894A">
            <w:pPr>
              <w:pStyle w:val="28"/>
              <w:bidi w:val="0"/>
            </w:pPr>
            <w:r>
              <w:rPr>
                <w:rFonts w:hint="eastAsia"/>
              </w:rPr>
              <w:t>1</w:t>
            </w:r>
          </w:p>
        </w:tc>
      </w:tr>
      <w:tr w14:paraId="1FE8776E">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3DC64FFA">
            <w:pPr>
              <w:pStyle w:val="28"/>
              <w:bidi w:val="0"/>
            </w:pPr>
            <w:r>
              <w:t>10</w:t>
            </w:r>
          </w:p>
        </w:tc>
        <w:tc>
          <w:tcPr>
            <w:tcW w:w="289" w:type="pct"/>
            <w:vMerge w:val="continue"/>
            <w:tcBorders>
              <w:left w:val="single" w:color="000000" w:sz="4" w:space="0"/>
              <w:right w:val="single" w:color="000000" w:sz="4" w:space="0"/>
            </w:tcBorders>
            <w:vAlign w:val="center"/>
          </w:tcPr>
          <w:p w14:paraId="5E763964">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03A9B9D6">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6F3830B1">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2A1B23C9">
            <w:pPr>
              <w:pStyle w:val="28"/>
              <w:bidi w:val="0"/>
            </w:pPr>
            <w:r>
              <w:rPr>
                <w:rFonts w:hint="eastAsia"/>
              </w:rPr>
              <w:t>二北干渠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31DB6856">
            <w:pPr>
              <w:pStyle w:val="28"/>
              <w:bidi w:val="0"/>
            </w:pPr>
            <w:r>
              <w:rPr>
                <w:rFonts w:hint="eastAsia"/>
              </w:rPr>
              <w:t>桂岗支渠</w:t>
            </w:r>
          </w:p>
        </w:tc>
        <w:tc>
          <w:tcPr>
            <w:tcW w:w="813" w:type="pct"/>
            <w:tcBorders>
              <w:top w:val="single" w:color="000000" w:sz="4" w:space="0"/>
              <w:left w:val="single" w:color="000000" w:sz="4" w:space="0"/>
              <w:bottom w:val="single" w:color="000000" w:sz="4" w:space="0"/>
              <w:right w:val="single" w:color="000000" w:sz="4" w:space="0"/>
            </w:tcBorders>
            <w:vAlign w:val="center"/>
          </w:tcPr>
          <w:p w14:paraId="3C989D8D">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0A5B0C2E">
            <w:pPr>
              <w:pStyle w:val="28"/>
              <w:bidi w:val="0"/>
            </w:pPr>
            <w:r>
              <w:rPr>
                <w:rFonts w:hint="eastAsia"/>
              </w:rPr>
              <w:t>东岗</w:t>
            </w:r>
          </w:p>
        </w:tc>
        <w:tc>
          <w:tcPr>
            <w:tcW w:w="280" w:type="pct"/>
            <w:tcBorders>
              <w:top w:val="single" w:color="000000" w:sz="4" w:space="0"/>
              <w:left w:val="single" w:color="000000" w:sz="4" w:space="0"/>
              <w:bottom w:val="single" w:color="000000" w:sz="4" w:space="0"/>
              <w:right w:val="single" w:color="000000" w:sz="4" w:space="0"/>
            </w:tcBorders>
            <w:vAlign w:val="center"/>
          </w:tcPr>
          <w:p w14:paraId="421F40C2">
            <w:pPr>
              <w:pStyle w:val="28"/>
              <w:bidi w:val="0"/>
            </w:pPr>
            <w:r>
              <w:rPr>
                <w:rFonts w:hint="eastAsia"/>
              </w:rPr>
              <w:t>W</w:t>
            </w:r>
          </w:p>
        </w:tc>
        <w:tc>
          <w:tcPr>
            <w:tcW w:w="270" w:type="pct"/>
            <w:tcBorders>
              <w:top w:val="single" w:color="000000" w:sz="4" w:space="0"/>
              <w:left w:val="single" w:color="000000" w:sz="4" w:space="0"/>
              <w:bottom w:val="single" w:color="000000" w:sz="4" w:space="0"/>
              <w:right w:val="single" w:color="000000" w:sz="4" w:space="0"/>
            </w:tcBorders>
            <w:vAlign w:val="center"/>
          </w:tcPr>
          <w:p w14:paraId="44177918">
            <w:pPr>
              <w:pStyle w:val="28"/>
              <w:bidi w:val="0"/>
            </w:pPr>
            <w:r>
              <w:rPr>
                <w:rFonts w:hint="eastAsia"/>
              </w:rPr>
              <w:t>95</w:t>
            </w:r>
          </w:p>
        </w:tc>
        <w:tc>
          <w:tcPr>
            <w:tcW w:w="398" w:type="pct"/>
            <w:tcBorders>
              <w:top w:val="single" w:color="000000" w:sz="4" w:space="0"/>
              <w:left w:val="single" w:color="000000" w:sz="4" w:space="0"/>
              <w:bottom w:val="single" w:color="000000" w:sz="4" w:space="0"/>
              <w:right w:val="single" w:color="000000" w:sz="4" w:space="0"/>
            </w:tcBorders>
            <w:vAlign w:val="center"/>
          </w:tcPr>
          <w:p w14:paraId="78C52C43">
            <w:pPr>
              <w:pStyle w:val="28"/>
              <w:bidi w:val="0"/>
            </w:pPr>
            <w:r>
              <w:t>116.9626057</w:t>
            </w:r>
          </w:p>
        </w:tc>
        <w:tc>
          <w:tcPr>
            <w:tcW w:w="400" w:type="pct"/>
            <w:tcBorders>
              <w:top w:val="single" w:color="000000" w:sz="4" w:space="0"/>
              <w:left w:val="single" w:color="000000" w:sz="4" w:space="0"/>
              <w:bottom w:val="single" w:color="000000" w:sz="4" w:space="0"/>
              <w:right w:val="single" w:color="000000" w:sz="4" w:space="0"/>
            </w:tcBorders>
            <w:vAlign w:val="center"/>
          </w:tcPr>
          <w:p w14:paraId="27D9C071">
            <w:pPr>
              <w:pStyle w:val="28"/>
              <w:bidi w:val="0"/>
            </w:pPr>
            <w:r>
              <w:t>32.51592317</w:t>
            </w:r>
          </w:p>
        </w:tc>
        <w:tc>
          <w:tcPr>
            <w:tcW w:w="348" w:type="pct"/>
            <w:tcBorders>
              <w:top w:val="single" w:color="000000" w:sz="4" w:space="0"/>
              <w:left w:val="single" w:color="000000" w:sz="4" w:space="0"/>
              <w:bottom w:val="single" w:color="000000" w:sz="4" w:space="0"/>
              <w:right w:val="single" w:color="000000" w:sz="4" w:space="0"/>
            </w:tcBorders>
            <w:vAlign w:val="center"/>
          </w:tcPr>
          <w:p w14:paraId="1BC0AB72">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3A5AAA9E">
            <w:pPr>
              <w:pStyle w:val="28"/>
              <w:bidi w:val="0"/>
            </w:pPr>
            <w:r>
              <w:rPr>
                <w:rFonts w:hint="eastAsia"/>
              </w:rPr>
              <w:t>1</w:t>
            </w:r>
          </w:p>
        </w:tc>
      </w:tr>
      <w:tr w14:paraId="7E76E060">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5461BB86">
            <w:pPr>
              <w:pStyle w:val="28"/>
              <w:bidi w:val="0"/>
            </w:pPr>
            <w:r>
              <w:t>11</w:t>
            </w:r>
          </w:p>
        </w:tc>
        <w:tc>
          <w:tcPr>
            <w:tcW w:w="289" w:type="pct"/>
            <w:vMerge w:val="continue"/>
            <w:tcBorders>
              <w:left w:val="single" w:color="000000" w:sz="4" w:space="0"/>
              <w:right w:val="single" w:color="000000" w:sz="4" w:space="0"/>
            </w:tcBorders>
            <w:vAlign w:val="center"/>
          </w:tcPr>
          <w:p w14:paraId="5243E1D6">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549B7392">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2C80D0D1">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252A7632">
            <w:pPr>
              <w:pStyle w:val="28"/>
              <w:bidi w:val="0"/>
            </w:pPr>
            <w:r>
              <w:rPr>
                <w:rFonts w:hint="eastAsia"/>
              </w:rPr>
              <w:t>二东干渠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1F7CDCF1">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629F6E3B">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0ED4DA69">
            <w:pPr>
              <w:pStyle w:val="28"/>
              <w:bidi w:val="0"/>
            </w:pPr>
            <w:r>
              <w:rPr>
                <w:rFonts w:hint="eastAsia"/>
              </w:rPr>
              <w:t>杨公村</w:t>
            </w:r>
          </w:p>
        </w:tc>
        <w:tc>
          <w:tcPr>
            <w:tcW w:w="280" w:type="pct"/>
            <w:tcBorders>
              <w:top w:val="single" w:color="000000" w:sz="4" w:space="0"/>
              <w:left w:val="single" w:color="000000" w:sz="4" w:space="0"/>
              <w:bottom w:val="single" w:color="000000" w:sz="4" w:space="0"/>
              <w:right w:val="single" w:color="000000" w:sz="4" w:space="0"/>
            </w:tcBorders>
            <w:vAlign w:val="center"/>
          </w:tcPr>
          <w:p w14:paraId="2CA6AED8">
            <w:pPr>
              <w:pStyle w:val="28"/>
              <w:bidi w:val="0"/>
            </w:pPr>
            <w:r>
              <w:rPr>
                <w:rFonts w:hint="eastAsia"/>
              </w:rPr>
              <w:t>W</w:t>
            </w:r>
          </w:p>
        </w:tc>
        <w:tc>
          <w:tcPr>
            <w:tcW w:w="270" w:type="pct"/>
            <w:tcBorders>
              <w:top w:val="single" w:color="000000" w:sz="4" w:space="0"/>
              <w:left w:val="single" w:color="000000" w:sz="4" w:space="0"/>
              <w:bottom w:val="single" w:color="000000" w:sz="4" w:space="0"/>
              <w:right w:val="single" w:color="000000" w:sz="4" w:space="0"/>
            </w:tcBorders>
            <w:vAlign w:val="center"/>
          </w:tcPr>
          <w:p w14:paraId="24FACB11">
            <w:pPr>
              <w:pStyle w:val="28"/>
              <w:bidi w:val="0"/>
            </w:pPr>
            <w:r>
              <w:rPr>
                <w:rFonts w:hint="eastAsia"/>
              </w:rPr>
              <w:t>92</w:t>
            </w:r>
          </w:p>
        </w:tc>
        <w:tc>
          <w:tcPr>
            <w:tcW w:w="398" w:type="pct"/>
            <w:tcBorders>
              <w:top w:val="single" w:color="000000" w:sz="4" w:space="0"/>
              <w:left w:val="single" w:color="000000" w:sz="4" w:space="0"/>
              <w:bottom w:val="single" w:color="000000" w:sz="4" w:space="0"/>
              <w:right w:val="single" w:color="000000" w:sz="4" w:space="0"/>
            </w:tcBorders>
            <w:vAlign w:val="center"/>
          </w:tcPr>
          <w:p w14:paraId="054965DF">
            <w:pPr>
              <w:pStyle w:val="28"/>
              <w:bidi w:val="0"/>
            </w:pPr>
            <w:r>
              <w:t>116.9841546</w:t>
            </w:r>
          </w:p>
        </w:tc>
        <w:tc>
          <w:tcPr>
            <w:tcW w:w="400" w:type="pct"/>
            <w:tcBorders>
              <w:top w:val="single" w:color="000000" w:sz="4" w:space="0"/>
              <w:left w:val="single" w:color="000000" w:sz="4" w:space="0"/>
              <w:bottom w:val="single" w:color="000000" w:sz="4" w:space="0"/>
              <w:right w:val="single" w:color="000000" w:sz="4" w:space="0"/>
            </w:tcBorders>
            <w:vAlign w:val="center"/>
          </w:tcPr>
          <w:p w14:paraId="45CFB9CB">
            <w:pPr>
              <w:pStyle w:val="28"/>
              <w:bidi w:val="0"/>
            </w:pPr>
            <w:r>
              <w:t>32.51666502</w:t>
            </w:r>
          </w:p>
        </w:tc>
        <w:tc>
          <w:tcPr>
            <w:tcW w:w="348" w:type="pct"/>
            <w:tcBorders>
              <w:top w:val="single" w:color="000000" w:sz="4" w:space="0"/>
              <w:left w:val="single" w:color="000000" w:sz="4" w:space="0"/>
              <w:bottom w:val="single" w:color="000000" w:sz="4" w:space="0"/>
              <w:right w:val="single" w:color="000000" w:sz="4" w:space="0"/>
            </w:tcBorders>
            <w:vAlign w:val="center"/>
          </w:tcPr>
          <w:p w14:paraId="25436BC9">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748B605E">
            <w:pPr>
              <w:pStyle w:val="28"/>
              <w:bidi w:val="0"/>
            </w:pPr>
            <w:r>
              <w:rPr>
                <w:rFonts w:hint="eastAsia"/>
              </w:rPr>
              <w:t>1</w:t>
            </w:r>
          </w:p>
        </w:tc>
      </w:tr>
      <w:tr w14:paraId="174793D4">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7A8DA88F">
            <w:pPr>
              <w:pStyle w:val="28"/>
              <w:bidi w:val="0"/>
            </w:pPr>
            <w:r>
              <w:t>12</w:t>
            </w:r>
          </w:p>
        </w:tc>
        <w:tc>
          <w:tcPr>
            <w:tcW w:w="289" w:type="pct"/>
            <w:vMerge w:val="continue"/>
            <w:tcBorders>
              <w:left w:val="single" w:color="000000" w:sz="4" w:space="0"/>
              <w:right w:val="single" w:color="000000" w:sz="4" w:space="0"/>
            </w:tcBorders>
            <w:vAlign w:val="center"/>
          </w:tcPr>
          <w:p w14:paraId="103E89EA">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6157D178">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228843B5">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2124DDFE">
            <w:pPr>
              <w:pStyle w:val="28"/>
              <w:bidi w:val="0"/>
            </w:pPr>
            <w:r>
              <w:rPr>
                <w:rFonts w:hint="eastAsia"/>
              </w:rPr>
              <w:t>二东干渠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3B2255D0">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0CCA142B">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7F7BB1E4">
            <w:pPr>
              <w:pStyle w:val="28"/>
              <w:bidi w:val="0"/>
            </w:pPr>
            <w:r>
              <w:rPr>
                <w:rFonts w:hint="eastAsia"/>
              </w:rPr>
              <w:t>前郢（北）</w:t>
            </w:r>
          </w:p>
        </w:tc>
        <w:tc>
          <w:tcPr>
            <w:tcW w:w="280" w:type="pct"/>
            <w:tcBorders>
              <w:top w:val="single" w:color="000000" w:sz="4" w:space="0"/>
              <w:left w:val="single" w:color="000000" w:sz="4" w:space="0"/>
              <w:bottom w:val="single" w:color="000000" w:sz="4" w:space="0"/>
              <w:right w:val="single" w:color="000000" w:sz="4" w:space="0"/>
            </w:tcBorders>
            <w:vAlign w:val="center"/>
          </w:tcPr>
          <w:p w14:paraId="19053CCB">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6F509BAD">
            <w:pPr>
              <w:pStyle w:val="28"/>
              <w:bidi w:val="0"/>
            </w:pPr>
            <w:r>
              <w:rPr>
                <w:rFonts w:hint="eastAsia"/>
              </w:rPr>
              <w:t>53</w:t>
            </w:r>
          </w:p>
        </w:tc>
        <w:tc>
          <w:tcPr>
            <w:tcW w:w="398" w:type="pct"/>
            <w:tcBorders>
              <w:top w:val="single" w:color="000000" w:sz="4" w:space="0"/>
              <w:left w:val="single" w:color="000000" w:sz="4" w:space="0"/>
              <w:bottom w:val="single" w:color="000000" w:sz="4" w:space="0"/>
              <w:right w:val="single" w:color="000000" w:sz="4" w:space="0"/>
            </w:tcBorders>
            <w:vAlign w:val="center"/>
          </w:tcPr>
          <w:p w14:paraId="1931ECB6">
            <w:pPr>
              <w:pStyle w:val="28"/>
              <w:bidi w:val="0"/>
            </w:pPr>
            <w:r>
              <w:t>116.9842029</w:t>
            </w:r>
          </w:p>
        </w:tc>
        <w:tc>
          <w:tcPr>
            <w:tcW w:w="400" w:type="pct"/>
            <w:tcBorders>
              <w:top w:val="single" w:color="000000" w:sz="4" w:space="0"/>
              <w:left w:val="single" w:color="000000" w:sz="4" w:space="0"/>
              <w:bottom w:val="single" w:color="000000" w:sz="4" w:space="0"/>
              <w:right w:val="single" w:color="000000" w:sz="4" w:space="0"/>
            </w:tcBorders>
            <w:vAlign w:val="center"/>
          </w:tcPr>
          <w:p w14:paraId="6BE9F935">
            <w:pPr>
              <w:pStyle w:val="28"/>
              <w:bidi w:val="0"/>
            </w:pPr>
            <w:r>
              <w:t>32.51071647</w:t>
            </w:r>
          </w:p>
        </w:tc>
        <w:tc>
          <w:tcPr>
            <w:tcW w:w="348" w:type="pct"/>
            <w:tcBorders>
              <w:top w:val="single" w:color="000000" w:sz="4" w:space="0"/>
              <w:left w:val="single" w:color="000000" w:sz="4" w:space="0"/>
              <w:bottom w:val="single" w:color="000000" w:sz="4" w:space="0"/>
              <w:right w:val="single" w:color="000000" w:sz="4" w:space="0"/>
            </w:tcBorders>
            <w:vAlign w:val="center"/>
          </w:tcPr>
          <w:p w14:paraId="7A27B3FA">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2F335F8F">
            <w:pPr>
              <w:pStyle w:val="28"/>
              <w:bidi w:val="0"/>
            </w:pPr>
            <w:r>
              <w:rPr>
                <w:rFonts w:hint="eastAsia"/>
              </w:rPr>
              <w:t>1</w:t>
            </w:r>
          </w:p>
        </w:tc>
      </w:tr>
      <w:tr w14:paraId="20EAB6C4">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08DA9166">
            <w:pPr>
              <w:pStyle w:val="28"/>
              <w:bidi w:val="0"/>
            </w:pPr>
            <w:r>
              <w:t>13</w:t>
            </w:r>
          </w:p>
        </w:tc>
        <w:tc>
          <w:tcPr>
            <w:tcW w:w="289" w:type="pct"/>
            <w:vMerge w:val="continue"/>
            <w:tcBorders>
              <w:left w:val="single" w:color="000000" w:sz="4" w:space="0"/>
              <w:right w:val="single" w:color="000000" w:sz="4" w:space="0"/>
            </w:tcBorders>
            <w:vAlign w:val="center"/>
          </w:tcPr>
          <w:p w14:paraId="7159964E">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00FB5BFF">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050C1908">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0D026763">
            <w:pPr>
              <w:pStyle w:val="28"/>
              <w:bidi w:val="0"/>
            </w:pPr>
            <w:r>
              <w:rPr>
                <w:rFonts w:hint="eastAsia"/>
              </w:rPr>
              <w:t>二北干渠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4E3283E2">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5C9C4ADB">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4DF7AED8">
            <w:pPr>
              <w:pStyle w:val="28"/>
              <w:bidi w:val="0"/>
            </w:pPr>
            <w:r>
              <w:rPr>
                <w:rFonts w:hint="eastAsia"/>
              </w:rPr>
              <w:t>杨公镇养老院</w:t>
            </w:r>
          </w:p>
        </w:tc>
        <w:tc>
          <w:tcPr>
            <w:tcW w:w="280" w:type="pct"/>
            <w:tcBorders>
              <w:top w:val="single" w:color="000000" w:sz="4" w:space="0"/>
              <w:left w:val="single" w:color="000000" w:sz="4" w:space="0"/>
              <w:bottom w:val="single" w:color="000000" w:sz="4" w:space="0"/>
              <w:right w:val="single" w:color="000000" w:sz="4" w:space="0"/>
            </w:tcBorders>
            <w:vAlign w:val="center"/>
          </w:tcPr>
          <w:p w14:paraId="74331776">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48024E9E">
            <w:pPr>
              <w:pStyle w:val="28"/>
              <w:bidi w:val="0"/>
            </w:pPr>
            <w:r>
              <w:rPr>
                <w:rFonts w:hint="eastAsia"/>
              </w:rPr>
              <w:t>78</w:t>
            </w:r>
          </w:p>
        </w:tc>
        <w:tc>
          <w:tcPr>
            <w:tcW w:w="398" w:type="pct"/>
            <w:tcBorders>
              <w:top w:val="single" w:color="000000" w:sz="4" w:space="0"/>
              <w:left w:val="single" w:color="000000" w:sz="4" w:space="0"/>
              <w:bottom w:val="single" w:color="000000" w:sz="4" w:space="0"/>
              <w:right w:val="single" w:color="000000" w:sz="4" w:space="0"/>
            </w:tcBorders>
            <w:vAlign w:val="center"/>
          </w:tcPr>
          <w:p w14:paraId="617D8EAD">
            <w:pPr>
              <w:pStyle w:val="28"/>
              <w:bidi w:val="0"/>
            </w:pPr>
            <w:r>
              <w:t>116.9638932</w:t>
            </w:r>
          </w:p>
        </w:tc>
        <w:tc>
          <w:tcPr>
            <w:tcW w:w="400" w:type="pct"/>
            <w:tcBorders>
              <w:top w:val="single" w:color="000000" w:sz="4" w:space="0"/>
              <w:left w:val="single" w:color="000000" w:sz="4" w:space="0"/>
              <w:bottom w:val="single" w:color="000000" w:sz="4" w:space="0"/>
              <w:right w:val="single" w:color="000000" w:sz="4" w:space="0"/>
            </w:tcBorders>
            <w:vAlign w:val="center"/>
          </w:tcPr>
          <w:p w14:paraId="425BFBB6">
            <w:pPr>
              <w:pStyle w:val="28"/>
              <w:bidi w:val="0"/>
            </w:pPr>
            <w:r>
              <w:t>32.50902909</w:t>
            </w:r>
          </w:p>
        </w:tc>
        <w:tc>
          <w:tcPr>
            <w:tcW w:w="348" w:type="pct"/>
            <w:tcBorders>
              <w:top w:val="single" w:color="000000" w:sz="4" w:space="0"/>
              <w:left w:val="single" w:color="000000" w:sz="4" w:space="0"/>
              <w:bottom w:val="single" w:color="000000" w:sz="4" w:space="0"/>
              <w:right w:val="single" w:color="000000" w:sz="4" w:space="0"/>
            </w:tcBorders>
            <w:vAlign w:val="center"/>
          </w:tcPr>
          <w:p w14:paraId="7602E279">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68A83FF8">
            <w:pPr>
              <w:pStyle w:val="28"/>
              <w:bidi w:val="0"/>
            </w:pPr>
            <w:r>
              <w:rPr>
                <w:rFonts w:hint="eastAsia"/>
              </w:rPr>
              <w:t>1</w:t>
            </w:r>
          </w:p>
        </w:tc>
      </w:tr>
      <w:tr w14:paraId="3622FEF5">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182A46AB">
            <w:pPr>
              <w:pStyle w:val="28"/>
              <w:bidi w:val="0"/>
            </w:pPr>
            <w:r>
              <w:t>14</w:t>
            </w:r>
          </w:p>
        </w:tc>
        <w:tc>
          <w:tcPr>
            <w:tcW w:w="289" w:type="pct"/>
            <w:vMerge w:val="continue"/>
            <w:tcBorders>
              <w:left w:val="single" w:color="000000" w:sz="4" w:space="0"/>
              <w:right w:val="single" w:color="000000" w:sz="4" w:space="0"/>
            </w:tcBorders>
            <w:vAlign w:val="center"/>
          </w:tcPr>
          <w:p w14:paraId="1C7B353E">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6AFCD6CD">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46AB686B">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2BB0A6B4">
            <w:pPr>
              <w:pStyle w:val="28"/>
              <w:bidi w:val="0"/>
            </w:pPr>
            <w:r>
              <w:rPr>
                <w:rFonts w:hint="eastAsia"/>
              </w:rPr>
              <w:t>一北干渠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72C25AA3">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5B7AE2CA">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728308D6">
            <w:pPr>
              <w:pStyle w:val="28"/>
              <w:bidi w:val="0"/>
            </w:pPr>
            <w:r>
              <w:rPr>
                <w:rFonts w:hint="eastAsia"/>
              </w:rPr>
              <w:t>南圩</w:t>
            </w:r>
          </w:p>
        </w:tc>
        <w:tc>
          <w:tcPr>
            <w:tcW w:w="280" w:type="pct"/>
            <w:tcBorders>
              <w:top w:val="single" w:color="000000" w:sz="4" w:space="0"/>
              <w:left w:val="single" w:color="000000" w:sz="4" w:space="0"/>
              <w:bottom w:val="single" w:color="000000" w:sz="4" w:space="0"/>
              <w:right w:val="single" w:color="000000" w:sz="4" w:space="0"/>
            </w:tcBorders>
            <w:vAlign w:val="center"/>
          </w:tcPr>
          <w:p w14:paraId="596F7742">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5316CF81">
            <w:pPr>
              <w:pStyle w:val="28"/>
              <w:bidi w:val="0"/>
            </w:pPr>
            <w:r>
              <w:rPr>
                <w:rFonts w:hint="eastAsia"/>
              </w:rPr>
              <w:t>92</w:t>
            </w:r>
          </w:p>
        </w:tc>
        <w:tc>
          <w:tcPr>
            <w:tcW w:w="398" w:type="pct"/>
            <w:tcBorders>
              <w:top w:val="single" w:color="000000" w:sz="4" w:space="0"/>
              <w:left w:val="single" w:color="000000" w:sz="4" w:space="0"/>
              <w:bottom w:val="single" w:color="000000" w:sz="4" w:space="0"/>
              <w:right w:val="single" w:color="000000" w:sz="4" w:space="0"/>
            </w:tcBorders>
            <w:vAlign w:val="center"/>
          </w:tcPr>
          <w:p w14:paraId="7A301C69">
            <w:pPr>
              <w:pStyle w:val="28"/>
              <w:bidi w:val="0"/>
            </w:pPr>
            <w:r>
              <w:t>116.9530463</w:t>
            </w:r>
          </w:p>
        </w:tc>
        <w:tc>
          <w:tcPr>
            <w:tcW w:w="400" w:type="pct"/>
            <w:tcBorders>
              <w:top w:val="single" w:color="000000" w:sz="4" w:space="0"/>
              <w:left w:val="single" w:color="000000" w:sz="4" w:space="0"/>
              <w:bottom w:val="single" w:color="000000" w:sz="4" w:space="0"/>
              <w:right w:val="single" w:color="000000" w:sz="4" w:space="0"/>
            </w:tcBorders>
            <w:vAlign w:val="center"/>
          </w:tcPr>
          <w:p w14:paraId="07A147EC">
            <w:pPr>
              <w:pStyle w:val="28"/>
              <w:bidi w:val="0"/>
            </w:pPr>
            <w:r>
              <w:t>32.51075718</w:t>
            </w:r>
          </w:p>
        </w:tc>
        <w:tc>
          <w:tcPr>
            <w:tcW w:w="348" w:type="pct"/>
            <w:tcBorders>
              <w:top w:val="single" w:color="000000" w:sz="4" w:space="0"/>
              <w:left w:val="single" w:color="000000" w:sz="4" w:space="0"/>
              <w:bottom w:val="single" w:color="000000" w:sz="4" w:space="0"/>
              <w:right w:val="single" w:color="000000" w:sz="4" w:space="0"/>
            </w:tcBorders>
            <w:vAlign w:val="center"/>
          </w:tcPr>
          <w:p w14:paraId="5DE48497">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4DDB1621">
            <w:pPr>
              <w:pStyle w:val="28"/>
              <w:bidi w:val="0"/>
            </w:pPr>
            <w:r>
              <w:rPr>
                <w:rFonts w:hint="eastAsia"/>
              </w:rPr>
              <w:t>1</w:t>
            </w:r>
          </w:p>
        </w:tc>
      </w:tr>
      <w:tr w14:paraId="774490D2">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3BFAEB50">
            <w:pPr>
              <w:pStyle w:val="28"/>
              <w:bidi w:val="0"/>
            </w:pPr>
            <w:r>
              <w:t>15</w:t>
            </w:r>
          </w:p>
        </w:tc>
        <w:tc>
          <w:tcPr>
            <w:tcW w:w="289" w:type="pct"/>
            <w:vMerge w:val="continue"/>
            <w:tcBorders>
              <w:left w:val="single" w:color="000000" w:sz="4" w:space="0"/>
              <w:right w:val="single" w:color="000000" w:sz="4" w:space="0"/>
            </w:tcBorders>
            <w:vAlign w:val="center"/>
          </w:tcPr>
          <w:p w14:paraId="0D754383">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6B1B5A39">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115603FB">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196B9DE7">
            <w:pPr>
              <w:pStyle w:val="28"/>
              <w:bidi w:val="0"/>
            </w:pPr>
            <w:r>
              <w:rPr>
                <w:rFonts w:hint="eastAsia"/>
              </w:rPr>
              <w:t>二北干渠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431955B2">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31904BEC">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5D2BC57C">
            <w:pPr>
              <w:pStyle w:val="28"/>
              <w:bidi w:val="0"/>
            </w:pPr>
            <w:r>
              <w:rPr>
                <w:rFonts w:hint="eastAsia"/>
              </w:rPr>
              <w:t>纪大郢</w:t>
            </w:r>
          </w:p>
        </w:tc>
        <w:tc>
          <w:tcPr>
            <w:tcW w:w="280" w:type="pct"/>
            <w:tcBorders>
              <w:top w:val="single" w:color="000000" w:sz="4" w:space="0"/>
              <w:left w:val="single" w:color="000000" w:sz="4" w:space="0"/>
              <w:bottom w:val="single" w:color="000000" w:sz="4" w:space="0"/>
              <w:right w:val="single" w:color="000000" w:sz="4" w:space="0"/>
            </w:tcBorders>
            <w:vAlign w:val="center"/>
          </w:tcPr>
          <w:p w14:paraId="36CAB8A2">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69F458C0">
            <w:pPr>
              <w:pStyle w:val="28"/>
              <w:bidi w:val="0"/>
            </w:pPr>
            <w:r>
              <w:rPr>
                <w:rFonts w:hint="eastAsia"/>
              </w:rPr>
              <w:t>88</w:t>
            </w:r>
          </w:p>
        </w:tc>
        <w:tc>
          <w:tcPr>
            <w:tcW w:w="398" w:type="pct"/>
            <w:tcBorders>
              <w:top w:val="single" w:color="000000" w:sz="4" w:space="0"/>
              <w:left w:val="single" w:color="000000" w:sz="4" w:space="0"/>
              <w:bottom w:val="single" w:color="000000" w:sz="4" w:space="0"/>
              <w:right w:val="single" w:color="000000" w:sz="4" w:space="0"/>
            </w:tcBorders>
            <w:vAlign w:val="center"/>
          </w:tcPr>
          <w:p w14:paraId="3D154E50">
            <w:pPr>
              <w:pStyle w:val="28"/>
              <w:bidi w:val="0"/>
            </w:pPr>
            <w:r>
              <w:t>116.962257</w:t>
            </w:r>
          </w:p>
        </w:tc>
        <w:tc>
          <w:tcPr>
            <w:tcW w:w="400" w:type="pct"/>
            <w:tcBorders>
              <w:top w:val="single" w:color="000000" w:sz="4" w:space="0"/>
              <w:left w:val="single" w:color="000000" w:sz="4" w:space="0"/>
              <w:bottom w:val="single" w:color="000000" w:sz="4" w:space="0"/>
              <w:right w:val="single" w:color="000000" w:sz="4" w:space="0"/>
            </w:tcBorders>
            <w:vAlign w:val="center"/>
          </w:tcPr>
          <w:p w14:paraId="514E02A1">
            <w:pPr>
              <w:pStyle w:val="28"/>
              <w:bidi w:val="0"/>
            </w:pPr>
            <w:r>
              <w:t>32.50426082</w:t>
            </w:r>
          </w:p>
        </w:tc>
        <w:tc>
          <w:tcPr>
            <w:tcW w:w="348" w:type="pct"/>
            <w:tcBorders>
              <w:top w:val="single" w:color="000000" w:sz="4" w:space="0"/>
              <w:left w:val="single" w:color="000000" w:sz="4" w:space="0"/>
              <w:bottom w:val="single" w:color="000000" w:sz="4" w:space="0"/>
              <w:right w:val="single" w:color="000000" w:sz="4" w:space="0"/>
            </w:tcBorders>
            <w:vAlign w:val="center"/>
          </w:tcPr>
          <w:p w14:paraId="4F048BDC">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631D8778">
            <w:pPr>
              <w:pStyle w:val="28"/>
              <w:bidi w:val="0"/>
            </w:pPr>
            <w:r>
              <w:rPr>
                <w:rFonts w:hint="eastAsia"/>
              </w:rPr>
              <w:t>1</w:t>
            </w:r>
          </w:p>
        </w:tc>
      </w:tr>
      <w:tr w14:paraId="1C445554">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1B30F505">
            <w:pPr>
              <w:pStyle w:val="28"/>
              <w:bidi w:val="0"/>
            </w:pPr>
            <w:r>
              <w:t>16</w:t>
            </w:r>
          </w:p>
        </w:tc>
        <w:tc>
          <w:tcPr>
            <w:tcW w:w="289" w:type="pct"/>
            <w:vMerge w:val="continue"/>
            <w:tcBorders>
              <w:left w:val="single" w:color="000000" w:sz="4" w:space="0"/>
              <w:right w:val="single" w:color="000000" w:sz="4" w:space="0"/>
            </w:tcBorders>
            <w:vAlign w:val="center"/>
          </w:tcPr>
          <w:p w14:paraId="742B27C4">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5491920B">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3ACA1EDC">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2510EEAF">
            <w:pPr>
              <w:pStyle w:val="28"/>
              <w:bidi w:val="0"/>
            </w:pPr>
            <w:r>
              <w:rPr>
                <w:rFonts w:hint="eastAsia"/>
              </w:rPr>
              <w:t>一北干渠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35D33D7C">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5772B36C">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7916C09F">
            <w:pPr>
              <w:pStyle w:val="28"/>
              <w:bidi w:val="0"/>
            </w:pPr>
            <w:r>
              <w:rPr>
                <w:rFonts w:hint="eastAsia"/>
              </w:rPr>
              <w:t>酒坊郢</w:t>
            </w:r>
          </w:p>
        </w:tc>
        <w:tc>
          <w:tcPr>
            <w:tcW w:w="280" w:type="pct"/>
            <w:tcBorders>
              <w:top w:val="single" w:color="000000" w:sz="4" w:space="0"/>
              <w:left w:val="single" w:color="000000" w:sz="4" w:space="0"/>
              <w:bottom w:val="single" w:color="000000" w:sz="4" w:space="0"/>
              <w:right w:val="single" w:color="000000" w:sz="4" w:space="0"/>
            </w:tcBorders>
            <w:vAlign w:val="center"/>
          </w:tcPr>
          <w:p w14:paraId="3382CC84">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730AAA13">
            <w:pPr>
              <w:pStyle w:val="28"/>
              <w:bidi w:val="0"/>
            </w:pPr>
            <w:r>
              <w:rPr>
                <w:rFonts w:hint="eastAsia"/>
              </w:rPr>
              <w:t>63</w:t>
            </w:r>
          </w:p>
        </w:tc>
        <w:tc>
          <w:tcPr>
            <w:tcW w:w="398" w:type="pct"/>
            <w:tcBorders>
              <w:top w:val="single" w:color="000000" w:sz="4" w:space="0"/>
              <w:left w:val="single" w:color="000000" w:sz="4" w:space="0"/>
              <w:bottom w:val="single" w:color="000000" w:sz="4" w:space="0"/>
              <w:right w:val="single" w:color="000000" w:sz="4" w:space="0"/>
            </w:tcBorders>
            <w:vAlign w:val="center"/>
          </w:tcPr>
          <w:p w14:paraId="06ADE7DB">
            <w:pPr>
              <w:pStyle w:val="28"/>
              <w:bidi w:val="0"/>
            </w:pPr>
            <w:r>
              <w:t>116.9515336</w:t>
            </w:r>
          </w:p>
        </w:tc>
        <w:tc>
          <w:tcPr>
            <w:tcW w:w="400" w:type="pct"/>
            <w:tcBorders>
              <w:top w:val="single" w:color="000000" w:sz="4" w:space="0"/>
              <w:left w:val="single" w:color="000000" w:sz="4" w:space="0"/>
              <w:bottom w:val="single" w:color="000000" w:sz="4" w:space="0"/>
              <w:right w:val="single" w:color="000000" w:sz="4" w:space="0"/>
            </w:tcBorders>
            <w:vAlign w:val="center"/>
          </w:tcPr>
          <w:p w14:paraId="63B2B683">
            <w:pPr>
              <w:pStyle w:val="28"/>
              <w:bidi w:val="0"/>
            </w:pPr>
            <w:r>
              <w:t>32.5001981</w:t>
            </w:r>
          </w:p>
        </w:tc>
        <w:tc>
          <w:tcPr>
            <w:tcW w:w="348" w:type="pct"/>
            <w:tcBorders>
              <w:top w:val="single" w:color="000000" w:sz="4" w:space="0"/>
              <w:left w:val="single" w:color="000000" w:sz="4" w:space="0"/>
              <w:bottom w:val="single" w:color="000000" w:sz="4" w:space="0"/>
              <w:right w:val="single" w:color="000000" w:sz="4" w:space="0"/>
            </w:tcBorders>
            <w:vAlign w:val="center"/>
          </w:tcPr>
          <w:p w14:paraId="0B5C6A7D">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54CD8CCB">
            <w:pPr>
              <w:pStyle w:val="28"/>
              <w:bidi w:val="0"/>
            </w:pPr>
            <w:r>
              <w:rPr>
                <w:rFonts w:hint="eastAsia"/>
              </w:rPr>
              <w:t>1</w:t>
            </w:r>
          </w:p>
        </w:tc>
      </w:tr>
      <w:tr w14:paraId="3E52A553">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2B148945">
            <w:pPr>
              <w:pStyle w:val="28"/>
              <w:bidi w:val="0"/>
            </w:pPr>
            <w:r>
              <w:t>17</w:t>
            </w:r>
          </w:p>
        </w:tc>
        <w:tc>
          <w:tcPr>
            <w:tcW w:w="289" w:type="pct"/>
            <w:vMerge w:val="continue"/>
            <w:tcBorders>
              <w:left w:val="single" w:color="000000" w:sz="4" w:space="0"/>
              <w:right w:val="single" w:color="000000" w:sz="4" w:space="0"/>
            </w:tcBorders>
            <w:vAlign w:val="center"/>
          </w:tcPr>
          <w:p w14:paraId="617CFECB">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30D013FA">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331EA4BF">
            <w:pPr>
              <w:pStyle w:val="28"/>
              <w:bidi w:val="0"/>
            </w:pPr>
            <w:r>
              <w:rPr>
                <w:rFonts w:hint="eastAsia"/>
              </w:rPr>
              <w:t>二引干渠</w:t>
            </w:r>
          </w:p>
        </w:tc>
        <w:tc>
          <w:tcPr>
            <w:tcW w:w="343" w:type="pct"/>
            <w:tcBorders>
              <w:top w:val="single" w:color="000000" w:sz="4" w:space="0"/>
              <w:left w:val="single" w:color="000000" w:sz="4" w:space="0"/>
              <w:bottom w:val="single" w:color="000000" w:sz="4" w:space="0"/>
              <w:right w:val="single" w:color="000000" w:sz="4" w:space="0"/>
            </w:tcBorders>
            <w:vAlign w:val="center"/>
          </w:tcPr>
          <w:p w14:paraId="604E3486">
            <w:pPr>
              <w:pStyle w:val="28"/>
              <w:bidi w:val="0"/>
            </w:pPr>
            <w:r>
              <w:rPr>
                <w:rFonts w:hint="eastAsia"/>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0794FA4B">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5710DA95">
            <w:pPr>
              <w:pStyle w:val="28"/>
              <w:bidi w:val="0"/>
            </w:pPr>
            <w:r>
              <w:rPr>
                <w:rFonts w:hint="eastAsia"/>
              </w:rPr>
              <w:t>清淤工程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5471FC0F">
            <w:pPr>
              <w:pStyle w:val="28"/>
              <w:bidi w:val="0"/>
            </w:pPr>
            <w:r>
              <w:rPr>
                <w:rFonts w:hint="eastAsia"/>
              </w:rPr>
              <w:t>双圩</w:t>
            </w:r>
          </w:p>
        </w:tc>
        <w:tc>
          <w:tcPr>
            <w:tcW w:w="280" w:type="pct"/>
            <w:tcBorders>
              <w:top w:val="single" w:color="000000" w:sz="4" w:space="0"/>
              <w:left w:val="single" w:color="000000" w:sz="4" w:space="0"/>
              <w:bottom w:val="single" w:color="000000" w:sz="4" w:space="0"/>
              <w:right w:val="single" w:color="000000" w:sz="4" w:space="0"/>
            </w:tcBorders>
            <w:vAlign w:val="center"/>
          </w:tcPr>
          <w:p w14:paraId="6D65BEF3">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18F3340F">
            <w:pPr>
              <w:pStyle w:val="28"/>
              <w:bidi w:val="0"/>
            </w:pPr>
            <w:r>
              <w:rPr>
                <w:rFonts w:hint="eastAsia"/>
              </w:rPr>
              <w:t>78</w:t>
            </w:r>
          </w:p>
        </w:tc>
        <w:tc>
          <w:tcPr>
            <w:tcW w:w="398" w:type="pct"/>
            <w:tcBorders>
              <w:top w:val="single" w:color="000000" w:sz="4" w:space="0"/>
              <w:left w:val="single" w:color="000000" w:sz="4" w:space="0"/>
              <w:bottom w:val="single" w:color="000000" w:sz="4" w:space="0"/>
              <w:right w:val="single" w:color="000000" w:sz="4" w:space="0"/>
            </w:tcBorders>
            <w:vAlign w:val="center"/>
          </w:tcPr>
          <w:p w14:paraId="481C423A">
            <w:pPr>
              <w:pStyle w:val="28"/>
              <w:bidi w:val="0"/>
            </w:pPr>
            <w:r>
              <w:t>116.9565493</w:t>
            </w:r>
          </w:p>
        </w:tc>
        <w:tc>
          <w:tcPr>
            <w:tcW w:w="400" w:type="pct"/>
            <w:tcBorders>
              <w:top w:val="single" w:color="000000" w:sz="4" w:space="0"/>
              <w:left w:val="single" w:color="000000" w:sz="4" w:space="0"/>
              <w:bottom w:val="single" w:color="000000" w:sz="4" w:space="0"/>
              <w:right w:val="single" w:color="000000" w:sz="4" w:space="0"/>
            </w:tcBorders>
            <w:vAlign w:val="center"/>
          </w:tcPr>
          <w:p w14:paraId="1E559722">
            <w:pPr>
              <w:pStyle w:val="28"/>
              <w:bidi w:val="0"/>
            </w:pPr>
            <w:r>
              <w:t>32.49208115</w:t>
            </w:r>
          </w:p>
        </w:tc>
        <w:tc>
          <w:tcPr>
            <w:tcW w:w="348" w:type="pct"/>
            <w:tcBorders>
              <w:top w:val="single" w:color="000000" w:sz="4" w:space="0"/>
              <w:left w:val="single" w:color="000000" w:sz="4" w:space="0"/>
              <w:bottom w:val="single" w:color="000000" w:sz="4" w:space="0"/>
              <w:right w:val="single" w:color="000000" w:sz="4" w:space="0"/>
            </w:tcBorders>
            <w:vAlign w:val="center"/>
          </w:tcPr>
          <w:p w14:paraId="61DCFD6B">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16A03941">
            <w:pPr>
              <w:pStyle w:val="28"/>
              <w:bidi w:val="0"/>
            </w:pPr>
            <w:r>
              <w:rPr>
                <w:rFonts w:hint="eastAsia"/>
              </w:rPr>
              <w:t>1</w:t>
            </w:r>
          </w:p>
        </w:tc>
      </w:tr>
      <w:tr w14:paraId="08DF9BDC">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41C79C3A">
            <w:pPr>
              <w:pStyle w:val="28"/>
              <w:bidi w:val="0"/>
            </w:pPr>
            <w:r>
              <w:t>18</w:t>
            </w:r>
          </w:p>
        </w:tc>
        <w:tc>
          <w:tcPr>
            <w:tcW w:w="289" w:type="pct"/>
            <w:vMerge w:val="continue"/>
            <w:tcBorders>
              <w:left w:val="single" w:color="000000" w:sz="4" w:space="0"/>
              <w:right w:val="single" w:color="000000" w:sz="4" w:space="0"/>
            </w:tcBorders>
            <w:vAlign w:val="center"/>
          </w:tcPr>
          <w:p w14:paraId="1F993330">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49D79FD1">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589131ED">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0A03F5C3">
            <w:pPr>
              <w:pStyle w:val="28"/>
              <w:bidi w:val="0"/>
            </w:pPr>
            <w:r>
              <w:rPr>
                <w:rFonts w:hint="eastAsia"/>
              </w:rPr>
              <w:t>二东干渠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182A177B">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59276108">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14AD2833">
            <w:pPr>
              <w:pStyle w:val="28"/>
              <w:bidi w:val="0"/>
            </w:pPr>
            <w:r>
              <w:rPr>
                <w:rFonts w:hint="eastAsia"/>
              </w:rPr>
              <w:t>李郢子</w:t>
            </w:r>
          </w:p>
        </w:tc>
        <w:tc>
          <w:tcPr>
            <w:tcW w:w="280" w:type="pct"/>
            <w:tcBorders>
              <w:top w:val="single" w:color="000000" w:sz="4" w:space="0"/>
              <w:left w:val="single" w:color="000000" w:sz="4" w:space="0"/>
              <w:bottom w:val="single" w:color="000000" w:sz="4" w:space="0"/>
              <w:right w:val="single" w:color="000000" w:sz="4" w:space="0"/>
            </w:tcBorders>
            <w:vAlign w:val="center"/>
          </w:tcPr>
          <w:p w14:paraId="56429F34">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10484227">
            <w:pPr>
              <w:pStyle w:val="28"/>
              <w:bidi w:val="0"/>
            </w:pPr>
            <w:r>
              <w:rPr>
                <w:rFonts w:hint="eastAsia"/>
              </w:rPr>
              <w:t>36</w:t>
            </w:r>
          </w:p>
        </w:tc>
        <w:tc>
          <w:tcPr>
            <w:tcW w:w="398" w:type="pct"/>
            <w:tcBorders>
              <w:top w:val="single" w:color="000000" w:sz="4" w:space="0"/>
              <w:left w:val="single" w:color="000000" w:sz="4" w:space="0"/>
              <w:bottom w:val="single" w:color="000000" w:sz="4" w:space="0"/>
              <w:right w:val="single" w:color="000000" w:sz="4" w:space="0"/>
            </w:tcBorders>
            <w:vAlign w:val="center"/>
          </w:tcPr>
          <w:p w14:paraId="77A81F63">
            <w:pPr>
              <w:pStyle w:val="28"/>
              <w:bidi w:val="0"/>
            </w:pPr>
            <w:r>
              <w:t>116.9795573</w:t>
            </w:r>
          </w:p>
        </w:tc>
        <w:tc>
          <w:tcPr>
            <w:tcW w:w="400" w:type="pct"/>
            <w:tcBorders>
              <w:top w:val="single" w:color="000000" w:sz="4" w:space="0"/>
              <w:left w:val="single" w:color="000000" w:sz="4" w:space="0"/>
              <w:bottom w:val="single" w:color="000000" w:sz="4" w:space="0"/>
              <w:right w:val="single" w:color="000000" w:sz="4" w:space="0"/>
            </w:tcBorders>
            <w:vAlign w:val="center"/>
          </w:tcPr>
          <w:p w14:paraId="3C47A861">
            <w:pPr>
              <w:pStyle w:val="28"/>
              <w:bidi w:val="0"/>
            </w:pPr>
            <w:r>
              <w:t>32.50151014</w:t>
            </w:r>
          </w:p>
        </w:tc>
        <w:tc>
          <w:tcPr>
            <w:tcW w:w="348" w:type="pct"/>
            <w:tcBorders>
              <w:top w:val="single" w:color="000000" w:sz="4" w:space="0"/>
              <w:left w:val="single" w:color="000000" w:sz="4" w:space="0"/>
              <w:bottom w:val="single" w:color="000000" w:sz="4" w:space="0"/>
              <w:right w:val="single" w:color="000000" w:sz="4" w:space="0"/>
            </w:tcBorders>
            <w:vAlign w:val="center"/>
          </w:tcPr>
          <w:p w14:paraId="5A136089">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188D111E">
            <w:pPr>
              <w:pStyle w:val="28"/>
              <w:bidi w:val="0"/>
            </w:pPr>
            <w:r>
              <w:rPr>
                <w:rFonts w:hint="eastAsia"/>
              </w:rPr>
              <w:t>1</w:t>
            </w:r>
          </w:p>
        </w:tc>
      </w:tr>
      <w:tr w14:paraId="587BA348">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25FBB23F">
            <w:pPr>
              <w:pStyle w:val="28"/>
              <w:bidi w:val="0"/>
            </w:pPr>
            <w:r>
              <w:t>19</w:t>
            </w:r>
          </w:p>
        </w:tc>
        <w:tc>
          <w:tcPr>
            <w:tcW w:w="289" w:type="pct"/>
            <w:vMerge w:val="continue"/>
            <w:tcBorders>
              <w:left w:val="single" w:color="000000" w:sz="4" w:space="0"/>
              <w:right w:val="single" w:color="000000" w:sz="4" w:space="0"/>
            </w:tcBorders>
            <w:vAlign w:val="center"/>
          </w:tcPr>
          <w:p w14:paraId="793098D3">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1E52C935">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00A9132C">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78D75BAC">
            <w:pPr>
              <w:pStyle w:val="28"/>
              <w:bidi w:val="0"/>
            </w:pPr>
            <w:r>
              <w:rPr>
                <w:rFonts w:hint="eastAsia"/>
              </w:rPr>
              <w:t>二东干渠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60C2B1CB">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3049F6CF">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4615FDCC">
            <w:pPr>
              <w:pStyle w:val="28"/>
              <w:bidi w:val="0"/>
            </w:pPr>
            <w:r>
              <w:rPr>
                <w:rFonts w:hint="eastAsia"/>
              </w:rPr>
              <w:t>前瓦房西</w:t>
            </w:r>
          </w:p>
        </w:tc>
        <w:tc>
          <w:tcPr>
            <w:tcW w:w="280" w:type="pct"/>
            <w:tcBorders>
              <w:top w:val="single" w:color="000000" w:sz="4" w:space="0"/>
              <w:left w:val="single" w:color="000000" w:sz="4" w:space="0"/>
              <w:bottom w:val="single" w:color="000000" w:sz="4" w:space="0"/>
              <w:right w:val="single" w:color="000000" w:sz="4" w:space="0"/>
            </w:tcBorders>
            <w:vAlign w:val="center"/>
          </w:tcPr>
          <w:p w14:paraId="72F5D97E">
            <w:pPr>
              <w:pStyle w:val="28"/>
              <w:bidi w:val="0"/>
            </w:pPr>
            <w:r>
              <w:rPr>
                <w:rFonts w:hint="eastAsia"/>
              </w:rPr>
              <w:t>W</w:t>
            </w:r>
          </w:p>
        </w:tc>
        <w:tc>
          <w:tcPr>
            <w:tcW w:w="270" w:type="pct"/>
            <w:tcBorders>
              <w:top w:val="single" w:color="000000" w:sz="4" w:space="0"/>
              <w:left w:val="single" w:color="000000" w:sz="4" w:space="0"/>
              <w:bottom w:val="single" w:color="000000" w:sz="4" w:space="0"/>
              <w:right w:val="single" w:color="000000" w:sz="4" w:space="0"/>
            </w:tcBorders>
            <w:vAlign w:val="center"/>
          </w:tcPr>
          <w:p w14:paraId="0D358F23">
            <w:pPr>
              <w:pStyle w:val="28"/>
              <w:bidi w:val="0"/>
            </w:pPr>
            <w:r>
              <w:rPr>
                <w:rFonts w:hint="eastAsia"/>
              </w:rPr>
              <w:t>47</w:t>
            </w:r>
          </w:p>
        </w:tc>
        <w:tc>
          <w:tcPr>
            <w:tcW w:w="398" w:type="pct"/>
            <w:tcBorders>
              <w:top w:val="single" w:color="000000" w:sz="4" w:space="0"/>
              <w:left w:val="single" w:color="000000" w:sz="4" w:space="0"/>
              <w:bottom w:val="single" w:color="000000" w:sz="4" w:space="0"/>
              <w:right w:val="single" w:color="000000" w:sz="4" w:space="0"/>
            </w:tcBorders>
            <w:vAlign w:val="center"/>
          </w:tcPr>
          <w:p w14:paraId="142AA621">
            <w:pPr>
              <w:pStyle w:val="28"/>
              <w:bidi w:val="0"/>
            </w:pPr>
            <w:r>
              <w:t>116.9699121</w:t>
            </w:r>
          </w:p>
        </w:tc>
        <w:tc>
          <w:tcPr>
            <w:tcW w:w="400" w:type="pct"/>
            <w:tcBorders>
              <w:top w:val="single" w:color="000000" w:sz="4" w:space="0"/>
              <w:left w:val="single" w:color="000000" w:sz="4" w:space="0"/>
              <w:bottom w:val="single" w:color="000000" w:sz="4" w:space="0"/>
              <w:right w:val="single" w:color="000000" w:sz="4" w:space="0"/>
            </w:tcBorders>
            <w:vAlign w:val="center"/>
          </w:tcPr>
          <w:p w14:paraId="00502848">
            <w:pPr>
              <w:pStyle w:val="28"/>
              <w:bidi w:val="0"/>
            </w:pPr>
            <w:r>
              <w:t>32.49474163</w:t>
            </w:r>
          </w:p>
        </w:tc>
        <w:tc>
          <w:tcPr>
            <w:tcW w:w="348" w:type="pct"/>
            <w:tcBorders>
              <w:top w:val="single" w:color="000000" w:sz="4" w:space="0"/>
              <w:left w:val="single" w:color="000000" w:sz="4" w:space="0"/>
              <w:bottom w:val="single" w:color="000000" w:sz="4" w:space="0"/>
              <w:right w:val="single" w:color="000000" w:sz="4" w:space="0"/>
            </w:tcBorders>
            <w:vAlign w:val="center"/>
          </w:tcPr>
          <w:p w14:paraId="174B4990">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29F91F24">
            <w:pPr>
              <w:pStyle w:val="28"/>
              <w:bidi w:val="0"/>
            </w:pPr>
            <w:r>
              <w:rPr>
                <w:rFonts w:hint="eastAsia"/>
              </w:rPr>
              <w:t>1</w:t>
            </w:r>
          </w:p>
        </w:tc>
      </w:tr>
      <w:tr w14:paraId="50392186">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15C7498D">
            <w:pPr>
              <w:pStyle w:val="28"/>
              <w:bidi w:val="0"/>
            </w:pPr>
            <w:r>
              <w:t>20</w:t>
            </w:r>
          </w:p>
        </w:tc>
        <w:tc>
          <w:tcPr>
            <w:tcW w:w="289" w:type="pct"/>
            <w:vMerge w:val="continue"/>
            <w:tcBorders>
              <w:left w:val="single" w:color="000000" w:sz="4" w:space="0"/>
              <w:right w:val="single" w:color="000000" w:sz="4" w:space="0"/>
            </w:tcBorders>
            <w:vAlign w:val="center"/>
          </w:tcPr>
          <w:p w14:paraId="6F12774F">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04FAD8DD">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5B91B9DD">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7BB39601">
            <w:pPr>
              <w:pStyle w:val="28"/>
              <w:bidi w:val="0"/>
            </w:pPr>
            <w:r>
              <w:rPr>
                <w:rFonts w:hint="eastAsia"/>
              </w:rPr>
              <w:t>二东干渠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1EC4152C">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4DCF142D">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0AD24100">
            <w:pPr>
              <w:pStyle w:val="28"/>
              <w:bidi w:val="0"/>
            </w:pPr>
            <w:r>
              <w:rPr>
                <w:rFonts w:hint="eastAsia"/>
              </w:rPr>
              <w:t>方庄</w:t>
            </w:r>
          </w:p>
        </w:tc>
        <w:tc>
          <w:tcPr>
            <w:tcW w:w="280" w:type="pct"/>
            <w:tcBorders>
              <w:top w:val="single" w:color="000000" w:sz="4" w:space="0"/>
              <w:left w:val="single" w:color="000000" w:sz="4" w:space="0"/>
              <w:bottom w:val="single" w:color="000000" w:sz="4" w:space="0"/>
              <w:right w:val="single" w:color="000000" w:sz="4" w:space="0"/>
            </w:tcBorders>
            <w:vAlign w:val="center"/>
          </w:tcPr>
          <w:p w14:paraId="23CDA7CC">
            <w:pPr>
              <w:pStyle w:val="28"/>
              <w:bidi w:val="0"/>
            </w:pPr>
            <w:r>
              <w:rPr>
                <w:rFonts w:hint="eastAsia"/>
              </w:rPr>
              <w:t>W</w:t>
            </w:r>
          </w:p>
        </w:tc>
        <w:tc>
          <w:tcPr>
            <w:tcW w:w="270" w:type="pct"/>
            <w:tcBorders>
              <w:top w:val="single" w:color="000000" w:sz="4" w:space="0"/>
              <w:left w:val="single" w:color="000000" w:sz="4" w:space="0"/>
              <w:bottom w:val="single" w:color="000000" w:sz="4" w:space="0"/>
              <w:right w:val="single" w:color="000000" w:sz="4" w:space="0"/>
            </w:tcBorders>
            <w:vAlign w:val="center"/>
          </w:tcPr>
          <w:p w14:paraId="2F4C89DA">
            <w:pPr>
              <w:pStyle w:val="28"/>
              <w:bidi w:val="0"/>
            </w:pPr>
            <w:r>
              <w:rPr>
                <w:rFonts w:hint="eastAsia"/>
              </w:rPr>
              <w:t>41</w:t>
            </w:r>
          </w:p>
        </w:tc>
        <w:tc>
          <w:tcPr>
            <w:tcW w:w="398" w:type="pct"/>
            <w:tcBorders>
              <w:top w:val="single" w:color="000000" w:sz="4" w:space="0"/>
              <w:left w:val="single" w:color="000000" w:sz="4" w:space="0"/>
              <w:bottom w:val="single" w:color="000000" w:sz="4" w:space="0"/>
              <w:right w:val="single" w:color="000000" w:sz="4" w:space="0"/>
            </w:tcBorders>
            <w:vAlign w:val="center"/>
          </w:tcPr>
          <w:p w14:paraId="5FE59990">
            <w:pPr>
              <w:pStyle w:val="28"/>
              <w:bidi w:val="0"/>
            </w:pPr>
            <w:r>
              <w:t>116.9705129</w:t>
            </w:r>
          </w:p>
        </w:tc>
        <w:tc>
          <w:tcPr>
            <w:tcW w:w="400" w:type="pct"/>
            <w:tcBorders>
              <w:top w:val="single" w:color="000000" w:sz="4" w:space="0"/>
              <w:left w:val="single" w:color="000000" w:sz="4" w:space="0"/>
              <w:bottom w:val="single" w:color="000000" w:sz="4" w:space="0"/>
              <w:right w:val="single" w:color="000000" w:sz="4" w:space="0"/>
            </w:tcBorders>
            <w:vAlign w:val="center"/>
          </w:tcPr>
          <w:p w14:paraId="4BB0D581">
            <w:pPr>
              <w:pStyle w:val="28"/>
              <w:bidi w:val="0"/>
            </w:pPr>
            <w:r>
              <w:t>32.49191373</w:t>
            </w:r>
          </w:p>
        </w:tc>
        <w:tc>
          <w:tcPr>
            <w:tcW w:w="348" w:type="pct"/>
            <w:tcBorders>
              <w:top w:val="single" w:color="000000" w:sz="4" w:space="0"/>
              <w:left w:val="single" w:color="000000" w:sz="4" w:space="0"/>
              <w:bottom w:val="single" w:color="000000" w:sz="4" w:space="0"/>
              <w:right w:val="single" w:color="000000" w:sz="4" w:space="0"/>
            </w:tcBorders>
            <w:vAlign w:val="center"/>
          </w:tcPr>
          <w:p w14:paraId="01AD20CE">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5CC60AC8">
            <w:pPr>
              <w:pStyle w:val="28"/>
              <w:bidi w:val="0"/>
            </w:pPr>
            <w:r>
              <w:rPr>
                <w:rFonts w:hint="eastAsia"/>
              </w:rPr>
              <w:t>1</w:t>
            </w:r>
          </w:p>
        </w:tc>
      </w:tr>
      <w:tr w14:paraId="4945EBE2">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510BA8A3">
            <w:pPr>
              <w:pStyle w:val="28"/>
              <w:bidi w:val="0"/>
            </w:pPr>
            <w:r>
              <w:t>21</w:t>
            </w:r>
          </w:p>
        </w:tc>
        <w:tc>
          <w:tcPr>
            <w:tcW w:w="289" w:type="pct"/>
            <w:vMerge w:val="continue"/>
            <w:tcBorders>
              <w:left w:val="single" w:color="000000" w:sz="4" w:space="0"/>
              <w:right w:val="single" w:color="000000" w:sz="4" w:space="0"/>
            </w:tcBorders>
            <w:vAlign w:val="center"/>
          </w:tcPr>
          <w:p w14:paraId="52A67D83">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624CE962">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121ACE49">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6895A8B6">
            <w:pPr>
              <w:pStyle w:val="28"/>
              <w:bidi w:val="0"/>
            </w:pPr>
            <w:r>
              <w:rPr>
                <w:rFonts w:hint="eastAsia"/>
              </w:rPr>
              <w:t>二东干渠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40442EE3">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79AD7B0D">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3BE9548C">
            <w:pPr>
              <w:pStyle w:val="28"/>
              <w:bidi w:val="0"/>
            </w:pPr>
            <w:r>
              <w:rPr>
                <w:rFonts w:hint="eastAsia"/>
              </w:rPr>
              <w:t>前瓦村</w:t>
            </w:r>
          </w:p>
        </w:tc>
        <w:tc>
          <w:tcPr>
            <w:tcW w:w="280" w:type="pct"/>
            <w:tcBorders>
              <w:top w:val="single" w:color="000000" w:sz="4" w:space="0"/>
              <w:left w:val="single" w:color="000000" w:sz="4" w:space="0"/>
              <w:bottom w:val="single" w:color="000000" w:sz="4" w:space="0"/>
              <w:right w:val="single" w:color="000000" w:sz="4" w:space="0"/>
            </w:tcBorders>
            <w:vAlign w:val="center"/>
          </w:tcPr>
          <w:p w14:paraId="310F73EE">
            <w:pPr>
              <w:pStyle w:val="28"/>
              <w:bidi w:val="0"/>
            </w:pPr>
            <w:r>
              <w:rPr>
                <w:rFonts w:hint="eastAsia"/>
              </w:rPr>
              <w:t>N</w:t>
            </w:r>
          </w:p>
        </w:tc>
        <w:tc>
          <w:tcPr>
            <w:tcW w:w="270" w:type="pct"/>
            <w:tcBorders>
              <w:top w:val="single" w:color="000000" w:sz="4" w:space="0"/>
              <w:left w:val="single" w:color="000000" w:sz="4" w:space="0"/>
              <w:bottom w:val="single" w:color="000000" w:sz="4" w:space="0"/>
              <w:right w:val="single" w:color="000000" w:sz="4" w:space="0"/>
            </w:tcBorders>
            <w:vAlign w:val="center"/>
          </w:tcPr>
          <w:p w14:paraId="6C1F2B1F">
            <w:pPr>
              <w:pStyle w:val="28"/>
              <w:bidi w:val="0"/>
            </w:pPr>
            <w:r>
              <w:rPr>
                <w:rFonts w:hint="eastAsia"/>
              </w:rPr>
              <w:t>62</w:t>
            </w:r>
          </w:p>
        </w:tc>
        <w:tc>
          <w:tcPr>
            <w:tcW w:w="398" w:type="pct"/>
            <w:tcBorders>
              <w:top w:val="single" w:color="000000" w:sz="4" w:space="0"/>
              <w:left w:val="single" w:color="000000" w:sz="4" w:space="0"/>
              <w:bottom w:val="single" w:color="000000" w:sz="4" w:space="0"/>
              <w:right w:val="single" w:color="000000" w:sz="4" w:space="0"/>
            </w:tcBorders>
            <w:vAlign w:val="center"/>
          </w:tcPr>
          <w:p w14:paraId="6178AD45">
            <w:pPr>
              <w:pStyle w:val="28"/>
              <w:bidi w:val="0"/>
            </w:pPr>
            <w:r>
              <w:t>116.9741178</w:t>
            </w:r>
          </w:p>
        </w:tc>
        <w:tc>
          <w:tcPr>
            <w:tcW w:w="400" w:type="pct"/>
            <w:tcBorders>
              <w:top w:val="single" w:color="000000" w:sz="4" w:space="0"/>
              <w:left w:val="single" w:color="000000" w:sz="4" w:space="0"/>
              <w:bottom w:val="single" w:color="000000" w:sz="4" w:space="0"/>
              <w:right w:val="single" w:color="000000" w:sz="4" w:space="0"/>
            </w:tcBorders>
            <w:vAlign w:val="center"/>
          </w:tcPr>
          <w:p w14:paraId="34AF1683">
            <w:pPr>
              <w:pStyle w:val="28"/>
              <w:bidi w:val="0"/>
            </w:pPr>
            <w:r>
              <w:t>32.4908278</w:t>
            </w:r>
          </w:p>
        </w:tc>
        <w:tc>
          <w:tcPr>
            <w:tcW w:w="348" w:type="pct"/>
            <w:tcBorders>
              <w:top w:val="single" w:color="000000" w:sz="4" w:space="0"/>
              <w:left w:val="single" w:color="000000" w:sz="4" w:space="0"/>
              <w:bottom w:val="single" w:color="000000" w:sz="4" w:space="0"/>
              <w:right w:val="single" w:color="000000" w:sz="4" w:space="0"/>
            </w:tcBorders>
            <w:vAlign w:val="center"/>
          </w:tcPr>
          <w:p w14:paraId="41EB07B8">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75E9CBB2">
            <w:pPr>
              <w:pStyle w:val="28"/>
              <w:bidi w:val="0"/>
            </w:pPr>
            <w:r>
              <w:rPr>
                <w:rFonts w:hint="eastAsia"/>
              </w:rPr>
              <w:t>1</w:t>
            </w:r>
          </w:p>
        </w:tc>
      </w:tr>
      <w:tr w14:paraId="7D1C835E">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720B38E5">
            <w:pPr>
              <w:pStyle w:val="28"/>
              <w:bidi w:val="0"/>
            </w:pPr>
            <w:r>
              <w:t>22</w:t>
            </w:r>
          </w:p>
        </w:tc>
        <w:tc>
          <w:tcPr>
            <w:tcW w:w="289" w:type="pct"/>
            <w:vMerge w:val="continue"/>
            <w:tcBorders>
              <w:left w:val="single" w:color="000000" w:sz="4" w:space="0"/>
              <w:right w:val="single" w:color="000000" w:sz="4" w:space="0"/>
            </w:tcBorders>
            <w:vAlign w:val="center"/>
          </w:tcPr>
          <w:p w14:paraId="5C1220B7">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7E2F0475">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3E1553C0">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420DE121">
            <w:pPr>
              <w:pStyle w:val="28"/>
              <w:bidi w:val="0"/>
            </w:pPr>
            <w:r>
              <w:rPr>
                <w:rFonts w:hint="eastAsia"/>
              </w:rPr>
              <w:t>二东干渠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20AAEF3A">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66FC08C1">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724F6304">
            <w:pPr>
              <w:pStyle w:val="28"/>
              <w:bidi w:val="0"/>
            </w:pPr>
            <w:r>
              <w:rPr>
                <w:rFonts w:hint="eastAsia"/>
              </w:rPr>
              <w:t>前瓦小学</w:t>
            </w:r>
          </w:p>
        </w:tc>
        <w:tc>
          <w:tcPr>
            <w:tcW w:w="280" w:type="pct"/>
            <w:tcBorders>
              <w:top w:val="single" w:color="000000" w:sz="4" w:space="0"/>
              <w:left w:val="single" w:color="000000" w:sz="4" w:space="0"/>
              <w:bottom w:val="single" w:color="000000" w:sz="4" w:space="0"/>
              <w:right w:val="single" w:color="000000" w:sz="4" w:space="0"/>
            </w:tcBorders>
            <w:vAlign w:val="center"/>
          </w:tcPr>
          <w:p w14:paraId="4A061E05">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7079E2B2">
            <w:pPr>
              <w:pStyle w:val="28"/>
              <w:bidi w:val="0"/>
            </w:pPr>
            <w:r>
              <w:rPr>
                <w:rFonts w:hint="eastAsia"/>
              </w:rPr>
              <w:t>68</w:t>
            </w:r>
          </w:p>
        </w:tc>
        <w:tc>
          <w:tcPr>
            <w:tcW w:w="398" w:type="pct"/>
            <w:tcBorders>
              <w:top w:val="single" w:color="000000" w:sz="4" w:space="0"/>
              <w:left w:val="single" w:color="000000" w:sz="4" w:space="0"/>
              <w:bottom w:val="single" w:color="000000" w:sz="4" w:space="0"/>
              <w:right w:val="single" w:color="000000" w:sz="4" w:space="0"/>
            </w:tcBorders>
            <w:vAlign w:val="center"/>
          </w:tcPr>
          <w:p w14:paraId="789B18CF">
            <w:pPr>
              <w:pStyle w:val="28"/>
              <w:bidi w:val="0"/>
            </w:pPr>
            <w:r>
              <w:t>116.9777119</w:t>
            </w:r>
          </w:p>
        </w:tc>
        <w:tc>
          <w:tcPr>
            <w:tcW w:w="400" w:type="pct"/>
            <w:tcBorders>
              <w:top w:val="single" w:color="000000" w:sz="4" w:space="0"/>
              <w:left w:val="single" w:color="000000" w:sz="4" w:space="0"/>
              <w:bottom w:val="single" w:color="000000" w:sz="4" w:space="0"/>
              <w:right w:val="single" w:color="000000" w:sz="4" w:space="0"/>
            </w:tcBorders>
            <w:vAlign w:val="center"/>
          </w:tcPr>
          <w:p w14:paraId="3ECCB77D">
            <w:pPr>
              <w:pStyle w:val="28"/>
              <w:bidi w:val="0"/>
            </w:pPr>
            <w:r>
              <w:t>32.49184586</w:t>
            </w:r>
          </w:p>
        </w:tc>
        <w:tc>
          <w:tcPr>
            <w:tcW w:w="348" w:type="pct"/>
            <w:tcBorders>
              <w:top w:val="single" w:color="000000" w:sz="4" w:space="0"/>
              <w:left w:val="single" w:color="000000" w:sz="4" w:space="0"/>
              <w:bottom w:val="single" w:color="000000" w:sz="4" w:space="0"/>
              <w:right w:val="single" w:color="000000" w:sz="4" w:space="0"/>
            </w:tcBorders>
            <w:vAlign w:val="center"/>
          </w:tcPr>
          <w:p w14:paraId="00DCA580">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5B9643DA">
            <w:pPr>
              <w:pStyle w:val="28"/>
              <w:bidi w:val="0"/>
            </w:pPr>
            <w:r>
              <w:rPr>
                <w:rFonts w:hint="eastAsia"/>
              </w:rPr>
              <w:t>2</w:t>
            </w:r>
          </w:p>
        </w:tc>
      </w:tr>
      <w:tr w14:paraId="635E5743">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4C51AD5F">
            <w:pPr>
              <w:pStyle w:val="28"/>
              <w:bidi w:val="0"/>
            </w:pPr>
            <w:r>
              <w:t>23</w:t>
            </w:r>
          </w:p>
        </w:tc>
        <w:tc>
          <w:tcPr>
            <w:tcW w:w="289" w:type="pct"/>
            <w:vMerge w:val="continue"/>
            <w:tcBorders>
              <w:left w:val="single" w:color="000000" w:sz="4" w:space="0"/>
              <w:right w:val="single" w:color="000000" w:sz="4" w:space="0"/>
            </w:tcBorders>
            <w:vAlign w:val="center"/>
          </w:tcPr>
          <w:p w14:paraId="0DA7BB2B">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7334AD9A">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37C6267E">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6586EA95">
            <w:pPr>
              <w:pStyle w:val="28"/>
              <w:bidi w:val="0"/>
            </w:pPr>
            <w:r>
              <w:rPr>
                <w:rFonts w:hint="eastAsia"/>
              </w:rPr>
              <w:t>二东干渠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7AA5CF8A">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61ADF43B">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6FD6C601">
            <w:pPr>
              <w:pStyle w:val="28"/>
              <w:bidi w:val="0"/>
            </w:pPr>
            <w:r>
              <w:rPr>
                <w:rFonts w:hint="eastAsia"/>
              </w:rPr>
              <w:t>杨家圩</w:t>
            </w:r>
          </w:p>
        </w:tc>
        <w:tc>
          <w:tcPr>
            <w:tcW w:w="280" w:type="pct"/>
            <w:tcBorders>
              <w:top w:val="single" w:color="000000" w:sz="4" w:space="0"/>
              <w:left w:val="single" w:color="000000" w:sz="4" w:space="0"/>
              <w:bottom w:val="single" w:color="000000" w:sz="4" w:space="0"/>
              <w:right w:val="single" w:color="000000" w:sz="4" w:space="0"/>
            </w:tcBorders>
            <w:vAlign w:val="center"/>
          </w:tcPr>
          <w:p w14:paraId="40FDE995">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780BAD5E">
            <w:pPr>
              <w:pStyle w:val="28"/>
              <w:bidi w:val="0"/>
            </w:pPr>
            <w:r>
              <w:rPr>
                <w:rFonts w:hint="eastAsia"/>
              </w:rPr>
              <w:t>157</w:t>
            </w:r>
          </w:p>
        </w:tc>
        <w:tc>
          <w:tcPr>
            <w:tcW w:w="398" w:type="pct"/>
            <w:tcBorders>
              <w:top w:val="single" w:color="000000" w:sz="4" w:space="0"/>
              <w:left w:val="single" w:color="000000" w:sz="4" w:space="0"/>
              <w:bottom w:val="single" w:color="000000" w:sz="4" w:space="0"/>
              <w:right w:val="single" w:color="000000" w:sz="4" w:space="0"/>
            </w:tcBorders>
            <w:vAlign w:val="center"/>
          </w:tcPr>
          <w:p w14:paraId="1663E4A0">
            <w:pPr>
              <w:pStyle w:val="28"/>
              <w:bidi w:val="0"/>
            </w:pPr>
            <w:r>
              <w:t>116.9804156</w:t>
            </w:r>
          </w:p>
        </w:tc>
        <w:tc>
          <w:tcPr>
            <w:tcW w:w="400" w:type="pct"/>
            <w:tcBorders>
              <w:top w:val="single" w:color="000000" w:sz="4" w:space="0"/>
              <w:left w:val="single" w:color="000000" w:sz="4" w:space="0"/>
              <w:bottom w:val="single" w:color="000000" w:sz="4" w:space="0"/>
              <w:right w:val="single" w:color="000000" w:sz="4" w:space="0"/>
            </w:tcBorders>
            <w:vAlign w:val="center"/>
          </w:tcPr>
          <w:p w14:paraId="1CAFD597">
            <w:pPr>
              <w:pStyle w:val="28"/>
              <w:bidi w:val="0"/>
            </w:pPr>
            <w:r>
              <w:t>32.49531173</w:t>
            </w:r>
          </w:p>
        </w:tc>
        <w:tc>
          <w:tcPr>
            <w:tcW w:w="348" w:type="pct"/>
            <w:tcBorders>
              <w:top w:val="single" w:color="000000" w:sz="4" w:space="0"/>
              <w:left w:val="single" w:color="000000" w:sz="4" w:space="0"/>
              <w:bottom w:val="single" w:color="000000" w:sz="4" w:space="0"/>
              <w:right w:val="single" w:color="000000" w:sz="4" w:space="0"/>
            </w:tcBorders>
            <w:vAlign w:val="center"/>
          </w:tcPr>
          <w:p w14:paraId="5149DCC5">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6C9F4834">
            <w:pPr>
              <w:pStyle w:val="28"/>
              <w:bidi w:val="0"/>
            </w:pPr>
            <w:r>
              <w:rPr>
                <w:rFonts w:hint="eastAsia"/>
              </w:rPr>
              <w:t>1</w:t>
            </w:r>
          </w:p>
        </w:tc>
      </w:tr>
      <w:tr w14:paraId="5583EE65">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169E488E">
            <w:pPr>
              <w:pStyle w:val="28"/>
              <w:bidi w:val="0"/>
            </w:pPr>
            <w:r>
              <w:t>24</w:t>
            </w:r>
          </w:p>
        </w:tc>
        <w:tc>
          <w:tcPr>
            <w:tcW w:w="289" w:type="pct"/>
            <w:vMerge w:val="continue"/>
            <w:tcBorders>
              <w:left w:val="single" w:color="000000" w:sz="4" w:space="0"/>
              <w:right w:val="single" w:color="000000" w:sz="4" w:space="0"/>
            </w:tcBorders>
            <w:vAlign w:val="center"/>
          </w:tcPr>
          <w:p w14:paraId="14D0E52A">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3B7A9605">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533FDA6B">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5A5B92E3">
            <w:pPr>
              <w:pStyle w:val="28"/>
              <w:bidi w:val="0"/>
            </w:pPr>
            <w: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6BBB7835">
            <w:pPr>
              <w:pStyle w:val="28"/>
              <w:bidi w:val="0"/>
            </w:pPr>
            <w:r>
              <w:rPr>
                <w:rFonts w:hint="eastAsia"/>
              </w:rPr>
              <w:t>方庄</w:t>
            </w:r>
            <w:r>
              <w:t>支渠</w:t>
            </w:r>
          </w:p>
        </w:tc>
        <w:tc>
          <w:tcPr>
            <w:tcW w:w="813" w:type="pct"/>
            <w:tcBorders>
              <w:top w:val="single" w:color="000000" w:sz="4" w:space="0"/>
              <w:left w:val="single" w:color="000000" w:sz="4" w:space="0"/>
              <w:bottom w:val="single" w:color="000000" w:sz="4" w:space="0"/>
              <w:right w:val="single" w:color="000000" w:sz="4" w:space="0"/>
            </w:tcBorders>
            <w:vAlign w:val="center"/>
          </w:tcPr>
          <w:p w14:paraId="4EF84DA0">
            <w:pPr>
              <w:pStyle w:val="28"/>
              <w:bidi w:val="0"/>
            </w:pPr>
            <w:r>
              <w:rPr>
                <w:rFonts w:hint="eastAsia"/>
              </w:rPr>
              <w:t>清淤工程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63BC5638">
            <w:pPr>
              <w:pStyle w:val="28"/>
              <w:bidi w:val="0"/>
            </w:pPr>
            <w:r>
              <w:rPr>
                <w:rFonts w:hint="eastAsia"/>
              </w:rPr>
              <w:t>响井岗</w:t>
            </w:r>
          </w:p>
        </w:tc>
        <w:tc>
          <w:tcPr>
            <w:tcW w:w="280" w:type="pct"/>
            <w:tcBorders>
              <w:top w:val="single" w:color="000000" w:sz="4" w:space="0"/>
              <w:left w:val="single" w:color="000000" w:sz="4" w:space="0"/>
              <w:bottom w:val="single" w:color="000000" w:sz="4" w:space="0"/>
              <w:right w:val="single" w:color="000000" w:sz="4" w:space="0"/>
            </w:tcBorders>
            <w:vAlign w:val="center"/>
          </w:tcPr>
          <w:p w14:paraId="658185AC">
            <w:pPr>
              <w:pStyle w:val="28"/>
              <w:bidi w:val="0"/>
            </w:pPr>
            <w:r>
              <w:rPr>
                <w:rFonts w:hint="eastAsia"/>
              </w:rPr>
              <w:t>NE</w:t>
            </w:r>
          </w:p>
        </w:tc>
        <w:tc>
          <w:tcPr>
            <w:tcW w:w="270" w:type="pct"/>
            <w:tcBorders>
              <w:top w:val="single" w:color="000000" w:sz="4" w:space="0"/>
              <w:left w:val="single" w:color="000000" w:sz="4" w:space="0"/>
              <w:bottom w:val="single" w:color="000000" w:sz="4" w:space="0"/>
              <w:right w:val="single" w:color="000000" w:sz="4" w:space="0"/>
            </w:tcBorders>
            <w:vAlign w:val="center"/>
          </w:tcPr>
          <w:p w14:paraId="748A15E5">
            <w:pPr>
              <w:pStyle w:val="28"/>
              <w:bidi w:val="0"/>
            </w:pPr>
            <w:r>
              <w:rPr>
                <w:rFonts w:hint="eastAsia"/>
              </w:rPr>
              <w:t>75</w:t>
            </w:r>
          </w:p>
        </w:tc>
        <w:tc>
          <w:tcPr>
            <w:tcW w:w="398" w:type="pct"/>
            <w:tcBorders>
              <w:top w:val="single" w:color="000000" w:sz="4" w:space="0"/>
              <w:left w:val="single" w:color="000000" w:sz="4" w:space="0"/>
              <w:bottom w:val="single" w:color="000000" w:sz="4" w:space="0"/>
              <w:right w:val="single" w:color="000000" w:sz="4" w:space="0"/>
            </w:tcBorders>
            <w:vAlign w:val="center"/>
          </w:tcPr>
          <w:p w14:paraId="2DED9276">
            <w:pPr>
              <w:pStyle w:val="28"/>
              <w:bidi w:val="0"/>
            </w:pPr>
            <w:r>
              <w:t>116.9734633</w:t>
            </w:r>
          </w:p>
        </w:tc>
        <w:tc>
          <w:tcPr>
            <w:tcW w:w="400" w:type="pct"/>
            <w:tcBorders>
              <w:top w:val="single" w:color="000000" w:sz="4" w:space="0"/>
              <w:left w:val="single" w:color="000000" w:sz="4" w:space="0"/>
              <w:bottom w:val="single" w:color="000000" w:sz="4" w:space="0"/>
              <w:right w:val="single" w:color="000000" w:sz="4" w:space="0"/>
            </w:tcBorders>
            <w:vAlign w:val="center"/>
          </w:tcPr>
          <w:p w14:paraId="29EAB734">
            <w:pPr>
              <w:pStyle w:val="28"/>
              <w:bidi w:val="0"/>
            </w:pPr>
            <w:r>
              <w:t>32.48714909</w:t>
            </w:r>
          </w:p>
        </w:tc>
        <w:tc>
          <w:tcPr>
            <w:tcW w:w="348" w:type="pct"/>
            <w:tcBorders>
              <w:top w:val="single" w:color="000000" w:sz="4" w:space="0"/>
              <w:left w:val="single" w:color="000000" w:sz="4" w:space="0"/>
              <w:bottom w:val="single" w:color="000000" w:sz="4" w:space="0"/>
              <w:right w:val="single" w:color="000000" w:sz="4" w:space="0"/>
            </w:tcBorders>
            <w:vAlign w:val="center"/>
          </w:tcPr>
          <w:p w14:paraId="167B9CD6">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7F79CE04">
            <w:pPr>
              <w:pStyle w:val="28"/>
              <w:bidi w:val="0"/>
            </w:pPr>
            <w:r>
              <w:rPr>
                <w:rFonts w:hint="eastAsia"/>
              </w:rPr>
              <w:t>1</w:t>
            </w:r>
          </w:p>
        </w:tc>
      </w:tr>
      <w:tr w14:paraId="7D5A35CB">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670FD4B1">
            <w:pPr>
              <w:pStyle w:val="28"/>
              <w:bidi w:val="0"/>
            </w:pPr>
            <w:r>
              <w:t>25</w:t>
            </w:r>
          </w:p>
        </w:tc>
        <w:tc>
          <w:tcPr>
            <w:tcW w:w="289" w:type="pct"/>
            <w:vMerge w:val="continue"/>
            <w:tcBorders>
              <w:left w:val="single" w:color="000000" w:sz="4" w:space="0"/>
              <w:right w:val="single" w:color="000000" w:sz="4" w:space="0"/>
            </w:tcBorders>
            <w:vAlign w:val="center"/>
          </w:tcPr>
          <w:p w14:paraId="4987D77F">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76C27A7A">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271A765A">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35C3FBDF">
            <w:pPr>
              <w:pStyle w:val="28"/>
              <w:bidi w:val="0"/>
            </w:pPr>
            <w: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2106122A">
            <w:pPr>
              <w:pStyle w:val="28"/>
              <w:bidi w:val="0"/>
            </w:pPr>
            <w:r>
              <w:rPr>
                <w:rFonts w:hint="eastAsia"/>
              </w:rPr>
              <w:t>方庄</w:t>
            </w:r>
            <w:r>
              <w:t>支渠</w:t>
            </w:r>
          </w:p>
        </w:tc>
        <w:tc>
          <w:tcPr>
            <w:tcW w:w="813" w:type="pct"/>
            <w:tcBorders>
              <w:top w:val="single" w:color="000000" w:sz="4" w:space="0"/>
              <w:left w:val="single" w:color="000000" w:sz="4" w:space="0"/>
              <w:bottom w:val="single" w:color="000000" w:sz="4" w:space="0"/>
              <w:right w:val="single" w:color="000000" w:sz="4" w:space="0"/>
            </w:tcBorders>
            <w:vAlign w:val="center"/>
          </w:tcPr>
          <w:p w14:paraId="2676864A">
            <w:pPr>
              <w:pStyle w:val="28"/>
              <w:bidi w:val="0"/>
            </w:pPr>
            <w:r>
              <w:rPr>
                <w:rFonts w:hint="eastAsia"/>
              </w:rPr>
              <w:t>清淤工程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75C7F05D">
            <w:pPr>
              <w:pStyle w:val="28"/>
              <w:bidi w:val="0"/>
            </w:pPr>
            <w:r>
              <w:rPr>
                <w:rFonts w:hint="eastAsia"/>
              </w:rPr>
              <w:t>前岗</w:t>
            </w:r>
          </w:p>
        </w:tc>
        <w:tc>
          <w:tcPr>
            <w:tcW w:w="280" w:type="pct"/>
            <w:tcBorders>
              <w:top w:val="single" w:color="000000" w:sz="4" w:space="0"/>
              <w:left w:val="single" w:color="000000" w:sz="4" w:space="0"/>
              <w:bottom w:val="single" w:color="000000" w:sz="4" w:space="0"/>
              <w:right w:val="single" w:color="000000" w:sz="4" w:space="0"/>
            </w:tcBorders>
            <w:vAlign w:val="center"/>
          </w:tcPr>
          <w:p w14:paraId="3C6D27E2">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6A0A5B3B">
            <w:pPr>
              <w:pStyle w:val="28"/>
              <w:bidi w:val="0"/>
            </w:pPr>
            <w:r>
              <w:rPr>
                <w:rFonts w:hint="eastAsia"/>
              </w:rPr>
              <w:t>30</w:t>
            </w:r>
          </w:p>
        </w:tc>
        <w:tc>
          <w:tcPr>
            <w:tcW w:w="398" w:type="pct"/>
            <w:tcBorders>
              <w:top w:val="single" w:color="000000" w:sz="4" w:space="0"/>
              <w:left w:val="single" w:color="000000" w:sz="4" w:space="0"/>
              <w:bottom w:val="single" w:color="000000" w:sz="4" w:space="0"/>
              <w:right w:val="single" w:color="000000" w:sz="4" w:space="0"/>
            </w:tcBorders>
            <w:vAlign w:val="center"/>
          </w:tcPr>
          <w:p w14:paraId="79998680">
            <w:pPr>
              <w:pStyle w:val="28"/>
              <w:bidi w:val="0"/>
            </w:pPr>
            <w:r>
              <w:t>116.9748312</w:t>
            </w:r>
          </w:p>
        </w:tc>
        <w:tc>
          <w:tcPr>
            <w:tcW w:w="400" w:type="pct"/>
            <w:tcBorders>
              <w:top w:val="single" w:color="000000" w:sz="4" w:space="0"/>
              <w:left w:val="single" w:color="000000" w:sz="4" w:space="0"/>
              <w:bottom w:val="single" w:color="000000" w:sz="4" w:space="0"/>
              <w:right w:val="single" w:color="000000" w:sz="4" w:space="0"/>
            </w:tcBorders>
            <w:vAlign w:val="center"/>
          </w:tcPr>
          <w:p w14:paraId="28E80FF1">
            <w:pPr>
              <w:pStyle w:val="28"/>
              <w:bidi w:val="0"/>
            </w:pPr>
            <w:r>
              <w:t>32.48494541</w:t>
            </w:r>
          </w:p>
        </w:tc>
        <w:tc>
          <w:tcPr>
            <w:tcW w:w="348" w:type="pct"/>
            <w:tcBorders>
              <w:top w:val="single" w:color="000000" w:sz="4" w:space="0"/>
              <w:left w:val="single" w:color="000000" w:sz="4" w:space="0"/>
              <w:bottom w:val="single" w:color="000000" w:sz="4" w:space="0"/>
              <w:right w:val="single" w:color="000000" w:sz="4" w:space="0"/>
            </w:tcBorders>
            <w:vAlign w:val="center"/>
          </w:tcPr>
          <w:p w14:paraId="5C456AE7">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751247DA">
            <w:pPr>
              <w:pStyle w:val="28"/>
              <w:bidi w:val="0"/>
            </w:pPr>
            <w:r>
              <w:rPr>
                <w:rFonts w:hint="eastAsia"/>
              </w:rPr>
              <w:t>1</w:t>
            </w:r>
          </w:p>
        </w:tc>
      </w:tr>
      <w:tr w14:paraId="53D821B7">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4F93DE83">
            <w:pPr>
              <w:pStyle w:val="28"/>
              <w:bidi w:val="0"/>
            </w:pPr>
            <w:r>
              <w:t>26</w:t>
            </w:r>
          </w:p>
        </w:tc>
        <w:tc>
          <w:tcPr>
            <w:tcW w:w="289" w:type="pct"/>
            <w:vMerge w:val="continue"/>
            <w:tcBorders>
              <w:left w:val="single" w:color="000000" w:sz="4" w:space="0"/>
              <w:right w:val="single" w:color="000000" w:sz="4" w:space="0"/>
            </w:tcBorders>
            <w:vAlign w:val="center"/>
          </w:tcPr>
          <w:p w14:paraId="5D41A428">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36AAFC9B">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628CE52A">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69397E91">
            <w:pPr>
              <w:pStyle w:val="28"/>
              <w:bidi w:val="0"/>
            </w:pPr>
            <w:r>
              <w:rPr>
                <w:rFonts w:hint="eastAsia"/>
              </w:rPr>
              <w:t>二东干渠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4A9699A9">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6EBE5611">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7A036025">
            <w:pPr>
              <w:pStyle w:val="28"/>
              <w:bidi w:val="0"/>
            </w:pPr>
            <w:r>
              <w:rPr>
                <w:rFonts w:hint="eastAsia"/>
              </w:rPr>
              <w:t>方店</w:t>
            </w:r>
          </w:p>
        </w:tc>
        <w:tc>
          <w:tcPr>
            <w:tcW w:w="280" w:type="pct"/>
            <w:tcBorders>
              <w:top w:val="single" w:color="000000" w:sz="4" w:space="0"/>
              <w:left w:val="single" w:color="000000" w:sz="4" w:space="0"/>
              <w:bottom w:val="single" w:color="000000" w:sz="4" w:space="0"/>
              <w:right w:val="single" w:color="000000" w:sz="4" w:space="0"/>
            </w:tcBorders>
            <w:vAlign w:val="center"/>
          </w:tcPr>
          <w:p w14:paraId="0EEE705C">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760A08DD">
            <w:pPr>
              <w:pStyle w:val="28"/>
              <w:bidi w:val="0"/>
            </w:pPr>
            <w:r>
              <w:rPr>
                <w:rFonts w:hint="eastAsia"/>
              </w:rPr>
              <w:t>75</w:t>
            </w:r>
          </w:p>
        </w:tc>
        <w:tc>
          <w:tcPr>
            <w:tcW w:w="398" w:type="pct"/>
            <w:tcBorders>
              <w:top w:val="single" w:color="000000" w:sz="4" w:space="0"/>
              <w:left w:val="single" w:color="000000" w:sz="4" w:space="0"/>
              <w:bottom w:val="single" w:color="000000" w:sz="4" w:space="0"/>
              <w:right w:val="single" w:color="000000" w:sz="4" w:space="0"/>
            </w:tcBorders>
            <w:vAlign w:val="center"/>
          </w:tcPr>
          <w:p w14:paraId="53513ED9">
            <w:pPr>
              <w:pStyle w:val="28"/>
              <w:bidi w:val="0"/>
            </w:pPr>
            <w:r>
              <w:t>116.9631636</w:t>
            </w:r>
          </w:p>
        </w:tc>
        <w:tc>
          <w:tcPr>
            <w:tcW w:w="400" w:type="pct"/>
            <w:tcBorders>
              <w:top w:val="single" w:color="000000" w:sz="4" w:space="0"/>
              <w:left w:val="single" w:color="000000" w:sz="4" w:space="0"/>
              <w:bottom w:val="single" w:color="000000" w:sz="4" w:space="0"/>
              <w:right w:val="single" w:color="000000" w:sz="4" w:space="0"/>
            </w:tcBorders>
            <w:vAlign w:val="center"/>
          </w:tcPr>
          <w:p w14:paraId="37774077">
            <w:pPr>
              <w:pStyle w:val="28"/>
              <w:bidi w:val="0"/>
            </w:pPr>
            <w:r>
              <w:t>32.49605375</w:t>
            </w:r>
          </w:p>
        </w:tc>
        <w:tc>
          <w:tcPr>
            <w:tcW w:w="348" w:type="pct"/>
            <w:tcBorders>
              <w:top w:val="single" w:color="000000" w:sz="4" w:space="0"/>
              <w:left w:val="single" w:color="000000" w:sz="4" w:space="0"/>
              <w:bottom w:val="single" w:color="000000" w:sz="4" w:space="0"/>
              <w:right w:val="single" w:color="000000" w:sz="4" w:space="0"/>
            </w:tcBorders>
            <w:vAlign w:val="center"/>
          </w:tcPr>
          <w:p w14:paraId="2FFD66D1">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2EB75721">
            <w:pPr>
              <w:pStyle w:val="28"/>
              <w:bidi w:val="0"/>
            </w:pPr>
            <w:r>
              <w:rPr>
                <w:rFonts w:hint="eastAsia"/>
              </w:rPr>
              <w:t>1</w:t>
            </w:r>
          </w:p>
        </w:tc>
      </w:tr>
      <w:tr w14:paraId="339699BF">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165B43FC">
            <w:pPr>
              <w:pStyle w:val="28"/>
              <w:bidi w:val="0"/>
            </w:pPr>
            <w:r>
              <w:t>27</w:t>
            </w:r>
          </w:p>
        </w:tc>
        <w:tc>
          <w:tcPr>
            <w:tcW w:w="289" w:type="pct"/>
            <w:vMerge w:val="continue"/>
            <w:tcBorders>
              <w:left w:val="single" w:color="000000" w:sz="4" w:space="0"/>
              <w:right w:val="single" w:color="000000" w:sz="4" w:space="0"/>
            </w:tcBorders>
            <w:vAlign w:val="center"/>
          </w:tcPr>
          <w:p w14:paraId="5681DBA5">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1A5A50ED">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2E08F0C4">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5A335AAE">
            <w:pPr>
              <w:pStyle w:val="28"/>
              <w:bidi w:val="0"/>
            </w:pPr>
            <w:r>
              <w:rPr>
                <w:rFonts w:hint="eastAsia"/>
              </w:rPr>
              <w:t>二北干渠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6F5523AD">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45CD5FEA">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6F4BC939">
            <w:pPr>
              <w:pStyle w:val="28"/>
              <w:bidi w:val="0"/>
            </w:pPr>
            <w:r>
              <w:rPr>
                <w:rFonts w:hint="eastAsia"/>
              </w:rPr>
              <w:t>汤王村南</w:t>
            </w:r>
          </w:p>
        </w:tc>
        <w:tc>
          <w:tcPr>
            <w:tcW w:w="280" w:type="pct"/>
            <w:tcBorders>
              <w:top w:val="single" w:color="000000" w:sz="4" w:space="0"/>
              <w:left w:val="single" w:color="000000" w:sz="4" w:space="0"/>
              <w:bottom w:val="single" w:color="000000" w:sz="4" w:space="0"/>
              <w:right w:val="single" w:color="000000" w:sz="4" w:space="0"/>
            </w:tcBorders>
            <w:vAlign w:val="center"/>
          </w:tcPr>
          <w:p w14:paraId="617A64EC">
            <w:pPr>
              <w:pStyle w:val="28"/>
              <w:bidi w:val="0"/>
            </w:pPr>
            <w:r>
              <w:rPr>
                <w:rFonts w:hint="eastAsia"/>
              </w:rPr>
              <w:t>N</w:t>
            </w:r>
          </w:p>
        </w:tc>
        <w:tc>
          <w:tcPr>
            <w:tcW w:w="270" w:type="pct"/>
            <w:tcBorders>
              <w:top w:val="single" w:color="000000" w:sz="4" w:space="0"/>
              <w:left w:val="single" w:color="000000" w:sz="4" w:space="0"/>
              <w:bottom w:val="single" w:color="000000" w:sz="4" w:space="0"/>
              <w:right w:val="single" w:color="000000" w:sz="4" w:space="0"/>
            </w:tcBorders>
            <w:vAlign w:val="center"/>
          </w:tcPr>
          <w:p w14:paraId="0ADE9074">
            <w:pPr>
              <w:pStyle w:val="28"/>
              <w:bidi w:val="0"/>
            </w:pPr>
            <w:r>
              <w:rPr>
                <w:rFonts w:hint="eastAsia"/>
              </w:rPr>
              <w:t>53</w:t>
            </w:r>
          </w:p>
        </w:tc>
        <w:tc>
          <w:tcPr>
            <w:tcW w:w="398" w:type="pct"/>
            <w:tcBorders>
              <w:top w:val="single" w:color="000000" w:sz="4" w:space="0"/>
              <w:left w:val="single" w:color="000000" w:sz="4" w:space="0"/>
              <w:bottom w:val="single" w:color="000000" w:sz="4" w:space="0"/>
              <w:right w:val="single" w:color="000000" w:sz="4" w:space="0"/>
            </w:tcBorders>
            <w:vAlign w:val="center"/>
          </w:tcPr>
          <w:p w14:paraId="18547436">
            <w:pPr>
              <w:pStyle w:val="28"/>
              <w:bidi w:val="0"/>
            </w:pPr>
            <w:r>
              <w:t>116.9598806</w:t>
            </w:r>
          </w:p>
        </w:tc>
        <w:tc>
          <w:tcPr>
            <w:tcW w:w="400" w:type="pct"/>
            <w:tcBorders>
              <w:top w:val="single" w:color="000000" w:sz="4" w:space="0"/>
              <w:left w:val="single" w:color="000000" w:sz="4" w:space="0"/>
              <w:bottom w:val="single" w:color="000000" w:sz="4" w:space="0"/>
              <w:right w:val="single" w:color="000000" w:sz="4" w:space="0"/>
            </w:tcBorders>
            <w:vAlign w:val="center"/>
          </w:tcPr>
          <w:p w14:paraId="0B0B81E9">
            <w:pPr>
              <w:pStyle w:val="28"/>
              <w:bidi w:val="0"/>
            </w:pPr>
            <w:r>
              <w:t>32.49788163</w:t>
            </w:r>
          </w:p>
        </w:tc>
        <w:tc>
          <w:tcPr>
            <w:tcW w:w="348" w:type="pct"/>
            <w:tcBorders>
              <w:top w:val="single" w:color="000000" w:sz="4" w:space="0"/>
              <w:left w:val="single" w:color="000000" w:sz="4" w:space="0"/>
              <w:bottom w:val="single" w:color="000000" w:sz="4" w:space="0"/>
              <w:right w:val="single" w:color="000000" w:sz="4" w:space="0"/>
            </w:tcBorders>
            <w:vAlign w:val="center"/>
          </w:tcPr>
          <w:p w14:paraId="06C6C37E">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2C6644B6">
            <w:pPr>
              <w:pStyle w:val="28"/>
              <w:bidi w:val="0"/>
            </w:pPr>
            <w:r>
              <w:rPr>
                <w:rFonts w:hint="eastAsia"/>
              </w:rPr>
              <w:t>1</w:t>
            </w:r>
          </w:p>
        </w:tc>
      </w:tr>
      <w:tr w14:paraId="526B54C2">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25764D3F">
            <w:pPr>
              <w:pStyle w:val="28"/>
              <w:bidi w:val="0"/>
            </w:pPr>
            <w:r>
              <w:t>28</w:t>
            </w:r>
          </w:p>
        </w:tc>
        <w:tc>
          <w:tcPr>
            <w:tcW w:w="289" w:type="pct"/>
            <w:vMerge w:val="continue"/>
            <w:tcBorders>
              <w:left w:val="single" w:color="000000" w:sz="4" w:space="0"/>
              <w:right w:val="single" w:color="000000" w:sz="4" w:space="0"/>
            </w:tcBorders>
            <w:vAlign w:val="center"/>
          </w:tcPr>
          <w:p w14:paraId="081BEA7F">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5A5D960E">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0386A49C">
            <w:pPr>
              <w:pStyle w:val="28"/>
              <w:bidi w:val="0"/>
            </w:pPr>
            <w:r>
              <w:rPr>
                <w:rFonts w:hint="eastAsia"/>
              </w:rPr>
              <w:t>二引干渠</w:t>
            </w:r>
          </w:p>
        </w:tc>
        <w:tc>
          <w:tcPr>
            <w:tcW w:w="343" w:type="pct"/>
            <w:tcBorders>
              <w:top w:val="single" w:color="000000" w:sz="4" w:space="0"/>
              <w:left w:val="single" w:color="000000" w:sz="4" w:space="0"/>
              <w:bottom w:val="single" w:color="000000" w:sz="4" w:space="0"/>
              <w:right w:val="single" w:color="000000" w:sz="4" w:space="0"/>
            </w:tcBorders>
            <w:vAlign w:val="center"/>
          </w:tcPr>
          <w:p w14:paraId="6D9BF73B">
            <w:pPr>
              <w:pStyle w:val="28"/>
              <w:bidi w:val="0"/>
            </w:pPr>
            <w:r>
              <w:rPr>
                <w:rFonts w:hint="eastAsia"/>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385BBEE8">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02D1E81C">
            <w:pPr>
              <w:pStyle w:val="28"/>
              <w:bidi w:val="0"/>
            </w:pPr>
            <w:r>
              <w:rPr>
                <w:rFonts w:hint="eastAsia"/>
              </w:rPr>
              <w:t>清淤工程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2E1A8C91">
            <w:pPr>
              <w:pStyle w:val="28"/>
              <w:bidi w:val="0"/>
            </w:pPr>
            <w:r>
              <w:rPr>
                <w:rFonts w:hint="eastAsia"/>
              </w:rPr>
              <w:t>染房郢北</w:t>
            </w:r>
          </w:p>
        </w:tc>
        <w:tc>
          <w:tcPr>
            <w:tcW w:w="280" w:type="pct"/>
            <w:tcBorders>
              <w:top w:val="single" w:color="000000" w:sz="4" w:space="0"/>
              <w:left w:val="single" w:color="000000" w:sz="4" w:space="0"/>
              <w:bottom w:val="single" w:color="000000" w:sz="4" w:space="0"/>
              <w:right w:val="single" w:color="000000" w:sz="4" w:space="0"/>
            </w:tcBorders>
            <w:vAlign w:val="center"/>
          </w:tcPr>
          <w:p w14:paraId="63DD51E0">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52DA3EA1">
            <w:pPr>
              <w:pStyle w:val="28"/>
              <w:bidi w:val="0"/>
            </w:pPr>
            <w:r>
              <w:rPr>
                <w:rFonts w:hint="eastAsia"/>
              </w:rPr>
              <w:t>63</w:t>
            </w:r>
          </w:p>
        </w:tc>
        <w:tc>
          <w:tcPr>
            <w:tcW w:w="398" w:type="pct"/>
            <w:tcBorders>
              <w:top w:val="single" w:color="000000" w:sz="4" w:space="0"/>
              <w:left w:val="single" w:color="000000" w:sz="4" w:space="0"/>
              <w:bottom w:val="single" w:color="000000" w:sz="4" w:space="0"/>
              <w:right w:val="single" w:color="000000" w:sz="4" w:space="0"/>
            </w:tcBorders>
            <w:vAlign w:val="center"/>
          </w:tcPr>
          <w:p w14:paraId="57A898C0">
            <w:pPr>
              <w:pStyle w:val="28"/>
              <w:bidi w:val="0"/>
            </w:pPr>
            <w:r>
              <w:t>116.9546181</w:t>
            </w:r>
          </w:p>
        </w:tc>
        <w:tc>
          <w:tcPr>
            <w:tcW w:w="400" w:type="pct"/>
            <w:tcBorders>
              <w:top w:val="single" w:color="000000" w:sz="4" w:space="0"/>
              <w:left w:val="single" w:color="000000" w:sz="4" w:space="0"/>
              <w:bottom w:val="single" w:color="000000" w:sz="4" w:space="0"/>
              <w:right w:val="single" w:color="000000" w:sz="4" w:space="0"/>
            </w:tcBorders>
            <w:vAlign w:val="center"/>
          </w:tcPr>
          <w:p w14:paraId="12BF7702">
            <w:pPr>
              <w:pStyle w:val="28"/>
              <w:bidi w:val="0"/>
            </w:pPr>
            <w:r>
              <w:t>32.49047034</w:t>
            </w:r>
          </w:p>
        </w:tc>
        <w:tc>
          <w:tcPr>
            <w:tcW w:w="348" w:type="pct"/>
            <w:tcBorders>
              <w:top w:val="single" w:color="000000" w:sz="4" w:space="0"/>
              <w:left w:val="single" w:color="000000" w:sz="4" w:space="0"/>
              <w:bottom w:val="single" w:color="000000" w:sz="4" w:space="0"/>
              <w:right w:val="single" w:color="000000" w:sz="4" w:space="0"/>
            </w:tcBorders>
            <w:vAlign w:val="center"/>
          </w:tcPr>
          <w:p w14:paraId="2292AB4E">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0E1C5A2C">
            <w:pPr>
              <w:pStyle w:val="28"/>
              <w:bidi w:val="0"/>
            </w:pPr>
            <w:r>
              <w:rPr>
                <w:rFonts w:hint="eastAsia"/>
              </w:rPr>
              <w:t>1</w:t>
            </w:r>
          </w:p>
        </w:tc>
      </w:tr>
      <w:tr w14:paraId="6892F94B">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4C978A9C">
            <w:pPr>
              <w:pStyle w:val="28"/>
              <w:bidi w:val="0"/>
            </w:pPr>
            <w:r>
              <w:t>29</w:t>
            </w:r>
          </w:p>
        </w:tc>
        <w:tc>
          <w:tcPr>
            <w:tcW w:w="289" w:type="pct"/>
            <w:vMerge w:val="continue"/>
            <w:tcBorders>
              <w:left w:val="single" w:color="000000" w:sz="4" w:space="0"/>
              <w:right w:val="single" w:color="000000" w:sz="4" w:space="0"/>
            </w:tcBorders>
            <w:vAlign w:val="center"/>
          </w:tcPr>
          <w:p w14:paraId="29D184CC">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4C90AAA2">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3573E035">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5B895045">
            <w:pPr>
              <w:pStyle w:val="28"/>
              <w:bidi w:val="0"/>
            </w:pPr>
            <w:r>
              <w:rPr>
                <w:rFonts w:hint="eastAsia"/>
              </w:rPr>
              <w:t>一北干渠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70F6573C">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1878454E">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276E64C2">
            <w:pPr>
              <w:pStyle w:val="28"/>
              <w:bidi w:val="0"/>
            </w:pPr>
            <w:r>
              <w:rPr>
                <w:rFonts w:hint="eastAsia"/>
              </w:rPr>
              <w:t>朱岗村</w:t>
            </w:r>
          </w:p>
        </w:tc>
        <w:tc>
          <w:tcPr>
            <w:tcW w:w="280" w:type="pct"/>
            <w:tcBorders>
              <w:top w:val="single" w:color="000000" w:sz="4" w:space="0"/>
              <w:left w:val="single" w:color="000000" w:sz="4" w:space="0"/>
              <w:bottom w:val="single" w:color="000000" w:sz="4" w:space="0"/>
              <w:right w:val="single" w:color="000000" w:sz="4" w:space="0"/>
            </w:tcBorders>
            <w:vAlign w:val="center"/>
          </w:tcPr>
          <w:p w14:paraId="2F0F1503">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68063394">
            <w:pPr>
              <w:pStyle w:val="28"/>
              <w:bidi w:val="0"/>
            </w:pPr>
            <w:r>
              <w:rPr>
                <w:rFonts w:hint="eastAsia"/>
              </w:rPr>
              <w:t>57</w:t>
            </w:r>
          </w:p>
        </w:tc>
        <w:tc>
          <w:tcPr>
            <w:tcW w:w="398" w:type="pct"/>
            <w:tcBorders>
              <w:top w:val="single" w:color="000000" w:sz="4" w:space="0"/>
              <w:left w:val="single" w:color="000000" w:sz="4" w:space="0"/>
              <w:bottom w:val="single" w:color="000000" w:sz="4" w:space="0"/>
              <w:right w:val="single" w:color="000000" w:sz="4" w:space="0"/>
            </w:tcBorders>
            <w:vAlign w:val="center"/>
          </w:tcPr>
          <w:p w14:paraId="5A09D3E2">
            <w:pPr>
              <w:pStyle w:val="28"/>
              <w:bidi w:val="0"/>
            </w:pPr>
            <w:r>
              <w:t>116.9472742</w:t>
            </w:r>
          </w:p>
        </w:tc>
        <w:tc>
          <w:tcPr>
            <w:tcW w:w="400" w:type="pct"/>
            <w:tcBorders>
              <w:top w:val="single" w:color="000000" w:sz="4" w:space="0"/>
              <w:left w:val="single" w:color="000000" w:sz="4" w:space="0"/>
              <w:bottom w:val="single" w:color="000000" w:sz="4" w:space="0"/>
              <w:right w:val="single" w:color="000000" w:sz="4" w:space="0"/>
            </w:tcBorders>
            <w:vAlign w:val="center"/>
          </w:tcPr>
          <w:p w14:paraId="44EDD158">
            <w:pPr>
              <w:pStyle w:val="28"/>
              <w:bidi w:val="0"/>
            </w:pPr>
            <w:r>
              <w:t>32.49491357</w:t>
            </w:r>
          </w:p>
        </w:tc>
        <w:tc>
          <w:tcPr>
            <w:tcW w:w="348" w:type="pct"/>
            <w:tcBorders>
              <w:top w:val="single" w:color="000000" w:sz="4" w:space="0"/>
              <w:left w:val="single" w:color="000000" w:sz="4" w:space="0"/>
              <w:bottom w:val="single" w:color="000000" w:sz="4" w:space="0"/>
              <w:right w:val="single" w:color="000000" w:sz="4" w:space="0"/>
            </w:tcBorders>
            <w:vAlign w:val="center"/>
          </w:tcPr>
          <w:p w14:paraId="2F669080">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6BE36933">
            <w:pPr>
              <w:pStyle w:val="28"/>
              <w:bidi w:val="0"/>
            </w:pPr>
            <w:r>
              <w:rPr>
                <w:rFonts w:hint="eastAsia"/>
              </w:rPr>
              <w:t>1</w:t>
            </w:r>
          </w:p>
        </w:tc>
      </w:tr>
      <w:tr w14:paraId="08167FBE">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179E2505">
            <w:pPr>
              <w:pStyle w:val="28"/>
              <w:bidi w:val="0"/>
            </w:pPr>
            <w:r>
              <w:t>30</w:t>
            </w:r>
          </w:p>
        </w:tc>
        <w:tc>
          <w:tcPr>
            <w:tcW w:w="289" w:type="pct"/>
            <w:vMerge w:val="continue"/>
            <w:tcBorders>
              <w:left w:val="single" w:color="000000" w:sz="4" w:space="0"/>
              <w:right w:val="single" w:color="000000" w:sz="4" w:space="0"/>
            </w:tcBorders>
            <w:vAlign w:val="center"/>
          </w:tcPr>
          <w:p w14:paraId="62D908F5">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06D05701">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53E85188">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7EB965C8">
            <w:pPr>
              <w:pStyle w:val="28"/>
              <w:bidi w:val="0"/>
            </w:pPr>
            <w:r>
              <w:rPr>
                <w:rFonts w:hint="eastAsia"/>
              </w:rPr>
              <w:t>一东干渠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47C16AC4">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1FD94DE8">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4F783DCC">
            <w:pPr>
              <w:pStyle w:val="28"/>
              <w:bidi w:val="0"/>
            </w:pPr>
            <w:r>
              <w:rPr>
                <w:rFonts w:hint="eastAsia"/>
              </w:rPr>
              <w:t>金家岗</w:t>
            </w:r>
          </w:p>
        </w:tc>
        <w:tc>
          <w:tcPr>
            <w:tcW w:w="280" w:type="pct"/>
            <w:tcBorders>
              <w:top w:val="single" w:color="000000" w:sz="4" w:space="0"/>
              <w:left w:val="single" w:color="000000" w:sz="4" w:space="0"/>
              <w:bottom w:val="single" w:color="000000" w:sz="4" w:space="0"/>
              <w:right w:val="single" w:color="000000" w:sz="4" w:space="0"/>
            </w:tcBorders>
            <w:vAlign w:val="center"/>
          </w:tcPr>
          <w:p w14:paraId="52613344">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0971705F">
            <w:pPr>
              <w:pStyle w:val="28"/>
              <w:bidi w:val="0"/>
            </w:pPr>
            <w:r>
              <w:rPr>
                <w:rFonts w:hint="eastAsia"/>
              </w:rPr>
              <w:t>144</w:t>
            </w:r>
          </w:p>
        </w:tc>
        <w:tc>
          <w:tcPr>
            <w:tcW w:w="398" w:type="pct"/>
            <w:tcBorders>
              <w:top w:val="single" w:color="000000" w:sz="4" w:space="0"/>
              <w:left w:val="single" w:color="000000" w:sz="4" w:space="0"/>
              <w:bottom w:val="single" w:color="000000" w:sz="4" w:space="0"/>
              <w:right w:val="single" w:color="000000" w:sz="4" w:space="0"/>
            </w:tcBorders>
            <w:vAlign w:val="center"/>
          </w:tcPr>
          <w:p w14:paraId="16885F88">
            <w:pPr>
              <w:pStyle w:val="28"/>
              <w:bidi w:val="0"/>
            </w:pPr>
            <w:r>
              <w:t>116.940558</w:t>
            </w:r>
          </w:p>
        </w:tc>
        <w:tc>
          <w:tcPr>
            <w:tcW w:w="400" w:type="pct"/>
            <w:tcBorders>
              <w:top w:val="single" w:color="000000" w:sz="4" w:space="0"/>
              <w:left w:val="single" w:color="000000" w:sz="4" w:space="0"/>
              <w:bottom w:val="single" w:color="000000" w:sz="4" w:space="0"/>
              <w:right w:val="single" w:color="000000" w:sz="4" w:space="0"/>
            </w:tcBorders>
            <w:vAlign w:val="center"/>
          </w:tcPr>
          <w:p w14:paraId="356536A2">
            <w:pPr>
              <w:pStyle w:val="28"/>
              <w:bidi w:val="0"/>
            </w:pPr>
            <w:r>
              <w:t>32.48488658</w:t>
            </w:r>
          </w:p>
        </w:tc>
        <w:tc>
          <w:tcPr>
            <w:tcW w:w="348" w:type="pct"/>
            <w:tcBorders>
              <w:top w:val="single" w:color="000000" w:sz="4" w:space="0"/>
              <w:left w:val="single" w:color="000000" w:sz="4" w:space="0"/>
              <w:bottom w:val="single" w:color="000000" w:sz="4" w:space="0"/>
              <w:right w:val="single" w:color="000000" w:sz="4" w:space="0"/>
            </w:tcBorders>
            <w:vAlign w:val="center"/>
          </w:tcPr>
          <w:p w14:paraId="79CE8FEF">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292D4D8B">
            <w:pPr>
              <w:pStyle w:val="28"/>
              <w:bidi w:val="0"/>
            </w:pPr>
            <w:r>
              <w:rPr>
                <w:rFonts w:hint="eastAsia"/>
              </w:rPr>
              <w:t>1</w:t>
            </w:r>
          </w:p>
        </w:tc>
      </w:tr>
      <w:tr w14:paraId="226BB926">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7854B47A">
            <w:pPr>
              <w:pStyle w:val="28"/>
              <w:bidi w:val="0"/>
            </w:pPr>
            <w:r>
              <w:t>31</w:t>
            </w:r>
          </w:p>
        </w:tc>
        <w:tc>
          <w:tcPr>
            <w:tcW w:w="289" w:type="pct"/>
            <w:vMerge w:val="continue"/>
            <w:tcBorders>
              <w:left w:val="single" w:color="000000" w:sz="4" w:space="0"/>
              <w:right w:val="single" w:color="000000" w:sz="4" w:space="0"/>
            </w:tcBorders>
            <w:vAlign w:val="center"/>
          </w:tcPr>
          <w:p w14:paraId="1CF8BDD3">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46A8CAE4">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5A2ECED5">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642C6DCA">
            <w:pPr>
              <w:pStyle w:val="28"/>
              <w:bidi w:val="0"/>
            </w:pPr>
            <w:r>
              <w:rPr>
                <w:rFonts w:hint="eastAsia"/>
              </w:rPr>
              <w:t>一东干渠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55D55093">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27BAEEDC">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6AE8155D">
            <w:pPr>
              <w:pStyle w:val="28"/>
              <w:bidi w:val="0"/>
            </w:pPr>
            <w:r>
              <w:rPr>
                <w:rFonts w:hint="eastAsia"/>
              </w:rPr>
              <w:t>金小庄</w:t>
            </w:r>
          </w:p>
        </w:tc>
        <w:tc>
          <w:tcPr>
            <w:tcW w:w="280" w:type="pct"/>
            <w:tcBorders>
              <w:top w:val="single" w:color="000000" w:sz="4" w:space="0"/>
              <w:left w:val="single" w:color="000000" w:sz="4" w:space="0"/>
              <w:bottom w:val="single" w:color="000000" w:sz="4" w:space="0"/>
              <w:right w:val="single" w:color="000000" w:sz="4" w:space="0"/>
            </w:tcBorders>
            <w:vAlign w:val="center"/>
          </w:tcPr>
          <w:p w14:paraId="5B80E8A8">
            <w:pPr>
              <w:pStyle w:val="28"/>
              <w:bidi w:val="0"/>
            </w:pPr>
            <w:r>
              <w:rPr>
                <w:rFonts w:hint="eastAsia"/>
              </w:rPr>
              <w:t>W</w:t>
            </w:r>
          </w:p>
        </w:tc>
        <w:tc>
          <w:tcPr>
            <w:tcW w:w="270" w:type="pct"/>
            <w:tcBorders>
              <w:top w:val="single" w:color="000000" w:sz="4" w:space="0"/>
              <w:left w:val="single" w:color="000000" w:sz="4" w:space="0"/>
              <w:bottom w:val="single" w:color="000000" w:sz="4" w:space="0"/>
              <w:right w:val="single" w:color="000000" w:sz="4" w:space="0"/>
            </w:tcBorders>
            <w:vAlign w:val="center"/>
          </w:tcPr>
          <w:p w14:paraId="76A50FD7">
            <w:pPr>
              <w:pStyle w:val="28"/>
              <w:bidi w:val="0"/>
            </w:pPr>
            <w:r>
              <w:rPr>
                <w:rFonts w:hint="eastAsia"/>
              </w:rPr>
              <w:t>188</w:t>
            </w:r>
          </w:p>
        </w:tc>
        <w:tc>
          <w:tcPr>
            <w:tcW w:w="398" w:type="pct"/>
            <w:tcBorders>
              <w:top w:val="single" w:color="000000" w:sz="4" w:space="0"/>
              <w:left w:val="single" w:color="000000" w:sz="4" w:space="0"/>
              <w:bottom w:val="single" w:color="000000" w:sz="4" w:space="0"/>
              <w:right w:val="single" w:color="000000" w:sz="4" w:space="0"/>
            </w:tcBorders>
            <w:vAlign w:val="center"/>
          </w:tcPr>
          <w:p w14:paraId="0080D660">
            <w:pPr>
              <w:pStyle w:val="28"/>
              <w:bidi w:val="0"/>
            </w:pPr>
            <w:r>
              <w:t>116.9355047</w:t>
            </w:r>
          </w:p>
        </w:tc>
        <w:tc>
          <w:tcPr>
            <w:tcW w:w="400" w:type="pct"/>
            <w:tcBorders>
              <w:top w:val="single" w:color="000000" w:sz="4" w:space="0"/>
              <w:left w:val="single" w:color="000000" w:sz="4" w:space="0"/>
              <w:bottom w:val="single" w:color="000000" w:sz="4" w:space="0"/>
              <w:right w:val="single" w:color="000000" w:sz="4" w:space="0"/>
            </w:tcBorders>
            <w:vAlign w:val="center"/>
          </w:tcPr>
          <w:p w14:paraId="67F41F8B">
            <w:pPr>
              <w:pStyle w:val="28"/>
              <w:bidi w:val="0"/>
            </w:pPr>
            <w:r>
              <w:t>32.48435262</w:t>
            </w:r>
          </w:p>
        </w:tc>
        <w:tc>
          <w:tcPr>
            <w:tcW w:w="348" w:type="pct"/>
            <w:tcBorders>
              <w:top w:val="single" w:color="000000" w:sz="4" w:space="0"/>
              <w:left w:val="single" w:color="000000" w:sz="4" w:space="0"/>
              <w:bottom w:val="single" w:color="000000" w:sz="4" w:space="0"/>
              <w:right w:val="single" w:color="000000" w:sz="4" w:space="0"/>
            </w:tcBorders>
            <w:vAlign w:val="center"/>
          </w:tcPr>
          <w:p w14:paraId="3B2DE46E">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38375301">
            <w:pPr>
              <w:pStyle w:val="28"/>
              <w:bidi w:val="0"/>
            </w:pPr>
            <w:r>
              <w:rPr>
                <w:rFonts w:hint="eastAsia"/>
              </w:rPr>
              <w:t>1</w:t>
            </w:r>
          </w:p>
        </w:tc>
      </w:tr>
      <w:tr w14:paraId="2CC3BF22">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73E23737">
            <w:pPr>
              <w:pStyle w:val="28"/>
              <w:bidi w:val="0"/>
            </w:pPr>
            <w:r>
              <w:t>32</w:t>
            </w:r>
          </w:p>
        </w:tc>
        <w:tc>
          <w:tcPr>
            <w:tcW w:w="289" w:type="pct"/>
            <w:vMerge w:val="continue"/>
            <w:tcBorders>
              <w:left w:val="single" w:color="000000" w:sz="4" w:space="0"/>
              <w:right w:val="single" w:color="000000" w:sz="4" w:space="0"/>
            </w:tcBorders>
            <w:vAlign w:val="center"/>
          </w:tcPr>
          <w:p w14:paraId="44F8E284">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38A05AB5">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74F7EA02">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2F71BF99">
            <w:pPr>
              <w:pStyle w:val="28"/>
              <w:bidi w:val="0"/>
            </w:pPr>
            <w: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3B7B8DB7">
            <w:pPr>
              <w:pStyle w:val="28"/>
              <w:bidi w:val="0"/>
            </w:pPr>
            <w:r>
              <w:rPr>
                <w:rFonts w:hint="eastAsia"/>
              </w:rPr>
              <w:t>染坊支渠</w:t>
            </w:r>
          </w:p>
        </w:tc>
        <w:tc>
          <w:tcPr>
            <w:tcW w:w="813" w:type="pct"/>
            <w:tcBorders>
              <w:top w:val="single" w:color="000000" w:sz="4" w:space="0"/>
              <w:left w:val="single" w:color="000000" w:sz="4" w:space="0"/>
              <w:bottom w:val="single" w:color="000000" w:sz="4" w:space="0"/>
              <w:right w:val="single" w:color="000000" w:sz="4" w:space="0"/>
            </w:tcBorders>
            <w:vAlign w:val="center"/>
          </w:tcPr>
          <w:p w14:paraId="5FFA513E">
            <w:pPr>
              <w:pStyle w:val="28"/>
              <w:bidi w:val="0"/>
            </w:pPr>
            <w:r>
              <w:rPr>
                <w:rFonts w:hint="eastAsia"/>
              </w:rPr>
              <w:t>清淤工程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2EC48976">
            <w:pPr>
              <w:pStyle w:val="28"/>
              <w:bidi w:val="0"/>
            </w:pPr>
            <w:r>
              <w:rPr>
                <w:rFonts w:hint="eastAsia"/>
              </w:rPr>
              <w:t>前郢（南）</w:t>
            </w:r>
          </w:p>
        </w:tc>
        <w:tc>
          <w:tcPr>
            <w:tcW w:w="280" w:type="pct"/>
            <w:tcBorders>
              <w:top w:val="single" w:color="000000" w:sz="4" w:space="0"/>
              <w:left w:val="single" w:color="000000" w:sz="4" w:space="0"/>
              <w:bottom w:val="single" w:color="000000" w:sz="4" w:space="0"/>
              <w:right w:val="single" w:color="000000" w:sz="4" w:space="0"/>
            </w:tcBorders>
            <w:vAlign w:val="center"/>
          </w:tcPr>
          <w:p w14:paraId="5802C880">
            <w:pPr>
              <w:pStyle w:val="28"/>
              <w:bidi w:val="0"/>
            </w:pPr>
            <w:r>
              <w:rPr>
                <w:rFonts w:hint="eastAsia"/>
              </w:rPr>
              <w:t>W</w:t>
            </w:r>
          </w:p>
        </w:tc>
        <w:tc>
          <w:tcPr>
            <w:tcW w:w="270" w:type="pct"/>
            <w:tcBorders>
              <w:top w:val="single" w:color="000000" w:sz="4" w:space="0"/>
              <w:left w:val="single" w:color="000000" w:sz="4" w:space="0"/>
              <w:bottom w:val="single" w:color="000000" w:sz="4" w:space="0"/>
              <w:right w:val="single" w:color="000000" w:sz="4" w:space="0"/>
            </w:tcBorders>
            <w:vAlign w:val="center"/>
          </w:tcPr>
          <w:p w14:paraId="0C0C3CCC">
            <w:pPr>
              <w:pStyle w:val="28"/>
              <w:bidi w:val="0"/>
            </w:pPr>
            <w:r>
              <w:rPr>
                <w:rFonts w:hint="eastAsia"/>
              </w:rPr>
              <w:t>101</w:t>
            </w:r>
          </w:p>
        </w:tc>
        <w:tc>
          <w:tcPr>
            <w:tcW w:w="398" w:type="pct"/>
            <w:tcBorders>
              <w:top w:val="single" w:color="000000" w:sz="4" w:space="0"/>
              <w:left w:val="single" w:color="000000" w:sz="4" w:space="0"/>
              <w:bottom w:val="single" w:color="000000" w:sz="4" w:space="0"/>
              <w:right w:val="single" w:color="000000" w:sz="4" w:space="0"/>
            </w:tcBorders>
            <w:vAlign w:val="center"/>
          </w:tcPr>
          <w:p w14:paraId="649043CC">
            <w:pPr>
              <w:pStyle w:val="28"/>
              <w:bidi w:val="0"/>
            </w:pPr>
            <w:r>
              <w:t>116.9482827</w:t>
            </w:r>
          </w:p>
        </w:tc>
        <w:tc>
          <w:tcPr>
            <w:tcW w:w="400" w:type="pct"/>
            <w:tcBorders>
              <w:top w:val="single" w:color="000000" w:sz="4" w:space="0"/>
              <w:left w:val="single" w:color="000000" w:sz="4" w:space="0"/>
              <w:bottom w:val="single" w:color="000000" w:sz="4" w:space="0"/>
              <w:right w:val="single" w:color="000000" w:sz="4" w:space="0"/>
            </w:tcBorders>
            <w:vAlign w:val="center"/>
          </w:tcPr>
          <w:p w14:paraId="70A8912D">
            <w:pPr>
              <w:pStyle w:val="28"/>
              <w:bidi w:val="0"/>
            </w:pPr>
            <w:r>
              <w:t>32.47923008</w:t>
            </w:r>
          </w:p>
        </w:tc>
        <w:tc>
          <w:tcPr>
            <w:tcW w:w="348" w:type="pct"/>
            <w:tcBorders>
              <w:top w:val="single" w:color="000000" w:sz="4" w:space="0"/>
              <w:left w:val="single" w:color="000000" w:sz="4" w:space="0"/>
              <w:bottom w:val="single" w:color="000000" w:sz="4" w:space="0"/>
              <w:right w:val="single" w:color="000000" w:sz="4" w:space="0"/>
            </w:tcBorders>
            <w:vAlign w:val="center"/>
          </w:tcPr>
          <w:p w14:paraId="68ECE728">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5A8B8DB4">
            <w:pPr>
              <w:pStyle w:val="28"/>
              <w:bidi w:val="0"/>
            </w:pPr>
            <w:r>
              <w:rPr>
                <w:rFonts w:hint="eastAsia"/>
              </w:rPr>
              <w:t>1</w:t>
            </w:r>
          </w:p>
        </w:tc>
      </w:tr>
      <w:tr w14:paraId="22172CA8">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1C3E5CBB">
            <w:pPr>
              <w:pStyle w:val="28"/>
              <w:bidi w:val="0"/>
            </w:pPr>
            <w:r>
              <w:t>33</w:t>
            </w:r>
          </w:p>
        </w:tc>
        <w:tc>
          <w:tcPr>
            <w:tcW w:w="289" w:type="pct"/>
            <w:vMerge w:val="continue"/>
            <w:tcBorders>
              <w:left w:val="single" w:color="000000" w:sz="4" w:space="0"/>
              <w:right w:val="single" w:color="000000" w:sz="4" w:space="0"/>
            </w:tcBorders>
            <w:vAlign w:val="center"/>
          </w:tcPr>
          <w:p w14:paraId="699219D2">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015A4C03">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52B8D39A">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42B64E00">
            <w:pPr>
              <w:pStyle w:val="28"/>
              <w:bidi w:val="0"/>
            </w:pPr>
            <w:r>
              <w:rPr>
                <w:rFonts w:hint="eastAsia"/>
              </w:rPr>
              <w:t>一东干渠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28A0D666">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3B1BC853">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17D88FCF">
            <w:pPr>
              <w:pStyle w:val="28"/>
              <w:bidi w:val="0"/>
            </w:pPr>
            <w:r>
              <w:rPr>
                <w:rFonts w:hint="eastAsia"/>
              </w:rPr>
              <w:t>宋湖</w:t>
            </w:r>
          </w:p>
        </w:tc>
        <w:tc>
          <w:tcPr>
            <w:tcW w:w="280" w:type="pct"/>
            <w:tcBorders>
              <w:top w:val="single" w:color="000000" w:sz="4" w:space="0"/>
              <w:left w:val="single" w:color="000000" w:sz="4" w:space="0"/>
              <w:bottom w:val="single" w:color="000000" w:sz="4" w:space="0"/>
              <w:right w:val="single" w:color="000000" w:sz="4" w:space="0"/>
            </w:tcBorders>
            <w:vAlign w:val="center"/>
          </w:tcPr>
          <w:p w14:paraId="0A7ADF04">
            <w:pPr>
              <w:pStyle w:val="28"/>
              <w:bidi w:val="0"/>
            </w:pPr>
            <w:r>
              <w:rPr>
                <w:rFonts w:hint="eastAsia"/>
              </w:rPr>
              <w:t>N</w:t>
            </w:r>
          </w:p>
        </w:tc>
        <w:tc>
          <w:tcPr>
            <w:tcW w:w="270" w:type="pct"/>
            <w:tcBorders>
              <w:top w:val="single" w:color="000000" w:sz="4" w:space="0"/>
              <w:left w:val="single" w:color="000000" w:sz="4" w:space="0"/>
              <w:bottom w:val="single" w:color="000000" w:sz="4" w:space="0"/>
              <w:right w:val="single" w:color="000000" w:sz="4" w:space="0"/>
            </w:tcBorders>
            <w:vAlign w:val="center"/>
          </w:tcPr>
          <w:p w14:paraId="14BB1688">
            <w:pPr>
              <w:pStyle w:val="28"/>
              <w:bidi w:val="0"/>
            </w:pPr>
            <w:r>
              <w:rPr>
                <w:rFonts w:hint="eastAsia"/>
              </w:rPr>
              <w:t>69</w:t>
            </w:r>
          </w:p>
        </w:tc>
        <w:tc>
          <w:tcPr>
            <w:tcW w:w="398" w:type="pct"/>
            <w:tcBorders>
              <w:top w:val="single" w:color="000000" w:sz="4" w:space="0"/>
              <w:left w:val="single" w:color="000000" w:sz="4" w:space="0"/>
              <w:bottom w:val="single" w:color="000000" w:sz="4" w:space="0"/>
              <w:right w:val="single" w:color="000000" w:sz="4" w:space="0"/>
            </w:tcBorders>
            <w:vAlign w:val="center"/>
          </w:tcPr>
          <w:p w14:paraId="4AB3DE9F">
            <w:pPr>
              <w:pStyle w:val="28"/>
              <w:bidi w:val="0"/>
            </w:pPr>
            <w:r>
              <w:t>116.9355691</w:t>
            </w:r>
          </w:p>
        </w:tc>
        <w:tc>
          <w:tcPr>
            <w:tcW w:w="400" w:type="pct"/>
            <w:tcBorders>
              <w:top w:val="single" w:color="000000" w:sz="4" w:space="0"/>
              <w:left w:val="single" w:color="000000" w:sz="4" w:space="0"/>
              <w:bottom w:val="single" w:color="000000" w:sz="4" w:space="0"/>
              <w:right w:val="single" w:color="000000" w:sz="4" w:space="0"/>
            </w:tcBorders>
            <w:vAlign w:val="center"/>
          </w:tcPr>
          <w:p w14:paraId="3713676F">
            <w:pPr>
              <w:pStyle w:val="28"/>
              <w:bidi w:val="0"/>
            </w:pPr>
            <w:r>
              <w:t>32.47966451</w:t>
            </w:r>
          </w:p>
        </w:tc>
        <w:tc>
          <w:tcPr>
            <w:tcW w:w="348" w:type="pct"/>
            <w:tcBorders>
              <w:top w:val="single" w:color="000000" w:sz="4" w:space="0"/>
              <w:left w:val="single" w:color="000000" w:sz="4" w:space="0"/>
              <w:bottom w:val="single" w:color="000000" w:sz="4" w:space="0"/>
              <w:right w:val="single" w:color="000000" w:sz="4" w:space="0"/>
            </w:tcBorders>
            <w:vAlign w:val="center"/>
          </w:tcPr>
          <w:p w14:paraId="761280B9">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4B961E05">
            <w:pPr>
              <w:pStyle w:val="28"/>
              <w:bidi w:val="0"/>
            </w:pPr>
            <w:r>
              <w:rPr>
                <w:rFonts w:hint="eastAsia"/>
              </w:rPr>
              <w:t>1</w:t>
            </w:r>
          </w:p>
        </w:tc>
      </w:tr>
      <w:tr w14:paraId="6D676548">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5E05B187">
            <w:pPr>
              <w:pStyle w:val="28"/>
              <w:bidi w:val="0"/>
            </w:pPr>
            <w:r>
              <w:t>34</w:t>
            </w:r>
          </w:p>
        </w:tc>
        <w:tc>
          <w:tcPr>
            <w:tcW w:w="289" w:type="pct"/>
            <w:vMerge w:val="continue"/>
            <w:tcBorders>
              <w:left w:val="single" w:color="000000" w:sz="4" w:space="0"/>
              <w:right w:val="single" w:color="000000" w:sz="4" w:space="0"/>
            </w:tcBorders>
            <w:vAlign w:val="center"/>
          </w:tcPr>
          <w:p w14:paraId="13A72F94">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6D5A0419">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4C6A1F50">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7A8EDDD1">
            <w:pPr>
              <w:pStyle w:val="28"/>
              <w:bidi w:val="0"/>
            </w:pPr>
            <w:r>
              <w:rPr>
                <w:rFonts w:hint="eastAsia"/>
              </w:rPr>
              <w:t>一东干渠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42A53DDE">
            <w:pPr>
              <w:pStyle w:val="28"/>
              <w:bidi w:val="0"/>
            </w:pPr>
            <w: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03D926C3">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56932B80">
            <w:pPr>
              <w:pStyle w:val="28"/>
              <w:bidi w:val="0"/>
            </w:pPr>
            <w:r>
              <w:rPr>
                <w:rFonts w:hint="eastAsia"/>
              </w:rPr>
              <w:t>杨郢村南</w:t>
            </w:r>
          </w:p>
        </w:tc>
        <w:tc>
          <w:tcPr>
            <w:tcW w:w="280" w:type="pct"/>
            <w:tcBorders>
              <w:top w:val="single" w:color="000000" w:sz="4" w:space="0"/>
              <w:left w:val="single" w:color="000000" w:sz="4" w:space="0"/>
              <w:bottom w:val="single" w:color="000000" w:sz="4" w:space="0"/>
              <w:right w:val="single" w:color="000000" w:sz="4" w:space="0"/>
            </w:tcBorders>
            <w:vAlign w:val="center"/>
          </w:tcPr>
          <w:p w14:paraId="466AF137">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23230C82">
            <w:pPr>
              <w:pStyle w:val="28"/>
              <w:bidi w:val="0"/>
            </w:pPr>
            <w:r>
              <w:rPr>
                <w:rFonts w:hint="eastAsia"/>
              </w:rPr>
              <w:t>74</w:t>
            </w:r>
          </w:p>
        </w:tc>
        <w:tc>
          <w:tcPr>
            <w:tcW w:w="398" w:type="pct"/>
            <w:tcBorders>
              <w:top w:val="single" w:color="000000" w:sz="4" w:space="0"/>
              <w:left w:val="single" w:color="000000" w:sz="4" w:space="0"/>
              <w:bottom w:val="single" w:color="000000" w:sz="4" w:space="0"/>
              <w:right w:val="single" w:color="000000" w:sz="4" w:space="0"/>
            </w:tcBorders>
            <w:vAlign w:val="center"/>
          </w:tcPr>
          <w:p w14:paraId="759F4C56">
            <w:pPr>
              <w:pStyle w:val="28"/>
              <w:bidi w:val="0"/>
            </w:pPr>
            <w:r>
              <w:t>116.9363415</w:t>
            </w:r>
          </w:p>
        </w:tc>
        <w:tc>
          <w:tcPr>
            <w:tcW w:w="400" w:type="pct"/>
            <w:tcBorders>
              <w:top w:val="single" w:color="000000" w:sz="4" w:space="0"/>
              <w:left w:val="single" w:color="000000" w:sz="4" w:space="0"/>
              <w:bottom w:val="single" w:color="000000" w:sz="4" w:space="0"/>
              <w:right w:val="single" w:color="000000" w:sz="4" w:space="0"/>
            </w:tcBorders>
            <w:vAlign w:val="center"/>
          </w:tcPr>
          <w:p w14:paraId="1FD99EA8">
            <w:pPr>
              <w:pStyle w:val="28"/>
              <w:bidi w:val="0"/>
            </w:pPr>
            <w:r>
              <w:t>32.4726364</w:t>
            </w:r>
          </w:p>
        </w:tc>
        <w:tc>
          <w:tcPr>
            <w:tcW w:w="348" w:type="pct"/>
            <w:tcBorders>
              <w:top w:val="single" w:color="000000" w:sz="4" w:space="0"/>
              <w:left w:val="single" w:color="000000" w:sz="4" w:space="0"/>
              <w:bottom w:val="single" w:color="000000" w:sz="4" w:space="0"/>
              <w:right w:val="single" w:color="000000" w:sz="4" w:space="0"/>
            </w:tcBorders>
            <w:vAlign w:val="center"/>
          </w:tcPr>
          <w:p w14:paraId="77BB2A87">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5D48ED93">
            <w:pPr>
              <w:pStyle w:val="28"/>
              <w:bidi w:val="0"/>
            </w:pPr>
            <w:r>
              <w:rPr>
                <w:rFonts w:hint="eastAsia"/>
              </w:rPr>
              <w:t>1</w:t>
            </w:r>
          </w:p>
        </w:tc>
      </w:tr>
      <w:tr w14:paraId="0641DA62">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59DA5A3A">
            <w:pPr>
              <w:pStyle w:val="28"/>
              <w:bidi w:val="0"/>
            </w:pPr>
            <w:r>
              <w:t>35</w:t>
            </w:r>
          </w:p>
        </w:tc>
        <w:tc>
          <w:tcPr>
            <w:tcW w:w="289" w:type="pct"/>
            <w:vMerge w:val="continue"/>
            <w:tcBorders>
              <w:left w:val="single" w:color="000000" w:sz="4" w:space="0"/>
              <w:right w:val="single" w:color="000000" w:sz="4" w:space="0"/>
            </w:tcBorders>
            <w:vAlign w:val="center"/>
          </w:tcPr>
          <w:p w14:paraId="13F8FAFA">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24EE1CCB">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2A288940">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3BD94BFF">
            <w:pPr>
              <w:pStyle w:val="28"/>
              <w:bidi w:val="0"/>
            </w:pPr>
            <w:r>
              <w:rPr>
                <w:rFonts w:hint="eastAsia"/>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4813EDF3">
            <w:pPr>
              <w:pStyle w:val="28"/>
              <w:bidi w:val="0"/>
            </w:pPr>
            <w:r>
              <w:rPr>
                <w:rFonts w:hint="eastAsia"/>
              </w:rPr>
              <w:t>染坊支渠</w:t>
            </w:r>
          </w:p>
        </w:tc>
        <w:tc>
          <w:tcPr>
            <w:tcW w:w="813" w:type="pct"/>
            <w:tcBorders>
              <w:top w:val="single" w:color="000000" w:sz="4" w:space="0"/>
              <w:left w:val="single" w:color="000000" w:sz="4" w:space="0"/>
              <w:bottom w:val="single" w:color="000000" w:sz="4" w:space="0"/>
              <w:right w:val="single" w:color="000000" w:sz="4" w:space="0"/>
            </w:tcBorders>
            <w:vAlign w:val="center"/>
          </w:tcPr>
          <w:p w14:paraId="0C7713C9">
            <w:pPr>
              <w:pStyle w:val="28"/>
              <w:bidi w:val="0"/>
            </w:pPr>
            <w:r>
              <w:rPr>
                <w:rFonts w:hint="eastAsia"/>
              </w:rPr>
              <w:t>清淤工程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51203B46">
            <w:pPr>
              <w:pStyle w:val="28"/>
              <w:bidi w:val="0"/>
            </w:pPr>
            <w:r>
              <w:rPr>
                <w:rFonts w:hint="eastAsia"/>
              </w:rPr>
              <w:t>朱集镇区</w:t>
            </w:r>
          </w:p>
        </w:tc>
        <w:tc>
          <w:tcPr>
            <w:tcW w:w="280" w:type="pct"/>
            <w:tcBorders>
              <w:top w:val="single" w:color="000000" w:sz="4" w:space="0"/>
              <w:left w:val="single" w:color="000000" w:sz="4" w:space="0"/>
              <w:bottom w:val="single" w:color="000000" w:sz="4" w:space="0"/>
              <w:right w:val="single" w:color="000000" w:sz="4" w:space="0"/>
            </w:tcBorders>
            <w:vAlign w:val="center"/>
          </w:tcPr>
          <w:p w14:paraId="73831EEF">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3B293A8B">
            <w:pPr>
              <w:pStyle w:val="28"/>
              <w:bidi w:val="0"/>
            </w:pPr>
            <w:r>
              <w:rPr>
                <w:rFonts w:hint="eastAsia"/>
              </w:rPr>
              <w:t>63</w:t>
            </w:r>
          </w:p>
        </w:tc>
        <w:tc>
          <w:tcPr>
            <w:tcW w:w="398" w:type="pct"/>
            <w:tcBorders>
              <w:top w:val="single" w:color="000000" w:sz="4" w:space="0"/>
              <w:left w:val="single" w:color="000000" w:sz="4" w:space="0"/>
              <w:bottom w:val="single" w:color="000000" w:sz="4" w:space="0"/>
              <w:right w:val="single" w:color="000000" w:sz="4" w:space="0"/>
            </w:tcBorders>
            <w:vAlign w:val="center"/>
          </w:tcPr>
          <w:p w14:paraId="529E97E8">
            <w:pPr>
              <w:pStyle w:val="28"/>
              <w:bidi w:val="0"/>
            </w:pPr>
            <w:r>
              <w:t>116.9537544</w:t>
            </w:r>
          </w:p>
        </w:tc>
        <w:tc>
          <w:tcPr>
            <w:tcW w:w="400" w:type="pct"/>
            <w:tcBorders>
              <w:top w:val="single" w:color="000000" w:sz="4" w:space="0"/>
              <w:left w:val="single" w:color="000000" w:sz="4" w:space="0"/>
              <w:bottom w:val="single" w:color="000000" w:sz="4" w:space="0"/>
              <w:right w:val="single" w:color="000000" w:sz="4" w:space="0"/>
            </w:tcBorders>
            <w:vAlign w:val="center"/>
          </w:tcPr>
          <w:p w14:paraId="0114D945">
            <w:pPr>
              <w:pStyle w:val="28"/>
              <w:bidi w:val="0"/>
            </w:pPr>
            <w:r>
              <w:t>32.47491279</w:t>
            </w:r>
          </w:p>
        </w:tc>
        <w:tc>
          <w:tcPr>
            <w:tcW w:w="348" w:type="pct"/>
            <w:tcBorders>
              <w:top w:val="single" w:color="000000" w:sz="4" w:space="0"/>
              <w:left w:val="single" w:color="000000" w:sz="4" w:space="0"/>
              <w:bottom w:val="single" w:color="000000" w:sz="4" w:space="0"/>
              <w:right w:val="single" w:color="000000" w:sz="4" w:space="0"/>
            </w:tcBorders>
            <w:vAlign w:val="center"/>
          </w:tcPr>
          <w:p w14:paraId="7D6178CB">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257C25CC">
            <w:pPr>
              <w:pStyle w:val="28"/>
              <w:bidi w:val="0"/>
            </w:pPr>
            <w:r>
              <w:rPr>
                <w:rFonts w:hint="eastAsia"/>
              </w:rPr>
              <w:t>2</w:t>
            </w:r>
          </w:p>
        </w:tc>
      </w:tr>
      <w:tr w14:paraId="63B83DDA">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0F9C62F8">
            <w:pPr>
              <w:pStyle w:val="28"/>
              <w:bidi w:val="0"/>
            </w:pPr>
            <w:r>
              <w:t>36</w:t>
            </w:r>
          </w:p>
        </w:tc>
        <w:tc>
          <w:tcPr>
            <w:tcW w:w="289" w:type="pct"/>
            <w:vMerge w:val="continue"/>
            <w:tcBorders>
              <w:left w:val="single" w:color="000000" w:sz="4" w:space="0"/>
              <w:right w:val="single" w:color="000000" w:sz="4" w:space="0"/>
            </w:tcBorders>
            <w:vAlign w:val="center"/>
          </w:tcPr>
          <w:p w14:paraId="071D8B59">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4C94EF04">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74B59E61">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37EA9284">
            <w:pPr>
              <w:pStyle w:val="28"/>
              <w:bidi w:val="0"/>
            </w:pPr>
            <w: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0ABEE001">
            <w:pPr>
              <w:pStyle w:val="28"/>
              <w:bidi w:val="0"/>
            </w:pPr>
            <w:r>
              <w:rPr>
                <w:rFonts w:hint="eastAsia"/>
              </w:rPr>
              <w:t>染坊支渠</w:t>
            </w:r>
          </w:p>
        </w:tc>
        <w:tc>
          <w:tcPr>
            <w:tcW w:w="813" w:type="pct"/>
            <w:tcBorders>
              <w:top w:val="single" w:color="000000" w:sz="4" w:space="0"/>
              <w:left w:val="single" w:color="000000" w:sz="4" w:space="0"/>
              <w:bottom w:val="single" w:color="000000" w:sz="4" w:space="0"/>
              <w:right w:val="single" w:color="000000" w:sz="4" w:space="0"/>
            </w:tcBorders>
            <w:vAlign w:val="center"/>
          </w:tcPr>
          <w:p w14:paraId="194A313A">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00238B7A">
            <w:pPr>
              <w:pStyle w:val="28"/>
              <w:bidi w:val="0"/>
            </w:pPr>
            <w:r>
              <w:rPr>
                <w:rFonts w:hint="eastAsia"/>
              </w:rPr>
              <w:t>朱集村</w:t>
            </w:r>
          </w:p>
        </w:tc>
        <w:tc>
          <w:tcPr>
            <w:tcW w:w="280" w:type="pct"/>
            <w:tcBorders>
              <w:top w:val="single" w:color="000000" w:sz="4" w:space="0"/>
              <w:left w:val="single" w:color="000000" w:sz="4" w:space="0"/>
              <w:bottom w:val="single" w:color="000000" w:sz="4" w:space="0"/>
              <w:right w:val="single" w:color="000000" w:sz="4" w:space="0"/>
            </w:tcBorders>
            <w:vAlign w:val="center"/>
          </w:tcPr>
          <w:p w14:paraId="5441594B">
            <w:pPr>
              <w:pStyle w:val="28"/>
              <w:bidi w:val="0"/>
            </w:pPr>
            <w:r>
              <w:rPr>
                <w:rFonts w:hint="eastAsia"/>
              </w:rPr>
              <w:t>SE</w:t>
            </w:r>
          </w:p>
        </w:tc>
        <w:tc>
          <w:tcPr>
            <w:tcW w:w="270" w:type="pct"/>
            <w:tcBorders>
              <w:top w:val="single" w:color="000000" w:sz="4" w:space="0"/>
              <w:left w:val="single" w:color="000000" w:sz="4" w:space="0"/>
              <w:bottom w:val="single" w:color="000000" w:sz="4" w:space="0"/>
              <w:right w:val="single" w:color="000000" w:sz="4" w:space="0"/>
            </w:tcBorders>
            <w:vAlign w:val="center"/>
          </w:tcPr>
          <w:p w14:paraId="4C192B07">
            <w:pPr>
              <w:pStyle w:val="28"/>
              <w:bidi w:val="0"/>
            </w:pPr>
            <w:r>
              <w:rPr>
                <w:rFonts w:hint="eastAsia"/>
              </w:rPr>
              <w:t>40</w:t>
            </w:r>
          </w:p>
        </w:tc>
        <w:tc>
          <w:tcPr>
            <w:tcW w:w="398" w:type="pct"/>
            <w:tcBorders>
              <w:top w:val="single" w:color="000000" w:sz="4" w:space="0"/>
              <w:left w:val="single" w:color="000000" w:sz="4" w:space="0"/>
              <w:bottom w:val="single" w:color="000000" w:sz="4" w:space="0"/>
              <w:right w:val="single" w:color="000000" w:sz="4" w:space="0"/>
            </w:tcBorders>
            <w:vAlign w:val="center"/>
          </w:tcPr>
          <w:p w14:paraId="3EDAAAAF">
            <w:pPr>
              <w:pStyle w:val="28"/>
              <w:bidi w:val="0"/>
            </w:pPr>
            <w:r>
              <w:t>116.956088</w:t>
            </w:r>
          </w:p>
        </w:tc>
        <w:tc>
          <w:tcPr>
            <w:tcW w:w="400" w:type="pct"/>
            <w:tcBorders>
              <w:top w:val="single" w:color="000000" w:sz="4" w:space="0"/>
              <w:left w:val="single" w:color="000000" w:sz="4" w:space="0"/>
              <w:bottom w:val="single" w:color="000000" w:sz="4" w:space="0"/>
              <w:right w:val="single" w:color="000000" w:sz="4" w:space="0"/>
            </w:tcBorders>
            <w:vAlign w:val="center"/>
          </w:tcPr>
          <w:p w14:paraId="0447BF41">
            <w:pPr>
              <w:pStyle w:val="28"/>
              <w:bidi w:val="0"/>
            </w:pPr>
            <w:r>
              <w:t>32.47038258</w:t>
            </w:r>
          </w:p>
        </w:tc>
        <w:tc>
          <w:tcPr>
            <w:tcW w:w="348" w:type="pct"/>
            <w:tcBorders>
              <w:top w:val="single" w:color="000000" w:sz="4" w:space="0"/>
              <w:left w:val="single" w:color="000000" w:sz="4" w:space="0"/>
              <w:bottom w:val="single" w:color="000000" w:sz="4" w:space="0"/>
              <w:right w:val="single" w:color="000000" w:sz="4" w:space="0"/>
            </w:tcBorders>
            <w:vAlign w:val="center"/>
          </w:tcPr>
          <w:p w14:paraId="788E3FDD">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123784E9">
            <w:pPr>
              <w:pStyle w:val="28"/>
              <w:bidi w:val="0"/>
            </w:pPr>
            <w:r>
              <w:rPr>
                <w:rFonts w:hint="eastAsia"/>
              </w:rPr>
              <w:t>1</w:t>
            </w:r>
          </w:p>
        </w:tc>
      </w:tr>
      <w:tr w14:paraId="76B43E0A">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417B5CEA">
            <w:pPr>
              <w:pStyle w:val="28"/>
              <w:bidi w:val="0"/>
            </w:pPr>
            <w:r>
              <w:t>37</w:t>
            </w:r>
          </w:p>
        </w:tc>
        <w:tc>
          <w:tcPr>
            <w:tcW w:w="289" w:type="pct"/>
            <w:vMerge w:val="continue"/>
            <w:tcBorders>
              <w:left w:val="single" w:color="000000" w:sz="4" w:space="0"/>
              <w:right w:val="single" w:color="000000" w:sz="4" w:space="0"/>
            </w:tcBorders>
            <w:vAlign w:val="center"/>
          </w:tcPr>
          <w:p w14:paraId="55D20ECE">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65D65027">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746CA96E">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6F1C1E7C">
            <w:pPr>
              <w:pStyle w:val="28"/>
              <w:bidi w:val="0"/>
            </w:pPr>
            <w: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28DF9437">
            <w:pPr>
              <w:pStyle w:val="28"/>
              <w:bidi w:val="0"/>
            </w:pPr>
            <w:r>
              <w:rPr>
                <w:rFonts w:hint="eastAsia"/>
              </w:rPr>
              <w:t>方庄</w:t>
            </w:r>
            <w:r>
              <w:t>支渠</w:t>
            </w:r>
          </w:p>
        </w:tc>
        <w:tc>
          <w:tcPr>
            <w:tcW w:w="813" w:type="pct"/>
            <w:tcBorders>
              <w:top w:val="single" w:color="000000" w:sz="4" w:space="0"/>
              <w:left w:val="single" w:color="000000" w:sz="4" w:space="0"/>
              <w:bottom w:val="single" w:color="000000" w:sz="4" w:space="0"/>
              <w:right w:val="single" w:color="000000" w:sz="4" w:space="0"/>
            </w:tcBorders>
            <w:vAlign w:val="center"/>
          </w:tcPr>
          <w:p w14:paraId="3FED1EC0">
            <w:pPr>
              <w:pStyle w:val="28"/>
              <w:bidi w:val="0"/>
            </w:pPr>
            <w:r>
              <w:rPr>
                <w:rFonts w:hint="eastAsia"/>
              </w:rPr>
              <w:t>清淤工程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1FFA026B">
            <w:pPr>
              <w:pStyle w:val="28"/>
              <w:bidi w:val="0"/>
            </w:pPr>
            <w:r>
              <w:rPr>
                <w:rFonts w:hint="eastAsia"/>
              </w:rPr>
              <w:t>大桥村</w:t>
            </w:r>
          </w:p>
        </w:tc>
        <w:tc>
          <w:tcPr>
            <w:tcW w:w="280" w:type="pct"/>
            <w:tcBorders>
              <w:top w:val="single" w:color="000000" w:sz="4" w:space="0"/>
              <w:left w:val="single" w:color="000000" w:sz="4" w:space="0"/>
              <w:bottom w:val="single" w:color="000000" w:sz="4" w:space="0"/>
              <w:right w:val="single" w:color="000000" w:sz="4" w:space="0"/>
            </w:tcBorders>
            <w:vAlign w:val="center"/>
          </w:tcPr>
          <w:p w14:paraId="75221AAD">
            <w:pPr>
              <w:pStyle w:val="28"/>
              <w:bidi w:val="0"/>
            </w:pPr>
            <w:r>
              <w:rPr>
                <w:rFonts w:hint="eastAsia"/>
              </w:rPr>
              <w:t>S</w:t>
            </w:r>
          </w:p>
        </w:tc>
        <w:tc>
          <w:tcPr>
            <w:tcW w:w="270" w:type="pct"/>
            <w:tcBorders>
              <w:top w:val="single" w:color="000000" w:sz="4" w:space="0"/>
              <w:left w:val="single" w:color="000000" w:sz="4" w:space="0"/>
              <w:bottom w:val="single" w:color="000000" w:sz="4" w:space="0"/>
              <w:right w:val="single" w:color="000000" w:sz="4" w:space="0"/>
            </w:tcBorders>
            <w:vAlign w:val="center"/>
          </w:tcPr>
          <w:p w14:paraId="21D540BE">
            <w:pPr>
              <w:pStyle w:val="28"/>
              <w:bidi w:val="0"/>
            </w:pPr>
            <w:r>
              <w:rPr>
                <w:rFonts w:hint="eastAsia"/>
              </w:rPr>
              <w:t>57</w:t>
            </w:r>
          </w:p>
        </w:tc>
        <w:tc>
          <w:tcPr>
            <w:tcW w:w="398" w:type="pct"/>
            <w:tcBorders>
              <w:top w:val="single" w:color="000000" w:sz="4" w:space="0"/>
              <w:left w:val="single" w:color="000000" w:sz="4" w:space="0"/>
              <w:bottom w:val="single" w:color="000000" w:sz="4" w:space="0"/>
              <w:right w:val="single" w:color="000000" w:sz="4" w:space="0"/>
            </w:tcBorders>
            <w:vAlign w:val="center"/>
          </w:tcPr>
          <w:p w14:paraId="629BDE19">
            <w:pPr>
              <w:pStyle w:val="28"/>
              <w:bidi w:val="0"/>
            </w:pPr>
            <w:r>
              <w:t>116.9769287</w:t>
            </w:r>
          </w:p>
        </w:tc>
        <w:tc>
          <w:tcPr>
            <w:tcW w:w="400" w:type="pct"/>
            <w:tcBorders>
              <w:top w:val="single" w:color="000000" w:sz="4" w:space="0"/>
              <w:left w:val="single" w:color="000000" w:sz="4" w:space="0"/>
              <w:bottom w:val="single" w:color="000000" w:sz="4" w:space="0"/>
              <w:right w:val="single" w:color="000000" w:sz="4" w:space="0"/>
            </w:tcBorders>
            <w:vAlign w:val="center"/>
          </w:tcPr>
          <w:p w14:paraId="450C89E6">
            <w:pPr>
              <w:pStyle w:val="28"/>
              <w:bidi w:val="0"/>
            </w:pPr>
            <w:r>
              <w:t>32.4718444</w:t>
            </w:r>
          </w:p>
        </w:tc>
        <w:tc>
          <w:tcPr>
            <w:tcW w:w="348" w:type="pct"/>
            <w:tcBorders>
              <w:top w:val="single" w:color="000000" w:sz="4" w:space="0"/>
              <w:left w:val="single" w:color="000000" w:sz="4" w:space="0"/>
              <w:bottom w:val="single" w:color="000000" w:sz="4" w:space="0"/>
              <w:right w:val="single" w:color="000000" w:sz="4" w:space="0"/>
            </w:tcBorders>
            <w:vAlign w:val="center"/>
          </w:tcPr>
          <w:p w14:paraId="79B4A9DC">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60D34E10">
            <w:pPr>
              <w:pStyle w:val="28"/>
              <w:bidi w:val="0"/>
            </w:pPr>
            <w:r>
              <w:rPr>
                <w:rFonts w:hint="eastAsia"/>
              </w:rPr>
              <w:t>1</w:t>
            </w:r>
          </w:p>
        </w:tc>
      </w:tr>
      <w:tr w14:paraId="5175627C">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5DAD93E3">
            <w:pPr>
              <w:pStyle w:val="28"/>
              <w:bidi w:val="0"/>
            </w:pPr>
            <w:r>
              <w:t>38</w:t>
            </w:r>
          </w:p>
        </w:tc>
        <w:tc>
          <w:tcPr>
            <w:tcW w:w="289" w:type="pct"/>
            <w:vMerge w:val="continue"/>
            <w:tcBorders>
              <w:left w:val="single" w:color="000000" w:sz="4" w:space="0"/>
              <w:right w:val="single" w:color="000000" w:sz="4" w:space="0"/>
            </w:tcBorders>
            <w:vAlign w:val="center"/>
          </w:tcPr>
          <w:p w14:paraId="0F753F13">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3280D7A5">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734627C5">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2B86D8F6">
            <w:pPr>
              <w:pStyle w:val="28"/>
              <w:bidi w:val="0"/>
            </w:pPr>
            <w: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19FB78D3">
            <w:pPr>
              <w:pStyle w:val="28"/>
              <w:bidi w:val="0"/>
            </w:pPr>
            <w:r>
              <w:rPr>
                <w:rFonts w:hint="eastAsia"/>
              </w:rPr>
              <w:t>染坊支渠</w:t>
            </w:r>
          </w:p>
        </w:tc>
        <w:tc>
          <w:tcPr>
            <w:tcW w:w="813" w:type="pct"/>
            <w:tcBorders>
              <w:top w:val="single" w:color="000000" w:sz="4" w:space="0"/>
              <w:left w:val="single" w:color="000000" w:sz="4" w:space="0"/>
              <w:bottom w:val="single" w:color="000000" w:sz="4" w:space="0"/>
              <w:right w:val="single" w:color="000000" w:sz="4" w:space="0"/>
            </w:tcBorders>
            <w:vAlign w:val="center"/>
          </w:tcPr>
          <w:p w14:paraId="15BB3878">
            <w:pPr>
              <w:pStyle w:val="28"/>
              <w:bidi w:val="0"/>
            </w:pPr>
            <w:r>
              <w:rPr>
                <w:rFonts w:hint="eastAsia"/>
              </w:rPr>
              <w:t>清淤工程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72A87586">
            <w:pPr>
              <w:pStyle w:val="28"/>
              <w:bidi w:val="0"/>
            </w:pPr>
            <w:r>
              <w:rPr>
                <w:rFonts w:hint="eastAsia"/>
              </w:rPr>
              <w:t>金庄村</w:t>
            </w:r>
          </w:p>
        </w:tc>
        <w:tc>
          <w:tcPr>
            <w:tcW w:w="280" w:type="pct"/>
            <w:tcBorders>
              <w:top w:val="single" w:color="000000" w:sz="4" w:space="0"/>
              <w:left w:val="single" w:color="000000" w:sz="4" w:space="0"/>
              <w:bottom w:val="single" w:color="000000" w:sz="4" w:space="0"/>
              <w:right w:val="single" w:color="000000" w:sz="4" w:space="0"/>
            </w:tcBorders>
            <w:vAlign w:val="center"/>
          </w:tcPr>
          <w:p w14:paraId="1A715F0B">
            <w:pPr>
              <w:pStyle w:val="28"/>
              <w:bidi w:val="0"/>
            </w:pPr>
            <w:r>
              <w:rPr>
                <w:rFonts w:hint="eastAsia"/>
              </w:rPr>
              <w:t>W</w:t>
            </w:r>
          </w:p>
        </w:tc>
        <w:tc>
          <w:tcPr>
            <w:tcW w:w="270" w:type="pct"/>
            <w:tcBorders>
              <w:top w:val="single" w:color="000000" w:sz="4" w:space="0"/>
              <w:left w:val="single" w:color="000000" w:sz="4" w:space="0"/>
              <w:bottom w:val="single" w:color="000000" w:sz="4" w:space="0"/>
              <w:right w:val="single" w:color="000000" w:sz="4" w:space="0"/>
            </w:tcBorders>
            <w:vAlign w:val="center"/>
          </w:tcPr>
          <w:p w14:paraId="27618932">
            <w:pPr>
              <w:pStyle w:val="28"/>
              <w:bidi w:val="0"/>
            </w:pPr>
            <w:r>
              <w:rPr>
                <w:rFonts w:hint="eastAsia"/>
              </w:rPr>
              <w:t>58</w:t>
            </w:r>
          </w:p>
        </w:tc>
        <w:tc>
          <w:tcPr>
            <w:tcW w:w="398" w:type="pct"/>
            <w:tcBorders>
              <w:top w:val="single" w:color="000000" w:sz="4" w:space="0"/>
              <w:left w:val="single" w:color="000000" w:sz="4" w:space="0"/>
              <w:bottom w:val="single" w:color="000000" w:sz="4" w:space="0"/>
              <w:right w:val="single" w:color="000000" w:sz="4" w:space="0"/>
            </w:tcBorders>
            <w:vAlign w:val="center"/>
          </w:tcPr>
          <w:p w14:paraId="01867C1F">
            <w:pPr>
              <w:pStyle w:val="28"/>
              <w:bidi w:val="0"/>
            </w:pPr>
            <w:r>
              <w:t>116.9562221</w:t>
            </w:r>
          </w:p>
        </w:tc>
        <w:tc>
          <w:tcPr>
            <w:tcW w:w="400" w:type="pct"/>
            <w:tcBorders>
              <w:top w:val="single" w:color="000000" w:sz="4" w:space="0"/>
              <w:left w:val="single" w:color="000000" w:sz="4" w:space="0"/>
              <w:bottom w:val="single" w:color="000000" w:sz="4" w:space="0"/>
              <w:right w:val="single" w:color="000000" w:sz="4" w:space="0"/>
            </w:tcBorders>
            <w:vAlign w:val="center"/>
          </w:tcPr>
          <w:p w14:paraId="660DDA06">
            <w:pPr>
              <w:pStyle w:val="28"/>
              <w:bidi w:val="0"/>
            </w:pPr>
            <w:r>
              <w:t>32.45948834</w:t>
            </w:r>
          </w:p>
        </w:tc>
        <w:tc>
          <w:tcPr>
            <w:tcW w:w="348" w:type="pct"/>
            <w:tcBorders>
              <w:top w:val="single" w:color="000000" w:sz="4" w:space="0"/>
              <w:left w:val="single" w:color="000000" w:sz="4" w:space="0"/>
              <w:bottom w:val="single" w:color="000000" w:sz="4" w:space="0"/>
              <w:right w:val="single" w:color="000000" w:sz="4" w:space="0"/>
            </w:tcBorders>
            <w:vAlign w:val="center"/>
          </w:tcPr>
          <w:p w14:paraId="742542CE">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22A4F943">
            <w:pPr>
              <w:pStyle w:val="28"/>
              <w:bidi w:val="0"/>
            </w:pPr>
            <w:r>
              <w:rPr>
                <w:rFonts w:hint="eastAsia"/>
              </w:rPr>
              <w:t>1</w:t>
            </w:r>
          </w:p>
        </w:tc>
      </w:tr>
      <w:tr w14:paraId="20557665">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4AA96BD4">
            <w:pPr>
              <w:pStyle w:val="28"/>
              <w:bidi w:val="0"/>
            </w:pPr>
            <w:r>
              <w:t>39</w:t>
            </w:r>
          </w:p>
        </w:tc>
        <w:tc>
          <w:tcPr>
            <w:tcW w:w="289" w:type="pct"/>
            <w:vMerge w:val="continue"/>
            <w:tcBorders>
              <w:left w:val="single" w:color="000000" w:sz="4" w:space="0"/>
              <w:right w:val="single" w:color="000000" w:sz="4" w:space="0"/>
            </w:tcBorders>
            <w:vAlign w:val="center"/>
          </w:tcPr>
          <w:p w14:paraId="02688773">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78D7E8C5">
            <w:pPr>
              <w:pStyle w:val="28"/>
              <w:bidi w:val="0"/>
            </w:pPr>
            <w: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2C6B7451">
            <w:pPr>
              <w:pStyle w:val="28"/>
              <w:bidi w:val="0"/>
            </w:pPr>
            <w: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1A6CADCB">
            <w:pPr>
              <w:pStyle w:val="28"/>
              <w:bidi w:val="0"/>
            </w:pPr>
            <w: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41DCD36E">
            <w:pPr>
              <w:pStyle w:val="28"/>
              <w:bidi w:val="0"/>
            </w:pPr>
            <w:r>
              <w:rPr>
                <w:rFonts w:hint="eastAsia"/>
              </w:rPr>
              <w:t>桂岗支渠</w:t>
            </w:r>
          </w:p>
        </w:tc>
        <w:tc>
          <w:tcPr>
            <w:tcW w:w="813" w:type="pct"/>
            <w:tcBorders>
              <w:top w:val="single" w:color="000000" w:sz="4" w:space="0"/>
              <w:left w:val="single" w:color="000000" w:sz="4" w:space="0"/>
              <w:bottom w:val="single" w:color="000000" w:sz="4" w:space="0"/>
              <w:right w:val="single" w:color="000000" w:sz="4" w:space="0"/>
            </w:tcBorders>
            <w:vAlign w:val="center"/>
          </w:tcPr>
          <w:p w14:paraId="33222F68">
            <w:pPr>
              <w:pStyle w:val="28"/>
              <w:bidi w:val="0"/>
            </w:pPr>
            <w:r>
              <w:rPr>
                <w:rFonts w:hint="eastAsia"/>
              </w:rPr>
              <w:t>清淤工程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7348691B">
            <w:pPr>
              <w:pStyle w:val="28"/>
              <w:bidi w:val="0"/>
            </w:pPr>
            <w:r>
              <w:rPr>
                <w:rFonts w:hint="eastAsia"/>
              </w:rPr>
              <w:t>贵家岗</w:t>
            </w:r>
          </w:p>
        </w:tc>
        <w:tc>
          <w:tcPr>
            <w:tcW w:w="280" w:type="pct"/>
            <w:tcBorders>
              <w:top w:val="single" w:color="000000" w:sz="4" w:space="0"/>
              <w:left w:val="single" w:color="000000" w:sz="4" w:space="0"/>
              <w:bottom w:val="single" w:color="000000" w:sz="4" w:space="0"/>
              <w:right w:val="single" w:color="000000" w:sz="4" w:space="0"/>
            </w:tcBorders>
            <w:vAlign w:val="center"/>
          </w:tcPr>
          <w:p w14:paraId="5C72F59F">
            <w:pPr>
              <w:pStyle w:val="28"/>
              <w:bidi w:val="0"/>
            </w:pPr>
            <w:r>
              <w:rPr>
                <w:rFonts w:hint="eastAsia"/>
              </w:rPr>
              <w:t>W</w:t>
            </w:r>
          </w:p>
        </w:tc>
        <w:tc>
          <w:tcPr>
            <w:tcW w:w="270" w:type="pct"/>
            <w:tcBorders>
              <w:top w:val="single" w:color="000000" w:sz="4" w:space="0"/>
              <w:left w:val="single" w:color="000000" w:sz="4" w:space="0"/>
              <w:bottom w:val="single" w:color="000000" w:sz="4" w:space="0"/>
              <w:right w:val="single" w:color="000000" w:sz="4" w:space="0"/>
            </w:tcBorders>
            <w:vAlign w:val="center"/>
          </w:tcPr>
          <w:p w14:paraId="4E97A877">
            <w:pPr>
              <w:pStyle w:val="28"/>
              <w:bidi w:val="0"/>
            </w:pPr>
            <w:r>
              <w:rPr>
                <w:rFonts w:hint="eastAsia"/>
              </w:rPr>
              <w:t>112</w:t>
            </w:r>
          </w:p>
        </w:tc>
        <w:tc>
          <w:tcPr>
            <w:tcW w:w="398" w:type="pct"/>
            <w:tcBorders>
              <w:top w:val="single" w:color="000000" w:sz="4" w:space="0"/>
              <w:left w:val="single" w:color="000000" w:sz="4" w:space="0"/>
              <w:bottom w:val="single" w:color="000000" w:sz="4" w:space="0"/>
              <w:right w:val="single" w:color="000000" w:sz="4" w:space="0"/>
            </w:tcBorders>
            <w:vAlign w:val="center"/>
          </w:tcPr>
          <w:p w14:paraId="158BD39E">
            <w:pPr>
              <w:pStyle w:val="28"/>
              <w:bidi w:val="0"/>
            </w:pPr>
            <w:r>
              <w:t>116.9288528</w:t>
            </w:r>
          </w:p>
        </w:tc>
        <w:tc>
          <w:tcPr>
            <w:tcW w:w="400" w:type="pct"/>
            <w:tcBorders>
              <w:top w:val="single" w:color="000000" w:sz="4" w:space="0"/>
              <w:left w:val="single" w:color="000000" w:sz="4" w:space="0"/>
              <w:bottom w:val="single" w:color="000000" w:sz="4" w:space="0"/>
              <w:right w:val="single" w:color="000000" w:sz="4" w:space="0"/>
            </w:tcBorders>
            <w:vAlign w:val="center"/>
          </w:tcPr>
          <w:p w14:paraId="26314B4C">
            <w:pPr>
              <w:pStyle w:val="28"/>
              <w:bidi w:val="0"/>
            </w:pPr>
            <w:r>
              <w:t>32.45909002</w:t>
            </w:r>
          </w:p>
        </w:tc>
        <w:tc>
          <w:tcPr>
            <w:tcW w:w="348" w:type="pct"/>
            <w:tcBorders>
              <w:top w:val="single" w:color="000000" w:sz="4" w:space="0"/>
              <w:left w:val="single" w:color="000000" w:sz="4" w:space="0"/>
              <w:bottom w:val="single" w:color="000000" w:sz="4" w:space="0"/>
              <w:right w:val="single" w:color="000000" w:sz="4" w:space="0"/>
            </w:tcBorders>
            <w:vAlign w:val="center"/>
          </w:tcPr>
          <w:p w14:paraId="3D67866D">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387D9887">
            <w:pPr>
              <w:pStyle w:val="28"/>
              <w:bidi w:val="0"/>
            </w:pPr>
            <w:r>
              <w:rPr>
                <w:rFonts w:hint="eastAsia"/>
              </w:rPr>
              <w:t>1</w:t>
            </w:r>
          </w:p>
        </w:tc>
      </w:tr>
      <w:tr w14:paraId="0DCC78BD">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44418918">
            <w:pPr>
              <w:pStyle w:val="28"/>
              <w:bidi w:val="0"/>
            </w:pPr>
            <w:r>
              <w:rPr>
                <w:rFonts w:hint="eastAsia"/>
              </w:rPr>
              <w:t>40</w:t>
            </w:r>
          </w:p>
        </w:tc>
        <w:tc>
          <w:tcPr>
            <w:tcW w:w="289" w:type="pct"/>
            <w:vMerge w:val="continue"/>
            <w:tcBorders>
              <w:left w:val="single" w:color="000000" w:sz="4" w:space="0"/>
              <w:right w:val="single" w:color="000000" w:sz="4" w:space="0"/>
            </w:tcBorders>
            <w:vAlign w:val="center"/>
          </w:tcPr>
          <w:p w14:paraId="2B7FC19F">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219976B1">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61E2B3BC">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1361EA2A">
            <w:pPr>
              <w:pStyle w:val="28"/>
              <w:bidi w:val="0"/>
            </w:pPr>
            <w:r>
              <w:rPr>
                <w:rFonts w:hint="eastAsia"/>
              </w:rPr>
              <w:t>一东干渠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61FFCDA6">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75884E83">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1A80B30C">
            <w:pPr>
              <w:pStyle w:val="28"/>
              <w:bidi w:val="0"/>
            </w:pPr>
            <w:r>
              <w:rPr>
                <w:rFonts w:hint="eastAsia"/>
              </w:rPr>
              <w:t>蔡郢</w:t>
            </w:r>
          </w:p>
        </w:tc>
        <w:tc>
          <w:tcPr>
            <w:tcW w:w="280" w:type="pct"/>
            <w:tcBorders>
              <w:top w:val="single" w:color="000000" w:sz="4" w:space="0"/>
              <w:left w:val="single" w:color="000000" w:sz="4" w:space="0"/>
              <w:bottom w:val="single" w:color="000000" w:sz="4" w:space="0"/>
              <w:right w:val="single" w:color="000000" w:sz="4" w:space="0"/>
            </w:tcBorders>
            <w:vAlign w:val="center"/>
          </w:tcPr>
          <w:p w14:paraId="276D5393">
            <w:pPr>
              <w:pStyle w:val="28"/>
              <w:bidi w:val="0"/>
            </w:pPr>
            <w:r>
              <w:rPr>
                <w:rFonts w:hint="eastAsia"/>
              </w:rPr>
              <w:t>S</w:t>
            </w:r>
          </w:p>
        </w:tc>
        <w:tc>
          <w:tcPr>
            <w:tcW w:w="270" w:type="pct"/>
            <w:tcBorders>
              <w:top w:val="single" w:color="000000" w:sz="4" w:space="0"/>
              <w:left w:val="single" w:color="000000" w:sz="4" w:space="0"/>
              <w:bottom w:val="single" w:color="000000" w:sz="4" w:space="0"/>
              <w:right w:val="single" w:color="000000" w:sz="4" w:space="0"/>
            </w:tcBorders>
            <w:vAlign w:val="center"/>
          </w:tcPr>
          <w:p w14:paraId="667018A1">
            <w:pPr>
              <w:pStyle w:val="28"/>
              <w:bidi w:val="0"/>
            </w:pPr>
            <w:r>
              <w:rPr>
                <w:rFonts w:hint="eastAsia"/>
              </w:rPr>
              <w:t>64</w:t>
            </w:r>
          </w:p>
        </w:tc>
        <w:tc>
          <w:tcPr>
            <w:tcW w:w="398" w:type="pct"/>
            <w:tcBorders>
              <w:top w:val="single" w:color="000000" w:sz="4" w:space="0"/>
              <w:left w:val="single" w:color="000000" w:sz="4" w:space="0"/>
              <w:bottom w:val="single" w:color="000000" w:sz="4" w:space="0"/>
              <w:right w:val="single" w:color="000000" w:sz="4" w:space="0"/>
            </w:tcBorders>
            <w:vAlign w:val="center"/>
          </w:tcPr>
          <w:p w14:paraId="1F8E8EAB">
            <w:pPr>
              <w:pStyle w:val="28"/>
              <w:bidi w:val="0"/>
            </w:pPr>
            <w:r>
              <w:t>116.9395173</w:t>
            </w:r>
          </w:p>
        </w:tc>
        <w:tc>
          <w:tcPr>
            <w:tcW w:w="400" w:type="pct"/>
            <w:tcBorders>
              <w:top w:val="single" w:color="000000" w:sz="4" w:space="0"/>
              <w:left w:val="single" w:color="000000" w:sz="4" w:space="0"/>
              <w:bottom w:val="single" w:color="000000" w:sz="4" w:space="0"/>
              <w:right w:val="single" w:color="000000" w:sz="4" w:space="0"/>
            </w:tcBorders>
            <w:vAlign w:val="center"/>
          </w:tcPr>
          <w:p w14:paraId="09705FAA">
            <w:pPr>
              <w:pStyle w:val="28"/>
              <w:bidi w:val="0"/>
            </w:pPr>
            <w:r>
              <w:t>32.45396603</w:t>
            </w:r>
          </w:p>
        </w:tc>
        <w:tc>
          <w:tcPr>
            <w:tcW w:w="348" w:type="pct"/>
            <w:tcBorders>
              <w:top w:val="single" w:color="000000" w:sz="4" w:space="0"/>
              <w:left w:val="single" w:color="000000" w:sz="4" w:space="0"/>
              <w:bottom w:val="single" w:color="000000" w:sz="4" w:space="0"/>
              <w:right w:val="single" w:color="000000" w:sz="4" w:space="0"/>
            </w:tcBorders>
            <w:vAlign w:val="center"/>
          </w:tcPr>
          <w:p w14:paraId="7A5FC8FD">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4DDACE90">
            <w:pPr>
              <w:pStyle w:val="28"/>
              <w:bidi w:val="0"/>
            </w:pPr>
            <w:r>
              <w:rPr>
                <w:rFonts w:hint="eastAsia"/>
              </w:rPr>
              <w:t>1</w:t>
            </w:r>
          </w:p>
        </w:tc>
      </w:tr>
      <w:tr w14:paraId="165B8037">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56B21DC4">
            <w:pPr>
              <w:pStyle w:val="28"/>
              <w:bidi w:val="0"/>
            </w:pPr>
            <w:r>
              <w:rPr>
                <w:rFonts w:hint="eastAsia"/>
              </w:rPr>
              <w:t>41</w:t>
            </w:r>
          </w:p>
        </w:tc>
        <w:tc>
          <w:tcPr>
            <w:tcW w:w="289" w:type="pct"/>
            <w:vMerge w:val="continue"/>
            <w:tcBorders>
              <w:left w:val="single" w:color="000000" w:sz="4" w:space="0"/>
              <w:right w:val="single" w:color="000000" w:sz="4" w:space="0"/>
            </w:tcBorders>
            <w:vAlign w:val="center"/>
          </w:tcPr>
          <w:p w14:paraId="2A0EE779">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73D63A86">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39A63673">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2D09A273">
            <w:pPr>
              <w:pStyle w:val="28"/>
              <w:bidi w:val="0"/>
            </w:pPr>
            <w:r>
              <w:rPr>
                <w:rFonts w:hint="eastAsia"/>
              </w:rPr>
              <w:t>一东干渠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4DAD37D5">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6194AC55">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3EB03580">
            <w:pPr>
              <w:pStyle w:val="28"/>
              <w:bidi w:val="0"/>
            </w:pPr>
            <w:r>
              <w:rPr>
                <w:rFonts w:hint="eastAsia"/>
              </w:rPr>
              <w:t>后许郢</w:t>
            </w:r>
          </w:p>
        </w:tc>
        <w:tc>
          <w:tcPr>
            <w:tcW w:w="280" w:type="pct"/>
            <w:tcBorders>
              <w:top w:val="single" w:color="000000" w:sz="4" w:space="0"/>
              <w:left w:val="single" w:color="000000" w:sz="4" w:space="0"/>
              <w:bottom w:val="single" w:color="000000" w:sz="4" w:space="0"/>
              <w:right w:val="single" w:color="000000" w:sz="4" w:space="0"/>
            </w:tcBorders>
            <w:vAlign w:val="center"/>
          </w:tcPr>
          <w:p w14:paraId="7555982F">
            <w:pPr>
              <w:pStyle w:val="28"/>
              <w:bidi w:val="0"/>
            </w:pPr>
            <w:r>
              <w:rPr>
                <w:rFonts w:hint="eastAsia"/>
              </w:rPr>
              <w:t>W</w:t>
            </w:r>
          </w:p>
        </w:tc>
        <w:tc>
          <w:tcPr>
            <w:tcW w:w="270" w:type="pct"/>
            <w:tcBorders>
              <w:top w:val="single" w:color="000000" w:sz="4" w:space="0"/>
              <w:left w:val="single" w:color="000000" w:sz="4" w:space="0"/>
              <w:bottom w:val="single" w:color="000000" w:sz="4" w:space="0"/>
              <w:right w:val="single" w:color="000000" w:sz="4" w:space="0"/>
            </w:tcBorders>
            <w:vAlign w:val="center"/>
          </w:tcPr>
          <w:p w14:paraId="1DF546BF">
            <w:pPr>
              <w:pStyle w:val="28"/>
              <w:bidi w:val="0"/>
            </w:pPr>
            <w:r>
              <w:rPr>
                <w:rFonts w:hint="eastAsia"/>
              </w:rPr>
              <w:t>137</w:t>
            </w:r>
          </w:p>
        </w:tc>
        <w:tc>
          <w:tcPr>
            <w:tcW w:w="398" w:type="pct"/>
            <w:tcBorders>
              <w:top w:val="single" w:color="000000" w:sz="4" w:space="0"/>
              <w:left w:val="single" w:color="000000" w:sz="4" w:space="0"/>
              <w:bottom w:val="single" w:color="000000" w:sz="4" w:space="0"/>
              <w:right w:val="single" w:color="000000" w:sz="4" w:space="0"/>
            </w:tcBorders>
            <w:vAlign w:val="center"/>
          </w:tcPr>
          <w:p w14:paraId="1D6227C1">
            <w:pPr>
              <w:pStyle w:val="28"/>
              <w:bidi w:val="0"/>
            </w:pPr>
            <w:r>
              <w:t>116.9694614</w:t>
            </w:r>
          </w:p>
        </w:tc>
        <w:tc>
          <w:tcPr>
            <w:tcW w:w="400" w:type="pct"/>
            <w:tcBorders>
              <w:top w:val="single" w:color="000000" w:sz="4" w:space="0"/>
              <w:left w:val="single" w:color="000000" w:sz="4" w:space="0"/>
              <w:bottom w:val="single" w:color="000000" w:sz="4" w:space="0"/>
              <w:right w:val="single" w:color="000000" w:sz="4" w:space="0"/>
            </w:tcBorders>
            <w:vAlign w:val="center"/>
          </w:tcPr>
          <w:p w14:paraId="73D5B343">
            <w:pPr>
              <w:pStyle w:val="28"/>
              <w:bidi w:val="0"/>
            </w:pPr>
            <w:r>
              <w:t>32.45293396</w:t>
            </w:r>
          </w:p>
        </w:tc>
        <w:tc>
          <w:tcPr>
            <w:tcW w:w="348" w:type="pct"/>
            <w:tcBorders>
              <w:top w:val="single" w:color="000000" w:sz="4" w:space="0"/>
              <w:left w:val="single" w:color="000000" w:sz="4" w:space="0"/>
              <w:bottom w:val="single" w:color="000000" w:sz="4" w:space="0"/>
              <w:right w:val="single" w:color="000000" w:sz="4" w:space="0"/>
            </w:tcBorders>
            <w:vAlign w:val="center"/>
          </w:tcPr>
          <w:p w14:paraId="637F6462">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709DF773">
            <w:pPr>
              <w:pStyle w:val="28"/>
              <w:bidi w:val="0"/>
            </w:pPr>
            <w:r>
              <w:rPr>
                <w:rFonts w:hint="eastAsia"/>
              </w:rPr>
              <w:t>1</w:t>
            </w:r>
          </w:p>
        </w:tc>
      </w:tr>
      <w:tr w14:paraId="13177BDB">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6D62EDE9">
            <w:pPr>
              <w:pStyle w:val="28"/>
              <w:bidi w:val="0"/>
            </w:pPr>
            <w:r>
              <w:rPr>
                <w:rFonts w:hint="eastAsia"/>
              </w:rPr>
              <w:t>42</w:t>
            </w:r>
          </w:p>
        </w:tc>
        <w:tc>
          <w:tcPr>
            <w:tcW w:w="289" w:type="pct"/>
            <w:vMerge w:val="continue"/>
            <w:tcBorders>
              <w:left w:val="single" w:color="000000" w:sz="4" w:space="0"/>
              <w:right w:val="single" w:color="000000" w:sz="4" w:space="0"/>
            </w:tcBorders>
            <w:vAlign w:val="center"/>
          </w:tcPr>
          <w:p w14:paraId="00F74C3A">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49785229">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4FA33F9E">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3FC8EB5A">
            <w:pPr>
              <w:pStyle w:val="28"/>
              <w:bidi w:val="0"/>
            </w:pPr>
            <w:r>
              <w:rPr>
                <w:rFonts w:hint="eastAsia"/>
              </w:rPr>
              <w:t>一东干渠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13A94DF1">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5779B806">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1E0D38F5">
            <w:pPr>
              <w:pStyle w:val="28"/>
              <w:bidi w:val="0"/>
            </w:pPr>
            <w:r>
              <w:rPr>
                <w:rFonts w:hint="eastAsia"/>
              </w:rPr>
              <w:t>前许郢</w:t>
            </w:r>
          </w:p>
        </w:tc>
        <w:tc>
          <w:tcPr>
            <w:tcW w:w="280" w:type="pct"/>
            <w:tcBorders>
              <w:top w:val="single" w:color="000000" w:sz="4" w:space="0"/>
              <w:left w:val="single" w:color="000000" w:sz="4" w:space="0"/>
              <w:bottom w:val="single" w:color="000000" w:sz="4" w:space="0"/>
              <w:right w:val="single" w:color="000000" w:sz="4" w:space="0"/>
            </w:tcBorders>
            <w:vAlign w:val="center"/>
          </w:tcPr>
          <w:p w14:paraId="7488A3D8">
            <w:pPr>
              <w:pStyle w:val="28"/>
              <w:bidi w:val="0"/>
            </w:pPr>
            <w:r>
              <w:rPr>
                <w:rFonts w:hint="eastAsia"/>
              </w:rPr>
              <w:t>W</w:t>
            </w:r>
          </w:p>
        </w:tc>
        <w:tc>
          <w:tcPr>
            <w:tcW w:w="270" w:type="pct"/>
            <w:tcBorders>
              <w:top w:val="single" w:color="000000" w:sz="4" w:space="0"/>
              <w:left w:val="single" w:color="000000" w:sz="4" w:space="0"/>
              <w:bottom w:val="single" w:color="000000" w:sz="4" w:space="0"/>
              <w:right w:val="single" w:color="000000" w:sz="4" w:space="0"/>
            </w:tcBorders>
            <w:vAlign w:val="center"/>
          </w:tcPr>
          <w:p w14:paraId="1CC480D0">
            <w:pPr>
              <w:pStyle w:val="28"/>
              <w:bidi w:val="0"/>
            </w:pPr>
            <w:r>
              <w:rPr>
                <w:rFonts w:hint="eastAsia"/>
              </w:rPr>
              <w:t>76</w:t>
            </w:r>
          </w:p>
        </w:tc>
        <w:tc>
          <w:tcPr>
            <w:tcW w:w="398" w:type="pct"/>
            <w:tcBorders>
              <w:top w:val="single" w:color="000000" w:sz="4" w:space="0"/>
              <w:left w:val="single" w:color="000000" w:sz="4" w:space="0"/>
              <w:bottom w:val="single" w:color="000000" w:sz="4" w:space="0"/>
              <w:right w:val="single" w:color="000000" w:sz="4" w:space="0"/>
            </w:tcBorders>
            <w:vAlign w:val="center"/>
          </w:tcPr>
          <w:p w14:paraId="3AC9B204">
            <w:pPr>
              <w:pStyle w:val="28"/>
              <w:bidi w:val="0"/>
            </w:pPr>
            <w:r>
              <w:t>116.9701749</w:t>
            </w:r>
          </w:p>
        </w:tc>
        <w:tc>
          <w:tcPr>
            <w:tcW w:w="400" w:type="pct"/>
            <w:tcBorders>
              <w:top w:val="single" w:color="000000" w:sz="4" w:space="0"/>
              <w:left w:val="single" w:color="000000" w:sz="4" w:space="0"/>
              <w:bottom w:val="single" w:color="000000" w:sz="4" w:space="0"/>
              <w:right w:val="single" w:color="000000" w:sz="4" w:space="0"/>
            </w:tcBorders>
            <w:vAlign w:val="center"/>
          </w:tcPr>
          <w:p w14:paraId="7D2BBBA5">
            <w:pPr>
              <w:pStyle w:val="28"/>
              <w:bidi w:val="0"/>
            </w:pPr>
            <w:r>
              <w:t>32.44385753</w:t>
            </w:r>
          </w:p>
        </w:tc>
        <w:tc>
          <w:tcPr>
            <w:tcW w:w="348" w:type="pct"/>
            <w:tcBorders>
              <w:top w:val="single" w:color="000000" w:sz="4" w:space="0"/>
              <w:left w:val="single" w:color="000000" w:sz="4" w:space="0"/>
              <w:bottom w:val="single" w:color="000000" w:sz="4" w:space="0"/>
              <w:right w:val="single" w:color="000000" w:sz="4" w:space="0"/>
            </w:tcBorders>
            <w:vAlign w:val="center"/>
          </w:tcPr>
          <w:p w14:paraId="537D46BA">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69B7BCC3">
            <w:pPr>
              <w:pStyle w:val="28"/>
              <w:bidi w:val="0"/>
            </w:pPr>
            <w:r>
              <w:rPr>
                <w:rFonts w:hint="eastAsia"/>
              </w:rPr>
              <w:t>1</w:t>
            </w:r>
          </w:p>
        </w:tc>
      </w:tr>
      <w:tr w14:paraId="437BB913">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0E0BA196">
            <w:pPr>
              <w:pStyle w:val="28"/>
              <w:bidi w:val="0"/>
            </w:pPr>
            <w:r>
              <w:rPr>
                <w:rFonts w:hint="eastAsia"/>
              </w:rPr>
              <w:t>43</w:t>
            </w:r>
          </w:p>
        </w:tc>
        <w:tc>
          <w:tcPr>
            <w:tcW w:w="289" w:type="pct"/>
            <w:vMerge w:val="continue"/>
            <w:tcBorders>
              <w:left w:val="single" w:color="000000" w:sz="4" w:space="0"/>
              <w:right w:val="single" w:color="000000" w:sz="4" w:space="0"/>
            </w:tcBorders>
            <w:vAlign w:val="center"/>
          </w:tcPr>
          <w:p w14:paraId="4662F431">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3D8F87EA">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361C0D48">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17CD800A">
            <w:pPr>
              <w:pStyle w:val="28"/>
              <w:bidi w:val="0"/>
            </w:pPr>
            <w:r>
              <w:rPr>
                <w:rFonts w:hint="eastAsia"/>
              </w:rPr>
              <w:t>一东干渠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344F9C6C">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1F684E0D">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3962E185">
            <w:pPr>
              <w:pStyle w:val="28"/>
              <w:bidi w:val="0"/>
            </w:pPr>
            <w:r>
              <w:rPr>
                <w:rFonts w:hint="eastAsia"/>
              </w:rPr>
              <w:t>王集村</w:t>
            </w:r>
          </w:p>
        </w:tc>
        <w:tc>
          <w:tcPr>
            <w:tcW w:w="280" w:type="pct"/>
            <w:tcBorders>
              <w:top w:val="single" w:color="000000" w:sz="4" w:space="0"/>
              <w:left w:val="single" w:color="000000" w:sz="4" w:space="0"/>
              <w:bottom w:val="single" w:color="000000" w:sz="4" w:space="0"/>
              <w:right w:val="single" w:color="000000" w:sz="4" w:space="0"/>
            </w:tcBorders>
            <w:vAlign w:val="center"/>
          </w:tcPr>
          <w:p w14:paraId="2B14456E">
            <w:pPr>
              <w:pStyle w:val="28"/>
              <w:bidi w:val="0"/>
            </w:pPr>
            <w:r>
              <w:rPr>
                <w:rFonts w:hint="eastAsia"/>
              </w:rPr>
              <w:t>N</w:t>
            </w:r>
          </w:p>
        </w:tc>
        <w:tc>
          <w:tcPr>
            <w:tcW w:w="270" w:type="pct"/>
            <w:tcBorders>
              <w:top w:val="single" w:color="000000" w:sz="4" w:space="0"/>
              <w:left w:val="single" w:color="000000" w:sz="4" w:space="0"/>
              <w:bottom w:val="single" w:color="000000" w:sz="4" w:space="0"/>
              <w:right w:val="single" w:color="000000" w:sz="4" w:space="0"/>
            </w:tcBorders>
            <w:vAlign w:val="center"/>
          </w:tcPr>
          <w:p w14:paraId="113F5685">
            <w:pPr>
              <w:pStyle w:val="28"/>
              <w:bidi w:val="0"/>
            </w:pPr>
            <w:r>
              <w:rPr>
                <w:rFonts w:hint="eastAsia"/>
              </w:rPr>
              <w:t>63</w:t>
            </w:r>
          </w:p>
        </w:tc>
        <w:tc>
          <w:tcPr>
            <w:tcW w:w="398" w:type="pct"/>
            <w:tcBorders>
              <w:top w:val="single" w:color="000000" w:sz="4" w:space="0"/>
              <w:left w:val="single" w:color="000000" w:sz="4" w:space="0"/>
              <w:bottom w:val="single" w:color="000000" w:sz="4" w:space="0"/>
              <w:right w:val="single" w:color="000000" w:sz="4" w:space="0"/>
            </w:tcBorders>
            <w:vAlign w:val="center"/>
          </w:tcPr>
          <w:p w14:paraId="61422B54">
            <w:pPr>
              <w:pStyle w:val="28"/>
              <w:bidi w:val="0"/>
            </w:pPr>
            <w:r>
              <w:t>116.9676483</w:t>
            </w:r>
          </w:p>
        </w:tc>
        <w:tc>
          <w:tcPr>
            <w:tcW w:w="400" w:type="pct"/>
            <w:tcBorders>
              <w:top w:val="single" w:color="000000" w:sz="4" w:space="0"/>
              <w:left w:val="single" w:color="000000" w:sz="4" w:space="0"/>
              <w:bottom w:val="single" w:color="000000" w:sz="4" w:space="0"/>
              <w:right w:val="single" w:color="000000" w:sz="4" w:space="0"/>
            </w:tcBorders>
            <w:vAlign w:val="center"/>
          </w:tcPr>
          <w:p w14:paraId="24FE95D0">
            <w:pPr>
              <w:pStyle w:val="28"/>
              <w:bidi w:val="0"/>
            </w:pPr>
            <w:r>
              <w:t>32.43602979</w:t>
            </w:r>
          </w:p>
        </w:tc>
        <w:tc>
          <w:tcPr>
            <w:tcW w:w="348" w:type="pct"/>
            <w:tcBorders>
              <w:top w:val="single" w:color="000000" w:sz="4" w:space="0"/>
              <w:left w:val="single" w:color="000000" w:sz="4" w:space="0"/>
              <w:bottom w:val="single" w:color="000000" w:sz="4" w:space="0"/>
              <w:right w:val="single" w:color="000000" w:sz="4" w:space="0"/>
            </w:tcBorders>
            <w:vAlign w:val="center"/>
          </w:tcPr>
          <w:p w14:paraId="4BABA432">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630E1D4D">
            <w:pPr>
              <w:pStyle w:val="28"/>
              <w:bidi w:val="0"/>
            </w:pPr>
            <w:r>
              <w:rPr>
                <w:rFonts w:hint="eastAsia"/>
              </w:rPr>
              <w:t>1</w:t>
            </w:r>
          </w:p>
        </w:tc>
      </w:tr>
      <w:tr w14:paraId="22DF45A6">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1ACAB03F">
            <w:pPr>
              <w:pStyle w:val="28"/>
              <w:bidi w:val="0"/>
            </w:pPr>
            <w:r>
              <w:rPr>
                <w:rFonts w:hint="eastAsia"/>
              </w:rPr>
              <w:t>44</w:t>
            </w:r>
          </w:p>
        </w:tc>
        <w:tc>
          <w:tcPr>
            <w:tcW w:w="289" w:type="pct"/>
            <w:vMerge w:val="continue"/>
            <w:tcBorders>
              <w:left w:val="single" w:color="000000" w:sz="4" w:space="0"/>
              <w:right w:val="single" w:color="000000" w:sz="4" w:space="0"/>
            </w:tcBorders>
            <w:vAlign w:val="center"/>
          </w:tcPr>
          <w:p w14:paraId="59AB26AE">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59AFF2B5">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1B48A668">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1B074D2D">
            <w:pPr>
              <w:pStyle w:val="28"/>
              <w:bidi w:val="0"/>
            </w:pPr>
            <w:r>
              <w:rPr>
                <w:rFonts w:hint="eastAsia"/>
              </w:rPr>
              <w:t>一东干渠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2C3B818C">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5EAB42D4">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252183A6">
            <w:pPr>
              <w:pStyle w:val="28"/>
              <w:bidi w:val="0"/>
            </w:pPr>
            <w:r>
              <w:rPr>
                <w:rFonts w:hint="eastAsia"/>
              </w:rPr>
              <w:t>小潘郢</w:t>
            </w:r>
          </w:p>
        </w:tc>
        <w:tc>
          <w:tcPr>
            <w:tcW w:w="280" w:type="pct"/>
            <w:tcBorders>
              <w:top w:val="single" w:color="000000" w:sz="4" w:space="0"/>
              <w:left w:val="single" w:color="000000" w:sz="4" w:space="0"/>
              <w:bottom w:val="single" w:color="000000" w:sz="4" w:space="0"/>
              <w:right w:val="single" w:color="000000" w:sz="4" w:space="0"/>
            </w:tcBorders>
            <w:vAlign w:val="center"/>
          </w:tcPr>
          <w:p w14:paraId="681C5FB2">
            <w:pPr>
              <w:pStyle w:val="28"/>
              <w:bidi w:val="0"/>
            </w:pPr>
            <w:r>
              <w:rPr>
                <w:rFonts w:hint="eastAsia"/>
              </w:rPr>
              <w:t>N</w:t>
            </w:r>
          </w:p>
        </w:tc>
        <w:tc>
          <w:tcPr>
            <w:tcW w:w="270" w:type="pct"/>
            <w:tcBorders>
              <w:top w:val="single" w:color="000000" w:sz="4" w:space="0"/>
              <w:left w:val="single" w:color="000000" w:sz="4" w:space="0"/>
              <w:bottom w:val="single" w:color="000000" w:sz="4" w:space="0"/>
              <w:right w:val="single" w:color="000000" w:sz="4" w:space="0"/>
            </w:tcBorders>
            <w:vAlign w:val="center"/>
          </w:tcPr>
          <w:p w14:paraId="09B85468">
            <w:pPr>
              <w:pStyle w:val="28"/>
              <w:bidi w:val="0"/>
            </w:pPr>
            <w:r>
              <w:rPr>
                <w:rFonts w:hint="eastAsia"/>
              </w:rPr>
              <w:t>47</w:t>
            </w:r>
          </w:p>
        </w:tc>
        <w:tc>
          <w:tcPr>
            <w:tcW w:w="398" w:type="pct"/>
            <w:tcBorders>
              <w:top w:val="single" w:color="000000" w:sz="4" w:space="0"/>
              <w:left w:val="single" w:color="000000" w:sz="4" w:space="0"/>
              <w:bottom w:val="single" w:color="000000" w:sz="4" w:space="0"/>
              <w:right w:val="single" w:color="000000" w:sz="4" w:space="0"/>
            </w:tcBorders>
            <w:vAlign w:val="center"/>
          </w:tcPr>
          <w:p w14:paraId="52EB9FC1">
            <w:pPr>
              <w:pStyle w:val="28"/>
              <w:bidi w:val="0"/>
            </w:pPr>
            <w:r>
              <w:t>116.9600523</w:t>
            </w:r>
          </w:p>
        </w:tc>
        <w:tc>
          <w:tcPr>
            <w:tcW w:w="400" w:type="pct"/>
            <w:tcBorders>
              <w:top w:val="single" w:color="000000" w:sz="4" w:space="0"/>
              <w:left w:val="single" w:color="000000" w:sz="4" w:space="0"/>
              <w:bottom w:val="single" w:color="000000" w:sz="4" w:space="0"/>
              <w:right w:val="single" w:color="000000" w:sz="4" w:space="0"/>
            </w:tcBorders>
            <w:vAlign w:val="center"/>
          </w:tcPr>
          <w:p w14:paraId="165B0BB7">
            <w:pPr>
              <w:pStyle w:val="28"/>
              <w:bidi w:val="0"/>
            </w:pPr>
            <w:r>
              <w:t>32.43776381</w:t>
            </w:r>
          </w:p>
        </w:tc>
        <w:tc>
          <w:tcPr>
            <w:tcW w:w="348" w:type="pct"/>
            <w:tcBorders>
              <w:top w:val="single" w:color="000000" w:sz="4" w:space="0"/>
              <w:left w:val="single" w:color="000000" w:sz="4" w:space="0"/>
              <w:bottom w:val="single" w:color="000000" w:sz="4" w:space="0"/>
              <w:right w:val="single" w:color="000000" w:sz="4" w:space="0"/>
            </w:tcBorders>
            <w:vAlign w:val="center"/>
          </w:tcPr>
          <w:p w14:paraId="6F302B85">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1D41E90A">
            <w:pPr>
              <w:pStyle w:val="28"/>
              <w:bidi w:val="0"/>
            </w:pPr>
            <w:r>
              <w:rPr>
                <w:rFonts w:hint="eastAsia"/>
              </w:rPr>
              <w:t>1</w:t>
            </w:r>
          </w:p>
        </w:tc>
      </w:tr>
      <w:tr w14:paraId="37A227C0">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6669D310">
            <w:pPr>
              <w:pStyle w:val="28"/>
              <w:bidi w:val="0"/>
            </w:pPr>
            <w:r>
              <w:rPr>
                <w:rFonts w:hint="eastAsia"/>
              </w:rPr>
              <w:t>45</w:t>
            </w:r>
          </w:p>
        </w:tc>
        <w:tc>
          <w:tcPr>
            <w:tcW w:w="289" w:type="pct"/>
            <w:vMerge w:val="continue"/>
            <w:tcBorders>
              <w:left w:val="single" w:color="000000" w:sz="4" w:space="0"/>
              <w:right w:val="single" w:color="000000" w:sz="4" w:space="0"/>
            </w:tcBorders>
            <w:vAlign w:val="center"/>
          </w:tcPr>
          <w:p w14:paraId="605BA4B2">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60065098">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2B92FE94">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3D50D1B9">
            <w:pPr>
              <w:pStyle w:val="28"/>
              <w:bidi w:val="0"/>
            </w:pPr>
            <w:r>
              <w:rPr>
                <w:rFonts w:hint="eastAsia"/>
              </w:rPr>
              <w:t>一东干渠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7F46D08B">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448608AA">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703BB724">
            <w:pPr>
              <w:pStyle w:val="28"/>
              <w:bidi w:val="0"/>
            </w:pPr>
            <w:r>
              <w:rPr>
                <w:rFonts w:hint="eastAsia"/>
              </w:rPr>
              <w:t>孙庙镇区</w:t>
            </w:r>
          </w:p>
        </w:tc>
        <w:tc>
          <w:tcPr>
            <w:tcW w:w="280" w:type="pct"/>
            <w:tcBorders>
              <w:top w:val="single" w:color="000000" w:sz="4" w:space="0"/>
              <w:left w:val="single" w:color="000000" w:sz="4" w:space="0"/>
              <w:bottom w:val="single" w:color="000000" w:sz="4" w:space="0"/>
              <w:right w:val="single" w:color="000000" w:sz="4" w:space="0"/>
            </w:tcBorders>
            <w:vAlign w:val="center"/>
          </w:tcPr>
          <w:p w14:paraId="3916A907">
            <w:pPr>
              <w:pStyle w:val="28"/>
              <w:bidi w:val="0"/>
            </w:pPr>
            <w:r>
              <w:rPr>
                <w:rFonts w:hint="eastAsia"/>
              </w:rPr>
              <w:t>N</w:t>
            </w:r>
          </w:p>
        </w:tc>
        <w:tc>
          <w:tcPr>
            <w:tcW w:w="270" w:type="pct"/>
            <w:tcBorders>
              <w:top w:val="single" w:color="000000" w:sz="4" w:space="0"/>
              <w:left w:val="single" w:color="000000" w:sz="4" w:space="0"/>
              <w:bottom w:val="single" w:color="000000" w:sz="4" w:space="0"/>
              <w:right w:val="single" w:color="000000" w:sz="4" w:space="0"/>
            </w:tcBorders>
            <w:vAlign w:val="center"/>
          </w:tcPr>
          <w:p w14:paraId="0B32067B">
            <w:pPr>
              <w:pStyle w:val="28"/>
              <w:bidi w:val="0"/>
            </w:pPr>
            <w:r>
              <w:rPr>
                <w:rFonts w:hint="eastAsia"/>
              </w:rPr>
              <w:t>170</w:t>
            </w:r>
          </w:p>
        </w:tc>
        <w:tc>
          <w:tcPr>
            <w:tcW w:w="398" w:type="pct"/>
            <w:tcBorders>
              <w:top w:val="single" w:color="000000" w:sz="4" w:space="0"/>
              <w:left w:val="single" w:color="000000" w:sz="4" w:space="0"/>
              <w:bottom w:val="single" w:color="000000" w:sz="4" w:space="0"/>
              <w:right w:val="single" w:color="000000" w:sz="4" w:space="0"/>
            </w:tcBorders>
            <w:vAlign w:val="center"/>
          </w:tcPr>
          <w:p w14:paraId="37254461">
            <w:pPr>
              <w:pStyle w:val="28"/>
              <w:bidi w:val="0"/>
            </w:pPr>
            <w:r>
              <w:t>116.9530141</w:t>
            </w:r>
          </w:p>
        </w:tc>
        <w:tc>
          <w:tcPr>
            <w:tcW w:w="400" w:type="pct"/>
            <w:tcBorders>
              <w:top w:val="single" w:color="000000" w:sz="4" w:space="0"/>
              <w:left w:val="single" w:color="000000" w:sz="4" w:space="0"/>
              <w:bottom w:val="single" w:color="000000" w:sz="4" w:space="0"/>
              <w:right w:val="single" w:color="000000" w:sz="4" w:space="0"/>
            </w:tcBorders>
            <w:vAlign w:val="center"/>
          </w:tcPr>
          <w:p w14:paraId="43934201">
            <w:pPr>
              <w:pStyle w:val="28"/>
              <w:bidi w:val="0"/>
            </w:pPr>
            <w:r>
              <w:t>32.43416443</w:t>
            </w:r>
          </w:p>
        </w:tc>
        <w:tc>
          <w:tcPr>
            <w:tcW w:w="348" w:type="pct"/>
            <w:tcBorders>
              <w:top w:val="single" w:color="000000" w:sz="4" w:space="0"/>
              <w:left w:val="single" w:color="000000" w:sz="4" w:space="0"/>
              <w:bottom w:val="single" w:color="000000" w:sz="4" w:space="0"/>
              <w:right w:val="single" w:color="000000" w:sz="4" w:space="0"/>
            </w:tcBorders>
            <w:vAlign w:val="center"/>
          </w:tcPr>
          <w:p w14:paraId="0EED08C6">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3735A9ED">
            <w:pPr>
              <w:pStyle w:val="28"/>
              <w:bidi w:val="0"/>
            </w:pPr>
            <w:r>
              <w:rPr>
                <w:rFonts w:hint="eastAsia"/>
              </w:rPr>
              <w:t>2</w:t>
            </w:r>
          </w:p>
        </w:tc>
      </w:tr>
      <w:tr w14:paraId="11FEF4E2">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31CB8EFC">
            <w:pPr>
              <w:pStyle w:val="28"/>
              <w:bidi w:val="0"/>
            </w:pPr>
            <w:r>
              <w:rPr>
                <w:rFonts w:hint="eastAsia"/>
              </w:rPr>
              <w:t>46</w:t>
            </w:r>
          </w:p>
        </w:tc>
        <w:tc>
          <w:tcPr>
            <w:tcW w:w="289" w:type="pct"/>
            <w:vMerge w:val="continue"/>
            <w:tcBorders>
              <w:left w:val="single" w:color="000000" w:sz="4" w:space="0"/>
              <w:right w:val="single" w:color="000000" w:sz="4" w:space="0"/>
            </w:tcBorders>
            <w:vAlign w:val="center"/>
          </w:tcPr>
          <w:p w14:paraId="067ACA99">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6F662D0A">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78A71FB7">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7C426526">
            <w:pPr>
              <w:pStyle w:val="28"/>
              <w:bidi w:val="0"/>
            </w:pPr>
            <w:r>
              <w:rPr>
                <w:rFonts w:hint="eastAsia"/>
              </w:rPr>
              <w:t>一东干渠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4843D57C">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43E644F1">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361E3997">
            <w:pPr>
              <w:pStyle w:val="28"/>
              <w:bidi w:val="0"/>
            </w:pPr>
            <w:r>
              <w:rPr>
                <w:rFonts w:hint="eastAsia"/>
              </w:rPr>
              <w:t>刘庙村</w:t>
            </w:r>
          </w:p>
        </w:tc>
        <w:tc>
          <w:tcPr>
            <w:tcW w:w="280" w:type="pct"/>
            <w:tcBorders>
              <w:top w:val="single" w:color="000000" w:sz="4" w:space="0"/>
              <w:left w:val="single" w:color="000000" w:sz="4" w:space="0"/>
              <w:bottom w:val="single" w:color="000000" w:sz="4" w:space="0"/>
              <w:right w:val="single" w:color="000000" w:sz="4" w:space="0"/>
            </w:tcBorders>
            <w:vAlign w:val="center"/>
          </w:tcPr>
          <w:p w14:paraId="0AE6E812">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7CD96243">
            <w:pPr>
              <w:pStyle w:val="28"/>
              <w:bidi w:val="0"/>
            </w:pPr>
            <w:r>
              <w:rPr>
                <w:rFonts w:hint="eastAsia"/>
              </w:rPr>
              <w:t>185</w:t>
            </w:r>
          </w:p>
        </w:tc>
        <w:tc>
          <w:tcPr>
            <w:tcW w:w="398" w:type="pct"/>
            <w:tcBorders>
              <w:top w:val="single" w:color="000000" w:sz="4" w:space="0"/>
              <w:left w:val="single" w:color="000000" w:sz="4" w:space="0"/>
              <w:bottom w:val="single" w:color="000000" w:sz="4" w:space="0"/>
              <w:right w:val="single" w:color="000000" w:sz="4" w:space="0"/>
            </w:tcBorders>
            <w:vAlign w:val="center"/>
          </w:tcPr>
          <w:p w14:paraId="236D0C2E">
            <w:pPr>
              <w:pStyle w:val="28"/>
              <w:bidi w:val="0"/>
            </w:pPr>
            <w:r>
              <w:t>116.950568</w:t>
            </w:r>
          </w:p>
        </w:tc>
        <w:tc>
          <w:tcPr>
            <w:tcW w:w="400" w:type="pct"/>
            <w:tcBorders>
              <w:top w:val="single" w:color="000000" w:sz="4" w:space="0"/>
              <w:left w:val="single" w:color="000000" w:sz="4" w:space="0"/>
              <w:bottom w:val="single" w:color="000000" w:sz="4" w:space="0"/>
              <w:right w:val="single" w:color="000000" w:sz="4" w:space="0"/>
            </w:tcBorders>
            <w:vAlign w:val="center"/>
          </w:tcPr>
          <w:p w14:paraId="50B9E358">
            <w:pPr>
              <w:pStyle w:val="28"/>
              <w:bidi w:val="0"/>
            </w:pPr>
            <w:r>
              <w:t>32.43856516</w:t>
            </w:r>
          </w:p>
        </w:tc>
        <w:tc>
          <w:tcPr>
            <w:tcW w:w="348" w:type="pct"/>
            <w:tcBorders>
              <w:top w:val="single" w:color="000000" w:sz="4" w:space="0"/>
              <w:left w:val="single" w:color="000000" w:sz="4" w:space="0"/>
              <w:bottom w:val="single" w:color="000000" w:sz="4" w:space="0"/>
              <w:right w:val="single" w:color="000000" w:sz="4" w:space="0"/>
            </w:tcBorders>
            <w:vAlign w:val="center"/>
          </w:tcPr>
          <w:p w14:paraId="0D3EFA76">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5DAA869F">
            <w:pPr>
              <w:pStyle w:val="28"/>
              <w:bidi w:val="0"/>
            </w:pPr>
            <w:r>
              <w:rPr>
                <w:rFonts w:hint="eastAsia"/>
              </w:rPr>
              <w:t>1</w:t>
            </w:r>
          </w:p>
        </w:tc>
      </w:tr>
      <w:tr w14:paraId="130B4701">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52C1A1E5">
            <w:pPr>
              <w:pStyle w:val="28"/>
              <w:bidi w:val="0"/>
            </w:pPr>
            <w:r>
              <w:rPr>
                <w:rFonts w:hint="eastAsia"/>
              </w:rPr>
              <w:t>47</w:t>
            </w:r>
          </w:p>
        </w:tc>
        <w:tc>
          <w:tcPr>
            <w:tcW w:w="289" w:type="pct"/>
            <w:vMerge w:val="continue"/>
            <w:tcBorders>
              <w:left w:val="single" w:color="000000" w:sz="4" w:space="0"/>
              <w:right w:val="single" w:color="000000" w:sz="4" w:space="0"/>
            </w:tcBorders>
            <w:vAlign w:val="center"/>
          </w:tcPr>
          <w:p w14:paraId="06F49AA4">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6D9E0730">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36ED1B97">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20F79C84">
            <w:pPr>
              <w:pStyle w:val="28"/>
              <w:bidi w:val="0"/>
            </w:pPr>
            <w:r>
              <w:rPr>
                <w:rFonts w:hint="eastAsia"/>
              </w:rPr>
              <w:t>一东干渠</w:t>
            </w:r>
          </w:p>
        </w:tc>
        <w:tc>
          <w:tcPr>
            <w:tcW w:w="321" w:type="pct"/>
            <w:tcBorders>
              <w:top w:val="single" w:color="000000" w:sz="4" w:space="0"/>
              <w:left w:val="single" w:color="000000" w:sz="4" w:space="0"/>
              <w:bottom w:val="single" w:color="000000" w:sz="4" w:space="0"/>
              <w:right w:val="single" w:color="000000" w:sz="4" w:space="0"/>
            </w:tcBorders>
            <w:vAlign w:val="center"/>
          </w:tcPr>
          <w:p w14:paraId="534242CB">
            <w:pPr>
              <w:pStyle w:val="28"/>
              <w:bidi w:val="0"/>
            </w:pPr>
            <w:r>
              <w:rPr>
                <w:rFonts w:hint="eastAsia"/>
              </w:rPr>
              <w:t>/</w:t>
            </w:r>
          </w:p>
        </w:tc>
        <w:tc>
          <w:tcPr>
            <w:tcW w:w="813" w:type="pct"/>
            <w:tcBorders>
              <w:top w:val="single" w:color="000000" w:sz="4" w:space="0"/>
              <w:left w:val="single" w:color="000000" w:sz="4" w:space="0"/>
              <w:bottom w:val="single" w:color="000000" w:sz="4" w:space="0"/>
              <w:right w:val="single" w:color="000000" w:sz="4" w:space="0"/>
            </w:tcBorders>
            <w:vAlign w:val="center"/>
          </w:tcPr>
          <w:p w14:paraId="5D0CDD00">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48FB620D">
            <w:pPr>
              <w:pStyle w:val="28"/>
              <w:bidi w:val="0"/>
            </w:pPr>
            <w:r>
              <w:rPr>
                <w:rFonts w:hint="eastAsia"/>
              </w:rPr>
              <w:t>刘大郢</w:t>
            </w:r>
          </w:p>
        </w:tc>
        <w:tc>
          <w:tcPr>
            <w:tcW w:w="280" w:type="pct"/>
            <w:tcBorders>
              <w:top w:val="single" w:color="000000" w:sz="4" w:space="0"/>
              <w:left w:val="single" w:color="000000" w:sz="4" w:space="0"/>
              <w:bottom w:val="single" w:color="000000" w:sz="4" w:space="0"/>
              <w:right w:val="single" w:color="000000" w:sz="4" w:space="0"/>
            </w:tcBorders>
            <w:vAlign w:val="center"/>
          </w:tcPr>
          <w:p w14:paraId="6C5EDE39">
            <w:pPr>
              <w:pStyle w:val="28"/>
              <w:bidi w:val="0"/>
            </w:pPr>
            <w:r>
              <w:rPr>
                <w:rFonts w:hint="eastAsia"/>
              </w:rPr>
              <w:t>W</w:t>
            </w:r>
          </w:p>
        </w:tc>
        <w:tc>
          <w:tcPr>
            <w:tcW w:w="270" w:type="pct"/>
            <w:tcBorders>
              <w:top w:val="single" w:color="000000" w:sz="4" w:space="0"/>
              <w:left w:val="single" w:color="000000" w:sz="4" w:space="0"/>
              <w:bottom w:val="single" w:color="000000" w:sz="4" w:space="0"/>
              <w:right w:val="single" w:color="000000" w:sz="4" w:space="0"/>
            </w:tcBorders>
            <w:vAlign w:val="center"/>
          </w:tcPr>
          <w:p w14:paraId="11B0AE35">
            <w:pPr>
              <w:pStyle w:val="28"/>
              <w:bidi w:val="0"/>
            </w:pPr>
            <w:r>
              <w:rPr>
                <w:rFonts w:hint="eastAsia"/>
              </w:rPr>
              <w:t>65</w:t>
            </w:r>
          </w:p>
        </w:tc>
        <w:tc>
          <w:tcPr>
            <w:tcW w:w="398" w:type="pct"/>
            <w:tcBorders>
              <w:top w:val="single" w:color="000000" w:sz="4" w:space="0"/>
              <w:left w:val="single" w:color="000000" w:sz="4" w:space="0"/>
              <w:bottom w:val="single" w:color="000000" w:sz="4" w:space="0"/>
              <w:right w:val="single" w:color="000000" w:sz="4" w:space="0"/>
            </w:tcBorders>
            <w:vAlign w:val="center"/>
          </w:tcPr>
          <w:p w14:paraId="3207C9FB">
            <w:pPr>
              <w:pStyle w:val="28"/>
              <w:bidi w:val="0"/>
            </w:pPr>
            <w:r>
              <w:t>116.9471884</w:t>
            </w:r>
          </w:p>
        </w:tc>
        <w:tc>
          <w:tcPr>
            <w:tcW w:w="400" w:type="pct"/>
            <w:tcBorders>
              <w:top w:val="single" w:color="000000" w:sz="4" w:space="0"/>
              <w:left w:val="single" w:color="000000" w:sz="4" w:space="0"/>
              <w:bottom w:val="single" w:color="000000" w:sz="4" w:space="0"/>
              <w:right w:val="single" w:color="000000" w:sz="4" w:space="0"/>
            </w:tcBorders>
            <w:vAlign w:val="center"/>
          </w:tcPr>
          <w:p w14:paraId="342998DC">
            <w:pPr>
              <w:pStyle w:val="28"/>
              <w:bidi w:val="0"/>
            </w:pPr>
            <w:r>
              <w:t>32.44442342</w:t>
            </w:r>
          </w:p>
        </w:tc>
        <w:tc>
          <w:tcPr>
            <w:tcW w:w="348" w:type="pct"/>
            <w:tcBorders>
              <w:top w:val="single" w:color="000000" w:sz="4" w:space="0"/>
              <w:left w:val="single" w:color="000000" w:sz="4" w:space="0"/>
              <w:bottom w:val="single" w:color="000000" w:sz="4" w:space="0"/>
              <w:right w:val="single" w:color="000000" w:sz="4" w:space="0"/>
            </w:tcBorders>
            <w:vAlign w:val="center"/>
          </w:tcPr>
          <w:p w14:paraId="4CD6CC85">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37946FF4">
            <w:pPr>
              <w:pStyle w:val="28"/>
              <w:bidi w:val="0"/>
            </w:pPr>
            <w:r>
              <w:rPr>
                <w:rFonts w:hint="eastAsia"/>
              </w:rPr>
              <w:t>1</w:t>
            </w:r>
          </w:p>
        </w:tc>
      </w:tr>
      <w:tr w14:paraId="2DE86DC4">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59270D54">
            <w:pPr>
              <w:pStyle w:val="28"/>
              <w:bidi w:val="0"/>
            </w:pPr>
            <w:r>
              <w:rPr>
                <w:rFonts w:hint="eastAsia"/>
              </w:rPr>
              <w:t>48</w:t>
            </w:r>
          </w:p>
        </w:tc>
        <w:tc>
          <w:tcPr>
            <w:tcW w:w="289" w:type="pct"/>
            <w:vMerge w:val="continue"/>
            <w:tcBorders>
              <w:left w:val="single" w:color="000000" w:sz="4" w:space="0"/>
              <w:right w:val="single" w:color="000000" w:sz="4" w:space="0"/>
            </w:tcBorders>
            <w:vAlign w:val="center"/>
          </w:tcPr>
          <w:p w14:paraId="0BE824CF">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6BE089CC">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1ABAF0E8">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2AF4C842">
            <w:pPr>
              <w:pStyle w:val="28"/>
              <w:bidi w:val="0"/>
            </w:pPr>
            <w:r>
              <w:rPr>
                <w:rFonts w:hint="eastAsia"/>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15316B4D">
            <w:pPr>
              <w:pStyle w:val="28"/>
              <w:bidi w:val="0"/>
            </w:pPr>
            <w:r>
              <w:rPr>
                <w:rFonts w:hint="eastAsia"/>
              </w:rPr>
              <w:t>桂岗支渠</w:t>
            </w:r>
          </w:p>
        </w:tc>
        <w:tc>
          <w:tcPr>
            <w:tcW w:w="813" w:type="pct"/>
            <w:tcBorders>
              <w:top w:val="single" w:color="000000" w:sz="4" w:space="0"/>
              <w:left w:val="single" w:color="000000" w:sz="4" w:space="0"/>
              <w:bottom w:val="single" w:color="000000" w:sz="4" w:space="0"/>
              <w:right w:val="single" w:color="000000" w:sz="4" w:space="0"/>
            </w:tcBorders>
            <w:vAlign w:val="center"/>
          </w:tcPr>
          <w:p w14:paraId="46FA20BA">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58874EE4">
            <w:pPr>
              <w:pStyle w:val="28"/>
              <w:bidi w:val="0"/>
            </w:pPr>
            <w:r>
              <w:rPr>
                <w:rFonts w:hint="eastAsia"/>
              </w:rPr>
              <w:t>刘龙集</w:t>
            </w:r>
          </w:p>
        </w:tc>
        <w:tc>
          <w:tcPr>
            <w:tcW w:w="280" w:type="pct"/>
            <w:tcBorders>
              <w:top w:val="single" w:color="000000" w:sz="4" w:space="0"/>
              <w:left w:val="single" w:color="000000" w:sz="4" w:space="0"/>
              <w:bottom w:val="single" w:color="000000" w:sz="4" w:space="0"/>
              <w:right w:val="single" w:color="000000" w:sz="4" w:space="0"/>
            </w:tcBorders>
            <w:vAlign w:val="center"/>
          </w:tcPr>
          <w:p w14:paraId="22DCCC07">
            <w:pPr>
              <w:pStyle w:val="28"/>
              <w:bidi w:val="0"/>
            </w:pPr>
            <w:r>
              <w:rPr>
                <w:rFonts w:hint="eastAsia"/>
              </w:rPr>
              <w:t>SE</w:t>
            </w:r>
          </w:p>
        </w:tc>
        <w:tc>
          <w:tcPr>
            <w:tcW w:w="270" w:type="pct"/>
            <w:tcBorders>
              <w:top w:val="single" w:color="000000" w:sz="4" w:space="0"/>
              <w:left w:val="single" w:color="000000" w:sz="4" w:space="0"/>
              <w:bottom w:val="single" w:color="000000" w:sz="4" w:space="0"/>
              <w:right w:val="single" w:color="000000" w:sz="4" w:space="0"/>
            </w:tcBorders>
            <w:vAlign w:val="center"/>
          </w:tcPr>
          <w:p w14:paraId="7884A978">
            <w:pPr>
              <w:pStyle w:val="28"/>
              <w:bidi w:val="0"/>
            </w:pPr>
            <w:r>
              <w:rPr>
                <w:rFonts w:hint="eastAsia"/>
              </w:rPr>
              <w:t>48</w:t>
            </w:r>
          </w:p>
        </w:tc>
        <w:tc>
          <w:tcPr>
            <w:tcW w:w="398" w:type="pct"/>
            <w:tcBorders>
              <w:top w:val="single" w:color="000000" w:sz="4" w:space="0"/>
              <w:left w:val="single" w:color="000000" w:sz="4" w:space="0"/>
              <w:bottom w:val="single" w:color="000000" w:sz="4" w:space="0"/>
              <w:right w:val="single" w:color="000000" w:sz="4" w:space="0"/>
            </w:tcBorders>
            <w:vAlign w:val="center"/>
          </w:tcPr>
          <w:p w14:paraId="557610D3">
            <w:pPr>
              <w:pStyle w:val="28"/>
              <w:bidi w:val="0"/>
            </w:pPr>
            <w:r>
              <w:t>116.9222117</w:t>
            </w:r>
          </w:p>
        </w:tc>
        <w:tc>
          <w:tcPr>
            <w:tcW w:w="400" w:type="pct"/>
            <w:tcBorders>
              <w:top w:val="single" w:color="000000" w:sz="4" w:space="0"/>
              <w:left w:val="single" w:color="000000" w:sz="4" w:space="0"/>
              <w:bottom w:val="single" w:color="000000" w:sz="4" w:space="0"/>
              <w:right w:val="single" w:color="000000" w:sz="4" w:space="0"/>
            </w:tcBorders>
            <w:vAlign w:val="center"/>
          </w:tcPr>
          <w:p w14:paraId="1B1148D4">
            <w:pPr>
              <w:pStyle w:val="28"/>
              <w:bidi w:val="0"/>
            </w:pPr>
            <w:r>
              <w:t>32.42719164</w:t>
            </w:r>
          </w:p>
        </w:tc>
        <w:tc>
          <w:tcPr>
            <w:tcW w:w="348" w:type="pct"/>
            <w:tcBorders>
              <w:top w:val="single" w:color="000000" w:sz="4" w:space="0"/>
              <w:left w:val="single" w:color="000000" w:sz="4" w:space="0"/>
              <w:bottom w:val="single" w:color="000000" w:sz="4" w:space="0"/>
              <w:right w:val="single" w:color="000000" w:sz="4" w:space="0"/>
            </w:tcBorders>
            <w:vAlign w:val="center"/>
          </w:tcPr>
          <w:p w14:paraId="724B810D">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626FD9E3">
            <w:pPr>
              <w:pStyle w:val="28"/>
              <w:bidi w:val="0"/>
            </w:pPr>
            <w:r>
              <w:rPr>
                <w:rFonts w:hint="eastAsia"/>
              </w:rPr>
              <w:t>1</w:t>
            </w:r>
          </w:p>
        </w:tc>
      </w:tr>
      <w:tr w14:paraId="06733D7B">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2C1559E3">
            <w:pPr>
              <w:pStyle w:val="28"/>
              <w:bidi w:val="0"/>
            </w:pPr>
            <w:r>
              <w:rPr>
                <w:rFonts w:hint="eastAsia"/>
              </w:rPr>
              <w:t>49</w:t>
            </w:r>
          </w:p>
        </w:tc>
        <w:tc>
          <w:tcPr>
            <w:tcW w:w="289" w:type="pct"/>
            <w:vMerge w:val="continue"/>
            <w:tcBorders>
              <w:left w:val="single" w:color="000000" w:sz="4" w:space="0"/>
              <w:right w:val="single" w:color="000000" w:sz="4" w:space="0"/>
            </w:tcBorders>
            <w:vAlign w:val="center"/>
          </w:tcPr>
          <w:p w14:paraId="192AB498">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5C09583B">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1683370C">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6F86CF87">
            <w:pPr>
              <w:pStyle w:val="28"/>
              <w:bidi w:val="0"/>
            </w:pPr>
            <w:r>
              <w:rPr>
                <w:rFonts w:hint="eastAsia"/>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639CCB38">
            <w:pPr>
              <w:pStyle w:val="28"/>
              <w:bidi w:val="0"/>
            </w:pPr>
            <w:r>
              <w:rPr>
                <w:rFonts w:hint="eastAsia"/>
              </w:rPr>
              <w:t>桂岗支渠</w:t>
            </w:r>
          </w:p>
        </w:tc>
        <w:tc>
          <w:tcPr>
            <w:tcW w:w="813" w:type="pct"/>
            <w:tcBorders>
              <w:top w:val="single" w:color="000000" w:sz="4" w:space="0"/>
              <w:left w:val="single" w:color="000000" w:sz="4" w:space="0"/>
              <w:bottom w:val="single" w:color="000000" w:sz="4" w:space="0"/>
              <w:right w:val="single" w:color="000000" w:sz="4" w:space="0"/>
            </w:tcBorders>
            <w:vAlign w:val="center"/>
          </w:tcPr>
          <w:p w14:paraId="5E9F7F64">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48DD4F2A">
            <w:pPr>
              <w:pStyle w:val="28"/>
              <w:bidi w:val="0"/>
            </w:pPr>
            <w:r>
              <w:rPr>
                <w:rFonts w:hint="eastAsia"/>
              </w:rPr>
              <w:t>堆坊村</w:t>
            </w:r>
          </w:p>
        </w:tc>
        <w:tc>
          <w:tcPr>
            <w:tcW w:w="280" w:type="pct"/>
            <w:tcBorders>
              <w:top w:val="single" w:color="000000" w:sz="4" w:space="0"/>
              <w:left w:val="single" w:color="000000" w:sz="4" w:space="0"/>
              <w:bottom w:val="single" w:color="000000" w:sz="4" w:space="0"/>
              <w:right w:val="single" w:color="000000" w:sz="4" w:space="0"/>
            </w:tcBorders>
            <w:vAlign w:val="center"/>
          </w:tcPr>
          <w:p w14:paraId="11E1FA88">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4395AC33">
            <w:pPr>
              <w:pStyle w:val="28"/>
              <w:bidi w:val="0"/>
            </w:pPr>
            <w:r>
              <w:rPr>
                <w:rFonts w:hint="eastAsia"/>
              </w:rPr>
              <w:t>61</w:t>
            </w:r>
          </w:p>
        </w:tc>
        <w:tc>
          <w:tcPr>
            <w:tcW w:w="398" w:type="pct"/>
            <w:tcBorders>
              <w:top w:val="single" w:color="000000" w:sz="4" w:space="0"/>
              <w:left w:val="single" w:color="000000" w:sz="4" w:space="0"/>
              <w:bottom w:val="single" w:color="000000" w:sz="4" w:space="0"/>
              <w:right w:val="single" w:color="000000" w:sz="4" w:space="0"/>
            </w:tcBorders>
            <w:vAlign w:val="center"/>
          </w:tcPr>
          <w:p w14:paraId="23E8EB89">
            <w:pPr>
              <w:pStyle w:val="28"/>
              <w:bidi w:val="0"/>
            </w:pPr>
            <w:r>
              <w:t>116.9237781</w:t>
            </w:r>
          </w:p>
        </w:tc>
        <w:tc>
          <w:tcPr>
            <w:tcW w:w="400" w:type="pct"/>
            <w:tcBorders>
              <w:top w:val="single" w:color="000000" w:sz="4" w:space="0"/>
              <w:left w:val="single" w:color="000000" w:sz="4" w:space="0"/>
              <w:bottom w:val="single" w:color="000000" w:sz="4" w:space="0"/>
              <w:right w:val="single" w:color="000000" w:sz="4" w:space="0"/>
            </w:tcBorders>
            <w:vAlign w:val="center"/>
          </w:tcPr>
          <w:p w14:paraId="1DDBD1E9">
            <w:pPr>
              <w:pStyle w:val="28"/>
              <w:bidi w:val="0"/>
            </w:pPr>
            <w:r>
              <w:t>32.43024343</w:t>
            </w:r>
          </w:p>
        </w:tc>
        <w:tc>
          <w:tcPr>
            <w:tcW w:w="348" w:type="pct"/>
            <w:tcBorders>
              <w:top w:val="single" w:color="000000" w:sz="4" w:space="0"/>
              <w:left w:val="single" w:color="000000" w:sz="4" w:space="0"/>
              <w:bottom w:val="single" w:color="000000" w:sz="4" w:space="0"/>
              <w:right w:val="single" w:color="000000" w:sz="4" w:space="0"/>
            </w:tcBorders>
            <w:vAlign w:val="center"/>
          </w:tcPr>
          <w:p w14:paraId="2071B7F3">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26222C22">
            <w:pPr>
              <w:pStyle w:val="28"/>
              <w:bidi w:val="0"/>
            </w:pPr>
            <w:r>
              <w:rPr>
                <w:rFonts w:hint="eastAsia"/>
              </w:rPr>
              <w:t>1</w:t>
            </w:r>
          </w:p>
        </w:tc>
      </w:tr>
      <w:tr w14:paraId="5563179D">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35E22B34">
            <w:pPr>
              <w:pStyle w:val="28"/>
              <w:bidi w:val="0"/>
            </w:pPr>
            <w:r>
              <w:rPr>
                <w:rFonts w:hint="eastAsia"/>
              </w:rPr>
              <w:t>50</w:t>
            </w:r>
          </w:p>
        </w:tc>
        <w:tc>
          <w:tcPr>
            <w:tcW w:w="289" w:type="pct"/>
            <w:vMerge w:val="continue"/>
            <w:tcBorders>
              <w:left w:val="single" w:color="000000" w:sz="4" w:space="0"/>
              <w:right w:val="single" w:color="000000" w:sz="4" w:space="0"/>
            </w:tcBorders>
            <w:vAlign w:val="center"/>
          </w:tcPr>
          <w:p w14:paraId="2D8B37F3">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443F7BA9">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78D85137">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36150587">
            <w:pPr>
              <w:pStyle w:val="28"/>
              <w:bidi w:val="0"/>
            </w:pPr>
            <w:r>
              <w:rPr>
                <w:rFonts w:hint="eastAsia"/>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1BFB790A">
            <w:pPr>
              <w:pStyle w:val="28"/>
              <w:bidi w:val="0"/>
            </w:pPr>
            <w:r>
              <w:rPr>
                <w:rFonts w:hint="eastAsia"/>
              </w:rPr>
              <w:t>桂岗支渠</w:t>
            </w:r>
          </w:p>
        </w:tc>
        <w:tc>
          <w:tcPr>
            <w:tcW w:w="813" w:type="pct"/>
            <w:tcBorders>
              <w:top w:val="single" w:color="000000" w:sz="4" w:space="0"/>
              <w:left w:val="single" w:color="000000" w:sz="4" w:space="0"/>
              <w:bottom w:val="single" w:color="000000" w:sz="4" w:space="0"/>
              <w:right w:val="single" w:color="000000" w:sz="4" w:space="0"/>
            </w:tcBorders>
            <w:vAlign w:val="center"/>
          </w:tcPr>
          <w:p w14:paraId="7A81A36E">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065C57B7">
            <w:pPr>
              <w:pStyle w:val="28"/>
              <w:bidi w:val="0"/>
            </w:pPr>
            <w:r>
              <w:rPr>
                <w:rFonts w:hint="eastAsia"/>
              </w:rPr>
              <w:t>小邓郢</w:t>
            </w:r>
          </w:p>
        </w:tc>
        <w:tc>
          <w:tcPr>
            <w:tcW w:w="280" w:type="pct"/>
            <w:tcBorders>
              <w:top w:val="single" w:color="000000" w:sz="4" w:space="0"/>
              <w:left w:val="single" w:color="000000" w:sz="4" w:space="0"/>
              <w:bottom w:val="single" w:color="000000" w:sz="4" w:space="0"/>
              <w:right w:val="single" w:color="000000" w:sz="4" w:space="0"/>
            </w:tcBorders>
            <w:vAlign w:val="center"/>
          </w:tcPr>
          <w:p w14:paraId="012AC255">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27051973">
            <w:pPr>
              <w:pStyle w:val="28"/>
              <w:bidi w:val="0"/>
            </w:pPr>
            <w:r>
              <w:rPr>
                <w:rFonts w:hint="eastAsia"/>
              </w:rPr>
              <w:t>75</w:t>
            </w:r>
          </w:p>
        </w:tc>
        <w:tc>
          <w:tcPr>
            <w:tcW w:w="398" w:type="pct"/>
            <w:tcBorders>
              <w:top w:val="single" w:color="000000" w:sz="4" w:space="0"/>
              <w:left w:val="single" w:color="000000" w:sz="4" w:space="0"/>
              <w:bottom w:val="single" w:color="000000" w:sz="4" w:space="0"/>
              <w:right w:val="single" w:color="000000" w:sz="4" w:space="0"/>
            </w:tcBorders>
            <w:vAlign w:val="center"/>
          </w:tcPr>
          <w:p w14:paraId="207A7771">
            <w:pPr>
              <w:pStyle w:val="28"/>
              <w:bidi w:val="0"/>
            </w:pPr>
            <w:r>
              <w:t>116.9245398</w:t>
            </w:r>
          </w:p>
        </w:tc>
        <w:tc>
          <w:tcPr>
            <w:tcW w:w="400" w:type="pct"/>
            <w:tcBorders>
              <w:top w:val="single" w:color="000000" w:sz="4" w:space="0"/>
              <w:left w:val="single" w:color="000000" w:sz="4" w:space="0"/>
              <w:bottom w:val="single" w:color="000000" w:sz="4" w:space="0"/>
              <w:right w:val="single" w:color="000000" w:sz="4" w:space="0"/>
            </w:tcBorders>
            <w:vAlign w:val="center"/>
          </w:tcPr>
          <w:p w14:paraId="034AB0C8">
            <w:pPr>
              <w:pStyle w:val="28"/>
              <w:bidi w:val="0"/>
            </w:pPr>
            <w:r>
              <w:t>32.43561325</w:t>
            </w:r>
          </w:p>
        </w:tc>
        <w:tc>
          <w:tcPr>
            <w:tcW w:w="348" w:type="pct"/>
            <w:tcBorders>
              <w:top w:val="single" w:color="000000" w:sz="4" w:space="0"/>
              <w:left w:val="single" w:color="000000" w:sz="4" w:space="0"/>
              <w:bottom w:val="single" w:color="000000" w:sz="4" w:space="0"/>
              <w:right w:val="single" w:color="000000" w:sz="4" w:space="0"/>
            </w:tcBorders>
            <w:vAlign w:val="center"/>
          </w:tcPr>
          <w:p w14:paraId="0A94CCE4">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3DC5FAF4">
            <w:pPr>
              <w:pStyle w:val="28"/>
              <w:bidi w:val="0"/>
            </w:pPr>
            <w:r>
              <w:rPr>
                <w:rFonts w:hint="eastAsia"/>
              </w:rPr>
              <w:t>1</w:t>
            </w:r>
          </w:p>
        </w:tc>
      </w:tr>
      <w:tr w14:paraId="533BEB18">
        <w:tblPrEx>
          <w:tblCellMar>
            <w:top w:w="0" w:type="dxa"/>
            <w:left w:w="108" w:type="dxa"/>
            <w:bottom w:w="0" w:type="dxa"/>
            <w:right w:w="108" w:type="dxa"/>
          </w:tblCellMar>
        </w:tblPrEx>
        <w:trPr>
          <w:trHeight w:val="340" w:hRule="atLeast"/>
          <w:jc w:val="center"/>
        </w:trPr>
        <w:tc>
          <w:tcPr>
            <w:tcW w:w="289" w:type="pct"/>
            <w:tcBorders>
              <w:top w:val="single" w:color="000000" w:sz="4" w:space="0"/>
              <w:left w:val="single" w:color="000000" w:sz="4" w:space="0"/>
              <w:bottom w:val="single" w:color="000000" w:sz="4" w:space="0"/>
              <w:right w:val="single" w:color="000000" w:sz="4" w:space="0"/>
            </w:tcBorders>
            <w:vAlign w:val="center"/>
          </w:tcPr>
          <w:p w14:paraId="4FF49730">
            <w:pPr>
              <w:pStyle w:val="28"/>
              <w:bidi w:val="0"/>
            </w:pPr>
            <w:r>
              <w:rPr>
                <w:rFonts w:hint="eastAsia"/>
              </w:rPr>
              <w:t>51</w:t>
            </w:r>
          </w:p>
        </w:tc>
        <w:tc>
          <w:tcPr>
            <w:tcW w:w="289" w:type="pct"/>
            <w:vMerge w:val="continue"/>
            <w:tcBorders>
              <w:left w:val="single" w:color="000000" w:sz="4" w:space="0"/>
              <w:bottom w:val="single" w:color="000000" w:sz="4" w:space="0"/>
              <w:right w:val="single" w:color="000000" w:sz="4" w:space="0"/>
            </w:tcBorders>
            <w:vAlign w:val="center"/>
          </w:tcPr>
          <w:p w14:paraId="05C2A9A8">
            <w:pPr>
              <w:pStyle w:val="28"/>
              <w:bidi w:val="0"/>
            </w:pPr>
          </w:p>
        </w:tc>
        <w:tc>
          <w:tcPr>
            <w:tcW w:w="289" w:type="pct"/>
            <w:tcBorders>
              <w:top w:val="single" w:color="000000" w:sz="4" w:space="0"/>
              <w:left w:val="single" w:color="000000" w:sz="4" w:space="0"/>
              <w:bottom w:val="single" w:color="000000" w:sz="4" w:space="0"/>
              <w:right w:val="single" w:color="000000" w:sz="4" w:space="0"/>
            </w:tcBorders>
            <w:vAlign w:val="center"/>
          </w:tcPr>
          <w:p w14:paraId="4177DFA7">
            <w:pPr>
              <w:pStyle w:val="28"/>
              <w:bidi w:val="0"/>
            </w:pPr>
            <w:r>
              <w:rPr>
                <w:rFonts w:hint="eastAsia"/>
              </w:rPr>
              <w:t>/</w:t>
            </w:r>
          </w:p>
        </w:tc>
        <w:tc>
          <w:tcPr>
            <w:tcW w:w="234" w:type="pct"/>
            <w:tcBorders>
              <w:top w:val="single" w:color="000000" w:sz="4" w:space="0"/>
              <w:left w:val="single" w:color="000000" w:sz="4" w:space="0"/>
              <w:bottom w:val="single" w:color="000000" w:sz="4" w:space="0"/>
              <w:right w:val="single" w:color="000000" w:sz="4" w:space="0"/>
            </w:tcBorders>
            <w:vAlign w:val="center"/>
          </w:tcPr>
          <w:p w14:paraId="05C47772">
            <w:pPr>
              <w:pStyle w:val="28"/>
              <w:bidi w:val="0"/>
            </w:pPr>
            <w:r>
              <w:rPr>
                <w:rFonts w:hint="eastAsia"/>
              </w:rPr>
              <w:t>/</w:t>
            </w:r>
          </w:p>
        </w:tc>
        <w:tc>
          <w:tcPr>
            <w:tcW w:w="343" w:type="pct"/>
            <w:tcBorders>
              <w:top w:val="single" w:color="000000" w:sz="4" w:space="0"/>
              <w:left w:val="single" w:color="000000" w:sz="4" w:space="0"/>
              <w:bottom w:val="single" w:color="000000" w:sz="4" w:space="0"/>
              <w:right w:val="single" w:color="000000" w:sz="4" w:space="0"/>
            </w:tcBorders>
            <w:vAlign w:val="center"/>
          </w:tcPr>
          <w:p w14:paraId="351EF749">
            <w:pPr>
              <w:pStyle w:val="28"/>
              <w:bidi w:val="0"/>
            </w:pPr>
            <w:r>
              <w:rPr>
                <w:rFonts w:hint="eastAsia"/>
              </w:rPr>
              <w:t>/</w:t>
            </w:r>
          </w:p>
        </w:tc>
        <w:tc>
          <w:tcPr>
            <w:tcW w:w="321" w:type="pct"/>
            <w:tcBorders>
              <w:top w:val="single" w:color="000000" w:sz="4" w:space="0"/>
              <w:left w:val="single" w:color="000000" w:sz="4" w:space="0"/>
              <w:bottom w:val="single" w:color="000000" w:sz="4" w:space="0"/>
              <w:right w:val="single" w:color="000000" w:sz="4" w:space="0"/>
            </w:tcBorders>
            <w:vAlign w:val="center"/>
          </w:tcPr>
          <w:p w14:paraId="2275E906">
            <w:pPr>
              <w:pStyle w:val="28"/>
              <w:bidi w:val="0"/>
            </w:pPr>
            <w:r>
              <w:rPr>
                <w:rFonts w:hint="eastAsia"/>
              </w:rPr>
              <w:t>桂岗支渠</w:t>
            </w:r>
          </w:p>
        </w:tc>
        <w:tc>
          <w:tcPr>
            <w:tcW w:w="813" w:type="pct"/>
            <w:tcBorders>
              <w:top w:val="single" w:color="000000" w:sz="4" w:space="0"/>
              <w:left w:val="single" w:color="000000" w:sz="4" w:space="0"/>
              <w:bottom w:val="single" w:color="000000" w:sz="4" w:space="0"/>
              <w:right w:val="single" w:color="000000" w:sz="4" w:space="0"/>
            </w:tcBorders>
            <w:vAlign w:val="center"/>
          </w:tcPr>
          <w:p w14:paraId="69D828F2">
            <w:pPr>
              <w:pStyle w:val="28"/>
              <w:bidi w:val="0"/>
            </w:pPr>
            <w:r>
              <w:rPr>
                <w:rFonts w:hint="eastAsia"/>
              </w:rPr>
              <w:t>衬砌工程</w:t>
            </w:r>
          </w:p>
        </w:tc>
        <w:tc>
          <w:tcPr>
            <w:tcW w:w="430" w:type="pct"/>
            <w:tcBorders>
              <w:top w:val="single" w:color="000000" w:sz="4" w:space="0"/>
              <w:left w:val="single" w:color="000000" w:sz="4" w:space="0"/>
              <w:bottom w:val="single" w:color="000000" w:sz="4" w:space="0"/>
              <w:right w:val="single" w:color="000000" w:sz="4" w:space="0"/>
            </w:tcBorders>
            <w:vAlign w:val="center"/>
          </w:tcPr>
          <w:p w14:paraId="5302A3B1">
            <w:pPr>
              <w:pStyle w:val="28"/>
              <w:bidi w:val="0"/>
            </w:pPr>
            <w:r>
              <w:rPr>
                <w:rFonts w:hint="eastAsia"/>
              </w:rPr>
              <w:t>堆眼</w:t>
            </w:r>
          </w:p>
        </w:tc>
        <w:tc>
          <w:tcPr>
            <w:tcW w:w="280" w:type="pct"/>
            <w:tcBorders>
              <w:top w:val="single" w:color="000000" w:sz="4" w:space="0"/>
              <w:left w:val="single" w:color="000000" w:sz="4" w:space="0"/>
              <w:bottom w:val="single" w:color="000000" w:sz="4" w:space="0"/>
              <w:right w:val="single" w:color="000000" w:sz="4" w:space="0"/>
            </w:tcBorders>
            <w:vAlign w:val="center"/>
          </w:tcPr>
          <w:p w14:paraId="4507C37D">
            <w:pPr>
              <w:pStyle w:val="28"/>
              <w:bidi w:val="0"/>
            </w:pPr>
            <w:r>
              <w:rPr>
                <w:rFonts w:hint="eastAsia"/>
              </w:rPr>
              <w:t>E</w:t>
            </w:r>
          </w:p>
        </w:tc>
        <w:tc>
          <w:tcPr>
            <w:tcW w:w="270" w:type="pct"/>
            <w:tcBorders>
              <w:top w:val="single" w:color="000000" w:sz="4" w:space="0"/>
              <w:left w:val="single" w:color="000000" w:sz="4" w:space="0"/>
              <w:bottom w:val="single" w:color="000000" w:sz="4" w:space="0"/>
              <w:right w:val="single" w:color="000000" w:sz="4" w:space="0"/>
            </w:tcBorders>
            <w:vAlign w:val="center"/>
          </w:tcPr>
          <w:p w14:paraId="3879A742">
            <w:pPr>
              <w:pStyle w:val="28"/>
              <w:bidi w:val="0"/>
            </w:pPr>
            <w:r>
              <w:rPr>
                <w:rFonts w:hint="eastAsia"/>
              </w:rPr>
              <w:t>188</w:t>
            </w:r>
          </w:p>
        </w:tc>
        <w:tc>
          <w:tcPr>
            <w:tcW w:w="398" w:type="pct"/>
            <w:tcBorders>
              <w:top w:val="single" w:color="000000" w:sz="4" w:space="0"/>
              <w:left w:val="single" w:color="000000" w:sz="4" w:space="0"/>
              <w:bottom w:val="single" w:color="000000" w:sz="4" w:space="0"/>
              <w:right w:val="single" w:color="000000" w:sz="4" w:space="0"/>
            </w:tcBorders>
            <w:vAlign w:val="center"/>
          </w:tcPr>
          <w:p w14:paraId="37F51171">
            <w:pPr>
              <w:pStyle w:val="28"/>
              <w:bidi w:val="0"/>
            </w:pPr>
            <w:r>
              <w:t>116.9261813</w:t>
            </w:r>
          </w:p>
        </w:tc>
        <w:tc>
          <w:tcPr>
            <w:tcW w:w="400" w:type="pct"/>
            <w:tcBorders>
              <w:top w:val="single" w:color="000000" w:sz="4" w:space="0"/>
              <w:left w:val="single" w:color="000000" w:sz="4" w:space="0"/>
              <w:bottom w:val="single" w:color="000000" w:sz="4" w:space="0"/>
              <w:right w:val="single" w:color="000000" w:sz="4" w:space="0"/>
            </w:tcBorders>
            <w:vAlign w:val="center"/>
          </w:tcPr>
          <w:p w14:paraId="0F32A99A">
            <w:pPr>
              <w:pStyle w:val="28"/>
              <w:bidi w:val="0"/>
            </w:pPr>
            <w:r>
              <w:t>32.44156225</w:t>
            </w:r>
          </w:p>
        </w:tc>
        <w:tc>
          <w:tcPr>
            <w:tcW w:w="348" w:type="pct"/>
            <w:tcBorders>
              <w:top w:val="single" w:color="000000" w:sz="4" w:space="0"/>
              <w:left w:val="single" w:color="000000" w:sz="4" w:space="0"/>
              <w:bottom w:val="single" w:color="000000" w:sz="4" w:space="0"/>
              <w:right w:val="single" w:color="000000" w:sz="4" w:space="0"/>
            </w:tcBorders>
            <w:vAlign w:val="center"/>
          </w:tcPr>
          <w:p w14:paraId="4BA3DAB7">
            <w:pPr>
              <w:pStyle w:val="28"/>
              <w:bidi w:val="0"/>
            </w:pPr>
            <w:r>
              <w:rPr>
                <w:rFonts w:hint="eastAsia"/>
              </w:rPr>
              <w:t>淮南市谢家集区</w:t>
            </w:r>
          </w:p>
        </w:tc>
        <w:tc>
          <w:tcPr>
            <w:tcW w:w="291" w:type="pct"/>
            <w:tcBorders>
              <w:top w:val="single" w:color="000000" w:sz="4" w:space="0"/>
              <w:left w:val="single" w:color="000000" w:sz="4" w:space="0"/>
              <w:bottom w:val="single" w:color="000000" w:sz="4" w:space="0"/>
              <w:right w:val="single" w:color="000000" w:sz="4" w:space="0"/>
            </w:tcBorders>
            <w:vAlign w:val="center"/>
          </w:tcPr>
          <w:p w14:paraId="0E94C8E2">
            <w:pPr>
              <w:pStyle w:val="28"/>
              <w:bidi w:val="0"/>
            </w:pPr>
            <w:r>
              <w:rPr>
                <w:rFonts w:hint="eastAsia"/>
              </w:rPr>
              <w:t>1</w:t>
            </w:r>
          </w:p>
        </w:tc>
      </w:tr>
    </w:tbl>
    <w:p w14:paraId="02505A94">
      <w:pPr>
        <w:numPr>
          <w:ilvl w:val="4"/>
          <w:numId w:val="0"/>
        </w:numPr>
        <w:adjustRightInd w:val="0"/>
        <w:jc w:val="center"/>
        <w:textAlignment w:val="center"/>
        <w:rPr>
          <w:rFonts w:eastAsia="黑体" w:cs="Times New Roman"/>
          <w:color w:val="0000FF"/>
        </w:rPr>
      </w:pPr>
    </w:p>
    <w:p w14:paraId="7BCA82C5">
      <w:pPr>
        <w:numPr>
          <w:ilvl w:val="4"/>
          <w:numId w:val="0"/>
        </w:numPr>
        <w:adjustRightInd w:val="0"/>
        <w:jc w:val="center"/>
        <w:textAlignment w:val="center"/>
        <w:rPr>
          <w:rFonts w:eastAsia="黑体" w:cs="Times New Roman"/>
          <w:color w:val="0000FF"/>
        </w:rPr>
      </w:pPr>
    </w:p>
    <w:p w14:paraId="1DB8F023">
      <w:pPr>
        <w:adjustRightInd w:val="0"/>
        <w:ind w:firstLine="482" w:firstLineChars="200"/>
        <w:textAlignment w:val="center"/>
        <w:rPr>
          <w:rFonts w:cs="Times New Roman"/>
          <w:b/>
          <w:color w:val="0000FF"/>
        </w:rPr>
        <w:sectPr>
          <w:pgSz w:w="16838" w:h="11905" w:orient="landscape"/>
          <w:pgMar w:top="1417" w:right="1417" w:bottom="1417" w:left="1417" w:header="850" w:footer="850" w:gutter="0"/>
          <w:pgNumType w:fmt="decimal"/>
          <w:cols w:space="0" w:num="1"/>
          <w:rtlGutter w:val="0"/>
          <w:docGrid w:linePitch="286" w:charSpace="0"/>
        </w:sectPr>
      </w:pPr>
    </w:p>
    <w:p w14:paraId="56E80CF2">
      <w:pPr>
        <w:adjustRightInd w:val="0"/>
        <w:ind w:firstLine="480" w:firstLineChars="200"/>
        <w:textAlignment w:val="center"/>
        <w:rPr>
          <w:rFonts w:cs="Times New Roman"/>
          <w:bCs/>
        </w:rPr>
      </w:pPr>
      <w:r>
        <w:rPr>
          <w:rFonts w:cs="Times New Roman"/>
          <w:bCs/>
        </w:rPr>
        <w:t>（2）监测项目和监测方法</w:t>
      </w:r>
    </w:p>
    <w:p w14:paraId="79C7F582">
      <w:pPr>
        <w:adjustRightInd w:val="0"/>
        <w:ind w:firstLine="480" w:firstLineChars="200"/>
        <w:textAlignment w:val="center"/>
        <w:rPr>
          <w:rFonts w:cs="Times New Roman"/>
        </w:rPr>
      </w:pPr>
      <w:r>
        <w:rPr>
          <w:rFonts w:cs="Times New Roman"/>
        </w:rPr>
        <w:t>监测项目：等效连续A声级（Leq）昼夜间噪声，昼间06：00～22：00，夜间22：00～06：00（次日）。</w:t>
      </w:r>
    </w:p>
    <w:p w14:paraId="3C7B3675">
      <w:pPr>
        <w:adjustRightInd w:val="0"/>
        <w:ind w:firstLine="480" w:firstLineChars="200"/>
        <w:textAlignment w:val="center"/>
        <w:rPr>
          <w:rFonts w:cs="Times New Roman"/>
        </w:rPr>
      </w:pPr>
      <w:r>
        <w:rPr>
          <w:rFonts w:cs="Times New Roman"/>
        </w:rPr>
        <w:t>监测方法：测量方法按照生态环境部颁布的噪声监测方法标准和《声环境质量标准》（GB3096-2008）中有关规定和要求执行。</w:t>
      </w:r>
    </w:p>
    <w:p w14:paraId="41B9FDA5">
      <w:pPr>
        <w:adjustRightInd w:val="0"/>
        <w:ind w:firstLine="480" w:firstLineChars="200"/>
        <w:textAlignment w:val="center"/>
        <w:rPr>
          <w:rFonts w:cs="Times New Roman"/>
          <w:bCs/>
        </w:rPr>
      </w:pPr>
      <w:r>
        <w:rPr>
          <w:rFonts w:cs="Times New Roman"/>
          <w:bCs/>
        </w:rPr>
        <w:t>（3）监测时间和监测频次</w:t>
      </w:r>
    </w:p>
    <w:p w14:paraId="6AEE0639">
      <w:pPr>
        <w:adjustRightInd w:val="0"/>
        <w:ind w:firstLine="480" w:firstLineChars="200"/>
        <w:textAlignment w:val="center"/>
        <w:rPr>
          <w:rFonts w:cs="Times New Roman"/>
        </w:rPr>
      </w:pPr>
      <w:r>
        <w:rPr>
          <w:rFonts w:cs="Times New Roman"/>
        </w:rPr>
        <w:t>202</w:t>
      </w:r>
      <w:r>
        <w:rPr>
          <w:rFonts w:hint="eastAsia" w:cs="Times New Roman"/>
        </w:rPr>
        <w:t>4</w:t>
      </w:r>
      <w:r>
        <w:rPr>
          <w:rFonts w:cs="Times New Roman"/>
        </w:rPr>
        <w:t>年</w:t>
      </w:r>
      <w:r>
        <w:rPr>
          <w:rFonts w:hint="eastAsia" w:cs="Times New Roman"/>
        </w:rPr>
        <w:t>6</w:t>
      </w:r>
      <w:r>
        <w:rPr>
          <w:rFonts w:cs="Times New Roman"/>
        </w:rPr>
        <w:t>月2</w:t>
      </w:r>
      <w:r>
        <w:rPr>
          <w:rFonts w:hint="eastAsia" w:cs="Times New Roman"/>
        </w:rPr>
        <w:t>7</w:t>
      </w:r>
      <w:r>
        <w:rPr>
          <w:rFonts w:cs="Times New Roman"/>
        </w:rPr>
        <w:t>日至</w:t>
      </w:r>
      <w:r>
        <w:rPr>
          <w:rFonts w:hint="eastAsia" w:cs="Times New Roman"/>
        </w:rPr>
        <w:t>6</w:t>
      </w:r>
      <w:r>
        <w:rPr>
          <w:rFonts w:cs="Times New Roman"/>
        </w:rPr>
        <w:t>月2</w:t>
      </w:r>
      <w:r>
        <w:rPr>
          <w:rFonts w:hint="eastAsia" w:cs="Times New Roman"/>
        </w:rPr>
        <w:t>9</w:t>
      </w:r>
      <w:r>
        <w:rPr>
          <w:rFonts w:cs="Times New Roman"/>
        </w:rPr>
        <w:t>日，连续2天，对各个噪声</w:t>
      </w:r>
      <w:r>
        <w:rPr>
          <w:rFonts w:hint="eastAsia" w:cs="Times New Roman"/>
        </w:rPr>
        <w:t>监测</w:t>
      </w:r>
      <w:r>
        <w:rPr>
          <w:rFonts w:cs="Times New Roman"/>
        </w:rPr>
        <w:t>点进行昼间和夜间监测，每天两次（昼夜间各一次）。</w:t>
      </w:r>
    </w:p>
    <w:p w14:paraId="348AD503">
      <w:pPr>
        <w:adjustRightInd w:val="0"/>
        <w:ind w:firstLine="480" w:firstLineChars="200"/>
        <w:textAlignment w:val="center"/>
        <w:rPr>
          <w:rFonts w:cs="Times New Roman"/>
          <w:bCs/>
        </w:rPr>
      </w:pPr>
      <w:r>
        <w:rPr>
          <w:rFonts w:cs="Times New Roman"/>
          <w:bCs/>
        </w:rPr>
        <w:t>（4）评价标准及结果</w:t>
      </w:r>
    </w:p>
    <w:p w14:paraId="117E6E68">
      <w:pPr>
        <w:adjustRightInd w:val="0"/>
        <w:ind w:firstLine="480" w:firstLineChars="200"/>
        <w:textAlignment w:val="center"/>
        <w:rPr>
          <w:rFonts w:cs="Times New Roman"/>
        </w:rPr>
      </w:pPr>
      <w:r>
        <w:rPr>
          <w:rFonts w:cs="Times New Roman"/>
        </w:rPr>
        <w:t>声环境质量评价标准执行《声环境质量标准》（GB3096-2008）中1或2类标准。声环境质量现状监测及评价结果见</w:t>
      </w:r>
      <w:r>
        <w:rPr>
          <w:rFonts w:hint="eastAsia" w:cs="Times New Roman"/>
        </w:rPr>
        <w:t>下</w:t>
      </w:r>
      <w:r>
        <w:rPr>
          <w:rFonts w:cs="Times New Roman"/>
        </w:rPr>
        <w:t>表。</w:t>
      </w:r>
    </w:p>
    <w:p w14:paraId="7D891BAB">
      <w:pPr>
        <w:pStyle w:val="29"/>
        <w:bidi w:val="0"/>
      </w:pPr>
      <w:bookmarkStart w:id="54" w:name="_Hlk117014173"/>
      <w:r>
        <w:t>表</w:t>
      </w:r>
      <w:r>
        <w:rPr>
          <w:rFonts w:hint="eastAsia"/>
          <w:lang w:eastAsia="zh-CN"/>
        </w:rPr>
        <w:t>4.2</w:t>
      </w:r>
      <w:r>
        <w:t>-</w:t>
      </w:r>
      <w:r>
        <w:rPr>
          <w:rFonts w:hint="eastAsia"/>
        </w:rPr>
        <w:t>11</w:t>
      </w:r>
      <w:r>
        <w:t xml:space="preserve">  声环境质量现状监测及评价结果一览表</w:t>
      </w:r>
    </w:p>
    <w:bookmarkEnd w:id="54"/>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7"/>
        <w:gridCol w:w="1488"/>
        <w:gridCol w:w="1142"/>
        <w:gridCol w:w="1142"/>
        <w:gridCol w:w="1142"/>
        <w:gridCol w:w="1146"/>
        <w:gridCol w:w="1218"/>
        <w:gridCol w:w="1212"/>
      </w:tblGrid>
      <w:tr w14:paraId="0B11F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50" w:type="pct"/>
            <w:gridSpan w:val="2"/>
            <w:vMerge w:val="restart"/>
            <w:tcBorders>
              <w:top w:val="single" w:color="auto" w:sz="4" w:space="0"/>
              <w:left w:val="single" w:color="auto" w:sz="4" w:space="0"/>
              <w:right w:val="single" w:color="auto" w:sz="4" w:space="0"/>
            </w:tcBorders>
            <w:vAlign w:val="center"/>
          </w:tcPr>
          <w:p w14:paraId="0AEBB957">
            <w:pPr>
              <w:pStyle w:val="28"/>
              <w:bidi w:val="0"/>
            </w:pPr>
            <w:r>
              <w:t>检测位置</w:t>
            </w:r>
          </w:p>
        </w:tc>
        <w:tc>
          <w:tcPr>
            <w:tcW w:w="2502" w:type="pct"/>
            <w:gridSpan w:val="4"/>
            <w:tcBorders>
              <w:top w:val="single" w:color="auto" w:sz="4" w:space="0"/>
              <w:left w:val="single" w:color="auto" w:sz="4" w:space="0"/>
              <w:bottom w:val="single" w:color="auto" w:sz="4" w:space="0"/>
              <w:right w:val="single" w:color="auto" w:sz="4" w:space="0"/>
            </w:tcBorders>
            <w:vAlign w:val="center"/>
          </w:tcPr>
          <w:p w14:paraId="1402C7A0">
            <w:pPr>
              <w:pStyle w:val="28"/>
              <w:bidi w:val="0"/>
            </w:pPr>
            <w:r>
              <w:t>检测及评价结果</w:t>
            </w:r>
          </w:p>
        </w:tc>
        <w:tc>
          <w:tcPr>
            <w:tcW w:w="1247" w:type="pct"/>
            <w:gridSpan w:val="2"/>
            <w:vMerge w:val="restart"/>
            <w:tcBorders>
              <w:top w:val="single" w:color="auto" w:sz="4" w:space="0"/>
              <w:left w:val="single" w:color="auto" w:sz="4" w:space="0"/>
              <w:right w:val="single" w:color="auto" w:sz="4" w:space="0"/>
            </w:tcBorders>
            <w:vAlign w:val="center"/>
          </w:tcPr>
          <w:p w14:paraId="0D7F8D59">
            <w:pPr>
              <w:pStyle w:val="28"/>
              <w:bidi w:val="0"/>
            </w:pPr>
            <w:r>
              <w:t>执行标准</w:t>
            </w:r>
          </w:p>
        </w:tc>
      </w:tr>
      <w:tr w14:paraId="7485B6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50" w:type="pct"/>
            <w:gridSpan w:val="2"/>
            <w:vMerge w:val="continue"/>
            <w:tcBorders>
              <w:left w:val="single" w:color="auto" w:sz="4" w:space="0"/>
              <w:right w:val="single" w:color="auto" w:sz="4" w:space="0"/>
            </w:tcBorders>
            <w:vAlign w:val="center"/>
          </w:tcPr>
          <w:p w14:paraId="7AAC5428">
            <w:pPr>
              <w:pStyle w:val="28"/>
              <w:bidi w:val="0"/>
            </w:pPr>
          </w:p>
        </w:tc>
        <w:tc>
          <w:tcPr>
            <w:tcW w:w="1250" w:type="pct"/>
            <w:gridSpan w:val="2"/>
            <w:tcBorders>
              <w:top w:val="single" w:color="auto" w:sz="4" w:space="0"/>
              <w:left w:val="single" w:color="auto" w:sz="4" w:space="0"/>
              <w:bottom w:val="single" w:color="auto" w:sz="4" w:space="0"/>
              <w:right w:val="single" w:color="auto" w:sz="4" w:space="0"/>
            </w:tcBorders>
            <w:vAlign w:val="center"/>
          </w:tcPr>
          <w:p w14:paraId="7D82B283">
            <w:pPr>
              <w:pStyle w:val="28"/>
              <w:bidi w:val="0"/>
            </w:pPr>
            <w:r>
              <w:t>202</w:t>
            </w:r>
            <w:r>
              <w:rPr>
                <w:rFonts w:hint="eastAsia"/>
              </w:rPr>
              <w:t>4</w:t>
            </w:r>
            <w:r>
              <w:t>.0</w:t>
            </w:r>
            <w:r>
              <w:rPr>
                <w:rFonts w:hint="eastAsia"/>
              </w:rPr>
              <w:t>6</w:t>
            </w:r>
            <w:r>
              <w:t>.</w:t>
            </w:r>
            <w:r>
              <w:rPr>
                <w:rFonts w:hint="eastAsia"/>
              </w:rPr>
              <w:t>27</w:t>
            </w:r>
          </w:p>
        </w:tc>
        <w:tc>
          <w:tcPr>
            <w:tcW w:w="1252" w:type="pct"/>
            <w:gridSpan w:val="2"/>
            <w:tcBorders>
              <w:top w:val="single" w:color="auto" w:sz="4" w:space="0"/>
              <w:left w:val="single" w:color="auto" w:sz="4" w:space="0"/>
              <w:bottom w:val="single" w:color="auto" w:sz="4" w:space="0"/>
              <w:right w:val="single" w:color="auto" w:sz="4" w:space="0"/>
            </w:tcBorders>
            <w:vAlign w:val="center"/>
          </w:tcPr>
          <w:p w14:paraId="6507C230">
            <w:pPr>
              <w:pStyle w:val="28"/>
              <w:bidi w:val="0"/>
            </w:pPr>
            <w:r>
              <w:t>202</w:t>
            </w:r>
            <w:r>
              <w:rPr>
                <w:rFonts w:hint="eastAsia"/>
              </w:rPr>
              <w:t>4</w:t>
            </w:r>
            <w:r>
              <w:t>.0</w:t>
            </w:r>
            <w:r>
              <w:rPr>
                <w:rFonts w:hint="eastAsia"/>
              </w:rPr>
              <w:t>6</w:t>
            </w:r>
            <w:r>
              <w:t>.2</w:t>
            </w:r>
            <w:r>
              <w:rPr>
                <w:rFonts w:hint="eastAsia"/>
              </w:rPr>
              <w:t>8</w:t>
            </w:r>
          </w:p>
        </w:tc>
        <w:tc>
          <w:tcPr>
            <w:tcW w:w="1247" w:type="pct"/>
            <w:gridSpan w:val="2"/>
            <w:vMerge w:val="continue"/>
            <w:tcBorders>
              <w:left w:val="single" w:color="auto" w:sz="4" w:space="0"/>
              <w:bottom w:val="single" w:color="auto" w:sz="4" w:space="0"/>
              <w:right w:val="single" w:color="auto" w:sz="4" w:space="0"/>
            </w:tcBorders>
            <w:vAlign w:val="center"/>
          </w:tcPr>
          <w:p w14:paraId="6D1C9F48">
            <w:pPr>
              <w:pStyle w:val="28"/>
              <w:bidi w:val="0"/>
            </w:pPr>
          </w:p>
        </w:tc>
      </w:tr>
      <w:tr w14:paraId="558A5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50" w:type="pct"/>
            <w:gridSpan w:val="2"/>
            <w:vMerge w:val="continue"/>
            <w:tcBorders>
              <w:left w:val="single" w:color="auto" w:sz="4" w:space="0"/>
              <w:bottom w:val="single" w:color="auto" w:sz="4" w:space="0"/>
              <w:right w:val="single" w:color="auto" w:sz="4" w:space="0"/>
            </w:tcBorders>
            <w:vAlign w:val="center"/>
          </w:tcPr>
          <w:p w14:paraId="347A6F37">
            <w:pPr>
              <w:pStyle w:val="28"/>
              <w:bidi w:val="0"/>
            </w:pPr>
          </w:p>
        </w:tc>
        <w:tc>
          <w:tcPr>
            <w:tcW w:w="625" w:type="pct"/>
            <w:tcBorders>
              <w:top w:val="single" w:color="auto" w:sz="4" w:space="0"/>
              <w:left w:val="single" w:color="auto" w:sz="4" w:space="0"/>
              <w:bottom w:val="single" w:color="auto" w:sz="4" w:space="0"/>
              <w:right w:val="single" w:color="auto" w:sz="4" w:space="0"/>
            </w:tcBorders>
            <w:vAlign w:val="center"/>
          </w:tcPr>
          <w:p w14:paraId="4C7E3EA1">
            <w:pPr>
              <w:pStyle w:val="28"/>
              <w:bidi w:val="0"/>
            </w:pPr>
            <w:r>
              <w:t>昼间</w:t>
            </w:r>
          </w:p>
        </w:tc>
        <w:tc>
          <w:tcPr>
            <w:tcW w:w="625" w:type="pct"/>
            <w:tcBorders>
              <w:top w:val="single" w:color="auto" w:sz="4" w:space="0"/>
              <w:left w:val="single" w:color="auto" w:sz="4" w:space="0"/>
              <w:bottom w:val="single" w:color="auto" w:sz="4" w:space="0"/>
              <w:right w:val="single" w:color="auto" w:sz="4" w:space="0"/>
            </w:tcBorders>
            <w:vAlign w:val="center"/>
          </w:tcPr>
          <w:p w14:paraId="40BBB6F6">
            <w:pPr>
              <w:pStyle w:val="28"/>
              <w:bidi w:val="0"/>
            </w:pPr>
            <w:r>
              <w:t>夜间</w:t>
            </w:r>
          </w:p>
        </w:tc>
        <w:tc>
          <w:tcPr>
            <w:tcW w:w="625" w:type="pct"/>
            <w:tcBorders>
              <w:top w:val="single" w:color="auto" w:sz="4" w:space="0"/>
              <w:left w:val="single" w:color="auto" w:sz="4" w:space="0"/>
              <w:bottom w:val="single" w:color="auto" w:sz="4" w:space="0"/>
              <w:right w:val="single" w:color="auto" w:sz="4" w:space="0"/>
            </w:tcBorders>
            <w:vAlign w:val="center"/>
          </w:tcPr>
          <w:p w14:paraId="0680A754">
            <w:pPr>
              <w:pStyle w:val="28"/>
              <w:bidi w:val="0"/>
            </w:pPr>
            <w:r>
              <w:t>昼间</w:t>
            </w:r>
          </w:p>
        </w:tc>
        <w:tc>
          <w:tcPr>
            <w:tcW w:w="627" w:type="pct"/>
            <w:tcBorders>
              <w:top w:val="single" w:color="auto" w:sz="4" w:space="0"/>
              <w:left w:val="single" w:color="auto" w:sz="4" w:space="0"/>
              <w:bottom w:val="single" w:color="auto" w:sz="4" w:space="0"/>
              <w:right w:val="single" w:color="auto" w:sz="4" w:space="0"/>
            </w:tcBorders>
            <w:vAlign w:val="center"/>
          </w:tcPr>
          <w:p w14:paraId="6B44F909">
            <w:pPr>
              <w:pStyle w:val="28"/>
              <w:bidi w:val="0"/>
            </w:pPr>
            <w:r>
              <w:t>夜间</w:t>
            </w:r>
          </w:p>
        </w:tc>
        <w:tc>
          <w:tcPr>
            <w:tcW w:w="625" w:type="pct"/>
            <w:tcBorders>
              <w:top w:val="single" w:color="auto" w:sz="4" w:space="0"/>
              <w:left w:val="single" w:color="auto" w:sz="4" w:space="0"/>
              <w:bottom w:val="single" w:color="auto" w:sz="4" w:space="0"/>
              <w:right w:val="single" w:color="auto" w:sz="4" w:space="0"/>
            </w:tcBorders>
            <w:vAlign w:val="center"/>
          </w:tcPr>
          <w:p w14:paraId="66F7B004">
            <w:pPr>
              <w:pStyle w:val="28"/>
              <w:bidi w:val="0"/>
            </w:pPr>
            <w:r>
              <w:t>昼间</w:t>
            </w:r>
          </w:p>
        </w:tc>
        <w:tc>
          <w:tcPr>
            <w:tcW w:w="622" w:type="pct"/>
            <w:tcBorders>
              <w:top w:val="single" w:color="auto" w:sz="4" w:space="0"/>
              <w:left w:val="single" w:color="auto" w:sz="4" w:space="0"/>
              <w:bottom w:val="single" w:color="auto" w:sz="4" w:space="0"/>
              <w:right w:val="single" w:color="auto" w:sz="4" w:space="0"/>
            </w:tcBorders>
            <w:vAlign w:val="center"/>
          </w:tcPr>
          <w:p w14:paraId="66FC99D3">
            <w:pPr>
              <w:pStyle w:val="28"/>
              <w:bidi w:val="0"/>
            </w:pPr>
            <w:r>
              <w:t>夜间</w:t>
            </w:r>
          </w:p>
        </w:tc>
      </w:tr>
      <w:tr w14:paraId="01590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21CBC582">
            <w:pPr>
              <w:pStyle w:val="28"/>
              <w:bidi w:val="0"/>
            </w:pPr>
            <w:r>
              <w:t>N1</w:t>
            </w:r>
          </w:p>
        </w:tc>
        <w:tc>
          <w:tcPr>
            <w:tcW w:w="1580" w:type="dxa"/>
            <w:tcBorders>
              <w:top w:val="single" w:color="auto" w:sz="4" w:space="0"/>
              <w:left w:val="single" w:color="auto" w:sz="4" w:space="0"/>
              <w:bottom w:val="single" w:color="auto" w:sz="4" w:space="0"/>
              <w:right w:val="single" w:color="auto" w:sz="4" w:space="0"/>
            </w:tcBorders>
            <w:vAlign w:val="center"/>
          </w:tcPr>
          <w:p w14:paraId="23F268B1">
            <w:pPr>
              <w:pStyle w:val="28"/>
              <w:bidi w:val="0"/>
            </w:pPr>
            <w:r>
              <w:t>陈瓦房</w:t>
            </w:r>
          </w:p>
        </w:tc>
        <w:tc>
          <w:tcPr>
            <w:tcW w:w="1218" w:type="dxa"/>
            <w:tcBorders>
              <w:top w:val="single" w:color="auto" w:sz="4" w:space="0"/>
              <w:left w:val="single" w:color="auto" w:sz="4" w:space="0"/>
              <w:bottom w:val="single" w:color="auto" w:sz="4" w:space="0"/>
              <w:right w:val="single" w:color="auto" w:sz="4" w:space="0"/>
            </w:tcBorders>
          </w:tcPr>
          <w:p w14:paraId="7510BEA6">
            <w:pPr>
              <w:pStyle w:val="28"/>
              <w:bidi w:val="0"/>
            </w:pPr>
            <w:r>
              <w:t>50.8</w:t>
            </w:r>
          </w:p>
        </w:tc>
        <w:tc>
          <w:tcPr>
            <w:tcW w:w="1218" w:type="dxa"/>
            <w:tcBorders>
              <w:top w:val="single" w:color="auto" w:sz="4" w:space="0"/>
              <w:left w:val="single" w:color="auto" w:sz="4" w:space="0"/>
              <w:bottom w:val="single" w:color="auto" w:sz="4" w:space="0"/>
              <w:right w:val="single" w:color="auto" w:sz="4" w:space="0"/>
            </w:tcBorders>
          </w:tcPr>
          <w:p w14:paraId="37F604DF">
            <w:pPr>
              <w:pStyle w:val="28"/>
              <w:bidi w:val="0"/>
            </w:pPr>
            <w:r>
              <w:t>41.1</w:t>
            </w:r>
          </w:p>
        </w:tc>
        <w:tc>
          <w:tcPr>
            <w:tcW w:w="1218" w:type="dxa"/>
            <w:tcBorders>
              <w:top w:val="single" w:color="auto" w:sz="4" w:space="0"/>
              <w:left w:val="single" w:color="auto" w:sz="4" w:space="0"/>
              <w:bottom w:val="single" w:color="auto" w:sz="4" w:space="0"/>
              <w:right w:val="single" w:color="auto" w:sz="4" w:space="0"/>
            </w:tcBorders>
          </w:tcPr>
          <w:p w14:paraId="64091E3F">
            <w:pPr>
              <w:pStyle w:val="28"/>
              <w:bidi w:val="0"/>
            </w:pPr>
            <w:r>
              <w:t>52.1</w:t>
            </w:r>
          </w:p>
        </w:tc>
        <w:tc>
          <w:tcPr>
            <w:tcW w:w="1222" w:type="dxa"/>
            <w:tcBorders>
              <w:top w:val="single" w:color="auto" w:sz="4" w:space="0"/>
              <w:left w:val="single" w:color="auto" w:sz="4" w:space="0"/>
              <w:bottom w:val="single" w:color="auto" w:sz="4" w:space="0"/>
              <w:right w:val="single" w:color="auto" w:sz="4" w:space="0"/>
            </w:tcBorders>
          </w:tcPr>
          <w:p w14:paraId="763B5034">
            <w:pPr>
              <w:pStyle w:val="28"/>
              <w:bidi w:val="0"/>
            </w:pPr>
            <w:r>
              <w:t>43.1</w:t>
            </w:r>
          </w:p>
        </w:tc>
        <w:tc>
          <w:tcPr>
            <w:tcW w:w="625" w:type="pct"/>
            <w:tcBorders>
              <w:top w:val="single" w:color="auto" w:sz="4" w:space="0"/>
              <w:left w:val="single" w:color="auto" w:sz="4" w:space="0"/>
              <w:bottom w:val="single" w:color="auto" w:sz="4" w:space="0"/>
              <w:right w:val="single" w:color="auto" w:sz="4" w:space="0"/>
            </w:tcBorders>
            <w:vAlign w:val="center"/>
          </w:tcPr>
          <w:p w14:paraId="41675E92">
            <w:pPr>
              <w:pStyle w:val="28"/>
              <w:bidi w:val="0"/>
            </w:pPr>
            <w:r>
              <w:t>55</w:t>
            </w:r>
          </w:p>
        </w:tc>
        <w:tc>
          <w:tcPr>
            <w:tcW w:w="622" w:type="pct"/>
            <w:tcBorders>
              <w:top w:val="single" w:color="auto" w:sz="4" w:space="0"/>
              <w:left w:val="single" w:color="auto" w:sz="4" w:space="0"/>
              <w:bottom w:val="single" w:color="auto" w:sz="4" w:space="0"/>
              <w:right w:val="single" w:color="auto" w:sz="4" w:space="0"/>
            </w:tcBorders>
            <w:vAlign w:val="center"/>
          </w:tcPr>
          <w:p w14:paraId="7EA7D89C">
            <w:pPr>
              <w:pStyle w:val="28"/>
              <w:bidi w:val="0"/>
            </w:pPr>
            <w:r>
              <w:t>45</w:t>
            </w:r>
          </w:p>
        </w:tc>
      </w:tr>
      <w:tr w14:paraId="39FE35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0988F11C">
            <w:pPr>
              <w:pStyle w:val="28"/>
              <w:bidi w:val="0"/>
            </w:pPr>
            <w:r>
              <w:t>N2</w:t>
            </w:r>
          </w:p>
        </w:tc>
        <w:tc>
          <w:tcPr>
            <w:tcW w:w="1580" w:type="dxa"/>
            <w:tcBorders>
              <w:top w:val="single" w:color="auto" w:sz="4" w:space="0"/>
              <w:left w:val="single" w:color="auto" w:sz="4" w:space="0"/>
              <w:bottom w:val="single" w:color="auto" w:sz="4" w:space="0"/>
              <w:right w:val="single" w:color="auto" w:sz="4" w:space="0"/>
            </w:tcBorders>
            <w:vAlign w:val="center"/>
          </w:tcPr>
          <w:p w14:paraId="390266D2">
            <w:pPr>
              <w:pStyle w:val="28"/>
              <w:bidi w:val="0"/>
            </w:pPr>
            <w:r>
              <w:t>陈庙村</w:t>
            </w:r>
          </w:p>
        </w:tc>
        <w:tc>
          <w:tcPr>
            <w:tcW w:w="1218" w:type="dxa"/>
            <w:tcBorders>
              <w:top w:val="single" w:color="auto" w:sz="4" w:space="0"/>
              <w:left w:val="single" w:color="auto" w:sz="4" w:space="0"/>
              <w:bottom w:val="single" w:color="auto" w:sz="4" w:space="0"/>
              <w:right w:val="single" w:color="auto" w:sz="4" w:space="0"/>
            </w:tcBorders>
          </w:tcPr>
          <w:p w14:paraId="55E6F7AC">
            <w:pPr>
              <w:pStyle w:val="28"/>
              <w:bidi w:val="0"/>
            </w:pPr>
            <w:r>
              <w:t>53.5</w:t>
            </w:r>
          </w:p>
        </w:tc>
        <w:tc>
          <w:tcPr>
            <w:tcW w:w="1218" w:type="dxa"/>
            <w:tcBorders>
              <w:top w:val="single" w:color="auto" w:sz="4" w:space="0"/>
              <w:left w:val="single" w:color="auto" w:sz="4" w:space="0"/>
              <w:bottom w:val="single" w:color="auto" w:sz="4" w:space="0"/>
              <w:right w:val="single" w:color="auto" w:sz="4" w:space="0"/>
            </w:tcBorders>
          </w:tcPr>
          <w:p w14:paraId="45E5FAE4">
            <w:pPr>
              <w:pStyle w:val="28"/>
              <w:bidi w:val="0"/>
            </w:pPr>
            <w:r>
              <w:t>41.0</w:t>
            </w:r>
          </w:p>
        </w:tc>
        <w:tc>
          <w:tcPr>
            <w:tcW w:w="1218" w:type="dxa"/>
            <w:tcBorders>
              <w:top w:val="single" w:color="auto" w:sz="4" w:space="0"/>
              <w:left w:val="single" w:color="auto" w:sz="4" w:space="0"/>
              <w:bottom w:val="single" w:color="auto" w:sz="4" w:space="0"/>
              <w:right w:val="single" w:color="auto" w:sz="4" w:space="0"/>
            </w:tcBorders>
          </w:tcPr>
          <w:p w14:paraId="0EA9DD8B">
            <w:pPr>
              <w:pStyle w:val="28"/>
              <w:bidi w:val="0"/>
            </w:pPr>
            <w:r>
              <w:t>51.0</w:t>
            </w:r>
          </w:p>
        </w:tc>
        <w:tc>
          <w:tcPr>
            <w:tcW w:w="1222" w:type="dxa"/>
            <w:tcBorders>
              <w:top w:val="single" w:color="auto" w:sz="4" w:space="0"/>
              <w:left w:val="single" w:color="auto" w:sz="4" w:space="0"/>
              <w:bottom w:val="single" w:color="auto" w:sz="4" w:space="0"/>
              <w:right w:val="single" w:color="auto" w:sz="4" w:space="0"/>
            </w:tcBorders>
          </w:tcPr>
          <w:p w14:paraId="5471673A">
            <w:pPr>
              <w:pStyle w:val="28"/>
              <w:bidi w:val="0"/>
            </w:pPr>
            <w:r>
              <w:t>41.6</w:t>
            </w:r>
          </w:p>
        </w:tc>
        <w:tc>
          <w:tcPr>
            <w:tcW w:w="625" w:type="pct"/>
            <w:tcBorders>
              <w:top w:val="single" w:color="auto" w:sz="4" w:space="0"/>
              <w:left w:val="single" w:color="auto" w:sz="4" w:space="0"/>
              <w:bottom w:val="single" w:color="auto" w:sz="4" w:space="0"/>
              <w:right w:val="single" w:color="auto" w:sz="4" w:space="0"/>
            </w:tcBorders>
            <w:vAlign w:val="center"/>
          </w:tcPr>
          <w:p w14:paraId="3A822686">
            <w:pPr>
              <w:pStyle w:val="28"/>
              <w:bidi w:val="0"/>
            </w:pPr>
            <w:r>
              <w:t>55</w:t>
            </w:r>
          </w:p>
        </w:tc>
        <w:tc>
          <w:tcPr>
            <w:tcW w:w="622" w:type="pct"/>
            <w:tcBorders>
              <w:top w:val="single" w:color="auto" w:sz="4" w:space="0"/>
              <w:left w:val="single" w:color="auto" w:sz="4" w:space="0"/>
              <w:bottom w:val="single" w:color="auto" w:sz="4" w:space="0"/>
              <w:right w:val="single" w:color="auto" w:sz="4" w:space="0"/>
            </w:tcBorders>
            <w:vAlign w:val="center"/>
          </w:tcPr>
          <w:p w14:paraId="6E62D4DF">
            <w:pPr>
              <w:pStyle w:val="28"/>
              <w:bidi w:val="0"/>
            </w:pPr>
            <w:r>
              <w:t>45</w:t>
            </w:r>
          </w:p>
        </w:tc>
      </w:tr>
      <w:tr w14:paraId="6D035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22CA61C1">
            <w:pPr>
              <w:pStyle w:val="28"/>
              <w:bidi w:val="0"/>
            </w:pPr>
            <w:r>
              <w:t>N3</w:t>
            </w:r>
          </w:p>
        </w:tc>
        <w:tc>
          <w:tcPr>
            <w:tcW w:w="1580" w:type="dxa"/>
            <w:tcBorders>
              <w:top w:val="single" w:color="auto" w:sz="4" w:space="0"/>
              <w:left w:val="single" w:color="auto" w:sz="4" w:space="0"/>
              <w:bottom w:val="single" w:color="auto" w:sz="4" w:space="0"/>
              <w:right w:val="single" w:color="auto" w:sz="4" w:space="0"/>
            </w:tcBorders>
            <w:vAlign w:val="center"/>
          </w:tcPr>
          <w:p w14:paraId="38790003">
            <w:pPr>
              <w:pStyle w:val="28"/>
              <w:bidi w:val="0"/>
            </w:pPr>
            <w:r>
              <w:rPr>
                <w:rFonts w:hint="eastAsia"/>
              </w:rPr>
              <w:t>小夏洼</w:t>
            </w:r>
          </w:p>
        </w:tc>
        <w:tc>
          <w:tcPr>
            <w:tcW w:w="1218" w:type="dxa"/>
            <w:tcBorders>
              <w:top w:val="single" w:color="auto" w:sz="4" w:space="0"/>
              <w:left w:val="single" w:color="auto" w:sz="4" w:space="0"/>
              <w:bottom w:val="single" w:color="auto" w:sz="4" w:space="0"/>
              <w:right w:val="single" w:color="auto" w:sz="4" w:space="0"/>
            </w:tcBorders>
          </w:tcPr>
          <w:p w14:paraId="4E6EE28F">
            <w:pPr>
              <w:pStyle w:val="28"/>
              <w:bidi w:val="0"/>
            </w:pPr>
            <w:r>
              <w:t>50.1</w:t>
            </w:r>
          </w:p>
        </w:tc>
        <w:tc>
          <w:tcPr>
            <w:tcW w:w="1218" w:type="dxa"/>
            <w:tcBorders>
              <w:top w:val="single" w:color="auto" w:sz="4" w:space="0"/>
              <w:left w:val="single" w:color="auto" w:sz="4" w:space="0"/>
              <w:bottom w:val="single" w:color="auto" w:sz="4" w:space="0"/>
              <w:right w:val="single" w:color="auto" w:sz="4" w:space="0"/>
            </w:tcBorders>
          </w:tcPr>
          <w:p w14:paraId="0ED65C05">
            <w:pPr>
              <w:pStyle w:val="28"/>
              <w:bidi w:val="0"/>
            </w:pPr>
            <w:r>
              <w:t>39.8</w:t>
            </w:r>
          </w:p>
        </w:tc>
        <w:tc>
          <w:tcPr>
            <w:tcW w:w="1218" w:type="dxa"/>
            <w:tcBorders>
              <w:top w:val="single" w:color="auto" w:sz="4" w:space="0"/>
              <w:left w:val="single" w:color="auto" w:sz="4" w:space="0"/>
              <w:bottom w:val="single" w:color="auto" w:sz="4" w:space="0"/>
              <w:right w:val="single" w:color="auto" w:sz="4" w:space="0"/>
            </w:tcBorders>
          </w:tcPr>
          <w:p w14:paraId="17FA1578">
            <w:pPr>
              <w:pStyle w:val="28"/>
              <w:bidi w:val="0"/>
            </w:pPr>
            <w:r>
              <w:t>50.1</w:t>
            </w:r>
          </w:p>
        </w:tc>
        <w:tc>
          <w:tcPr>
            <w:tcW w:w="1222" w:type="dxa"/>
            <w:tcBorders>
              <w:top w:val="single" w:color="auto" w:sz="4" w:space="0"/>
              <w:left w:val="single" w:color="auto" w:sz="4" w:space="0"/>
              <w:bottom w:val="single" w:color="auto" w:sz="4" w:space="0"/>
              <w:right w:val="single" w:color="auto" w:sz="4" w:space="0"/>
            </w:tcBorders>
          </w:tcPr>
          <w:p w14:paraId="6BD837A3">
            <w:pPr>
              <w:pStyle w:val="28"/>
              <w:bidi w:val="0"/>
            </w:pPr>
            <w:r>
              <w:t>40.8</w:t>
            </w:r>
          </w:p>
        </w:tc>
        <w:tc>
          <w:tcPr>
            <w:tcW w:w="625" w:type="pct"/>
            <w:tcBorders>
              <w:top w:val="single" w:color="auto" w:sz="4" w:space="0"/>
              <w:left w:val="single" w:color="auto" w:sz="4" w:space="0"/>
              <w:bottom w:val="single" w:color="auto" w:sz="4" w:space="0"/>
              <w:right w:val="single" w:color="auto" w:sz="4" w:space="0"/>
            </w:tcBorders>
            <w:vAlign w:val="center"/>
          </w:tcPr>
          <w:p w14:paraId="7A3A7CD3">
            <w:pPr>
              <w:pStyle w:val="28"/>
              <w:bidi w:val="0"/>
            </w:pPr>
            <w:r>
              <w:t>55</w:t>
            </w:r>
          </w:p>
        </w:tc>
        <w:tc>
          <w:tcPr>
            <w:tcW w:w="622" w:type="pct"/>
            <w:tcBorders>
              <w:top w:val="single" w:color="auto" w:sz="4" w:space="0"/>
              <w:left w:val="single" w:color="auto" w:sz="4" w:space="0"/>
              <w:bottom w:val="single" w:color="auto" w:sz="4" w:space="0"/>
              <w:right w:val="single" w:color="auto" w:sz="4" w:space="0"/>
            </w:tcBorders>
            <w:vAlign w:val="center"/>
          </w:tcPr>
          <w:p w14:paraId="7C17BC79">
            <w:pPr>
              <w:pStyle w:val="28"/>
              <w:bidi w:val="0"/>
            </w:pPr>
            <w:r>
              <w:t>45</w:t>
            </w:r>
          </w:p>
        </w:tc>
      </w:tr>
      <w:tr w14:paraId="3E843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40A62F62">
            <w:pPr>
              <w:pStyle w:val="28"/>
              <w:bidi w:val="0"/>
            </w:pPr>
            <w:r>
              <w:t>N4</w:t>
            </w:r>
          </w:p>
        </w:tc>
        <w:tc>
          <w:tcPr>
            <w:tcW w:w="1580" w:type="dxa"/>
            <w:tcBorders>
              <w:top w:val="single" w:color="auto" w:sz="4" w:space="0"/>
              <w:left w:val="single" w:color="auto" w:sz="4" w:space="0"/>
              <w:bottom w:val="single" w:color="auto" w:sz="4" w:space="0"/>
              <w:right w:val="single" w:color="auto" w:sz="4" w:space="0"/>
            </w:tcBorders>
            <w:vAlign w:val="center"/>
          </w:tcPr>
          <w:p w14:paraId="24EBC6D2">
            <w:pPr>
              <w:pStyle w:val="28"/>
              <w:bidi w:val="0"/>
            </w:pPr>
            <w:r>
              <w:rPr>
                <w:rFonts w:hint="eastAsia"/>
              </w:rPr>
              <w:t>板凳岗</w:t>
            </w:r>
          </w:p>
        </w:tc>
        <w:tc>
          <w:tcPr>
            <w:tcW w:w="1218" w:type="dxa"/>
            <w:tcBorders>
              <w:top w:val="single" w:color="auto" w:sz="4" w:space="0"/>
              <w:left w:val="single" w:color="auto" w:sz="4" w:space="0"/>
              <w:bottom w:val="single" w:color="auto" w:sz="4" w:space="0"/>
              <w:right w:val="single" w:color="auto" w:sz="4" w:space="0"/>
            </w:tcBorders>
          </w:tcPr>
          <w:p w14:paraId="1E05EC2F">
            <w:pPr>
              <w:pStyle w:val="28"/>
              <w:bidi w:val="0"/>
            </w:pPr>
            <w:r>
              <w:t>49.9</w:t>
            </w:r>
          </w:p>
        </w:tc>
        <w:tc>
          <w:tcPr>
            <w:tcW w:w="1218" w:type="dxa"/>
            <w:tcBorders>
              <w:top w:val="single" w:color="auto" w:sz="4" w:space="0"/>
              <w:left w:val="single" w:color="auto" w:sz="4" w:space="0"/>
              <w:bottom w:val="single" w:color="auto" w:sz="4" w:space="0"/>
              <w:right w:val="single" w:color="auto" w:sz="4" w:space="0"/>
            </w:tcBorders>
          </w:tcPr>
          <w:p w14:paraId="7CBD6224">
            <w:pPr>
              <w:pStyle w:val="28"/>
              <w:bidi w:val="0"/>
            </w:pPr>
            <w:r>
              <w:t>41.7</w:t>
            </w:r>
          </w:p>
        </w:tc>
        <w:tc>
          <w:tcPr>
            <w:tcW w:w="1218" w:type="dxa"/>
            <w:tcBorders>
              <w:top w:val="single" w:color="auto" w:sz="4" w:space="0"/>
              <w:left w:val="single" w:color="auto" w:sz="4" w:space="0"/>
              <w:bottom w:val="single" w:color="auto" w:sz="4" w:space="0"/>
              <w:right w:val="single" w:color="auto" w:sz="4" w:space="0"/>
            </w:tcBorders>
          </w:tcPr>
          <w:p w14:paraId="250DFF83">
            <w:pPr>
              <w:pStyle w:val="28"/>
              <w:bidi w:val="0"/>
            </w:pPr>
            <w:r>
              <w:t>50.4</w:t>
            </w:r>
          </w:p>
        </w:tc>
        <w:tc>
          <w:tcPr>
            <w:tcW w:w="1222" w:type="dxa"/>
            <w:tcBorders>
              <w:top w:val="single" w:color="auto" w:sz="4" w:space="0"/>
              <w:left w:val="single" w:color="auto" w:sz="4" w:space="0"/>
              <w:bottom w:val="single" w:color="auto" w:sz="4" w:space="0"/>
              <w:right w:val="single" w:color="auto" w:sz="4" w:space="0"/>
            </w:tcBorders>
          </w:tcPr>
          <w:p w14:paraId="32A0565B">
            <w:pPr>
              <w:pStyle w:val="28"/>
              <w:bidi w:val="0"/>
            </w:pPr>
            <w:r>
              <w:t>42.0</w:t>
            </w:r>
          </w:p>
        </w:tc>
        <w:tc>
          <w:tcPr>
            <w:tcW w:w="1218" w:type="dxa"/>
            <w:tcBorders>
              <w:top w:val="single" w:color="auto" w:sz="4" w:space="0"/>
              <w:left w:val="single" w:color="auto" w:sz="4" w:space="0"/>
              <w:bottom w:val="single" w:color="auto" w:sz="4" w:space="0"/>
              <w:right w:val="single" w:color="auto" w:sz="4" w:space="0"/>
            </w:tcBorders>
            <w:vAlign w:val="center"/>
          </w:tcPr>
          <w:p w14:paraId="5084A852">
            <w:pPr>
              <w:pStyle w:val="28"/>
              <w:bidi w:val="0"/>
            </w:pPr>
            <w:r>
              <w:t>55</w:t>
            </w:r>
          </w:p>
        </w:tc>
        <w:tc>
          <w:tcPr>
            <w:tcW w:w="1212" w:type="dxa"/>
            <w:tcBorders>
              <w:top w:val="single" w:color="auto" w:sz="4" w:space="0"/>
              <w:left w:val="single" w:color="auto" w:sz="4" w:space="0"/>
              <w:bottom w:val="single" w:color="auto" w:sz="4" w:space="0"/>
              <w:right w:val="single" w:color="auto" w:sz="4" w:space="0"/>
            </w:tcBorders>
            <w:vAlign w:val="center"/>
          </w:tcPr>
          <w:p w14:paraId="4EA13625">
            <w:pPr>
              <w:pStyle w:val="28"/>
              <w:bidi w:val="0"/>
            </w:pPr>
            <w:r>
              <w:t>45</w:t>
            </w:r>
          </w:p>
        </w:tc>
      </w:tr>
      <w:tr w14:paraId="32208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281DBCD3">
            <w:pPr>
              <w:pStyle w:val="28"/>
              <w:bidi w:val="0"/>
            </w:pPr>
            <w:r>
              <w:t>N5</w:t>
            </w:r>
          </w:p>
        </w:tc>
        <w:tc>
          <w:tcPr>
            <w:tcW w:w="1580" w:type="dxa"/>
            <w:tcBorders>
              <w:top w:val="single" w:color="auto" w:sz="4" w:space="0"/>
              <w:left w:val="single" w:color="auto" w:sz="4" w:space="0"/>
              <w:bottom w:val="single" w:color="auto" w:sz="4" w:space="0"/>
              <w:right w:val="single" w:color="auto" w:sz="4" w:space="0"/>
            </w:tcBorders>
            <w:vAlign w:val="center"/>
          </w:tcPr>
          <w:p w14:paraId="2904F615">
            <w:pPr>
              <w:pStyle w:val="28"/>
              <w:bidi w:val="0"/>
            </w:pPr>
            <w:r>
              <w:rPr>
                <w:rFonts w:hint="eastAsia"/>
              </w:rPr>
              <w:t>夏家岗</w:t>
            </w:r>
          </w:p>
        </w:tc>
        <w:tc>
          <w:tcPr>
            <w:tcW w:w="1218" w:type="dxa"/>
            <w:tcBorders>
              <w:top w:val="single" w:color="auto" w:sz="4" w:space="0"/>
              <w:left w:val="single" w:color="auto" w:sz="4" w:space="0"/>
              <w:bottom w:val="single" w:color="auto" w:sz="4" w:space="0"/>
              <w:right w:val="single" w:color="auto" w:sz="4" w:space="0"/>
            </w:tcBorders>
          </w:tcPr>
          <w:p w14:paraId="7D85B5CB">
            <w:pPr>
              <w:pStyle w:val="28"/>
              <w:bidi w:val="0"/>
            </w:pPr>
            <w:r>
              <w:t>50.0</w:t>
            </w:r>
          </w:p>
        </w:tc>
        <w:tc>
          <w:tcPr>
            <w:tcW w:w="1218" w:type="dxa"/>
            <w:tcBorders>
              <w:top w:val="single" w:color="auto" w:sz="4" w:space="0"/>
              <w:left w:val="single" w:color="auto" w:sz="4" w:space="0"/>
              <w:bottom w:val="single" w:color="auto" w:sz="4" w:space="0"/>
              <w:right w:val="single" w:color="auto" w:sz="4" w:space="0"/>
            </w:tcBorders>
          </w:tcPr>
          <w:p w14:paraId="5E06B3B3">
            <w:pPr>
              <w:pStyle w:val="28"/>
              <w:bidi w:val="0"/>
            </w:pPr>
            <w:r>
              <w:t>42.0</w:t>
            </w:r>
          </w:p>
        </w:tc>
        <w:tc>
          <w:tcPr>
            <w:tcW w:w="1218" w:type="dxa"/>
            <w:tcBorders>
              <w:top w:val="single" w:color="auto" w:sz="4" w:space="0"/>
              <w:left w:val="single" w:color="auto" w:sz="4" w:space="0"/>
              <w:bottom w:val="single" w:color="auto" w:sz="4" w:space="0"/>
              <w:right w:val="single" w:color="auto" w:sz="4" w:space="0"/>
            </w:tcBorders>
          </w:tcPr>
          <w:p w14:paraId="1F93F694">
            <w:pPr>
              <w:pStyle w:val="28"/>
              <w:bidi w:val="0"/>
            </w:pPr>
            <w:r>
              <w:t>51.9</w:t>
            </w:r>
          </w:p>
        </w:tc>
        <w:tc>
          <w:tcPr>
            <w:tcW w:w="1222" w:type="dxa"/>
            <w:tcBorders>
              <w:top w:val="single" w:color="auto" w:sz="4" w:space="0"/>
              <w:left w:val="single" w:color="auto" w:sz="4" w:space="0"/>
              <w:bottom w:val="single" w:color="auto" w:sz="4" w:space="0"/>
              <w:right w:val="single" w:color="auto" w:sz="4" w:space="0"/>
            </w:tcBorders>
          </w:tcPr>
          <w:p w14:paraId="46839882">
            <w:pPr>
              <w:pStyle w:val="28"/>
              <w:bidi w:val="0"/>
            </w:pPr>
            <w:r>
              <w:t>40.7</w:t>
            </w:r>
          </w:p>
        </w:tc>
        <w:tc>
          <w:tcPr>
            <w:tcW w:w="625" w:type="pct"/>
            <w:tcBorders>
              <w:top w:val="single" w:color="auto" w:sz="4" w:space="0"/>
              <w:left w:val="single" w:color="auto" w:sz="4" w:space="0"/>
              <w:bottom w:val="single" w:color="auto" w:sz="4" w:space="0"/>
              <w:right w:val="single" w:color="auto" w:sz="4" w:space="0"/>
            </w:tcBorders>
            <w:vAlign w:val="center"/>
          </w:tcPr>
          <w:p w14:paraId="79F0F2CF">
            <w:pPr>
              <w:pStyle w:val="28"/>
              <w:bidi w:val="0"/>
            </w:pPr>
            <w:r>
              <w:t>55</w:t>
            </w:r>
          </w:p>
        </w:tc>
        <w:tc>
          <w:tcPr>
            <w:tcW w:w="622" w:type="pct"/>
            <w:tcBorders>
              <w:top w:val="single" w:color="auto" w:sz="4" w:space="0"/>
              <w:left w:val="single" w:color="auto" w:sz="4" w:space="0"/>
              <w:bottom w:val="single" w:color="auto" w:sz="4" w:space="0"/>
              <w:right w:val="single" w:color="auto" w:sz="4" w:space="0"/>
            </w:tcBorders>
            <w:vAlign w:val="center"/>
          </w:tcPr>
          <w:p w14:paraId="7A93B735">
            <w:pPr>
              <w:pStyle w:val="28"/>
              <w:bidi w:val="0"/>
            </w:pPr>
            <w:r>
              <w:t>45</w:t>
            </w:r>
          </w:p>
        </w:tc>
      </w:tr>
      <w:tr w14:paraId="40CA2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7ECAB7F7">
            <w:pPr>
              <w:pStyle w:val="28"/>
              <w:bidi w:val="0"/>
            </w:pPr>
            <w:r>
              <w:t>N6</w:t>
            </w:r>
          </w:p>
        </w:tc>
        <w:tc>
          <w:tcPr>
            <w:tcW w:w="1580" w:type="dxa"/>
            <w:tcBorders>
              <w:top w:val="single" w:color="auto" w:sz="4" w:space="0"/>
              <w:left w:val="single" w:color="auto" w:sz="4" w:space="0"/>
              <w:bottom w:val="single" w:color="auto" w:sz="4" w:space="0"/>
              <w:right w:val="single" w:color="auto" w:sz="4" w:space="0"/>
            </w:tcBorders>
            <w:vAlign w:val="center"/>
          </w:tcPr>
          <w:p w14:paraId="5B2734E6">
            <w:pPr>
              <w:pStyle w:val="28"/>
              <w:bidi w:val="0"/>
            </w:pPr>
            <w:r>
              <w:rPr>
                <w:rFonts w:hint="eastAsia"/>
              </w:rPr>
              <w:t>杨公镇区西</w:t>
            </w:r>
          </w:p>
        </w:tc>
        <w:tc>
          <w:tcPr>
            <w:tcW w:w="1218" w:type="dxa"/>
            <w:tcBorders>
              <w:top w:val="single" w:color="auto" w:sz="4" w:space="0"/>
              <w:left w:val="single" w:color="auto" w:sz="4" w:space="0"/>
              <w:bottom w:val="single" w:color="auto" w:sz="4" w:space="0"/>
              <w:right w:val="single" w:color="auto" w:sz="4" w:space="0"/>
            </w:tcBorders>
          </w:tcPr>
          <w:p w14:paraId="26015EA1">
            <w:pPr>
              <w:pStyle w:val="28"/>
              <w:bidi w:val="0"/>
            </w:pPr>
            <w:r>
              <w:t>50.1</w:t>
            </w:r>
          </w:p>
        </w:tc>
        <w:tc>
          <w:tcPr>
            <w:tcW w:w="1218" w:type="dxa"/>
            <w:tcBorders>
              <w:top w:val="single" w:color="auto" w:sz="4" w:space="0"/>
              <w:left w:val="single" w:color="auto" w:sz="4" w:space="0"/>
              <w:bottom w:val="single" w:color="auto" w:sz="4" w:space="0"/>
              <w:right w:val="single" w:color="auto" w:sz="4" w:space="0"/>
            </w:tcBorders>
          </w:tcPr>
          <w:p w14:paraId="401C1FBA">
            <w:pPr>
              <w:pStyle w:val="28"/>
              <w:bidi w:val="0"/>
            </w:pPr>
            <w:r>
              <w:t>41.2</w:t>
            </w:r>
          </w:p>
        </w:tc>
        <w:tc>
          <w:tcPr>
            <w:tcW w:w="1218" w:type="dxa"/>
            <w:tcBorders>
              <w:top w:val="single" w:color="auto" w:sz="4" w:space="0"/>
              <w:left w:val="single" w:color="auto" w:sz="4" w:space="0"/>
              <w:bottom w:val="single" w:color="auto" w:sz="4" w:space="0"/>
              <w:right w:val="single" w:color="auto" w:sz="4" w:space="0"/>
            </w:tcBorders>
          </w:tcPr>
          <w:p w14:paraId="6E3E3FDD">
            <w:pPr>
              <w:pStyle w:val="28"/>
              <w:bidi w:val="0"/>
            </w:pPr>
            <w:r>
              <w:t>50.9</w:t>
            </w:r>
          </w:p>
        </w:tc>
        <w:tc>
          <w:tcPr>
            <w:tcW w:w="1222" w:type="dxa"/>
            <w:tcBorders>
              <w:top w:val="single" w:color="auto" w:sz="4" w:space="0"/>
              <w:left w:val="single" w:color="auto" w:sz="4" w:space="0"/>
              <w:bottom w:val="single" w:color="auto" w:sz="4" w:space="0"/>
              <w:right w:val="single" w:color="auto" w:sz="4" w:space="0"/>
            </w:tcBorders>
          </w:tcPr>
          <w:p w14:paraId="2F007627">
            <w:pPr>
              <w:pStyle w:val="28"/>
              <w:bidi w:val="0"/>
            </w:pPr>
            <w:r>
              <w:t>43.7</w:t>
            </w:r>
          </w:p>
        </w:tc>
        <w:tc>
          <w:tcPr>
            <w:tcW w:w="1218" w:type="dxa"/>
            <w:tcBorders>
              <w:top w:val="single" w:color="auto" w:sz="4" w:space="0"/>
              <w:left w:val="single" w:color="auto" w:sz="4" w:space="0"/>
              <w:bottom w:val="single" w:color="auto" w:sz="4" w:space="0"/>
              <w:right w:val="single" w:color="auto" w:sz="4" w:space="0"/>
            </w:tcBorders>
            <w:vAlign w:val="center"/>
          </w:tcPr>
          <w:p w14:paraId="577AA1CD">
            <w:pPr>
              <w:pStyle w:val="28"/>
              <w:bidi w:val="0"/>
            </w:pPr>
            <w:r>
              <w:t>60</w:t>
            </w:r>
          </w:p>
        </w:tc>
        <w:tc>
          <w:tcPr>
            <w:tcW w:w="1212" w:type="dxa"/>
            <w:tcBorders>
              <w:top w:val="single" w:color="auto" w:sz="4" w:space="0"/>
              <w:left w:val="single" w:color="auto" w:sz="4" w:space="0"/>
              <w:bottom w:val="single" w:color="auto" w:sz="4" w:space="0"/>
              <w:right w:val="single" w:color="auto" w:sz="4" w:space="0"/>
            </w:tcBorders>
            <w:vAlign w:val="center"/>
          </w:tcPr>
          <w:p w14:paraId="05D57865">
            <w:pPr>
              <w:pStyle w:val="28"/>
              <w:bidi w:val="0"/>
            </w:pPr>
            <w:r>
              <w:t>50</w:t>
            </w:r>
          </w:p>
        </w:tc>
      </w:tr>
      <w:tr w14:paraId="00D97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2AFFB55F">
            <w:pPr>
              <w:pStyle w:val="28"/>
              <w:bidi w:val="0"/>
            </w:pPr>
            <w:r>
              <w:t>N7</w:t>
            </w:r>
          </w:p>
        </w:tc>
        <w:tc>
          <w:tcPr>
            <w:tcW w:w="1580" w:type="dxa"/>
            <w:tcBorders>
              <w:top w:val="single" w:color="auto" w:sz="4" w:space="0"/>
              <w:left w:val="single" w:color="auto" w:sz="4" w:space="0"/>
              <w:bottom w:val="single" w:color="auto" w:sz="4" w:space="0"/>
              <w:right w:val="single" w:color="auto" w:sz="4" w:space="0"/>
            </w:tcBorders>
            <w:vAlign w:val="center"/>
          </w:tcPr>
          <w:p w14:paraId="0A7B4712">
            <w:pPr>
              <w:pStyle w:val="28"/>
              <w:bidi w:val="0"/>
            </w:pPr>
            <w:r>
              <w:rPr>
                <w:rFonts w:hint="eastAsia"/>
              </w:rPr>
              <w:t>杨公中学</w:t>
            </w:r>
          </w:p>
        </w:tc>
        <w:tc>
          <w:tcPr>
            <w:tcW w:w="1218" w:type="dxa"/>
            <w:tcBorders>
              <w:top w:val="single" w:color="auto" w:sz="4" w:space="0"/>
              <w:left w:val="single" w:color="auto" w:sz="4" w:space="0"/>
              <w:bottom w:val="single" w:color="auto" w:sz="4" w:space="0"/>
              <w:right w:val="single" w:color="auto" w:sz="4" w:space="0"/>
            </w:tcBorders>
          </w:tcPr>
          <w:p w14:paraId="2F2285D9">
            <w:pPr>
              <w:pStyle w:val="28"/>
              <w:bidi w:val="0"/>
            </w:pPr>
            <w:r>
              <w:t>52.0</w:t>
            </w:r>
          </w:p>
        </w:tc>
        <w:tc>
          <w:tcPr>
            <w:tcW w:w="1218" w:type="dxa"/>
            <w:tcBorders>
              <w:top w:val="single" w:color="auto" w:sz="4" w:space="0"/>
              <w:left w:val="single" w:color="auto" w:sz="4" w:space="0"/>
              <w:bottom w:val="single" w:color="auto" w:sz="4" w:space="0"/>
              <w:right w:val="single" w:color="auto" w:sz="4" w:space="0"/>
            </w:tcBorders>
          </w:tcPr>
          <w:p w14:paraId="03959BE2">
            <w:pPr>
              <w:pStyle w:val="28"/>
              <w:bidi w:val="0"/>
            </w:pPr>
            <w:r>
              <w:t>42.2</w:t>
            </w:r>
          </w:p>
        </w:tc>
        <w:tc>
          <w:tcPr>
            <w:tcW w:w="1218" w:type="dxa"/>
            <w:tcBorders>
              <w:top w:val="single" w:color="auto" w:sz="4" w:space="0"/>
              <w:left w:val="single" w:color="auto" w:sz="4" w:space="0"/>
              <w:bottom w:val="single" w:color="auto" w:sz="4" w:space="0"/>
              <w:right w:val="single" w:color="auto" w:sz="4" w:space="0"/>
            </w:tcBorders>
          </w:tcPr>
          <w:p w14:paraId="07B7CBE2">
            <w:pPr>
              <w:pStyle w:val="28"/>
              <w:bidi w:val="0"/>
            </w:pPr>
            <w:r>
              <w:t>57.3</w:t>
            </w:r>
          </w:p>
        </w:tc>
        <w:tc>
          <w:tcPr>
            <w:tcW w:w="1222" w:type="dxa"/>
            <w:tcBorders>
              <w:top w:val="single" w:color="auto" w:sz="4" w:space="0"/>
              <w:left w:val="single" w:color="auto" w:sz="4" w:space="0"/>
              <w:bottom w:val="single" w:color="auto" w:sz="4" w:space="0"/>
              <w:right w:val="single" w:color="auto" w:sz="4" w:space="0"/>
            </w:tcBorders>
          </w:tcPr>
          <w:p w14:paraId="7221561B">
            <w:pPr>
              <w:pStyle w:val="28"/>
              <w:bidi w:val="0"/>
            </w:pPr>
            <w:r>
              <w:t>41.8</w:t>
            </w:r>
          </w:p>
        </w:tc>
        <w:tc>
          <w:tcPr>
            <w:tcW w:w="1218" w:type="dxa"/>
            <w:tcBorders>
              <w:top w:val="single" w:color="auto" w:sz="4" w:space="0"/>
              <w:left w:val="single" w:color="auto" w:sz="4" w:space="0"/>
              <w:bottom w:val="single" w:color="auto" w:sz="4" w:space="0"/>
              <w:right w:val="single" w:color="auto" w:sz="4" w:space="0"/>
            </w:tcBorders>
            <w:noWrap/>
            <w:vAlign w:val="center"/>
          </w:tcPr>
          <w:p w14:paraId="61761C65">
            <w:pPr>
              <w:pStyle w:val="28"/>
              <w:bidi w:val="0"/>
            </w:pPr>
            <w:r>
              <w:t>60</w:t>
            </w:r>
          </w:p>
        </w:tc>
        <w:tc>
          <w:tcPr>
            <w:tcW w:w="1212" w:type="dxa"/>
            <w:tcBorders>
              <w:top w:val="single" w:color="auto" w:sz="4" w:space="0"/>
              <w:left w:val="single" w:color="auto" w:sz="4" w:space="0"/>
              <w:bottom w:val="single" w:color="auto" w:sz="4" w:space="0"/>
              <w:right w:val="single" w:color="auto" w:sz="4" w:space="0"/>
            </w:tcBorders>
            <w:noWrap/>
            <w:vAlign w:val="center"/>
          </w:tcPr>
          <w:p w14:paraId="0A3D564C">
            <w:pPr>
              <w:pStyle w:val="28"/>
              <w:bidi w:val="0"/>
            </w:pPr>
            <w:r>
              <w:t>50</w:t>
            </w:r>
          </w:p>
        </w:tc>
      </w:tr>
      <w:tr w14:paraId="63E3FB17">
        <w:tblPrEx>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76606782">
            <w:pPr>
              <w:pStyle w:val="28"/>
              <w:bidi w:val="0"/>
            </w:pPr>
            <w:r>
              <w:t>N8</w:t>
            </w:r>
          </w:p>
        </w:tc>
        <w:tc>
          <w:tcPr>
            <w:tcW w:w="1580" w:type="dxa"/>
            <w:tcBorders>
              <w:top w:val="single" w:color="auto" w:sz="4" w:space="0"/>
              <w:left w:val="single" w:color="auto" w:sz="4" w:space="0"/>
              <w:bottom w:val="single" w:color="auto" w:sz="4" w:space="0"/>
              <w:right w:val="single" w:color="auto" w:sz="4" w:space="0"/>
            </w:tcBorders>
            <w:vAlign w:val="center"/>
          </w:tcPr>
          <w:p w14:paraId="206DF1E4">
            <w:pPr>
              <w:pStyle w:val="28"/>
              <w:bidi w:val="0"/>
            </w:pPr>
            <w:r>
              <w:rPr>
                <w:rFonts w:hint="eastAsia"/>
              </w:rPr>
              <w:t>王郢</w:t>
            </w:r>
          </w:p>
        </w:tc>
        <w:tc>
          <w:tcPr>
            <w:tcW w:w="1218" w:type="dxa"/>
            <w:tcBorders>
              <w:top w:val="single" w:color="auto" w:sz="4" w:space="0"/>
              <w:left w:val="single" w:color="auto" w:sz="4" w:space="0"/>
              <w:bottom w:val="single" w:color="auto" w:sz="4" w:space="0"/>
              <w:right w:val="single" w:color="auto" w:sz="4" w:space="0"/>
            </w:tcBorders>
          </w:tcPr>
          <w:p w14:paraId="73A47E2C">
            <w:pPr>
              <w:pStyle w:val="28"/>
              <w:bidi w:val="0"/>
            </w:pPr>
            <w:r>
              <w:t>49.4</w:t>
            </w:r>
          </w:p>
        </w:tc>
        <w:tc>
          <w:tcPr>
            <w:tcW w:w="1218" w:type="dxa"/>
            <w:tcBorders>
              <w:top w:val="single" w:color="auto" w:sz="4" w:space="0"/>
              <w:left w:val="single" w:color="auto" w:sz="4" w:space="0"/>
              <w:bottom w:val="single" w:color="auto" w:sz="4" w:space="0"/>
              <w:right w:val="single" w:color="auto" w:sz="4" w:space="0"/>
            </w:tcBorders>
          </w:tcPr>
          <w:p w14:paraId="7A9C36D7">
            <w:pPr>
              <w:pStyle w:val="28"/>
              <w:bidi w:val="0"/>
            </w:pPr>
            <w:r>
              <w:t>41.6</w:t>
            </w:r>
          </w:p>
        </w:tc>
        <w:tc>
          <w:tcPr>
            <w:tcW w:w="1218" w:type="dxa"/>
            <w:tcBorders>
              <w:top w:val="single" w:color="auto" w:sz="4" w:space="0"/>
              <w:left w:val="single" w:color="auto" w:sz="4" w:space="0"/>
              <w:bottom w:val="single" w:color="auto" w:sz="4" w:space="0"/>
              <w:right w:val="single" w:color="auto" w:sz="4" w:space="0"/>
            </w:tcBorders>
          </w:tcPr>
          <w:p w14:paraId="5F0FA474">
            <w:pPr>
              <w:pStyle w:val="28"/>
              <w:bidi w:val="0"/>
            </w:pPr>
            <w:r>
              <w:t>50.6</w:t>
            </w:r>
          </w:p>
        </w:tc>
        <w:tc>
          <w:tcPr>
            <w:tcW w:w="1222" w:type="dxa"/>
            <w:tcBorders>
              <w:top w:val="single" w:color="auto" w:sz="4" w:space="0"/>
              <w:left w:val="single" w:color="auto" w:sz="4" w:space="0"/>
              <w:bottom w:val="single" w:color="auto" w:sz="4" w:space="0"/>
              <w:right w:val="single" w:color="auto" w:sz="4" w:space="0"/>
            </w:tcBorders>
          </w:tcPr>
          <w:p w14:paraId="4D7963E7">
            <w:pPr>
              <w:pStyle w:val="28"/>
              <w:bidi w:val="0"/>
            </w:pPr>
            <w:r>
              <w:t>44.8</w:t>
            </w:r>
          </w:p>
        </w:tc>
        <w:tc>
          <w:tcPr>
            <w:tcW w:w="1218" w:type="dxa"/>
            <w:tcBorders>
              <w:top w:val="single" w:color="auto" w:sz="4" w:space="0"/>
              <w:left w:val="single" w:color="auto" w:sz="4" w:space="0"/>
              <w:bottom w:val="single" w:color="auto" w:sz="4" w:space="0"/>
              <w:right w:val="single" w:color="auto" w:sz="4" w:space="0"/>
            </w:tcBorders>
            <w:noWrap/>
            <w:vAlign w:val="center"/>
          </w:tcPr>
          <w:p w14:paraId="7B891FFB">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0FD20D0F">
            <w:pPr>
              <w:pStyle w:val="28"/>
              <w:bidi w:val="0"/>
            </w:pPr>
            <w:r>
              <w:t>45</w:t>
            </w:r>
          </w:p>
        </w:tc>
      </w:tr>
      <w:tr w14:paraId="22376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61E7C56C">
            <w:pPr>
              <w:pStyle w:val="28"/>
              <w:bidi w:val="0"/>
            </w:pPr>
            <w:r>
              <w:t>N9</w:t>
            </w:r>
          </w:p>
        </w:tc>
        <w:tc>
          <w:tcPr>
            <w:tcW w:w="1580" w:type="dxa"/>
            <w:tcBorders>
              <w:top w:val="single" w:color="auto" w:sz="4" w:space="0"/>
              <w:left w:val="single" w:color="auto" w:sz="4" w:space="0"/>
              <w:bottom w:val="single" w:color="auto" w:sz="4" w:space="0"/>
              <w:right w:val="single" w:color="auto" w:sz="4" w:space="0"/>
            </w:tcBorders>
            <w:vAlign w:val="center"/>
          </w:tcPr>
          <w:p w14:paraId="54F92409">
            <w:pPr>
              <w:pStyle w:val="28"/>
              <w:bidi w:val="0"/>
            </w:pPr>
            <w:r>
              <w:rPr>
                <w:rFonts w:hint="eastAsia"/>
              </w:rPr>
              <w:t>夏家洼</w:t>
            </w:r>
          </w:p>
        </w:tc>
        <w:tc>
          <w:tcPr>
            <w:tcW w:w="1218" w:type="dxa"/>
            <w:tcBorders>
              <w:top w:val="single" w:color="auto" w:sz="4" w:space="0"/>
              <w:left w:val="single" w:color="auto" w:sz="4" w:space="0"/>
              <w:bottom w:val="single" w:color="auto" w:sz="4" w:space="0"/>
              <w:right w:val="single" w:color="auto" w:sz="4" w:space="0"/>
            </w:tcBorders>
          </w:tcPr>
          <w:p w14:paraId="2D2146A0">
            <w:pPr>
              <w:pStyle w:val="28"/>
              <w:bidi w:val="0"/>
            </w:pPr>
            <w:r>
              <w:t>47.5</w:t>
            </w:r>
          </w:p>
        </w:tc>
        <w:tc>
          <w:tcPr>
            <w:tcW w:w="1218" w:type="dxa"/>
            <w:tcBorders>
              <w:top w:val="single" w:color="auto" w:sz="4" w:space="0"/>
              <w:left w:val="single" w:color="auto" w:sz="4" w:space="0"/>
              <w:bottom w:val="single" w:color="auto" w:sz="4" w:space="0"/>
              <w:right w:val="single" w:color="auto" w:sz="4" w:space="0"/>
            </w:tcBorders>
          </w:tcPr>
          <w:p w14:paraId="315DDA9C">
            <w:pPr>
              <w:pStyle w:val="28"/>
              <w:bidi w:val="0"/>
            </w:pPr>
            <w:r>
              <w:t>40.0</w:t>
            </w:r>
          </w:p>
        </w:tc>
        <w:tc>
          <w:tcPr>
            <w:tcW w:w="1218" w:type="dxa"/>
            <w:tcBorders>
              <w:top w:val="single" w:color="auto" w:sz="4" w:space="0"/>
              <w:left w:val="single" w:color="auto" w:sz="4" w:space="0"/>
              <w:bottom w:val="single" w:color="auto" w:sz="4" w:space="0"/>
              <w:right w:val="single" w:color="auto" w:sz="4" w:space="0"/>
            </w:tcBorders>
          </w:tcPr>
          <w:p w14:paraId="73FE03BB">
            <w:pPr>
              <w:pStyle w:val="28"/>
              <w:bidi w:val="0"/>
            </w:pPr>
            <w:r>
              <w:t>53.5</w:t>
            </w:r>
          </w:p>
        </w:tc>
        <w:tc>
          <w:tcPr>
            <w:tcW w:w="1222" w:type="dxa"/>
            <w:tcBorders>
              <w:top w:val="single" w:color="auto" w:sz="4" w:space="0"/>
              <w:left w:val="single" w:color="auto" w:sz="4" w:space="0"/>
              <w:bottom w:val="single" w:color="auto" w:sz="4" w:space="0"/>
              <w:right w:val="single" w:color="auto" w:sz="4" w:space="0"/>
            </w:tcBorders>
          </w:tcPr>
          <w:p w14:paraId="7EDEA7CB">
            <w:pPr>
              <w:pStyle w:val="28"/>
              <w:bidi w:val="0"/>
            </w:pPr>
            <w:r>
              <w:t>38.9</w:t>
            </w:r>
          </w:p>
        </w:tc>
        <w:tc>
          <w:tcPr>
            <w:tcW w:w="625" w:type="pct"/>
            <w:tcBorders>
              <w:top w:val="single" w:color="auto" w:sz="4" w:space="0"/>
              <w:left w:val="single" w:color="auto" w:sz="4" w:space="0"/>
              <w:bottom w:val="single" w:color="auto" w:sz="4" w:space="0"/>
              <w:right w:val="single" w:color="auto" w:sz="4" w:space="0"/>
            </w:tcBorders>
            <w:noWrap/>
            <w:vAlign w:val="center"/>
          </w:tcPr>
          <w:p w14:paraId="354AF0FE">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55CEB26B">
            <w:pPr>
              <w:pStyle w:val="28"/>
              <w:bidi w:val="0"/>
            </w:pPr>
            <w:r>
              <w:t>45</w:t>
            </w:r>
          </w:p>
        </w:tc>
      </w:tr>
      <w:tr w14:paraId="7DED6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5A3B944D">
            <w:pPr>
              <w:pStyle w:val="28"/>
              <w:bidi w:val="0"/>
            </w:pPr>
            <w:r>
              <w:t>N10</w:t>
            </w:r>
          </w:p>
        </w:tc>
        <w:tc>
          <w:tcPr>
            <w:tcW w:w="1580" w:type="dxa"/>
            <w:tcBorders>
              <w:top w:val="single" w:color="auto" w:sz="4" w:space="0"/>
              <w:left w:val="single" w:color="auto" w:sz="4" w:space="0"/>
              <w:bottom w:val="single" w:color="auto" w:sz="4" w:space="0"/>
              <w:right w:val="single" w:color="auto" w:sz="4" w:space="0"/>
            </w:tcBorders>
            <w:vAlign w:val="center"/>
          </w:tcPr>
          <w:p w14:paraId="799DA8C2">
            <w:pPr>
              <w:pStyle w:val="28"/>
              <w:bidi w:val="0"/>
            </w:pPr>
            <w:r>
              <w:rPr>
                <w:rFonts w:hint="eastAsia"/>
              </w:rPr>
              <w:t>东岗</w:t>
            </w:r>
          </w:p>
        </w:tc>
        <w:tc>
          <w:tcPr>
            <w:tcW w:w="1218" w:type="dxa"/>
            <w:tcBorders>
              <w:top w:val="single" w:color="auto" w:sz="4" w:space="0"/>
              <w:left w:val="single" w:color="auto" w:sz="4" w:space="0"/>
              <w:bottom w:val="single" w:color="auto" w:sz="4" w:space="0"/>
              <w:right w:val="single" w:color="auto" w:sz="4" w:space="0"/>
            </w:tcBorders>
          </w:tcPr>
          <w:p w14:paraId="2F960866">
            <w:pPr>
              <w:pStyle w:val="28"/>
              <w:bidi w:val="0"/>
            </w:pPr>
            <w:r>
              <w:t>48.3</w:t>
            </w:r>
          </w:p>
        </w:tc>
        <w:tc>
          <w:tcPr>
            <w:tcW w:w="1218" w:type="dxa"/>
            <w:tcBorders>
              <w:top w:val="single" w:color="auto" w:sz="4" w:space="0"/>
              <w:left w:val="single" w:color="auto" w:sz="4" w:space="0"/>
              <w:bottom w:val="single" w:color="auto" w:sz="4" w:space="0"/>
              <w:right w:val="single" w:color="auto" w:sz="4" w:space="0"/>
            </w:tcBorders>
          </w:tcPr>
          <w:p w14:paraId="04E74828">
            <w:pPr>
              <w:pStyle w:val="28"/>
              <w:bidi w:val="0"/>
            </w:pPr>
            <w:r>
              <w:t>10.8</w:t>
            </w:r>
          </w:p>
        </w:tc>
        <w:tc>
          <w:tcPr>
            <w:tcW w:w="1218" w:type="dxa"/>
            <w:tcBorders>
              <w:top w:val="single" w:color="auto" w:sz="4" w:space="0"/>
              <w:left w:val="single" w:color="auto" w:sz="4" w:space="0"/>
              <w:bottom w:val="single" w:color="auto" w:sz="4" w:space="0"/>
              <w:right w:val="single" w:color="auto" w:sz="4" w:space="0"/>
            </w:tcBorders>
          </w:tcPr>
          <w:p w14:paraId="74C3618C">
            <w:pPr>
              <w:pStyle w:val="28"/>
              <w:bidi w:val="0"/>
            </w:pPr>
            <w:r>
              <w:t>52.6</w:t>
            </w:r>
          </w:p>
        </w:tc>
        <w:tc>
          <w:tcPr>
            <w:tcW w:w="1222" w:type="dxa"/>
            <w:tcBorders>
              <w:top w:val="single" w:color="auto" w:sz="4" w:space="0"/>
              <w:left w:val="single" w:color="auto" w:sz="4" w:space="0"/>
              <w:bottom w:val="single" w:color="auto" w:sz="4" w:space="0"/>
              <w:right w:val="single" w:color="auto" w:sz="4" w:space="0"/>
            </w:tcBorders>
          </w:tcPr>
          <w:p w14:paraId="3B17186C">
            <w:pPr>
              <w:pStyle w:val="28"/>
              <w:bidi w:val="0"/>
            </w:pPr>
            <w:r>
              <w:t>43.8</w:t>
            </w:r>
          </w:p>
        </w:tc>
        <w:tc>
          <w:tcPr>
            <w:tcW w:w="625" w:type="pct"/>
            <w:tcBorders>
              <w:top w:val="single" w:color="auto" w:sz="4" w:space="0"/>
              <w:left w:val="single" w:color="auto" w:sz="4" w:space="0"/>
              <w:bottom w:val="single" w:color="auto" w:sz="4" w:space="0"/>
              <w:right w:val="single" w:color="auto" w:sz="4" w:space="0"/>
            </w:tcBorders>
            <w:noWrap/>
            <w:vAlign w:val="center"/>
          </w:tcPr>
          <w:p w14:paraId="2C2B832D">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47ECB0DA">
            <w:pPr>
              <w:pStyle w:val="28"/>
              <w:bidi w:val="0"/>
            </w:pPr>
            <w:r>
              <w:t>45</w:t>
            </w:r>
          </w:p>
        </w:tc>
      </w:tr>
      <w:tr w14:paraId="052BC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30FCF103">
            <w:pPr>
              <w:pStyle w:val="28"/>
              <w:bidi w:val="0"/>
            </w:pPr>
            <w:r>
              <w:t>N11</w:t>
            </w:r>
          </w:p>
        </w:tc>
        <w:tc>
          <w:tcPr>
            <w:tcW w:w="1580" w:type="dxa"/>
            <w:tcBorders>
              <w:top w:val="single" w:color="auto" w:sz="4" w:space="0"/>
              <w:left w:val="single" w:color="auto" w:sz="4" w:space="0"/>
              <w:bottom w:val="single" w:color="auto" w:sz="4" w:space="0"/>
              <w:right w:val="single" w:color="auto" w:sz="4" w:space="0"/>
            </w:tcBorders>
            <w:vAlign w:val="center"/>
          </w:tcPr>
          <w:p w14:paraId="4D6819D2">
            <w:pPr>
              <w:pStyle w:val="28"/>
              <w:bidi w:val="0"/>
            </w:pPr>
            <w:r>
              <w:rPr>
                <w:rFonts w:hint="eastAsia"/>
              </w:rPr>
              <w:t>杨公村</w:t>
            </w:r>
          </w:p>
        </w:tc>
        <w:tc>
          <w:tcPr>
            <w:tcW w:w="1218" w:type="dxa"/>
            <w:tcBorders>
              <w:top w:val="single" w:color="auto" w:sz="4" w:space="0"/>
              <w:left w:val="single" w:color="auto" w:sz="4" w:space="0"/>
              <w:bottom w:val="single" w:color="auto" w:sz="4" w:space="0"/>
              <w:right w:val="single" w:color="auto" w:sz="4" w:space="0"/>
            </w:tcBorders>
          </w:tcPr>
          <w:p w14:paraId="596DDB45">
            <w:pPr>
              <w:pStyle w:val="28"/>
              <w:bidi w:val="0"/>
            </w:pPr>
            <w:r>
              <w:t>49.5</w:t>
            </w:r>
          </w:p>
        </w:tc>
        <w:tc>
          <w:tcPr>
            <w:tcW w:w="1218" w:type="dxa"/>
            <w:tcBorders>
              <w:top w:val="single" w:color="auto" w:sz="4" w:space="0"/>
              <w:left w:val="single" w:color="auto" w:sz="4" w:space="0"/>
              <w:bottom w:val="single" w:color="auto" w:sz="4" w:space="0"/>
              <w:right w:val="single" w:color="auto" w:sz="4" w:space="0"/>
            </w:tcBorders>
          </w:tcPr>
          <w:p w14:paraId="47D208CD">
            <w:pPr>
              <w:pStyle w:val="28"/>
              <w:bidi w:val="0"/>
            </w:pPr>
            <w:r>
              <w:t>42.1</w:t>
            </w:r>
          </w:p>
        </w:tc>
        <w:tc>
          <w:tcPr>
            <w:tcW w:w="1218" w:type="dxa"/>
            <w:tcBorders>
              <w:top w:val="single" w:color="auto" w:sz="4" w:space="0"/>
              <w:left w:val="single" w:color="auto" w:sz="4" w:space="0"/>
              <w:bottom w:val="single" w:color="auto" w:sz="4" w:space="0"/>
              <w:right w:val="single" w:color="auto" w:sz="4" w:space="0"/>
            </w:tcBorders>
          </w:tcPr>
          <w:p w14:paraId="70F0326C">
            <w:pPr>
              <w:pStyle w:val="28"/>
              <w:bidi w:val="0"/>
            </w:pPr>
            <w:r>
              <w:t>53.4</w:t>
            </w:r>
          </w:p>
        </w:tc>
        <w:tc>
          <w:tcPr>
            <w:tcW w:w="1222" w:type="dxa"/>
            <w:tcBorders>
              <w:top w:val="single" w:color="auto" w:sz="4" w:space="0"/>
              <w:left w:val="single" w:color="auto" w:sz="4" w:space="0"/>
              <w:bottom w:val="single" w:color="auto" w:sz="4" w:space="0"/>
              <w:right w:val="single" w:color="auto" w:sz="4" w:space="0"/>
            </w:tcBorders>
          </w:tcPr>
          <w:p w14:paraId="1C8E2420">
            <w:pPr>
              <w:pStyle w:val="28"/>
              <w:bidi w:val="0"/>
            </w:pPr>
            <w:r>
              <w:t>41.4</w:t>
            </w:r>
          </w:p>
        </w:tc>
        <w:tc>
          <w:tcPr>
            <w:tcW w:w="625" w:type="pct"/>
            <w:tcBorders>
              <w:top w:val="single" w:color="auto" w:sz="4" w:space="0"/>
              <w:left w:val="single" w:color="auto" w:sz="4" w:space="0"/>
              <w:bottom w:val="single" w:color="auto" w:sz="4" w:space="0"/>
              <w:right w:val="single" w:color="auto" w:sz="4" w:space="0"/>
            </w:tcBorders>
            <w:noWrap/>
            <w:vAlign w:val="center"/>
          </w:tcPr>
          <w:p w14:paraId="2CE8EFB2">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4B309CFD">
            <w:pPr>
              <w:pStyle w:val="28"/>
              <w:bidi w:val="0"/>
            </w:pPr>
            <w:r>
              <w:t>45</w:t>
            </w:r>
          </w:p>
        </w:tc>
      </w:tr>
      <w:tr w14:paraId="557D7D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7DD71A26">
            <w:pPr>
              <w:pStyle w:val="28"/>
              <w:bidi w:val="0"/>
            </w:pPr>
            <w:r>
              <w:t>N12</w:t>
            </w:r>
          </w:p>
        </w:tc>
        <w:tc>
          <w:tcPr>
            <w:tcW w:w="1580" w:type="dxa"/>
            <w:tcBorders>
              <w:top w:val="single" w:color="auto" w:sz="4" w:space="0"/>
              <w:left w:val="single" w:color="auto" w:sz="4" w:space="0"/>
              <w:bottom w:val="single" w:color="auto" w:sz="4" w:space="0"/>
              <w:right w:val="single" w:color="auto" w:sz="4" w:space="0"/>
            </w:tcBorders>
            <w:vAlign w:val="center"/>
          </w:tcPr>
          <w:p w14:paraId="2BA6CDD9">
            <w:pPr>
              <w:pStyle w:val="28"/>
              <w:bidi w:val="0"/>
            </w:pPr>
            <w:r>
              <w:rPr>
                <w:rFonts w:hint="eastAsia"/>
              </w:rPr>
              <w:t>前郢（北）</w:t>
            </w:r>
          </w:p>
        </w:tc>
        <w:tc>
          <w:tcPr>
            <w:tcW w:w="1218" w:type="dxa"/>
            <w:tcBorders>
              <w:top w:val="single" w:color="auto" w:sz="4" w:space="0"/>
              <w:left w:val="single" w:color="auto" w:sz="4" w:space="0"/>
              <w:bottom w:val="single" w:color="auto" w:sz="4" w:space="0"/>
              <w:right w:val="single" w:color="auto" w:sz="4" w:space="0"/>
            </w:tcBorders>
          </w:tcPr>
          <w:p w14:paraId="22584D76">
            <w:pPr>
              <w:pStyle w:val="28"/>
              <w:bidi w:val="0"/>
            </w:pPr>
            <w:r>
              <w:t>46.2</w:t>
            </w:r>
          </w:p>
        </w:tc>
        <w:tc>
          <w:tcPr>
            <w:tcW w:w="1218" w:type="dxa"/>
            <w:tcBorders>
              <w:top w:val="single" w:color="auto" w:sz="4" w:space="0"/>
              <w:left w:val="single" w:color="auto" w:sz="4" w:space="0"/>
              <w:bottom w:val="single" w:color="auto" w:sz="4" w:space="0"/>
              <w:right w:val="single" w:color="auto" w:sz="4" w:space="0"/>
            </w:tcBorders>
          </w:tcPr>
          <w:p w14:paraId="4211D25A">
            <w:pPr>
              <w:pStyle w:val="28"/>
              <w:bidi w:val="0"/>
            </w:pPr>
            <w:r>
              <w:t>41.1</w:t>
            </w:r>
          </w:p>
        </w:tc>
        <w:tc>
          <w:tcPr>
            <w:tcW w:w="1218" w:type="dxa"/>
            <w:tcBorders>
              <w:top w:val="single" w:color="auto" w:sz="4" w:space="0"/>
              <w:left w:val="single" w:color="auto" w:sz="4" w:space="0"/>
              <w:bottom w:val="single" w:color="auto" w:sz="4" w:space="0"/>
              <w:right w:val="single" w:color="auto" w:sz="4" w:space="0"/>
            </w:tcBorders>
          </w:tcPr>
          <w:p w14:paraId="475A9510">
            <w:pPr>
              <w:pStyle w:val="28"/>
              <w:bidi w:val="0"/>
            </w:pPr>
            <w:r>
              <w:t>51.0</w:t>
            </w:r>
          </w:p>
        </w:tc>
        <w:tc>
          <w:tcPr>
            <w:tcW w:w="1222" w:type="dxa"/>
            <w:tcBorders>
              <w:top w:val="single" w:color="auto" w:sz="4" w:space="0"/>
              <w:left w:val="single" w:color="auto" w:sz="4" w:space="0"/>
              <w:bottom w:val="single" w:color="auto" w:sz="4" w:space="0"/>
              <w:right w:val="single" w:color="auto" w:sz="4" w:space="0"/>
            </w:tcBorders>
          </w:tcPr>
          <w:p w14:paraId="7B1C15A9">
            <w:pPr>
              <w:pStyle w:val="28"/>
              <w:bidi w:val="0"/>
            </w:pPr>
            <w:r>
              <w:t>40.5</w:t>
            </w:r>
          </w:p>
        </w:tc>
        <w:tc>
          <w:tcPr>
            <w:tcW w:w="625" w:type="pct"/>
            <w:tcBorders>
              <w:top w:val="single" w:color="auto" w:sz="4" w:space="0"/>
              <w:left w:val="single" w:color="auto" w:sz="4" w:space="0"/>
              <w:bottom w:val="single" w:color="auto" w:sz="4" w:space="0"/>
              <w:right w:val="single" w:color="auto" w:sz="4" w:space="0"/>
            </w:tcBorders>
            <w:noWrap/>
            <w:vAlign w:val="center"/>
          </w:tcPr>
          <w:p w14:paraId="194D7B32">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379B5B57">
            <w:pPr>
              <w:pStyle w:val="28"/>
              <w:bidi w:val="0"/>
            </w:pPr>
            <w:r>
              <w:t>45</w:t>
            </w:r>
          </w:p>
        </w:tc>
      </w:tr>
      <w:tr w14:paraId="21CB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5DD541C9">
            <w:pPr>
              <w:pStyle w:val="28"/>
              <w:bidi w:val="0"/>
            </w:pPr>
            <w:r>
              <w:t>N13</w:t>
            </w:r>
          </w:p>
        </w:tc>
        <w:tc>
          <w:tcPr>
            <w:tcW w:w="1580" w:type="dxa"/>
            <w:tcBorders>
              <w:top w:val="single" w:color="auto" w:sz="4" w:space="0"/>
              <w:left w:val="single" w:color="auto" w:sz="4" w:space="0"/>
              <w:bottom w:val="single" w:color="auto" w:sz="4" w:space="0"/>
              <w:right w:val="single" w:color="auto" w:sz="4" w:space="0"/>
            </w:tcBorders>
            <w:vAlign w:val="center"/>
          </w:tcPr>
          <w:p w14:paraId="1C5CDB4A">
            <w:pPr>
              <w:pStyle w:val="28"/>
              <w:bidi w:val="0"/>
            </w:pPr>
            <w:r>
              <w:rPr>
                <w:rFonts w:hint="eastAsia"/>
              </w:rPr>
              <w:t>杨公镇养老院</w:t>
            </w:r>
          </w:p>
        </w:tc>
        <w:tc>
          <w:tcPr>
            <w:tcW w:w="1218" w:type="dxa"/>
            <w:tcBorders>
              <w:top w:val="single" w:color="auto" w:sz="4" w:space="0"/>
              <w:left w:val="single" w:color="auto" w:sz="4" w:space="0"/>
              <w:bottom w:val="single" w:color="auto" w:sz="4" w:space="0"/>
              <w:right w:val="single" w:color="auto" w:sz="4" w:space="0"/>
            </w:tcBorders>
          </w:tcPr>
          <w:p w14:paraId="28EC1489">
            <w:pPr>
              <w:pStyle w:val="28"/>
              <w:bidi w:val="0"/>
            </w:pPr>
            <w:r>
              <w:t>47.2</w:t>
            </w:r>
          </w:p>
        </w:tc>
        <w:tc>
          <w:tcPr>
            <w:tcW w:w="1218" w:type="dxa"/>
            <w:tcBorders>
              <w:top w:val="single" w:color="auto" w:sz="4" w:space="0"/>
              <w:left w:val="single" w:color="auto" w:sz="4" w:space="0"/>
              <w:bottom w:val="single" w:color="auto" w:sz="4" w:space="0"/>
              <w:right w:val="single" w:color="auto" w:sz="4" w:space="0"/>
            </w:tcBorders>
          </w:tcPr>
          <w:p w14:paraId="65844C48">
            <w:pPr>
              <w:pStyle w:val="28"/>
              <w:bidi w:val="0"/>
            </w:pPr>
            <w:r>
              <w:t>39.6</w:t>
            </w:r>
          </w:p>
        </w:tc>
        <w:tc>
          <w:tcPr>
            <w:tcW w:w="1218" w:type="dxa"/>
            <w:tcBorders>
              <w:top w:val="single" w:color="auto" w:sz="4" w:space="0"/>
              <w:left w:val="single" w:color="auto" w:sz="4" w:space="0"/>
              <w:bottom w:val="single" w:color="auto" w:sz="4" w:space="0"/>
              <w:right w:val="single" w:color="auto" w:sz="4" w:space="0"/>
            </w:tcBorders>
          </w:tcPr>
          <w:p w14:paraId="3566CB01">
            <w:pPr>
              <w:pStyle w:val="28"/>
              <w:bidi w:val="0"/>
            </w:pPr>
            <w:r>
              <w:t>52.4</w:t>
            </w:r>
          </w:p>
        </w:tc>
        <w:tc>
          <w:tcPr>
            <w:tcW w:w="1222" w:type="dxa"/>
            <w:tcBorders>
              <w:top w:val="single" w:color="auto" w:sz="4" w:space="0"/>
              <w:left w:val="single" w:color="auto" w:sz="4" w:space="0"/>
              <w:bottom w:val="single" w:color="auto" w:sz="4" w:space="0"/>
              <w:right w:val="single" w:color="auto" w:sz="4" w:space="0"/>
            </w:tcBorders>
          </w:tcPr>
          <w:p w14:paraId="2339F6A8">
            <w:pPr>
              <w:pStyle w:val="28"/>
              <w:bidi w:val="0"/>
            </w:pPr>
            <w:r>
              <w:t>40.7</w:t>
            </w:r>
          </w:p>
        </w:tc>
        <w:tc>
          <w:tcPr>
            <w:tcW w:w="625" w:type="pct"/>
            <w:tcBorders>
              <w:top w:val="single" w:color="auto" w:sz="4" w:space="0"/>
              <w:left w:val="single" w:color="auto" w:sz="4" w:space="0"/>
              <w:bottom w:val="single" w:color="auto" w:sz="4" w:space="0"/>
              <w:right w:val="single" w:color="auto" w:sz="4" w:space="0"/>
            </w:tcBorders>
            <w:noWrap/>
            <w:vAlign w:val="center"/>
          </w:tcPr>
          <w:p w14:paraId="3327FE85">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319A5EE2">
            <w:pPr>
              <w:pStyle w:val="28"/>
              <w:bidi w:val="0"/>
            </w:pPr>
            <w:r>
              <w:t>45</w:t>
            </w:r>
          </w:p>
        </w:tc>
      </w:tr>
      <w:tr w14:paraId="1BA96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36CB47FE">
            <w:pPr>
              <w:pStyle w:val="28"/>
              <w:bidi w:val="0"/>
            </w:pPr>
            <w:r>
              <w:t>N14</w:t>
            </w:r>
          </w:p>
        </w:tc>
        <w:tc>
          <w:tcPr>
            <w:tcW w:w="1580" w:type="dxa"/>
            <w:tcBorders>
              <w:top w:val="single" w:color="auto" w:sz="4" w:space="0"/>
              <w:left w:val="single" w:color="auto" w:sz="4" w:space="0"/>
              <w:bottom w:val="single" w:color="auto" w:sz="4" w:space="0"/>
              <w:right w:val="single" w:color="auto" w:sz="4" w:space="0"/>
            </w:tcBorders>
            <w:vAlign w:val="center"/>
          </w:tcPr>
          <w:p w14:paraId="6E1CAF81">
            <w:pPr>
              <w:pStyle w:val="28"/>
              <w:bidi w:val="0"/>
            </w:pPr>
            <w:r>
              <w:rPr>
                <w:rFonts w:hint="eastAsia"/>
              </w:rPr>
              <w:t>南圩</w:t>
            </w:r>
          </w:p>
        </w:tc>
        <w:tc>
          <w:tcPr>
            <w:tcW w:w="1218" w:type="dxa"/>
            <w:tcBorders>
              <w:top w:val="single" w:color="auto" w:sz="4" w:space="0"/>
              <w:left w:val="single" w:color="auto" w:sz="4" w:space="0"/>
              <w:bottom w:val="single" w:color="auto" w:sz="4" w:space="0"/>
              <w:right w:val="single" w:color="auto" w:sz="4" w:space="0"/>
            </w:tcBorders>
          </w:tcPr>
          <w:p w14:paraId="73406281">
            <w:pPr>
              <w:pStyle w:val="28"/>
              <w:bidi w:val="0"/>
            </w:pPr>
            <w:r>
              <w:t>48.4</w:t>
            </w:r>
          </w:p>
        </w:tc>
        <w:tc>
          <w:tcPr>
            <w:tcW w:w="1218" w:type="dxa"/>
            <w:tcBorders>
              <w:top w:val="single" w:color="auto" w:sz="4" w:space="0"/>
              <w:left w:val="single" w:color="auto" w:sz="4" w:space="0"/>
              <w:bottom w:val="single" w:color="auto" w:sz="4" w:space="0"/>
              <w:right w:val="single" w:color="auto" w:sz="4" w:space="0"/>
            </w:tcBorders>
          </w:tcPr>
          <w:p w14:paraId="1A18DF5F">
            <w:pPr>
              <w:pStyle w:val="28"/>
              <w:bidi w:val="0"/>
            </w:pPr>
            <w:r>
              <w:t>41.2</w:t>
            </w:r>
          </w:p>
        </w:tc>
        <w:tc>
          <w:tcPr>
            <w:tcW w:w="1218" w:type="dxa"/>
            <w:tcBorders>
              <w:top w:val="single" w:color="auto" w:sz="4" w:space="0"/>
              <w:left w:val="single" w:color="auto" w:sz="4" w:space="0"/>
              <w:bottom w:val="single" w:color="auto" w:sz="4" w:space="0"/>
              <w:right w:val="single" w:color="auto" w:sz="4" w:space="0"/>
            </w:tcBorders>
          </w:tcPr>
          <w:p w14:paraId="79050B7C">
            <w:pPr>
              <w:pStyle w:val="28"/>
              <w:bidi w:val="0"/>
            </w:pPr>
            <w:r>
              <w:t>54.3</w:t>
            </w:r>
          </w:p>
        </w:tc>
        <w:tc>
          <w:tcPr>
            <w:tcW w:w="1222" w:type="dxa"/>
            <w:tcBorders>
              <w:top w:val="single" w:color="auto" w:sz="4" w:space="0"/>
              <w:left w:val="single" w:color="auto" w:sz="4" w:space="0"/>
              <w:bottom w:val="single" w:color="auto" w:sz="4" w:space="0"/>
              <w:right w:val="single" w:color="auto" w:sz="4" w:space="0"/>
            </w:tcBorders>
          </w:tcPr>
          <w:p w14:paraId="661741BF">
            <w:pPr>
              <w:pStyle w:val="28"/>
              <w:bidi w:val="0"/>
            </w:pPr>
            <w:r>
              <w:t>44.1</w:t>
            </w:r>
          </w:p>
        </w:tc>
        <w:tc>
          <w:tcPr>
            <w:tcW w:w="625" w:type="pct"/>
            <w:tcBorders>
              <w:top w:val="single" w:color="auto" w:sz="4" w:space="0"/>
              <w:left w:val="single" w:color="auto" w:sz="4" w:space="0"/>
              <w:bottom w:val="single" w:color="auto" w:sz="4" w:space="0"/>
              <w:right w:val="single" w:color="auto" w:sz="4" w:space="0"/>
            </w:tcBorders>
            <w:noWrap/>
            <w:vAlign w:val="center"/>
          </w:tcPr>
          <w:p w14:paraId="4F29E20F">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6AE8D069">
            <w:pPr>
              <w:pStyle w:val="28"/>
              <w:bidi w:val="0"/>
            </w:pPr>
            <w:r>
              <w:t>45</w:t>
            </w:r>
          </w:p>
        </w:tc>
      </w:tr>
      <w:tr w14:paraId="2BF59C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21EBF3B6">
            <w:pPr>
              <w:pStyle w:val="28"/>
              <w:bidi w:val="0"/>
            </w:pPr>
            <w:r>
              <w:t>N15</w:t>
            </w:r>
          </w:p>
        </w:tc>
        <w:tc>
          <w:tcPr>
            <w:tcW w:w="1580" w:type="dxa"/>
            <w:tcBorders>
              <w:top w:val="single" w:color="auto" w:sz="4" w:space="0"/>
              <w:left w:val="single" w:color="auto" w:sz="4" w:space="0"/>
              <w:bottom w:val="single" w:color="auto" w:sz="4" w:space="0"/>
              <w:right w:val="single" w:color="auto" w:sz="4" w:space="0"/>
            </w:tcBorders>
            <w:vAlign w:val="center"/>
          </w:tcPr>
          <w:p w14:paraId="73E7C9A4">
            <w:pPr>
              <w:pStyle w:val="28"/>
              <w:bidi w:val="0"/>
            </w:pPr>
            <w:r>
              <w:rPr>
                <w:rFonts w:hint="eastAsia"/>
              </w:rPr>
              <w:t>纪大郢</w:t>
            </w:r>
          </w:p>
        </w:tc>
        <w:tc>
          <w:tcPr>
            <w:tcW w:w="1218" w:type="dxa"/>
            <w:tcBorders>
              <w:top w:val="single" w:color="auto" w:sz="4" w:space="0"/>
              <w:left w:val="single" w:color="auto" w:sz="4" w:space="0"/>
              <w:bottom w:val="single" w:color="auto" w:sz="4" w:space="0"/>
              <w:right w:val="single" w:color="auto" w:sz="4" w:space="0"/>
            </w:tcBorders>
          </w:tcPr>
          <w:p w14:paraId="59C1E3A8">
            <w:pPr>
              <w:pStyle w:val="28"/>
              <w:bidi w:val="0"/>
            </w:pPr>
            <w:r>
              <w:t>46.8</w:t>
            </w:r>
          </w:p>
        </w:tc>
        <w:tc>
          <w:tcPr>
            <w:tcW w:w="1218" w:type="dxa"/>
            <w:tcBorders>
              <w:top w:val="single" w:color="auto" w:sz="4" w:space="0"/>
              <w:left w:val="single" w:color="auto" w:sz="4" w:space="0"/>
              <w:bottom w:val="single" w:color="auto" w:sz="4" w:space="0"/>
              <w:right w:val="single" w:color="auto" w:sz="4" w:space="0"/>
            </w:tcBorders>
          </w:tcPr>
          <w:p w14:paraId="22B63BF3">
            <w:pPr>
              <w:pStyle w:val="28"/>
              <w:bidi w:val="0"/>
            </w:pPr>
            <w:r>
              <w:t>41.2</w:t>
            </w:r>
          </w:p>
        </w:tc>
        <w:tc>
          <w:tcPr>
            <w:tcW w:w="1218" w:type="dxa"/>
            <w:tcBorders>
              <w:top w:val="single" w:color="auto" w:sz="4" w:space="0"/>
              <w:left w:val="single" w:color="auto" w:sz="4" w:space="0"/>
              <w:bottom w:val="single" w:color="auto" w:sz="4" w:space="0"/>
              <w:right w:val="single" w:color="auto" w:sz="4" w:space="0"/>
            </w:tcBorders>
          </w:tcPr>
          <w:p w14:paraId="7A9A52E8">
            <w:pPr>
              <w:pStyle w:val="28"/>
              <w:bidi w:val="0"/>
            </w:pPr>
            <w:r>
              <w:t>52.2</w:t>
            </w:r>
          </w:p>
        </w:tc>
        <w:tc>
          <w:tcPr>
            <w:tcW w:w="1222" w:type="dxa"/>
            <w:tcBorders>
              <w:top w:val="single" w:color="auto" w:sz="4" w:space="0"/>
              <w:left w:val="single" w:color="auto" w:sz="4" w:space="0"/>
              <w:bottom w:val="single" w:color="auto" w:sz="4" w:space="0"/>
              <w:right w:val="single" w:color="auto" w:sz="4" w:space="0"/>
            </w:tcBorders>
          </w:tcPr>
          <w:p w14:paraId="411B5FA5">
            <w:pPr>
              <w:pStyle w:val="28"/>
              <w:bidi w:val="0"/>
            </w:pPr>
            <w:r>
              <w:t>42.3</w:t>
            </w:r>
          </w:p>
        </w:tc>
        <w:tc>
          <w:tcPr>
            <w:tcW w:w="1218" w:type="dxa"/>
            <w:tcBorders>
              <w:top w:val="single" w:color="auto" w:sz="4" w:space="0"/>
              <w:left w:val="single" w:color="auto" w:sz="4" w:space="0"/>
              <w:bottom w:val="single" w:color="auto" w:sz="4" w:space="0"/>
              <w:right w:val="single" w:color="auto" w:sz="4" w:space="0"/>
            </w:tcBorders>
            <w:noWrap/>
            <w:vAlign w:val="center"/>
          </w:tcPr>
          <w:p w14:paraId="233D914C">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67316C45">
            <w:pPr>
              <w:pStyle w:val="28"/>
              <w:bidi w:val="0"/>
            </w:pPr>
            <w:r>
              <w:t>45</w:t>
            </w:r>
          </w:p>
        </w:tc>
      </w:tr>
      <w:tr w14:paraId="65692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191593D3">
            <w:pPr>
              <w:pStyle w:val="28"/>
              <w:bidi w:val="0"/>
            </w:pPr>
            <w:r>
              <w:t>N16</w:t>
            </w:r>
          </w:p>
        </w:tc>
        <w:tc>
          <w:tcPr>
            <w:tcW w:w="1580" w:type="dxa"/>
            <w:tcBorders>
              <w:top w:val="single" w:color="auto" w:sz="4" w:space="0"/>
              <w:left w:val="single" w:color="auto" w:sz="4" w:space="0"/>
              <w:bottom w:val="single" w:color="auto" w:sz="4" w:space="0"/>
              <w:right w:val="single" w:color="auto" w:sz="4" w:space="0"/>
            </w:tcBorders>
            <w:vAlign w:val="center"/>
          </w:tcPr>
          <w:p w14:paraId="7DA56621">
            <w:pPr>
              <w:pStyle w:val="28"/>
              <w:bidi w:val="0"/>
            </w:pPr>
            <w:r>
              <w:rPr>
                <w:rFonts w:hint="eastAsia"/>
              </w:rPr>
              <w:t>酒坊郢</w:t>
            </w:r>
          </w:p>
        </w:tc>
        <w:tc>
          <w:tcPr>
            <w:tcW w:w="1218" w:type="dxa"/>
            <w:tcBorders>
              <w:top w:val="single" w:color="auto" w:sz="4" w:space="0"/>
              <w:left w:val="single" w:color="auto" w:sz="4" w:space="0"/>
              <w:bottom w:val="single" w:color="auto" w:sz="4" w:space="0"/>
              <w:right w:val="single" w:color="auto" w:sz="4" w:space="0"/>
            </w:tcBorders>
          </w:tcPr>
          <w:p w14:paraId="35D5CF03">
            <w:pPr>
              <w:pStyle w:val="28"/>
              <w:bidi w:val="0"/>
            </w:pPr>
            <w:r>
              <w:t>45.7</w:t>
            </w:r>
          </w:p>
        </w:tc>
        <w:tc>
          <w:tcPr>
            <w:tcW w:w="1218" w:type="dxa"/>
            <w:tcBorders>
              <w:top w:val="single" w:color="auto" w:sz="4" w:space="0"/>
              <w:left w:val="single" w:color="auto" w:sz="4" w:space="0"/>
              <w:bottom w:val="single" w:color="auto" w:sz="4" w:space="0"/>
              <w:right w:val="single" w:color="auto" w:sz="4" w:space="0"/>
            </w:tcBorders>
          </w:tcPr>
          <w:p w14:paraId="25B7FF06">
            <w:pPr>
              <w:pStyle w:val="28"/>
              <w:bidi w:val="0"/>
            </w:pPr>
            <w:r>
              <w:t>39.4</w:t>
            </w:r>
          </w:p>
        </w:tc>
        <w:tc>
          <w:tcPr>
            <w:tcW w:w="1218" w:type="dxa"/>
            <w:tcBorders>
              <w:top w:val="single" w:color="auto" w:sz="4" w:space="0"/>
              <w:left w:val="single" w:color="auto" w:sz="4" w:space="0"/>
              <w:bottom w:val="single" w:color="auto" w:sz="4" w:space="0"/>
              <w:right w:val="single" w:color="auto" w:sz="4" w:space="0"/>
            </w:tcBorders>
          </w:tcPr>
          <w:p w14:paraId="313D089C">
            <w:pPr>
              <w:pStyle w:val="28"/>
              <w:bidi w:val="0"/>
            </w:pPr>
            <w:r>
              <w:t>53.6</w:t>
            </w:r>
          </w:p>
        </w:tc>
        <w:tc>
          <w:tcPr>
            <w:tcW w:w="1222" w:type="dxa"/>
            <w:tcBorders>
              <w:top w:val="single" w:color="auto" w:sz="4" w:space="0"/>
              <w:left w:val="single" w:color="auto" w:sz="4" w:space="0"/>
              <w:bottom w:val="single" w:color="auto" w:sz="4" w:space="0"/>
              <w:right w:val="single" w:color="auto" w:sz="4" w:space="0"/>
            </w:tcBorders>
          </w:tcPr>
          <w:p w14:paraId="0F64DFBE">
            <w:pPr>
              <w:pStyle w:val="28"/>
              <w:bidi w:val="0"/>
            </w:pPr>
            <w:r>
              <w:t>39.8</w:t>
            </w:r>
          </w:p>
        </w:tc>
        <w:tc>
          <w:tcPr>
            <w:tcW w:w="625" w:type="pct"/>
            <w:tcBorders>
              <w:top w:val="single" w:color="auto" w:sz="4" w:space="0"/>
              <w:left w:val="single" w:color="auto" w:sz="4" w:space="0"/>
              <w:bottom w:val="single" w:color="auto" w:sz="4" w:space="0"/>
              <w:right w:val="single" w:color="auto" w:sz="4" w:space="0"/>
            </w:tcBorders>
            <w:noWrap/>
            <w:vAlign w:val="center"/>
          </w:tcPr>
          <w:p w14:paraId="78AD5055">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33955557">
            <w:pPr>
              <w:pStyle w:val="28"/>
              <w:bidi w:val="0"/>
            </w:pPr>
            <w:r>
              <w:t>45</w:t>
            </w:r>
          </w:p>
        </w:tc>
      </w:tr>
      <w:tr w14:paraId="120A2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4817D9D5">
            <w:pPr>
              <w:pStyle w:val="28"/>
              <w:bidi w:val="0"/>
            </w:pPr>
            <w:r>
              <w:t>N17</w:t>
            </w:r>
          </w:p>
        </w:tc>
        <w:tc>
          <w:tcPr>
            <w:tcW w:w="1580" w:type="dxa"/>
            <w:tcBorders>
              <w:top w:val="single" w:color="auto" w:sz="4" w:space="0"/>
              <w:left w:val="single" w:color="auto" w:sz="4" w:space="0"/>
              <w:bottom w:val="single" w:color="auto" w:sz="4" w:space="0"/>
              <w:right w:val="single" w:color="auto" w:sz="4" w:space="0"/>
            </w:tcBorders>
            <w:vAlign w:val="center"/>
          </w:tcPr>
          <w:p w14:paraId="59ADA266">
            <w:pPr>
              <w:pStyle w:val="28"/>
              <w:bidi w:val="0"/>
            </w:pPr>
            <w:r>
              <w:rPr>
                <w:rFonts w:hint="eastAsia"/>
              </w:rPr>
              <w:t>双圩</w:t>
            </w:r>
          </w:p>
        </w:tc>
        <w:tc>
          <w:tcPr>
            <w:tcW w:w="1218" w:type="dxa"/>
            <w:tcBorders>
              <w:top w:val="single" w:color="auto" w:sz="4" w:space="0"/>
              <w:left w:val="single" w:color="auto" w:sz="4" w:space="0"/>
              <w:bottom w:val="single" w:color="auto" w:sz="4" w:space="0"/>
              <w:right w:val="single" w:color="auto" w:sz="4" w:space="0"/>
            </w:tcBorders>
          </w:tcPr>
          <w:p w14:paraId="13E27971">
            <w:pPr>
              <w:pStyle w:val="28"/>
              <w:bidi w:val="0"/>
            </w:pPr>
            <w:r>
              <w:t>45.4</w:t>
            </w:r>
          </w:p>
        </w:tc>
        <w:tc>
          <w:tcPr>
            <w:tcW w:w="1218" w:type="dxa"/>
            <w:tcBorders>
              <w:top w:val="single" w:color="auto" w:sz="4" w:space="0"/>
              <w:left w:val="single" w:color="auto" w:sz="4" w:space="0"/>
              <w:bottom w:val="single" w:color="auto" w:sz="4" w:space="0"/>
              <w:right w:val="single" w:color="auto" w:sz="4" w:space="0"/>
            </w:tcBorders>
          </w:tcPr>
          <w:p w14:paraId="176A517D">
            <w:pPr>
              <w:pStyle w:val="28"/>
              <w:bidi w:val="0"/>
            </w:pPr>
            <w:r>
              <w:t>39.5</w:t>
            </w:r>
          </w:p>
        </w:tc>
        <w:tc>
          <w:tcPr>
            <w:tcW w:w="1218" w:type="dxa"/>
            <w:tcBorders>
              <w:top w:val="single" w:color="auto" w:sz="4" w:space="0"/>
              <w:left w:val="single" w:color="auto" w:sz="4" w:space="0"/>
              <w:bottom w:val="single" w:color="auto" w:sz="4" w:space="0"/>
              <w:right w:val="single" w:color="auto" w:sz="4" w:space="0"/>
            </w:tcBorders>
          </w:tcPr>
          <w:p w14:paraId="0132F11A">
            <w:pPr>
              <w:pStyle w:val="28"/>
              <w:bidi w:val="0"/>
            </w:pPr>
            <w:r>
              <w:t>53.4</w:t>
            </w:r>
          </w:p>
        </w:tc>
        <w:tc>
          <w:tcPr>
            <w:tcW w:w="1222" w:type="dxa"/>
            <w:tcBorders>
              <w:top w:val="single" w:color="auto" w:sz="4" w:space="0"/>
              <w:left w:val="single" w:color="auto" w:sz="4" w:space="0"/>
              <w:bottom w:val="single" w:color="auto" w:sz="4" w:space="0"/>
              <w:right w:val="single" w:color="auto" w:sz="4" w:space="0"/>
            </w:tcBorders>
          </w:tcPr>
          <w:p w14:paraId="1EC28438">
            <w:pPr>
              <w:pStyle w:val="28"/>
              <w:bidi w:val="0"/>
            </w:pPr>
            <w:r>
              <w:t>40.4</w:t>
            </w:r>
          </w:p>
        </w:tc>
        <w:tc>
          <w:tcPr>
            <w:tcW w:w="625" w:type="pct"/>
            <w:tcBorders>
              <w:top w:val="single" w:color="auto" w:sz="4" w:space="0"/>
              <w:left w:val="single" w:color="auto" w:sz="4" w:space="0"/>
              <w:bottom w:val="single" w:color="auto" w:sz="4" w:space="0"/>
              <w:right w:val="single" w:color="auto" w:sz="4" w:space="0"/>
            </w:tcBorders>
            <w:noWrap/>
            <w:vAlign w:val="center"/>
          </w:tcPr>
          <w:p w14:paraId="752CEEA7">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4777C3BD">
            <w:pPr>
              <w:pStyle w:val="28"/>
              <w:bidi w:val="0"/>
            </w:pPr>
            <w:r>
              <w:t>45</w:t>
            </w:r>
          </w:p>
        </w:tc>
      </w:tr>
      <w:tr w14:paraId="4EF58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21F72D58">
            <w:pPr>
              <w:pStyle w:val="28"/>
              <w:bidi w:val="0"/>
            </w:pPr>
            <w:r>
              <w:t>N18</w:t>
            </w:r>
          </w:p>
        </w:tc>
        <w:tc>
          <w:tcPr>
            <w:tcW w:w="1580" w:type="dxa"/>
            <w:tcBorders>
              <w:top w:val="single" w:color="auto" w:sz="4" w:space="0"/>
              <w:left w:val="single" w:color="auto" w:sz="4" w:space="0"/>
              <w:bottom w:val="single" w:color="auto" w:sz="4" w:space="0"/>
              <w:right w:val="single" w:color="auto" w:sz="4" w:space="0"/>
            </w:tcBorders>
            <w:vAlign w:val="center"/>
          </w:tcPr>
          <w:p w14:paraId="116EE79C">
            <w:pPr>
              <w:pStyle w:val="28"/>
              <w:bidi w:val="0"/>
            </w:pPr>
            <w:r>
              <w:rPr>
                <w:rFonts w:hint="eastAsia"/>
              </w:rPr>
              <w:t>李郢子</w:t>
            </w:r>
          </w:p>
        </w:tc>
        <w:tc>
          <w:tcPr>
            <w:tcW w:w="1218" w:type="dxa"/>
            <w:tcBorders>
              <w:top w:val="single" w:color="auto" w:sz="4" w:space="0"/>
              <w:left w:val="single" w:color="auto" w:sz="4" w:space="0"/>
              <w:bottom w:val="single" w:color="auto" w:sz="4" w:space="0"/>
              <w:right w:val="single" w:color="auto" w:sz="4" w:space="0"/>
            </w:tcBorders>
          </w:tcPr>
          <w:p w14:paraId="235A4EC9">
            <w:pPr>
              <w:pStyle w:val="28"/>
              <w:bidi w:val="0"/>
            </w:pPr>
            <w:r>
              <w:t>49.4</w:t>
            </w:r>
          </w:p>
        </w:tc>
        <w:tc>
          <w:tcPr>
            <w:tcW w:w="1218" w:type="dxa"/>
            <w:tcBorders>
              <w:top w:val="single" w:color="auto" w:sz="4" w:space="0"/>
              <w:left w:val="single" w:color="auto" w:sz="4" w:space="0"/>
              <w:bottom w:val="single" w:color="auto" w:sz="4" w:space="0"/>
              <w:right w:val="single" w:color="auto" w:sz="4" w:space="0"/>
            </w:tcBorders>
          </w:tcPr>
          <w:p w14:paraId="29D4EDD7">
            <w:pPr>
              <w:pStyle w:val="28"/>
              <w:bidi w:val="0"/>
            </w:pPr>
            <w:r>
              <w:t>39.3</w:t>
            </w:r>
          </w:p>
        </w:tc>
        <w:tc>
          <w:tcPr>
            <w:tcW w:w="1218" w:type="dxa"/>
            <w:tcBorders>
              <w:top w:val="single" w:color="auto" w:sz="4" w:space="0"/>
              <w:left w:val="single" w:color="auto" w:sz="4" w:space="0"/>
              <w:bottom w:val="single" w:color="auto" w:sz="4" w:space="0"/>
              <w:right w:val="single" w:color="auto" w:sz="4" w:space="0"/>
            </w:tcBorders>
          </w:tcPr>
          <w:p w14:paraId="200D7E1B">
            <w:pPr>
              <w:pStyle w:val="28"/>
              <w:bidi w:val="0"/>
            </w:pPr>
            <w:r>
              <w:t>51.3</w:t>
            </w:r>
          </w:p>
        </w:tc>
        <w:tc>
          <w:tcPr>
            <w:tcW w:w="1222" w:type="dxa"/>
            <w:tcBorders>
              <w:top w:val="single" w:color="auto" w:sz="4" w:space="0"/>
              <w:left w:val="single" w:color="auto" w:sz="4" w:space="0"/>
              <w:bottom w:val="single" w:color="auto" w:sz="4" w:space="0"/>
              <w:right w:val="single" w:color="auto" w:sz="4" w:space="0"/>
            </w:tcBorders>
          </w:tcPr>
          <w:p w14:paraId="221425E8">
            <w:pPr>
              <w:pStyle w:val="28"/>
              <w:bidi w:val="0"/>
            </w:pPr>
            <w:r>
              <w:t>41.1</w:t>
            </w:r>
          </w:p>
        </w:tc>
        <w:tc>
          <w:tcPr>
            <w:tcW w:w="625" w:type="pct"/>
            <w:tcBorders>
              <w:top w:val="single" w:color="auto" w:sz="4" w:space="0"/>
              <w:left w:val="single" w:color="auto" w:sz="4" w:space="0"/>
              <w:bottom w:val="single" w:color="auto" w:sz="4" w:space="0"/>
              <w:right w:val="single" w:color="auto" w:sz="4" w:space="0"/>
            </w:tcBorders>
            <w:noWrap/>
            <w:vAlign w:val="center"/>
          </w:tcPr>
          <w:p w14:paraId="1691060A">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472A4690">
            <w:pPr>
              <w:pStyle w:val="28"/>
              <w:bidi w:val="0"/>
            </w:pPr>
            <w:r>
              <w:t>45</w:t>
            </w:r>
          </w:p>
        </w:tc>
      </w:tr>
      <w:tr w14:paraId="243F5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18F8C138">
            <w:pPr>
              <w:pStyle w:val="28"/>
              <w:bidi w:val="0"/>
            </w:pPr>
            <w:r>
              <w:t>N19</w:t>
            </w:r>
          </w:p>
        </w:tc>
        <w:tc>
          <w:tcPr>
            <w:tcW w:w="1580" w:type="dxa"/>
            <w:tcBorders>
              <w:top w:val="single" w:color="auto" w:sz="4" w:space="0"/>
              <w:left w:val="single" w:color="auto" w:sz="4" w:space="0"/>
              <w:bottom w:val="single" w:color="auto" w:sz="4" w:space="0"/>
              <w:right w:val="single" w:color="auto" w:sz="4" w:space="0"/>
            </w:tcBorders>
            <w:vAlign w:val="center"/>
          </w:tcPr>
          <w:p w14:paraId="4523EFF2">
            <w:pPr>
              <w:pStyle w:val="28"/>
              <w:bidi w:val="0"/>
            </w:pPr>
            <w:r>
              <w:rPr>
                <w:rFonts w:hint="eastAsia"/>
              </w:rPr>
              <w:t>前瓦房西</w:t>
            </w:r>
          </w:p>
        </w:tc>
        <w:tc>
          <w:tcPr>
            <w:tcW w:w="1218" w:type="dxa"/>
            <w:tcBorders>
              <w:top w:val="single" w:color="auto" w:sz="4" w:space="0"/>
              <w:left w:val="single" w:color="auto" w:sz="4" w:space="0"/>
              <w:bottom w:val="single" w:color="auto" w:sz="4" w:space="0"/>
              <w:right w:val="single" w:color="auto" w:sz="4" w:space="0"/>
            </w:tcBorders>
          </w:tcPr>
          <w:p w14:paraId="24722463">
            <w:pPr>
              <w:pStyle w:val="28"/>
              <w:bidi w:val="0"/>
            </w:pPr>
            <w:r>
              <w:t>45.7</w:t>
            </w:r>
          </w:p>
        </w:tc>
        <w:tc>
          <w:tcPr>
            <w:tcW w:w="1218" w:type="dxa"/>
            <w:tcBorders>
              <w:top w:val="single" w:color="auto" w:sz="4" w:space="0"/>
              <w:left w:val="single" w:color="auto" w:sz="4" w:space="0"/>
              <w:bottom w:val="single" w:color="auto" w:sz="4" w:space="0"/>
              <w:right w:val="single" w:color="auto" w:sz="4" w:space="0"/>
            </w:tcBorders>
          </w:tcPr>
          <w:p w14:paraId="638A5342">
            <w:pPr>
              <w:pStyle w:val="28"/>
              <w:bidi w:val="0"/>
            </w:pPr>
            <w:r>
              <w:t>40.1</w:t>
            </w:r>
          </w:p>
        </w:tc>
        <w:tc>
          <w:tcPr>
            <w:tcW w:w="1218" w:type="dxa"/>
            <w:tcBorders>
              <w:top w:val="single" w:color="auto" w:sz="4" w:space="0"/>
              <w:left w:val="single" w:color="auto" w:sz="4" w:space="0"/>
              <w:bottom w:val="single" w:color="auto" w:sz="4" w:space="0"/>
              <w:right w:val="single" w:color="auto" w:sz="4" w:space="0"/>
            </w:tcBorders>
          </w:tcPr>
          <w:p w14:paraId="2518AAFB">
            <w:pPr>
              <w:pStyle w:val="28"/>
              <w:bidi w:val="0"/>
            </w:pPr>
            <w:r>
              <w:t>52.0</w:t>
            </w:r>
          </w:p>
        </w:tc>
        <w:tc>
          <w:tcPr>
            <w:tcW w:w="1222" w:type="dxa"/>
            <w:tcBorders>
              <w:top w:val="single" w:color="auto" w:sz="4" w:space="0"/>
              <w:left w:val="single" w:color="auto" w:sz="4" w:space="0"/>
              <w:bottom w:val="single" w:color="auto" w:sz="4" w:space="0"/>
              <w:right w:val="single" w:color="auto" w:sz="4" w:space="0"/>
            </w:tcBorders>
          </w:tcPr>
          <w:p w14:paraId="4DA545E5">
            <w:pPr>
              <w:pStyle w:val="28"/>
              <w:bidi w:val="0"/>
            </w:pPr>
            <w:r>
              <w:t>42.0</w:t>
            </w:r>
          </w:p>
        </w:tc>
        <w:tc>
          <w:tcPr>
            <w:tcW w:w="625" w:type="pct"/>
            <w:tcBorders>
              <w:top w:val="single" w:color="auto" w:sz="4" w:space="0"/>
              <w:left w:val="single" w:color="auto" w:sz="4" w:space="0"/>
              <w:bottom w:val="single" w:color="auto" w:sz="4" w:space="0"/>
              <w:right w:val="single" w:color="auto" w:sz="4" w:space="0"/>
            </w:tcBorders>
            <w:noWrap/>
            <w:vAlign w:val="center"/>
          </w:tcPr>
          <w:p w14:paraId="7BFF56B8">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5028131C">
            <w:pPr>
              <w:pStyle w:val="28"/>
              <w:bidi w:val="0"/>
            </w:pPr>
            <w:r>
              <w:t>45</w:t>
            </w:r>
          </w:p>
        </w:tc>
      </w:tr>
      <w:tr w14:paraId="406A4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2CCC21B1">
            <w:pPr>
              <w:pStyle w:val="28"/>
              <w:bidi w:val="0"/>
            </w:pPr>
            <w:r>
              <w:t>N20</w:t>
            </w:r>
          </w:p>
        </w:tc>
        <w:tc>
          <w:tcPr>
            <w:tcW w:w="1580" w:type="dxa"/>
            <w:tcBorders>
              <w:top w:val="single" w:color="auto" w:sz="4" w:space="0"/>
              <w:left w:val="single" w:color="auto" w:sz="4" w:space="0"/>
              <w:bottom w:val="single" w:color="auto" w:sz="4" w:space="0"/>
              <w:right w:val="single" w:color="auto" w:sz="4" w:space="0"/>
            </w:tcBorders>
            <w:vAlign w:val="center"/>
          </w:tcPr>
          <w:p w14:paraId="4F02582E">
            <w:pPr>
              <w:pStyle w:val="28"/>
              <w:bidi w:val="0"/>
            </w:pPr>
            <w:r>
              <w:rPr>
                <w:rFonts w:hint="eastAsia"/>
              </w:rPr>
              <w:t>方庄</w:t>
            </w:r>
          </w:p>
        </w:tc>
        <w:tc>
          <w:tcPr>
            <w:tcW w:w="1218" w:type="dxa"/>
            <w:tcBorders>
              <w:top w:val="single" w:color="auto" w:sz="4" w:space="0"/>
              <w:left w:val="single" w:color="auto" w:sz="4" w:space="0"/>
              <w:bottom w:val="single" w:color="auto" w:sz="4" w:space="0"/>
              <w:right w:val="single" w:color="auto" w:sz="4" w:space="0"/>
            </w:tcBorders>
          </w:tcPr>
          <w:p w14:paraId="196796C6">
            <w:pPr>
              <w:pStyle w:val="28"/>
              <w:bidi w:val="0"/>
            </w:pPr>
            <w:r>
              <w:t>45.0</w:t>
            </w:r>
          </w:p>
        </w:tc>
        <w:tc>
          <w:tcPr>
            <w:tcW w:w="1218" w:type="dxa"/>
            <w:tcBorders>
              <w:top w:val="single" w:color="auto" w:sz="4" w:space="0"/>
              <w:left w:val="single" w:color="auto" w:sz="4" w:space="0"/>
              <w:bottom w:val="single" w:color="auto" w:sz="4" w:space="0"/>
              <w:right w:val="single" w:color="auto" w:sz="4" w:space="0"/>
            </w:tcBorders>
          </w:tcPr>
          <w:p w14:paraId="6F7CCABC">
            <w:pPr>
              <w:pStyle w:val="28"/>
              <w:bidi w:val="0"/>
            </w:pPr>
            <w:r>
              <w:t>39.1</w:t>
            </w:r>
          </w:p>
        </w:tc>
        <w:tc>
          <w:tcPr>
            <w:tcW w:w="1218" w:type="dxa"/>
            <w:tcBorders>
              <w:top w:val="single" w:color="auto" w:sz="4" w:space="0"/>
              <w:left w:val="single" w:color="auto" w:sz="4" w:space="0"/>
              <w:bottom w:val="single" w:color="auto" w:sz="4" w:space="0"/>
              <w:right w:val="single" w:color="auto" w:sz="4" w:space="0"/>
            </w:tcBorders>
          </w:tcPr>
          <w:p w14:paraId="66553CAF">
            <w:pPr>
              <w:pStyle w:val="28"/>
              <w:bidi w:val="0"/>
            </w:pPr>
            <w:r>
              <w:t>54.4</w:t>
            </w:r>
          </w:p>
        </w:tc>
        <w:tc>
          <w:tcPr>
            <w:tcW w:w="1222" w:type="dxa"/>
            <w:tcBorders>
              <w:top w:val="single" w:color="auto" w:sz="4" w:space="0"/>
              <w:left w:val="single" w:color="auto" w:sz="4" w:space="0"/>
              <w:bottom w:val="single" w:color="auto" w:sz="4" w:space="0"/>
              <w:right w:val="single" w:color="auto" w:sz="4" w:space="0"/>
            </w:tcBorders>
          </w:tcPr>
          <w:p w14:paraId="2FC77729">
            <w:pPr>
              <w:pStyle w:val="28"/>
              <w:bidi w:val="0"/>
            </w:pPr>
            <w:r>
              <w:t>42.0</w:t>
            </w:r>
          </w:p>
        </w:tc>
        <w:tc>
          <w:tcPr>
            <w:tcW w:w="625" w:type="pct"/>
            <w:tcBorders>
              <w:top w:val="single" w:color="auto" w:sz="4" w:space="0"/>
              <w:left w:val="single" w:color="auto" w:sz="4" w:space="0"/>
              <w:bottom w:val="single" w:color="auto" w:sz="4" w:space="0"/>
              <w:right w:val="single" w:color="auto" w:sz="4" w:space="0"/>
            </w:tcBorders>
            <w:noWrap/>
            <w:vAlign w:val="center"/>
          </w:tcPr>
          <w:p w14:paraId="7B49EC85">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7A7C0FF9">
            <w:pPr>
              <w:pStyle w:val="28"/>
              <w:bidi w:val="0"/>
            </w:pPr>
            <w:r>
              <w:t>45</w:t>
            </w:r>
          </w:p>
        </w:tc>
      </w:tr>
      <w:tr w14:paraId="36AC8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3231C6B4">
            <w:pPr>
              <w:pStyle w:val="28"/>
              <w:bidi w:val="0"/>
            </w:pPr>
            <w:r>
              <w:t>N21</w:t>
            </w:r>
          </w:p>
        </w:tc>
        <w:tc>
          <w:tcPr>
            <w:tcW w:w="1580" w:type="dxa"/>
            <w:tcBorders>
              <w:top w:val="single" w:color="auto" w:sz="4" w:space="0"/>
              <w:left w:val="single" w:color="auto" w:sz="4" w:space="0"/>
              <w:bottom w:val="single" w:color="auto" w:sz="4" w:space="0"/>
              <w:right w:val="single" w:color="auto" w:sz="4" w:space="0"/>
            </w:tcBorders>
            <w:vAlign w:val="center"/>
          </w:tcPr>
          <w:p w14:paraId="361335D1">
            <w:pPr>
              <w:pStyle w:val="28"/>
              <w:bidi w:val="0"/>
            </w:pPr>
            <w:r>
              <w:rPr>
                <w:rFonts w:hint="eastAsia"/>
              </w:rPr>
              <w:t>前瓦村</w:t>
            </w:r>
          </w:p>
        </w:tc>
        <w:tc>
          <w:tcPr>
            <w:tcW w:w="1218" w:type="dxa"/>
            <w:tcBorders>
              <w:top w:val="single" w:color="auto" w:sz="4" w:space="0"/>
              <w:left w:val="single" w:color="auto" w:sz="4" w:space="0"/>
              <w:bottom w:val="single" w:color="auto" w:sz="4" w:space="0"/>
              <w:right w:val="single" w:color="auto" w:sz="4" w:space="0"/>
            </w:tcBorders>
          </w:tcPr>
          <w:p w14:paraId="1B48F35C">
            <w:pPr>
              <w:pStyle w:val="28"/>
              <w:bidi w:val="0"/>
            </w:pPr>
            <w:r>
              <w:t>50.0</w:t>
            </w:r>
          </w:p>
        </w:tc>
        <w:tc>
          <w:tcPr>
            <w:tcW w:w="1218" w:type="dxa"/>
            <w:tcBorders>
              <w:top w:val="single" w:color="auto" w:sz="4" w:space="0"/>
              <w:left w:val="single" w:color="auto" w:sz="4" w:space="0"/>
              <w:bottom w:val="single" w:color="auto" w:sz="4" w:space="0"/>
              <w:right w:val="single" w:color="auto" w:sz="4" w:space="0"/>
            </w:tcBorders>
          </w:tcPr>
          <w:p w14:paraId="3AED586D">
            <w:pPr>
              <w:pStyle w:val="28"/>
              <w:bidi w:val="0"/>
            </w:pPr>
            <w:r>
              <w:t>40.7</w:t>
            </w:r>
          </w:p>
        </w:tc>
        <w:tc>
          <w:tcPr>
            <w:tcW w:w="1218" w:type="dxa"/>
            <w:tcBorders>
              <w:top w:val="single" w:color="auto" w:sz="4" w:space="0"/>
              <w:left w:val="single" w:color="auto" w:sz="4" w:space="0"/>
              <w:bottom w:val="single" w:color="auto" w:sz="4" w:space="0"/>
              <w:right w:val="single" w:color="auto" w:sz="4" w:space="0"/>
            </w:tcBorders>
          </w:tcPr>
          <w:p w14:paraId="5CBECFDF">
            <w:pPr>
              <w:pStyle w:val="28"/>
              <w:bidi w:val="0"/>
            </w:pPr>
            <w:r>
              <w:t>56.0</w:t>
            </w:r>
          </w:p>
        </w:tc>
        <w:tc>
          <w:tcPr>
            <w:tcW w:w="1222" w:type="dxa"/>
            <w:tcBorders>
              <w:top w:val="single" w:color="auto" w:sz="4" w:space="0"/>
              <w:left w:val="single" w:color="auto" w:sz="4" w:space="0"/>
              <w:bottom w:val="single" w:color="auto" w:sz="4" w:space="0"/>
              <w:right w:val="single" w:color="auto" w:sz="4" w:space="0"/>
            </w:tcBorders>
          </w:tcPr>
          <w:p w14:paraId="058FD3EE">
            <w:pPr>
              <w:pStyle w:val="28"/>
              <w:bidi w:val="0"/>
            </w:pPr>
            <w:r>
              <w:t>41.9</w:t>
            </w:r>
          </w:p>
        </w:tc>
        <w:tc>
          <w:tcPr>
            <w:tcW w:w="625" w:type="pct"/>
            <w:tcBorders>
              <w:top w:val="single" w:color="auto" w:sz="4" w:space="0"/>
              <w:left w:val="single" w:color="auto" w:sz="4" w:space="0"/>
              <w:bottom w:val="single" w:color="auto" w:sz="4" w:space="0"/>
              <w:right w:val="single" w:color="auto" w:sz="4" w:space="0"/>
            </w:tcBorders>
            <w:noWrap/>
            <w:vAlign w:val="center"/>
          </w:tcPr>
          <w:p w14:paraId="3138BC4F">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6BF888D9">
            <w:pPr>
              <w:pStyle w:val="28"/>
              <w:bidi w:val="0"/>
            </w:pPr>
            <w:r>
              <w:t>45</w:t>
            </w:r>
          </w:p>
        </w:tc>
      </w:tr>
      <w:tr w14:paraId="4E4B2D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1B67CC84">
            <w:pPr>
              <w:pStyle w:val="28"/>
              <w:bidi w:val="0"/>
            </w:pPr>
            <w:r>
              <w:t>N22</w:t>
            </w:r>
          </w:p>
        </w:tc>
        <w:tc>
          <w:tcPr>
            <w:tcW w:w="1580" w:type="dxa"/>
            <w:tcBorders>
              <w:top w:val="single" w:color="auto" w:sz="4" w:space="0"/>
              <w:left w:val="single" w:color="auto" w:sz="4" w:space="0"/>
              <w:bottom w:val="single" w:color="auto" w:sz="4" w:space="0"/>
              <w:right w:val="single" w:color="auto" w:sz="4" w:space="0"/>
            </w:tcBorders>
            <w:vAlign w:val="center"/>
          </w:tcPr>
          <w:p w14:paraId="05E78C2F">
            <w:pPr>
              <w:pStyle w:val="28"/>
              <w:bidi w:val="0"/>
            </w:pPr>
            <w:r>
              <w:rPr>
                <w:rFonts w:hint="eastAsia"/>
              </w:rPr>
              <w:t>前瓦小学</w:t>
            </w:r>
          </w:p>
        </w:tc>
        <w:tc>
          <w:tcPr>
            <w:tcW w:w="1218" w:type="dxa"/>
            <w:tcBorders>
              <w:top w:val="single" w:color="auto" w:sz="4" w:space="0"/>
              <w:left w:val="single" w:color="auto" w:sz="4" w:space="0"/>
              <w:bottom w:val="single" w:color="auto" w:sz="4" w:space="0"/>
              <w:right w:val="single" w:color="auto" w:sz="4" w:space="0"/>
            </w:tcBorders>
          </w:tcPr>
          <w:p w14:paraId="1703A87E">
            <w:pPr>
              <w:pStyle w:val="28"/>
              <w:bidi w:val="0"/>
            </w:pPr>
            <w:r>
              <w:t>46.7</w:t>
            </w:r>
          </w:p>
        </w:tc>
        <w:tc>
          <w:tcPr>
            <w:tcW w:w="1218" w:type="dxa"/>
            <w:tcBorders>
              <w:top w:val="single" w:color="auto" w:sz="4" w:space="0"/>
              <w:left w:val="single" w:color="auto" w:sz="4" w:space="0"/>
              <w:bottom w:val="single" w:color="auto" w:sz="4" w:space="0"/>
              <w:right w:val="single" w:color="auto" w:sz="4" w:space="0"/>
            </w:tcBorders>
          </w:tcPr>
          <w:p w14:paraId="12C292E3">
            <w:pPr>
              <w:pStyle w:val="28"/>
              <w:bidi w:val="0"/>
            </w:pPr>
            <w:r>
              <w:t>40.0</w:t>
            </w:r>
          </w:p>
        </w:tc>
        <w:tc>
          <w:tcPr>
            <w:tcW w:w="1218" w:type="dxa"/>
            <w:tcBorders>
              <w:top w:val="single" w:color="auto" w:sz="4" w:space="0"/>
              <w:left w:val="single" w:color="auto" w:sz="4" w:space="0"/>
              <w:bottom w:val="single" w:color="auto" w:sz="4" w:space="0"/>
              <w:right w:val="single" w:color="auto" w:sz="4" w:space="0"/>
            </w:tcBorders>
          </w:tcPr>
          <w:p w14:paraId="7E709D6E">
            <w:pPr>
              <w:pStyle w:val="28"/>
              <w:bidi w:val="0"/>
            </w:pPr>
            <w:r>
              <w:t>52.3</w:t>
            </w:r>
          </w:p>
        </w:tc>
        <w:tc>
          <w:tcPr>
            <w:tcW w:w="1222" w:type="dxa"/>
            <w:tcBorders>
              <w:top w:val="single" w:color="auto" w:sz="4" w:space="0"/>
              <w:left w:val="single" w:color="auto" w:sz="4" w:space="0"/>
              <w:bottom w:val="single" w:color="auto" w:sz="4" w:space="0"/>
              <w:right w:val="single" w:color="auto" w:sz="4" w:space="0"/>
            </w:tcBorders>
          </w:tcPr>
          <w:p w14:paraId="6DC8FDB2">
            <w:pPr>
              <w:pStyle w:val="28"/>
              <w:bidi w:val="0"/>
            </w:pPr>
            <w:r>
              <w:t>40.8</w:t>
            </w:r>
          </w:p>
        </w:tc>
        <w:tc>
          <w:tcPr>
            <w:tcW w:w="1218" w:type="dxa"/>
            <w:tcBorders>
              <w:top w:val="single" w:color="auto" w:sz="4" w:space="0"/>
              <w:left w:val="single" w:color="auto" w:sz="4" w:space="0"/>
              <w:bottom w:val="single" w:color="auto" w:sz="4" w:space="0"/>
              <w:right w:val="single" w:color="auto" w:sz="4" w:space="0"/>
            </w:tcBorders>
            <w:noWrap/>
            <w:vAlign w:val="center"/>
          </w:tcPr>
          <w:p w14:paraId="167BC343">
            <w:pPr>
              <w:pStyle w:val="28"/>
              <w:bidi w:val="0"/>
            </w:pPr>
            <w:r>
              <w:t>60</w:t>
            </w:r>
          </w:p>
        </w:tc>
        <w:tc>
          <w:tcPr>
            <w:tcW w:w="1212" w:type="dxa"/>
            <w:tcBorders>
              <w:top w:val="single" w:color="auto" w:sz="4" w:space="0"/>
              <w:left w:val="single" w:color="auto" w:sz="4" w:space="0"/>
              <w:bottom w:val="single" w:color="auto" w:sz="4" w:space="0"/>
              <w:right w:val="single" w:color="auto" w:sz="4" w:space="0"/>
            </w:tcBorders>
            <w:noWrap/>
            <w:vAlign w:val="center"/>
          </w:tcPr>
          <w:p w14:paraId="3CB24335">
            <w:pPr>
              <w:pStyle w:val="28"/>
              <w:bidi w:val="0"/>
            </w:pPr>
            <w:r>
              <w:t>50</w:t>
            </w:r>
          </w:p>
        </w:tc>
      </w:tr>
      <w:tr w14:paraId="45A67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5FF5B3A0">
            <w:pPr>
              <w:pStyle w:val="28"/>
              <w:bidi w:val="0"/>
            </w:pPr>
            <w:r>
              <w:t>N23</w:t>
            </w:r>
          </w:p>
        </w:tc>
        <w:tc>
          <w:tcPr>
            <w:tcW w:w="1580" w:type="dxa"/>
            <w:tcBorders>
              <w:top w:val="single" w:color="auto" w:sz="4" w:space="0"/>
              <w:left w:val="single" w:color="auto" w:sz="4" w:space="0"/>
              <w:bottom w:val="single" w:color="auto" w:sz="4" w:space="0"/>
              <w:right w:val="single" w:color="auto" w:sz="4" w:space="0"/>
            </w:tcBorders>
            <w:vAlign w:val="center"/>
          </w:tcPr>
          <w:p w14:paraId="4370EF30">
            <w:pPr>
              <w:pStyle w:val="28"/>
              <w:bidi w:val="0"/>
            </w:pPr>
            <w:r>
              <w:rPr>
                <w:rFonts w:hint="eastAsia"/>
              </w:rPr>
              <w:t>杨家圩</w:t>
            </w:r>
          </w:p>
        </w:tc>
        <w:tc>
          <w:tcPr>
            <w:tcW w:w="1218" w:type="dxa"/>
            <w:tcBorders>
              <w:top w:val="single" w:color="auto" w:sz="4" w:space="0"/>
              <w:left w:val="single" w:color="auto" w:sz="4" w:space="0"/>
              <w:bottom w:val="single" w:color="auto" w:sz="4" w:space="0"/>
              <w:right w:val="single" w:color="auto" w:sz="4" w:space="0"/>
            </w:tcBorders>
          </w:tcPr>
          <w:p w14:paraId="602A6330">
            <w:pPr>
              <w:pStyle w:val="28"/>
              <w:bidi w:val="0"/>
            </w:pPr>
            <w:r>
              <w:t>49.0</w:t>
            </w:r>
          </w:p>
        </w:tc>
        <w:tc>
          <w:tcPr>
            <w:tcW w:w="1218" w:type="dxa"/>
            <w:tcBorders>
              <w:top w:val="single" w:color="auto" w:sz="4" w:space="0"/>
              <w:left w:val="single" w:color="auto" w:sz="4" w:space="0"/>
              <w:bottom w:val="single" w:color="auto" w:sz="4" w:space="0"/>
              <w:right w:val="single" w:color="auto" w:sz="4" w:space="0"/>
            </w:tcBorders>
          </w:tcPr>
          <w:p w14:paraId="62000A8D">
            <w:pPr>
              <w:pStyle w:val="28"/>
              <w:bidi w:val="0"/>
            </w:pPr>
            <w:r>
              <w:t>41.3</w:t>
            </w:r>
          </w:p>
        </w:tc>
        <w:tc>
          <w:tcPr>
            <w:tcW w:w="1218" w:type="dxa"/>
            <w:tcBorders>
              <w:top w:val="single" w:color="auto" w:sz="4" w:space="0"/>
              <w:left w:val="single" w:color="auto" w:sz="4" w:space="0"/>
              <w:bottom w:val="single" w:color="auto" w:sz="4" w:space="0"/>
              <w:right w:val="single" w:color="auto" w:sz="4" w:space="0"/>
            </w:tcBorders>
          </w:tcPr>
          <w:p w14:paraId="6F3B32B7">
            <w:pPr>
              <w:pStyle w:val="28"/>
              <w:bidi w:val="0"/>
            </w:pPr>
            <w:r>
              <w:t>53.1</w:t>
            </w:r>
          </w:p>
        </w:tc>
        <w:tc>
          <w:tcPr>
            <w:tcW w:w="1222" w:type="dxa"/>
            <w:tcBorders>
              <w:top w:val="single" w:color="auto" w:sz="4" w:space="0"/>
              <w:left w:val="single" w:color="auto" w:sz="4" w:space="0"/>
              <w:bottom w:val="single" w:color="auto" w:sz="4" w:space="0"/>
              <w:right w:val="single" w:color="auto" w:sz="4" w:space="0"/>
            </w:tcBorders>
          </w:tcPr>
          <w:p w14:paraId="5D41F44F">
            <w:pPr>
              <w:pStyle w:val="28"/>
              <w:bidi w:val="0"/>
            </w:pPr>
            <w:r>
              <w:t>41.0</w:t>
            </w:r>
          </w:p>
        </w:tc>
        <w:tc>
          <w:tcPr>
            <w:tcW w:w="625" w:type="pct"/>
            <w:tcBorders>
              <w:top w:val="single" w:color="auto" w:sz="4" w:space="0"/>
              <w:left w:val="single" w:color="auto" w:sz="4" w:space="0"/>
              <w:bottom w:val="single" w:color="auto" w:sz="4" w:space="0"/>
              <w:right w:val="single" w:color="auto" w:sz="4" w:space="0"/>
            </w:tcBorders>
            <w:noWrap/>
            <w:vAlign w:val="center"/>
          </w:tcPr>
          <w:p w14:paraId="1BA6D838">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379E850F">
            <w:pPr>
              <w:pStyle w:val="28"/>
              <w:bidi w:val="0"/>
            </w:pPr>
            <w:r>
              <w:t>45</w:t>
            </w:r>
          </w:p>
        </w:tc>
      </w:tr>
      <w:tr w14:paraId="65CFC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4C81C25D">
            <w:pPr>
              <w:pStyle w:val="28"/>
              <w:bidi w:val="0"/>
            </w:pPr>
            <w:r>
              <w:t>N24</w:t>
            </w:r>
          </w:p>
        </w:tc>
        <w:tc>
          <w:tcPr>
            <w:tcW w:w="1580" w:type="dxa"/>
            <w:tcBorders>
              <w:top w:val="single" w:color="auto" w:sz="4" w:space="0"/>
              <w:left w:val="single" w:color="auto" w:sz="4" w:space="0"/>
              <w:bottom w:val="single" w:color="auto" w:sz="4" w:space="0"/>
              <w:right w:val="single" w:color="auto" w:sz="4" w:space="0"/>
            </w:tcBorders>
            <w:vAlign w:val="center"/>
          </w:tcPr>
          <w:p w14:paraId="45EC2F36">
            <w:pPr>
              <w:pStyle w:val="28"/>
              <w:bidi w:val="0"/>
            </w:pPr>
            <w:r>
              <w:rPr>
                <w:rFonts w:hint="eastAsia"/>
              </w:rPr>
              <w:t>响井岗</w:t>
            </w:r>
          </w:p>
        </w:tc>
        <w:tc>
          <w:tcPr>
            <w:tcW w:w="1218" w:type="dxa"/>
            <w:tcBorders>
              <w:top w:val="single" w:color="auto" w:sz="4" w:space="0"/>
              <w:left w:val="single" w:color="auto" w:sz="4" w:space="0"/>
              <w:bottom w:val="single" w:color="auto" w:sz="4" w:space="0"/>
              <w:right w:val="single" w:color="auto" w:sz="4" w:space="0"/>
            </w:tcBorders>
          </w:tcPr>
          <w:p w14:paraId="07FBC52E">
            <w:pPr>
              <w:pStyle w:val="28"/>
              <w:bidi w:val="0"/>
            </w:pPr>
            <w:r>
              <w:t>46.8</w:t>
            </w:r>
          </w:p>
        </w:tc>
        <w:tc>
          <w:tcPr>
            <w:tcW w:w="1218" w:type="dxa"/>
            <w:tcBorders>
              <w:top w:val="single" w:color="auto" w:sz="4" w:space="0"/>
              <w:left w:val="single" w:color="auto" w:sz="4" w:space="0"/>
              <w:bottom w:val="single" w:color="auto" w:sz="4" w:space="0"/>
              <w:right w:val="single" w:color="auto" w:sz="4" w:space="0"/>
            </w:tcBorders>
          </w:tcPr>
          <w:p w14:paraId="6FA5CF26">
            <w:pPr>
              <w:pStyle w:val="28"/>
              <w:bidi w:val="0"/>
            </w:pPr>
            <w:r>
              <w:t>40.3</w:t>
            </w:r>
          </w:p>
        </w:tc>
        <w:tc>
          <w:tcPr>
            <w:tcW w:w="1218" w:type="dxa"/>
            <w:tcBorders>
              <w:top w:val="single" w:color="auto" w:sz="4" w:space="0"/>
              <w:left w:val="single" w:color="auto" w:sz="4" w:space="0"/>
              <w:bottom w:val="single" w:color="auto" w:sz="4" w:space="0"/>
              <w:right w:val="single" w:color="auto" w:sz="4" w:space="0"/>
            </w:tcBorders>
          </w:tcPr>
          <w:p w14:paraId="728B3244">
            <w:pPr>
              <w:pStyle w:val="28"/>
              <w:bidi w:val="0"/>
            </w:pPr>
            <w:r>
              <w:t>54.3</w:t>
            </w:r>
          </w:p>
        </w:tc>
        <w:tc>
          <w:tcPr>
            <w:tcW w:w="1222" w:type="dxa"/>
            <w:tcBorders>
              <w:top w:val="single" w:color="auto" w:sz="4" w:space="0"/>
              <w:left w:val="single" w:color="auto" w:sz="4" w:space="0"/>
              <w:bottom w:val="single" w:color="auto" w:sz="4" w:space="0"/>
              <w:right w:val="single" w:color="auto" w:sz="4" w:space="0"/>
            </w:tcBorders>
          </w:tcPr>
          <w:p w14:paraId="48DE8BDC">
            <w:pPr>
              <w:pStyle w:val="28"/>
              <w:bidi w:val="0"/>
            </w:pPr>
            <w:r>
              <w:t>40.4</w:t>
            </w:r>
          </w:p>
        </w:tc>
        <w:tc>
          <w:tcPr>
            <w:tcW w:w="625" w:type="pct"/>
            <w:tcBorders>
              <w:top w:val="single" w:color="auto" w:sz="4" w:space="0"/>
              <w:left w:val="single" w:color="auto" w:sz="4" w:space="0"/>
              <w:bottom w:val="single" w:color="auto" w:sz="4" w:space="0"/>
              <w:right w:val="single" w:color="auto" w:sz="4" w:space="0"/>
            </w:tcBorders>
            <w:noWrap/>
            <w:vAlign w:val="center"/>
          </w:tcPr>
          <w:p w14:paraId="7A60E609">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08CF933A">
            <w:pPr>
              <w:pStyle w:val="28"/>
              <w:bidi w:val="0"/>
            </w:pPr>
            <w:r>
              <w:t>45</w:t>
            </w:r>
          </w:p>
        </w:tc>
      </w:tr>
      <w:tr w14:paraId="58A2D3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21BCDCA6">
            <w:pPr>
              <w:pStyle w:val="28"/>
              <w:bidi w:val="0"/>
            </w:pPr>
            <w:r>
              <w:t>N25</w:t>
            </w:r>
          </w:p>
        </w:tc>
        <w:tc>
          <w:tcPr>
            <w:tcW w:w="1580" w:type="dxa"/>
            <w:tcBorders>
              <w:top w:val="single" w:color="auto" w:sz="4" w:space="0"/>
              <w:left w:val="single" w:color="auto" w:sz="4" w:space="0"/>
              <w:bottom w:val="single" w:color="auto" w:sz="4" w:space="0"/>
              <w:right w:val="single" w:color="auto" w:sz="4" w:space="0"/>
            </w:tcBorders>
            <w:vAlign w:val="center"/>
          </w:tcPr>
          <w:p w14:paraId="1F29B0A5">
            <w:pPr>
              <w:pStyle w:val="28"/>
              <w:bidi w:val="0"/>
            </w:pPr>
            <w:r>
              <w:rPr>
                <w:rFonts w:hint="eastAsia"/>
              </w:rPr>
              <w:t>前岗</w:t>
            </w:r>
          </w:p>
        </w:tc>
        <w:tc>
          <w:tcPr>
            <w:tcW w:w="1218" w:type="dxa"/>
            <w:tcBorders>
              <w:top w:val="single" w:color="auto" w:sz="4" w:space="0"/>
              <w:left w:val="single" w:color="auto" w:sz="4" w:space="0"/>
              <w:bottom w:val="single" w:color="auto" w:sz="4" w:space="0"/>
              <w:right w:val="single" w:color="auto" w:sz="4" w:space="0"/>
            </w:tcBorders>
          </w:tcPr>
          <w:p w14:paraId="22223046">
            <w:pPr>
              <w:pStyle w:val="28"/>
              <w:bidi w:val="0"/>
            </w:pPr>
            <w:r>
              <w:t>45.8</w:t>
            </w:r>
          </w:p>
        </w:tc>
        <w:tc>
          <w:tcPr>
            <w:tcW w:w="1218" w:type="dxa"/>
            <w:tcBorders>
              <w:top w:val="single" w:color="auto" w:sz="4" w:space="0"/>
              <w:left w:val="single" w:color="auto" w:sz="4" w:space="0"/>
              <w:bottom w:val="single" w:color="auto" w:sz="4" w:space="0"/>
              <w:right w:val="single" w:color="auto" w:sz="4" w:space="0"/>
            </w:tcBorders>
          </w:tcPr>
          <w:p w14:paraId="76809F6A">
            <w:pPr>
              <w:pStyle w:val="28"/>
              <w:bidi w:val="0"/>
            </w:pPr>
            <w:r>
              <w:t>40.2</w:t>
            </w:r>
          </w:p>
        </w:tc>
        <w:tc>
          <w:tcPr>
            <w:tcW w:w="1218" w:type="dxa"/>
            <w:tcBorders>
              <w:top w:val="single" w:color="auto" w:sz="4" w:space="0"/>
              <w:left w:val="single" w:color="auto" w:sz="4" w:space="0"/>
              <w:bottom w:val="single" w:color="auto" w:sz="4" w:space="0"/>
              <w:right w:val="single" w:color="auto" w:sz="4" w:space="0"/>
            </w:tcBorders>
          </w:tcPr>
          <w:p w14:paraId="04399FD4">
            <w:pPr>
              <w:pStyle w:val="28"/>
              <w:bidi w:val="0"/>
            </w:pPr>
            <w:r>
              <w:t>52.6</w:t>
            </w:r>
          </w:p>
        </w:tc>
        <w:tc>
          <w:tcPr>
            <w:tcW w:w="1222" w:type="dxa"/>
            <w:tcBorders>
              <w:top w:val="single" w:color="auto" w:sz="4" w:space="0"/>
              <w:left w:val="single" w:color="auto" w:sz="4" w:space="0"/>
              <w:bottom w:val="single" w:color="auto" w:sz="4" w:space="0"/>
              <w:right w:val="single" w:color="auto" w:sz="4" w:space="0"/>
            </w:tcBorders>
          </w:tcPr>
          <w:p w14:paraId="31F981F6">
            <w:pPr>
              <w:pStyle w:val="28"/>
              <w:bidi w:val="0"/>
            </w:pPr>
            <w:r>
              <w:t>38.8</w:t>
            </w:r>
          </w:p>
        </w:tc>
        <w:tc>
          <w:tcPr>
            <w:tcW w:w="1218" w:type="dxa"/>
            <w:tcBorders>
              <w:top w:val="single" w:color="auto" w:sz="4" w:space="0"/>
              <w:left w:val="single" w:color="auto" w:sz="4" w:space="0"/>
              <w:bottom w:val="single" w:color="auto" w:sz="4" w:space="0"/>
              <w:right w:val="single" w:color="auto" w:sz="4" w:space="0"/>
            </w:tcBorders>
            <w:noWrap/>
            <w:vAlign w:val="center"/>
          </w:tcPr>
          <w:p w14:paraId="710C7964">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57FB1139">
            <w:pPr>
              <w:pStyle w:val="28"/>
              <w:bidi w:val="0"/>
            </w:pPr>
            <w:r>
              <w:t>45</w:t>
            </w:r>
          </w:p>
        </w:tc>
      </w:tr>
      <w:tr w14:paraId="08916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15784316">
            <w:pPr>
              <w:pStyle w:val="28"/>
              <w:bidi w:val="0"/>
            </w:pPr>
            <w:r>
              <w:t>N26</w:t>
            </w:r>
          </w:p>
        </w:tc>
        <w:tc>
          <w:tcPr>
            <w:tcW w:w="1580" w:type="dxa"/>
            <w:tcBorders>
              <w:top w:val="single" w:color="auto" w:sz="4" w:space="0"/>
              <w:left w:val="single" w:color="auto" w:sz="4" w:space="0"/>
              <w:bottom w:val="single" w:color="auto" w:sz="4" w:space="0"/>
              <w:right w:val="single" w:color="auto" w:sz="4" w:space="0"/>
            </w:tcBorders>
            <w:vAlign w:val="center"/>
          </w:tcPr>
          <w:p w14:paraId="148CF551">
            <w:pPr>
              <w:pStyle w:val="28"/>
              <w:bidi w:val="0"/>
            </w:pPr>
            <w:r>
              <w:rPr>
                <w:rFonts w:hint="eastAsia"/>
              </w:rPr>
              <w:t>方店</w:t>
            </w:r>
          </w:p>
        </w:tc>
        <w:tc>
          <w:tcPr>
            <w:tcW w:w="1218" w:type="dxa"/>
            <w:tcBorders>
              <w:top w:val="single" w:color="auto" w:sz="4" w:space="0"/>
              <w:left w:val="single" w:color="auto" w:sz="4" w:space="0"/>
              <w:bottom w:val="single" w:color="auto" w:sz="4" w:space="0"/>
              <w:right w:val="single" w:color="auto" w:sz="4" w:space="0"/>
            </w:tcBorders>
          </w:tcPr>
          <w:p w14:paraId="008B027D">
            <w:pPr>
              <w:pStyle w:val="28"/>
              <w:bidi w:val="0"/>
            </w:pPr>
            <w:r>
              <w:t>45.9</w:t>
            </w:r>
          </w:p>
        </w:tc>
        <w:tc>
          <w:tcPr>
            <w:tcW w:w="1218" w:type="dxa"/>
            <w:tcBorders>
              <w:top w:val="single" w:color="auto" w:sz="4" w:space="0"/>
              <w:left w:val="single" w:color="auto" w:sz="4" w:space="0"/>
              <w:bottom w:val="single" w:color="auto" w:sz="4" w:space="0"/>
              <w:right w:val="single" w:color="auto" w:sz="4" w:space="0"/>
            </w:tcBorders>
          </w:tcPr>
          <w:p w14:paraId="1E56B920">
            <w:pPr>
              <w:pStyle w:val="28"/>
              <w:bidi w:val="0"/>
            </w:pPr>
            <w:r>
              <w:t>40.0</w:t>
            </w:r>
          </w:p>
        </w:tc>
        <w:tc>
          <w:tcPr>
            <w:tcW w:w="1218" w:type="dxa"/>
            <w:tcBorders>
              <w:top w:val="single" w:color="auto" w:sz="4" w:space="0"/>
              <w:left w:val="single" w:color="auto" w:sz="4" w:space="0"/>
              <w:bottom w:val="single" w:color="auto" w:sz="4" w:space="0"/>
              <w:right w:val="single" w:color="auto" w:sz="4" w:space="0"/>
            </w:tcBorders>
          </w:tcPr>
          <w:p w14:paraId="39F5A458">
            <w:pPr>
              <w:pStyle w:val="28"/>
              <w:bidi w:val="0"/>
            </w:pPr>
            <w:r>
              <w:t>53.2</w:t>
            </w:r>
          </w:p>
        </w:tc>
        <w:tc>
          <w:tcPr>
            <w:tcW w:w="1222" w:type="dxa"/>
            <w:tcBorders>
              <w:top w:val="single" w:color="auto" w:sz="4" w:space="0"/>
              <w:left w:val="single" w:color="auto" w:sz="4" w:space="0"/>
              <w:bottom w:val="single" w:color="auto" w:sz="4" w:space="0"/>
              <w:right w:val="single" w:color="auto" w:sz="4" w:space="0"/>
            </w:tcBorders>
          </w:tcPr>
          <w:p w14:paraId="7C7F3C6A">
            <w:pPr>
              <w:pStyle w:val="28"/>
              <w:bidi w:val="0"/>
            </w:pPr>
            <w:r>
              <w:t>39.5</w:t>
            </w:r>
          </w:p>
        </w:tc>
        <w:tc>
          <w:tcPr>
            <w:tcW w:w="625" w:type="pct"/>
            <w:tcBorders>
              <w:top w:val="single" w:color="auto" w:sz="4" w:space="0"/>
              <w:left w:val="single" w:color="auto" w:sz="4" w:space="0"/>
              <w:bottom w:val="single" w:color="auto" w:sz="4" w:space="0"/>
              <w:right w:val="single" w:color="auto" w:sz="4" w:space="0"/>
            </w:tcBorders>
            <w:noWrap/>
            <w:vAlign w:val="center"/>
          </w:tcPr>
          <w:p w14:paraId="5647F491">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18B93EEA">
            <w:pPr>
              <w:pStyle w:val="28"/>
              <w:bidi w:val="0"/>
            </w:pPr>
            <w:r>
              <w:t>45</w:t>
            </w:r>
          </w:p>
        </w:tc>
      </w:tr>
      <w:tr w14:paraId="7FD51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1348727F">
            <w:pPr>
              <w:pStyle w:val="28"/>
              <w:bidi w:val="0"/>
            </w:pPr>
            <w:r>
              <w:t>N27</w:t>
            </w:r>
          </w:p>
        </w:tc>
        <w:tc>
          <w:tcPr>
            <w:tcW w:w="1580" w:type="dxa"/>
            <w:tcBorders>
              <w:top w:val="single" w:color="auto" w:sz="4" w:space="0"/>
              <w:left w:val="single" w:color="auto" w:sz="4" w:space="0"/>
              <w:bottom w:val="single" w:color="auto" w:sz="4" w:space="0"/>
              <w:right w:val="single" w:color="auto" w:sz="4" w:space="0"/>
            </w:tcBorders>
            <w:vAlign w:val="center"/>
          </w:tcPr>
          <w:p w14:paraId="1F259979">
            <w:pPr>
              <w:pStyle w:val="28"/>
              <w:bidi w:val="0"/>
            </w:pPr>
            <w:r>
              <w:rPr>
                <w:rFonts w:hint="eastAsia"/>
              </w:rPr>
              <w:t>汤王村南</w:t>
            </w:r>
          </w:p>
        </w:tc>
        <w:tc>
          <w:tcPr>
            <w:tcW w:w="1218" w:type="dxa"/>
            <w:tcBorders>
              <w:top w:val="single" w:color="auto" w:sz="4" w:space="0"/>
              <w:left w:val="single" w:color="auto" w:sz="4" w:space="0"/>
              <w:bottom w:val="single" w:color="auto" w:sz="4" w:space="0"/>
              <w:right w:val="single" w:color="auto" w:sz="4" w:space="0"/>
            </w:tcBorders>
          </w:tcPr>
          <w:p w14:paraId="3D425A4C">
            <w:pPr>
              <w:pStyle w:val="28"/>
              <w:bidi w:val="0"/>
            </w:pPr>
            <w:r>
              <w:t>49.4</w:t>
            </w:r>
          </w:p>
        </w:tc>
        <w:tc>
          <w:tcPr>
            <w:tcW w:w="1218" w:type="dxa"/>
            <w:tcBorders>
              <w:top w:val="single" w:color="auto" w:sz="4" w:space="0"/>
              <w:left w:val="single" w:color="auto" w:sz="4" w:space="0"/>
              <w:bottom w:val="single" w:color="auto" w:sz="4" w:space="0"/>
              <w:right w:val="single" w:color="auto" w:sz="4" w:space="0"/>
            </w:tcBorders>
          </w:tcPr>
          <w:p w14:paraId="131BBBDB">
            <w:pPr>
              <w:pStyle w:val="28"/>
              <w:bidi w:val="0"/>
            </w:pPr>
            <w:r>
              <w:t>39.8</w:t>
            </w:r>
          </w:p>
        </w:tc>
        <w:tc>
          <w:tcPr>
            <w:tcW w:w="1218" w:type="dxa"/>
            <w:tcBorders>
              <w:top w:val="single" w:color="auto" w:sz="4" w:space="0"/>
              <w:left w:val="single" w:color="auto" w:sz="4" w:space="0"/>
              <w:bottom w:val="single" w:color="auto" w:sz="4" w:space="0"/>
              <w:right w:val="single" w:color="auto" w:sz="4" w:space="0"/>
            </w:tcBorders>
          </w:tcPr>
          <w:p w14:paraId="317DFC78">
            <w:pPr>
              <w:pStyle w:val="28"/>
              <w:bidi w:val="0"/>
            </w:pPr>
            <w:r>
              <w:t>53.9</w:t>
            </w:r>
          </w:p>
        </w:tc>
        <w:tc>
          <w:tcPr>
            <w:tcW w:w="1222" w:type="dxa"/>
            <w:tcBorders>
              <w:top w:val="single" w:color="auto" w:sz="4" w:space="0"/>
              <w:left w:val="single" w:color="auto" w:sz="4" w:space="0"/>
              <w:bottom w:val="single" w:color="auto" w:sz="4" w:space="0"/>
              <w:right w:val="single" w:color="auto" w:sz="4" w:space="0"/>
            </w:tcBorders>
          </w:tcPr>
          <w:p w14:paraId="367DFB17">
            <w:pPr>
              <w:pStyle w:val="28"/>
              <w:bidi w:val="0"/>
            </w:pPr>
            <w:r>
              <w:t>39.7</w:t>
            </w:r>
          </w:p>
        </w:tc>
        <w:tc>
          <w:tcPr>
            <w:tcW w:w="625" w:type="pct"/>
            <w:tcBorders>
              <w:top w:val="single" w:color="auto" w:sz="4" w:space="0"/>
              <w:left w:val="single" w:color="auto" w:sz="4" w:space="0"/>
              <w:bottom w:val="single" w:color="auto" w:sz="4" w:space="0"/>
              <w:right w:val="single" w:color="auto" w:sz="4" w:space="0"/>
            </w:tcBorders>
            <w:noWrap/>
            <w:vAlign w:val="center"/>
          </w:tcPr>
          <w:p w14:paraId="71ACA7EE">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5656E758">
            <w:pPr>
              <w:pStyle w:val="28"/>
              <w:bidi w:val="0"/>
            </w:pPr>
            <w:r>
              <w:t>45</w:t>
            </w:r>
          </w:p>
        </w:tc>
      </w:tr>
      <w:tr w14:paraId="755FD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120B680F">
            <w:pPr>
              <w:pStyle w:val="28"/>
              <w:bidi w:val="0"/>
            </w:pPr>
            <w:r>
              <w:t>N28</w:t>
            </w:r>
          </w:p>
        </w:tc>
        <w:tc>
          <w:tcPr>
            <w:tcW w:w="1580" w:type="dxa"/>
            <w:tcBorders>
              <w:top w:val="single" w:color="auto" w:sz="4" w:space="0"/>
              <w:left w:val="single" w:color="auto" w:sz="4" w:space="0"/>
              <w:bottom w:val="single" w:color="auto" w:sz="4" w:space="0"/>
              <w:right w:val="single" w:color="auto" w:sz="4" w:space="0"/>
            </w:tcBorders>
            <w:vAlign w:val="center"/>
          </w:tcPr>
          <w:p w14:paraId="43636563">
            <w:pPr>
              <w:pStyle w:val="28"/>
              <w:bidi w:val="0"/>
            </w:pPr>
            <w:r>
              <w:rPr>
                <w:rFonts w:hint="eastAsia"/>
              </w:rPr>
              <w:t>染房郢北</w:t>
            </w:r>
          </w:p>
        </w:tc>
        <w:tc>
          <w:tcPr>
            <w:tcW w:w="1218" w:type="dxa"/>
            <w:tcBorders>
              <w:top w:val="single" w:color="auto" w:sz="4" w:space="0"/>
              <w:left w:val="single" w:color="auto" w:sz="4" w:space="0"/>
              <w:bottom w:val="single" w:color="auto" w:sz="4" w:space="0"/>
              <w:right w:val="single" w:color="auto" w:sz="4" w:space="0"/>
            </w:tcBorders>
          </w:tcPr>
          <w:p w14:paraId="090714DB">
            <w:pPr>
              <w:pStyle w:val="28"/>
              <w:bidi w:val="0"/>
            </w:pPr>
            <w:r>
              <w:t>46.3</w:t>
            </w:r>
          </w:p>
        </w:tc>
        <w:tc>
          <w:tcPr>
            <w:tcW w:w="1218" w:type="dxa"/>
            <w:tcBorders>
              <w:top w:val="single" w:color="auto" w:sz="4" w:space="0"/>
              <w:left w:val="single" w:color="auto" w:sz="4" w:space="0"/>
              <w:bottom w:val="single" w:color="auto" w:sz="4" w:space="0"/>
              <w:right w:val="single" w:color="auto" w:sz="4" w:space="0"/>
            </w:tcBorders>
          </w:tcPr>
          <w:p w14:paraId="2129D909">
            <w:pPr>
              <w:pStyle w:val="28"/>
              <w:bidi w:val="0"/>
            </w:pPr>
            <w:r>
              <w:t>39.2</w:t>
            </w:r>
          </w:p>
        </w:tc>
        <w:tc>
          <w:tcPr>
            <w:tcW w:w="1218" w:type="dxa"/>
            <w:tcBorders>
              <w:top w:val="single" w:color="auto" w:sz="4" w:space="0"/>
              <w:left w:val="single" w:color="auto" w:sz="4" w:space="0"/>
              <w:bottom w:val="single" w:color="auto" w:sz="4" w:space="0"/>
              <w:right w:val="single" w:color="auto" w:sz="4" w:space="0"/>
            </w:tcBorders>
          </w:tcPr>
          <w:p w14:paraId="5D1E8263">
            <w:pPr>
              <w:pStyle w:val="28"/>
              <w:bidi w:val="0"/>
            </w:pPr>
            <w:r>
              <w:t>50.7</w:t>
            </w:r>
          </w:p>
        </w:tc>
        <w:tc>
          <w:tcPr>
            <w:tcW w:w="1222" w:type="dxa"/>
            <w:tcBorders>
              <w:top w:val="single" w:color="auto" w:sz="4" w:space="0"/>
              <w:left w:val="single" w:color="auto" w:sz="4" w:space="0"/>
              <w:bottom w:val="single" w:color="auto" w:sz="4" w:space="0"/>
              <w:right w:val="single" w:color="auto" w:sz="4" w:space="0"/>
            </w:tcBorders>
          </w:tcPr>
          <w:p w14:paraId="05A1236B">
            <w:pPr>
              <w:pStyle w:val="28"/>
              <w:bidi w:val="0"/>
            </w:pPr>
            <w:r>
              <w:t>39.2</w:t>
            </w:r>
          </w:p>
        </w:tc>
        <w:tc>
          <w:tcPr>
            <w:tcW w:w="625" w:type="pct"/>
            <w:tcBorders>
              <w:top w:val="single" w:color="auto" w:sz="4" w:space="0"/>
              <w:left w:val="single" w:color="auto" w:sz="4" w:space="0"/>
              <w:bottom w:val="single" w:color="auto" w:sz="4" w:space="0"/>
              <w:right w:val="single" w:color="auto" w:sz="4" w:space="0"/>
            </w:tcBorders>
            <w:noWrap/>
            <w:vAlign w:val="center"/>
          </w:tcPr>
          <w:p w14:paraId="67815F4C">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23969669">
            <w:pPr>
              <w:pStyle w:val="28"/>
              <w:bidi w:val="0"/>
            </w:pPr>
            <w:r>
              <w:t>45</w:t>
            </w:r>
          </w:p>
        </w:tc>
      </w:tr>
      <w:tr w14:paraId="3B3DA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7A796C83">
            <w:pPr>
              <w:pStyle w:val="28"/>
              <w:bidi w:val="0"/>
            </w:pPr>
            <w:r>
              <w:t>N29</w:t>
            </w:r>
          </w:p>
        </w:tc>
        <w:tc>
          <w:tcPr>
            <w:tcW w:w="1580" w:type="dxa"/>
            <w:tcBorders>
              <w:top w:val="single" w:color="auto" w:sz="4" w:space="0"/>
              <w:left w:val="single" w:color="auto" w:sz="4" w:space="0"/>
              <w:bottom w:val="single" w:color="auto" w:sz="4" w:space="0"/>
              <w:right w:val="single" w:color="auto" w:sz="4" w:space="0"/>
            </w:tcBorders>
            <w:vAlign w:val="center"/>
          </w:tcPr>
          <w:p w14:paraId="51FAA022">
            <w:pPr>
              <w:pStyle w:val="28"/>
              <w:bidi w:val="0"/>
            </w:pPr>
            <w:r>
              <w:rPr>
                <w:rFonts w:hint="eastAsia"/>
              </w:rPr>
              <w:t>朱岗村</w:t>
            </w:r>
          </w:p>
        </w:tc>
        <w:tc>
          <w:tcPr>
            <w:tcW w:w="1218" w:type="dxa"/>
            <w:tcBorders>
              <w:top w:val="single" w:color="auto" w:sz="4" w:space="0"/>
              <w:left w:val="single" w:color="auto" w:sz="4" w:space="0"/>
              <w:bottom w:val="single" w:color="auto" w:sz="4" w:space="0"/>
              <w:right w:val="single" w:color="auto" w:sz="4" w:space="0"/>
            </w:tcBorders>
          </w:tcPr>
          <w:p w14:paraId="44D498D3">
            <w:pPr>
              <w:pStyle w:val="28"/>
              <w:bidi w:val="0"/>
            </w:pPr>
            <w:r>
              <w:t>49.1</w:t>
            </w:r>
          </w:p>
        </w:tc>
        <w:tc>
          <w:tcPr>
            <w:tcW w:w="1218" w:type="dxa"/>
            <w:tcBorders>
              <w:top w:val="single" w:color="auto" w:sz="4" w:space="0"/>
              <w:left w:val="single" w:color="auto" w:sz="4" w:space="0"/>
              <w:bottom w:val="single" w:color="auto" w:sz="4" w:space="0"/>
              <w:right w:val="single" w:color="auto" w:sz="4" w:space="0"/>
            </w:tcBorders>
          </w:tcPr>
          <w:p w14:paraId="436FC894">
            <w:pPr>
              <w:pStyle w:val="28"/>
              <w:bidi w:val="0"/>
            </w:pPr>
            <w:r>
              <w:t>40.2</w:t>
            </w:r>
          </w:p>
        </w:tc>
        <w:tc>
          <w:tcPr>
            <w:tcW w:w="1218" w:type="dxa"/>
            <w:tcBorders>
              <w:top w:val="single" w:color="auto" w:sz="4" w:space="0"/>
              <w:left w:val="single" w:color="auto" w:sz="4" w:space="0"/>
              <w:bottom w:val="single" w:color="auto" w:sz="4" w:space="0"/>
              <w:right w:val="single" w:color="auto" w:sz="4" w:space="0"/>
            </w:tcBorders>
          </w:tcPr>
          <w:p w14:paraId="5242CABE">
            <w:pPr>
              <w:pStyle w:val="28"/>
              <w:bidi w:val="0"/>
            </w:pPr>
            <w:r>
              <w:t>52.6</w:t>
            </w:r>
          </w:p>
        </w:tc>
        <w:tc>
          <w:tcPr>
            <w:tcW w:w="1222" w:type="dxa"/>
            <w:tcBorders>
              <w:top w:val="single" w:color="auto" w:sz="4" w:space="0"/>
              <w:left w:val="single" w:color="auto" w:sz="4" w:space="0"/>
              <w:bottom w:val="single" w:color="auto" w:sz="4" w:space="0"/>
              <w:right w:val="single" w:color="auto" w:sz="4" w:space="0"/>
            </w:tcBorders>
          </w:tcPr>
          <w:p w14:paraId="5CEBEAB3">
            <w:pPr>
              <w:pStyle w:val="28"/>
              <w:bidi w:val="0"/>
            </w:pPr>
            <w:r>
              <w:t>41.1</w:t>
            </w:r>
          </w:p>
        </w:tc>
        <w:tc>
          <w:tcPr>
            <w:tcW w:w="625" w:type="pct"/>
            <w:tcBorders>
              <w:top w:val="single" w:color="auto" w:sz="4" w:space="0"/>
              <w:left w:val="single" w:color="auto" w:sz="4" w:space="0"/>
              <w:bottom w:val="single" w:color="auto" w:sz="4" w:space="0"/>
              <w:right w:val="single" w:color="auto" w:sz="4" w:space="0"/>
            </w:tcBorders>
            <w:noWrap/>
            <w:vAlign w:val="center"/>
          </w:tcPr>
          <w:p w14:paraId="1F128768">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2B84CD87">
            <w:pPr>
              <w:pStyle w:val="28"/>
              <w:bidi w:val="0"/>
            </w:pPr>
            <w:r>
              <w:t>45</w:t>
            </w:r>
          </w:p>
        </w:tc>
      </w:tr>
      <w:tr w14:paraId="5D4A70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1384C29A">
            <w:pPr>
              <w:pStyle w:val="28"/>
              <w:bidi w:val="0"/>
            </w:pPr>
            <w:r>
              <w:t>N30</w:t>
            </w:r>
          </w:p>
        </w:tc>
        <w:tc>
          <w:tcPr>
            <w:tcW w:w="1580" w:type="dxa"/>
            <w:tcBorders>
              <w:top w:val="single" w:color="auto" w:sz="4" w:space="0"/>
              <w:left w:val="single" w:color="auto" w:sz="4" w:space="0"/>
              <w:bottom w:val="single" w:color="auto" w:sz="4" w:space="0"/>
              <w:right w:val="single" w:color="auto" w:sz="4" w:space="0"/>
            </w:tcBorders>
            <w:vAlign w:val="center"/>
          </w:tcPr>
          <w:p w14:paraId="6E468AA3">
            <w:pPr>
              <w:pStyle w:val="28"/>
              <w:bidi w:val="0"/>
            </w:pPr>
            <w:r>
              <w:rPr>
                <w:rFonts w:hint="eastAsia"/>
              </w:rPr>
              <w:t>金家岗</w:t>
            </w:r>
          </w:p>
        </w:tc>
        <w:tc>
          <w:tcPr>
            <w:tcW w:w="1218" w:type="dxa"/>
            <w:tcBorders>
              <w:top w:val="single" w:color="auto" w:sz="4" w:space="0"/>
              <w:left w:val="single" w:color="auto" w:sz="4" w:space="0"/>
              <w:bottom w:val="single" w:color="auto" w:sz="4" w:space="0"/>
              <w:right w:val="single" w:color="auto" w:sz="4" w:space="0"/>
            </w:tcBorders>
          </w:tcPr>
          <w:p w14:paraId="4BD175AC">
            <w:pPr>
              <w:pStyle w:val="28"/>
              <w:bidi w:val="0"/>
            </w:pPr>
            <w:r>
              <w:t>46.4</w:t>
            </w:r>
          </w:p>
        </w:tc>
        <w:tc>
          <w:tcPr>
            <w:tcW w:w="1218" w:type="dxa"/>
            <w:tcBorders>
              <w:top w:val="single" w:color="auto" w:sz="4" w:space="0"/>
              <w:left w:val="single" w:color="auto" w:sz="4" w:space="0"/>
              <w:bottom w:val="single" w:color="auto" w:sz="4" w:space="0"/>
              <w:right w:val="single" w:color="auto" w:sz="4" w:space="0"/>
            </w:tcBorders>
          </w:tcPr>
          <w:p w14:paraId="2AD160FA">
            <w:pPr>
              <w:pStyle w:val="28"/>
              <w:bidi w:val="0"/>
            </w:pPr>
            <w:r>
              <w:t>40.5</w:t>
            </w:r>
          </w:p>
        </w:tc>
        <w:tc>
          <w:tcPr>
            <w:tcW w:w="1218" w:type="dxa"/>
            <w:tcBorders>
              <w:top w:val="single" w:color="auto" w:sz="4" w:space="0"/>
              <w:left w:val="single" w:color="auto" w:sz="4" w:space="0"/>
              <w:bottom w:val="single" w:color="auto" w:sz="4" w:space="0"/>
              <w:right w:val="single" w:color="auto" w:sz="4" w:space="0"/>
            </w:tcBorders>
          </w:tcPr>
          <w:p w14:paraId="5231FF1D">
            <w:pPr>
              <w:pStyle w:val="28"/>
              <w:bidi w:val="0"/>
            </w:pPr>
            <w:r>
              <w:t>52.1</w:t>
            </w:r>
          </w:p>
        </w:tc>
        <w:tc>
          <w:tcPr>
            <w:tcW w:w="1222" w:type="dxa"/>
            <w:tcBorders>
              <w:top w:val="single" w:color="auto" w:sz="4" w:space="0"/>
              <w:left w:val="single" w:color="auto" w:sz="4" w:space="0"/>
              <w:bottom w:val="single" w:color="auto" w:sz="4" w:space="0"/>
              <w:right w:val="single" w:color="auto" w:sz="4" w:space="0"/>
            </w:tcBorders>
          </w:tcPr>
          <w:p w14:paraId="38375006">
            <w:pPr>
              <w:pStyle w:val="28"/>
              <w:bidi w:val="0"/>
            </w:pPr>
            <w:r>
              <w:t>40.7</w:t>
            </w:r>
          </w:p>
        </w:tc>
        <w:tc>
          <w:tcPr>
            <w:tcW w:w="625" w:type="pct"/>
            <w:tcBorders>
              <w:top w:val="single" w:color="auto" w:sz="4" w:space="0"/>
              <w:left w:val="single" w:color="auto" w:sz="4" w:space="0"/>
              <w:bottom w:val="single" w:color="auto" w:sz="4" w:space="0"/>
              <w:right w:val="single" w:color="auto" w:sz="4" w:space="0"/>
            </w:tcBorders>
            <w:noWrap/>
            <w:vAlign w:val="center"/>
          </w:tcPr>
          <w:p w14:paraId="6B52F52A">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7484F691">
            <w:pPr>
              <w:pStyle w:val="28"/>
              <w:bidi w:val="0"/>
            </w:pPr>
            <w:r>
              <w:t>45</w:t>
            </w:r>
          </w:p>
        </w:tc>
      </w:tr>
      <w:tr w14:paraId="02328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0E599887">
            <w:pPr>
              <w:pStyle w:val="28"/>
              <w:bidi w:val="0"/>
            </w:pPr>
            <w:r>
              <w:t>N31</w:t>
            </w:r>
          </w:p>
        </w:tc>
        <w:tc>
          <w:tcPr>
            <w:tcW w:w="1580" w:type="dxa"/>
            <w:tcBorders>
              <w:top w:val="single" w:color="auto" w:sz="4" w:space="0"/>
              <w:left w:val="single" w:color="auto" w:sz="4" w:space="0"/>
              <w:bottom w:val="single" w:color="auto" w:sz="4" w:space="0"/>
              <w:right w:val="single" w:color="auto" w:sz="4" w:space="0"/>
            </w:tcBorders>
            <w:vAlign w:val="center"/>
          </w:tcPr>
          <w:p w14:paraId="69C23FDD">
            <w:pPr>
              <w:pStyle w:val="28"/>
              <w:bidi w:val="0"/>
            </w:pPr>
            <w:r>
              <w:rPr>
                <w:rFonts w:hint="eastAsia"/>
              </w:rPr>
              <w:t>金小庄</w:t>
            </w:r>
          </w:p>
        </w:tc>
        <w:tc>
          <w:tcPr>
            <w:tcW w:w="1218" w:type="dxa"/>
            <w:tcBorders>
              <w:top w:val="single" w:color="auto" w:sz="4" w:space="0"/>
              <w:left w:val="single" w:color="auto" w:sz="4" w:space="0"/>
              <w:bottom w:val="single" w:color="auto" w:sz="4" w:space="0"/>
              <w:right w:val="single" w:color="auto" w:sz="4" w:space="0"/>
            </w:tcBorders>
          </w:tcPr>
          <w:p w14:paraId="22CF1B89">
            <w:pPr>
              <w:pStyle w:val="28"/>
              <w:bidi w:val="0"/>
            </w:pPr>
            <w:r>
              <w:t>45.9</w:t>
            </w:r>
          </w:p>
        </w:tc>
        <w:tc>
          <w:tcPr>
            <w:tcW w:w="1218" w:type="dxa"/>
            <w:tcBorders>
              <w:top w:val="single" w:color="auto" w:sz="4" w:space="0"/>
              <w:left w:val="single" w:color="auto" w:sz="4" w:space="0"/>
              <w:bottom w:val="single" w:color="auto" w:sz="4" w:space="0"/>
              <w:right w:val="single" w:color="auto" w:sz="4" w:space="0"/>
            </w:tcBorders>
          </w:tcPr>
          <w:p w14:paraId="03B0419F">
            <w:pPr>
              <w:pStyle w:val="28"/>
              <w:bidi w:val="0"/>
            </w:pPr>
            <w:r>
              <w:t>39.6</w:t>
            </w:r>
          </w:p>
        </w:tc>
        <w:tc>
          <w:tcPr>
            <w:tcW w:w="1218" w:type="dxa"/>
            <w:tcBorders>
              <w:top w:val="single" w:color="auto" w:sz="4" w:space="0"/>
              <w:left w:val="single" w:color="auto" w:sz="4" w:space="0"/>
              <w:bottom w:val="single" w:color="auto" w:sz="4" w:space="0"/>
              <w:right w:val="single" w:color="auto" w:sz="4" w:space="0"/>
            </w:tcBorders>
          </w:tcPr>
          <w:p w14:paraId="4DFE0CF4">
            <w:pPr>
              <w:pStyle w:val="28"/>
              <w:bidi w:val="0"/>
            </w:pPr>
            <w:r>
              <w:t>52.7</w:t>
            </w:r>
          </w:p>
        </w:tc>
        <w:tc>
          <w:tcPr>
            <w:tcW w:w="1222" w:type="dxa"/>
            <w:tcBorders>
              <w:top w:val="single" w:color="auto" w:sz="4" w:space="0"/>
              <w:left w:val="single" w:color="auto" w:sz="4" w:space="0"/>
              <w:bottom w:val="single" w:color="auto" w:sz="4" w:space="0"/>
              <w:right w:val="single" w:color="auto" w:sz="4" w:space="0"/>
            </w:tcBorders>
          </w:tcPr>
          <w:p w14:paraId="531D5244">
            <w:pPr>
              <w:pStyle w:val="28"/>
              <w:bidi w:val="0"/>
            </w:pPr>
            <w:r>
              <w:t>44.4</w:t>
            </w:r>
          </w:p>
        </w:tc>
        <w:tc>
          <w:tcPr>
            <w:tcW w:w="625" w:type="pct"/>
            <w:tcBorders>
              <w:top w:val="single" w:color="auto" w:sz="4" w:space="0"/>
              <w:left w:val="single" w:color="auto" w:sz="4" w:space="0"/>
              <w:bottom w:val="single" w:color="auto" w:sz="4" w:space="0"/>
              <w:right w:val="single" w:color="auto" w:sz="4" w:space="0"/>
            </w:tcBorders>
            <w:noWrap/>
            <w:vAlign w:val="center"/>
          </w:tcPr>
          <w:p w14:paraId="7DE39FF8">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7070FCE4">
            <w:pPr>
              <w:pStyle w:val="28"/>
              <w:bidi w:val="0"/>
            </w:pPr>
            <w:r>
              <w:t>45</w:t>
            </w:r>
          </w:p>
        </w:tc>
      </w:tr>
      <w:tr w14:paraId="14F7E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7E22165E">
            <w:pPr>
              <w:pStyle w:val="28"/>
              <w:bidi w:val="0"/>
            </w:pPr>
            <w:r>
              <w:t>N32</w:t>
            </w:r>
          </w:p>
        </w:tc>
        <w:tc>
          <w:tcPr>
            <w:tcW w:w="1580" w:type="dxa"/>
            <w:tcBorders>
              <w:top w:val="single" w:color="auto" w:sz="4" w:space="0"/>
              <w:left w:val="single" w:color="auto" w:sz="4" w:space="0"/>
              <w:bottom w:val="single" w:color="auto" w:sz="4" w:space="0"/>
              <w:right w:val="single" w:color="auto" w:sz="4" w:space="0"/>
            </w:tcBorders>
            <w:vAlign w:val="center"/>
          </w:tcPr>
          <w:p w14:paraId="69196492">
            <w:pPr>
              <w:pStyle w:val="28"/>
              <w:bidi w:val="0"/>
            </w:pPr>
            <w:r>
              <w:rPr>
                <w:rFonts w:hint="eastAsia"/>
              </w:rPr>
              <w:t>前郢（南）</w:t>
            </w:r>
          </w:p>
        </w:tc>
        <w:tc>
          <w:tcPr>
            <w:tcW w:w="1218" w:type="dxa"/>
            <w:tcBorders>
              <w:top w:val="single" w:color="auto" w:sz="4" w:space="0"/>
              <w:left w:val="single" w:color="auto" w:sz="4" w:space="0"/>
              <w:bottom w:val="single" w:color="auto" w:sz="4" w:space="0"/>
              <w:right w:val="single" w:color="auto" w:sz="4" w:space="0"/>
            </w:tcBorders>
          </w:tcPr>
          <w:p w14:paraId="3926B74C">
            <w:pPr>
              <w:pStyle w:val="28"/>
              <w:bidi w:val="0"/>
            </w:pPr>
            <w:r>
              <w:t>47.7</w:t>
            </w:r>
          </w:p>
        </w:tc>
        <w:tc>
          <w:tcPr>
            <w:tcW w:w="1218" w:type="dxa"/>
            <w:tcBorders>
              <w:top w:val="single" w:color="auto" w:sz="4" w:space="0"/>
              <w:left w:val="single" w:color="auto" w:sz="4" w:space="0"/>
              <w:bottom w:val="single" w:color="auto" w:sz="4" w:space="0"/>
              <w:right w:val="single" w:color="auto" w:sz="4" w:space="0"/>
            </w:tcBorders>
          </w:tcPr>
          <w:p w14:paraId="6B53AE19">
            <w:pPr>
              <w:pStyle w:val="28"/>
              <w:bidi w:val="0"/>
            </w:pPr>
            <w:r>
              <w:t>39.9</w:t>
            </w:r>
          </w:p>
        </w:tc>
        <w:tc>
          <w:tcPr>
            <w:tcW w:w="1218" w:type="dxa"/>
            <w:tcBorders>
              <w:top w:val="single" w:color="auto" w:sz="4" w:space="0"/>
              <w:left w:val="single" w:color="auto" w:sz="4" w:space="0"/>
              <w:bottom w:val="single" w:color="auto" w:sz="4" w:space="0"/>
              <w:right w:val="single" w:color="auto" w:sz="4" w:space="0"/>
            </w:tcBorders>
          </w:tcPr>
          <w:p w14:paraId="5390DFB7">
            <w:pPr>
              <w:pStyle w:val="28"/>
              <w:bidi w:val="0"/>
            </w:pPr>
            <w:r>
              <w:t>52.0</w:t>
            </w:r>
          </w:p>
        </w:tc>
        <w:tc>
          <w:tcPr>
            <w:tcW w:w="1222" w:type="dxa"/>
            <w:tcBorders>
              <w:top w:val="single" w:color="auto" w:sz="4" w:space="0"/>
              <w:left w:val="single" w:color="auto" w:sz="4" w:space="0"/>
              <w:bottom w:val="single" w:color="auto" w:sz="4" w:space="0"/>
              <w:right w:val="single" w:color="auto" w:sz="4" w:space="0"/>
            </w:tcBorders>
          </w:tcPr>
          <w:p w14:paraId="3CC9EAC5">
            <w:pPr>
              <w:pStyle w:val="28"/>
              <w:bidi w:val="0"/>
            </w:pPr>
            <w:r>
              <w:t>40.5</w:t>
            </w:r>
          </w:p>
        </w:tc>
        <w:tc>
          <w:tcPr>
            <w:tcW w:w="625" w:type="pct"/>
            <w:tcBorders>
              <w:top w:val="single" w:color="auto" w:sz="4" w:space="0"/>
              <w:left w:val="single" w:color="auto" w:sz="4" w:space="0"/>
              <w:bottom w:val="single" w:color="auto" w:sz="4" w:space="0"/>
              <w:right w:val="single" w:color="auto" w:sz="4" w:space="0"/>
            </w:tcBorders>
            <w:noWrap/>
            <w:vAlign w:val="center"/>
          </w:tcPr>
          <w:p w14:paraId="69C48DAD">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48C4EDCE">
            <w:pPr>
              <w:pStyle w:val="28"/>
              <w:bidi w:val="0"/>
            </w:pPr>
            <w:r>
              <w:t>45</w:t>
            </w:r>
          </w:p>
        </w:tc>
      </w:tr>
      <w:tr w14:paraId="76513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39E05CDD">
            <w:pPr>
              <w:pStyle w:val="28"/>
              <w:bidi w:val="0"/>
            </w:pPr>
            <w:r>
              <w:t>N33</w:t>
            </w:r>
          </w:p>
        </w:tc>
        <w:tc>
          <w:tcPr>
            <w:tcW w:w="1580" w:type="dxa"/>
            <w:tcBorders>
              <w:top w:val="single" w:color="auto" w:sz="4" w:space="0"/>
              <w:left w:val="single" w:color="auto" w:sz="4" w:space="0"/>
              <w:bottom w:val="single" w:color="auto" w:sz="4" w:space="0"/>
              <w:right w:val="single" w:color="auto" w:sz="4" w:space="0"/>
            </w:tcBorders>
            <w:vAlign w:val="center"/>
          </w:tcPr>
          <w:p w14:paraId="63258238">
            <w:pPr>
              <w:pStyle w:val="28"/>
              <w:bidi w:val="0"/>
            </w:pPr>
            <w:r>
              <w:rPr>
                <w:rFonts w:hint="eastAsia"/>
              </w:rPr>
              <w:t>宋湖</w:t>
            </w:r>
          </w:p>
        </w:tc>
        <w:tc>
          <w:tcPr>
            <w:tcW w:w="1218" w:type="dxa"/>
            <w:tcBorders>
              <w:top w:val="single" w:color="auto" w:sz="4" w:space="0"/>
              <w:left w:val="single" w:color="auto" w:sz="4" w:space="0"/>
              <w:bottom w:val="single" w:color="auto" w:sz="4" w:space="0"/>
              <w:right w:val="single" w:color="auto" w:sz="4" w:space="0"/>
            </w:tcBorders>
          </w:tcPr>
          <w:p w14:paraId="42838C65">
            <w:pPr>
              <w:pStyle w:val="28"/>
              <w:bidi w:val="0"/>
            </w:pPr>
            <w:r>
              <w:t>46.5</w:t>
            </w:r>
          </w:p>
        </w:tc>
        <w:tc>
          <w:tcPr>
            <w:tcW w:w="1218" w:type="dxa"/>
            <w:tcBorders>
              <w:top w:val="single" w:color="auto" w:sz="4" w:space="0"/>
              <w:left w:val="single" w:color="auto" w:sz="4" w:space="0"/>
              <w:bottom w:val="single" w:color="auto" w:sz="4" w:space="0"/>
              <w:right w:val="single" w:color="auto" w:sz="4" w:space="0"/>
            </w:tcBorders>
          </w:tcPr>
          <w:p w14:paraId="63A78C0A">
            <w:pPr>
              <w:pStyle w:val="28"/>
              <w:bidi w:val="0"/>
            </w:pPr>
            <w:r>
              <w:t>39.5</w:t>
            </w:r>
          </w:p>
        </w:tc>
        <w:tc>
          <w:tcPr>
            <w:tcW w:w="1218" w:type="dxa"/>
            <w:tcBorders>
              <w:top w:val="single" w:color="auto" w:sz="4" w:space="0"/>
              <w:left w:val="single" w:color="auto" w:sz="4" w:space="0"/>
              <w:bottom w:val="single" w:color="auto" w:sz="4" w:space="0"/>
              <w:right w:val="single" w:color="auto" w:sz="4" w:space="0"/>
            </w:tcBorders>
          </w:tcPr>
          <w:p w14:paraId="21646BD8">
            <w:pPr>
              <w:pStyle w:val="28"/>
              <w:bidi w:val="0"/>
            </w:pPr>
            <w:r>
              <w:t>52.3</w:t>
            </w:r>
          </w:p>
        </w:tc>
        <w:tc>
          <w:tcPr>
            <w:tcW w:w="1222" w:type="dxa"/>
            <w:tcBorders>
              <w:top w:val="single" w:color="auto" w:sz="4" w:space="0"/>
              <w:left w:val="single" w:color="auto" w:sz="4" w:space="0"/>
              <w:bottom w:val="single" w:color="auto" w:sz="4" w:space="0"/>
              <w:right w:val="single" w:color="auto" w:sz="4" w:space="0"/>
            </w:tcBorders>
          </w:tcPr>
          <w:p w14:paraId="0394CBB8">
            <w:pPr>
              <w:pStyle w:val="28"/>
              <w:bidi w:val="0"/>
            </w:pPr>
            <w:r>
              <w:t>41.2</w:t>
            </w:r>
          </w:p>
        </w:tc>
        <w:tc>
          <w:tcPr>
            <w:tcW w:w="625" w:type="pct"/>
            <w:tcBorders>
              <w:top w:val="single" w:color="auto" w:sz="4" w:space="0"/>
              <w:left w:val="single" w:color="auto" w:sz="4" w:space="0"/>
              <w:bottom w:val="single" w:color="auto" w:sz="4" w:space="0"/>
              <w:right w:val="single" w:color="auto" w:sz="4" w:space="0"/>
            </w:tcBorders>
            <w:noWrap/>
            <w:vAlign w:val="center"/>
          </w:tcPr>
          <w:p w14:paraId="4249FDDB">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08ABF80A">
            <w:pPr>
              <w:pStyle w:val="28"/>
              <w:bidi w:val="0"/>
            </w:pPr>
            <w:r>
              <w:t>45</w:t>
            </w:r>
          </w:p>
        </w:tc>
      </w:tr>
      <w:tr w14:paraId="09E7F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5A264B3E">
            <w:pPr>
              <w:pStyle w:val="28"/>
              <w:bidi w:val="0"/>
            </w:pPr>
            <w:r>
              <w:t>N34</w:t>
            </w:r>
          </w:p>
        </w:tc>
        <w:tc>
          <w:tcPr>
            <w:tcW w:w="1580" w:type="dxa"/>
            <w:tcBorders>
              <w:top w:val="single" w:color="auto" w:sz="4" w:space="0"/>
              <w:left w:val="single" w:color="auto" w:sz="4" w:space="0"/>
              <w:bottom w:val="single" w:color="auto" w:sz="4" w:space="0"/>
              <w:right w:val="single" w:color="auto" w:sz="4" w:space="0"/>
            </w:tcBorders>
            <w:vAlign w:val="center"/>
          </w:tcPr>
          <w:p w14:paraId="0D024A39">
            <w:pPr>
              <w:pStyle w:val="28"/>
              <w:bidi w:val="0"/>
            </w:pPr>
            <w:r>
              <w:rPr>
                <w:rFonts w:hint="eastAsia"/>
              </w:rPr>
              <w:t>杨郢村南</w:t>
            </w:r>
          </w:p>
        </w:tc>
        <w:tc>
          <w:tcPr>
            <w:tcW w:w="1218" w:type="dxa"/>
            <w:tcBorders>
              <w:top w:val="single" w:color="auto" w:sz="4" w:space="0"/>
              <w:left w:val="single" w:color="auto" w:sz="4" w:space="0"/>
              <w:bottom w:val="single" w:color="auto" w:sz="4" w:space="0"/>
              <w:right w:val="single" w:color="auto" w:sz="4" w:space="0"/>
            </w:tcBorders>
          </w:tcPr>
          <w:p w14:paraId="4F1D88F6">
            <w:pPr>
              <w:pStyle w:val="28"/>
              <w:bidi w:val="0"/>
            </w:pPr>
            <w:r>
              <w:t>49.4</w:t>
            </w:r>
          </w:p>
        </w:tc>
        <w:tc>
          <w:tcPr>
            <w:tcW w:w="1218" w:type="dxa"/>
            <w:tcBorders>
              <w:top w:val="single" w:color="auto" w:sz="4" w:space="0"/>
              <w:left w:val="single" w:color="auto" w:sz="4" w:space="0"/>
              <w:bottom w:val="single" w:color="auto" w:sz="4" w:space="0"/>
              <w:right w:val="single" w:color="auto" w:sz="4" w:space="0"/>
            </w:tcBorders>
          </w:tcPr>
          <w:p w14:paraId="2A950F10">
            <w:pPr>
              <w:pStyle w:val="28"/>
              <w:bidi w:val="0"/>
            </w:pPr>
            <w:r>
              <w:t>38.4</w:t>
            </w:r>
          </w:p>
        </w:tc>
        <w:tc>
          <w:tcPr>
            <w:tcW w:w="1218" w:type="dxa"/>
            <w:tcBorders>
              <w:top w:val="single" w:color="auto" w:sz="4" w:space="0"/>
              <w:left w:val="single" w:color="auto" w:sz="4" w:space="0"/>
              <w:bottom w:val="single" w:color="auto" w:sz="4" w:space="0"/>
              <w:right w:val="single" w:color="auto" w:sz="4" w:space="0"/>
            </w:tcBorders>
          </w:tcPr>
          <w:p w14:paraId="70A92C31">
            <w:pPr>
              <w:pStyle w:val="28"/>
              <w:bidi w:val="0"/>
            </w:pPr>
            <w:r>
              <w:t>51.7</w:t>
            </w:r>
          </w:p>
        </w:tc>
        <w:tc>
          <w:tcPr>
            <w:tcW w:w="1222" w:type="dxa"/>
            <w:tcBorders>
              <w:top w:val="single" w:color="auto" w:sz="4" w:space="0"/>
              <w:left w:val="single" w:color="auto" w:sz="4" w:space="0"/>
              <w:bottom w:val="single" w:color="auto" w:sz="4" w:space="0"/>
              <w:right w:val="single" w:color="auto" w:sz="4" w:space="0"/>
            </w:tcBorders>
          </w:tcPr>
          <w:p w14:paraId="2006F403">
            <w:pPr>
              <w:pStyle w:val="28"/>
              <w:bidi w:val="0"/>
            </w:pPr>
            <w:r>
              <w:t>42.3</w:t>
            </w:r>
          </w:p>
        </w:tc>
        <w:tc>
          <w:tcPr>
            <w:tcW w:w="625" w:type="pct"/>
            <w:tcBorders>
              <w:top w:val="single" w:color="auto" w:sz="4" w:space="0"/>
              <w:left w:val="single" w:color="auto" w:sz="4" w:space="0"/>
              <w:bottom w:val="single" w:color="auto" w:sz="4" w:space="0"/>
              <w:right w:val="single" w:color="auto" w:sz="4" w:space="0"/>
            </w:tcBorders>
            <w:noWrap/>
            <w:vAlign w:val="center"/>
          </w:tcPr>
          <w:p w14:paraId="418A2035">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7F281F3A">
            <w:pPr>
              <w:pStyle w:val="28"/>
              <w:bidi w:val="0"/>
            </w:pPr>
            <w:r>
              <w:t>45</w:t>
            </w:r>
          </w:p>
        </w:tc>
      </w:tr>
      <w:tr w14:paraId="7FC6A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50CE3B86">
            <w:pPr>
              <w:pStyle w:val="28"/>
              <w:bidi w:val="0"/>
            </w:pPr>
            <w:r>
              <w:t>N35</w:t>
            </w:r>
          </w:p>
        </w:tc>
        <w:tc>
          <w:tcPr>
            <w:tcW w:w="1580" w:type="dxa"/>
            <w:tcBorders>
              <w:top w:val="single" w:color="auto" w:sz="4" w:space="0"/>
              <w:left w:val="single" w:color="auto" w:sz="4" w:space="0"/>
              <w:bottom w:val="single" w:color="auto" w:sz="4" w:space="0"/>
              <w:right w:val="single" w:color="auto" w:sz="4" w:space="0"/>
            </w:tcBorders>
            <w:vAlign w:val="center"/>
          </w:tcPr>
          <w:p w14:paraId="1657DC70">
            <w:pPr>
              <w:pStyle w:val="28"/>
              <w:bidi w:val="0"/>
            </w:pPr>
            <w:r>
              <w:rPr>
                <w:rFonts w:hint="eastAsia"/>
              </w:rPr>
              <w:t>朱集镇区</w:t>
            </w:r>
          </w:p>
        </w:tc>
        <w:tc>
          <w:tcPr>
            <w:tcW w:w="1218" w:type="dxa"/>
            <w:tcBorders>
              <w:top w:val="single" w:color="auto" w:sz="4" w:space="0"/>
              <w:left w:val="single" w:color="auto" w:sz="4" w:space="0"/>
              <w:bottom w:val="single" w:color="auto" w:sz="4" w:space="0"/>
              <w:right w:val="single" w:color="auto" w:sz="4" w:space="0"/>
            </w:tcBorders>
          </w:tcPr>
          <w:p w14:paraId="5FECFC35">
            <w:pPr>
              <w:pStyle w:val="28"/>
              <w:bidi w:val="0"/>
            </w:pPr>
            <w:r>
              <w:t>46.7</w:t>
            </w:r>
          </w:p>
        </w:tc>
        <w:tc>
          <w:tcPr>
            <w:tcW w:w="1218" w:type="dxa"/>
            <w:tcBorders>
              <w:top w:val="single" w:color="auto" w:sz="4" w:space="0"/>
              <w:left w:val="single" w:color="auto" w:sz="4" w:space="0"/>
              <w:bottom w:val="single" w:color="auto" w:sz="4" w:space="0"/>
              <w:right w:val="single" w:color="auto" w:sz="4" w:space="0"/>
            </w:tcBorders>
          </w:tcPr>
          <w:p w14:paraId="2415FE7F">
            <w:pPr>
              <w:pStyle w:val="28"/>
              <w:bidi w:val="0"/>
            </w:pPr>
            <w:r>
              <w:t>39.9</w:t>
            </w:r>
          </w:p>
        </w:tc>
        <w:tc>
          <w:tcPr>
            <w:tcW w:w="1218" w:type="dxa"/>
            <w:tcBorders>
              <w:top w:val="single" w:color="auto" w:sz="4" w:space="0"/>
              <w:left w:val="single" w:color="auto" w:sz="4" w:space="0"/>
              <w:bottom w:val="single" w:color="auto" w:sz="4" w:space="0"/>
              <w:right w:val="single" w:color="auto" w:sz="4" w:space="0"/>
            </w:tcBorders>
          </w:tcPr>
          <w:p w14:paraId="159E69D7">
            <w:pPr>
              <w:pStyle w:val="28"/>
              <w:bidi w:val="0"/>
            </w:pPr>
            <w:r>
              <w:t>50.8</w:t>
            </w:r>
          </w:p>
        </w:tc>
        <w:tc>
          <w:tcPr>
            <w:tcW w:w="1222" w:type="dxa"/>
            <w:tcBorders>
              <w:top w:val="single" w:color="auto" w:sz="4" w:space="0"/>
              <w:left w:val="single" w:color="auto" w:sz="4" w:space="0"/>
              <w:bottom w:val="single" w:color="auto" w:sz="4" w:space="0"/>
              <w:right w:val="single" w:color="auto" w:sz="4" w:space="0"/>
            </w:tcBorders>
          </w:tcPr>
          <w:p w14:paraId="526E04EB">
            <w:pPr>
              <w:pStyle w:val="28"/>
              <w:bidi w:val="0"/>
            </w:pPr>
            <w:r>
              <w:t>41.7</w:t>
            </w:r>
          </w:p>
        </w:tc>
        <w:tc>
          <w:tcPr>
            <w:tcW w:w="1218" w:type="dxa"/>
            <w:tcBorders>
              <w:top w:val="single" w:color="auto" w:sz="4" w:space="0"/>
              <w:left w:val="single" w:color="auto" w:sz="4" w:space="0"/>
              <w:bottom w:val="single" w:color="auto" w:sz="4" w:space="0"/>
              <w:right w:val="single" w:color="auto" w:sz="4" w:space="0"/>
            </w:tcBorders>
            <w:noWrap/>
            <w:vAlign w:val="center"/>
          </w:tcPr>
          <w:p w14:paraId="1B6CD55F">
            <w:pPr>
              <w:pStyle w:val="28"/>
              <w:bidi w:val="0"/>
            </w:pPr>
            <w:r>
              <w:t>60</w:t>
            </w:r>
          </w:p>
        </w:tc>
        <w:tc>
          <w:tcPr>
            <w:tcW w:w="1212" w:type="dxa"/>
            <w:tcBorders>
              <w:top w:val="single" w:color="auto" w:sz="4" w:space="0"/>
              <w:left w:val="single" w:color="auto" w:sz="4" w:space="0"/>
              <w:bottom w:val="single" w:color="auto" w:sz="4" w:space="0"/>
              <w:right w:val="single" w:color="auto" w:sz="4" w:space="0"/>
            </w:tcBorders>
            <w:noWrap/>
            <w:vAlign w:val="center"/>
          </w:tcPr>
          <w:p w14:paraId="3C7981BD">
            <w:pPr>
              <w:pStyle w:val="28"/>
              <w:bidi w:val="0"/>
            </w:pPr>
            <w:r>
              <w:t>50</w:t>
            </w:r>
          </w:p>
        </w:tc>
      </w:tr>
      <w:tr w14:paraId="7ED5E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76B49E50">
            <w:pPr>
              <w:pStyle w:val="28"/>
              <w:bidi w:val="0"/>
            </w:pPr>
            <w:r>
              <w:t>N36</w:t>
            </w:r>
          </w:p>
        </w:tc>
        <w:tc>
          <w:tcPr>
            <w:tcW w:w="1580" w:type="dxa"/>
            <w:tcBorders>
              <w:top w:val="single" w:color="auto" w:sz="4" w:space="0"/>
              <w:left w:val="single" w:color="auto" w:sz="4" w:space="0"/>
              <w:bottom w:val="single" w:color="auto" w:sz="4" w:space="0"/>
              <w:right w:val="single" w:color="auto" w:sz="4" w:space="0"/>
            </w:tcBorders>
            <w:vAlign w:val="center"/>
          </w:tcPr>
          <w:p w14:paraId="0054BC37">
            <w:pPr>
              <w:pStyle w:val="28"/>
              <w:bidi w:val="0"/>
            </w:pPr>
            <w:r>
              <w:rPr>
                <w:rFonts w:hint="eastAsia"/>
              </w:rPr>
              <w:t>朱集村</w:t>
            </w:r>
          </w:p>
        </w:tc>
        <w:tc>
          <w:tcPr>
            <w:tcW w:w="1218" w:type="dxa"/>
            <w:tcBorders>
              <w:top w:val="single" w:color="auto" w:sz="4" w:space="0"/>
              <w:left w:val="single" w:color="auto" w:sz="4" w:space="0"/>
              <w:bottom w:val="single" w:color="auto" w:sz="4" w:space="0"/>
              <w:right w:val="single" w:color="auto" w:sz="4" w:space="0"/>
            </w:tcBorders>
          </w:tcPr>
          <w:p w14:paraId="6DDD7CE9">
            <w:pPr>
              <w:pStyle w:val="28"/>
              <w:bidi w:val="0"/>
            </w:pPr>
            <w:r>
              <w:t>46.9</w:t>
            </w:r>
          </w:p>
        </w:tc>
        <w:tc>
          <w:tcPr>
            <w:tcW w:w="1218" w:type="dxa"/>
            <w:tcBorders>
              <w:top w:val="single" w:color="auto" w:sz="4" w:space="0"/>
              <w:left w:val="single" w:color="auto" w:sz="4" w:space="0"/>
              <w:bottom w:val="single" w:color="auto" w:sz="4" w:space="0"/>
              <w:right w:val="single" w:color="auto" w:sz="4" w:space="0"/>
            </w:tcBorders>
          </w:tcPr>
          <w:p w14:paraId="1A568CD7">
            <w:pPr>
              <w:pStyle w:val="28"/>
              <w:bidi w:val="0"/>
            </w:pPr>
            <w:r>
              <w:t>37.4</w:t>
            </w:r>
          </w:p>
        </w:tc>
        <w:tc>
          <w:tcPr>
            <w:tcW w:w="1218" w:type="dxa"/>
            <w:tcBorders>
              <w:top w:val="single" w:color="auto" w:sz="4" w:space="0"/>
              <w:left w:val="single" w:color="auto" w:sz="4" w:space="0"/>
              <w:bottom w:val="single" w:color="auto" w:sz="4" w:space="0"/>
              <w:right w:val="single" w:color="auto" w:sz="4" w:space="0"/>
            </w:tcBorders>
          </w:tcPr>
          <w:p w14:paraId="0CC7A5AF">
            <w:pPr>
              <w:pStyle w:val="28"/>
              <w:bidi w:val="0"/>
            </w:pPr>
            <w:r>
              <w:t>49.7</w:t>
            </w:r>
          </w:p>
        </w:tc>
        <w:tc>
          <w:tcPr>
            <w:tcW w:w="1222" w:type="dxa"/>
            <w:tcBorders>
              <w:top w:val="single" w:color="auto" w:sz="4" w:space="0"/>
              <w:left w:val="single" w:color="auto" w:sz="4" w:space="0"/>
              <w:bottom w:val="single" w:color="auto" w:sz="4" w:space="0"/>
              <w:right w:val="single" w:color="auto" w:sz="4" w:space="0"/>
            </w:tcBorders>
          </w:tcPr>
          <w:p w14:paraId="08E26DE1">
            <w:pPr>
              <w:pStyle w:val="28"/>
              <w:bidi w:val="0"/>
            </w:pPr>
            <w:r>
              <w:t>37.9</w:t>
            </w:r>
          </w:p>
        </w:tc>
        <w:tc>
          <w:tcPr>
            <w:tcW w:w="625" w:type="pct"/>
            <w:tcBorders>
              <w:top w:val="single" w:color="auto" w:sz="4" w:space="0"/>
              <w:left w:val="single" w:color="auto" w:sz="4" w:space="0"/>
              <w:bottom w:val="single" w:color="auto" w:sz="4" w:space="0"/>
              <w:right w:val="single" w:color="auto" w:sz="4" w:space="0"/>
            </w:tcBorders>
            <w:noWrap/>
            <w:vAlign w:val="center"/>
          </w:tcPr>
          <w:p w14:paraId="2579F4C7">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792222CB">
            <w:pPr>
              <w:pStyle w:val="28"/>
              <w:bidi w:val="0"/>
            </w:pPr>
            <w:r>
              <w:t>45</w:t>
            </w:r>
          </w:p>
        </w:tc>
      </w:tr>
      <w:tr w14:paraId="0EF86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5C88DD00">
            <w:pPr>
              <w:pStyle w:val="28"/>
              <w:bidi w:val="0"/>
            </w:pPr>
            <w:r>
              <w:t>N37</w:t>
            </w:r>
          </w:p>
        </w:tc>
        <w:tc>
          <w:tcPr>
            <w:tcW w:w="1580" w:type="dxa"/>
            <w:tcBorders>
              <w:top w:val="single" w:color="auto" w:sz="4" w:space="0"/>
              <w:left w:val="single" w:color="auto" w:sz="4" w:space="0"/>
              <w:bottom w:val="single" w:color="auto" w:sz="4" w:space="0"/>
              <w:right w:val="single" w:color="auto" w:sz="4" w:space="0"/>
            </w:tcBorders>
            <w:vAlign w:val="center"/>
          </w:tcPr>
          <w:p w14:paraId="479EE4BF">
            <w:pPr>
              <w:pStyle w:val="28"/>
              <w:bidi w:val="0"/>
            </w:pPr>
            <w:r>
              <w:rPr>
                <w:rFonts w:hint="eastAsia"/>
              </w:rPr>
              <w:t>大桥村</w:t>
            </w:r>
          </w:p>
        </w:tc>
        <w:tc>
          <w:tcPr>
            <w:tcW w:w="1218" w:type="dxa"/>
            <w:tcBorders>
              <w:top w:val="single" w:color="auto" w:sz="4" w:space="0"/>
              <w:left w:val="single" w:color="auto" w:sz="4" w:space="0"/>
              <w:bottom w:val="single" w:color="auto" w:sz="4" w:space="0"/>
              <w:right w:val="single" w:color="auto" w:sz="4" w:space="0"/>
            </w:tcBorders>
          </w:tcPr>
          <w:p w14:paraId="4983C7C4">
            <w:pPr>
              <w:pStyle w:val="28"/>
              <w:bidi w:val="0"/>
            </w:pPr>
            <w:r>
              <w:t>45.3</w:t>
            </w:r>
          </w:p>
        </w:tc>
        <w:tc>
          <w:tcPr>
            <w:tcW w:w="1218" w:type="dxa"/>
            <w:tcBorders>
              <w:top w:val="single" w:color="auto" w:sz="4" w:space="0"/>
              <w:left w:val="single" w:color="auto" w:sz="4" w:space="0"/>
              <w:bottom w:val="single" w:color="auto" w:sz="4" w:space="0"/>
              <w:right w:val="single" w:color="auto" w:sz="4" w:space="0"/>
            </w:tcBorders>
          </w:tcPr>
          <w:p w14:paraId="6089539F">
            <w:pPr>
              <w:pStyle w:val="28"/>
              <w:bidi w:val="0"/>
            </w:pPr>
            <w:r>
              <w:t>37.8</w:t>
            </w:r>
          </w:p>
        </w:tc>
        <w:tc>
          <w:tcPr>
            <w:tcW w:w="1218" w:type="dxa"/>
            <w:tcBorders>
              <w:top w:val="single" w:color="auto" w:sz="4" w:space="0"/>
              <w:left w:val="single" w:color="auto" w:sz="4" w:space="0"/>
              <w:bottom w:val="single" w:color="auto" w:sz="4" w:space="0"/>
              <w:right w:val="single" w:color="auto" w:sz="4" w:space="0"/>
            </w:tcBorders>
          </w:tcPr>
          <w:p w14:paraId="5A164AB0">
            <w:pPr>
              <w:pStyle w:val="28"/>
              <w:bidi w:val="0"/>
            </w:pPr>
            <w:r>
              <w:t>49.2</w:t>
            </w:r>
          </w:p>
        </w:tc>
        <w:tc>
          <w:tcPr>
            <w:tcW w:w="1222" w:type="dxa"/>
            <w:tcBorders>
              <w:top w:val="single" w:color="auto" w:sz="4" w:space="0"/>
              <w:left w:val="single" w:color="auto" w:sz="4" w:space="0"/>
              <w:bottom w:val="single" w:color="auto" w:sz="4" w:space="0"/>
              <w:right w:val="single" w:color="auto" w:sz="4" w:space="0"/>
            </w:tcBorders>
          </w:tcPr>
          <w:p w14:paraId="73B5F006">
            <w:pPr>
              <w:pStyle w:val="28"/>
              <w:bidi w:val="0"/>
            </w:pPr>
            <w:r>
              <w:t>39.4</w:t>
            </w:r>
          </w:p>
        </w:tc>
        <w:tc>
          <w:tcPr>
            <w:tcW w:w="1218" w:type="dxa"/>
            <w:tcBorders>
              <w:top w:val="single" w:color="auto" w:sz="4" w:space="0"/>
              <w:left w:val="single" w:color="auto" w:sz="4" w:space="0"/>
              <w:bottom w:val="single" w:color="auto" w:sz="4" w:space="0"/>
              <w:right w:val="single" w:color="auto" w:sz="4" w:space="0"/>
            </w:tcBorders>
            <w:noWrap/>
            <w:vAlign w:val="center"/>
          </w:tcPr>
          <w:p w14:paraId="3C52896B">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7543588C">
            <w:pPr>
              <w:pStyle w:val="28"/>
              <w:bidi w:val="0"/>
            </w:pPr>
            <w:r>
              <w:t>45</w:t>
            </w:r>
          </w:p>
        </w:tc>
      </w:tr>
      <w:tr w14:paraId="1C910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117B60DF">
            <w:pPr>
              <w:pStyle w:val="28"/>
              <w:bidi w:val="0"/>
            </w:pPr>
            <w:r>
              <w:t>N38</w:t>
            </w:r>
          </w:p>
        </w:tc>
        <w:tc>
          <w:tcPr>
            <w:tcW w:w="1580" w:type="dxa"/>
            <w:tcBorders>
              <w:top w:val="single" w:color="auto" w:sz="4" w:space="0"/>
              <w:left w:val="single" w:color="auto" w:sz="4" w:space="0"/>
              <w:bottom w:val="single" w:color="auto" w:sz="4" w:space="0"/>
              <w:right w:val="single" w:color="auto" w:sz="4" w:space="0"/>
            </w:tcBorders>
            <w:vAlign w:val="center"/>
          </w:tcPr>
          <w:p w14:paraId="31104C78">
            <w:pPr>
              <w:pStyle w:val="28"/>
              <w:bidi w:val="0"/>
            </w:pPr>
            <w:r>
              <w:rPr>
                <w:rFonts w:hint="eastAsia"/>
              </w:rPr>
              <w:t>金庄村</w:t>
            </w:r>
          </w:p>
        </w:tc>
        <w:tc>
          <w:tcPr>
            <w:tcW w:w="1218" w:type="dxa"/>
            <w:tcBorders>
              <w:top w:val="single" w:color="auto" w:sz="4" w:space="0"/>
              <w:left w:val="single" w:color="auto" w:sz="4" w:space="0"/>
              <w:bottom w:val="single" w:color="auto" w:sz="4" w:space="0"/>
              <w:right w:val="single" w:color="auto" w:sz="4" w:space="0"/>
            </w:tcBorders>
          </w:tcPr>
          <w:p w14:paraId="52C0E7B2">
            <w:pPr>
              <w:pStyle w:val="28"/>
              <w:bidi w:val="0"/>
            </w:pPr>
            <w:r>
              <w:t>47.6</w:t>
            </w:r>
          </w:p>
        </w:tc>
        <w:tc>
          <w:tcPr>
            <w:tcW w:w="1218" w:type="dxa"/>
            <w:tcBorders>
              <w:top w:val="single" w:color="auto" w:sz="4" w:space="0"/>
              <w:left w:val="single" w:color="auto" w:sz="4" w:space="0"/>
              <w:bottom w:val="single" w:color="auto" w:sz="4" w:space="0"/>
              <w:right w:val="single" w:color="auto" w:sz="4" w:space="0"/>
            </w:tcBorders>
          </w:tcPr>
          <w:p w14:paraId="1BBCFCEE">
            <w:pPr>
              <w:pStyle w:val="28"/>
              <w:bidi w:val="0"/>
            </w:pPr>
            <w:r>
              <w:t>40.0</w:t>
            </w:r>
          </w:p>
        </w:tc>
        <w:tc>
          <w:tcPr>
            <w:tcW w:w="1218" w:type="dxa"/>
            <w:tcBorders>
              <w:top w:val="single" w:color="auto" w:sz="4" w:space="0"/>
              <w:left w:val="single" w:color="auto" w:sz="4" w:space="0"/>
              <w:bottom w:val="single" w:color="auto" w:sz="4" w:space="0"/>
              <w:right w:val="single" w:color="auto" w:sz="4" w:space="0"/>
            </w:tcBorders>
          </w:tcPr>
          <w:p w14:paraId="49C897AC">
            <w:pPr>
              <w:pStyle w:val="28"/>
              <w:bidi w:val="0"/>
            </w:pPr>
            <w:r>
              <w:t>53.7</w:t>
            </w:r>
          </w:p>
        </w:tc>
        <w:tc>
          <w:tcPr>
            <w:tcW w:w="1222" w:type="dxa"/>
            <w:tcBorders>
              <w:top w:val="single" w:color="auto" w:sz="4" w:space="0"/>
              <w:left w:val="single" w:color="auto" w:sz="4" w:space="0"/>
              <w:bottom w:val="single" w:color="auto" w:sz="4" w:space="0"/>
              <w:right w:val="single" w:color="auto" w:sz="4" w:space="0"/>
            </w:tcBorders>
          </w:tcPr>
          <w:p w14:paraId="6C070EBC">
            <w:pPr>
              <w:pStyle w:val="28"/>
              <w:bidi w:val="0"/>
            </w:pPr>
            <w:r>
              <w:t>44.5</w:t>
            </w:r>
          </w:p>
        </w:tc>
        <w:tc>
          <w:tcPr>
            <w:tcW w:w="1218" w:type="dxa"/>
            <w:tcBorders>
              <w:top w:val="single" w:color="auto" w:sz="4" w:space="0"/>
              <w:left w:val="single" w:color="auto" w:sz="4" w:space="0"/>
              <w:bottom w:val="single" w:color="auto" w:sz="4" w:space="0"/>
              <w:right w:val="single" w:color="auto" w:sz="4" w:space="0"/>
            </w:tcBorders>
            <w:noWrap/>
            <w:vAlign w:val="center"/>
          </w:tcPr>
          <w:p w14:paraId="54C65914">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581F2FBF">
            <w:pPr>
              <w:pStyle w:val="28"/>
              <w:bidi w:val="0"/>
            </w:pPr>
            <w:r>
              <w:t>45</w:t>
            </w:r>
          </w:p>
        </w:tc>
      </w:tr>
      <w:tr w14:paraId="5E9F8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563ECC46">
            <w:pPr>
              <w:pStyle w:val="28"/>
              <w:bidi w:val="0"/>
            </w:pPr>
            <w:r>
              <w:t>N39</w:t>
            </w:r>
          </w:p>
        </w:tc>
        <w:tc>
          <w:tcPr>
            <w:tcW w:w="1580" w:type="dxa"/>
            <w:tcBorders>
              <w:top w:val="single" w:color="auto" w:sz="4" w:space="0"/>
              <w:left w:val="single" w:color="auto" w:sz="4" w:space="0"/>
              <w:bottom w:val="single" w:color="auto" w:sz="4" w:space="0"/>
              <w:right w:val="single" w:color="auto" w:sz="4" w:space="0"/>
            </w:tcBorders>
            <w:vAlign w:val="center"/>
          </w:tcPr>
          <w:p w14:paraId="3D4274DD">
            <w:pPr>
              <w:pStyle w:val="28"/>
              <w:bidi w:val="0"/>
            </w:pPr>
            <w:r>
              <w:rPr>
                <w:rFonts w:hint="eastAsia"/>
              </w:rPr>
              <w:t>贵家岗</w:t>
            </w:r>
          </w:p>
        </w:tc>
        <w:tc>
          <w:tcPr>
            <w:tcW w:w="1218" w:type="dxa"/>
            <w:tcBorders>
              <w:top w:val="single" w:color="auto" w:sz="4" w:space="0"/>
              <w:left w:val="single" w:color="auto" w:sz="4" w:space="0"/>
              <w:bottom w:val="single" w:color="auto" w:sz="4" w:space="0"/>
              <w:right w:val="single" w:color="auto" w:sz="4" w:space="0"/>
            </w:tcBorders>
          </w:tcPr>
          <w:p w14:paraId="0ED2A349">
            <w:pPr>
              <w:pStyle w:val="28"/>
              <w:bidi w:val="0"/>
            </w:pPr>
            <w:r>
              <w:t>46.9</w:t>
            </w:r>
          </w:p>
        </w:tc>
        <w:tc>
          <w:tcPr>
            <w:tcW w:w="1218" w:type="dxa"/>
            <w:tcBorders>
              <w:top w:val="single" w:color="auto" w:sz="4" w:space="0"/>
              <w:left w:val="single" w:color="auto" w:sz="4" w:space="0"/>
              <w:bottom w:val="single" w:color="auto" w:sz="4" w:space="0"/>
              <w:right w:val="single" w:color="auto" w:sz="4" w:space="0"/>
            </w:tcBorders>
          </w:tcPr>
          <w:p w14:paraId="0CA4D9AA">
            <w:pPr>
              <w:pStyle w:val="28"/>
              <w:bidi w:val="0"/>
            </w:pPr>
            <w:r>
              <w:t>40.7</w:t>
            </w:r>
          </w:p>
        </w:tc>
        <w:tc>
          <w:tcPr>
            <w:tcW w:w="1218" w:type="dxa"/>
            <w:tcBorders>
              <w:top w:val="single" w:color="auto" w:sz="4" w:space="0"/>
              <w:left w:val="single" w:color="auto" w:sz="4" w:space="0"/>
              <w:bottom w:val="single" w:color="auto" w:sz="4" w:space="0"/>
              <w:right w:val="single" w:color="auto" w:sz="4" w:space="0"/>
            </w:tcBorders>
          </w:tcPr>
          <w:p w14:paraId="53715741">
            <w:pPr>
              <w:pStyle w:val="28"/>
              <w:bidi w:val="0"/>
            </w:pPr>
            <w:r>
              <w:t>51.2</w:t>
            </w:r>
          </w:p>
        </w:tc>
        <w:tc>
          <w:tcPr>
            <w:tcW w:w="1222" w:type="dxa"/>
            <w:tcBorders>
              <w:top w:val="single" w:color="auto" w:sz="4" w:space="0"/>
              <w:left w:val="single" w:color="auto" w:sz="4" w:space="0"/>
              <w:bottom w:val="single" w:color="auto" w:sz="4" w:space="0"/>
              <w:right w:val="single" w:color="auto" w:sz="4" w:space="0"/>
            </w:tcBorders>
          </w:tcPr>
          <w:p w14:paraId="2F305B3E">
            <w:pPr>
              <w:pStyle w:val="28"/>
              <w:bidi w:val="0"/>
            </w:pPr>
            <w:r>
              <w:t>39.8</w:t>
            </w:r>
          </w:p>
        </w:tc>
        <w:tc>
          <w:tcPr>
            <w:tcW w:w="625" w:type="pct"/>
            <w:tcBorders>
              <w:top w:val="single" w:color="auto" w:sz="4" w:space="0"/>
              <w:left w:val="single" w:color="auto" w:sz="4" w:space="0"/>
              <w:bottom w:val="single" w:color="auto" w:sz="4" w:space="0"/>
              <w:right w:val="single" w:color="auto" w:sz="4" w:space="0"/>
            </w:tcBorders>
            <w:noWrap/>
            <w:vAlign w:val="center"/>
          </w:tcPr>
          <w:p w14:paraId="0BA647B9">
            <w:pPr>
              <w:pStyle w:val="28"/>
              <w:bidi w:val="0"/>
            </w:pPr>
            <w:r>
              <w:t>55</w:t>
            </w:r>
          </w:p>
        </w:tc>
        <w:tc>
          <w:tcPr>
            <w:tcW w:w="622" w:type="pct"/>
            <w:tcBorders>
              <w:top w:val="single" w:color="auto" w:sz="4" w:space="0"/>
              <w:left w:val="single" w:color="auto" w:sz="4" w:space="0"/>
              <w:bottom w:val="single" w:color="auto" w:sz="4" w:space="0"/>
              <w:right w:val="single" w:color="auto" w:sz="4" w:space="0"/>
            </w:tcBorders>
            <w:noWrap/>
            <w:vAlign w:val="center"/>
          </w:tcPr>
          <w:p w14:paraId="63C87439">
            <w:pPr>
              <w:pStyle w:val="28"/>
              <w:bidi w:val="0"/>
            </w:pPr>
            <w:r>
              <w:t>45</w:t>
            </w:r>
          </w:p>
        </w:tc>
      </w:tr>
      <w:tr w14:paraId="2AE942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77D75523">
            <w:pPr>
              <w:pStyle w:val="28"/>
              <w:bidi w:val="0"/>
            </w:pPr>
            <w:r>
              <w:rPr>
                <w:rFonts w:hint="eastAsia"/>
              </w:rPr>
              <w:t>N40</w:t>
            </w:r>
          </w:p>
        </w:tc>
        <w:tc>
          <w:tcPr>
            <w:tcW w:w="1580" w:type="dxa"/>
            <w:tcBorders>
              <w:top w:val="single" w:color="auto" w:sz="4" w:space="0"/>
              <w:left w:val="single" w:color="auto" w:sz="4" w:space="0"/>
              <w:bottom w:val="single" w:color="auto" w:sz="4" w:space="0"/>
              <w:right w:val="single" w:color="auto" w:sz="4" w:space="0"/>
            </w:tcBorders>
            <w:vAlign w:val="center"/>
          </w:tcPr>
          <w:p w14:paraId="1BEBD10A">
            <w:pPr>
              <w:pStyle w:val="28"/>
              <w:bidi w:val="0"/>
            </w:pPr>
            <w:r>
              <w:rPr>
                <w:rFonts w:hint="eastAsia"/>
              </w:rPr>
              <w:t>蔡郢</w:t>
            </w:r>
          </w:p>
        </w:tc>
        <w:tc>
          <w:tcPr>
            <w:tcW w:w="1218" w:type="dxa"/>
            <w:tcBorders>
              <w:top w:val="single" w:color="auto" w:sz="4" w:space="0"/>
              <w:left w:val="single" w:color="auto" w:sz="4" w:space="0"/>
              <w:bottom w:val="single" w:color="auto" w:sz="4" w:space="0"/>
              <w:right w:val="single" w:color="auto" w:sz="4" w:space="0"/>
            </w:tcBorders>
          </w:tcPr>
          <w:p w14:paraId="1518A1BE">
            <w:pPr>
              <w:pStyle w:val="28"/>
              <w:bidi w:val="0"/>
            </w:pPr>
            <w:r>
              <w:t>48.9</w:t>
            </w:r>
          </w:p>
        </w:tc>
        <w:tc>
          <w:tcPr>
            <w:tcW w:w="1218" w:type="dxa"/>
            <w:tcBorders>
              <w:top w:val="single" w:color="auto" w:sz="4" w:space="0"/>
              <w:left w:val="single" w:color="auto" w:sz="4" w:space="0"/>
              <w:bottom w:val="single" w:color="auto" w:sz="4" w:space="0"/>
              <w:right w:val="single" w:color="auto" w:sz="4" w:space="0"/>
            </w:tcBorders>
          </w:tcPr>
          <w:p w14:paraId="72D86AFE">
            <w:pPr>
              <w:pStyle w:val="28"/>
              <w:bidi w:val="0"/>
            </w:pPr>
            <w:r>
              <w:t>39.5</w:t>
            </w:r>
          </w:p>
        </w:tc>
        <w:tc>
          <w:tcPr>
            <w:tcW w:w="1218" w:type="dxa"/>
            <w:tcBorders>
              <w:top w:val="single" w:color="auto" w:sz="4" w:space="0"/>
              <w:left w:val="single" w:color="auto" w:sz="4" w:space="0"/>
              <w:bottom w:val="single" w:color="auto" w:sz="4" w:space="0"/>
              <w:right w:val="single" w:color="auto" w:sz="4" w:space="0"/>
            </w:tcBorders>
          </w:tcPr>
          <w:p w14:paraId="32AD17B2">
            <w:pPr>
              <w:pStyle w:val="28"/>
              <w:bidi w:val="0"/>
            </w:pPr>
            <w:r>
              <w:t>51.3</w:t>
            </w:r>
          </w:p>
        </w:tc>
        <w:tc>
          <w:tcPr>
            <w:tcW w:w="1222" w:type="dxa"/>
            <w:tcBorders>
              <w:top w:val="single" w:color="auto" w:sz="4" w:space="0"/>
              <w:left w:val="single" w:color="auto" w:sz="4" w:space="0"/>
              <w:bottom w:val="single" w:color="auto" w:sz="4" w:space="0"/>
              <w:right w:val="single" w:color="auto" w:sz="4" w:space="0"/>
            </w:tcBorders>
          </w:tcPr>
          <w:p w14:paraId="5F16B2B5">
            <w:pPr>
              <w:pStyle w:val="28"/>
              <w:bidi w:val="0"/>
            </w:pPr>
            <w:r>
              <w:t>38.7</w:t>
            </w:r>
          </w:p>
        </w:tc>
        <w:tc>
          <w:tcPr>
            <w:tcW w:w="1218" w:type="dxa"/>
            <w:tcBorders>
              <w:top w:val="single" w:color="auto" w:sz="4" w:space="0"/>
              <w:left w:val="single" w:color="auto" w:sz="4" w:space="0"/>
              <w:bottom w:val="single" w:color="auto" w:sz="4" w:space="0"/>
              <w:right w:val="single" w:color="auto" w:sz="4" w:space="0"/>
            </w:tcBorders>
            <w:noWrap/>
            <w:vAlign w:val="center"/>
          </w:tcPr>
          <w:p w14:paraId="06408180">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117C8427">
            <w:pPr>
              <w:pStyle w:val="28"/>
              <w:bidi w:val="0"/>
            </w:pPr>
            <w:r>
              <w:t>45</w:t>
            </w:r>
          </w:p>
        </w:tc>
      </w:tr>
      <w:tr w14:paraId="2CB9E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5E5B2F38">
            <w:pPr>
              <w:pStyle w:val="28"/>
              <w:bidi w:val="0"/>
            </w:pPr>
            <w:r>
              <w:rPr>
                <w:rFonts w:hint="eastAsia"/>
              </w:rPr>
              <w:t>N41</w:t>
            </w:r>
          </w:p>
        </w:tc>
        <w:tc>
          <w:tcPr>
            <w:tcW w:w="1580" w:type="dxa"/>
            <w:tcBorders>
              <w:top w:val="single" w:color="auto" w:sz="4" w:space="0"/>
              <w:left w:val="single" w:color="auto" w:sz="4" w:space="0"/>
              <w:bottom w:val="single" w:color="auto" w:sz="4" w:space="0"/>
              <w:right w:val="single" w:color="auto" w:sz="4" w:space="0"/>
            </w:tcBorders>
            <w:vAlign w:val="center"/>
          </w:tcPr>
          <w:p w14:paraId="608ACF4A">
            <w:pPr>
              <w:pStyle w:val="28"/>
              <w:bidi w:val="0"/>
            </w:pPr>
            <w:r>
              <w:rPr>
                <w:rFonts w:hint="eastAsia"/>
              </w:rPr>
              <w:t>后许郢</w:t>
            </w:r>
          </w:p>
        </w:tc>
        <w:tc>
          <w:tcPr>
            <w:tcW w:w="1218" w:type="dxa"/>
            <w:tcBorders>
              <w:top w:val="single" w:color="auto" w:sz="4" w:space="0"/>
              <w:left w:val="single" w:color="auto" w:sz="4" w:space="0"/>
              <w:bottom w:val="single" w:color="auto" w:sz="4" w:space="0"/>
              <w:right w:val="single" w:color="auto" w:sz="4" w:space="0"/>
            </w:tcBorders>
          </w:tcPr>
          <w:p w14:paraId="7902CA7D">
            <w:pPr>
              <w:pStyle w:val="28"/>
              <w:bidi w:val="0"/>
            </w:pPr>
            <w:r>
              <w:t>45.9</w:t>
            </w:r>
          </w:p>
        </w:tc>
        <w:tc>
          <w:tcPr>
            <w:tcW w:w="1218" w:type="dxa"/>
            <w:tcBorders>
              <w:top w:val="single" w:color="auto" w:sz="4" w:space="0"/>
              <w:left w:val="single" w:color="auto" w:sz="4" w:space="0"/>
              <w:bottom w:val="single" w:color="auto" w:sz="4" w:space="0"/>
              <w:right w:val="single" w:color="auto" w:sz="4" w:space="0"/>
            </w:tcBorders>
          </w:tcPr>
          <w:p w14:paraId="409C9EAC">
            <w:pPr>
              <w:pStyle w:val="28"/>
              <w:bidi w:val="0"/>
            </w:pPr>
            <w:r>
              <w:t>39.7</w:t>
            </w:r>
          </w:p>
        </w:tc>
        <w:tc>
          <w:tcPr>
            <w:tcW w:w="1218" w:type="dxa"/>
            <w:tcBorders>
              <w:top w:val="single" w:color="auto" w:sz="4" w:space="0"/>
              <w:left w:val="single" w:color="auto" w:sz="4" w:space="0"/>
              <w:bottom w:val="single" w:color="auto" w:sz="4" w:space="0"/>
              <w:right w:val="single" w:color="auto" w:sz="4" w:space="0"/>
            </w:tcBorders>
          </w:tcPr>
          <w:p w14:paraId="2D0326C4">
            <w:pPr>
              <w:pStyle w:val="28"/>
              <w:bidi w:val="0"/>
            </w:pPr>
            <w:r>
              <w:t>50.1</w:t>
            </w:r>
          </w:p>
        </w:tc>
        <w:tc>
          <w:tcPr>
            <w:tcW w:w="1222" w:type="dxa"/>
            <w:tcBorders>
              <w:top w:val="single" w:color="auto" w:sz="4" w:space="0"/>
              <w:left w:val="single" w:color="auto" w:sz="4" w:space="0"/>
              <w:bottom w:val="single" w:color="auto" w:sz="4" w:space="0"/>
              <w:right w:val="single" w:color="auto" w:sz="4" w:space="0"/>
            </w:tcBorders>
          </w:tcPr>
          <w:p w14:paraId="1775A93C">
            <w:pPr>
              <w:pStyle w:val="28"/>
              <w:bidi w:val="0"/>
            </w:pPr>
            <w:r>
              <w:t>41.3</w:t>
            </w:r>
          </w:p>
        </w:tc>
        <w:tc>
          <w:tcPr>
            <w:tcW w:w="1218" w:type="dxa"/>
            <w:tcBorders>
              <w:top w:val="single" w:color="auto" w:sz="4" w:space="0"/>
              <w:left w:val="single" w:color="auto" w:sz="4" w:space="0"/>
              <w:bottom w:val="single" w:color="auto" w:sz="4" w:space="0"/>
              <w:right w:val="single" w:color="auto" w:sz="4" w:space="0"/>
            </w:tcBorders>
            <w:noWrap/>
            <w:vAlign w:val="center"/>
          </w:tcPr>
          <w:p w14:paraId="7ECBAAEA">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04822BC3">
            <w:pPr>
              <w:pStyle w:val="28"/>
              <w:bidi w:val="0"/>
            </w:pPr>
            <w:r>
              <w:t>45</w:t>
            </w:r>
          </w:p>
        </w:tc>
      </w:tr>
      <w:tr w14:paraId="4A5E0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437181D9">
            <w:pPr>
              <w:pStyle w:val="28"/>
              <w:bidi w:val="0"/>
            </w:pPr>
            <w:r>
              <w:rPr>
                <w:rFonts w:hint="eastAsia"/>
              </w:rPr>
              <w:t>N42</w:t>
            </w:r>
          </w:p>
        </w:tc>
        <w:tc>
          <w:tcPr>
            <w:tcW w:w="1580" w:type="dxa"/>
            <w:tcBorders>
              <w:top w:val="single" w:color="auto" w:sz="4" w:space="0"/>
              <w:left w:val="single" w:color="auto" w:sz="4" w:space="0"/>
              <w:bottom w:val="single" w:color="auto" w:sz="4" w:space="0"/>
              <w:right w:val="single" w:color="auto" w:sz="4" w:space="0"/>
            </w:tcBorders>
            <w:vAlign w:val="center"/>
          </w:tcPr>
          <w:p w14:paraId="29C0513D">
            <w:pPr>
              <w:pStyle w:val="28"/>
              <w:bidi w:val="0"/>
            </w:pPr>
            <w:r>
              <w:rPr>
                <w:rFonts w:hint="eastAsia"/>
              </w:rPr>
              <w:t>前许郢</w:t>
            </w:r>
          </w:p>
        </w:tc>
        <w:tc>
          <w:tcPr>
            <w:tcW w:w="1218" w:type="dxa"/>
            <w:tcBorders>
              <w:top w:val="single" w:color="auto" w:sz="4" w:space="0"/>
              <w:left w:val="single" w:color="auto" w:sz="4" w:space="0"/>
              <w:bottom w:val="single" w:color="auto" w:sz="4" w:space="0"/>
              <w:right w:val="single" w:color="auto" w:sz="4" w:space="0"/>
            </w:tcBorders>
          </w:tcPr>
          <w:p w14:paraId="121E8817">
            <w:pPr>
              <w:pStyle w:val="28"/>
              <w:bidi w:val="0"/>
            </w:pPr>
            <w:r>
              <w:t>47.8</w:t>
            </w:r>
          </w:p>
        </w:tc>
        <w:tc>
          <w:tcPr>
            <w:tcW w:w="1218" w:type="dxa"/>
            <w:tcBorders>
              <w:top w:val="single" w:color="auto" w:sz="4" w:space="0"/>
              <w:left w:val="single" w:color="auto" w:sz="4" w:space="0"/>
              <w:bottom w:val="single" w:color="auto" w:sz="4" w:space="0"/>
              <w:right w:val="single" w:color="auto" w:sz="4" w:space="0"/>
            </w:tcBorders>
          </w:tcPr>
          <w:p w14:paraId="519D1864">
            <w:pPr>
              <w:pStyle w:val="28"/>
              <w:bidi w:val="0"/>
            </w:pPr>
            <w:r>
              <w:t>38.9</w:t>
            </w:r>
          </w:p>
        </w:tc>
        <w:tc>
          <w:tcPr>
            <w:tcW w:w="1218" w:type="dxa"/>
            <w:tcBorders>
              <w:top w:val="single" w:color="auto" w:sz="4" w:space="0"/>
              <w:left w:val="single" w:color="auto" w:sz="4" w:space="0"/>
              <w:bottom w:val="single" w:color="auto" w:sz="4" w:space="0"/>
              <w:right w:val="single" w:color="auto" w:sz="4" w:space="0"/>
            </w:tcBorders>
          </w:tcPr>
          <w:p w14:paraId="2CFCB889">
            <w:pPr>
              <w:pStyle w:val="28"/>
              <w:bidi w:val="0"/>
            </w:pPr>
            <w:r>
              <w:t>48.1</w:t>
            </w:r>
          </w:p>
        </w:tc>
        <w:tc>
          <w:tcPr>
            <w:tcW w:w="1222" w:type="dxa"/>
            <w:tcBorders>
              <w:top w:val="single" w:color="auto" w:sz="4" w:space="0"/>
              <w:left w:val="single" w:color="auto" w:sz="4" w:space="0"/>
              <w:bottom w:val="single" w:color="auto" w:sz="4" w:space="0"/>
              <w:right w:val="single" w:color="auto" w:sz="4" w:space="0"/>
            </w:tcBorders>
          </w:tcPr>
          <w:p w14:paraId="3DC71DED">
            <w:pPr>
              <w:pStyle w:val="28"/>
              <w:bidi w:val="0"/>
            </w:pPr>
            <w:r>
              <w:t>39.7</w:t>
            </w:r>
          </w:p>
        </w:tc>
        <w:tc>
          <w:tcPr>
            <w:tcW w:w="1218" w:type="dxa"/>
            <w:tcBorders>
              <w:top w:val="single" w:color="auto" w:sz="4" w:space="0"/>
              <w:left w:val="single" w:color="auto" w:sz="4" w:space="0"/>
              <w:bottom w:val="single" w:color="auto" w:sz="4" w:space="0"/>
              <w:right w:val="single" w:color="auto" w:sz="4" w:space="0"/>
            </w:tcBorders>
            <w:noWrap/>
            <w:vAlign w:val="center"/>
          </w:tcPr>
          <w:p w14:paraId="603BBBAE">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3BC05A9D">
            <w:pPr>
              <w:pStyle w:val="28"/>
              <w:bidi w:val="0"/>
            </w:pPr>
            <w:r>
              <w:t>45</w:t>
            </w:r>
          </w:p>
        </w:tc>
      </w:tr>
      <w:tr w14:paraId="154E792A">
        <w:tblPrEx>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30BEA9DA">
            <w:pPr>
              <w:pStyle w:val="28"/>
              <w:bidi w:val="0"/>
            </w:pPr>
            <w:r>
              <w:rPr>
                <w:rFonts w:hint="eastAsia"/>
              </w:rPr>
              <w:t>N43</w:t>
            </w:r>
          </w:p>
        </w:tc>
        <w:tc>
          <w:tcPr>
            <w:tcW w:w="1580" w:type="dxa"/>
            <w:tcBorders>
              <w:top w:val="single" w:color="auto" w:sz="4" w:space="0"/>
              <w:left w:val="single" w:color="auto" w:sz="4" w:space="0"/>
              <w:bottom w:val="single" w:color="auto" w:sz="4" w:space="0"/>
              <w:right w:val="single" w:color="auto" w:sz="4" w:space="0"/>
            </w:tcBorders>
            <w:vAlign w:val="center"/>
          </w:tcPr>
          <w:p w14:paraId="0C34194D">
            <w:pPr>
              <w:pStyle w:val="28"/>
              <w:bidi w:val="0"/>
            </w:pPr>
            <w:r>
              <w:rPr>
                <w:rFonts w:hint="eastAsia"/>
              </w:rPr>
              <w:t>王集村</w:t>
            </w:r>
          </w:p>
        </w:tc>
        <w:tc>
          <w:tcPr>
            <w:tcW w:w="1218" w:type="dxa"/>
            <w:tcBorders>
              <w:top w:val="single" w:color="auto" w:sz="4" w:space="0"/>
              <w:left w:val="single" w:color="auto" w:sz="4" w:space="0"/>
              <w:bottom w:val="single" w:color="auto" w:sz="4" w:space="0"/>
              <w:right w:val="single" w:color="auto" w:sz="4" w:space="0"/>
            </w:tcBorders>
          </w:tcPr>
          <w:p w14:paraId="70DE1E95">
            <w:pPr>
              <w:pStyle w:val="28"/>
              <w:bidi w:val="0"/>
            </w:pPr>
            <w:r>
              <w:t>47.0</w:t>
            </w:r>
          </w:p>
        </w:tc>
        <w:tc>
          <w:tcPr>
            <w:tcW w:w="1218" w:type="dxa"/>
            <w:tcBorders>
              <w:top w:val="single" w:color="auto" w:sz="4" w:space="0"/>
              <w:left w:val="single" w:color="auto" w:sz="4" w:space="0"/>
              <w:bottom w:val="single" w:color="auto" w:sz="4" w:space="0"/>
              <w:right w:val="single" w:color="auto" w:sz="4" w:space="0"/>
            </w:tcBorders>
          </w:tcPr>
          <w:p w14:paraId="1B5F504F">
            <w:pPr>
              <w:pStyle w:val="28"/>
              <w:bidi w:val="0"/>
            </w:pPr>
            <w:r>
              <w:t>38.8</w:t>
            </w:r>
          </w:p>
        </w:tc>
        <w:tc>
          <w:tcPr>
            <w:tcW w:w="1218" w:type="dxa"/>
            <w:tcBorders>
              <w:top w:val="single" w:color="auto" w:sz="4" w:space="0"/>
              <w:left w:val="single" w:color="auto" w:sz="4" w:space="0"/>
              <w:bottom w:val="single" w:color="auto" w:sz="4" w:space="0"/>
              <w:right w:val="single" w:color="auto" w:sz="4" w:space="0"/>
            </w:tcBorders>
          </w:tcPr>
          <w:p w14:paraId="6CE5AD8D">
            <w:pPr>
              <w:pStyle w:val="28"/>
              <w:bidi w:val="0"/>
            </w:pPr>
            <w:r>
              <w:t>48.8</w:t>
            </w:r>
          </w:p>
        </w:tc>
        <w:tc>
          <w:tcPr>
            <w:tcW w:w="1222" w:type="dxa"/>
            <w:tcBorders>
              <w:top w:val="single" w:color="auto" w:sz="4" w:space="0"/>
              <w:left w:val="single" w:color="auto" w:sz="4" w:space="0"/>
              <w:bottom w:val="single" w:color="auto" w:sz="4" w:space="0"/>
              <w:right w:val="single" w:color="auto" w:sz="4" w:space="0"/>
            </w:tcBorders>
          </w:tcPr>
          <w:p w14:paraId="39372A36">
            <w:pPr>
              <w:pStyle w:val="28"/>
              <w:bidi w:val="0"/>
            </w:pPr>
            <w:r>
              <w:t>40.2</w:t>
            </w:r>
          </w:p>
        </w:tc>
        <w:tc>
          <w:tcPr>
            <w:tcW w:w="1218" w:type="dxa"/>
            <w:tcBorders>
              <w:top w:val="single" w:color="auto" w:sz="4" w:space="0"/>
              <w:left w:val="single" w:color="auto" w:sz="4" w:space="0"/>
              <w:bottom w:val="single" w:color="auto" w:sz="4" w:space="0"/>
              <w:right w:val="single" w:color="auto" w:sz="4" w:space="0"/>
            </w:tcBorders>
            <w:noWrap/>
            <w:vAlign w:val="center"/>
          </w:tcPr>
          <w:p w14:paraId="60EA2518">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05B78806">
            <w:pPr>
              <w:pStyle w:val="28"/>
              <w:bidi w:val="0"/>
            </w:pPr>
            <w:r>
              <w:t>45</w:t>
            </w:r>
          </w:p>
        </w:tc>
      </w:tr>
      <w:tr w14:paraId="1DF00D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7D8C77DC">
            <w:pPr>
              <w:pStyle w:val="28"/>
              <w:bidi w:val="0"/>
            </w:pPr>
            <w:r>
              <w:rPr>
                <w:rFonts w:hint="eastAsia"/>
              </w:rPr>
              <w:t>N44</w:t>
            </w:r>
          </w:p>
        </w:tc>
        <w:tc>
          <w:tcPr>
            <w:tcW w:w="1580" w:type="dxa"/>
            <w:tcBorders>
              <w:top w:val="single" w:color="auto" w:sz="4" w:space="0"/>
              <w:left w:val="single" w:color="auto" w:sz="4" w:space="0"/>
              <w:bottom w:val="single" w:color="auto" w:sz="4" w:space="0"/>
              <w:right w:val="single" w:color="auto" w:sz="4" w:space="0"/>
            </w:tcBorders>
            <w:vAlign w:val="center"/>
          </w:tcPr>
          <w:p w14:paraId="30D38D5B">
            <w:pPr>
              <w:pStyle w:val="28"/>
              <w:bidi w:val="0"/>
            </w:pPr>
            <w:r>
              <w:rPr>
                <w:rFonts w:hint="eastAsia"/>
              </w:rPr>
              <w:t>小潘郢</w:t>
            </w:r>
          </w:p>
        </w:tc>
        <w:tc>
          <w:tcPr>
            <w:tcW w:w="1218" w:type="dxa"/>
            <w:tcBorders>
              <w:top w:val="single" w:color="auto" w:sz="4" w:space="0"/>
              <w:left w:val="single" w:color="auto" w:sz="4" w:space="0"/>
              <w:bottom w:val="single" w:color="auto" w:sz="4" w:space="0"/>
              <w:right w:val="single" w:color="auto" w:sz="4" w:space="0"/>
            </w:tcBorders>
          </w:tcPr>
          <w:p w14:paraId="78707125">
            <w:pPr>
              <w:pStyle w:val="28"/>
              <w:bidi w:val="0"/>
            </w:pPr>
            <w:r>
              <w:t>48.3</w:t>
            </w:r>
          </w:p>
        </w:tc>
        <w:tc>
          <w:tcPr>
            <w:tcW w:w="1218" w:type="dxa"/>
            <w:tcBorders>
              <w:top w:val="single" w:color="auto" w:sz="4" w:space="0"/>
              <w:left w:val="single" w:color="auto" w:sz="4" w:space="0"/>
              <w:bottom w:val="single" w:color="auto" w:sz="4" w:space="0"/>
              <w:right w:val="single" w:color="auto" w:sz="4" w:space="0"/>
            </w:tcBorders>
          </w:tcPr>
          <w:p w14:paraId="6A83AF65">
            <w:pPr>
              <w:pStyle w:val="28"/>
              <w:bidi w:val="0"/>
            </w:pPr>
            <w:r>
              <w:t>42.1</w:t>
            </w:r>
          </w:p>
        </w:tc>
        <w:tc>
          <w:tcPr>
            <w:tcW w:w="1218" w:type="dxa"/>
            <w:tcBorders>
              <w:top w:val="single" w:color="auto" w:sz="4" w:space="0"/>
              <w:left w:val="single" w:color="auto" w:sz="4" w:space="0"/>
              <w:bottom w:val="single" w:color="auto" w:sz="4" w:space="0"/>
              <w:right w:val="single" w:color="auto" w:sz="4" w:space="0"/>
            </w:tcBorders>
          </w:tcPr>
          <w:p w14:paraId="2E50B6A6">
            <w:pPr>
              <w:pStyle w:val="28"/>
              <w:bidi w:val="0"/>
            </w:pPr>
            <w:r>
              <w:t>51.5</w:t>
            </w:r>
          </w:p>
        </w:tc>
        <w:tc>
          <w:tcPr>
            <w:tcW w:w="1222" w:type="dxa"/>
            <w:tcBorders>
              <w:top w:val="single" w:color="auto" w:sz="4" w:space="0"/>
              <w:left w:val="single" w:color="auto" w:sz="4" w:space="0"/>
              <w:bottom w:val="single" w:color="auto" w:sz="4" w:space="0"/>
              <w:right w:val="single" w:color="auto" w:sz="4" w:space="0"/>
            </w:tcBorders>
          </w:tcPr>
          <w:p w14:paraId="5F1EF7E7">
            <w:pPr>
              <w:pStyle w:val="28"/>
              <w:bidi w:val="0"/>
            </w:pPr>
            <w:r>
              <w:t>41.8</w:t>
            </w:r>
          </w:p>
        </w:tc>
        <w:tc>
          <w:tcPr>
            <w:tcW w:w="1218" w:type="dxa"/>
            <w:tcBorders>
              <w:top w:val="single" w:color="auto" w:sz="4" w:space="0"/>
              <w:left w:val="single" w:color="auto" w:sz="4" w:space="0"/>
              <w:bottom w:val="single" w:color="auto" w:sz="4" w:space="0"/>
              <w:right w:val="single" w:color="auto" w:sz="4" w:space="0"/>
            </w:tcBorders>
            <w:noWrap/>
            <w:vAlign w:val="center"/>
          </w:tcPr>
          <w:p w14:paraId="2D2BDBAB">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162531A7">
            <w:pPr>
              <w:pStyle w:val="28"/>
              <w:bidi w:val="0"/>
            </w:pPr>
            <w:r>
              <w:t>45</w:t>
            </w:r>
          </w:p>
        </w:tc>
      </w:tr>
      <w:tr w14:paraId="43C2F1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11C84869">
            <w:pPr>
              <w:pStyle w:val="28"/>
              <w:bidi w:val="0"/>
            </w:pPr>
            <w:r>
              <w:rPr>
                <w:rFonts w:hint="eastAsia"/>
              </w:rPr>
              <w:t>N45</w:t>
            </w:r>
          </w:p>
        </w:tc>
        <w:tc>
          <w:tcPr>
            <w:tcW w:w="1580" w:type="dxa"/>
            <w:tcBorders>
              <w:top w:val="single" w:color="auto" w:sz="4" w:space="0"/>
              <w:left w:val="single" w:color="auto" w:sz="4" w:space="0"/>
              <w:bottom w:val="single" w:color="auto" w:sz="4" w:space="0"/>
              <w:right w:val="single" w:color="auto" w:sz="4" w:space="0"/>
            </w:tcBorders>
            <w:vAlign w:val="center"/>
          </w:tcPr>
          <w:p w14:paraId="05B0D3CB">
            <w:pPr>
              <w:pStyle w:val="28"/>
              <w:bidi w:val="0"/>
            </w:pPr>
            <w:r>
              <w:rPr>
                <w:rFonts w:hint="eastAsia"/>
              </w:rPr>
              <w:t>孙庙镇区</w:t>
            </w:r>
          </w:p>
        </w:tc>
        <w:tc>
          <w:tcPr>
            <w:tcW w:w="1218" w:type="dxa"/>
            <w:tcBorders>
              <w:top w:val="single" w:color="auto" w:sz="4" w:space="0"/>
              <w:left w:val="single" w:color="auto" w:sz="4" w:space="0"/>
              <w:bottom w:val="single" w:color="auto" w:sz="4" w:space="0"/>
              <w:right w:val="single" w:color="auto" w:sz="4" w:space="0"/>
            </w:tcBorders>
          </w:tcPr>
          <w:p w14:paraId="5ECD9194">
            <w:pPr>
              <w:pStyle w:val="28"/>
              <w:bidi w:val="0"/>
            </w:pPr>
            <w:r>
              <w:t>46.7</w:t>
            </w:r>
          </w:p>
        </w:tc>
        <w:tc>
          <w:tcPr>
            <w:tcW w:w="1218" w:type="dxa"/>
            <w:tcBorders>
              <w:top w:val="single" w:color="auto" w:sz="4" w:space="0"/>
              <w:left w:val="single" w:color="auto" w:sz="4" w:space="0"/>
              <w:bottom w:val="single" w:color="auto" w:sz="4" w:space="0"/>
              <w:right w:val="single" w:color="auto" w:sz="4" w:space="0"/>
            </w:tcBorders>
          </w:tcPr>
          <w:p w14:paraId="1976B972">
            <w:pPr>
              <w:pStyle w:val="28"/>
              <w:bidi w:val="0"/>
            </w:pPr>
            <w:r>
              <w:t>38.6</w:t>
            </w:r>
          </w:p>
        </w:tc>
        <w:tc>
          <w:tcPr>
            <w:tcW w:w="1218" w:type="dxa"/>
            <w:tcBorders>
              <w:top w:val="single" w:color="auto" w:sz="4" w:space="0"/>
              <w:left w:val="single" w:color="auto" w:sz="4" w:space="0"/>
              <w:bottom w:val="single" w:color="auto" w:sz="4" w:space="0"/>
              <w:right w:val="single" w:color="auto" w:sz="4" w:space="0"/>
            </w:tcBorders>
          </w:tcPr>
          <w:p w14:paraId="7E0ADA74">
            <w:pPr>
              <w:pStyle w:val="28"/>
              <w:bidi w:val="0"/>
            </w:pPr>
            <w:r>
              <w:t>50.0</w:t>
            </w:r>
          </w:p>
        </w:tc>
        <w:tc>
          <w:tcPr>
            <w:tcW w:w="1222" w:type="dxa"/>
            <w:tcBorders>
              <w:top w:val="single" w:color="auto" w:sz="4" w:space="0"/>
              <w:left w:val="single" w:color="auto" w:sz="4" w:space="0"/>
              <w:bottom w:val="single" w:color="auto" w:sz="4" w:space="0"/>
              <w:right w:val="single" w:color="auto" w:sz="4" w:space="0"/>
            </w:tcBorders>
          </w:tcPr>
          <w:p w14:paraId="0437F578">
            <w:pPr>
              <w:pStyle w:val="28"/>
              <w:bidi w:val="0"/>
            </w:pPr>
            <w:r>
              <w:t>39.7</w:t>
            </w:r>
          </w:p>
        </w:tc>
        <w:tc>
          <w:tcPr>
            <w:tcW w:w="1218" w:type="dxa"/>
            <w:tcBorders>
              <w:top w:val="single" w:color="auto" w:sz="4" w:space="0"/>
              <w:left w:val="single" w:color="auto" w:sz="4" w:space="0"/>
              <w:bottom w:val="single" w:color="auto" w:sz="4" w:space="0"/>
              <w:right w:val="single" w:color="auto" w:sz="4" w:space="0"/>
            </w:tcBorders>
            <w:noWrap/>
            <w:vAlign w:val="center"/>
          </w:tcPr>
          <w:p w14:paraId="09B16D07">
            <w:pPr>
              <w:pStyle w:val="28"/>
              <w:bidi w:val="0"/>
            </w:pPr>
            <w:r>
              <w:t>60</w:t>
            </w:r>
          </w:p>
        </w:tc>
        <w:tc>
          <w:tcPr>
            <w:tcW w:w="1212" w:type="dxa"/>
            <w:tcBorders>
              <w:top w:val="single" w:color="auto" w:sz="4" w:space="0"/>
              <w:left w:val="single" w:color="auto" w:sz="4" w:space="0"/>
              <w:bottom w:val="single" w:color="auto" w:sz="4" w:space="0"/>
              <w:right w:val="single" w:color="auto" w:sz="4" w:space="0"/>
            </w:tcBorders>
            <w:noWrap/>
            <w:vAlign w:val="center"/>
          </w:tcPr>
          <w:p w14:paraId="476627EF">
            <w:pPr>
              <w:pStyle w:val="28"/>
              <w:bidi w:val="0"/>
            </w:pPr>
            <w:r>
              <w:t>50</w:t>
            </w:r>
          </w:p>
        </w:tc>
      </w:tr>
      <w:tr w14:paraId="51F04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405F2F3B">
            <w:pPr>
              <w:pStyle w:val="28"/>
              <w:bidi w:val="0"/>
            </w:pPr>
            <w:r>
              <w:rPr>
                <w:rFonts w:hint="eastAsia"/>
              </w:rPr>
              <w:t>N46</w:t>
            </w:r>
          </w:p>
        </w:tc>
        <w:tc>
          <w:tcPr>
            <w:tcW w:w="1580" w:type="dxa"/>
            <w:tcBorders>
              <w:top w:val="single" w:color="auto" w:sz="4" w:space="0"/>
              <w:left w:val="single" w:color="auto" w:sz="4" w:space="0"/>
              <w:bottom w:val="single" w:color="auto" w:sz="4" w:space="0"/>
              <w:right w:val="single" w:color="auto" w:sz="4" w:space="0"/>
            </w:tcBorders>
            <w:vAlign w:val="center"/>
          </w:tcPr>
          <w:p w14:paraId="687FC0F1">
            <w:pPr>
              <w:pStyle w:val="28"/>
              <w:bidi w:val="0"/>
            </w:pPr>
            <w:r>
              <w:rPr>
                <w:rFonts w:hint="eastAsia"/>
              </w:rPr>
              <w:t>刘庙村</w:t>
            </w:r>
          </w:p>
        </w:tc>
        <w:tc>
          <w:tcPr>
            <w:tcW w:w="1218" w:type="dxa"/>
            <w:tcBorders>
              <w:top w:val="single" w:color="auto" w:sz="4" w:space="0"/>
              <w:left w:val="single" w:color="auto" w:sz="4" w:space="0"/>
              <w:bottom w:val="single" w:color="auto" w:sz="4" w:space="0"/>
              <w:right w:val="single" w:color="auto" w:sz="4" w:space="0"/>
            </w:tcBorders>
          </w:tcPr>
          <w:p w14:paraId="3E1E87B0">
            <w:pPr>
              <w:pStyle w:val="28"/>
              <w:bidi w:val="0"/>
            </w:pPr>
            <w:r>
              <w:t>49.3</w:t>
            </w:r>
          </w:p>
        </w:tc>
        <w:tc>
          <w:tcPr>
            <w:tcW w:w="1218" w:type="dxa"/>
            <w:tcBorders>
              <w:top w:val="single" w:color="auto" w:sz="4" w:space="0"/>
              <w:left w:val="single" w:color="auto" w:sz="4" w:space="0"/>
              <w:bottom w:val="single" w:color="auto" w:sz="4" w:space="0"/>
              <w:right w:val="single" w:color="auto" w:sz="4" w:space="0"/>
            </w:tcBorders>
          </w:tcPr>
          <w:p w14:paraId="3AC12E83">
            <w:pPr>
              <w:pStyle w:val="28"/>
              <w:bidi w:val="0"/>
            </w:pPr>
            <w:r>
              <w:t>39.3</w:t>
            </w:r>
          </w:p>
        </w:tc>
        <w:tc>
          <w:tcPr>
            <w:tcW w:w="1218" w:type="dxa"/>
            <w:tcBorders>
              <w:top w:val="single" w:color="auto" w:sz="4" w:space="0"/>
              <w:left w:val="single" w:color="auto" w:sz="4" w:space="0"/>
              <w:bottom w:val="single" w:color="auto" w:sz="4" w:space="0"/>
              <w:right w:val="single" w:color="auto" w:sz="4" w:space="0"/>
            </w:tcBorders>
          </w:tcPr>
          <w:p w14:paraId="3E13EAF5">
            <w:pPr>
              <w:pStyle w:val="28"/>
              <w:bidi w:val="0"/>
            </w:pPr>
            <w:r>
              <w:t>49.5</w:t>
            </w:r>
          </w:p>
        </w:tc>
        <w:tc>
          <w:tcPr>
            <w:tcW w:w="1222" w:type="dxa"/>
            <w:tcBorders>
              <w:top w:val="single" w:color="auto" w:sz="4" w:space="0"/>
              <w:left w:val="single" w:color="auto" w:sz="4" w:space="0"/>
              <w:bottom w:val="single" w:color="auto" w:sz="4" w:space="0"/>
              <w:right w:val="single" w:color="auto" w:sz="4" w:space="0"/>
            </w:tcBorders>
          </w:tcPr>
          <w:p w14:paraId="1B79D845">
            <w:pPr>
              <w:pStyle w:val="28"/>
              <w:bidi w:val="0"/>
            </w:pPr>
            <w:r>
              <w:t>43.8</w:t>
            </w:r>
          </w:p>
        </w:tc>
        <w:tc>
          <w:tcPr>
            <w:tcW w:w="1218" w:type="dxa"/>
            <w:tcBorders>
              <w:top w:val="single" w:color="auto" w:sz="4" w:space="0"/>
              <w:left w:val="single" w:color="auto" w:sz="4" w:space="0"/>
              <w:bottom w:val="single" w:color="auto" w:sz="4" w:space="0"/>
              <w:right w:val="single" w:color="auto" w:sz="4" w:space="0"/>
            </w:tcBorders>
            <w:noWrap/>
            <w:vAlign w:val="center"/>
          </w:tcPr>
          <w:p w14:paraId="38D8320A">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5F342E33">
            <w:pPr>
              <w:pStyle w:val="28"/>
              <w:bidi w:val="0"/>
            </w:pPr>
            <w:r>
              <w:t>45</w:t>
            </w:r>
          </w:p>
        </w:tc>
      </w:tr>
      <w:tr w14:paraId="636A18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5F32098E">
            <w:pPr>
              <w:pStyle w:val="28"/>
              <w:bidi w:val="0"/>
            </w:pPr>
            <w:r>
              <w:rPr>
                <w:rFonts w:hint="eastAsia"/>
              </w:rPr>
              <w:t>N47</w:t>
            </w:r>
          </w:p>
        </w:tc>
        <w:tc>
          <w:tcPr>
            <w:tcW w:w="1580" w:type="dxa"/>
            <w:tcBorders>
              <w:top w:val="single" w:color="auto" w:sz="4" w:space="0"/>
              <w:left w:val="single" w:color="auto" w:sz="4" w:space="0"/>
              <w:bottom w:val="single" w:color="auto" w:sz="4" w:space="0"/>
              <w:right w:val="single" w:color="auto" w:sz="4" w:space="0"/>
            </w:tcBorders>
            <w:vAlign w:val="center"/>
          </w:tcPr>
          <w:p w14:paraId="0266A27D">
            <w:pPr>
              <w:pStyle w:val="28"/>
              <w:bidi w:val="0"/>
            </w:pPr>
            <w:r>
              <w:rPr>
                <w:rFonts w:hint="eastAsia"/>
              </w:rPr>
              <w:t>刘大郢</w:t>
            </w:r>
          </w:p>
        </w:tc>
        <w:tc>
          <w:tcPr>
            <w:tcW w:w="1218" w:type="dxa"/>
            <w:tcBorders>
              <w:top w:val="single" w:color="auto" w:sz="4" w:space="0"/>
              <w:left w:val="single" w:color="auto" w:sz="4" w:space="0"/>
              <w:bottom w:val="single" w:color="auto" w:sz="4" w:space="0"/>
              <w:right w:val="single" w:color="auto" w:sz="4" w:space="0"/>
            </w:tcBorders>
          </w:tcPr>
          <w:p w14:paraId="3DB35E54">
            <w:pPr>
              <w:pStyle w:val="28"/>
              <w:bidi w:val="0"/>
            </w:pPr>
            <w:r>
              <w:t>47.4</w:t>
            </w:r>
          </w:p>
        </w:tc>
        <w:tc>
          <w:tcPr>
            <w:tcW w:w="1218" w:type="dxa"/>
            <w:tcBorders>
              <w:top w:val="single" w:color="auto" w:sz="4" w:space="0"/>
              <w:left w:val="single" w:color="auto" w:sz="4" w:space="0"/>
              <w:bottom w:val="single" w:color="auto" w:sz="4" w:space="0"/>
              <w:right w:val="single" w:color="auto" w:sz="4" w:space="0"/>
            </w:tcBorders>
          </w:tcPr>
          <w:p w14:paraId="04D81C34">
            <w:pPr>
              <w:pStyle w:val="28"/>
              <w:bidi w:val="0"/>
            </w:pPr>
            <w:r>
              <w:t>38.6</w:t>
            </w:r>
          </w:p>
        </w:tc>
        <w:tc>
          <w:tcPr>
            <w:tcW w:w="1218" w:type="dxa"/>
            <w:tcBorders>
              <w:top w:val="single" w:color="auto" w:sz="4" w:space="0"/>
              <w:left w:val="single" w:color="auto" w:sz="4" w:space="0"/>
              <w:bottom w:val="single" w:color="auto" w:sz="4" w:space="0"/>
              <w:right w:val="single" w:color="auto" w:sz="4" w:space="0"/>
            </w:tcBorders>
          </w:tcPr>
          <w:p w14:paraId="71DE8A71">
            <w:pPr>
              <w:pStyle w:val="28"/>
              <w:bidi w:val="0"/>
            </w:pPr>
            <w:r>
              <w:t>49.7</w:t>
            </w:r>
          </w:p>
        </w:tc>
        <w:tc>
          <w:tcPr>
            <w:tcW w:w="1222" w:type="dxa"/>
            <w:tcBorders>
              <w:top w:val="single" w:color="auto" w:sz="4" w:space="0"/>
              <w:left w:val="single" w:color="auto" w:sz="4" w:space="0"/>
              <w:bottom w:val="single" w:color="auto" w:sz="4" w:space="0"/>
              <w:right w:val="single" w:color="auto" w:sz="4" w:space="0"/>
            </w:tcBorders>
          </w:tcPr>
          <w:p w14:paraId="37C88D10">
            <w:pPr>
              <w:pStyle w:val="28"/>
              <w:bidi w:val="0"/>
            </w:pPr>
            <w:r>
              <w:t>40.4</w:t>
            </w:r>
          </w:p>
        </w:tc>
        <w:tc>
          <w:tcPr>
            <w:tcW w:w="1218" w:type="dxa"/>
            <w:tcBorders>
              <w:top w:val="single" w:color="auto" w:sz="4" w:space="0"/>
              <w:left w:val="single" w:color="auto" w:sz="4" w:space="0"/>
              <w:bottom w:val="single" w:color="auto" w:sz="4" w:space="0"/>
              <w:right w:val="single" w:color="auto" w:sz="4" w:space="0"/>
            </w:tcBorders>
            <w:noWrap/>
            <w:vAlign w:val="center"/>
          </w:tcPr>
          <w:p w14:paraId="3849E1A9">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45C9ABCF">
            <w:pPr>
              <w:pStyle w:val="28"/>
              <w:bidi w:val="0"/>
            </w:pPr>
            <w:r>
              <w:t>45</w:t>
            </w:r>
          </w:p>
        </w:tc>
      </w:tr>
      <w:tr w14:paraId="6A0A9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594A3DE9">
            <w:pPr>
              <w:pStyle w:val="28"/>
              <w:bidi w:val="0"/>
            </w:pPr>
            <w:r>
              <w:rPr>
                <w:rFonts w:hint="eastAsia"/>
              </w:rPr>
              <w:t>N48</w:t>
            </w:r>
          </w:p>
        </w:tc>
        <w:tc>
          <w:tcPr>
            <w:tcW w:w="1580" w:type="dxa"/>
            <w:tcBorders>
              <w:top w:val="single" w:color="auto" w:sz="4" w:space="0"/>
              <w:left w:val="single" w:color="auto" w:sz="4" w:space="0"/>
              <w:bottom w:val="single" w:color="auto" w:sz="4" w:space="0"/>
              <w:right w:val="single" w:color="auto" w:sz="4" w:space="0"/>
            </w:tcBorders>
            <w:vAlign w:val="center"/>
          </w:tcPr>
          <w:p w14:paraId="7943C375">
            <w:pPr>
              <w:pStyle w:val="28"/>
              <w:bidi w:val="0"/>
            </w:pPr>
            <w:r>
              <w:rPr>
                <w:rFonts w:hint="eastAsia"/>
              </w:rPr>
              <w:t>刘龙集</w:t>
            </w:r>
          </w:p>
        </w:tc>
        <w:tc>
          <w:tcPr>
            <w:tcW w:w="1218" w:type="dxa"/>
            <w:tcBorders>
              <w:top w:val="single" w:color="auto" w:sz="4" w:space="0"/>
              <w:left w:val="single" w:color="auto" w:sz="4" w:space="0"/>
              <w:bottom w:val="single" w:color="auto" w:sz="4" w:space="0"/>
              <w:right w:val="single" w:color="auto" w:sz="4" w:space="0"/>
            </w:tcBorders>
          </w:tcPr>
          <w:p w14:paraId="0CA39EA3">
            <w:pPr>
              <w:pStyle w:val="28"/>
              <w:bidi w:val="0"/>
            </w:pPr>
            <w:r>
              <w:t>48.4</w:t>
            </w:r>
          </w:p>
        </w:tc>
        <w:tc>
          <w:tcPr>
            <w:tcW w:w="1218" w:type="dxa"/>
            <w:tcBorders>
              <w:top w:val="single" w:color="auto" w:sz="4" w:space="0"/>
              <w:left w:val="single" w:color="auto" w:sz="4" w:space="0"/>
              <w:bottom w:val="single" w:color="auto" w:sz="4" w:space="0"/>
              <w:right w:val="single" w:color="auto" w:sz="4" w:space="0"/>
            </w:tcBorders>
          </w:tcPr>
          <w:p w14:paraId="30DB3640">
            <w:pPr>
              <w:pStyle w:val="28"/>
              <w:bidi w:val="0"/>
            </w:pPr>
            <w:r>
              <w:t>40.3</w:t>
            </w:r>
          </w:p>
        </w:tc>
        <w:tc>
          <w:tcPr>
            <w:tcW w:w="1218" w:type="dxa"/>
            <w:tcBorders>
              <w:top w:val="single" w:color="auto" w:sz="4" w:space="0"/>
              <w:left w:val="single" w:color="auto" w:sz="4" w:space="0"/>
              <w:bottom w:val="single" w:color="auto" w:sz="4" w:space="0"/>
              <w:right w:val="single" w:color="auto" w:sz="4" w:space="0"/>
            </w:tcBorders>
          </w:tcPr>
          <w:p w14:paraId="6A6F93AA">
            <w:pPr>
              <w:pStyle w:val="28"/>
              <w:bidi w:val="0"/>
            </w:pPr>
            <w:r>
              <w:t>49.8</w:t>
            </w:r>
          </w:p>
        </w:tc>
        <w:tc>
          <w:tcPr>
            <w:tcW w:w="1222" w:type="dxa"/>
            <w:tcBorders>
              <w:top w:val="single" w:color="auto" w:sz="4" w:space="0"/>
              <w:left w:val="single" w:color="auto" w:sz="4" w:space="0"/>
              <w:bottom w:val="single" w:color="auto" w:sz="4" w:space="0"/>
              <w:right w:val="single" w:color="auto" w:sz="4" w:space="0"/>
            </w:tcBorders>
          </w:tcPr>
          <w:p w14:paraId="448CBBAB">
            <w:pPr>
              <w:pStyle w:val="28"/>
              <w:bidi w:val="0"/>
            </w:pPr>
            <w:r>
              <w:t>38.3</w:t>
            </w:r>
          </w:p>
        </w:tc>
        <w:tc>
          <w:tcPr>
            <w:tcW w:w="1218" w:type="dxa"/>
            <w:tcBorders>
              <w:top w:val="single" w:color="auto" w:sz="4" w:space="0"/>
              <w:left w:val="single" w:color="auto" w:sz="4" w:space="0"/>
              <w:bottom w:val="single" w:color="auto" w:sz="4" w:space="0"/>
              <w:right w:val="single" w:color="auto" w:sz="4" w:space="0"/>
            </w:tcBorders>
            <w:noWrap/>
            <w:vAlign w:val="center"/>
          </w:tcPr>
          <w:p w14:paraId="68876E4E">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675B5C8B">
            <w:pPr>
              <w:pStyle w:val="28"/>
              <w:bidi w:val="0"/>
            </w:pPr>
            <w:r>
              <w:t>45</w:t>
            </w:r>
          </w:p>
        </w:tc>
      </w:tr>
      <w:tr w14:paraId="4638B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58D42AD5">
            <w:pPr>
              <w:pStyle w:val="28"/>
              <w:bidi w:val="0"/>
            </w:pPr>
            <w:r>
              <w:rPr>
                <w:rFonts w:hint="eastAsia"/>
              </w:rPr>
              <w:t>N49</w:t>
            </w:r>
          </w:p>
        </w:tc>
        <w:tc>
          <w:tcPr>
            <w:tcW w:w="1580" w:type="dxa"/>
            <w:tcBorders>
              <w:top w:val="single" w:color="auto" w:sz="4" w:space="0"/>
              <w:left w:val="single" w:color="auto" w:sz="4" w:space="0"/>
              <w:bottom w:val="single" w:color="auto" w:sz="4" w:space="0"/>
              <w:right w:val="single" w:color="auto" w:sz="4" w:space="0"/>
            </w:tcBorders>
            <w:vAlign w:val="center"/>
          </w:tcPr>
          <w:p w14:paraId="68CC278D">
            <w:pPr>
              <w:pStyle w:val="28"/>
              <w:bidi w:val="0"/>
            </w:pPr>
            <w:r>
              <w:rPr>
                <w:rFonts w:hint="eastAsia"/>
              </w:rPr>
              <w:t>堆坊村</w:t>
            </w:r>
          </w:p>
        </w:tc>
        <w:tc>
          <w:tcPr>
            <w:tcW w:w="1218" w:type="dxa"/>
            <w:tcBorders>
              <w:top w:val="single" w:color="auto" w:sz="4" w:space="0"/>
              <w:left w:val="single" w:color="auto" w:sz="4" w:space="0"/>
              <w:bottom w:val="single" w:color="auto" w:sz="4" w:space="0"/>
              <w:right w:val="single" w:color="auto" w:sz="4" w:space="0"/>
            </w:tcBorders>
          </w:tcPr>
          <w:p w14:paraId="044EB7FD">
            <w:pPr>
              <w:pStyle w:val="28"/>
              <w:bidi w:val="0"/>
            </w:pPr>
            <w:r>
              <w:t>44.6</w:t>
            </w:r>
          </w:p>
        </w:tc>
        <w:tc>
          <w:tcPr>
            <w:tcW w:w="1218" w:type="dxa"/>
            <w:tcBorders>
              <w:top w:val="single" w:color="auto" w:sz="4" w:space="0"/>
              <w:left w:val="single" w:color="auto" w:sz="4" w:space="0"/>
              <w:bottom w:val="single" w:color="auto" w:sz="4" w:space="0"/>
              <w:right w:val="single" w:color="auto" w:sz="4" w:space="0"/>
            </w:tcBorders>
          </w:tcPr>
          <w:p w14:paraId="39252E57">
            <w:pPr>
              <w:pStyle w:val="28"/>
              <w:bidi w:val="0"/>
            </w:pPr>
            <w:r>
              <w:t>38.1</w:t>
            </w:r>
          </w:p>
        </w:tc>
        <w:tc>
          <w:tcPr>
            <w:tcW w:w="1218" w:type="dxa"/>
            <w:tcBorders>
              <w:top w:val="single" w:color="auto" w:sz="4" w:space="0"/>
              <w:left w:val="single" w:color="auto" w:sz="4" w:space="0"/>
              <w:bottom w:val="single" w:color="auto" w:sz="4" w:space="0"/>
              <w:right w:val="single" w:color="auto" w:sz="4" w:space="0"/>
            </w:tcBorders>
          </w:tcPr>
          <w:p w14:paraId="4BC13E5A">
            <w:pPr>
              <w:pStyle w:val="28"/>
              <w:bidi w:val="0"/>
            </w:pPr>
            <w:r>
              <w:t>50.9</w:t>
            </w:r>
          </w:p>
        </w:tc>
        <w:tc>
          <w:tcPr>
            <w:tcW w:w="1222" w:type="dxa"/>
            <w:tcBorders>
              <w:top w:val="single" w:color="auto" w:sz="4" w:space="0"/>
              <w:left w:val="single" w:color="auto" w:sz="4" w:space="0"/>
              <w:bottom w:val="single" w:color="auto" w:sz="4" w:space="0"/>
              <w:right w:val="single" w:color="auto" w:sz="4" w:space="0"/>
            </w:tcBorders>
          </w:tcPr>
          <w:p w14:paraId="4C0AC190">
            <w:pPr>
              <w:pStyle w:val="28"/>
              <w:bidi w:val="0"/>
            </w:pPr>
            <w:r>
              <w:t>38.3</w:t>
            </w:r>
          </w:p>
        </w:tc>
        <w:tc>
          <w:tcPr>
            <w:tcW w:w="1218" w:type="dxa"/>
            <w:tcBorders>
              <w:top w:val="single" w:color="auto" w:sz="4" w:space="0"/>
              <w:left w:val="single" w:color="auto" w:sz="4" w:space="0"/>
              <w:bottom w:val="single" w:color="auto" w:sz="4" w:space="0"/>
              <w:right w:val="single" w:color="auto" w:sz="4" w:space="0"/>
            </w:tcBorders>
            <w:noWrap/>
            <w:vAlign w:val="center"/>
          </w:tcPr>
          <w:p w14:paraId="4A744D3C">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1178B4D5">
            <w:pPr>
              <w:pStyle w:val="28"/>
              <w:bidi w:val="0"/>
            </w:pPr>
            <w:r>
              <w:t>45</w:t>
            </w:r>
          </w:p>
        </w:tc>
      </w:tr>
      <w:tr w14:paraId="252D1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34A34F78">
            <w:pPr>
              <w:pStyle w:val="28"/>
              <w:bidi w:val="0"/>
            </w:pPr>
            <w:r>
              <w:rPr>
                <w:rFonts w:hint="eastAsia"/>
              </w:rPr>
              <w:t>N50</w:t>
            </w:r>
          </w:p>
        </w:tc>
        <w:tc>
          <w:tcPr>
            <w:tcW w:w="1580" w:type="dxa"/>
            <w:tcBorders>
              <w:top w:val="single" w:color="auto" w:sz="4" w:space="0"/>
              <w:left w:val="single" w:color="auto" w:sz="4" w:space="0"/>
              <w:bottom w:val="single" w:color="auto" w:sz="4" w:space="0"/>
              <w:right w:val="single" w:color="auto" w:sz="4" w:space="0"/>
            </w:tcBorders>
            <w:vAlign w:val="center"/>
          </w:tcPr>
          <w:p w14:paraId="446A1DA6">
            <w:pPr>
              <w:pStyle w:val="28"/>
              <w:bidi w:val="0"/>
            </w:pPr>
            <w:r>
              <w:rPr>
                <w:rFonts w:hint="eastAsia"/>
              </w:rPr>
              <w:t>小邓郢</w:t>
            </w:r>
          </w:p>
        </w:tc>
        <w:tc>
          <w:tcPr>
            <w:tcW w:w="1218" w:type="dxa"/>
            <w:tcBorders>
              <w:top w:val="single" w:color="auto" w:sz="4" w:space="0"/>
              <w:left w:val="single" w:color="auto" w:sz="4" w:space="0"/>
              <w:bottom w:val="single" w:color="auto" w:sz="4" w:space="0"/>
              <w:right w:val="single" w:color="auto" w:sz="4" w:space="0"/>
            </w:tcBorders>
          </w:tcPr>
          <w:p w14:paraId="00BA4FC1">
            <w:pPr>
              <w:pStyle w:val="28"/>
              <w:bidi w:val="0"/>
            </w:pPr>
            <w:r>
              <w:t>48.6</w:t>
            </w:r>
          </w:p>
        </w:tc>
        <w:tc>
          <w:tcPr>
            <w:tcW w:w="1218" w:type="dxa"/>
            <w:tcBorders>
              <w:top w:val="single" w:color="auto" w:sz="4" w:space="0"/>
              <w:left w:val="single" w:color="auto" w:sz="4" w:space="0"/>
              <w:bottom w:val="single" w:color="auto" w:sz="4" w:space="0"/>
              <w:right w:val="single" w:color="auto" w:sz="4" w:space="0"/>
            </w:tcBorders>
          </w:tcPr>
          <w:p w14:paraId="00AF683B">
            <w:pPr>
              <w:pStyle w:val="28"/>
              <w:bidi w:val="0"/>
            </w:pPr>
            <w:r>
              <w:t>37.1</w:t>
            </w:r>
          </w:p>
        </w:tc>
        <w:tc>
          <w:tcPr>
            <w:tcW w:w="1218" w:type="dxa"/>
            <w:tcBorders>
              <w:top w:val="single" w:color="auto" w:sz="4" w:space="0"/>
              <w:left w:val="single" w:color="auto" w:sz="4" w:space="0"/>
              <w:bottom w:val="single" w:color="auto" w:sz="4" w:space="0"/>
              <w:right w:val="single" w:color="auto" w:sz="4" w:space="0"/>
            </w:tcBorders>
          </w:tcPr>
          <w:p w14:paraId="2CA517E8">
            <w:pPr>
              <w:pStyle w:val="28"/>
              <w:bidi w:val="0"/>
            </w:pPr>
            <w:r>
              <w:t>48.7</w:t>
            </w:r>
          </w:p>
        </w:tc>
        <w:tc>
          <w:tcPr>
            <w:tcW w:w="1222" w:type="dxa"/>
            <w:tcBorders>
              <w:top w:val="single" w:color="auto" w:sz="4" w:space="0"/>
              <w:left w:val="single" w:color="auto" w:sz="4" w:space="0"/>
              <w:bottom w:val="single" w:color="auto" w:sz="4" w:space="0"/>
              <w:right w:val="single" w:color="auto" w:sz="4" w:space="0"/>
            </w:tcBorders>
          </w:tcPr>
          <w:p w14:paraId="4BDB11C8">
            <w:pPr>
              <w:pStyle w:val="28"/>
              <w:bidi w:val="0"/>
            </w:pPr>
            <w:r>
              <w:t>39.4</w:t>
            </w:r>
          </w:p>
        </w:tc>
        <w:tc>
          <w:tcPr>
            <w:tcW w:w="1218" w:type="dxa"/>
            <w:tcBorders>
              <w:top w:val="single" w:color="auto" w:sz="4" w:space="0"/>
              <w:left w:val="single" w:color="auto" w:sz="4" w:space="0"/>
              <w:bottom w:val="single" w:color="auto" w:sz="4" w:space="0"/>
              <w:right w:val="single" w:color="auto" w:sz="4" w:space="0"/>
            </w:tcBorders>
            <w:noWrap/>
            <w:vAlign w:val="center"/>
          </w:tcPr>
          <w:p w14:paraId="5EE2B9DC">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019C4F8A">
            <w:pPr>
              <w:pStyle w:val="28"/>
              <w:bidi w:val="0"/>
            </w:pPr>
            <w:r>
              <w:t>45</w:t>
            </w:r>
          </w:p>
        </w:tc>
      </w:tr>
      <w:tr w14:paraId="3024F5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9" w:type="pct"/>
            <w:tcBorders>
              <w:top w:val="single" w:color="auto" w:sz="4" w:space="0"/>
              <w:left w:val="single" w:color="auto" w:sz="4" w:space="0"/>
              <w:bottom w:val="single" w:color="auto" w:sz="4" w:space="0"/>
              <w:right w:val="single" w:color="auto" w:sz="4" w:space="0"/>
            </w:tcBorders>
            <w:vAlign w:val="center"/>
          </w:tcPr>
          <w:p w14:paraId="547FE2AA">
            <w:pPr>
              <w:pStyle w:val="28"/>
              <w:bidi w:val="0"/>
            </w:pPr>
            <w:r>
              <w:rPr>
                <w:rFonts w:hint="eastAsia"/>
              </w:rPr>
              <w:t>N51</w:t>
            </w:r>
          </w:p>
        </w:tc>
        <w:tc>
          <w:tcPr>
            <w:tcW w:w="1580" w:type="dxa"/>
            <w:tcBorders>
              <w:top w:val="single" w:color="auto" w:sz="4" w:space="0"/>
              <w:left w:val="single" w:color="auto" w:sz="4" w:space="0"/>
              <w:bottom w:val="single" w:color="auto" w:sz="4" w:space="0"/>
              <w:right w:val="single" w:color="auto" w:sz="4" w:space="0"/>
            </w:tcBorders>
            <w:vAlign w:val="center"/>
          </w:tcPr>
          <w:p w14:paraId="08679F9D">
            <w:pPr>
              <w:pStyle w:val="28"/>
              <w:bidi w:val="0"/>
            </w:pPr>
            <w:r>
              <w:rPr>
                <w:rFonts w:hint="eastAsia"/>
              </w:rPr>
              <w:t>堆眼</w:t>
            </w:r>
          </w:p>
        </w:tc>
        <w:tc>
          <w:tcPr>
            <w:tcW w:w="1218" w:type="dxa"/>
            <w:tcBorders>
              <w:top w:val="single" w:color="auto" w:sz="4" w:space="0"/>
              <w:left w:val="single" w:color="auto" w:sz="4" w:space="0"/>
              <w:bottom w:val="single" w:color="auto" w:sz="4" w:space="0"/>
              <w:right w:val="single" w:color="auto" w:sz="4" w:space="0"/>
            </w:tcBorders>
          </w:tcPr>
          <w:p w14:paraId="57D56AA3">
            <w:pPr>
              <w:pStyle w:val="28"/>
              <w:bidi w:val="0"/>
            </w:pPr>
            <w:r>
              <w:t>46.5</w:t>
            </w:r>
          </w:p>
        </w:tc>
        <w:tc>
          <w:tcPr>
            <w:tcW w:w="1218" w:type="dxa"/>
            <w:tcBorders>
              <w:top w:val="single" w:color="auto" w:sz="4" w:space="0"/>
              <w:left w:val="single" w:color="auto" w:sz="4" w:space="0"/>
              <w:bottom w:val="single" w:color="auto" w:sz="4" w:space="0"/>
              <w:right w:val="single" w:color="auto" w:sz="4" w:space="0"/>
            </w:tcBorders>
          </w:tcPr>
          <w:p w14:paraId="2992BC18">
            <w:pPr>
              <w:pStyle w:val="28"/>
              <w:bidi w:val="0"/>
            </w:pPr>
            <w:r>
              <w:t>36.3</w:t>
            </w:r>
          </w:p>
        </w:tc>
        <w:tc>
          <w:tcPr>
            <w:tcW w:w="1218" w:type="dxa"/>
            <w:tcBorders>
              <w:top w:val="single" w:color="auto" w:sz="4" w:space="0"/>
              <w:left w:val="single" w:color="auto" w:sz="4" w:space="0"/>
              <w:bottom w:val="single" w:color="auto" w:sz="4" w:space="0"/>
              <w:right w:val="single" w:color="auto" w:sz="4" w:space="0"/>
            </w:tcBorders>
          </w:tcPr>
          <w:p w14:paraId="7F2A0BC4">
            <w:pPr>
              <w:pStyle w:val="28"/>
              <w:bidi w:val="0"/>
            </w:pPr>
            <w:r>
              <w:t>50.2</w:t>
            </w:r>
          </w:p>
        </w:tc>
        <w:tc>
          <w:tcPr>
            <w:tcW w:w="1222" w:type="dxa"/>
            <w:tcBorders>
              <w:top w:val="single" w:color="auto" w:sz="4" w:space="0"/>
              <w:left w:val="single" w:color="auto" w:sz="4" w:space="0"/>
              <w:bottom w:val="single" w:color="auto" w:sz="4" w:space="0"/>
              <w:right w:val="single" w:color="auto" w:sz="4" w:space="0"/>
            </w:tcBorders>
          </w:tcPr>
          <w:p w14:paraId="5E1227E8">
            <w:pPr>
              <w:pStyle w:val="28"/>
              <w:bidi w:val="0"/>
            </w:pPr>
            <w:r>
              <w:t>36.6</w:t>
            </w:r>
          </w:p>
        </w:tc>
        <w:tc>
          <w:tcPr>
            <w:tcW w:w="1218" w:type="dxa"/>
            <w:tcBorders>
              <w:top w:val="single" w:color="auto" w:sz="4" w:space="0"/>
              <w:left w:val="single" w:color="auto" w:sz="4" w:space="0"/>
              <w:bottom w:val="single" w:color="auto" w:sz="4" w:space="0"/>
              <w:right w:val="single" w:color="auto" w:sz="4" w:space="0"/>
            </w:tcBorders>
            <w:noWrap/>
            <w:vAlign w:val="center"/>
          </w:tcPr>
          <w:p w14:paraId="6D63CAB9">
            <w:pPr>
              <w:pStyle w:val="28"/>
              <w:bidi w:val="0"/>
            </w:pPr>
            <w:r>
              <w:t>55</w:t>
            </w:r>
          </w:p>
        </w:tc>
        <w:tc>
          <w:tcPr>
            <w:tcW w:w="1212" w:type="dxa"/>
            <w:tcBorders>
              <w:top w:val="single" w:color="auto" w:sz="4" w:space="0"/>
              <w:left w:val="single" w:color="auto" w:sz="4" w:space="0"/>
              <w:bottom w:val="single" w:color="auto" w:sz="4" w:space="0"/>
              <w:right w:val="single" w:color="auto" w:sz="4" w:space="0"/>
            </w:tcBorders>
            <w:noWrap/>
            <w:vAlign w:val="center"/>
          </w:tcPr>
          <w:p w14:paraId="6F06C047">
            <w:pPr>
              <w:pStyle w:val="28"/>
              <w:bidi w:val="0"/>
            </w:pPr>
            <w:r>
              <w:t>45</w:t>
            </w:r>
          </w:p>
        </w:tc>
      </w:tr>
    </w:tbl>
    <w:p w14:paraId="78875BC5">
      <w:pPr>
        <w:adjustRightInd w:val="0"/>
        <w:ind w:firstLine="480" w:firstLineChars="200"/>
        <w:textAlignment w:val="center"/>
        <w:rPr>
          <w:rFonts w:cs="Times New Roman"/>
          <w:snapToGrid w:val="0"/>
          <w:color w:val="0000FF"/>
        </w:rPr>
      </w:pPr>
      <w:r>
        <w:rPr>
          <w:rFonts w:cs="Times New Roman"/>
          <w:snapToGrid w:val="0"/>
        </w:rPr>
        <w:t>从</w:t>
      </w:r>
      <w:r>
        <w:rPr>
          <w:rFonts w:hint="eastAsia" w:cs="Times New Roman"/>
          <w:snapToGrid w:val="0"/>
        </w:rPr>
        <w:t>监测结果</w:t>
      </w:r>
      <w:r>
        <w:rPr>
          <w:rFonts w:cs="Times New Roman"/>
          <w:snapToGrid w:val="0"/>
        </w:rPr>
        <w:t>可以看出，</w:t>
      </w:r>
      <w:r>
        <w:rPr>
          <w:rFonts w:hint="eastAsia" w:cs="Times New Roman"/>
          <w:snapToGrid w:val="0"/>
        </w:rPr>
        <w:t>监测点N21</w:t>
      </w:r>
      <w:r>
        <w:rPr>
          <w:rFonts w:hint="eastAsia" w:cs="Times New Roman"/>
        </w:rPr>
        <w:t>前瓦村6月28日昼间监测值不满足</w:t>
      </w:r>
      <w:r>
        <w:rPr>
          <w:rFonts w:cs="Times New Roman"/>
        </w:rPr>
        <w:t>《声环境质量标准》（GB3096-2008）</w:t>
      </w:r>
      <w:r>
        <w:rPr>
          <w:rFonts w:cs="Times New Roman"/>
          <w:snapToGrid w:val="0"/>
        </w:rPr>
        <w:t>中的相应功能区标准要求</w:t>
      </w:r>
      <w:r>
        <w:rPr>
          <w:rFonts w:hint="eastAsia" w:cs="Times New Roman"/>
          <w:snapToGrid w:val="0"/>
        </w:rPr>
        <w:t>，其余</w:t>
      </w:r>
      <w:r>
        <w:rPr>
          <w:rFonts w:cs="Times New Roman"/>
          <w:snapToGrid w:val="0"/>
        </w:rPr>
        <w:t>各个监测点的昼、夜间噪声值均满足</w:t>
      </w:r>
      <w:r>
        <w:rPr>
          <w:rFonts w:cs="Times New Roman"/>
        </w:rPr>
        <w:t>《声环境质量标准》（GB3096-2008）</w:t>
      </w:r>
      <w:r>
        <w:rPr>
          <w:rFonts w:cs="Times New Roman"/>
          <w:snapToGrid w:val="0"/>
        </w:rPr>
        <w:t>中的相应功能区标准要求，区域声环境质量良好</w:t>
      </w:r>
      <w:r>
        <w:rPr>
          <w:rFonts w:cs="Times New Roman"/>
          <w:snapToGrid w:val="0"/>
          <w:color w:val="0000FF"/>
        </w:rPr>
        <w:t>。</w:t>
      </w:r>
    </w:p>
    <w:p w14:paraId="2E836089">
      <w:pPr>
        <w:pStyle w:val="4"/>
        <w:rPr>
          <w:rFonts w:cs="Times New Roman"/>
          <w:b/>
          <w:lang w:bidi="zh-CN"/>
        </w:rPr>
      </w:pPr>
      <w:r>
        <w:rPr>
          <w:rFonts w:cs="Times New Roman"/>
          <w:lang w:bidi="zh-CN"/>
        </w:rPr>
        <w:t>4.2.4 渠道底质现状调查与评价</w:t>
      </w:r>
    </w:p>
    <w:p w14:paraId="69F84D71">
      <w:pPr>
        <w:autoSpaceDE w:val="0"/>
        <w:autoSpaceDN w:val="0"/>
        <w:adjustRightInd w:val="0"/>
        <w:ind w:firstLine="480" w:firstLineChars="200"/>
        <w:textAlignment w:val="center"/>
        <w:rPr>
          <w:rFonts w:cs="Times New Roman"/>
          <w:bCs/>
        </w:rPr>
      </w:pPr>
      <w:r>
        <w:rPr>
          <w:rFonts w:cs="Times New Roman"/>
          <w:bCs/>
        </w:rPr>
        <w:t>（1）监测布点</w:t>
      </w:r>
    </w:p>
    <w:p w14:paraId="09A1DD07">
      <w:pPr>
        <w:autoSpaceDE w:val="0"/>
        <w:autoSpaceDN w:val="0"/>
        <w:adjustRightInd w:val="0"/>
        <w:ind w:firstLine="480" w:firstLineChars="200"/>
        <w:textAlignment w:val="center"/>
        <w:rPr>
          <w:rFonts w:cs="Times New Roman"/>
        </w:rPr>
      </w:pPr>
      <w:r>
        <w:rPr>
          <w:rFonts w:cs="Times New Roman"/>
        </w:rPr>
        <w:t>根据建设项目所涉及的地理位置及代表性，确定</w:t>
      </w:r>
      <w:r>
        <w:rPr>
          <w:rFonts w:hint="eastAsia" w:cs="Times New Roman"/>
        </w:rPr>
        <w:t>5</w:t>
      </w:r>
      <w:r>
        <w:rPr>
          <w:rFonts w:cs="Times New Roman"/>
        </w:rPr>
        <w:t>个监测断面为项目区底泥现状评价点，监测点位见下表。</w:t>
      </w:r>
    </w:p>
    <w:p w14:paraId="4D27F2E8">
      <w:pPr>
        <w:pStyle w:val="29"/>
        <w:bidi w:val="0"/>
      </w:pPr>
      <w:r>
        <w:t>表</w:t>
      </w:r>
      <w:r>
        <w:rPr>
          <w:rFonts w:hint="eastAsia"/>
          <w:lang w:eastAsia="zh-CN"/>
        </w:rPr>
        <w:t>4.2</w:t>
      </w:r>
      <w:r>
        <w:t>-</w:t>
      </w:r>
      <w:r>
        <w:rPr>
          <w:rFonts w:hint="eastAsia"/>
        </w:rPr>
        <w:t>12</w:t>
      </w:r>
      <w:r>
        <w:t xml:space="preserve">  渠道底泥监测点及位置一览表</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6"/>
        <w:gridCol w:w="1476"/>
        <w:gridCol w:w="2019"/>
        <w:gridCol w:w="1850"/>
        <w:gridCol w:w="1704"/>
        <w:gridCol w:w="1598"/>
      </w:tblGrid>
      <w:tr w14:paraId="62C9D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Merge w:val="restart"/>
            <w:noWrap/>
            <w:vAlign w:val="center"/>
          </w:tcPr>
          <w:p w14:paraId="0B6DFB47">
            <w:pPr>
              <w:pStyle w:val="28"/>
              <w:bidi w:val="0"/>
            </w:pPr>
            <w:r>
              <w:t>编号</w:t>
            </w:r>
          </w:p>
        </w:tc>
        <w:tc>
          <w:tcPr>
            <w:tcW w:w="692" w:type="pct"/>
            <w:vMerge w:val="restart"/>
            <w:noWrap/>
            <w:vAlign w:val="center"/>
          </w:tcPr>
          <w:p w14:paraId="0025ADBF">
            <w:pPr>
              <w:pStyle w:val="28"/>
              <w:bidi w:val="0"/>
            </w:pPr>
            <w:r>
              <w:t>渠道名称</w:t>
            </w:r>
          </w:p>
        </w:tc>
        <w:tc>
          <w:tcPr>
            <w:tcW w:w="1178" w:type="pct"/>
            <w:vMerge w:val="restart"/>
            <w:noWrap/>
            <w:vAlign w:val="center"/>
          </w:tcPr>
          <w:p w14:paraId="5A0046BC">
            <w:pPr>
              <w:pStyle w:val="28"/>
              <w:bidi w:val="0"/>
            </w:pPr>
            <w:r>
              <w:t>监测点</w:t>
            </w:r>
          </w:p>
        </w:tc>
        <w:tc>
          <w:tcPr>
            <w:tcW w:w="1049" w:type="pct"/>
            <w:vMerge w:val="restart"/>
            <w:noWrap/>
            <w:vAlign w:val="center"/>
          </w:tcPr>
          <w:p w14:paraId="4D675252">
            <w:pPr>
              <w:pStyle w:val="28"/>
              <w:bidi w:val="0"/>
            </w:pPr>
            <w:r>
              <w:t>点位描述</w:t>
            </w:r>
          </w:p>
        </w:tc>
        <w:tc>
          <w:tcPr>
            <w:tcW w:w="1720" w:type="pct"/>
            <w:gridSpan w:val="2"/>
            <w:noWrap/>
            <w:vAlign w:val="center"/>
          </w:tcPr>
          <w:p w14:paraId="2D59394B">
            <w:pPr>
              <w:pStyle w:val="28"/>
              <w:bidi w:val="0"/>
            </w:pPr>
            <w:r>
              <w:t>地理坐标</w:t>
            </w:r>
          </w:p>
        </w:tc>
      </w:tr>
      <w:tr w14:paraId="7CA36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vMerge w:val="continue"/>
            <w:noWrap/>
            <w:vAlign w:val="center"/>
          </w:tcPr>
          <w:p w14:paraId="4EDCB603">
            <w:pPr>
              <w:pStyle w:val="28"/>
              <w:bidi w:val="0"/>
            </w:pPr>
          </w:p>
        </w:tc>
        <w:tc>
          <w:tcPr>
            <w:tcW w:w="692" w:type="pct"/>
            <w:vMerge w:val="continue"/>
            <w:noWrap/>
            <w:vAlign w:val="center"/>
          </w:tcPr>
          <w:p w14:paraId="39791A80">
            <w:pPr>
              <w:pStyle w:val="28"/>
              <w:bidi w:val="0"/>
            </w:pPr>
          </w:p>
        </w:tc>
        <w:tc>
          <w:tcPr>
            <w:tcW w:w="1178" w:type="pct"/>
            <w:vMerge w:val="continue"/>
            <w:noWrap/>
            <w:vAlign w:val="center"/>
          </w:tcPr>
          <w:p w14:paraId="27149AB4">
            <w:pPr>
              <w:pStyle w:val="28"/>
              <w:bidi w:val="0"/>
            </w:pPr>
          </w:p>
        </w:tc>
        <w:tc>
          <w:tcPr>
            <w:tcW w:w="1049" w:type="pct"/>
            <w:vMerge w:val="continue"/>
            <w:noWrap/>
            <w:vAlign w:val="center"/>
          </w:tcPr>
          <w:p w14:paraId="6FC8A004">
            <w:pPr>
              <w:pStyle w:val="28"/>
              <w:bidi w:val="0"/>
            </w:pPr>
          </w:p>
        </w:tc>
        <w:tc>
          <w:tcPr>
            <w:tcW w:w="887" w:type="pct"/>
            <w:noWrap/>
            <w:vAlign w:val="center"/>
          </w:tcPr>
          <w:p w14:paraId="0AD4FC83">
            <w:pPr>
              <w:pStyle w:val="28"/>
              <w:bidi w:val="0"/>
            </w:pPr>
            <w:r>
              <w:t>经度</w:t>
            </w:r>
          </w:p>
        </w:tc>
        <w:tc>
          <w:tcPr>
            <w:tcW w:w="833" w:type="pct"/>
            <w:noWrap/>
            <w:vAlign w:val="center"/>
          </w:tcPr>
          <w:p w14:paraId="05F5F05A">
            <w:pPr>
              <w:pStyle w:val="28"/>
              <w:bidi w:val="0"/>
            </w:pPr>
            <w:r>
              <w:t>纬度</w:t>
            </w:r>
          </w:p>
        </w:tc>
      </w:tr>
      <w:tr w14:paraId="6FFA0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noWrap/>
            <w:vAlign w:val="center"/>
          </w:tcPr>
          <w:p w14:paraId="3F9A28D3">
            <w:pPr>
              <w:pStyle w:val="28"/>
              <w:bidi w:val="0"/>
            </w:pPr>
            <w:r>
              <w:t>S1</w:t>
            </w:r>
          </w:p>
        </w:tc>
        <w:tc>
          <w:tcPr>
            <w:tcW w:w="692" w:type="pct"/>
            <w:noWrap/>
            <w:vAlign w:val="center"/>
          </w:tcPr>
          <w:p w14:paraId="117036FC">
            <w:pPr>
              <w:pStyle w:val="28"/>
              <w:bidi w:val="0"/>
            </w:pPr>
            <w:r>
              <w:rPr>
                <w:rFonts w:hint="eastAsia"/>
              </w:rPr>
              <w:t>三北干渠下游</w:t>
            </w:r>
          </w:p>
        </w:tc>
        <w:tc>
          <w:tcPr>
            <w:tcW w:w="1178" w:type="pct"/>
            <w:noWrap/>
            <w:vAlign w:val="center"/>
          </w:tcPr>
          <w:p w14:paraId="12CA38C3">
            <w:pPr>
              <w:pStyle w:val="28"/>
              <w:bidi w:val="0"/>
            </w:pPr>
            <w:r>
              <w:rPr>
                <w:rFonts w:hint="eastAsia"/>
              </w:rPr>
              <w:t>板凳岗西侧</w:t>
            </w:r>
          </w:p>
        </w:tc>
        <w:tc>
          <w:tcPr>
            <w:tcW w:w="1049" w:type="pct"/>
            <w:noWrap/>
            <w:vAlign w:val="center"/>
          </w:tcPr>
          <w:p w14:paraId="20FB6C73">
            <w:pPr>
              <w:pStyle w:val="28"/>
              <w:bidi w:val="0"/>
            </w:pPr>
            <w:r>
              <w:t>清淤段</w:t>
            </w:r>
          </w:p>
        </w:tc>
        <w:tc>
          <w:tcPr>
            <w:tcW w:w="1704" w:type="dxa"/>
            <w:noWrap/>
            <w:vAlign w:val="center"/>
          </w:tcPr>
          <w:p w14:paraId="418C5C70">
            <w:pPr>
              <w:pStyle w:val="28"/>
              <w:bidi w:val="0"/>
            </w:pPr>
            <w:r>
              <w:t>116.97818323</w:t>
            </w:r>
          </w:p>
        </w:tc>
        <w:tc>
          <w:tcPr>
            <w:tcW w:w="1598" w:type="dxa"/>
            <w:noWrap/>
            <w:vAlign w:val="center"/>
          </w:tcPr>
          <w:p w14:paraId="25D402EA">
            <w:pPr>
              <w:pStyle w:val="28"/>
              <w:bidi w:val="0"/>
            </w:pPr>
            <w:r>
              <w:t>32.53217356</w:t>
            </w:r>
          </w:p>
        </w:tc>
      </w:tr>
      <w:tr w14:paraId="57EB7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noWrap/>
            <w:vAlign w:val="center"/>
          </w:tcPr>
          <w:p w14:paraId="7C0EC34B">
            <w:pPr>
              <w:pStyle w:val="28"/>
              <w:bidi w:val="0"/>
            </w:pPr>
            <w:r>
              <w:t>S2</w:t>
            </w:r>
          </w:p>
        </w:tc>
        <w:tc>
          <w:tcPr>
            <w:tcW w:w="692" w:type="pct"/>
            <w:noWrap/>
            <w:vAlign w:val="center"/>
          </w:tcPr>
          <w:p w14:paraId="77704414">
            <w:pPr>
              <w:pStyle w:val="28"/>
              <w:bidi w:val="0"/>
            </w:pPr>
            <w:r>
              <w:rPr>
                <w:rFonts w:hint="eastAsia"/>
              </w:rPr>
              <w:t>染坊支渠上游</w:t>
            </w:r>
          </w:p>
        </w:tc>
        <w:tc>
          <w:tcPr>
            <w:tcW w:w="1178" w:type="pct"/>
            <w:noWrap/>
            <w:vAlign w:val="center"/>
          </w:tcPr>
          <w:p w14:paraId="03BC836D">
            <w:pPr>
              <w:pStyle w:val="28"/>
              <w:bidi w:val="0"/>
            </w:pPr>
            <w:r>
              <w:rPr>
                <w:rFonts w:hint="eastAsia"/>
              </w:rPr>
              <w:t>染坊郢西侧</w:t>
            </w:r>
          </w:p>
        </w:tc>
        <w:tc>
          <w:tcPr>
            <w:tcW w:w="1049" w:type="pct"/>
            <w:noWrap/>
            <w:vAlign w:val="center"/>
          </w:tcPr>
          <w:p w14:paraId="01762E4A">
            <w:pPr>
              <w:pStyle w:val="28"/>
              <w:bidi w:val="0"/>
            </w:pPr>
            <w:r>
              <w:t>清淤段</w:t>
            </w:r>
          </w:p>
        </w:tc>
        <w:tc>
          <w:tcPr>
            <w:tcW w:w="1704" w:type="dxa"/>
            <w:noWrap/>
            <w:vAlign w:val="center"/>
          </w:tcPr>
          <w:p w14:paraId="12DB188E">
            <w:pPr>
              <w:pStyle w:val="28"/>
              <w:bidi w:val="0"/>
            </w:pPr>
            <w:r>
              <w:t>116.95817586</w:t>
            </w:r>
          </w:p>
        </w:tc>
        <w:tc>
          <w:tcPr>
            <w:tcW w:w="1598" w:type="dxa"/>
            <w:noWrap/>
            <w:vAlign w:val="center"/>
          </w:tcPr>
          <w:p w14:paraId="6DF10BD1">
            <w:pPr>
              <w:pStyle w:val="28"/>
              <w:bidi w:val="0"/>
            </w:pPr>
            <w:r>
              <w:t>32.48777315</w:t>
            </w:r>
          </w:p>
        </w:tc>
      </w:tr>
      <w:tr w14:paraId="30DEA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noWrap/>
            <w:vAlign w:val="center"/>
          </w:tcPr>
          <w:p w14:paraId="612AED3C">
            <w:pPr>
              <w:pStyle w:val="28"/>
              <w:bidi w:val="0"/>
            </w:pPr>
            <w:r>
              <w:t>S3</w:t>
            </w:r>
          </w:p>
        </w:tc>
        <w:tc>
          <w:tcPr>
            <w:tcW w:w="692" w:type="pct"/>
            <w:noWrap/>
            <w:vAlign w:val="center"/>
          </w:tcPr>
          <w:p w14:paraId="77022283">
            <w:pPr>
              <w:pStyle w:val="28"/>
              <w:bidi w:val="0"/>
            </w:pPr>
            <w:r>
              <w:rPr>
                <w:rFonts w:hint="eastAsia"/>
              </w:rPr>
              <w:t>方庄支渠下游</w:t>
            </w:r>
          </w:p>
        </w:tc>
        <w:tc>
          <w:tcPr>
            <w:tcW w:w="1178" w:type="pct"/>
            <w:noWrap/>
            <w:vAlign w:val="center"/>
          </w:tcPr>
          <w:p w14:paraId="46A860B9">
            <w:pPr>
              <w:pStyle w:val="28"/>
              <w:bidi w:val="0"/>
            </w:pPr>
            <w:r>
              <w:rPr>
                <w:rFonts w:hint="eastAsia"/>
              </w:rPr>
              <w:t>金庄附近</w:t>
            </w:r>
          </w:p>
        </w:tc>
        <w:tc>
          <w:tcPr>
            <w:tcW w:w="1049" w:type="pct"/>
            <w:noWrap/>
            <w:vAlign w:val="center"/>
          </w:tcPr>
          <w:p w14:paraId="2B147B47">
            <w:pPr>
              <w:pStyle w:val="28"/>
              <w:bidi w:val="0"/>
            </w:pPr>
            <w:r>
              <w:t>清淤段</w:t>
            </w:r>
          </w:p>
        </w:tc>
        <w:tc>
          <w:tcPr>
            <w:tcW w:w="1704" w:type="dxa"/>
            <w:noWrap/>
            <w:vAlign w:val="center"/>
          </w:tcPr>
          <w:p w14:paraId="7F2A7585">
            <w:pPr>
              <w:pStyle w:val="28"/>
              <w:bidi w:val="0"/>
            </w:pPr>
            <w:r>
              <w:t>116.98115622</w:t>
            </w:r>
          </w:p>
        </w:tc>
        <w:tc>
          <w:tcPr>
            <w:tcW w:w="1598" w:type="dxa"/>
            <w:noWrap/>
            <w:vAlign w:val="center"/>
          </w:tcPr>
          <w:p w14:paraId="3BFD6B0E">
            <w:pPr>
              <w:pStyle w:val="28"/>
              <w:bidi w:val="0"/>
            </w:pPr>
            <w:r>
              <w:t>32.47997834</w:t>
            </w:r>
          </w:p>
        </w:tc>
      </w:tr>
      <w:tr w14:paraId="45F183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noWrap/>
            <w:vAlign w:val="center"/>
          </w:tcPr>
          <w:p w14:paraId="0B005672">
            <w:pPr>
              <w:pStyle w:val="28"/>
              <w:bidi w:val="0"/>
            </w:pPr>
            <w:r>
              <w:t>S4</w:t>
            </w:r>
          </w:p>
        </w:tc>
        <w:tc>
          <w:tcPr>
            <w:tcW w:w="692" w:type="pct"/>
            <w:noWrap/>
            <w:vAlign w:val="center"/>
          </w:tcPr>
          <w:p w14:paraId="75C88699">
            <w:pPr>
              <w:pStyle w:val="28"/>
              <w:bidi w:val="0"/>
            </w:pPr>
            <w:r>
              <w:rPr>
                <w:rFonts w:hint="eastAsia"/>
              </w:rPr>
              <w:t>染坊支渠下游</w:t>
            </w:r>
          </w:p>
        </w:tc>
        <w:tc>
          <w:tcPr>
            <w:tcW w:w="1178" w:type="pct"/>
            <w:noWrap/>
            <w:vAlign w:val="center"/>
          </w:tcPr>
          <w:p w14:paraId="7564FD97">
            <w:pPr>
              <w:pStyle w:val="28"/>
              <w:bidi w:val="0"/>
            </w:pPr>
            <w:r>
              <w:rPr>
                <w:rFonts w:hint="eastAsia"/>
              </w:rPr>
              <w:t>西乡附近</w:t>
            </w:r>
          </w:p>
        </w:tc>
        <w:tc>
          <w:tcPr>
            <w:tcW w:w="1049" w:type="pct"/>
            <w:noWrap/>
            <w:vAlign w:val="center"/>
          </w:tcPr>
          <w:p w14:paraId="43B925E7">
            <w:pPr>
              <w:pStyle w:val="28"/>
              <w:bidi w:val="0"/>
            </w:pPr>
            <w:r>
              <w:t>清淤段</w:t>
            </w:r>
          </w:p>
        </w:tc>
        <w:tc>
          <w:tcPr>
            <w:tcW w:w="1704" w:type="dxa"/>
            <w:noWrap/>
            <w:vAlign w:val="center"/>
          </w:tcPr>
          <w:p w14:paraId="12771DB7">
            <w:pPr>
              <w:pStyle w:val="28"/>
              <w:bidi w:val="0"/>
            </w:pPr>
            <w:r>
              <w:t>116.96013230</w:t>
            </w:r>
          </w:p>
        </w:tc>
        <w:tc>
          <w:tcPr>
            <w:tcW w:w="1598" w:type="dxa"/>
            <w:noWrap/>
            <w:vAlign w:val="center"/>
          </w:tcPr>
          <w:p w14:paraId="4D0FB6A1">
            <w:pPr>
              <w:pStyle w:val="28"/>
              <w:bidi w:val="0"/>
            </w:pPr>
            <w:r>
              <w:t>32.46224041</w:t>
            </w:r>
          </w:p>
        </w:tc>
      </w:tr>
      <w:tr w14:paraId="683CE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8" w:type="pct"/>
            <w:noWrap/>
            <w:vAlign w:val="center"/>
          </w:tcPr>
          <w:p w14:paraId="099AC632">
            <w:pPr>
              <w:pStyle w:val="28"/>
              <w:bidi w:val="0"/>
            </w:pPr>
            <w:r>
              <w:t>S5</w:t>
            </w:r>
          </w:p>
        </w:tc>
        <w:tc>
          <w:tcPr>
            <w:tcW w:w="692" w:type="pct"/>
            <w:noWrap/>
            <w:vAlign w:val="center"/>
          </w:tcPr>
          <w:p w14:paraId="5CB48514">
            <w:pPr>
              <w:pStyle w:val="28"/>
              <w:bidi w:val="0"/>
            </w:pPr>
            <w:r>
              <w:rPr>
                <w:rFonts w:hint="eastAsia"/>
              </w:rPr>
              <w:t>桂岗支渠</w:t>
            </w:r>
          </w:p>
        </w:tc>
        <w:tc>
          <w:tcPr>
            <w:tcW w:w="1178" w:type="pct"/>
            <w:noWrap/>
            <w:vAlign w:val="center"/>
          </w:tcPr>
          <w:p w14:paraId="7FD3D95F">
            <w:pPr>
              <w:pStyle w:val="28"/>
              <w:bidi w:val="0"/>
            </w:pPr>
            <w:r>
              <w:rPr>
                <w:rFonts w:hint="eastAsia"/>
              </w:rPr>
              <w:t>贵家岗附近</w:t>
            </w:r>
          </w:p>
        </w:tc>
        <w:tc>
          <w:tcPr>
            <w:tcW w:w="1049" w:type="pct"/>
            <w:noWrap/>
            <w:vAlign w:val="center"/>
          </w:tcPr>
          <w:p w14:paraId="4EAB6DA4">
            <w:pPr>
              <w:pStyle w:val="28"/>
              <w:bidi w:val="0"/>
            </w:pPr>
            <w:r>
              <w:t>清淤段</w:t>
            </w:r>
          </w:p>
        </w:tc>
        <w:tc>
          <w:tcPr>
            <w:tcW w:w="1704" w:type="dxa"/>
            <w:noWrap/>
            <w:vAlign w:val="center"/>
          </w:tcPr>
          <w:p w14:paraId="74BA1708">
            <w:pPr>
              <w:pStyle w:val="28"/>
              <w:bidi w:val="0"/>
            </w:pPr>
            <w:r>
              <w:t>116.93471309</w:t>
            </w:r>
          </w:p>
        </w:tc>
        <w:tc>
          <w:tcPr>
            <w:tcW w:w="1598" w:type="dxa"/>
            <w:noWrap/>
            <w:vAlign w:val="center"/>
          </w:tcPr>
          <w:p w14:paraId="15BEE00E">
            <w:pPr>
              <w:pStyle w:val="28"/>
              <w:bidi w:val="0"/>
            </w:pPr>
            <w:r>
              <w:t>32.45574939</w:t>
            </w:r>
          </w:p>
        </w:tc>
      </w:tr>
    </w:tbl>
    <w:p w14:paraId="1BDA6BFD">
      <w:pPr>
        <w:adjustRightInd w:val="0"/>
        <w:spacing w:before="156" w:beforeLines="50"/>
        <w:ind w:firstLine="480" w:firstLineChars="200"/>
        <w:textAlignment w:val="center"/>
        <w:rPr>
          <w:rFonts w:cs="Times New Roman"/>
          <w:bCs/>
        </w:rPr>
      </w:pPr>
      <w:r>
        <w:rPr>
          <w:rFonts w:cs="Times New Roman"/>
          <w:bCs/>
        </w:rPr>
        <w:t>（2）监测因子与监测分析方法</w:t>
      </w:r>
    </w:p>
    <w:p w14:paraId="127250E2">
      <w:pPr>
        <w:adjustRightInd w:val="0"/>
        <w:ind w:firstLine="480" w:firstLineChars="200"/>
        <w:textAlignment w:val="center"/>
        <w:rPr>
          <w:rFonts w:cs="Times New Roman"/>
        </w:rPr>
      </w:pPr>
      <w:r>
        <w:rPr>
          <w:rFonts w:cs="Times New Roman"/>
        </w:rPr>
        <w:t>监测因子：pH、铅、铜、铬、锌、镍、镉、汞、砷共9个项目指标。</w:t>
      </w:r>
    </w:p>
    <w:p w14:paraId="7FC5F2CC">
      <w:pPr>
        <w:adjustRightInd w:val="0"/>
        <w:ind w:firstLine="480" w:firstLineChars="200"/>
        <w:textAlignment w:val="center"/>
        <w:rPr>
          <w:rFonts w:cs="Times New Roman"/>
        </w:rPr>
      </w:pPr>
      <w:r>
        <w:rPr>
          <w:rFonts w:cs="Times New Roman"/>
        </w:rPr>
        <w:t>监测分析方法：底质采样、保存、输送等均按照《土壤环境监测技术规范》（HT/J 166-2004）中的规定进行。现状评价标准参照执行《土壤环境质量 农用地土壤污染风险管控标准（试行）》（GB 15618-2018）的要求。</w:t>
      </w:r>
    </w:p>
    <w:p w14:paraId="7D4444E0">
      <w:pPr>
        <w:adjustRightInd w:val="0"/>
        <w:ind w:firstLine="480" w:firstLineChars="200"/>
        <w:textAlignment w:val="center"/>
        <w:rPr>
          <w:rFonts w:cs="Times New Roman"/>
          <w:bCs/>
        </w:rPr>
      </w:pPr>
      <w:r>
        <w:rPr>
          <w:rFonts w:cs="Times New Roman"/>
          <w:bCs/>
        </w:rPr>
        <w:t>（3）监测时间及监测频次</w:t>
      </w:r>
    </w:p>
    <w:p w14:paraId="48905E28">
      <w:pPr>
        <w:autoSpaceDE w:val="0"/>
        <w:autoSpaceDN w:val="0"/>
        <w:adjustRightInd w:val="0"/>
        <w:ind w:firstLine="480" w:firstLineChars="200"/>
        <w:textAlignment w:val="center"/>
        <w:rPr>
          <w:rFonts w:cs="Times New Roman"/>
        </w:rPr>
      </w:pPr>
      <w:r>
        <w:rPr>
          <w:rFonts w:cs="Times New Roman"/>
        </w:rPr>
        <w:t>监测时间：202</w:t>
      </w:r>
      <w:r>
        <w:rPr>
          <w:rFonts w:hint="eastAsia" w:cs="Times New Roman"/>
        </w:rPr>
        <w:t>4</w:t>
      </w:r>
      <w:r>
        <w:rPr>
          <w:rFonts w:cs="Times New Roman"/>
        </w:rPr>
        <w:t>年</w:t>
      </w:r>
      <w:r>
        <w:rPr>
          <w:rFonts w:hint="eastAsia" w:cs="Times New Roman"/>
        </w:rPr>
        <w:t>6</w:t>
      </w:r>
      <w:r>
        <w:rPr>
          <w:rFonts w:cs="Times New Roman"/>
        </w:rPr>
        <w:t>月2</w:t>
      </w:r>
      <w:r>
        <w:rPr>
          <w:rFonts w:hint="eastAsia" w:cs="Times New Roman"/>
        </w:rPr>
        <w:t>7</w:t>
      </w:r>
      <w:r>
        <w:rPr>
          <w:rFonts w:cs="Times New Roman"/>
        </w:rPr>
        <w:t>日。</w:t>
      </w:r>
    </w:p>
    <w:p w14:paraId="6BCCECAD">
      <w:pPr>
        <w:autoSpaceDE w:val="0"/>
        <w:autoSpaceDN w:val="0"/>
        <w:adjustRightInd w:val="0"/>
        <w:ind w:firstLine="480" w:firstLineChars="200"/>
        <w:textAlignment w:val="center"/>
        <w:rPr>
          <w:rFonts w:cs="Times New Roman"/>
        </w:rPr>
      </w:pPr>
      <w:r>
        <w:rPr>
          <w:rFonts w:cs="Times New Roman"/>
        </w:rPr>
        <w:t>监测频次：监测1天，采样分析一次。</w:t>
      </w:r>
    </w:p>
    <w:p w14:paraId="4DD55EBA">
      <w:pPr>
        <w:autoSpaceDE w:val="0"/>
        <w:autoSpaceDN w:val="0"/>
        <w:adjustRightInd w:val="0"/>
        <w:ind w:firstLine="480" w:firstLineChars="200"/>
        <w:textAlignment w:val="center"/>
        <w:rPr>
          <w:rFonts w:cs="Times New Roman"/>
          <w:bCs/>
        </w:rPr>
      </w:pPr>
      <w:r>
        <w:rPr>
          <w:rFonts w:cs="Times New Roman"/>
          <w:bCs/>
        </w:rPr>
        <w:t>（4）监测结果</w:t>
      </w:r>
    </w:p>
    <w:p w14:paraId="6F9A0FC5">
      <w:pPr>
        <w:autoSpaceDE w:val="0"/>
        <w:autoSpaceDN w:val="0"/>
        <w:adjustRightInd w:val="0"/>
        <w:ind w:firstLine="480" w:firstLineChars="200"/>
        <w:textAlignment w:val="center"/>
        <w:rPr>
          <w:rFonts w:cs="Times New Roman"/>
        </w:rPr>
      </w:pPr>
      <w:r>
        <w:rPr>
          <w:rFonts w:cs="Times New Roman"/>
        </w:rPr>
        <w:t>底泥环境质量现状监测结果详见下表。</w:t>
      </w:r>
    </w:p>
    <w:p w14:paraId="4D6957DE">
      <w:pPr>
        <w:pStyle w:val="29"/>
        <w:bidi w:val="0"/>
      </w:pPr>
      <w:r>
        <w:t>表</w:t>
      </w:r>
      <w:r>
        <w:rPr>
          <w:rFonts w:hint="eastAsia"/>
          <w:lang w:eastAsia="zh-CN"/>
        </w:rPr>
        <w:t>4.2</w:t>
      </w:r>
      <w:r>
        <w:t>-</w:t>
      </w:r>
      <w:r>
        <w:rPr>
          <w:rFonts w:hint="eastAsia"/>
          <w:lang w:val="en-US" w:eastAsia="zh-CN"/>
        </w:rPr>
        <w:t>13</w:t>
      </w:r>
      <w:r>
        <w:t xml:space="preserve">  渠道底泥监测点监测结果一览表</w:t>
      </w:r>
    </w:p>
    <w:tbl>
      <w:tblPr>
        <w:tblStyle w:val="16"/>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28"/>
        <w:gridCol w:w="1381"/>
        <w:gridCol w:w="1253"/>
        <w:gridCol w:w="1253"/>
        <w:gridCol w:w="1158"/>
        <w:gridCol w:w="1350"/>
        <w:gridCol w:w="1155"/>
      </w:tblGrid>
      <w:tr w14:paraId="03B87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1" w:type="pct"/>
            <w:vMerge w:val="restart"/>
            <w:tcBorders>
              <w:top w:val="single" w:color="auto" w:sz="4" w:space="0"/>
              <w:left w:val="single" w:color="auto" w:sz="4" w:space="0"/>
              <w:right w:val="single" w:color="auto" w:sz="4" w:space="0"/>
            </w:tcBorders>
            <w:vAlign w:val="center"/>
          </w:tcPr>
          <w:p w14:paraId="28B2DAFF">
            <w:pPr>
              <w:pStyle w:val="28"/>
              <w:bidi w:val="0"/>
            </w:pPr>
            <w:r>
              <w:t>检测项目</w:t>
            </w:r>
          </w:p>
        </w:tc>
        <w:tc>
          <w:tcPr>
            <w:tcW w:w="744" w:type="pct"/>
            <w:vMerge w:val="restart"/>
            <w:tcBorders>
              <w:top w:val="single" w:color="auto" w:sz="4" w:space="0"/>
              <w:left w:val="single" w:color="auto" w:sz="4" w:space="0"/>
              <w:right w:val="single" w:color="auto" w:sz="4" w:space="0"/>
            </w:tcBorders>
            <w:vAlign w:val="center"/>
          </w:tcPr>
          <w:p w14:paraId="08C92F2E">
            <w:pPr>
              <w:pStyle w:val="28"/>
              <w:bidi w:val="0"/>
            </w:pPr>
            <w:r>
              <w:t>单位</w:t>
            </w:r>
          </w:p>
        </w:tc>
        <w:tc>
          <w:tcPr>
            <w:tcW w:w="3323" w:type="pct"/>
            <w:gridSpan w:val="5"/>
            <w:tcBorders>
              <w:top w:val="single" w:color="auto" w:sz="4" w:space="0"/>
              <w:left w:val="single" w:color="auto" w:sz="4" w:space="0"/>
              <w:bottom w:val="single" w:color="auto" w:sz="4" w:space="0"/>
              <w:right w:val="single" w:color="auto" w:sz="4" w:space="0"/>
            </w:tcBorders>
            <w:vAlign w:val="center"/>
          </w:tcPr>
          <w:p w14:paraId="13F9B8B6">
            <w:pPr>
              <w:pStyle w:val="28"/>
              <w:bidi w:val="0"/>
            </w:pPr>
            <w:r>
              <w:t>检测结果</w:t>
            </w:r>
          </w:p>
        </w:tc>
      </w:tr>
      <w:tr w14:paraId="19C1B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1" w:type="pct"/>
            <w:vMerge w:val="continue"/>
            <w:tcBorders>
              <w:left w:val="single" w:color="auto" w:sz="4" w:space="0"/>
              <w:bottom w:val="single" w:color="auto" w:sz="4" w:space="0"/>
              <w:right w:val="single" w:color="auto" w:sz="4" w:space="0"/>
            </w:tcBorders>
            <w:vAlign w:val="center"/>
          </w:tcPr>
          <w:p w14:paraId="5DA0F38A">
            <w:pPr>
              <w:pStyle w:val="28"/>
              <w:bidi w:val="0"/>
            </w:pPr>
          </w:p>
        </w:tc>
        <w:tc>
          <w:tcPr>
            <w:tcW w:w="744" w:type="pct"/>
            <w:vMerge w:val="continue"/>
            <w:tcBorders>
              <w:left w:val="single" w:color="auto" w:sz="4" w:space="0"/>
              <w:bottom w:val="single" w:color="auto" w:sz="4" w:space="0"/>
              <w:right w:val="single" w:color="auto" w:sz="4" w:space="0"/>
            </w:tcBorders>
            <w:vAlign w:val="center"/>
          </w:tcPr>
          <w:p w14:paraId="464563B5">
            <w:pPr>
              <w:pStyle w:val="28"/>
              <w:bidi w:val="0"/>
            </w:pPr>
          </w:p>
        </w:tc>
        <w:tc>
          <w:tcPr>
            <w:tcW w:w="675" w:type="pct"/>
            <w:tcBorders>
              <w:top w:val="single" w:color="auto" w:sz="4" w:space="0"/>
              <w:left w:val="single" w:color="auto" w:sz="4" w:space="0"/>
              <w:bottom w:val="single" w:color="auto" w:sz="4" w:space="0"/>
              <w:right w:val="single" w:color="auto" w:sz="4" w:space="0"/>
            </w:tcBorders>
            <w:vAlign w:val="center"/>
          </w:tcPr>
          <w:p w14:paraId="33C3DC42">
            <w:pPr>
              <w:pStyle w:val="28"/>
              <w:bidi w:val="0"/>
            </w:pPr>
            <w:r>
              <w:t>S1</w:t>
            </w:r>
          </w:p>
        </w:tc>
        <w:tc>
          <w:tcPr>
            <w:tcW w:w="675" w:type="pct"/>
            <w:tcBorders>
              <w:top w:val="single" w:color="auto" w:sz="4" w:space="0"/>
              <w:left w:val="single" w:color="auto" w:sz="4" w:space="0"/>
              <w:bottom w:val="single" w:color="auto" w:sz="4" w:space="0"/>
              <w:right w:val="single" w:color="auto" w:sz="4" w:space="0"/>
            </w:tcBorders>
            <w:vAlign w:val="center"/>
          </w:tcPr>
          <w:p w14:paraId="6E8DAC6F">
            <w:pPr>
              <w:pStyle w:val="28"/>
              <w:bidi w:val="0"/>
            </w:pPr>
            <w:r>
              <w:t>S2</w:t>
            </w:r>
          </w:p>
        </w:tc>
        <w:tc>
          <w:tcPr>
            <w:tcW w:w="624" w:type="pct"/>
            <w:tcBorders>
              <w:top w:val="single" w:color="auto" w:sz="4" w:space="0"/>
              <w:left w:val="single" w:color="auto" w:sz="4" w:space="0"/>
              <w:bottom w:val="single" w:color="auto" w:sz="4" w:space="0"/>
              <w:right w:val="single" w:color="auto" w:sz="4" w:space="0"/>
            </w:tcBorders>
            <w:vAlign w:val="center"/>
          </w:tcPr>
          <w:p w14:paraId="4E8B8573">
            <w:pPr>
              <w:pStyle w:val="28"/>
              <w:bidi w:val="0"/>
            </w:pPr>
            <w:r>
              <w:t>S3</w:t>
            </w:r>
          </w:p>
        </w:tc>
        <w:tc>
          <w:tcPr>
            <w:tcW w:w="727" w:type="pct"/>
            <w:tcBorders>
              <w:top w:val="single" w:color="auto" w:sz="4" w:space="0"/>
              <w:left w:val="single" w:color="auto" w:sz="4" w:space="0"/>
              <w:bottom w:val="single" w:color="auto" w:sz="4" w:space="0"/>
              <w:right w:val="single" w:color="auto" w:sz="4" w:space="0"/>
            </w:tcBorders>
            <w:vAlign w:val="center"/>
          </w:tcPr>
          <w:p w14:paraId="3E9129A8">
            <w:pPr>
              <w:pStyle w:val="28"/>
              <w:bidi w:val="0"/>
            </w:pPr>
            <w:r>
              <w:t>S4</w:t>
            </w:r>
          </w:p>
        </w:tc>
        <w:tc>
          <w:tcPr>
            <w:tcW w:w="621" w:type="pct"/>
            <w:tcBorders>
              <w:top w:val="single" w:color="auto" w:sz="4" w:space="0"/>
              <w:left w:val="single" w:color="auto" w:sz="4" w:space="0"/>
              <w:bottom w:val="single" w:color="auto" w:sz="4" w:space="0"/>
              <w:right w:val="single" w:color="auto" w:sz="4" w:space="0"/>
            </w:tcBorders>
            <w:vAlign w:val="center"/>
          </w:tcPr>
          <w:p w14:paraId="46F8C7B8">
            <w:pPr>
              <w:pStyle w:val="28"/>
              <w:bidi w:val="0"/>
            </w:pPr>
            <w:r>
              <w:t>S5</w:t>
            </w:r>
          </w:p>
        </w:tc>
      </w:tr>
      <w:tr w14:paraId="46224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1" w:type="pct"/>
            <w:tcBorders>
              <w:top w:val="single" w:color="auto" w:sz="4" w:space="0"/>
              <w:left w:val="single" w:color="auto" w:sz="4" w:space="0"/>
              <w:bottom w:val="single" w:color="auto" w:sz="4" w:space="0"/>
              <w:right w:val="single" w:color="auto" w:sz="4" w:space="0"/>
            </w:tcBorders>
            <w:vAlign w:val="center"/>
          </w:tcPr>
          <w:p w14:paraId="78965196">
            <w:pPr>
              <w:pStyle w:val="28"/>
              <w:bidi w:val="0"/>
            </w:pPr>
            <w:r>
              <w:t>pH（无量纲）</w:t>
            </w:r>
          </w:p>
        </w:tc>
        <w:tc>
          <w:tcPr>
            <w:tcW w:w="744" w:type="pct"/>
            <w:tcBorders>
              <w:top w:val="single" w:color="auto" w:sz="4" w:space="0"/>
              <w:left w:val="single" w:color="auto" w:sz="4" w:space="0"/>
              <w:bottom w:val="single" w:color="auto" w:sz="4" w:space="0"/>
              <w:right w:val="single" w:color="auto" w:sz="4" w:space="0"/>
            </w:tcBorders>
            <w:vAlign w:val="center"/>
          </w:tcPr>
          <w:p w14:paraId="054C7D33">
            <w:pPr>
              <w:pStyle w:val="28"/>
              <w:bidi w:val="0"/>
            </w:pPr>
            <w:r>
              <w:t>无量纲</w:t>
            </w:r>
          </w:p>
        </w:tc>
        <w:tc>
          <w:tcPr>
            <w:tcW w:w="1314" w:type="dxa"/>
            <w:tcBorders>
              <w:top w:val="single" w:color="auto" w:sz="4" w:space="0"/>
              <w:left w:val="single" w:color="auto" w:sz="4" w:space="0"/>
              <w:bottom w:val="single" w:color="auto" w:sz="4" w:space="0"/>
              <w:right w:val="single" w:color="auto" w:sz="4" w:space="0"/>
            </w:tcBorders>
            <w:vAlign w:val="center"/>
          </w:tcPr>
          <w:p w14:paraId="1F255186">
            <w:pPr>
              <w:pStyle w:val="28"/>
              <w:bidi w:val="0"/>
            </w:pPr>
            <w:r>
              <w:t>7.34</w:t>
            </w:r>
          </w:p>
        </w:tc>
        <w:tc>
          <w:tcPr>
            <w:tcW w:w="1314" w:type="dxa"/>
            <w:tcBorders>
              <w:top w:val="single" w:color="auto" w:sz="4" w:space="0"/>
              <w:left w:val="single" w:color="auto" w:sz="4" w:space="0"/>
              <w:bottom w:val="single" w:color="auto" w:sz="4" w:space="0"/>
              <w:right w:val="single" w:color="auto" w:sz="4" w:space="0"/>
            </w:tcBorders>
            <w:vAlign w:val="center"/>
          </w:tcPr>
          <w:p w14:paraId="3662C520">
            <w:pPr>
              <w:pStyle w:val="28"/>
              <w:bidi w:val="0"/>
            </w:pPr>
            <w:r>
              <w:t>7.24</w:t>
            </w:r>
          </w:p>
        </w:tc>
        <w:tc>
          <w:tcPr>
            <w:tcW w:w="1215" w:type="dxa"/>
            <w:tcBorders>
              <w:top w:val="single" w:color="auto" w:sz="4" w:space="0"/>
              <w:left w:val="single" w:color="auto" w:sz="4" w:space="0"/>
              <w:bottom w:val="single" w:color="auto" w:sz="4" w:space="0"/>
              <w:right w:val="single" w:color="auto" w:sz="4" w:space="0"/>
            </w:tcBorders>
            <w:vAlign w:val="center"/>
          </w:tcPr>
          <w:p w14:paraId="2643611C">
            <w:pPr>
              <w:pStyle w:val="28"/>
              <w:bidi w:val="0"/>
            </w:pPr>
            <w:r>
              <w:t>7.41</w:t>
            </w:r>
          </w:p>
        </w:tc>
        <w:tc>
          <w:tcPr>
            <w:tcW w:w="1416" w:type="dxa"/>
            <w:tcBorders>
              <w:top w:val="single" w:color="auto" w:sz="4" w:space="0"/>
              <w:left w:val="single" w:color="auto" w:sz="4" w:space="0"/>
              <w:bottom w:val="single" w:color="auto" w:sz="4" w:space="0"/>
              <w:right w:val="single" w:color="auto" w:sz="4" w:space="0"/>
            </w:tcBorders>
            <w:vAlign w:val="center"/>
          </w:tcPr>
          <w:p w14:paraId="032C740C">
            <w:pPr>
              <w:pStyle w:val="28"/>
              <w:bidi w:val="0"/>
            </w:pPr>
            <w:r>
              <w:t>7.36</w:t>
            </w:r>
          </w:p>
        </w:tc>
        <w:tc>
          <w:tcPr>
            <w:tcW w:w="1211" w:type="dxa"/>
            <w:tcBorders>
              <w:top w:val="single" w:color="auto" w:sz="4" w:space="0"/>
              <w:left w:val="single" w:color="auto" w:sz="4" w:space="0"/>
              <w:bottom w:val="single" w:color="auto" w:sz="4" w:space="0"/>
              <w:right w:val="single" w:color="auto" w:sz="4" w:space="0"/>
            </w:tcBorders>
            <w:vAlign w:val="center"/>
          </w:tcPr>
          <w:p w14:paraId="0E0BDF9D">
            <w:pPr>
              <w:pStyle w:val="28"/>
              <w:bidi w:val="0"/>
            </w:pPr>
            <w:r>
              <w:t>7.23</w:t>
            </w:r>
          </w:p>
        </w:tc>
      </w:tr>
      <w:tr w14:paraId="12705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1" w:type="pct"/>
            <w:tcBorders>
              <w:top w:val="single" w:color="auto" w:sz="4" w:space="0"/>
              <w:left w:val="single" w:color="auto" w:sz="4" w:space="0"/>
              <w:bottom w:val="single" w:color="auto" w:sz="4" w:space="0"/>
              <w:right w:val="single" w:color="auto" w:sz="4" w:space="0"/>
            </w:tcBorders>
            <w:vAlign w:val="center"/>
          </w:tcPr>
          <w:p w14:paraId="02A78003">
            <w:pPr>
              <w:pStyle w:val="28"/>
              <w:bidi w:val="0"/>
            </w:pPr>
            <w:r>
              <w:rPr>
                <w:rFonts w:hint="eastAsia"/>
              </w:rPr>
              <w:t>总</w:t>
            </w:r>
            <w:r>
              <w:t>汞</w:t>
            </w:r>
          </w:p>
        </w:tc>
        <w:tc>
          <w:tcPr>
            <w:tcW w:w="744" w:type="pct"/>
            <w:tcBorders>
              <w:top w:val="single" w:color="auto" w:sz="4" w:space="0"/>
              <w:left w:val="single" w:color="auto" w:sz="4" w:space="0"/>
              <w:bottom w:val="single" w:color="auto" w:sz="4" w:space="0"/>
              <w:right w:val="single" w:color="auto" w:sz="4" w:space="0"/>
            </w:tcBorders>
            <w:vAlign w:val="center"/>
          </w:tcPr>
          <w:p w14:paraId="4F32E1B7">
            <w:pPr>
              <w:pStyle w:val="28"/>
              <w:bidi w:val="0"/>
            </w:pPr>
            <w:r>
              <w:t>mg/kg</w:t>
            </w:r>
          </w:p>
        </w:tc>
        <w:tc>
          <w:tcPr>
            <w:tcW w:w="1314" w:type="dxa"/>
            <w:tcBorders>
              <w:top w:val="single" w:color="auto" w:sz="4" w:space="0"/>
              <w:left w:val="single" w:color="auto" w:sz="4" w:space="0"/>
              <w:bottom w:val="single" w:color="auto" w:sz="4" w:space="0"/>
              <w:right w:val="single" w:color="auto" w:sz="4" w:space="0"/>
            </w:tcBorders>
            <w:vAlign w:val="center"/>
          </w:tcPr>
          <w:p w14:paraId="4AADB2C9">
            <w:pPr>
              <w:pStyle w:val="28"/>
              <w:bidi w:val="0"/>
            </w:pPr>
            <w:r>
              <w:t>0.081</w:t>
            </w:r>
          </w:p>
        </w:tc>
        <w:tc>
          <w:tcPr>
            <w:tcW w:w="1314" w:type="dxa"/>
            <w:tcBorders>
              <w:top w:val="single" w:color="auto" w:sz="4" w:space="0"/>
              <w:left w:val="single" w:color="auto" w:sz="4" w:space="0"/>
              <w:bottom w:val="single" w:color="auto" w:sz="4" w:space="0"/>
              <w:right w:val="single" w:color="auto" w:sz="4" w:space="0"/>
            </w:tcBorders>
            <w:vAlign w:val="center"/>
          </w:tcPr>
          <w:p w14:paraId="5EE6F91C">
            <w:pPr>
              <w:pStyle w:val="28"/>
              <w:bidi w:val="0"/>
            </w:pPr>
            <w:r>
              <w:t>0.096</w:t>
            </w:r>
          </w:p>
        </w:tc>
        <w:tc>
          <w:tcPr>
            <w:tcW w:w="1215" w:type="dxa"/>
            <w:tcBorders>
              <w:top w:val="single" w:color="auto" w:sz="4" w:space="0"/>
              <w:left w:val="single" w:color="auto" w:sz="4" w:space="0"/>
              <w:bottom w:val="single" w:color="auto" w:sz="4" w:space="0"/>
              <w:right w:val="single" w:color="auto" w:sz="4" w:space="0"/>
            </w:tcBorders>
            <w:vAlign w:val="center"/>
          </w:tcPr>
          <w:p w14:paraId="492F567E">
            <w:pPr>
              <w:pStyle w:val="28"/>
              <w:bidi w:val="0"/>
            </w:pPr>
            <w:r>
              <w:t>0.067</w:t>
            </w:r>
          </w:p>
        </w:tc>
        <w:tc>
          <w:tcPr>
            <w:tcW w:w="1416" w:type="dxa"/>
            <w:tcBorders>
              <w:top w:val="single" w:color="auto" w:sz="4" w:space="0"/>
              <w:left w:val="single" w:color="auto" w:sz="4" w:space="0"/>
              <w:bottom w:val="single" w:color="auto" w:sz="4" w:space="0"/>
              <w:right w:val="single" w:color="auto" w:sz="4" w:space="0"/>
            </w:tcBorders>
            <w:vAlign w:val="center"/>
          </w:tcPr>
          <w:p w14:paraId="3FAFA101">
            <w:pPr>
              <w:pStyle w:val="28"/>
              <w:bidi w:val="0"/>
            </w:pPr>
            <w:r>
              <w:t>0.082</w:t>
            </w:r>
          </w:p>
        </w:tc>
        <w:tc>
          <w:tcPr>
            <w:tcW w:w="1211" w:type="dxa"/>
            <w:tcBorders>
              <w:top w:val="single" w:color="auto" w:sz="4" w:space="0"/>
              <w:left w:val="single" w:color="auto" w:sz="4" w:space="0"/>
              <w:bottom w:val="single" w:color="auto" w:sz="4" w:space="0"/>
              <w:right w:val="single" w:color="auto" w:sz="4" w:space="0"/>
            </w:tcBorders>
            <w:vAlign w:val="center"/>
          </w:tcPr>
          <w:p w14:paraId="2849E480">
            <w:pPr>
              <w:pStyle w:val="28"/>
              <w:bidi w:val="0"/>
            </w:pPr>
            <w:r>
              <w:t>0.073</w:t>
            </w:r>
          </w:p>
        </w:tc>
      </w:tr>
      <w:tr w14:paraId="15129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1" w:type="pct"/>
            <w:tcBorders>
              <w:top w:val="single" w:color="auto" w:sz="4" w:space="0"/>
              <w:left w:val="single" w:color="auto" w:sz="4" w:space="0"/>
              <w:bottom w:val="single" w:color="auto" w:sz="4" w:space="0"/>
              <w:right w:val="single" w:color="auto" w:sz="4" w:space="0"/>
            </w:tcBorders>
            <w:vAlign w:val="center"/>
          </w:tcPr>
          <w:p w14:paraId="3AD41A85">
            <w:pPr>
              <w:pStyle w:val="28"/>
              <w:bidi w:val="0"/>
            </w:pPr>
            <w:r>
              <w:rPr>
                <w:rFonts w:hint="eastAsia"/>
              </w:rPr>
              <w:t>总</w:t>
            </w:r>
            <w:r>
              <w:t>砷</w:t>
            </w:r>
          </w:p>
        </w:tc>
        <w:tc>
          <w:tcPr>
            <w:tcW w:w="744" w:type="pct"/>
            <w:tcBorders>
              <w:top w:val="single" w:color="auto" w:sz="4" w:space="0"/>
              <w:left w:val="single" w:color="auto" w:sz="4" w:space="0"/>
              <w:bottom w:val="single" w:color="auto" w:sz="4" w:space="0"/>
              <w:right w:val="single" w:color="auto" w:sz="4" w:space="0"/>
            </w:tcBorders>
            <w:vAlign w:val="center"/>
          </w:tcPr>
          <w:p w14:paraId="5508CA0B">
            <w:pPr>
              <w:pStyle w:val="28"/>
              <w:bidi w:val="0"/>
            </w:pPr>
            <w:r>
              <w:t>mg/kg</w:t>
            </w:r>
          </w:p>
        </w:tc>
        <w:tc>
          <w:tcPr>
            <w:tcW w:w="1314" w:type="dxa"/>
            <w:tcBorders>
              <w:top w:val="single" w:color="auto" w:sz="4" w:space="0"/>
              <w:left w:val="single" w:color="auto" w:sz="4" w:space="0"/>
              <w:bottom w:val="single" w:color="auto" w:sz="4" w:space="0"/>
              <w:right w:val="single" w:color="auto" w:sz="4" w:space="0"/>
            </w:tcBorders>
            <w:vAlign w:val="center"/>
          </w:tcPr>
          <w:p w14:paraId="635F23D4">
            <w:pPr>
              <w:pStyle w:val="28"/>
              <w:bidi w:val="0"/>
            </w:pPr>
            <w:r>
              <w:t>5.14</w:t>
            </w:r>
          </w:p>
        </w:tc>
        <w:tc>
          <w:tcPr>
            <w:tcW w:w="1314" w:type="dxa"/>
            <w:tcBorders>
              <w:top w:val="single" w:color="auto" w:sz="4" w:space="0"/>
              <w:left w:val="single" w:color="auto" w:sz="4" w:space="0"/>
              <w:bottom w:val="single" w:color="auto" w:sz="4" w:space="0"/>
              <w:right w:val="single" w:color="auto" w:sz="4" w:space="0"/>
            </w:tcBorders>
            <w:vAlign w:val="center"/>
          </w:tcPr>
          <w:p w14:paraId="2E523A40">
            <w:pPr>
              <w:pStyle w:val="28"/>
              <w:bidi w:val="0"/>
            </w:pPr>
            <w:r>
              <w:t>7.60</w:t>
            </w:r>
          </w:p>
        </w:tc>
        <w:tc>
          <w:tcPr>
            <w:tcW w:w="1215" w:type="dxa"/>
            <w:tcBorders>
              <w:top w:val="single" w:color="auto" w:sz="4" w:space="0"/>
              <w:left w:val="single" w:color="auto" w:sz="4" w:space="0"/>
              <w:bottom w:val="single" w:color="auto" w:sz="4" w:space="0"/>
              <w:right w:val="single" w:color="auto" w:sz="4" w:space="0"/>
            </w:tcBorders>
            <w:vAlign w:val="center"/>
          </w:tcPr>
          <w:p w14:paraId="3AC6E743">
            <w:pPr>
              <w:pStyle w:val="28"/>
              <w:bidi w:val="0"/>
            </w:pPr>
            <w:r>
              <w:t>7.58</w:t>
            </w:r>
          </w:p>
        </w:tc>
        <w:tc>
          <w:tcPr>
            <w:tcW w:w="1416" w:type="dxa"/>
            <w:tcBorders>
              <w:top w:val="single" w:color="auto" w:sz="4" w:space="0"/>
              <w:left w:val="single" w:color="auto" w:sz="4" w:space="0"/>
              <w:bottom w:val="single" w:color="auto" w:sz="4" w:space="0"/>
              <w:right w:val="single" w:color="auto" w:sz="4" w:space="0"/>
            </w:tcBorders>
            <w:vAlign w:val="center"/>
          </w:tcPr>
          <w:p w14:paraId="0D55E3BB">
            <w:pPr>
              <w:pStyle w:val="28"/>
              <w:bidi w:val="0"/>
            </w:pPr>
            <w:r>
              <w:t>7.60</w:t>
            </w:r>
          </w:p>
        </w:tc>
        <w:tc>
          <w:tcPr>
            <w:tcW w:w="1211" w:type="dxa"/>
            <w:tcBorders>
              <w:top w:val="single" w:color="auto" w:sz="4" w:space="0"/>
              <w:left w:val="single" w:color="auto" w:sz="4" w:space="0"/>
              <w:bottom w:val="single" w:color="auto" w:sz="4" w:space="0"/>
              <w:right w:val="single" w:color="auto" w:sz="4" w:space="0"/>
            </w:tcBorders>
            <w:vAlign w:val="center"/>
          </w:tcPr>
          <w:p w14:paraId="2AA1165A">
            <w:pPr>
              <w:pStyle w:val="28"/>
              <w:bidi w:val="0"/>
            </w:pPr>
            <w:r>
              <w:t>7.10</w:t>
            </w:r>
          </w:p>
        </w:tc>
      </w:tr>
      <w:tr w14:paraId="77D2B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1" w:type="pct"/>
            <w:tcBorders>
              <w:top w:val="single" w:color="auto" w:sz="4" w:space="0"/>
              <w:left w:val="single" w:color="auto" w:sz="4" w:space="0"/>
              <w:bottom w:val="single" w:color="auto" w:sz="4" w:space="0"/>
              <w:right w:val="single" w:color="auto" w:sz="4" w:space="0"/>
            </w:tcBorders>
            <w:vAlign w:val="center"/>
          </w:tcPr>
          <w:p w14:paraId="553F4495">
            <w:pPr>
              <w:pStyle w:val="28"/>
              <w:bidi w:val="0"/>
            </w:pPr>
            <w:r>
              <w:rPr>
                <w:rFonts w:hint="eastAsia"/>
              </w:rPr>
              <w:t>总</w:t>
            </w:r>
            <w:r>
              <w:t>铜</w:t>
            </w:r>
          </w:p>
        </w:tc>
        <w:tc>
          <w:tcPr>
            <w:tcW w:w="744" w:type="pct"/>
            <w:tcBorders>
              <w:top w:val="single" w:color="auto" w:sz="4" w:space="0"/>
              <w:left w:val="single" w:color="auto" w:sz="4" w:space="0"/>
              <w:bottom w:val="single" w:color="auto" w:sz="4" w:space="0"/>
              <w:right w:val="single" w:color="auto" w:sz="4" w:space="0"/>
            </w:tcBorders>
            <w:vAlign w:val="center"/>
          </w:tcPr>
          <w:p w14:paraId="1C9BE1C0">
            <w:pPr>
              <w:pStyle w:val="28"/>
              <w:bidi w:val="0"/>
            </w:pPr>
            <w:r>
              <w:t>mg/kg</w:t>
            </w:r>
          </w:p>
        </w:tc>
        <w:tc>
          <w:tcPr>
            <w:tcW w:w="1314" w:type="dxa"/>
            <w:tcBorders>
              <w:top w:val="single" w:color="auto" w:sz="4" w:space="0"/>
              <w:left w:val="single" w:color="auto" w:sz="4" w:space="0"/>
              <w:bottom w:val="single" w:color="auto" w:sz="4" w:space="0"/>
              <w:right w:val="single" w:color="auto" w:sz="4" w:space="0"/>
            </w:tcBorders>
            <w:vAlign w:val="center"/>
          </w:tcPr>
          <w:p w14:paraId="502EE137">
            <w:pPr>
              <w:pStyle w:val="28"/>
              <w:bidi w:val="0"/>
            </w:pPr>
            <w:r>
              <w:t>83</w:t>
            </w:r>
          </w:p>
        </w:tc>
        <w:tc>
          <w:tcPr>
            <w:tcW w:w="1314" w:type="dxa"/>
            <w:tcBorders>
              <w:top w:val="single" w:color="auto" w:sz="4" w:space="0"/>
              <w:left w:val="single" w:color="auto" w:sz="4" w:space="0"/>
              <w:bottom w:val="single" w:color="auto" w:sz="4" w:space="0"/>
              <w:right w:val="single" w:color="auto" w:sz="4" w:space="0"/>
            </w:tcBorders>
            <w:vAlign w:val="center"/>
          </w:tcPr>
          <w:p w14:paraId="573E5D09">
            <w:pPr>
              <w:pStyle w:val="28"/>
              <w:bidi w:val="0"/>
            </w:pPr>
            <w:r>
              <w:t>66</w:t>
            </w:r>
          </w:p>
        </w:tc>
        <w:tc>
          <w:tcPr>
            <w:tcW w:w="1215" w:type="dxa"/>
            <w:tcBorders>
              <w:top w:val="single" w:color="auto" w:sz="4" w:space="0"/>
              <w:left w:val="single" w:color="auto" w:sz="4" w:space="0"/>
              <w:bottom w:val="single" w:color="auto" w:sz="4" w:space="0"/>
              <w:right w:val="single" w:color="auto" w:sz="4" w:space="0"/>
            </w:tcBorders>
            <w:vAlign w:val="center"/>
          </w:tcPr>
          <w:p w14:paraId="0415A24E">
            <w:pPr>
              <w:pStyle w:val="28"/>
              <w:bidi w:val="0"/>
            </w:pPr>
            <w:r>
              <w:t>78</w:t>
            </w:r>
          </w:p>
        </w:tc>
        <w:tc>
          <w:tcPr>
            <w:tcW w:w="1416" w:type="dxa"/>
            <w:tcBorders>
              <w:top w:val="single" w:color="auto" w:sz="4" w:space="0"/>
              <w:left w:val="single" w:color="auto" w:sz="4" w:space="0"/>
              <w:bottom w:val="single" w:color="auto" w:sz="4" w:space="0"/>
              <w:right w:val="single" w:color="auto" w:sz="4" w:space="0"/>
            </w:tcBorders>
            <w:vAlign w:val="center"/>
          </w:tcPr>
          <w:p w14:paraId="7CBCB8EC">
            <w:pPr>
              <w:pStyle w:val="28"/>
              <w:bidi w:val="0"/>
            </w:pPr>
            <w:r>
              <w:t>84</w:t>
            </w:r>
          </w:p>
        </w:tc>
        <w:tc>
          <w:tcPr>
            <w:tcW w:w="1211" w:type="dxa"/>
            <w:tcBorders>
              <w:top w:val="single" w:color="auto" w:sz="4" w:space="0"/>
              <w:left w:val="single" w:color="auto" w:sz="4" w:space="0"/>
              <w:bottom w:val="single" w:color="auto" w:sz="4" w:space="0"/>
              <w:right w:val="single" w:color="auto" w:sz="4" w:space="0"/>
            </w:tcBorders>
            <w:vAlign w:val="center"/>
          </w:tcPr>
          <w:p w14:paraId="4ECF36B1">
            <w:pPr>
              <w:pStyle w:val="28"/>
              <w:bidi w:val="0"/>
            </w:pPr>
            <w:r>
              <w:rPr>
                <w:rFonts w:hint="eastAsia"/>
              </w:rPr>
              <w:t>72</w:t>
            </w:r>
          </w:p>
        </w:tc>
      </w:tr>
      <w:tr w14:paraId="265C6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1" w:type="pct"/>
            <w:tcBorders>
              <w:top w:val="single" w:color="auto" w:sz="4" w:space="0"/>
              <w:left w:val="single" w:color="auto" w:sz="4" w:space="0"/>
              <w:bottom w:val="single" w:color="auto" w:sz="4" w:space="0"/>
              <w:right w:val="single" w:color="auto" w:sz="4" w:space="0"/>
            </w:tcBorders>
            <w:vAlign w:val="center"/>
          </w:tcPr>
          <w:p w14:paraId="4880E2FE">
            <w:pPr>
              <w:pStyle w:val="28"/>
              <w:bidi w:val="0"/>
            </w:pPr>
            <w:r>
              <w:rPr>
                <w:rFonts w:hint="eastAsia"/>
              </w:rPr>
              <w:t>总</w:t>
            </w:r>
            <w:r>
              <w:t>锌</w:t>
            </w:r>
          </w:p>
        </w:tc>
        <w:tc>
          <w:tcPr>
            <w:tcW w:w="744" w:type="pct"/>
            <w:tcBorders>
              <w:top w:val="single" w:color="auto" w:sz="4" w:space="0"/>
              <w:left w:val="single" w:color="auto" w:sz="4" w:space="0"/>
              <w:bottom w:val="single" w:color="auto" w:sz="4" w:space="0"/>
              <w:right w:val="single" w:color="auto" w:sz="4" w:space="0"/>
            </w:tcBorders>
            <w:vAlign w:val="center"/>
          </w:tcPr>
          <w:p w14:paraId="5A1D759D">
            <w:pPr>
              <w:pStyle w:val="28"/>
              <w:bidi w:val="0"/>
            </w:pPr>
            <w:r>
              <w:t>mg/kg</w:t>
            </w:r>
          </w:p>
        </w:tc>
        <w:tc>
          <w:tcPr>
            <w:tcW w:w="1314" w:type="dxa"/>
            <w:tcBorders>
              <w:top w:val="single" w:color="auto" w:sz="4" w:space="0"/>
              <w:left w:val="single" w:color="auto" w:sz="4" w:space="0"/>
              <w:bottom w:val="single" w:color="auto" w:sz="4" w:space="0"/>
              <w:right w:val="single" w:color="auto" w:sz="4" w:space="0"/>
            </w:tcBorders>
            <w:vAlign w:val="center"/>
          </w:tcPr>
          <w:p w14:paraId="2A5C9965">
            <w:pPr>
              <w:pStyle w:val="28"/>
              <w:bidi w:val="0"/>
            </w:pPr>
            <w:r>
              <w:t>112</w:t>
            </w:r>
          </w:p>
        </w:tc>
        <w:tc>
          <w:tcPr>
            <w:tcW w:w="1314" w:type="dxa"/>
            <w:tcBorders>
              <w:top w:val="single" w:color="auto" w:sz="4" w:space="0"/>
              <w:left w:val="single" w:color="auto" w:sz="4" w:space="0"/>
              <w:bottom w:val="single" w:color="auto" w:sz="4" w:space="0"/>
              <w:right w:val="single" w:color="auto" w:sz="4" w:space="0"/>
            </w:tcBorders>
            <w:vAlign w:val="center"/>
          </w:tcPr>
          <w:p w14:paraId="4D1278B8">
            <w:pPr>
              <w:pStyle w:val="28"/>
              <w:bidi w:val="0"/>
            </w:pPr>
            <w:r>
              <w:t>100</w:t>
            </w:r>
          </w:p>
        </w:tc>
        <w:tc>
          <w:tcPr>
            <w:tcW w:w="1215" w:type="dxa"/>
            <w:tcBorders>
              <w:top w:val="single" w:color="auto" w:sz="4" w:space="0"/>
              <w:left w:val="single" w:color="auto" w:sz="4" w:space="0"/>
              <w:bottom w:val="single" w:color="auto" w:sz="4" w:space="0"/>
              <w:right w:val="single" w:color="auto" w:sz="4" w:space="0"/>
            </w:tcBorders>
            <w:vAlign w:val="center"/>
          </w:tcPr>
          <w:p w14:paraId="13919A3F">
            <w:pPr>
              <w:pStyle w:val="28"/>
              <w:bidi w:val="0"/>
            </w:pPr>
            <w:r>
              <w:t>59</w:t>
            </w:r>
          </w:p>
        </w:tc>
        <w:tc>
          <w:tcPr>
            <w:tcW w:w="1416" w:type="dxa"/>
            <w:tcBorders>
              <w:top w:val="single" w:color="auto" w:sz="4" w:space="0"/>
              <w:left w:val="single" w:color="auto" w:sz="4" w:space="0"/>
              <w:bottom w:val="single" w:color="auto" w:sz="4" w:space="0"/>
              <w:right w:val="single" w:color="auto" w:sz="4" w:space="0"/>
            </w:tcBorders>
            <w:vAlign w:val="center"/>
          </w:tcPr>
          <w:p w14:paraId="26609CB2">
            <w:pPr>
              <w:pStyle w:val="28"/>
              <w:bidi w:val="0"/>
            </w:pPr>
            <w:r>
              <w:t>63</w:t>
            </w:r>
          </w:p>
        </w:tc>
        <w:tc>
          <w:tcPr>
            <w:tcW w:w="1211" w:type="dxa"/>
            <w:tcBorders>
              <w:top w:val="single" w:color="auto" w:sz="4" w:space="0"/>
              <w:left w:val="single" w:color="auto" w:sz="4" w:space="0"/>
              <w:bottom w:val="single" w:color="auto" w:sz="4" w:space="0"/>
              <w:right w:val="single" w:color="auto" w:sz="4" w:space="0"/>
            </w:tcBorders>
            <w:vAlign w:val="center"/>
          </w:tcPr>
          <w:p w14:paraId="14F79E0F">
            <w:pPr>
              <w:pStyle w:val="28"/>
              <w:bidi w:val="0"/>
            </w:pPr>
            <w:r>
              <w:t>60</w:t>
            </w:r>
          </w:p>
        </w:tc>
      </w:tr>
      <w:tr w14:paraId="31824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1" w:type="pct"/>
            <w:tcBorders>
              <w:top w:val="single" w:color="auto" w:sz="4" w:space="0"/>
              <w:left w:val="single" w:color="auto" w:sz="4" w:space="0"/>
              <w:bottom w:val="single" w:color="auto" w:sz="4" w:space="0"/>
              <w:right w:val="single" w:color="auto" w:sz="4" w:space="0"/>
            </w:tcBorders>
            <w:vAlign w:val="center"/>
          </w:tcPr>
          <w:p w14:paraId="3C3A18E2">
            <w:pPr>
              <w:pStyle w:val="28"/>
              <w:bidi w:val="0"/>
            </w:pPr>
            <w:r>
              <w:rPr>
                <w:rFonts w:hint="eastAsia"/>
              </w:rPr>
              <w:t>总</w:t>
            </w:r>
            <w:r>
              <w:t>铅</w:t>
            </w:r>
          </w:p>
        </w:tc>
        <w:tc>
          <w:tcPr>
            <w:tcW w:w="744" w:type="pct"/>
            <w:tcBorders>
              <w:top w:val="single" w:color="auto" w:sz="4" w:space="0"/>
              <w:left w:val="single" w:color="auto" w:sz="4" w:space="0"/>
              <w:bottom w:val="single" w:color="auto" w:sz="4" w:space="0"/>
              <w:right w:val="single" w:color="auto" w:sz="4" w:space="0"/>
            </w:tcBorders>
            <w:vAlign w:val="center"/>
          </w:tcPr>
          <w:p w14:paraId="5286AF88">
            <w:pPr>
              <w:pStyle w:val="28"/>
              <w:bidi w:val="0"/>
            </w:pPr>
            <w:r>
              <w:t>mg/kg</w:t>
            </w:r>
          </w:p>
        </w:tc>
        <w:tc>
          <w:tcPr>
            <w:tcW w:w="1314" w:type="dxa"/>
            <w:tcBorders>
              <w:top w:val="single" w:color="auto" w:sz="4" w:space="0"/>
              <w:left w:val="single" w:color="auto" w:sz="4" w:space="0"/>
              <w:bottom w:val="single" w:color="auto" w:sz="4" w:space="0"/>
              <w:right w:val="single" w:color="auto" w:sz="4" w:space="0"/>
            </w:tcBorders>
            <w:vAlign w:val="center"/>
          </w:tcPr>
          <w:p w14:paraId="68DE1B03">
            <w:pPr>
              <w:pStyle w:val="28"/>
              <w:bidi w:val="0"/>
            </w:pPr>
            <w:r>
              <w:t>44</w:t>
            </w:r>
          </w:p>
        </w:tc>
        <w:tc>
          <w:tcPr>
            <w:tcW w:w="1314" w:type="dxa"/>
            <w:tcBorders>
              <w:top w:val="single" w:color="auto" w:sz="4" w:space="0"/>
              <w:left w:val="single" w:color="auto" w:sz="4" w:space="0"/>
              <w:bottom w:val="single" w:color="auto" w:sz="4" w:space="0"/>
              <w:right w:val="single" w:color="auto" w:sz="4" w:space="0"/>
            </w:tcBorders>
            <w:vAlign w:val="center"/>
          </w:tcPr>
          <w:p w14:paraId="42425928">
            <w:pPr>
              <w:pStyle w:val="28"/>
              <w:bidi w:val="0"/>
            </w:pPr>
            <w:r>
              <w:t>49</w:t>
            </w:r>
          </w:p>
        </w:tc>
        <w:tc>
          <w:tcPr>
            <w:tcW w:w="1215" w:type="dxa"/>
            <w:tcBorders>
              <w:top w:val="single" w:color="auto" w:sz="4" w:space="0"/>
              <w:left w:val="single" w:color="auto" w:sz="4" w:space="0"/>
              <w:bottom w:val="single" w:color="auto" w:sz="4" w:space="0"/>
              <w:right w:val="single" w:color="auto" w:sz="4" w:space="0"/>
            </w:tcBorders>
            <w:vAlign w:val="center"/>
          </w:tcPr>
          <w:p w14:paraId="70374DD9">
            <w:pPr>
              <w:pStyle w:val="28"/>
              <w:bidi w:val="0"/>
            </w:pPr>
            <w:r>
              <w:t>60</w:t>
            </w:r>
          </w:p>
        </w:tc>
        <w:tc>
          <w:tcPr>
            <w:tcW w:w="1416" w:type="dxa"/>
            <w:tcBorders>
              <w:top w:val="single" w:color="auto" w:sz="4" w:space="0"/>
              <w:left w:val="single" w:color="auto" w:sz="4" w:space="0"/>
              <w:bottom w:val="single" w:color="auto" w:sz="4" w:space="0"/>
              <w:right w:val="single" w:color="auto" w:sz="4" w:space="0"/>
            </w:tcBorders>
            <w:vAlign w:val="center"/>
          </w:tcPr>
          <w:p w14:paraId="505D4DDD">
            <w:pPr>
              <w:pStyle w:val="28"/>
              <w:bidi w:val="0"/>
            </w:pPr>
            <w:r>
              <w:t>62</w:t>
            </w:r>
          </w:p>
        </w:tc>
        <w:tc>
          <w:tcPr>
            <w:tcW w:w="1211" w:type="dxa"/>
            <w:tcBorders>
              <w:top w:val="single" w:color="auto" w:sz="4" w:space="0"/>
              <w:left w:val="single" w:color="auto" w:sz="4" w:space="0"/>
              <w:bottom w:val="single" w:color="auto" w:sz="4" w:space="0"/>
              <w:right w:val="single" w:color="auto" w:sz="4" w:space="0"/>
            </w:tcBorders>
            <w:vAlign w:val="center"/>
          </w:tcPr>
          <w:p w14:paraId="77692D00">
            <w:pPr>
              <w:pStyle w:val="28"/>
              <w:bidi w:val="0"/>
            </w:pPr>
            <w:r>
              <w:t>50</w:t>
            </w:r>
          </w:p>
        </w:tc>
      </w:tr>
      <w:tr w14:paraId="24935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1" w:type="pct"/>
            <w:tcBorders>
              <w:top w:val="single" w:color="auto" w:sz="4" w:space="0"/>
              <w:left w:val="single" w:color="auto" w:sz="4" w:space="0"/>
              <w:bottom w:val="single" w:color="auto" w:sz="4" w:space="0"/>
              <w:right w:val="single" w:color="auto" w:sz="4" w:space="0"/>
            </w:tcBorders>
            <w:vAlign w:val="center"/>
          </w:tcPr>
          <w:p w14:paraId="40E6A81B">
            <w:pPr>
              <w:pStyle w:val="28"/>
              <w:bidi w:val="0"/>
            </w:pPr>
            <w:r>
              <w:rPr>
                <w:rFonts w:hint="eastAsia"/>
              </w:rPr>
              <w:t>总</w:t>
            </w:r>
            <w:r>
              <w:t>镍</w:t>
            </w:r>
          </w:p>
        </w:tc>
        <w:tc>
          <w:tcPr>
            <w:tcW w:w="744" w:type="pct"/>
            <w:tcBorders>
              <w:top w:val="single" w:color="auto" w:sz="4" w:space="0"/>
              <w:left w:val="single" w:color="auto" w:sz="4" w:space="0"/>
              <w:bottom w:val="single" w:color="auto" w:sz="4" w:space="0"/>
              <w:right w:val="single" w:color="auto" w:sz="4" w:space="0"/>
            </w:tcBorders>
            <w:vAlign w:val="center"/>
          </w:tcPr>
          <w:p w14:paraId="6BEE1783">
            <w:pPr>
              <w:pStyle w:val="28"/>
              <w:bidi w:val="0"/>
            </w:pPr>
            <w:r>
              <w:t>mg/kg</w:t>
            </w:r>
          </w:p>
        </w:tc>
        <w:tc>
          <w:tcPr>
            <w:tcW w:w="1314" w:type="dxa"/>
            <w:tcBorders>
              <w:top w:val="single" w:color="auto" w:sz="4" w:space="0"/>
              <w:left w:val="single" w:color="auto" w:sz="4" w:space="0"/>
              <w:bottom w:val="single" w:color="auto" w:sz="4" w:space="0"/>
              <w:right w:val="single" w:color="auto" w:sz="4" w:space="0"/>
            </w:tcBorders>
            <w:vAlign w:val="center"/>
          </w:tcPr>
          <w:p w14:paraId="259FC251">
            <w:pPr>
              <w:pStyle w:val="28"/>
              <w:bidi w:val="0"/>
            </w:pPr>
            <w:r>
              <w:t>67</w:t>
            </w:r>
          </w:p>
        </w:tc>
        <w:tc>
          <w:tcPr>
            <w:tcW w:w="1314" w:type="dxa"/>
            <w:tcBorders>
              <w:top w:val="single" w:color="auto" w:sz="4" w:space="0"/>
              <w:left w:val="single" w:color="auto" w:sz="4" w:space="0"/>
              <w:bottom w:val="single" w:color="auto" w:sz="4" w:space="0"/>
              <w:right w:val="single" w:color="auto" w:sz="4" w:space="0"/>
            </w:tcBorders>
            <w:vAlign w:val="center"/>
          </w:tcPr>
          <w:p w14:paraId="3D257521">
            <w:pPr>
              <w:pStyle w:val="28"/>
              <w:bidi w:val="0"/>
            </w:pPr>
            <w:r>
              <w:t>59</w:t>
            </w:r>
          </w:p>
        </w:tc>
        <w:tc>
          <w:tcPr>
            <w:tcW w:w="1215" w:type="dxa"/>
            <w:tcBorders>
              <w:top w:val="single" w:color="auto" w:sz="4" w:space="0"/>
              <w:left w:val="single" w:color="auto" w:sz="4" w:space="0"/>
              <w:bottom w:val="single" w:color="auto" w:sz="4" w:space="0"/>
              <w:right w:val="single" w:color="auto" w:sz="4" w:space="0"/>
            </w:tcBorders>
            <w:vAlign w:val="center"/>
          </w:tcPr>
          <w:p w14:paraId="792D3183">
            <w:pPr>
              <w:pStyle w:val="28"/>
              <w:bidi w:val="0"/>
            </w:pPr>
            <w:r>
              <w:t>75</w:t>
            </w:r>
          </w:p>
        </w:tc>
        <w:tc>
          <w:tcPr>
            <w:tcW w:w="1416" w:type="dxa"/>
            <w:tcBorders>
              <w:top w:val="single" w:color="auto" w:sz="4" w:space="0"/>
              <w:left w:val="single" w:color="auto" w:sz="4" w:space="0"/>
              <w:bottom w:val="single" w:color="auto" w:sz="4" w:space="0"/>
              <w:right w:val="single" w:color="auto" w:sz="4" w:space="0"/>
            </w:tcBorders>
            <w:vAlign w:val="center"/>
          </w:tcPr>
          <w:p w14:paraId="0F75A570">
            <w:pPr>
              <w:pStyle w:val="28"/>
              <w:bidi w:val="0"/>
            </w:pPr>
            <w:r>
              <w:t>88</w:t>
            </w:r>
          </w:p>
        </w:tc>
        <w:tc>
          <w:tcPr>
            <w:tcW w:w="1211" w:type="dxa"/>
            <w:tcBorders>
              <w:top w:val="single" w:color="auto" w:sz="4" w:space="0"/>
              <w:left w:val="single" w:color="auto" w:sz="4" w:space="0"/>
              <w:bottom w:val="single" w:color="auto" w:sz="4" w:space="0"/>
              <w:right w:val="single" w:color="auto" w:sz="4" w:space="0"/>
            </w:tcBorders>
            <w:vAlign w:val="center"/>
          </w:tcPr>
          <w:p w14:paraId="33CDC7EA">
            <w:pPr>
              <w:pStyle w:val="28"/>
              <w:bidi w:val="0"/>
            </w:pPr>
            <w:r>
              <w:t>58</w:t>
            </w:r>
          </w:p>
        </w:tc>
      </w:tr>
      <w:tr w14:paraId="299876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31" w:type="pct"/>
            <w:tcBorders>
              <w:top w:val="single" w:color="auto" w:sz="4" w:space="0"/>
              <w:left w:val="single" w:color="auto" w:sz="4" w:space="0"/>
              <w:bottom w:val="single" w:color="auto" w:sz="4" w:space="0"/>
              <w:right w:val="single" w:color="auto" w:sz="4" w:space="0"/>
            </w:tcBorders>
            <w:vAlign w:val="center"/>
          </w:tcPr>
          <w:p w14:paraId="5F852F94">
            <w:pPr>
              <w:pStyle w:val="28"/>
              <w:bidi w:val="0"/>
            </w:pPr>
            <w:r>
              <w:rPr>
                <w:rFonts w:hint="eastAsia"/>
              </w:rPr>
              <w:t>总</w:t>
            </w:r>
            <w:r>
              <w:t>镉</w:t>
            </w:r>
          </w:p>
        </w:tc>
        <w:tc>
          <w:tcPr>
            <w:tcW w:w="744" w:type="pct"/>
            <w:tcBorders>
              <w:top w:val="single" w:color="auto" w:sz="4" w:space="0"/>
              <w:left w:val="single" w:color="auto" w:sz="4" w:space="0"/>
              <w:bottom w:val="single" w:color="auto" w:sz="4" w:space="0"/>
              <w:right w:val="single" w:color="auto" w:sz="4" w:space="0"/>
            </w:tcBorders>
            <w:vAlign w:val="center"/>
          </w:tcPr>
          <w:p w14:paraId="2B8F991A">
            <w:pPr>
              <w:pStyle w:val="28"/>
              <w:bidi w:val="0"/>
            </w:pPr>
            <w:r>
              <w:t>mg/kg</w:t>
            </w:r>
          </w:p>
        </w:tc>
        <w:tc>
          <w:tcPr>
            <w:tcW w:w="1314" w:type="dxa"/>
            <w:tcBorders>
              <w:top w:val="single" w:color="auto" w:sz="4" w:space="0"/>
              <w:left w:val="single" w:color="auto" w:sz="4" w:space="0"/>
              <w:bottom w:val="single" w:color="auto" w:sz="4" w:space="0"/>
              <w:right w:val="single" w:color="auto" w:sz="4" w:space="0"/>
            </w:tcBorders>
            <w:vAlign w:val="center"/>
          </w:tcPr>
          <w:p w14:paraId="0D401F82">
            <w:pPr>
              <w:pStyle w:val="28"/>
              <w:bidi w:val="0"/>
            </w:pPr>
            <w:r>
              <w:t>0.42</w:t>
            </w:r>
          </w:p>
        </w:tc>
        <w:tc>
          <w:tcPr>
            <w:tcW w:w="1314" w:type="dxa"/>
            <w:tcBorders>
              <w:top w:val="single" w:color="auto" w:sz="4" w:space="0"/>
              <w:left w:val="single" w:color="auto" w:sz="4" w:space="0"/>
              <w:bottom w:val="single" w:color="auto" w:sz="4" w:space="0"/>
              <w:right w:val="single" w:color="auto" w:sz="4" w:space="0"/>
            </w:tcBorders>
            <w:vAlign w:val="center"/>
          </w:tcPr>
          <w:p w14:paraId="38D289D4">
            <w:pPr>
              <w:pStyle w:val="28"/>
              <w:bidi w:val="0"/>
            </w:pPr>
            <w:r>
              <w:t>0.27</w:t>
            </w:r>
          </w:p>
        </w:tc>
        <w:tc>
          <w:tcPr>
            <w:tcW w:w="1215" w:type="dxa"/>
            <w:tcBorders>
              <w:top w:val="single" w:color="auto" w:sz="4" w:space="0"/>
              <w:left w:val="single" w:color="auto" w:sz="4" w:space="0"/>
              <w:bottom w:val="single" w:color="auto" w:sz="4" w:space="0"/>
              <w:right w:val="single" w:color="auto" w:sz="4" w:space="0"/>
            </w:tcBorders>
            <w:vAlign w:val="center"/>
          </w:tcPr>
          <w:p w14:paraId="6345005A">
            <w:pPr>
              <w:pStyle w:val="28"/>
              <w:bidi w:val="0"/>
            </w:pPr>
            <w:r>
              <w:t>0.31</w:t>
            </w:r>
          </w:p>
        </w:tc>
        <w:tc>
          <w:tcPr>
            <w:tcW w:w="1416" w:type="dxa"/>
            <w:tcBorders>
              <w:top w:val="single" w:color="auto" w:sz="4" w:space="0"/>
              <w:left w:val="single" w:color="auto" w:sz="4" w:space="0"/>
              <w:bottom w:val="single" w:color="auto" w:sz="4" w:space="0"/>
              <w:right w:val="single" w:color="auto" w:sz="4" w:space="0"/>
            </w:tcBorders>
            <w:vAlign w:val="center"/>
          </w:tcPr>
          <w:p w14:paraId="4C62AF58">
            <w:pPr>
              <w:pStyle w:val="28"/>
              <w:bidi w:val="0"/>
            </w:pPr>
            <w:r>
              <w:t>0.31</w:t>
            </w:r>
          </w:p>
        </w:tc>
        <w:tc>
          <w:tcPr>
            <w:tcW w:w="1211" w:type="dxa"/>
            <w:tcBorders>
              <w:top w:val="single" w:color="auto" w:sz="4" w:space="0"/>
              <w:left w:val="single" w:color="auto" w:sz="4" w:space="0"/>
              <w:bottom w:val="single" w:color="auto" w:sz="4" w:space="0"/>
              <w:right w:val="single" w:color="auto" w:sz="4" w:space="0"/>
            </w:tcBorders>
            <w:vAlign w:val="center"/>
          </w:tcPr>
          <w:p w14:paraId="1256B03E">
            <w:pPr>
              <w:pStyle w:val="28"/>
              <w:bidi w:val="0"/>
            </w:pPr>
            <w:r>
              <w:t>0.44</w:t>
            </w:r>
          </w:p>
        </w:tc>
      </w:tr>
      <w:tr w14:paraId="5B118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931" w:type="pct"/>
            <w:tcBorders>
              <w:top w:val="single" w:color="auto" w:sz="4" w:space="0"/>
              <w:left w:val="single" w:color="auto" w:sz="4" w:space="0"/>
              <w:bottom w:val="single" w:color="auto" w:sz="4" w:space="0"/>
              <w:right w:val="single" w:color="auto" w:sz="4" w:space="0"/>
            </w:tcBorders>
            <w:vAlign w:val="center"/>
          </w:tcPr>
          <w:p w14:paraId="522CBCBF">
            <w:pPr>
              <w:pStyle w:val="28"/>
              <w:bidi w:val="0"/>
            </w:pPr>
            <w:r>
              <w:rPr>
                <w:rFonts w:hint="eastAsia"/>
              </w:rPr>
              <w:t>总</w:t>
            </w:r>
            <w:r>
              <w:t>铬</w:t>
            </w:r>
          </w:p>
        </w:tc>
        <w:tc>
          <w:tcPr>
            <w:tcW w:w="744" w:type="pct"/>
            <w:tcBorders>
              <w:top w:val="single" w:color="auto" w:sz="4" w:space="0"/>
              <w:left w:val="single" w:color="auto" w:sz="4" w:space="0"/>
              <w:bottom w:val="single" w:color="auto" w:sz="4" w:space="0"/>
              <w:right w:val="single" w:color="auto" w:sz="4" w:space="0"/>
            </w:tcBorders>
            <w:vAlign w:val="center"/>
          </w:tcPr>
          <w:p w14:paraId="60695C91">
            <w:pPr>
              <w:pStyle w:val="28"/>
              <w:bidi w:val="0"/>
            </w:pPr>
            <w:r>
              <w:t>mg/kg</w:t>
            </w:r>
          </w:p>
        </w:tc>
        <w:tc>
          <w:tcPr>
            <w:tcW w:w="1314" w:type="dxa"/>
            <w:tcBorders>
              <w:top w:val="single" w:color="auto" w:sz="4" w:space="0"/>
              <w:left w:val="single" w:color="auto" w:sz="4" w:space="0"/>
              <w:bottom w:val="single" w:color="auto" w:sz="4" w:space="0"/>
              <w:right w:val="single" w:color="auto" w:sz="4" w:space="0"/>
            </w:tcBorders>
            <w:vAlign w:val="center"/>
          </w:tcPr>
          <w:p w14:paraId="680D26FF">
            <w:pPr>
              <w:pStyle w:val="28"/>
              <w:bidi w:val="0"/>
            </w:pPr>
            <w:r>
              <w:t>116</w:t>
            </w:r>
          </w:p>
        </w:tc>
        <w:tc>
          <w:tcPr>
            <w:tcW w:w="1314" w:type="dxa"/>
            <w:tcBorders>
              <w:top w:val="single" w:color="auto" w:sz="4" w:space="0"/>
              <w:left w:val="single" w:color="auto" w:sz="4" w:space="0"/>
              <w:bottom w:val="single" w:color="auto" w:sz="4" w:space="0"/>
              <w:right w:val="single" w:color="auto" w:sz="4" w:space="0"/>
            </w:tcBorders>
            <w:vAlign w:val="center"/>
          </w:tcPr>
          <w:p w14:paraId="24847EE7">
            <w:pPr>
              <w:pStyle w:val="28"/>
              <w:bidi w:val="0"/>
            </w:pPr>
            <w:r>
              <w:t>117</w:t>
            </w:r>
          </w:p>
        </w:tc>
        <w:tc>
          <w:tcPr>
            <w:tcW w:w="1215" w:type="dxa"/>
            <w:tcBorders>
              <w:top w:val="single" w:color="auto" w:sz="4" w:space="0"/>
              <w:left w:val="single" w:color="auto" w:sz="4" w:space="0"/>
              <w:bottom w:val="single" w:color="auto" w:sz="4" w:space="0"/>
              <w:right w:val="single" w:color="auto" w:sz="4" w:space="0"/>
            </w:tcBorders>
            <w:vAlign w:val="center"/>
          </w:tcPr>
          <w:p w14:paraId="4B143CE9">
            <w:pPr>
              <w:pStyle w:val="28"/>
              <w:bidi w:val="0"/>
            </w:pPr>
            <w:r>
              <w:t>88</w:t>
            </w:r>
          </w:p>
        </w:tc>
        <w:tc>
          <w:tcPr>
            <w:tcW w:w="1416" w:type="dxa"/>
            <w:tcBorders>
              <w:top w:val="single" w:color="auto" w:sz="4" w:space="0"/>
              <w:left w:val="single" w:color="auto" w:sz="4" w:space="0"/>
              <w:bottom w:val="single" w:color="auto" w:sz="4" w:space="0"/>
              <w:right w:val="single" w:color="auto" w:sz="4" w:space="0"/>
            </w:tcBorders>
            <w:vAlign w:val="center"/>
          </w:tcPr>
          <w:p w14:paraId="70F64ED1">
            <w:pPr>
              <w:pStyle w:val="28"/>
              <w:bidi w:val="0"/>
            </w:pPr>
            <w:r>
              <w:t>146</w:t>
            </w:r>
          </w:p>
        </w:tc>
        <w:tc>
          <w:tcPr>
            <w:tcW w:w="1211" w:type="dxa"/>
            <w:tcBorders>
              <w:top w:val="single" w:color="auto" w:sz="4" w:space="0"/>
              <w:left w:val="single" w:color="auto" w:sz="4" w:space="0"/>
              <w:bottom w:val="single" w:color="auto" w:sz="4" w:space="0"/>
              <w:right w:val="single" w:color="auto" w:sz="4" w:space="0"/>
            </w:tcBorders>
            <w:vAlign w:val="center"/>
          </w:tcPr>
          <w:p w14:paraId="0FA3C1C9">
            <w:pPr>
              <w:pStyle w:val="28"/>
              <w:bidi w:val="0"/>
            </w:pPr>
            <w:r>
              <w:t>106</w:t>
            </w:r>
          </w:p>
        </w:tc>
      </w:tr>
    </w:tbl>
    <w:p w14:paraId="3B23DCB2">
      <w:pPr>
        <w:adjustRightInd w:val="0"/>
        <w:spacing w:line="240" w:lineRule="auto"/>
        <w:ind w:firstLine="480" w:firstLineChars="200"/>
        <w:textAlignment w:val="center"/>
        <w:rPr>
          <w:rFonts w:cs="Times New Roman"/>
          <w:color w:val="0000FF"/>
        </w:rPr>
      </w:pPr>
    </w:p>
    <w:p w14:paraId="5A887451">
      <w:pPr>
        <w:autoSpaceDE w:val="0"/>
        <w:autoSpaceDN w:val="0"/>
        <w:adjustRightInd w:val="0"/>
        <w:ind w:firstLine="480" w:firstLineChars="200"/>
        <w:textAlignment w:val="center"/>
        <w:rPr>
          <w:rFonts w:cs="Times New Roman"/>
          <w:bCs/>
        </w:rPr>
      </w:pPr>
      <w:r>
        <w:rPr>
          <w:rFonts w:cs="Times New Roman"/>
          <w:bCs/>
        </w:rPr>
        <w:t>（5）评价标准及评价方法</w:t>
      </w:r>
    </w:p>
    <w:p w14:paraId="3878E074">
      <w:pPr>
        <w:adjustRightInd w:val="0"/>
        <w:ind w:firstLine="720" w:firstLineChars="300"/>
        <w:textAlignment w:val="center"/>
        <w:rPr>
          <w:rFonts w:cs="Times New Roman"/>
          <w:snapToGrid w:val="0"/>
        </w:rPr>
      </w:pPr>
      <w:r>
        <w:rPr>
          <w:rFonts w:cs="Times New Roman"/>
          <w:bCs/>
        </w:rPr>
        <w:t>①评价标准：</w:t>
      </w:r>
      <w:r>
        <w:rPr>
          <w:rFonts w:cs="Times New Roman"/>
          <w:snapToGrid w:val="0"/>
        </w:rPr>
        <w:t>底质现状评价执行《</w:t>
      </w:r>
      <w:r>
        <w:rPr>
          <w:rFonts w:hint="eastAsia" w:ascii="宋体"/>
          <w:szCs w:val="20"/>
        </w:rPr>
        <w:t>土壤环境质量 农用地土壤污染风险管控标准（试行）</w:t>
      </w:r>
      <w:r>
        <w:rPr>
          <w:rFonts w:cs="Times New Roman"/>
          <w:snapToGrid w:val="0"/>
        </w:rPr>
        <w:t>》（GB 15618-2018）相应标准。</w:t>
      </w:r>
    </w:p>
    <w:p w14:paraId="4020BDA3">
      <w:pPr>
        <w:autoSpaceDE w:val="0"/>
        <w:autoSpaceDN w:val="0"/>
        <w:adjustRightInd w:val="0"/>
        <w:ind w:firstLine="720" w:firstLineChars="300"/>
        <w:textAlignment w:val="center"/>
        <w:rPr>
          <w:rFonts w:cs="Times New Roman"/>
          <w:b/>
        </w:rPr>
      </w:pPr>
      <w:r>
        <w:rPr>
          <w:rFonts w:cs="Times New Roman"/>
          <w:bCs/>
        </w:rPr>
        <w:t>②评价方法：</w:t>
      </w:r>
      <w:r>
        <w:rPr>
          <w:rFonts w:cs="Times New Roman"/>
        </w:rPr>
        <w:t>采用标准指数法，公式为：</w:t>
      </w:r>
    </w:p>
    <w:p w14:paraId="17117F38">
      <w:pPr>
        <w:adjustRightInd w:val="0"/>
        <w:jc w:val="center"/>
        <w:textAlignment w:val="center"/>
        <w:rPr>
          <w:rFonts w:cs="Times New Roman"/>
          <w:snapToGrid w:val="0"/>
        </w:rPr>
      </w:pPr>
      <w:r>
        <w:rPr>
          <w:rFonts w:cs="Times New Roman"/>
        </w:rPr>
        <w:drawing>
          <wp:inline distT="0" distB="0" distL="114300" distR="114300">
            <wp:extent cx="990600" cy="563880"/>
            <wp:effectExtent l="0" t="0" r="0" b="7620"/>
            <wp:docPr id="47" name="图片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720"/>
                    <pic:cNvPicPr>
                      <a:picLocks noChangeAspect="1"/>
                    </pic:cNvPicPr>
                  </pic:nvPicPr>
                  <pic:blipFill>
                    <a:blip r:embed="rId127"/>
                    <a:stretch>
                      <a:fillRect/>
                    </a:stretch>
                  </pic:blipFill>
                  <pic:spPr>
                    <a:xfrm>
                      <a:off x="0" y="0"/>
                      <a:ext cx="990600" cy="563880"/>
                    </a:xfrm>
                    <a:prstGeom prst="rect">
                      <a:avLst/>
                    </a:prstGeom>
                    <a:noFill/>
                    <a:ln>
                      <a:noFill/>
                    </a:ln>
                  </pic:spPr>
                </pic:pic>
              </a:graphicData>
            </a:graphic>
          </wp:inline>
        </w:drawing>
      </w:r>
    </w:p>
    <w:p w14:paraId="08BEB1C6">
      <w:pPr>
        <w:adjustRightInd w:val="0"/>
        <w:ind w:firstLine="480" w:firstLineChars="200"/>
        <w:textAlignment w:val="center"/>
        <w:rPr>
          <w:rFonts w:cs="Times New Roman"/>
          <w:snapToGrid w:val="0"/>
        </w:rPr>
      </w:pPr>
      <w:r>
        <w:rPr>
          <w:rFonts w:cs="Times New Roman"/>
          <w:snapToGrid w:val="0"/>
        </w:rPr>
        <w:t>式中：I</w:t>
      </w:r>
      <w:r>
        <w:rPr>
          <w:rFonts w:cs="Times New Roman"/>
          <w:snapToGrid w:val="0"/>
          <w:vertAlign w:val="subscript"/>
        </w:rPr>
        <w:t>i</w:t>
      </w:r>
      <w:r>
        <w:rPr>
          <w:rFonts w:cs="Times New Roman"/>
          <w:snapToGrid w:val="0"/>
        </w:rPr>
        <w:t>——第i项污染物的标准指数；</w:t>
      </w:r>
    </w:p>
    <w:p w14:paraId="68522067">
      <w:pPr>
        <w:adjustRightInd w:val="0"/>
        <w:ind w:firstLine="960" w:firstLineChars="400"/>
        <w:textAlignment w:val="center"/>
        <w:rPr>
          <w:rFonts w:cs="Times New Roman"/>
          <w:snapToGrid w:val="0"/>
        </w:rPr>
      </w:pPr>
      <w:r>
        <w:rPr>
          <w:rFonts w:cs="Times New Roman"/>
          <w:snapToGrid w:val="0"/>
        </w:rPr>
        <w:t>C</w:t>
      </w:r>
      <w:r>
        <w:rPr>
          <w:rFonts w:cs="Times New Roman"/>
          <w:snapToGrid w:val="0"/>
          <w:vertAlign w:val="subscript"/>
        </w:rPr>
        <w:t>i</w:t>
      </w:r>
      <w:r>
        <w:rPr>
          <w:rFonts w:cs="Times New Roman"/>
          <w:snapToGrid w:val="0"/>
        </w:rPr>
        <w:t>——第i项污染物的实测浓度；</w:t>
      </w:r>
    </w:p>
    <w:p w14:paraId="4586018E">
      <w:pPr>
        <w:adjustRightInd w:val="0"/>
        <w:ind w:firstLine="960" w:firstLineChars="400"/>
        <w:textAlignment w:val="center"/>
        <w:rPr>
          <w:rFonts w:cs="Times New Roman"/>
          <w:snapToGrid w:val="0"/>
        </w:rPr>
      </w:pPr>
      <w:r>
        <w:rPr>
          <w:rFonts w:cs="Times New Roman"/>
          <w:snapToGrid w:val="0"/>
        </w:rPr>
        <w:t>S</w:t>
      </w:r>
      <w:r>
        <w:rPr>
          <w:rFonts w:cs="Times New Roman"/>
          <w:snapToGrid w:val="0"/>
          <w:vertAlign w:val="subscript"/>
        </w:rPr>
        <w:t>i</w:t>
      </w:r>
      <w:r>
        <w:rPr>
          <w:rFonts w:cs="Times New Roman"/>
          <w:snapToGrid w:val="0"/>
        </w:rPr>
        <w:t>——第i项污染物的评价标准。</w:t>
      </w:r>
    </w:p>
    <w:p w14:paraId="192BD7BE">
      <w:pPr>
        <w:adjustRightInd w:val="0"/>
        <w:ind w:firstLine="480" w:firstLineChars="200"/>
        <w:textAlignment w:val="center"/>
        <w:rPr>
          <w:rFonts w:cs="Times New Roman"/>
          <w:bCs/>
          <w:snapToGrid w:val="0"/>
        </w:rPr>
      </w:pPr>
      <w:r>
        <w:rPr>
          <w:rFonts w:cs="Times New Roman"/>
          <w:bCs/>
          <w:snapToGrid w:val="0"/>
        </w:rPr>
        <w:t>（6）评价结果</w:t>
      </w:r>
    </w:p>
    <w:p w14:paraId="0E570126">
      <w:pPr>
        <w:adjustRightInd w:val="0"/>
        <w:ind w:firstLine="480" w:firstLineChars="200"/>
        <w:textAlignment w:val="center"/>
        <w:rPr>
          <w:rFonts w:cs="Times New Roman"/>
          <w:snapToGrid w:val="0"/>
        </w:rPr>
      </w:pPr>
      <w:r>
        <w:rPr>
          <w:rFonts w:cs="Times New Roman"/>
          <w:snapToGrid w:val="0"/>
        </w:rPr>
        <w:t>各监测点底质标准指数I</w:t>
      </w:r>
      <w:r>
        <w:rPr>
          <w:rFonts w:cs="Times New Roman"/>
          <w:snapToGrid w:val="0"/>
          <w:vertAlign w:val="subscript"/>
        </w:rPr>
        <w:t>i</w:t>
      </w:r>
      <w:r>
        <w:rPr>
          <w:rFonts w:cs="Times New Roman"/>
          <w:snapToGrid w:val="0"/>
        </w:rPr>
        <w:t>值列于下表。</w:t>
      </w:r>
    </w:p>
    <w:p w14:paraId="23FE4A7B">
      <w:pPr>
        <w:pStyle w:val="29"/>
        <w:bidi w:val="0"/>
      </w:pPr>
      <w:r>
        <w:t>表</w:t>
      </w:r>
      <w:r>
        <w:rPr>
          <w:rFonts w:hint="eastAsia"/>
          <w:lang w:eastAsia="zh-CN"/>
        </w:rPr>
        <w:t>4.2</w:t>
      </w:r>
      <w:r>
        <w:t>-</w:t>
      </w:r>
      <w:r>
        <w:rPr>
          <w:rFonts w:hint="eastAsia"/>
          <w:lang w:val="en-US" w:eastAsia="zh-CN"/>
        </w:rPr>
        <w:t>14</w:t>
      </w:r>
      <w:r>
        <w:t xml:space="preserve">  渠道底质环境质量现状评价结果一览表</w:t>
      </w:r>
    </w:p>
    <w:tbl>
      <w:tblPr>
        <w:tblStyle w:val="16"/>
        <w:tblW w:w="499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84"/>
        <w:gridCol w:w="1641"/>
        <w:gridCol w:w="1441"/>
        <w:gridCol w:w="1118"/>
        <w:gridCol w:w="1122"/>
        <w:gridCol w:w="1126"/>
        <w:gridCol w:w="1038"/>
      </w:tblGrid>
      <w:tr w14:paraId="3E689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62" w:type="pct"/>
            <w:vMerge w:val="restart"/>
            <w:tcBorders>
              <w:top w:val="single" w:color="auto" w:sz="4" w:space="0"/>
              <w:left w:val="single" w:color="auto" w:sz="4" w:space="0"/>
              <w:right w:val="single" w:color="auto" w:sz="4" w:space="0"/>
            </w:tcBorders>
            <w:vAlign w:val="center"/>
          </w:tcPr>
          <w:p w14:paraId="6BC8416F">
            <w:pPr>
              <w:pStyle w:val="28"/>
              <w:bidi w:val="0"/>
            </w:pPr>
            <w:r>
              <w:t>检测项目</w:t>
            </w:r>
          </w:p>
        </w:tc>
        <w:tc>
          <w:tcPr>
            <w:tcW w:w="885" w:type="pct"/>
            <w:tcBorders>
              <w:top w:val="single" w:color="auto" w:sz="4" w:space="0"/>
              <w:left w:val="single" w:color="auto" w:sz="4" w:space="0"/>
              <w:bottom w:val="single" w:color="auto" w:sz="4" w:space="0"/>
              <w:right w:val="single" w:color="auto" w:sz="4" w:space="0"/>
            </w:tcBorders>
            <w:vAlign w:val="center"/>
          </w:tcPr>
          <w:p w14:paraId="6CFE9ADB">
            <w:pPr>
              <w:pStyle w:val="28"/>
              <w:bidi w:val="0"/>
            </w:pPr>
            <w:r>
              <w:t>标准值</w:t>
            </w:r>
          </w:p>
        </w:tc>
        <w:tc>
          <w:tcPr>
            <w:tcW w:w="3151" w:type="pct"/>
            <w:gridSpan w:val="5"/>
            <w:tcBorders>
              <w:top w:val="single" w:color="auto" w:sz="4" w:space="0"/>
              <w:left w:val="single" w:color="auto" w:sz="4" w:space="0"/>
              <w:bottom w:val="single" w:color="auto" w:sz="4" w:space="0"/>
              <w:right w:val="single" w:color="auto" w:sz="4" w:space="0"/>
            </w:tcBorders>
            <w:vAlign w:val="center"/>
          </w:tcPr>
          <w:p w14:paraId="448C7BF6">
            <w:pPr>
              <w:pStyle w:val="28"/>
              <w:bidi w:val="0"/>
            </w:pPr>
            <w:r>
              <w:t>评价结果</w:t>
            </w:r>
          </w:p>
        </w:tc>
      </w:tr>
      <w:tr w14:paraId="2EA32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62" w:type="pct"/>
            <w:vMerge w:val="continue"/>
            <w:tcBorders>
              <w:left w:val="single" w:color="auto" w:sz="4" w:space="0"/>
              <w:bottom w:val="single" w:color="auto" w:sz="4" w:space="0"/>
              <w:right w:val="single" w:color="auto" w:sz="4" w:space="0"/>
            </w:tcBorders>
            <w:vAlign w:val="center"/>
          </w:tcPr>
          <w:p w14:paraId="190B3270">
            <w:pPr>
              <w:pStyle w:val="28"/>
              <w:bidi w:val="0"/>
            </w:pPr>
          </w:p>
        </w:tc>
        <w:tc>
          <w:tcPr>
            <w:tcW w:w="885" w:type="pct"/>
            <w:tcBorders>
              <w:top w:val="single" w:color="auto" w:sz="4" w:space="0"/>
              <w:left w:val="single" w:color="auto" w:sz="4" w:space="0"/>
              <w:bottom w:val="single" w:color="auto" w:sz="4" w:space="0"/>
              <w:right w:val="single" w:color="auto" w:sz="4" w:space="0"/>
            </w:tcBorders>
            <w:vAlign w:val="center"/>
          </w:tcPr>
          <w:p w14:paraId="6675F1F9">
            <w:pPr>
              <w:pStyle w:val="28"/>
              <w:bidi w:val="0"/>
            </w:pPr>
            <w:r>
              <w:t>6.5＜pH≤7.5</w:t>
            </w:r>
          </w:p>
        </w:tc>
        <w:tc>
          <w:tcPr>
            <w:tcW w:w="777" w:type="pct"/>
            <w:tcBorders>
              <w:top w:val="single" w:color="auto" w:sz="4" w:space="0"/>
              <w:left w:val="single" w:color="auto" w:sz="4" w:space="0"/>
              <w:bottom w:val="single" w:color="auto" w:sz="4" w:space="0"/>
              <w:right w:val="single" w:color="auto" w:sz="4" w:space="0"/>
            </w:tcBorders>
            <w:vAlign w:val="center"/>
          </w:tcPr>
          <w:p w14:paraId="68E77ADE">
            <w:pPr>
              <w:pStyle w:val="28"/>
              <w:bidi w:val="0"/>
            </w:pPr>
            <w:r>
              <w:rPr>
                <w:rFonts w:hint="eastAsia"/>
              </w:rPr>
              <w:t>S1</w:t>
            </w:r>
          </w:p>
        </w:tc>
        <w:tc>
          <w:tcPr>
            <w:tcW w:w="603" w:type="pct"/>
            <w:tcBorders>
              <w:top w:val="single" w:color="auto" w:sz="4" w:space="0"/>
              <w:left w:val="single" w:color="auto" w:sz="4" w:space="0"/>
              <w:bottom w:val="single" w:color="auto" w:sz="4" w:space="0"/>
              <w:right w:val="single" w:color="auto" w:sz="4" w:space="0"/>
            </w:tcBorders>
            <w:vAlign w:val="center"/>
          </w:tcPr>
          <w:p w14:paraId="70B24CE7">
            <w:pPr>
              <w:pStyle w:val="28"/>
              <w:bidi w:val="0"/>
            </w:pPr>
            <w:r>
              <w:rPr>
                <w:rFonts w:hint="eastAsia"/>
              </w:rPr>
              <w:t>S2</w:t>
            </w:r>
          </w:p>
        </w:tc>
        <w:tc>
          <w:tcPr>
            <w:tcW w:w="605" w:type="pct"/>
            <w:tcBorders>
              <w:top w:val="single" w:color="auto" w:sz="4" w:space="0"/>
              <w:left w:val="single" w:color="auto" w:sz="4" w:space="0"/>
              <w:bottom w:val="single" w:color="auto" w:sz="4" w:space="0"/>
              <w:right w:val="single" w:color="auto" w:sz="4" w:space="0"/>
            </w:tcBorders>
            <w:vAlign w:val="center"/>
          </w:tcPr>
          <w:p w14:paraId="59A86562">
            <w:pPr>
              <w:pStyle w:val="28"/>
              <w:bidi w:val="0"/>
            </w:pPr>
            <w:r>
              <w:rPr>
                <w:rFonts w:hint="eastAsia"/>
              </w:rPr>
              <w:t>S3</w:t>
            </w:r>
          </w:p>
        </w:tc>
        <w:tc>
          <w:tcPr>
            <w:tcW w:w="607" w:type="pct"/>
            <w:tcBorders>
              <w:top w:val="single" w:color="auto" w:sz="4" w:space="0"/>
              <w:left w:val="single" w:color="auto" w:sz="4" w:space="0"/>
              <w:bottom w:val="single" w:color="auto" w:sz="4" w:space="0"/>
              <w:right w:val="single" w:color="auto" w:sz="4" w:space="0"/>
            </w:tcBorders>
            <w:vAlign w:val="center"/>
          </w:tcPr>
          <w:p w14:paraId="771D7590">
            <w:pPr>
              <w:pStyle w:val="28"/>
              <w:bidi w:val="0"/>
            </w:pPr>
            <w:r>
              <w:rPr>
                <w:rFonts w:hint="eastAsia"/>
              </w:rPr>
              <w:t>S4</w:t>
            </w:r>
          </w:p>
        </w:tc>
        <w:tc>
          <w:tcPr>
            <w:tcW w:w="559" w:type="pct"/>
            <w:tcBorders>
              <w:top w:val="single" w:color="auto" w:sz="4" w:space="0"/>
              <w:left w:val="single" w:color="auto" w:sz="4" w:space="0"/>
              <w:bottom w:val="single" w:color="auto" w:sz="4" w:space="0"/>
              <w:right w:val="single" w:color="auto" w:sz="4" w:space="0"/>
            </w:tcBorders>
            <w:vAlign w:val="center"/>
          </w:tcPr>
          <w:p w14:paraId="434A16F2">
            <w:pPr>
              <w:pStyle w:val="28"/>
              <w:bidi w:val="0"/>
            </w:pPr>
            <w:r>
              <w:rPr>
                <w:rFonts w:hint="eastAsia"/>
              </w:rPr>
              <w:t>S5</w:t>
            </w:r>
          </w:p>
        </w:tc>
      </w:tr>
      <w:tr w14:paraId="46F70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62" w:type="pct"/>
            <w:tcBorders>
              <w:top w:val="single" w:color="auto" w:sz="4" w:space="0"/>
              <w:left w:val="single" w:color="auto" w:sz="4" w:space="0"/>
              <w:bottom w:val="single" w:color="auto" w:sz="4" w:space="0"/>
              <w:right w:val="single" w:color="auto" w:sz="4" w:space="0"/>
            </w:tcBorders>
            <w:shd w:val="clear" w:color="auto" w:fill="auto"/>
            <w:vAlign w:val="center"/>
          </w:tcPr>
          <w:p w14:paraId="368C9DC8">
            <w:pPr>
              <w:pStyle w:val="28"/>
              <w:bidi w:val="0"/>
            </w:pPr>
            <w:r>
              <w:rPr>
                <w:rFonts w:hint="eastAsia"/>
              </w:rPr>
              <w:t>总</w:t>
            </w:r>
            <w:r>
              <w:t>汞</w:t>
            </w:r>
          </w:p>
        </w:tc>
        <w:tc>
          <w:tcPr>
            <w:tcW w:w="885" w:type="pct"/>
            <w:tcBorders>
              <w:top w:val="single" w:color="auto" w:sz="4" w:space="0"/>
              <w:left w:val="single" w:color="auto" w:sz="4" w:space="0"/>
              <w:bottom w:val="single" w:color="auto" w:sz="4" w:space="0"/>
              <w:right w:val="single" w:color="auto" w:sz="4" w:space="0"/>
            </w:tcBorders>
            <w:shd w:val="clear" w:color="auto" w:fill="auto"/>
            <w:vAlign w:val="center"/>
          </w:tcPr>
          <w:p w14:paraId="43EF6A91">
            <w:pPr>
              <w:pStyle w:val="28"/>
              <w:bidi w:val="0"/>
            </w:pPr>
            <w:r>
              <w:t>2.4</w:t>
            </w:r>
          </w:p>
        </w:tc>
        <w:tc>
          <w:tcPr>
            <w:tcW w:w="777" w:type="pct"/>
            <w:tcBorders>
              <w:top w:val="single" w:color="auto" w:sz="4" w:space="0"/>
              <w:left w:val="single" w:color="auto" w:sz="4" w:space="0"/>
              <w:bottom w:val="single" w:color="auto" w:sz="4" w:space="0"/>
              <w:right w:val="single" w:color="auto" w:sz="4" w:space="0"/>
            </w:tcBorders>
            <w:vAlign w:val="center"/>
          </w:tcPr>
          <w:p w14:paraId="6A3DF3F3">
            <w:pPr>
              <w:pStyle w:val="28"/>
              <w:bidi w:val="0"/>
            </w:pPr>
            <w:r>
              <w:rPr>
                <w:rFonts w:hint="eastAsia"/>
              </w:rPr>
              <w:t>3.4</w:t>
            </w:r>
            <w:r>
              <w:t>%</w:t>
            </w:r>
          </w:p>
        </w:tc>
        <w:tc>
          <w:tcPr>
            <w:tcW w:w="603" w:type="pct"/>
            <w:tcBorders>
              <w:top w:val="single" w:color="auto" w:sz="4" w:space="0"/>
              <w:left w:val="single" w:color="auto" w:sz="4" w:space="0"/>
              <w:bottom w:val="single" w:color="auto" w:sz="4" w:space="0"/>
              <w:right w:val="single" w:color="auto" w:sz="4" w:space="0"/>
            </w:tcBorders>
            <w:vAlign w:val="center"/>
          </w:tcPr>
          <w:p w14:paraId="3FDEBA64">
            <w:pPr>
              <w:pStyle w:val="28"/>
              <w:bidi w:val="0"/>
            </w:pPr>
            <w:r>
              <w:rPr>
                <w:rFonts w:hint="eastAsia"/>
              </w:rPr>
              <w:t>4.0</w:t>
            </w:r>
            <w:r>
              <w:t>%</w:t>
            </w:r>
          </w:p>
        </w:tc>
        <w:tc>
          <w:tcPr>
            <w:tcW w:w="605" w:type="pct"/>
            <w:tcBorders>
              <w:top w:val="single" w:color="auto" w:sz="4" w:space="0"/>
              <w:left w:val="single" w:color="auto" w:sz="4" w:space="0"/>
              <w:bottom w:val="single" w:color="auto" w:sz="4" w:space="0"/>
              <w:right w:val="single" w:color="auto" w:sz="4" w:space="0"/>
            </w:tcBorders>
            <w:vAlign w:val="center"/>
          </w:tcPr>
          <w:p w14:paraId="6B47221E">
            <w:pPr>
              <w:pStyle w:val="28"/>
              <w:bidi w:val="0"/>
            </w:pPr>
            <w:r>
              <w:rPr>
                <w:rFonts w:hint="eastAsia"/>
              </w:rPr>
              <w:t>2.8</w:t>
            </w:r>
            <w:r>
              <w:t>%</w:t>
            </w:r>
          </w:p>
        </w:tc>
        <w:tc>
          <w:tcPr>
            <w:tcW w:w="607" w:type="pct"/>
            <w:tcBorders>
              <w:top w:val="single" w:color="auto" w:sz="4" w:space="0"/>
              <w:left w:val="single" w:color="auto" w:sz="4" w:space="0"/>
              <w:bottom w:val="single" w:color="auto" w:sz="4" w:space="0"/>
              <w:right w:val="single" w:color="auto" w:sz="4" w:space="0"/>
            </w:tcBorders>
            <w:vAlign w:val="center"/>
          </w:tcPr>
          <w:p w14:paraId="1A7963BC">
            <w:pPr>
              <w:pStyle w:val="28"/>
              <w:bidi w:val="0"/>
            </w:pPr>
            <w:r>
              <w:rPr>
                <w:rFonts w:hint="eastAsia"/>
              </w:rPr>
              <w:t>3.4</w:t>
            </w:r>
            <w:r>
              <w:t>%</w:t>
            </w:r>
          </w:p>
        </w:tc>
        <w:tc>
          <w:tcPr>
            <w:tcW w:w="559" w:type="pct"/>
            <w:tcBorders>
              <w:top w:val="single" w:color="auto" w:sz="4" w:space="0"/>
              <w:left w:val="single" w:color="auto" w:sz="4" w:space="0"/>
              <w:bottom w:val="single" w:color="auto" w:sz="4" w:space="0"/>
              <w:right w:val="single" w:color="auto" w:sz="4" w:space="0"/>
            </w:tcBorders>
            <w:vAlign w:val="center"/>
          </w:tcPr>
          <w:p w14:paraId="46595796">
            <w:pPr>
              <w:pStyle w:val="28"/>
              <w:bidi w:val="0"/>
            </w:pPr>
            <w:r>
              <w:rPr>
                <w:rFonts w:hint="eastAsia"/>
              </w:rPr>
              <w:t>3.0</w:t>
            </w:r>
            <w:r>
              <w:t>%</w:t>
            </w:r>
          </w:p>
        </w:tc>
      </w:tr>
      <w:tr w14:paraId="6F061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62" w:type="pct"/>
            <w:tcBorders>
              <w:top w:val="single" w:color="auto" w:sz="4" w:space="0"/>
              <w:left w:val="single" w:color="auto" w:sz="4" w:space="0"/>
              <w:bottom w:val="single" w:color="auto" w:sz="4" w:space="0"/>
              <w:right w:val="single" w:color="auto" w:sz="4" w:space="0"/>
            </w:tcBorders>
            <w:shd w:val="clear" w:color="auto" w:fill="auto"/>
            <w:vAlign w:val="center"/>
          </w:tcPr>
          <w:p w14:paraId="3721B96B">
            <w:pPr>
              <w:pStyle w:val="28"/>
              <w:bidi w:val="0"/>
            </w:pPr>
            <w:r>
              <w:rPr>
                <w:rFonts w:hint="eastAsia"/>
              </w:rPr>
              <w:t>总</w:t>
            </w:r>
            <w:r>
              <w:t>砷</w:t>
            </w:r>
          </w:p>
        </w:tc>
        <w:tc>
          <w:tcPr>
            <w:tcW w:w="885" w:type="pct"/>
            <w:tcBorders>
              <w:top w:val="single" w:color="auto" w:sz="4" w:space="0"/>
              <w:left w:val="single" w:color="auto" w:sz="4" w:space="0"/>
              <w:bottom w:val="single" w:color="auto" w:sz="4" w:space="0"/>
              <w:right w:val="single" w:color="auto" w:sz="4" w:space="0"/>
            </w:tcBorders>
            <w:shd w:val="clear" w:color="auto" w:fill="auto"/>
            <w:vAlign w:val="center"/>
          </w:tcPr>
          <w:p w14:paraId="4D73AB77">
            <w:pPr>
              <w:pStyle w:val="28"/>
              <w:bidi w:val="0"/>
            </w:pPr>
            <w:r>
              <w:t>30</w:t>
            </w:r>
          </w:p>
        </w:tc>
        <w:tc>
          <w:tcPr>
            <w:tcW w:w="777" w:type="pct"/>
            <w:tcBorders>
              <w:top w:val="single" w:color="auto" w:sz="4" w:space="0"/>
              <w:left w:val="single" w:color="auto" w:sz="4" w:space="0"/>
              <w:bottom w:val="single" w:color="auto" w:sz="4" w:space="0"/>
              <w:right w:val="single" w:color="auto" w:sz="4" w:space="0"/>
            </w:tcBorders>
            <w:vAlign w:val="center"/>
          </w:tcPr>
          <w:p w14:paraId="515EBF58">
            <w:pPr>
              <w:pStyle w:val="28"/>
              <w:bidi w:val="0"/>
            </w:pPr>
            <w:r>
              <w:rPr>
                <w:rFonts w:hint="eastAsia"/>
              </w:rPr>
              <w:t>17.1</w:t>
            </w:r>
            <w:r>
              <w:t>%</w:t>
            </w:r>
          </w:p>
        </w:tc>
        <w:tc>
          <w:tcPr>
            <w:tcW w:w="603" w:type="pct"/>
            <w:tcBorders>
              <w:top w:val="single" w:color="auto" w:sz="4" w:space="0"/>
              <w:left w:val="single" w:color="auto" w:sz="4" w:space="0"/>
              <w:bottom w:val="single" w:color="auto" w:sz="4" w:space="0"/>
              <w:right w:val="single" w:color="auto" w:sz="4" w:space="0"/>
            </w:tcBorders>
            <w:vAlign w:val="center"/>
          </w:tcPr>
          <w:p w14:paraId="22E901AC">
            <w:pPr>
              <w:pStyle w:val="28"/>
              <w:bidi w:val="0"/>
            </w:pPr>
            <w:r>
              <w:rPr>
                <w:rFonts w:hint="eastAsia"/>
              </w:rPr>
              <w:t>25.3</w:t>
            </w:r>
            <w:r>
              <w:t>%</w:t>
            </w:r>
          </w:p>
        </w:tc>
        <w:tc>
          <w:tcPr>
            <w:tcW w:w="605" w:type="pct"/>
            <w:tcBorders>
              <w:top w:val="single" w:color="auto" w:sz="4" w:space="0"/>
              <w:left w:val="single" w:color="auto" w:sz="4" w:space="0"/>
              <w:bottom w:val="single" w:color="auto" w:sz="4" w:space="0"/>
              <w:right w:val="single" w:color="auto" w:sz="4" w:space="0"/>
            </w:tcBorders>
            <w:vAlign w:val="center"/>
          </w:tcPr>
          <w:p w14:paraId="31ED92F4">
            <w:pPr>
              <w:pStyle w:val="28"/>
              <w:bidi w:val="0"/>
            </w:pPr>
            <w:r>
              <w:rPr>
                <w:rFonts w:hint="eastAsia"/>
              </w:rPr>
              <w:t>25.3</w:t>
            </w:r>
            <w:r>
              <w:t>%</w:t>
            </w:r>
          </w:p>
        </w:tc>
        <w:tc>
          <w:tcPr>
            <w:tcW w:w="607" w:type="pct"/>
            <w:tcBorders>
              <w:top w:val="single" w:color="auto" w:sz="4" w:space="0"/>
              <w:left w:val="single" w:color="auto" w:sz="4" w:space="0"/>
              <w:bottom w:val="single" w:color="auto" w:sz="4" w:space="0"/>
              <w:right w:val="single" w:color="auto" w:sz="4" w:space="0"/>
            </w:tcBorders>
            <w:vAlign w:val="center"/>
          </w:tcPr>
          <w:p w14:paraId="4221D2E5">
            <w:pPr>
              <w:pStyle w:val="28"/>
              <w:bidi w:val="0"/>
            </w:pPr>
            <w:r>
              <w:rPr>
                <w:rFonts w:hint="eastAsia"/>
              </w:rPr>
              <w:t>25.3</w:t>
            </w:r>
            <w:r>
              <w:t>%</w:t>
            </w:r>
          </w:p>
        </w:tc>
        <w:tc>
          <w:tcPr>
            <w:tcW w:w="559" w:type="pct"/>
            <w:tcBorders>
              <w:top w:val="single" w:color="auto" w:sz="4" w:space="0"/>
              <w:left w:val="single" w:color="auto" w:sz="4" w:space="0"/>
              <w:bottom w:val="single" w:color="auto" w:sz="4" w:space="0"/>
              <w:right w:val="single" w:color="auto" w:sz="4" w:space="0"/>
            </w:tcBorders>
            <w:vAlign w:val="center"/>
          </w:tcPr>
          <w:p w14:paraId="04F54F55">
            <w:pPr>
              <w:pStyle w:val="28"/>
              <w:bidi w:val="0"/>
            </w:pPr>
            <w:r>
              <w:rPr>
                <w:rFonts w:hint="eastAsia"/>
              </w:rPr>
              <w:t>23.7</w:t>
            </w:r>
            <w:r>
              <w:t>%</w:t>
            </w:r>
          </w:p>
        </w:tc>
      </w:tr>
      <w:tr w14:paraId="00275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62" w:type="pct"/>
            <w:tcBorders>
              <w:top w:val="single" w:color="auto" w:sz="4" w:space="0"/>
              <w:left w:val="single" w:color="auto" w:sz="4" w:space="0"/>
              <w:bottom w:val="single" w:color="auto" w:sz="4" w:space="0"/>
              <w:right w:val="single" w:color="auto" w:sz="4" w:space="0"/>
            </w:tcBorders>
            <w:vAlign w:val="center"/>
          </w:tcPr>
          <w:p w14:paraId="4256092D">
            <w:pPr>
              <w:pStyle w:val="28"/>
              <w:bidi w:val="0"/>
            </w:pPr>
            <w:r>
              <w:rPr>
                <w:rFonts w:hint="eastAsia"/>
              </w:rPr>
              <w:t>总</w:t>
            </w:r>
            <w:r>
              <w:t>铜</w:t>
            </w:r>
          </w:p>
        </w:tc>
        <w:tc>
          <w:tcPr>
            <w:tcW w:w="885" w:type="pct"/>
            <w:tcBorders>
              <w:top w:val="single" w:color="auto" w:sz="4" w:space="0"/>
              <w:left w:val="single" w:color="auto" w:sz="4" w:space="0"/>
              <w:bottom w:val="single" w:color="auto" w:sz="4" w:space="0"/>
              <w:right w:val="single" w:color="auto" w:sz="4" w:space="0"/>
            </w:tcBorders>
            <w:vAlign w:val="center"/>
          </w:tcPr>
          <w:p w14:paraId="00A4FF78">
            <w:pPr>
              <w:pStyle w:val="28"/>
              <w:bidi w:val="0"/>
            </w:pPr>
            <w:r>
              <w:t>100</w:t>
            </w:r>
          </w:p>
        </w:tc>
        <w:tc>
          <w:tcPr>
            <w:tcW w:w="777" w:type="pct"/>
            <w:tcBorders>
              <w:top w:val="single" w:color="auto" w:sz="4" w:space="0"/>
              <w:left w:val="single" w:color="auto" w:sz="4" w:space="0"/>
              <w:bottom w:val="single" w:color="auto" w:sz="4" w:space="0"/>
              <w:right w:val="single" w:color="auto" w:sz="4" w:space="0"/>
            </w:tcBorders>
            <w:vAlign w:val="center"/>
          </w:tcPr>
          <w:p w14:paraId="11D6FD46">
            <w:pPr>
              <w:pStyle w:val="28"/>
              <w:bidi w:val="0"/>
            </w:pPr>
            <w:r>
              <w:rPr>
                <w:rFonts w:hint="eastAsia"/>
              </w:rPr>
              <w:t>83.0</w:t>
            </w:r>
            <w:r>
              <w:t>%</w:t>
            </w:r>
          </w:p>
        </w:tc>
        <w:tc>
          <w:tcPr>
            <w:tcW w:w="603" w:type="pct"/>
            <w:tcBorders>
              <w:top w:val="single" w:color="auto" w:sz="4" w:space="0"/>
              <w:left w:val="single" w:color="auto" w:sz="4" w:space="0"/>
              <w:bottom w:val="single" w:color="auto" w:sz="4" w:space="0"/>
              <w:right w:val="single" w:color="auto" w:sz="4" w:space="0"/>
            </w:tcBorders>
            <w:vAlign w:val="center"/>
          </w:tcPr>
          <w:p w14:paraId="2A36E2C3">
            <w:pPr>
              <w:pStyle w:val="28"/>
              <w:bidi w:val="0"/>
            </w:pPr>
            <w:r>
              <w:rPr>
                <w:rFonts w:hint="eastAsia"/>
              </w:rPr>
              <w:t>66.0</w:t>
            </w:r>
            <w:r>
              <w:t>%</w:t>
            </w:r>
          </w:p>
        </w:tc>
        <w:tc>
          <w:tcPr>
            <w:tcW w:w="605" w:type="pct"/>
            <w:tcBorders>
              <w:top w:val="single" w:color="auto" w:sz="4" w:space="0"/>
              <w:left w:val="single" w:color="auto" w:sz="4" w:space="0"/>
              <w:bottom w:val="single" w:color="auto" w:sz="4" w:space="0"/>
              <w:right w:val="single" w:color="auto" w:sz="4" w:space="0"/>
            </w:tcBorders>
            <w:vAlign w:val="center"/>
          </w:tcPr>
          <w:p w14:paraId="26E9160C">
            <w:pPr>
              <w:pStyle w:val="28"/>
              <w:bidi w:val="0"/>
            </w:pPr>
            <w:r>
              <w:rPr>
                <w:rFonts w:hint="eastAsia"/>
              </w:rPr>
              <w:t>78.0</w:t>
            </w:r>
            <w:r>
              <w:t>%</w:t>
            </w:r>
          </w:p>
        </w:tc>
        <w:tc>
          <w:tcPr>
            <w:tcW w:w="607" w:type="pct"/>
            <w:tcBorders>
              <w:top w:val="single" w:color="auto" w:sz="4" w:space="0"/>
              <w:left w:val="single" w:color="auto" w:sz="4" w:space="0"/>
              <w:bottom w:val="single" w:color="auto" w:sz="4" w:space="0"/>
              <w:right w:val="single" w:color="auto" w:sz="4" w:space="0"/>
            </w:tcBorders>
            <w:vAlign w:val="center"/>
          </w:tcPr>
          <w:p w14:paraId="55B518FF">
            <w:pPr>
              <w:pStyle w:val="28"/>
              <w:bidi w:val="0"/>
            </w:pPr>
            <w:r>
              <w:rPr>
                <w:rFonts w:hint="eastAsia"/>
              </w:rPr>
              <w:t>84.0</w:t>
            </w:r>
            <w:r>
              <w:t>%</w:t>
            </w:r>
          </w:p>
        </w:tc>
        <w:tc>
          <w:tcPr>
            <w:tcW w:w="559" w:type="pct"/>
            <w:tcBorders>
              <w:top w:val="single" w:color="auto" w:sz="4" w:space="0"/>
              <w:left w:val="single" w:color="auto" w:sz="4" w:space="0"/>
              <w:bottom w:val="single" w:color="auto" w:sz="4" w:space="0"/>
              <w:right w:val="single" w:color="auto" w:sz="4" w:space="0"/>
            </w:tcBorders>
            <w:vAlign w:val="center"/>
          </w:tcPr>
          <w:p w14:paraId="35705761">
            <w:pPr>
              <w:pStyle w:val="28"/>
              <w:bidi w:val="0"/>
            </w:pPr>
            <w:r>
              <w:rPr>
                <w:rFonts w:hint="eastAsia"/>
              </w:rPr>
              <w:t>72.0</w:t>
            </w:r>
            <w:r>
              <w:t>%</w:t>
            </w:r>
          </w:p>
        </w:tc>
      </w:tr>
      <w:tr w14:paraId="032E9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62" w:type="pct"/>
            <w:tcBorders>
              <w:top w:val="single" w:color="auto" w:sz="4" w:space="0"/>
              <w:left w:val="single" w:color="auto" w:sz="4" w:space="0"/>
              <w:bottom w:val="single" w:color="auto" w:sz="4" w:space="0"/>
              <w:right w:val="single" w:color="auto" w:sz="4" w:space="0"/>
            </w:tcBorders>
            <w:shd w:val="clear" w:color="auto" w:fill="auto"/>
            <w:vAlign w:val="center"/>
          </w:tcPr>
          <w:p w14:paraId="2F94C6C5">
            <w:pPr>
              <w:pStyle w:val="28"/>
              <w:bidi w:val="0"/>
            </w:pPr>
            <w:r>
              <w:rPr>
                <w:rFonts w:hint="eastAsia"/>
              </w:rPr>
              <w:t>总</w:t>
            </w:r>
            <w:r>
              <w:t>锌</w:t>
            </w:r>
          </w:p>
        </w:tc>
        <w:tc>
          <w:tcPr>
            <w:tcW w:w="885" w:type="pct"/>
            <w:tcBorders>
              <w:top w:val="single" w:color="auto" w:sz="4" w:space="0"/>
              <w:left w:val="single" w:color="auto" w:sz="4" w:space="0"/>
              <w:bottom w:val="single" w:color="auto" w:sz="4" w:space="0"/>
              <w:right w:val="single" w:color="auto" w:sz="4" w:space="0"/>
            </w:tcBorders>
            <w:shd w:val="clear" w:color="auto" w:fill="auto"/>
            <w:vAlign w:val="center"/>
          </w:tcPr>
          <w:p w14:paraId="12FF723B">
            <w:pPr>
              <w:pStyle w:val="28"/>
              <w:bidi w:val="0"/>
            </w:pPr>
            <w:r>
              <w:t>250</w:t>
            </w:r>
          </w:p>
        </w:tc>
        <w:tc>
          <w:tcPr>
            <w:tcW w:w="777" w:type="pct"/>
            <w:tcBorders>
              <w:top w:val="single" w:color="auto" w:sz="4" w:space="0"/>
              <w:left w:val="single" w:color="auto" w:sz="4" w:space="0"/>
              <w:bottom w:val="single" w:color="auto" w:sz="4" w:space="0"/>
              <w:right w:val="single" w:color="auto" w:sz="4" w:space="0"/>
            </w:tcBorders>
            <w:vAlign w:val="center"/>
          </w:tcPr>
          <w:p w14:paraId="14B792AF">
            <w:pPr>
              <w:pStyle w:val="28"/>
              <w:bidi w:val="0"/>
            </w:pPr>
            <w:r>
              <w:rPr>
                <w:rFonts w:hint="eastAsia"/>
              </w:rPr>
              <w:t>44.8</w:t>
            </w:r>
            <w:r>
              <w:t>%</w:t>
            </w:r>
          </w:p>
        </w:tc>
        <w:tc>
          <w:tcPr>
            <w:tcW w:w="603" w:type="pct"/>
            <w:tcBorders>
              <w:top w:val="single" w:color="auto" w:sz="4" w:space="0"/>
              <w:left w:val="single" w:color="auto" w:sz="4" w:space="0"/>
              <w:bottom w:val="single" w:color="auto" w:sz="4" w:space="0"/>
              <w:right w:val="single" w:color="auto" w:sz="4" w:space="0"/>
            </w:tcBorders>
            <w:vAlign w:val="center"/>
          </w:tcPr>
          <w:p w14:paraId="76833E6B">
            <w:pPr>
              <w:pStyle w:val="28"/>
              <w:bidi w:val="0"/>
            </w:pPr>
            <w:r>
              <w:rPr>
                <w:rFonts w:hint="eastAsia"/>
              </w:rPr>
              <w:t>40.0</w:t>
            </w:r>
            <w:r>
              <w:t>%</w:t>
            </w:r>
          </w:p>
        </w:tc>
        <w:tc>
          <w:tcPr>
            <w:tcW w:w="605" w:type="pct"/>
            <w:tcBorders>
              <w:top w:val="single" w:color="auto" w:sz="4" w:space="0"/>
              <w:left w:val="single" w:color="auto" w:sz="4" w:space="0"/>
              <w:bottom w:val="single" w:color="auto" w:sz="4" w:space="0"/>
              <w:right w:val="single" w:color="auto" w:sz="4" w:space="0"/>
            </w:tcBorders>
            <w:vAlign w:val="center"/>
          </w:tcPr>
          <w:p w14:paraId="09A060B4">
            <w:pPr>
              <w:pStyle w:val="28"/>
              <w:bidi w:val="0"/>
            </w:pPr>
            <w:r>
              <w:rPr>
                <w:rFonts w:hint="eastAsia"/>
              </w:rPr>
              <w:t>23.6</w:t>
            </w:r>
            <w:r>
              <w:t>%</w:t>
            </w:r>
          </w:p>
        </w:tc>
        <w:tc>
          <w:tcPr>
            <w:tcW w:w="607" w:type="pct"/>
            <w:tcBorders>
              <w:top w:val="single" w:color="auto" w:sz="4" w:space="0"/>
              <w:left w:val="single" w:color="auto" w:sz="4" w:space="0"/>
              <w:bottom w:val="single" w:color="auto" w:sz="4" w:space="0"/>
              <w:right w:val="single" w:color="auto" w:sz="4" w:space="0"/>
            </w:tcBorders>
            <w:vAlign w:val="center"/>
          </w:tcPr>
          <w:p w14:paraId="76E9DFF4">
            <w:pPr>
              <w:pStyle w:val="28"/>
              <w:bidi w:val="0"/>
            </w:pPr>
            <w:r>
              <w:rPr>
                <w:rFonts w:hint="eastAsia"/>
              </w:rPr>
              <w:t>25.2</w:t>
            </w:r>
            <w:r>
              <w:t>%</w:t>
            </w:r>
          </w:p>
        </w:tc>
        <w:tc>
          <w:tcPr>
            <w:tcW w:w="559" w:type="pct"/>
            <w:tcBorders>
              <w:top w:val="single" w:color="auto" w:sz="4" w:space="0"/>
              <w:left w:val="single" w:color="auto" w:sz="4" w:space="0"/>
              <w:bottom w:val="single" w:color="auto" w:sz="4" w:space="0"/>
              <w:right w:val="single" w:color="auto" w:sz="4" w:space="0"/>
            </w:tcBorders>
            <w:vAlign w:val="center"/>
          </w:tcPr>
          <w:p w14:paraId="098B9B21">
            <w:pPr>
              <w:pStyle w:val="28"/>
              <w:bidi w:val="0"/>
            </w:pPr>
            <w:r>
              <w:rPr>
                <w:rFonts w:hint="eastAsia"/>
              </w:rPr>
              <w:t>24.0</w:t>
            </w:r>
            <w:r>
              <w:t>%</w:t>
            </w:r>
          </w:p>
        </w:tc>
      </w:tr>
      <w:tr w14:paraId="73583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62" w:type="pct"/>
            <w:tcBorders>
              <w:top w:val="single" w:color="auto" w:sz="4" w:space="0"/>
              <w:left w:val="single" w:color="auto" w:sz="4" w:space="0"/>
              <w:bottom w:val="single" w:color="auto" w:sz="4" w:space="0"/>
              <w:right w:val="single" w:color="auto" w:sz="4" w:space="0"/>
            </w:tcBorders>
            <w:vAlign w:val="center"/>
          </w:tcPr>
          <w:p w14:paraId="06BBA473">
            <w:pPr>
              <w:pStyle w:val="28"/>
              <w:bidi w:val="0"/>
            </w:pPr>
            <w:r>
              <w:rPr>
                <w:rFonts w:hint="eastAsia"/>
              </w:rPr>
              <w:t>总</w:t>
            </w:r>
            <w:r>
              <w:t>铅</w:t>
            </w:r>
          </w:p>
        </w:tc>
        <w:tc>
          <w:tcPr>
            <w:tcW w:w="885" w:type="pct"/>
            <w:tcBorders>
              <w:top w:val="single" w:color="auto" w:sz="4" w:space="0"/>
              <w:left w:val="single" w:color="auto" w:sz="4" w:space="0"/>
              <w:bottom w:val="single" w:color="auto" w:sz="4" w:space="0"/>
              <w:right w:val="single" w:color="auto" w:sz="4" w:space="0"/>
            </w:tcBorders>
            <w:vAlign w:val="center"/>
          </w:tcPr>
          <w:p w14:paraId="4A590228">
            <w:pPr>
              <w:pStyle w:val="28"/>
              <w:bidi w:val="0"/>
            </w:pPr>
            <w:r>
              <w:t>120</w:t>
            </w:r>
          </w:p>
        </w:tc>
        <w:tc>
          <w:tcPr>
            <w:tcW w:w="777" w:type="pct"/>
            <w:tcBorders>
              <w:top w:val="single" w:color="auto" w:sz="4" w:space="0"/>
              <w:left w:val="single" w:color="auto" w:sz="4" w:space="0"/>
              <w:bottom w:val="single" w:color="auto" w:sz="4" w:space="0"/>
              <w:right w:val="single" w:color="auto" w:sz="4" w:space="0"/>
            </w:tcBorders>
            <w:vAlign w:val="center"/>
          </w:tcPr>
          <w:p w14:paraId="579EEB89">
            <w:pPr>
              <w:pStyle w:val="28"/>
              <w:bidi w:val="0"/>
            </w:pPr>
            <w:r>
              <w:t>8.3%</w:t>
            </w:r>
          </w:p>
        </w:tc>
        <w:tc>
          <w:tcPr>
            <w:tcW w:w="603" w:type="pct"/>
            <w:tcBorders>
              <w:top w:val="single" w:color="auto" w:sz="4" w:space="0"/>
              <w:left w:val="single" w:color="auto" w:sz="4" w:space="0"/>
              <w:bottom w:val="single" w:color="auto" w:sz="4" w:space="0"/>
              <w:right w:val="single" w:color="auto" w:sz="4" w:space="0"/>
            </w:tcBorders>
            <w:vAlign w:val="center"/>
          </w:tcPr>
          <w:p w14:paraId="477E1BDC">
            <w:pPr>
              <w:pStyle w:val="28"/>
              <w:bidi w:val="0"/>
            </w:pPr>
            <w:r>
              <w:t>6.7%</w:t>
            </w:r>
          </w:p>
        </w:tc>
        <w:tc>
          <w:tcPr>
            <w:tcW w:w="605" w:type="pct"/>
            <w:tcBorders>
              <w:top w:val="single" w:color="auto" w:sz="4" w:space="0"/>
              <w:left w:val="single" w:color="auto" w:sz="4" w:space="0"/>
              <w:bottom w:val="single" w:color="auto" w:sz="4" w:space="0"/>
              <w:right w:val="single" w:color="auto" w:sz="4" w:space="0"/>
            </w:tcBorders>
            <w:vAlign w:val="center"/>
          </w:tcPr>
          <w:p w14:paraId="353C711C">
            <w:pPr>
              <w:pStyle w:val="28"/>
              <w:bidi w:val="0"/>
            </w:pPr>
            <w:r>
              <w:t>7.5%</w:t>
            </w:r>
          </w:p>
        </w:tc>
        <w:tc>
          <w:tcPr>
            <w:tcW w:w="607" w:type="pct"/>
            <w:tcBorders>
              <w:top w:val="single" w:color="auto" w:sz="4" w:space="0"/>
              <w:left w:val="single" w:color="auto" w:sz="4" w:space="0"/>
              <w:bottom w:val="single" w:color="auto" w:sz="4" w:space="0"/>
              <w:right w:val="single" w:color="auto" w:sz="4" w:space="0"/>
            </w:tcBorders>
            <w:vAlign w:val="center"/>
          </w:tcPr>
          <w:p w14:paraId="1B65B8F8">
            <w:pPr>
              <w:pStyle w:val="28"/>
              <w:bidi w:val="0"/>
            </w:pPr>
            <w:r>
              <w:t>7.5%</w:t>
            </w:r>
          </w:p>
        </w:tc>
        <w:tc>
          <w:tcPr>
            <w:tcW w:w="559" w:type="pct"/>
            <w:tcBorders>
              <w:top w:val="single" w:color="auto" w:sz="4" w:space="0"/>
              <w:left w:val="single" w:color="auto" w:sz="4" w:space="0"/>
              <w:bottom w:val="single" w:color="auto" w:sz="4" w:space="0"/>
              <w:right w:val="single" w:color="auto" w:sz="4" w:space="0"/>
            </w:tcBorders>
            <w:vAlign w:val="center"/>
          </w:tcPr>
          <w:p w14:paraId="526A618B">
            <w:pPr>
              <w:pStyle w:val="28"/>
              <w:bidi w:val="0"/>
            </w:pPr>
            <w:r>
              <w:t>6.7%</w:t>
            </w:r>
          </w:p>
        </w:tc>
      </w:tr>
      <w:tr w14:paraId="1BE012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62" w:type="pct"/>
            <w:tcBorders>
              <w:top w:val="single" w:color="auto" w:sz="4" w:space="0"/>
              <w:left w:val="single" w:color="auto" w:sz="4" w:space="0"/>
              <w:bottom w:val="single" w:color="auto" w:sz="4" w:space="0"/>
              <w:right w:val="single" w:color="auto" w:sz="4" w:space="0"/>
            </w:tcBorders>
            <w:vAlign w:val="center"/>
          </w:tcPr>
          <w:p w14:paraId="422631D8">
            <w:pPr>
              <w:pStyle w:val="28"/>
              <w:bidi w:val="0"/>
            </w:pPr>
            <w:r>
              <w:rPr>
                <w:rFonts w:hint="eastAsia"/>
              </w:rPr>
              <w:t>总</w:t>
            </w:r>
            <w:r>
              <w:t>镍</w:t>
            </w:r>
          </w:p>
        </w:tc>
        <w:tc>
          <w:tcPr>
            <w:tcW w:w="885" w:type="pct"/>
            <w:tcBorders>
              <w:top w:val="single" w:color="auto" w:sz="4" w:space="0"/>
              <w:left w:val="single" w:color="auto" w:sz="4" w:space="0"/>
              <w:bottom w:val="single" w:color="auto" w:sz="4" w:space="0"/>
              <w:right w:val="single" w:color="auto" w:sz="4" w:space="0"/>
            </w:tcBorders>
            <w:vAlign w:val="center"/>
          </w:tcPr>
          <w:p w14:paraId="11D5452B">
            <w:pPr>
              <w:pStyle w:val="28"/>
              <w:bidi w:val="0"/>
            </w:pPr>
            <w:r>
              <w:t>100</w:t>
            </w:r>
          </w:p>
        </w:tc>
        <w:tc>
          <w:tcPr>
            <w:tcW w:w="777" w:type="pct"/>
            <w:tcBorders>
              <w:top w:val="single" w:color="auto" w:sz="4" w:space="0"/>
              <w:left w:val="single" w:color="auto" w:sz="4" w:space="0"/>
              <w:bottom w:val="single" w:color="auto" w:sz="4" w:space="0"/>
              <w:right w:val="single" w:color="auto" w:sz="4" w:space="0"/>
            </w:tcBorders>
            <w:vAlign w:val="center"/>
          </w:tcPr>
          <w:p w14:paraId="78EEBCE8">
            <w:pPr>
              <w:pStyle w:val="28"/>
              <w:bidi w:val="0"/>
            </w:pPr>
            <w:r>
              <w:rPr>
                <w:rFonts w:hint="eastAsia"/>
              </w:rPr>
              <w:t>67.0</w:t>
            </w:r>
            <w:r>
              <w:t>%</w:t>
            </w:r>
          </w:p>
        </w:tc>
        <w:tc>
          <w:tcPr>
            <w:tcW w:w="603" w:type="pct"/>
            <w:tcBorders>
              <w:top w:val="single" w:color="auto" w:sz="4" w:space="0"/>
              <w:left w:val="single" w:color="auto" w:sz="4" w:space="0"/>
              <w:bottom w:val="single" w:color="auto" w:sz="4" w:space="0"/>
              <w:right w:val="single" w:color="auto" w:sz="4" w:space="0"/>
            </w:tcBorders>
            <w:vAlign w:val="center"/>
          </w:tcPr>
          <w:p w14:paraId="0E7E50D6">
            <w:pPr>
              <w:pStyle w:val="28"/>
              <w:bidi w:val="0"/>
            </w:pPr>
            <w:r>
              <w:rPr>
                <w:rFonts w:hint="eastAsia"/>
              </w:rPr>
              <w:t>59</w:t>
            </w:r>
            <w:r>
              <w:t>.0%</w:t>
            </w:r>
          </w:p>
        </w:tc>
        <w:tc>
          <w:tcPr>
            <w:tcW w:w="605" w:type="pct"/>
            <w:tcBorders>
              <w:top w:val="single" w:color="auto" w:sz="4" w:space="0"/>
              <w:left w:val="single" w:color="auto" w:sz="4" w:space="0"/>
              <w:bottom w:val="single" w:color="auto" w:sz="4" w:space="0"/>
              <w:right w:val="single" w:color="auto" w:sz="4" w:space="0"/>
            </w:tcBorders>
            <w:vAlign w:val="center"/>
          </w:tcPr>
          <w:p w14:paraId="5C087136">
            <w:pPr>
              <w:pStyle w:val="28"/>
              <w:bidi w:val="0"/>
            </w:pPr>
            <w:r>
              <w:rPr>
                <w:rFonts w:hint="eastAsia"/>
              </w:rPr>
              <w:t>75</w:t>
            </w:r>
            <w:r>
              <w:t>.0%</w:t>
            </w:r>
          </w:p>
        </w:tc>
        <w:tc>
          <w:tcPr>
            <w:tcW w:w="607" w:type="pct"/>
            <w:tcBorders>
              <w:top w:val="single" w:color="auto" w:sz="4" w:space="0"/>
              <w:left w:val="single" w:color="auto" w:sz="4" w:space="0"/>
              <w:bottom w:val="single" w:color="auto" w:sz="4" w:space="0"/>
              <w:right w:val="single" w:color="auto" w:sz="4" w:space="0"/>
            </w:tcBorders>
            <w:vAlign w:val="center"/>
          </w:tcPr>
          <w:p w14:paraId="09FA4BFA">
            <w:pPr>
              <w:pStyle w:val="28"/>
              <w:bidi w:val="0"/>
            </w:pPr>
            <w:r>
              <w:rPr>
                <w:rFonts w:hint="eastAsia"/>
              </w:rPr>
              <w:t>88</w:t>
            </w:r>
            <w:r>
              <w:t>.0%</w:t>
            </w:r>
          </w:p>
        </w:tc>
        <w:tc>
          <w:tcPr>
            <w:tcW w:w="559" w:type="pct"/>
            <w:tcBorders>
              <w:top w:val="single" w:color="auto" w:sz="4" w:space="0"/>
              <w:left w:val="single" w:color="auto" w:sz="4" w:space="0"/>
              <w:bottom w:val="single" w:color="auto" w:sz="4" w:space="0"/>
              <w:right w:val="single" w:color="auto" w:sz="4" w:space="0"/>
            </w:tcBorders>
            <w:vAlign w:val="center"/>
          </w:tcPr>
          <w:p w14:paraId="7A065AEC">
            <w:pPr>
              <w:pStyle w:val="28"/>
              <w:bidi w:val="0"/>
            </w:pPr>
            <w:r>
              <w:rPr>
                <w:rFonts w:hint="eastAsia"/>
              </w:rPr>
              <w:t>58</w:t>
            </w:r>
            <w:r>
              <w:t>.0%</w:t>
            </w:r>
          </w:p>
        </w:tc>
      </w:tr>
      <w:tr w14:paraId="535D00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62" w:type="pct"/>
            <w:tcBorders>
              <w:top w:val="single" w:color="auto" w:sz="4" w:space="0"/>
              <w:left w:val="single" w:color="auto" w:sz="4" w:space="0"/>
              <w:bottom w:val="single" w:color="auto" w:sz="4" w:space="0"/>
              <w:right w:val="single" w:color="auto" w:sz="4" w:space="0"/>
            </w:tcBorders>
            <w:vAlign w:val="center"/>
          </w:tcPr>
          <w:p w14:paraId="2484C032">
            <w:pPr>
              <w:pStyle w:val="28"/>
              <w:bidi w:val="0"/>
            </w:pPr>
            <w:r>
              <w:rPr>
                <w:rFonts w:hint="eastAsia"/>
              </w:rPr>
              <w:t>总</w:t>
            </w:r>
            <w:r>
              <w:t>镉</w:t>
            </w:r>
          </w:p>
        </w:tc>
        <w:tc>
          <w:tcPr>
            <w:tcW w:w="885" w:type="pct"/>
            <w:tcBorders>
              <w:top w:val="single" w:color="auto" w:sz="4" w:space="0"/>
              <w:left w:val="single" w:color="auto" w:sz="4" w:space="0"/>
              <w:bottom w:val="single" w:color="auto" w:sz="4" w:space="0"/>
              <w:right w:val="single" w:color="auto" w:sz="4" w:space="0"/>
            </w:tcBorders>
            <w:vAlign w:val="center"/>
          </w:tcPr>
          <w:p w14:paraId="46FCF66F">
            <w:pPr>
              <w:pStyle w:val="28"/>
              <w:bidi w:val="0"/>
            </w:pPr>
            <w:r>
              <w:t>0.3</w:t>
            </w:r>
          </w:p>
        </w:tc>
        <w:tc>
          <w:tcPr>
            <w:tcW w:w="777" w:type="pct"/>
            <w:tcBorders>
              <w:top w:val="single" w:color="auto" w:sz="4" w:space="0"/>
              <w:left w:val="single" w:color="auto" w:sz="4" w:space="0"/>
              <w:bottom w:val="single" w:color="auto" w:sz="4" w:space="0"/>
              <w:right w:val="single" w:color="auto" w:sz="4" w:space="0"/>
            </w:tcBorders>
            <w:vAlign w:val="center"/>
          </w:tcPr>
          <w:p w14:paraId="4D2DBA18">
            <w:pPr>
              <w:pStyle w:val="28"/>
              <w:bidi w:val="0"/>
            </w:pPr>
            <w:r>
              <w:rPr>
                <w:rFonts w:hint="eastAsia"/>
              </w:rPr>
              <w:t>140.0</w:t>
            </w:r>
            <w:r>
              <w:t>%</w:t>
            </w:r>
          </w:p>
        </w:tc>
        <w:tc>
          <w:tcPr>
            <w:tcW w:w="603" w:type="pct"/>
            <w:tcBorders>
              <w:top w:val="single" w:color="auto" w:sz="4" w:space="0"/>
              <w:left w:val="single" w:color="auto" w:sz="4" w:space="0"/>
              <w:bottom w:val="single" w:color="auto" w:sz="4" w:space="0"/>
              <w:right w:val="single" w:color="auto" w:sz="4" w:space="0"/>
            </w:tcBorders>
            <w:vAlign w:val="center"/>
          </w:tcPr>
          <w:p w14:paraId="1FDA90C4">
            <w:pPr>
              <w:pStyle w:val="28"/>
              <w:bidi w:val="0"/>
            </w:pPr>
            <w:r>
              <w:rPr>
                <w:rFonts w:hint="eastAsia"/>
              </w:rPr>
              <w:t>90.0</w:t>
            </w:r>
            <w:r>
              <w:t>%</w:t>
            </w:r>
          </w:p>
        </w:tc>
        <w:tc>
          <w:tcPr>
            <w:tcW w:w="605" w:type="pct"/>
            <w:tcBorders>
              <w:top w:val="single" w:color="auto" w:sz="4" w:space="0"/>
              <w:left w:val="single" w:color="auto" w:sz="4" w:space="0"/>
              <w:bottom w:val="single" w:color="auto" w:sz="4" w:space="0"/>
              <w:right w:val="single" w:color="auto" w:sz="4" w:space="0"/>
            </w:tcBorders>
            <w:vAlign w:val="center"/>
          </w:tcPr>
          <w:p w14:paraId="3628AACA">
            <w:pPr>
              <w:pStyle w:val="28"/>
              <w:bidi w:val="0"/>
            </w:pPr>
            <w:r>
              <w:rPr>
                <w:rFonts w:hint="eastAsia"/>
              </w:rPr>
              <w:t>103.3</w:t>
            </w:r>
            <w:r>
              <w:t>%</w:t>
            </w:r>
          </w:p>
        </w:tc>
        <w:tc>
          <w:tcPr>
            <w:tcW w:w="607" w:type="pct"/>
            <w:tcBorders>
              <w:top w:val="single" w:color="auto" w:sz="4" w:space="0"/>
              <w:left w:val="single" w:color="auto" w:sz="4" w:space="0"/>
              <w:bottom w:val="single" w:color="auto" w:sz="4" w:space="0"/>
              <w:right w:val="single" w:color="auto" w:sz="4" w:space="0"/>
            </w:tcBorders>
            <w:vAlign w:val="center"/>
          </w:tcPr>
          <w:p w14:paraId="23EB8132">
            <w:pPr>
              <w:pStyle w:val="28"/>
              <w:bidi w:val="0"/>
            </w:pPr>
            <w:r>
              <w:rPr>
                <w:rFonts w:hint="eastAsia"/>
              </w:rPr>
              <w:t>103.3</w:t>
            </w:r>
            <w:r>
              <w:t>%</w:t>
            </w:r>
          </w:p>
        </w:tc>
        <w:tc>
          <w:tcPr>
            <w:tcW w:w="559" w:type="pct"/>
            <w:tcBorders>
              <w:top w:val="single" w:color="auto" w:sz="4" w:space="0"/>
              <w:left w:val="single" w:color="auto" w:sz="4" w:space="0"/>
              <w:bottom w:val="single" w:color="auto" w:sz="4" w:space="0"/>
              <w:right w:val="single" w:color="auto" w:sz="4" w:space="0"/>
            </w:tcBorders>
            <w:vAlign w:val="center"/>
          </w:tcPr>
          <w:p w14:paraId="260566BC">
            <w:pPr>
              <w:pStyle w:val="28"/>
              <w:bidi w:val="0"/>
            </w:pPr>
            <w:r>
              <w:rPr>
                <w:rFonts w:hint="eastAsia"/>
              </w:rPr>
              <w:t>146.7</w:t>
            </w:r>
            <w:r>
              <w:t>%</w:t>
            </w:r>
          </w:p>
        </w:tc>
      </w:tr>
      <w:tr w14:paraId="03D1C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962" w:type="pct"/>
            <w:tcBorders>
              <w:top w:val="single" w:color="auto" w:sz="4" w:space="0"/>
              <w:left w:val="single" w:color="auto" w:sz="4" w:space="0"/>
              <w:bottom w:val="single" w:color="auto" w:sz="4" w:space="0"/>
              <w:right w:val="single" w:color="auto" w:sz="4" w:space="0"/>
            </w:tcBorders>
            <w:vAlign w:val="center"/>
          </w:tcPr>
          <w:p w14:paraId="42FE322E">
            <w:pPr>
              <w:pStyle w:val="28"/>
              <w:bidi w:val="0"/>
            </w:pPr>
            <w:r>
              <w:rPr>
                <w:rFonts w:hint="eastAsia"/>
              </w:rPr>
              <w:t>总</w:t>
            </w:r>
            <w:r>
              <w:t>铬</w:t>
            </w:r>
          </w:p>
        </w:tc>
        <w:tc>
          <w:tcPr>
            <w:tcW w:w="885" w:type="pct"/>
            <w:tcBorders>
              <w:top w:val="single" w:color="auto" w:sz="4" w:space="0"/>
              <w:left w:val="single" w:color="auto" w:sz="4" w:space="0"/>
              <w:bottom w:val="single" w:color="auto" w:sz="4" w:space="0"/>
              <w:right w:val="single" w:color="auto" w:sz="4" w:space="0"/>
            </w:tcBorders>
            <w:vAlign w:val="center"/>
          </w:tcPr>
          <w:p w14:paraId="6FA12014">
            <w:pPr>
              <w:pStyle w:val="28"/>
              <w:bidi w:val="0"/>
            </w:pPr>
            <w:r>
              <w:t>200</w:t>
            </w:r>
          </w:p>
        </w:tc>
        <w:tc>
          <w:tcPr>
            <w:tcW w:w="777" w:type="pct"/>
            <w:tcBorders>
              <w:top w:val="single" w:color="auto" w:sz="4" w:space="0"/>
              <w:left w:val="single" w:color="auto" w:sz="4" w:space="0"/>
              <w:bottom w:val="single" w:color="auto" w:sz="4" w:space="0"/>
              <w:right w:val="single" w:color="auto" w:sz="4" w:space="0"/>
            </w:tcBorders>
            <w:vAlign w:val="center"/>
          </w:tcPr>
          <w:p w14:paraId="57B2F799">
            <w:pPr>
              <w:pStyle w:val="28"/>
              <w:bidi w:val="0"/>
            </w:pPr>
            <w:r>
              <w:rPr>
                <w:rFonts w:hint="eastAsia"/>
              </w:rPr>
              <w:t>58.0</w:t>
            </w:r>
            <w:r>
              <w:t>%</w:t>
            </w:r>
          </w:p>
        </w:tc>
        <w:tc>
          <w:tcPr>
            <w:tcW w:w="603" w:type="pct"/>
            <w:tcBorders>
              <w:top w:val="single" w:color="auto" w:sz="4" w:space="0"/>
              <w:left w:val="single" w:color="auto" w:sz="4" w:space="0"/>
              <w:bottom w:val="single" w:color="auto" w:sz="4" w:space="0"/>
              <w:right w:val="single" w:color="auto" w:sz="4" w:space="0"/>
            </w:tcBorders>
            <w:vAlign w:val="center"/>
          </w:tcPr>
          <w:p w14:paraId="7C1FDA54">
            <w:pPr>
              <w:pStyle w:val="28"/>
              <w:bidi w:val="0"/>
            </w:pPr>
            <w:r>
              <w:rPr>
                <w:rFonts w:hint="eastAsia"/>
              </w:rPr>
              <w:t>58.5</w:t>
            </w:r>
            <w:r>
              <w:t>%</w:t>
            </w:r>
          </w:p>
        </w:tc>
        <w:tc>
          <w:tcPr>
            <w:tcW w:w="605" w:type="pct"/>
            <w:tcBorders>
              <w:top w:val="single" w:color="auto" w:sz="4" w:space="0"/>
              <w:left w:val="single" w:color="auto" w:sz="4" w:space="0"/>
              <w:bottom w:val="single" w:color="auto" w:sz="4" w:space="0"/>
              <w:right w:val="single" w:color="auto" w:sz="4" w:space="0"/>
            </w:tcBorders>
            <w:vAlign w:val="center"/>
          </w:tcPr>
          <w:p w14:paraId="45AA1EB6">
            <w:pPr>
              <w:pStyle w:val="28"/>
              <w:bidi w:val="0"/>
            </w:pPr>
            <w:r>
              <w:rPr>
                <w:rFonts w:hint="eastAsia"/>
              </w:rPr>
              <w:t>44.0</w:t>
            </w:r>
            <w:r>
              <w:t>%</w:t>
            </w:r>
          </w:p>
        </w:tc>
        <w:tc>
          <w:tcPr>
            <w:tcW w:w="607" w:type="pct"/>
            <w:tcBorders>
              <w:top w:val="single" w:color="auto" w:sz="4" w:space="0"/>
              <w:left w:val="single" w:color="auto" w:sz="4" w:space="0"/>
              <w:bottom w:val="single" w:color="auto" w:sz="4" w:space="0"/>
              <w:right w:val="single" w:color="auto" w:sz="4" w:space="0"/>
            </w:tcBorders>
            <w:vAlign w:val="center"/>
          </w:tcPr>
          <w:p w14:paraId="44AEBA6A">
            <w:pPr>
              <w:pStyle w:val="28"/>
              <w:bidi w:val="0"/>
            </w:pPr>
            <w:r>
              <w:rPr>
                <w:rFonts w:hint="eastAsia"/>
              </w:rPr>
              <w:t>73.0</w:t>
            </w:r>
            <w:r>
              <w:t>%</w:t>
            </w:r>
          </w:p>
        </w:tc>
        <w:tc>
          <w:tcPr>
            <w:tcW w:w="559" w:type="pct"/>
            <w:tcBorders>
              <w:top w:val="single" w:color="auto" w:sz="4" w:space="0"/>
              <w:left w:val="single" w:color="auto" w:sz="4" w:space="0"/>
              <w:bottom w:val="single" w:color="auto" w:sz="4" w:space="0"/>
              <w:right w:val="single" w:color="auto" w:sz="4" w:space="0"/>
            </w:tcBorders>
            <w:vAlign w:val="center"/>
          </w:tcPr>
          <w:p w14:paraId="42B6C96E">
            <w:pPr>
              <w:pStyle w:val="28"/>
              <w:bidi w:val="0"/>
            </w:pPr>
            <w:r>
              <w:rPr>
                <w:rFonts w:hint="eastAsia"/>
              </w:rPr>
              <w:t>53.0</w:t>
            </w:r>
            <w:r>
              <w:t>%</w:t>
            </w:r>
          </w:p>
        </w:tc>
      </w:tr>
    </w:tbl>
    <w:p w14:paraId="666B8269">
      <w:pPr>
        <w:adjustRightInd w:val="0"/>
        <w:spacing w:line="240" w:lineRule="auto"/>
        <w:ind w:firstLine="480" w:firstLineChars="200"/>
        <w:contextualSpacing/>
        <w:textAlignment w:val="center"/>
        <w:rPr>
          <w:rFonts w:cs="Times New Roman"/>
          <w:color w:val="0000FF"/>
        </w:rPr>
      </w:pPr>
    </w:p>
    <w:p w14:paraId="739C6622">
      <w:pPr>
        <w:adjustRightInd w:val="0"/>
        <w:ind w:firstLine="480" w:firstLineChars="200"/>
        <w:contextualSpacing/>
        <w:textAlignment w:val="center"/>
        <w:rPr>
          <w:rFonts w:cs="Times New Roman"/>
          <w:snapToGrid w:val="0"/>
        </w:rPr>
      </w:pPr>
      <w:r>
        <w:rPr>
          <w:rFonts w:cs="Times New Roman"/>
        </w:rPr>
        <w:t>从上表可以看出，</w:t>
      </w:r>
      <w:r>
        <w:rPr>
          <w:rFonts w:hint="eastAsia" w:cs="Times New Roman"/>
        </w:rPr>
        <w:t>5</w:t>
      </w:r>
      <w:r>
        <w:rPr>
          <w:rFonts w:cs="Times New Roman"/>
        </w:rPr>
        <w:t>个底泥监测点</w:t>
      </w:r>
      <w:r>
        <w:rPr>
          <w:rFonts w:hint="eastAsia" w:cs="Times New Roman"/>
        </w:rPr>
        <w:t>中，S2染坊支渠上游</w:t>
      </w:r>
      <w:r>
        <w:rPr>
          <w:rFonts w:cs="Times New Roman"/>
        </w:rPr>
        <w:t>的底质监测因子满足</w:t>
      </w:r>
      <w:r>
        <w:rPr>
          <w:rFonts w:cs="Times New Roman"/>
          <w:snapToGrid w:val="0"/>
        </w:rPr>
        <w:t>《土壤环境质量 农用地土壤污染风险管控标准（试行）》（GB 15618-2018）相应风险筛选值的要求</w:t>
      </w:r>
      <w:r>
        <w:rPr>
          <w:rFonts w:hint="eastAsia" w:cs="Times New Roman"/>
          <w:snapToGrid w:val="0"/>
        </w:rPr>
        <w:t>。S1</w:t>
      </w:r>
      <w:r>
        <w:rPr>
          <w:rFonts w:hint="eastAsia" w:cs="Times New Roman"/>
        </w:rPr>
        <w:t>三北干渠下游、S3方庄支渠下游、S4染坊支渠下游、S5桂岗支渠</w:t>
      </w:r>
      <w:r>
        <w:rPr>
          <w:rFonts w:cs="Times New Roman"/>
        </w:rPr>
        <w:t>的底质监测因子</w:t>
      </w:r>
      <w:r>
        <w:rPr>
          <w:rFonts w:hint="eastAsia" w:cs="Times New Roman"/>
        </w:rPr>
        <w:t>均不</w:t>
      </w:r>
      <w:r>
        <w:rPr>
          <w:rFonts w:cs="Times New Roman"/>
        </w:rPr>
        <w:t>满足</w:t>
      </w:r>
      <w:r>
        <w:rPr>
          <w:rFonts w:cs="Times New Roman"/>
          <w:snapToGrid w:val="0"/>
        </w:rPr>
        <w:t>《土壤环境质量 农用地土壤污染风险管控标准（试行）》（GB 15618-2018）相应风险筛选值的要求</w:t>
      </w:r>
      <w:r>
        <w:rPr>
          <w:rFonts w:hint="eastAsia" w:cs="Times New Roman"/>
          <w:snapToGrid w:val="0"/>
        </w:rPr>
        <w:t>，满足</w:t>
      </w:r>
      <w:r>
        <w:rPr>
          <w:rFonts w:cs="Times New Roman"/>
          <w:snapToGrid w:val="0"/>
        </w:rPr>
        <w:t xml:space="preserve">《土壤环境质量 </w:t>
      </w:r>
      <w:r>
        <w:rPr>
          <w:rFonts w:hint="eastAsia" w:cs="Times New Roman"/>
          <w:snapToGrid w:val="0"/>
        </w:rPr>
        <w:t>建设用地</w:t>
      </w:r>
      <w:r>
        <w:rPr>
          <w:rFonts w:cs="Times New Roman"/>
          <w:snapToGrid w:val="0"/>
        </w:rPr>
        <w:t xml:space="preserve">土壤污染风险管控标准（试行）》（GB </w:t>
      </w:r>
      <w:r>
        <w:rPr>
          <w:rFonts w:hint="eastAsia" w:cs="Times New Roman"/>
          <w:snapToGrid w:val="0"/>
        </w:rPr>
        <w:t>36600</w:t>
      </w:r>
      <w:r>
        <w:rPr>
          <w:rFonts w:cs="Times New Roman"/>
          <w:snapToGrid w:val="0"/>
        </w:rPr>
        <w:t>-2018）相应风险筛选值的要求。</w:t>
      </w:r>
    </w:p>
    <w:p w14:paraId="696DA3C2">
      <w:pPr>
        <w:pStyle w:val="3"/>
        <w:rPr>
          <w:rFonts w:cs="Times New Roman"/>
          <w:color w:val="0000FF"/>
        </w:rPr>
        <w:sectPr>
          <w:headerReference r:id="rId32" w:type="first"/>
          <w:footerReference r:id="rId35" w:type="first"/>
          <w:headerReference r:id="rId30" w:type="default"/>
          <w:footerReference r:id="rId33" w:type="default"/>
          <w:headerReference r:id="rId31" w:type="even"/>
          <w:footerReference r:id="rId34" w:type="even"/>
          <w:pgSz w:w="11905" w:h="16838"/>
          <w:pgMar w:top="1417" w:right="1417" w:bottom="1417" w:left="1417" w:header="850" w:footer="850" w:gutter="0"/>
          <w:pgNumType w:fmt="decimal"/>
          <w:cols w:space="0" w:num="1"/>
          <w:rtlGutter w:val="0"/>
          <w:docGrid w:linePitch="312" w:charSpace="0"/>
        </w:sectPr>
      </w:pPr>
    </w:p>
    <w:p w14:paraId="7432623F">
      <w:pPr>
        <w:pStyle w:val="3"/>
        <w:bidi w:val="0"/>
      </w:pPr>
      <w:bookmarkStart w:id="55" w:name="_Toc4178"/>
      <w:r>
        <w:t>4.3 生态环境现状调查与评价</w:t>
      </w:r>
      <w:bookmarkEnd w:id="55"/>
    </w:p>
    <w:p w14:paraId="43E3A978">
      <w:pPr>
        <w:pStyle w:val="4"/>
        <w:bidi w:val="0"/>
      </w:pPr>
      <w:r>
        <w:t>4.3.1植物区系</w:t>
      </w:r>
    </w:p>
    <w:p w14:paraId="05DA8CE3">
      <w:pPr>
        <w:pStyle w:val="5"/>
        <w:bidi w:val="0"/>
      </w:pPr>
      <w:r>
        <w:t>4.3.1.1调查方法</w:t>
      </w:r>
    </w:p>
    <w:p w14:paraId="033C1A8C">
      <w:pPr>
        <w:ind w:firstLine="480"/>
        <w:rPr>
          <w:rFonts w:cs="Times New Roman"/>
        </w:rPr>
      </w:pPr>
      <w:r>
        <w:rPr>
          <w:rFonts w:cs="Times New Roman"/>
        </w:rPr>
        <w:t>（1）调查原则</w:t>
      </w:r>
    </w:p>
    <w:p w14:paraId="42F0925D">
      <w:pPr>
        <w:ind w:firstLine="480"/>
        <w:rPr>
          <w:rFonts w:cs="Times New Roman"/>
        </w:rPr>
      </w:pPr>
      <w:r>
        <w:rPr>
          <w:rFonts w:hint="eastAsia" w:cs="Times New Roman"/>
        </w:rPr>
        <w:t>依据《环境影响评价技术导则 生态影响》（HJ 19-2022），陆生生态一级评价每种群落类型设置的样方数量不少于5个，二级评价不少于3个，调查时间宜选择植物生长旺盛季节。三级评价现状调查以收集有效资料为主。植被现状调查内容主要包括：评价范围内的植物区系、植被类型，植物群落结构及群落中的优势种，并根据植被和植物群落调查结果，编制植被类型图，统计评价范围内的植被类型及面积，采用植被覆盖度等指标分析植被现状，图示植被覆盖度空间分布特点</w:t>
      </w:r>
      <w:r>
        <w:rPr>
          <w:rFonts w:cs="Times New Roman"/>
        </w:rPr>
        <w:t>。</w:t>
      </w:r>
    </w:p>
    <w:p w14:paraId="039299FB">
      <w:pPr>
        <w:ind w:firstLine="480"/>
        <w:rPr>
          <w:rFonts w:cs="Times New Roman"/>
        </w:rPr>
      </w:pPr>
      <w:r>
        <w:rPr>
          <w:rFonts w:cs="Times New Roman"/>
        </w:rPr>
        <w:t>（2）样方调查</w:t>
      </w:r>
    </w:p>
    <w:p w14:paraId="37BCC122">
      <w:pPr>
        <w:ind w:firstLine="480"/>
        <w:rPr>
          <w:rFonts w:cs="Times New Roman"/>
        </w:rPr>
      </w:pPr>
      <w:r>
        <w:rPr>
          <w:rFonts w:hint="eastAsia" w:cs="Times New Roman"/>
        </w:rPr>
        <w:t>参考《生物物种监测技术指南 陆生维管植物》（HJ 710.1-2014）中的相关规范，根据监测的目的，在监测区内选择具有代表性的群落类型，对群落中的植物多样性进行监测。植物现状调查采用现场踏查和资料查询相结合的方法，调查评价范围的植物区系类型、植被区划、植被类型、结构和植物物种组成情况。</w:t>
      </w:r>
    </w:p>
    <w:p w14:paraId="6DEE29F6">
      <w:pPr>
        <w:ind w:firstLine="480"/>
        <w:rPr>
          <w:rFonts w:cs="Times New Roman"/>
          <w:color w:val="0000FF"/>
        </w:rPr>
      </w:pPr>
      <w:r>
        <w:rPr>
          <w:rFonts w:hint="eastAsia" w:cs="Times New Roman"/>
        </w:rPr>
        <w:t>2024年7月，在评价区共布设了18个样方进行，样方数量符合《环境影响评价技术导则 生态影响》（HJ 19-2022）的相关要求，调查范围涵盖建筑物工程、生产生活区、施工道路等主要工程区域。</w:t>
      </w:r>
    </w:p>
    <w:p w14:paraId="112299E9">
      <w:pPr>
        <w:ind w:firstLine="480"/>
        <w:rPr>
          <w:rFonts w:cs="Times New Roman"/>
          <w:color w:val="0000FF"/>
        </w:rPr>
      </w:pPr>
      <w:r>
        <w:rPr>
          <w:rFonts w:hint="eastAsia" w:cs="Times New Roman"/>
        </w:rPr>
        <w:t>草本、灌木、乔木植物样方分别采用1m×1m、5m×5m、10m×10m规格。调查时记录每个样方的植被类型、层次、层盖度、种类组成和生长状况，并拍摄样方照片。各样方基本能够涵盖工程范围内有代表性的自然植被群落类型，基本能够反映本项目陆生生态影响二级评价区的植被和植物多样性现状。</w:t>
      </w:r>
    </w:p>
    <w:p w14:paraId="73015110">
      <w:pPr>
        <w:ind w:firstLine="480"/>
        <w:rPr>
          <w:rFonts w:cs="Times New Roman"/>
        </w:rPr>
      </w:pPr>
      <w:r>
        <w:rPr>
          <w:rFonts w:hint="eastAsia" w:cs="Times New Roman"/>
        </w:rPr>
        <w:t>植物调查样方布设图见附图、调查结果见附表</w:t>
      </w:r>
      <w:r>
        <w:rPr>
          <w:rFonts w:cs="Times New Roman"/>
        </w:rPr>
        <w:t>。</w:t>
      </w:r>
    </w:p>
    <w:p w14:paraId="0CD41DFC">
      <w:pPr>
        <w:ind w:firstLine="480"/>
        <w:rPr>
          <w:rFonts w:cs="Times New Roman"/>
        </w:rPr>
      </w:pPr>
      <w:r>
        <w:rPr>
          <w:rFonts w:cs="Times New Roman"/>
        </w:rPr>
        <w:t>（3）资料查询</w:t>
      </w:r>
    </w:p>
    <w:p w14:paraId="563FD771">
      <w:pPr>
        <w:ind w:firstLine="480"/>
        <w:rPr>
          <w:rFonts w:cs="Times New Roman"/>
        </w:rPr>
      </w:pPr>
      <w:r>
        <w:rPr>
          <w:rFonts w:hint="eastAsia" w:ascii="宋体" w:hAnsi="宋体"/>
        </w:rPr>
        <w:t>①</w:t>
      </w:r>
      <w:r>
        <w:rPr>
          <w:rFonts w:cs="Times New Roman"/>
        </w:rPr>
        <w:t>调查主要参考资料</w:t>
      </w:r>
    </w:p>
    <w:p w14:paraId="2DD4ADD8">
      <w:pPr>
        <w:ind w:firstLine="480"/>
        <w:rPr>
          <w:rFonts w:eastAsia="黑体" w:cs="Times New Roman"/>
        </w:rPr>
      </w:pPr>
      <w:r>
        <w:rPr>
          <w:rFonts w:hint="eastAsia" w:cs="Times New Roman"/>
          <w:bCs/>
        </w:rPr>
        <w:t>《中国生物物种名录2023版》、《中国种子植物区系地理》（吴征镒著）、《中国植被：类型和区划—解读&lt;中华人民共和国植被图（1：1000000）》（侯学煜等）、《中国植物志》、《安徽省陆生野生动植物资源》（安徽省林业厅主编）、《安徽植物志》（安徽师范大学主编）、《安徽植被》及相关期刊论文等</w:t>
      </w:r>
      <w:r>
        <w:rPr>
          <w:rFonts w:cs="Times New Roman"/>
        </w:rPr>
        <w:t>。</w:t>
      </w:r>
    </w:p>
    <w:p w14:paraId="24359F07">
      <w:pPr>
        <w:adjustRightInd w:val="0"/>
        <w:ind w:firstLine="480"/>
        <w:rPr>
          <w:rFonts w:cs="Times New Roman"/>
        </w:rPr>
      </w:pPr>
      <w:r>
        <w:rPr>
          <w:rFonts w:hint="eastAsia" w:ascii="宋体" w:hAnsi="宋体"/>
        </w:rPr>
        <w:t>②</w:t>
      </w:r>
      <w:r>
        <w:rPr>
          <w:rFonts w:cs="Times New Roman"/>
        </w:rPr>
        <w:t>植被和植物群落划分依据</w:t>
      </w:r>
    </w:p>
    <w:p w14:paraId="208E08B5">
      <w:pPr>
        <w:adjustRightInd w:val="0"/>
        <w:ind w:firstLine="480"/>
        <w:rPr>
          <w:rFonts w:cs="Times New Roman"/>
        </w:rPr>
      </w:pPr>
      <w:r>
        <w:rPr>
          <w:rFonts w:cs="Times New Roman"/>
        </w:rPr>
        <w:t>植被、植物群落划分依据有：《中国植被》（吴征镒著）、</w:t>
      </w:r>
      <w:r>
        <w:rPr>
          <w:rFonts w:cs="Times New Roman"/>
          <w:szCs w:val="20"/>
        </w:rPr>
        <w:t>《论中国植被分区的原则、依据和系统单位》（侯学煜著</w:t>
      </w:r>
      <w:r>
        <w:rPr>
          <w:rFonts w:cs="Times New Roman"/>
        </w:rPr>
        <w:t>）、植物群落特征参考《普通生态学》（牛翠娟等著）的定义。</w:t>
      </w:r>
    </w:p>
    <w:p w14:paraId="62AB8B3E">
      <w:pPr>
        <w:adjustRightInd w:val="0"/>
        <w:ind w:firstLine="480"/>
        <w:rPr>
          <w:rFonts w:cs="Times New Roman"/>
          <w:bCs/>
        </w:rPr>
      </w:pPr>
      <w:r>
        <w:rPr>
          <w:rFonts w:hint="eastAsia" w:ascii="宋体" w:hAnsi="宋体"/>
          <w:bCs/>
        </w:rPr>
        <w:t>③</w:t>
      </w:r>
      <w:r>
        <w:rPr>
          <w:rFonts w:cs="Times New Roman"/>
          <w:bCs/>
        </w:rPr>
        <w:t>物种保护和濒危等级判定</w:t>
      </w:r>
    </w:p>
    <w:p w14:paraId="06521CAF">
      <w:pPr>
        <w:adjustRightInd w:val="0"/>
        <w:ind w:firstLine="480"/>
        <w:rPr>
          <w:rFonts w:cs="Times New Roman"/>
          <w:bCs/>
        </w:rPr>
      </w:pPr>
      <w:r>
        <w:rPr>
          <w:rFonts w:cs="Times New Roman"/>
          <w:bCs/>
        </w:rPr>
        <w:t>通过查询《国家重点保护野生植物名录》《安徽省重点保护野生植物名录》《中国生物多样性红色名录》《全国野生动植物及自然保护区建设工程总体规划》极小种群野生植物名录，判定植物物种保护等级、濒危等级、是否属于不属于极小种群野生植物。</w:t>
      </w:r>
    </w:p>
    <w:p w14:paraId="4A4E0A40">
      <w:pPr>
        <w:adjustRightInd w:val="0"/>
        <w:ind w:firstLine="480"/>
        <w:rPr>
          <w:rFonts w:cs="Times New Roman"/>
        </w:rPr>
      </w:pPr>
      <w:r>
        <w:rPr>
          <w:rFonts w:hint="eastAsia" w:ascii="宋体" w:hAnsi="宋体"/>
        </w:rPr>
        <w:t>④</w:t>
      </w:r>
      <w:r>
        <w:rPr>
          <w:rFonts w:cs="Times New Roman"/>
        </w:rPr>
        <w:t>外来入侵物种判定</w:t>
      </w:r>
    </w:p>
    <w:p w14:paraId="181A0F83">
      <w:pPr>
        <w:adjustRightInd w:val="0"/>
        <w:ind w:firstLine="480"/>
        <w:rPr>
          <w:rFonts w:cs="Times New Roman"/>
        </w:rPr>
      </w:pPr>
      <w:r>
        <w:rPr>
          <w:rFonts w:hint="eastAsia" w:cs="Times New Roman"/>
        </w:rPr>
        <w:t>依据《中国第一批外来入侵种名单》（2003年）、《中国第二批外来入侵种名单》（2010年）、《中国外来入侵种名单（第三批）》（2014年）、《中国自然生态系统外来入侵种名单（第四批）》（2016年）判定评价区分布的入侵植物种类</w:t>
      </w:r>
      <w:r>
        <w:rPr>
          <w:rFonts w:cs="Times New Roman"/>
        </w:rPr>
        <w:t>。</w:t>
      </w:r>
    </w:p>
    <w:p w14:paraId="6AB8FF61">
      <w:pPr>
        <w:pStyle w:val="29"/>
        <w:bidi w:val="0"/>
      </w:pPr>
      <w:r>
        <w:t>表</w:t>
      </w:r>
      <w:r>
        <w:rPr>
          <w:rFonts w:hint="eastAsia"/>
          <w:lang w:eastAsia="zh-CN"/>
        </w:rPr>
        <w:t>4.3</w:t>
      </w:r>
      <w:r>
        <w:t>-1  植物调查样方布设情况</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3" w:type="dxa"/>
          <w:bottom w:w="0" w:type="dxa"/>
          <w:right w:w="23" w:type="dxa"/>
        </w:tblCellMar>
      </w:tblPr>
      <w:tblGrid>
        <w:gridCol w:w="4208"/>
        <w:gridCol w:w="954"/>
        <w:gridCol w:w="669"/>
        <w:gridCol w:w="695"/>
        <w:gridCol w:w="580"/>
        <w:gridCol w:w="702"/>
        <w:gridCol w:w="1309"/>
      </w:tblGrid>
      <w:tr w14:paraId="67D7D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tblHeader/>
          <w:jc w:val="center"/>
        </w:trPr>
        <w:tc>
          <w:tcPr>
            <w:tcW w:w="2307" w:type="pct"/>
            <w:vMerge w:val="restart"/>
            <w:vAlign w:val="center"/>
          </w:tcPr>
          <w:p w14:paraId="69C7F0D7">
            <w:pPr>
              <w:pStyle w:val="28"/>
              <w:bidi w:val="0"/>
            </w:pPr>
            <w:r>
              <w:t>项目名称</w:t>
            </w:r>
          </w:p>
        </w:tc>
        <w:tc>
          <w:tcPr>
            <w:tcW w:w="523" w:type="pct"/>
            <w:vMerge w:val="restart"/>
            <w:vAlign w:val="center"/>
          </w:tcPr>
          <w:p w14:paraId="4C5ED658">
            <w:pPr>
              <w:pStyle w:val="28"/>
              <w:bidi w:val="0"/>
            </w:pPr>
            <w:r>
              <w:t>陆生生态影响评价等级</w:t>
            </w:r>
          </w:p>
        </w:tc>
        <w:tc>
          <w:tcPr>
            <w:tcW w:w="1451" w:type="pct"/>
            <w:gridSpan w:val="4"/>
            <w:vAlign w:val="center"/>
          </w:tcPr>
          <w:p w14:paraId="559E648C">
            <w:pPr>
              <w:pStyle w:val="28"/>
              <w:bidi w:val="0"/>
            </w:pPr>
            <w:r>
              <w:t>植物群落类型</w:t>
            </w:r>
          </w:p>
        </w:tc>
        <w:tc>
          <w:tcPr>
            <w:tcW w:w="717" w:type="pct"/>
            <w:vMerge w:val="restart"/>
            <w:vAlign w:val="center"/>
          </w:tcPr>
          <w:p w14:paraId="19C75AE5">
            <w:pPr>
              <w:pStyle w:val="28"/>
              <w:bidi w:val="0"/>
            </w:pPr>
            <w:r>
              <w:t>样方数量与HJ 19-2022符合性</w:t>
            </w:r>
          </w:p>
        </w:tc>
      </w:tr>
      <w:tr w14:paraId="65FB4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tblHeader/>
          <w:jc w:val="center"/>
        </w:trPr>
        <w:tc>
          <w:tcPr>
            <w:tcW w:w="2307" w:type="pct"/>
            <w:vMerge w:val="continue"/>
            <w:vAlign w:val="center"/>
          </w:tcPr>
          <w:p w14:paraId="7210B9B6">
            <w:pPr>
              <w:pStyle w:val="28"/>
              <w:bidi w:val="0"/>
            </w:pPr>
          </w:p>
        </w:tc>
        <w:tc>
          <w:tcPr>
            <w:tcW w:w="523" w:type="pct"/>
            <w:vMerge w:val="continue"/>
            <w:vAlign w:val="center"/>
          </w:tcPr>
          <w:p w14:paraId="4F44CD86">
            <w:pPr>
              <w:pStyle w:val="28"/>
              <w:bidi w:val="0"/>
            </w:pPr>
          </w:p>
        </w:tc>
        <w:tc>
          <w:tcPr>
            <w:tcW w:w="367" w:type="pct"/>
            <w:vAlign w:val="center"/>
          </w:tcPr>
          <w:p w14:paraId="63FCE265">
            <w:pPr>
              <w:pStyle w:val="28"/>
              <w:bidi w:val="0"/>
            </w:pPr>
            <w:r>
              <w:t>乔木</w:t>
            </w:r>
          </w:p>
        </w:tc>
        <w:tc>
          <w:tcPr>
            <w:tcW w:w="381" w:type="pct"/>
            <w:vAlign w:val="center"/>
          </w:tcPr>
          <w:p w14:paraId="00913342">
            <w:pPr>
              <w:pStyle w:val="28"/>
              <w:bidi w:val="0"/>
            </w:pPr>
            <w:r>
              <w:t>灌木</w:t>
            </w:r>
          </w:p>
        </w:tc>
        <w:tc>
          <w:tcPr>
            <w:tcW w:w="318" w:type="pct"/>
            <w:vAlign w:val="center"/>
          </w:tcPr>
          <w:p w14:paraId="41C3B709">
            <w:pPr>
              <w:pStyle w:val="28"/>
              <w:bidi w:val="0"/>
            </w:pPr>
            <w:r>
              <w:t>草本</w:t>
            </w:r>
          </w:p>
        </w:tc>
        <w:tc>
          <w:tcPr>
            <w:tcW w:w="385" w:type="pct"/>
            <w:vAlign w:val="center"/>
          </w:tcPr>
          <w:p w14:paraId="6ACFDB6F">
            <w:pPr>
              <w:pStyle w:val="28"/>
              <w:bidi w:val="0"/>
            </w:pPr>
            <w:r>
              <w:t>总数量</w:t>
            </w:r>
          </w:p>
        </w:tc>
        <w:tc>
          <w:tcPr>
            <w:tcW w:w="717" w:type="pct"/>
            <w:vMerge w:val="continue"/>
            <w:vAlign w:val="center"/>
          </w:tcPr>
          <w:p w14:paraId="5284770D">
            <w:pPr>
              <w:pStyle w:val="28"/>
              <w:bidi w:val="0"/>
            </w:pPr>
          </w:p>
        </w:tc>
      </w:tr>
      <w:tr w14:paraId="75268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2307" w:type="pct"/>
            <w:vAlign w:val="center"/>
          </w:tcPr>
          <w:p w14:paraId="306E75FB">
            <w:pPr>
              <w:pStyle w:val="28"/>
              <w:bidi w:val="0"/>
            </w:pPr>
            <w:r>
              <w:rPr>
                <w:rFonts w:hint="eastAsia"/>
              </w:rPr>
              <w:t>朱集一站引水渠</w:t>
            </w:r>
          </w:p>
        </w:tc>
        <w:tc>
          <w:tcPr>
            <w:tcW w:w="523" w:type="pct"/>
            <w:vMerge w:val="restart"/>
            <w:vAlign w:val="center"/>
          </w:tcPr>
          <w:p w14:paraId="0F940544">
            <w:pPr>
              <w:pStyle w:val="28"/>
              <w:bidi w:val="0"/>
            </w:pPr>
            <w:r>
              <w:t>二级</w:t>
            </w:r>
          </w:p>
        </w:tc>
        <w:tc>
          <w:tcPr>
            <w:tcW w:w="367" w:type="pct"/>
            <w:vMerge w:val="restart"/>
            <w:vAlign w:val="center"/>
          </w:tcPr>
          <w:p w14:paraId="15D6CE77">
            <w:pPr>
              <w:pStyle w:val="28"/>
              <w:bidi w:val="0"/>
            </w:pPr>
            <w:r>
              <w:t>3</w:t>
            </w:r>
          </w:p>
        </w:tc>
        <w:tc>
          <w:tcPr>
            <w:tcW w:w="381" w:type="pct"/>
            <w:vMerge w:val="restart"/>
            <w:vAlign w:val="center"/>
          </w:tcPr>
          <w:p w14:paraId="59D24D35">
            <w:pPr>
              <w:pStyle w:val="28"/>
              <w:bidi w:val="0"/>
            </w:pPr>
            <w:r>
              <w:t>3</w:t>
            </w:r>
          </w:p>
        </w:tc>
        <w:tc>
          <w:tcPr>
            <w:tcW w:w="318" w:type="pct"/>
            <w:vMerge w:val="restart"/>
            <w:vAlign w:val="center"/>
          </w:tcPr>
          <w:p w14:paraId="42B88BAE">
            <w:pPr>
              <w:pStyle w:val="28"/>
              <w:bidi w:val="0"/>
            </w:pPr>
            <w:r>
              <w:t>3</w:t>
            </w:r>
          </w:p>
        </w:tc>
        <w:tc>
          <w:tcPr>
            <w:tcW w:w="385" w:type="pct"/>
            <w:vMerge w:val="restart"/>
            <w:vAlign w:val="center"/>
          </w:tcPr>
          <w:p w14:paraId="2C7B4E3B">
            <w:pPr>
              <w:pStyle w:val="28"/>
              <w:bidi w:val="0"/>
            </w:pPr>
            <w:r>
              <w:t>9</w:t>
            </w:r>
          </w:p>
        </w:tc>
        <w:tc>
          <w:tcPr>
            <w:tcW w:w="717" w:type="pct"/>
            <w:vMerge w:val="restart"/>
            <w:vAlign w:val="center"/>
          </w:tcPr>
          <w:p w14:paraId="122EB969">
            <w:pPr>
              <w:pStyle w:val="28"/>
              <w:bidi w:val="0"/>
            </w:pPr>
            <w:r>
              <w:t>符合</w:t>
            </w:r>
          </w:p>
        </w:tc>
      </w:tr>
      <w:tr w14:paraId="728BC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2307" w:type="pct"/>
            <w:vAlign w:val="center"/>
          </w:tcPr>
          <w:p w14:paraId="5FB0B9BA">
            <w:pPr>
              <w:pStyle w:val="28"/>
              <w:bidi w:val="0"/>
            </w:pPr>
            <w:r>
              <w:rPr>
                <w:rFonts w:hint="eastAsia"/>
              </w:rPr>
              <w:t>三东干渠</w:t>
            </w:r>
          </w:p>
        </w:tc>
        <w:tc>
          <w:tcPr>
            <w:tcW w:w="523" w:type="pct"/>
            <w:vMerge w:val="continue"/>
            <w:vAlign w:val="center"/>
          </w:tcPr>
          <w:p w14:paraId="2D73D16F">
            <w:pPr>
              <w:pStyle w:val="28"/>
              <w:bidi w:val="0"/>
            </w:pPr>
          </w:p>
        </w:tc>
        <w:tc>
          <w:tcPr>
            <w:tcW w:w="367" w:type="pct"/>
            <w:vMerge w:val="continue"/>
            <w:vAlign w:val="center"/>
          </w:tcPr>
          <w:p w14:paraId="4E228345">
            <w:pPr>
              <w:pStyle w:val="28"/>
              <w:bidi w:val="0"/>
            </w:pPr>
          </w:p>
        </w:tc>
        <w:tc>
          <w:tcPr>
            <w:tcW w:w="381" w:type="pct"/>
            <w:vMerge w:val="continue"/>
            <w:vAlign w:val="center"/>
          </w:tcPr>
          <w:p w14:paraId="15A51D2A">
            <w:pPr>
              <w:pStyle w:val="28"/>
              <w:bidi w:val="0"/>
            </w:pPr>
          </w:p>
        </w:tc>
        <w:tc>
          <w:tcPr>
            <w:tcW w:w="318" w:type="pct"/>
            <w:vMerge w:val="continue"/>
            <w:vAlign w:val="center"/>
          </w:tcPr>
          <w:p w14:paraId="2DEF2DDB">
            <w:pPr>
              <w:pStyle w:val="28"/>
              <w:bidi w:val="0"/>
            </w:pPr>
          </w:p>
        </w:tc>
        <w:tc>
          <w:tcPr>
            <w:tcW w:w="385" w:type="pct"/>
            <w:vMerge w:val="continue"/>
            <w:vAlign w:val="center"/>
          </w:tcPr>
          <w:p w14:paraId="2ECAF4B2">
            <w:pPr>
              <w:pStyle w:val="28"/>
              <w:bidi w:val="0"/>
            </w:pPr>
          </w:p>
        </w:tc>
        <w:tc>
          <w:tcPr>
            <w:tcW w:w="717" w:type="pct"/>
            <w:vMerge w:val="continue"/>
            <w:vAlign w:val="center"/>
          </w:tcPr>
          <w:p w14:paraId="7C27AB76">
            <w:pPr>
              <w:pStyle w:val="28"/>
              <w:bidi w:val="0"/>
            </w:pPr>
          </w:p>
        </w:tc>
      </w:tr>
      <w:tr w14:paraId="39BE7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2307" w:type="pct"/>
            <w:vAlign w:val="center"/>
          </w:tcPr>
          <w:p w14:paraId="2C98409B">
            <w:pPr>
              <w:pStyle w:val="28"/>
              <w:bidi w:val="0"/>
            </w:pPr>
            <w:r>
              <w:t>其他项目</w:t>
            </w:r>
          </w:p>
        </w:tc>
        <w:tc>
          <w:tcPr>
            <w:tcW w:w="523" w:type="pct"/>
            <w:vAlign w:val="center"/>
          </w:tcPr>
          <w:p w14:paraId="33EB72AD">
            <w:pPr>
              <w:pStyle w:val="28"/>
              <w:bidi w:val="0"/>
            </w:pPr>
            <w:r>
              <w:t>三级</w:t>
            </w:r>
          </w:p>
        </w:tc>
        <w:tc>
          <w:tcPr>
            <w:tcW w:w="1451" w:type="pct"/>
            <w:gridSpan w:val="4"/>
            <w:vAlign w:val="center"/>
          </w:tcPr>
          <w:p w14:paraId="6319891B">
            <w:pPr>
              <w:pStyle w:val="28"/>
              <w:bidi w:val="0"/>
            </w:pPr>
            <w:r>
              <w:t>以收集有效资料为主</w:t>
            </w:r>
          </w:p>
        </w:tc>
        <w:tc>
          <w:tcPr>
            <w:tcW w:w="717" w:type="pct"/>
            <w:vAlign w:val="center"/>
          </w:tcPr>
          <w:p w14:paraId="49B8CF64">
            <w:pPr>
              <w:pStyle w:val="28"/>
              <w:bidi w:val="0"/>
            </w:pPr>
            <w:r>
              <w:t>符合</w:t>
            </w:r>
          </w:p>
        </w:tc>
      </w:tr>
      <w:tr w14:paraId="7939A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3" w:type="dxa"/>
            <w:bottom w:w="0" w:type="dxa"/>
            <w:right w:w="23" w:type="dxa"/>
          </w:tblCellMar>
        </w:tblPrEx>
        <w:trPr>
          <w:trHeight w:val="340" w:hRule="atLeast"/>
          <w:jc w:val="center"/>
        </w:trPr>
        <w:tc>
          <w:tcPr>
            <w:tcW w:w="2307" w:type="pct"/>
            <w:vAlign w:val="center"/>
          </w:tcPr>
          <w:p w14:paraId="03ED1EEB">
            <w:pPr>
              <w:pStyle w:val="28"/>
              <w:bidi w:val="0"/>
            </w:pPr>
            <w:r>
              <w:t>总计</w:t>
            </w:r>
          </w:p>
        </w:tc>
        <w:tc>
          <w:tcPr>
            <w:tcW w:w="523" w:type="pct"/>
            <w:vAlign w:val="center"/>
          </w:tcPr>
          <w:p w14:paraId="5866DCDF">
            <w:pPr>
              <w:pStyle w:val="28"/>
              <w:bidi w:val="0"/>
            </w:pPr>
            <w:r>
              <w:t>/</w:t>
            </w:r>
          </w:p>
        </w:tc>
        <w:tc>
          <w:tcPr>
            <w:tcW w:w="1451" w:type="pct"/>
            <w:gridSpan w:val="4"/>
            <w:vAlign w:val="center"/>
          </w:tcPr>
          <w:p w14:paraId="7D8736F3">
            <w:pPr>
              <w:pStyle w:val="28"/>
              <w:bidi w:val="0"/>
            </w:pPr>
            <w:r>
              <w:rPr>
                <w:rFonts w:hint="eastAsia"/>
              </w:rPr>
              <w:t>18</w:t>
            </w:r>
          </w:p>
        </w:tc>
        <w:tc>
          <w:tcPr>
            <w:tcW w:w="717" w:type="pct"/>
            <w:vAlign w:val="center"/>
          </w:tcPr>
          <w:p w14:paraId="2C845C13">
            <w:pPr>
              <w:pStyle w:val="28"/>
              <w:bidi w:val="0"/>
            </w:pPr>
            <w:r>
              <w:t>/</w:t>
            </w:r>
          </w:p>
        </w:tc>
      </w:tr>
    </w:tbl>
    <w:p w14:paraId="1C977EDF">
      <w:pPr>
        <w:ind w:firstLine="480"/>
        <w:rPr>
          <w:color w:val="0000FF"/>
        </w:rPr>
        <w:sectPr>
          <w:headerReference r:id="rId36" w:type="default"/>
          <w:footerReference r:id="rId37" w:type="default"/>
          <w:pgSz w:w="11905" w:h="16838"/>
          <w:pgMar w:top="1417" w:right="1417" w:bottom="1417" w:left="1417" w:header="850" w:footer="850" w:gutter="0"/>
          <w:pgNumType w:fmt="decimal"/>
          <w:cols w:space="0" w:num="1"/>
          <w:rtlGutter w:val="0"/>
          <w:docGrid w:linePitch="326" w:charSpace="0"/>
        </w:sectPr>
      </w:pPr>
    </w:p>
    <w:tbl>
      <w:tblPr>
        <w:tblStyle w:val="16"/>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4"/>
        <w:gridCol w:w="4473"/>
      </w:tblGrid>
      <w:tr w14:paraId="75133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0" w:hRule="atLeast"/>
        </w:trPr>
        <w:tc>
          <w:tcPr>
            <w:tcW w:w="2541" w:type="pct"/>
            <w:vAlign w:val="center"/>
          </w:tcPr>
          <w:p w14:paraId="15C6DBE9">
            <w:pPr>
              <w:pStyle w:val="28"/>
              <w:bidi w:val="0"/>
            </w:pPr>
            <w:r>
              <w:drawing>
                <wp:inline distT="0" distB="0" distL="114300" distR="114300">
                  <wp:extent cx="3101340" cy="1891030"/>
                  <wp:effectExtent l="0" t="0" r="7620" b="13970"/>
                  <wp:docPr id="5"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3" descr="IMG_256"/>
                          <pic:cNvPicPr>
                            <a:picLocks noChangeAspect="1"/>
                          </pic:cNvPicPr>
                        </pic:nvPicPr>
                        <pic:blipFill>
                          <a:blip r:embed="rId128"/>
                          <a:srcRect r="6518" b="24028"/>
                          <a:stretch>
                            <a:fillRect/>
                          </a:stretch>
                        </pic:blipFill>
                        <pic:spPr>
                          <a:xfrm>
                            <a:off x="0" y="0"/>
                            <a:ext cx="3101340" cy="1891030"/>
                          </a:xfrm>
                          <a:prstGeom prst="rect">
                            <a:avLst/>
                          </a:prstGeom>
                          <a:noFill/>
                          <a:ln w="9525">
                            <a:noFill/>
                          </a:ln>
                        </pic:spPr>
                      </pic:pic>
                    </a:graphicData>
                  </a:graphic>
                </wp:inline>
              </w:drawing>
            </w:r>
          </w:p>
        </w:tc>
        <w:tc>
          <w:tcPr>
            <w:tcW w:w="2458" w:type="pct"/>
            <w:vAlign w:val="center"/>
          </w:tcPr>
          <w:p w14:paraId="3CDE223A">
            <w:pPr>
              <w:pStyle w:val="28"/>
              <w:bidi w:val="0"/>
            </w:pPr>
            <w:r>
              <w:drawing>
                <wp:inline distT="0" distB="0" distL="0" distR="0">
                  <wp:extent cx="2877820" cy="1899285"/>
                  <wp:effectExtent l="0" t="0" r="0" b="0"/>
                  <wp:docPr id="97761879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618794" name="图片 2"/>
                          <pic:cNvPicPr>
                            <a:picLocks noChangeAspect="1" noChangeArrowheads="1"/>
                          </pic:cNvPicPr>
                        </pic:nvPicPr>
                        <pic:blipFill>
                          <a:blip r:embed="rId129" cstate="print">
                            <a:extLst>
                              <a:ext uri="{28A0092B-C50C-407E-A947-70E740481C1C}">
                                <a14:useLocalDpi xmlns:a14="http://schemas.microsoft.com/office/drawing/2010/main" val="0"/>
                              </a:ext>
                            </a:extLst>
                          </a:blip>
                          <a:srcRect t="11993"/>
                          <a:stretch>
                            <a:fillRect/>
                          </a:stretch>
                        </pic:blipFill>
                        <pic:spPr>
                          <a:xfrm>
                            <a:off x="0" y="0"/>
                            <a:ext cx="2877820" cy="1899285"/>
                          </a:xfrm>
                          <a:prstGeom prst="rect">
                            <a:avLst/>
                          </a:prstGeom>
                          <a:noFill/>
                          <a:ln>
                            <a:noFill/>
                          </a:ln>
                        </pic:spPr>
                      </pic:pic>
                    </a:graphicData>
                  </a:graphic>
                </wp:inline>
              </w:drawing>
            </w:r>
          </w:p>
        </w:tc>
      </w:tr>
      <w:tr w14:paraId="378018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1" w:type="pct"/>
            <w:vAlign w:val="center"/>
          </w:tcPr>
          <w:p w14:paraId="0B4A3E43">
            <w:pPr>
              <w:pStyle w:val="28"/>
              <w:bidi w:val="0"/>
            </w:pPr>
            <w:r>
              <w:t>乔木测量</w:t>
            </w:r>
          </w:p>
        </w:tc>
        <w:tc>
          <w:tcPr>
            <w:tcW w:w="2458" w:type="pct"/>
            <w:vAlign w:val="center"/>
          </w:tcPr>
          <w:p w14:paraId="3EBFCC99">
            <w:pPr>
              <w:pStyle w:val="28"/>
              <w:bidi w:val="0"/>
            </w:pPr>
            <w:r>
              <w:t>样方调查</w:t>
            </w:r>
          </w:p>
        </w:tc>
      </w:tr>
    </w:tbl>
    <w:p w14:paraId="4A4D55ED">
      <w:pPr>
        <w:pStyle w:val="30"/>
        <w:bidi w:val="0"/>
      </w:pPr>
      <w:r>
        <w:t>图</w:t>
      </w:r>
      <w:r>
        <w:rPr>
          <w:rFonts w:hint="eastAsia"/>
          <w:lang w:eastAsia="zh-CN"/>
        </w:rPr>
        <w:t>4.3</w:t>
      </w:r>
      <w:r>
        <w:t>-1  植物调查方法</w:t>
      </w:r>
    </w:p>
    <w:p w14:paraId="5483B1F3">
      <w:pPr>
        <w:pStyle w:val="5"/>
        <w:bidi w:val="0"/>
      </w:pPr>
      <w:r>
        <w:t>4.3.1.2植物区系</w:t>
      </w:r>
    </w:p>
    <w:p w14:paraId="53E48F50">
      <w:pPr>
        <w:ind w:firstLine="480"/>
        <w:rPr>
          <w:rFonts w:cs="Times New Roman"/>
        </w:rPr>
      </w:pPr>
      <w:r>
        <w:rPr>
          <w:rFonts w:cs="Times New Roman"/>
        </w:rPr>
        <w:t>依据《中国种子植物区系地理》，评价区植物区系属东亚植物区、华东地区、黄淮平原亚地区（代码：III D 9a），以栽培为主（图</w:t>
      </w:r>
      <w:r>
        <w:rPr>
          <w:rFonts w:hint="eastAsia" w:cs="Times New Roman"/>
          <w:lang w:eastAsia="zh-CN"/>
        </w:rPr>
        <w:t>4.3</w:t>
      </w:r>
      <w:r>
        <w:rPr>
          <w:rFonts w:cs="Times New Roman"/>
        </w:rPr>
        <w:t>-2）。</w:t>
      </w:r>
    </w:p>
    <w:p w14:paraId="1019C423">
      <w:pPr>
        <w:ind w:firstLine="480"/>
        <w:rPr>
          <w:rFonts w:cs="Times New Roman"/>
        </w:rPr>
      </w:pPr>
      <w:r>
        <w:rPr>
          <w:rFonts w:cs="Times New Roman"/>
        </w:rPr>
        <w:t>本区系包括安徽、江苏大部分以及山东东南部的部分地区，淮河、长江两大水系纵横交错，地势平坦。本区农垦历史悠长，自然植被绝大部分已不复存在。在丘陵和山地残存有落叶和常绿阔叶混交林，但常绿阔叶树种比例不大，只在低海拔，局部避风向阳湿润的谷地有较耐旱的青冈栎、冬青等分布。落叶阔叶林以人工栽培种及化香、山槐、朴树占优势，已逐渐向华北地区过渡。无亚地区特有属。</w:t>
      </w:r>
    </w:p>
    <w:p w14:paraId="2FB38D3A">
      <w:pPr>
        <w:pStyle w:val="31"/>
        <w:bidi w:val="0"/>
        <w:rPr>
          <w:rFonts w:cs="Times New Roman"/>
          <w:color w:val="0000FF"/>
        </w:rPr>
      </w:pPr>
      <w:r>
        <w:rPr>
          <w:rFonts w:cs="Times New Roman"/>
          <w:color w:val="0000FF"/>
        </w:rPr>
        <mc:AlternateContent>
          <mc:Choice Requires="wps">
            <w:drawing>
              <wp:anchor distT="0" distB="0" distL="114300" distR="114300" simplePos="0" relativeHeight="251663360" behindDoc="0" locked="0" layoutInCell="1" allowOverlap="1">
                <wp:simplePos x="0" y="0"/>
                <wp:positionH relativeFrom="column">
                  <wp:posOffset>3663950</wp:posOffset>
                </wp:positionH>
                <wp:positionV relativeFrom="paragraph">
                  <wp:posOffset>2144395</wp:posOffset>
                </wp:positionV>
                <wp:extent cx="1917065" cy="945515"/>
                <wp:effectExtent l="0" t="0" r="0" b="0"/>
                <wp:wrapNone/>
                <wp:docPr id="1945401250" name="文本框 187"/>
                <wp:cNvGraphicFramePr/>
                <a:graphic xmlns:a="http://schemas.openxmlformats.org/drawingml/2006/main">
                  <a:graphicData uri="http://schemas.microsoft.com/office/word/2010/wordprocessingShape">
                    <wps:wsp>
                      <wps:cNvSpPr txBox="1">
                        <a:spLocks noChangeArrowheads="1"/>
                      </wps:cNvSpPr>
                      <wps:spPr bwMode="auto">
                        <a:xfrm>
                          <a:off x="0" y="0"/>
                          <a:ext cx="1917065" cy="945515"/>
                        </a:xfrm>
                        <a:prstGeom prst="rect">
                          <a:avLst/>
                        </a:prstGeom>
                        <a:noFill/>
                        <a:ln>
                          <a:noFill/>
                        </a:ln>
                        <a:effectLst/>
                      </wps:spPr>
                      <wps:txbx>
                        <w:txbxContent>
                          <w:p w14:paraId="71A6D928">
                            <w:pPr>
                              <w:ind w:firstLine="361"/>
                              <w:rPr>
                                <w:b/>
                                <w:bCs/>
                                <w:color w:val="FF0000"/>
                                <w:sz w:val="18"/>
                                <w:szCs w:val="18"/>
                              </w:rPr>
                            </w:pPr>
                            <w:r>
                              <w:rPr>
                                <w:rFonts w:hint="eastAsia"/>
                                <w:b/>
                                <w:bCs/>
                                <w:color w:val="FF0000"/>
                                <w:sz w:val="18"/>
                                <w:szCs w:val="18"/>
                              </w:rPr>
                              <w:t>项目位置</w:t>
                            </w:r>
                          </w:p>
                        </w:txbxContent>
                      </wps:txbx>
                      <wps:bodyPr rot="0" vert="horz" wrap="square" lIns="91440" tIns="45720" rIns="91440" bIns="45720" anchor="t" anchorCtr="0" upright="1">
                        <a:noAutofit/>
                      </wps:bodyPr>
                    </wps:wsp>
                  </a:graphicData>
                </a:graphic>
              </wp:anchor>
            </w:drawing>
          </mc:Choice>
          <mc:Fallback>
            <w:pict>
              <v:shape id="文本框 187" o:spid="_x0000_s1026" o:spt="202" type="#_x0000_t202" style="position:absolute;left:0pt;margin-left:288.5pt;margin-top:168.85pt;height:74.45pt;width:150.95pt;z-index:251663360;mso-width-relative:page;mso-height-relative:page;" filled="f" stroked="f" coordsize="21600,21600" o:gfxdata="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T&#10;/j1G2QAAAAsBAAAPAAAAAAAAAAEAIAAAACIAAABkcnMvZG93bnJldi54bWxQSwECFAAUAAAACACH&#10;TuJAdVLZSyMCAAAuBAAADgAAAAAAAAABACAAAAAoAQAAZHJzL2Uyb0RvYy54bWxQSwUGAAAAAAYA&#10;BgBZAQAAvQUAAAAA&#10;">
                <v:fill on="f" focussize="0,0"/>
                <v:stroke on="f"/>
                <v:imagedata o:title=""/>
                <o:lock v:ext="edit" aspectratio="f"/>
                <v:textbox>
                  <w:txbxContent>
                    <w:p w14:paraId="71A6D928">
                      <w:pPr>
                        <w:ind w:firstLine="361"/>
                        <w:rPr>
                          <w:b/>
                          <w:bCs/>
                          <w:color w:val="FF0000"/>
                          <w:sz w:val="18"/>
                          <w:szCs w:val="18"/>
                        </w:rPr>
                      </w:pPr>
                      <w:r>
                        <w:rPr>
                          <w:rFonts w:hint="eastAsia"/>
                          <w:b/>
                          <w:bCs/>
                          <w:color w:val="FF0000"/>
                          <w:sz w:val="18"/>
                          <w:szCs w:val="18"/>
                        </w:rPr>
                        <w:t>项目位置</w:t>
                      </w:r>
                    </w:p>
                  </w:txbxContent>
                </v:textbox>
              </v:shape>
            </w:pict>
          </mc:Fallback>
        </mc:AlternateContent>
      </w:r>
      <w:r>
        <w:rPr>
          <w:rFonts w:cs="Times New Roman"/>
          <w:color w:val="0000FF"/>
        </w:rPr>
        <mc:AlternateContent>
          <mc:Choice Requires="wps">
            <w:drawing>
              <wp:anchor distT="0" distB="0" distL="114300" distR="114300" simplePos="0" relativeHeight="251665408" behindDoc="0" locked="0" layoutInCell="1" allowOverlap="1">
                <wp:simplePos x="0" y="0"/>
                <wp:positionH relativeFrom="column">
                  <wp:posOffset>3831590</wp:posOffset>
                </wp:positionH>
                <wp:positionV relativeFrom="paragraph">
                  <wp:posOffset>2087245</wp:posOffset>
                </wp:positionV>
                <wp:extent cx="177165" cy="146050"/>
                <wp:effectExtent l="0" t="0" r="13335" b="6350"/>
                <wp:wrapNone/>
                <wp:docPr id="1990162191" name="直接连接符 186"/>
                <wp:cNvGraphicFramePr/>
                <a:graphic xmlns:a="http://schemas.openxmlformats.org/drawingml/2006/main">
                  <a:graphicData uri="http://schemas.microsoft.com/office/word/2010/wordprocessingShape">
                    <wps:wsp>
                      <wps:cNvCnPr>
                        <a:cxnSpLocks noChangeShapeType="1"/>
                      </wps:cNvCnPr>
                      <wps:spPr bwMode="auto">
                        <a:xfrm flipH="1" flipV="1">
                          <a:off x="0" y="0"/>
                          <a:ext cx="177165" cy="146050"/>
                        </a:xfrm>
                        <a:prstGeom prst="line">
                          <a:avLst/>
                        </a:prstGeom>
                        <a:noFill/>
                        <a:ln w="12700">
                          <a:solidFill>
                            <a:srgbClr val="FF0000"/>
                          </a:solidFill>
                          <a:round/>
                          <a:tailEnd type="arrow" w="med" len="med"/>
                        </a:ln>
                        <a:effectLst/>
                      </wps:spPr>
                      <wps:bodyPr/>
                    </wps:wsp>
                  </a:graphicData>
                </a:graphic>
              </wp:anchor>
            </w:drawing>
          </mc:Choice>
          <mc:Fallback>
            <w:pict>
              <v:line id="直接连接符 186" o:spid="_x0000_s1026" o:spt="20" style="position:absolute;left:0pt;flip:x y;margin-left:301.7pt;margin-top:164.35pt;height:11.5pt;width:13.95pt;z-index:251665408;mso-width-relative:page;mso-height-relative:page;" filled="f" stroked="t" coordsize="21600,21600" o:gfxdata="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Ua4Pg9oA&#10;AAALAQAADwAAAAAAAAABACAAAAAiAAAAZHJzL2Rvd25yZXYueG1sUEsBAhQAFAAAAAgAh07iQFr0&#10;dq8dAgAABwQAAA4AAAAAAAAAAQAgAAAAKQEAAGRycy9lMm9Eb2MueG1sUEsFBgAAAAAGAAYAWQEA&#10;ALgFAAAAAA==&#10;">
                <v:fill on="f" focussize="0,0"/>
                <v:stroke weight="1pt" color="#FF0000" joinstyle="round" endarrow="open"/>
                <v:imagedata o:title=""/>
                <o:lock v:ext="edit" aspectratio="f"/>
              </v:line>
            </w:pict>
          </mc:Fallback>
        </mc:AlternateContent>
      </w:r>
      <w:r>
        <w:rPr>
          <w:rFonts w:cs="Times New Roman"/>
          <w:color w:val="0000FF"/>
          <w:lang w:val="zh-CN" w:bidi="zh-CN"/>
        </w:rPr>
        <w:drawing>
          <wp:inline distT="0" distB="0" distL="114300" distR="114300">
            <wp:extent cx="3509010" cy="5556250"/>
            <wp:effectExtent l="0" t="0" r="6350" b="8890"/>
            <wp:docPr id="51" name="图片 42" descr="中国植物区系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2" descr="中国植物区系图"/>
                    <pic:cNvPicPr>
                      <a:picLocks noChangeAspect="1"/>
                    </pic:cNvPicPr>
                  </pic:nvPicPr>
                  <pic:blipFill>
                    <a:blip r:embed="rId130"/>
                    <a:stretch>
                      <a:fillRect/>
                    </a:stretch>
                  </pic:blipFill>
                  <pic:spPr>
                    <a:xfrm rot="5400000">
                      <a:off x="0" y="0"/>
                      <a:ext cx="3509010" cy="5556250"/>
                    </a:xfrm>
                    <a:prstGeom prst="rect">
                      <a:avLst/>
                    </a:prstGeom>
                    <a:noFill/>
                    <a:ln>
                      <a:noFill/>
                    </a:ln>
                  </pic:spPr>
                </pic:pic>
              </a:graphicData>
            </a:graphic>
          </wp:inline>
        </w:drawing>
      </w:r>
    </w:p>
    <w:p w14:paraId="7E00685F">
      <w:pPr>
        <w:pStyle w:val="30"/>
        <w:bidi w:val="0"/>
      </w:pPr>
      <w:r>
        <w:t>图</w:t>
      </w:r>
      <w:r>
        <w:rPr>
          <w:rFonts w:hint="eastAsia"/>
          <w:lang w:eastAsia="zh-CN"/>
        </w:rPr>
        <w:t>4.3</w:t>
      </w:r>
      <w:r>
        <w:t>-2  评价区植物区系分区</w:t>
      </w:r>
    </w:p>
    <w:p w14:paraId="05971A19">
      <w:pPr>
        <w:pStyle w:val="5"/>
        <w:bidi w:val="0"/>
      </w:pPr>
      <w:r>
        <w:t>4.3.1.3物种组成</w:t>
      </w:r>
    </w:p>
    <w:p w14:paraId="0FC219E1">
      <w:pPr>
        <w:ind w:firstLine="480"/>
        <w:rPr>
          <w:rFonts w:cs="Times New Roman"/>
          <w:color w:val="0000FF"/>
        </w:rPr>
      </w:pPr>
      <w:r>
        <w:rPr>
          <w:rFonts w:cs="Times New Roman"/>
        </w:rPr>
        <w:t>野外实地调查共记录到维管植物</w:t>
      </w:r>
      <w:r>
        <w:rPr>
          <w:rFonts w:hint="eastAsia" w:cs="Times New Roman"/>
        </w:rPr>
        <w:t>78</w:t>
      </w:r>
      <w:r>
        <w:rPr>
          <w:rFonts w:cs="Times New Roman"/>
        </w:rPr>
        <w:t>种，</w:t>
      </w:r>
      <w:r>
        <w:rPr>
          <w:rFonts w:hint="eastAsia" w:cs="Times New Roman"/>
        </w:rPr>
        <w:t>均为</w:t>
      </w:r>
      <w:r>
        <w:rPr>
          <w:rFonts w:cs="Times New Roman"/>
        </w:rPr>
        <w:t>被子植物，未记录到蕨类植物</w:t>
      </w:r>
      <w:r>
        <w:rPr>
          <w:rFonts w:hint="eastAsia" w:cs="Times New Roman"/>
        </w:rPr>
        <w:t>、</w:t>
      </w:r>
      <w:r>
        <w:rPr>
          <w:rFonts w:cs="Times New Roman"/>
        </w:rPr>
        <w:t>裸子植物（表</w:t>
      </w:r>
      <w:r>
        <w:rPr>
          <w:rFonts w:hint="eastAsia" w:eastAsia="黑体" w:cs="Times New Roman"/>
          <w:lang w:eastAsia="zh-CN"/>
        </w:rPr>
        <w:t>4.3</w:t>
      </w:r>
      <w:r>
        <w:rPr>
          <w:rFonts w:eastAsia="黑体" w:cs="Times New Roman"/>
        </w:rPr>
        <w:t>-2</w:t>
      </w:r>
      <w:r>
        <w:rPr>
          <w:rFonts w:cs="Times New Roman"/>
        </w:rPr>
        <w:t>）。</w:t>
      </w:r>
    </w:p>
    <w:p w14:paraId="35583571">
      <w:pPr>
        <w:ind w:firstLine="480"/>
        <w:rPr>
          <w:rFonts w:cs="Times New Roman"/>
          <w:bCs/>
        </w:rPr>
      </w:pPr>
      <w:r>
        <w:rPr>
          <w:rFonts w:cs="Times New Roman"/>
          <w:bCs/>
        </w:rPr>
        <w:t>野外实地调查记录到的植物均不属于国家和省级重点保护野生植物、均不属于濒危物种、均不属于中国特有种、均不属于极小种群野生植物。</w:t>
      </w:r>
    </w:p>
    <w:p w14:paraId="328A8F4C">
      <w:pPr>
        <w:ind w:firstLine="480"/>
        <w:rPr>
          <w:rFonts w:cs="Times New Roman"/>
          <w:bCs/>
        </w:rPr>
      </w:pPr>
      <w:r>
        <w:rPr>
          <w:rFonts w:cs="Times New Roman"/>
          <w:bCs/>
        </w:rPr>
        <w:t>野外实地调查共记录到入侵危害等级为1级（恶性入侵类）的入侵植物有：小蓬草、一年蓬、喜旱莲子草，其他种类均为一般入侵类或有待观察类、建议排除类。</w:t>
      </w:r>
    </w:p>
    <w:p w14:paraId="2E5C723D">
      <w:pPr>
        <w:ind w:firstLine="480"/>
        <w:rPr>
          <w:rFonts w:cs="Times New Roman"/>
        </w:rPr>
      </w:pPr>
      <w:r>
        <w:rPr>
          <w:rFonts w:cs="Times New Roman"/>
          <w:bCs/>
        </w:rPr>
        <w:t>通过查询《中国生物物种名录》202</w:t>
      </w:r>
      <w:r>
        <w:rPr>
          <w:rFonts w:hint="eastAsia" w:cs="Times New Roman"/>
          <w:bCs/>
        </w:rPr>
        <w:t>4</w:t>
      </w:r>
      <w:r>
        <w:rPr>
          <w:rFonts w:cs="Times New Roman"/>
          <w:bCs/>
        </w:rPr>
        <w:t>版可知，评价区调查到的维管植物总物种种类数分别占全国维管植物种类数的0.</w:t>
      </w:r>
      <w:r>
        <w:rPr>
          <w:rFonts w:hint="eastAsia" w:cs="Times New Roman"/>
          <w:bCs/>
        </w:rPr>
        <w:t>25</w:t>
      </w:r>
      <w:r>
        <w:rPr>
          <w:rFonts w:cs="Times New Roman"/>
          <w:bCs/>
        </w:rPr>
        <w:t>%，占安徽省维管植物种类数的</w:t>
      </w:r>
      <w:r>
        <w:rPr>
          <w:rFonts w:hint="eastAsia" w:cs="Times New Roman"/>
          <w:bCs/>
        </w:rPr>
        <w:t>11.44</w:t>
      </w:r>
      <w:r>
        <w:rPr>
          <w:rFonts w:cs="Times New Roman"/>
          <w:bCs/>
        </w:rPr>
        <w:t>%。评价区维管植物物种多样性一般。</w:t>
      </w:r>
    </w:p>
    <w:p w14:paraId="3CE144AD">
      <w:pPr>
        <w:pStyle w:val="5"/>
        <w:bidi w:val="0"/>
      </w:pPr>
      <w:r>
        <w:t>4.3.1.4植物群落特征</w:t>
      </w:r>
    </w:p>
    <w:p w14:paraId="1E3C99D1">
      <w:pPr>
        <w:autoSpaceDE w:val="0"/>
        <w:autoSpaceDN w:val="0"/>
        <w:adjustRightInd w:val="0"/>
        <w:ind w:firstLine="480"/>
        <w:rPr>
          <w:rFonts w:cs="Times New Roman"/>
        </w:rPr>
      </w:pPr>
      <w:r>
        <w:rPr>
          <w:rFonts w:cs="Times New Roman"/>
          <w:szCs w:val="20"/>
        </w:rPr>
        <w:t>根据实地调查并参考《中国植被》（吴征镒著）、《论中国植被分区的原则、依据和系统单位》（侯学煜著）的分类依据，评价区属栽培植被区，将评价区内的植被划分为4个植被型组（森林、灌丛、草地、农业植被）、10个植被型（常绿针叶林、落叶阔叶林、常绿阔叶林、落叶阔叶灌丛、常绿阔叶灌丛、</w:t>
      </w:r>
      <w:r>
        <w:rPr>
          <w:rFonts w:cs="Times New Roman"/>
          <w:szCs w:val="21"/>
        </w:rPr>
        <w:t>丛生草类草地、杂草类草地、根茎草类草地、粮食作物</w:t>
      </w:r>
      <w:r>
        <w:rPr>
          <w:rFonts w:cs="Times New Roman"/>
          <w:szCs w:val="20"/>
        </w:rPr>
        <w:t>）、11个植被亚型以及52个植被群系。</w:t>
      </w:r>
    </w:p>
    <w:p w14:paraId="7DA83DD7">
      <w:pPr>
        <w:ind w:firstLine="480"/>
        <w:rPr>
          <w:rFonts w:cs="Times New Roman"/>
          <w:color w:val="0000FF"/>
        </w:rPr>
      </w:pPr>
      <w:r>
        <w:rPr>
          <w:rFonts w:cs="Times New Roman"/>
        </w:rPr>
        <w:t>栽培植被是</w:t>
      </w:r>
      <w:r>
        <w:rPr>
          <w:rFonts w:hint="eastAsia" w:cs="Times New Roman"/>
        </w:rPr>
        <w:t>评价</w:t>
      </w:r>
      <w:r>
        <w:rPr>
          <w:rFonts w:cs="Times New Roman"/>
        </w:rPr>
        <w:t>区最主要的植物群落。不同植物群落类型中，加杨是阔叶林层植物中的优势种、建群种；狗尾草、</w:t>
      </w:r>
      <w:r>
        <w:rPr>
          <w:rFonts w:hint="eastAsia" w:cs="Times New Roman"/>
        </w:rPr>
        <w:t>铁苋菜</w:t>
      </w:r>
      <w:r>
        <w:rPr>
          <w:rFonts w:cs="Times New Roman"/>
        </w:rPr>
        <w:t>、葎草等是草丛植物中的优势种；灌丛在评价区较少见，主要种类是构树</w:t>
      </w:r>
      <w:r>
        <w:rPr>
          <w:rFonts w:hint="eastAsia" w:cs="Times New Roman"/>
        </w:rPr>
        <w:t>、</w:t>
      </w:r>
      <w:r>
        <w:rPr>
          <w:rFonts w:cs="Times New Roman"/>
          <w:szCs w:val="21"/>
        </w:rPr>
        <w:t>榔榆</w:t>
      </w:r>
      <w:r>
        <w:rPr>
          <w:rFonts w:hint="eastAsia" w:cs="Times New Roman"/>
          <w:szCs w:val="21"/>
        </w:rPr>
        <w:t>苗等</w:t>
      </w:r>
      <w:r>
        <w:rPr>
          <w:rFonts w:cs="Times New Roman"/>
        </w:rPr>
        <w:t>；沼泽和水生植被在部分水塘、河流可见，主要种类是</w:t>
      </w:r>
      <w:r>
        <w:rPr>
          <w:rFonts w:cs="Times New Roman"/>
          <w:szCs w:val="21"/>
        </w:rPr>
        <w:t>水烛</w:t>
      </w:r>
      <w:r>
        <w:rPr>
          <w:rFonts w:cs="Times New Roman"/>
        </w:rPr>
        <w:t>、</w:t>
      </w:r>
      <w:r>
        <w:rPr>
          <w:rFonts w:cs="Times New Roman"/>
          <w:szCs w:val="21"/>
        </w:rPr>
        <w:t>浮萍</w:t>
      </w:r>
      <w:r>
        <w:rPr>
          <w:rFonts w:hint="eastAsia" w:cs="Times New Roman"/>
          <w:szCs w:val="21"/>
        </w:rPr>
        <w:t>、</w:t>
      </w:r>
      <w:r>
        <w:rPr>
          <w:rFonts w:cs="Times New Roman"/>
          <w:szCs w:val="21"/>
        </w:rPr>
        <w:t>穗状狐尾藻</w:t>
      </w:r>
      <w:r>
        <w:rPr>
          <w:rFonts w:hint="eastAsia" w:cs="Times New Roman"/>
          <w:szCs w:val="21"/>
        </w:rPr>
        <w:t>等</w:t>
      </w:r>
      <w:r>
        <w:rPr>
          <w:rFonts w:cs="Times New Roman"/>
        </w:rPr>
        <w:t>（水生维管植物现状调查结果分析见4.</w:t>
      </w:r>
      <w:r>
        <w:rPr>
          <w:rFonts w:hint="eastAsia" w:cs="Times New Roman"/>
        </w:rPr>
        <w:t>3</w:t>
      </w:r>
      <w:r>
        <w:rPr>
          <w:rFonts w:cs="Times New Roman"/>
        </w:rPr>
        <w:t>.</w:t>
      </w:r>
      <w:r>
        <w:rPr>
          <w:rFonts w:hint="eastAsia" w:cs="Times New Roman"/>
        </w:rPr>
        <w:t>4.</w:t>
      </w:r>
      <w:r>
        <w:rPr>
          <w:rFonts w:cs="Times New Roman"/>
        </w:rPr>
        <w:t>2节）。</w:t>
      </w:r>
    </w:p>
    <w:p w14:paraId="06AAE635">
      <w:pPr>
        <w:ind w:firstLine="480"/>
        <w:rPr>
          <w:rFonts w:cs="Times New Roman"/>
          <w:color w:val="0000FF"/>
        </w:rPr>
      </w:pPr>
      <w:r>
        <w:rPr>
          <w:rFonts w:cs="Times New Roman"/>
        </w:rPr>
        <w:t>不同植物群落类型中，加杨（</w:t>
      </w:r>
      <w:r>
        <w:rPr>
          <w:rFonts w:eastAsia="Helvetica" w:cs="Times New Roman"/>
          <w:i/>
          <w:iCs/>
          <w:shd w:val="clear" w:color="auto" w:fill="FFFFFF"/>
        </w:rPr>
        <w:t>Populus euramevicana</w:t>
      </w:r>
      <w:r>
        <w:rPr>
          <w:rFonts w:cs="Times New Roman"/>
        </w:rPr>
        <w:t>）属是阔叶林层植物中的优势种、建群种；构树（</w:t>
      </w:r>
      <w:r>
        <w:rPr>
          <w:rFonts w:eastAsia="Helvetica" w:cs="Times New Roman"/>
          <w:i/>
          <w:iCs/>
          <w:shd w:val="clear" w:color="auto" w:fill="FFFFFF"/>
        </w:rPr>
        <w:t>Broussonetia papyrifera</w:t>
      </w:r>
      <w:r>
        <w:rPr>
          <w:rFonts w:cs="Times New Roman"/>
        </w:rPr>
        <w:t>）是灌丛植物中的优势种、建群种；野艾蒿（</w:t>
      </w:r>
      <w:r>
        <w:rPr>
          <w:rFonts w:eastAsia="Helvetica" w:cs="Times New Roman"/>
          <w:i/>
          <w:iCs/>
          <w:shd w:val="clear" w:color="auto" w:fill="FFFFFF"/>
        </w:rPr>
        <w:t>Artemisia lavandulaefolia</w:t>
      </w:r>
      <w:r>
        <w:rPr>
          <w:rFonts w:cs="Times New Roman"/>
        </w:rPr>
        <w:t>）、</w:t>
      </w:r>
      <w:r>
        <w:rPr>
          <w:rFonts w:hint="eastAsia" w:cs="Times New Roman"/>
        </w:rPr>
        <w:t>小蓬草（</w:t>
      </w:r>
      <w:r>
        <w:rPr>
          <w:rFonts w:hint="eastAsia" w:eastAsia="Helvetica" w:cs="Times New Roman"/>
          <w:i/>
          <w:iCs/>
          <w:shd w:val="clear" w:color="auto" w:fill="FFFFFF"/>
        </w:rPr>
        <w:t>Erigeron canadensis L</w:t>
      </w:r>
      <w:r>
        <w:rPr>
          <w:rFonts w:hint="eastAsia" w:cs="Times New Roman"/>
        </w:rPr>
        <w:t>）、狗尾草（</w:t>
      </w:r>
      <w:r>
        <w:rPr>
          <w:rFonts w:hint="eastAsia" w:eastAsia="Helvetica" w:cs="Times New Roman"/>
          <w:i/>
          <w:iCs/>
          <w:shd w:val="clear" w:color="auto" w:fill="FFFFFF"/>
        </w:rPr>
        <w:t>Setaria viridis (L.) P. Beauv</w:t>
      </w:r>
      <w:r>
        <w:rPr>
          <w:rFonts w:hint="eastAsia" w:cs="Times New Roman"/>
        </w:rPr>
        <w:t>）</w:t>
      </w:r>
      <w:r>
        <w:rPr>
          <w:rFonts w:cs="Times New Roman"/>
        </w:rPr>
        <w:t>等是草丛植物中的优势种。其他植被型无明显优势种。</w:t>
      </w:r>
    </w:p>
    <w:p w14:paraId="52E23645">
      <w:pPr>
        <w:ind w:firstLine="480"/>
        <w:rPr>
          <w:rFonts w:cs="Times New Roman"/>
        </w:rPr>
      </w:pPr>
      <w:r>
        <w:rPr>
          <w:rFonts w:cs="Times New Roman"/>
          <w:szCs w:val="20"/>
        </w:rPr>
        <w:t>植物群落调查结果统计见表</w:t>
      </w:r>
      <w:r>
        <w:rPr>
          <w:rFonts w:hint="eastAsia" w:eastAsia="黑体" w:cs="Times New Roman"/>
          <w:lang w:eastAsia="zh-CN"/>
        </w:rPr>
        <w:t>4.3</w:t>
      </w:r>
      <w:r>
        <w:rPr>
          <w:rFonts w:eastAsia="黑体" w:cs="Times New Roman"/>
        </w:rPr>
        <w:t>-2</w:t>
      </w:r>
      <w:r>
        <w:rPr>
          <w:rFonts w:cs="Times New Roman"/>
          <w:szCs w:val="20"/>
        </w:rPr>
        <w:t>，典型植物群落见图</w:t>
      </w:r>
      <w:r>
        <w:rPr>
          <w:rFonts w:hint="eastAsia" w:eastAsia="黑体" w:cs="Times New Roman"/>
          <w:lang w:eastAsia="zh-CN"/>
        </w:rPr>
        <w:t>4.3</w:t>
      </w:r>
      <w:r>
        <w:rPr>
          <w:rFonts w:eastAsia="黑体" w:cs="Times New Roman"/>
        </w:rPr>
        <w:t>-3</w:t>
      </w:r>
      <w:r>
        <w:rPr>
          <w:rFonts w:cs="Times New Roman"/>
          <w:szCs w:val="20"/>
        </w:rPr>
        <w:t>。</w:t>
      </w:r>
    </w:p>
    <w:tbl>
      <w:tblPr>
        <w:tblStyle w:val="1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56"/>
        <w:gridCol w:w="4631"/>
      </w:tblGrid>
      <w:tr w14:paraId="754A8C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6" w:hRule="atLeast"/>
          <w:jc w:val="center"/>
        </w:trPr>
        <w:tc>
          <w:tcPr>
            <w:tcW w:w="4644" w:type="dxa"/>
            <w:vAlign w:val="center"/>
          </w:tcPr>
          <w:p w14:paraId="34A24399">
            <w:pPr>
              <w:pStyle w:val="28"/>
              <w:bidi w:val="0"/>
            </w:pPr>
            <w:r>
              <w:drawing>
                <wp:inline distT="0" distB="0" distL="0" distR="0">
                  <wp:extent cx="2752725" cy="2046605"/>
                  <wp:effectExtent l="0" t="0" r="0" b="0"/>
                  <wp:docPr id="5686602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660264" name="图片 25"/>
                          <pic:cNvPicPr>
                            <a:picLocks noChangeAspect="1" noChangeArrowheads="1"/>
                          </pic:cNvPicPr>
                        </pic:nvPicPr>
                        <pic:blipFill>
                          <a:blip r:embed="rId131" cstate="print">
                            <a:extLst>
                              <a:ext uri="{28A0092B-C50C-407E-A947-70E740481C1C}">
                                <a14:useLocalDpi xmlns:a14="http://schemas.microsoft.com/office/drawing/2010/main" val="0"/>
                              </a:ext>
                            </a:extLst>
                          </a:blip>
                          <a:srcRect l="21137" t="14937" b="6908"/>
                          <a:stretch>
                            <a:fillRect/>
                          </a:stretch>
                        </pic:blipFill>
                        <pic:spPr>
                          <a:xfrm>
                            <a:off x="0" y="0"/>
                            <a:ext cx="2752725" cy="2046605"/>
                          </a:xfrm>
                          <a:prstGeom prst="rect">
                            <a:avLst/>
                          </a:prstGeom>
                          <a:noFill/>
                          <a:ln>
                            <a:noFill/>
                          </a:ln>
                        </pic:spPr>
                      </pic:pic>
                    </a:graphicData>
                  </a:graphic>
                </wp:inline>
              </w:drawing>
            </w:r>
          </w:p>
        </w:tc>
        <w:tc>
          <w:tcPr>
            <w:tcW w:w="4645" w:type="dxa"/>
            <w:vAlign w:val="center"/>
          </w:tcPr>
          <w:p w14:paraId="5048C3E1">
            <w:pPr>
              <w:pStyle w:val="28"/>
              <w:bidi w:val="0"/>
            </w:pPr>
            <w:r>
              <w:drawing>
                <wp:inline distT="0" distB="0" distL="0" distR="0">
                  <wp:extent cx="2712085" cy="2034540"/>
                  <wp:effectExtent l="0" t="0" r="635" b="7620"/>
                  <wp:docPr id="97509270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092706" name="图片 1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2712085" cy="2034540"/>
                          </a:xfrm>
                          <a:prstGeom prst="rect">
                            <a:avLst/>
                          </a:prstGeom>
                          <a:noFill/>
                          <a:ln>
                            <a:noFill/>
                          </a:ln>
                        </pic:spPr>
                      </pic:pic>
                    </a:graphicData>
                  </a:graphic>
                </wp:inline>
              </w:drawing>
            </w:r>
          </w:p>
        </w:tc>
      </w:tr>
      <w:tr w14:paraId="129E2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44" w:type="dxa"/>
            <w:vAlign w:val="center"/>
          </w:tcPr>
          <w:p w14:paraId="5308C27D">
            <w:pPr>
              <w:pStyle w:val="28"/>
              <w:bidi w:val="0"/>
            </w:pPr>
            <w:r>
              <w:t>典型落叶阔叶林：加杨</w:t>
            </w:r>
          </w:p>
        </w:tc>
        <w:tc>
          <w:tcPr>
            <w:tcW w:w="4645" w:type="dxa"/>
            <w:vAlign w:val="center"/>
          </w:tcPr>
          <w:p w14:paraId="02E5CD43">
            <w:pPr>
              <w:pStyle w:val="28"/>
              <w:bidi w:val="0"/>
            </w:pPr>
            <w:r>
              <w:t>典型</w:t>
            </w:r>
            <w:r>
              <w:rPr>
                <w:rFonts w:hint="eastAsia"/>
              </w:rPr>
              <w:t>灌丛</w:t>
            </w:r>
            <w:r>
              <w:t>：</w:t>
            </w:r>
            <w:r>
              <w:rPr>
                <w:rFonts w:hint="eastAsia"/>
              </w:rPr>
              <w:t>榔榆苗</w:t>
            </w:r>
          </w:p>
        </w:tc>
      </w:tr>
      <w:tr w14:paraId="3AEA8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6" w:hRule="atLeast"/>
          <w:jc w:val="center"/>
        </w:trPr>
        <w:tc>
          <w:tcPr>
            <w:tcW w:w="4644" w:type="dxa"/>
            <w:vAlign w:val="center"/>
          </w:tcPr>
          <w:p w14:paraId="38A7BD73">
            <w:pPr>
              <w:pStyle w:val="28"/>
              <w:bidi w:val="0"/>
            </w:pPr>
            <w:r>
              <w:rPr>
                <w:rFonts w:hint="eastAsia"/>
              </w:rPr>
              <w:drawing>
                <wp:inline distT="0" distB="0" distL="114300" distR="114300">
                  <wp:extent cx="2807970" cy="2091690"/>
                  <wp:effectExtent l="0" t="0" r="11430" b="11430"/>
                  <wp:docPr id="6" name="图片 6" descr="0bf6bd3f9b5a7b98f4b80f4c456a7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0bf6bd3f9b5a7b98f4b80f4c456a79f"/>
                          <pic:cNvPicPr>
                            <a:picLocks noChangeAspect="1"/>
                          </pic:cNvPicPr>
                        </pic:nvPicPr>
                        <pic:blipFill>
                          <a:blip r:embed="rId133"/>
                          <a:stretch>
                            <a:fillRect/>
                          </a:stretch>
                        </pic:blipFill>
                        <pic:spPr>
                          <a:xfrm>
                            <a:off x="0" y="0"/>
                            <a:ext cx="2807970" cy="2091690"/>
                          </a:xfrm>
                          <a:prstGeom prst="rect">
                            <a:avLst/>
                          </a:prstGeom>
                        </pic:spPr>
                      </pic:pic>
                    </a:graphicData>
                  </a:graphic>
                </wp:inline>
              </w:drawing>
            </w:r>
          </w:p>
        </w:tc>
        <w:tc>
          <w:tcPr>
            <w:tcW w:w="4645" w:type="dxa"/>
            <w:vAlign w:val="center"/>
          </w:tcPr>
          <w:p w14:paraId="7FF38DE5">
            <w:pPr>
              <w:pStyle w:val="28"/>
              <w:bidi w:val="0"/>
            </w:pPr>
            <w:r>
              <w:drawing>
                <wp:inline distT="0" distB="0" distL="0" distR="0">
                  <wp:extent cx="2632075" cy="2099310"/>
                  <wp:effectExtent l="0" t="0" r="4445" b="3810"/>
                  <wp:docPr id="75747484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474845" name="图片 18"/>
                          <pic:cNvPicPr>
                            <a:picLocks noChangeAspect="1" noChangeArrowheads="1"/>
                          </pic:cNvPicPr>
                        </pic:nvPicPr>
                        <pic:blipFill>
                          <a:blip r:embed="rId134" cstate="print">
                            <a:extLst>
                              <a:ext uri="{28A0092B-C50C-407E-A947-70E740481C1C}">
                                <a14:useLocalDpi xmlns:a14="http://schemas.microsoft.com/office/drawing/2010/main" val="0"/>
                              </a:ext>
                            </a:extLst>
                          </a:blip>
                          <a:srcRect l="16171" t="4059" b="6813"/>
                          <a:stretch>
                            <a:fillRect/>
                          </a:stretch>
                        </pic:blipFill>
                        <pic:spPr>
                          <a:xfrm>
                            <a:off x="0" y="0"/>
                            <a:ext cx="2632075" cy="2099310"/>
                          </a:xfrm>
                          <a:prstGeom prst="rect">
                            <a:avLst/>
                          </a:prstGeom>
                          <a:noFill/>
                          <a:ln>
                            <a:noFill/>
                          </a:ln>
                        </pic:spPr>
                      </pic:pic>
                    </a:graphicData>
                  </a:graphic>
                </wp:inline>
              </w:drawing>
            </w:r>
          </w:p>
        </w:tc>
      </w:tr>
      <w:tr w14:paraId="236A1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44" w:type="dxa"/>
            <w:vAlign w:val="center"/>
          </w:tcPr>
          <w:p w14:paraId="5BBC4941">
            <w:pPr>
              <w:pStyle w:val="28"/>
              <w:bidi w:val="0"/>
            </w:pPr>
            <w:r>
              <w:t>典型草丛：</w:t>
            </w:r>
            <w:r>
              <w:rPr>
                <w:rFonts w:hint="eastAsia"/>
              </w:rPr>
              <w:t>小蓬草</w:t>
            </w:r>
          </w:p>
        </w:tc>
        <w:tc>
          <w:tcPr>
            <w:tcW w:w="4645" w:type="dxa"/>
            <w:vAlign w:val="center"/>
          </w:tcPr>
          <w:p w14:paraId="2B3F6A04">
            <w:pPr>
              <w:pStyle w:val="28"/>
              <w:bidi w:val="0"/>
            </w:pPr>
            <w:r>
              <w:t>典型落叶阔叶灌丛：构树</w:t>
            </w:r>
          </w:p>
        </w:tc>
      </w:tr>
    </w:tbl>
    <w:p w14:paraId="7B54B2D4">
      <w:pPr>
        <w:pStyle w:val="30"/>
        <w:bidi w:val="0"/>
      </w:pPr>
      <w:r>
        <w:t>图</w:t>
      </w:r>
      <w:r>
        <w:rPr>
          <w:rFonts w:hint="eastAsia"/>
          <w:lang w:eastAsia="zh-CN"/>
        </w:rPr>
        <w:t>4.3</w:t>
      </w:r>
      <w:r>
        <w:t>-3  典型植物群落</w:t>
      </w:r>
    </w:p>
    <w:p w14:paraId="49FC7DE9">
      <w:pPr>
        <w:pStyle w:val="29"/>
        <w:bidi w:val="0"/>
      </w:pPr>
      <w:r>
        <w:t>表</w:t>
      </w:r>
      <w:r>
        <w:rPr>
          <w:rFonts w:hint="eastAsia"/>
          <w:lang w:eastAsia="zh-CN"/>
        </w:rPr>
        <w:t>4.3</w:t>
      </w:r>
      <w:r>
        <w:t>-2  植物群落调查结果统计表</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9"/>
        <w:gridCol w:w="1489"/>
        <w:gridCol w:w="1487"/>
        <w:gridCol w:w="1311"/>
        <w:gridCol w:w="1353"/>
        <w:gridCol w:w="1010"/>
        <w:gridCol w:w="1148"/>
      </w:tblGrid>
      <w:tr w14:paraId="23EBE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restart"/>
            <w:vAlign w:val="center"/>
          </w:tcPr>
          <w:p w14:paraId="5F92EE77">
            <w:pPr>
              <w:pStyle w:val="28"/>
              <w:bidi w:val="0"/>
            </w:pPr>
            <w:r>
              <w:t>植被型组</w:t>
            </w:r>
          </w:p>
        </w:tc>
        <w:tc>
          <w:tcPr>
            <w:tcW w:w="816" w:type="pct"/>
            <w:vMerge w:val="restart"/>
            <w:vAlign w:val="center"/>
          </w:tcPr>
          <w:p w14:paraId="757E8A18">
            <w:pPr>
              <w:pStyle w:val="28"/>
              <w:bidi w:val="0"/>
            </w:pPr>
            <w:r>
              <w:t>植被型</w:t>
            </w:r>
          </w:p>
        </w:tc>
        <w:tc>
          <w:tcPr>
            <w:tcW w:w="815" w:type="pct"/>
            <w:vMerge w:val="restart"/>
            <w:vAlign w:val="center"/>
          </w:tcPr>
          <w:p w14:paraId="74EEEEF1">
            <w:pPr>
              <w:pStyle w:val="28"/>
              <w:bidi w:val="0"/>
            </w:pPr>
            <w:r>
              <w:t>植被亚型</w:t>
            </w:r>
          </w:p>
        </w:tc>
        <w:tc>
          <w:tcPr>
            <w:tcW w:w="720" w:type="pct"/>
            <w:vMerge w:val="restart"/>
            <w:vAlign w:val="center"/>
          </w:tcPr>
          <w:p w14:paraId="1D5C9CA6">
            <w:pPr>
              <w:pStyle w:val="28"/>
              <w:bidi w:val="0"/>
            </w:pPr>
            <w:r>
              <w:t>群系</w:t>
            </w:r>
          </w:p>
        </w:tc>
        <w:tc>
          <w:tcPr>
            <w:tcW w:w="743" w:type="pct"/>
            <w:vMerge w:val="restart"/>
            <w:vAlign w:val="center"/>
          </w:tcPr>
          <w:p w14:paraId="504A762E">
            <w:pPr>
              <w:pStyle w:val="28"/>
              <w:bidi w:val="0"/>
            </w:pPr>
            <w:r>
              <w:t>分布区域</w:t>
            </w:r>
          </w:p>
        </w:tc>
        <w:tc>
          <w:tcPr>
            <w:tcW w:w="1089" w:type="pct"/>
            <w:gridSpan w:val="2"/>
            <w:vAlign w:val="center"/>
          </w:tcPr>
          <w:p w14:paraId="6B183B77">
            <w:pPr>
              <w:pStyle w:val="28"/>
              <w:bidi w:val="0"/>
            </w:pPr>
            <w:r>
              <w:t>工程情况</w:t>
            </w:r>
          </w:p>
        </w:tc>
      </w:tr>
      <w:tr w14:paraId="71FB7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4C245C7A">
            <w:pPr>
              <w:pStyle w:val="28"/>
              <w:bidi w:val="0"/>
            </w:pPr>
          </w:p>
        </w:tc>
        <w:tc>
          <w:tcPr>
            <w:tcW w:w="816" w:type="pct"/>
            <w:vMerge w:val="continue"/>
            <w:vAlign w:val="center"/>
          </w:tcPr>
          <w:p w14:paraId="6BD177A7">
            <w:pPr>
              <w:pStyle w:val="28"/>
              <w:bidi w:val="0"/>
            </w:pPr>
          </w:p>
        </w:tc>
        <w:tc>
          <w:tcPr>
            <w:tcW w:w="815" w:type="pct"/>
            <w:vMerge w:val="continue"/>
            <w:vAlign w:val="center"/>
          </w:tcPr>
          <w:p w14:paraId="70315870">
            <w:pPr>
              <w:pStyle w:val="28"/>
              <w:bidi w:val="0"/>
            </w:pPr>
          </w:p>
        </w:tc>
        <w:tc>
          <w:tcPr>
            <w:tcW w:w="720" w:type="pct"/>
            <w:vMerge w:val="continue"/>
            <w:vAlign w:val="center"/>
          </w:tcPr>
          <w:p w14:paraId="77251064">
            <w:pPr>
              <w:pStyle w:val="28"/>
              <w:bidi w:val="0"/>
            </w:pPr>
          </w:p>
        </w:tc>
        <w:tc>
          <w:tcPr>
            <w:tcW w:w="743" w:type="pct"/>
            <w:vMerge w:val="continue"/>
            <w:vAlign w:val="center"/>
          </w:tcPr>
          <w:p w14:paraId="5A860FAD">
            <w:pPr>
              <w:pStyle w:val="28"/>
              <w:bidi w:val="0"/>
            </w:pPr>
          </w:p>
        </w:tc>
        <w:tc>
          <w:tcPr>
            <w:tcW w:w="457" w:type="pct"/>
            <w:vAlign w:val="center"/>
          </w:tcPr>
          <w:p w14:paraId="2FE0D1D6">
            <w:pPr>
              <w:pStyle w:val="28"/>
              <w:bidi w:val="0"/>
            </w:pPr>
            <w:r>
              <w:rPr>
                <w:rFonts w:hint="eastAsia"/>
              </w:rPr>
              <w:t>影响范围内</w:t>
            </w:r>
            <w:r>
              <w:t>面积（hm2）</w:t>
            </w:r>
          </w:p>
        </w:tc>
        <w:tc>
          <w:tcPr>
            <w:tcW w:w="632" w:type="pct"/>
            <w:vAlign w:val="center"/>
          </w:tcPr>
          <w:p w14:paraId="3ADBD7F6">
            <w:pPr>
              <w:pStyle w:val="28"/>
              <w:bidi w:val="0"/>
            </w:pPr>
            <w:r>
              <w:t>占用比例（%）</w:t>
            </w:r>
          </w:p>
        </w:tc>
      </w:tr>
      <w:tr w14:paraId="389F8F07">
        <w:tblPrEx>
          <w:tblCellMar>
            <w:top w:w="0" w:type="dxa"/>
            <w:left w:w="108" w:type="dxa"/>
            <w:bottom w:w="0" w:type="dxa"/>
            <w:right w:w="108" w:type="dxa"/>
          </w:tblCellMar>
        </w:tblPrEx>
        <w:trPr>
          <w:trHeight w:val="340" w:hRule="atLeast"/>
          <w:jc w:val="center"/>
        </w:trPr>
        <w:tc>
          <w:tcPr>
            <w:tcW w:w="816" w:type="pct"/>
            <w:vMerge w:val="restart"/>
            <w:vAlign w:val="center"/>
          </w:tcPr>
          <w:p w14:paraId="530F1862">
            <w:pPr>
              <w:pStyle w:val="28"/>
              <w:bidi w:val="0"/>
            </w:pPr>
            <w:r>
              <w:t>一、森林</w:t>
            </w:r>
          </w:p>
        </w:tc>
        <w:tc>
          <w:tcPr>
            <w:tcW w:w="816" w:type="pct"/>
            <w:vMerge w:val="restart"/>
            <w:vAlign w:val="center"/>
          </w:tcPr>
          <w:p w14:paraId="6927212B">
            <w:pPr>
              <w:pStyle w:val="28"/>
              <w:bidi w:val="0"/>
            </w:pPr>
            <w:r>
              <w:t>（</w:t>
            </w:r>
            <w:r>
              <w:rPr>
                <w:rFonts w:hint="eastAsia"/>
              </w:rPr>
              <w:t>一</w:t>
            </w:r>
            <w:r>
              <w:t>）落叶阔叶林</w:t>
            </w:r>
          </w:p>
        </w:tc>
        <w:tc>
          <w:tcPr>
            <w:tcW w:w="815" w:type="pct"/>
            <w:vMerge w:val="restart"/>
            <w:vAlign w:val="center"/>
          </w:tcPr>
          <w:p w14:paraId="62446B66">
            <w:pPr>
              <w:pStyle w:val="28"/>
              <w:bidi w:val="0"/>
            </w:pPr>
            <w:r>
              <w:t>（</w:t>
            </w:r>
            <w:r>
              <w:rPr>
                <w:rFonts w:hint="eastAsia"/>
              </w:rPr>
              <w:t>1</w:t>
            </w:r>
            <w:r>
              <w:t>）典型落叶阔叶林</w:t>
            </w:r>
          </w:p>
        </w:tc>
        <w:tc>
          <w:tcPr>
            <w:tcW w:w="720" w:type="pct"/>
            <w:shd w:val="clear" w:color="auto" w:fill="auto"/>
            <w:vAlign w:val="center"/>
          </w:tcPr>
          <w:p w14:paraId="011FF189">
            <w:pPr>
              <w:pStyle w:val="28"/>
              <w:bidi w:val="0"/>
            </w:pPr>
            <w:r>
              <w:rPr>
                <w:rFonts w:hint="eastAsia"/>
              </w:rPr>
              <w:t>1</w:t>
            </w:r>
            <w:r>
              <w:t>、加杨</w:t>
            </w:r>
          </w:p>
        </w:tc>
        <w:tc>
          <w:tcPr>
            <w:tcW w:w="743" w:type="pct"/>
            <w:shd w:val="clear" w:color="auto" w:fill="auto"/>
            <w:vAlign w:val="center"/>
          </w:tcPr>
          <w:p w14:paraId="53D823C3">
            <w:pPr>
              <w:pStyle w:val="28"/>
              <w:bidi w:val="0"/>
            </w:pPr>
            <w:r>
              <w:t>广泛分布</w:t>
            </w:r>
          </w:p>
        </w:tc>
        <w:tc>
          <w:tcPr>
            <w:tcW w:w="457" w:type="pct"/>
            <w:vMerge w:val="restart"/>
            <w:vAlign w:val="center"/>
          </w:tcPr>
          <w:p w14:paraId="5D323EA0">
            <w:pPr>
              <w:pStyle w:val="28"/>
              <w:bidi w:val="0"/>
            </w:pPr>
            <w:r>
              <w:rPr>
                <w:rFonts w:hint="eastAsia"/>
              </w:rPr>
              <w:t>2961.64</w:t>
            </w:r>
          </w:p>
        </w:tc>
        <w:tc>
          <w:tcPr>
            <w:tcW w:w="632" w:type="pct"/>
            <w:vMerge w:val="restart"/>
            <w:vAlign w:val="center"/>
          </w:tcPr>
          <w:p w14:paraId="6BAF1EC7">
            <w:pPr>
              <w:pStyle w:val="28"/>
              <w:bidi w:val="0"/>
            </w:pPr>
            <w:r>
              <w:rPr>
                <w:rFonts w:hint="eastAsia"/>
              </w:rPr>
              <w:t>7.7</w:t>
            </w:r>
          </w:p>
        </w:tc>
      </w:tr>
      <w:tr w14:paraId="146F0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58E34B11">
            <w:pPr>
              <w:pStyle w:val="28"/>
              <w:bidi w:val="0"/>
            </w:pPr>
          </w:p>
        </w:tc>
        <w:tc>
          <w:tcPr>
            <w:tcW w:w="816" w:type="pct"/>
            <w:vMerge w:val="continue"/>
            <w:vAlign w:val="center"/>
          </w:tcPr>
          <w:p w14:paraId="311AA608">
            <w:pPr>
              <w:pStyle w:val="28"/>
              <w:bidi w:val="0"/>
            </w:pPr>
          </w:p>
        </w:tc>
        <w:tc>
          <w:tcPr>
            <w:tcW w:w="815" w:type="pct"/>
            <w:vMerge w:val="continue"/>
            <w:vAlign w:val="center"/>
          </w:tcPr>
          <w:p w14:paraId="6A35B5FE">
            <w:pPr>
              <w:pStyle w:val="28"/>
              <w:bidi w:val="0"/>
            </w:pPr>
          </w:p>
        </w:tc>
        <w:tc>
          <w:tcPr>
            <w:tcW w:w="720" w:type="pct"/>
            <w:shd w:val="clear" w:color="auto" w:fill="auto"/>
            <w:vAlign w:val="center"/>
          </w:tcPr>
          <w:p w14:paraId="0D37151A">
            <w:pPr>
              <w:pStyle w:val="28"/>
              <w:bidi w:val="0"/>
            </w:pPr>
            <w:r>
              <w:rPr>
                <w:rFonts w:hint="eastAsia"/>
              </w:rPr>
              <w:t>2</w:t>
            </w:r>
            <w:r>
              <w:t>、刺槐</w:t>
            </w:r>
          </w:p>
        </w:tc>
        <w:tc>
          <w:tcPr>
            <w:tcW w:w="743" w:type="pct"/>
            <w:shd w:val="clear" w:color="auto" w:fill="auto"/>
            <w:vAlign w:val="center"/>
          </w:tcPr>
          <w:p w14:paraId="79162E8F">
            <w:pPr>
              <w:pStyle w:val="28"/>
              <w:bidi w:val="0"/>
            </w:pPr>
            <w:r>
              <w:t>广泛分布</w:t>
            </w:r>
          </w:p>
        </w:tc>
        <w:tc>
          <w:tcPr>
            <w:tcW w:w="457" w:type="pct"/>
            <w:vMerge w:val="continue"/>
            <w:vAlign w:val="center"/>
          </w:tcPr>
          <w:p w14:paraId="5756262F">
            <w:pPr>
              <w:pStyle w:val="28"/>
              <w:bidi w:val="0"/>
            </w:pPr>
          </w:p>
        </w:tc>
        <w:tc>
          <w:tcPr>
            <w:tcW w:w="632" w:type="pct"/>
            <w:vMerge w:val="continue"/>
            <w:vAlign w:val="center"/>
          </w:tcPr>
          <w:p w14:paraId="0F2F690C">
            <w:pPr>
              <w:pStyle w:val="28"/>
              <w:bidi w:val="0"/>
            </w:pPr>
          </w:p>
        </w:tc>
      </w:tr>
      <w:tr w14:paraId="6F29E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19CE96B2">
            <w:pPr>
              <w:pStyle w:val="28"/>
              <w:bidi w:val="0"/>
            </w:pPr>
          </w:p>
        </w:tc>
        <w:tc>
          <w:tcPr>
            <w:tcW w:w="816" w:type="pct"/>
            <w:vMerge w:val="continue"/>
            <w:vAlign w:val="center"/>
          </w:tcPr>
          <w:p w14:paraId="5123034A">
            <w:pPr>
              <w:pStyle w:val="28"/>
              <w:bidi w:val="0"/>
            </w:pPr>
          </w:p>
        </w:tc>
        <w:tc>
          <w:tcPr>
            <w:tcW w:w="815" w:type="pct"/>
            <w:vMerge w:val="continue"/>
            <w:vAlign w:val="center"/>
          </w:tcPr>
          <w:p w14:paraId="30BBA7AD">
            <w:pPr>
              <w:pStyle w:val="28"/>
              <w:bidi w:val="0"/>
            </w:pPr>
          </w:p>
        </w:tc>
        <w:tc>
          <w:tcPr>
            <w:tcW w:w="720" w:type="pct"/>
            <w:shd w:val="clear" w:color="auto" w:fill="auto"/>
            <w:vAlign w:val="center"/>
          </w:tcPr>
          <w:p w14:paraId="42A5345C">
            <w:pPr>
              <w:pStyle w:val="28"/>
              <w:bidi w:val="0"/>
            </w:pPr>
            <w:r>
              <w:rPr>
                <w:rFonts w:hint="eastAsia"/>
              </w:rPr>
              <w:t>3</w:t>
            </w:r>
            <w:r>
              <w:t>、乌桕</w:t>
            </w:r>
          </w:p>
        </w:tc>
        <w:tc>
          <w:tcPr>
            <w:tcW w:w="743" w:type="pct"/>
            <w:shd w:val="clear" w:color="auto" w:fill="auto"/>
            <w:vAlign w:val="center"/>
          </w:tcPr>
          <w:p w14:paraId="57C52790">
            <w:pPr>
              <w:pStyle w:val="28"/>
              <w:bidi w:val="0"/>
            </w:pPr>
            <w:r>
              <w:t>滁河干渠</w:t>
            </w:r>
          </w:p>
        </w:tc>
        <w:tc>
          <w:tcPr>
            <w:tcW w:w="457" w:type="pct"/>
            <w:vMerge w:val="continue"/>
            <w:vAlign w:val="center"/>
          </w:tcPr>
          <w:p w14:paraId="23FA78F9">
            <w:pPr>
              <w:pStyle w:val="28"/>
              <w:bidi w:val="0"/>
            </w:pPr>
          </w:p>
        </w:tc>
        <w:tc>
          <w:tcPr>
            <w:tcW w:w="632" w:type="pct"/>
            <w:vMerge w:val="continue"/>
            <w:vAlign w:val="center"/>
          </w:tcPr>
          <w:p w14:paraId="04A775CD">
            <w:pPr>
              <w:pStyle w:val="28"/>
              <w:bidi w:val="0"/>
            </w:pPr>
          </w:p>
        </w:tc>
      </w:tr>
      <w:tr w14:paraId="761BA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7A926B11">
            <w:pPr>
              <w:pStyle w:val="28"/>
              <w:bidi w:val="0"/>
            </w:pPr>
          </w:p>
        </w:tc>
        <w:tc>
          <w:tcPr>
            <w:tcW w:w="816" w:type="pct"/>
            <w:vMerge w:val="continue"/>
            <w:vAlign w:val="center"/>
          </w:tcPr>
          <w:p w14:paraId="55B7D98E">
            <w:pPr>
              <w:pStyle w:val="28"/>
              <w:bidi w:val="0"/>
            </w:pPr>
          </w:p>
        </w:tc>
        <w:tc>
          <w:tcPr>
            <w:tcW w:w="815" w:type="pct"/>
            <w:vMerge w:val="continue"/>
            <w:vAlign w:val="center"/>
          </w:tcPr>
          <w:p w14:paraId="255FB0D1">
            <w:pPr>
              <w:pStyle w:val="28"/>
              <w:bidi w:val="0"/>
            </w:pPr>
          </w:p>
        </w:tc>
        <w:tc>
          <w:tcPr>
            <w:tcW w:w="720" w:type="pct"/>
            <w:tcBorders>
              <w:bottom w:val="single" w:color="auto" w:sz="4" w:space="0"/>
            </w:tcBorders>
            <w:vAlign w:val="center"/>
          </w:tcPr>
          <w:p w14:paraId="09A96E13">
            <w:pPr>
              <w:pStyle w:val="28"/>
              <w:bidi w:val="0"/>
            </w:pPr>
            <w:r>
              <w:rPr>
                <w:rFonts w:hint="eastAsia"/>
              </w:rPr>
              <w:t>4</w:t>
            </w:r>
            <w:r>
              <w:t>、楝</w:t>
            </w:r>
          </w:p>
        </w:tc>
        <w:tc>
          <w:tcPr>
            <w:tcW w:w="743" w:type="pct"/>
            <w:tcBorders>
              <w:bottom w:val="single" w:color="auto" w:sz="4" w:space="0"/>
            </w:tcBorders>
            <w:vAlign w:val="center"/>
          </w:tcPr>
          <w:p w14:paraId="4CD486C0">
            <w:pPr>
              <w:pStyle w:val="28"/>
              <w:bidi w:val="0"/>
            </w:pPr>
            <w:r>
              <w:t>滁河干渠</w:t>
            </w:r>
          </w:p>
        </w:tc>
        <w:tc>
          <w:tcPr>
            <w:tcW w:w="457" w:type="pct"/>
            <w:vMerge w:val="continue"/>
            <w:vAlign w:val="center"/>
          </w:tcPr>
          <w:p w14:paraId="43E029F2">
            <w:pPr>
              <w:pStyle w:val="28"/>
              <w:bidi w:val="0"/>
            </w:pPr>
          </w:p>
        </w:tc>
        <w:tc>
          <w:tcPr>
            <w:tcW w:w="632" w:type="pct"/>
            <w:vMerge w:val="continue"/>
            <w:vAlign w:val="center"/>
          </w:tcPr>
          <w:p w14:paraId="21AF4FFF">
            <w:pPr>
              <w:pStyle w:val="28"/>
              <w:bidi w:val="0"/>
            </w:pPr>
          </w:p>
        </w:tc>
      </w:tr>
      <w:tr w14:paraId="4A581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621F8885">
            <w:pPr>
              <w:pStyle w:val="28"/>
              <w:bidi w:val="0"/>
            </w:pPr>
          </w:p>
        </w:tc>
        <w:tc>
          <w:tcPr>
            <w:tcW w:w="816" w:type="pct"/>
            <w:vMerge w:val="continue"/>
            <w:vAlign w:val="center"/>
          </w:tcPr>
          <w:p w14:paraId="5A841FA6">
            <w:pPr>
              <w:pStyle w:val="28"/>
              <w:bidi w:val="0"/>
            </w:pPr>
          </w:p>
        </w:tc>
        <w:tc>
          <w:tcPr>
            <w:tcW w:w="815" w:type="pct"/>
            <w:vMerge w:val="continue"/>
            <w:vAlign w:val="center"/>
          </w:tcPr>
          <w:p w14:paraId="647C6B48">
            <w:pPr>
              <w:pStyle w:val="28"/>
              <w:bidi w:val="0"/>
            </w:pPr>
          </w:p>
        </w:tc>
        <w:tc>
          <w:tcPr>
            <w:tcW w:w="720" w:type="pct"/>
            <w:tcBorders>
              <w:bottom w:val="single" w:color="auto" w:sz="4" w:space="0"/>
            </w:tcBorders>
            <w:vAlign w:val="center"/>
          </w:tcPr>
          <w:p w14:paraId="19FF9E82">
            <w:pPr>
              <w:pStyle w:val="28"/>
              <w:bidi w:val="0"/>
            </w:pPr>
            <w:r>
              <w:rPr>
                <w:rFonts w:hint="eastAsia"/>
              </w:rPr>
              <w:t>5</w:t>
            </w:r>
            <w:r>
              <w:t>、</w:t>
            </w:r>
            <w:r>
              <w:rPr>
                <w:rFonts w:hint="eastAsia"/>
              </w:rPr>
              <w:t>白</w:t>
            </w:r>
            <w:r>
              <w:t>柳</w:t>
            </w:r>
          </w:p>
        </w:tc>
        <w:tc>
          <w:tcPr>
            <w:tcW w:w="743" w:type="pct"/>
            <w:tcBorders>
              <w:bottom w:val="single" w:color="auto" w:sz="4" w:space="0"/>
            </w:tcBorders>
            <w:vAlign w:val="center"/>
          </w:tcPr>
          <w:p w14:paraId="624108DE">
            <w:pPr>
              <w:pStyle w:val="28"/>
              <w:bidi w:val="0"/>
            </w:pPr>
            <w:r>
              <w:t>淠河总干渠</w:t>
            </w:r>
          </w:p>
        </w:tc>
        <w:tc>
          <w:tcPr>
            <w:tcW w:w="457" w:type="pct"/>
            <w:vMerge w:val="continue"/>
            <w:vAlign w:val="center"/>
          </w:tcPr>
          <w:p w14:paraId="6EF9C90E">
            <w:pPr>
              <w:pStyle w:val="28"/>
              <w:bidi w:val="0"/>
            </w:pPr>
          </w:p>
        </w:tc>
        <w:tc>
          <w:tcPr>
            <w:tcW w:w="632" w:type="pct"/>
            <w:vMerge w:val="continue"/>
            <w:vAlign w:val="center"/>
          </w:tcPr>
          <w:p w14:paraId="042F0C3B">
            <w:pPr>
              <w:pStyle w:val="28"/>
              <w:bidi w:val="0"/>
            </w:pPr>
          </w:p>
        </w:tc>
      </w:tr>
      <w:tr w14:paraId="3A870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15C08795">
            <w:pPr>
              <w:pStyle w:val="28"/>
              <w:bidi w:val="0"/>
            </w:pPr>
          </w:p>
        </w:tc>
        <w:tc>
          <w:tcPr>
            <w:tcW w:w="816" w:type="pct"/>
            <w:vMerge w:val="continue"/>
            <w:vAlign w:val="center"/>
          </w:tcPr>
          <w:p w14:paraId="52D2D0A1">
            <w:pPr>
              <w:pStyle w:val="28"/>
              <w:bidi w:val="0"/>
            </w:pPr>
          </w:p>
        </w:tc>
        <w:tc>
          <w:tcPr>
            <w:tcW w:w="815" w:type="pct"/>
            <w:vMerge w:val="continue"/>
            <w:vAlign w:val="center"/>
          </w:tcPr>
          <w:p w14:paraId="19D698B3">
            <w:pPr>
              <w:pStyle w:val="28"/>
              <w:bidi w:val="0"/>
            </w:pPr>
          </w:p>
        </w:tc>
        <w:tc>
          <w:tcPr>
            <w:tcW w:w="720" w:type="pct"/>
            <w:tcBorders>
              <w:bottom w:val="single" w:color="auto" w:sz="4" w:space="0"/>
            </w:tcBorders>
            <w:vAlign w:val="center"/>
          </w:tcPr>
          <w:p w14:paraId="250EA43F">
            <w:pPr>
              <w:pStyle w:val="28"/>
              <w:bidi w:val="0"/>
            </w:pPr>
            <w:r>
              <w:rPr>
                <w:rFonts w:hint="eastAsia"/>
              </w:rPr>
              <w:t>6</w:t>
            </w:r>
            <w:r>
              <w:t>、</w:t>
            </w:r>
            <w:r>
              <w:rPr>
                <w:rFonts w:hint="eastAsia"/>
              </w:rPr>
              <w:t>香</w:t>
            </w:r>
            <w:r>
              <w:t>椿</w:t>
            </w:r>
          </w:p>
        </w:tc>
        <w:tc>
          <w:tcPr>
            <w:tcW w:w="743" w:type="pct"/>
            <w:tcBorders>
              <w:bottom w:val="single" w:color="auto" w:sz="4" w:space="0"/>
            </w:tcBorders>
            <w:vAlign w:val="center"/>
          </w:tcPr>
          <w:p w14:paraId="663C9668">
            <w:pPr>
              <w:pStyle w:val="28"/>
              <w:bidi w:val="0"/>
            </w:pPr>
            <w:r>
              <w:t>滁河干渠</w:t>
            </w:r>
          </w:p>
        </w:tc>
        <w:tc>
          <w:tcPr>
            <w:tcW w:w="457" w:type="pct"/>
            <w:vMerge w:val="continue"/>
            <w:vAlign w:val="center"/>
          </w:tcPr>
          <w:p w14:paraId="553409B4">
            <w:pPr>
              <w:pStyle w:val="28"/>
              <w:bidi w:val="0"/>
            </w:pPr>
          </w:p>
        </w:tc>
        <w:tc>
          <w:tcPr>
            <w:tcW w:w="632" w:type="pct"/>
            <w:vMerge w:val="continue"/>
            <w:vAlign w:val="center"/>
          </w:tcPr>
          <w:p w14:paraId="5DED9C1E">
            <w:pPr>
              <w:pStyle w:val="28"/>
              <w:bidi w:val="0"/>
            </w:pPr>
          </w:p>
        </w:tc>
      </w:tr>
      <w:tr w14:paraId="1C98CC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52F966BF">
            <w:pPr>
              <w:pStyle w:val="28"/>
              <w:bidi w:val="0"/>
            </w:pPr>
          </w:p>
        </w:tc>
        <w:tc>
          <w:tcPr>
            <w:tcW w:w="816" w:type="pct"/>
            <w:vMerge w:val="continue"/>
            <w:tcBorders>
              <w:bottom w:val="single" w:color="auto" w:sz="4" w:space="0"/>
            </w:tcBorders>
            <w:vAlign w:val="center"/>
          </w:tcPr>
          <w:p w14:paraId="388B81A4">
            <w:pPr>
              <w:pStyle w:val="28"/>
              <w:bidi w:val="0"/>
            </w:pPr>
          </w:p>
        </w:tc>
        <w:tc>
          <w:tcPr>
            <w:tcW w:w="815" w:type="pct"/>
            <w:vMerge w:val="continue"/>
            <w:tcBorders>
              <w:bottom w:val="single" w:color="auto" w:sz="4" w:space="0"/>
            </w:tcBorders>
            <w:vAlign w:val="center"/>
          </w:tcPr>
          <w:p w14:paraId="6EBD774C">
            <w:pPr>
              <w:pStyle w:val="28"/>
              <w:bidi w:val="0"/>
            </w:pPr>
          </w:p>
        </w:tc>
        <w:tc>
          <w:tcPr>
            <w:tcW w:w="720" w:type="pct"/>
            <w:tcBorders>
              <w:bottom w:val="single" w:color="auto" w:sz="4" w:space="0"/>
            </w:tcBorders>
            <w:vAlign w:val="center"/>
          </w:tcPr>
          <w:p w14:paraId="203F29B6">
            <w:pPr>
              <w:pStyle w:val="28"/>
              <w:bidi w:val="0"/>
            </w:pPr>
            <w:r>
              <w:rPr>
                <w:rFonts w:hint="eastAsia"/>
              </w:rPr>
              <w:t>7</w:t>
            </w:r>
            <w:r>
              <w:t>、榔榆</w:t>
            </w:r>
          </w:p>
        </w:tc>
        <w:tc>
          <w:tcPr>
            <w:tcW w:w="743" w:type="pct"/>
            <w:tcBorders>
              <w:bottom w:val="single" w:color="auto" w:sz="4" w:space="0"/>
            </w:tcBorders>
            <w:vAlign w:val="center"/>
          </w:tcPr>
          <w:p w14:paraId="23164339">
            <w:pPr>
              <w:pStyle w:val="28"/>
              <w:bidi w:val="0"/>
            </w:pPr>
          </w:p>
        </w:tc>
        <w:tc>
          <w:tcPr>
            <w:tcW w:w="457" w:type="pct"/>
            <w:vMerge w:val="continue"/>
            <w:vAlign w:val="center"/>
          </w:tcPr>
          <w:p w14:paraId="183001B1">
            <w:pPr>
              <w:pStyle w:val="28"/>
              <w:bidi w:val="0"/>
            </w:pPr>
          </w:p>
        </w:tc>
        <w:tc>
          <w:tcPr>
            <w:tcW w:w="632" w:type="pct"/>
            <w:vMerge w:val="continue"/>
            <w:vAlign w:val="center"/>
          </w:tcPr>
          <w:p w14:paraId="0B0F8BD1">
            <w:pPr>
              <w:pStyle w:val="28"/>
              <w:bidi w:val="0"/>
            </w:pPr>
          </w:p>
        </w:tc>
      </w:tr>
      <w:tr w14:paraId="0F095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16" w:type="pct"/>
            <w:vMerge w:val="continue"/>
            <w:vAlign w:val="center"/>
          </w:tcPr>
          <w:p w14:paraId="6B662FBA">
            <w:pPr>
              <w:pStyle w:val="28"/>
              <w:bidi w:val="0"/>
            </w:pPr>
          </w:p>
        </w:tc>
        <w:tc>
          <w:tcPr>
            <w:tcW w:w="816" w:type="pct"/>
            <w:vMerge w:val="restart"/>
            <w:vAlign w:val="center"/>
          </w:tcPr>
          <w:p w14:paraId="621BDA6D">
            <w:pPr>
              <w:pStyle w:val="28"/>
              <w:bidi w:val="0"/>
            </w:pPr>
            <w:r>
              <w:t>（</w:t>
            </w:r>
            <w:r>
              <w:rPr>
                <w:rFonts w:hint="eastAsia"/>
              </w:rPr>
              <w:t>二</w:t>
            </w:r>
            <w:r>
              <w:t>）常绿阔叶林</w:t>
            </w:r>
          </w:p>
        </w:tc>
        <w:tc>
          <w:tcPr>
            <w:tcW w:w="815" w:type="pct"/>
            <w:vMerge w:val="restart"/>
            <w:vAlign w:val="center"/>
          </w:tcPr>
          <w:p w14:paraId="30EDBBED">
            <w:pPr>
              <w:pStyle w:val="28"/>
              <w:bidi w:val="0"/>
            </w:pPr>
            <w:r>
              <w:t>（</w:t>
            </w:r>
            <w:r>
              <w:rPr>
                <w:rFonts w:hint="eastAsia"/>
              </w:rPr>
              <w:t>2</w:t>
            </w:r>
            <w:r>
              <w:t>）典型常绿阔叶林</w:t>
            </w:r>
          </w:p>
        </w:tc>
        <w:tc>
          <w:tcPr>
            <w:tcW w:w="720" w:type="pct"/>
            <w:tcBorders>
              <w:bottom w:val="single" w:color="auto" w:sz="4" w:space="0"/>
            </w:tcBorders>
            <w:vAlign w:val="center"/>
          </w:tcPr>
          <w:p w14:paraId="72E99E33">
            <w:pPr>
              <w:pStyle w:val="28"/>
              <w:bidi w:val="0"/>
            </w:pPr>
            <w:r>
              <w:rPr>
                <w:rFonts w:hint="eastAsia"/>
              </w:rPr>
              <w:t>8</w:t>
            </w:r>
            <w:r>
              <w:t>、樟</w:t>
            </w:r>
          </w:p>
        </w:tc>
        <w:tc>
          <w:tcPr>
            <w:tcW w:w="743" w:type="pct"/>
            <w:tcBorders>
              <w:bottom w:val="single" w:color="auto" w:sz="4" w:space="0"/>
            </w:tcBorders>
            <w:vAlign w:val="center"/>
          </w:tcPr>
          <w:p w14:paraId="3EC76159">
            <w:pPr>
              <w:pStyle w:val="28"/>
              <w:bidi w:val="0"/>
            </w:pPr>
            <w:r>
              <w:t>广泛分布</w:t>
            </w:r>
          </w:p>
        </w:tc>
        <w:tc>
          <w:tcPr>
            <w:tcW w:w="457" w:type="pct"/>
            <w:vMerge w:val="continue"/>
            <w:vAlign w:val="center"/>
          </w:tcPr>
          <w:p w14:paraId="6B67E2E5">
            <w:pPr>
              <w:pStyle w:val="28"/>
              <w:bidi w:val="0"/>
            </w:pPr>
          </w:p>
        </w:tc>
        <w:tc>
          <w:tcPr>
            <w:tcW w:w="632" w:type="pct"/>
            <w:vMerge w:val="continue"/>
            <w:vAlign w:val="center"/>
          </w:tcPr>
          <w:p w14:paraId="687741E5">
            <w:pPr>
              <w:pStyle w:val="28"/>
              <w:bidi w:val="0"/>
            </w:pPr>
          </w:p>
        </w:tc>
      </w:tr>
      <w:tr w14:paraId="190EAE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5EBA8E50">
            <w:pPr>
              <w:pStyle w:val="28"/>
              <w:bidi w:val="0"/>
            </w:pPr>
          </w:p>
        </w:tc>
        <w:tc>
          <w:tcPr>
            <w:tcW w:w="816" w:type="pct"/>
            <w:vMerge w:val="continue"/>
            <w:vAlign w:val="center"/>
          </w:tcPr>
          <w:p w14:paraId="02CBF398">
            <w:pPr>
              <w:pStyle w:val="28"/>
              <w:bidi w:val="0"/>
            </w:pPr>
          </w:p>
        </w:tc>
        <w:tc>
          <w:tcPr>
            <w:tcW w:w="815" w:type="pct"/>
            <w:vMerge w:val="continue"/>
            <w:vAlign w:val="center"/>
          </w:tcPr>
          <w:p w14:paraId="6BC29B8C">
            <w:pPr>
              <w:pStyle w:val="28"/>
              <w:bidi w:val="0"/>
            </w:pPr>
          </w:p>
        </w:tc>
        <w:tc>
          <w:tcPr>
            <w:tcW w:w="720" w:type="pct"/>
            <w:tcBorders>
              <w:bottom w:val="single" w:color="auto" w:sz="4" w:space="0"/>
            </w:tcBorders>
            <w:vAlign w:val="center"/>
          </w:tcPr>
          <w:p w14:paraId="267C97B4">
            <w:pPr>
              <w:pStyle w:val="28"/>
              <w:bidi w:val="0"/>
            </w:pPr>
            <w:r>
              <w:rPr>
                <w:rFonts w:hint="eastAsia"/>
              </w:rPr>
              <w:t>9、女贞</w:t>
            </w:r>
          </w:p>
        </w:tc>
        <w:tc>
          <w:tcPr>
            <w:tcW w:w="743" w:type="pct"/>
            <w:tcBorders>
              <w:bottom w:val="single" w:color="auto" w:sz="4" w:space="0"/>
            </w:tcBorders>
            <w:vAlign w:val="center"/>
          </w:tcPr>
          <w:p w14:paraId="045CF757">
            <w:pPr>
              <w:pStyle w:val="28"/>
              <w:bidi w:val="0"/>
            </w:pPr>
          </w:p>
        </w:tc>
        <w:tc>
          <w:tcPr>
            <w:tcW w:w="457" w:type="pct"/>
            <w:vMerge w:val="continue"/>
            <w:vAlign w:val="center"/>
          </w:tcPr>
          <w:p w14:paraId="3D2D4D63">
            <w:pPr>
              <w:pStyle w:val="28"/>
              <w:bidi w:val="0"/>
            </w:pPr>
          </w:p>
        </w:tc>
        <w:tc>
          <w:tcPr>
            <w:tcW w:w="632" w:type="pct"/>
            <w:vMerge w:val="continue"/>
            <w:vAlign w:val="center"/>
          </w:tcPr>
          <w:p w14:paraId="00643498">
            <w:pPr>
              <w:pStyle w:val="28"/>
              <w:bidi w:val="0"/>
            </w:pPr>
          </w:p>
        </w:tc>
      </w:tr>
      <w:tr w14:paraId="1C1FCF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Align w:val="center"/>
          </w:tcPr>
          <w:p w14:paraId="37055EC5">
            <w:pPr>
              <w:pStyle w:val="28"/>
              <w:bidi w:val="0"/>
            </w:pPr>
            <w:r>
              <w:t>二、灌丛</w:t>
            </w:r>
          </w:p>
        </w:tc>
        <w:tc>
          <w:tcPr>
            <w:tcW w:w="816" w:type="pct"/>
            <w:vAlign w:val="center"/>
          </w:tcPr>
          <w:p w14:paraId="66721A33">
            <w:pPr>
              <w:pStyle w:val="28"/>
              <w:bidi w:val="0"/>
            </w:pPr>
            <w:r>
              <w:t>（</w:t>
            </w:r>
            <w:r>
              <w:rPr>
                <w:rFonts w:hint="eastAsia"/>
              </w:rPr>
              <w:t>三</w:t>
            </w:r>
            <w:r>
              <w:t>）落叶阔叶灌丛</w:t>
            </w:r>
          </w:p>
        </w:tc>
        <w:tc>
          <w:tcPr>
            <w:tcW w:w="815" w:type="pct"/>
            <w:vAlign w:val="center"/>
          </w:tcPr>
          <w:p w14:paraId="64B07A60">
            <w:pPr>
              <w:pStyle w:val="28"/>
              <w:bidi w:val="0"/>
            </w:pPr>
            <w:r>
              <w:t>（</w:t>
            </w:r>
            <w:r>
              <w:rPr>
                <w:rFonts w:hint="eastAsia"/>
              </w:rPr>
              <w:t>3</w:t>
            </w:r>
            <w:r>
              <w:t>）温带落叶阔叶灌丛</w:t>
            </w:r>
          </w:p>
        </w:tc>
        <w:tc>
          <w:tcPr>
            <w:tcW w:w="720" w:type="pct"/>
            <w:vAlign w:val="center"/>
          </w:tcPr>
          <w:p w14:paraId="7C13B50E">
            <w:pPr>
              <w:pStyle w:val="28"/>
              <w:bidi w:val="0"/>
            </w:pPr>
            <w:r>
              <w:rPr>
                <w:rFonts w:hint="eastAsia"/>
              </w:rPr>
              <w:t>10</w:t>
            </w:r>
            <w:r>
              <w:t>、构</w:t>
            </w:r>
          </w:p>
        </w:tc>
        <w:tc>
          <w:tcPr>
            <w:tcW w:w="743" w:type="pct"/>
            <w:vAlign w:val="center"/>
          </w:tcPr>
          <w:p w14:paraId="65398E44">
            <w:pPr>
              <w:pStyle w:val="28"/>
              <w:bidi w:val="0"/>
            </w:pPr>
            <w:r>
              <w:t>广泛分布</w:t>
            </w:r>
          </w:p>
        </w:tc>
        <w:tc>
          <w:tcPr>
            <w:tcW w:w="457" w:type="pct"/>
            <w:vAlign w:val="center"/>
          </w:tcPr>
          <w:p w14:paraId="3EC39EED">
            <w:pPr>
              <w:pStyle w:val="28"/>
              <w:bidi w:val="0"/>
            </w:pPr>
            <w:r>
              <w:rPr>
                <w:rFonts w:hint="eastAsia"/>
              </w:rPr>
              <w:t>183.94</w:t>
            </w:r>
          </w:p>
        </w:tc>
        <w:tc>
          <w:tcPr>
            <w:tcW w:w="632" w:type="pct"/>
            <w:vAlign w:val="center"/>
          </w:tcPr>
          <w:p w14:paraId="77187CA6">
            <w:pPr>
              <w:pStyle w:val="28"/>
              <w:bidi w:val="0"/>
            </w:pPr>
            <w:r>
              <w:rPr>
                <w:rFonts w:hint="eastAsia"/>
              </w:rPr>
              <w:t>0.48</w:t>
            </w:r>
          </w:p>
        </w:tc>
      </w:tr>
      <w:tr w14:paraId="4153E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restart"/>
            <w:vAlign w:val="center"/>
          </w:tcPr>
          <w:p w14:paraId="16B6CF16">
            <w:pPr>
              <w:pStyle w:val="28"/>
              <w:bidi w:val="0"/>
            </w:pPr>
            <w:r>
              <w:t>三、草地</w:t>
            </w:r>
          </w:p>
        </w:tc>
        <w:tc>
          <w:tcPr>
            <w:tcW w:w="816" w:type="pct"/>
            <w:vMerge w:val="restart"/>
            <w:vAlign w:val="center"/>
          </w:tcPr>
          <w:p w14:paraId="4C0C1953">
            <w:pPr>
              <w:pStyle w:val="28"/>
              <w:bidi w:val="0"/>
            </w:pPr>
            <w:r>
              <w:t>（</w:t>
            </w:r>
            <w:r>
              <w:rPr>
                <w:rFonts w:hint="eastAsia"/>
              </w:rPr>
              <w:t>四</w:t>
            </w:r>
            <w:r>
              <w:t>）丛生草类草地</w:t>
            </w:r>
          </w:p>
        </w:tc>
        <w:tc>
          <w:tcPr>
            <w:tcW w:w="815" w:type="pct"/>
            <w:vMerge w:val="restart"/>
            <w:vAlign w:val="center"/>
          </w:tcPr>
          <w:p w14:paraId="24806D96">
            <w:pPr>
              <w:pStyle w:val="28"/>
              <w:bidi w:val="0"/>
            </w:pPr>
            <w:r>
              <w:t>（</w:t>
            </w:r>
            <w:r>
              <w:rPr>
                <w:rFonts w:hint="eastAsia"/>
              </w:rPr>
              <w:t>5</w:t>
            </w:r>
            <w:r>
              <w:t>）温性草丛</w:t>
            </w:r>
          </w:p>
        </w:tc>
        <w:tc>
          <w:tcPr>
            <w:tcW w:w="720" w:type="pct"/>
            <w:shd w:val="clear" w:color="auto" w:fill="auto"/>
            <w:vAlign w:val="center"/>
          </w:tcPr>
          <w:p w14:paraId="43937847">
            <w:pPr>
              <w:pStyle w:val="28"/>
              <w:bidi w:val="0"/>
            </w:pPr>
            <w:r>
              <w:rPr>
                <w:rFonts w:hint="eastAsia"/>
              </w:rPr>
              <w:t>11、鸡眼草</w:t>
            </w:r>
          </w:p>
        </w:tc>
        <w:tc>
          <w:tcPr>
            <w:tcW w:w="743" w:type="pct"/>
            <w:vAlign w:val="center"/>
          </w:tcPr>
          <w:p w14:paraId="16EDDF51">
            <w:pPr>
              <w:pStyle w:val="28"/>
              <w:bidi w:val="0"/>
            </w:pPr>
            <w:r>
              <w:t>潜南干渠</w:t>
            </w:r>
          </w:p>
        </w:tc>
        <w:tc>
          <w:tcPr>
            <w:tcW w:w="457" w:type="pct"/>
            <w:vMerge w:val="restart"/>
            <w:vAlign w:val="center"/>
          </w:tcPr>
          <w:p w14:paraId="0120A5EA">
            <w:pPr>
              <w:pStyle w:val="28"/>
              <w:bidi w:val="0"/>
            </w:pPr>
            <w:r>
              <w:rPr>
                <w:rFonts w:hint="eastAsia"/>
              </w:rPr>
              <w:t>283.45</w:t>
            </w:r>
          </w:p>
        </w:tc>
        <w:tc>
          <w:tcPr>
            <w:tcW w:w="632" w:type="pct"/>
            <w:vMerge w:val="restart"/>
            <w:vAlign w:val="center"/>
          </w:tcPr>
          <w:p w14:paraId="49E04754">
            <w:pPr>
              <w:pStyle w:val="28"/>
              <w:bidi w:val="0"/>
            </w:pPr>
            <w:r>
              <w:rPr>
                <w:rFonts w:hint="eastAsia"/>
              </w:rPr>
              <w:t>0.74</w:t>
            </w:r>
          </w:p>
        </w:tc>
      </w:tr>
      <w:tr w14:paraId="13312B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4219C064">
            <w:pPr>
              <w:pStyle w:val="28"/>
              <w:bidi w:val="0"/>
            </w:pPr>
          </w:p>
        </w:tc>
        <w:tc>
          <w:tcPr>
            <w:tcW w:w="816" w:type="pct"/>
            <w:vMerge w:val="continue"/>
            <w:vAlign w:val="center"/>
          </w:tcPr>
          <w:p w14:paraId="6EDA75A9">
            <w:pPr>
              <w:pStyle w:val="28"/>
              <w:bidi w:val="0"/>
            </w:pPr>
          </w:p>
        </w:tc>
        <w:tc>
          <w:tcPr>
            <w:tcW w:w="815" w:type="pct"/>
            <w:vMerge w:val="continue"/>
            <w:vAlign w:val="center"/>
          </w:tcPr>
          <w:p w14:paraId="1D54B90A">
            <w:pPr>
              <w:pStyle w:val="28"/>
              <w:bidi w:val="0"/>
            </w:pPr>
          </w:p>
        </w:tc>
        <w:tc>
          <w:tcPr>
            <w:tcW w:w="720" w:type="pct"/>
            <w:shd w:val="clear" w:color="auto" w:fill="auto"/>
            <w:vAlign w:val="center"/>
          </w:tcPr>
          <w:p w14:paraId="527E9FB6">
            <w:pPr>
              <w:pStyle w:val="28"/>
              <w:bidi w:val="0"/>
            </w:pPr>
            <w:r>
              <w:rPr>
                <w:rFonts w:hint="eastAsia"/>
              </w:rPr>
              <w:t>12</w:t>
            </w:r>
            <w:r>
              <w:t>、茜草</w:t>
            </w:r>
          </w:p>
        </w:tc>
        <w:tc>
          <w:tcPr>
            <w:tcW w:w="743" w:type="pct"/>
            <w:vAlign w:val="center"/>
          </w:tcPr>
          <w:p w14:paraId="436F405A">
            <w:pPr>
              <w:pStyle w:val="28"/>
              <w:bidi w:val="0"/>
            </w:pPr>
            <w:r>
              <w:t>广泛分布</w:t>
            </w:r>
          </w:p>
        </w:tc>
        <w:tc>
          <w:tcPr>
            <w:tcW w:w="457" w:type="pct"/>
            <w:vMerge w:val="continue"/>
            <w:vAlign w:val="center"/>
          </w:tcPr>
          <w:p w14:paraId="490EAE21">
            <w:pPr>
              <w:pStyle w:val="28"/>
              <w:bidi w:val="0"/>
            </w:pPr>
          </w:p>
        </w:tc>
        <w:tc>
          <w:tcPr>
            <w:tcW w:w="632" w:type="pct"/>
            <w:vMerge w:val="continue"/>
            <w:vAlign w:val="center"/>
          </w:tcPr>
          <w:p w14:paraId="191363CA">
            <w:pPr>
              <w:pStyle w:val="28"/>
              <w:bidi w:val="0"/>
            </w:pPr>
          </w:p>
        </w:tc>
      </w:tr>
      <w:tr w14:paraId="4B4C9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56CA0540">
            <w:pPr>
              <w:pStyle w:val="28"/>
              <w:bidi w:val="0"/>
            </w:pPr>
          </w:p>
        </w:tc>
        <w:tc>
          <w:tcPr>
            <w:tcW w:w="816" w:type="pct"/>
            <w:vMerge w:val="continue"/>
            <w:vAlign w:val="center"/>
          </w:tcPr>
          <w:p w14:paraId="1887E01C">
            <w:pPr>
              <w:pStyle w:val="28"/>
              <w:bidi w:val="0"/>
            </w:pPr>
          </w:p>
        </w:tc>
        <w:tc>
          <w:tcPr>
            <w:tcW w:w="815" w:type="pct"/>
            <w:vMerge w:val="continue"/>
            <w:vAlign w:val="center"/>
          </w:tcPr>
          <w:p w14:paraId="16F3FA3C">
            <w:pPr>
              <w:pStyle w:val="28"/>
              <w:bidi w:val="0"/>
            </w:pPr>
          </w:p>
        </w:tc>
        <w:tc>
          <w:tcPr>
            <w:tcW w:w="720" w:type="pct"/>
            <w:shd w:val="clear" w:color="auto" w:fill="auto"/>
            <w:vAlign w:val="center"/>
          </w:tcPr>
          <w:p w14:paraId="108A1D93">
            <w:pPr>
              <w:pStyle w:val="28"/>
              <w:bidi w:val="0"/>
            </w:pPr>
            <w:r>
              <w:rPr>
                <w:rFonts w:hint="eastAsia"/>
              </w:rPr>
              <w:t>13</w:t>
            </w:r>
            <w:r>
              <w:t>、葎草</w:t>
            </w:r>
          </w:p>
        </w:tc>
        <w:tc>
          <w:tcPr>
            <w:tcW w:w="743" w:type="pct"/>
            <w:vAlign w:val="center"/>
          </w:tcPr>
          <w:p w14:paraId="7727E6C8">
            <w:pPr>
              <w:pStyle w:val="28"/>
              <w:bidi w:val="0"/>
            </w:pPr>
            <w:r>
              <w:t>广泛分布</w:t>
            </w:r>
          </w:p>
        </w:tc>
        <w:tc>
          <w:tcPr>
            <w:tcW w:w="457" w:type="pct"/>
            <w:vMerge w:val="continue"/>
            <w:vAlign w:val="center"/>
          </w:tcPr>
          <w:p w14:paraId="069A0364">
            <w:pPr>
              <w:pStyle w:val="28"/>
              <w:bidi w:val="0"/>
            </w:pPr>
          </w:p>
        </w:tc>
        <w:tc>
          <w:tcPr>
            <w:tcW w:w="632" w:type="pct"/>
            <w:vMerge w:val="continue"/>
            <w:vAlign w:val="center"/>
          </w:tcPr>
          <w:p w14:paraId="3D51AD8F">
            <w:pPr>
              <w:pStyle w:val="28"/>
              <w:bidi w:val="0"/>
            </w:pPr>
          </w:p>
        </w:tc>
      </w:tr>
      <w:tr w14:paraId="57B63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1EE41602">
            <w:pPr>
              <w:pStyle w:val="28"/>
              <w:bidi w:val="0"/>
            </w:pPr>
          </w:p>
        </w:tc>
        <w:tc>
          <w:tcPr>
            <w:tcW w:w="816" w:type="pct"/>
            <w:vMerge w:val="continue"/>
            <w:vAlign w:val="center"/>
          </w:tcPr>
          <w:p w14:paraId="460775EA">
            <w:pPr>
              <w:pStyle w:val="28"/>
              <w:bidi w:val="0"/>
            </w:pPr>
          </w:p>
        </w:tc>
        <w:tc>
          <w:tcPr>
            <w:tcW w:w="815" w:type="pct"/>
            <w:vMerge w:val="restart"/>
            <w:vAlign w:val="center"/>
          </w:tcPr>
          <w:p w14:paraId="45A18532">
            <w:pPr>
              <w:pStyle w:val="28"/>
              <w:bidi w:val="0"/>
            </w:pPr>
            <w:r>
              <w:t>（</w:t>
            </w:r>
            <w:r>
              <w:rPr>
                <w:rFonts w:hint="eastAsia"/>
              </w:rPr>
              <w:t>6</w:t>
            </w:r>
            <w:r>
              <w:t>）温带禾草草丛</w:t>
            </w:r>
          </w:p>
        </w:tc>
        <w:tc>
          <w:tcPr>
            <w:tcW w:w="720" w:type="pct"/>
            <w:shd w:val="clear" w:color="auto" w:fill="auto"/>
            <w:vAlign w:val="center"/>
          </w:tcPr>
          <w:p w14:paraId="0C55EB1A">
            <w:pPr>
              <w:pStyle w:val="28"/>
              <w:bidi w:val="0"/>
            </w:pPr>
            <w:r>
              <w:rPr>
                <w:rFonts w:hint="eastAsia"/>
              </w:rPr>
              <w:t>14</w:t>
            </w:r>
            <w:r>
              <w:t>、牛筋草</w:t>
            </w:r>
          </w:p>
        </w:tc>
        <w:tc>
          <w:tcPr>
            <w:tcW w:w="743" w:type="pct"/>
            <w:vAlign w:val="center"/>
          </w:tcPr>
          <w:p w14:paraId="1833CD52">
            <w:pPr>
              <w:pStyle w:val="28"/>
              <w:bidi w:val="0"/>
            </w:pPr>
            <w:r>
              <w:t>广泛分布</w:t>
            </w:r>
          </w:p>
        </w:tc>
        <w:tc>
          <w:tcPr>
            <w:tcW w:w="457" w:type="pct"/>
            <w:vMerge w:val="continue"/>
            <w:vAlign w:val="center"/>
          </w:tcPr>
          <w:p w14:paraId="5D109F96">
            <w:pPr>
              <w:pStyle w:val="28"/>
              <w:bidi w:val="0"/>
            </w:pPr>
          </w:p>
        </w:tc>
        <w:tc>
          <w:tcPr>
            <w:tcW w:w="632" w:type="pct"/>
            <w:vMerge w:val="continue"/>
            <w:vAlign w:val="center"/>
          </w:tcPr>
          <w:p w14:paraId="34C7329A">
            <w:pPr>
              <w:pStyle w:val="28"/>
              <w:bidi w:val="0"/>
            </w:pPr>
          </w:p>
        </w:tc>
      </w:tr>
      <w:tr w14:paraId="2448A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5A23E813">
            <w:pPr>
              <w:pStyle w:val="28"/>
              <w:bidi w:val="0"/>
            </w:pPr>
          </w:p>
        </w:tc>
        <w:tc>
          <w:tcPr>
            <w:tcW w:w="816" w:type="pct"/>
            <w:vMerge w:val="continue"/>
            <w:vAlign w:val="center"/>
          </w:tcPr>
          <w:p w14:paraId="3AC200FC">
            <w:pPr>
              <w:pStyle w:val="28"/>
              <w:bidi w:val="0"/>
            </w:pPr>
          </w:p>
        </w:tc>
        <w:tc>
          <w:tcPr>
            <w:tcW w:w="815" w:type="pct"/>
            <w:vMerge w:val="continue"/>
            <w:vAlign w:val="center"/>
          </w:tcPr>
          <w:p w14:paraId="4CB3AC6E">
            <w:pPr>
              <w:pStyle w:val="28"/>
              <w:bidi w:val="0"/>
            </w:pPr>
          </w:p>
        </w:tc>
        <w:tc>
          <w:tcPr>
            <w:tcW w:w="720" w:type="pct"/>
            <w:shd w:val="clear" w:color="auto" w:fill="auto"/>
            <w:vAlign w:val="center"/>
          </w:tcPr>
          <w:p w14:paraId="7E328F10">
            <w:pPr>
              <w:pStyle w:val="28"/>
              <w:bidi w:val="0"/>
            </w:pPr>
            <w:r>
              <w:rPr>
                <w:rFonts w:hint="eastAsia"/>
              </w:rPr>
              <w:t>15</w:t>
            </w:r>
            <w:r>
              <w:t>、狗尾草</w:t>
            </w:r>
          </w:p>
        </w:tc>
        <w:tc>
          <w:tcPr>
            <w:tcW w:w="743" w:type="pct"/>
            <w:vAlign w:val="center"/>
          </w:tcPr>
          <w:p w14:paraId="39921C15">
            <w:pPr>
              <w:pStyle w:val="28"/>
              <w:bidi w:val="0"/>
            </w:pPr>
            <w:r>
              <w:t>广泛分布</w:t>
            </w:r>
          </w:p>
        </w:tc>
        <w:tc>
          <w:tcPr>
            <w:tcW w:w="457" w:type="pct"/>
            <w:vMerge w:val="continue"/>
            <w:vAlign w:val="center"/>
          </w:tcPr>
          <w:p w14:paraId="3B8F2F7E">
            <w:pPr>
              <w:pStyle w:val="28"/>
              <w:bidi w:val="0"/>
            </w:pPr>
          </w:p>
        </w:tc>
        <w:tc>
          <w:tcPr>
            <w:tcW w:w="632" w:type="pct"/>
            <w:vMerge w:val="continue"/>
            <w:vAlign w:val="center"/>
          </w:tcPr>
          <w:p w14:paraId="5E9FB86C">
            <w:pPr>
              <w:pStyle w:val="28"/>
              <w:bidi w:val="0"/>
            </w:pPr>
          </w:p>
        </w:tc>
      </w:tr>
      <w:tr w14:paraId="43048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1C14E833">
            <w:pPr>
              <w:pStyle w:val="28"/>
              <w:bidi w:val="0"/>
            </w:pPr>
          </w:p>
        </w:tc>
        <w:tc>
          <w:tcPr>
            <w:tcW w:w="816" w:type="pct"/>
            <w:vMerge w:val="restart"/>
            <w:vAlign w:val="center"/>
          </w:tcPr>
          <w:p w14:paraId="01CF18E4">
            <w:pPr>
              <w:pStyle w:val="28"/>
              <w:bidi w:val="0"/>
            </w:pPr>
            <w:r>
              <w:t>（</w:t>
            </w:r>
            <w:r>
              <w:rPr>
                <w:rFonts w:hint="eastAsia"/>
              </w:rPr>
              <w:t>五</w:t>
            </w:r>
            <w:r>
              <w:t>）杂草类草地</w:t>
            </w:r>
          </w:p>
        </w:tc>
        <w:tc>
          <w:tcPr>
            <w:tcW w:w="815" w:type="pct"/>
            <w:vMerge w:val="restart"/>
            <w:vAlign w:val="center"/>
          </w:tcPr>
          <w:p w14:paraId="68A82371">
            <w:pPr>
              <w:pStyle w:val="28"/>
              <w:bidi w:val="0"/>
            </w:pPr>
            <w:r>
              <w:t>（</w:t>
            </w:r>
            <w:r>
              <w:rPr>
                <w:rFonts w:hint="eastAsia"/>
              </w:rPr>
              <w:t>7</w:t>
            </w:r>
            <w:r>
              <w:t>）杂类草草地</w:t>
            </w:r>
          </w:p>
        </w:tc>
        <w:tc>
          <w:tcPr>
            <w:tcW w:w="720" w:type="pct"/>
            <w:shd w:val="clear" w:color="auto" w:fill="auto"/>
            <w:vAlign w:val="center"/>
          </w:tcPr>
          <w:p w14:paraId="322D414F">
            <w:pPr>
              <w:pStyle w:val="28"/>
              <w:bidi w:val="0"/>
            </w:pPr>
            <w:r>
              <w:rPr>
                <w:rFonts w:hint="eastAsia"/>
              </w:rPr>
              <w:t>16</w:t>
            </w:r>
            <w:r>
              <w:t>、小飞蓬</w:t>
            </w:r>
          </w:p>
        </w:tc>
        <w:tc>
          <w:tcPr>
            <w:tcW w:w="743" w:type="pct"/>
            <w:shd w:val="clear" w:color="auto" w:fill="auto"/>
            <w:vAlign w:val="center"/>
          </w:tcPr>
          <w:p w14:paraId="5011B79D">
            <w:pPr>
              <w:pStyle w:val="28"/>
              <w:bidi w:val="0"/>
            </w:pPr>
            <w:r>
              <w:t>聚星渡槽</w:t>
            </w:r>
          </w:p>
        </w:tc>
        <w:tc>
          <w:tcPr>
            <w:tcW w:w="457" w:type="pct"/>
            <w:vMerge w:val="continue"/>
            <w:vAlign w:val="center"/>
          </w:tcPr>
          <w:p w14:paraId="7D7E50D6">
            <w:pPr>
              <w:pStyle w:val="28"/>
              <w:bidi w:val="0"/>
            </w:pPr>
          </w:p>
        </w:tc>
        <w:tc>
          <w:tcPr>
            <w:tcW w:w="632" w:type="pct"/>
            <w:vMerge w:val="continue"/>
            <w:vAlign w:val="center"/>
          </w:tcPr>
          <w:p w14:paraId="2A3A8B44">
            <w:pPr>
              <w:pStyle w:val="28"/>
              <w:bidi w:val="0"/>
            </w:pPr>
          </w:p>
        </w:tc>
      </w:tr>
      <w:tr w14:paraId="69313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509E5EB2">
            <w:pPr>
              <w:pStyle w:val="28"/>
              <w:bidi w:val="0"/>
            </w:pPr>
          </w:p>
        </w:tc>
        <w:tc>
          <w:tcPr>
            <w:tcW w:w="816" w:type="pct"/>
            <w:vMerge w:val="continue"/>
            <w:vAlign w:val="center"/>
          </w:tcPr>
          <w:p w14:paraId="21902703">
            <w:pPr>
              <w:pStyle w:val="28"/>
              <w:bidi w:val="0"/>
            </w:pPr>
          </w:p>
        </w:tc>
        <w:tc>
          <w:tcPr>
            <w:tcW w:w="815" w:type="pct"/>
            <w:vMerge w:val="continue"/>
            <w:vAlign w:val="center"/>
          </w:tcPr>
          <w:p w14:paraId="35AB747D">
            <w:pPr>
              <w:pStyle w:val="28"/>
              <w:bidi w:val="0"/>
            </w:pPr>
          </w:p>
        </w:tc>
        <w:tc>
          <w:tcPr>
            <w:tcW w:w="720" w:type="pct"/>
            <w:shd w:val="clear" w:color="auto" w:fill="auto"/>
            <w:vAlign w:val="center"/>
          </w:tcPr>
          <w:p w14:paraId="1EDD6FF3">
            <w:pPr>
              <w:pStyle w:val="28"/>
              <w:bidi w:val="0"/>
            </w:pPr>
            <w:r>
              <w:rPr>
                <w:rFonts w:hint="eastAsia"/>
              </w:rPr>
              <w:t>27</w:t>
            </w:r>
            <w:r>
              <w:t>、一年蓬</w:t>
            </w:r>
          </w:p>
        </w:tc>
        <w:tc>
          <w:tcPr>
            <w:tcW w:w="743" w:type="pct"/>
            <w:shd w:val="clear" w:color="auto" w:fill="auto"/>
            <w:vAlign w:val="center"/>
          </w:tcPr>
          <w:p w14:paraId="79FB9217">
            <w:pPr>
              <w:pStyle w:val="28"/>
              <w:bidi w:val="0"/>
            </w:pPr>
            <w:r>
              <w:t>广泛分布</w:t>
            </w:r>
          </w:p>
        </w:tc>
        <w:tc>
          <w:tcPr>
            <w:tcW w:w="457" w:type="pct"/>
            <w:vMerge w:val="continue"/>
            <w:vAlign w:val="center"/>
          </w:tcPr>
          <w:p w14:paraId="7F0DBAE1">
            <w:pPr>
              <w:pStyle w:val="28"/>
              <w:bidi w:val="0"/>
            </w:pPr>
          </w:p>
        </w:tc>
        <w:tc>
          <w:tcPr>
            <w:tcW w:w="632" w:type="pct"/>
            <w:vMerge w:val="continue"/>
            <w:vAlign w:val="center"/>
          </w:tcPr>
          <w:p w14:paraId="004234FA">
            <w:pPr>
              <w:pStyle w:val="28"/>
              <w:bidi w:val="0"/>
            </w:pPr>
          </w:p>
        </w:tc>
      </w:tr>
      <w:tr w14:paraId="300F3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22EFBFED">
            <w:pPr>
              <w:pStyle w:val="28"/>
              <w:bidi w:val="0"/>
            </w:pPr>
          </w:p>
        </w:tc>
        <w:tc>
          <w:tcPr>
            <w:tcW w:w="816" w:type="pct"/>
            <w:vMerge w:val="continue"/>
            <w:vAlign w:val="center"/>
          </w:tcPr>
          <w:p w14:paraId="3C5AA906">
            <w:pPr>
              <w:pStyle w:val="28"/>
              <w:bidi w:val="0"/>
            </w:pPr>
          </w:p>
        </w:tc>
        <w:tc>
          <w:tcPr>
            <w:tcW w:w="815" w:type="pct"/>
            <w:vMerge w:val="continue"/>
            <w:vAlign w:val="center"/>
          </w:tcPr>
          <w:p w14:paraId="69B3F0CA">
            <w:pPr>
              <w:pStyle w:val="28"/>
              <w:bidi w:val="0"/>
            </w:pPr>
          </w:p>
        </w:tc>
        <w:tc>
          <w:tcPr>
            <w:tcW w:w="720" w:type="pct"/>
            <w:shd w:val="clear" w:color="auto" w:fill="auto"/>
            <w:vAlign w:val="center"/>
          </w:tcPr>
          <w:p w14:paraId="43C9925D">
            <w:pPr>
              <w:pStyle w:val="28"/>
              <w:bidi w:val="0"/>
            </w:pPr>
            <w:r>
              <w:rPr>
                <w:rFonts w:hint="eastAsia"/>
              </w:rPr>
              <w:t>18、小蓬草</w:t>
            </w:r>
          </w:p>
        </w:tc>
        <w:tc>
          <w:tcPr>
            <w:tcW w:w="743" w:type="pct"/>
            <w:shd w:val="clear" w:color="auto" w:fill="auto"/>
            <w:vAlign w:val="center"/>
          </w:tcPr>
          <w:p w14:paraId="3F59F824">
            <w:pPr>
              <w:pStyle w:val="28"/>
              <w:bidi w:val="0"/>
            </w:pPr>
            <w:r>
              <w:t>广泛分布</w:t>
            </w:r>
          </w:p>
        </w:tc>
        <w:tc>
          <w:tcPr>
            <w:tcW w:w="457" w:type="pct"/>
            <w:vMerge w:val="continue"/>
            <w:vAlign w:val="center"/>
          </w:tcPr>
          <w:p w14:paraId="7D5ECDC5">
            <w:pPr>
              <w:pStyle w:val="28"/>
              <w:bidi w:val="0"/>
            </w:pPr>
          </w:p>
        </w:tc>
        <w:tc>
          <w:tcPr>
            <w:tcW w:w="632" w:type="pct"/>
            <w:vMerge w:val="continue"/>
            <w:vAlign w:val="center"/>
          </w:tcPr>
          <w:p w14:paraId="472CEC79">
            <w:pPr>
              <w:pStyle w:val="28"/>
              <w:bidi w:val="0"/>
            </w:pPr>
          </w:p>
        </w:tc>
      </w:tr>
      <w:tr w14:paraId="47DC9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25FA94C8">
            <w:pPr>
              <w:pStyle w:val="28"/>
              <w:bidi w:val="0"/>
            </w:pPr>
          </w:p>
        </w:tc>
        <w:tc>
          <w:tcPr>
            <w:tcW w:w="816" w:type="pct"/>
            <w:vMerge w:val="continue"/>
            <w:vAlign w:val="center"/>
          </w:tcPr>
          <w:p w14:paraId="0DD1A468">
            <w:pPr>
              <w:pStyle w:val="28"/>
              <w:bidi w:val="0"/>
            </w:pPr>
          </w:p>
        </w:tc>
        <w:tc>
          <w:tcPr>
            <w:tcW w:w="815" w:type="pct"/>
            <w:vMerge w:val="continue"/>
            <w:vAlign w:val="center"/>
          </w:tcPr>
          <w:p w14:paraId="0B9410EC">
            <w:pPr>
              <w:pStyle w:val="28"/>
              <w:bidi w:val="0"/>
            </w:pPr>
          </w:p>
        </w:tc>
        <w:tc>
          <w:tcPr>
            <w:tcW w:w="720" w:type="pct"/>
            <w:shd w:val="clear" w:color="auto" w:fill="auto"/>
            <w:vAlign w:val="center"/>
          </w:tcPr>
          <w:p w14:paraId="09A67D0A">
            <w:pPr>
              <w:pStyle w:val="28"/>
              <w:bidi w:val="0"/>
            </w:pPr>
            <w:r>
              <w:rPr>
                <w:rFonts w:hint="eastAsia"/>
              </w:rPr>
              <w:t>19</w:t>
            </w:r>
            <w:r>
              <w:t>、喜旱莲子草</w:t>
            </w:r>
          </w:p>
        </w:tc>
        <w:tc>
          <w:tcPr>
            <w:tcW w:w="743" w:type="pct"/>
            <w:shd w:val="clear" w:color="auto" w:fill="auto"/>
            <w:vAlign w:val="center"/>
          </w:tcPr>
          <w:p w14:paraId="5E5C1EE8">
            <w:pPr>
              <w:pStyle w:val="28"/>
              <w:bidi w:val="0"/>
            </w:pPr>
          </w:p>
        </w:tc>
        <w:tc>
          <w:tcPr>
            <w:tcW w:w="457" w:type="pct"/>
            <w:vMerge w:val="continue"/>
            <w:vAlign w:val="center"/>
          </w:tcPr>
          <w:p w14:paraId="140A103D">
            <w:pPr>
              <w:pStyle w:val="28"/>
              <w:bidi w:val="0"/>
            </w:pPr>
          </w:p>
        </w:tc>
        <w:tc>
          <w:tcPr>
            <w:tcW w:w="632" w:type="pct"/>
            <w:vMerge w:val="continue"/>
            <w:vAlign w:val="center"/>
          </w:tcPr>
          <w:p w14:paraId="062B0E02">
            <w:pPr>
              <w:pStyle w:val="28"/>
              <w:bidi w:val="0"/>
            </w:pPr>
          </w:p>
        </w:tc>
      </w:tr>
      <w:tr w14:paraId="0A597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4014D2FD">
            <w:pPr>
              <w:pStyle w:val="28"/>
              <w:bidi w:val="0"/>
            </w:pPr>
          </w:p>
        </w:tc>
        <w:tc>
          <w:tcPr>
            <w:tcW w:w="816" w:type="pct"/>
            <w:vAlign w:val="center"/>
          </w:tcPr>
          <w:p w14:paraId="7A7E8F81">
            <w:pPr>
              <w:pStyle w:val="28"/>
              <w:bidi w:val="0"/>
            </w:pPr>
            <w:r>
              <w:t>（</w:t>
            </w:r>
            <w:r>
              <w:rPr>
                <w:rFonts w:hint="eastAsia"/>
              </w:rPr>
              <w:t>六</w:t>
            </w:r>
            <w:r>
              <w:t>）根茎草类草地</w:t>
            </w:r>
          </w:p>
        </w:tc>
        <w:tc>
          <w:tcPr>
            <w:tcW w:w="815" w:type="pct"/>
            <w:vAlign w:val="center"/>
          </w:tcPr>
          <w:p w14:paraId="3F6DF0E3">
            <w:pPr>
              <w:pStyle w:val="28"/>
              <w:bidi w:val="0"/>
            </w:pPr>
            <w:r>
              <w:t>（</w:t>
            </w:r>
            <w:r>
              <w:rPr>
                <w:rFonts w:hint="eastAsia"/>
              </w:rPr>
              <w:t>8</w:t>
            </w:r>
            <w:r>
              <w:t>）芦苇荻类草地</w:t>
            </w:r>
          </w:p>
        </w:tc>
        <w:tc>
          <w:tcPr>
            <w:tcW w:w="720" w:type="pct"/>
            <w:tcBorders>
              <w:bottom w:val="single" w:color="auto" w:sz="4" w:space="0"/>
            </w:tcBorders>
            <w:vAlign w:val="center"/>
          </w:tcPr>
          <w:p w14:paraId="056A5049">
            <w:pPr>
              <w:pStyle w:val="28"/>
              <w:bidi w:val="0"/>
            </w:pPr>
            <w:r>
              <w:rPr>
                <w:rFonts w:hint="eastAsia"/>
              </w:rPr>
              <w:t>20</w:t>
            </w:r>
            <w:r>
              <w:t>、芦苇</w:t>
            </w:r>
          </w:p>
        </w:tc>
        <w:tc>
          <w:tcPr>
            <w:tcW w:w="743" w:type="pct"/>
            <w:vAlign w:val="center"/>
          </w:tcPr>
          <w:p w14:paraId="4067309C">
            <w:pPr>
              <w:pStyle w:val="28"/>
              <w:bidi w:val="0"/>
            </w:pPr>
            <w:r>
              <w:t>广泛分布</w:t>
            </w:r>
          </w:p>
        </w:tc>
        <w:tc>
          <w:tcPr>
            <w:tcW w:w="457" w:type="pct"/>
            <w:vMerge w:val="continue"/>
            <w:vAlign w:val="center"/>
          </w:tcPr>
          <w:p w14:paraId="1C990C11">
            <w:pPr>
              <w:pStyle w:val="28"/>
              <w:bidi w:val="0"/>
            </w:pPr>
          </w:p>
        </w:tc>
        <w:tc>
          <w:tcPr>
            <w:tcW w:w="632" w:type="pct"/>
            <w:vMerge w:val="continue"/>
            <w:vAlign w:val="center"/>
          </w:tcPr>
          <w:p w14:paraId="667554ED">
            <w:pPr>
              <w:pStyle w:val="28"/>
              <w:bidi w:val="0"/>
            </w:pPr>
          </w:p>
        </w:tc>
      </w:tr>
      <w:tr w14:paraId="36545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816" w:type="pct"/>
            <w:vMerge w:val="restart"/>
            <w:vAlign w:val="center"/>
          </w:tcPr>
          <w:p w14:paraId="42A46AC3">
            <w:pPr>
              <w:pStyle w:val="28"/>
              <w:bidi w:val="0"/>
            </w:pPr>
            <w:r>
              <w:rPr>
                <w:rFonts w:hint="eastAsia"/>
              </w:rPr>
              <w:t>四、沼泽和水生植被</w:t>
            </w:r>
          </w:p>
        </w:tc>
        <w:tc>
          <w:tcPr>
            <w:tcW w:w="816" w:type="pct"/>
            <w:vMerge w:val="restart"/>
            <w:vAlign w:val="center"/>
          </w:tcPr>
          <w:p w14:paraId="758CEADD">
            <w:pPr>
              <w:pStyle w:val="28"/>
              <w:bidi w:val="0"/>
            </w:pPr>
            <w:r>
              <w:rPr>
                <w:rFonts w:hint="eastAsia"/>
              </w:rPr>
              <w:t>（七）水生植被</w:t>
            </w:r>
          </w:p>
        </w:tc>
        <w:tc>
          <w:tcPr>
            <w:tcW w:w="815" w:type="pct"/>
            <w:vMerge w:val="restart"/>
            <w:vAlign w:val="center"/>
          </w:tcPr>
          <w:p w14:paraId="138A1A73">
            <w:pPr>
              <w:pStyle w:val="28"/>
              <w:bidi w:val="0"/>
            </w:pPr>
            <w:r>
              <w:rPr>
                <w:rFonts w:hint="eastAsia"/>
              </w:rPr>
              <w:t>（9）挺水植被</w:t>
            </w:r>
          </w:p>
        </w:tc>
        <w:tc>
          <w:tcPr>
            <w:tcW w:w="720" w:type="pct"/>
            <w:vAlign w:val="center"/>
          </w:tcPr>
          <w:p w14:paraId="48DF730D">
            <w:pPr>
              <w:pStyle w:val="28"/>
              <w:bidi w:val="0"/>
            </w:pPr>
            <w:r>
              <w:rPr>
                <w:rFonts w:hint="eastAsia"/>
              </w:rPr>
              <w:t>2</w:t>
            </w:r>
            <w:r>
              <w:t>1</w:t>
            </w:r>
            <w:r>
              <w:rPr>
                <w:rFonts w:hint="eastAsia"/>
              </w:rPr>
              <w:t>、水烛</w:t>
            </w:r>
          </w:p>
        </w:tc>
        <w:tc>
          <w:tcPr>
            <w:tcW w:w="743" w:type="pct"/>
            <w:vAlign w:val="center"/>
          </w:tcPr>
          <w:p w14:paraId="23BE96F2">
            <w:pPr>
              <w:pStyle w:val="28"/>
              <w:bidi w:val="0"/>
            </w:pPr>
            <w:r>
              <w:rPr>
                <w:rFonts w:hint="eastAsia"/>
              </w:rPr>
              <w:t>沟渠、水塘零星分布</w:t>
            </w:r>
          </w:p>
        </w:tc>
        <w:tc>
          <w:tcPr>
            <w:tcW w:w="457" w:type="pct"/>
            <w:vMerge w:val="restart"/>
            <w:vAlign w:val="center"/>
          </w:tcPr>
          <w:p w14:paraId="37B9E75D">
            <w:pPr>
              <w:pStyle w:val="28"/>
              <w:bidi w:val="0"/>
            </w:pPr>
          </w:p>
        </w:tc>
        <w:tc>
          <w:tcPr>
            <w:tcW w:w="632" w:type="pct"/>
            <w:vMerge w:val="restart"/>
            <w:vAlign w:val="center"/>
          </w:tcPr>
          <w:p w14:paraId="7334D74D">
            <w:pPr>
              <w:pStyle w:val="28"/>
              <w:bidi w:val="0"/>
            </w:pPr>
          </w:p>
        </w:tc>
      </w:tr>
      <w:tr w14:paraId="384AD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816" w:type="pct"/>
            <w:vMerge w:val="continue"/>
            <w:vAlign w:val="center"/>
          </w:tcPr>
          <w:p w14:paraId="15571C8E">
            <w:pPr>
              <w:pStyle w:val="28"/>
              <w:bidi w:val="0"/>
            </w:pPr>
          </w:p>
        </w:tc>
        <w:tc>
          <w:tcPr>
            <w:tcW w:w="816" w:type="pct"/>
            <w:vMerge w:val="continue"/>
            <w:vAlign w:val="center"/>
          </w:tcPr>
          <w:p w14:paraId="0AEBB94F">
            <w:pPr>
              <w:pStyle w:val="28"/>
              <w:bidi w:val="0"/>
            </w:pPr>
          </w:p>
        </w:tc>
        <w:tc>
          <w:tcPr>
            <w:tcW w:w="815" w:type="pct"/>
            <w:vMerge w:val="continue"/>
            <w:vAlign w:val="center"/>
          </w:tcPr>
          <w:p w14:paraId="69E5257B">
            <w:pPr>
              <w:pStyle w:val="28"/>
              <w:bidi w:val="0"/>
            </w:pPr>
          </w:p>
        </w:tc>
        <w:tc>
          <w:tcPr>
            <w:tcW w:w="720" w:type="pct"/>
            <w:vAlign w:val="center"/>
          </w:tcPr>
          <w:p w14:paraId="79B5EF4E">
            <w:pPr>
              <w:pStyle w:val="28"/>
              <w:bidi w:val="0"/>
            </w:pPr>
            <w:r>
              <w:rPr>
                <w:rFonts w:hint="eastAsia"/>
              </w:rPr>
              <w:t>2</w:t>
            </w:r>
            <w:r>
              <w:t>2</w:t>
            </w:r>
            <w:r>
              <w:rPr>
                <w:rFonts w:hint="eastAsia"/>
              </w:rPr>
              <w:t>、</w:t>
            </w:r>
            <w:r>
              <w:t>菰</w:t>
            </w:r>
          </w:p>
        </w:tc>
        <w:tc>
          <w:tcPr>
            <w:tcW w:w="743" w:type="pct"/>
            <w:vAlign w:val="center"/>
          </w:tcPr>
          <w:p w14:paraId="2E963B65">
            <w:pPr>
              <w:pStyle w:val="28"/>
              <w:bidi w:val="0"/>
            </w:pPr>
          </w:p>
        </w:tc>
        <w:tc>
          <w:tcPr>
            <w:tcW w:w="457" w:type="pct"/>
            <w:vMerge w:val="continue"/>
            <w:vAlign w:val="center"/>
          </w:tcPr>
          <w:p w14:paraId="2A152B42">
            <w:pPr>
              <w:pStyle w:val="28"/>
              <w:bidi w:val="0"/>
            </w:pPr>
          </w:p>
        </w:tc>
        <w:tc>
          <w:tcPr>
            <w:tcW w:w="632" w:type="pct"/>
            <w:vMerge w:val="continue"/>
            <w:vAlign w:val="center"/>
          </w:tcPr>
          <w:p w14:paraId="3EAB2A59">
            <w:pPr>
              <w:pStyle w:val="28"/>
              <w:bidi w:val="0"/>
            </w:pPr>
          </w:p>
        </w:tc>
      </w:tr>
      <w:tr w14:paraId="06696E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816" w:type="pct"/>
            <w:vMerge w:val="continue"/>
            <w:vAlign w:val="center"/>
          </w:tcPr>
          <w:p w14:paraId="0E9397AD">
            <w:pPr>
              <w:pStyle w:val="28"/>
              <w:bidi w:val="0"/>
            </w:pPr>
          </w:p>
        </w:tc>
        <w:tc>
          <w:tcPr>
            <w:tcW w:w="816" w:type="pct"/>
            <w:vMerge w:val="continue"/>
            <w:vAlign w:val="center"/>
          </w:tcPr>
          <w:p w14:paraId="6F9FA37A">
            <w:pPr>
              <w:pStyle w:val="28"/>
              <w:bidi w:val="0"/>
            </w:pPr>
          </w:p>
        </w:tc>
        <w:tc>
          <w:tcPr>
            <w:tcW w:w="815" w:type="pct"/>
            <w:vAlign w:val="center"/>
          </w:tcPr>
          <w:p w14:paraId="2CF0F4BE">
            <w:pPr>
              <w:pStyle w:val="28"/>
              <w:bidi w:val="0"/>
            </w:pPr>
            <w:r>
              <w:rPr>
                <w:rFonts w:hint="eastAsia"/>
              </w:rPr>
              <w:t>（10）漂浮植被</w:t>
            </w:r>
          </w:p>
        </w:tc>
        <w:tc>
          <w:tcPr>
            <w:tcW w:w="720" w:type="pct"/>
            <w:vAlign w:val="center"/>
          </w:tcPr>
          <w:p w14:paraId="18C9401B">
            <w:pPr>
              <w:pStyle w:val="28"/>
              <w:bidi w:val="0"/>
            </w:pPr>
            <w:r>
              <w:rPr>
                <w:rFonts w:hint="eastAsia"/>
              </w:rPr>
              <w:t>2</w:t>
            </w:r>
            <w:r>
              <w:t>3</w:t>
            </w:r>
            <w:r>
              <w:rPr>
                <w:rFonts w:hint="eastAsia"/>
              </w:rPr>
              <w:t>、浮萍</w:t>
            </w:r>
          </w:p>
        </w:tc>
        <w:tc>
          <w:tcPr>
            <w:tcW w:w="743" w:type="pct"/>
            <w:vAlign w:val="center"/>
          </w:tcPr>
          <w:p w14:paraId="50B28D16">
            <w:pPr>
              <w:pStyle w:val="28"/>
              <w:bidi w:val="0"/>
            </w:pPr>
            <w:r>
              <w:rPr>
                <w:rFonts w:hint="eastAsia"/>
              </w:rPr>
              <w:t>水塘、湖面零星分布</w:t>
            </w:r>
          </w:p>
        </w:tc>
        <w:tc>
          <w:tcPr>
            <w:tcW w:w="457" w:type="pct"/>
            <w:vMerge w:val="continue"/>
            <w:vAlign w:val="center"/>
          </w:tcPr>
          <w:p w14:paraId="57B5EA53">
            <w:pPr>
              <w:pStyle w:val="28"/>
              <w:bidi w:val="0"/>
            </w:pPr>
          </w:p>
        </w:tc>
        <w:tc>
          <w:tcPr>
            <w:tcW w:w="632" w:type="pct"/>
            <w:vMerge w:val="continue"/>
            <w:vAlign w:val="center"/>
          </w:tcPr>
          <w:p w14:paraId="217F276D">
            <w:pPr>
              <w:pStyle w:val="28"/>
              <w:bidi w:val="0"/>
            </w:pPr>
          </w:p>
        </w:tc>
      </w:tr>
      <w:tr w14:paraId="2FABD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816" w:type="pct"/>
            <w:vMerge w:val="continue"/>
            <w:vAlign w:val="center"/>
          </w:tcPr>
          <w:p w14:paraId="6605C290">
            <w:pPr>
              <w:pStyle w:val="28"/>
              <w:bidi w:val="0"/>
            </w:pPr>
          </w:p>
        </w:tc>
        <w:tc>
          <w:tcPr>
            <w:tcW w:w="816" w:type="pct"/>
            <w:vMerge w:val="continue"/>
            <w:vAlign w:val="center"/>
          </w:tcPr>
          <w:p w14:paraId="4A1DBE40">
            <w:pPr>
              <w:pStyle w:val="28"/>
              <w:bidi w:val="0"/>
            </w:pPr>
          </w:p>
        </w:tc>
        <w:tc>
          <w:tcPr>
            <w:tcW w:w="815" w:type="pct"/>
            <w:vAlign w:val="center"/>
          </w:tcPr>
          <w:p w14:paraId="51CD635D">
            <w:pPr>
              <w:pStyle w:val="28"/>
              <w:bidi w:val="0"/>
            </w:pPr>
            <w:r>
              <w:rPr>
                <w:rFonts w:hint="eastAsia"/>
              </w:rPr>
              <w:t>（11）藻类植被</w:t>
            </w:r>
          </w:p>
        </w:tc>
        <w:tc>
          <w:tcPr>
            <w:tcW w:w="720" w:type="pct"/>
            <w:tcBorders>
              <w:bottom w:val="single" w:color="auto" w:sz="4" w:space="0"/>
            </w:tcBorders>
            <w:vAlign w:val="center"/>
          </w:tcPr>
          <w:p w14:paraId="6ADFB2FB">
            <w:pPr>
              <w:pStyle w:val="28"/>
              <w:bidi w:val="0"/>
            </w:pPr>
            <w:r>
              <w:rPr>
                <w:rFonts w:hint="eastAsia"/>
              </w:rPr>
              <w:t>24、</w:t>
            </w:r>
            <w:r>
              <w:t>穗状狐尾藻</w:t>
            </w:r>
          </w:p>
        </w:tc>
        <w:tc>
          <w:tcPr>
            <w:tcW w:w="743" w:type="pct"/>
            <w:vAlign w:val="center"/>
          </w:tcPr>
          <w:p w14:paraId="50558CB2">
            <w:pPr>
              <w:pStyle w:val="28"/>
              <w:bidi w:val="0"/>
            </w:pPr>
            <w:r>
              <w:rPr>
                <w:rFonts w:hint="eastAsia"/>
              </w:rPr>
              <w:t>湖面少量分布</w:t>
            </w:r>
          </w:p>
        </w:tc>
        <w:tc>
          <w:tcPr>
            <w:tcW w:w="457" w:type="pct"/>
            <w:vMerge w:val="continue"/>
            <w:vAlign w:val="center"/>
          </w:tcPr>
          <w:p w14:paraId="08BBEDBF">
            <w:pPr>
              <w:pStyle w:val="28"/>
              <w:bidi w:val="0"/>
            </w:pPr>
          </w:p>
        </w:tc>
        <w:tc>
          <w:tcPr>
            <w:tcW w:w="632" w:type="pct"/>
            <w:vMerge w:val="continue"/>
            <w:vAlign w:val="center"/>
          </w:tcPr>
          <w:p w14:paraId="62487270">
            <w:pPr>
              <w:pStyle w:val="28"/>
              <w:bidi w:val="0"/>
            </w:pPr>
          </w:p>
        </w:tc>
      </w:tr>
      <w:tr w14:paraId="1B90E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816" w:type="pct"/>
            <w:vMerge w:val="continue"/>
            <w:vAlign w:val="center"/>
          </w:tcPr>
          <w:p w14:paraId="795C0FF4">
            <w:pPr>
              <w:pStyle w:val="28"/>
              <w:bidi w:val="0"/>
            </w:pPr>
          </w:p>
        </w:tc>
        <w:tc>
          <w:tcPr>
            <w:tcW w:w="816" w:type="pct"/>
            <w:vMerge w:val="continue"/>
            <w:vAlign w:val="center"/>
          </w:tcPr>
          <w:p w14:paraId="304A441A">
            <w:pPr>
              <w:pStyle w:val="28"/>
              <w:bidi w:val="0"/>
            </w:pPr>
          </w:p>
        </w:tc>
        <w:tc>
          <w:tcPr>
            <w:tcW w:w="815" w:type="pct"/>
            <w:vMerge w:val="restart"/>
            <w:vAlign w:val="center"/>
          </w:tcPr>
          <w:p w14:paraId="5024A212">
            <w:pPr>
              <w:pStyle w:val="28"/>
              <w:bidi w:val="0"/>
            </w:pPr>
            <w:r>
              <w:rPr>
                <w:rFonts w:hint="eastAsia"/>
              </w:rPr>
              <w:t>（12）浮叶植被</w:t>
            </w:r>
          </w:p>
        </w:tc>
        <w:tc>
          <w:tcPr>
            <w:tcW w:w="720" w:type="pct"/>
            <w:tcBorders>
              <w:bottom w:val="single" w:color="auto" w:sz="4" w:space="0"/>
            </w:tcBorders>
            <w:vAlign w:val="center"/>
          </w:tcPr>
          <w:p w14:paraId="1EA78E9D">
            <w:pPr>
              <w:pStyle w:val="28"/>
              <w:bidi w:val="0"/>
            </w:pPr>
            <w:r>
              <w:rPr>
                <w:rFonts w:hint="eastAsia"/>
              </w:rPr>
              <w:t>25、</w:t>
            </w:r>
            <w:r>
              <w:t>.</w:t>
            </w:r>
            <w:r>
              <w:rPr>
                <w:rFonts w:hint="eastAsia"/>
              </w:rPr>
              <w:t>水鳖</w:t>
            </w:r>
          </w:p>
        </w:tc>
        <w:tc>
          <w:tcPr>
            <w:tcW w:w="743" w:type="pct"/>
            <w:vAlign w:val="center"/>
          </w:tcPr>
          <w:p w14:paraId="030238FC">
            <w:pPr>
              <w:pStyle w:val="28"/>
              <w:bidi w:val="0"/>
            </w:pPr>
          </w:p>
        </w:tc>
        <w:tc>
          <w:tcPr>
            <w:tcW w:w="457" w:type="pct"/>
            <w:vAlign w:val="center"/>
          </w:tcPr>
          <w:p w14:paraId="10BB56E1">
            <w:pPr>
              <w:pStyle w:val="28"/>
              <w:bidi w:val="0"/>
            </w:pPr>
          </w:p>
        </w:tc>
        <w:tc>
          <w:tcPr>
            <w:tcW w:w="632" w:type="pct"/>
            <w:vAlign w:val="center"/>
          </w:tcPr>
          <w:p w14:paraId="39C30DD4">
            <w:pPr>
              <w:pStyle w:val="28"/>
              <w:bidi w:val="0"/>
            </w:pPr>
          </w:p>
        </w:tc>
      </w:tr>
      <w:tr w14:paraId="12783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jc w:val="center"/>
        </w:trPr>
        <w:tc>
          <w:tcPr>
            <w:tcW w:w="816" w:type="pct"/>
            <w:vMerge w:val="continue"/>
            <w:vAlign w:val="center"/>
          </w:tcPr>
          <w:p w14:paraId="64653677">
            <w:pPr>
              <w:pStyle w:val="28"/>
              <w:bidi w:val="0"/>
            </w:pPr>
          </w:p>
        </w:tc>
        <w:tc>
          <w:tcPr>
            <w:tcW w:w="816" w:type="pct"/>
            <w:vMerge w:val="continue"/>
            <w:vAlign w:val="center"/>
          </w:tcPr>
          <w:p w14:paraId="51CE8A8A">
            <w:pPr>
              <w:pStyle w:val="28"/>
              <w:bidi w:val="0"/>
            </w:pPr>
          </w:p>
        </w:tc>
        <w:tc>
          <w:tcPr>
            <w:tcW w:w="815" w:type="pct"/>
            <w:vMerge w:val="continue"/>
            <w:vAlign w:val="center"/>
          </w:tcPr>
          <w:p w14:paraId="26549330">
            <w:pPr>
              <w:pStyle w:val="28"/>
              <w:bidi w:val="0"/>
            </w:pPr>
          </w:p>
        </w:tc>
        <w:tc>
          <w:tcPr>
            <w:tcW w:w="720" w:type="pct"/>
            <w:tcBorders>
              <w:bottom w:val="single" w:color="auto" w:sz="4" w:space="0"/>
            </w:tcBorders>
            <w:vAlign w:val="center"/>
          </w:tcPr>
          <w:p w14:paraId="030366E5">
            <w:pPr>
              <w:pStyle w:val="28"/>
              <w:bidi w:val="0"/>
            </w:pPr>
            <w:r>
              <w:rPr>
                <w:rFonts w:hint="eastAsia"/>
              </w:rPr>
              <w:t>26、</w:t>
            </w:r>
            <w:r>
              <w:t>欧菱</w:t>
            </w:r>
          </w:p>
        </w:tc>
        <w:tc>
          <w:tcPr>
            <w:tcW w:w="743" w:type="pct"/>
            <w:vAlign w:val="center"/>
          </w:tcPr>
          <w:p w14:paraId="20B53151">
            <w:pPr>
              <w:pStyle w:val="28"/>
              <w:bidi w:val="0"/>
            </w:pPr>
          </w:p>
        </w:tc>
        <w:tc>
          <w:tcPr>
            <w:tcW w:w="457" w:type="pct"/>
            <w:vAlign w:val="center"/>
          </w:tcPr>
          <w:p w14:paraId="66689AEC">
            <w:pPr>
              <w:pStyle w:val="28"/>
              <w:bidi w:val="0"/>
            </w:pPr>
          </w:p>
        </w:tc>
        <w:tc>
          <w:tcPr>
            <w:tcW w:w="632" w:type="pct"/>
            <w:vAlign w:val="center"/>
          </w:tcPr>
          <w:p w14:paraId="543D3D28">
            <w:pPr>
              <w:pStyle w:val="28"/>
              <w:bidi w:val="0"/>
            </w:pPr>
          </w:p>
        </w:tc>
      </w:tr>
      <w:tr w14:paraId="00607F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restart"/>
            <w:vAlign w:val="center"/>
          </w:tcPr>
          <w:p w14:paraId="52A6E58C">
            <w:pPr>
              <w:pStyle w:val="28"/>
              <w:bidi w:val="0"/>
            </w:pPr>
            <w:r>
              <w:rPr>
                <w:rFonts w:hint="eastAsia"/>
              </w:rPr>
              <w:t>五</w:t>
            </w:r>
            <w:r>
              <w:t>、农业植被</w:t>
            </w:r>
          </w:p>
        </w:tc>
        <w:tc>
          <w:tcPr>
            <w:tcW w:w="816" w:type="pct"/>
            <w:vMerge w:val="restart"/>
            <w:vAlign w:val="center"/>
          </w:tcPr>
          <w:p w14:paraId="3D302A6C">
            <w:pPr>
              <w:pStyle w:val="28"/>
              <w:bidi w:val="0"/>
            </w:pPr>
            <w:r>
              <w:t>（</w:t>
            </w:r>
            <w:r>
              <w:rPr>
                <w:rFonts w:hint="eastAsia"/>
              </w:rPr>
              <w:t>八</w:t>
            </w:r>
            <w:r>
              <w:t>）粮食作物</w:t>
            </w:r>
          </w:p>
        </w:tc>
        <w:tc>
          <w:tcPr>
            <w:tcW w:w="815" w:type="pct"/>
            <w:vAlign w:val="center"/>
          </w:tcPr>
          <w:p w14:paraId="04D8CCA1">
            <w:pPr>
              <w:pStyle w:val="28"/>
              <w:bidi w:val="0"/>
            </w:pPr>
            <w:r>
              <w:t>（</w:t>
            </w:r>
            <w:r>
              <w:rPr>
                <w:rFonts w:hint="eastAsia"/>
              </w:rPr>
              <w:t>13</w:t>
            </w:r>
            <w:r>
              <w:t>）小麦田</w:t>
            </w:r>
          </w:p>
        </w:tc>
        <w:tc>
          <w:tcPr>
            <w:tcW w:w="720" w:type="pct"/>
            <w:vAlign w:val="center"/>
          </w:tcPr>
          <w:p w14:paraId="115F363E">
            <w:pPr>
              <w:pStyle w:val="28"/>
              <w:bidi w:val="0"/>
            </w:pPr>
            <w:r>
              <w:rPr>
                <w:rFonts w:hint="eastAsia"/>
              </w:rPr>
              <w:t>27</w:t>
            </w:r>
            <w:r>
              <w:t>、小麦</w:t>
            </w:r>
          </w:p>
        </w:tc>
        <w:tc>
          <w:tcPr>
            <w:tcW w:w="743" w:type="pct"/>
            <w:vAlign w:val="center"/>
          </w:tcPr>
          <w:p w14:paraId="4666BFAC">
            <w:pPr>
              <w:pStyle w:val="28"/>
              <w:bidi w:val="0"/>
            </w:pPr>
            <w:r>
              <w:t>广泛分布</w:t>
            </w:r>
          </w:p>
        </w:tc>
        <w:tc>
          <w:tcPr>
            <w:tcW w:w="457" w:type="pct"/>
            <w:vMerge w:val="restart"/>
            <w:vAlign w:val="center"/>
          </w:tcPr>
          <w:p w14:paraId="36062375">
            <w:pPr>
              <w:pStyle w:val="28"/>
              <w:bidi w:val="0"/>
            </w:pPr>
            <w:r>
              <w:rPr>
                <w:rFonts w:hint="eastAsia"/>
              </w:rPr>
              <w:t>23574.95</w:t>
            </w:r>
          </w:p>
        </w:tc>
        <w:tc>
          <w:tcPr>
            <w:tcW w:w="632" w:type="pct"/>
            <w:vMerge w:val="restart"/>
            <w:vAlign w:val="center"/>
          </w:tcPr>
          <w:p w14:paraId="18E21F25">
            <w:pPr>
              <w:pStyle w:val="28"/>
              <w:bidi w:val="0"/>
            </w:pPr>
            <w:r>
              <w:rPr>
                <w:rFonts w:hint="eastAsia"/>
              </w:rPr>
              <w:t>61.26</w:t>
            </w:r>
          </w:p>
        </w:tc>
      </w:tr>
      <w:tr w14:paraId="50134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16" w:type="pct"/>
            <w:vMerge w:val="continue"/>
            <w:vAlign w:val="center"/>
          </w:tcPr>
          <w:p w14:paraId="2C83E890">
            <w:pPr>
              <w:pStyle w:val="28"/>
              <w:bidi w:val="0"/>
            </w:pPr>
          </w:p>
        </w:tc>
        <w:tc>
          <w:tcPr>
            <w:tcW w:w="816" w:type="pct"/>
            <w:vMerge w:val="continue"/>
            <w:vAlign w:val="center"/>
          </w:tcPr>
          <w:p w14:paraId="52389481">
            <w:pPr>
              <w:pStyle w:val="28"/>
              <w:bidi w:val="0"/>
            </w:pPr>
          </w:p>
        </w:tc>
        <w:tc>
          <w:tcPr>
            <w:tcW w:w="815" w:type="pct"/>
            <w:vAlign w:val="center"/>
          </w:tcPr>
          <w:p w14:paraId="027ECE8B">
            <w:pPr>
              <w:pStyle w:val="28"/>
              <w:bidi w:val="0"/>
            </w:pPr>
            <w:r>
              <w:rPr>
                <w:rFonts w:hint="eastAsia"/>
              </w:rPr>
              <w:t>（14）油菜田</w:t>
            </w:r>
          </w:p>
        </w:tc>
        <w:tc>
          <w:tcPr>
            <w:tcW w:w="720" w:type="pct"/>
            <w:vAlign w:val="center"/>
          </w:tcPr>
          <w:p w14:paraId="29CB73B3">
            <w:pPr>
              <w:pStyle w:val="28"/>
              <w:bidi w:val="0"/>
            </w:pPr>
            <w:r>
              <w:rPr>
                <w:rFonts w:hint="eastAsia"/>
              </w:rPr>
              <w:t>28、油菜</w:t>
            </w:r>
          </w:p>
        </w:tc>
        <w:tc>
          <w:tcPr>
            <w:tcW w:w="743" w:type="pct"/>
            <w:vAlign w:val="center"/>
          </w:tcPr>
          <w:p w14:paraId="1D4AF305">
            <w:pPr>
              <w:pStyle w:val="28"/>
              <w:bidi w:val="0"/>
            </w:pPr>
          </w:p>
        </w:tc>
        <w:tc>
          <w:tcPr>
            <w:tcW w:w="457" w:type="pct"/>
            <w:vMerge w:val="continue"/>
            <w:vAlign w:val="center"/>
          </w:tcPr>
          <w:p w14:paraId="55CF464C">
            <w:pPr>
              <w:pStyle w:val="28"/>
              <w:bidi w:val="0"/>
            </w:pPr>
          </w:p>
        </w:tc>
        <w:tc>
          <w:tcPr>
            <w:tcW w:w="632" w:type="pct"/>
            <w:vMerge w:val="continue"/>
            <w:vAlign w:val="center"/>
          </w:tcPr>
          <w:p w14:paraId="7A8E33A7">
            <w:pPr>
              <w:pStyle w:val="28"/>
              <w:bidi w:val="0"/>
            </w:pPr>
          </w:p>
        </w:tc>
      </w:tr>
    </w:tbl>
    <w:p w14:paraId="25AC0033">
      <w:pPr>
        <w:spacing w:line="240" w:lineRule="auto"/>
        <w:rPr>
          <w:color w:val="0000FF"/>
        </w:rPr>
      </w:pPr>
    </w:p>
    <w:p w14:paraId="58958B83">
      <w:pPr>
        <w:pStyle w:val="4"/>
        <w:bidi w:val="0"/>
      </w:pPr>
      <w:r>
        <w:t>4.3.</w:t>
      </w:r>
      <w:r>
        <w:rPr>
          <w:rFonts w:hint="eastAsia"/>
        </w:rPr>
        <w:t>2</w:t>
      </w:r>
      <w:r>
        <w:t>陆生野生动物现状</w:t>
      </w:r>
    </w:p>
    <w:p w14:paraId="34E432C4">
      <w:pPr>
        <w:pStyle w:val="5"/>
        <w:bidi w:val="0"/>
      </w:pPr>
      <w:r>
        <w:t>4.3.</w:t>
      </w:r>
      <w:r>
        <w:rPr>
          <w:rFonts w:hint="eastAsia"/>
        </w:rPr>
        <w:t>2</w:t>
      </w:r>
      <w:r>
        <w:t>.1调查方法</w:t>
      </w:r>
    </w:p>
    <w:p w14:paraId="2479A594">
      <w:pPr>
        <w:adjustRightInd w:val="0"/>
        <w:rPr>
          <w:rFonts w:cs="Times New Roman"/>
        </w:rPr>
      </w:pPr>
      <w:r>
        <w:rPr>
          <w:rFonts w:cs="Times New Roman"/>
        </w:rPr>
        <w:t>（1）样线调查</w:t>
      </w:r>
    </w:p>
    <w:p w14:paraId="4B9EAE03">
      <w:pPr>
        <w:adjustRightInd w:val="0"/>
        <w:ind w:firstLine="480"/>
        <w:rPr>
          <w:rFonts w:cs="Times New Roman"/>
        </w:rPr>
      </w:pPr>
      <w:r>
        <w:rPr>
          <w:rFonts w:hint="eastAsia" w:ascii="宋体" w:hAnsi="宋体"/>
        </w:rPr>
        <w:t>①</w:t>
      </w:r>
      <w:r>
        <w:rPr>
          <w:rFonts w:cs="Times New Roman"/>
        </w:rPr>
        <w:t>样线布设原则</w:t>
      </w:r>
    </w:p>
    <w:p w14:paraId="38C0419A">
      <w:pPr>
        <w:adjustRightInd w:val="0"/>
        <w:ind w:firstLine="480"/>
        <w:rPr>
          <w:rFonts w:cs="Times New Roman"/>
        </w:rPr>
      </w:pPr>
      <w:r>
        <w:rPr>
          <w:rFonts w:cs="Times New Roman"/>
        </w:rPr>
        <w:t>根据本项目工程特征，为充分了解鸟类、两栖和爬行类、哺乳类等野生动物的区系特征、物种组成的分布特征，采用样线法结合资料收集对评级区的野生动物现状进行调查。依据《环境影响评价技术导则 生态影响》（HJ 19-2022），一级评价设置的野生动物调查样线数量不少于5条，二级评价不少于3条，三级评价现状调查以收集有效资料为主。本次调查共布设了</w:t>
      </w:r>
      <w:r>
        <w:rPr>
          <w:rFonts w:hint="eastAsia" w:cs="Times New Roman"/>
        </w:rPr>
        <w:t>12</w:t>
      </w:r>
      <w:r>
        <w:rPr>
          <w:rFonts w:cs="Times New Roman"/>
        </w:rPr>
        <w:t>条野生动物调查样线，布设数量符合相关要求。</w:t>
      </w:r>
    </w:p>
    <w:p w14:paraId="10919ECD">
      <w:pPr>
        <w:adjustRightInd w:val="0"/>
        <w:ind w:firstLine="480"/>
        <w:rPr>
          <w:rFonts w:cs="Times New Roman"/>
        </w:rPr>
      </w:pPr>
      <w:r>
        <w:rPr>
          <w:rFonts w:cs="Times New Roman"/>
        </w:rPr>
        <w:t>结合各子项工程的生态评价等级和生境状况，样线均沿各渠道布设，并能够涵盖乔木林、灌丛、草丛、农田、河流、坑塘、居民区等主要植被类型。</w:t>
      </w:r>
    </w:p>
    <w:p w14:paraId="4673CB85">
      <w:pPr>
        <w:adjustRightInd w:val="0"/>
        <w:ind w:firstLine="480"/>
        <w:rPr>
          <w:rFonts w:cs="Times New Roman"/>
        </w:rPr>
      </w:pPr>
      <w:r>
        <w:rPr>
          <w:rFonts w:hint="eastAsia" w:ascii="宋体" w:hAnsi="宋体"/>
        </w:rPr>
        <w:t>②</w:t>
      </w:r>
      <w:r>
        <w:rPr>
          <w:rFonts w:cs="Times New Roman"/>
        </w:rPr>
        <w:t>样线布设情况</w:t>
      </w:r>
    </w:p>
    <w:p w14:paraId="0118AB2D">
      <w:pPr>
        <w:adjustRightInd w:val="0"/>
        <w:ind w:firstLine="480"/>
        <w:rPr>
          <w:rFonts w:cs="Times New Roman"/>
        </w:rPr>
      </w:pPr>
      <w:r>
        <w:rPr>
          <w:rFonts w:cs="Times New Roman"/>
        </w:rPr>
        <w:t>项目组于202</w:t>
      </w:r>
      <w:r>
        <w:rPr>
          <w:rFonts w:hint="eastAsia" w:cs="Times New Roman"/>
        </w:rPr>
        <w:t>4</w:t>
      </w:r>
      <w:r>
        <w:rPr>
          <w:rFonts w:cs="Times New Roman"/>
        </w:rPr>
        <w:t>年</w:t>
      </w:r>
      <w:r>
        <w:rPr>
          <w:rFonts w:hint="eastAsia" w:cs="Times New Roman"/>
        </w:rPr>
        <w:t>7</w:t>
      </w:r>
      <w:r>
        <w:rPr>
          <w:rFonts w:cs="Times New Roman"/>
        </w:rPr>
        <w:t>月对评价区进行了陆生野生动物实地调查，调查采用样线法，各调查样线的长度不短于1000m，每条样线调查时间不短于1h，调查时，对各样线两侧各200 m范围内的野生动物种类、数量、栖息生境、人为干扰等进行记录。</w:t>
      </w:r>
    </w:p>
    <w:p w14:paraId="7EE877AB">
      <w:pPr>
        <w:autoSpaceDE w:val="0"/>
        <w:autoSpaceDN w:val="0"/>
        <w:adjustRightInd w:val="0"/>
        <w:ind w:firstLine="480"/>
        <w:textAlignment w:val="center"/>
        <w:rPr>
          <w:rFonts w:cs="Times New Roman"/>
        </w:rPr>
      </w:pPr>
      <w:r>
        <w:rPr>
          <w:rFonts w:hint="eastAsia" w:cs="Times New Roman"/>
        </w:rPr>
        <w:t>③</w:t>
      </w:r>
      <w:r>
        <w:rPr>
          <w:rFonts w:cs="Times New Roman"/>
        </w:rPr>
        <w:t>调查方法依据</w:t>
      </w:r>
    </w:p>
    <w:p w14:paraId="41C49CBF">
      <w:pPr>
        <w:autoSpaceDE w:val="0"/>
        <w:autoSpaceDN w:val="0"/>
        <w:adjustRightInd w:val="0"/>
        <w:ind w:firstLine="480"/>
        <w:textAlignment w:val="center"/>
        <w:rPr>
          <w:rFonts w:cs="Times New Roman"/>
        </w:rPr>
      </w:pPr>
      <w:r>
        <w:rPr>
          <w:rFonts w:cs="Times New Roman"/>
        </w:rPr>
        <w:t>各类野生动物的调查还分别参考《生物多样性观测技术导则 陆生哺乳动物》（HJ 710.3-2014）、《生物多样性观测技术导则 鸟类》（HJ 710.4-2014）、《生物多样性观测技术导则 两栖动物》（HJ 710.6-2014）、《生物多样性观测技术导则 爬行动物》（HJ 710.5-2014）发布的调查方法。</w:t>
      </w:r>
    </w:p>
    <w:p w14:paraId="1BDEC2C9">
      <w:pPr>
        <w:autoSpaceDE w:val="0"/>
        <w:autoSpaceDN w:val="0"/>
        <w:adjustRightInd w:val="0"/>
        <w:ind w:firstLine="480"/>
        <w:textAlignment w:val="center"/>
        <w:rPr>
          <w:rFonts w:cs="Times New Roman"/>
        </w:rPr>
      </w:pPr>
      <w:r>
        <w:rPr>
          <w:rFonts w:hint="eastAsia" w:cs="Times New Roman"/>
        </w:rPr>
        <w:t>野生动物样方布设图见附图、调查结果见附表</w:t>
      </w:r>
      <w:r>
        <w:rPr>
          <w:rFonts w:cs="Times New Roman"/>
        </w:rPr>
        <w:t>。</w:t>
      </w:r>
    </w:p>
    <w:p w14:paraId="23568E9F">
      <w:pPr>
        <w:pStyle w:val="29"/>
        <w:bidi w:val="0"/>
      </w:pPr>
      <w:r>
        <w:rPr>
          <w:rFonts w:hint="eastAsia"/>
        </w:rPr>
        <w:t>表</w:t>
      </w:r>
      <w:r>
        <w:rPr>
          <w:rFonts w:hint="eastAsia"/>
          <w:lang w:eastAsia="zh-CN"/>
        </w:rPr>
        <w:t>4.3</w:t>
      </w:r>
      <w:r>
        <w:t>-3</w:t>
      </w:r>
      <w:r>
        <w:rPr>
          <w:rFonts w:hint="eastAsia"/>
        </w:rPr>
        <w:t xml:space="preserve">  野生动物调查样线布设情况</w:t>
      </w:r>
    </w:p>
    <w:tbl>
      <w:tblPr>
        <w:tblStyle w:val="16"/>
        <w:tblW w:w="499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29"/>
        <w:gridCol w:w="1256"/>
        <w:gridCol w:w="1163"/>
        <w:gridCol w:w="1726"/>
      </w:tblGrid>
      <w:tr w14:paraId="2B111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764" w:type="pct"/>
            <w:vAlign w:val="center"/>
          </w:tcPr>
          <w:p w14:paraId="1B9A4FF8">
            <w:pPr>
              <w:pStyle w:val="28"/>
              <w:bidi w:val="0"/>
            </w:pPr>
            <w:r>
              <w:rPr>
                <w:rFonts w:hint="eastAsia"/>
              </w:rPr>
              <w:t>项目</w:t>
            </w:r>
            <w:r>
              <w:t>名称</w:t>
            </w:r>
          </w:p>
        </w:tc>
        <w:tc>
          <w:tcPr>
            <w:tcW w:w="677" w:type="pct"/>
            <w:vAlign w:val="center"/>
          </w:tcPr>
          <w:p w14:paraId="576E8814">
            <w:pPr>
              <w:pStyle w:val="28"/>
              <w:bidi w:val="0"/>
            </w:pPr>
            <w:r>
              <w:rPr>
                <w:rFonts w:hint="eastAsia"/>
              </w:rPr>
              <w:t>陆生生态影响评价等级</w:t>
            </w:r>
          </w:p>
        </w:tc>
        <w:tc>
          <w:tcPr>
            <w:tcW w:w="627" w:type="pct"/>
            <w:vAlign w:val="center"/>
          </w:tcPr>
          <w:p w14:paraId="2AB18AEA">
            <w:pPr>
              <w:pStyle w:val="28"/>
              <w:bidi w:val="0"/>
            </w:pPr>
            <w:r>
              <w:rPr>
                <w:rFonts w:hint="eastAsia"/>
              </w:rPr>
              <w:t>样线数量</w:t>
            </w:r>
          </w:p>
        </w:tc>
        <w:tc>
          <w:tcPr>
            <w:tcW w:w="930" w:type="pct"/>
            <w:vAlign w:val="center"/>
          </w:tcPr>
          <w:p w14:paraId="6EFFA0F0">
            <w:pPr>
              <w:pStyle w:val="28"/>
              <w:bidi w:val="0"/>
            </w:pPr>
            <w:r>
              <w:rPr>
                <w:rFonts w:hint="eastAsia"/>
              </w:rPr>
              <w:t>样线</w:t>
            </w:r>
            <w:r>
              <w:t>与HJ 19-2022符合性</w:t>
            </w:r>
          </w:p>
        </w:tc>
      </w:tr>
      <w:tr w14:paraId="7799D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4" w:type="pct"/>
            <w:vAlign w:val="center"/>
          </w:tcPr>
          <w:p w14:paraId="29DD5DEF">
            <w:pPr>
              <w:pStyle w:val="28"/>
              <w:bidi w:val="0"/>
            </w:pPr>
            <w:r>
              <w:rPr>
                <w:rFonts w:hint="eastAsia"/>
              </w:rPr>
              <w:t>朱集一站引水渠</w:t>
            </w:r>
          </w:p>
        </w:tc>
        <w:tc>
          <w:tcPr>
            <w:tcW w:w="677" w:type="pct"/>
            <w:vAlign w:val="center"/>
          </w:tcPr>
          <w:p w14:paraId="44FC0E7B">
            <w:pPr>
              <w:pStyle w:val="28"/>
              <w:bidi w:val="0"/>
            </w:pPr>
            <w:r>
              <w:rPr>
                <w:rFonts w:hint="eastAsia"/>
              </w:rPr>
              <w:t>二级</w:t>
            </w:r>
          </w:p>
        </w:tc>
        <w:tc>
          <w:tcPr>
            <w:tcW w:w="627" w:type="pct"/>
            <w:vAlign w:val="center"/>
          </w:tcPr>
          <w:p w14:paraId="40E4216A">
            <w:pPr>
              <w:pStyle w:val="28"/>
              <w:bidi w:val="0"/>
            </w:pPr>
            <w:r>
              <w:rPr>
                <w:rFonts w:hint="eastAsia"/>
              </w:rPr>
              <w:t>12</w:t>
            </w:r>
          </w:p>
        </w:tc>
        <w:tc>
          <w:tcPr>
            <w:tcW w:w="930" w:type="pct"/>
            <w:vAlign w:val="center"/>
          </w:tcPr>
          <w:p w14:paraId="322DE135">
            <w:pPr>
              <w:pStyle w:val="28"/>
              <w:bidi w:val="0"/>
            </w:pPr>
            <w:r>
              <w:rPr>
                <w:rFonts w:hint="eastAsia"/>
              </w:rPr>
              <w:t>符合</w:t>
            </w:r>
          </w:p>
        </w:tc>
      </w:tr>
      <w:tr w14:paraId="68071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4" w:type="pct"/>
            <w:vAlign w:val="center"/>
          </w:tcPr>
          <w:p w14:paraId="3481B79C">
            <w:pPr>
              <w:pStyle w:val="28"/>
              <w:bidi w:val="0"/>
            </w:pPr>
            <w:r>
              <w:t>其他项目</w:t>
            </w:r>
          </w:p>
        </w:tc>
        <w:tc>
          <w:tcPr>
            <w:tcW w:w="677" w:type="pct"/>
            <w:vAlign w:val="center"/>
          </w:tcPr>
          <w:p w14:paraId="4F6277F0">
            <w:pPr>
              <w:pStyle w:val="28"/>
              <w:bidi w:val="0"/>
            </w:pPr>
            <w:r>
              <w:rPr>
                <w:rFonts w:hint="eastAsia"/>
              </w:rPr>
              <w:t>三级</w:t>
            </w:r>
          </w:p>
        </w:tc>
        <w:tc>
          <w:tcPr>
            <w:tcW w:w="627" w:type="pct"/>
            <w:vAlign w:val="center"/>
          </w:tcPr>
          <w:p w14:paraId="0CB765A7">
            <w:pPr>
              <w:pStyle w:val="28"/>
              <w:bidi w:val="0"/>
            </w:pPr>
            <w:r>
              <w:rPr>
                <w:rFonts w:hint="eastAsia"/>
              </w:rPr>
              <w:t>以收集有效资料为主</w:t>
            </w:r>
          </w:p>
        </w:tc>
        <w:tc>
          <w:tcPr>
            <w:tcW w:w="930" w:type="pct"/>
            <w:vAlign w:val="center"/>
          </w:tcPr>
          <w:p w14:paraId="181E8943">
            <w:pPr>
              <w:pStyle w:val="28"/>
              <w:bidi w:val="0"/>
            </w:pPr>
            <w:r>
              <w:rPr>
                <w:rFonts w:hint="eastAsia"/>
              </w:rPr>
              <w:t>符合</w:t>
            </w:r>
          </w:p>
        </w:tc>
      </w:tr>
      <w:tr w14:paraId="09029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64" w:type="pct"/>
            <w:vAlign w:val="center"/>
          </w:tcPr>
          <w:p w14:paraId="2A211F79">
            <w:pPr>
              <w:pStyle w:val="28"/>
              <w:bidi w:val="0"/>
            </w:pPr>
            <w:r>
              <w:rPr>
                <w:rFonts w:hint="eastAsia"/>
              </w:rPr>
              <w:t>总计</w:t>
            </w:r>
          </w:p>
        </w:tc>
        <w:tc>
          <w:tcPr>
            <w:tcW w:w="677" w:type="pct"/>
            <w:vAlign w:val="center"/>
          </w:tcPr>
          <w:p w14:paraId="06B2F2D5">
            <w:pPr>
              <w:pStyle w:val="28"/>
              <w:bidi w:val="0"/>
            </w:pPr>
            <w:r>
              <w:rPr>
                <w:rFonts w:hint="eastAsia"/>
              </w:rPr>
              <w:t>/</w:t>
            </w:r>
          </w:p>
        </w:tc>
        <w:tc>
          <w:tcPr>
            <w:tcW w:w="627" w:type="pct"/>
            <w:vAlign w:val="center"/>
          </w:tcPr>
          <w:p w14:paraId="25E21706">
            <w:pPr>
              <w:pStyle w:val="28"/>
              <w:bidi w:val="0"/>
            </w:pPr>
            <w:r>
              <w:rPr>
                <w:rFonts w:hint="eastAsia"/>
              </w:rPr>
              <w:t>12</w:t>
            </w:r>
          </w:p>
        </w:tc>
        <w:tc>
          <w:tcPr>
            <w:tcW w:w="930" w:type="pct"/>
            <w:vAlign w:val="center"/>
          </w:tcPr>
          <w:p w14:paraId="645732BC">
            <w:pPr>
              <w:pStyle w:val="28"/>
              <w:bidi w:val="0"/>
            </w:pPr>
            <w:r>
              <w:rPr>
                <w:rFonts w:hint="eastAsia"/>
              </w:rPr>
              <w:t>/</w:t>
            </w:r>
          </w:p>
        </w:tc>
      </w:tr>
    </w:tbl>
    <w:p w14:paraId="336428B8">
      <w:pPr>
        <w:spacing w:line="240" w:lineRule="auto"/>
        <w:ind w:firstLine="480" w:firstLineChars="200"/>
        <w:rPr>
          <w:rFonts w:cs="Times New Roman"/>
          <w:color w:val="0000FF"/>
        </w:rPr>
      </w:pPr>
    </w:p>
    <w:p w14:paraId="52EDACCF">
      <w:pPr>
        <w:ind w:firstLine="480" w:firstLineChars="200"/>
        <w:rPr>
          <w:rFonts w:cs="Times New Roman"/>
        </w:rPr>
      </w:pPr>
      <w:r>
        <w:rPr>
          <w:rFonts w:cs="Times New Roman"/>
        </w:rPr>
        <w:t>（2）资料查询</w:t>
      </w:r>
    </w:p>
    <w:p w14:paraId="71BFA404">
      <w:pPr>
        <w:adjustRightInd w:val="0"/>
        <w:ind w:firstLine="480"/>
        <w:rPr>
          <w:rFonts w:cs="Times New Roman"/>
        </w:rPr>
      </w:pPr>
      <w:r>
        <w:rPr>
          <w:rFonts w:cs="Times New Roman"/>
        </w:rPr>
        <w:t>本次调查还结合资料查询，主要是本区域5年内的相关书籍、环境影响评价报告、科学考察报告、研究文献等资料不同的季节的区域野生动物现状资料：</w:t>
      </w:r>
    </w:p>
    <w:p w14:paraId="305EC627">
      <w:pPr>
        <w:adjustRightInd w:val="0"/>
        <w:ind w:firstLine="480"/>
        <w:rPr>
          <w:rFonts w:cs="Times New Roman"/>
        </w:rPr>
      </w:pPr>
      <w:r>
        <w:rPr>
          <w:rFonts w:hint="eastAsia" w:ascii="宋体" w:hAnsi="宋体"/>
        </w:rPr>
        <w:t>①</w:t>
      </w:r>
      <w:r>
        <w:rPr>
          <w:rFonts w:cs="Times New Roman"/>
        </w:rPr>
        <w:t>书籍</w:t>
      </w:r>
    </w:p>
    <w:p w14:paraId="7656610A">
      <w:pPr>
        <w:adjustRightInd w:val="0"/>
        <w:ind w:firstLine="480"/>
        <w:rPr>
          <w:rFonts w:cs="Times New Roman"/>
        </w:rPr>
      </w:pPr>
      <w:r>
        <w:rPr>
          <w:rFonts w:cs="Times New Roman"/>
        </w:rPr>
        <w:t>主要有《中国动物地理》（张荣祖等著</w:t>
      </w:r>
      <w:r>
        <w:rPr>
          <w:rFonts w:hint="eastAsia" w:cs="Times New Roman"/>
        </w:rPr>
        <w:t>，2011年</w:t>
      </w:r>
      <w:r>
        <w:rPr>
          <w:rFonts w:cs="Times New Roman"/>
        </w:rPr>
        <w:t>）、《安徽省陆生野生动植物资源》（安徽省林业厅主编</w:t>
      </w:r>
      <w:r>
        <w:rPr>
          <w:rFonts w:hint="eastAsia" w:cs="Times New Roman"/>
        </w:rPr>
        <w:t>，2006年</w:t>
      </w:r>
      <w:r>
        <w:rPr>
          <w:rFonts w:cs="Times New Roman"/>
        </w:rPr>
        <w:t>）、《安徽省鸟类分布名录与图鉴》（侯银续等著</w:t>
      </w:r>
      <w:r>
        <w:rPr>
          <w:rFonts w:hint="eastAsia" w:cs="Times New Roman"/>
        </w:rPr>
        <w:t>，2019</w:t>
      </w:r>
      <w:r>
        <w:rPr>
          <w:rFonts w:cs="Times New Roman"/>
        </w:rPr>
        <w:t>）</w:t>
      </w:r>
      <w:r>
        <w:rPr>
          <w:rFonts w:hint="eastAsia" w:cs="Times New Roman"/>
        </w:rPr>
        <w:t>年</w:t>
      </w:r>
      <w:r>
        <w:rPr>
          <w:rFonts w:cs="Times New Roman"/>
        </w:rPr>
        <w:t>、《安徽省两栖爬行动物志》（陈壁辉等著</w:t>
      </w:r>
      <w:r>
        <w:rPr>
          <w:rFonts w:hint="eastAsia" w:cs="Times New Roman"/>
        </w:rPr>
        <w:t>，1991年</w:t>
      </w:r>
      <w:r>
        <w:rPr>
          <w:rFonts w:cs="Times New Roman"/>
        </w:rPr>
        <w:t>）、《安徽兽类志》（王岐山主编</w:t>
      </w:r>
      <w:r>
        <w:rPr>
          <w:rFonts w:hint="eastAsia" w:cs="Times New Roman"/>
        </w:rPr>
        <w:t>，1990年</w:t>
      </w:r>
      <w:r>
        <w:rPr>
          <w:rFonts w:cs="Times New Roman"/>
        </w:rPr>
        <w:t>）、《中国爬行动物图鉴》（季达明等著</w:t>
      </w:r>
      <w:r>
        <w:rPr>
          <w:rFonts w:hint="eastAsia" w:cs="Times New Roman"/>
        </w:rPr>
        <w:t>，2002年</w:t>
      </w:r>
      <w:r>
        <w:rPr>
          <w:rFonts w:cs="Times New Roman"/>
        </w:rPr>
        <w:t>）、《中国鸟类野外手册》（</w:t>
      </w:r>
      <w:r>
        <w:rPr>
          <w:rFonts w:hint="eastAsia" w:cs="Times New Roman"/>
        </w:rPr>
        <w:t>〔</w:t>
      </w:r>
      <w:r>
        <w:rPr>
          <w:rFonts w:cs="Times New Roman"/>
        </w:rPr>
        <w:t>英</w:t>
      </w:r>
      <w:r>
        <w:rPr>
          <w:rFonts w:hint="eastAsia" w:cs="Times New Roman"/>
        </w:rPr>
        <w:t>〕</w:t>
      </w:r>
      <w:r>
        <w:rPr>
          <w:rFonts w:cs="Times New Roman"/>
        </w:rPr>
        <w:t>约翰·马敬能等著</w:t>
      </w:r>
      <w:r>
        <w:rPr>
          <w:rFonts w:hint="eastAsia" w:cs="Times New Roman"/>
        </w:rPr>
        <w:t>，2019年</w:t>
      </w:r>
      <w:r>
        <w:rPr>
          <w:rFonts w:cs="Times New Roman"/>
        </w:rPr>
        <w:t>等）。</w:t>
      </w:r>
    </w:p>
    <w:p w14:paraId="3A785B09">
      <w:pPr>
        <w:adjustRightInd w:val="0"/>
        <w:ind w:firstLine="480"/>
        <w:rPr>
          <w:rFonts w:cs="Times New Roman"/>
        </w:rPr>
      </w:pPr>
      <w:r>
        <w:rPr>
          <w:rFonts w:hint="eastAsia" w:ascii="宋体" w:hAnsi="宋体"/>
        </w:rPr>
        <w:t>②</w:t>
      </w:r>
      <w:r>
        <w:rPr>
          <w:rFonts w:cs="Times New Roman"/>
        </w:rPr>
        <w:t>本区域相关环境影响评价报告、科学考察报告、文献等资料</w:t>
      </w:r>
    </w:p>
    <w:p w14:paraId="4F8FAF36">
      <w:pPr>
        <w:adjustRightInd w:val="0"/>
        <w:ind w:firstLine="480"/>
        <w:rPr>
          <w:rFonts w:cs="Times New Roman"/>
          <w:color w:val="0000FF"/>
        </w:rPr>
      </w:pPr>
      <w:r>
        <w:rPr>
          <w:rFonts w:cs="Times New Roman"/>
          <w:color w:val="0000FF"/>
        </w:rPr>
        <w:t>包括《总体规划》等。</w:t>
      </w:r>
    </w:p>
    <w:p w14:paraId="545E4987">
      <w:pPr>
        <w:adjustRightInd w:val="0"/>
        <w:ind w:firstLine="480"/>
        <w:rPr>
          <w:rFonts w:cs="Times New Roman"/>
          <w:bCs/>
        </w:rPr>
      </w:pPr>
      <w:r>
        <w:rPr>
          <w:rFonts w:hint="eastAsia" w:ascii="宋体" w:hAnsi="宋体"/>
          <w:bCs/>
        </w:rPr>
        <w:t>③</w:t>
      </w:r>
      <w:r>
        <w:rPr>
          <w:rFonts w:cs="Times New Roman"/>
          <w:bCs/>
        </w:rPr>
        <w:t>物种保护及濒危等级判定</w:t>
      </w:r>
    </w:p>
    <w:p w14:paraId="2856BBF2">
      <w:pPr>
        <w:adjustRightInd w:val="0"/>
        <w:ind w:firstLine="480"/>
        <w:rPr>
          <w:rFonts w:cs="Times New Roman"/>
          <w:bCs/>
        </w:rPr>
      </w:pPr>
      <w:r>
        <w:rPr>
          <w:rFonts w:cs="Times New Roman"/>
          <w:bCs/>
        </w:rPr>
        <w:t>通过查询《国家重点保护野生动物名录》、《安徽省重点保护野生动物名录》、《中国生物多样性红色名录》，判定物种保护等级、濒危等级、是否属于中国特有种。</w:t>
      </w:r>
    </w:p>
    <w:p w14:paraId="270A432B">
      <w:pPr>
        <w:adjustRightInd w:val="0"/>
        <w:ind w:firstLine="480"/>
        <w:rPr>
          <w:rFonts w:cs="Times New Roman"/>
        </w:rPr>
      </w:pPr>
      <w:r>
        <w:rPr>
          <w:rFonts w:hint="eastAsia" w:ascii="宋体" w:hAnsi="宋体"/>
        </w:rPr>
        <w:t>④</w:t>
      </w:r>
      <w:r>
        <w:rPr>
          <w:rFonts w:cs="Times New Roman"/>
        </w:rPr>
        <w:t>外来入侵物种判定</w:t>
      </w:r>
    </w:p>
    <w:p w14:paraId="2F9C8678">
      <w:pPr>
        <w:adjustRightInd w:val="0"/>
        <w:ind w:firstLine="480"/>
        <w:rPr>
          <w:rFonts w:cs="Times New Roman"/>
        </w:rPr>
      </w:pPr>
      <w:r>
        <w:rPr>
          <w:rFonts w:cs="Times New Roman"/>
        </w:rPr>
        <w:t>依据《中国第一批外来入侵种名单》（2003年）、《中国第二批外来入侵种名单》（2010年）、《中国外来入侵种名单（第三批）》（2014年）、《中国自然生态系统外来入侵种名单（第四批）》（2016年）判定评价区分布的入侵动物种类</w:t>
      </w:r>
    </w:p>
    <w:p w14:paraId="7D4CBC4F">
      <w:pPr>
        <w:adjustRightInd w:val="0"/>
        <w:rPr>
          <w:rFonts w:cs="Times New Roman"/>
        </w:rPr>
      </w:pPr>
      <w:r>
        <w:rPr>
          <w:rFonts w:cs="Times New Roman"/>
        </w:rPr>
        <w:t>（3）分类系统</w:t>
      </w:r>
    </w:p>
    <w:p w14:paraId="32C4B4E2">
      <w:pPr>
        <w:autoSpaceDE w:val="0"/>
        <w:autoSpaceDN w:val="0"/>
        <w:ind w:firstLine="480"/>
        <w:rPr>
          <w:rFonts w:eastAsia="Times New Roman" w:cs="Times New Roman"/>
          <w:lang w:bidi="ar"/>
        </w:rPr>
      </w:pPr>
      <w:r>
        <w:rPr>
          <w:rFonts w:cs="Times New Roman"/>
          <w:lang w:bidi="ar"/>
        </w:rPr>
        <w:t>鸟类分类系统参考《中国鸟类分类与分布名录（第三版）》（郑光美著）；两栖爬行分类系统及物种命名参考</w:t>
      </w:r>
      <w:r>
        <w:rPr>
          <w:rFonts w:cs="Times New Roman"/>
        </w:rPr>
        <w:t>《中国两栖、爬行动物更新名录》（王剀等著）</w:t>
      </w:r>
      <w:r>
        <w:rPr>
          <w:rFonts w:cs="Times New Roman"/>
          <w:lang w:bidi="ar"/>
        </w:rPr>
        <w:t>；哺乳类分类系统参考《中国兽类名录（</w:t>
      </w:r>
      <w:r>
        <w:rPr>
          <w:rFonts w:eastAsia="Times New Roman" w:cs="Times New Roman"/>
          <w:lang w:bidi="ar"/>
        </w:rPr>
        <w:t>2021</w:t>
      </w:r>
      <w:r>
        <w:rPr>
          <w:rFonts w:cs="Times New Roman"/>
          <w:lang w:bidi="ar"/>
        </w:rPr>
        <w:t>版）》（魏辅文等著）。</w:t>
      </w:r>
    </w:p>
    <w:p w14:paraId="083086B1">
      <w:pPr>
        <w:autoSpaceDE w:val="0"/>
        <w:autoSpaceDN w:val="0"/>
        <w:ind w:firstLine="480"/>
        <w:rPr>
          <w:rFonts w:cs="Times New Roman"/>
        </w:rPr>
      </w:pPr>
      <w:r>
        <w:rPr>
          <w:rFonts w:cs="Times New Roman"/>
          <w:lang w:bidi="ar"/>
        </w:rPr>
        <w:t>依据《中国生物物种名录</w:t>
      </w:r>
      <w:r>
        <w:rPr>
          <w:rFonts w:eastAsia="Times New Roman" w:cs="Times New Roman"/>
          <w:lang w:bidi="ar"/>
        </w:rPr>
        <w:t>2023</w:t>
      </w:r>
      <w:r>
        <w:rPr>
          <w:rFonts w:cs="Times New Roman"/>
          <w:lang w:bidi="ar"/>
        </w:rPr>
        <w:t>版》（</w:t>
      </w:r>
      <w:r>
        <w:rPr>
          <w:rFonts w:hint="eastAsia" w:cs="Times New Roman"/>
          <w:lang w:bidi="ar"/>
        </w:rPr>
        <w:t>http:</w:t>
      </w:r>
      <w:r>
        <w:rPr>
          <w:rFonts w:eastAsia="Times New Roman" w:cs="Times New Roman"/>
          <w:lang w:bidi="ar"/>
        </w:rPr>
        <w:t>//www.sp2000.org.cn</w:t>
      </w:r>
      <w:r>
        <w:rPr>
          <w:rFonts w:cs="Times New Roman"/>
          <w:lang w:bidi="ar"/>
        </w:rPr>
        <w:t>）规范物种名称。</w:t>
      </w:r>
    </w:p>
    <w:p w14:paraId="108ACA97">
      <w:pPr>
        <w:adjustRightInd w:val="0"/>
        <w:rPr>
          <w:rFonts w:cs="Times New Roman"/>
        </w:rPr>
      </w:pPr>
      <w:r>
        <w:rPr>
          <w:rFonts w:cs="Times New Roman"/>
        </w:rPr>
        <w:t>（4）数据分析</w:t>
      </w:r>
    </w:p>
    <w:p w14:paraId="5D7E7C65">
      <w:pPr>
        <w:adjustRightInd w:val="0"/>
        <w:snapToGrid w:val="0"/>
        <w:ind w:firstLine="480"/>
        <w:rPr>
          <w:rFonts w:cs="Times New Roman"/>
        </w:rPr>
      </w:pPr>
      <w:r>
        <w:rPr>
          <w:rFonts w:cs="Times New Roman"/>
        </w:rPr>
        <w:t>以Berger-Parker优势度指数确定野生动物群落中的优势、常见、稀有或罕见种：</w:t>
      </w:r>
    </w:p>
    <w:p w14:paraId="037826E4">
      <w:pPr>
        <w:jc w:val="center"/>
        <w:rPr>
          <w:rFonts w:cs="Times New Roman"/>
          <w:sz w:val="28"/>
          <w:szCs w:val="28"/>
        </w:rPr>
      </w:pPr>
      <w:r>
        <w:rPr>
          <w:rFonts w:cs="Times New Roman"/>
          <w:i/>
          <w:iCs/>
          <w:sz w:val="28"/>
          <w:szCs w:val="28"/>
        </w:rPr>
        <w:t>P</w:t>
      </w:r>
      <w:r>
        <w:rPr>
          <w:rFonts w:cs="Times New Roman"/>
          <w:i/>
          <w:iCs/>
          <w:sz w:val="28"/>
          <w:szCs w:val="28"/>
          <w:vertAlign w:val="subscript"/>
        </w:rPr>
        <w:t xml:space="preserve">i </w:t>
      </w:r>
      <w:r>
        <w:rPr>
          <w:rFonts w:cs="Times New Roman"/>
          <w:sz w:val="28"/>
          <w:szCs w:val="28"/>
        </w:rPr>
        <w:t xml:space="preserve">= </w:t>
      </w:r>
      <w:r>
        <w:rPr>
          <w:rFonts w:cs="Times New Roman"/>
          <w:i/>
          <w:iCs/>
          <w:sz w:val="28"/>
          <w:szCs w:val="28"/>
        </w:rPr>
        <w:t>N</w:t>
      </w:r>
      <w:r>
        <w:rPr>
          <w:rFonts w:cs="Times New Roman"/>
          <w:i/>
          <w:iCs/>
          <w:sz w:val="28"/>
          <w:szCs w:val="28"/>
          <w:vertAlign w:val="subscript"/>
        </w:rPr>
        <w:t xml:space="preserve">i </w:t>
      </w:r>
      <w:r>
        <w:rPr>
          <w:rFonts w:cs="Times New Roman"/>
          <w:sz w:val="28"/>
          <w:szCs w:val="28"/>
        </w:rPr>
        <w:t xml:space="preserve">/ </w:t>
      </w:r>
      <w:r>
        <w:rPr>
          <w:rFonts w:cs="Times New Roman"/>
          <w:i/>
          <w:iCs/>
          <w:sz w:val="28"/>
          <w:szCs w:val="28"/>
        </w:rPr>
        <w:t>N</w:t>
      </w:r>
    </w:p>
    <w:p w14:paraId="2B70B2B8">
      <w:pPr>
        <w:ind w:firstLine="480"/>
        <w:rPr>
          <w:rFonts w:cs="Times New Roman"/>
          <w:bCs/>
        </w:rPr>
      </w:pPr>
      <w:r>
        <w:rPr>
          <w:rFonts w:cs="Times New Roman"/>
          <w:bCs/>
        </w:rPr>
        <w:t>式中：</w:t>
      </w:r>
      <w:r>
        <w:rPr>
          <w:rFonts w:cs="Times New Roman"/>
          <w:bCs/>
          <w:i/>
          <w:iCs/>
        </w:rPr>
        <w:t>P</w:t>
      </w:r>
      <w:r>
        <w:rPr>
          <w:rFonts w:cs="Times New Roman"/>
          <w:bCs/>
          <w:i/>
          <w:iCs/>
          <w:vertAlign w:val="subscript"/>
        </w:rPr>
        <w:t>i</w:t>
      </w:r>
      <w:r>
        <w:rPr>
          <w:rFonts w:cs="Times New Roman"/>
          <w:bCs/>
        </w:rPr>
        <w:t>——物种的优势度指数；</w:t>
      </w:r>
    </w:p>
    <w:p w14:paraId="42DED711">
      <w:pPr>
        <w:ind w:firstLine="1200" w:firstLineChars="500"/>
        <w:rPr>
          <w:rFonts w:cs="Times New Roman"/>
          <w:bCs/>
        </w:rPr>
      </w:pPr>
      <w:r>
        <w:rPr>
          <w:rFonts w:cs="Times New Roman"/>
          <w:bCs/>
          <w:i/>
          <w:iCs/>
        </w:rPr>
        <w:t>N</w:t>
      </w:r>
      <w:r>
        <w:rPr>
          <w:rFonts w:cs="Times New Roman"/>
          <w:bCs/>
        </w:rPr>
        <w:t>——总物种数量；</w:t>
      </w:r>
    </w:p>
    <w:p w14:paraId="78C8D326">
      <w:pPr>
        <w:ind w:firstLine="1200" w:firstLineChars="500"/>
        <w:rPr>
          <w:rFonts w:cs="Times New Roman"/>
          <w:bCs/>
        </w:rPr>
      </w:pPr>
      <w:r>
        <w:rPr>
          <w:rFonts w:cs="Times New Roman"/>
          <w:bCs/>
          <w:i/>
          <w:iCs/>
        </w:rPr>
        <w:t>N</w:t>
      </w:r>
      <w:r>
        <w:rPr>
          <w:rFonts w:cs="Times New Roman"/>
          <w:bCs/>
          <w:i/>
          <w:iCs/>
          <w:vertAlign w:val="subscript"/>
        </w:rPr>
        <w:t>i</w:t>
      </w:r>
      <w:r>
        <w:rPr>
          <w:rFonts w:cs="Times New Roman"/>
          <w:bCs/>
        </w:rPr>
        <w:t>——物种</w:t>
      </w:r>
      <w:r>
        <w:rPr>
          <w:rFonts w:cs="Times New Roman"/>
          <w:bCs/>
          <w:i/>
          <w:iCs/>
        </w:rPr>
        <w:t>i</w:t>
      </w:r>
      <w:r>
        <w:rPr>
          <w:rFonts w:cs="Times New Roman"/>
          <w:bCs/>
        </w:rPr>
        <w:t>的个体数量。</w:t>
      </w:r>
    </w:p>
    <w:p w14:paraId="1FE51816">
      <w:pPr>
        <w:ind w:firstLine="480"/>
        <w:rPr>
          <w:rFonts w:cs="Times New Roman"/>
          <w:bCs/>
        </w:rPr>
      </w:pPr>
      <w:r>
        <w:rPr>
          <w:rFonts w:cs="Times New Roman"/>
          <w:bCs/>
        </w:rPr>
        <w:t>定义当</w:t>
      </w:r>
      <w:r>
        <w:rPr>
          <w:rFonts w:cs="Times New Roman"/>
          <w:bCs/>
          <w:i/>
          <w:iCs/>
        </w:rPr>
        <w:t>P</w:t>
      </w:r>
      <w:r>
        <w:rPr>
          <w:rFonts w:cs="Times New Roman"/>
          <w:bCs/>
          <w:i/>
          <w:iCs/>
          <w:vertAlign w:val="subscript"/>
        </w:rPr>
        <w:t xml:space="preserve">i </w:t>
      </w:r>
      <w:r>
        <w:rPr>
          <w:rFonts w:cs="Times New Roman"/>
          <w:bCs/>
        </w:rPr>
        <w:t>≥ 10%时，物种</w:t>
      </w:r>
      <w:r>
        <w:rPr>
          <w:rFonts w:cs="Times New Roman"/>
          <w:bCs/>
          <w:i/>
          <w:iCs/>
        </w:rPr>
        <w:t>i</w:t>
      </w:r>
      <w:r>
        <w:rPr>
          <w:rFonts w:cs="Times New Roman"/>
          <w:bCs/>
        </w:rPr>
        <w:t xml:space="preserve">为优势种；1% ≤ </w:t>
      </w:r>
      <w:r>
        <w:rPr>
          <w:rFonts w:cs="Times New Roman"/>
          <w:bCs/>
          <w:i/>
          <w:iCs/>
        </w:rPr>
        <w:t>P</w:t>
      </w:r>
      <w:r>
        <w:rPr>
          <w:rFonts w:cs="Times New Roman"/>
          <w:bCs/>
          <w:i/>
          <w:iCs/>
          <w:vertAlign w:val="subscript"/>
        </w:rPr>
        <w:t xml:space="preserve">i </w:t>
      </w:r>
      <w:r>
        <w:rPr>
          <w:rFonts w:cs="Times New Roman"/>
          <w:bCs/>
        </w:rPr>
        <w:t>&lt; 10%时，物种</w:t>
      </w:r>
      <w:r>
        <w:rPr>
          <w:rFonts w:cs="Times New Roman"/>
          <w:bCs/>
          <w:i/>
          <w:iCs/>
        </w:rPr>
        <w:t>i</w:t>
      </w:r>
      <w:r>
        <w:rPr>
          <w:rFonts w:cs="Times New Roman"/>
          <w:bCs/>
        </w:rPr>
        <w:t xml:space="preserve">为常见种；0.1% ≤ </w:t>
      </w:r>
      <w:r>
        <w:rPr>
          <w:rFonts w:cs="Times New Roman"/>
          <w:bCs/>
          <w:i/>
          <w:iCs/>
        </w:rPr>
        <w:t>P</w:t>
      </w:r>
      <w:r>
        <w:rPr>
          <w:rFonts w:cs="Times New Roman"/>
          <w:bCs/>
          <w:i/>
          <w:iCs/>
          <w:vertAlign w:val="subscript"/>
        </w:rPr>
        <w:t xml:space="preserve">i </w:t>
      </w:r>
      <w:r>
        <w:rPr>
          <w:rFonts w:cs="Times New Roman"/>
          <w:bCs/>
        </w:rPr>
        <w:t>&lt; 1%时，物种</w:t>
      </w:r>
      <w:r>
        <w:rPr>
          <w:rFonts w:cs="Times New Roman"/>
          <w:bCs/>
          <w:i/>
          <w:iCs/>
        </w:rPr>
        <w:t>i</w:t>
      </w:r>
      <w:r>
        <w:rPr>
          <w:rFonts w:cs="Times New Roman"/>
          <w:bCs/>
        </w:rPr>
        <w:t>为稀有种；</w:t>
      </w:r>
      <w:r>
        <w:rPr>
          <w:rFonts w:cs="Times New Roman"/>
          <w:bCs/>
          <w:i/>
          <w:iCs/>
        </w:rPr>
        <w:t>P</w:t>
      </w:r>
      <w:r>
        <w:rPr>
          <w:rFonts w:cs="Times New Roman"/>
          <w:bCs/>
          <w:i/>
          <w:iCs/>
          <w:vertAlign w:val="subscript"/>
        </w:rPr>
        <w:t xml:space="preserve">i </w:t>
      </w:r>
      <w:r>
        <w:rPr>
          <w:rFonts w:cs="Times New Roman"/>
          <w:bCs/>
        </w:rPr>
        <w:t>&lt; 0.1%时，物种</w:t>
      </w:r>
      <w:r>
        <w:rPr>
          <w:rFonts w:cs="Times New Roman"/>
          <w:bCs/>
          <w:i/>
          <w:iCs/>
        </w:rPr>
        <w:t>i</w:t>
      </w:r>
      <w:r>
        <w:rPr>
          <w:rFonts w:cs="Times New Roman"/>
          <w:bCs/>
        </w:rPr>
        <w:t>为罕见种。</w:t>
      </w:r>
    </w:p>
    <w:p w14:paraId="75856E6F">
      <w:pPr>
        <w:pStyle w:val="5"/>
        <w:bidi w:val="0"/>
      </w:pPr>
      <w:r>
        <w:t>4.3.</w:t>
      </w:r>
      <w:r>
        <w:rPr>
          <w:rFonts w:hint="eastAsia"/>
        </w:rPr>
        <w:t>2</w:t>
      </w:r>
      <w:r>
        <w:t>.2动物区系</w:t>
      </w:r>
    </w:p>
    <w:p w14:paraId="763D2098">
      <w:pPr>
        <w:ind w:firstLine="480"/>
        <w:rPr>
          <w:rFonts w:cs="Times New Roman"/>
        </w:rPr>
      </w:pPr>
      <w:r>
        <w:rPr>
          <w:rFonts w:hint="eastAsia" w:cs="Times New Roman"/>
        </w:rPr>
        <w:t>根据中国动物地理区划图（《中国动物地理》（张荣祖）），结合调查资料，可知本地区的动物区系属东洋界、中印亚界、华中区、VIA东部丘陵平原亚区（图</w:t>
      </w:r>
      <w:r>
        <w:rPr>
          <w:rFonts w:hint="eastAsia" w:cs="Times New Roman"/>
          <w:lang w:eastAsia="zh-CN"/>
        </w:rPr>
        <w:t>4.3</w:t>
      </w:r>
      <w:r>
        <w:rPr>
          <w:rFonts w:cs="Times New Roman"/>
        </w:rPr>
        <w:t>-5</w:t>
      </w:r>
      <w:r>
        <w:rPr>
          <w:rFonts w:hint="eastAsia" w:cs="Times New Roman"/>
        </w:rPr>
        <w:t>）。</w:t>
      </w:r>
    </w:p>
    <w:p w14:paraId="11E44159">
      <w:pPr>
        <w:ind w:firstLine="480"/>
        <w:rPr>
          <w:rFonts w:cs="Times New Roman"/>
        </w:rPr>
      </w:pPr>
      <w:r>
        <w:rPr>
          <w:rFonts w:hint="eastAsia" w:cs="Times New Roman"/>
        </w:rPr>
        <w:t>东部丘陵平原亚区的范围指三峡以东的长江中下游区域，包括沿江冲积平原和下游的长江三角洲，以及散布在境内的大别山、黄山、武夷山、武功山和福建、两广北部的丘陵。本亚区气候温和，雨量充沛。丘陵低缓，平原广阔，河道湖泊密集，农业发达。境内动物以适应于农田及丘陵灌丛环境的种类为主。兽类中的鼬獾、蟹獴（Herpestes urva）、鬣羚、豪猪、竹鼠和獐等，均为本亚区的代表种。鸟类中的大拟啄木鸟、画眉（Garrulax canorus）、白颈长尾雉（Syrmaticus ellioti），爬行类中的扬子鳄、平胸龟、盲蛇、眼镜蛇、光吻蝮蛇是一些代表种。两栖类中的黑眶蟾蜍、虎纹蛙、蝾螈（Cynops orientulis）肥螈.华东雨蛙（Hyla chinensis）等，是本亚区的特产。</w:t>
      </w:r>
    </w:p>
    <w:p w14:paraId="003A6643">
      <w:pPr>
        <w:pStyle w:val="31"/>
        <w:bidi w:val="0"/>
        <w:rPr>
          <w:rFonts w:eastAsia="黑体" w:cs="Times New Roman"/>
          <w:color w:val="0000FF"/>
        </w:rPr>
      </w:pPr>
      <w:r>
        <w:rPr>
          <w:rFonts w:cs="Times New Roman"/>
          <w:color w:val="0000FF"/>
        </w:rPr>
        <mc:AlternateContent>
          <mc:Choice Requires="wps">
            <w:drawing>
              <wp:anchor distT="0" distB="0" distL="114300" distR="114300" simplePos="0" relativeHeight="251659264" behindDoc="0" locked="0" layoutInCell="1" allowOverlap="1">
                <wp:simplePos x="0" y="0"/>
                <wp:positionH relativeFrom="column">
                  <wp:posOffset>3860165</wp:posOffset>
                </wp:positionH>
                <wp:positionV relativeFrom="paragraph">
                  <wp:posOffset>2117090</wp:posOffset>
                </wp:positionV>
                <wp:extent cx="288290" cy="165735"/>
                <wp:effectExtent l="3175" t="5715" r="635" b="6350"/>
                <wp:wrapNone/>
                <wp:docPr id="412267865" name="直接连接符 184"/>
                <wp:cNvGraphicFramePr/>
                <a:graphic xmlns:a="http://schemas.openxmlformats.org/drawingml/2006/main">
                  <a:graphicData uri="http://schemas.microsoft.com/office/word/2010/wordprocessingShape">
                    <wps:wsp>
                      <wps:cNvCnPr>
                        <a:cxnSpLocks noChangeShapeType="1"/>
                      </wps:cNvCnPr>
                      <wps:spPr bwMode="auto">
                        <a:xfrm>
                          <a:off x="0" y="0"/>
                          <a:ext cx="288290" cy="165735"/>
                        </a:xfrm>
                        <a:prstGeom prst="line">
                          <a:avLst/>
                        </a:prstGeom>
                        <a:noFill/>
                        <a:ln w="12700">
                          <a:solidFill>
                            <a:srgbClr val="FF0000"/>
                          </a:solidFill>
                          <a:round/>
                          <a:tailEnd type="arrow" w="med" len="med"/>
                        </a:ln>
                        <a:effectLst/>
                      </wps:spPr>
                      <wps:bodyPr/>
                    </wps:wsp>
                  </a:graphicData>
                </a:graphic>
              </wp:anchor>
            </w:drawing>
          </mc:Choice>
          <mc:Fallback>
            <w:pict>
              <v:line id="直接连接符 184" o:spid="_x0000_s1026" o:spt="20" style="position:absolute;left:0pt;margin-left:303.95pt;margin-top:166.7pt;height:13.05pt;width:22.7pt;z-index:251659264;mso-width-relative:page;mso-height-relative:page;" filled="f" stroked="t" coordsize="21600,21600" o:gfxdata="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GrPXUjbAAAACwEAAA8AAAAA&#10;AAAAAQAgAAAAIgAAAGRycy9kb3ducmV2LnhtbFBLAQIUABQAAAAIAIdO4kDjwEMZEQIAAPIDAAAO&#10;AAAAAAAAAAEAIAAAACoBAABkcnMvZTJvRG9jLnhtbFBLBQYAAAAABgAGAFkBAACtBQAAAAA=&#10;">
                <v:fill on="f" focussize="0,0"/>
                <v:stroke weight="1pt" color="#FF0000" joinstyle="round" endarrow="open"/>
                <v:imagedata o:title=""/>
                <o:lock v:ext="edit" aspectratio="f"/>
              </v:line>
            </w:pict>
          </mc:Fallback>
        </mc:AlternateContent>
      </w:r>
      <w:r>
        <w:rPr>
          <w:rFonts w:cs="Times New Roman"/>
          <w:color w:val="0000FF"/>
        </w:rPr>
        <mc:AlternateContent>
          <mc:Choice Requires="wps">
            <w:drawing>
              <wp:anchor distT="0" distB="0" distL="114300" distR="114300" simplePos="0" relativeHeight="251660288" behindDoc="0" locked="0" layoutInCell="1" allowOverlap="1">
                <wp:simplePos x="0" y="0"/>
                <wp:positionH relativeFrom="column">
                  <wp:posOffset>3824605</wp:posOffset>
                </wp:positionH>
                <wp:positionV relativeFrom="paragraph">
                  <wp:posOffset>2132965</wp:posOffset>
                </wp:positionV>
                <wp:extent cx="1821180" cy="926465"/>
                <wp:effectExtent l="0" t="0" r="0" b="0"/>
                <wp:wrapNone/>
                <wp:docPr id="7" name="文本框 185"/>
                <wp:cNvGraphicFramePr/>
                <a:graphic xmlns:a="http://schemas.openxmlformats.org/drawingml/2006/main">
                  <a:graphicData uri="http://schemas.microsoft.com/office/word/2010/wordprocessingShape">
                    <wps:wsp>
                      <wps:cNvSpPr txBox="1">
                        <a:spLocks noChangeArrowheads="1"/>
                      </wps:cNvSpPr>
                      <wps:spPr bwMode="auto">
                        <a:xfrm>
                          <a:off x="0" y="0"/>
                          <a:ext cx="1821180" cy="926465"/>
                        </a:xfrm>
                        <a:prstGeom prst="rect">
                          <a:avLst/>
                        </a:prstGeom>
                        <a:noFill/>
                        <a:ln>
                          <a:noFill/>
                        </a:ln>
                        <a:effectLst/>
                      </wps:spPr>
                      <wps:txbx>
                        <w:txbxContent>
                          <w:p w14:paraId="526054B8">
                            <w:pPr>
                              <w:spacing w:line="240" w:lineRule="auto"/>
                              <w:rPr>
                                <w:b/>
                                <w:bCs/>
                                <w:color w:val="FF0000"/>
                                <w:sz w:val="18"/>
                                <w:szCs w:val="18"/>
                                <w:highlight w:val="lightGray"/>
                              </w:rPr>
                            </w:pPr>
                            <w:r>
                              <w:rPr>
                                <w:rFonts w:hint="eastAsia"/>
                                <w:b/>
                                <w:bCs/>
                                <w:color w:val="FF0000"/>
                                <w:sz w:val="18"/>
                                <w:szCs w:val="18"/>
                                <w:highlight w:val="lightGray"/>
                              </w:rPr>
                              <w:t>项目位置</w:t>
                            </w:r>
                          </w:p>
                        </w:txbxContent>
                      </wps:txbx>
                      <wps:bodyPr rot="0" vert="horz" wrap="square" lIns="91440" tIns="45720" rIns="91440" bIns="45720" anchor="t" anchorCtr="0" upright="1">
                        <a:noAutofit/>
                      </wps:bodyPr>
                    </wps:wsp>
                  </a:graphicData>
                </a:graphic>
              </wp:anchor>
            </w:drawing>
          </mc:Choice>
          <mc:Fallback>
            <w:pict>
              <v:shape id="文本框 185" o:spid="_x0000_s1026" o:spt="202" type="#_x0000_t202" style="position:absolute;left:0pt;margin-left:301.15pt;margin-top:167.95pt;height:72.95pt;width:143.4pt;z-index:251660288;mso-width-relative:page;mso-height-relative:page;" filled="f" stroked="f" coordsize="21600,21600" o:gfxdata="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9m8YV2QAA&#10;AAsBAAAPAAAAAAAAAAEAIAAAACIAAABkcnMvZG93bnJldi54bWxQSwECFAAUAAAACACHTuJAsSmc&#10;0x0CAAAlBAAADgAAAAAAAAABACAAAAAoAQAAZHJzL2Uyb0RvYy54bWxQSwUGAAAAAAYABgBZAQAA&#10;twUAAAAA&#10;">
                <v:fill on="f" focussize="0,0"/>
                <v:stroke on="f"/>
                <v:imagedata o:title=""/>
                <o:lock v:ext="edit" aspectratio="f"/>
                <v:textbox>
                  <w:txbxContent>
                    <w:p w14:paraId="526054B8">
                      <w:pPr>
                        <w:spacing w:line="240" w:lineRule="auto"/>
                        <w:rPr>
                          <w:b/>
                          <w:bCs/>
                          <w:color w:val="FF0000"/>
                          <w:sz w:val="18"/>
                          <w:szCs w:val="18"/>
                          <w:highlight w:val="lightGray"/>
                        </w:rPr>
                      </w:pPr>
                      <w:r>
                        <w:rPr>
                          <w:rFonts w:hint="eastAsia"/>
                          <w:b/>
                          <w:bCs/>
                          <w:color w:val="FF0000"/>
                          <w:sz w:val="18"/>
                          <w:szCs w:val="18"/>
                          <w:highlight w:val="lightGray"/>
                        </w:rPr>
                        <w:t>项目位置</w:t>
                      </w:r>
                    </w:p>
                  </w:txbxContent>
                </v:textbox>
              </v:shape>
            </w:pict>
          </mc:Fallback>
        </mc:AlternateContent>
      </w:r>
      <w:r>
        <w:rPr>
          <w:rFonts w:eastAsia="黑体"/>
          <w:color w:val="0000FF"/>
        </w:rPr>
        <w:drawing>
          <wp:inline distT="0" distB="0" distL="114300" distR="114300">
            <wp:extent cx="5906770" cy="3556000"/>
            <wp:effectExtent l="0" t="0" r="11430" b="0"/>
            <wp:docPr id="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
                    <pic:cNvPicPr>
                      <a:picLocks noChangeAspect="1"/>
                    </pic:cNvPicPr>
                  </pic:nvPicPr>
                  <pic:blipFill>
                    <a:blip r:embed="rId135"/>
                    <a:stretch>
                      <a:fillRect/>
                    </a:stretch>
                  </pic:blipFill>
                  <pic:spPr>
                    <a:xfrm>
                      <a:off x="0" y="0"/>
                      <a:ext cx="5906770" cy="3556000"/>
                    </a:xfrm>
                    <a:prstGeom prst="rect">
                      <a:avLst/>
                    </a:prstGeom>
                    <a:noFill/>
                    <a:ln>
                      <a:noFill/>
                    </a:ln>
                  </pic:spPr>
                </pic:pic>
              </a:graphicData>
            </a:graphic>
          </wp:inline>
        </w:drawing>
      </w:r>
    </w:p>
    <w:p w14:paraId="3B3861E8">
      <w:pPr>
        <w:pStyle w:val="30"/>
        <w:bidi w:val="0"/>
      </w:pPr>
      <w:r>
        <w:t>图</w:t>
      </w:r>
      <w:r>
        <w:rPr>
          <w:rFonts w:hint="eastAsia"/>
          <w:lang w:eastAsia="zh-CN"/>
        </w:rPr>
        <w:t>4.3</w:t>
      </w:r>
      <w:r>
        <w:t>-5  评价区动物区系分区</w:t>
      </w:r>
    </w:p>
    <w:p w14:paraId="50572679">
      <w:pPr>
        <w:pStyle w:val="5"/>
        <w:bidi w:val="0"/>
      </w:pPr>
      <w:r>
        <w:t>4.3.</w:t>
      </w:r>
      <w:r>
        <w:rPr>
          <w:rFonts w:hint="eastAsia"/>
        </w:rPr>
        <w:t>2.</w:t>
      </w:r>
      <w:r>
        <w:t>3哺乳类</w:t>
      </w:r>
    </w:p>
    <w:p w14:paraId="6FC56376">
      <w:pPr>
        <w:ind w:firstLine="480" w:firstLineChars="200"/>
        <w:rPr>
          <w:rFonts w:cs="Times New Roman"/>
        </w:rPr>
      </w:pPr>
      <w:r>
        <w:rPr>
          <w:rFonts w:cs="Times New Roman"/>
        </w:rPr>
        <w:t>（1）物种组成</w:t>
      </w:r>
    </w:p>
    <w:p w14:paraId="0E127AC5">
      <w:pPr>
        <w:ind w:firstLine="480"/>
        <w:rPr>
          <w:rFonts w:cs="Times New Roman"/>
          <w:color w:val="0000FF"/>
        </w:rPr>
      </w:pPr>
      <w:r>
        <w:rPr>
          <w:rFonts w:cs="Times New Roman"/>
        </w:rPr>
        <w:t>野外实地调查中未记录到哺乳类，根据《中国哺乳动物多样性及地理分布》，</w:t>
      </w:r>
      <w:r>
        <w:rPr>
          <w:rFonts w:hint="eastAsia" w:cs="Times New Roman"/>
        </w:rPr>
        <w:t>本区域</w:t>
      </w:r>
      <w:r>
        <w:rPr>
          <w:rFonts w:cs="Times New Roman"/>
        </w:rPr>
        <w:t>哺乳动物记录有6目7科11种，哺乳动物种类较少且记录的兽类资源均为小型兽类，分别为食虫目1科1种</w:t>
      </w:r>
      <w:r>
        <w:rPr>
          <w:rFonts w:hint="eastAsia" w:cs="Times New Roman"/>
        </w:rPr>
        <w:t>，</w:t>
      </w:r>
      <w:r>
        <w:rPr>
          <w:rFonts w:cs="Times New Roman"/>
        </w:rPr>
        <w:t>翼手目1科2种，啮齿目2科</w:t>
      </w:r>
      <w:r>
        <w:rPr>
          <w:rFonts w:hint="eastAsia" w:cs="Times New Roman"/>
        </w:rPr>
        <w:t>5</w:t>
      </w:r>
      <w:r>
        <w:rPr>
          <w:rFonts w:cs="Times New Roman"/>
        </w:rPr>
        <w:t>种，肉食目1科1种，</w:t>
      </w:r>
      <w:r>
        <w:rPr>
          <w:rFonts w:cs="Times New Roman"/>
          <w:shd w:val="clear" w:color="auto" w:fill="FFFFFF"/>
        </w:rPr>
        <w:t>鲸偶蹄目</w:t>
      </w:r>
      <w:r>
        <w:rPr>
          <w:rFonts w:cs="Times New Roman"/>
        </w:rPr>
        <w:t>1科1种</w:t>
      </w:r>
      <w:r>
        <w:rPr>
          <w:rFonts w:hint="eastAsia" w:cs="Times New Roman"/>
        </w:rPr>
        <w:t>，</w:t>
      </w:r>
      <w:r>
        <w:rPr>
          <w:rFonts w:cs="Times New Roman"/>
        </w:rPr>
        <w:t>兔形目为1科1种。</w:t>
      </w:r>
    </w:p>
    <w:p w14:paraId="57A23F50">
      <w:pPr>
        <w:ind w:firstLine="480"/>
        <w:rPr>
          <w:rFonts w:cs="Times New Roman"/>
        </w:rPr>
      </w:pPr>
      <w:r>
        <w:rPr>
          <w:rFonts w:cs="Times New Roman"/>
        </w:rPr>
        <w:t>评价区哺乳类名录见表</w:t>
      </w:r>
      <w:r>
        <w:rPr>
          <w:rFonts w:hint="eastAsia" w:cs="Times New Roman"/>
          <w:lang w:eastAsia="zh-CN"/>
        </w:rPr>
        <w:t>4.3</w:t>
      </w:r>
      <w:r>
        <w:rPr>
          <w:rFonts w:cs="Times New Roman"/>
        </w:rPr>
        <w:t>-4。</w:t>
      </w:r>
    </w:p>
    <w:p w14:paraId="17A1E37A">
      <w:pPr>
        <w:ind w:firstLine="480"/>
        <w:rPr>
          <w:rFonts w:cs="Times New Roman"/>
          <w:color w:val="0000FF"/>
        </w:rPr>
      </w:pPr>
      <w:r>
        <w:rPr>
          <w:rFonts w:cs="Times New Roman"/>
        </w:rPr>
        <w:t>评价区未记录有国家级重点保护野生哺乳类分布，记录有安徽省二级保护野生哺乳类1种，为黄鼬（</w:t>
      </w:r>
      <w:r>
        <w:rPr>
          <w:rFonts w:cs="Times New Roman"/>
          <w:i/>
          <w:iCs/>
        </w:rPr>
        <w:t>Mustela sibirica</w:t>
      </w:r>
      <w:r>
        <w:rPr>
          <w:rFonts w:cs="Times New Roman"/>
        </w:rPr>
        <w:t>），无国家级重点保护哺乳类分布</w:t>
      </w:r>
      <w:r>
        <w:rPr>
          <w:rFonts w:cs="Times New Roman"/>
          <w:color w:val="0000FF"/>
        </w:rPr>
        <w:t>。</w:t>
      </w:r>
    </w:p>
    <w:p w14:paraId="5EF27066">
      <w:pPr>
        <w:ind w:firstLine="480"/>
        <w:rPr>
          <w:rFonts w:cs="Times New Roman"/>
        </w:rPr>
      </w:pPr>
      <w:r>
        <w:rPr>
          <w:rFonts w:cs="Times New Roman"/>
        </w:rPr>
        <w:t>啮齿目是评价区哺乳类动物群落中的优势类群，主要是各种鼠类，代表性种类有</w:t>
      </w:r>
      <w:r>
        <w:rPr>
          <w:rFonts w:cs="Times New Roman"/>
          <w:lang w:val="zh-CN"/>
        </w:rPr>
        <w:t>黄胸鼠</w:t>
      </w:r>
      <w:r>
        <w:rPr>
          <w:rFonts w:cs="Times New Roman"/>
        </w:rPr>
        <w:t>、</w:t>
      </w:r>
      <w:r>
        <w:rPr>
          <w:rFonts w:cs="Times New Roman"/>
          <w:lang w:val="zh-CN"/>
        </w:rPr>
        <w:t>褐家鼠</w:t>
      </w:r>
      <w:r>
        <w:rPr>
          <w:rFonts w:cs="Times New Roman"/>
        </w:rPr>
        <w:t>，多分布在村落和农耕地附近，与人类经济活动高度关联。</w:t>
      </w:r>
    </w:p>
    <w:p w14:paraId="0B94D81C">
      <w:pPr>
        <w:ind w:firstLine="480"/>
        <w:rPr>
          <w:rFonts w:cs="Times New Roman"/>
        </w:rPr>
      </w:pPr>
      <w:r>
        <w:rPr>
          <w:rFonts w:cs="Times New Roman"/>
        </w:rPr>
        <w:t>不同季节哺乳类组成差异不大。</w:t>
      </w:r>
    </w:p>
    <w:p w14:paraId="60D52976">
      <w:pPr>
        <w:ind w:firstLine="480" w:firstLineChars="200"/>
        <w:rPr>
          <w:rFonts w:cs="Times New Roman"/>
        </w:rPr>
      </w:pPr>
      <w:r>
        <w:rPr>
          <w:rFonts w:cs="Times New Roman"/>
        </w:rPr>
        <w:t>（2）区系特征</w:t>
      </w:r>
    </w:p>
    <w:p w14:paraId="2F7060F5">
      <w:pPr>
        <w:ind w:firstLine="480"/>
        <w:rPr>
          <w:rFonts w:cs="Times New Roman"/>
        </w:rPr>
      </w:pPr>
      <w:r>
        <w:rPr>
          <w:rFonts w:cs="Times New Roman"/>
        </w:rPr>
        <w:t>评级区哺乳类区系</w:t>
      </w:r>
      <w:r>
        <w:rPr>
          <w:rFonts w:hint="eastAsia" w:cs="Times New Roman"/>
        </w:rPr>
        <w:t>以</w:t>
      </w:r>
      <w:r>
        <w:rPr>
          <w:rFonts w:cs="Times New Roman"/>
        </w:rPr>
        <w:t>东洋界为主，古北界、广占比较小。</w:t>
      </w:r>
    </w:p>
    <w:p w14:paraId="26CCD722">
      <w:pPr>
        <w:ind w:firstLine="480" w:firstLineChars="200"/>
        <w:rPr>
          <w:rFonts w:cs="Times New Roman"/>
        </w:rPr>
      </w:pPr>
      <w:r>
        <w:rPr>
          <w:rFonts w:cs="Times New Roman"/>
        </w:rPr>
        <w:t>根据《中国动物地理》（张荣祖等著），在各大生物地理区中，相较于东洋界，古北界属于物种较不丰富的生物地理区。</w:t>
      </w:r>
    </w:p>
    <w:p w14:paraId="05B47305">
      <w:pPr>
        <w:ind w:firstLine="480" w:firstLineChars="200"/>
        <w:rPr>
          <w:rFonts w:cs="Times New Roman"/>
        </w:rPr>
      </w:pPr>
      <w:r>
        <w:rPr>
          <w:rFonts w:cs="Times New Roman"/>
        </w:rPr>
        <w:t>（3）哺乳类生境状况</w:t>
      </w:r>
    </w:p>
    <w:p w14:paraId="4265CD38">
      <w:pPr>
        <w:ind w:firstLine="480"/>
        <w:rPr>
          <w:rFonts w:cs="Times New Roman"/>
        </w:rPr>
      </w:pPr>
      <w:r>
        <w:rPr>
          <w:rFonts w:cs="Times New Roman"/>
        </w:rPr>
        <w:t>评价区地处淮南平原区，地势平坦，农耕发达，人口密集，不具备适合大型兽类栖息的生境，本项目区域多为灌丛。本项目生态影响评价区的生境类型以灌丛，农田为主，没有大面积森林分布，哺乳类适宜栖息地的分布面积较小，评级区没有国家重点保护野生哺乳类分布</w:t>
      </w:r>
      <w:r>
        <w:rPr>
          <w:rFonts w:cs="Times New Roman"/>
          <w:color w:val="0000FF"/>
        </w:rPr>
        <w:t>。</w:t>
      </w:r>
    </w:p>
    <w:p w14:paraId="7E9EB539">
      <w:pPr>
        <w:pStyle w:val="29"/>
        <w:bidi w:val="0"/>
      </w:pPr>
      <w:r>
        <w:t>表</w:t>
      </w:r>
      <w:r>
        <w:rPr>
          <w:rFonts w:hint="eastAsia"/>
          <w:lang w:eastAsia="zh-CN"/>
        </w:rPr>
        <w:t>4.3</w:t>
      </w:r>
      <w:r>
        <w:t>-4  评价区哺乳动物名录</w:t>
      </w:r>
    </w:p>
    <w:tbl>
      <w:tblPr>
        <w:tblStyle w:val="16"/>
        <w:tblW w:w="4996"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229"/>
        <w:gridCol w:w="1887"/>
        <w:gridCol w:w="1436"/>
        <w:gridCol w:w="2197"/>
        <w:gridCol w:w="778"/>
        <w:gridCol w:w="753"/>
      </w:tblGrid>
      <w:tr w14:paraId="3F0C56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tblHeader/>
          <w:jc w:val="center"/>
        </w:trPr>
        <w:tc>
          <w:tcPr>
            <w:tcW w:w="1200" w:type="pct"/>
            <w:vAlign w:val="center"/>
          </w:tcPr>
          <w:p w14:paraId="71B5DBA9">
            <w:pPr>
              <w:pStyle w:val="28"/>
              <w:bidi w:val="0"/>
            </w:pPr>
            <w:r>
              <w:t>目</w:t>
            </w:r>
          </w:p>
        </w:tc>
        <w:tc>
          <w:tcPr>
            <w:tcW w:w="1016" w:type="pct"/>
            <w:vAlign w:val="center"/>
          </w:tcPr>
          <w:p w14:paraId="63E4A910">
            <w:pPr>
              <w:pStyle w:val="28"/>
              <w:bidi w:val="0"/>
            </w:pPr>
            <w:r>
              <w:t>科</w:t>
            </w:r>
          </w:p>
        </w:tc>
        <w:tc>
          <w:tcPr>
            <w:tcW w:w="773" w:type="pct"/>
            <w:vAlign w:val="center"/>
          </w:tcPr>
          <w:p w14:paraId="46833985">
            <w:pPr>
              <w:pStyle w:val="28"/>
              <w:bidi w:val="0"/>
            </w:pPr>
            <w:r>
              <w:t>中文名</w:t>
            </w:r>
          </w:p>
        </w:tc>
        <w:tc>
          <w:tcPr>
            <w:tcW w:w="1183" w:type="pct"/>
            <w:vAlign w:val="center"/>
          </w:tcPr>
          <w:p w14:paraId="2288CAEB">
            <w:pPr>
              <w:pStyle w:val="28"/>
              <w:bidi w:val="0"/>
            </w:pPr>
            <w:r>
              <w:t>学名</w:t>
            </w:r>
          </w:p>
        </w:tc>
        <w:tc>
          <w:tcPr>
            <w:tcW w:w="419" w:type="pct"/>
            <w:vAlign w:val="center"/>
          </w:tcPr>
          <w:p w14:paraId="47D2A104">
            <w:pPr>
              <w:pStyle w:val="28"/>
              <w:bidi w:val="0"/>
            </w:pPr>
            <w:r>
              <w:t>保护级别</w:t>
            </w:r>
          </w:p>
        </w:tc>
        <w:tc>
          <w:tcPr>
            <w:tcW w:w="405" w:type="pct"/>
            <w:vAlign w:val="center"/>
          </w:tcPr>
          <w:p w14:paraId="25A683C1">
            <w:pPr>
              <w:pStyle w:val="28"/>
              <w:bidi w:val="0"/>
            </w:pPr>
            <w:r>
              <w:t>调查情况</w:t>
            </w:r>
          </w:p>
        </w:tc>
      </w:tr>
      <w:tr w14:paraId="10B26D3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1200" w:type="pct"/>
            <w:vAlign w:val="center"/>
          </w:tcPr>
          <w:p w14:paraId="544A0067">
            <w:pPr>
              <w:pStyle w:val="28"/>
              <w:bidi w:val="0"/>
            </w:pPr>
            <w:r>
              <w:t>一、食虫目</w:t>
            </w:r>
          </w:p>
          <w:p w14:paraId="6F183CA3">
            <w:pPr>
              <w:pStyle w:val="28"/>
              <w:bidi w:val="0"/>
            </w:pPr>
            <w:r>
              <w:t>Insectivora</w:t>
            </w:r>
          </w:p>
        </w:tc>
        <w:tc>
          <w:tcPr>
            <w:tcW w:w="1016" w:type="pct"/>
            <w:vAlign w:val="center"/>
          </w:tcPr>
          <w:p w14:paraId="5677606C">
            <w:pPr>
              <w:pStyle w:val="28"/>
              <w:bidi w:val="0"/>
            </w:pPr>
            <w:r>
              <w:t>(1)刺猬科</w:t>
            </w:r>
          </w:p>
          <w:p w14:paraId="4533ED45">
            <w:pPr>
              <w:pStyle w:val="28"/>
              <w:bidi w:val="0"/>
            </w:pPr>
            <w:r>
              <w:t>Einaceus</w:t>
            </w:r>
          </w:p>
        </w:tc>
        <w:tc>
          <w:tcPr>
            <w:tcW w:w="773" w:type="pct"/>
            <w:vAlign w:val="center"/>
          </w:tcPr>
          <w:p w14:paraId="4AD25B71">
            <w:pPr>
              <w:pStyle w:val="28"/>
              <w:bidi w:val="0"/>
            </w:pPr>
            <w:r>
              <w:t>1.北方刺猬</w:t>
            </w:r>
          </w:p>
        </w:tc>
        <w:tc>
          <w:tcPr>
            <w:tcW w:w="1183" w:type="pct"/>
            <w:vAlign w:val="center"/>
          </w:tcPr>
          <w:p w14:paraId="2F4B2A9A">
            <w:pPr>
              <w:pStyle w:val="28"/>
              <w:bidi w:val="0"/>
              <w:rPr>
                <w:i/>
                <w:iCs/>
              </w:rPr>
            </w:pPr>
            <w:r>
              <w:rPr>
                <w:i/>
                <w:iCs/>
              </w:rPr>
              <w:t>Einaceus europaeus</w:t>
            </w:r>
          </w:p>
        </w:tc>
        <w:tc>
          <w:tcPr>
            <w:tcW w:w="419" w:type="pct"/>
            <w:vAlign w:val="center"/>
          </w:tcPr>
          <w:p w14:paraId="2ADEF082">
            <w:pPr>
              <w:pStyle w:val="28"/>
              <w:bidi w:val="0"/>
            </w:pPr>
          </w:p>
        </w:tc>
        <w:tc>
          <w:tcPr>
            <w:tcW w:w="405" w:type="pct"/>
            <w:vAlign w:val="center"/>
          </w:tcPr>
          <w:p w14:paraId="18A79BBA">
            <w:pPr>
              <w:pStyle w:val="28"/>
              <w:bidi w:val="0"/>
            </w:pPr>
          </w:p>
        </w:tc>
      </w:tr>
      <w:tr w14:paraId="2C6068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1200" w:type="pct"/>
            <w:vMerge w:val="restart"/>
            <w:vAlign w:val="center"/>
          </w:tcPr>
          <w:p w14:paraId="52484749">
            <w:pPr>
              <w:pStyle w:val="28"/>
              <w:bidi w:val="0"/>
            </w:pPr>
            <w:r>
              <w:t>二、翼手目</w:t>
            </w:r>
          </w:p>
          <w:p w14:paraId="02F502A5">
            <w:pPr>
              <w:pStyle w:val="28"/>
              <w:bidi w:val="0"/>
            </w:pPr>
            <w:r>
              <w:t>Chiroptera</w:t>
            </w:r>
          </w:p>
        </w:tc>
        <w:tc>
          <w:tcPr>
            <w:tcW w:w="1016" w:type="pct"/>
            <w:vMerge w:val="restart"/>
            <w:vAlign w:val="center"/>
          </w:tcPr>
          <w:p w14:paraId="3A889948">
            <w:pPr>
              <w:pStyle w:val="28"/>
              <w:bidi w:val="0"/>
            </w:pPr>
            <w:r>
              <w:t>(2)蝙蝠科Vespertilionidae</w:t>
            </w:r>
          </w:p>
        </w:tc>
        <w:tc>
          <w:tcPr>
            <w:tcW w:w="773" w:type="pct"/>
            <w:vAlign w:val="center"/>
          </w:tcPr>
          <w:p w14:paraId="7A631016">
            <w:pPr>
              <w:pStyle w:val="28"/>
              <w:bidi w:val="0"/>
            </w:pPr>
            <w:r>
              <w:t>2.普通伏翼</w:t>
            </w:r>
          </w:p>
        </w:tc>
        <w:tc>
          <w:tcPr>
            <w:tcW w:w="1183" w:type="pct"/>
            <w:vAlign w:val="center"/>
          </w:tcPr>
          <w:p w14:paraId="13A6DD8D">
            <w:pPr>
              <w:pStyle w:val="28"/>
              <w:bidi w:val="0"/>
              <w:rPr>
                <w:i/>
                <w:iCs/>
              </w:rPr>
            </w:pPr>
            <w:r>
              <w:rPr>
                <w:i/>
                <w:iCs/>
              </w:rPr>
              <w:t>Pipistrellus abramus</w:t>
            </w:r>
          </w:p>
        </w:tc>
        <w:tc>
          <w:tcPr>
            <w:tcW w:w="419" w:type="pct"/>
            <w:vAlign w:val="center"/>
          </w:tcPr>
          <w:p w14:paraId="2AACE508">
            <w:pPr>
              <w:pStyle w:val="28"/>
              <w:bidi w:val="0"/>
            </w:pPr>
          </w:p>
        </w:tc>
        <w:tc>
          <w:tcPr>
            <w:tcW w:w="405" w:type="pct"/>
            <w:vAlign w:val="center"/>
          </w:tcPr>
          <w:p w14:paraId="7892B7BF">
            <w:pPr>
              <w:pStyle w:val="28"/>
              <w:bidi w:val="0"/>
            </w:pPr>
          </w:p>
        </w:tc>
      </w:tr>
      <w:tr w14:paraId="21A2AF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1200" w:type="pct"/>
            <w:vMerge w:val="continue"/>
            <w:vAlign w:val="center"/>
          </w:tcPr>
          <w:p w14:paraId="764B257A">
            <w:pPr>
              <w:pStyle w:val="28"/>
              <w:bidi w:val="0"/>
            </w:pPr>
          </w:p>
        </w:tc>
        <w:tc>
          <w:tcPr>
            <w:tcW w:w="1016" w:type="pct"/>
            <w:vMerge w:val="continue"/>
            <w:vAlign w:val="center"/>
          </w:tcPr>
          <w:p w14:paraId="7AFAB386">
            <w:pPr>
              <w:pStyle w:val="28"/>
              <w:bidi w:val="0"/>
            </w:pPr>
          </w:p>
        </w:tc>
        <w:tc>
          <w:tcPr>
            <w:tcW w:w="773" w:type="pct"/>
            <w:vAlign w:val="center"/>
          </w:tcPr>
          <w:p w14:paraId="55E1B0E3">
            <w:pPr>
              <w:pStyle w:val="28"/>
              <w:bidi w:val="0"/>
            </w:pPr>
            <w:r>
              <w:t>3.大棕蝠</w:t>
            </w:r>
          </w:p>
        </w:tc>
        <w:tc>
          <w:tcPr>
            <w:tcW w:w="1183" w:type="pct"/>
            <w:vAlign w:val="center"/>
          </w:tcPr>
          <w:p w14:paraId="2F2A2CFF">
            <w:pPr>
              <w:pStyle w:val="28"/>
              <w:bidi w:val="0"/>
              <w:rPr>
                <w:i/>
                <w:iCs/>
              </w:rPr>
            </w:pPr>
            <w:r>
              <w:rPr>
                <w:i/>
                <w:iCs/>
              </w:rPr>
              <w:t>Eptesicus serotinus Schreber</w:t>
            </w:r>
          </w:p>
        </w:tc>
        <w:tc>
          <w:tcPr>
            <w:tcW w:w="419" w:type="pct"/>
            <w:vAlign w:val="center"/>
          </w:tcPr>
          <w:p w14:paraId="750DA87C">
            <w:pPr>
              <w:pStyle w:val="28"/>
              <w:bidi w:val="0"/>
            </w:pPr>
          </w:p>
        </w:tc>
        <w:tc>
          <w:tcPr>
            <w:tcW w:w="405" w:type="pct"/>
            <w:vAlign w:val="center"/>
          </w:tcPr>
          <w:p w14:paraId="3EA7BE4E">
            <w:pPr>
              <w:pStyle w:val="28"/>
              <w:bidi w:val="0"/>
            </w:pPr>
          </w:p>
        </w:tc>
      </w:tr>
      <w:tr w14:paraId="34C867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1200" w:type="pct"/>
            <w:vMerge w:val="restart"/>
            <w:vAlign w:val="center"/>
          </w:tcPr>
          <w:p w14:paraId="414DA7A3">
            <w:pPr>
              <w:pStyle w:val="28"/>
              <w:bidi w:val="0"/>
            </w:pPr>
            <w:r>
              <w:t>三、啮齿目</w:t>
            </w:r>
          </w:p>
          <w:p w14:paraId="013D1ABD">
            <w:pPr>
              <w:pStyle w:val="28"/>
              <w:bidi w:val="0"/>
            </w:pPr>
            <w:r>
              <w:t>Rodentia</w:t>
            </w:r>
          </w:p>
        </w:tc>
        <w:tc>
          <w:tcPr>
            <w:tcW w:w="1016" w:type="pct"/>
            <w:vAlign w:val="center"/>
          </w:tcPr>
          <w:p w14:paraId="05A8045C">
            <w:pPr>
              <w:pStyle w:val="28"/>
              <w:bidi w:val="0"/>
            </w:pPr>
            <w:r>
              <w:t>(3)仓鼠科</w:t>
            </w:r>
          </w:p>
          <w:p w14:paraId="3B44DF73">
            <w:pPr>
              <w:pStyle w:val="28"/>
              <w:bidi w:val="0"/>
            </w:pPr>
            <w:r>
              <w:t>Circetidae</w:t>
            </w:r>
          </w:p>
        </w:tc>
        <w:tc>
          <w:tcPr>
            <w:tcW w:w="773" w:type="pct"/>
            <w:vAlign w:val="center"/>
          </w:tcPr>
          <w:p w14:paraId="19DD30B8">
            <w:pPr>
              <w:pStyle w:val="28"/>
              <w:bidi w:val="0"/>
            </w:pPr>
            <w:r>
              <w:t>4.东方田鼠</w:t>
            </w:r>
          </w:p>
        </w:tc>
        <w:tc>
          <w:tcPr>
            <w:tcW w:w="1183" w:type="pct"/>
            <w:vAlign w:val="center"/>
          </w:tcPr>
          <w:p w14:paraId="12E85A03">
            <w:pPr>
              <w:pStyle w:val="28"/>
              <w:bidi w:val="0"/>
              <w:rPr>
                <w:i/>
                <w:iCs/>
              </w:rPr>
            </w:pPr>
            <w:r>
              <w:rPr>
                <w:i/>
                <w:iCs/>
              </w:rPr>
              <w:t>Microtus fortis</w:t>
            </w:r>
          </w:p>
        </w:tc>
        <w:tc>
          <w:tcPr>
            <w:tcW w:w="419" w:type="pct"/>
            <w:vAlign w:val="center"/>
          </w:tcPr>
          <w:p w14:paraId="0E91AAD5">
            <w:pPr>
              <w:pStyle w:val="28"/>
              <w:bidi w:val="0"/>
            </w:pPr>
          </w:p>
        </w:tc>
        <w:tc>
          <w:tcPr>
            <w:tcW w:w="405" w:type="pct"/>
            <w:vAlign w:val="center"/>
          </w:tcPr>
          <w:p w14:paraId="4A43519F">
            <w:pPr>
              <w:pStyle w:val="28"/>
              <w:bidi w:val="0"/>
            </w:pPr>
          </w:p>
        </w:tc>
      </w:tr>
      <w:tr w14:paraId="62064A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1200" w:type="pct"/>
            <w:vMerge w:val="continue"/>
            <w:vAlign w:val="center"/>
          </w:tcPr>
          <w:p w14:paraId="5BF64100">
            <w:pPr>
              <w:pStyle w:val="28"/>
              <w:bidi w:val="0"/>
            </w:pPr>
          </w:p>
        </w:tc>
        <w:tc>
          <w:tcPr>
            <w:tcW w:w="1016" w:type="pct"/>
            <w:vMerge w:val="restart"/>
            <w:vAlign w:val="center"/>
          </w:tcPr>
          <w:p w14:paraId="432E8D34">
            <w:pPr>
              <w:pStyle w:val="28"/>
              <w:bidi w:val="0"/>
            </w:pPr>
            <w:r>
              <w:t>(4)鼠科</w:t>
            </w:r>
          </w:p>
          <w:p w14:paraId="798B2CF9">
            <w:pPr>
              <w:pStyle w:val="28"/>
              <w:bidi w:val="0"/>
            </w:pPr>
            <w:r>
              <w:t>Muridae</w:t>
            </w:r>
          </w:p>
        </w:tc>
        <w:tc>
          <w:tcPr>
            <w:tcW w:w="773" w:type="pct"/>
            <w:vAlign w:val="center"/>
          </w:tcPr>
          <w:p w14:paraId="0EA0785E">
            <w:pPr>
              <w:pStyle w:val="28"/>
              <w:bidi w:val="0"/>
            </w:pPr>
            <w:r>
              <w:t>5.小家鼠</w:t>
            </w:r>
          </w:p>
        </w:tc>
        <w:tc>
          <w:tcPr>
            <w:tcW w:w="1183" w:type="pct"/>
            <w:vAlign w:val="center"/>
          </w:tcPr>
          <w:p w14:paraId="573FDB5E">
            <w:pPr>
              <w:pStyle w:val="28"/>
              <w:bidi w:val="0"/>
              <w:rPr>
                <w:i/>
                <w:iCs/>
              </w:rPr>
            </w:pPr>
            <w:r>
              <w:rPr>
                <w:i/>
                <w:iCs/>
              </w:rPr>
              <w:t>Mus musculus</w:t>
            </w:r>
          </w:p>
        </w:tc>
        <w:tc>
          <w:tcPr>
            <w:tcW w:w="419" w:type="pct"/>
            <w:vAlign w:val="center"/>
          </w:tcPr>
          <w:p w14:paraId="68A856E8">
            <w:pPr>
              <w:pStyle w:val="28"/>
              <w:bidi w:val="0"/>
            </w:pPr>
          </w:p>
        </w:tc>
        <w:tc>
          <w:tcPr>
            <w:tcW w:w="405" w:type="pct"/>
            <w:vAlign w:val="center"/>
          </w:tcPr>
          <w:p w14:paraId="249651E7">
            <w:pPr>
              <w:pStyle w:val="28"/>
              <w:bidi w:val="0"/>
            </w:pPr>
          </w:p>
        </w:tc>
      </w:tr>
      <w:tr w14:paraId="6B4B72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1200" w:type="pct"/>
            <w:vMerge w:val="continue"/>
            <w:vAlign w:val="center"/>
          </w:tcPr>
          <w:p w14:paraId="090D0E21">
            <w:pPr>
              <w:pStyle w:val="28"/>
              <w:bidi w:val="0"/>
            </w:pPr>
          </w:p>
        </w:tc>
        <w:tc>
          <w:tcPr>
            <w:tcW w:w="1016" w:type="pct"/>
            <w:vMerge w:val="continue"/>
            <w:vAlign w:val="center"/>
          </w:tcPr>
          <w:p w14:paraId="365C1AA9">
            <w:pPr>
              <w:pStyle w:val="28"/>
              <w:bidi w:val="0"/>
            </w:pPr>
          </w:p>
        </w:tc>
        <w:tc>
          <w:tcPr>
            <w:tcW w:w="773" w:type="pct"/>
            <w:vAlign w:val="center"/>
          </w:tcPr>
          <w:p w14:paraId="4D980B14">
            <w:pPr>
              <w:pStyle w:val="28"/>
              <w:bidi w:val="0"/>
            </w:pPr>
            <w:r>
              <w:t>6.</w:t>
            </w:r>
            <w:r>
              <w:rPr>
                <w:lang w:val="zh-CN"/>
              </w:rPr>
              <w:t>黄胸鼠</w:t>
            </w:r>
          </w:p>
        </w:tc>
        <w:tc>
          <w:tcPr>
            <w:tcW w:w="1183" w:type="pct"/>
            <w:vAlign w:val="center"/>
          </w:tcPr>
          <w:p w14:paraId="00702CB2">
            <w:pPr>
              <w:pStyle w:val="28"/>
              <w:bidi w:val="0"/>
              <w:rPr>
                <w:i/>
                <w:iCs/>
              </w:rPr>
            </w:pPr>
            <w:r>
              <w:rPr>
                <w:i/>
                <w:iCs/>
              </w:rPr>
              <w:t>Rattus tanezumi</w:t>
            </w:r>
          </w:p>
        </w:tc>
        <w:tc>
          <w:tcPr>
            <w:tcW w:w="419" w:type="pct"/>
            <w:vAlign w:val="center"/>
          </w:tcPr>
          <w:p w14:paraId="168D1810">
            <w:pPr>
              <w:pStyle w:val="28"/>
              <w:bidi w:val="0"/>
            </w:pPr>
          </w:p>
        </w:tc>
        <w:tc>
          <w:tcPr>
            <w:tcW w:w="405" w:type="pct"/>
            <w:vAlign w:val="center"/>
          </w:tcPr>
          <w:p w14:paraId="7A614786">
            <w:pPr>
              <w:pStyle w:val="28"/>
              <w:bidi w:val="0"/>
            </w:pPr>
          </w:p>
        </w:tc>
      </w:tr>
      <w:tr w14:paraId="21E9A4B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1200" w:type="pct"/>
            <w:vMerge w:val="continue"/>
            <w:vAlign w:val="center"/>
          </w:tcPr>
          <w:p w14:paraId="1F7EE9CA">
            <w:pPr>
              <w:pStyle w:val="28"/>
              <w:bidi w:val="0"/>
            </w:pPr>
          </w:p>
        </w:tc>
        <w:tc>
          <w:tcPr>
            <w:tcW w:w="1016" w:type="pct"/>
            <w:vMerge w:val="continue"/>
            <w:vAlign w:val="center"/>
          </w:tcPr>
          <w:p w14:paraId="2CCEEF01">
            <w:pPr>
              <w:pStyle w:val="28"/>
              <w:bidi w:val="0"/>
            </w:pPr>
          </w:p>
        </w:tc>
        <w:tc>
          <w:tcPr>
            <w:tcW w:w="773" w:type="pct"/>
            <w:vAlign w:val="center"/>
          </w:tcPr>
          <w:p w14:paraId="4F1AC3AF">
            <w:pPr>
              <w:pStyle w:val="28"/>
              <w:bidi w:val="0"/>
            </w:pPr>
            <w:r>
              <w:t>7.</w:t>
            </w:r>
            <w:r>
              <w:rPr>
                <w:lang w:val="zh-CN"/>
              </w:rPr>
              <w:t>褐家鼠</w:t>
            </w:r>
          </w:p>
        </w:tc>
        <w:tc>
          <w:tcPr>
            <w:tcW w:w="1183" w:type="pct"/>
            <w:vAlign w:val="center"/>
          </w:tcPr>
          <w:p w14:paraId="4EC21C1C">
            <w:pPr>
              <w:pStyle w:val="28"/>
              <w:bidi w:val="0"/>
              <w:rPr>
                <w:i/>
                <w:iCs/>
              </w:rPr>
            </w:pPr>
            <w:r>
              <w:rPr>
                <w:i/>
                <w:iCs/>
              </w:rPr>
              <w:t>Rattus norvegicus</w:t>
            </w:r>
          </w:p>
        </w:tc>
        <w:tc>
          <w:tcPr>
            <w:tcW w:w="419" w:type="pct"/>
            <w:vAlign w:val="center"/>
          </w:tcPr>
          <w:p w14:paraId="0908DF79">
            <w:pPr>
              <w:pStyle w:val="28"/>
              <w:bidi w:val="0"/>
            </w:pPr>
          </w:p>
        </w:tc>
        <w:tc>
          <w:tcPr>
            <w:tcW w:w="405" w:type="pct"/>
            <w:vAlign w:val="center"/>
          </w:tcPr>
          <w:p w14:paraId="2CD35B19">
            <w:pPr>
              <w:pStyle w:val="28"/>
              <w:bidi w:val="0"/>
            </w:pPr>
          </w:p>
        </w:tc>
      </w:tr>
      <w:tr w14:paraId="5E5204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1200" w:type="pct"/>
            <w:vMerge w:val="continue"/>
            <w:vAlign w:val="center"/>
          </w:tcPr>
          <w:p w14:paraId="506DC09E">
            <w:pPr>
              <w:pStyle w:val="28"/>
              <w:bidi w:val="0"/>
            </w:pPr>
          </w:p>
        </w:tc>
        <w:tc>
          <w:tcPr>
            <w:tcW w:w="1016" w:type="pct"/>
            <w:vMerge w:val="continue"/>
            <w:vAlign w:val="center"/>
          </w:tcPr>
          <w:p w14:paraId="6147B776">
            <w:pPr>
              <w:pStyle w:val="28"/>
              <w:bidi w:val="0"/>
            </w:pPr>
          </w:p>
        </w:tc>
        <w:tc>
          <w:tcPr>
            <w:tcW w:w="773" w:type="pct"/>
            <w:vAlign w:val="center"/>
          </w:tcPr>
          <w:p w14:paraId="08EFF8FD">
            <w:pPr>
              <w:pStyle w:val="28"/>
              <w:bidi w:val="0"/>
            </w:pPr>
            <w:r>
              <w:t>8.</w:t>
            </w:r>
            <w:r>
              <w:rPr>
                <w:lang w:val="zh-CN"/>
              </w:rPr>
              <w:t>黑线姬鼠</w:t>
            </w:r>
          </w:p>
        </w:tc>
        <w:tc>
          <w:tcPr>
            <w:tcW w:w="1183" w:type="pct"/>
            <w:vAlign w:val="center"/>
          </w:tcPr>
          <w:p w14:paraId="2A6C4A7C">
            <w:pPr>
              <w:pStyle w:val="28"/>
              <w:bidi w:val="0"/>
              <w:rPr>
                <w:i/>
                <w:iCs/>
              </w:rPr>
            </w:pPr>
            <w:r>
              <w:rPr>
                <w:i/>
                <w:iCs/>
              </w:rPr>
              <w:t>Apodemus agrarius</w:t>
            </w:r>
          </w:p>
        </w:tc>
        <w:tc>
          <w:tcPr>
            <w:tcW w:w="419" w:type="pct"/>
            <w:vAlign w:val="center"/>
          </w:tcPr>
          <w:p w14:paraId="691DFFDD">
            <w:pPr>
              <w:pStyle w:val="28"/>
              <w:bidi w:val="0"/>
            </w:pPr>
          </w:p>
        </w:tc>
        <w:tc>
          <w:tcPr>
            <w:tcW w:w="405" w:type="pct"/>
            <w:vAlign w:val="center"/>
          </w:tcPr>
          <w:p w14:paraId="1EA86F3B">
            <w:pPr>
              <w:pStyle w:val="28"/>
              <w:bidi w:val="0"/>
            </w:pPr>
          </w:p>
        </w:tc>
      </w:tr>
      <w:tr w14:paraId="066C60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1200" w:type="pct"/>
            <w:vAlign w:val="center"/>
          </w:tcPr>
          <w:p w14:paraId="2DE32471">
            <w:pPr>
              <w:pStyle w:val="28"/>
              <w:bidi w:val="0"/>
            </w:pPr>
            <w:r>
              <w:t>四、食肉目</w:t>
            </w:r>
          </w:p>
          <w:p w14:paraId="00DF0397">
            <w:pPr>
              <w:pStyle w:val="28"/>
              <w:bidi w:val="0"/>
            </w:pPr>
            <w:r>
              <w:t>Carnivora</w:t>
            </w:r>
          </w:p>
        </w:tc>
        <w:tc>
          <w:tcPr>
            <w:tcW w:w="1016" w:type="pct"/>
            <w:vAlign w:val="center"/>
          </w:tcPr>
          <w:p w14:paraId="61578749">
            <w:pPr>
              <w:pStyle w:val="28"/>
              <w:bidi w:val="0"/>
            </w:pPr>
            <w:r>
              <w:t>(5)鼬科</w:t>
            </w:r>
          </w:p>
          <w:p w14:paraId="6AAD799C">
            <w:pPr>
              <w:pStyle w:val="28"/>
              <w:bidi w:val="0"/>
            </w:pPr>
            <w:r>
              <w:t>mustelidae</w:t>
            </w:r>
          </w:p>
        </w:tc>
        <w:tc>
          <w:tcPr>
            <w:tcW w:w="773" w:type="pct"/>
            <w:vAlign w:val="center"/>
          </w:tcPr>
          <w:p w14:paraId="599BB287">
            <w:pPr>
              <w:pStyle w:val="28"/>
              <w:bidi w:val="0"/>
            </w:pPr>
            <w:r>
              <w:t>9.黄鼬</w:t>
            </w:r>
          </w:p>
        </w:tc>
        <w:tc>
          <w:tcPr>
            <w:tcW w:w="1183" w:type="pct"/>
            <w:vAlign w:val="center"/>
          </w:tcPr>
          <w:p w14:paraId="522DBBF0">
            <w:pPr>
              <w:pStyle w:val="28"/>
              <w:bidi w:val="0"/>
              <w:rPr>
                <w:i/>
                <w:iCs/>
              </w:rPr>
            </w:pPr>
            <w:r>
              <w:rPr>
                <w:i/>
                <w:iCs/>
              </w:rPr>
              <w:t>Mustela sibirica</w:t>
            </w:r>
          </w:p>
        </w:tc>
        <w:tc>
          <w:tcPr>
            <w:tcW w:w="419" w:type="pct"/>
            <w:vAlign w:val="center"/>
          </w:tcPr>
          <w:p w14:paraId="02339372">
            <w:pPr>
              <w:pStyle w:val="28"/>
              <w:bidi w:val="0"/>
            </w:pPr>
            <w:r>
              <w:t>省二</w:t>
            </w:r>
          </w:p>
        </w:tc>
        <w:tc>
          <w:tcPr>
            <w:tcW w:w="405" w:type="pct"/>
            <w:vAlign w:val="center"/>
          </w:tcPr>
          <w:p w14:paraId="590C8E47">
            <w:pPr>
              <w:pStyle w:val="28"/>
              <w:bidi w:val="0"/>
            </w:pPr>
          </w:p>
        </w:tc>
      </w:tr>
      <w:tr w14:paraId="5A7F9E6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1200" w:type="pct"/>
            <w:vAlign w:val="center"/>
          </w:tcPr>
          <w:p w14:paraId="15339688">
            <w:pPr>
              <w:pStyle w:val="28"/>
              <w:bidi w:val="0"/>
            </w:pPr>
            <w:r>
              <w:t>五、鲸偶蹄目</w:t>
            </w:r>
          </w:p>
          <w:p w14:paraId="4A870F06">
            <w:pPr>
              <w:pStyle w:val="28"/>
              <w:bidi w:val="0"/>
            </w:pPr>
            <w:r>
              <w:t>Cetartiodactyla</w:t>
            </w:r>
          </w:p>
        </w:tc>
        <w:tc>
          <w:tcPr>
            <w:tcW w:w="1016" w:type="pct"/>
            <w:vAlign w:val="center"/>
          </w:tcPr>
          <w:p w14:paraId="1C41A730">
            <w:pPr>
              <w:pStyle w:val="28"/>
              <w:bidi w:val="0"/>
            </w:pPr>
            <w:r>
              <w:t>(6)猪科</w:t>
            </w:r>
          </w:p>
          <w:p w14:paraId="74ABEE3D">
            <w:pPr>
              <w:pStyle w:val="28"/>
              <w:bidi w:val="0"/>
            </w:pPr>
            <w:r>
              <w:t>Suidae</w:t>
            </w:r>
          </w:p>
        </w:tc>
        <w:tc>
          <w:tcPr>
            <w:tcW w:w="773" w:type="pct"/>
            <w:vAlign w:val="center"/>
          </w:tcPr>
          <w:p w14:paraId="7EEB0D7B">
            <w:pPr>
              <w:pStyle w:val="28"/>
              <w:bidi w:val="0"/>
            </w:pPr>
            <w:r>
              <w:t>10.野猪</w:t>
            </w:r>
          </w:p>
        </w:tc>
        <w:tc>
          <w:tcPr>
            <w:tcW w:w="1183" w:type="pct"/>
            <w:vAlign w:val="center"/>
          </w:tcPr>
          <w:p w14:paraId="1A8F616B">
            <w:pPr>
              <w:pStyle w:val="28"/>
              <w:bidi w:val="0"/>
              <w:rPr>
                <w:i/>
                <w:iCs/>
              </w:rPr>
            </w:pPr>
            <w:r>
              <w:rPr>
                <w:i/>
                <w:iCs/>
              </w:rPr>
              <w:t>Sus scrofa</w:t>
            </w:r>
          </w:p>
        </w:tc>
        <w:tc>
          <w:tcPr>
            <w:tcW w:w="419" w:type="pct"/>
            <w:vAlign w:val="center"/>
          </w:tcPr>
          <w:p w14:paraId="16B65AC9">
            <w:pPr>
              <w:pStyle w:val="28"/>
              <w:bidi w:val="0"/>
            </w:pPr>
          </w:p>
        </w:tc>
        <w:tc>
          <w:tcPr>
            <w:tcW w:w="405" w:type="pct"/>
            <w:vAlign w:val="center"/>
          </w:tcPr>
          <w:p w14:paraId="5F6DDEED">
            <w:pPr>
              <w:pStyle w:val="28"/>
              <w:bidi w:val="0"/>
            </w:pPr>
          </w:p>
        </w:tc>
      </w:tr>
      <w:tr w14:paraId="4A8B4C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1200" w:type="pct"/>
            <w:vAlign w:val="center"/>
          </w:tcPr>
          <w:p w14:paraId="7FAAF3A6">
            <w:pPr>
              <w:pStyle w:val="28"/>
              <w:bidi w:val="0"/>
            </w:pPr>
            <w:r>
              <w:t>六、兔形目</w:t>
            </w:r>
          </w:p>
          <w:p w14:paraId="55DFC699">
            <w:pPr>
              <w:pStyle w:val="28"/>
              <w:bidi w:val="0"/>
            </w:pPr>
            <w:r>
              <w:t>Lagomorprla</w:t>
            </w:r>
          </w:p>
        </w:tc>
        <w:tc>
          <w:tcPr>
            <w:tcW w:w="1016" w:type="pct"/>
            <w:vAlign w:val="center"/>
          </w:tcPr>
          <w:p w14:paraId="04BB3474">
            <w:pPr>
              <w:pStyle w:val="28"/>
              <w:bidi w:val="0"/>
            </w:pPr>
            <w:r>
              <w:t>(7)兔科</w:t>
            </w:r>
          </w:p>
          <w:p w14:paraId="71580E2D">
            <w:pPr>
              <w:pStyle w:val="28"/>
              <w:bidi w:val="0"/>
            </w:pPr>
            <w:r>
              <w:t>Leporidae</w:t>
            </w:r>
          </w:p>
        </w:tc>
        <w:tc>
          <w:tcPr>
            <w:tcW w:w="773" w:type="pct"/>
            <w:vAlign w:val="center"/>
          </w:tcPr>
          <w:p w14:paraId="794947F9">
            <w:pPr>
              <w:pStyle w:val="28"/>
              <w:bidi w:val="0"/>
            </w:pPr>
            <w:r>
              <w:t>11.草兔</w:t>
            </w:r>
          </w:p>
        </w:tc>
        <w:tc>
          <w:tcPr>
            <w:tcW w:w="1183" w:type="pct"/>
            <w:vAlign w:val="center"/>
          </w:tcPr>
          <w:p w14:paraId="7DEA29AB">
            <w:pPr>
              <w:pStyle w:val="28"/>
              <w:bidi w:val="0"/>
              <w:rPr>
                <w:i/>
                <w:iCs/>
              </w:rPr>
            </w:pPr>
            <w:r>
              <w:rPr>
                <w:i/>
                <w:iCs/>
              </w:rPr>
              <w:t>Lepus capensis</w:t>
            </w:r>
          </w:p>
        </w:tc>
        <w:tc>
          <w:tcPr>
            <w:tcW w:w="419" w:type="pct"/>
            <w:vAlign w:val="center"/>
          </w:tcPr>
          <w:p w14:paraId="22993A80">
            <w:pPr>
              <w:pStyle w:val="28"/>
              <w:bidi w:val="0"/>
            </w:pPr>
          </w:p>
        </w:tc>
        <w:tc>
          <w:tcPr>
            <w:tcW w:w="405" w:type="pct"/>
            <w:vAlign w:val="center"/>
          </w:tcPr>
          <w:p w14:paraId="69DF5DEC">
            <w:pPr>
              <w:pStyle w:val="28"/>
              <w:bidi w:val="0"/>
            </w:pPr>
          </w:p>
        </w:tc>
      </w:tr>
    </w:tbl>
    <w:p w14:paraId="2285B566">
      <w:pPr>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cs="Times New Roman"/>
          <w:sz w:val="18"/>
          <w:szCs w:val="18"/>
        </w:rPr>
      </w:pPr>
      <w:r>
        <w:rPr>
          <w:rFonts w:cs="Times New Roman"/>
          <w:sz w:val="18"/>
          <w:szCs w:val="18"/>
        </w:rPr>
        <w:t>注：</w:t>
      </w:r>
      <w:r>
        <w:rPr>
          <w:rFonts w:hint="eastAsia" w:cs="Times New Roman"/>
          <w:sz w:val="18"/>
          <w:szCs w:val="18"/>
        </w:rPr>
        <w:t>“</w:t>
      </w:r>
      <w:r>
        <w:rPr>
          <w:rFonts w:cs="Times New Roman"/>
          <w:sz w:val="18"/>
          <w:szCs w:val="18"/>
        </w:rPr>
        <w:t>省Ⅱ</w:t>
      </w:r>
      <w:r>
        <w:rPr>
          <w:rFonts w:hint="eastAsia" w:cs="Times New Roman"/>
          <w:sz w:val="18"/>
          <w:szCs w:val="18"/>
        </w:rPr>
        <w:t>”</w:t>
      </w:r>
      <w:r>
        <w:rPr>
          <w:rFonts w:cs="Times New Roman"/>
          <w:sz w:val="18"/>
          <w:szCs w:val="18"/>
        </w:rPr>
        <w:t>指安徽省二级重点保护野生动物。</w:t>
      </w:r>
    </w:p>
    <w:p w14:paraId="4398840D">
      <w:pPr>
        <w:spacing w:line="240" w:lineRule="auto"/>
        <w:rPr>
          <w:rFonts w:cs="Times New Roman"/>
          <w:sz w:val="18"/>
          <w:szCs w:val="18"/>
        </w:rPr>
      </w:pPr>
    </w:p>
    <w:p w14:paraId="36F2EC82">
      <w:pPr>
        <w:pStyle w:val="5"/>
      </w:pPr>
      <w:r>
        <w:t>4.3.</w:t>
      </w:r>
      <w:r>
        <w:rPr>
          <w:rFonts w:hint="eastAsia"/>
        </w:rPr>
        <w:t>2</w:t>
      </w:r>
      <w:r>
        <w:t>.4鸟类</w:t>
      </w:r>
    </w:p>
    <w:p w14:paraId="67BACC05">
      <w:pPr>
        <w:rPr>
          <w:rFonts w:cs="Times New Roman"/>
        </w:rPr>
      </w:pPr>
      <w:r>
        <w:rPr>
          <w:rFonts w:cs="Times New Roman"/>
        </w:rPr>
        <w:t>（1）物种组成</w:t>
      </w:r>
    </w:p>
    <w:p w14:paraId="06DDE6E8">
      <w:pPr>
        <w:adjustRightInd w:val="0"/>
        <w:ind w:firstLine="480" w:firstLineChars="200"/>
        <w:rPr>
          <w:rFonts w:cs="Times New Roman"/>
        </w:rPr>
      </w:pPr>
      <w:r>
        <w:rPr>
          <w:rFonts w:cs="Times New Roman"/>
        </w:rPr>
        <w:t>通过现场调查和资料查询，本区域共记载有鸟类13目33科57种，</w:t>
      </w:r>
      <w:bookmarkStart w:id="56" w:name="_Hlk22395472"/>
      <w:r>
        <w:rPr>
          <w:rFonts w:cs="Times New Roman"/>
        </w:rPr>
        <w:t>其中，雀形目种类最多，为39种，占总种类的</w:t>
      </w:r>
      <w:bookmarkEnd w:id="56"/>
      <w:r>
        <w:rPr>
          <w:rFonts w:cs="Times New Roman"/>
        </w:rPr>
        <w:t>68.42%，为评价范围鸟类群落中的优势类群。本区域记录有国家级重点保护鸟类2种：红隼、画眉，安徽省级重点保护鸟类16种，其中一级8种、二级8种。</w:t>
      </w:r>
    </w:p>
    <w:p w14:paraId="6FC4A2BB">
      <w:pPr>
        <w:ind w:firstLine="480"/>
        <w:rPr>
          <w:rFonts w:cs="Times New Roman"/>
        </w:rPr>
      </w:pPr>
      <w:r>
        <w:rPr>
          <w:rFonts w:hint="eastAsia" w:cs="Times New Roman"/>
        </w:rPr>
        <w:t>本次调查日期属于鸟类的繁殖期，符合《环境影响评价技术导则 生态影响》（HJ 19-2022）中关于陆生生态二级评价现状调查的时期要求。</w:t>
      </w:r>
    </w:p>
    <w:p w14:paraId="4C080C27">
      <w:pPr>
        <w:ind w:firstLine="480"/>
        <w:rPr>
          <w:rFonts w:cs="Times New Roman"/>
          <w:color w:val="0000FF"/>
        </w:rPr>
      </w:pPr>
      <w:r>
        <w:rPr>
          <w:rFonts w:hint="eastAsia" w:cs="Times New Roman"/>
        </w:rPr>
        <w:t>实地调查中，共记录到鸟类37种，安徽省一级保护鸟类2种：灰喜鹊，噪鹃，安徽省二级保护鸟类6种。</w:t>
      </w:r>
    </w:p>
    <w:p w14:paraId="3F5C513A">
      <w:pPr>
        <w:ind w:firstLine="480"/>
        <w:rPr>
          <w:rFonts w:cs="Times New Roman"/>
        </w:rPr>
      </w:pPr>
      <w:r>
        <w:rPr>
          <w:rFonts w:hint="eastAsia" w:cs="Times New Roman"/>
        </w:rPr>
        <w:t>评价</w:t>
      </w:r>
      <w:r>
        <w:rPr>
          <w:rFonts w:cs="Times New Roman"/>
        </w:rPr>
        <w:t>区鸟类名录见表</w:t>
      </w:r>
      <w:r>
        <w:rPr>
          <w:rFonts w:hint="eastAsia" w:cs="Times New Roman"/>
          <w:lang w:eastAsia="zh-CN"/>
        </w:rPr>
        <w:t>4.3</w:t>
      </w:r>
      <w:r>
        <w:rPr>
          <w:rFonts w:cs="Times New Roman"/>
        </w:rPr>
        <w:t>-5。</w:t>
      </w:r>
    </w:p>
    <w:p w14:paraId="424851CB">
      <w:pPr>
        <w:rPr>
          <w:rFonts w:cs="Times New Roman"/>
        </w:rPr>
      </w:pPr>
      <w:r>
        <w:rPr>
          <w:rFonts w:cs="Times New Roman"/>
          <w:color w:val="0000FF"/>
        </w:rPr>
        <w:t>（</w:t>
      </w:r>
      <w:r>
        <w:rPr>
          <w:rFonts w:cs="Times New Roman"/>
        </w:rPr>
        <w:t>2）鸟类区系组成</w:t>
      </w:r>
    </w:p>
    <w:p w14:paraId="7F1C48FE">
      <w:pPr>
        <w:ind w:firstLine="480"/>
        <w:rPr>
          <w:rFonts w:cs="Times New Roman"/>
        </w:rPr>
      </w:pPr>
      <w:r>
        <w:rPr>
          <w:rFonts w:cs="Times New Roman"/>
        </w:rPr>
        <w:t>鸟类区系分布来看，此次鸟类调查结果古北型鸟种为</w:t>
      </w:r>
      <w:r>
        <w:rPr>
          <w:rFonts w:hint="eastAsia" w:cs="Times New Roman"/>
        </w:rPr>
        <w:t>8</w:t>
      </w:r>
      <w:r>
        <w:rPr>
          <w:rFonts w:cs="Times New Roman"/>
        </w:rPr>
        <w:t>种，占全部种类的47.25%；东洋型、广布种分布有</w:t>
      </w:r>
      <w:r>
        <w:rPr>
          <w:rFonts w:hint="eastAsia" w:cs="Times New Roman"/>
        </w:rPr>
        <w:t>17</w:t>
      </w:r>
      <w:r>
        <w:rPr>
          <w:rFonts w:cs="Times New Roman"/>
        </w:rPr>
        <w:t>种、</w:t>
      </w:r>
      <w:r>
        <w:rPr>
          <w:rFonts w:hint="eastAsia" w:cs="Times New Roman"/>
        </w:rPr>
        <w:t>12</w:t>
      </w:r>
      <w:r>
        <w:rPr>
          <w:rFonts w:cs="Times New Roman"/>
        </w:rPr>
        <w:t>种，评级区鸟类群落区系整体为古北界。相较于东洋界，古北界属于物种较丰富的生物地理区。</w:t>
      </w:r>
    </w:p>
    <w:p w14:paraId="6E8DE63B">
      <w:pPr>
        <w:ind w:firstLine="480"/>
        <w:rPr>
          <w:rFonts w:cs="Times New Roman"/>
        </w:rPr>
      </w:pPr>
      <w:r>
        <w:rPr>
          <w:rFonts w:cs="Times New Roman"/>
        </w:rPr>
        <w:t>东洋型鸟类常见的有珠颈斑鸠、黑水鸡、池鹭、棕背伯劳；古北型常见的有山斑鸠、灰椋鸟、麻雀</w:t>
      </w:r>
      <w:r>
        <w:rPr>
          <w:rFonts w:hint="eastAsia" w:cs="Times New Roman"/>
        </w:rPr>
        <w:t>、</w:t>
      </w:r>
      <w:r>
        <w:rPr>
          <w:rFonts w:cs="Times New Roman"/>
        </w:rPr>
        <w:t>广布型常见的有小䴙䴘、白鹭、喜鹊、白鹡鸰、黑卷尾、红尾伯劳等。</w:t>
      </w:r>
    </w:p>
    <w:p w14:paraId="17296A70">
      <w:pPr>
        <w:rPr>
          <w:rFonts w:cs="Times New Roman"/>
        </w:rPr>
      </w:pPr>
      <w:r>
        <w:rPr>
          <w:rFonts w:cs="Times New Roman"/>
        </w:rPr>
        <w:t>（4）不同季节鸟类资源状况</w:t>
      </w:r>
    </w:p>
    <w:p w14:paraId="71BD8EEB">
      <w:pPr>
        <w:ind w:firstLine="480"/>
        <w:rPr>
          <w:rFonts w:cs="Times New Roman"/>
        </w:rPr>
      </w:pPr>
      <w:r>
        <w:rPr>
          <w:rFonts w:cs="Times New Roman"/>
        </w:rPr>
        <w:t>从不同居留型看，评价区内的鸟类主要为留鸟，为</w:t>
      </w:r>
      <w:r>
        <w:rPr>
          <w:rFonts w:hint="eastAsia" w:cs="Times New Roman"/>
        </w:rPr>
        <w:t>23</w:t>
      </w:r>
      <w:r>
        <w:rPr>
          <w:rFonts w:cs="Times New Roman"/>
        </w:rPr>
        <w:t>种，占鸟类种类数的</w:t>
      </w:r>
      <w:r>
        <w:rPr>
          <w:rFonts w:hint="eastAsia" w:cs="Times New Roman"/>
        </w:rPr>
        <w:t>62.16</w:t>
      </w:r>
      <w:r>
        <w:rPr>
          <w:rFonts w:cs="Times New Roman"/>
        </w:rPr>
        <w:t>%，留鸟较常见的有雀形目的喜鹊、白鹡鸰、乌鸫、八哥、麻雀等。</w:t>
      </w:r>
    </w:p>
    <w:p w14:paraId="1C51B58D">
      <w:pPr>
        <w:ind w:firstLine="480"/>
        <w:rPr>
          <w:rFonts w:cs="Times New Roman"/>
        </w:rPr>
      </w:pPr>
      <w:r>
        <w:rPr>
          <w:rFonts w:cs="Times New Roman"/>
        </w:rPr>
        <w:t>冬候鸟为</w:t>
      </w:r>
      <w:r>
        <w:rPr>
          <w:rFonts w:hint="eastAsia" w:cs="Times New Roman"/>
        </w:rPr>
        <w:t>2</w:t>
      </w:r>
      <w:r>
        <w:rPr>
          <w:rFonts w:cs="Times New Roman"/>
        </w:rPr>
        <w:t>种，占全部总数的</w:t>
      </w:r>
      <w:r>
        <w:rPr>
          <w:rFonts w:hint="eastAsia" w:cs="Times New Roman"/>
        </w:rPr>
        <w:t>5.4</w:t>
      </w:r>
      <w:r>
        <w:rPr>
          <w:rFonts w:cs="Times New Roman"/>
        </w:rPr>
        <w:t>%，较常见的有鹈形目的大白鹭等。</w:t>
      </w:r>
    </w:p>
    <w:p w14:paraId="1085515F">
      <w:pPr>
        <w:ind w:firstLine="480"/>
        <w:rPr>
          <w:rFonts w:cs="Times New Roman"/>
        </w:rPr>
      </w:pPr>
      <w:r>
        <w:rPr>
          <w:rFonts w:cs="Times New Roman"/>
        </w:rPr>
        <w:t>夏候鸟</w:t>
      </w:r>
      <w:r>
        <w:rPr>
          <w:rFonts w:hint="eastAsia" w:cs="Times New Roman"/>
        </w:rPr>
        <w:t>12</w:t>
      </w:r>
      <w:r>
        <w:rPr>
          <w:rFonts w:cs="Times New Roman"/>
        </w:rPr>
        <w:t>种，占全部总数的</w:t>
      </w:r>
      <w:r>
        <w:rPr>
          <w:rFonts w:hint="eastAsia" w:cs="Times New Roman"/>
        </w:rPr>
        <w:t>32.43</w:t>
      </w:r>
      <w:r>
        <w:rPr>
          <w:rFonts w:cs="Times New Roman"/>
        </w:rPr>
        <w:t>%，常见的有鹭科的牛背鹭、池鹭，雀形目卷尾科的黑卷尾，红尾伯劳，杜鹃科的噪鹃等。</w:t>
      </w:r>
    </w:p>
    <w:p w14:paraId="1FA5C426">
      <w:pPr>
        <w:ind w:firstLine="480"/>
        <w:rPr>
          <w:rFonts w:cs="Times New Roman"/>
        </w:rPr>
      </w:pPr>
      <w:r>
        <w:rPr>
          <w:rFonts w:cs="Times New Roman"/>
        </w:rPr>
        <w:t>可以看出，不同季节中，冬季是评级区鸟类种类和数量较多的季节。</w:t>
      </w:r>
    </w:p>
    <w:p w14:paraId="6704B46A">
      <w:pPr>
        <w:ind w:firstLine="480"/>
        <w:rPr>
          <w:rFonts w:cs="Times New Roman"/>
        </w:rPr>
      </w:pPr>
      <w:r>
        <w:rPr>
          <w:rFonts w:cs="Times New Roman"/>
        </w:rPr>
        <w:t>评价区域没有以中大型水鸟为代表的候鸟的迁徙通道，也不是其重要的越冬栖息地。安徽省林业局下发的《关于进一步加强风电场项目建设涉及鸟类主要迁徙通道和迁徙地管理工作的通知》（林资函</w:t>
      </w:r>
      <w:r>
        <w:rPr>
          <w:rFonts w:hint="eastAsia" w:cs="Times New Roman"/>
        </w:rPr>
        <w:t>〔</w:t>
      </w:r>
      <w:r>
        <w:rPr>
          <w:rFonts w:cs="Times New Roman"/>
        </w:rPr>
        <w:t>2019</w:t>
      </w:r>
      <w:r>
        <w:rPr>
          <w:rFonts w:hint="eastAsia" w:cs="Times New Roman"/>
        </w:rPr>
        <w:t>〕</w:t>
      </w:r>
      <w:r>
        <w:rPr>
          <w:rFonts w:cs="Times New Roman"/>
        </w:rPr>
        <w:t>427号）划定了安徽省鸟类主要迁徙通道和迁徙地，包括长江干流、淮河干流、自然遗产地、国家公园、森林公园、地质公园、自然保护区等。可知本项目实施范围均不涉及安徽省鸟类主要迁徙通道和迁徙地。</w:t>
      </w:r>
    </w:p>
    <w:p w14:paraId="332EC7D3">
      <w:pPr>
        <w:rPr>
          <w:rFonts w:cs="Times New Roman"/>
        </w:rPr>
      </w:pPr>
      <w:r>
        <w:rPr>
          <w:rFonts w:cs="Times New Roman"/>
        </w:rPr>
        <w:t>（5）鸟类生境状况</w:t>
      </w:r>
    </w:p>
    <w:p w14:paraId="7F7BF49D">
      <w:pPr>
        <w:ind w:firstLine="480"/>
        <w:rPr>
          <w:rFonts w:cs="Times New Roman"/>
          <w:color w:val="0000FF"/>
        </w:rPr>
      </w:pPr>
      <w:r>
        <w:rPr>
          <w:rFonts w:cs="Times New Roman"/>
        </w:rPr>
        <w:t>森林生态系统：评价区分布的森林基本上为人工栽培的落叶阔叶林，优势种为加杨，通常距城市生态系统较近，不属于鸟类的适宜生态系统类型，常见鸟类的有珠颈斑鸠、山斑鸠、乌鸫、黑卷尾等。</w:t>
      </w:r>
    </w:p>
    <w:p w14:paraId="5C9858DB">
      <w:pPr>
        <w:ind w:firstLine="480"/>
        <w:rPr>
          <w:rFonts w:cs="Times New Roman"/>
        </w:rPr>
      </w:pPr>
      <w:r>
        <w:rPr>
          <w:rFonts w:cs="Times New Roman"/>
        </w:rPr>
        <w:t>灌丛生态系统/草地生态系统：评价区零星分布有低矮的落叶灌丛以及灌草丛，是部分小型雀形目鸟类的栖息地，如棕头鸦雀、白头鹎等。</w:t>
      </w:r>
    </w:p>
    <w:p w14:paraId="50993D1F">
      <w:pPr>
        <w:ind w:firstLine="480"/>
        <w:rPr>
          <w:rFonts w:cs="Times New Roman"/>
        </w:rPr>
      </w:pPr>
      <w:r>
        <w:rPr>
          <w:rFonts w:cs="Times New Roman"/>
        </w:rPr>
        <w:t>湿地生态系统：评价区</w:t>
      </w:r>
      <w:r>
        <w:rPr>
          <w:rFonts w:cs="Times New Roman"/>
          <w:lang w:val="en-GB"/>
        </w:rPr>
        <w:t>湿地生态系统</w:t>
      </w:r>
      <w:r>
        <w:rPr>
          <w:rFonts w:cs="Times New Roman"/>
        </w:rPr>
        <w:t>主要是小型坑塘、河流</w:t>
      </w:r>
      <w:r>
        <w:rPr>
          <w:rFonts w:cs="Times New Roman"/>
          <w:lang w:val="en-GB"/>
        </w:rPr>
        <w:t>，</w:t>
      </w:r>
      <w:r>
        <w:rPr>
          <w:rFonts w:cs="Times New Roman"/>
        </w:rPr>
        <w:t>主要鸟类为各种小型水鸟，较常见的有小䴙䴘、黑水鸡、白鹭、池鹭等。</w:t>
      </w:r>
    </w:p>
    <w:p w14:paraId="1ADC63D5">
      <w:pPr>
        <w:ind w:firstLine="480"/>
        <w:rPr>
          <w:rFonts w:cs="Times New Roman"/>
        </w:rPr>
      </w:pPr>
      <w:r>
        <w:rPr>
          <w:rFonts w:cs="Times New Roman"/>
        </w:rPr>
        <w:t>农田生态系统：由大面积的农作物田地和经济作物田组成，麻雀较常见。</w:t>
      </w:r>
    </w:p>
    <w:p w14:paraId="593FFCA6">
      <w:pPr>
        <w:ind w:firstLine="480"/>
        <w:rPr>
          <w:rFonts w:cs="Times New Roman"/>
        </w:rPr>
      </w:pPr>
      <w:r>
        <w:rPr>
          <w:rFonts w:cs="Times New Roman"/>
        </w:rPr>
        <w:t>城镇生态系统：受人为影响较大。主要分布的鸟类为白头鹎、八哥、丝光椋鸟、灰椋鸟、乌鸫、麻雀等常见种。</w:t>
      </w:r>
    </w:p>
    <w:p w14:paraId="69A47D83">
      <w:pPr>
        <w:jc w:val="center"/>
        <w:rPr>
          <w:rFonts w:eastAsia="黑体" w:cs="Times New Roman"/>
        </w:rPr>
        <w:sectPr>
          <w:headerReference r:id="rId38" w:type="default"/>
          <w:footerReference r:id="rId39" w:type="default"/>
          <w:pgSz w:w="11905" w:h="16838"/>
          <w:pgMar w:top="1417" w:right="1417" w:bottom="1417" w:left="1417" w:header="850" w:footer="850" w:gutter="0"/>
          <w:pgNumType w:fmt="decimal"/>
          <w:cols w:space="0" w:num="1"/>
          <w:rtlGutter w:val="0"/>
          <w:docGrid w:linePitch="326" w:charSpace="0"/>
        </w:sectPr>
      </w:pPr>
    </w:p>
    <w:p w14:paraId="424E5A13">
      <w:pPr>
        <w:pStyle w:val="29"/>
        <w:bidi w:val="0"/>
      </w:pPr>
      <w:r>
        <w:t>表</w:t>
      </w:r>
      <w:r>
        <w:rPr>
          <w:rFonts w:hint="eastAsia"/>
          <w:lang w:eastAsia="zh-CN"/>
        </w:rPr>
        <w:t>4.3</w:t>
      </w:r>
      <w:r>
        <w:t>-5  评价区鸟类名录</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8"/>
        <w:gridCol w:w="2436"/>
        <w:gridCol w:w="1049"/>
        <w:gridCol w:w="845"/>
        <w:gridCol w:w="842"/>
        <w:gridCol w:w="842"/>
        <w:gridCol w:w="1049"/>
        <w:gridCol w:w="842"/>
        <w:gridCol w:w="1425"/>
        <w:gridCol w:w="2567"/>
      </w:tblGrid>
      <w:tr w14:paraId="171B2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blHeader/>
          <w:jc w:val="center"/>
        </w:trPr>
        <w:tc>
          <w:tcPr>
            <w:tcW w:w="815" w:type="pct"/>
            <w:noWrap/>
            <w:vAlign w:val="center"/>
          </w:tcPr>
          <w:p w14:paraId="4FDF9807">
            <w:pPr>
              <w:pStyle w:val="28"/>
              <w:bidi w:val="0"/>
            </w:pPr>
            <w:r>
              <w:t>种类</w:t>
            </w:r>
          </w:p>
        </w:tc>
        <w:tc>
          <w:tcPr>
            <w:tcW w:w="856" w:type="pct"/>
            <w:noWrap/>
            <w:vAlign w:val="center"/>
          </w:tcPr>
          <w:p w14:paraId="7FC6D748">
            <w:pPr>
              <w:pStyle w:val="28"/>
              <w:bidi w:val="0"/>
            </w:pPr>
            <w:r>
              <w:t>拉丁名</w:t>
            </w:r>
          </w:p>
        </w:tc>
        <w:tc>
          <w:tcPr>
            <w:tcW w:w="368" w:type="pct"/>
            <w:noWrap/>
            <w:vAlign w:val="center"/>
          </w:tcPr>
          <w:p w14:paraId="57FC1A7D">
            <w:pPr>
              <w:pStyle w:val="28"/>
              <w:bidi w:val="0"/>
            </w:pPr>
            <w:r>
              <w:t>濒危等级</w:t>
            </w:r>
          </w:p>
        </w:tc>
        <w:tc>
          <w:tcPr>
            <w:tcW w:w="297" w:type="pct"/>
            <w:noWrap/>
            <w:vAlign w:val="center"/>
          </w:tcPr>
          <w:p w14:paraId="175CC06E">
            <w:pPr>
              <w:pStyle w:val="28"/>
              <w:bidi w:val="0"/>
            </w:pPr>
            <w:r>
              <w:t>特有种</w:t>
            </w:r>
          </w:p>
        </w:tc>
        <w:tc>
          <w:tcPr>
            <w:tcW w:w="296" w:type="pct"/>
            <w:noWrap/>
            <w:vAlign w:val="center"/>
          </w:tcPr>
          <w:p w14:paraId="465AF52A">
            <w:pPr>
              <w:pStyle w:val="28"/>
              <w:bidi w:val="0"/>
            </w:pPr>
            <w:r>
              <w:t>居留型</w:t>
            </w:r>
          </w:p>
        </w:tc>
        <w:tc>
          <w:tcPr>
            <w:tcW w:w="296" w:type="pct"/>
            <w:noWrap/>
            <w:vAlign w:val="center"/>
          </w:tcPr>
          <w:p w14:paraId="48B7A2F5">
            <w:pPr>
              <w:pStyle w:val="28"/>
              <w:bidi w:val="0"/>
            </w:pPr>
            <w:r>
              <w:t>地理型</w:t>
            </w:r>
          </w:p>
        </w:tc>
        <w:tc>
          <w:tcPr>
            <w:tcW w:w="368" w:type="pct"/>
            <w:noWrap/>
            <w:vAlign w:val="center"/>
          </w:tcPr>
          <w:p w14:paraId="76488CEE">
            <w:pPr>
              <w:pStyle w:val="28"/>
              <w:bidi w:val="0"/>
            </w:pPr>
            <w:r>
              <w:t>保护级别</w:t>
            </w:r>
          </w:p>
        </w:tc>
        <w:tc>
          <w:tcPr>
            <w:tcW w:w="296" w:type="pct"/>
            <w:noWrap/>
            <w:vAlign w:val="center"/>
          </w:tcPr>
          <w:p w14:paraId="55ED9DAA">
            <w:pPr>
              <w:pStyle w:val="28"/>
              <w:bidi w:val="0"/>
            </w:pPr>
            <w:r>
              <w:rPr>
                <w:rFonts w:hint="eastAsia"/>
              </w:rPr>
              <w:t>优势度</w:t>
            </w:r>
          </w:p>
        </w:tc>
        <w:tc>
          <w:tcPr>
            <w:tcW w:w="501" w:type="pct"/>
            <w:noWrap/>
            <w:vAlign w:val="center"/>
          </w:tcPr>
          <w:p w14:paraId="65808CD8">
            <w:pPr>
              <w:pStyle w:val="28"/>
              <w:bidi w:val="0"/>
            </w:pPr>
            <w:r>
              <w:rPr>
                <w:rFonts w:hint="eastAsia"/>
              </w:rPr>
              <w:t>实地调查情况</w:t>
            </w:r>
          </w:p>
        </w:tc>
        <w:tc>
          <w:tcPr>
            <w:tcW w:w="902" w:type="pct"/>
            <w:noWrap/>
            <w:vAlign w:val="center"/>
          </w:tcPr>
          <w:p w14:paraId="01DBEEBF">
            <w:pPr>
              <w:pStyle w:val="28"/>
              <w:bidi w:val="0"/>
            </w:pPr>
            <w:r>
              <w:t>分布</w:t>
            </w:r>
            <w:r>
              <w:rPr>
                <w:rFonts w:hint="eastAsia"/>
              </w:rPr>
              <w:t>生境</w:t>
            </w:r>
          </w:p>
        </w:tc>
      </w:tr>
      <w:tr w14:paraId="09F4A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1D9F685D">
            <w:pPr>
              <w:pStyle w:val="28"/>
              <w:bidi w:val="0"/>
            </w:pPr>
            <w:r>
              <w:rPr>
                <w:rFonts w:hint="eastAsia"/>
              </w:rPr>
              <w:t>一</w:t>
            </w:r>
            <w:r>
              <w:t>、䴙䴘目</w:t>
            </w:r>
          </w:p>
        </w:tc>
        <w:tc>
          <w:tcPr>
            <w:tcW w:w="856" w:type="pct"/>
            <w:noWrap/>
            <w:vAlign w:val="center"/>
          </w:tcPr>
          <w:p w14:paraId="3399BADC">
            <w:pPr>
              <w:pStyle w:val="28"/>
              <w:bidi w:val="0"/>
            </w:pPr>
            <w:r>
              <w:t>Podicipediformes</w:t>
            </w:r>
          </w:p>
        </w:tc>
        <w:tc>
          <w:tcPr>
            <w:tcW w:w="368" w:type="pct"/>
            <w:noWrap/>
            <w:vAlign w:val="center"/>
          </w:tcPr>
          <w:p w14:paraId="0727EE54">
            <w:pPr>
              <w:pStyle w:val="28"/>
              <w:bidi w:val="0"/>
            </w:pPr>
          </w:p>
        </w:tc>
        <w:tc>
          <w:tcPr>
            <w:tcW w:w="297" w:type="pct"/>
            <w:noWrap/>
            <w:vAlign w:val="center"/>
          </w:tcPr>
          <w:p w14:paraId="743DBAEB">
            <w:pPr>
              <w:pStyle w:val="28"/>
              <w:bidi w:val="0"/>
            </w:pPr>
          </w:p>
        </w:tc>
        <w:tc>
          <w:tcPr>
            <w:tcW w:w="296" w:type="pct"/>
            <w:noWrap/>
            <w:vAlign w:val="center"/>
          </w:tcPr>
          <w:p w14:paraId="420C082B">
            <w:pPr>
              <w:pStyle w:val="28"/>
              <w:bidi w:val="0"/>
            </w:pPr>
          </w:p>
        </w:tc>
        <w:tc>
          <w:tcPr>
            <w:tcW w:w="296" w:type="pct"/>
            <w:noWrap/>
            <w:vAlign w:val="center"/>
          </w:tcPr>
          <w:p w14:paraId="5522B8A4">
            <w:pPr>
              <w:pStyle w:val="28"/>
              <w:bidi w:val="0"/>
            </w:pPr>
          </w:p>
        </w:tc>
        <w:tc>
          <w:tcPr>
            <w:tcW w:w="368" w:type="pct"/>
            <w:noWrap/>
            <w:vAlign w:val="center"/>
          </w:tcPr>
          <w:p w14:paraId="12297D0E">
            <w:pPr>
              <w:pStyle w:val="28"/>
              <w:bidi w:val="0"/>
            </w:pPr>
          </w:p>
        </w:tc>
        <w:tc>
          <w:tcPr>
            <w:tcW w:w="296" w:type="pct"/>
            <w:noWrap/>
            <w:vAlign w:val="center"/>
          </w:tcPr>
          <w:p w14:paraId="365DA8DB">
            <w:pPr>
              <w:pStyle w:val="28"/>
              <w:bidi w:val="0"/>
            </w:pPr>
          </w:p>
        </w:tc>
        <w:tc>
          <w:tcPr>
            <w:tcW w:w="501" w:type="pct"/>
            <w:noWrap/>
            <w:vAlign w:val="center"/>
          </w:tcPr>
          <w:p w14:paraId="6B6AFC2B">
            <w:pPr>
              <w:pStyle w:val="28"/>
              <w:bidi w:val="0"/>
            </w:pPr>
          </w:p>
        </w:tc>
        <w:tc>
          <w:tcPr>
            <w:tcW w:w="902" w:type="pct"/>
            <w:noWrap/>
            <w:vAlign w:val="center"/>
          </w:tcPr>
          <w:p w14:paraId="6AB86E35">
            <w:pPr>
              <w:pStyle w:val="28"/>
              <w:bidi w:val="0"/>
            </w:pPr>
          </w:p>
        </w:tc>
      </w:tr>
      <w:tr w14:paraId="1ACA6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6523ED12">
            <w:pPr>
              <w:pStyle w:val="28"/>
              <w:bidi w:val="0"/>
            </w:pPr>
            <w:r>
              <w:t>（</w:t>
            </w:r>
            <w:r>
              <w:rPr>
                <w:rFonts w:hint="eastAsia"/>
              </w:rPr>
              <w:t>一</w:t>
            </w:r>
            <w:r>
              <w:t xml:space="preserve">）䴙䴘科 </w:t>
            </w:r>
          </w:p>
        </w:tc>
        <w:tc>
          <w:tcPr>
            <w:tcW w:w="856" w:type="pct"/>
            <w:noWrap/>
            <w:vAlign w:val="center"/>
          </w:tcPr>
          <w:p w14:paraId="0865C8BE">
            <w:pPr>
              <w:pStyle w:val="28"/>
              <w:bidi w:val="0"/>
            </w:pPr>
            <w:r>
              <w:t>Podicipedidae</w:t>
            </w:r>
          </w:p>
        </w:tc>
        <w:tc>
          <w:tcPr>
            <w:tcW w:w="368" w:type="pct"/>
            <w:noWrap/>
            <w:vAlign w:val="center"/>
          </w:tcPr>
          <w:p w14:paraId="04B3C1F7">
            <w:pPr>
              <w:pStyle w:val="28"/>
              <w:bidi w:val="0"/>
            </w:pPr>
          </w:p>
        </w:tc>
        <w:tc>
          <w:tcPr>
            <w:tcW w:w="297" w:type="pct"/>
            <w:noWrap/>
            <w:vAlign w:val="center"/>
          </w:tcPr>
          <w:p w14:paraId="5E3412F1">
            <w:pPr>
              <w:pStyle w:val="28"/>
              <w:bidi w:val="0"/>
            </w:pPr>
          </w:p>
        </w:tc>
        <w:tc>
          <w:tcPr>
            <w:tcW w:w="296" w:type="pct"/>
            <w:noWrap/>
            <w:vAlign w:val="center"/>
          </w:tcPr>
          <w:p w14:paraId="047981CC">
            <w:pPr>
              <w:pStyle w:val="28"/>
              <w:bidi w:val="0"/>
            </w:pPr>
          </w:p>
        </w:tc>
        <w:tc>
          <w:tcPr>
            <w:tcW w:w="296" w:type="pct"/>
            <w:noWrap/>
            <w:vAlign w:val="center"/>
          </w:tcPr>
          <w:p w14:paraId="2D722494">
            <w:pPr>
              <w:pStyle w:val="28"/>
              <w:bidi w:val="0"/>
            </w:pPr>
          </w:p>
        </w:tc>
        <w:tc>
          <w:tcPr>
            <w:tcW w:w="368" w:type="pct"/>
            <w:noWrap/>
            <w:vAlign w:val="center"/>
          </w:tcPr>
          <w:p w14:paraId="52C8203C">
            <w:pPr>
              <w:pStyle w:val="28"/>
              <w:bidi w:val="0"/>
            </w:pPr>
          </w:p>
        </w:tc>
        <w:tc>
          <w:tcPr>
            <w:tcW w:w="296" w:type="pct"/>
            <w:noWrap/>
            <w:vAlign w:val="center"/>
          </w:tcPr>
          <w:p w14:paraId="7DC12185">
            <w:pPr>
              <w:pStyle w:val="28"/>
              <w:bidi w:val="0"/>
            </w:pPr>
          </w:p>
        </w:tc>
        <w:tc>
          <w:tcPr>
            <w:tcW w:w="501" w:type="pct"/>
            <w:noWrap/>
            <w:vAlign w:val="center"/>
          </w:tcPr>
          <w:p w14:paraId="16ECBB57">
            <w:pPr>
              <w:pStyle w:val="28"/>
              <w:bidi w:val="0"/>
            </w:pPr>
          </w:p>
        </w:tc>
        <w:tc>
          <w:tcPr>
            <w:tcW w:w="902" w:type="pct"/>
            <w:noWrap/>
            <w:vAlign w:val="center"/>
          </w:tcPr>
          <w:p w14:paraId="19038ED8">
            <w:pPr>
              <w:pStyle w:val="28"/>
              <w:bidi w:val="0"/>
            </w:pPr>
          </w:p>
        </w:tc>
      </w:tr>
      <w:tr w14:paraId="673705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5537E40E">
            <w:pPr>
              <w:pStyle w:val="28"/>
              <w:bidi w:val="0"/>
            </w:pPr>
            <w:r>
              <w:rPr>
                <w:rFonts w:hint="eastAsia"/>
              </w:rPr>
              <w:t>1</w:t>
            </w:r>
            <w:r>
              <w:t>、小䴙䴘</w:t>
            </w:r>
          </w:p>
        </w:tc>
        <w:tc>
          <w:tcPr>
            <w:tcW w:w="856" w:type="pct"/>
            <w:noWrap/>
            <w:vAlign w:val="center"/>
          </w:tcPr>
          <w:p w14:paraId="3BDB5906">
            <w:pPr>
              <w:pStyle w:val="28"/>
              <w:bidi w:val="0"/>
              <w:rPr>
                <w:i/>
                <w:iCs/>
              </w:rPr>
            </w:pPr>
            <w:r>
              <w:rPr>
                <w:i/>
                <w:iCs/>
              </w:rPr>
              <w:t>Tachybaptus ruficollis</w:t>
            </w:r>
          </w:p>
        </w:tc>
        <w:tc>
          <w:tcPr>
            <w:tcW w:w="368" w:type="pct"/>
            <w:noWrap/>
            <w:vAlign w:val="center"/>
          </w:tcPr>
          <w:p w14:paraId="160AF109">
            <w:pPr>
              <w:pStyle w:val="28"/>
              <w:bidi w:val="0"/>
            </w:pPr>
            <w:r>
              <w:t>LC</w:t>
            </w:r>
          </w:p>
        </w:tc>
        <w:tc>
          <w:tcPr>
            <w:tcW w:w="297" w:type="pct"/>
            <w:noWrap/>
            <w:vAlign w:val="center"/>
          </w:tcPr>
          <w:p w14:paraId="6F675245">
            <w:pPr>
              <w:pStyle w:val="28"/>
              <w:bidi w:val="0"/>
            </w:pPr>
            <w:r>
              <w:t>否</w:t>
            </w:r>
          </w:p>
        </w:tc>
        <w:tc>
          <w:tcPr>
            <w:tcW w:w="296" w:type="pct"/>
            <w:noWrap/>
            <w:vAlign w:val="center"/>
          </w:tcPr>
          <w:p w14:paraId="724736B2">
            <w:pPr>
              <w:pStyle w:val="28"/>
              <w:bidi w:val="0"/>
            </w:pPr>
            <w:r>
              <w:t>留</w:t>
            </w:r>
          </w:p>
        </w:tc>
        <w:tc>
          <w:tcPr>
            <w:tcW w:w="296" w:type="pct"/>
            <w:noWrap/>
            <w:vAlign w:val="center"/>
          </w:tcPr>
          <w:p w14:paraId="5C261CE6">
            <w:pPr>
              <w:pStyle w:val="28"/>
              <w:bidi w:val="0"/>
            </w:pPr>
            <w:r>
              <w:t>广</w:t>
            </w:r>
          </w:p>
        </w:tc>
        <w:tc>
          <w:tcPr>
            <w:tcW w:w="368" w:type="pct"/>
            <w:noWrap/>
            <w:vAlign w:val="center"/>
          </w:tcPr>
          <w:p w14:paraId="2943FD47">
            <w:pPr>
              <w:pStyle w:val="28"/>
              <w:bidi w:val="0"/>
            </w:pPr>
          </w:p>
        </w:tc>
        <w:tc>
          <w:tcPr>
            <w:tcW w:w="296" w:type="pct"/>
            <w:noWrap/>
            <w:vAlign w:val="center"/>
          </w:tcPr>
          <w:p w14:paraId="7C7B480A">
            <w:pPr>
              <w:pStyle w:val="28"/>
              <w:bidi w:val="0"/>
            </w:pPr>
            <w:r>
              <w:t>++</w:t>
            </w:r>
          </w:p>
        </w:tc>
        <w:tc>
          <w:tcPr>
            <w:tcW w:w="501" w:type="pct"/>
            <w:noWrap/>
            <w:vAlign w:val="center"/>
          </w:tcPr>
          <w:p w14:paraId="67829BB0">
            <w:pPr>
              <w:pStyle w:val="28"/>
              <w:bidi w:val="0"/>
            </w:pPr>
          </w:p>
        </w:tc>
        <w:tc>
          <w:tcPr>
            <w:tcW w:w="902" w:type="pct"/>
            <w:noWrap/>
            <w:vAlign w:val="center"/>
          </w:tcPr>
          <w:p w14:paraId="13899C51">
            <w:pPr>
              <w:pStyle w:val="28"/>
              <w:bidi w:val="0"/>
            </w:pPr>
            <w:r>
              <w:t>水塘、河流</w:t>
            </w:r>
          </w:p>
        </w:tc>
      </w:tr>
      <w:tr w14:paraId="4F9B97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0FE7587A">
            <w:pPr>
              <w:pStyle w:val="28"/>
              <w:bidi w:val="0"/>
            </w:pPr>
            <w:r>
              <w:rPr>
                <w:rFonts w:hint="eastAsia"/>
              </w:rPr>
              <w:t>二</w:t>
            </w:r>
            <w:r>
              <w:t>、鸽形目</w:t>
            </w:r>
          </w:p>
        </w:tc>
        <w:tc>
          <w:tcPr>
            <w:tcW w:w="856" w:type="pct"/>
            <w:noWrap/>
            <w:vAlign w:val="center"/>
          </w:tcPr>
          <w:p w14:paraId="0030479D">
            <w:pPr>
              <w:pStyle w:val="28"/>
              <w:bidi w:val="0"/>
            </w:pPr>
            <w:r>
              <w:t>Columbiformes</w:t>
            </w:r>
          </w:p>
        </w:tc>
        <w:tc>
          <w:tcPr>
            <w:tcW w:w="368" w:type="pct"/>
            <w:noWrap/>
            <w:vAlign w:val="center"/>
          </w:tcPr>
          <w:p w14:paraId="40F203EA">
            <w:pPr>
              <w:pStyle w:val="28"/>
              <w:bidi w:val="0"/>
            </w:pPr>
          </w:p>
        </w:tc>
        <w:tc>
          <w:tcPr>
            <w:tcW w:w="297" w:type="pct"/>
            <w:noWrap/>
            <w:vAlign w:val="center"/>
          </w:tcPr>
          <w:p w14:paraId="21CBE2D6">
            <w:pPr>
              <w:pStyle w:val="28"/>
              <w:bidi w:val="0"/>
            </w:pPr>
          </w:p>
        </w:tc>
        <w:tc>
          <w:tcPr>
            <w:tcW w:w="296" w:type="pct"/>
            <w:noWrap/>
            <w:vAlign w:val="center"/>
          </w:tcPr>
          <w:p w14:paraId="70D47FEF">
            <w:pPr>
              <w:pStyle w:val="28"/>
              <w:bidi w:val="0"/>
            </w:pPr>
          </w:p>
        </w:tc>
        <w:tc>
          <w:tcPr>
            <w:tcW w:w="296" w:type="pct"/>
            <w:noWrap/>
            <w:vAlign w:val="center"/>
          </w:tcPr>
          <w:p w14:paraId="304CE781">
            <w:pPr>
              <w:pStyle w:val="28"/>
              <w:bidi w:val="0"/>
            </w:pPr>
          </w:p>
        </w:tc>
        <w:tc>
          <w:tcPr>
            <w:tcW w:w="368" w:type="pct"/>
            <w:noWrap/>
            <w:vAlign w:val="center"/>
          </w:tcPr>
          <w:p w14:paraId="261325C1">
            <w:pPr>
              <w:pStyle w:val="28"/>
              <w:bidi w:val="0"/>
            </w:pPr>
          </w:p>
        </w:tc>
        <w:tc>
          <w:tcPr>
            <w:tcW w:w="296" w:type="pct"/>
            <w:noWrap/>
            <w:vAlign w:val="center"/>
          </w:tcPr>
          <w:p w14:paraId="238CD866">
            <w:pPr>
              <w:pStyle w:val="28"/>
              <w:bidi w:val="0"/>
            </w:pPr>
          </w:p>
        </w:tc>
        <w:tc>
          <w:tcPr>
            <w:tcW w:w="501" w:type="pct"/>
            <w:noWrap/>
            <w:vAlign w:val="center"/>
          </w:tcPr>
          <w:p w14:paraId="266ED24A">
            <w:pPr>
              <w:pStyle w:val="28"/>
              <w:bidi w:val="0"/>
            </w:pPr>
          </w:p>
        </w:tc>
        <w:tc>
          <w:tcPr>
            <w:tcW w:w="902" w:type="pct"/>
            <w:noWrap/>
            <w:vAlign w:val="center"/>
          </w:tcPr>
          <w:p w14:paraId="49B07A59">
            <w:pPr>
              <w:pStyle w:val="28"/>
              <w:bidi w:val="0"/>
            </w:pPr>
          </w:p>
        </w:tc>
      </w:tr>
      <w:tr w14:paraId="7B748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35C1EE01">
            <w:pPr>
              <w:pStyle w:val="28"/>
              <w:bidi w:val="0"/>
            </w:pPr>
            <w:r>
              <w:t>（</w:t>
            </w:r>
            <w:r>
              <w:rPr>
                <w:rFonts w:hint="eastAsia"/>
              </w:rPr>
              <w:t>二</w:t>
            </w:r>
            <w:r>
              <w:t xml:space="preserve">）鸠鸽科 </w:t>
            </w:r>
          </w:p>
        </w:tc>
        <w:tc>
          <w:tcPr>
            <w:tcW w:w="856" w:type="pct"/>
            <w:noWrap/>
            <w:vAlign w:val="center"/>
          </w:tcPr>
          <w:p w14:paraId="10F75DA4">
            <w:pPr>
              <w:pStyle w:val="28"/>
              <w:bidi w:val="0"/>
            </w:pPr>
            <w:r>
              <w:t>Columbidae</w:t>
            </w:r>
          </w:p>
        </w:tc>
        <w:tc>
          <w:tcPr>
            <w:tcW w:w="368" w:type="pct"/>
            <w:noWrap/>
            <w:vAlign w:val="center"/>
          </w:tcPr>
          <w:p w14:paraId="7FD03DFB">
            <w:pPr>
              <w:pStyle w:val="28"/>
              <w:bidi w:val="0"/>
            </w:pPr>
          </w:p>
        </w:tc>
        <w:tc>
          <w:tcPr>
            <w:tcW w:w="297" w:type="pct"/>
            <w:noWrap/>
            <w:vAlign w:val="center"/>
          </w:tcPr>
          <w:p w14:paraId="3F4C0528">
            <w:pPr>
              <w:pStyle w:val="28"/>
              <w:bidi w:val="0"/>
            </w:pPr>
          </w:p>
        </w:tc>
        <w:tc>
          <w:tcPr>
            <w:tcW w:w="296" w:type="pct"/>
            <w:noWrap/>
            <w:vAlign w:val="center"/>
          </w:tcPr>
          <w:p w14:paraId="000AA511">
            <w:pPr>
              <w:pStyle w:val="28"/>
              <w:bidi w:val="0"/>
            </w:pPr>
          </w:p>
        </w:tc>
        <w:tc>
          <w:tcPr>
            <w:tcW w:w="296" w:type="pct"/>
            <w:noWrap/>
            <w:vAlign w:val="center"/>
          </w:tcPr>
          <w:p w14:paraId="35788F83">
            <w:pPr>
              <w:pStyle w:val="28"/>
              <w:bidi w:val="0"/>
            </w:pPr>
          </w:p>
        </w:tc>
        <w:tc>
          <w:tcPr>
            <w:tcW w:w="368" w:type="pct"/>
            <w:noWrap/>
            <w:vAlign w:val="center"/>
          </w:tcPr>
          <w:p w14:paraId="701DEDA7">
            <w:pPr>
              <w:pStyle w:val="28"/>
              <w:bidi w:val="0"/>
            </w:pPr>
          </w:p>
        </w:tc>
        <w:tc>
          <w:tcPr>
            <w:tcW w:w="296" w:type="pct"/>
            <w:noWrap/>
            <w:vAlign w:val="center"/>
          </w:tcPr>
          <w:p w14:paraId="3979CD28">
            <w:pPr>
              <w:pStyle w:val="28"/>
              <w:bidi w:val="0"/>
            </w:pPr>
          </w:p>
        </w:tc>
        <w:tc>
          <w:tcPr>
            <w:tcW w:w="501" w:type="pct"/>
            <w:noWrap/>
            <w:vAlign w:val="center"/>
          </w:tcPr>
          <w:p w14:paraId="75360A4C">
            <w:pPr>
              <w:pStyle w:val="28"/>
              <w:bidi w:val="0"/>
            </w:pPr>
          </w:p>
        </w:tc>
        <w:tc>
          <w:tcPr>
            <w:tcW w:w="902" w:type="pct"/>
            <w:noWrap/>
            <w:vAlign w:val="center"/>
          </w:tcPr>
          <w:p w14:paraId="0B0208C8">
            <w:pPr>
              <w:pStyle w:val="28"/>
              <w:bidi w:val="0"/>
            </w:pPr>
          </w:p>
        </w:tc>
      </w:tr>
      <w:tr w14:paraId="28935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4E75CF21">
            <w:pPr>
              <w:pStyle w:val="28"/>
              <w:bidi w:val="0"/>
            </w:pPr>
            <w:r>
              <w:rPr>
                <w:rFonts w:hint="eastAsia"/>
              </w:rPr>
              <w:t>2</w:t>
            </w:r>
            <w:r>
              <w:t>、珠颈斑鸠</w:t>
            </w:r>
          </w:p>
        </w:tc>
        <w:tc>
          <w:tcPr>
            <w:tcW w:w="856" w:type="pct"/>
            <w:noWrap/>
            <w:vAlign w:val="center"/>
          </w:tcPr>
          <w:p w14:paraId="3FE0A360">
            <w:pPr>
              <w:pStyle w:val="28"/>
              <w:bidi w:val="0"/>
              <w:rPr>
                <w:i/>
                <w:iCs/>
              </w:rPr>
            </w:pPr>
            <w:r>
              <w:rPr>
                <w:i/>
                <w:iCs/>
              </w:rPr>
              <w:t>Streptopelia chinensis</w:t>
            </w:r>
          </w:p>
        </w:tc>
        <w:tc>
          <w:tcPr>
            <w:tcW w:w="368" w:type="pct"/>
            <w:noWrap/>
            <w:vAlign w:val="center"/>
          </w:tcPr>
          <w:p w14:paraId="69555835">
            <w:pPr>
              <w:pStyle w:val="28"/>
              <w:bidi w:val="0"/>
            </w:pPr>
            <w:r>
              <w:t>LC</w:t>
            </w:r>
          </w:p>
        </w:tc>
        <w:tc>
          <w:tcPr>
            <w:tcW w:w="297" w:type="pct"/>
            <w:noWrap/>
            <w:vAlign w:val="center"/>
          </w:tcPr>
          <w:p w14:paraId="213C061E">
            <w:pPr>
              <w:pStyle w:val="28"/>
              <w:bidi w:val="0"/>
            </w:pPr>
            <w:r>
              <w:t>否</w:t>
            </w:r>
          </w:p>
        </w:tc>
        <w:tc>
          <w:tcPr>
            <w:tcW w:w="296" w:type="pct"/>
            <w:noWrap/>
            <w:vAlign w:val="center"/>
          </w:tcPr>
          <w:p w14:paraId="250E6E63">
            <w:pPr>
              <w:pStyle w:val="28"/>
              <w:bidi w:val="0"/>
            </w:pPr>
            <w:r>
              <w:t>留</w:t>
            </w:r>
          </w:p>
        </w:tc>
        <w:tc>
          <w:tcPr>
            <w:tcW w:w="296" w:type="pct"/>
            <w:noWrap/>
            <w:vAlign w:val="center"/>
          </w:tcPr>
          <w:p w14:paraId="6EF7D7F8">
            <w:pPr>
              <w:pStyle w:val="28"/>
              <w:bidi w:val="0"/>
            </w:pPr>
            <w:r>
              <w:t>东</w:t>
            </w:r>
          </w:p>
        </w:tc>
        <w:tc>
          <w:tcPr>
            <w:tcW w:w="368" w:type="pct"/>
            <w:noWrap/>
            <w:vAlign w:val="center"/>
          </w:tcPr>
          <w:p w14:paraId="01CC2C6C">
            <w:pPr>
              <w:pStyle w:val="28"/>
              <w:bidi w:val="0"/>
            </w:pPr>
          </w:p>
        </w:tc>
        <w:tc>
          <w:tcPr>
            <w:tcW w:w="296" w:type="pct"/>
            <w:noWrap/>
            <w:vAlign w:val="center"/>
          </w:tcPr>
          <w:p w14:paraId="466B07ED">
            <w:pPr>
              <w:pStyle w:val="28"/>
              <w:bidi w:val="0"/>
            </w:pPr>
            <w:r>
              <w:t>++++</w:t>
            </w:r>
          </w:p>
        </w:tc>
        <w:tc>
          <w:tcPr>
            <w:tcW w:w="501" w:type="pct"/>
            <w:noWrap/>
            <w:vAlign w:val="center"/>
          </w:tcPr>
          <w:p w14:paraId="625CF1B7">
            <w:pPr>
              <w:pStyle w:val="28"/>
              <w:bidi w:val="0"/>
            </w:pPr>
            <w:r>
              <w:t>√</w:t>
            </w:r>
          </w:p>
        </w:tc>
        <w:tc>
          <w:tcPr>
            <w:tcW w:w="902" w:type="pct"/>
            <w:noWrap/>
            <w:vAlign w:val="center"/>
          </w:tcPr>
          <w:p w14:paraId="3AEDEA37">
            <w:pPr>
              <w:pStyle w:val="28"/>
              <w:bidi w:val="0"/>
            </w:pPr>
            <w:r>
              <w:t>林地、村庄</w:t>
            </w:r>
          </w:p>
        </w:tc>
      </w:tr>
      <w:tr w14:paraId="0F740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76ADB550">
            <w:pPr>
              <w:pStyle w:val="28"/>
              <w:bidi w:val="0"/>
            </w:pPr>
            <w:r>
              <w:rPr>
                <w:rFonts w:hint="eastAsia"/>
              </w:rPr>
              <w:t>3</w:t>
            </w:r>
            <w:r>
              <w:t>、山斑鸠</w:t>
            </w:r>
          </w:p>
        </w:tc>
        <w:tc>
          <w:tcPr>
            <w:tcW w:w="856" w:type="pct"/>
            <w:noWrap/>
            <w:vAlign w:val="center"/>
          </w:tcPr>
          <w:p w14:paraId="2AB891A8">
            <w:pPr>
              <w:pStyle w:val="28"/>
              <w:bidi w:val="0"/>
              <w:rPr>
                <w:i/>
                <w:iCs/>
              </w:rPr>
            </w:pPr>
            <w:r>
              <w:rPr>
                <w:i/>
                <w:iCs/>
              </w:rPr>
              <w:t>Streptopelia orientalis</w:t>
            </w:r>
          </w:p>
        </w:tc>
        <w:tc>
          <w:tcPr>
            <w:tcW w:w="368" w:type="pct"/>
            <w:noWrap/>
            <w:vAlign w:val="center"/>
          </w:tcPr>
          <w:p w14:paraId="3DDF7D68">
            <w:pPr>
              <w:pStyle w:val="28"/>
              <w:bidi w:val="0"/>
            </w:pPr>
            <w:r>
              <w:t>LC</w:t>
            </w:r>
          </w:p>
        </w:tc>
        <w:tc>
          <w:tcPr>
            <w:tcW w:w="297" w:type="pct"/>
            <w:noWrap/>
            <w:vAlign w:val="center"/>
          </w:tcPr>
          <w:p w14:paraId="66E7C2A4">
            <w:pPr>
              <w:pStyle w:val="28"/>
              <w:bidi w:val="0"/>
            </w:pPr>
            <w:r>
              <w:t>否</w:t>
            </w:r>
          </w:p>
        </w:tc>
        <w:tc>
          <w:tcPr>
            <w:tcW w:w="296" w:type="pct"/>
            <w:noWrap/>
            <w:vAlign w:val="center"/>
          </w:tcPr>
          <w:p w14:paraId="5EF50A8C">
            <w:pPr>
              <w:pStyle w:val="28"/>
              <w:bidi w:val="0"/>
            </w:pPr>
            <w:r>
              <w:t>留</w:t>
            </w:r>
          </w:p>
        </w:tc>
        <w:tc>
          <w:tcPr>
            <w:tcW w:w="296" w:type="pct"/>
            <w:noWrap/>
            <w:vAlign w:val="center"/>
          </w:tcPr>
          <w:p w14:paraId="551B42AF">
            <w:pPr>
              <w:pStyle w:val="28"/>
              <w:bidi w:val="0"/>
            </w:pPr>
            <w:r>
              <w:t>古</w:t>
            </w:r>
          </w:p>
        </w:tc>
        <w:tc>
          <w:tcPr>
            <w:tcW w:w="368" w:type="pct"/>
            <w:noWrap/>
            <w:vAlign w:val="center"/>
          </w:tcPr>
          <w:p w14:paraId="27FD117A">
            <w:pPr>
              <w:pStyle w:val="28"/>
              <w:bidi w:val="0"/>
            </w:pPr>
          </w:p>
        </w:tc>
        <w:tc>
          <w:tcPr>
            <w:tcW w:w="296" w:type="pct"/>
            <w:noWrap/>
            <w:vAlign w:val="center"/>
          </w:tcPr>
          <w:p w14:paraId="53D62848">
            <w:pPr>
              <w:pStyle w:val="28"/>
              <w:bidi w:val="0"/>
            </w:pPr>
            <w:r>
              <w:t>++++</w:t>
            </w:r>
          </w:p>
        </w:tc>
        <w:tc>
          <w:tcPr>
            <w:tcW w:w="501" w:type="pct"/>
            <w:noWrap/>
            <w:vAlign w:val="center"/>
          </w:tcPr>
          <w:p w14:paraId="440E2F9E">
            <w:pPr>
              <w:pStyle w:val="28"/>
              <w:bidi w:val="0"/>
            </w:pPr>
            <w:r>
              <w:t>√</w:t>
            </w:r>
          </w:p>
        </w:tc>
        <w:tc>
          <w:tcPr>
            <w:tcW w:w="902" w:type="pct"/>
            <w:noWrap/>
            <w:vAlign w:val="center"/>
          </w:tcPr>
          <w:p w14:paraId="55BECEC5">
            <w:pPr>
              <w:pStyle w:val="28"/>
              <w:bidi w:val="0"/>
            </w:pPr>
            <w:r>
              <w:t>林地、村庄</w:t>
            </w:r>
          </w:p>
        </w:tc>
      </w:tr>
      <w:tr w14:paraId="221C4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305D3745">
            <w:pPr>
              <w:pStyle w:val="28"/>
              <w:bidi w:val="0"/>
            </w:pPr>
            <w:r>
              <w:rPr>
                <w:rFonts w:hint="eastAsia"/>
              </w:rPr>
              <w:t>三</w:t>
            </w:r>
            <w:r>
              <w:t>、鹃形目</w:t>
            </w:r>
          </w:p>
        </w:tc>
        <w:tc>
          <w:tcPr>
            <w:tcW w:w="856" w:type="pct"/>
            <w:noWrap/>
            <w:vAlign w:val="center"/>
          </w:tcPr>
          <w:p w14:paraId="198CBAA5">
            <w:pPr>
              <w:pStyle w:val="28"/>
              <w:bidi w:val="0"/>
            </w:pPr>
            <w:r>
              <w:t>Cuculiformes</w:t>
            </w:r>
          </w:p>
        </w:tc>
        <w:tc>
          <w:tcPr>
            <w:tcW w:w="368" w:type="pct"/>
            <w:noWrap/>
            <w:vAlign w:val="center"/>
          </w:tcPr>
          <w:p w14:paraId="379FB026">
            <w:pPr>
              <w:pStyle w:val="28"/>
              <w:bidi w:val="0"/>
            </w:pPr>
          </w:p>
        </w:tc>
        <w:tc>
          <w:tcPr>
            <w:tcW w:w="297" w:type="pct"/>
            <w:noWrap/>
            <w:vAlign w:val="center"/>
          </w:tcPr>
          <w:p w14:paraId="0C8DF8FE">
            <w:pPr>
              <w:pStyle w:val="28"/>
              <w:bidi w:val="0"/>
            </w:pPr>
          </w:p>
        </w:tc>
        <w:tc>
          <w:tcPr>
            <w:tcW w:w="296" w:type="pct"/>
            <w:noWrap/>
            <w:vAlign w:val="center"/>
          </w:tcPr>
          <w:p w14:paraId="60F4311C">
            <w:pPr>
              <w:pStyle w:val="28"/>
              <w:bidi w:val="0"/>
            </w:pPr>
          </w:p>
        </w:tc>
        <w:tc>
          <w:tcPr>
            <w:tcW w:w="296" w:type="pct"/>
            <w:noWrap/>
            <w:vAlign w:val="center"/>
          </w:tcPr>
          <w:p w14:paraId="679796DC">
            <w:pPr>
              <w:pStyle w:val="28"/>
              <w:bidi w:val="0"/>
            </w:pPr>
          </w:p>
        </w:tc>
        <w:tc>
          <w:tcPr>
            <w:tcW w:w="368" w:type="pct"/>
            <w:noWrap/>
            <w:vAlign w:val="center"/>
          </w:tcPr>
          <w:p w14:paraId="030D6AA6">
            <w:pPr>
              <w:pStyle w:val="28"/>
              <w:bidi w:val="0"/>
            </w:pPr>
          </w:p>
        </w:tc>
        <w:tc>
          <w:tcPr>
            <w:tcW w:w="296" w:type="pct"/>
            <w:noWrap/>
            <w:vAlign w:val="center"/>
          </w:tcPr>
          <w:p w14:paraId="0A501CE4">
            <w:pPr>
              <w:pStyle w:val="28"/>
              <w:bidi w:val="0"/>
            </w:pPr>
          </w:p>
        </w:tc>
        <w:tc>
          <w:tcPr>
            <w:tcW w:w="501" w:type="pct"/>
            <w:noWrap/>
            <w:vAlign w:val="center"/>
          </w:tcPr>
          <w:p w14:paraId="3F5795CA">
            <w:pPr>
              <w:pStyle w:val="28"/>
              <w:bidi w:val="0"/>
            </w:pPr>
          </w:p>
        </w:tc>
        <w:tc>
          <w:tcPr>
            <w:tcW w:w="902" w:type="pct"/>
            <w:noWrap/>
            <w:vAlign w:val="center"/>
          </w:tcPr>
          <w:p w14:paraId="39726D7E">
            <w:pPr>
              <w:pStyle w:val="28"/>
              <w:bidi w:val="0"/>
            </w:pPr>
          </w:p>
        </w:tc>
      </w:tr>
      <w:tr w14:paraId="6D869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6CCCCBBE">
            <w:pPr>
              <w:pStyle w:val="28"/>
              <w:bidi w:val="0"/>
            </w:pPr>
            <w:r>
              <w:t>（</w:t>
            </w:r>
            <w:r>
              <w:rPr>
                <w:rFonts w:hint="eastAsia"/>
              </w:rPr>
              <w:t>三</w:t>
            </w:r>
            <w:r>
              <w:t xml:space="preserve">）杜鹃科 </w:t>
            </w:r>
          </w:p>
        </w:tc>
        <w:tc>
          <w:tcPr>
            <w:tcW w:w="856" w:type="pct"/>
            <w:noWrap/>
            <w:vAlign w:val="center"/>
          </w:tcPr>
          <w:p w14:paraId="19F2075A">
            <w:pPr>
              <w:pStyle w:val="28"/>
              <w:bidi w:val="0"/>
            </w:pPr>
            <w:r>
              <w:t>Cuculidae</w:t>
            </w:r>
          </w:p>
        </w:tc>
        <w:tc>
          <w:tcPr>
            <w:tcW w:w="368" w:type="pct"/>
            <w:noWrap/>
            <w:vAlign w:val="center"/>
          </w:tcPr>
          <w:p w14:paraId="50A58D8F">
            <w:pPr>
              <w:pStyle w:val="28"/>
              <w:bidi w:val="0"/>
            </w:pPr>
          </w:p>
        </w:tc>
        <w:tc>
          <w:tcPr>
            <w:tcW w:w="297" w:type="pct"/>
            <w:noWrap/>
            <w:vAlign w:val="center"/>
          </w:tcPr>
          <w:p w14:paraId="5C60FC33">
            <w:pPr>
              <w:pStyle w:val="28"/>
              <w:bidi w:val="0"/>
            </w:pPr>
          </w:p>
        </w:tc>
        <w:tc>
          <w:tcPr>
            <w:tcW w:w="296" w:type="pct"/>
            <w:noWrap/>
            <w:vAlign w:val="center"/>
          </w:tcPr>
          <w:p w14:paraId="26A444BE">
            <w:pPr>
              <w:pStyle w:val="28"/>
              <w:bidi w:val="0"/>
            </w:pPr>
          </w:p>
        </w:tc>
        <w:tc>
          <w:tcPr>
            <w:tcW w:w="296" w:type="pct"/>
            <w:noWrap/>
            <w:vAlign w:val="center"/>
          </w:tcPr>
          <w:p w14:paraId="3C096C2C">
            <w:pPr>
              <w:pStyle w:val="28"/>
              <w:bidi w:val="0"/>
            </w:pPr>
          </w:p>
        </w:tc>
        <w:tc>
          <w:tcPr>
            <w:tcW w:w="368" w:type="pct"/>
            <w:noWrap/>
            <w:vAlign w:val="center"/>
          </w:tcPr>
          <w:p w14:paraId="6585FCCC">
            <w:pPr>
              <w:pStyle w:val="28"/>
              <w:bidi w:val="0"/>
            </w:pPr>
          </w:p>
        </w:tc>
        <w:tc>
          <w:tcPr>
            <w:tcW w:w="296" w:type="pct"/>
            <w:noWrap/>
            <w:vAlign w:val="center"/>
          </w:tcPr>
          <w:p w14:paraId="3BBF1DC0">
            <w:pPr>
              <w:pStyle w:val="28"/>
              <w:bidi w:val="0"/>
            </w:pPr>
          </w:p>
        </w:tc>
        <w:tc>
          <w:tcPr>
            <w:tcW w:w="501" w:type="pct"/>
            <w:noWrap/>
            <w:vAlign w:val="center"/>
          </w:tcPr>
          <w:p w14:paraId="6E17EEA9">
            <w:pPr>
              <w:pStyle w:val="28"/>
              <w:bidi w:val="0"/>
            </w:pPr>
          </w:p>
        </w:tc>
        <w:tc>
          <w:tcPr>
            <w:tcW w:w="902" w:type="pct"/>
            <w:noWrap/>
            <w:vAlign w:val="center"/>
          </w:tcPr>
          <w:p w14:paraId="7D9ED151">
            <w:pPr>
              <w:pStyle w:val="28"/>
              <w:bidi w:val="0"/>
            </w:pPr>
          </w:p>
        </w:tc>
      </w:tr>
      <w:tr w14:paraId="52560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07A9B9B4">
            <w:pPr>
              <w:pStyle w:val="28"/>
              <w:bidi w:val="0"/>
            </w:pPr>
            <w:r>
              <w:rPr>
                <w:rFonts w:hint="eastAsia"/>
              </w:rPr>
              <w:t>4</w:t>
            </w:r>
            <w:r>
              <w:t>、大杜鹃</w:t>
            </w:r>
          </w:p>
        </w:tc>
        <w:tc>
          <w:tcPr>
            <w:tcW w:w="856" w:type="pct"/>
            <w:noWrap/>
            <w:vAlign w:val="center"/>
          </w:tcPr>
          <w:p w14:paraId="59CCFA64">
            <w:pPr>
              <w:pStyle w:val="28"/>
              <w:bidi w:val="0"/>
              <w:rPr>
                <w:i/>
                <w:iCs/>
              </w:rPr>
            </w:pPr>
            <w:r>
              <w:rPr>
                <w:i/>
                <w:iCs/>
              </w:rPr>
              <w:t>Cuculus canorus</w:t>
            </w:r>
          </w:p>
        </w:tc>
        <w:tc>
          <w:tcPr>
            <w:tcW w:w="368" w:type="pct"/>
            <w:noWrap/>
            <w:vAlign w:val="center"/>
          </w:tcPr>
          <w:p w14:paraId="1006EEB7">
            <w:pPr>
              <w:pStyle w:val="28"/>
              <w:bidi w:val="0"/>
            </w:pPr>
            <w:r>
              <w:t>LC</w:t>
            </w:r>
          </w:p>
        </w:tc>
        <w:tc>
          <w:tcPr>
            <w:tcW w:w="297" w:type="pct"/>
            <w:noWrap/>
            <w:vAlign w:val="center"/>
          </w:tcPr>
          <w:p w14:paraId="00C45D20">
            <w:pPr>
              <w:pStyle w:val="28"/>
              <w:bidi w:val="0"/>
            </w:pPr>
            <w:r>
              <w:t>否</w:t>
            </w:r>
          </w:p>
        </w:tc>
        <w:tc>
          <w:tcPr>
            <w:tcW w:w="296" w:type="pct"/>
            <w:noWrap/>
            <w:vAlign w:val="center"/>
          </w:tcPr>
          <w:p w14:paraId="12C1EFC1">
            <w:pPr>
              <w:pStyle w:val="28"/>
              <w:bidi w:val="0"/>
            </w:pPr>
            <w:r>
              <w:t>夏</w:t>
            </w:r>
          </w:p>
        </w:tc>
        <w:tc>
          <w:tcPr>
            <w:tcW w:w="296" w:type="pct"/>
            <w:noWrap/>
            <w:vAlign w:val="center"/>
          </w:tcPr>
          <w:p w14:paraId="2EADBCF2">
            <w:pPr>
              <w:pStyle w:val="28"/>
              <w:bidi w:val="0"/>
            </w:pPr>
            <w:r>
              <w:t>广</w:t>
            </w:r>
          </w:p>
        </w:tc>
        <w:tc>
          <w:tcPr>
            <w:tcW w:w="368" w:type="pct"/>
            <w:noWrap/>
            <w:vAlign w:val="center"/>
          </w:tcPr>
          <w:p w14:paraId="384220FF">
            <w:pPr>
              <w:pStyle w:val="28"/>
              <w:bidi w:val="0"/>
            </w:pPr>
            <w:r>
              <w:t>省Ⅰ</w:t>
            </w:r>
          </w:p>
        </w:tc>
        <w:tc>
          <w:tcPr>
            <w:tcW w:w="296" w:type="pct"/>
            <w:noWrap/>
            <w:vAlign w:val="center"/>
          </w:tcPr>
          <w:p w14:paraId="5B6AA2D0">
            <w:pPr>
              <w:pStyle w:val="28"/>
              <w:bidi w:val="0"/>
            </w:pPr>
            <w:r>
              <w:t>++</w:t>
            </w:r>
          </w:p>
        </w:tc>
        <w:tc>
          <w:tcPr>
            <w:tcW w:w="501" w:type="pct"/>
            <w:noWrap/>
            <w:vAlign w:val="center"/>
          </w:tcPr>
          <w:p w14:paraId="7E7D23D1">
            <w:pPr>
              <w:pStyle w:val="28"/>
              <w:bidi w:val="0"/>
            </w:pPr>
          </w:p>
        </w:tc>
        <w:tc>
          <w:tcPr>
            <w:tcW w:w="902" w:type="pct"/>
            <w:noWrap/>
            <w:vAlign w:val="center"/>
          </w:tcPr>
          <w:p w14:paraId="7CBB6F5B">
            <w:pPr>
              <w:pStyle w:val="28"/>
              <w:bidi w:val="0"/>
            </w:pPr>
            <w:r>
              <w:t>林地</w:t>
            </w:r>
          </w:p>
        </w:tc>
      </w:tr>
      <w:tr w14:paraId="4BBF4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2F7C9EB3">
            <w:pPr>
              <w:pStyle w:val="28"/>
              <w:bidi w:val="0"/>
            </w:pPr>
            <w:r>
              <w:rPr>
                <w:rFonts w:hint="eastAsia"/>
              </w:rPr>
              <w:t>5</w:t>
            </w:r>
            <w:r>
              <w:t>、小鸦鹃</w:t>
            </w:r>
          </w:p>
        </w:tc>
        <w:tc>
          <w:tcPr>
            <w:tcW w:w="856" w:type="pct"/>
            <w:noWrap/>
            <w:vAlign w:val="center"/>
          </w:tcPr>
          <w:p w14:paraId="53927BAD">
            <w:pPr>
              <w:pStyle w:val="28"/>
              <w:bidi w:val="0"/>
              <w:rPr>
                <w:i/>
                <w:iCs/>
              </w:rPr>
            </w:pPr>
            <w:r>
              <w:rPr>
                <w:i/>
                <w:iCs/>
              </w:rPr>
              <w:t>Centropus bengalensis</w:t>
            </w:r>
          </w:p>
        </w:tc>
        <w:tc>
          <w:tcPr>
            <w:tcW w:w="368" w:type="pct"/>
            <w:noWrap/>
            <w:vAlign w:val="center"/>
          </w:tcPr>
          <w:p w14:paraId="24F5C5A1">
            <w:pPr>
              <w:pStyle w:val="28"/>
              <w:bidi w:val="0"/>
            </w:pPr>
            <w:r>
              <w:t>LC</w:t>
            </w:r>
          </w:p>
        </w:tc>
        <w:tc>
          <w:tcPr>
            <w:tcW w:w="297" w:type="pct"/>
            <w:noWrap/>
            <w:vAlign w:val="center"/>
          </w:tcPr>
          <w:p w14:paraId="2DFA7206">
            <w:pPr>
              <w:pStyle w:val="28"/>
              <w:bidi w:val="0"/>
            </w:pPr>
            <w:r>
              <w:t>否</w:t>
            </w:r>
          </w:p>
        </w:tc>
        <w:tc>
          <w:tcPr>
            <w:tcW w:w="296" w:type="pct"/>
            <w:noWrap/>
            <w:vAlign w:val="center"/>
          </w:tcPr>
          <w:p w14:paraId="3F14D05F">
            <w:pPr>
              <w:pStyle w:val="28"/>
              <w:bidi w:val="0"/>
            </w:pPr>
            <w:r>
              <w:t>夏</w:t>
            </w:r>
          </w:p>
        </w:tc>
        <w:tc>
          <w:tcPr>
            <w:tcW w:w="296" w:type="pct"/>
            <w:noWrap/>
            <w:vAlign w:val="center"/>
          </w:tcPr>
          <w:p w14:paraId="09A74029">
            <w:pPr>
              <w:pStyle w:val="28"/>
              <w:bidi w:val="0"/>
            </w:pPr>
            <w:r>
              <w:t>东</w:t>
            </w:r>
          </w:p>
        </w:tc>
        <w:tc>
          <w:tcPr>
            <w:tcW w:w="368" w:type="pct"/>
            <w:noWrap/>
            <w:vAlign w:val="center"/>
          </w:tcPr>
          <w:p w14:paraId="0E7073FA">
            <w:pPr>
              <w:pStyle w:val="28"/>
              <w:bidi w:val="0"/>
            </w:pPr>
            <w:r>
              <w:t>国Ⅱ</w:t>
            </w:r>
          </w:p>
        </w:tc>
        <w:tc>
          <w:tcPr>
            <w:tcW w:w="296" w:type="pct"/>
            <w:noWrap/>
            <w:vAlign w:val="center"/>
          </w:tcPr>
          <w:p w14:paraId="07E13146">
            <w:pPr>
              <w:pStyle w:val="28"/>
              <w:bidi w:val="0"/>
            </w:pPr>
            <w:r>
              <w:t>+</w:t>
            </w:r>
          </w:p>
        </w:tc>
        <w:tc>
          <w:tcPr>
            <w:tcW w:w="501" w:type="pct"/>
            <w:noWrap/>
            <w:vAlign w:val="center"/>
          </w:tcPr>
          <w:p w14:paraId="50A64D67">
            <w:pPr>
              <w:pStyle w:val="28"/>
              <w:bidi w:val="0"/>
            </w:pPr>
          </w:p>
        </w:tc>
        <w:tc>
          <w:tcPr>
            <w:tcW w:w="902" w:type="pct"/>
            <w:noWrap/>
            <w:vAlign w:val="center"/>
          </w:tcPr>
          <w:p w14:paraId="0206F714">
            <w:pPr>
              <w:pStyle w:val="28"/>
              <w:bidi w:val="0"/>
            </w:pPr>
            <w:r>
              <w:t>灌丛、草丛、林地</w:t>
            </w:r>
          </w:p>
        </w:tc>
      </w:tr>
      <w:tr w14:paraId="2E4CD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6950B1DC">
            <w:pPr>
              <w:pStyle w:val="28"/>
              <w:bidi w:val="0"/>
            </w:pPr>
            <w:r>
              <w:rPr>
                <w:rFonts w:hint="eastAsia"/>
              </w:rPr>
              <w:t>四</w:t>
            </w:r>
            <w:r>
              <w:t>、鹤形目</w:t>
            </w:r>
          </w:p>
        </w:tc>
        <w:tc>
          <w:tcPr>
            <w:tcW w:w="856" w:type="pct"/>
            <w:noWrap/>
            <w:vAlign w:val="center"/>
          </w:tcPr>
          <w:p w14:paraId="7820DC96">
            <w:pPr>
              <w:pStyle w:val="28"/>
              <w:bidi w:val="0"/>
            </w:pPr>
            <w:r>
              <w:t>Gruiformes</w:t>
            </w:r>
          </w:p>
        </w:tc>
        <w:tc>
          <w:tcPr>
            <w:tcW w:w="368" w:type="pct"/>
            <w:noWrap/>
            <w:vAlign w:val="center"/>
          </w:tcPr>
          <w:p w14:paraId="306E6B3A">
            <w:pPr>
              <w:pStyle w:val="28"/>
              <w:bidi w:val="0"/>
            </w:pPr>
          </w:p>
        </w:tc>
        <w:tc>
          <w:tcPr>
            <w:tcW w:w="297" w:type="pct"/>
            <w:noWrap/>
            <w:vAlign w:val="center"/>
          </w:tcPr>
          <w:p w14:paraId="47964062">
            <w:pPr>
              <w:pStyle w:val="28"/>
              <w:bidi w:val="0"/>
            </w:pPr>
          </w:p>
        </w:tc>
        <w:tc>
          <w:tcPr>
            <w:tcW w:w="296" w:type="pct"/>
            <w:noWrap/>
            <w:vAlign w:val="center"/>
          </w:tcPr>
          <w:p w14:paraId="4EE30F1C">
            <w:pPr>
              <w:pStyle w:val="28"/>
              <w:bidi w:val="0"/>
            </w:pPr>
          </w:p>
        </w:tc>
        <w:tc>
          <w:tcPr>
            <w:tcW w:w="296" w:type="pct"/>
            <w:noWrap/>
            <w:vAlign w:val="center"/>
          </w:tcPr>
          <w:p w14:paraId="04F3501C">
            <w:pPr>
              <w:pStyle w:val="28"/>
              <w:bidi w:val="0"/>
            </w:pPr>
          </w:p>
        </w:tc>
        <w:tc>
          <w:tcPr>
            <w:tcW w:w="368" w:type="pct"/>
            <w:noWrap/>
            <w:vAlign w:val="center"/>
          </w:tcPr>
          <w:p w14:paraId="3805806F">
            <w:pPr>
              <w:pStyle w:val="28"/>
              <w:bidi w:val="0"/>
            </w:pPr>
          </w:p>
        </w:tc>
        <w:tc>
          <w:tcPr>
            <w:tcW w:w="296" w:type="pct"/>
            <w:noWrap/>
            <w:vAlign w:val="center"/>
          </w:tcPr>
          <w:p w14:paraId="1C9C5679">
            <w:pPr>
              <w:pStyle w:val="28"/>
              <w:bidi w:val="0"/>
            </w:pPr>
          </w:p>
        </w:tc>
        <w:tc>
          <w:tcPr>
            <w:tcW w:w="501" w:type="pct"/>
            <w:noWrap/>
            <w:vAlign w:val="center"/>
          </w:tcPr>
          <w:p w14:paraId="4AC83A7B">
            <w:pPr>
              <w:pStyle w:val="28"/>
              <w:bidi w:val="0"/>
            </w:pPr>
          </w:p>
        </w:tc>
        <w:tc>
          <w:tcPr>
            <w:tcW w:w="902" w:type="pct"/>
            <w:noWrap/>
            <w:vAlign w:val="center"/>
          </w:tcPr>
          <w:p w14:paraId="771F25C0">
            <w:pPr>
              <w:pStyle w:val="28"/>
              <w:bidi w:val="0"/>
            </w:pPr>
          </w:p>
        </w:tc>
      </w:tr>
      <w:tr w14:paraId="2BEA4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5F68DB2D">
            <w:pPr>
              <w:pStyle w:val="28"/>
              <w:bidi w:val="0"/>
            </w:pPr>
            <w:r>
              <w:t>（</w:t>
            </w:r>
            <w:r>
              <w:rPr>
                <w:rFonts w:hint="eastAsia"/>
              </w:rPr>
              <w:t>四</w:t>
            </w:r>
            <w:r>
              <w:t xml:space="preserve">）秧鸡科 </w:t>
            </w:r>
          </w:p>
        </w:tc>
        <w:tc>
          <w:tcPr>
            <w:tcW w:w="856" w:type="pct"/>
            <w:noWrap/>
            <w:vAlign w:val="center"/>
          </w:tcPr>
          <w:p w14:paraId="1AAED75B">
            <w:pPr>
              <w:pStyle w:val="28"/>
              <w:bidi w:val="0"/>
            </w:pPr>
            <w:r>
              <w:t>Rallidae</w:t>
            </w:r>
          </w:p>
        </w:tc>
        <w:tc>
          <w:tcPr>
            <w:tcW w:w="368" w:type="pct"/>
            <w:noWrap/>
            <w:vAlign w:val="center"/>
          </w:tcPr>
          <w:p w14:paraId="39CB3F4E">
            <w:pPr>
              <w:pStyle w:val="28"/>
              <w:bidi w:val="0"/>
            </w:pPr>
          </w:p>
        </w:tc>
        <w:tc>
          <w:tcPr>
            <w:tcW w:w="297" w:type="pct"/>
            <w:noWrap/>
            <w:vAlign w:val="center"/>
          </w:tcPr>
          <w:p w14:paraId="0B1BF77A">
            <w:pPr>
              <w:pStyle w:val="28"/>
              <w:bidi w:val="0"/>
            </w:pPr>
          </w:p>
        </w:tc>
        <w:tc>
          <w:tcPr>
            <w:tcW w:w="296" w:type="pct"/>
            <w:noWrap/>
            <w:vAlign w:val="center"/>
          </w:tcPr>
          <w:p w14:paraId="15F4FF4E">
            <w:pPr>
              <w:pStyle w:val="28"/>
              <w:bidi w:val="0"/>
            </w:pPr>
          </w:p>
        </w:tc>
        <w:tc>
          <w:tcPr>
            <w:tcW w:w="296" w:type="pct"/>
            <w:noWrap/>
            <w:vAlign w:val="center"/>
          </w:tcPr>
          <w:p w14:paraId="7F7D336D">
            <w:pPr>
              <w:pStyle w:val="28"/>
              <w:bidi w:val="0"/>
            </w:pPr>
          </w:p>
        </w:tc>
        <w:tc>
          <w:tcPr>
            <w:tcW w:w="368" w:type="pct"/>
            <w:noWrap/>
            <w:vAlign w:val="center"/>
          </w:tcPr>
          <w:p w14:paraId="40E184A7">
            <w:pPr>
              <w:pStyle w:val="28"/>
              <w:bidi w:val="0"/>
            </w:pPr>
          </w:p>
        </w:tc>
        <w:tc>
          <w:tcPr>
            <w:tcW w:w="296" w:type="pct"/>
            <w:noWrap/>
            <w:vAlign w:val="center"/>
          </w:tcPr>
          <w:p w14:paraId="7CBFAFA1">
            <w:pPr>
              <w:pStyle w:val="28"/>
              <w:bidi w:val="0"/>
            </w:pPr>
          </w:p>
        </w:tc>
        <w:tc>
          <w:tcPr>
            <w:tcW w:w="501" w:type="pct"/>
            <w:noWrap/>
            <w:vAlign w:val="center"/>
          </w:tcPr>
          <w:p w14:paraId="1784AD7B">
            <w:pPr>
              <w:pStyle w:val="28"/>
              <w:bidi w:val="0"/>
            </w:pPr>
          </w:p>
        </w:tc>
        <w:tc>
          <w:tcPr>
            <w:tcW w:w="902" w:type="pct"/>
            <w:noWrap/>
            <w:vAlign w:val="center"/>
          </w:tcPr>
          <w:p w14:paraId="0EDB3FAA">
            <w:pPr>
              <w:pStyle w:val="28"/>
              <w:bidi w:val="0"/>
            </w:pPr>
          </w:p>
        </w:tc>
      </w:tr>
      <w:tr w14:paraId="515C7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68A37AA7">
            <w:pPr>
              <w:pStyle w:val="28"/>
              <w:bidi w:val="0"/>
            </w:pPr>
            <w:r>
              <w:rPr>
                <w:rFonts w:hint="eastAsia"/>
              </w:rPr>
              <w:t>6</w:t>
            </w:r>
            <w:r>
              <w:t>、黑水鸡</w:t>
            </w:r>
          </w:p>
        </w:tc>
        <w:tc>
          <w:tcPr>
            <w:tcW w:w="856" w:type="pct"/>
            <w:noWrap/>
            <w:vAlign w:val="center"/>
          </w:tcPr>
          <w:p w14:paraId="7B6AAF24">
            <w:pPr>
              <w:pStyle w:val="28"/>
              <w:bidi w:val="0"/>
              <w:rPr>
                <w:i/>
                <w:iCs/>
              </w:rPr>
            </w:pPr>
            <w:r>
              <w:rPr>
                <w:i/>
                <w:iCs/>
              </w:rPr>
              <w:t>Gallinula chloropus</w:t>
            </w:r>
          </w:p>
        </w:tc>
        <w:tc>
          <w:tcPr>
            <w:tcW w:w="368" w:type="pct"/>
            <w:noWrap/>
            <w:vAlign w:val="center"/>
          </w:tcPr>
          <w:p w14:paraId="544C1B38">
            <w:pPr>
              <w:pStyle w:val="28"/>
              <w:bidi w:val="0"/>
            </w:pPr>
            <w:r>
              <w:t>LC</w:t>
            </w:r>
          </w:p>
        </w:tc>
        <w:tc>
          <w:tcPr>
            <w:tcW w:w="297" w:type="pct"/>
            <w:noWrap/>
            <w:vAlign w:val="center"/>
          </w:tcPr>
          <w:p w14:paraId="599470E7">
            <w:pPr>
              <w:pStyle w:val="28"/>
              <w:bidi w:val="0"/>
            </w:pPr>
            <w:r>
              <w:t>否</w:t>
            </w:r>
          </w:p>
        </w:tc>
        <w:tc>
          <w:tcPr>
            <w:tcW w:w="296" w:type="pct"/>
            <w:noWrap/>
            <w:vAlign w:val="center"/>
          </w:tcPr>
          <w:p w14:paraId="57671EB6">
            <w:pPr>
              <w:pStyle w:val="28"/>
              <w:bidi w:val="0"/>
            </w:pPr>
            <w:r>
              <w:t>留</w:t>
            </w:r>
          </w:p>
        </w:tc>
        <w:tc>
          <w:tcPr>
            <w:tcW w:w="296" w:type="pct"/>
            <w:noWrap/>
            <w:vAlign w:val="center"/>
          </w:tcPr>
          <w:p w14:paraId="0BE58614">
            <w:pPr>
              <w:pStyle w:val="28"/>
              <w:bidi w:val="0"/>
            </w:pPr>
            <w:r>
              <w:t>东</w:t>
            </w:r>
          </w:p>
        </w:tc>
        <w:tc>
          <w:tcPr>
            <w:tcW w:w="368" w:type="pct"/>
            <w:noWrap/>
            <w:vAlign w:val="center"/>
          </w:tcPr>
          <w:p w14:paraId="645E8770">
            <w:pPr>
              <w:pStyle w:val="28"/>
              <w:bidi w:val="0"/>
            </w:pPr>
          </w:p>
        </w:tc>
        <w:tc>
          <w:tcPr>
            <w:tcW w:w="296" w:type="pct"/>
            <w:noWrap/>
            <w:vAlign w:val="center"/>
          </w:tcPr>
          <w:p w14:paraId="32BFC11D">
            <w:pPr>
              <w:pStyle w:val="28"/>
              <w:bidi w:val="0"/>
            </w:pPr>
            <w:r>
              <w:t>+++</w:t>
            </w:r>
          </w:p>
        </w:tc>
        <w:tc>
          <w:tcPr>
            <w:tcW w:w="501" w:type="pct"/>
            <w:noWrap/>
            <w:vAlign w:val="center"/>
          </w:tcPr>
          <w:p w14:paraId="2E9B1067">
            <w:pPr>
              <w:pStyle w:val="28"/>
              <w:bidi w:val="0"/>
            </w:pPr>
          </w:p>
        </w:tc>
        <w:tc>
          <w:tcPr>
            <w:tcW w:w="902" w:type="pct"/>
            <w:noWrap/>
            <w:vAlign w:val="center"/>
          </w:tcPr>
          <w:p w14:paraId="6D229288">
            <w:pPr>
              <w:pStyle w:val="28"/>
              <w:bidi w:val="0"/>
            </w:pPr>
            <w:r>
              <w:t>水塘、河流</w:t>
            </w:r>
          </w:p>
        </w:tc>
      </w:tr>
      <w:tr w14:paraId="4190F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6C87B985">
            <w:pPr>
              <w:pStyle w:val="28"/>
              <w:bidi w:val="0"/>
            </w:pPr>
            <w:r>
              <w:rPr>
                <w:rFonts w:hint="eastAsia"/>
              </w:rPr>
              <w:t>7、</w:t>
            </w:r>
            <w:r>
              <w:t>白骨顶</w:t>
            </w:r>
          </w:p>
        </w:tc>
        <w:tc>
          <w:tcPr>
            <w:tcW w:w="856" w:type="pct"/>
            <w:noWrap/>
            <w:vAlign w:val="center"/>
          </w:tcPr>
          <w:p w14:paraId="27A63016">
            <w:pPr>
              <w:pStyle w:val="28"/>
              <w:bidi w:val="0"/>
              <w:rPr>
                <w:i/>
                <w:iCs/>
              </w:rPr>
            </w:pPr>
            <w:r>
              <w:rPr>
                <w:i/>
                <w:iCs/>
              </w:rPr>
              <w:t>Fulica atra</w:t>
            </w:r>
          </w:p>
        </w:tc>
        <w:tc>
          <w:tcPr>
            <w:tcW w:w="368" w:type="pct"/>
            <w:shd w:val="clear" w:color="auto" w:fill="auto"/>
            <w:noWrap/>
            <w:vAlign w:val="center"/>
          </w:tcPr>
          <w:p w14:paraId="4B50CAE6">
            <w:pPr>
              <w:pStyle w:val="28"/>
              <w:bidi w:val="0"/>
            </w:pPr>
            <w:r>
              <w:t>LC</w:t>
            </w:r>
          </w:p>
        </w:tc>
        <w:tc>
          <w:tcPr>
            <w:tcW w:w="297" w:type="pct"/>
            <w:shd w:val="clear" w:color="auto" w:fill="auto"/>
            <w:noWrap/>
            <w:vAlign w:val="center"/>
          </w:tcPr>
          <w:p w14:paraId="74AAE03E">
            <w:pPr>
              <w:pStyle w:val="28"/>
              <w:bidi w:val="0"/>
            </w:pPr>
            <w:r>
              <w:t>否</w:t>
            </w:r>
          </w:p>
        </w:tc>
        <w:tc>
          <w:tcPr>
            <w:tcW w:w="296" w:type="pct"/>
            <w:shd w:val="clear" w:color="auto" w:fill="auto"/>
            <w:noWrap/>
            <w:vAlign w:val="center"/>
          </w:tcPr>
          <w:p w14:paraId="58A45DE1">
            <w:pPr>
              <w:pStyle w:val="28"/>
              <w:bidi w:val="0"/>
            </w:pPr>
            <w:r>
              <w:t>夏</w:t>
            </w:r>
          </w:p>
        </w:tc>
        <w:tc>
          <w:tcPr>
            <w:tcW w:w="296" w:type="pct"/>
            <w:shd w:val="clear" w:color="auto" w:fill="auto"/>
            <w:noWrap/>
            <w:vAlign w:val="center"/>
          </w:tcPr>
          <w:p w14:paraId="1EE79813">
            <w:pPr>
              <w:pStyle w:val="28"/>
              <w:bidi w:val="0"/>
            </w:pPr>
            <w:r>
              <w:t>广</w:t>
            </w:r>
          </w:p>
        </w:tc>
        <w:tc>
          <w:tcPr>
            <w:tcW w:w="368" w:type="pct"/>
            <w:noWrap/>
            <w:vAlign w:val="center"/>
          </w:tcPr>
          <w:p w14:paraId="2E227949">
            <w:pPr>
              <w:pStyle w:val="28"/>
              <w:bidi w:val="0"/>
            </w:pPr>
          </w:p>
        </w:tc>
        <w:tc>
          <w:tcPr>
            <w:tcW w:w="296" w:type="pct"/>
            <w:noWrap/>
            <w:vAlign w:val="center"/>
          </w:tcPr>
          <w:p w14:paraId="628385DE">
            <w:pPr>
              <w:pStyle w:val="28"/>
              <w:bidi w:val="0"/>
            </w:pPr>
          </w:p>
        </w:tc>
        <w:tc>
          <w:tcPr>
            <w:tcW w:w="501" w:type="pct"/>
            <w:noWrap/>
            <w:vAlign w:val="center"/>
          </w:tcPr>
          <w:p w14:paraId="0A025690">
            <w:pPr>
              <w:pStyle w:val="28"/>
              <w:bidi w:val="0"/>
            </w:pPr>
          </w:p>
        </w:tc>
        <w:tc>
          <w:tcPr>
            <w:tcW w:w="902" w:type="pct"/>
            <w:noWrap/>
            <w:vAlign w:val="center"/>
          </w:tcPr>
          <w:p w14:paraId="12698E5D">
            <w:pPr>
              <w:pStyle w:val="28"/>
              <w:bidi w:val="0"/>
            </w:pPr>
            <w:r>
              <w:t>草地、湖滩</w:t>
            </w:r>
          </w:p>
        </w:tc>
      </w:tr>
      <w:tr w14:paraId="54D75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1DAC4C41">
            <w:pPr>
              <w:pStyle w:val="28"/>
              <w:bidi w:val="0"/>
            </w:pPr>
            <w:r>
              <w:rPr>
                <w:rFonts w:hint="eastAsia"/>
              </w:rPr>
              <w:t>五</w:t>
            </w:r>
            <w:r>
              <w:t>、鸻形目</w:t>
            </w:r>
          </w:p>
        </w:tc>
        <w:tc>
          <w:tcPr>
            <w:tcW w:w="856" w:type="pct"/>
            <w:noWrap/>
            <w:vAlign w:val="center"/>
          </w:tcPr>
          <w:p w14:paraId="63B66D20">
            <w:pPr>
              <w:pStyle w:val="28"/>
              <w:bidi w:val="0"/>
            </w:pPr>
            <w:r>
              <w:t>Charadriiformes</w:t>
            </w:r>
          </w:p>
        </w:tc>
        <w:tc>
          <w:tcPr>
            <w:tcW w:w="368" w:type="pct"/>
            <w:noWrap/>
            <w:vAlign w:val="center"/>
          </w:tcPr>
          <w:p w14:paraId="74DC44EA">
            <w:pPr>
              <w:pStyle w:val="28"/>
              <w:bidi w:val="0"/>
            </w:pPr>
          </w:p>
        </w:tc>
        <w:tc>
          <w:tcPr>
            <w:tcW w:w="297" w:type="pct"/>
            <w:noWrap/>
            <w:vAlign w:val="center"/>
          </w:tcPr>
          <w:p w14:paraId="5F3F12B7">
            <w:pPr>
              <w:pStyle w:val="28"/>
              <w:bidi w:val="0"/>
            </w:pPr>
          </w:p>
        </w:tc>
        <w:tc>
          <w:tcPr>
            <w:tcW w:w="296" w:type="pct"/>
            <w:noWrap/>
            <w:vAlign w:val="center"/>
          </w:tcPr>
          <w:p w14:paraId="57007BE0">
            <w:pPr>
              <w:pStyle w:val="28"/>
              <w:bidi w:val="0"/>
            </w:pPr>
          </w:p>
        </w:tc>
        <w:tc>
          <w:tcPr>
            <w:tcW w:w="296" w:type="pct"/>
            <w:noWrap/>
            <w:vAlign w:val="center"/>
          </w:tcPr>
          <w:p w14:paraId="25196884">
            <w:pPr>
              <w:pStyle w:val="28"/>
              <w:bidi w:val="0"/>
            </w:pPr>
          </w:p>
        </w:tc>
        <w:tc>
          <w:tcPr>
            <w:tcW w:w="368" w:type="pct"/>
            <w:noWrap/>
            <w:vAlign w:val="center"/>
          </w:tcPr>
          <w:p w14:paraId="50D22EFA">
            <w:pPr>
              <w:pStyle w:val="28"/>
              <w:bidi w:val="0"/>
            </w:pPr>
          </w:p>
        </w:tc>
        <w:tc>
          <w:tcPr>
            <w:tcW w:w="296" w:type="pct"/>
            <w:noWrap/>
            <w:vAlign w:val="center"/>
          </w:tcPr>
          <w:p w14:paraId="6B64A24C">
            <w:pPr>
              <w:pStyle w:val="28"/>
              <w:bidi w:val="0"/>
            </w:pPr>
          </w:p>
        </w:tc>
        <w:tc>
          <w:tcPr>
            <w:tcW w:w="501" w:type="pct"/>
            <w:noWrap/>
            <w:vAlign w:val="center"/>
          </w:tcPr>
          <w:p w14:paraId="73C61E63">
            <w:pPr>
              <w:pStyle w:val="28"/>
              <w:bidi w:val="0"/>
            </w:pPr>
          </w:p>
        </w:tc>
        <w:tc>
          <w:tcPr>
            <w:tcW w:w="902" w:type="pct"/>
            <w:noWrap/>
            <w:vAlign w:val="center"/>
          </w:tcPr>
          <w:p w14:paraId="1C9EE98A">
            <w:pPr>
              <w:pStyle w:val="28"/>
              <w:bidi w:val="0"/>
            </w:pPr>
          </w:p>
        </w:tc>
      </w:tr>
      <w:tr w14:paraId="0A55D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674ECEA2">
            <w:pPr>
              <w:pStyle w:val="28"/>
              <w:bidi w:val="0"/>
            </w:pPr>
            <w:r>
              <w:t>（</w:t>
            </w:r>
            <w:r>
              <w:rPr>
                <w:rFonts w:hint="eastAsia"/>
              </w:rPr>
              <w:t>五</w:t>
            </w:r>
            <w:r>
              <w:t xml:space="preserve">）鸻科 </w:t>
            </w:r>
          </w:p>
        </w:tc>
        <w:tc>
          <w:tcPr>
            <w:tcW w:w="856" w:type="pct"/>
            <w:noWrap/>
            <w:vAlign w:val="center"/>
          </w:tcPr>
          <w:p w14:paraId="77A970C8">
            <w:pPr>
              <w:pStyle w:val="28"/>
              <w:bidi w:val="0"/>
            </w:pPr>
            <w:r>
              <w:t>Charadriidae</w:t>
            </w:r>
          </w:p>
        </w:tc>
        <w:tc>
          <w:tcPr>
            <w:tcW w:w="368" w:type="pct"/>
            <w:noWrap/>
            <w:vAlign w:val="center"/>
          </w:tcPr>
          <w:p w14:paraId="32EBFE69">
            <w:pPr>
              <w:pStyle w:val="28"/>
              <w:bidi w:val="0"/>
            </w:pPr>
          </w:p>
        </w:tc>
        <w:tc>
          <w:tcPr>
            <w:tcW w:w="297" w:type="pct"/>
            <w:noWrap/>
            <w:vAlign w:val="center"/>
          </w:tcPr>
          <w:p w14:paraId="72486853">
            <w:pPr>
              <w:pStyle w:val="28"/>
              <w:bidi w:val="0"/>
            </w:pPr>
          </w:p>
        </w:tc>
        <w:tc>
          <w:tcPr>
            <w:tcW w:w="296" w:type="pct"/>
            <w:noWrap/>
            <w:vAlign w:val="center"/>
          </w:tcPr>
          <w:p w14:paraId="0D784ACD">
            <w:pPr>
              <w:pStyle w:val="28"/>
              <w:bidi w:val="0"/>
            </w:pPr>
          </w:p>
        </w:tc>
        <w:tc>
          <w:tcPr>
            <w:tcW w:w="296" w:type="pct"/>
            <w:noWrap/>
            <w:vAlign w:val="center"/>
          </w:tcPr>
          <w:p w14:paraId="37E355EF">
            <w:pPr>
              <w:pStyle w:val="28"/>
              <w:bidi w:val="0"/>
            </w:pPr>
          </w:p>
        </w:tc>
        <w:tc>
          <w:tcPr>
            <w:tcW w:w="368" w:type="pct"/>
            <w:noWrap/>
            <w:vAlign w:val="center"/>
          </w:tcPr>
          <w:p w14:paraId="38D660A1">
            <w:pPr>
              <w:pStyle w:val="28"/>
              <w:bidi w:val="0"/>
            </w:pPr>
          </w:p>
        </w:tc>
        <w:tc>
          <w:tcPr>
            <w:tcW w:w="296" w:type="pct"/>
            <w:noWrap/>
            <w:vAlign w:val="center"/>
          </w:tcPr>
          <w:p w14:paraId="71760E80">
            <w:pPr>
              <w:pStyle w:val="28"/>
              <w:bidi w:val="0"/>
            </w:pPr>
          </w:p>
        </w:tc>
        <w:tc>
          <w:tcPr>
            <w:tcW w:w="501" w:type="pct"/>
            <w:noWrap/>
            <w:vAlign w:val="center"/>
          </w:tcPr>
          <w:p w14:paraId="1AA9FCE5">
            <w:pPr>
              <w:pStyle w:val="28"/>
              <w:bidi w:val="0"/>
            </w:pPr>
          </w:p>
        </w:tc>
        <w:tc>
          <w:tcPr>
            <w:tcW w:w="902" w:type="pct"/>
            <w:noWrap/>
            <w:vAlign w:val="center"/>
          </w:tcPr>
          <w:p w14:paraId="26557C98">
            <w:pPr>
              <w:pStyle w:val="28"/>
              <w:bidi w:val="0"/>
            </w:pPr>
          </w:p>
        </w:tc>
      </w:tr>
      <w:tr w14:paraId="0EDE93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73AB2F00">
            <w:pPr>
              <w:pStyle w:val="28"/>
              <w:bidi w:val="0"/>
            </w:pPr>
            <w:r>
              <w:t>8、灰头麦鸡</w:t>
            </w:r>
          </w:p>
        </w:tc>
        <w:tc>
          <w:tcPr>
            <w:tcW w:w="856" w:type="pct"/>
            <w:noWrap/>
            <w:vAlign w:val="center"/>
          </w:tcPr>
          <w:p w14:paraId="195BBB98">
            <w:pPr>
              <w:pStyle w:val="28"/>
              <w:bidi w:val="0"/>
              <w:rPr>
                <w:i/>
                <w:iCs/>
              </w:rPr>
            </w:pPr>
            <w:r>
              <w:rPr>
                <w:i/>
                <w:iCs/>
              </w:rPr>
              <w:t>Vanellus cinereus</w:t>
            </w:r>
          </w:p>
        </w:tc>
        <w:tc>
          <w:tcPr>
            <w:tcW w:w="368" w:type="pct"/>
            <w:noWrap/>
            <w:vAlign w:val="center"/>
          </w:tcPr>
          <w:p w14:paraId="30B496D9">
            <w:pPr>
              <w:pStyle w:val="28"/>
              <w:bidi w:val="0"/>
            </w:pPr>
            <w:r>
              <w:t>LC</w:t>
            </w:r>
          </w:p>
        </w:tc>
        <w:tc>
          <w:tcPr>
            <w:tcW w:w="297" w:type="pct"/>
            <w:noWrap/>
            <w:vAlign w:val="center"/>
          </w:tcPr>
          <w:p w14:paraId="05D6629D">
            <w:pPr>
              <w:pStyle w:val="28"/>
              <w:bidi w:val="0"/>
            </w:pPr>
            <w:r>
              <w:t>否</w:t>
            </w:r>
          </w:p>
        </w:tc>
        <w:tc>
          <w:tcPr>
            <w:tcW w:w="296" w:type="pct"/>
            <w:noWrap/>
            <w:vAlign w:val="center"/>
          </w:tcPr>
          <w:p w14:paraId="5FFED82D">
            <w:pPr>
              <w:pStyle w:val="28"/>
              <w:bidi w:val="0"/>
            </w:pPr>
            <w:r>
              <w:t>夏</w:t>
            </w:r>
          </w:p>
        </w:tc>
        <w:tc>
          <w:tcPr>
            <w:tcW w:w="296" w:type="pct"/>
            <w:noWrap/>
            <w:vAlign w:val="center"/>
          </w:tcPr>
          <w:p w14:paraId="1B167230">
            <w:pPr>
              <w:pStyle w:val="28"/>
              <w:bidi w:val="0"/>
            </w:pPr>
            <w:r>
              <w:t>古</w:t>
            </w:r>
          </w:p>
        </w:tc>
        <w:tc>
          <w:tcPr>
            <w:tcW w:w="368" w:type="pct"/>
            <w:noWrap/>
            <w:vAlign w:val="center"/>
          </w:tcPr>
          <w:p w14:paraId="601D7480">
            <w:pPr>
              <w:pStyle w:val="28"/>
              <w:bidi w:val="0"/>
            </w:pPr>
          </w:p>
        </w:tc>
        <w:tc>
          <w:tcPr>
            <w:tcW w:w="296" w:type="pct"/>
            <w:noWrap/>
            <w:vAlign w:val="center"/>
          </w:tcPr>
          <w:p w14:paraId="2CE0BA11">
            <w:pPr>
              <w:pStyle w:val="28"/>
              <w:bidi w:val="0"/>
            </w:pPr>
            <w:r>
              <w:t>+++</w:t>
            </w:r>
          </w:p>
        </w:tc>
        <w:tc>
          <w:tcPr>
            <w:tcW w:w="501" w:type="pct"/>
            <w:noWrap/>
            <w:vAlign w:val="center"/>
          </w:tcPr>
          <w:p w14:paraId="3B753622">
            <w:pPr>
              <w:pStyle w:val="28"/>
              <w:bidi w:val="0"/>
            </w:pPr>
          </w:p>
        </w:tc>
        <w:tc>
          <w:tcPr>
            <w:tcW w:w="902" w:type="pct"/>
            <w:noWrap/>
            <w:vAlign w:val="center"/>
          </w:tcPr>
          <w:p w14:paraId="351D6313">
            <w:pPr>
              <w:pStyle w:val="28"/>
              <w:bidi w:val="0"/>
            </w:pPr>
            <w:r>
              <w:t>草地、水塘、水田</w:t>
            </w:r>
          </w:p>
        </w:tc>
      </w:tr>
      <w:tr w14:paraId="713CA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4610FE0C">
            <w:pPr>
              <w:pStyle w:val="28"/>
              <w:bidi w:val="0"/>
            </w:pPr>
            <w:r>
              <w:t>（</w:t>
            </w:r>
            <w:r>
              <w:rPr>
                <w:rFonts w:hint="eastAsia"/>
              </w:rPr>
              <w:t>六</w:t>
            </w:r>
            <w:r>
              <w:t xml:space="preserve">）鸥科 </w:t>
            </w:r>
          </w:p>
        </w:tc>
        <w:tc>
          <w:tcPr>
            <w:tcW w:w="856" w:type="pct"/>
            <w:noWrap/>
            <w:vAlign w:val="center"/>
          </w:tcPr>
          <w:p w14:paraId="620C9CB8">
            <w:pPr>
              <w:pStyle w:val="28"/>
              <w:bidi w:val="0"/>
            </w:pPr>
            <w:r>
              <w:t>Laridae</w:t>
            </w:r>
          </w:p>
        </w:tc>
        <w:tc>
          <w:tcPr>
            <w:tcW w:w="368" w:type="pct"/>
            <w:noWrap/>
            <w:vAlign w:val="center"/>
          </w:tcPr>
          <w:p w14:paraId="5C3EDE12">
            <w:pPr>
              <w:pStyle w:val="28"/>
              <w:bidi w:val="0"/>
            </w:pPr>
          </w:p>
        </w:tc>
        <w:tc>
          <w:tcPr>
            <w:tcW w:w="297" w:type="pct"/>
            <w:noWrap/>
            <w:vAlign w:val="center"/>
          </w:tcPr>
          <w:p w14:paraId="0E5D8D97">
            <w:pPr>
              <w:pStyle w:val="28"/>
              <w:bidi w:val="0"/>
            </w:pPr>
          </w:p>
        </w:tc>
        <w:tc>
          <w:tcPr>
            <w:tcW w:w="296" w:type="pct"/>
            <w:noWrap/>
            <w:vAlign w:val="center"/>
          </w:tcPr>
          <w:p w14:paraId="44448BFA">
            <w:pPr>
              <w:pStyle w:val="28"/>
              <w:bidi w:val="0"/>
            </w:pPr>
          </w:p>
        </w:tc>
        <w:tc>
          <w:tcPr>
            <w:tcW w:w="296" w:type="pct"/>
            <w:noWrap/>
            <w:vAlign w:val="center"/>
          </w:tcPr>
          <w:p w14:paraId="2829F151">
            <w:pPr>
              <w:pStyle w:val="28"/>
              <w:bidi w:val="0"/>
            </w:pPr>
          </w:p>
        </w:tc>
        <w:tc>
          <w:tcPr>
            <w:tcW w:w="368" w:type="pct"/>
            <w:noWrap/>
            <w:vAlign w:val="center"/>
          </w:tcPr>
          <w:p w14:paraId="403201CC">
            <w:pPr>
              <w:pStyle w:val="28"/>
              <w:bidi w:val="0"/>
            </w:pPr>
          </w:p>
        </w:tc>
        <w:tc>
          <w:tcPr>
            <w:tcW w:w="296" w:type="pct"/>
            <w:noWrap/>
            <w:vAlign w:val="center"/>
          </w:tcPr>
          <w:p w14:paraId="53C7CFD9">
            <w:pPr>
              <w:pStyle w:val="28"/>
              <w:bidi w:val="0"/>
            </w:pPr>
          </w:p>
        </w:tc>
        <w:tc>
          <w:tcPr>
            <w:tcW w:w="501" w:type="pct"/>
            <w:noWrap/>
            <w:vAlign w:val="center"/>
          </w:tcPr>
          <w:p w14:paraId="1FF1DA3E">
            <w:pPr>
              <w:pStyle w:val="28"/>
              <w:bidi w:val="0"/>
            </w:pPr>
          </w:p>
        </w:tc>
        <w:tc>
          <w:tcPr>
            <w:tcW w:w="902" w:type="pct"/>
            <w:noWrap/>
            <w:vAlign w:val="center"/>
          </w:tcPr>
          <w:p w14:paraId="3B913826">
            <w:pPr>
              <w:pStyle w:val="28"/>
              <w:bidi w:val="0"/>
            </w:pPr>
          </w:p>
        </w:tc>
      </w:tr>
      <w:tr w14:paraId="6276D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3E428154">
            <w:pPr>
              <w:pStyle w:val="28"/>
              <w:bidi w:val="0"/>
            </w:pPr>
            <w:r>
              <w:rPr>
                <w:rFonts w:hint="eastAsia"/>
              </w:rPr>
              <w:t>9</w:t>
            </w:r>
            <w:r>
              <w:t>、灰翅浮鸥</w:t>
            </w:r>
          </w:p>
        </w:tc>
        <w:tc>
          <w:tcPr>
            <w:tcW w:w="856" w:type="pct"/>
            <w:noWrap/>
            <w:vAlign w:val="center"/>
          </w:tcPr>
          <w:p w14:paraId="20C6004E">
            <w:pPr>
              <w:pStyle w:val="28"/>
              <w:bidi w:val="0"/>
              <w:rPr>
                <w:i/>
                <w:iCs/>
              </w:rPr>
            </w:pPr>
            <w:r>
              <w:rPr>
                <w:i/>
                <w:iCs/>
              </w:rPr>
              <w:t>Chlidonias hybrida</w:t>
            </w:r>
          </w:p>
        </w:tc>
        <w:tc>
          <w:tcPr>
            <w:tcW w:w="368" w:type="pct"/>
            <w:noWrap/>
            <w:vAlign w:val="center"/>
          </w:tcPr>
          <w:p w14:paraId="579F213B">
            <w:pPr>
              <w:pStyle w:val="28"/>
              <w:bidi w:val="0"/>
            </w:pPr>
            <w:r>
              <w:t>LC</w:t>
            </w:r>
          </w:p>
        </w:tc>
        <w:tc>
          <w:tcPr>
            <w:tcW w:w="297" w:type="pct"/>
            <w:noWrap/>
            <w:vAlign w:val="center"/>
          </w:tcPr>
          <w:p w14:paraId="0EA3CB1C">
            <w:pPr>
              <w:pStyle w:val="28"/>
              <w:bidi w:val="0"/>
            </w:pPr>
            <w:r>
              <w:t>否</w:t>
            </w:r>
          </w:p>
        </w:tc>
        <w:tc>
          <w:tcPr>
            <w:tcW w:w="296" w:type="pct"/>
            <w:noWrap/>
            <w:vAlign w:val="center"/>
          </w:tcPr>
          <w:p w14:paraId="18B3CC1B">
            <w:pPr>
              <w:pStyle w:val="28"/>
              <w:bidi w:val="0"/>
            </w:pPr>
            <w:r>
              <w:t>夏</w:t>
            </w:r>
          </w:p>
        </w:tc>
        <w:tc>
          <w:tcPr>
            <w:tcW w:w="296" w:type="pct"/>
            <w:noWrap/>
            <w:vAlign w:val="center"/>
          </w:tcPr>
          <w:p w14:paraId="29AB1285">
            <w:pPr>
              <w:pStyle w:val="28"/>
              <w:bidi w:val="0"/>
            </w:pPr>
            <w:r>
              <w:t>古</w:t>
            </w:r>
          </w:p>
        </w:tc>
        <w:tc>
          <w:tcPr>
            <w:tcW w:w="368" w:type="pct"/>
            <w:noWrap/>
            <w:vAlign w:val="center"/>
          </w:tcPr>
          <w:p w14:paraId="57DB5BDD">
            <w:pPr>
              <w:pStyle w:val="28"/>
              <w:bidi w:val="0"/>
            </w:pPr>
          </w:p>
        </w:tc>
        <w:tc>
          <w:tcPr>
            <w:tcW w:w="296" w:type="pct"/>
            <w:noWrap/>
            <w:vAlign w:val="center"/>
          </w:tcPr>
          <w:p w14:paraId="1FEDE786">
            <w:pPr>
              <w:pStyle w:val="28"/>
              <w:bidi w:val="0"/>
            </w:pPr>
            <w:r>
              <w:t>++</w:t>
            </w:r>
          </w:p>
        </w:tc>
        <w:tc>
          <w:tcPr>
            <w:tcW w:w="501" w:type="pct"/>
            <w:noWrap/>
            <w:vAlign w:val="center"/>
          </w:tcPr>
          <w:p w14:paraId="16A3646F">
            <w:pPr>
              <w:pStyle w:val="28"/>
              <w:bidi w:val="0"/>
            </w:pPr>
          </w:p>
        </w:tc>
        <w:tc>
          <w:tcPr>
            <w:tcW w:w="902" w:type="pct"/>
            <w:noWrap/>
            <w:vAlign w:val="center"/>
          </w:tcPr>
          <w:p w14:paraId="0E22BDCC">
            <w:pPr>
              <w:pStyle w:val="28"/>
              <w:bidi w:val="0"/>
            </w:pPr>
            <w:r>
              <w:t>河流</w:t>
            </w:r>
            <w:r>
              <w:rPr>
                <w:rFonts w:hint="eastAsia"/>
              </w:rPr>
              <w:t>、水田</w:t>
            </w:r>
          </w:p>
        </w:tc>
      </w:tr>
      <w:tr w14:paraId="3C7B0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6C01B3EE">
            <w:pPr>
              <w:pStyle w:val="28"/>
              <w:bidi w:val="0"/>
            </w:pPr>
            <w:r>
              <w:rPr>
                <w:rFonts w:hint="eastAsia"/>
              </w:rPr>
              <w:t>六</w:t>
            </w:r>
            <w:r>
              <w:t>、鹳形目</w:t>
            </w:r>
          </w:p>
        </w:tc>
        <w:tc>
          <w:tcPr>
            <w:tcW w:w="856" w:type="pct"/>
            <w:noWrap/>
            <w:vAlign w:val="center"/>
          </w:tcPr>
          <w:p w14:paraId="0C67A698">
            <w:pPr>
              <w:pStyle w:val="28"/>
              <w:bidi w:val="0"/>
            </w:pPr>
            <w:r>
              <w:t>Ciconiiformes</w:t>
            </w:r>
          </w:p>
        </w:tc>
        <w:tc>
          <w:tcPr>
            <w:tcW w:w="368" w:type="pct"/>
            <w:noWrap/>
            <w:vAlign w:val="center"/>
          </w:tcPr>
          <w:p w14:paraId="74FF0118">
            <w:pPr>
              <w:pStyle w:val="28"/>
              <w:bidi w:val="0"/>
            </w:pPr>
          </w:p>
        </w:tc>
        <w:tc>
          <w:tcPr>
            <w:tcW w:w="297" w:type="pct"/>
            <w:noWrap/>
            <w:vAlign w:val="center"/>
          </w:tcPr>
          <w:p w14:paraId="311385E2">
            <w:pPr>
              <w:pStyle w:val="28"/>
              <w:bidi w:val="0"/>
            </w:pPr>
          </w:p>
        </w:tc>
        <w:tc>
          <w:tcPr>
            <w:tcW w:w="296" w:type="pct"/>
            <w:noWrap/>
            <w:vAlign w:val="center"/>
          </w:tcPr>
          <w:p w14:paraId="4E66B760">
            <w:pPr>
              <w:pStyle w:val="28"/>
              <w:bidi w:val="0"/>
            </w:pPr>
          </w:p>
        </w:tc>
        <w:tc>
          <w:tcPr>
            <w:tcW w:w="296" w:type="pct"/>
            <w:noWrap/>
            <w:vAlign w:val="center"/>
          </w:tcPr>
          <w:p w14:paraId="44BD1541">
            <w:pPr>
              <w:pStyle w:val="28"/>
              <w:bidi w:val="0"/>
            </w:pPr>
          </w:p>
        </w:tc>
        <w:tc>
          <w:tcPr>
            <w:tcW w:w="368" w:type="pct"/>
            <w:noWrap/>
            <w:vAlign w:val="center"/>
          </w:tcPr>
          <w:p w14:paraId="70CD04E8">
            <w:pPr>
              <w:pStyle w:val="28"/>
              <w:bidi w:val="0"/>
            </w:pPr>
          </w:p>
        </w:tc>
        <w:tc>
          <w:tcPr>
            <w:tcW w:w="296" w:type="pct"/>
            <w:noWrap/>
            <w:vAlign w:val="center"/>
          </w:tcPr>
          <w:p w14:paraId="21B5FD6A">
            <w:pPr>
              <w:pStyle w:val="28"/>
              <w:bidi w:val="0"/>
            </w:pPr>
          </w:p>
        </w:tc>
        <w:tc>
          <w:tcPr>
            <w:tcW w:w="501" w:type="pct"/>
            <w:noWrap/>
            <w:vAlign w:val="center"/>
          </w:tcPr>
          <w:p w14:paraId="280D48CC">
            <w:pPr>
              <w:pStyle w:val="28"/>
              <w:bidi w:val="0"/>
            </w:pPr>
          </w:p>
        </w:tc>
        <w:tc>
          <w:tcPr>
            <w:tcW w:w="902" w:type="pct"/>
            <w:noWrap/>
            <w:vAlign w:val="center"/>
          </w:tcPr>
          <w:p w14:paraId="3D97F035">
            <w:pPr>
              <w:pStyle w:val="28"/>
              <w:bidi w:val="0"/>
            </w:pPr>
          </w:p>
        </w:tc>
      </w:tr>
      <w:tr w14:paraId="1CF68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455FB0B0">
            <w:pPr>
              <w:pStyle w:val="28"/>
              <w:bidi w:val="0"/>
            </w:pPr>
            <w:r>
              <w:t>（</w:t>
            </w:r>
            <w:r>
              <w:rPr>
                <w:rFonts w:hint="eastAsia"/>
              </w:rPr>
              <w:t>七</w:t>
            </w:r>
            <w:r>
              <w:t xml:space="preserve">）鹭科 </w:t>
            </w:r>
          </w:p>
        </w:tc>
        <w:tc>
          <w:tcPr>
            <w:tcW w:w="856" w:type="pct"/>
            <w:noWrap/>
            <w:vAlign w:val="center"/>
          </w:tcPr>
          <w:p w14:paraId="1BCC3D25">
            <w:pPr>
              <w:pStyle w:val="28"/>
              <w:bidi w:val="0"/>
            </w:pPr>
            <w:r>
              <w:t>Ardeidae</w:t>
            </w:r>
          </w:p>
        </w:tc>
        <w:tc>
          <w:tcPr>
            <w:tcW w:w="368" w:type="pct"/>
            <w:noWrap/>
            <w:vAlign w:val="center"/>
          </w:tcPr>
          <w:p w14:paraId="072EEB98">
            <w:pPr>
              <w:pStyle w:val="28"/>
              <w:bidi w:val="0"/>
            </w:pPr>
          </w:p>
        </w:tc>
        <w:tc>
          <w:tcPr>
            <w:tcW w:w="297" w:type="pct"/>
            <w:noWrap/>
            <w:vAlign w:val="center"/>
          </w:tcPr>
          <w:p w14:paraId="78FB999C">
            <w:pPr>
              <w:pStyle w:val="28"/>
              <w:bidi w:val="0"/>
            </w:pPr>
          </w:p>
        </w:tc>
        <w:tc>
          <w:tcPr>
            <w:tcW w:w="296" w:type="pct"/>
            <w:noWrap/>
            <w:vAlign w:val="center"/>
          </w:tcPr>
          <w:p w14:paraId="30FE8D59">
            <w:pPr>
              <w:pStyle w:val="28"/>
              <w:bidi w:val="0"/>
            </w:pPr>
          </w:p>
        </w:tc>
        <w:tc>
          <w:tcPr>
            <w:tcW w:w="296" w:type="pct"/>
            <w:noWrap/>
            <w:vAlign w:val="center"/>
          </w:tcPr>
          <w:p w14:paraId="4059AE14">
            <w:pPr>
              <w:pStyle w:val="28"/>
              <w:bidi w:val="0"/>
            </w:pPr>
          </w:p>
        </w:tc>
        <w:tc>
          <w:tcPr>
            <w:tcW w:w="368" w:type="pct"/>
            <w:noWrap/>
            <w:vAlign w:val="center"/>
          </w:tcPr>
          <w:p w14:paraId="76AE4972">
            <w:pPr>
              <w:pStyle w:val="28"/>
              <w:bidi w:val="0"/>
            </w:pPr>
          </w:p>
        </w:tc>
        <w:tc>
          <w:tcPr>
            <w:tcW w:w="296" w:type="pct"/>
            <w:noWrap/>
            <w:vAlign w:val="center"/>
          </w:tcPr>
          <w:p w14:paraId="6B5CD886">
            <w:pPr>
              <w:pStyle w:val="28"/>
              <w:bidi w:val="0"/>
            </w:pPr>
          </w:p>
        </w:tc>
        <w:tc>
          <w:tcPr>
            <w:tcW w:w="501" w:type="pct"/>
            <w:noWrap/>
            <w:vAlign w:val="center"/>
          </w:tcPr>
          <w:p w14:paraId="7D18B262">
            <w:pPr>
              <w:pStyle w:val="28"/>
              <w:bidi w:val="0"/>
            </w:pPr>
          </w:p>
        </w:tc>
        <w:tc>
          <w:tcPr>
            <w:tcW w:w="902" w:type="pct"/>
            <w:noWrap/>
            <w:vAlign w:val="center"/>
          </w:tcPr>
          <w:p w14:paraId="0B002024">
            <w:pPr>
              <w:pStyle w:val="28"/>
              <w:bidi w:val="0"/>
            </w:pPr>
          </w:p>
        </w:tc>
      </w:tr>
      <w:tr w14:paraId="1FAD2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13412271">
            <w:pPr>
              <w:pStyle w:val="28"/>
              <w:bidi w:val="0"/>
            </w:pPr>
            <w:r>
              <w:rPr>
                <w:rFonts w:hint="eastAsia"/>
              </w:rPr>
              <w:t>10</w:t>
            </w:r>
            <w:r>
              <w:t>、大白鹭</w:t>
            </w:r>
          </w:p>
        </w:tc>
        <w:tc>
          <w:tcPr>
            <w:tcW w:w="856" w:type="pct"/>
            <w:noWrap/>
            <w:vAlign w:val="center"/>
          </w:tcPr>
          <w:p w14:paraId="60D66259">
            <w:pPr>
              <w:pStyle w:val="28"/>
              <w:bidi w:val="0"/>
              <w:rPr>
                <w:i/>
                <w:iCs/>
              </w:rPr>
            </w:pPr>
            <w:r>
              <w:rPr>
                <w:i/>
                <w:iCs/>
              </w:rPr>
              <w:t>Ardea alba</w:t>
            </w:r>
          </w:p>
        </w:tc>
        <w:tc>
          <w:tcPr>
            <w:tcW w:w="368" w:type="pct"/>
            <w:noWrap/>
            <w:vAlign w:val="center"/>
          </w:tcPr>
          <w:p w14:paraId="5864AFE9">
            <w:pPr>
              <w:pStyle w:val="28"/>
              <w:bidi w:val="0"/>
            </w:pPr>
            <w:r>
              <w:t>LC</w:t>
            </w:r>
          </w:p>
        </w:tc>
        <w:tc>
          <w:tcPr>
            <w:tcW w:w="297" w:type="pct"/>
            <w:noWrap/>
            <w:vAlign w:val="center"/>
          </w:tcPr>
          <w:p w14:paraId="5E4A154F">
            <w:pPr>
              <w:pStyle w:val="28"/>
              <w:bidi w:val="0"/>
            </w:pPr>
            <w:r>
              <w:t>否</w:t>
            </w:r>
          </w:p>
        </w:tc>
        <w:tc>
          <w:tcPr>
            <w:tcW w:w="296" w:type="pct"/>
            <w:noWrap/>
            <w:vAlign w:val="center"/>
          </w:tcPr>
          <w:p w14:paraId="0528A927">
            <w:pPr>
              <w:pStyle w:val="28"/>
              <w:bidi w:val="0"/>
            </w:pPr>
            <w:r>
              <w:t>冬</w:t>
            </w:r>
          </w:p>
        </w:tc>
        <w:tc>
          <w:tcPr>
            <w:tcW w:w="296" w:type="pct"/>
            <w:noWrap/>
            <w:vAlign w:val="center"/>
          </w:tcPr>
          <w:p w14:paraId="548A1087">
            <w:pPr>
              <w:pStyle w:val="28"/>
              <w:bidi w:val="0"/>
            </w:pPr>
            <w:r>
              <w:t>古</w:t>
            </w:r>
          </w:p>
        </w:tc>
        <w:tc>
          <w:tcPr>
            <w:tcW w:w="368" w:type="pct"/>
            <w:noWrap/>
            <w:vAlign w:val="center"/>
          </w:tcPr>
          <w:p w14:paraId="08C20FE9">
            <w:pPr>
              <w:pStyle w:val="28"/>
              <w:bidi w:val="0"/>
            </w:pPr>
            <w:r>
              <w:t>省Ⅱ</w:t>
            </w:r>
          </w:p>
        </w:tc>
        <w:tc>
          <w:tcPr>
            <w:tcW w:w="296" w:type="pct"/>
            <w:noWrap/>
            <w:vAlign w:val="center"/>
          </w:tcPr>
          <w:p w14:paraId="7B38CB6E">
            <w:pPr>
              <w:pStyle w:val="28"/>
              <w:bidi w:val="0"/>
            </w:pPr>
            <w:r>
              <w:t>++</w:t>
            </w:r>
          </w:p>
        </w:tc>
        <w:tc>
          <w:tcPr>
            <w:tcW w:w="501" w:type="pct"/>
            <w:noWrap/>
            <w:vAlign w:val="center"/>
          </w:tcPr>
          <w:p w14:paraId="78A4087E">
            <w:pPr>
              <w:pStyle w:val="28"/>
              <w:bidi w:val="0"/>
            </w:pPr>
          </w:p>
        </w:tc>
        <w:tc>
          <w:tcPr>
            <w:tcW w:w="902" w:type="pct"/>
            <w:noWrap/>
            <w:vAlign w:val="center"/>
          </w:tcPr>
          <w:p w14:paraId="542F7267">
            <w:pPr>
              <w:pStyle w:val="28"/>
              <w:bidi w:val="0"/>
            </w:pPr>
            <w:r>
              <w:t>河流、水塘</w:t>
            </w:r>
          </w:p>
        </w:tc>
      </w:tr>
      <w:tr w14:paraId="11B4E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2049CE09">
            <w:pPr>
              <w:pStyle w:val="28"/>
              <w:bidi w:val="0"/>
            </w:pPr>
            <w:r>
              <w:rPr>
                <w:rFonts w:hint="eastAsia"/>
              </w:rPr>
              <w:t>11</w:t>
            </w:r>
            <w:r>
              <w:t>、中白鹭</w:t>
            </w:r>
          </w:p>
        </w:tc>
        <w:tc>
          <w:tcPr>
            <w:tcW w:w="856" w:type="pct"/>
            <w:noWrap/>
            <w:vAlign w:val="center"/>
          </w:tcPr>
          <w:p w14:paraId="297BA45A">
            <w:pPr>
              <w:pStyle w:val="28"/>
              <w:bidi w:val="0"/>
              <w:rPr>
                <w:i/>
                <w:iCs/>
              </w:rPr>
            </w:pPr>
            <w:r>
              <w:rPr>
                <w:i/>
                <w:iCs/>
              </w:rPr>
              <w:t>Ardea intermedia</w:t>
            </w:r>
          </w:p>
        </w:tc>
        <w:tc>
          <w:tcPr>
            <w:tcW w:w="368" w:type="pct"/>
            <w:noWrap/>
            <w:vAlign w:val="center"/>
          </w:tcPr>
          <w:p w14:paraId="734D382D">
            <w:pPr>
              <w:pStyle w:val="28"/>
              <w:bidi w:val="0"/>
            </w:pPr>
            <w:r>
              <w:t>LC</w:t>
            </w:r>
          </w:p>
        </w:tc>
        <w:tc>
          <w:tcPr>
            <w:tcW w:w="297" w:type="pct"/>
            <w:noWrap/>
            <w:vAlign w:val="center"/>
          </w:tcPr>
          <w:p w14:paraId="36CCC29B">
            <w:pPr>
              <w:pStyle w:val="28"/>
              <w:bidi w:val="0"/>
            </w:pPr>
            <w:r>
              <w:t>否</w:t>
            </w:r>
          </w:p>
        </w:tc>
        <w:tc>
          <w:tcPr>
            <w:tcW w:w="296" w:type="pct"/>
            <w:noWrap/>
            <w:vAlign w:val="center"/>
          </w:tcPr>
          <w:p w14:paraId="535B8855">
            <w:pPr>
              <w:pStyle w:val="28"/>
              <w:bidi w:val="0"/>
            </w:pPr>
            <w:r>
              <w:t>夏</w:t>
            </w:r>
          </w:p>
        </w:tc>
        <w:tc>
          <w:tcPr>
            <w:tcW w:w="296" w:type="pct"/>
            <w:noWrap/>
            <w:vAlign w:val="center"/>
          </w:tcPr>
          <w:p w14:paraId="21F8A93F">
            <w:pPr>
              <w:pStyle w:val="28"/>
              <w:bidi w:val="0"/>
            </w:pPr>
            <w:r>
              <w:t>东</w:t>
            </w:r>
          </w:p>
        </w:tc>
        <w:tc>
          <w:tcPr>
            <w:tcW w:w="368" w:type="pct"/>
            <w:noWrap/>
            <w:vAlign w:val="center"/>
          </w:tcPr>
          <w:p w14:paraId="6EB9E4E9">
            <w:pPr>
              <w:pStyle w:val="28"/>
              <w:bidi w:val="0"/>
            </w:pPr>
            <w:r>
              <w:t>省Ⅱ</w:t>
            </w:r>
          </w:p>
        </w:tc>
        <w:tc>
          <w:tcPr>
            <w:tcW w:w="296" w:type="pct"/>
            <w:noWrap/>
            <w:vAlign w:val="center"/>
          </w:tcPr>
          <w:p w14:paraId="6AFBDADD">
            <w:pPr>
              <w:pStyle w:val="28"/>
              <w:bidi w:val="0"/>
            </w:pPr>
            <w:r>
              <w:t>++</w:t>
            </w:r>
          </w:p>
        </w:tc>
        <w:tc>
          <w:tcPr>
            <w:tcW w:w="501" w:type="pct"/>
            <w:noWrap/>
            <w:vAlign w:val="center"/>
          </w:tcPr>
          <w:p w14:paraId="01A59673">
            <w:pPr>
              <w:pStyle w:val="28"/>
              <w:bidi w:val="0"/>
            </w:pPr>
            <w:r>
              <w:t>√</w:t>
            </w:r>
          </w:p>
        </w:tc>
        <w:tc>
          <w:tcPr>
            <w:tcW w:w="902" w:type="pct"/>
            <w:noWrap/>
            <w:vAlign w:val="center"/>
          </w:tcPr>
          <w:p w14:paraId="11D3BF5E">
            <w:pPr>
              <w:pStyle w:val="28"/>
              <w:bidi w:val="0"/>
            </w:pPr>
            <w:r>
              <w:t>河流、水塘</w:t>
            </w:r>
          </w:p>
        </w:tc>
      </w:tr>
      <w:tr w14:paraId="1CDC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464C012E">
            <w:pPr>
              <w:pStyle w:val="28"/>
              <w:bidi w:val="0"/>
            </w:pPr>
            <w:r>
              <w:rPr>
                <w:rFonts w:hint="eastAsia"/>
              </w:rPr>
              <w:t>12</w:t>
            </w:r>
            <w:r>
              <w:t>、白鹭</w:t>
            </w:r>
          </w:p>
        </w:tc>
        <w:tc>
          <w:tcPr>
            <w:tcW w:w="856" w:type="pct"/>
            <w:noWrap/>
            <w:vAlign w:val="center"/>
          </w:tcPr>
          <w:p w14:paraId="0C572061">
            <w:pPr>
              <w:pStyle w:val="28"/>
              <w:bidi w:val="0"/>
              <w:rPr>
                <w:i/>
                <w:iCs/>
              </w:rPr>
            </w:pPr>
            <w:r>
              <w:rPr>
                <w:i/>
                <w:iCs/>
              </w:rPr>
              <w:t>Egretta garzetta</w:t>
            </w:r>
          </w:p>
        </w:tc>
        <w:tc>
          <w:tcPr>
            <w:tcW w:w="368" w:type="pct"/>
            <w:noWrap/>
            <w:vAlign w:val="center"/>
          </w:tcPr>
          <w:p w14:paraId="73D5904B">
            <w:pPr>
              <w:pStyle w:val="28"/>
              <w:bidi w:val="0"/>
            </w:pPr>
            <w:r>
              <w:t>LC</w:t>
            </w:r>
          </w:p>
        </w:tc>
        <w:tc>
          <w:tcPr>
            <w:tcW w:w="297" w:type="pct"/>
            <w:noWrap/>
            <w:vAlign w:val="center"/>
          </w:tcPr>
          <w:p w14:paraId="16559DD8">
            <w:pPr>
              <w:pStyle w:val="28"/>
              <w:bidi w:val="0"/>
            </w:pPr>
            <w:r>
              <w:t>否</w:t>
            </w:r>
          </w:p>
        </w:tc>
        <w:tc>
          <w:tcPr>
            <w:tcW w:w="296" w:type="pct"/>
            <w:noWrap/>
            <w:vAlign w:val="center"/>
          </w:tcPr>
          <w:p w14:paraId="64D8FF51">
            <w:pPr>
              <w:pStyle w:val="28"/>
              <w:bidi w:val="0"/>
            </w:pPr>
            <w:r>
              <w:t>留</w:t>
            </w:r>
          </w:p>
        </w:tc>
        <w:tc>
          <w:tcPr>
            <w:tcW w:w="296" w:type="pct"/>
            <w:noWrap/>
            <w:vAlign w:val="center"/>
          </w:tcPr>
          <w:p w14:paraId="55CEA03A">
            <w:pPr>
              <w:pStyle w:val="28"/>
              <w:bidi w:val="0"/>
            </w:pPr>
            <w:r>
              <w:t>广</w:t>
            </w:r>
          </w:p>
        </w:tc>
        <w:tc>
          <w:tcPr>
            <w:tcW w:w="368" w:type="pct"/>
            <w:noWrap/>
            <w:vAlign w:val="center"/>
          </w:tcPr>
          <w:p w14:paraId="61496859">
            <w:pPr>
              <w:pStyle w:val="28"/>
              <w:bidi w:val="0"/>
            </w:pPr>
          </w:p>
        </w:tc>
        <w:tc>
          <w:tcPr>
            <w:tcW w:w="296" w:type="pct"/>
            <w:noWrap/>
            <w:vAlign w:val="center"/>
          </w:tcPr>
          <w:p w14:paraId="0F614E6B">
            <w:pPr>
              <w:pStyle w:val="28"/>
              <w:bidi w:val="0"/>
            </w:pPr>
            <w:r>
              <w:t>+++</w:t>
            </w:r>
          </w:p>
        </w:tc>
        <w:tc>
          <w:tcPr>
            <w:tcW w:w="501" w:type="pct"/>
            <w:noWrap/>
            <w:vAlign w:val="center"/>
          </w:tcPr>
          <w:p w14:paraId="4E9CD7E2">
            <w:pPr>
              <w:pStyle w:val="28"/>
              <w:bidi w:val="0"/>
            </w:pPr>
            <w:r>
              <w:t>√</w:t>
            </w:r>
          </w:p>
        </w:tc>
        <w:tc>
          <w:tcPr>
            <w:tcW w:w="902" w:type="pct"/>
            <w:noWrap/>
            <w:vAlign w:val="center"/>
          </w:tcPr>
          <w:p w14:paraId="131445B4">
            <w:pPr>
              <w:pStyle w:val="28"/>
              <w:bidi w:val="0"/>
            </w:pPr>
            <w:r>
              <w:t>水田、水塘、河流</w:t>
            </w:r>
          </w:p>
        </w:tc>
      </w:tr>
      <w:tr w14:paraId="4B20A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54F1B384">
            <w:pPr>
              <w:pStyle w:val="28"/>
              <w:bidi w:val="0"/>
            </w:pPr>
            <w:r>
              <w:rPr>
                <w:rFonts w:hint="eastAsia"/>
              </w:rPr>
              <w:t>13</w:t>
            </w:r>
            <w:r>
              <w:t>、牛背鹭</w:t>
            </w:r>
          </w:p>
        </w:tc>
        <w:tc>
          <w:tcPr>
            <w:tcW w:w="856" w:type="pct"/>
            <w:noWrap/>
            <w:vAlign w:val="center"/>
          </w:tcPr>
          <w:p w14:paraId="0CDDA79A">
            <w:pPr>
              <w:pStyle w:val="28"/>
              <w:bidi w:val="0"/>
              <w:rPr>
                <w:i/>
                <w:iCs/>
              </w:rPr>
            </w:pPr>
            <w:r>
              <w:rPr>
                <w:i/>
                <w:iCs/>
              </w:rPr>
              <w:t>Bubulcus ibis</w:t>
            </w:r>
          </w:p>
        </w:tc>
        <w:tc>
          <w:tcPr>
            <w:tcW w:w="368" w:type="pct"/>
            <w:noWrap/>
            <w:vAlign w:val="center"/>
          </w:tcPr>
          <w:p w14:paraId="77F8265F">
            <w:pPr>
              <w:pStyle w:val="28"/>
              <w:bidi w:val="0"/>
            </w:pPr>
            <w:r>
              <w:t>LC</w:t>
            </w:r>
          </w:p>
        </w:tc>
        <w:tc>
          <w:tcPr>
            <w:tcW w:w="297" w:type="pct"/>
            <w:noWrap/>
            <w:vAlign w:val="center"/>
          </w:tcPr>
          <w:p w14:paraId="4E231659">
            <w:pPr>
              <w:pStyle w:val="28"/>
              <w:bidi w:val="0"/>
            </w:pPr>
            <w:r>
              <w:t>否</w:t>
            </w:r>
          </w:p>
        </w:tc>
        <w:tc>
          <w:tcPr>
            <w:tcW w:w="296" w:type="pct"/>
            <w:noWrap/>
            <w:vAlign w:val="center"/>
          </w:tcPr>
          <w:p w14:paraId="48CE92A4">
            <w:pPr>
              <w:pStyle w:val="28"/>
              <w:bidi w:val="0"/>
            </w:pPr>
            <w:r>
              <w:t>夏</w:t>
            </w:r>
          </w:p>
        </w:tc>
        <w:tc>
          <w:tcPr>
            <w:tcW w:w="296" w:type="pct"/>
            <w:noWrap/>
            <w:vAlign w:val="center"/>
          </w:tcPr>
          <w:p w14:paraId="26E710A4">
            <w:pPr>
              <w:pStyle w:val="28"/>
              <w:bidi w:val="0"/>
            </w:pPr>
            <w:r>
              <w:t>东</w:t>
            </w:r>
          </w:p>
        </w:tc>
        <w:tc>
          <w:tcPr>
            <w:tcW w:w="368" w:type="pct"/>
            <w:noWrap/>
            <w:vAlign w:val="center"/>
          </w:tcPr>
          <w:p w14:paraId="41A8999E">
            <w:pPr>
              <w:pStyle w:val="28"/>
              <w:bidi w:val="0"/>
            </w:pPr>
          </w:p>
        </w:tc>
        <w:tc>
          <w:tcPr>
            <w:tcW w:w="296" w:type="pct"/>
            <w:noWrap/>
            <w:vAlign w:val="center"/>
          </w:tcPr>
          <w:p w14:paraId="7928942C">
            <w:pPr>
              <w:pStyle w:val="28"/>
              <w:bidi w:val="0"/>
            </w:pPr>
            <w:r>
              <w:t>++</w:t>
            </w:r>
          </w:p>
        </w:tc>
        <w:tc>
          <w:tcPr>
            <w:tcW w:w="501" w:type="pct"/>
            <w:noWrap/>
            <w:vAlign w:val="center"/>
          </w:tcPr>
          <w:p w14:paraId="4987D4A0">
            <w:pPr>
              <w:pStyle w:val="28"/>
              <w:bidi w:val="0"/>
            </w:pPr>
          </w:p>
        </w:tc>
        <w:tc>
          <w:tcPr>
            <w:tcW w:w="902" w:type="pct"/>
            <w:noWrap/>
            <w:vAlign w:val="center"/>
          </w:tcPr>
          <w:p w14:paraId="2F0D8177">
            <w:pPr>
              <w:pStyle w:val="28"/>
              <w:bidi w:val="0"/>
            </w:pPr>
            <w:r>
              <w:t>水田</w:t>
            </w:r>
          </w:p>
        </w:tc>
      </w:tr>
      <w:tr w14:paraId="7D43D468">
        <w:tblPrEx>
          <w:tblCellMar>
            <w:top w:w="0" w:type="dxa"/>
            <w:left w:w="108" w:type="dxa"/>
            <w:bottom w:w="0" w:type="dxa"/>
            <w:right w:w="108" w:type="dxa"/>
          </w:tblCellMar>
        </w:tblPrEx>
        <w:trPr>
          <w:trHeight w:val="23" w:hRule="atLeast"/>
          <w:jc w:val="center"/>
        </w:trPr>
        <w:tc>
          <w:tcPr>
            <w:tcW w:w="815" w:type="pct"/>
            <w:noWrap/>
            <w:vAlign w:val="center"/>
          </w:tcPr>
          <w:p w14:paraId="0CDD7F9C">
            <w:pPr>
              <w:pStyle w:val="28"/>
              <w:bidi w:val="0"/>
            </w:pPr>
            <w:r>
              <w:rPr>
                <w:rFonts w:hint="eastAsia"/>
              </w:rPr>
              <w:t>14</w:t>
            </w:r>
            <w:r>
              <w:t>、池鹭</w:t>
            </w:r>
          </w:p>
        </w:tc>
        <w:tc>
          <w:tcPr>
            <w:tcW w:w="856" w:type="pct"/>
            <w:noWrap/>
            <w:vAlign w:val="center"/>
          </w:tcPr>
          <w:p w14:paraId="0CAC83EF">
            <w:pPr>
              <w:pStyle w:val="28"/>
              <w:bidi w:val="0"/>
              <w:rPr>
                <w:i/>
                <w:iCs/>
              </w:rPr>
            </w:pPr>
            <w:r>
              <w:rPr>
                <w:i/>
                <w:iCs/>
              </w:rPr>
              <w:t>Ardeola bacchus</w:t>
            </w:r>
          </w:p>
        </w:tc>
        <w:tc>
          <w:tcPr>
            <w:tcW w:w="368" w:type="pct"/>
            <w:noWrap/>
            <w:vAlign w:val="center"/>
          </w:tcPr>
          <w:p w14:paraId="7C9C557D">
            <w:pPr>
              <w:pStyle w:val="28"/>
              <w:bidi w:val="0"/>
            </w:pPr>
            <w:r>
              <w:t>LC</w:t>
            </w:r>
          </w:p>
        </w:tc>
        <w:tc>
          <w:tcPr>
            <w:tcW w:w="297" w:type="pct"/>
            <w:noWrap/>
            <w:vAlign w:val="center"/>
          </w:tcPr>
          <w:p w14:paraId="46B57627">
            <w:pPr>
              <w:pStyle w:val="28"/>
              <w:bidi w:val="0"/>
            </w:pPr>
            <w:r>
              <w:t>否</w:t>
            </w:r>
          </w:p>
        </w:tc>
        <w:tc>
          <w:tcPr>
            <w:tcW w:w="296" w:type="pct"/>
            <w:noWrap/>
            <w:vAlign w:val="center"/>
          </w:tcPr>
          <w:p w14:paraId="3559DFB4">
            <w:pPr>
              <w:pStyle w:val="28"/>
              <w:bidi w:val="0"/>
            </w:pPr>
            <w:r>
              <w:t>夏</w:t>
            </w:r>
          </w:p>
        </w:tc>
        <w:tc>
          <w:tcPr>
            <w:tcW w:w="296" w:type="pct"/>
            <w:noWrap/>
            <w:vAlign w:val="center"/>
          </w:tcPr>
          <w:p w14:paraId="25DB74B3">
            <w:pPr>
              <w:pStyle w:val="28"/>
              <w:bidi w:val="0"/>
            </w:pPr>
            <w:r>
              <w:t>东</w:t>
            </w:r>
          </w:p>
        </w:tc>
        <w:tc>
          <w:tcPr>
            <w:tcW w:w="368" w:type="pct"/>
            <w:noWrap/>
            <w:vAlign w:val="center"/>
          </w:tcPr>
          <w:p w14:paraId="40F20DE2">
            <w:pPr>
              <w:pStyle w:val="28"/>
              <w:bidi w:val="0"/>
            </w:pPr>
          </w:p>
        </w:tc>
        <w:tc>
          <w:tcPr>
            <w:tcW w:w="296" w:type="pct"/>
            <w:noWrap/>
            <w:vAlign w:val="center"/>
          </w:tcPr>
          <w:p w14:paraId="3DBD3F70">
            <w:pPr>
              <w:pStyle w:val="28"/>
              <w:bidi w:val="0"/>
            </w:pPr>
            <w:r>
              <w:t>++</w:t>
            </w:r>
          </w:p>
        </w:tc>
        <w:tc>
          <w:tcPr>
            <w:tcW w:w="501" w:type="pct"/>
            <w:noWrap/>
            <w:vAlign w:val="center"/>
          </w:tcPr>
          <w:p w14:paraId="5523C47E">
            <w:pPr>
              <w:pStyle w:val="28"/>
              <w:bidi w:val="0"/>
            </w:pPr>
            <w:r>
              <w:t>√</w:t>
            </w:r>
          </w:p>
        </w:tc>
        <w:tc>
          <w:tcPr>
            <w:tcW w:w="902" w:type="pct"/>
            <w:noWrap/>
            <w:vAlign w:val="center"/>
          </w:tcPr>
          <w:p w14:paraId="0F38EB7E">
            <w:pPr>
              <w:pStyle w:val="28"/>
              <w:bidi w:val="0"/>
            </w:pPr>
            <w:r>
              <w:t>水塘</w:t>
            </w:r>
          </w:p>
        </w:tc>
      </w:tr>
      <w:tr w14:paraId="3017F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1B0EFD93">
            <w:pPr>
              <w:pStyle w:val="28"/>
              <w:bidi w:val="0"/>
            </w:pPr>
            <w:r>
              <w:rPr>
                <w:rFonts w:hint="eastAsia"/>
              </w:rPr>
              <w:t>七</w:t>
            </w:r>
            <w:r>
              <w:t>、犀鸟目</w:t>
            </w:r>
          </w:p>
        </w:tc>
        <w:tc>
          <w:tcPr>
            <w:tcW w:w="856" w:type="pct"/>
            <w:noWrap/>
            <w:vAlign w:val="center"/>
          </w:tcPr>
          <w:p w14:paraId="350D8298">
            <w:pPr>
              <w:pStyle w:val="28"/>
              <w:bidi w:val="0"/>
            </w:pPr>
            <w:r>
              <w:t>Bucerotiformes</w:t>
            </w:r>
          </w:p>
        </w:tc>
        <w:tc>
          <w:tcPr>
            <w:tcW w:w="368" w:type="pct"/>
            <w:noWrap/>
            <w:vAlign w:val="center"/>
          </w:tcPr>
          <w:p w14:paraId="59A784FE">
            <w:pPr>
              <w:pStyle w:val="28"/>
              <w:bidi w:val="0"/>
            </w:pPr>
          </w:p>
        </w:tc>
        <w:tc>
          <w:tcPr>
            <w:tcW w:w="297" w:type="pct"/>
            <w:noWrap/>
            <w:vAlign w:val="center"/>
          </w:tcPr>
          <w:p w14:paraId="1E47B00D">
            <w:pPr>
              <w:pStyle w:val="28"/>
              <w:bidi w:val="0"/>
            </w:pPr>
          </w:p>
        </w:tc>
        <w:tc>
          <w:tcPr>
            <w:tcW w:w="296" w:type="pct"/>
            <w:noWrap/>
            <w:vAlign w:val="center"/>
          </w:tcPr>
          <w:p w14:paraId="3B2EC08B">
            <w:pPr>
              <w:pStyle w:val="28"/>
              <w:bidi w:val="0"/>
            </w:pPr>
          </w:p>
        </w:tc>
        <w:tc>
          <w:tcPr>
            <w:tcW w:w="296" w:type="pct"/>
            <w:noWrap/>
            <w:vAlign w:val="center"/>
          </w:tcPr>
          <w:p w14:paraId="353A7058">
            <w:pPr>
              <w:pStyle w:val="28"/>
              <w:bidi w:val="0"/>
            </w:pPr>
          </w:p>
        </w:tc>
        <w:tc>
          <w:tcPr>
            <w:tcW w:w="368" w:type="pct"/>
            <w:noWrap/>
            <w:vAlign w:val="center"/>
          </w:tcPr>
          <w:p w14:paraId="6F0C0AE4">
            <w:pPr>
              <w:pStyle w:val="28"/>
              <w:bidi w:val="0"/>
            </w:pPr>
          </w:p>
        </w:tc>
        <w:tc>
          <w:tcPr>
            <w:tcW w:w="296" w:type="pct"/>
            <w:noWrap/>
            <w:vAlign w:val="center"/>
          </w:tcPr>
          <w:p w14:paraId="079749E3">
            <w:pPr>
              <w:pStyle w:val="28"/>
              <w:bidi w:val="0"/>
            </w:pPr>
          </w:p>
        </w:tc>
        <w:tc>
          <w:tcPr>
            <w:tcW w:w="501" w:type="pct"/>
            <w:noWrap/>
            <w:vAlign w:val="center"/>
          </w:tcPr>
          <w:p w14:paraId="17425ED5">
            <w:pPr>
              <w:pStyle w:val="28"/>
              <w:bidi w:val="0"/>
            </w:pPr>
          </w:p>
        </w:tc>
        <w:tc>
          <w:tcPr>
            <w:tcW w:w="902" w:type="pct"/>
            <w:noWrap/>
            <w:vAlign w:val="center"/>
          </w:tcPr>
          <w:p w14:paraId="32A65D5F">
            <w:pPr>
              <w:pStyle w:val="28"/>
              <w:bidi w:val="0"/>
            </w:pPr>
          </w:p>
        </w:tc>
      </w:tr>
      <w:tr w14:paraId="67B7D2F3">
        <w:tblPrEx>
          <w:tblCellMar>
            <w:top w:w="0" w:type="dxa"/>
            <w:left w:w="108" w:type="dxa"/>
            <w:bottom w:w="0" w:type="dxa"/>
            <w:right w:w="108" w:type="dxa"/>
          </w:tblCellMar>
        </w:tblPrEx>
        <w:trPr>
          <w:trHeight w:val="23" w:hRule="atLeast"/>
          <w:jc w:val="center"/>
        </w:trPr>
        <w:tc>
          <w:tcPr>
            <w:tcW w:w="815" w:type="pct"/>
            <w:noWrap/>
            <w:vAlign w:val="center"/>
          </w:tcPr>
          <w:p w14:paraId="1A2772E7">
            <w:pPr>
              <w:pStyle w:val="28"/>
              <w:bidi w:val="0"/>
            </w:pPr>
            <w:r>
              <w:t xml:space="preserve">（八）戴胜科 </w:t>
            </w:r>
          </w:p>
        </w:tc>
        <w:tc>
          <w:tcPr>
            <w:tcW w:w="856" w:type="pct"/>
            <w:noWrap/>
            <w:vAlign w:val="center"/>
          </w:tcPr>
          <w:p w14:paraId="6B952FA0">
            <w:pPr>
              <w:pStyle w:val="28"/>
              <w:bidi w:val="0"/>
            </w:pPr>
            <w:r>
              <w:t>Upupidae</w:t>
            </w:r>
          </w:p>
        </w:tc>
        <w:tc>
          <w:tcPr>
            <w:tcW w:w="368" w:type="pct"/>
            <w:noWrap/>
            <w:vAlign w:val="center"/>
          </w:tcPr>
          <w:p w14:paraId="6C5FBCC4">
            <w:pPr>
              <w:pStyle w:val="28"/>
              <w:bidi w:val="0"/>
            </w:pPr>
          </w:p>
        </w:tc>
        <w:tc>
          <w:tcPr>
            <w:tcW w:w="297" w:type="pct"/>
            <w:noWrap/>
            <w:vAlign w:val="center"/>
          </w:tcPr>
          <w:p w14:paraId="3D88652B">
            <w:pPr>
              <w:pStyle w:val="28"/>
              <w:bidi w:val="0"/>
            </w:pPr>
          </w:p>
        </w:tc>
        <w:tc>
          <w:tcPr>
            <w:tcW w:w="296" w:type="pct"/>
            <w:noWrap/>
            <w:vAlign w:val="center"/>
          </w:tcPr>
          <w:p w14:paraId="25AE4704">
            <w:pPr>
              <w:pStyle w:val="28"/>
              <w:bidi w:val="0"/>
            </w:pPr>
          </w:p>
        </w:tc>
        <w:tc>
          <w:tcPr>
            <w:tcW w:w="296" w:type="pct"/>
            <w:noWrap/>
            <w:vAlign w:val="center"/>
          </w:tcPr>
          <w:p w14:paraId="01619917">
            <w:pPr>
              <w:pStyle w:val="28"/>
              <w:bidi w:val="0"/>
            </w:pPr>
          </w:p>
        </w:tc>
        <w:tc>
          <w:tcPr>
            <w:tcW w:w="368" w:type="pct"/>
            <w:noWrap/>
            <w:vAlign w:val="center"/>
          </w:tcPr>
          <w:p w14:paraId="591D831B">
            <w:pPr>
              <w:pStyle w:val="28"/>
              <w:bidi w:val="0"/>
            </w:pPr>
          </w:p>
        </w:tc>
        <w:tc>
          <w:tcPr>
            <w:tcW w:w="296" w:type="pct"/>
            <w:noWrap/>
            <w:vAlign w:val="center"/>
          </w:tcPr>
          <w:p w14:paraId="59A92F51">
            <w:pPr>
              <w:pStyle w:val="28"/>
              <w:bidi w:val="0"/>
            </w:pPr>
          </w:p>
        </w:tc>
        <w:tc>
          <w:tcPr>
            <w:tcW w:w="501" w:type="pct"/>
            <w:noWrap/>
            <w:vAlign w:val="center"/>
          </w:tcPr>
          <w:p w14:paraId="2295E453">
            <w:pPr>
              <w:pStyle w:val="28"/>
              <w:bidi w:val="0"/>
            </w:pPr>
          </w:p>
        </w:tc>
        <w:tc>
          <w:tcPr>
            <w:tcW w:w="902" w:type="pct"/>
            <w:noWrap/>
            <w:vAlign w:val="center"/>
          </w:tcPr>
          <w:p w14:paraId="7600A2BD">
            <w:pPr>
              <w:pStyle w:val="28"/>
              <w:bidi w:val="0"/>
            </w:pPr>
          </w:p>
        </w:tc>
      </w:tr>
      <w:tr w14:paraId="6F519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575406A6">
            <w:pPr>
              <w:pStyle w:val="28"/>
              <w:bidi w:val="0"/>
            </w:pPr>
            <w:r>
              <w:rPr>
                <w:rFonts w:hint="eastAsia"/>
              </w:rPr>
              <w:t>15</w:t>
            </w:r>
            <w:r>
              <w:t>、戴胜</w:t>
            </w:r>
          </w:p>
        </w:tc>
        <w:tc>
          <w:tcPr>
            <w:tcW w:w="856" w:type="pct"/>
            <w:noWrap/>
            <w:vAlign w:val="center"/>
          </w:tcPr>
          <w:p w14:paraId="4526ACCA">
            <w:pPr>
              <w:pStyle w:val="28"/>
              <w:bidi w:val="0"/>
              <w:rPr>
                <w:i/>
                <w:iCs/>
              </w:rPr>
            </w:pPr>
            <w:r>
              <w:rPr>
                <w:i/>
                <w:iCs/>
              </w:rPr>
              <w:t>Upupa epops</w:t>
            </w:r>
          </w:p>
        </w:tc>
        <w:tc>
          <w:tcPr>
            <w:tcW w:w="368" w:type="pct"/>
            <w:noWrap/>
            <w:vAlign w:val="center"/>
          </w:tcPr>
          <w:p w14:paraId="2CA64A36">
            <w:pPr>
              <w:pStyle w:val="28"/>
              <w:bidi w:val="0"/>
            </w:pPr>
            <w:r>
              <w:t>LC</w:t>
            </w:r>
          </w:p>
        </w:tc>
        <w:tc>
          <w:tcPr>
            <w:tcW w:w="297" w:type="pct"/>
            <w:noWrap/>
            <w:vAlign w:val="center"/>
          </w:tcPr>
          <w:p w14:paraId="1FF6307D">
            <w:pPr>
              <w:pStyle w:val="28"/>
              <w:bidi w:val="0"/>
            </w:pPr>
            <w:r>
              <w:t>否</w:t>
            </w:r>
          </w:p>
        </w:tc>
        <w:tc>
          <w:tcPr>
            <w:tcW w:w="296" w:type="pct"/>
            <w:noWrap/>
            <w:vAlign w:val="center"/>
          </w:tcPr>
          <w:p w14:paraId="29F1F1F7">
            <w:pPr>
              <w:pStyle w:val="28"/>
              <w:bidi w:val="0"/>
            </w:pPr>
            <w:r>
              <w:t>留</w:t>
            </w:r>
          </w:p>
        </w:tc>
        <w:tc>
          <w:tcPr>
            <w:tcW w:w="296" w:type="pct"/>
            <w:noWrap/>
            <w:vAlign w:val="center"/>
          </w:tcPr>
          <w:p w14:paraId="26B8EC79">
            <w:pPr>
              <w:pStyle w:val="28"/>
              <w:bidi w:val="0"/>
            </w:pPr>
            <w:r>
              <w:t>广</w:t>
            </w:r>
          </w:p>
        </w:tc>
        <w:tc>
          <w:tcPr>
            <w:tcW w:w="368" w:type="pct"/>
            <w:noWrap/>
            <w:vAlign w:val="center"/>
          </w:tcPr>
          <w:p w14:paraId="4FDDA6CC">
            <w:pPr>
              <w:pStyle w:val="28"/>
              <w:bidi w:val="0"/>
            </w:pPr>
          </w:p>
        </w:tc>
        <w:tc>
          <w:tcPr>
            <w:tcW w:w="296" w:type="pct"/>
            <w:noWrap/>
            <w:vAlign w:val="center"/>
          </w:tcPr>
          <w:p w14:paraId="60A667AE">
            <w:pPr>
              <w:pStyle w:val="28"/>
              <w:bidi w:val="0"/>
            </w:pPr>
            <w:r>
              <w:t>+</w:t>
            </w:r>
          </w:p>
        </w:tc>
        <w:tc>
          <w:tcPr>
            <w:tcW w:w="501" w:type="pct"/>
            <w:noWrap/>
            <w:vAlign w:val="center"/>
          </w:tcPr>
          <w:p w14:paraId="3F99AFA5">
            <w:pPr>
              <w:pStyle w:val="28"/>
              <w:bidi w:val="0"/>
            </w:pPr>
            <w:r>
              <w:t>√</w:t>
            </w:r>
          </w:p>
        </w:tc>
        <w:tc>
          <w:tcPr>
            <w:tcW w:w="902" w:type="pct"/>
            <w:noWrap/>
            <w:vAlign w:val="center"/>
          </w:tcPr>
          <w:p w14:paraId="6BCC0F69">
            <w:pPr>
              <w:pStyle w:val="28"/>
              <w:bidi w:val="0"/>
            </w:pPr>
            <w:r>
              <w:t>农田</w:t>
            </w:r>
          </w:p>
        </w:tc>
      </w:tr>
      <w:tr w14:paraId="35CFF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58E01340">
            <w:pPr>
              <w:pStyle w:val="28"/>
              <w:bidi w:val="0"/>
            </w:pPr>
            <w:r>
              <w:t>八、佛法僧目</w:t>
            </w:r>
          </w:p>
        </w:tc>
        <w:tc>
          <w:tcPr>
            <w:tcW w:w="856" w:type="pct"/>
            <w:noWrap/>
            <w:vAlign w:val="center"/>
          </w:tcPr>
          <w:p w14:paraId="1856160C">
            <w:pPr>
              <w:pStyle w:val="28"/>
              <w:bidi w:val="0"/>
            </w:pPr>
            <w:r>
              <w:t>Coraciiformes</w:t>
            </w:r>
          </w:p>
        </w:tc>
        <w:tc>
          <w:tcPr>
            <w:tcW w:w="368" w:type="pct"/>
            <w:noWrap/>
            <w:vAlign w:val="center"/>
          </w:tcPr>
          <w:p w14:paraId="146CD920">
            <w:pPr>
              <w:pStyle w:val="28"/>
              <w:bidi w:val="0"/>
            </w:pPr>
          </w:p>
        </w:tc>
        <w:tc>
          <w:tcPr>
            <w:tcW w:w="297" w:type="pct"/>
            <w:noWrap/>
            <w:vAlign w:val="center"/>
          </w:tcPr>
          <w:p w14:paraId="3C4B4315">
            <w:pPr>
              <w:pStyle w:val="28"/>
              <w:bidi w:val="0"/>
            </w:pPr>
          </w:p>
        </w:tc>
        <w:tc>
          <w:tcPr>
            <w:tcW w:w="296" w:type="pct"/>
            <w:noWrap/>
            <w:vAlign w:val="center"/>
          </w:tcPr>
          <w:p w14:paraId="47CC4511">
            <w:pPr>
              <w:pStyle w:val="28"/>
              <w:bidi w:val="0"/>
            </w:pPr>
          </w:p>
        </w:tc>
        <w:tc>
          <w:tcPr>
            <w:tcW w:w="296" w:type="pct"/>
            <w:noWrap/>
            <w:vAlign w:val="center"/>
          </w:tcPr>
          <w:p w14:paraId="167381EA">
            <w:pPr>
              <w:pStyle w:val="28"/>
              <w:bidi w:val="0"/>
            </w:pPr>
          </w:p>
        </w:tc>
        <w:tc>
          <w:tcPr>
            <w:tcW w:w="368" w:type="pct"/>
            <w:noWrap/>
            <w:vAlign w:val="center"/>
          </w:tcPr>
          <w:p w14:paraId="7C63F2DB">
            <w:pPr>
              <w:pStyle w:val="28"/>
              <w:bidi w:val="0"/>
            </w:pPr>
          </w:p>
        </w:tc>
        <w:tc>
          <w:tcPr>
            <w:tcW w:w="296" w:type="pct"/>
            <w:noWrap/>
            <w:vAlign w:val="center"/>
          </w:tcPr>
          <w:p w14:paraId="2E6FBAEC">
            <w:pPr>
              <w:pStyle w:val="28"/>
              <w:bidi w:val="0"/>
            </w:pPr>
          </w:p>
        </w:tc>
        <w:tc>
          <w:tcPr>
            <w:tcW w:w="501" w:type="pct"/>
            <w:noWrap/>
            <w:vAlign w:val="center"/>
          </w:tcPr>
          <w:p w14:paraId="3A5263FF">
            <w:pPr>
              <w:pStyle w:val="28"/>
              <w:bidi w:val="0"/>
            </w:pPr>
          </w:p>
        </w:tc>
        <w:tc>
          <w:tcPr>
            <w:tcW w:w="902" w:type="pct"/>
            <w:noWrap/>
            <w:vAlign w:val="center"/>
          </w:tcPr>
          <w:p w14:paraId="54D7B3FB">
            <w:pPr>
              <w:pStyle w:val="28"/>
              <w:bidi w:val="0"/>
            </w:pPr>
          </w:p>
        </w:tc>
      </w:tr>
      <w:tr w14:paraId="31215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1D2C6A8C">
            <w:pPr>
              <w:pStyle w:val="28"/>
              <w:bidi w:val="0"/>
            </w:pPr>
            <w:r>
              <w:t>（</w:t>
            </w:r>
            <w:r>
              <w:rPr>
                <w:rFonts w:hint="eastAsia"/>
              </w:rPr>
              <w:t>九</w:t>
            </w:r>
            <w:r>
              <w:t xml:space="preserve">）翠鸟科 </w:t>
            </w:r>
          </w:p>
        </w:tc>
        <w:tc>
          <w:tcPr>
            <w:tcW w:w="856" w:type="pct"/>
            <w:noWrap/>
            <w:vAlign w:val="center"/>
          </w:tcPr>
          <w:p w14:paraId="3D8AC1C0">
            <w:pPr>
              <w:pStyle w:val="28"/>
              <w:bidi w:val="0"/>
            </w:pPr>
            <w:r>
              <w:t>Alcedinidae</w:t>
            </w:r>
          </w:p>
        </w:tc>
        <w:tc>
          <w:tcPr>
            <w:tcW w:w="368" w:type="pct"/>
            <w:noWrap/>
            <w:vAlign w:val="center"/>
          </w:tcPr>
          <w:p w14:paraId="40F36512">
            <w:pPr>
              <w:pStyle w:val="28"/>
              <w:bidi w:val="0"/>
            </w:pPr>
          </w:p>
        </w:tc>
        <w:tc>
          <w:tcPr>
            <w:tcW w:w="297" w:type="pct"/>
            <w:noWrap/>
            <w:vAlign w:val="center"/>
          </w:tcPr>
          <w:p w14:paraId="0A282501">
            <w:pPr>
              <w:pStyle w:val="28"/>
              <w:bidi w:val="0"/>
            </w:pPr>
          </w:p>
        </w:tc>
        <w:tc>
          <w:tcPr>
            <w:tcW w:w="296" w:type="pct"/>
            <w:noWrap/>
            <w:vAlign w:val="center"/>
          </w:tcPr>
          <w:p w14:paraId="38D0B7F6">
            <w:pPr>
              <w:pStyle w:val="28"/>
              <w:bidi w:val="0"/>
            </w:pPr>
          </w:p>
        </w:tc>
        <w:tc>
          <w:tcPr>
            <w:tcW w:w="296" w:type="pct"/>
            <w:noWrap/>
            <w:vAlign w:val="center"/>
          </w:tcPr>
          <w:p w14:paraId="26C02346">
            <w:pPr>
              <w:pStyle w:val="28"/>
              <w:bidi w:val="0"/>
            </w:pPr>
          </w:p>
        </w:tc>
        <w:tc>
          <w:tcPr>
            <w:tcW w:w="368" w:type="pct"/>
            <w:noWrap/>
            <w:vAlign w:val="center"/>
          </w:tcPr>
          <w:p w14:paraId="4454771D">
            <w:pPr>
              <w:pStyle w:val="28"/>
              <w:bidi w:val="0"/>
            </w:pPr>
          </w:p>
        </w:tc>
        <w:tc>
          <w:tcPr>
            <w:tcW w:w="296" w:type="pct"/>
            <w:noWrap/>
            <w:vAlign w:val="center"/>
          </w:tcPr>
          <w:p w14:paraId="3B04A0CE">
            <w:pPr>
              <w:pStyle w:val="28"/>
              <w:bidi w:val="0"/>
            </w:pPr>
          </w:p>
        </w:tc>
        <w:tc>
          <w:tcPr>
            <w:tcW w:w="501" w:type="pct"/>
            <w:noWrap/>
            <w:vAlign w:val="center"/>
          </w:tcPr>
          <w:p w14:paraId="10C863F8">
            <w:pPr>
              <w:pStyle w:val="28"/>
              <w:bidi w:val="0"/>
            </w:pPr>
          </w:p>
        </w:tc>
        <w:tc>
          <w:tcPr>
            <w:tcW w:w="902" w:type="pct"/>
            <w:noWrap/>
            <w:vAlign w:val="center"/>
          </w:tcPr>
          <w:p w14:paraId="0773A0AF">
            <w:pPr>
              <w:pStyle w:val="28"/>
              <w:bidi w:val="0"/>
            </w:pPr>
          </w:p>
        </w:tc>
      </w:tr>
      <w:tr w14:paraId="4F3BB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59BA7DB0">
            <w:pPr>
              <w:pStyle w:val="28"/>
              <w:bidi w:val="0"/>
            </w:pPr>
            <w:r>
              <w:rPr>
                <w:rFonts w:hint="eastAsia"/>
              </w:rPr>
              <w:t>16</w:t>
            </w:r>
            <w:r>
              <w:t>、斑鱼狗</w:t>
            </w:r>
          </w:p>
        </w:tc>
        <w:tc>
          <w:tcPr>
            <w:tcW w:w="856" w:type="pct"/>
            <w:noWrap/>
            <w:vAlign w:val="center"/>
          </w:tcPr>
          <w:p w14:paraId="1244A028">
            <w:pPr>
              <w:pStyle w:val="28"/>
              <w:bidi w:val="0"/>
              <w:rPr>
                <w:i/>
                <w:iCs/>
              </w:rPr>
            </w:pPr>
            <w:r>
              <w:rPr>
                <w:i/>
                <w:iCs/>
              </w:rPr>
              <w:t>Ceryle rudis</w:t>
            </w:r>
          </w:p>
        </w:tc>
        <w:tc>
          <w:tcPr>
            <w:tcW w:w="368" w:type="pct"/>
            <w:noWrap/>
            <w:vAlign w:val="center"/>
          </w:tcPr>
          <w:p w14:paraId="3F5250EB">
            <w:pPr>
              <w:pStyle w:val="28"/>
              <w:bidi w:val="0"/>
            </w:pPr>
            <w:r>
              <w:t>LC</w:t>
            </w:r>
          </w:p>
        </w:tc>
        <w:tc>
          <w:tcPr>
            <w:tcW w:w="297" w:type="pct"/>
            <w:noWrap/>
            <w:vAlign w:val="center"/>
          </w:tcPr>
          <w:p w14:paraId="68F758D8">
            <w:pPr>
              <w:pStyle w:val="28"/>
              <w:bidi w:val="0"/>
            </w:pPr>
            <w:r>
              <w:t>否</w:t>
            </w:r>
          </w:p>
        </w:tc>
        <w:tc>
          <w:tcPr>
            <w:tcW w:w="296" w:type="pct"/>
            <w:noWrap/>
            <w:vAlign w:val="center"/>
          </w:tcPr>
          <w:p w14:paraId="17CB2CEA">
            <w:pPr>
              <w:pStyle w:val="28"/>
              <w:bidi w:val="0"/>
            </w:pPr>
            <w:r>
              <w:t>留</w:t>
            </w:r>
          </w:p>
        </w:tc>
        <w:tc>
          <w:tcPr>
            <w:tcW w:w="296" w:type="pct"/>
            <w:noWrap/>
            <w:vAlign w:val="center"/>
          </w:tcPr>
          <w:p w14:paraId="42379EFA">
            <w:pPr>
              <w:pStyle w:val="28"/>
              <w:bidi w:val="0"/>
            </w:pPr>
            <w:r>
              <w:t>东</w:t>
            </w:r>
          </w:p>
        </w:tc>
        <w:tc>
          <w:tcPr>
            <w:tcW w:w="368" w:type="pct"/>
            <w:noWrap/>
            <w:vAlign w:val="center"/>
          </w:tcPr>
          <w:p w14:paraId="75AA9F8E">
            <w:pPr>
              <w:pStyle w:val="28"/>
              <w:bidi w:val="0"/>
            </w:pPr>
            <w:r>
              <w:t>省Ⅱ</w:t>
            </w:r>
          </w:p>
        </w:tc>
        <w:tc>
          <w:tcPr>
            <w:tcW w:w="296" w:type="pct"/>
            <w:noWrap/>
            <w:vAlign w:val="center"/>
          </w:tcPr>
          <w:p w14:paraId="326DFCAC">
            <w:pPr>
              <w:pStyle w:val="28"/>
              <w:bidi w:val="0"/>
            </w:pPr>
            <w:r>
              <w:t>+</w:t>
            </w:r>
          </w:p>
        </w:tc>
        <w:tc>
          <w:tcPr>
            <w:tcW w:w="501" w:type="pct"/>
            <w:noWrap/>
            <w:vAlign w:val="center"/>
          </w:tcPr>
          <w:p w14:paraId="59923F35">
            <w:pPr>
              <w:pStyle w:val="28"/>
              <w:bidi w:val="0"/>
            </w:pPr>
            <w:r>
              <w:t>√</w:t>
            </w:r>
          </w:p>
        </w:tc>
        <w:tc>
          <w:tcPr>
            <w:tcW w:w="902" w:type="pct"/>
            <w:noWrap/>
            <w:vAlign w:val="center"/>
          </w:tcPr>
          <w:p w14:paraId="59A3849C">
            <w:pPr>
              <w:pStyle w:val="28"/>
              <w:bidi w:val="0"/>
            </w:pPr>
            <w:r>
              <w:t>水塘、水渠</w:t>
            </w:r>
          </w:p>
        </w:tc>
      </w:tr>
      <w:tr w14:paraId="6B765989">
        <w:tblPrEx>
          <w:tblCellMar>
            <w:top w:w="0" w:type="dxa"/>
            <w:left w:w="108" w:type="dxa"/>
            <w:bottom w:w="0" w:type="dxa"/>
            <w:right w:w="108" w:type="dxa"/>
          </w:tblCellMar>
        </w:tblPrEx>
        <w:trPr>
          <w:trHeight w:val="23" w:hRule="atLeast"/>
          <w:jc w:val="center"/>
        </w:trPr>
        <w:tc>
          <w:tcPr>
            <w:tcW w:w="815" w:type="pct"/>
            <w:noWrap/>
            <w:vAlign w:val="center"/>
          </w:tcPr>
          <w:p w14:paraId="236199E2">
            <w:pPr>
              <w:pStyle w:val="28"/>
              <w:bidi w:val="0"/>
            </w:pPr>
            <w:r>
              <w:rPr>
                <w:rFonts w:hint="eastAsia"/>
              </w:rPr>
              <w:t>九</w:t>
            </w:r>
            <w:r>
              <w:t>、雀形目</w:t>
            </w:r>
          </w:p>
        </w:tc>
        <w:tc>
          <w:tcPr>
            <w:tcW w:w="856" w:type="pct"/>
            <w:noWrap/>
            <w:vAlign w:val="center"/>
          </w:tcPr>
          <w:p w14:paraId="7F78301C">
            <w:pPr>
              <w:pStyle w:val="28"/>
              <w:bidi w:val="0"/>
            </w:pPr>
            <w:r>
              <w:t>Passeriformes</w:t>
            </w:r>
          </w:p>
        </w:tc>
        <w:tc>
          <w:tcPr>
            <w:tcW w:w="368" w:type="pct"/>
            <w:noWrap/>
            <w:vAlign w:val="center"/>
          </w:tcPr>
          <w:p w14:paraId="1E42FD65">
            <w:pPr>
              <w:pStyle w:val="28"/>
              <w:bidi w:val="0"/>
            </w:pPr>
          </w:p>
        </w:tc>
        <w:tc>
          <w:tcPr>
            <w:tcW w:w="297" w:type="pct"/>
            <w:noWrap/>
            <w:vAlign w:val="center"/>
          </w:tcPr>
          <w:p w14:paraId="722E2248">
            <w:pPr>
              <w:pStyle w:val="28"/>
              <w:bidi w:val="0"/>
            </w:pPr>
          </w:p>
        </w:tc>
        <w:tc>
          <w:tcPr>
            <w:tcW w:w="296" w:type="pct"/>
            <w:noWrap/>
            <w:vAlign w:val="center"/>
          </w:tcPr>
          <w:p w14:paraId="1D289B93">
            <w:pPr>
              <w:pStyle w:val="28"/>
              <w:bidi w:val="0"/>
            </w:pPr>
          </w:p>
        </w:tc>
        <w:tc>
          <w:tcPr>
            <w:tcW w:w="296" w:type="pct"/>
            <w:noWrap/>
            <w:vAlign w:val="center"/>
          </w:tcPr>
          <w:p w14:paraId="264CAF8F">
            <w:pPr>
              <w:pStyle w:val="28"/>
              <w:bidi w:val="0"/>
            </w:pPr>
          </w:p>
        </w:tc>
        <w:tc>
          <w:tcPr>
            <w:tcW w:w="368" w:type="pct"/>
            <w:noWrap/>
            <w:vAlign w:val="center"/>
          </w:tcPr>
          <w:p w14:paraId="7D414E02">
            <w:pPr>
              <w:pStyle w:val="28"/>
              <w:bidi w:val="0"/>
            </w:pPr>
          </w:p>
        </w:tc>
        <w:tc>
          <w:tcPr>
            <w:tcW w:w="296" w:type="pct"/>
            <w:noWrap/>
            <w:vAlign w:val="center"/>
          </w:tcPr>
          <w:p w14:paraId="7E2758CB">
            <w:pPr>
              <w:pStyle w:val="28"/>
              <w:bidi w:val="0"/>
            </w:pPr>
          </w:p>
        </w:tc>
        <w:tc>
          <w:tcPr>
            <w:tcW w:w="501" w:type="pct"/>
            <w:noWrap/>
            <w:vAlign w:val="center"/>
          </w:tcPr>
          <w:p w14:paraId="0319529C">
            <w:pPr>
              <w:pStyle w:val="28"/>
              <w:bidi w:val="0"/>
            </w:pPr>
          </w:p>
        </w:tc>
        <w:tc>
          <w:tcPr>
            <w:tcW w:w="902" w:type="pct"/>
            <w:noWrap/>
            <w:vAlign w:val="center"/>
          </w:tcPr>
          <w:p w14:paraId="0F57B800">
            <w:pPr>
              <w:pStyle w:val="28"/>
              <w:bidi w:val="0"/>
            </w:pPr>
          </w:p>
        </w:tc>
      </w:tr>
      <w:tr w14:paraId="72941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7230F11F">
            <w:pPr>
              <w:pStyle w:val="28"/>
              <w:bidi w:val="0"/>
            </w:pPr>
            <w:r>
              <w:t xml:space="preserve">（十）卷尾科 </w:t>
            </w:r>
          </w:p>
        </w:tc>
        <w:tc>
          <w:tcPr>
            <w:tcW w:w="856" w:type="pct"/>
            <w:noWrap/>
            <w:vAlign w:val="center"/>
          </w:tcPr>
          <w:p w14:paraId="07899531">
            <w:pPr>
              <w:pStyle w:val="28"/>
              <w:bidi w:val="0"/>
            </w:pPr>
            <w:r>
              <w:t>Dicruridae</w:t>
            </w:r>
          </w:p>
        </w:tc>
        <w:tc>
          <w:tcPr>
            <w:tcW w:w="368" w:type="pct"/>
            <w:noWrap/>
            <w:vAlign w:val="center"/>
          </w:tcPr>
          <w:p w14:paraId="19B18E07">
            <w:pPr>
              <w:pStyle w:val="28"/>
              <w:bidi w:val="0"/>
            </w:pPr>
          </w:p>
        </w:tc>
        <w:tc>
          <w:tcPr>
            <w:tcW w:w="297" w:type="pct"/>
            <w:noWrap/>
            <w:vAlign w:val="center"/>
          </w:tcPr>
          <w:p w14:paraId="73DF44B3">
            <w:pPr>
              <w:pStyle w:val="28"/>
              <w:bidi w:val="0"/>
            </w:pPr>
          </w:p>
        </w:tc>
        <w:tc>
          <w:tcPr>
            <w:tcW w:w="296" w:type="pct"/>
            <w:noWrap/>
            <w:vAlign w:val="center"/>
          </w:tcPr>
          <w:p w14:paraId="78F890E0">
            <w:pPr>
              <w:pStyle w:val="28"/>
              <w:bidi w:val="0"/>
            </w:pPr>
          </w:p>
        </w:tc>
        <w:tc>
          <w:tcPr>
            <w:tcW w:w="296" w:type="pct"/>
            <w:noWrap/>
            <w:vAlign w:val="center"/>
          </w:tcPr>
          <w:p w14:paraId="0EEA705A">
            <w:pPr>
              <w:pStyle w:val="28"/>
              <w:bidi w:val="0"/>
            </w:pPr>
          </w:p>
        </w:tc>
        <w:tc>
          <w:tcPr>
            <w:tcW w:w="368" w:type="pct"/>
            <w:noWrap/>
            <w:vAlign w:val="center"/>
          </w:tcPr>
          <w:p w14:paraId="248D443E">
            <w:pPr>
              <w:pStyle w:val="28"/>
              <w:bidi w:val="0"/>
            </w:pPr>
          </w:p>
        </w:tc>
        <w:tc>
          <w:tcPr>
            <w:tcW w:w="296" w:type="pct"/>
            <w:noWrap/>
            <w:vAlign w:val="center"/>
          </w:tcPr>
          <w:p w14:paraId="23DBAD69">
            <w:pPr>
              <w:pStyle w:val="28"/>
              <w:bidi w:val="0"/>
            </w:pPr>
          </w:p>
        </w:tc>
        <w:tc>
          <w:tcPr>
            <w:tcW w:w="501" w:type="pct"/>
            <w:noWrap/>
            <w:vAlign w:val="center"/>
          </w:tcPr>
          <w:p w14:paraId="3A105030">
            <w:pPr>
              <w:pStyle w:val="28"/>
              <w:bidi w:val="0"/>
            </w:pPr>
          </w:p>
        </w:tc>
        <w:tc>
          <w:tcPr>
            <w:tcW w:w="902" w:type="pct"/>
            <w:noWrap/>
            <w:vAlign w:val="center"/>
          </w:tcPr>
          <w:p w14:paraId="1FD59738">
            <w:pPr>
              <w:pStyle w:val="28"/>
              <w:bidi w:val="0"/>
            </w:pPr>
          </w:p>
        </w:tc>
      </w:tr>
      <w:tr w14:paraId="13FBD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76C590AC">
            <w:pPr>
              <w:pStyle w:val="28"/>
              <w:bidi w:val="0"/>
            </w:pPr>
            <w:r>
              <w:rPr>
                <w:rFonts w:hint="eastAsia"/>
              </w:rPr>
              <w:t>17</w:t>
            </w:r>
            <w:r>
              <w:t>、黑卷尾</w:t>
            </w:r>
          </w:p>
        </w:tc>
        <w:tc>
          <w:tcPr>
            <w:tcW w:w="856" w:type="pct"/>
            <w:noWrap/>
            <w:vAlign w:val="center"/>
          </w:tcPr>
          <w:p w14:paraId="792C32E0">
            <w:pPr>
              <w:pStyle w:val="28"/>
              <w:bidi w:val="0"/>
              <w:rPr>
                <w:i/>
                <w:iCs/>
              </w:rPr>
            </w:pPr>
            <w:r>
              <w:rPr>
                <w:i/>
                <w:iCs/>
              </w:rPr>
              <w:t>Dicrurus macrocercus</w:t>
            </w:r>
          </w:p>
        </w:tc>
        <w:tc>
          <w:tcPr>
            <w:tcW w:w="368" w:type="pct"/>
            <w:noWrap/>
            <w:vAlign w:val="center"/>
          </w:tcPr>
          <w:p w14:paraId="20F4C4CE">
            <w:pPr>
              <w:pStyle w:val="28"/>
              <w:bidi w:val="0"/>
            </w:pPr>
            <w:r>
              <w:t>LC</w:t>
            </w:r>
          </w:p>
        </w:tc>
        <w:tc>
          <w:tcPr>
            <w:tcW w:w="297" w:type="pct"/>
            <w:noWrap/>
            <w:vAlign w:val="center"/>
          </w:tcPr>
          <w:p w14:paraId="4ACB468D">
            <w:pPr>
              <w:pStyle w:val="28"/>
              <w:bidi w:val="0"/>
            </w:pPr>
            <w:r>
              <w:t>否</w:t>
            </w:r>
          </w:p>
        </w:tc>
        <w:tc>
          <w:tcPr>
            <w:tcW w:w="296" w:type="pct"/>
            <w:noWrap/>
            <w:vAlign w:val="center"/>
          </w:tcPr>
          <w:p w14:paraId="6782331B">
            <w:pPr>
              <w:pStyle w:val="28"/>
              <w:bidi w:val="0"/>
            </w:pPr>
            <w:r>
              <w:t>夏</w:t>
            </w:r>
          </w:p>
        </w:tc>
        <w:tc>
          <w:tcPr>
            <w:tcW w:w="296" w:type="pct"/>
            <w:noWrap/>
            <w:vAlign w:val="center"/>
          </w:tcPr>
          <w:p w14:paraId="2D93645B">
            <w:pPr>
              <w:pStyle w:val="28"/>
              <w:bidi w:val="0"/>
            </w:pPr>
            <w:r>
              <w:t>广</w:t>
            </w:r>
          </w:p>
        </w:tc>
        <w:tc>
          <w:tcPr>
            <w:tcW w:w="368" w:type="pct"/>
            <w:noWrap/>
            <w:vAlign w:val="center"/>
          </w:tcPr>
          <w:p w14:paraId="3FB182C8">
            <w:pPr>
              <w:pStyle w:val="28"/>
              <w:bidi w:val="0"/>
            </w:pPr>
          </w:p>
        </w:tc>
        <w:tc>
          <w:tcPr>
            <w:tcW w:w="296" w:type="pct"/>
            <w:noWrap/>
            <w:vAlign w:val="center"/>
          </w:tcPr>
          <w:p w14:paraId="13CCA2EC">
            <w:pPr>
              <w:pStyle w:val="28"/>
              <w:bidi w:val="0"/>
            </w:pPr>
            <w:r>
              <w:rPr>
                <w:rFonts w:hint="eastAsia"/>
              </w:rPr>
              <w:t>+++</w:t>
            </w:r>
          </w:p>
        </w:tc>
        <w:tc>
          <w:tcPr>
            <w:tcW w:w="501" w:type="pct"/>
            <w:noWrap/>
            <w:vAlign w:val="center"/>
          </w:tcPr>
          <w:p w14:paraId="121E8403">
            <w:pPr>
              <w:pStyle w:val="28"/>
              <w:bidi w:val="0"/>
            </w:pPr>
            <w:r>
              <w:t>√</w:t>
            </w:r>
          </w:p>
        </w:tc>
        <w:tc>
          <w:tcPr>
            <w:tcW w:w="902" w:type="pct"/>
            <w:noWrap/>
            <w:vAlign w:val="center"/>
          </w:tcPr>
          <w:p w14:paraId="1CB9F1D4">
            <w:pPr>
              <w:pStyle w:val="28"/>
              <w:bidi w:val="0"/>
            </w:pPr>
            <w:r>
              <w:t>农田</w:t>
            </w:r>
          </w:p>
        </w:tc>
      </w:tr>
      <w:tr w14:paraId="27114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16A14A82">
            <w:pPr>
              <w:pStyle w:val="28"/>
              <w:bidi w:val="0"/>
            </w:pPr>
            <w:r>
              <w:t xml:space="preserve">（十一）伯劳科 </w:t>
            </w:r>
          </w:p>
        </w:tc>
        <w:tc>
          <w:tcPr>
            <w:tcW w:w="856" w:type="pct"/>
            <w:noWrap/>
            <w:vAlign w:val="center"/>
          </w:tcPr>
          <w:p w14:paraId="01A66EC6">
            <w:pPr>
              <w:pStyle w:val="28"/>
              <w:bidi w:val="0"/>
            </w:pPr>
            <w:r>
              <w:t>Laniidae</w:t>
            </w:r>
          </w:p>
        </w:tc>
        <w:tc>
          <w:tcPr>
            <w:tcW w:w="368" w:type="pct"/>
            <w:noWrap/>
            <w:vAlign w:val="center"/>
          </w:tcPr>
          <w:p w14:paraId="07CF04DE">
            <w:pPr>
              <w:pStyle w:val="28"/>
              <w:bidi w:val="0"/>
            </w:pPr>
          </w:p>
        </w:tc>
        <w:tc>
          <w:tcPr>
            <w:tcW w:w="297" w:type="pct"/>
            <w:noWrap/>
            <w:vAlign w:val="center"/>
          </w:tcPr>
          <w:p w14:paraId="1ECB7252">
            <w:pPr>
              <w:pStyle w:val="28"/>
              <w:bidi w:val="0"/>
            </w:pPr>
          </w:p>
        </w:tc>
        <w:tc>
          <w:tcPr>
            <w:tcW w:w="296" w:type="pct"/>
            <w:noWrap/>
            <w:vAlign w:val="center"/>
          </w:tcPr>
          <w:p w14:paraId="5F5B4C0A">
            <w:pPr>
              <w:pStyle w:val="28"/>
              <w:bidi w:val="0"/>
            </w:pPr>
          </w:p>
        </w:tc>
        <w:tc>
          <w:tcPr>
            <w:tcW w:w="296" w:type="pct"/>
            <w:noWrap/>
            <w:vAlign w:val="center"/>
          </w:tcPr>
          <w:p w14:paraId="2A87A194">
            <w:pPr>
              <w:pStyle w:val="28"/>
              <w:bidi w:val="0"/>
            </w:pPr>
          </w:p>
        </w:tc>
        <w:tc>
          <w:tcPr>
            <w:tcW w:w="368" w:type="pct"/>
            <w:noWrap/>
            <w:vAlign w:val="center"/>
          </w:tcPr>
          <w:p w14:paraId="74E4A0A1">
            <w:pPr>
              <w:pStyle w:val="28"/>
              <w:bidi w:val="0"/>
            </w:pPr>
          </w:p>
        </w:tc>
        <w:tc>
          <w:tcPr>
            <w:tcW w:w="296" w:type="pct"/>
            <w:noWrap/>
            <w:vAlign w:val="center"/>
          </w:tcPr>
          <w:p w14:paraId="6EC31A9F">
            <w:pPr>
              <w:pStyle w:val="28"/>
              <w:bidi w:val="0"/>
            </w:pPr>
          </w:p>
        </w:tc>
        <w:tc>
          <w:tcPr>
            <w:tcW w:w="501" w:type="pct"/>
            <w:noWrap/>
            <w:vAlign w:val="center"/>
          </w:tcPr>
          <w:p w14:paraId="5B7BBD46">
            <w:pPr>
              <w:pStyle w:val="28"/>
              <w:bidi w:val="0"/>
            </w:pPr>
          </w:p>
        </w:tc>
        <w:tc>
          <w:tcPr>
            <w:tcW w:w="902" w:type="pct"/>
            <w:noWrap/>
            <w:vAlign w:val="center"/>
          </w:tcPr>
          <w:p w14:paraId="77F30AA3">
            <w:pPr>
              <w:pStyle w:val="28"/>
              <w:bidi w:val="0"/>
            </w:pPr>
          </w:p>
        </w:tc>
      </w:tr>
      <w:tr w14:paraId="28292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7B438AAA">
            <w:pPr>
              <w:pStyle w:val="28"/>
              <w:bidi w:val="0"/>
            </w:pPr>
            <w:r>
              <w:rPr>
                <w:rFonts w:hint="eastAsia"/>
              </w:rPr>
              <w:t>1</w:t>
            </w:r>
            <w:r>
              <w:t>8、红尾伯劳</w:t>
            </w:r>
          </w:p>
        </w:tc>
        <w:tc>
          <w:tcPr>
            <w:tcW w:w="856" w:type="pct"/>
            <w:noWrap/>
            <w:vAlign w:val="center"/>
          </w:tcPr>
          <w:p w14:paraId="2E73A270">
            <w:pPr>
              <w:pStyle w:val="28"/>
              <w:bidi w:val="0"/>
              <w:rPr>
                <w:i/>
                <w:iCs/>
              </w:rPr>
            </w:pPr>
            <w:r>
              <w:rPr>
                <w:i/>
                <w:iCs/>
              </w:rPr>
              <w:t>Lanius cristatus</w:t>
            </w:r>
          </w:p>
        </w:tc>
        <w:tc>
          <w:tcPr>
            <w:tcW w:w="368" w:type="pct"/>
            <w:noWrap/>
            <w:vAlign w:val="center"/>
          </w:tcPr>
          <w:p w14:paraId="0B5EFEC1">
            <w:pPr>
              <w:pStyle w:val="28"/>
              <w:bidi w:val="0"/>
            </w:pPr>
            <w:r>
              <w:t>LC</w:t>
            </w:r>
          </w:p>
        </w:tc>
        <w:tc>
          <w:tcPr>
            <w:tcW w:w="297" w:type="pct"/>
            <w:noWrap/>
            <w:vAlign w:val="center"/>
          </w:tcPr>
          <w:p w14:paraId="73B75DCE">
            <w:pPr>
              <w:pStyle w:val="28"/>
              <w:bidi w:val="0"/>
            </w:pPr>
            <w:r>
              <w:t>否</w:t>
            </w:r>
          </w:p>
        </w:tc>
        <w:tc>
          <w:tcPr>
            <w:tcW w:w="296" w:type="pct"/>
            <w:noWrap/>
            <w:vAlign w:val="center"/>
          </w:tcPr>
          <w:p w14:paraId="4FB10CF3">
            <w:pPr>
              <w:pStyle w:val="28"/>
              <w:bidi w:val="0"/>
            </w:pPr>
            <w:r>
              <w:t>夏</w:t>
            </w:r>
          </w:p>
        </w:tc>
        <w:tc>
          <w:tcPr>
            <w:tcW w:w="296" w:type="pct"/>
            <w:noWrap/>
            <w:vAlign w:val="center"/>
          </w:tcPr>
          <w:p w14:paraId="42A447D3">
            <w:pPr>
              <w:pStyle w:val="28"/>
              <w:bidi w:val="0"/>
            </w:pPr>
            <w:r>
              <w:t>广</w:t>
            </w:r>
          </w:p>
        </w:tc>
        <w:tc>
          <w:tcPr>
            <w:tcW w:w="368" w:type="pct"/>
            <w:noWrap/>
            <w:vAlign w:val="center"/>
          </w:tcPr>
          <w:p w14:paraId="0916D155">
            <w:pPr>
              <w:pStyle w:val="28"/>
              <w:bidi w:val="0"/>
            </w:pPr>
            <w:r>
              <w:t>省Ⅱ</w:t>
            </w:r>
          </w:p>
        </w:tc>
        <w:tc>
          <w:tcPr>
            <w:tcW w:w="296" w:type="pct"/>
            <w:noWrap/>
            <w:vAlign w:val="center"/>
          </w:tcPr>
          <w:p w14:paraId="30080FC2">
            <w:pPr>
              <w:pStyle w:val="28"/>
              <w:bidi w:val="0"/>
            </w:pPr>
            <w:r>
              <w:rPr>
                <w:rFonts w:hint="eastAsia"/>
              </w:rPr>
              <w:t>+</w:t>
            </w:r>
          </w:p>
        </w:tc>
        <w:tc>
          <w:tcPr>
            <w:tcW w:w="501" w:type="pct"/>
            <w:noWrap/>
            <w:vAlign w:val="center"/>
          </w:tcPr>
          <w:p w14:paraId="03E2D09E">
            <w:pPr>
              <w:pStyle w:val="28"/>
              <w:bidi w:val="0"/>
            </w:pPr>
            <w:r>
              <w:t>√</w:t>
            </w:r>
          </w:p>
        </w:tc>
        <w:tc>
          <w:tcPr>
            <w:tcW w:w="902" w:type="pct"/>
            <w:noWrap/>
            <w:vAlign w:val="center"/>
          </w:tcPr>
          <w:p w14:paraId="5B909741">
            <w:pPr>
              <w:pStyle w:val="28"/>
              <w:bidi w:val="0"/>
            </w:pPr>
            <w:r>
              <w:t>林地、灌丛</w:t>
            </w:r>
          </w:p>
        </w:tc>
      </w:tr>
      <w:tr w14:paraId="50707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66C59D03">
            <w:pPr>
              <w:pStyle w:val="28"/>
              <w:bidi w:val="0"/>
            </w:pPr>
            <w:r>
              <w:rPr>
                <w:rFonts w:hint="eastAsia"/>
              </w:rPr>
              <w:t>1</w:t>
            </w:r>
            <w:r>
              <w:t>9</w:t>
            </w:r>
            <w:r>
              <w:rPr>
                <w:rFonts w:hint="eastAsia"/>
              </w:rPr>
              <w:t>、</w:t>
            </w:r>
            <w:r>
              <w:t>棕背伯劳</w:t>
            </w:r>
          </w:p>
        </w:tc>
        <w:tc>
          <w:tcPr>
            <w:tcW w:w="856" w:type="pct"/>
            <w:noWrap/>
            <w:vAlign w:val="center"/>
          </w:tcPr>
          <w:p w14:paraId="639383F8">
            <w:pPr>
              <w:pStyle w:val="28"/>
              <w:bidi w:val="0"/>
              <w:rPr>
                <w:i/>
                <w:iCs/>
              </w:rPr>
            </w:pPr>
            <w:r>
              <w:rPr>
                <w:i/>
                <w:iCs/>
              </w:rPr>
              <w:t>Lanius schach</w:t>
            </w:r>
          </w:p>
        </w:tc>
        <w:tc>
          <w:tcPr>
            <w:tcW w:w="368" w:type="pct"/>
            <w:noWrap/>
            <w:vAlign w:val="center"/>
          </w:tcPr>
          <w:p w14:paraId="71B04EF7">
            <w:pPr>
              <w:pStyle w:val="28"/>
              <w:bidi w:val="0"/>
            </w:pPr>
            <w:r>
              <w:t>LC</w:t>
            </w:r>
          </w:p>
        </w:tc>
        <w:tc>
          <w:tcPr>
            <w:tcW w:w="297" w:type="pct"/>
            <w:noWrap/>
            <w:vAlign w:val="center"/>
          </w:tcPr>
          <w:p w14:paraId="554047A5">
            <w:pPr>
              <w:pStyle w:val="28"/>
              <w:bidi w:val="0"/>
            </w:pPr>
            <w:r>
              <w:t>否</w:t>
            </w:r>
          </w:p>
        </w:tc>
        <w:tc>
          <w:tcPr>
            <w:tcW w:w="296" w:type="pct"/>
            <w:noWrap/>
            <w:vAlign w:val="center"/>
          </w:tcPr>
          <w:p w14:paraId="789827B6">
            <w:pPr>
              <w:pStyle w:val="28"/>
              <w:bidi w:val="0"/>
            </w:pPr>
            <w:r>
              <w:t>留</w:t>
            </w:r>
          </w:p>
        </w:tc>
        <w:tc>
          <w:tcPr>
            <w:tcW w:w="296" w:type="pct"/>
            <w:noWrap/>
            <w:vAlign w:val="center"/>
          </w:tcPr>
          <w:p w14:paraId="65B48DAB">
            <w:pPr>
              <w:pStyle w:val="28"/>
              <w:bidi w:val="0"/>
            </w:pPr>
            <w:r>
              <w:t>东</w:t>
            </w:r>
          </w:p>
        </w:tc>
        <w:tc>
          <w:tcPr>
            <w:tcW w:w="368" w:type="pct"/>
            <w:noWrap/>
            <w:vAlign w:val="center"/>
          </w:tcPr>
          <w:p w14:paraId="59C7E602">
            <w:pPr>
              <w:pStyle w:val="28"/>
              <w:bidi w:val="0"/>
            </w:pPr>
            <w:r>
              <w:t>省Ⅱ</w:t>
            </w:r>
          </w:p>
        </w:tc>
        <w:tc>
          <w:tcPr>
            <w:tcW w:w="296" w:type="pct"/>
            <w:noWrap/>
            <w:vAlign w:val="center"/>
          </w:tcPr>
          <w:p w14:paraId="21E6220C">
            <w:pPr>
              <w:pStyle w:val="28"/>
              <w:bidi w:val="0"/>
            </w:pPr>
            <w:r>
              <w:rPr>
                <w:rFonts w:hint="eastAsia"/>
              </w:rPr>
              <w:t>++</w:t>
            </w:r>
          </w:p>
        </w:tc>
        <w:tc>
          <w:tcPr>
            <w:tcW w:w="501" w:type="pct"/>
            <w:noWrap/>
            <w:vAlign w:val="center"/>
          </w:tcPr>
          <w:p w14:paraId="7847C0B8">
            <w:pPr>
              <w:pStyle w:val="28"/>
              <w:bidi w:val="0"/>
            </w:pPr>
            <w:r>
              <w:t>√</w:t>
            </w:r>
          </w:p>
        </w:tc>
        <w:tc>
          <w:tcPr>
            <w:tcW w:w="902" w:type="pct"/>
            <w:noWrap/>
            <w:vAlign w:val="center"/>
          </w:tcPr>
          <w:p w14:paraId="236A6F3E">
            <w:pPr>
              <w:pStyle w:val="28"/>
              <w:bidi w:val="0"/>
            </w:pPr>
            <w:r>
              <w:t>农田</w:t>
            </w:r>
          </w:p>
        </w:tc>
      </w:tr>
      <w:tr w14:paraId="58905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6B7DA94B">
            <w:pPr>
              <w:pStyle w:val="28"/>
              <w:bidi w:val="0"/>
            </w:pPr>
            <w:r>
              <w:t xml:space="preserve">（十二）鸦科 </w:t>
            </w:r>
          </w:p>
        </w:tc>
        <w:tc>
          <w:tcPr>
            <w:tcW w:w="856" w:type="pct"/>
            <w:noWrap/>
            <w:vAlign w:val="center"/>
          </w:tcPr>
          <w:p w14:paraId="72DCA153">
            <w:pPr>
              <w:pStyle w:val="28"/>
              <w:bidi w:val="0"/>
            </w:pPr>
            <w:r>
              <w:t>Corvidae</w:t>
            </w:r>
          </w:p>
        </w:tc>
        <w:tc>
          <w:tcPr>
            <w:tcW w:w="368" w:type="pct"/>
            <w:noWrap/>
            <w:vAlign w:val="center"/>
          </w:tcPr>
          <w:p w14:paraId="3709B01F">
            <w:pPr>
              <w:pStyle w:val="28"/>
              <w:bidi w:val="0"/>
            </w:pPr>
          </w:p>
        </w:tc>
        <w:tc>
          <w:tcPr>
            <w:tcW w:w="297" w:type="pct"/>
            <w:noWrap/>
            <w:vAlign w:val="center"/>
          </w:tcPr>
          <w:p w14:paraId="06DC5D8C">
            <w:pPr>
              <w:pStyle w:val="28"/>
              <w:bidi w:val="0"/>
            </w:pPr>
          </w:p>
        </w:tc>
        <w:tc>
          <w:tcPr>
            <w:tcW w:w="296" w:type="pct"/>
            <w:noWrap/>
            <w:vAlign w:val="center"/>
          </w:tcPr>
          <w:p w14:paraId="17471353">
            <w:pPr>
              <w:pStyle w:val="28"/>
              <w:bidi w:val="0"/>
            </w:pPr>
          </w:p>
        </w:tc>
        <w:tc>
          <w:tcPr>
            <w:tcW w:w="296" w:type="pct"/>
            <w:noWrap/>
            <w:vAlign w:val="center"/>
          </w:tcPr>
          <w:p w14:paraId="2A3A4AF0">
            <w:pPr>
              <w:pStyle w:val="28"/>
              <w:bidi w:val="0"/>
            </w:pPr>
          </w:p>
        </w:tc>
        <w:tc>
          <w:tcPr>
            <w:tcW w:w="368" w:type="pct"/>
            <w:noWrap/>
            <w:vAlign w:val="center"/>
          </w:tcPr>
          <w:p w14:paraId="3F22F56B">
            <w:pPr>
              <w:pStyle w:val="28"/>
              <w:bidi w:val="0"/>
            </w:pPr>
          </w:p>
        </w:tc>
        <w:tc>
          <w:tcPr>
            <w:tcW w:w="296" w:type="pct"/>
            <w:noWrap/>
            <w:vAlign w:val="center"/>
          </w:tcPr>
          <w:p w14:paraId="245DEE33">
            <w:pPr>
              <w:pStyle w:val="28"/>
              <w:bidi w:val="0"/>
            </w:pPr>
          </w:p>
        </w:tc>
        <w:tc>
          <w:tcPr>
            <w:tcW w:w="501" w:type="pct"/>
            <w:noWrap/>
            <w:vAlign w:val="center"/>
          </w:tcPr>
          <w:p w14:paraId="5AA9EB67">
            <w:pPr>
              <w:pStyle w:val="28"/>
              <w:bidi w:val="0"/>
            </w:pPr>
          </w:p>
        </w:tc>
        <w:tc>
          <w:tcPr>
            <w:tcW w:w="902" w:type="pct"/>
            <w:noWrap/>
            <w:vAlign w:val="center"/>
          </w:tcPr>
          <w:p w14:paraId="3653A4B5">
            <w:pPr>
              <w:pStyle w:val="28"/>
              <w:bidi w:val="0"/>
            </w:pPr>
          </w:p>
        </w:tc>
      </w:tr>
      <w:tr w14:paraId="23166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2BE684D9">
            <w:pPr>
              <w:pStyle w:val="28"/>
              <w:bidi w:val="0"/>
            </w:pPr>
            <w:r>
              <w:rPr>
                <w:rFonts w:hint="eastAsia"/>
              </w:rPr>
              <w:t>2</w:t>
            </w:r>
            <w:r>
              <w:t>0、灰喜鹊</w:t>
            </w:r>
          </w:p>
        </w:tc>
        <w:tc>
          <w:tcPr>
            <w:tcW w:w="856" w:type="pct"/>
            <w:noWrap/>
            <w:vAlign w:val="center"/>
          </w:tcPr>
          <w:p w14:paraId="0B2E92AE">
            <w:pPr>
              <w:pStyle w:val="28"/>
              <w:bidi w:val="0"/>
              <w:rPr>
                <w:i/>
                <w:iCs/>
              </w:rPr>
            </w:pPr>
            <w:r>
              <w:rPr>
                <w:i/>
                <w:iCs/>
              </w:rPr>
              <w:t>Cyanopica cyanus</w:t>
            </w:r>
          </w:p>
        </w:tc>
        <w:tc>
          <w:tcPr>
            <w:tcW w:w="368" w:type="pct"/>
            <w:noWrap/>
            <w:vAlign w:val="center"/>
          </w:tcPr>
          <w:p w14:paraId="271CFCF6">
            <w:pPr>
              <w:pStyle w:val="28"/>
              <w:bidi w:val="0"/>
            </w:pPr>
            <w:r>
              <w:t>LC</w:t>
            </w:r>
          </w:p>
        </w:tc>
        <w:tc>
          <w:tcPr>
            <w:tcW w:w="297" w:type="pct"/>
            <w:noWrap/>
            <w:vAlign w:val="center"/>
          </w:tcPr>
          <w:p w14:paraId="0B5C9BA7">
            <w:pPr>
              <w:pStyle w:val="28"/>
              <w:bidi w:val="0"/>
            </w:pPr>
            <w:r>
              <w:t>否</w:t>
            </w:r>
          </w:p>
        </w:tc>
        <w:tc>
          <w:tcPr>
            <w:tcW w:w="296" w:type="pct"/>
            <w:noWrap/>
            <w:vAlign w:val="center"/>
          </w:tcPr>
          <w:p w14:paraId="4CE0991A">
            <w:pPr>
              <w:pStyle w:val="28"/>
              <w:bidi w:val="0"/>
            </w:pPr>
            <w:r>
              <w:t>留</w:t>
            </w:r>
          </w:p>
        </w:tc>
        <w:tc>
          <w:tcPr>
            <w:tcW w:w="296" w:type="pct"/>
            <w:noWrap/>
            <w:vAlign w:val="center"/>
          </w:tcPr>
          <w:p w14:paraId="76944E85">
            <w:pPr>
              <w:pStyle w:val="28"/>
              <w:bidi w:val="0"/>
            </w:pPr>
            <w:r>
              <w:t>古</w:t>
            </w:r>
          </w:p>
        </w:tc>
        <w:tc>
          <w:tcPr>
            <w:tcW w:w="368" w:type="pct"/>
            <w:noWrap/>
            <w:vAlign w:val="center"/>
          </w:tcPr>
          <w:p w14:paraId="65DB3A1F">
            <w:pPr>
              <w:pStyle w:val="28"/>
              <w:bidi w:val="0"/>
            </w:pPr>
            <w:r>
              <w:t>省Ⅰ</w:t>
            </w:r>
          </w:p>
        </w:tc>
        <w:tc>
          <w:tcPr>
            <w:tcW w:w="296" w:type="pct"/>
            <w:noWrap/>
            <w:vAlign w:val="center"/>
          </w:tcPr>
          <w:p w14:paraId="0B0F6CE0">
            <w:pPr>
              <w:pStyle w:val="28"/>
              <w:bidi w:val="0"/>
            </w:pPr>
            <w:r>
              <w:rPr>
                <w:rFonts w:hint="eastAsia"/>
              </w:rPr>
              <w:t>+++</w:t>
            </w:r>
          </w:p>
        </w:tc>
        <w:tc>
          <w:tcPr>
            <w:tcW w:w="501" w:type="pct"/>
            <w:noWrap/>
            <w:vAlign w:val="center"/>
          </w:tcPr>
          <w:p w14:paraId="12E7C32B">
            <w:pPr>
              <w:pStyle w:val="28"/>
              <w:bidi w:val="0"/>
            </w:pPr>
            <w:r>
              <w:t>√</w:t>
            </w:r>
          </w:p>
        </w:tc>
        <w:tc>
          <w:tcPr>
            <w:tcW w:w="902" w:type="pct"/>
            <w:noWrap/>
            <w:vAlign w:val="center"/>
          </w:tcPr>
          <w:p w14:paraId="5070B491">
            <w:pPr>
              <w:pStyle w:val="28"/>
              <w:bidi w:val="0"/>
            </w:pPr>
            <w:r>
              <w:t>村庄</w:t>
            </w:r>
          </w:p>
        </w:tc>
      </w:tr>
      <w:tr w14:paraId="4391BA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2358198D">
            <w:pPr>
              <w:pStyle w:val="28"/>
              <w:bidi w:val="0"/>
            </w:pPr>
            <w:r>
              <w:rPr>
                <w:rFonts w:hint="eastAsia"/>
              </w:rPr>
              <w:t>2</w:t>
            </w:r>
            <w:r>
              <w:t>1、喜鹊</w:t>
            </w:r>
          </w:p>
        </w:tc>
        <w:tc>
          <w:tcPr>
            <w:tcW w:w="856" w:type="pct"/>
            <w:noWrap/>
            <w:vAlign w:val="center"/>
          </w:tcPr>
          <w:p w14:paraId="68944E7C">
            <w:pPr>
              <w:pStyle w:val="28"/>
              <w:bidi w:val="0"/>
              <w:rPr>
                <w:i/>
                <w:iCs/>
              </w:rPr>
            </w:pPr>
            <w:r>
              <w:rPr>
                <w:i/>
                <w:iCs/>
              </w:rPr>
              <w:t>Pica pica</w:t>
            </w:r>
          </w:p>
        </w:tc>
        <w:tc>
          <w:tcPr>
            <w:tcW w:w="368" w:type="pct"/>
            <w:noWrap/>
            <w:vAlign w:val="center"/>
          </w:tcPr>
          <w:p w14:paraId="243FE085">
            <w:pPr>
              <w:pStyle w:val="28"/>
              <w:bidi w:val="0"/>
            </w:pPr>
            <w:r>
              <w:t>LC</w:t>
            </w:r>
          </w:p>
        </w:tc>
        <w:tc>
          <w:tcPr>
            <w:tcW w:w="297" w:type="pct"/>
            <w:noWrap/>
            <w:vAlign w:val="center"/>
          </w:tcPr>
          <w:p w14:paraId="2F6245ED">
            <w:pPr>
              <w:pStyle w:val="28"/>
              <w:bidi w:val="0"/>
            </w:pPr>
            <w:r>
              <w:t>否</w:t>
            </w:r>
          </w:p>
        </w:tc>
        <w:tc>
          <w:tcPr>
            <w:tcW w:w="296" w:type="pct"/>
            <w:noWrap/>
            <w:vAlign w:val="center"/>
          </w:tcPr>
          <w:p w14:paraId="76DF3986">
            <w:pPr>
              <w:pStyle w:val="28"/>
              <w:bidi w:val="0"/>
            </w:pPr>
            <w:r>
              <w:t>留</w:t>
            </w:r>
          </w:p>
        </w:tc>
        <w:tc>
          <w:tcPr>
            <w:tcW w:w="296" w:type="pct"/>
            <w:noWrap/>
            <w:vAlign w:val="center"/>
          </w:tcPr>
          <w:p w14:paraId="013FD03F">
            <w:pPr>
              <w:pStyle w:val="28"/>
              <w:bidi w:val="0"/>
            </w:pPr>
            <w:r>
              <w:t>广</w:t>
            </w:r>
          </w:p>
        </w:tc>
        <w:tc>
          <w:tcPr>
            <w:tcW w:w="368" w:type="pct"/>
            <w:noWrap/>
            <w:vAlign w:val="center"/>
          </w:tcPr>
          <w:p w14:paraId="5BB95C2A">
            <w:pPr>
              <w:pStyle w:val="28"/>
              <w:bidi w:val="0"/>
            </w:pPr>
            <w:r>
              <w:t>省Ⅱ</w:t>
            </w:r>
          </w:p>
        </w:tc>
        <w:tc>
          <w:tcPr>
            <w:tcW w:w="296" w:type="pct"/>
            <w:noWrap/>
            <w:vAlign w:val="center"/>
          </w:tcPr>
          <w:p w14:paraId="3979494F">
            <w:pPr>
              <w:pStyle w:val="28"/>
              <w:bidi w:val="0"/>
            </w:pPr>
            <w:r>
              <w:rPr>
                <w:rFonts w:hint="eastAsia"/>
              </w:rPr>
              <w:t>++++</w:t>
            </w:r>
          </w:p>
        </w:tc>
        <w:tc>
          <w:tcPr>
            <w:tcW w:w="501" w:type="pct"/>
            <w:noWrap/>
            <w:vAlign w:val="center"/>
          </w:tcPr>
          <w:p w14:paraId="0786972A">
            <w:pPr>
              <w:pStyle w:val="28"/>
              <w:bidi w:val="0"/>
            </w:pPr>
            <w:r>
              <w:t>√</w:t>
            </w:r>
          </w:p>
        </w:tc>
        <w:tc>
          <w:tcPr>
            <w:tcW w:w="902" w:type="pct"/>
            <w:noWrap/>
            <w:vAlign w:val="center"/>
          </w:tcPr>
          <w:p w14:paraId="5AD9B0E9">
            <w:pPr>
              <w:pStyle w:val="28"/>
              <w:bidi w:val="0"/>
            </w:pPr>
            <w:r>
              <w:t>林地、农田、村庄</w:t>
            </w:r>
          </w:p>
        </w:tc>
      </w:tr>
      <w:tr w14:paraId="5C6EB2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5610FA86">
            <w:pPr>
              <w:pStyle w:val="28"/>
              <w:bidi w:val="0"/>
            </w:pPr>
            <w:r>
              <w:t>（十</w:t>
            </w:r>
            <w:r>
              <w:rPr>
                <w:rFonts w:hint="eastAsia"/>
              </w:rPr>
              <w:t>三</w:t>
            </w:r>
            <w:r>
              <w:t xml:space="preserve">）扇尾莺科 </w:t>
            </w:r>
          </w:p>
        </w:tc>
        <w:tc>
          <w:tcPr>
            <w:tcW w:w="856" w:type="pct"/>
            <w:noWrap/>
            <w:vAlign w:val="center"/>
          </w:tcPr>
          <w:p w14:paraId="3CC27886">
            <w:pPr>
              <w:pStyle w:val="28"/>
              <w:bidi w:val="0"/>
            </w:pPr>
            <w:r>
              <w:t>Cisticolidae</w:t>
            </w:r>
          </w:p>
        </w:tc>
        <w:tc>
          <w:tcPr>
            <w:tcW w:w="368" w:type="pct"/>
            <w:noWrap/>
            <w:vAlign w:val="center"/>
          </w:tcPr>
          <w:p w14:paraId="42389BD7">
            <w:pPr>
              <w:pStyle w:val="28"/>
              <w:bidi w:val="0"/>
            </w:pPr>
          </w:p>
        </w:tc>
        <w:tc>
          <w:tcPr>
            <w:tcW w:w="297" w:type="pct"/>
            <w:noWrap/>
            <w:vAlign w:val="center"/>
          </w:tcPr>
          <w:p w14:paraId="5DE39C91">
            <w:pPr>
              <w:pStyle w:val="28"/>
              <w:bidi w:val="0"/>
            </w:pPr>
          </w:p>
        </w:tc>
        <w:tc>
          <w:tcPr>
            <w:tcW w:w="296" w:type="pct"/>
            <w:noWrap/>
            <w:vAlign w:val="center"/>
          </w:tcPr>
          <w:p w14:paraId="494FC63F">
            <w:pPr>
              <w:pStyle w:val="28"/>
              <w:bidi w:val="0"/>
            </w:pPr>
          </w:p>
        </w:tc>
        <w:tc>
          <w:tcPr>
            <w:tcW w:w="296" w:type="pct"/>
            <w:noWrap/>
            <w:vAlign w:val="center"/>
          </w:tcPr>
          <w:p w14:paraId="4871D6BB">
            <w:pPr>
              <w:pStyle w:val="28"/>
              <w:bidi w:val="0"/>
            </w:pPr>
          </w:p>
        </w:tc>
        <w:tc>
          <w:tcPr>
            <w:tcW w:w="368" w:type="pct"/>
            <w:noWrap/>
            <w:vAlign w:val="center"/>
          </w:tcPr>
          <w:p w14:paraId="28501A9E">
            <w:pPr>
              <w:pStyle w:val="28"/>
              <w:bidi w:val="0"/>
            </w:pPr>
          </w:p>
        </w:tc>
        <w:tc>
          <w:tcPr>
            <w:tcW w:w="296" w:type="pct"/>
            <w:noWrap/>
            <w:vAlign w:val="center"/>
          </w:tcPr>
          <w:p w14:paraId="21EF00E5">
            <w:pPr>
              <w:pStyle w:val="28"/>
              <w:bidi w:val="0"/>
            </w:pPr>
          </w:p>
        </w:tc>
        <w:tc>
          <w:tcPr>
            <w:tcW w:w="501" w:type="pct"/>
            <w:noWrap/>
            <w:vAlign w:val="center"/>
          </w:tcPr>
          <w:p w14:paraId="21108AD5">
            <w:pPr>
              <w:pStyle w:val="28"/>
              <w:bidi w:val="0"/>
            </w:pPr>
          </w:p>
        </w:tc>
        <w:tc>
          <w:tcPr>
            <w:tcW w:w="902" w:type="pct"/>
            <w:noWrap/>
            <w:vAlign w:val="center"/>
          </w:tcPr>
          <w:p w14:paraId="67A3F92B">
            <w:pPr>
              <w:pStyle w:val="28"/>
              <w:bidi w:val="0"/>
            </w:pPr>
          </w:p>
        </w:tc>
      </w:tr>
      <w:tr w14:paraId="0E7AE5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5E2CE29C">
            <w:pPr>
              <w:pStyle w:val="28"/>
              <w:bidi w:val="0"/>
            </w:pPr>
            <w:r>
              <w:rPr>
                <w:rFonts w:hint="eastAsia"/>
              </w:rPr>
              <w:t>22</w:t>
            </w:r>
            <w:r>
              <w:t>、棕扇尾莺</w:t>
            </w:r>
          </w:p>
        </w:tc>
        <w:tc>
          <w:tcPr>
            <w:tcW w:w="856" w:type="pct"/>
            <w:noWrap/>
            <w:vAlign w:val="center"/>
          </w:tcPr>
          <w:p w14:paraId="18BC8FC3">
            <w:pPr>
              <w:pStyle w:val="28"/>
              <w:bidi w:val="0"/>
              <w:rPr>
                <w:i/>
                <w:iCs/>
              </w:rPr>
            </w:pPr>
            <w:r>
              <w:rPr>
                <w:i/>
                <w:iCs/>
              </w:rPr>
              <w:t>Cisticola juncidis</w:t>
            </w:r>
          </w:p>
        </w:tc>
        <w:tc>
          <w:tcPr>
            <w:tcW w:w="368" w:type="pct"/>
            <w:noWrap/>
            <w:vAlign w:val="center"/>
          </w:tcPr>
          <w:p w14:paraId="1F48DAB5">
            <w:pPr>
              <w:pStyle w:val="28"/>
              <w:bidi w:val="0"/>
            </w:pPr>
            <w:r>
              <w:t>LC</w:t>
            </w:r>
          </w:p>
        </w:tc>
        <w:tc>
          <w:tcPr>
            <w:tcW w:w="297" w:type="pct"/>
            <w:noWrap/>
            <w:vAlign w:val="center"/>
          </w:tcPr>
          <w:p w14:paraId="2F703B52">
            <w:pPr>
              <w:pStyle w:val="28"/>
              <w:bidi w:val="0"/>
            </w:pPr>
            <w:r>
              <w:t>否</w:t>
            </w:r>
          </w:p>
        </w:tc>
        <w:tc>
          <w:tcPr>
            <w:tcW w:w="296" w:type="pct"/>
            <w:noWrap/>
            <w:vAlign w:val="center"/>
          </w:tcPr>
          <w:p w14:paraId="2A1D5A62">
            <w:pPr>
              <w:pStyle w:val="28"/>
              <w:bidi w:val="0"/>
            </w:pPr>
            <w:r>
              <w:t>留</w:t>
            </w:r>
          </w:p>
        </w:tc>
        <w:tc>
          <w:tcPr>
            <w:tcW w:w="296" w:type="pct"/>
            <w:noWrap/>
            <w:vAlign w:val="center"/>
          </w:tcPr>
          <w:p w14:paraId="540A9909">
            <w:pPr>
              <w:pStyle w:val="28"/>
              <w:bidi w:val="0"/>
            </w:pPr>
            <w:r>
              <w:t>东</w:t>
            </w:r>
          </w:p>
        </w:tc>
        <w:tc>
          <w:tcPr>
            <w:tcW w:w="368" w:type="pct"/>
            <w:noWrap/>
            <w:vAlign w:val="center"/>
          </w:tcPr>
          <w:p w14:paraId="4097A2AD">
            <w:pPr>
              <w:pStyle w:val="28"/>
              <w:bidi w:val="0"/>
            </w:pPr>
          </w:p>
        </w:tc>
        <w:tc>
          <w:tcPr>
            <w:tcW w:w="296" w:type="pct"/>
            <w:noWrap/>
            <w:vAlign w:val="center"/>
          </w:tcPr>
          <w:p w14:paraId="58AB83A0">
            <w:pPr>
              <w:pStyle w:val="28"/>
              <w:bidi w:val="0"/>
            </w:pPr>
            <w:r>
              <w:t>++</w:t>
            </w:r>
          </w:p>
        </w:tc>
        <w:tc>
          <w:tcPr>
            <w:tcW w:w="501" w:type="pct"/>
            <w:noWrap/>
            <w:vAlign w:val="center"/>
          </w:tcPr>
          <w:p w14:paraId="5B74DAC7">
            <w:pPr>
              <w:pStyle w:val="28"/>
              <w:bidi w:val="0"/>
            </w:pPr>
            <w:r>
              <w:t>√</w:t>
            </w:r>
          </w:p>
        </w:tc>
        <w:tc>
          <w:tcPr>
            <w:tcW w:w="902" w:type="pct"/>
            <w:noWrap/>
            <w:vAlign w:val="center"/>
          </w:tcPr>
          <w:p w14:paraId="25F77FA7">
            <w:pPr>
              <w:pStyle w:val="28"/>
              <w:bidi w:val="0"/>
            </w:pPr>
            <w:r>
              <w:t>农田、草丛</w:t>
            </w:r>
          </w:p>
        </w:tc>
      </w:tr>
      <w:tr w14:paraId="63854D5E">
        <w:tblPrEx>
          <w:tblCellMar>
            <w:top w:w="0" w:type="dxa"/>
            <w:left w:w="108" w:type="dxa"/>
            <w:bottom w:w="0" w:type="dxa"/>
            <w:right w:w="108" w:type="dxa"/>
          </w:tblCellMar>
        </w:tblPrEx>
        <w:trPr>
          <w:trHeight w:val="23" w:hRule="atLeast"/>
          <w:jc w:val="center"/>
        </w:trPr>
        <w:tc>
          <w:tcPr>
            <w:tcW w:w="815" w:type="pct"/>
            <w:noWrap/>
            <w:vAlign w:val="center"/>
          </w:tcPr>
          <w:p w14:paraId="3751DF43">
            <w:pPr>
              <w:pStyle w:val="28"/>
              <w:bidi w:val="0"/>
            </w:pPr>
            <w:r>
              <w:rPr>
                <w:rFonts w:hint="eastAsia"/>
              </w:rPr>
              <w:t>23</w:t>
            </w:r>
            <w:r>
              <w:t>、纯色山鹪莺</w:t>
            </w:r>
          </w:p>
        </w:tc>
        <w:tc>
          <w:tcPr>
            <w:tcW w:w="856" w:type="pct"/>
            <w:noWrap/>
            <w:vAlign w:val="center"/>
          </w:tcPr>
          <w:p w14:paraId="6B081D9B">
            <w:pPr>
              <w:pStyle w:val="28"/>
              <w:bidi w:val="0"/>
              <w:rPr>
                <w:i/>
                <w:iCs/>
              </w:rPr>
            </w:pPr>
            <w:r>
              <w:rPr>
                <w:i/>
                <w:iCs/>
              </w:rPr>
              <w:t>Prinia inornata</w:t>
            </w:r>
          </w:p>
        </w:tc>
        <w:tc>
          <w:tcPr>
            <w:tcW w:w="368" w:type="pct"/>
            <w:noWrap/>
            <w:vAlign w:val="center"/>
          </w:tcPr>
          <w:p w14:paraId="7193C131">
            <w:pPr>
              <w:pStyle w:val="28"/>
              <w:bidi w:val="0"/>
            </w:pPr>
            <w:r>
              <w:t>LC</w:t>
            </w:r>
          </w:p>
        </w:tc>
        <w:tc>
          <w:tcPr>
            <w:tcW w:w="297" w:type="pct"/>
            <w:noWrap/>
            <w:vAlign w:val="center"/>
          </w:tcPr>
          <w:p w14:paraId="2B6FACE3">
            <w:pPr>
              <w:pStyle w:val="28"/>
              <w:bidi w:val="0"/>
            </w:pPr>
            <w:r>
              <w:t>否</w:t>
            </w:r>
          </w:p>
        </w:tc>
        <w:tc>
          <w:tcPr>
            <w:tcW w:w="296" w:type="pct"/>
            <w:noWrap/>
            <w:vAlign w:val="center"/>
          </w:tcPr>
          <w:p w14:paraId="71696096">
            <w:pPr>
              <w:pStyle w:val="28"/>
              <w:bidi w:val="0"/>
            </w:pPr>
            <w:r>
              <w:t>留</w:t>
            </w:r>
          </w:p>
        </w:tc>
        <w:tc>
          <w:tcPr>
            <w:tcW w:w="296" w:type="pct"/>
            <w:noWrap/>
            <w:vAlign w:val="center"/>
          </w:tcPr>
          <w:p w14:paraId="121DD2B8">
            <w:pPr>
              <w:pStyle w:val="28"/>
              <w:bidi w:val="0"/>
            </w:pPr>
            <w:r>
              <w:t>东</w:t>
            </w:r>
          </w:p>
        </w:tc>
        <w:tc>
          <w:tcPr>
            <w:tcW w:w="368" w:type="pct"/>
            <w:noWrap/>
            <w:vAlign w:val="center"/>
          </w:tcPr>
          <w:p w14:paraId="4222FFCD">
            <w:pPr>
              <w:pStyle w:val="28"/>
              <w:bidi w:val="0"/>
            </w:pPr>
          </w:p>
        </w:tc>
        <w:tc>
          <w:tcPr>
            <w:tcW w:w="296" w:type="pct"/>
            <w:noWrap/>
            <w:vAlign w:val="center"/>
          </w:tcPr>
          <w:p w14:paraId="387ED889">
            <w:pPr>
              <w:pStyle w:val="28"/>
              <w:bidi w:val="0"/>
            </w:pPr>
            <w:r>
              <w:t>+</w:t>
            </w:r>
          </w:p>
        </w:tc>
        <w:tc>
          <w:tcPr>
            <w:tcW w:w="501" w:type="pct"/>
            <w:noWrap/>
            <w:vAlign w:val="center"/>
          </w:tcPr>
          <w:p w14:paraId="5D8B776B">
            <w:pPr>
              <w:pStyle w:val="28"/>
              <w:bidi w:val="0"/>
            </w:pPr>
            <w:r>
              <w:t>√</w:t>
            </w:r>
          </w:p>
        </w:tc>
        <w:tc>
          <w:tcPr>
            <w:tcW w:w="902" w:type="pct"/>
            <w:noWrap/>
            <w:vAlign w:val="center"/>
          </w:tcPr>
          <w:p w14:paraId="279B69E4">
            <w:pPr>
              <w:pStyle w:val="28"/>
              <w:bidi w:val="0"/>
            </w:pPr>
            <w:r>
              <w:t>农田、草丛、灌丛</w:t>
            </w:r>
          </w:p>
        </w:tc>
      </w:tr>
      <w:tr w14:paraId="323AF9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5902D677">
            <w:pPr>
              <w:pStyle w:val="28"/>
              <w:bidi w:val="0"/>
            </w:pPr>
            <w:r>
              <w:t>（</w:t>
            </w:r>
            <w:r>
              <w:rPr>
                <w:rFonts w:hint="eastAsia"/>
              </w:rPr>
              <w:t>十四</w:t>
            </w:r>
            <w:r>
              <w:t xml:space="preserve">）燕科 </w:t>
            </w:r>
          </w:p>
        </w:tc>
        <w:tc>
          <w:tcPr>
            <w:tcW w:w="856" w:type="pct"/>
            <w:noWrap/>
            <w:vAlign w:val="center"/>
          </w:tcPr>
          <w:p w14:paraId="4474E5D7">
            <w:pPr>
              <w:pStyle w:val="28"/>
              <w:bidi w:val="0"/>
            </w:pPr>
            <w:r>
              <w:t>Hirundinidae</w:t>
            </w:r>
          </w:p>
        </w:tc>
        <w:tc>
          <w:tcPr>
            <w:tcW w:w="368" w:type="pct"/>
            <w:noWrap/>
            <w:vAlign w:val="center"/>
          </w:tcPr>
          <w:p w14:paraId="199CC9AD">
            <w:pPr>
              <w:pStyle w:val="28"/>
              <w:bidi w:val="0"/>
            </w:pPr>
          </w:p>
        </w:tc>
        <w:tc>
          <w:tcPr>
            <w:tcW w:w="297" w:type="pct"/>
            <w:noWrap/>
            <w:vAlign w:val="center"/>
          </w:tcPr>
          <w:p w14:paraId="54A2F538">
            <w:pPr>
              <w:pStyle w:val="28"/>
              <w:bidi w:val="0"/>
            </w:pPr>
          </w:p>
        </w:tc>
        <w:tc>
          <w:tcPr>
            <w:tcW w:w="296" w:type="pct"/>
            <w:noWrap/>
            <w:vAlign w:val="center"/>
          </w:tcPr>
          <w:p w14:paraId="261875BD">
            <w:pPr>
              <w:pStyle w:val="28"/>
              <w:bidi w:val="0"/>
            </w:pPr>
          </w:p>
        </w:tc>
        <w:tc>
          <w:tcPr>
            <w:tcW w:w="296" w:type="pct"/>
            <w:noWrap/>
            <w:vAlign w:val="center"/>
          </w:tcPr>
          <w:p w14:paraId="02A8DAC3">
            <w:pPr>
              <w:pStyle w:val="28"/>
              <w:bidi w:val="0"/>
            </w:pPr>
          </w:p>
        </w:tc>
        <w:tc>
          <w:tcPr>
            <w:tcW w:w="368" w:type="pct"/>
            <w:noWrap/>
            <w:vAlign w:val="center"/>
          </w:tcPr>
          <w:p w14:paraId="0F7AE9D1">
            <w:pPr>
              <w:pStyle w:val="28"/>
              <w:bidi w:val="0"/>
            </w:pPr>
          </w:p>
        </w:tc>
        <w:tc>
          <w:tcPr>
            <w:tcW w:w="296" w:type="pct"/>
            <w:noWrap/>
            <w:vAlign w:val="center"/>
          </w:tcPr>
          <w:p w14:paraId="643061A4">
            <w:pPr>
              <w:pStyle w:val="28"/>
              <w:bidi w:val="0"/>
            </w:pPr>
          </w:p>
        </w:tc>
        <w:tc>
          <w:tcPr>
            <w:tcW w:w="501" w:type="pct"/>
            <w:noWrap/>
            <w:vAlign w:val="center"/>
          </w:tcPr>
          <w:p w14:paraId="7F350EDA">
            <w:pPr>
              <w:pStyle w:val="28"/>
              <w:bidi w:val="0"/>
            </w:pPr>
          </w:p>
        </w:tc>
        <w:tc>
          <w:tcPr>
            <w:tcW w:w="902" w:type="pct"/>
            <w:noWrap/>
            <w:vAlign w:val="center"/>
          </w:tcPr>
          <w:p w14:paraId="5A64F186">
            <w:pPr>
              <w:pStyle w:val="28"/>
              <w:bidi w:val="0"/>
            </w:pPr>
          </w:p>
        </w:tc>
      </w:tr>
      <w:tr w14:paraId="342DB621">
        <w:tblPrEx>
          <w:tblCellMar>
            <w:top w:w="0" w:type="dxa"/>
            <w:left w:w="108" w:type="dxa"/>
            <w:bottom w:w="0" w:type="dxa"/>
            <w:right w:w="108" w:type="dxa"/>
          </w:tblCellMar>
        </w:tblPrEx>
        <w:trPr>
          <w:trHeight w:val="23" w:hRule="atLeast"/>
          <w:jc w:val="center"/>
        </w:trPr>
        <w:tc>
          <w:tcPr>
            <w:tcW w:w="815" w:type="pct"/>
            <w:noWrap/>
            <w:vAlign w:val="center"/>
          </w:tcPr>
          <w:p w14:paraId="1333F69C">
            <w:pPr>
              <w:pStyle w:val="28"/>
              <w:bidi w:val="0"/>
            </w:pPr>
            <w:r>
              <w:rPr>
                <w:rFonts w:hint="eastAsia"/>
              </w:rPr>
              <w:t>24</w:t>
            </w:r>
            <w:r>
              <w:t>、家燕</w:t>
            </w:r>
          </w:p>
        </w:tc>
        <w:tc>
          <w:tcPr>
            <w:tcW w:w="856" w:type="pct"/>
            <w:noWrap/>
            <w:vAlign w:val="center"/>
          </w:tcPr>
          <w:p w14:paraId="62E7D9FF">
            <w:pPr>
              <w:pStyle w:val="28"/>
              <w:bidi w:val="0"/>
              <w:rPr>
                <w:i/>
                <w:iCs/>
              </w:rPr>
            </w:pPr>
            <w:r>
              <w:rPr>
                <w:i/>
                <w:iCs/>
              </w:rPr>
              <w:t>Hirundo rustica</w:t>
            </w:r>
          </w:p>
        </w:tc>
        <w:tc>
          <w:tcPr>
            <w:tcW w:w="368" w:type="pct"/>
            <w:noWrap/>
            <w:vAlign w:val="center"/>
          </w:tcPr>
          <w:p w14:paraId="53ED64E3">
            <w:pPr>
              <w:pStyle w:val="28"/>
              <w:bidi w:val="0"/>
            </w:pPr>
            <w:r>
              <w:t>LC</w:t>
            </w:r>
          </w:p>
        </w:tc>
        <w:tc>
          <w:tcPr>
            <w:tcW w:w="297" w:type="pct"/>
            <w:noWrap/>
            <w:vAlign w:val="center"/>
          </w:tcPr>
          <w:p w14:paraId="20CC585E">
            <w:pPr>
              <w:pStyle w:val="28"/>
              <w:bidi w:val="0"/>
            </w:pPr>
            <w:r>
              <w:t>否</w:t>
            </w:r>
          </w:p>
        </w:tc>
        <w:tc>
          <w:tcPr>
            <w:tcW w:w="296" w:type="pct"/>
            <w:noWrap/>
            <w:vAlign w:val="center"/>
          </w:tcPr>
          <w:p w14:paraId="6F51ED74">
            <w:pPr>
              <w:pStyle w:val="28"/>
              <w:bidi w:val="0"/>
            </w:pPr>
            <w:r>
              <w:t>夏</w:t>
            </w:r>
          </w:p>
        </w:tc>
        <w:tc>
          <w:tcPr>
            <w:tcW w:w="296" w:type="pct"/>
            <w:noWrap/>
            <w:vAlign w:val="center"/>
          </w:tcPr>
          <w:p w14:paraId="405DCE3B">
            <w:pPr>
              <w:pStyle w:val="28"/>
              <w:bidi w:val="0"/>
            </w:pPr>
            <w:r>
              <w:t>广</w:t>
            </w:r>
          </w:p>
        </w:tc>
        <w:tc>
          <w:tcPr>
            <w:tcW w:w="368" w:type="pct"/>
            <w:noWrap/>
            <w:vAlign w:val="center"/>
          </w:tcPr>
          <w:p w14:paraId="00B8B31A">
            <w:pPr>
              <w:pStyle w:val="28"/>
              <w:bidi w:val="0"/>
            </w:pPr>
            <w:r>
              <w:t>省Ⅰ</w:t>
            </w:r>
          </w:p>
        </w:tc>
        <w:tc>
          <w:tcPr>
            <w:tcW w:w="296" w:type="pct"/>
            <w:noWrap/>
            <w:vAlign w:val="center"/>
          </w:tcPr>
          <w:p w14:paraId="32EF12F8">
            <w:pPr>
              <w:pStyle w:val="28"/>
              <w:bidi w:val="0"/>
            </w:pPr>
            <w:r>
              <w:t>++</w:t>
            </w:r>
          </w:p>
        </w:tc>
        <w:tc>
          <w:tcPr>
            <w:tcW w:w="501" w:type="pct"/>
            <w:noWrap/>
            <w:vAlign w:val="center"/>
          </w:tcPr>
          <w:p w14:paraId="40268430">
            <w:pPr>
              <w:pStyle w:val="28"/>
              <w:bidi w:val="0"/>
            </w:pPr>
          </w:p>
        </w:tc>
        <w:tc>
          <w:tcPr>
            <w:tcW w:w="902" w:type="pct"/>
            <w:noWrap/>
            <w:vAlign w:val="center"/>
          </w:tcPr>
          <w:p w14:paraId="2AD8AC7C">
            <w:pPr>
              <w:pStyle w:val="28"/>
              <w:bidi w:val="0"/>
            </w:pPr>
            <w:r>
              <w:t>村庄、河流</w:t>
            </w:r>
          </w:p>
        </w:tc>
      </w:tr>
      <w:tr w14:paraId="4B8997B2">
        <w:tblPrEx>
          <w:tblCellMar>
            <w:top w:w="0" w:type="dxa"/>
            <w:left w:w="108" w:type="dxa"/>
            <w:bottom w:w="0" w:type="dxa"/>
            <w:right w:w="108" w:type="dxa"/>
          </w:tblCellMar>
        </w:tblPrEx>
        <w:trPr>
          <w:trHeight w:val="23" w:hRule="atLeast"/>
          <w:jc w:val="center"/>
        </w:trPr>
        <w:tc>
          <w:tcPr>
            <w:tcW w:w="815" w:type="pct"/>
            <w:noWrap/>
            <w:vAlign w:val="center"/>
          </w:tcPr>
          <w:p w14:paraId="7D9B99C0">
            <w:pPr>
              <w:pStyle w:val="28"/>
              <w:bidi w:val="0"/>
            </w:pPr>
            <w:r>
              <w:rPr>
                <w:rFonts w:hint="eastAsia"/>
              </w:rPr>
              <w:t>25</w:t>
            </w:r>
            <w:r>
              <w:t>、金腰燕</w:t>
            </w:r>
          </w:p>
        </w:tc>
        <w:tc>
          <w:tcPr>
            <w:tcW w:w="856" w:type="pct"/>
            <w:noWrap/>
            <w:vAlign w:val="center"/>
          </w:tcPr>
          <w:p w14:paraId="634A4DD3">
            <w:pPr>
              <w:pStyle w:val="28"/>
              <w:bidi w:val="0"/>
              <w:rPr>
                <w:i/>
                <w:iCs/>
              </w:rPr>
            </w:pPr>
            <w:r>
              <w:rPr>
                <w:i/>
                <w:iCs/>
              </w:rPr>
              <w:t>Cecropis daurica</w:t>
            </w:r>
          </w:p>
        </w:tc>
        <w:tc>
          <w:tcPr>
            <w:tcW w:w="368" w:type="pct"/>
            <w:noWrap/>
            <w:vAlign w:val="center"/>
          </w:tcPr>
          <w:p w14:paraId="1485CE2B">
            <w:pPr>
              <w:pStyle w:val="28"/>
              <w:bidi w:val="0"/>
            </w:pPr>
            <w:r>
              <w:t>LC</w:t>
            </w:r>
          </w:p>
        </w:tc>
        <w:tc>
          <w:tcPr>
            <w:tcW w:w="297" w:type="pct"/>
            <w:noWrap/>
            <w:vAlign w:val="center"/>
          </w:tcPr>
          <w:p w14:paraId="03635BFF">
            <w:pPr>
              <w:pStyle w:val="28"/>
              <w:bidi w:val="0"/>
            </w:pPr>
            <w:r>
              <w:t>否</w:t>
            </w:r>
          </w:p>
        </w:tc>
        <w:tc>
          <w:tcPr>
            <w:tcW w:w="296" w:type="pct"/>
            <w:noWrap/>
            <w:vAlign w:val="center"/>
          </w:tcPr>
          <w:p w14:paraId="05A54B36">
            <w:pPr>
              <w:pStyle w:val="28"/>
              <w:bidi w:val="0"/>
            </w:pPr>
            <w:r>
              <w:t>夏</w:t>
            </w:r>
          </w:p>
        </w:tc>
        <w:tc>
          <w:tcPr>
            <w:tcW w:w="296" w:type="pct"/>
            <w:noWrap/>
            <w:vAlign w:val="center"/>
          </w:tcPr>
          <w:p w14:paraId="303D18CF">
            <w:pPr>
              <w:pStyle w:val="28"/>
              <w:bidi w:val="0"/>
            </w:pPr>
            <w:r>
              <w:t>广</w:t>
            </w:r>
          </w:p>
        </w:tc>
        <w:tc>
          <w:tcPr>
            <w:tcW w:w="368" w:type="pct"/>
            <w:noWrap/>
            <w:vAlign w:val="center"/>
          </w:tcPr>
          <w:p w14:paraId="1E2D6C3E">
            <w:pPr>
              <w:pStyle w:val="28"/>
              <w:bidi w:val="0"/>
            </w:pPr>
            <w:r>
              <w:t>省Ⅰ</w:t>
            </w:r>
          </w:p>
        </w:tc>
        <w:tc>
          <w:tcPr>
            <w:tcW w:w="296" w:type="pct"/>
            <w:noWrap/>
            <w:vAlign w:val="center"/>
          </w:tcPr>
          <w:p w14:paraId="6864DB64">
            <w:pPr>
              <w:pStyle w:val="28"/>
              <w:bidi w:val="0"/>
            </w:pPr>
            <w:r>
              <w:t>+</w:t>
            </w:r>
          </w:p>
        </w:tc>
        <w:tc>
          <w:tcPr>
            <w:tcW w:w="501" w:type="pct"/>
            <w:noWrap/>
            <w:vAlign w:val="center"/>
          </w:tcPr>
          <w:p w14:paraId="2F08E6F7">
            <w:pPr>
              <w:pStyle w:val="28"/>
              <w:bidi w:val="0"/>
            </w:pPr>
            <w:r>
              <w:t>√√</w:t>
            </w:r>
          </w:p>
        </w:tc>
        <w:tc>
          <w:tcPr>
            <w:tcW w:w="902" w:type="pct"/>
            <w:noWrap/>
            <w:vAlign w:val="center"/>
          </w:tcPr>
          <w:p w14:paraId="7EED4CD3">
            <w:pPr>
              <w:pStyle w:val="28"/>
              <w:bidi w:val="0"/>
            </w:pPr>
            <w:r>
              <w:t>村庄、草丛</w:t>
            </w:r>
          </w:p>
        </w:tc>
      </w:tr>
      <w:tr w14:paraId="53738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181E7E92">
            <w:pPr>
              <w:pStyle w:val="28"/>
              <w:bidi w:val="0"/>
            </w:pPr>
            <w:r>
              <w:t>（</w:t>
            </w:r>
            <w:r>
              <w:rPr>
                <w:rFonts w:hint="eastAsia"/>
              </w:rPr>
              <w:t>十五</w:t>
            </w:r>
            <w:r>
              <w:t xml:space="preserve">）鹎科 </w:t>
            </w:r>
          </w:p>
        </w:tc>
        <w:tc>
          <w:tcPr>
            <w:tcW w:w="856" w:type="pct"/>
            <w:noWrap/>
            <w:vAlign w:val="center"/>
          </w:tcPr>
          <w:p w14:paraId="3AD2A42E">
            <w:pPr>
              <w:pStyle w:val="28"/>
              <w:bidi w:val="0"/>
            </w:pPr>
            <w:r>
              <w:t>Pycnonotidae</w:t>
            </w:r>
          </w:p>
        </w:tc>
        <w:tc>
          <w:tcPr>
            <w:tcW w:w="368" w:type="pct"/>
            <w:noWrap/>
            <w:vAlign w:val="center"/>
          </w:tcPr>
          <w:p w14:paraId="1F6F3854">
            <w:pPr>
              <w:pStyle w:val="28"/>
              <w:bidi w:val="0"/>
            </w:pPr>
          </w:p>
        </w:tc>
        <w:tc>
          <w:tcPr>
            <w:tcW w:w="297" w:type="pct"/>
            <w:noWrap/>
            <w:vAlign w:val="center"/>
          </w:tcPr>
          <w:p w14:paraId="2687C182">
            <w:pPr>
              <w:pStyle w:val="28"/>
              <w:bidi w:val="0"/>
            </w:pPr>
          </w:p>
        </w:tc>
        <w:tc>
          <w:tcPr>
            <w:tcW w:w="296" w:type="pct"/>
            <w:noWrap/>
            <w:vAlign w:val="center"/>
          </w:tcPr>
          <w:p w14:paraId="2EF4A6C6">
            <w:pPr>
              <w:pStyle w:val="28"/>
              <w:bidi w:val="0"/>
            </w:pPr>
          </w:p>
        </w:tc>
        <w:tc>
          <w:tcPr>
            <w:tcW w:w="296" w:type="pct"/>
            <w:noWrap/>
            <w:vAlign w:val="center"/>
          </w:tcPr>
          <w:p w14:paraId="347245AD">
            <w:pPr>
              <w:pStyle w:val="28"/>
              <w:bidi w:val="0"/>
            </w:pPr>
          </w:p>
        </w:tc>
        <w:tc>
          <w:tcPr>
            <w:tcW w:w="368" w:type="pct"/>
            <w:noWrap/>
            <w:vAlign w:val="center"/>
          </w:tcPr>
          <w:p w14:paraId="4B27B44F">
            <w:pPr>
              <w:pStyle w:val="28"/>
              <w:bidi w:val="0"/>
            </w:pPr>
          </w:p>
        </w:tc>
        <w:tc>
          <w:tcPr>
            <w:tcW w:w="296" w:type="pct"/>
            <w:noWrap/>
            <w:vAlign w:val="center"/>
          </w:tcPr>
          <w:p w14:paraId="5BEB69A3">
            <w:pPr>
              <w:pStyle w:val="28"/>
              <w:bidi w:val="0"/>
            </w:pPr>
          </w:p>
        </w:tc>
        <w:tc>
          <w:tcPr>
            <w:tcW w:w="501" w:type="pct"/>
            <w:noWrap/>
            <w:vAlign w:val="center"/>
          </w:tcPr>
          <w:p w14:paraId="1EB0DEE8">
            <w:pPr>
              <w:pStyle w:val="28"/>
              <w:bidi w:val="0"/>
            </w:pPr>
          </w:p>
        </w:tc>
        <w:tc>
          <w:tcPr>
            <w:tcW w:w="902" w:type="pct"/>
            <w:noWrap/>
            <w:vAlign w:val="center"/>
          </w:tcPr>
          <w:p w14:paraId="4A1DFECC">
            <w:pPr>
              <w:pStyle w:val="28"/>
              <w:bidi w:val="0"/>
            </w:pPr>
          </w:p>
        </w:tc>
      </w:tr>
      <w:tr w14:paraId="36773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5336D266">
            <w:pPr>
              <w:pStyle w:val="28"/>
              <w:bidi w:val="0"/>
            </w:pPr>
            <w:r>
              <w:rPr>
                <w:rFonts w:hint="eastAsia"/>
              </w:rPr>
              <w:t>26</w:t>
            </w:r>
            <w:r>
              <w:t>、白头鹎</w:t>
            </w:r>
          </w:p>
        </w:tc>
        <w:tc>
          <w:tcPr>
            <w:tcW w:w="856" w:type="pct"/>
            <w:noWrap/>
            <w:vAlign w:val="center"/>
          </w:tcPr>
          <w:p w14:paraId="7D510BE7">
            <w:pPr>
              <w:pStyle w:val="28"/>
              <w:bidi w:val="0"/>
              <w:rPr>
                <w:i/>
                <w:iCs/>
              </w:rPr>
            </w:pPr>
            <w:r>
              <w:rPr>
                <w:i/>
                <w:iCs/>
              </w:rPr>
              <w:t>Pycnonotus sinensis</w:t>
            </w:r>
          </w:p>
        </w:tc>
        <w:tc>
          <w:tcPr>
            <w:tcW w:w="368" w:type="pct"/>
            <w:noWrap/>
            <w:vAlign w:val="center"/>
          </w:tcPr>
          <w:p w14:paraId="373441B1">
            <w:pPr>
              <w:pStyle w:val="28"/>
              <w:bidi w:val="0"/>
            </w:pPr>
            <w:r>
              <w:t>LC</w:t>
            </w:r>
          </w:p>
        </w:tc>
        <w:tc>
          <w:tcPr>
            <w:tcW w:w="297" w:type="pct"/>
            <w:noWrap/>
            <w:vAlign w:val="center"/>
          </w:tcPr>
          <w:p w14:paraId="73F369A9">
            <w:pPr>
              <w:pStyle w:val="28"/>
              <w:bidi w:val="0"/>
            </w:pPr>
            <w:r>
              <w:t>否</w:t>
            </w:r>
          </w:p>
        </w:tc>
        <w:tc>
          <w:tcPr>
            <w:tcW w:w="296" w:type="pct"/>
            <w:noWrap/>
            <w:vAlign w:val="center"/>
          </w:tcPr>
          <w:p w14:paraId="4469231E">
            <w:pPr>
              <w:pStyle w:val="28"/>
              <w:bidi w:val="0"/>
            </w:pPr>
            <w:r>
              <w:t>留</w:t>
            </w:r>
          </w:p>
        </w:tc>
        <w:tc>
          <w:tcPr>
            <w:tcW w:w="296" w:type="pct"/>
            <w:noWrap/>
            <w:vAlign w:val="center"/>
          </w:tcPr>
          <w:p w14:paraId="427962F4">
            <w:pPr>
              <w:pStyle w:val="28"/>
              <w:bidi w:val="0"/>
            </w:pPr>
            <w:r>
              <w:t>东</w:t>
            </w:r>
          </w:p>
        </w:tc>
        <w:tc>
          <w:tcPr>
            <w:tcW w:w="368" w:type="pct"/>
            <w:noWrap/>
            <w:vAlign w:val="center"/>
          </w:tcPr>
          <w:p w14:paraId="140EDFD8">
            <w:pPr>
              <w:pStyle w:val="28"/>
              <w:bidi w:val="0"/>
            </w:pPr>
          </w:p>
        </w:tc>
        <w:tc>
          <w:tcPr>
            <w:tcW w:w="296" w:type="pct"/>
            <w:noWrap/>
            <w:vAlign w:val="center"/>
          </w:tcPr>
          <w:p w14:paraId="63DF563E">
            <w:pPr>
              <w:pStyle w:val="28"/>
              <w:bidi w:val="0"/>
            </w:pPr>
            <w:r>
              <w:t>++++</w:t>
            </w:r>
          </w:p>
        </w:tc>
        <w:tc>
          <w:tcPr>
            <w:tcW w:w="501" w:type="pct"/>
            <w:noWrap/>
            <w:vAlign w:val="center"/>
          </w:tcPr>
          <w:p w14:paraId="7212B1C1">
            <w:pPr>
              <w:pStyle w:val="28"/>
              <w:bidi w:val="0"/>
            </w:pPr>
            <w:r>
              <w:t>√</w:t>
            </w:r>
          </w:p>
        </w:tc>
        <w:tc>
          <w:tcPr>
            <w:tcW w:w="902" w:type="pct"/>
            <w:noWrap/>
            <w:vAlign w:val="center"/>
          </w:tcPr>
          <w:p w14:paraId="6CE93C55">
            <w:pPr>
              <w:pStyle w:val="28"/>
              <w:bidi w:val="0"/>
            </w:pPr>
            <w:r>
              <w:t>村庄、灌丛</w:t>
            </w:r>
          </w:p>
        </w:tc>
      </w:tr>
      <w:tr w14:paraId="300AED13">
        <w:tblPrEx>
          <w:tblCellMar>
            <w:top w:w="0" w:type="dxa"/>
            <w:left w:w="108" w:type="dxa"/>
            <w:bottom w:w="0" w:type="dxa"/>
            <w:right w:w="108" w:type="dxa"/>
          </w:tblCellMar>
        </w:tblPrEx>
        <w:trPr>
          <w:trHeight w:val="23" w:hRule="atLeast"/>
          <w:jc w:val="center"/>
        </w:trPr>
        <w:tc>
          <w:tcPr>
            <w:tcW w:w="815" w:type="pct"/>
            <w:noWrap/>
            <w:vAlign w:val="center"/>
          </w:tcPr>
          <w:p w14:paraId="41AACF3C">
            <w:pPr>
              <w:pStyle w:val="28"/>
              <w:bidi w:val="0"/>
            </w:pPr>
            <w:r>
              <w:t>（</w:t>
            </w:r>
            <w:r>
              <w:rPr>
                <w:rFonts w:hint="eastAsia"/>
              </w:rPr>
              <w:t>十六</w:t>
            </w:r>
            <w:r>
              <w:t xml:space="preserve">）鸦雀科 </w:t>
            </w:r>
          </w:p>
        </w:tc>
        <w:tc>
          <w:tcPr>
            <w:tcW w:w="856" w:type="pct"/>
            <w:noWrap/>
            <w:vAlign w:val="center"/>
          </w:tcPr>
          <w:p w14:paraId="2E4270AF">
            <w:pPr>
              <w:pStyle w:val="28"/>
              <w:bidi w:val="0"/>
            </w:pPr>
            <w:r>
              <w:t>Paradoxornithidae</w:t>
            </w:r>
          </w:p>
        </w:tc>
        <w:tc>
          <w:tcPr>
            <w:tcW w:w="368" w:type="pct"/>
            <w:noWrap/>
            <w:vAlign w:val="center"/>
          </w:tcPr>
          <w:p w14:paraId="4310F993">
            <w:pPr>
              <w:pStyle w:val="28"/>
              <w:bidi w:val="0"/>
            </w:pPr>
          </w:p>
        </w:tc>
        <w:tc>
          <w:tcPr>
            <w:tcW w:w="297" w:type="pct"/>
            <w:noWrap/>
            <w:vAlign w:val="center"/>
          </w:tcPr>
          <w:p w14:paraId="7D523499">
            <w:pPr>
              <w:pStyle w:val="28"/>
              <w:bidi w:val="0"/>
            </w:pPr>
          </w:p>
        </w:tc>
        <w:tc>
          <w:tcPr>
            <w:tcW w:w="296" w:type="pct"/>
            <w:noWrap/>
            <w:vAlign w:val="center"/>
          </w:tcPr>
          <w:p w14:paraId="2DA800A9">
            <w:pPr>
              <w:pStyle w:val="28"/>
              <w:bidi w:val="0"/>
            </w:pPr>
          </w:p>
        </w:tc>
        <w:tc>
          <w:tcPr>
            <w:tcW w:w="296" w:type="pct"/>
            <w:noWrap/>
            <w:vAlign w:val="center"/>
          </w:tcPr>
          <w:p w14:paraId="5DA00966">
            <w:pPr>
              <w:pStyle w:val="28"/>
              <w:bidi w:val="0"/>
            </w:pPr>
          </w:p>
        </w:tc>
        <w:tc>
          <w:tcPr>
            <w:tcW w:w="368" w:type="pct"/>
            <w:noWrap/>
            <w:vAlign w:val="center"/>
          </w:tcPr>
          <w:p w14:paraId="5B464E7D">
            <w:pPr>
              <w:pStyle w:val="28"/>
              <w:bidi w:val="0"/>
            </w:pPr>
          </w:p>
        </w:tc>
        <w:tc>
          <w:tcPr>
            <w:tcW w:w="296" w:type="pct"/>
            <w:noWrap/>
            <w:vAlign w:val="center"/>
          </w:tcPr>
          <w:p w14:paraId="3DA070F5">
            <w:pPr>
              <w:pStyle w:val="28"/>
              <w:bidi w:val="0"/>
            </w:pPr>
          </w:p>
        </w:tc>
        <w:tc>
          <w:tcPr>
            <w:tcW w:w="501" w:type="pct"/>
            <w:noWrap/>
            <w:vAlign w:val="center"/>
          </w:tcPr>
          <w:p w14:paraId="79BBC7A8">
            <w:pPr>
              <w:pStyle w:val="28"/>
              <w:bidi w:val="0"/>
            </w:pPr>
          </w:p>
        </w:tc>
        <w:tc>
          <w:tcPr>
            <w:tcW w:w="902" w:type="pct"/>
            <w:noWrap/>
            <w:vAlign w:val="center"/>
          </w:tcPr>
          <w:p w14:paraId="1356768D">
            <w:pPr>
              <w:pStyle w:val="28"/>
              <w:bidi w:val="0"/>
            </w:pPr>
          </w:p>
        </w:tc>
      </w:tr>
      <w:tr w14:paraId="69024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358D6EBE">
            <w:pPr>
              <w:pStyle w:val="28"/>
              <w:bidi w:val="0"/>
            </w:pPr>
            <w:r>
              <w:rPr>
                <w:rFonts w:hint="eastAsia"/>
              </w:rPr>
              <w:t>27</w:t>
            </w:r>
            <w:r>
              <w:t>、棕头鸦雀</w:t>
            </w:r>
          </w:p>
        </w:tc>
        <w:tc>
          <w:tcPr>
            <w:tcW w:w="856" w:type="pct"/>
            <w:noWrap/>
            <w:vAlign w:val="center"/>
          </w:tcPr>
          <w:p w14:paraId="058B628B">
            <w:pPr>
              <w:pStyle w:val="28"/>
              <w:bidi w:val="0"/>
              <w:rPr>
                <w:i/>
                <w:iCs/>
              </w:rPr>
            </w:pPr>
            <w:r>
              <w:rPr>
                <w:i/>
                <w:iCs/>
              </w:rPr>
              <w:t>Paradoxornis webbianus</w:t>
            </w:r>
          </w:p>
        </w:tc>
        <w:tc>
          <w:tcPr>
            <w:tcW w:w="368" w:type="pct"/>
            <w:noWrap/>
            <w:vAlign w:val="center"/>
          </w:tcPr>
          <w:p w14:paraId="346353B4">
            <w:pPr>
              <w:pStyle w:val="28"/>
              <w:bidi w:val="0"/>
            </w:pPr>
            <w:r>
              <w:t>LC</w:t>
            </w:r>
          </w:p>
        </w:tc>
        <w:tc>
          <w:tcPr>
            <w:tcW w:w="297" w:type="pct"/>
            <w:noWrap/>
            <w:vAlign w:val="center"/>
          </w:tcPr>
          <w:p w14:paraId="54436250">
            <w:pPr>
              <w:pStyle w:val="28"/>
              <w:bidi w:val="0"/>
            </w:pPr>
            <w:r>
              <w:t>否</w:t>
            </w:r>
          </w:p>
        </w:tc>
        <w:tc>
          <w:tcPr>
            <w:tcW w:w="296" w:type="pct"/>
            <w:noWrap/>
            <w:vAlign w:val="center"/>
          </w:tcPr>
          <w:p w14:paraId="7A24893E">
            <w:pPr>
              <w:pStyle w:val="28"/>
              <w:bidi w:val="0"/>
            </w:pPr>
            <w:r>
              <w:t>留</w:t>
            </w:r>
          </w:p>
        </w:tc>
        <w:tc>
          <w:tcPr>
            <w:tcW w:w="296" w:type="pct"/>
            <w:noWrap/>
            <w:vAlign w:val="center"/>
          </w:tcPr>
          <w:p w14:paraId="34CE63C9">
            <w:pPr>
              <w:pStyle w:val="28"/>
              <w:bidi w:val="0"/>
            </w:pPr>
            <w:r>
              <w:t>东</w:t>
            </w:r>
          </w:p>
        </w:tc>
        <w:tc>
          <w:tcPr>
            <w:tcW w:w="368" w:type="pct"/>
            <w:noWrap/>
            <w:vAlign w:val="center"/>
          </w:tcPr>
          <w:p w14:paraId="49C0ED82">
            <w:pPr>
              <w:pStyle w:val="28"/>
              <w:bidi w:val="0"/>
            </w:pPr>
          </w:p>
        </w:tc>
        <w:tc>
          <w:tcPr>
            <w:tcW w:w="296" w:type="pct"/>
            <w:noWrap/>
            <w:vAlign w:val="center"/>
          </w:tcPr>
          <w:p w14:paraId="0F0E4E2F">
            <w:pPr>
              <w:pStyle w:val="28"/>
              <w:bidi w:val="0"/>
            </w:pPr>
            <w:r>
              <w:t>+++</w:t>
            </w:r>
          </w:p>
        </w:tc>
        <w:tc>
          <w:tcPr>
            <w:tcW w:w="501" w:type="pct"/>
            <w:noWrap/>
            <w:vAlign w:val="center"/>
          </w:tcPr>
          <w:p w14:paraId="560BC2A5">
            <w:pPr>
              <w:pStyle w:val="28"/>
              <w:bidi w:val="0"/>
            </w:pPr>
            <w:r>
              <w:t>√</w:t>
            </w:r>
          </w:p>
        </w:tc>
        <w:tc>
          <w:tcPr>
            <w:tcW w:w="902" w:type="pct"/>
            <w:noWrap/>
            <w:vAlign w:val="center"/>
          </w:tcPr>
          <w:p w14:paraId="5E662453">
            <w:pPr>
              <w:pStyle w:val="28"/>
              <w:bidi w:val="0"/>
            </w:pPr>
            <w:r>
              <w:t>灌丛</w:t>
            </w:r>
          </w:p>
        </w:tc>
      </w:tr>
      <w:tr w14:paraId="55B60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081337A3">
            <w:pPr>
              <w:pStyle w:val="28"/>
              <w:bidi w:val="0"/>
            </w:pPr>
            <w:r>
              <w:t>（</w:t>
            </w:r>
            <w:r>
              <w:rPr>
                <w:rFonts w:hint="eastAsia"/>
              </w:rPr>
              <w:t>十七</w:t>
            </w:r>
            <w:r>
              <w:t>）画眉科</w:t>
            </w:r>
          </w:p>
        </w:tc>
        <w:tc>
          <w:tcPr>
            <w:tcW w:w="856" w:type="pct"/>
            <w:noWrap/>
            <w:vAlign w:val="center"/>
          </w:tcPr>
          <w:p w14:paraId="7707DE6D">
            <w:pPr>
              <w:pStyle w:val="28"/>
              <w:bidi w:val="0"/>
            </w:pPr>
            <w:r>
              <w:t xml:space="preserve"> Timaliidae</w:t>
            </w:r>
          </w:p>
        </w:tc>
        <w:tc>
          <w:tcPr>
            <w:tcW w:w="368" w:type="pct"/>
            <w:noWrap/>
            <w:vAlign w:val="center"/>
          </w:tcPr>
          <w:p w14:paraId="680E9117">
            <w:pPr>
              <w:pStyle w:val="28"/>
              <w:bidi w:val="0"/>
            </w:pPr>
          </w:p>
        </w:tc>
        <w:tc>
          <w:tcPr>
            <w:tcW w:w="297" w:type="pct"/>
            <w:noWrap/>
            <w:vAlign w:val="center"/>
          </w:tcPr>
          <w:p w14:paraId="06BC77F8">
            <w:pPr>
              <w:pStyle w:val="28"/>
              <w:bidi w:val="0"/>
            </w:pPr>
          </w:p>
        </w:tc>
        <w:tc>
          <w:tcPr>
            <w:tcW w:w="296" w:type="pct"/>
            <w:noWrap/>
            <w:vAlign w:val="center"/>
          </w:tcPr>
          <w:p w14:paraId="38329F3C">
            <w:pPr>
              <w:pStyle w:val="28"/>
              <w:bidi w:val="0"/>
            </w:pPr>
          </w:p>
        </w:tc>
        <w:tc>
          <w:tcPr>
            <w:tcW w:w="296" w:type="pct"/>
            <w:noWrap/>
            <w:vAlign w:val="center"/>
          </w:tcPr>
          <w:p w14:paraId="54FD3ECC">
            <w:pPr>
              <w:pStyle w:val="28"/>
              <w:bidi w:val="0"/>
            </w:pPr>
          </w:p>
        </w:tc>
        <w:tc>
          <w:tcPr>
            <w:tcW w:w="368" w:type="pct"/>
            <w:noWrap/>
            <w:vAlign w:val="center"/>
          </w:tcPr>
          <w:p w14:paraId="64BD0E36">
            <w:pPr>
              <w:pStyle w:val="28"/>
              <w:bidi w:val="0"/>
            </w:pPr>
          </w:p>
        </w:tc>
        <w:tc>
          <w:tcPr>
            <w:tcW w:w="296" w:type="pct"/>
            <w:noWrap/>
            <w:vAlign w:val="center"/>
          </w:tcPr>
          <w:p w14:paraId="078F68C9">
            <w:pPr>
              <w:pStyle w:val="28"/>
              <w:bidi w:val="0"/>
            </w:pPr>
          </w:p>
        </w:tc>
        <w:tc>
          <w:tcPr>
            <w:tcW w:w="501" w:type="pct"/>
            <w:noWrap/>
            <w:vAlign w:val="center"/>
          </w:tcPr>
          <w:p w14:paraId="4FC8FD15">
            <w:pPr>
              <w:pStyle w:val="28"/>
              <w:bidi w:val="0"/>
            </w:pPr>
          </w:p>
        </w:tc>
        <w:tc>
          <w:tcPr>
            <w:tcW w:w="902" w:type="pct"/>
            <w:noWrap/>
            <w:vAlign w:val="center"/>
          </w:tcPr>
          <w:p w14:paraId="4038359B">
            <w:pPr>
              <w:pStyle w:val="28"/>
              <w:bidi w:val="0"/>
            </w:pPr>
          </w:p>
        </w:tc>
      </w:tr>
      <w:tr w14:paraId="6FB66C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2077DBF8">
            <w:pPr>
              <w:pStyle w:val="28"/>
              <w:bidi w:val="0"/>
            </w:pPr>
            <w:r>
              <w:rPr>
                <w:rFonts w:hint="eastAsia"/>
              </w:rPr>
              <w:t>28</w:t>
            </w:r>
            <w:r>
              <w:t>、黑脸噪鹛</w:t>
            </w:r>
          </w:p>
        </w:tc>
        <w:tc>
          <w:tcPr>
            <w:tcW w:w="856" w:type="pct"/>
            <w:noWrap/>
            <w:vAlign w:val="center"/>
          </w:tcPr>
          <w:p w14:paraId="3E4DDE7B">
            <w:pPr>
              <w:pStyle w:val="28"/>
              <w:bidi w:val="0"/>
              <w:rPr>
                <w:i/>
                <w:iCs/>
              </w:rPr>
            </w:pPr>
            <w:r>
              <w:rPr>
                <w:i/>
                <w:iCs/>
              </w:rPr>
              <w:t>Garrulax perspicillatus</w:t>
            </w:r>
          </w:p>
        </w:tc>
        <w:tc>
          <w:tcPr>
            <w:tcW w:w="368" w:type="pct"/>
            <w:noWrap/>
            <w:vAlign w:val="center"/>
          </w:tcPr>
          <w:p w14:paraId="41CC8EF2">
            <w:pPr>
              <w:pStyle w:val="28"/>
              <w:bidi w:val="0"/>
            </w:pPr>
            <w:r>
              <w:t>LC</w:t>
            </w:r>
          </w:p>
        </w:tc>
        <w:tc>
          <w:tcPr>
            <w:tcW w:w="297" w:type="pct"/>
            <w:noWrap/>
            <w:vAlign w:val="center"/>
          </w:tcPr>
          <w:p w14:paraId="73E998EF">
            <w:pPr>
              <w:pStyle w:val="28"/>
              <w:bidi w:val="0"/>
            </w:pPr>
            <w:r>
              <w:t>否</w:t>
            </w:r>
          </w:p>
        </w:tc>
        <w:tc>
          <w:tcPr>
            <w:tcW w:w="296" w:type="pct"/>
            <w:noWrap/>
            <w:vAlign w:val="center"/>
          </w:tcPr>
          <w:p w14:paraId="4A7C21DE">
            <w:pPr>
              <w:pStyle w:val="28"/>
              <w:bidi w:val="0"/>
            </w:pPr>
            <w:r>
              <w:t>留</w:t>
            </w:r>
          </w:p>
        </w:tc>
        <w:tc>
          <w:tcPr>
            <w:tcW w:w="296" w:type="pct"/>
            <w:noWrap/>
            <w:vAlign w:val="center"/>
          </w:tcPr>
          <w:p w14:paraId="62C8653E">
            <w:pPr>
              <w:pStyle w:val="28"/>
              <w:bidi w:val="0"/>
            </w:pPr>
            <w:r>
              <w:t>东</w:t>
            </w:r>
          </w:p>
        </w:tc>
        <w:tc>
          <w:tcPr>
            <w:tcW w:w="368" w:type="pct"/>
            <w:noWrap/>
            <w:vAlign w:val="center"/>
          </w:tcPr>
          <w:p w14:paraId="73A1E6B0">
            <w:pPr>
              <w:pStyle w:val="28"/>
              <w:bidi w:val="0"/>
            </w:pPr>
          </w:p>
        </w:tc>
        <w:tc>
          <w:tcPr>
            <w:tcW w:w="296" w:type="pct"/>
            <w:noWrap/>
            <w:vAlign w:val="center"/>
          </w:tcPr>
          <w:p w14:paraId="22A88708">
            <w:pPr>
              <w:pStyle w:val="28"/>
              <w:bidi w:val="0"/>
            </w:pPr>
            <w:r>
              <w:t>+++</w:t>
            </w:r>
          </w:p>
        </w:tc>
        <w:tc>
          <w:tcPr>
            <w:tcW w:w="501" w:type="pct"/>
            <w:noWrap/>
            <w:vAlign w:val="center"/>
          </w:tcPr>
          <w:p w14:paraId="548FD890">
            <w:pPr>
              <w:pStyle w:val="28"/>
              <w:bidi w:val="0"/>
            </w:pPr>
            <w:r>
              <w:t>√</w:t>
            </w:r>
          </w:p>
        </w:tc>
        <w:tc>
          <w:tcPr>
            <w:tcW w:w="902" w:type="pct"/>
            <w:noWrap/>
            <w:vAlign w:val="center"/>
          </w:tcPr>
          <w:p w14:paraId="08C8581B">
            <w:pPr>
              <w:pStyle w:val="28"/>
              <w:bidi w:val="0"/>
            </w:pPr>
            <w:r>
              <w:t>灌丛、村庄</w:t>
            </w:r>
          </w:p>
        </w:tc>
      </w:tr>
      <w:tr w14:paraId="685C69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7098E6DE">
            <w:pPr>
              <w:pStyle w:val="28"/>
              <w:bidi w:val="0"/>
            </w:pPr>
            <w:r>
              <w:t>（</w:t>
            </w:r>
            <w:r>
              <w:rPr>
                <w:rFonts w:hint="eastAsia"/>
              </w:rPr>
              <w:t>十八</w:t>
            </w:r>
            <w:r>
              <w:t xml:space="preserve">）椋鸟科 </w:t>
            </w:r>
          </w:p>
        </w:tc>
        <w:tc>
          <w:tcPr>
            <w:tcW w:w="856" w:type="pct"/>
            <w:noWrap/>
            <w:vAlign w:val="center"/>
          </w:tcPr>
          <w:p w14:paraId="7426616D">
            <w:pPr>
              <w:pStyle w:val="28"/>
              <w:bidi w:val="0"/>
            </w:pPr>
            <w:r>
              <w:t>Sturnidae</w:t>
            </w:r>
          </w:p>
        </w:tc>
        <w:tc>
          <w:tcPr>
            <w:tcW w:w="368" w:type="pct"/>
            <w:noWrap/>
            <w:vAlign w:val="center"/>
          </w:tcPr>
          <w:p w14:paraId="401AAECA">
            <w:pPr>
              <w:pStyle w:val="28"/>
              <w:bidi w:val="0"/>
            </w:pPr>
          </w:p>
        </w:tc>
        <w:tc>
          <w:tcPr>
            <w:tcW w:w="297" w:type="pct"/>
            <w:noWrap/>
            <w:vAlign w:val="center"/>
          </w:tcPr>
          <w:p w14:paraId="0D58C2F0">
            <w:pPr>
              <w:pStyle w:val="28"/>
              <w:bidi w:val="0"/>
            </w:pPr>
          </w:p>
        </w:tc>
        <w:tc>
          <w:tcPr>
            <w:tcW w:w="296" w:type="pct"/>
            <w:noWrap/>
            <w:vAlign w:val="center"/>
          </w:tcPr>
          <w:p w14:paraId="3D278D5A">
            <w:pPr>
              <w:pStyle w:val="28"/>
              <w:bidi w:val="0"/>
            </w:pPr>
          </w:p>
        </w:tc>
        <w:tc>
          <w:tcPr>
            <w:tcW w:w="296" w:type="pct"/>
            <w:noWrap/>
            <w:vAlign w:val="center"/>
          </w:tcPr>
          <w:p w14:paraId="020E9E43">
            <w:pPr>
              <w:pStyle w:val="28"/>
              <w:bidi w:val="0"/>
            </w:pPr>
          </w:p>
        </w:tc>
        <w:tc>
          <w:tcPr>
            <w:tcW w:w="368" w:type="pct"/>
            <w:noWrap/>
            <w:vAlign w:val="center"/>
          </w:tcPr>
          <w:p w14:paraId="0690CD52">
            <w:pPr>
              <w:pStyle w:val="28"/>
              <w:bidi w:val="0"/>
            </w:pPr>
          </w:p>
        </w:tc>
        <w:tc>
          <w:tcPr>
            <w:tcW w:w="296" w:type="pct"/>
            <w:noWrap/>
            <w:vAlign w:val="center"/>
          </w:tcPr>
          <w:p w14:paraId="3393B8F0">
            <w:pPr>
              <w:pStyle w:val="28"/>
              <w:bidi w:val="0"/>
            </w:pPr>
          </w:p>
        </w:tc>
        <w:tc>
          <w:tcPr>
            <w:tcW w:w="501" w:type="pct"/>
            <w:noWrap/>
            <w:vAlign w:val="center"/>
          </w:tcPr>
          <w:p w14:paraId="2859D65C">
            <w:pPr>
              <w:pStyle w:val="28"/>
              <w:bidi w:val="0"/>
            </w:pPr>
          </w:p>
        </w:tc>
        <w:tc>
          <w:tcPr>
            <w:tcW w:w="902" w:type="pct"/>
            <w:noWrap/>
            <w:vAlign w:val="center"/>
          </w:tcPr>
          <w:p w14:paraId="54DD22A3">
            <w:pPr>
              <w:pStyle w:val="28"/>
              <w:bidi w:val="0"/>
            </w:pPr>
          </w:p>
        </w:tc>
      </w:tr>
      <w:tr w14:paraId="7CFE84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12FFD962">
            <w:pPr>
              <w:pStyle w:val="28"/>
              <w:bidi w:val="0"/>
            </w:pPr>
            <w:r>
              <w:rPr>
                <w:rFonts w:hint="eastAsia"/>
              </w:rPr>
              <w:t>29</w:t>
            </w:r>
            <w:r>
              <w:t>、八哥</w:t>
            </w:r>
          </w:p>
        </w:tc>
        <w:tc>
          <w:tcPr>
            <w:tcW w:w="856" w:type="pct"/>
            <w:noWrap/>
            <w:vAlign w:val="center"/>
          </w:tcPr>
          <w:p w14:paraId="164320A9">
            <w:pPr>
              <w:pStyle w:val="28"/>
              <w:bidi w:val="0"/>
              <w:rPr>
                <w:i/>
                <w:iCs/>
              </w:rPr>
            </w:pPr>
            <w:r>
              <w:rPr>
                <w:i/>
                <w:iCs/>
              </w:rPr>
              <w:t>Acridotheres cristatellus</w:t>
            </w:r>
          </w:p>
        </w:tc>
        <w:tc>
          <w:tcPr>
            <w:tcW w:w="368" w:type="pct"/>
            <w:noWrap/>
            <w:vAlign w:val="center"/>
          </w:tcPr>
          <w:p w14:paraId="658475ED">
            <w:pPr>
              <w:pStyle w:val="28"/>
              <w:bidi w:val="0"/>
            </w:pPr>
            <w:r>
              <w:t>LC</w:t>
            </w:r>
          </w:p>
        </w:tc>
        <w:tc>
          <w:tcPr>
            <w:tcW w:w="297" w:type="pct"/>
            <w:noWrap/>
            <w:vAlign w:val="center"/>
          </w:tcPr>
          <w:p w14:paraId="64424D62">
            <w:pPr>
              <w:pStyle w:val="28"/>
              <w:bidi w:val="0"/>
            </w:pPr>
            <w:r>
              <w:t>否</w:t>
            </w:r>
          </w:p>
        </w:tc>
        <w:tc>
          <w:tcPr>
            <w:tcW w:w="296" w:type="pct"/>
            <w:noWrap/>
            <w:vAlign w:val="center"/>
          </w:tcPr>
          <w:p w14:paraId="462E7743">
            <w:pPr>
              <w:pStyle w:val="28"/>
              <w:bidi w:val="0"/>
            </w:pPr>
            <w:r>
              <w:t>留</w:t>
            </w:r>
          </w:p>
        </w:tc>
        <w:tc>
          <w:tcPr>
            <w:tcW w:w="296" w:type="pct"/>
            <w:noWrap/>
            <w:vAlign w:val="center"/>
          </w:tcPr>
          <w:p w14:paraId="7F4BF6E2">
            <w:pPr>
              <w:pStyle w:val="28"/>
              <w:bidi w:val="0"/>
            </w:pPr>
            <w:r>
              <w:t>东</w:t>
            </w:r>
          </w:p>
        </w:tc>
        <w:tc>
          <w:tcPr>
            <w:tcW w:w="368" w:type="pct"/>
            <w:noWrap/>
            <w:vAlign w:val="center"/>
          </w:tcPr>
          <w:p w14:paraId="087BC24A">
            <w:pPr>
              <w:pStyle w:val="28"/>
              <w:bidi w:val="0"/>
            </w:pPr>
            <w:r>
              <w:t>省Ⅱ</w:t>
            </w:r>
          </w:p>
        </w:tc>
        <w:tc>
          <w:tcPr>
            <w:tcW w:w="296" w:type="pct"/>
            <w:noWrap/>
            <w:vAlign w:val="center"/>
          </w:tcPr>
          <w:p w14:paraId="668F0663">
            <w:pPr>
              <w:pStyle w:val="28"/>
              <w:bidi w:val="0"/>
            </w:pPr>
            <w:r>
              <w:t>++++</w:t>
            </w:r>
          </w:p>
        </w:tc>
        <w:tc>
          <w:tcPr>
            <w:tcW w:w="501" w:type="pct"/>
            <w:noWrap/>
            <w:vAlign w:val="center"/>
          </w:tcPr>
          <w:p w14:paraId="15DC301D">
            <w:pPr>
              <w:pStyle w:val="28"/>
              <w:bidi w:val="0"/>
            </w:pPr>
            <w:r>
              <w:t>√</w:t>
            </w:r>
          </w:p>
        </w:tc>
        <w:tc>
          <w:tcPr>
            <w:tcW w:w="902" w:type="pct"/>
            <w:noWrap/>
            <w:vAlign w:val="center"/>
          </w:tcPr>
          <w:p w14:paraId="4D1C4BC1">
            <w:pPr>
              <w:pStyle w:val="28"/>
              <w:bidi w:val="0"/>
            </w:pPr>
            <w:r>
              <w:t>村庄</w:t>
            </w:r>
          </w:p>
        </w:tc>
      </w:tr>
      <w:tr w14:paraId="3B7FF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44C9F4E2">
            <w:pPr>
              <w:pStyle w:val="28"/>
              <w:bidi w:val="0"/>
            </w:pPr>
            <w:r>
              <w:rPr>
                <w:rFonts w:hint="eastAsia"/>
              </w:rPr>
              <w:t>30</w:t>
            </w:r>
            <w:r>
              <w:t>、丝光椋鸟</w:t>
            </w:r>
          </w:p>
        </w:tc>
        <w:tc>
          <w:tcPr>
            <w:tcW w:w="856" w:type="pct"/>
            <w:noWrap/>
            <w:vAlign w:val="center"/>
          </w:tcPr>
          <w:p w14:paraId="6E73F378">
            <w:pPr>
              <w:pStyle w:val="28"/>
              <w:bidi w:val="0"/>
              <w:rPr>
                <w:i/>
                <w:iCs/>
              </w:rPr>
            </w:pPr>
            <w:r>
              <w:rPr>
                <w:i/>
                <w:iCs/>
              </w:rPr>
              <w:t>Sturnus sericeus</w:t>
            </w:r>
          </w:p>
        </w:tc>
        <w:tc>
          <w:tcPr>
            <w:tcW w:w="368" w:type="pct"/>
            <w:noWrap/>
            <w:vAlign w:val="center"/>
          </w:tcPr>
          <w:p w14:paraId="3956C342">
            <w:pPr>
              <w:pStyle w:val="28"/>
              <w:bidi w:val="0"/>
            </w:pPr>
            <w:r>
              <w:t>LC</w:t>
            </w:r>
          </w:p>
        </w:tc>
        <w:tc>
          <w:tcPr>
            <w:tcW w:w="297" w:type="pct"/>
            <w:noWrap/>
            <w:vAlign w:val="center"/>
          </w:tcPr>
          <w:p w14:paraId="223FDD47">
            <w:pPr>
              <w:pStyle w:val="28"/>
              <w:bidi w:val="0"/>
            </w:pPr>
            <w:r>
              <w:t>否</w:t>
            </w:r>
          </w:p>
        </w:tc>
        <w:tc>
          <w:tcPr>
            <w:tcW w:w="296" w:type="pct"/>
            <w:noWrap/>
            <w:vAlign w:val="center"/>
          </w:tcPr>
          <w:p w14:paraId="431F2CAE">
            <w:pPr>
              <w:pStyle w:val="28"/>
              <w:bidi w:val="0"/>
            </w:pPr>
            <w:r>
              <w:t>留</w:t>
            </w:r>
          </w:p>
        </w:tc>
        <w:tc>
          <w:tcPr>
            <w:tcW w:w="296" w:type="pct"/>
            <w:noWrap/>
            <w:vAlign w:val="center"/>
          </w:tcPr>
          <w:p w14:paraId="3C6737A4">
            <w:pPr>
              <w:pStyle w:val="28"/>
              <w:bidi w:val="0"/>
            </w:pPr>
            <w:r>
              <w:t>东</w:t>
            </w:r>
          </w:p>
        </w:tc>
        <w:tc>
          <w:tcPr>
            <w:tcW w:w="368" w:type="pct"/>
            <w:noWrap/>
            <w:vAlign w:val="center"/>
          </w:tcPr>
          <w:p w14:paraId="1288A529">
            <w:pPr>
              <w:pStyle w:val="28"/>
              <w:bidi w:val="0"/>
            </w:pPr>
          </w:p>
        </w:tc>
        <w:tc>
          <w:tcPr>
            <w:tcW w:w="296" w:type="pct"/>
            <w:noWrap/>
            <w:vAlign w:val="center"/>
          </w:tcPr>
          <w:p w14:paraId="0F416CA0">
            <w:pPr>
              <w:pStyle w:val="28"/>
              <w:bidi w:val="0"/>
            </w:pPr>
            <w:r>
              <w:t>++</w:t>
            </w:r>
          </w:p>
        </w:tc>
        <w:tc>
          <w:tcPr>
            <w:tcW w:w="501" w:type="pct"/>
            <w:noWrap/>
            <w:vAlign w:val="center"/>
          </w:tcPr>
          <w:p w14:paraId="2C4727E2">
            <w:pPr>
              <w:pStyle w:val="28"/>
              <w:bidi w:val="0"/>
            </w:pPr>
            <w:r>
              <w:t>√</w:t>
            </w:r>
          </w:p>
        </w:tc>
        <w:tc>
          <w:tcPr>
            <w:tcW w:w="902" w:type="pct"/>
            <w:noWrap/>
            <w:vAlign w:val="center"/>
          </w:tcPr>
          <w:p w14:paraId="1FB23177">
            <w:pPr>
              <w:pStyle w:val="28"/>
              <w:bidi w:val="0"/>
            </w:pPr>
            <w:r>
              <w:t>林地、农田、村庄</w:t>
            </w:r>
          </w:p>
        </w:tc>
      </w:tr>
      <w:tr w14:paraId="6E44DD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5B6AB52D">
            <w:pPr>
              <w:pStyle w:val="28"/>
              <w:bidi w:val="0"/>
            </w:pPr>
            <w:r>
              <w:rPr>
                <w:rFonts w:hint="eastAsia"/>
              </w:rPr>
              <w:t>31</w:t>
            </w:r>
            <w:r>
              <w:t>、灰椋鸟</w:t>
            </w:r>
          </w:p>
        </w:tc>
        <w:tc>
          <w:tcPr>
            <w:tcW w:w="856" w:type="pct"/>
            <w:noWrap/>
            <w:vAlign w:val="center"/>
          </w:tcPr>
          <w:p w14:paraId="08BBC1E9">
            <w:pPr>
              <w:pStyle w:val="28"/>
              <w:bidi w:val="0"/>
              <w:rPr>
                <w:i/>
                <w:iCs/>
              </w:rPr>
            </w:pPr>
            <w:r>
              <w:rPr>
                <w:i/>
                <w:iCs/>
              </w:rPr>
              <w:t>Sturnus cineraceus</w:t>
            </w:r>
          </w:p>
        </w:tc>
        <w:tc>
          <w:tcPr>
            <w:tcW w:w="368" w:type="pct"/>
            <w:noWrap/>
            <w:vAlign w:val="center"/>
          </w:tcPr>
          <w:p w14:paraId="67BF70F6">
            <w:pPr>
              <w:pStyle w:val="28"/>
              <w:bidi w:val="0"/>
            </w:pPr>
            <w:r>
              <w:t>LC</w:t>
            </w:r>
          </w:p>
        </w:tc>
        <w:tc>
          <w:tcPr>
            <w:tcW w:w="297" w:type="pct"/>
            <w:noWrap/>
            <w:vAlign w:val="center"/>
          </w:tcPr>
          <w:p w14:paraId="0BEADE63">
            <w:pPr>
              <w:pStyle w:val="28"/>
              <w:bidi w:val="0"/>
            </w:pPr>
            <w:r>
              <w:t>否</w:t>
            </w:r>
          </w:p>
        </w:tc>
        <w:tc>
          <w:tcPr>
            <w:tcW w:w="296" w:type="pct"/>
            <w:noWrap/>
            <w:vAlign w:val="center"/>
          </w:tcPr>
          <w:p w14:paraId="1235015C">
            <w:pPr>
              <w:pStyle w:val="28"/>
              <w:bidi w:val="0"/>
            </w:pPr>
            <w:r>
              <w:t>留</w:t>
            </w:r>
          </w:p>
        </w:tc>
        <w:tc>
          <w:tcPr>
            <w:tcW w:w="296" w:type="pct"/>
            <w:noWrap/>
            <w:vAlign w:val="center"/>
          </w:tcPr>
          <w:p w14:paraId="0865E885">
            <w:pPr>
              <w:pStyle w:val="28"/>
              <w:bidi w:val="0"/>
            </w:pPr>
            <w:r>
              <w:t>古</w:t>
            </w:r>
          </w:p>
        </w:tc>
        <w:tc>
          <w:tcPr>
            <w:tcW w:w="368" w:type="pct"/>
            <w:noWrap/>
            <w:vAlign w:val="center"/>
          </w:tcPr>
          <w:p w14:paraId="5364C85B">
            <w:pPr>
              <w:pStyle w:val="28"/>
              <w:bidi w:val="0"/>
            </w:pPr>
          </w:p>
        </w:tc>
        <w:tc>
          <w:tcPr>
            <w:tcW w:w="296" w:type="pct"/>
            <w:noWrap/>
            <w:vAlign w:val="center"/>
          </w:tcPr>
          <w:p w14:paraId="24CB722D">
            <w:pPr>
              <w:pStyle w:val="28"/>
              <w:bidi w:val="0"/>
            </w:pPr>
            <w:r>
              <w:t>+++</w:t>
            </w:r>
          </w:p>
        </w:tc>
        <w:tc>
          <w:tcPr>
            <w:tcW w:w="501" w:type="pct"/>
            <w:noWrap/>
            <w:vAlign w:val="center"/>
          </w:tcPr>
          <w:p w14:paraId="4333908E">
            <w:pPr>
              <w:pStyle w:val="28"/>
              <w:bidi w:val="0"/>
            </w:pPr>
            <w:r>
              <w:t>√</w:t>
            </w:r>
          </w:p>
        </w:tc>
        <w:tc>
          <w:tcPr>
            <w:tcW w:w="902" w:type="pct"/>
            <w:noWrap/>
            <w:vAlign w:val="center"/>
          </w:tcPr>
          <w:p w14:paraId="43B3F311">
            <w:pPr>
              <w:pStyle w:val="28"/>
              <w:bidi w:val="0"/>
            </w:pPr>
            <w:r>
              <w:t>林地、农田、村庄</w:t>
            </w:r>
          </w:p>
        </w:tc>
      </w:tr>
      <w:tr w14:paraId="1A80C0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57507AC2">
            <w:pPr>
              <w:pStyle w:val="28"/>
              <w:bidi w:val="0"/>
              <w:rPr>
                <w:b/>
                <w:bCs/>
              </w:rPr>
            </w:pPr>
            <w:r>
              <w:rPr>
                <w:b/>
                <w:bCs/>
              </w:rPr>
              <w:t>（</w:t>
            </w:r>
            <w:r>
              <w:rPr>
                <w:rFonts w:hint="eastAsia"/>
                <w:b/>
                <w:bCs/>
              </w:rPr>
              <w:t>十九</w:t>
            </w:r>
            <w:r>
              <w:rPr>
                <w:b/>
                <w:bCs/>
              </w:rPr>
              <w:t xml:space="preserve">）鹟科 </w:t>
            </w:r>
          </w:p>
        </w:tc>
        <w:tc>
          <w:tcPr>
            <w:tcW w:w="856" w:type="pct"/>
            <w:noWrap/>
            <w:vAlign w:val="center"/>
          </w:tcPr>
          <w:p w14:paraId="447F7239">
            <w:pPr>
              <w:pStyle w:val="28"/>
              <w:bidi w:val="0"/>
              <w:rPr>
                <w:b/>
                <w:bCs/>
              </w:rPr>
            </w:pPr>
            <w:r>
              <w:rPr>
                <w:b/>
                <w:bCs/>
              </w:rPr>
              <w:t>Muscicapidae</w:t>
            </w:r>
          </w:p>
        </w:tc>
        <w:tc>
          <w:tcPr>
            <w:tcW w:w="368" w:type="pct"/>
            <w:noWrap/>
            <w:vAlign w:val="center"/>
          </w:tcPr>
          <w:p w14:paraId="393301B0">
            <w:pPr>
              <w:pStyle w:val="28"/>
              <w:bidi w:val="0"/>
              <w:rPr>
                <w:b/>
                <w:bCs/>
              </w:rPr>
            </w:pPr>
          </w:p>
        </w:tc>
        <w:tc>
          <w:tcPr>
            <w:tcW w:w="297" w:type="pct"/>
            <w:noWrap/>
            <w:vAlign w:val="center"/>
          </w:tcPr>
          <w:p w14:paraId="228B85A9">
            <w:pPr>
              <w:pStyle w:val="28"/>
              <w:bidi w:val="0"/>
              <w:rPr>
                <w:b/>
                <w:bCs/>
              </w:rPr>
            </w:pPr>
          </w:p>
        </w:tc>
        <w:tc>
          <w:tcPr>
            <w:tcW w:w="296" w:type="pct"/>
            <w:noWrap/>
            <w:vAlign w:val="center"/>
          </w:tcPr>
          <w:p w14:paraId="1371AF57">
            <w:pPr>
              <w:pStyle w:val="28"/>
              <w:bidi w:val="0"/>
              <w:rPr>
                <w:b/>
                <w:bCs/>
              </w:rPr>
            </w:pPr>
          </w:p>
        </w:tc>
        <w:tc>
          <w:tcPr>
            <w:tcW w:w="296" w:type="pct"/>
            <w:noWrap/>
            <w:vAlign w:val="center"/>
          </w:tcPr>
          <w:p w14:paraId="12450609">
            <w:pPr>
              <w:pStyle w:val="28"/>
              <w:bidi w:val="0"/>
              <w:rPr>
                <w:b/>
                <w:bCs/>
              </w:rPr>
            </w:pPr>
          </w:p>
        </w:tc>
        <w:tc>
          <w:tcPr>
            <w:tcW w:w="368" w:type="pct"/>
            <w:noWrap/>
            <w:vAlign w:val="center"/>
          </w:tcPr>
          <w:p w14:paraId="42F1465F">
            <w:pPr>
              <w:pStyle w:val="28"/>
              <w:bidi w:val="0"/>
              <w:rPr>
                <w:b/>
                <w:bCs/>
              </w:rPr>
            </w:pPr>
          </w:p>
        </w:tc>
        <w:tc>
          <w:tcPr>
            <w:tcW w:w="296" w:type="pct"/>
            <w:noWrap/>
            <w:vAlign w:val="center"/>
          </w:tcPr>
          <w:p w14:paraId="6ED23529">
            <w:pPr>
              <w:pStyle w:val="28"/>
              <w:bidi w:val="0"/>
              <w:rPr>
                <w:b/>
                <w:bCs/>
              </w:rPr>
            </w:pPr>
          </w:p>
        </w:tc>
        <w:tc>
          <w:tcPr>
            <w:tcW w:w="501" w:type="pct"/>
            <w:noWrap/>
            <w:vAlign w:val="center"/>
          </w:tcPr>
          <w:p w14:paraId="57B1C756">
            <w:pPr>
              <w:pStyle w:val="28"/>
              <w:bidi w:val="0"/>
              <w:rPr>
                <w:b/>
                <w:bCs/>
              </w:rPr>
            </w:pPr>
          </w:p>
        </w:tc>
        <w:tc>
          <w:tcPr>
            <w:tcW w:w="902" w:type="pct"/>
            <w:noWrap/>
            <w:vAlign w:val="center"/>
          </w:tcPr>
          <w:p w14:paraId="070F818C">
            <w:pPr>
              <w:pStyle w:val="28"/>
              <w:bidi w:val="0"/>
              <w:rPr>
                <w:b/>
                <w:bCs/>
              </w:rPr>
            </w:pPr>
          </w:p>
        </w:tc>
      </w:tr>
      <w:tr w14:paraId="33C380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254832A7">
            <w:pPr>
              <w:pStyle w:val="28"/>
              <w:bidi w:val="0"/>
            </w:pPr>
            <w:r>
              <w:rPr>
                <w:rFonts w:hint="eastAsia"/>
              </w:rPr>
              <w:t>32</w:t>
            </w:r>
            <w:r>
              <w:t>、鹊鸲</w:t>
            </w:r>
          </w:p>
        </w:tc>
        <w:tc>
          <w:tcPr>
            <w:tcW w:w="856" w:type="pct"/>
            <w:noWrap/>
            <w:vAlign w:val="center"/>
          </w:tcPr>
          <w:p w14:paraId="01A3D7C9">
            <w:pPr>
              <w:pStyle w:val="28"/>
              <w:bidi w:val="0"/>
            </w:pPr>
            <w:r>
              <w:rPr>
                <w:i/>
                <w:iCs/>
              </w:rPr>
              <w:t>Copsychus saularis</w:t>
            </w:r>
          </w:p>
        </w:tc>
        <w:tc>
          <w:tcPr>
            <w:tcW w:w="368" w:type="pct"/>
            <w:noWrap/>
            <w:vAlign w:val="center"/>
          </w:tcPr>
          <w:p w14:paraId="511FE735">
            <w:pPr>
              <w:pStyle w:val="28"/>
              <w:bidi w:val="0"/>
            </w:pPr>
            <w:r>
              <w:t>LC</w:t>
            </w:r>
          </w:p>
        </w:tc>
        <w:tc>
          <w:tcPr>
            <w:tcW w:w="297" w:type="pct"/>
            <w:noWrap/>
            <w:vAlign w:val="center"/>
          </w:tcPr>
          <w:p w14:paraId="739CF59E">
            <w:pPr>
              <w:pStyle w:val="28"/>
              <w:bidi w:val="0"/>
            </w:pPr>
            <w:r>
              <w:t>否</w:t>
            </w:r>
          </w:p>
        </w:tc>
        <w:tc>
          <w:tcPr>
            <w:tcW w:w="296" w:type="pct"/>
            <w:noWrap/>
            <w:vAlign w:val="center"/>
          </w:tcPr>
          <w:p w14:paraId="4F2C71F7">
            <w:pPr>
              <w:pStyle w:val="28"/>
              <w:bidi w:val="0"/>
            </w:pPr>
            <w:r>
              <w:t>留</w:t>
            </w:r>
          </w:p>
        </w:tc>
        <w:tc>
          <w:tcPr>
            <w:tcW w:w="296" w:type="pct"/>
            <w:noWrap/>
            <w:vAlign w:val="center"/>
          </w:tcPr>
          <w:p w14:paraId="0273EA5D">
            <w:pPr>
              <w:pStyle w:val="28"/>
              <w:bidi w:val="0"/>
            </w:pPr>
            <w:r>
              <w:t>东</w:t>
            </w:r>
          </w:p>
        </w:tc>
        <w:tc>
          <w:tcPr>
            <w:tcW w:w="368" w:type="pct"/>
            <w:noWrap/>
            <w:vAlign w:val="center"/>
          </w:tcPr>
          <w:p w14:paraId="396D3E32">
            <w:pPr>
              <w:pStyle w:val="28"/>
              <w:bidi w:val="0"/>
            </w:pPr>
          </w:p>
        </w:tc>
        <w:tc>
          <w:tcPr>
            <w:tcW w:w="296" w:type="pct"/>
            <w:noWrap/>
            <w:vAlign w:val="center"/>
          </w:tcPr>
          <w:p w14:paraId="1644C6D9">
            <w:pPr>
              <w:pStyle w:val="28"/>
              <w:bidi w:val="0"/>
            </w:pPr>
            <w:r>
              <w:t>++</w:t>
            </w:r>
          </w:p>
        </w:tc>
        <w:tc>
          <w:tcPr>
            <w:tcW w:w="501" w:type="pct"/>
            <w:noWrap/>
            <w:vAlign w:val="center"/>
          </w:tcPr>
          <w:p w14:paraId="22889614">
            <w:pPr>
              <w:pStyle w:val="28"/>
              <w:bidi w:val="0"/>
            </w:pPr>
            <w:r>
              <w:t>√</w:t>
            </w:r>
          </w:p>
        </w:tc>
        <w:tc>
          <w:tcPr>
            <w:tcW w:w="902" w:type="pct"/>
            <w:noWrap/>
            <w:vAlign w:val="center"/>
          </w:tcPr>
          <w:p w14:paraId="1FA2CF9B">
            <w:pPr>
              <w:pStyle w:val="28"/>
              <w:bidi w:val="0"/>
            </w:pPr>
            <w:r>
              <w:t>灌丛、林地</w:t>
            </w:r>
          </w:p>
        </w:tc>
      </w:tr>
      <w:tr w14:paraId="4B8DE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0451339B">
            <w:pPr>
              <w:pStyle w:val="28"/>
              <w:bidi w:val="0"/>
              <w:rPr>
                <w:b/>
                <w:bCs/>
              </w:rPr>
            </w:pPr>
            <w:r>
              <w:rPr>
                <w:b/>
                <w:bCs/>
              </w:rPr>
              <w:t>（</w:t>
            </w:r>
            <w:r>
              <w:rPr>
                <w:rFonts w:hint="eastAsia"/>
                <w:b/>
                <w:bCs/>
              </w:rPr>
              <w:t>二</w:t>
            </w:r>
            <w:r>
              <w:rPr>
                <w:b/>
                <w:bCs/>
              </w:rPr>
              <w:t xml:space="preserve">十）鸫科 </w:t>
            </w:r>
          </w:p>
        </w:tc>
        <w:tc>
          <w:tcPr>
            <w:tcW w:w="856" w:type="pct"/>
            <w:noWrap/>
            <w:vAlign w:val="center"/>
          </w:tcPr>
          <w:p w14:paraId="67D08E6C">
            <w:pPr>
              <w:pStyle w:val="28"/>
              <w:bidi w:val="0"/>
              <w:rPr>
                <w:b/>
                <w:bCs/>
              </w:rPr>
            </w:pPr>
            <w:r>
              <w:rPr>
                <w:b/>
                <w:bCs/>
              </w:rPr>
              <w:t>Turdidae</w:t>
            </w:r>
          </w:p>
        </w:tc>
        <w:tc>
          <w:tcPr>
            <w:tcW w:w="368" w:type="pct"/>
            <w:noWrap/>
            <w:vAlign w:val="center"/>
          </w:tcPr>
          <w:p w14:paraId="720BF325">
            <w:pPr>
              <w:pStyle w:val="28"/>
              <w:bidi w:val="0"/>
              <w:rPr>
                <w:b/>
                <w:bCs/>
              </w:rPr>
            </w:pPr>
          </w:p>
        </w:tc>
        <w:tc>
          <w:tcPr>
            <w:tcW w:w="297" w:type="pct"/>
            <w:noWrap/>
            <w:vAlign w:val="center"/>
          </w:tcPr>
          <w:p w14:paraId="011DEE8F">
            <w:pPr>
              <w:pStyle w:val="28"/>
              <w:bidi w:val="0"/>
              <w:rPr>
                <w:b/>
                <w:bCs/>
              </w:rPr>
            </w:pPr>
          </w:p>
        </w:tc>
        <w:tc>
          <w:tcPr>
            <w:tcW w:w="296" w:type="pct"/>
            <w:noWrap/>
            <w:vAlign w:val="center"/>
          </w:tcPr>
          <w:p w14:paraId="6C61E8A3">
            <w:pPr>
              <w:pStyle w:val="28"/>
              <w:bidi w:val="0"/>
              <w:rPr>
                <w:b/>
                <w:bCs/>
              </w:rPr>
            </w:pPr>
          </w:p>
        </w:tc>
        <w:tc>
          <w:tcPr>
            <w:tcW w:w="296" w:type="pct"/>
            <w:noWrap/>
            <w:vAlign w:val="center"/>
          </w:tcPr>
          <w:p w14:paraId="3765EE2F">
            <w:pPr>
              <w:pStyle w:val="28"/>
              <w:bidi w:val="0"/>
              <w:rPr>
                <w:b/>
                <w:bCs/>
              </w:rPr>
            </w:pPr>
          </w:p>
        </w:tc>
        <w:tc>
          <w:tcPr>
            <w:tcW w:w="368" w:type="pct"/>
            <w:noWrap/>
            <w:vAlign w:val="center"/>
          </w:tcPr>
          <w:p w14:paraId="40E2A161">
            <w:pPr>
              <w:pStyle w:val="28"/>
              <w:bidi w:val="0"/>
              <w:rPr>
                <w:b/>
                <w:bCs/>
              </w:rPr>
            </w:pPr>
          </w:p>
        </w:tc>
        <w:tc>
          <w:tcPr>
            <w:tcW w:w="296" w:type="pct"/>
            <w:noWrap/>
            <w:vAlign w:val="center"/>
          </w:tcPr>
          <w:p w14:paraId="7C706D6D">
            <w:pPr>
              <w:pStyle w:val="28"/>
              <w:bidi w:val="0"/>
              <w:rPr>
                <w:b/>
                <w:bCs/>
              </w:rPr>
            </w:pPr>
          </w:p>
        </w:tc>
        <w:tc>
          <w:tcPr>
            <w:tcW w:w="501" w:type="pct"/>
            <w:noWrap/>
            <w:vAlign w:val="center"/>
          </w:tcPr>
          <w:p w14:paraId="60D5BE90">
            <w:pPr>
              <w:pStyle w:val="28"/>
              <w:bidi w:val="0"/>
              <w:rPr>
                <w:b/>
                <w:bCs/>
              </w:rPr>
            </w:pPr>
          </w:p>
        </w:tc>
        <w:tc>
          <w:tcPr>
            <w:tcW w:w="902" w:type="pct"/>
            <w:noWrap/>
            <w:vAlign w:val="center"/>
          </w:tcPr>
          <w:p w14:paraId="409EACE1">
            <w:pPr>
              <w:pStyle w:val="28"/>
              <w:bidi w:val="0"/>
              <w:rPr>
                <w:b/>
                <w:bCs/>
              </w:rPr>
            </w:pPr>
          </w:p>
        </w:tc>
      </w:tr>
      <w:tr w14:paraId="7C22A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815" w:type="pct"/>
            <w:noWrap/>
            <w:vAlign w:val="center"/>
          </w:tcPr>
          <w:p w14:paraId="7DF2D728">
            <w:pPr>
              <w:pStyle w:val="28"/>
              <w:bidi w:val="0"/>
            </w:pPr>
            <w:r>
              <w:rPr>
                <w:rFonts w:hint="eastAsia"/>
              </w:rPr>
              <w:t>33</w:t>
            </w:r>
            <w:r>
              <w:t>、乌鸫</w:t>
            </w:r>
          </w:p>
        </w:tc>
        <w:tc>
          <w:tcPr>
            <w:tcW w:w="856" w:type="pct"/>
            <w:noWrap/>
            <w:vAlign w:val="center"/>
          </w:tcPr>
          <w:p w14:paraId="3AB554B7">
            <w:pPr>
              <w:pStyle w:val="28"/>
              <w:bidi w:val="0"/>
            </w:pPr>
            <w:r>
              <w:rPr>
                <w:i/>
                <w:iCs/>
              </w:rPr>
              <w:t>Turdus merula</w:t>
            </w:r>
          </w:p>
        </w:tc>
        <w:tc>
          <w:tcPr>
            <w:tcW w:w="368" w:type="pct"/>
            <w:noWrap/>
            <w:vAlign w:val="center"/>
          </w:tcPr>
          <w:p w14:paraId="2540E0EC">
            <w:pPr>
              <w:pStyle w:val="28"/>
              <w:bidi w:val="0"/>
            </w:pPr>
            <w:r>
              <w:t>LC</w:t>
            </w:r>
          </w:p>
        </w:tc>
        <w:tc>
          <w:tcPr>
            <w:tcW w:w="297" w:type="pct"/>
            <w:noWrap/>
            <w:vAlign w:val="center"/>
          </w:tcPr>
          <w:p w14:paraId="09F5B8A3">
            <w:pPr>
              <w:pStyle w:val="28"/>
              <w:bidi w:val="0"/>
            </w:pPr>
            <w:r>
              <w:t>否</w:t>
            </w:r>
          </w:p>
        </w:tc>
        <w:tc>
          <w:tcPr>
            <w:tcW w:w="296" w:type="pct"/>
            <w:noWrap/>
            <w:vAlign w:val="center"/>
          </w:tcPr>
          <w:p w14:paraId="04CFB28C">
            <w:pPr>
              <w:pStyle w:val="28"/>
              <w:bidi w:val="0"/>
            </w:pPr>
            <w:r>
              <w:t>留</w:t>
            </w:r>
          </w:p>
        </w:tc>
        <w:tc>
          <w:tcPr>
            <w:tcW w:w="296" w:type="pct"/>
            <w:noWrap/>
            <w:vAlign w:val="center"/>
          </w:tcPr>
          <w:p w14:paraId="4C7B8E5E">
            <w:pPr>
              <w:pStyle w:val="28"/>
              <w:bidi w:val="0"/>
            </w:pPr>
            <w:r>
              <w:t>东</w:t>
            </w:r>
          </w:p>
        </w:tc>
        <w:tc>
          <w:tcPr>
            <w:tcW w:w="368" w:type="pct"/>
            <w:noWrap/>
            <w:vAlign w:val="center"/>
          </w:tcPr>
          <w:p w14:paraId="0BA92453">
            <w:pPr>
              <w:pStyle w:val="28"/>
              <w:bidi w:val="0"/>
            </w:pPr>
          </w:p>
        </w:tc>
        <w:tc>
          <w:tcPr>
            <w:tcW w:w="296" w:type="pct"/>
            <w:noWrap/>
            <w:vAlign w:val="center"/>
          </w:tcPr>
          <w:p w14:paraId="3CE3F14A">
            <w:pPr>
              <w:pStyle w:val="28"/>
              <w:bidi w:val="0"/>
            </w:pPr>
            <w:r>
              <w:t>++++</w:t>
            </w:r>
          </w:p>
        </w:tc>
        <w:tc>
          <w:tcPr>
            <w:tcW w:w="501" w:type="pct"/>
            <w:noWrap/>
            <w:vAlign w:val="center"/>
          </w:tcPr>
          <w:p w14:paraId="1668651C">
            <w:pPr>
              <w:pStyle w:val="28"/>
              <w:bidi w:val="0"/>
            </w:pPr>
            <w:r>
              <w:t>√</w:t>
            </w:r>
          </w:p>
        </w:tc>
        <w:tc>
          <w:tcPr>
            <w:tcW w:w="902" w:type="pct"/>
            <w:noWrap/>
            <w:vAlign w:val="center"/>
          </w:tcPr>
          <w:p w14:paraId="76518B99">
            <w:pPr>
              <w:pStyle w:val="28"/>
              <w:bidi w:val="0"/>
            </w:pPr>
            <w:r>
              <w:t>村庄</w:t>
            </w:r>
          </w:p>
        </w:tc>
      </w:tr>
      <w:tr w14:paraId="0645D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 w:hRule="atLeast"/>
          <w:jc w:val="center"/>
        </w:trPr>
        <w:tc>
          <w:tcPr>
            <w:tcW w:w="815" w:type="pct"/>
            <w:noWrap/>
            <w:vAlign w:val="center"/>
          </w:tcPr>
          <w:p w14:paraId="6F747735">
            <w:pPr>
              <w:pStyle w:val="28"/>
              <w:bidi w:val="0"/>
              <w:rPr>
                <w:b/>
                <w:bCs/>
              </w:rPr>
            </w:pPr>
            <w:r>
              <w:rPr>
                <w:b/>
                <w:bCs/>
              </w:rPr>
              <w:t>（</w:t>
            </w:r>
            <w:r>
              <w:rPr>
                <w:rFonts w:hint="eastAsia"/>
                <w:b/>
                <w:bCs/>
              </w:rPr>
              <w:t>二十一</w:t>
            </w:r>
            <w:r>
              <w:rPr>
                <w:b/>
                <w:bCs/>
              </w:rPr>
              <w:t xml:space="preserve">）雀科 </w:t>
            </w:r>
          </w:p>
        </w:tc>
        <w:tc>
          <w:tcPr>
            <w:tcW w:w="856" w:type="pct"/>
            <w:noWrap/>
            <w:vAlign w:val="center"/>
          </w:tcPr>
          <w:p w14:paraId="62156208">
            <w:pPr>
              <w:pStyle w:val="28"/>
              <w:bidi w:val="0"/>
              <w:rPr>
                <w:b/>
                <w:bCs/>
              </w:rPr>
            </w:pPr>
            <w:r>
              <w:rPr>
                <w:b/>
                <w:bCs/>
              </w:rPr>
              <w:t>Passeridae</w:t>
            </w:r>
          </w:p>
        </w:tc>
        <w:tc>
          <w:tcPr>
            <w:tcW w:w="368" w:type="pct"/>
            <w:noWrap/>
            <w:vAlign w:val="center"/>
          </w:tcPr>
          <w:p w14:paraId="3E838CC3">
            <w:pPr>
              <w:pStyle w:val="28"/>
              <w:bidi w:val="0"/>
              <w:rPr>
                <w:b/>
                <w:bCs/>
              </w:rPr>
            </w:pPr>
          </w:p>
        </w:tc>
        <w:tc>
          <w:tcPr>
            <w:tcW w:w="297" w:type="pct"/>
            <w:noWrap/>
            <w:vAlign w:val="center"/>
          </w:tcPr>
          <w:p w14:paraId="2954A8AA">
            <w:pPr>
              <w:pStyle w:val="28"/>
              <w:bidi w:val="0"/>
              <w:rPr>
                <w:b/>
                <w:bCs/>
              </w:rPr>
            </w:pPr>
          </w:p>
        </w:tc>
        <w:tc>
          <w:tcPr>
            <w:tcW w:w="296" w:type="pct"/>
            <w:noWrap/>
            <w:vAlign w:val="center"/>
          </w:tcPr>
          <w:p w14:paraId="4101AA5F">
            <w:pPr>
              <w:pStyle w:val="28"/>
              <w:bidi w:val="0"/>
              <w:rPr>
                <w:b/>
                <w:bCs/>
              </w:rPr>
            </w:pPr>
          </w:p>
        </w:tc>
        <w:tc>
          <w:tcPr>
            <w:tcW w:w="296" w:type="pct"/>
            <w:noWrap/>
            <w:vAlign w:val="center"/>
          </w:tcPr>
          <w:p w14:paraId="60ABDB25">
            <w:pPr>
              <w:pStyle w:val="28"/>
              <w:bidi w:val="0"/>
              <w:rPr>
                <w:b/>
                <w:bCs/>
              </w:rPr>
            </w:pPr>
          </w:p>
        </w:tc>
        <w:tc>
          <w:tcPr>
            <w:tcW w:w="368" w:type="pct"/>
            <w:noWrap/>
            <w:vAlign w:val="center"/>
          </w:tcPr>
          <w:p w14:paraId="34E3A3A2">
            <w:pPr>
              <w:pStyle w:val="28"/>
              <w:bidi w:val="0"/>
              <w:rPr>
                <w:b/>
                <w:bCs/>
              </w:rPr>
            </w:pPr>
          </w:p>
        </w:tc>
        <w:tc>
          <w:tcPr>
            <w:tcW w:w="296" w:type="pct"/>
            <w:noWrap/>
            <w:vAlign w:val="center"/>
          </w:tcPr>
          <w:p w14:paraId="111AA728">
            <w:pPr>
              <w:pStyle w:val="28"/>
              <w:bidi w:val="0"/>
              <w:rPr>
                <w:b/>
                <w:bCs/>
              </w:rPr>
            </w:pPr>
          </w:p>
        </w:tc>
        <w:tc>
          <w:tcPr>
            <w:tcW w:w="501" w:type="pct"/>
            <w:noWrap/>
            <w:vAlign w:val="center"/>
          </w:tcPr>
          <w:p w14:paraId="3F767B4A">
            <w:pPr>
              <w:pStyle w:val="28"/>
              <w:bidi w:val="0"/>
              <w:rPr>
                <w:b/>
                <w:bCs/>
              </w:rPr>
            </w:pPr>
          </w:p>
        </w:tc>
        <w:tc>
          <w:tcPr>
            <w:tcW w:w="902" w:type="pct"/>
            <w:noWrap/>
            <w:vAlign w:val="center"/>
          </w:tcPr>
          <w:p w14:paraId="156DAE94">
            <w:pPr>
              <w:pStyle w:val="28"/>
              <w:bidi w:val="0"/>
              <w:rPr>
                <w:b/>
                <w:bCs/>
              </w:rPr>
            </w:pPr>
          </w:p>
        </w:tc>
      </w:tr>
      <w:tr w14:paraId="62F7F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204A475B">
            <w:pPr>
              <w:pStyle w:val="28"/>
              <w:bidi w:val="0"/>
            </w:pPr>
            <w:r>
              <w:rPr>
                <w:rFonts w:hint="eastAsia"/>
              </w:rPr>
              <w:t>3</w:t>
            </w:r>
            <w:r>
              <w:t>4、麻雀</w:t>
            </w:r>
          </w:p>
        </w:tc>
        <w:tc>
          <w:tcPr>
            <w:tcW w:w="856" w:type="pct"/>
            <w:noWrap/>
            <w:vAlign w:val="center"/>
          </w:tcPr>
          <w:p w14:paraId="2A08A29C">
            <w:pPr>
              <w:pStyle w:val="28"/>
              <w:bidi w:val="0"/>
            </w:pPr>
            <w:r>
              <w:rPr>
                <w:i/>
                <w:iCs/>
              </w:rPr>
              <w:t>Passer montanus</w:t>
            </w:r>
          </w:p>
        </w:tc>
        <w:tc>
          <w:tcPr>
            <w:tcW w:w="368" w:type="pct"/>
            <w:noWrap/>
            <w:vAlign w:val="center"/>
          </w:tcPr>
          <w:p w14:paraId="6017AA97">
            <w:pPr>
              <w:pStyle w:val="28"/>
              <w:bidi w:val="0"/>
            </w:pPr>
            <w:r>
              <w:t>LC</w:t>
            </w:r>
          </w:p>
        </w:tc>
        <w:tc>
          <w:tcPr>
            <w:tcW w:w="297" w:type="pct"/>
            <w:noWrap/>
            <w:vAlign w:val="center"/>
          </w:tcPr>
          <w:p w14:paraId="00999A2C">
            <w:pPr>
              <w:pStyle w:val="28"/>
              <w:bidi w:val="0"/>
            </w:pPr>
            <w:r>
              <w:t>否</w:t>
            </w:r>
          </w:p>
        </w:tc>
        <w:tc>
          <w:tcPr>
            <w:tcW w:w="296" w:type="pct"/>
            <w:noWrap/>
            <w:vAlign w:val="center"/>
          </w:tcPr>
          <w:p w14:paraId="7CB5113A">
            <w:pPr>
              <w:pStyle w:val="28"/>
              <w:bidi w:val="0"/>
            </w:pPr>
            <w:r>
              <w:t>留</w:t>
            </w:r>
          </w:p>
        </w:tc>
        <w:tc>
          <w:tcPr>
            <w:tcW w:w="296" w:type="pct"/>
            <w:noWrap/>
            <w:vAlign w:val="center"/>
          </w:tcPr>
          <w:p w14:paraId="50CA782B">
            <w:pPr>
              <w:pStyle w:val="28"/>
              <w:bidi w:val="0"/>
            </w:pPr>
            <w:r>
              <w:t>古</w:t>
            </w:r>
          </w:p>
        </w:tc>
        <w:tc>
          <w:tcPr>
            <w:tcW w:w="368" w:type="pct"/>
            <w:noWrap/>
            <w:vAlign w:val="center"/>
          </w:tcPr>
          <w:p w14:paraId="371B77EA">
            <w:pPr>
              <w:pStyle w:val="28"/>
              <w:bidi w:val="0"/>
            </w:pPr>
          </w:p>
        </w:tc>
        <w:tc>
          <w:tcPr>
            <w:tcW w:w="296" w:type="pct"/>
            <w:noWrap/>
            <w:vAlign w:val="center"/>
          </w:tcPr>
          <w:p w14:paraId="1630F463">
            <w:pPr>
              <w:pStyle w:val="28"/>
              <w:bidi w:val="0"/>
            </w:pPr>
            <w:r>
              <w:t>+++++</w:t>
            </w:r>
          </w:p>
        </w:tc>
        <w:tc>
          <w:tcPr>
            <w:tcW w:w="501" w:type="pct"/>
            <w:noWrap/>
            <w:vAlign w:val="center"/>
          </w:tcPr>
          <w:p w14:paraId="449AAB00">
            <w:pPr>
              <w:pStyle w:val="28"/>
              <w:bidi w:val="0"/>
            </w:pPr>
            <w:r>
              <w:t>√</w:t>
            </w:r>
          </w:p>
        </w:tc>
        <w:tc>
          <w:tcPr>
            <w:tcW w:w="902" w:type="pct"/>
            <w:noWrap/>
            <w:vAlign w:val="center"/>
          </w:tcPr>
          <w:p w14:paraId="619B1767">
            <w:pPr>
              <w:pStyle w:val="28"/>
              <w:bidi w:val="0"/>
            </w:pPr>
            <w:r>
              <w:t>村庄、农田</w:t>
            </w:r>
          </w:p>
        </w:tc>
      </w:tr>
      <w:tr w14:paraId="454AE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64F3F9D7">
            <w:pPr>
              <w:pStyle w:val="28"/>
              <w:bidi w:val="0"/>
              <w:rPr>
                <w:b/>
                <w:bCs/>
              </w:rPr>
            </w:pPr>
            <w:r>
              <w:rPr>
                <w:b/>
                <w:bCs/>
              </w:rPr>
              <w:t>（</w:t>
            </w:r>
            <w:r>
              <w:rPr>
                <w:rFonts w:hint="eastAsia"/>
                <w:b/>
                <w:bCs/>
              </w:rPr>
              <w:t>二十二</w:t>
            </w:r>
            <w:r>
              <w:rPr>
                <w:b/>
                <w:bCs/>
              </w:rPr>
              <w:t xml:space="preserve">）燕雀科 </w:t>
            </w:r>
          </w:p>
        </w:tc>
        <w:tc>
          <w:tcPr>
            <w:tcW w:w="856" w:type="pct"/>
            <w:noWrap/>
            <w:vAlign w:val="center"/>
          </w:tcPr>
          <w:p w14:paraId="02633CCA">
            <w:pPr>
              <w:pStyle w:val="28"/>
              <w:bidi w:val="0"/>
              <w:rPr>
                <w:b/>
                <w:bCs/>
              </w:rPr>
            </w:pPr>
            <w:r>
              <w:rPr>
                <w:b/>
                <w:bCs/>
              </w:rPr>
              <w:t>Fringillidae</w:t>
            </w:r>
          </w:p>
        </w:tc>
        <w:tc>
          <w:tcPr>
            <w:tcW w:w="368" w:type="pct"/>
            <w:noWrap/>
            <w:vAlign w:val="center"/>
          </w:tcPr>
          <w:p w14:paraId="14EFD827">
            <w:pPr>
              <w:pStyle w:val="28"/>
              <w:bidi w:val="0"/>
              <w:rPr>
                <w:b/>
                <w:bCs/>
              </w:rPr>
            </w:pPr>
          </w:p>
        </w:tc>
        <w:tc>
          <w:tcPr>
            <w:tcW w:w="297" w:type="pct"/>
            <w:noWrap/>
            <w:vAlign w:val="center"/>
          </w:tcPr>
          <w:p w14:paraId="0460208E">
            <w:pPr>
              <w:pStyle w:val="28"/>
              <w:bidi w:val="0"/>
              <w:rPr>
                <w:b/>
                <w:bCs/>
              </w:rPr>
            </w:pPr>
          </w:p>
        </w:tc>
        <w:tc>
          <w:tcPr>
            <w:tcW w:w="296" w:type="pct"/>
            <w:noWrap/>
            <w:vAlign w:val="center"/>
          </w:tcPr>
          <w:p w14:paraId="0C1E4F91">
            <w:pPr>
              <w:pStyle w:val="28"/>
              <w:bidi w:val="0"/>
              <w:rPr>
                <w:b/>
                <w:bCs/>
              </w:rPr>
            </w:pPr>
          </w:p>
        </w:tc>
        <w:tc>
          <w:tcPr>
            <w:tcW w:w="296" w:type="pct"/>
            <w:noWrap/>
            <w:vAlign w:val="center"/>
          </w:tcPr>
          <w:p w14:paraId="2D274CD1">
            <w:pPr>
              <w:pStyle w:val="28"/>
              <w:bidi w:val="0"/>
              <w:rPr>
                <w:b/>
                <w:bCs/>
              </w:rPr>
            </w:pPr>
          </w:p>
        </w:tc>
        <w:tc>
          <w:tcPr>
            <w:tcW w:w="368" w:type="pct"/>
            <w:noWrap/>
            <w:vAlign w:val="center"/>
          </w:tcPr>
          <w:p w14:paraId="2388FEC6">
            <w:pPr>
              <w:pStyle w:val="28"/>
              <w:bidi w:val="0"/>
              <w:rPr>
                <w:b/>
                <w:bCs/>
              </w:rPr>
            </w:pPr>
          </w:p>
        </w:tc>
        <w:tc>
          <w:tcPr>
            <w:tcW w:w="296" w:type="pct"/>
            <w:noWrap/>
            <w:vAlign w:val="center"/>
          </w:tcPr>
          <w:p w14:paraId="6912F0AC">
            <w:pPr>
              <w:pStyle w:val="28"/>
              <w:bidi w:val="0"/>
              <w:rPr>
                <w:b/>
                <w:bCs/>
              </w:rPr>
            </w:pPr>
          </w:p>
        </w:tc>
        <w:tc>
          <w:tcPr>
            <w:tcW w:w="501" w:type="pct"/>
            <w:noWrap/>
            <w:vAlign w:val="center"/>
          </w:tcPr>
          <w:p w14:paraId="108A0440">
            <w:pPr>
              <w:pStyle w:val="28"/>
              <w:bidi w:val="0"/>
              <w:rPr>
                <w:b/>
                <w:bCs/>
              </w:rPr>
            </w:pPr>
          </w:p>
        </w:tc>
        <w:tc>
          <w:tcPr>
            <w:tcW w:w="902" w:type="pct"/>
            <w:noWrap/>
            <w:vAlign w:val="center"/>
          </w:tcPr>
          <w:p w14:paraId="512D7A26">
            <w:pPr>
              <w:pStyle w:val="28"/>
              <w:bidi w:val="0"/>
              <w:rPr>
                <w:b/>
                <w:bCs/>
              </w:rPr>
            </w:pPr>
          </w:p>
        </w:tc>
      </w:tr>
      <w:tr w14:paraId="4598B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3882F4F9">
            <w:pPr>
              <w:pStyle w:val="28"/>
              <w:bidi w:val="0"/>
            </w:pPr>
            <w:r>
              <w:rPr>
                <w:rFonts w:hint="eastAsia"/>
              </w:rPr>
              <w:t>35</w:t>
            </w:r>
            <w:r>
              <w:t>、黑尾蜡嘴雀</w:t>
            </w:r>
          </w:p>
        </w:tc>
        <w:tc>
          <w:tcPr>
            <w:tcW w:w="856" w:type="pct"/>
            <w:noWrap/>
            <w:vAlign w:val="center"/>
          </w:tcPr>
          <w:p w14:paraId="4D0A3603">
            <w:pPr>
              <w:pStyle w:val="28"/>
              <w:bidi w:val="0"/>
            </w:pPr>
            <w:r>
              <w:rPr>
                <w:i/>
                <w:iCs/>
              </w:rPr>
              <w:t>Eophona migratoria</w:t>
            </w:r>
          </w:p>
        </w:tc>
        <w:tc>
          <w:tcPr>
            <w:tcW w:w="368" w:type="pct"/>
            <w:noWrap/>
            <w:vAlign w:val="center"/>
          </w:tcPr>
          <w:p w14:paraId="5C197F2A">
            <w:pPr>
              <w:pStyle w:val="28"/>
              <w:bidi w:val="0"/>
            </w:pPr>
            <w:r>
              <w:t>LC</w:t>
            </w:r>
          </w:p>
        </w:tc>
        <w:tc>
          <w:tcPr>
            <w:tcW w:w="297" w:type="pct"/>
            <w:noWrap/>
            <w:vAlign w:val="center"/>
          </w:tcPr>
          <w:p w14:paraId="191A3AF8">
            <w:pPr>
              <w:pStyle w:val="28"/>
              <w:bidi w:val="0"/>
            </w:pPr>
            <w:r>
              <w:t>否</w:t>
            </w:r>
          </w:p>
        </w:tc>
        <w:tc>
          <w:tcPr>
            <w:tcW w:w="296" w:type="pct"/>
            <w:noWrap/>
            <w:vAlign w:val="center"/>
          </w:tcPr>
          <w:p w14:paraId="6AE21C48">
            <w:pPr>
              <w:pStyle w:val="28"/>
              <w:bidi w:val="0"/>
            </w:pPr>
            <w:r>
              <w:t>冬</w:t>
            </w:r>
          </w:p>
        </w:tc>
        <w:tc>
          <w:tcPr>
            <w:tcW w:w="296" w:type="pct"/>
            <w:noWrap/>
            <w:vAlign w:val="center"/>
          </w:tcPr>
          <w:p w14:paraId="51FCB8ED">
            <w:pPr>
              <w:pStyle w:val="28"/>
              <w:bidi w:val="0"/>
            </w:pPr>
            <w:r>
              <w:t>古</w:t>
            </w:r>
          </w:p>
        </w:tc>
        <w:tc>
          <w:tcPr>
            <w:tcW w:w="368" w:type="pct"/>
            <w:noWrap/>
            <w:vAlign w:val="center"/>
          </w:tcPr>
          <w:p w14:paraId="6293E0FE">
            <w:pPr>
              <w:pStyle w:val="28"/>
              <w:bidi w:val="0"/>
            </w:pPr>
          </w:p>
        </w:tc>
        <w:tc>
          <w:tcPr>
            <w:tcW w:w="296" w:type="pct"/>
            <w:noWrap/>
            <w:vAlign w:val="center"/>
          </w:tcPr>
          <w:p w14:paraId="03D59CA3">
            <w:pPr>
              <w:pStyle w:val="28"/>
              <w:bidi w:val="0"/>
            </w:pPr>
            <w:r>
              <w:t>+</w:t>
            </w:r>
          </w:p>
        </w:tc>
        <w:tc>
          <w:tcPr>
            <w:tcW w:w="501" w:type="pct"/>
            <w:noWrap/>
            <w:vAlign w:val="center"/>
          </w:tcPr>
          <w:p w14:paraId="23A845F0">
            <w:pPr>
              <w:pStyle w:val="28"/>
              <w:bidi w:val="0"/>
            </w:pPr>
            <w:r>
              <w:t>√</w:t>
            </w:r>
          </w:p>
        </w:tc>
        <w:tc>
          <w:tcPr>
            <w:tcW w:w="902" w:type="pct"/>
            <w:noWrap/>
            <w:vAlign w:val="center"/>
          </w:tcPr>
          <w:p w14:paraId="44C177C1">
            <w:pPr>
              <w:pStyle w:val="28"/>
              <w:bidi w:val="0"/>
            </w:pPr>
            <w:r>
              <w:t>林地、灌丛</w:t>
            </w:r>
          </w:p>
        </w:tc>
      </w:tr>
      <w:tr w14:paraId="62CB7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5299321D">
            <w:pPr>
              <w:pStyle w:val="28"/>
              <w:bidi w:val="0"/>
              <w:rPr>
                <w:b/>
                <w:bCs/>
              </w:rPr>
            </w:pPr>
            <w:r>
              <w:rPr>
                <w:b/>
                <w:bCs/>
              </w:rPr>
              <w:t>（</w:t>
            </w:r>
            <w:r>
              <w:rPr>
                <w:rFonts w:hint="eastAsia"/>
                <w:b/>
                <w:bCs/>
              </w:rPr>
              <w:t>二十三</w:t>
            </w:r>
            <w:r>
              <w:rPr>
                <w:b/>
                <w:bCs/>
              </w:rPr>
              <w:t xml:space="preserve">）鹡鸰科 </w:t>
            </w:r>
          </w:p>
        </w:tc>
        <w:tc>
          <w:tcPr>
            <w:tcW w:w="856" w:type="pct"/>
            <w:noWrap/>
            <w:vAlign w:val="center"/>
          </w:tcPr>
          <w:p w14:paraId="5CC9A9DE">
            <w:pPr>
              <w:pStyle w:val="28"/>
              <w:bidi w:val="0"/>
              <w:rPr>
                <w:b/>
                <w:bCs/>
              </w:rPr>
            </w:pPr>
            <w:r>
              <w:rPr>
                <w:b/>
                <w:bCs/>
              </w:rPr>
              <w:t>Motacillidae</w:t>
            </w:r>
          </w:p>
        </w:tc>
        <w:tc>
          <w:tcPr>
            <w:tcW w:w="368" w:type="pct"/>
            <w:noWrap/>
            <w:vAlign w:val="center"/>
          </w:tcPr>
          <w:p w14:paraId="6FDB7C00">
            <w:pPr>
              <w:pStyle w:val="28"/>
              <w:bidi w:val="0"/>
              <w:rPr>
                <w:b/>
                <w:bCs/>
              </w:rPr>
            </w:pPr>
          </w:p>
        </w:tc>
        <w:tc>
          <w:tcPr>
            <w:tcW w:w="297" w:type="pct"/>
            <w:noWrap/>
            <w:vAlign w:val="center"/>
          </w:tcPr>
          <w:p w14:paraId="3B970BD5">
            <w:pPr>
              <w:pStyle w:val="28"/>
              <w:bidi w:val="0"/>
              <w:rPr>
                <w:b/>
                <w:bCs/>
              </w:rPr>
            </w:pPr>
          </w:p>
        </w:tc>
        <w:tc>
          <w:tcPr>
            <w:tcW w:w="296" w:type="pct"/>
            <w:noWrap/>
            <w:vAlign w:val="center"/>
          </w:tcPr>
          <w:p w14:paraId="5DC57B47">
            <w:pPr>
              <w:pStyle w:val="28"/>
              <w:bidi w:val="0"/>
              <w:rPr>
                <w:b/>
                <w:bCs/>
              </w:rPr>
            </w:pPr>
          </w:p>
        </w:tc>
        <w:tc>
          <w:tcPr>
            <w:tcW w:w="296" w:type="pct"/>
            <w:noWrap/>
            <w:vAlign w:val="center"/>
          </w:tcPr>
          <w:p w14:paraId="225C1259">
            <w:pPr>
              <w:pStyle w:val="28"/>
              <w:bidi w:val="0"/>
              <w:rPr>
                <w:b/>
                <w:bCs/>
              </w:rPr>
            </w:pPr>
          </w:p>
        </w:tc>
        <w:tc>
          <w:tcPr>
            <w:tcW w:w="368" w:type="pct"/>
            <w:noWrap/>
            <w:vAlign w:val="center"/>
          </w:tcPr>
          <w:p w14:paraId="2F34F254">
            <w:pPr>
              <w:pStyle w:val="28"/>
              <w:bidi w:val="0"/>
              <w:rPr>
                <w:b/>
                <w:bCs/>
              </w:rPr>
            </w:pPr>
          </w:p>
        </w:tc>
        <w:tc>
          <w:tcPr>
            <w:tcW w:w="296" w:type="pct"/>
            <w:noWrap/>
            <w:vAlign w:val="center"/>
          </w:tcPr>
          <w:p w14:paraId="6874E831">
            <w:pPr>
              <w:pStyle w:val="28"/>
              <w:bidi w:val="0"/>
              <w:rPr>
                <w:b/>
                <w:bCs/>
              </w:rPr>
            </w:pPr>
          </w:p>
        </w:tc>
        <w:tc>
          <w:tcPr>
            <w:tcW w:w="501" w:type="pct"/>
            <w:noWrap/>
            <w:vAlign w:val="center"/>
          </w:tcPr>
          <w:p w14:paraId="704C4920">
            <w:pPr>
              <w:pStyle w:val="28"/>
              <w:bidi w:val="0"/>
              <w:rPr>
                <w:b/>
                <w:bCs/>
              </w:rPr>
            </w:pPr>
          </w:p>
        </w:tc>
        <w:tc>
          <w:tcPr>
            <w:tcW w:w="902" w:type="pct"/>
            <w:noWrap/>
            <w:vAlign w:val="center"/>
          </w:tcPr>
          <w:p w14:paraId="257FD117">
            <w:pPr>
              <w:pStyle w:val="28"/>
              <w:bidi w:val="0"/>
              <w:rPr>
                <w:b/>
                <w:bCs/>
              </w:rPr>
            </w:pPr>
          </w:p>
        </w:tc>
      </w:tr>
      <w:tr w14:paraId="39410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405CC5FD">
            <w:pPr>
              <w:pStyle w:val="28"/>
              <w:bidi w:val="0"/>
            </w:pPr>
            <w:r>
              <w:rPr>
                <w:rFonts w:hint="eastAsia"/>
              </w:rPr>
              <w:t>36</w:t>
            </w:r>
            <w:r>
              <w:t>、白鹡鸰</w:t>
            </w:r>
          </w:p>
        </w:tc>
        <w:tc>
          <w:tcPr>
            <w:tcW w:w="856" w:type="pct"/>
            <w:noWrap/>
            <w:vAlign w:val="center"/>
          </w:tcPr>
          <w:p w14:paraId="7BA63DB9">
            <w:pPr>
              <w:pStyle w:val="28"/>
              <w:bidi w:val="0"/>
              <w:rPr>
                <w:i/>
                <w:iCs/>
              </w:rPr>
            </w:pPr>
            <w:r>
              <w:rPr>
                <w:i/>
                <w:iCs/>
              </w:rPr>
              <w:t>Motacilla alba</w:t>
            </w:r>
          </w:p>
        </w:tc>
        <w:tc>
          <w:tcPr>
            <w:tcW w:w="368" w:type="pct"/>
            <w:noWrap/>
            <w:vAlign w:val="center"/>
          </w:tcPr>
          <w:p w14:paraId="789DA416">
            <w:pPr>
              <w:pStyle w:val="28"/>
              <w:bidi w:val="0"/>
            </w:pPr>
            <w:r>
              <w:t>LC</w:t>
            </w:r>
          </w:p>
        </w:tc>
        <w:tc>
          <w:tcPr>
            <w:tcW w:w="297" w:type="pct"/>
            <w:noWrap/>
            <w:vAlign w:val="center"/>
          </w:tcPr>
          <w:p w14:paraId="57F20396">
            <w:pPr>
              <w:pStyle w:val="28"/>
              <w:bidi w:val="0"/>
            </w:pPr>
            <w:r>
              <w:t>否</w:t>
            </w:r>
          </w:p>
        </w:tc>
        <w:tc>
          <w:tcPr>
            <w:tcW w:w="296" w:type="pct"/>
            <w:noWrap/>
            <w:vAlign w:val="center"/>
          </w:tcPr>
          <w:p w14:paraId="35A79F6A">
            <w:pPr>
              <w:pStyle w:val="28"/>
              <w:bidi w:val="0"/>
            </w:pPr>
            <w:r>
              <w:t>留</w:t>
            </w:r>
          </w:p>
        </w:tc>
        <w:tc>
          <w:tcPr>
            <w:tcW w:w="296" w:type="pct"/>
            <w:noWrap/>
            <w:vAlign w:val="center"/>
          </w:tcPr>
          <w:p w14:paraId="0D6036CE">
            <w:pPr>
              <w:pStyle w:val="28"/>
              <w:bidi w:val="0"/>
            </w:pPr>
            <w:r>
              <w:t>广</w:t>
            </w:r>
          </w:p>
        </w:tc>
        <w:tc>
          <w:tcPr>
            <w:tcW w:w="368" w:type="pct"/>
            <w:noWrap/>
            <w:vAlign w:val="center"/>
          </w:tcPr>
          <w:p w14:paraId="00231AF2">
            <w:pPr>
              <w:pStyle w:val="28"/>
              <w:bidi w:val="0"/>
            </w:pPr>
          </w:p>
        </w:tc>
        <w:tc>
          <w:tcPr>
            <w:tcW w:w="296" w:type="pct"/>
            <w:noWrap/>
            <w:vAlign w:val="center"/>
          </w:tcPr>
          <w:p w14:paraId="17573703">
            <w:pPr>
              <w:pStyle w:val="28"/>
              <w:bidi w:val="0"/>
            </w:pPr>
            <w:r>
              <w:t>+++</w:t>
            </w:r>
          </w:p>
        </w:tc>
        <w:tc>
          <w:tcPr>
            <w:tcW w:w="501" w:type="pct"/>
            <w:noWrap/>
            <w:vAlign w:val="center"/>
          </w:tcPr>
          <w:p w14:paraId="1522DE90">
            <w:pPr>
              <w:pStyle w:val="28"/>
              <w:bidi w:val="0"/>
            </w:pPr>
            <w:r>
              <w:t>√</w:t>
            </w:r>
          </w:p>
        </w:tc>
        <w:tc>
          <w:tcPr>
            <w:tcW w:w="902" w:type="pct"/>
            <w:noWrap/>
            <w:vAlign w:val="center"/>
          </w:tcPr>
          <w:p w14:paraId="77BFF258">
            <w:pPr>
              <w:pStyle w:val="28"/>
              <w:bidi w:val="0"/>
            </w:pPr>
            <w:r>
              <w:t>水塘、村庄</w:t>
            </w:r>
          </w:p>
        </w:tc>
      </w:tr>
      <w:tr w14:paraId="1031E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15" w:type="pct"/>
            <w:noWrap/>
            <w:vAlign w:val="center"/>
          </w:tcPr>
          <w:p w14:paraId="6AE572BE">
            <w:pPr>
              <w:pStyle w:val="28"/>
              <w:bidi w:val="0"/>
              <w:rPr>
                <w:b/>
                <w:bCs/>
              </w:rPr>
            </w:pPr>
            <w:r>
              <w:rPr>
                <w:rFonts w:hint="eastAsia"/>
                <w:b/>
                <w:bCs/>
              </w:rPr>
              <w:t>十、鸡形目</w:t>
            </w:r>
          </w:p>
        </w:tc>
        <w:tc>
          <w:tcPr>
            <w:tcW w:w="856" w:type="pct"/>
            <w:noWrap/>
            <w:vAlign w:val="center"/>
          </w:tcPr>
          <w:p w14:paraId="0455C916">
            <w:pPr>
              <w:pStyle w:val="28"/>
              <w:bidi w:val="0"/>
              <w:rPr>
                <w:b/>
                <w:bCs/>
              </w:rPr>
            </w:pPr>
            <w:r>
              <w:rPr>
                <w:b/>
                <w:bCs/>
              </w:rPr>
              <w:t>Galliformes</w:t>
            </w:r>
          </w:p>
        </w:tc>
        <w:tc>
          <w:tcPr>
            <w:tcW w:w="368" w:type="pct"/>
            <w:noWrap/>
            <w:vAlign w:val="center"/>
          </w:tcPr>
          <w:p w14:paraId="32E710BB">
            <w:pPr>
              <w:pStyle w:val="28"/>
              <w:bidi w:val="0"/>
              <w:rPr>
                <w:b/>
                <w:bCs/>
              </w:rPr>
            </w:pPr>
          </w:p>
        </w:tc>
        <w:tc>
          <w:tcPr>
            <w:tcW w:w="297" w:type="pct"/>
            <w:noWrap/>
            <w:vAlign w:val="center"/>
          </w:tcPr>
          <w:p w14:paraId="6C519A2E">
            <w:pPr>
              <w:pStyle w:val="28"/>
              <w:bidi w:val="0"/>
              <w:rPr>
                <w:b/>
                <w:bCs/>
              </w:rPr>
            </w:pPr>
          </w:p>
        </w:tc>
        <w:tc>
          <w:tcPr>
            <w:tcW w:w="296" w:type="pct"/>
            <w:noWrap/>
            <w:vAlign w:val="center"/>
          </w:tcPr>
          <w:p w14:paraId="02B5EA8A">
            <w:pPr>
              <w:pStyle w:val="28"/>
              <w:bidi w:val="0"/>
              <w:rPr>
                <w:b/>
                <w:bCs/>
              </w:rPr>
            </w:pPr>
          </w:p>
        </w:tc>
        <w:tc>
          <w:tcPr>
            <w:tcW w:w="296" w:type="pct"/>
            <w:noWrap/>
            <w:vAlign w:val="center"/>
          </w:tcPr>
          <w:p w14:paraId="017ABBD7">
            <w:pPr>
              <w:pStyle w:val="28"/>
              <w:bidi w:val="0"/>
              <w:rPr>
                <w:b/>
                <w:bCs/>
              </w:rPr>
            </w:pPr>
          </w:p>
        </w:tc>
        <w:tc>
          <w:tcPr>
            <w:tcW w:w="368" w:type="pct"/>
            <w:noWrap/>
            <w:vAlign w:val="center"/>
          </w:tcPr>
          <w:p w14:paraId="598A550B">
            <w:pPr>
              <w:pStyle w:val="28"/>
              <w:bidi w:val="0"/>
              <w:rPr>
                <w:b/>
                <w:bCs/>
              </w:rPr>
            </w:pPr>
          </w:p>
        </w:tc>
        <w:tc>
          <w:tcPr>
            <w:tcW w:w="296" w:type="pct"/>
            <w:noWrap/>
            <w:vAlign w:val="center"/>
          </w:tcPr>
          <w:p w14:paraId="0481A8CD">
            <w:pPr>
              <w:pStyle w:val="28"/>
              <w:bidi w:val="0"/>
              <w:rPr>
                <w:b/>
                <w:bCs/>
              </w:rPr>
            </w:pPr>
          </w:p>
        </w:tc>
        <w:tc>
          <w:tcPr>
            <w:tcW w:w="501" w:type="pct"/>
            <w:noWrap/>
            <w:vAlign w:val="center"/>
          </w:tcPr>
          <w:p w14:paraId="2F3C953A">
            <w:pPr>
              <w:pStyle w:val="28"/>
              <w:bidi w:val="0"/>
              <w:rPr>
                <w:b/>
                <w:bCs/>
              </w:rPr>
            </w:pPr>
          </w:p>
        </w:tc>
        <w:tc>
          <w:tcPr>
            <w:tcW w:w="902" w:type="pct"/>
            <w:noWrap/>
            <w:vAlign w:val="center"/>
          </w:tcPr>
          <w:p w14:paraId="5A5D3439">
            <w:pPr>
              <w:pStyle w:val="28"/>
              <w:bidi w:val="0"/>
              <w:rPr>
                <w:b/>
                <w:bCs/>
              </w:rPr>
            </w:pPr>
          </w:p>
        </w:tc>
      </w:tr>
      <w:tr w14:paraId="3EF0FA8A">
        <w:tblPrEx>
          <w:tblCellMar>
            <w:top w:w="0" w:type="dxa"/>
            <w:left w:w="108" w:type="dxa"/>
            <w:bottom w:w="0" w:type="dxa"/>
            <w:right w:w="108" w:type="dxa"/>
          </w:tblCellMar>
        </w:tblPrEx>
        <w:trPr>
          <w:trHeight w:val="23" w:hRule="atLeast"/>
          <w:jc w:val="center"/>
        </w:trPr>
        <w:tc>
          <w:tcPr>
            <w:tcW w:w="815" w:type="pct"/>
            <w:noWrap/>
            <w:vAlign w:val="center"/>
          </w:tcPr>
          <w:p w14:paraId="718BBBE2">
            <w:pPr>
              <w:pStyle w:val="28"/>
              <w:bidi w:val="0"/>
              <w:rPr>
                <w:b/>
                <w:bCs/>
              </w:rPr>
            </w:pPr>
            <w:r>
              <w:rPr>
                <w:rFonts w:hint="eastAsia"/>
                <w:b/>
                <w:bCs/>
              </w:rPr>
              <w:t>（二十四）稚科</w:t>
            </w:r>
          </w:p>
        </w:tc>
        <w:tc>
          <w:tcPr>
            <w:tcW w:w="856" w:type="pct"/>
            <w:noWrap/>
            <w:vAlign w:val="center"/>
          </w:tcPr>
          <w:p w14:paraId="22BEE23A">
            <w:pPr>
              <w:pStyle w:val="28"/>
              <w:bidi w:val="0"/>
              <w:rPr>
                <w:b/>
                <w:bCs/>
              </w:rPr>
            </w:pPr>
            <w:r>
              <w:rPr>
                <w:b/>
                <w:bCs/>
              </w:rPr>
              <w:t>Phasianidae</w:t>
            </w:r>
          </w:p>
        </w:tc>
        <w:tc>
          <w:tcPr>
            <w:tcW w:w="368" w:type="pct"/>
            <w:noWrap/>
            <w:vAlign w:val="center"/>
          </w:tcPr>
          <w:p w14:paraId="2929673D">
            <w:pPr>
              <w:pStyle w:val="28"/>
              <w:bidi w:val="0"/>
              <w:rPr>
                <w:b/>
                <w:bCs/>
              </w:rPr>
            </w:pPr>
          </w:p>
        </w:tc>
        <w:tc>
          <w:tcPr>
            <w:tcW w:w="297" w:type="pct"/>
            <w:noWrap/>
            <w:vAlign w:val="center"/>
          </w:tcPr>
          <w:p w14:paraId="397944A0">
            <w:pPr>
              <w:pStyle w:val="28"/>
              <w:bidi w:val="0"/>
              <w:rPr>
                <w:b/>
                <w:bCs/>
              </w:rPr>
            </w:pPr>
          </w:p>
        </w:tc>
        <w:tc>
          <w:tcPr>
            <w:tcW w:w="296" w:type="pct"/>
            <w:noWrap/>
            <w:vAlign w:val="center"/>
          </w:tcPr>
          <w:p w14:paraId="05BECC30">
            <w:pPr>
              <w:pStyle w:val="28"/>
              <w:bidi w:val="0"/>
              <w:rPr>
                <w:b/>
                <w:bCs/>
              </w:rPr>
            </w:pPr>
          </w:p>
        </w:tc>
        <w:tc>
          <w:tcPr>
            <w:tcW w:w="296" w:type="pct"/>
            <w:noWrap/>
            <w:vAlign w:val="center"/>
          </w:tcPr>
          <w:p w14:paraId="4102BBA0">
            <w:pPr>
              <w:pStyle w:val="28"/>
              <w:bidi w:val="0"/>
              <w:rPr>
                <w:b/>
                <w:bCs/>
              </w:rPr>
            </w:pPr>
          </w:p>
        </w:tc>
        <w:tc>
          <w:tcPr>
            <w:tcW w:w="368" w:type="pct"/>
            <w:noWrap/>
            <w:vAlign w:val="center"/>
          </w:tcPr>
          <w:p w14:paraId="1099ED8F">
            <w:pPr>
              <w:pStyle w:val="28"/>
              <w:bidi w:val="0"/>
              <w:rPr>
                <w:b/>
                <w:bCs/>
              </w:rPr>
            </w:pPr>
          </w:p>
        </w:tc>
        <w:tc>
          <w:tcPr>
            <w:tcW w:w="296" w:type="pct"/>
            <w:noWrap/>
            <w:vAlign w:val="center"/>
          </w:tcPr>
          <w:p w14:paraId="00F9F83A">
            <w:pPr>
              <w:pStyle w:val="28"/>
              <w:bidi w:val="0"/>
              <w:rPr>
                <w:b/>
                <w:bCs/>
              </w:rPr>
            </w:pPr>
          </w:p>
        </w:tc>
        <w:tc>
          <w:tcPr>
            <w:tcW w:w="501" w:type="pct"/>
            <w:noWrap/>
            <w:vAlign w:val="center"/>
          </w:tcPr>
          <w:p w14:paraId="5593735F">
            <w:pPr>
              <w:pStyle w:val="28"/>
              <w:bidi w:val="0"/>
              <w:rPr>
                <w:b/>
                <w:bCs/>
              </w:rPr>
            </w:pPr>
          </w:p>
        </w:tc>
        <w:tc>
          <w:tcPr>
            <w:tcW w:w="902" w:type="pct"/>
            <w:noWrap/>
            <w:vAlign w:val="center"/>
          </w:tcPr>
          <w:p w14:paraId="3C7F9CE1">
            <w:pPr>
              <w:pStyle w:val="28"/>
              <w:bidi w:val="0"/>
              <w:rPr>
                <w:b/>
                <w:bCs/>
              </w:rPr>
            </w:pPr>
          </w:p>
        </w:tc>
      </w:tr>
      <w:tr w14:paraId="39468737">
        <w:tblPrEx>
          <w:tblCellMar>
            <w:top w:w="0" w:type="dxa"/>
            <w:left w:w="108" w:type="dxa"/>
            <w:bottom w:w="0" w:type="dxa"/>
            <w:right w:w="108" w:type="dxa"/>
          </w:tblCellMar>
        </w:tblPrEx>
        <w:trPr>
          <w:trHeight w:val="23" w:hRule="atLeast"/>
          <w:jc w:val="center"/>
        </w:trPr>
        <w:tc>
          <w:tcPr>
            <w:tcW w:w="815" w:type="pct"/>
            <w:noWrap/>
            <w:vAlign w:val="center"/>
          </w:tcPr>
          <w:p w14:paraId="67C30159">
            <w:pPr>
              <w:pStyle w:val="28"/>
              <w:bidi w:val="0"/>
            </w:pPr>
            <w:r>
              <w:rPr>
                <w:rFonts w:hint="eastAsia"/>
              </w:rPr>
              <w:t>37、环颈雉</w:t>
            </w:r>
          </w:p>
        </w:tc>
        <w:tc>
          <w:tcPr>
            <w:tcW w:w="856" w:type="pct"/>
            <w:noWrap/>
            <w:vAlign w:val="center"/>
          </w:tcPr>
          <w:p w14:paraId="1A9F6173">
            <w:pPr>
              <w:pStyle w:val="28"/>
              <w:bidi w:val="0"/>
              <w:rPr>
                <w:i/>
                <w:iCs/>
              </w:rPr>
            </w:pPr>
            <w:r>
              <w:rPr>
                <w:i/>
                <w:iCs/>
              </w:rPr>
              <w:t>Phasianus colchicus</w:t>
            </w:r>
          </w:p>
        </w:tc>
        <w:tc>
          <w:tcPr>
            <w:tcW w:w="368" w:type="pct"/>
            <w:noWrap/>
            <w:vAlign w:val="center"/>
          </w:tcPr>
          <w:p w14:paraId="37AE54C6">
            <w:pPr>
              <w:pStyle w:val="28"/>
              <w:bidi w:val="0"/>
            </w:pPr>
            <w:r>
              <w:t>LC</w:t>
            </w:r>
          </w:p>
        </w:tc>
        <w:tc>
          <w:tcPr>
            <w:tcW w:w="297" w:type="pct"/>
            <w:noWrap/>
            <w:vAlign w:val="center"/>
          </w:tcPr>
          <w:p w14:paraId="1B1F497D">
            <w:pPr>
              <w:pStyle w:val="28"/>
              <w:bidi w:val="0"/>
            </w:pPr>
            <w:r>
              <w:t>否</w:t>
            </w:r>
          </w:p>
        </w:tc>
        <w:tc>
          <w:tcPr>
            <w:tcW w:w="296" w:type="pct"/>
            <w:shd w:val="clear" w:color="auto" w:fill="auto"/>
            <w:noWrap/>
            <w:vAlign w:val="center"/>
          </w:tcPr>
          <w:p w14:paraId="0599F83A">
            <w:pPr>
              <w:pStyle w:val="28"/>
              <w:bidi w:val="0"/>
            </w:pPr>
            <w:r>
              <w:t>留</w:t>
            </w:r>
          </w:p>
        </w:tc>
        <w:tc>
          <w:tcPr>
            <w:tcW w:w="296" w:type="pct"/>
            <w:shd w:val="clear" w:color="auto" w:fill="auto"/>
            <w:noWrap/>
            <w:vAlign w:val="center"/>
          </w:tcPr>
          <w:p w14:paraId="7E51A40B">
            <w:pPr>
              <w:pStyle w:val="28"/>
              <w:bidi w:val="0"/>
            </w:pPr>
            <w:r>
              <w:t>广</w:t>
            </w:r>
          </w:p>
        </w:tc>
        <w:tc>
          <w:tcPr>
            <w:tcW w:w="368" w:type="pct"/>
            <w:noWrap/>
            <w:vAlign w:val="center"/>
          </w:tcPr>
          <w:p w14:paraId="243FE86D">
            <w:pPr>
              <w:pStyle w:val="28"/>
              <w:bidi w:val="0"/>
            </w:pPr>
          </w:p>
        </w:tc>
        <w:tc>
          <w:tcPr>
            <w:tcW w:w="296" w:type="pct"/>
            <w:noWrap/>
            <w:vAlign w:val="center"/>
          </w:tcPr>
          <w:p w14:paraId="63B10C49">
            <w:pPr>
              <w:pStyle w:val="28"/>
              <w:bidi w:val="0"/>
            </w:pPr>
          </w:p>
        </w:tc>
        <w:tc>
          <w:tcPr>
            <w:tcW w:w="501" w:type="pct"/>
            <w:noWrap/>
            <w:vAlign w:val="center"/>
          </w:tcPr>
          <w:p w14:paraId="02228EA3">
            <w:pPr>
              <w:pStyle w:val="28"/>
              <w:bidi w:val="0"/>
            </w:pPr>
            <w:r>
              <w:t>√</w:t>
            </w:r>
          </w:p>
        </w:tc>
        <w:tc>
          <w:tcPr>
            <w:tcW w:w="902" w:type="pct"/>
            <w:noWrap/>
            <w:vAlign w:val="center"/>
          </w:tcPr>
          <w:p w14:paraId="71B9A37D">
            <w:pPr>
              <w:pStyle w:val="28"/>
              <w:bidi w:val="0"/>
            </w:pPr>
            <w:r>
              <w:t>丘陵、农田、地边、沼泽</w:t>
            </w:r>
          </w:p>
        </w:tc>
      </w:tr>
    </w:tbl>
    <w:p w14:paraId="48A1357E">
      <w:pPr>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cs="Times New Roman"/>
          <w:sz w:val="18"/>
          <w:szCs w:val="18"/>
        </w:rPr>
      </w:pPr>
      <w:r>
        <w:rPr>
          <w:rFonts w:cs="Times New Roman"/>
          <w:sz w:val="18"/>
          <w:szCs w:val="18"/>
        </w:rPr>
        <w:t>注1：</w:t>
      </w:r>
      <w:r>
        <w:rPr>
          <w:rFonts w:hint="eastAsia" w:cs="Times New Roman"/>
          <w:sz w:val="18"/>
          <w:szCs w:val="18"/>
        </w:rPr>
        <w:t>“</w:t>
      </w:r>
      <w:r>
        <w:rPr>
          <w:rFonts w:cs="Times New Roman"/>
          <w:sz w:val="18"/>
          <w:szCs w:val="18"/>
        </w:rPr>
        <w:t>国Ⅱ、省Ⅰ、省Ⅱ</w:t>
      </w:r>
      <w:r>
        <w:rPr>
          <w:rFonts w:hint="eastAsia" w:cs="Times New Roman"/>
          <w:sz w:val="18"/>
          <w:szCs w:val="18"/>
        </w:rPr>
        <w:t>”</w:t>
      </w:r>
      <w:r>
        <w:rPr>
          <w:rFonts w:cs="Times New Roman"/>
          <w:sz w:val="18"/>
          <w:szCs w:val="18"/>
        </w:rPr>
        <w:t>分别指国家二级、安徽省一级、安徽省二级重点保护野生动物；</w:t>
      </w:r>
    </w:p>
    <w:p w14:paraId="59F56C78">
      <w:pPr>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cs="Times New Roman"/>
          <w:sz w:val="18"/>
          <w:szCs w:val="18"/>
        </w:rPr>
      </w:pPr>
      <w:r>
        <w:rPr>
          <w:rFonts w:cs="Times New Roman"/>
          <w:sz w:val="18"/>
          <w:szCs w:val="18"/>
        </w:rPr>
        <w:t>注2：</w:t>
      </w:r>
      <w:r>
        <w:rPr>
          <w:rFonts w:hint="eastAsia" w:cs="Times New Roman"/>
          <w:sz w:val="18"/>
          <w:szCs w:val="18"/>
        </w:rPr>
        <w:t>“</w:t>
      </w:r>
      <w:r>
        <w:rPr>
          <w:rFonts w:cs="Times New Roman"/>
          <w:sz w:val="18"/>
          <w:szCs w:val="18"/>
        </w:rPr>
        <w:t>NT、LC</w:t>
      </w:r>
      <w:r>
        <w:rPr>
          <w:rFonts w:hint="eastAsia" w:cs="Times New Roman"/>
          <w:sz w:val="18"/>
          <w:szCs w:val="18"/>
        </w:rPr>
        <w:t>”</w:t>
      </w:r>
      <w:r>
        <w:rPr>
          <w:rFonts w:cs="Times New Roman"/>
          <w:sz w:val="18"/>
          <w:szCs w:val="18"/>
        </w:rPr>
        <w:t>分别代表近危、无危；</w:t>
      </w:r>
    </w:p>
    <w:p w14:paraId="735024EC">
      <w:pPr>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cs="Times New Roman"/>
          <w:sz w:val="18"/>
          <w:szCs w:val="18"/>
        </w:rPr>
      </w:pPr>
      <w:r>
        <w:rPr>
          <w:rFonts w:cs="Times New Roman"/>
          <w:sz w:val="18"/>
          <w:szCs w:val="18"/>
        </w:rPr>
        <w:t>注3：</w:t>
      </w:r>
      <w:r>
        <w:rPr>
          <w:rFonts w:hint="eastAsia" w:cs="Times New Roman"/>
          <w:sz w:val="18"/>
          <w:szCs w:val="18"/>
        </w:rPr>
        <w:t>“</w:t>
      </w:r>
      <w:r>
        <w:rPr>
          <w:rFonts w:cs="Times New Roman"/>
          <w:sz w:val="18"/>
          <w:szCs w:val="18"/>
        </w:rPr>
        <w:t>夏、冬、留、旅</w:t>
      </w:r>
      <w:r>
        <w:rPr>
          <w:rFonts w:hint="eastAsia" w:cs="Times New Roman"/>
          <w:sz w:val="18"/>
          <w:szCs w:val="18"/>
        </w:rPr>
        <w:t>”</w:t>
      </w:r>
      <w:r>
        <w:rPr>
          <w:rFonts w:cs="Times New Roman"/>
          <w:sz w:val="18"/>
          <w:szCs w:val="18"/>
        </w:rPr>
        <w:t>分别指夏候鸟、冬候鸟、留鸟、旅鸟；</w:t>
      </w:r>
    </w:p>
    <w:p w14:paraId="3EB301EF">
      <w:pPr>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cs="Times New Roman"/>
          <w:sz w:val="18"/>
          <w:szCs w:val="18"/>
        </w:rPr>
      </w:pPr>
      <w:r>
        <w:rPr>
          <w:rFonts w:cs="Times New Roman"/>
          <w:sz w:val="18"/>
          <w:szCs w:val="18"/>
        </w:rPr>
        <w:t>注4：</w:t>
      </w:r>
      <w:r>
        <w:rPr>
          <w:rFonts w:hint="eastAsia" w:cs="Times New Roman"/>
          <w:sz w:val="18"/>
          <w:szCs w:val="18"/>
        </w:rPr>
        <w:t>“</w:t>
      </w:r>
      <w:r>
        <w:rPr>
          <w:rFonts w:cs="Times New Roman"/>
          <w:sz w:val="18"/>
          <w:szCs w:val="18"/>
        </w:rPr>
        <w:t>广、古、东</w:t>
      </w:r>
      <w:r>
        <w:rPr>
          <w:rFonts w:hint="eastAsia" w:cs="Times New Roman"/>
          <w:sz w:val="18"/>
          <w:szCs w:val="18"/>
        </w:rPr>
        <w:t>”</w:t>
      </w:r>
      <w:r>
        <w:rPr>
          <w:rFonts w:cs="Times New Roman"/>
          <w:sz w:val="18"/>
          <w:szCs w:val="18"/>
        </w:rPr>
        <w:t>分别指广布种、古北界、东洋界；</w:t>
      </w:r>
    </w:p>
    <w:p w14:paraId="37E069CC">
      <w:pPr>
        <w:keepNext w:val="0"/>
        <w:keepLines w:val="0"/>
        <w:pageBreakBefore w:val="0"/>
        <w:widowControl/>
        <w:kinsoku/>
        <w:wordWrap/>
        <w:overflowPunct/>
        <w:topLinePunct w:val="0"/>
        <w:autoSpaceDE/>
        <w:autoSpaceDN/>
        <w:bidi w:val="0"/>
        <w:adjustRightInd/>
        <w:snapToGrid/>
        <w:spacing w:line="240" w:lineRule="auto"/>
        <w:ind w:firstLine="0" w:firstLineChars="0"/>
        <w:textAlignment w:val="auto"/>
        <w:rPr>
          <w:rFonts w:cs="Times New Roman"/>
          <w:color w:val="0000FF"/>
          <w:sz w:val="18"/>
          <w:szCs w:val="21"/>
        </w:rPr>
      </w:pPr>
      <w:r>
        <w:rPr>
          <w:rFonts w:cs="Times New Roman"/>
          <w:sz w:val="18"/>
          <w:szCs w:val="18"/>
        </w:rPr>
        <w:t>注5：</w:t>
      </w:r>
      <w:r>
        <w:rPr>
          <w:rFonts w:hint="eastAsia" w:cs="Times New Roman"/>
          <w:sz w:val="18"/>
          <w:szCs w:val="18"/>
        </w:rPr>
        <w:t>“</w:t>
      </w:r>
      <w:r>
        <w:rPr>
          <w:rFonts w:cs="Times New Roman"/>
          <w:sz w:val="18"/>
          <w:szCs w:val="18"/>
        </w:rPr>
        <w:t>+、++、+++、++++</w:t>
      </w:r>
      <w:r>
        <w:rPr>
          <w:rFonts w:hint="eastAsia" w:cs="Times New Roman"/>
          <w:sz w:val="18"/>
          <w:szCs w:val="18"/>
        </w:rPr>
        <w:t>”</w:t>
      </w:r>
      <w:r>
        <w:rPr>
          <w:rFonts w:cs="Times New Roman"/>
          <w:sz w:val="18"/>
          <w:szCs w:val="18"/>
        </w:rPr>
        <w:t>分别表示实地调查中各类动物群落中的罕见种、稀有种、常见种、优势种</w:t>
      </w:r>
      <w:r>
        <w:rPr>
          <w:rFonts w:cs="Times New Roman"/>
          <w:color w:val="0000FF"/>
          <w:sz w:val="18"/>
          <w:szCs w:val="18"/>
        </w:rPr>
        <w:t>。</w:t>
      </w:r>
    </w:p>
    <w:p w14:paraId="368B4962">
      <w:pPr>
        <w:ind w:firstLine="480"/>
        <w:rPr>
          <w:rFonts w:cs="Times New Roman"/>
          <w:color w:val="0000FF"/>
        </w:rPr>
        <w:sectPr>
          <w:pgSz w:w="16838" w:h="11905" w:orient="landscape"/>
          <w:pgMar w:top="1417" w:right="1417" w:bottom="1417" w:left="1417" w:header="850" w:footer="850" w:gutter="0"/>
          <w:pgNumType w:fmt="decimal"/>
          <w:cols w:space="0" w:num="1"/>
          <w:rtlGutter w:val="0"/>
          <w:docGrid w:linePitch="326" w:charSpace="0"/>
        </w:sectPr>
      </w:pPr>
    </w:p>
    <w:p w14:paraId="5AAEED57">
      <w:pPr>
        <w:pStyle w:val="5"/>
        <w:bidi w:val="0"/>
      </w:pPr>
      <w:r>
        <w:t>4.3.</w:t>
      </w:r>
      <w:r>
        <w:rPr>
          <w:rFonts w:hint="eastAsia"/>
        </w:rPr>
        <w:t>2</w:t>
      </w:r>
      <w:r>
        <w:t>.5两栖爬行类</w:t>
      </w:r>
    </w:p>
    <w:p w14:paraId="7CD7D76A">
      <w:pPr>
        <w:bidi w:val="0"/>
      </w:pPr>
      <w:r>
        <w:t>评价区地处淮北平原区，地势平坦，农耕发达，人口密集，没有大面积的湿地分布，两栖爬行动物的适宜栖息地分布面积狭窄。</w:t>
      </w:r>
    </w:p>
    <w:p w14:paraId="5B9C1DA6">
      <w:pPr>
        <w:bidi w:val="0"/>
      </w:pPr>
      <w:r>
        <w:t>种类组成</w:t>
      </w:r>
    </w:p>
    <w:p w14:paraId="19FA0312">
      <w:pPr>
        <w:bidi w:val="0"/>
      </w:pPr>
      <w:r>
        <w:t>结合现场调查及资料查询，评价区分布有两栖类1目3科</w:t>
      </w:r>
      <w:r>
        <w:rPr>
          <w:rFonts w:hint="eastAsia"/>
        </w:rPr>
        <w:t>4</w:t>
      </w:r>
      <w:r>
        <w:t>种，爬行类动物</w:t>
      </w:r>
      <w:r>
        <w:rPr>
          <w:rFonts w:hint="eastAsia"/>
        </w:rPr>
        <w:t>1</w:t>
      </w:r>
      <w:r>
        <w:t>目</w:t>
      </w:r>
      <w:r>
        <w:rPr>
          <w:rFonts w:hint="eastAsia"/>
        </w:rPr>
        <w:t>3</w:t>
      </w:r>
      <w:r>
        <w:t>科</w:t>
      </w:r>
      <w:r>
        <w:rPr>
          <w:rFonts w:hint="eastAsia"/>
        </w:rPr>
        <w:t>5</w:t>
      </w:r>
      <w:r>
        <w:t>种，种类组成上总体较为贫瘠。均为本区域的常见种类，未发现国家级重点保护两栖类，常见有中华蟾蜍、黑斑蛙、泽陆蛙等。水流较缓的水域，如水田、静水水坑、离水源不远处或较潮湿的陆地等是两栖类的主要栖息生境类型，与人类活动关系较密切。野外实地调查两栖类仅记录到中华蟾蜍，爬行类仅记录到双斑锦蛇。</w:t>
      </w:r>
    </w:p>
    <w:p w14:paraId="4A3FEACD">
      <w:pPr>
        <w:bidi w:val="0"/>
      </w:pPr>
      <w:r>
        <w:t>不同季节中，夏季是评价区两栖爬行类丰富度较高的季节，冬季最低。</w:t>
      </w:r>
    </w:p>
    <w:p w14:paraId="156A2895">
      <w:pPr>
        <w:bidi w:val="0"/>
      </w:pPr>
      <w:r>
        <w:t>评级区两栖爬行类名录见表。</w:t>
      </w:r>
    </w:p>
    <w:p w14:paraId="5B37090B">
      <w:pPr>
        <w:bidi w:val="0"/>
      </w:pPr>
      <w:r>
        <w:t>区系组成</w:t>
      </w:r>
    </w:p>
    <w:p w14:paraId="0FDA74BC">
      <w:pPr>
        <w:bidi w:val="0"/>
      </w:pPr>
      <w:r>
        <w:t>根据调查结果，评价区两栖爬行类整体为广布种。</w:t>
      </w:r>
    </w:p>
    <w:p w14:paraId="0F480E73">
      <w:pPr>
        <w:bidi w:val="0"/>
      </w:pPr>
      <w:r>
        <w:t>（3）两栖爬行类生境状况</w:t>
      </w:r>
    </w:p>
    <w:p w14:paraId="713D0833">
      <w:pPr>
        <w:bidi w:val="0"/>
      </w:pPr>
      <w:r>
        <w:t>评价区内</w:t>
      </w:r>
      <w:r>
        <w:rPr>
          <w:lang w:val="zh-CN"/>
        </w:rPr>
        <w:t>水流较缓的水域，如水田、静水水坑、潮湿的陆地</w:t>
      </w:r>
      <w:r>
        <w:t>是两栖类的主要栖息生境</w:t>
      </w:r>
      <w:r>
        <w:rPr>
          <w:lang w:val="zh-CN"/>
        </w:rPr>
        <w:t>，与人类活动关系较密切。</w:t>
      </w:r>
      <w:r>
        <w:t>本项目主要建设范围占用小范围林地，但常见两栖类本身对于人类的生态干扰具备一定耐受力，因而工程对其产生的不利影响较小。</w:t>
      </w:r>
    </w:p>
    <w:p w14:paraId="60487EE3">
      <w:pPr>
        <w:bidi w:val="0"/>
      </w:pPr>
      <w:r>
        <w:t>评价区分布的爬行类中，蜥蜴目如北草蜥主要分布于村庄，在建筑物中筑巢、繁殖、活动；蛇目如乌华游蛇主要分布于评价区内水域边、潮湿的林地；龟科、鳖科主要栖息于湖泊、池塘、河沟，在评价区较为罕见。</w:t>
      </w:r>
    </w:p>
    <w:p w14:paraId="46B5439A">
      <w:pPr>
        <w:bidi w:val="0"/>
      </w:pPr>
      <w:r>
        <w:t>爬行类的主要栖息地为居民区、灌丛、水域，常见种类对生态干扰具备一定耐受力，且工程范围涉及乔木林与灌丛部分较小，爬行动物活动能力较强，在受到干扰时可主动迁入周边大量适宜生境，因而工程对当地爬行类产生的不利影响较小。</w:t>
      </w:r>
    </w:p>
    <w:p w14:paraId="4899B18C">
      <w:pPr>
        <w:pStyle w:val="29"/>
        <w:bidi w:val="0"/>
      </w:pPr>
      <w:r>
        <w:t>表</w:t>
      </w:r>
      <w:r>
        <w:rPr>
          <w:rFonts w:hint="eastAsia"/>
          <w:lang w:eastAsia="zh-CN"/>
        </w:rPr>
        <w:t>4.3</w:t>
      </w:r>
      <w:r>
        <w:t>-6  评价区两栖爬行类名录</w:t>
      </w:r>
    </w:p>
    <w:tbl>
      <w:tblPr>
        <w:tblStyle w:val="16"/>
        <w:tblW w:w="505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212"/>
        <w:gridCol w:w="574"/>
        <w:gridCol w:w="899"/>
        <w:gridCol w:w="721"/>
        <w:gridCol w:w="681"/>
        <w:gridCol w:w="998"/>
        <w:gridCol w:w="1114"/>
        <w:gridCol w:w="1978"/>
      </w:tblGrid>
      <w:tr w14:paraId="0449F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1205" w:type="pct"/>
            <w:vAlign w:val="center"/>
          </w:tcPr>
          <w:p w14:paraId="5B3EE91B">
            <w:pPr>
              <w:pStyle w:val="28"/>
              <w:bidi w:val="0"/>
              <w:rPr>
                <w:lang w:val="zh-CN"/>
              </w:rPr>
            </w:pPr>
            <w:r>
              <w:rPr>
                <w:rFonts w:hint="eastAsia"/>
              </w:rPr>
              <w:t>种类</w:t>
            </w:r>
          </w:p>
        </w:tc>
        <w:tc>
          <w:tcPr>
            <w:tcW w:w="313" w:type="pct"/>
            <w:vAlign w:val="center"/>
          </w:tcPr>
          <w:p w14:paraId="74AC0904">
            <w:pPr>
              <w:pStyle w:val="28"/>
              <w:bidi w:val="0"/>
            </w:pPr>
            <w:r>
              <w:t>区系型</w:t>
            </w:r>
          </w:p>
        </w:tc>
        <w:tc>
          <w:tcPr>
            <w:tcW w:w="490" w:type="pct"/>
            <w:vAlign w:val="center"/>
          </w:tcPr>
          <w:p w14:paraId="7F0BB461">
            <w:pPr>
              <w:pStyle w:val="28"/>
              <w:bidi w:val="0"/>
              <w:rPr>
                <w:lang w:val="zh-CN"/>
              </w:rPr>
            </w:pPr>
            <w:r>
              <w:t>保护级别</w:t>
            </w:r>
          </w:p>
        </w:tc>
        <w:tc>
          <w:tcPr>
            <w:tcW w:w="393" w:type="pct"/>
            <w:vAlign w:val="center"/>
          </w:tcPr>
          <w:p w14:paraId="442B9291">
            <w:pPr>
              <w:pStyle w:val="28"/>
              <w:bidi w:val="0"/>
              <w:rPr>
                <w:lang w:val="zh-CN"/>
              </w:rPr>
            </w:pPr>
            <w:r>
              <w:t>濒危等级</w:t>
            </w:r>
          </w:p>
        </w:tc>
        <w:tc>
          <w:tcPr>
            <w:tcW w:w="371" w:type="pct"/>
            <w:vAlign w:val="center"/>
          </w:tcPr>
          <w:p w14:paraId="6A75DCC4">
            <w:pPr>
              <w:pStyle w:val="28"/>
              <w:bidi w:val="0"/>
              <w:rPr>
                <w:lang w:val="zh-CN"/>
              </w:rPr>
            </w:pPr>
            <w:r>
              <w:t>特有种</w:t>
            </w:r>
          </w:p>
        </w:tc>
        <w:tc>
          <w:tcPr>
            <w:tcW w:w="544" w:type="pct"/>
            <w:vAlign w:val="center"/>
          </w:tcPr>
          <w:p w14:paraId="1E1A8A47">
            <w:pPr>
              <w:pStyle w:val="28"/>
              <w:bidi w:val="0"/>
              <w:rPr>
                <w:lang w:val="zh-CN"/>
              </w:rPr>
            </w:pPr>
            <w:r>
              <w:t>优势度</w:t>
            </w:r>
          </w:p>
        </w:tc>
        <w:tc>
          <w:tcPr>
            <w:tcW w:w="607" w:type="pct"/>
            <w:vAlign w:val="center"/>
          </w:tcPr>
          <w:p w14:paraId="15BAE7D1">
            <w:pPr>
              <w:pStyle w:val="28"/>
              <w:bidi w:val="0"/>
            </w:pPr>
            <w:r>
              <w:t>实地调查记录</w:t>
            </w:r>
          </w:p>
        </w:tc>
        <w:tc>
          <w:tcPr>
            <w:tcW w:w="1073" w:type="pct"/>
            <w:vAlign w:val="center"/>
          </w:tcPr>
          <w:p w14:paraId="4ABD1486">
            <w:pPr>
              <w:pStyle w:val="28"/>
              <w:bidi w:val="0"/>
              <w:rPr>
                <w:lang w:val="zh-CN"/>
              </w:rPr>
            </w:pPr>
            <w:r>
              <w:t>分布区域</w:t>
            </w:r>
          </w:p>
        </w:tc>
      </w:tr>
      <w:tr w14:paraId="027E14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0" w:type="pct"/>
            <w:gridSpan w:val="8"/>
            <w:vAlign w:val="center"/>
          </w:tcPr>
          <w:p w14:paraId="2985E559">
            <w:pPr>
              <w:pStyle w:val="28"/>
              <w:bidi w:val="0"/>
            </w:pPr>
            <w:r>
              <w:t>两栖类</w:t>
            </w:r>
          </w:p>
        </w:tc>
      </w:tr>
      <w:tr w14:paraId="59BBB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271DEF6F">
            <w:pPr>
              <w:pStyle w:val="28"/>
              <w:bidi w:val="0"/>
              <w:rPr>
                <w:lang w:val="zh-CN"/>
              </w:rPr>
            </w:pPr>
            <w:r>
              <w:t>一、无尾目</w:t>
            </w:r>
          </w:p>
        </w:tc>
        <w:tc>
          <w:tcPr>
            <w:tcW w:w="3794" w:type="pct"/>
            <w:gridSpan w:val="7"/>
            <w:vAlign w:val="center"/>
          </w:tcPr>
          <w:p w14:paraId="1BFEFE96">
            <w:pPr>
              <w:pStyle w:val="28"/>
              <w:bidi w:val="0"/>
            </w:pPr>
            <w:r>
              <w:rPr>
                <w:rFonts w:hint="eastAsia"/>
              </w:rPr>
              <w:t>/</w:t>
            </w:r>
          </w:p>
        </w:tc>
      </w:tr>
      <w:tr w14:paraId="62AE0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56E963CC">
            <w:pPr>
              <w:pStyle w:val="28"/>
              <w:bidi w:val="0"/>
            </w:pPr>
            <w:r>
              <w:t>（</w:t>
            </w:r>
            <w:r>
              <w:rPr>
                <w:lang w:val="zh-CN"/>
              </w:rPr>
              <w:t>一</w:t>
            </w:r>
            <w:r>
              <w:t>）</w:t>
            </w:r>
            <w:r>
              <w:rPr>
                <w:lang w:val="zh-CN"/>
              </w:rPr>
              <w:t>蟾蜍科</w:t>
            </w:r>
            <w:r>
              <w:t xml:space="preserve"> Bufonidae</w:t>
            </w:r>
          </w:p>
        </w:tc>
        <w:tc>
          <w:tcPr>
            <w:tcW w:w="313" w:type="pct"/>
            <w:vAlign w:val="center"/>
          </w:tcPr>
          <w:p w14:paraId="4A0E030E">
            <w:pPr>
              <w:pStyle w:val="28"/>
              <w:bidi w:val="0"/>
            </w:pPr>
          </w:p>
        </w:tc>
        <w:tc>
          <w:tcPr>
            <w:tcW w:w="490" w:type="pct"/>
            <w:vAlign w:val="center"/>
          </w:tcPr>
          <w:p w14:paraId="7AA0B13B">
            <w:pPr>
              <w:pStyle w:val="28"/>
              <w:bidi w:val="0"/>
            </w:pPr>
          </w:p>
        </w:tc>
        <w:tc>
          <w:tcPr>
            <w:tcW w:w="393" w:type="pct"/>
            <w:vAlign w:val="center"/>
          </w:tcPr>
          <w:p w14:paraId="18B8F8C5">
            <w:pPr>
              <w:pStyle w:val="28"/>
              <w:bidi w:val="0"/>
            </w:pPr>
          </w:p>
        </w:tc>
        <w:tc>
          <w:tcPr>
            <w:tcW w:w="371" w:type="pct"/>
            <w:vAlign w:val="center"/>
          </w:tcPr>
          <w:p w14:paraId="43E13802">
            <w:pPr>
              <w:pStyle w:val="28"/>
              <w:bidi w:val="0"/>
            </w:pPr>
          </w:p>
        </w:tc>
        <w:tc>
          <w:tcPr>
            <w:tcW w:w="544" w:type="pct"/>
            <w:vAlign w:val="center"/>
          </w:tcPr>
          <w:p w14:paraId="41F9B057">
            <w:pPr>
              <w:pStyle w:val="28"/>
              <w:bidi w:val="0"/>
            </w:pPr>
          </w:p>
        </w:tc>
        <w:tc>
          <w:tcPr>
            <w:tcW w:w="607" w:type="pct"/>
            <w:vAlign w:val="center"/>
          </w:tcPr>
          <w:p w14:paraId="37483461">
            <w:pPr>
              <w:pStyle w:val="28"/>
              <w:bidi w:val="0"/>
            </w:pPr>
          </w:p>
        </w:tc>
        <w:tc>
          <w:tcPr>
            <w:tcW w:w="1073" w:type="pct"/>
            <w:vAlign w:val="center"/>
          </w:tcPr>
          <w:p w14:paraId="4FD35581">
            <w:pPr>
              <w:pStyle w:val="28"/>
              <w:bidi w:val="0"/>
            </w:pPr>
          </w:p>
        </w:tc>
      </w:tr>
      <w:tr w14:paraId="6D27B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56FA7FB3">
            <w:pPr>
              <w:pStyle w:val="28"/>
              <w:bidi w:val="0"/>
              <w:rPr>
                <w:lang w:val="zh-CN"/>
              </w:rPr>
            </w:pPr>
            <w:r>
              <w:rPr>
                <w:lang w:val="zh-CN"/>
              </w:rPr>
              <w:t>1、中华蟾蜍 Bufo bufogargarizans</w:t>
            </w:r>
          </w:p>
        </w:tc>
        <w:tc>
          <w:tcPr>
            <w:tcW w:w="313" w:type="pct"/>
            <w:vAlign w:val="center"/>
          </w:tcPr>
          <w:p w14:paraId="1FE49F13">
            <w:pPr>
              <w:pStyle w:val="28"/>
              <w:bidi w:val="0"/>
            </w:pPr>
            <w:r>
              <w:t>广</w:t>
            </w:r>
          </w:p>
        </w:tc>
        <w:tc>
          <w:tcPr>
            <w:tcW w:w="490" w:type="pct"/>
            <w:vAlign w:val="center"/>
          </w:tcPr>
          <w:p w14:paraId="0C391039">
            <w:pPr>
              <w:pStyle w:val="28"/>
              <w:bidi w:val="0"/>
              <w:rPr>
                <w:lang w:val="zh-CN"/>
              </w:rPr>
            </w:pPr>
            <w:r>
              <w:t>省Ⅱ</w:t>
            </w:r>
          </w:p>
        </w:tc>
        <w:tc>
          <w:tcPr>
            <w:tcW w:w="393" w:type="pct"/>
            <w:vAlign w:val="center"/>
          </w:tcPr>
          <w:p w14:paraId="4B28BDEF">
            <w:pPr>
              <w:pStyle w:val="28"/>
              <w:bidi w:val="0"/>
              <w:rPr>
                <w:lang w:val="zh-CN"/>
              </w:rPr>
            </w:pPr>
            <w:r>
              <w:t>LC</w:t>
            </w:r>
          </w:p>
        </w:tc>
        <w:tc>
          <w:tcPr>
            <w:tcW w:w="371" w:type="pct"/>
            <w:vAlign w:val="center"/>
          </w:tcPr>
          <w:p w14:paraId="7CE24A97">
            <w:pPr>
              <w:pStyle w:val="28"/>
              <w:bidi w:val="0"/>
              <w:rPr>
                <w:lang w:val="zh-CN"/>
              </w:rPr>
            </w:pPr>
            <w:r>
              <w:t>否</w:t>
            </w:r>
          </w:p>
        </w:tc>
        <w:tc>
          <w:tcPr>
            <w:tcW w:w="544" w:type="pct"/>
            <w:vAlign w:val="center"/>
          </w:tcPr>
          <w:p w14:paraId="3851D7E1">
            <w:pPr>
              <w:pStyle w:val="28"/>
              <w:bidi w:val="0"/>
              <w:rPr>
                <w:lang w:val="zh-CN"/>
              </w:rPr>
            </w:pPr>
            <w:r>
              <w:t>+++</w:t>
            </w:r>
          </w:p>
        </w:tc>
        <w:tc>
          <w:tcPr>
            <w:tcW w:w="607" w:type="pct"/>
            <w:vAlign w:val="center"/>
          </w:tcPr>
          <w:p w14:paraId="52126967">
            <w:pPr>
              <w:pStyle w:val="28"/>
              <w:bidi w:val="0"/>
            </w:pPr>
            <w:r>
              <w:t>√</w:t>
            </w:r>
          </w:p>
        </w:tc>
        <w:tc>
          <w:tcPr>
            <w:tcW w:w="1073" w:type="pct"/>
            <w:vAlign w:val="center"/>
          </w:tcPr>
          <w:p w14:paraId="752C3265">
            <w:pPr>
              <w:pStyle w:val="28"/>
              <w:bidi w:val="0"/>
              <w:rPr>
                <w:lang w:val="zh-CN"/>
              </w:rPr>
            </w:pPr>
            <w:r>
              <w:t>水田、村庄、水塘</w:t>
            </w:r>
          </w:p>
        </w:tc>
      </w:tr>
      <w:tr w14:paraId="1F240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348EE3CE">
            <w:pPr>
              <w:pStyle w:val="28"/>
              <w:bidi w:val="0"/>
            </w:pPr>
            <w:r>
              <w:t>（</w:t>
            </w:r>
            <w:r>
              <w:rPr>
                <w:lang w:val="zh-CN"/>
              </w:rPr>
              <w:t>二</w:t>
            </w:r>
            <w:r>
              <w:t>）</w:t>
            </w:r>
            <w:r>
              <w:rPr>
                <w:lang w:val="zh-CN"/>
              </w:rPr>
              <w:t>蛙科</w:t>
            </w:r>
            <w:r>
              <w:t xml:space="preserve"> Ranidae</w:t>
            </w:r>
          </w:p>
        </w:tc>
        <w:tc>
          <w:tcPr>
            <w:tcW w:w="313" w:type="pct"/>
            <w:vAlign w:val="center"/>
          </w:tcPr>
          <w:p w14:paraId="7AB8C581">
            <w:pPr>
              <w:pStyle w:val="28"/>
              <w:bidi w:val="0"/>
            </w:pPr>
          </w:p>
        </w:tc>
        <w:tc>
          <w:tcPr>
            <w:tcW w:w="490" w:type="pct"/>
            <w:vAlign w:val="center"/>
          </w:tcPr>
          <w:p w14:paraId="6B9CFC0F">
            <w:pPr>
              <w:pStyle w:val="28"/>
              <w:bidi w:val="0"/>
            </w:pPr>
          </w:p>
        </w:tc>
        <w:tc>
          <w:tcPr>
            <w:tcW w:w="393" w:type="pct"/>
            <w:vAlign w:val="center"/>
          </w:tcPr>
          <w:p w14:paraId="66FA5937">
            <w:pPr>
              <w:pStyle w:val="28"/>
              <w:bidi w:val="0"/>
            </w:pPr>
          </w:p>
        </w:tc>
        <w:tc>
          <w:tcPr>
            <w:tcW w:w="371" w:type="pct"/>
            <w:vAlign w:val="center"/>
          </w:tcPr>
          <w:p w14:paraId="1908DE35">
            <w:pPr>
              <w:pStyle w:val="28"/>
              <w:bidi w:val="0"/>
            </w:pPr>
          </w:p>
        </w:tc>
        <w:tc>
          <w:tcPr>
            <w:tcW w:w="544" w:type="pct"/>
            <w:vAlign w:val="center"/>
          </w:tcPr>
          <w:p w14:paraId="60E74778">
            <w:pPr>
              <w:pStyle w:val="28"/>
              <w:bidi w:val="0"/>
            </w:pPr>
          </w:p>
        </w:tc>
        <w:tc>
          <w:tcPr>
            <w:tcW w:w="607" w:type="pct"/>
            <w:vAlign w:val="center"/>
          </w:tcPr>
          <w:p w14:paraId="1E511BBA">
            <w:pPr>
              <w:pStyle w:val="28"/>
              <w:bidi w:val="0"/>
            </w:pPr>
          </w:p>
        </w:tc>
        <w:tc>
          <w:tcPr>
            <w:tcW w:w="1073" w:type="pct"/>
            <w:vAlign w:val="center"/>
          </w:tcPr>
          <w:p w14:paraId="0C49876E">
            <w:pPr>
              <w:pStyle w:val="28"/>
              <w:bidi w:val="0"/>
            </w:pPr>
          </w:p>
        </w:tc>
      </w:tr>
      <w:tr w14:paraId="14D02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556CB255">
            <w:pPr>
              <w:pStyle w:val="28"/>
              <w:bidi w:val="0"/>
            </w:pPr>
            <w:r>
              <w:t>2</w:t>
            </w:r>
            <w:r>
              <w:rPr>
                <w:lang w:val="zh-CN"/>
              </w:rPr>
              <w:t>、</w:t>
            </w:r>
            <w:r>
              <w:t>黑斑蛙 Rana nigromaculata</w:t>
            </w:r>
          </w:p>
        </w:tc>
        <w:tc>
          <w:tcPr>
            <w:tcW w:w="313" w:type="pct"/>
            <w:vAlign w:val="center"/>
          </w:tcPr>
          <w:p w14:paraId="1FBCF934">
            <w:pPr>
              <w:pStyle w:val="28"/>
              <w:bidi w:val="0"/>
            </w:pPr>
            <w:r>
              <w:t>广</w:t>
            </w:r>
          </w:p>
        </w:tc>
        <w:tc>
          <w:tcPr>
            <w:tcW w:w="490" w:type="pct"/>
            <w:vAlign w:val="center"/>
          </w:tcPr>
          <w:p w14:paraId="7D442DA4">
            <w:pPr>
              <w:pStyle w:val="28"/>
              <w:bidi w:val="0"/>
            </w:pPr>
            <w:r>
              <w:t>省Ⅱ</w:t>
            </w:r>
          </w:p>
        </w:tc>
        <w:tc>
          <w:tcPr>
            <w:tcW w:w="393" w:type="pct"/>
            <w:vAlign w:val="center"/>
          </w:tcPr>
          <w:p w14:paraId="0B7A9BC5">
            <w:pPr>
              <w:pStyle w:val="28"/>
              <w:bidi w:val="0"/>
            </w:pPr>
            <w:r>
              <w:t>NT</w:t>
            </w:r>
          </w:p>
        </w:tc>
        <w:tc>
          <w:tcPr>
            <w:tcW w:w="371" w:type="pct"/>
            <w:vAlign w:val="center"/>
          </w:tcPr>
          <w:p w14:paraId="56BB7C56">
            <w:pPr>
              <w:pStyle w:val="28"/>
              <w:bidi w:val="0"/>
            </w:pPr>
            <w:r>
              <w:t>否</w:t>
            </w:r>
          </w:p>
        </w:tc>
        <w:tc>
          <w:tcPr>
            <w:tcW w:w="544" w:type="pct"/>
            <w:vAlign w:val="center"/>
          </w:tcPr>
          <w:p w14:paraId="7426CE3B">
            <w:pPr>
              <w:pStyle w:val="28"/>
              <w:bidi w:val="0"/>
            </w:pPr>
            <w:r>
              <w:t>+</w:t>
            </w:r>
          </w:p>
        </w:tc>
        <w:tc>
          <w:tcPr>
            <w:tcW w:w="607" w:type="pct"/>
            <w:vAlign w:val="center"/>
          </w:tcPr>
          <w:p w14:paraId="76934A93">
            <w:pPr>
              <w:pStyle w:val="28"/>
              <w:bidi w:val="0"/>
            </w:pPr>
          </w:p>
        </w:tc>
        <w:tc>
          <w:tcPr>
            <w:tcW w:w="1073" w:type="pct"/>
            <w:vAlign w:val="center"/>
          </w:tcPr>
          <w:p w14:paraId="19B470F2">
            <w:pPr>
              <w:pStyle w:val="28"/>
              <w:bidi w:val="0"/>
            </w:pPr>
            <w:r>
              <w:t>水田</w:t>
            </w:r>
          </w:p>
        </w:tc>
      </w:tr>
      <w:tr w14:paraId="24819E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05A3C5AF">
            <w:pPr>
              <w:pStyle w:val="28"/>
              <w:bidi w:val="0"/>
              <w:rPr>
                <w:lang w:val="zh-CN"/>
              </w:rPr>
            </w:pPr>
            <w:r>
              <w:rPr>
                <w:lang w:val="zh-CN"/>
              </w:rPr>
              <w:t>3、</w:t>
            </w:r>
            <w:r>
              <w:t xml:space="preserve">泽陆蛙 </w:t>
            </w:r>
            <w:r>
              <w:rPr>
                <w:lang w:val="zh-CN"/>
              </w:rPr>
              <w:t>Rana limnocharis</w:t>
            </w:r>
          </w:p>
        </w:tc>
        <w:tc>
          <w:tcPr>
            <w:tcW w:w="313" w:type="pct"/>
            <w:vAlign w:val="center"/>
          </w:tcPr>
          <w:p w14:paraId="796E7F2E">
            <w:pPr>
              <w:pStyle w:val="28"/>
              <w:bidi w:val="0"/>
              <w:rPr>
                <w:lang w:val="zh-CN"/>
              </w:rPr>
            </w:pPr>
            <w:r>
              <w:t>东</w:t>
            </w:r>
          </w:p>
        </w:tc>
        <w:tc>
          <w:tcPr>
            <w:tcW w:w="490" w:type="pct"/>
            <w:vAlign w:val="center"/>
          </w:tcPr>
          <w:p w14:paraId="31F7A7E7">
            <w:pPr>
              <w:pStyle w:val="28"/>
              <w:bidi w:val="0"/>
              <w:rPr>
                <w:lang w:val="zh-CN"/>
              </w:rPr>
            </w:pPr>
          </w:p>
        </w:tc>
        <w:tc>
          <w:tcPr>
            <w:tcW w:w="393" w:type="pct"/>
            <w:vAlign w:val="center"/>
          </w:tcPr>
          <w:p w14:paraId="12145586">
            <w:pPr>
              <w:pStyle w:val="28"/>
              <w:bidi w:val="0"/>
              <w:rPr>
                <w:lang w:val="zh-CN"/>
              </w:rPr>
            </w:pPr>
            <w:r>
              <w:t>LC</w:t>
            </w:r>
          </w:p>
        </w:tc>
        <w:tc>
          <w:tcPr>
            <w:tcW w:w="371" w:type="pct"/>
            <w:vAlign w:val="center"/>
          </w:tcPr>
          <w:p w14:paraId="2C5C58DF">
            <w:pPr>
              <w:pStyle w:val="28"/>
              <w:bidi w:val="0"/>
              <w:rPr>
                <w:lang w:val="zh-CN"/>
              </w:rPr>
            </w:pPr>
            <w:r>
              <w:t>否</w:t>
            </w:r>
          </w:p>
        </w:tc>
        <w:tc>
          <w:tcPr>
            <w:tcW w:w="544" w:type="pct"/>
            <w:vAlign w:val="center"/>
          </w:tcPr>
          <w:p w14:paraId="487322D3">
            <w:pPr>
              <w:pStyle w:val="28"/>
              <w:bidi w:val="0"/>
              <w:rPr>
                <w:lang w:val="zh-CN"/>
              </w:rPr>
            </w:pPr>
            <w:r>
              <w:t>++</w:t>
            </w:r>
          </w:p>
        </w:tc>
        <w:tc>
          <w:tcPr>
            <w:tcW w:w="607" w:type="pct"/>
            <w:vAlign w:val="center"/>
          </w:tcPr>
          <w:p w14:paraId="514D7262">
            <w:pPr>
              <w:pStyle w:val="28"/>
              <w:bidi w:val="0"/>
            </w:pPr>
          </w:p>
        </w:tc>
        <w:tc>
          <w:tcPr>
            <w:tcW w:w="1073" w:type="pct"/>
            <w:vAlign w:val="center"/>
          </w:tcPr>
          <w:p w14:paraId="6FBF780B">
            <w:pPr>
              <w:pStyle w:val="28"/>
              <w:bidi w:val="0"/>
              <w:rPr>
                <w:lang w:val="zh-CN"/>
              </w:rPr>
            </w:pPr>
            <w:r>
              <w:t>水塘</w:t>
            </w:r>
          </w:p>
        </w:tc>
      </w:tr>
      <w:tr w14:paraId="09657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57BB8302">
            <w:pPr>
              <w:pStyle w:val="28"/>
              <w:bidi w:val="0"/>
            </w:pPr>
            <w:r>
              <w:t>（</w:t>
            </w:r>
            <w:r>
              <w:rPr>
                <w:lang w:val="zh-CN"/>
              </w:rPr>
              <w:t>三</w:t>
            </w:r>
            <w:r>
              <w:t>）</w:t>
            </w:r>
            <w:r>
              <w:rPr>
                <w:lang w:val="zh-CN"/>
              </w:rPr>
              <w:t>姬蛙科</w:t>
            </w:r>
            <w:r>
              <w:t xml:space="preserve"> Microhylidds</w:t>
            </w:r>
          </w:p>
        </w:tc>
        <w:tc>
          <w:tcPr>
            <w:tcW w:w="313" w:type="pct"/>
            <w:vAlign w:val="center"/>
          </w:tcPr>
          <w:p w14:paraId="14A04290">
            <w:pPr>
              <w:pStyle w:val="28"/>
              <w:bidi w:val="0"/>
            </w:pPr>
          </w:p>
        </w:tc>
        <w:tc>
          <w:tcPr>
            <w:tcW w:w="490" w:type="pct"/>
            <w:vAlign w:val="center"/>
          </w:tcPr>
          <w:p w14:paraId="67662A0C">
            <w:pPr>
              <w:pStyle w:val="28"/>
              <w:bidi w:val="0"/>
            </w:pPr>
          </w:p>
        </w:tc>
        <w:tc>
          <w:tcPr>
            <w:tcW w:w="393" w:type="pct"/>
            <w:vAlign w:val="center"/>
          </w:tcPr>
          <w:p w14:paraId="21304881">
            <w:pPr>
              <w:pStyle w:val="28"/>
              <w:bidi w:val="0"/>
            </w:pPr>
          </w:p>
        </w:tc>
        <w:tc>
          <w:tcPr>
            <w:tcW w:w="371" w:type="pct"/>
            <w:vAlign w:val="center"/>
          </w:tcPr>
          <w:p w14:paraId="76DBDBEC">
            <w:pPr>
              <w:pStyle w:val="28"/>
              <w:bidi w:val="0"/>
            </w:pPr>
          </w:p>
        </w:tc>
        <w:tc>
          <w:tcPr>
            <w:tcW w:w="544" w:type="pct"/>
            <w:vAlign w:val="center"/>
          </w:tcPr>
          <w:p w14:paraId="2059B7FE">
            <w:pPr>
              <w:pStyle w:val="28"/>
              <w:bidi w:val="0"/>
            </w:pPr>
          </w:p>
        </w:tc>
        <w:tc>
          <w:tcPr>
            <w:tcW w:w="607" w:type="pct"/>
            <w:vAlign w:val="center"/>
          </w:tcPr>
          <w:p w14:paraId="7AAD48D9">
            <w:pPr>
              <w:pStyle w:val="28"/>
              <w:bidi w:val="0"/>
            </w:pPr>
          </w:p>
        </w:tc>
        <w:tc>
          <w:tcPr>
            <w:tcW w:w="1073" w:type="pct"/>
            <w:vAlign w:val="center"/>
          </w:tcPr>
          <w:p w14:paraId="43689589">
            <w:pPr>
              <w:pStyle w:val="28"/>
              <w:bidi w:val="0"/>
            </w:pPr>
          </w:p>
        </w:tc>
      </w:tr>
      <w:tr w14:paraId="35524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28CBED34">
            <w:pPr>
              <w:pStyle w:val="28"/>
              <w:bidi w:val="0"/>
            </w:pPr>
            <w:r>
              <w:rPr>
                <w:rFonts w:hint="eastAsia"/>
              </w:rPr>
              <w:t>4</w:t>
            </w:r>
            <w:r>
              <w:rPr>
                <w:lang w:val="zh-CN"/>
              </w:rPr>
              <w:t>、饰纹姬蛙Microhyla ornata</w:t>
            </w:r>
          </w:p>
        </w:tc>
        <w:tc>
          <w:tcPr>
            <w:tcW w:w="313" w:type="pct"/>
            <w:vAlign w:val="center"/>
          </w:tcPr>
          <w:p w14:paraId="6D683418">
            <w:pPr>
              <w:pStyle w:val="28"/>
              <w:bidi w:val="0"/>
            </w:pPr>
            <w:r>
              <w:t>广</w:t>
            </w:r>
          </w:p>
        </w:tc>
        <w:tc>
          <w:tcPr>
            <w:tcW w:w="490" w:type="pct"/>
            <w:vAlign w:val="center"/>
          </w:tcPr>
          <w:p w14:paraId="58DFFC80">
            <w:pPr>
              <w:pStyle w:val="28"/>
              <w:bidi w:val="0"/>
            </w:pPr>
          </w:p>
        </w:tc>
        <w:tc>
          <w:tcPr>
            <w:tcW w:w="393" w:type="pct"/>
            <w:vAlign w:val="center"/>
          </w:tcPr>
          <w:p w14:paraId="6E0B5B37">
            <w:pPr>
              <w:pStyle w:val="28"/>
              <w:bidi w:val="0"/>
            </w:pPr>
            <w:r>
              <w:t>LC</w:t>
            </w:r>
          </w:p>
        </w:tc>
        <w:tc>
          <w:tcPr>
            <w:tcW w:w="371" w:type="pct"/>
            <w:vAlign w:val="center"/>
          </w:tcPr>
          <w:p w14:paraId="6155AE3F">
            <w:pPr>
              <w:pStyle w:val="28"/>
              <w:bidi w:val="0"/>
            </w:pPr>
            <w:r>
              <w:t>是</w:t>
            </w:r>
          </w:p>
        </w:tc>
        <w:tc>
          <w:tcPr>
            <w:tcW w:w="544" w:type="pct"/>
            <w:vAlign w:val="center"/>
          </w:tcPr>
          <w:p w14:paraId="2ECA60A6">
            <w:pPr>
              <w:pStyle w:val="28"/>
              <w:bidi w:val="0"/>
            </w:pPr>
            <w:r>
              <w:t>++</w:t>
            </w:r>
          </w:p>
        </w:tc>
        <w:tc>
          <w:tcPr>
            <w:tcW w:w="607" w:type="pct"/>
            <w:vAlign w:val="center"/>
          </w:tcPr>
          <w:p w14:paraId="08085625">
            <w:pPr>
              <w:pStyle w:val="28"/>
              <w:bidi w:val="0"/>
            </w:pPr>
          </w:p>
        </w:tc>
        <w:tc>
          <w:tcPr>
            <w:tcW w:w="1073" w:type="pct"/>
            <w:vAlign w:val="center"/>
          </w:tcPr>
          <w:p w14:paraId="68FDF7C7">
            <w:pPr>
              <w:pStyle w:val="28"/>
              <w:bidi w:val="0"/>
            </w:pPr>
            <w:r>
              <w:t>水塘、水田、草丛</w:t>
            </w:r>
          </w:p>
        </w:tc>
      </w:tr>
      <w:tr w14:paraId="018704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0" w:type="pct"/>
            <w:gridSpan w:val="8"/>
            <w:vAlign w:val="center"/>
          </w:tcPr>
          <w:p w14:paraId="629F9477">
            <w:pPr>
              <w:pStyle w:val="28"/>
              <w:bidi w:val="0"/>
            </w:pPr>
            <w:r>
              <w:t>爬行类</w:t>
            </w:r>
          </w:p>
        </w:tc>
      </w:tr>
      <w:tr w14:paraId="57EE74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725560C2">
            <w:pPr>
              <w:pStyle w:val="28"/>
              <w:bidi w:val="0"/>
              <w:rPr>
                <w:lang w:val="zh-CN"/>
              </w:rPr>
            </w:pPr>
            <w:r>
              <w:rPr>
                <w:rFonts w:hint="eastAsia"/>
              </w:rPr>
              <w:t>一</w:t>
            </w:r>
            <w:r>
              <w:t>、有鳞目</w:t>
            </w:r>
          </w:p>
        </w:tc>
        <w:tc>
          <w:tcPr>
            <w:tcW w:w="3794" w:type="pct"/>
            <w:gridSpan w:val="7"/>
            <w:vAlign w:val="center"/>
          </w:tcPr>
          <w:p w14:paraId="366DC49D">
            <w:pPr>
              <w:pStyle w:val="28"/>
              <w:bidi w:val="0"/>
            </w:pPr>
            <w:r>
              <w:rPr>
                <w:rFonts w:hint="eastAsia"/>
              </w:rPr>
              <w:t>/</w:t>
            </w:r>
          </w:p>
        </w:tc>
      </w:tr>
      <w:tr w14:paraId="6C866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445CE6F4">
            <w:pPr>
              <w:pStyle w:val="28"/>
              <w:bidi w:val="0"/>
            </w:pPr>
            <w:r>
              <w:t>（</w:t>
            </w:r>
            <w:r>
              <w:rPr>
                <w:rFonts w:hint="eastAsia"/>
              </w:rPr>
              <w:t>一</w:t>
            </w:r>
            <w:r>
              <w:t>）</w:t>
            </w:r>
            <w:r>
              <w:rPr>
                <w:lang w:val="zh-CN"/>
              </w:rPr>
              <w:t>游蛇科</w:t>
            </w:r>
            <w:r>
              <w:t xml:space="preserve"> Colubridae</w:t>
            </w:r>
          </w:p>
        </w:tc>
        <w:tc>
          <w:tcPr>
            <w:tcW w:w="313" w:type="pct"/>
            <w:vAlign w:val="center"/>
          </w:tcPr>
          <w:p w14:paraId="708ECE5B">
            <w:pPr>
              <w:pStyle w:val="28"/>
              <w:bidi w:val="0"/>
            </w:pPr>
          </w:p>
        </w:tc>
        <w:tc>
          <w:tcPr>
            <w:tcW w:w="490" w:type="pct"/>
            <w:vAlign w:val="center"/>
          </w:tcPr>
          <w:p w14:paraId="41440F7A">
            <w:pPr>
              <w:pStyle w:val="28"/>
              <w:bidi w:val="0"/>
            </w:pPr>
          </w:p>
        </w:tc>
        <w:tc>
          <w:tcPr>
            <w:tcW w:w="393" w:type="pct"/>
            <w:vAlign w:val="center"/>
          </w:tcPr>
          <w:p w14:paraId="370C903F">
            <w:pPr>
              <w:pStyle w:val="28"/>
              <w:bidi w:val="0"/>
            </w:pPr>
          </w:p>
        </w:tc>
        <w:tc>
          <w:tcPr>
            <w:tcW w:w="371" w:type="pct"/>
            <w:vAlign w:val="center"/>
          </w:tcPr>
          <w:p w14:paraId="7ECC03F7">
            <w:pPr>
              <w:pStyle w:val="28"/>
              <w:bidi w:val="0"/>
            </w:pPr>
          </w:p>
        </w:tc>
        <w:tc>
          <w:tcPr>
            <w:tcW w:w="544" w:type="pct"/>
            <w:vAlign w:val="center"/>
          </w:tcPr>
          <w:p w14:paraId="5C2A6376">
            <w:pPr>
              <w:pStyle w:val="28"/>
              <w:bidi w:val="0"/>
            </w:pPr>
          </w:p>
        </w:tc>
        <w:tc>
          <w:tcPr>
            <w:tcW w:w="607" w:type="pct"/>
            <w:vAlign w:val="center"/>
          </w:tcPr>
          <w:p w14:paraId="640A6155">
            <w:pPr>
              <w:pStyle w:val="28"/>
              <w:bidi w:val="0"/>
            </w:pPr>
          </w:p>
        </w:tc>
        <w:tc>
          <w:tcPr>
            <w:tcW w:w="1073" w:type="pct"/>
            <w:vAlign w:val="center"/>
          </w:tcPr>
          <w:p w14:paraId="06FBB338">
            <w:pPr>
              <w:pStyle w:val="28"/>
              <w:bidi w:val="0"/>
            </w:pPr>
          </w:p>
        </w:tc>
      </w:tr>
      <w:tr w14:paraId="02EA8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224B212A">
            <w:pPr>
              <w:pStyle w:val="28"/>
              <w:bidi w:val="0"/>
            </w:pPr>
            <w:r>
              <w:rPr>
                <w:rFonts w:hint="eastAsia"/>
              </w:rPr>
              <w:t>1</w:t>
            </w:r>
            <w:r>
              <w:rPr>
                <w:lang w:val="zh-CN"/>
              </w:rPr>
              <w:t>、赤链蛇 Dinodon rufozonatum</w:t>
            </w:r>
          </w:p>
        </w:tc>
        <w:tc>
          <w:tcPr>
            <w:tcW w:w="313" w:type="pct"/>
            <w:vAlign w:val="center"/>
          </w:tcPr>
          <w:p w14:paraId="4CB79F5A">
            <w:pPr>
              <w:pStyle w:val="28"/>
              <w:bidi w:val="0"/>
            </w:pPr>
            <w:r>
              <w:t>广</w:t>
            </w:r>
          </w:p>
        </w:tc>
        <w:tc>
          <w:tcPr>
            <w:tcW w:w="490" w:type="pct"/>
            <w:vAlign w:val="center"/>
          </w:tcPr>
          <w:p w14:paraId="4AA5EA2F">
            <w:pPr>
              <w:pStyle w:val="28"/>
              <w:bidi w:val="0"/>
            </w:pPr>
          </w:p>
        </w:tc>
        <w:tc>
          <w:tcPr>
            <w:tcW w:w="393" w:type="pct"/>
            <w:vAlign w:val="center"/>
          </w:tcPr>
          <w:p w14:paraId="7C436779">
            <w:pPr>
              <w:pStyle w:val="28"/>
              <w:bidi w:val="0"/>
            </w:pPr>
            <w:r>
              <w:t>LC</w:t>
            </w:r>
          </w:p>
        </w:tc>
        <w:tc>
          <w:tcPr>
            <w:tcW w:w="371" w:type="pct"/>
            <w:vAlign w:val="center"/>
          </w:tcPr>
          <w:p w14:paraId="4BEF0921">
            <w:pPr>
              <w:pStyle w:val="28"/>
              <w:bidi w:val="0"/>
            </w:pPr>
            <w:r>
              <w:t>否</w:t>
            </w:r>
          </w:p>
        </w:tc>
        <w:tc>
          <w:tcPr>
            <w:tcW w:w="544" w:type="pct"/>
            <w:vAlign w:val="center"/>
          </w:tcPr>
          <w:p w14:paraId="1A881A28">
            <w:pPr>
              <w:pStyle w:val="28"/>
              <w:bidi w:val="0"/>
            </w:pPr>
            <w:r>
              <w:t>+</w:t>
            </w:r>
          </w:p>
        </w:tc>
        <w:tc>
          <w:tcPr>
            <w:tcW w:w="607" w:type="pct"/>
            <w:vAlign w:val="center"/>
          </w:tcPr>
          <w:p w14:paraId="3249DBF8">
            <w:pPr>
              <w:pStyle w:val="28"/>
              <w:bidi w:val="0"/>
            </w:pPr>
          </w:p>
        </w:tc>
        <w:tc>
          <w:tcPr>
            <w:tcW w:w="1073" w:type="pct"/>
            <w:vAlign w:val="center"/>
          </w:tcPr>
          <w:p w14:paraId="5F6FF04A">
            <w:pPr>
              <w:pStyle w:val="28"/>
              <w:bidi w:val="0"/>
            </w:pPr>
            <w:r>
              <w:t>农田、住宅</w:t>
            </w:r>
          </w:p>
        </w:tc>
      </w:tr>
      <w:tr w14:paraId="2FF1E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033A88A1">
            <w:pPr>
              <w:pStyle w:val="28"/>
              <w:bidi w:val="0"/>
              <w:rPr>
                <w:lang w:val="zh-CN"/>
              </w:rPr>
            </w:pPr>
            <w:r>
              <w:rPr>
                <w:rFonts w:hint="eastAsia"/>
              </w:rPr>
              <w:t>2</w:t>
            </w:r>
            <w:r>
              <w:rPr>
                <w:rFonts w:hint="eastAsia"/>
                <w:lang w:val="zh-CN"/>
              </w:rPr>
              <w:t>、</w:t>
            </w:r>
            <w:r>
              <w:t>乌华游蛇</w:t>
            </w:r>
            <w:r>
              <w:rPr>
                <w:lang w:val="zh-CN"/>
              </w:rPr>
              <w:t>Trimerodytes percarinatus</w:t>
            </w:r>
          </w:p>
        </w:tc>
        <w:tc>
          <w:tcPr>
            <w:tcW w:w="313" w:type="pct"/>
            <w:vAlign w:val="center"/>
          </w:tcPr>
          <w:p w14:paraId="524A679E">
            <w:pPr>
              <w:pStyle w:val="28"/>
              <w:bidi w:val="0"/>
            </w:pPr>
            <w:r>
              <w:t>古</w:t>
            </w:r>
          </w:p>
        </w:tc>
        <w:tc>
          <w:tcPr>
            <w:tcW w:w="490" w:type="pct"/>
            <w:vAlign w:val="center"/>
          </w:tcPr>
          <w:p w14:paraId="5455F20E">
            <w:pPr>
              <w:pStyle w:val="28"/>
              <w:bidi w:val="0"/>
            </w:pPr>
          </w:p>
        </w:tc>
        <w:tc>
          <w:tcPr>
            <w:tcW w:w="393" w:type="pct"/>
            <w:vAlign w:val="center"/>
          </w:tcPr>
          <w:p w14:paraId="0799D4C0">
            <w:pPr>
              <w:pStyle w:val="28"/>
              <w:bidi w:val="0"/>
            </w:pPr>
            <w:r>
              <w:rPr>
                <w:rFonts w:hint="eastAsia"/>
              </w:rPr>
              <w:t>L</w:t>
            </w:r>
            <w:r>
              <w:t>C</w:t>
            </w:r>
          </w:p>
        </w:tc>
        <w:tc>
          <w:tcPr>
            <w:tcW w:w="371" w:type="pct"/>
            <w:vAlign w:val="center"/>
          </w:tcPr>
          <w:p w14:paraId="1A2360A7">
            <w:pPr>
              <w:pStyle w:val="28"/>
              <w:bidi w:val="0"/>
            </w:pPr>
            <w:r>
              <w:t>否</w:t>
            </w:r>
          </w:p>
        </w:tc>
        <w:tc>
          <w:tcPr>
            <w:tcW w:w="544" w:type="pct"/>
            <w:vAlign w:val="center"/>
          </w:tcPr>
          <w:p w14:paraId="79FA6705">
            <w:pPr>
              <w:pStyle w:val="28"/>
              <w:bidi w:val="0"/>
            </w:pPr>
            <w:r>
              <w:t>++</w:t>
            </w:r>
          </w:p>
        </w:tc>
        <w:tc>
          <w:tcPr>
            <w:tcW w:w="607" w:type="pct"/>
            <w:vAlign w:val="center"/>
          </w:tcPr>
          <w:p w14:paraId="239E7FA6">
            <w:pPr>
              <w:pStyle w:val="28"/>
              <w:bidi w:val="0"/>
            </w:pPr>
            <w:r>
              <w:t>√</w:t>
            </w:r>
          </w:p>
        </w:tc>
        <w:tc>
          <w:tcPr>
            <w:tcW w:w="1073" w:type="pct"/>
            <w:vAlign w:val="center"/>
          </w:tcPr>
          <w:p w14:paraId="06C4EC3F">
            <w:pPr>
              <w:pStyle w:val="28"/>
              <w:bidi w:val="0"/>
            </w:pPr>
            <w:r>
              <w:t>农田、灌丛、草丛、水域</w:t>
            </w:r>
          </w:p>
        </w:tc>
      </w:tr>
      <w:tr w14:paraId="339FE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3BDDEFA6">
            <w:pPr>
              <w:pStyle w:val="28"/>
              <w:bidi w:val="0"/>
              <w:rPr>
                <w:lang w:val="zh-CN"/>
              </w:rPr>
            </w:pPr>
            <w:r>
              <w:rPr>
                <w:rFonts w:hint="eastAsia"/>
              </w:rPr>
              <w:t>3、</w:t>
            </w:r>
            <w:r>
              <w:t>红纹滞卵蛇</w:t>
            </w:r>
            <w:r>
              <w:rPr>
                <w:lang w:val="zh-CN"/>
              </w:rPr>
              <w:t>Elaphe rufodorsata</w:t>
            </w:r>
          </w:p>
        </w:tc>
        <w:tc>
          <w:tcPr>
            <w:tcW w:w="313" w:type="pct"/>
            <w:vAlign w:val="center"/>
          </w:tcPr>
          <w:p w14:paraId="03E7EC17">
            <w:pPr>
              <w:pStyle w:val="28"/>
              <w:bidi w:val="0"/>
            </w:pPr>
          </w:p>
        </w:tc>
        <w:tc>
          <w:tcPr>
            <w:tcW w:w="490" w:type="pct"/>
            <w:vAlign w:val="center"/>
          </w:tcPr>
          <w:p w14:paraId="1B666B0B">
            <w:pPr>
              <w:pStyle w:val="28"/>
              <w:bidi w:val="0"/>
            </w:pPr>
          </w:p>
        </w:tc>
        <w:tc>
          <w:tcPr>
            <w:tcW w:w="393" w:type="pct"/>
            <w:vAlign w:val="center"/>
          </w:tcPr>
          <w:p w14:paraId="2B9419CC">
            <w:pPr>
              <w:pStyle w:val="28"/>
              <w:bidi w:val="0"/>
            </w:pPr>
          </w:p>
        </w:tc>
        <w:tc>
          <w:tcPr>
            <w:tcW w:w="371" w:type="pct"/>
            <w:vAlign w:val="center"/>
          </w:tcPr>
          <w:p w14:paraId="7BA68CDC">
            <w:pPr>
              <w:pStyle w:val="28"/>
              <w:bidi w:val="0"/>
            </w:pPr>
          </w:p>
        </w:tc>
        <w:tc>
          <w:tcPr>
            <w:tcW w:w="544" w:type="pct"/>
            <w:vAlign w:val="center"/>
          </w:tcPr>
          <w:p w14:paraId="1DDA6071">
            <w:pPr>
              <w:pStyle w:val="28"/>
              <w:bidi w:val="0"/>
            </w:pPr>
          </w:p>
        </w:tc>
        <w:tc>
          <w:tcPr>
            <w:tcW w:w="607" w:type="pct"/>
            <w:vAlign w:val="center"/>
          </w:tcPr>
          <w:p w14:paraId="66E2DFAC">
            <w:pPr>
              <w:pStyle w:val="28"/>
              <w:bidi w:val="0"/>
            </w:pPr>
          </w:p>
        </w:tc>
        <w:tc>
          <w:tcPr>
            <w:tcW w:w="1073" w:type="pct"/>
            <w:vAlign w:val="center"/>
          </w:tcPr>
          <w:p w14:paraId="159F880B">
            <w:pPr>
              <w:pStyle w:val="28"/>
              <w:bidi w:val="0"/>
            </w:pPr>
          </w:p>
        </w:tc>
      </w:tr>
      <w:tr w14:paraId="77F4D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74CCF5F6">
            <w:pPr>
              <w:pStyle w:val="28"/>
              <w:bidi w:val="0"/>
            </w:pPr>
            <w:r>
              <w:rPr>
                <w:lang w:val="zh-CN"/>
              </w:rPr>
              <w:t>（</w:t>
            </w:r>
            <w:r>
              <w:rPr>
                <w:rFonts w:hint="eastAsia"/>
              </w:rPr>
              <w:t>二</w:t>
            </w:r>
            <w:r>
              <w:rPr>
                <w:lang w:val="zh-CN"/>
              </w:rPr>
              <w:t>）蝰科 Viperidae</w:t>
            </w:r>
          </w:p>
        </w:tc>
        <w:tc>
          <w:tcPr>
            <w:tcW w:w="313" w:type="pct"/>
            <w:vAlign w:val="center"/>
          </w:tcPr>
          <w:p w14:paraId="1BBACF09">
            <w:pPr>
              <w:pStyle w:val="28"/>
              <w:bidi w:val="0"/>
            </w:pPr>
          </w:p>
        </w:tc>
        <w:tc>
          <w:tcPr>
            <w:tcW w:w="490" w:type="pct"/>
            <w:vAlign w:val="center"/>
          </w:tcPr>
          <w:p w14:paraId="6F71FFA6">
            <w:pPr>
              <w:pStyle w:val="28"/>
              <w:bidi w:val="0"/>
            </w:pPr>
          </w:p>
        </w:tc>
        <w:tc>
          <w:tcPr>
            <w:tcW w:w="393" w:type="pct"/>
            <w:vAlign w:val="center"/>
          </w:tcPr>
          <w:p w14:paraId="2BA16D79">
            <w:pPr>
              <w:pStyle w:val="28"/>
              <w:bidi w:val="0"/>
            </w:pPr>
          </w:p>
        </w:tc>
        <w:tc>
          <w:tcPr>
            <w:tcW w:w="371" w:type="pct"/>
            <w:vAlign w:val="center"/>
          </w:tcPr>
          <w:p w14:paraId="31AD8F0F">
            <w:pPr>
              <w:pStyle w:val="28"/>
              <w:bidi w:val="0"/>
            </w:pPr>
          </w:p>
        </w:tc>
        <w:tc>
          <w:tcPr>
            <w:tcW w:w="544" w:type="pct"/>
            <w:vAlign w:val="center"/>
          </w:tcPr>
          <w:p w14:paraId="7FCAD842">
            <w:pPr>
              <w:pStyle w:val="28"/>
              <w:bidi w:val="0"/>
            </w:pPr>
          </w:p>
        </w:tc>
        <w:tc>
          <w:tcPr>
            <w:tcW w:w="607" w:type="pct"/>
            <w:vAlign w:val="center"/>
          </w:tcPr>
          <w:p w14:paraId="78D6EEC6">
            <w:pPr>
              <w:pStyle w:val="28"/>
              <w:bidi w:val="0"/>
            </w:pPr>
          </w:p>
        </w:tc>
        <w:tc>
          <w:tcPr>
            <w:tcW w:w="1073" w:type="pct"/>
            <w:vAlign w:val="center"/>
          </w:tcPr>
          <w:p w14:paraId="231814D4">
            <w:pPr>
              <w:pStyle w:val="28"/>
              <w:bidi w:val="0"/>
            </w:pPr>
          </w:p>
        </w:tc>
      </w:tr>
      <w:tr w14:paraId="2247F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737626DE">
            <w:pPr>
              <w:pStyle w:val="28"/>
              <w:bidi w:val="0"/>
            </w:pPr>
            <w:r>
              <w:rPr>
                <w:rFonts w:hint="eastAsia"/>
              </w:rPr>
              <w:t>4</w:t>
            </w:r>
            <w:r>
              <w:rPr>
                <w:lang w:val="zh-CN"/>
              </w:rPr>
              <w:t>、短尾</w:t>
            </w:r>
            <w:r>
              <w:t>蝮Gloydius brevicaudus</w:t>
            </w:r>
          </w:p>
        </w:tc>
        <w:tc>
          <w:tcPr>
            <w:tcW w:w="313" w:type="pct"/>
            <w:vAlign w:val="center"/>
          </w:tcPr>
          <w:p w14:paraId="2581EDB0">
            <w:pPr>
              <w:pStyle w:val="28"/>
              <w:bidi w:val="0"/>
            </w:pPr>
            <w:r>
              <w:t>广</w:t>
            </w:r>
          </w:p>
        </w:tc>
        <w:tc>
          <w:tcPr>
            <w:tcW w:w="490" w:type="pct"/>
            <w:vAlign w:val="center"/>
          </w:tcPr>
          <w:p w14:paraId="07E2924B">
            <w:pPr>
              <w:pStyle w:val="28"/>
              <w:bidi w:val="0"/>
            </w:pPr>
          </w:p>
        </w:tc>
        <w:tc>
          <w:tcPr>
            <w:tcW w:w="393" w:type="pct"/>
            <w:vAlign w:val="center"/>
          </w:tcPr>
          <w:p w14:paraId="48A9949E">
            <w:pPr>
              <w:pStyle w:val="28"/>
              <w:bidi w:val="0"/>
            </w:pPr>
            <w:r>
              <w:t>NT</w:t>
            </w:r>
          </w:p>
        </w:tc>
        <w:tc>
          <w:tcPr>
            <w:tcW w:w="371" w:type="pct"/>
            <w:vAlign w:val="center"/>
          </w:tcPr>
          <w:p w14:paraId="62A4F2DD">
            <w:pPr>
              <w:pStyle w:val="28"/>
              <w:bidi w:val="0"/>
            </w:pPr>
            <w:r>
              <w:t>否</w:t>
            </w:r>
          </w:p>
        </w:tc>
        <w:tc>
          <w:tcPr>
            <w:tcW w:w="544" w:type="pct"/>
            <w:vAlign w:val="center"/>
          </w:tcPr>
          <w:p w14:paraId="193B6963">
            <w:pPr>
              <w:pStyle w:val="28"/>
              <w:bidi w:val="0"/>
            </w:pPr>
            <w:r>
              <w:t>++</w:t>
            </w:r>
          </w:p>
        </w:tc>
        <w:tc>
          <w:tcPr>
            <w:tcW w:w="607" w:type="pct"/>
            <w:vAlign w:val="center"/>
          </w:tcPr>
          <w:p w14:paraId="6C899330">
            <w:pPr>
              <w:pStyle w:val="28"/>
              <w:bidi w:val="0"/>
            </w:pPr>
          </w:p>
        </w:tc>
        <w:tc>
          <w:tcPr>
            <w:tcW w:w="1073" w:type="pct"/>
            <w:vAlign w:val="center"/>
          </w:tcPr>
          <w:p w14:paraId="1B5D40F2">
            <w:pPr>
              <w:pStyle w:val="28"/>
              <w:bidi w:val="0"/>
            </w:pPr>
            <w:r>
              <w:t>沟渠、草丛</w:t>
            </w:r>
          </w:p>
        </w:tc>
      </w:tr>
      <w:tr w14:paraId="7DBF1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4CAE7D1D">
            <w:pPr>
              <w:pStyle w:val="28"/>
              <w:bidi w:val="0"/>
            </w:pPr>
            <w:r>
              <w:rPr>
                <w:rFonts w:hint="eastAsia"/>
              </w:rPr>
              <w:t>（三）蜥蜴科</w:t>
            </w:r>
            <w:r>
              <w:rPr>
                <w:lang w:val="zh-CN"/>
              </w:rPr>
              <w:t>Lacertian</w:t>
            </w:r>
          </w:p>
        </w:tc>
        <w:tc>
          <w:tcPr>
            <w:tcW w:w="313" w:type="pct"/>
            <w:vAlign w:val="center"/>
          </w:tcPr>
          <w:p w14:paraId="0D978DCB">
            <w:pPr>
              <w:pStyle w:val="28"/>
              <w:bidi w:val="0"/>
            </w:pPr>
          </w:p>
        </w:tc>
        <w:tc>
          <w:tcPr>
            <w:tcW w:w="490" w:type="pct"/>
            <w:vAlign w:val="center"/>
          </w:tcPr>
          <w:p w14:paraId="6F197D2B">
            <w:pPr>
              <w:pStyle w:val="28"/>
              <w:bidi w:val="0"/>
            </w:pPr>
          </w:p>
        </w:tc>
        <w:tc>
          <w:tcPr>
            <w:tcW w:w="393" w:type="pct"/>
            <w:vAlign w:val="center"/>
          </w:tcPr>
          <w:p w14:paraId="197663F7">
            <w:pPr>
              <w:pStyle w:val="28"/>
              <w:bidi w:val="0"/>
            </w:pPr>
          </w:p>
        </w:tc>
        <w:tc>
          <w:tcPr>
            <w:tcW w:w="371" w:type="pct"/>
            <w:vAlign w:val="center"/>
          </w:tcPr>
          <w:p w14:paraId="76F9E769">
            <w:pPr>
              <w:pStyle w:val="28"/>
              <w:bidi w:val="0"/>
            </w:pPr>
          </w:p>
        </w:tc>
        <w:tc>
          <w:tcPr>
            <w:tcW w:w="544" w:type="pct"/>
            <w:vAlign w:val="center"/>
          </w:tcPr>
          <w:p w14:paraId="7E4E6689">
            <w:pPr>
              <w:pStyle w:val="28"/>
              <w:bidi w:val="0"/>
            </w:pPr>
          </w:p>
        </w:tc>
        <w:tc>
          <w:tcPr>
            <w:tcW w:w="607" w:type="pct"/>
            <w:vAlign w:val="center"/>
          </w:tcPr>
          <w:p w14:paraId="79D33F3A">
            <w:pPr>
              <w:pStyle w:val="28"/>
              <w:bidi w:val="0"/>
            </w:pPr>
          </w:p>
        </w:tc>
        <w:tc>
          <w:tcPr>
            <w:tcW w:w="1073" w:type="pct"/>
            <w:vAlign w:val="center"/>
          </w:tcPr>
          <w:p w14:paraId="2E9A6536">
            <w:pPr>
              <w:pStyle w:val="28"/>
              <w:bidi w:val="0"/>
            </w:pPr>
          </w:p>
        </w:tc>
      </w:tr>
      <w:tr w14:paraId="52A44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05" w:type="pct"/>
            <w:vAlign w:val="center"/>
          </w:tcPr>
          <w:p w14:paraId="1C4ECF24">
            <w:pPr>
              <w:pStyle w:val="28"/>
              <w:bidi w:val="0"/>
            </w:pPr>
            <w:r>
              <w:rPr>
                <w:rFonts w:hint="eastAsia"/>
              </w:rPr>
              <w:t>5、</w:t>
            </w:r>
            <w:r>
              <w:t>北草蜥</w:t>
            </w:r>
          </w:p>
          <w:p w14:paraId="58192680">
            <w:pPr>
              <w:pStyle w:val="28"/>
              <w:bidi w:val="0"/>
            </w:pPr>
            <w:r>
              <w:t>Takydromus septentrionalis</w:t>
            </w:r>
          </w:p>
        </w:tc>
        <w:tc>
          <w:tcPr>
            <w:tcW w:w="313" w:type="pct"/>
            <w:vAlign w:val="center"/>
          </w:tcPr>
          <w:p w14:paraId="01BB531B">
            <w:pPr>
              <w:pStyle w:val="28"/>
              <w:bidi w:val="0"/>
            </w:pPr>
          </w:p>
        </w:tc>
        <w:tc>
          <w:tcPr>
            <w:tcW w:w="490" w:type="pct"/>
            <w:vAlign w:val="center"/>
          </w:tcPr>
          <w:p w14:paraId="168E13A5">
            <w:pPr>
              <w:pStyle w:val="28"/>
              <w:bidi w:val="0"/>
            </w:pPr>
          </w:p>
        </w:tc>
        <w:tc>
          <w:tcPr>
            <w:tcW w:w="393" w:type="pct"/>
            <w:vAlign w:val="center"/>
          </w:tcPr>
          <w:p w14:paraId="40BEE16E">
            <w:pPr>
              <w:pStyle w:val="28"/>
              <w:bidi w:val="0"/>
            </w:pPr>
          </w:p>
        </w:tc>
        <w:tc>
          <w:tcPr>
            <w:tcW w:w="371" w:type="pct"/>
            <w:vAlign w:val="center"/>
          </w:tcPr>
          <w:p w14:paraId="58114DA1">
            <w:pPr>
              <w:pStyle w:val="28"/>
              <w:bidi w:val="0"/>
            </w:pPr>
          </w:p>
        </w:tc>
        <w:tc>
          <w:tcPr>
            <w:tcW w:w="544" w:type="pct"/>
            <w:vAlign w:val="center"/>
          </w:tcPr>
          <w:p w14:paraId="289E7801">
            <w:pPr>
              <w:pStyle w:val="28"/>
              <w:bidi w:val="0"/>
            </w:pPr>
          </w:p>
        </w:tc>
        <w:tc>
          <w:tcPr>
            <w:tcW w:w="607" w:type="pct"/>
            <w:vAlign w:val="center"/>
          </w:tcPr>
          <w:p w14:paraId="5D8FFC5A">
            <w:pPr>
              <w:pStyle w:val="28"/>
              <w:bidi w:val="0"/>
            </w:pPr>
          </w:p>
        </w:tc>
        <w:tc>
          <w:tcPr>
            <w:tcW w:w="1073" w:type="pct"/>
            <w:vAlign w:val="center"/>
          </w:tcPr>
          <w:p w14:paraId="280458E8">
            <w:pPr>
              <w:pStyle w:val="28"/>
              <w:bidi w:val="0"/>
            </w:pPr>
          </w:p>
        </w:tc>
      </w:tr>
    </w:tbl>
    <w:p w14:paraId="18EDD8D5">
      <w:pPr>
        <w:snapToGrid w:val="0"/>
        <w:spacing w:line="240" w:lineRule="auto"/>
        <w:rPr>
          <w:rFonts w:cs="Times New Roman"/>
          <w:sz w:val="18"/>
          <w:szCs w:val="18"/>
        </w:rPr>
      </w:pPr>
      <w:r>
        <w:rPr>
          <w:rFonts w:cs="Times New Roman"/>
          <w:sz w:val="18"/>
          <w:szCs w:val="18"/>
        </w:rPr>
        <w:t>注1：</w:t>
      </w:r>
      <w:r>
        <w:rPr>
          <w:rFonts w:hint="eastAsia" w:cs="Times New Roman"/>
          <w:sz w:val="18"/>
          <w:szCs w:val="18"/>
        </w:rPr>
        <w:t>“</w:t>
      </w:r>
      <w:r>
        <w:rPr>
          <w:rFonts w:cs="Times New Roman"/>
          <w:sz w:val="18"/>
          <w:szCs w:val="18"/>
        </w:rPr>
        <w:t>省Ⅰ、省Ⅱ</w:t>
      </w:r>
      <w:r>
        <w:rPr>
          <w:rFonts w:hint="eastAsia" w:cs="Times New Roman"/>
          <w:sz w:val="18"/>
          <w:szCs w:val="18"/>
        </w:rPr>
        <w:t>”</w:t>
      </w:r>
      <w:r>
        <w:rPr>
          <w:rFonts w:cs="Times New Roman"/>
          <w:sz w:val="18"/>
          <w:szCs w:val="18"/>
        </w:rPr>
        <w:t>指安徽省地方一、二级重点保护野生动物。</w:t>
      </w:r>
    </w:p>
    <w:p w14:paraId="067813F6">
      <w:pPr>
        <w:snapToGrid w:val="0"/>
        <w:spacing w:line="240" w:lineRule="auto"/>
        <w:rPr>
          <w:rFonts w:cs="Times New Roman"/>
          <w:sz w:val="18"/>
          <w:szCs w:val="18"/>
        </w:rPr>
      </w:pPr>
      <w:r>
        <w:rPr>
          <w:rFonts w:cs="Times New Roman"/>
          <w:sz w:val="18"/>
          <w:szCs w:val="18"/>
        </w:rPr>
        <w:t>注2：濒危等级、特有种根据《中国生物多样性红色名录》确定，</w:t>
      </w:r>
      <w:r>
        <w:rPr>
          <w:rFonts w:hint="eastAsia" w:cs="Times New Roman"/>
          <w:sz w:val="18"/>
          <w:szCs w:val="18"/>
        </w:rPr>
        <w:t>“</w:t>
      </w:r>
      <w:r>
        <w:rPr>
          <w:rFonts w:cs="Times New Roman"/>
          <w:sz w:val="18"/>
          <w:szCs w:val="18"/>
        </w:rPr>
        <w:t>NT、LC、VU、EN</w:t>
      </w:r>
      <w:r>
        <w:rPr>
          <w:rFonts w:hint="eastAsia" w:cs="Times New Roman"/>
          <w:sz w:val="18"/>
          <w:szCs w:val="18"/>
        </w:rPr>
        <w:t>”</w:t>
      </w:r>
      <w:r>
        <w:rPr>
          <w:rFonts w:cs="Times New Roman"/>
          <w:sz w:val="18"/>
          <w:szCs w:val="18"/>
        </w:rPr>
        <w:t>分别代表近危、无危、易危、濒危；</w:t>
      </w:r>
    </w:p>
    <w:p w14:paraId="6B9EB28E">
      <w:pPr>
        <w:snapToGrid w:val="0"/>
        <w:spacing w:line="240" w:lineRule="auto"/>
        <w:rPr>
          <w:rFonts w:cs="Times New Roman"/>
          <w:sz w:val="18"/>
          <w:szCs w:val="18"/>
        </w:rPr>
      </w:pPr>
      <w:r>
        <w:rPr>
          <w:rFonts w:cs="Times New Roman"/>
          <w:sz w:val="18"/>
          <w:szCs w:val="18"/>
        </w:rPr>
        <w:t>注3：</w:t>
      </w:r>
      <w:r>
        <w:rPr>
          <w:rFonts w:hint="eastAsia" w:cs="Times New Roman"/>
          <w:sz w:val="18"/>
          <w:szCs w:val="18"/>
        </w:rPr>
        <w:t>“</w:t>
      </w:r>
      <w:r>
        <w:rPr>
          <w:rFonts w:cs="Times New Roman"/>
          <w:sz w:val="18"/>
          <w:szCs w:val="18"/>
        </w:rPr>
        <w:t>夏、冬、留、旅</w:t>
      </w:r>
      <w:r>
        <w:rPr>
          <w:rFonts w:hint="eastAsia" w:cs="Times New Roman"/>
          <w:sz w:val="18"/>
          <w:szCs w:val="18"/>
        </w:rPr>
        <w:t>”</w:t>
      </w:r>
      <w:r>
        <w:rPr>
          <w:rFonts w:cs="Times New Roman"/>
          <w:sz w:val="18"/>
          <w:szCs w:val="18"/>
        </w:rPr>
        <w:t>分别指夏候鸟、冬候鸟、留鸟、旅鸟；</w:t>
      </w:r>
    </w:p>
    <w:p w14:paraId="4B979492">
      <w:pPr>
        <w:snapToGrid w:val="0"/>
        <w:spacing w:line="240" w:lineRule="auto"/>
        <w:rPr>
          <w:rFonts w:cs="Times New Roman"/>
          <w:sz w:val="18"/>
          <w:szCs w:val="18"/>
        </w:rPr>
      </w:pPr>
      <w:r>
        <w:rPr>
          <w:rFonts w:cs="Times New Roman"/>
          <w:sz w:val="18"/>
          <w:szCs w:val="18"/>
        </w:rPr>
        <w:t>注4：</w:t>
      </w:r>
      <w:r>
        <w:rPr>
          <w:rFonts w:hint="eastAsia" w:cs="Times New Roman"/>
          <w:sz w:val="18"/>
          <w:szCs w:val="18"/>
        </w:rPr>
        <w:t>“</w:t>
      </w:r>
      <w:r>
        <w:rPr>
          <w:rFonts w:cs="Times New Roman"/>
          <w:sz w:val="18"/>
          <w:szCs w:val="18"/>
        </w:rPr>
        <w:t>广、古、东</w:t>
      </w:r>
      <w:r>
        <w:rPr>
          <w:rFonts w:hint="eastAsia" w:cs="Times New Roman"/>
          <w:sz w:val="18"/>
          <w:szCs w:val="18"/>
        </w:rPr>
        <w:t>”</w:t>
      </w:r>
      <w:r>
        <w:rPr>
          <w:rFonts w:cs="Times New Roman"/>
          <w:sz w:val="18"/>
          <w:szCs w:val="18"/>
        </w:rPr>
        <w:t>分别指广布种、古北界、东洋界；</w:t>
      </w:r>
    </w:p>
    <w:p w14:paraId="7D2BC46A">
      <w:pPr>
        <w:snapToGrid w:val="0"/>
        <w:spacing w:line="240" w:lineRule="auto"/>
        <w:rPr>
          <w:rFonts w:cs="Times New Roman"/>
          <w:sz w:val="18"/>
          <w:szCs w:val="18"/>
        </w:rPr>
      </w:pPr>
      <w:r>
        <w:rPr>
          <w:rFonts w:cs="Times New Roman"/>
          <w:sz w:val="18"/>
          <w:szCs w:val="18"/>
        </w:rPr>
        <w:t>注5：</w:t>
      </w:r>
      <w:r>
        <w:rPr>
          <w:rFonts w:hint="eastAsia" w:cs="Times New Roman"/>
          <w:sz w:val="18"/>
          <w:szCs w:val="18"/>
        </w:rPr>
        <w:t>“</w:t>
      </w:r>
      <w:r>
        <w:rPr>
          <w:rFonts w:cs="Times New Roman"/>
          <w:sz w:val="18"/>
          <w:szCs w:val="18"/>
        </w:rPr>
        <w:t>+、++、+++、++++</w:t>
      </w:r>
      <w:r>
        <w:rPr>
          <w:rFonts w:hint="eastAsia" w:cs="Times New Roman"/>
          <w:sz w:val="18"/>
          <w:szCs w:val="18"/>
        </w:rPr>
        <w:t>”</w:t>
      </w:r>
      <w:r>
        <w:rPr>
          <w:rFonts w:cs="Times New Roman"/>
          <w:sz w:val="18"/>
          <w:szCs w:val="18"/>
        </w:rPr>
        <w:t>分别表示实地调查中各类动物群落中的</w:t>
      </w:r>
      <w:r>
        <w:rPr>
          <w:rFonts w:hint="eastAsia" w:cs="Times New Roman"/>
          <w:sz w:val="18"/>
          <w:szCs w:val="18"/>
        </w:rPr>
        <w:t>“</w:t>
      </w:r>
      <w:r>
        <w:rPr>
          <w:rFonts w:cs="Times New Roman"/>
          <w:sz w:val="18"/>
          <w:szCs w:val="18"/>
        </w:rPr>
        <w:t>罕见种、稀有种、常见种、优势种</w:t>
      </w:r>
      <w:r>
        <w:rPr>
          <w:rFonts w:hint="eastAsia" w:cs="Times New Roman"/>
          <w:sz w:val="18"/>
          <w:szCs w:val="18"/>
        </w:rPr>
        <w:t>”</w:t>
      </w:r>
    </w:p>
    <w:p w14:paraId="4E0B3046">
      <w:pPr>
        <w:pStyle w:val="4"/>
        <w:sectPr>
          <w:pgSz w:w="11905" w:h="16838"/>
          <w:pgMar w:top="1417" w:right="1417" w:bottom="1417" w:left="1417" w:header="850" w:footer="850" w:gutter="0"/>
          <w:pgNumType w:fmt="decimal"/>
          <w:cols w:space="0" w:num="1"/>
          <w:rtlGutter w:val="0"/>
          <w:docGrid w:linePitch="326" w:charSpace="0"/>
        </w:sectPr>
      </w:pPr>
    </w:p>
    <w:p w14:paraId="1A282576">
      <w:pPr>
        <w:pStyle w:val="4"/>
        <w:bidi w:val="0"/>
      </w:pPr>
      <w:r>
        <w:t>4.3.4</w:t>
      </w:r>
      <w:r>
        <w:rPr>
          <w:rFonts w:hint="eastAsia"/>
          <w:lang w:val="en-US" w:eastAsia="zh-CN"/>
        </w:rPr>
        <w:t xml:space="preserve"> </w:t>
      </w:r>
      <w:r>
        <w:t>水生生物现状</w:t>
      </w:r>
    </w:p>
    <w:p w14:paraId="1592C55D">
      <w:pPr>
        <w:pStyle w:val="5"/>
        <w:bidi w:val="0"/>
      </w:pPr>
      <w:r>
        <w:t>4.3.4.1</w:t>
      </w:r>
      <w:r>
        <w:rPr>
          <w:rFonts w:hint="eastAsia"/>
          <w:lang w:val="en-US" w:eastAsia="zh-CN"/>
        </w:rPr>
        <w:t xml:space="preserve"> </w:t>
      </w:r>
      <w:r>
        <w:t>调查方法</w:t>
      </w:r>
    </w:p>
    <w:p w14:paraId="263645C7">
      <w:pPr>
        <w:bidi w:val="0"/>
      </w:pPr>
      <w:r>
        <w:t>（1）调查点位布设</w:t>
      </w:r>
    </w:p>
    <w:p w14:paraId="552F68EB">
      <w:pPr>
        <w:bidi w:val="0"/>
      </w:pPr>
      <w:r>
        <w:rPr>
          <w:rFonts w:hint="eastAsia"/>
        </w:rPr>
        <w:t xml:space="preserve">根据《环境影响评价技术导则 </w:t>
      </w:r>
      <w:r>
        <w:rPr>
          <w:rFonts w:hint="eastAsia"/>
          <w:lang w:val="en-US" w:eastAsia="zh-CN"/>
        </w:rPr>
        <w:t xml:space="preserve"> </w:t>
      </w:r>
      <w:r>
        <w:rPr>
          <w:rFonts w:hint="eastAsia"/>
        </w:rPr>
        <w:t>生态影响》（HJ19-2022）要求，项目组于2024年7月对本项目进行了水生生态调查，共设置了8个水生生态调查点位。各调查点位涵盖了评价范围内的干流、支流、河口等不同水域类型，调查点位和时期均满足《环境影响评价技术导则</w:t>
      </w:r>
      <w:r>
        <w:rPr>
          <w:rFonts w:hint="eastAsia"/>
          <w:lang w:val="en-US" w:eastAsia="zh-CN"/>
        </w:rPr>
        <w:t xml:space="preserve"> </w:t>
      </w:r>
      <w:r>
        <w:rPr>
          <w:rFonts w:hint="eastAsia"/>
        </w:rPr>
        <w:t xml:space="preserve"> 生态影响》（HJ19-2022）的相关要求</w:t>
      </w:r>
      <w:r>
        <w:t>。</w:t>
      </w:r>
    </w:p>
    <w:p w14:paraId="7C7BD709">
      <w:pPr>
        <w:bidi w:val="0"/>
      </w:pPr>
      <w:r>
        <w:rPr>
          <w:rFonts w:hint="eastAsia"/>
        </w:rPr>
        <w:t>水生生物调查点位布设情况见表</w:t>
      </w:r>
      <w:r>
        <w:rPr>
          <w:rFonts w:hint="eastAsia"/>
          <w:lang w:eastAsia="zh-CN"/>
        </w:rPr>
        <w:t>4.3</w:t>
      </w:r>
      <w:r>
        <w:t>-7</w:t>
      </w:r>
      <w:r>
        <w:rPr>
          <w:rFonts w:hint="eastAsia"/>
        </w:rPr>
        <w:t>、图</w:t>
      </w:r>
      <w:r>
        <w:rPr>
          <w:rFonts w:hint="eastAsia"/>
          <w:lang w:eastAsia="zh-CN"/>
        </w:rPr>
        <w:t>4.3</w:t>
      </w:r>
      <w:r>
        <w:t>-8</w:t>
      </w:r>
      <w:r>
        <w:rPr>
          <w:rFonts w:hint="eastAsia"/>
        </w:rPr>
        <w:t>。</w:t>
      </w:r>
    </w:p>
    <w:p w14:paraId="7969B66C">
      <w:pPr>
        <w:pStyle w:val="31"/>
        <w:bidi w:val="0"/>
      </w:pPr>
    </w:p>
    <w:p w14:paraId="497FFE55">
      <w:pPr>
        <w:pStyle w:val="30"/>
        <w:bidi w:val="0"/>
      </w:pPr>
      <w:r>
        <w:t>图</w:t>
      </w:r>
      <w:r>
        <w:rPr>
          <w:rFonts w:hint="eastAsia"/>
          <w:lang w:eastAsia="zh-CN"/>
        </w:rPr>
        <w:t>4.3</w:t>
      </w:r>
      <w:r>
        <w:t>-8  水生生态调查点位布设情况</w:t>
      </w:r>
    </w:p>
    <w:p w14:paraId="60FA2B56">
      <w:pPr>
        <w:rPr>
          <w:rFonts w:cs="Times New Roman"/>
          <w:color w:val="0000FF"/>
        </w:rPr>
      </w:pPr>
    </w:p>
    <w:p w14:paraId="03AD9FAF">
      <w:pPr>
        <w:ind w:firstLine="420" w:firstLineChars="175"/>
        <w:rPr>
          <w:rFonts w:cs="Times New Roman"/>
          <w:color w:val="0000FF"/>
        </w:rPr>
        <w:sectPr>
          <w:pgSz w:w="11905" w:h="16838"/>
          <w:pgMar w:top="1417" w:right="1417" w:bottom="1417" w:left="1417" w:header="850" w:footer="850" w:gutter="0"/>
          <w:pgNumType w:fmt="decimal"/>
          <w:cols w:space="0" w:num="1"/>
          <w:rtlGutter w:val="0"/>
          <w:docGrid w:linePitch="326" w:charSpace="0"/>
        </w:sectPr>
      </w:pPr>
    </w:p>
    <w:p w14:paraId="575D5CB2">
      <w:pPr>
        <w:pStyle w:val="29"/>
        <w:bidi w:val="0"/>
      </w:pPr>
      <w:r>
        <w:t>表</w:t>
      </w:r>
      <w:r>
        <w:rPr>
          <w:rFonts w:hint="eastAsia"/>
          <w:lang w:eastAsia="zh-CN"/>
        </w:rPr>
        <w:t>4.3</w:t>
      </w:r>
      <w:r>
        <w:t>-7  水生生态调查点位布设情况</w:t>
      </w:r>
    </w:p>
    <w:tbl>
      <w:tblPr>
        <w:tblStyle w:val="1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57" w:type="dxa"/>
          <w:bottom w:w="0" w:type="dxa"/>
          <w:right w:w="57" w:type="dxa"/>
        </w:tblCellMar>
      </w:tblPr>
      <w:tblGrid>
        <w:gridCol w:w="508"/>
        <w:gridCol w:w="4039"/>
        <w:gridCol w:w="1028"/>
        <w:gridCol w:w="3107"/>
        <w:gridCol w:w="496"/>
      </w:tblGrid>
      <w:tr w14:paraId="05CA2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7" w:type="pct"/>
            <w:tcBorders>
              <w:top w:val="single" w:color="auto" w:sz="4" w:space="0"/>
              <w:left w:val="single" w:color="auto" w:sz="4" w:space="0"/>
              <w:bottom w:val="single" w:color="auto" w:sz="4" w:space="0"/>
              <w:right w:val="single" w:color="auto" w:sz="4" w:space="0"/>
            </w:tcBorders>
            <w:vAlign w:val="center"/>
          </w:tcPr>
          <w:p w14:paraId="773ABBC0">
            <w:pPr>
              <w:pStyle w:val="28"/>
              <w:bidi w:val="0"/>
            </w:pPr>
            <w:r>
              <w:rPr>
                <w:rFonts w:hint="eastAsia"/>
              </w:rPr>
              <w:t>编</w:t>
            </w:r>
            <w:r>
              <w:t>号</w:t>
            </w:r>
          </w:p>
        </w:tc>
        <w:tc>
          <w:tcPr>
            <w:tcW w:w="2200" w:type="pct"/>
            <w:tcBorders>
              <w:top w:val="single" w:color="auto" w:sz="4" w:space="0"/>
              <w:left w:val="single" w:color="auto" w:sz="4" w:space="0"/>
              <w:bottom w:val="single" w:color="auto" w:sz="4" w:space="0"/>
              <w:right w:val="single" w:color="auto" w:sz="4" w:space="0"/>
            </w:tcBorders>
            <w:vAlign w:val="center"/>
          </w:tcPr>
          <w:p w14:paraId="72505EE2">
            <w:pPr>
              <w:pStyle w:val="28"/>
              <w:bidi w:val="0"/>
            </w:pPr>
            <w:r>
              <w:rPr>
                <w:rFonts w:hint="eastAsia"/>
              </w:rPr>
              <w:t>渠道名称</w:t>
            </w:r>
          </w:p>
        </w:tc>
        <w:tc>
          <w:tcPr>
            <w:tcW w:w="560" w:type="pct"/>
            <w:tcBorders>
              <w:top w:val="single" w:color="auto" w:sz="4" w:space="0"/>
              <w:left w:val="single" w:color="auto" w:sz="4" w:space="0"/>
              <w:bottom w:val="single" w:color="auto" w:sz="4" w:space="0"/>
              <w:right w:val="single" w:color="auto" w:sz="4" w:space="0"/>
            </w:tcBorders>
            <w:vAlign w:val="center"/>
          </w:tcPr>
          <w:p w14:paraId="2EBB6B15">
            <w:pPr>
              <w:pStyle w:val="28"/>
              <w:bidi w:val="0"/>
            </w:pPr>
            <w:r>
              <w:rPr>
                <w:rFonts w:hint="eastAsia"/>
              </w:rPr>
              <w:t>水生</w:t>
            </w:r>
            <w:r>
              <w:t>生态影响</w:t>
            </w:r>
            <w:r>
              <w:rPr>
                <w:rFonts w:hint="eastAsia"/>
              </w:rPr>
              <w:t>评价</w:t>
            </w:r>
            <w:r>
              <w:t>等级</w:t>
            </w:r>
          </w:p>
        </w:tc>
        <w:tc>
          <w:tcPr>
            <w:tcW w:w="1692" w:type="pct"/>
            <w:tcBorders>
              <w:top w:val="single" w:color="auto" w:sz="4" w:space="0"/>
              <w:left w:val="single" w:color="auto" w:sz="4" w:space="0"/>
              <w:bottom w:val="single" w:color="auto" w:sz="4" w:space="0"/>
              <w:right w:val="single" w:color="auto" w:sz="4" w:space="0"/>
            </w:tcBorders>
            <w:vAlign w:val="center"/>
          </w:tcPr>
          <w:p w14:paraId="62B4DAA5">
            <w:pPr>
              <w:pStyle w:val="28"/>
              <w:bidi w:val="0"/>
            </w:pPr>
            <w:r>
              <w:t>经纬度</w:t>
            </w:r>
          </w:p>
        </w:tc>
        <w:tc>
          <w:tcPr>
            <w:tcW w:w="270" w:type="pct"/>
            <w:tcBorders>
              <w:top w:val="single" w:color="auto" w:sz="4" w:space="0"/>
              <w:left w:val="single" w:color="auto" w:sz="4" w:space="0"/>
              <w:bottom w:val="single" w:color="auto" w:sz="4" w:space="0"/>
              <w:right w:val="single" w:color="auto" w:sz="4" w:space="0"/>
            </w:tcBorders>
            <w:vAlign w:val="center"/>
          </w:tcPr>
          <w:p w14:paraId="21A0E61A">
            <w:pPr>
              <w:pStyle w:val="28"/>
              <w:bidi w:val="0"/>
            </w:pPr>
            <w:r>
              <w:t>调查期数</w:t>
            </w:r>
          </w:p>
        </w:tc>
      </w:tr>
      <w:tr w14:paraId="591C2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7" w:type="pct"/>
            <w:tcBorders>
              <w:top w:val="single" w:color="auto" w:sz="4" w:space="0"/>
              <w:left w:val="single" w:color="auto" w:sz="4" w:space="0"/>
              <w:bottom w:val="single" w:color="auto" w:sz="4" w:space="0"/>
              <w:right w:val="single" w:color="auto" w:sz="4" w:space="0"/>
            </w:tcBorders>
            <w:vAlign w:val="center"/>
          </w:tcPr>
          <w:p w14:paraId="03018A0A">
            <w:pPr>
              <w:pStyle w:val="28"/>
              <w:bidi w:val="0"/>
            </w:pPr>
            <w:r>
              <w:rPr>
                <w:rFonts w:hint="eastAsia"/>
              </w:rPr>
              <w:t>W</w:t>
            </w:r>
            <w:r>
              <w:t>1</w:t>
            </w:r>
          </w:p>
        </w:tc>
        <w:tc>
          <w:tcPr>
            <w:tcW w:w="2200" w:type="pct"/>
            <w:tcBorders>
              <w:top w:val="single" w:color="auto" w:sz="4" w:space="0"/>
              <w:left w:val="single" w:color="auto" w:sz="4" w:space="0"/>
              <w:bottom w:val="single" w:color="auto" w:sz="4" w:space="0"/>
              <w:right w:val="single" w:color="auto" w:sz="4" w:space="0"/>
            </w:tcBorders>
            <w:vAlign w:val="center"/>
          </w:tcPr>
          <w:p w14:paraId="08D5C86E">
            <w:pPr>
              <w:pStyle w:val="28"/>
              <w:bidi w:val="0"/>
            </w:pPr>
            <w:r>
              <w:rPr>
                <w:rFonts w:hint="eastAsia"/>
              </w:rPr>
              <w:t>朱集一站引水渠上游</w:t>
            </w:r>
          </w:p>
        </w:tc>
        <w:tc>
          <w:tcPr>
            <w:tcW w:w="560" w:type="pct"/>
            <w:tcBorders>
              <w:top w:val="single" w:color="auto" w:sz="4" w:space="0"/>
              <w:left w:val="single" w:color="auto" w:sz="4" w:space="0"/>
              <w:bottom w:val="single" w:color="auto" w:sz="4" w:space="0"/>
              <w:right w:val="single" w:color="auto" w:sz="4" w:space="0"/>
            </w:tcBorders>
            <w:vAlign w:val="center"/>
          </w:tcPr>
          <w:p w14:paraId="2D4C03A4">
            <w:pPr>
              <w:pStyle w:val="28"/>
              <w:bidi w:val="0"/>
            </w:pPr>
            <w:r>
              <w:t>二级</w:t>
            </w:r>
          </w:p>
        </w:tc>
        <w:tc>
          <w:tcPr>
            <w:tcW w:w="1692" w:type="pct"/>
            <w:tcBorders>
              <w:top w:val="single" w:color="auto" w:sz="4" w:space="0"/>
              <w:left w:val="single" w:color="auto" w:sz="4" w:space="0"/>
              <w:bottom w:val="single" w:color="auto" w:sz="4" w:space="0"/>
              <w:right w:val="single" w:color="auto" w:sz="4" w:space="0"/>
            </w:tcBorders>
            <w:vAlign w:val="center"/>
          </w:tcPr>
          <w:p w14:paraId="2D4613C9">
            <w:pPr>
              <w:pStyle w:val="28"/>
              <w:bidi w:val="0"/>
            </w:pPr>
            <w:r>
              <w:rPr>
                <w:rFonts w:hint="eastAsia"/>
                <w:lang w:val="en-US" w:eastAsia="zh-CN"/>
              </w:rPr>
              <w:t>E</w:t>
            </w:r>
            <w:r>
              <w:t>116.92309867</w:t>
            </w:r>
            <w:r>
              <w:rPr>
                <w:rFonts w:hint="eastAsia"/>
                <w:lang w:val="en-US" w:eastAsia="zh-CN"/>
              </w:rPr>
              <w:t>，N</w:t>
            </w:r>
            <w:r>
              <w:t>32.49053628</w:t>
            </w:r>
          </w:p>
        </w:tc>
        <w:tc>
          <w:tcPr>
            <w:tcW w:w="270" w:type="pct"/>
            <w:tcBorders>
              <w:top w:val="single" w:color="auto" w:sz="4" w:space="0"/>
              <w:left w:val="single" w:color="auto" w:sz="4" w:space="0"/>
              <w:bottom w:val="single" w:color="auto" w:sz="4" w:space="0"/>
              <w:right w:val="single" w:color="auto" w:sz="4" w:space="0"/>
            </w:tcBorders>
            <w:vAlign w:val="center"/>
          </w:tcPr>
          <w:p w14:paraId="02F58D1E">
            <w:pPr>
              <w:pStyle w:val="28"/>
              <w:bidi w:val="0"/>
            </w:pPr>
            <w:r>
              <w:rPr>
                <w:rFonts w:hint="eastAsia"/>
              </w:rPr>
              <w:t>1</w:t>
            </w:r>
          </w:p>
        </w:tc>
      </w:tr>
      <w:tr w14:paraId="5FF47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7" w:type="pct"/>
            <w:tcBorders>
              <w:top w:val="single" w:color="auto" w:sz="4" w:space="0"/>
              <w:left w:val="single" w:color="auto" w:sz="4" w:space="0"/>
              <w:bottom w:val="single" w:color="auto" w:sz="4" w:space="0"/>
              <w:right w:val="single" w:color="auto" w:sz="4" w:space="0"/>
            </w:tcBorders>
            <w:vAlign w:val="center"/>
          </w:tcPr>
          <w:p w14:paraId="2E041643">
            <w:pPr>
              <w:pStyle w:val="28"/>
              <w:bidi w:val="0"/>
            </w:pPr>
            <w:r>
              <w:rPr>
                <w:rFonts w:hint="eastAsia"/>
              </w:rPr>
              <w:t>W</w:t>
            </w:r>
            <w:r>
              <w:t>2</w:t>
            </w:r>
          </w:p>
        </w:tc>
        <w:tc>
          <w:tcPr>
            <w:tcW w:w="2200" w:type="pct"/>
            <w:tcBorders>
              <w:top w:val="single" w:color="auto" w:sz="4" w:space="0"/>
              <w:left w:val="single" w:color="auto" w:sz="4" w:space="0"/>
              <w:bottom w:val="single" w:color="auto" w:sz="4" w:space="0"/>
              <w:right w:val="single" w:color="auto" w:sz="4" w:space="0"/>
            </w:tcBorders>
            <w:vAlign w:val="center"/>
          </w:tcPr>
          <w:p w14:paraId="4EE37747">
            <w:pPr>
              <w:pStyle w:val="28"/>
              <w:bidi w:val="0"/>
            </w:pPr>
            <w:r>
              <w:rPr>
                <w:rFonts w:hint="eastAsia"/>
              </w:rPr>
              <w:t>朱集一站引水渠上游</w:t>
            </w:r>
          </w:p>
        </w:tc>
        <w:tc>
          <w:tcPr>
            <w:tcW w:w="560" w:type="pct"/>
            <w:tcBorders>
              <w:top w:val="single" w:color="auto" w:sz="4" w:space="0"/>
              <w:left w:val="single" w:color="auto" w:sz="4" w:space="0"/>
              <w:bottom w:val="single" w:color="auto" w:sz="4" w:space="0"/>
              <w:right w:val="single" w:color="auto" w:sz="4" w:space="0"/>
            </w:tcBorders>
            <w:vAlign w:val="center"/>
          </w:tcPr>
          <w:p w14:paraId="70C708CB">
            <w:pPr>
              <w:pStyle w:val="28"/>
              <w:bidi w:val="0"/>
            </w:pPr>
            <w:r>
              <w:t>二级</w:t>
            </w:r>
          </w:p>
        </w:tc>
        <w:tc>
          <w:tcPr>
            <w:tcW w:w="1692" w:type="pct"/>
            <w:tcBorders>
              <w:top w:val="single" w:color="auto" w:sz="4" w:space="0"/>
              <w:left w:val="single" w:color="auto" w:sz="4" w:space="0"/>
              <w:bottom w:val="single" w:color="auto" w:sz="4" w:space="0"/>
              <w:right w:val="single" w:color="auto" w:sz="4" w:space="0"/>
            </w:tcBorders>
            <w:vAlign w:val="center"/>
          </w:tcPr>
          <w:p w14:paraId="4FBEAEAF">
            <w:pPr>
              <w:pStyle w:val="28"/>
              <w:bidi w:val="0"/>
            </w:pPr>
            <w:r>
              <w:t>E116.477776″，N31.702717″</w:t>
            </w:r>
          </w:p>
        </w:tc>
        <w:tc>
          <w:tcPr>
            <w:tcW w:w="270" w:type="pct"/>
            <w:tcBorders>
              <w:top w:val="single" w:color="auto" w:sz="4" w:space="0"/>
              <w:left w:val="single" w:color="auto" w:sz="4" w:space="0"/>
              <w:bottom w:val="single" w:color="auto" w:sz="4" w:space="0"/>
              <w:right w:val="single" w:color="auto" w:sz="4" w:space="0"/>
            </w:tcBorders>
            <w:vAlign w:val="center"/>
          </w:tcPr>
          <w:p w14:paraId="03846F80">
            <w:pPr>
              <w:pStyle w:val="28"/>
              <w:bidi w:val="0"/>
            </w:pPr>
            <w:r>
              <w:rPr>
                <w:rFonts w:hint="eastAsia"/>
              </w:rPr>
              <w:t>1</w:t>
            </w:r>
          </w:p>
        </w:tc>
      </w:tr>
      <w:tr w14:paraId="767C1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7" w:type="pct"/>
            <w:tcBorders>
              <w:top w:val="single" w:color="auto" w:sz="4" w:space="0"/>
              <w:left w:val="single" w:color="auto" w:sz="4" w:space="0"/>
              <w:bottom w:val="single" w:color="auto" w:sz="4" w:space="0"/>
              <w:right w:val="single" w:color="auto" w:sz="4" w:space="0"/>
            </w:tcBorders>
            <w:vAlign w:val="center"/>
          </w:tcPr>
          <w:p w14:paraId="2A7F1327">
            <w:pPr>
              <w:pStyle w:val="28"/>
              <w:bidi w:val="0"/>
            </w:pPr>
            <w:r>
              <w:rPr>
                <w:rFonts w:hint="eastAsia"/>
              </w:rPr>
              <w:t>W</w:t>
            </w:r>
            <w:r>
              <w:t>3</w:t>
            </w:r>
          </w:p>
        </w:tc>
        <w:tc>
          <w:tcPr>
            <w:tcW w:w="2200" w:type="pct"/>
            <w:tcBorders>
              <w:top w:val="single" w:color="auto" w:sz="4" w:space="0"/>
              <w:left w:val="single" w:color="auto" w:sz="4" w:space="0"/>
              <w:bottom w:val="single" w:color="auto" w:sz="4" w:space="0"/>
              <w:right w:val="single" w:color="auto" w:sz="4" w:space="0"/>
            </w:tcBorders>
            <w:vAlign w:val="center"/>
          </w:tcPr>
          <w:p w14:paraId="1CB0AB88">
            <w:pPr>
              <w:pStyle w:val="28"/>
              <w:bidi w:val="0"/>
            </w:pPr>
            <w:r>
              <w:rPr>
                <w:rFonts w:hint="eastAsia"/>
              </w:rPr>
              <w:t>朱集一站引水渠上游</w:t>
            </w:r>
          </w:p>
        </w:tc>
        <w:tc>
          <w:tcPr>
            <w:tcW w:w="560" w:type="pct"/>
            <w:tcBorders>
              <w:top w:val="single" w:color="auto" w:sz="4" w:space="0"/>
              <w:left w:val="single" w:color="auto" w:sz="4" w:space="0"/>
              <w:bottom w:val="single" w:color="auto" w:sz="4" w:space="0"/>
              <w:right w:val="single" w:color="auto" w:sz="4" w:space="0"/>
            </w:tcBorders>
            <w:vAlign w:val="center"/>
          </w:tcPr>
          <w:p w14:paraId="4CEA8BBD">
            <w:pPr>
              <w:pStyle w:val="28"/>
              <w:bidi w:val="0"/>
            </w:pPr>
            <w:r>
              <w:t>二级</w:t>
            </w:r>
          </w:p>
        </w:tc>
        <w:tc>
          <w:tcPr>
            <w:tcW w:w="1692" w:type="pct"/>
            <w:tcBorders>
              <w:top w:val="single" w:color="auto" w:sz="4" w:space="0"/>
              <w:left w:val="single" w:color="auto" w:sz="4" w:space="0"/>
              <w:bottom w:val="single" w:color="auto" w:sz="4" w:space="0"/>
              <w:right w:val="single" w:color="auto" w:sz="4" w:space="0"/>
            </w:tcBorders>
            <w:vAlign w:val="center"/>
          </w:tcPr>
          <w:p w14:paraId="29AADCCE">
            <w:pPr>
              <w:pStyle w:val="28"/>
              <w:bidi w:val="0"/>
            </w:pPr>
            <w:r>
              <w:t>E116.957460″，N31.878977″</w:t>
            </w:r>
          </w:p>
        </w:tc>
        <w:tc>
          <w:tcPr>
            <w:tcW w:w="270" w:type="pct"/>
            <w:tcBorders>
              <w:top w:val="single" w:color="auto" w:sz="4" w:space="0"/>
              <w:left w:val="single" w:color="auto" w:sz="4" w:space="0"/>
              <w:bottom w:val="single" w:color="auto" w:sz="4" w:space="0"/>
              <w:right w:val="single" w:color="auto" w:sz="4" w:space="0"/>
            </w:tcBorders>
            <w:vAlign w:val="center"/>
          </w:tcPr>
          <w:p w14:paraId="6FFF0AA1">
            <w:pPr>
              <w:pStyle w:val="28"/>
              <w:bidi w:val="0"/>
            </w:pPr>
            <w:r>
              <w:rPr>
                <w:rFonts w:hint="eastAsia"/>
              </w:rPr>
              <w:t>1</w:t>
            </w:r>
          </w:p>
        </w:tc>
      </w:tr>
      <w:tr w14:paraId="06FA7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7" w:type="pct"/>
            <w:tcBorders>
              <w:top w:val="single" w:color="auto" w:sz="4" w:space="0"/>
              <w:left w:val="single" w:color="auto" w:sz="4" w:space="0"/>
              <w:bottom w:val="single" w:color="auto" w:sz="4" w:space="0"/>
              <w:right w:val="single" w:color="auto" w:sz="4" w:space="0"/>
            </w:tcBorders>
            <w:vAlign w:val="center"/>
          </w:tcPr>
          <w:p w14:paraId="3847FFF8">
            <w:pPr>
              <w:pStyle w:val="28"/>
              <w:bidi w:val="0"/>
            </w:pPr>
            <w:r>
              <w:rPr>
                <w:rFonts w:hint="eastAsia"/>
              </w:rPr>
              <w:t>W</w:t>
            </w:r>
            <w:r>
              <w:t>4</w:t>
            </w:r>
          </w:p>
        </w:tc>
        <w:tc>
          <w:tcPr>
            <w:tcW w:w="2200" w:type="pct"/>
            <w:tcBorders>
              <w:top w:val="single" w:color="auto" w:sz="4" w:space="0"/>
              <w:left w:val="single" w:color="auto" w:sz="4" w:space="0"/>
              <w:bottom w:val="single" w:color="auto" w:sz="4" w:space="0"/>
              <w:right w:val="single" w:color="auto" w:sz="4" w:space="0"/>
            </w:tcBorders>
            <w:vAlign w:val="center"/>
          </w:tcPr>
          <w:p w14:paraId="0D09C887">
            <w:pPr>
              <w:pStyle w:val="28"/>
              <w:bidi w:val="0"/>
            </w:pPr>
            <w:r>
              <w:rPr>
                <w:rFonts w:hint="eastAsia"/>
              </w:rPr>
              <w:t>朱集一站引水渠下游</w:t>
            </w:r>
          </w:p>
        </w:tc>
        <w:tc>
          <w:tcPr>
            <w:tcW w:w="560" w:type="pct"/>
            <w:tcBorders>
              <w:top w:val="single" w:color="auto" w:sz="4" w:space="0"/>
              <w:left w:val="single" w:color="auto" w:sz="4" w:space="0"/>
              <w:bottom w:val="single" w:color="auto" w:sz="4" w:space="0"/>
              <w:right w:val="single" w:color="auto" w:sz="4" w:space="0"/>
            </w:tcBorders>
            <w:vAlign w:val="center"/>
          </w:tcPr>
          <w:p w14:paraId="4EF469B4">
            <w:pPr>
              <w:pStyle w:val="28"/>
              <w:bidi w:val="0"/>
            </w:pPr>
            <w:r>
              <w:t>二级</w:t>
            </w:r>
          </w:p>
        </w:tc>
        <w:tc>
          <w:tcPr>
            <w:tcW w:w="1692" w:type="pct"/>
            <w:tcBorders>
              <w:top w:val="single" w:color="auto" w:sz="4" w:space="0"/>
              <w:left w:val="single" w:color="auto" w:sz="4" w:space="0"/>
              <w:bottom w:val="single" w:color="auto" w:sz="4" w:space="0"/>
              <w:right w:val="single" w:color="auto" w:sz="4" w:space="0"/>
            </w:tcBorders>
            <w:vAlign w:val="center"/>
          </w:tcPr>
          <w:p w14:paraId="44F73EC4">
            <w:pPr>
              <w:pStyle w:val="28"/>
              <w:bidi w:val="0"/>
            </w:pPr>
            <w:r>
              <w:t>E116.883117″，N31.719069″</w:t>
            </w:r>
          </w:p>
        </w:tc>
        <w:tc>
          <w:tcPr>
            <w:tcW w:w="270" w:type="pct"/>
            <w:tcBorders>
              <w:top w:val="single" w:color="auto" w:sz="4" w:space="0"/>
              <w:left w:val="single" w:color="auto" w:sz="4" w:space="0"/>
              <w:bottom w:val="single" w:color="auto" w:sz="4" w:space="0"/>
              <w:right w:val="single" w:color="auto" w:sz="4" w:space="0"/>
            </w:tcBorders>
            <w:vAlign w:val="center"/>
          </w:tcPr>
          <w:p w14:paraId="63164797">
            <w:pPr>
              <w:pStyle w:val="28"/>
              <w:bidi w:val="0"/>
            </w:pPr>
            <w:r>
              <w:rPr>
                <w:rFonts w:hint="eastAsia"/>
              </w:rPr>
              <w:t>1</w:t>
            </w:r>
          </w:p>
        </w:tc>
      </w:tr>
      <w:tr w14:paraId="102918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7" w:type="pct"/>
            <w:tcBorders>
              <w:top w:val="single" w:color="auto" w:sz="4" w:space="0"/>
              <w:left w:val="single" w:color="auto" w:sz="4" w:space="0"/>
              <w:bottom w:val="single" w:color="auto" w:sz="4" w:space="0"/>
              <w:right w:val="single" w:color="auto" w:sz="4" w:space="0"/>
            </w:tcBorders>
            <w:vAlign w:val="center"/>
          </w:tcPr>
          <w:p w14:paraId="222E08ED">
            <w:pPr>
              <w:pStyle w:val="28"/>
              <w:bidi w:val="0"/>
            </w:pPr>
            <w:r>
              <w:rPr>
                <w:rFonts w:hint="eastAsia"/>
              </w:rPr>
              <w:t>W</w:t>
            </w:r>
            <w:r>
              <w:t>5</w:t>
            </w:r>
          </w:p>
        </w:tc>
        <w:tc>
          <w:tcPr>
            <w:tcW w:w="2200" w:type="pct"/>
            <w:tcBorders>
              <w:top w:val="single" w:color="auto" w:sz="4" w:space="0"/>
              <w:left w:val="single" w:color="auto" w:sz="4" w:space="0"/>
              <w:bottom w:val="single" w:color="auto" w:sz="4" w:space="0"/>
              <w:right w:val="single" w:color="auto" w:sz="4" w:space="0"/>
            </w:tcBorders>
            <w:vAlign w:val="center"/>
          </w:tcPr>
          <w:p w14:paraId="5624F064">
            <w:pPr>
              <w:pStyle w:val="28"/>
              <w:bidi w:val="0"/>
            </w:pPr>
            <w:r>
              <w:rPr>
                <w:rFonts w:hint="eastAsia"/>
              </w:rPr>
              <w:t>朱集一站引水渠下游</w:t>
            </w:r>
          </w:p>
        </w:tc>
        <w:tc>
          <w:tcPr>
            <w:tcW w:w="560" w:type="pct"/>
            <w:tcBorders>
              <w:top w:val="single" w:color="auto" w:sz="4" w:space="0"/>
              <w:left w:val="single" w:color="auto" w:sz="4" w:space="0"/>
              <w:bottom w:val="single" w:color="auto" w:sz="4" w:space="0"/>
              <w:right w:val="single" w:color="auto" w:sz="4" w:space="0"/>
            </w:tcBorders>
            <w:vAlign w:val="center"/>
          </w:tcPr>
          <w:p w14:paraId="01013990">
            <w:pPr>
              <w:pStyle w:val="28"/>
              <w:bidi w:val="0"/>
            </w:pPr>
            <w:r>
              <w:t>二级</w:t>
            </w:r>
          </w:p>
        </w:tc>
        <w:tc>
          <w:tcPr>
            <w:tcW w:w="1692" w:type="pct"/>
            <w:tcBorders>
              <w:top w:val="single" w:color="auto" w:sz="4" w:space="0"/>
              <w:left w:val="single" w:color="auto" w:sz="4" w:space="0"/>
              <w:bottom w:val="single" w:color="auto" w:sz="4" w:space="0"/>
              <w:right w:val="single" w:color="auto" w:sz="4" w:space="0"/>
            </w:tcBorders>
            <w:vAlign w:val="center"/>
          </w:tcPr>
          <w:p w14:paraId="6216102F">
            <w:pPr>
              <w:pStyle w:val="28"/>
              <w:bidi w:val="0"/>
            </w:pPr>
            <w:r>
              <w:t>E117.0438042″，N31.915236″</w:t>
            </w:r>
          </w:p>
        </w:tc>
        <w:tc>
          <w:tcPr>
            <w:tcW w:w="270" w:type="pct"/>
            <w:tcBorders>
              <w:top w:val="single" w:color="auto" w:sz="4" w:space="0"/>
              <w:left w:val="single" w:color="auto" w:sz="4" w:space="0"/>
              <w:bottom w:val="single" w:color="auto" w:sz="4" w:space="0"/>
              <w:right w:val="single" w:color="auto" w:sz="4" w:space="0"/>
            </w:tcBorders>
            <w:vAlign w:val="center"/>
          </w:tcPr>
          <w:p w14:paraId="5E7022FE">
            <w:pPr>
              <w:pStyle w:val="28"/>
              <w:bidi w:val="0"/>
            </w:pPr>
            <w:r>
              <w:rPr>
                <w:rFonts w:hint="eastAsia"/>
              </w:rPr>
              <w:t>1</w:t>
            </w:r>
          </w:p>
        </w:tc>
      </w:tr>
      <w:tr w14:paraId="2B50A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7" w:type="pct"/>
            <w:tcBorders>
              <w:top w:val="single" w:color="auto" w:sz="4" w:space="0"/>
              <w:left w:val="single" w:color="auto" w:sz="4" w:space="0"/>
              <w:bottom w:val="single" w:color="auto" w:sz="4" w:space="0"/>
              <w:right w:val="single" w:color="auto" w:sz="4" w:space="0"/>
            </w:tcBorders>
            <w:vAlign w:val="center"/>
          </w:tcPr>
          <w:p w14:paraId="2BFCCF52">
            <w:pPr>
              <w:pStyle w:val="28"/>
              <w:bidi w:val="0"/>
            </w:pPr>
            <w:r>
              <w:rPr>
                <w:rFonts w:hint="eastAsia"/>
              </w:rPr>
              <w:t>W</w:t>
            </w:r>
            <w:r>
              <w:t>6</w:t>
            </w:r>
          </w:p>
        </w:tc>
        <w:tc>
          <w:tcPr>
            <w:tcW w:w="2200" w:type="pct"/>
            <w:tcBorders>
              <w:top w:val="single" w:color="auto" w:sz="4" w:space="0"/>
              <w:left w:val="single" w:color="auto" w:sz="4" w:space="0"/>
              <w:bottom w:val="single" w:color="auto" w:sz="4" w:space="0"/>
              <w:right w:val="single" w:color="auto" w:sz="4" w:space="0"/>
            </w:tcBorders>
            <w:vAlign w:val="center"/>
          </w:tcPr>
          <w:p w14:paraId="433A386D">
            <w:pPr>
              <w:pStyle w:val="28"/>
              <w:bidi w:val="0"/>
            </w:pPr>
            <w:r>
              <w:rPr>
                <w:rFonts w:hint="eastAsia"/>
              </w:rPr>
              <w:t>三东干渠新建李岗放水渠节制闸上游</w:t>
            </w:r>
          </w:p>
        </w:tc>
        <w:tc>
          <w:tcPr>
            <w:tcW w:w="560" w:type="pct"/>
            <w:tcBorders>
              <w:top w:val="single" w:color="auto" w:sz="4" w:space="0"/>
              <w:left w:val="single" w:color="auto" w:sz="4" w:space="0"/>
              <w:bottom w:val="single" w:color="auto" w:sz="4" w:space="0"/>
              <w:right w:val="single" w:color="auto" w:sz="4" w:space="0"/>
            </w:tcBorders>
            <w:vAlign w:val="center"/>
          </w:tcPr>
          <w:p w14:paraId="5C0FDC83">
            <w:pPr>
              <w:pStyle w:val="28"/>
              <w:bidi w:val="0"/>
            </w:pPr>
            <w:r>
              <w:t>二级</w:t>
            </w:r>
          </w:p>
        </w:tc>
        <w:tc>
          <w:tcPr>
            <w:tcW w:w="1692" w:type="pct"/>
            <w:tcBorders>
              <w:top w:val="single" w:color="auto" w:sz="4" w:space="0"/>
              <w:left w:val="single" w:color="auto" w:sz="4" w:space="0"/>
              <w:bottom w:val="single" w:color="auto" w:sz="4" w:space="0"/>
              <w:right w:val="single" w:color="auto" w:sz="4" w:space="0"/>
            </w:tcBorders>
            <w:vAlign w:val="center"/>
          </w:tcPr>
          <w:p w14:paraId="4682BCF4">
            <w:pPr>
              <w:pStyle w:val="28"/>
              <w:bidi w:val="0"/>
            </w:pPr>
            <w:r>
              <w:t>E117.147158″，N31.945909″</w:t>
            </w:r>
          </w:p>
        </w:tc>
        <w:tc>
          <w:tcPr>
            <w:tcW w:w="270" w:type="pct"/>
            <w:tcBorders>
              <w:top w:val="single" w:color="auto" w:sz="4" w:space="0"/>
              <w:left w:val="single" w:color="auto" w:sz="4" w:space="0"/>
              <w:bottom w:val="single" w:color="auto" w:sz="4" w:space="0"/>
              <w:right w:val="single" w:color="auto" w:sz="4" w:space="0"/>
            </w:tcBorders>
            <w:vAlign w:val="center"/>
          </w:tcPr>
          <w:p w14:paraId="7D3BF321">
            <w:pPr>
              <w:pStyle w:val="28"/>
              <w:bidi w:val="0"/>
            </w:pPr>
            <w:r>
              <w:rPr>
                <w:rFonts w:hint="eastAsia"/>
              </w:rPr>
              <w:t>1</w:t>
            </w:r>
          </w:p>
        </w:tc>
      </w:tr>
      <w:tr w14:paraId="3AEDB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7" w:type="dxa"/>
            <w:bottom w:w="0" w:type="dxa"/>
            <w:right w:w="57" w:type="dxa"/>
          </w:tblCellMar>
        </w:tblPrEx>
        <w:trPr>
          <w:trHeight w:val="340" w:hRule="atLeast"/>
          <w:jc w:val="center"/>
        </w:trPr>
        <w:tc>
          <w:tcPr>
            <w:tcW w:w="277" w:type="pct"/>
            <w:tcBorders>
              <w:top w:val="single" w:color="auto" w:sz="4" w:space="0"/>
              <w:left w:val="single" w:color="auto" w:sz="4" w:space="0"/>
              <w:bottom w:val="single" w:color="auto" w:sz="4" w:space="0"/>
              <w:right w:val="single" w:color="auto" w:sz="4" w:space="0"/>
            </w:tcBorders>
            <w:vAlign w:val="center"/>
          </w:tcPr>
          <w:p w14:paraId="13CB0FA7">
            <w:pPr>
              <w:pStyle w:val="28"/>
              <w:bidi w:val="0"/>
            </w:pPr>
            <w:r>
              <w:rPr>
                <w:rFonts w:hint="eastAsia"/>
              </w:rPr>
              <w:t>W</w:t>
            </w:r>
            <w:r>
              <w:t>8</w:t>
            </w:r>
          </w:p>
        </w:tc>
        <w:tc>
          <w:tcPr>
            <w:tcW w:w="2200" w:type="pct"/>
            <w:tcBorders>
              <w:top w:val="single" w:color="auto" w:sz="4" w:space="0"/>
              <w:left w:val="single" w:color="auto" w:sz="4" w:space="0"/>
              <w:bottom w:val="single" w:color="auto" w:sz="4" w:space="0"/>
              <w:right w:val="single" w:color="auto" w:sz="4" w:space="0"/>
            </w:tcBorders>
            <w:vAlign w:val="center"/>
          </w:tcPr>
          <w:p w14:paraId="625CBCAA">
            <w:pPr>
              <w:pStyle w:val="28"/>
              <w:bidi w:val="0"/>
            </w:pPr>
            <w:r>
              <w:rPr>
                <w:rFonts w:hint="eastAsia"/>
              </w:rPr>
              <w:t>三东干渠新建李岗放水渠节制闸下游</w:t>
            </w:r>
          </w:p>
        </w:tc>
        <w:tc>
          <w:tcPr>
            <w:tcW w:w="560" w:type="pct"/>
            <w:tcBorders>
              <w:top w:val="single" w:color="auto" w:sz="4" w:space="0"/>
              <w:left w:val="single" w:color="auto" w:sz="4" w:space="0"/>
              <w:bottom w:val="single" w:color="auto" w:sz="4" w:space="0"/>
              <w:right w:val="single" w:color="auto" w:sz="4" w:space="0"/>
            </w:tcBorders>
            <w:vAlign w:val="center"/>
          </w:tcPr>
          <w:p w14:paraId="00E27CE3">
            <w:pPr>
              <w:pStyle w:val="28"/>
              <w:bidi w:val="0"/>
            </w:pPr>
            <w:r>
              <w:t>二级</w:t>
            </w:r>
          </w:p>
        </w:tc>
        <w:tc>
          <w:tcPr>
            <w:tcW w:w="1692" w:type="pct"/>
            <w:tcBorders>
              <w:top w:val="single" w:color="auto" w:sz="4" w:space="0"/>
              <w:left w:val="single" w:color="auto" w:sz="4" w:space="0"/>
              <w:bottom w:val="single" w:color="auto" w:sz="4" w:space="0"/>
              <w:right w:val="single" w:color="auto" w:sz="4" w:space="0"/>
            </w:tcBorders>
            <w:vAlign w:val="center"/>
          </w:tcPr>
          <w:p w14:paraId="4BDF5FCD">
            <w:pPr>
              <w:pStyle w:val="28"/>
              <w:bidi w:val="0"/>
            </w:pPr>
            <w:r>
              <w:t>E116.667545″，N32.418953″</w:t>
            </w:r>
          </w:p>
        </w:tc>
        <w:tc>
          <w:tcPr>
            <w:tcW w:w="270" w:type="pct"/>
            <w:tcBorders>
              <w:top w:val="single" w:color="auto" w:sz="4" w:space="0"/>
              <w:left w:val="single" w:color="auto" w:sz="4" w:space="0"/>
              <w:bottom w:val="single" w:color="auto" w:sz="4" w:space="0"/>
              <w:right w:val="single" w:color="auto" w:sz="4" w:space="0"/>
            </w:tcBorders>
            <w:vAlign w:val="center"/>
          </w:tcPr>
          <w:p w14:paraId="163D4036">
            <w:pPr>
              <w:pStyle w:val="28"/>
              <w:bidi w:val="0"/>
            </w:pPr>
            <w:r>
              <w:rPr>
                <w:rFonts w:hint="eastAsia"/>
              </w:rPr>
              <w:t>1</w:t>
            </w:r>
          </w:p>
        </w:tc>
      </w:tr>
    </w:tbl>
    <w:p w14:paraId="6843BB0D">
      <w:pPr>
        <w:spacing w:line="240" w:lineRule="auto"/>
        <w:ind w:firstLine="480"/>
        <w:rPr>
          <w:color w:val="0000FF"/>
        </w:rPr>
      </w:pPr>
    </w:p>
    <w:p w14:paraId="7D921C77">
      <w:pPr>
        <w:snapToGrid w:val="0"/>
        <w:ind w:firstLine="480"/>
        <w:rPr>
          <w:rFonts w:cs="Times New Roman"/>
        </w:rPr>
      </w:pPr>
      <w:r>
        <w:rPr>
          <w:rFonts w:cs="Times New Roman"/>
        </w:rPr>
        <w:t>（2）水生维管植物</w:t>
      </w:r>
    </w:p>
    <w:p w14:paraId="2B1E848F">
      <w:pPr>
        <w:snapToGrid w:val="0"/>
        <w:ind w:firstLine="480"/>
        <w:rPr>
          <w:rFonts w:cs="Times New Roman"/>
        </w:rPr>
      </w:pPr>
      <w:r>
        <w:rPr>
          <w:rFonts w:cs="Times New Roman"/>
        </w:rPr>
        <w:t>调查方法：水生维管植物的调查在各点位布设样方开展，并结合踏查法。</w:t>
      </w:r>
    </w:p>
    <w:p w14:paraId="1EE72584">
      <w:pPr>
        <w:snapToGrid w:val="0"/>
        <w:ind w:firstLine="480"/>
        <w:rPr>
          <w:rFonts w:cs="Times New Roman"/>
        </w:rPr>
      </w:pPr>
      <w:r>
        <w:rPr>
          <w:rFonts w:cs="Times New Roman"/>
        </w:rPr>
        <w:t>分类：根据生活型的不同，水生维管植物分为挺水植物、浮水植物和沉水植物。</w:t>
      </w:r>
    </w:p>
    <w:p w14:paraId="5CEFD4F4">
      <w:pPr>
        <w:snapToGrid w:val="0"/>
        <w:ind w:firstLine="480"/>
        <w:rPr>
          <w:rFonts w:cs="Times New Roman"/>
        </w:rPr>
      </w:pPr>
      <w:r>
        <w:rPr>
          <w:rFonts w:cs="Times New Roman"/>
        </w:rPr>
        <w:t>调查指标：不同类型的水生维管植物的种类组成、群落特征、分布情况等。</w:t>
      </w:r>
    </w:p>
    <w:p w14:paraId="128A83E9">
      <w:pPr>
        <w:snapToGrid w:val="0"/>
        <w:ind w:firstLine="480"/>
        <w:rPr>
          <w:rFonts w:cs="Times New Roman"/>
        </w:rPr>
      </w:pPr>
      <w:r>
        <w:rPr>
          <w:rFonts w:cs="Times New Roman"/>
        </w:rPr>
        <w:t>主要参考资料：主要参考《中国水生植物》（陈耀东等著）、《水生植物图鉴》（赵家等著）、《安徽湿地维管植物多样性及植被分类系统》等。</w:t>
      </w:r>
    </w:p>
    <w:p w14:paraId="2CA95808">
      <w:pPr>
        <w:snapToGrid w:val="0"/>
        <w:ind w:firstLine="480"/>
        <w:rPr>
          <w:rFonts w:cs="Times New Roman"/>
        </w:rPr>
      </w:pPr>
      <w:r>
        <w:rPr>
          <w:rFonts w:cs="Times New Roman"/>
        </w:rPr>
        <w:t>（3）鱼类</w:t>
      </w:r>
    </w:p>
    <w:p w14:paraId="2902D15B">
      <w:pPr>
        <w:snapToGrid w:val="0"/>
        <w:ind w:firstLine="480"/>
        <w:rPr>
          <w:rFonts w:cs="Times New Roman"/>
        </w:rPr>
      </w:pPr>
      <w:r>
        <w:rPr>
          <w:rFonts w:hint="eastAsia" w:ascii="宋体" w:hAnsi="宋体"/>
        </w:rPr>
        <w:t>①</w:t>
      </w:r>
      <w:r>
        <w:rPr>
          <w:rFonts w:cs="Times New Roman"/>
        </w:rPr>
        <w:t>调查方法</w:t>
      </w:r>
    </w:p>
    <w:p w14:paraId="30033BC2">
      <w:pPr>
        <w:snapToGrid w:val="0"/>
        <w:ind w:firstLine="480"/>
        <w:rPr>
          <w:rFonts w:cs="Times New Roman"/>
        </w:rPr>
      </w:pPr>
      <w:r>
        <w:rPr>
          <w:rFonts w:cs="Times New Roman"/>
          <w:lang w:val="en-GB"/>
        </w:rPr>
        <w:t>渔获物统计：在</w:t>
      </w:r>
      <w:r>
        <w:rPr>
          <w:rFonts w:cs="Times New Roman"/>
        </w:rPr>
        <w:t>各点位</w:t>
      </w:r>
      <w:r>
        <w:rPr>
          <w:rFonts w:cs="Times New Roman"/>
          <w:lang w:val="en-GB"/>
        </w:rPr>
        <w:t>以抄网、撒网、地笼等采样方法收集鱼类样本，</w:t>
      </w:r>
      <w:r>
        <w:rPr>
          <w:rFonts w:cs="Times New Roman"/>
        </w:rPr>
        <w:t>调查方法参照</w:t>
      </w:r>
      <w:r>
        <w:rPr>
          <w:rFonts w:cs="Times New Roman"/>
          <w:bCs/>
        </w:rPr>
        <w:t>《生物多样性观测技术导则 内陆水域鱼类》（HJ 710.7-2014）</w:t>
      </w:r>
      <w:r>
        <w:rPr>
          <w:rFonts w:cs="Times New Roman"/>
        </w:rPr>
        <w:t>开展</w:t>
      </w:r>
      <w:r>
        <w:rPr>
          <w:rFonts w:cs="Times New Roman"/>
          <w:lang w:val="en-GB"/>
        </w:rPr>
        <w:t>。</w:t>
      </w:r>
    </w:p>
    <w:p w14:paraId="278A3CC9">
      <w:pPr>
        <w:snapToGrid w:val="0"/>
        <w:ind w:firstLine="480"/>
        <w:rPr>
          <w:rFonts w:cs="Times New Roman"/>
          <w:lang w:val="en-GB"/>
        </w:rPr>
      </w:pPr>
      <w:r>
        <w:rPr>
          <w:rFonts w:cs="Times New Roman"/>
          <w:lang w:val="en-GB"/>
        </w:rPr>
        <w:t>走访并调查：对水产相关专家、</w:t>
      </w:r>
      <w:r>
        <w:rPr>
          <w:rFonts w:cs="Times New Roman"/>
        </w:rPr>
        <w:t>养殖户</w:t>
      </w:r>
      <w:r>
        <w:rPr>
          <w:rFonts w:cs="Times New Roman"/>
          <w:lang w:val="en-GB"/>
        </w:rPr>
        <w:t>进行访谈</w:t>
      </w:r>
      <w:r>
        <w:rPr>
          <w:rFonts w:cs="Times New Roman"/>
        </w:rPr>
        <w:t>并</w:t>
      </w:r>
      <w:r>
        <w:rPr>
          <w:rFonts w:cs="Times New Roman"/>
          <w:lang w:val="en-GB"/>
        </w:rPr>
        <w:t>在渔民、</w:t>
      </w:r>
      <w:r>
        <w:rPr>
          <w:rFonts w:cs="Times New Roman"/>
        </w:rPr>
        <w:t>菜</w:t>
      </w:r>
      <w:r>
        <w:rPr>
          <w:rFonts w:cs="Times New Roman"/>
          <w:lang w:val="en-GB"/>
        </w:rPr>
        <w:t>市场、餐馆等有当地鱼类交易或消费的地方，或开展休闲垂钓的地方，获取</w:t>
      </w:r>
      <w:r>
        <w:rPr>
          <w:rFonts w:cs="Times New Roman"/>
        </w:rPr>
        <w:t>本地</w:t>
      </w:r>
      <w:r>
        <w:rPr>
          <w:rFonts w:cs="Times New Roman"/>
          <w:lang w:val="en-GB"/>
        </w:rPr>
        <w:t>鱼类信息。</w:t>
      </w:r>
    </w:p>
    <w:p w14:paraId="2176BF32">
      <w:pPr>
        <w:snapToGrid w:val="0"/>
        <w:ind w:firstLine="480"/>
        <w:rPr>
          <w:rFonts w:cs="Times New Roman"/>
          <w:color w:val="0000FF"/>
        </w:rPr>
      </w:pPr>
      <w:r>
        <w:rPr>
          <w:rFonts w:hint="eastAsia" w:cs="Times New Roman"/>
          <w:lang w:val="en-GB"/>
        </w:rPr>
        <w:t>查阅资料：查阅本区域鱼类相关资料包括发表的和未发表的文献，以对调查区域的鱼类进行全面掌握，主要有《中国淡水鱼类的分布区划》（李思忠著）、《安徽鱼类系统检索》（姚闻卿著）、</w:t>
      </w:r>
      <w:r>
        <w:rPr>
          <w:rFonts w:hint="eastAsia" w:cs="Times New Roman"/>
          <w:color w:val="0000FF"/>
          <w:lang w:val="en-GB"/>
        </w:rPr>
        <w:t>《总体规划（2021-2030年）》、《河南鱼类志》（新乡师范学院主编）、《基于鱼类群的淠河河源溪流健康诊断》、《淠河水域淡水鱼类资源调查与分析》、《合肥市湿地资源调查报告》等</w:t>
      </w:r>
      <w:r>
        <w:rPr>
          <w:rFonts w:cs="Times New Roman"/>
          <w:color w:val="0000FF"/>
        </w:rPr>
        <w:t>。</w:t>
      </w:r>
    </w:p>
    <w:p w14:paraId="7C3AB061">
      <w:pPr>
        <w:snapToGrid w:val="0"/>
        <w:ind w:firstLine="480"/>
        <w:rPr>
          <w:rFonts w:cs="Times New Roman"/>
        </w:rPr>
      </w:pPr>
      <w:r>
        <w:rPr>
          <w:rFonts w:hint="eastAsia" w:cs="Times New Roman"/>
        </w:rPr>
        <w:t>②调查内容与指标</w:t>
      </w:r>
    </w:p>
    <w:p w14:paraId="6A2F9EF1">
      <w:pPr>
        <w:snapToGrid w:val="0"/>
        <w:ind w:firstLine="480"/>
        <w:rPr>
          <w:rFonts w:cs="Times New Roman"/>
        </w:rPr>
      </w:pPr>
      <w:r>
        <w:rPr>
          <w:rFonts w:hint="eastAsia" w:cs="Times New Roman"/>
        </w:rPr>
        <w:t>调查鱼类在各点位及评价区的以下几类指标：</w:t>
      </w:r>
    </w:p>
    <w:p w14:paraId="0047ED00">
      <w:pPr>
        <w:snapToGrid w:val="0"/>
        <w:ind w:firstLine="480"/>
        <w:rPr>
          <w:rFonts w:cs="Times New Roman"/>
        </w:rPr>
      </w:pPr>
      <w:r>
        <w:rPr>
          <w:rFonts w:ascii="Segoe UI Symbol" w:hAnsi="Segoe UI Symbol" w:cs="Segoe UI Symbol"/>
        </w:rPr>
        <w:t>★</w:t>
      </w:r>
      <w:r>
        <w:rPr>
          <w:rFonts w:hint="eastAsia" w:cs="Times New Roman"/>
        </w:rPr>
        <w:t>鱼类的种类组成和分布；</w:t>
      </w:r>
    </w:p>
    <w:p w14:paraId="515C3606">
      <w:pPr>
        <w:snapToGrid w:val="0"/>
        <w:ind w:firstLine="480"/>
        <w:rPr>
          <w:rFonts w:cs="Times New Roman"/>
        </w:rPr>
      </w:pPr>
      <w:r>
        <w:rPr>
          <w:rFonts w:ascii="Segoe UI Symbol" w:hAnsi="Segoe UI Symbol" w:cs="Segoe UI Symbol"/>
        </w:rPr>
        <w:t>★</w:t>
      </w:r>
      <w:r>
        <w:rPr>
          <w:rFonts w:hint="eastAsia" w:cs="Times New Roman"/>
        </w:rPr>
        <w:t>群落组成与特征，包括鱼类区系组成、摄食类型组成、产卵类型组成、洄游类型组成、生态类型组成等；</w:t>
      </w:r>
    </w:p>
    <w:p w14:paraId="1CA6FFA8">
      <w:pPr>
        <w:snapToGrid w:val="0"/>
        <w:ind w:firstLine="480"/>
        <w:rPr>
          <w:rFonts w:cs="Times New Roman"/>
        </w:rPr>
      </w:pPr>
      <w:r>
        <w:rPr>
          <w:rFonts w:ascii="Segoe UI Symbol" w:hAnsi="Segoe UI Symbol" w:cs="Segoe UI Symbol"/>
        </w:rPr>
        <w:t>★</w:t>
      </w:r>
      <w:r>
        <w:rPr>
          <w:rFonts w:hint="eastAsia" w:cs="Times New Roman"/>
        </w:rPr>
        <w:t>不同鱼类的资源量、密度、相对重要性指数；</w:t>
      </w:r>
    </w:p>
    <w:p w14:paraId="33307C24">
      <w:pPr>
        <w:snapToGrid w:val="0"/>
        <w:ind w:firstLine="480"/>
        <w:rPr>
          <w:rFonts w:cs="Times New Roman"/>
        </w:rPr>
      </w:pPr>
      <w:r>
        <w:rPr>
          <w:rFonts w:ascii="Segoe UI Symbol" w:hAnsi="Segoe UI Symbol" w:cs="Segoe UI Symbol"/>
        </w:rPr>
        <w:t>★</w:t>
      </w:r>
      <w:r>
        <w:rPr>
          <w:rFonts w:hint="eastAsia" w:cs="Times New Roman"/>
        </w:rPr>
        <w:t>鱼类生物多样性状况；</w:t>
      </w:r>
    </w:p>
    <w:p w14:paraId="72A84D7B">
      <w:pPr>
        <w:snapToGrid w:val="0"/>
        <w:ind w:firstLine="480"/>
        <w:rPr>
          <w:rFonts w:cs="Times New Roman"/>
        </w:rPr>
      </w:pPr>
      <w:r>
        <w:rPr>
          <w:rFonts w:ascii="Segoe UI Symbol" w:hAnsi="Segoe UI Symbol" w:cs="Segoe UI Symbol"/>
        </w:rPr>
        <w:t>★</w:t>
      </w:r>
      <w:r>
        <w:rPr>
          <w:rFonts w:hint="eastAsia" w:cs="Times New Roman"/>
        </w:rPr>
        <w:t>评价区鱼类洄游通道分布情况；</w:t>
      </w:r>
    </w:p>
    <w:p w14:paraId="5FE67637">
      <w:pPr>
        <w:snapToGrid w:val="0"/>
        <w:ind w:firstLine="480"/>
        <w:rPr>
          <w:rFonts w:cs="Times New Roman"/>
        </w:rPr>
      </w:pPr>
      <w:r>
        <w:rPr>
          <w:rFonts w:ascii="Segoe UI Symbol" w:hAnsi="Segoe UI Symbol" w:cs="Segoe UI Symbol"/>
        </w:rPr>
        <w:t>★</w:t>
      </w:r>
      <w:r>
        <w:rPr>
          <w:rFonts w:hint="eastAsia" w:cs="Times New Roman"/>
        </w:rPr>
        <w:t>鱼类栖息地特征。</w:t>
      </w:r>
    </w:p>
    <w:p w14:paraId="477A0AC5">
      <w:pPr>
        <w:snapToGrid w:val="0"/>
        <w:ind w:firstLine="480"/>
        <w:rPr>
          <w:rFonts w:cs="Times New Roman"/>
        </w:rPr>
      </w:pPr>
      <w:r>
        <w:rPr>
          <w:rFonts w:hint="eastAsia" w:cs="Times New Roman"/>
        </w:rPr>
        <w:t>③数据分析</w:t>
      </w:r>
    </w:p>
    <w:p w14:paraId="0CC709F1">
      <w:pPr>
        <w:adjustRightInd w:val="0"/>
        <w:snapToGrid w:val="0"/>
        <w:ind w:firstLine="480"/>
        <w:rPr>
          <w:rFonts w:cs="Times New Roman"/>
        </w:rPr>
      </w:pPr>
      <w:r>
        <w:rPr>
          <w:rFonts w:ascii="Segoe UI Symbol" w:hAnsi="Segoe UI Symbol" w:cs="Segoe UI Symbol"/>
        </w:rPr>
        <w:t>★</w:t>
      </w:r>
      <w:r>
        <w:rPr>
          <w:rFonts w:cs="Times New Roman"/>
        </w:rPr>
        <w:t>多样性指数</w:t>
      </w:r>
    </w:p>
    <w:p w14:paraId="2340F481">
      <w:pPr>
        <w:adjustRightInd w:val="0"/>
        <w:snapToGrid w:val="0"/>
        <w:ind w:firstLine="480"/>
        <w:rPr>
          <w:rFonts w:cs="Times New Roman"/>
        </w:rPr>
      </w:pPr>
      <w:r>
        <w:rPr>
          <w:rFonts w:cs="Times New Roman"/>
        </w:rPr>
        <w:t>计算</w:t>
      </w:r>
      <w:r>
        <w:rPr>
          <w:rFonts w:hint="eastAsia" w:cs="Times New Roman"/>
        </w:rPr>
        <w:t>评价区</w:t>
      </w:r>
      <w:r>
        <w:rPr>
          <w:rFonts w:cs="Times New Roman"/>
        </w:rPr>
        <w:t>及各</w:t>
      </w:r>
      <w:r>
        <w:rPr>
          <w:rFonts w:hint="eastAsia" w:cs="Times New Roman"/>
        </w:rPr>
        <w:t>点位</w:t>
      </w:r>
      <w:r>
        <w:rPr>
          <w:rFonts w:cs="Times New Roman"/>
        </w:rPr>
        <w:t>的鱼类香农-维纳</w:t>
      </w:r>
      <w:r>
        <w:rPr>
          <w:rFonts w:hint="eastAsia" w:cs="Times New Roman"/>
        </w:rPr>
        <w:t>生物</w:t>
      </w:r>
      <w:r>
        <w:rPr>
          <w:rFonts w:cs="Times New Roman"/>
        </w:rPr>
        <w:t>多样性指数值</w:t>
      </w:r>
      <w:r>
        <w:rPr>
          <w:rFonts w:hint="eastAsia" w:cs="Times New Roman"/>
        </w:rPr>
        <w:t>，计算公式参照4.1.1节。</w:t>
      </w:r>
      <w:r>
        <w:rPr>
          <w:rFonts w:hint="eastAsia" w:ascii="宋体" w:hAnsi="宋体"/>
        </w:rPr>
        <w:t>鱼类生物</w:t>
      </w:r>
      <w:r>
        <w:rPr>
          <w:rFonts w:cs="Times New Roman"/>
        </w:rPr>
        <w:t>多样性</w:t>
      </w:r>
      <w:r>
        <w:rPr>
          <w:rFonts w:hint="eastAsia" w:cs="Times New Roman"/>
        </w:rPr>
        <w:t>指标等级</w:t>
      </w:r>
      <w:r>
        <w:rPr>
          <w:rFonts w:cs="Times New Roman"/>
        </w:rPr>
        <w:t>按照表</w:t>
      </w:r>
      <w:r>
        <w:rPr>
          <w:rFonts w:hint="eastAsia" w:cs="Times New Roman"/>
        </w:rPr>
        <w:t>4-1</w:t>
      </w:r>
      <w:r>
        <w:rPr>
          <w:rFonts w:cs="Times New Roman"/>
        </w:rPr>
        <w:t>进行</w:t>
      </w:r>
      <w:r>
        <w:rPr>
          <w:rFonts w:hint="eastAsia" w:cs="Times New Roman"/>
        </w:rPr>
        <w:t>判定。</w:t>
      </w:r>
    </w:p>
    <w:p w14:paraId="519417A3">
      <w:pPr>
        <w:adjustRightInd w:val="0"/>
        <w:snapToGrid w:val="0"/>
        <w:ind w:firstLine="480"/>
        <w:rPr>
          <w:rFonts w:cs="Times New Roman"/>
        </w:rPr>
      </w:pPr>
      <w:r>
        <w:rPr>
          <w:rFonts w:ascii="Segoe UI Symbol" w:hAnsi="Segoe UI Symbol" w:cs="Segoe UI Symbol"/>
        </w:rPr>
        <w:t>★</w:t>
      </w:r>
      <w:r>
        <w:rPr>
          <w:rFonts w:cs="Times New Roman"/>
        </w:rPr>
        <w:t>相对重要性指数</w:t>
      </w:r>
    </w:p>
    <w:p w14:paraId="4AD672DC">
      <w:pPr>
        <w:adjustRightInd w:val="0"/>
        <w:snapToGrid w:val="0"/>
        <w:ind w:firstLine="480"/>
        <w:rPr>
          <w:rFonts w:cs="Times New Roman"/>
        </w:rPr>
      </w:pPr>
      <w:r>
        <w:rPr>
          <w:rFonts w:cs="Times New Roman"/>
        </w:rPr>
        <w:t>采用IRI相对重要性指数判定评级区</w:t>
      </w:r>
      <w:r>
        <w:rPr>
          <w:rFonts w:hint="eastAsia" w:cs="Times New Roman"/>
        </w:rPr>
        <w:t>水域</w:t>
      </w:r>
      <w:r>
        <w:rPr>
          <w:rFonts w:cs="Times New Roman"/>
        </w:rPr>
        <w:t>鱼类群落中的优势种、常见种：</w:t>
      </w:r>
    </w:p>
    <w:p w14:paraId="0CB417C8">
      <w:pPr>
        <w:snapToGrid w:val="0"/>
        <w:jc w:val="center"/>
        <w:rPr>
          <w:rFonts w:ascii="Cambria" w:hAnsi="Cambria" w:cs="Times New Roman"/>
          <w:i/>
          <w:iCs/>
          <w:sz w:val="28"/>
          <w:szCs w:val="28"/>
        </w:rPr>
      </w:pPr>
      <w:r>
        <w:rPr>
          <w:rFonts w:ascii="Cambria" w:hAnsi="Cambria" w:cs="Times New Roman"/>
          <w:i/>
          <w:iCs/>
          <w:sz w:val="28"/>
          <w:szCs w:val="28"/>
        </w:rPr>
        <w:t>IRI</w:t>
      </w:r>
      <w:r>
        <w:rPr>
          <w:rFonts w:ascii="Cambria" w:hAnsi="Cambria" w:cs="Times New Roman"/>
          <w:sz w:val="28"/>
          <w:szCs w:val="28"/>
        </w:rPr>
        <w:t>=（</w:t>
      </w:r>
      <w:r>
        <w:rPr>
          <w:rFonts w:ascii="Cambria" w:hAnsi="Cambria" w:cs="Times New Roman"/>
          <w:i/>
          <w:iCs/>
          <w:sz w:val="28"/>
          <w:szCs w:val="28"/>
        </w:rPr>
        <w:t>N</w:t>
      </w:r>
      <w:r>
        <w:rPr>
          <w:rFonts w:ascii="Cambria" w:hAnsi="Cambria" w:cs="Times New Roman"/>
          <w:sz w:val="28"/>
          <w:szCs w:val="28"/>
        </w:rPr>
        <w:t>%</w:t>
      </w:r>
      <w:r>
        <w:rPr>
          <w:rFonts w:ascii="Cambria" w:hAnsi="Cambria" w:cs="Times New Roman"/>
          <w:i/>
          <w:iCs/>
          <w:sz w:val="28"/>
          <w:szCs w:val="28"/>
        </w:rPr>
        <w:t>+W</w:t>
      </w:r>
      <w:r>
        <w:rPr>
          <w:rFonts w:ascii="Cambria" w:hAnsi="Cambria" w:cs="Times New Roman"/>
          <w:sz w:val="28"/>
          <w:szCs w:val="28"/>
        </w:rPr>
        <w:t>%）×</w:t>
      </w:r>
      <w:r>
        <w:rPr>
          <w:rFonts w:ascii="Cambria" w:hAnsi="Cambria" w:cs="Times New Roman"/>
          <w:i/>
          <w:iCs/>
          <w:sz w:val="28"/>
          <w:szCs w:val="28"/>
        </w:rPr>
        <w:t>F</w:t>
      </w:r>
      <w:r>
        <w:rPr>
          <w:rFonts w:ascii="Cambria" w:hAnsi="Cambria" w:cs="Times New Roman"/>
          <w:sz w:val="28"/>
          <w:szCs w:val="28"/>
        </w:rPr>
        <w:t>×10000</w:t>
      </w:r>
    </w:p>
    <w:p w14:paraId="5F3A94F0">
      <w:pPr>
        <w:shd w:val="clear" w:color="auto" w:fill="FFFFFF"/>
        <w:snapToGrid w:val="0"/>
        <w:ind w:firstLine="480"/>
        <w:rPr>
          <w:rFonts w:cs="Times New Roman"/>
          <w:shd w:val="clear" w:color="auto" w:fill="FFFFFF"/>
        </w:rPr>
      </w:pPr>
      <w:r>
        <w:rPr>
          <w:rFonts w:cs="Times New Roman"/>
          <w:shd w:val="clear" w:color="auto" w:fill="FFFFFF"/>
        </w:rPr>
        <w:t>式中</w:t>
      </w:r>
      <w:r>
        <w:rPr>
          <w:rFonts w:hint="eastAsia" w:cs="Times New Roman"/>
          <w:shd w:val="clear" w:color="auto" w:fill="FFFFFF"/>
        </w:rPr>
        <w:t>：</w:t>
      </w:r>
      <w:r>
        <w:rPr>
          <w:rFonts w:cs="Times New Roman"/>
          <w:shd w:val="clear" w:color="auto" w:fill="FFFFFF"/>
        </w:rPr>
        <w:t>N%</w:t>
      </w:r>
      <w:r>
        <w:rPr>
          <w:rFonts w:cs="Times New Roman"/>
        </w:rPr>
        <w:t>——</w:t>
      </w:r>
      <w:r>
        <w:rPr>
          <w:rFonts w:cs="Times New Roman"/>
          <w:shd w:val="clear" w:color="auto" w:fill="FFFFFF"/>
        </w:rPr>
        <w:t>某一种鱼类数量占捕获鱼类总数量百分比；</w:t>
      </w:r>
    </w:p>
    <w:p w14:paraId="52BE9715">
      <w:pPr>
        <w:shd w:val="clear" w:color="auto" w:fill="FFFFFF"/>
        <w:snapToGrid w:val="0"/>
        <w:ind w:firstLine="1200" w:firstLineChars="500"/>
        <w:rPr>
          <w:rFonts w:cs="Times New Roman"/>
          <w:shd w:val="clear" w:color="auto" w:fill="FFFFFF"/>
        </w:rPr>
      </w:pPr>
      <w:r>
        <w:rPr>
          <w:rFonts w:cs="Times New Roman"/>
          <w:shd w:val="clear" w:color="auto" w:fill="FFFFFF"/>
        </w:rPr>
        <w:t>W%</w:t>
      </w:r>
      <w:r>
        <w:rPr>
          <w:rFonts w:cs="Times New Roman"/>
        </w:rPr>
        <w:t>——</w:t>
      </w:r>
      <w:r>
        <w:rPr>
          <w:rFonts w:cs="Times New Roman"/>
          <w:shd w:val="clear" w:color="auto" w:fill="FFFFFF"/>
        </w:rPr>
        <w:t>某一种鱼类重量占捕获鱼类总重量百分比；</w:t>
      </w:r>
    </w:p>
    <w:p w14:paraId="0E21175D">
      <w:pPr>
        <w:shd w:val="clear" w:color="auto" w:fill="FFFFFF"/>
        <w:snapToGrid w:val="0"/>
        <w:ind w:firstLine="1200" w:firstLineChars="500"/>
        <w:rPr>
          <w:rFonts w:cs="Times New Roman"/>
          <w:shd w:val="clear" w:color="auto" w:fill="FFFFFF"/>
        </w:rPr>
      </w:pPr>
      <w:r>
        <w:rPr>
          <w:rFonts w:cs="Times New Roman"/>
          <w:shd w:val="clear" w:color="auto" w:fill="FFFFFF"/>
        </w:rPr>
        <w:t>F</w:t>
      </w:r>
      <w:r>
        <w:rPr>
          <w:rFonts w:cs="Times New Roman"/>
        </w:rPr>
        <w:t>——</w:t>
      </w:r>
      <w:r>
        <w:rPr>
          <w:rFonts w:cs="Times New Roman"/>
          <w:shd w:val="clear" w:color="auto" w:fill="FFFFFF"/>
        </w:rPr>
        <w:t>某鱼类物种在调查时的出现频率。</w:t>
      </w:r>
    </w:p>
    <w:p w14:paraId="02DF7F4C">
      <w:pPr>
        <w:shd w:val="clear" w:color="auto" w:fill="FFFFFF"/>
        <w:snapToGrid w:val="0"/>
        <w:ind w:firstLine="480"/>
        <w:rPr>
          <w:rFonts w:cs="Times New Roman"/>
        </w:rPr>
      </w:pPr>
      <w:r>
        <w:rPr>
          <w:rFonts w:cs="Times New Roman"/>
          <w:shd w:val="clear" w:color="auto" w:fill="FFFFFF"/>
        </w:rPr>
        <w:t>优势种的判定标准为：IRI&gt;1000为优势种，100~1000为常见种。</w:t>
      </w:r>
    </w:p>
    <w:p w14:paraId="323C8822">
      <w:pPr>
        <w:snapToGrid w:val="0"/>
        <w:rPr>
          <w:rFonts w:cs="Times New Roman"/>
        </w:rPr>
      </w:pPr>
      <w:r>
        <w:rPr>
          <w:rFonts w:hint="eastAsia" w:cs="Times New Roman"/>
        </w:rPr>
        <w:t>（4）底栖动物</w:t>
      </w:r>
    </w:p>
    <w:p w14:paraId="7BE784D2">
      <w:pPr>
        <w:snapToGrid w:val="0"/>
        <w:ind w:firstLine="480"/>
        <w:rPr>
          <w:rFonts w:cs="Times New Roman"/>
        </w:rPr>
      </w:pPr>
      <w:r>
        <w:rPr>
          <w:rFonts w:hint="eastAsia" w:cs="Times New Roman"/>
        </w:rPr>
        <w:t>①概念定义</w:t>
      </w:r>
    </w:p>
    <w:p w14:paraId="038F0656">
      <w:pPr>
        <w:snapToGrid w:val="0"/>
        <w:ind w:firstLine="480"/>
        <w:rPr>
          <w:rFonts w:cs="Times New Roman"/>
          <w:lang w:val="en-GB"/>
        </w:rPr>
      </w:pPr>
      <w:r>
        <w:rPr>
          <w:rFonts w:cs="Times New Roman"/>
          <w:lang w:val="en-GB"/>
        </w:rPr>
        <w:t>底栖动物（zoobenthos）是指生活史大部分时间栖息于水体底部的水生动物类群，它们或栖于水生植物体表，或爬行于底泥表面，或隐于石缝。</w:t>
      </w:r>
      <w:r>
        <w:rPr>
          <w:rFonts w:hint="eastAsia" w:cs="Times New Roman"/>
        </w:rPr>
        <w:t>本项目调查以大型底栖动物为主，</w:t>
      </w:r>
      <w:r>
        <w:rPr>
          <w:rFonts w:cs="Times New Roman"/>
          <w:lang w:val="en-GB"/>
        </w:rPr>
        <w:t>通常将水体底部的环节动物、软体动物、甲壳动物、昆虫及其幼虫等不能通过500 μm网筛的无脊椎动物个体称为大型底栖动物（macrobenthos）。</w:t>
      </w:r>
    </w:p>
    <w:p w14:paraId="62DB83A7">
      <w:pPr>
        <w:snapToGrid w:val="0"/>
        <w:ind w:firstLine="480"/>
        <w:rPr>
          <w:rFonts w:cs="Times New Roman"/>
        </w:rPr>
      </w:pPr>
      <w:r>
        <w:rPr>
          <w:rFonts w:cs="Times New Roman"/>
          <w:lang w:val="en-GB"/>
        </w:rPr>
        <w:t>底栖动物是</w:t>
      </w:r>
      <w:r>
        <w:rPr>
          <w:rFonts w:hint="eastAsia" w:cs="Times New Roman"/>
        </w:rPr>
        <w:t>河湖</w:t>
      </w:r>
      <w:r>
        <w:rPr>
          <w:rFonts w:cs="Times New Roman"/>
          <w:lang w:val="en-GB"/>
        </w:rPr>
        <w:t>湿地中最重要的定居动物的代表类群之一，参与物质分解及营养循环等生态过程，加速碎屑的分解，调节沉积物-水界面的物质交换，提高水体自净能力等。底栖动物中的线虫、环节动物、软体动物、甲壳动物、昆虫等是鱼类、大型游泳无脊椎动物及鸟类等的饵料资源，是湖泊湿地生态平衡的重要功能群。同时，底栖动物运动能力相对较弱，对环境较为敏感，因此，底栖动物的种类分布及数量特征等常用于监测、评价湿地水和沉积物的环境质量。</w:t>
      </w:r>
    </w:p>
    <w:p w14:paraId="1F6B504C">
      <w:pPr>
        <w:snapToGrid w:val="0"/>
        <w:ind w:firstLine="480"/>
        <w:rPr>
          <w:rFonts w:cs="Times New Roman"/>
        </w:rPr>
      </w:pPr>
      <w:r>
        <w:rPr>
          <w:rFonts w:hint="eastAsia" w:cs="Times New Roman"/>
        </w:rPr>
        <w:t>②调查方法</w:t>
      </w:r>
    </w:p>
    <w:p w14:paraId="2AF1BCBD">
      <w:pPr>
        <w:snapToGrid w:val="0"/>
        <w:ind w:firstLine="480"/>
        <w:rPr>
          <w:rFonts w:cs="Times New Roman"/>
          <w:lang w:val="en-GB"/>
        </w:rPr>
      </w:pPr>
      <w:r>
        <w:rPr>
          <w:rFonts w:hint="eastAsia" w:cs="Times New Roman"/>
        </w:rPr>
        <w:t>底栖动物</w:t>
      </w:r>
      <w:r>
        <w:rPr>
          <w:rFonts w:cs="Times New Roman"/>
          <w:lang w:val="en-GB"/>
        </w:rPr>
        <w:t>调查主要采用D形抄网</w:t>
      </w:r>
      <w:r>
        <w:rPr>
          <w:rFonts w:hint="eastAsia" w:cs="Times New Roman"/>
          <w:lang w:val="en-GB"/>
        </w:rPr>
        <w:t>、</w:t>
      </w:r>
      <w:r>
        <w:rPr>
          <w:rFonts w:hint="eastAsia" w:cs="Times New Roman"/>
        </w:rPr>
        <w:t>地笼采样、徒手采样、</w:t>
      </w:r>
      <w:r>
        <w:rPr>
          <w:rFonts w:cs="Times New Roman"/>
          <w:lang w:val="en-GB"/>
        </w:rPr>
        <w:t>访问调查和查阅</w:t>
      </w:r>
      <w:r>
        <w:rPr>
          <w:rFonts w:hint="eastAsia" w:cs="Times New Roman"/>
        </w:rPr>
        <w:t>资料</w:t>
      </w:r>
      <w:r>
        <w:rPr>
          <w:rFonts w:hint="eastAsia" w:cs="Times New Roman"/>
          <w:lang w:val="en-GB"/>
        </w:rPr>
        <w:t>，</w:t>
      </w:r>
    </w:p>
    <w:p w14:paraId="38006737">
      <w:pPr>
        <w:snapToGrid w:val="0"/>
        <w:ind w:firstLine="480"/>
        <w:rPr>
          <w:rFonts w:cs="Times New Roman"/>
          <w:color w:val="0000FF"/>
        </w:rPr>
      </w:pPr>
      <w:r>
        <w:rPr>
          <w:rFonts w:hint="eastAsia" w:cs="Times New Roman"/>
          <w:color w:val="0000FF"/>
        </w:rPr>
        <w:t>主要参考的资料有：《总体规划（2021-2030年）》、《淠河总干渠大型底栖动物初步调查》、《淠河总干渠省级河湖健康评价报告》等。</w:t>
      </w:r>
    </w:p>
    <w:p w14:paraId="13C67399">
      <w:pPr>
        <w:snapToGrid w:val="0"/>
        <w:ind w:firstLine="480"/>
        <w:rPr>
          <w:rFonts w:cs="Times New Roman"/>
        </w:rPr>
      </w:pPr>
      <w:r>
        <w:rPr>
          <w:rFonts w:hint="eastAsia" w:cs="Times New Roman"/>
        </w:rPr>
        <w:t>③调查内容与指标</w:t>
      </w:r>
    </w:p>
    <w:p w14:paraId="5C55A8AD">
      <w:pPr>
        <w:snapToGrid w:val="0"/>
        <w:ind w:firstLine="480"/>
        <w:rPr>
          <w:rFonts w:cs="Times New Roman"/>
        </w:rPr>
      </w:pPr>
      <w:r>
        <w:rPr>
          <w:rFonts w:hint="eastAsia" w:cs="Times New Roman"/>
        </w:rPr>
        <w:t>调查底栖动物在各点位及评价区的以下几类指标：</w:t>
      </w:r>
    </w:p>
    <w:p w14:paraId="551BE82B">
      <w:pPr>
        <w:snapToGrid w:val="0"/>
        <w:ind w:firstLine="480"/>
        <w:rPr>
          <w:rFonts w:cs="Times New Roman"/>
        </w:rPr>
      </w:pPr>
      <w:r>
        <w:rPr>
          <w:rFonts w:ascii="Segoe UI Symbol" w:hAnsi="Segoe UI Symbol" w:cs="Segoe UI Symbol"/>
        </w:rPr>
        <w:t>★</w:t>
      </w:r>
      <w:r>
        <w:rPr>
          <w:rFonts w:hint="eastAsia" w:cs="Times New Roman"/>
        </w:rPr>
        <w:t>底栖动物的种类组成和分布；</w:t>
      </w:r>
    </w:p>
    <w:p w14:paraId="2EC8BF2B">
      <w:pPr>
        <w:snapToGrid w:val="0"/>
        <w:ind w:firstLine="480"/>
        <w:rPr>
          <w:rFonts w:cs="Times New Roman"/>
        </w:rPr>
      </w:pPr>
      <w:r>
        <w:rPr>
          <w:rFonts w:ascii="Segoe UI Symbol" w:hAnsi="Segoe UI Symbol" w:cs="Segoe UI Symbol"/>
        </w:rPr>
        <w:t>★</w:t>
      </w:r>
      <w:r>
        <w:rPr>
          <w:rFonts w:hint="eastAsia" w:cs="Times New Roman"/>
        </w:rPr>
        <w:t>不同底栖动物的生物量、密度、优势度；</w:t>
      </w:r>
    </w:p>
    <w:p w14:paraId="7B16AA88">
      <w:pPr>
        <w:snapToGrid w:val="0"/>
        <w:ind w:firstLine="480"/>
        <w:rPr>
          <w:rFonts w:cs="Times New Roman"/>
        </w:rPr>
      </w:pPr>
      <w:r>
        <w:rPr>
          <w:rFonts w:ascii="Segoe UI Symbol" w:hAnsi="Segoe UI Symbol" w:cs="Segoe UI Symbol"/>
        </w:rPr>
        <w:t>★</w:t>
      </w:r>
      <w:r>
        <w:rPr>
          <w:rFonts w:hint="eastAsia" w:cs="Times New Roman"/>
        </w:rPr>
        <w:t>底栖动物生物多样性状况；</w:t>
      </w:r>
    </w:p>
    <w:p w14:paraId="767E426E">
      <w:pPr>
        <w:snapToGrid w:val="0"/>
        <w:ind w:firstLine="480"/>
        <w:rPr>
          <w:rFonts w:cs="Times New Roman"/>
        </w:rPr>
      </w:pPr>
      <w:r>
        <w:rPr>
          <w:rFonts w:ascii="Segoe UI Symbol" w:hAnsi="Segoe UI Symbol" w:cs="Segoe UI Symbol"/>
        </w:rPr>
        <w:t>★</w:t>
      </w:r>
      <w:r>
        <w:rPr>
          <w:rFonts w:hint="eastAsia" w:cs="Times New Roman"/>
        </w:rPr>
        <w:t>底栖动物栖息地特征。</w:t>
      </w:r>
    </w:p>
    <w:p w14:paraId="787899E4">
      <w:pPr>
        <w:snapToGrid w:val="0"/>
        <w:ind w:firstLine="480"/>
        <w:rPr>
          <w:rFonts w:cs="Times New Roman"/>
        </w:rPr>
      </w:pPr>
      <w:r>
        <w:rPr>
          <w:rFonts w:hint="eastAsia" w:cs="Times New Roman"/>
        </w:rPr>
        <w:t>④数据分析</w:t>
      </w:r>
    </w:p>
    <w:p w14:paraId="652C71FF">
      <w:pPr>
        <w:adjustRightInd w:val="0"/>
        <w:snapToGrid w:val="0"/>
        <w:ind w:firstLine="480"/>
        <w:rPr>
          <w:rFonts w:cs="Times New Roman"/>
        </w:rPr>
      </w:pPr>
      <w:r>
        <w:rPr>
          <w:rFonts w:ascii="Segoe UI Symbol" w:hAnsi="Segoe UI Symbol" w:cs="Segoe UI Symbol"/>
        </w:rPr>
        <w:t>★</w:t>
      </w:r>
      <w:r>
        <w:rPr>
          <w:rFonts w:hint="eastAsia" w:cs="Times New Roman"/>
        </w:rPr>
        <w:t>常规分析</w:t>
      </w:r>
    </w:p>
    <w:p w14:paraId="523B6152">
      <w:pPr>
        <w:adjustRightInd w:val="0"/>
        <w:snapToGrid w:val="0"/>
        <w:ind w:firstLine="480"/>
        <w:rPr>
          <w:rFonts w:cs="Times New Roman"/>
        </w:rPr>
      </w:pPr>
      <w:r>
        <w:rPr>
          <w:rFonts w:hint="eastAsia" w:cs="Times New Roman"/>
        </w:rPr>
        <w:t>计算总的以及各点位的底栖动物</w:t>
      </w:r>
      <w:r>
        <w:rPr>
          <w:rFonts w:cs="Times New Roman"/>
        </w:rPr>
        <w:t>生物量（g/m</w:t>
      </w:r>
      <w:r>
        <w:rPr>
          <w:rFonts w:cs="Times New Roman"/>
          <w:vertAlign w:val="superscript"/>
        </w:rPr>
        <w:t>2</w:t>
      </w:r>
      <w:r>
        <w:rPr>
          <w:rFonts w:cs="Times New Roman"/>
        </w:rPr>
        <w:t>）</w:t>
      </w:r>
      <w:r>
        <w:rPr>
          <w:rFonts w:hint="eastAsia" w:cs="Times New Roman"/>
        </w:rPr>
        <w:t>、</w:t>
      </w:r>
      <w:r>
        <w:rPr>
          <w:rFonts w:cs="Times New Roman"/>
        </w:rPr>
        <w:t>密度（</w:t>
      </w:r>
      <w:r>
        <w:rPr>
          <w:rFonts w:hint="eastAsia" w:cs="Times New Roman"/>
        </w:rPr>
        <w:t>ind</w:t>
      </w:r>
      <w:r>
        <w:rPr>
          <w:rFonts w:cs="Times New Roman"/>
        </w:rPr>
        <w:t>/m</w:t>
      </w:r>
      <w:r>
        <w:rPr>
          <w:rFonts w:hint="eastAsia" w:cs="Times New Roman"/>
          <w:vertAlign w:val="superscript"/>
        </w:rPr>
        <w:t>2</w:t>
      </w:r>
      <w:r>
        <w:rPr>
          <w:rFonts w:cs="Times New Roman"/>
        </w:rPr>
        <w:t>）</w:t>
      </w:r>
      <w:r>
        <w:rPr>
          <w:rFonts w:hint="eastAsia" w:cs="Times New Roman"/>
        </w:rPr>
        <w:t>、个体数：</w:t>
      </w:r>
    </w:p>
    <w:p w14:paraId="53B8D564">
      <w:pPr>
        <w:adjustRightInd w:val="0"/>
        <w:snapToGrid w:val="0"/>
        <w:ind w:firstLine="480"/>
        <w:jc w:val="center"/>
        <w:rPr>
          <w:rFonts w:cs="Times New Roman"/>
        </w:rPr>
      </w:pPr>
      <w:r>
        <w:rPr>
          <w:rFonts w:cs="Times New Roman"/>
        </w:rPr>
        <w:drawing>
          <wp:inline distT="0" distB="0" distL="114300" distR="114300">
            <wp:extent cx="1315085" cy="562610"/>
            <wp:effectExtent l="0" t="0" r="5715" b="8890"/>
            <wp:docPr id="141" name="图片 2365"/>
            <wp:cNvGraphicFramePr/>
            <a:graphic xmlns:a="http://schemas.openxmlformats.org/drawingml/2006/main">
              <a:graphicData uri="http://schemas.openxmlformats.org/drawingml/2006/picture">
                <pic:pic xmlns:pic="http://schemas.openxmlformats.org/drawingml/2006/picture">
                  <pic:nvPicPr>
                    <pic:cNvPr id="141" name="图片 2365"/>
                    <pic:cNvPicPr/>
                  </pic:nvPicPr>
                  <pic:blipFill>
                    <a:blip r:embed="rId136"/>
                    <a:srcRect/>
                    <a:stretch>
                      <a:fillRect/>
                    </a:stretch>
                  </pic:blipFill>
                  <pic:spPr>
                    <a:xfrm>
                      <a:off x="0" y="0"/>
                      <a:ext cx="1315085" cy="562610"/>
                    </a:xfrm>
                    <a:prstGeom prst="rect">
                      <a:avLst/>
                    </a:prstGeom>
                    <a:noFill/>
                    <a:ln>
                      <a:noFill/>
                    </a:ln>
                  </pic:spPr>
                </pic:pic>
              </a:graphicData>
            </a:graphic>
          </wp:inline>
        </w:drawing>
      </w:r>
    </w:p>
    <w:p w14:paraId="1D9F46F8">
      <w:pPr>
        <w:adjustRightInd w:val="0"/>
        <w:snapToGrid w:val="0"/>
        <w:ind w:firstLine="480"/>
        <w:rPr>
          <w:rFonts w:cs="Times New Roman"/>
        </w:rPr>
      </w:pPr>
      <w:r>
        <w:rPr>
          <w:rFonts w:hint="eastAsia" w:cs="Times New Roman"/>
        </w:rPr>
        <w:t>式中，</w:t>
      </w:r>
      <w:r>
        <w:rPr>
          <w:rFonts w:hint="eastAsia" w:cs="Times New Roman"/>
          <w:i/>
          <w:iCs/>
        </w:rPr>
        <w:t>D</w:t>
      </w:r>
      <w:r>
        <w:rPr>
          <w:rFonts w:hint="eastAsia" w:cs="Times New Roman"/>
        </w:rPr>
        <w:t>——采样点位（断面）总个体密度，ind/m</w:t>
      </w:r>
      <w:r>
        <w:rPr>
          <w:rFonts w:hint="eastAsia" w:cs="Times New Roman"/>
          <w:vertAlign w:val="superscript"/>
        </w:rPr>
        <w:t>2</w:t>
      </w:r>
      <w:r>
        <w:rPr>
          <w:rFonts w:hint="eastAsia" w:cs="Times New Roman"/>
        </w:rPr>
        <w:t>；</w:t>
      </w:r>
    </w:p>
    <w:p w14:paraId="7738711B">
      <w:pPr>
        <w:adjustRightInd w:val="0"/>
        <w:snapToGrid w:val="0"/>
        <w:ind w:firstLine="1200" w:firstLineChars="500"/>
        <w:rPr>
          <w:rFonts w:cs="Times New Roman"/>
        </w:rPr>
      </w:pPr>
      <w:r>
        <w:rPr>
          <w:rFonts w:hint="eastAsia" w:cs="Times New Roman"/>
          <w:i/>
          <w:iCs/>
        </w:rPr>
        <w:t>B</w:t>
      </w:r>
      <w:r>
        <w:rPr>
          <w:rFonts w:hint="eastAsia" w:cs="Times New Roman"/>
        </w:rPr>
        <w:t>——采样点位（断面）总生物量，g/m</w:t>
      </w:r>
      <w:r>
        <w:rPr>
          <w:rFonts w:hint="eastAsia" w:cs="Times New Roman"/>
          <w:vertAlign w:val="superscript"/>
        </w:rPr>
        <w:t>2</w:t>
      </w:r>
      <w:r>
        <w:rPr>
          <w:rFonts w:hint="eastAsia" w:cs="Times New Roman"/>
        </w:rPr>
        <w:t>；</w:t>
      </w:r>
    </w:p>
    <w:p w14:paraId="12417EBF">
      <w:pPr>
        <w:adjustRightInd w:val="0"/>
        <w:snapToGrid w:val="0"/>
        <w:ind w:firstLine="1200" w:firstLineChars="500"/>
        <w:rPr>
          <w:rFonts w:cs="Times New Roman"/>
        </w:rPr>
      </w:pPr>
      <w:r>
        <w:rPr>
          <w:rFonts w:hint="eastAsia" w:cs="Times New Roman"/>
          <w:i/>
          <w:iCs/>
        </w:rPr>
        <w:t>Di</w:t>
      </w:r>
      <w:r>
        <w:rPr>
          <w:rFonts w:hint="eastAsia" w:cs="Times New Roman"/>
        </w:rPr>
        <w:t>——</w:t>
      </w:r>
      <w:r>
        <w:rPr>
          <w:rFonts w:hint="eastAsia" w:cs="Times New Roman"/>
          <w:i/>
          <w:iCs/>
        </w:rPr>
        <w:t>i</w:t>
      </w:r>
      <w:r>
        <w:rPr>
          <w:rFonts w:hint="eastAsia" w:cs="Times New Roman"/>
        </w:rPr>
        <w:t>种的个体密度，ind/m</w:t>
      </w:r>
      <w:r>
        <w:rPr>
          <w:rFonts w:hint="eastAsia" w:cs="Times New Roman"/>
          <w:vertAlign w:val="superscript"/>
        </w:rPr>
        <w:t>2</w:t>
      </w:r>
      <w:r>
        <w:rPr>
          <w:rFonts w:hint="eastAsia" w:cs="Times New Roman"/>
        </w:rPr>
        <w:t>；</w:t>
      </w:r>
    </w:p>
    <w:p w14:paraId="5667544D">
      <w:pPr>
        <w:adjustRightInd w:val="0"/>
        <w:snapToGrid w:val="0"/>
        <w:ind w:firstLine="1200" w:firstLineChars="500"/>
        <w:rPr>
          <w:rFonts w:cs="Times New Roman"/>
        </w:rPr>
      </w:pPr>
      <w:r>
        <w:rPr>
          <w:rFonts w:hint="eastAsia" w:cs="Times New Roman"/>
          <w:i/>
          <w:iCs/>
        </w:rPr>
        <w:t>Bi</w:t>
      </w:r>
      <w:r>
        <w:rPr>
          <w:rFonts w:hint="eastAsia" w:cs="Times New Roman"/>
        </w:rPr>
        <w:t>——</w:t>
      </w:r>
      <w:r>
        <w:rPr>
          <w:rFonts w:hint="eastAsia" w:cs="Times New Roman"/>
          <w:i/>
          <w:iCs/>
        </w:rPr>
        <w:t>i</w:t>
      </w:r>
      <w:r>
        <w:rPr>
          <w:rFonts w:hint="eastAsia" w:cs="Times New Roman"/>
        </w:rPr>
        <w:t>种的生物量，g/m</w:t>
      </w:r>
      <w:r>
        <w:rPr>
          <w:rFonts w:hint="eastAsia" w:cs="Times New Roman"/>
          <w:vertAlign w:val="superscript"/>
        </w:rPr>
        <w:t>2</w:t>
      </w:r>
      <w:r>
        <w:rPr>
          <w:rFonts w:hint="eastAsia" w:cs="Times New Roman"/>
        </w:rPr>
        <w:t>；</w:t>
      </w:r>
    </w:p>
    <w:p w14:paraId="54498274">
      <w:pPr>
        <w:adjustRightInd w:val="0"/>
        <w:snapToGrid w:val="0"/>
        <w:ind w:firstLine="1200" w:firstLineChars="500"/>
        <w:rPr>
          <w:rFonts w:cs="Times New Roman"/>
        </w:rPr>
      </w:pPr>
      <w:r>
        <w:rPr>
          <w:rFonts w:hint="eastAsia" w:cs="Times New Roman"/>
          <w:i/>
          <w:iCs/>
        </w:rPr>
        <w:t>Ni</w:t>
      </w:r>
      <w:r>
        <w:rPr>
          <w:rFonts w:hint="eastAsia" w:cs="Times New Roman"/>
        </w:rPr>
        <w:t>——总分类单元数，个。</w:t>
      </w:r>
    </w:p>
    <w:p w14:paraId="22C4E637">
      <w:pPr>
        <w:adjustRightInd w:val="0"/>
        <w:ind w:firstLine="480"/>
        <w:rPr>
          <w:rFonts w:cs="Times New Roman"/>
        </w:rPr>
      </w:pPr>
      <w:r>
        <w:rPr>
          <w:rFonts w:ascii="Segoe UI Symbol" w:hAnsi="Segoe UI Symbol" w:cs="Segoe UI Symbol"/>
        </w:rPr>
        <w:t>★</w:t>
      </w:r>
      <w:r>
        <w:rPr>
          <w:rFonts w:cs="Times New Roman"/>
        </w:rPr>
        <w:t>多样性指数</w:t>
      </w:r>
    </w:p>
    <w:p w14:paraId="2ADBF440">
      <w:pPr>
        <w:adjustRightInd w:val="0"/>
        <w:ind w:firstLine="480"/>
        <w:rPr>
          <w:rFonts w:cs="Times New Roman"/>
        </w:rPr>
      </w:pPr>
      <w:r>
        <w:rPr>
          <w:rFonts w:cs="Times New Roman"/>
        </w:rPr>
        <w:t>计算</w:t>
      </w:r>
      <w:r>
        <w:rPr>
          <w:rFonts w:hint="eastAsia" w:cs="Times New Roman"/>
        </w:rPr>
        <w:t>评价区</w:t>
      </w:r>
      <w:r>
        <w:rPr>
          <w:rFonts w:cs="Times New Roman"/>
        </w:rPr>
        <w:t>及各</w:t>
      </w:r>
      <w:r>
        <w:rPr>
          <w:rFonts w:hint="eastAsia" w:cs="Times New Roman"/>
        </w:rPr>
        <w:t>点位</w:t>
      </w:r>
      <w:r>
        <w:rPr>
          <w:rFonts w:cs="Times New Roman"/>
        </w:rPr>
        <w:t>的</w:t>
      </w:r>
      <w:r>
        <w:rPr>
          <w:rFonts w:hint="eastAsia" w:cs="Times New Roman"/>
        </w:rPr>
        <w:t>底栖动物</w:t>
      </w:r>
      <w:r>
        <w:rPr>
          <w:rFonts w:cs="Times New Roman"/>
        </w:rPr>
        <w:t>香农-维纳</w:t>
      </w:r>
      <w:r>
        <w:rPr>
          <w:rFonts w:hint="eastAsia" w:cs="Times New Roman"/>
        </w:rPr>
        <w:t>生物</w:t>
      </w:r>
      <w:r>
        <w:rPr>
          <w:rFonts w:cs="Times New Roman"/>
        </w:rPr>
        <w:t>多样性指数值</w:t>
      </w:r>
      <w:r>
        <w:rPr>
          <w:rFonts w:hint="eastAsia" w:cs="Times New Roman"/>
        </w:rPr>
        <w:t>，计算公式参照4.1.1节。</w:t>
      </w:r>
      <w:r>
        <w:rPr>
          <w:rFonts w:hint="eastAsia" w:ascii="宋体" w:hAnsi="宋体"/>
        </w:rPr>
        <w:t>底栖动物生物</w:t>
      </w:r>
      <w:r>
        <w:rPr>
          <w:rFonts w:cs="Times New Roman"/>
        </w:rPr>
        <w:t>多样性</w:t>
      </w:r>
      <w:r>
        <w:rPr>
          <w:rFonts w:hint="eastAsia" w:cs="Times New Roman"/>
        </w:rPr>
        <w:t>指标等级</w:t>
      </w:r>
      <w:r>
        <w:rPr>
          <w:rFonts w:cs="Times New Roman"/>
        </w:rPr>
        <w:t>按照表</w:t>
      </w:r>
      <w:r>
        <w:rPr>
          <w:rFonts w:hint="eastAsia" w:cs="Times New Roman"/>
        </w:rPr>
        <w:t>4-1</w:t>
      </w:r>
      <w:r>
        <w:rPr>
          <w:rFonts w:cs="Times New Roman"/>
        </w:rPr>
        <w:t>进行</w:t>
      </w:r>
      <w:r>
        <w:rPr>
          <w:rFonts w:hint="eastAsia" w:cs="Times New Roman"/>
        </w:rPr>
        <w:t>判定。</w:t>
      </w:r>
    </w:p>
    <w:p w14:paraId="1CC2D846">
      <w:pPr>
        <w:adjustRightInd w:val="0"/>
        <w:ind w:firstLine="480"/>
        <w:rPr>
          <w:rFonts w:cs="Times New Roman"/>
        </w:rPr>
      </w:pPr>
      <w:r>
        <w:rPr>
          <w:rFonts w:ascii="Segoe UI Symbol" w:hAnsi="Segoe UI Symbol" w:cs="Segoe UI Symbol"/>
        </w:rPr>
        <w:t>★</w:t>
      </w:r>
      <w:r>
        <w:rPr>
          <w:rFonts w:hint="eastAsia" w:cs="Times New Roman"/>
        </w:rPr>
        <w:t>优势度</w:t>
      </w:r>
      <w:r>
        <w:rPr>
          <w:rFonts w:cs="Times New Roman"/>
        </w:rPr>
        <w:t>指数</w:t>
      </w:r>
    </w:p>
    <w:p w14:paraId="4D80594F">
      <w:pPr>
        <w:adjustRightInd w:val="0"/>
        <w:snapToGrid w:val="0"/>
        <w:ind w:firstLine="480"/>
        <w:rPr>
          <w:rFonts w:cs="Times New Roman"/>
        </w:rPr>
      </w:pPr>
      <w:r>
        <w:rPr>
          <w:rFonts w:cs="Times New Roman"/>
        </w:rPr>
        <w:t>以Berger-Parker优势度指数确定</w:t>
      </w:r>
      <w:r>
        <w:rPr>
          <w:rFonts w:hint="eastAsia" w:cs="Times New Roman"/>
        </w:rPr>
        <w:t>底栖动物</w:t>
      </w:r>
      <w:r>
        <w:rPr>
          <w:rFonts w:cs="Times New Roman"/>
        </w:rPr>
        <w:t>群落中的优势、常见、稀有</w:t>
      </w:r>
      <w:r>
        <w:rPr>
          <w:rFonts w:hint="eastAsia" w:cs="Times New Roman"/>
        </w:rPr>
        <w:t>或</w:t>
      </w:r>
      <w:r>
        <w:rPr>
          <w:rFonts w:cs="Times New Roman"/>
        </w:rPr>
        <w:t>罕见种</w:t>
      </w:r>
      <w:r>
        <w:rPr>
          <w:rFonts w:hint="eastAsia" w:cs="Times New Roman"/>
        </w:rPr>
        <w:t>：</w:t>
      </w:r>
    </w:p>
    <w:p w14:paraId="33495A02">
      <w:pPr>
        <w:jc w:val="center"/>
        <w:rPr>
          <w:rFonts w:ascii="Cambria" w:hAnsi="Cambria" w:cs="Times New Roman"/>
          <w:sz w:val="28"/>
          <w:szCs w:val="28"/>
        </w:rPr>
      </w:pPr>
      <w:r>
        <w:rPr>
          <w:rFonts w:ascii="Cambria" w:hAnsi="Cambria" w:cs="Times New Roman"/>
          <w:i/>
          <w:iCs/>
          <w:sz w:val="28"/>
          <w:szCs w:val="28"/>
        </w:rPr>
        <w:t>P</w:t>
      </w:r>
      <w:r>
        <w:rPr>
          <w:rFonts w:ascii="Cambria" w:hAnsi="Cambria" w:cs="Times New Roman"/>
          <w:i/>
          <w:iCs/>
          <w:sz w:val="28"/>
          <w:szCs w:val="28"/>
          <w:vertAlign w:val="subscript"/>
        </w:rPr>
        <w:t xml:space="preserve">i </w:t>
      </w:r>
      <w:r>
        <w:rPr>
          <w:rFonts w:ascii="Cambria" w:hAnsi="Cambria" w:cs="Times New Roman"/>
          <w:sz w:val="28"/>
          <w:szCs w:val="28"/>
        </w:rPr>
        <w:t xml:space="preserve">= </w:t>
      </w:r>
      <w:r>
        <w:rPr>
          <w:rFonts w:ascii="Cambria" w:hAnsi="Cambria" w:cs="Times New Roman"/>
          <w:i/>
          <w:iCs/>
          <w:sz w:val="28"/>
          <w:szCs w:val="28"/>
        </w:rPr>
        <w:t>N</w:t>
      </w:r>
      <w:r>
        <w:rPr>
          <w:rFonts w:ascii="Cambria" w:hAnsi="Cambria" w:cs="Times New Roman"/>
          <w:i/>
          <w:iCs/>
          <w:sz w:val="28"/>
          <w:szCs w:val="28"/>
          <w:vertAlign w:val="subscript"/>
        </w:rPr>
        <w:t xml:space="preserve">i </w:t>
      </w:r>
      <w:r>
        <w:rPr>
          <w:rFonts w:ascii="Cambria" w:hAnsi="Cambria" w:cs="Times New Roman"/>
          <w:sz w:val="28"/>
          <w:szCs w:val="28"/>
        </w:rPr>
        <w:t xml:space="preserve">/ </w:t>
      </w:r>
      <w:r>
        <w:rPr>
          <w:rFonts w:ascii="Cambria" w:hAnsi="Cambria" w:cs="Times New Roman"/>
          <w:i/>
          <w:iCs/>
          <w:sz w:val="28"/>
          <w:szCs w:val="28"/>
        </w:rPr>
        <w:t>N</w:t>
      </w:r>
    </w:p>
    <w:p w14:paraId="02AE4D5A">
      <w:pPr>
        <w:ind w:firstLine="480"/>
        <w:rPr>
          <w:rFonts w:cs="Times New Roman"/>
          <w:bCs/>
        </w:rPr>
      </w:pPr>
      <w:r>
        <w:rPr>
          <w:rFonts w:cs="Times New Roman"/>
          <w:bCs/>
        </w:rPr>
        <w:t>式中</w:t>
      </w:r>
      <w:r>
        <w:rPr>
          <w:rFonts w:hint="eastAsia" w:cs="Times New Roman"/>
          <w:bCs/>
        </w:rPr>
        <w:t>：</w:t>
      </w:r>
      <w:r>
        <w:rPr>
          <w:rFonts w:hint="eastAsia" w:cs="Times New Roman"/>
          <w:bCs/>
          <w:i/>
          <w:iCs/>
        </w:rPr>
        <w:t>P</w:t>
      </w:r>
      <w:r>
        <w:rPr>
          <w:rFonts w:cs="Times New Roman"/>
          <w:bCs/>
          <w:i/>
          <w:iCs/>
          <w:vertAlign w:val="subscript"/>
        </w:rPr>
        <w:t>i</w:t>
      </w:r>
      <w:r>
        <w:rPr>
          <w:rFonts w:cs="Times New Roman"/>
          <w:bCs/>
        </w:rPr>
        <w:t>——物种的优势度指数</w:t>
      </w:r>
      <w:r>
        <w:rPr>
          <w:rFonts w:hint="eastAsia" w:cs="Times New Roman"/>
          <w:bCs/>
        </w:rPr>
        <w:t>；</w:t>
      </w:r>
    </w:p>
    <w:p w14:paraId="0CFF4B4E">
      <w:pPr>
        <w:ind w:firstLine="1200" w:firstLineChars="500"/>
        <w:rPr>
          <w:rFonts w:cs="Times New Roman"/>
          <w:bCs/>
        </w:rPr>
      </w:pPr>
      <w:r>
        <w:rPr>
          <w:rFonts w:cs="Times New Roman"/>
          <w:bCs/>
          <w:i/>
          <w:iCs/>
        </w:rPr>
        <w:t>N</w:t>
      </w:r>
      <w:r>
        <w:rPr>
          <w:rFonts w:cs="Times New Roman"/>
          <w:bCs/>
        </w:rPr>
        <w:t>——总物种数量</w:t>
      </w:r>
      <w:r>
        <w:rPr>
          <w:rFonts w:hint="eastAsia" w:cs="Times New Roman"/>
          <w:bCs/>
        </w:rPr>
        <w:t>；</w:t>
      </w:r>
    </w:p>
    <w:p w14:paraId="61ABB552">
      <w:pPr>
        <w:ind w:firstLine="1200" w:firstLineChars="500"/>
        <w:rPr>
          <w:rFonts w:cs="Times New Roman"/>
          <w:bCs/>
        </w:rPr>
      </w:pPr>
      <w:r>
        <w:rPr>
          <w:rFonts w:cs="Times New Roman"/>
          <w:bCs/>
          <w:i/>
          <w:iCs/>
        </w:rPr>
        <w:t>N</w:t>
      </w:r>
      <w:r>
        <w:rPr>
          <w:rFonts w:cs="Times New Roman"/>
          <w:bCs/>
          <w:i/>
          <w:iCs/>
          <w:vertAlign w:val="subscript"/>
        </w:rPr>
        <w:t>i</w:t>
      </w:r>
      <w:r>
        <w:rPr>
          <w:rFonts w:cs="Times New Roman"/>
          <w:bCs/>
        </w:rPr>
        <w:t>——物种</w:t>
      </w:r>
      <w:r>
        <w:rPr>
          <w:rFonts w:cs="Times New Roman"/>
          <w:bCs/>
          <w:i/>
          <w:iCs/>
        </w:rPr>
        <w:t>i</w:t>
      </w:r>
      <w:r>
        <w:rPr>
          <w:rFonts w:cs="Times New Roman"/>
          <w:bCs/>
        </w:rPr>
        <w:t>的个体数量</w:t>
      </w:r>
      <w:r>
        <w:rPr>
          <w:rFonts w:hint="eastAsia" w:cs="Times New Roman"/>
          <w:bCs/>
        </w:rPr>
        <w:t>。</w:t>
      </w:r>
    </w:p>
    <w:p w14:paraId="43E23B4B">
      <w:pPr>
        <w:adjustRightInd w:val="0"/>
        <w:ind w:firstLine="480"/>
        <w:rPr>
          <w:rFonts w:cs="Times New Roman"/>
        </w:rPr>
      </w:pPr>
      <w:r>
        <w:rPr>
          <w:rFonts w:hint="eastAsia" w:cs="Times New Roman"/>
          <w:bCs/>
        </w:rPr>
        <w:t>定义</w:t>
      </w:r>
      <w:r>
        <w:rPr>
          <w:rFonts w:cs="Times New Roman"/>
          <w:bCs/>
        </w:rPr>
        <w:t>当</w:t>
      </w:r>
      <w:r>
        <w:rPr>
          <w:rFonts w:hint="eastAsia" w:cs="Times New Roman"/>
          <w:bCs/>
          <w:i/>
          <w:iCs/>
        </w:rPr>
        <w:t>P</w:t>
      </w:r>
      <w:r>
        <w:rPr>
          <w:rFonts w:cs="Times New Roman"/>
          <w:bCs/>
          <w:i/>
          <w:iCs/>
          <w:vertAlign w:val="subscript"/>
        </w:rPr>
        <w:t>i</w:t>
      </w:r>
      <w:r>
        <w:rPr>
          <w:rFonts w:hint="eastAsia" w:cs="Times New Roman"/>
          <w:bCs/>
          <w:i/>
          <w:iCs/>
          <w:vertAlign w:val="subscript"/>
        </w:rPr>
        <w:t xml:space="preserve"> </w:t>
      </w:r>
      <w:r>
        <w:rPr>
          <w:rFonts w:cs="Times New Roman"/>
          <w:bCs/>
        </w:rPr>
        <w:t>≥</w:t>
      </w:r>
      <w:r>
        <w:rPr>
          <w:rFonts w:hint="eastAsia" w:cs="Times New Roman"/>
          <w:bCs/>
        </w:rPr>
        <w:t xml:space="preserve"> </w:t>
      </w:r>
      <w:r>
        <w:rPr>
          <w:rFonts w:cs="Times New Roman"/>
          <w:bCs/>
        </w:rPr>
        <w:t>10%时</w:t>
      </w:r>
      <w:r>
        <w:rPr>
          <w:rFonts w:hint="eastAsia" w:cs="Times New Roman"/>
          <w:bCs/>
        </w:rPr>
        <w:t>，</w:t>
      </w:r>
      <w:r>
        <w:rPr>
          <w:rFonts w:cs="Times New Roman"/>
          <w:bCs/>
        </w:rPr>
        <w:t>物种</w:t>
      </w:r>
      <w:r>
        <w:rPr>
          <w:rFonts w:cs="Times New Roman"/>
          <w:bCs/>
          <w:i/>
          <w:iCs/>
        </w:rPr>
        <w:t>i</w:t>
      </w:r>
      <w:r>
        <w:rPr>
          <w:rFonts w:cs="Times New Roman"/>
          <w:bCs/>
        </w:rPr>
        <w:t>为优势种</w:t>
      </w:r>
      <w:r>
        <w:rPr>
          <w:rFonts w:hint="eastAsia" w:cs="Times New Roman"/>
          <w:bCs/>
        </w:rPr>
        <w:t>；</w:t>
      </w:r>
      <w:r>
        <w:rPr>
          <w:rFonts w:cs="Times New Roman"/>
          <w:bCs/>
        </w:rPr>
        <w:t>1%</w:t>
      </w:r>
      <w:r>
        <w:rPr>
          <w:rFonts w:hint="eastAsia" w:cs="Times New Roman"/>
          <w:bCs/>
        </w:rPr>
        <w:t xml:space="preserve"> </w:t>
      </w:r>
      <w:r>
        <w:rPr>
          <w:rFonts w:cs="Times New Roman"/>
          <w:bCs/>
        </w:rPr>
        <w:t>≤</w:t>
      </w:r>
      <w:r>
        <w:rPr>
          <w:rFonts w:hint="eastAsia" w:cs="Times New Roman"/>
          <w:bCs/>
        </w:rPr>
        <w:t xml:space="preserve"> </w:t>
      </w:r>
      <w:r>
        <w:rPr>
          <w:rFonts w:hint="eastAsia" w:cs="Times New Roman"/>
          <w:bCs/>
          <w:i/>
          <w:iCs/>
        </w:rPr>
        <w:t>P</w:t>
      </w:r>
      <w:r>
        <w:rPr>
          <w:rFonts w:cs="Times New Roman"/>
          <w:bCs/>
          <w:i/>
          <w:iCs/>
          <w:vertAlign w:val="subscript"/>
        </w:rPr>
        <w:t>i</w:t>
      </w:r>
      <w:r>
        <w:rPr>
          <w:rFonts w:hint="eastAsia" w:cs="Times New Roman"/>
          <w:bCs/>
          <w:i/>
          <w:iCs/>
          <w:vertAlign w:val="subscript"/>
        </w:rPr>
        <w:t xml:space="preserve"> </w:t>
      </w:r>
      <w:r>
        <w:rPr>
          <w:rFonts w:cs="Times New Roman"/>
          <w:bCs/>
        </w:rPr>
        <w:t>&lt;</w:t>
      </w:r>
      <w:r>
        <w:rPr>
          <w:rFonts w:hint="eastAsia" w:cs="Times New Roman"/>
          <w:bCs/>
        </w:rPr>
        <w:t xml:space="preserve"> </w:t>
      </w:r>
      <w:r>
        <w:rPr>
          <w:rFonts w:cs="Times New Roman"/>
          <w:bCs/>
        </w:rPr>
        <w:t>10%时</w:t>
      </w:r>
      <w:r>
        <w:rPr>
          <w:rFonts w:hint="eastAsia" w:cs="Times New Roman"/>
          <w:bCs/>
        </w:rPr>
        <w:t>，</w:t>
      </w:r>
      <w:r>
        <w:rPr>
          <w:rFonts w:cs="Times New Roman"/>
          <w:bCs/>
        </w:rPr>
        <w:t>物种</w:t>
      </w:r>
      <w:r>
        <w:rPr>
          <w:rFonts w:cs="Times New Roman"/>
          <w:bCs/>
          <w:i/>
          <w:iCs/>
        </w:rPr>
        <w:t>i</w:t>
      </w:r>
      <w:r>
        <w:rPr>
          <w:rFonts w:cs="Times New Roman"/>
          <w:bCs/>
        </w:rPr>
        <w:t>为常见种</w:t>
      </w:r>
      <w:r>
        <w:rPr>
          <w:rFonts w:hint="eastAsia" w:cs="Times New Roman"/>
          <w:bCs/>
        </w:rPr>
        <w:t>；</w:t>
      </w:r>
      <w:r>
        <w:rPr>
          <w:rFonts w:cs="Times New Roman"/>
          <w:bCs/>
        </w:rPr>
        <w:t>0.1%</w:t>
      </w:r>
      <w:r>
        <w:rPr>
          <w:rFonts w:hint="eastAsia" w:cs="Times New Roman"/>
          <w:bCs/>
        </w:rPr>
        <w:t xml:space="preserve"> </w:t>
      </w:r>
      <w:r>
        <w:rPr>
          <w:rFonts w:cs="Times New Roman"/>
          <w:bCs/>
        </w:rPr>
        <w:t>≤</w:t>
      </w:r>
      <w:r>
        <w:rPr>
          <w:rFonts w:hint="eastAsia" w:cs="Times New Roman"/>
          <w:bCs/>
        </w:rPr>
        <w:t xml:space="preserve"> </w:t>
      </w:r>
      <w:r>
        <w:rPr>
          <w:rFonts w:hint="eastAsia" w:cs="Times New Roman"/>
          <w:bCs/>
          <w:i/>
          <w:iCs/>
        </w:rPr>
        <w:t>P</w:t>
      </w:r>
      <w:r>
        <w:rPr>
          <w:rFonts w:cs="Times New Roman"/>
          <w:bCs/>
          <w:i/>
          <w:iCs/>
          <w:vertAlign w:val="subscript"/>
        </w:rPr>
        <w:t>i</w:t>
      </w:r>
      <w:r>
        <w:rPr>
          <w:rFonts w:hint="eastAsia" w:cs="Times New Roman"/>
          <w:bCs/>
          <w:i/>
          <w:iCs/>
          <w:vertAlign w:val="subscript"/>
        </w:rPr>
        <w:t xml:space="preserve"> </w:t>
      </w:r>
      <w:r>
        <w:rPr>
          <w:rFonts w:cs="Times New Roman"/>
          <w:bCs/>
        </w:rPr>
        <w:t>&lt;</w:t>
      </w:r>
      <w:r>
        <w:rPr>
          <w:rFonts w:hint="eastAsia" w:cs="Times New Roman"/>
          <w:bCs/>
        </w:rPr>
        <w:t xml:space="preserve"> </w:t>
      </w:r>
      <w:r>
        <w:rPr>
          <w:rFonts w:cs="Times New Roman"/>
          <w:bCs/>
        </w:rPr>
        <w:t>1%时</w:t>
      </w:r>
      <w:r>
        <w:rPr>
          <w:rFonts w:hint="eastAsia" w:cs="Times New Roman"/>
          <w:bCs/>
        </w:rPr>
        <w:t>，</w:t>
      </w:r>
      <w:r>
        <w:rPr>
          <w:rFonts w:cs="Times New Roman"/>
          <w:bCs/>
        </w:rPr>
        <w:t>物种</w:t>
      </w:r>
      <w:r>
        <w:rPr>
          <w:rFonts w:cs="Times New Roman"/>
          <w:bCs/>
          <w:i/>
          <w:iCs/>
        </w:rPr>
        <w:t>i</w:t>
      </w:r>
      <w:r>
        <w:rPr>
          <w:rFonts w:cs="Times New Roman"/>
          <w:bCs/>
        </w:rPr>
        <w:t>为稀有种</w:t>
      </w:r>
      <w:r>
        <w:rPr>
          <w:rFonts w:hint="eastAsia" w:cs="Times New Roman"/>
          <w:bCs/>
        </w:rPr>
        <w:t>；</w:t>
      </w:r>
      <w:r>
        <w:rPr>
          <w:rFonts w:hint="eastAsia" w:cs="Times New Roman"/>
          <w:bCs/>
          <w:i/>
          <w:iCs/>
        </w:rPr>
        <w:t>P</w:t>
      </w:r>
      <w:r>
        <w:rPr>
          <w:rFonts w:cs="Times New Roman"/>
          <w:bCs/>
          <w:i/>
          <w:iCs/>
          <w:vertAlign w:val="subscript"/>
        </w:rPr>
        <w:t>i</w:t>
      </w:r>
      <w:r>
        <w:rPr>
          <w:rFonts w:hint="eastAsia" w:cs="Times New Roman"/>
          <w:bCs/>
          <w:i/>
          <w:iCs/>
          <w:vertAlign w:val="subscript"/>
        </w:rPr>
        <w:t xml:space="preserve"> </w:t>
      </w:r>
      <w:r>
        <w:rPr>
          <w:rFonts w:cs="Times New Roman"/>
          <w:bCs/>
        </w:rPr>
        <w:t>&lt;</w:t>
      </w:r>
      <w:r>
        <w:rPr>
          <w:rFonts w:hint="eastAsia" w:cs="Times New Roman"/>
          <w:bCs/>
        </w:rPr>
        <w:t xml:space="preserve"> </w:t>
      </w:r>
      <w:r>
        <w:rPr>
          <w:rFonts w:cs="Times New Roman"/>
          <w:bCs/>
        </w:rPr>
        <w:t>0.1%时</w:t>
      </w:r>
      <w:r>
        <w:rPr>
          <w:rFonts w:hint="eastAsia" w:cs="Times New Roman"/>
          <w:bCs/>
        </w:rPr>
        <w:t>，</w:t>
      </w:r>
      <w:r>
        <w:rPr>
          <w:rFonts w:cs="Times New Roman"/>
          <w:bCs/>
        </w:rPr>
        <w:t>物种</w:t>
      </w:r>
      <w:r>
        <w:rPr>
          <w:rFonts w:cs="Times New Roman"/>
          <w:bCs/>
          <w:i/>
          <w:iCs/>
        </w:rPr>
        <w:t>i</w:t>
      </w:r>
      <w:r>
        <w:rPr>
          <w:rFonts w:cs="Times New Roman"/>
          <w:bCs/>
        </w:rPr>
        <w:t>为罕见种</w:t>
      </w:r>
      <w:r>
        <w:rPr>
          <w:rFonts w:hint="eastAsia" w:cs="Times New Roman"/>
          <w:bCs/>
        </w:rPr>
        <w:t>。</w:t>
      </w:r>
    </w:p>
    <w:p w14:paraId="3771B321">
      <w:pPr>
        <w:ind w:firstLine="480"/>
        <w:rPr>
          <w:rFonts w:cs="Times New Roman"/>
        </w:rPr>
      </w:pPr>
      <w:r>
        <w:rPr>
          <w:rFonts w:hint="eastAsia" w:cs="Times New Roman"/>
        </w:rPr>
        <w:t>（5）浮游生物</w:t>
      </w:r>
    </w:p>
    <w:p w14:paraId="5D42C4D3">
      <w:pPr>
        <w:ind w:firstLine="480"/>
        <w:rPr>
          <w:rFonts w:cs="Times New Roman"/>
        </w:rPr>
      </w:pPr>
      <w:r>
        <w:rPr>
          <w:rFonts w:hint="eastAsia" w:cs="Times New Roman"/>
        </w:rPr>
        <w:t>①概念定义</w:t>
      </w:r>
    </w:p>
    <w:p w14:paraId="3A95E7F0">
      <w:pPr>
        <w:ind w:firstLine="480"/>
        <w:rPr>
          <w:rFonts w:cs="Times New Roman"/>
        </w:rPr>
      </w:pPr>
      <w:r>
        <w:rPr>
          <w:rFonts w:cs="Times New Roman"/>
        </w:rPr>
        <w:t>浮游植物</w:t>
      </w:r>
      <w:r>
        <w:rPr>
          <w:rFonts w:hint="eastAsia" w:cs="Times New Roman"/>
        </w:rPr>
        <w:t>：</w:t>
      </w:r>
      <w:r>
        <w:rPr>
          <w:rFonts w:cs="Times New Roman"/>
        </w:rPr>
        <w:t>水中营浮游生活的藻类，属于微藻类，广泛存在于河流中</w:t>
      </w:r>
      <w:r>
        <w:rPr>
          <w:rFonts w:hint="eastAsia" w:cs="Times New Roman"/>
        </w:rPr>
        <w:t>，</w:t>
      </w:r>
      <w:r>
        <w:rPr>
          <w:rFonts w:cs="Times New Roman"/>
        </w:rPr>
        <w:t>淡水水体中的浮游</w:t>
      </w:r>
      <w:r>
        <w:rPr>
          <w:rFonts w:hint="eastAsia" w:cs="Times New Roman"/>
        </w:rPr>
        <w:t>植物种类</w:t>
      </w:r>
      <w:r>
        <w:rPr>
          <w:rFonts w:cs="Times New Roman"/>
        </w:rPr>
        <w:t>主要</w:t>
      </w:r>
      <w:r>
        <w:rPr>
          <w:rFonts w:hint="eastAsia" w:cs="Times New Roman"/>
        </w:rPr>
        <w:t>有</w:t>
      </w:r>
      <w:r>
        <w:rPr>
          <w:rFonts w:cs="Times New Roman"/>
        </w:rPr>
        <w:t>蓝藻、绿藻、硅藻、裸藻、甲藻、金藻、黄藻和隐藻等。</w:t>
      </w:r>
    </w:p>
    <w:p w14:paraId="37CFED4B">
      <w:pPr>
        <w:ind w:firstLine="480"/>
        <w:rPr>
          <w:rFonts w:cs="Times New Roman"/>
        </w:rPr>
      </w:pPr>
      <w:r>
        <w:rPr>
          <w:rFonts w:cs="Times New Roman"/>
        </w:rPr>
        <w:t>浮游动物</w:t>
      </w:r>
      <w:r>
        <w:rPr>
          <w:rFonts w:hint="eastAsia" w:cs="Times New Roman"/>
        </w:rPr>
        <w:t>：</w:t>
      </w:r>
      <w:r>
        <w:rPr>
          <w:rFonts w:cs="Times New Roman"/>
        </w:rPr>
        <w:t>浮游动物是指悬浮于水中的异养型无脊椎动物和脊索动物幼体的总称，淡水水体中的</w:t>
      </w:r>
      <w:r>
        <w:rPr>
          <w:rFonts w:hint="eastAsia" w:cs="Times New Roman"/>
        </w:rPr>
        <w:t>中的浮游动物</w:t>
      </w:r>
      <w:r>
        <w:rPr>
          <w:rFonts w:cs="Times New Roman"/>
        </w:rPr>
        <w:t>主要</w:t>
      </w:r>
      <w:r>
        <w:rPr>
          <w:rFonts w:hint="eastAsia" w:cs="Times New Roman"/>
        </w:rPr>
        <w:t>种类有</w:t>
      </w:r>
      <w:r>
        <w:rPr>
          <w:rFonts w:cs="Times New Roman"/>
        </w:rPr>
        <w:t>原生动物、轮虫、枝角类和桡足类。</w:t>
      </w:r>
    </w:p>
    <w:p w14:paraId="20310089">
      <w:pPr>
        <w:ind w:firstLine="480"/>
        <w:rPr>
          <w:rFonts w:cs="Times New Roman"/>
        </w:rPr>
      </w:pPr>
      <w:r>
        <w:rPr>
          <w:rFonts w:hint="eastAsia" w:cs="Times New Roman"/>
        </w:rPr>
        <w:t>②</w:t>
      </w:r>
      <w:r>
        <w:rPr>
          <w:rFonts w:cs="Times New Roman"/>
        </w:rPr>
        <w:t>调查方法</w:t>
      </w:r>
    </w:p>
    <w:p w14:paraId="7D6DF136">
      <w:pPr>
        <w:ind w:firstLine="480"/>
        <w:rPr>
          <w:rFonts w:cs="Times New Roman"/>
        </w:rPr>
      </w:pPr>
      <w:r>
        <w:rPr>
          <w:rFonts w:hint="eastAsia" w:cs="Times New Roman"/>
        </w:rPr>
        <w:t>参考</w:t>
      </w:r>
      <w:r>
        <w:rPr>
          <w:rFonts w:cs="Times New Roman"/>
        </w:rPr>
        <w:t>《淡水渔业资源调查规范》（SC/T 9429-2019）</w:t>
      </w:r>
      <w:r>
        <w:rPr>
          <w:rFonts w:hint="eastAsia" w:cs="Times New Roman"/>
        </w:rPr>
        <w:t>、</w:t>
      </w:r>
      <w:r>
        <w:rPr>
          <w:rFonts w:cs="Times New Roman"/>
        </w:rPr>
        <w:t>《淡水浮游生物调查技术规范》（SC/T 9402-2010）</w:t>
      </w:r>
      <w:r>
        <w:rPr>
          <w:rFonts w:hint="eastAsia" w:cs="Times New Roman"/>
        </w:rPr>
        <w:t>等技术标准</w:t>
      </w:r>
      <w:r>
        <w:rPr>
          <w:rFonts w:cs="Times New Roman"/>
        </w:rPr>
        <w:t>进行采样和检测。</w:t>
      </w:r>
    </w:p>
    <w:p w14:paraId="620908FB">
      <w:pPr>
        <w:rPr>
          <w:rFonts w:cs="Times New Roman"/>
        </w:rPr>
      </w:pPr>
      <w:r>
        <w:rPr>
          <w:rFonts w:hint="eastAsia" w:cs="Times New Roman"/>
        </w:rPr>
        <w:t>（5）浮游生物</w:t>
      </w:r>
    </w:p>
    <w:p w14:paraId="43133B5F">
      <w:pPr>
        <w:ind w:firstLine="480"/>
        <w:rPr>
          <w:rFonts w:cs="Times New Roman"/>
        </w:rPr>
      </w:pPr>
      <w:r>
        <w:rPr>
          <w:rFonts w:hint="eastAsia" w:cs="Times New Roman"/>
        </w:rPr>
        <w:t>①概念定义</w:t>
      </w:r>
    </w:p>
    <w:p w14:paraId="07D5CA59">
      <w:pPr>
        <w:ind w:firstLine="480"/>
        <w:rPr>
          <w:rFonts w:cs="Times New Roman"/>
        </w:rPr>
      </w:pPr>
      <w:r>
        <w:rPr>
          <w:rFonts w:cs="Times New Roman"/>
        </w:rPr>
        <w:t>浮游植物</w:t>
      </w:r>
      <w:r>
        <w:rPr>
          <w:rFonts w:hint="eastAsia" w:cs="Times New Roman"/>
        </w:rPr>
        <w:t>：</w:t>
      </w:r>
      <w:r>
        <w:rPr>
          <w:rFonts w:cs="Times New Roman"/>
        </w:rPr>
        <w:t>水中营浮游生活的藻类，属于微藻类，广泛存在于河流中</w:t>
      </w:r>
      <w:r>
        <w:rPr>
          <w:rFonts w:hint="eastAsia" w:cs="Times New Roman"/>
        </w:rPr>
        <w:t>，</w:t>
      </w:r>
      <w:r>
        <w:rPr>
          <w:rFonts w:cs="Times New Roman"/>
        </w:rPr>
        <w:t>淡水水体中的浮游</w:t>
      </w:r>
      <w:r>
        <w:rPr>
          <w:rFonts w:hint="eastAsia" w:cs="Times New Roman"/>
        </w:rPr>
        <w:t>植物种类</w:t>
      </w:r>
      <w:r>
        <w:rPr>
          <w:rFonts w:cs="Times New Roman"/>
        </w:rPr>
        <w:t>主要</w:t>
      </w:r>
      <w:r>
        <w:rPr>
          <w:rFonts w:hint="eastAsia" w:cs="Times New Roman"/>
        </w:rPr>
        <w:t>有</w:t>
      </w:r>
      <w:r>
        <w:rPr>
          <w:rFonts w:cs="Times New Roman"/>
        </w:rPr>
        <w:t>蓝藻、绿藻、硅藻、裸藻、甲藻、金藻、黄藻和隐藻等。</w:t>
      </w:r>
    </w:p>
    <w:p w14:paraId="01DAE5ED">
      <w:pPr>
        <w:ind w:firstLine="480"/>
        <w:rPr>
          <w:rFonts w:cs="Times New Roman"/>
        </w:rPr>
      </w:pPr>
      <w:r>
        <w:rPr>
          <w:rFonts w:cs="Times New Roman"/>
        </w:rPr>
        <w:t>浮游动物</w:t>
      </w:r>
      <w:r>
        <w:rPr>
          <w:rFonts w:hint="eastAsia" w:cs="Times New Roman"/>
        </w:rPr>
        <w:t>：</w:t>
      </w:r>
      <w:r>
        <w:rPr>
          <w:rFonts w:cs="Times New Roman"/>
        </w:rPr>
        <w:t>浮游动物是指悬浮于水中的异养型无脊椎动物和脊索动物幼体的总称，淡水水体中的</w:t>
      </w:r>
      <w:r>
        <w:rPr>
          <w:rFonts w:hint="eastAsia" w:cs="Times New Roman"/>
        </w:rPr>
        <w:t>中的浮游动物</w:t>
      </w:r>
      <w:r>
        <w:rPr>
          <w:rFonts w:cs="Times New Roman"/>
        </w:rPr>
        <w:t>主要</w:t>
      </w:r>
      <w:r>
        <w:rPr>
          <w:rFonts w:hint="eastAsia" w:cs="Times New Roman"/>
        </w:rPr>
        <w:t>种类有</w:t>
      </w:r>
      <w:r>
        <w:rPr>
          <w:rFonts w:cs="Times New Roman"/>
        </w:rPr>
        <w:t>原生动物、轮虫、枝角类和桡足类。</w:t>
      </w:r>
    </w:p>
    <w:p w14:paraId="0D509542">
      <w:pPr>
        <w:ind w:firstLine="480"/>
        <w:rPr>
          <w:rFonts w:cs="Times New Roman"/>
        </w:rPr>
      </w:pPr>
      <w:r>
        <w:rPr>
          <w:rFonts w:hint="eastAsia" w:cs="Times New Roman"/>
        </w:rPr>
        <w:t>②</w:t>
      </w:r>
      <w:r>
        <w:rPr>
          <w:rFonts w:cs="Times New Roman"/>
        </w:rPr>
        <w:t>调查方法</w:t>
      </w:r>
    </w:p>
    <w:p w14:paraId="6A5FBCCD">
      <w:pPr>
        <w:ind w:firstLine="480"/>
        <w:rPr>
          <w:rFonts w:cs="Times New Roman"/>
        </w:rPr>
      </w:pPr>
      <w:r>
        <w:rPr>
          <w:rFonts w:hint="eastAsia" w:cs="Times New Roman"/>
        </w:rPr>
        <w:t>参考</w:t>
      </w:r>
      <w:r>
        <w:rPr>
          <w:rFonts w:cs="Times New Roman"/>
        </w:rPr>
        <w:t>《淡水渔业资源调查规范》（SC/T 9429-2019）</w:t>
      </w:r>
      <w:r>
        <w:rPr>
          <w:rFonts w:hint="eastAsia" w:cs="Times New Roman"/>
        </w:rPr>
        <w:t>、</w:t>
      </w:r>
      <w:r>
        <w:rPr>
          <w:rFonts w:cs="Times New Roman"/>
        </w:rPr>
        <w:t>《淡水浮游生物调查技术规范》（SC/T 9402-2010）</w:t>
      </w:r>
      <w:r>
        <w:rPr>
          <w:rFonts w:hint="eastAsia" w:cs="Times New Roman"/>
        </w:rPr>
        <w:t>等技术标准</w:t>
      </w:r>
      <w:r>
        <w:rPr>
          <w:rFonts w:cs="Times New Roman"/>
        </w:rPr>
        <w:t>进行采样和检测。</w:t>
      </w:r>
    </w:p>
    <w:p w14:paraId="2131607E">
      <w:pPr>
        <w:ind w:firstLine="480"/>
        <w:rPr>
          <w:rFonts w:cs="Times New Roman"/>
        </w:rPr>
      </w:pPr>
      <w:r>
        <w:rPr>
          <w:rFonts w:hint="eastAsia" w:cs="Times New Roman"/>
        </w:rPr>
        <w:t>A</w:t>
      </w:r>
      <w:r>
        <w:rPr>
          <w:rFonts w:cs="Times New Roman"/>
        </w:rPr>
        <w:t>.浮游</w:t>
      </w:r>
      <w:r>
        <w:rPr>
          <w:rFonts w:hint="eastAsia" w:cs="Times New Roman"/>
        </w:rPr>
        <w:t>植物采集与分析：</w:t>
      </w:r>
    </w:p>
    <w:p w14:paraId="62FF0574">
      <w:pPr>
        <w:ind w:firstLine="480"/>
        <w:rPr>
          <w:rFonts w:cs="Times New Roman"/>
        </w:rPr>
      </w:pPr>
      <w:r>
        <w:rPr>
          <w:rFonts w:cs="Times New Roman"/>
        </w:rPr>
        <w:t>浮游植物定性样品的采集应在定量样品采集结束后进行</w:t>
      </w:r>
      <w:r>
        <w:rPr>
          <w:rFonts w:hint="eastAsia" w:cs="Times New Roman"/>
        </w:rPr>
        <w:t>，</w:t>
      </w:r>
      <w:r>
        <w:rPr>
          <w:rFonts w:cs="Times New Roman"/>
        </w:rPr>
        <w:t>定性样品采用25号浮游生物网，在选定的采样点于水面下0.5</w:t>
      </w:r>
      <w:r>
        <w:rPr>
          <w:rFonts w:hint="eastAsia" w:cs="Times New Roman"/>
        </w:rPr>
        <w:t xml:space="preserve"> </w:t>
      </w:r>
      <w:r>
        <w:rPr>
          <w:rFonts w:cs="Times New Roman"/>
        </w:rPr>
        <w:t>m深处以每秒20</w:t>
      </w:r>
      <w:r>
        <w:rPr>
          <w:rFonts w:hint="eastAsia" w:cs="Times New Roman"/>
        </w:rPr>
        <w:t>~</w:t>
      </w:r>
      <w:r>
        <w:rPr>
          <w:rFonts w:cs="Times New Roman"/>
        </w:rPr>
        <w:t>30</w:t>
      </w:r>
      <w:r>
        <w:rPr>
          <w:rFonts w:hint="eastAsia" w:cs="Times New Roman"/>
        </w:rPr>
        <w:t xml:space="preserve"> </w:t>
      </w:r>
      <w:r>
        <w:rPr>
          <w:rFonts w:cs="Times New Roman"/>
        </w:rPr>
        <w:t>cm的速度作</w:t>
      </w:r>
      <w:r>
        <w:rPr>
          <w:rFonts w:hint="eastAsia" w:cs="Times New Roman"/>
        </w:rPr>
        <w:t>“</w:t>
      </w:r>
      <w:r>
        <w:rPr>
          <w:rFonts w:cs="Times New Roman"/>
        </w:rPr>
        <w:t>∞</w:t>
      </w:r>
      <w:r>
        <w:rPr>
          <w:rFonts w:hint="eastAsia" w:cs="Times New Roman"/>
        </w:rPr>
        <w:t>”</w:t>
      </w:r>
      <w:r>
        <w:rPr>
          <w:rFonts w:cs="Times New Roman"/>
        </w:rPr>
        <w:t>形循环缓慢拖动，重复2次</w:t>
      </w:r>
      <w:r>
        <w:rPr>
          <w:rFonts w:hint="eastAsia" w:cs="Times New Roman"/>
        </w:rPr>
        <w:t>～</w:t>
      </w:r>
      <w:r>
        <w:rPr>
          <w:rFonts w:cs="Times New Roman"/>
        </w:rPr>
        <w:t>5次，拖动时间至少5分钟，以此来定性采集浮游</w:t>
      </w:r>
      <w:r>
        <w:rPr>
          <w:rFonts w:hint="eastAsia" w:cs="Times New Roman"/>
        </w:rPr>
        <w:t>植物</w:t>
      </w:r>
      <w:r>
        <w:rPr>
          <w:rFonts w:cs="Times New Roman"/>
        </w:rPr>
        <w:t>。定量计数前在显微镜下观察定性样品</w:t>
      </w:r>
      <w:r>
        <w:rPr>
          <w:rFonts w:hint="eastAsia" w:cs="Times New Roman"/>
        </w:rPr>
        <w:t>，浮游植物最低鉴定到属。</w:t>
      </w:r>
    </w:p>
    <w:p w14:paraId="4FA4591F">
      <w:pPr>
        <w:ind w:firstLine="480"/>
        <w:rPr>
          <w:rFonts w:cs="Times New Roman"/>
        </w:rPr>
      </w:pPr>
      <w:r>
        <w:rPr>
          <w:rFonts w:hint="eastAsia" w:cs="Times New Roman"/>
        </w:rPr>
        <w:t>定量和定性样品现场加入水样终体积1%～1.5%的鲁哥氏液进行固定。</w:t>
      </w:r>
    </w:p>
    <w:p w14:paraId="5CECF646">
      <w:pPr>
        <w:ind w:firstLine="480"/>
        <w:rPr>
          <w:rFonts w:cs="Times New Roman"/>
        </w:rPr>
      </w:pPr>
      <w:r>
        <w:rPr>
          <w:rFonts w:cs="Times New Roman"/>
        </w:rPr>
        <w:t>定量采集则采集充分混合的2000 m</w:t>
      </w:r>
      <w:r>
        <w:rPr>
          <w:rFonts w:eastAsia="仿宋" w:cs="Times New Roman"/>
        </w:rPr>
        <w:t>L</w:t>
      </w:r>
      <w:r>
        <w:rPr>
          <w:rFonts w:cs="Times New Roman"/>
        </w:rPr>
        <w:t>水样（根据水泥沙含量、浮游植物数量等实际情况决定取样量，并采用泥沙分离的方法），加入鲁哥氏液固定，经过48</w:t>
      </w:r>
      <w:r>
        <w:rPr>
          <w:rFonts w:hint="eastAsia" w:cs="Times New Roman"/>
        </w:rPr>
        <w:t xml:space="preserve"> </w:t>
      </w:r>
      <w:r>
        <w:rPr>
          <w:rFonts w:cs="Times New Roman"/>
        </w:rPr>
        <w:t>h静置沉淀，浓缩至约30</w:t>
      </w:r>
      <w:r>
        <w:rPr>
          <w:rFonts w:hint="eastAsia" w:cs="Times New Roman"/>
        </w:rPr>
        <w:t xml:space="preserve"> </w:t>
      </w:r>
      <w:r>
        <w:rPr>
          <w:rFonts w:cs="Times New Roman"/>
        </w:rPr>
        <w:t>m</w:t>
      </w:r>
      <w:r>
        <w:rPr>
          <w:rFonts w:eastAsia="仿宋" w:cs="Times New Roman"/>
        </w:rPr>
        <w:t>L</w:t>
      </w:r>
      <w:r>
        <w:rPr>
          <w:rFonts w:cs="Times New Roman"/>
        </w:rPr>
        <w:t>，保存待检。在实验室进行浮游植物种类的鉴定及计数、统计和分析，浮游植物密度单位为ind./L，生物量单位为mg/L。</w:t>
      </w:r>
    </w:p>
    <w:p w14:paraId="46ADD6BA">
      <w:pPr>
        <w:ind w:firstLine="480"/>
        <w:rPr>
          <w:rFonts w:cs="Times New Roman"/>
        </w:rPr>
      </w:pPr>
      <w:r>
        <w:rPr>
          <w:rFonts w:hint="eastAsia" w:cs="Times New Roman"/>
        </w:rPr>
        <w:t>单位</w:t>
      </w:r>
      <w:r>
        <w:rPr>
          <w:rFonts w:cs="Times New Roman"/>
        </w:rPr>
        <w:t>水样中浮游植物</w:t>
      </w:r>
      <w:r>
        <w:rPr>
          <w:rFonts w:hint="eastAsia" w:cs="Times New Roman"/>
        </w:rPr>
        <w:t>密度</w:t>
      </w:r>
      <w:r>
        <w:rPr>
          <w:rFonts w:cs="Times New Roman"/>
        </w:rPr>
        <w:t>的计算公式如下：</w:t>
      </w:r>
    </w:p>
    <w:p w14:paraId="6C8DE118">
      <w:pPr>
        <w:overflowPunct w:val="0"/>
        <w:jc w:val="center"/>
        <w:rPr>
          <w:rFonts w:ascii="仿宋" w:hAnsi="仿宋" w:eastAsia="仿宋" w:cs="仿宋"/>
          <w:sz w:val="28"/>
          <w:szCs w:val="28"/>
        </w:rPr>
      </w:pPr>
      <w:r>
        <w:rPr>
          <w:rFonts w:ascii="仿宋" w:hAnsi="仿宋" w:eastAsia="仿宋" w:cs="仿宋"/>
          <w:sz w:val="28"/>
          <w:szCs w:val="28"/>
        </w:rPr>
        <w:drawing>
          <wp:inline distT="0" distB="0" distL="114300" distR="114300">
            <wp:extent cx="1442085" cy="429260"/>
            <wp:effectExtent l="0" t="0" r="5715" b="2540"/>
            <wp:docPr id="142" name="图片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2366"/>
                    <pic:cNvPicPr>
                      <a:picLocks noChangeAspect="1"/>
                    </pic:cNvPicPr>
                  </pic:nvPicPr>
                  <pic:blipFill>
                    <a:blip r:embed="rId137"/>
                    <a:stretch>
                      <a:fillRect/>
                    </a:stretch>
                  </pic:blipFill>
                  <pic:spPr>
                    <a:xfrm>
                      <a:off x="0" y="0"/>
                      <a:ext cx="1442085" cy="429260"/>
                    </a:xfrm>
                    <a:prstGeom prst="rect">
                      <a:avLst/>
                    </a:prstGeom>
                    <a:noFill/>
                    <a:ln>
                      <a:noFill/>
                    </a:ln>
                  </pic:spPr>
                </pic:pic>
              </a:graphicData>
            </a:graphic>
          </wp:inline>
        </w:drawing>
      </w:r>
    </w:p>
    <w:p w14:paraId="20391D07">
      <w:pPr>
        <w:overflowPunct w:val="0"/>
        <w:ind w:firstLine="480"/>
        <w:rPr>
          <w:rFonts w:cs="Times New Roman"/>
        </w:rPr>
      </w:pPr>
      <w:r>
        <w:rPr>
          <w:rFonts w:cs="Times New Roman"/>
        </w:rPr>
        <w:t>式中</w:t>
      </w:r>
      <w:r>
        <w:rPr>
          <w:rFonts w:hint="eastAsia" w:cs="Times New Roman"/>
        </w:rPr>
        <w:t>：</w:t>
      </w:r>
      <w:r>
        <w:rPr>
          <w:rFonts w:cs="Times New Roman"/>
          <w:i/>
          <w:iCs/>
        </w:rPr>
        <w:t>N</w:t>
      </w:r>
      <w:r>
        <w:rPr>
          <w:rFonts w:cs="Times New Roman"/>
        </w:rPr>
        <w:t>——浮游植物密度，cells/L；</w:t>
      </w:r>
    </w:p>
    <w:p w14:paraId="31BF04B3">
      <w:pPr>
        <w:overflowPunct w:val="0"/>
        <w:ind w:firstLine="1200" w:firstLineChars="500"/>
        <w:rPr>
          <w:rFonts w:cs="Times New Roman"/>
        </w:rPr>
      </w:pPr>
      <w:r>
        <w:rPr>
          <w:rFonts w:cs="Times New Roman"/>
          <w:i/>
          <w:iCs/>
        </w:rPr>
        <w:t>A</w:t>
      </w:r>
      <w:r>
        <w:rPr>
          <w:rFonts w:cs="Times New Roman"/>
        </w:rPr>
        <w:t>——计数框面积，mm</w:t>
      </w:r>
      <w:r>
        <w:rPr>
          <w:rFonts w:cs="Times New Roman"/>
          <w:vertAlign w:val="superscript"/>
        </w:rPr>
        <w:t>2</w:t>
      </w:r>
    </w:p>
    <w:p w14:paraId="2CE8E9C0">
      <w:pPr>
        <w:overflowPunct w:val="0"/>
        <w:ind w:firstLine="1200" w:firstLineChars="500"/>
        <w:rPr>
          <w:rFonts w:cs="Times New Roman"/>
        </w:rPr>
      </w:pPr>
      <w:r>
        <w:rPr>
          <w:rFonts w:cs="Times New Roman"/>
          <w:i/>
          <w:iCs/>
        </w:rPr>
        <w:t>A</w:t>
      </w:r>
      <w:r>
        <w:rPr>
          <w:rFonts w:cs="Times New Roman"/>
          <w:i/>
          <w:iCs/>
          <w:vertAlign w:val="subscript"/>
        </w:rPr>
        <w:t>c</w:t>
      </w:r>
      <w:r>
        <w:rPr>
          <w:rFonts w:cs="Times New Roman"/>
        </w:rPr>
        <w:t>——计数面积，mm</w:t>
      </w:r>
      <w:r>
        <w:rPr>
          <w:rFonts w:cs="Times New Roman"/>
          <w:vertAlign w:val="superscript"/>
        </w:rPr>
        <w:t>2</w:t>
      </w:r>
    </w:p>
    <w:p w14:paraId="0D9A5844">
      <w:pPr>
        <w:overflowPunct w:val="0"/>
        <w:ind w:firstLine="1200" w:firstLineChars="500"/>
        <w:rPr>
          <w:rFonts w:cs="Times New Roman"/>
        </w:rPr>
      </w:pPr>
      <w:r>
        <w:rPr>
          <w:rFonts w:cs="Times New Roman"/>
          <w:i/>
          <w:iCs/>
        </w:rPr>
        <w:t>V</w:t>
      </w:r>
      <w:r>
        <w:rPr>
          <w:rFonts w:cs="Times New Roman"/>
          <w:i/>
          <w:iCs/>
          <w:vertAlign w:val="subscript"/>
        </w:rPr>
        <w:t>0</w:t>
      </w:r>
      <w:r>
        <w:rPr>
          <w:rFonts w:cs="Times New Roman"/>
        </w:rPr>
        <w:t>——水样浓缩前体积，L；</w:t>
      </w:r>
    </w:p>
    <w:p w14:paraId="6935EDFB">
      <w:pPr>
        <w:overflowPunct w:val="0"/>
        <w:ind w:firstLine="1200" w:firstLineChars="500"/>
        <w:rPr>
          <w:rFonts w:cs="Times New Roman"/>
        </w:rPr>
      </w:pPr>
      <w:r>
        <w:rPr>
          <w:rFonts w:cs="Times New Roman"/>
          <w:i/>
          <w:iCs/>
        </w:rPr>
        <w:t>V</w:t>
      </w:r>
      <w:r>
        <w:rPr>
          <w:rFonts w:cs="Times New Roman"/>
          <w:i/>
          <w:iCs/>
          <w:vertAlign w:val="subscript"/>
        </w:rPr>
        <w:t>S</w:t>
      </w:r>
      <w:r>
        <w:rPr>
          <w:rFonts w:cs="Times New Roman"/>
        </w:rPr>
        <w:t>——水样浓缩后体积，mL；</w:t>
      </w:r>
    </w:p>
    <w:p w14:paraId="509F9FD9">
      <w:pPr>
        <w:overflowPunct w:val="0"/>
        <w:ind w:firstLine="1200" w:firstLineChars="500"/>
        <w:rPr>
          <w:rFonts w:cs="Times New Roman"/>
        </w:rPr>
      </w:pPr>
      <w:r>
        <w:rPr>
          <w:rFonts w:cs="Times New Roman"/>
          <w:i/>
          <w:iCs/>
        </w:rPr>
        <w:t>V</w:t>
      </w:r>
      <w:r>
        <w:rPr>
          <w:rFonts w:cs="Times New Roman"/>
          <w:i/>
          <w:iCs/>
          <w:vertAlign w:val="subscript"/>
        </w:rPr>
        <w:t>a</w:t>
      </w:r>
      <w:r>
        <w:rPr>
          <w:rFonts w:cs="Times New Roman"/>
        </w:rPr>
        <w:t>——计数框容积，mL；</w:t>
      </w:r>
    </w:p>
    <w:p w14:paraId="7563F220">
      <w:pPr>
        <w:overflowPunct w:val="0"/>
        <w:ind w:firstLine="1200" w:firstLineChars="500"/>
        <w:rPr>
          <w:rFonts w:cs="Times New Roman"/>
        </w:rPr>
      </w:pPr>
      <w:r>
        <w:rPr>
          <w:rFonts w:cs="Times New Roman"/>
          <w:i/>
          <w:iCs/>
        </w:rPr>
        <w:t>n</w:t>
      </w:r>
      <w:r>
        <w:rPr>
          <w:rFonts w:cs="Times New Roman"/>
        </w:rPr>
        <w:t>——浮游植物计数细胞数，cells。</w:t>
      </w:r>
    </w:p>
    <w:p w14:paraId="4F498583">
      <w:pPr>
        <w:ind w:firstLine="480"/>
        <w:rPr>
          <w:rFonts w:cs="Times New Roman"/>
        </w:rPr>
      </w:pPr>
      <w:r>
        <w:rPr>
          <w:rFonts w:hint="eastAsia" w:cs="Times New Roman"/>
        </w:rPr>
        <w:t>B</w:t>
      </w:r>
      <w:r>
        <w:rPr>
          <w:rFonts w:cs="Times New Roman"/>
        </w:rPr>
        <w:t>.浮游动物</w:t>
      </w:r>
      <w:r>
        <w:rPr>
          <w:rFonts w:hint="eastAsia" w:cs="Times New Roman"/>
        </w:rPr>
        <w:t>采集与分析：</w:t>
      </w:r>
    </w:p>
    <w:p w14:paraId="3EA89DA7">
      <w:pPr>
        <w:ind w:firstLine="480"/>
        <w:rPr>
          <w:rFonts w:cs="Times New Roman"/>
        </w:rPr>
      </w:pPr>
      <w:r>
        <w:rPr>
          <w:rFonts w:cs="Times New Roman"/>
        </w:rPr>
        <w:t>浮游动物定性样品的采集在定量样品采集结束后进行</w:t>
      </w:r>
      <w:r>
        <w:rPr>
          <w:rFonts w:hint="eastAsia" w:cs="Times New Roman"/>
        </w:rPr>
        <w:t>，其中</w:t>
      </w:r>
      <w:r>
        <w:rPr>
          <w:rFonts w:cs="Times New Roman"/>
        </w:rPr>
        <w:t>原生动物和轮虫采用25号浮游生物网，枝角类和桡足类采用13号浮游生物网，</w:t>
      </w:r>
      <w:r>
        <w:rPr>
          <w:rFonts w:hint="eastAsia" w:cs="Times New Roman"/>
        </w:rPr>
        <w:t>其他</w:t>
      </w:r>
      <w:r>
        <w:rPr>
          <w:rFonts w:cs="Times New Roman"/>
        </w:rPr>
        <w:t>方法同浮游植物</w:t>
      </w:r>
      <w:r>
        <w:rPr>
          <w:rFonts w:hint="eastAsia" w:cs="Times New Roman"/>
        </w:rPr>
        <w:t>，</w:t>
      </w:r>
      <w:r>
        <w:rPr>
          <w:rFonts w:cs="Times New Roman"/>
        </w:rPr>
        <w:t>浮游动物</w:t>
      </w:r>
      <w:r>
        <w:rPr>
          <w:rFonts w:hint="eastAsia" w:cs="Times New Roman"/>
        </w:rPr>
        <w:t>定性</w:t>
      </w:r>
      <w:r>
        <w:rPr>
          <w:rFonts w:cs="Times New Roman"/>
        </w:rPr>
        <w:t xml:space="preserve">样品每100 </w:t>
      </w:r>
      <w:r>
        <w:rPr>
          <w:rFonts w:eastAsia="仿宋" w:cs="Times New Roman"/>
        </w:rPr>
        <w:t>mL</w:t>
      </w:r>
      <w:r>
        <w:rPr>
          <w:rFonts w:cs="Times New Roman"/>
        </w:rPr>
        <w:t xml:space="preserve">水样加入1 </w:t>
      </w:r>
      <w:r>
        <w:rPr>
          <w:rFonts w:eastAsia="仿宋" w:cs="Times New Roman"/>
        </w:rPr>
        <w:t>mL</w:t>
      </w:r>
      <w:r>
        <w:rPr>
          <w:rFonts w:cs="Times New Roman"/>
        </w:rPr>
        <w:t>福尔马林固定。</w:t>
      </w:r>
    </w:p>
    <w:p w14:paraId="0990C1A3">
      <w:pPr>
        <w:ind w:firstLine="480"/>
        <w:rPr>
          <w:rFonts w:cs="Times New Roman"/>
        </w:rPr>
      </w:pPr>
      <w:r>
        <w:rPr>
          <w:rFonts w:cs="Times New Roman"/>
        </w:rPr>
        <w:t>在水面下0.5 m处</w:t>
      </w:r>
      <w:r>
        <w:rPr>
          <w:rFonts w:hint="eastAsia" w:cs="Times New Roman"/>
        </w:rPr>
        <w:t>进行浮游植物</w:t>
      </w:r>
      <w:r>
        <w:rPr>
          <w:rFonts w:cs="Times New Roman"/>
        </w:rPr>
        <w:t>定量</w:t>
      </w:r>
      <w:r>
        <w:rPr>
          <w:rFonts w:hint="eastAsia" w:cs="Times New Roman"/>
        </w:rPr>
        <w:t>样品</w:t>
      </w:r>
      <w:r>
        <w:rPr>
          <w:rFonts w:cs="Times New Roman"/>
        </w:rPr>
        <w:t>采集</w:t>
      </w:r>
      <w:r>
        <w:rPr>
          <w:rFonts w:hint="eastAsia" w:cs="Times New Roman"/>
        </w:rPr>
        <w:t>，</w:t>
      </w:r>
      <w:r>
        <w:rPr>
          <w:rFonts w:cs="Times New Roman"/>
        </w:rPr>
        <w:t xml:space="preserve">采集充分混合的20 L水样用25号筛绢制成的浮游生物网过滤后，将网头中的样品放入50 </w:t>
      </w:r>
      <w:r>
        <w:rPr>
          <w:rFonts w:eastAsia="仿宋" w:cs="Times New Roman"/>
        </w:rPr>
        <w:t>mL</w:t>
      </w:r>
      <w:r>
        <w:rPr>
          <w:rFonts w:cs="Times New Roman"/>
        </w:rPr>
        <w:t>样品瓶中，加福尔马林液2.5</w:t>
      </w:r>
      <w:r>
        <w:rPr>
          <w:rFonts w:hint="eastAsia" w:cs="Times New Roman"/>
        </w:rPr>
        <w:t xml:space="preserve"> </w:t>
      </w:r>
      <w:r>
        <w:rPr>
          <w:rFonts w:eastAsia="仿宋" w:cs="Times New Roman"/>
        </w:rPr>
        <w:t>mL</w:t>
      </w:r>
      <w:r>
        <w:rPr>
          <w:rFonts w:cs="Times New Roman"/>
        </w:rPr>
        <w:t>进行固定。在实验室进行种类鉴定及按个体计数法进行计数、统计和分析，浮游动物密度单位为ind./L，生物量单位为mg/L。</w:t>
      </w:r>
    </w:p>
    <w:p w14:paraId="5E79CD66">
      <w:pPr>
        <w:ind w:firstLine="480"/>
        <w:rPr>
          <w:rFonts w:cs="Times New Roman"/>
        </w:rPr>
      </w:pPr>
      <w:r>
        <w:rPr>
          <w:rFonts w:cs="Times New Roman"/>
        </w:rPr>
        <w:t>原生动物和轮虫生物量的计算采用体积换算法。根据不同种类的体形，按最近似的几何形测量其体积。枝角类和桡足类生物量的计算采用测量不同种类的体长，用回归方程式求得相应的体重。单位</w:t>
      </w:r>
      <w:r>
        <w:rPr>
          <w:rFonts w:hint="eastAsia" w:cs="Times New Roman"/>
        </w:rPr>
        <w:t>水样</w:t>
      </w:r>
      <w:r>
        <w:rPr>
          <w:rFonts w:cs="Times New Roman"/>
        </w:rPr>
        <w:t>浮游动物</w:t>
      </w:r>
      <w:r>
        <w:rPr>
          <w:rFonts w:hint="eastAsia" w:cs="Times New Roman"/>
        </w:rPr>
        <w:t>密度</w:t>
      </w:r>
      <w:r>
        <w:rPr>
          <w:rFonts w:cs="Times New Roman"/>
        </w:rPr>
        <w:t>的计算公式如下：</w:t>
      </w:r>
    </w:p>
    <w:p w14:paraId="16C91C4B">
      <w:pPr>
        <w:overflowPunct w:val="0"/>
        <w:jc w:val="center"/>
        <w:rPr>
          <w:rFonts w:ascii="仿宋" w:hAnsi="仿宋" w:eastAsia="仿宋" w:cs="仿宋"/>
          <w:bCs/>
          <w:sz w:val="28"/>
          <w:szCs w:val="28"/>
        </w:rPr>
      </w:pPr>
      <w:r>
        <w:rPr>
          <w:rFonts w:ascii="仿宋" w:hAnsi="仿宋" w:eastAsia="仿宋" w:cs="仿宋"/>
          <w:bCs/>
          <w:sz w:val="28"/>
          <w:szCs w:val="28"/>
        </w:rPr>
        <w:drawing>
          <wp:inline distT="0" distB="0" distL="114300" distR="114300">
            <wp:extent cx="696595" cy="443230"/>
            <wp:effectExtent l="0" t="0" r="1905" b="1270"/>
            <wp:docPr id="143" name="图片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2367"/>
                    <pic:cNvPicPr>
                      <a:picLocks noChangeAspect="1"/>
                    </pic:cNvPicPr>
                  </pic:nvPicPr>
                  <pic:blipFill>
                    <a:blip r:embed="rId138"/>
                    <a:stretch>
                      <a:fillRect/>
                    </a:stretch>
                  </pic:blipFill>
                  <pic:spPr>
                    <a:xfrm>
                      <a:off x="0" y="0"/>
                      <a:ext cx="696595" cy="443230"/>
                    </a:xfrm>
                    <a:prstGeom prst="rect">
                      <a:avLst/>
                    </a:prstGeom>
                    <a:noFill/>
                    <a:ln>
                      <a:noFill/>
                    </a:ln>
                  </pic:spPr>
                </pic:pic>
              </a:graphicData>
            </a:graphic>
          </wp:inline>
        </w:drawing>
      </w:r>
    </w:p>
    <w:p w14:paraId="058FA09B">
      <w:pPr>
        <w:overflowPunct w:val="0"/>
        <w:ind w:firstLine="480"/>
        <w:rPr>
          <w:rFonts w:cs="Times New Roman"/>
          <w:bCs/>
        </w:rPr>
      </w:pPr>
      <w:r>
        <w:rPr>
          <w:rFonts w:cs="Times New Roman"/>
        </w:rPr>
        <w:t>式中</w:t>
      </w:r>
      <w:r>
        <w:rPr>
          <w:rFonts w:hint="eastAsia" w:cs="Times New Roman"/>
        </w:rPr>
        <w:t>：</w:t>
      </w:r>
      <w:r>
        <w:rPr>
          <w:rFonts w:cs="Times New Roman"/>
          <w:i/>
          <w:iCs/>
        </w:rPr>
        <w:t>N</w:t>
      </w:r>
      <w:r>
        <w:rPr>
          <w:rFonts w:cs="Times New Roman"/>
          <w:bCs/>
        </w:rPr>
        <w:t>——浮游动物密度，ind./L或个/L；</w:t>
      </w:r>
    </w:p>
    <w:p w14:paraId="467B1B3B">
      <w:pPr>
        <w:overflowPunct w:val="0"/>
        <w:ind w:firstLine="1200" w:firstLineChars="500"/>
        <w:rPr>
          <w:rFonts w:cs="Times New Roman"/>
          <w:bCs/>
        </w:rPr>
      </w:pPr>
      <w:r>
        <w:rPr>
          <w:rFonts w:cs="Times New Roman"/>
          <w:bCs/>
          <w:i/>
          <w:iCs/>
        </w:rPr>
        <w:t>V</w:t>
      </w:r>
      <w:r>
        <w:rPr>
          <w:rFonts w:cs="Times New Roman"/>
          <w:bCs/>
        </w:rPr>
        <w:t>——采样体积，L；</w:t>
      </w:r>
    </w:p>
    <w:p w14:paraId="1F1627AA">
      <w:pPr>
        <w:overflowPunct w:val="0"/>
        <w:ind w:firstLine="1200" w:firstLineChars="500"/>
        <w:rPr>
          <w:rFonts w:cs="Times New Roman"/>
          <w:bCs/>
        </w:rPr>
      </w:pPr>
      <w:r>
        <w:rPr>
          <w:rFonts w:cs="Times New Roman"/>
          <w:bCs/>
          <w:i/>
          <w:iCs/>
        </w:rPr>
        <w:t>V</w:t>
      </w:r>
      <w:r>
        <w:rPr>
          <w:rFonts w:cs="Times New Roman"/>
          <w:bCs/>
          <w:i/>
          <w:iCs/>
          <w:vertAlign w:val="subscript"/>
        </w:rPr>
        <w:t>s</w:t>
      </w:r>
      <w:r>
        <w:rPr>
          <w:rFonts w:cs="Times New Roman"/>
          <w:bCs/>
        </w:rPr>
        <w:t>——浓缩体积，</w:t>
      </w:r>
      <w:r>
        <w:rPr>
          <w:rFonts w:cs="Times New Roman"/>
        </w:rPr>
        <w:t>mL</w:t>
      </w:r>
      <w:r>
        <w:rPr>
          <w:rFonts w:cs="Times New Roman"/>
          <w:bCs/>
        </w:rPr>
        <w:t>；</w:t>
      </w:r>
    </w:p>
    <w:p w14:paraId="6B4C93AF">
      <w:pPr>
        <w:overflowPunct w:val="0"/>
        <w:ind w:firstLine="1200" w:firstLineChars="500"/>
        <w:rPr>
          <w:rFonts w:cs="Times New Roman"/>
          <w:bCs/>
        </w:rPr>
      </w:pPr>
      <w:r>
        <w:rPr>
          <w:rFonts w:cs="Times New Roman"/>
          <w:bCs/>
          <w:i/>
          <w:iCs/>
        </w:rPr>
        <w:t>V</w:t>
      </w:r>
      <w:r>
        <w:rPr>
          <w:rFonts w:cs="Times New Roman"/>
          <w:bCs/>
          <w:i/>
          <w:iCs/>
          <w:vertAlign w:val="subscript"/>
        </w:rPr>
        <w:t>a</w:t>
      </w:r>
      <w:r>
        <w:rPr>
          <w:rFonts w:cs="Times New Roman"/>
          <w:bCs/>
        </w:rPr>
        <w:t>——计数体积，</w:t>
      </w:r>
      <w:r>
        <w:rPr>
          <w:rFonts w:cs="Times New Roman"/>
        </w:rPr>
        <w:t>mL</w:t>
      </w:r>
      <w:r>
        <w:rPr>
          <w:rFonts w:cs="Times New Roman"/>
          <w:bCs/>
        </w:rPr>
        <w:t>；</w:t>
      </w:r>
    </w:p>
    <w:p w14:paraId="308ED4AD">
      <w:pPr>
        <w:overflowPunct w:val="0"/>
        <w:ind w:firstLine="1200" w:firstLineChars="500"/>
        <w:rPr>
          <w:rFonts w:cs="Times New Roman"/>
        </w:rPr>
      </w:pPr>
      <w:r>
        <w:rPr>
          <w:rFonts w:cs="Times New Roman"/>
          <w:i/>
          <w:iCs/>
        </w:rPr>
        <w:t>n</w:t>
      </w:r>
      <w:r>
        <w:rPr>
          <w:rFonts w:cs="Times New Roman"/>
        </w:rPr>
        <w:t>——计数所得个体数，ind。</w:t>
      </w:r>
    </w:p>
    <w:p w14:paraId="4F0E8107">
      <w:pPr>
        <w:ind w:firstLine="480"/>
        <w:rPr>
          <w:rFonts w:cs="Times New Roman"/>
        </w:rPr>
      </w:pPr>
      <w:r>
        <w:rPr>
          <w:rFonts w:cs="Times New Roman"/>
        </w:rPr>
        <w:fldChar w:fldCharType="begin"/>
      </w:r>
      <w:r>
        <w:rPr>
          <w:rFonts w:cs="Times New Roman"/>
        </w:rPr>
        <w:instrText xml:space="preserve"> </w:instrText>
      </w:r>
      <w:r>
        <w:rPr>
          <w:rFonts w:hint="eastAsia" w:cs="Times New Roman"/>
        </w:rPr>
        <w:instrText xml:space="preserve">= 3 \* GB3</w:instrText>
      </w:r>
      <w:r>
        <w:rPr>
          <w:rFonts w:cs="Times New Roman"/>
        </w:rPr>
        <w:instrText xml:space="preserve"> </w:instrText>
      </w:r>
      <w:r>
        <w:rPr>
          <w:rFonts w:cs="Times New Roman"/>
        </w:rPr>
        <w:fldChar w:fldCharType="separate"/>
      </w:r>
      <w:r>
        <w:rPr>
          <w:rFonts w:hint="eastAsia" w:cs="Times New Roman"/>
        </w:rPr>
        <w:t>③</w:t>
      </w:r>
      <w:r>
        <w:rPr>
          <w:rFonts w:cs="Times New Roman"/>
        </w:rPr>
        <w:fldChar w:fldCharType="end"/>
      </w:r>
      <w:r>
        <w:rPr>
          <w:rFonts w:cs="Times New Roman"/>
        </w:rPr>
        <w:t>鉴定主要参考资料</w:t>
      </w:r>
    </w:p>
    <w:p w14:paraId="10D31706">
      <w:pPr>
        <w:ind w:firstLine="480"/>
        <w:rPr>
          <w:rFonts w:cs="Times New Roman"/>
        </w:rPr>
      </w:pPr>
      <w:r>
        <w:rPr>
          <w:rFonts w:hint="eastAsia" w:cs="Times New Roman"/>
        </w:rPr>
        <w:t>A.</w:t>
      </w:r>
      <w:r>
        <w:rPr>
          <w:rFonts w:cs="Times New Roman"/>
        </w:rPr>
        <w:t>调查工具</w:t>
      </w:r>
    </w:p>
    <w:p w14:paraId="2B0EA489">
      <w:pPr>
        <w:ind w:firstLine="480"/>
        <w:rPr>
          <w:rFonts w:cs="Times New Roman"/>
        </w:rPr>
      </w:pPr>
      <w:r>
        <w:rPr>
          <w:rFonts w:cs="Times New Roman"/>
        </w:rPr>
        <w:t>竖式采水器、25号浮游生物网、具刻度玻璃采样瓶（1L）、具刻度塑料螺口样品瓶（100m</w:t>
      </w:r>
      <w:r>
        <w:rPr>
          <w:rFonts w:hint="eastAsia" w:cs="Times New Roman"/>
        </w:rPr>
        <w:t>L</w:t>
      </w:r>
      <w:r>
        <w:rPr>
          <w:rFonts w:cs="Times New Roman"/>
        </w:rPr>
        <w:t>）、生物显微镜、目测微尺和台测微尺、浮游生物计数框（0.1mL）、5%鲁哥氏液、福尔马林固定液、酒精、硫代硫酸钠、饱和硫酸铜水溶液</w:t>
      </w:r>
    </w:p>
    <w:p w14:paraId="087EC152">
      <w:pPr>
        <w:ind w:firstLine="480"/>
        <w:rPr>
          <w:rFonts w:cs="Times New Roman"/>
        </w:rPr>
      </w:pPr>
      <w:r>
        <w:rPr>
          <w:rFonts w:hint="eastAsia" w:hAnsi="宋体" w:cs="Times New Roman"/>
        </w:rPr>
        <w:t>B.</w:t>
      </w:r>
      <w:r>
        <w:rPr>
          <w:rFonts w:cs="Times New Roman"/>
        </w:rPr>
        <w:t>鉴定工具书</w:t>
      </w:r>
    </w:p>
    <w:p w14:paraId="1BEFB749">
      <w:pPr>
        <w:ind w:firstLine="480"/>
        <w:rPr>
          <w:rFonts w:cs="Times New Roman"/>
        </w:rPr>
      </w:pPr>
      <w:r>
        <w:rPr>
          <w:rFonts w:cs="Times New Roman"/>
        </w:rPr>
        <w:t>胡鸿钧</w:t>
      </w:r>
      <w:r>
        <w:rPr>
          <w:rFonts w:hint="eastAsia" w:cs="Times New Roman"/>
        </w:rPr>
        <w:t>，</w:t>
      </w:r>
      <w:r>
        <w:rPr>
          <w:rFonts w:cs="Times New Roman"/>
        </w:rPr>
        <w:t>魏印心.中国淡水藻类——系统、分类及生态</w:t>
      </w:r>
      <w:r>
        <w:rPr>
          <w:rFonts w:hint="eastAsia" w:cs="Times New Roman"/>
        </w:rPr>
        <w:t>〔</w:t>
      </w:r>
      <w:r>
        <w:rPr>
          <w:rFonts w:cs="Times New Roman"/>
        </w:rPr>
        <w:t>M</w:t>
      </w:r>
      <w:r>
        <w:rPr>
          <w:rFonts w:hint="eastAsia" w:cs="Times New Roman"/>
        </w:rPr>
        <w:t>〕</w:t>
      </w:r>
      <w:r>
        <w:rPr>
          <w:rFonts w:cs="Times New Roman"/>
        </w:rPr>
        <w:t>.科学出版社</w:t>
      </w:r>
      <w:r>
        <w:rPr>
          <w:rFonts w:hint="eastAsia" w:cs="Times New Roman"/>
        </w:rPr>
        <w:t>，</w:t>
      </w:r>
      <w:r>
        <w:rPr>
          <w:rFonts w:cs="Times New Roman"/>
        </w:rPr>
        <w:t>2006</w:t>
      </w:r>
    </w:p>
    <w:p w14:paraId="6537F254">
      <w:pPr>
        <w:ind w:firstLine="480"/>
        <w:rPr>
          <w:rFonts w:cs="Times New Roman"/>
        </w:rPr>
      </w:pPr>
      <w:r>
        <w:rPr>
          <w:rFonts w:cs="Times New Roman"/>
        </w:rPr>
        <w:t>魏印心</w:t>
      </w:r>
      <w:r>
        <w:rPr>
          <w:rFonts w:hint="eastAsia" w:cs="Times New Roman"/>
        </w:rPr>
        <w:t>，</w:t>
      </w:r>
      <w:r>
        <w:rPr>
          <w:rFonts w:cs="Times New Roman"/>
        </w:rPr>
        <w:t>施之新</w:t>
      </w:r>
      <w:r>
        <w:rPr>
          <w:rFonts w:hint="eastAsia" w:cs="Times New Roman"/>
        </w:rPr>
        <w:t>，</w:t>
      </w:r>
      <w:r>
        <w:rPr>
          <w:rFonts w:cs="Times New Roman"/>
        </w:rPr>
        <w:t>饶钦止</w:t>
      </w:r>
      <w:r>
        <w:rPr>
          <w:rFonts w:hint="eastAsia" w:cs="Times New Roman"/>
        </w:rPr>
        <w:t>，</w:t>
      </w:r>
      <w:r>
        <w:rPr>
          <w:rFonts w:cs="Times New Roman"/>
        </w:rPr>
        <w:t>等.中国淡水藻志</w:t>
      </w:r>
      <w:r>
        <w:rPr>
          <w:rFonts w:hint="eastAsia" w:cs="Times New Roman"/>
        </w:rPr>
        <w:t>〔</w:t>
      </w:r>
      <w:r>
        <w:rPr>
          <w:rFonts w:cs="Times New Roman"/>
        </w:rPr>
        <w:t>M</w:t>
      </w:r>
      <w:r>
        <w:rPr>
          <w:rFonts w:hint="eastAsia" w:cs="Times New Roman"/>
        </w:rPr>
        <w:t>〕</w:t>
      </w:r>
      <w:r>
        <w:rPr>
          <w:rFonts w:cs="Times New Roman"/>
        </w:rPr>
        <w:t>.科学出版社</w:t>
      </w:r>
      <w:r>
        <w:rPr>
          <w:rFonts w:hint="eastAsia" w:cs="Times New Roman"/>
        </w:rPr>
        <w:t>，</w:t>
      </w:r>
      <w:r>
        <w:rPr>
          <w:rFonts w:cs="Times New Roman"/>
        </w:rPr>
        <w:t>1998-2014</w:t>
      </w:r>
    </w:p>
    <w:p w14:paraId="0197226B">
      <w:pPr>
        <w:ind w:firstLine="480"/>
      </w:pPr>
      <w:r>
        <w:rPr>
          <w:rFonts w:cs="Times New Roman"/>
        </w:rPr>
        <w:t>周凤霞</w:t>
      </w:r>
      <w:r>
        <w:rPr>
          <w:rFonts w:hint="eastAsia" w:cs="Times New Roman"/>
        </w:rPr>
        <w:t>，</w:t>
      </w:r>
      <w:r>
        <w:rPr>
          <w:rFonts w:cs="Times New Roman"/>
        </w:rPr>
        <w:t>陈剑虹.淡水微生物图谱</w:t>
      </w:r>
      <w:r>
        <w:rPr>
          <w:rFonts w:hint="eastAsia" w:cs="Times New Roman"/>
        </w:rPr>
        <w:t>〔</w:t>
      </w:r>
      <w:r>
        <w:rPr>
          <w:rFonts w:cs="Times New Roman"/>
        </w:rPr>
        <w:t>M</w:t>
      </w:r>
      <w:r>
        <w:rPr>
          <w:rFonts w:hint="eastAsia" w:cs="Times New Roman"/>
        </w:rPr>
        <w:t>〕</w:t>
      </w:r>
      <w:r>
        <w:rPr>
          <w:rFonts w:cs="Times New Roman"/>
        </w:rPr>
        <w:t>.北京</w:t>
      </w:r>
      <w:r>
        <w:rPr>
          <w:rFonts w:hint="eastAsia" w:cs="Times New Roman"/>
        </w:rPr>
        <w:t>：</w:t>
      </w:r>
      <w:r>
        <w:rPr>
          <w:rFonts w:cs="Times New Roman"/>
        </w:rPr>
        <w:t>化学工业出版社</w:t>
      </w:r>
      <w:r>
        <w:rPr>
          <w:rFonts w:hint="eastAsia" w:cs="Times New Roman"/>
        </w:rPr>
        <w:t>，</w:t>
      </w:r>
      <w:r>
        <w:rPr>
          <w:rFonts w:cs="Times New Roman"/>
        </w:rPr>
        <w:t>2008.1</w:t>
      </w:r>
    </w:p>
    <w:p w14:paraId="4B2C5231">
      <w:pPr>
        <w:pStyle w:val="5"/>
        <w:bidi w:val="0"/>
      </w:pPr>
      <w:r>
        <w:t>4.3.4.2</w:t>
      </w:r>
      <w:r>
        <w:rPr>
          <w:rFonts w:hint="eastAsia"/>
          <w:lang w:val="en-US" w:eastAsia="zh-CN"/>
        </w:rPr>
        <w:t xml:space="preserve"> </w:t>
      </w:r>
      <w:r>
        <w:t>水生维管植物</w:t>
      </w:r>
    </w:p>
    <w:p w14:paraId="7E73FF6B">
      <w:pPr>
        <w:ind w:firstLine="480"/>
        <w:rPr>
          <w:rFonts w:cs="Times New Roman"/>
        </w:rPr>
      </w:pPr>
      <w:r>
        <w:rPr>
          <w:rFonts w:cs="Times New Roman"/>
        </w:rPr>
        <w:t>（1）种类组成</w:t>
      </w:r>
    </w:p>
    <w:p w14:paraId="4B635500">
      <w:pPr>
        <w:ind w:firstLine="480"/>
        <w:rPr>
          <w:rFonts w:cs="Times New Roman"/>
        </w:rPr>
      </w:pPr>
      <w:r>
        <w:rPr>
          <w:rFonts w:cs="Times New Roman"/>
        </w:rPr>
        <w:t>评价区共分布有水生维管植物4类9种，包括湿生植物、浮叶植物、挺水植物、沉水植物4类，其中芦苇（挺水植物）、菹草（沉水植物）为常见种类。</w:t>
      </w:r>
    </w:p>
    <w:p w14:paraId="7C227E04">
      <w:pPr>
        <w:ind w:firstLine="480"/>
        <w:rPr>
          <w:rFonts w:cs="Times New Roman"/>
          <w:sz w:val="28"/>
          <w:szCs w:val="28"/>
        </w:rPr>
      </w:pPr>
      <w:r>
        <w:rPr>
          <w:rFonts w:cs="Times New Roman"/>
        </w:rPr>
        <w:t>评价区水生维管植物名录见表</w:t>
      </w:r>
      <w:r>
        <w:rPr>
          <w:rFonts w:hint="eastAsia" w:cs="Times New Roman"/>
          <w:lang w:eastAsia="zh-CN"/>
        </w:rPr>
        <w:t>4.3</w:t>
      </w:r>
      <w:r>
        <w:rPr>
          <w:rFonts w:cs="Times New Roman"/>
        </w:rPr>
        <w:t>-8。</w:t>
      </w:r>
    </w:p>
    <w:p w14:paraId="672DD787">
      <w:pPr>
        <w:ind w:firstLine="480"/>
        <w:rPr>
          <w:rFonts w:cs="Times New Roman"/>
        </w:rPr>
      </w:pPr>
      <w:r>
        <w:rPr>
          <w:rFonts w:cs="Times New Roman"/>
        </w:rPr>
        <w:t>（2）植物类型和分布</w:t>
      </w:r>
    </w:p>
    <w:p w14:paraId="59A21F69">
      <w:pPr>
        <w:ind w:firstLine="480"/>
        <w:rPr>
          <w:rFonts w:cs="Times New Roman"/>
        </w:rPr>
      </w:pPr>
      <w:r>
        <w:rPr>
          <w:rFonts w:cs="Times New Roman"/>
        </w:rPr>
        <w:t>挺水植物：评价区主要水域是</w:t>
      </w:r>
      <w:r>
        <w:rPr>
          <w:rFonts w:hint="eastAsia" w:cs="Times New Roman"/>
        </w:rPr>
        <w:t>淮河</w:t>
      </w:r>
      <w:r>
        <w:rPr>
          <w:rFonts w:cs="Times New Roman"/>
          <w:color w:val="0000FF"/>
        </w:rPr>
        <w:t>，</w:t>
      </w:r>
      <w:r>
        <w:rPr>
          <w:rFonts w:cs="Times New Roman"/>
        </w:rPr>
        <w:t>由于评价水域周边多与农田或道路接壤，大型挺水植物的栖息环境受限，因而仅在岸缘可见少量的挺水植物，主要为芦苇等，在各调查点位及评价区呈零星分布，分布面积不大。</w:t>
      </w:r>
    </w:p>
    <w:p w14:paraId="29211432">
      <w:pPr>
        <w:ind w:firstLine="480"/>
        <w:rPr>
          <w:rFonts w:cs="Times New Roman"/>
        </w:rPr>
      </w:pPr>
      <w:r>
        <w:rPr>
          <w:rFonts w:cs="Times New Roman"/>
        </w:rPr>
        <w:t>沉水植物：评价区内部分河流、水塘少</w:t>
      </w:r>
      <w:r>
        <w:rPr>
          <w:rFonts w:hint="eastAsia" w:cs="Times New Roman"/>
        </w:rPr>
        <w:t>见</w:t>
      </w:r>
      <w:r>
        <w:rPr>
          <w:rFonts w:cs="Times New Roman"/>
        </w:rPr>
        <w:t>沉水植物。</w:t>
      </w:r>
    </w:p>
    <w:p w14:paraId="471B361A">
      <w:pPr>
        <w:ind w:firstLine="480"/>
        <w:rPr>
          <w:rFonts w:cs="Times New Roman"/>
        </w:rPr>
      </w:pPr>
      <w:r>
        <w:rPr>
          <w:rFonts w:cs="Times New Roman"/>
        </w:rPr>
        <w:t>浮叶植物：评价区水面少见浮叶植物，主要为浮萍。</w:t>
      </w:r>
    </w:p>
    <w:p w14:paraId="7C03045C">
      <w:pPr>
        <w:pStyle w:val="29"/>
        <w:bidi w:val="0"/>
      </w:pPr>
      <w:r>
        <w:t>表</w:t>
      </w:r>
      <w:r>
        <w:rPr>
          <w:rFonts w:hint="eastAsia"/>
          <w:lang w:eastAsia="zh-CN"/>
        </w:rPr>
        <w:t>4.3</w:t>
      </w:r>
      <w:r>
        <w:t>-8  水生维管植物名录</w:t>
      </w:r>
    </w:p>
    <w:tbl>
      <w:tblPr>
        <w:tblStyle w:val="16"/>
        <w:tblW w:w="499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822"/>
        <w:gridCol w:w="1837"/>
        <w:gridCol w:w="1828"/>
        <w:gridCol w:w="3781"/>
      </w:tblGrid>
      <w:tr w14:paraId="7B9FC3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1974" w:type="pct"/>
            <w:gridSpan w:val="2"/>
            <w:vAlign w:val="center"/>
          </w:tcPr>
          <w:p w14:paraId="31AEBA3E">
            <w:pPr>
              <w:pStyle w:val="28"/>
              <w:bidi w:val="0"/>
            </w:pPr>
            <w:r>
              <w:t>种类</w:t>
            </w:r>
          </w:p>
        </w:tc>
        <w:tc>
          <w:tcPr>
            <w:tcW w:w="986" w:type="pct"/>
            <w:vAlign w:val="center"/>
          </w:tcPr>
          <w:p w14:paraId="1D768E8F">
            <w:pPr>
              <w:pStyle w:val="28"/>
              <w:bidi w:val="0"/>
            </w:pPr>
            <w:r>
              <w:t>种名</w:t>
            </w:r>
          </w:p>
        </w:tc>
        <w:tc>
          <w:tcPr>
            <w:tcW w:w="2039" w:type="pct"/>
            <w:vAlign w:val="center"/>
          </w:tcPr>
          <w:p w14:paraId="0023E231">
            <w:pPr>
              <w:pStyle w:val="28"/>
              <w:bidi w:val="0"/>
            </w:pPr>
            <w:r>
              <w:t>学名</w:t>
            </w:r>
          </w:p>
        </w:tc>
      </w:tr>
      <w:tr w14:paraId="5B7D3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23" w:hRule="atLeast"/>
          <w:jc w:val="center"/>
        </w:trPr>
        <w:tc>
          <w:tcPr>
            <w:tcW w:w="983" w:type="pct"/>
            <w:vMerge w:val="restart"/>
            <w:vAlign w:val="center"/>
          </w:tcPr>
          <w:p w14:paraId="5278A44A">
            <w:pPr>
              <w:pStyle w:val="28"/>
              <w:bidi w:val="0"/>
            </w:pPr>
            <w:r>
              <w:t>湿生植物</w:t>
            </w:r>
          </w:p>
        </w:tc>
        <w:tc>
          <w:tcPr>
            <w:tcW w:w="990" w:type="pct"/>
            <w:vAlign w:val="center"/>
          </w:tcPr>
          <w:p w14:paraId="2E35DB72">
            <w:pPr>
              <w:pStyle w:val="28"/>
              <w:bidi w:val="0"/>
            </w:pPr>
            <w:r>
              <w:t>蓼科</w:t>
            </w:r>
          </w:p>
        </w:tc>
        <w:tc>
          <w:tcPr>
            <w:tcW w:w="986" w:type="pct"/>
            <w:vAlign w:val="center"/>
          </w:tcPr>
          <w:p w14:paraId="4616B6F7">
            <w:pPr>
              <w:pStyle w:val="28"/>
              <w:bidi w:val="0"/>
            </w:pPr>
            <w:r>
              <w:t>水蓼</w:t>
            </w:r>
          </w:p>
        </w:tc>
        <w:tc>
          <w:tcPr>
            <w:tcW w:w="2039" w:type="pct"/>
            <w:vAlign w:val="center"/>
          </w:tcPr>
          <w:p w14:paraId="1A794AD3">
            <w:pPr>
              <w:pStyle w:val="28"/>
              <w:bidi w:val="0"/>
              <w:rPr>
                <w:i/>
                <w:iCs/>
              </w:rPr>
            </w:pPr>
            <w:r>
              <w:rPr>
                <w:i/>
                <w:iCs/>
              </w:rPr>
              <w:t>Polygonum orientale</w:t>
            </w:r>
          </w:p>
        </w:tc>
      </w:tr>
      <w:tr w14:paraId="541815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983" w:type="pct"/>
            <w:vMerge w:val="continue"/>
            <w:vAlign w:val="center"/>
          </w:tcPr>
          <w:p w14:paraId="44BA9FF1">
            <w:pPr>
              <w:pStyle w:val="28"/>
              <w:bidi w:val="0"/>
            </w:pPr>
          </w:p>
        </w:tc>
        <w:tc>
          <w:tcPr>
            <w:tcW w:w="990" w:type="pct"/>
            <w:vAlign w:val="center"/>
          </w:tcPr>
          <w:p w14:paraId="7012C1CB">
            <w:pPr>
              <w:pStyle w:val="28"/>
              <w:bidi w:val="0"/>
            </w:pPr>
            <w:r>
              <w:t>苋科</w:t>
            </w:r>
          </w:p>
        </w:tc>
        <w:tc>
          <w:tcPr>
            <w:tcW w:w="986" w:type="pct"/>
            <w:vAlign w:val="center"/>
          </w:tcPr>
          <w:p w14:paraId="7B57F79E">
            <w:pPr>
              <w:pStyle w:val="28"/>
              <w:bidi w:val="0"/>
            </w:pPr>
            <w:r>
              <w:t>喜旱莲子草</w:t>
            </w:r>
          </w:p>
        </w:tc>
        <w:tc>
          <w:tcPr>
            <w:tcW w:w="2039" w:type="pct"/>
            <w:vAlign w:val="center"/>
          </w:tcPr>
          <w:p w14:paraId="01CEE99D">
            <w:pPr>
              <w:pStyle w:val="28"/>
              <w:bidi w:val="0"/>
              <w:rPr>
                <w:i/>
                <w:iCs/>
              </w:rPr>
            </w:pPr>
            <w:r>
              <w:rPr>
                <w:i/>
                <w:iCs/>
              </w:rPr>
              <w:t>Alternanthera philoxeroides</w:t>
            </w:r>
          </w:p>
        </w:tc>
      </w:tr>
      <w:tr w14:paraId="5B39AB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983" w:type="pct"/>
            <w:vMerge w:val="restart"/>
            <w:vAlign w:val="center"/>
          </w:tcPr>
          <w:p w14:paraId="69F679D2">
            <w:pPr>
              <w:pStyle w:val="28"/>
              <w:bidi w:val="0"/>
            </w:pPr>
            <w:r>
              <w:t>挺水植物</w:t>
            </w:r>
          </w:p>
        </w:tc>
        <w:tc>
          <w:tcPr>
            <w:tcW w:w="990" w:type="pct"/>
            <w:vAlign w:val="center"/>
          </w:tcPr>
          <w:p w14:paraId="4FE4C8B0">
            <w:pPr>
              <w:pStyle w:val="28"/>
              <w:bidi w:val="0"/>
            </w:pPr>
            <w:r>
              <w:t>禾本科</w:t>
            </w:r>
          </w:p>
        </w:tc>
        <w:tc>
          <w:tcPr>
            <w:tcW w:w="986" w:type="pct"/>
            <w:vAlign w:val="center"/>
          </w:tcPr>
          <w:p w14:paraId="2EF9A057">
            <w:pPr>
              <w:pStyle w:val="28"/>
              <w:bidi w:val="0"/>
            </w:pPr>
            <w:r>
              <w:t>芦苇</w:t>
            </w:r>
          </w:p>
        </w:tc>
        <w:tc>
          <w:tcPr>
            <w:tcW w:w="2039" w:type="pct"/>
            <w:vAlign w:val="center"/>
          </w:tcPr>
          <w:p w14:paraId="2AA9F51C">
            <w:pPr>
              <w:pStyle w:val="28"/>
              <w:bidi w:val="0"/>
              <w:rPr>
                <w:i/>
                <w:iCs/>
              </w:rPr>
            </w:pPr>
            <w:r>
              <w:rPr>
                <w:i/>
                <w:iCs/>
              </w:rPr>
              <w:t>Phragmites australis</w:t>
            </w:r>
          </w:p>
        </w:tc>
      </w:tr>
      <w:tr w14:paraId="178A83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983" w:type="pct"/>
            <w:vMerge w:val="continue"/>
            <w:vAlign w:val="center"/>
          </w:tcPr>
          <w:p w14:paraId="67565E37">
            <w:pPr>
              <w:pStyle w:val="28"/>
              <w:bidi w:val="0"/>
            </w:pPr>
          </w:p>
        </w:tc>
        <w:tc>
          <w:tcPr>
            <w:tcW w:w="990" w:type="pct"/>
            <w:vAlign w:val="center"/>
          </w:tcPr>
          <w:p w14:paraId="690533F2">
            <w:pPr>
              <w:pStyle w:val="28"/>
              <w:bidi w:val="0"/>
            </w:pPr>
            <w:r>
              <w:t>香蒲科</w:t>
            </w:r>
          </w:p>
        </w:tc>
        <w:tc>
          <w:tcPr>
            <w:tcW w:w="986" w:type="pct"/>
            <w:vAlign w:val="center"/>
          </w:tcPr>
          <w:p w14:paraId="518110E1">
            <w:pPr>
              <w:pStyle w:val="28"/>
              <w:bidi w:val="0"/>
            </w:pPr>
            <w:r>
              <w:t>水烛</w:t>
            </w:r>
          </w:p>
        </w:tc>
        <w:tc>
          <w:tcPr>
            <w:tcW w:w="2039" w:type="pct"/>
            <w:vAlign w:val="center"/>
          </w:tcPr>
          <w:p w14:paraId="01D34412">
            <w:pPr>
              <w:pStyle w:val="28"/>
              <w:bidi w:val="0"/>
              <w:rPr>
                <w:i/>
                <w:iCs/>
              </w:rPr>
            </w:pPr>
            <w:r>
              <w:rPr>
                <w:i/>
                <w:iCs/>
              </w:rPr>
              <w:t>Typha angustifolia</w:t>
            </w:r>
          </w:p>
        </w:tc>
      </w:tr>
      <w:tr w14:paraId="5F25B3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983" w:type="pct"/>
            <w:vMerge w:val="continue"/>
            <w:vAlign w:val="center"/>
          </w:tcPr>
          <w:p w14:paraId="26DB39E4">
            <w:pPr>
              <w:pStyle w:val="28"/>
              <w:bidi w:val="0"/>
            </w:pPr>
          </w:p>
        </w:tc>
        <w:tc>
          <w:tcPr>
            <w:tcW w:w="990" w:type="pct"/>
            <w:vAlign w:val="center"/>
          </w:tcPr>
          <w:p w14:paraId="5F97F49A">
            <w:pPr>
              <w:pStyle w:val="28"/>
              <w:bidi w:val="0"/>
            </w:pPr>
            <w:r>
              <w:t>禾本科</w:t>
            </w:r>
          </w:p>
        </w:tc>
        <w:tc>
          <w:tcPr>
            <w:tcW w:w="986" w:type="pct"/>
            <w:vAlign w:val="center"/>
          </w:tcPr>
          <w:p w14:paraId="65D562B9">
            <w:pPr>
              <w:pStyle w:val="28"/>
              <w:bidi w:val="0"/>
            </w:pPr>
            <w:r>
              <w:t>菰</w:t>
            </w:r>
          </w:p>
        </w:tc>
        <w:tc>
          <w:tcPr>
            <w:tcW w:w="2039" w:type="pct"/>
            <w:vAlign w:val="center"/>
          </w:tcPr>
          <w:p w14:paraId="6202AF57">
            <w:pPr>
              <w:pStyle w:val="28"/>
              <w:bidi w:val="0"/>
              <w:rPr>
                <w:i/>
                <w:iCs/>
              </w:rPr>
            </w:pPr>
            <w:r>
              <w:rPr>
                <w:i/>
                <w:iCs/>
              </w:rPr>
              <w:t>Zizania latifolia </w:t>
            </w:r>
          </w:p>
        </w:tc>
      </w:tr>
      <w:tr w14:paraId="6F6B74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983" w:type="pct"/>
            <w:vAlign w:val="center"/>
          </w:tcPr>
          <w:p w14:paraId="410EB403">
            <w:pPr>
              <w:pStyle w:val="28"/>
              <w:bidi w:val="0"/>
            </w:pPr>
            <w:r>
              <w:t>漂浮植物</w:t>
            </w:r>
          </w:p>
        </w:tc>
        <w:tc>
          <w:tcPr>
            <w:tcW w:w="990" w:type="pct"/>
            <w:vAlign w:val="center"/>
          </w:tcPr>
          <w:p w14:paraId="412C32AE">
            <w:pPr>
              <w:pStyle w:val="28"/>
              <w:bidi w:val="0"/>
            </w:pPr>
            <w:r>
              <w:t>浮萍科</w:t>
            </w:r>
          </w:p>
        </w:tc>
        <w:tc>
          <w:tcPr>
            <w:tcW w:w="986" w:type="pct"/>
            <w:vAlign w:val="center"/>
          </w:tcPr>
          <w:p w14:paraId="0A2639B6">
            <w:pPr>
              <w:pStyle w:val="28"/>
              <w:bidi w:val="0"/>
            </w:pPr>
            <w:r>
              <w:t>浮萍</w:t>
            </w:r>
          </w:p>
        </w:tc>
        <w:tc>
          <w:tcPr>
            <w:tcW w:w="2039" w:type="pct"/>
            <w:vAlign w:val="center"/>
          </w:tcPr>
          <w:p w14:paraId="35B1CA3A">
            <w:pPr>
              <w:pStyle w:val="28"/>
              <w:bidi w:val="0"/>
              <w:rPr>
                <w:i/>
                <w:iCs/>
              </w:rPr>
            </w:pPr>
            <w:r>
              <w:rPr>
                <w:i/>
                <w:iCs/>
              </w:rPr>
              <w:t>Lemna minor</w:t>
            </w:r>
          </w:p>
        </w:tc>
      </w:tr>
      <w:tr w14:paraId="0AC78D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983" w:type="pct"/>
            <w:vAlign w:val="center"/>
          </w:tcPr>
          <w:p w14:paraId="04B4EF89">
            <w:pPr>
              <w:pStyle w:val="28"/>
              <w:bidi w:val="0"/>
            </w:pPr>
            <w:r>
              <w:rPr>
                <w:rFonts w:hint="eastAsia"/>
              </w:rPr>
              <w:t>藻类植被</w:t>
            </w:r>
          </w:p>
        </w:tc>
        <w:tc>
          <w:tcPr>
            <w:tcW w:w="990" w:type="pct"/>
            <w:vAlign w:val="center"/>
          </w:tcPr>
          <w:p w14:paraId="475049B5">
            <w:pPr>
              <w:pStyle w:val="28"/>
              <w:bidi w:val="0"/>
            </w:pPr>
            <w:r>
              <w:t>小二仙草科</w:t>
            </w:r>
          </w:p>
        </w:tc>
        <w:tc>
          <w:tcPr>
            <w:tcW w:w="986" w:type="pct"/>
            <w:vAlign w:val="center"/>
          </w:tcPr>
          <w:p w14:paraId="12052A0E">
            <w:pPr>
              <w:pStyle w:val="28"/>
              <w:bidi w:val="0"/>
            </w:pPr>
            <w:r>
              <w:t>穗状狐尾藻</w:t>
            </w:r>
          </w:p>
        </w:tc>
        <w:tc>
          <w:tcPr>
            <w:tcW w:w="2039" w:type="pct"/>
            <w:vAlign w:val="center"/>
          </w:tcPr>
          <w:p w14:paraId="384C0330">
            <w:pPr>
              <w:pStyle w:val="28"/>
              <w:bidi w:val="0"/>
              <w:rPr>
                <w:i/>
                <w:iCs/>
              </w:rPr>
            </w:pPr>
            <w:r>
              <w:rPr>
                <w:i/>
                <w:iCs/>
              </w:rPr>
              <w:t>Myriophyllum spicatum</w:t>
            </w:r>
          </w:p>
        </w:tc>
      </w:tr>
      <w:tr w14:paraId="330772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983" w:type="pct"/>
            <w:vMerge w:val="restart"/>
            <w:vAlign w:val="center"/>
          </w:tcPr>
          <w:p w14:paraId="3233E7F8">
            <w:pPr>
              <w:pStyle w:val="28"/>
              <w:bidi w:val="0"/>
            </w:pPr>
            <w:r>
              <w:rPr>
                <w:rFonts w:hint="eastAsia"/>
              </w:rPr>
              <w:t>浮叶植被</w:t>
            </w:r>
          </w:p>
        </w:tc>
        <w:tc>
          <w:tcPr>
            <w:tcW w:w="990" w:type="pct"/>
            <w:vAlign w:val="center"/>
          </w:tcPr>
          <w:p w14:paraId="0600CDCF">
            <w:pPr>
              <w:pStyle w:val="28"/>
              <w:bidi w:val="0"/>
            </w:pPr>
            <w:r>
              <w:fldChar w:fldCharType="begin"/>
            </w:r>
            <w:r>
              <w:instrText xml:space="preserve"> HYPERLINK "https://baike.baidu.com/item/%E6%B0%B4%E9%B3%96%E7%A7%91/5366250?fromModule=lemma_inlink" \t "https://baike.baidu.com/item/_blank" </w:instrText>
            </w:r>
            <w:r>
              <w:fldChar w:fldCharType="separate"/>
            </w:r>
            <w:r>
              <w:t>水鳖科</w:t>
            </w:r>
            <w:r>
              <w:fldChar w:fldCharType="end"/>
            </w:r>
          </w:p>
        </w:tc>
        <w:tc>
          <w:tcPr>
            <w:tcW w:w="986" w:type="pct"/>
            <w:vAlign w:val="center"/>
          </w:tcPr>
          <w:p w14:paraId="32C33E76">
            <w:pPr>
              <w:pStyle w:val="28"/>
              <w:bidi w:val="0"/>
            </w:pPr>
            <w:r>
              <w:rPr>
                <w:rFonts w:hint="eastAsia"/>
              </w:rPr>
              <w:t>水鳖</w:t>
            </w:r>
          </w:p>
        </w:tc>
        <w:tc>
          <w:tcPr>
            <w:tcW w:w="2039" w:type="pct"/>
            <w:vAlign w:val="center"/>
          </w:tcPr>
          <w:p w14:paraId="751AF631">
            <w:pPr>
              <w:pStyle w:val="28"/>
              <w:bidi w:val="0"/>
              <w:rPr>
                <w:i/>
                <w:iCs/>
              </w:rPr>
            </w:pPr>
            <w:r>
              <w:rPr>
                <w:i/>
                <w:iCs/>
              </w:rPr>
              <w:t>Hydrocharis dubia</w:t>
            </w:r>
          </w:p>
        </w:tc>
      </w:tr>
      <w:tr w14:paraId="37A087B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 w:hRule="atLeast"/>
          <w:jc w:val="center"/>
        </w:trPr>
        <w:tc>
          <w:tcPr>
            <w:tcW w:w="983" w:type="pct"/>
            <w:vMerge w:val="continue"/>
            <w:vAlign w:val="center"/>
          </w:tcPr>
          <w:p w14:paraId="69630879">
            <w:pPr>
              <w:pStyle w:val="28"/>
              <w:bidi w:val="0"/>
            </w:pPr>
          </w:p>
        </w:tc>
        <w:tc>
          <w:tcPr>
            <w:tcW w:w="990" w:type="pct"/>
            <w:vAlign w:val="center"/>
          </w:tcPr>
          <w:p w14:paraId="051B035F">
            <w:pPr>
              <w:pStyle w:val="28"/>
              <w:bidi w:val="0"/>
            </w:pPr>
            <w:r>
              <w:t>千屈菜科</w:t>
            </w:r>
          </w:p>
        </w:tc>
        <w:tc>
          <w:tcPr>
            <w:tcW w:w="986" w:type="pct"/>
            <w:vAlign w:val="center"/>
          </w:tcPr>
          <w:p w14:paraId="4D8CC9F4">
            <w:pPr>
              <w:pStyle w:val="28"/>
              <w:bidi w:val="0"/>
            </w:pPr>
            <w:r>
              <w:t>欧菱</w:t>
            </w:r>
          </w:p>
        </w:tc>
        <w:tc>
          <w:tcPr>
            <w:tcW w:w="2039" w:type="pct"/>
            <w:vAlign w:val="center"/>
          </w:tcPr>
          <w:p w14:paraId="55902101">
            <w:pPr>
              <w:pStyle w:val="28"/>
              <w:bidi w:val="0"/>
              <w:rPr>
                <w:i/>
                <w:iCs/>
              </w:rPr>
            </w:pPr>
            <w:r>
              <w:rPr>
                <w:i/>
                <w:iCs/>
              </w:rPr>
              <w:t>Trapa natans</w:t>
            </w:r>
          </w:p>
        </w:tc>
      </w:tr>
    </w:tbl>
    <w:p w14:paraId="05051B22">
      <w:pPr>
        <w:ind w:firstLine="480"/>
        <w:rPr>
          <w:rFonts w:cs="Times New Roman"/>
          <w:color w:val="0000FF"/>
        </w:rPr>
      </w:pPr>
    </w:p>
    <w:p w14:paraId="28415C02">
      <w:pPr>
        <w:pStyle w:val="5"/>
        <w:bidi w:val="0"/>
      </w:pPr>
      <w:r>
        <w:t>4.3.4.3</w:t>
      </w:r>
      <w:r>
        <w:rPr>
          <w:rFonts w:hint="eastAsia"/>
          <w:lang w:val="en-US" w:eastAsia="zh-CN"/>
        </w:rPr>
        <w:t xml:space="preserve"> </w:t>
      </w:r>
      <w:r>
        <w:t>鱼类</w:t>
      </w:r>
    </w:p>
    <w:p w14:paraId="63F08AEF">
      <w:pPr>
        <w:bidi w:val="0"/>
      </w:pPr>
      <w:r>
        <w:t>（1）种类组成和群落特征</w:t>
      </w:r>
    </w:p>
    <w:p w14:paraId="5B9F0AC0">
      <w:pPr>
        <w:bidi w:val="0"/>
      </w:pPr>
      <w:r>
        <w:rPr>
          <w:rFonts w:hint="eastAsia"/>
        </w:rPr>
        <w:t>根据资料</w:t>
      </w:r>
      <w:r>
        <w:t>，</w:t>
      </w:r>
      <w:r>
        <w:rPr>
          <w:rFonts w:hint="eastAsia"/>
        </w:rPr>
        <w:t>本区域</w:t>
      </w:r>
      <w:r>
        <w:t>记录有鱼类6目46种，均不属于国家和省级重点保护鱼类、均不属于濒危物种。鱼类群落结构中，鲤形目种类数最多，为34种，占总种类的53.12%。</w:t>
      </w:r>
    </w:p>
    <w:p w14:paraId="560EC507">
      <w:pPr>
        <w:shd w:val="clear" w:color="auto" w:fill="FFFFFF"/>
        <w:ind w:firstLine="420"/>
        <w:rPr>
          <w:rFonts w:cs="Times New Roman"/>
          <w:color w:val="0000FF"/>
        </w:rPr>
      </w:pPr>
      <w:r>
        <w:rPr>
          <w:rFonts w:cs="Times New Roman"/>
          <w:color w:val="0000FF"/>
        </w:rPr>
        <w:t>实地调查记录到鱼类4目15种，</w:t>
      </w:r>
      <w:r>
        <w:rPr>
          <w:rFonts w:hint="eastAsia" w:cs="Times New Roman"/>
          <w:color w:val="0000FF"/>
        </w:rPr>
        <w:t>包括</w:t>
      </w:r>
      <w:r>
        <w:rPr>
          <w:rFonts w:cs="Times New Roman"/>
          <w:color w:val="0000FF"/>
        </w:rPr>
        <w:t>鲤形目、合鳃鱼目、鲇形目、鲈形目，其中中华鳑鲏、刺鳅、黑鳍鳈属中国特有种。鱼类群落结构中，鲤形目种类数最多，为10种，占总种类的66.66%，是评价区水域鱼类群落中的绝对优势类群。</w:t>
      </w:r>
    </w:p>
    <w:p w14:paraId="7D7E15A1">
      <w:pPr>
        <w:shd w:val="clear" w:color="auto" w:fill="FFFFFF"/>
        <w:ind w:firstLine="420"/>
        <w:rPr>
          <w:rFonts w:cs="Times New Roman"/>
          <w:color w:val="0000FF"/>
        </w:rPr>
      </w:pPr>
      <w:r>
        <w:rPr>
          <w:rFonts w:cs="Times New Roman"/>
          <w:color w:val="0000FF"/>
        </w:rPr>
        <w:t>实地调查共记录到评价区鱼类882尾、7644g。</w:t>
      </w:r>
    </w:p>
    <w:p w14:paraId="59DC72CB">
      <w:pPr>
        <w:shd w:val="clear" w:color="auto" w:fill="FFFFFF"/>
        <w:ind w:firstLine="420"/>
        <w:rPr>
          <w:rFonts w:cs="Times New Roman"/>
          <w:color w:val="0000FF"/>
        </w:rPr>
      </w:pPr>
      <w:r>
        <w:rPr>
          <w:rFonts w:cs="Times New Roman"/>
          <w:color w:val="0000FF"/>
        </w:rPr>
        <w:t>根据鱼类香农-维纳生物多样性指数计算结果，各调查点位及评价区的</w:t>
      </w:r>
      <w:r>
        <w:rPr>
          <w:rFonts w:cs="Times New Roman"/>
          <w:i/>
          <w:iCs/>
          <w:color w:val="0000FF"/>
        </w:rPr>
        <w:t>H</w:t>
      </w:r>
      <w:r>
        <w:rPr>
          <w:rFonts w:cs="Times New Roman"/>
          <w:color w:val="0000FF"/>
        </w:rPr>
        <w:t>值均为1~2，即生物多样性指标等级均为中等。</w:t>
      </w:r>
    </w:p>
    <w:p w14:paraId="291595BB">
      <w:pPr>
        <w:ind w:firstLine="480"/>
        <w:rPr>
          <w:color w:val="0000FF"/>
        </w:rPr>
        <w:sectPr>
          <w:pgSz w:w="11905" w:h="16838"/>
          <w:pgMar w:top="1417" w:right="1417" w:bottom="1417" w:left="1417" w:header="850" w:footer="850" w:gutter="0"/>
          <w:pgNumType w:fmt="decimal"/>
          <w:cols w:space="0" w:num="1"/>
          <w:rtlGutter w:val="0"/>
          <w:docGrid w:linePitch="326" w:charSpace="0"/>
        </w:sectPr>
      </w:pPr>
      <w:r>
        <w:rPr>
          <w:rFonts w:cs="Times New Roman"/>
          <w:color w:val="0000FF"/>
          <w:kern w:val="2"/>
        </w:rPr>
        <w:t>根据IRI相对重要性指数计算结果，评价区</w:t>
      </w:r>
      <w:r>
        <w:rPr>
          <w:rFonts w:hint="eastAsia" w:cs="Times New Roman"/>
          <w:color w:val="0000FF"/>
          <w:kern w:val="2"/>
        </w:rPr>
        <w:t>水域</w:t>
      </w:r>
      <w:r>
        <w:rPr>
          <w:rFonts w:cs="Times New Roman"/>
          <w:color w:val="0000FF"/>
          <w:kern w:val="2"/>
        </w:rPr>
        <w:t>鱼类群落中优势种</w:t>
      </w:r>
      <w:r>
        <w:rPr>
          <w:rFonts w:hint="eastAsia" w:cs="Times New Roman"/>
          <w:color w:val="0000FF"/>
          <w:kern w:val="2"/>
        </w:rPr>
        <w:t>2种：</w:t>
      </w:r>
      <w:r>
        <w:rPr>
          <w:rFonts w:cs="Times New Roman"/>
          <w:color w:val="0000FF"/>
          <w:kern w:val="2"/>
        </w:rPr>
        <w:t>麦穗鱼（</w:t>
      </w:r>
      <w:r>
        <w:rPr>
          <w:rFonts w:cs="Times New Roman"/>
          <w:i/>
          <w:iCs/>
          <w:color w:val="0000FF"/>
          <w:kern w:val="2"/>
        </w:rPr>
        <w:t>Pseudorasbora parva</w:t>
      </w:r>
      <w:r>
        <w:rPr>
          <w:rFonts w:cs="Times New Roman"/>
          <w:color w:val="0000FF"/>
          <w:kern w:val="2"/>
        </w:rPr>
        <w:t>）、中华鳑鲏（</w:t>
      </w:r>
      <w:r>
        <w:rPr>
          <w:rFonts w:cs="Times New Roman"/>
          <w:i/>
          <w:iCs/>
          <w:color w:val="0000FF"/>
          <w:kern w:val="2"/>
        </w:rPr>
        <w:t>Rhodeus sinensis</w:t>
      </w:r>
      <w:r>
        <w:rPr>
          <w:rFonts w:cs="Times New Roman"/>
          <w:color w:val="0000FF"/>
          <w:kern w:val="2"/>
        </w:rPr>
        <w:t>）。常见种8种：沙塘鳢（</w:t>
      </w:r>
      <w:r>
        <w:rPr>
          <w:rFonts w:cs="Times New Roman"/>
          <w:i/>
          <w:iCs/>
          <w:color w:val="0000FF"/>
          <w:kern w:val="2"/>
        </w:rPr>
        <w:t>Odontobutis obscurus</w:t>
      </w:r>
      <w:r>
        <w:rPr>
          <w:rFonts w:cs="Times New Roman"/>
          <w:color w:val="0000FF"/>
          <w:kern w:val="2"/>
        </w:rPr>
        <w:t>），子陵吻虾虎（</w:t>
      </w:r>
      <w:r>
        <w:rPr>
          <w:rFonts w:cs="Times New Roman"/>
          <w:i/>
          <w:iCs/>
          <w:color w:val="0000FF"/>
          <w:kern w:val="2"/>
        </w:rPr>
        <w:t>Rhinogobius giurinus</w:t>
      </w:r>
      <w:r>
        <w:rPr>
          <w:rFonts w:cs="Times New Roman"/>
          <w:color w:val="0000FF"/>
          <w:kern w:val="2"/>
        </w:rPr>
        <w:t>），泥鳅（</w:t>
      </w:r>
      <w:r>
        <w:rPr>
          <w:rFonts w:cs="Times New Roman"/>
          <w:i/>
          <w:iCs/>
          <w:color w:val="0000FF"/>
          <w:kern w:val="2"/>
        </w:rPr>
        <w:t>Misgurnus anguillicaudatus</w:t>
      </w:r>
      <w:r>
        <w:rPr>
          <w:rFonts w:cs="Times New Roman"/>
          <w:color w:val="0000FF"/>
          <w:kern w:val="2"/>
        </w:rPr>
        <w:t>），刺鳅（</w:t>
      </w:r>
      <w:r>
        <w:rPr>
          <w:rFonts w:cs="Times New Roman"/>
          <w:i/>
          <w:iCs/>
          <w:color w:val="0000FF"/>
          <w:kern w:val="2"/>
        </w:rPr>
        <w:t>Mastacembelus aculeatus</w:t>
      </w:r>
      <w:r>
        <w:rPr>
          <w:rFonts w:cs="Times New Roman"/>
          <w:color w:val="0000FF"/>
          <w:kern w:val="2"/>
        </w:rPr>
        <w:t>），黄鳝（</w:t>
      </w:r>
      <w:r>
        <w:rPr>
          <w:rFonts w:cs="Times New Roman"/>
          <w:i/>
          <w:iCs/>
          <w:color w:val="0000FF"/>
          <w:kern w:val="2"/>
        </w:rPr>
        <w:t>Monopterus albus</w:t>
      </w:r>
      <w:r>
        <w:rPr>
          <w:rFonts w:cs="Times New Roman"/>
          <w:color w:val="0000FF"/>
          <w:kern w:val="2"/>
        </w:rPr>
        <w:t>），鲫（</w:t>
      </w:r>
      <w:r>
        <w:rPr>
          <w:rFonts w:cs="Times New Roman"/>
          <w:i/>
          <w:iCs/>
          <w:color w:val="0000FF"/>
          <w:kern w:val="2"/>
        </w:rPr>
        <w:t>Carassius auratus</w:t>
      </w:r>
      <w:r>
        <w:rPr>
          <w:rFonts w:cs="Times New Roman"/>
          <w:color w:val="0000FF"/>
          <w:kern w:val="2"/>
        </w:rPr>
        <w:t>），黄黝（</w:t>
      </w:r>
      <w:r>
        <w:rPr>
          <w:rFonts w:cs="Times New Roman"/>
          <w:i/>
          <w:iCs/>
          <w:color w:val="0000FF"/>
          <w:kern w:val="2"/>
        </w:rPr>
        <w:t>Hypseleotris Swinhonis</w:t>
      </w:r>
      <w:r>
        <w:rPr>
          <w:rFonts w:cs="Times New Roman"/>
          <w:color w:val="0000FF"/>
          <w:kern w:val="2"/>
        </w:rPr>
        <w:t>），黄颡鱼（</w:t>
      </w:r>
      <w:r>
        <w:rPr>
          <w:rFonts w:cs="Times New Roman"/>
          <w:i/>
          <w:iCs/>
          <w:color w:val="0000FF"/>
          <w:kern w:val="2"/>
        </w:rPr>
        <w:t>Tachysurus fulvidraco</w:t>
      </w:r>
      <w:r>
        <w:rPr>
          <w:rFonts w:cs="Times New Roman"/>
          <w:color w:val="0000FF"/>
          <w:kern w:val="2"/>
        </w:rPr>
        <w:t>）</w:t>
      </w:r>
      <w:r>
        <w:rPr>
          <w:rFonts w:cs="Times New Roman"/>
          <w:color w:val="0000FF"/>
        </w:rPr>
        <w:t>。</w:t>
      </w:r>
    </w:p>
    <w:p w14:paraId="5B4BC1C0">
      <w:pPr>
        <w:pStyle w:val="29"/>
        <w:bidi w:val="0"/>
      </w:pPr>
      <w:r>
        <w:t>表</w:t>
      </w:r>
      <w:r>
        <w:rPr>
          <w:rFonts w:hint="eastAsia"/>
          <w:lang w:eastAsia="zh-CN"/>
        </w:rPr>
        <w:t>4.3</w:t>
      </w:r>
      <w:r>
        <w:t>-9   鱼类调查结果汇总表</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5"/>
        <w:gridCol w:w="932"/>
        <w:gridCol w:w="818"/>
        <w:gridCol w:w="699"/>
        <w:gridCol w:w="1409"/>
        <w:gridCol w:w="1277"/>
        <w:gridCol w:w="3417"/>
      </w:tblGrid>
      <w:tr w14:paraId="251E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396" w:type="pct"/>
            <w:vAlign w:val="center"/>
          </w:tcPr>
          <w:p w14:paraId="4A1DAD0D">
            <w:pPr>
              <w:pStyle w:val="28"/>
              <w:bidi w:val="0"/>
            </w:pPr>
            <w:r>
              <w:t>调查</w:t>
            </w:r>
            <w:r>
              <w:rPr>
                <w:rFonts w:hint="eastAsia"/>
              </w:rPr>
              <w:t>点位</w:t>
            </w:r>
          </w:p>
        </w:tc>
        <w:tc>
          <w:tcPr>
            <w:tcW w:w="502" w:type="pct"/>
            <w:vAlign w:val="center"/>
          </w:tcPr>
          <w:p w14:paraId="62056217">
            <w:pPr>
              <w:pStyle w:val="28"/>
              <w:bidi w:val="0"/>
            </w:pPr>
            <w:r>
              <w:t>尾数（ind）</w:t>
            </w:r>
          </w:p>
        </w:tc>
        <w:tc>
          <w:tcPr>
            <w:tcW w:w="440" w:type="pct"/>
            <w:vAlign w:val="center"/>
          </w:tcPr>
          <w:p w14:paraId="3771B854">
            <w:pPr>
              <w:pStyle w:val="28"/>
              <w:bidi w:val="0"/>
            </w:pPr>
            <w:r>
              <w:t>重量（g）</w:t>
            </w:r>
          </w:p>
        </w:tc>
        <w:tc>
          <w:tcPr>
            <w:tcW w:w="376" w:type="pct"/>
            <w:vAlign w:val="center"/>
          </w:tcPr>
          <w:p w14:paraId="52103D0D">
            <w:pPr>
              <w:pStyle w:val="28"/>
              <w:bidi w:val="0"/>
            </w:pPr>
            <w:r>
              <w:t>H</w:t>
            </w:r>
          </w:p>
        </w:tc>
        <w:tc>
          <w:tcPr>
            <w:tcW w:w="758" w:type="pct"/>
            <w:vAlign w:val="center"/>
          </w:tcPr>
          <w:p w14:paraId="03BB0BBE">
            <w:pPr>
              <w:pStyle w:val="28"/>
              <w:bidi w:val="0"/>
            </w:pPr>
            <w:r>
              <w:rPr>
                <w:rFonts w:hint="eastAsia"/>
              </w:rPr>
              <w:t>生物多样性指标等级</w:t>
            </w:r>
          </w:p>
        </w:tc>
        <w:tc>
          <w:tcPr>
            <w:tcW w:w="687" w:type="pct"/>
            <w:vAlign w:val="center"/>
          </w:tcPr>
          <w:p w14:paraId="45088F0B">
            <w:pPr>
              <w:pStyle w:val="28"/>
              <w:bidi w:val="0"/>
            </w:pPr>
            <w:r>
              <w:rPr>
                <w:rFonts w:hint="eastAsia"/>
              </w:rPr>
              <w:t>优势种</w:t>
            </w:r>
          </w:p>
        </w:tc>
        <w:tc>
          <w:tcPr>
            <w:tcW w:w="1839" w:type="pct"/>
            <w:vAlign w:val="center"/>
          </w:tcPr>
          <w:p w14:paraId="6A1093B0">
            <w:pPr>
              <w:pStyle w:val="28"/>
              <w:bidi w:val="0"/>
            </w:pPr>
            <w:r>
              <w:rPr>
                <w:rFonts w:hint="eastAsia"/>
              </w:rPr>
              <w:t>常见种</w:t>
            </w:r>
          </w:p>
        </w:tc>
      </w:tr>
      <w:tr w14:paraId="12CE8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6" w:type="pct"/>
            <w:vAlign w:val="center"/>
          </w:tcPr>
          <w:p w14:paraId="721916E0">
            <w:pPr>
              <w:pStyle w:val="28"/>
              <w:bidi w:val="0"/>
            </w:pPr>
            <w:r>
              <w:t>W1</w:t>
            </w:r>
          </w:p>
        </w:tc>
        <w:tc>
          <w:tcPr>
            <w:tcW w:w="502" w:type="pct"/>
            <w:vAlign w:val="center"/>
          </w:tcPr>
          <w:p w14:paraId="3530DEF6">
            <w:pPr>
              <w:pStyle w:val="28"/>
              <w:bidi w:val="0"/>
            </w:pPr>
            <w:r>
              <w:rPr>
                <w:rFonts w:hint="eastAsia"/>
              </w:rPr>
              <w:t>48</w:t>
            </w:r>
          </w:p>
        </w:tc>
        <w:tc>
          <w:tcPr>
            <w:tcW w:w="440" w:type="pct"/>
            <w:vAlign w:val="center"/>
          </w:tcPr>
          <w:p w14:paraId="4E16ECCE">
            <w:pPr>
              <w:pStyle w:val="28"/>
              <w:bidi w:val="0"/>
            </w:pPr>
            <w:r>
              <w:rPr>
                <w:rFonts w:hint="eastAsia"/>
              </w:rPr>
              <w:t>639</w:t>
            </w:r>
          </w:p>
        </w:tc>
        <w:tc>
          <w:tcPr>
            <w:tcW w:w="376" w:type="pct"/>
            <w:vAlign w:val="center"/>
          </w:tcPr>
          <w:p w14:paraId="3577E08A">
            <w:pPr>
              <w:pStyle w:val="28"/>
              <w:bidi w:val="0"/>
            </w:pPr>
            <w:r>
              <w:rPr>
                <w:rFonts w:hint="eastAsia"/>
              </w:rPr>
              <w:t>1.297</w:t>
            </w:r>
          </w:p>
        </w:tc>
        <w:tc>
          <w:tcPr>
            <w:tcW w:w="758" w:type="pct"/>
            <w:vAlign w:val="center"/>
          </w:tcPr>
          <w:p w14:paraId="3E60A3DF">
            <w:pPr>
              <w:pStyle w:val="28"/>
              <w:bidi w:val="0"/>
            </w:pPr>
            <w:r>
              <w:rPr>
                <w:rFonts w:hint="eastAsia"/>
              </w:rPr>
              <w:t>中等</w:t>
            </w:r>
          </w:p>
        </w:tc>
        <w:tc>
          <w:tcPr>
            <w:tcW w:w="687" w:type="pct"/>
            <w:vAlign w:val="center"/>
          </w:tcPr>
          <w:p w14:paraId="3AAE9BEC">
            <w:pPr>
              <w:pStyle w:val="28"/>
              <w:bidi w:val="0"/>
            </w:pPr>
            <w:r>
              <w:rPr>
                <w:rFonts w:hint="eastAsia"/>
              </w:rPr>
              <w:t>麦穗鱼</w:t>
            </w:r>
          </w:p>
        </w:tc>
        <w:tc>
          <w:tcPr>
            <w:tcW w:w="1839" w:type="pct"/>
            <w:vAlign w:val="center"/>
          </w:tcPr>
          <w:p w14:paraId="706A221D">
            <w:pPr>
              <w:pStyle w:val="28"/>
              <w:bidi w:val="0"/>
            </w:pPr>
            <w:r>
              <w:rPr>
                <w:rFonts w:hint="eastAsia"/>
              </w:rPr>
              <w:t>沙塘鳢，中华鳑鲏，中华鳑鲏，刺鳅</w:t>
            </w:r>
          </w:p>
        </w:tc>
      </w:tr>
      <w:tr w14:paraId="2B3B8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6" w:type="pct"/>
            <w:vAlign w:val="center"/>
          </w:tcPr>
          <w:p w14:paraId="786725B8">
            <w:pPr>
              <w:pStyle w:val="28"/>
              <w:bidi w:val="0"/>
            </w:pPr>
            <w:r>
              <w:t>W2</w:t>
            </w:r>
          </w:p>
        </w:tc>
        <w:tc>
          <w:tcPr>
            <w:tcW w:w="502" w:type="pct"/>
            <w:vAlign w:val="center"/>
          </w:tcPr>
          <w:p w14:paraId="6CE49F37">
            <w:pPr>
              <w:pStyle w:val="28"/>
              <w:bidi w:val="0"/>
            </w:pPr>
            <w:r>
              <w:rPr>
                <w:rFonts w:hint="eastAsia"/>
              </w:rPr>
              <w:t>58</w:t>
            </w:r>
          </w:p>
        </w:tc>
        <w:tc>
          <w:tcPr>
            <w:tcW w:w="440" w:type="pct"/>
            <w:vAlign w:val="center"/>
          </w:tcPr>
          <w:p w14:paraId="2B847305">
            <w:pPr>
              <w:pStyle w:val="28"/>
              <w:bidi w:val="0"/>
            </w:pPr>
            <w:r>
              <w:rPr>
                <w:rFonts w:hint="eastAsia"/>
              </w:rPr>
              <w:t>430</w:t>
            </w:r>
          </w:p>
        </w:tc>
        <w:tc>
          <w:tcPr>
            <w:tcW w:w="376" w:type="pct"/>
            <w:vAlign w:val="center"/>
          </w:tcPr>
          <w:p w14:paraId="7FCF9CE3">
            <w:pPr>
              <w:pStyle w:val="28"/>
              <w:bidi w:val="0"/>
            </w:pPr>
            <w:r>
              <w:rPr>
                <w:rFonts w:hint="eastAsia"/>
              </w:rPr>
              <w:t>1.019</w:t>
            </w:r>
          </w:p>
        </w:tc>
        <w:tc>
          <w:tcPr>
            <w:tcW w:w="758" w:type="pct"/>
            <w:vAlign w:val="center"/>
          </w:tcPr>
          <w:p w14:paraId="065C2364">
            <w:pPr>
              <w:pStyle w:val="28"/>
              <w:bidi w:val="0"/>
            </w:pPr>
            <w:r>
              <w:rPr>
                <w:rFonts w:hint="eastAsia"/>
              </w:rPr>
              <w:t>中等</w:t>
            </w:r>
          </w:p>
        </w:tc>
        <w:tc>
          <w:tcPr>
            <w:tcW w:w="687" w:type="pct"/>
            <w:vAlign w:val="center"/>
          </w:tcPr>
          <w:p w14:paraId="7C5B966E">
            <w:pPr>
              <w:pStyle w:val="28"/>
              <w:bidi w:val="0"/>
            </w:pPr>
            <w:r>
              <w:rPr>
                <w:rFonts w:hint="eastAsia"/>
              </w:rPr>
              <w:t>中华鳑鲏</w:t>
            </w:r>
          </w:p>
        </w:tc>
        <w:tc>
          <w:tcPr>
            <w:tcW w:w="1839" w:type="pct"/>
            <w:vAlign w:val="center"/>
          </w:tcPr>
          <w:p w14:paraId="71E7B67C">
            <w:pPr>
              <w:pStyle w:val="28"/>
              <w:bidi w:val="0"/>
            </w:pPr>
            <w:r>
              <w:rPr>
                <w:rFonts w:hint="eastAsia"/>
              </w:rPr>
              <w:t>沙塘鳢，麦穗鱼，子陵吻虾虎</w:t>
            </w:r>
          </w:p>
        </w:tc>
      </w:tr>
      <w:tr w14:paraId="235C9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6" w:type="pct"/>
            <w:vAlign w:val="center"/>
          </w:tcPr>
          <w:p w14:paraId="59E6B159">
            <w:pPr>
              <w:pStyle w:val="28"/>
              <w:bidi w:val="0"/>
            </w:pPr>
            <w:r>
              <w:t>W3</w:t>
            </w:r>
          </w:p>
        </w:tc>
        <w:tc>
          <w:tcPr>
            <w:tcW w:w="502" w:type="pct"/>
            <w:vAlign w:val="center"/>
          </w:tcPr>
          <w:p w14:paraId="6EE1AC55">
            <w:pPr>
              <w:pStyle w:val="28"/>
              <w:bidi w:val="0"/>
            </w:pPr>
            <w:r>
              <w:rPr>
                <w:rFonts w:hint="eastAsia"/>
              </w:rPr>
              <w:t>62</w:t>
            </w:r>
          </w:p>
        </w:tc>
        <w:tc>
          <w:tcPr>
            <w:tcW w:w="440" w:type="pct"/>
            <w:vAlign w:val="center"/>
          </w:tcPr>
          <w:p w14:paraId="13C06D74">
            <w:pPr>
              <w:pStyle w:val="28"/>
              <w:bidi w:val="0"/>
            </w:pPr>
            <w:r>
              <w:rPr>
                <w:rFonts w:hint="eastAsia"/>
              </w:rPr>
              <w:t>777</w:t>
            </w:r>
          </w:p>
        </w:tc>
        <w:tc>
          <w:tcPr>
            <w:tcW w:w="376" w:type="pct"/>
            <w:vAlign w:val="center"/>
          </w:tcPr>
          <w:p w14:paraId="63B0680F">
            <w:pPr>
              <w:pStyle w:val="28"/>
              <w:bidi w:val="0"/>
            </w:pPr>
            <w:r>
              <w:rPr>
                <w:rFonts w:hint="eastAsia"/>
              </w:rPr>
              <w:t>1.286</w:t>
            </w:r>
          </w:p>
        </w:tc>
        <w:tc>
          <w:tcPr>
            <w:tcW w:w="758" w:type="pct"/>
            <w:vAlign w:val="center"/>
          </w:tcPr>
          <w:p w14:paraId="73981FB7">
            <w:pPr>
              <w:pStyle w:val="28"/>
              <w:bidi w:val="0"/>
            </w:pPr>
            <w:r>
              <w:rPr>
                <w:rFonts w:hint="eastAsia"/>
              </w:rPr>
              <w:t>中等</w:t>
            </w:r>
          </w:p>
        </w:tc>
        <w:tc>
          <w:tcPr>
            <w:tcW w:w="687" w:type="pct"/>
            <w:vAlign w:val="center"/>
          </w:tcPr>
          <w:p w14:paraId="22F7FE0F">
            <w:pPr>
              <w:pStyle w:val="28"/>
              <w:bidi w:val="0"/>
            </w:pPr>
            <w:r>
              <w:rPr>
                <w:rFonts w:hint="eastAsia"/>
              </w:rPr>
              <w:t>麦穗鱼</w:t>
            </w:r>
          </w:p>
        </w:tc>
        <w:tc>
          <w:tcPr>
            <w:tcW w:w="1839" w:type="pct"/>
            <w:vAlign w:val="center"/>
          </w:tcPr>
          <w:p w14:paraId="59877EDB">
            <w:pPr>
              <w:pStyle w:val="28"/>
              <w:bidi w:val="0"/>
            </w:pPr>
            <w:r>
              <w:rPr>
                <w:rFonts w:hint="eastAsia"/>
              </w:rPr>
              <w:t>沙塘鳢，子陵吻虾虎</w:t>
            </w:r>
          </w:p>
        </w:tc>
      </w:tr>
      <w:tr w14:paraId="1FE4D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6" w:type="pct"/>
            <w:vAlign w:val="center"/>
          </w:tcPr>
          <w:p w14:paraId="633D841D">
            <w:pPr>
              <w:pStyle w:val="28"/>
              <w:bidi w:val="0"/>
            </w:pPr>
            <w:r>
              <w:t>W4</w:t>
            </w:r>
          </w:p>
        </w:tc>
        <w:tc>
          <w:tcPr>
            <w:tcW w:w="502" w:type="pct"/>
            <w:vAlign w:val="center"/>
          </w:tcPr>
          <w:p w14:paraId="4A1BBC06">
            <w:pPr>
              <w:pStyle w:val="28"/>
              <w:bidi w:val="0"/>
            </w:pPr>
            <w:r>
              <w:rPr>
                <w:rFonts w:hint="eastAsia"/>
              </w:rPr>
              <w:t>43</w:t>
            </w:r>
          </w:p>
        </w:tc>
        <w:tc>
          <w:tcPr>
            <w:tcW w:w="440" w:type="pct"/>
            <w:vAlign w:val="center"/>
          </w:tcPr>
          <w:p w14:paraId="0382A8A9">
            <w:pPr>
              <w:pStyle w:val="28"/>
              <w:bidi w:val="0"/>
            </w:pPr>
            <w:r>
              <w:rPr>
                <w:rFonts w:hint="eastAsia"/>
              </w:rPr>
              <w:t>236</w:t>
            </w:r>
          </w:p>
        </w:tc>
        <w:tc>
          <w:tcPr>
            <w:tcW w:w="376" w:type="pct"/>
            <w:vAlign w:val="center"/>
          </w:tcPr>
          <w:p w14:paraId="602AF118">
            <w:pPr>
              <w:pStyle w:val="28"/>
              <w:bidi w:val="0"/>
            </w:pPr>
            <w:r>
              <w:rPr>
                <w:rFonts w:hint="eastAsia"/>
              </w:rPr>
              <w:t>1.453</w:t>
            </w:r>
          </w:p>
        </w:tc>
        <w:tc>
          <w:tcPr>
            <w:tcW w:w="758" w:type="pct"/>
            <w:vAlign w:val="center"/>
          </w:tcPr>
          <w:p w14:paraId="6757CA08">
            <w:pPr>
              <w:pStyle w:val="28"/>
              <w:bidi w:val="0"/>
            </w:pPr>
            <w:r>
              <w:rPr>
                <w:rFonts w:hint="eastAsia"/>
              </w:rPr>
              <w:t>中等</w:t>
            </w:r>
          </w:p>
        </w:tc>
        <w:tc>
          <w:tcPr>
            <w:tcW w:w="687" w:type="pct"/>
            <w:vAlign w:val="center"/>
          </w:tcPr>
          <w:p w14:paraId="161CF0E1">
            <w:pPr>
              <w:pStyle w:val="28"/>
              <w:bidi w:val="0"/>
            </w:pPr>
            <w:r>
              <w:rPr>
                <w:rFonts w:hint="eastAsia"/>
              </w:rPr>
              <w:t>/</w:t>
            </w:r>
          </w:p>
        </w:tc>
        <w:tc>
          <w:tcPr>
            <w:tcW w:w="1839" w:type="pct"/>
            <w:vAlign w:val="center"/>
          </w:tcPr>
          <w:p w14:paraId="1E4E364A">
            <w:pPr>
              <w:pStyle w:val="28"/>
              <w:bidi w:val="0"/>
            </w:pPr>
            <w:r>
              <w:rPr>
                <w:rFonts w:hint="eastAsia"/>
              </w:rPr>
              <w:t>子陵吻虾虎，中华鳑鲏，麦穗鱼，泥鳅</w:t>
            </w:r>
          </w:p>
        </w:tc>
      </w:tr>
      <w:tr w14:paraId="2C92D9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6" w:type="pct"/>
            <w:vAlign w:val="center"/>
          </w:tcPr>
          <w:p w14:paraId="79C45328">
            <w:pPr>
              <w:pStyle w:val="28"/>
              <w:bidi w:val="0"/>
            </w:pPr>
            <w:r>
              <w:t>W5</w:t>
            </w:r>
          </w:p>
        </w:tc>
        <w:tc>
          <w:tcPr>
            <w:tcW w:w="502" w:type="pct"/>
            <w:vAlign w:val="center"/>
          </w:tcPr>
          <w:p w14:paraId="4F078891">
            <w:pPr>
              <w:pStyle w:val="28"/>
              <w:bidi w:val="0"/>
            </w:pPr>
            <w:r>
              <w:rPr>
                <w:rFonts w:hint="eastAsia"/>
              </w:rPr>
              <w:t>32</w:t>
            </w:r>
          </w:p>
        </w:tc>
        <w:tc>
          <w:tcPr>
            <w:tcW w:w="440" w:type="pct"/>
            <w:vAlign w:val="center"/>
          </w:tcPr>
          <w:p w14:paraId="65F8388F">
            <w:pPr>
              <w:pStyle w:val="28"/>
              <w:bidi w:val="0"/>
            </w:pPr>
            <w:r>
              <w:rPr>
                <w:rFonts w:hint="eastAsia"/>
              </w:rPr>
              <w:t>312</w:t>
            </w:r>
          </w:p>
        </w:tc>
        <w:tc>
          <w:tcPr>
            <w:tcW w:w="376" w:type="pct"/>
            <w:vAlign w:val="center"/>
          </w:tcPr>
          <w:p w14:paraId="14432B20">
            <w:pPr>
              <w:pStyle w:val="28"/>
              <w:bidi w:val="0"/>
            </w:pPr>
            <w:r>
              <w:rPr>
                <w:rFonts w:hint="eastAsia"/>
              </w:rPr>
              <w:t>1.152</w:t>
            </w:r>
          </w:p>
        </w:tc>
        <w:tc>
          <w:tcPr>
            <w:tcW w:w="758" w:type="pct"/>
            <w:vAlign w:val="center"/>
          </w:tcPr>
          <w:p w14:paraId="4A5A6EFE">
            <w:pPr>
              <w:pStyle w:val="28"/>
              <w:bidi w:val="0"/>
            </w:pPr>
            <w:r>
              <w:rPr>
                <w:rFonts w:hint="eastAsia"/>
              </w:rPr>
              <w:t>中等</w:t>
            </w:r>
          </w:p>
        </w:tc>
        <w:tc>
          <w:tcPr>
            <w:tcW w:w="687" w:type="pct"/>
            <w:vAlign w:val="center"/>
          </w:tcPr>
          <w:p w14:paraId="37E40DB4">
            <w:pPr>
              <w:pStyle w:val="28"/>
              <w:bidi w:val="0"/>
            </w:pPr>
            <w:r>
              <w:rPr>
                <w:rFonts w:hint="eastAsia"/>
              </w:rPr>
              <w:t>中华鳑鲏</w:t>
            </w:r>
          </w:p>
        </w:tc>
        <w:tc>
          <w:tcPr>
            <w:tcW w:w="1839" w:type="pct"/>
            <w:vAlign w:val="center"/>
          </w:tcPr>
          <w:p w14:paraId="31C0E9DF">
            <w:pPr>
              <w:pStyle w:val="28"/>
              <w:bidi w:val="0"/>
            </w:pPr>
            <w:r>
              <w:rPr>
                <w:rFonts w:hint="eastAsia"/>
              </w:rPr>
              <w:t>子陵吻虾虎，棒花鱼，泥鳅，沙塘鳢</w:t>
            </w:r>
          </w:p>
        </w:tc>
      </w:tr>
      <w:tr w14:paraId="7F4E6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6" w:type="pct"/>
            <w:vAlign w:val="center"/>
          </w:tcPr>
          <w:p w14:paraId="675BB87A">
            <w:pPr>
              <w:pStyle w:val="28"/>
              <w:bidi w:val="0"/>
            </w:pPr>
            <w:r>
              <w:rPr>
                <w:rFonts w:hint="eastAsia"/>
              </w:rPr>
              <w:t>W6</w:t>
            </w:r>
          </w:p>
        </w:tc>
        <w:tc>
          <w:tcPr>
            <w:tcW w:w="502" w:type="pct"/>
            <w:vAlign w:val="center"/>
          </w:tcPr>
          <w:p w14:paraId="28EB7589">
            <w:pPr>
              <w:pStyle w:val="28"/>
              <w:bidi w:val="0"/>
            </w:pPr>
            <w:r>
              <w:rPr>
                <w:rFonts w:hint="eastAsia"/>
              </w:rPr>
              <w:t>56</w:t>
            </w:r>
          </w:p>
        </w:tc>
        <w:tc>
          <w:tcPr>
            <w:tcW w:w="440" w:type="pct"/>
            <w:vAlign w:val="center"/>
          </w:tcPr>
          <w:p w14:paraId="5FBE40D8">
            <w:pPr>
              <w:pStyle w:val="28"/>
              <w:bidi w:val="0"/>
            </w:pPr>
            <w:r>
              <w:rPr>
                <w:rFonts w:hint="eastAsia"/>
              </w:rPr>
              <w:t>497</w:t>
            </w:r>
          </w:p>
        </w:tc>
        <w:tc>
          <w:tcPr>
            <w:tcW w:w="376" w:type="pct"/>
            <w:vAlign w:val="center"/>
          </w:tcPr>
          <w:p w14:paraId="6DE95C3D">
            <w:pPr>
              <w:pStyle w:val="28"/>
              <w:bidi w:val="0"/>
            </w:pPr>
            <w:r>
              <w:rPr>
                <w:rFonts w:hint="eastAsia"/>
              </w:rPr>
              <w:t>1.245</w:t>
            </w:r>
          </w:p>
        </w:tc>
        <w:tc>
          <w:tcPr>
            <w:tcW w:w="758" w:type="pct"/>
            <w:vAlign w:val="center"/>
          </w:tcPr>
          <w:p w14:paraId="1BB0C482">
            <w:pPr>
              <w:pStyle w:val="28"/>
              <w:bidi w:val="0"/>
            </w:pPr>
            <w:r>
              <w:rPr>
                <w:rFonts w:hint="eastAsia"/>
              </w:rPr>
              <w:t>中等</w:t>
            </w:r>
          </w:p>
        </w:tc>
        <w:tc>
          <w:tcPr>
            <w:tcW w:w="687" w:type="pct"/>
            <w:vAlign w:val="center"/>
          </w:tcPr>
          <w:p w14:paraId="2A57C951">
            <w:pPr>
              <w:pStyle w:val="28"/>
              <w:bidi w:val="0"/>
            </w:pPr>
            <w:r>
              <w:rPr>
                <w:rFonts w:hint="eastAsia"/>
              </w:rPr>
              <w:t>中华鳑鲏</w:t>
            </w:r>
          </w:p>
        </w:tc>
        <w:tc>
          <w:tcPr>
            <w:tcW w:w="1839" w:type="pct"/>
            <w:vAlign w:val="center"/>
          </w:tcPr>
          <w:p w14:paraId="16F90CAA">
            <w:pPr>
              <w:pStyle w:val="28"/>
              <w:bidi w:val="0"/>
            </w:pPr>
            <w:r>
              <w:rPr>
                <w:rFonts w:hint="eastAsia"/>
              </w:rPr>
              <w:t>沙塘鳢，麦穗鱼，子陵吻虾虎</w:t>
            </w:r>
          </w:p>
        </w:tc>
      </w:tr>
      <w:tr w14:paraId="5C33E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6" w:type="pct"/>
            <w:vAlign w:val="center"/>
          </w:tcPr>
          <w:p w14:paraId="3B9971D2">
            <w:pPr>
              <w:pStyle w:val="28"/>
              <w:bidi w:val="0"/>
            </w:pPr>
            <w:r>
              <w:rPr>
                <w:rFonts w:hint="eastAsia"/>
              </w:rPr>
              <w:t>W8</w:t>
            </w:r>
          </w:p>
        </w:tc>
        <w:tc>
          <w:tcPr>
            <w:tcW w:w="502" w:type="pct"/>
            <w:vAlign w:val="center"/>
          </w:tcPr>
          <w:p w14:paraId="21561018">
            <w:pPr>
              <w:pStyle w:val="28"/>
              <w:bidi w:val="0"/>
            </w:pPr>
            <w:r>
              <w:rPr>
                <w:rFonts w:hint="eastAsia"/>
              </w:rPr>
              <w:t>50</w:t>
            </w:r>
          </w:p>
        </w:tc>
        <w:tc>
          <w:tcPr>
            <w:tcW w:w="440" w:type="pct"/>
            <w:vAlign w:val="center"/>
          </w:tcPr>
          <w:p w14:paraId="3C8188F2">
            <w:pPr>
              <w:pStyle w:val="28"/>
              <w:bidi w:val="0"/>
            </w:pPr>
            <w:r>
              <w:rPr>
                <w:rFonts w:hint="eastAsia"/>
              </w:rPr>
              <w:t>251</w:t>
            </w:r>
          </w:p>
        </w:tc>
        <w:tc>
          <w:tcPr>
            <w:tcW w:w="376" w:type="pct"/>
            <w:vAlign w:val="center"/>
          </w:tcPr>
          <w:p w14:paraId="7EEE2AAC">
            <w:pPr>
              <w:pStyle w:val="28"/>
              <w:bidi w:val="0"/>
            </w:pPr>
            <w:r>
              <w:rPr>
                <w:rFonts w:hint="eastAsia"/>
              </w:rPr>
              <w:t>1.510</w:t>
            </w:r>
          </w:p>
        </w:tc>
        <w:tc>
          <w:tcPr>
            <w:tcW w:w="758" w:type="pct"/>
            <w:vAlign w:val="center"/>
          </w:tcPr>
          <w:p w14:paraId="6A5F7094">
            <w:pPr>
              <w:pStyle w:val="28"/>
              <w:bidi w:val="0"/>
            </w:pPr>
            <w:r>
              <w:rPr>
                <w:rFonts w:hint="eastAsia"/>
              </w:rPr>
              <w:t>中等</w:t>
            </w:r>
          </w:p>
        </w:tc>
        <w:tc>
          <w:tcPr>
            <w:tcW w:w="687" w:type="pct"/>
            <w:vAlign w:val="center"/>
          </w:tcPr>
          <w:p w14:paraId="68EA42B0">
            <w:pPr>
              <w:pStyle w:val="28"/>
              <w:bidi w:val="0"/>
            </w:pPr>
            <w:r>
              <w:rPr>
                <w:rFonts w:hint="eastAsia"/>
              </w:rPr>
              <w:t>麦穗鱼</w:t>
            </w:r>
          </w:p>
        </w:tc>
        <w:tc>
          <w:tcPr>
            <w:tcW w:w="1839" w:type="pct"/>
            <w:vAlign w:val="center"/>
          </w:tcPr>
          <w:p w14:paraId="0222D792">
            <w:pPr>
              <w:pStyle w:val="28"/>
              <w:bidi w:val="0"/>
            </w:pPr>
            <w:r>
              <w:rPr>
                <w:rFonts w:hint="eastAsia"/>
              </w:rPr>
              <w:t>中华鳑鲏，子陵吻虾虎，沙塘鳢</w:t>
            </w:r>
          </w:p>
        </w:tc>
      </w:tr>
      <w:tr w14:paraId="464CD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96" w:type="pct"/>
            <w:vAlign w:val="center"/>
          </w:tcPr>
          <w:p w14:paraId="1F0923D9">
            <w:pPr>
              <w:pStyle w:val="28"/>
              <w:bidi w:val="0"/>
            </w:pPr>
            <w:r>
              <w:rPr>
                <w:rFonts w:hint="eastAsia"/>
              </w:rPr>
              <w:t>W10</w:t>
            </w:r>
          </w:p>
        </w:tc>
        <w:tc>
          <w:tcPr>
            <w:tcW w:w="502" w:type="pct"/>
            <w:vAlign w:val="center"/>
          </w:tcPr>
          <w:p w14:paraId="08968980">
            <w:pPr>
              <w:pStyle w:val="28"/>
              <w:bidi w:val="0"/>
            </w:pPr>
            <w:r>
              <w:rPr>
                <w:rFonts w:hint="eastAsia"/>
              </w:rPr>
              <w:t>41</w:t>
            </w:r>
          </w:p>
        </w:tc>
        <w:tc>
          <w:tcPr>
            <w:tcW w:w="440" w:type="pct"/>
            <w:vAlign w:val="center"/>
          </w:tcPr>
          <w:p w14:paraId="2288BECB">
            <w:pPr>
              <w:pStyle w:val="28"/>
              <w:bidi w:val="0"/>
            </w:pPr>
            <w:r>
              <w:rPr>
                <w:rFonts w:hint="eastAsia"/>
              </w:rPr>
              <w:t>133</w:t>
            </w:r>
          </w:p>
        </w:tc>
        <w:tc>
          <w:tcPr>
            <w:tcW w:w="376" w:type="pct"/>
            <w:vAlign w:val="center"/>
          </w:tcPr>
          <w:p w14:paraId="3B9CE8FB">
            <w:pPr>
              <w:pStyle w:val="28"/>
              <w:bidi w:val="0"/>
            </w:pPr>
            <w:r>
              <w:rPr>
                <w:rFonts w:hint="eastAsia"/>
              </w:rPr>
              <w:t>1.223</w:t>
            </w:r>
          </w:p>
        </w:tc>
        <w:tc>
          <w:tcPr>
            <w:tcW w:w="758" w:type="pct"/>
            <w:vAlign w:val="center"/>
          </w:tcPr>
          <w:p w14:paraId="6D0D155B">
            <w:pPr>
              <w:pStyle w:val="28"/>
              <w:bidi w:val="0"/>
            </w:pPr>
            <w:r>
              <w:rPr>
                <w:rFonts w:hint="eastAsia"/>
              </w:rPr>
              <w:t>中等</w:t>
            </w:r>
          </w:p>
        </w:tc>
        <w:tc>
          <w:tcPr>
            <w:tcW w:w="687" w:type="pct"/>
            <w:vAlign w:val="center"/>
          </w:tcPr>
          <w:p w14:paraId="381E67D0">
            <w:pPr>
              <w:pStyle w:val="28"/>
              <w:bidi w:val="0"/>
            </w:pPr>
            <w:r>
              <w:rPr>
                <w:rFonts w:hint="eastAsia"/>
              </w:rPr>
              <w:t>麦穗鱼</w:t>
            </w:r>
          </w:p>
        </w:tc>
        <w:tc>
          <w:tcPr>
            <w:tcW w:w="1839" w:type="pct"/>
            <w:vAlign w:val="center"/>
          </w:tcPr>
          <w:p w14:paraId="37BB3A24">
            <w:pPr>
              <w:pStyle w:val="28"/>
              <w:bidi w:val="0"/>
            </w:pPr>
            <w:r>
              <w:rPr>
                <w:rFonts w:hint="eastAsia"/>
              </w:rPr>
              <w:t>中华鳑鲏，黄颡鱼，子陵吻虾虎</w:t>
            </w:r>
          </w:p>
        </w:tc>
      </w:tr>
    </w:tbl>
    <w:p w14:paraId="31D86DF9">
      <w:pPr>
        <w:ind w:firstLine="480"/>
        <w:rPr>
          <w:rFonts w:cs="Times New Roman"/>
        </w:rPr>
      </w:pPr>
      <w:r>
        <w:rPr>
          <w:rFonts w:cs="Times New Roman"/>
          <w:lang w:val="en-GB"/>
        </w:rPr>
        <w:t>（</w:t>
      </w:r>
      <w:r>
        <w:rPr>
          <w:rFonts w:cs="Times New Roman"/>
        </w:rPr>
        <w:t>2</w:t>
      </w:r>
      <w:r>
        <w:rPr>
          <w:rFonts w:cs="Times New Roman"/>
          <w:lang w:val="en-GB"/>
        </w:rPr>
        <w:t>）</w:t>
      </w:r>
      <w:r>
        <w:rPr>
          <w:rFonts w:cs="Times New Roman"/>
        </w:rPr>
        <w:t>区系特征</w:t>
      </w:r>
    </w:p>
    <w:p w14:paraId="0D09A77C">
      <w:pPr>
        <w:ind w:firstLine="480"/>
        <w:contextualSpacing/>
        <w:rPr>
          <w:rFonts w:cs="Times New Roman"/>
        </w:rPr>
      </w:pPr>
      <w:r>
        <w:rPr>
          <w:rFonts w:hint="eastAsia" w:cs="Times New Roman"/>
        </w:rPr>
        <w:t>根据《中国淡水鱼类的分布区划》（李思忠著）的划分标准，评价区鱼类区系主要归属于华东区、华南区，根据调查结果，华东区鱼类有</w:t>
      </w:r>
      <w:r>
        <w:rPr>
          <w:rFonts w:cs="Times New Roman"/>
        </w:rPr>
        <w:t>14</w:t>
      </w:r>
      <w:r>
        <w:rPr>
          <w:rFonts w:hint="eastAsia" w:cs="Times New Roman"/>
        </w:rPr>
        <w:t>种，占</w:t>
      </w:r>
      <w:r>
        <w:rPr>
          <w:rFonts w:cs="Times New Roman"/>
        </w:rPr>
        <w:t>93.33%</w:t>
      </w:r>
      <w:r>
        <w:rPr>
          <w:rFonts w:hint="eastAsia" w:cs="Times New Roman"/>
        </w:rPr>
        <w:t>，种类分别为鲫、鲤（</w:t>
      </w:r>
      <w:r>
        <w:rPr>
          <w:rFonts w:cs="Times New Roman"/>
          <w:i/>
          <w:iCs/>
        </w:rPr>
        <w:t>Cyprinus carpio</w:t>
      </w:r>
      <w:r>
        <w:rPr>
          <w:rFonts w:hint="eastAsia" w:cs="Times New Roman"/>
        </w:rPr>
        <w:t>）、䱗（</w:t>
      </w:r>
      <w:r>
        <w:rPr>
          <w:rFonts w:cs="Times New Roman"/>
          <w:i/>
          <w:iCs/>
        </w:rPr>
        <w:t>Hemiculter leucisculus</w:t>
      </w:r>
      <w:r>
        <w:rPr>
          <w:rFonts w:hint="eastAsia" w:cs="Times New Roman"/>
        </w:rPr>
        <w:t>）、中华鰟鮍、黑鳍鳈（</w:t>
      </w:r>
      <w:r>
        <w:rPr>
          <w:rFonts w:cs="Times New Roman"/>
          <w:i/>
          <w:iCs/>
        </w:rPr>
        <w:t>Sarcocheilichthys nigripinnis</w:t>
      </w:r>
      <w:r>
        <w:rPr>
          <w:rFonts w:hint="eastAsia" w:cs="Times New Roman"/>
        </w:rPr>
        <w:t>）、麦穗鱼、棒花鱼（</w:t>
      </w:r>
      <w:r>
        <w:rPr>
          <w:rFonts w:cs="Times New Roman"/>
          <w:i/>
          <w:iCs/>
        </w:rPr>
        <w:t>Abbottina rivularis</w:t>
      </w:r>
      <w:r>
        <w:rPr>
          <w:rFonts w:hint="eastAsia" w:cs="Times New Roman"/>
        </w:rPr>
        <w:t>）、泥鳅、刺鳅、黄鳝、黄颡鱼、沙塘鳢、子陵吻虾虎、黄黝，华南区鱼类仅</w:t>
      </w:r>
      <w:r>
        <w:rPr>
          <w:rFonts w:cs="Times New Roman"/>
        </w:rPr>
        <w:t>1</w:t>
      </w:r>
      <w:r>
        <w:rPr>
          <w:rFonts w:hint="eastAsia" w:cs="Times New Roman"/>
        </w:rPr>
        <w:t>种，种类：大鳍鱊（</w:t>
      </w:r>
      <w:r>
        <w:rPr>
          <w:rFonts w:cs="Times New Roman"/>
          <w:i/>
          <w:iCs/>
        </w:rPr>
        <w:t>Acheilognathus macrop</w:t>
      </w:r>
      <w:r>
        <w:rPr>
          <w:rFonts w:hint="eastAsia" w:cs="Times New Roman"/>
          <w:i/>
          <w:iCs/>
        </w:rPr>
        <w:t>terus</w:t>
      </w:r>
      <w:r>
        <w:rPr>
          <w:rFonts w:hint="eastAsia" w:cs="Times New Roman"/>
        </w:rPr>
        <w:t>）。</w:t>
      </w:r>
    </w:p>
    <w:p w14:paraId="4D2BBF40">
      <w:pPr>
        <w:ind w:firstLine="480"/>
        <w:contextualSpacing/>
        <w:rPr>
          <w:rFonts w:cs="Times New Roman"/>
        </w:rPr>
      </w:pPr>
      <w:r>
        <w:rPr>
          <w:rFonts w:cs="Times New Roman"/>
        </w:rPr>
        <w:t>华东区又称江河平原区系类群，该类群适应江河宽阔的水面和一定流速的水域，绝对数量较大，大部分产漂流性鱼卵，顺水漂流发育，对水位变动敏感，大多数种类当水位升高时从湖泊进入江河产卵，幼鱼和产过卵的亲鱼入湖泊肥育</w:t>
      </w:r>
    </w:p>
    <w:p w14:paraId="7043E5DA">
      <w:pPr>
        <w:ind w:firstLine="480"/>
        <w:contextualSpacing/>
        <w:rPr>
          <w:rFonts w:cs="Times New Roman"/>
        </w:rPr>
      </w:pPr>
      <w:r>
        <w:rPr>
          <w:rFonts w:cs="Times New Roman"/>
          <w:lang w:val="en-GB"/>
        </w:rPr>
        <w:t>（</w:t>
      </w:r>
      <w:r>
        <w:rPr>
          <w:rFonts w:cs="Times New Roman"/>
        </w:rPr>
        <w:t>3</w:t>
      </w:r>
      <w:r>
        <w:rPr>
          <w:rFonts w:cs="Times New Roman"/>
          <w:lang w:val="en-GB"/>
        </w:rPr>
        <w:t>）</w:t>
      </w:r>
      <w:r>
        <w:rPr>
          <w:rFonts w:cs="Times New Roman"/>
        </w:rPr>
        <w:t>摄食类型</w:t>
      </w:r>
    </w:p>
    <w:p w14:paraId="45036315">
      <w:pPr>
        <w:ind w:firstLine="480"/>
        <w:contextualSpacing/>
        <w:rPr>
          <w:rFonts w:cs="Times New Roman"/>
          <w:lang w:val="en-GB"/>
        </w:rPr>
      </w:pPr>
      <w:r>
        <w:rPr>
          <w:rFonts w:cs="Times New Roman"/>
          <w:lang w:val="en-GB"/>
        </w:rPr>
        <w:t>根据成鱼的摄食对象，可以将</w:t>
      </w:r>
      <w:r>
        <w:rPr>
          <w:rFonts w:cs="Times New Roman"/>
        </w:rPr>
        <w:t>评价区</w:t>
      </w:r>
      <w:r>
        <w:rPr>
          <w:rFonts w:cs="Times New Roman"/>
          <w:lang w:val="en-GB"/>
        </w:rPr>
        <w:t>水域的鱼类</w:t>
      </w:r>
      <w:r>
        <w:rPr>
          <w:rFonts w:cs="Times New Roman"/>
        </w:rPr>
        <w:t>摄食类型</w:t>
      </w:r>
      <w:r>
        <w:rPr>
          <w:rFonts w:cs="Times New Roman"/>
          <w:lang w:val="en-GB"/>
        </w:rPr>
        <w:t>划分为以下4类：</w:t>
      </w:r>
    </w:p>
    <w:p w14:paraId="7231FF2B">
      <w:pPr>
        <w:ind w:firstLine="480"/>
        <w:contextualSpacing/>
        <w:rPr>
          <w:rFonts w:cs="Times New Roman"/>
          <w:lang w:val="en-GB"/>
        </w:rPr>
      </w:pPr>
      <w:r>
        <w:rPr>
          <w:rFonts w:hint="eastAsia" w:ascii="宋体" w:hAnsi="宋体"/>
        </w:rPr>
        <w:t>①</w:t>
      </w:r>
      <w:r>
        <w:rPr>
          <w:rFonts w:cs="Times New Roman"/>
          <w:lang w:val="en-GB"/>
        </w:rPr>
        <w:t>植食性：</w:t>
      </w:r>
      <w:r>
        <w:rPr>
          <w:rFonts w:cs="Times New Roman"/>
        </w:rPr>
        <w:t>7</w:t>
      </w:r>
      <w:r>
        <w:rPr>
          <w:rFonts w:cs="Times New Roman"/>
          <w:lang w:val="en-GB"/>
        </w:rPr>
        <w:t>种，以</w:t>
      </w:r>
      <w:r>
        <w:rPr>
          <w:rFonts w:cs="Times New Roman"/>
        </w:rPr>
        <w:t>浮游植物</w:t>
      </w:r>
      <w:r>
        <w:rPr>
          <w:rFonts w:cs="Times New Roman"/>
          <w:lang w:val="en-GB"/>
        </w:rPr>
        <w:t>、水生维管植物、着生</w:t>
      </w:r>
      <w:r>
        <w:rPr>
          <w:rFonts w:cs="Times New Roman"/>
        </w:rPr>
        <w:t>藻类</w:t>
      </w:r>
      <w:r>
        <w:rPr>
          <w:rFonts w:cs="Times New Roman"/>
          <w:lang w:val="en-GB"/>
        </w:rPr>
        <w:t>为主要食物的鱼类。</w:t>
      </w:r>
      <w:r>
        <w:rPr>
          <w:rFonts w:cs="Times New Roman"/>
        </w:rPr>
        <w:t>调查到的种类包括大鳍鱊、中华鳑鲏</w:t>
      </w:r>
      <w:r>
        <w:rPr>
          <w:rFonts w:cs="Times New Roman"/>
          <w:lang w:val="en-GB"/>
        </w:rPr>
        <w:t>。</w:t>
      </w:r>
    </w:p>
    <w:p w14:paraId="51008647">
      <w:pPr>
        <w:ind w:firstLine="480"/>
        <w:contextualSpacing/>
        <w:rPr>
          <w:rFonts w:cs="Times New Roman"/>
          <w:lang w:val="en-GB"/>
        </w:rPr>
      </w:pPr>
      <w:r>
        <w:rPr>
          <w:rFonts w:hint="eastAsia" w:ascii="宋体" w:hAnsi="宋体"/>
        </w:rPr>
        <w:t>②</w:t>
      </w:r>
      <w:r>
        <w:rPr>
          <w:rFonts w:cs="Times New Roman"/>
        </w:rPr>
        <w:t>次级</w:t>
      </w:r>
      <w:r>
        <w:rPr>
          <w:rFonts w:cs="Times New Roman"/>
          <w:lang w:val="en-GB"/>
        </w:rPr>
        <w:t>肉食性：</w:t>
      </w:r>
      <w:r>
        <w:rPr>
          <w:rFonts w:cs="Times New Roman"/>
        </w:rPr>
        <w:t>5</w:t>
      </w:r>
      <w:r>
        <w:rPr>
          <w:rFonts w:cs="Times New Roman"/>
          <w:lang w:val="en-GB"/>
        </w:rPr>
        <w:t>种，以浮游</w:t>
      </w:r>
      <w:r>
        <w:rPr>
          <w:rFonts w:cs="Times New Roman"/>
        </w:rPr>
        <w:t>动物或底栖动物</w:t>
      </w:r>
      <w:r>
        <w:rPr>
          <w:rFonts w:cs="Times New Roman"/>
          <w:lang w:val="en-GB"/>
        </w:rPr>
        <w:t>为主要食物的鱼类。</w:t>
      </w:r>
      <w:r>
        <w:rPr>
          <w:rFonts w:cs="Times New Roman"/>
        </w:rPr>
        <w:t>调查到的种类包括</w:t>
      </w:r>
      <w:r>
        <w:rPr>
          <w:rFonts w:cs="Times New Roman"/>
          <w:lang w:val="en-GB"/>
        </w:rPr>
        <w:t>麦穗鱼、棒花鱼、子陵吻虾虎。</w:t>
      </w:r>
    </w:p>
    <w:p w14:paraId="08F2058A">
      <w:pPr>
        <w:ind w:firstLine="480"/>
        <w:contextualSpacing/>
        <w:rPr>
          <w:rFonts w:cs="Times New Roman"/>
          <w:lang w:val="en-GB"/>
        </w:rPr>
      </w:pPr>
      <w:r>
        <w:rPr>
          <w:rFonts w:hint="eastAsia" w:ascii="宋体" w:hAnsi="宋体"/>
        </w:rPr>
        <w:t>③</w:t>
      </w:r>
      <w:r>
        <w:rPr>
          <w:rFonts w:cs="Times New Roman"/>
        </w:rPr>
        <w:t>肉食性</w:t>
      </w:r>
      <w:r>
        <w:rPr>
          <w:rFonts w:cs="Times New Roman"/>
          <w:lang w:val="en-GB"/>
        </w:rPr>
        <w:t>：</w:t>
      </w:r>
      <w:r>
        <w:rPr>
          <w:rFonts w:cs="Times New Roman"/>
        </w:rPr>
        <w:t>12</w:t>
      </w:r>
      <w:r>
        <w:rPr>
          <w:rFonts w:cs="Times New Roman"/>
          <w:lang w:val="en-GB"/>
        </w:rPr>
        <w:t>种，以底栖无脊椎动物、鱼类为主要食物的鱼类。</w:t>
      </w:r>
      <w:r>
        <w:rPr>
          <w:rFonts w:cs="Times New Roman"/>
        </w:rPr>
        <w:t>调查到的种类有2种包括：黄颡鱼、沙塘鳢</w:t>
      </w:r>
      <w:r>
        <w:rPr>
          <w:rFonts w:cs="Times New Roman"/>
          <w:lang w:val="en-GB"/>
        </w:rPr>
        <w:t>。</w:t>
      </w:r>
    </w:p>
    <w:p w14:paraId="51F46F83">
      <w:pPr>
        <w:ind w:firstLine="480"/>
        <w:contextualSpacing/>
        <w:rPr>
          <w:rFonts w:cs="Times New Roman"/>
          <w:lang w:val="en-GB"/>
        </w:rPr>
      </w:pPr>
      <w:r>
        <w:rPr>
          <w:rFonts w:hint="eastAsia" w:ascii="宋体" w:hAnsi="宋体"/>
        </w:rPr>
        <w:t>④</w:t>
      </w:r>
      <w:r>
        <w:rPr>
          <w:rFonts w:cs="Times New Roman"/>
          <w:lang w:val="en-GB"/>
        </w:rPr>
        <w:t>杂食性：</w:t>
      </w:r>
      <w:r>
        <w:rPr>
          <w:rFonts w:cs="Times New Roman"/>
        </w:rPr>
        <w:t>22</w:t>
      </w:r>
      <w:r>
        <w:rPr>
          <w:rFonts w:cs="Times New Roman"/>
          <w:lang w:val="en-GB"/>
        </w:rPr>
        <w:t>种，该类鱼食谱广，包括小型动物、植物及其碎屑，其食性在不同环境水体和不同季节有明显变化。</w:t>
      </w:r>
      <w:r>
        <w:rPr>
          <w:rFonts w:cs="Times New Roman"/>
        </w:rPr>
        <w:t>实地调查到的种类有8种包括</w:t>
      </w:r>
      <w:r>
        <w:rPr>
          <w:rFonts w:cs="Times New Roman"/>
          <w:lang w:val="en-GB"/>
        </w:rPr>
        <w:t>黑鳍鳈，鲤，鲫</w:t>
      </w:r>
      <w:r>
        <w:rPr>
          <w:rFonts w:cs="Times New Roman"/>
        </w:rPr>
        <w:t>等</w:t>
      </w:r>
      <w:r>
        <w:rPr>
          <w:rFonts w:cs="Times New Roman"/>
          <w:lang w:val="en-GB"/>
        </w:rPr>
        <w:t>。</w:t>
      </w:r>
    </w:p>
    <w:p w14:paraId="42F33FA7">
      <w:pPr>
        <w:ind w:firstLine="480"/>
        <w:contextualSpacing/>
        <w:rPr>
          <w:rFonts w:cs="Times New Roman"/>
        </w:rPr>
      </w:pPr>
      <w:r>
        <w:rPr>
          <w:rFonts w:cs="Times New Roman"/>
          <w:lang w:val="en-GB"/>
        </w:rPr>
        <w:t>（</w:t>
      </w:r>
      <w:r>
        <w:rPr>
          <w:rFonts w:cs="Times New Roman"/>
        </w:rPr>
        <w:t>4</w:t>
      </w:r>
      <w:r>
        <w:rPr>
          <w:rFonts w:cs="Times New Roman"/>
          <w:lang w:val="en-GB"/>
        </w:rPr>
        <w:t>）</w:t>
      </w:r>
      <w:r>
        <w:rPr>
          <w:rFonts w:cs="Times New Roman"/>
        </w:rPr>
        <w:t>产卵类型</w:t>
      </w:r>
    </w:p>
    <w:p w14:paraId="1DA14974">
      <w:pPr>
        <w:ind w:firstLine="480"/>
        <w:contextualSpacing/>
        <w:rPr>
          <w:rFonts w:cs="Times New Roman"/>
          <w:lang w:val="en-GB"/>
        </w:rPr>
      </w:pPr>
      <w:r>
        <w:rPr>
          <w:rFonts w:cs="Times New Roman"/>
          <w:lang w:val="en-GB"/>
        </w:rPr>
        <w:t>按鱼类的不同产卵类型可划分为</w:t>
      </w:r>
      <w:r>
        <w:rPr>
          <w:rFonts w:cs="Times New Roman"/>
        </w:rPr>
        <w:t>3</w:t>
      </w:r>
      <w:r>
        <w:rPr>
          <w:rFonts w:cs="Times New Roman"/>
          <w:lang w:val="en-GB"/>
        </w:rPr>
        <w:t>种类型：</w:t>
      </w:r>
    </w:p>
    <w:p w14:paraId="4E1AD781">
      <w:pPr>
        <w:ind w:firstLine="480"/>
        <w:contextualSpacing/>
        <w:rPr>
          <w:rFonts w:cs="Times New Roman"/>
          <w:lang w:val="en-GB"/>
        </w:rPr>
      </w:pPr>
      <w:r>
        <w:rPr>
          <w:rFonts w:hint="eastAsia" w:ascii="宋体" w:hAnsi="宋体"/>
        </w:rPr>
        <w:t>①</w:t>
      </w:r>
      <w:r>
        <w:rPr>
          <w:rFonts w:cs="Times New Roman"/>
          <w:lang w:val="en-GB"/>
        </w:rPr>
        <w:t>产沉性卵：</w:t>
      </w:r>
      <w:r>
        <w:rPr>
          <w:rFonts w:cs="Times New Roman"/>
        </w:rPr>
        <w:t>9种，</w:t>
      </w:r>
      <w:r>
        <w:rPr>
          <w:rFonts w:cs="Times New Roman"/>
          <w:lang w:val="en-GB"/>
        </w:rPr>
        <w:t>卵子比水重，产出后沉在水底或附着于水草、石块等产卵基质上。</w:t>
      </w:r>
      <w:r>
        <w:rPr>
          <w:rFonts w:cs="Times New Roman"/>
        </w:rPr>
        <w:t>调查到的种类有4种，棒花鱼、麦穗鱼、泥鳅、刺鳅</w:t>
      </w:r>
      <w:r>
        <w:rPr>
          <w:rFonts w:cs="Times New Roman"/>
          <w:lang w:val="en-GB"/>
        </w:rPr>
        <w:t>。</w:t>
      </w:r>
    </w:p>
    <w:p w14:paraId="2EE56B38">
      <w:pPr>
        <w:ind w:firstLine="480"/>
        <w:contextualSpacing/>
        <w:rPr>
          <w:rFonts w:cs="Times New Roman"/>
        </w:rPr>
      </w:pPr>
      <w:r>
        <w:rPr>
          <w:rFonts w:hint="eastAsia" w:ascii="宋体" w:hAnsi="宋体"/>
        </w:rPr>
        <w:t>②</w:t>
      </w:r>
      <w:r>
        <w:rPr>
          <w:rFonts w:cs="Times New Roman"/>
        </w:rPr>
        <w:t>漂流性</w:t>
      </w:r>
      <w:r>
        <w:rPr>
          <w:rFonts w:cs="Times New Roman"/>
          <w:lang w:val="en-GB"/>
        </w:rPr>
        <w:t>卵：</w:t>
      </w:r>
      <w:r>
        <w:rPr>
          <w:rFonts w:cs="Times New Roman"/>
        </w:rPr>
        <w:t>12种，</w:t>
      </w:r>
      <w:r>
        <w:rPr>
          <w:rFonts w:cs="Times New Roman"/>
          <w:lang w:val="en-GB"/>
        </w:rPr>
        <w:t>此繁殖类群主要生活在江河水体中上层，繁殖季节</w:t>
      </w:r>
      <w:r>
        <w:rPr>
          <w:rFonts w:cs="Times New Roman"/>
        </w:rPr>
        <w:t>为</w:t>
      </w:r>
      <w:r>
        <w:rPr>
          <w:rFonts w:cs="Times New Roman"/>
          <w:lang w:val="en-GB"/>
        </w:rPr>
        <w:t>4~6月，产出的卵体积大，比重略大于水，卵顺流而下进行孵化，对环境要求较高，必须满足一定的水温、水位、流速、流态、流程等水文条件才能完成繁殖和孵化</w:t>
      </w:r>
      <w:r>
        <w:rPr>
          <w:rFonts w:cs="Times New Roman"/>
        </w:rPr>
        <w:t>。</w:t>
      </w:r>
    </w:p>
    <w:p w14:paraId="2F7B8E72">
      <w:pPr>
        <w:contextualSpacing/>
        <w:rPr>
          <w:rFonts w:cs="Times New Roman"/>
          <w:lang w:val="en-GB"/>
        </w:rPr>
      </w:pPr>
      <w:r>
        <w:rPr>
          <w:rFonts w:hint="eastAsia" w:ascii="宋体" w:hAnsi="宋体"/>
        </w:rPr>
        <w:t>③</w:t>
      </w:r>
      <w:r>
        <w:rPr>
          <w:rFonts w:cs="Times New Roman"/>
          <w:lang w:val="en-GB"/>
        </w:rPr>
        <w:t>粘性卵：</w:t>
      </w:r>
      <w:r>
        <w:rPr>
          <w:rFonts w:cs="Times New Roman"/>
        </w:rPr>
        <w:t>17种，为评价区水域鱼类中的主要繁殖类群。</w:t>
      </w:r>
      <w:r>
        <w:rPr>
          <w:rFonts w:cs="Times New Roman"/>
          <w:lang w:val="en-GB"/>
        </w:rPr>
        <w:t>粘性</w:t>
      </w:r>
      <w:r>
        <w:rPr>
          <w:rFonts w:hint="eastAsia" w:cs="Times New Roman"/>
          <w:lang w:val="en-GB"/>
        </w:rPr>
        <w:t>卵</w:t>
      </w:r>
      <w:r>
        <w:rPr>
          <w:rFonts w:cs="Times New Roman"/>
          <w:lang w:val="en-GB"/>
        </w:rPr>
        <w:t>膜外层遇水后具</w:t>
      </w:r>
      <w:r>
        <w:rPr>
          <w:rFonts w:cs="Times New Roman"/>
        </w:rPr>
        <w:t>黏粘</w:t>
      </w:r>
      <w:r>
        <w:rPr>
          <w:rFonts w:cs="Times New Roman"/>
          <w:lang w:val="en-GB"/>
        </w:rPr>
        <w:t>性，或长有粘丝，产后附着于水草、石块等产卵基质上。</w:t>
      </w:r>
      <w:r>
        <w:rPr>
          <w:rFonts w:cs="Times New Roman"/>
        </w:rPr>
        <w:t>实际调查到的种类11种包括：鲫、鲤、大鳍鱊、中华鳑鲏、子陵吻鰕虎、黑鳍鳈等</w:t>
      </w:r>
      <w:r>
        <w:rPr>
          <w:rFonts w:cs="Times New Roman"/>
          <w:lang w:val="en-GB"/>
        </w:rPr>
        <w:t>。</w:t>
      </w:r>
    </w:p>
    <w:p w14:paraId="55BAAD4A">
      <w:pPr>
        <w:contextualSpacing/>
        <w:rPr>
          <w:rFonts w:cs="Times New Roman"/>
          <w:lang w:val="en-GB"/>
        </w:rPr>
      </w:pPr>
      <w:r>
        <w:rPr>
          <w:rFonts w:cs="Times New Roman"/>
        </w:rPr>
        <w:t>（</w:t>
      </w:r>
      <w:r>
        <w:rPr>
          <w:rFonts w:hint="eastAsia" w:cs="Times New Roman"/>
        </w:rPr>
        <w:t>5</w:t>
      </w:r>
      <w:r>
        <w:rPr>
          <w:rFonts w:cs="Times New Roman"/>
        </w:rPr>
        <w:t>）</w:t>
      </w:r>
      <w:r>
        <w:rPr>
          <w:rFonts w:cs="Times New Roman"/>
          <w:lang w:val="en-GB"/>
        </w:rPr>
        <w:t>栖息特征</w:t>
      </w:r>
    </w:p>
    <w:p w14:paraId="78CFA9F2">
      <w:pPr>
        <w:ind w:firstLine="480"/>
        <w:contextualSpacing/>
        <w:rPr>
          <w:rFonts w:cs="Times New Roman"/>
          <w:lang w:val="en-GB"/>
        </w:rPr>
      </w:pPr>
      <w:r>
        <w:rPr>
          <w:rFonts w:cs="Times New Roman"/>
          <w:lang w:val="en-GB"/>
        </w:rPr>
        <w:t>按鱼在水中的垂直分布划分，</w:t>
      </w:r>
      <w:r>
        <w:rPr>
          <w:rFonts w:cs="Times New Roman"/>
        </w:rPr>
        <w:t>评价区</w:t>
      </w:r>
      <w:r>
        <w:rPr>
          <w:rFonts w:cs="Times New Roman"/>
          <w:lang w:val="en-GB"/>
        </w:rPr>
        <w:t>水域</w:t>
      </w:r>
      <w:r>
        <w:rPr>
          <w:rFonts w:cs="Times New Roman"/>
        </w:rPr>
        <w:t>中</w:t>
      </w:r>
      <w:r>
        <w:rPr>
          <w:rFonts w:cs="Times New Roman"/>
          <w:lang w:val="en-GB"/>
        </w:rPr>
        <w:t>鱼类可分为3个类群：</w:t>
      </w:r>
    </w:p>
    <w:p w14:paraId="34F2871E">
      <w:pPr>
        <w:ind w:firstLine="480"/>
        <w:contextualSpacing/>
        <w:rPr>
          <w:rFonts w:cs="Times New Roman"/>
          <w:lang w:val="en-GB"/>
        </w:rPr>
      </w:pPr>
      <w:r>
        <w:rPr>
          <w:rFonts w:cs="Times New Roman"/>
        </w:rPr>
        <w:t>水域底层栖息</w:t>
      </w:r>
      <w:r>
        <w:rPr>
          <w:rFonts w:cs="Times New Roman"/>
          <w:lang w:val="en-GB"/>
        </w:rPr>
        <w:t>：</w:t>
      </w:r>
      <w:r>
        <w:rPr>
          <w:rFonts w:cs="Times New Roman"/>
        </w:rPr>
        <w:t>17</w:t>
      </w:r>
      <w:r>
        <w:rPr>
          <w:rFonts w:cs="Times New Roman"/>
          <w:lang w:val="en-GB"/>
        </w:rPr>
        <w:t>种，</w:t>
      </w:r>
      <w:r>
        <w:rPr>
          <w:rFonts w:cs="Times New Roman"/>
        </w:rPr>
        <w:t>种类包括鲫，泥鳅，刺鳅，子陵吻虾虎等</w:t>
      </w:r>
      <w:r>
        <w:rPr>
          <w:rFonts w:cs="Times New Roman"/>
          <w:lang w:val="en-GB"/>
        </w:rPr>
        <w:t>；</w:t>
      </w:r>
    </w:p>
    <w:p w14:paraId="785BF9EA">
      <w:pPr>
        <w:ind w:firstLine="480"/>
        <w:contextualSpacing/>
        <w:rPr>
          <w:rFonts w:cs="Times New Roman"/>
          <w:lang w:val="en-GB"/>
        </w:rPr>
      </w:pPr>
      <w:r>
        <w:rPr>
          <w:rFonts w:cs="Times New Roman"/>
        </w:rPr>
        <w:t>水域</w:t>
      </w:r>
      <w:r>
        <w:rPr>
          <w:rFonts w:cs="Times New Roman"/>
          <w:lang w:val="en-GB"/>
        </w:rPr>
        <w:t>中上层</w:t>
      </w:r>
      <w:r>
        <w:rPr>
          <w:rFonts w:cs="Times New Roman"/>
        </w:rPr>
        <w:t>栖息</w:t>
      </w:r>
      <w:r>
        <w:rPr>
          <w:rFonts w:cs="Times New Roman"/>
          <w:lang w:val="en-GB"/>
        </w:rPr>
        <w:t>：</w:t>
      </w:r>
      <w:r>
        <w:rPr>
          <w:rFonts w:cs="Times New Roman"/>
        </w:rPr>
        <w:t>17</w:t>
      </w:r>
      <w:r>
        <w:rPr>
          <w:rFonts w:cs="Times New Roman"/>
          <w:lang w:val="en-GB"/>
        </w:rPr>
        <w:t>种，</w:t>
      </w:r>
      <w:r>
        <w:rPr>
          <w:rFonts w:cs="Times New Roman"/>
        </w:rPr>
        <w:t>种类包括鳙，鲢鱼，䱗等</w:t>
      </w:r>
      <w:r>
        <w:rPr>
          <w:rFonts w:cs="Times New Roman"/>
          <w:lang w:val="en-GB"/>
        </w:rPr>
        <w:t>；</w:t>
      </w:r>
    </w:p>
    <w:p w14:paraId="0F18A171">
      <w:pPr>
        <w:spacing w:line="240" w:lineRule="auto"/>
        <w:ind w:firstLine="480"/>
        <w:contextualSpacing/>
        <w:rPr>
          <w:rFonts w:cs="Times New Roman"/>
        </w:rPr>
      </w:pPr>
      <w:r>
        <w:rPr>
          <w:rFonts w:cs="Times New Roman"/>
        </w:rPr>
        <w:t>水域</w:t>
      </w:r>
      <w:r>
        <w:rPr>
          <w:rFonts w:cs="Times New Roman"/>
          <w:lang w:val="en-GB"/>
        </w:rPr>
        <w:t>中下层</w:t>
      </w:r>
      <w:r>
        <w:rPr>
          <w:rFonts w:cs="Times New Roman"/>
        </w:rPr>
        <w:t>栖息12</w:t>
      </w:r>
      <w:r>
        <w:rPr>
          <w:rFonts w:cs="Times New Roman"/>
          <w:lang w:val="en-GB"/>
        </w:rPr>
        <w:t>种，</w:t>
      </w:r>
      <w:r>
        <w:rPr>
          <w:rFonts w:cs="Times New Roman"/>
        </w:rPr>
        <w:t>种类包括麦穗鱼，中华鳑鲏，棒花鱼等</w:t>
      </w:r>
      <w:r>
        <w:rPr>
          <w:rFonts w:cs="Times New Roman"/>
          <w:lang w:val="en-GB"/>
        </w:rPr>
        <w:t>。</w:t>
      </w:r>
    </w:p>
    <w:p w14:paraId="37B154BB">
      <w:pPr>
        <w:pStyle w:val="29"/>
        <w:bidi w:val="0"/>
        <w:rPr>
          <w:lang w:val="en-GB"/>
        </w:rPr>
      </w:pPr>
      <w:r>
        <w:rPr>
          <w:lang w:val="en-GB"/>
        </w:rPr>
        <w:t>表</w:t>
      </w:r>
      <w:r>
        <w:rPr>
          <w:rFonts w:hint="eastAsia"/>
          <w:lang w:eastAsia="zh-CN"/>
        </w:rPr>
        <w:t>4.3</w:t>
      </w:r>
      <w:r>
        <w:t>-10</w:t>
      </w:r>
      <w:r>
        <w:rPr>
          <w:lang w:val="en-GB"/>
        </w:rPr>
        <w:t xml:space="preserve"> </w:t>
      </w:r>
      <w:r>
        <w:t xml:space="preserve"> 评级区</w:t>
      </w:r>
      <w:r>
        <w:rPr>
          <w:lang w:val="en-GB"/>
        </w:rPr>
        <w:t>鱼类</w:t>
      </w:r>
      <w:r>
        <w:t>名录</w:t>
      </w:r>
    </w:p>
    <w:tbl>
      <w:tblPr>
        <w:tblStyle w:val="16"/>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774"/>
        <w:gridCol w:w="1544"/>
        <w:gridCol w:w="1288"/>
        <w:gridCol w:w="1288"/>
        <w:gridCol w:w="773"/>
        <w:gridCol w:w="1808"/>
        <w:gridCol w:w="1808"/>
      </w:tblGrid>
      <w:tr w14:paraId="648E0E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417" w:type="pct"/>
            <w:vAlign w:val="center"/>
          </w:tcPr>
          <w:p w14:paraId="5A1C70C7">
            <w:pPr>
              <w:pStyle w:val="28"/>
              <w:bidi w:val="0"/>
              <w:rPr>
                <w:lang w:val="en-GB"/>
              </w:rPr>
            </w:pPr>
            <w:r>
              <w:rPr>
                <w:lang w:val="en-GB"/>
              </w:rPr>
              <w:t>序号</w:t>
            </w:r>
          </w:p>
        </w:tc>
        <w:tc>
          <w:tcPr>
            <w:tcW w:w="831" w:type="pct"/>
            <w:vAlign w:val="center"/>
          </w:tcPr>
          <w:p w14:paraId="7E6A386E">
            <w:pPr>
              <w:pStyle w:val="28"/>
              <w:bidi w:val="0"/>
              <w:rPr>
                <w:lang w:val="en-GB"/>
              </w:rPr>
            </w:pPr>
            <w:r>
              <w:rPr>
                <w:lang w:val="en-GB"/>
              </w:rPr>
              <w:t>种类</w:t>
            </w:r>
          </w:p>
        </w:tc>
        <w:tc>
          <w:tcPr>
            <w:tcW w:w="693" w:type="pct"/>
            <w:vAlign w:val="center"/>
          </w:tcPr>
          <w:p w14:paraId="0F4C2C80">
            <w:pPr>
              <w:pStyle w:val="28"/>
              <w:bidi w:val="0"/>
              <w:rPr>
                <w:lang w:val="en-GB"/>
              </w:rPr>
            </w:pPr>
            <w:r>
              <w:rPr>
                <w:lang w:val="en-GB"/>
              </w:rPr>
              <w:t>垂直分布</w:t>
            </w:r>
          </w:p>
        </w:tc>
        <w:tc>
          <w:tcPr>
            <w:tcW w:w="693" w:type="pct"/>
            <w:vAlign w:val="center"/>
          </w:tcPr>
          <w:p w14:paraId="2265164D">
            <w:pPr>
              <w:pStyle w:val="28"/>
              <w:bidi w:val="0"/>
              <w:rPr>
                <w:lang w:val="en-GB"/>
              </w:rPr>
            </w:pPr>
            <w:r>
              <w:rPr>
                <w:lang w:val="en-GB"/>
              </w:rPr>
              <w:t>产卵类型</w:t>
            </w:r>
          </w:p>
        </w:tc>
        <w:tc>
          <w:tcPr>
            <w:tcW w:w="416" w:type="pct"/>
            <w:vAlign w:val="center"/>
          </w:tcPr>
          <w:p w14:paraId="0700FABA">
            <w:pPr>
              <w:pStyle w:val="28"/>
              <w:bidi w:val="0"/>
              <w:rPr>
                <w:lang w:val="en-GB"/>
              </w:rPr>
            </w:pPr>
            <w:r>
              <w:rPr>
                <w:lang w:val="en-GB"/>
              </w:rPr>
              <w:t>食性</w:t>
            </w:r>
          </w:p>
        </w:tc>
        <w:tc>
          <w:tcPr>
            <w:tcW w:w="973" w:type="pct"/>
            <w:vAlign w:val="center"/>
          </w:tcPr>
          <w:p w14:paraId="77F9BF69">
            <w:pPr>
              <w:pStyle w:val="28"/>
              <w:bidi w:val="0"/>
            </w:pPr>
            <w:r>
              <w:rPr>
                <w:rFonts w:hint="eastAsia"/>
              </w:rPr>
              <w:t>实地调查情况</w:t>
            </w:r>
          </w:p>
        </w:tc>
        <w:tc>
          <w:tcPr>
            <w:tcW w:w="973" w:type="pct"/>
            <w:vAlign w:val="center"/>
          </w:tcPr>
          <w:p w14:paraId="64FA9928">
            <w:pPr>
              <w:pStyle w:val="28"/>
              <w:bidi w:val="0"/>
            </w:pPr>
            <w:r>
              <w:rPr>
                <w:rFonts w:hint="eastAsia"/>
              </w:rPr>
              <w:t>IRI</w:t>
            </w:r>
          </w:p>
        </w:tc>
      </w:tr>
      <w:tr w14:paraId="1E788C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769D61CC">
            <w:pPr>
              <w:pStyle w:val="28"/>
              <w:bidi w:val="0"/>
            </w:pPr>
            <w:r>
              <w:rPr>
                <w:rFonts w:hint="eastAsia"/>
              </w:rPr>
              <w:t>一</w:t>
            </w:r>
          </w:p>
        </w:tc>
        <w:tc>
          <w:tcPr>
            <w:tcW w:w="831" w:type="pct"/>
            <w:vAlign w:val="center"/>
          </w:tcPr>
          <w:p w14:paraId="15400CD0">
            <w:pPr>
              <w:pStyle w:val="28"/>
              <w:bidi w:val="0"/>
              <w:rPr>
                <w:lang w:val="en-GB"/>
              </w:rPr>
            </w:pPr>
            <w:r>
              <w:rPr>
                <w:lang w:val="en-GB"/>
              </w:rPr>
              <w:t>鲤形目</w:t>
            </w:r>
          </w:p>
        </w:tc>
        <w:tc>
          <w:tcPr>
            <w:tcW w:w="693" w:type="pct"/>
            <w:vAlign w:val="center"/>
          </w:tcPr>
          <w:p w14:paraId="11B9F207">
            <w:pPr>
              <w:pStyle w:val="28"/>
              <w:bidi w:val="0"/>
              <w:rPr>
                <w:lang w:val="en-GB"/>
              </w:rPr>
            </w:pPr>
          </w:p>
        </w:tc>
        <w:tc>
          <w:tcPr>
            <w:tcW w:w="693" w:type="pct"/>
            <w:vAlign w:val="center"/>
          </w:tcPr>
          <w:p w14:paraId="3E85D85A">
            <w:pPr>
              <w:pStyle w:val="28"/>
              <w:bidi w:val="0"/>
              <w:rPr>
                <w:lang w:val="en-GB"/>
              </w:rPr>
            </w:pPr>
          </w:p>
        </w:tc>
        <w:tc>
          <w:tcPr>
            <w:tcW w:w="416" w:type="pct"/>
            <w:vAlign w:val="center"/>
          </w:tcPr>
          <w:p w14:paraId="0216BDB8">
            <w:pPr>
              <w:pStyle w:val="28"/>
              <w:bidi w:val="0"/>
              <w:rPr>
                <w:lang w:val="en-GB"/>
              </w:rPr>
            </w:pPr>
          </w:p>
        </w:tc>
        <w:tc>
          <w:tcPr>
            <w:tcW w:w="973" w:type="pct"/>
            <w:vAlign w:val="center"/>
          </w:tcPr>
          <w:p w14:paraId="1B4BE477">
            <w:pPr>
              <w:pStyle w:val="28"/>
              <w:bidi w:val="0"/>
            </w:pPr>
          </w:p>
        </w:tc>
        <w:tc>
          <w:tcPr>
            <w:tcW w:w="973" w:type="pct"/>
            <w:vAlign w:val="center"/>
          </w:tcPr>
          <w:p w14:paraId="148832CF">
            <w:pPr>
              <w:pStyle w:val="28"/>
              <w:bidi w:val="0"/>
            </w:pPr>
          </w:p>
        </w:tc>
      </w:tr>
      <w:tr w14:paraId="461B4B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4FE7CCDF">
            <w:pPr>
              <w:pStyle w:val="28"/>
              <w:bidi w:val="0"/>
            </w:pPr>
            <w:r>
              <w:rPr>
                <w:rFonts w:hint="eastAsia"/>
              </w:rPr>
              <w:t>1</w:t>
            </w:r>
          </w:p>
        </w:tc>
        <w:tc>
          <w:tcPr>
            <w:tcW w:w="831" w:type="pct"/>
            <w:vAlign w:val="center"/>
          </w:tcPr>
          <w:p w14:paraId="551B67C9">
            <w:pPr>
              <w:pStyle w:val="28"/>
              <w:bidi w:val="0"/>
              <w:rPr>
                <w:lang w:val="en-GB"/>
              </w:rPr>
            </w:pPr>
            <w:r>
              <w:t>鲫</w:t>
            </w:r>
          </w:p>
        </w:tc>
        <w:tc>
          <w:tcPr>
            <w:tcW w:w="693" w:type="pct"/>
            <w:vAlign w:val="center"/>
          </w:tcPr>
          <w:p w14:paraId="46731EA8">
            <w:pPr>
              <w:pStyle w:val="28"/>
              <w:bidi w:val="0"/>
              <w:rPr>
                <w:lang w:val="en-GB"/>
              </w:rPr>
            </w:pPr>
            <w:r>
              <w:rPr>
                <w:lang w:val="en-GB"/>
              </w:rPr>
              <w:t>底</w:t>
            </w:r>
          </w:p>
        </w:tc>
        <w:tc>
          <w:tcPr>
            <w:tcW w:w="693" w:type="pct"/>
            <w:vAlign w:val="center"/>
          </w:tcPr>
          <w:p w14:paraId="268A60E5">
            <w:pPr>
              <w:pStyle w:val="28"/>
              <w:bidi w:val="0"/>
              <w:rPr>
                <w:lang w:val="en-GB"/>
              </w:rPr>
            </w:pPr>
            <w:r>
              <w:rPr>
                <w:rFonts w:hint="eastAsia"/>
                <w:lang w:val="en-GB"/>
              </w:rPr>
              <w:t>粘</w:t>
            </w:r>
          </w:p>
        </w:tc>
        <w:tc>
          <w:tcPr>
            <w:tcW w:w="416" w:type="pct"/>
            <w:vAlign w:val="center"/>
          </w:tcPr>
          <w:p w14:paraId="05305C32">
            <w:pPr>
              <w:pStyle w:val="28"/>
              <w:bidi w:val="0"/>
              <w:rPr>
                <w:lang w:val="en-GB"/>
              </w:rPr>
            </w:pPr>
            <w:r>
              <w:rPr>
                <w:lang w:val="en-GB"/>
              </w:rPr>
              <w:t>杂</w:t>
            </w:r>
          </w:p>
        </w:tc>
        <w:tc>
          <w:tcPr>
            <w:tcW w:w="973" w:type="pct"/>
            <w:vAlign w:val="center"/>
          </w:tcPr>
          <w:p w14:paraId="032CC602">
            <w:pPr>
              <w:pStyle w:val="28"/>
              <w:bidi w:val="0"/>
            </w:pPr>
            <w:r>
              <w:t>√</w:t>
            </w:r>
          </w:p>
        </w:tc>
        <w:tc>
          <w:tcPr>
            <w:tcW w:w="973" w:type="pct"/>
            <w:vAlign w:val="center"/>
          </w:tcPr>
          <w:p w14:paraId="1FE55DA2">
            <w:pPr>
              <w:pStyle w:val="28"/>
              <w:bidi w:val="0"/>
            </w:pPr>
            <w:r>
              <w:rPr>
                <w:rFonts w:hint="eastAsia"/>
              </w:rPr>
              <w:t>72.16</w:t>
            </w:r>
          </w:p>
        </w:tc>
      </w:tr>
      <w:tr w14:paraId="28F327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1EB55C46">
            <w:pPr>
              <w:pStyle w:val="28"/>
              <w:bidi w:val="0"/>
            </w:pPr>
            <w:r>
              <w:rPr>
                <w:rFonts w:hint="eastAsia"/>
              </w:rPr>
              <w:t>2</w:t>
            </w:r>
          </w:p>
        </w:tc>
        <w:tc>
          <w:tcPr>
            <w:tcW w:w="831" w:type="pct"/>
            <w:vAlign w:val="center"/>
          </w:tcPr>
          <w:p w14:paraId="233B8627">
            <w:pPr>
              <w:pStyle w:val="28"/>
              <w:bidi w:val="0"/>
              <w:rPr>
                <w:lang w:val="en-GB"/>
              </w:rPr>
            </w:pPr>
            <w:r>
              <w:t>鲤</w:t>
            </w:r>
          </w:p>
        </w:tc>
        <w:tc>
          <w:tcPr>
            <w:tcW w:w="693" w:type="pct"/>
            <w:vAlign w:val="center"/>
          </w:tcPr>
          <w:p w14:paraId="3BD2D439">
            <w:pPr>
              <w:pStyle w:val="28"/>
              <w:bidi w:val="0"/>
              <w:rPr>
                <w:lang w:val="en-GB"/>
              </w:rPr>
            </w:pPr>
            <w:r>
              <w:rPr>
                <w:lang w:val="en-GB"/>
              </w:rPr>
              <w:t>中下</w:t>
            </w:r>
          </w:p>
        </w:tc>
        <w:tc>
          <w:tcPr>
            <w:tcW w:w="693" w:type="pct"/>
            <w:vAlign w:val="center"/>
          </w:tcPr>
          <w:p w14:paraId="02F61522">
            <w:pPr>
              <w:pStyle w:val="28"/>
              <w:bidi w:val="0"/>
              <w:rPr>
                <w:lang w:val="en-GB"/>
              </w:rPr>
            </w:pPr>
            <w:r>
              <w:rPr>
                <w:rFonts w:hint="eastAsia"/>
                <w:lang w:val="en-GB"/>
              </w:rPr>
              <w:t>粘</w:t>
            </w:r>
          </w:p>
        </w:tc>
        <w:tc>
          <w:tcPr>
            <w:tcW w:w="416" w:type="pct"/>
            <w:vAlign w:val="center"/>
          </w:tcPr>
          <w:p w14:paraId="39C54E1B">
            <w:pPr>
              <w:pStyle w:val="28"/>
              <w:bidi w:val="0"/>
              <w:rPr>
                <w:lang w:val="en-GB"/>
              </w:rPr>
            </w:pPr>
            <w:r>
              <w:rPr>
                <w:lang w:val="en-GB"/>
              </w:rPr>
              <w:t>杂</w:t>
            </w:r>
          </w:p>
        </w:tc>
        <w:tc>
          <w:tcPr>
            <w:tcW w:w="973" w:type="pct"/>
            <w:vAlign w:val="center"/>
          </w:tcPr>
          <w:p w14:paraId="557B13D2">
            <w:pPr>
              <w:pStyle w:val="28"/>
              <w:bidi w:val="0"/>
            </w:pPr>
            <w:r>
              <w:t>√</w:t>
            </w:r>
          </w:p>
        </w:tc>
        <w:tc>
          <w:tcPr>
            <w:tcW w:w="973" w:type="pct"/>
            <w:vAlign w:val="center"/>
          </w:tcPr>
          <w:p w14:paraId="1F824DD2">
            <w:pPr>
              <w:pStyle w:val="28"/>
              <w:bidi w:val="0"/>
            </w:pPr>
            <w:r>
              <w:rPr>
                <w:rFonts w:hint="eastAsia"/>
              </w:rPr>
              <w:t>0.584</w:t>
            </w:r>
          </w:p>
        </w:tc>
      </w:tr>
      <w:tr w14:paraId="12C2CE6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31D7E27C">
            <w:pPr>
              <w:pStyle w:val="28"/>
              <w:bidi w:val="0"/>
            </w:pPr>
            <w:r>
              <w:rPr>
                <w:rFonts w:hint="eastAsia"/>
              </w:rPr>
              <w:t>3</w:t>
            </w:r>
          </w:p>
        </w:tc>
        <w:tc>
          <w:tcPr>
            <w:tcW w:w="831" w:type="pct"/>
            <w:vAlign w:val="center"/>
          </w:tcPr>
          <w:p w14:paraId="7AF487A4">
            <w:pPr>
              <w:pStyle w:val="28"/>
              <w:bidi w:val="0"/>
              <w:rPr>
                <w:lang w:val="en-GB"/>
              </w:rPr>
            </w:pPr>
            <w:r>
              <w:t>鳊</w:t>
            </w:r>
          </w:p>
        </w:tc>
        <w:tc>
          <w:tcPr>
            <w:tcW w:w="693" w:type="pct"/>
            <w:vAlign w:val="center"/>
          </w:tcPr>
          <w:p w14:paraId="4F07DC1B">
            <w:pPr>
              <w:pStyle w:val="28"/>
              <w:bidi w:val="0"/>
              <w:rPr>
                <w:lang w:val="en-GB"/>
              </w:rPr>
            </w:pPr>
            <w:r>
              <w:rPr>
                <w:lang w:val="en-GB"/>
              </w:rPr>
              <w:t>中下</w:t>
            </w:r>
          </w:p>
        </w:tc>
        <w:tc>
          <w:tcPr>
            <w:tcW w:w="693" w:type="pct"/>
            <w:vAlign w:val="center"/>
          </w:tcPr>
          <w:p w14:paraId="515A5901">
            <w:pPr>
              <w:pStyle w:val="28"/>
              <w:bidi w:val="0"/>
              <w:rPr>
                <w:lang w:val="en-GB"/>
              </w:rPr>
            </w:pPr>
            <w:r>
              <w:rPr>
                <w:lang w:val="en-GB"/>
              </w:rPr>
              <w:t>漂</w:t>
            </w:r>
          </w:p>
        </w:tc>
        <w:tc>
          <w:tcPr>
            <w:tcW w:w="416" w:type="pct"/>
            <w:vAlign w:val="center"/>
          </w:tcPr>
          <w:p w14:paraId="4A11C7E9">
            <w:pPr>
              <w:pStyle w:val="28"/>
              <w:bidi w:val="0"/>
              <w:rPr>
                <w:lang w:val="en-GB"/>
              </w:rPr>
            </w:pPr>
            <w:r>
              <w:rPr>
                <w:lang w:val="en-GB"/>
              </w:rPr>
              <w:t>植</w:t>
            </w:r>
          </w:p>
        </w:tc>
        <w:tc>
          <w:tcPr>
            <w:tcW w:w="973" w:type="pct"/>
            <w:vAlign w:val="center"/>
          </w:tcPr>
          <w:p w14:paraId="049317D8">
            <w:pPr>
              <w:pStyle w:val="28"/>
              <w:bidi w:val="0"/>
              <w:rPr>
                <w:lang w:val="en-GB"/>
              </w:rPr>
            </w:pPr>
          </w:p>
        </w:tc>
        <w:tc>
          <w:tcPr>
            <w:tcW w:w="973" w:type="pct"/>
            <w:vAlign w:val="center"/>
          </w:tcPr>
          <w:p w14:paraId="58EACCC2">
            <w:pPr>
              <w:pStyle w:val="28"/>
              <w:bidi w:val="0"/>
              <w:rPr>
                <w:lang w:val="en-GB"/>
              </w:rPr>
            </w:pPr>
          </w:p>
        </w:tc>
      </w:tr>
      <w:tr w14:paraId="0BBBC9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 w:hRule="atLeast"/>
          <w:jc w:val="center"/>
        </w:trPr>
        <w:tc>
          <w:tcPr>
            <w:tcW w:w="417" w:type="pct"/>
            <w:vAlign w:val="center"/>
          </w:tcPr>
          <w:p w14:paraId="2F567E58">
            <w:pPr>
              <w:pStyle w:val="28"/>
              <w:bidi w:val="0"/>
            </w:pPr>
            <w:r>
              <w:rPr>
                <w:rFonts w:hint="eastAsia"/>
              </w:rPr>
              <w:t>4</w:t>
            </w:r>
          </w:p>
        </w:tc>
        <w:tc>
          <w:tcPr>
            <w:tcW w:w="831" w:type="pct"/>
            <w:vAlign w:val="center"/>
          </w:tcPr>
          <w:p w14:paraId="01765F20">
            <w:pPr>
              <w:pStyle w:val="28"/>
              <w:bidi w:val="0"/>
              <w:rPr>
                <w:lang w:val="en-GB"/>
              </w:rPr>
            </w:pPr>
            <w:r>
              <w:t>䱗</w:t>
            </w:r>
          </w:p>
        </w:tc>
        <w:tc>
          <w:tcPr>
            <w:tcW w:w="693" w:type="pct"/>
            <w:vAlign w:val="center"/>
          </w:tcPr>
          <w:p w14:paraId="0B9223F6">
            <w:pPr>
              <w:pStyle w:val="28"/>
              <w:bidi w:val="0"/>
              <w:rPr>
                <w:lang w:val="en-GB"/>
              </w:rPr>
            </w:pPr>
            <w:r>
              <w:rPr>
                <w:lang w:val="en-GB"/>
              </w:rPr>
              <w:t>中上</w:t>
            </w:r>
          </w:p>
        </w:tc>
        <w:tc>
          <w:tcPr>
            <w:tcW w:w="693" w:type="pct"/>
            <w:vAlign w:val="center"/>
          </w:tcPr>
          <w:p w14:paraId="753B82C2">
            <w:pPr>
              <w:pStyle w:val="28"/>
              <w:bidi w:val="0"/>
              <w:rPr>
                <w:lang w:val="en-GB"/>
              </w:rPr>
            </w:pPr>
            <w:r>
              <w:rPr>
                <w:rFonts w:hint="eastAsia"/>
                <w:lang w:val="en-GB"/>
              </w:rPr>
              <w:t>粘</w:t>
            </w:r>
          </w:p>
        </w:tc>
        <w:tc>
          <w:tcPr>
            <w:tcW w:w="416" w:type="pct"/>
            <w:vAlign w:val="center"/>
          </w:tcPr>
          <w:p w14:paraId="24C2DC49">
            <w:pPr>
              <w:pStyle w:val="28"/>
              <w:bidi w:val="0"/>
              <w:rPr>
                <w:lang w:val="en-GB"/>
              </w:rPr>
            </w:pPr>
            <w:r>
              <w:rPr>
                <w:lang w:val="en-GB"/>
              </w:rPr>
              <w:t>杂</w:t>
            </w:r>
          </w:p>
        </w:tc>
        <w:tc>
          <w:tcPr>
            <w:tcW w:w="973" w:type="pct"/>
            <w:vAlign w:val="center"/>
          </w:tcPr>
          <w:p w14:paraId="3BD8DB95">
            <w:pPr>
              <w:pStyle w:val="28"/>
              <w:bidi w:val="0"/>
            </w:pPr>
            <w:r>
              <w:t>√</w:t>
            </w:r>
          </w:p>
        </w:tc>
        <w:tc>
          <w:tcPr>
            <w:tcW w:w="973" w:type="pct"/>
            <w:vAlign w:val="center"/>
          </w:tcPr>
          <w:p w14:paraId="2915F8A4">
            <w:pPr>
              <w:pStyle w:val="28"/>
              <w:bidi w:val="0"/>
            </w:pPr>
            <w:r>
              <w:rPr>
                <w:rFonts w:hint="eastAsia"/>
              </w:rPr>
              <w:t>2.803</w:t>
            </w:r>
          </w:p>
        </w:tc>
      </w:tr>
      <w:tr w14:paraId="5AD5E4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53C2F598">
            <w:pPr>
              <w:pStyle w:val="28"/>
              <w:bidi w:val="0"/>
            </w:pPr>
            <w:r>
              <w:rPr>
                <w:rFonts w:hint="eastAsia"/>
              </w:rPr>
              <w:t>5</w:t>
            </w:r>
          </w:p>
        </w:tc>
        <w:tc>
          <w:tcPr>
            <w:tcW w:w="831" w:type="pct"/>
            <w:vAlign w:val="center"/>
          </w:tcPr>
          <w:p w14:paraId="463D62FC">
            <w:pPr>
              <w:pStyle w:val="28"/>
              <w:bidi w:val="0"/>
              <w:rPr>
                <w:lang w:val="en-GB"/>
              </w:rPr>
            </w:pPr>
            <w:r>
              <w:rPr>
                <w:rFonts w:hint="eastAsia"/>
              </w:rPr>
              <w:t>中华</w:t>
            </w:r>
            <w:r>
              <w:t>鰟鮍</w:t>
            </w:r>
          </w:p>
        </w:tc>
        <w:tc>
          <w:tcPr>
            <w:tcW w:w="693" w:type="pct"/>
            <w:vAlign w:val="center"/>
          </w:tcPr>
          <w:p w14:paraId="555B5086">
            <w:pPr>
              <w:pStyle w:val="28"/>
              <w:bidi w:val="0"/>
              <w:rPr>
                <w:lang w:val="en-GB"/>
              </w:rPr>
            </w:pPr>
            <w:r>
              <w:rPr>
                <w:lang w:val="en-GB"/>
              </w:rPr>
              <w:t>中下</w:t>
            </w:r>
          </w:p>
        </w:tc>
        <w:tc>
          <w:tcPr>
            <w:tcW w:w="693" w:type="pct"/>
            <w:vAlign w:val="center"/>
          </w:tcPr>
          <w:p w14:paraId="4F82BC6E">
            <w:pPr>
              <w:pStyle w:val="28"/>
              <w:bidi w:val="0"/>
              <w:rPr>
                <w:lang w:val="en-GB"/>
              </w:rPr>
            </w:pPr>
            <w:r>
              <w:rPr>
                <w:rFonts w:hint="eastAsia"/>
                <w:lang w:val="en-GB"/>
              </w:rPr>
              <w:t>粘</w:t>
            </w:r>
          </w:p>
        </w:tc>
        <w:tc>
          <w:tcPr>
            <w:tcW w:w="416" w:type="pct"/>
            <w:vAlign w:val="center"/>
          </w:tcPr>
          <w:p w14:paraId="380772B0">
            <w:pPr>
              <w:pStyle w:val="28"/>
              <w:bidi w:val="0"/>
              <w:rPr>
                <w:lang w:val="en-GB"/>
              </w:rPr>
            </w:pPr>
            <w:r>
              <w:rPr>
                <w:rFonts w:hint="eastAsia"/>
              </w:rPr>
              <w:t>植</w:t>
            </w:r>
          </w:p>
        </w:tc>
        <w:tc>
          <w:tcPr>
            <w:tcW w:w="973" w:type="pct"/>
            <w:vAlign w:val="center"/>
          </w:tcPr>
          <w:p w14:paraId="437EF6C8">
            <w:pPr>
              <w:pStyle w:val="28"/>
              <w:bidi w:val="0"/>
            </w:pPr>
            <w:r>
              <w:t>√</w:t>
            </w:r>
          </w:p>
        </w:tc>
        <w:tc>
          <w:tcPr>
            <w:tcW w:w="973" w:type="pct"/>
            <w:vAlign w:val="center"/>
          </w:tcPr>
          <w:p w14:paraId="771647CB">
            <w:pPr>
              <w:pStyle w:val="28"/>
              <w:bidi w:val="0"/>
            </w:pPr>
            <w:r>
              <w:rPr>
                <w:rFonts w:hint="eastAsia"/>
              </w:rPr>
              <w:t>720.89</w:t>
            </w:r>
          </w:p>
        </w:tc>
      </w:tr>
      <w:tr w14:paraId="50BDA6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6B5DEBBF">
            <w:pPr>
              <w:pStyle w:val="28"/>
              <w:bidi w:val="0"/>
            </w:pPr>
            <w:r>
              <w:rPr>
                <w:rFonts w:hint="eastAsia"/>
              </w:rPr>
              <w:t>6</w:t>
            </w:r>
          </w:p>
        </w:tc>
        <w:tc>
          <w:tcPr>
            <w:tcW w:w="831" w:type="pct"/>
            <w:vAlign w:val="center"/>
          </w:tcPr>
          <w:p w14:paraId="64BB28C6">
            <w:pPr>
              <w:pStyle w:val="28"/>
              <w:bidi w:val="0"/>
            </w:pPr>
            <w:r>
              <w:rPr>
                <w:rFonts w:hint="eastAsia"/>
              </w:rPr>
              <w:t>高体鳑鲏</w:t>
            </w:r>
          </w:p>
        </w:tc>
        <w:tc>
          <w:tcPr>
            <w:tcW w:w="693" w:type="pct"/>
            <w:vAlign w:val="center"/>
          </w:tcPr>
          <w:p w14:paraId="053587F5">
            <w:pPr>
              <w:pStyle w:val="28"/>
              <w:bidi w:val="0"/>
              <w:rPr>
                <w:lang w:val="en-GB"/>
              </w:rPr>
            </w:pPr>
            <w:r>
              <w:rPr>
                <w:lang w:val="en-GB"/>
              </w:rPr>
              <w:t>中下</w:t>
            </w:r>
          </w:p>
        </w:tc>
        <w:tc>
          <w:tcPr>
            <w:tcW w:w="693" w:type="pct"/>
            <w:vAlign w:val="center"/>
          </w:tcPr>
          <w:p w14:paraId="61682940">
            <w:pPr>
              <w:pStyle w:val="28"/>
              <w:bidi w:val="0"/>
              <w:rPr>
                <w:lang w:val="en-GB"/>
              </w:rPr>
            </w:pPr>
            <w:r>
              <w:rPr>
                <w:rFonts w:hint="eastAsia"/>
                <w:lang w:val="en-GB"/>
              </w:rPr>
              <w:t>粘</w:t>
            </w:r>
          </w:p>
        </w:tc>
        <w:tc>
          <w:tcPr>
            <w:tcW w:w="416" w:type="pct"/>
            <w:vAlign w:val="center"/>
          </w:tcPr>
          <w:p w14:paraId="65B4F944">
            <w:pPr>
              <w:pStyle w:val="28"/>
              <w:bidi w:val="0"/>
              <w:rPr>
                <w:lang w:val="en-GB"/>
              </w:rPr>
            </w:pPr>
            <w:r>
              <w:rPr>
                <w:rFonts w:hint="eastAsia"/>
              </w:rPr>
              <w:t>植</w:t>
            </w:r>
          </w:p>
        </w:tc>
        <w:tc>
          <w:tcPr>
            <w:tcW w:w="973" w:type="pct"/>
            <w:vAlign w:val="center"/>
          </w:tcPr>
          <w:p w14:paraId="20AD6A51">
            <w:pPr>
              <w:pStyle w:val="28"/>
              <w:bidi w:val="0"/>
            </w:pPr>
          </w:p>
        </w:tc>
        <w:tc>
          <w:tcPr>
            <w:tcW w:w="973" w:type="pct"/>
            <w:vAlign w:val="center"/>
          </w:tcPr>
          <w:p w14:paraId="72467735">
            <w:pPr>
              <w:pStyle w:val="28"/>
              <w:bidi w:val="0"/>
            </w:pPr>
          </w:p>
        </w:tc>
      </w:tr>
      <w:tr w14:paraId="014074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65AFB1A1">
            <w:pPr>
              <w:pStyle w:val="28"/>
              <w:bidi w:val="0"/>
            </w:pPr>
            <w:r>
              <w:rPr>
                <w:rFonts w:hint="eastAsia"/>
              </w:rPr>
              <w:t>7</w:t>
            </w:r>
          </w:p>
        </w:tc>
        <w:tc>
          <w:tcPr>
            <w:tcW w:w="831" w:type="pct"/>
            <w:vAlign w:val="center"/>
          </w:tcPr>
          <w:p w14:paraId="1713C1EF">
            <w:pPr>
              <w:pStyle w:val="28"/>
              <w:bidi w:val="0"/>
            </w:pPr>
            <w:r>
              <w:rPr>
                <w:rFonts w:hint="eastAsia"/>
              </w:rPr>
              <w:t>大鳍鱊</w:t>
            </w:r>
          </w:p>
        </w:tc>
        <w:tc>
          <w:tcPr>
            <w:tcW w:w="693" w:type="pct"/>
            <w:vAlign w:val="center"/>
          </w:tcPr>
          <w:p w14:paraId="260D317A">
            <w:pPr>
              <w:pStyle w:val="28"/>
              <w:bidi w:val="0"/>
              <w:rPr>
                <w:lang w:val="en-GB"/>
              </w:rPr>
            </w:pPr>
            <w:r>
              <w:rPr>
                <w:lang w:val="en-GB"/>
              </w:rPr>
              <w:t>中下</w:t>
            </w:r>
          </w:p>
        </w:tc>
        <w:tc>
          <w:tcPr>
            <w:tcW w:w="693" w:type="pct"/>
            <w:vAlign w:val="center"/>
          </w:tcPr>
          <w:p w14:paraId="25510BEA">
            <w:pPr>
              <w:pStyle w:val="28"/>
              <w:bidi w:val="0"/>
              <w:rPr>
                <w:lang w:val="en-GB"/>
              </w:rPr>
            </w:pPr>
            <w:r>
              <w:rPr>
                <w:rFonts w:hint="eastAsia"/>
                <w:lang w:val="en-GB"/>
              </w:rPr>
              <w:t>粘</w:t>
            </w:r>
          </w:p>
        </w:tc>
        <w:tc>
          <w:tcPr>
            <w:tcW w:w="416" w:type="pct"/>
            <w:vAlign w:val="center"/>
          </w:tcPr>
          <w:p w14:paraId="12685F93">
            <w:pPr>
              <w:pStyle w:val="28"/>
              <w:bidi w:val="0"/>
              <w:rPr>
                <w:lang w:val="en-GB"/>
              </w:rPr>
            </w:pPr>
            <w:r>
              <w:rPr>
                <w:rFonts w:hint="eastAsia"/>
              </w:rPr>
              <w:t>植</w:t>
            </w:r>
          </w:p>
        </w:tc>
        <w:tc>
          <w:tcPr>
            <w:tcW w:w="973" w:type="pct"/>
            <w:vAlign w:val="center"/>
          </w:tcPr>
          <w:p w14:paraId="5F651355">
            <w:pPr>
              <w:pStyle w:val="28"/>
              <w:bidi w:val="0"/>
            </w:pPr>
          </w:p>
        </w:tc>
        <w:tc>
          <w:tcPr>
            <w:tcW w:w="973" w:type="pct"/>
            <w:vAlign w:val="center"/>
          </w:tcPr>
          <w:p w14:paraId="79299C3E">
            <w:pPr>
              <w:pStyle w:val="28"/>
              <w:bidi w:val="0"/>
            </w:pPr>
            <w:r>
              <w:rPr>
                <w:rFonts w:hint="eastAsia"/>
              </w:rPr>
              <w:t>1.181</w:t>
            </w:r>
          </w:p>
        </w:tc>
      </w:tr>
      <w:tr w14:paraId="2ADA835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7307D610">
            <w:pPr>
              <w:pStyle w:val="28"/>
              <w:bidi w:val="0"/>
            </w:pPr>
            <w:r>
              <w:rPr>
                <w:rFonts w:hint="eastAsia"/>
              </w:rPr>
              <w:t>8</w:t>
            </w:r>
          </w:p>
        </w:tc>
        <w:tc>
          <w:tcPr>
            <w:tcW w:w="831" w:type="pct"/>
            <w:vAlign w:val="center"/>
          </w:tcPr>
          <w:p w14:paraId="33B93001">
            <w:pPr>
              <w:pStyle w:val="28"/>
              <w:bidi w:val="0"/>
              <w:rPr>
                <w:lang w:val="en-GB"/>
              </w:rPr>
            </w:pPr>
            <w:r>
              <w:t>黑鳍鳈</w:t>
            </w:r>
          </w:p>
        </w:tc>
        <w:tc>
          <w:tcPr>
            <w:tcW w:w="693" w:type="pct"/>
            <w:vAlign w:val="center"/>
          </w:tcPr>
          <w:p w14:paraId="4D33CCE0">
            <w:pPr>
              <w:pStyle w:val="28"/>
              <w:bidi w:val="0"/>
              <w:rPr>
                <w:lang w:val="en-GB"/>
              </w:rPr>
            </w:pPr>
            <w:r>
              <w:rPr>
                <w:lang w:val="en-GB"/>
              </w:rPr>
              <w:t>中下</w:t>
            </w:r>
          </w:p>
        </w:tc>
        <w:tc>
          <w:tcPr>
            <w:tcW w:w="693" w:type="pct"/>
            <w:vAlign w:val="center"/>
          </w:tcPr>
          <w:p w14:paraId="584379E0">
            <w:pPr>
              <w:pStyle w:val="28"/>
              <w:bidi w:val="0"/>
              <w:rPr>
                <w:lang w:val="en-GB"/>
              </w:rPr>
            </w:pPr>
            <w:r>
              <w:rPr>
                <w:rFonts w:hint="eastAsia"/>
                <w:lang w:val="en-GB"/>
              </w:rPr>
              <w:t>粘</w:t>
            </w:r>
          </w:p>
        </w:tc>
        <w:tc>
          <w:tcPr>
            <w:tcW w:w="416" w:type="pct"/>
            <w:vAlign w:val="center"/>
          </w:tcPr>
          <w:p w14:paraId="47251271">
            <w:pPr>
              <w:pStyle w:val="28"/>
              <w:bidi w:val="0"/>
              <w:rPr>
                <w:lang w:val="en-GB"/>
              </w:rPr>
            </w:pPr>
            <w:r>
              <w:rPr>
                <w:lang w:val="en-GB"/>
              </w:rPr>
              <w:t>杂</w:t>
            </w:r>
          </w:p>
        </w:tc>
        <w:tc>
          <w:tcPr>
            <w:tcW w:w="973" w:type="pct"/>
            <w:vAlign w:val="center"/>
          </w:tcPr>
          <w:p w14:paraId="0B62EA1E">
            <w:pPr>
              <w:pStyle w:val="28"/>
              <w:bidi w:val="0"/>
            </w:pPr>
          </w:p>
        </w:tc>
        <w:tc>
          <w:tcPr>
            <w:tcW w:w="973" w:type="pct"/>
            <w:vAlign w:val="center"/>
          </w:tcPr>
          <w:p w14:paraId="789DCEB1">
            <w:pPr>
              <w:pStyle w:val="28"/>
              <w:bidi w:val="0"/>
            </w:pPr>
            <w:r>
              <w:rPr>
                <w:rFonts w:hint="eastAsia"/>
              </w:rPr>
              <w:t>9.523</w:t>
            </w:r>
          </w:p>
        </w:tc>
      </w:tr>
      <w:tr w14:paraId="2F0185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 w:hRule="atLeast"/>
          <w:jc w:val="center"/>
        </w:trPr>
        <w:tc>
          <w:tcPr>
            <w:tcW w:w="417" w:type="pct"/>
            <w:vAlign w:val="center"/>
          </w:tcPr>
          <w:p w14:paraId="17458EF0">
            <w:pPr>
              <w:pStyle w:val="28"/>
              <w:bidi w:val="0"/>
            </w:pPr>
            <w:r>
              <w:rPr>
                <w:rFonts w:hint="eastAsia"/>
              </w:rPr>
              <w:t>9</w:t>
            </w:r>
          </w:p>
        </w:tc>
        <w:tc>
          <w:tcPr>
            <w:tcW w:w="831" w:type="pct"/>
            <w:vAlign w:val="center"/>
          </w:tcPr>
          <w:p w14:paraId="4E2AB6FF">
            <w:pPr>
              <w:pStyle w:val="28"/>
              <w:bidi w:val="0"/>
              <w:rPr>
                <w:lang w:val="en-GB"/>
              </w:rPr>
            </w:pPr>
            <w:r>
              <w:t>麦穗鱼</w:t>
            </w:r>
          </w:p>
        </w:tc>
        <w:tc>
          <w:tcPr>
            <w:tcW w:w="693" w:type="pct"/>
            <w:vAlign w:val="center"/>
          </w:tcPr>
          <w:p w14:paraId="0C73F893">
            <w:pPr>
              <w:pStyle w:val="28"/>
              <w:bidi w:val="0"/>
              <w:rPr>
                <w:lang w:val="en-GB"/>
              </w:rPr>
            </w:pPr>
            <w:r>
              <w:rPr>
                <w:lang w:val="en-GB"/>
              </w:rPr>
              <w:t>中下</w:t>
            </w:r>
          </w:p>
        </w:tc>
        <w:tc>
          <w:tcPr>
            <w:tcW w:w="693" w:type="pct"/>
            <w:vAlign w:val="center"/>
          </w:tcPr>
          <w:p w14:paraId="3B33B31B">
            <w:pPr>
              <w:pStyle w:val="28"/>
              <w:bidi w:val="0"/>
              <w:rPr>
                <w:lang w:val="en-GB"/>
              </w:rPr>
            </w:pPr>
            <w:r>
              <w:rPr>
                <w:lang w:val="en-GB"/>
              </w:rPr>
              <w:t>沉</w:t>
            </w:r>
          </w:p>
        </w:tc>
        <w:tc>
          <w:tcPr>
            <w:tcW w:w="416" w:type="pct"/>
            <w:vAlign w:val="center"/>
          </w:tcPr>
          <w:p w14:paraId="3988F825">
            <w:pPr>
              <w:pStyle w:val="28"/>
              <w:bidi w:val="0"/>
              <w:rPr>
                <w:lang w:val="en-GB"/>
              </w:rPr>
            </w:pPr>
            <w:r>
              <w:rPr>
                <w:rFonts w:hint="eastAsia"/>
              </w:rPr>
              <w:t>次肉</w:t>
            </w:r>
          </w:p>
        </w:tc>
        <w:tc>
          <w:tcPr>
            <w:tcW w:w="973" w:type="pct"/>
            <w:vAlign w:val="center"/>
          </w:tcPr>
          <w:p w14:paraId="4EADF9A7">
            <w:pPr>
              <w:pStyle w:val="28"/>
              <w:bidi w:val="0"/>
            </w:pPr>
            <w:r>
              <w:t>√</w:t>
            </w:r>
          </w:p>
        </w:tc>
        <w:tc>
          <w:tcPr>
            <w:tcW w:w="973" w:type="pct"/>
            <w:vAlign w:val="center"/>
          </w:tcPr>
          <w:p w14:paraId="2DA49809">
            <w:pPr>
              <w:pStyle w:val="28"/>
              <w:bidi w:val="0"/>
            </w:pPr>
            <w:r>
              <w:rPr>
                <w:rFonts w:hint="eastAsia"/>
              </w:rPr>
              <w:t>894.34</w:t>
            </w:r>
          </w:p>
        </w:tc>
      </w:tr>
      <w:tr w14:paraId="5F6BFC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6AFBC5BA">
            <w:pPr>
              <w:pStyle w:val="28"/>
              <w:bidi w:val="0"/>
            </w:pPr>
            <w:r>
              <w:rPr>
                <w:rFonts w:hint="eastAsia"/>
              </w:rPr>
              <w:t>10</w:t>
            </w:r>
          </w:p>
        </w:tc>
        <w:tc>
          <w:tcPr>
            <w:tcW w:w="831" w:type="pct"/>
            <w:vAlign w:val="center"/>
          </w:tcPr>
          <w:p w14:paraId="49C84DE7">
            <w:pPr>
              <w:pStyle w:val="28"/>
              <w:bidi w:val="0"/>
            </w:pPr>
            <w:r>
              <w:t>青鱼</w:t>
            </w:r>
          </w:p>
        </w:tc>
        <w:tc>
          <w:tcPr>
            <w:tcW w:w="693" w:type="pct"/>
            <w:vAlign w:val="center"/>
          </w:tcPr>
          <w:p w14:paraId="422A2412">
            <w:pPr>
              <w:pStyle w:val="28"/>
              <w:bidi w:val="0"/>
              <w:rPr>
                <w:lang w:val="en-GB"/>
              </w:rPr>
            </w:pPr>
            <w:r>
              <w:rPr>
                <w:lang w:val="en-GB"/>
              </w:rPr>
              <w:t>中下</w:t>
            </w:r>
          </w:p>
        </w:tc>
        <w:tc>
          <w:tcPr>
            <w:tcW w:w="693" w:type="pct"/>
            <w:vAlign w:val="center"/>
          </w:tcPr>
          <w:p w14:paraId="0D077999">
            <w:pPr>
              <w:pStyle w:val="28"/>
              <w:bidi w:val="0"/>
              <w:rPr>
                <w:lang w:val="en-GB"/>
              </w:rPr>
            </w:pPr>
            <w:r>
              <w:rPr>
                <w:lang w:val="en-GB"/>
              </w:rPr>
              <w:t>漂</w:t>
            </w:r>
          </w:p>
        </w:tc>
        <w:tc>
          <w:tcPr>
            <w:tcW w:w="416" w:type="pct"/>
            <w:vAlign w:val="center"/>
          </w:tcPr>
          <w:p w14:paraId="6849541C">
            <w:pPr>
              <w:pStyle w:val="28"/>
              <w:bidi w:val="0"/>
              <w:rPr>
                <w:lang w:val="en-GB"/>
              </w:rPr>
            </w:pPr>
            <w:r>
              <w:rPr>
                <w:lang w:val="en-GB"/>
              </w:rPr>
              <w:t>杂</w:t>
            </w:r>
          </w:p>
        </w:tc>
        <w:tc>
          <w:tcPr>
            <w:tcW w:w="973" w:type="pct"/>
            <w:vAlign w:val="center"/>
          </w:tcPr>
          <w:p w14:paraId="29AAE86B">
            <w:pPr>
              <w:pStyle w:val="28"/>
              <w:bidi w:val="0"/>
              <w:rPr>
                <w:lang w:val="en-GB"/>
              </w:rPr>
            </w:pPr>
          </w:p>
        </w:tc>
        <w:tc>
          <w:tcPr>
            <w:tcW w:w="973" w:type="pct"/>
            <w:vAlign w:val="center"/>
          </w:tcPr>
          <w:p w14:paraId="604B14AA">
            <w:pPr>
              <w:pStyle w:val="28"/>
              <w:bidi w:val="0"/>
              <w:rPr>
                <w:lang w:val="en-GB"/>
              </w:rPr>
            </w:pPr>
          </w:p>
        </w:tc>
      </w:tr>
      <w:tr w14:paraId="47F04C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290F98BD">
            <w:pPr>
              <w:pStyle w:val="28"/>
              <w:bidi w:val="0"/>
            </w:pPr>
            <w:r>
              <w:rPr>
                <w:rFonts w:hint="eastAsia"/>
              </w:rPr>
              <w:t>11</w:t>
            </w:r>
          </w:p>
        </w:tc>
        <w:tc>
          <w:tcPr>
            <w:tcW w:w="831" w:type="pct"/>
            <w:vAlign w:val="center"/>
          </w:tcPr>
          <w:p w14:paraId="60C180BA">
            <w:pPr>
              <w:pStyle w:val="28"/>
              <w:bidi w:val="0"/>
            </w:pPr>
            <w:r>
              <w:t>草鱼</w:t>
            </w:r>
          </w:p>
        </w:tc>
        <w:tc>
          <w:tcPr>
            <w:tcW w:w="693" w:type="pct"/>
            <w:vAlign w:val="center"/>
          </w:tcPr>
          <w:p w14:paraId="44D7729E">
            <w:pPr>
              <w:pStyle w:val="28"/>
              <w:bidi w:val="0"/>
              <w:rPr>
                <w:lang w:val="en-GB"/>
              </w:rPr>
            </w:pPr>
            <w:r>
              <w:rPr>
                <w:lang w:val="en-GB"/>
              </w:rPr>
              <w:t>中上</w:t>
            </w:r>
          </w:p>
        </w:tc>
        <w:tc>
          <w:tcPr>
            <w:tcW w:w="693" w:type="pct"/>
            <w:vAlign w:val="center"/>
          </w:tcPr>
          <w:p w14:paraId="21B55A1E">
            <w:pPr>
              <w:pStyle w:val="28"/>
              <w:bidi w:val="0"/>
              <w:rPr>
                <w:lang w:val="en-GB"/>
              </w:rPr>
            </w:pPr>
            <w:r>
              <w:rPr>
                <w:lang w:val="en-GB"/>
              </w:rPr>
              <w:t>漂</w:t>
            </w:r>
          </w:p>
        </w:tc>
        <w:tc>
          <w:tcPr>
            <w:tcW w:w="416" w:type="pct"/>
            <w:vAlign w:val="center"/>
          </w:tcPr>
          <w:p w14:paraId="22BE3437">
            <w:pPr>
              <w:pStyle w:val="28"/>
              <w:bidi w:val="0"/>
              <w:rPr>
                <w:lang w:val="en-GB"/>
              </w:rPr>
            </w:pPr>
            <w:r>
              <w:rPr>
                <w:lang w:val="en-GB"/>
              </w:rPr>
              <w:t>植</w:t>
            </w:r>
          </w:p>
        </w:tc>
        <w:tc>
          <w:tcPr>
            <w:tcW w:w="973" w:type="pct"/>
            <w:vAlign w:val="center"/>
          </w:tcPr>
          <w:p w14:paraId="3B78A1CF">
            <w:pPr>
              <w:pStyle w:val="28"/>
              <w:bidi w:val="0"/>
              <w:rPr>
                <w:lang w:val="en-GB"/>
              </w:rPr>
            </w:pPr>
          </w:p>
        </w:tc>
        <w:tc>
          <w:tcPr>
            <w:tcW w:w="973" w:type="pct"/>
            <w:vAlign w:val="center"/>
          </w:tcPr>
          <w:p w14:paraId="5673F8C1">
            <w:pPr>
              <w:pStyle w:val="28"/>
              <w:bidi w:val="0"/>
              <w:rPr>
                <w:lang w:val="en-GB"/>
              </w:rPr>
            </w:pPr>
          </w:p>
        </w:tc>
      </w:tr>
      <w:tr w14:paraId="4ADD7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1E023A3D">
            <w:pPr>
              <w:pStyle w:val="28"/>
              <w:bidi w:val="0"/>
            </w:pPr>
            <w:r>
              <w:rPr>
                <w:rFonts w:hint="eastAsia"/>
              </w:rPr>
              <w:t>12</w:t>
            </w:r>
          </w:p>
        </w:tc>
        <w:tc>
          <w:tcPr>
            <w:tcW w:w="831" w:type="pct"/>
            <w:vAlign w:val="center"/>
          </w:tcPr>
          <w:p w14:paraId="23502E50">
            <w:pPr>
              <w:pStyle w:val="28"/>
              <w:bidi w:val="0"/>
              <w:rPr>
                <w:lang w:val="en-GB"/>
              </w:rPr>
            </w:pPr>
            <w:r>
              <w:t>棒花鱼</w:t>
            </w:r>
          </w:p>
        </w:tc>
        <w:tc>
          <w:tcPr>
            <w:tcW w:w="693" w:type="pct"/>
            <w:vAlign w:val="center"/>
          </w:tcPr>
          <w:p w14:paraId="46B73AD4">
            <w:pPr>
              <w:pStyle w:val="28"/>
              <w:bidi w:val="0"/>
              <w:rPr>
                <w:lang w:val="en-GB"/>
              </w:rPr>
            </w:pPr>
            <w:r>
              <w:rPr>
                <w:lang w:val="en-GB"/>
              </w:rPr>
              <w:t>中下</w:t>
            </w:r>
          </w:p>
        </w:tc>
        <w:tc>
          <w:tcPr>
            <w:tcW w:w="693" w:type="pct"/>
            <w:vAlign w:val="center"/>
          </w:tcPr>
          <w:p w14:paraId="36914E52">
            <w:pPr>
              <w:pStyle w:val="28"/>
              <w:bidi w:val="0"/>
              <w:rPr>
                <w:lang w:val="en-GB"/>
              </w:rPr>
            </w:pPr>
            <w:r>
              <w:rPr>
                <w:lang w:val="en-GB"/>
              </w:rPr>
              <w:t>沉</w:t>
            </w:r>
          </w:p>
        </w:tc>
        <w:tc>
          <w:tcPr>
            <w:tcW w:w="416" w:type="pct"/>
            <w:vAlign w:val="center"/>
          </w:tcPr>
          <w:p w14:paraId="46DB0127">
            <w:pPr>
              <w:pStyle w:val="28"/>
              <w:bidi w:val="0"/>
            </w:pPr>
            <w:r>
              <w:rPr>
                <w:rFonts w:hint="eastAsia"/>
              </w:rPr>
              <w:t>次肉</w:t>
            </w:r>
          </w:p>
        </w:tc>
        <w:tc>
          <w:tcPr>
            <w:tcW w:w="973" w:type="pct"/>
            <w:vAlign w:val="center"/>
          </w:tcPr>
          <w:p w14:paraId="76B787E1">
            <w:pPr>
              <w:pStyle w:val="28"/>
              <w:bidi w:val="0"/>
            </w:pPr>
            <w:r>
              <w:t>√</w:t>
            </w:r>
          </w:p>
        </w:tc>
        <w:tc>
          <w:tcPr>
            <w:tcW w:w="973" w:type="pct"/>
            <w:vAlign w:val="center"/>
          </w:tcPr>
          <w:p w14:paraId="0A922A2D">
            <w:pPr>
              <w:pStyle w:val="28"/>
              <w:bidi w:val="0"/>
            </w:pPr>
            <w:r>
              <w:rPr>
                <w:rFonts w:hint="eastAsia"/>
              </w:rPr>
              <w:t>83.485</w:t>
            </w:r>
          </w:p>
        </w:tc>
      </w:tr>
      <w:tr w14:paraId="768340EF">
        <w:tblPrEx>
          <w:tblCellMar>
            <w:top w:w="0" w:type="dxa"/>
            <w:left w:w="108" w:type="dxa"/>
            <w:bottom w:w="0" w:type="dxa"/>
            <w:right w:w="108" w:type="dxa"/>
          </w:tblCellMar>
        </w:tblPrEx>
        <w:trPr>
          <w:trHeight w:val="340" w:hRule="atLeast"/>
          <w:jc w:val="center"/>
        </w:trPr>
        <w:tc>
          <w:tcPr>
            <w:tcW w:w="417" w:type="pct"/>
            <w:vAlign w:val="center"/>
          </w:tcPr>
          <w:p w14:paraId="0A1B5377">
            <w:pPr>
              <w:pStyle w:val="28"/>
              <w:bidi w:val="0"/>
            </w:pPr>
            <w:r>
              <w:rPr>
                <w:rFonts w:hint="eastAsia"/>
              </w:rPr>
              <w:t>13</w:t>
            </w:r>
          </w:p>
        </w:tc>
        <w:tc>
          <w:tcPr>
            <w:tcW w:w="831" w:type="pct"/>
            <w:vAlign w:val="center"/>
          </w:tcPr>
          <w:p w14:paraId="334D2931">
            <w:pPr>
              <w:pStyle w:val="28"/>
              <w:bidi w:val="0"/>
              <w:rPr>
                <w:lang w:val="en-GB"/>
              </w:rPr>
            </w:pPr>
            <w:r>
              <w:t>鲢</w:t>
            </w:r>
          </w:p>
        </w:tc>
        <w:tc>
          <w:tcPr>
            <w:tcW w:w="693" w:type="pct"/>
            <w:vAlign w:val="center"/>
          </w:tcPr>
          <w:p w14:paraId="7BA22AD6">
            <w:pPr>
              <w:pStyle w:val="28"/>
              <w:bidi w:val="0"/>
              <w:rPr>
                <w:lang w:val="en-GB"/>
              </w:rPr>
            </w:pPr>
            <w:r>
              <w:rPr>
                <w:lang w:val="en-GB"/>
              </w:rPr>
              <w:t>中上</w:t>
            </w:r>
          </w:p>
        </w:tc>
        <w:tc>
          <w:tcPr>
            <w:tcW w:w="693" w:type="pct"/>
            <w:vAlign w:val="center"/>
          </w:tcPr>
          <w:p w14:paraId="7ADCF011">
            <w:pPr>
              <w:pStyle w:val="28"/>
              <w:bidi w:val="0"/>
              <w:rPr>
                <w:lang w:val="en-GB"/>
              </w:rPr>
            </w:pPr>
            <w:r>
              <w:rPr>
                <w:lang w:val="en-GB"/>
              </w:rPr>
              <w:t>浮</w:t>
            </w:r>
          </w:p>
        </w:tc>
        <w:tc>
          <w:tcPr>
            <w:tcW w:w="416" w:type="pct"/>
            <w:vAlign w:val="center"/>
          </w:tcPr>
          <w:p w14:paraId="15BD8872">
            <w:pPr>
              <w:pStyle w:val="28"/>
              <w:bidi w:val="0"/>
              <w:rPr>
                <w:lang w:val="en-GB"/>
              </w:rPr>
            </w:pPr>
            <w:r>
              <w:rPr>
                <w:rFonts w:hint="eastAsia"/>
                <w:lang w:val="en-GB"/>
              </w:rPr>
              <w:t>次肉</w:t>
            </w:r>
          </w:p>
        </w:tc>
        <w:tc>
          <w:tcPr>
            <w:tcW w:w="973" w:type="pct"/>
            <w:vAlign w:val="center"/>
          </w:tcPr>
          <w:p w14:paraId="0CD5EF95">
            <w:pPr>
              <w:pStyle w:val="28"/>
              <w:bidi w:val="0"/>
              <w:rPr>
                <w:lang w:val="en-GB"/>
              </w:rPr>
            </w:pPr>
            <w:r>
              <w:t>√</w:t>
            </w:r>
          </w:p>
        </w:tc>
        <w:tc>
          <w:tcPr>
            <w:tcW w:w="973" w:type="pct"/>
            <w:vAlign w:val="center"/>
          </w:tcPr>
          <w:p w14:paraId="05E7AF48">
            <w:pPr>
              <w:pStyle w:val="28"/>
              <w:bidi w:val="0"/>
              <w:rPr>
                <w:lang w:val="en-GB"/>
              </w:rPr>
            </w:pPr>
          </w:p>
        </w:tc>
      </w:tr>
      <w:tr w14:paraId="455A70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26856D1B">
            <w:pPr>
              <w:pStyle w:val="28"/>
              <w:bidi w:val="0"/>
            </w:pPr>
            <w:r>
              <w:rPr>
                <w:rFonts w:hint="eastAsia"/>
              </w:rPr>
              <w:t>14</w:t>
            </w:r>
          </w:p>
        </w:tc>
        <w:tc>
          <w:tcPr>
            <w:tcW w:w="831" w:type="pct"/>
            <w:vAlign w:val="center"/>
          </w:tcPr>
          <w:p w14:paraId="2D4AE249">
            <w:pPr>
              <w:pStyle w:val="28"/>
              <w:bidi w:val="0"/>
              <w:rPr>
                <w:lang w:val="en-GB"/>
              </w:rPr>
            </w:pPr>
            <w:r>
              <w:t>鳙</w:t>
            </w:r>
          </w:p>
        </w:tc>
        <w:tc>
          <w:tcPr>
            <w:tcW w:w="693" w:type="pct"/>
            <w:vAlign w:val="center"/>
          </w:tcPr>
          <w:p w14:paraId="5AFB0776">
            <w:pPr>
              <w:pStyle w:val="28"/>
              <w:bidi w:val="0"/>
              <w:rPr>
                <w:lang w:val="en-GB"/>
              </w:rPr>
            </w:pPr>
            <w:r>
              <w:rPr>
                <w:lang w:val="en-GB"/>
              </w:rPr>
              <w:t>中上</w:t>
            </w:r>
          </w:p>
        </w:tc>
        <w:tc>
          <w:tcPr>
            <w:tcW w:w="693" w:type="pct"/>
            <w:vAlign w:val="center"/>
          </w:tcPr>
          <w:p w14:paraId="57CA2C7C">
            <w:pPr>
              <w:pStyle w:val="28"/>
              <w:bidi w:val="0"/>
              <w:rPr>
                <w:lang w:val="en-GB"/>
              </w:rPr>
            </w:pPr>
            <w:r>
              <w:rPr>
                <w:lang w:val="en-GB"/>
              </w:rPr>
              <w:t>浮</w:t>
            </w:r>
          </w:p>
        </w:tc>
        <w:tc>
          <w:tcPr>
            <w:tcW w:w="416" w:type="pct"/>
            <w:vAlign w:val="center"/>
          </w:tcPr>
          <w:p w14:paraId="1CE2760D">
            <w:pPr>
              <w:pStyle w:val="28"/>
              <w:bidi w:val="0"/>
              <w:rPr>
                <w:lang w:val="en-GB"/>
              </w:rPr>
            </w:pPr>
            <w:r>
              <w:rPr>
                <w:rFonts w:hint="eastAsia"/>
                <w:lang w:val="en-GB"/>
              </w:rPr>
              <w:t>次肉</w:t>
            </w:r>
          </w:p>
        </w:tc>
        <w:tc>
          <w:tcPr>
            <w:tcW w:w="973" w:type="pct"/>
            <w:vAlign w:val="center"/>
          </w:tcPr>
          <w:p w14:paraId="690B981C">
            <w:pPr>
              <w:pStyle w:val="28"/>
              <w:bidi w:val="0"/>
              <w:rPr>
                <w:lang w:val="en-GB"/>
              </w:rPr>
            </w:pPr>
          </w:p>
        </w:tc>
        <w:tc>
          <w:tcPr>
            <w:tcW w:w="973" w:type="pct"/>
            <w:vAlign w:val="center"/>
          </w:tcPr>
          <w:p w14:paraId="63EAA10B">
            <w:pPr>
              <w:pStyle w:val="28"/>
              <w:bidi w:val="0"/>
              <w:rPr>
                <w:lang w:val="en-GB"/>
              </w:rPr>
            </w:pPr>
          </w:p>
        </w:tc>
      </w:tr>
      <w:tr w14:paraId="3C2E51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65EAA8F3">
            <w:pPr>
              <w:pStyle w:val="28"/>
              <w:bidi w:val="0"/>
            </w:pPr>
            <w:r>
              <w:rPr>
                <w:rFonts w:hint="eastAsia"/>
              </w:rPr>
              <w:t>15</w:t>
            </w:r>
          </w:p>
        </w:tc>
        <w:tc>
          <w:tcPr>
            <w:tcW w:w="831" w:type="pct"/>
            <w:vAlign w:val="center"/>
          </w:tcPr>
          <w:p w14:paraId="32A4B4DC">
            <w:pPr>
              <w:pStyle w:val="28"/>
              <w:bidi w:val="0"/>
              <w:rPr>
                <w:lang w:val="en-GB"/>
              </w:rPr>
            </w:pPr>
            <w:r>
              <w:t>泥鳅</w:t>
            </w:r>
          </w:p>
        </w:tc>
        <w:tc>
          <w:tcPr>
            <w:tcW w:w="693" w:type="pct"/>
            <w:vAlign w:val="center"/>
          </w:tcPr>
          <w:p w14:paraId="0755A3E8">
            <w:pPr>
              <w:pStyle w:val="28"/>
              <w:bidi w:val="0"/>
              <w:rPr>
                <w:lang w:val="en-GB"/>
              </w:rPr>
            </w:pPr>
            <w:r>
              <w:rPr>
                <w:lang w:val="en-GB"/>
              </w:rPr>
              <w:t>底</w:t>
            </w:r>
          </w:p>
        </w:tc>
        <w:tc>
          <w:tcPr>
            <w:tcW w:w="693" w:type="pct"/>
            <w:vAlign w:val="center"/>
          </w:tcPr>
          <w:p w14:paraId="471BA28F">
            <w:pPr>
              <w:pStyle w:val="28"/>
              <w:bidi w:val="0"/>
              <w:rPr>
                <w:lang w:val="en-GB"/>
              </w:rPr>
            </w:pPr>
            <w:r>
              <w:rPr>
                <w:lang w:val="en-GB"/>
              </w:rPr>
              <w:t>沉</w:t>
            </w:r>
          </w:p>
        </w:tc>
        <w:tc>
          <w:tcPr>
            <w:tcW w:w="416" w:type="pct"/>
            <w:vAlign w:val="center"/>
          </w:tcPr>
          <w:p w14:paraId="01ED8584">
            <w:pPr>
              <w:pStyle w:val="28"/>
              <w:bidi w:val="0"/>
              <w:rPr>
                <w:lang w:val="en-GB"/>
              </w:rPr>
            </w:pPr>
            <w:r>
              <w:rPr>
                <w:lang w:val="en-GB"/>
              </w:rPr>
              <w:t>杂</w:t>
            </w:r>
          </w:p>
        </w:tc>
        <w:tc>
          <w:tcPr>
            <w:tcW w:w="973" w:type="pct"/>
            <w:vAlign w:val="center"/>
          </w:tcPr>
          <w:p w14:paraId="3ECF4D97">
            <w:pPr>
              <w:pStyle w:val="28"/>
              <w:bidi w:val="0"/>
            </w:pPr>
            <w:r>
              <w:t>√</w:t>
            </w:r>
          </w:p>
        </w:tc>
        <w:tc>
          <w:tcPr>
            <w:tcW w:w="973" w:type="pct"/>
            <w:vAlign w:val="center"/>
          </w:tcPr>
          <w:p w14:paraId="4DA64B17">
            <w:pPr>
              <w:pStyle w:val="28"/>
              <w:bidi w:val="0"/>
            </w:pPr>
            <w:r>
              <w:rPr>
                <w:rFonts w:hint="eastAsia"/>
              </w:rPr>
              <w:t>75.667</w:t>
            </w:r>
          </w:p>
        </w:tc>
      </w:tr>
      <w:tr w14:paraId="686C35F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2D1DBC03">
            <w:pPr>
              <w:pStyle w:val="28"/>
              <w:bidi w:val="0"/>
            </w:pPr>
            <w:r>
              <w:rPr>
                <w:rFonts w:hint="eastAsia"/>
              </w:rPr>
              <w:t>16</w:t>
            </w:r>
          </w:p>
        </w:tc>
        <w:tc>
          <w:tcPr>
            <w:tcW w:w="831" w:type="pct"/>
            <w:vAlign w:val="center"/>
          </w:tcPr>
          <w:p w14:paraId="0B32D53C">
            <w:pPr>
              <w:pStyle w:val="28"/>
              <w:bidi w:val="0"/>
            </w:pPr>
            <w:r>
              <w:rPr>
                <w:rFonts w:hint="eastAsia"/>
              </w:rPr>
              <w:t>刺鳅</w:t>
            </w:r>
          </w:p>
        </w:tc>
        <w:tc>
          <w:tcPr>
            <w:tcW w:w="693" w:type="pct"/>
            <w:vAlign w:val="center"/>
          </w:tcPr>
          <w:p w14:paraId="44A5E28F">
            <w:pPr>
              <w:pStyle w:val="28"/>
              <w:bidi w:val="0"/>
            </w:pPr>
            <w:r>
              <w:rPr>
                <w:rFonts w:hint="eastAsia"/>
              </w:rPr>
              <w:t>底</w:t>
            </w:r>
          </w:p>
        </w:tc>
        <w:tc>
          <w:tcPr>
            <w:tcW w:w="693" w:type="pct"/>
            <w:vAlign w:val="center"/>
          </w:tcPr>
          <w:p w14:paraId="56F91629">
            <w:pPr>
              <w:pStyle w:val="28"/>
              <w:bidi w:val="0"/>
            </w:pPr>
            <w:r>
              <w:rPr>
                <w:rFonts w:hint="eastAsia"/>
              </w:rPr>
              <w:t>沉</w:t>
            </w:r>
          </w:p>
        </w:tc>
        <w:tc>
          <w:tcPr>
            <w:tcW w:w="416" w:type="pct"/>
            <w:vAlign w:val="center"/>
          </w:tcPr>
          <w:p w14:paraId="734DB0B5">
            <w:pPr>
              <w:pStyle w:val="28"/>
              <w:bidi w:val="0"/>
            </w:pPr>
            <w:r>
              <w:rPr>
                <w:rFonts w:hint="eastAsia"/>
              </w:rPr>
              <w:t>杂</w:t>
            </w:r>
          </w:p>
        </w:tc>
        <w:tc>
          <w:tcPr>
            <w:tcW w:w="973" w:type="pct"/>
            <w:vAlign w:val="center"/>
          </w:tcPr>
          <w:p w14:paraId="59C5F163">
            <w:pPr>
              <w:pStyle w:val="28"/>
              <w:bidi w:val="0"/>
            </w:pPr>
          </w:p>
        </w:tc>
        <w:tc>
          <w:tcPr>
            <w:tcW w:w="973" w:type="pct"/>
            <w:vAlign w:val="center"/>
          </w:tcPr>
          <w:p w14:paraId="32DA5175">
            <w:pPr>
              <w:pStyle w:val="28"/>
              <w:bidi w:val="0"/>
            </w:pPr>
            <w:r>
              <w:rPr>
                <w:rFonts w:hint="eastAsia"/>
              </w:rPr>
              <w:t>112.401</w:t>
            </w:r>
          </w:p>
        </w:tc>
      </w:tr>
      <w:tr w14:paraId="18F5D2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2A5EC9C5">
            <w:pPr>
              <w:pStyle w:val="28"/>
              <w:bidi w:val="0"/>
            </w:pPr>
            <w:r>
              <w:rPr>
                <w:rFonts w:hint="eastAsia"/>
              </w:rPr>
              <w:t>17</w:t>
            </w:r>
          </w:p>
        </w:tc>
        <w:tc>
          <w:tcPr>
            <w:tcW w:w="831" w:type="pct"/>
            <w:vAlign w:val="center"/>
          </w:tcPr>
          <w:p w14:paraId="0D901470">
            <w:pPr>
              <w:pStyle w:val="28"/>
              <w:bidi w:val="0"/>
            </w:pPr>
            <w:r>
              <w:rPr>
                <w:rFonts w:hint="eastAsia"/>
              </w:rPr>
              <w:t>宽鳍鱲</w:t>
            </w:r>
          </w:p>
        </w:tc>
        <w:tc>
          <w:tcPr>
            <w:tcW w:w="693" w:type="pct"/>
            <w:vAlign w:val="center"/>
          </w:tcPr>
          <w:p w14:paraId="0F761865">
            <w:pPr>
              <w:pStyle w:val="28"/>
              <w:bidi w:val="0"/>
            </w:pPr>
            <w:r>
              <w:rPr>
                <w:rFonts w:hint="eastAsia"/>
              </w:rPr>
              <w:t>中上</w:t>
            </w:r>
          </w:p>
        </w:tc>
        <w:tc>
          <w:tcPr>
            <w:tcW w:w="693" w:type="pct"/>
            <w:vAlign w:val="center"/>
          </w:tcPr>
          <w:p w14:paraId="05F7CFBB">
            <w:pPr>
              <w:pStyle w:val="28"/>
              <w:bidi w:val="0"/>
            </w:pPr>
            <w:r>
              <w:rPr>
                <w:rFonts w:hint="eastAsia"/>
              </w:rPr>
              <w:t>漂</w:t>
            </w:r>
          </w:p>
        </w:tc>
        <w:tc>
          <w:tcPr>
            <w:tcW w:w="416" w:type="pct"/>
            <w:vAlign w:val="center"/>
          </w:tcPr>
          <w:p w14:paraId="64177577">
            <w:pPr>
              <w:pStyle w:val="28"/>
              <w:bidi w:val="0"/>
            </w:pPr>
            <w:r>
              <w:rPr>
                <w:rFonts w:hint="eastAsia"/>
              </w:rPr>
              <w:t>杂</w:t>
            </w:r>
          </w:p>
        </w:tc>
        <w:tc>
          <w:tcPr>
            <w:tcW w:w="973" w:type="pct"/>
            <w:vAlign w:val="center"/>
          </w:tcPr>
          <w:p w14:paraId="1D193320">
            <w:pPr>
              <w:pStyle w:val="28"/>
              <w:bidi w:val="0"/>
            </w:pPr>
          </w:p>
        </w:tc>
        <w:tc>
          <w:tcPr>
            <w:tcW w:w="973" w:type="pct"/>
            <w:vAlign w:val="center"/>
          </w:tcPr>
          <w:p w14:paraId="6A659E2F">
            <w:pPr>
              <w:pStyle w:val="28"/>
              <w:bidi w:val="0"/>
            </w:pPr>
          </w:p>
        </w:tc>
      </w:tr>
      <w:tr w14:paraId="0ACE6D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22985C2C">
            <w:pPr>
              <w:pStyle w:val="28"/>
              <w:bidi w:val="0"/>
            </w:pPr>
            <w:r>
              <w:rPr>
                <w:rFonts w:hint="eastAsia"/>
              </w:rPr>
              <w:t>18</w:t>
            </w:r>
          </w:p>
        </w:tc>
        <w:tc>
          <w:tcPr>
            <w:tcW w:w="831" w:type="pct"/>
            <w:vAlign w:val="center"/>
          </w:tcPr>
          <w:p w14:paraId="68DCC234">
            <w:pPr>
              <w:pStyle w:val="28"/>
              <w:bidi w:val="0"/>
            </w:pPr>
            <w:r>
              <w:rPr>
                <w:rFonts w:hint="eastAsia"/>
              </w:rPr>
              <w:t>马口鱼</w:t>
            </w:r>
          </w:p>
        </w:tc>
        <w:tc>
          <w:tcPr>
            <w:tcW w:w="693" w:type="pct"/>
            <w:vAlign w:val="center"/>
          </w:tcPr>
          <w:p w14:paraId="7607BC51">
            <w:pPr>
              <w:pStyle w:val="28"/>
              <w:bidi w:val="0"/>
            </w:pPr>
            <w:r>
              <w:rPr>
                <w:rFonts w:hint="eastAsia"/>
              </w:rPr>
              <w:t>中上</w:t>
            </w:r>
          </w:p>
        </w:tc>
        <w:tc>
          <w:tcPr>
            <w:tcW w:w="693" w:type="pct"/>
            <w:vAlign w:val="center"/>
          </w:tcPr>
          <w:p w14:paraId="64A163C6">
            <w:pPr>
              <w:pStyle w:val="28"/>
              <w:bidi w:val="0"/>
            </w:pPr>
            <w:r>
              <w:rPr>
                <w:rFonts w:hint="eastAsia"/>
              </w:rPr>
              <w:t>漂</w:t>
            </w:r>
          </w:p>
        </w:tc>
        <w:tc>
          <w:tcPr>
            <w:tcW w:w="416" w:type="pct"/>
            <w:vAlign w:val="center"/>
          </w:tcPr>
          <w:p w14:paraId="26FCC813">
            <w:pPr>
              <w:pStyle w:val="28"/>
              <w:bidi w:val="0"/>
            </w:pPr>
            <w:r>
              <w:rPr>
                <w:rFonts w:hint="eastAsia"/>
              </w:rPr>
              <w:t>肉</w:t>
            </w:r>
          </w:p>
        </w:tc>
        <w:tc>
          <w:tcPr>
            <w:tcW w:w="973" w:type="pct"/>
            <w:vAlign w:val="center"/>
          </w:tcPr>
          <w:p w14:paraId="740FEE28">
            <w:pPr>
              <w:pStyle w:val="28"/>
              <w:bidi w:val="0"/>
            </w:pPr>
          </w:p>
        </w:tc>
        <w:tc>
          <w:tcPr>
            <w:tcW w:w="973" w:type="pct"/>
            <w:vAlign w:val="center"/>
          </w:tcPr>
          <w:p w14:paraId="59EFBE70">
            <w:pPr>
              <w:pStyle w:val="28"/>
              <w:bidi w:val="0"/>
            </w:pPr>
          </w:p>
        </w:tc>
      </w:tr>
      <w:tr w14:paraId="5846B2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23D736BE">
            <w:pPr>
              <w:pStyle w:val="28"/>
              <w:bidi w:val="0"/>
            </w:pPr>
            <w:r>
              <w:rPr>
                <w:rFonts w:hint="eastAsia"/>
              </w:rPr>
              <w:t>19</w:t>
            </w:r>
          </w:p>
        </w:tc>
        <w:tc>
          <w:tcPr>
            <w:tcW w:w="831" w:type="pct"/>
            <w:vAlign w:val="center"/>
          </w:tcPr>
          <w:p w14:paraId="2C1C9227">
            <w:pPr>
              <w:pStyle w:val="28"/>
              <w:bidi w:val="0"/>
            </w:pPr>
            <w:r>
              <w:rPr>
                <w:rFonts w:hint="eastAsia"/>
              </w:rPr>
              <w:t>光唇鱼</w:t>
            </w:r>
          </w:p>
        </w:tc>
        <w:tc>
          <w:tcPr>
            <w:tcW w:w="693" w:type="pct"/>
            <w:vAlign w:val="center"/>
          </w:tcPr>
          <w:p w14:paraId="72FEB701">
            <w:pPr>
              <w:pStyle w:val="28"/>
              <w:bidi w:val="0"/>
            </w:pPr>
            <w:r>
              <w:rPr>
                <w:rFonts w:hint="eastAsia"/>
              </w:rPr>
              <w:t>中上</w:t>
            </w:r>
          </w:p>
        </w:tc>
        <w:tc>
          <w:tcPr>
            <w:tcW w:w="693" w:type="pct"/>
            <w:vAlign w:val="center"/>
          </w:tcPr>
          <w:p w14:paraId="6354A2AE">
            <w:pPr>
              <w:pStyle w:val="28"/>
              <w:bidi w:val="0"/>
            </w:pPr>
            <w:r>
              <w:rPr>
                <w:rFonts w:hint="eastAsia"/>
              </w:rPr>
              <w:t>沉</w:t>
            </w:r>
          </w:p>
        </w:tc>
        <w:tc>
          <w:tcPr>
            <w:tcW w:w="416" w:type="pct"/>
            <w:vAlign w:val="center"/>
          </w:tcPr>
          <w:p w14:paraId="1DDB9562">
            <w:pPr>
              <w:pStyle w:val="28"/>
              <w:bidi w:val="0"/>
            </w:pPr>
            <w:r>
              <w:rPr>
                <w:rFonts w:hint="eastAsia"/>
              </w:rPr>
              <w:t>植</w:t>
            </w:r>
          </w:p>
        </w:tc>
        <w:tc>
          <w:tcPr>
            <w:tcW w:w="973" w:type="pct"/>
            <w:vAlign w:val="center"/>
          </w:tcPr>
          <w:p w14:paraId="0E8704EC">
            <w:pPr>
              <w:pStyle w:val="28"/>
              <w:bidi w:val="0"/>
            </w:pPr>
          </w:p>
        </w:tc>
        <w:tc>
          <w:tcPr>
            <w:tcW w:w="973" w:type="pct"/>
            <w:vAlign w:val="center"/>
          </w:tcPr>
          <w:p w14:paraId="4E28608E">
            <w:pPr>
              <w:pStyle w:val="28"/>
              <w:bidi w:val="0"/>
            </w:pPr>
          </w:p>
        </w:tc>
      </w:tr>
      <w:tr w14:paraId="63E26452">
        <w:tblPrEx>
          <w:tblCellMar>
            <w:top w:w="0" w:type="dxa"/>
            <w:left w:w="108" w:type="dxa"/>
            <w:bottom w:w="0" w:type="dxa"/>
            <w:right w:w="108" w:type="dxa"/>
          </w:tblCellMar>
        </w:tblPrEx>
        <w:trPr>
          <w:trHeight w:val="340" w:hRule="atLeast"/>
          <w:jc w:val="center"/>
        </w:trPr>
        <w:tc>
          <w:tcPr>
            <w:tcW w:w="417" w:type="pct"/>
            <w:vAlign w:val="center"/>
          </w:tcPr>
          <w:p w14:paraId="3F366813">
            <w:pPr>
              <w:pStyle w:val="28"/>
              <w:bidi w:val="0"/>
            </w:pPr>
            <w:r>
              <w:rPr>
                <w:rFonts w:hint="eastAsia"/>
              </w:rPr>
              <w:t>20</w:t>
            </w:r>
          </w:p>
        </w:tc>
        <w:tc>
          <w:tcPr>
            <w:tcW w:w="831" w:type="pct"/>
            <w:vAlign w:val="center"/>
          </w:tcPr>
          <w:p w14:paraId="3B1AE70B">
            <w:pPr>
              <w:pStyle w:val="28"/>
              <w:bidi w:val="0"/>
            </w:pPr>
            <w:r>
              <w:t>尖头鱥</w:t>
            </w:r>
          </w:p>
        </w:tc>
        <w:tc>
          <w:tcPr>
            <w:tcW w:w="693" w:type="pct"/>
            <w:vAlign w:val="center"/>
          </w:tcPr>
          <w:p w14:paraId="50E50E8E">
            <w:pPr>
              <w:pStyle w:val="28"/>
              <w:bidi w:val="0"/>
            </w:pPr>
            <w:r>
              <w:rPr>
                <w:rFonts w:hint="eastAsia"/>
              </w:rPr>
              <w:t>中下</w:t>
            </w:r>
          </w:p>
        </w:tc>
        <w:tc>
          <w:tcPr>
            <w:tcW w:w="693" w:type="pct"/>
            <w:vAlign w:val="center"/>
          </w:tcPr>
          <w:p w14:paraId="5488F2F0">
            <w:pPr>
              <w:pStyle w:val="28"/>
              <w:bidi w:val="0"/>
            </w:pPr>
            <w:r>
              <w:rPr>
                <w:rFonts w:hint="eastAsia"/>
              </w:rPr>
              <w:t>粘</w:t>
            </w:r>
          </w:p>
        </w:tc>
        <w:tc>
          <w:tcPr>
            <w:tcW w:w="416" w:type="pct"/>
            <w:vAlign w:val="center"/>
          </w:tcPr>
          <w:p w14:paraId="1BD9B9A2">
            <w:pPr>
              <w:pStyle w:val="28"/>
              <w:bidi w:val="0"/>
            </w:pPr>
            <w:r>
              <w:rPr>
                <w:rFonts w:hint="eastAsia"/>
              </w:rPr>
              <w:t>杂</w:t>
            </w:r>
          </w:p>
        </w:tc>
        <w:tc>
          <w:tcPr>
            <w:tcW w:w="973" w:type="pct"/>
            <w:vAlign w:val="center"/>
          </w:tcPr>
          <w:p w14:paraId="4A5F29B7">
            <w:pPr>
              <w:pStyle w:val="28"/>
              <w:bidi w:val="0"/>
            </w:pPr>
          </w:p>
        </w:tc>
        <w:tc>
          <w:tcPr>
            <w:tcW w:w="973" w:type="pct"/>
            <w:vAlign w:val="center"/>
          </w:tcPr>
          <w:p w14:paraId="22D68296">
            <w:pPr>
              <w:pStyle w:val="28"/>
              <w:bidi w:val="0"/>
            </w:pPr>
          </w:p>
        </w:tc>
      </w:tr>
      <w:tr w14:paraId="7A5E7544">
        <w:tblPrEx>
          <w:tblCellMar>
            <w:top w:w="0" w:type="dxa"/>
            <w:left w:w="108" w:type="dxa"/>
            <w:bottom w:w="0" w:type="dxa"/>
            <w:right w:w="108" w:type="dxa"/>
          </w:tblCellMar>
        </w:tblPrEx>
        <w:trPr>
          <w:trHeight w:val="340" w:hRule="atLeast"/>
          <w:jc w:val="center"/>
        </w:trPr>
        <w:tc>
          <w:tcPr>
            <w:tcW w:w="417" w:type="pct"/>
            <w:vAlign w:val="center"/>
          </w:tcPr>
          <w:p w14:paraId="0750FA6C">
            <w:pPr>
              <w:pStyle w:val="28"/>
              <w:bidi w:val="0"/>
            </w:pPr>
            <w:r>
              <w:rPr>
                <w:rFonts w:hint="eastAsia"/>
              </w:rPr>
              <w:t>21</w:t>
            </w:r>
          </w:p>
        </w:tc>
        <w:tc>
          <w:tcPr>
            <w:tcW w:w="831" w:type="pct"/>
            <w:vAlign w:val="center"/>
          </w:tcPr>
          <w:p w14:paraId="6BAC192D">
            <w:pPr>
              <w:pStyle w:val="28"/>
              <w:bidi w:val="0"/>
            </w:pPr>
            <w:r>
              <w:rPr>
                <w:rFonts w:hint="eastAsia"/>
              </w:rPr>
              <w:t>银飘</w:t>
            </w:r>
          </w:p>
        </w:tc>
        <w:tc>
          <w:tcPr>
            <w:tcW w:w="693" w:type="pct"/>
            <w:vAlign w:val="center"/>
          </w:tcPr>
          <w:p w14:paraId="23EE2263">
            <w:pPr>
              <w:pStyle w:val="28"/>
              <w:bidi w:val="0"/>
            </w:pPr>
            <w:r>
              <w:rPr>
                <w:rFonts w:hint="eastAsia"/>
              </w:rPr>
              <w:t>中上</w:t>
            </w:r>
          </w:p>
        </w:tc>
        <w:tc>
          <w:tcPr>
            <w:tcW w:w="693" w:type="pct"/>
            <w:vAlign w:val="center"/>
          </w:tcPr>
          <w:p w14:paraId="4BB7FA87">
            <w:pPr>
              <w:pStyle w:val="28"/>
              <w:bidi w:val="0"/>
            </w:pPr>
            <w:r>
              <w:rPr>
                <w:rFonts w:hint="eastAsia"/>
              </w:rPr>
              <w:t>漂</w:t>
            </w:r>
          </w:p>
        </w:tc>
        <w:tc>
          <w:tcPr>
            <w:tcW w:w="416" w:type="pct"/>
            <w:vAlign w:val="center"/>
          </w:tcPr>
          <w:p w14:paraId="7464B478">
            <w:pPr>
              <w:pStyle w:val="28"/>
              <w:bidi w:val="0"/>
            </w:pPr>
            <w:r>
              <w:rPr>
                <w:rFonts w:hint="eastAsia"/>
              </w:rPr>
              <w:t>杂</w:t>
            </w:r>
          </w:p>
        </w:tc>
        <w:tc>
          <w:tcPr>
            <w:tcW w:w="973" w:type="pct"/>
            <w:vAlign w:val="center"/>
          </w:tcPr>
          <w:p w14:paraId="2FCB1382">
            <w:pPr>
              <w:pStyle w:val="28"/>
              <w:bidi w:val="0"/>
            </w:pPr>
          </w:p>
        </w:tc>
        <w:tc>
          <w:tcPr>
            <w:tcW w:w="973" w:type="pct"/>
            <w:vAlign w:val="center"/>
          </w:tcPr>
          <w:p w14:paraId="35D56477">
            <w:pPr>
              <w:pStyle w:val="28"/>
              <w:bidi w:val="0"/>
            </w:pPr>
          </w:p>
        </w:tc>
      </w:tr>
      <w:tr w14:paraId="33859E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18C7C51C">
            <w:pPr>
              <w:pStyle w:val="28"/>
              <w:bidi w:val="0"/>
            </w:pPr>
            <w:r>
              <w:rPr>
                <w:rFonts w:hint="eastAsia"/>
              </w:rPr>
              <w:t>22</w:t>
            </w:r>
          </w:p>
        </w:tc>
        <w:tc>
          <w:tcPr>
            <w:tcW w:w="831" w:type="pct"/>
            <w:vAlign w:val="center"/>
          </w:tcPr>
          <w:p w14:paraId="3619A6DA">
            <w:pPr>
              <w:pStyle w:val="28"/>
              <w:bidi w:val="0"/>
            </w:pPr>
            <w:r>
              <w:rPr>
                <w:rFonts w:hint="eastAsia"/>
              </w:rPr>
              <w:t>达氏鲌</w:t>
            </w:r>
          </w:p>
        </w:tc>
        <w:tc>
          <w:tcPr>
            <w:tcW w:w="693" w:type="pct"/>
            <w:vAlign w:val="center"/>
          </w:tcPr>
          <w:p w14:paraId="2CADE7F4">
            <w:pPr>
              <w:pStyle w:val="28"/>
              <w:bidi w:val="0"/>
            </w:pPr>
            <w:r>
              <w:rPr>
                <w:rFonts w:hint="eastAsia"/>
              </w:rPr>
              <w:t>中上</w:t>
            </w:r>
          </w:p>
        </w:tc>
        <w:tc>
          <w:tcPr>
            <w:tcW w:w="693" w:type="pct"/>
            <w:vAlign w:val="center"/>
          </w:tcPr>
          <w:p w14:paraId="2866C5C4">
            <w:pPr>
              <w:pStyle w:val="28"/>
              <w:bidi w:val="0"/>
            </w:pPr>
            <w:r>
              <w:rPr>
                <w:rFonts w:hint="eastAsia"/>
              </w:rPr>
              <w:t>粘</w:t>
            </w:r>
          </w:p>
        </w:tc>
        <w:tc>
          <w:tcPr>
            <w:tcW w:w="416" w:type="pct"/>
            <w:vAlign w:val="center"/>
          </w:tcPr>
          <w:p w14:paraId="40831C8F">
            <w:pPr>
              <w:pStyle w:val="28"/>
              <w:bidi w:val="0"/>
            </w:pPr>
            <w:r>
              <w:rPr>
                <w:rFonts w:hint="eastAsia"/>
              </w:rPr>
              <w:t>肉</w:t>
            </w:r>
          </w:p>
        </w:tc>
        <w:tc>
          <w:tcPr>
            <w:tcW w:w="973" w:type="pct"/>
            <w:vAlign w:val="center"/>
          </w:tcPr>
          <w:p w14:paraId="544AB9DE">
            <w:pPr>
              <w:pStyle w:val="28"/>
              <w:bidi w:val="0"/>
            </w:pPr>
          </w:p>
        </w:tc>
        <w:tc>
          <w:tcPr>
            <w:tcW w:w="973" w:type="pct"/>
            <w:vAlign w:val="center"/>
          </w:tcPr>
          <w:p w14:paraId="43BC54D0">
            <w:pPr>
              <w:pStyle w:val="28"/>
              <w:bidi w:val="0"/>
            </w:pPr>
          </w:p>
        </w:tc>
      </w:tr>
      <w:tr w14:paraId="746E14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 w:hRule="atLeast"/>
          <w:jc w:val="center"/>
        </w:trPr>
        <w:tc>
          <w:tcPr>
            <w:tcW w:w="417" w:type="pct"/>
            <w:vAlign w:val="center"/>
          </w:tcPr>
          <w:p w14:paraId="6A5AA3D6">
            <w:pPr>
              <w:pStyle w:val="28"/>
              <w:bidi w:val="0"/>
            </w:pPr>
            <w:r>
              <w:rPr>
                <w:rFonts w:hint="eastAsia"/>
              </w:rPr>
              <w:t>23</w:t>
            </w:r>
          </w:p>
        </w:tc>
        <w:tc>
          <w:tcPr>
            <w:tcW w:w="831" w:type="pct"/>
            <w:vAlign w:val="center"/>
          </w:tcPr>
          <w:p w14:paraId="7B92C57D">
            <w:pPr>
              <w:pStyle w:val="28"/>
              <w:bidi w:val="0"/>
            </w:pPr>
            <w:r>
              <w:rPr>
                <w:rFonts w:hint="eastAsia"/>
              </w:rPr>
              <w:t>蒙古鲌</w:t>
            </w:r>
          </w:p>
        </w:tc>
        <w:tc>
          <w:tcPr>
            <w:tcW w:w="693" w:type="pct"/>
            <w:vAlign w:val="center"/>
          </w:tcPr>
          <w:p w14:paraId="63C46C0E">
            <w:pPr>
              <w:pStyle w:val="28"/>
              <w:bidi w:val="0"/>
            </w:pPr>
            <w:r>
              <w:rPr>
                <w:rFonts w:hint="eastAsia"/>
              </w:rPr>
              <w:t>中上</w:t>
            </w:r>
          </w:p>
        </w:tc>
        <w:tc>
          <w:tcPr>
            <w:tcW w:w="693" w:type="pct"/>
            <w:vAlign w:val="center"/>
          </w:tcPr>
          <w:p w14:paraId="089CD775">
            <w:pPr>
              <w:pStyle w:val="28"/>
              <w:bidi w:val="0"/>
            </w:pPr>
            <w:r>
              <w:rPr>
                <w:rFonts w:hint="eastAsia"/>
              </w:rPr>
              <w:t>漂</w:t>
            </w:r>
          </w:p>
        </w:tc>
        <w:tc>
          <w:tcPr>
            <w:tcW w:w="416" w:type="pct"/>
            <w:vAlign w:val="center"/>
          </w:tcPr>
          <w:p w14:paraId="26F5E663">
            <w:pPr>
              <w:pStyle w:val="28"/>
              <w:bidi w:val="0"/>
            </w:pPr>
            <w:r>
              <w:rPr>
                <w:rFonts w:hint="eastAsia"/>
              </w:rPr>
              <w:t>肉</w:t>
            </w:r>
          </w:p>
        </w:tc>
        <w:tc>
          <w:tcPr>
            <w:tcW w:w="973" w:type="pct"/>
            <w:vAlign w:val="center"/>
          </w:tcPr>
          <w:p w14:paraId="71FB0120">
            <w:pPr>
              <w:pStyle w:val="28"/>
              <w:bidi w:val="0"/>
            </w:pPr>
          </w:p>
        </w:tc>
        <w:tc>
          <w:tcPr>
            <w:tcW w:w="973" w:type="pct"/>
            <w:vAlign w:val="center"/>
          </w:tcPr>
          <w:p w14:paraId="730E0DED">
            <w:pPr>
              <w:pStyle w:val="28"/>
              <w:bidi w:val="0"/>
            </w:pPr>
          </w:p>
        </w:tc>
      </w:tr>
      <w:tr w14:paraId="6C90BF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3A765627">
            <w:pPr>
              <w:pStyle w:val="28"/>
              <w:bidi w:val="0"/>
            </w:pPr>
            <w:r>
              <w:rPr>
                <w:rFonts w:hint="eastAsia"/>
              </w:rPr>
              <w:t>24</w:t>
            </w:r>
          </w:p>
        </w:tc>
        <w:tc>
          <w:tcPr>
            <w:tcW w:w="831" w:type="pct"/>
            <w:vAlign w:val="center"/>
          </w:tcPr>
          <w:p w14:paraId="13E43DCB">
            <w:pPr>
              <w:pStyle w:val="28"/>
              <w:bidi w:val="0"/>
            </w:pPr>
            <w:r>
              <w:rPr>
                <w:rFonts w:hint="eastAsia"/>
              </w:rPr>
              <w:t>翘嘴红鲌</w:t>
            </w:r>
          </w:p>
        </w:tc>
        <w:tc>
          <w:tcPr>
            <w:tcW w:w="693" w:type="pct"/>
            <w:vAlign w:val="center"/>
          </w:tcPr>
          <w:p w14:paraId="3892E482">
            <w:pPr>
              <w:pStyle w:val="28"/>
              <w:bidi w:val="0"/>
            </w:pPr>
            <w:r>
              <w:rPr>
                <w:rFonts w:hint="eastAsia"/>
              </w:rPr>
              <w:t>中上</w:t>
            </w:r>
          </w:p>
        </w:tc>
        <w:tc>
          <w:tcPr>
            <w:tcW w:w="693" w:type="pct"/>
            <w:vAlign w:val="center"/>
          </w:tcPr>
          <w:p w14:paraId="15248177">
            <w:pPr>
              <w:pStyle w:val="28"/>
              <w:bidi w:val="0"/>
            </w:pPr>
            <w:r>
              <w:rPr>
                <w:rFonts w:hint="eastAsia"/>
              </w:rPr>
              <w:t>漂</w:t>
            </w:r>
          </w:p>
        </w:tc>
        <w:tc>
          <w:tcPr>
            <w:tcW w:w="416" w:type="pct"/>
            <w:vAlign w:val="center"/>
          </w:tcPr>
          <w:p w14:paraId="0D5C0197">
            <w:pPr>
              <w:pStyle w:val="28"/>
              <w:bidi w:val="0"/>
            </w:pPr>
            <w:r>
              <w:rPr>
                <w:rFonts w:hint="eastAsia"/>
              </w:rPr>
              <w:t>肉</w:t>
            </w:r>
          </w:p>
        </w:tc>
        <w:tc>
          <w:tcPr>
            <w:tcW w:w="973" w:type="pct"/>
            <w:vAlign w:val="center"/>
          </w:tcPr>
          <w:p w14:paraId="3B293145">
            <w:pPr>
              <w:pStyle w:val="28"/>
              <w:bidi w:val="0"/>
            </w:pPr>
            <w:r>
              <w:t>√</w:t>
            </w:r>
          </w:p>
        </w:tc>
        <w:tc>
          <w:tcPr>
            <w:tcW w:w="973" w:type="pct"/>
            <w:vAlign w:val="center"/>
          </w:tcPr>
          <w:p w14:paraId="507366F4">
            <w:pPr>
              <w:pStyle w:val="28"/>
              <w:bidi w:val="0"/>
            </w:pPr>
          </w:p>
        </w:tc>
      </w:tr>
      <w:tr w14:paraId="7FCF19F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25DBC5DB">
            <w:pPr>
              <w:pStyle w:val="28"/>
              <w:bidi w:val="0"/>
            </w:pPr>
            <w:r>
              <w:rPr>
                <w:rFonts w:hint="eastAsia"/>
              </w:rPr>
              <w:t>25</w:t>
            </w:r>
          </w:p>
        </w:tc>
        <w:tc>
          <w:tcPr>
            <w:tcW w:w="831" w:type="pct"/>
            <w:vAlign w:val="center"/>
          </w:tcPr>
          <w:p w14:paraId="582F90F4">
            <w:pPr>
              <w:pStyle w:val="28"/>
              <w:bidi w:val="0"/>
            </w:pPr>
            <w:r>
              <w:rPr>
                <w:rFonts w:hint="eastAsia"/>
              </w:rPr>
              <w:t>红鳍原鲌</w:t>
            </w:r>
          </w:p>
        </w:tc>
        <w:tc>
          <w:tcPr>
            <w:tcW w:w="693" w:type="pct"/>
            <w:vAlign w:val="center"/>
          </w:tcPr>
          <w:p w14:paraId="27C2706C">
            <w:pPr>
              <w:pStyle w:val="28"/>
              <w:bidi w:val="0"/>
            </w:pPr>
            <w:r>
              <w:rPr>
                <w:rFonts w:hint="eastAsia"/>
              </w:rPr>
              <w:t>中上</w:t>
            </w:r>
          </w:p>
        </w:tc>
        <w:tc>
          <w:tcPr>
            <w:tcW w:w="693" w:type="pct"/>
            <w:vAlign w:val="center"/>
          </w:tcPr>
          <w:p w14:paraId="5D65B099">
            <w:pPr>
              <w:pStyle w:val="28"/>
              <w:bidi w:val="0"/>
            </w:pPr>
            <w:r>
              <w:rPr>
                <w:rFonts w:hint="eastAsia"/>
              </w:rPr>
              <w:t>浮</w:t>
            </w:r>
          </w:p>
        </w:tc>
        <w:tc>
          <w:tcPr>
            <w:tcW w:w="416" w:type="pct"/>
            <w:vAlign w:val="center"/>
          </w:tcPr>
          <w:p w14:paraId="0BB6C56B">
            <w:pPr>
              <w:pStyle w:val="28"/>
              <w:bidi w:val="0"/>
            </w:pPr>
            <w:r>
              <w:rPr>
                <w:rFonts w:hint="eastAsia"/>
              </w:rPr>
              <w:t>肉</w:t>
            </w:r>
          </w:p>
        </w:tc>
        <w:tc>
          <w:tcPr>
            <w:tcW w:w="973" w:type="pct"/>
            <w:vAlign w:val="center"/>
          </w:tcPr>
          <w:p w14:paraId="251A804A">
            <w:pPr>
              <w:pStyle w:val="28"/>
              <w:bidi w:val="0"/>
            </w:pPr>
          </w:p>
        </w:tc>
        <w:tc>
          <w:tcPr>
            <w:tcW w:w="973" w:type="pct"/>
            <w:vAlign w:val="center"/>
          </w:tcPr>
          <w:p w14:paraId="409F57B8">
            <w:pPr>
              <w:pStyle w:val="28"/>
              <w:bidi w:val="0"/>
            </w:pPr>
          </w:p>
        </w:tc>
      </w:tr>
      <w:tr w14:paraId="4019C0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12EFDB86">
            <w:pPr>
              <w:pStyle w:val="28"/>
              <w:bidi w:val="0"/>
            </w:pPr>
            <w:r>
              <w:rPr>
                <w:rFonts w:hint="eastAsia"/>
              </w:rPr>
              <w:t>26</w:t>
            </w:r>
          </w:p>
        </w:tc>
        <w:tc>
          <w:tcPr>
            <w:tcW w:w="831" w:type="pct"/>
            <w:vAlign w:val="center"/>
          </w:tcPr>
          <w:p w14:paraId="79B59E9C">
            <w:pPr>
              <w:pStyle w:val="28"/>
              <w:bidi w:val="0"/>
            </w:pPr>
            <w:r>
              <w:rPr>
                <w:rFonts w:hint="eastAsia"/>
              </w:rPr>
              <w:t>似鳊</w:t>
            </w:r>
          </w:p>
        </w:tc>
        <w:tc>
          <w:tcPr>
            <w:tcW w:w="693" w:type="pct"/>
            <w:vAlign w:val="center"/>
          </w:tcPr>
          <w:p w14:paraId="51694433">
            <w:pPr>
              <w:pStyle w:val="28"/>
              <w:bidi w:val="0"/>
            </w:pPr>
            <w:r>
              <w:rPr>
                <w:rFonts w:hint="eastAsia"/>
              </w:rPr>
              <w:t>中上</w:t>
            </w:r>
          </w:p>
        </w:tc>
        <w:tc>
          <w:tcPr>
            <w:tcW w:w="693" w:type="pct"/>
            <w:vAlign w:val="center"/>
          </w:tcPr>
          <w:p w14:paraId="27F8FBC5">
            <w:pPr>
              <w:pStyle w:val="28"/>
              <w:bidi w:val="0"/>
            </w:pPr>
            <w:r>
              <w:rPr>
                <w:rFonts w:hint="eastAsia"/>
              </w:rPr>
              <w:t>漂</w:t>
            </w:r>
          </w:p>
        </w:tc>
        <w:tc>
          <w:tcPr>
            <w:tcW w:w="416" w:type="pct"/>
            <w:vAlign w:val="center"/>
          </w:tcPr>
          <w:p w14:paraId="4671CE3A">
            <w:pPr>
              <w:pStyle w:val="28"/>
              <w:bidi w:val="0"/>
            </w:pPr>
            <w:r>
              <w:rPr>
                <w:rFonts w:hint="eastAsia"/>
              </w:rPr>
              <w:t>植</w:t>
            </w:r>
          </w:p>
        </w:tc>
        <w:tc>
          <w:tcPr>
            <w:tcW w:w="973" w:type="pct"/>
            <w:vAlign w:val="center"/>
          </w:tcPr>
          <w:p w14:paraId="73244BF7">
            <w:pPr>
              <w:pStyle w:val="28"/>
              <w:bidi w:val="0"/>
            </w:pPr>
          </w:p>
        </w:tc>
        <w:tc>
          <w:tcPr>
            <w:tcW w:w="973" w:type="pct"/>
            <w:vAlign w:val="center"/>
          </w:tcPr>
          <w:p w14:paraId="1F3B7BE6">
            <w:pPr>
              <w:pStyle w:val="28"/>
              <w:bidi w:val="0"/>
            </w:pPr>
          </w:p>
        </w:tc>
      </w:tr>
      <w:tr w14:paraId="65A1F53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417F0688">
            <w:pPr>
              <w:pStyle w:val="28"/>
              <w:bidi w:val="0"/>
            </w:pPr>
            <w:r>
              <w:rPr>
                <w:rFonts w:hint="eastAsia"/>
              </w:rPr>
              <w:t>27</w:t>
            </w:r>
          </w:p>
        </w:tc>
        <w:tc>
          <w:tcPr>
            <w:tcW w:w="831" w:type="pct"/>
            <w:vAlign w:val="center"/>
          </w:tcPr>
          <w:p w14:paraId="6C1DAD87">
            <w:pPr>
              <w:pStyle w:val="28"/>
              <w:bidi w:val="0"/>
            </w:pPr>
            <w:r>
              <w:rPr>
                <w:rFonts w:hint="eastAsia"/>
              </w:rPr>
              <w:t>华鳈</w:t>
            </w:r>
          </w:p>
        </w:tc>
        <w:tc>
          <w:tcPr>
            <w:tcW w:w="693" w:type="pct"/>
            <w:vAlign w:val="center"/>
          </w:tcPr>
          <w:p w14:paraId="78B0CC06">
            <w:pPr>
              <w:pStyle w:val="28"/>
              <w:bidi w:val="0"/>
            </w:pPr>
            <w:r>
              <w:rPr>
                <w:rFonts w:hint="eastAsia"/>
              </w:rPr>
              <w:t>中上</w:t>
            </w:r>
          </w:p>
        </w:tc>
        <w:tc>
          <w:tcPr>
            <w:tcW w:w="693" w:type="pct"/>
            <w:vAlign w:val="center"/>
          </w:tcPr>
          <w:p w14:paraId="1600D4C3">
            <w:pPr>
              <w:pStyle w:val="28"/>
              <w:bidi w:val="0"/>
            </w:pPr>
            <w:r>
              <w:rPr>
                <w:rFonts w:hint="eastAsia"/>
              </w:rPr>
              <w:t>浮</w:t>
            </w:r>
          </w:p>
        </w:tc>
        <w:tc>
          <w:tcPr>
            <w:tcW w:w="416" w:type="pct"/>
            <w:vAlign w:val="center"/>
          </w:tcPr>
          <w:p w14:paraId="61BA8F5C">
            <w:pPr>
              <w:pStyle w:val="28"/>
              <w:bidi w:val="0"/>
            </w:pPr>
            <w:r>
              <w:rPr>
                <w:rFonts w:hint="eastAsia"/>
              </w:rPr>
              <w:t>杂</w:t>
            </w:r>
          </w:p>
        </w:tc>
        <w:tc>
          <w:tcPr>
            <w:tcW w:w="973" w:type="pct"/>
            <w:vAlign w:val="center"/>
          </w:tcPr>
          <w:p w14:paraId="6B7FD8D6">
            <w:pPr>
              <w:pStyle w:val="28"/>
              <w:bidi w:val="0"/>
            </w:pPr>
          </w:p>
        </w:tc>
        <w:tc>
          <w:tcPr>
            <w:tcW w:w="973" w:type="pct"/>
            <w:vAlign w:val="center"/>
          </w:tcPr>
          <w:p w14:paraId="05170E8B">
            <w:pPr>
              <w:pStyle w:val="28"/>
              <w:bidi w:val="0"/>
            </w:pPr>
          </w:p>
        </w:tc>
      </w:tr>
      <w:tr w14:paraId="291085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0F486F92">
            <w:pPr>
              <w:pStyle w:val="28"/>
              <w:bidi w:val="0"/>
            </w:pPr>
            <w:r>
              <w:rPr>
                <w:rFonts w:hint="eastAsia"/>
              </w:rPr>
              <w:t>28</w:t>
            </w:r>
          </w:p>
        </w:tc>
        <w:tc>
          <w:tcPr>
            <w:tcW w:w="831" w:type="pct"/>
            <w:vAlign w:val="center"/>
          </w:tcPr>
          <w:p w14:paraId="3F20B7FC">
            <w:pPr>
              <w:pStyle w:val="28"/>
              <w:bidi w:val="0"/>
            </w:pPr>
            <w:r>
              <w:rPr>
                <w:rFonts w:hint="eastAsia"/>
              </w:rPr>
              <w:t>蛇鮈</w:t>
            </w:r>
          </w:p>
        </w:tc>
        <w:tc>
          <w:tcPr>
            <w:tcW w:w="693" w:type="pct"/>
            <w:vAlign w:val="center"/>
          </w:tcPr>
          <w:p w14:paraId="5881E595">
            <w:pPr>
              <w:pStyle w:val="28"/>
              <w:bidi w:val="0"/>
            </w:pPr>
            <w:r>
              <w:rPr>
                <w:rFonts w:hint="eastAsia"/>
              </w:rPr>
              <w:t>底</w:t>
            </w:r>
          </w:p>
        </w:tc>
        <w:tc>
          <w:tcPr>
            <w:tcW w:w="693" w:type="pct"/>
            <w:vAlign w:val="center"/>
          </w:tcPr>
          <w:p w14:paraId="116A9112">
            <w:pPr>
              <w:pStyle w:val="28"/>
              <w:bidi w:val="0"/>
            </w:pPr>
            <w:r>
              <w:rPr>
                <w:rFonts w:hint="eastAsia"/>
              </w:rPr>
              <w:t>漂</w:t>
            </w:r>
          </w:p>
        </w:tc>
        <w:tc>
          <w:tcPr>
            <w:tcW w:w="416" w:type="pct"/>
            <w:vAlign w:val="center"/>
          </w:tcPr>
          <w:p w14:paraId="258B0888">
            <w:pPr>
              <w:pStyle w:val="28"/>
              <w:bidi w:val="0"/>
            </w:pPr>
            <w:r>
              <w:rPr>
                <w:rFonts w:hint="eastAsia"/>
              </w:rPr>
              <w:t>杂</w:t>
            </w:r>
          </w:p>
        </w:tc>
        <w:tc>
          <w:tcPr>
            <w:tcW w:w="973" w:type="pct"/>
            <w:vAlign w:val="center"/>
          </w:tcPr>
          <w:p w14:paraId="6625D5FC">
            <w:pPr>
              <w:pStyle w:val="28"/>
              <w:bidi w:val="0"/>
            </w:pPr>
          </w:p>
        </w:tc>
        <w:tc>
          <w:tcPr>
            <w:tcW w:w="973" w:type="pct"/>
            <w:vAlign w:val="center"/>
          </w:tcPr>
          <w:p w14:paraId="344377BF">
            <w:pPr>
              <w:pStyle w:val="28"/>
              <w:bidi w:val="0"/>
            </w:pPr>
          </w:p>
        </w:tc>
      </w:tr>
      <w:tr w14:paraId="762619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30062D71">
            <w:pPr>
              <w:pStyle w:val="28"/>
              <w:bidi w:val="0"/>
            </w:pPr>
            <w:r>
              <w:rPr>
                <w:rFonts w:hint="eastAsia"/>
              </w:rPr>
              <w:t>29</w:t>
            </w:r>
          </w:p>
        </w:tc>
        <w:tc>
          <w:tcPr>
            <w:tcW w:w="831" w:type="pct"/>
            <w:vAlign w:val="center"/>
          </w:tcPr>
          <w:p w14:paraId="7765CA51">
            <w:pPr>
              <w:pStyle w:val="28"/>
              <w:bidi w:val="0"/>
            </w:pPr>
            <w:r>
              <w:rPr>
                <w:rFonts w:hint="eastAsia"/>
              </w:rPr>
              <w:t>福建小银鮈</w:t>
            </w:r>
          </w:p>
        </w:tc>
        <w:tc>
          <w:tcPr>
            <w:tcW w:w="693" w:type="pct"/>
            <w:vAlign w:val="center"/>
          </w:tcPr>
          <w:p w14:paraId="0E5CBEDE">
            <w:pPr>
              <w:pStyle w:val="28"/>
              <w:bidi w:val="0"/>
            </w:pPr>
            <w:r>
              <w:rPr>
                <w:rFonts w:hint="eastAsia"/>
              </w:rPr>
              <w:t>底</w:t>
            </w:r>
          </w:p>
        </w:tc>
        <w:tc>
          <w:tcPr>
            <w:tcW w:w="693" w:type="pct"/>
            <w:vAlign w:val="center"/>
          </w:tcPr>
          <w:p w14:paraId="486C654E">
            <w:pPr>
              <w:pStyle w:val="28"/>
              <w:bidi w:val="0"/>
            </w:pPr>
            <w:r>
              <w:rPr>
                <w:rFonts w:hint="eastAsia"/>
              </w:rPr>
              <w:t>沉</w:t>
            </w:r>
          </w:p>
        </w:tc>
        <w:tc>
          <w:tcPr>
            <w:tcW w:w="416" w:type="pct"/>
            <w:vAlign w:val="center"/>
          </w:tcPr>
          <w:p w14:paraId="4C15DC4F">
            <w:pPr>
              <w:pStyle w:val="28"/>
              <w:bidi w:val="0"/>
            </w:pPr>
            <w:r>
              <w:rPr>
                <w:rFonts w:hint="eastAsia"/>
              </w:rPr>
              <w:t>杂</w:t>
            </w:r>
          </w:p>
        </w:tc>
        <w:tc>
          <w:tcPr>
            <w:tcW w:w="973" w:type="pct"/>
            <w:vAlign w:val="center"/>
          </w:tcPr>
          <w:p w14:paraId="4E00CC55">
            <w:pPr>
              <w:pStyle w:val="28"/>
              <w:bidi w:val="0"/>
            </w:pPr>
          </w:p>
        </w:tc>
        <w:tc>
          <w:tcPr>
            <w:tcW w:w="973" w:type="pct"/>
            <w:vAlign w:val="center"/>
          </w:tcPr>
          <w:p w14:paraId="196E812A">
            <w:pPr>
              <w:pStyle w:val="28"/>
              <w:bidi w:val="0"/>
            </w:pPr>
          </w:p>
        </w:tc>
      </w:tr>
      <w:tr w14:paraId="0BCC42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4C2FE2FB">
            <w:pPr>
              <w:pStyle w:val="28"/>
              <w:bidi w:val="0"/>
            </w:pPr>
            <w:r>
              <w:rPr>
                <w:rFonts w:hint="eastAsia"/>
              </w:rPr>
              <w:t>30</w:t>
            </w:r>
          </w:p>
        </w:tc>
        <w:tc>
          <w:tcPr>
            <w:tcW w:w="831" w:type="pct"/>
            <w:vAlign w:val="center"/>
          </w:tcPr>
          <w:p w14:paraId="6A5051B0">
            <w:pPr>
              <w:pStyle w:val="28"/>
              <w:bidi w:val="0"/>
            </w:pPr>
            <w:r>
              <w:rPr>
                <w:rFonts w:hint="eastAsia"/>
              </w:rPr>
              <w:t>银鮈</w:t>
            </w:r>
          </w:p>
        </w:tc>
        <w:tc>
          <w:tcPr>
            <w:tcW w:w="693" w:type="pct"/>
            <w:vAlign w:val="center"/>
          </w:tcPr>
          <w:p w14:paraId="4667A2C7">
            <w:pPr>
              <w:pStyle w:val="28"/>
              <w:bidi w:val="0"/>
            </w:pPr>
            <w:r>
              <w:rPr>
                <w:rFonts w:hint="eastAsia"/>
              </w:rPr>
              <w:t>底</w:t>
            </w:r>
          </w:p>
        </w:tc>
        <w:tc>
          <w:tcPr>
            <w:tcW w:w="693" w:type="pct"/>
            <w:vAlign w:val="center"/>
          </w:tcPr>
          <w:p w14:paraId="67417669">
            <w:pPr>
              <w:pStyle w:val="28"/>
              <w:bidi w:val="0"/>
            </w:pPr>
            <w:r>
              <w:rPr>
                <w:rFonts w:hint="eastAsia"/>
              </w:rPr>
              <w:t>漂</w:t>
            </w:r>
          </w:p>
        </w:tc>
        <w:tc>
          <w:tcPr>
            <w:tcW w:w="416" w:type="pct"/>
            <w:vAlign w:val="center"/>
          </w:tcPr>
          <w:p w14:paraId="730541DA">
            <w:pPr>
              <w:pStyle w:val="28"/>
              <w:bidi w:val="0"/>
            </w:pPr>
            <w:r>
              <w:rPr>
                <w:rFonts w:hint="eastAsia"/>
              </w:rPr>
              <w:t>杂</w:t>
            </w:r>
          </w:p>
        </w:tc>
        <w:tc>
          <w:tcPr>
            <w:tcW w:w="973" w:type="pct"/>
            <w:vAlign w:val="center"/>
          </w:tcPr>
          <w:p w14:paraId="5E26D1DD">
            <w:pPr>
              <w:pStyle w:val="28"/>
              <w:bidi w:val="0"/>
            </w:pPr>
          </w:p>
        </w:tc>
        <w:tc>
          <w:tcPr>
            <w:tcW w:w="973" w:type="pct"/>
            <w:vAlign w:val="center"/>
          </w:tcPr>
          <w:p w14:paraId="674B4D84">
            <w:pPr>
              <w:pStyle w:val="28"/>
              <w:bidi w:val="0"/>
            </w:pPr>
          </w:p>
        </w:tc>
      </w:tr>
      <w:tr w14:paraId="5A67EBB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 w:hRule="atLeast"/>
          <w:jc w:val="center"/>
        </w:trPr>
        <w:tc>
          <w:tcPr>
            <w:tcW w:w="417" w:type="pct"/>
            <w:vAlign w:val="center"/>
          </w:tcPr>
          <w:p w14:paraId="043E9141">
            <w:pPr>
              <w:pStyle w:val="28"/>
              <w:bidi w:val="0"/>
            </w:pPr>
            <w:r>
              <w:rPr>
                <w:rFonts w:hint="eastAsia"/>
              </w:rPr>
              <w:t>31</w:t>
            </w:r>
          </w:p>
        </w:tc>
        <w:tc>
          <w:tcPr>
            <w:tcW w:w="831" w:type="pct"/>
            <w:vAlign w:val="center"/>
          </w:tcPr>
          <w:p w14:paraId="418F36D3">
            <w:pPr>
              <w:pStyle w:val="28"/>
              <w:bidi w:val="0"/>
            </w:pPr>
            <w:r>
              <w:rPr>
                <w:rFonts w:hint="eastAsia"/>
              </w:rPr>
              <w:t>颌须鮈</w:t>
            </w:r>
          </w:p>
        </w:tc>
        <w:tc>
          <w:tcPr>
            <w:tcW w:w="693" w:type="pct"/>
            <w:vAlign w:val="center"/>
          </w:tcPr>
          <w:p w14:paraId="53728AC9">
            <w:pPr>
              <w:pStyle w:val="28"/>
              <w:bidi w:val="0"/>
            </w:pPr>
            <w:r>
              <w:rPr>
                <w:rFonts w:hint="eastAsia"/>
              </w:rPr>
              <w:t>中上</w:t>
            </w:r>
          </w:p>
        </w:tc>
        <w:tc>
          <w:tcPr>
            <w:tcW w:w="693" w:type="pct"/>
            <w:vAlign w:val="center"/>
          </w:tcPr>
          <w:p w14:paraId="0CE70D77">
            <w:pPr>
              <w:pStyle w:val="28"/>
              <w:bidi w:val="0"/>
            </w:pPr>
            <w:r>
              <w:rPr>
                <w:rFonts w:hint="eastAsia"/>
              </w:rPr>
              <w:t>浮</w:t>
            </w:r>
          </w:p>
        </w:tc>
        <w:tc>
          <w:tcPr>
            <w:tcW w:w="416" w:type="pct"/>
            <w:vAlign w:val="center"/>
          </w:tcPr>
          <w:p w14:paraId="6C1A9577">
            <w:pPr>
              <w:pStyle w:val="28"/>
              <w:bidi w:val="0"/>
            </w:pPr>
            <w:r>
              <w:rPr>
                <w:rFonts w:hint="eastAsia"/>
              </w:rPr>
              <w:t>杂</w:t>
            </w:r>
          </w:p>
        </w:tc>
        <w:tc>
          <w:tcPr>
            <w:tcW w:w="973" w:type="pct"/>
            <w:vAlign w:val="center"/>
          </w:tcPr>
          <w:p w14:paraId="13005547">
            <w:pPr>
              <w:pStyle w:val="28"/>
              <w:bidi w:val="0"/>
            </w:pPr>
          </w:p>
        </w:tc>
        <w:tc>
          <w:tcPr>
            <w:tcW w:w="973" w:type="pct"/>
            <w:vAlign w:val="center"/>
          </w:tcPr>
          <w:p w14:paraId="42D4DAB8">
            <w:pPr>
              <w:pStyle w:val="28"/>
              <w:bidi w:val="0"/>
            </w:pPr>
          </w:p>
        </w:tc>
      </w:tr>
      <w:tr w14:paraId="313F57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0B4B1289">
            <w:pPr>
              <w:pStyle w:val="28"/>
              <w:bidi w:val="0"/>
            </w:pPr>
            <w:r>
              <w:rPr>
                <w:rFonts w:hint="eastAsia"/>
              </w:rPr>
              <w:t>32</w:t>
            </w:r>
          </w:p>
        </w:tc>
        <w:tc>
          <w:tcPr>
            <w:tcW w:w="831" w:type="pct"/>
            <w:vAlign w:val="center"/>
          </w:tcPr>
          <w:p w14:paraId="4A1878C0">
            <w:pPr>
              <w:pStyle w:val="28"/>
              <w:bidi w:val="0"/>
            </w:pPr>
            <w:r>
              <w:rPr>
                <w:rFonts w:hint="eastAsia"/>
              </w:rPr>
              <w:t>似鮈</w:t>
            </w:r>
          </w:p>
        </w:tc>
        <w:tc>
          <w:tcPr>
            <w:tcW w:w="693" w:type="pct"/>
            <w:vAlign w:val="center"/>
          </w:tcPr>
          <w:p w14:paraId="1E2CA581">
            <w:pPr>
              <w:pStyle w:val="28"/>
              <w:bidi w:val="0"/>
            </w:pPr>
            <w:r>
              <w:rPr>
                <w:rFonts w:hint="eastAsia"/>
              </w:rPr>
              <w:t>中上</w:t>
            </w:r>
          </w:p>
        </w:tc>
        <w:tc>
          <w:tcPr>
            <w:tcW w:w="693" w:type="pct"/>
            <w:vAlign w:val="center"/>
          </w:tcPr>
          <w:p w14:paraId="351969D3">
            <w:pPr>
              <w:pStyle w:val="28"/>
              <w:bidi w:val="0"/>
            </w:pPr>
            <w:r>
              <w:rPr>
                <w:rFonts w:hint="eastAsia"/>
              </w:rPr>
              <w:t>浮</w:t>
            </w:r>
          </w:p>
        </w:tc>
        <w:tc>
          <w:tcPr>
            <w:tcW w:w="416" w:type="pct"/>
            <w:vAlign w:val="center"/>
          </w:tcPr>
          <w:p w14:paraId="73D0E540">
            <w:pPr>
              <w:pStyle w:val="28"/>
              <w:bidi w:val="0"/>
            </w:pPr>
            <w:r>
              <w:rPr>
                <w:rFonts w:hint="eastAsia"/>
              </w:rPr>
              <w:t>杂</w:t>
            </w:r>
          </w:p>
        </w:tc>
        <w:tc>
          <w:tcPr>
            <w:tcW w:w="973" w:type="pct"/>
            <w:vAlign w:val="center"/>
          </w:tcPr>
          <w:p w14:paraId="0D794D10">
            <w:pPr>
              <w:pStyle w:val="28"/>
              <w:bidi w:val="0"/>
            </w:pPr>
          </w:p>
        </w:tc>
        <w:tc>
          <w:tcPr>
            <w:tcW w:w="973" w:type="pct"/>
            <w:vAlign w:val="center"/>
          </w:tcPr>
          <w:p w14:paraId="2B04963E">
            <w:pPr>
              <w:pStyle w:val="28"/>
              <w:bidi w:val="0"/>
            </w:pPr>
          </w:p>
        </w:tc>
      </w:tr>
      <w:tr w14:paraId="5271D9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 w:hRule="atLeast"/>
          <w:jc w:val="center"/>
        </w:trPr>
        <w:tc>
          <w:tcPr>
            <w:tcW w:w="417" w:type="pct"/>
            <w:vAlign w:val="center"/>
          </w:tcPr>
          <w:p w14:paraId="058C7223">
            <w:pPr>
              <w:pStyle w:val="28"/>
              <w:bidi w:val="0"/>
            </w:pPr>
            <w:r>
              <w:rPr>
                <w:rFonts w:hint="eastAsia"/>
              </w:rPr>
              <w:t>33</w:t>
            </w:r>
          </w:p>
        </w:tc>
        <w:tc>
          <w:tcPr>
            <w:tcW w:w="831" w:type="pct"/>
            <w:vAlign w:val="center"/>
          </w:tcPr>
          <w:p w14:paraId="15026F77">
            <w:pPr>
              <w:pStyle w:val="28"/>
              <w:bidi w:val="0"/>
            </w:pPr>
            <w:r>
              <w:rPr>
                <w:rFonts w:hint="eastAsia"/>
              </w:rPr>
              <w:t>中华花鳅</w:t>
            </w:r>
          </w:p>
        </w:tc>
        <w:tc>
          <w:tcPr>
            <w:tcW w:w="693" w:type="pct"/>
            <w:vAlign w:val="center"/>
          </w:tcPr>
          <w:p w14:paraId="1E29546A">
            <w:pPr>
              <w:pStyle w:val="28"/>
              <w:bidi w:val="0"/>
            </w:pPr>
            <w:r>
              <w:rPr>
                <w:rFonts w:hint="eastAsia"/>
              </w:rPr>
              <w:t>底</w:t>
            </w:r>
          </w:p>
        </w:tc>
        <w:tc>
          <w:tcPr>
            <w:tcW w:w="693" w:type="pct"/>
            <w:vAlign w:val="center"/>
          </w:tcPr>
          <w:p w14:paraId="00CD1691">
            <w:pPr>
              <w:pStyle w:val="28"/>
              <w:bidi w:val="0"/>
            </w:pPr>
            <w:r>
              <w:rPr>
                <w:rFonts w:hint="eastAsia"/>
              </w:rPr>
              <w:t>沉</w:t>
            </w:r>
          </w:p>
        </w:tc>
        <w:tc>
          <w:tcPr>
            <w:tcW w:w="416" w:type="pct"/>
            <w:vAlign w:val="center"/>
          </w:tcPr>
          <w:p w14:paraId="0BDE4DC0">
            <w:pPr>
              <w:pStyle w:val="28"/>
              <w:bidi w:val="0"/>
            </w:pPr>
            <w:r>
              <w:rPr>
                <w:rFonts w:hint="eastAsia"/>
              </w:rPr>
              <w:t>杂</w:t>
            </w:r>
          </w:p>
        </w:tc>
        <w:tc>
          <w:tcPr>
            <w:tcW w:w="973" w:type="pct"/>
            <w:vAlign w:val="center"/>
          </w:tcPr>
          <w:p w14:paraId="4CB45C9E">
            <w:pPr>
              <w:pStyle w:val="28"/>
              <w:bidi w:val="0"/>
            </w:pPr>
          </w:p>
        </w:tc>
        <w:tc>
          <w:tcPr>
            <w:tcW w:w="973" w:type="pct"/>
            <w:vAlign w:val="center"/>
          </w:tcPr>
          <w:p w14:paraId="206EF70C">
            <w:pPr>
              <w:pStyle w:val="28"/>
              <w:bidi w:val="0"/>
            </w:pPr>
          </w:p>
        </w:tc>
      </w:tr>
      <w:tr w14:paraId="1228DE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7648BFF0">
            <w:pPr>
              <w:pStyle w:val="28"/>
              <w:bidi w:val="0"/>
            </w:pPr>
            <w:r>
              <w:rPr>
                <w:rFonts w:hint="eastAsia"/>
              </w:rPr>
              <w:t>34</w:t>
            </w:r>
          </w:p>
        </w:tc>
        <w:tc>
          <w:tcPr>
            <w:tcW w:w="831" w:type="pct"/>
            <w:vAlign w:val="center"/>
          </w:tcPr>
          <w:p w14:paraId="0A824010">
            <w:pPr>
              <w:pStyle w:val="28"/>
              <w:bidi w:val="0"/>
            </w:pPr>
            <w:r>
              <w:rPr>
                <w:rFonts w:hint="eastAsia"/>
              </w:rPr>
              <w:t>原缨口鳅</w:t>
            </w:r>
          </w:p>
        </w:tc>
        <w:tc>
          <w:tcPr>
            <w:tcW w:w="693" w:type="pct"/>
            <w:vAlign w:val="center"/>
          </w:tcPr>
          <w:p w14:paraId="033D0020">
            <w:pPr>
              <w:pStyle w:val="28"/>
              <w:bidi w:val="0"/>
            </w:pPr>
            <w:r>
              <w:rPr>
                <w:rFonts w:hint="eastAsia"/>
              </w:rPr>
              <w:t>底</w:t>
            </w:r>
          </w:p>
        </w:tc>
        <w:tc>
          <w:tcPr>
            <w:tcW w:w="693" w:type="pct"/>
            <w:vAlign w:val="center"/>
          </w:tcPr>
          <w:p w14:paraId="686894BB">
            <w:pPr>
              <w:pStyle w:val="28"/>
              <w:bidi w:val="0"/>
            </w:pPr>
            <w:r>
              <w:rPr>
                <w:rFonts w:hint="eastAsia"/>
              </w:rPr>
              <w:t>粘</w:t>
            </w:r>
          </w:p>
        </w:tc>
        <w:tc>
          <w:tcPr>
            <w:tcW w:w="416" w:type="pct"/>
            <w:vAlign w:val="center"/>
          </w:tcPr>
          <w:p w14:paraId="15D8EA1C">
            <w:pPr>
              <w:pStyle w:val="28"/>
              <w:bidi w:val="0"/>
            </w:pPr>
            <w:r>
              <w:rPr>
                <w:rFonts w:hint="eastAsia"/>
              </w:rPr>
              <w:t>杂</w:t>
            </w:r>
          </w:p>
        </w:tc>
        <w:tc>
          <w:tcPr>
            <w:tcW w:w="973" w:type="pct"/>
            <w:vAlign w:val="center"/>
          </w:tcPr>
          <w:p w14:paraId="17100903">
            <w:pPr>
              <w:pStyle w:val="28"/>
              <w:bidi w:val="0"/>
            </w:pPr>
          </w:p>
        </w:tc>
        <w:tc>
          <w:tcPr>
            <w:tcW w:w="973" w:type="pct"/>
            <w:vAlign w:val="center"/>
          </w:tcPr>
          <w:p w14:paraId="38BCE195">
            <w:pPr>
              <w:pStyle w:val="28"/>
              <w:bidi w:val="0"/>
            </w:pPr>
          </w:p>
        </w:tc>
      </w:tr>
      <w:tr w14:paraId="6766A8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27692304">
            <w:pPr>
              <w:pStyle w:val="28"/>
              <w:bidi w:val="0"/>
            </w:pPr>
            <w:r>
              <w:rPr>
                <w:rFonts w:hint="eastAsia"/>
              </w:rPr>
              <w:t>二</w:t>
            </w:r>
          </w:p>
        </w:tc>
        <w:tc>
          <w:tcPr>
            <w:tcW w:w="831" w:type="pct"/>
            <w:vAlign w:val="center"/>
          </w:tcPr>
          <w:p w14:paraId="4FC5CB17">
            <w:pPr>
              <w:pStyle w:val="28"/>
              <w:bidi w:val="0"/>
            </w:pPr>
            <w:r>
              <w:t>合鳃鱼目</w:t>
            </w:r>
          </w:p>
        </w:tc>
        <w:tc>
          <w:tcPr>
            <w:tcW w:w="693" w:type="pct"/>
            <w:vAlign w:val="center"/>
          </w:tcPr>
          <w:p w14:paraId="354955F5">
            <w:pPr>
              <w:pStyle w:val="28"/>
              <w:bidi w:val="0"/>
              <w:rPr>
                <w:lang w:val="en-GB"/>
              </w:rPr>
            </w:pPr>
          </w:p>
        </w:tc>
        <w:tc>
          <w:tcPr>
            <w:tcW w:w="693" w:type="pct"/>
            <w:vAlign w:val="center"/>
          </w:tcPr>
          <w:p w14:paraId="21EEEFE3">
            <w:pPr>
              <w:pStyle w:val="28"/>
              <w:bidi w:val="0"/>
              <w:rPr>
                <w:lang w:val="en-GB"/>
              </w:rPr>
            </w:pPr>
          </w:p>
        </w:tc>
        <w:tc>
          <w:tcPr>
            <w:tcW w:w="416" w:type="pct"/>
            <w:vAlign w:val="center"/>
          </w:tcPr>
          <w:p w14:paraId="452AAF38">
            <w:pPr>
              <w:pStyle w:val="28"/>
              <w:bidi w:val="0"/>
              <w:rPr>
                <w:lang w:val="en-GB"/>
              </w:rPr>
            </w:pPr>
          </w:p>
        </w:tc>
        <w:tc>
          <w:tcPr>
            <w:tcW w:w="973" w:type="pct"/>
            <w:vAlign w:val="center"/>
          </w:tcPr>
          <w:p w14:paraId="57CE20F7">
            <w:pPr>
              <w:pStyle w:val="28"/>
              <w:bidi w:val="0"/>
              <w:rPr>
                <w:lang w:val="en-GB"/>
              </w:rPr>
            </w:pPr>
          </w:p>
        </w:tc>
        <w:tc>
          <w:tcPr>
            <w:tcW w:w="973" w:type="pct"/>
            <w:vAlign w:val="center"/>
          </w:tcPr>
          <w:p w14:paraId="2D4F2342">
            <w:pPr>
              <w:pStyle w:val="28"/>
              <w:bidi w:val="0"/>
              <w:rPr>
                <w:lang w:val="en-GB"/>
              </w:rPr>
            </w:pPr>
          </w:p>
        </w:tc>
      </w:tr>
      <w:tr w14:paraId="2DBA40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2DE46931">
            <w:pPr>
              <w:pStyle w:val="28"/>
              <w:bidi w:val="0"/>
            </w:pPr>
            <w:r>
              <w:rPr>
                <w:rFonts w:hint="eastAsia"/>
              </w:rPr>
              <w:t>35</w:t>
            </w:r>
          </w:p>
        </w:tc>
        <w:tc>
          <w:tcPr>
            <w:tcW w:w="831" w:type="pct"/>
            <w:vAlign w:val="center"/>
          </w:tcPr>
          <w:p w14:paraId="559029F6">
            <w:pPr>
              <w:pStyle w:val="28"/>
              <w:bidi w:val="0"/>
            </w:pPr>
            <w:r>
              <w:t>黄鳝</w:t>
            </w:r>
          </w:p>
        </w:tc>
        <w:tc>
          <w:tcPr>
            <w:tcW w:w="693" w:type="pct"/>
            <w:vAlign w:val="center"/>
          </w:tcPr>
          <w:p w14:paraId="7BA048D6">
            <w:pPr>
              <w:pStyle w:val="28"/>
              <w:bidi w:val="0"/>
              <w:rPr>
                <w:lang w:val="en-GB"/>
              </w:rPr>
            </w:pPr>
            <w:r>
              <w:rPr>
                <w:lang w:val="en-GB"/>
              </w:rPr>
              <w:t>底</w:t>
            </w:r>
          </w:p>
        </w:tc>
        <w:tc>
          <w:tcPr>
            <w:tcW w:w="693" w:type="pct"/>
            <w:vAlign w:val="center"/>
          </w:tcPr>
          <w:p w14:paraId="0D8A7E15">
            <w:pPr>
              <w:pStyle w:val="28"/>
              <w:bidi w:val="0"/>
              <w:rPr>
                <w:lang w:val="en-GB"/>
              </w:rPr>
            </w:pPr>
            <w:r>
              <w:rPr>
                <w:rFonts w:hint="eastAsia"/>
                <w:lang w:val="en-GB"/>
              </w:rPr>
              <w:t>粘</w:t>
            </w:r>
          </w:p>
        </w:tc>
        <w:tc>
          <w:tcPr>
            <w:tcW w:w="416" w:type="pct"/>
            <w:vAlign w:val="center"/>
          </w:tcPr>
          <w:p w14:paraId="03984F91">
            <w:pPr>
              <w:pStyle w:val="28"/>
              <w:bidi w:val="0"/>
              <w:rPr>
                <w:lang w:val="en-GB"/>
              </w:rPr>
            </w:pPr>
            <w:r>
              <w:rPr>
                <w:lang w:val="en-GB"/>
              </w:rPr>
              <w:t>杂</w:t>
            </w:r>
          </w:p>
        </w:tc>
        <w:tc>
          <w:tcPr>
            <w:tcW w:w="973" w:type="pct"/>
            <w:vAlign w:val="center"/>
          </w:tcPr>
          <w:p w14:paraId="5288F3AB">
            <w:pPr>
              <w:pStyle w:val="28"/>
              <w:bidi w:val="0"/>
            </w:pPr>
            <w:r>
              <w:t>√</w:t>
            </w:r>
          </w:p>
        </w:tc>
        <w:tc>
          <w:tcPr>
            <w:tcW w:w="973" w:type="pct"/>
            <w:vAlign w:val="center"/>
          </w:tcPr>
          <w:p w14:paraId="2A3F24A1">
            <w:pPr>
              <w:pStyle w:val="28"/>
              <w:bidi w:val="0"/>
            </w:pPr>
            <w:r>
              <w:rPr>
                <w:rFonts w:hint="eastAsia"/>
              </w:rPr>
              <w:t>17.634</w:t>
            </w:r>
          </w:p>
        </w:tc>
      </w:tr>
      <w:tr w14:paraId="263D405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202387AA">
            <w:pPr>
              <w:pStyle w:val="28"/>
              <w:bidi w:val="0"/>
            </w:pPr>
            <w:r>
              <w:rPr>
                <w:rFonts w:hint="eastAsia"/>
              </w:rPr>
              <w:t>三</w:t>
            </w:r>
          </w:p>
        </w:tc>
        <w:tc>
          <w:tcPr>
            <w:tcW w:w="831" w:type="pct"/>
            <w:vAlign w:val="center"/>
          </w:tcPr>
          <w:p w14:paraId="3FE712B3">
            <w:pPr>
              <w:pStyle w:val="28"/>
              <w:bidi w:val="0"/>
            </w:pPr>
            <w:r>
              <w:t>鳉形目</w:t>
            </w:r>
          </w:p>
        </w:tc>
        <w:tc>
          <w:tcPr>
            <w:tcW w:w="693" w:type="pct"/>
            <w:vAlign w:val="center"/>
          </w:tcPr>
          <w:p w14:paraId="1272509C">
            <w:pPr>
              <w:pStyle w:val="28"/>
              <w:bidi w:val="0"/>
              <w:rPr>
                <w:lang w:val="en-GB"/>
              </w:rPr>
            </w:pPr>
          </w:p>
        </w:tc>
        <w:tc>
          <w:tcPr>
            <w:tcW w:w="693" w:type="pct"/>
            <w:vAlign w:val="center"/>
          </w:tcPr>
          <w:p w14:paraId="38D4BA21">
            <w:pPr>
              <w:pStyle w:val="28"/>
              <w:bidi w:val="0"/>
              <w:rPr>
                <w:lang w:val="en-GB"/>
              </w:rPr>
            </w:pPr>
          </w:p>
        </w:tc>
        <w:tc>
          <w:tcPr>
            <w:tcW w:w="416" w:type="pct"/>
            <w:vAlign w:val="center"/>
          </w:tcPr>
          <w:p w14:paraId="143ABEC3">
            <w:pPr>
              <w:pStyle w:val="28"/>
              <w:bidi w:val="0"/>
              <w:rPr>
                <w:lang w:val="en-GB"/>
              </w:rPr>
            </w:pPr>
          </w:p>
        </w:tc>
        <w:tc>
          <w:tcPr>
            <w:tcW w:w="973" w:type="pct"/>
            <w:vAlign w:val="center"/>
          </w:tcPr>
          <w:p w14:paraId="00638CB0">
            <w:pPr>
              <w:pStyle w:val="28"/>
              <w:bidi w:val="0"/>
              <w:rPr>
                <w:lang w:val="en-GB"/>
              </w:rPr>
            </w:pPr>
          </w:p>
        </w:tc>
        <w:tc>
          <w:tcPr>
            <w:tcW w:w="973" w:type="pct"/>
            <w:vAlign w:val="center"/>
          </w:tcPr>
          <w:p w14:paraId="3CCAA7B0">
            <w:pPr>
              <w:pStyle w:val="28"/>
              <w:bidi w:val="0"/>
              <w:rPr>
                <w:lang w:val="en-GB"/>
              </w:rPr>
            </w:pPr>
          </w:p>
        </w:tc>
      </w:tr>
      <w:tr w14:paraId="17DAB07C">
        <w:tblPrEx>
          <w:tblCellMar>
            <w:top w:w="0" w:type="dxa"/>
            <w:left w:w="108" w:type="dxa"/>
            <w:bottom w:w="0" w:type="dxa"/>
            <w:right w:w="108" w:type="dxa"/>
          </w:tblCellMar>
        </w:tblPrEx>
        <w:trPr>
          <w:trHeight w:val="340" w:hRule="atLeast"/>
          <w:jc w:val="center"/>
        </w:trPr>
        <w:tc>
          <w:tcPr>
            <w:tcW w:w="417" w:type="pct"/>
            <w:vAlign w:val="center"/>
          </w:tcPr>
          <w:p w14:paraId="4F373BBA">
            <w:pPr>
              <w:pStyle w:val="28"/>
              <w:bidi w:val="0"/>
            </w:pPr>
            <w:r>
              <w:rPr>
                <w:rFonts w:hint="eastAsia"/>
              </w:rPr>
              <w:t>36</w:t>
            </w:r>
          </w:p>
        </w:tc>
        <w:tc>
          <w:tcPr>
            <w:tcW w:w="831" w:type="pct"/>
            <w:vAlign w:val="center"/>
          </w:tcPr>
          <w:p w14:paraId="6EF7D3E8">
            <w:pPr>
              <w:pStyle w:val="28"/>
              <w:bidi w:val="0"/>
            </w:pPr>
            <w:r>
              <w:t>中华青鳉</w:t>
            </w:r>
          </w:p>
        </w:tc>
        <w:tc>
          <w:tcPr>
            <w:tcW w:w="693" w:type="pct"/>
            <w:vAlign w:val="center"/>
          </w:tcPr>
          <w:p w14:paraId="389CEBA6">
            <w:pPr>
              <w:pStyle w:val="28"/>
              <w:bidi w:val="0"/>
              <w:rPr>
                <w:lang w:val="en-GB"/>
              </w:rPr>
            </w:pPr>
            <w:r>
              <w:rPr>
                <w:lang w:val="en-GB"/>
              </w:rPr>
              <w:t>中上</w:t>
            </w:r>
          </w:p>
        </w:tc>
        <w:tc>
          <w:tcPr>
            <w:tcW w:w="693" w:type="pct"/>
            <w:vAlign w:val="center"/>
          </w:tcPr>
          <w:p w14:paraId="55C0AC78">
            <w:pPr>
              <w:pStyle w:val="28"/>
              <w:bidi w:val="0"/>
              <w:rPr>
                <w:lang w:val="en-GB"/>
              </w:rPr>
            </w:pPr>
            <w:r>
              <w:rPr>
                <w:lang w:val="en-GB"/>
              </w:rPr>
              <w:t>沉</w:t>
            </w:r>
          </w:p>
        </w:tc>
        <w:tc>
          <w:tcPr>
            <w:tcW w:w="416" w:type="pct"/>
            <w:vAlign w:val="center"/>
          </w:tcPr>
          <w:p w14:paraId="29F6DEC4">
            <w:pPr>
              <w:pStyle w:val="28"/>
              <w:bidi w:val="0"/>
              <w:rPr>
                <w:lang w:val="en-GB"/>
              </w:rPr>
            </w:pPr>
            <w:r>
              <w:rPr>
                <w:lang w:val="en-GB"/>
              </w:rPr>
              <w:t>杂</w:t>
            </w:r>
          </w:p>
        </w:tc>
        <w:tc>
          <w:tcPr>
            <w:tcW w:w="973" w:type="pct"/>
            <w:vAlign w:val="center"/>
          </w:tcPr>
          <w:p w14:paraId="56E2F2C5">
            <w:pPr>
              <w:pStyle w:val="28"/>
              <w:bidi w:val="0"/>
              <w:rPr>
                <w:lang w:val="en-GB"/>
              </w:rPr>
            </w:pPr>
            <w:r>
              <w:t>√</w:t>
            </w:r>
          </w:p>
        </w:tc>
        <w:tc>
          <w:tcPr>
            <w:tcW w:w="973" w:type="pct"/>
            <w:vAlign w:val="center"/>
          </w:tcPr>
          <w:p w14:paraId="3870CCAC">
            <w:pPr>
              <w:pStyle w:val="28"/>
              <w:bidi w:val="0"/>
              <w:rPr>
                <w:lang w:val="en-GB"/>
              </w:rPr>
            </w:pPr>
          </w:p>
        </w:tc>
      </w:tr>
      <w:tr w14:paraId="5477E7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78DDFD57">
            <w:pPr>
              <w:pStyle w:val="28"/>
              <w:bidi w:val="0"/>
            </w:pPr>
            <w:r>
              <w:rPr>
                <w:rFonts w:hint="eastAsia"/>
              </w:rPr>
              <w:t>37</w:t>
            </w:r>
          </w:p>
        </w:tc>
        <w:tc>
          <w:tcPr>
            <w:tcW w:w="831" w:type="pct"/>
            <w:vAlign w:val="center"/>
          </w:tcPr>
          <w:p w14:paraId="1842BA56">
            <w:pPr>
              <w:pStyle w:val="28"/>
              <w:bidi w:val="0"/>
            </w:pPr>
            <w:r>
              <w:t>食蚊鱼</w:t>
            </w:r>
          </w:p>
        </w:tc>
        <w:tc>
          <w:tcPr>
            <w:tcW w:w="693" w:type="pct"/>
            <w:vAlign w:val="center"/>
          </w:tcPr>
          <w:p w14:paraId="13BE7096">
            <w:pPr>
              <w:pStyle w:val="28"/>
              <w:bidi w:val="0"/>
              <w:rPr>
                <w:lang w:val="en-GB"/>
              </w:rPr>
            </w:pPr>
          </w:p>
        </w:tc>
        <w:tc>
          <w:tcPr>
            <w:tcW w:w="693" w:type="pct"/>
            <w:vAlign w:val="center"/>
          </w:tcPr>
          <w:p w14:paraId="75F77956">
            <w:pPr>
              <w:pStyle w:val="28"/>
              <w:bidi w:val="0"/>
              <w:rPr>
                <w:lang w:val="en-GB"/>
              </w:rPr>
            </w:pPr>
          </w:p>
        </w:tc>
        <w:tc>
          <w:tcPr>
            <w:tcW w:w="416" w:type="pct"/>
            <w:vAlign w:val="center"/>
          </w:tcPr>
          <w:p w14:paraId="3BDC82CB">
            <w:pPr>
              <w:pStyle w:val="28"/>
              <w:bidi w:val="0"/>
              <w:rPr>
                <w:lang w:val="en-GB"/>
              </w:rPr>
            </w:pPr>
          </w:p>
        </w:tc>
        <w:tc>
          <w:tcPr>
            <w:tcW w:w="973" w:type="pct"/>
            <w:vAlign w:val="center"/>
          </w:tcPr>
          <w:p w14:paraId="4A6B375B">
            <w:pPr>
              <w:pStyle w:val="28"/>
              <w:bidi w:val="0"/>
              <w:rPr>
                <w:lang w:val="en-GB"/>
              </w:rPr>
            </w:pPr>
            <w:r>
              <w:t>√</w:t>
            </w:r>
          </w:p>
        </w:tc>
        <w:tc>
          <w:tcPr>
            <w:tcW w:w="973" w:type="pct"/>
            <w:vAlign w:val="center"/>
          </w:tcPr>
          <w:p w14:paraId="4D535CE0">
            <w:pPr>
              <w:pStyle w:val="28"/>
              <w:bidi w:val="0"/>
              <w:rPr>
                <w:lang w:val="en-GB"/>
              </w:rPr>
            </w:pPr>
          </w:p>
        </w:tc>
      </w:tr>
      <w:tr w14:paraId="0DE777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028B2047">
            <w:pPr>
              <w:pStyle w:val="28"/>
              <w:bidi w:val="0"/>
            </w:pPr>
            <w:r>
              <w:rPr>
                <w:rFonts w:hint="eastAsia"/>
              </w:rPr>
              <w:t>四</w:t>
            </w:r>
          </w:p>
        </w:tc>
        <w:tc>
          <w:tcPr>
            <w:tcW w:w="831" w:type="pct"/>
            <w:vAlign w:val="center"/>
          </w:tcPr>
          <w:p w14:paraId="127AF004">
            <w:pPr>
              <w:pStyle w:val="28"/>
              <w:bidi w:val="0"/>
            </w:pPr>
            <w:r>
              <w:t>鲇形目</w:t>
            </w:r>
          </w:p>
        </w:tc>
        <w:tc>
          <w:tcPr>
            <w:tcW w:w="693" w:type="pct"/>
            <w:vAlign w:val="center"/>
          </w:tcPr>
          <w:p w14:paraId="2FB72A4A">
            <w:pPr>
              <w:pStyle w:val="28"/>
              <w:bidi w:val="0"/>
              <w:rPr>
                <w:lang w:val="en-GB"/>
              </w:rPr>
            </w:pPr>
          </w:p>
        </w:tc>
        <w:tc>
          <w:tcPr>
            <w:tcW w:w="693" w:type="pct"/>
            <w:vAlign w:val="center"/>
          </w:tcPr>
          <w:p w14:paraId="37E4A932">
            <w:pPr>
              <w:pStyle w:val="28"/>
              <w:bidi w:val="0"/>
              <w:rPr>
                <w:lang w:val="en-GB"/>
              </w:rPr>
            </w:pPr>
          </w:p>
        </w:tc>
        <w:tc>
          <w:tcPr>
            <w:tcW w:w="416" w:type="pct"/>
            <w:vAlign w:val="center"/>
          </w:tcPr>
          <w:p w14:paraId="17024798">
            <w:pPr>
              <w:pStyle w:val="28"/>
              <w:bidi w:val="0"/>
              <w:rPr>
                <w:lang w:val="en-GB"/>
              </w:rPr>
            </w:pPr>
          </w:p>
        </w:tc>
        <w:tc>
          <w:tcPr>
            <w:tcW w:w="973" w:type="pct"/>
            <w:vAlign w:val="center"/>
          </w:tcPr>
          <w:p w14:paraId="07BE2DB9">
            <w:pPr>
              <w:pStyle w:val="28"/>
              <w:bidi w:val="0"/>
              <w:rPr>
                <w:lang w:val="en-GB"/>
              </w:rPr>
            </w:pPr>
          </w:p>
        </w:tc>
        <w:tc>
          <w:tcPr>
            <w:tcW w:w="973" w:type="pct"/>
            <w:vAlign w:val="center"/>
          </w:tcPr>
          <w:p w14:paraId="5EA4B3AA">
            <w:pPr>
              <w:pStyle w:val="28"/>
              <w:bidi w:val="0"/>
              <w:rPr>
                <w:lang w:val="en-GB"/>
              </w:rPr>
            </w:pPr>
          </w:p>
        </w:tc>
      </w:tr>
      <w:tr w14:paraId="0695A03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53DAB5B7">
            <w:pPr>
              <w:pStyle w:val="28"/>
              <w:bidi w:val="0"/>
            </w:pPr>
            <w:r>
              <w:rPr>
                <w:rFonts w:hint="eastAsia"/>
              </w:rPr>
              <w:t>38</w:t>
            </w:r>
          </w:p>
        </w:tc>
        <w:tc>
          <w:tcPr>
            <w:tcW w:w="831" w:type="pct"/>
            <w:vAlign w:val="center"/>
          </w:tcPr>
          <w:p w14:paraId="1DD92FCC">
            <w:pPr>
              <w:pStyle w:val="28"/>
              <w:bidi w:val="0"/>
            </w:pPr>
            <w:r>
              <w:t>鲇鱼</w:t>
            </w:r>
          </w:p>
        </w:tc>
        <w:tc>
          <w:tcPr>
            <w:tcW w:w="693" w:type="pct"/>
            <w:vAlign w:val="center"/>
          </w:tcPr>
          <w:p w14:paraId="6D4C2F36">
            <w:pPr>
              <w:pStyle w:val="28"/>
              <w:bidi w:val="0"/>
              <w:rPr>
                <w:lang w:val="en-GB"/>
              </w:rPr>
            </w:pPr>
            <w:r>
              <w:rPr>
                <w:lang w:val="en-GB"/>
              </w:rPr>
              <w:t>底</w:t>
            </w:r>
          </w:p>
        </w:tc>
        <w:tc>
          <w:tcPr>
            <w:tcW w:w="693" w:type="pct"/>
            <w:vAlign w:val="center"/>
          </w:tcPr>
          <w:p w14:paraId="3B9C6AB6">
            <w:pPr>
              <w:pStyle w:val="28"/>
              <w:bidi w:val="0"/>
              <w:rPr>
                <w:lang w:val="en-GB"/>
              </w:rPr>
            </w:pPr>
            <w:r>
              <w:rPr>
                <w:rFonts w:hint="eastAsia"/>
                <w:lang w:val="en-GB"/>
              </w:rPr>
              <w:t>粘</w:t>
            </w:r>
          </w:p>
        </w:tc>
        <w:tc>
          <w:tcPr>
            <w:tcW w:w="416" w:type="pct"/>
            <w:vAlign w:val="center"/>
          </w:tcPr>
          <w:p w14:paraId="710A0CF7">
            <w:pPr>
              <w:pStyle w:val="28"/>
              <w:bidi w:val="0"/>
              <w:rPr>
                <w:lang w:val="en-GB"/>
              </w:rPr>
            </w:pPr>
            <w:r>
              <w:rPr>
                <w:lang w:val="en-GB"/>
              </w:rPr>
              <w:t>肉</w:t>
            </w:r>
          </w:p>
        </w:tc>
        <w:tc>
          <w:tcPr>
            <w:tcW w:w="973" w:type="pct"/>
            <w:vAlign w:val="center"/>
          </w:tcPr>
          <w:p w14:paraId="5CA93A87">
            <w:pPr>
              <w:pStyle w:val="28"/>
              <w:bidi w:val="0"/>
              <w:rPr>
                <w:lang w:val="en-GB"/>
              </w:rPr>
            </w:pPr>
          </w:p>
        </w:tc>
        <w:tc>
          <w:tcPr>
            <w:tcW w:w="973" w:type="pct"/>
            <w:vAlign w:val="center"/>
          </w:tcPr>
          <w:p w14:paraId="1404ED82">
            <w:pPr>
              <w:pStyle w:val="28"/>
              <w:bidi w:val="0"/>
              <w:rPr>
                <w:lang w:val="en-GB"/>
              </w:rPr>
            </w:pPr>
          </w:p>
        </w:tc>
      </w:tr>
      <w:tr w14:paraId="5E95FF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2A821A14">
            <w:pPr>
              <w:pStyle w:val="28"/>
              <w:bidi w:val="0"/>
            </w:pPr>
            <w:r>
              <w:rPr>
                <w:rFonts w:hint="eastAsia"/>
              </w:rPr>
              <w:t>39</w:t>
            </w:r>
          </w:p>
        </w:tc>
        <w:tc>
          <w:tcPr>
            <w:tcW w:w="831" w:type="pct"/>
            <w:vAlign w:val="center"/>
          </w:tcPr>
          <w:p w14:paraId="490EDDEE">
            <w:pPr>
              <w:pStyle w:val="28"/>
              <w:bidi w:val="0"/>
            </w:pPr>
            <w:r>
              <w:t>黄颡鱼</w:t>
            </w:r>
          </w:p>
        </w:tc>
        <w:tc>
          <w:tcPr>
            <w:tcW w:w="693" w:type="pct"/>
            <w:vAlign w:val="center"/>
          </w:tcPr>
          <w:p w14:paraId="113AA33E">
            <w:pPr>
              <w:pStyle w:val="28"/>
              <w:bidi w:val="0"/>
              <w:rPr>
                <w:lang w:val="en-GB"/>
              </w:rPr>
            </w:pPr>
            <w:r>
              <w:rPr>
                <w:lang w:val="en-GB"/>
              </w:rPr>
              <w:t>底</w:t>
            </w:r>
          </w:p>
        </w:tc>
        <w:tc>
          <w:tcPr>
            <w:tcW w:w="693" w:type="pct"/>
            <w:vAlign w:val="center"/>
          </w:tcPr>
          <w:p w14:paraId="184494CC">
            <w:pPr>
              <w:pStyle w:val="28"/>
              <w:bidi w:val="0"/>
              <w:rPr>
                <w:lang w:val="en-GB"/>
              </w:rPr>
            </w:pPr>
            <w:r>
              <w:rPr>
                <w:rFonts w:hint="eastAsia"/>
                <w:lang w:val="en-GB"/>
              </w:rPr>
              <w:t>粘</w:t>
            </w:r>
          </w:p>
        </w:tc>
        <w:tc>
          <w:tcPr>
            <w:tcW w:w="416" w:type="pct"/>
            <w:vAlign w:val="center"/>
          </w:tcPr>
          <w:p w14:paraId="33F16ADE">
            <w:pPr>
              <w:pStyle w:val="28"/>
              <w:bidi w:val="0"/>
              <w:rPr>
                <w:lang w:val="en-GB"/>
              </w:rPr>
            </w:pPr>
            <w:r>
              <w:rPr>
                <w:lang w:val="en-GB"/>
              </w:rPr>
              <w:t>肉</w:t>
            </w:r>
          </w:p>
        </w:tc>
        <w:tc>
          <w:tcPr>
            <w:tcW w:w="973" w:type="pct"/>
            <w:vAlign w:val="center"/>
          </w:tcPr>
          <w:p w14:paraId="36ECBBC4">
            <w:pPr>
              <w:pStyle w:val="28"/>
              <w:bidi w:val="0"/>
            </w:pPr>
            <w:r>
              <w:t>√</w:t>
            </w:r>
          </w:p>
        </w:tc>
        <w:tc>
          <w:tcPr>
            <w:tcW w:w="973" w:type="pct"/>
            <w:vAlign w:val="center"/>
          </w:tcPr>
          <w:p w14:paraId="29B55158">
            <w:pPr>
              <w:pStyle w:val="28"/>
              <w:bidi w:val="0"/>
            </w:pPr>
            <w:r>
              <w:rPr>
                <w:rFonts w:hint="eastAsia"/>
              </w:rPr>
              <w:t>30.167</w:t>
            </w:r>
          </w:p>
        </w:tc>
      </w:tr>
      <w:tr w14:paraId="36F3E6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756C82A4">
            <w:pPr>
              <w:pStyle w:val="28"/>
              <w:bidi w:val="0"/>
            </w:pPr>
            <w:r>
              <w:rPr>
                <w:rFonts w:hint="eastAsia"/>
              </w:rPr>
              <w:t>五</w:t>
            </w:r>
          </w:p>
        </w:tc>
        <w:tc>
          <w:tcPr>
            <w:tcW w:w="831" w:type="pct"/>
            <w:vAlign w:val="center"/>
          </w:tcPr>
          <w:p w14:paraId="42E71ED8">
            <w:pPr>
              <w:pStyle w:val="28"/>
              <w:bidi w:val="0"/>
            </w:pPr>
            <w:r>
              <w:t>鲈形目</w:t>
            </w:r>
          </w:p>
        </w:tc>
        <w:tc>
          <w:tcPr>
            <w:tcW w:w="693" w:type="pct"/>
            <w:vAlign w:val="center"/>
          </w:tcPr>
          <w:p w14:paraId="07969F2D">
            <w:pPr>
              <w:pStyle w:val="28"/>
              <w:bidi w:val="0"/>
              <w:rPr>
                <w:lang w:val="en-GB"/>
              </w:rPr>
            </w:pPr>
          </w:p>
        </w:tc>
        <w:tc>
          <w:tcPr>
            <w:tcW w:w="693" w:type="pct"/>
            <w:vAlign w:val="center"/>
          </w:tcPr>
          <w:p w14:paraId="046EBC28">
            <w:pPr>
              <w:pStyle w:val="28"/>
              <w:bidi w:val="0"/>
              <w:rPr>
                <w:lang w:val="en-GB"/>
              </w:rPr>
            </w:pPr>
          </w:p>
        </w:tc>
        <w:tc>
          <w:tcPr>
            <w:tcW w:w="416" w:type="pct"/>
            <w:vAlign w:val="center"/>
          </w:tcPr>
          <w:p w14:paraId="02B24841">
            <w:pPr>
              <w:pStyle w:val="28"/>
              <w:bidi w:val="0"/>
              <w:rPr>
                <w:lang w:val="en-GB"/>
              </w:rPr>
            </w:pPr>
          </w:p>
        </w:tc>
        <w:tc>
          <w:tcPr>
            <w:tcW w:w="973" w:type="pct"/>
            <w:vAlign w:val="center"/>
          </w:tcPr>
          <w:p w14:paraId="1909DB35">
            <w:pPr>
              <w:pStyle w:val="28"/>
              <w:bidi w:val="0"/>
              <w:rPr>
                <w:lang w:val="en-GB"/>
              </w:rPr>
            </w:pPr>
          </w:p>
        </w:tc>
        <w:tc>
          <w:tcPr>
            <w:tcW w:w="973" w:type="pct"/>
            <w:vAlign w:val="center"/>
          </w:tcPr>
          <w:p w14:paraId="630ECF99">
            <w:pPr>
              <w:pStyle w:val="28"/>
              <w:bidi w:val="0"/>
              <w:rPr>
                <w:lang w:val="en-GB"/>
              </w:rPr>
            </w:pPr>
          </w:p>
        </w:tc>
      </w:tr>
      <w:tr w14:paraId="42CD80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327ACEF7">
            <w:pPr>
              <w:pStyle w:val="28"/>
              <w:bidi w:val="0"/>
            </w:pPr>
            <w:r>
              <w:rPr>
                <w:rFonts w:hint="eastAsia"/>
              </w:rPr>
              <w:t>40</w:t>
            </w:r>
          </w:p>
        </w:tc>
        <w:tc>
          <w:tcPr>
            <w:tcW w:w="831" w:type="pct"/>
            <w:vAlign w:val="center"/>
          </w:tcPr>
          <w:p w14:paraId="4305DA5B">
            <w:pPr>
              <w:pStyle w:val="28"/>
              <w:bidi w:val="0"/>
            </w:pPr>
            <w:r>
              <w:t>沙塘鳢</w:t>
            </w:r>
          </w:p>
        </w:tc>
        <w:tc>
          <w:tcPr>
            <w:tcW w:w="693" w:type="pct"/>
            <w:vAlign w:val="center"/>
          </w:tcPr>
          <w:p w14:paraId="6751FE75">
            <w:pPr>
              <w:pStyle w:val="28"/>
              <w:bidi w:val="0"/>
              <w:rPr>
                <w:lang w:val="en-GB"/>
              </w:rPr>
            </w:pPr>
            <w:r>
              <w:rPr>
                <w:lang w:val="en-GB"/>
              </w:rPr>
              <w:t>底</w:t>
            </w:r>
          </w:p>
        </w:tc>
        <w:tc>
          <w:tcPr>
            <w:tcW w:w="693" w:type="pct"/>
            <w:vAlign w:val="center"/>
          </w:tcPr>
          <w:p w14:paraId="3AECDF28">
            <w:pPr>
              <w:pStyle w:val="28"/>
              <w:bidi w:val="0"/>
              <w:rPr>
                <w:lang w:val="en-GB"/>
              </w:rPr>
            </w:pPr>
            <w:r>
              <w:rPr>
                <w:rFonts w:hint="eastAsia"/>
                <w:lang w:val="en-GB"/>
              </w:rPr>
              <w:t>粘</w:t>
            </w:r>
          </w:p>
        </w:tc>
        <w:tc>
          <w:tcPr>
            <w:tcW w:w="416" w:type="pct"/>
            <w:vAlign w:val="center"/>
          </w:tcPr>
          <w:p w14:paraId="49AAFCB5">
            <w:pPr>
              <w:pStyle w:val="28"/>
              <w:bidi w:val="0"/>
              <w:rPr>
                <w:lang w:val="en-GB"/>
              </w:rPr>
            </w:pPr>
            <w:r>
              <w:rPr>
                <w:lang w:val="en-GB"/>
              </w:rPr>
              <w:t>肉</w:t>
            </w:r>
          </w:p>
        </w:tc>
        <w:tc>
          <w:tcPr>
            <w:tcW w:w="973" w:type="pct"/>
            <w:vAlign w:val="center"/>
          </w:tcPr>
          <w:p w14:paraId="03AE9EEB">
            <w:pPr>
              <w:pStyle w:val="28"/>
              <w:bidi w:val="0"/>
            </w:pPr>
          </w:p>
        </w:tc>
        <w:tc>
          <w:tcPr>
            <w:tcW w:w="973" w:type="pct"/>
            <w:vAlign w:val="center"/>
          </w:tcPr>
          <w:p w14:paraId="4AA3FE41">
            <w:pPr>
              <w:pStyle w:val="28"/>
              <w:bidi w:val="0"/>
            </w:pPr>
            <w:r>
              <w:rPr>
                <w:rFonts w:hint="eastAsia"/>
              </w:rPr>
              <w:t>305.860</w:t>
            </w:r>
          </w:p>
        </w:tc>
      </w:tr>
      <w:tr w14:paraId="516E8C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 w:hRule="atLeast"/>
          <w:jc w:val="center"/>
        </w:trPr>
        <w:tc>
          <w:tcPr>
            <w:tcW w:w="417" w:type="pct"/>
            <w:vAlign w:val="center"/>
          </w:tcPr>
          <w:p w14:paraId="381BB445">
            <w:pPr>
              <w:pStyle w:val="28"/>
              <w:bidi w:val="0"/>
            </w:pPr>
            <w:r>
              <w:rPr>
                <w:rFonts w:hint="eastAsia"/>
              </w:rPr>
              <w:t>41</w:t>
            </w:r>
          </w:p>
        </w:tc>
        <w:tc>
          <w:tcPr>
            <w:tcW w:w="831" w:type="pct"/>
            <w:vAlign w:val="center"/>
          </w:tcPr>
          <w:p w14:paraId="50795044">
            <w:pPr>
              <w:pStyle w:val="28"/>
              <w:bidi w:val="0"/>
            </w:pPr>
            <w:r>
              <w:t>乌鳢</w:t>
            </w:r>
          </w:p>
        </w:tc>
        <w:tc>
          <w:tcPr>
            <w:tcW w:w="693" w:type="pct"/>
            <w:vAlign w:val="center"/>
          </w:tcPr>
          <w:p w14:paraId="210D3DFE">
            <w:pPr>
              <w:pStyle w:val="28"/>
              <w:bidi w:val="0"/>
              <w:rPr>
                <w:lang w:val="en-GB"/>
              </w:rPr>
            </w:pPr>
            <w:r>
              <w:rPr>
                <w:lang w:val="en-GB"/>
              </w:rPr>
              <w:t>底</w:t>
            </w:r>
          </w:p>
        </w:tc>
        <w:tc>
          <w:tcPr>
            <w:tcW w:w="693" w:type="pct"/>
            <w:vAlign w:val="center"/>
          </w:tcPr>
          <w:p w14:paraId="0B81C4DA">
            <w:pPr>
              <w:pStyle w:val="28"/>
              <w:bidi w:val="0"/>
              <w:rPr>
                <w:lang w:val="en-GB"/>
              </w:rPr>
            </w:pPr>
            <w:r>
              <w:rPr>
                <w:rFonts w:hint="eastAsia"/>
                <w:lang w:val="en-GB"/>
              </w:rPr>
              <w:t>粘</w:t>
            </w:r>
          </w:p>
        </w:tc>
        <w:tc>
          <w:tcPr>
            <w:tcW w:w="416" w:type="pct"/>
            <w:vAlign w:val="center"/>
          </w:tcPr>
          <w:p w14:paraId="2B00F827">
            <w:pPr>
              <w:pStyle w:val="28"/>
              <w:bidi w:val="0"/>
              <w:rPr>
                <w:lang w:val="en-GB"/>
              </w:rPr>
            </w:pPr>
            <w:r>
              <w:rPr>
                <w:lang w:val="en-GB"/>
              </w:rPr>
              <w:t>肉</w:t>
            </w:r>
          </w:p>
        </w:tc>
        <w:tc>
          <w:tcPr>
            <w:tcW w:w="973" w:type="pct"/>
            <w:vAlign w:val="center"/>
          </w:tcPr>
          <w:p w14:paraId="64962521">
            <w:pPr>
              <w:pStyle w:val="28"/>
              <w:bidi w:val="0"/>
              <w:rPr>
                <w:lang w:val="en-GB"/>
              </w:rPr>
            </w:pPr>
            <w:r>
              <w:t>√</w:t>
            </w:r>
          </w:p>
        </w:tc>
        <w:tc>
          <w:tcPr>
            <w:tcW w:w="973" w:type="pct"/>
            <w:vAlign w:val="center"/>
          </w:tcPr>
          <w:p w14:paraId="1D9C9DF6">
            <w:pPr>
              <w:pStyle w:val="28"/>
              <w:bidi w:val="0"/>
              <w:rPr>
                <w:lang w:val="en-GB"/>
              </w:rPr>
            </w:pPr>
          </w:p>
        </w:tc>
      </w:tr>
      <w:tr w14:paraId="57E91A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08E6FAB0">
            <w:pPr>
              <w:pStyle w:val="28"/>
              <w:bidi w:val="0"/>
            </w:pPr>
            <w:r>
              <w:rPr>
                <w:rFonts w:hint="eastAsia"/>
              </w:rPr>
              <w:t>42</w:t>
            </w:r>
          </w:p>
        </w:tc>
        <w:tc>
          <w:tcPr>
            <w:tcW w:w="831" w:type="pct"/>
            <w:vAlign w:val="center"/>
          </w:tcPr>
          <w:p w14:paraId="2C0A0E9E">
            <w:pPr>
              <w:pStyle w:val="28"/>
              <w:bidi w:val="0"/>
            </w:pPr>
            <w:r>
              <w:rPr>
                <w:rFonts w:hint="eastAsia"/>
              </w:rPr>
              <w:t>子陵吻虾虎</w:t>
            </w:r>
          </w:p>
        </w:tc>
        <w:tc>
          <w:tcPr>
            <w:tcW w:w="693" w:type="pct"/>
            <w:vAlign w:val="center"/>
          </w:tcPr>
          <w:p w14:paraId="3A531341">
            <w:pPr>
              <w:pStyle w:val="28"/>
              <w:bidi w:val="0"/>
            </w:pPr>
            <w:r>
              <w:rPr>
                <w:rFonts w:hint="eastAsia"/>
              </w:rPr>
              <w:t>底</w:t>
            </w:r>
          </w:p>
        </w:tc>
        <w:tc>
          <w:tcPr>
            <w:tcW w:w="693" w:type="pct"/>
            <w:vAlign w:val="center"/>
          </w:tcPr>
          <w:p w14:paraId="018F2284">
            <w:pPr>
              <w:pStyle w:val="28"/>
              <w:bidi w:val="0"/>
            </w:pPr>
            <w:r>
              <w:rPr>
                <w:rFonts w:hint="eastAsia"/>
              </w:rPr>
              <w:t>粘</w:t>
            </w:r>
          </w:p>
        </w:tc>
        <w:tc>
          <w:tcPr>
            <w:tcW w:w="416" w:type="pct"/>
            <w:vAlign w:val="center"/>
          </w:tcPr>
          <w:p w14:paraId="6BA8F125">
            <w:pPr>
              <w:pStyle w:val="28"/>
              <w:bidi w:val="0"/>
            </w:pPr>
            <w:r>
              <w:rPr>
                <w:rFonts w:hint="eastAsia"/>
              </w:rPr>
              <w:t>次肉</w:t>
            </w:r>
          </w:p>
        </w:tc>
        <w:tc>
          <w:tcPr>
            <w:tcW w:w="973" w:type="pct"/>
            <w:vAlign w:val="center"/>
          </w:tcPr>
          <w:p w14:paraId="4AB1B3D9">
            <w:pPr>
              <w:pStyle w:val="28"/>
              <w:bidi w:val="0"/>
            </w:pPr>
            <w:r>
              <w:t>√</w:t>
            </w:r>
          </w:p>
        </w:tc>
        <w:tc>
          <w:tcPr>
            <w:tcW w:w="973" w:type="pct"/>
            <w:vAlign w:val="center"/>
          </w:tcPr>
          <w:p w14:paraId="51D0BEF6">
            <w:pPr>
              <w:pStyle w:val="28"/>
              <w:bidi w:val="0"/>
            </w:pPr>
            <w:r>
              <w:rPr>
                <w:rFonts w:hint="eastAsia"/>
              </w:rPr>
              <w:t>287.458</w:t>
            </w:r>
          </w:p>
        </w:tc>
      </w:tr>
      <w:tr w14:paraId="4AFB3E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 w:hRule="atLeast"/>
          <w:jc w:val="center"/>
        </w:trPr>
        <w:tc>
          <w:tcPr>
            <w:tcW w:w="417" w:type="pct"/>
            <w:vAlign w:val="center"/>
          </w:tcPr>
          <w:p w14:paraId="1687747E">
            <w:pPr>
              <w:pStyle w:val="28"/>
              <w:bidi w:val="0"/>
            </w:pPr>
            <w:r>
              <w:rPr>
                <w:rFonts w:hint="eastAsia"/>
              </w:rPr>
              <w:t>43</w:t>
            </w:r>
          </w:p>
        </w:tc>
        <w:tc>
          <w:tcPr>
            <w:tcW w:w="831" w:type="pct"/>
            <w:vAlign w:val="center"/>
          </w:tcPr>
          <w:p w14:paraId="69B5C1FD">
            <w:pPr>
              <w:pStyle w:val="28"/>
              <w:bidi w:val="0"/>
            </w:pPr>
            <w:r>
              <w:rPr>
                <w:rFonts w:hint="eastAsia"/>
              </w:rPr>
              <w:t>黄黝</w:t>
            </w:r>
          </w:p>
        </w:tc>
        <w:tc>
          <w:tcPr>
            <w:tcW w:w="693" w:type="pct"/>
            <w:vAlign w:val="center"/>
          </w:tcPr>
          <w:p w14:paraId="6C8CC9F5">
            <w:pPr>
              <w:pStyle w:val="28"/>
              <w:bidi w:val="0"/>
            </w:pPr>
            <w:r>
              <w:rPr>
                <w:rFonts w:hint="eastAsia"/>
              </w:rPr>
              <w:t>底</w:t>
            </w:r>
          </w:p>
        </w:tc>
        <w:tc>
          <w:tcPr>
            <w:tcW w:w="693" w:type="pct"/>
            <w:vAlign w:val="center"/>
          </w:tcPr>
          <w:p w14:paraId="47405EFC">
            <w:pPr>
              <w:pStyle w:val="28"/>
              <w:bidi w:val="0"/>
            </w:pPr>
            <w:r>
              <w:rPr>
                <w:rFonts w:hint="eastAsia"/>
              </w:rPr>
              <w:t>粘</w:t>
            </w:r>
          </w:p>
        </w:tc>
        <w:tc>
          <w:tcPr>
            <w:tcW w:w="416" w:type="pct"/>
            <w:vAlign w:val="center"/>
          </w:tcPr>
          <w:p w14:paraId="21530DED">
            <w:pPr>
              <w:pStyle w:val="28"/>
              <w:bidi w:val="0"/>
            </w:pPr>
            <w:r>
              <w:rPr>
                <w:rFonts w:hint="eastAsia"/>
              </w:rPr>
              <w:t>杂</w:t>
            </w:r>
          </w:p>
        </w:tc>
        <w:tc>
          <w:tcPr>
            <w:tcW w:w="973" w:type="pct"/>
            <w:vAlign w:val="center"/>
          </w:tcPr>
          <w:p w14:paraId="2EA0143A">
            <w:pPr>
              <w:pStyle w:val="28"/>
              <w:bidi w:val="0"/>
            </w:pPr>
            <w:r>
              <w:t>√</w:t>
            </w:r>
          </w:p>
        </w:tc>
        <w:tc>
          <w:tcPr>
            <w:tcW w:w="973" w:type="pct"/>
            <w:vAlign w:val="center"/>
          </w:tcPr>
          <w:p w14:paraId="5B4ED31C">
            <w:pPr>
              <w:pStyle w:val="28"/>
              <w:bidi w:val="0"/>
            </w:pPr>
            <w:r>
              <w:rPr>
                <w:rFonts w:hint="eastAsia"/>
              </w:rPr>
              <w:t>43.635</w:t>
            </w:r>
          </w:p>
        </w:tc>
      </w:tr>
      <w:tr w14:paraId="550687D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611DB9A3">
            <w:pPr>
              <w:pStyle w:val="28"/>
              <w:bidi w:val="0"/>
            </w:pPr>
            <w:r>
              <w:rPr>
                <w:rFonts w:hint="eastAsia"/>
              </w:rPr>
              <w:t>44</w:t>
            </w:r>
          </w:p>
        </w:tc>
        <w:tc>
          <w:tcPr>
            <w:tcW w:w="831" w:type="pct"/>
            <w:vAlign w:val="center"/>
          </w:tcPr>
          <w:p w14:paraId="217176AE">
            <w:pPr>
              <w:pStyle w:val="28"/>
              <w:bidi w:val="0"/>
            </w:pPr>
            <w:r>
              <w:rPr>
                <w:rFonts w:hint="eastAsia"/>
              </w:rPr>
              <w:t>波氏吻虾虎</w:t>
            </w:r>
          </w:p>
        </w:tc>
        <w:tc>
          <w:tcPr>
            <w:tcW w:w="693" w:type="pct"/>
            <w:vAlign w:val="center"/>
          </w:tcPr>
          <w:p w14:paraId="6A858052">
            <w:pPr>
              <w:pStyle w:val="28"/>
              <w:bidi w:val="0"/>
            </w:pPr>
            <w:r>
              <w:rPr>
                <w:rFonts w:hint="eastAsia"/>
              </w:rPr>
              <w:t>底</w:t>
            </w:r>
          </w:p>
        </w:tc>
        <w:tc>
          <w:tcPr>
            <w:tcW w:w="693" w:type="pct"/>
            <w:vAlign w:val="center"/>
          </w:tcPr>
          <w:p w14:paraId="5FE3117D">
            <w:pPr>
              <w:pStyle w:val="28"/>
              <w:bidi w:val="0"/>
            </w:pPr>
            <w:r>
              <w:rPr>
                <w:rFonts w:hint="eastAsia"/>
              </w:rPr>
              <w:t>沉</w:t>
            </w:r>
          </w:p>
        </w:tc>
        <w:tc>
          <w:tcPr>
            <w:tcW w:w="416" w:type="pct"/>
            <w:vAlign w:val="center"/>
          </w:tcPr>
          <w:p w14:paraId="4BAA534D">
            <w:pPr>
              <w:pStyle w:val="28"/>
              <w:bidi w:val="0"/>
            </w:pPr>
            <w:r>
              <w:rPr>
                <w:rFonts w:hint="eastAsia"/>
              </w:rPr>
              <w:t>肉</w:t>
            </w:r>
          </w:p>
        </w:tc>
        <w:tc>
          <w:tcPr>
            <w:tcW w:w="973" w:type="pct"/>
            <w:vAlign w:val="center"/>
          </w:tcPr>
          <w:p w14:paraId="7D602917">
            <w:pPr>
              <w:pStyle w:val="28"/>
              <w:bidi w:val="0"/>
            </w:pPr>
          </w:p>
        </w:tc>
        <w:tc>
          <w:tcPr>
            <w:tcW w:w="973" w:type="pct"/>
            <w:vAlign w:val="center"/>
          </w:tcPr>
          <w:p w14:paraId="0CFE5DF6">
            <w:pPr>
              <w:pStyle w:val="28"/>
              <w:bidi w:val="0"/>
            </w:pPr>
          </w:p>
        </w:tc>
      </w:tr>
      <w:tr w14:paraId="14247AD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 w:hRule="atLeast"/>
          <w:jc w:val="center"/>
        </w:trPr>
        <w:tc>
          <w:tcPr>
            <w:tcW w:w="417" w:type="pct"/>
            <w:vAlign w:val="center"/>
          </w:tcPr>
          <w:p w14:paraId="320B7AAC">
            <w:pPr>
              <w:pStyle w:val="28"/>
              <w:bidi w:val="0"/>
            </w:pPr>
            <w:r>
              <w:rPr>
                <w:rFonts w:hint="eastAsia"/>
              </w:rPr>
              <w:t>45</w:t>
            </w:r>
          </w:p>
        </w:tc>
        <w:tc>
          <w:tcPr>
            <w:tcW w:w="831" w:type="pct"/>
            <w:vAlign w:val="center"/>
          </w:tcPr>
          <w:p w14:paraId="6E3FA666">
            <w:pPr>
              <w:pStyle w:val="28"/>
              <w:bidi w:val="0"/>
            </w:pPr>
            <w:r>
              <w:rPr>
                <w:rFonts w:hint="eastAsia"/>
              </w:rPr>
              <w:t>鳜鱼</w:t>
            </w:r>
          </w:p>
        </w:tc>
        <w:tc>
          <w:tcPr>
            <w:tcW w:w="693" w:type="pct"/>
            <w:vAlign w:val="center"/>
          </w:tcPr>
          <w:p w14:paraId="762C2A23">
            <w:pPr>
              <w:pStyle w:val="28"/>
              <w:bidi w:val="0"/>
            </w:pPr>
            <w:r>
              <w:rPr>
                <w:rFonts w:hint="eastAsia"/>
              </w:rPr>
              <w:t>中下</w:t>
            </w:r>
          </w:p>
        </w:tc>
        <w:tc>
          <w:tcPr>
            <w:tcW w:w="693" w:type="pct"/>
            <w:vAlign w:val="center"/>
          </w:tcPr>
          <w:p w14:paraId="5D820AC9">
            <w:pPr>
              <w:pStyle w:val="28"/>
              <w:bidi w:val="0"/>
            </w:pPr>
            <w:r>
              <w:rPr>
                <w:rFonts w:hint="eastAsia"/>
              </w:rPr>
              <w:t>漂</w:t>
            </w:r>
          </w:p>
        </w:tc>
        <w:tc>
          <w:tcPr>
            <w:tcW w:w="416" w:type="pct"/>
            <w:vAlign w:val="center"/>
          </w:tcPr>
          <w:p w14:paraId="573BD9A2">
            <w:pPr>
              <w:pStyle w:val="28"/>
              <w:bidi w:val="0"/>
            </w:pPr>
            <w:r>
              <w:rPr>
                <w:rFonts w:hint="eastAsia"/>
              </w:rPr>
              <w:t>肉</w:t>
            </w:r>
          </w:p>
        </w:tc>
        <w:tc>
          <w:tcPr>
            <w:tcW w:w="973" w:type="pct"/>
            <w:vAlign w:val="center"/>
          </w:tcPr>
          <w:p w14:paraId="6D1EEDD5">
            <w:pPr>
              <w:pStyle w:val="28"/>
              <w:bidi w:val="0"/>
            </w:pPr>
          </w:p>
        </w:tc>
        <w:tc>
          <w:tcPr>
            <w:tcW w:w="973" w:type="pct"/>
            <w:vAlign w:val="center"/>
          </w:tcPr>
          <w:p w14:paraId="4E99BB13">
            <w:pPr>
              <w:pStyle w:val="28"/>
              <w:bidi w:val="0"/>
            </w:pPr>
          </w:p>
        </w:tc>
      </w:tr>
      <w:tr w14:paraId="20A272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417" w:type="pct"/>
            <w:vAlign w:val="center"/>
          </w:tcPr>
          <w:p w14:paraId="64AE526B">
            <w:pPr>
              <w:pStyle w:val="28"/>
              <w:bidi w:val="0"/>
            </w:pPr>
            <w:r>
              <w:rPr>
                <w:rFonts w:hint="eastAsia"/>
              </w:rPr>
              <w:t>46</w:t>
            </w:r>
          </w:p>
        </w:tc>
        <w:tc>
          <w:tcPr>
            <w:tcW w:w="831" w:type="pct"/>
            <w:vAlign w:val="center"/>
          </w:tcPr>
          <w:p w14:paraId="65469D96">
            <w:pPr>
              <w:pStyle w:val="28"/>
              <w:bidi w:val="0"/>
            </w:pPr>
            <w:r>
              <w:rPr>
                <w:rFonts w:hint="eastAsia"/>
              </w:rPr>
              <w:t>拟鲿</w:t>
            </w:r>
          </w:p>
        </w:tc>
        <w:tc>
          <w:tcPr>
            <w:tcW w:w="693" w:type="pct"/>
            <w:vAlign w:val="center"/>
          </w:tcPr>
          <w:p w14:paraId="08DA0356">
            <w:pPr>
              <w:pStyle w:val="28"/>
              <w:bidi w:val="0"/>
            </w:pPr>
            <w:r>
              <w:rPr>
                <w:rFonts w:hint="eastAsia"/>
              </w:rPr>
              <w:t>底</w:t>
            </w:r>
          </w:p>
        </w:tc>
        <w:tc>
          <w:tcPr>
            <w:tcW w:w="693" w:type="pct"/>
            <w:vAlign w:val="center"/>
          </w:tcPr>
          <w:p w14:paraId="7775BCF4">
            <w:pPr>
              <w:pStyle w:val="28"/>
              <w:bidi w:val="0"/>
            </w:pPr>
            <w:r>
              <w:rPr>
                <w:rFonts w:hint="eastAsia"/>
              </w:rPr>
              <w:t>浮</w:t>
            </w:r>
          </w:p>
        </w:tc>
        <w:tc>
          <w:tcPr>
            <w:tcW w:w="416" w:type="pct"/>
            <w:vAlign w:val="center"/>
          </w:tcPr>
          <w:p w14:paraId="0CE74C6D">
            <w:pPr>
              <w:pStyle w:val="28"/>
              <w:bidi w:val="0"/>
            </w:pPr>
            <w:r>
              <w:rPr>
                <w:rFonts w:hint="eastAsia"/>
              </w:rPr>
              <w:t>杂</w:t>
            </w:r>
          </w:p>
        </w:tc>
        <w:tc>
          <w:tcPr>
            <w:tcW w:w="973" w:type="pct"/>
            <w:vAlign w:val="center"/>
          </w:tcPr>
          <w:p w14:paraId="44E10403">
            <w:pPr>
              <w:pStyle w:val="28"/>
              <w:bidi w:val="0"/>
            </w:pPr>
          </w:p>
        </w:tc>
        <w:tc>
          <w:tcPr>
            <w:tcW w:w="973" w:type="pct"/>
            <w:vAlign w:val="center"/>
          </w:tcPr>
          <w:p w14:paraId="21432603">
            <w:pPr>
              <w:pStyle w:val="28"/>
              <w:bidi w:val="0"/>
            </w:pPr>
          </w:p>
        </w:tc>
      </w:tr>
      <w:tr w14:paraId="0D3C7DE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40" w:hRule="atLeast"/>
          <w:jc w:val="center"/>
        </w:trPr>
        <w:tc>
          <w:tcPr>
            <w:tcW w:w="417" w:type="pct"/>
            <w:vAlign w:val="center"/>
          </w:tcPr>
          <w:p w14:paraId="32405A10">
            <w:pPr>
              <w:pStyle w:val="28"/>
              <w:bidi w:val="0"/>
            </w:pPr>
            <w:r>
              <w:rPr>
                <w:rFonts w:hint="eastAsia"/>
              </w:rPr>
              <w:t>六</w:t>
            </w:r>
          </w:p>
        </w:tc>
        <w:tc>
          <w:tcPr>
            <w:tcW w:w="831" w:type="pct"/>
            <w:vAlign w:val="center"/>
          </w:tcPr>
          <w:p w14:paraId="5C39383E">
            <w:pPr>
              <w:pStyle w:val="28"/>
              <w:bidi w:val="0"/>
            </w:pPr>
            <w:r>
              <w:rPr>
                <w:rFonts w:hint="eastAsia"/>
              </w:rPr>
              <w:t>鲱形目</w:t>
            </w:r>
          </w:p>
        </w:tc>
        <w:tc>
          <w:tcPr>
            <w:tcW w:w="693" w:type="pct"/>
            <w:vAlign w:val="center"/>
          </w:tcPr>
          <w:p w14:paraId="0E386041">
            <w:pPr>
              <w:pStyle w:val="28"/>
              <w:bidi w:val="0"/>
            </w:pPr>
          </w:p>
        </w:tc>
        <w:tc>
          <w:tcPr>
            <w:tcW w:w="693" w:type="pct"/>
            <w:vAlign w:val="center"/>
          </w:tcPr>
          <w:p w14:paraId="20B04D0B">
            <w:pPr>
              <w:pStyle w:val="28"/>
              <w:bidi w:val="0"/>
            </w:pPr>
          </w:p>
        </w:tc>
        <w:tc>
          <w:tcPr>
            <w:tcW w:w="416" w:type="pct"/>
            <w:vAlign w:val="center"/>
          </w:tcPr>
          <w:p w14:paraId="37A5D77D">
            <w:pPr>
              <w:pStyle w:val="28"/>
              <w:bidi w:val="0"/>
            </w:pPr>
          </w:p>
        </w:tc>
        <w:tc>
          <w:tcPr>
            <w:tcW w:w="973" w:type="pct"/>
            <w:vAlign w:val="center"/>
          </w:tcPr>
          <w:p w14:paraId="6A0989D8">
            <w:pPr>
              <w:pStyle w:val="28"/>
              <w:bidi w:val="0"/>
            </w:pPr>
          </w:p>
        </w:tc>
        <w:tc>
          <w:tcPr>
            <w:tcW w:w="973" w:type="pct"/>
            <w:vAlign w:val="center"/>
          </w:tcPr>
          <w:p w14:paraId="7E4E428B">
            <w:pPr>
              <w:pStyle w:val="28"/>
              <w:bidi w:val="0"/>
            </w:pPr>
          </w:p>
        </w:tc>
      </w:tr>
      <w:tr w14:paraId="13EFD810">
        <w:tblPrEx>
          <w:tblCellMar>
            <w:top w:w="0" w:type="dxa"/>
            <w:left w:w="108" w:type="dxa"/>
            <w:bottom w:w="0" w:type="dxa"/>
            <w:right w:w="108" w:type="dxa"/>
          </w:tblCellMar>
        </w:tblPrEx>
        <w:trPr>
          <w:trHeight w:val="340" w:hRule="atLeast"/>
          <w:jc w:val="center"/>
        </w:trPr>
        <w:tc>
          <w:tcPr>
            <w:tcW w:w="417" w:type="pct"/>
            <w:vAlign w:val="center"/>
          </w:tcPr>
          <w:p w14:paraId="4F301498">
            <w:pPr>
              <w:pStyle w:val="28"/>
              <w:bidi w:val="0"/>
            </w:pPr>
            <w:r>
              <w:rPr>
                <w:rFonts w:hint="eastAsia"/>
              </w:rPr>
              <w:t>47</w:t>
            </w:r>
          </w:p>
        </w:tc>
        <w:tc>
          <w:tcPr>
            <w:tcW w:w="831" w:type="pct"/>
            <w:vAlign w:val="center"/>
          </w:tcPr>
          <w:p w14:paraId="654B025F">
            <w:pPr>
              <w:pStyle w:val="28"/>
              <w:bidi w:val="0"/>
            </w:pPr>
            <w:r>
              <w:rPr>
                <w:rFonts w:hint="eastAsia"/>
              </w:rPr>
              <w:t>短颌鲚</w:t>
            </w:r>
          </w:p>
        </w:tc>
        <w:tc>
          <w:tcPr>
            <w:tcW w:w="693" w:type="pct"/>
            <w:vAlign w:val="center"/>
          </w:tcPr>
          <w:p w14:paraId="72175F7F">
            <w:pPr>
              <w:pStyle w:val="28"/>
              <w:bidi w:val="0"/>
            </w:pPr>
            <w:r>
              <w:rPr>
                <w:rFonts w:hint="eastAsia"/>
              </w:rPr>
              <w:t>中下</w:t>
            </w:r>
          </w:p>
        </w:tc>
        <w:tc>
          <w:tcPr>
            <w:tcW w:w="693" w:type="pct"/>
            <w:vAlign w:val="center"/>
          </w:tcPr>
          <w:p w14:paraId="4D374500">
            <w:pPr>
              <w:pStyle w:val="28"/>
              <w:bidi w:val="0"/>
            </w:pPr>
            <w:r>
              <w:rPr>
                <w:rFonts w:hint="eastAsia"/>
              </w:rPr>
              <w:t>浮</w:t>
            </w:r>
          </w:p>
        </w:tc>
        <w:tc>
          <w:tcPr>
            <w:tcW w:w="416" w:type="pct"/>
            <w:vAlign w:val="center"/>
          </w:tcPr>
          <w:p w14:paraId="6D8267FF">
            <w:pPr>
              <w:pStyle w:val="28"/>
              <w:bidi w:val="0"/>
            </w:pPr>
            <w:r>
              <w:rPr>
                <w:rFonts w:hint="eastAsia"/>
              </w:rPr>
              <w:t>肉</w:t>
            </w:r>
          </w:p>
        </w:tc>
        <w:tc>
          <w:tcPr>
            <w:tcW w:w="973" w:type="pct"/>
            <w:vAlign w:val="center"/>
          </w:tcPr>
          <w:p w14:paraId="0B57DB23">
            <w:pPr>
              <w:pStyle w:val="28"/>
              <w:bidi w:val="0"/>
            </w:pPr>
          </w:p>
        </w:tc>
        <w:tc>
          <w:tcPr>
            <w:tcW w:w="973" w:type="pct"/>
            <w:vAlign w:val="center"/>
          </w:tcPr>
          <w:p w14:paraId="46583FD7">
            <w:pPr>
              <w:pStyle w:val="28"/>
              <w:bidi w:val="0"/>
            </w:pPr>
          </w:p>
        </w:tc>
      </w:tr>
    </w:tbl>
    <w:p w14:paraId="1977006E">
      <w:pPr>
        <w:autoSpaceDE w:val="0"/>
        <w:autoSpaceDN w:val="0"/>
        <w:spacing w:line="240" w:lineRule="auto"/>
        <w:jc w:val="center"/>
        <w:rPr>
          <w:rFonts w:cs="Times New Roman"/>
          <w:sz w:val="21"/>
          <w:szCs w:val="21"/>
        </w:rPr>
      </w:pPr>
    </w:p>
    <w:p w14:paraId="36B26E0E">
      <w:pPr>
        <w:pStyle w:val="5"/>
        <w:bidi w:val="0"/>
      </w:pPr>
      <w:r>
        <w:t>4.3.4.4</w:t>
      </w:r>
      <w:r>
        <w:rPr>
          <w:rFonts w:hint="eastAsia"/>
          <w:lang w:val="en-US" w:eastAsia="zh-CN"/>
        </w:rPr>
        <w:t xml:space="preserve"> </w:t>
      </w:r>
      <w:r>
        <w:t>底栖动物</w:t>
      </w:r>
    </w:p>
    <w:p w14:paraId="3561E820">
      <w:pPr>
        <w:rPr>
          <w:rFonts w:cs="Times New Roman"/>
        </w:rPr>
      </w:pPr>
      <w:r>
        <w:rPr>
          <w:rFonts w:cs="Times New Roman"/>
        </w:rPr>
        <w:t>（1）种类组成和群落特征</w:t>
      </w:r>
    </w:p>
    <w:p w14:paraId="3406D860">
      <w:pPr>
        <w:ind w:firstLine="480"/>
        <w:rPr>
          <w:rFonts w:eastAsia="PMingLiU" w:cs="Times New Roman"/>
          <w:color w:val="0000FF"/>
          <w:lang w:val="zh-TW" w:eastAsia="zh-TW" w:bidi="zh-TW"/>
        </w:rPr>
      </w:pPr>
      <w:r>
        <w:rPr>
          <w:rFonts w:cs="Times New Roman"/>
          <w:color w:val="0000FF"/>
          <w:lang w:bidi="zh-TW"/>
        </w:rPr>
        <w:t>评价区共调查到</w:t>
      </w:r>
      <w:r>
        <w:rPr>
          <w:rFonts w:cs="Times New Roman"/>
          <w:color w:val="0000FF"/>
          <w:lang w:val="zh-TW" w:eastAsia="zh-TW" w:bidi="zh-TW"/>
        </w:rPr>
        <w:t>底栖</w:t>
      </w:r>
      <w:r>
        <w:rPr>
          <w:rFonts w:cs="Times New Roman"/>
          <w:color w:val="0000FF"/>
          <w:lang w:bidi="zh-TW"/>
        </w:rPr>
        <w:t>动物隶属于19</w:t>
      </w:r>
      <w:r>
        <w:rPr>
          <w:rFonts w:cs="Times New Roman"/>
          <w:color w:val="0000FF"/>
          <w:lang w:val="zh-TW" w:eastAsia="zh-TW" w:bidi="zh-TW"/>
        </w:rPr>
        <w:t>个分类单元，</w:t>
      </w:r>
      <w:r>
        <w:rPr>
          <w:rFonts w:cs="Times New Roman"/>
          <w:color w:val="0000FF"/>
          <w:lang w:bidi="zh-TW"/>
        </w:rPr>
        <w:t>包括</w:t>
      </w:r>
      <w:r>
        <w:rPr>
          <w:rFonts w:cs="Times New Roman"/>
          <w:color w:val="0000FF"/>
          <w:lang w:val="zh-TW" w:eastAsia="zh-TW" w:bidi="zh-TW"/>
        </w:rPr>
        <w:t>3门13科</w:t>
      </w:r>
      <w:r>
        <w:rPr>
          <w:rFonts w:cs="Times New Roman"/>
          <w:color w:val="0000FF"/>
          <w:lang w:bidi="zh-TW"/>
        </w:rPr>
        <w:t>12属11种（部分样品仅能鉴定到科、属）</w:t>
      </w:r>
      <w:r>
        <w:rPr>
          <w:rFonts w:cs="Times New Roman"/>
          <w:color w:val="0000FF"/>
          <w:lang w:val="zh-TW" w:bidi="zh-TW"/>
        </w:rPr>
        <w:t>，</w:t>
      </w:r>
      <w:r>
        <w:rPr>
          <w:rFonts w:cs="Times New Roman"/>
          <w:color w:val="0000FF"/>
          <w:lang w:bidi="zh-TW"/>
        </w:rPr>
        <w:t>3个门类分别为软体动物门、节肢动物门、环节动物门，</w:t>
      </w:r>
      <w:r>
        <w:rPr>
          <w:rFonts w:cs="Times New Roman"/>
          <w:color w:val="0000FF"/>
          <w:lang w:val="zh-TW" w:eastAsia="zh-TW" w:bidi="zh-TW"/>
        </w:rPr>
        <w:t>其中，</w:t>
      </w:r>
      <w:r>
        <w:rPr>
          <w:rFonts w:cs="Times New Roman"/>
          <w:color w:val="0000FF"/>
          <w:lang w:bidi="zh-TW"/>
        </w:rPr>
        <w:t>软体动物门有5</w:t>
      </w:r>
      <w:r>
        <w:rPr>
          <w:rFonts w:cs="Times New Roman"/>
          <w:color w:val="0000FF"/>
          <w:lang w:val="zh-TW" w:eastAsia="zh-TW" w:bidi="zh-TW"/>
        </w:rPr>
        <w:t>科</w:t>
      </w:r>
      <w:r>
        <w:rPr>
          <w:rFonts w:cs="Times New Roman"/>
          <w:color w:val="0000FF"/>
          <w:lang w:bidi="zh-TW"/>
        </w:rPr>
        <w:t>6属8</w:t>
      </w:r>
      <w:r>
        <w:rPr>
          <w:rFonts w:cs="Times New Roman"/>
          <w:color w:val="0000FF"/>
          <w:lang w:val="zh-TW" w:eastAsia="zh-TW" w:bidi="zh-TW"/>
        </w:rPr>
        <w:t>种，占总物种数的42.11%；节肢动物门有</w:t>
      </w:r>
      <w:r>
        <w:rPr>
          <w:rFonts w:cs="Times New Roman"/>
          <w:color w:val="0000FF"/>
          <w:lang w:val="zh-TW" w:bidi="zh-TW"/>
        </w:rPr>
        <w:t>7科9属1</w:t>
      </w:r>
      <w:r>
        <w:rPr>
          <w:rFonts w:cs="Times New Roman"/>
          <w:color w:val="0000FF"/>
          <w:lang w:val="zh-TW" w:eastAsia="zh-TW" w:bidi="zh-TW"/>
        </w:rPr>
        <w:t>0种</w:t>
      </w:r>
      <w:r>
        <w:rPr>
          <w:rFonts w:cs="Times New Roman"/>
          <w:color w:val="0000FF"/>
          <w:lang w:val="zh-TW" w:bidi="zh-TW"/>
        </w:rPr>
        <w:t>，</w:t>
      </w:r>
      <w:r>
        <w:rPr>
          <w:rFonts w:cs="Times New Roman"/>
          <w:color w:val="0000FF"/>
          <w:lang w:val="zh-TW" w:eastAsia="zh-TW" w:bidi="zh-TW"/>
        </w:rPr>
        <w:t>占总物种数的</w:t>
      </w:r>
      <w:r>
        <w:rPr>
          <w:rFonts w:cs="Times New Roman"/>
          <w:color w:val="0000FF"/>
          <w:lang w:val="zh-TW" w:bidi="zh-TW"/>
        </w:rPr>
        <w:t>5</w:t>
      </w:r>
      <w:r>
        <w:rPr>
          <w:rFonts w:eastAsia="PMingLiU" w:cs="Times New Roman"/>
          <w:color w:val="0000FF"/>
          <w:lang w:val="zh-TW" w:eastAsia="zh-TW" w:bidi="zh-TW"/>
        </w:rPr>
        <w:t>2.63%</w:t>
      </w:r>
      <w:r>
        <w:rPr>
          <w:rFonts w:cs="Times New Roman"/>
          <w:color w:val="0000FF"/>
          <w:lang w:val="zh-TW" w:eastAsia="zh-TW" w:bidi="zh-TW"/>
        </w:rPr>
        <w:t>，环节动物门有</w:t>
      </w:r>
      <w:r>
        <w:rPr>
          <w:rFonts w:cs="Times New Roman"/>
          <w:color w:val="0000FF"/>
          <w:lang w:val="zh-TW" w:bidi="zh-TW"/>
        </w:rPr>
        <w:t>1科1属1种，占总物种数的5</w:t>
      </w:r>
      <w:r>
        <w:rPr>
          <w:rFonts w:eastAsia="PMingLiU" w:cs="Times New Roman"/>
          <w:color w:val="0000FF"/>
          <w:lang w:val="zh-TW" w:eastAsia="zh-TW" w:bidi="zh-TW"/>
        </w:rPr>
        <w:t>.26%</w:t>
      </w:r>
      <w:r>
        <w:rPr>
          <w:rFonts w:cs="Times New Roman"/>
          <w:color w:val="0000FF"/>
          <w:lang w:val="zh-TW" w:eastAsia="zh-TW" w:bidi="zh-TW"/>
        </w:rPr>
        <w:t>。</w:t>
      </w:r>
    </w:p>
    <w:p w14:paraId="4C31426C">
      <w:pPr>
        <w:ind w:firstLine="480"/>
        <w:rPr>
          <w:rFonts w:cs="Times New Roman"/>
          <w:lang w:bidi="zh-TW"/>
        </w:rPr>
      </w:pPr>
      <w:r>
        <w:rPr>
          <w:rFonts w:cs="Times New Roman"/>
          <w:lang w:bidi="zh-TW"/>
        </w:rPr>
        <w:t>不同类群中，</w:t>
      </w:r>
      <w:r>
        <w:rPr>
          <w:rFonts w:cs="Times New Roman"/>
          <w:lang w:val="zh-TW" w:eastAsia="zh-TW" w:bidi="zh-TW"/>
        </w:rPr>
        <w:t>铜锈环棱螺</w:t>
      </w:r>
      <w:r>
        <w:rPr>
          <w:rFonts w:cs="Times New Roman"/>
          <w:lang w:val="zh-TW" w:bidi="zh-TW"/>
        </w:rPr>
        <w:t>、</w:t>
      </w:r>
      <w:r>
        <w:rPr>
          <w:rFonts w:hint="eastAsia" w:cs="Times New Roman"/>
          <w:szCs w:val="21"/>
        </w:rPr>
        <w:t>克氏原螯虾、</w:t>
      </w:r>
      <w:r>
        <w:rPr>
          <w:rFonts w:cs="Times New Roman"/>
          <w:lang w:val="zh-TW" w:eastAsia="zh-TW" w:bidi="zh-TW"/>
        </w:rPr>
        <w:t>椭圆萝卜螺</w:t>
      </w:r>
      <w:r>
        <w:rPr>
          <w:rFonts w:cs="Times New Roman"/>
          <w:lang w:bidi="zh-TW"/>
        </w:rPr>
        <w:t>为优势种，其余底栖动物均为常见种（表</w:t>
      </w:r>
      <w:r>
        <w:rPr>
          <w:rFonts w:hint="eastAsia" w:cs="Times New Roman"/>
          <w:lang w:eastAsia="zh-CN" w:bidi="zh-TW"/>
        </w:rPr>
        <w:t>4.3</w:t>
      </w:r>
      <w:r>
        <w:rPr>
          <w:rFonts w:cs="Times New Roman"/>
          <w:lang w:bidi="zh-TW"/>
        </w:rPr>
        <w:t>-12）。</w:t>
      </w:r>
    </w:p>
    <w:p w14:paraId="0CED2162">
      <w:pPr>
        <w:ind w:firstLine="480"/>
        <w:rPr>
          <w:rFonts w:cs="Times New Roman"/>
          <w:lang w:bidi="zh-TW"/>
        </w:rPr>
      </w:pPr>
      <w:r>
        <w:rPr>
          <w:rFonts w:cs="Times New Roman"/>
          <w:lang w:bidi="zh-TW"/>
        </w:rPr>
        <w:t>调查到的底栖动物均不属于国家和省级重点保护野生动物、均不属于濒危物种、均不属于中国特有种。</w:t>
      </w:r>
    </w:p>
    <w:p w14:paraId="31CA5DAA">
      <w:pPr>
        <w:rPr>
          <w:rFonts w:cs="Times New Roman"/>
        </w:rPr>
      </w:pPr>
      <w:r>
        <w:rPr>
          <w:rFonts w:cs="Times New Roman"/>
        </w:rPr>
        <w:t>（2）密度、生物量</w:t>
      </w:r>
    </w:p>
    <w:p w14:paraId="3A98120C">
      <w:pPr>
        <w:ind w:firstLine="480"/>
        <w:rPr>
          <w:rFonts w:cs="Times New Roman"/>
          <w:color w:val="0000FF"/>
        </w:rPr>
      </w:pPr>
      <w:r>
        <w:rPr>
          <w:rFonts w:cs="Times New Roman"/>
          <w:color w:val="0000FF"/>
        </w:rPr>
        <w:t>评价区底栖动物的总个体密度为20.71 ind/m</w:t>
      </w:r>
      <w:r>
        <w:rPr>
          <w:rFonts w:cs="Times New Roman"/>
          <w:color w:val="0000FF"/>
          <w:vertAlign w:val="superscript"/>
        </w:rPr>
        <w:t>2</w:t>
      </w:r>
      <w:r>
        <w:rPr>
          <w:rFonts w:cs="Times New Roman"/>
          <w:color w:val="0000FF"/>
        </w:rPr>
        <w:t>、总生物量为14.93 g/m</w:t>
      </w:r>
      <w:r>
        <w:rPr>
          <w:rFonts w:cs="Times New Roman"/>
          <w:color w:val="0000FF"/>
          <w:vertAlign w:val="superscript"/>
        </w:rPr>
        <w:t>2</w:t>
      </w:r>
      <w:r>
        <w:rPr>
          <w:rFonts w:cs="Times New Roman"/>
          <w:color w:val="0000FF"/>
        </w:rPr>
        <w:t>，其中点位W5、W24采集到的底栖动物个体密度较高，分别为34.17 ind/m</w:t>
      </w:r>
      <w:r>
        <w:rPr>
          <w:rFonts w:cs="Times New Roman"/>
          <w:color w:val="0000FF"/>
          <w:vertAlign w:val="superscript"/>
        </w:rPr>
        <w:t>2</w:t>
      </w:r>
      <w:r>
        <w:rPr>
          <w:rFonts w:cs="Times New Roman"/>
          <w:color w:val="0000FF"/>
        </w:rPr>
        <w:t>、30.83 ind/m</w:t>
      </w:r>
      <w:r>
        <w:rPr>
          <w:rFonts w:cs="Times New Roman"/>
          <w:color w:val="0000FF"/>
          <w:vertAlign w:val="superscript"/>
        </w:rPr>
        <w:t>2</w:t>
      </w:r>
      <w:r>
        <w:rPr>
          <w:rFonts w:cs="Times New Roman"/>
          <w:color w:val="0000FF"/>
        </w:rPr>
        <w:t>，W24采集到的底栖动物生物量最高，为27.65 g/m</w:t>
      </w:r>
      <w:r>
        <w:rPr>
          <w:rFonts w:cs="Times New Roman"/>
          <w:color w:val="0000FF"/>
          <w:vertAlign w:val="superscript"/>
        </w:rPr>
        <w:t>2</w:t>
      </w:r>
      <w:r>
        <w:rPr>
          <w:rFonts w:cs="Times New Roman"/>
          <w:color w:val="0000FF"/>
        </w:rPr>
        <w:t>（表</w:t>
      </w:r>
      <w:r>
        <w:rPr>
          <w:rFonts w:hint="eastAsia" w:cs="Times New Roman"/>
          <w:color w:val="0000FF"/>
          <w:lang w:eastAsia="zh-CN"/>
        </w:rPr>
        <w:t>4.3</w:t>
      </w:r>
      <w:r>
        <w:rPr>
          <w:rFonts w:cs="Times New Roman"/>
          <w:color w:val="0000FF"/>
        </w:rPr>
        <w:t>-11）。</w:t>
      </w:r>
    </w:p>
    <w:p w14:paraId="6975BD37">
      <w:pPr>
        <w:rPr>
          <w:rFonts w:cs="Times New Roman"/>
        </w:rPr>
      </w:pPr>
      <w:r>
        <w:rPr>
          <w:rFonts w:cs="Times New Roman"/>
        </w:rPr>
        <w:t>（3）底栖动物生境状况</w:t>
      </w:r>
    </w:p>
    <w:p w14:paraId="2A5AA614">
      <w:pPr>
        <w:ind w:firstLine="480"/>
        <w:rPr>
          <w:rFonts w:cs="Times New Roman"/>
          <w:lang w:val="zh-TW" w:bidi="zh-TW"/>
        </w:rPr>
      </w:pPr>
      <w:r>
        <w:rPr>
          <w:rFonts w:cs="Times New Roman"/>
          <w:lang w:val="zh-TW" w:bidi="zh-TW"/>
        </w:rPr>
        <w:t>底栖动物一般存在于沉积物营养物质丰富，水质较好的水体中。污染负荷超过底栖动物的耐受限则会造成底栖生物种类及数量的下降。</w:t>
      </w:r>
      <w:r>
        <w:rPr>
          <w:rFonts w:cs="Times New Roman"/>
          <w:lang w:bidi="zh-TW"/>
        </w:rPr>
        <w:t>评价区范围内除淠河、滁河总干渠外的坑塘、沟渠等水域水质一般，</w:t>
      </w:r>
      <w:r>
        <w:rPr>
          <w:rFonts w:cs="Times New Roman"/>
          <w:lang w:val="zh-TW" w:bidi="zh-TW"/>
        </w:rPr>
        <w:t>底栖生物物种多样性相对较低。</w:t>
      </w:r>
    </w:p>
    <w:p w14:paraId="6D12D94F">
      <w:pPr>
        <w:rPr>
          <w:rFonts w:cs="Times New Roman"/>
          <w:lang w:eastAsia="zh-TW"/>
        </w:rPr>
      </w:pPr>
      <w:r>
        <w:rPr>
          <w:rFonts w:cs="Times New Roman"/>
          <w:lang w:val="en-GB" w:eastAsia="zh-TW"/>
        </w:rPr>
        <w:t>（</w:t>
      </w:r>
      <w:r>
        <w:rPr>
          <w:rFonts w:cs="Times New Roman"/>
          <w:lang w:eastAsia="zh-TW"/>
        </w:rPr>
        <w:t>4</w:t>
      </w:r>
      <w:r>
        <w:rPr>
          <w:rFonts w:cs="Times New Roman"/>
          <w:lang w:val="en-GB" w:eastAsia="zh-TW"/>
        </w:rPr>
        <w:t>）</w:t>
      </w:r>
      <w:r>
        <w:rPr>
          <w:rFonts w:cs="Times New Roman"/>
          <w:lang w:eastAsia="zh-TW"/>
        </w:rPr>
        <w:t>重要物种</w:t>
      </w:r>
    </w:p>
    <w:p w14:paraId="46E5F409">
      <w:pPr>
        <w:ind w:firstLine="480"/>
        <w:rPr>
          <w:rFonts w:cs="Times New Roman"/>
          <w:i/>
          <w:iCs/>
          <w:lang w:eastAsia="zh-TW"/>
        </w:rPr>
      </w:pPr>
      <w:r>
        <w:rPr>
          <w:rFonts w:cs="Times New Roman"/>
          <w:lang w:eastAsia="zh-TW"/>
        </w:rPr>
        <w:t>参考《淡水微型生物与底栖动物图谱（第3版）》等资料，本区域分布有</w:t>
      </w:r>
      <w:r>
        <w:rPr>
          <w:rFonts w:cs="Times New Roman"/>
          <w:lang w:val="en-GB" w:eastAsia="zh-TW"/>
        </w:rPr>
        <w:t>湖北钉螺（</w:t>
      </w:r>
      <w:r>
        <w:rPr>
          <w:rFonts w:cs="Times New Roman"/>
          <w:i/>
          <w:iCs/>
          <w:lang w:eastAsia="zh-TW"/>
        </w:rPr>
        <w:t>Oncomelania hupensis</w:t>
      </w:r>
      <w:r>
        <w:rPr>
          <w:rFonts w:cs="Times New Roman"/>
          <w:lang w:eastAsia="zh-TW"/>
        </w:rPr>
        <w:t>），但实际调查中未记录到。</w:t>
      </w:r>
    </w:p>
    <w:p w14:paraId="1D986214">
      <w:pPr>
        <w:ind w:firstLine="480"/>
        <w:rPr>
          <w:rFonts w:cs="Times New Roman"/>
          <w:i/>
          <w:iCs/>
        </w:rPr>
      </w:pPr>
      <w:r>
        <w:rPr>
          <w:rFonts w:cs="Times New Roman"/>
          <w:lang w:val="en-GB"/>
        </w:rPr>
        <w:t>识别特征：</w:t>
      </w:r>
      <w:r>
        <w:rPr>
          <w:rFonts w:cs="Times New Roman"/>
        </w:rPr>
        <w:t>中等大小，坚厚圆锥形，壳高10 mm，宽4 mm。螺层7~8层。壳顶略尖；螺旋部高，体螺层膨大。壳口呈长椭圆形，周缘完整，具有黑色框边，外唇简单，背侧具有一条强的唇嵴，内唇外折，遮盖窄小的脐孔，上方</w:t>
      </w:r>
      <w:r>
        <w:rPr>
          <w:rFonts w:hint="eastAsia" w:cs="Times New Roman"/>
        </w:rPr>
        <w:t>贴附</w:t>
      </w:r>
      <w:r>
        <w:rPr>
          <w:rFonts w:cs="Times New Roman"/>
        </w:rPr>
        <w:t>于体螺层上。壳面呈黄褐色，具有粗而稀疏的纵肋，纵肋的数目变化很大，都在缝合线处折断。缝合线较深。脐孔呈缝状。厣为角质，呈长椭圆形，有旋纹，核位于内侧下方。</w:t>
      </w:r>
    </w:p>
    <w:p w14:paraId="7B965F66">
      <w:pPr>
        <w:ind w:firstLine="480"/>
        <w:rPr>
          <w:rFonts w:cs="Times New Roman"/>
          <w:lang w:val="en-GB"/>
        </w:rPr>
      </w:pPr>
      <w:r>
        <w:rPr>
          <w:rFonts w:cs="Times New Roman"/>
          <w:lang w:val="en-GB"/>
        </w:rPr>
        <w:t>生态习性：</w:t>
      </w:r>
      <w:r>
        <w:fldChar w:fldCharType="begin"/>
      </w:r>
      <w:r>
        <w:instrText xml:space="preserve"> HYPERLINK "https://baike.baidu.com/item/%E6%B0%B4%E9%99%86%E4%B8%A4%E6%A0%96%E5%8A%A8%E7%89%A9/4418792?fromModule=lemma_inlink" \t "_blank" </w:instrText>
      </w:r>
      <w:r>
        <w:fldChar w:fldCharType="separate"/>
      </w:r>
      <w:r>
        <w:rPr>
          <w:rFonts w:cs="Times New Roman"/>
        </w:rPr>
        <w:t>水陆两栖动物</w:t>
      </w:r>
      <w:r>
        <w:rPr>
          <w:rFonts w:cs="Times New Roman"/>
        </w:rPr>
        <w:fldChar w:fldCharType="end"/>
      </w:r>
      <w:r>
        <w:rPr>
          <w:rFonts w:cs="Times New Roman"/>
        </w:rPr>
        <w:t>，幼螺在水中生活，成螺则生活在靠近水源，潮湿而营养质丰富的陆地。江河湖滩、沟渠、地下水或者地表水充足地区是其适宜环境。</w:t>
      </w:r>
    </w:p>
    <w:p w14:paraId="405DF600">
      <w:pPr>
        <w:ind w:firstLine="480"/>
        <w:rPr>
          <w:rFonts w:cs="Times New Roman"/>
        </w:rPr>
      </w:pPr>
      <w:r>
        <w:rPr>
          <w:rFonts w:cs="Times New Roman"/>
          <w:lang w:val="en-GB"/>
        </w:rPr>
        <w:t>注意</w:t>
      </w:r>
      <w:r>
        <w:rPr>
          <w:rFonts w:cs="Times New Roman"/>
        </w:rPr>
        <w:t>事项</w:t>
      </w:r>
      <w:r>
        <w:rPr>
          <w:rFonts w:cs="Times New Roman"/>
          <w:lang w:val="en-GB"/>
        </w:rPr>
        <w:t>：湖北</w:t>
      </w:r>
      <w:r>
        <w:rPr>
          <w:rFonts w:cs="Times New Roman"/>
        </w:rPr>
        <w:t>钉螺是日本血吸虫唯一的中间宿主，如果人畜常到感染性钉螺较多的地方活动则较易感染。此外，也有大量尾蚴随水流扩散到无螺地区造成感染的情况。人们自从认识了</w:t>
      </w:r>
      <w:r>
        <w:fldChar w:fldCharType="begin"/>
      </w:r>
      <w:r>
        <w:instrText xml:space="preserve"> HYPERLINK "https://baike.baidu.com/item/%E6%97%A5%E6%9C%AC%E8%A1%80%E5%90%B8%E8%99%AB/637381?fromModule=lemma_inlink" \t "_blank" </w:instrText>
      </w:r>
      <w:r>
        <w:fldChar w:fldCharType="separate"/>
      </w:r>
      <w:r>
        <w:rPr>
          <w:rFonts w:cs="Times New Roman"/>
        </w:rPr>
        <w:t>日本血吸虫</w:t>
      </w:r>
      <w:r>
        <w:rPr>
          <w:rFonts w:cs="Times New Roman"/>
        </w:rPr>
        <w:fldChar w:fldCharType="end"/>
      </w:r>
      <w:r>
        <w:rPr>
          <w:rFonts w:cs="Times New Roman"/>
        </w:rPr>
        <w:t>生活史后，就采用各种方法消灭钉螺，以达到阻断血吸虫病传播的目的。消灭钉螺是控制血吸虫病传播的关键措施之一。防治实践也证明了控制钉螺是消灭血吸虫病的一项重要措施，特别是消灭感染性钉螺对降低人畜感染率、减少血吸虫病对人体的危害十分重要。</w:t>
      </w:r>
    </w:p>
    <w:p w14:paraId="7EA7393B">
      <w:pPr>
        <w:jc w:val="center"/>
        <w:rPr>
          <w:rFonts w:eastAsia="黑体" w:cs="Times New Roman"/>
          <w:color w:val="0000FF"/>
        </w:rPr>
      </w:pPr>
      <w:r>
        <w:rPr>
          <w:rFonts w:eastAsia="黑体" w:cs="Times New Roman"/>
          <w:color w:val="0000FF"/>
        </w:rPr>
        <w:t>表</w:t>
      </w:r>
      <w:r>
        <w:rPr>
          <w:rFonts w:hint="eastAsia" w:eastAsia="黑体" w:cs="Times New Roman"/>
          <w:color w:val="0000FF"/>
          <w:lang w:eastAsia="zh-CN"/>
        </w:rPr>
        <w:t>4.3</w:t>
      </w:r>
      <w:r>
        <w:rPr>
          <w:rFonts w:eastAsia="黑体" w:cs="Times New Roman"/>
          <w:color w:val="0000FF"/>
        </w:rPr>
        <w:t>-11  各调查断面底栖生物密度和生物量</w:t>
      </w:r>
    </w:p>
    <w:tbl>
      <w:tblPr>
        <w:tblStyle w:val="16"/>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1"/>
        <w:gridCol w:w="4026"/>
        <w:gridCol w:w="3771"/>
      </w:tblGrid>
      <w:tr w14:paraId="75DE9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8" w:type="pct"/>
            <w:vAlign w:val="center"/>
          </w:tcPr>
          <w:p w14:paraId="41703E3B">
            <w:pPr>
              <w:pStyle w:val="28"/>
              <w:bidi w:val="0"/>
            </w:pPr>
            <w:r>
              <w:rPr>
                <w:rFonts w:hint="eastAsia"/>
              </w:rPr>
              <w:t>断面</w:t>
            </w:r>
          </w:p>
        </w:tc>
        <w:tc>
          <w:tcPr>
            <w:tcW w:w="2169" w:type="pct"/>
            <w:vAlign w:val="center"/>
          </w:tcPr>
          <w:p w14:paraId="20393601">
            <w:pPr>
              <w:pStyle w:val="28"/>
              <w:bidi w:val="0"/>
            </w:pPr>
            <w:r>
              <w:rPr>
                <w:rFonts w:hint="eastAsia"/>
              </w:rPr>
              <w:t>密度（ind/m2）</w:t>
            </w:r>
          </w:p>
        </w:tc>
        <w:tc>
          <w:tcPr>
            <w:tcW w:w="2032" w:type="pct"/>
            <w:vAlign w:val="center"/>
          </w:tcPr>
          <w:p w14:paraId="24E0C667">
            <w:pPr>
              <w:pStyle w:val="28"/>
              <w:bidi w:val="0"/>
            </w:pPr>
            <w:r>
              <w:rPr>
                <w:rFonts w:hint="eastAsia"/>
              </w:rPr>
              <w:t>生物量（g/m2）</w:t>
            </w:r>
          </w:p>
        </w:tc>
      </w:tr>
      <w:tr w14:paraId="2AB53C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8" w:type="pct"/>
            <w:vAlign w:val="center"/>
          </w:tcPr>
          <w:p w14:paraId="53B0A78F">
            <w:pPr>
              <w:pStyle w:val="28"/>
              <w:bidi w:val="0"/>
            </w:pPr>
            <w:r>
              <w:rPr>
                <w:rFonts w:hint="eastAsia"/>
              </w:rPr>
              <w:t>W</w:t>
            </w:r>
            <w:r>
              <w:t>1</w:t>
            </w:r>
          </w:p>
        </w:tc>
        <w:tc>
          <w:tcPr>
            <w:tcW w:w="2169" w:type="pct"/>
            <w:vAlign w:val="center"/>
          </w:tcPr>
          <w:p w14:paraId="28F589BF">
            <w:pPr>
              <w:pStyle w:val="28"/>
              <w:bidi w:val="0"/>
            </w:pPr>
            <w:r>
              <w:rPr>
                <w:rFonts w:hint="eastAsia"/>
              </w:rPr>
              <w:t>21.33</w:t>
            </w:r>
          </w:p>
        </w:tc>
        <w:tc>
          <w:tcPr>
            <w:tcW w:w="2032" w:type="pct"/>
            <w:vAlign w:val="center"/>
          </w:tcPr>
          <w:p w14:paraId="1ADEB768">
            <w:pPr>
              <w:pStyle w:val="28"/>
              <w:bidi w:val="0"/>
            </w:pPr>
            <w:r>
              <w:rPr>
                <w:rFonts w:hint="eastAsia"/>
              </w:rPr>
              <w:t>18.49</w:t>
            </w:r>
          </w:p>
        </w:tc>
      </w:tr>
      <w:tr w14:paraId="7C522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8" w:type="pct"/>
            <w:vAlign w:val="center"/>
          </w:tcPr>
          <w:p w14:paraId="4E5B6617">
            <w:pPr>
              <w:pStyle w:val="28"/>
              <w:bidi w:val="0"/>
            </w:pPr>
            <w:r>
              <w:rPr>
                <w:rFonts w:hint="eastAsia"/>
              </w:rPr>
              <w:t>W</w:t>
            </w:r>
            <w:r>
              <w:t>2</w:t>
            </w:r>
          </w:p>
        </w:tc>
        <w:tc>
          <w:tcPr>
            <w:tcW w:w="2169" w:type="pct"/>
            <w:vAlign w:val="center"/>
          </w:tcPr>
          <w:p w14:paraId="3126DFD5">
            <w:pPr>
              <w:pStyle w:val="28"/>
              <w:bidi w:val="0"/>
            </w:pPr>
            <w:r>
              <w:rPr>
                <w:rFonts w:hint="eastAsia"/>
              </w:rPr>
              <w:t>27.50</w:t>
            </w:r>
          </w:p>
        </w:tc>
        <w:tc>
          <w:tcPr>
            <w:tcW w:w="2032" w:type="pct"/>
            <w:vAlign w:val="center"/>
          </w:tcPr>
          <w:p w14:paraId="7A7EA79F">
            <w:pPr>
              <w:pStyle w:val="28"/>
              <w:bidi w:val="0"/>
            </w:pPr>
            <w:r>
              <w:rPr>
                <w:rFonts w:hint="eastAsia"/>
              </w:rPr>
              <w:t>24.17</w:t>
            </w:r>
          </w:p>
        </w:tc>
      </w:tr>
      <w:tr w14:paraId="231C5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8" w:type="pct"/>
            <w:vAlign w:val="center"/>
          </w:tcPr>
          <w:p w14:paraId="399D583F">
            <w:pPr>
              <w:pStyle w:val="28"/>
              <w:bidi w:val="0"/>
            </w:pPr>
            <w:r>
              <w:rPr>
                <w:rFonts w:hint="eastAsia"/>
              </w:rPr>
              <w:t>W</w:t>
            </w:r>
            <w:r>
              <w:t>3</w:t>
            </w:r>
          </w:p>
        </w:tc>
        <w:tc>
          <w:tcPr>
            <w:tcW w:w="2169" w:type="pct"/>
            <w:vAlign w:val="center"/>
          </w:tcPr>
          <w:p w14:paraId="5BD6D8B7">
            <w:pPr>
              <w:pStyle w:val="28"/>
              <w:bidi w:val="0"/>
            </w:pPr>
            <w:r>
              <w:t>26.67</w:t>
            </w:r>
          </w:p>
        </w:tc>
        <w:tc>
          <w:tcPr>
            <w:tcW w:w="2032" w:type="pct"/>
            <w:vAlign w:val="center"/>
          </w:tcPr>
          <w:p w14:paraId="050BAF3E">
            <w:pPr>
              <w:pStyle w:val="28"/>
              <w:bidi w:val="0"/>
            </w:pPr>
            <w:r>
              <w:rPr>
                <w:rFonts w:hint="eastAsia"/>
              </w:rPr>
              <w:t>2</w:t>
            </w:r>
            <w:r>
              <w:t>0.21</w:t>
            </w:r>
          </w:p>
        </w:tc>
      </w:tr>
      <w:tr w14:paraId="236904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8" w:type="pct"/>
            <w:vAlign w:val="center"/>
          </w:tcPr>
          <w:p w14:paraId="36DADEB7">
            <w:pPr>
              <w:pStyle w:val="28"/>
              <w:bidi w:val="0"/>
            </w:pPr>
            <w:r>
              <w:rPr>
                <w:rFonts w:hint="eastAsia"/>
              </w:rPr>
              <w:t>W</w:t>
            </w:r>
            <w:r>
              <w:t>4</w:t>
            </w:r>
          </w:p>
        </w:tc>
        <w:tc>
          <w:tcPr>
            <w:tcW w:w="2169" w:type="pct"/>
            <w:vAlign w:val="center"/>
          </w:tcPr>
          <w:p w14:paraId="4798D28D">
            <w:pPr>
              <w:pStyle w:val="28"/>
              <w:bidi w:val="0"/>
            </w:pPr>
            <w:r>
              <w:t>16.67</w:t>
            </w:r>
          </w:p>
        </w:tc>
        <w:tc>
          <w:tcPr>
            <w:tcW w:w="2032" w:type="pct"/>
            <w:vAlign w:val="center"/>
          </w:tcPr>
          <w:p w14:paraId="6D487145">
            <w:pPr>
              <w:pStyle w:val="28"/>
              <w:bidi w:val="0"/>
            </w:pPr>
            <w:r>
              <w:rPr>
                <w:rFonts w:hint="eastAsia"/>
              </w:rPr>
              <w:t>9</w:t>
            </w:r>
            <w:r>
              <w:t>.89</w:t>
            </w:r>
          </w:p>
        </w:tc>
      </w:tr>
      <w:tr w14:paraId="0858F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8" w:type="pct"/>
            <w:vAlign w:val="center"/>
          </w:tcPr>
          <w:p w14:paraId="52CE06B6">
            <w:pPr>
              <w:pStyle w:val="28"/>
              <w:bidi w:val="0"/>
            </w:pPr>
            <w:r>
              <w:rPr>
                <w:rFonts w:hint="eastAsia"/>
              </w:rPr>
              <w:t>W</w:t>
            </w:r>
            <w:r>
              <w:t>5</w:t>
            </w:r>
          </w:p>
        </w:tc>
        <w:tc>
          <w:tcPr>
            <w:tcW w:w="2169" w:type="pct"/>
            <w:vAlign w:val="center"/>
          </w:tcPr>
          <w:p w14:paraId="54BCFB1D">
            <w:pPr>
              <w:pStyle w:val="28"/>
              <w:bidi w:val="0"/>
            </w:pPr>
            <w:r>
              <w:t>34.17</w:t>
            </w:r>
          </w:p>
        </w:tc>
        <w:tc>
          <w:tcPr>
            <w:tcW w:w="2032" w:type="pct"/>
            <w:vAlign w:val="center"/>
          </w:tcPr>
          <w:p w14:paraId="4A04E081">
            <w:pPr>
              <w:pStyle w:val="28"/>
              <w:bidi w:val="0"/>
            </w:pPr>
            <w:r>
              <w:t>26.78</w:t>
            </w:r>
          </w:p>
        </w:tc>
      </w:tr>
      <w:tr w14:paraId="5A0956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8" w:type="pct"/>
            <w:vAlign w:val="center"/>
          </w:tcPr>
          <w:p w14:paraId="66C82C4B">
            <w:pPr>
              <w:pStyle w:val="28"/>
              <w:bidi w:val="0"/>
            </w:pPr>
            <w:r>
              <w:rPr>
                <w:rFonts w:hint="eastAsia"/>
              </w:rPr>
              <w:t>W</w:t>
            </w:r>
            <w:r>
              <w:t>6</w:t>
            </w:r>
          </w:p>
        </w:tc>
        <w:tc>
          <w:tcPr>
            <w:tcW w:w="2169" w:type="pct"/>
            <w:vAlign w:val="center"/>
          </w:tcPr>
          <w:p w14:paraId="7ECAF9E9">
            <w:pPr>
              <w:pStyle w:val="28"/>
              <w:bidi w:val="0"/>
            </w:pPr>
            <w:r>
              <w:t>31.67</w:t>
            </w:r>
          </w:p>
        </w:tc>
        <w:tc>
          <w:tcPr>
            <w:tcW w:w="2032" w:type="pct"/>
            <w:vAlign w:val="center"/>
          </w:tcPr>
          <w:p w14:paraId="007DE0D1">
            <w:pPr>
              <w:pStyle w:val="28"/>
              <w:bidi w:val="0"/>
            </w:pPr>
            <w:r>
              <w:rPr>
                <w:rFonts w:hint="eastAsia"/>
              </w:rPr>
              <w:t>1</w:t>
            </w:r>
            <w:r>
              <w:t>2.39</w:t>
            </w:r>
          </w:p>
        </w:tc>
      </w:tr>
      <w:tr w14:paraId="0BD60E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98" w:type="pct"/>
            <w:vAlign w:val="center"/>
          </w:tcPr>
          <w:p w14:paraId="3A74E038">
            <w:pPr>
              <w:pStyle w:val="28"/>
              <w:bidi w:val="0"/>
            </w:pPr>
            <w:r>
              <w:rPr>
                <w:rFonts w:hint="eastAsia"/>
              </w:rPr>
              <w:t>W</w:t>
            </w:r>
            <w:r>
              <w:t>8</w:t>
            </w:r>
          </w:p>
        </w:tc>
        <w:tc>
          <w:tcPr>
            <w:tcW w:w="2169" w:type="pct"/>
            <w:vAlign w:val="center"/>
          </w:tcPr>
          <w:p w14:paraId="00D298E0">
            <w:pPr>
              <w:pStyle w:val="28"/>
              <w:bidi w:val="0"/>
            </w:pPr>
            <w:r>
              <w:t>29.17</w:t>
            </w:r>
          </w:p>
        </w:tc>
        <w:tc>
          <w:tcPr>
            <w:tcW w:w="2032" w:type="pct"/>
            <w:vAlign w:val="center"/>
          </w:tcPr>
          <w:p w14:paraId="4C192267">
            <w:pPr>
              <w:pStyle w:val="28"/>
              <w:bidi w:val="0"/>
            </w:pPr>
            <w:r>
              <w:rPr>
                <w:rFonts w:hint="eastAsia"/>
              </w:rPr>
              <w:t>1</w:t>
            </w:r>
            <w:r>
              <w:t>8.16</w:t>
            </w:r>
          </w:p>
        </w:tc>
      </w:tr>
    </w:tbl>
    <w:p w14:paraId="5390362F">
      <w:pPr>
        <w:jc w:val="center"/>
        <w:rPr>
          <w:rFonts w:cs="Times New Roman"/>
          <w:color w:val="0000FF"/>
          <w:lang w:val="en-GB"/>
        </w:rPr>
      </w:pPr>
    </w:p>
    <w:p w14:paraId="5E8E0F6C">
      <w:pPr>
        <w:rPr>
          <w:rFonts w:cs="Times New Roman"/>
          <w:color w:val="0000FF"/>
        </w:rPr>
        <w:sectPr>
          <w:pgSz w:w="11905" w:h="16838"/>
          <w:pgMar w:top="1417" w:right="1417" w:bottom="1417" w:left="1417" w:header="850" w:footer="850" w:gutter="0"/>
          <w:pgNumType w:fmt="decimal"/>
          <w:cols w:space="0" w:num="1"/>
          <w:rtlGutter w:val="0"/>
          <w:docGrid w:linePitch="326" w:charSpace="0"/>
        </w:sectPr>
      </w:pPr>
    </w:p>
    <w:p w14:paraId="44436518">
      <w:pPr>
        <w:jc w:val="center"/>
        <w:rPr>
          <w:rFonts w:eastAsia="黑体" w:cs="Times New Roman"/>
        </w:rPr>
      </w:pPr>
      <w:r>
        <w:rPr>
          <w:rFonts w:eastAsia="黑体" w:cs="Times New Roman"/>
        </w:rPr>
        <w:t>表</w:t>
      </w:r>
      <w:r>
        <w:rPr>
          <w:rFonts w:hint="eastAsia" w:eastAsia="黑体" w:cs="Times New Roman"/>
          <w:lang w:eastAsia="zh-CN"/>
        </w:rPr>
        <w:t>4.3</w:t>
      </w:r>
      <w:r>
        <w:rPr>
          <w:rFonts w:eastAsia="黑体" w:cs="Times New Roman"/>
        </w:rPr>
        <w:t>-12  评价区底栖动物名录</w:t>
      </w:r>
    </w:p>
    <w:tbl>
      <w:tblPr>
        <w:tblStyle w:val="16"/>
        <w:tblW w:w="4997" w:type="pct"/>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9"/>
        <w:gridCol w:w="4754"/>
        <w:gridCol w:w="1283"/>
        <w:gridCol w:w="1283"/>
        <w:gridCol w:w="1027"/>
        <w:gridCol w:w="1027"/>
        <w:gridCol w:w="1801"/>
        <w:gridCol w:w="1887"/>
      </w:tblGrid>
      <w:tr w14:paraId="33E30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404" w:type="pct"/>
            <w:vAlign w:val="center"/>
          </w:tcPr>
          <w:p w14:paraId="1E87F8BA">
            <w:pPr>
              <w:pStyle w:val="28"/>
              <w:bidi w:val="0"/>
            </w:pPr>
            <w:r>
              <w:rPr>
                <w:rFonts w:hint="eastAsia"/>
              </w:rPr>
              <w:t>序号</w:t>
            </w:r>
          </w:p>
        </w:tc>
        <w:tc>
          <w:tcPr>
            <w:tcW w:w="1671" w:type="pct"/>
            <w:vAlign w:val="center"/>
          </w:tcPr>
          <w:p w14:paraId="23F6FAE7">
            <w:pPr>
              <w:pStyle w:val="28"/>
              <w:bidi w:val="0"/>
            </w:pPr>
            <w:r>
              <w:t>物种名称</w:t>
            </w:r>
          </w:p>
        </w:tc>
        <w:tc>
          <w:tcPr>
            <w:tcW w:w="451" w:type="pct"/>
            <w:vAlign w:val="center"/>
          </w:tcPr>
          <w:p w14:paraId="331EF56F">
            <w:pPr>
              <w:pStyle w:val="28"/>
              <w:bidi w:val="0"/>
            </w:pPr>
            <w:r>
              <w:t>保护级别</w:t>
            </w:r>
          </w:p>
        </w:tc>
        <w:tc>
          <w:tcPr>
            <w:tcW w:w="451" w:type="pct"/>
            <w:vAlign w:val="center"/>
          </w:tcPr>
          <w:p w14:paraId="34C93535">
            <w:pPr>
              <w:pStyle w:val="28"/>
              <w:bidi w:val="0"/>
            </w:pPr>
            <w:r>
              <w:t>濒危等级</w:t>
            </w:r>
          </w:p>
        </w:tc>
        <w:tc>
          <w:tcPr>
            <w:tcW w:w="361" w:type="pct"/>
            <w:vAlign w:val="center"/>
          </w:tcPr>
          <w:p w14:paraId="56F35175">
            <w:pPr>
              <w:pStyle w:val="28"/>
              <w:bidi w:val="0"/>
            </w:pPr>
            <w:r>
              <w:t>特有种</w:t>
            </w:r>
          </w:p>
        </w:tc>
        <w:tc>
          <w:tcPr>
            <w:tcW w:w="361" w:type="pct"/>
            <w:vAlign w:val="center"/>
          </w:tcPr>
          <w:p w14:paraId="293C6EB6">
            <w:pPr>
              <w:pStyle w:val="28"/>
              <w:bidi w:val="0"/>
            </w:pPr>
            <w:r>
              <w:t>优势度</w:t>
            </w:r>
          </w:p>
        </w:tc>
        <w:tc>
          <w:tcPr>
            <w:tcW w:w="633" w:type="pct"/>
            <w:vAlign w:val="center"/>
          </w:tcPr>
          <w:p w14:paraId="22E7657B">
            <w:pPr>
              <w:pStyle w:val="28"/>
              <w:bidi w:val="0"/>
            </w:pPr>
            <w:r>
              <w:rPr>
                <w:rFonts w:hint="eastAsia"/>
              </w:rPr>
              <w:t>分布水体</w:t>
            </w:r>
          </w:p>
        </w:tc>
        <w:tc>
          <w:tcPr>
            <w:tcW w:w="663" w:type="pct"/>
            <w:vAlign w:val="center"/>
          </w:tcPr>
          <w:p w14:paraId="421287B5">
            <w:pPr>
              <w:pStyle w:val="28"/>
              <w:bidi w:val="0"/>
            </w:pPr>
            <w:r>
              <w:t>分布区域</w:t>
            </w:r>
          </w:p>
        </w:tc>
      </w:tr>
      <w:tr w14:paraId="45986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0DCBFC3C">
            <w:pPr>
              <w:pStyle w:val="28"/>
              <w:bidi w:val="0"/>
            </w:pPr>
            <w:r>
              <w:t>一</w:t>
            </w:r>
          </w:p>
        </w:tc>
        <w:tc>
          <w:tcPr>
            <w:tcW w:w="1671" w:type="pct"/>
            <w:vAlign w:val="center"/>
          </w:tcPr>
          <w:p w14:paraId="13364DBA">
            <w:pPr>
              <w:pStyle w:val="28"/>
              <w:bidi w:val="0"/>
            </w:pPr>
            <w:r>
              <w:t>软体动物门</w:t>
            </w:r>
            <w:r>
              <w:rPr>
                <w:rFonts w:hint="eastAsia"/>
              </w:rPr>
              <w:t>（</w:t>
            </w:r>
            <w:r>
              <w:t>Mollusca</w:t>
            </w:r>
            <w:r>
              <w:rPr>
                <w:rFonts w:hint="eastAsia"/>
              </w:rPr>
              <w:t>）</w:t>
            </w:r>
          </w:p>
        </w:tc>
        <w:tc>
          <w:tcPr>
            <w:tcW w:w="451" w:type="pct"/>
            <w:vAlign w:val="center"/>
          </w:tcPr>
          <w:p w14:paraId="16A5D03E">
            <w:pPr>
              <w:pStyle w:val="28"/>
              <w:bidi w:val="0"/>
            </w:pPr>
          </w:p>
        </w:tc>
        <w:tc>
          <w:tcPr>
            <w:tcW w:w="451" w:type="pct"/>
            <w:vAlign w:val="center"/>
          </w:tcPr>
          <w:p w14:paraId="7027FFAC">
            <w:pPr>
              <w:pStyle w:val="28"/>
              <w:bidi w:val="0"/>
            </w:pPr>
          </w:p>
        </w:tc>
        <w:tc>
          <w:tcPr>
            <w:tcW w:w="361" w:type="pct"/>
            <w:vAlign w:val="center"/>
          </w:tcPr>
          <w:p w14:paraId="36C75E2A">
            <w:pPr>
              <w:pStyle w:val="28"/>
              <w:bidi w:val="0"/>
            </w:pPr>
          </w:p>
        </w:tc>
        <w:tc>
          <w:tcPr>
            <w:tcW w:w="361" w:type="pct"/>
            <w:vAlign w:val="center"/>
          </w:tcPr>
          <w:p w14:paraId="2175879D">
            <w:pPr>
              <w:pStyle w:val="28"/>
              <w:bidi w:val="0"/>
            </w:pPr>
          </w:p>
        </w:tc>
        <w:tc>
          <w:tcPr>
            <w:tcW w:w="633" w:type="pct"/>
            <w:vAlign w:val="center"/>
          </w:tcPr>
          <w:p w14:paraId="7DF2D783">
            <w:pPr>
              <w:pStyle w:val="28"/>
              <w:bidi w:val="0"/>
            </w:pPr>
          </w:p>
        </w:tc>
        <w:tc>
          <w:tcPr>
            <w:tcW w:w="663" w:type="pct"/>
            <w:vAlign w:val="center"/>
          </w:tcPr>
          <w:p w14:paraId="4789725C">
            <w:pPr>
              <w:pStyle w:val="28"/>
              <w:bidi w:val="0"/>
            </w:pPr>
          </w:p>
        </w:tc>
      </w:tr>
      <w:tr w14:paraId="0A3B9F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793CF989">
            <w:pPr>
              <w:pStyle w:val="28"/>
              <w:bidi w:val="0"/>
            </w:pPr>
            <w:r>
              <w:t>（一）</w:t>
            </w:r>
          </w:p>
        </w:tc>
        <w:tc>
          <w:tcPr>
            <w:tcW w:w="1671" w:type="pct"/>
            <w:vAlign w:val="center"/>
          </w:tcPr>
          <w:p w14:paraId="10243047">
            <w:pPr>
              <w:pStyle w:val="28"/>
              <w:bidi w:val="0"/>
            </w:pPr>
            <w:r>
              <w:t>田螺科</w:t>
            </w:r>
            <w:r>
              <w:rPr>
                <w:rFonts w:hint="eastAsia"/>
              </w:rPr>
              <w:t>（</w:t>
            </w:r>
            <w:r>
              <w:t>Viviparidae</w:t>
            </w:r>
            <w:r>
              <w:rPr>
                <w:rFonts w:hint="eastAsia"/>
              </w:rPr>
              <w:t>）</w:t>
            </w:r>
          </w:p>
        </w:tc>
        <w:tc>
          <w:tcPr>
            <w:tcW w:w="451" w:type="pct"/>
            <w:vAlign w:val="center"/>
          </w:tcPr>
          <w:p w14:paraId="2113086D">
            <w:pPr>
              <w:pStyle w:val="28"/>
              <w:bidi w:val="0"/>
            </w:pPr>
          </w:p>
        </w:tc>
        <w:tc>
          <w:tcPr>
            <w:tcW w:w="451" w:type="pct"/>
            <w:vAlign w:val="center"/>
          </w:tcPr>
          <w:p w14:paraId="69F10E40">
            <w:pPr>
              <w:pStyle w:val="28"/>
              <w:bidi w:val="0"/>
            </w:pPr>
            <w:r>
              <w:rPr>
                <w:rFonts w:hint="eastAsia"/>
              </w:rPr>
              <w:t>无危</w:t>
            </w:r>
          </w:p>
        </w:tc>
        <w:tc>
          <w:tcPr>
            <w:tcW w:w="361" w:type="pct"/>
            <w:vAlign w:val="center"/>
          </w:tcPr>
          <w:p w14:paraId="434049B4">
            <w:pPr>
              <w:pStyle w:val="28"/>
              <w:bidi w:val="0"/>
            </w:pPr>
            <w:r>
              <w:rPr>
                <w:rFonts w:hint="eastAsia"/>
              </w:rPr>
              <w:t>否</w:t>
            </w:r>
          </w:p>
        </w:tc>
        <w:tc>
          <w:tcPr>
            <w:tcW w:w="361" w:type="pct"/>
            <w:vAlign w:val="center"/>
          </w:tcPr>
          <w:p w14:paraId="308B2A07">
            <w:pPr>
              <w:pStyle w:val="28"/>
              <w:bidi w:val="0"/>
            </w:pPr>
          </w:p>
        </w:tc>
        <w:tc>
          <w:tcPr>
            <w:tcW w:w="633" w:type="pct"/>
            <w:vAlign w:val="center"/>
          </w:tcPr>
          <w:p w14:paraId="40B57FCF">
            <w:pPr>
              <w:pStyle w:val="28"/>
              <w:bidi w:val="0"/>
            </w:pPr>
          </w:p>
        </w:tc>
        <w:tc>
          <w:tcPr>
            <w:tcW w:w="663" w:type="pct"/>
            <w:vAlign w:val="center"/>
          </w:tcPr>
          <w:p w14:paraId="306F34DF">
            <w:pPr>
              <w:pStyle w:val="28"/>
              <w:bidi w:val="0"/>
            </w:pPr>
          </w:p>
        </w:tc>
      </w:tr>
      <w:tr w14:paraId="1EACE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07677BFA">
            <w:pPr>
              <w:pStyle w:val="28"/>
              <w:bidi w:val="0"/>
            </w:pPr>
            <w:r>
              <w:t>（1）</w:t>
            </w:r>
          </w:p>
        </w:tc>
        <w:tc>
          <w:tcPr>
            <w:tcW w:w="1671" w:type="pct"/>
            <w:vAlign w:val="center"/>
          </w:tcPr>
          <w:p w14:paraId="12C1EAC7">
            <w:pPr>
              <w:pStyle w:val="28"/>
              <w:bidi w:val="0"/>
            </w:pPr>
            <w:r>
              <w:t>环棱螺属</w:t>
            </w:r>
            <w:r>
              <w:rPr>
                <w:rFonts w:hint="eastAsia"/>
              </w:rPr>
              <w:t>（</w:t>
            </w:r>
            <w:r>
              <w:t>Bellamy</w:t>
            </w:r>
            <w:r>
              <w:rPr>
                <w:rFonts w:hint="eastAsia"/>
              </w:rPr>
              <w:t>）</w:t>
            </w:r>
          </w:p>
        </w:tc>
        <w:tc>
          <w:tcPr>
            <w:tcW w:w="451" w:type="pct"/>
            <w:vAlign w:val="center"/>
          </w:tcPr>
          <w:p w14:paraId="096172E0">
            <w:pPr>
              <w:pStyle w:val="28"/>
              <w:bidi w:val="0"/>
            </w:pPr>
          </w:p>
        </w:tc>
        <w:tc>
          <w:tcPr>
            <w:tcW w:w="451" w:type="pct"/>
            <w:vAlign w:val="center"/>
          </w:tcPr>
          <w:p w14:paraId="277AA3D9">
            <w:pPr>
              <w:pStyle w:val="28"/>
              <w:bidi w:val="0"/>
            </w:pPr>
            <w:r>
              <w:rPr>
                <w:rFonts w:hint="eastAsia"/>
              </w:rPr>
              <w:t>无危</w:t>
            </w:r>
          </w:p>
        </w:tc>
        <w:tc>
          <w:tcPr>
            <w:tcW w:w="361" w:type="pct"/>
            <w:vAlign w:val="center"/>
          </w:tcPr>
          <w:p w14:paraId="2BF71FFD">
            <w:pPr>
              <w:pStyle w:val="28"/>
              <w:bidi w:val="0"/>
            </w:pPr>
            <w:r>
              <w:rPr>
                <w:rFonts w:hint="eastAsia"/>
              </w:rPr>
              <w:t>否</w:t>
            </w:r>
          </w:p>
        </w:tc>
        <w:tc>
          <w:tcPr>
            <w:tcW w:w="361" w:type="pct"/>
            <w:vAlign w:val="center"/>
          </w:tcPr>
          <w:p w14:paraId="3730C7A3">
            <w:pPr>
              <w:pStyle w:val="28"/>
              <w:bidi w:val="0"/>
            </w:pPr>
          </w:p>
        </w:tc>
        <w:tc>
          <w:tcPr>
            <w:tcW w:w="633" w:type="pct"/>
            <w:vAlign w:val="center"/>
          </w:tcPr>
          <w:p w14:paraId="02DA440D">
            <w:pPr>
              <w:pStyle w:val="28"/>
              <w:bidi w:val="0"/>
            </w:pPr>
          </w:p>
        </w:tc>
        <w:tc>
          <w:tcPr>
            <w:tcW w:w="663" w:type="pct"/>
            <w:vAlign w:val="center"/>
          </w:tcPr>
          <w:p w14:paraId="02E5DC72">
            <w:pPr>
              <w:pStyle w:val="28"/>
              <w:bidi w:val="0"/>
            </w:pPr>
          </w:p>
        </w:tc>
      </w:tr>
      <w:tr w14:paraId="70FC5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40138F0C">
            <w:pPr>
              <w:pStyle w:val="28"/>
              <w:bidi w:val="0"/>
            </w:pPr>
            <w:r>
              <w:t>1</w:t>
            </w:r>
          </w:p>
        </w:tc>
        <w:tc>
          <w:tcPr>
            <w:tcW w:w="1671" w:type="pct"/>
            <w:vAlign w:val="center"/>
          </w:tcPr>
          <w:p w14:paraId="3EE264AA">
            <w:pPr>
              <w:pStyle w:val="28"/>
              <w:bidi w:val="0"/>
            </w:pPr>
            <w:r>
              <w:t>方形环棱螺</w:t>
            </w:r>
            <w:r>
              <w:rPr>
                <w:rFonts w:hint="eastAsia"/>
              </w:rPr>
              <w:t>（</w:t>
            </w:r>
            <w:r>
              <w:t>Bellamy aquadrata</w:t>
            </w:r>
            <w:r>
              <w:rPr>
                <w:rFonts w:hint="eastAsia"/>
              </w:rPr>
              <w:t>）</w:t>
            </w:r>
          </w:p>
        </w:tc>
        <w:tc>
          <w:tcPr>
            <w:tcW w:w="451" w:type="pct"/>
            <w:vAlign w:val="center"/>
          </w:tcPr>
          <w:p w14:paraId="2C25AAC2">
            <w:pPr>
              <w:pStyle w:val="28"/>
              <w:bidi w:val="0"/>
            </w:pPr>
          </w:p>
        </w:tc>
        <w:tc>
          <w:tcPr>
            <w:tcW w:w="451" w:type="pct"/>
            <w:vAlign w:val="center"/>
          </w:tcPr>
          <w:p w14:paraId="4AD828EE">
            <w:pPr>
              <w:pStyle w:val="28"/>
              <w:bidi w:val="0"/>
            </w:pPr>
            <w:r>
              <w:rPr>
                <w:rFonts w:hint="eastAsia"/>
              </w:rPr>
              <w:t>无危</w:t>
            </w:r>
          </w:p>
        </w:tc>
        <w:tc>
          <w:tcPr>
            <w:tcW w:w="361" w:type="pct"/>
            <w:vAlign w:val="center"/>
          </w:tcPr>
          <w:p w14:paraId="3D0D8B96">
            <w:pPr>
              <w:pStyle w:val="28"/>
              <w:bidi w:val="0"/>
            </w:pPr>
            <w:r>
              <w:rPr>
                <w:rFonts w:hint="eastAsia"/>
              </w:rPr>
              <w:t>否</w:t>
            </w:r>
          </w:p>
        </w:tc>
        <w:tc>
          <w:tcPr>
            <w:tcW w:w="361" w:type="pct"/>
            <w:vAlign w:val="center"/>
          </w:tcPr>
          <w:p w14:paraId="3914D7D1">
            <w:pPr>
              <w:pStyle w:val="28"/>
              <w:bidi w:val="0"/>
            </w:pPr>
            <w:r>
              <w:rPr>
                <w:rFonts w:hint="eastAsia"/>
              </w:rPr>
              <w:t>常见种</w:t>
            </w:r>
          </w:p>
        </w:tc>
        <w:tc>
          <w:tcPr>
            <w:tcW w:w="633" w:type="pct"/>
            <w:vAlign w:val="center"/>
          </w:tcPr>
          <w:p w14:paraId="767B7BD1">
            <w:pPr>
              <w:pStyle w:val="28"/>
              <w:bidi w:val="0"/>
            </w:pPr>
            <w:r>
              <w:t>广泛分布</w:t>
            </w:r>
          </w:p>
        </w:tc>
        <w:tc>
          <w:tcPr>
            <w:tcW w:w="663" w:type="pct"/>
            <w:vAlign w:val="center"/>
          </w:tcPr>
          <w:p w14:paraId="4D35EABC">
            <w:pPr>
              <w:pStyle w:val="28"/>
              <w:bidi w:val="0"/>
            </w:pPr>
            <w:r>
              <w:t>广泛分布</w:t>
            </w:r>
          </w:p>
        </w:tc>
      </w:tr>
      <w:tr w14:paraId="698B9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067AD903">
            <w:pPr>
              <w:pStyle w:val="28"/>
              <w:bidi w:val="0"/>
            </w:pPr>
            <w:r>
              <w:t>2</w:t>
            </w:r>
          </w:p>
        </w:tc>
        <w:tc>
          <w:tcPr>
            <w:tcW w:w="1671" w:type="pct"/>
            <w:vAlign w:val="center"/>
          </w:tcPr>
          <w:p w14:paraId="6FB461D9">
            <w:pPr>
              <w:pStyle w:val="28"/>
              <w:bidi w:val="0"/>
            </w:pPr>
            <w:r>
              <w:t>铜锈环棱螺</w:t>
            </w:r>
            <w:r>
              <w:rPr>
                <w:rFonts w:hint="eastAsia"/>
              </w:rPr>
              <w:t>（</w:t>
            </w:r>
            <w:r>
              <w:t>Bellamya aeruginosa</w:t>
            </w:r>
            <w:r>
              <w:rPr>
                <w:rFonts w:hint="eastAsia"/>
              </w:rPr>
              <w:t>）</w:t>
            </w:r>
          </w:p>
        </w:tc>
        <w:tc>
          <w:tcPr>
            <w:tcW w:w="451" w:type="pct"/>
            <w:vAlign w:val="center"/>
          </w:tcPr>
          <w:p w14:paraId="472AFA3C">
            <w:pPr>
              <w:pStyle w:val="28"/>
              <w:bidi w:val="0"/>
            </w:pPr>
          </w:p>
        </w:tc>
        <w:tc>
          <w:tcPr>
            <w:tcW w:w="451" w:type="pct"/>
            <w:vAlign w:val="center"/>
          </w:tcPr>
          <w:p w14:paraId="6CECEFFB">
            <w:pPr>
              <w:pStyle w:val="28"/>
              <w:bidi w:val="0"/>
            </w:pPr>
            <w:r>
              <w:rPr>
                <w:rFonts w:hint="eastAsia"/>
              </w:rPr>
              <w:t>无危</w:t>
            </w:r>
          </w:p>
        </w:tc>
        <w:tc>
          <w:tcPr>
            <w:tcW w:w="361" w:type="pct"/>
            <w:vAlign w:val="center"/>
          </w:tcPr>
          <w:p w14:paraId="1B4DA81C">
            <w:pPr>
              <w:pStyle w:val="28"/>
              <w:bidi w:val="0"/>
            </w:pPr>
            <w:r>
              <w:rPr>
                <w:rFonts w:hint="eastAsia"/>
              </w:rPr>
              <w:t>否</w:t>
            </w:r>
          </w:p>
        </w:tc>
        <w:tc>
          <w:tcPr>
            <w:tcW w:w="361" w:type="pct"/>
            <w:vAlign w:val="center"/>
          </w:tcPr>
          <w:p w14:paraId="48F778F8">
            <w:pPr>
              <w:pStyle w:val="28"/>
              <w:bidi w:val="0"/>
            </w:pPr>
            <w:r>
              <w:rPr>
                <w:rFonts w:hint="eastAsia"/>
              </w:rPr>
              <w:t>优势种</w:t>
            </w:r>
          </w:p>
        </w:tc>
        <w:tc>
          <w:tcPr>
            <w:tcW w:w="633" w:type="pct"/>
            <w:vAlign w:val="center"/>
          </w:tcPr>
          <w:p w14:paraId="48DF62B6">
            <w:pPr>
              <w:pStyle w:val="28"/>
              <w:bidi w:val="0"/>
            </w:pPr>
            <w:r>
              <w:t>广泛分布</w:t>
            </w:r>
          </w:p>
        </w:tc>
        <w:tc>
          <w:tcPr>
            <w:tcW w:w="663" w:type="pct"/>
            <w:vAlign w:val="center"/>
          </w:tcPr>
          <w:p w14:paraId="0C4F6129">
            <w:pPr>
              <w:pStyle w:val="28"/>
              <w:bidi w:val="0"/>
            </w:pPr>
            <w:r>
              <w:t>广泛分布</w:t>
            </w:r>
          </w:p>
        </w:tc>
      </w:tr>
      <w:tr w14:paraId="0A6A9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509D836B">
            <w:pPr>
              <w:pStyle w:val="28"/>
              <w:bidi w:val="0"/>
            </w:pPr>
            <w:r>
              <w:t>3</w:t>
            </w:r>
          </w:p>
        </w:tc>
        <w:tc>
          <w:tcPr>
            <w:tcW w:w="1671" w:type="pct"/>
            <w:vAlign w:val="center"/>
          </w:tcPr>
          <w:p w14:paraId="0C4DC5BF">
            <w:pPr>
              <w:pStyle w:val="28"/>
              <w:bidi w:val="0"/>
            </w:pPr>
            <w:r>
              <w:t>梨形环棱螺</w:t>
            </w:r>
            <w:r>
              <w:rPr>
                <w:rFonts w:hint="eastAsia"/>
              </w:rPr>
              <w:t>（</w:t>
            </w:r>
            <w:r>
              <w:t>Bellamya purificata</w:t>
            </w:r>
            <w:r>
              <w:rPr>
                <w:rFonts w:hint="eastAsia"/>
              </w:rPr>
              <w:t>）</w:t>
            </w:r>
          </w:p>
        </w:tc>
        <w:tc>
          <w:tcPr>
            <w:tcW w:w="451" w:type="pct"/>
            <w:vAlign w:val="center"/>
          </w:tcPr>
          <w:p w14:paraId="1085AA62">
            <w:pPr>
              <w:pStyle w:val="28"/>
              <w:bidi w:val="0"/>
            </w:pPr>
          </w:p>
        </w:tc>
        <w:tc>
          <w:tcPr>
            <w:tcW w:w="451" w:type="pct"/>
            <w:vAlign w:val="center"/>
          </w:tcPr>
          <w:p w14:paraId="5F098D52">
            <w:pPr>
              <w:pStyle w:val="28"/>
              <w:bidi w:val="0"/>
            </w:pPr>
            <w:r>
              <w:rPr>
                <w:rFonts w:hint="eastAsia"/>
              </w:rPr>
              <w:t>无危</w:t>
            </w:r>
          </w:p>
        </w:tc>
        <w:tc>
          <w:tcPr>
            <w:tcW w:w="361" w:type="pct"/>
            <w:vAlign w:val="center"/>
          </w:tcPr>
          <w:p w14:paraId="0FB85509">
            <w:pPr>
              <w:pStyle w:val="28"/>
              <w:bidi w:val="0"/>
            </w:pPr>
            <w:r>
              <w:rPr>
                <w:rFonts w:hint="eastAsia"/>
              </w:rPr>
              <w:t>否</w:t>
            </w:r>
          </w:p>
        </w:tc>
        <w:tc>
          <w:tcPr>
            <w:tcW w:w="361" w:type="pct"/>
            <w:vAlign w:val="center"/>
          </w:tcPr>
          <w:p w14:paraId="70832693">
            <w:pPr>
              <w:pStyle w:val="28"/>
              <w:bidi w:val="0"/>
            </w:pPr>
            <w:r>
              <w:rPr>
                <w:rFonts w:hint="eastAsia"/>
              </w:rPr>
              <w:t>常见种</w:t>
            </w:r>
          </w:p>
        </w:tc>
        <w:tc>
          <w:tcPr>
            <w:tcW w:w="633" w:type="pct"/>
            <w:vAlign w:val="center"/>
          </w:tcPr>
          <w:p w14:paraId="05FBE247">
            <w:pPr>
              <w:pStyle w:val="28"/>
              <w:bidi w:val="0"/>
            </w:pPr>
            <w:r>
              <w:t>广泛分布</w:t>
            </w:r>
          </w:p>
        </w:tc>
        <w:tc>
          <w:tcPr>
            <w:tcW w:w="663" w:type="pct"/>
            <w:vAlign w:val="center"/>
          </w:tcPr>
          <w:p w14:paraId="1DECEE8F">
            <w:pPr>
              <w:pStyle w:val="28"/>
              <w:bidi w:val="0"/>
            </w:pPr>
            <w:r>
              <w:t>广泛分布</w:t>
            </w:r>
          </w:p>
        </w:tc>
      </w:tr>
      <w:tr w14:paraId="5FA75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377AE0EC">
            <w:pPr>
              <w:pStyle w:val="28"/>
              <w:bidi w:val="0"/>
            </w:pPr>
            <w:r>
              <w:t>（2）</w:t>
            </w:r>
          </w:p>
        </w:tc>
        <w:tc>
          <w:tcPr>
            <w:tcW w:w="1671" w:type="pct"/>
            <w:vAlign w:val="center"/>
          </w:tcPr>
          <w:p w14:paraId="5162200D">
            <w:pPr>
              <w:pStyle w:val="28"/>
              <w:bidi w:val="0"/>
            </w:pPr>
            <w:r>
              <w:t>圆田螺属</w:t>
            </w:r>
            <w:r>
              <w:rPr>
                <w:rFonts w:hint="eastAsia"/>
              </w:rPr>
              <w:t>（</w:t>
            </w:r>
            <w:r>
              <w:t>Cipangopaludina</w:t>
            </w:r>
            <w:r>
              <w:rPr>
                <w:rFonts w:hint="eastAsia"/>
              </w:rPr>
              <w:t>）</w:t>
            </w:r>
          </w:p>
        </w:tc>
        <w:tc>
          <w:tcPr>
            <w:tcW w:w="451" w:type="pct"/>
            <w:vAlign w:val="center"/>
          </w:tcPr>
          <w:p w14:paraId="23E3972A">
            <w:pPr>
              <w:pStyle w:val="28"/>
              <w:bidi w:val="0"/>
            </w:pPr>
          </w:p>
        </w:tc>
        <w:tc>
          <w:tcPr>
            <w:tcW w:w="451" w:type="pct"/>
            <w:vAlign w:val="center"/>
          </w:tcPr>
          <w:p w14:paraId="1005AE63">
            <w:pPr>
              <w:pStyle w:val="28"/>
              <w:bidi w:val="0"/>
            </w:pPr>
            <w:r>
              <w:rPr>
                <w:rFonts w:hint="eastAsia"/>
              </w:rPr>
              <w:t>无危</w:t>
            </w:r>
          </w:p>
        </w:tc>
        <w:tc>
          <w:tcPr>
            <w:tcW w:w="361" w:type="pct"/>
            <w:vAlign w:val="center"/>
          </w:tcPr>
          <w:p w14:paraId="0976C56D">
            <w:pPr>
              <w:pStyle w:val="28"/>
              <w:bidi w:val="0"/>
            </w:pPr>
            <w:r>
              <w:rPr>
                <w:rFonts w:hint="eastAsia"/>
              </w:rPr>
              <w:t>否</w:t>
            </w:r>
          </w:p>
        </w:tc>
        <w:tc>
          <w:tcPr>
            <w:tcW w:w="361" w:type="pct"/>
            <w:vAlign w:val="center"/>
          </w:tcPr>
          <w:p w14:paraId="4165BD49">
            <w:pPr>
              <w:pStyle w:val="28"/>
              <w:bidi w:val="0"/>
            </w:pPr>
          </w:p>
        </w:tc>
        <w:tc>
          <w:tcPr>
            <w:tcW w:w="633" w:type="pct"/>
            <w:vAlign w:val="center"/>
          </w:tcPr>
          <w:p w14:paraId="23D804E1">
            <w:pPr>
              <w:pStyle w:val="28"/>
              <w:bidi w:val="0"/>
            </w:pPr>
          </w:p>
        </w:tc>
        <w:tc>
          <w:tcPr>
            <w:tcW w:w="663" w:type="pct"/>
            <w:vAlign w:val="center"/>
          </w:tcPr>
          <w:p w14:paraId="63222372">
            <w:pPr>
              <w:pStyle w:val="28"/>
              <w:bidi w:val="0"/>
            </w:pPr>
          </w:p>
        </w:tc>
      </w:tr>
      <w:tr w14:paraId="7DB42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6E19E4CC">
            <w:pPr>
              <w:pStyle w:val="28"/>
              <w:bidi w:val="0"/>
            </w:pPr>
            <w:r>
              <w:t>4</w:t>
            </w:r>
          </w:p>
        </w:tc>
        <w:tc>
          <w:tcPr>
            <w:tcW w:w="1671" w:type="pct"/>
            <w:vAlign w:val="center"/>
          </w:tcPr>
          <w:p w14:paraId="0C47A77B">
            <w:pPr>
              <w:pStyle w:val="28"/>
              <w:bidi w:val="0"/>
            </w:pPr>
            <w:r>
              <w:t>中国圆田螺</w:t>
            </w:r>
            <w:r>
              <w:rPr>
                <w:rFonts w:hint="eastAsia"/>
              </w:rPr>
              <w:t>（</w:t>
            </w:r>
            <w:r>
              <w:t>Cipangopaludina chinensis</w:t>
            </w:r>
            <w:r>
              <w:rPr>
                <w:rFonts w:hint="eastAsia"/>
              </w:rPr>
              <w:t>）</w:t>
            </w:r>
          </w:p>
        </w:tc>
        <w:tc>
          <w:tcPr>
            <w:tcW w:w="451" w:type="pct"/>
            <w:vAlign w:val="center"/>
          </w:tcPr>
          <w:p w14:paraId="60B19E5E">
            <w:pPr>
              <w:pStyle w:val="28"/>
              <w:bidi w:val="0"/>
            </w:pPr>
          </w:p>
        </w:tc>
        <w:tc>
          <w:tcPr>
            <w:tcW w:w="451" w:type="pct"/>
            <w:vAlign w:val="center"/>
          </w:tcPr>
          <w:p w14:paraId="4AAB6544">
            <w:pPr>
              <w:pStyle w:val="28"/>
              <w:bidi w:val="0"/>
            </w:pPr>
            <w:r>
              <w:rPr>
                <w:rFonts w:hint="eastAsia"/>
              </w:rPr>
              <w:t>无危</w:t>
            </w:r>
          </w:p>
        </w:tc>
        <w:tc>
          <w:tcPr>
            <w:tcW w:w="361" w:type="pct"/>
            <w:vAlign w:val="center"/>
          </w:tcPr>
          <w:p w14:paraId="2A24CDD9">
            <w:pPr>
              <w:pStyle w:val="28"/>
              <w:bidi w:val="0"/>
            </w:pPr>
            <w:r>
              <w:rPr>
                <w:rFonts w:hint="eastAsia"/>
              </w:rPr>
              <w:t>否</w:t>
            </w:r>
          </w:p>
        </w:tc>
        <w:tc>
          <w:tcPr>
            <w:tcW w:w="361" w:type="pct"/>
            <w:vAlign w:val="center"/>
          </w:tcPr>
          <w:p w14:paraId="4DBE86AF">
            <w:pPr>
              <w:pStyle w:val="28"/>
              <w:bidi w:val="0"/>
            </w:pPr>
            <w:r>
              <w:rPr>
                <w:rFonts w:hint="eastAsia"/>
              </w:rPr>
              <w:t>常见种</w:t>
            </w:r>
          </w:p>
        </w:tc>
        <w:tc>
          <w:tcPr>
            <w:tcW w:w="633" w:type="pct"/>
            <w:vAlign w:val="center"/>
          </w:tcPr>
          <w:p w14:paraId="0A463A1C">
            <w:pPr>
              <w:pStyle w:val="28"/>
              <w:bidi w:val="0"/>
            </w:pPr>
            <w:r>
              <w:rPr>
                <w:rFonts w:hint="eastAsia"/>
              </w:rPr>
              <w:t>淠</w:t>
            </w:r>
            <w:r>
              <w:t>河总干渠</w:t>
            </w:r>
          </w:p>
        </w:tc>
        <w:tc>
          <w:tcPr>
            <w:tcW w:w="663" w:type="pct"/>
            <w:vAlign w:val="center"/>
          </w:tcPr>
          <w:p w14:paraId="235C3B4F">
            <w:pPr>
              <w:pStyle w:val="28"/>
              <w:bidi w:val="0"/>
            </w:pPr>
          </w:p>
        </w:tc>
      </w:tr>
      <w:tr w14:paraId="38F0D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79908B81">
            <w:pPr>
              <w:pStyle w:val="28"/>
              <w:bidi w:val="0"/>
            </w:pPr>
            <w:r>
              <w:t>（二）</w:t>
            </w:r>
          </w:p>
        </w:tc>
        <w:tc>
          <w:tcPr>
            <w:tcW w:w="1671" w:type="pct"/>
            <w:vAlign w:val="center"/>
          </w:tcPr>
          <w:p w14:paraId="5EA6D4B3">
            <w:pPr>
              <w:pStyle w:val="28"/>
              <w:bidi w:val="0"/>
            </w:pPr>
            <w:r>
              <w:t>椎实螺科</w:t>
            </w:r>
            <w:r>
              <w:rPr>
                <w:rFonts w:hint="eastAsia"/>
              </w:rPr>
              <w:t>（</w:t>
            </w:r>
            <w:r>
              <w:t>Lymnaeidae</w:t>
            </w:r>
            <w:r>
              <w:rPr>
                <w:rFonts w:hint="eastAsia"/>
              </w:rPr>
              <w:t>）</w:t>
            </w:r>
          </w:p>
        </w:tc>
        <w:tc>
          <w:tcPr>
            <w:tcW w:w="451" w:type="pct"/>
            <w:vAlign w:val="center"/>
          </w:tcPr>
          <w:p w14:paraId="15CF8DEF">
            <w:pPr>
              <w:pStyle w:val="28"/>
              <w:bidi w:val="0"/>
            </w:pPr>
          </w:p>
        </w:tc>
        <w:tc>
          <w:tcPr>
            <w:tcW w:w="451" w:type="pct"/>
            <w:vAlign w:val="center"/>
          </w:tcPr>
          <w:p w14:paraId="7ECDBB53">
            <w:pPr>
              <w:pStyle w:val="28"/>
              <w:bidi w:val="0"/>
            </w:pPr>
            <w:r>
              <w:rPr>
                <w:rFonts w:hint="eastAsia"/>
              </w:rPr>
              <w:t>无危</w:t>
            </w:r>
          </w:p>
        </w:tc>
        <w:tc>
          <w:tcPr>
            <w:tcW w:w="361" w:type="pct"/>
            <w:vAlign w:val="center"/>
          </w:tcPr>
          <w:p w14:paraId="03CDD789">
            <w:pPr>
              <w:pStyle w:val="28"/>
              <w:bidi w:val="0"/>
            </w:pPr>
            <w:r>
              <w:rPr>
                <w:rFonts w:hint="eastAsia"/>
              </w:rPr>
              <w:t>否</w:t>
            </w:r>
          </w:p>
        </w:tc>
        <w:tc>
          <w:tcPr>
            <w:tcW w:w="361" w:type="pct"/>
            <w:vAlign w:val="center"/>
          </w:tcPr>
          <w:p w14:paraId="7C4E7408">
            <w:pPr>
              <w:pStyle w:val="28"/>
              <w:bidi w:val="0"/>
            </w:pPr>
          </w:p>
        </w:tc>
        <w:tc>
          <w:tcPr>
            <w:tcW w:w="633" w:type="pct"/>
            <w:vAlign w:val="center"/>
          </w:tcPr>
          <w:p w14:paraId="27E4BFBC">
            <w:pPr>
              <w:pStyle w:val="28"/>
              <w:bidi w:val="0"/>
            </w:pPr>
          </w:p>
        </w:tc>
        <w:tc>
          <w:tcPr>
            <w:tcW w:w="663" w:type="pct"/>
            <w:vAlign w:val="center"/>
          </w:tcPr>
          <w:p w14:paraId="29FA241F">
            <w:pPr>
              <w:pStyle w:val="28"/>
              <w:bidi w:val="0"/>
            </w:pPr>
          </w:p>
        </w:tc>
      </w:tr>
      <w:tr w14:paraId="59C86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784C3AA6">
            <w:pPr>
              <w:pStyle w:val="28"/>
              <w:bidi w:val="0"/>
            </w:pPr>
            <w:r>
              <w:t>（3）</w:t>
            </w:r>
          </w:p>
        </w:tc>
        <w:tc>
          <w:tcPr>
            <w:tcW w:w="1671" w:type="pct"/>
            <w:vAlign w:val="center"/>
          </w:tcPr>
          <w:p w14:paraId="5DA70C5C">
            <w:pPr>
              <w:pStyle w:val="28"/>
              <w:bidi w:val="0"/>
            </w:pPr>
            <w:r>
              <w:t>萝卜螺属</w:t>
            </w:r>
            <w:r>
              <w:rPr>
                <w:rFonts w:hint="eastAsia"/>
              </w:rPr>
              <w:t>（</w:t>
            </w:r>
            <w:r>
              <w:t>Radix</w:t>
            </w:r>
            <w:r>
              <w:rPr>
                <w:rFonts w:hint="eastAsia"/>
              </w:rPr>
              <w:t>）</w:t>
            </w:r>
          </w:p>
        </w:tc>
        <w:tc>
          <w:tcPr>
            <w:tcW w:w="451" w:type="pct"/>
            <w:vAlign w:val="center"/>
          </w:tcPr>
          <w:p w14:paraId="76483B9D">
            <w:pPr>
              <w:pStyle w:val="28"/>
              <w:bidi w:val="0"/>
            </w:pPr>
          </w:p>
        </w:tc>
        <w:tc>
          <w:tcPr>
            <w:tcW w:w="451" w:type="pct"/>
            <w:vAlign w:val="center"/>
          </w:tcPr>
          <w:p w14:paraId="1EA12803">
            <w:pPr>
              <w:pStyle w:val="28"/>
              <w:bidi w:val="0"/>
            </w:pPr>
            <w:r>
              <w:rPr>
                <w:rFonts w:hint="eastAsia"/>
              </w:rPr>
              <w:t>无危</w:t>
            </w:r>
          </w:p>
        </w:tc>
        <w:tc>
          <w:tcPr>
            <w:tcW w:w="361" w:type="pct"/>
            <w:vAlign w:val="center"/>
          </w:tcPr>
          <w:p w14:paraId="3E03AF4C">
            <w:pPr>
              <w:pStyle w:val="28"/>
              <w:bidi w:val="0"/>
            </w:pPr>
            <w:r>
              <w:rPr>
                <w:rFonts w:hint="eastAsia"/>
              </w:rPr>
              <w:t>否</w:t>
            </w:r>
          </w:p>
        </w:tc>
        <w:tc>
          <w:tcPr>
            <w:tcW w:w="361" w:type="pct"/>
            <w:vAlign w:val="center"/>
          </w:tcPr>
          <w:p w14:paraId="0B80B7E1">
            <w:pPr>
              <w:pStyle w:val="28"/>
              <w:bidi w:val="0"/>
            </w:pPr>
          </w:p>
        </w:tc>
        <w:tc>
          <w:tcPr>
            <w:tcW w:w="633" w:type="pct"/>
            <w:vAlign w:val="center"/>
          </w:tcPr>
          <w:p w14:paraId="1E8798DB">
            <w:pPr>
              <w:pStyle w:val="28"/>
              <w:bidi w:val="0"/>
            </w:pPr>
          </w:p>
        </w:tc>
        <w:tc>
          <w:tcPr>
            <w:tcW w:w="663" w:type="pct"/>
            <w:vAlign w:val="center"/>
          </w:tcPr>
          <w:p w14:paraId="0C2B6768">
            <w:pPr>
              <w:pStyle w:val="28"/>
              <w:bidi w:val="0"/>
            </w:pPr>
          </w:p>
        </w:tc>
      </w:tr>
      <w:tr w14:paraId="28B89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63509C7A">
            <w:pPr>
              <w:pStyle w:val="28"/>
              <w:bidi w:val="0"/>
            </w:pPr>
            <w:r>
              <w:t>5</w:t>
            </w:r>
          </w:p>
        </w:tc>
        <w:tc>
          <w:tcPr>
            <w:tcW w:w="1671" w:type="pct"/>
            <w:vAlign w:val="center"/>
          </w:tcPr>
          <w:p w14:paraId="4CF3AD46">
            <w:pPr>
              <w:pStyle w:val="28"/>
              <w:bidi w:val="0"/>
            </w:pPr>
            <w:r>
              <w:t>椭圆萝卜螺</w:t>
            </w:r>
            <w:r>
              <w:rPr>
                <w:rFonts w:hint="eastAsia"/>
              </w:rPr>
              <w:t>（</w:t>
            </w:r>
            <w:r>
              <w:t>Radix swinhoei</w:t>
            </w:r>
            <w:r>
              <w:rPr>
                <w:rFonts w:hint="eastAsia"/>
              </w:rPr>
              <w:t>）</w:t>
            </w:r>
          </w:p>
        </w:tc>
        <w:tc>
          <w:tcPr>
            <w:tcW w:w="451" w:type="pct"/>
            <w:vAlign w:val="center"/>
          </w:tcPr>
          <w:p w14:paraId="11BB7325">
            <w:pPr>
              <w:pStyle w:val="28"/>
              <w:bidi w:val="0"/>
            </w:pPr>
          </w:p>
        </w:tc>
        <w:tc>
          <w:tcPr>
            <w:tcW w:w="451" w:type="pct"/>
            <w:vAlign w:val="center"/>
          </w:tcPr>
          <w:p w14:paraId="290FB962">
            <w:pPr>
              <w:pStyle w:val="28"/>
              <w:bidi w:val="0"/>
            </w:pPr>
            <w:r>
              <w:rPr>
                <w:rFonts w:hint="eastAsia"/>
              </w:rPr>
              <w:t>无危</w:t>
            </w:r>
          </w:p>
        </w:tc>
        <w:tc>
          <w:tcPr>
            <w:tcW w:w="361" w:type="pct"/>
            <w:vAlign w:val="center"/>
          </w:tcPr>
          <w:p w14:paraId="13796A59">
            <w:pPr>
              <w:pStyle w:val="28"/>
              <w:bidi w:val="0"/>
            </w:pPr>
            <w:r>
              <w:rPr>
                <w:rFonts w:hint="eastAsia"/>
              </w:rPr>
              <w:t>否</w:t>
            </w:r>
          </w:p>
        </w:tc>
        <w:tc>
          <w:tcPr>
            <w:tcW w:w="361" w:type="pct"/>
            <w:vAlign w:val="center"/>
          </w:tcPr>
          <w:p w14:paraId="4286E993">
            <w:pPr>
              <w:pStyle w:val="28"/>
              <w:bidi w:val="0"/>
            </w:pPr>
            <w:r>
              <w:rPr>
                <w:rFonts w:hint="eastAsia"/>
              </w:rPr>
              <w:t>优势种</w:t>
            </w:r>
          </w:p>
        </w:tc>
        <w:tc>
          <w:tcPr>
            <w:tcW w:w="633" w:type="pct"/>
            <w:vAlign w:val="center"/>
          </w:tcPr>
          <w:p w14:paraId="5EC9788A">
            <w:pPr>
              <w:pStyle w:val="28"/>
              <w:bidi w:val="0"/>
            </w:pPr>
            <w:r>
              <w:t>广泛分布</w:t>
            </w:r>
          </w:p>
        </w:tc>
        <w:tc>
          <w:tcPr>
            <w:tcW w:w="663" w:type="pct"/>
            <w:vAlign w:val="center"/>
          </w:tcPr>
          <w:p w14:paraId="4447F777">
            <w:pPr>
              <w:pStyle w:val="28"/>
              <w:bidi w:val="0"/>
            </w:pPr>
            <w:r>
              <w:t>广泛分布</w:t>
            </w:r>
          </w:p>
        </w:tc>
      </w:tr>
      <w:tr w14:paraId="73977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50C3CA1D">
            <w:pPr>
              <w:pStyle w:val="28"/>
              <w:bidi w:val="0"/>
            </w:pPr>
            <w:r>
              <w:t>（</w:t>
            </w:r>
            <w:r>
              <w:rPr>
                <w:rFonts w:hint="eastAsia"/>
              </w:rPr>
              <w:t>三</w:t>
            </w:r>
            <w:r>
              <w:t>）</w:t>
            </w:r>
          </w:p>
        </w:tc>
        <w:tc>
          <w:tcPr>
            <w:tcW w:w="1671" w:type="pct"/>
            <w:vAlign w:val="center"/>
          </w:tcPr>
          <w:p w14:paraId="2493AECD">
            <w:pPr>
              <w:pStyle w:val="28"/>
              <w:bidi w:val="0"/>
            </w:pPr>
            <w:r>
              <w:t>短沟蜷科（</w:t>
            </w:r>
            <w:r>
              <w:rPr>
                <w:rFonts w:hint="eastAsia"/>
              </w:rPr>
              <w:t>S</w:t>
            </w:r>
            <w:r>
              <w:t>emisulcospiridae）</w:t>
            </w:r>
          </w:p>
        </w:tc>
        <w:tc>
          <w:tcPr>
            <w:tcW w:w="451" w:type="pct"/>
            <w:vAlign w:val="center"/>
          </w:tcPr>
          <w:p w14:paraId="1FD1D7F1">
            <w:pPr>
              <w:pStyle w:val="28"/>
              <w:bidi w:val="0"/>
            </w:pPr>
          </w:p>
        </w:tc>
        <w:tc>
          <w:tcPr>
            <w:tcW w:w="451" w:type="pct"/>
            <w:vAlign w:val="center"/>
          </w:tcPr>
          <w:p w14:paraId="082D7C41">
            <w:pPr>
              <w:pStyle w:val="28"/>
              <w:bidi w:val="0"/>
            </w:pPr>
          </w:p>
        </w:tc>
        <w:tc>
          <w:tcPr>
            <w:tcW w:w="361" w:type="pct"/>
            <w:vAlign w:val="center"/>
          </w:tcPr>
          <w:p w14:paraId="0018CAC9">
            <w:pPr>
              <w:pStyle w:val="28"/>
              <w:bidi w:val="0"/>
            </w:pPr>
          </w:p>
        </w:tc>
        <w:tc>
          <w:tcPr>
            <w:tcW w:w="361" w:type="pct"/>
            <w:vAlign w:val="center"/>
          </w:tcPr>
          <w:p w14:paraId="7538638C">
            <w:pPr>
              <w:pStyle w:val="28"/>
              <w:bidi w:val="0"/>
            </w:pPr>
          </w:p>
        </w:tc>
        <w:tc>
          <w:tcPr>
            <w:tcW w:w="633" w:type="pct"/>
            <w:vAlign w:val="center"/>
          </w:tcPr>
          <w:p w14:paraId="4FAE9064">
            <w:pPr>
              <w:pStyle w:val="28"/>
              <w:bidi w:val="0"/>
            </w:pPr>
          </w:p>
        </w:tc>
        <w:tc>
          <w:tcPr>
            <w:tcW w:w="663" w:type="pct"/>
            <w:vAlign w:val="center"/>
          </w:tcPr>
          <w:p w14:paraId="5626E61A">
            <w:pPr>
              <w:pStyle w:val="28"/>
              <w:bidi w:val="0"/>
            </w:pPr>
          </w:p>
        </w:tc>
      </w:tr>
      <w:tr w14:paraId="27B857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2ADCA15B">
            <w:pPr>
              <w:pStyle w:val="28"/>
              <w:bidi w:val="0"/>
            </w:pPr>
            <w:r>
              <w:t>（</w:t>
            </w:r>
            <w:r>
              <w:rPr>
                <w:rFonts w:hint="eastAsia"/>
              </w:rPr>
              <w:t>4</w:t>
            </w:r>
            <w:r>
              <w:t>）</w:t>
            </w:r>
          </w:p>
        </w:tc>
        <w:tc>
          <w:tcPr>
            <w:tcW w:w="1671" w:type="pct"/>
            <w:vAlign w:val="center"/>
          </w:tcPr>
          <w:p w14:paraId="5D6B03AE">
            <w:pPr>
              <w:pStyle w:val="28"/>
              <w:bidi w:val="0"/>
            </w:pPr>
            <w:r>
              <w:rPr>
                <w:rFonts w:hint="eastAsia"/>
              </w:rPr>
              <w:t>短沟蜷属（S</w:t>
            </w:r>
            <w:r>
              <w:t>emisulcospira</w:t>
            </w:r>
            <w:r>
              <w:rPr>
                <w:rFonts w:hint="eastAsia"/>
              </w:rPr>
              <w:t>）</w:t>
            </w:r>
          </w:p>
        </w:tc>
        <w:tc>
          <w:tcPr>
            <w:tcW w:w="451" w:type="pct"/>
            <w:vAlign w:val="center"/>
          </w:tcPr>
          <w:p w14:paraId="0C2ACFA8">
            <w:pPr>
              <w:pStyle w:val="28"/>
              <w:bidi w:val="0"/>
            </w:pPr>
          </w:p>
        </w:tc>
        <w:tc>
          <w:tcPr>
            <w:tcW w:w="451" w:type="pct"/>
            <w:vAlign w:val="center"/>
          </w:tcPr>
          <w:p w14:paraId="057C7AF8">
            <w:pPr>
              <w:pStyle w:val="28"/>
              <w:bidi w:val="0"/>
            </w:pPr>
            <w:r>
              <w:rPr>
                <w:rFonts w:hint="eastAsia"/>
              </w:rPr>
              <w:t>无危</w:t>
            </w:r>
          </w:p>
        </w:tc>
        <w:tc>
          <w:tcPr>
            <w:tcW w:w="361" w:type="pct"/>
            <w:vAlign w:val="center"/>
          </w:tcPr>
          <w:p w14:paraId="016E8808">
            <w:pPr>
              <w:pStyle w:val="28"/>
              <w:bidi w:val="0"/>
            </w:pPr>
            <w:r>
              <w:rPr>
                <w:rFonts w:hint="eastAsia"/>
              </w:rPr>
              <w:t>否</w:t>
            </w:r>
          </w:p>
        </w:tc>
        <w:tc>
          <w:tcPr>
            <w:tcW w:w="361" w:type="pct"/>
            <w:vAlign w:val="center"/>
          </w:tcPr>
          <w:p w14:paraId="62DB9BC2">
            <w:pPr>
              <w:pStyle w:val="28"/>
              <w:bidi w:val="0"/>
            </w:pPr>
          </w:p>
        </w:tc>
        <w:tc>
          <w:tcPr>
            <w:tcW w:w="633" w:type="pct"/>
            <w:vAlign w:val="center"/>
          </w:tcPr>
          <w:p w14:paraId="7DDE4523">
            <w:pPr>
              <w:pStyle w:val="28"/>
              <w:bidi w:val="0"/>
            </w:pPr>
          </w:p>
        </w:tc>
        <w:tc>
          <w:tcPr>
            <w:tcW w:w="663" w:type="pct"/>
            <w:vAlign w:val="center"/>
          </w:tcPr>
          <w:p w14:paraId="41C5BDD3">
            <w:pPr>
              <w:pStyle w:val="28"/>
              <w:bidi w:val="0"/>
            </w:pPr>
          </w:p>
        </w:tc>
      </w:tr>
      <w:tr w14:paraId="0B9A6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13497BF7">
            <w:pPr>
              <w:pStyle w:val="28"/>
              <w:bidi w:val="0"/>
            </w:pPr>
            <w:r>
              <w:rPr>
                <w:rFonts w:hint="eastAsia"/>
              </w:rPr>
              <w:t>6</w:t>
            </w:r>
          </w:p>
        </w:tc>
        <w:tc>
          <w:tcPr>
            <w:tcW w:w="1671" w:type="pct"/>
            <w:vAlign w:val="center"/>
          </w:tcPr>
          <w:p w14:paraId="792CFFA9">
            <w:pPr>
              <w:pStyle w:val="28"/>
              <w:bidi w:val="0"/>
            </w:pPr>
            <w:r>
              <w:t>方格短沟蜷（</w:t>
            </w:r>
            <w:r>
              <w:rPr>
                <w:rFonts w:hint="eastAsia"/>
              </w:rPr>
              <w:t>S</w:t>
            </w:r>
            <w:r>
              <w:t>emisulcospira cancellata）</w:t>
            </w:r>
          </w:p>
        </w:tc>
        <w:tc>
          <w:tcPr>
            <w:tcW w:w="451" w:type="pct"/>
            <w:vAlign w:val="center"/>
          </w:tcPr>
          <w:p w14:paraId="478D5D7A">
            <w:pPr>
              <w:pStyle w:val="28"/>
              <w:bidi w:val="0"/>
            </w:pPr>
          </w:p>
        </w:tc>
        <w:tc>
          <w:tcPr>
            <w:tcW w:w="451" w:type="pct"/>
            <w:vAlign w:val="center"/>
          </w:tcPr>
          <w:p w14:paraId="6F9087D0">
            <w:pPr>
              <w:pStyle w:val="28"/>
              <w:bidi w:val="0"/>
            </w:pPr>
            <w:r>
              <w:rPr>
                <w:rFonts w:hint="eastAsia"/>
              </w:rPr>
              <w:t>无危</w:t>
            </w:r>
          </w:p>
        </w:tc>
        <w:tc>
          <w:tcPr>
            <w:tcW w:w="361" w:type="pct"/>
            <w:vAlign w:val="center"/>
          </w:tcPr>
          <w:p w14:paraId="529463B5">
            <w:pPr>
              <w:pStyle w:val="28"/>
              <w:bidi w:val="0"/>
            </w:pPr>
            <w:r>
              <w:rPr>
                <w:rFonts w:hint="eastAsia"/>
              </w:rPr>
              <w:t>否</w:t>
            </w:r>
          </w:p>
        </w:tc>
        <w:tc>
          <w:tcPr>
            <w:tcW w:w="361" w:type="pct"/>
            <w:vAlign w:val="center"/>
          </w:tcPr>
          <w:p w14:paraId="1EE87ECE">
            <w:pPr>
              <w:pStyle w:val="28"/>
              <w:bidi w:val="0"/>
            </w:pPr>
            <w:r>
              <w:rPr>
                <w:rFonts w:hint="eastAsia"/>
              </w:rPr>
              <w:t>常见种</w:t>
            </w:r>
          </w:p>
        </w:tc>
        <w:tc>
          <w:tcPr>
            <w:tcW w:w="633" w:type="pct"/>
            <w:vAlign w:val="center"/>
          </w:tcPr>
          <w:p w14:paraId="1041D3A1">
            <w:pPr>
              <w:pStyle w:val="28"/>
              <w:bidi w:val="0"/>
            </w:pPr>
            <w:r>
              <w:rPr>
                <w:rFonts w:hint="eastAsia"/>
              </w:rPr>
              <w:t>淠河总干渠</w:t>
            </w:r>
          </w:p>
        </w:tc>
        <w:tc>
          <w:tcPr>
            <w:tcW w:w="663" w:type="pct"/>
            <w:vAlign w:val="center"/>
          </w:tcPr>
          <w:p w14:paraId="099A4722">
            <w:pPr>
              <w:pStyle w:val="28"/>
              <w:bidi w:val="0"/>
            </w:pPr>
          </w:p>
        </w:tc>
      </w:tr>
      <w:tr w14:paraId="33487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5BD56791">
            <w:pPr>
              <w:pStyle w:val="28"/>
              <w:bidi w:val="0"/>
            </w:pPr>
            <w:r>
              <w:t>（四）</w:t>
            </w:r>
          </w:p>
        </w:tc>
        <w:tc>
          <w:tcPr>
            <w:tcW w:w="1671" w:type="pct"/>
            <w:vAlign w:val="center"/>
          </w:tcPr>
          <w:p w14:paraId="70E8CC72">
            <w:pPr>
              <w:pStyle w:val="28"/>
              <w:bidi w:val="0"/>
            </w:pPr>
            <w:r>
              <w:t>蚌科</w:t>
            </w:r>
            <w:r>
              <w:rPr>
                <w:rFonts w:hint="eastAsia"/>
              </w:rPr>
              <w:t>（</w:t>
            </w:r>
            <w:r>
              <w:t>Unionidae</w:t>
            </w:r>
            <w:r>
              <w:rPr>
                <w:rFonts w:hint="eastAsia"/>
              </w:rPr>
              <w:t>）</w:t>
            </w:r>
          </w:p>
        </w:tc>
        <w:tc>
          <w:tcPr>
            <w:tcW w:w="451" w:type="pct"/>
            <w:vAlign w:val="center"/>
          </w:tcPr>
          <w:p w14:paraId="09976CAB">
            <w:pPr>
              <w:pStyle w:val="28"/>
              <w:bidi w:val="0"/>
            </w:pPr>
          </w:p>
        </w:tc>
        <w:tc>
          <w:tcPr>
            <w:tcW w:w="451" w:type="pct"/>
            <w:vAlign w:val="center"/>
          </w:tcPr>
          <w:p w14:paraId="25DF8B39">
            <w:pPr>
              <w:pStyle w:val="28"/>
              <w:bidi w:val="0"/>
            </w:pPr>
            <w:r>
              <w:rPr>
                <w:rFonts w:hint="eastAsia"/>
              </w:rPr>
              <w:t>无危</w:t>
            </w:r>
          </w:p>
        </w:tc>
        <w:tc>
          <w:tcPr>
            <w:tcW w:w="361" w:type="pct"/>
            <w:vAlign w:val="center"/>
          </w:tcPr>
          <w:p w14:paraId="193C65E7">
            <w:pPr>
              <w:pStyle w:val="28"/>
              <w:bidi w:val="0"/>
            </w:pPr>
          </w:p>
        </w:tc>
        <w:tc>
          <w:tcPr>
            <w:tcW w:w="361" w:type="pct"/>
            <w:vAlign w:val="center"/>
          </w:tcPr>
          <w:p w14:paraId="45A4ED3B">
            <w:pPr>
              <w:pStyle w:val="28"/>
              <w:bidi w:val="0"/>
            </w:pPr>
          </w:p>
        </w:tc>
        <w:tc>
          <w:tcPr>
            <w:tcW w:w="633" w:type="pct"/>
            <w:vAlign w:val="center"/>
          </w:tcPr>
          <w:p w14:paraId="7E95F0F4">
            <w:pPr>
              <w:pStyle w:val="28"/>
              <w:bidi w:val="0"/>
            </w:pPr>
          </w:p>
        </w:tc>
        <w:tc>
          <w:tcPr>
            <w:tcW w:w="663" w:type="pct"/>
            <w:vAlign w:val="center"/>
          </w:tcPr>
          <w:p w14:paraId="51C56EC7">
            <w:pPr>
              <w:pStyle w:val="28"/>
              <w:bidi w:val="0"/>
            </w:pPr>
          </w:p>
        </w:tc>
      </w:tr>
      <w:tr w14:paraId="596A2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6FDC79FB">
            <w:pPr>
              <w:pStyle w:val="28"/>
              <w:bidi w:val="0"/>
            </w:pPr>
            <w:r>
              <w:t>（5）</w:t>
            </w:r>
          </w:p>
        </w:tc>
        <w:tc>
          <w:tcPr>
            <w:tcW w:w="1671" w:type="pct"/>
            <w:vAlign w:val="center"/>
          </w:tcPr>
          <w:p w14:paraId="50845291">
            <w:pPr>
              <w:pStyle w:val="28"/>
              <w:bidi w:val="0"/>
            </w:pPr>
            <w:r>
              <w:t>无齿蚌属</w:t>
            </w:r>
            <w:r>
              <w:rPr>
                <w:rFonts w:hint="eastAsia"/>
              </w:rPr>
              <w:t>（</w:t>
            </w:r>
            <w:r>
              <w:t>Anodonta</w:t>
            </w:r>
            <w:r>
              <w:rPr>
                <w:rFonts w:hint="eastAsia"/>
              </w:rPr>
              <w:t>）</w:t>
            </w:r>
          </w:p>
        </w:tc>
        <w:tc>
          <w:tcPr>
            <w:tcW w:w="451" w:type="pct"/>
            <w:vAlign w:val="center"/>
          </w:tcPr>
          <w:p w14:paraId="1D550A9E">
            <w:pPr>
              <w:pStyle w:val="28"/>
              <w:bidi w:val="0"/>
            </w:pPr>
          </w:p>
        </w:tc>
        <w:tc>
          <w:tcPr>
            <w:tcW w:w="451" w:type="pct"/>
            <w:vAlign w:val="center"/>
          </w:tcPr>
          <w:p w14:paraId="5FFD89EC">
            <w:pPr>
              <w:pStyle w:val="28"/>
              <w:bidi w:val="0"/>
            </w:pPr>
            <w:r>
              <w:rPr>
                <w:rFonts w:hint="eastAsia"/>
              </w:rPr>
              <w:t>无危</w:t>
            </w:r>
          </w:p>
        </w:tc>
        <w:tc>
          <w:tcPr>
            <w:tcW w:w="361" w:type="pct"/>
            <w:vAlign w:val="center"/>
          </w:tcPr>
          <w:p w14:paraId="068F034E">
            <w:pPr>
              <w:pStyle w:val="28"/>
              <w:bidi w:val="0"/>
            </w:pPr>
            <w:r>
              <w:rPr>
                <w:rFonts w:hint="eastAsia"/>
              </w:rPr>
              <w:t>否</w:t>
            </w:r>
          </w:p>
        </w:tc>
        <w:tc>
          <w:tcPr>
            <w:tcW w:w="361" w:type="pct"/>
            <w:vAlign w:val="center"/>
          </w:tcPr>
          <w:p w14:paraId="75DB88FE">
            <w:pPr>
              <w:pStyle w:val="28"/>
              <w:bidi w:val="0"/>
            </w:pPr>
          </w:p>
        </w:tc>
        <w:tc>
          <w:tcPr>
            <w:tcW w:w="633" w:type="pct"/>
            <w:vAlign w:val="center"/>
          </w:tcPr>
          <w:p w14:paraId="5BFC695A">
            <w:pPr>
              <w:pStyle w:val="28"/>
              <w:bidi w:val="0"/>
            </w:pPr>
          </w:p>
        </w:tc>
        <w:tc>
          <w:tcPr>
            <w:tcW w:w="663" w:type="pct"/>
            <w:vAlign w:val="center"/>
          </w:tcPr>
          <w:p w14:paraId="3398F16B">
            <w:pPr>
              <w:pStyle w:val="28"/>
              <w:bidi w:val="0"/>
            </w:pPr>
          </w:p>
        </w:tc>
      </w:tr>
      <w:tr w14:paraId="788F9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71F2A4C4">
            <w:pPr>
              <w:pStyle w:val="28"/>
              <w:bidi w:val="0"/>
            </w:pPr>
            <w:r>
              <w:t>7</w:t>
            </w:r>
          </w:p>
        </w:tc>
        <w:tc>
          <w:tcPr>
            <w:tcW w:w="1671" w:type="pct"/>
            <w:vAlign w:val="center"/>
          </w:tcPr>
          <w:p w14:paraId="36A52EE8">
            <w:pPr>
              <w:pStyle w:val="28"/>
              <w:bidi w:val="0"/>
            </w:pPr>
            <w:r>
              <w:t>背角无齿蚌</w:t>
            </w:r>
            <w:r>
              <w:rPr>
                <w:rFonts w:hint="eastAsia"/>
              </w:rPr>
              <w:t>（</w:t>
            </w:r>
            <w:r>
              <w:t>Anodonta woodiana</w:t>
            </w:r>
            <w:r>
              <w:rPr>
                <w:rFonts w:hint="eastAsia"/>
              </w:rPr>
              <w:t>）</w:t>
            </w:r>
          </w:p>
        </w:tc>
        <w:tc>
          <w:tcPr>
            <w:tcW w:w="451" w:type="pct"/>
            <w:vAlign w:val="center"/>
          </w:tcPr>
          <w:p w14:paraId="7322D267">
            <w:pPr>
              <w:pStyle w:val="28"/>
              <w:bidi w:val="0"/>
            </w:pPr>
          </w:p>
        </w:tc>
        <w:tc>
          <w:tcPr>
            <w:tcW w:w="451" w:type="pct"/>
            <w:vAlign w:val="center"/>
          </w:tcPr>
          <w:p w14:paraId="31ACF795">
            <w:pPr>
              <w:pStyle w:val="28"/>
              <w:bidi w:val="0"/>
            </w:pPr>
            <w:r>
              <w:rPr>
                <w:rFonts w:hint="eastAsia"/>
              </w:rPr>
              <w:t>无危</w:t>
            </w:r>
          </w:p>
        </w:tc>
        <w:tc>
          <w:tcPr>
            <w:tcW w:w="361" w:type="pct"/>
            <w:vAlign w:val="center"/>
          </w:tcPr>
          <w:p w14:paraId="26B79200">
            <w:pPr>
              <w:pStyle w:val="28"/>
              <w:bidi w:val="0"/>
            </w:pPr>
            <w:r>
              <w:rPr>
                <w:rFonts w:hint="eastAsia"/>
              </w:rPr>
              <w:t>否</w:t>
            </w:r>
          </w:p>
        </w:tc>
        <w:tc>
          <w:tcPr>
            <w:tcW w:w="361" w:type="pct"/>
            <w:vAlign w:val="center"/>
          </w:tcPr>
          <w:p w14:paraId="501AA55C">
            <w:pPr>
              <w:pStyle w:val="28"/>
              <w:bidi w:val="0"/>
            </w:pPr>
            <w:r>
              <w:rPr>
                <w:rFonts w:hint="eastAsia"/>
              </w:rPr>
              <w:t>常见种</w:t>
            </w:r>
          </w:p>
        </w:tc>
        <w:tc>
          <w:tcPr>
            <w:tcW w:w="633" w:type="pct"/>
            <w:vAlign w:val="center"/>
          </w:tcPr>
          <w:p w14:paraId="440B338E">
            <w:pPr>
              <w:pStyle w:val="28"/>
              <w:bidi w:val="0"/>
            </w:pPr>
            <w:r>
              <w:rPr>
                <w:rFonts w:hint="eastAsia"/>
              </w:rPr>
              <w:t>滁河总干渠</w:t>
            </w:r>
          </w:p>
        </w:tc>
        <w:tc>
          <w:tcPr>
            <w:tcW w:w="663" w:type="pct"/>
            <w:vAlign w:val="center"/>
          </w:tcPr>
          <w:p w14:paraId="7E642878">
            <w:pPr>
              <w:pStyle w:val="28"/>
              <w:bidi w:val="0"/>
            </w:pPr>
          </w:p>
        </w:tc>
      </w:tr>
      <w:tr w14:paraId="61F597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36E140C6">
            <w:pPr>
              <w:pStyle w:val="28"/>
              <w:bidi w:val="0"/>
            </w:pPr>
            <w:r>
              <w:rPr>
                <w:rFonts w:hint="eastAsia"/>
              </w:rPr>
              <w:t>8</w:t>
            </w:r>
          </w:p>
        </w:tc>
        <w:tc>
          <w:tcPr>
            <w:tcW w:w="1671" w:type="pct"/>
            <w:vAlign w:val="center"/>
          </w:tcPr>
          <w:p w14:paraId="290AD85F">
            <w:pPr>
              <w:pStyle w:val="28"/>
              <w:bidi w:val="0"/>
            </w:pPr>
            <w:r>
              <w:rPr>
                <w:rFonts w:hint="eastAsia"/>
              </w:rPr>
              <w:t>圆顶珠蚌（</w:t>
            </w:r>
            <w:r>
              <w:t>Unio douglasiae</w:t>
            </w:r>
            <w:r>
              <w:rPr>
                <w:rFonts w:hint="eastAsia"/>
              </w:rPr>
              <w:t>）</w:t>
            </w:r>
          </w:p>
        </w:tc>
        <w:tc>
          <w:tcPr>
            <w:tcW w:w="451" w:type="pct"/>
            <w:vAlign w:val="center"/>
          </w:tcPr>
          <w:p w14:paraId="63757D5D">
            <w:pPr>
              <w:pStyle w:val="28"/>
              <w:bidi w:val="0"/>
            </w:pPr>
          </w:p>
        </w:tc>
        <w:tc>
          <w:tcPr>
            <w:tcW w:w="451" w:type="pct"/>
            <w:vAlign w:val="center"/>
          </w:tcPr>
          <w:p w14:paraId="32463B02">
            <w:pPr>
              <w:pStyle w:val="28"/>
              <w:bidi w:val="0"/>
            </w:pPr>
          </w:p>
        </w:tc>
        <w:tc>
          <w:tcPr>
            <w:tcW w:w="361" w:type="pct"/>
            <w:vAlign w:val="center"/>
          </w:tcPr>
          <w:p w14:paraId="053111E9">
            <w:pPr>
              <w:pStyle w:val="28"/>
              <w:bidi w:val="0"/>
            </w:pPr>
          </w:p>
        </w:tc>
        <w:tc>
          <w:tcPr>
            <w:tcW w:w="361" w:type="pct"/>
            <w:vAlign w:val="center"/>
          </w:tcPr>
          <w:p w14:paraId="6F43A524">
            <w:pPr>
              <w:pStyle w:val="28"/>
              <w:bidi w:val="0"/>
            </w:pPr>
          </w:p>
        </w:tc>
        <w:tc>
          <w:tcPr>
            <w:tcW w:w="633" w:type="pct"/>
            <w:vAlign w:val="center"/>
          </w:tcPr>
          <w:p w14:paraId="536B2497">
            <w:pPr>
              <w:pStyle w:val="28"/>
              <w:bidi w:val="0"/>
            </w:pPr>
          </w:p>
        </w:tc>
        <w:tc>
          <w:tcPr>
            <w:tcW w:w="663" w:type="pct"/>
            <w:vAlign w:val="center"/>
          </w:tcPr>
          <w:p w14:paraId="0E97942D">
            <w:pPr>
              <w:pStyle w:val="28"/>
              <w:bidi w:val="0"/>
            </w:pPr>
          </w:p>
        </w:tc>
      </w:tr>
      <w:tr w14:paraId="79B96A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0F67FE48">
            <w:pPr>
              <w:pStyle w:val="28"/>
              <w:bidi w:val="0"/>
            </w:pPr>
            <w:r>
              <w:t>（五）</w:t>
            </w:r>
          </w:p>
        </w:tc>
        <w:tc>
          <w:tcPr>
            <w:tcW w:w="1671" w:type="pct"/>
            <w:vAlign w:val="center"/>
          </w:tcPr>
          <w:p w14:paraId="5E82B4BE">
            <w:pPr>
              <w:pStyle w:val="28"/>
              <w:bidi w:val="0"/>
            </w:pPr>
            <w:r>
              <w:t>蚬科</w:t>
            </w:r>
            <w:r>
              <w:rPr>
                <w:rFonts w:hint="eastAsia"/>
              </w:rPr>
              <w:t>（</w:t>
            </w:r>
            <w:r>
              <w:t>Corbicu</w:t>
            </w:r>
            <w:r>
              <w:rPr>
                <w:rFonts w:hint="eastAsia"/>
              </w:rPr>
              <w:t>）</w:t>
            </w:r>
          </w:p>
        </w:tc>
        <w:tc>
          <w:tcPr>
            <w:tcW w:w="451" w:type="pct"/>
            <w:vAlign w:val="center"/>
          </w:tcPr>
          <w:p w14:paraId="1455CF45">
            <w:pPr>
              <w:pStyle w:val="28"/>
              <w:bidi w:val="0"/>
            </w:pPr>
          </w:p>
        </w:tc>
        <w:tc>
          <w:tcPr>
            <w:tcW w:w="451" w:type="pct"/>
            <w:vAlign w:val="center"/>
          </w:tcPr>
          <w:p w14:paraId="78515302">
            <w:pPr>
              <w:pStyle w:val="28"/>
              <w:bidi w:val="0"/>
            </w:pPr>
            <w:r>
              <w:rPr>
                <w:rFonts w:hint="eastAsia"/>
              </w:rPr>
              <w:t>无危</w:t>
            </w:r>
          </w:p>
        </w:tc>
        <w:tc>
          <w:tcPr>
            <w:tcW w:w="361" w:type="pct"/>
            <w:vAlign w:val="center"/>
          </w:tcPr>
          <w:p w14:paraId="3E6070BA">
            <w:pPr>
              <w:pStyle w:val="28"/>
              <w:bidi w:val="0"/>
            </w:pPr>
            <w:r>
              <w:rPr>
                <w:rFonts w:hint="eastAsia"/>
              </w:rPr>
              <w:t>否</w:t>
            </w:r>
          </w:p>
        </w:tc>
        <w:tc>
          <w:tcPr>
            <w:tcW w:w="361" w:type="pct"/>
            <w:vAlign w:val="center"/>
          </w:tcPr>
          <w:p w14:paraId="1B9F890B">
            <w:pPr>
              <w:pStyle w:val="28"/>
              <w:bidi w:val="0"/>
            </w:pPr>
          </w:p>
        </w:tc>
        <w:tc>
          <w:tcPr>
            <w:tcW w:w="633" w:type="pct"/>
            <w:vAlign w:val="center"/>
          </w:tcPr>
          <w:p w14:paraId="0CA0A13F">
            <w:pPr>
              <w:pStyle w:val="28"/>
              <w:bidi w:val="0"/>
            </w:pPr>
          </w:p>
        </w:tc>
        <w:tc>
          <w:tcPr>
            <w:tcW w:w="663" w:type="pct"/>
            <w:vAlign w:val="center"/>
          </w:tcPr>
          <w:p w14:paraId="521AE640">
            <w:pPr>
              <w:pStyle w:val="28"/>
              <w:bidi w:val="0"/>
            </w:pPr>
          </w:p>
        </w:tc>
      </w:tr>
      <w:tr w14:paraId="70534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4F23276E">
            <w:pPr>
              <w:pStyle w:val="28"/>
              <w:bidi w:val="0"/>
            </w:pPr>
            <w:r>
              <w:t>（6）</w:t>
            </w:r>
          </w:p>
        </w:tc>
        <w:tc>
          <w:tcPr>
            <w:tcW w:w="1671" w:type="pct"/>
            <w:vAlign w:val="center"/>
          </w:tcPr>
          <w:p w14:paraId="3CA1A4A2">
            <w:pPr>
              <w:pStyle w:val="28"/>
              <w:bidi w:val="0"/>
            </w:pPr>
            <w:r>
              <w:t>蚬属</w:t>
            </w:r>
            <w:r>
              <w:rPr>
                <w:rFonts w:hint="eastAsia"/>
              </w:rPr>
              <w:t>（</w:t>
            </w:r>
            <w:r>
              <w:t>Corbicula</w:t>
            </w:r>
            <w:r>
              <w:rPr>
                <w:rFonts w:hint="eastAsia"/>
              </w:rPr>
              <w:t>）</w:t>
            </w:r>
          </w:p>
        </w:tc>
        <w:tc>
          <w:tcPr>
            <w:tcW w:w="451" w:type="pct"/>
            <w:vAlign w:val="center"/>
          </w:tcPr>
          <w:p w14:paraId="2E53EABE">
            <w:pPr>
              <w:pStyle w:val="28"/>
              <w:bidi w:val="0"/>
            </w:pPr>
          </w:p>
        </w:tc>
        <w:tc>
          <w:tcPr>
            <w:tcW w:w="451" w:type="pct"/>
            <w:vAlign w:val="center"/>
          </w:tcPr>
          <w:p w14:paraId="43537E61">
            <w:pPr>
              <w:pStyle w:val="28"/>
              <w:bidi w:val="0"/>
            </w:pPr>
            <w:r>
              <w:rPr>
                <w:rFonts w:hint="eastAsia"/>
              </w:rPr>
              <w:t>无危</w:t>
            </w:r>
          </w:p>
        </w:tc>
        <w:tc>
          <w:tcPr>
            <w:tcW w:w="361" w:type="pct"/>
            <w:vAlign w:val="center"/>
          </w:tcPr>
          <w:p w14:paraId="331F2DA9">
            <w:pPr>
              <w:pStyle w:val="28"/>
              <w:bidi w:val="0"/>
            </w:pPr>
            <w:r>
              <w:rPr>
                <w:rFonts w:hint="eastAsia"/>
              </w:rPr>
              <w:t>否</w:t>
            </w:r>
          </w:p>
        </w:tc>
        <w:tc>
          <w:tcPr>
            <w:tcW w:w="361" w:type="pct"/>
            <w:vAlign w:val="center"/>
          </w:tcPr>
          <w:p w14:paraId="15588A3C">
            <w:pPr>
              <w:pStyle w:val="28"/>
              <w:bidi w:val="0"/>
            </w:pPr>
          </w:p>
        </w:tc>
        <w:tc>
          <w:tcPr>
            <w:tcW w:w="633" w:type="pct"/>
            <w:vAlign w:val="center"/>
          </w:tcPr>
          <w:p w14:paraId="1F3389F2">
            <w:pPr>
              <w:pStyle w:val="28"/>
              <w:bidi w:val="0"/>
            </w:pPr>
          </w:p>
        </w:tc>
        <w:tc>
          <w:tcPr>
            <w:tcW w:w="663" w:type="pct"/>
            <w:vAlign w:val="center"/>
          </w:tcPr>
          <w:p w14:paraId="66655C7A">
            <w:pPr>
              <w:pStyle w:val="28"/>
              <w:bidi w:val="0"/>
            </w:pPr>
          </w:p>
        </w:tc>
      </w:tr>
      <w:tr w14:paraId="566DA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0433041F">
            <w:pPr>
              <w:pStyle w:val="28"/>
              <w:bidi w:val="0"/>
            </w:pPr>
            <w:r>
              <w:rPr>
                <w:rFonts w:hint="eastAsia"/>
              </w:rPr>
              <w:t>9</w:t>
            </w:r>
          </w:p>
        </w:tc>
        <w:tc>
          <w:tcPr>
            <w:tcW w:w="1671" w:type="pct"/>
            <w:vAlign w:val="center"/>
          </w:tcPr>
          <w:p w14:paraId="4B2CC092">
            <w:pPr>
              <w:pStyle w:val="28"/>
              <w:bidi w:val="0"/>
            </w:pPr>
            <w:r>
              <w:t>河蚬</w:t>
            </w:r>
            <w:r>
              <w:rPr>
                <w:rFonts w:hint="eastAsia"/>
              </w:rPr>
              <w:t>（</w:t>
            </w:r>
            <w:r>
              <w:t>Corbicula fluminea</w:t>
            </w:r>
            <w:r>
              <w:rPr>
                <w:rFonts w:hint="eastAsia"/>
              </w:rPr>
              <w:t>）</w:t>
            </w:r>
          </w:p>
        </w:tc>
        <w:tc>
          <w:tcPr>
            <w:tcW w:w="451" w:type="pct"/>
            <w:vAlign w:val="center"/>
          </w:tcPr>
          <w:p w14:paraId="2A483A10">
            <w:pPr>
              <w:pStyle w:val="28"/>
              <w:bidi w:val="0"/>
            </w:pPr>
          </w:p>
        </w:tc>
        <w:tc>
          <w:tcPr>
            <w:tcW w:w="451" w:type="pct"/>
            <w:vAlign w:val="center"/>
          </w:tcPr>
          <w:p w14:paraId="4F7B8850">
            <w:pPr>
              <w:pStyle w:val="28"/>
              <w:bidi w:val="0"/>
            </w:pPr>
            <w:r>
              <w:rPr>
                <w:rFonts w:hint="eastAsia"/>
              </w:rPr>
              <w:t>无危</w:t>
            </w:r>
          </w:p>
        </w:tc>
        <w:tc>
          <w:tcPr>
            <w:tcW w:w="361" w:type="pct"/>
            <w:vAlign w:val="center"/>
          </w:tcPr>
          <w:p w14:paraId="00B052BA">
            <w:pPr>
              <w:pStyle w:val="28"/>
              <w:bidi w:val="0"/>
            </w:pPr>
            <w:r>
              <w:rPr>
                <w:rFonts w:hint="eastAsia"/>
              </w:rPr>
              <w:t>否</w:t>
            </w:r>
          </w:p>
        </w:tc>
        <w:tc>
          <w:tcPr>
            <w:tcW w:w="361" w:type="pct"/>
            <w:vAlign w:val="center"/>
          </w:tcPr>
          <w:p w14:paraId="29F215ED">
            <w:pPr>
              <w:pStyle w:val="28"/>
              <w:bidi w:val="0"/>
            </w:pPr>
            <w:r>
              <w:rPr>
                <w:rFonts w:hint="eastAsia"/>
              </w:rPr>
              <w:t>常见种</w:t>
            </w:r>
          </w:p>
        </w:tc>
        <w:tc>
          <w:tcPr>
            <w:tcW w:w="633" w:type="pct"/>
            <w:vAlign w:val="center"/>
          </w:tcPr>
          <w:p w14:paraId="66BF39DE">
            <w:pPr>
              <w:pStyle w:val="28"/>
              <w:bidi w:val="0"/>
            </w:pPr>
            <w:r>
              <w:t>广泛分布</w:t>
            </w:r>
          </w:p>
        </w:tc>
        <w:tc>
          <w:tcPr>
            <w:tcW w:w="663" w:type="pct"/>
            <w:vAlign w:val="center"/>
          </w:tcPr>
          <w:p w14:paraId="096CC49D">
            <w:pPr>
              <w:pStyle w:val="28"/>
              <w:bidi w:val="0"/>
            </w:pPr>
            <w:r>
              <w:t>广泛分布</w:t>
            </w:r>
          </w:p>
        </w:tc>
      </w:tr>
      <w:tr w14:paraId="468291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06BF7832">
            <w:pPr>
              <w:pStyle w:val="28"/>
              <w:bidi w:val="0"/>
            </w:pPr>
            <w:r>
              <w:t>二</w:t>
            </w:r>
          </w:p>
        </w:tc>
        <w:tc>
          <w:tcPr>
            <w:tcW w:w="1671" w:type="pct"/>
            <w:vAlign w:val="center"/>
          </w:tcPr>
          <w:p w14:paraId="112C3C65">
            <w:pPr>
              <w:pStyle w:val="28"/>
              <w:bidi w:val="0"/>
            </w:pPr>
            <w:r>
              <w:t>节肢动物门</w:t>
            </w:r>
            <w:r>
              <w:rPr>
                <w:rFonts w:hint="eastAsia"/>
              </w:rPr>
              <w:t>（</w:t>
            </w:r>
            <w:r>
              <w:t>Arthropoda</w:t>
            </w:r>
            <w:r>
              <w:rPr>
                <w:rFonts w:hint="eastAsia"/>
              </w:rPr>
              <w:t>）</w:t>
            </w:r>
          </w:p>
        </w:tc>
        <w:tc>
          <w:tcPr>
            <w:tcW w:w="451" w:type="pct"/>
            <w:vAlign w:val="center"/>
          </w:tcPr>
          <w:p w14:paraId="273916B7">
            <w:pPr>
              <w:pStyle w:val="28"/>
              <w:bidi w:val="0"/>
            </w:pPr>
          </w:p>
        </w:tc>
        <w:tc>
          <w:tcPr>
            <w:tcW w:w="451" w:type="pct"/>
            <w:vAlign w:val="center"/>
          </w:tcPr>
          <w:p w14:paraId="6515F549">
            <w:pPr>
              <w:pStyle w:val="28"/>
              <w:bidi w:val="0"/>
            </w:pPr>
          </w:p>
        </w:tc>
        <w:tc>
          <w:tcPr>
            <w:tcW w:w="361" w:type="pct"/>
            <w:vAlign w:val="center"/>
          </w:tcPr>
          <w:p w14:paraId="04731B00">
            <w:pPr>
              <w:pStyle w:val="28"/>
              <w:bidi w:val="0"/>
            </w:pPr>
          </w:p>
        </w:tc>
        <w:tc>
          <w:tcPr>
            <w:tcW w:w="361" w:type="pct"/>
            <w:vAlign w:val="center"/>
          </w:tcPr>
          <w:p w14:paraId="6F27D246">
            <w:pPr>
              <w:pStyle w:val="28"/>
              <w:bidi w:val="0"/>
            </w:pPr>
          </w:p>
        </w:tc>
        <w:tc>
          <w:tcPr>
            <w:tcW w:w="633" w:type="pct"/>
            <w:vAlign w:val="center"/>
          </w:tcPr>
          <w:p w14:paraId="7EC5316E">
            <w:pPr>
              <w:pStyle w:val="28"/>
              <w:bidi w:val="0"/>
            </w:pPr>
          </w:p>
        </w:tc>
        <w:tc>
          <w:tcPr>
            <w:tcW w:w="663" w:type="pct"/>
            <w:vAlign w:val="center"/>
          </w:tcPr>
          <w:p w14:paraId="14FD9C18">
            <w:pPr>
              <w:pStyle w:val="28"/>
              <w:bidi w:val="0"/>
            </w:pPr>
          </w:p>
        </w:tc>
      </w:tr>
      <w:tr w14:paraId="4D841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39B57033">
            <w:pPr>
              <w:pStyle w:val="28"/>
              <w:bidi w:val="0"/>
            </w:pPr>
            <w:r>
              <w:t>（六）</w:t>
            </w:r>
          </w:p>
        </w:tc>
        <w:tc>
          <w:tcPr>
            <w:tcW w:w="1671" w:type="pct"/>
            <w:vAlign w:val="center"/>
          </w:tcPr>
          <w:p w14:paraId="6EFB10AB">
            <w:pPr>
              <w:pStyle w:val="28"/>
              <w:bidi w:val="0"/>
            </w:pPr>
            <w:r>
              <w:t>蟌科</w:t>
            </w:r>
            <w:r>
              <w:rPr>
                <w:rFonts w:hint="eastAsia"/>
              </w:rPr>
              <w:t>（</w:t>
            </w:r>
            <w:r>
              <w:t>Coenagrionidae</w:t>
            </w:r>
            <w:r>
              <w:rPr>
                <w:rFonts w:hint="eastAsia"/>
              </w:rPr>
              <w:t>）</w:t>
            </w:r>
          </w:p>
        </w:tc>
        <w:tc>
          <w:tcPr>
            <w:tcW w:w="451" w:type="pct"/>
            <w:vAlign w:val="center"/>
          </w:tcPr>
          <w:p w14:paraId="470C29EF">
            <w:pPr>
              <w:pStyle w:val="28"/>
              <w:bidi w:val="0"/>
            </w:pPr>
          </w:p>
        </w:tc>
        <w:tc>
          <w:tcPr>
            <w:tcW w:w="451" w:type="pct"/>
            <w:vAlign w:val="center"/>
          </w:tcPr>
          <w:p w14:paraId="1868046A">
            <w:pPr>
              <w:pStyle w:val="28"/>
              <w:bidi w:val="0"/>
            </w:pPr>
            <w:r>
              <w:rPr>
                <w:rFonts w:hint="eastAsia"/>
              </w:rPr>
              <w:t>无危</w:t>
            </w:r>
          </w:p>
        </w:tc>
        <w:tc>
          <w:tcPr>
            <w:tcW w:w="361" w:type="pct"/>
            <w:vAlign w:val="center"/>
          </w:tcPr>
          <w:p w14:paraId="09A94325">
            <w:pPr>
              <w:pStyle w:val="28"/>
              <w:bidi w:val="0"/>
            </w:pPr>
            <w:r>
              <w:rPr>
                <w:rFonts w:hint="eastAsia"/>
              </w:rPr>
              <w:t>否</w:t>
            </w:r>
          </w:p>
        </w:tc>
        <w:tc>
          <w:tcPr>
            <w:tcW w:w="361" w:type="pct"/>
            <w:vAlign w:val="center"/>
          </w:tcPr>
          <w:p w14:paraId="124FE993">
            <w:pPr>
              <w:pStyle w:val="28"/>
              <w:bidi w:val="0"/>
            </w:pPr>
            <w:r>
              <w:rPr>
                <w:rFonts w:hint="eastAsia"/>
              </w:rPr>
              <w:t>常见种</w:t>
            </w:r>
          </w:p>
        </w:tc>
        <w:tc>
          <w:tcPr>
            <w:tcW w:w="633" w:type="pct"/>
            <w:vAlign w:val="center"/>
          </w:tcPr>
          <w:p w14:paraId="0693F0E0">
            <w:pPr>
              <w:pStyle w:val="28"/>
              <w:bidi w:val="0"/>
            </w:pPr>
            <w:r>
              <w:t>广泛分布</w:t>
            </w:r>
          </w:p>
        </w:tc>
        <w:tc>
          <w:tcPr>
            <w:tcW w:w="663" w:type="pct"/>
            <w:vAlign w:val="center"/>
          </w:tcPr>
          <w:p w14:paraId="61F52739">
            <w:pPr>
              <w:pStyle w:val="28"/>
              <w:bidi w:val="0"/>
            </w:pPr>
            <w:r>
              <w:t>广泛分布</w:t>
            </w:r>
          </w:p>
        </w:tc>
      </w:tr>
      <w:tr w14:paraId="2718B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71AE86FF">
            <w:pPr>
              <w:pStyle w:val="28"/>
              <w:bidi w:val="0"/>
            </w:pPr>
            <w:r>
              <w:t>（</w:t>
            </w:r>
            <w:r>
              <w:rPr>
                <w:rFonts w:hint="eastAsia"/>
              </w:rPr>
              <w:t>七</w:t>
            </w:r>
            <w:r>
              <w:t>）</w:t>
            </w:r>
          </w:p>
        </w:tc>
        <w:tc>
          <w:tcPr>
            <w:tcW w:w="1671" w:type="pct"/>
            <w:vAlign w:val="center"/>
          </w:tcPr>
          <w:p w14:paraId="79A9725E">
            <w:pPr>
              <w:pStyle w:val="28"/>
              <w:bidi w:val="0"/>
            </w:pPr>
            <w:r>
              <w:t>蜻科（</w:t>
            </w:r>
            <w:r>
              <w:rPr>
                <w:rFonts w:hint="eastAsia"/>
              </w:rPr>
              <w:t>L</w:t>
            </w:r>
            <w:r>
              <w:t>ibellulidae）</w:t>
            </w:r>
          </w:p>
        </w:tc>
        <w:tc>
          <w:tcPr>
            <w:tcW w:w="451" w:type="pct"/>
            <w:vAlign w:val="center"/>
          </w:tcPr>
          <w:p w14:paraId="20160ED5">
            <w:pPr>
              <w:pStyle w:val="28"/>
              <w:bidi w:val="0"/>
            </w:pPr>
          </w:p>
        </w:tc>
        <w:tc>
          <w:tcPr>
            <w:tcW w:w="451" w:type="pct"/>
          </w:tcPr>
          <w:p w14:paraId="4713FA6A">
            <w:pPr>
              <w:pStyle w:val="28"/>
              <w:bidi w:val="0"/>
            </w:pPr>
            <w:r>
              <w:rPr>
                <w:rFonts w:hint="eastAsia"/>
              </w:rPr>
              <w:t>无危</w:t>
            </w:r>
          </w:p>
        </w:tc>
        <w:tc>
          <w:tcPr>
            <w:tcW w:w="361" w:type="pct"/>
          </w:tcPr>
          <w:p w14:paraId="25509D94">
            <w:pPr>
              <w:pStyle w:val="28"/>
              <w:bidi w:val="0"/>
            </w:pPr>
            <w:r>
              <w:t>否</w:t>
            </w:r>
          </w:p>
        </w:tc>
        <w:tc>
          <w:tcPr>
            <w:tcW w:w="361" w:type="pct"/>
          </w:tcPr>
          <w:p w14:paraId="28FD9D83">
            <w:pPr>
              <w:pStyle w:val="28"/>
              <w:bidi w:val="0"/>
            </w:pPr>
            <w:r>
              <w:t>常见种</w:t>
            </w:r>
          </w:p>
        </w:tc>
        <w:tc>
          <w:tcPr>
            <w:tcW w:w="633" w:type="pct"/>
          </w:tcPr>
          <w:p w14:paraId="3F882E33">
            <w:pPr>
              <w:pStyle w:val="28"/>
              <w:bidi w:val="0"/>
            </w:pPr>
            <w:r>
              <w:rPr>
                <w:rFonts w:hint="eastAsia"/>
              </w:rPr>
              <w:t>滁河总干渠</w:t>
            </w:r>
          </w:p>
        </w:tc>
        <w:tc>
          <w:tcPr>
            <w:tcW w:w="663" w:type="pct"/>
          </w:tcPr>
          <w:p w14:paraId="18BFD934">
            <w:pPr>
              <w:pStyle w:val="28"/>
              <w:bidi w:val="0"/>
            </w:pPr>
          </w:p>
        </w:tc>
      </w:tr>
      <w:tr w14:paraId="2531A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23A5353D">
            <w:pPr>
              <w:pStyle w:val="28"/>
              <w:bidi w:val="0"/>
            </w:pPr>
            <w:r>
              <w:t>（</w:t>
            </w:r>
            <w:r>
              <w:rPr>
                <w:rFonts w:hint="eastAsia"/>
              </w:rPr>
              <w:t>八</w:t>
            </w:r>
            <w:r>
              <w:t>）</w:t>
            </w:r>
          </w:p>
        </w:tc>
        <w:tc>
          <w:tcPr>
            <w:tcW w:w="1671" w:type="pct"/>
            <w:vAlign w:val="center"/>
          </w:tcPr>
          <w:p w14:paraId="6A03AAA5">
            <w:pPr>
              <w:pStyle w:val="28"/>
              <w:bidi w:val="0"/>
            </w:pPr>
            <w:r>
              <w:t>摇蚊科</w:t>
            </w:r>
            <w:r>
              <w:rPr>
                <w:rFonts w:hint="eastAsia"/>
              </w:rPr>
              <w:t>（</w:t>
            </w:r>
            <w:r>
              <w:t>Chironomidae</w:t>
            </w:r>
            <w:r>
              <w:rPr>
                <w:rFonts w:hint="eastAsia"/>
              </w:rPr>
              <w:t>）</w:t>
            </w:r>
          </w:p>
        </w:tc>
        <w:tc>
          <w:tcPr>
            <w:tcW w:w="451" w:type="pct"/>
            <w:vAlign w:val="center"/>
          </w:tcPr>
          <w:p w14:paraId="742186A4">
            <w:pPr>
              <w:pStyle w:val="28"/>
              <w:bidi w:val="0"/>
            </w:pPr>
          </w:p>
        </w:tc>
        <w:tc>
          <w:tcPr>
            <w:tcW w:w="451" w:type="pct"/>
            <w:vAlign w:val="center"/>
          </w:tcPr>
          <w:p w14:paraId="41428832">
            <w:pPr>
              <w:pStyle w:val="28"/>
              <w:bidi w:val="0"/>
            </w:pPr>
            <w:r>
              <w:rPr>
                <w:rFonts w:hint="eastAsia"/>
              </w:rPr>
              <w:t>无危</w:t>
            </w:r>
          </w:p>
        </w:tc>
        <w:tc>
          <w:tcPr>
            <w:tcW w:w="361" w:type="pct"/>
            <w:vAlign w:val="center"/>
          </w:tcPr>
          <w:p w14:paraId="5BBC1349">
            <w:pPr>
              <w:pStyle w:val="28"/>
              <w:bidi w:val="0"/>
            </w:pPr>
            <w:r>
              <w:rPr>
                <w:rFonts w:hint="eastAsia"/>
              </w:rPr>
              <w:t>否</w:t>
            </w:r>
          </w:p>
        </w:tc>
        <w:tc>
          <w:tcPr>
            <w:tcW w:w="361" w:type="pct"/>
            <w:vAlign w:val="center"/>
          </w:tcPr>
          <w:p w14:paraId="64878217">
            <w:pPr>
              <w:pStyle w:val="28"/>
              <w:bidi w:val="0"/>
            </w:pPr>
          </w:p>
        </w:tc>
        <w:tc>
          <w:tcPr>
            <w:tcW w:w="633" w:type="pct"/>
            <w:vAlign w:val="center"/>
          </w:tcPr>
          <w:p w14:paraId="144FF1EB">
            <w:pPr>
              <w:pStyle w:val="28"/>
              <w:bidi w:val="0"/>
            </w:pPr>
          </w:p>
        </w:tc>
        <w:tc>
          <w:tcPr>
            <w:tcW w:w="663" w:type="pct"/>
            <w:vAlign w:val="center"/>
          </w:tcPr>
          <w:p w14:paraId="2EE809DD">
            <w:pPr>
              <w:pStyle w:val="28"/>
              <w:bidi w:val="0"/>
            </w:pPr>
          </w:p>
        </w:tc>
      </w:tr>
      <w:tr w14:paraId="24DDD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5F2CA974">
            <w:pPr>
              <w:pStyle w:val="28"/>
              <w:bidi w:val="0"/>
            </w:pPr>
            <w:r>
              <w:t>（7）</w:t>
            </w:r>
          </w:p>
        </w:tc>
        <w:tc>
          <w:tcPr>
            <w:tcW w:w="1671" w:type="pct"/>
            <w:vAlign w:val="center"/>
          </w:tcPr>
          <w:p w14:paraId="16005DA9">
            <w:pPr>
              <w:pStyle w:val="28"/>
              <w:bidi w:val="0"/>
            </w:pPr>
            <w:r>
              <w:t>摇蚊属</w:t>
            </w:r>
            <w:r>
              <w:rPr>
                <w:rFonts w:hint="eastAsia"/>
              </w:rPr>
              <w:t>（</w:t>
            </w:r>
            <w:r>
              <w:t>Chironomus</w:t>
            </w:r>
            <w:r>
              <w:rPr>
                <w:rFonts w:hint="eastAsia"/>
              </w:rPr>
              <w:t>）</w:t>
            </w:r>
          </w:p>
        </w:tc>
        <w:tc>
          <w:tcPr>
            <w:tcW w:w="451" w:type="pct"/>
            <w:vAlign w:val="center"/>
          </w:tcPr>
          <w:p w14:paraId="066CDCEE">
            <w:pPr>
              <w:pStyle w:val="28"/>
              <w:bidi w:val="0"/>
            </w:pPr>
          </w:p>
        </w:tc>
        <w:tc>
          <w:tcPr>
            <w:tcW w:w="451" w:type="pct"/>
            <w:vAlign w:val="center"/>
          </w:tcPr>
          <w:p w14:paraId="43A0B39E">
            <w:pPr>
              <w:pStyle w:val="28"/>
              <w:bidi w:val="0"/>
            </w:pPr>
            <w:r>
              <w:rPr>
                <w:rFonts w:hint="eastAsia"/>
              </w:rPr>
              <w:t>无危</w:t>
            </w:r>
          </w:p>
        </w:tc>
        <w:tc>
          <w:tcPr>
            <w:tcW w:w="361" w:type="pct"/>
            <w:vAlign w:val="center"/>
          </w:tcPr>
          <w:p w14:paraId="2F9D15C1">
            <w:pPr>
              <w:pStyle w:val="28"/>
              <w:bidi w:val="0"/>
            </w:pPr>
            <w:r>
              <w:rPr>
                <w:rFonts w:hint="eastAsia"/>
              </w:rPr>
              <w:t>否</w:t>
            </w:r>
          </w:p>
        </w:tc>
        <w:tc>
          <w:tcPr>
            <w:tcW w:w="361" w:type="pct"/>
            <w:vAlign w:val="center"/>
          </w:tcPr>
          <w:p w14:paraId="2E713197">
            <w:pPr>
              <w:pStyle w:val="28"/>
              <w:bidi w:val="0"/>
            </w:pPr>
            <w:r>
              <w:rPr>
                <w:rFonts w:hint="eastAsia"/>
              </w:rPr>
              <w:t>常见种</w:t>
            </w:r>
          </w:p>
        </w:tc>
        <w:tc>
          <w:tcPr>
            <w:tcW w:w="633" w:type="pct"/>
            <w:vAlign w:val="center"/>
          </w:tcPr>
          <w:p w14:paraId="183E87C4">
            <w:pPr>
              <w:pStyle w:val="28"/>
              <w:bidi w:val="0"/>
            </w:pPr>
          </w:p>
        </w:tc>
        <w:tc>
          <w:tcPr>
            <w:tcW w:w="663" w:type="pct"/>
            <w:vAlign w:val="center"/>
          </w:tcPr>
          <w:p w14:paraId="60495C0E">
            <w:pPr>
              <w:pStyle w:val="28"/>
              <w:bidi w:val="0"/>
            </w:pPr>
          </w:p>
        </w:tc>
      </w:tr>
      <w:tr w14:paraId="149FF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18CE5A3F">
            <w:pPr>
              <w:pStyle w:val="28"/>
              <w:bidi w:val="0"/>
            </w:pPr>
            <w:r>
              <w:t>（8）</w:t>
            </w:r>
          </w:p>
        </w:tc>
        <w:tc>
          <w:tcPr>
            <w:tcW w:w="1671" w:type="pct"/>
            <w:vAlign w:val="center"/>
          </w:tcPr>
          <w:p w14:paraId="6E94FDE8">
            <w:pPr>
              <w:pStyle w:val="28"/>
              <w:bidi w:val="0"/>
            </w:pPr>
            <w:r>
              <w:t>长足摇蚊属</w:t>
            </w:r>
            <w:r>
              <w:rPr>
                <w:rFonts w:hint="eastAsia"/>
              </w:rPr>
              <w:t>（</w:t>
            </w:r>
            <w:r>
              <w:t>Tanypus</w:t>
            </w:r>
            <w:r>
              <w:rPr>
                <w:rFonts w:hint="eastAsia"/>
              </w:rPr>
              <w:t>）</w:t>
            </w:r>
          </w:p>
        </w:tc>
        <w:tc>
          <w:tcPr>
            <w:tcW w:w="451" w:type="pct"/>
            <w:vAlign w:val="center"/>
          </w:tcPr>
          <w:p w14:paraId="5A46CF1C">
            <w:pPr>
              <w:pStyle w:val="28"/>
              <w:bidi w:val="0"/>
            </w:pPr>
          </w:p>
        </w:tc>
        <w:tc>
          <w:tcPr>
            <w:tcW w:w="451" w:type="pct"/>
            <w:vAlign w:val="center"/>
          </w:tcPr>
          <w:p w14:paraId="2F08AF90">
            <w:pPr>
              <w:pStyle w:val="28"/>
              <w:bidi w:val="0"/>
            </w:pPr>
            <w:r>
              <w:rPr>
                <w:rFonts w:hint="eastAsia"/>
              </w:rPr>
              <w:t>无危</w:t>
            </w:r>
          </w:p>
        </w:tc>
        <w:tc>
          <w:tcPr>
            <w:tcW w:w="361" w:type="pct"/>
            <w:vAlign w:val="center"/>
          </w:tcPr>
          <w:p w14:paraId="4099944C">
            <w:pPr>
              <w:pStyle w:val="28"/>
              <w:bidi w:val="0"/>
            </w:pPr>
            <w:r>
              <w:rPr>
                <w:rFonts w:hint="eastAsia"/>
              </w:rPr>
              <w:t>否</w:t>
            </w:r>
          </w:p>
        </w:tc>
        <w:tc>
          <w:tcPr>
            <w:tcW w:w="361" w:type="pct"/>
            <w:vAlign w:val="center"/>
          </w:tcPr>
          <w:p w14:paraId="04CEE3FB">
            <w:pPr>
              <w:pStyle w:val="28"/>
              <w:bidi w:val="0"/>
            </w:pPr>
            <w:r>
              <w:rPr>
                <w:rFonts w:hint="eastAsia"/>
              </w:rPr>
              <w:t>优势种</w:t>
            </w:r>
          </w:p>
        </w:tc>
        <w:tc>
          <w:tcPr>
            <w:tcW w:w="633" w:type="pct"/>
            <w:vAlign w:val="center"/>
          </w:tcPr>
          <w:p w14:paraId="18D13664">
            <w:pPr>
              <w:pStyle w:val="28"/>
              <w:bidi w:val="0"/>
            </w:pPr>
            <w:r>
              <w:t>广泛分布</w:t>
            </w:r>
          </w:p>
        </w:tc>
        <w:tc>
          <w:tcPr>
            <w:tcW w:w="663" w:type="pct"/>
            <w:vAlign w:val="center"/>
          </w:tcPr>
          <w:p w14:paraId="66D12108">
            <w:pPr>
              <w:pStyle w:val="28"/>
              <w:bidi w:val="0"/>
            </w:pPr>
            <w:r>
              <w:t>广泛分布</w:t>
            </w:r>
          </w:p>
        </w:tc>
      </w:tr>
      <w:tr w14:paraId="199A3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199AB73B">
            <w:pPr>
              <w:pStyle w:val="28"/>
              <w:bidi w:val="0"/>
            </w:pPr>
            <w:r>
              <w:t>（九）</w:t>
            </w:r>
          </w:p>
        </w:tc>
        <w:tc>
          <w:tcPr>
            <w:tcW w:w="1671" w:type="pct"/>
            <w:vAlign w:val="center"/>
          </w:tcPr>
          <w:p w14:paraId="47325CD4">
            <w:pPr>
              <w:pStyle w:val="28"/>
              <w:bidi w:val="0"/>
            </w:pPr>
            <w:r>
              <w:t>匙指虾科</w:t>
            </w:r>
            <w:r>
              <w:rPr>
                <w:rFonts w:hint="eastAsia"/>
              </w:rPr>
              <w:t>（</w:t>
            </w:r>
            <w:r>
              <w:t>Atyidae</w:t>
            </w:r>
            <w:r>
              <w:rPr>
                <w:rFonts w:hint="eastAsia"/>
              </w:rPr>
              <w:t>）</w:t>
            </w:r>
          </w:p>
        </w:tc>
        <w:tc>
          <w:tcPr>
            <w:tcW w:w="451" w:type="pct"/>
            <w:vAlign w:val="center"/>
          </w:tcPr>
          <w:p w14:paraId="49C0C1DF">
            <w:pPr>
              <w:pStyle w:val="28"/>
              <w:bidi w:val="0"/>
            </w:pPr>
          </w:p>
        </w:tc>
        <w:tc>
          <w:tcPr>
            <w:tcW w:w="451" w:type="pct"/>
            <w:vAlign w:val="center"/>
          </w:tcPr>
          <w:p w14:paraId="15B02E91">
            <w:pPr>
              <w:pStyle w:val="28"/>
              <w:bidi w:val="0"/>
            </w:pPr>
          </w:p>
        </w:tc>
        <w:tc>
          <w:tcPr>
            <w:tcW w:w="361" w:type="pct"/>
            <w:vAlign w:val="center"/>
          </w:tcPr>
          <w:p w14:paraId="741900B2">
            <w:pPr>
              <w:pStyle w:val="28"/>
              <w:bidi w:val="0"/>
            </w:pPr>
          </w:p>
        </w:tc>
        <w:tc>
          <w:tcPr>
            <w:tcW w:w="361" w:type="pct"/>
            <w:vAlign w:val="center"/>
          </w:tcPr>
          <w:p w14:paraId="2924502A">
            <w:pPr>
              <w:pStyle w:val="28"/>
              <w:bidi w:val="0"/>
            </w:pPr>
          </w:p>
        </w:tc>
        <w:tc>
          <w:tcPr>
            <w:tcW w:w="633" w:type="pct"/>
            <w:vAlign w:val="center"/>
          </w:tcPr>
          <w:p w14:paraId="73DA7EFE">
            <w:pPr>
              <w:pStyle w:val="28"/>
              <w:bidi w:val="0"/>
            </w:pPr>
          </w:p>
        </w:tc>
        <w:tc>
          <w:tcPr>
            <w:tcW w:w="663" w:type="pct"/>
            <w:vAlign w:val="center"/>
          </w:tcPr>
          <w:p w14:paraId="1BC5A2AB">
            <w:pPr>
              <w:pStyle w:val="28"/>
              <w:bidi w:val="0"/>
            </w:pPr>
          </w:p>
        </w:tc>
      </w:tr>
      <w:tr w14:paraId="328906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127B1069">
            <w:pPr>
              <w:pStyle w:val="28"/>
              <w:bidi w:val="0"/>
            </w:pPr>
            <w:r>
              <w:t>（</w:t>
            </w:r>
            <w:r>
              <w:rPr>
                <w:rFonts w:hint="eastAsia"/>
              </w:rPr>
              <w:t>9</w:t>
            </w:r>
            <w:r>
              <w:t>）</w:t>
            </w:r>
          </w:p>
        </w:tc>
        <w:tc>
          <w:tcPr>
            <w:tcW w:w="1671" w:type="pct"/>
            <w:vAlign w:val="center"/>
          </w:tcPr>
          <w:p w14:paraId="76D2D694">
            <w:pPr>
              <w:pStyle w:val="28"/>
              <w:bidi w:val="0"/>
            </w:pPr>
            <w:r>
              <w:t>米虾</w:t>
            </w:r>
            <w:r>
              <w:rPr>
                <w:rFonts w:hint="eastAsia"/>
              </w:rPr>
              <w:t>属（C</w:t>
            </w:r>
            <w:r>
              <w:t>aridina</w:t>
            </w:r>
            <w:r>
              <w:rPr>
                <w:rFonts w:hint="eastAsia"/>
              </w:rPr>
              <w:t>）</w:t>
            </w:r>
          </w:p>
        </w:tc>
        <w:tc>
          <w:tcPr>
            <w:tcW w:w="451" w:type="pct"/>
            <w:vAlign w:val="center"/>
          </w:tcPr>
          <w:p w14:paraId="5F10CF1F">
            <w:pPr>
              <w:pStyle w:val="28"/>
              <w:bidi w:val="0"/>
            </w:pPr>
          </w:p>
        </w:tc>
        <w:tc>
          <w:tcPr>
            <w:tcW w:w="451" w:type="pct"/>
            <w:vAlign w:val="center"/>
          </w:tcPr>
          <w:p w14:paraId="7AC6B44D">
            <w:pPr>
              <w:pStyle w:val="28"/>
              <w:bidi w:val="0"/>
            </w:pPr>
            <w:r>
              <w:rPr>
                <w:rFonts w:hint="eastAsia"/>
              </w:rPr>
              <w:t>无危</w:t>
            </w:r>
          </w:p>
        </w:tc>
        <w:tc>
          <w:tcPr>
            <w:tcW w:w="361" w:type="pct"/>
            <w:vAlign w:val="center"/>
          </w:tcPr>
          <w:p w14:paraId="5B99E83D">
            <w:pPr>
              <w:pStyle w:val="28"/>
              <w:bidi w:val="0"/>
            </w:pPr>
            <w:r>
              <w:rPr>
                <w:rFonts w:hint="eastAsia"/>
              </w:rPr>
              <w:t>否</w:t>
            </w:r>
          </w:p>
        </w:tc>
        <w:tc>
          <w:tcPr>
            <w:tcW w:w="361" w:type="pct"/>
            <w:vAlign w:val="center"/>
          </w:tcPr>
          <w:p w14:paraId="25480F4C">
            <w:pPr>
              <w:pStyle w:val="28"/>
              <w:bidi w:val="0"/>
            </w:pPr>
            <w:r>
              <w:rPr>
                <w:rFonts w:hint="eastAsia"/>
              </w:rPr>
              <w:t>常见种</w:t>
            </w:r>
          </w:p>
        </w:tc>
        <w:tc>
          <w:tcPr>
            <w:tcW w:w="633" w:type="pct"/>
            <w:vAlign w:val="center"/>
          </w:tcPr>
          <w:p w14:paraId="7FAA4A80">
            <w:pPr>
              <w:pStyle w:val="28"/>
              <w:bidi w:val="0"/>
            </w:pPr>
            <w:r>
              <w:t>广泛分布</w:t>
            </w:r>
          </w:p>
        </w:tc>
        <w:tc>
          <w:tcPr>
            <w:tcW w:w="663" w:type="pct"/>
            <w:vAlign w:val="center"/>
          </w:tcPr>
          <w:p w14:paraId="5050C290">
            <w:pPr>
              <w:pStyle w:val="28"/>
              <w:bidi w:val="0"/>
            </w:pPr>
            <w:r>
              <w:t>广泛分布</w:t>
            </w:r>
          </w:p>
        </w:tc>
      </w:tr>
      <w:tr w14:paraId="5809B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35C41AD7">
            <w:pPr>
              <w:pStyle w:val="28"/>
              <w:bidi w:val="0"/>
            </w:pPr>
            <w:r>
              <w:t>（十）</w:t>
            </w:r>
          </w:p>
        </w:tc>
        <w:tc>
          <w:tcPr>
            <w:tcW w:w="1671" w:type="pct"/>
            <w:vAlign w:val="center"/>
          </w:tcPr>
          <w:p w14:paraId="63EF0BA6">
            <w:pPr>
              <w:pStyle w:val="28"/>
              <w:bidi w:val="0"/>
            </w:pPr>
            <w:r>
              <w:t>长臂虾科</w:t>
            </w:r>
            <w:r>
              <w:rPr>
                <w:rFonts w:hint="eastAsia"/>
              </w:rPr>
              <w:t>（</w:t>
            </w:r>
            <w:r>
              <w:t>Palaemonidae</w:t>
            </w:r>
            <w:r>
              <w:rPr>
                <w:rFonts w:hint="eastAsia"/>
              </w:rPr>
              <w:t>）</w:t>
            </w:r>
          </w:p>
        </w:tc>
        <w:tc>
          <w:tcPr>
            <w:tcW w:w="451" w:type="pct"/>
            <w:vAlign w:val="center"/>
          </w:tcPr>
          <w:p w14:paraId="37990C05">
            <w:pPr>
              <w:pStyle w:val="28"/>
              <w:bidi w:val="0"/>
            </w:pPr>
          </w:p>
        </w:tc>
        <w:tc>
          <w:tcPr>
            <w:tcW w:w="451" w:type="pct"/>
            <w:vAlign w:val="center"/>
          </w:tcPr>
          <w:p w14:paraId="0B54A47E">
            <w:pPr>
              <w:pStyle w:val="28"/>
              <w:bidi w:val="0"/>
            </w:pPr>
            <w:r>
              <w:rPr>
                <w:rFonts w:hint="eastAsia"/>
              </w:rPr>
              <w:t>无危</w:t>
            </w:r>
          </w:p>
        </w:tc>
        <w:tc>
          <w:tcPr>
            <w:tcW w:w="361" w:type="pct"/>
            <w:vAlign w:val="center"/>
          </w:tcPr>
          <w:p w14:paraId="72767B5A">
            <w:pPr>
              <w:pStyle w:val="28"/>
              <w:bidi w:val="0"/>
            </w:pPr>
          </w:p>
        </w:tc>
        <w:tc>
          <w:tcPr>
            <w:tcW w:w="361" w:type="pct"/>
            <w:vAlign w:val="center"/>
          </w:tcPr>
          <w:p w14:paraId="137DDB6F">
            <w:pPr>
              <w:pStyle w:val="28"/>
              <w:bidi w:val="0"/>
            </w:pPr>
          </w:p>
        </w:tc>
        <w:tc>
          <w:tcPr>
            <w:tcW w:w="633" w:type="pct"/>
            <w:vAlign w:val="center"/>
          </w:tcPr>
          <w:p w14:paraId="44436CEE">
            <w:pPr>
              <w:pStyle w:val="28"/>
              <w:bidi w:val="0"/>
            </w:pPr>
          </w:p>
        </w:tc>
        <w:tc>
          <w:tcPr>
            <w:tcW w:w="663" w:type="pct"/>
            <w:vAlign w:val="center"/>
          </w:tcPr>
          <w:p w14:paraId="682096B4">
            <w:pPr>
              <w:pStyle w:val="28"/>
              <w:bidi w:val="0"/>
            </w:pPr>
          </w:p>
        </w:tc>
      </w:tr>
      <w:tr w14:paraId="122DE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1AB3ABD0">
            <w:pPr>
              <w:pStyle w:val="28"/>
              <w:bidi w:val="0"/>
            </w:pPr>
            <w:r>
              <w:t>（</w:t>
            </w:r>
            <w:r>
              <w:rPr>
                <w:rFonts w:hint="eastAsia"/>
              </w:rPr>
              <w:t>1</w:t>
            </w:r>
            <w:r>
              <w:t>0）</w:t>
            </w:r>
          </w:p>
        </w:tc>
        <w:tc>
          <w:tcPr>
            <w:tcW w:w="1671" w:type="pct"/>
            <w:vAlign w:val="center"/>
          </w:tcPr>
          <w:p w14:paraId="21C500BC">
            <w:pPr>
              <w:pStyle w:val="28"/>
              <w:bidi w:val="0"/>
            </w:pPr>
            <w:r>
              <w:t>沼虾属</w:t>
            </w:r>
            <w:r>
              <w:rPr>
                <w:rFonts w:hint="eastAsia"/>
              </w:rPr>
              <w:t>（M</w:t>
            </w:r>
            <w:r>
              <w:t>acrobrachium</w:t>
            </w:r>
            <w:r>
              <w:rPr>
                <w:rFonts w:hint="eastAsia"/>
              </w:rPr>
              <w:t>）</w:t>
            </w:r>
          </w:p>
        </w:tc>
        <w:tc>
          <w:tcPr>
            <w:tcW w:w="451" w:type="pct"/>
            <w:vAlign w:val="center"/>
          </w:tcPr>
          <w:p w14:paraId="31A859A1">
            <w:pPr>
              <w:pStyle w:val="28"/>
              <w:bidi w:val="0"/>
            </w:pPr>
          </w:p>
        </w:tc>
        <w:tc>
          <w:tcPr>
            <w:tcW w:w="451" w:type="pct"/>
            <w:vAlign w:val="center"/>
          </w:tcPr>
          <w:p w14:paraId="2D35292F">
            <w:pPr>
              <w:pStyle w:val="28"/>
              <w:bidi w:val="0"/>
            </w:pPr>
            <w:r>
              <w:rPr>
                <w:rFonts w:hint="eastAsia"/>
              </w:rPr>
              <w:t>无危</w:t>
            </w:r>
          </w:p>
        </w:tc>
        <w:tc>
          <w:tcPr>
            <w:tcW w:w="361" w:type="pct"/>
            <w:vAlign w:val="center"/>
          </w:tcPr>
          <w:p w14:paraId="5EED5FD9">
            <w:pPr>
              <w:pStyle w:val="28"/>
              <w:bidi w:val="0"/>
            </w:pPr>
          </w:p>
        </w:tc>
        <w:tc>
          <w:tcPr>
            <w:tcW w:w="361" w:type="pct"/>
            <w:vAlign w:val="center"/>
          </w:tcPr>
          <w:p w14:paraId="22C38BFA">
            <w:pPr>
              <w:pStyle w:val="28"/>
              <w:bidi w:val="0"/>
            </w:pPr>
          </w:p>
        </w:tc>
        <w:tc>
          <w:tcPr>
            <w:tcW w:w="633" w:type="pct"/>
            <w:vAlign w:val="center"/>
          </w:tcPr>
          <w:p w14:paraId="7AA37707">
            <w:pPr>
              <w:pStyle w:val="28"/>
              <w:bidi w:val="0"/>
            </w:pPr>
          </w:p>
        </w:tc>
        <w:tc>
          <w:tcPr>
            <w:tcW w:w="663" w:type="pct"/>
            <w:vAlign w:val="center"/>
          </w:tcPr>
          <w:p w14:paraId="43CC49D9">
            <w:pPr>
              <w:pStyle w:val="28"/>
              <w:bidi w:val="0"/>
            </w:pPr>
          </w:p>
        </w:tc>
      </w:tr>
      <w:tr w14:paraId="27B36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16E445C6">
            <w:pPr>
              <w:pStyle w:val="28"/>
              <w:bidi w:val="0"/>
            </w:pPr>
            <w:r>
              <w:rPr>
                <w:rFonts w:hint="eastAsia"/>
              </w:rPr>
              <w:t>10</w:t>
            </w:r>
          </w:p>
        </w:tc>
        <w:tc>
          <w:tcPr>
            <w:tcW w:w="1671" w:type="pct"/>
            <w:vAlign w:val="center"/>
          </w:tcPr>
          <w:p w14:paraId="159FD112">
            <w:pPr>
              <w:pStyle w:val="28"/>
              <w:bidi w:val="0"/>
            </w:pPr>
            <w:r>
              <w:t>日本沼虾（</w:t>
            </w:r>
            <w:r>
              <w:rPr>
                <w:rFonts w:hint="eastAsia"/>
              </w:rPr>
              <w:t>M</w:t>
            </w:r>
            <w:r>
              <w:t>acrobrachium nipponense）</w:t>
            </w:r>
          </w:p>
        </w:tc>
        <w:tc>
          <w:tcPr>
            <w:tcW w:w="451" w:type="pct"/>
            <w:vAlign w:val="center"/>
          </w:tcPr>
          <w:p w14:paraId="6D0F0A82">
            <w:pPr>
              <w:pStyle w:val="28"/>
              <w:bidi w:val="0"/>
            </w:pPr>
          </w:p>
        </w:tc>
        <w:tc>
          <w:tcPr>
            <w:tcW w:w="451" w:type="pct"/>
            <w:vAlign w:val="center"/>
          </w:tcPr>
          <w:p w14:paraId="49584414">
            <w:pPr>
              <w:pStyle w:val="28"/>
              <w:bidi w:val="0"/>
            </w:pPr>
            <w:r>
              <w:rPr>
                <w:rFonts w:hint="eastAsia"/>
              </w:rPr>
              <w:t>无危</w:t>
            </w:r>
          </w:p>
        </w:tc>
        <w:tc>
          <w:tcPr>
            <w:tcW w:w="361" w:type="pct"/>
            <w:vAlign w:val="center"/>
          </w:tcPr>
          <w:p w14:paraId="020E8F49">
            <w:pPr>
              <w:pStyle w:val="28"/>
              <w:bidi w:val="0"/>
            </w:pPr>
            <w:r>
              <w:rPr>
                <w:rFonts w:hint="eastAsia"/>
              </w:rPr>
              <w:t>否</w:t>
            </w:r>
          </w:p>
        </w:tc>
        <w:tc>
          <w:tcPr>
            <w:tcW w:w="361" w:type="pct"/>
            <w:vAlign w:val="center"/>
          </w:tcPr>
          <w:p w14:paraId="3F5EC0E4">
            <w:pPr>
              <w:pStyle w:val="28"/>
              <w:bidi w:val="0"/>
            </w:pPr>
            <w:r>
              <w:rPr>
                <w:rFonts w:hint="eastAsia"/>
              </w:rPr>
              <w:t>常见种</w:t>
            </w:r>
          </w:p>
        </w:tc>
        <w:tc>
          <w:tcPr>
            <w:tcW w:w="633" w:type="pct"/>
            <w:vAlign w:val="center"/>
          </w:tcPr>
          <w:p w14:paraId="70B3ACC5">
            <w:pPr>
              <w:pStyle w:val="28"/>
              <w:bidi w:val="0"/>
            </w:pPr>
            <w:r>
              <w:t>广泛分布</w:t>
            </w:r>
          </w:p>
        </w:tc>
        <w:tc>
          <w:tcPr>
            <w:tcW w:w="663" w:type="pct"/>
            <w:vAlign w:val="center"/>
          </w:tcPr>
          <w:p w14:paraId="3C9C9F1C">
            <w:pPr>
              <w:pStyle w:val="28"/>
              <w:bidi w:val="0"/>
            </w:pPr>
            <w:r>
              <w:t>广泛分布</w:t>
            </w:r>
          </w:p>
        </w:tc>
      </w:tr>
      <w:tr w14:paraId="56188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67B6DFA9">
            <w:pPr>
              <w:pStyle w:val="28"/>
              <w:bidi w:val="0"/>
            </w:pPr>
            <w:r>
              <w:rPr>
                <w:rFonts w:hint="eastAsia"/>
              </w:rPr>
              <w:t>11</w:t>
            </w:r>
          </w:p>
        </w:tc>
        <w:tc>
          <w:tcPr>
            <w:tcW w:w="1671" w:type="pct"/>
            <w:vAlign w:val="center"/>
          </w:tcPr>
          <w:p w14:paraId="35B291E0">
            <w:pPr>
              <w:pStyle w:val="28"/>
              <w:bidi w:val="0"/>
            </w:pPr>
            <w:r>
              <w:rPr>
                <w:rFonts w:hint="eastAsia"/>
              </w:rPr>
              <w:t>海岛沼虾（M</w:t>
            </w:r>
            <w:r>
              <w:t>acrobrachium insulare</w:t>
            </w:r>
            <w:r>
              <w:rPr>
                <w:rFonts w:hint="eastAsia"/>
              </w:rPr>
              <w:t>）</w:t>
            </w:r>
          </w:p>
        </w:tc>
        <w:tc>
          <w:tcPr>
            <w:tcW w:w="451" w:type="pct"/>
            <w:vAlign w:val="center"/>
          </w:tcPr>
          <w:p w14:paraId="7D15F6E7">
            <w:pPr>
              <w:pStyle w:val="28"/>
              <w:bidi w:val="0"/>
            </w:pPr>
          </w:p>
        </w:tc>
        <w:tc>
          <w:tcPr>
            <w:tcW w:w="451" w:type="pct"/>
            <w:vAlign w:val="center"/>
          </w:tcPr>
          <w:p w14:paraId="2513CEC5">
            <w:pPr>
              <w:pStyle w:val="28"/>
              <w:bidi w:val="0"/>
            </w:pPr>
            <w:r>
              <w:rPr>
                <w:rFonts w:hint="eastAsia"/>
              </w:rPr>
              <w:t>无危</w:t>
            </w:r>
          </w:p>
        </w:tc>
        <w:tc>
          <w:tcPr>
            <w:tcW w:w="361" w:type="pct"/>
            <w:vAlign w:val="center"/>
          </w:tcPr>
          <w:p w14:paraId="37A99B84">
            <w:pPr>
              <w:pStyle w:val="28"/>
              <w:bidi w:val="0"/>
            </w:pPr>
            <w:r>
              <w:rPr>
                <w:rFonts w:hint="eastAsia"/>
              </w:rPr>
              <w:t>否</w:t>
            </w:r>
          </w:p>
        </w:tc>
        <w:tc>
          <w:tcPr>
            <w:tcW w:w="361" w:type="pct"/>
            <w:vAlign w:val="center"/>
          </w:tcPr>
          <w:p w14:paraId="7CEC26B2">
            <w:pPr>
              <w:pStyle w:val="28"/>
              <w:bidi w:val="0"/>
            </w:pPr>
            <w:r>
              <w:rPr>
                <w:rFonts w:hint="eastAsia"/>
              </w:rPr>
              <w:t>常见种</w:t>
            </w:r>
          </w:p>
        </w:tc>
        <w:tc>
          <w:tcPr>
            <w:tcW w:w="633" w:type="pct"/>
            <w:vAlign w:val="center"/>
          </w:tcPr>
          <w:p w14:paraId="3C5ED50C">
            <w:pPr>
              <w:pStyle w:val="28"/>
              <w:bidi w:val="0"/>
            </w:pPr>
            <w:r>
              <w:t>滁河总干渠</w:t>
            </w:r>
          </w:p>
        </w:tc>
        <w:tc>
          <w:tcPr>
            <w:tcW w:w="663" w:type="pct"/>
            <w:vAlign w:val="center"/>
          </w:tcPr>
          <w:p w14:paraId="26F043E8">
            <w:pPr>
              <w:pStyle w:val="28"/>
              <w:bidi w:val="0"/>
            </w:pPr>
          </w:p>
        </w:tc>
      </w:tr>
      <w:tr w14:paraId="46F2A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27FE3799">
            <w:pPr>
              <w:pStyle w:val="28"/>
              <w:bidi w:val="0"/>
            </w:pPr>
            <w:r>
              <w:rPr>
                <w:rFonts w:hint="eastAsia"/>
              </w:rPr>
              <w:t>（11）</w:t>
            </w:r>
          </w:p>
        </w:tc>
        <w:tc>
          <w:tcPr>
            <w:tcW w:w="1671" w:type="pct"/>
            <w:vAlign w:val="center"/>
          </w:tcPr>
          <w:p w14:paraId="7D60BFC0">
            <w:pPr>
              <w:pStyle w:val="28"/>
              <w:bidi w:val="0"/>
            </w:pPr>
            <w:r>
              <w:rPr>
                <w:rFonts w:hint="eastAsia"/>
              </w:rPr>
              <w:t>小长臂虾属（Palaemonetes Heller）</w:t>
            </w:r>
          </w:p>
        </w:tc>
        <w:tc>
          <w:tcPr>
            <w:tcW w:w="451" w:type="pct"/>
            <w:vAlign w:val="center"/>
          </w:tcPr>
          <w:p w14:paraId="1736026B">
            <w:pPr>
              <w:pStyle w:val="28"/>
              <w:bidi w:val="0"/>
            </w:pPr>
          </w:p>
        </w:tc>
        <w:tc>
          <w:tcPr>
            <w:tcW w:w="451" w:type="pct"/>
            <w:vAlign w:val="center"/>
          </w:tcPr>
          <w:p w14:paraId="5C492310">
            <w:pPr>
              <w:pStyle w:val="28"/>
              <w:bidi w:val="0"/>
            </w:pPr>
          </w:p>
        </w:tc>
        <w:tc>
          <w:tcPr>
            <w:tcW w:w="361" w:type="pct"/>
            <w:vAlign w:val="center"/>
          </w:tcPr>
          <w:p w14:paraId="23829B9D">
            <w:pPr>
              <w:pStyle w:val="28"/>
              <w:bidi w:val="0"/>
            </w:pPr>
          </w:p>
        </w:tc>
        <w:tc>
          <w:tcPr>
            <w:tcW w:w="361" w:type="pct"/>
            <w:vAlign w:val="center"/>
          </w:tcPr>
          <w:p w14:paraId="797408AC">
            <w:pPr>
              <w:pStyle w:val="28"/>
              <w:bidi w:val="0"/>
            </w:pPr>
          </w:p>
        </w:tc>
        <w:tc>
          <w:tcPr>
            <w:tcW w:w="633" w:type="pct"/>
            <w:vAlign w:val="center"/>
          </w:tcPr>
          <w:p w14:paraId="20358AA4">
            <w:pPr>
              <w:pStyle w:val="28"/>
              <w:bidi w:val="0"/>
            </w:pPr>
          </w:p>
        </w:tc>
        <w:tc>
          <w:tcPr>
            <w:tcW w:w="663" w:type="pct"/>
            <w:vAlign w:val="center"/>
          </w:tcPr>
          <w:p w14:paraId="062A4710">
            <w:pPr>
              <w:pStyle w:val="28"/>
              <w:bidi w:val="0"/>
            </w:pPr>
          </w:p>
        </w:tc>
      </w:tr>
      <w:tr w14:paraId="53D75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0D7D0137">
            <w:pPr>
              <w:pStyle w:val="28"/>
              <w:bidi w:val="0"/>
            </w:pPr>
            <w:r>
              <w:rPr>
                <w:rFonts w:hint="eastAsia"/>
              </w:rPr>
              <w:t>12</w:t>
            </w:r>
          </w:p>
        </w:tc>
        <w:tc>
          <w:tcPr>
            <w:tcW w:w="1671" w:type="pct"/>
            <w:vAlign w:val="center"/>
          </w:tcPr>
          <w:p w14:paraId="3B9D4FE8">
            <w:pPr>
              <w:pStyle w:val="28"/>
              <w:bidi w:val="0"/>
            </w:pPr>
            <w:r>
              <w:rPr>
                <w:rFonts w:hint="eastAsia"/>
              </w:rPr>
              <w:t>中华小长臂虾（Palaemonetes sinensis）</w:t>
            </w:r>
          </w:p>
        </w:tc>
        <w:tc>
          <w:tcPr>
            <w:tcW w:w="451" w:type="pct"/>
            <w:vAlign w:val="center"/>
          </w:tcPr>
          <w:p w14:paraId="62CA78A6">
            <w:pPr>
              <w:pStyle w:val="28"/>
              <w:bidi w:val="0"/>
            </w:pPr>
          </w:p>
        </w:tc>
        <w:tc>
          <w:tcPr>
            <w:tcW w:w="451" w:type="pct"/>
            <w:vAlign w:val="center"/>
          </w:tcPr>
          <w:p w14:paraId="2CCE8B46">
            <w:pPr>
              <w:pStyle w:val="28"/>
              <w:bidi w:val="0"/>
            </w:pPr>
          </w:p>
        </w:tc>
        <w:tc>
          <w:tcPr>
            <w:tcW w:w="361" w:type="pct"/>
            <w:vAlign w:val="center"/>
          </w:tcPr>
          <w:p w14:paraId="1026A8DC">
            <w:pPr>
              <w:pStyle w:val="28"/>
              <w:bidi w:val="0"/>
            </w:pPr>
          </w:p>
        </w:tc>
        <w:tc>
          <w:tcPr>
            <w:tcW w:w="361" w:type="pct"/>
            <w:vAlign w:val="center"/>
          </w:tcPr>
          <w:p w14:paraId="520F08E4">
            <w:pPr>
              <w:pStyle w:val="28"/>
              <w:bidi w:val="0"/>
            </w:pPr>
          </w:p>
        </w:tc>
        <w:tc>
          <w:tcPr>
            <w:tcW w:w="633" w:type="pct"/>
            <w:vAlign w:val="center"/>
          </w:tcPr>
          <w:p w14:paraId="686B0C6E">
            <w:pPr>
              <w:pStyle w:val="28"/>
              <w:bidi w:val="0"/>
            </w:pPr>
          </w:p>
        </w:tc>
        <w:tc>
          <w:tcPr>
            <w:tcW w:w="663" w:type="pct"/>
            <w:vAlign w:val="center"/>
          </w:tcPr>
          <w:p w14:paraId="479C74E4">
            <w:pPr>
              <w:pStyle w:val="28"/>
              <w:bidi w:val="0"/>
            </w:pPr>
          </w:p>
        </w:tc>
      </w:tr>
      <w:tr w14:paraId="2B64C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4B06C4A9">
            <w:pPr>
              <w:pStyle w:val="28"/>
              <w:bidi w:val="0"/>
            </w:pPr>
            <w:r>
              <w:t>（</w:t>
            </w:r>
            <w:r>
              <w:rPr>
                <w:rFonts w:hint="eastAsia"/>
              </w:rPr>
              <w:t>十一</w:t>
            </w:r>
            <w:r>
              <w:t>）</w:t>
            </w:r>
          </w:p>
        </w:tc>
        <w:tc>
          <w:tcPr>
            <w:tcW w:w="1671" w:type="pct"/>
            <w:vAlign w:val="center"/>
          </w:tcPr>
          <w:p w14:paraId="192EABC4">
            <w:pPr>
              <w:pStyle w:val="28"/>
              <w:bidi w:val="0"/>
            </w:pPr>
            <w:r>
              <w:rPr>
                <w:rFonts w:hint="eastAsia"/>
              </w:rPr>
              <w:t>鳌虾科（C</w:t>
            </w:r>
            <w:r>
              <w:t>ambaridae</w:t>
            </w:r>
            <w:r>
              <w:rPr>
                <w:rFonts w:hint="eastAsia"/>
              </w:rPr>
              <w:t>）</w:t>
            </w:r>
          </w:p>
        </w:tc>
        <w:tc>
          <w:tcPr>
            <w:tcW w:w="451" w:type="pct"/>
            <w:vAlign w:val="center"/>
          </w:tcPr>
          <w:p w14:paraId="1AC021DA">
            <w:pPr>
              <w:pStyle w:val="28"/>
              <w:bidi w:val="0"/>
            </w:pPr>
          </w:p>
        </w:tc>
        <w:tc>
          <w:tcPr>
            <w:tcW w:w="451" w:type="pct"/>
            <w:vAlign w:val="center"/>
          </w:tcPr>
          <w:p w14:paraId="5DAB5094">
            <w:pPr>
              <w:pStyle w:val="28"/>
              <w:bidi w:val="0"/>
            </w:pPr>
            <w:r>
              <w:rPr>
                <w:rFonts w:hint="eastAsia"/>
              </w:rPr>
              <w:t>无危</w:t>
            </w:r>
          </w:p>
        </w:tc>
        <w:tc>
          <w:tcPr>
            <w:tcW w:w="361" w:type="pct"/>
            <w:vAlign w:val="center"/>
          </w:tcPr>
          <w:p w14:paraId="0D125FD6">
            <w:pPr>
              <w:pStyle w:val="28"/>
              <w:bidi w:val="0"/>
            </w:pPr>
          </w:p>
        </w:tc>
        <w:tc>
          <w:tcPr>
            <w:tcW w:w="361" w:type="pct"/>
            <w:vAlign w:val="center"/>
          </w:tcPr>
          <w:p w14:paraId="32507502">
            <w:pPr>
              <w:pStyle w:val="28"/>
              <w:bidi w:val="0"/>
            </w:pPr>
          </w:p>
        </w:tc>
        <w:tc>
          <w:tcPr>
            <w:tcW w:w="633" w:type="pct"/>
            <w:vAlign w:val="center"/>
          </w:tcPr>
          <w:p w14:paraId="24AFD42C">
            <w:pPr>
              <w:pStyle w:val="28"/>
              <w:bidi w:val="0"/>
            </w:pPr>
          </w:p>
        </w:tc>
        <w:tc>
          <w:tcPr>
            <w:tcW w:w="663" w:type="pct"/>
            <w:vAlign w:val="center"/>
          </w:tcPr>
          <w:p w14:paraId="0AE6AA82">
            <w:pPr>
              <w:pStyle w:val="28"/>
              <w:bidi w:val="0"/>
            </w:pPr>
          </w:p>
        </w:tc>
      </w:tr>
      <w:tr w14:paraId="31C23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6D33332D">
            <w:pPr>
              <w:pStyle w:val="28"/>
              <w:bidi w:val="0"/>
            </w:pPr>
            <w:r>
              <w:t>（</w:t>
            </w:r>
            <w:r>
              <w:rPr>
                <w:rFonts w:hint="eastAsia"/>
              </w:rPr>
              <w:t>12</w:t>
            </w:r>
            <w:r>
              <w:t>）</w:t>
            </w:r>
          </w:p>
        </w:tc>
        <w:tc>
          <w:tcPr>
            <w:tcW w:w="1671" w:type="pct"/>
            <w:vAlign w:val="center"/>
          </w:tcPr>
          <w:p w14:paraId="1E2EB4FD">
            <w:pPr>
              <w:pStyle w:val="28"/>
              <w:bidi w:val="0"/>
            </w:pPr>
            <w:r>
              <w:rPr>
                <w:rFonts w:hint="eastAsia"/>
              </w:rPr>
              <w:t>原螯虾属（P</w:t>
            </w:r>
            <w:r>
              <w:t>rocambarus</w:t>
            </w:r>
            <w:r>
              <w:rPr>
                <w:rFonts w:hint="eastAsia"/>
              </w:rPr>
              <w:t>）</w:t>
            </w:r>
          </w:p>
        </w:tc>
        <w:tc>
          <w:tcPr>
            <w:tcW w:w="451" w:type="pct"/>
            <w:vAlign w:val="center"/>
          </w:tcPr>
          <w:p w14:paraId="7BD5965C">
            <w:pPr>
              <w:pStyle w:val="28"/>
              <w:bidi w:val="0"/>
            </w:pPr>
          </w:p>
        </w:tc>
        <w:tc>
          <w:tcPr>
            <w:tcW w:w="451" w:type="pct"/>
            <w:vAlign w:val="center"/>
          </w:tcPr>
          <w:p w14:paraId="68BA9553">
            <w:pPr>
              <w:pStyle w:val="28"/>
              <w:bidi w:val="0"/>
            </w:pPr>
            <w:r>
              <w:rPr>
                <w:rFonts w:hint="eastAsia"/>
              </w:rPr>
              <w:t>无危</w:t>
            </w:r>
          </w:p>
        </w:tc>
        <w:tc>
          <w:tcPr>
            <w:tcW w:w="361" w:type="pct"/>
            <w:vAlign w:val="center"/>
          </w:tcPr>
          <w:p w14:paraId="0D5343FF">
            <w:pPr>
              <w:pStyle w:val="28"/>
              <w:bidi w:val="0"/>
            </w:pPr>
            <w:r>
              <w:rPr>
                <w:rFonts w:hint="eastAsia"/>
              </w:rPr>
              <w:t>否</w:t>
            </w:r>
          </w:p>
        </w:tc>
        <w:tc>
          <w:tcPr>
            <w:tcW w:w="361" w:type="pct"/>
            <w:vAlign w:val="center"/>
          </w:tcPr>
          <w:p w14:paraId="1A42FF48">
            <w:pPr>
              <w:pStyle w:val="28"/>
              <w:bidi w:val="0"/>
            </w:pPr>
            <w:r>
              <w:rPr>
                <w:rFonts w:hint="eastAsia"/>
              </w:rPr>
              <w:t>常见种</w:t>
            </w:r>
          </w:p>
        </w:tc>
        <w:tc>
          <w:tcPr>
            <w:tcW w:w="633" w:type="pct"/>
            <w:vAlign w:val="center"/>
          </w:tcPr>
          <w:p w14:paraId="6D33A308">
            <w:pPr>
              <w:pStyle w:val="28"/>
              <w:bidi w:val="0"/>
            </w:pPr>
          </w:p>
        </w:tc>
        <w:tc>
          <w:tcPr>
            <w:tcW w:w="663" w:type="pct"/>
            <w:vAlign w:val="center"/>
          </w:tcPr>
          <w:p w14:paraId="037B965F">
            <w:pPr>
              <w:pStyle w:val="28"/>
              <w:bidi w:val="0"/>
            </w:pPr>
          </w:p>
        </w:tc>
      </w:tr>
      <w:tr w14:paraId="1B7DCD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53E4E18D">
            <w:pPr>
              <w:pStyle w:val="28"/>
              <w:bidi w:val="0"/>
            </w:pPr>
            <w:r>
              <w:rPr>
                <w:rFonts w:hint="eastAsia"/>
              </w:rPr>
              <w:t>13</w:t>
            </w:r>
          </w:p>
        </w:tc>
        <w:tc>
          <w:tcPr>
            <w:tcW w:w="1671" w:type="pct"/>
            <w:vAlign w:val="center"/>
          </w:tcPr>
          <w:p w14:paraId="1037348C">
            <w:pPr>
              <w:pStyle w:val="28"/>
              <w:bidi w:val="0"/>
            </w:pPr>
            <w:r>
              <w:rPr>
                <w:rFonts w:hint="eastAsia"/>
              </w:rPr>
              <w:t>克氏原螯虾（P</w:t>
            </w:r>
            <w:r>
              <w:t>rocambarus clarkii</w:t>
            </w:r>
            <w:r>
              <w:rPr>
                <w:rFonts w:hint="eastAsia"/>
              </w:rPr>
              <w:t>）</w:t>
            </w:r>
          </w:p>
        </w:tc>
        <w:tc>
          <w:tcPr>
            <w:tcW w:w="451" w:type="pct"/>
            <w:vAlign w:val="center"/>
          </w:tcPr>
          <w:p w14:paraId="580C6330">
            <w:pPr>
              <w:pStyle w:val="28"/>
              <w:bidi w:val="0"/>
            </w:pPr>
          </w:p>
        </w:tc>
        <w:tc>
          <w:tcPr>
            <w:tcW w:w="451" w:type="pct"/>
            <w:vAlign w:val="center"/>
          </w:tcPr>
          <w:p w14:paraId="27588D52">
            <w:pPr>
              <w:pStyle w:val="28"/>
              <w:bidi w:val="0"/>
            </w:pPr>
            <w:r>
              <w:rPr>
                <w:rFonts w:hint="eastAsia"/>
              </w:rPr>
              <w:t>无危</w:t>
            </w:r>
          </w:p>
        </w:tc>
        <w:tc>
          <w:tcPr>
            <w:tcW w:w="361" w:type="pct"/>
            <w:vAlign w:val="center"/>
          </w:tcPr>
          <w:p w14:paraId="1AFEAF8C">
            <w:pPr>
              <w:pStyle w:val="28"/>
              <w:bidi w:val="0"/>
            </w:pPr>
            <w:r>
              <w:rPr>
                <w:rFonts w:hint="eastAsia"/>
              </w:rPr>
              <w:t>否</w:t>
            </w:r>
          </w:p>
        </w:tc>
        <w:tc>
          <w:tcPr>
            <w:tcW w:w="361" w:type="pct"/>
            <w:vAlign w:val="center"/>
          </w:tcPr>
          <w:p w14:paraId="4A301FA4">
            <w:pPr>
              <w:pStyle w:val="28"/>
              <w:bidi w:val="0"/>
            </w:pPr>
            <w:r>
              <w:rPr>
                <w:rFonts w:hint="eastAsia"/>
              </w:rPr>
              <w:t>常见种</w:t>
            </w:r>
          </w:p>
        </w:tc>
        <w:tc>
          <w:tcPr>
            <w:tcW w:w="633" w:type="pct"/>
            <w:vAlign w:val="center"/>
          </w:tcPr>
          <w:p w14:paraId="43738F73">
            <w:pPr>
              <w:pStyle w:val="28"/>
              <w:bidi w:val="0"/>
            </w:pPr>
            <w:r>
              <w:t>广泛分布</w:t>
            </w:r>
          </w:p>
        </w:tc>
        <w:tc>
          <w:tcPr>
            <w:tcW w:w="663" w:type="pct"/>
            <w:vAlign w:val="center"/>
          </w:tcPr>
          <w:p w14:paraId="7FCD0586">
            <w:pPr>
              <w:pStyle w:val="28"/>
              <w:bidi w:val="0"/>
            </w:pPr>
            <w:r>
              <w:t>广泛分布</w:t>
            </w:r>
          </w:p>
        </w:tc>
      </w:tr>
      <w:tr w14:paraId="23B1C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43EDA87D">
            <w:pPr>
              <w:pStyle w:val="28"/>
              <w:bidi w:val="0"/>
            </w:pPr>
            <w:r>
              <w:t>（</w:t>
            </w:r>
            <w:r>
              <w:rPr>
                <w:rFonts w:hint="eastAsia"/>
              </w:rPr>
              <w:t>十二</w:t>
            </w:r>
            <w:r>
              <w:t>）</w:t>
            </w:r>
          </w:p>
        </w:tc>
        <w:tc>
          <w:tcPr>
            <w:tcW w:w="1671" w:type="pct"/>
            <w:vAlign w:val="center"/>
          </w:tcPr>
          <w:p w14:paraId="50A6484C">
            <w:pPr>
              <w:pStyle w:val="28"/>
              <w:bidi w:val="0"/>
            </w:pPr>
            <w:r>
              <w:rPr>
                <w:rFonts w:hint="eastAsia"/>
              </w:rPr>
              <w:t>溪蟹科（P</w:t>
            </w:r>
            <w:r>
              <w:t>otamidae</w:t>
            </w:r>
            <w:r>
              <w:rPr>
                <w:rFonts w:hint="eastAsia"/>
              </w:rPr>
              <w:t>）</w:t>
            </w:r>
          </w:p>
        </w:tc>
        <w:tc>
          <w:tcPr>
            <w:tcW w:w="451" w:type="pct"/>
            <w:vAlign w:val="center"/>
          </w:tcPr>
          <w:p w14:paraId="02AD62E5">
            <w:pPr>
              <w:pStyle w:val="28"/>
              <w:bidi w:val="0"/>
            </w:pPr>
          </w:p>
        </w:tc>
        <w:tc>
          <w:tcPr>
            <w:tcW w:w="451" w:type="pct"/>
            <w:vAlign w:val="center"/>
          </w:tcPr>
          <w:p w14:paraId="1C7EE73B">
            <w:pPr>
              <w:pStyle w:val="28"/>
              <w:bidi w:val="0"/>
            </w:pPr>
            <w:r>
              <w:rPr>
                <w:rFonts w:hint="eastAsia"/>
              </w:rPr>
              <w:t>无危</w:t>
            </w:r>
          </w:p>
        </w:tc>
        <w:tc>
          <w:tcPr>
            <w:tcW w:w="361" w:type="pct"/>
            <w:vAlign w:val="center"/>
          </w:tcPr>
          <w:p w14:paraId="282A1BAC">
            <w:pPr>
              <w:pStyle w:val="28"/>
              <w:bidi w:val="0"/>
            </w:pPr>
            <w:r>
              <w:rPr>
                <w:rFonts w:hint="eastAsia"/>
              </w:rPr>
              <w:t>否</w:t>
            </w:r>
          </w:p>
        </w:tc>
        <w:tc>
          <w:tcPr>
            <w:tcW w:w="361" w:type="pct"/>
            <w:vAlign w:val="center"/>
          </w:tcPr>
          <w:p w14:paraId="50F0DDAA">
            <w:pPr>
              <w:pStyle w:val="28"/>
              <w:bidi w:val="0"/>
            </w:pPr>
            <w:r>
              <w:rPr>
                <w:rFonts w:hint="eastAsia"/>
              </w:rPr>
              <w:t>常见种</w:t>
            </w:r>
          </w:p>
        </w:tc>
        <w:tc>
          <w:tcPr>
            <w:tcW w:w="633" w:type="pct"/>
            <w:vAlign w:val="center"/>
          </w:tcPr>
          <w:p w14:paraId="016CDEDD">
            <w:pPr>
              <w:pStyle w:val="28"/>
              <w:bidi w:val="0"/>
            </w:pPr>
            <w:r>
              <w:t>淠河总干渠</w:t>
            </w:r>
          </w:p>
        </w:tc>
        <w:tc>
          <w:tcPr>
            <w:tcW w:w="663" w:type="pct"/>
            <w:vAlign w:val="center"/>
          </w:tcPr>
          <w:p w14:paraId="7C785ACE">
            <w:pPr>
              <w:pStyle w:val="28"/>
              <w:bidi w:val="0"/>
            </w:pPr>
          </w:p>
        </w:tc>
      </w:tr>
      <w:tr w14:paraId="0A2B0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61D263AA">
            <w:pPr>
              <w:pStyle w:val="28"/>
              <w:bidi w:val="0"/>
            </w:pPr>
            <w:r>
              <w:t>三</w:t>
            </w:r>
          </w:p>
        </w:tc>
        <w:tc>
          <w:tcPr>
            <w:tcW w:w="1671" w:type="pct"/>
            <w:vAlign w:val="center"/>
          </w:tcPr>
          <w:p w14:paraId="40B4528A">
            <w:pPr>
              <w:pStyle w:val="28"/>
              <w:bidi w:val="0"/>
            </w:pPr>
            <w:r>
              <w:t>环节动物门</w:t>
            </w:r>
            <w:r>
              <w:rPr>
                <w:rFonts w:hint="eastAsia"/>
              </w:rPr>
              <w:t>（</w:t>
            </w:r>
            <w:r>
              <w:t>Annelida</w:t>
            </w:r>
            <w:r>
              <w:rPr>
                <w:rFonts w:hint="eastAsia"/>
              </w:rPr>
              <w:t>）</w:t>
            </w:r>
          </w:p>
        </w:tc>
        <w:tc>
          <w:tcPr>
            <w:tcW w:w="451" w:type="pct"/>
            <w:vAlign w:val="center"/>
          </w:tcPr>
          <w:p w14:paraId="175628E2">
            <w:pPr>
              <w:pStyle w:val="28"/>
              <w:bidi w:val="0"/>
            </w:pPr>
          </w:p>
        </w:tc>
        <w:tc>
          <w:tcPr>
            <w:tcW w:w="451" w:type="pct"/>
            <w:vAlign w:val="center"/>
          </w:tcPr>
          <w:p w14:paraId="0D53DA95">
            <w:pPr>
              <w:pStyle w:val="28"/>
              <w:bidi w:val="0"/>
            </w:pPr>
          </w:p>
        </w:tc>
        <w:tc>
          <w:tcPr>
            <w:tcW w:w="361" w:type="pct"/>
            <w:vAlign w:val="center"/>
          </w:tcPr>
          <w:p w14:paraId="241B68FB">
            <w:pPr>
              <w:pStyle w:val="28"/>
              <w:bidi w:val="0"/>
            </w:pPr>
          </w:p>
        </w:tc>
        <w:tc>
          <w:tcPr>
            <w:tcW w:w="361" w:type="pct"/>
            <w:vAlign w:val="center"/>
          </w:tcPr>
          <w:p w14:paraId="2E13358C">
            <w:pPr>
              <w:pStyle w:val="28"/>
              <w:bidi w:val="0"/>
            </w:pPr>
          </w:p>
        </w:tc>
        <w:tc>
          <w:tcPr>
            <w:tcW w:w="633" w:type="pct"/>
            <w:vAlign w:val="center"/>
          </w:tcPr>
          <w:p w14:paraId="4CECF254">
            <w:pPr>
              <w:pStyle w:val="28"/>
              <w:bidi w:val="0"/>
            </w:pPr>
          </w:p>
        </w:tc>
        <w:tc>
          <w:tcPr>
            <w:tcW w:w="663" w:type="pct"/>
            <w:vAlign w:val="center"/>
          </w:tcPr>
          <w:p w14:paraId="5A79BB9E">
            <w:pPr>
              <w:pStyle w:val="28"/>
              <w:bidi w:val="0"/>
            </w:pPr>
          </w:p>
        </w:tc>
      </w:tr>
      <w:tr w14:paraId="3316C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0FDD5B1B">
            <w:pPr>
              <w:pStyle w:val="28"/>
              <w:bidi w:val="0"/>
            </w:pPr>
            <w:r>
              <w:t>（十三）</w:t>
            </w:r>
          </w:p>
        </w:tc>
        <w:tc>
          <w:tcPr>
            <w:tcW w:w="1671" w:type="pct"/>
            <w:vAlign w:val="center"/>
          </w:tcPr>
          <w:p w14:paraId="29B4D47E">
            <w:pPr>
              <w:pStyle w:val="28"/>
              <w:bidi w:val="0"/>
            </w:pPr>
            <w:r>
              <w:t>颤蚓科</w:t>
            </w:r>
            <w:r>
              <w:rPr>
                <w:rFonts w:hint="eastAsia"/>
              </w:rPr>
              <w:t>（</w:t>
            </w:r>
            <w:r>
              <w:t>Tubificidae</w:t>
            </w:r>
            <w:r>
              <w:rPr>
                <w:rFonts w:hint="eastAsia"/>
              </w:rPr>
              <w:t>）</w:t>
            </w:r>
          </w:p>
        </w:tc>
        <w:tc>
          <w:tcPr>
            <w:tcW w:w="451" w:type="pct"/>
            <w:vAlign w:val="center"/>
          </w:tcPr>
          <w:p w14:paraId="37FB0D1E">
            <w:pPr>
              <w:pStyle w:val="28"/>
              <w:bidi w:val="0"/>
            </w:pPr>
          </w:p>
        </w:tc>
        <w:tc>
          <w:tcPr>
            <w:tcW w:w="451" w:type="pct"/>
            <w:vAlign w:val="center"/>
          </w:tcPr>
          <w:p w14:paraId="544C5D46">
            <w:pPr>
              <w:pStyle w:val="28"/>
              <w:bidi w:val="0"/>
            </w:pPr>
            <w:r>
              <w:rPr>
                <w:rFonts w:hint="eastAsia"/>
              </w:rPr>
              <w:t>无危</w:t>
            </w:r>
          </w:p>
        </w:tc>
        <w:tc>
          <w:tcPr>
            <w:tcW w:w="361" w:type="pct"/>
            <w:vAlign w:val="center"/>
          </w:tcPr>
          <w:p w14:paraId="6D55EB4F">
            <w:pPr>
              <w:pStyle w:val="28"/>
              <w:bidi w:val="0"/>
            </w:pPr>
            <w:r>
              <w:rPr>
                <w:rFonts w:hint="eastAsia"/>
              </w:rPr>
              <w:t>否</w:t>
            </w:r>
          </w:p>
        </w:tc>
        <w:tc>
          <w:tcPr>
            <w:tcW w:w="361" w:type="pct"/>
            <w:vAlign w:val="center"/>
          </w:tcPr>
          <w:p w14:paraId="54607FD9">
            <w:pPr>
              <w:pStyle w:val="28"/>
              <w:bidi w:val="0"/>
            </w:pPr>
          </w:p>
        </w:tc>
        <w:tc>
          <w:tcPr>
            <w:tcW w:w="633" w:type="pct"/>
            <w:vAlign w:val="center"/>
          </w:tcPr>
          <w:p w14:paraId="6ADD2CEB">
            <w:pPr>
              <w:pStyle w:val="28"/>
              <w:bidi w:val="0"/>
            </w:pPr>
          </w:p>
        </w:tc>
        <w:tc>
          <w:tcPr>
            <w:tcW w:w="663" w:type="pct"/>
            <w:vAlign w:val="center"/>
          </w:tcPr>
          <w:p w14:paraId="014B582A">
            <w:pPr>
              <w:pStyle w:val="28"/>
              <w:bidi w:val="0"/>
            </w:pPr>
          </w:p>
        </w:tc>
      </w:tr>
      <w:tr w14:paraId="3FD71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4363FB6B">
            <w:pPr>
              <w:pStyle w:val="28"/>
              <w:bidi w:val="0"/>
            </w:pPr>
            <w:r>
              <w:t>（1</w:t>
            </w:r>
            <w:r>
              <w:rPr>
                <w:rFonts w:hint="eastAsia"/>
              </w:rPr>
              <w:t>3</w:t>
            </w:r>
            <w:r>
              <w:t>）</w:t>
            </w:r>
          </w:p>
        </w:tc>
        <w:tc>
          <w:tcPr>
            <w:tcW w:w="1671" w:type="pct"/>
            <w:vAlign w:val="center"/>
          </w:tcPr>
          <w:p w14:paraId="408B2F06">
            <w:pPr>
              <w:pStyle w:val="28"/>
              <w:bidi w:val="0"/>
            </w:pPr>
            <w:r>
              <w:t>水丝蚓属</w:t>
            </w:r>
            <w:r>
              <w:rPr>
                <w:rFonts w:hint="eastAsia"/>
              </w:rPr>
              <w:t>（</w:t>
            </w:r>
            <w:r>
              <w:t>Limnodrilus</w:t>
            </w:r>
            <w:r>
              <w:rPr>
                <w:rFonts w:hint="eastAsia"/>
              </w:rPr>
              <w:t>）</w:t>
            </w:r>
          </w:p>
        </w:tc>
        <w:tc>
          <w:tcPr>
            <w:tcW w:w="451" w:type="pct"/>
            <w:vAlign w:val="center"/>
          </w:tcPr>
          <w:p w14:paraId="1C3F5AAA">
            <w:pPr>
              <w:pStyle w:val="28"/>
              <w:bidi w:val="0"/>
            </w:pPr>
          </w:p>
        </w:tc>
        <w:tc>
          <w:tcPr>
            <w:tcW w:w="451" w:type="pct"/>
            <w:vAlign w:val="center"/>
          </w:tcPr>
          <w:p w14:paraId="5D5C187E">
            <w:pPr>
              <w:pStyle w:val="28"/>
              <w:bidi w:val="0"/>
            </w:pPr>
            <w:r>
              <w:rPr>
                <w:rFonts w:hint="eastAsia"/>
              </w:rPr>
              <w:t>无危</w:t>
            </w:r>
          </w:p>
        </w:tc>
        <w:tc>
          <w:tcPr>
            <w:tcW w:w="361" w:type="pct"/>
            <w:vAlign w:val="center"/>
          </w:tcPr>
          <w:p w14:paraId="6439E768">
            <w:pPr>
              <w:pStyle w:val="28"/>
              <w:bidi w:val="0"/>
            </w:pPr>
            <w:r>
              <w:rPr>
                <w:rFonts w:hint="eastAsia"/>
              </w:rPr>
              <w:t>否</w:t>
            </w:r>
          </w:p>
        </w:tc>
        <w:tc>
          <w:tcPr>
            <w:tcW w:w="361" w:type="pct"/>
            <w:vAlign w:val="center"/>
          </w:tcPr>
          <w:p w14:paraId="21629C9E">
            <w:pPr>
              <w:pStyle w:val="28"/>
              <w:bidi w:val="0"/>
            </w:pPr>
            <w:r>
              <w:rPr>
                <w:rFonts w:hint="eastAsia"/>
              </w:rPr>
              <w:t>常见种</w:t>
            </w:r>
          </w:p>
        </w:tc>
        <w:tc>
          <w:tcPr>
            <w:tcW w:w="633" w:type="pct"/>
            <w:vAlign w:val="center"/>
          </w:tcPr>
          <w:p w14:paraId="1D4F45A6">
            <w:pPr>
              <w:pStyle w:val="28"/>
              <w:bidi w:val="0"/>
            </w:pPr>
            <w:r>
              <w:t>广泛分布</w:t>
            </w:r>
          </w:p>
        </w:tc>
        <w:tc>
          <w:tcPr>
            <w:tcW w:w="663" w:type="pct"/>
            <w:vAlign w:val="center"/>
          </w:tcPr>
          <w:p w14:paraId="4EF63708">
            <w:pPr>
              <w:pStyle w:val="28"/>
              <w:bidi w:val="0"/>
            </w:pPr>
            <w:r>
              <w:t>广泛分布</w:t>
            </w:r>
          </w:p>
        </w:tc>
      </w:tr>
      <w:tr w14:paraId="7C38F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20E33F09">
            <w:pPr>
              <w:pStyle w:val="28"/>
              <w:bidi w:val="0"/>
            </w:pPr>
            <w:r>
              <w:rPr>
                <w:rFonts w:hint="eastAsia"/>
              </w:rPr>
              <w:t>（十四）</w:t>
            </w:r>
          </w:p>
        </w:tc>
        <w:tc>
          <w:tcPr>
            <w:tcW w:w="1671" w:type="pct"/>
            <w:vAlign w:val="center"/>
          </w:tcPr>
          <w:p w14:paraId="4FB4A49F">
            <w:pPr>
              <w:pStyle w:val="28"/>
              <w:bidi w:val="0"/>
            </w:pPr>
            <w:r>
              <w:t>黄蛭科</w:t>
            </w:r>
          </w:p>
        </w:tc>
        <w:tc>
          <w:tcPr>
            <w:tcW w:w="451" w:type="pct"/>
            <w:vAlign w:val="center"/>
          </w:tcPr>
          <w:p w14:paraId="157A86AD">
            <w:pPr>
              <w:pStyle w:val="28"/>
              <w:bidi w:val="0"/>
            </w:pPr>
          </w:p>
        </w:tc>
        <w:tc>
          <w:tcPr>
            <w:tcW w:w="451" w:type="pct"/>
            <w:vAlign w:val="center"/>
          </w:tcPr>
          <w:p w14:paraId="4D34F675">
            <w:pPr>
              <w:pStyle w:val="28"/>
              <w:bidi w:val="0"/>
            </w:pPr>
          </w:p>
        </w:tc>
        <w:tc>
          <w:tcPr>
            <w:tcW w:w="361" w:type="pct"/>
            <w:vAlign w:val="center"/>
          </w:tcPr>
          <w:p w14:paraId="2B921A39">
            <w:pPr>
              <w:pStyle w:val="28"/>
              <w:bidi w:val="0"/>
            </w:pPr>
          </w:p>
        </w:tc>
        <w:tc>
          <w:tcPr>
            <w:tcW w:w="361" w:type="pct"/>
            <w:vAlign w:val="center"/>
          </w:tcPr>
          <w:p w14:paraId="35E7138D">
            <w:pPr>
              <w:pStyle w:val="28"/>
              <w:bidi w:val="0"/>
            </w:pPr>
          </w:p>
        </w:tc>
        <w:tc>
          <w:tcPr>
            <w:tcW w:w="633" w:type="pct"/>
            <w:vAlign w:val="center"/>
          </w:tcPr>
          <w:p w14:paraId="7FAEA061">
            <w:pPr>
              <w:pStyle w:val="28"/>
              <w:bidi w:val="0"/>
            </w:pPr>
          </w:p>
        </w:tc>
        <w:tc>
          <w:tcPr>
            <w:tcW w:w="663" w:type="pct"/>
            <w:vAlign w:val="center"/>
          </w:tcPr>
          <w:p w14:paraId="325938BF">
            <w:pPr>
              <w:pStyle w:val="28"/>
              <w:bidi w:val="0"/>
            </w:pPr>
          </w:p>
        </w:tc>
      </w:tr>
      <w:tr w14:paraId="44BEB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707D21D2">
            <w:pPr>
              <w:pStyle w:val="28"/>
              <w:bidi w:val="0"/>
            </w:pPr>
            <w:r>
              <w:rPr>
                <w:rFonts w:hint="eastAsia"/>
              </w:rPr>
              <w:t>（14）</w:t>
            </w:r>
          </w:p>
        </w:tc>
        <w:tc>
          <w:tcPr>
            <w:tcW w:w="1671" w:type="pct"/>
            <w:vAlign w:val="center"/>
          </w:tcPr>
          <w:p w14:paraId="5716BDF6">
            <w:pPr>
              <w:pStyle w:val="28"/>
              <w:bidi w:val="0"/>
            </w:pPr>
            <w:r>
              <w:t>金线蛭属</w:t>
            </w:r>
            <w:r>
              <w:rPr>
                <w:rFonts w:hint="eastAsia"/>
              </w:rPr>
              <w:t>（</w:t>
            </w:r>
            <w:r>
              <w:t>Whitmania</w:t>
            </w:r>
            <w:r>
              <w:rPr>
                <w:rFonts w:hint="eastAsia"/>
              </w:rPr>
              <w:t>）</w:t>
            </w:r>
          </w:p>
        </w:tc>
        <w:tc>
          <w:tcPr>
            <w:tcW w:w="451" w:type="pct"/>
            <w:vAlign w:val="center"/>
          </w:tcPr>
          <w:p w14:paraId="4FD3408D">
            <w:pPr>
              <w:pStyle w:val="28"/>
              <w:bidi w:val="0"/>
            </w:pPr>
          </w:p>
        </w:tc>
        <w:tc>
          <w:tcPr>
            <w:tcW w:w="451" w:type="pct"/>
            <w:vAlign w:val="center"/>
          </w:tcPr>
          <w:p w14:paraId="4D010CCB">
            <w:pPr>
              <w:pStyle w:val="28"/>
              <w:bidi w:val="0"/>
            </w:pPr>
          </w:p>
        </w:tc>
        <w:tc>
          <w:tcPr>
            <w:tcW w:w="361" w:type="pct"/>
            <w:vAlign w:val="center"/>
          </w:tcPr>
          <w:p w14:paraId="50468639">
            <w:pPr>
              <w:pStyle w:val="28"/>
              <w:bidi w:val="0"/>
            </w:pPr>
          </w:p>
        </w:tc>
        <w:tc>
          <w:tcPr>
            <w:tcW w:w="361" w:type="pct"/>
            <w:vAlign w:val="center"/>
          </w:tcPr>
          <w:p w14:paraId="6C439D86">
            <w:pPr>
              <w:pStyle w:val="28"/>
              <w:bidi w:val="0"/>
            </w:pPr>
          </w:p>
        </w:tc>
        <w:tc>
          <w:tcPr>
            <w:tcW w:w="633" w:type="pct"/>
            <w:vAlign w:val="center"/>
          </w:tcPr>
          <w:p w14:paraId="37484C03">
            <w:pPr>
              <w:pStyle w:val="28"/>
              <w:bidi w:val="0"/>
            </w:pPr>
          </w:p>
        </w:tc>
        <w:tc>
          <w:tcPr>
            <w:tcW w:w="663" w:type="pct"/>
            <w:vAlign w:val="center"/>
          </w:tcPr>
          <w:p w14:paraId="22272AA5">
            <w:pPr>
              <w:pStyle w:val="28"/>
              <w:bidi w:val="0"/>
            </w:pPr>
          </w:p>
        </w:tc>
      </w:tr>
      <w:tr w14:paraId="1A019E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4" w:type="pct"/>
            <w:vAlign w:val="center"/>
          </w:tcPr>
          <w:p w14:paraId="754B63EA">
            <w:pPr>
              <w:pStyle w:val="28"/>
              <w:bidi w:val="0"/>
            </w:pPr>
            <w:r>
              <w:rPr>
                <w:rFonts w:hint="eastAsia"/>
              </w:rPr>
              <w:t>14</w:t>
            </w:r>
          </w:p>
        </w:tc>
        <w:tc>
          <w:tcPr>
            <w:tcW w:w="1671" w:type="pct"/>
            <w:vAlign w:val="center"/>
          </w:tcPr>
          <w:p w14:paraId="775C54D2">
            <w:pPr>
              <w:pStyle w:val="28"/>
              <w:bidi w:val="0"/>
            </w:pPr>
            <w:r>
              <w:rPr>
                <w:rFonts w:hint="eastAsia"/>
              </w:rPr>
              <w:t>宽体金线蛭（</w:t>
            </w:r>
            <w:r>
              <w:t>Whitmania pigra</w:t>
            </w:r>
            <w:r>
              <w:rPr>
                <w:rFonts w:hint="eastAsia"/>
              </w:rPr>
              <w:t>）</w:t>
            </w:r>
          </w:p>
        </w:tc>
        <w:tc>
          <w:tcPr>
            <w:tcW w:w="451" w:type="pct"/>
            <w:vAlign w:val="center"/>
          </w:tcPr>
          <w:p w14:paraId="104DD2E6">
            <w:pPr>
              <w:pStyle w:val="28"/>
              <w:bidi w:val="0"/>
            </w:pPr>
          </w:p>
        </w:tc>
        <w:tc>
          <w:tcPr>
            <w:tcW w:w="451" w:type="pct"/>
            <w:vAlign w:val="center"/>
          </w:tcPr>
          <w:p w14:paraId="31167800">
            <w:pPr>
              <w:pStyle w:val="28"/>
              <w:bidi w:val="0"/>
            </w:pPr>
          </w:p>
        </w:tc>
        <w:tc>
          <w:tcPr>
            <w:tcW w:w="361" w:type="pct"/>
            <w:vAlign w:val="center"/>
          </w:tcPr>
          <w:p w14:paraId="2CD9475B">
            <w:pPr>
              <w:pStyle w:val="28"/>
              <w:bidi w:val="0"/>
            </w:pPr>
          </w:p>
        </w:tc>
        <w:tc>
          <w:tcPr>
            <w:tcW w:w="361" w:type="pct"/>
            <w:vAlign w:val="center"/>
          </w:tcPr>
          <w:p w14:paraId="5C01D379">
            <w:pPr>
              <w:pStyle w:val="28"/>
              <w:bidi w:val="0"/>
            </w:pPr>
          </w:p>
        </w:tc>
        <w:tc>
          <w:tcPr>
            <w:tcW w:w="633" w:type="pct"/>
            <w:vAlign w:val="center"/>
          </w:tcPr>
          <w:p w14:paraId="60456C54">
            <w:pPr>
              <w:pStyle w:val="28"/>
              <w:bidi w:val="0"/>
            </w:pPr>
          </w:p>
        </w:tc>
        <w:tc>
          <w:tcPr>
            <w:tcW w:w="663" w:type="pct"/>
            <w:vAlign w:val="center"/>
          </w:tcPr>
          <w:p w14:paraId="04AD0C24">
            <w:pPr>
              <w:pStyle w:val="28"/>
              <w:bidi w:val="0"/>
            </w:pPr>
          </w:p>
        </w:tc>
      </w:tr>
    </w:tbl>
    <w:p w14:paraId="1FF45FBD">
      <w:pPr>
        <w:rPr>
          <w:rFonts w:cs="Times New Roman"/>
        </w:rPr>
      </w:pPr>
      <w:r>
        <w:rPr>
          <w:rFonts w:cs="Times New Roman"/>
          <w:sz w:val="21"/>
          <w:szCs w:val="21"/>
        </w:rPr>
        <w:t>注：保护级别根据国家及地方正式发布的重点保护野生动物名录确定，濒危等级、特有种根据《中国生物多样性红色名录》确定。</w:t>
      </w:r>
    </w:p>
    <w:p w14:paraId="6C3DB3A0">
      <w:pPr>
        <w:ind w:firstLine="480"/>
        <w:rPr>
          <w:rFonts w:cs="Times New Roman"/>
          <w:color w:val="0000FF"/>
        </w:rPr>
        <w:sectPr>
          <w:pgSz w:w="16838" w:h="11905" w:orient="landscape"/>
          <w:pgMar w:top="1417" w:right="1417" w:bottom="1417" w:left="1417" w:header="850" w:footer="850" w:gutter="0"/>
          <w:pgNumType w:fmt="decimal"/>
          <w:cols w:space="0" w:num="1"/>
          <w:rtlGutter w:val="0"/>
          <w:docGrid w:linePitch="312" w:charSpace="0"/>
        </w:sectPr>
      </w:pPr>
    </w:p>
    <w:p w14:paraId="58479664">
      <w:pPr>
        <w:pStyle w:val="5"/>
        <w:bidi w:val="0"/>
      </w:pPr>
      <w:r>
        <w:t>4.3.4.5</w:t>
      </w:r>
      <w:r>
        <w:rPr>
          <w:rFonts w:hint="eastAsia"/>
          <w:lang w:val="en-US" w:eastAsia="zh-CN"/>
        </w:rPr>
        <w:t xml:space="preserve"> </w:t>
      </w:r>
      <w:r>
        <w:t>浮游生物</w:t>
      </w:r>
    </w:p>
    <w:p w14:paraId="6C65632C">
      <w:pPr>
        <w:rPr>
          <w:rFonts w:cs="Times New Roman"/>
        </w:rPr>
      </w:pPr>
      <w:r>
        <w:rPr>
          <w:rFonts w:cs="Times New Roman"/>
        </w:rPr>
        <w:t>（1）浮游植物</w:t>
      </w:r>
    </w:p>
    <w:p w14:paraId="5F373F41">
      <w:pPr>
        <w:ind w:firstLine="480"/>
        <w:rPr>
          <w:rFonts w:cs="Times New Roman"/>
        </w:rPr>
      </w:pPr>
      <w:r>
        <w:rPr>
          <w:rFonts w:hint="eastAsia" w:ascii="宋体" w:hAnsi="宋体"/>
        </w:rPr>
        <w:t>①</w:t>
      </w:r>
      <w:r>
        <w:rPr>
          <w:rFonts w:cs="Times New Roman"/>
        </w:rPr>
        <w:t>种类组成</w:t>
      </w:r>
    </w:p>
    <w:p w14:paraId="6EF289C2">
      <w:pPr>
        <w:ind w:firstLine="480"/>
        <w:rPr>
          <w:rFonts w:cs="Times New Roman"/>
          <w:lang w:val="en-GB"/>
        </w:rPr>
      </w:pPr>
      <w:r>
        <w:rPr>
          <w:rFonts w:hint="eastAsia" w:cs="Times New Roman"/>
          <w:lang w:val="en-GB"/>
        </w:rPr>
        <w:t>结合</w:t>
      </w:r>
      <w:r>
        <w:rPr>
          <w:rFonts w:hint="eastAsia" w:cs="Times New Roman"/>
        </w:rPr>
        <w:t>本次现场调查及资料查询，评价区内浮游植物有7门72种（包括变种）（表4-），蓝藻门、甲藻门、隐藻门、裸藻门、金藻门、硅藻门、绿藻门种类分别有4种、2种、3种、3种、2种、21种、19种，分别占比7.41%、3.70%、5.56%、5.56%、3.70%、38.89%、35.19%。由此可见，硅藻门、绿藻门占据优势</w:t>
      </w:r>
      <w:r>
        <w:rPr>
          <w:rFonts w:cs="Times New Roman"/>
          <w:lang w:val="en-GB"/>
        </w:rPr>
        <w:t>。</w:t>
      </w:r>
    </w:p>
    <w:p w14:paraId="4D86C01E">
      <w:pPr>
        <w:pStyle w:val="31"/>
        <w:bidi w:val="0"/>
        <w:rPr>
          <w:rFonts w:eastAsia="黑体" w:cs="Times New Roman"/>
        </w:rPr>
      </w:pPr>
      <w:r>
        <w:rPr>
          <w:rFonts w:cs="Times New Roman"/>
          <w:lang w:val="en-GB"/>
        </w:rPr>
        <w:object>
          <v:shape id="_x0000_i1031" o:spt="75" type="#_x0000_t75" style="height:266pt;width:450pt;" o:ole="t" filled="f" o:preferrelative="t" stroked="f" coordsize="21600,21600">
            <v:path/>
            <v:fill on="f" focussize="0,0"/>
            <v:stroke on="f" joinstyle="miter"/>
            <v:imagedata r:id="rId140" o:title=""/>
            <o:lock v:ext="edit" aspectratio="t"/>
            <w10:wrap type="none"/>
            <w10:anchorlock/>
          </v:shape>
          <o:OLEObject Type="Embed" ProgID="Excel.Sheet.8" ShapeID="_x0000_i1031" DrawAspect="Content" ObjectID="_1468075731" r:id="rId139">
            <o:LockedField>false</o:LockedField>
          </o:OLEObject>
        </w:object>
      </w:r>
    </w:p>
    <w:p w14:paraId="17E5B63D">
      <w:pPr>
        <w:pStyle w:val="30"/>
        <w:bidi w:val="0"/>
      </w:pPr>
      <w:r>
        <w:t>图</w:t>
      </w:r>
      <w:r>
        <w:rPr>
          <w:rFonts w:hint="eastAsia"/>
          <w:lang w:eastAsia="zh-CN"/>
        </w:rPr>
        <w:t>4.3</w:t>
      </w:r>
      <w:r>
        <w:t>-13  评价区浮游植物种类组成</w:t>
      </w:r>
    </w:p>
    <w:p w14:paraId="6CA571C5">
      <w:pPr>
        <w:ind w:firstLine="480"/>
        <w:rPr>
          <w:rFonts w:cs="Times New Roman"/>
          <w:lang w:val="en-GB"/>
        </w:rPr>
      </w:pPr>
      <w:r>
        <w:rPr>
          <w:rFonts w:cs="Times New Roman"/>
          <w:lang w:val="en-GB"/>
        </w:rPr>
        <w:t>根据已有资料显示，硅藻门和绿藻门的种类较多，且占绝对优势，其次是蓝藻门，部分河段水量较大，流速较快，故硅藻门种类较多。但部分水域水质较肥，喜肥水的藻类如绿藻门、蓝藻门、裸藻门的种类和</w:t>
      </w:r>
      <w:r>
        <w:rPr>
          <w:rFonts w:hint="eastAsia" w:cs="Times New Roman"/>
          <w:lang w:val="en-GB"/>
        </w:rPr>
        <w:t>数量</w:t>
      </w:r>
      <w:r>
        <w:rPr>
          <w:rFonts w:cs="Times New Roman"/>
          <w:lang w:val="en-GB"/>
        </w:rPr>
        <w:t>有所增加。</w:t>
      </w:r>
    </w:p>
    <w:p w14:paraId="3ABFDACB">
      <w:pPr>
        <w:ind w:firstLine="480"/>
        <w:rPr>
          <w:rFonts w:cs="Times New Roman"/>
          <w:color w:val="0000FF"/>
        </w:rPr>
      </w:pPr>
      <w:r>
        <w:rPr>
          <w:rFonts w:hint="eastAsia" w:ascii="宋体" w:hAnsi="宋体"/>
          <w:color w:val="0000FF"/>
        </w:rPr>
        <w:t>②</w:t>
      </w:r>
      <w:r>
        <w:rPr>
          <w:rFonts w:cs="Times New Roman"/>
          <w:color w:val="0000FF"/>
        </w:rPr>
        <w:t>密度</w:t>
      </w:r>
    </w:p>
    <w:p w14:paraId="24068ADA">
      <w:pPr>
        <w:ind w:firstLine="480"/>
        <w:rPr>
          <w:rFonts w:cs="Times New Roman"/>
          <w:color w:val="0000FF"/>
        </w:rPr>
      </w:pPr>
      <w:r>
        <w:rPr>
          <w:rFonts w:cs="Times New Roman"/>
          <w:color w:val="0000FF"/>
        </w:rPr>
        <w:t>根据调查结果，评价区水域浮游植物平均</w:t>
      </w:r>
      <w:r>
        <w:rPr>
          <w:rFonts w:hint="eastAsia" w:cs="Times New Roman"/>
          <w:color w:val="0000FF"/>
        </w:rPr>
        <w:t>密度为</w:t>
      </w:r>
      <w:r>
        <w:rPr>
          <w:rFonts w:cs="Times New Roman"/>
          <w:color w:val="0000FF"/>
        </w:rPr>
        <w:t>75.8534×10</w:t>
      </w:r>
      <w:r>
        <w:rPr>
          <w:rFonts w:cs="Times New Roman"/>
          <w:color w:val="0000FF"/>
          <w:vertAlign w:val="superscript"/>
        </w:rPr>
        <w:t>5</w:t>
      </w:r>
      <w:r>
        <w:rPr>
          <w:rFonts w:cs="Times New Roman"/>
          <w:color w:val="0000FF"/>
        </w:rPr>
        <w:t xml:space="preserve"> ind./L，其中绿藻门密度为40.5377×10</w:t>
      </w:r>
      <w:r>
        <w:rPr>
          <w:rFonts w:cs="Times New Roman"/>
          <w:color w:val="0000FF"/>
          <w:vertAlign w:val="superscript"/>
        </w:rPr>
        <w:t>5</w:t>
      </w:r>
      <w:r>
        <w:rPr>
          <w:rFonts w:cs="Times New Roman"/>
          <w:color w:val="0000FF"/>
        </w:rPr>
        <w:t xml:space="preserve"> ind./L，为优势门类（表</w:t>
      </w:r>
      <w:r>
        <w:rPr>
          <w:rFonts w:hint="eastAsia" w:cs="Times New Roman"/>
          <w:color w:val="0000FF"/>
          <w:lang w:eastAsia="zh-CN"/>
        </w:rPr>
        <w:t>4.3</w:t>
      </w:r>
      <w:r>
        <w:rPr>
          <w:rFonts w:cs="Times New Roman"/>
          <w:color w:val="0000FF"/>
        </w:rPr>
        <w:t>-13）。</w:t>
      </w:r>
    </w:p>
    <w:p w14:paraId="42034BFE">
      <w:pPr>
        <w:ind w:firstLine="480"/>
        <w:rPr>
          <w:rFonts w:cs="Times New Roman"/>
          <w:color w:val="0000FF"/>
        </w:rPr>
      </w:pPr>
      <w:r>
        <w:rPr>
          <w:rFonts w:cs="Times New Roman"/>
          <w:color w:val="0000FF"/>
        </w:rPr>
        <w:t>不同调查点位中，W5、W6的浮游动物密度较高，分别为98.312×10</w:t>
      </w:r>
      <w:r>
        <w:rPr>
          <w:rFonts w:cs="Times New Roman"/>
          <w:color w:val="0000FF"/>
          <w:vertAlign w:val="superscript"/>
        </w:rPr>
        <w:t>5</w:t>
      </w:r>
      <w:r>
        <w:rPr>
          <w:rFonts w:cs="Times New Roman"/>
          <w:color w:val="0000FF"/>
        </w:rPr>
        <w:t xml:space="preserve"> ind./L、115.7854×10</w:t>
      </w:r>
      <w:r>
        <w:rPr>
          <w:rFonts w:cs="Times New Roman"/>
          <w:color w:val="0000FF"/>
          <w:vertAlign w:val="superscript"/>
        </w:rPr>
        <w:t>5</w:t>
      </w:r>
      <w:r>
        <w:rPr>
          <w:rFonts w:cs="Times New Roman"/>
          <w:color w:val="0000FF"/>
        </w:rPr>
        <w:t xml:space="preserve"> ind./L。总体来看，滁河流域中浮游植物的密度较高。</w:t>
      </w:r>
    </w:p>
    <w:p w14:paraId="6691A0D8">
      <w:pPr>
        <w:ind w:firstLine="480"/>
        <w:rPr>
          <w:rFonts w:cs="Times New Roman"/>
          <w:color w:val="0000FF"/>
        </w:rPr>
      </w:pPr>
      <w:r>
        <w:rPr>
          <w:rFonts w:cs="Times New Roman"/>
          <w:color w:val="0000FF"/>
        </w:rPr>
        <w:fldChar w:fldCharType="begin"/>
      </w:r>
      <w:r>
        <w:rPr>
          <w:rFonts w:cs="Times New Roman"/>
          <w:color w:val="0000FF"/>
        </w:rPr>
        <w:instrText xml:space="preserve"> = 3 \* GB3 </w:instrText>
      </w:r>
      <w:r>
        <w:rPr>
          <w:rFonts w:cs="Times New Roman"/>
          <w:color w:val="0000FF"/>
        </w:rPr>
        <w:fldChar w:fldCharType="separate"/>
      </w:r>
      <w:r>
        <w:rPr>
          <w:rFonts w:hint="eastAsia" w:ascii="宋体" w:hAnsi="宋体"/>
          <w:color w:val="0000FF"/>
        </w:rPr>
        <w:t>③</w:t>
      </w:r>
      <w:r>
        <w:rPr>
          <w:rFonts w:cs="Times New Roman"/>
          <w:color w:val="0000FF"/>
        </w:rPr>
        <w:fldChar w:fldCharType="end"/>
      </w:r>
      <w:r>
        <w:rPr>
          <w:rFonts w:cs="Times New Roman"/>
          <w:color w:val="0000FF"/>
        </w:rPr>
        <w:t>生物量</w:t>
      </w:r>
    </w:p>
    <w:p w14:paraId="40B0A7D3">
      <w:pPr>
        <w:ind w:firstLine="480"/>
        <w:rPr>
          <w:rFonts w:cs="Times New Roman"/>
          <w:color w:val="0000FF"/>
        </w:rPr>
      </w:pPr>
      <w:r>
        <w:rPr>
          <w:rFonts w:cs="Times New Roman"/>
          <w:color w:val="0000FF"/>
        </w:rPr>
        <w:t>评价区水域浮游植物平均生物量为18.6533mg/L，其中金藻门、隐藻门、甲藻门生物量较高，分别为4.734 mg/L、4.021 mg/L、3.176 mg/L。</w:t>
      </w:r>
    </w:p>
    <w:p w14:paraId="1A538758">
      <w:pPr>
        <w:ind w:firstLine="480" w:firstLineChars="200"/>
        <w:rPr>
          <w:color w:val="0000FF"/>
        </w:rPr>
      </w:pPr>
      <w:r>
        <w:rPr>
          <w:color w:val="0000FF"/>
        </w:rPr>
        <w:t>不同调查点位中，W5、W6的浮游植物生物量较高，分别为39.5406 mg/L、20.2312 mg/L。总体来看，滁河流域中浮游植物的密度较高。</w:t>
      </w:r>
    </w:p>
    <w:p w14:paraId="66F33A8B">
      <w:pPr>
        <w:rPr>
          <w:color w:val="0000FF"/>
        </w:rPr>
      </w:pPr>
      <w:r>
        <w:rPr>
          <w:color w:val="0000FF"/>
        </w:rPr>
        <w:t>总体来说，不同断面浮游植物的生物量差异不大。</w:t>
      </w:r>
    </w:p>
    <w:p w14:paraId="6BB0BABD">
      <w:pPr>
        <w:rPr>
          <w:color w:val="0000FF"/>
        </w:rPr>
      </w:pPr>
      <w:r>
        <w:rPr>
          <w:color w:val="0000FF"/>
          <w:lang w:val="en-GB"/>
        </w:rPr>
        <w:t>表</w:t>
      </w:r>
      <w:r>
        <w:rPr>
          <w:rFonts w:hint="eastAsia"/>
          <w:color w:val="0000FF"/>
          <w:lang w:eastAsia="zh-CN"/>
        </w:rPr>
        <w:t>4.3</w:t>
      </w:r>
      <w:r>
        <w:rPr>
          <w:color w:val="0000FF"/>
        </w:rPr>
        <w:t>-13</w:t>
      </w:r>
      <w:r>
        <w:rPr>
          <w:color w:val="0000FF"/>
          <w:lang w:val="en-GB"/>
        </w:rPr>
        <w:t xml:space="preserve">  评价区浮游</w:t>
      </w:r>
      <w:r>
        <w:rPr>
          <w:color w:val="0000FF"/>
        </w:rPr>
        <w:t>植物</w:t>
      </w:r>
      <w:r>
        <w:rPr>
          <w:color w:val="0000FF"/>
          <w:lang w:val="en-GB"/>
        </w:rPr>
        <w:t>名录</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8"/>
        <w:gridCol w:w="1982"/>
        <w:gridCol w:w="2171"/>
        <w:gridCol w:w="661"/>
        <w:gridCol w:w="1887"/>
        <w:gridCol w:w="1928"/>
      </w:tblGrid>
      <w:tr w14:paraId="1C771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354" w:type="pct"/>
            <w:vAlign w:val="center"/>
          </w:tcPr>
          <w:p w14:paraId="46C95124">
            <w:pPr>
              <w:pStyle w:val="28"/>
              <w:bidi w:val="0"/>
            </w:pPr>
            <w:r>
              <w:t>门类</w:t>
            </w:r>
          </w:p>
        </w:tc>
        <w:tc>
          <w:tcPr>
            <w:tcW w:w="1067" w:type="pct"/>
            <w:vAlign w:val="center"/>
          </w:tcPr>
          <w:p w14:paraId="67D9D92D">
            <w:pPr>
              <w:pStyle w:val="28"/>
              <w:bidi w:val="0"/>
            </w:pPr>
            <w:r>
              <w:t>种类</w:t>
            </w:r>
          </w:p>
        </w:tc>
        <w:tc>
          <w:tcPr>
            <w:tcW w:w="1169" w:type="pct"/>
            <w:vAlign w:val="center"/>
          </w:tcPr>
          <w:p w14:paraId="1D67025D">
            <w:pPr>
              <w:pStyle w:val="28"/>
              <w:bidi w:val="0"/>
            </w:pPr>
            <w:r>
              <w:t>学名</w:t>
            </w:r>
          </w:p>
        </w:tc>
        <w:tc>
          <w:tcPr>
            <w:tcW w:w="356" w:type="pct"/>
            <w:vAlign w:val="center"/>
          </w:tcPr>
          <w:p w14:paraId="788AD16C">
            <w:pPr>
              <w:pStyle w:val="28"/>
              <w:bidi w:val="0"/>
            </w:pPr>
            <w:r>
              <w:t>门类</w:t>
            </w:r>
          </w:p>
        </w:tc>
        <w:tc>
          <w:tcPr>
            <w:tcW w:w="1016" w:type="pct"/>
            <w:vAlign w:val="center"/>
          </w:tcPr>
          <w:p w14:paraId="6A00C94A">
            <w:pPr>
              <w:pStyle w:val="28"/>
              <w:bidi w:val="0"/>
            </w:pPr>
            <w:r>
              <w:t>种类</w:t>
            </w:r>
          </w:p>
        </w:tc>
        <w:tc>
          <w:tcPr>
            <w:tcW w:w="1038" w:type="pct"/>
            <w:vAlign w:val="center"/>
          </w:tcPr>
          <w:p w14:paraId="615A00AD">
            <w:pPr>
              <w:pStyle w:val="28"/>
              <w:bidi w:val="0"/>
            </w:pPr>
            <w:r>
              <w:t>学名</w:t>
            </w:r>
          </w:p>
        </w:tc>
      </w:tr>
      <w:tr w14:paraId="55B96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restart"/>
            <w:vAlign w:val="center"/>
          </w:tcPr>
          <w:p w14:paraId="373EFCAF">
            <w:pPr>
              <w:pStyle w:val="28"/>
              <w:bidi w:val="0"/>
            </w:pPr>
            <w:r>
              <w:t>硅藻门</w:t>
            </w:r>
          </w:p>
        </w:tc>
        <w:tc>
          <w:tcPr>
            <w:tcW w:w="1067" w:type="pct"/>
            <w:vAlign w:val="center"/>
          </w:tcPr>
          <w:p w14:paraId="4003AAF0">
            <w:pPr>
              <w:pStyle w:val="28"/>
              <w:bidi w:val="0"/>
            </w:pPr>
            <w:r>
              <w:t>窗格平板藻</w:t>
            </w:r>
          </w:p>
        </w:tc>
        <w:tc>
          <w:tcPr>
            <w:tcW w:w="1169" w:type="pct"/>
            <w:vAlign w:val="center"/>
          </w:tcPr>
          <w:p w14:paraId="58D29F27">
            <w:pPr>
              <w:pStyle w:val="28"/>
              <w:bidi w:val="0"/>
            </w:pPr>
            <w:r>
              <w:t>Fragilaria capucina</w:t>
            </w:r>
          </w:p>
        </w:tc>
        <w:tc>
          <w:tcPr>
            <w:tcW w:w="356" w:type="pct"/>
            <w:vMerge w:val="restart"/>
            <w:vAlign w:val="center"/>
          </w:tcPr>
          <w:p w14:paraId="4DCA7105">
            <w:pPr>
              <w:pStyle w:val="28"/>
              <w:bidi w:val="0"/>
            </w:pPr>
            <w:r>
              <w:t>蓝藻门</w:t>
            </w:r>
          </w:p>
        </w:tc>
        <w:tc>
          <w:tcPr>
            <w:tcW w:w="1016" w:type="pct"/>
            <w:vAlign w:val="center"/>
          </w:tcPr>
          <w:p w14:paraId="6C26A658">
            <w:pPr>
              <w:pStyle w:val="28"/>
              <w:bidi w:val="0"/>
            </w:pPr>
            <w:r>
              <w:t>26.两栖颤藻</w:t>
            </w:r>
          </w:p>
        </w:tc>
        <w:tc>
          <w:tcPr>
            <w:tcW w:w="1038" w:type="pct"/>
            <w:vAlign w:val="center"/>
          </w:tcPr>
          <w:p w14:paraId="21A89ED5">
            <w:pPr>
              <w:pStyle w:val="28"/>
              <w:bidi w:val="0"/>
            </w:pPr>
            <w:r>
              <w:t>Oscillatoria amphibian</w:t>
            </w:r>
          </w:p>
        </w:tc>
      </w:tr>
      <w:tr w14:paraId="5D1010BF">
        <w:tblPrEx>
          <w:tblCellMar>
            <w:top w:w="0" w:type="dxa"/>
            <w:left w:w="108" w:type="dxa"/>
            <w:bottom w:w="0" w:type="dxa"/>
            <w:right w:w="108" w:type="dxa"/>
          </w:tblCellMar>
        </w:tblPrEx>
        <w:trPr>
          <w:trHeight w:val="340" w:hRule="atLeast"/>
          <w:jc w:val="center"/>
        </w:trPr>
        <w:tc>
          <w:tcPr>
            <w:tcW w:w="354" w:type="pct"/>
            <w:vMerge w:val="continue"/>
            <w:vAlign w:val="center"/>
          </w:tcPr>
          <w:p w14:paraId="50BB544A">
            <w:pPr>
              <w:pStyle w:val="28"/>
              <w:bidi w:val="0"/>
            </w:pPr>
          </w:p>
        </w:tc>
        <w:tc>
          <w:tcPr>
            <w:tcW w:w="1067" w:type="pct"/>
            <w:vAlign w:val="center"/>
          </w:tcPr>
          <w:p w14:paraId="08B42A20">
            <w:pPr>
              <w:pStyle w:val="28"/>
              <w:bidi w:val="0"/>
            </w:pPr>
            <w:r>
              <w:t>钟脆杆藻</w:t>
            </w:r>
          </w:p>
        </w:tc>
        <w:tc>
          <w:tcPr>
            <w:tcW w:w="1169" w:type="pct"/>
            <w:vAlign w:val="center"/>
          </w:tcPr>
          <w:p w14:paraId="26C588CB">
            <w:pPr>
              <w:pStyle w:val="28"/>
              <w:bidi w:val="0"/>
            </w:pPr>
            <w:r>
              <w:t>Tabellaria fenestrata</w:t>
            </w:r>
          </w:p>
        </w:tc>
        <w:tc>
          <w:tcPr>
            <w:tcW w:w="356" w:type="pct"/>
            <w:vMerge w:val="continue"/>
            <w:vAlign w:val="center"/>
          </w:tcPr>
          <w:p w14:paraId="1E8D6C87">
            <w:pPr>
              <w:pStyle w:val="28"/>
              <w:bidi w:val="0"/>
            </w:pPr>
          </w:p>
        </w:tc>
        <w:tc>
          <w:tcPr>
            <w:tcW w:w="1016" w:type="pct"/>
            <w:vAlign w:val="center"/>
          </w:tcPr>
          <w:p w14:paraId="7EA64FC7">
            <w:pPr>
              <w:pStyle w:val="28"/>
              <w:bidi w:val="0"/>
            </w:pPr>
            <w:r>
              <w:t>27.螺旋颤藻</w:t>
            </w:r>
          </w:p>
        </w:tc>
        <w:tc>
          <w:tcPr>
            <w:tcW w:w="1038" w:type="pct"/>
            <w:vAlign w:val="center"/>
          </w:tcPr>
          <w:p w14:paraId="452EDBAF">
            <w:pPr>
              <w:pStyle w:val="28"/>
              <w:bidi w:val="0"/>
            </w:pPr>
            <w:r>
              <w:t>Spirulina</w:t>
            </w:r>
          </w:p>
        </w:tc>
      </w:tr>
      <w:tr w14:paraId="4590A650">
        <w:tblPrEx>
          <w:tblCellMar>
            <w:top w:w="0" w:type="dxa"/>
            <w:left w:w="108" w:type="dxa"/>
            <w:bottom w:w="0" w:type="dxa"/>
            <w:right w:w="108" w:type="dxa"/>
          </w:tblCellMar>
        </w:tblPrEx>
        <w:trPr>
          <w:trHeight w:val="340" w:hRule="atLeast"/>
          <w:jc w:val="center"/>
        </w:trPr>
        <w:tc>
          <w:tcPr>
            <w:tcW w:w="354" w:type="pct"/>
            <w:vMerge w:val="continue"/>
            <w:vAlign w:val="center"/>
          </w:tcPr>
          <w:p w14:paraId="5006D5E2">
            <w:pPr>
              <w:pStyle w:val="28"/>
              <w:bidi w:val="0"/>
            </w:pPr>
          </w:p>
        </w:tc>
        <w:tc>
          <w:tcPr>
            <w:tcW w:w="1067" w:type="pct"/>
            <w:vAlign w:val="center"/>
          </w:tcPr>
          <w:p w14:paraId="327A02A0">
            <w:pPr>
              <w:pStyle w:val="28"/>
              <w:bidi w:val="0"/>
            </w:pPr>
            <w:r>
              <w:t>美丽双菱藻</w:t>
            </w:r>
          </w:p>
        </w:tc>
        <w:tc>
          <w:tcPr>
            <w:tcW w:w="1169" w:type="pct"/>
            <w:vAlign w:val="center"/>
          </w:tcPr>
          <w:p w14:paraId="6163679A">
            <w:pPr>
              <w:pStyle w:val="28"/>
              <w:bidi w:val="0"/>
            </w:pPr>
            <w:r>
              <w:t>Surirella elagans</w:t>
            </w:r>
          </w:p>
        </w:tc>
        <w:tc>
          <w:tcPr>
            <w:tcW w:w="356" w:type="pct"/>
            <w:vMerge w:val="continue"/>
            <w:vAlign w:val="center"/>
          </w:tcPr>
          <w:p w14:paraId="06053A50">
            <w:pPr>
              <w:pStyle w:val="28"/>
              <w:bidi w:val="0"/>
            </w:pPr>
          </w:p>
        </w:tc>
        <w:tc>
          <w:tcPr>
            <w:tcW w:w="1016" w:type="pct"/>
            <w:vAlign w:val="center"/>
          </w:tcPr>
          <w:p w14:paraId="12548AED">
            <w:pPr>
              <w:pStyle w:val="28"/>
              <w:bidi w:val="0"/>
            </w:pPr>
            <w:r>
              <w:t>28.小颤藻</w:t>
            </w:r>
          </w:p>
        </w:tc>
        <w:tc>
          <w:tcPr>
            <w:tcW w:w="1038" w:type="pct"/>
            <w:vAlign w:val="center"/>
          </w:tcPr>
          <w:p w14:paraId="7BCC4D51">
            <w:pPr>
              <w:pStyle w:val="28"/>
              <w:bidi w:val="0"/>
            </w:pPr>
            <w:r>
              <w:t>Oscillatoria tenuis</w:t>
            </w:r>
          </w:p>
        </w:tc>
      </w:tr>
      <w:tr w14:paraId="0A9D2143">
        <w:tblPrEx>
          <w:tblCellMar>
            <w:top w:w="0" w:type="dxa"/>
            <w:left w:w="108" w:type="dxa"/>
            <w:bottom w:w="0" w:type="dxa"/>
            <w:right w:w="108" w:type="dxa"/>
          </w:tblCellMar>
        </w:tblPrEx>
        <w:trPr>
          <w:trHeight w:val="340" w:hRule="atLeast"/>
          <w:jc w:val="center"/>
        </w:trPr>
        <w:tc>
          <w:tcPr>
            <w:tcW w:w="354" w:type="pct"/>
            <w:vMerge w:val="continue"/>
            <w:vAlign w:val="center"/>
          </w:tcPr>
          <w:p w14:paraId="26B390A3">
            <w:pPr>
              <w:pStyle w:val="28"/>
              <w:bidi w:val="0"/>
            </w:pPr>
          </w:p>
        </w:tc>
        <w:tc>
          <w:tcPr>
            <w:tcW w:w="1067" w:type="pct"/>
            <w:vAlign w:val="center"/>
          </w:tcPr>
          <w:p w14:paraId="0CB9A6B4">
            <w:pPr>
              <w:pStyle w:val="28"/>
              <w:bidi w:val="0"/>
            </w:pPr>
            <w:r>
              <w:t>端毛双菱藻</w:t>
            </w:r>
          </w:p>
        </w:tc>
        <w:tc>
          <w:tcPr>
            <w:tcW w:w="1169" w:type="pct"/>
            <w:vAlign w:val="center"/>
          </w:tcPr>
          <w:p w14:paraId="25A6EB7B">
            <w:pPr>
              <w:pStyle w:val="28"/>
              <w:bidi w:val="0"/>
            </w:pPr>
            <w:r>
              <w:t>Suriella capronii</w:t>
            </w:r>
          </w:p>
        </w:tc>
        <w:tc>
          <w:tcPr>
            <w:tcW w:w="356" w:type="pct"/>
            <w:vMerge w:val="continue"/>
            <w:vAlign w:val="center"/>
          </w:tcPr>
          <w:p w14:paraId="4CD5E9FD">
            <w:pPr>
              <w:pStyle w:val="28"/>
              <w:bidi w:val="0"/>
            </w:pPr>
          </w:p>
        </w:tc>
        <w:tc>
          <w:tcPr>
            <w:tcW w:w="1016" w:type="pct"/>
            <w:vAlign w:val="center"/>
          </w:tcPr>
          <w:p w14:paraId="608F059F">
            <w:pPr>
              <w:pStyle w:val="28"/>
              <w:bidi w:val="0"/>
            </w:pPr>
            <w:r>
              <w:t>29.小席藻</w:t>
            </w:r>
          </w:p>
        </w:tc>
        <w:tc>
          <w:tcPr>
            <w:tcW w:w="1038" w:type="pct"/>
            <w:vAlign w:val="center"/>
          </w:tcPr>
          <w:p w14:paraId="0885E8B3">
            <w:pPr>
              <w:pStyle w:val="28"/>
              <w:bidi w:val="0"/>
            </w:pPr>
            <w:r>
              <w:t>Phormidium tenue</w:t>
            </w:r>
          </w:p>
        </w:tc>
      </w:tr>
      <w:tr w14:paraId="12DC7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3729E0B6">
            <w:pPr>
              <w:pStyle w:val="28"/>
              <w:bidi w:val="0"/>
            </w:pPr>
          </w:p>
        </w:tc>
        <w:tc>
          <w:tcPr>
            <w:tcW w:w="1067" w:type="pct"/>
            <w:vAlign w:val="center"/>
          </w:tcPr>
          <w:p w14:paraId="4A13B57B">
            <w:pPr>
              <w:pStyle w:val="28"/>
              <w:bidi w:val="0"/>
            </w:pPr>
            <w:r>
              <w:t>粗壮双菱藻</w:t>
            </w:r>
          </w:p>
        </w:tc>
        <w:tc>
          <w:tcPr>
            <w:tcW w:w="1169" w:type="pct"/>
            <w:vAlign w:val="center"/>
          </w:tcPr>
          <w:p w14:paraId="6667A109">
            <w:pPr>
              <w:pStyle w:val="28"/>
              <w:bidi w:val="0"/>
            </w:pPr>
            <w:r>
              <w:t>Surirella robusta</w:t>
            </w:r>
          </w:p>
        </w:tc>
        <w:tc>
          <w:tcPr>
            <w:tcW w:w="356" w:type="pct"/>
            <w:vMerge w:val="restart"/>
            <w:vAlign w:val="center"/>
          </w:tcPr>
          <w:p w14:paraId="54E2ED5D">
            <w:pPr>
              <w:pStyle w:val="28"/>
              <w:bidi w:val="0"/>
            </w:pPr>
            <w:r>
              <w:t>裸藻门</w:t>
            </w:r>
          </w:p>
        </w:tc>
        <w:tc>
          <w:tcPr>
            <w:tcW w:w="1016" w:type="pct"/>
            <w:vAlign w:val="center"/>
          </w:tcPr>
          <w:p w14:paraId="16FC2341">
            <w:pPr>
              <w:pStyle w:val="28"/>
              <w:bidi w:val="0"/>
            </w:pPr>
            <w:r>
              <w:t>30.尖尾扁裸藻</w:t>
            </w:r>
          </w:p>
        </w:tc>
        <w:tc>
          <w:tcPr>
            <w:tcW w:w="1038" w:type="pct"/>
            <w:vAlign w:val="center"/>
          </w:tcPr>
          <w:p w14:paraId="46283AE7">
            <w:pPr>
              <w:pStyle w:val="28"/>
              <w:bidi w:val="0"/>
            </w:pPr>
            <w:r>
              <w:t>Phacus acuminatus</w:t>
            </w:r>
          </w:p>
        </w:tc>
      </w:tr>
      <w:tr w14:paraId="0B440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3DD615E2">
            <w:pPr>
              <w:pStyle w:val="28"/>
              <w:bidi w:val="0"/>
            </w:pPr>
          </w:p>
        </w:tc>
        <w:tc>
          <w:tcPr>
            <w:tcW w:w="1067" w:type="pct"/>
            <w:vAlign w:val="center"/>
          </w:tcPr>
          <w:p w14:paraId="682D2E0F">
            <w:pPr>
              <w:pStyle w:val="28"/>
              <w:bidi w:val="0"/>
            </w:pPr>
            <w:r>
              <w:t>双尖菱板藻</w:t>
            </w:r>
          </w:p>
        </w:tc>
        <w:tc>
          <w:tcPr>
            <w:tcW w:w="1169" w:type="pct"/>
            <w:vAlign w:val="center"/>
          </w:tcPr>
          <w:p w14:paraId="0B344CBA">
            <w:pPr>
              <w:pStyle w:val="28"/>
              <w:bidi w:val="0"/>
            </w:pPr>
            <w:r>
              <w:t>Hantzschia amphioxys</w:t>
            </w:r>
          </w:p>
        </w:tc>
        <w:tc>
          <w:tcPr>
            <w:tcW w:w="356" w:type="pct"/>
            <w:vMerge w:val="continue"/>
            <w:vAlign w:val="center"/>
          </w:tcPr>
          <w:p w14:paraId="00ACA826">
            <w:pPr>
              <w:pStyle w:val="28"/>
              <w:bidi w:val="0"/>
            </w:pPr>
          </w:p>
        </w:tc>
        <w:tc>
          <w:tcPr>
            <w:tcW w:w="1016" w:type="pct"/>
            <w:vAlign w:val="center"/>
          </w:tcPr>
          <w:p w14:paraId="162E429D">
            <w:pPr>
              <w:pStyle w:val="28"/>
              <w:bidi w:val="0"/>
            </w:pPr>
            <w:r>
              <w:t>31.尖尾裸藻</w:t>
            </w:r>
          </w:p>
        </w:tc>
        <w:tc>
          <w:tcPr>
            <w:tcW w:w="1038" w:type="pct"/>
            <w:vAlign w:val="center"/>
          </w:tcPr>
          <w:p w14:paraId="2C64E952">
            <w:pPr>
              <w:pStyle w:val="28"/>
              <w:bidi w:val="0"/>
            </w:pPr>
            <w:r>
              <w:t>Euglena oxyuris</w:t>
            </w:r>
          </w:p>
        </w:tc>
      </w:tr>
      <w:tr w14:paraId="33C59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0AD5D6EF">
            <w:pPr>
              <w:pStyle w:val="28"/>
              <w:bidi w:val="0"/>
            </w:pPr>
          </w:p>
        </w:tc>
        <w:tc>
          <w:tcPr>
            <w:tcW w:w="1067" w:type="pct"/>
            <w:vAlign w:val="center"/>
          </w:tcPr>
          <w:p w14:paraId="6055FBCE">
            <w:pPr>
              <w:pStyle w:val="28"/>
              <w:bidi w:val="0"/>
            </w:pPr>
            <w:r>
              <w:t>双头辐节藻线形变型</w:t>
            </w:r>
          </w:p>
        </w:tc>
        <w:tc>
          <w:tcPr>
            <w:tcW w:w="1169" w:type="pct"/>
            <w:vAlign w:val="center"/>
          </w:tcPr>
          <w:p w14:paraId="598E5CAC">
            <w:pPr>
              <w:pStyle w:val="28"/>
              <w:bidi w:val="0"/>
            </w:pPr>
            <w:r>
              <w:t>Stauroneis anceps f.linearis</w:t>
            </w:r>
          </w:p>
        </w:tc>
        <w:tc>
          <w:tcPr>
            <w:tcW w:w="356" w:type="pct"/>
            <w:vMerge w:val="continue"/>
            <w:vAlign w:val="center"/>
          </w:tcPr>
          <w:p w14:paraId="57E38532">
            <w:pPr>
              <w:pStyle w:val="28"/>
              <w:bidi w:val="0"/>
            </w:pPr>
          </w:p>
        </w:tc>
        <w:tc>
          <w:tcPr>
            <w:tcW w:w="1016" w:type="pct"/>
            <w:vAlign w:val="center"/>
          </w:tcPr>
          <w:p w14:paraId="79B793EE">
            <w:pPr>
              <w:pStyle w:val="28"/>
              <w:bidi w:val="0"/>
            </w:pPr>
            <w:r>
              <w:t>32.梭形裸藻</w:t>
            </w:r>
          </w:p>
        </w:tc>
        <w:tc>
          <w:tcPr>
            <w:tcW w:w="1038" w:type="pct"/>
            <w:vAlign w:val="center"/>
          </w:tcPr>
          <w:p w14:paraId="6C946E32">
            <w:pPr>
              <w:pStyle w:val="28"/>
              <w:bidi w:val="0"/>
            </w:pPr>
            <w:r>
              <w:t>Euglena acus</w:t>
            </w:r>
          </w:p>
        </w:tc>
      </w:tr>
      <w:tr w14:paraId="58868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29045542">
            <w:pPr>
              <w:pStyle w:val="28"/>
              <w:bidi w:val="0"/>
            </w:pPr>
          </w:p>
        </w:tc>
        <w:tc>
          <w:tcPr>
            <w:tcW w:w="1067" w:type="pct"/>
            <w:vAlign w:val="center"/>
          </w:tcPr>
          <w:p w14:paraId="24AC772A">
            <w:pPr>
              <w:pStyle w:val="28"/>
              <w:bidi w:val="0"/>
            </w:pPr>
            <w:r>
              <w:t>谷皮菱形藻</w:t>
            </w:r>
          </w:p>
        </w:tc>
        <w:tc>
          <w:tcPr>
            <w:tcW w:w="1169" w:type="pct"/>
            <w:vAlign w:val="center"/>
          </w:tcPr>
          <w:p w14:paraId="0D05DA16">
            <w:pPr>
              <w:pStyle w:val="28"/>
              <w:bidi w:val="0"/>
            </w:pPr>
            <w:r>
              <w:t>Nitzschia palea</w:t>
            </w:r>
          </w:p>
        </w:tc>
        <w:tc>
          <w:tcPr>
            <w:tcW w:w="356" w:type="pct"/>
            <w:vMerge w:val="restart"/>
            <w:vAlign w:val="center"/>
          </w:tcPr>
          <w:p w14:paraId="23625850">
            <w:pPr>
              <w:pStyle w:val="28"/>
              <w:bidi w:val="0"/>
            </w:pPr>
            <w:r>
              <w:t>绿藻门</w:t>
            </w:r>
          </w:p>
        </w:tc>
        <w:tc>
          <w:tcPr>
            <w:tcW w:w="1016" w:type="pct"/>
            <w:vAlign w:val="center"/>
          </w:tcPr>
          <w:p w14:paraId="6B0CBDFE">
            <w:pPr>
              <w:pStyle w:val="28"/>
              <w:bidi w:val="0"/>
            </w:pPr>
            <w:r>
              <w:t>33.娇柔塔胞藻</w:t>
            </w:r>
          </w:p>
        </w:tc>
        <w:tc>
          <w:tcPr>
            <w:tcW w:w="1038" w:type="pct"/>
            <w:vAlign w:val="center"/>
          </w:tcPr>
          <w:p w14:paraId="4796FD60">
            <w:pPr>
              <w:pStyle w:val="28"/>
              <w:bidi w:val="0"/>
            </w:pPr>
            <w:r>
              <w:t>Pyramidomonas delicatula</w:t>
            </w:r>
          </w:p>
        </w:tc>
      </w:tr>
      <w:tr w14:paraId="55846BD6">
        <w:tblPrEx>
          <w:tblCellMar>
            <w:top w:w="0" w:type="dxa"/>
            <w:left w:w="108" w:type="dxa"/>
            <w:bottom w:w="0" w:type="dxa"/>
            <w:right w:w="108" w:type="dxa"/>
          </w:tblCellMar>
        </w:tblPrEx>
        <w:trPr>
          <w:trHeight w:val="340" w:hRule="atLeast"/>
          <w:jc w:val="center"/>
        </w:trPr>
        <w:tc>
          <w:tcPr>
            <w:tcW w:w="354" w:type="pct"/>
            <w:vMerge w:val="continue"/>
            <w:vAlign w:val="center"/>
          </w:tcPr>
          <w:p w14:paraId="4BDA2D27">
            <w:pPr>
              <w:pStyle w:val="28"/>
              <w:bidi w:val="0"/>
            </w:pPr>
          </w:p>
        </w:tc>
        <w:tc>
          <w:tcPr>
            <w:tcW w:w="1067" w:type="pct"/>
            <w:vAlign w:val="center"/>
          </w:tcPr>
          <w:p w14:paraId="3C729B7C">
            <w:pPr>
              <w:pStyle w:val="28"/>
              <w:bidi w:val="0"/>
            </w:pPr>
            <w:r>
              <w:t>线性菱形藻</w:t>
            </w:r>
          </w:p>
        </w:tc>
        <w:tc>
          <w:tcPr>
            <w:tcW w:w="1169" w:type="pct"/>
            <w:vAlign w:val="center"/>
          </w:tcPr>
          <w:p w14:paraId="65675422">
            <w:pPr>
              <w:pStyle w:val="28"/>
              <w:bidi w:val="0"/>
            </w:pPr>
            <w:r>
              <w:t>Nitzschia linearis</w:t>
            </w:r>
          </w:p>
        </w:tc>
        <w:tc>
          <w:tcPr>
            <w:tcW w:w="356" w:type="pct"/>
            <w:vMerge w:val="continue"/>
            <w:vAlign w:val="center"/>
          </w:tcPr>
          <w:p w14:paraId="052962D3">
            <w:pPr>
              <w:pStyle w:val="28"/>
              <w:bidi w:val="0"/>
            </w:pPr>
          </w:p>
        </w:tc>
        <w:tc>
          <w:tcPr>
            <w:tcW w:w="1016" w:type="pct"/>
            <w:vAlign w:val="center"/>
          </w:tcPr>
          <w:p w14:paraId="1E6C0E1F">
            <w:pPr>
              <w:pStyle w:val="28"/>
              <w:bidi w:val="0"/>
            </w:pPr>
            <w:r>
              <w:t>34.空球藻</w:t>
            </w:r>
          </w:p>
        </w:tc>
        <w:tc>
          <w:tcPr>
            <w:tcW w:w="1038" w:type="pct"/>
            <w:vAlign w:val="center"/>
          </w:tcPr>
          <w:p w14:paraId="1326BE85">
            <w:pPr>
              <w:pStyle w:val="28"/>
              <w:bidi w:val="0"/>
            </w:pPr>
            <w:r>
              <w:t>Eudorina elegans</w:t>
            </w:r>
          </w:p>
        </w:tc>
      </w:tr>
      <w:tr w14:paraId="147BB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7605948E">
            <w:pPr>
              <w:pStyle w:val="28"/>
              <w:bidi w:val="0"/>
            </w:pPr>
          </w:p>
        </w:tc>
        <w:tc>
          <w:tcPr>
            <w:tcW w:w="1067" w:type="pct"/>
            <w:vAlign w:val="center"/>
          </w:tcPr>
          <w:p w14:paraId="2563B1E1">
            <w:pPr>
              <w:pStyle w:val="28"/>
              <w:bidi w:val="0"/>
            </w:pPr>
            <w:r>
              <w:t>针状菱形藻</w:t>
            </w:r>
          </w:p>
        </w:tc>
        <w:tc>
          <w:tcPr>
            <w:tcW w:w="1169" w:type="pct"/>
            <w:vAlign w:val="center"/>
          </w:tcPr>
          <w:p w14:paraId="21F2D8B1">
            <w:pPr>
              <w:pStyle w:val="28"/>
              <w:bidi w:val="0"/>
            </w:pPr>
            <w:r>
              <w:t>Nitzschia acicularis</w:t>
            </w:r>
          </w:p>
        </w:tc>
        <w:tc>
          <w:tcPr>
            <w:tcW w:w="356" w:type="pct"/>
            <w:vMerge w:val="continue"/>
            <w:vAlign w:val="center"/>
          </w:tcPr>
          <w:p w14:paraId="16B74D29">
            <w:pPr>
              <w:pStyle w:val="28"/>
              <w:bidi w:val="0"/>
            </w:pPr>
          </w:p>
        </w:tc>
        <w:tc>
          <w:tcPr>
            <w:tcW w:w="1016" w:type="pct"/>
            <w:vAlign w:val="center"/>
          </w:tcPr>
          <w:p w14:paraId="0EE99007">
            <w:pPr>
              <w:pStyle w:val="28"/>
              <w:bidi w:val="0"/>
            </w:pPr>
            <w:r>
              <w:t>35.空星藻</w:t>
            </w:r>
          </w:p>
        </w:tc>
        <w:tc>
          <w:tcPr>
            <w:tcW w:w="1038" w:type="pct"/>
            <w:vAlign w:val="center"/>
          </w:tcPr>
          <w:p w14:paraId="343DCDB8">
            <w:pPr>
              <w:pStyle w:val="28"/>
              <w:bidi w:val="0"/>
            </w:pPr>
            <w:r>
              <w:t>Coelastrum sphaericum</w:t>
            </w:r>
          </w:p>
        </w:tc>
      </w:tr>
      <w:tr w14:paraId="4D226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2EDF4EA7">
            <w:pPr>
              <w:pStyle w:val="28"/>
              <w:bidi w:val="0"/>
            </w:pPr>
          </w:p>
        </w:tc>
        <w:tc>
          <w:tcPr>
            <w:tcW w:w="1067" w:type="pct"/>
            <w:vAlign w:val="center"/>
          </w:tcPr>
          <w:p w14:paraId="7A2C9F78">
            <w:pPr>
              <w:pStyle w:val="28"/>
              <w:bidi w:val="0"/>
            </w:pPr>
            <w:r>
              <w:t>尖头桥弯藻</w:t>
            </w:r>
          </w:p>
        </w:tc>
        <w:tc>
          <w:tcPr>
            <w:tcW w:w="1169" w:type="pct"/>
            <w:vAlign w:val="center"/>
          </w:tcPr>
          <w:p w14:paraId="033163EB">
            <w:pPr>
              <w:pStyle w:val="28"/>
              <w:bidi w:val="0"/>
            </w:pPr>
            <w:r>
              <w:t>Cymbella cupsidate</w:t>
            </w:r>
          </w:p>
        </w:tc>
        <w:tc>
          <w:tcPr>
            <w:tcW w:w="356" w:type="pct"/>
            <w:vMerge w:val="continue"/>
            <w:vAlign w:val="center"/>
          </w:tcPr>
          <w:p w14:paraId="24C190B8">
            <w:pPr>
              <w:pStyle w:val="28"/>
              <w:bidi w:val="0"/>
            </w:pPr>
          </w:p>
        </w:tc>
        <w:tc>
          <w:tcPr>
            <w:tcW w:w="1016" w:type="pct"/>
            <w:vAlign w:val="center"/>
          </w:tcPr>
          <w:p w14:paraId="22B18F20">
            <w:pPr>
              <w:pStyle w:val="28"/>
              <w:bidi w:val="0"/>
            </w:pPr>
            <w:r>
              <w:t>36.四足十字藻</w:t>
            </w:r>
          </w:p>
        </w:tc>
        <w:tc>
          <w:tcPr>
            <w:tcW w:w="1038" w:type="pct"/>
            <w:vAlign w:val="center"/>
          </w:tcPr>
          <w:p w14:paraId="50D7B17E">
            <w:pPr>
              <w:pStyle w:val="28"/>
              <w:bidi w:val="0"/>
            </w:pPr>
            <w:r>
              <w:t>Crucigenia tetrapedia</w:t>
            </w:r>
          </w:p>
        </w:tc>
      </w:tr>
      <w:tr w14:paraId="6C8477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3924DA00">
            <w:pPr>
              <w:pStyle w:val="28"/>
              <w:bidi w:val="0"/>
            </w:pPr>
          </w:p>
        </w:tc>
        <w:tc>
          <w:tcPr>
            <w:tcW w:w="1067" w:type="pct"/>
            <w:vAlign w:val="center"/>
          </w:tcPr>
          <w:p w14:paraId="07FC417F">
            <w:pPr>
              <w:pStyle w:val="28"/>
              <w:bidi w:val="0"/>
            </w:pPr>
            <w:r>
              <w:t>高山桥弯藻</w:t>
            </w:r>
          </w:p>
        </w:tc>
        <w:tc>
          <w:tcPr>
            <w:tcW w:w="1169" w:type="pct"/>
            <w:vAlign w:val="center"/>
          </w:tcPr>
          <w:p w14:paraId="4B5C7763">
            <w:pPr>
              <w:pStyle w:val="28"/>
              <w:bidi w:val="0"/>
            </w:pPr>
            <w:r>
              <w:t>Cymbella alpina</w:t>
            </w:r>
          </w:p>
        </w:tc>
        <w:tc>
          <w:tcPr>
            <w:tcW w:w="356" w:type="pct"/>
            <w:vMerge w:val="continue"/>
            <w:vAlign w:val="center"/>
          </w:tcPr>
          <w:p w14:paraId="51FAE938">
            <w:pPr>
              <w:pStyle w:val="28"/>
              <w:bidi w:val="0"/>
            </w:pPr>
          </w:p>
        </w:tc>
        <w:tc>
          <w:tcPr>
            <w:tcW w:w="1016" w:type="pct"/>
            <w:vAlign w:val="center"/>
          </w:tcPr>
          <w:p w14:paraId="2A5E23B4">
            <w:pPr>
              <w:pStyle w:val="28"/>
              <w:bidi w:val="0"/>
            </w:pPr>
            <w:r>
              <w:t>37.四角十字藻</w:t>
            </w:r>
          </w:p>
        </w:tc>
        <w:tc>
          <w:tcPr>
            <w:tcW w:w="1038" w:type="pct"/>
            <w:vAlign w:val="center"/>
          </w:tcPr>
          <w:p w14:paraId="5427ACD9">
            <w:pPr>
              <w:pStyle w:val="28"/>
              <w:bidi w:val="0"/>
            </w:pPr>
            <w:r>
              <w:t>Crucigenia quadrata</w:t>
            </w:r>
          </w:p>
        </w:tc>
      </w:tr>
      <w:tr w14:paraId="32478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05CEE253">
            <w:pPr>
              <w:pStyle w:val="28"/>
              <w:bidi w:val="0"/>
            </w:pPr>
          </w:p>
        </w:tc>
        <w:tc>
          <w:tcPr>
            <w:tcW w:w="1067" w:type="pct"/>
            <w:vAlign w:val="center"/>
          </w:tcPr>
          <w:p w14:paraId="1CC19FDC">
            <w:pPr>
              <w:pStyle w:val="28"/>
              <w:bidi w:val="0"/>
            </w:pPr>
            <w:r>
              <w:t>卵圆双壁藻</w:t>
            </w:r>
          </w:p>
        </w:tc>
        <w:tc>
          <w:tcPr>
            <w:tcW w:w="1169" w:type="pct"/>
            <w:vAlign w:val="center"/>
          </w:tcPr>
          <w:p w14:paraId="10A36F4F">
            <w:pPr>
              <w:pStyle w:val="28"/>
              <w:bidi w:val="0"/>
            </w:pPr>
            <w:r>
              <w:t>Diploneis ovalis</w:t>
            </w:r>
          </w:p>
        </w:tc>
        <w:tc>
          <w:tcPr>
            <w:tcW w:w="356" w:type="pct"/>
            <w:vMerge w:val="continue"/>
            <w:vAlign w:val="center"/>
          </w:tcPr>
          <w:p w14:paraId="7F2A0CE7">
            <w:pPr>
              <w:pStyle w:val="28"/>
              <w:bidi w:val="0"/>
            </w:pPr>
          </w:p>
        </w:tc>
        <w:tc>
          <w:tcPr>
            <w:tcW w:w="1016" w:type="pct"/>
            <w:vAlign w:val="center"/>
          </w:tcPr>
          <w:p w14:paraId="5C5B1A75">
            <w:pPr>
              <w:pStyle w:val="28"/>
              <w:bidi w:val="0"/>
            </w:pPr>
            <w:r>
              <w:t>38.膨胀四角藻</w:t>
            </w:r>
          </w:p>
        </w:tc>
        <w:tc>
          <w:tcPr>
            <w:tcW w:w="1038" w:type="pct"/>
            <w:vAlign w:val="center"/>
          </w:tcPr>
          <w:p w14:paraId="11E811CA">
            <w:pPr>
              <w:pStyle w:val="28"/>
              <w:bidi w:val="0"/>
            </w:pPr>
            <w:r>
              <w:t>Tetraëdron tumidulum</w:t>
            </w:r>
          </w:p>
        </w:tc>
      </w:tr>
      <w:tr w14:paraId="1DBF3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0D8D9148">
            <w:pPr>
              <w:pStyle w:val="28"/>
              <w:bidi w:val="0"/>
            </w:pPr>
          </w:p>
        </w:tc>
        <w:tc>
          <w:tcPr>
            <w:tcW w:w="1067" w:type="pct"/>
            <w:vAlign w:val="center"/>
          </w:tcPr>
          <w:p w14:paraId="2E2D3992">
            <w:pPr>
              <w:pStyle w:val="28"/>
              <w:bidi w:val="0"/>
            </w:pPr>
            <w:r>
              <w:t>卵圆双眉藻</w:t>
            </w:r>
          </w:p>
        </w:tc>
        <w:tc>
          <w:tcPr>
            <w:tcW w:w="1169" w:type="pct"/>
            <w:vAlign w:val="center"/>
          </w:tcPr>
          <w:p w14:paraId="408E8D61">
            <w:pPr>
              <w:pStyle w:val="28"/>
              <w:bidi w:val="0"/>
            </w:pPr>
            <w:r>
              <w:t>Amphora ovalis</w:t>
            </w:r>
          </w:p>
        </w:tc>
        <w:tc>
          <w:tcPr>
            <w:tcW w:w="356" w:type="pct"/>
            <w:vMerge w:val="continue"/>
            <w:vAlign w:val="center"/>
          </w:tcPr>
          <w:p w14:paraId="32780C4A">
            <w:pPr>
              <w:pStyle w:val="28"/>
              <w:bidi w:val="0"/>
            </w:pPr>
          </w:p>
        </w:tc>
        <w:tc>
          <w:tcPr>
            <w:tcW w:w="1016" w:type="pct"/>
            <w:vAlign w:val="center"/>
          </w:tcPr>
          <w:p w14:paraId="649CE5DE">
            <w:pPr>
              <w:pStyle w:val="28"/>
              <w:bidi w:val="0"/>
            </w:pPr>
            <w:r>
              <w:t>39.三角四角藻</w:t>
            </w:r>
          </w:p>
        </w:tc>
        <w:tc>
          <w:tcPr>
            <w:tcW w:w="1038" w:type="pct"/>
            <w:vAlign w:val="center"/>
          </w:tcPr>
          <w:p w14:paraId="626ED819">
            <w:pPr>
              <w:pStyle w:val="28"/>
              <w:bidi w:val="0"/>
            </w:pPr>
            <w:r>
              <w:t>Tetraedron trigonum</w:t>
            </w:r>
          </w:p>
        </w:tc>
      </w:tr>
      <w:tr w14:paraId="2C773D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190652E0">
            <w:pPr>
              <w:pStyle w:val="28"/>
              <w:bidi w:val="0"/>
            </w:pPr>
          </w:p>
        </w:tc>
        <w:tc>
          <w:tcPr>
            <w:tcW w:w="1067" w:type="pct"/>
            <w:vAlign w:val="center"/>
          </w:tcPr>
          <w:p w14:paraId="31376B6F">
            <w:pPr>
              <w:pStyle w:val="28"/>
              <w:bidi w:val="0"/>
            </w:pPr>
            <w:r>
              <w:t>梅尼小环藻</w:t>
            </w:r>
          </w:p>
        </w:tc>
        <w:tc>
          <w:tcPr>
            <w:tcW w:w="1169" w:type="pct"/>
            <w:vAlign w:val="center"/>
          </w:tcPr>
          <w:p w14:paraId="67699930">
            <w:pPr>
              <w:pStyle w:val="28"/>
              <w:bidi w:val="0"/>
            </w:pPr>
            <w:r>
              <w:t>Cyclotella meneghiniana</w:t>
            </w:r>
          </w:p>
        </w:tc>
        <w:tc>
          <w:tcPr>
            <w:tcW w:w="356" w:type="pct"/>
            <w:vMerge w:val="continue"/>
            <w:vAlign w:val="center"/>
          </w:tcPr>
          <w:p w14:paraId="39F78413">
            <w:pPr>
              <w:pStyle w:val="28"/>
              <w:bidi w:val="0"/>
            </w:pPr>
          </w:p>
        </w:tc>
        <w:tc>
          <w:tcPr>
            <w:tcW w:w="1016" w:type="pct"/>
            <w:vAlign w:val="center"/>
          </w:tcPr>
          <w:p w14:paraId="5DCA38EE">
            <w:pPr>
              <w:pStyle w:val="28"/>
              <w:bidi w:val="0"/>
            </w:pPr>
            <w:r>
              <w:t>40.异刺四星藻</w:t>
            </w:r>
          </w:p>
        </w:tc>
        <w:tc>
          <w:tcPr>
            <w:tcW w:w="1038" w:type="pct"/>
            <w:vAlign w:val="center"/>
          </w:tcPr>
          <w:p w14:paraId="3C10BA70">
            <w:pPr>
              <w:pStyle w:val="28"/>
              <w:bidi w:val="0"/>
            </w:pPr>
            <w:r>
              <w:t>Tetrastrum heterocanthum</w:t>
            </w:r>
          </w:p>
        </w:tc>
      </w:tr>
      <w:tr w14:paraId="5B57BB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7CB4D5B1">
            <w:pPr>
              <w:pStyle w:val="28"/>
              <w:bidi w:val="0"/>
            </w:pPr>
          </w:p>
        </w:tc>
        <w:tc>
          <w:tcPr>
            <w:tcW w:w="1067" w:type="pct"/>
            <w:vAlign w:val="center"/>
          </w:tcPr>
          <w:p w14:paraId="2809691C">
            <w:pPr>
              <w:pStyle w:val="28"/>
              <w:bidi w:val="0"/>
            </w:pPr>
            <w:r>
              <w:t>华丽星杆藻</w:t>
            </w:r>
          </w:p>
        </w:tc>
        <w:tc>
          <w:tcPr>
            <w:tcW w:w="1169" w:type="pct"/>
            <w:vAlign w:val="center"/>
          </w:tcPr>
          <w:p w14:paraId="26CEB891">
            <w:pPr>
              <w:pStyle w:val="28"/>
              <w:bidi w:val="0"/>
            </w:pPr>
            <w:r>
              <w:t>Asterionella formosa</w:t>
            </w:r>
          </w:p>
        </w:tc>
        <w:tc>
          <w:tcPr>
            <w:tcW w:w="356" w:type="pct"/>
            <w:vMerge w:val="continue"/>
            <w:vAlign w:val="center"/>
          </w:tcPr>
          <w:p w14:paraId="5307E402">
            <w:pPr>
              <w:pStyle w:val="28"/>
              <w:bidi w:val="0"/>
            </w:pPr>
          </w:p>
        </w:tc>
        <w:tc>
          <w:tcPr>
            <w:tcW w:w="1016" w:type="pct"/>
            <w:vAlign w:val="center"/>
          </w:tcPr>
          <w:p w14:paraId="3BCB9412">
            <w:pPr>
              <w:pStyle w:val="28"/>
              <w:bidi w:val="0"/>
            </w:pPr>
            <w:r>
              <w:t>41.蹄形藻</w:t>
            </w:r>
          </w:p>
        </w:tc>
        <w:tc>
          <w:tcPr>
            <w:tcW w:w="1038" w:type="pct"/>
            <w:vAlign w:val="center"/>
          </w:tcPr>
          <w:p w14:paraId="13416EDC">
            <w:pPr>
              <w:pStyle w:val="28"/>
              <w:bidi w:val="0"/>
            </w:pPr>
            <w:r>
              <w:t>KirchneriellaSchm</w:t>
            </w:r>
          </w:p>
        </w:tc>
      </w:tr>
      <w:tr w14:paraId="1D558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661CD18B">
            <w:pPr>
              <w:pStyle w:val="28"/>
              <w:bidi w:val="0"/>
            </w:pPr>
          </w:p>
        </w:tc>
        <w:tc>
          <w:tcPr>
            <w:tcW w:w="1067" w:type="pct"/>
            <w:vAlign w:val="center"/>
          </w:tcPr>
          <w:p w14:paraId="6521173B">
            <w:pPr>
              <w:pStyle w:val="28"/>
              <w:bidi w:val="0"/>
            </w:pPr>
            <w:r>
              <w:t>布雷羽纹藻</w:t>
            </w:r>
          </w:p>
        </w:tc>
        <w:tc>
          <w:tcPr>
            <w:tcW w:w="1169" w:type="pct"/>
            <w:vAlign w:val="center"/>
          </w:tcPr>
          <w:p w14:paraId="068D1B85">
            <w:pPr>
              <w:pStyle w:val="28"/>
              <w:bidi w:val="0"/>
            </w:pPr>
            <w:r>
              <w:t>Pinnularia brebissonii</w:t>
            </w:r>
          </w:p>
        </w:tc>
        <w:tc>
          <w:tcPr>
            <w:tcW w:w="356" w:type="pct"/>
            <w:vMerge w:val="continue"/>
            <w:vAlign w:val="center"/>
          </w:tcPr>
          <w:p w14:paraId="4896028E">
            <w:pPr>
              <w:pStyle w:val="28"/>
              <w:bidi w:val="0"/>
            </w:pPr>
          </w:p>
        </w:tc>
        <w:tc>
          <w:tcPr>
            <w:tcW w:w="1016" w:type="pct"/>
            <w:vAlign w:val="center"/>
          </w:tcPr>
          <w:p w14:paraId="45B64FE1">
            <w:pPr>
              <w:pStyle w:val="28"/>
              <w:bidi w:val="0"/>
            </w:pPr>
            <w:r>
              <w:t>42.狭形纤维藻</w:t>
            </w:r>
          </w:p>
        </w:tc>
        <w:tc>
          <w:tcPr>
            <w:tcW w:w="1038" w:type="pct"/>
            <w:vAlign w:val="center"/>
          </w:tcPr>
          <w:p w14:paraId="52CF9EDB">
            <w:pPr>
              <w:pStyle w:val="28"/>
              <w:bidi w:val="0"/>
            </w:pPr>
            <w:r>
              <w:t>Ankistrodesmus angustus</w:t>
            </w:r>
          </w:p>
        </w:tc>
      </w:tr>
      <w:tr w14:paraId="0505D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3EFFA5AA">
            <w:pPr>
              <w:pStyle w:val="28"/>
              <w:bidi w:val="0"/>
            </w:pPr>
          </w:p>
        </w:tc>
        <w:tc>
          <w:tcPr>
            <w:tcW w:w="1067" w:type="pct"/>
            <w:vAlign w:val="center"/>
          </w:tcPr>
          <w:p w14:paraId="71C7FA1E">
            <w:pPr>
              <w:pStyle w:val="28"/>
              <w:bidi w:val="0"/>
            </w:pPr>
            <w:r>
              <w:t>肘状针杆藻</w:t>
            </w:r>
          </w:p>
        </w:tc>
        <w:tc>
          <w:tcPr>
            <w:tcW w:w="1169" w:type="pct"/>
            <w:vAlign w:val="center"/>
          </w:tcPr>
          <w:p w14:paraId="4CDB69F4">
            <w:pPr>
              <w:pStyle w:val="28"/>
              <w:bidi w:val="0"/>
            </w:pPr>
            <w:r>
              <w:t>Synedra ulna</w:t>
            </w:r>
          </w:p>
        </w:tc>
        <w:tc>
          <w:tcPr>
            <w:tcW w:w="356" w:type="pct"/>
            <w:vMerge w:val="continue"/>
            <w:vAlign w:val="center"/>
          </w:tcPr>
          <w:p w14:paraId="2D194158">
            <w:pPr>
              <w:pStyle w:val="28"/>
              <w:bidi w:val="0"/>
            </w:pPr>
          </w:p>
        </w:tc>
        <w:tc>
          <w:tcPr>
            <w:tcW w:w="1016" w:type="pct"/>
            <w:vAlign w:val="center"/>
          </w:tcPr>
          <w:p w14:paraId="4637A131">
            <w:pPr>
              <w:pStyle w:val="28"/>
              <w:bidi w:val="0"/>
            </w:pPr>
            <w:r>
              <w:t>43.镰形纤维藻</w:t>
            </w:r>
          </w:p>
        </w:tc>
        <w:tc>
          <w:tcPr>
            <w:tcW w:w="1038" w:type="pct"/>
            <w:vAlign w:val="center"/>
          </w:tcPr>
          <w:p w14:paraId="57E5E52A">
            <w:pPr>
              <w:pStyle w:val="28"/>
              <w:bidi w:val="0"/>
            </w:pPr>
            <w:r>
              <w:t>Ankistrodesmus falcatus</w:t>
            </w:r>
          </w:p>
        </w:tc>
      </w:tr>
      <w:tr w14:paraId="7186C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77C9F511">
            <w:pPr>
              <w:pStyle w:val="28"/>
              <w:bidi w:val="0"/>
            </w:pPr>
          </w:p>
        </w:tc>
        <w:tc>
          <w:tcPr>
            <w:tcW w:w="1067" w:type="pct"/>
            <w:vAlign w:val="center"/>
          </w:tcPr>
          <w:p w14:paraId="0FD0938B">
            <w:pPr>
              <w:pStyle w:val="28"/>
              <w:bidi w:val="0"/>
            </w:pPr>
            <w:r>
              <w:t>颗粒直链藻</w:t>
            </w:r>
          </w:p>
        </w:tc>
        <w:tc>
          <w:tcPr>
            <w:tcW w:w="1169" w:type="pct"/>
            <w:vAlign w:val="center"/>
          </w:tcPr>
          <w:p w14:paraId="0B39D76A">
            <w:pPr>
              <w:pStyle w:val="28"/>
              <w:bidi w:val="0"/>
            </w:pPr>
            <w:r>
              <w:t>Melosira granulata</w:t>
            </w:r>
          </w:p>
        </w:tc>
        <w:tc>
          <w:tcPr>
            <w:tcW w:w="356" w:type="pct"/>
            <w:vMerge w:val="continue"/>
            <w:vAlign w:val="center"/>
          </w:tcPr>
          <w:p w14:paraId="689167B2">
            <w:pPr>
              <w:pStyle w:val="28"/>
              <w:bidi w:val="0"/>
            </w:pPr>
          </w:p>
        </w:tc>
        <w:tc>
          <w:tcPr>
            <w:tcW w:w="1016" w:type="pct"/>
            <w:vAlign w:val="center"/>
          </w:tcPr>
          <w:p w14:paraId="40EFB250">
            <w:pPr>
              <w:pStyle w:val="28"/>
              <w:bidi w:val="0"/>
            </w:pPr>
            <w:r>
              <w:t>44.镰形纤维藻奇异变种</w:t>
            </w:r>
          </w:p>
        </w:tc>
        <w:tc>
          <w:tcPr>
            <w:tcW w:w="1038" w:type="pct"/>
            <w:vAlign w:val="center"/>
          </w:tcPr>
          <w:p w14:paraId="7249679A">
            <w:pPr>
              <w:pStyle w:val="28"/>
              <w:bidi w:val="0"/>
            </w:pPr>
            <w:r>
              <w:t>Ankistrodesmus falcatus var. mirabilis</w:t>
            </w:r>
          </w:p>
        </w:tc>
      </w:tr>
      <w:tr w14:paraId="48762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6E8C6A65">
            <w:pPr>
              <w:pStyle w:val="28"/>
              <w:bidi w:val="0"/>
            </w:pPr>
          </w:p>
        </w:tc>
        <w:tc>
          <w:tcPr>
            <w:tcW w:w="1067" w:type="pct"/>
            <w:vAlign w:val="center"/>
          </w:tcPr>
          <w:p w14:paraId="79A99111">
            <w:pPr>
              <w:pStyle w:val="28"/>
              <w:bidi w:val="0"/>
            </w:pPr>
            <w:r>
              <w:t>颗粒直链藻极狭变种</w:t>
            </w:r>
          </w:p>
        </w:tc>
        <w:tc>
          <w:tcPr>
            <w:tcW w:w="1169" w:type="pct"/>
            <w:vAlign w:val="center"/>
          </w:tcPr>
          <w:p w14:paraId="785E5FA7">
            <w:pPr>
              <w:pStyle w:val="28"/>
              <w:bidi w:val="0"/>
            </w:pPr>
            <w:r>
              <w:t>Melosira granulata var. angustissima</w:t>
            </w:r>
          </w:p>
        </w:tc>
        <w:tc>
          <w:tcPr>
            <w:tcW w:w="356" w:type="pct"/>
            <w:vMerge w:val="continue"/>
            <w:vAlign w:val="center"/>
          </w:tcPr>
          <w:p w14:paraId="0492AEA5">
            <w:pPr>
              <w:pStyle w:val="28"/>
              <w:bidi w:val="0"/>
            </w:pPr>
          </w:p>
        </w:tc>
        <w:tc>
          <w:tcPr>
            <w:tcW w:w="1016" w:type="pct"/>
            <w:vAlign w:val="center"/>
          </w:tcPr>
          <w:p w14:paraId="4CEE67FF">
            <w:pPr>
              <w:pStyle w:val="28"/>
              <w:bidi w:val="0"/>
            </w:pPr>
            <w:r>
              <w:t>45.卷曲纤维藻</w:t>
            </w:r>
          </w:p>
        </w:tc>
        <w:tc>
          <w:tcPr>
            <w:tcW w:w="1038" w:type="pct"/>
            <w:vAlign w:val="center"/>
          </w:tcPr>
          <w:p w14:paraId="3A95C96F">
            <w:pPr>
              <w:pStyle w:val="28"/>
              <w:bidi w:val="0"/>
            </w:pPr>
            <w:r>
              <w:t>Ankistrodesmus convolutus</w:t>
            </w:r>
          </w:p>
        </w:tc>
      </w:tr>
      <w:tr w14:paraId="1E435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16349664">
            <w:pPr>
              <w:pStyle w:val="28"/>
              <w:bidi w:val="0"/>
            </w:pPr>
          </w:p>
        </w:tc>
        <w:tc>
          <w:tcPr>
            <w:tcW w:w="1067" w:type="pct"/>
            <w:vAlign w:val="center"/>
          </w:tcPr>
          <w:p w14:paraId="22BFAA78">
            <w:pPr>
              <w:pStyle w:val="28"/>
              <w:bidi w:val="0"/>
            </w:pPr>
            <w:r>
              <w:t>岛直链藻</w:t>
            </w:r>
          </w:p>
        </w:tc>
        <w:tc>
          <w:tcPr>
            <w:tcW w:w="1169" w:type="pct"/>
            <w:vAlign w:val="center"/>
          </w:tcPr>
          <w:p w14:paraId="6A8E5743">
            <w:pPr>
              <w:pStyle w:val="28"/>
              <w:bidi w:val="0"/>
            </w:pPr>
            <w:r>
              <w:t>Melosira islandica</w:t>
            </w:r>
          </w:p>
        </w:tc>
        <w:tc>
          <w:tcPr>
            <w:tcW w:w="356" w:type="pct"/>
            <w:vMerge w:val="continue"/>
            <w:vAlign w:val="center"/>
          </w:tcPr>
          <w:p w14:paraId="64E6FCB1">
            <w:pPr>
              <w:pStyle w:val="28"/>
              <w:bidi w:val="0"/>
            </w:pPr>
          </w:p>
        </w:tc>
        <w:tc>
          <w:tcPr>
            <w:tcW w:w="1016" w:type="pct"/>
            <w:vAlign w:val="center"/>
          </w:tcPr>
          <w:p w14:paraId="71A41C3B">
            <w:pPr>
              <w:pStyle w:val="28"/>
              <w:bidi w:val="0"/>
            </w:pPr>
            <w:r>
              <w:t>46.小球藻</w:t>
            </w:r>
          </w:p>
        </w:tc>
        <w:tc>
          <w:tcPr>
            <w:tcW w:w="1038" w:type="pct"/>
            <w:vAlign w:val="center"/>
          </w:tcPr>
          <w:p w14:paraId="04C5A5E1">
            <w:pPr>
              <w:pStyle w:val="28"/>
              <w:bidi w:val="0"/>
            </w:pPr>
            <w:r>
              <w:t>Chlorella vulgaris</w:t>
            </w:r>
          </w:p>
        </w:tc>
      </w:tr>
      <w:tr w14:paraId="71E99B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58FD143B">
            <w:pPr>
              <w:pStyle w:val="28"/>
              <w:bidi w:val="0"/>
            </w:pPr>
          </w:p>
        </w:tc>
        <w:tc>
          <w:tcPr>
            <w:tcW w:w="1067" w:type="pct"/>
            <w:vAlign w:val="center"/>
          </w:tcPr>
          <w:p w14:paraId="3BD04A5B">
            <w:pPr>
              <w:pStyle w:val="28"/>
              <w:bidi w:val="0"/>
            </w:pPr>
            <w:r>
              <w:t>极细舟形藻</w:t>
            </w:r>
          </w:p>
        </w:tc>
        <w:tc>
          <w:tcPr>
            <w:tcW w:w="1169" w:type="pct"/>
            <w:vAlign w:val="center"/>
          </w:tcPr>
          <w:p w14:paraId="4824B7E6">
            <w:pPr>
              <w:pStyle w:val="28"/>
              <w:bidi w:val="0"/>
            </w:pPr>
            <w:r>
              <w:t>Navicula￡enero</w:t>
            </w:r>
          </w:p>
        </w:tc>
        <w:tc>
          <w:tcPr>
            <w:tcW w:w="356" w:type="pct"/>
            <w:vMerge w:val="continue"/>
            <w:vAlign w:val="center"/>
          </w:tcPr>
          <w:p w14:paraId="41BE25D2">
            <w:pPr>
              <w:pStyle w:val="28"/>
              <w:bidi w:val="0"/>
            </w:pPr>
          </w:p>
        </w:tc>
        <w:tc>
          <w:tcPr>
            <w:tcW w:w="1016" w:type="pct"/>
            <w:vAlign w:val="center"/>
          </w:tcPr>
          <w:p w14:paraId="197E4CCD">
            <w:pPr>
              <w:pStyle w:val="28"/>
              <w:bidi w:val="0"/>
            </w:pPr>
            <w:r>
              <w:t>47.四尾栅藻</w:t>
            </w:r>
          </w:p>
        </w:tc>
        <w:tc>
          <w:tcPr>
            <w:tcW w:w="1038" w:type="pct"/>
            <w:vAlign w:val="center"/>
          </w:tcPr>
          <w:p w14:paraId="224621DE">
            <w:pPr>
              <w:pStyle w:val="28"/>
              <w:bidi w:val="0"/>
            </w:pPr>
            <w:r>
              <w:t>Scenedesmus quadricauda</w:t>
            </w:r>
          </w:p>
        </w:tc>
      </w:tr>
      <w:tr w14:paraId="637134AD">
        <w:tblPrEx>
          <w:tblCellMar>
            <w:top w:w="0" w:type="dxa"/>
            <w:left w:w="108" w:type="dxa"/>
            <w:bottom w:w="0" w:type="dxa"/>
            <w:right w:w="108" w:type="dxa"/>
          </w:tblCellMar>
        </w:tblPrEx>
        <w:trPr>
          <w:trHeight w:val="340" w:hRule="atLeast"/>
          <w:jc w:val="center"/>
        </w:trPr>
        <w:tc>
          <w:tcPr>
            <w:tcW w:w="354" w:type="pct"/>
            <w:vMerge w:val="continue"/>
            <w:vAlign w:val="center"/>
          </w:tcPr>
          <w:p w14:paraId="1C494210">
            <w:pPr>
              <w:pStyle w:val="28"/>
              <w:bidi w:val="0"/>
            </w:pPr>
          </w:p>
        </w:tc>
        <w:tc>
          <w:tcPr>
            <w:tcW w:w="1067" w:type="pct"/>
            <w:vAlign w:val="center"/>
          </w:tcPr>
          <w:p w14:paraId="2CC71C10">
            <w:pPr>
              <w:pStyle w:val="28"/>
              <w:bidi w:val="0"/>
            </w:pPr>
            <w:r>
              <w:t>短小舟形藻</w:t>
            </w:r>
          </w:p>
        </w:tc>
        <w:tc>
          <w:tcPr>
            <w:tcW w:w="1169" w:type="pct"/>
            <w:vAlign w:val="center"/>
          </w:tcPr>
          <w:p w14:paraId="27066718">
            <w:pPr>
              <w:pStyle w:val="28"/>
              <w:bidi w:val="0"/>
            </w:pPr>
            <w:r>
              <w:t>Navicula exigua</w:t>
            </w:r>
          </w:p>
        </w:tc>
        <w:tc>
          <w:tcPr>
            <w:tcW w:w="356" w:type="pct"/>
            <w:vMerge w:val="continue"/>
            <w:vAlign w:val="center"/>
          </w:tcPr>
          <w:p w14:paraId="260C2523">
            <w:pPr>
              <w:pStyle w:val="28"/>
              <w:bidi w:val="0"/>
            </w:pPr>
          </w:p>
        </w:tc>
        <w:tc>
          <w:tcPr>
            <w:tcW w:w="1016" w:type="pct"/>
            <w:vAlign w:val="center"/>
          </w:tcPr>
          <w:p w14:paraId="28C952A6">
            <w:pPr>
              <w:pStyle w:val="28"/>
              <w:bidi w:val="0"/>
            </w:pPr>
            <w:r>
              <w:t>48.扁盘栅藻</w:t>
            </w:r>
          </w:p>
        </w:tc>
        <w:tc>
          <w:tcPr>
            <w:tcW w:w="1038" w:type="pct"/>
            <w:vAlign w:val="center"/>
          </w:tcPr>
          <w:p w14:paraId="4C9D7B03">
            <w:pPr>
              <w:pStyle w:val="28"/>
              <w:bidi w:val="0"/>
            </w:pPr>
            <w:r>
              <w:t>Scenedesmus platydiscus</w:t>
            </w:r>
          </w:p>
        </w:tc>
      </w:tr>
      <w:tr w14:paraId="014222B0">
        <w:tblPrEx>
          <w:tblCellMar>
            <w:top w:w="0" w:type="dxa"/>
            <w:left w:w="108" w:type="dxa"/>
            <w:bottom w:w="0" w:type="dxa"/>
            <w:right w:w="108" w:type="dxa"/>
          </w:tblCellMar>
        </w:tblPrEx>
        <w:trPr>
          <w:trHeight w:val="340" w:hRule="atLeast"/>
          <w:jc w:val="center"/>
        </w:trPr>
        <w:tc>
          <w:tcPr>
            <w:tcW w:w="354" w:type="pct"/>
            <w:vMerge w:val="continue"/>
            <w:vAlign w:val="center"/>
          </w:tcPr>
          <w:p w14:paraId="259EDF7C">
            <w:pPr>
              <w:pStyle w:val="28"/>
              <w:bidi w:val="0"/>
            </w:pPr>
          </w:p>
        </w:tc>
        <w:tc>
          <w:tcPr>
            <w:tcW w:w="1067" w:type="pct"/>
            <w:vAlign w:val="center"/>
          </w:tcPr>
          <w:p w14:paraId="2F262880">
            <w:pPr>
              <w:pStyle w:val="28"/>
              <w:bidi w:val="0"/>
            </w:pPr>
            <w:r>
              <w:t>卵圆双眉藻</w:t>
            </w:r>
          </w:p>
        </w:tc>
        <w:tc>
          <w:tcPr>
            <w:tcW w:w="1169" w:type="pct"/>
            <w:vAlign w:val="center"/>
          </w:tcPr>
          <w:p w14:paraId="10289770">
            <w:pPr>
              <w:pStyle w:val="28"/>
              <w:bidi w:val="0"/>
            </w:pPr>
            <w:r>
              <w:t>Amphora ovalis</w:t>
            </w:r>
          </w:p>
        </w:tc>
        <w:tc>
          <w:tcPr>
            <w:tcW w:w="356" w:type="pct"/>
            <w:vMerge w:val="continue"/>
            <w:vAlign w:val="center"/>
          </w:tcPr>
          <w:p w14:paraId="3A910E77">
            <w:pPr>
              <w:pStyle w:val="28"/>
              <w:bidi w:val="0"/>
            </w:pPr>
          </w:p>
        </w:tc>
        <w:tc>
          <w:tcPr>
            <w:tcW w:w="1016" w:type="pct"/>
            <w:vAlign w:val="center"/>
          </w:tcPr>
          <w:p w14:paraId="608D07D0">
            <w:pPr>
              <w:pStyle w:val="28"/>
              <w:bidi w:val="0"/>
            </w:pPr>
            <w:r>
              <w:t>49.尖细栅藻</w:t>
            </w:r>
          </w:p>
        </w:tc>
        <w:tc>
          <w:tcPr>
            <w:tcW w:w="1038" w:type="pct"/>
            <w:vAlign w:val="center"/>
          </w:tcPr>
          <w:p w14:paraId="55CB03D7">
            <w:pPr>
              <w:pStyle w:val="28"/>
              <w:bidi w:val="0"/>
            </w:pPr>
            <w:r>
              <w:t>Scenedesmus acuminatus</w:t>
            </w:r>
          </w:p>
        </w:tc>
      </w:tr>
      <w:tr w14:paraId="52DF3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16BC03B9">
            <w:pPr>
              <w:pStyle w:val="28"/>
              <w:bidi w:val="0"/>
            </w:pPr>
          </w:p>
        </w:tc>
        <w:tc>
          <w:tcPr>
            <w:tcW w:w="1067" w:type="pct"/>
            <w:vAlign w:val="center"/>
          </w:tcPr>
          <w:p w14:paraId="199F491F">
            <w:pPr>
              <w:pStyle w:val="28"/>
              <w:bidi w:val="0"/>
            </w:pPr>
            <w:r>
              <w:t>尖布纹藻</w:t>
            </w:r>
          </w:p>
        </w:tc>
        <w:tc>
          <w:tcPr>
            <w:tcW w:w="1169" w:type="pct"/>
            <w:vAlign w:val="center"/>
          </w:tcPr>
          <w:p w14:paraId="6C203B5C">
            <w:pPr>
              <w:pStyle w:val="28"/>
              <w:bidi w:val="0"/>
            </w:pPr>
            <w:r>
              <w:t>Gyrosigma acuminatum</w:t>
            </w:r>
          </w:p>
        </w:tc>
        <w:tc>
          <w:tcPr>
            <w:tcW w:w="356" w:type="pct"/>
            <w:vMerge w:val="continue"/>
            <w:vAlign w:val="center"/>
          </w:tcPr>
          <w:p w14:paraId="779A706D">
            <w:pPr>
              <w:pStyle w:val="28"/>
              <w:bidi w:val="0"/>
            </w:pPr>
          </w:p>
        </w:tc>
        <w:tc>
          <w:tcPr>
            <w:tcW w:w="1016" w:type="pct"/>
            <w:vAlign w:val="center"/>
          </w:tcPr>
          <w:p w14:paraId="61E3C2A7">
            <w:pPr>
              <w:pStyle w:val="28"/>
              <w:bidi w:val="0"/>
            </w:pPr>
            <w:r>
              <w:t>50.硬弓形藻</w:t>
            </w:r>
          </w:p>
        </w:tc>
        <w:tc>
          <w:tcPr>
            <w:tcW w:w="1038" w:type="pct"/>
            <w:vAlign w:val="center"/>
          </w:tcPr>
          <w:p w14:paraId="0D46CEB6">
            <w:pPr>
              <w:pStyle w:val="28"/>
              <w:bidi w:val="0"/>
            </w:pPr>
            <w:r>
              <w:t>Chodatella quadriseta</w:t>
            </w:r>
          </w:p>
        </w:tc>
      </w:tr>
      <w:tr w14:paraId="48558050">
        <w:tblPrEx>
          <w:tblCellMar>
            <w:top w:w="0" w:type="dxa"/>
            <w:left w:w="108" w:type="dxa"/>
            <w:bottom w:w="0" w:type="dxa"/>
            <w:right w:w="108" w:type="dxa"/>
          </w:tblCellMar>
        </w:tblPrEx>
        <w:trPr>
          <w:trHeight w:val="340" w:hRule="atLeast"/>
          <w:jc w:val="center"/>
        </w:trPr>
        <w:tc>
          <w:tcPr>
            <w:tcW w:w="354" w:type="pct"/>
            <w:vMerge w:val="restart"/>
            <w:vAlign w:val="center"/>
          </w:tcPr>
          <w:p w14:paraId="4790DCE4">
            <w:pPr>
              <w:pStyle w:val="28"/>
              <w:bidi w:val="0"/>
            </w:pPr>
            <w:r>
              <w:t>甲藻门</w:t>
            </w:r>
          </w:p>
        </w:tc>
        <w:tc>
          <w:tcPr>
            <w:tcW w:w="1067" w:type="pct"/>
            <w:vAlign w:val="center"/>
          </w:tcPr>
          <w:p w14:paraId="20A39ECA">
            <w:pPr>
              <w:pStyle w:val="28"/>
              <w:bidi w:val="0"/>
            </w:pPr>
            <w:r>
              <w:t>威氏多甲藻</w:t>
            </w:r>
          </w:p>
        </w:tc>
        <w:tc>
          <w:tcPr>
            <w:tcW w:w="1169" w:type="pct"/>
            <w:vAlign w:val="center"/>
          </w:tcPr>
          <w:p w14:paraId="4C72D997">
            <w:pPr>
              <w:pStyle w:val="28"/>
              <w:bidi w:val="0"/>
            </w:pPr>
            <w:r>
              <w:t>Peridinium willei</w:t>
            </w:r>
          </w:p>
        </w:tc>
        <w:tc>
          <w:tcPr>
            <w:tcW w:w="356" w:type="pct"/>
            <w:vMerge w:val="continue"/>
            <w:vAlign w:val="center"/>
          </w:tcPr>
          <w:p w14:paraId="62DC6DB3">
            <w:pPr>
              <w:pStyle w:val="28"/>
              <w:bidi w:val="0"/>
            </w:pPr>
          </w:p>
        </w:tc>
        <w:tc>
          <w:tcPr>
            <w:tcW w:w="1016" w:type="pct"/>
            <w:vAlign w:val="center"/>
          </w:tcPr>
          <w:p w14:paraId="6E18D1E9">
            <w:pPr>
              <w:pStyle w:val="28"/>
              <w:bidi w:val="0"/>
            </w:pPr>
            <w:r>
              <w:t>51.四刺顶棘藻</w:t>
            </w:r>
          </w:p>
        </w:tc>
        <w:tc>
          <w:tcPr>
            <w:tcW w:w="1038" w:type="pct"/>
            <w:vAlign w:val="center"/>
          </w:tcPr>
          <w:p w14:paraId="5C02DA89">
            <w:pPr>
              <w:pStyle w:val="28"/>
              <w:bidi w:val="0"/>
            </w:pPr>
            <w:r>
              <w:t>Schroederia robusta</w:t>
            </w:r>
          </w:p>
        </w:tc>
      </w:tr>
      <w:tr w14:paraId="6ABCC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continue"/>
            <w:vAlign w:val="center"/>
          </w:tcPr>
          <w:p w14:paraId="5FFEE582">
            <w:pPr>
              <w:pStyle w:val="28"/>
              <w:bidi w:val="0"/>
            </w:pPr>
          </w:p>
        </w:tc>
        <w:tc>
          <w:tcPr>
            <w:tcW w:w="1067" w:type="pct"/>
            <w:vAlign w:val="center"/>
          </w:tcPr>
          <w:p w14:paraId="44BAF97C">
            <w:pPr>
              <w:pStyle w:val="28"/>
              <w:bidi w:val="0"/>
            </w:pPr>
            <w:r>
              <w:t>角甲藻</w:t>
            </w:r>
          </w:p>
        </w:tc>
        <w:tc>
          <w:tcPr>
            <w:tcW w:w="1169" w:type="pct"/>
            <w:vAlign w:val="center"/>
          </w:tcPr>
          <w:p w14:paraId="6B3DDEF6">
            <w:pPr>
              <w:pStyle w:val="28"/>
              <w:bidi w:val="0"/>
            </w:pPr>
            <w:r>
              <w:t>Ceratiumtripos</w:t>
            </w:r>
          </w:p>
        </w:tc>
        <w:tc>
          <w:tcPr>
            <w:tcW w:w="356" w:type="pct"/>
            <w:vMerge w:val="restart"/>
            <w:vAlign w:val="center"/>
          </w:tcPr>
          <w:p w14:paraId="79C844CB">
            <w:pPr>
              <w:pStyle w:val="28"/>
              <w:bidi w:val="0"/>
            </w:pPr>
            <w:r>
              <w:t>隐藻门</w:t>
            </w:r>
          </w:p>
        </w:tc>
        <w:tc>
          <w:tcPr>
            <w:tcW w:w="1016" w:type="pct"/>
            <w:vAlign w:val="center"/>
          </w:tcPr>
          <w:p w14:paraId="52BE3113">
            <w:pPr>
              <w:pStyle w:val="28"/>
              <w:bidi w:val="0"/>
            </w:pPr>
            <w:r>
              <w:t>52.卵形隐藻</w:t>
            </w:r>
          </w:p>
        </w:tc>
        <w:tc>
          <w:tcPr>
            <w:tcW w:w="1038" w:type="pct"/>
            <w:vAlign w:val="center"/>
          </w:tcPr>
          <w:p w14:paraId="01D411D1">
            <w:pPr>
              <w:pStyle w:val="28"/>
              <w:bidi w:val="0"/>
            </w:pPr>
            <w:r>
              <w:t>Cryptomonas ovata</w:t>
            </w:r>
          </w:p>
        </w:tc>
      </w:tr>
      <w:tr w14:paraId="7BD1F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54" w:type="pct"/>
            <w:vMerge w:val="restart"/>
            <w:vAlign w:val="center"/>
          </w:tcPr>
          <w:p w14:paraId="3ADA36B5">
            <w:pPr>
              <w:pStyle w:val="28"/>
              <w:bidi w:val="0"/>
            </w:pPr>
            <w:r>
              <w:t>金藻门</w:t>
            </w:r>
          </w:p>
        </w:tc>
        <w:tc>
          <w:tcPr>
            <w:tcW w:w="1067" w:type="pct"/>
            <w:vAlign w:val="center"/>
          </w:tcPr>
          <w:p w14:paraId="3E70D7D8">
            <w:pPr>
              <w:pStyle w:val="28"/>
              <w:bidi w:val="0"/>
            </w:pPr>
            <w:r>
              <w:t>延长鱼鳞藻</w:t>
            </w:r>
          </w:p>
        </w:tc>
        <w:tc>
          <w:tcPr>
            <w:tcW w:w="1169" w:type="pct"/>
            <w:vAlign w:val="center"/>
          </w:tcPr>
          <w:p w14:paraId="421F0A23">
            <w:pPr>
              <w:pStyle w:val="28"/>
              <w:bidi w:val="0"/>
            </w:pPr>
            <w:r>
              <w:t>Mallomonas elongata</w:t>
            </w:r>
          </w:p>
        </w:tc>
        <w:tc>
          <w:tcPr>
            <w:tcW w:w="356" w:type="pct"/>
            <w:vMerge w:val="continue"/>
            <w:vAlign w:val="center"/>
          </w:tcPr>
          <w:p w14:paraId="45248835">
            <w:pPr>
              <w:pStyle w:val="28"/>
              <w:bidi w:val="0"/>
            </w:pPr>
          </w:p>
        </w:tc>
        <w:tc>
          <w:tcPr>
            <w:tcW w:w="1016" w:type="pct"/>
            <w:vAlign w:val="center"/>
          </w:tcPr>
          <w:p w14:paraId="4D54FF74">
            <w:pPr>
              <w:pStyle w:val="28"/>
              <w:bidi w:val="0"/>
            </w:pPr>
            <w:r>
              <w:t>53.啮蚀隐藻</w:t>
            </w:r>
          </w:p>
        </w:tc>
        <w:tc>
          <w:tcPr>
            <w:tcW w:w="1038" w:type="pct"/>
            <w:vAlign w:val="center"/>
          </w:tcPr>
          <w:p w14:paraId="62E8CA06">
            <w:pPr>
              <w:pStyle w:val="28"/>
              <w:bidi w:val="0"/>
            </w:pPr>
            <w:r>
              <w:t>Cryptomonas erosa</w:t>
            </w:r>
          </w:p>
        </w:tc>
      </w:tr>
      <w:tr w14:paraId="77F96A45">
        <w:tblPrEx>
          <w:tblCellMar>
            <w:top w:w="0" w:type="dxa"/>
            <w:left w:w="108" w:type="dxa"/>
            <w:bottom w:w="0" w:type="dxa"/>
            <w:right w:w="108" w:type="dxa"/>
          </w:tblCellMar>
        </w:tblPrEx>
        <w:trPr>
          <w:trHeight w:val="340" w:hRule="atLeast"/>
          <w:jc w:val="center"/>
        </w:trPr>
        <w:tc>
          <w:tcPr>
            <w:tcW w:w="354" w:type="pct"/>
            <w:vMerge w:val="continue"/>
            <w:vAlign w:val="center"/>
          </w:tcPr>
          <w:p w14:paraId="71F115AF">
            <w:pPr>
              <w:pStyle w:val="28"/>
              <w:bidi w:val="0"/>
            </w:pPr>
          </w:p>
        </w:tc>
        <w:tc>
          <w:tcPr>
            <w:tcW w:w="1067" w:type="pct"/>
            <w:vAlign w:val="center"/>
          </w:tcPr>
          <w:p w14:paraId="0FCC4A7E">
            <w:pPr>
              <w:pStyle w:val="28"/>
              <w:bidi w:val="0"/>
            </w:pPr>
            <w:r>
              <w:t>密集锥囊藻</w:t>
            </w:r>
          </w:p>
        </w:tc>
        <w:tc>
          <w:tcPr>
            <w:tcW w:w="1169" w:type="pct"/>
            <w:vAlign w:val="center"/>
          </w:tcPr>
          <w:p w14:paraId="0B11D429">
            <w:pPr>
              <w:pStyle w:val="28"/>
              <w:bidi w:val="0"/>
            </w:pPr>
            <w:r>
              <w:t>Dinobryon sertularia</w:t>
            </w:r>
          </w:p>
        </w:tc>
        <w:tc>
          <w:tcPr>
            <w:tcW w:w="356" w:type="pct"/>
            <w:vMerge w:val="continue"/>
            <w:vAlign w:val="center"/>
          </w:tcPr>
          <w:p w14:paraId="25DB76FA">
            <w:pPr>
              <w:pStyle w:val="28"/>
              <w:bidi w:val="0"/>
            </w:pPr>
          </w:p>
        </w:tc>
        <w:tc>
          <w:tcPr>
            <w:tcW w:w="1016" w:type="pct"/>
            <w:vAlign w:val="center"/>
          </w:tcPr>
          <w:p w14:paraId="4547438E">
            <w:pPr>
              <w:pStyle w:val="28"/>
              <w:bidi w:val="0"/>
            </w:pPr>
            <w:r>
              <w:t>54.尖尾蓝隐藻</w:t>
            </w:r>
          </w:p>
        </w:tc>
        <w:tc>
          <w:tcPr>
            <w:tcW w:w="1038" w:type="pct"/>
            <w:vAlign w:val="center"/>
          </w:tcPr>
          <w:p w14:paraId="013AAFE1">
            <w:pPr>
              <w:pStyle w:val="28"/>
              <w:bidi w:val="0"/>
            </w:pPr>
            <w:r>
              <w:t>Chroomonas acuta</w:t>
            </w:r>
          </w:p>
        </w:tc>
      </w:tr>
    </w:tbl>
    <w:p w14:paraId="53B0F007">
      <w:pPr>
        <w:rPr>
          <w:rFonts w:cs="Times New Roman"/>
          <w:color w:val="0000FF"/>
        </w:rPr>
      </w:pPr>
      <w:r>
        <w:rPr>
          <w:rFonts w:cs="Times New Roman"/>
          <w:color w:val="0000FF"/>
        </w:rPr>
        <w:t>（2）浮游动物</w:t>
      </w:r>
    </w:p>
    <w:p w14:paraId="15F75850">
      <w:pPr>
        <w:ind w:firstLine="480"/>
        <w:rPr>
          <w:rFonts w:cs="Times New Roman"/>
          <w:color w:val="0000FF"/>
        </w:rPr>
      </w:pPr>
      <w:r>
        <w:rPr>
          <w:rFonts w:cs="Times New Roman"/>
          <w:color w:val="0000FF"/>
        </w:rPr>
        <w:fldChar w:fldCharType="begin"/>
      </w:r>
      <w:r>
        <w:rPr>
          <w:rFonts w:cs="Times New Roman"/>
          <w:color w:val="0000FF"/>
        </w:rPr>
        <w:instrText xml:space="preserve"> = 1 \* GB3 </w:instrText>
      </w:r>
      <w:r>
        <w:rPr>
          <w:rFonts w:cs="Times New Roman"/>
          <w:color w:val="0000FF"/>
        </w:rPr>
        <w:fldChar w:fldCharType="separate"/>
      </w:r>
      <w:r>
        <w:rPr>
          <w:rFonts w:hint="eastAsia" w:ascii="宋体" w:hAnsi="宋体"/>
          <w:color w:val="0000FF"/>
        </w:rPr>
        <w:t>①</w:t>
      </w:r>
      <w:r>
        <w:rPr>
          <w:rFonts w:cs="Times New Roman"/>
          <w:color w:val="0000FF"/>
        </w:rPr>
        <w:fldChar w:fldCharType="end"/>
      </w:r>
      <w:r>
        <w:rPr>
          <w:rFonts w:cs="Times New Roman"/>
          <w:color w:val="0000FF"/>
        </w:rPr>
        <w:t>种类组成</w:t>
      </w:r>
    </w:p>
    <w:p w14:paraId="41C264A6">
      <w:pPr>
        <w:ind w:firstLine="480"/>
        <w:rPr>
          <w:rFonts w:cs="Times New Roman"/>
          <w:color w:val="0000FF"/>
        </w:rPr>
      </w:pPr>
      <w:r>
        <w:rPr>
          <w:rFonts w:cs="Times New Roman"/>
          <w:color w:val="0000FF"/>
        </w:rPr>
        <w:t>各断面调查到浮游动物</w:t>
      </w:r>
      <w:r>
        <w:rPr>
          <w:rFonts w:eastAsia="Times New Roman" w:cs="Times New Roman"/>
          <w:color w:val="0000FF"/>
        </w:rPr>
        <w:t>3</w:t>
      </w:r>
      <w:r>
        <w:rPr>
          <w:rFonts w:cs="Times New Roman"/>
          <w:color w:val="0000FF"/>
        </w:rPr>
        <w:t>类</w:t>
      </w:r>
      <w:r>
        <w:rPr>
          <w:rFonts w:eastAsia="Times New Roman" w:cs="Times New Roman"/>
          <w:color w:val="0000FF"/>
        </w:rPr>
        <w:t>18</w:t>
      </w:r>
      <w:r>
        <w:rPr>
          <w:rFonts w:cs="Times New Roman"/>
          <w:color w:val="0000FF"/>
        </w:rPr>
        <w:t>属</w:t>
      </w:r>
      <w:r>
        <w:rPr>
          <w:rFonts w:eastAsia="Times New Roman" w:cs="Times New Roman"/>
          <w:color w:val="0000FF"/>
        </w:rPr>
        <w:t>21</w:t>
      </w:r>
      <w:r>
        <w:rPr>
          <w:rFonts w:cs="Times New Roman"/>
          <w:color w:val="0000FF"/>
        </w:rPr>
        <w:t>种（包括变种和变型），轮虫类、枝角类、桡足类。轮虫类有</w:t>
      </w:r>
      <w:r>
        <w:rPr>
          <w:rFonts w:eastAsia="Times New Roman" w:cs="Times New Roman"/>
          <w:color w:val="0000FF"/>
        </w:rPr>
        <w:t>5</w:t>
      </w:r>
      <w:r>
        <w:rPr>
          <w:rFonts w:cs="Times New Roman"/>
          <w:color w:val="0000FF"/>
        </w:rPr>
        <w:t>属</w:t>
      </w:r>
      <w:r>
        <w:rPr>
          <w:rFonts w:eastAsia="Times New Roman" w:cs="Times New Roman"/>
          <w:color w:val="0000FF"/>
        </w:rPr>
        <w:t>8</w:t>
      </w:r>
      <w:r>
        <w:rPr>
          <w:rFonts w:cs="Times New Roman"/>
          <w:color w:val="0000FF"/>
        </w:rPr>
        <w:t>种，占浮游动物物种总数的比例为</w:t>
      </w:r>
      <w:r>
        <w:rPr>
          <w:rFonts w:eastAsia="Times New Roman" w:cs="Times New Roman"/>
          <w:color w:val="0000FF"/>
        </w:rPr>
        <w:t>38.10%</w:t>
      </w:r>
      <w:r>
        <w:rPr>
          <w:rFonts w:cs="Times New Roman"/>
          <w:color w:val="0000FF"/>
        </w:rPr>
        <w:t>；枝角类有</w:t>
      </w:r>
      <w:r>
        <w:rPr>
          <w:rFonts w:eastAsia="Times New Roman" w:cs="Times New Roman"/>
          <w:color w:val="0000FF"/>
        </w:rPr>
        <w:t>6</w:t>
      </w:r>
      <w:r>
        <w:rPr>
          <w:rFonts w:cs="Times New Roman"/>
          <w:color w:val="0000FF"/>
        </w:rPr>
        <w:t>属</w:t>
      </w:r>
      <w:r>
        <w:rPr>
          <w:rFonts w:eastAsia="Times New Roman" w:cs="Times New Roman"/>
          <w:color w:val="0000FF"/>
        </w:rPr>
        <w:t>6</w:t>
      </w:r>
      <w:r>
        <w:rPr>
          <w:rFonts w:cs="Times New Roman"/>
          <w:color w:val="0000FF"/>
        </w:rPr>
        <w:t>种，占浮游动物物种总数的比例为</w:t>
      </w:r>
      <w:r>
        <w:rPr>
          <w:rFonts w:eastAsia="Times New Roman" w:cs="Times New Roman"/>
          <w:color w:val="0000FF"/>
        </w:rPr>
        <w:t>28.57%</w:t>
      </w:r>
      <w:r>
        <w:rPr>
          <w:rFonts w:cs="Times New Roman"/>
          <w:color w:val="0000FF"/>
        </w:rPr>
        <w:t>；桡足有</w:t>
      </w:r>
      <w:r>
        <w:rPr>
          <w:rFonts w:eastAsia="Times New Roman" w:cs="Times New Roman"/>
          <w:color w:val="0000FF"/>
        </w:rPr>
        <w:t>6</w:t>
      </w:r>
      <w:r>
        <w:rPr>
          <w:rFonts w:cs="Times New Roman"/>
          <w:color w:val="0000FF"/>
        </w:rPr>
        <w:t>属</w:t>
      </w:r>
      <w:r>
        <w:rPr>
          <w:rFonts w:eastAsia="Times New Roman" w:cs="Times New Roman"/>
          <w:color w:val="0000FF"/>
        </w:rPr>
        <w:t>7</w:t>
      </w:r>
      <w:r>
        <w:rPr>
          <w:rFonts w:cs="Times New Roman"/>
          <w:color w:val="0000FF"/>
        </w:rPr>
        <w:t>种，占浮游动物物种总数的比例为</w:t>
      </w:r>
      <w:r>
        <w:rPr>
          <w:rFonts w:eastAsia="Times New Roman" w:cs="Times New Roman"/>
          <w:color w:val="0000FF"/>
        </w:rPr>
        <w:t>33.33%</w:t>
      </w:r>
      <w:r>
        <w:rPr>
          <w:rFonts w:cs="Times New Roman"/>
          <w:color w:val="0000FF"/>
        </w:rPr>
        <w:t>。优势种为针簇多肢轮虫、角突臂尾轮虫，优势度指数分别为0.235、0.243。</w:t>
      </w:r>
    </w:p>
    <w:p w14:paraId="6C6383B2">
      <w:pPr>
        <w:pStyle w:val="31"/>
        <w:bidi w:val="0"/>
        <w:rPr>
          <w:rFonts w:cs="Times New Roman"/>
          <w:color w:val="0000FF"/>
        </w:rPr>
      </w:pPr>
      <w:r>
        <w:rPr>
          <w:rFonts w:cs="Times New Roman"/>
          <w:color w:val="0000FF"/>
        </w:rPr>
        <w:object>
          <v:shape id="_x0000_i1032" o:spt="75" type="#_x0000_t75" style="height:269pt;width:435pt;" o:ole="t" filled="f" o:preferrelative="t" stroked="f" coordsize="21600,21600">
            <v:path/>
            <v:fill on="f" focussize="0,0"/>
            <v:stroke on="f" joinstyle="miter"/>
            <v:imagedata r:id="rId142" o:title=""/>
            <o:lock v:ext="edit" aspectratio="t"/>
            <w10:wrap type="none"/>
            <w10:anchorlock/>
          </v:shape>
          <o:OLEObject Type="Embed" ProgID="Excel.Sheet.8" ShapeID="_x0000_i1032" DrawAspect="Content" ObjectID="_1468075732" r:id="rId141">
            <o:LockedField>false</o:LockedField>
          </o:OLEObject>
        </w:object>
      </w:r>
    </w:p>
    <w:p w14:paraId="7074CB7E">
      <w:pPr>
        <w:pStyle w:val="30"/>
        <w:bidi w:val="0"/>
      </w:pPr>
      <w:r>
        <w:t>图</w:t>
      </w:r>
      <w:r>
        <w:rPr>
          <w:rFonts w:hint="eastAsia"/>
          <w:lang w:eastAsia="zh-CN"/>
        </w:rPr>
        <w:t>4.3</w:t>
      </w:r>
      <w:r>
        <w:t>-14  评价区浮游动物种类组成</w:t>
      </w:r>
    </w:p>
    <w:p w14:paraId="07035FEF">
      <w:pPr>
        <w:ind w:firstLine="480"/>
        <w:rPr>
          <w:rFonts w:cs="Times New Roman"/>
          <w:color w:val="0000FF"/>
        </w:rPr>
      </w:pPr>
      <w:r>
        <w:rPr>
          <w:rFonts w:cs="Times New Roman"/>
          <w:color w:val="0000FF"/>
        </w:rPr>
        <w:fldChar w:fldCharType="begin"/>
      </w:r>
      <w:r>
        <w:rPr>
          <w:rFonts w:cs="Times New Roman"/>
          <w:color w:val="0000FF"/>
        </w:rPr>
        <w:instrText xml:space="preserve"> = 2 \* GB3 </w:instrText>
      </w:r>
      <w:r>
        <w:rPr>
          <w:rFonts w:cs="Times New Roman"/>
          <w:color w:val="0000FF"/>
        </w:rPr>
        <w:fldChar w:fldCharType="separate"/>
      </w:r>
      <w:r>
        <w:rPr>
          <w:rFonts w:hint="eastAsia" w:ascii="宋体" w:hAnsi="宋体"/>
          <w:color w:val="0000FF"/>
        </w:rPr>
        <w:t>②</w:t>
      </w:r>
      <w:r>
        <w:rPr>
          <w:rFonts w:cs="Times New Roman"/>
          <w:color w:val="0000FF"/>
        </w:rPr>
        <w:fldChar w:fldCharType="end"/>
      </w:r>
      <w:r>
        <w:rPr>
          <w:rFonts w:cs="Times New Roman"/>
          <w:color w:val="0000FF"/>
        </w:rPr>
        <w:t>密度</w:t>
      </w:r>
    </w:p>
    <w:p w14:paraId="4ED793B7">
      <w:pPr>
        <w:ind w:firstLine="480"/>
        <w:rPr>
          <w:rFonts w:cs="Times New Roman"/>
          <w:color w:val="0000FF"/>
        </w:rPr>
      </w:pPr>
      <w:r>
        <w:rPr>
          <w:rFonts w:cs="Times New Roman"/>
          <w:color w:val="0000FF"/>
        </w:rPr>
        <w:t>根据调查结果，评价区水域浮游动物平均</w:t>
      </w:r>
      <w:r>
        <w:rPr>
          <w:rFonts w:hint="eastAsia" w:cs="Times New Roman"/>
          <w:color w:val="0000FF"/>
        </w:rPr>
        <w:t>密度为</w:t>
      </w:r>
      <w:r>
        <w:rPr>
          <w:rFonts w:cs="Times New Roman"/>
          <w:color w:val="0000FF"/>
        </w:rPr>
        <w:t>287.36 ind./L，其中轮虫类平均密度为281 ind./L，其他类均＜3 ind./L，轮虫类占据绝对优势。</w:t>
      </w:r>
    </w:p>
    <w:p w14:paraId="569D2E16">
      <w:pPr>
        <w:ind w:firstLine="480"/>
        <w:rPr>
          <w:rFonts w:cs="Times New Roman"/>
          <w:color w:val="0000FF"/>
        </w:rPr>
      </w:pPr>
      <w:r>
        <w:rPr>
          <w:rFonts w:cs="Times New Roman"/>
          <w:color w:val="0000FF"/>
        </w:rPr>
        <w:t>不同调查点位中，W4、W5的浮游动物密度较高，分别为389.32 ind./L、467.76 ind./L。总体来看，滁河流域中浮游动物的密度较高。</w:t>
      </w:r>
    </w:p>
    <w:p w14:paraId="5F8124D7">
      <w:pPr>
        <w:ind w:firstLine="480"/>
        <w:rPr>
          <w:rFonts w:cs="Times New Roman"/>
          <w:color w:val="0000FF"/>
        </w:rPr>
      </w:pPr>
      <w:r>
        <w:rPr>
          <w:rFonts w:cs="Times New Roman"/>
          <w:color w:val="0000FF"/>
        </w:rPr>
        <w:fldChar w:fldCharType="begin"/>
      </w:r>
      <w:r>
        <w:rPr>
          <w:rFonts w:cs="Times New Roman"/>
          <w:color w:val="0000FF"/>
        </w:rPr>
        <w:instrText xml:space="preserve"> = 3 \* GB3 </w:instrText>
      </w:r>
      <w:r>
        <w:rPr>
          <w:rFonts w:cs="Times New Roman"/>
          <w:color w:val="0000FF"/>
        </w:rPr>
        <w:fldChar w:fldCharType="separate"/>
      </w:r>
      <w:r>
        <w:rPr>
          <w:rFonts w:hint="eastAsia" w:ascii="宋体" w:hAnsi="宋体"/>
          <w:color w:val="0000FF"/>
        </w:rPr>
        <w:t>③</w:t>
      </w:r>
      <w:r>
        <w:rPr>
          <w:rFonts w:cs="Times New Roman"/>
          <w:color w:val="0000FF"/>
        </w:rPr>
        <w:fldChar w:fldCharType="end"/>
      </w:r>
      <w:r>
        <w:rPr>
          <w:rFonts w:cs="Times New Roman"/>
          <w:color w:val="0000FF"/>
        </w:rPr>
        <w:t>生物量</w:t>
      </w:r>
    </w:p>
    <w:p w14:paraId="0C6E6D19">
      <w:pPr>
        <w:ind w:firstLine="480"/>
        <w:rPr>
          <w:rFonts w:cs="Times New Roman"/>
          <w:color w:val="0000FF"/>
        </w:rPr>
      </w:pPr>
      <w:r>
        <w:rPr>
          <w:rFonts w:cs="Times New Roman"/>
          <w:color w:val="0000FF"/>
        </w:rPr>
        <w:t>评价区水域浮游动物平均生物量为0.4986 mg/L，其中轮虫类、桡足类、枝角类生物量分别为0.1125 mg/L、0.2867 mg/L、1.1043 mg/L，生物量差异不大。</w:t>
      </w:r>
    </w:p>
    <w:p w14:paraId="4765A5D1">
      <w:pPr>
        <w:ind w:firstLine="480"/>
        <w:rPr>
          <w:rFonts w:cs="Times New Roman"/>
          <w:color w:val="0000FF"/>
        </w:rPr>
      </w:pPr>
      <w:r>
        <w:rPr>
          <w:rFonts w:cs="Times New Roman"/>
          <w:color w:val="0000FF"/>
        </w:rPr>
        <w:t>不同调查点位中，W5的浮游动物生物量最高，为0.978 mg/L，其他点位浮游动物生物量差异不大。</w:t>
      </w:r>
    </w:p>
    <w:p w14:paraId="22FEB013">
      <w:pPr>
        <w:ind w:firstLine="480"/>
        <w:rPr>
          <w:rFonts w:cs="Times New Roman"/>
          <w:color w:val="0000FF"/>
        </w:rPr>
      </w:pPr>
      <w:r>
        <w:rPr>
          <w:rFonts w:cs="Times New Roman"/>
          <w:color w:val="0000FF"/>
        </w:rPr>
        <w:t>总体来说，不同断面浮游动物的生物量差异不大</w:t>
      </w:r>
      <w:r>
        <w:rPr>
          <w:rFonts w:hint="eastAsia" w:cs="Times New Roman"/>
          <w:color w:val="0000FF"/>
        </w:rPr>
        <w:t>。</w:t>
      </w:r>
    </w:p>
    <w:p w14:paraId="72FC4BA5">
      <w:pPr>
        <w:pStyle w:val="29"/>
        <w:bidi w:val="0"/>
        <w:rPr>
          <w:lang w:val="en-GB"/>
        </w:rPr>
      </w:pPr>
      <w:r>
        <w:rPr>
          <w:lang w:val="en-GB"/>
        </w:rPr>
        <w:t>表</w:t>
      </w:r>
      <w:r>
        <w:rPr>
          <w:rFonts w:hint="eastAsia"/>
          <w:lang w:eastAsia="zh-CN"/>
        </w:rPr>
        <w:t>4.3</w:t>
      </w:r>
      <w:r>
        <w:t>-14</w:t>
      </w:r>
      <w:r>
        <w:rPr>
          <w:lang w:val="en-GB"/>
        </w:rPr>
        <w:t xml:space="preserve">  评价区浮游</w:t>
      </w:r>
      <w:r>
        <w:t>动物</w:t>
      </w:r>
      <w:r>
        <w:rPr>
          <w:lang w:val="en-GB"/>
        </w:rPr>
        <w:t>名录</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6"/>
        <w:gridCol w:w="3072"/>
        <w:gridCol w:w="4629"/>
      </w:tblGrid>
      <w:tr w14:paraId="482CA8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854" w:type="pct"/>
            <w:vAlign w:val="center"/>
          </w:tcPr>
          <w:p w14:paraId="54DD6F10">
            <w:pPr>
              <w:pStyle w:val="28"/>
              <w:bidi w:val="0"/>
            </w:pPr>
            <w:r>
              <w:t>类别</w:t>
            </w:r>
          </w:p>
        </w:tc>
        <w:tc>
          <w:tcPr>
            <w:tcW w:w="1654" w:type="pct"/>
            <w:vAlign w:val="center"/>
          </w:tcPr>
          <w:p w14:paraId="2B2E64F0">
            <w:pPr>
              <w:pStyle w:val="28"/>
              <w:bidi w:val="0"/>
            </w:pPr>
            <w:r>
              <w:t>种类</w:t>
            </w:r>
          </w:p>
        </w:tc>
        <w:tc>
          <w:tcPr>
            <w:tcW w:w="2492" w:type="pct"/>
            <w:vAlign w:val="center"/>
          </w:tcPr>
          <w:p w14:paraId="2ABB9525">
            <w:pPr>
              <w:pStyle w:val="28"/>
              <w:bidi w:val="0"/>
            </w:pPr>
            <w:r>
              <w:t>学名</w:t>
            </w:r>
          </w:p>
        </w:tc>
      </w:tr>
      <w:tr w14:paraId="5B1068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restart"/>
            <w:vAlign w:val="center"/>
          </w:tcPr>
          <w:p w14:paraId="31C55B62">
            <w:pPr>
              <w:pStyle w:val="28"/>
              <w:bidi w:val="0"/>
            </w:pPr>
            <w:r>
              <w:t>轮虫类</w:t>
            </w:r>
          </w:p>
        </w:tc>
        <w:tc>
          <w:tcPr>
            <w:tcW w:w="1654" w:type="pct"/>
            <w:vAlign w:val="center"/>
          </w:tcPr>
          <w:p w14:paraId="102908F5">
            <w:pPr>
              <w:pStyle w:val="28"/>
              <w:bidi w:val="0"/>
            </w:pPr>
            <w:r>
              <w:t>花箧臂尾轮虫</w:t>
            </w:r>
          </w:p>
        </w:tc>
        <w:tc>
          <w:tcPr>
            <w:tcW w:w="2492" w:type="pct"/>
            <w:vAlign w:val="center"/>
          </w:tcPr>
          <w:p w14:paraId="34C733AA">
            <w:pPr>
              <w:pStyle w:val="28"/>
              <w:bidi w:val="0"/>
            </w:pPr>
            <w:r>
              <w:t>Brachionus capsuliflorus</w:t>
            </w:r>
          </w:p>
        </w:tc>
      </w:tr>
      <w:tr w14:paraId="6908A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3965CAFE">
            <w:pPr>
              <w:pStyle w:val="28"/>
              <w:bidi w:val="0"/>
            </w:pPr>
          </w:p>
        </w:tc>
        <w:tc>
          <w:tcPr>
            <w:tcW w:w="1654" w:type="pct"/>
            <w:vAlign w:val="center"/>
          </w:tcPr>
          <w:p w14:paraId="4481FEC6">
            <w:pPr>
              <w:pStyle w:val="28"/>
              <w:bidi w:val="0"/>
            </w:pPr>
            <w:r>
              <w:t>壶状臂尾轮虫</w:t>
            </w:r>
          </w:p>
        </w:tc>
        <w:tc>
          <w:tcPr>
            <w:tcW w:w="2492" w:type="pct"/>
            <w:vAlign w:val="center"/>
          </w:tcPr>
          <w:p w14:paraId="3E52B856">
            <w:pPr>
              <w:pStyle w:val="28"/>
              <w:bidi w:val="0"/>
            </w:pPr>
            <w:r>
              <w:t>Brachionus urceus</w:t>
            </w:r>
          </w:p>
        </w:tc>
      </w:tr>
      <w:tr w14:paraId="37059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7A25971F">
            <w:pPr>
              <w:pStyle w:val="28"/>
              <w:bidi w:val="0"/>
            </w:pPr>
          </w:p>
        </w:tc>
        <w:tc>
          <w:tcPr>
            <w:tcW w:w="1654" w:type="pct"/>
            <w:vAlign w:val="center"/>
          </w:tcPr>
          <w:p w14:paraId="0E6AEC07">
            <w:pPr>
              <w:pStyle w:val="28"/>
              <w:bidi w:val="0"/>
            </w:pPr>
            <w:r>
              <w:t>角突臂尾轮虫</w:t>
            </w:r>
          </w:p>
        </w:tc>
        <w:tc>
          <w:tcPr>
            <w:tcW w:w="2492" w:type="pct"/>
            <w:vAlign w:val="center"/>
          </w:tcPr>
          <w:p w14:paraId="78A0A7C9">
            <w:pPr>
              <w:pStyle w:val="28"/>
              <w:bidi w:val="0"/>
            </w:pPr>
            <w:r>
              <w:t>Brachionus angularis</w:t>
            </w:r>
          </w:p>
        </w:tc>
      </w:tr>
      <w:tr w14:paraId="69ACE5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56D94168">
            <w:pPr>
              <w:pStyle w:val="28"/>
              <w:bidi w:val="0"/>
            </w:pPr>
          </w:p>
        </w:tc>
        <w:tc>
          <w:tcPr>
            <w:tcW w:w="1654" w:type="pct"/>
            <w:vAlign w:val="center"/>
          </w:tcPr>
          <w:p w14:paraId="2234E062">
            <w:pPr>
              <w:pStyle w:val="28"/>
              <w:bidi w:val="0"/>
            </w:pPr>
            <w:r>
              <w:t>萼花臂尾轮虫</w:t>
            </w:r>
          </w:p>
        </w:tc>
        <w:tc>
          <w:tcPr>
            <w:tcW w:w="2492" w:type="pct"/>
            <w:vAlign w:val="center"/>
          </w:tcPr>
          <w:p w14:paraId="6429F747">
            <w:pPr>
              <w:pStyle w:val="28"/>
              <w:bidi w:val="0"/>
            </w:pPr>
            <w:r>
              <w:t>Brachionus calyciflorus</w:t>
            </w:r>
          </w:p>
        </w:tc>
      </w:tr>
      <w:tr w14:paraId="2EA778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3DC5D521">
            <w:pPr>
              <w:pStyle w:val="28"/>
              <w:bidi w:val="0"/>
            </w:pPr>
          </w:p>
        </w:tc>
        <w:tc>
          <w:tcPr>
            <w:tcW w:w="1654" w:type="pct"/>
            <w:vAlign w:val="center"/>
          </w:tcPr>
          <w:p w14:paraId="596C2740">
            <w:pPr>
              <w:pStyle w:val="28"/>
              <w:bidi w:val="0"/>
            </w:pPr>
            <w:r>
              <w:t>针簇多枝轮虫</w:t>
            </w:r>
          </w:p>
        </w:tc>
        <w:tc>
          <w:tcPr>
            <w:tcW w:w="2492" w:type="pct"/>
            <w:vAlign w:val="center"/>
          </w:tcPr>
          <w:p w14:paraId="38C3F1F4">
            <w:pPr>
              <w:pStyle w:val="28"/>
              <w:bidi w:val="0"/>
            </w:pPr>
            <w:r>
              <w:t>Polyarthra trigla</w:t>
            </w:r>
          </w:p>
        </w:tc>
      </w:tr>
      <w:tr w14:paraId="02752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66B2A79A">
            <w:pPr>
              <w:pStyle w:val="28"/>
              <w:bidi w:val="0"/>
            </w:pPr>
          </w:p>
        </w:tc>
        <w:tc>
          <w:tcPr>
            <w:tcW w:w="1654" w:type="pct"/>
            <w:vAlign w:val="center"/>
          </w:tcPr>
          <w:p w14:paraId="15AAA202">
            <w:pPr>
              <w:pStyle w:val="28"/>
              <w:bidi w:val="0"/>
            </w:pPr>
            <w:r>
              <w:t>迈氏三肢轮虫</w:t>
            </w:r>
          </w:p>
        </w:tc>
        <w:tc>
          <w:tcPr>
            <w:tcW w:w="2492" w:type="pct"/>
            <w:vAlign w:val="center"/>
          </w:tcPr>
          <w:p w14:paraId="24DA0ADB">
            <w:pPr>
              <w:pStyle w:val="28"/>
              <w:bidi w:val="0"/>
            </w:pPr>
            <w:r>
              <w:t>Filinia maio</w:t>
            </w:r>
          </w:p>
        </w:tc>
      </w:tr>
      <w:tr w14:paraId="18C11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6F64760D">
            <w:pPr>
              <w:pStyle w:val="28"/>
              <w:bidi w:val="0"/>
            </w:pPr>
          </w:p>
        </w:tc>
        <w:tc>
          <w:tcPr>
            <w:tcW w:w="1654" w:type="pct"/>
            <w:vAlign w:val="center"/>
          </w:tcPr>
          <w:p w14:paraId="3128E048">
            <w:pPr>
              <w:pStyle w:val="28"/>
              <w:bidi w:val="0"/>
            </w:pPr>
            <w:r>
              <w:t>曲腿龟甲轮虫</w:t>
            </w:r>
          </w:p>
        </w:tc>
        <w:tc>
          <w:tcPr>
            <w:tcW w:w="2492" w:type="pct"/>
            <w:vAlign w:val="center"/>
          </w:tcPr>
          <w:p w14:paraId="46F82AC0">
            <w:pPr>
              <w:pStyle w:val="28"/>
              <w:bidi w:val="0"/>
            </w:pPr>
            <w:r>
              <w:t>Keratella valga</w:t>
            </w:r>
          </w:p>
        </w:tc>
      </w:tr>
      <w:tr w14:paraId="6E69D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617C2163">
            <w:pPr>
              <w:pStyle w:val="28"/>
              <w:bidi w:val="0"/>
            </w:pPr>
          </w:p>
        </w:tc>
        <w:tc>
          <w:tcPr>
            <w:tcW w:w="1654" w:type="pct"/>
            <w:vAlign w:val="center"/>
          </w:tcPr>
          <w:p w14:paraId="3F5A34A0">
            <w:pPr>
              <w:pStyle w:val="28"/>
              <w:bidi w:val="0"/>
            </w:pPr>
            <w:r>
              <w:t>钝齿单趾轮虫</w:t>
            </w:r>
          </w:p>
        </w:tc>
        <w:tc>
          <w:tcPr>
            <w:tcW w:w="2492" w:type="pct"/>
            <w:vAlign w:val="center"/>
          </w:tcPr>
          <w:p w14:paraId="37590BCA">
            <w:pPr>
              <w:pStyle w:val="28"/>
              <w:bidi w:val="0"/>
            </w:pPr>
            <w:r>
              <w:t>Monostyla crenata</w:t>
            </w:r>
          </w:p>
        </w:tc>
      </w:tr>
      <w:tr w14:paraId="2C7A3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restart"/>
            <w:vAlign w:val="center"/>
          </w:tcPr>
          <w:p w14:paraId="3682080D">
            <w:pPr>
              <w:pStyle w:val="28"/>
              <w:bidi w:val="0"/>
            </w:pPr>
            <w:r>
              <w:t>桡足类</w:t>
            </w:r>
          </w:p>
        </w:tc>
        <w:tc>
          <w:tcPr>
            <w:tcW w:w="1654" w:type="pct"/>
            <w:vAlign w:val="center"/>
          </w:tcPr>
          <w:p w14:paraId="6A877411">
            <w:pPr>
              <w:pStyle w:val="28"/>
              <w:bidi w:val="0"/>
            </w:pPr>
            <w:r>
              <w:t>近邻剑水蚤</w:t>
            </w:r>
          </w:p>
        </w:tc>
        <w:tc>
          <w:tcPr>
            <w:tcW w:w="2492" w:type="pct"/>
            <w:vAlign w:val="center"/>
          </w:tcPr>
          <w:p w14:paraId="1BB61F88">
            <w:pPr>
              <w:pStyle w:val="28"/>
              <w:bidi w:val="0"/>
            </w:pPr>
            <w:r>
              <w:t>Cyclops vicinus</w:t>
            </w:r>
          </w:p>
        </w:tc>
      </w:tr>
      <w:tr w14:paraId="20C4A0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29C65B4E">
            <w:pPr>
              <w:pStyle w:val="28"/>
              <w:bidi w:val="0"/>
            </w:pPr>
          </w:p>
        </w:tc>
        <w:tc>
          <w:tcPr>
            <w:tcW w:w="1654" w:type="pct"/>
            <w:vAlign w:val="center"/>
          </w:tcPr>
          <w:p w14:paraId="3C9D4FB1">
            <w:pPr>
              <w:pStyle w:val="28"/>
              <w:bidi w:val="0"/>
            </w:pPr>
            <w:r>
              <w:t>汤匙华哲水蚤</w:t>
            </w:r>
          </w:p>
        </w:tc>
        <w:tc>
          <w:tcPr>
            <w:tcW w:w="2492" w:type="pct"/>
            <w:vAlign w:val="center"/>
          </w:tcPr>
          <w:p w14:paraId="28DD5EEC">
            <w:pPr>
              <w:pStyle w:val="28"/>
              <w:bidi w:val="0"/>
            </w:pPr>
            <w:r>
              <w:t>Sinocalanus dorrii</w:t>
            </w:r>
          </w:p>
        </w:tc>
      </w:tr>
      <w:tr w14:paraId="1FF36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78B997BB">
            <w:pPr>
              <w:pStyle w:val="28"/>
              <w:bidi w:val="0"/>
            </w:pPr>
          </w:p>
        </w:tc>
        <w:tc>
          <w:tcPr>
            <w:tcW w:w="1654" w:type="pct"/>
            <w:vAlign w:val="center"/>
          </w:tcPr>
          <w:p w14:paraId="00384047">
            <w:pPr>
              <w:pStyle w:val="28"/>
              <w:bidi w:val="0"/>
            </w:pPr>
            <w:r>
              <w:t>透明温剑水蚤</w:t>
            </w:r>
          </w:p>
        </w:tc>
        <w:tc>
          <w:tcPr>
            <w:tcW w:w="2492" w:type="pct"/>
            <w:vAlign w:val="center"/>
          </w:tcPr>
          <w:p w14:paraId="554EE115">
            <w:pPr>
              <w:pStyle w:val="28"/>
              <w:bidi w:val="0"/>
            </w:pPr>
            <w:r>
              <w:t>Hyalinus</w:t>
            </w:r>
          </w:p>
        </w:tc>
      </w:tr>
      <w:tr w14:paraId="596B3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jc w:val="center"/>
        </w:trPr>
        <w:tc>
          <w:tcPr>
            <w:tcW w:w="854" w:type="pct"/>
            <w:vMerge w:val="continue"/>
            <w:vAlign w:val="center"/>
          </w:tcPr>
          <w:p w14:paraId="24938D01">
            <w:pPr>
              <w:pStyle w:val="28"/>
              <w:bidi w:val="0"/>
            </w:pPr>
          </w:p>
        </w:tc>
        <w:tc>
          <w:tcPr>
            <w:tcW w:w="1654" w:type="pct"/>
            <w:vAlign w:val="center"/>
          </w:tcPr>
          <w:p w14:paraId="2D710BFC">
            <w:pPr>
              <w:pStyle w:val="28"/>
              <w:bidi w:val="0"/>
            </w:pPr>
            <w:r>
              <w:t>跨立小剑水蚤</w:t>
            </w:r>
          </w:p>
        </w:tc>
        <w:tc>
          <w:tcPr>
            <w:tcW w:w="2492" w:type="pct"/>
            <w:vAlign w:val="center"/>
          </w:tcPr>
          <w:p w14:paraId="49D2D8F2">
            <w:pPr>
              <w:pStyle w:val="28"/>
              <w:bidi w:val="0"/>
            </w:pPr>
            <w:r>
              <w:t>Microcyclops varicans</w:t>
            </w:r>
          </w:p>
        </w:tc>
      </w:tr>
      <w:tr w14:paraId="428DC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4E6DCC7F">
            <w:pPr>
              <w:pStyle w:val="28"/>
              <w:bidi w:val="0"/>
            </w:pPr>
          </w:p>
        </w:tc>
        <w:tc>
          <w:tcPr>
            <w:tcW w:w="1654" w:type="pct"/>
            <w:vAlign w:val="center"/>
          </w:tcPr>
          <w:p w14:paraId="01EE2649">
            <w:pPr>
              <w:pStyle w:val="28"/>
              <w:bidi w:val="0"/>
            </w:pPr>
            <w:r>
              <w:t>指状许水蚤</w:t>
            </w:r>
          </w:p>
        </w:tc>
        <w:tc>
          <w:tcPr>
            <w:tcW w:w="2492" w:type="pct"/>
            <w:vAlign w:val="center"/>
          </w:tcPr>
          <w:p w14:paraId="07F13BD6">
            <w:pPr>
              <w:pStyle w:val="28"/>
              <w:bidi w:val="0"/>
            </w:pPr>
            <w:r>
              <w:t>Schmacheria inopinus</w:t>
            </w:r>
          </w:p>
        </w:tc>
      </w:tr>
      <w:tr w14:paraId="00872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jc w:val="center"/>
        </w:trPr>
        <w:tc>
          <w:tcPr>
            <w:tcW w:w="854" w:type="pct"/>
            <w:vMerge w:val="continue"/>
            <w:vAlign w:val="center"/>
          </w:tcPr>
          <w:p w14:paraId="4FD510BA">
            <w:pPr>
              <w:pStyle w:val="28"/>
              <w:bidi w:val="0"/>
            </w:pPr>
          </w:p>
        </w:tc>
        <w:tc>
          <w:tcPr>
            <w:tcW w:w="1654" w:type="pct"/>
            <w:vAlign w:val="center"/>
          </w:tcPr>
          <w:p w14:paraId="2A42FCE2">
            <w:pPr>
              <w:pStyle w:val="28"/>
              <w:bidi w:val="0"/>
            </w:pPr>
            <w:r>
              <w:t>桡足幼体</w:t>
            </w:r>
          </w:p>
        </w:tc>
        <w:tc>
          <w:tcPr>
            <w:tcW w:w="2492" w:type="pct"/>
            <w:vAlign w:val="center"/>
          </w:tcPr>
          <w:p w14:paraId="0A39741B">
            <w:pPr>
              <w:pStyle w:val="28"/>
              <w:bidi w:val="0"/>
            </w:pPr>
            <w:r>
              <w:rPr>
                <w:lang w:eastAsia="en-US"/>
              </w:rPr>
              <w:t>Copepodid</w:t>
            </w:r>
          </w:p>
        </w:tc>
      </w:tr>
      <w:tr w14:paraId="2FAEA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5F527691">
            <w:pPr>
              <w:pStyle w:val="28"/>
              <w:bidi w:val="0"/>
            </w:pPr>
          </w:p>
        </w:tc>
        <w:tc>
          <w:tcPr>
            <w:tcW w:w="1654" w:type="pct"/>
            <w:vAlign w:val="center"/>
          </w:tcPr>
          <w:p w14:paraId="10DEEA28">
            <w:pPr>
              <w:pStyle w:val="28"/>
              <w:bidi w:val="0"/>
            </w:pPr>
            <w:r>
              <w:t>无节幼体</w:t>
            </w:r>
          </w:p>
        </w:tc>
        <w:tc>
          <w:tcPr>
            <w:tcW w:w="2492" w:type="pct"/>
            <w:vAlign w:val="center"/>
          </w:tcPr>
          <w:p w14:paraId="45E949A3">
            <w:pPr>
              <w:pStyle w:val="28"/>
              <w:bidi w:val="0"/>
            </w:pPr>
            <w:r>
              <w:rPr>
                <w:lang w:eastAsia="en-US"/>
              </w:rPr>
              <w:t>Copepod nauplii</w:t>
            </w:r>
          </w:p>
        </w:tc>
      </w:tr>
      <w:tr w14:paraId="0F0A6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jc w:val="center"/>
        </w:trPr>
        <w:tc>
          <w:tcPr>
            <w:tcW w:w="854" w:type="pct"/>
            <w:vMerge w:val="restart"/>
            <w:vAlign w:val="center"/>
          </w:tcPr>
          <w:p w14:paraId="484C48FC">
            <w:pPr>
              <w:pStyle w:val="28"/>
              <w:bidi w:val="0"/>
            </w:pPr>
            <w:r>
              <w:t>枝角类</w:t>
            </w:r>
          </w:p>
        </w:tc>
        <w:tc>
          <w:tcPr>
            <w:tcW w:w="1654" w:type="pct"/>
            <w:vAlign w:val="center"/>
          </w:tcPr>
          <w:p w14:paraId="1BF90BFD">
            <w:pPr>
              <w:pStyle w:val="28"/>
              <w:bidi w:val="0"/>
            </w:pPr>
            <w:r>
              <w:t>长额象鼻溞</w:t>
            </w:r>
          </w:p>
        </w:tc>
        <w:tc>
          <w:tcPr>
            <w:tcW w:w="2492" w:type="pct"/>
            <w:vAlign w:val="center"/>
          </w:tcPr>
          <w:p w14:paraId="1BA39DD9">
            <w:pPr>
              <w:pStyle w:val="28"/>
              <w:bidi w:val="0"/>
            </w:pPr>
            <w:r>
              <w:t>Bosmina longirostris</w:t>
            </w:r>
          </w:p>
        </w:tc>
      </w:tr>
      <w:tr w14:paraId="5428D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555874BA">
            <w:pPr>
              <w:pStyle w:val="28"/>
              <w:bidi w:val="0"/>
            </w:pPr>
          </w:p>
        </w:tc>
        <w:tc>
          <w:tcPr>
            <w:tcW w:w="1654" w:type="pct"/>
            <w:vAlign w:val="center"/>
          </w:tcPr>
          <w:p w14:paraId="3AE36897">
            <w:pPr>
              <w:pStyle w:val="28"/>
              <w:bidi w:val="0"/>
            </w:pPr>
            <w:r>
              <w:t>蚤状溞</w:t>
            </w:r>
          </w:p>
        </w:tc>
        <w:tc>
          <w:tcPr>
            <w:tcW w:w="2492" w:type="pct"/>
            <w:vAlign w:val="center"/>
          </w:tcPr>
          <w:p w14:paraId="29608C05">
            <w:pPr>
              <w:pStyle w:val="28"/>
              <w:bidi w:val="0"/>
            </w:pPr>
            <w:r>
              <w:t>Daphnia pulex</w:t>
            </w:r>
          </w:p>
        </w:tc>
      </w:tr>
      <w:tr w14:paraId="66465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224D2A5C">
            <w:pPr>
              <w:pStyle w:val="28"/>
              <w:bidi w:val="0"/>
            </w:pPr>
          </w:p>
        </w:tc>
        <w:tc>
          <w:tcPr>
            <w:tcW w:w="1654" w:type="pct"/>
            <w:vAlign w:val="center"/>
          </w:tcPr>
          <w:p w14:paraId="0C537289">
            <w:pPr>
              <w:pStyle w:val="28"/>
              <w:bidi w:val="0"/>
            </w:pPr>
            <w:r>
              <w:t>点滴尖额溞</w:t>
            </w:r>
          </w:p>
        </w:tc>
        <w:tc>
          <w:tcPr>
            <w:tcW w:w="2492" w:type="pct"/>
            <w:vAlign w:val="center"/>
          </w:tcPr>
          <w:p w14:paraId="37178018">
            <w:pPr>
              <w:pStyle w:val="28"/>
              <w:bidi w:val="0"/>
            </w:pPr>
            <w:r>
              <w:t>Alona guttata</w:t>
            </w:r>
          </w:p>
        </w:tc>
      </w:tr>
      <w:tr w14:paraId="3C135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1F9A4479">
            <w:pPr>
              <w:pStyle w:val="28"/>
              <w:bidi w:val="0"/>
            </w:pPr>
          </w:p>
        </w:tc>
        <w:tc>
          <w:tcPr>
            <w:tcW w:w="1654" w:type="pct"/>
            <w:vAlign w:val="center"/>
          </w:tcPr>
          <w:p w14:paraId="0D16E7CC">
            <w:pPr>
              <w:pStyle w:val="28"/>
              <w:bidi w:val="0"/>
            </w:pPr>
            <w:r>
              <w:t>龟状笔纹溞</w:t>
            </w:r>
          </w:p>
        </w:tc>
        <w:tc>
          <w:tcPr>
            <w:tcW w:w="2492" w:type="pct"/>
            <w:vAlign w:val="center"/>
          </w:tcPr>
          <w:p w14:paraId="39F477DE">
            <w:pPr>
              <w:pStyle w:val="28"/>
              <w:bidi w:val="0"/>
            </w:pPr>
            <w:r>
              <w:t>Graptoleberis testudinaria</w:t>
            </w:r>
          </w:p>
        </w:tc>
      </w:tr>
      <w:tr w14:paraId="5827A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215E1DCE">
            <w:pPr>
              <w:pStyle w:val="28"/>
              <w:bidi w:val="0"/>
            </w:pPr>
          </w:p>
        </w:tc>
        <w:tc>
          <w:tcPr>
            <w:tcW w:w="1654" w:type="pct"/>
            <w:vAlign w:val="center"/>
          </w:tcPr>
          <w:p w14:paraId="4FF23562">
            <w:pPr>
              <w:pStyle w:val="28"/>
              <w:bidi w:val="0"/>
            </w:pPr>
            <w:r>
              <w:t>圆形盘肠溞</w:t>
            </w:r>
          </w:p>
        </w:tc>
        <w:tc>
          <w:tcPr>
            <w:tcW w:w="2492" w:type="pct"/>
            <w:vAlign w:val="center"/>
          </w:tcPr>
          <w:p w14:paraId="08DB2FE6">
            <w:pPr>
              <w:pStyle w:val="28"/>
              <w:bidi w:val="0"/>
            </w:pPr>
            <w:r>
              <w:t>Chydorus sphaericus</w:t>
            </w:r>
          </w:p>
        </w:tc>
      </w:tr>
      <w:tr w14:paraId="73F9F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54" w:type="pct"/>
            <w:vMerge w:val="continue"/>
            <w:vAlign w:val="center"/>
          </w:tcPr>
          <w:p w14:paraId="55E804B0">
            <w:pPr>
              <w:pStyle w:val="28"/>
              <w:bidi w:val="0"/>
            </w:pPr>
          </w:p>
        </w:tc>
        <w:tc>
          <w:tcPr>
            <w:tcW w:w="1654" w:type="pct"/>
            <w:vAlign w:val="center"/>
          </w:tcPr>
          <w:p w14:paraId="7A9B39E5">
            <w:pPr>
              <w:pStyle w:val="28"/>
              <w:bidi w:val="0"/>
            </w:pPr>
            <w:r>
              <w:t>直额弯尾溞</w:t>
            </w:r>
          </w:p>
        </w:tc>
        <w:tc>
          <w:tcPr>
            <w:tcW w:w="2492" w:type="pct"/>
            <w:vAlign w:val="center"/>
          </w:tcPr>
          <w:p w14:paraId="19E4D4F6">
            <w:pPr>
              <w:pStyle w:val="28"/>
              <w:bidi w:val="0"/>
            </w:pPr>
            <w:r>
              <w:t>Camptocercus rectirostris</w:t>
            </w:r>
          </w:p>
        </w:tc>
      </w:tr>
    </w:tbl>
    <w:p w14:paraId="1C0CB47F">
      <w:pPr>
        <w:pStyle w:val="4"/>
        <w:bidi w:val="0"/>
      </w:pPr>
      <w:r>
        <w:t>4.3.5</w:t>
      </w:r>
      <w:r>
        <w:rPr>
          <w:rFonts w:hint="eastAsia"/>
          <w:lang w:val="en-US" w:eastAsia="zh-CN"/>
        </w:rPr>
        <w:t xml:space="preserve"> </w:t>
      </w:r>
      <w:r>
        <w:t>评价区生态系统现状</w:t>
      </w:r>
    </w:p>
    <w:p w14:paraId="705385FE">
      <w:pPr>
        <w:ind w:firstLine="480"/>
        <w:rPr>
          <w:rFonts w:cs="Times New Roman"/>
        </w:rPr>
      </w:pPr>
      <w:r>
        <w:rPr>
          <w:rFonts w:hint="eastAsia" w:ascii="宋体" w:hAnsi="宋体" w:cs="Times New Roman"/>
        </w:rPr>
        <w:t>本次评价通过现场调查结合卫星遥感影像解译（遥感影像数据来源：</w:t>
      </w:r>
      <w:r>
        <w:rPr>
          <w:rFonts w:hint="eastAsia" w:cs="Times New Roman"/>
        </w:rPr>
        <w:t>Landsat8OLI-TIRS</w:t>
      </w:r>
      <w:r>
        <w:rPr>
          <w:rFonts w:hint="eastAsia" w:ascii="宋体" w:hAnsi="宋体" w:cs="Times New Roman"/>
        </w:rPr>
        <w:t>卫星数字产品），对评价区的生态系统现状进行调查与分析。生态系统分类采取《全国生态系统状况调查评估技术规范—生态系统遥感解译与野外调查》（</w:t>
      </w:r>
      <w:r>
        <w:rPr>
          <w:rFonts w:hint="eastAsia" w:cs="Times New Roman"/>
        </w:rPr>
        <w:t>HJ 1166-2021</w:t>
      </w:r>
      <w:r>
        <w:rPr>
          <w:rFonts w:hint="eastAsia" w:ascii="宋体" w:hAnsi="宋体" w:cs="Times New Roman"/>
        </w:rPr>
        <w:t>）分类体系，按</w:t>
      </w:r>
      <w:r>
        <w:rPr>
          <w:rFonts w:cs="Times New Roman"/>
        </w:rPr>
        <w:t>Ⅰ</w:t>
      </w:r>
      <w:r>
        <w:rPr>
          <w:rFonts w:hint="eastAsia" w:ascii="宋体" w:hAnsi="宋体" w:cs="Times New Roman"/>
        </w:rPr>
        <w:t>级类进行分类。调查结果详见下表和下图所示。</w:t>
      </w:r>
    </w:p>
    <w:p w14:paraId="0AD6FA72">
      <w:pPr>
        <w:pStyle w:val="29"/>
        <w:bidi w:val="0"/>
      </w:pPr>
      <w:r>
        <w:t>表</w:t>
      </w:r>
      <w:r>
        <w:rPr>
          <w:rFonts w:hint="eastAsia"/>
          <w:lang w:eastAsia="zh-CN"/>
        </w:rPr>
        <w:t>4.3</w:t>
      </w:r>
      <w:r>
        <w:t>-15  评价区生态系统现状一览表</w:t>
      </w:r>
    </w:p>
    <w:tbl>
      <w:tblPr>
        <w:tblStyle w:val="16"/>
        <w:tblW w:w="5000" w:type="pct"/>
        <w:tblInd w:w="0" w:type="dxa"/>
        <w:tblLayout w:type="autofit"/>
        <w:tblCellMar>
          <w:top w:w="0" w:type="dxa"/>
          <w:left w:w="108" w:type="dxa"/>
          <w:bottom w:w="0" w:type="dxa"/>
          <w:right w:w="108" w:type="dxa"/>
        </w:tblCellMar>
      </w:tblPr>
      <w:tblGrid>
        <w:gridCol w:w="1305"/>
        <w:gridCol w:w="3132"/>
        <w:gridCol w:w="2008"/>
        <w:gridCol w:w="2842"/>
      </w:tblGrid>
      <w:tr w14:paraId="71B4C849">
        <w:tblPrEx>
          <w:tblCellMar>
            <w:top w:w="0" w:type="dxa"/>
            <w:left w:w="108" w:type="dxa"/>
            <w:bottom w:w="0" w:type="dxa"/>
            <w:right w:w="108" w:type="dxa"/>
          </w:tblCellMar>
        </w:tblPrEx>
        <w:trPr>
          <w:trHeight w:val="340" w:hRule="atLeast"/>
        </w:trPr>
        <w:tc>
          <w:tcPr>
            <w:tcW w:w="703" w:type="pct"/>
            <w:tcBorders>
              <w:top w:val="single" w:color="000000" w:sz="4" w:space="0"/>
              <w:left w:val="single" w:color="000000" w:sz="4" w:space="0"/>
              <w:bottom w:val="single" w:color="000000" w:sz="4" w:space="0"/>
              <w:right w:val="single" w:color="000000" w:sz="4" w:space="0"/>
            </w:tcBorders>
            <w:vAlign w:val="center"/>
          </w:tcPr>
          <w:p w14:paraId="2F7DA3EA">
            <w:pPr>
              <w:pStyle w:val="28"/>
              <w:bidi w:val="0"/>
            </w:pPr>
            <w:r>
              <w:t>序号</w:t>
            </w:r>
          </w:p>
        </w:tc>
        <w:tc>
          <w:tcPr>
            <w:tcW w:w="1686" w:type="pct"/>
            <w:tcBorders>
              <w:top w:val="single" w:color="000000" w:sz="4" w:space="0"/>
              <w:left w:val="single" w:color="000000" w:sz="4" w:space="0"/>
              <w:bottom w:val="single" w:color="000000" w:sz="4" w:space="0"/>
              <w:right w:val="single" w:color="000000" w:sz="4" w:space="0"/>
            </w:tcBorders>
            <w:vAlign w:val="center"/>
          </w:tcPr>
          <w:p w14:paraId="2631C518">
            <w:pPr>
              <w:pStyle w:val="28"/>
              <w:bidi w:val="0"/>
            </w:pPr>
            <w:r>
              <w:t>生态系统类型</w:t>
            </w:r>
          </w:p>
        </w:tc>
        <w:tc>
          <w:tcPr>
            <w:tcW w:w="1081" w:type="pct"/>
            <w:tcBorders>
              <w:top w:val="single" w:color="000000" w:sz="4" w:space="0"/>
              <w:left w:val="single" w:color="000000" w:sz="4" w:space="0"/>
              <w:bottom w:val="single" w:color="000000" w:sz="4" w:space="0"/>
              <w:right w:val="single" w:color="000000" w:sz="4" w:space="0"/>
            </w:tcBorders>
            <w:vAlign w:val="center"/>
          </w:tcPr>
          <w:p w14:paraId="57040756">
            <w:pPr>
              <w:pStyle w:val="28"/>
              <w:bidi w:val="0"/>
            </w:pPr>
            <w:r>
              <w:t>面积（hm</w:t>
            </w:r>
            <w:r>
              <w:rPr>
                <w:vertAlign w:val="superscript"/>
              </w:rPr>
              <w:t>2</w:t>
            </w:r>
            <w:r>
              <w:t>）</w:t>
            </w:r>
          </w:p>
        </w:tc>
        <w:tc>
          <w:tcPr>
            <w:tcW w:w="1530" w:type="pct"/>
            <w:tcBorders>
              <w:top w:val="single" w:color="000000" w:sz="4" w:space="0"/>
              <w:left w:val="single" w:color="000000" w:sz="4" w:space="0"/>
              <w:bottom w:val="single" w:color="000000" w:sz="4" w:space="0"/>
              <w:right w:val="single" w:color="000000" w:sz="4" w:space="0"/>
            </w:tcBorders>
            <w:vAlign w:val="center"/>
          </w:tcPr>
          <w:p w14:paraId="04664092">
            <w:pPr>
              <w:pStyle w:val="28"/>
              <w:bidi w:val="0"/>
            </w:pPr>
            <w:r>
              <w:t>比例（%）</w:t>
            </w:r>
          </w:p>
        </w:tc>
      </w:tr>
      <w:tr w14:paraId="66CDA8A4">
        <w:tblPrEx>
          <w:tblCellMar>
            <w:top w:w="0" w:type="dxa"/>
            <w:left w:w="108" w:type="dxa"/>
            <w:bottom w:w="0" w:type="dxa"/>
            <w:right w:w="108" w:type="dxa"/>
          </w:tblCellMar>
        </w:tblPrEx>
        <w:trPr>
          <w:trHeight w:val="340" w:hRule="atLeast"/>
        </w:trPr>
        <w:tc>
          <w:tcPr>
            <w:tcW w:w="703" w:type="pct"/>
            <w:tcBorders>
              <w:top w:val="single" w:color="000000" w:sz="4" w:space="0"/>
              <w:left w:val="single" w:color="000000" w:sz="4" w:space="0"/>
              <w:bottom w:val="single" w:color="000000" w:sz="4" w:space="0"/>
              <w:right w:val="single" w:color="000000" w:sz="4" w:space="0"/>
            </w:tcBorders>
            <w:vAlign w:val="center"/>
          </w:tcPr>
          <w:p w14:paraId="701673DE">
            <w:pPr>
              <w:pStyle w:val="28"/>
              <w:bidi w:val="0"/>
            </w:pPr>
            <w:r>
              <w:t>1</w:t>
            </w:r>
          </w:p>
        </w:tc>
        <w:tc>
          <w:tcPr>
            <w:tcW w:w="1686" w:type="pct"/>
            <w:tcBorders>
              <w:top w:val="single" w:color="000000" w:sz="4" w:space="0"/>
              <w:left w:val="single" w:color="000000" w:sz="4" w:space="0"/>
              <w:bottom w:val="single" w:color="000000" w:sz="4" w:space="0"/>
              <w:right w:val="single" w:color="000000" w:sz="4" w:space="0"/>
            </w:tcBorders>
            <w:vAlign w:val="center"/>
          </w:tcPr>
          <w:p w14:paraId="250ED0CE">
            <w:pPr>
              <w:pStyle w:val="28"/>
              <w:bidi w:val="0"/>
            </w:pPr>
            <w:r>
              <w:t>森林生态系统</w:t>
            </w:r>
          </w:p>
        </w:tc>
        <w:tc>
          <w:tcPr>
            <w:tcW w:w="1081" w:type="pct"/>
            <w:tcBorders>
              <w:top w:val="single" w:color="000000" w:sz="4" w:space="0"/>
              <w:left w:val="single" w:color="000000" w:sz="4" w:space="0"/>
              <w:bottom w:val="single" w:color="000000" w:sz="4" w:space="0"/>
              <w:right w:val="single" w:color="000000" w:sz="4" w:space="0"/>
            </w:tcBorders>
            <w:vAlign w:val="center"/>
          </w:tcPr>
          <w:p w14:paraId="235EF328">
            <w:pPr>
              <w:pStyle w:val="28"/>
              <w:bidi w:val="0"/>
            </w:pPr>
            <w:r>
              <w:t>3002.93</w:t>
            </w:r>
          </w:p>
        </w:tc>
        <w:tc>
          <w:tcPr>
            <w:tcW w:w="1530" w:type="pct"/>
            <w:tcBorders>
              <w:top w:val="single" w:color="000000" w:sz="4" w:space="0"/>
              <w:left w:val="single" w:color="000000" w:sz="4" w:space="0"/>
              <w:bottom w:val="single" w:color="000000" w:sz="4" w:space="0"/>
              <w:right w:val="single" w:color="000000" w:sz="4" w:space="0"/>
            </w:tcBorders>
            <w:vAlign w:val="center"/>
          </w:tcPr>
          <w:p w14:paraId="24F672FA">
            <w:pPr>
              <w:pStyle w:val="28"/>
              <w:bidi w:val="0"/>
            </w:pPr>
            <w:r>
              <w:t>7.80%</w:t>
            </w:r>
          </w:p>
        </w:tc>
      </w:tr>
      <w:tr w14:paraId="73CA4A5B">
        <w:tblPrEx>
          <w:tblCellMar>
            <w:top w:w="0" w:type="dxa"/>
            <w:left w:w="108" w:type="dxa"/>
            <w:bottom w:w="0" w:type="dxa"/>
            <w:right w:w="108" w:type="dxa"/>
          </w:tblCellMar>
        </w:tblPrEx>
        <w:trPr>
          <w:trHeight w:val="340" w:hRule="atLeast"/>
        </w:trPr>
        <w:tc>
          <w:tcPr>
            <w:tcW w:w="703" w:type="pct"/>
            <w:tcBorders>
              <w:top w:val="single" w:color="000000" w:sz="4" w:space="0"/>
              <w:left w:val="single" w:color="000000" w:sz="4" w:space="0"/>
              <w:bottom w:val="single" w:color="000000" w:sz="4" w:space="0"/>
              <w:right w:val="single" w:color="000000" w:sz="4" w:space="0"/>
            </w:tcBorders>
            <w:vAlign w:val="center"/>
          </w:tcPr>
          <w:p w14:paraId="139C4897">
            <w:pPr>
              <w:pStyle w:val="28"/>
              <w:bidi w:val="0"/>
            </w:pPr>
            <w:r>
              <w:t>2</w:t>
            </w:r>
          </w:p>
        </w:tc>
        <w:tc>
          <w:tcPr>
            <w:tcW w:w="1686" w:type="pct"/>
            <w:tcBorders>
              <w:top w:val="single" w:color="000000" w:sz="4" w:space="0"/>
              <w:left w:val="single" w:color="000000" w:sz="4" w:space="0"/>
              <w:bottom w:val="single" w:color="000000" w:sz="4" w:space="0"/>
              <w:right w:val="single" w:color="000000" w:sz="4" w:space="0"/>
            </w:tcBorders>
            <w:vAlign w:val="center"/>
          </w:tcPr>
          <w:p w14:paraId="591898A3">
            <w:pPr>
              <w:pStyle w:val="28"/>
              <w:bidi w:val="0"/>
            </w:pPr>
            <w:r>
              <w:t>灌丛生态系统</w:t>
            </w:r>
          </w:p>
        </w:tc>
        <w:tc>
          <w:tcPr>
            <w:tcW w:w="1081" w:type="pct"/>
            <w:tcBorders>
              <w:top w:val="single" w:color="000000" w:sz="4" w:space="0"/>
              <w:left w:val="single" w:color="000000" w:sz="4" w:space="0"/>
              <w:bottom w:val="single" w:color="000000" w:sz="4" w:space="0"/>
              <w:right w:val="single" w:color="000000" w:sz="4" w:space="0"/>
            </w:tcBorders>
            <w:vAlign w:val="center"/>
          </w:tcPr>
          <w:p w14:paraId="72A73433">
            <w:pPr>
              <w:pStyle w:val="28"/>
              <w:bidi w:val="0"/>
            </w:pPr>
            <w:r>
              <w:t>183.94</w:t>
            </w:r>
          </w:p>
        </w:tc>
        <w:tc>
          <w:tcPr>
            <w:tcW w:w="1530" w:type="pct"/>
            <w:tcBorders>
              <w:top w:val="single" w:color="000000" w:sz="4" w:space="0"/>
              <w:left w:val="single" w:color="000000" w:sz="4" w:space="0"/>
              <w:bottom w:val="single" w:color="000000" w:sz="4" w:space="0"/>
              <w:right w:val="single" w:color="000000" w:sz="4" w:space="0"/>
            </w:tcBorders>
            <w:vAlign w:val="center"/>
          </w:tcPr>
          <w:p w14:paraId="4CB25472">
            <w:pPr>
              <w:pStyle w:val="28"/>
              <w:bidi w:val="0"/>
            </w:pPr>
            <w:r>
              <w:t>0.48%</w:t>
            </w:r>
          </w:p>
        </w:tc>
      </w:tr>
      <w:tr w14:paraId="54CFF79F">
        <w:tblPrEx>
          <w:tblCellMar>
            <w:top w:w="0" w:type="dxa"/>
            <w:left w:w="108" w:type="dxa"/>
            <w:bottom w:w="0" w:type="dxa"/>
            <w:right w:w="108" w:type="dxa"/>
          </w:tblCellMar>
        </w:tblPrEx>
        <w:trPr>
          <w:trHeight w:val="340" w:hRule="atLeast"/>
        </w:trPr>
        <w:tc>
          <w:tcPr>
            <w:tcW w:w="703" w:type="pct"/>
            <w:tcBorders>
              <w:top w:val="single" w:color="000000" w:sz="4" w:space="0"/>
              <w:left w:val="single" w:color="000000" w:sz="4" w:space="0"/>
              <w:bottom w:val="single" w:color="000000" w:sz="4" w:space="0"/>
              <w:right w:val="single" w:color="000000" w:sz="4" w:space="0"/>
            </w:tcBorders>
            <w:vAlign w:val="center"/>
          </w:tcPr>
          <w:p w14:paraId="09E157C0">
            <w:pPr>
              <w:pStyle w:val="28"/>
              <w:bidi w:val="0"/>
            </w:pPr>
            <w:r>
              <w:t>3</w:t>
            </w:r>
          </w:p>
        </w:tc>
        <w:tc>
          <w:tcPr>
            <w:tcW w:w="1686" w:type="pct"/>
            <w:tcBorders>
              <w:top w:val="single" w:color="000000" w:sz="4" w:space="0"/>
              <w:left w:val="single" w:color="000000" w:sz="4" w:space="0"/>
              <w:bottom w:val="single" w:color="000000" w:sz="4" w:space="0"/>
              <w:right w:val="single" w:color="000000" w:sz="4" w:space="0"/>
            </w:tcBorders>
            <w:vAlign w:val="center"/>
          </w:tcPr>
          <w:p w14:paraId="39B8A14D">
            <w:pPr>
              <w:pStyle w:val="28"/>
              <w:bidi w:val="0"/>
            </w:pPr>
            <w:r>
              <w:t>草地生态系统</w:t>
            </w:r>
          </w:p>
        </w:tc>
        <w:tc>
          <w:tcPr>
            <w:tcW w:w="1081" w:type="pct"/>
            <w:tcBorders>
              <w:top w:val="single" w:color="000000" w:sz="4" w:space="0"/>
              <w:left w:val="single" w:color="000000" w:sz="4" w:space="0"/>
              <w:bottom w:val="single" w:color="000000" w:sz="4" w:space="0"/>
              <w:right w:val="single" w:color="000000" w:sz="4" w:space="0"/>
            </w:tcBorders>
            <w:vAlign w:val="center"/>
          </w:tcPr>
          <w:p w14:paraId="7C449AE1">
            <w:pPr>
              <w:pStyle w:val="28"/>
              <w:bidi w:val="0"/>
            </w:pPr>
            <w:r>
              <w:t>255.03</w:t>
            </w:r>
          </w:p>
        </w:tc>
        <w:tc>
          <w:tcPr>
            <w:tcW w:w="1530" w:type="pct"/>
            <w:tcBorders>
              <w:top w:val="single" w:color="000000" w:sz="4" w:space="0"/>
              <w:left w:val="single" w:color="000000" w:sz="4" w:space="0"/>
              <w:bottom w:val="single" w:color="000000" w:sz="4" w:space="0"/>
              <w:right w:val="single" w:color="000000" w:sz="4" w:space="0"/>
            </w:tcBorders>
            <w:vAlign w:val="center"/>
          </w:tcPr>
          <w:p w14:paraId="0DFA73CB">
            <w:pPr>
              <w:pStyle w:val="28"/>
              <w:bidi w:val="0"/>
            </w:pPr>
            <w:r>
              <w:t>0.66%</w:t>
            </w:r>
          </w:p>
        </w:tc>
      </w:tr>
      <w:tr w14:paraId="0ED69765">
        <w:tblPrEx>
          <w:tblCellMar>
            <w:top w:w="0" w:type="dxa"/>
            <w:left w:w="108" w:type="dxa"/>
            <w:bottom w:w="0" w:type="dxa"/>
            <w:right w:w="108" w:type="dxa"/>
          </w:tblCellMar>
        </w:tblPrEx>
        <w:trPr>
          <w:trHeight w:val="340" w:hRule="atLeast"/>
        </w:trPr>
        <w:tc>
          <w:tcPr>
            <w:tcW w:w="703" w:type="pct"/>
            <w:tcBorders>
              <w:top w:val="single" w:color="000000" w:sz="4" w:space="0"/>
              <w:left w:val="single" w:color="000000" w:sz="4" w:space="0"/>
              <w:bottom w:val="single" w:color="000000" w:sz="4" w:space="0"/>
              <w:right w:val="single" w:color="000000" w:sz="4" w:space="0"/>
            </w:tcBorders>
            <w:vAlign w:val="center"/>
          </w:tcPr>
          <w:p w14:paraId="02120101">
            <w:pPr>
              <w:pStyle w:val="28"/>
              <w:bidi w:val="0"/>
            </w:pPr>
            <w:r>
              <w:t>4</w:t>
            </w:r>
          </w:p>
        </w:tc>
        <w:tc>
          <w:tcPr>
            <w:tcW w:w="1686" w:type="pct"/>
            <w:tcBorders>
              <w:top w:val="single" w:color="000000" w:sz="4" w:space="0"/>
              <w:left w:val="single" w:color="000000" w:sz="4" w:space="0"/>
              <w:bottom w:val="single" w:color="000000" w:sz="4" w:space="0"/>
              <w:right w:val="single" w:color="000000" w:sz="4" w:space="0"/>
            </w:tcBorders>
            <w:vAlign w:val="center"/>
          </w:tcPr>
          <w:p w14:paraId="0B054B2E">
            <w:pPr>
              <w:pStyle w:val="28"/>
              <w:bidi w:val="0"/>
            </w:pPr>
            <w:r>
              <w:t>农田生态系统</w:t>
            </w:r>
          </w:p>
        </w:tc>
        <w:tc>
          <w:tcPr>
            <w:tcW w:w="1081" w:type="pct"/>
            <w:tcBorders>
              <w:top w:val="single" w:color="000000" w:sz="4" w:space="0"/>
              <w:left w:val="single" w:color="000000" w:sz="4" w:space="0"/>
              <w:bottom w:val="single" w:color="000000" w:sz="4" w:space="0"/>
              <w:right w:val="single" w:color="000000" w:sz="4" w:space="0"/>
            </w:tcBorders>
            <w:vAlign w:val="center"/>
          </w:tcPr>
          <w:p w14:paraId="47D27144">
            <w:pPr>
              <w:pStyle w:val="28"/>
              <w:bidi w:val="0"/>
            </w:pPr>
            <w:r>
              <w:t>23816.17</w:t>
            </w:r>
          </w:p>
        </w:tc>
        <w:tc>
          <w:tcPr>
            <w:tcW w:w="1530" w:type="pct"/>
            <w:tcBorders>
              <w:top w:val="single" w:color="000000" w:sz="4" w:space="0"/>
              <w:left w:val="single" w:color="000000" w:sz="4" w:space="0"/>
              <w:bottom w:val="single" w:color="000000" w:sz="4" w:space="0"/>
              <w:right w:val="single" w:color="000000" w:sz="4" w:space="0"/>
            </w:tcBorders>
            <w:vAlign w:val="center"/>
          </w:tcPr>
          <w:p w14:paraId="56EE6E85">
            <w:pPr>
              <w:pStyle w:val="28"/>
              <w:bidi w:val="0"/>
            </w:pPr>
            <w:r>
              <w:t>61.89%</w:t>
            </w:r>
          </w:p>
        </w:tc>
      </w:tr>
      <w:tr w14:paraId="3FC65749">
        <w:tblPrEx>
          <w:tblCellMar>
            <w:top w:w="0" w:type="dxa"/>
            <w:left w:w="108" w:type="dxa"/>
            <w:bottom w:w="0" w:type="dxa"/>
            <w:right w:w="108" w:type="dxa"/>
          </w:tblCellMar>
        </w:tblPrEx>
        <w:trPr>
          <w:trHeight w:val="340" w:hRule="atLeast"/>
        </w:trPr>
        <w:tc>
          <w:tcPr>
            <w:tcW w:w="703" w:type="pct"/>
            <w:tcBorders>
              <w:top w:val="single" w:color="000000" w:sz="4" w:space="0"/>
              <w:left w:val="single" w:color="000000" w:sz="4" w:space="0"/>
              <w:bottom w:val="single" w:color="000000" w:sz="4" w:space="0"/>
              <w:right w:val="single" w:color="000000" w:sz="4" w:space="0"/>
            </w:tcBorders>
            <w:vAlign w:val="center"/>
          </w:tcPr>
          <w:p w14:paraId="2F05A47A">
            <w:pPr>
              <w:pStyle w:val="28"/>
              <w:bidi w:val="0"/>
            </w:pPr>
            <w:r>
              <w:t>5</w:t>
            </w:r>
          </w:p>
        </w:tc>
        <w:tc>
          <w:tcPr>
            <w:tcW w:w="1686" w:type="pct"/>
            <w:tcBorders>
              <w:top w:val="single" w:color="000000" w:sz="4" w:space="0"/>
              <w:left w:val="single" w:color="000000" w:sz="4" w:space="0"/>
              <w:bottom w:val="single" w:color="000000" w:sz="4" w:space="0"/>
              <w:right w:val="single" w:color="000000" w:sz="4" w:space="0"/>
            </w:tcBorders>
            <w:vAlign w:val="center"/>
          </w:tcPr>
          <w:p w14:paraId="682474F1">
            <w:pPr>
              <w:pStyle w:val="28"/>
              <w:bidi w:val="0"/>
            </w:pPr>
            <w:r>
              <w:t>湿地生态系统</w:t>
            </w:r>
          </w:p>
        </w:tc>
        <w:tc>
          <w:tcPr>
            <w:tcW w:w="1081" w:type="pct"/>
            <w:tcBorders>
              <w:top w:val="single" w:color="000000" w:sz="4" w:space="0"/>
              <w:left w:val="single" w:color="000000" w:sz="4" w:space="0"/>
              <w:bottom w:val="single" w:color="000000" w:sz="4" w:space="0"/>
              <w:right w:val="single" w:color="000000" w:sz="4" w:space="0"/>
            </w:tcBorders>
            <w:vAlign w:val="center"/>
          </w:tcPr>
          <w:p w14:paraId="479A04AC">
            <w:pPr>
              <w:pStyle w:val="28"/>
              <w:bidi w:val="0"/>
            </w:pPr>
            <w:r>
              <w:t>4482.50</w:t>
            </w:r>
          </w:p>
        </w:tc>
        <w:tc>
          <w:tcPr>
            <w:tcW w:w="1530" w:type="pct"/>
            <w:tcBorders>
              <w:top w:val="single" w:color="000000" w:sz="4" w:space="0"/>
              <w:left w:val="single" w:color="000000" w:sz="4" w:space="0"/>
              <w:bottom w:val="single" w:color="000000" w:sz="4" w:space="0"/>
              <w:right w:val="single" w:color="000000" w:sz="4" w:space="0"/>
            </w:tcBorders>
            <w:vAlign w:val="center"/>
          </w:tcPr>
          <w:p w14:paraId="4257DF1C">
            <w:pPr>
              <w:pStyle w:val="28"/>
              <w:bidi w:val="0"/>
            </w:pPr>
            <w:r>
              <w:t>11.65%</w:t>
            </w:r>
          </w:p>
        </w:tc>
      </w:tr>
      <w:tr w14:paraId="10683C95">
        <w:tblPrEx>
          <w:tblCellMar>
            <w:top w:w="0" w:type="dxa"/>
            <w:left w:w="108" w:type="dxa"/>
            <w:bottom w:w="0" w:type="dxa"/>
            <w:right w:w="108" w:type="dxa"/>
          </w:tblCellMar>
        </w:tblPrEx>
        <w:trPr>
          <w:trHeight w:val="340" w:hRule="atLeast"/>
        </w:trPr>
        <w:tc>
          <w:tcPr>
            <w:tcW w:w="703" w:type="pct"/>
            <w:tcBorders>
              <w:top w:val="single" w:color="000000" w:sz="4" w:space="0"/>
              <w:left w:val="single" w:color="000000" w:sz="4" w:space="0"/>
              <w:bottom w:val="single" w:color="000000" w:sz="4" w:space="0"/>
              <w:right w:val="single" w:color="000000" w:sz="4" w:space="0"/>
            </w:tcBorders>
            <w:vAlign w:val="center"/>
          </w:tcPr>
          <w:p w14:paraId="794493A0">
            <w:pPr>
              <w:pStyle w:val="28"/>
              <w:bidi w:val="0"/>
            </w:pPr>
            <w:r>
              <w:t>6</w:t>
            </w:r>
          </w:p>
        </w:tc>
        <w:tc>
          <w:tcPr>
            <w:tcW w:w="1686" w:type="pct"/>
            <w:tcBorders>
              <w:top w:val="single" w:color="000000" w:sz="4" w:space="0"/>
              <w:left w:val="single" w:color="000000" w:sz="4" w:space="0"/>
              <w:bottom w:val="single" w:color="000000" w:sz="4" w:space="0"/>
              <w:right w:val="single" w:color="000000" w:sz="4" w:space="0"/>
            </w:tcBorders>
            <w:vAlign w:val="center"/>
          </w:tcPr>
          <w:p w14:paraId="01C014E0">
            <w:pPr>
              <w:pStyle w:val="28"/>
              <w:bidi w:val="0"/>
            </w:pPr>
            <w:r>
              <w:t>城镇生态系统</w:t>
            </w:r>
          </w:p>
        </w:tc>
        <w:tc>
          <w:tcPr>
            <w:tcW w:w="1081" w:type="pct"/>
            <w:tcBorders>
              <w:top w:val="single" w:color="000000" w:sz="4" w:space="0"/>
              <w:left w:val="single" w:color="000000" w:sz="4" w:space="0"/>
              <w:bottom w:val="single" w:color="000000" w:sz="4" w:space="0"/>
              <w:right w:val="single" w:color="000000" w:sz="4" w:space="0"/>
            </w:tcBorders>
            <w:vAlign w:val="center"/>
          </w:tcPr>
          <w:p w14:paraId="4C38670B">
            <w:pPr>
              <w:pStyle w:val="28"/>
              <w:bidi w:val="0"/>
            </w:pPr>
            <w:r>
              <w:t>6742.80</w:t>
            </w:r>
          </w:p>
        </w:tc>
        <w:tc>
          <w:tcPr>
            <w:tcW w:w="1530" w:type="pct"/>
            <w:tcBorders>
              <w:top w:val="single" w:color="000000" w:sz="4" w:space="0"/>
              <w:left w:val="single" w:color="000000" w:sz="4" w:space="0"/>
              <w:bottom w:val="single" w:color="000000" w:sz="4" w:space="0"/>
              <w:right w:val="single" w:color="000000" w:sz="4" w:space="0"/>
            </w:tcBorders>
            <w:vAlign w:val="center"/>
          </w:tcPr>
          <w:p w14:paraId="777C0D69">
            <w:pPr>
              <w:pStyle w:val="28"/>
              <w:bidi w:val="0"/>
            </w:pPr>
            <w:r>
              <w:t>17.52%</w:t>
            </w:r>
          </w:p>
        </w:tc>
      </w:tr>
      <w:tr w14:paraId="7FD314C6">
        <w:tblPrEx>
          <w:tblCellMar>
            <w:top w:w="0" w:type="dxa"/>
            <w:left w:w="108" w:type="dxa"/>
            <w:bottom w:w="0" w:type="dxa"/>
            <w:right w:w="108" w:type="dxa"/>
          </w:tblCellMar>
        </w:tblPrEx>
        <w:trPr>
          <w:trHeight w:val="340" w:hRule="atLeast"/>
        </w:trPr>
        <w:tc>
          <w:tcPr>
            <w:tcW w:w="703" w:type="pct"/>
            <w:tcBorders>
              <w:top w:val="single" w:color="000000" w:sz="4" w:space="0"/>
              <w:left w:val="single" w:color="000000" w:sz="4" w:space="0"/>
              <w:bottom w:val="single" w:color="000000" w:sz="4" w:space="0"/>
              <w:right w:val="single" w:color="000000" w:sz="4" w:space="0"/>
            </w:tcBorders>
            <w:vAlign w:val="center"/>
          </w:tcPr>
          <w:p w14:paraId="6AA47259">
            <w:pPr>
              <w:pStyle w:val="28"/>
              <w:bidi w:val="0"/>
            </w:pPr>
          </w:p>
        </w:tc>
        <w:tc>
          <w:tcPr>
            <w:tcW w:w="1686" w:type="pct"/>
            <w:tcBorders>
              <w:top w:val="single" w:color="000000" w:sz="4" w:space="0"/>
              <w:left w:val="single" w:color="000000" w:sz="4" w:space="0"/>
              <w:bottom w:val="single" w:color="000000" w:sz="4" w:space="0"/>
              <w:right w:val="single" w:color="000000" w:sz="4" w:space="0"/>
            </w:tcBorders>
            <w:vAlign w:val="center"/>
          </w:tcPr>
          <w:p w14:paraId="1721074D">
            <w:pPr>
              <w:pStyle w:val="28"/>
              <w:bidi w:val="0"/>
            </w:pPr>
            <w:r>
              <w:t>总和</w:t>
            </w:r>
          </w:p>
        </w:tc>
        <w:tc>
          <w:tcPr>
            <w:tcW w:w="1081" w:type="pct"/>
            <w:tcBorders>
              <w:top w:val="single" w:color="000000" w:sz="4" w:space="0"/>
              <w:left w:val="single" w:color="000000" w:sz="4" w:space="0"/>
              <w:bottom w:val="single" w:color="000000" w:sz="4" w:space="0"/>
              <w:right w:val="single" w:color="000000" w:sz="4" w:space="0"/>
            </w:tcBorders>
            <w:vAlign w:val="center"/>
          </w:tcPr>
          <w:p w14:paraId="160C711E">
            <w:pPr>
              <w:pStyle w:val="28"/>
              <w:bidi w:val="0"/>
            </w:pPr>
            <w:r>
              <w:t>38483.37</w:t>
            </w:r>
          </w:p>
        </w:tc>
        <w:tc>
          <w:tcPr>
            <w:tcW w:w="1530" w:type="pct"/>
            <w:tcBorders>
              <w:top w:val="single" w:color="000000" w:sz="4" w:space="0"/>
              <w:left w:val="single" w:color="000000" w:sz="4" w:space="0"/>
              <w:bottom w:val="single" w:color="000000" w:sz="4" w:space="0"/>
              <w:right w:val="single" w:color="000000" w:sz="4" w:space="0"/>
            </w:tcBorders>
            <w:vAlign w:val="center"/>
          </w:tcPr>
          <w:p w14:paraId="12E656C7">
            <w:pPr>
              <w:pStyle w:val="28"/>
              <w:bidi w:val="0"/>
            </w:pPr>
            <w:r>
              <w:t>100.00%</w:t>
            </w:r>
          </w:p>
        </w:tc>
      </w:tr>
    </w:tbl>
    <w:p w14:paraId="2342B738">
      <w:pPr>
        <w:adjustRightInd w:val="0"/>
        <w:ind w:firstLine="480"/>
        <w:rPr>
          <w:rFonts w:ascii="宋体" w:hAnsi="宋体" w:cs="Times New Roman"/>
          <w:color w:val="0000FF"/>
        </w:rPr>
      </w:pPr>
      <w:r>
        <w:rPr>
          <w:rFonts w:hint="eastAsia" w:ascii="宋体" w:hAnsi="宋体" w:cs="Times New Roman"/>
          <w:color w:val="0000FF"/>
        </w:rPr>
        <w:t>可以看出，评价区最主要的生态系统类型为农田生态系统，其区域面积占比为</w:t>
      </w:r>
      <w:r>
        <w:rPr>
          <w:rFonts w:hint="eastAsia" w:cs="Times New Roman"/>
          <w:color w:val="0000FF"/>
        </w:rPr>
        <w:t>6</w:t>
      </w:r>
      <w:r>
        <w:rPr>
          <w:rFonts w:cs="Times New Roman"/>
          <w:color w:val="0000FF"/>
        </w:rPr>
        <w:t>1.89%</w:t>
      </w:r>
      <w:r>
        <w:rPr>
          <w:rFonts w:hint="eastAsia" w:ascii="宋体" w:hAnsi="宋体" w:cs="Times New Roman"/>
          <w:color w:val="0000FF"/>
        </w:rPr>
        <w:t>，城镇生态系统区域面积占比为</w:t>
      </w:r>
      <w:r>
        <w:rPr>
          <w:rFonts w:cs="Times New Roman"/>
          <w:color w:val="0000FF"/>
        </w:rPr>
        <w:t>17.524%</w:t>
      </w:r>
      <w:r>
        <w:rPr>
          <w:rFonts w:hint="eastAsia" w:ascii="宋体" w:hAnsi="宋体" w:cs="Times New Roman"/>
          <w:color w:val="0000FF"/>
        </w:rPr>
        <w:t>，湿地生态系统区域面积占比为</w:t>
      </w:r>
      <w:r>
        <w:rPr>
          <w:rFonts w:hint="eastAsia" w:cs="Times New Roman"/>
          <w:color w:val="0000FF"/>
        </w:rPr>
        <w:t>1</w:t>
      </w:r>
      <w:r>
        <w:rPr>
          <w:rFonts w:cs="Times New Roman"/>
          <w:color w:val="0000FF"/>
        </w:rPr>
        <w:t>1.65%</w:t>
      </w:r>
      <w:r>
        <w:rPr>
          <w:rFonts w:hint="eastAsia" w:ascii="宋体" w:hAnsi="宋体" w:cs="Times New Roman"/>
          <w:color w:val="0000FF"/>
        </w:rPr>
        <w:t>，森林生态系统区域面积占比为</w:t>
      </w:r>
      <w:r>
        <w:rPr>
          <w:rFonts w:cs="Times New Roman"/>
          <w:color w:val="0000FF"/>
        </w:rPr>
        <w:t>7.80%</w:t>
      </w:r>
      <w:r>
        <w:rPr>
          <w:rFonts w:hint="eastAsia" w:ascii="宋体" w:hAnsi="宋体" w:cs="Times New Roman"/>
          <w:color w:val="0000FF"/>
        </w:rPr>
        <w:t>，灌草丛生态系统区域面积占比为</w:t>
      </w:r>
      <w:r>
        <w:rPr>
          <w:rFonts w:cs="Times New Roman"/>
          <w:color w:val="0000FF"/>
        </w:rPr>
        <w:t>0.48%</w:t>
      </w:r>
      <w:r>
        <w:rPr>
          <w:rFonts w:hint="eastAsia" w:ascii="宋体" w:hAnsi="宋体" w:cs="Times New Roman"/>
          <w:color w:val="0000FF"/>
        </w:rPr>
        <w:t>。</w:t>
      </w:r>
    </w:p>
    <w:p w14:paraId="22A878BB">
      <w:pPr>
        <w:pStyle w:val="4"/>
        <w:bidi w:val="0"/>
      </w:pPr>
      <w:r>
        <w:t>4.3.6</w:t>
      </w:r>
      <w:r>
        <w:rPr>
          <w:rFonts w:hint="eastAsia"/>
          <w:lang w:val="en-US" w:eastAsia="zh-CN"/>
        </w:rPr>
        <w:t xml:space="preserve"> </w:t>
      </w:r>
      <w:r>
        <w:t>重要物种现状</w:t>
      </w:r>
    </w:p>
    <w:p w14:paraId="79979A74">
      <w:pPr>
        <w:pStyle w:val="5"/>
        <w:bidi w:val="0"/>
      </w:pPr>
      <w:r>
        <w:t>4.3.6.1</w:t>
      </w:r>
      <w:r>
        <w:rPr>
          <w:rFonts w:hint="eastAsia"/>
          <w:lang w:val="en-US" w:eastAsia="zh-CN"/>
        </w:rPr>
        <w:t xml:space="preserve"> </w:t>
      </w:r>
      <w:r>
        <w:t>重点保护野生植物</w:t>
      </w:r>
    </w:p>
    <w:p w14:paraId="36F5F5EB">
      <w:pPr>
        <w:adjustRightInd w:val="0"/>
        <w:ind w:firstLine="480"/>
        <w:rPr>
          <w:rFonts w:cs="Times New Roman"/>
        </w:rPr>
      </w:pPr>
      <w:r>
        <w:rPr>
          <w:rFonts w:hint="eastAsia" w:cs="Times New Roman"/>
        </w:rPr>
        <w:t>通过查询《国家重点保护野生植物名录》、《安徽重点保护野生植物名录》等资料可知，在评价范围内有国家Ⅱ级保护植物野大豆的分布，工程范围不涉及野大豆的栖息地，但项目在施工时，特别是基础开挖时，如遇到珍稀濒危植物，仍应采取措施进行保护。</w:t>
      </w:r>
    </w:p>
    <w:p w14:paraId="6DBC3636">
      <w:pPr>
        <w:adjustRightInd w:val="0"/>
        <w:ind w:firstLine="480"/>
        <w:rPr>
          <w:rFonts w:cs="Times New Roman"/>
        </w:rPr>
      </w:pPr>
      <w:r>
        <w:rPr>
          <w:rFonts w:hint="eastAsia" w:cs="Times New Roman"/>
        </w:rPr>
        <w:t>野大豆喜水耐湿，在评价区广泛分布，多生于河流沿岸、湿草地、湖边、沼泽附近或灌丛中，通常匍匐于地面或缠绕它物，形成单一种群群落；或与其它湿地植物混生，零星分布不形成群落，在群落中没有固定分布形式。</w:t>
      </w:r>
    </w:p>
    <w:p w14:paraId="5088645D">
      <w:pPr>
        <w:adjustRightInd w:val="0"/>
        <w:ind w:firstLine="480"/>
        <w:rPr>
          <w:rFonts w:cs="Times New Roman"/>
        </w:rPr>
      </w:pPr>
      <w:r>
        <w:rPr>
          <w:rFonts w:hint="eastAsia" w:cs="Times New Roman"/>
        </w:rPr>
        <w:t>评价区珍稀濒危野生植物分布情况见附图66~71。</w:t>
      </w:r>
    </w:p>
    <w:p w14:paraId="273DAD22">
      <w:pPr>
        <w:pStyle w:val="29"/>
        <w:bidi w:val="0"/>
      </w:pPr>
      <w:r>
        <w:t>表</w:t>
      </w:r>
      <w:r>
        <w:rPr>
          <w:rFonts w:hint="eastAsia"/>
          <w:lang w:eastAsia="zh-CN"/>
        </w:rPr>
        <w:t>4.3</w:t>
      </w:r>
      <w:r>
        <w:t>-16  重要野生动物调查结果统计表</w:t>
      </w:r>
    </w:p>
    <w:tbl>
      <w:tblPr>
        <w:tblStyle w:val="16"/>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02"/>
        <w:gridCol w:w="1539"/>
        <w:gridCol w:w="746"/>
        <w:gridCol w:w="658"/>
        <w:gridCol w:w="582"/>
        <w:gridCol w:w="971"/>
        <w:gridCol w:w="2817"/>
        <w:gridCol w:w="658"/>
        <w:gridCol w:w="814"/>
      </w:tblGrid>
      <w:tr w14:paraId="0DDE75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70" w:type="pct"/>
            <w:vAlign w:val="center"/>
          </w:tcPr>
          <w:p w14:paraId="58D4DD88">
            <w:pPr>
              <w:pStyle w:val="28"/>
              <w:bidi w:val="0"/>
            </w:pPr>
            <w:r>
              <w:rPr>
                <w:rFonts w:hint="eastAsia"/>
              </w:rPr>
              <w:t>序号</w:t>
            </w:r>
          </w:p>
        </w:tc>
        <w:tc>
          <w:tcPr>
            <w:tcW w:w="828" w:type="pct"/>
            <w:vAlign w:val="center"/>
          </w:tcPr>
          <w:p w14:paraId="558BA6AD">
            <w:pPr>
              <w:pStyle w:val="28"/>
              <w:bidi w:val="0"/>
            </w:pPr>
            <w:r>
              <w:t>物种名称</w:t>
            </w:r>
          </w:p>
        </w:tc>
        <w:tc>
          <w:tcPr>
            <w:tcW w:w="401" w:type="pct"/>
            <w:vAlign w:val="center"/>
          </w:tcPr>
          <w:p w14:paraId="5889B8BD">
            <w:pPr>
              <w:pStyle w:val="28"/>
              <w:bidi w:val="0"/>
            </w:pPr>
            <w:r>
              <w:t>保护级别</w:t>
            </w:r>
          </w:p>
        </w:tc>
        <w:tc>
          <w:tcPr>
            <w:tcW w:w="354" w:type="pct"/>
            <w:vAlign w:val="center"/>
          </w:tcPr>
          <w:p w14:paraId="3A31B51A">
            <w:pPr>
              <w:pStyle w:val="28"/>
              <w:bidi w:val="0"/>
            </w:pPr>
            <w:r>
              <w:t>濒危等级</w:t>
            </w:r>
          </w:p>
        </w:tc>
        <w:tc>
          <w:tcPr>
            <w:tcW w:w="313" w:type="pct"/>
            <w:vAlign w:val="center"/>
          </w:tcPr>
          <w:p w14:paraId="26D2FF9E">
            <w:pPr>
              <w:pStyle w:val="28"/>
              <w:bidi w:val="0"/>
            </w:pPr>
            <w:r>
              <w:t>特有种</w:t>
            </w:r>
          </w:p>
        </w:tc>
        <w:tc>
          <w:tcPr>
            <w:tcW w:w="522" w:type="pct"/>
            <w:vAlign w:val="center"/>
          </w:tcPr>
          <w:p w14:paraId="0576A303">
            <w:pPr>
              <w:pStyle w:val="28"/>
              <w:bidi w:val="0"/>
            </w:pPr>
            <w:r>
              <w:t>极小种群野生植物</w:t>
            </w:r>
          </w:p>
        </w:tc>
        <w:tc>
          <w:tcPr>
            <w:tcW w:w="1515" w:type="pct"/>
            <w:vAlign w:val="center"/>
          </w:tcPr>
          <w:p w14:paraId="73880590">
            <w:pPr>
              <w:pStyle w:val="28"/>
              <w:bidi w:val="0"/>
            </w:pPr>
            <w:r>
              <w:t>分布区域</w:t>
            </w:r>
          </w:p>
        </w:tc>
        <w:tc>
          <w:tcPr>
            <w:tcW w:w="354" w:type="pct"/>
            <w:vAlign w:val="center"/>
          </w:tcPr>
          <w:p w14:paraId="2C80B6F0">
            <w:pPr>
              <w:pStyle w:val="28"/>
              <w:bidi w:val="0"/>
            </w:pPr>
            <w:r>
              <w:t>资料来源</w:t>
            </w:r>
          </w:p>
        </w:tc>
        <w:tc>
          <w:tcPr>
            <w:tcW w:w="438" w:type="pct"/>
            <w:vAlign w:val="center"/>
          </w:tcPr>
          <w:p w14:paraId="5AF50E75">
            <w:pPr>
              <w:pStyle w:val="28"/>
              <w:bidi w:val="0"/>
            </w:pPr>
            <w:r>
              <w:rPr>
                <w:rFonts w:hint="eastAsia"/>
              </w:rPr>
              <w:t>工程占用情况</w:t>
            </w:r>
          </w:p>
        </w:tc>
      </w:tr>
      <w:tr w14:paraId="36B71A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70" w:type="pct"/>
            <w:vAlign w:val="center"/>
          </w:tcPr>
          <w:p w14:paraId="20E80BAE">
            <w:pPr>
              <w:pStyle w:val="28"/>
              <w:bidi w:val="0"/>
            </w:pPr>
            <w:r>
              <w:rPr>
                <w:rFonts w:hint="eastAsia"/>
              </w:rPr>
              <w:t>1</w:t>
            </w:r>
          </w:p>
        </w:tc>
        <w:tc>
          <w:tcPr>
            <w:tcW w:w="828" w:type="pct"/>
            <w:vAlign w:val="center"/>
          </w:tcPr>
          <w:p w14:paraId="0407BB59">
            <w:pPr>
              <w:pStyle w:val="28"/>
              <w:bidi w:val="0"/>
            </w:pPr>
            <w:r>
              <w:t>野大豆</w:t>
            </w:r>
            <w:r>
              <w:rPr>
                <w:rFonts w:hint="eastAsia"/>
              </w:rPr>
              <w:t>（</w:t>
            </w:r>
            <w:r>
              <w:t>Glycine soja</w:t>
            </w:r>
            <w:r>
              <w:rPr>
                <w:rFonts w:hint="eastAsia"/>
              </w:rPr>
              <w:t>）</w:t>
            </w:r>
          </w:p>
        </w:tc>
        <w:tc>
          <w:tcPr>
            <w:tcW w:w="401" w:type="pct"/>
            <w:vAlign w:val="center"/>
          </w:tcPr>
          <w:p w14:paraId="5777AA87">
            <w:pPr>
              <w:pStyle w:val="28"/>
              <w:bidi w:val="0"/>
            </w:pPr>
            <w:r>
              <w:t>国Ⅱ</w:t>
            </w:r>
          </w:p>
        </w:tc>
        <w:tc>
          <w:tcPr>
            <w:tcW w:w="354" w:type="pct"/>
            <w:vAlign w:val="center"/>
          </w:tcPr>
          <w:p w14:paraId="40194544">
            <w:pPr>
              <w:pStyle w:val="28"/>
              <w:bidi w:val="0"/>
            </w:pPr>
            <w:r>
              <w:t>渐危</w:t>
            </w:r>
          </w:p>
        </w:tc>
        <w:tc>
          <w:tcPr>
            <w:tcW w:w="313" w:type="pct"/>
            <w:vAlign w:val="center"/>
          </w:tcPr>
          <w:p w14:paraId="4E45C651">
            <w:pPr>
              <w:pStyle w:val="28"/>
              <w:bidi w:val="0"/>
            </w:pPr>
            <w:r>
              <w:t>否</w:t>
            </w:r>
          </w:p>
        </w:tc>
        <w:tc>
          <w:tcPr>
            <w:tcW w:w="522" w:type="pct"/>
            <w:vAlign w:val="center"/>
          </w:tcPr>
          <w:p w14:paraId="428AE438">
            <w:pPr>
              <w:pStyle w:val="28"/>
              <w:bidi w:val="0"/>
            </w:pPr>
            <w:r>
              <w:t>否</w:t>
            </w:r>
          </w:p>
        </w:tc>
        <w:tc>
          <w:tcPr>
            <w:tcW w:w="1515" w:type="pct"/>
            <w:vAlign w:val="center"/>
          </w:tcPr>
          <w:p w14:paraId="42C72230">
            <w:pPr>
              <w:pStyle w:val="28"/>
              <w:bidi w:val="0"/>
            </w:pPr>
            <w:r>
              <w:rPr>
                <w:rFonts w:hint="eastAsia"/>
              </w:rPr>
              <w:t>广泛分布，主要分布于林下层、河流等水域沿岸，基本与其他湿生植物混生，实地调查过程中在聚星渡槽周边发现</w:t>
            </w:r>
          </w:p>
        </w:tc>
        <w:tc>
          <w:tcPr>
            <w:tcW w:w="354" w:type="pct"/>
            <w:vAlign w:val="center"/>
          </w:tcPr>
          <w:p w14:paraId="4126E8A3">
            <w:pPr>
              <w:pStyle w:val="28"/>
              <w:bidi w:val="0"/>
            </w:pPr>
            <w:r>
              <w:t>《安徽重点保护野生植物名录》</w:t>
            </w:r>
          </w:p>
        </w:tc>
        <w:tc>
          <w:tcPr>
            <w:tcW w:w="438" w:type="pct"/>
            <w:vAlign w:val="center"/>
          </w:tcPr>
          <w:p w14:paraId="32D9E117">
            <w:pPr>
              <w:pStyle w:val="28"/>
              <w:bidi w:val="0"/>
            </w:pPr>
            <w:r>
              <w:rPr>
                <w:rFonts w:hint="eastAsia"/>
              </w:rPr>
              <w:t>否</w:t>
            </w:r>
          </w:p>
        </w:tc>
      </w:tr>
    </w:tbl>
    <w:p w14:paraId="7081812C">
      <w:pPr>
        <w:spacing w:line="240" w:lineRule="auto"/>
        <w:rPr>
          <w:color w:val="0000FF"/>
        </w:rPr>
      </w:pPr>
    </w:p>
    <w:p w14:paraId="0BD96DAB">
      <w:pPr>
        <w:pStyle w:val="5"/>
        <w:bidi w:val="0"/>
      </w:pPr>
      <w:r>
        <w:rPr>
          <w:rFonts w:hint="eastAsia"/>
        </w:rPr>
        <w:t>4</w:t>
      </w:r>
      <w:r>
        <w:t>.3.6.3</w:t>
      </w:r>
      <w:r>
        <w:rPr>
          <w:rFonts w:hint="eastAsia"/>
          <w:lang w:val="en-US" w:eastAsia="zh-CN"/>
        </w:rPr>
        <w:t xml:space="preserve"> </w:t>
      </w:r>
      <w:r>
        <w:rPr>
          <w:rFonts w:hint="eastAsia"/>
        </w:rPr>
        <w:t>重点保护野生动物</w:t>
      </w:r>
    </w:p>
    <w:p w14:paraId="7D01030D">
      <w:pPr>
        <w:ind w:firstLine="480"/>
      </w:pPr>
      <w:r>
        <w:rPr>
          <w:rFonts w:hint="eastAsia" w:cs="Times New Roman"/>
        </w:rPr>
        <w:t>野外实地未记录有国家级重点保护野生动物</w:t>
      </w:r>
      <w:r>
        <w:rPr>
          <w:rFonts w:cs="Times New Roman"/>
        </w:rPr>
        <w:t>。</w:t>
      </w:r>
    </w:p>
    <w:p w14:paraId="29BAF32B">
      <w:pPr>
        <w:pStyle w:val="4"/>
        <w:bidi w:val="0"/>
      </w:pPr>
      <w:r>
        <w:t>4.3.7</w:t>
      </w:r>
      <w:r>
        <w:rPr>
          <w:rFonts w:hint="eastAsia"/>
          <w:lang w:val="en-US" w:eastAsia="zh-CN"/>
        </w:rPr>
        <w:t xml:space="preserve"> </w:t>
      </w:r>
      <w:r>
        <w:t>主要生态问题</w:t>
      </w:r>
    </w:p>
    <w:p w14:paraId="7F8639D5">
      <w:pPr>
        <w:pStyle w:val="5"/>
        <w:bidi w:val="0"/>
      </w:pPr>
      <w:r>
        <w:t>4.3.7.1</w:t>
      </w:r>
      <w:r>
        <w:rPr>
          <w:rFonts w:hint="eastAsia"/>
          <w:lang w:val="en-US" w:eastAsia="zh-CN"/>
        </w:rPr>
        <w:t xml:space="preserve"> </w:t>
      </w:r>
      <w:r>
        <w:t>生物入侵</w:t>
      </w:r>
    </w:p>
    <w:p w14:paraId="295FA309">
      <w:pPr>
        <w:ind w:firstLine="480"/>
        <w:rPr>
          <w:rFonts w:cs="Times New Roman"/>
          <w:bCs/>
        </w:rPr>
      </w:pPr>
      <w:r>
        <w:rPr>
          <w:rFonts w:cs="Times New Roman"/>
          <w:bCs/>
        </w:rPr>
        <w:t>通过现场调查结合中国外来入侵物种名单，判定评价区分布的入侵物种种类有</w:t>
      </w:r>
      <w:r>
        <w:rPr>
          <w:rFonts w:hint="eastAsia" w:cs="Times New Roman"/>
          <w:bCs/>
        </w:rPr>
        <w:t>7</w:t>
      </w:r>
      <w:r>
        <w:rPr>
          <w:rFonts w:cs="Times New Roman"/>
          <w:bCs/>
        </w:rPr>
        <w:t>种，均为植物，其中入侵危害等级为1级（恶性入侵类）的有小蓬草、一年蓬</w:t>
      </w:r>
      <w:r>
        <w:rPr>
          <w:rFonts w:hint="eastAsia" w:cs="Times New Roman"/>
          <w:bCs/>
        </w:rPr>
        <w:t>、喜旱莲子草</w:t>
      </w:r>
      <w:r>
        <w:rPr>
          <w:rFonts w:cs="Times New Roman"/>
          <w:bCs/>
        </w:rPr>
        <w:t>（表</w:t>
      </w:r>
      <w:r>
        <w:rPr>
          <w:rFonts w:hint="eastAsia" w:cs="Times New Roman"/>
          <w:bCs/>
          <w:color w:val="0000FF"/>
          <w:lang w:eastAsia="zh-CN"/>
        </w:rPr>
        <w:t>4.3</w:t>
      </w:r>
      <w:r>
        <w:rPr>
          <w:rFonts w:cs="Times New Roman"/>
          <w:bCs/>
          <w:color w:val="0000FF"/>
        </w:rPr>
        <w:t>-1</w:t>
      </w:r>
      <w:r>
        <w:rPr>
          <w:rFonts w:hint="eastAsia" w:cs="Times New Roman"/>
          <w:bCs/>
          <w:color w:val="0000FF"/>
        </w:rPr>
        <w:t>9</w:t>
      </w:r>
      <w:r>
        <w:rPr>
          <w:rFonts w:cs="Times New Roman"/>
          <w:bCs/>
          <w:color w:val="0000FF"/>
        </w:rPr>
        <w:t>），</w:t>
      </w:r>
      <w:r>
        <w:rPr>
          <w:rFonts w:cs="Times New Roman"/>
          <w:bCs/>
        </w:rPr>
        <w:t>对评价区生态现状质量影响较大。其他入侵物种均为一般入侵类或有待观察类、建议排除类，对评价区的危害相对较小。</w:t>
      </w:r>
    </w:p>
    <w:p w14:paraId="5F3DF27B">
      <w:pPr>
        <w:ind w:firstLine="480" w:firstLineChars="200"/>
        <w:rPr>
          <w:rFonts w:cs="Times New Roman"/>
          <w:bCs/>
        </w:rPr>
      </w:pPr>
      <w:r>
        <w:rPr>
          <w:rFonts w:cs="Times New Roman"/>
          <w:bCs/>
        </w:rPr>
        <w:t>（1）一年蓬</w:t>
      </w:r>
    </w:p>
    <w:p w14:paraId="4EE7E15C">
      <w:pPr>
        <w:ind w:firstLine="480"/>
        <w:rPr>
          <w:rFonts w:cs="Times New Roman"/>
          <w:bCs/>
        </w:rPr>
      </w:pPr>
      <w:r>
        <w:rPr>
          <w:rFonts w:cs="Times New Roman"/>
          <w:bCs/>
        </w:rPr>
        <w:t>菊科飞蓬属植物，被列入第三批中国外来入侵物种名录。原产北美洲，在我国各地均可见，评价区内分布于聚星渡槽周边。</w:t>
      </w:r>
    </w:p>
    <w:p w14:paraId="52B6A1B3">
      <w:pPr>
        <w:ind w:firstLine="480"/>
        <w:rPr>
          <w:rFonts w:cs="Times New Roman"/>
          <w:bCs/>
        </w:rPr>
      </w:pPr>
      <w:r>
        <w:rPr>
          <w:rFonts w:cs="Times New Roman"/>
          <w:bCs/>
        </w:rPr>
        <w:t>入侵危害：一年蓬产生的大量瘦果借冠毛随风扩散，蔓延极快，对作物、桑园、果园、苗圃等危害严重，也常入侵湿草地、旷野、路旁、河谷或疏林下，排挤本土植物。该植物还是害虫地老虎的宿主。</w:t>
      </w:r>
    </w:p>
    <w:p w14:paraId="4B893ABC">
      <w:pPr>
        <w:ind w:firstLine="480"/>
        <w:rPr>
          <w:rFonts w:cs="Times New Roman"/>
          <w:bCs/>
        </w:rPr>
      </w:pPr>
      <w:r>
        <w:rPr>
          <w:rFonts w:cs="Times New Roman"/>
          <w:bCs/>
        </w:rPr>
        <w:t>控制建议：对料场4周边分布的一年蓬，可在开花前拔除或化学防治，先人工去除其果实，用袋子包好，再拔除，或结合化学防治。</w:t>
      </w:r>
    </w:p>
    <w:p w14:paraId="27604BC2">
      <w:pPr>
        <w:ind w:firstLine="480" w:firstLineChars="200"/>
        <w:rPr>
          <w:rFonts w:cs="Times New Roman"/>
          <w:bCs/>
        </w:rPr>
      </w:pPr>
      <w:r>
        <w:rPr>
          <w:rFonts w:cs="Times New Roman"/>
          <w:bCs/>
        </w:rPr>
        <w:t>（</w:t>
      </w:r>
      <w:r>
        <w:rPr>
          <w:rFonts w:hint="eastAsia" w:cs="Times New Roman"/>
          <w:bCs/>
        </w:rPr>
        <w:t>2</w:t>
      </w:r>
      <w:r>
        <w:rPr>
          <w:rFonts w:cs="Times New Roman"/>
          <w:bCs/>
        </w:rPr>
        <w:t>）小蓬草</w:t>
      </w:r>
    </w:p>
    <w:p w14:paraId="421E0836">
      <w:pPr>
        <w:ind w:firstLine="480"/>
        <w:rPr>
          <w:rFonts w:cs="Times New Roman"/>
          <w:bCs/>
        </w:rPr>
      </w:pPr>
      <w:r>
        <w:rPr>
          <w:rFonts w:cs="Times New Roman"/>
          <w:bCs/>
        </w:rPr>
        <w:t>菊科飞蓬属植物，被列入第三批中国外来入侵物种名录。原产北美洲，在我国各地均可见，是我国分布最广的入侵物种之一。评价区内广泛分布。</w:t>
      </w:r>
    </w:p>
    <w:p w14:paraId="35EAF73D">
      <w:pPr>
        <w:ind w:firstLine="480"/>
        <w:rPr>
          <w:rFonts w:cs="Times New Roman"/>
          <w:bCs/>
        </w:rPr>
      </w:pPr>
      <w:r>
        <w:rPr>
          <w:rFonts w:cs="Times New Roman"/>
          <w:bCs/>
        </w:rPr>
        <w:t>入侵危害：小蓬草可产生大量瘦果，蔓延极快，对秋收作物、果园和茶园危害严重，为一种常见杂草，通过分泌化感物质抑制邻近其他植物的生长。小蓬草是棉铃虫和棉蝽象的中间宿主，其叶汁和捣碎的叶对皮肤有刺激作用。</w:t>
      </w:r>
    </w:p>
    <w:p w14:paraId="3EC47DF9">
      <w:pPr>
        <w:ind w:firstLine="480"/>
        <w:rPr>
          <w:rFonts w:cs="Times New Roman"/>
          <w:bCs/>
        </w:rPr>
      </w:pPr>
      <w:r>
        <w:rPr>
          <w:rFonts w:cs="Times New Roman"/>
          <w:bCs/>
        </w:rPr>
        <w:t>控制建议：重点对项目周边分布的小蓬草进行清除，从而尽量避免施工过程中可能导致的人为传播。可通过苗期人工拔除，化学防治可在苗期使用绿麦隆，或在早春使用2</w:t>
      </w:r>
      <w:r>
        <w:rPr>
          <w:rFonts w:hint="eastAsia" w:cs="Times New Roman"/>
          <w:bCs/>
        </w:rPr>
        <w:t>，</w:t>
      </w:r>
      <w:r>
        <w:rPr>
          <w:rFonts w:cs="Times New Roman"/>
          <w:bCs/>
        </w:rPr>
        <w:t>4-D丁酯防除。</w:t>
      </w:r>
    </w:p>
    <w:p w14:paraId="40826614">
      <w:pPr>
        <w:tabs>
          <w:tab w:val="left" w:pos="315"/>
          <w:tab w:val="left" w:pos="425"/>
        </w:tabs>
        <w:ind w:firstLine="480" w:firstLineChars="200"/>
        <w:rPr>
          <w:rFonts w:cs="Times New Roman"/>
        </w:rPr>
      </w:pPr>
      <w:r>
        <w:rPr>
          <w:rFonts w:cs="Times New Roman"/>
        </w:rPr>
        <w:t>（</w:t>
      </w:r>
      <w:r>
        <w:rPr>
          <w:rFonts w:hint="eastAsia" w:cs="Times New Roman"/>
        </w:rPr>
        <w:t>3</w:t>
      </w:r>
      <w:r>
        <w:rPr>
          <w:rFonts w:cs="Times New Roman"/>
        </w:rPr>
        <w:t>）喜旱莲子草</w:t>
      </w:r>
    </w:p>
    <w:p w14:paraId="7E21B842">
      <w:pPr>
        <w:ind w:firstLine="480"/>
        <w:rPr>
          <w:rFonts w:cs="Times New Roman"/>
        </w:rPr>
      </w:pPr>
      <w:r>
        <w:rPr>
          <w:rFonts w:cs="Times New Roman"/>
        </w:rPr>
        <w:t>苋科多年生草本，被列入第一批中国外来入侵物种名录，以茎节行营养繁殖，在我国各地均可见，评价区内广泛分布。</w:t>
      </w:r>
    </w:p>
    <w:p w14:paraId="285558E4">
      <w:pPr>
        <w:ind w:firstLine="480"/>
        <w:rPr>
          <w:rFonts w:cs="Times New Roman"/>
          <w:bCs/>
        </w:rPr>
      </w:pPr>
      <w:r>
        <w:rPr>
          <w:rFonts w:cs="Times New Roman"/>
          <w:bCs/>
        </w:rPr>
        <w:t>入侵危害：喜旱莲子草的大量生长可能导致阻塞航道，影响水上交通、排挤其它植物，使群落物种单一化、覆盖水面，影响鱼类的生长和捕捞、在田间危害作物，致产量受损、影响农田排灌、破坏景观、滋生蚊蝇等。</w:t>
      </w:r>
    </w:p>
    <w:p w14:paraId="5CC14A11">
      <w:pPr>
        <w:ind w:firstLine="480"/>
        <w:rPr>
          <w:rFonts w:cs="Times New Roman"/>
          <w:bCs/>
        </w:rPr>
      </w:pPr>
      <w:r>
        <w:rPr>
          <w:rFonts w:cs="Times New Roman"/>
          <w:bCs/>
        </w:rPr>
        <w:t>控制建议：使用机械，人工防除或采用草甘膦、农达、水花生净除草剂作化学防除，短期内对地上部分有效。</w:t>
      </w:r>
    </w:p>
    <w:p w14:paraId="1C51AC34">
      <w:pPr>
        <w:adjustRightInd w:val="0"/>
        <w:jc w:val="center"/>
        <w:rPr>
          <w:rFonts w:eastAsia="黑体" w:cs="Times New Roman"/>
        </w:rPr>
      </w:pPr>
      <w:r>
        <w:rPr>
          <w:rFonts w:eastAsia="黑体" w:cs="Times New Roman"/>
        </w:rPr>
        <w:t>表</w:t>
      </w:r>
      <w:r>
        <w:rPr>
          <w:rFonts w:hint="eastAsia" w:eastAsia="黑体" w:cs="Times New Roman"/>
          <w:lang w:eastAsia="zh-CN"/>
        </w:rPr>
        <w:t>4.3</w:t>
      </w:r>
      <w:r>
        <w:rPr>
          <w:rFonts w:eastAsia="黑体" w:cs="Times New Roman"/>
        </w:rPr>
        <w:t>-19  评级区主要外来入侵植物</w:t>
      </w:r>
    </w:p>
    <w:tbl>
      <w:tblPr>
        <w:tblStyle w:val="16"/>
        <w:tblW w:w="515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03"/>
        <w:gridCol w:w="948"/>
        <w:gridCol w:w="1597"/>
        <w:gridCol w:w="2726"/>
        <w:gridCol w:w="1013"/>
        <w:gridCol w:w="2576"/>
      </w:tblGrid>
      <w:tr w14:paraId="3F628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tcBorders>
              <w:top w:val="single" w:color="auto" w:sz="4" w:space="0"/>
              <w:left w:val="single" w:color="auto" w:sz="4" w:space="0"/>
              <w:bottom w:val="single" w:color="auto" w:sz="4" w:space="0"/>
              <w:right w:val="single" w:color="auto" w:sz="4" w:space="0"/>
            </w:tcBorders>
            <w:noWrap/>
            <w:vAlign w:val="center"/>
          </w:tcPr>
          <w:p w14:paraId="2B9C2E9B">
            <w:pPr>
              <w:pStyle w:val="28"/>
              <w:bidi w:val="0"/>
            </w:pPr>
            <w:r>
              <w:t>序号</w:t>
            </w:r>
          </w:p>
        </w:tc>
        <w:tc>
          <w:tcPr>
            <w:tcW w:w="506" w:type="pct"/>
            <w:tcBorders>
              <w:top w:val="single" w:color="auto" w:sz="4" w:space="0"/>
              <w:left w:val="single" w:color="auto" w:sz="4" w:space="0"/>
              <w:bottom w:val="single" w:color="auto" w:sz="4" w:space="0"/>
              <w:right w:val="single" w:color="auto" w:sz="4" w:space="0"/>
            </w:tcBorders>
            <w:noWrap/>
            <w:vAlign w:val="center"/>
          </w:tcPr>
          <w:p w14:paraId="5A78343A">
            <w:pPr>
              <w:pStyle w:val="28"/>
              <w:bidi w:val="0"/>
            </w:pPr>
            <w:r>
              <w:t>批次</w:t>
            </w:r>
          </w:p>
        </w:tc>
        <w:tc>
          <w:tcPr>
            <w:tcW w:w="853" w:type="pct"/>
            <w:tcBorders>
              <w:top w:val="single" w:color="auto" w:sz="4" w:space="0"/>
              <w:left w:val="single" w:color="auto" w:sz="4" w:space="0"/>
              <w:bottom w:val="single" w:color="auto" w:sz="4" w:space="0"/>
              <w:right w:val="single" w:color="auto" w:sz="4" w:space="0"/>
            </w:tcBorders>
            <w:noWrap/>
            <w:vAlign w:val="center"/>
          </w:tcPr>
          <w:p w14:paraId="6EEA3E56">
            <w:pPr>
              <w:pStyle w:val="28"/>
              <w:bidi w:val="0"/>
            </w:pPr>
            <w:r>
              <w:t>种名</w:t>
            </w:r>
          </w:p>
        </w:tc>
        <w:tc>
          <w:tcPr>
            <w:tcW w:w="1455" w:type="pct"/>
            <w:tcBorders>
              <w:top w:val="single" w:color="auto" w:sz="4" w:space="0"/>
              <w:left w:val="single" w:color="auto" w:sz="4" w:space="0"/>
              <w:bottom w:val="single" w:color="auto" w:sz="4" w:space="0"/>
              <w:right w:val="single" w:color="auto" w:sz="4" w:space="0"/>
            </w:tcBorders>
            <w:noWrap/>
            <w:vAlign w:val="center"/>
          </w:tcPr>
          <w:p w14:paraId="6BC3917E">
            <w:pPr>
              <w:pStyle w:val="28"/>
              <w:bidi w:val="0"/>
            </w:pPr>
            <w:r>
              <w:t>学名</w:t>
            </w:r>
          </w:p>
        </w:tc>
        <w:tc>
          <w:tcPr>
            <w:tcW w:w="541" w:type="pct"/>
            <w:tcBorders>
              <w:top w:val="single" w:color="auto" w:sz="4" w:space="0"/>
              <w:left w:val="single" w:color="auto" w:sz="4" w:space="0"/>
              <w:bottom w:val="single" w:color="auto" w:sz="4" w:space="0"/>
              <w:right w:val="single" w:color="auto" w:sz="4" w:space="0"/>
            </w:tcBorders>
            <w:noWrap/>
            <w:vAlign w:val="center"/>
          </w:tcPr>
          <w:p w14:paraId="0220966E">
            <w:pPr>
              <w:pStyle w:val="28"/>
              <w:bidi w:val="0"/>
            </w:pPr>
            <w:r>
              <w:t>危害等级</w:t>
            </w:r>
          </w:p>
        </w:tc>
        <w:tc>
          <w:tcPr>
            <w:tcW w:w="1374" w:type="pct"/>
            <w:tcBorders>
              <w:top w:val="single" w:color="auto" w:sz="4" w:space="0"/>
              <w:left w:val="single" w:color="auto" w:sz="4" w:space="0"/>
              <w:bottom w:val="single" w:color="auto" w:sz="4" w:space="0"/>
              <w:right w:val="single" w:color="auto" w:sz="4" w:space="0"/>
            </w:tcBorders>
            <w:noWrap/>
            <w:vAlign w:val="center"/>
          </w:tcPr>
          <w:p w14:paraId="73077FB3">
            <w:pPr>
              <w:pStyle w:val="28"/>
              <w:bidi w:val="0"/>
            </w:pPr>
            <w:r>
              <w:t>分布情况</w:t>
            </w:r>
          </w:p>
        </w:tc>
      </w:tr>
      <w:tr w14:paraId="17EF0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tcBorders>
              <w:top w:val="single" w:color="auto" w:sz="4" w:space="0"/>
              <w:left w:val="single" w:color="auto" w:sz="4" w:space="0"/>
              <w:bottom w:val="single" w:color="auto" w:sz="4" w:space="0"/>
              <w:right w:val="single" w:color="auto" w:sz="4" w:space="0"/>
            </w:tcBorders>
            <w:noWrap/>
            <w:vAlign w:val="center"/>
          </w:tcPr>
          <w:p w14:paraId="475AA06E">
            <w:pPr>
              <w:pStyle w:val="28"/>
              <w:bidi w:val="0"/>
            </w:pPr>
            <w:r>
              <w:t>1</w:t>
            </w:r>
          </w:p>
        </w:tc>
        <w:tc>
          <w:tcPr>
            <w:tcW w:w="506" w:type="pct"/>
            <w:tcBorders>
              <w:top w:val="single" w:color="auto" w:sz="4" w:space="0"/>
              <w:left w:val="single" w:color="auto" w:sz="4" w:space="0"/>
              <w:bottom w:val="single" w:color="auto" w:sz="4" w:space="0"/>
              <w:right w:val="single" w:color="auto" w:sz="4" w:space="0"/>
            </w:tcBorders>
            <w:noWrap/>
            <w:vAlign w:val="center"/>
          </w:tcPr>
          <w:p w14:paraId="1B3FE428">
            <w:pPr>
              <w:pStyle w:val="28"/>
              <w:bidi w:val="0"/>
            </w:pPr>
            <w:r>
              <w:t>第3批</w:t>
            </w:r>
          </w:p>
        </w:tc>
        <w:tc>
          <w:tcPr>
            <w:tcW w:w="853" w:type="pct"/>
            <w:tcBorders>
              <w:top w:val="single" w:color="auto" w:sz="4" w:space="0"/>
              <w:left w:val="single" w:color="auto" w:sz="4" w:space="0"/>
              <w:bottom w:val="single" w:color="auto" w:sz="4" w:space="0"/>
              <w:right w:val="single" w:color="auto" w:sz="4" w:space="0"/>
            </w:tcBorders>
            <w:noWrap/>
            <w:vAlign w:val="center"/>
          </w:tcPr>
          <w:p w14:paraId="78256950">
            <w:pPr>
              <w:pStyle w:val="28"/>
              <w:bidi w:val="0"/>
            </w:pPr>
            <w:r>
              <w:t>一年蓬</w:t>
            </w:r>
          </w:p>
        </w:tc>
        <w:tc>
          <w:tcPr>
            <w:tcW w:w="1455" w:type="pct"/>
            <w:tcBorders>
              <w:top w:val="single" w:color="auto" w:sz="4" w:space="0"/>
              <w:left w:val="single" w:color="auto" w:sz="4" w:space="0"/>
              <w:bottom w:val="single" w:color="auto" w:sz="4" w:space="0"/>
              <w:right w:val="single" w:color="auto" w:sz="4" w:space="0"/>
            </w:tcBorders>
            <w:noWrap/>
            <w:vAlign w:val="center"/>
          </w:tcPr>
          <w:p w14:paraId="226467EA">
            <w:pPr>
              <w:pStyle w:val="28"/>
              <w:bidi w:val="0"/>
            </w:pPr>
            <w:r>
              <w:t>Erigeron annuus</w:t>
            </w:r>
          </w:p>
        </w:tc>
        <w:tc>
          <w:tcPr>
            <w:tcW w:w="541" w:type="pct"/>
            <w:tcBorders>
              <w:top w:val="single" w:color="auto" w:sz="4" w:space="0"/>
              <w:left w:val="single" w:color="auto" w:sz="4" w:space="0"/>
              <w:bottom w:val="single" w:color="auto" w:sz="4" w:space="0"/>
              <w:right w:val="single" w:color="auto" w:sz="4" w:space="0"/>
            </w:tcBorders>
            <w:noWrap/>
            <w:vAlign w:val="center"/>
          </w:tcPr>
          <w:p w14:paraId="23C70A07">
            <w:pPr>
              <w:pStyle w:val="28"/>
              <w:bidi w:val="0"/>
            </w:pPr>
            <w:r>
              <w:t>1</w:t>
            </w:r>
          </w:p>
        </w:tc>
        <w:tc>
          <w:tcPr>
            <w:tcW w:w="1374" w:type="pct"/>
            <w:tcBorders>
              <w:top w:val="single" w:color="auto" w:sz="4" w:space="0"/>
              <w:left w:val="single" w:color="auto" w:sz="4" w:space="0"/>
              <w:right w:val="single" w:color="auto" w:sz="4" w:space="0"/>
            </w:tcBorders>
            <w:noWrap/>
            <w:vAlign w:val="center"/>
          </w:tcPr>
          <w:p w14:paraId="2D80510D">
            <w:pPr>
              <w:pStyle w:val="28"/>
              <w:bidi w:val="0"/>
            </w:pPr>
            <w:r>
              <w:t>聚星渡槽周边</w:t>
            </w:r>
          </w:p>
        </w:tc>
      </w:tr>
      <w:tr w14:paraId="18BDC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tcBorders>
              <w:top w:val="single" w:color="auto" w:sz="4" w:space="0"/>
              <w:left w:val="single" w:color="auto" w:sz="4" w:space="0"/>
              <w:bottom w:val="single" w:color="auto" w:sz="4" w:space="0"/>
              <w:right w:val="single" w:color="auto" w:sz="4" w:space="0"/>
            </w:tcBorders>
            <w:noWrap/>
            <w:vAlign w:val="center"/>
          </w:tcPr>
          <w:p w14:paraId="21531A23">
            <w:pPr>
              <w:pStyle w:val="28"/>
              <w:bidi w:val="0"/>
            </w:pPr>
            <w:r>
              <w:rPr>
                <w:rFonts w:hint="eastAsia"/>
              </w:rPr>
              <w:t>2</w:t>
            </w:r>
          </w:p>
        </w:tc>
        <w:tc>
          <w:tcPr>
            <w:tcW w:w="506" w:type="pct"/>
            <w:tcBorders>
              <w:top w:val="single" w:color="auto" w:sz="4" w:space="0"/>
              <w:left w:val="single" w:color="auto" w:sz="4" w:space="0"/>
              <w:bottom w:val="single" w:color="auto" w:sz="4" w:space="0"/>
              <w:right w:val="single" w:color="auto" w:sz="4" w:space="0"/>
            </w:tcBorders>
            <w:noWrap/>
            <w:vAlign w:val="center"/>
          </w:tcPr>
          <w:p w14:paraId="7738449B">
            <w:pPr>
              <w:pStyle w:val="28"/>
              <w:bidi w:val="0"/>
            </w:pPr>
            <w:r>
              <w:t>第3批</w:t>
            </w:r>
          </w:p>
        </w:tc>
        <w:tc>
          <w:tcPr>
            <w:tcW w:w="853" w:type="pct"/>
            <w:tcBorders>
              <w:top w:val="single" w:color="auto" w:sz="4" w:space="0"/>
              <w:left w:val="single" w:color="auto" w:sz="4" w:space="0"/>
              <w:bottom w:val="single" w:color="auto" w:sz="4" w:space="0"/>
              <w:right w:val="single" w:color="auto" w:sz="4" w:space="0"/>
            </w:tcBorders>
            <w:noWrap/>
            <w:vAlign w:val="center"/>
          </w:tcPr>
          <w:p w14:paraId="4B8905E8">
            <w:pPr>
              <w:pStyle w:val="28"/>
              <w:bidi w:val="0"/>
            </w:pPr>
            <w:r>
              <w:t>小蓬草</w:t>
            </w:r>
          </w:p>
        </w:tc>
        <w:tc>
          <w:tcPr>
            <w:tcW w:w="1455" w:type="pct"/>
            <w:tcBorders>
              <w:top w:val="single" w:color="auto" w:sz="4" w:space="0"/>
              <w:left w:val="single" w:color="auto" w:sz="4" w:space="0"/>
              <w:bottom w:val="single" w:color="auto" w:sz="4" w:space="0"/>
              <w:right w:val="single" w:color="auto" w:sz="4" w:space="0"/>
            </w:tcBorders>
            <w:noWrap/>
            <w:vAlign w:val="center"/>
          </w:tcPr>
          <w:p w14:paraId="48A62AB2">
            <w:pPr>
              <w:pStyle w:val="28"/>
              <w:bidi w:val="0"/>
            </w:pPr>
            <w:r>
              <w:t>Erigeron canadensis</w:t>
            </w:r>
          </w:p>
        </w:tc>
        <w:tc>
          <w:tcPr>
            <w:tcW w:w="541" w:type="pct"/>
            <w:tcBorders>
              <w:top w:val="single" w:color="auto" w:sz="4" w:space="0"/>
              <w:left w:val="single" w:color="auto" w:sz="4" w:space="0"/>
              <w:bottom w:val="single" w:color="auto" w:sz="4" w:space="0"/>
              <w:right w:val="single" w:color="auto" w:sz="4" w:space="0"/>
            </w:tcBorders>
            <w:noWrap/>
            <w:vAlign w:val="center"/>
          </w:tcPr>
          <w:p w14:paraId="6F4F0B0F">
            <w:pPr>
              <w:pStyle w:val="28"/>
              <w:bidi w:val="0"/>
            </w:pPr>
            <w:r>
              <w:t>1</w:t>
            </w:r>
          </w:p>
        </w:tc>
        <w:tc>
          <w:tcPr>
            <w:tcW w:w="1374" w:type="pct"/>
            <w:tcBorders>
              <w:left w:val="single" w:color="auto" w:sz="4" w:space="0"/>
              <w:right w:val="single" w:color="auto" w:sz="4" w:space="0"/>
            </w:tcBorders>
            <w:noWrap/>
            <w:vAlign w:val="center"/>
          </w:tcPr>
          <w:p w14:paraId="2669AD2A">
            <w:pPr>
              <w:pStyle w:val="28"/>
              <w:bidi w:val="0"/>
            </w:pPr>
            <w:r>
              <w:t>评价区广泛分布</w:t>
            </w:r>
          </w:p>
        </w:tc>
      </w:tr>
      <w:tr w14:paraId="69A16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7" w:hRule="atLeast"/>
          <w:jc w:val="center"/>
        </w:trPr>
        <w:tc>
          <w:tcPr>
            <w:tcW w:w="269" w:type="pct"/>
            <w:tcBorders>
              <w:top w:val="single" w:color="auto" w:sz="4" w:space="0"/>
              <w:left w:val="single" w:color="auto" w:sz="4" w:space="0"/>
              <w:bottom w:val="single" w:color="auto" w:sz="4" w:space="0"/>
              <w:right w:val="single" w:color="auto" w:sz="4" w:space="0"/>
            </w:tcBorders>
            <w:noWrap/>
            <w:vAlign w:val="center"/>
          </w:tcPr>
          <w:p w14:paraId="414DB99C">
            <w:pPr>
              <w:pStyle w:val="28"/>
              <w:bidi w:val="0"/>
            </w:pPr>
            <w:r>
              <w:rPr>
                <w:rFonts w:hint="eastAsia"/>
              </w:rPr>
              <w:t>3</w:t>
            </w:r>
          </w:p>
        </w:tc>
        <w:tc>
          <w:tcPr>
            <w:tcW w:w="506" w:type="pct"/>
            <w:tcBorders>
              <w:top w:val="single" w:color="auto" w:sz="4" w:space="0"/>
              <w:left w:val="single" w:color="auto" w:sz="4" w:space="0"/>
              <w:bottom w:val="single" w:color="auto" w:sz="4" w:space="0"/>
              <w:right w:val="single" w:color="auto" w:sz="4" w:space="0"/>
            </w:tcBorders>
            <w:noWrap/>
            <w:vAlign w:val="center"/>
          </w:tcPr>
          <w:p w14:paraId="50F26FF0">
            <w:pPr>
              <w:pStyle w:val="28"/>
              <w:bidi w:val="0"/>
            </w:pPr>
            <w:r>
              <w:t>第1批</w:t>
            </w:r>
          </w:p>
        </w:tc>
        <w:tc>
          <w:tcPr>
            <w:tcW w:w="853" w:type="pct"/>
            <w:tcBorders>
              <w:top w:val="single" w:color="auto" w:sz="4" w:space="0"/>
              <w:left w:val="single" w:color="auto" w:sz="4" w:space="0"/>
              <w:bottom w:val="single" w:color="auto" w:sz="4" w:space="0"/>
              <w:right w:val="single" w:color="auto" w:sz="4" w:space="0"/>
            </w:tcBorders>
            <w:noWrap/>
            <w:vAlign w:val="center"/>
          </w:tcPr>
          <w:p w14:paraId="4A394156">
            <w:pPr>
              <w:pStyle w:val="28"/>
              <w:bidi w:val="0"/>
            </w:pPr>
            <w:r>
              <w:t>喜旱莲子草</w:t>
            </w:r>
          </w:p>
        </w:tc>
        <w:tc>
          <w:tcPr>
            <w:tcW w:w="1455" w:type="pct"/>
            <w:tcBorders>
              <w:top w:val="single" w:color="auto" w:sz="4" w:space="0"/>
              <w:left w:val="single" w:color="auto" w:sz="4" w:space="0"/>
              <w:bottom w:val="single" w:color="auto" w:sz="4" w:space="0"/>
              <w:right w:val="single" w:color="auto" w:sz="4" w:space="0"/>
            </w:tcBorders>
            <w:noWrap/>
            <w:vAlign w:val="center"/>
          </w:tcPr>
          <w:p w14:paraId="2346CC33">
            <w:pPr>
              <w:pStyle w:val="28"/>
              <w:bidi w:val="0"/>
            </w:pPr>
            <w:r>
              <w:t>Alternanthera philoxeroides</w:t>
            </w:r>
          </w:p>
        </w:tc>
        <w:tc>
          <w:tcPr>
            <w:tcW w:w="541" w:type="pct"/>
            <w:tcBorders>
              <w:top w:val="single" w:color="auto" w:sz="4" w:space="0"/>
              <w:left w:val="single" w:color="auto" w:sz="4" w:space="0"/>
              <w:bottom w:val="single" w:color="auto" w:sz="4" w:space="0"/>
              <w:right w:val="single" w:color="auto" w:sz="4" w:space="0"/>
            </w:tcBorders>
            <w:noWrap/>
            <w:vAlign w:val="center"/>
          </w:tcPr>
          <w:p w14:paraId="0B2EA9A0">
            <w:pPr>
              <w:pStyle w:val="28"/>
              <w:bidi w:val="0"/>
            </w:pPr>
            <w:r>
              <w:t>1</w:t>
            </w:r>
          </w:p>
        </w:tc>
        <w:tc>
          <w:tcPr>
            <w:tcW w:w="1374" w:type="pct"/>
            <w:tcBorders>
              <w:left w:val="single" w:color="auto" w:sz="4" w:space="0"/>
              <w:right w:val="single" w:color="auto" w:sz="4" w:space="0"/>
            </w:tcBorders>
            <w:noWrap/>
            <w:vAlign w:val="center"/>
          </w:tcPr>
          <w:p w14:paraId="55B05C13">
            <w:pPr>
              <w:pStyle w:val="28"/>
              <w:bidi w:val="0"/>
            </w:pPr>
            <w:r>
              <w:t>评价区广泛分布</w:t>
            </w:r>
          </w:p>
        </w:tc>
      </w:tr>
    </w:tbl>
    <w:p w14:paraId="5CE33FAF">
      <w:pPr>
        <w:spacing w:line="240" w:lineRule="auto"/>
        <w:jc w:val="center"/>
        <w:rPr>
          <w:rFonts w:cs="Times New Roman"/>
          <w:bCs/>
          <w:color w:val="0000FF"/>
          <w:sz w:val="21"/>
          <w:szCs w:val="21"/>
        </w:rPr>
      </w:pPr>
    </w:p>
    <w:p w14:paraId="043BC8BE">
      <w:pPr>
        <w:pStyle w:val="5"/>
        <w:bidi w:val="0"/>
      </w:pPr>
      <w:r>
        <w:t>4.3.7.2</w:t>
      </w:r>
      <w:r>
        <w:rPr>
          <w:rFonts w:hint="eastAsia"/>
          <w:lang w:val="en-US" w:eastAsia="zh-CN"/>
        </w:rPr>
        <w:t xml:space="preserve"> </w:t>
      </w:r>
      <w:r>
        <w:t>污染危害</w:t>
      </w:r>
    </w:p>
    <w:p w14:paraId="2403452B">
      <w:pPr>
        <w:ind w:firstLine="480"/>
        <w:rPr>
          <w:rFonts w:cs="Times New Roman"/>
          <w:bCs/>
        </w:rPr>
      </w:pPr>
      <w:r>
        <w:rPr>
          <w:rFonts w:cs="Times New Roman"/>
          <w:bCs/>
        </w:rPr>
        <w:t>大面积的农作物种植会导致农业面源污染，这在评价区较为常见，主要表现为：</w:t>
      </w:r>
    </w:p>
    <w:p w14:paraId="57D710DA">
      <w:pPr>
        <w:ind w:firstLine="480"/>
        <w:rPr>
          <w:rFonts w:cs="Times New Roman"/>
          <w:bCs/>
        </w:rPr>
      </w:pPr>
      <w:r>
        <w:rPr>
          <w:rFonts w:cs="Times New Roman"/>
          <w:bCs/>
        </w:rPr>
        <w:t>农药化肥的大量使用，残留物可能会随地表径流等进入到周边水体；项目区周边存在大面积耕地、村庄（产生农村生活污水、生活垃圾），秸秆、畜禽粪便等农业废弃物的排放，也可能成为周边水体水质恶化的威胁因素。</w:t>
      </w:r>
      <w:r>
        <w:rPr>
          <w:rFonts w:cs="Times New Roman"/>
          <w:lang w:bidi="ar"/>
        </w:rPr>
        <w:t>许多残余物进入水体后，由于生物的富集作用，在鱼类、水禽体内积聚起来，致使繁殖力降低或中毒死亡。</w:t>
      </w:r>
    </w:p>
    <w:p w14:paraId="0717583B">
      <w:pPr>
        <w:ind w:firstLine="480"/>
        <w:rPr>
          <w:rFonts w:cs="Times New Roman"/>
          <w:bCs/>
        </w:rPr>
      </w:pPr>
      <w:r>
        <w:rPr>
          <w:rFonts w:cs="Times New Roman"/>
          <w:bCs/>
        </w:rPr>
        <w:t>残存于农田土壤中地膜，造成耕地理化性状恶化、通透性变差，或随风吹雨冲，四处飘溢，污染环境。</w:t>
      </w:r>
    </w:p>
    <w:p w14:paraId="171763E2">
      <w:pPr>
        <w:pStyle w:val="4"/>
        <w:bidi w:val="0"/>
      </w:pPr>
      <w:r>
        <w:t>4.3.8生态敏感区</w:t>
      </w:r>
    </w:p>
    <w:p w14:paraId="69B861FC">
      <w:pPr>
        <w:outlineLvl w:val="3"/>
        <w:rPr>
          <w:rFonts w:cs="Times New Roman"/>
          <w:bCs/>
          <w:color w:val="0000FF"/>
        </w:rPr>
      </w:pPr>
      <w:r>
        <w:rPr>
          <w:rFonts w:cs="Times New Roman"/>
          <w:bCs/>
          <w:color w:val="0000FF"/>
        </w:rPr>
        <w:t>4.3.8.1</w:t>
      </w:r>
    </w:p>
    <w:p w14:paraId="6B9298FF">
      <w:pPr>
        <w:ind w:firstLine="480" w:firstLineChars="200"/>
        <w:rPr>
          <w:bCs/>
          <w:color w:val="0000FF"/>
        </w:rPr>
      </w:pPr>
      <w:r>
        <w:rPr>
          <w:rFonts w:hint="eastAsia"/>
          <w:bCs/>
          <w:color w:val="0000FF"/>
        </w:rPr>
        <w:t>（1）主要保护对象</w:t>
      </w:r>
    </w:p>
    <w:p w14:paraId="677DCA26">
      <w:pPr>
        <w:ind w:firstLine="480" w:firstLineChars="200"/>
        <w:rPr>
          <w:color w:val="0000FF"/>
        </w:rPr>
      </w:pPr>
      <w:r>
        <w:rPr>
          <w:rFonts w:hint="eastAsia"/>
          <w:color w:val="0000FF"/>
        </w:rPr>
        <w:t>（2）功能区划</w:t>
      </w:r>
    </w:p>
    <w:p w14:paraId="15D4F9C7">
      <w:pPr>
        <w:ind w:firstLine="480" w:firstLineChars="200"/>
        <w:rPr>
          <w:color w:val="0000FF"/>
        </w:rPr>
      </w:pPr>
      <w:bookmarkStart w:id="57" w:name="_Hlk137804968"/>
      <w:r>
        <w:rPr>
          <w:rFonts w:hint="eastAsia"/>
          <w:color w:val="0000FF"/>
        </w:rPr>
        <w:t>（3）保护要求</w:t>
      </w:r>
    </w:p>
    <w:bookmarkEnd w:id="57"/>
    <w:p w14:paraId="324C8EB2">
      <w:pPr>
        <w:rPr>
          <w:color w:val="0000FF"/>
        </w:rPr>
      </w:pPr>
      <w:r>
        <w:rPr>
          <w:rFonts w:hint="eastAsia"/>
          <w:color w:val="0000FF"/>
        </w:rPr>
        <w:t>（4）生态和保护现状</w:t>
      </w:r>
    </w:p>
    <w:p w14:paraId="54135571">
      <w:pPr>
        <w:ind w:firstLine="480" w:firstLineChars="200"/>
        <w:rPr>
          <w:color w:val="0000FF"/>
        </w:rPr>
      </w:pPr>
      <w:r>
        <w:rPr>
          <w:rFonts w:hint="eastAsia"/>
          <w:color w:val="0000FF"/>
        </w:rPr>
        <w:t>（5）项目与保护区功能分区位置关系</w:t>
      </w:r>
    </w:p>
    <w:p w14:paraId="1F525316">
      <w:pPr>
        <w:rPr>
          <w:color w:val="0000FF"/>
        </w:rPr>
      </w:pPr>
      <w:r>
        <w:rPr>
          <w:rFonts w:hint="eastAsia"/>
          <w:color w:val="0000FF"/>
        </w:rPr>
        <w:t>（6）项目与保护区主要保护对象位置关系</w:t>
      </w:r>
    </w:p>
    <w:p w14:paraId="444E630E">
      <w:pPr>
        <w:tabs>
          <w:tab w:val="left" w:pos="315"/>
          <w:tab w:val="left" w:pos="425"/>
        </w:tabs>
        <w:ind w:firstLine="480" w:firstLineChars="200"/>
        <w:rPr>
          <w:rFonts w:cs="Times New Roman"/>
          <w:color w:val="0000FF"/>
        </w:rPr>
        <w:sectPr>
          <w:pgSz w:w="11905" w:h="16838"/>
          <w:pgMar w:top="1417" w:right="1417" w:bottom="1417" w:left="1417" w:header="850" w:footer="850" w:gutter="0"/>
          <w:pgNumType w:fmt="decimal"/>
          <w:cols w:space="0" w:num="1"/>
          <w:rtlGutter w:val="0"/>
          <w:docGrid w:linePitch="326" w:charSpace="0"/>
        </w:sectPr>
      </w:pPr>
    </w:p>
    <w:p w14:paraId="3EC7A0CF">
      <w:pPr>
        <w:pStyle w:val="2"/>
        <w:bidi w:val="0"/>
      </w:pPr>
      <w:bookmarkStart w:id="58" w:name="_Toc17753"/>
      <w:r>
        <w:t>5 环境影响预测与评价</w:t>
      </w:r>
      <w:bookmarkEnd w:id="58"/>
    </w:p>
    <w:p w14:paraId="0A90E9C7">
      <w:pPr>
        <w:bidi w:val="0"/>
      </w:pPr>
      <w:r>
        <w:t>本工程主要通过对</w:t>
      </w:r>
      <w:r>
        <w:rPr>
          <w:rFonts w:hint="eastAsia"/>
        </w:rPr>
        <w:t>朱集灌区</w:t>
      </w:r>
      <w:r>
        <w:t>内部分区域进行渠道清淤、渠道岸坡护砌以及渠系建筑物的改造等，可以改善</w:t>
      </w:r>
      <w:r>
        <w:rPr>
          <w:rFonts w:hint="eastAsia"/>
        </w:rPr>
        <w:t>朱集灌区</w:t>
      </w:r>
      <w:r>
        <w:t>农业生产条件，提高水资源利用率，提高渠系水利用能力，保证供水安全，促进区域农村经济可持续发展。</w:t>
      </w:r>
    </w:p>
    <w:p w14:paraId="19F9543A">
      <w:pPr>
        <w:pStyle w:val="3"/>
        <w:bidi w:val="0"/>
      </w:pPr>
      <w:bookmarkStart w:id="59" w:name="_Toc13153"/>
      <w:r>
        <w:t>5.1 水文情势影响分析</w:t>
      </w:r>
      <w:bookmarkEnd w:id="59"/>
    </w:p>
    <w:p w14:paraId="6E1262A8">
      <w:pPr>
        <w:pStyle w:val="4"/>
        <w:bidi w:val="0"/>
      </w:pPr>
      <w:r>
        <w:t>5.1.1 施工期水文情势影响分析</w:t>
      </w:r>
    </w:p>
    <w:p w14:paraId="35F1AA0B">
      <w:pPr>
        <w:ind w:firstLine="480"/>
        <w:rPr>
          <w:rFonts w:cs="Times New Roman"/>
          <w:color w:val="0000FF"/>
        </w:rPr>
      </w:pPr>
      <w:r>
        <w:rPr>
          <w:rFonts w:cs="Times New Roman"/>
          <w:color w:val="0000FF"/>
        </w:rPr>
        <w:t>本工程主要施工内容包括渠道清淤工程、堤防加固工程、渠道断面整治、渠道建筑物及桥梁工程等。导流时段选择在10月～次年4月，总干渠及有供水功能的渠道选择在10月～次年4月中的停水间歇期导流。</w:t>
      </w:r>
    </w:p>
    <w:p w14:paraId="604091BB">
      <w:pPr>
        <w:ind w:firstLine="480"/>
        <w:rPr>
          <w:rFonts w:cs="Times New Roman"/>
          <w:color w:val="0000FF"/>
        </w:rPr>
      </w:pPr>
      <w:r>
        <w:rPr>
          <w:rFonts w:cs="Times New Roman"/>
          <w:color w:val="0000FF"/>
        </w:rPr>
        <w:t>导流方式为工程上下游截断渠道形成基坑或者半幅围封筑袋装土围堰围挡维修部位，旱地施工。其中涉及天然水体的渡槽、渠下涵埋设涵管导流。樊通桥渠下涵加固采用</w:t>
      </w:r>
      <w:r>
        <w:rPr>
          <w:rFonts w:hint="eastAsia" w:cs="Times New Roman"/>
          <w:color w:val="0000FF"/>
        </w:rPr>
        <w:t>“</w:t>
      </w:r>
      <w:r>
        <w:rPr>
          <w:rFonts w:cs="Times New Roman"/>
          <w:color w:val="0000FF"/>
        </w:rPr>
        <w:t>河道调蓄+明管导流</w:t>
      </w:r>
      <w:r>
        <w:rPr>
          <w:rFonts w:hint="eastAsia" w:cs="Times New Roman"/>
          <w:color w:val="0000FF"/>
        </w:rPr>
        <w:t>”</w:t>
      </w:r>
      <w:r>
        <w:rPr>
          <w:rFonts w:cs="Times New Roman"/>
          <w:color w:val="0000FF"/>
        </w:rPr>
        <w:t>的方式导流。</w:t>
      </w:r>
    </w:p>
    <w:p w14:paraId="014839EB">
      <w:pPr>
        <w:ind w:firstLine="480"/>
        <w:rPr>
          <w:rFonts w:cs="Times New Roman"/>
          <w:color w:val="0000FF"/>
        </w:rPr>
      </w:pPr>
      <w:r>
        <w:rPr>
          <w:rFonts w:cs="Times New Roman"/>
          <w:color w:val="0000FF"/>
        </w:rPr>
        <w:t>截断的水体基本为灌溉渠道，施工期现状无水或有水无流，施工时间较短，施工完成后即恢复连通；天然水体基本通过涵管，不断流。遇来水较大时暂停施工，退水后复工。</w:t>
      </w:r>
    </w:p>
    <w:p w14:paraId="5C11A967">
      <w:pPr>
        <w:ind w:firstLine="480"/>
        <w:rPr>
          <w:rFonts w:cs="Times New Roman"/>
          <w:color w:val="0000FF"/>
        </w:rPr>
      </w:pPr>
      <w:r>
        <w:rPr>
          <w:rFonts w:hint="eastAsia" w:cs="Times New Roman"/>
          <w:color w:val="0000FF"/>
        </w:rPr>
        <w:t>龙河口水库水源经淠河输送至横排头枢纽，横排头枢纽下游为，淠河总干渠从横排头枢纽东侧的横排头进水闸引水。本次横排头进水闸出口翼墙加固工程施工前在非灌溉期停水间歇设置围堰导流，围堰填筑后形成干地施工。非灌溉期停水间歇横排头进水闸闸门关闭，施工围堰填筑与无水力联系，施工过程施工场地与淠河总干渠、均无水联系，工程施工对的水源水位、流速、流量、水面宽均无影响。</w:t>
      </w:r>
    </w:p>
    <w:p w14:paraId="025B2672">
      <w:pPr>
        <w:ind w:firstLine="480"/>
        <w:rPr>
          <w:rFonts w:cs="Times New Roman"/>
          <w:color w:val="0000FF"/>
        </w:rPr>
      </w:pPr>
      <w:r>
        <w:rPr>
          <w:rFonts w:cs="Times New Roman"/>
          <w:color w:val="0000FF"/>
        </w:rPr>
        <w:t>因此，施工期对灌区地表水水文情势影响较小。</w:t>
      </w:r>
    </w:p>
    <w:p w14:paraId="090B5C58">
      <w:pPr>
        <w:pStyle w:val="4"/>
        <w:rPr>
          <w:rFonts w:cs="Times New Roman"/>
          <w:color w:val="0000FF"/>
        </w:rPr>
      </w:pPr>
      <w:r>
        <w:rPr>
          <w:rFonts w:cs="Times New Roman"/>
          <w:color w:val="0000FF"/>
        </w:rPr>
        <w:t>5.1.2 运行期水文情势影响分析</w:t>
      </w:r>
    </w:p>
    <w:p w14:paraId="4416C128">
      <w:pPr>
        <w:ind w:firstLine="480" w:firstLineChars="200"/>
        <w:rPr>
          <w:rFonts w:cs="Times New Roman"/>
          <w:color w:val="0000FF"/>
        </w:rPr>
      </w:pPr>
      <w:r>
        <w:rPr>
          <w:rFonts w:cs="Times New Roman"/>
          <w:color w:val="0000FF"/>
        </w:rPr>
        <w:t>本次工程为安徽省</w:t>
      </w:r>
      <w:r>
        <w:rPr>
          <w:rFonts w:hint="eastAsia" w:cs="Times New Roman"/>
          <w:color w:val="0000FF"/>
          <w:lang w:eastAsia="zh-CN"/>
        </w:rPr>
        <w:t>朱集灌区</w:t>
      </w:r>
      <w:r>
        <w:rPr>
          <w:rFonts w:cs="Times New Roman"/>
          <w:color w:val="0000FF"/>
        </w:rPr>
        <w:t>的续建配套与现代化改造工程，工程内容主要是</w:t>
      </w:r>
      <w:r>
        <w:rPr>
          <w:rFonts w:hint="eastAsia" w:cs="Times New Roman"/>
          <w:color w:val="0000FF"/>
        </w:rPr>
        <w:t>对现有</w:t>
      </w:r>
      <w:r>
        <w:rPr>
          <w:rFonts w:cs="Times New Roman"/>
          <w:color w:val="0000FF"/>
        </w:rPr>
        <w:t>老化、损毁的渠道和渠系建筑物进行拆除重建或者维修加固，对现有不满足工程设计和管理要求的渠系建筑物进行新建改造，对现有支渠配套不完善的进水闸、节制闸、放水涵、渡槽以及跌水进行续建，工程建设改变了现状部分渠道断面、改变了渠系建筑物的数量和运行调度情况，对水库、河流以及干支渠水文情势产生一定的影响。</w:t>
      </w:r>
    </w:p>
    <w:p w14:paraId="1C8CDF60">
      <w:pPr>
        <w:pStyle w:val="5"/>
        <w:rPr>
          <w:rFonts w:cs="Times New Roman"/>
          <w:color w:val="0000FF"/>
        </w:rPr>
      </w:pPr>
      <w:r>
        <w:rPr>
          <w:rFonts w:cs="Times New Roman"/>
          <w:color w:val="0000FF"/>
        </w:rPr>
        <w:t>5.1.2.1 水源水库及下游河流</w:t>
      </w:r>
    </w:p>
    <w:p w14:paraId="69E2FA02">
      <w:pPr>
        <w:ind w:firstLine="480" w:firstLineChars="200"/>
        <w:rPr>
          <w:rFonts w:cs="Times New Roman"/>
          <w:color w:val="0000FF"/>
        </w:rPr>
      </w:pPr>
      <w:r>
        <w:rPr>
          <w:rFonts w:cs="Times New Roman"/>
          <w:color w:val="0000FF"/>
        </w:rPr>
        <w:t>淠河灌区位于安徽省中西部六安市、淮南市及合肥市境内，属江淮丘陵地区，为安徽省</w:t>
      </w:r>
      <w:r>
        <w:rPr>
          <w:rFonts w:hint="eastAsia" w:cs="Times New Roman"/>
          <w:color w:val="0000FF"/>
          <w:lang w:eastAsia="zh-CN"/>
        </w:rPr>
        <w:t>朱集灌区</w:t>
      </w:r>
      <w:r>
        <w:rPr>
          <w:rFonts w:cs="Times New Roman"/>
          <w:color w:val="0000FF"/>
        </w:rPr>
        <w:t>中的一部分，以上游的佛子岭、磨子潭、白莲崖及响洪甸水库为主要水源；史河灌区位于安徽省中西部六安市境内，属皖西丘陵地区，为安徽省</w:t>
      </w:r>
      <w:r>
        <w:rPr>
          <w:rFonts w:hint="eastAsia" w:cs="Times New Roman"/>
          <w:color w:val="0000FF"/>
          <w:lang w:eastAsia="zh-CN"/>
        </w:rPr>
        <w:t>朱集灌区</w:t>
      </w:r>
      <w:r>
        <w:rPr>
          <w:rFonts w:cs="Times New Roman"/>
          <w:color w:val="0000FF"/>
        </w:rPr>
        <w:t>中的一部分，以梅山水库为主要水源；杭埠河灌区位于江淮丘陵的中部巢湖流域的西南地区，以上游龙河口水库为主要水源。</w:t>
      </w:r>
    </w:p>
    <w:p w14:paraId="6AD8A05C">
      <w:pPr>
        <w:ind w:firstLine="480" w:firstLineChars="200"/>
        <w:rPr>
          <w:rFonts w:cs="Times New Roman"/>
          <w:color w:val="0000FF"/>
        </w:rPr>
      </w:pPr>
      <w:r>
        <w:rPr>
          <w:rFonts w:cs="Times New Roman"/>
          <w:color w:val="0000FF"/>
        </w:rPr>
        <w:t>本次工程范围为安徽省</w:t>
      </w:r>
      <w:r>
        <w:rPr>
          <w:rFonts w:hint="eastAsia" w:cs="Times New Roman"/>
          <w:color w:val="0000FF"/>
          <w:lang w:eastAsia="zh-CN"/>
        </w:rPr>
        <w:t>朱集灌区</w:t>
      </w:r>
      <w:r>
        <w:rPr>
          <w:rFonts w:cs="Times New Roman"/>
          <w:color w:val="0000FF"/>
        </w:rPr>
        <w:t>干支渠的渠道治理和渠系建筑物的续建改造，不涉及淠河、史河以及杭埠河灌区的上游水库和河流的工程，且本次工程建设可提高灌溉水利用系数，降低亩均灌溉定额，降低水库水资源开发利用率。项目建成后灌区生产生活供水量有所减少，保证了水库下游生态流量，工程总体对六大水源水库下游水文情势有利。</w:t>
      </w:r>
    </w:p>
    <w:p w14:paraId="010D3B98">
      <w:pPr>
        <w:pStyle w:val="5"/>
        <w:rPr>
          <w:rFonts w:cs="Times New Roman"/>
          <w:color w:val="0000FF"/>
        </w:rPr>
      </w:pPr>
      <w:r>
        <w:rPr>
          <w:rFonts w:cs="Times New Roman"/>
          <w:color w:val="0000FF"/>
        </w:rPr>
        <w:t>5.1.2.2 灌区干支渠</w:t>
      </w:r>
    </w:p>
    <w:p w14:paraId="07ECED39">
      <w:pPr>
        <w:ind w:firstLine="480" w:firstLineChars="200"/>
        <w:rPr>
          <w:rFonts w:cs="Times New Roman"/>
          <w:color w:val="0000FF"/>
        </w:rPr>
      </w:pPr>
      <w:r>
        <w:rPr>
          <w:rFonts w:cs="Times New Roman"/>
          <w:color w:val="0000FF"/>
        </w:rPr>
        <w:t>本次工程建设内容主要为渠道清淤、渠堤加培、渠道坡面整治、切岭段整治、渠道岸坡护砌、防渗治理、滑坡治理、填塘固基、修建防汛/管护道路长、拆除重建泵站等。</w:t>
      </w:r>
    </w:p>
    <w:p w14:paraId="779697D9">
      <w:pPr>
        <w:ind w:firstLine="482"/>
        <w:rPr>
          <w:rFonts w:cs="Times New Roman"/>
          <w:color w:val="0000FF"/>
        </w:rPr>
      </w:pPr>
      <w:r>
        <w:rPr>
          <w:rFonts w:cs="Times New Roman"/>
          <w:color w:val="0000FF"/>
        </w:rPr>
        <w:t>一、渠道工程</w:t>
      </w:r>
    </w:p>
    <w:p w14:paraId="45CAC0BD">
      <w:pPr>
        <w:ind w:firstLine="480"/>
        <w:rPr>
          <w:rFonts w:cs="Times New Roman"/>
          <w:color w:val="0000FF"/>
        </w:rPr>
      </w:pPr>
      <w:r>
        <w:rPr>
          <w:rFonts w:cs="Times New Roman"/>
          <w:color w:val="0000FF"/>
        </w:rPr>
        <w:t>工程完工运行后，干支渠全线连通，护砌、防渗治理使得渠道渗水量减少，清淤工程、滑坡治理、坡面整治使得过流断面较改造前发生变化；渠堤加培、切岭整治、填塘固基对现有渠道堤防进行加固，对渠道断面、糙度等无影响。</w:t>
      </w:r>
    </w:p>
    <w:p w14:paraId="3B43590B">
      <w:pPr>
        <w:ind w:firstLine="480"/>
        <w:rPr>
          <w:rFonts w:cs="Times New Roman"/>
          <w:color w:val="0000FF"/>
        </w:rPr>
      </w:pPr>
      <w:r>
        <w:rPr>
          <w:rFonts w:cs="Times New Roman"/>
          <w:color w:val="0000FF"/>
        </w:rPr>
        <w:t>本次工程</w:t>
      </w:r>
      <w:r>
        <w:rPr>
          <w:rFonts w:hint="eastAsia" w:cs="Times New Roman"/>
          <w:color w:val="0000FF"/>
        </w:rPr>
        <w:t>可</w:t>
      </w:r>
      <w:r>
        <w:rPr>
          <w:rFonts w:cs="Times New Roman"/>
          <w:color w:val="0000FF"/>
        </w:rPr>
        <w:t>改善灌区的输水条件，输水能力有所增加，但是不改变渠道的走势，渠道断面变化较小，与设计断面一致，保障了干支渠合理流量、水位、流速、坡降和边坡，使干支渠水体具有了流动性，渠道水文情势均达到原设计要求，复核过流能力均大于设计流量。</w:t>
      </w:r>
    </w:p>
    <w:p w14:paraId="6F93E39F">
      <w:pPr>
        <w:ind w:firstLine="480"/>
        <w:rPr>
          <w:rFonts w:cs="Times New Roman"/>
          <w:color w:val="0000FF"/>
        </w:rPr>
      </w:pPr>
      <w:r>
        <w:rPr>
          <w:rFonts w:cs="Times New Roman"/>
          <w:color w:val="0000FF"/>
        </w:rPr>
        <w:t>本项目渠道工程建成实施后对</w:t>
      </w:r>
      <w:r>
        <w:rPr>
          <w:rFonts w:hint="eastAsia" w:cs="Times New Roman"/>
          <w:color w:val="0000FF"/>
          <w:lang w:eastAsia="zh-CN"/>
        </w:rPr>
        <w:t>朱集灌区</w:t>
      </w:r>
      <w:r>
        <w:rPr>
          <w:rFonts w:cs="Times New Roman"/>
          <w:color w:val="0000FF"/>
        </w:rPr>
        <w:t>干支渠水文情势影响较小。</w:t>
      </w:r>
    </w:p>
    <w:p w14:paraId="11F2643E">
      <w:pPr>
        <w:ind w:firstLine="480"/>
        <w:rPr>
          <w:rFonts w:cs="Times New Roman"/>
          <w:color w:val="0000FF"/>
        </w:rPr>
      </w:pPr>
      <w:r>
        <w:rPr>
          <w:rFonts w:cs="Times New Roman"/>
          <w:color w:val="0000FF"/>
        </w:rPr>
        <w:t>二、渠系建筑物工程</w:t>
      </w:r>
    </w:p>
    <w:p w14:paraId="3A0833AA">
      <w:pPr>
        <w:ind w:firstLine="480"/>
        <w:rPr>
          <w:rFonts w:cs="Times New Roman"/>
          <w:b/>
          <w:bCs/>
          <w:color w:val="0000FF"/>
        </w:rPr>
      </w:pPr>
      <w:r>
        <w:rPr>
          <w:rFonts w:cs="Times New Roman"/>
          <w:b/>
          <w:bCs/>
          <w:color w:val="0000FF"/>
        </w:rPr>
        <w:t>1、对淠河国家湿地水文情势的影响</w:t>
      </w:r>
    </w:p>
    <w:p w14:paraId="5E29CAB8">
      <w:pPr>
        <w:ind w:firstLine="480"/>
        <w:rPr>
          <w:rFonts w:cs="Times New Roman"/>
          <w:color w:val="0000FF"/>
        </w:rPr>
      </w:pPr>
      <w:r>
        <w:rPr>
          <w:rFonts w:cs="Times New Roman"/>
          <w:color w:val="0000FF"/>
        </w:rPr>
        <w:t>横排头进水闸位于淠河右岸，胸墙式结构，底板高程46.5m，设计流量300.0m</w:t>
      </w:r>
      <w:r>
        <w:rPr>
          <w:rFonts w:cs="Times New Roman"/>
          <w:color w:val="0000FF"/>
          <w:vertAlign w:val="superscript"/>
        </w:rPr>
        <w:t>3</w:t>
      </w:r>
      <w:r>
        <w:rPr>
          <w:rFonts w:cs="Times New Roman"/>
          <w:color w:val="0000FF"/>
        </w:rPr>
        <w:t>/s，闸下游消力池底板高程44.0m，消力池长28m，渠道宽度在海漫末端为50.0m，翼墙顶端高程54.5m，闸底板至翼墙顶端高8m，左右岸翼墙向下游均呈扩散状，总长约100m。进水闸翼墙为浆砌石重力式翼墙，表面铺设为混凝土护面，坡比为1：1.5。</w:t>
      </w:r>
    </w:p>
    <w:p w14:paraId="204C2DDD">
      <w:pPr>
        <w:ind w:firstLine="480"/>
        <w:rPr>
          <w:rFonts w:cs="Times New Roman"/>
          <w:color w:val="0000FF"/>
        </w:rPr>
      </w:pPr>
      <w:r>
        <w:rPr>
          <w:rFonts w:cs="Times New Roman"/>
          <w:color w:val="0000FF"/>
        </w:rPr>
        <w:t>现状上、下游翼墙与边墩间的分缝处均出现拉裂现象，缝内止水填料老化脱落，翼墙与边墩间均出现渗水现象，内部止水已失效。本次工程仅针对横排口进水闸下游出口翼墙进行修整，修整内容主要为在现有工程规格的基础上对翼墙伸缩缝进行防渗处理，对翼墙表面老化脱落的素砼进行铲除、冲洗、重新勾缝等。</w:t>
      </w:r>
    </w:p>
    <w:p w14:paraId="772184AB">
      <w:pPr>
        <w:ind w:firstLine="480"/>
        <w:rPr>
          <w:rFonts w:cs="Times New Roman"/>
          <w:color w:val="0000FF"/>
        </w:rPr>
      </w:pPr>
      <w:r>
        <w:rPr>
          <w:rFonts w:cs="Times New Roman"/>
          <w:color w:val="0000FF"/>
        </w:rPr>
        <w:t>本次工程仅为出口翼墙的修整，不涉及横排头进水闸主体拱坝工程和上游与连接的河道工程等。工程实施后，可有效保证淠河总干渠来水的</w:t>
      </w:r>
      <w:r>
        <w:rPr>
          <w:rFonts w:hint="eastAsia" w:cs="Times New Roman"/>
          <w:color w:val="0000FF"/>
        </w:rPr>
        <w:t>安全性</w:t>
      </w:r>
      <w:r>
        <w:rPr>
          <w:rFonts w:cs="Times New Roman"/>
          <w:color w:val="0000FF"/>
        </w:rPr>
        <w:t>和稳定性，不改变横排口进水闸运行调度，同时也不改变设计流量等。运行期对水文情势无影响。</w:t>
      </w:r>
    </w:p>
    <w:p w14:paraId="7C6F0685">
      <w:pPr>
        <w:ind w:firstLine="480"/>
        <w:rPr>
          <w:rFonts w:cs="Times New Roman"/>
          <w:b/>
          <w:bCs/>
          <w:color w:val="0000FF"/>
        </w:rPr>
      </w:pPr>
      <w:r>
        <w:rPr>
          <w:rFonts w:cs="Times New Roman"/>
          <w:b/>
          <w:bCs/>
          <w:color w:val="0000FF"/>
        </w:rPr>
        <w:t>2、对界河支渠、袁店支渠、沙胜支渠以及马田支渠水文情势的影响</w:t>
      </w:r>
    </w:p>
    <w:p w14:paraId="5B069CF4">
      <w:pPr>
        <w:ind w:firstLine="480"/>
        <w:rPr>
          <w:rFonts w:cs="Times New Roman"/>
          <w:color w:val="0000FF"/>
        </w:rPr>
      </w:pPr>
      <w:r>
        <w:rPr>
          <w:rFonts w:cs="Times New Roman"/>
          <w:color w:val="0000FF"/>
        </w:rPr>
        <w:t>界河支渠工程、袁店支渠工程、沙胜支渠工程以及马田支渠工程涉及新建节制闸，该4个工程均为</w:t>
      </w:r>
      <w:r>
        <w:rPr>
          <w:rFonts w:hint="eastAsia" w:cs="Times New Roman"/>
          <w:color w:val="0000FF"/>
          <w:lang w:eastAsia="zh-CN"/>
        </w:rPr>
        <w:t>朱集灌区</w:t>
      </w:r>
      <w:r>
        <w:rPr>
          <w:rFonts w:cs="Times New Roman"/>
          <w:color w:val="0000FF"/>
        </w:rPr>
        <w:t>的支渠，渠道流量大小相近，节制闸尺寸规格类似，本次评价以马田支渠为例，分析新建节制闸对渠道水文情势的影响。</w:t>
      </w:r>
    </w:p>
    <w:p w14:paraId="1B07CD3D">
      <w:pPr>
        <w:ind w:firstLine="480"/>
        <w:rPr>
          <w:rFonts w:cs="Times New Roman"/>
          <w:color w:val="0000FF"/>
        </w:rPr>
      </w:pPr>
      <w:r>
        <w:rPr>
          <w:rFonts w:cs="Times New Roman"/>
          <w:color w:val="0000FF"/>
        </w:rPr>
        <w:t>（1）马田支渠概况</w:t>
      </w:r>
    </w:p>
    <w:p w14:paraId="248FE8CD">
      <w:pPr>
        <w:rPr>
          <w:rFonts w:cs="Times New Roman"/>
          <w:color w:val="0000FF"/>
        </w:rPr>
      </w:pPr>
      <w:r>
        <w:rPr>
          <w:rFonts w:cs="Times New Roman"/>
          <w:color w:val="0000FF"/>
        </w:rPr>
        <w:t>马田支渠设计渠首流量为0.6m³/s，东马田支渠设计流量0.4m³/s，渠道运行多年的实际情况，并结合渠道渠底实测成果分析，马田支渠渠道纵比降为1/200～1/2000，渠道较陡。</w:t>
      </w:r>
    </w:p>
    <w:p w14:paraId="3ADFC253">
      <w:pPr>
        <w:rPr>
          <w:color w:val="0000FF"/>
        </w:rPr>
      </w:pPr>
      <w:r>
        <w:rPr>
          <w:color w:val="0000FF"/>
        </w:rPr>
        <w:t>表</w:t>
      </w:r>
      <w:r>
        <w:rPr>
          <w:rFonts w:hint="eastAsia"/>
          <w:color w:val="0000FF"/>
        </w:rPr>
        <w:t>5-1-1</w:t>
      </w:r>
      <w:r>
        <w:rPr>
          <w:color w:val="0000FF"/>
        </w:rPr>
        <w:t xml:space="preserve">  渠道纵比降统计表</w:t>
      </w:r>
    </w:p>
    <w:tbl>
      <w:tblPr>
        <w:tblStyle w:val="16"/>
        <w:tblW w:w="4996" w:type="pct"/>
        <w:tblInd w:w="0" w:type="dxa"/>
        <w:tblLayout w:type="autofit"/>
        <w:tblCellMar>
          <w:top w:w="0" w:type="dxa"/>
          <w:left w:w="108" w:type="dxa"/>
          <w:bottom w:w="0" w:type="dxa"/>
          <w:right w:w="108" w:type="dxa"/>
        </w:tblCellMar>
      </w:tblPr>
      <w:tblGrid>
        <w:gridCol w:w="1545"/>
        <w:gridCol w:w="1547"/>
        <w:gridCol w:w="1547"/>
        <w:gridCol w:w="1547"/>
        <w:gridCol w:w="1547"/>
        <w:gridCol w:w="1547"/>
      </w:tblGrid>
      <w:tr w14:paraId="3D3E3103">
        <w:tblPrEx>
          <w:tblCellMar>
            <w:top w:w="0" w:type="dxa"/>
            <w:left w:w="108" w:type="dxa"/>
            <w:bottom w:w="0" w:type="dxa"/>
            <w:right w:w="108" w:type="dxa"/>
          </w:tblCellMar>
        </w:tblPrEx>
        <w:trPr>
          <w:trHeight w:val="320" w:hRule="atLeast"/>
        </w:trPr>
        <w:tc>
          <w:tcPr>
            <w:tcW w:w="832" w:type="pct"/>
            <w:tcBorders>
              <w:top w:val="single" w:color="000000" w:sz="4" w:space="0"/>
              <w:left w:val="single" w:color="000000" w:sz="4" w:space="0"/>
              <w:bottom w:val="single" w:color="000000" w:sz="4" w:space="0"/>
              <w:right w:val="single" w:color="000000" w:sz="4" w:space="0"/>
            </w:tcBorders>
            <w:vAlign w:val="center"/>
          </w:tcPr>
          <w:p w14:paraId="233C2AC0">
            <w:pPr>
              <w:pStyle w:val="28"/>
              <w:bidi w:val="0"/>
            </w:pPr>
            <w:r>
              <w:t>序号</w:t>
            </w:r>
          </w:p>
        </w:tc>
        <w:tc>
          <w:tcPr>
            <w:tcW w:w="833" w:type="pct"/>
            <w:tcBorders>
              <w:top w:val="single" w:color="000000" w:sz="4" w:space="0"/>
              <w:left w:val="single" w:color="000000" w:sz="4" w:space="0"/>
              <w:bottom w:val="single" w:color="000000" w:sz="4" w:space="0"/>
              <w:right w:val="single" w:color="000000" w:sz="4" w:space="0"/>
            </w:tcBorders>
            <w:vAlign w:val="center"/>
          </w:tcPr>
          <w:p w14:paraId="4DD3E603">
            <w:pPr>
              <w:pStyle w:val="28"/>
              <w:bidi w:val="0"/>
            </w:pPr>
            <w:r>
              <w:t>位置</w:t>
            </w:r>
          </w:p>
        </w:tc>
        <w:tc>
          <w:tcPr>
            <w:tcW w:w="833" w:type="pct"/>
            <w:tcBorders>
              <w:top w:val="single" w:color="000000" w:sz="4" w:space="0"/>
              <w:left w:val="single" w:color="000000" w:sz="4" w:space="0"/>
              <w:bottom w:val="single" w:color="000000" w:sz="4" w:space="0"/>
              <w:right w:val="single" w:color="000000" w:sz="4" w:space="0"/>
            </w:tcBorders>
            <w:vAlign w:val="center"/>
          </w:tcPr>
          <w:p w14:paraId="43F9E465">
            <w:pPr>
              <w:pStyle w:val="28"/>
              <w:bidi w:val="0"/>
            </w:pPr>
            <w:r>
              <w:t>起点桩号</w:t>
            </w:r>
          </w:p>
        </w:tc>
        <w:tc>
          <w:tcPr>
            <w:tcW w:w="833" w:type="pct"/>
            <w:tcBorders>
              <w:top w:val="single" w:color="000000" w:sz="4" w:space="0"/>
              <w:left w:val="single" w:color="000000" w:sz="4" w:space="0"/>
              <w:bottom w:val="single" w:color="000000" w:sz="4" w:space="0"/>
              <w:right w:val="single" w:color="000000" w:sz="4" w:space="0"/>
            </w:tcBorders>
            <w:vAlign w:val="center"/>
          </w:tcPr>
          <w:p w14:paraId="70CE286A">
            <w:pPr>
              <w:pStyle w:val="28"/>
              <w:bidi w:val="0"/>
            </w:pPr>
            <w:r>
              <w:t>止点桩号</w:t>
            </w:r>
          </w:p>
        </w:tc>
        <w:tc>
          <w:tcPr>
            <w:tcW w:w="833" w:type="pct"/>
            <w:tcBorders>
              <w:top w:val="single" w:color="000000" w:sz="4" w:space="0"/>
              <w:left w:val="single" w:color="000000" w:sz="4" w:space="0"/>
              <w:bottom w:val="single" w:color="000000" w:sz="4" w:space="0"/>
              <w:right w:val="single" w:color="000000" w:sz="4" w:space="0"/>
            </w:tcBorders>
            <w:vAlign w:val="center"/>
          </w:tcPr>
          <w:p w14:paraId="50C63471">
            <w:pPr>
              <w:pStyle w:val="28"/>
              <w:bidi w:val="0"/>
            </w:pPr>
            <w:r>
              <w:t>长度（m）</w:t>
            </w:r>
          </w:p>
        </w:tc>
        <w:tc>
          <w:tcPr>
            <w:tcW w:w="833" w:type="pct"/>
            <w:tcBorders>
              <w:top w:val="single" w:color="000000" w:sz="4" w:space="0"/>
              <w:left w:val="single" w:color="000000" w:sz="4" w:space="0"/>
              <w:bottom w:val="single" w:color="000000" w:sz="4" w:space="0"/>
              <w:right w:val="single" w:color="000000" w:sz="4" w:space="0"/>
            </w:tcBorders>
            <w:vAlign w:val="center"/>
          </w:tcPr>
          <w:p w14:paraId="6B013D7D">
            <w:pPr>
              <w:pStyle w:val="28"/>
              <w:bidi w:val="0"/>
            </w:pPr>
            <w:r>
              <w:t>比降</w:t>
            </w:r>
          </w:p>
        </w:tc>
      </w:tr>
      <w:tr w14:paraId="7D39BFCB">
        <w:tblPrEx>
          <w:tblCellMar>
            <w:top w:w="0" w:type="dxa"/>
            <w:left w:w="108" w:type="dxa"/>
            <w:bottom w:w="0" w:type="dxa"/>
            <w:right w:w="108" w:type="dxa"/>
          </w:tblCellMar>
        </w:tblPrEx>
        <w:trPr>
          <w:trHeight w:val="270" w:hRule="atLeast"/>
        </w:trPr>
        <w:tc>
          <w:tcPr>
            <w:tcW w:w="832" w:type="pct"/>
            <w:tcBorders>
              <w:top w:val="single" w:color="000000" w:sz="4" w:space="0"/>
              <w:left w:val="single" w:color="000000" w:sz="4" w:space="0"/>
              <w:bottom w:val="single" w:color="000000" w:sz="4" w:space="0"/>
              <w:right w:val="single" w:color="000000" w:sz="4" w:space="0"/>
            </w:tcBorders>
            <w:noWrap/>
            <w:vAlign w:val="center"/>
          </w:tcPr>
          <w:p w14:paraId="77D2F6EE">
            <w:pPr>
              <w:pStyle w:val="28"/>
              <w:bidi w:val="0"/>
            </w:pPr>
            <w:r>
              <w:t>1</w:t>
            </w:r>
          </w:p>
        </w:tc>
        <w:tc>
          <w:tcPr>
            <w:tcW w:w="833" w:type="pct"/>
            <w:vMerge w:val="restart"/>
            <w:tcBorders>
              <w:top w:val="single" w:color="000000" w:sz="4" w:space="0"/>
              <w:left w:val="single" w:color="000000" w:sz="4" w:space="0"/>
              <w:bottom w:val="single" w:color="000000" w:sz="4" w:space="0"/>
              <w:right w:val="single" w:color="000000" w:sz="4" w:space="0"/>
            </w:tcBorders>
            <w:noWrap/>
            <w:vAlign w:val="center"/>
          </w:tcPr>
          <w:p w14:paraId="31748DA1">
            <w:pPr>
              <w:pStyle w:val="28"/>
              <w:bidi w:val="0"/>
            </w:pPr>
            <w:r>
              <w:t>马田</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66D111E3">
            <w:pPr>
              <w:pStyle w:val="28"/>
              <w:bidi w:val="0"/>
            </w:pPr>
            <w:r>
              <w:t>MT0+000</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5A1BC9CA">
            <w:pPr>
              <w:pStyle w:val="28"/>
              <w:bidi w:val="0"/>
            </w:pPr>
            <w:r>
              <w:t>MT1+892</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5664BB66">
            <w:pPr>
              <w:pStyle w:val="28"/>
              <w:bidi w:val="0"/>
            </w:pPr>
            <w:r>
              <w:t>1892</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28E370C4">
            <w:pPr>
              <w:pStyle w:val="28"/>
              <w:bidi w:val="0"/>
            </w:pPr>
            <w:r>
              <w:t>1/1500</w:t>
            </w:r>
          </w:p>
        </w:tc>
      </w:tr>
      <w:tr w14:paraId="7152C7EE">
        <w:tblPrEx>
          <w:tblCellMar>
            <w:top w:w="0" w:type="dxa"/>
            <w:left w:w="108" w:type="dxa"/>
            <w:bottom w:w="0" w:type="dxa"/>
            <w:right w:w="108" w:type="dxa"/>
          </w:tblCellMar>
        </w:tblPrEx>
        <w:trPr>
          <w:trHeight w:val="270" w:hRule="atLeast"/>
        </w:trPr>
        <w:tc>
          <w:tcPr>
            <w:tcW w:w="832" w:type="pct"/>
            <w:tcBorders>
              <w:top w:val="single" w:color="000000" w:sz="4" w:space="0"/>
              <w:left w:val="single" w:color="000000" w:sz="4" w:space="0"/>
              <w:bottom w:val="single" w:color="000000" w:sz="4" w:space="0"/>
              <w:right w:val="single" w:color="000000" w:sz="4" w:space="0"/>
            </w:tcBorders>
            <w:noWrap/>
            <w:vAlign w:val="center"/>
          </w:tcPr>
          <w:p w14:paraId="395B4630">
            <w:pPr>
              <w:pStyle w:val="28"/>
              <w:bidi w:val="0"/>
            </w:pPr>
            <w:r>
              <w:t>2</w:t>
            </w:r>
          </w:p>
        </w:tc>
        <w:tc>
          <w:tcPr>
            <w:tcW w:w="833" w:type="pct"/>
            <w:vMerge w:val="continue"/>
            <w:tcBorders>
              <w:top w:val="single" w:color="000000" w:sz="4" w:space="0"/>
              <w:left w:val="single" w:color="000000" w:sz="4" w:space="0"/>
              <w:bottom w:val="single" w:color="000000" w:sz="4" w:space="0"/>
              <w:right w:val="single" w:color="000000" w:sz="4" w:space="0"/>
            </w:tcBorders>
            <w:noWrap/>
            <w:vAlign w:val="center"/>
          </w:tcPr>
          <w:p w14:paraId="69960CE6">
            <w:pPr>
              <w:pStyle w:val="28"/>
              <w:bidi w:val="0"/>
            </w:pP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7AD9E34D">
            <w:pPr>
              <w:pStyle w:val="28"/>
              <w:bidi w:val="0"/>
            </w:pPr>
            <w:r>
              <w:t>MT1+892</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4729B02F">
            <w:pPr>
              <w:pStyle w:val="28"/>
              <w:bidi w:val="0"/>
            </w:pPr>
            <w:r>
              <w:t>MT2+258</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4BD932FB">
            <w:pPr>
              <w:pStyle w:val="28"/>
              <w:bidi w:val="0"/>
            </w:pPr>
            <w:r>
              <w:t>366</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6760CB4E">
            <w:pPr>
              <w:pStyle w:val="28"/>
              <w:bidi w:val="0"/>
            </w:pPr>
            <w:r>
              <w:t>1/2000</w:t>
            </w:r>
          </w:p>
        </w:tc>
      </w:tr>
      <w:tr w14:paraId="32340130">
        <w:tblPrEx>
          <w:tblCellMar>
            <w:top w:w="0" w:type="dxa"/>
            <w:left w:w="108" w:type="dxa"/>
            <w:bottom w:w="0" w:type="dxa"/>
            <w:right w:w="108" w:type="dxa"/>
          </w:tblCellMar>
        </w:tblPrEx>
        <w:trPr>
          <w:trHeight w:val="270" w:hRule="atLeast"/>
        </w:trPr>
        <w:tc>
          <w:tcPr>
            <w:tcW w:w="832" w:type="pct"/>
            <w:tcBorders>
              <w:top w:val="single" w:color="000000" w:sz="4" w:space="0"/>
              <w:left w:val="single" w:color="000000" w:sz="4" w:space="0"/>
              <w:bottom w:val="single" w:color="000000" w:sz="4" w:space="0"/>
              <w:right w:val="single" w:color="000000" w:sz="4" w:space="0"/>
            </w:tcBorders>
            <w:noWrap/>
            <w:vAlign w:val="center"/>
          </w:tcPr>
          <w:p w14:paraId="47E63251">
            <w:pPr>
              <w:pStyle w:val="28"/>
              <w:bidi w:val="0"/>
            </w:pPr>
            <w:r>
              <w:t>3</w:t>
            </w:r>
          </w:p>
        </w:tc>
        <w:tc>
          <w:tcPr>
            <w:tcW w:w="833" w:type="pct"/>
            <w:vMerge w:val="continue"/>
            <w:tcBorders>
              <w:top w:val="single" w:color="000000" w:sz="4" w:space="0"/>
              <w:left w:val="single" w:color="000000" w:sz="4" w:space="0"/>
              <w:bottom w:val="single" w:color="000000" w:sz="4" w:space="0"/>
              <w:right w:val="single" w:color="000000" w:sz="4" w:space="0"/>
            </w:tcBorders>
            <w:noWrap/>
            <w:vAlign w:val="center"/>
          </w:tcPr>
          <w:p w14:paraId="358B6192">
            <w:pPr>
              <w:pStyle w:val="28"/>
              <w:bidi w:val="0"/>
            </w:pP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5304EB7E">
            <w:pPr>
              <w:pStyle w:val="28"/>
              <w:bidi w:val="0"/>
            </w:pPr>
            <w:r>
              <w:t>MT2+258</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1EB4B4D1">
            <w:pPr>
              <w:pStyle w:val="28"/>
              <w:bidi w:val="0"/>
            </w:pPr>
            <w:r>
              <w:t>MT4+154</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7E74DB3E">
            <w:pPr>
              <w:pStyle w:val="28"/>
              <w:bidi w:val="0"/>
            </w:pPr>
            <w:r>
              <w:t>1896</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2550F695">
            <w:pPr>
              <w:pStyle w:val="28"/>
              <w:bidi w:val="0"/>
            </w:pPr>
            <w:r>
              <w:t>1/500</w:t>
            </w:r>
          </w:p>
        </w:tc>
      </w:tr>
      <w:tr w14:paraId="1E2353C1">
        <w:tblPrEx>
          <w:tblCellMar>
            <w:top w:w="0" w:type="dxa"/>
            <w:left w:w="108" w:type="dxa"/>
            <w:bottom w:w="0" w:type="dxa"/>
            <w:right w:w="108" w:type="dxa"/>
          </w:tblCellMar>
        </w:tblPrEx>
        <w:trPr>
          <w:trHeight w:val="270" w:hRule="atLeast"/>
        </w:trPr>
        <w:tc>
          <w:tcPr>
            <w:tcW w:w="832" w:type="pct"/>
            <w:tcBorders>
              <w:top w:val="single" w:color="000000" w:sz="4" w:space="0"/>
              <w:left w:val="single" w:color="000000" w:sz="4" w:space="0"/>
              <w:bottom w:val="single" w:color="000000" w:sz="4" w:space="0"/>
              <w:right w:val="single" w:color="000000" w:sz="4" w:space="0"/>
            </w:tcBorders>
            <w:noWrap/>
            <w:vAlign w:val="center"/>
          </w:tcPr>
          <w:p w14:paraId="0B0BB8F0">
            <w:pPr>
              <w:pStyle w:val="28"/>
              <w:bidi w:val="0"/>
            </w:pPr>
            <w:r>
              <w:t>4</w:t>
            </w:r>
          </w:p>
        </w:tc>
        <w:tc>
          <w:tcPr>
            <w:tcW w:w="833" w:type="pct"/>
            <w:vMerge w:val="continue"/>
            <w:tcBorders>
              <w:top w:val="single" w:color="000000" w:sz="4" w:space="0"/>
              <w:left w:val="single" w:color="000000" w:sz="4" w:space="0"/>
              <w:bottom w:val="single" w:color="000000" w:sz="4" w:space="0"/>
              <w:right w:val="single" w:color="000000" w:sz="4" w:space="0"/>
            </w:tcBorders>
            <w:noWrap/>
            <w:vAlign w:val="center"/>
          </w:tcPr>
          <w:p w14:paraId="25AF9CA9">
            <w:pPr>
              <w:pStyle w:val="28"/>
              <w:bidi w:val="0"/>
            </w:pP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6194FEA2">
            <w:pPr>
              <w:pStyle w:val="28"/>
              <w:bidi w:val="0"/>
            </w:pPr>
            <w:r>
              <w:t>MT4+154</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315C2912">
            <w:pPr>
              <w:pStyle w:val="28"/>
              <w:bidi w:val="0"/>
            </w:pPr>
            <w:r>
              <w:t>MT4+975</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5E308329">
            <w:pPr>
              <w:pStyle w:val="28"/>
              <w:bidi w:val="0"/>
            </w:pPr>
            <w:r>
              <w:t>821</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4689DF9B">
            <w:pPr>
              <w:pStyle w:val="28"/>
              <w:bidi w:val="0"/>
            </w:pPr>
            <w:r>
              <w:t>1/200</w:t>
            </w:r>
          </w:p>
        </w:tc>
      </w:tr>
      <w:tr w14:paraId="09BC900F">
        <w:tblPrEx>
          <w:tblCellMar>
            <w:top w:w="0" w:type="dxa"/>
            <w:left w:w="108" w:type="dxa"/>
            <w:bottom w:w="0" w:type="dxa"/>
            <w:right w:w="108" w:type="dxa"/>
          </w:tblCellMar>
        </w:tblPrEx>
        <w:trPr>
          <w:trHeight w:val="270" w:hRule="atLeast"/>
        </w:trPr>
        <w:tc>
          <w:tcPr>
            <w:tcW w:w="832" w:type="pct"/>
            <w:tcBorders>
              <w:top w:val="single" w:color="000000" w:sz="4" w:space="0"/>
              <w:left w:val="single" w:color="000000" w:sz="4" w:space="0"/>
              <w:bottom w:val="single" w:color="000000" w:sz="4" w:space="0"/>
              <w:right w:val="single" w:color="000000" w:sz="4" w:space="0"/>
            </w:tcBorders>
            <w:noWrap/>
            <w:vAlign w:val="center"/>
          </w:tcPr>
          <w:p w14:paraId="510C34BB">
            <w:pPr>
              <w:pStyle w:val="28"/>
              <w:bidi w:val="0"/>
            </w:pPr>
            <w:r>
              <w:t>5</w:t>
            </w:r>
          </w:p>
        </w:tc>
        <w:tc>
          <w:tcPr>
            <w:tcW w:w="833" w:type="pct"/>
            <w:vMerge w:val="restart"/>
            <w:tcBorders>
              <w:top w:val="single" w:color="000000" w:sz="4" w:space="0"/>
              <w:left w:val="single" w:color="000000" w:sz="4" w:space="0"/>
              <w:bottom w:val="single" w:color="000000" w:sz="4" w:space="0"/>
              <w:right w:val="single" w:color="000000" w:sz="4" w:space="0"/>
            </w:tcBorders>
            <w:noWrap/>
            <w:vAlign w:val="center"/>
          </w:tcPr>
          <w:p w14:paraId="4F81A29A">
            <w:pPr>
              <w:pStyle w:val="28"/>
              <w:bidi w:val="0"/>
            </w:pPr>
            <w:r>
              <w:t>东马田</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590A0F8C">
            <w:pPr>
              <w:pStyle w:val="28"/>
              <w:bidi w:val="0"/>
            </w:pPr>
            <w:r>
              <w:t>DMT0+000</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36770D77">
            <w:pPr>
              <w:pStyle w:val="28"/>
              <w:bidi w:val="0"/>
            </w:pPr>
            <w:r>
              <w:t>DMT1+800</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21C36904">
            <w:pPr>
              <w:pStyle w:val="28"/>
              <w:bidi w:val="0"/>
            </w:pPr>
            <w:r>
              <w:t>1800</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4307D22B">
            <w:pPr>
              <w:pStyle w:val="28"/>
              <w:bidi w:val="0"/>
            </w:pPr>
            <w:r>
              <w:t>1/200</w:t>
            </w:r>
          </w:p>
        </w:tc>
      </w:tr>
      <w:tr w14:paraId="7A2402C3">
        <w:tblPrEx>
          <w:tblCellMar>
            <w:top w:w="0" w:type="dxa"/>
            <w:left w:w="108" w:type="dxa"/>
            <w:bottom w:w="0" w:type="dxa"/>
            <w:right w:w="108" w:type="dxa"/>
          </w:tblCellMar>
        </w:tblPrEx>
        <w:trPr>
          <w:trHeight w:val="270" w:hRule="atLeast"/>
        </w:trPr>
        <w:tc>
          <w:tcPr>
            <w:tcW w:w="832" w:type="pct"/>
            <w:tcBorders>
              <w:top w:val="single" w:color="000000" w:sz="4" w:space="0"/>
              <w:left w:val="single" w:color="000000" w:sz="4" w:space="0"/>
              <w:bottom w:val="single" w:color="000000" w:sz="4" w:space="0"/>
              <w:right w:val="single" w:color="000000" w:sz="4" w:space="0"/>
            </w:tcBorders>
            <w:noWrap/>
            <w:vAlign w:val="center"/>
          </w:tcPr>
          <w:p w14:paraId="799B34CC">
            <w:pPr>
              <w:pStyle w:val="28"/>
              <w:bidi w:val="0"/>
            </w:pPr>
            <w:r>
              <w:t>6</w:t>
            </w:r>
          </w:p>
        </w:tc>
        <w:tc>
          <w:tcPr>
            <w:tcW w:w="833" w:type="pct"/>
            <w:vMerge w:val="continue"/>
            <w:tcBorders>
              <w:top w:val="single" w:color="000000" w:sz="4" w:space="0"/>
              <w:left w:val="single" w:color="000000" w:sz="4" w:space="0"/>
              <w:bottom w:val="single" w:color="000000" w:sz="4" w:space="0"/>
              <w:right w:val="single" w:color="000000" w:sz="4" w:space="0"/>
            </w:tcBorders>
            <w:noWrap/>
            <w:vAlign w:val="center"/>
          </w:tcPr>
          <w:p w14:paraId="0C80F87E">
            <w:pPr>
              <w:pStyle w:val="28"/>
              <w:bidi w:val="0"/>
            </w:pP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607F390B">
            <w:pPr>
              <w:pStyle w:val="28"/>
              <w:bidi w:val="0"/>
            </w:pPr>
            <w:r>
              <w:t>DMT1+800</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6F92E212">
            <w:pPr>
              <w:pStyle w:val="28"/>
              <w:bidi w:val="0"/>
            </w:pPr>
            <w:r>
              <w:t>DMT3+675</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626EE17F">
            <w:pPr>
              <w:pStyle w:val="28"/>
              <w:bidi w:val="0"/>
            </w:pPr>
            <w:r>
              <w:t>1875</w:t>
            </w:r>
          </w:p>
        </w:tc>
        <w:tc>
          <w:tcPr>
            <w:tcW w:w="833" w:type="pct"/>
            <w:tcBorders>
              <w:top w:val="single" w:color="000000" w:sz="4" w:space="0"/>
              <w:left w:val="single" w:color="000000" w:sz="4" w:space="0"/>
              <w:bottom w:val="single" w:color="000000" w:sz="4" w:space="0"/>
              <w:right w:val="single" w:color="000000" w:sz="4" w:space="0"/>
            </w:tcBorders>
            <w:noWrap/>
            <w:vAlign w:val="center"/>
          </w:tcPr>
          <w:p w14:paraId="35DEC1A5">
            <w:pPr>
              <w:pStyle w:val="28"/>
              <w:bidi w:val="0"/>
            </w:pPr>
            <w:r>
              <w:t>1/500</w:t>
            </w:r>
          </w:p>
        </w:tc>
      </w:tr>
    </w:tbl>
    <w:p w14:paraId="301DBBE2">
      <w:pPr>
        <w:spacing w:line="240" w:lineRule="auto"/>
        <w:rPr>
          <w:rFonts w:cs="Times New Roman"/>
          <w:color w:val="0000FF"/>
        </w:rPr>
      </w:pPr>
    </w:p>
    <w:p w14:paraId="7B3CDD15">
      <w:pPr>
        <w:ind w:firstLine="480"/>
        <w:rPr>
          <w:rFonts w:cs="Times New Roman"/>
          <w:color w:val="0000FF"/>
        </w:rPr>
      </w:pPr>
      <w:r>
        <w:rPr>
          <w:rFonts w:cs="Times New Roman"/>
          <w:color w:val="0000FF"/>
        </w:rPr>
        <w:t>工程涉及4座节制闸，桩号分别为桩号MT3+978（1#）、DMT0+175（2#）、DMT0+350（3#）、DMT2+167（4#）。</w:t>
      </w:r>
    </w:p>
    <w:p w14:paraId="316FFA9E">
      <w:pPr>
        <w:rPr>
          <w:rFonts w:cs="Times New Roman"/>
          <w:color w:val="0000FF"/>
        </w:rPr>
      </w:pPr>
      <w:r>
        <w:rPr>
          <w:rFonts w:cs="Times New Roman"/>
          <w:color w:val="0000FF"/>
        </w:rPr>
        <w:t>（2）现状及必要性</w:t>
      </w:r>
    </w:p>
    <w:p w14:paraId="387BCD06">
      <w:pPr>
        <w:rPr>
          <w:rFonts w:cs="Times New Roman"/>
          <w:color w:val="0000FF"/>
        </w:rPr>
      </w:pPr>
      <w:r>
        <w:rPr>
          <w:rFonts w:cs="Times New Roman"/>
          <w:color w:val="0000FF"/>
        </w:rPr>
        <w:t>现状1#节制闸位置处马田支渠，渠道比降较低，坡势</w:t>
      </w:r>
      <w:r>
        <w:rPr>
          <w:rFonts w:hint="eastAsia" w:cs="Times New Roman"/>
          <w:color w:val="0000FF"/>
        </w:rPr>
        <w:t>较陡</w:t>
      </w:r>
      <w:r>
        <w:rPr>
          <w:rFonts w:cs="Times New Roman"/>
          <w:color w:val="0000FF"/>
        </w:rPr>
        <w:t>，原为涵管过流，无法控制上、下游水位及流量，导致上游两侧放水涵无法放水，因此新建一座节制闸控制上、下游水位。</w:t>
      </w:r>
    </w:p>
    <w:p w14:paraId="05DF6E29">
      <w:pPr>
        <w:ind w:firstLine="480"/>
        <w:rPr>
          <w:rFonts w:cs="Times New Roman"/>
          <w:color w:val="0000FF"/>
        </w:rPr>
      </w:pPr>
      <w:r>
        <w:rPr>
          <w:rFonts w:cs="Times New Roman"/>
          <w:color w:val="0000FF"/>
        </w:rPr>
        <w:t>2#～4#节制闸在东马田处，原渠道未建有控制性闸，渠道比降较低，坡势较陡，为了保证各田块灌溉用水，结合当地需求，规划新建节制闸。</w:t>
      </w:r>
    </w:p>
    <w:p w14:paraId="7AE31CFD">
      <w:pPr>
        <w:ind w:firstLine="480"/>
        <w:rPr>
          <w:rFonts w:cs="Times New Roman"/>
          <w:color w:val="0000FF"/>
        </w:rPr>
      </w:pPr>
      <w:r>
        <w:rPr>
          <w:rFonts w:cs="Times New Roman"/>
          <w:color w:val="0000FF"/>
        </w:rPr>
        <w:t>（3）选址</w:t>
      </w:r>
    </w:p>
    <w:p w14:paraId="5B32589F">
      <w:pPr>
        <w:ind w:firstLine="480"/>
        <w:rPr>
          <w:rFonts w:cs="Times New Roman"/>
          <w:color w:val="0000FF"/>
        </w:rPr>
      </w:pPr>
      <w:r>
        <w:rPr>
          <w:rFonts w:cs="Times New Roman"/>
          <w:color w:val="0000FF"/>
        </w:rPr>
        <w:t>工程考虑渠道各渠段的比降、上下游实际的用水需求以及运行调度方便等方面，选址桩号MT3+978（1#）、DMT0+175（2#）、DMT0+350（3#）、DMT2+167（4#），新建的4座节制闸均位于马田支渠以及东马田支渠渠道内，经过调查和实际</w:t>
      </w:r>
      <w:r>
        <w:rPr>
          <w:rFonts w:hint="eastAsia" w:cs="Times New Roman"/>
          <w:color w:val="0000FF"/>
        </w:rPr>
        <w:t>踏看</w:t>
      </w:r>
      <w:r>
        <w:rPr>
          <w:rFonts w:cs="Times New Roman"/>
          <w:color w:val="0000FF"/>
        </w:rPr>
        <w:t>，项目选址不涉及生态保护红线、饮用水水源保护区、基本农田、重要野生动植物生境、洄游鱼类重要生境等生态敏感区。</w:t>
      </w:r>
    </w:p>
    <w:p w14:paraId="25CDB3D0">
      <w:pPr>
        <w:ind w:firstLine="480"/>
        <w:rPr>
          <w:rFonts w:cs="Times New Roman"/>
          <w:color w:val="0000FF"/>
        </w:rPr>
      </w:pPr>
      <w:r>
        <w:rPr>
          <w:rFonts w:cs="Times New Roman"/>
          <w:color w:val="0000FF"/>
        </w:rPr>
        <w:t>（4）工程布置及运行调度情况</w:t>
      </w:r>
    </w:p>
    <w:p w14:paraId="0D436728">
      <w:pPr>
        <w:ind w:firstLine="480"/>
        <w:rPr>
          <w:rFonts w:cs="Times New Roman"/>
          <w:color w:val="0000FF"/>
        </w:rPr>
      </w:pPr>
      <w:r>
        <w:rPr>
          <w:rFonts w:cs="Times New Roman"/>
          <w:color w:val="0000FF"/>
        </w:rPr>
        <w:t>桩号MT3+978处的1#节制闸直接利用现状落地槽作为闸室，下游未设消力池、护坦、海漫。</w:t>
      </w:r>
    </w:p>
    <w:p w14:paraId="3F13C303">
      <w:pPr>
        <w:ind w:firstLine="480"/>
        <w:rPr>
          <w:rFonts w:cs="Times New Roman"/>
          <w:color w:val="0000FF"/>
        </w:rPr>
      </w:pPr>
      <w:r>
        <w:rPr>
          <w:rFonts w:cs="Times New Roman"/>
          <w:color w:val="0000FF"/>
        </w:rPr>
        <w:t>桩号DMT0+175、DMT0+350、DMT2+167采用整体箱涵式C25钢筋混凝土结构；消力池采用挖深式消力池，在消力池后布置2段，下设碎石垫层。</w:t>
      </w:r>
    </w:p>
    <w:p w14:paraId="799F8DDF">
      <w:pPr>
        <w:ind w:firstLine="480"/>
        <w:rPr>
          <w:rFonts w:cs="Times New Roman"/>
          <w:color w:val="0000FF"/>
        </w:rPr>
      </w:pPr>
      <w:r>
        <w:rPr>
          <w:rFonts w:cs="Times New Roman"/>
          <w:color w:val="0000FF"/>
        </w:rPr>
        <w:t>马田支渠4座新建节制闸的地质情况、结构形式、设计流量相近，本报告主要以2#节制闸为典型进行介绍。</w:t>
      </w:r>
    </w:p>
    <w:p w14:paraId="1E65B036">
      <w:pPr>
        <w:ind w:firstLine="480"/>
        <w:rPr>
          <w:rFonts w:cs="Times New Roman"/>
          <w:color w:val="0000FF"/>
        </w:rPr>
      </w:pPr>
      <w:r>
        <w:rPr>
          <w:rFonts w:cs="Times New Roman"/>
          <w:color w:val="0000FF"/>
        </w:rPr>
        <w:t>马田支渠2#节制闸采用开敞式水闸型式。采用整体箱涵式C25钢筋混凝土结构</w:t>
      </w:r>
      <w:r>
        <w:rPr>
          <w:rFonts w:hint="eastAsia" w:cs="Times New Roman"/>
          <w:color w:val="0000FF"/>
        </w:rPr>
        <w:t>。</w:t>
      </w:r>
    </w:p>
    <w:p w14:paraId="554CA465">
      <w:pPr>
        <w:ind w:firstLine="480"/>
        <w:rPr>
          <w:rFonts w:cs="Times New Roman"/>
          <w:color w:val="0000FF"/>
        </w:rPr>
      </w:pPr>
      <w:r>
        <w:rPr>
          <w:rFonts w:cs="Times New Roman"/>
          <w:color w:val="0000FF"/>
        </w:rPr>
        <w:t>工程所在区域灌溉期一般为每年5月</w:t>
      </w:r>
      <w:r>
        <w:rPr>
          <w:rFonts w:hint="eastAsia" w:cs="Times New Roman"/>
          <w:color w:val="0000FF"/>
        </w:rPr>
        <w:t>～</w:t>
      </w:r>
      <w:r>
        <w:rPr>
          <w:rFonts w:cs="Times New Roman"/>
          <w:color w:val="0000FF"/>
        </w:rPr>
        <w:t>8月，非灌溉期为每年9月</w:t>
      </w:r>
      <w:r>
        <w:rPr>
          <w:rFonts w:hint="eastAsia" w:cs="Times New Roman"/>
          <w:color w:val="0000FF"/>
        </w:rPr>
        <w:t>～</w:t>
      </w:r>
      <w:r>
        <w:rPr>
          <w:rFonts w:cs="Times New Roman"/>
          <w:color w:val="0000FF"/>
        </w:rPr>
        <w:t>次年4月，非灌溉期渠首进水闸关闭，渠道内无固定水源，闸门处于常开状态；灌溉期统筹考虑上游、下游用水需求和蒸发损失水等情况，保持节制闸处于50%以上开度进行上游水位控制和下游泄流。</w:t>
      </w:r>
    </w:p>
    <w:p w14:paraId="13837E5C">
      <w:pPr>
        <w:ind w:firstLine="480"/>
        <w:rPr>
          <w:rFonts w:cs="Times New Roman"/>
          <w:color w:val="0000FF"/>
        </w:rPr>
      </w:pPr>
      <w:r>
        <w:rPr>
          <w:rFonts w:cs="Times New Roman"/>
          <w:color w:val="0000FF"/>
        </w:rPr>
        <w:t>根据以上计算结果，考虑支渠流量较小，主要功能为灌溉，无特殊生态需水要求，且节制闸水闸过流能力满足设计要求，节制闸正常运行期间，上下游水位变化较小，对渠道水文</w:t>
      </w:r>
      <w:r>
        <w:rPr>
          <w:rFonts w:hint="eastAsia" w:cs="Times New Roman"/>
          <w:color w:val="0000FF"/>
        </w:rPr>
        <w:t>情势</w:t>
      </w:r>
      <w:r>
        <w:rPr>
          <w:rFonts w:cs="Times New Roman"/>
          <w:color w:val="0000FF"/>
        </w:rPr>
        <w:t>影响较小。</w:t>
      </w:r>
    </w:p>
    <w:p w14:paraId="5C8E6212">
      <w:pPr>
        <w:ind w:firstLine="480"/>
        <w:rPr>
          <w:rFonts w:cs="Times New Roman"/>
          <w:b/>
          <w:bCs/>
          <w:color w:val="0000FF"/>
        </w:rPr>
      </w:pPr>
      <w:r>
        <w:rPr>
          <w:rFonts w:cs="Times New Roman"/>
          <w:b/>
          <w:bCs/>
          <w:color w:val="0000FF"/>
        </w:rPr>
        <w:t>3、对大高支渠、白龙支渠水文情势的影响</w:t>
      </w:r>
    </w:p>
    <w:p w14:paraId="18CE9FEC">
      <w:pPr>
        <w:ind w:firstLine="480"/>
        <w:rPr>
          <w:rFonts w:cs="Times New Roman"/>
          <w:color w:val="0000FF"/>
        </w:rPr>
      </w:pPr>
      <w:r>
        <w:rPr>
          <w:rFonts w:cs="Times New Roman"/>
          <w:color w:val="0000FF"/>
        </w:rPr>
        <w:t>大高支渠工程、白龙支渠工程设计新建进水闸，该2个条支渠均为众兴分干渠的支渠，渠道流量大小相近，进水闸尺寸规格类似，本次评价以大高支渠为例，分析新建进水闸对渠道水文情势的影响。</w:t>
      </w:r>
    </w:p>
    <w:p w14:paraId="13AA53D1">
      <w:pPr>
        <w:ind w:firstLine="480"/>
        <w:rPr>
          <w:rFonts w:cs="Times New Roman"/>
          <w:color w:val="0000FF"/>
        </w:rPr>
      </w:pPr>
      <w:r>
        <w:rPr>
          <w:rFonts w:cs="Times New Roman"/>
          <w:color w:val="0000FF"/>
        </w:rPr>
        <w:t>（1）大高支渠概况</w:t>
      </w:r>
    </w:p>
    <w:p w14:paraId="136DD7AD">
      <w:pPr>
        <w:ind w:firstLine="480"/>
        <w:rPr>
          <w:rFonts w:cs="Times New Roman"/>
          <w:color w:val="0000FF"/>
        </w:rPr>
      </w:pPr>
      <w:r>
        <w:rPr>
          <w:rFonts w:cs="Times New Roman"/>
          <w:color w:val="0000FF"/>
        </w:rPr>
        <w:t>大高支渠设计渠首流量为3.94m³/s，结合渠道渠底实测成果分析，大高支渠渠道纵比降为1/4000。</w:t>
      </w:r>
    </w:p>
    <w:p w14:paraId="40E89E05">
      <w:pPr>
        <w:rPr>
          <w:color w:val="0000FF"/>
        </w:rPr>
      </w:pPr>
      <w:r>
        <w:rPr>
          <w:color w:val="0000FF"/>
        </w:rPr>
        <w:t>表</w:t>
      </w:r>
      <w:r>
        <w:rPr>
          <w:rFonts w:hint="eastAsia"/>
          <w:color w:val="0000FF"/>
        </w:rPr>
        <w:t>5-1-2</w:t>
      </w:r>
      <w:r>
        <w:rPr>
          <w:color w:val="0000FF"/>
        </w:rPr>
        <w:t xml:space="preserve">  渠道纵比降统计表</w:t>
      </w:r>
    </w:p>
    <w:tbl>
      <w:tblPr>
        <w:tblStyle w:val="16"/>
        <w:tblW w:w="5000" w:type="pct"/>
        <w:jc w:val="center"/>
        <w:tblLayout w:type="autofit"/>
        <w:tblCellMar>
          <w:top w:w="0" w:type="dxa"/>
          <w:left w:w="108" w:type="dxa"/>
          <w:bottom w:w="0" w:type="dxa"/>
          <w:right w:w="108" w:type="dxa"/>
        </w:tblCellMar>
      </w:tblPr>
      <w:tblGrid>
        <w:gridCol w:w="1369"/>
        <w:gridCol w:w="4109"/>
        <w:gridCol w:w="2431"/>
        <w:gridCol w:w="1378"/>
      </w:tblGrid>
      <w:tr w14:paraId="44DE2BAD">
        <w:tblPrEx>
          <w:tblCellMar>
            <w:top w:w="0" w:type="dxa"/>
            <w:left w:w="108" w:type="dxa"/>
            <w:bottom w:w="0" w:type="dxa"/>
            <w:right w:w="108" w:type="dxa"/>
          </w:tblCellMar>
        </w:tblPrEx>
        <w:trPr>
          <w:cantSplit/>
          <w:trHeight w:val="340" w:hRule="atLeast"/>
          <w:jc w:val="center"/>
        </w:trPr>
        <w:tc>
          <w:tcPr>
            <w:tcW w:w="737" w:type="pct"/>
            <w:tcBorders>
              <w:top w:val="single" w:color="auto" w:sz="4" w:space="0"/>
              <w:left w:val="single" w:color="auto" w:sz="4" w:space="0"/>
              <w:bottom w:val="single" w:color="auto" w:sz="4" w:space="0"/>
              <w:right w:val="single" w:color="auto" w:sz="4" w:space="0"/>
            </w:tcBorders>
            <w:vAlign w:val="center"/>
          </w:tcPr>
          <w:p w14:paraId="02736C67">
            <w:pPr>
              <w:pStyle w:val="28"/>
              <w:bidi w:val="0"/>
            </w:pPr>
            <w:r>
              <w:t>序号</w:t>
            </w:r>
          </w:p>
        </w:tc>
        <w:tc>
          <w:tcPr>
            <w:tcW w:w="2212" w:type="pct"/>
            <w:tcBorders>
              <w:top w:val="single" w:color="auto" w:sz="4" w:space="0"/>
              <w:left w:val="single" w:color="auto" w:sz="4" w:space="0"/>
              <w:bottom w:val="single" w:color="auto" w:sz="4" w:space="0"/>
              <w:right w:val="single" w:color="auto" w:sz="4" w:space="0"/>
            </w:tcBorders>
            <w:vAlign w:val="center"/>
          </w:tcPr>
          <w:p w14:paraId="24B7F041">
            <w:pPr>
              <w:pStyle w:val="28"/>
              <w:bidi w:val="0"/>
            </w:pPr>
            <w:r>
              <w:t>渠道分段起讫地点</w:t>
            </w:r>
          </w:p>
        </w:tc>
        <w:tc>
          <w:tcPr>
            <w:tcW w:w="1309" w:type="pct"/>
            <w:tcBorders>
              <w:top w:val="single" w:color="auto" w:sz="4" w:space="0"/>
              <w:left w:val="single" w:color="auto" w:sz="4" w:space="0"/>
              <w:bottom w:val="single" w:color="auto" w:sz="4" w:space="0"/>
              <w:right w:val="single" w:color="auto" w:sz="4" w:space="0"/>
            </w:tcBorders>
            <w:vAlign w:val="center"/>
          </w:tcPr>
          <w:p w14:paraId="0A97DE8E">
            <w:pPr>
              <w:pStyle w:val="28"/>
              <w:bidi w:val="0"/>
            </w:pPr>
            <w:r>
              <w:t>起讫里程</w:t>
            </w:r>
          </w:p>
        </w:tc>
        <w:tc>
          <w:tcPr>
            <w:tcW w:w="742" w:type="pct"/>
            <w:tcBorders>
              <w:top w:val="single" w:color="auto" w:sz="4" w:space="0"/>
              <w:left w:val="single" w:color="auto" w:sz="4" w:space="0"/>
              <w:bottom w:val="single" w:color="000000" w:sz="4" w:space="0"/>
              <w:right w:val="single" w:color="auto" w:sz="4" w:space="0"/>
            </w:tcBorders>
            <w:vAlign w:val="center"/>
          </w:tcPr>
          <w:p w14:paraId="276E4DCB">
            <w:pPr>
              <w:pStyle w:val="28"/>
              <w:bidi w:val="0"/>
            </w:pPr>
            <w:r>
              <w:t>设计纵坡</w:t>
            </w:r>
          </w:p>
        </w:tc>
      </w:tr>
      <w:tr w14:paraId="14A36B1A">
        <w:tblPrEx>
          <w:tblCellMar>
            <w:top w:w="0" w:type="dxa"/>
            <w:left w:w="108" w:type="dxa"/>
            <w:bottom w:w="0" w:type="dxa"/>
            <w:right w:w="108" w:type="dxa"/>
          </w:tblCellMar>
        </w:tblPrEx>
        <w:trPr>
          <w:cantSplit/>
          <w:trHeight w:val="340" w:hRule="atLeast"/>
          <w:jc w:val="center"/>
        </w:trPr>
        <w:tc>
          <w:tcPr>
            <w:tcW w:w="737" w:type="pct"/>
            <w:tcBorders>
              <w:top w:val="nil"/>
              <w:left w:val="single" w:color="auto" w:sz="4" w:space="0"/>
              <w:bottom w:val="single" w:color="auto" w:sz="4" w:space="0"/>
              <w:right w:val="single" w:color="auto" w:sz="4" w:space="0"/>
            </w:tcBorders>
            <w:vAlign w:val="center"/>
          </w:tcPr>
          <w:p w14:paraId="04EDF2C8">
            <w:pPr>
              <w:pStyle w:val="28"/>
              <w:bidi w:val="0"/>
            </w:pPr>
            <w:r>
              <w:t>1</w:t>
            </w:r>
          </w:p>
        </w:tc>
        <w:tc>
          <w:tcPr>
            <w:tcW w:w="2212" w:type="pct"/>
            <w:tcBorders>
              <w:top w:val="nil"/>
              <w:left w:val="single" w:color="auto" w:sz="4" w:space="0"/>
              <w:bottom w:val="single" w:color="auto" w:sz="4" w:space="0"/>
              <w:right w:val="single" w:color="auto" w:sz="4" w:space="0"/>
            </w:tcBorders>
            <w:vAlign w:val="center"/>
          </w:tcPr>
          <w:p w14:paraId="1CA91CF2">
            <w:pPr>
              <w:pStyle w:val="28"/>
              <w:bidi w:val="0"/>
            </w:pPr>
            <w:r>
              <w:t>大高进水闸～墩塘节制闸</w:t>
            </w:r>
          </w:p>
        </w:tc>
        <w:tc>
          <w:tcPr>
            <w:tcW w:w="1309" w:type="pct"/>
            <w:tcBorders>
              <w:top w:val="nil"/>
              <w:left w:val="single" w:color="auto" w:sz="4" w:space="0"/>
              <w:bottom w:val="single" w:color="auto" w:sz="4" w:space="0"/>
              <w:right w:val="single" w:color="auto" w:sz="4" w:space="0"/>
            </w:tcBorders>
            <w:vAlign w:val="center"/>
          </w:tcPr>
          <w:p w14:paraId="51282BAB">
            <w:pPr>
              <w:pStyle w:val="28"/>
              <w:bidi w:val="0"/>
            </w:pPr>
            <w:r>
              <w:t>0+000～1+660</w:t>
            </w:r>
          </w:p>
        </w:tc>
        <w:tc>
          <w:tcPr>
            <w:tcW w:w="742" w:type="pct"/>
            <w:tcBorders>
              <w:top w:val="nil"/>
              <w:left w:val="single" w:color="auto" w:sz="4" w:space="0"/>
              <w:bottom w:val="single" w:color="auto" w:sz="4" w:space="0"/>
              <w:right w:val="single" w:color="auto" w:sz="4" w:space="0"/>
            </w:tcBorders>
            <w:vAlign w:val="center"/>
          </w:tcPr>
          <w:p w14:paraId="39A9315F">
            <w:pPr>
              <w:pStyle w:val="28"/>
              <w:bidi w:val="0"/>
            </w:pPr>
            <w:r>
              <w:t>1/4000</w:t>
            </w:r>
          </w:p>
        </w:tc>
      </w:tr>
      <w:tr w14:paraId="0A681395">
        <w:tblPrEx>
          <w:tblCellMar>
            <w:top w:w="0" w:type="dxa"/>
            <w:left w:w="108" w:type="dxa"/>
            <w:bottom w:w="0" w:type="dxa"/>
            <w:right w:w="108" w:type="dxa"/>
          </w:tblCellMar>
        </w:tblPrEx>
        <w:trPr>
          <w:cantSplit/>
          <w:trHeight w:val="340" w:hRule="atLeast"/>
          <w:jc w:val="center"/>
        </w:trPr>
        <w:tc>
          <w:tcPr>
            <w:tcW w:w="737" w:type="pct"/>
            <w:tcBorders>
              <w:top w:val="nil"/>
              <w:left w:val="single" w:color="auto" w:sz="4" w:space="0"/>
              <w:bottom w:val="single" w:color="auto" w:sz="4" w:space="0"/>
              <w:right w:val="single" w:color="auto" w:sz="4" w:space="0"/>
            </w:tcBorders>
            <w:noWrap/>
            <w:vAlign w:val="center"/>
          </w:tcPr>
          <w:p w14:paraId="55EEB34A">
            <w:pPr>
              <w:pStyle w:val="28"/>
              <w:bidi w:val="0"/>
            </w:pPr>
            <w:r>
              <w:t>2</w:t>
            </w:r>
          </w:p>
        </w:tc>
        <w:tc>
          <w:tcPr>
            <w:tcW w:w="2212" w:type="pct"/>
            <w:tcBorders>
              <w:top w:val="nil"/>
              <w:left w:val="single" w:color="auto" w:sz="4" w:space="0"/>
              <w:bottom w:val="single" w:color="auto" w:sz="4" w:space="0"/>
              <w:right w:val="single" w:color="auto" w:sz="4" w:space="0"/>
            </w:tcBorders>
            <w:vAlign w:val="center"/>
          </w:tcPr>
          <w:p w14:paraId="7AF5C4F5">
            <w:pPr>
              <w:pStyle w:val="28"/>
              <w:bidi w:val="0"/>
            </w:pPr>
            <w:r>
              <w:t>墩塘节制闸～程段水库</w:t>
            </w:r>
          </w:p>
        </w:tc>
        <w:tc>
          <w:tcPr>
            <w:tcW w:w="1309" w:type="pct"/>
            <w:tcBorders>
              <w:top w:val="nil"/>
              <w:left w:val="single" w:color="auto" w:sz="4" w:space="0"/>
              <w:bottom w:val="single" w:color="auto" w:sz="4" w:space="0"/>
              <w:right w:val="single" w:color="auto" w:sz="4" w:space="0"/>
            </w:tcBorders>
            <w:noWrap/>
            <w:vAlign w:val="center"/>
          </w:tcPr>
          <w:p w14:paraId="6F778F58">
            <w:pPr>
              <w:pStyle w:val="28"/>
              <w:bidi w:val="0"/>
            </w:pPr>
            <w:r>
              <w:t>1+660～6+810</w:t>
            </w:r>
          </w:p>
        </w:tc>
        <w:tc>
          <w:tcPr>
            <w:tcW w:w="742" w:type="pct"/>
            <w:tcBorders>
              <w:top w:val="nil"/>
              <w:left w:val="single" w:color="auto" w:sz="4" w:space="0"/>
              <w:bottom w:val="single" w:color="auto" w:sz="4" w:space="0"/>
              <w:right w:val="single" w:color="auto" w:sz="4" w:space="0"/>
            </w:tcBorders>
            <w:noWrap/>
            <w:vAlign w:val="center"/>
          </w:tcPr>
          <w:p w14:paraId="18BDD17B">
            <w:pPr>
              <w:pStyle w:val="28"/>
              <w:bidi w:val="0"/>
            </w:pPr>
            <w:r>
              <w:t>1/4000</w:t>
            </w:r>
          </w:p>
        </w:tc>
      </w:tr>
    </w:tbl>
    <w:p w14:paraId="4B01E199">
      <w:pPr>
        <w:spacing w:line="240" w:lineRule="auto"/>
        <w:rPr>
          <w:rFonts w:cs="Times New Roman"/>
          <w:color w:val="0000FF"/>
        </w:rPr>
      </w:pPr>
    </w:p>
    <w:p w14:paraId="5BFC562A">
      <w:pPr>
        <w:ind w:firstLine="480"/>
        <w:rPr>
          <w:rFonts w:cs="Times New Roman"/>
          <w:color w:val="0000FF"/>
        </w:rPr>
      </w:pPr>
      <w:r>
        <w:rPr>
          <w:rFonts w:cs="Times New Roman"/>
          <w:color w:val="0000FF"/>
        </w:rPr>
        <w:t>工程于桩号6+810新建1座进水闸，节制闸位于渠道末端，与程段水库连接处。</w:t>
      </w:r>
    </w:p>
    <w:p w14:paraId="6E3C5596">
      <w:pPr>
        <w:ind w:firstLine="480"/>
        <w:rPr>
          <w:rFonts w:cs="Times New Roman"/>
          <w:color w:val="0000FF"/>
        </w:rPr>
      </w:pPr>
      <w:r>
        <w:rPr>
          <w:rFonts w:cs="Times New Roman"/>
          <w:color w:val="0000FF"/>
        </w:rPr>
        <w:t>（2）现状及必要性</w:t>
      </w:r>
    </w:p>
    <w:p w14:paraId="0BDD43A6">
      <w:pPr>
        <w:ind w:firstLine="480"/>
        <w:rPr>
          <w:rFonts w:cs="Times New Roman"/>
          <w:color w:val="0000FF"/>
        </w:rPr>
      </w:pPr>
      <w:r>
        <w:rPr>
          <w:rFonts w:cs="Times New Roman"/>
          <w:color w:val="0000FF"/>
        </w:rPr>
        <w:t>大高支渠除了沿线灌溉沿线的农田，还可以往程段水库进行补水，现状程段水库进水为土涵口，无闸门控制，现状已有存在自发在水库进口附近设置土墩。为确保附近居民正常用水及保证程段水库的蓄水量，新建1座程段水库进水闸是有必要的。</w:t>
      </w:r>
    </w:p>
    <w:p w14:paraId="460121A6">
      <w:pPr>
        <w:ind w:firstLine="480"/>
        <w:rPr>
          <w:rFonts w:cs="Times New Roman"/>
          <w:color w:val="0000FF"/>
        </w:rPr>
      </w:pPr>
      <w:r>
        <w:rPr>
          <w:rFonts w:cs="Times New Roman"/>
          <w:color w:val="0000FF"/>
        </w:rPr>
        <w:t>（3）选址</w:t>
      </w:r>
    </w:p>
    <w:p w14:paraId="0EA82CE9">
      <w:pPr>
        <w:ind w:firstLine="480"/>
        <w:rPr>
          <w:rFonts w:cs="Times New Roman"/>
          <w:color w:val="0000FF"/>
        </w:rPr>
      </w:pPr>
      <w:r>
        <w:rPr>
          <w:rFonts w:cs="Times New Roman"/>
          <w:color w:val="0000FF"/>
        </w:rPr>
        <w:t>程段水库上游村庄分布较多，考虑进水闸上游灌区灌溉实际的用水需求和渠道与程段水库之间天然的位置关系，选址在程段水库进水口。新建的1座进水闸位于支渠渠道内，经过调查和实际踏勘，项目选址不涉及生态保护红线、基本农田、重要野生动植物生境、洄游鱼类重要生境等生态敏感区，不涉及饮用水水源一级、二级保护区，大高支渠整段在众兴水库饮用水水源准保护区内。</w:t>
      </w:r>
    </w:p>
    <w:p w14:paraId="11C072B7">
      <w:pPr>
        <w:ind w:firstLine="480"/>
        <w:rPr>
          <w:rFonts w:cs="Times New Roman"/>
          <w:color w:val="0000FF"/>
        </w:rPr>
      </w:pPr>
      <w:r>
        <w:rPr>
          <w:rFonts w:cs="Times New Roman"/>
          <w:color w:val="0000FF"/>
        </w:rPr>
        <w:t>（4）工程布置及运行调度情况</w:t>
      </w:r>
    </w:p>
    <w:p w14:paraId="27D93BC3">
      <w:pPr>
        <w:ind w:firstLine="480"/>
        <w:rPr>
          <w:rFonts w:cs="Times New Roman"/>
          <w:color w:val="0000FF"/>
        </w:rPr>
      </w:pPr>
      <w:r>
        <w:rPr>
          <w:rFonts w:cs="Times New Roman"/>
          <w:color w:val="0000FF"/>
        </w:rPr>
        <w:t>进水闸单孔，总净宽1.50m，边墩厚0.70m。水闸底槛高程为61.50m，检修平台顶高程63.70m，闸室顺水流方向长3.0m。采用整体箱涵式基础。闸室主要部位均为C25钢筋混凝土结构。</w:t>
      </w:r>
    </w:p>
    <w:p w14:paraId="7809D39F">
      <w:pPr>
        <w:ind w:firstLine="480"/>
        <w:rPr>
          <w:rFonts w:cs="Times New Roman"/>
          <w:color w:val="0000FF"/>
        </w:rPr>
      </w:pPr>
      <w:r>
        <w:rPr>
          <w:rFonts w:cs="Times New Roman"/>
          <w:color w:val="0000FF"/>
        </w:rPr>
        <w:t>闸室基础为土基，为有效减小边墙两侧土压力的影响，闸室底板采用U型式整体结构，底板和墩墙顺水流向均不分缝。</w:t>
      </w:r>
    </w:p>
    <w:p w14:paraId="359D0F6D">
      <w:pPr>
        <w:ind w:firstLine="480"/>
        <w:rPr>
          <w:rFonts w:cs="Times New Roman"/>
          <w:color w:val="0000FF"/>
        </w:rPr>
      </w:pPr>
      <w:r>
        <w:rPr>
          <w:rFonts w:cs="Times New Roman"/>
          <w:color w:val="0000FF"/>
        </w:rPr>
        <w:t>工程所在区域灌溉期一般为每年5月</w:t>
      </w:r>
      <w:r>
        <w:rPr>
          <w:rFonts w:hint="eastAsia" w:cs="Times New Roman"/>
          <w:color w:val="0000FF"/>
        </w:rPr>
        <w:t>～</w:t>
      </w:r>
      <w:r>
        <w:rPr>
          <w:rFonts w:cs="Times New Roman"/>
          <w:color w:val="0000FF"/>
        </w:rPr>
        <w:t>9月，非灌溉期为每年10月</w:t>
      </w:r>
      <w:r>
        <w:rPr>
          <w:rFonts w:hint="eastAsia" w:cs="Times New Roman"/>
          <w:color w:val="0000FF"/>
        </w:rPr>
        <w:t>～</w:t>
      </w:r>
      <w:r>
        <w:rPr>
          <w:rFonts w:cs="Times New Roman"/>
          <w:color w:val="0000FF"/>
        </w:rPr>
        <w:t>次年4月，非灌溉期渠首进水闸关闭，渠道内无固定水源，闸门处于常开状态；灌溉期统筹考虑上游、下游水库用水需求等情况，正常情况下关闭水闸，保证上游灌溉用水水位，上游灌溉用水有雨量时打开进水闸，对程段水库进行补水。</w:t>
      </w:r>
    </w:p>
    <w:p w14:paraId="2E3908AC">
      <w:pPr>
        <w:rPr>
          <w:rFonts w:cs="Times New Roman"/>
          <w:color w:val="0000FF"/>
        </w:rPr>
      </w:pPr>
      <w:r>
        <w:rPr>
          <w:rFonts w:cs="Times New Roman"/>
          <w:color w:val="0000FF"/>
        </w:rPr>
        <w:t>程段水库进水闸关闭时全面截断支渠与程段水库，降低了程段水库与支渠的水系连通。</w:t>
      </w:r>
    </w:p>
    <w:p w14:paraId="7CFC7546">
      <w:pPr>
        <w:rPr>
          <w:rFonts w:cs="Times New Roman"/>
          <w:color w:val="0000FF"/>
        </w:rPr>
      </w:pPr>
      <w:r>
        <w:rPr>
          <w:rFonts w:cs="Times New Roman"/>
          <w:color w:val="0000FF"/>
        </w:rPr>
        <w:t>综上，新建进水闸所在支渠流量较小，新建进水闸可以更好的调控水资源，提高用水效率，根据统计资料和现场踏勘，程段水库对大高支渠补水依赖度较低，已多年未补水，支渠、水库主要功能均为灌溉，无特殊生态需水要求，进水闸根据灌溉需求启闭，关闭时间较短，渠道非灌溉期常年无水，整体对程段水库、大高支渠水文情势影响不大。</w:t>
      </w:r>
    </w:p>
    <w:p w14:paraId="053B3E11">
      <w:pPr>
        <w:widowControl w:val="0"/>
        <w:ind w:firstLine="482"/>
        <w:rPr>
          <w:rFonts w:cs="Times New Roman"/>
          <w:b/>
          <w:bCs/>
          <w:color w:val="0000FF"/>
        </w:rPr>
      </w:pPr>
      <w:r>
        <w:rPr>
          <w:rFonts w:cs="Times New Roman"/>
          <w:b/>
          <w:bCs/>
          <w:color w:val="0000FF"/>
        </w:rPr>
        <w:t>4、对新建交通桥渠道水文情势的影响</w:t>
      </w:r>
    </w:p>
    <w:p w14:paraId="462B39D0">
      <w:pPr>
        <w:widowControl w:val="0"/>
        <w:ind w:firstLine="482"/>
        <w:rPr>
          <w:rFonts w:cs="Times New Roman"/>
          <w:color w:val="0000FF"/>
        </w:rPr>
      </w:pPr>
      <w:r>
        <w:rPr>
          <w:rFonts w:cs="Times New Roman"/>
          <w:color w:val="0000FF"/>
        </w:rPr>
        <w:t>胜天支渠、马田支渠以及沙胜支渠等新建机耕桥/人行桥，由于支渠规模类似，机耕桥、人行桥的结构类似，本次评价针对新建机耕桥对水文</w:t>
      </w:r>
      <w:r>
        <w:rPr>
          <w:rFonts w:hint="eastAsia" w:cs="Times New Roman"/>
          <w:color w:val="0000FF"/>
        </w:rPr>
        <w:t>情势</w:t>
      </w:r>
      <w:r>
        <w:rPr>
          <w:rFonts w:cs="Times New Roman"/>
          <w:color w:val="0000FF"/>
        </w:rPr>
        <w:t>的影响以胜天支渠老鼠尾巴机耕桥为例进行分析。</w:t>
      </w:r>
    </w:p>
    <w:p w14:paraId="078CB485">
      <w:pPr>
        <w:ind w:firstLine="480"/>
        <w:rPr>
          <w:rFonts w:cs="Times New Roman"/>
          <w:color w:val="0000FF"/>
        </w:rPr>
      </w:pPr>
      <w:r>
        <w:rPr>
          <w:rFonts w:cs="Times New Roman"/>
          <w:color w:val="0000FF"/>
        </w:rPr>
        <w:t>现状老鼠尾巴交通桥桥址处无建筑物，新建桥梁需满足工程运行的功能需求，同时考虑交通条件以方便后期运行管理，按照以上选址原则，综合考虑工程需要，并结合渠道运行管理单位的建议，拟在老鼠尾巴交通桥桥址处（桩号1+320）新建1座桥梁，满足当地居民生产、出行要求。</w:t>
      </w:r>
    </w:p>
    <w:p w14:paraId="0E5ECF55">
      <w:pPr>
        <w:ind w:firstLine="480"/>
        <w:rPr>
          <w:rFonts w:cs="Times New Roman"/>
          <w:color w:val="0000FF"/>
        </w:rPr>
      </w:pPr>
      <w:r>
        <w:rPr>
          <w:rFonts w:cs="Times New Roman"/>
          <w:color w:val="0000FF"/>
        </w:rPr>
        <w:t>根据现状及设计资料，结合老鼠尾巴机耕桥的立断面图，项目在渠道内不设置桥墩，渠岸两侧桥墩与坡面的接触点接近最高设计水位，正常运行状态下，对渠道运行时流速、流量以及水位影响较小。</w:t>
      </w:r>
    </w:p>
    <w:p w14:paraId="7012F709">
      <w:pPr>
        <w:ind w:firstLine="480"/>
        <w:rPr>
          <w:rFonts w:cs="Times New Roman"/>
          <w:color w:val="0000FF"/>
        </w:rPr>
      </w:pPr>
      <w:r>
        <w:rPr>
          <w:rFonts w:cs="Times New Roman"/>
          <w:color w:val="0000FF"/>
        </w:rPr>
        <w:t>5、对沣东干渠水文情势的影响</w:t>
      </w:r>
    </w:p>
    <w:p w14:paraId="2B2B4F79">
      <w:pPr>
        <w:ind w:firstLine="480"/>
        <w:rPr>
          <w:rFonts w:cs="Times New Roman"/>
          <w:color w:val="0000FF"/>
        </w:rPr>
      </w:pPr>
      <w:r>
        <w:rPr>
          <w:rFonts w:cs="Times New Roman"/>
          <w:color w:val="0000FF"/>
        </w:rPr>
        <w:t>沣东干渠工程于桩号43+240处新建1处何庄放水口，拟建放水口处现状为渠道堤防，考虑地方背坡灌溉渠道被人为的挖深，有较大的灌溉需求，在此处新建1座放水口。</w:t>
      </w:r>
    </w:p>
    <w:p w14:paraId="2D2BBD91">
      <w:pPr>
        <w:ind w:firstLine="480"/>
        <w:rPr>
          <w:rFonts w:cs="Times New Roman"/>
          <w:color w:val="0000FF"/>
        </w:rPr>
      </w:pPr>
      <w:r>
        <w:rPr>
          <w:rFonts w:cs="Times New Roman"/>
          <w:color w:val="0000FF"/>
        </w:rPr>
        <w:t>拟建放水口旨在提高灌溉效率，保证灌溉率，沣东干渠配套灌溉面积不发生变化，拟建放水口设计孔口尺寸Φ0.5m，闸上水位39.93m、闸下39.83m，可知新建放水涵对沣东干渠灌溉用水流速、流量以及水位影响较小。</w:t>
      </w:r>
    </w:p>
    <w:p w14:paraId="769A26CD">
      <w:pPr>
        <w:ind w:firstLine="480"/>
        <w:rPr>
          <w:rFonts w:cs="Times New Roman"/>
          <w:color w:val="0000FF"/>
        </w:rPr>
      </w:pPr>
      <w:r>
        <w:rPr>
          <w:rFonts w:cs="Times New Roman"/>
          <w:color w:val="0000FF"/>
        </w:rPr>
        <w:t>6、对其他渠道的影响</w:t>
      </w:r>
    </w:p>
    <w:p w14:paraId="1B429D10">
      <w:pPr>
        <w:ind w:firstLine="480"/>
        <w:rPr>
          <w:rFonts w:cs="Times New Roman"/>
          <w:color w:val="0000FF"/>
        </w:rPr>
      </w:pPr>
      <w:r>
        <w:rPr>
          <w:rFonts w:cs="Times New Roman"/>
          <w:color w:val="0000FF"/>
        </w:rPr>
        <w:t>其它渠道包括淠河总干渠、潜南干渠、滁河干渠、淠杭干渠、淠东干渠、瓦西干渠、堰口分干渠、淠源分干渠、小蜀山分干渠、瓦东干渠双庙支渠、东风支渠、义河支渠、堰西支渠、众兴分干渠双庙支渠、李山支渠、沣东干渠、沣西干渠、姚李支渠、乌斗支渠、舒庐干渠、杭北干渠、乐桥支渠。</w:t>
      </w:r>
    </w:p>
    <w:p w14:paraId="1FBF90F6">
      <w:pPr>
        <w:ind w:firstLine="480"/>
        <w:rPr>
          <w:rFonts w:cs="Times New Roman"/>
          <w:color w:val="0000FF"/>
        </w:rPr>
      </w:pPr>
      <w:r>
        <w:rPr>
          <w:rFonts w:cs="Times New Roman"/>
          <w:color w:val="0000FF"/>
        </w:rPr>
        <w:t>工程涉及各类涵闸、机耕桥、渡槽等建筑物工程的建设主要在原址上进行，工程涉及的建筑物复核过流能力均大于或等于建筑物的设计流量，不会造成雍水现象，本项目的实施对灌区渠道的水文情势有利。</w:t>
      </w:r>
    </w:p>
    <w:p w14:paraId="1FE4BD2E">
      <w:pPr>
        <w:pStyle w:val="3"/>
        <w:bidi w:val="0"/>
      </w:pPr>
      <w:bookmarkStart w:id="60" w:name="_Toc20189"/>
      <w:r>
        <w:t>5.2 地表水</w:t>
      </w:r>
      <w:r>
        <w:rPr>
          <w:rFonts w:hint="eastAsia"/>
        </w:rPr>
        <w:t>环境</w:t>
      </w:r>
      <w:r>
        <w:t>影响分析</w:t>
      </w:r>
      <w:bookmarkEnd w:id="60"/>
    </w:p>
    <w:p w14:paraId="509FC35B">
      <w:pPr>
        <w:pStyle w:val="4"/>
        <w:bidi w:val="0"/>
      </w:pPr>
      <w:r>
        <w:t>5.2.1 施工期地表水环境影响分析</w:t>
      </w:r>
    </w:p>
    <w:p w14:paraId="51071E9F">
      <w:pPr>
        <w:rPr>
          <w:rFonts w:cs="Times New Roman"/>
          <w:color w:val="0000FF"/>
        </w:rPr>
      </w:pPr>
      <w:r>
        <w:rPr>
          <w:rFonts w:cs="Times New Roman"/>
          <w:color w:val="0000FF"/>
        </w:rPr>
        <w:t>工程施工期水污染源主要包括生产废水和生活污水。生产废水主要包括施工机械设备冲洗产生的含油废水；混凝土施工废水；穿堤建筑物开挖清基产生的基坑废水。生活污水主要来源于施工期进场的管理人员和施工人员的生活排水。</w:t>
      </w:r>
    </w:p>
    <w:p w14:paraId="431B2EFD">
      <w:pPr>
        <w:rPr>
          <w:rFonts w:cs="Times New Roman"/>
          <w:color w:val="0000FF"/>
        </w:rPr>
      </w:pPr>
      <w:r>
        <w:rPr>
          <w:rFonts w:cs="Times New Roman"/>
          <w:color w:val="0000FF"/>
        </w:rPr>
        <w:t>按照本工程施工污废水性质，污染物以悬浮物和有机物质为主。</w:t>
      </w:r>
    </w:p>
    <w:p w14:paraId="539E3F07">
      <w:pPr>
        <w:pStyle w:val="6"/>
        <w:ind w:firstLine="482"/>
        <w:rPr>
          <w:color w:val="0000FF"/>
        </w:rPr>
      </w:pPr>
      <w:r>
        <w:rPr>
          <w:color w:val="0000FF"/>
        </w:rPr>
        <w:t>1、生活污水</w:t>
      </w:r>
    </w:p>
    <w:p w14:paraId="56486D6C">
      <w:pPr>
        <w:rPr>
          <w:rFonts w:cs="Times New Roman"/>
          <w:color w:val="0000FF"/>
        </w:rPr>
      </w:pPr>
      <w:r>
        <w:rPr>
          <w:rFonts w:hint="eastAsia" w:cs="Times New Roman"/>
          <w:color w:val="0000FF"/>
        </w:rPr>
        <w:t>项目设置设置88个施工分区（施工营地），其中58个分区有条件依托附近村镇房屋或者渠道管理房屋，工程仅设置30个施工生活区，</w:t>
      </w:r>
      <w:r>
        <w:rPr>
          <w:rFonts w:cs="Times New Roman"/>
          <w:color w:val="0000FF"/>
        </w:rPr>
        <w:t>根据源强核实结果，施工期生活污水产生量为317.9m</w:t>
      </w:r>
      <w:r>
        <w:rPr>
          <w:rFonts w:cs="Times New Roman"/>
          <w:color w:val="0000FF"/>
          <w:vertAlign w:val="superscript"/>
        </w:rPr>
        <w:t>3</w:t>
      </w:r>
      <w:r>
        <w:rPr>
          <w:rFonts w:cs="Times New Roman"/>
          <w:color w:val="0000FF"/>
        </w:rPr>
        <w:t>/d，各工区分别布置相应的生活设施</w:t>
      </w:r>
      <w:r>
        <w:rPr>
          <w:rFonts w:hint="eastAsia" w:cs="Times New Roman"/>
          <w:color w:val="0000FF"/>
        </w:rPr>
        <w:t>。根据施工现场情况，实际</w:t>
      </w:r>
      <w:r>
        <w:rPr>
          <w:rFonts w:cs="Times New Roman"/>
          <w:color w:val="0000FF"/>
        </w:rPr>
        <w:t>具备租用当地民房或依托乡镇设置生活区条件的</w:t>
      </w:r>
      <w:r>
        <w:rPr>
          <w:rFonts w:hint="eastAsia" w:cs="Times New Roman"/>
          <w:color w:val="0000FF"/>
        </w:rPr>
        <w:t>对施工布置继续进行优化调整</w:t>
      </w:r>
      <w:r>
        <w:rPr>
          <w:rFonts w:cs="Times New Roman"/>
          <w:color w:val="0000FF"/>
        </w:rPr>
        <w:t>，从源头上减少占地和生活污水产生量</w:t>
      </w:r>
      <w:r>
        <w:rPr>
          <w:rFonts w:hint="eastAsia" w:cs="Times New Roman"/>
          <w:color w:val="0000FF"/>
        </w:rPr>
        <w:t>。30</w:t>
      </w:r>
      <w:r>
        <w:rPr>
          <w:rFonts w:cs="Times New Roman"/>
          <w:color w:val="0000FF"/>
        </w:rPr>
        <w:t>个施工生活区</w:t>
      </w:r>
      <w:r>
        <w:rPr>
          <w:rFonts w:hint="eastAsia" w:cs="Times New Roman"/>
          <w:color w:val="0000FF"/>
        </w:rPr>
        <w:t>生活污水依托周边村庄或者经一体化生活污水处理设施处理达到行《农田灌溉水质标准》（GB5084-2021）中“水田作物”标准，用作周边农田灌溉</w:t>
      </w:r>
      <w:r>
        <w:rPr>
          <w:rFonts w:cs="Times New Roman"/>
          <w:color w:val="0000FF"/>
        </w:rPr>
        <w:t>。</w:t>
      </w:r>
    </w:p>
    <w:p w14:paraId="23937415">
      <w:pPr>
        <w:autoSpaceDE w:val="0"/>
        <w:autoSpaceDN w:val="0"/>
        <w:ind w:firstLine="480"/>
        <w:rPr>
          <w:rFonts w:cs="Times New Roman"/>
          <w:color w:val="0000FF"/>
        </w:rPr>
      </w:pPr>
      <w:r>
        <w:rPr>
          <w:rFonts w:cs="Times New Roman"/>
          <w:color w:val="0000FF"/>
        </w:rPr>
        <w:t>总体来说，本工程共有32个子项目，施工布置区随项目分布相对分散，单个施工布置区产生的生活污水量不大，生活污水的排放对地表水环境的影响随施工活动的结束而结束，属短期影响，施工期间产生的生活污水经采取相应措施后对周边地表水环境影响很小。</w:t>
      </w:r>
    </w:p>
    <w:p w14:paraId="1FF789F8">
      <w:pPr>
        <w:pStyle w:val="6"/>
        <w:ind w:firstLine="482"/>
        <w:rPr>
          <w:color w:val="0000FF"/>
        </w:rPr>
      </w:pPr>
      <w:r>
        <w:rPr>
          <w:color w:val="0000FF"/>
        </w:rPr>
        <w:t>2、含油废水</w:t>
      </w:r>
    </w:p>
    <w:p w14:paraId="177A7015">
      <w:pPr>
        <w:autoSpaceDE w:val="0"/>
        <w:autoSpaceDN w:val="0"/>
        <w:ind w:firstLine="480"/>
        <w:rPr>
          <w:rFonts w:cs="Times New Roman"/>
          <w:color w:val="0000FF"/>
        </w:rPr>
      </w:pPr>
      <w:r>
        <w:rPr>
          <w:rFonts w:cs="Times New Roman"/>
          <w:color w:val="0000FF"/>
        </w:rPr>
        <w:t>根据施工组织设计，工程施工过程中施工机械主要以柴油和汽油为动力燃料。工程所需施工机械为常用机械，工程附近的城镇均具备修理条件，施工现场不考虑机械的大修，仅布置一般供零配件更换和维护机械修理。</w:t>
      </w:r>
    </w:p>
    <w:p w14:paraId="25CE58A2">
      <w:pPr>
        <w:autoSpaceDE w:val="0"/>
        <w:autoSpaceDN w:val="0"/>
        <w:ind w:firstLine="480"/>
        <w:rPr>
          <w:rFonts w:cs="Times New Roman"/>
          <w:color w:val="0000FF"/>
        </w:rPr>
      </w:pPr>
      <w:r>
        <w:rPr>
          <w:rFonts w:cs="Times New Roman"/>
          <w:color w:val="0000FF"/>
        </w:rPr>
        <w:t>施工中各类机械如检修、冲洗机械设备产生的含油废水的主要特点是悬浮物和石油类含量较高，含油废水中石油类平均浓度约为30</w:t>
      </w:r>
      <w:r>
        <w:rPr>
          <w:rFonts w:hint="eastAsia" w:cs="Times New Roman"/>
          <w:color w:val="0000FF"/>
        </w:rPr>
        <w:t>～</w:t>
      </w:r>
      <w:r>
        <w:rPr>
          <w:rFonts w:cs="Times New Roman"/>
          <w:color w:val="0000FF"/>
        </w:rPr>
        <w:t>50mg/L。在车辆机械清洗维修过程时，将产生一定量的含油废水，含油废水如不经处理直接集中排放会对周围土壤和河渠造成污染，因此对于机械维修厂的废水</w:t>
      </w:r>
      <w:r>
        <w:rPr>
          <w:rFonts w:hint="eastAsia" w:cs="Times New Roman"/>
          <w:color w:val="0000FF"/>
        </w:rPr>
        <w:t>须</w:t>
      </w:r>
      <w:r>
        <w:rPr>
          <w:rFonts w:cs="Times New Roman"/>
          <w:color w:val="0000FF"/>
        </w:rPr>
        <w:t>经油水分离器进行处理。本工程以油料为动力且需要冲洗维护的施工机械约985（辆），24个施工月共产生35460m</w:t>
      </w:r>
      <w:r>
        <w:rPr>
          <w:rFonts w:cs="Times New Roman"/>
          <w:color w:val="0000FF"/>
          <w:vertAlign w:val="superscript"/>
        </w:rPr>
        <w:t>3</w:t>
      </w:r>
      <w:r>
        <w:rPr>
          <w:rFonts w:cs="Times New Roman"/>
          <w:color w:val="0000FF"/>
        </w:rPr>
        <w:t>含油废水，平均每个施工工区每月只产生34.4m</w:t>
      </w:r>
      <w:r>
        <w:rPr>
          <w:rFonts w:cs="Times New Roman"/>
          <w:color w:val="0000FF"/>
          <w:vertAlign w:val="superscript"/>
        </w:rPr>
        <w:t>3</w:t>
      </w:r>
      <w:r>
        <w:rPr>
          <w:rFonts w:cs="Times New Roman"/>
          <w:color w:val="0000FF"/>
        </w:rPr>
        <w:t>含油废水。</w:t>
      </w:r>
    </w:p>
    <w:p w14:paraId="19C1DBB2">
      <w:pPr>
        <w:autoSpaceDE w:val="0"/>
        <w:autoSpaceDN w:val="0"/>
        <w:ind w:firstLine="480"/>
        <w:rPr>
          <w:rFonts w:cs="Times New Roman"/>
          <w:color w:val="0000FF"/>
        </w:rPr>
      </w:pPr>
      <w:r>
        <w:rPr>
          <w:rFonts w:cs="Times New Roman"/>
          <w:color w:val="0000FF"/>
        </w:rPr>
        <w:t>机械维修、冲洗废水随意排放会对周边地表水、土壤造成不利影响，本次工程每个施工布置区配套建设隔油、沉淀装置，含油废水经油水分离装置和沉淀池沉淀处理后的循环使用于施工机械维护清洗和施工场地洒水抑尘用水等不外排，含油污泥定期清捞采用容器收集后送有处理能力的单位进行处理，禁止自行处置，对周边地表水环境、土壤环境基本无影响</w:t>
      </w:r>
    </w:p>
    <w:p w14:paraId="317CD29A">
      <w:pPr>
        <w:pStyle w:val="6"/>
        <w:ind w:firstLine="482"/>
        <w:rPr>
          <w:color w:val="0000FF"/>
        </w:rPr>
      </w:pPr>
      <w:r>
        <w:rPr>
          <w:color w:val="0000FF"/>
        </w:rPr>
        <w:t>3、混凝土施工废水</w:t>
      </w:r>
    </w:p>
    <w:p w14:paraId="4DC2A9E6">
      <w:pPr>
        <w:autoSpaceDE w:val="0"/>
        <w:autoSpaceDN w:val="0"/>
        <w:ind w:firstLine="480"/>
        <w:rPr>
          <w:rFonts w:cs="Times New Roman"/>
          <w:color w:val="0000FF"/>
        </w:rPr>
      </w:pPr>
      <w:r>
        <w:rPr>
          <w:rFonts w:cs="Times New Roman"/>
          <w:color w:val="0000FF"/>
        </w:rPr>
        <w:t>本工程大部分采用商砼，仅在部分施工区现场布置0.4m</w:t>
      </w:r>
      <w:r>
        <w:rPr>
          <w:rFonts w:cs="Times New Roman"/>
          <w:color w:val="0000FF"/>
          <w:vertAlign w:val="superscript"/>
        </w:rPr>
        <w:t>3</w:t>
      </w:r>
      <w:r>
        <w:rPr>
          <w:rFonts w:cs="Times New Roman"/>
          <w:color w:val="0000FF"/>
        </w:rPr>
        <w:t>混凝土搅拌机提供零星混凝土熟料。混凝土拌和将产生少量拌和冲洗废水。</w:t>
      </w:r>
    </w:p>
    <w:p w14:paraId="435AF3F4">
      <w:pPr>
        <w:autoSpaceDE w:val="0"/>
        <w:autoSpaceDN w:val="0"/>
        <w:ind w:firstLine="480"/>
        <w:rPr>
          <w:rFonts w:cs="Times New Roman"/>
          <w:color w:val="0000FF"/>
        </w:rPr>
      </w:pPr>
      <w:r>
        <w:rPr>
          <w:rFonts w:cs="Times New Roman"/>
          <w:color w:val="0000FF"/>
        </w:rPr>
        <w:t>本工程施工现场不拌合。混凝土工程主要来自：渠道衬砌采用的现浇混凝土，水闸、渠下涵、泵站等工程所需的启闭机台、桥梁面板等砼预制构件的预制，桥梁工程所需桥面板的集中预制，渡槽工程、管护道路路面所需的混凝土施工。混凝土养护中排放的碱性废水。</w:t>
      </w:r>
    </w:p>
    <w:p w14:paraId="0E6B7E53">
      <w:pPr>
        <w:autoSpaceDE w:val="0"/>
        <w:autoSpaceDN w:val="0"/>
        <w:ind w:firstLine="480"/>
        <w:rPr>
          <w:rFonts w:cs="Times New Roman"/>
          <w:color w:val="0000FF"/>
        </w:rPr>
      </w:pPr>
      <w:r>
        <w:rPr>
          <w:rFonts w:cs="Times New Roman"/>
          <w:color w:val="0000FF"/>
        </w:rPr>
        <w:t>根据工程分析，项目混凝土施工产生的混凝土施工废水总量为12.75万m</w:t>
      </w:r>
      <w:r>
        <w:rPr>
          <w:rFonts w:cs="Times New Roman"/>
          <w:color w:val="0000FF"/>
          <w:vertAlign w:val="superscript"/>
        </w:rPr>
        <w:t>3</w:t>
      </w:r>
      <w:r>
        <w:rPr>
          <w:rFonts w:cs="Times New Roman"/>
          <w:color w:val="0000FF"/>
        </w:rPr>
        <w:t>。混凝土施工废水排放方式为间歇排放，pH值一般为9~12，悬浮物浓度可高达2000mg/L。</w:t>
      </w:r>
    </w:p>
    <w:p w14:paraId="3EBB0952">
      <w:pPr>
        <w:autoSpaceDE w:val="0"/>
        <w:autoSpaceDN w:val="0"/>
        <w:ind w:firstLine="480"/>
        <w:rPr>
          <w:rFonts w:cs="Times New Roman"/>
          <w:color w:val="0000FF"/>
        </w:rPr>
      </w:pPr>
      <w:r>
        <w:rPr>
          <w:rFonts w:cs="Times New Roman"/>
          <w:color w:val="0000FF"/>
        </w:rPr>
        <w:t>由于本工程分散而自成单独的施工区，因此各区混凝土养护废水排放量较低。混凝土养护废水经中和沉淀处理，达到《城市污水再生利用 城市杂用水水质》（GB/T18920-2002）中建筑施工杂用水水质标准后，可回用于混凝土养护，或回用于生产和施工场地洒水降尘，禁止外排。在落实混凝土养护废水处理措施后，本工程混凝土养护废水不会对工程所在区域河流、灌渠水质产生影响。</w:t>
      </w:r>
    </w:p>
    <w:p w14:paraId="5312A79E">
      <w:pPr>
        <w:pStyle w:val="6"/>
        <w:ind w:firstLine="482"/>
        <w:rPr>
          <w:color w:val="0000FF"/>
        </w:rPr>
      </w:pPr>
      <w:r>
        <w:rPr>
          <w:color w:val="0000FF"/>
        </w:rPr>
        <w:t>4、基坑排水</w:t>
      </w:r>
    </w:p>
    <w:p w14:paraId="4513CA26">
      <w:pPr>
        <w:ind w:firstLine="480"/>
        <w:rPr>
          <w:rFonts w:cs="Times New Roman"/>
          <w:color w:val="0000FF"/>
        </w:rPr>
      </w:pPr>
      <w:r>
        <w:rPr>
          <w:rFonts w:cs="Times New Roman"/>
          <w:color w:val="0000FF"/>
        </w:rPr>
        <w:t>基坑排水分初期排水和经常性排水，初期排水主要是原来的渠道、地下渗水和降水，SS浓度相对较低；基坑经常性排水主要基坑内初期积水和排水期间渗汇水，主要污染物为SS。根据水利工程经验，基坑初期排水水量相对较大、水质与河流水质基本相同，不会增加对所在河道水质的污染。根据施工进度安排，施工时段选择11</w:t>
      </w:r>
      <w:r>
        <w:rPr>
          <w:rFonts w:hint="eastAsia" w:cs="Times New Roman"/>
          <w:color w:val="0000FF"/>
        </w:rPr>
        <w:t>～次年</w:t>
      </w:r>
      <w:r>
        <w:rPr>
          <w:rFonts w:cs="Times New Roman"/>
          <w:color w:val="0000FF"/>
        </w:rPr>
        <w:t>3月完成，基坑经常性排水为间歇排放，每次水量较小，根据前节估算，日产生基坑废水约43.23m</w:t>
      </w:r>
      <w:r>
        <w:rPr>
          <w:rFonts w:cs="Times New Roman"/>
          <w:color w:val="0000FF"/>
          <w:vertAlign w:val="superscript"/>
        </w:rPr>
        <w:t>3</w:t>
      </w:r>
      <w:r>
        <w:rPr>
          <w:rFonts w:cs="Times New Roman"/>
          <w:color w:val="0000FF"/>
        </w:rPr>
        <w:t>/d。根据工程经验，基坑水经沉淀2个小时后，悬浮物浓度可降到200mg/L以下，可回</w:t>
      </w:r>
      <w:r>
        <w:rPr>
          <w:rFonts w:hint="eastAsia" w:cs="Times New Roman"/>
          <w:color w:val="0000FF"/>
        </w:rPr>
        <w:t>用作</w:t>
      </w:r>
      <w:r>
        <w:rPr>
          <w:rFonts w:cs="Times New Roman"/>
          <w:color w:val="0000FF"/>
        </w:rPr>
        <w:t>运输道路洒水和施工场地洒水，不外排。另外，禁止在雨季开挖施工。基坑排水回用于洒水降尘、施工生产，不得直接排入渠道，对水环境影响很小。</w:t>
      </w:r>
    </w:p>
    <w:p w14:paraId="6654169A">
      <w:pPr>
        <w:pStyle w:val="6"/>
        <w:ind w:firstLine="482"/>
        <w:rPr>
          <w:color w:val="0000FF"/>
        </w:rPr>
      </w:pPr>
      <w:r>
        <w:rPr>
          <w:color w:val="0000FF"/>
        </w:rPr>
        <w:t>5、施工导流</w:t>
      </w:r>
    </w:p>
    <w:p w14:paraId="493FC27B">
      <w:pPr>
        <w:autoSpaceDE w:val="0"/>
        <w:autoSpaceDN w:val="0"/>
        <w:ind w:firstLine="480"/>
        <w:rPr>
          <w:rFonts w:cs="Times New Roman"/>
          <w:color w:val="0000FF"/>
        </w:rPr>
      </w:pPr>
      <w:r>
        <w:rPr>
          <w:rFonts w:cs="Times New Roman"/>
          <w:color w:val="0000FF"/>
        </w:rPr>
        <w:t>根据施工组织设计，本项目渠道清淤采用陆上机械明挖疏浚，围堰施工</w:t>
      </w:r>
      <w:r>
        <w:rPr>
          <w:rFonts w:hint="eastAsia" w:cs="Times New Roman"/>
          <w:color w:val="0000FF"/>
        </w:rPr>
        <w:t>采用</w:t>
      </w:r>
      <w:r>
        <w:rPr>
          <w:rFonts w:cs="Times New Roman"/>
          <w:color w:val="0000FF"/>
        </w:rPr>
        <w:t>反铲挖掘机开挖，推土机进占，均质土围堰是采用挖掘机配合推土机施工，围堰拆除采用挖掘机配合自卸汽车运输至</w:t>
      </w:r>
      <w:r>
        <w:rPr>
          <w:rFonts w:hint="eastAsia" w:cs="Times New Roman"/>
          <w:color w:val="0000FF"/>
        </w:rPr>
        <w:t>弃土场</w:t>
      </w:r>
      <w:r>
        <w:rPr>
          <w:rFonts w:cs="Times New Roman"/>
          <w:color w:val="0000FF"/>
        </w:rPr>
        <w:t>。</w:t>
      </w:r>
    </w:p>
    <w:p w14:paraId="02C08363">
      <w:pPr>
        <w:autoSpaceDE w:val="0"/>
        <w:autoSpaceDN w:val="0"/>
        <w:ind w:firstLine="480"/>
        <w:rPr>
          <w:rFonts w:cs="Times New Roman"/>
          <w:color w:val="0000FF"/>
        </w:rPr>
      </w:pPr>
      <w:r>
        <w:rPr>
          <w:rFonts w:cs="Times New Roman"/>
          <w:color w:val="0000FF"/>
        </w:rPr>
        <w:t>围堰施工采用挖掘机开挖：存在抽排水清基中产生的废水，将会造成渠道内局部水域悬浮物浓度增加，从而影响水质；同时围堰施工过程中扰动底泥也会使围堰施工区附近水域悬浮物浓度增加。</w:t>
      </w:r>
    </w:p>
    <w:p w14:paraId="795D94AC">
      <w:pPr>
        <w:autoSpaceDE w:val="0"/>
        <w:autoSpaceDN w:val="0"/>
        <w:ind w:firstLine="480"/>
        <w:rPr>
          <w:rFonts w:cs="Times New Roman"/>
          <w:color w:val="0000FF"/>
        </w:rPr>
      </w:pPr>
      <w:r>
        <w:rPr>
          <w:rFonts w:cs="Times New Roman"/>
          <w:color w:val="0000FF"/>
        </w:rPr>
        <w:t>工程施工期，渠道清淤、围堰施工对水环境影响分析见下表。</w:t>
      </w:r>
    </w:p>
    <w:p w14:paraId="332EF2B8">
      <w:pPr>
        <w:autoSpaceDE w:val="0"/>
        <w:autoSpaceDN w:val="0"/>
        <w:jc w:val="center"/>
        <w:rPr>
          <w:rFonts w:cs="Times New Roman"/>
          <w:color w:val="0000FF"/>
        </w:rPr>
      </w:pPr>
      <w:r>
        <w:rPr>
          <w:rFonts w:eastAsia="黑体" w:cs="Times New Roman"/>
          <w:color w:val="0000FF"/>
        </w:rPr>
        <w:t>表5-2-1  渠道清淤工程水环境影响分析表</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5"/>
        <w:gridCol w:w="4720"/>
        <w:gridCol w:w="2308"/>
        <w:gridCol w:w="1094"/>
      </w:tblGrid>
      <w:tr w14:paraId="6C98A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7" w:type="pct"/>
            <w:vAlign w:val="center"/>
          </w:tcPr>
          <w:p w14:paraId="317E7AB2">
            <w:pPr>
              <w:pStyle w:val="28"/>
              <w:bidi w:val="0"/>
            </w:pPr>
            <w:r>
              <w:t>工程类型</w:t>
            </w:r>
          </w:p>
        </w:tc>
        <w:tc>
          <w:tcPr>
            <w:tcW w:w="2540" w:type="pct"/>
            <w:vAlign w:val="center"/>
          </w:tcPr>
          <w:p w14:paraId="3E706992">
            <w:pPr>
              <w:pStyle w:val="28"/>
              <w:bidi w:val="0"/>
            </w:pPr>
            <w:r>
              <w:t>工程位置</w:t>
            </w:r>
          </w:p>
        </w:tc>
        <w:tc>
          <w:tcPr>
            <w:tcW w:w="1242" w:type="pct"/>
            <w:vAlign w:val="center"/>
          </w:tcPr>
          <w:p w14:paraId="575981E4">
            <w:pPr>
              <w:pStyle w:val="28"/>
              <w:bidi w:val="0"/>
            </w:pPr>
            <w:r>
              <w:t>施工影响</w:t>
            </w:r>
          </w:p>
        </w:tc>
        <w:tc>
          <w:tcPr>
            <w:tcW w:w="589" w:type="pct"/>
            <w:vAlign w:val="center"/>
          </w:tcPr>
          <w:p w14:paraId="16D38568">
            <w:pPr>
              <w:pStyle w:val="28"/>
              <w:bidi w:val="0"/>
            </w:pPr>
            <w:r>
              <w:t>施工时段</w:t>
            </w:r>
          </w:p>
        </w:tc>
      </w:tr>
      <w:tr w14:paraId="15E99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7" w:type="pct"/>
            <w:vAlign w:val="center"/>
          </w:tcPr>
          <w:p w14:paraId="0BF24090">
            <w:pPr>
              <w:pStyle w:val="28"/>
              <w:bidi w:val="0"/>
            </w:pPr>
            <w:r>
              <w:t>围堰施工</w:t>
            </w:r>
          </w:p>
        </w:tc>
        <w:tc>
          <w:tcPr>
            <w:tcW w:w="2540" w:type="pct"/>
            <w:vAlign w:val="center"/>
          </w:tcPr>
          <w:p w14:paraId="2DD0162D">
            <w:pPr>
              <w:pStyle w:val="28"/>
              <w:bidi w:val="0"/>
            </w:pPr>
            <w:r>
              <w:t>淠河总干渠、滁河干渠、淠东干渠、淠杭干渠、瓦西干渠、潜南干渠、堰口分干渠、淠源分干渠、小蜀山分干渠、杨西分干渠东风支渠、瓦东干渠双庙支渠、瓦东干渠李山支渠、潜南干渠界河支渠、潜南干渠义河支渠、潜南干渠袁店支渠、潜南干渠堰西支渠、众兴分干渠双庙支、众兴分干渠大高支渠、众兴分干渠白龙支渠、沣东干渠、沣西干渠、沣西干渠胜天支渠、沣西干渠乌斗支渠、汲东干渠姚李支渠、舒庐干渠、杭北干渠、马田支渠、沙胜支渠、乐桥支渠合计29条</w:t>
            </w:r>
          </w:p>
        </w:tc>
        <w:tc>
          <w:tcPr>
            <w:tcW w:w="1242" w:type="pct"/>
            <w:vAlign w:val="center"/>
          </w:tcPr>
          <w:p w14:paraId="7EBAC61F">
            <w:pPr>
              <w:pStyle w:val="28"/>
              <w:bidi w:val="0"/>
            </w:pPr>
            <w:r>
              <w:t>机械搅动会把渠道底泥中细小颗粒、有机质、营养物质重新释放到水体中去，对水体造成如色度、浊度（SS值）因子超标，也可能引起如其他水质指标超标，对施工点局部，水环境质量形成影响，施工点局部SS值显著提高。</w:t>
            </w:r>
          </w:p>
        </w:tc>
        <w:tc>
          <w:tcPr>
            <w:tcW w:w="589" w:type="pct"/>
            <w:vAlign w:val="center"/>
          </w:tcPr>
          <w:p w14:paraId="711DE380">
            <w:pPr>
              <w:pStyle w:val="28"/>
              <w:bidi w:val="0"/>
            </w:pPr>
            <w:r>
              <w:t>枯水期</w:t>
            </w:r>
          </w:p>
        </w:tc>
      </w:tr>
      <w:tr w14:paraId="38F4C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27" w:type="pct"/>
            <w:vAlign w:val="center"/>
          </w:tcPr>
          <w:p w14:paraId="41980C3A">
            <w:pPr>
              <w:pStyle w:val="28"/>
              <w:bidi w:val="0"/>
            </w:pPr>
            <w:r>
              <w:t>渠道清淤</w:t>
            </w:r>
          </w:p>
        </w:tc>
        <w:tc>
          <w:tcPr>
            <w:tcW w:w="2540" w:type="pct"/>
            <w:vAlign w:val="center"/>
          </w:tcPr>
          <w:p w14:paraId="1F82B288">
            <w:pPr>
              <w:pStyle w:val="28"/>
              <w:bidi w:val="0"/>
            </w:pPr>
            <w:r>
              <w:t>淠东干渠工程、瓦东干渠双庙支渠工程、杨西分干渠东风支渠工程、潜南干渠界河支渠工程、潜南干渠义河支渠工程、潜南干渠袁店支渠工程、众兴分干渠双庙支渠工程、沣西干渠工程、汲东干渠姚李支渠工程、乌斗支渠工程、杭北干渠工程、庐南分干渠沙胜支渠工程、庐南分干渠乐桥支渠工程、舒庐干渠马田支渠工程合计14条</w:t>
            </w:r>
          </w:p>
        </w:tc>
        <w:tc>
          <w:tcPr>
            <w:tcW w:w="1242" w:type="pct"/>
            <w:vAlign w:val="center"/>
          </w:tcPr>
          <w:p w14:paraId="48E15AFA">
            <w:pPr>
              <w:pStyle w:val="28"/>
              <w:bidi w:val="0"/>
            </w:pPr>
            <w:r>
              <w:t>机械搅动对施工点局部，施工点局部SS值显著提高。</w:t>
            </w:r>
          </w:p>
        </w:tc>
        <w:tc>
          <w:tcPr>
            <w:tcW w:w="589" w:type="pct"/>
            <w:vAlign w:val="center"/>
          </w:tcPr>
          <w:p w14:paraId="6593E115">
            <w:pPr>
              <w:pStyle w:val="28"/>
              <w:bidi w:val="0"/>
            </w:pPr>
            <w:r>
              <w:t>枯水期</w:t>
            </w:r>
          </w:p>
        </w:tc>
      </w:tr>
    </w:tbl>
    <w:p w14:paraId="7C803A0C">
      <w:pPr>
        <w:adjustRightInd w:val="0"/>
        <w:spacing w:line="240" w:lineRule="auto"/>
        <w:ind w:firstLine="480" w:firstLineChars="200"/>
        <w:textAlignment w:val="center"/>
        <w:rPr>
          <w:rFonts w:cs="Times New Roman"/>
          <w:color w:val="0000FF"/>
        </w:rPr>
      </w:pPr>
    </w:p>
    <w:p w14:paraId="7618F0F0">
      <w:pPr>
        <w:autoSpaceDE w:val="0"/>
        <w:autoSpaceDN w:val="0"/>
        <w:ind w:firstLine="480"/>
        <w:rPr>
          <w:rFonts w:cs="Times New Roman"/>
          <w:color w:val="0000FF"/>
        </w:rPr>
      </w:pPr>
      <w:r>
        <w:rPr>
          <w:rFonts w:cs="Times New Roman"/>
          <w:color w:val="0000FF"/>
        </w:rPr>
        <w:t>本工程常水位以上土方开挖由于渠道内基本无水，不会发生对地表水的扰动现象。</w:t>
      </w:r>
    </w:p>
    <w:p w14:paraId="4FE0E174">
      <w:pPr>
        <w:pStyle w:val="6"/>
        <w:ind w:firstLine="480" w:firstLineChars="200"/>
        <w:rPr>
          <w:color w:val="0000FF"/>
        </w:rPr>
      </w:pPr>
      <w:r>
        <w:rPr>
          <w:color w:val="0000FF"/>
        </w:rPr>
        <w:t>6、工程施工对</w:t>
      </w:r>
      <w:r>
        <w:rPr>
          <w:rFonts w:hint="eastAsia"/>
          <w:color w:val="0000FF"/>
        </w:rPr>
        <w:t>监测</w:t>
      </w:r>
      <w:r>
        <w:rPr>
          <w:color w:val="0000FF"/>
        </w:rPr>
        <w:t>断面的影响分析</w:t>
      </w:r>
    </w:p>
    <w:p w14:paraId="38403418">
      <w:pPr>
        <w:autoSpaceDE w:val="0"/>
        <w:autoSpaceDN w:val="0"/>
        <w:ind w:firstLine="480" w:firstLineChars="200"/>
        <w:rPr>
          <w:rFonts w:cs="Times New Roman"/>
          <w:color w:val="0000FF"/>
        </w:rPr>
      </w:pPr>
      <w:r>
        <w:rPr>
          <w:rFonts w:cs="Times New Roman"/>
          <w:color w:val="0000FF"/>
        </w:rPr>
        <w:t>根据</w:t>
      </w:r>
      <w:r>
        <w:rPr>
          <w:rFonts w:hint="eastAsia" w:cs="Times New Roman"/>
          <w:color w:val="0000FF"/>
        </w:rPr>
        <w:t>《安徽省“十四五”重点流域水生态环境保护规划》《合肥市重点流域水生态环境保护“十四五”规划》《安徽省生态环境厅关于下达“十四五”省控断面水质目标的通知》等资料以及</w:t>
      </w:r>
      <w:r>
        <w:rPr>
          <w:rFonts w:cs="Times New Roman"/>
          <w:color w:val="0000FF"/>
        </w:rPr>
        <w:t>现场踏勘</w:t>
      </w:r>
      <w:r>
        <w:rPr>
          <w:rFonts w:hint="eastAsia" w:cs="Times New Roman"/>
          <w:color w:val="0000FF"/>
        </w:rPr>
        <w:t>可知本项目涉及的国控断面、省控断面那主要为果园山水库断面、淠东干渠六淮界断面、淠河总干渠横排头断面、淠河总干渠六安市一水厂取水口断面、淠河总干渠六安市东城水厂水源地断面。</w:t>
      </w:r>
    </w:p>
    <w:p w14:paraId="50240333">
      <w:pPr>
        <w:autoSpaceDE w:val="0"/>
        <w:autoSpaceDN w:val="0"/>
        <w:ind w:firstLine="480" w:firstLineChars="200"/>
        <w:rPr>
          <w:rFonts w:cs="Times New Roman"/>
          <w:color w:val="0000FF"/>
        </w:rPr>
      </w:pPr>
      <w:r>
        <w:rPr>
          <w:rFonts w:hint="eastAsia" w:cs="Times New Roman"/>
          <w:color w:val="0000FF"/>
        </w:rPr>
        <w:t>工程项目实施后，淠河总干渠供水渠道坡面得到修整，更加的稳定，渠系建筑物老化、损毁、泄洪不畅等问题得到解决，能够进一步改善淠河总干渠、淠东干渠的水质，同时保证六安市一水厂、东城水厂取水口以及水源地的供水的安全性和稳定性；果园山水库进水闸重建后可保证水库补水、泄洪的安全性和稳定性。运行期工程建设对项目涉及的5个监测断面有积极影响。</w:t>
      </w:r>
    </w:p>
    <w:p w14:paraId="2DA5F418">
      <w:pPr>
        <w:autoSpaceDE w:val="0"/>
        <w:autoSpaceDN w:val="0"/>
        <w:ind w:firstLine="480" w:firstLineChars="200"/>
        <w:rPr>
          <w:rFonts w:cs="Times New Roman"/>
          <w:color w:val="0000FF"/>
        </w:rPr>
      </w:pPr>
      <w:r>
        <w:rPr>
          <w:rFonts w:hint="eastAsia" w:cs="Times New Roman"/>
          <w:color w:val="0000FF"/>
        </w:rPr>
        <w:t>工程施工期施工过程中施工围堰导流会对横排头、六安市一水厂取水口、六安东城水厂水源地、淠东干渠六淮界、果园山水库监测断面产生局部影响。</w:t>
      </w:r>
    </w:p>
    <w:p w14:paraId="1062ED10">
      <w:pPr>
        <w:autoSpaceDE w:val="0"/>
        <w:autoSpaceDN w:val="0"/>
        <w:ind w:firstLine="480" w:firstLineChars="200"/>
        <w:rPr>
          <w:rFonts w:cs="Times New Roman"/>
          <w:color w:val="0000FF"/>
        </w:rPr>
      </w:pPr>
      <w:r>
        <w:rPr>
          <w:rFonts w:hint="eastAsia" w:cs="Times New Roman"/>
          <w:color w:val="0000FF"/>
        </w:rPr>
        <w:t>果园山水库进水闸位于果园山水库的东北角，距离水库中心监测点位较远约691m，施工期在果园山进水闸上游（果园山水库）、下游（舒庐干渠）分别设置围堰挡水，进水闸施工场地形成无水施工，施工场地与果园山水库无水力联系，对果园山水库水质无影响；袋装土围堰填筑</w:t>
      </w:r>
      <w:r>
        <w:rPr>
          <w:rFonts w:cs="Times New Roman"/>
          <w:color w:val="0000FF"/>
        </w:rPr>
        <w:t>拆除施工</w:t>
      </w:r>
      <w:r>
        <w:rPr>
          <w:rFonts w:hint="eastAsia" w:cs="Times New Roman"/>
          <w:color w:val="0000FF"/>
        </w:rPr>
        <w:t>过程</w:t>
      </w:r>
      <w:r>
        <w:rPr>
          <w:rFonts w:cs="Times New Roman"/>
          <w:color w:val="0000FF"/>
        </w:rPr>
        <w:t>，</w:t>
      </w:r>
      <w:r>
        <w:rPr>
          <w:rFonts w:hint="eastAsia" w:cs="Times New Roman"/>
          <w:color w:val="0000FF"/>
        </w:rPr>
        <w:t>会</w:t>
      </w:r>
      <w:r>
        <w:rPr>
          <w:rFonts w:cs="Times New Roman"/>
          <w:color w:val="0000FF"/>
        </w:rPr>
        <w:t>引起</w:t>
      </w:r>
      <w:r>
        <w:rPr>
          <w:rFonts w:hint="eastAsia" w:cs="Times New Roman"/>
          <w:color w:val="0000FF"/>
        </w:rPr>
        <w:t>果园山水库进水闸周边200m局</w:t>
      </w:r>
      <w:r>
        <w:rPr>
          <w:rFonts w:cs="Times New Roman"/>
          <w:color w:val="0000FF"/>
        </w:rPr>
        <w:t>部悬浮物浓度增加，</w:t>
      </w:r>
      <w:r>
        <w:rPr>
          <w:rFonts w:hint="eastAsia" w:cs="Times New Roman"/>
          <w:color w:val="0000FF"/>
        </w:rPr>
        <w:t>施工前根据市级控制断面要求，履行手续后开始施工。</w:t>
      </w:r>
    </w:p>
    <w:p w14:paraId="56B030D4">
      <w:pPr>
        <w:pStyle w:val="31"/>
        <w:bidi w:val="0"/>
      </w:pPr>
      <w:r>
        <w:rPr>
          <w:rFonts w:hint="eastAsia"/>
        </w:rPr>
        <w:drawing>
          <wp:inline distT="0" distB="0" distL="114300" distR="114300">
            <wp:extent cx="5998210" cy="3231515"/>
            <wp:effectExtent l="0" t="0" r="8890" b="6985"/>
            <wp:docPr id="169" name="图片 169" descr="舒庐干渠庐江段汤池泄洪闸等七座水闸现代化改造工程(图册）_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舒庐干渠庐江段汤池泄洪闸等七座水闸现代化改造工程(图册）_43"/>
                    <pic:cNvPicPr>
                      <a:picLocks noChangeAspect="1"/>
                    </pic:cNvPicPr>
                  </pic:nvPicPr>
                  <pic:blipFill>
                    <a:blip r:embed="rId143"/>
                    <a:srcRect/>
                    <a:stretch>
                      <a:fillRect/>
                    </a:stretch>
                  </pic:blipFill>
                  <pic:spPr>
                    <a:xfrm>
                      <a:off x="0" y="0"/>
                      <a:ext cx="5998210" cy="3231515"/>
                    </a:xfrm>
                    <a:prstGeom prst="rect">
                      <a:avLst/>
                    </a:prstGeom>
                  </pic:spPr>
                </pic:pic>
              </a:graphicData>
            </a:graphic>
          </wp:inline>
        </w:drawing>
      </w:r>
    </w:p>
    <w:p w14:paraId="32B08F00">
      <w:pPr>
        <w:rPr>
          <w:color w:val="0000FF"/>
        </w:rPr>
      </w:pPr>
      <w:r>
        <w:rPr>
          <w:rFonts w:hint="eastAsia"/>
          <w:color w:val="0000FF"/>
        </w:rPr>
        <w:t>图5-2-1  果园山水库进水闸施工围堰导流示意图</w:t>
      </w:r>
    </w:p>
    <w:p w14:paraId="65AC8E1F">
      <w:pPr>
        <w:autoSpaceDE w:val="0"/>
        <w:autoSpaceDN w:val="0"/>
        <w:ind w:firstLine="480" w:firstLineChars="200"/>
        <w:rPr>
          <w:rFonts w:cs="Times New Roman"/>
          <w:color w:val="0000FF"/>
        </w:rPr>
      </w:pPr>
      <w:r>
        <w:rPr>
          <w:rFonts w:hint="eastAsia" w:cs="Times New Roman"/>
          <w:color w:val="0000FF"/>
        </w:rPr>
        <w:t>童湾农门拆除重建工程位于六淮界断面上游1.2km，距离较远，淠东干渠10~11月为渠道停水期，渠道内仅有少量降雨，施工前在农门进口侧填筑半包围型式围堰挡水，施工场地形成干地施工，施工场地与淠东干渠无水力联系，由于淠东干渠施工时段为停水期且工程施工距离六淮界国控断面距离较远，童湾农门拆除重建工程对六淮界国控断面影响较小。施工前建设单位根据国控断面控制要求，履行相关手续。</w:t>
      </w:r>
    </w:p>
    <w:p w14:paraId="22970DC9">
      <w:pPr>
        <w:autoSpaceDE w:val="0"/>
        <w:autoSpaceDN w:val="0"/>
        <w:ind w:firstLine="480" w:firstLineChars="200"/>
        <w:rPr>
          <w:rFonts w:cs="Times New Roman"/>
          <w:color w:val="0000FF"/>
        </w:rPr>
      </w:pPr>
      <w:r>
        <w:rPr>
          <w:rFonts w:hint="eastAsia" w:cs="Times New Roman"/>
          <w:color w:val="0000FF"/>
        </w:rPr>
        <w:t>淠河总干渠翼墙加固位于横排头省控断面上游600m，工程施工安排在非灌溉期内进行，导流时段选取在11月～次年2月，拟在淠河总干渠非灌溉期的停水间歇内，关闭横排头进水闸，采用半幅围封筑袋装土围堰围挡维修部位形成干地施工条件，施工场地与淠河总干渠无水力联系，袋装土围堰填筑</w:t>
      </w:r>
      <w:r>
        <w:rPr>
          <w:rFonts w:cs="Times New Roman"/>
          <w:color w:val="0000FF"/>
        </w:rPr>
        <w:t>拆除施工</w:t>
      </w:r>
      <w:r>
        <w:rPr>
          <w:rFonts w:hint="eastAsia" w:cs="Times New Roman"/>
          <w:color w:val="0000FF"/>
        </w:rPr>
        <w:t>过程</w:t>
      </w:r>
      <w:r>
        <w:rPr>
          <w:rFonts w:cs="Times New Roman"/>
          <w:color w:val="0000FF"/>
        </w:rPr>
        <w:t>，</w:t>
      </w:r>
      <w:r>
        <w:rPr>
          <w:rFonts w:hint="eastAsia" w:cs="Times New Roman"/>
          <w:color w:val="0000FF"/>
        </w:rPr>
        <w:t>会</w:t>
      </w:r>
      <w:r>
        <w:rPr>
          <w:rFonts w:cs="Times New Roman"/>
          <w:color w:val="0000FF"/>
        </w:rPr>
        <w:t>引起</w:t>
      </w:r>
      <w:r>
        <w:rPr>
          <w:rFonts w:hint="eastAsia" w:cs="Times New Roman"/>
          <w:color w:val="0000FF"/>
        </w:rPr>
        <w:t>淠河总干渠横排头进水闸下游200m局</w:t>
      </w:r>
      <w:r>
        <w:rPr>
          <w:rFonts w:cs="Times New Roman"/>
          <w:color w:val="0000FF"/>
        </w:rPr>
        <w:t>部悬浮物浓度增加，</w:t>
      </w:r>
      <w:r>
        <w:rPr>
          <w:rFonts w:hint="eastAsia" w:cs="Times New Roman"/>
          <w:color w:val="0000FF"/>
        </w:rPr>
        <w:t>对横排头省控断面影响较小。工程施工前根据安徽省省控断面要求，履行相关手续。</w:t>
      </w:r>
    </w:p>
    <w:p w14:paraId="646ECFC7">
      <w:pPr>
        <w:autoSpaceDE w:val="0"/>
        <w:autoSpaceDN w:val="0"/>
        <w:ind w:firstLine="480" w:firstLineChars="200"/>
        <w:rPr>
          <w:rFonts w:cs="Times New Roman"/>
          <w:color w:val="0000FF"/>
        </w:rPr>
      </w:pPr>
      <w:r>
        <w:rPr>
          <w:rFonts w:hint="eastAsia" w:cs="Times New Roman"/>
          <w:color w:val="0000FF"/>
        </w:rPr>
        <w:t>樊通桥渠下涵工程位于六安市一水厂省控断面上游895m，青年岗滑坡位于六安市一水厂省控断面下游5m。樊通桥渠下涵工程均为渠下工程，工程施工、围堰填筑等均与淠河总干渠无水力联系；青年岗滑坡治理工程在灌溉设计水位以上进行施工，无涉水施工工程，可知樊通桥渠下涵、青年岗滑坡治理工程施工过程对六安市一水厂取水口省控断面几乎无影响。</w:t>
      </w:r>
    </w:p>
    <w:p w14:paraId="1A2C280A">
      <w:pPr>
        <w:autoSpaceDE w:val="0"/>
        <w:autoSpaceDN w:val="0"/>
        <w:ind w:firstLine="480" w:firstLineChars="200"/>
        <w:rPr>
          <w:rFonts w:cs="Times New Roman"/>
          <w:color w:val="0000FF"/>
        </w:rPr>
      </w:pPr>
      <w:r>
        <w:rPr>
          <w:rFonts w:hint="eastAsia" w:cs="Times New Roman"/>
          <w:color w:val="0000FF"/>
        </w:rPr>
        <w:t>木南进水闸拆建位于六安市东城水厂省控断面上游787m，施工前在木南进水闸进口侧填筑半包围型式围堰挡水，施工场地形成干地施工，施工场地与淠河总干渠无水力联系，袋装土围堰填筑</w:t>
      </w:r>
      <w:r>
        <w:rPr>
          <w:rFonts w:cs="Times New Roman"/>
          <w:color w:val="0000FF"/>
        </w:rPr>
        <w:t>拆除施工</w:t>
      </w:r>
      <w:r>
        <w:rPr>
          <w:rFonts w:hint="eastAsia" w:cs="Times New Roman"/>
          <w:color w:val="0000FF"/>
        </w:rPr>
        <w:t>过程</w:t>
      </w:r>
      <w:r>
        <w:rPr>
          <w:rFonts w:cs="Times New Roman"/>
          <w:color w:val="0000FF"/>
        </w:rPr>
        <w:t>，</w:t>
      </w:r>
      <w:r>
        <w:rPr>
          <w:rFonts w:hint="eastAsia" w:cs="Times New Roman"/>
          <w:color w:val="0000FF"/>
        </w:rPr>
        <w:t>会</w:t>
      </w:r>
      <w:r>
        <w:rPr>
          <w:rFonts w:cs="Times New Roman"/>
          <w:color w:val="0000FF"/>
        </w:rPr>
        <w:t>引起</w:t>
      </w:r>
      <w:r>
        <w:rPr>
          <w:rFonts w:hint="eastAsia" w:cs="Times New Roman"/>
          <w:color w:val="0000FF"/>
        </w:rPr>
        <w:t>淠河总干渠木南进水闸下游200m局</w:t>
      </w:r>
      <w:r>
        <w:rPr>
          <w:rFonts w:cs="Times New Roman"/>
          <w:color w:val="0000FF"/>
        </w:rPr>
        <w:t>部悬浮物浓度增加，</w:t>
      </w:r>
      <w:r>
        <w:rPr>
          <w:rFonts w:hint="eastAsia" w:cs="Times New Roman"/>
          <w:color w:val="0000FF"/>
        </w:rPr>
        <w:t>对六安市东城水厂省控断面影响较小。工程施工前根据安徽省省控断面要求，履行相关手续。</w:t>
      </w:r>
    </w:p>
    <w:p w14:paraId="59A22A0A">
      <w:pPr>
        <w:autoSpaceDE w:val="0"/>
        <w:autoSpaceDN w:val="0"/>
        <w:ind w:firstLine="480" w:firstLineChars="200"/>
        <w:rPr>
          <w:rFonts w:cs="Times New Roman"/>
          <w:color w:val="0000FF"/>
        </w:rPr>
      </w:pPr>
      <w:r>
        <w:rPr>
          <w:rFonts w:hint="eastAsia" w:cs="Times New Roman"/>
          <w:color w:val="0000FF"/>
        </w:rPr>
        <w:t>工程施工过程均通过围堰导流的方式形成干地施工条件，施工场地均与国控、省控等断面无水力联系，围堰填筑、拆除过程可能导致下游200m局</w:t>
      </w:r>
      <w:r>
        <w:rPr>
          <w:rFonts w:cs="Times New Roman"/>
          <w:color w:val="0000FF"/>
        </w:rPr>
        <w:t>部悬浮物浓度增加</w:t>
      </w:r>
      <w:r>
        <w:rPr>
          <w:rFonts w:hint="eastAsia" w:cs="Times New Roman"/>
          <w:color w:val="0000FF"/>
        </w:rPr>
        <w:t>，但是本项目主体工程施工距离监测断面均较远，大于600m，仅青年岗滑坡距离六安市一水厂取水口省控断面5m，但是位于断面下游且工程无涉水施工。</w:t>
      </w:r>
    </w:p>
    <w:p w14:paraId="4D4214C9">
      <w:pPr>
        <w:autoSpaceDE w:val="0"/>
        <w:autoSpaceDN w:val="0"/>
        <w:ind w:firstLine="480" w:firstLineChars="200"/>
        <w:rPr>
          <w:rFonts w:cs="Times New Roman"/>
          <w:color w:val="0000FF"/>
        </w:rPr>
      </w:pPr>
      <w:r>
        <w:rPr>
          <w:rFonts w:hint="eastAsia" w:cs="Times New Roman"/>
          <w:color w:val="0000FF"/>
        </w:rPr>
        <w:t>涉及省控断面的工程临时占地上游选址要求距离监测断面至少1000m，下游选址至少500m，工程施工过程中采取施工废水、固废不排入渠道，运输车辆减速慢行等措施的情况下，工程施工主要影响为SS增加，随着围堰施工结束后，地表水环境影响消失。</w:t>
      </w:r>
    </w:p>
    <w:p w14:paraId="7FF7330A">
      <w:pPr>
        <w:pStyle w:val="6"/>
        <w:ind w:firstLine="482"/>
        <w:rPr>
          <w:b/>
          <w:bCs/>
          <w:color w:val="0000FF"/>
        </w:rPr>
      </w:pPr>
      <w:r>
        <w:rPr>
          <w:b/>
          <w:bCs/>
          <w:color w:val="0000FF"/>
        </w:rPr>
        <w:t>7、施工对沿线自来水厂水源地及保护区影响</w:t>
      </w:r>
    </w:p>
    <w:p w14:paraId="2FD6359C">
      <w:pPr>
        <w:ind w:firstLine="480"/>
        <w:rPr>
          <w:rFonts w:cs="Times New Roman"/>
          <w:color w:val="0000FF"/>
        </w:rPr>
      </w:pPr>
      <w:r>
        <w:rPr>
          <w:rFonts w:cs="Times New Roman"/>
          <w:color w:val="0000FF"/>
        </w:rPr>
        <w:t>本工程分布较广，根据资料收集和实地调查，本工程共涉及</w:t>
      </w:r>
      <w:r>
        <w:rPr>
          <w:rFonts w:hint="eastAsia" w:cs="Times New Roman"/>
          <w:color w:val="0000FF"/>
        </w:rPr>
        <w:t>12</w:t>
      </w:r>
      <w:r>
        <w:rPr>
          <w:rFonts w:cs="Times New Roman"/>
          <w:color w:val="0000FF"/>
        </w:rPr>
        <w:t>处饮用水水源保护区，涉及相应的一级保护区、二级保护区、准保护区，具体的情况详见</w:t>
      </w:r>
      <w:r>
        <w:rPr>
          <w:rFonts w:hint="eastAsia" w:cs="Times New Roman"/>
          <w:color w:val="0000FF"/>
        </w:rPr>
        <w:t>“</w:t>
      </w:r>
      <w:r>
        <w:rPr>
          <w:rFonts w:cs="Times New Roman"/>
          <w:color w:val="0000FF"/>
        </w:rPr>
        <w:t>1.9.</w:t>
      </w:r>
      <w:r>
        <w:rPr>
          <w:rFonts w:hint="eastAsia" w:cs="Times New Roman"/>
          <w:color w:val="0000FF"/>
        </w:rPr>
        <w:t>2</w:t>
      </w:r>
      <w:r>
        <w:rPr>
          <w:rFonts w:cs="Times New Roman"/>
          <w:color w:val="0000FF"/>
        </w:rPr>
        <w:t xml:space="preserve"> </w:t>
      </w:r>
      <w:r>
        <w:rPr>
          <w:rFonts w:hint="eastAsia" w:cs="Times New Roman"/>
          <w:color w:val="0000FF"/>
        </w:rPr>
        <w:t>水</w:t>
      </w:r>
      <w:r>
        <w:rPr>
          <w:rFonts w:cs="Times New Roman"/>
          <w:color w:val="0000FF"/>
        </w:rPr>
        <w:t>环境保护目标</w:t>
      </w:r>
      <w:r>
        <w:rPr>
          <w:rFonts w:hint="eastAsia" w:cs="Times New Roman"/>
          <w:color w:val="0000FF"/>
        </w:rPr>
        <w:t>”</w:t>
      </w:r>
      <w:r>
        <w:rPr>
          <w:rFonts w:cs="Times New Roman"/>
          <w:color w:val="0000FF"/>
        </w:rPr>
        <w:t>小节。</w:t>
      </w:r>
    </w:p>
    <w:p w14:paraId="390A1480">
      <w:pPr>
        <w:ind w:firstLine="480"/>
        <w:rPr>
          <w:rFonts w:cs="Times New Roman"/>
          <w:color w:val="0000FF"/>
        </w:rPr>
      </w:pPr>
      <w:r>
        <w:rPr>
          <w:rFonts w:hint="eastAsia" w:cs="Times New Roman"/>
          <w:color w:val="0000FF"/>
        </w:rPr>
        <w:t>本次工程对各饮用水水源保护区的影响分析如下：</w:t>
      </w:r>
    </w:p>
    <w:p w14:paraId="353A950F">
      <w:pPr>
        <w:ind w:firstLine="480"/>
        <w:rPr>
          <w:rFonts w:cs="Times New Roman"/>
          <w:color w:val="0000FF"/>
        </w:rPr>
      </w:pPr>
      <w:r>
        <w:rPr>
          <w:rFonts w:cs="Times New Roman"/>
          <w:color w:val="0000FF"/>
        </w:rPr>
        <w:t>（1）六安市城区饮用水水源保护区</w:t>
      </w:r>
      <w:r>
        <w:rPr>
          <w:rFonts w:hint="eastAsia" w:cs="Times New Roman"/>
          <w:color w:val="0000FF"/>
        </w:rPr>
        <w:t>—一级保护区、二级保护区</w:t>
      </w:r>
    </w:p>
    <w:p w14:paraId="1B7DC8B0">
      <w:pPr>
        <w:ind w:firstLine="480"/>
        <w:rPr>
          <w:rFonts w:cs="Times New Roman"/>
          <w:color w:val="0000FF"/>
        </w:rPr>
      </w:pPr>
      <w:r>
        <w:rPr>
          <w:rFonts w:cs="Times New Roman"/>
          <w:color w:val="0000FF"/>
        </w:rPr>
        <w:t>六安市城区饮用水水源保护区内设置4个取水口，分别为六安市一水厂取水口、六安市二水厂取水口、东城水厂取水口、新城水厂取水口，取水口均位于淠河总干渠，分布较为集中，合并划定六安市城区饮用水水源保护区。</w:t>
      </w:r>
    </w:p>
    <w:p w14:paraId="35807B8A">
      <w:pPr>
        <w:ind w:firstLine="480"/>
        <w:rPr>
          <w:rFonts w:cs="Times New Roman"/>
          <w:color w:val="0000FF"/>
        </w:rPr>
      </w:pPr>
      <w:r>
        <w:rPr>
          <w:rFonts w:cs="Times New Roman"/>
          <w:color w:val="0000FF"/>
        </w:rPr>
        <w:t>本次治理工程中樊通桥渠下涵、木南进水闸、滑坡治理233m位于水源地一级保护区范围内，淠河总干渠上段工程除</w:t>
      </w:r>
      <w:r>
        <w:rPr>
          <w:rFonts w:hint="eastAsia" w:cs="Times New Roman"/>
          <w:color w:val="0000FF"/>
        </w:rPr>
        <w:t>上述工程</w:t>
      </w:r>
      <w:r>
        <w:rPr>
          <w:rFonts w:cs="Times New Roman"/>
          <w:color w:val="0000FF"/>
        </w:rPr>
        <w:t>外整段位于二级保护区内，包括渠道护砌10.753km、8座放水涵等，其中樊通桥渠下涵位于六安市一水厂取水口上游895m，淠河总干渠上段滑坡治理工程位于一水厂取水口下游5m，木南支渠进水闸位于东城水厂取水口上游787m，本工程与六安市城区水源地位置关系见下图。</w:t>
      </w:r>
    </w:p>
    <w:p w14:paraId="1F6817F5">
      <w:pPr>
        <w:ind w:firstLine="480"/>
        <w:rPr>
          <w:rFonts w:cs="Times New Roman"/>
          <w:color w:val="0000FF"/>
        </w:rPr>
      </w:pPr>
      <w:r>
        <w:rPr>
          <w:rFonts w:hint="eastAsia" w:cs="Times New Roman"/>
          <w:color w:val="0000FF"/>
        </w:rPr>
        <w:t>①</w:t>
      </w:r>
      <w:r>
        <w:rPr>
          <w:rFonts w:cs="Times New Roman"/>
          <w:color w:val="0000FF"/>
        </w:rPr>
        <w:t>樊通桥渠下涵现状过流能力不能满足要求，汛期上下游经常受淹，受淹范围包括六安市城区饮用水水源一级、二级保护区陆域范围，</w:t>
      </w:r>
      <w:r>
        <w:rPr>
          <w:rFonts w:hint="eastAsia" w:cs="Times New Roman"/>
          <w:color w:val="0000FF"/>
        </w:rPr>
        <w:t>且由于渠下涵建设年限较长，已出现进出口侵蚀、老化、涵身渗漏等现状问题。本次樊通桥渠下涵工程可解决现有存在的问题，避免洪水漫流事故险情，保证六安市城区水源地一级保护区及取水口的安全和稳定。</w:t>
      </w:r>
    </w:p>
    <w:p w14:paraId="63B7A34F">
      <w:pPr>
        <w:ind w:firstLine="480"/>
        <w:rPr>
          <w:rFonts w:cs="Times New Roman"/>
          <w:color w:val="0000FF"/>
        </w:rPr>
      </w:pPr>
      <w:r>
        <w:rPr>
          <w:rFonts w:hint="eastAsia" w:cs="Times New Roman"/>
          <w:color w:val="0000FF"/>
        </w:rPr>
        <w:t>②淠河总干渠233m的滑坡段紧靠六安市一水厂取水口，位于其下游约5m处，现状生态护坡已损毁，土方滑坡流失情况较为严重，由于淠河总干渠流量较大，有持续滑坡、水土流失的隐患，持续的水土流水可能导致六安市一水厂取水建筑物基础损坏，影响取水安全。本次滑坡治理工程实施可有效的解决现状问题，避免持续滑坡造成取水口结构损毁、保护区水质恶化等险情发生，保证六安市一水厂取水口安全和水源地水质稳定。</w:t>
      </w:r>
    </w:p>
    <w:p w14:paraId="5A9624BC">
      <w:pPr>
        <w:ind w:firstLine="480"/>
        <w:rPr>
          <w:rFonts w:cs="Times New Roman"/>
          <w:color w:val="0000FF"/>
        </w:rPr>
      </w:pPr>
      <w:r>
        <w:rPr>
          <w:rFonts w:hint="eastAsia" w:cs="Times New Roman"/>
          <w:color w:val="0000FF"/>
        </w:rPr>
        <w:t>③</w:t>
      </w:r>
      <w:r>
        <w:rPr>
          <w:rFonts w:cs="Times New Roman"/>
          <w:color w:val="0000FF"/>
        </w:rPr>
        <w:t>木南进水闸</w:t>
      </w:r>
      <w:r>
        <w:rPr>
          <w:rFonts w:hint="eastAsia" w:cs="Times New Roman"/>
          <w:color w:val="0000FF"/>
        </w:rPr>
        <w:t>现状进出口翼墙老损严重，底板已冲毁，闸门、启闭机锈蚀严重，启闭不灵。本次进水闸的原址拆除重建可有效解决现状存在的问题，总干渠流量较大，避免因进水闸翼墙老损、启闭机问题导致溃闸、进出水漫流等险情导致对水源保护区水质、供水稳定性产生较大影响，保证六安市东城水厂取水口安全、水源地水质稳定。</w:t>
      </w:r>
    </w:p>
    <w:p w14:paraId="5BD07D00">
      <w:pPr>
        <w:ind w:firstLine="480"/>
        <w:rPr>
          <w:rFonts w:cs="Times New Roman"/>
          <w:color w:val="0000FF"/>
        </w:rPr>
      </w:pPr>
      <w:r>
        <w:rPr>
          <w:rFonts w:cs="Times New Roman"/>
          <w:color w:val="0000FF"/>
        </w:rPr>
        <w:t>以上分析可知，樊通桥渠下涵、木南进水闸以及淠河总干渠均为现状已存在的水利基础设施，本次工程对其进行拆除重建或者改造，有利于改善建筑物、渠道现状存在的问题，</w:t>
      </w:r>
      <w:r>
        <w:rPr>
          <w:rFonts w:hint="eastAsia" w:cs="Times New Roman"/>
          <w:color w:val="0000FF"/>
        </w:rPr>
        <w:t>避免险情对取水口和水源地的影响，</w:t>
      </w:r>
      <w:r>
        <w:rPr>
          <w:rFonts w:cs="Times New Roman"/>
          <w:color w:val="0000FF"/>
        </w:rPr>
        <w:t>保证六安市饮用水水源的安全和稳定，项目施工前编制饮用水水源应急预案，施工依托道路和临时道路配套防遗洒、防泄漏等措施，不属于饮用水水源一级保护区内的禁止建设的项目。</w:t>
      </w:r>
    </w:p>
    <w:p w14:paraId="181C6E1B">
      <w:pPr>
        <w:ind w:firstLine="480"/>
        <w:rPr>
          <w:rFonts w:cs="Times New Roman"/>
          <w:color w:val="0000FF"/>
        </w:rPr>
      </w:pPr>
      <w:r>
        <w:rPr>
          <w:rFonts w:cs="Times New Roman"/>
          <w:color w:val="0000FF"/>
        </w:rPr>
        <w:t>本工程为</w:t>
      </w:r>
      <w:r>
        <w:rPr>
          <w:rFonts w:hint="eastAsia" w:cs="Times New Roman"/>
          <w:color w:val="0000FF"/>
        </w:rPr>
        <w:t>供水</w:t>
      </w:r>
      <w:r>
        <w:rPr>
          <w:rFonts w:cs="Times New Roman"/>
          <w:color w:val="0000FF"/>
        </w:rPr>
        <w:t>工程</w:t>
      </w:r>
      <w:r>
        <w:rPr>
          <w:rFonts w:hint="eastAsia" w:cs="Times New Roman"/>
          <w:color w:val="0000FF"/>
        </w:rPr>
        <w:t>，农业供水为主，总干渠以及部分干渠具有重要的生活供水、生产供水的功能</w:t>
      </w:r>
      <w:r>
        <w:rPr>
          <w:rFonts w:cs="Times New Roman"/>
          <w:color w:val="0000FF"/>
        </w:rPr>
        <w:t>，为非污染的生态影响型工程，不属于饮用水水源二级保护区内禁止建设的项目。</w:t>
      </w:r>
    </w:p>
    <w:p w14:paraId="401F4534">
      <w:pPr>
        <w:ind w:firstLine="480"/>
        <w:rPr>
          <w:rFonts w:cs="Times New Roman"/>
          <w:color w:val="0000FF"/>
        </w:rPr>
      </w:pPr>
      <w:r>
        <w:rPr>
          <w:rFonts w:cs="Times New Roman"/>
          <w:color w:val="0000FF"/>
        </w:rPr>
        <w:t>工程</w:t>
      </w:r>
      <w:r>
        <w:rPr>
          <w:rFonts w:hint="eastAsia" w:cs="Times New Roman"/>
          <w:color w:val="0000FF"/>
        </w:rPr>
        <w:t>在淠河总干渠向六安市、合肥市供水的停水间歇期填筑围堰，围堰填筑包围面积仅需保持少量人员施工活动，淠河总干渠底宽60m，围堰填筑占用淠河总干渠过水断面量极小，且施工期为枯水期，灌溉等其他供水需求较小。围堰填筑后供水期对淠河总干渠沿线取水口取水供水无影响。</w:t>
      </w:r>
    </w:p>
    <w:p w14:paraId="429B99D3">
      <w:pPr>
        <w:ind w:firstLine="480"/>
        <w:rPr>
          <w:rFonts w:cs="Times New Roman"/>
          <w:color w:val="0000FF"/>
        </w:rPr>
      </w:pPr>
      <w:r>
        <w:rPr>
          <w:rFonts w:hint="eastAsia" w:cs="Times New Roman"/>
          <w:color w:val="0000FF"/>
        </w:rPr>
        <w:t>工程</w:t>
      </w:r>
      <w:r>
        <w:rPr>
          <w:rFonts w:cs="Times New Roman"/>
          <w:color w:val="0000FF"/>
        </w:rPr>
        <w:t>不在饮用水水源保护区内设置生产、生活区，施工废水不外排，对水源地主要影响为横排头进水闸翼墙加固、放水涵工程拆除重建工程的围堰填筑拆除施工，引起淠河总干渠局部悬浮物浓度增加，围堰拆建时间较短，施工期通过使用袋装土围堰控制施工产生悬浮物浓度，工程施工前提前与自来水厂取得联系，建立沟通协调渠道，制定饮用水应急预案，同时在取水口周围设置防污帘，建设单位加强对施工人员的饮用水水源地保护意识教育，加快施工进度，禁止生产生活垃圾等抛洒进入饮用水水源保护区。事故状态下立即停止施工，启动应急预案，与相应水厂保持联动保证饮用水安全。在采取保护措施的情况下，工程施工期对六安市城区饮用水水源地影响较小。</w:t>
      </w:r>
    </w:p>
    <w:p w14:paraId="32DF73F5">
      <w:pPr>
        <w:jc w:val="center"/>
        <w:rPr>
          <w:rFonts w:cs="Times New Roman"/>
          <w:color w:val="0000FF"/>
        </w:rPr>
      </w:pPr>
      <w:r>
        <w:rPr>
          <w:rFonts w:cs="Times New Roman"/>
          <w:color w:val="0000FF"/>
        </w:rPr>
        <w:drawing>
          <wp:inline distT="0" distB="0" distL="114300" distR="114300">
            <wp:extent cx="6028690" cy="3575685"/>
            <wp:effectExtent l="9525" t="9525" r="19685" b="21590"/>
            <wp:docPr id="94" name="图片 2129" descr="14-项目与六安市城区饮用水水源保护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2129" descr="14-项目与六安市城区饮用水水源保护区"/>
                    <pic:cNvPicPr>
                      <a:picLocks noChangeAspect="1"/>
                    </pic:cNvPicPr>
                  </pic:nvPicPr>
                  <pic:blipFill>
                    <a:blip r:embed="rId144"/>
                    <a:stretch>
                      <a:fillRect/>
                    </a:stretch>
                  </pic:blipFill>
                  <pic:spPr>
                    <a:xfrm>
                      <a:off x="0" y="0"/>
                      <a:ext cx="6028690" cy="3575685"/>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54894DD1">
      <w:pPr>
        <w:rPr>
          <w:color w:val="0000FF"/>
          <w:sz w:val="21"/>
          <w:szCs w:val="21"/>
        </w:rPr>
      </w:pPr>
      <w:r>
        <w:rPr>
          <w:color w:val="0000FF"/>
          <w:sz w:val="21"/>
          <w:szCs w:val="21"/>
        </w:rPr>
        <w:t>图</w:t>
      </w:r>
      <w:r>
        <w:rPr>
          <w:rFonts w:hint="eastAsia"/>
          <w:color w:val="0000FF"/>
        </w:rPr>
        <w:t>5-2-2</w:t>
      </w:r>
      <w:r>
        <w:rPr>
          <w:color w:val="0000FF"/>
          <w:sz w:val="21"/>
          <w:szCs w:val="21"/>
        </w:rPr>
        <w:t xml:space="preserve">  淠河总干渠上段工程、樊通桥渠下涵工程与六安市城区饮用水水源保护区关系图示意图</w:t>
      </w:r>
    </w:p>
    <w:p w14:paraId="7AB603A7">
      <w:pPr>
        <w:ind w:firstLine="480"/>
        <w:rPr>
          <w:rFonts w:cs="Times New Roman"/>
          <w:color w:val="0000FF"/>
        </w:rPr>
      </w:pPr>
      <w:r>
        <w:rPr>
          <w:rFonts w:cs="Times New Roman"/>
          <w:color w:val="0000FF"/>
        </w:rPr>
        <w:t>（2）苏埠镇饮用水水源保护区</w:t>
      </w:r>
      <w:r>
        <w:rPr>
          <w:rFonts w:hint="eastAsia" w:cs="Times New Roman"/>
          <w:color w:val="0000FF"/>
        </w:rPr>
        <w:t>—一级保护区</w:t>
      </w:r>
    </w:p>
    <w:p w14:paraId="5A512CF8">
      <w:pPr>
        <w:ind w:firstLine="480"/>
        <w:rPr>
          <w:rFonts w:cs="Times New Roman"/>
          <w:color w:val="0000FF"/>
        </w:rPr>
      </w:pPr>
      <w:r>
        <w:rPr>
          <w:rFonts w:cs="Times New Roman"/>
          <w:color w:val="0000FF"/>
        </w:rPr>
        <w:t>苏埠镇饮用水水源保护区位于六安市裕安区淠河总干渠上段，取水口位于淠河总干渠。</w:t>
      </w:r>
    </w:p>
    <w:p w14:paraId="2CAE2BB2">
      <w:pPr>
        <w:ind w:firstLine="480"/>
        <w:rPr>
          <w:rFonts w:cs="Times New Roman"/>
          <w:color w:val="0000FF"/>
        </w:rPr>
      </w:pPr>
      <w:r>
        <w:rPr>
          <w:rFonts w:cs="Times New Roman"/>
          <w:color w:val="0000FF"/>
        </w:rPr>
        <w:t>本次治理工程中横排头</w:t>
      </w:r>
      <w:r>
        <w:rPr>
          <w:rFonts w:hint="eastAsia" w:cs="Times New Roman"/>
          <w:color w:val="0000FF"/>
        </w:rPr>
        <w:t>进水闸</w:t>
      </w:r>
      <w:r>
        <w:rPr>
          <w:rFonts w:cs="Times New Roman"/>
          <w:color w:val="0000FF"/>
        </w:rPr>
        <w:t>出口翼墙加固、淠河总干渠上段起点处右岸设置C25素砼挡墙总长60m、淠河总干渠护砌50m位于水源地一级保护区内，淠河总干渠护砌200m位于水源地二级保护区内，护砌工程起点位于饮用水水源取水口下游20m，横排头翼墙位于取水口上游950m，本工程与苏埠镇饮用水水源地位置关系见下图。</w:t>
      </w:r>
    </w:p>
    <w:p w14:paraId="26A6CEA3">
      <w:pPr>
        <w:jc w:val="center"/>
        <w:rPr>
          <w:rFonts w:cs="Times New Roman"/>
          <w:color w:val="0000FF"/>
        </w:rPr>
      </w:pPr>
      <w:r>
        <w:rPr>
          <w:rFonts w:cs="Times New Roman"/>
          <w:color w:val="0000FF"/>
        </w:rPr>
        <w:drawing>
          <wp:inline distT="0" distB="0" distL="114300" distR="114300">
            <wp:extent cx="6042660" cy="7102475"/>
            <wp:effectExtent l="0" t="0" r="2540" b="9525"/>
            <wp:docPr id="8" name="图片 8" descr="3-淠河总干渠上段与苏埠镇饮用水水源保护区关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3-淠河总干渠上段与苏埠镇饮用水水源保护区关系"/>
                    <pic:cNvPicPr>
                      <a:picLocks noChangeAspect="1"/>
                    </pic:cNvPicPr>
                  </pic:nvPicPr>
                  <pic:blipFill>
                    <a:blip r:embed="rId145"/>
                    <a:stretch>
                      <a:fillRect/>
                    </a:stretch>
                  </pic:blipFill>
                  <pic:spPr>
                    <a:xfrm>
                      <a:off x="0" y="0"/>
                      <a:ext cx="6042660" cy="7102475"/>
                    </a:xfrm>
                    <a:prstGeom prst="rect">
                      <a:avLst/>
                    </a:prstGeom>
                  </pic:spPr>
                </pic:pic>
              </a:graphicData>
            </a:graphic>
          </wp:inline>
        </w:drawing>
      </w:r>
    </w:p>
    <w:p w14:paraId="02E4AB65">
      <w:pPr>
        <w:rPr>
          <w:color w:val="0000FF"/>
          <w:sz w:val="21"/>
          <w:szCs w:val="21"/>
        </w:rPr>
      </w:pPr>
      <w:r>
        <w:rPr>
          <w:color w:val="0000FF"/>
          <w:sz w:val="21"/>
          <w:szCs w:val="21"/>
        </w:rPr>
        <w:t>图</w:t>
      </w:r>
      <w:r>
        <w:rPr>
          <w:rFonts w:hint="eastAsia"/>
          <w:color w:val="0000FF"/>
        </w:rPr>
        <w:t>5-2-3</w:t>
      </w:r>
      <w:r>
        <w:rPr>
          <w:color w:val="0000FF"/>
          <w:sz w:val="21"/>
          <w:szCs w:val="21"/>
        </w:rPr>
        <w:t xml:space="preserve">  淠河总干渠上段工程与苏埠镇饮用水水源保护区关系图示意图</w:t>
      </w:r>
    </w:p>
    <w:p w14:paraId="6D1708FA">
      <w:pPr>
        <w:ind w:firstLine="480"/>
        <w:rPr>
          <w:rFonts w:cs="Times New Roman"/>
          <w:color w:val="0000FF"/>
        </w:rPr>
      </w:pPr>
      <w:r>
        <w:rPr>
          <w:rFonts w:hint="eastAsia" w:cs="Times New Roman"/>
          <w:color w:val="0000FF"/>
        </w:rPr>
        <w:t>①横排头出口翼墙、右岸素砼挡墙位于淠河总干渠渠首，六安市城区、附近乡镇的饮用水以佛子岭水库等为水源，通过淠河由横排头进水闸进入淠河总干渠输水渠道进行供水，由于渠首流量较大，建设年限较长，横排头进水闸出口翼墙现状</w:t>
      </w:r>
      <w:r>
        <w:rPr>
          <w:rFonts w:cs="Times New Roman"/>
          <w:color w:val="0000FF"/>
        </w:rPr>
        <w:t>分缝处均出现拉裂现象，内部止水已失效</w:t>
      </w:r>
      <w:r>
        <w:rPr>
          <w:rFonts w:hint="eastAsia" w:cs="Times New Roman"/>
          <w:color w:val="0000FF"/>
        </w:rPr>
        <w:t>，进水闸下游右岸现状无挡水措施，且后方有居民。横排头进水闸出口翼墙的加固可以有效解决现状工程问题，避免因渠首进水长期冲刷导致翼墙、右岸坡消能作用失效，发生塌方，进水漫流等险情，对苏埠镇饮用水水源的安全、水源地水质的稳定产生较大影响，保证苏埠镇饮用水的供水安全。</w:t>
      </w:r>
    </w:p>
    <w:p w14:paraId="6EFE39D9">
      <w:pPr>
        <w:ind w:firstLine="480"/>
        <w:rPr>
          <w:rFonts w:cs="Times New Roman"/>
          <w:color w:val="0000FF"/>
        </w:rPr>
      </w:pPr>
      <w:r>
        <w:rPr>
          <w:rFonts w:hint="eastAsia" w:cs="Times New Roman"/>
          <w:color w:val="0000FF"/>
        </w:rPr>
        <w:t>②苏埠镇饮用水取水口下游岸坡现状</w:t>
      </w:r>
      <w:r>
        <w:rPr>
          <w:rFonts w:cs="Times New Roman"/>
          <w:color w:val="0000FF"/>
        </w:rPr>
        <w:t>衬砌</w:t>
      </w:r>
      <w:r>
        <w:rPr>
          <w:rFonts w:hint="eastAsia" w:cs="Times New Roman"/>
          <w:color w:val="0000FF"/>
        </w:rPr>
        <w:t>已</w:t>
      </w:r>
      <w:r>
        <w:rPr>
          <w:rFonts w:cs="Times New Roman"/>
          <w:color w:val="0000FF"/>
        </w:rPr>
        <w:t>老化破损，</w:t>
      </w:r>
      <w:r>
        <w:rPr>
          <w:rFonts w:hint="eastAsia" w:cs="Times New Roman"/>
          <w:color w:val="0000FF"/>
        </w:rPr>
        <w:t>部分衬砌已冲毁，由于淠河总干渠流量较大，存在持续损毁的趋势</w:t>
      </w:r>
      <w:r>
        <w:rPr>
          <w:rFonts w:cs="Times New Roman"/>
          <w:color w:val="0000FF"/>
        </w:rPr>
        <w:t>。</w:t>
      </w:r>
      <w:r>
        <w:rPr>
          <w:rFonts w:hint="eastAsia" w:cs="Times New Roman"/>
          <w:color w:val="0000FF"/>
        </w:rPr>
        <w:t>岸坡护砌可改善淠河总干渠供水渠道的现状问题，避免持续损毁造成取水口结构损毁、保护区水质恶化等险情发生，保证苏埠镇取水口安全和水源地水质稳定。</w:t>
      </w:r>
    </w:p>
    <w:p w14:paraId="569AADF0">
      <w:pPr>
        <w:ind w:firstLine="480"/>
        <w:rPr>
          <w:rFonts w:cs="Times New Roman"/>
          <w:color w:val="0000FF"/>
        </w:rPr>
      </w:pPr>
      <w:r>
        <w:rPr>
          <w:rFonts w:cs="Times New Roman"/>
          <w:color w:val="0000FF"/>
        </w:rPr>
        <w:t>以上分析可知，本次工程对横排口出口翼墙进行维修加固、设置素砼挡墙以及对淠河总干渠进行护坡均现状已存在，本次工程对其进行</w:t>
      </w:r>
      <w:r>
        <w:rPr>
          <w:rFonts w:hint="eastAsia" w:cs="Times New Roman"/>
          <w:color w:val="0000FF"/>
        </w:rPr>
        <w:t>加固</w:t>
      </w:r>
      <w:r>
        <w:rPr>
          <w:rFonts w:cs="Times New Roman"/>
          <w:color w:val="0000FF"/>
        </w:rPr>
        <w:t>改造，有利于改善</w:t>
      </w:r>
      <w:r>
        <w:rPr>
          <w:rFonts w:hint="eastAsia" w:cs="Times New Roman"/>
          <w:color w:val="0000FF"/>
        </w:rPr>
        <w:t>构</w:t>
      </w:r>
      <w:r>
        <w:rPr>
          <w:rFonts w:cs="Times New Roman"/>
          <w:color w:val="0000FF"/>
        </w:rPr>
        <w:t>筑物、渠道现状存在的问题，</w:t>
      </w:r>
      <w:r>
        <w:rPr>
          <w:rFonts w:hint="eastAsia" w:cs="Times New Roman"/>
          <w:color w:val="0000FF"/>
        </w:rPr>
        <w:t>避免险情对取水口和水源地的影响，</w:t>
      </w:r>
      <w:r>
        <w:rPr>
          <w:rFonts w:cs="Times New Roman"/>
          <w:color w:val="0000FF"/>
        </w:rPr>
        <w:t>保证苏埠镇饮用水水源的安全和稳定，项目施工前编制饮用水水源应急预案，施工依托道路和临时道路配套防遗洒、防泄漏等措施，不属于饮用水水源一级保护区内的禁止建设的项目。</w:t>
      </w:r>
    </w:p>
    <w:p w14:paraId="425568F1">
      <w:pPr>
        <w:ind w:firstLine="480"/>
        <w:rPr>
          <w:rFonts w:cs="Times New Roman"/>
          <w:color w:val="0000FF"/>
        </w:rPr>
      </w:pPr>
      <w:r>
        <w:rPr>
          <w:rFonts w:cs="Times New Roman"/>
          <w:color w:val="0000FF"/>
        </w:rPr>
        <w:t>本</w:t>
      </w:r>
      <w:r>
        <w:rPr>
          <w:rFonts w:hint="eastAsia" w:cs="Times New Roman"/>
          <w:color w:val="0000FF"/>
        </w:rPr>
        <w:t>次</w:t>
      </w:r>
      <w:r>
        <w:rPr>
          <w:rFonts w:cs="Times New Roman"/>
          <w:color w:val="0000FF"/>
        </w:rPr>
        <w:t>工程</w:t>
      </w:r>
      <w:r>
        <w:rPr>
          <w:rFonts w:hint="eastAsia" w:cs="Times New Roman"/>
          <w:color w:val="0000FF"/>
        </w:rPr>
        <w:t>为灌区</w:t>
      </w:r>
      <w:r>
        <w:rPr>
          <w:rFonts w:cs="Times New Roman"/>
          <w:color w:val="0000FF"/>
        </w:rPr>
        <w:t>工程</w:t>
      </w:r>
      <w:r>
        <w:rPr>
          <w:rFonts w:hint="eastAsia" w:cs="Times New Roman"/>
          <w:color w:val="0000FF"/>
        </w:rPr>
        <w:t>，同时具有重要的生活供水和生产供水功能</w:t>
      </w:r>
      <w:r>
        <w:rPr>
          <w:rFonts w:cs="Times New Roman"/>
          <w:color w:val="0000FF"/>
        </w:rPr>
        <w:t>，为非污染的生态影响型工程，不属于饮用水水源二级保护区内禁止建设的项目。</w:t>
      </w:r>
    </w:p>
    <w:p w14:paraId="1C1D26FA">
      <w:pPr>
        <w:ind w:firstLine="480" w:firstLineChars="200"/>
        <w:rPr>
          <w:rFonts w:cs="Times New Roman"/>
          <w:color w:val="0000FF"/>
        </w:rPr>
      </w:pPr>
      <w:r>
        <w:rPr>
          <w:rFonts w:cs="Times New Roman"/>
          <w:color w:val="0000FF"/>
        </w:rPr>
        <w:t>工程</w:t>
      </w:r>
      <w:r>
        <w:rPr>
          <w:rFonts w:hint="eastAsia" w:cs="Times New Roman"/>
          <w:color w:val="0000FF"/>
        </w:rPr>
        <w:t>在淠河总干渠向六安市、合肥市供水的停水间歇期填筑围堰，围堰填筑包围面积仅需保持少量人员施工活动，淠河总干渠底宽60m，围堰填筑占用淠河总干渠过水断面量极小，且施工期为枯水期，灌溉等其他供水需求较小。围堰填筑后供水期对淠河总干渠沿线取水口取水供水无影响。</w:t>
      </w:r>
    </w:p>
    <w:p w14:paraId="7C89551D">
      <w:pPr>
        <w:ind w:firstLine="480" w:firstLineChars="200"/>
        <w:rPr>
          <w:rFonts w:cs="Times New Roman"/>
          <w:color w:val="0000FF"/>
        </w:rPr>
      </w:pPr>
      <w:r>
        <w:rPr>
          <w:rFonts w:cs="Times New Roman"/>
          <w:color w:val="0000FF"/>
        </w:rPr>
        <w:t>工程不在饮用水水源保护区内设置生产、生活区，施工废水不外排，对水源地主要影响为围堰填筑拆除施工引起淠河总干渠局部悬浮物浓度增加，围堰拆建时间较短，施工期通过使用袋装土围堰控制施工产生悬浮物浓度，工程施工前制定饮用水应急预案，同时在取水口周围设置防污帘，建设单位在加强对施工人员的饮用水水源地保护意识教育，加快施工进度等保护措施的情况下，工程施工期对苏埠镇饮用水水源地影响较小。</w:t>
      </w:r>
    </w:p>
    <w:p w14:paraId="7A82550E">
      <w:pPr>
        <w:ind w:firstLine="480"/>
        <w:rPr>
          <w:rFonts w:cs="Times New Roman"/>
          <w:color w:val="0000FF"/>
        </w:rPr>
      </w:pPr>
      <w:r>
        <w:rPr>
          <w:rFonts w:cs="Times New Roman"/>
          <w:color w:val="0000FF"/>
        </w:rPr>
        <w:t>（3）青山乡饮用水水源保护区</w:t>
      </w:r>
      <w:r>
        <w:rPr>
          <w:rFonts w:hint="eastAsia" w:cs="Times New Roman"/>
          <w:color w:val="0000FF"/>
        </w:rPr>
        <w:t>—一级保护区、二级保护区</w:t>
      </w:r>
    </w:p>
    <w:p w14:paraId="32D15F03">
      <w:pPr>
        <w:ind w:firstLine="480"/>
        <w:rPr>
          <w:rFonts w:cs="Times New Roman"/>
          <w:color w:val="0000FF"/>
        </w:rPr>
      </w:pPr>
      <w:r>
        <w:rPr>
          <w:rFonts w:cs="Times New Roman"/>
          <w:color w:val="0000FF"/>
        </w:rPr>
        <w:t>青山乡饮用水水源保护区位于六安市裕安区淠河总干渠上段，取水口位于淠河总干渠。</w:t>
      </w:r>
    </w:p>
    <w:p w14:paraId="0FE9AEC9">
      <w:pPr>
        <w:ind w:firstLine="480"/>
        <w:rPr>
          <w:rFonts w:cs="Times New Roman"/>
          <w:color w:val="0000FF"/>
        </w:rPr>
      </w:pPr>
      <w:r>
        <w:rPr>
          <w:rFonts w:cs="Times New Roman"/>
          <w:color w:val="0000FF"/>
        </w:rPr>
        <w:t>本次治理工程中灯笼店涵、淠河1号涵、范大郢涵位于水源地一级保护区内，南楼涵、孙院涵、六合涵拆除重建位于二级保护区内，其中灯笼店涵位于取水口上游距离约为256m，本工程与青山乡饮用水水源地位置关系见下图。</w:t>
      </w:r>
    </w:p>
    <w:p w14:paraId="66DA30B8">
      <w:pPr>
        <w:jc w:val="center"/>
        <w:rPr>
          <w:rFonts w:cs="Times New Roman"/>
          <w:color w:val="0000FF"/>
        </w:rPr>
      </w:pPr>
      <w:r>
        <w:rPr>
          <w:rFonts w:hint="eastAsia" w:cs="Times New Roman"/>
          <w:color w:val="0000FF"/>
        </w:rPr>
        <w:drawing>
          <wp:inline distT="0" distB="0" distL="114300" distR="114300">
            <wp:extent cx="6046470" cy="4333240"/>
            <wp:effectExtent l="9525" t="9525" r="14605" b="13335"/>
            <wp:docPr id="9" name="图片 9" descr="17-淠河总干渠上段与青山乡饮用水水源保护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淠河总干渠上段与青山乡饮用水水源保护区"/>
                    <pic:cNvPicPr>
                      <a:picLocks noChangeAspect="1"/>
                    </pic:cNvPicPr>
                  </pic:nvPicPr>
                  <pic:blipFill>
                    <a:blip r:embed="rId146"/>
                    <a:stretch>
                      <a:fillRect/>
                    </a:stretch>
                  </pic:blipFill>
                  <pic:spPr>
                    <a:xfrm>
                      <a:off x="0" y="0"/>
                      <a:ext cx="6046470" cy="4333240"/>
                    </a:xfrm>
                    <a:prstGeom prst="rect">
                      <a:avLst/>
                    </a:prstGeom>
                    <a:ln>
                      <a:solidFill>
                        <a:schemeClr val="tx1"/>
                      </a:solidFill>
                    </a:ln>
                  </pic:spPr>
                </pic:pic>
              </a:graphicData>
            </a:graphic>
          </wp:inline>
        </w:drawing>
      </w:r>
    </w:p>
    <w:p w14:paraId="54CD95F5">
      <w:pPr>
        <w:rPr>
          <w:color w:val="0000FF"/>
        </w:rPr>
      </w:pPr>
      <w:r>
        <w:rPr>
          <w:color w:val="0000FF"/>
        </w:rPr>
        <w:t>图</w:t>
      </w:r>
      <w:r>
        <w:rPr>
          <w:rFonts w:hint="eastAsia"/>
          <w:color w:val="0000FF"/>
        </w:rPr>
        <w:t>5-2-4</w:t>
      </w:r>
      <w:r>
        <w:rPr>
          <w:color w:val="0000FF"/>
        </w:rPr>
        <w:t xml:space="preserve">  淠河总干渠上段工程与青山乡集中式饮用水水源保护区关系图示意图</w:t>
      </w:r>
    </w:p>
    <w:p w14:paraId="32357910">
      <w:pPr>
        <w:ind w:firstLine="480"/>
        <w:rPr>
          <w:rFonts w:cs="Times New Roman"/>
          <w:color w:val="0000FF"/>
        </w:rPr>
      </w:pPr>
      <w:r>
        <w:rPr>
          <w:rFonts w:cs="Times New Roman"/>
          <w:color w:val="0000FF"/>
        </w:rPr>
        <w:t>南楼放水涵、孙院放水涵、六合放水涵等放水涵均为现状已存在并持续运行的水利基础</w:t>
      </w:r>
      <w:r>
        <w:rPr>
          <w:rFonts w:hint="eastAsia" w:cs="Times New Roman"/>
          <w:color w:val="0000FF"/>
        </w:rPr>
        <w:t>设施</w:t>
      </w:r>
      <w:r>
        <w:rPr>
          <w:rFonts w:cs="Times New Roman"/>
          <w:color w:val="0000FF"/>
        </w:rPr>
        <w:t>，青山乡饮用水取水口设置在淠河总干渠上，位置均无法避让。现状放水涵普遍存在</w:t>
      </w:r>
      <w:r>
        <w:rPr>
          <w:rFonts w:hint="eastAsia" w:cs="Times New Roman"/>
          <w:color w:val="0000FF"/>
        </w:rPr>
        <w:t>闸室</w:t>
      </w:r>
      <w:r>
        <w:rPr>
          <w:rFonts w:cs="Times New Roman"/>
          <w:color w:val="0000FF"/>
        </w:rPr>
        <w:t>结构严重老化、消能防冲设施损毁</w:t>
      </w:r>
      <w:r>
        <w:rPr>
          <w:rFonts w:hint="eastAsia" w:cs="Times New Roman"/>
          <w:color w:val="0000FF"/>
        </w:rPr>
        <w:t>、启闭机老化锈蚀等问题。</w:t>
      </w:r>
    </w:p>
    <w:p w14:paraId="058322DE">
      <w:pPr>
        <w:ind w:firstLine="480"/>
        <w:rPr>
          <w:rFonts w:cs="Times New Roman"/>
          <w:color w:val="0000FF"/>
        </w:rPr>
      </w:pPr>
      <w:r>
        <w:rPr>
          <w:rFonts w:cs="Times New Roman"/>
          <w:color w:val="0000FF"/>
        </w:rPr>
        <w:t>本次工程对放水涵进行拆除重建有利于</w:t>
      </w:r>
      <w:r>
        <w:rPr>
          <w:rFonts w:hint="eastAsia" w:cs="Times New Roman"/>
          <w:color w:val="0000FF"/>
        </w:rPr>
        <w:t>解决</w:t>
      </w:r>
      <w:r>
        <w:rPr>
          <w:rFonts w:cs="Times New Roman"/>
          <w:color w:val="0000FF"/>
        </w:rPr>
        <w:t>建筑物现状存在的问题，</w:t>
      </w:r>
      <w:r>
        <w:rPr>
          <w:rFonts w:hint="eastAsia" w:cs="Times New Roman"/>
          <w:color w:val="0000FF"/>
        </w:rPr>
        <w:t>避免因灌溉期持续放水导致放水涵崩涵、出水无法控制、周边岸坡损毁滑坡等险情对青山取水口构筑物安全、水源地水质稳定产生较大影响，</w:t>
      </w:r>
      <w:r>
        <w:rPr>
          <w:rFonts w:cs="Times New Roman"/>
          <w:color w:val="0000FF"/>
        </w:rPr>
        <w:t>保证青山乡</w:t>
      </w:r>
      <w:r>
        <w:rPr>
          <w:rFonts w:hint="eastAsia"/>
          <w:color w:val="0000FF"/>
        </w:rPr>
        <w:t>饮用水取水口安全和水源地水质稳定</w:t>
      </w:r>
      <w:r>
        <w:rPr>
          <w:rFonts w:cs="Times New Roman"/>
          <w:color w:val="0000FF"/>
        </w:rPr>
        <w:t>，项目施工前采取编制饮用水水源应急预案等措施，不属于饮用水水源一级保护区内的禁止建设的项目。</w:t>
      </w:r>
    </w:p>
    <w:p w14:paraId="4C76E40E">
      <w:pPr>
        <w:ind w:firstLine="480"/>
        <w:rPr>
          <w:rFonts w:cs="Times New Roman"/>
          <w:color w:val="0000FF"/>
        </w:rPr>
      </w:pPr>
      <w:r>
        <w:rPr>
          <w:rFonts w:cs="Times New Roman"/>
          <w:color w:val="0000FF"/>
        </w:rPr>
        <w:t>本工程为</w:t>
      </w:r>
      <w:r>
        <w:rPr>
          <w:rFonts w:hint="eastAsia" w:cs="Times New Roman"/>
          <w:color w:val="0000FF"/>
        </w:rPr>
        <w:t>灌区</w:t>
      </w:r>
      <w:r>
        <w:rPr>
          <w:rFonts w:cs="Times New Roman"/>
          <w:color w:val="0000FF"/>
        </w:rPr>
        <w:t>工程</w:t>
      </w:r>
      <w:r>
        <w:rPr>
          <w:rFonts w:hint="eastAsia" w:cs="Times New Roman"/>
          <w:color w:val="0000FF"/>
        </w:rPr>
        <w:t>，同时具有重要的生活供水和生产供水功能</w:t>
      </w:r>
      <w:r>
        <w:rPr>
          <w:rFonts w:cs="Times New Roman"/>
          <w:color w:val="0000FF"/>
        </w:rPr>
        <w:t>，为非污染的生态影响型工程，不属于饮用水水源二级保护区内禁止建设的项目。</w:t>
      </w:r>
    </w:p>
    <w:p w14:paraId="77CD00B4">
      <w:pPr>
        <w:ind w:firstLine="480"/>
        <w:rPr>
          <w:rFonts w:cs="Times New Roman"/>
          <w:color w:val="0000FF"/>
        </w:rPr>
      </w:pPr>
      <w:r>
        <w:rPr>
          <w:rFonts w:cs="Times New Roman"/>
          <w:color w:val="0000FF"/>
        </w:rPr>
        <w:t>工程</w:t>
      </w:r>
      <w:r>
        <w:rPr>
          <w:rFonts w:hint="eastAsia" w:cs="Times New Roman"/>
          <w:color w:val="0000FF"/>
        </w:rPr>
        <w:t>在淠河总干渠向六安市、合肥市供水的停水间歇期填筑围堰，围堰填筑包围面积仅需保持少量人员施工活动，淠河总干渠底宽60m，围堰填筑占用淠河总干渠过水断面量极小，且施工期为枯水期，灌溉等其他供水需求较小。围堰填筑后供水期对淠河总干渠沿线取水口取水供水无影响。</w:t>
      </w:r>
    </w:p>
    <w:p w14:paraId="5A72A5CD">
      <w:pPr>
        <w:ind w:firstLine="480"/>
        <w:rPr>
          <w:rFonts w:cs="Times New Roman"/>
          <w:color w:val="0000FF"/>
        </w:rPr>
      </w:pPr>
      <w:r>
        <w:rPr>
          <w:rFonts w:cs="Times New Roman"/>
          <w:color w:val="0000FF"/>
        </w:rPr>
        <w:t>工程不在青山乡饮用水水源保护区内设置生产、生活区，施工废水不外排，对水源地主要影响为放水涵施工时围堰填筑拆除施工引起淠河总干渠局部悬浮物浓度增加，围堰拆建时间较短，施工期通过使用袋装土围堰控制施工产生悬浮物浓度，工程施工前制定饮用水应急预案，同时在取水口周围设置防污帘，建设单位在加强对施工人员的饮用水水源地保护意识教育，加快施工进度等保护措施的情况下，工程施工期对青山乡饮用水水源地影响较小。</w:t>
      </w:r>
    </w:p>
    <w:p w14:paraId="582F5265">
      <w:pPr>
        <w:ind w:firstLine="480"/>
        <w:rPr>
          <w:rFonts w:cs="Times New Roman"/>
          <w:color w:val="0000FF"/>
        </w:rPr>
      </w:pPr>
      <w:r>
        <w:rPr>
          <w:rFonts w:cs="Times New Roman"/>
          <w:color w:val="0000FF"/>
        </w:rPr>
        <w:t>（</w:t>
      </w:r>
      <w:r>
        <w:rPr>
          <w:rFonts w:hint="eastAsia" w:cs="Times New Roman"/>
          <w:color w:val="0000FF"/>
        </w:rPr>
        <w:t>4</w:t>
      </w:r>
      <w:r>
        <w:rPr>
          <w:rFonts w:cs="Times New Roman"/>
          <w:color w:val="0000FF"/>
        </w:rPr>
        <w:t>）果园山水库饮用水水源保护区</w:t>
      </w:r>
      <w:r>
        <w:rPr>
          <w:rFonts w:hint="eastAsia" w:cs="Times New Roman"/>
          <w:color w:val="0000FF"/>
        </w:rPr>
        <w:t>—一级保护区</w:t>
      </w:r>
    </w:p>
    <w:p w14:paraId="0A9CD583">
      <w:pPr>
        <w:ind w:firstLine="480"/>
        <w:rPr>
          <w:rFonts w:cs="Times New Roman"/>
          <w:color w:val="0000FF"/>
        </w:rPr>
      </w:pPr>
      <w:r>
        <w:rPr>
          <w:rFonts w:cs="Times New Roman"/>
          <w:color w:val="0000FF"/>
        </w:rPr>
        <w:t>果园山水库饮用水水源保护区位于合肥市庐江县舒庐干渠桩号</w:t>
      </w:r>
      <w:r>
        <w:rPr>
          <w:rFonts w:cs="Times New Roman"/>
          <w:color w:val="0000FF"/>
          <w:szCs w:val="20"/>
        </w:rPr>
        <w:t>56+700南侧</w:t>
      </w:r>
      <w:r>
        <w:rPr>
          <w:rFonts w:cs="Times New Roman"/>
          <w:color w:val="0000FF"/>
        </w:rPr>
        <w:t>，取水口位于果园山水库。</w:t>
      </w:r>
    </w:p>
    <w:p w14:paraId="761B29F8">
      <w:pPr>
        <w:ind w:firstLine="480"/>
        <w:rPr>
          <w:rFonts w:cs="Times New Roman"/>
          <w:color w:val="0000FF"/>
        </w:rPr>
      </w:pPr>
      <w:r>
        <w:rPr>
          <w:rFonts w:cs="Times New Roman"/>
          <w:color w:val="0000FF"/>
        </w:rPr>
        <w:t>本次治理工程中果园山水库进水闸位于水源地一级保护区内，位于取水口北侧，距离约为30m，本工程与果园山饮用水水源地位置关系见下图。</w:t>
      </w:r>
    </w:p>
    <w:p w14:paraId="51C34659">
      <w:pPr>
        <w:jc w:val="center"/>
        <w:rPr>
          <w:rFonts w:cs="Times New Roman"/>
          <w:color w:val="0000FF"/>
        </w:rPr>
      </w:pPr>
      <w:r>
        <w:rPr>
          <w:rFonts w:cs="Times New Roman"/>
          <w:color w:val="0000FF"/>
        </w:rPr>
        <w:drawing>
          <wp:inline distT="0" distB="0" distL="114300" distR="114300">
            <wp:extent cx="6029325" cy="3749675"/>
            <wp:effectExtent l="0" t="0" r="3175" b="9525"/>
            <wp:docPr id="100" name="图片 2135" descr="项目与果园山水库饮用水保护区位置关系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135" descr="项目与果园山水库饮用水保护区位置关系示意图"/>
                    <pic:cNvPicPr>
                      <a:picLocks noChangeAspect="1"/>
                    </pic:cNvPicPr>
                  </pic:nvPicPr>
                  <pic:blipFill>
                    <a:blip r:embed="rId147"/>
                    <a:stretch>
                      <a:fillRect/>
                    </a:stretch>
                  </pic:blipFill>
                  <pic:spPr>
                    <a:xfrm>
                      <a:off x="0" y="0"/>
                      <a:ext cx="6029325" cy="3749675"/>
                    </a:xfrm>
                    <a:prstGeom prst="rect">
                      <a:avLst/>
                    </a:prstGeom>
                    <a:noFill/>
                    <a:ln>
                      <a:noFill/>
                    </a:ln>
                  </pic:spPr>
                </pic:pic>
              </a:graphicData>
            </a:graphic>
          </wp:inline>
        </w:drawing>
      </w:r>
    </w:p>
    <w:p w14:paraId="2AE40859">
      <w:pPr>
        <w:rPr>
          <w:color w:val="0000FF"/>
        </w:rPr>
      </w:pPr>
      <w:r>
        <w:rPr>
          <w:color w:val="0000FF"/>
        </w:rPr>
        <w:t>图</w:t>
      </w:r>
      <w:r>
        <w:rPr>
          <w:rFonts w:hint="eastAsia"/>
          <w:color w:val="0000FF"/>
        </w:rPr>
        <w:t>5-2-5</w:t>
      </w:r>
      <w:r>
        <w:rPr>
          <w:color w:val="0000FF"/>
        </w:rPr>
        <w:t xml:space="preserve">  舒庐干渠7座水闸工程与果园山水库饮用水水源保护区关系图示意图</w:t>
      </w:r>
    </w:p>
    <w:p w14:paraId="5F98D2E8">
      <w:pPr>
        <w:ind w:firstLine="480"/>
        <w:rPr>
          <w:rFonts w:cs="Times New Roman"/>
          <w:color w:val="0000FF"/>
        </w:rPr>
      </w:pPr>
      <w:r>
        <w:rPr>
          <w:rFonts w:cs="Times New Roman"/>
          <w:color w:val="0000FF"/>
        </w:rPr>
        <w:t>舒庐干渠与果园山水库通过果园山水库进水闸连接，该进水闸兼顾有水库补水、水库泄洪作用，由于果园山水库为庐江县饮用水水源地，该水闸启闭更加频繁，现状该闸闸墩老化严重，下游翼墙渗水严重，上游排架严重锈蚀，启闭房渗水且闸门变形无法正常运行，现状已无法正常调节水库补水供水，严重影响果园山水库泄洪和供水的稳定性和安全性。</w:t>
      </w:r>
    </w:p>
    <w:p w14:paraId="0B4CEBF0">
      <w:pPr>
        <w:ind w:firstLine="480"/>
        <w:rPr>
          <w:rFonts w:cs="Times New Roman"/>
          <w:color w:val="0000FF"/>
        </w:rPr>
      </w:pPr>
      <w:r>
        <w:rPr>
          <w:rFonts w:cs="Times New Roman"/>
          <w:color w:val="0000FF"/>
        </w:rPr>
        <w:t>本次工程对果园山进水闸进行拆除重建有利于彻底解决建筑物现状存在的问题，同时可保证果园山水库饮用水水源的安全和稳定，项目施工前采取编制饮用水水源应急预案等措施，不属于饮用水水源一级保护区内的禁止建设的项目。</w:t>
      </w:r>
    </w:p>
    <w:p w14:paraId="4C5E6EA6">
      <w:pPr>
        <w:ind w:firstLine="480"/>
        <w:rPr>
          <w:rFonts w:cs="Times New Roman"/>
          <w:color w:val="0000FF"/>
        </w:rPr>
      </w:pPr>
      <w:r>
        <w:rPr>
          <w:rFonts w:cs="Times New Roman"/>
          <w:color w:val="0000FF"/>
        </w:rPr>
        <w:t>工程</w:t>
      </w:r>
      <w:r>
        <w:rPr>
          <w:rFonts w:hint="eastAsia" w:cs="Times New Roman"/>
          <w:color w:val="0000FF"/>
        </w:rPr>
        <w:t>在果园山水库向庐江县供水的停水间歇期填筑围堰，围堰填筑后进水闸不承担供水任务，利用上游约20m处的泄洪闸和放水涵进行供水和导流，且果园山水库水源除舒庐干渠外还有汇水范围内的地表径流，双重保证下围堰填筑后供水期对果园山水库取水口取水供水无影响。</w:t>
      </w:r>
    </w:p>
    <w:p w14:paraId="691931EF">
      <w:pPr>
        <w:ind w:firstLine="480"/>
        <w:rPr>
          <w:rFonts w:cs="Times New Roman"/>
          <w:color w:val="0000FF"/>
        </w:rPr>
      </w:pPr>
      <w:r>
        <w:rPr>
          <w:rFonts w:cs="Times New Roman"/>
          <w:color w:val="0000FF"/>
        </w:rPr>
        <w:t>工程不在果园山水库饮用水水源保护区内设置生产、生活区，施工废水不外排，对水源地主要影响为放水涵施工时围堰填筑拆除施工引起果园山水库局部悬浮物浓度增加，围堰拆建时间较短，施工期通过使用袋装土围堰控制施工产生悬浮物浓度，工程施工前制定饮用水应急预案，同时在取水口周围设置防污帘，建设单位在加强对施工人员的饮用水水源地保护意识教育，加快施工进度等保护措施的情况下，工程施工期对果园山水库饮用水水源地影响较小。</w:t>
      </w:r>
    </w:p>
    <w:p w14:paraId="65B4F4C9">
      <w:pPr>
        <w:ind w:firstLine="480"/>
        <w:rPr>
          <w:rFonts w:cs="Times New Roman"/>
          <w:color w:val="0000FF"/>
        </w:rPr>
      </w:pPr>
      <w:r>
        <w:rPr>
          <w:rFonts w:cs="Times New Roman"/>
          <w:color w:val="0000FF"/>
        </w:rPr>
        <w:t>（</w:t>
      </w:r>
      <w:r>
        <w:rPr>
          <w:rFonts w:hint="eastAsia" w:cs="Times New Roman"/>
          <w:color w:val="0000FF"/>
        </w:rPr>
        <w:t>5</w:t>
      </w:r>
      <w:r>
        <w:rPr>
          <w:rFonts w:cs="Times New Roman"/>
          <w:color w:val="0000FF"/>
        </w:rPr>
        <w:t>）众兴、茶庵镇饮用水水源保护区</w:t>
      </w:r>
      <w:r>
        <w:rPr>
          <w:rFonts w:hint="eastAsia" w:cs="Times New Roman"/>
          <w:color w:val="0000FF"/>
        </w:rPr>
        <w:t>—一级保护区、二级保护区</w:t>
      </w:r>
    </w:p>
    <w:p w14:paraId="5064530F">
      <w:pPr>
        <w:ind w:firstLine="480"/>
        <w:rPr>
          <w:rFonts w:cs="Times New Roman"/>
          <w:color w:val="0000FF"/>
        </w:rPr>
      </w:pPr>
      <w:r>
        <w:rPr>
          <w:rFonts w:cs="Times New Roman"/>
          <w:color w:val="0000FF"/>
        </w:rPr>
        <w:t>众兴、茶庵镇饮用水水源保护区位于淮南市寿县淠东干渠中上段，取水口位于淠东干渠</w:t>
      </w:r>
      <w:r>
        <w:rPr>
          <w:rFonts w:hint="eastAsia" w:cs="Times New Roman"/>
          <w:color w:val="0000FF"/>
        </w:rPr>
        <w:t>，以佛子岭水库等水源，通过淠河总干渠、淠东干渠输水供水</w:t>
      </w:r>
      <w:r>
        <w:rPr>
          <w:rFonts w:cs="Times New Roman"/>
          <w:color w:val="0000FF"/>
        </w:rPr>
        <w:t>。</w:t>
      </w:r>
    </w:p>
    <w:p w14:paraId="0FC49905">
      <w:pPr>
        <w:ind w:firstLine="480"/>
        <w:rPr>
          <w:rFonts w:cs="Times New Roman"/>
          <w:color w:val="0000FF"/>
        </w:rPr>
      </w:pPr>
      <w:r>
        <w:rPr>
          <w:rFonts w:cs="Times New Roman"/>
          <w:color w:val="0000FF"/>
        </w:rPr>
        <w:t>本次</w:t>
      </w:r>
      <w:r>
        <w:rPr>
          <w:rFonts w:hint="eastAsia" w:cs="Times New Roman"/>
          <w:color w:val="0000FF"/>
        </w:rPr>
        <w:t>淠东干渠</w:t>
      </w:r>
      <w:r>
        <w:rPr>
          <w:rFonts w:cs="Times New Roman"/>
          <w:color w:val="0000FF"/>
        </w:rPr>
        <w:t>治理工程中新集放水涵、</w:t>
      </w:r>
      <w:r>
        <w:rPr>
          <w:rFonts w:hint="eastAsia" w:cs="Times New Roman"/>
          <w:color w:val="0000FF"/>
        </w:rPr>
        <w:t>部分</w:t>
      </w:r>
      <w:r>
        <w:rPr>
          <w:rFonts w:cs="Times New Roman"/>
          <w:color w:val="0000FF"/>
        </w:rPr>
        <w:t>防渗治理位于水源地一级保护区内，唐墩涵、周圩涵、薛圩涵、小店涵、高庄农门、防渗治理位于二级保护区内，其中新集放水涵位于取水口上游距离约为130m，本工程与众兴、茶庵镇饮用水水源地位置关系见下图。</w:t>
      </w:r>
    </w:p>
    <w:p w14:paraId="4012CCA6">
      <w:pPr>
        <w:ind w:firstLine="480"/>
        <w:rPr>
          <w:rFonts w:cs="Times New Roman"/>
          <w:color w:val="0000FF"/>
        </w:rPr>
      </w:pPr>
      <w:r>
        <w:rPr>
          <w:rFonts w:cs="Times New Roman"/>
          <w:color w:val="0000FF"/>
        </w:rPr>
        <w:t>新集放水涵</w:t>
      </w:r>
      <w:r>
        <w:rPr>
          <w:rFonts w:hint="eastAsia" w:cs="Times New Roman"/>
          <w:color w:val="0000FF"/>
        </w:rPr>
        <w:t>建设于20世纪60年代，</w:t>
      </w:r>
      <w:r>
        <w:rPr>
          <w:rFonts w:cs="Times New Roman"/>
          <w:color w:val="0000FF"/>
        </w:rPr>
        <w:t>为现状已存在并持续运行的水利基础设置，众兴、茶庵镇饮用水取水口设置在淠河总干渠上，位置均无法避让。现状新集放水涵结构老化严重、消能防冲设施几乎完全损毁，</w:t>
      </w:r>
      <w:r>
        <w:rPr>
          <w:rFonts w:hint="eastAsia" w:cs="Times New Roman"/>
          <w:color w:val="0000FF"/>
        </w:rPr>
        <w:t>启闭机存在老化锈蚀等问题</w:t>
      </w:r>
    </w:p>
    <w:p w14:paraId="627E509A">
      <w:pPr>
        <w:ind w:firstLine="480"/>
        <w:rPr>
          <w:rFonts w:cs="Times New Roman"/>
          <w:color w:val="0000FF"/>
        </w:rPr>
      </w:pPr>
      <w:r>
        <w:rPr>
          <w:rFonts w:cs="Times New Roman"/>
          <w:color w:val="0000FF"/>
        </w:rPr>
        <w:t>梅店农门渗漏段筑堤时清基不彻底，堤身与堤基结合不紧密，尤其在跨越老河道处，可能存在渗漏通道，有滑坡、坍塌的风险。</w:t>
      </w:r>
    </w:p>
    <w:p w14:paraId="10246B80">
      <w:pPr>
        <w:ind w:firstLine="480"/>
        <w:rPr>
          <w:rFonts w:cs="Times New Roman"/>
          <w:color w:val="0000FF"/>
        </w:rPr>
      </w:pPr>
      <w:r>
        <w:rPr>
          <w:rFonts w:cs="Times New Roman"/>
          <w:color w:val="0000FF"/>
        </w:rPr>
        <w:t>本次工程对新集放水涵进行拆除、梅店农门渗漏段进行防渗治理解决建筑物现状存在的问题，</w:t>
      </w:r>
      <w:r>
        <w:rPr>
          <w:rFonts w:hint="eastAsia" w:cs="Times New Roman"/>
          <w:color w:val="0000FF"/>
        </w:rPr>
        <w:t>避免因灌溉期持续放水导致放水涵崩涵、出水无法控制、周边岸坡冲毁等险情，对众兴、茶庵镇饮用水取水口构筑物安全、水源地水质稳定产生较大影响，</w:t>
      </w:r>
      <w:r>
        <w:rPr>
          <w:rFonts w:cs="Times New Roman"/>
          <w:color w:val="0000FF"/>
        </w:rPr>
        <w:t>保证众兴、茶庵镇饮用水水源的安全和稳定，项目施工前采取编制饮用水水源应急预案等措施，不属于饮用水水源一级保护区内的禁止建设的项目。</w:t>
      </w:r>
    </w:p>
    <w:p w14:paraId="3114D5F3">
      <w:pPr>
        <w:ind w:firstLine="480"/>
        <w:rPr>
          <w:rFonts w:cs="Times New Roman"/>
          <w:color w:val="0000FF"/>
        </w:rPr>
      </w:pPr>
      <w:r>
        <w:rPr>
          <w:rFonts w:cs="Times New Roman"/>
          <w:color w:val="0000FF"/>
        </w:rPr>
        <w:t>本</w:t>
      </w:r>
      <w:r>
        <w:rPr>
          <w:rFonts w:hint="eastAsia" w:cs="Times New Roman"/>
          <w:color w:val="0000FF"/>
        </w:rPr>
        <w:t>次</w:t>
      </w:r>
      <w:r>
        <w:rPr>
          <w:rFonts w:cs="Times New Roman"/>
          <w:color w:val="0000FF"/>
        </w:rPr>
        <w:t>工程</w:t>
      </w:r>
      <w:r>
        <w:rPr>
          <w:rFonts w:hint="eastAsia" w:cs="Times New Roman"/>
          <w:color w:val="0000FF"/>
        </w:rPr>
        <w:t>为灌区</w:t>
      </w:r>
      <w:r>
        <w:rPr>
          <w:rFonts w:cs="Times New Roman"/>
          <w:color w:val="0000FF"/>
        </w:rPr>
        <w:t>工程</w:t>
      </w:r>
      <w:r>
        <w:rPr>
          <w:rFonts w:hint="eastAsia" w:cs="Times New Roman"/>
          <w:color w:val="0000FF"/>
        </w:rPr>
        <w:t>，同时具有重要的生活供水和生产供水功能</w:t>
      </w:r>
      <w:r>
        <w:rPr>
          <w:rFonts w:cs="Times New Roman"/>
          <w:color w:val="0000FF"/>
        </w:rPr>
        <w:t>，为非污染的生态影响型工程，不属于饮用水水源二级保护区内禁止建设的项目。</w:t>
      </w:r>
    </w:p>
    <w:p w14:paraId="52D9DEF4">
      <w:pPr>
        <w:ind w:firstLine="480"/>
        <w:rPr>
          <w:rFonts w:cs="Times New Roman"/>
          <w:color w:val="0000FF"/>
        </w:rPr>
      </w:pPr>
      <w:r>
        <w:rPr>
          <w:rFonts w:cs="Times New Roman"/>
          <w:color w:val="0000FF"/>
        </w:rPr>
        <w:t>工程</w:t>
      </w:r>
      <w:r>
        <w:rPr>
          <w:rFonts w:hint="eastAsia" w:cs="Times New Roman"/>
          <w:color w:val="0000FF"/>
        </w:rPr>
        <w:t>在淠东干渠向寿县众兴镇、茶庵镇供水的停水间歇期填筑围堰，围堰填筑包围面积仅需保持少量人员施工活动，淠东干渠底宽50m，围堰填筑占用淠东干渠过水断面量极小，且施工期为枯水期，灌溉等其他供水需求较小。围堰填筑后供水期对淠东干渠沿线取水口取水供水无影响。</w:t>
      </w:r>
    </w:p>
    <w:p w14:paraId="0D9A7E65">
      <w:pPr>
        <w:ind w:firstLine="480"/>
        <w:rPr>
          <w:rFonts w:cs="Times New Roman"/>
          <w:color w:val="0000FF"/>
        </w:rPr>
      </w:pPr>
      <w:r>
        <w:rPr>
          <w:rFonts w:cs="Times New Roman"/>
          <w:color w:val="0000FF"/>
        </w:rPr>
        <w:t>工程不在</w:t>
      </w:r>
      <w:r>
        <w:rPr>
          <w:rFonts w:hint="eastAsia" w:cs="Times New Roman"/>
          <w:color w:val="0000FF"/>
        </w:rPr>
        <w:t>众兴、茶庵镇</w:t>
      </w:r>
      <w:r>
        <w:rPr>
          <w:rFonts w:cs="Times New Roman"/>
          <w:color w:val="0000FF"/>
        </w:rPr>
        <w:t>饮用水水源保护区内设置生产、生活区，施工废水不外排，对水源地主要影响为放水涵施工时围堰填筑拆除施工引起淠东干渠局部悬浮物浓度增加，围堰拆建时间较短，施工期通过使用袋装土围堰控制施工产生悬浮物浓度，工程施工前制定饮用水应急预案，同时在取水口周围设置防污帘，建设单位在加强对施工人员的饮用水水源地保护意识教育，加快施工进度等保护措施的情况下，工程施工期对众兴、茶庵镇饮用水水源地影响较小。</w:t>
      </w:r>
    </w:p>
    <w:p w14:paraId="382E89F2">
      <w:pPr>
        <w:jc w:val="center"/>
        <w:rPr>
          <w:rFonts w:cs="Times New Roman"/>
          <w:color w:val="0000FF"/>
        </w:rPr>
      </w:pPr>
      <w:r>
        <w:rPr>
          <w:rFonts w:cs="Times New Roman"/>
          <w:color w:val="0000FF"/>
        </w:rPr>
        <w:drawing>
          <wp:inline distT="0" distB="0" distL="114300" distR="114300">
            <wp:extent cx="6042660" cy="7261860"/>
            <wp:effectExtent l="0" t="0" r="2540" b="2540"/>
            <wp:docPr id="10" name="图片 10" descr="15-淠东干渠上段与众兴、茶庵镇饮用水水源保护区对照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5-淠东干渠上段与众兴、茶庵镇饮用水水源保护区对照图"/>
                    <pic:cNvPicPr>
                      <a:picLocks noChangeAspect="1"/>
                    </pic:cNvPicPr>
                  </pic:nvPicPr>
                  <pic:blipFill>
                    <a:blip r:embed="rId148"/>
                    <a:stretch>
                      <a:fillRect/>
                    </a:stretch>
                  </pic:blipFill>
                  <pic:spPr>
                    <a:xfrm>
                      <a:off x="0" y="0"/>
                      <a:ext cx="6042660" cy="7261860"/>
                    </a:xfrm>
                    <a:prstGeom prst="rect">
                      <a:avLst/>
                    </a:prstGeom>
                  </pic:spPr>
                </pic:pic>
              </a:graphicData>
            </a:graphic>
          </wp:inline>
        </w:drawing>
      </w:r>
    </w:p>
    <w:p w14:paraId="7D16227A">
      <w:pPr>
        <w:rPr>
          <w:color w:val="0000FF"/>
        </w:rPr>
      </w:pPr>
      <w:r>
        <w:rPr>
          <w:color w:val="0000FF"/>
        </w:rPr>
        <w:t>图</w:t>
      </w:r>
      <w:r>
        <w:rPr>
          <w:rFonts w:hint="eastAsia"/>
          <w:color w:val="0000FF"/>
        </w:rPr>
        <w:t>5-2-6</w:t>
      </w:r>
      <w:r>
        <w:rPr>
          <w:color w:val="0000FF"/>
        </w:rPr>
        <w:t xml:space="preserve">  </w:t>
      </w:r>
      <w:r>
        <w:rPr>
          <w:rFonts w:hint="eastAsia"/>
          <w:color w:val="0000FF"/>
        </w:rPr>
        <w:t>淠东干渠工程</w:t>
      </w:r>
      <w:r>
        <w:rPr>
          <w:color w:val="0000FF"/>
        </w:rPr>
        <w:t>与</w:t>
      </w:r>
      <w:r>
        <w:rPr>
          <w:rFonts w:hint="eastAsia"/>
          <w:color w:val="0000FF"/>
        </w:rPr>
        <w:t>众兴、茶庵镇</w:t>
      </w:r>
      <w:r>
        <w:rPr>
          <w:color w:val="0000FF"/>
        </w:rPr>
        <w:t>饮用水水源保护区关系图示意图</w:t>
      </w:r>
    </w:p>
    <w:p w14:paraId="15711599">
      <w:pPr>
        <w:ind w:firstLine="480"/>
        <w:rPr>
          <w:rFonts w:cs="Times New Roman"/>
          <w:color w:val="0000FF"/>
        </w:rPr>
      </w:pPr>
      <w:r>
        <w:rPr>
          <w:rFonts w:cs="Times New Roman"/>
          <w:color w:val="0000FF"/>
        </w:rPr>
        <w:t>（</w:t>
      </w:r>
      <w:r>
        <w:rPr>
          <w:rFonts w:hint="eastAsia" w:cs="Times New Roman"/>
          <w:color w:val="0000FF"/>
        </w:rPr>
        <w:t>6</w:t>
      </w:r>
      <w:r>
        <w:rPr>
          <w:rFonts w:cs="Times New Roman"/>
          <w:color w:val="0000FF"/>
        </w:rPr>
        <w:t>）董铺水库饮用水水源保护区、大房郢水库饮用水水源保护区</w:t>
      </w:r>
      <w:r>
        <w:rPr>
          <w:rFonts w:hint="eastAsia" w:cs="Times New Roman"/>
          <w:color w:val="0000FF"/>
        </w:rPr>
        <w:t>—二级保护区</w:t>
      </w:r>
    </w:p>
    <w:p w14:paraId="2A19C4DD">
      <w:pPr>
        <w:ind w:firstLine="480"/>
        <w:rPr>
          <w:rFonts w:cs="Times New Roman"/>
          <w:color w:val="0000FF"/>
        </w:rPr>
      </w:pPr>
      <w:r>
        <w:rPr>
          <w:rFonts w:cs="Times New Roman"/>
          <w:color w:val="0000FF"/>
        </w:rPr>
        <w:t>董铺水库、大房郢水库位于安徽省合肥市长丰县，取水口位于水库南侧。</w:t>
      </w:r>
    </w:p>
    <w:p w14:paraId="76E93620">
      <w:pPr>
        <w:ind w:firstLine="480"/>
        <w:rPr>
          <w:rFonts w:cs="Times New Roman"/>
          <w:color w:val="0000FF"/>
        </w:rPr>
      </w:pPr>
      <w:r>
        <w:rPr>
          <w:rFonts w:cs="Times New Roman"/>
          <w:color w:val="0000FF"/>
        </w:rPr>
        <w:t>本次治理工程中陆大郢渠下涵、吴大郢渠下涵、王大塘渠下涵、瞿岗渠下涵以及约100m的护砌工程位于水源地二级保护区内，王大塘渠下涵与董铺水库取水口较</w:t>
      </w:r>
      <w:r>
        <w:rPr>
          <w:rFonts w:hint="eastAsia" w:cs="Times New Roman"/>
          <w:color w:val="0000FF"/>
        </w:rPr>
        <w:t>远</w:t>
      </w:r>
      <w:r>
        <w:rPr>
          <w:rFonts w:cs="Times New Roman"/>
          <w:color w:val="0000FF"/>
        </w:rPr>
        <w:t>，距离约8.36km。</w:t>
      </w:r>
    </w:p>
    <w:p w14:paraId="0F236595">
      <w:pPr>
        <w:ind w:firstLine="480"/>
        <w:rPr>
          <w:rFonts w:cs="Times New Roman"/>
          <w:color w:val="0000FF"/>
        </w:rPr>
      </w:pPr>
      <w:r>
        <w:rPr>
          <w:rFonts w:cs="Times New Roman"/>
          <w:color w:val="0000FF"/>
        </w:rPr>
        <w:t>本工程为农田灌溉配套工程，为非污染的生态影响型工程，不属于饮用水水源二级保护区内禁止建设的项目。</w:t>
      </w:r>
    </w:p>
    <w:p w14:paraId="00E38134">
      <w:pPr>
        <w:ind w:firstLine="480"/>
        <w:rPr>
          <w:rFonts w:cs="Times New Roman"/>
          <w:color w:val="0000FF"/>
        </w:rPr>
      </w:pPr>
      <w:r>
        <w:rPr>
          <w:rFonts w:cs="Times New Roman"/>
          <w:color w:val="0000FF"/>
        </w:rPr>
        <w:t>工程</w:t>
      </w:r>
      <w:r>
        <w:rPr>
          <w:rFonts w:hint="eastAsia" w:cs="Times New Roman"/>
          <w:color w:val="0000FF"/>
        </w:rPr>
        <w:t>在滁河干渠向合肥市的停水间歇期填筑围堰，围堰施工期为枯水期，灌溉等其他供水需求较小，且董铺水库和大房郢水库的主要供水渠道为南淝河，该段滁河干渠供水量极小。围堰填筑后供水期对淠东干渠沿线取水口取水供水无影响。</w:t>
      </w:r>
    </w:p>
    <w:p w14:paraId="24C1C7DC">
      <w:pPr>
        <w:ind w:firstLine="480"/>
        <w:rPr>
          <w:rFonts w:cs="Times New Roman"/>
          <w:color w:val="0000FF"/>
        </w:rPr>
      </w:pPr>
      <w:r>
        <w:rPr>
          <w:rFonts w:cs="Times New Roman"/>
          <w:color w:val="0000FF"/>
        </w:rPr>
        <w:t>工程不在董铺水库和大房郢水库饮用水水源保护区内设置生产、生活区，施工废水不外排，对水源地主要影响为渠下涵施工时渠下涵上下游围堰、滁河干渠渠下涵段上下游围堰填筑拆除施工引起董铺水库、大房郢水库汇水河流局部悬浮物浓度增加，围堰拆建时间较短，施工期通过使用袋装土围堰控制施工产生悬浮物浓度，施工工程范围仅为渠下涵周边，工程量较小，且工程距离水源地取水口距离较远，建设单位在加强对施工人员的饮用水水源地保护意识教育，禁止生产垃圾、施工人员生活垃圾等抛洒进水滁河干渠和渠下涵河流，加快施工进度，做好水土保持和环境风险防范措施的情况下，总体来讲，工程施工期对董铺水库和大房郢水库饮用水水源地影响较小。</w:t>
      </w:r>
    </w:p>
    <w:p w14:paraId="7AB7701A">
      <w:pPr>
        <w:ind w:firstLine="480"/>
        <w:rPr>
          <w:rFonts w:cs="Times New Roman"/>
          <w:color w:val="0000FF"/>
        </w:rPr>
      </w:pPr>
      <w:r>
        <w:rPr>
          <w:rFonts w:cs="Times New Roman"/>
          <w:color w:val="0000FF"/>
        </w:rPr>
        <w:t>（</w:t>
      </w:r>
      <w:r>
        <w:rPr>
          <w:rFonts w:hint="eastAsia" w:cs="Times New Roman"/>
          <w:color w:val="0000FF"/>
        </w:rPr>
        <w:t>7</w:t>
      </w:r>
      <w:r>
        <w:rPr>
          <w:rFonts w:cs="Times New Roman"/>
          <w:color w:val="0000FF"/>
        </w:rPr>
        <w:t>）乌龙镇陈楼水厂饮用水水源保护区</w:t>
      </w:r>
      <w:r>
        <w:rPr>
          <w:rFonts w:hint="eastAsia" w:cs="Times New Roman"/>
          <w:color w:val="0000FF"/>
        </w:rPr>
        <w:t>—二级保护区</w:t>
      </w:r>
    </w:p>
    <w:p w14:paraId="41A429C8">
      <w:pPr>
        <w:ind w:firstLine="480"/>
        <w:rPr>
          <w:rFonts w:cs="Times New Roman"/>
          <w:color w:val="0000FF"/>
        </w:rPr>
      </w:pPr>
      <w:r>
        <w:rPr>
          <w:rFonts w:cs="Times New Roman"/>
          <w:color w:val="0000FF"/>
        </w:rPr>
        <w:t>乌龙镇陈楼水厂饮用水水源保护区位于六安市霍邱县沣西干渠上段，取水口位于沣西干渠上。</w:t>
      </w:r>
    </w:p>
    <w:p w14:paraId="7B717094">
      <w:pPr>
        <w:ind w:firstLine="480"/>
        <w:rPr>
          <w:rFonts w:cs="Times New Roman"/>
          <w:color w:val="0000FF"/>
        </w:rPr>
      </w:pPr>
      <w:r>
        <w:rPr>
          <w:rFonts w:cs="Times New Roman"/>
          <w:color w:val="0000FF"/>
        </w:rPr>
        <w:t>本次工程中乌斗支渠渠首约820m的护砌工程位于饮用水水源二级保护区内，护砌起点距离取水口约90m，本工程与乌龙镇陈楼水厂饮用水水源地位置关系</w:t>
      </w:r>
      <w:r>
        <w:rPr>
          <w:rFonts w:hint="eastAsia" w:cs="Times New Roman"/>
          <w:b/>
          <w:bCs/>
          <w:color w:val="0000FF"/>
        </w:rPr>
        <w:t>见附图</w:t>
      </w:r>
      <w:r>
        <w:rPr>
          <w:rFonts w:cs="Times New Roman"/>
          <w:color w:val="0000FF"/>
        </w:rPr>
        <w:t>。</w:t>
      </w:r>
    </w:p>
    <w:p w14:paraId="726CCED2">
      <w:pPr>
        <w:ind w:firstLine="480"/>
        <w:rPr>
          <w:rFonts w:cs="Times New Roman"/>
          <w:color w:val="0000FF"/>
        </w:rPr>
      </w:pPr>
      <w:r>
        <w:rPr>
          <w:rFonts w:cs="Times New Roman"/>
          <w:color w:val="0000FF"/>
        </w:rPr>
        <w:t>本工程渠道护砌为</w:t>
      </w:r>
      <w:r>
        <w:rPr>
          <w:rFonts w:hint="eastAsia" w:cs="Times New Roman"/>
          <w:color w:val="0000FF"/>
        </w:rPr>
        <w:t>灌区</w:t>
      </w:r>
      <w:r>
        <w:rPr>
          <w:rFonts w:cs="Times New Roman"/>
          <w:color w:val="0000FF"/>
        </w:rPr>
        <w:t>工程</w:t>
      </w:r>
      <w:r>
        <w:rPr>
          <w:rFonts w:hint="eastAsia" w:cs="Times New Roman"/>
          <w:color w:val="0000FF"/>
        </w:rPr>
        <w:t>，同时具有重要的生活供水和生产供水功能</w:t>
      </w:r>
      <w:r>
        <w:rPr>
          <w:rFonts w:cs="Times New Roman"/>
          <w:color w:val="0000FF"/>
        </w:rPr>
        <w:t>，为非污染的生态影响型工程，不属于饮用水水源二级保护区内禁止建设的项目。</w:t>
      </w:r>
    </w:p>
    <w:p w14:paraId="029B43EF">
      <w:pPr>
        <w:ind w:firstLine="480"/>
        <w:rPr>
          <w:rFonts w:cs="Times New Roman"/>
          <w:color w:val="0000FF"/>
        </w:rPr>
      </w:pPr>
      <w:r>
        <w:rPr>
          <w:rFonts w:hint="eastAsia" w:cs="Times New Roman"/>
          <w:color w:val="0000FF"/>
        </w:rPr>
        <w:t>乌斗支渠非供水渠道，围堰填筑施工供水期对沣西干渠沿线取水口取水供水无影响。</w:t>
      </w:r>
    </w:p>
    <w:p w14:paraId="5898A016">
      <w:pPr>
        <w:ind w:firstLine="480"/>
        <w:rPr>
          <w:rFonts w:cs="Times New Roman"/>
          <w:color w:val="0000FF"/>
        </w:rPr>
      </w:pPr>
      <w:r>
        <w:rPr>
          <w:rFonts w:cs="Times New Roman"/>
          <w:color w:val="0000FF"/>
        </w:rPr>
        <w:t>护砌工程分段填筑围堰形成干地施工不直接涉水，施工时关闭乌龙支渠进水闸渠道内无水流，工程施工与沣西干渠无直接水力联系，围堰填筑和施工过程对沣西干渠、饮用水水源保护区和取水口几乎无影响。工程施工期间不在饮用水水源保护区内设置生产、生活区，施工废水不外排，取弃土场选址避让饮用水水源保护区，建设单位加强对施工人员的饮用水水源地保护意识教育，加快施工进度，禁止生产生活垃圾等抛洒进入饮用水水源保护区，在采取保护措施的情况下，工程施工期对乌龙镇陈楼水厂饮用水水源地影响较小。</w:t>
      </w:r>
    </w:p>
    <w:p w14:paraId="566A63EF">
      <w:pPr>
        <w:ind w:firstLine="480"/>
        <w:rPr>
          <w:rFonts w:cs="Times New Roman"/>
          <w:color w:val="0000FF"/>
        </w:rPr>
      </w:pPr>
      <w:r>
        <w:rPr>
          <w:rFonts w:cs="Times New Roman"/>
          <w:color w:val="0000FF"/>
        </w:rPr>
        <w:t>（</w:t>
      </w:r>
      <w:r>
        <w:rPr>
          <w:rFonts w:hint="eastAsia" w:cs="Times New Roman"/>
          <w:color w:val="0000FF"/>
        </w:rPr>
        <w:t>8</w:t>
      </w:r>
      <w:r>
        <w:rPr>
          <w:rFonts w:cs="Times New Roman"/>
          <w:color w:val="0000FF"/>
        </w:rPr>
        <w:t>）寿县小甸镇饮用水水源保护区</w:t>
      </w:r>
      <w:r>
        <w:rPr>
          <w:rFonts w:hint="eastAsia" w:cs="Times New Roman"/>
          <w:color w:val="0000FF"/>
        </w:rPr>
        <w:t>—二级保护区</w:t>
      </w:r>
    </w:p>
    <w:p w14:paraId="60A5CB2F">
      <w:pPr>
        <w:ind w:firstLine="480"/>
        <w:rPr>
          <w:rFonts w:cs="Times New Roman"/>
          <w:color w:val="0000FF"/>
        </w:rPr>
      </w:pPr>
      <w:r>
        <w:rPr>
          <w:rFonts w:cs="Times New Roman"/>
          <w:color w:val="0000FF"/>
        </w:rPr>
        <w:t>小甸镇饮用水水源保护区位于寿县小甸镇瓦埠湖东侧，取水口位于瓦埠湖出口万小河上。</w:t>
      </w:r>
    </w:p>
    <w:p w14:paraId="4A60D340">
      <w:pPr>
        <w:ind w:firstLine="480"/>
        <w:rPr>
          <w:rFonts w:cs="Times New Roman"/>
          <w:color w:val="0000FF"/>
        </w:rPr>
      </w:pPr>
      <w:r>
        <w:rPr>
          <w:rFonts w:cs="Times New Roman"/>
          <w:color w:val="0000FF"/>
        </w:rPr>
        <w:t>郑岗泵站位于水源地二级保护区内，位于取水口东侧，距离约为60m，本工程与小甸镇饮用水水源地位置关系见</w:t>
      </w:r>
      <w:r>
        <w:rPr>
          <w:rFonts w:hint="eastAsia" w:cs="Times New Roman"/>
          <w:color w:val="0000FF"/>
        </w:rPr>
        <w:t>附图</w:t>
      </w:r>
      <w:r>
        <w:rPr>
          <w:rFonts w:cs="Times New Roman"/>
          <w:color w:val="0000FF"/>
        </w:rPr>
        <w:t>。</w:t>
      </w:r>
    </w:p>
    <w:p w14:paraId="03381ABA">
      <w:pPr>
        <w:ind w:firstLine="480"/>
        <w:rPr>
          <w:rFonts w:cs="Times New Roman"/>
          <w:color w:val="0000FF"/>
        </w:rPr>
      </w:pPr>
      <w:r>
        <w:rPr>
          <w:rFonts w:cs="Times New Roman"/>
          <w:color w:val="0000FF"/>
        </w:rPr>
        <w:t>本工程为灌溉泵站工程，采用配套设置潜水泵，以电进行驱动，水流间接冷却，无需使用油、冷却液等，工程运行不排放水污染物，不属于饮用水水源二级保护区内禁止建设的项目。</w:t>
      </w:r>
    </w:p>
    <w:p w14:paraId="35F1AAC9">
      <w:pPr>
        <w:ind w:firstLine="480" w:firstLineChars="200"/>
        <w:rPr>
          <w:rFonts w:cs="Times New Roman"/>
          <w:color w:val="0000FF"/>
        </w:rPr>
      </w:pPr>
      <w:r>
        <w:rPr>
          <w:rFonts w:cs="Times New Roman"/>
          <w:color w:val="0000FF"/>
        </w:rPr>
        <w:t>工程</w:t>
      </w:r>
      <w:r>
        <w:rPr>
          <w:rFonts w:hint="eastAsia" w:cs="Times New Roman"/>
          <w:color w:val="0000FF"/>
        </w:rPr>
        <w:t>在万小河向小甸镇供水的停水间歇期填筑围堰，围堰填筑包围面积仅为进水口，不占用万小河过水断面，围堰填筑后供水期对淠河总干渠沿线取水口取水供水无影响。</w:t>
      </w:r>
    </w:p>
    <w:p w14:paraId="2623FE54">
      <w:pPr>
        <w:ind w:firstLine="480"/>
        <w:rPr>
          <w:rFonts w:cs="Times New Roman"/>
          <w:color w:val="0000FF"/>
        </w:rPr>
      </w:pPr>
      <w:r>
        <w:rPr>
          <w:rFonts w:cs="Times New Roman"/>
          <w:color w:val="0000FF"/>
        </w:rPr>
        <w:t>工程不在饮用水水源保护区内设置生产、生活区，施工废水不外排，工程施工期关闭引水口、唐郢闸渠道、蓄水池内无水，一级泵站下游设置围堰形成干地施工，工程施工及围堰工程与万小河和水源保护地无直接水力联系。考虑工程距离取水口较近，在取水口周围设置防污帘，建设单位在加强对施工人员的饮用水水源地保护意识教育，加快施工进度等保护措施的情况下，工程施工期对果园山水库饮用水水源地影响较小。</w:t>
      </w:r>
    </w:p>
    <w:p w14:paraId="72426197">
      <w:pPr>
        <w:ind w:firstLine="480"/>
        <w:rPr>
          <w:rFonts w:cs="Times New Roman"/>
          <w:color w:val="0000FF"/>
        </w:rPr>
      </w:pPr>
      <w:r>
        <w:rPr>
          <w:rFonts w:cs="Times New Roman"/>
          <w:color w:val="0000FF"/>
        </w:rPr>
        <w:t>（</w:t>
      </w:r>
      <w:r>
        <w:rPr>
          <w:rFonts w:hint="eastAsia" w:cs="Times New Roman"/>
          <w:color w:val="0000FF"/>
        </w:rPr>
        <w:t>9</w:t>
      </w:r>
      <w:r>
        <w:rPr>
          <w:rFonts w:cs="Times New Roman"/>
          <w:color w:val="0000FF"/>
        </w:rPr>
        <w:t>）舒城县千人桥自来水厂、千人桥上阳自来水厂饮用水水源保护区</w:t>
      </w:r>
      <w:r>
        <w:rPr>
          <w:rFonts w:hint="eastAsia" w:cs="Times New Roman"/>
          <w:color w:val="0000FF"/>
        </w:rPr>
        <w:t>—二级保护区</w:t>
      </w:r>
    </w:p>
    <w:p w14:paraId="44E5BC87">
      <w:pPr>
        <w:ind w:firstLine="480"/>
        <w:rPr>
          <w:rFonts w:cs="Times New Roman"/>
          <w:color w:val="0000FF"/>
        </w:rPr>
      </w:pPr>
      <w:r>
        <w:rPr>
          <w:rFonts w:cs="Times New Roman"/>
          <w:color w:val="0000FF"/>
        </w:rPr>
        <w:t>千人桥、上阳水厂饮用水水源保护区位于六安市舒城县，取水口位于杭埠河上。</w:t>
      </w:r>
    </w:p>
    <w:p w14:paraId="54966191">
      <w:pPr>
        <w:ind w:firstLine="480"/>
        <w:rPr>
          <w:rFonts w:cs="Times New Roman"/>
          <w:color w:val="0000FF"/>
        </w:rPr>
      </w:pPr>
      <w:r>
        <w:rPr>
          <w:rFonts w:cs="Times New Roman"/>
          <w:color w:val="0000FF"/>
        </w:rPr>
        <w:t>本次工程中杭北干渠张湾支渠进水闸、红旗节制闸、西河支渠进水闸位于水源地二级保护区内，张湾支渠进水闸距离取水口距离约为1.529km，本工程与千人桥镇饮用水水源地位置关系</w:t>
      </w:r>
      <w:r>
        <w:rPr>
          <w:rFonts w:cs="Times New Roman"/>
          <w:b/>
          <w:bCs/>
          <w:color w:val="0000FF"/>
        </w:rPr>
        <w:t>见</w:t>
      </w:r>
      <w:r>
        <w:rPr>
          <w:rFonts w:hint="eastAsia" w:cs="Times New Roman"/>
          <w:b/>
          <w:bCs/>
          <w:color w:val="0000FF"/>
        </w:rPr>
        <w:t>附图</w:t>
      </w:r>
      <w:r>
        <w:rPr>
          <w:rFonts w:cs="Times New Roman"/>
          <w:color w:val="0000FF"/>
        </w:rPr>
        <w:t>。</w:t>
      </w:r>
    </w:p>
    <w:p w14:paraId="788ED0CE">
      <w:pPr>
        <w:ind w:firstLine="480"/>
        <w:rPr>
          <w:rFonts w:cs="Times New Roman"/>
          <w:color w:val="0000FF"/>
        </w:rPr>
      </w:pPr>
      <w:r>
        <w:rPr>
          <w:rFonts w:cs="Times New Roman"/>
          <w:color w:val="0000FF"/>
        </w:rPr>
        <w:t>本</w:t>
      </w:r>
      <w:r>
        <w:rPr>
          <w:rFonts w:hint="eastAsia" w:cs="Times New Roman"/>
          <w:color w:val="0000FF"/>
        </w:rPr>
        <w:t>次</w:t>
      </w:r>
      <w:r>
        <w:rPr>
          <w:rFonts w:cs="Times New Roman"/>
          <w:color w:val="0000FF"/>
        </w:rPr>
        <w:t>工程</w:t>
      </w:r>
      <w:r>
        <w:rPr>
          <w:rFonts w:hint="eastAsia" w:cs="Times New Roman"/>
          <w:color w:val="0000FF"/>
        </w:rPr>
        <w:t>为灌区</w:t>
      </w:r>
      <w:r>
        <w:rPr>
          <w:rFonts w:cs="Times New Roman"/>
          <w:color w:val="0000FF"/>
        </w:rPr>
        <w:t>工程</w:t>
      </w:r>
      <w:r>
        <w:rPr>
          <w:rFonts w:hint="eastAsia" w:cs="Times New Roman"/>
          <w:color w:val="0000FF"/>
        </w:rPr>
        <w:t>，同时具有重要的生活供水和生产供水功能</w:t>
      </w:r>
      <w:r>
        <w:rPr>
          <w:rFonts w:cs="Times New Roman"/>
          <w:color w:val="0000FF"/>
        </w:rPr>
        <w:t>，为非污染的生态影响型工程，不属于饮用水水源二级保护区内禁止建设的项目。</w:t>
      </w:r>
    </w:p>
    <w:p w14:paraId="04764ED0">
      <w:pPr>
        <w:ind w:firstLine="480"/>
        <w:rPr>
          <w:rFonts w:cs="Times New Roman"/>
          <w:color w:val="0000FF"/>
        </w:rPr>
      </w:pPr>
      <w:r>
        <w:rPr>
          <w:rFonts w:hint="eastAsia" w:cs="Times New Roman"/>
          <w:color w:val="0000FF"/>
        </w:rPr>
        <w:t>杭北干渠非供水渠道，围堰填筑施工供水期对杭埠河沿线取水口取水供水无影响。</w:t>
      </w:r>
    </w:p>
    <w:p w14:paraId="17A91BE2">
      <w:pPr>
        <w:ind w:firstLine="480"/>
        <w:rPr>
          <w:rFonts w:cs="Times New Roman"/>
          <w:color w:val="0000FF"/>
        </w:rPr>
      </w:pPr>
      <w:r>
        <w:rPr>
          <w:rFonts w:cs="Times New Roman"/>
          <w:color w:val="0000FF"/>
        </w:rPr>
        <w:t>工程不在饮用水水源保护区内设置生产、生活区，施工废水不外排，对水源地主要影响为涵闸施工围堰填筑拆除施工，引起杭北干渠局部悬浮物浓度增加，围堰拆建时间较短，施工期通过使用袋装土围堰控制施工产生悬浮物浓度，围堰填筑、拆除时段关闭舒庐干渠与杭埠河直接联通的闸门，切断水力联系，建设单位加强对施工人员的饮用水水源地保护意识教育，加快施工进度，禁止生产生活垃圾等抛洒进入饮用水水源保护区。在采取保护措施的情况下，工程施工期对千人桥镇饮用水水源地影响较小。</w:t>
      </w:r>
    </w:p>
    <w:p w14:paraId="01D287CF">
      <w:pPr>
        <w:ind w:firstLine="480"/>
        <w:rPr>
          <w:rFonts w:cs="Times New Roman"/>
          <w:color w:val="0000FF"/>
        </w:rPr>
      </w:pPr>
      <w:r>
        <w:rPr>
          <w:rFonts w:cs="Times New Roman"/>
          <w:color w:val="0000FF"/>
        </w:rPr>
        <w:t>（</w:t>
      </w:r>
      <w:r>
        <w:rPr>
          <w:rFonts w:hint="eastAsia" w:cs="Times New Roman"/>
          <w:color w:val="0000FF"/>
        </w:rPr>
        <w:t>10</w:t>
      </w:r>
      <w:r>
        <w:rPr>
          <w:rFonts w:cs="Times New Roman"/>
          <w:color w:val="0000FF"/>
        </w:rPr>
        <w:t>）肥东县众兴水库饮用水水源保护区</w:t>
      </w:r>
      <w:r>
        <w:rPr>
          <w:rFonts w:hint="eastAsia" w:cs="Times New Roman"/>
          <w:color w:val="0000FF"/>
        </w:rPr>
        <w:t>—准级保护区</w:t>
      </w:r>
    </w:p>
    <w:p w14:paraId="2A44C5D3">
      <w:pPr>
        <w:ind w:firstLine="480"/>
        <w:rPr>
          <w:rFonts w:cs="Times New Roman"/>
          <w:color w:val="0000FF"/>
        </w:rPr>
      </w:pPr>
      <w:r>
        <w:rPr>
          <w:rFonts w:cs="Times New Roman"/>
          <w:color w:val="0000FF"/>
        </w:rPr>
        <w:t>本项目在众兴水库饮用水水源一级、二级保护区内无工程，大高支渠全段以及双庙支渠的渠首位于准保护区内，准保护区的工程主要包括渠道清淤、护砌、渠堤加培、切岭整治、新建1座进水闸、拆除重建3座进水闸、放水涵拆建、渠下涵拆建等，各个工程距离取水口较远，最近距离约为9.48km。本工程与众兴水库厂饮用水水源地位置关系</w:t>
      </w:r>
      <w:r>
        <w:rPr>
          <w:rFonts w:cs="Times New Roman"/>
          <w:b/>
          <w:bCs/>
          <w:color w:val="0000FF"/>
        </w:rPr>
        <w:t>见</w:t>
      </w:r>
      <w:r>
        <w:rPr>
          <w:rFonts w:hint="eastAsia" w:cs="Times New Roman"/>
          <w:b/>
          <w:bCs/>
          <w:color w:val="0000FF"/>
        </w:rPr>
        <w:t>附图</w:t>
      </w:r>
      <w:r>
        <w:rPr>
          <w:rFonts w:cs="Times New Roman"/>
          <w:color w:val="0000FF"/>
        </w:rPr>
        <w:t>。</w:t>
      </w:r>
    </w:p>
    <w:p w14:paraId="35CCF4BA">
      <w:pPr>
        <w:ind w:firstLine="480"/>
        <w:rPr>
          <w:rFonts w:cs="Times New Roman"/>
          <w:color w:val="0000FF"/>
        </w:rPr>
      </w:pPr>
      <w:r>
        <w:rPr>
          <w:rFonts w:cs="Times New Roman"/>
          <w:color w:val="0000FF"/>
        </w:rPr>
        <w:t>本</w:t>
      </w:r>
      <w:r>
        <w:rPr>
          <w:rFonts w:hint="eastAsia" w:cs="Times New Roman"/>
          <w:color w:val="0000FF"/>
        </w:rPr>
        <w:t>次</w:t>
      </w:r>
      <w:r>
        <w:rPr>
          <w:rFonts w:cs="Times New Roman"/>
          <w:color w:val="0000FF"/>
        </w:rPr>
        <w:t>工程</w:t>
      </w:r>
      <w:r>
        <w:rPr>
          <w:rFonts w:hint="eastAsia" w:cs="Times New Roman"/>
          <w:color w:val="0000FF"/>
        </w:rPr>
        <w:t>为灌区</w:t>
      </w:r>
      <w:r>
        <w:rPr>
          <w:rFonts w:cs="Times New Roman"/>
          <w:color w:val="0000FF"/>
        </w:rPr>
        <w:t>工程</w:t>
      </w:r>
      <w:r>
        <w:rPr>
          <w:rFonts w:hint="eastAsia" w:cs="Times New Roman"/>
          <w:color w:val="0000FF"/>
        </w:rPr>
        <w:t>，同时具有重要的生活供水和生产供水功能</w:t>
      </w:r>
      <w:r>
        <w:rPr>
          <w:rFonts w:cs="Times New Roman"/>
          <w:color w:val="0000FF"/>
        </w:rPr>
        <w:t>，为非污染的生态影响型工程，工程建设不新增污染物排放，不属于饮用水水源准保护区内禁止建设的项目。</w:t>
      </w:r>
    </w:p>
    <w:p w14:paraId="3950462E">
      <w:pPr>
        <w:ind w:firstLine="480"/>
        <w:rPr>
          <w:rFonts w:cs="Times New Roman"/>
          <w:color w:val="0000FF"/>
        </w:rPr>
      </w:pPr>
      <w:r>
        <w:rPr>
          <w:rFonts w:hint="eastAsia" w:cs="Times New Roman"/>
          <w:color w:val="0000FF"/>
        </w:rPr>
        <w:t>大高支渠、双庙支渠非供水渠道，围堰填筑施工供水期对众兴水库沿岸取水口取水供水无影响。</w:t>
      </w:r>
    </w:p>
    <w:p w14:paraId="152882F4">
      <w:pPr>
        <w:ind w:firstLine="480"/>
        <w:rPr>
          <w:rFonts w:cs="Times New Roman"/>
          <w:color w:val="0000FF"/>
        </w:rPr>
      </w:pPr>
      <w:r>
        <w:rPr>
          <w:rFonts w:cs="Times New Roman"/>
          <w:color w:val="0000FF"/>
        </w:rPr>
        <w:t>清淤等渠道、渠系建筑物工程分段填筑围堰形成干地施工不直接涉水，淤泥渠道</w:t>
      </w:r>
      <w:r>
        <w:rPr>
          <w:rFonts w:hint="eastAsia" w:cs="Times New Roman"/>
          <w:color w:val="0000FF"/>
        </w:rPr>
        <w:t>及时</w:t>
      </w:r>
      <w:r>
        <w:rPr>
          <w:rFonts w:cs="Times New Roman"/>
          <w:color w:val="0000FF"/>
        </w:rPr>
        <w:t>转移至弃土场，施工时</w:t>
      </w:r>
      <w:r>
        <w:rPr>
          <w:rFonts w:hint="eastAsia" w:cs="Times New Roman"/>
          <w:color w:val="0000FF"/>
        </w:rPr>
        <w:t>为</w:t>
      </w:r>
      <w:r>
        <w:rPr>
          <w:rFonts w:cs="Times New Roman"/>
          <w:color w:val="0000FF"/>
        </w:rPr>
        <w:t>非灌溉期，电灌站不抽水进入众兴分干渠，关闭支渠进水闸渠道内无水流，工程施工与众兴水库无直接水力联系，围堰填筑和施工过程对饮用水水源保护区和取水口几乎无影响。工程施工期间不在饮用水水源保护区内设置生产、生活区，施工废水不外排，取弃土场选址避让饮用水水源准保护区，建设单位加强对施工人员的饮用水水源地保护意识教育，加快施工进度，禁止生产生活垃圾等抛洒进入饮用水水源保护区，在采取保护措施的情况下，工程施工期对</w:t>
      </w:r>
      <w:r>
        <w:rPr>
          <w:rFonts w:hint="eastAsia" w:cs="Times New Roman"/>
          <w:color w:val="0000FF"/>
        </w:rPr>
        <w:t>众兴水库</w:t>
      </w:r>
      <w:r>
        <w:rPr>
          <w:rFonts w:cs="Times New Roman"/>
          <w:color w:val="0000FF"/>
        </w:rPr>
        <w:t>饮用水水源地影响较小。</w:t>
      </w:r>
    </w:p>
    <w:p w14:paraId="0CAB8F2C">
      <w:pPr>
        <w:pStyle w:val="4"/>
        <w:rPr>
          <w:rFonts w:cs="Times New Roman"/>
          <w:color w:val="0000FF"/>
        </w:rPr>
      </w:pPr>
      <w:r>
        <w:rPr>
          <w:rFonts w:cs="Times New Roman"/>
          <w:color w:val="0000FF"/>
        </w:rPr>
        <w:t>5.2.2 运营期地表水环境影响</w:t>
      </w:r>
    </w:p>
    <w:p w14:paraId="00DDD2F5">
      <w:pPr>
        <w:ind w:firstLine="480"/>
        <w:rPr>
          <w:rFonts w:cs="Times New Roman"/>
          <w:color w:val="0000FF"/>
        </w:rPr>
      </w:pPr>
      <w:r>
        <w:rPr>
          <w:rFonts w:cs="Times New Roman"/>
          <w:color w:val="0000FF"/>
        </w:rPr>
        <w:t>工程运行期工程本身不产生污染物，本工程实施后，整体上渠堤和滩地的几何形态，水力学因子，如过流断面、水力坡降、河道弯曲率、水深等较工程实施前基本无变化，因此对水系水体的水环境质量和水环境容量影响较小。</w:t>
      </w:r>
    </w:p>
    <w:p w14:paraId="3C33DF43">
      <w:pPr>
        <w:ind w:firstLine="480"/>
        <w:rPr>
          <w:rFonts w:cs="Times New Roman"/>
          <w:color w:val="0000FF"/>
        </w:rPr>
      </w:pPr>
      <w:r>
        <w:rPr>
          <w:rFonts w:cs="Times New Roman"/>
          <w:color w:val="0000FF"/>
        </w:rPr>
        <w:t>（1）渠道清淤后对地表水的影响</w:t>
      </w:r>
    </w:p>
    <w:p w14:paraId="156982A2">
      <w:pPr>
        <w:ind w:firstLine="480"/>
        <w:rPr>
          <w:rFonts w:cs="Times New Roman"/>
          <w:color w:val="0000FF"/>
        </w:rPr>
      </w:pPr>
      <w:r>
        <w:rPr>
          <w:rFonts w:cs="Times New Roman"/>
          <w:color w:val="0000FF"/>
        </w:rPr>
        <w:t>本次治理工程对14个渠道现状进行清淤，工程提高了治理渠道的过水能力，减少了地表水的滞留时间，并且增大了渠道水环境容量。治理渠道对入渠道的面源污染稀释能力增强，在一定程度上减缓了区域面源污染的影响。同时，根据同类底泥疏浚工程经验可得，渠道清淤清除了表层底泥，减少了内源污染物，有利于抑制渠道</w:t>
      </w:r>
      <w:r>
        <w:rPr>
          <w:rFonts w:hint="eastAsia" w:cs="Times New Roman"/>
          <w:color w:val="0000FF"/>
        </w:rPr>
        <w:t>内源</w:t>
      </w:r>
      <w:r>
        <w:rPr>
          <w:rFonts w:cs="Times New Roman"/>
          <w:color w:val="0000FF"/>
        </w:rPr>
        <w:t>污染物释放，对水环境改善有积极意义。</w:t>
      </w:r>
    </w:p>
    <w:p w14:paraId="4A6E70D9">
      <w:pPr>
        <w:ind w:firstLine="480"/>
        <w:rPr>
          <w:rFonts w:cs="Times New Roman"/>
          <w:color w:val="0000FF"/>
        </w:rPr>
      </w:pPr>
      <w:r>
        <w:rPr>
          <w:rFonts w:cs="Times New Roman"/>
          <w:color w:val="0000FF"/>
        </w:rPr>
        <w:t>（2）堤防工程对水环境影响分析</w:t>
      </w:r>
    </w:p>
    <w:p w14:paraId="01DAB04B">
      <w:pPr>
        <w:ind w:firstLine="480"/>
        <w:rPr>
          <w:rFonts w:cs="Times New Roman"/>
          <w:color w:val="0000FF"/>
        </w:rPr>
      </w:pPr>
      <w:r>
        <w:rPr>
          <w:rFonts w:cs="Times New Roman"/>
          <w:color w:val="0000FF"/>
        </w:rPr>
        <w:t>本治理工程中的堤防工程是在现有堤防的基础上进行加高培厚。对现有堤防加固前进行清理，清除了堤防现状存在的垃圾、杂物，搬迁了堤防上的部分居民，减少了面源污染量；通过堤防加固，可改变现有堤防堤身松散状态，提高堤身抗冲、抗风蚀及抗渗能力，有效减缓汛期水土流失导致的水质降低问题。同时工程运行期由于降低了渠道的粗糙率，提高了防洪能力，减少了同等流量下渠道水流的滞留时间，有利于污染物质的迁移扩散和交换，在一定程度上可以改善渠道的现状水质条件，给水环境带来有利影响。</w:t>
      </w:r>
    </w:p>
    <w:p w14:paraId="0A970C7C">
      <w:pPr>
        <w:ind w:firstLine="480"/>
        <w:rPr>
          <w:rFonts w:cs="Times New Roman"/>
          <w:color w:val="0000FF"/>
        </w:rPr>
      </w:pPr>
      <w:r>
        <w:rPr>
          <w:rFonts w:cs="Times New Roman"/>
          <w:color w:val="0000FF"/>
        </w:rPr>
        <w:t>（3）工程管理</w:t>
      </w:r>
      <w:r>
        <w:rPr>
          <w:rFonts w:hint="eastAsia" w:cs="Times New Roman"/>
          <w:color w:val="0000FF"/>
        </w:rPr>
        <w:t>生活污水</w:t>
      </w:r>
      <w:r>
        <w:rPr>
          <w:rFonts w:cs="Times New Roman"/>
          <w:color w:val="0000FF"/>
        </w:rPr>
        <w:t>对水环境的影响</w:t>
      </w:r>
    </w:p>
    <w:p w14:paraId="43A92B21">
      <w:pPr>
        <w:ind w:firstLine="480"/>
        <w:jc w:val="both"/>
        <w:rPr>
          <w:rFonts w:cs="Times New Roman"/>
          <w:color w:val="0000FF"/>
        </w:rPr>
      </w:pPr>
      <w:r>
        <w:rPr>
          <w:rFonts w:hint="eastAsia" w:cs="Times New Roman"/>
          <w:color w:val="0000FF"/>
        </w:rPr>
        <w:t>项目管理房生活污水产生后经生活污水处理设施预处理后达标后通过市政污水管网排至下游城镇污水厂，没有条件接入污水管网的，生活污水经污水处理措施处理</w:t>
      </w:r>
      <w:r>
        <w:rPr>
          <w:rFonts w:hint="eastAsia" w:cs="Times New Roman"/>
          <w:color w:val="0000FF"/>
          <w:kern w:val="2"/>
        </w:rPr>
        <w:t>达到</w:t>
      </w:r>
      <w:r>
        <w:rPr>
          <w:rFonts w:hint="eastAsia" w:cs="Times New Roman"/>
          <w:color w:val="0000FF"/>
        </w:rPr>
        <w:t>《农田灌溉水质标准》（GB5084-2021）中“水田作物”标准</w:t>
      </w:r>
      <w:r>
        <w:rPr>
          <w:rFonts w:hint="eastAsia" w:cs="Times New Roman"/>
          <w:color w:val="0000FF"/>
          <w:kern w:val="2"/>
        </w:rPr>
        <w:t>就农利用或达到《污水综合排放标准》（GB8978-1996）三级标准清运至周边污水处理厂</w:t>
      </w:r>
      <w:r>
        <w:rPr>
          <w:rFonts w:hint="eastAsia" w:cs="Times New Roman"/>
          <w:color w:val="0000FF"/>
        </w:rPr>
        <w:t>。</w:t>
      </w:r>
    </w:p>
    <w:p w14:paraId="38D2FE5B">
      <w:pPr>
        <w:ind w:firstLine="480"/>
        <w:jc w:val="both"/>
        <w:rPr>
          <w:rFonts w:cs="Times New Roman"/>
          <w:color w:val="0000FF"/>
          <w:kern w:val="2"/>
        </w:rPr>
      </w:pPr>
      <w:r>
        <w:rPr>
          <w:rFonts w:hint="eastAsia" w:cs="Times New Roman"/>
          <w:color w:val="0000FF"/>
          <w:kern w:val="2"/>
        </w:rPr>
        <w:t>①生活污水产生量</w:t>
      </w:r>
    </w:p>
    <w:p w14:paraId="382CB5DB">
      <w:pPr>
        <w:ind w:firstLine="480"/>
        <w:jc w:val="both"/>
        <w:rPr>
          <w:rFonts w:cs="Times New Roman"/>
          <w:color w:val="0000FF"/>
          <w:kern w:val="2"/>
        </w:rPr>
      </w:pPr>
      <w:r>
        <w:rPr>
          <w:rFonts w:hint="eastAsia" w:cs="Times New Roman"/>
          <w:color w:val="0000FF"/>
          <w:kern w:val="2"/>
        </w:rPr>
        <w:t>由下表可知，每个管理房日生活污水产生量平均约为0.3m</w:t>
      </w:r>
      <w:r>
        <w:rPr>
          <w:rFonts w:hint="eastAsia" w:cs="Times New Roman"/>
          <w:color w:val="0000FF"/>
          <w:kern w:val="2"/>
          <w:vertAlign w:val="superscript"/>
        </w:rPr>
        <w:t>3</w:t>
      </w:r>
      <w:r>
        <w:rPr>
          <w:rFonts w:hint="eastAsia" w:cs="Times New Roman"/>
          <w:color w:val="0000FF"/>
          <w:kern w:val="2"/>
        </w:rPr>
        <w:t>/d，污水处理措施约为10m</w:t>
      </w:r>
      <w:r>
        <w:rPr>
          <w:rFonts w:hint="eastAsia" w:cs="Times New Roman"/>
          <w:color w:val="0000FF"/>
          <w:kern w:val="2"/>
          <w:vertAlign w:val="superscript"/>
        </w:rPr>
        <w:t>3</w:t>
      </w:r>
      <w:r>
        <w:rPr>
          <w:rFonts w:hint="eastAsia" w:cs="Times New Roman"/>
          <w:color w:val="0000FF"/>
          <w:kern w:val="2"/>
        </w:rPr>
        <w:t>的有效容积，则转运周期约为33.3天，单次产生量约为10m</w:t>
      </w:r>
      <w:r>
        <w:rPr>
          <w:rFonts w:hint="eastAsia" w:cs="Times New Roman"/>
          <w:color w:val="0000FF"/>
          <w:kern w:val="2"/>
          <w:vertAlign w:val="superscript"/>
        </w:rPr>
        <w:t>3</w:t>
      </w:r>
      <w:r>
        <w:rPr>
          <w:rFonts w:hint="eastAsia" w:cs="Times New Roman"/>
          <w:color w:val="0000FF"/>
          <w:kern w:val="2"/>
        </w:rPr>
        <w:t>；安徽省</w:t>
      </w:r>
      <w:r>
        <w:rPr>
          <w:rFonts w:hint="eastAsia" w:cs="Times New Roman"/>
          <w:color w:val="0000FF"/>
          <w:kern w:val="2"/>
          <w:lang w:eastAsia="zh-CN"/>
        </w:rPr>
        <w:t>朱集灌区</w:t>
      </w:r>
      <w:r>
        <w:rPr>
          <w:rFonts w:hint="eastAsia" w:cs="Times New Roman"/>
          <w:color w:val="0000FF"/>
          <w:kern w:val="2"/>
        </w:rPr>
        <w:t>管理总局将军岭管理处现状管理人员较多约为人16人，生活污水产生量平均约为0.64m</w:t>
      </w:r>
      <w:r>
        <w:rPr>
          <w:rFonts w:hint="eastAsia" w:cs="Times New Roman"/>
          <w:color w:val="0000FF"/>
          <w:kern w:val="2"/>
          <w:vertAlign w:val="superscript"/>
        </w:rPr>
        <w:t>3</w:t>
      </w:r>
      <w:r>
        <w:rPr>
          <w:rFonts w:hint="eastAsia" w:cs="Times New Roman"/>
          <w:color w:val="0000FF"/>
          <w:kern w:val="2"/>
        </w:rPr>
        <w:t>/d，则转运周期约为15.6天，单次产生量约为10m</w:t>
      </w:r>
      <w:r>
        <w:rPr>
          <w:rFonts w:hint="eastAsia" w:cs="Times New Roman"/>
          <w:color w:val="0000FF"/>
          <w:kern w:val="2"/>
          <w:vertAlign w:val="superscript"/>
        </w:rPr>
        <w:t>3</w:t>
      </w:r>
      <w:r>
        <w:rPr>
          <w:rFonts w:hint="eastAsia" w:cs="Times New Roman"/>
          <w:color w:val="0000FF"/>
          <w:kern w:val="2"/>
        </w:rPr>
        <w:t>。</w:t>
      </w:r>
    </w:p>
    <w:p w14:paraId="018F2DD6">
      <w:pPr>
        <w:ind w:firstLine="480"/>
        <w:jc w:val="both"/>
        <w:rPr>
          <w:rFonts w:cs="Times New Roman"/>
          <w:color w:val="0000FF"/>
        </w:rPr>
      </w:pPr>
      <w:r>
        <w:rPr>
          <w:rFonts w:hint="eastAsia" w:cs="Times New Roman"/>
          <w:color w:val="0000FF"/>
          <w:kern w:val="2"/>
        </w:rPr>
        <w:t>现状管理房污水产生量较小，转运周期均大于15天，单次转运量较小约为10m</w:t>
      </w:r>
      <w:r>
        <w:rPr>
          <w:rFonts w:hint="eastAsia" w:cs="Times New Roman"/>
          <w:color w:val="0000FF"/>
          <w:kern w:val="2"/>
          <w:vertAlign w:val="superscript"/>
        </w:rPr>
        <w:t>3</w:t>
      </w:r>
      <w:r>
        <w:rPr>
          <w:rFonts w:hint="eastAsia" w:cs="Times New Roman"/>
          <w:color w:val="0000FF"/>
          <w:kern w:val="2"/>
        </w:rPr>
        <w:t>，且</w:t>
      </w:r>
      <w:r>
        <w:rPr>
          <w:rFonts w:hint="eastAsia" w:cs="Times New Roman"/>
          <w:color w:val="0000FF"/>
        </w:rPr>
        <w:t>本次改造项目实施后，不新增管理人员和生活污水量。</w:t>
      </w:r>
    </w:p>
    <w:p w14:paraId="78D46FCF">
      <w:pPr>
        <w:tabs>
          <w:tab w:val="left" w:pos="0"/>
          <w:tab w:val="left" w:pos="420"/>
        </w:tabs>
        <w:jc w:val="center"/>
        <w:rPr>
          <w:rFonts w:cs="Times New Roman"/>
          <w:bCs/>
          <w:color w:val="0000FF"/>
        </w:rPr>
      </w:pPr>
      <w:r>
        <w:rPr>
          <w:rFonts w:hint="eastAsia" w:eastAsia="黑体" w:cs="Times New Roman"/>
          <w:bCs/>
          <w:color w:val="0000FF"/>
        </w:rPr>
        <w:t>表5-2-2  运营期生活污水处理情况</w:t>
      </w:r>
    </w:p>
    <w:tbl>
      <w:tblPr>
        <w:tblStyle w:val="16"/>
        <w:tblW w:w="5000" w:type="pct"/>
        <w:tblInd w:w="0" w:type="dxa"/>
        <w:tblLayout w:type="fixed"/>
        <w:tblCellMar>
          <w:top w:w="0" w:type="dxa"/>
          <w:left w:w="108" w:type="dxa"/>
          <w:bottom w:w="0" w:type="dxa"/>
          <w:right w:w="108" w:type="dxa"/>
        </w:tblCellMar>
      </w:tblPr>
      <w:tblGrid>
        <w:gridCol w:w="692"/>
        <w:gridCol w:w="1762"/>
        <w:gridCol w:w="1385"/>
        <w:gridCol w:w="1783"/>
        <w:gridCol w:w="1344"/>
        <w:gridCol w:w="1057"/>
        <w:gridCol w:w="1263"/>
      </w:tblGrid>
      <w:tr w14:paraId="66CB280E">
        <w:tblPrEx>
          <w:tblCellMar>
            <w:top w:w="0" w:type="dxa"/>
            <w:left w:w="108" w:type="dxa"/>
            <w:bottom w:w="0" w:type="dxa"/>
            <w:right w:w="108" w:type="dxa"/>
          </w:tblCellMar>
        </w:tblPrEx>
        <w:trPr>
          <w:trHeight w:val="280" w:hRule="atLeast"/>
        </w:trPr>
        <w:tc>
          <w:tcPr>
            <w:tcW w:w="37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A5555">
            <w:pPr>
              <w:pStyle w:val="28"/>
              <w:bidi w:val="0"/>
            </w:pPr>
            <w:r>
              <w:rPr>
                <w:rFonts w:hint="eastAsia"/>
              </w:rPr>
              <w:t>类别</w:t>
            </w:r>
          </w:p>
        </w:tc>
        <w:tc>
          <w:tcPr>
            <w:tcW w:w="9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EB76E">
            <w:pPr>
              <w:pStyle w:val="28"/>
              <w:bidi w:val="0"/>
            </w:pPr>
            <w:r>
              <w:rPr>
                <w:rFonts w:hint="eastAsia"/>
              </w:rPr>
              <w:t>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8254B">
            <w:pPr>
              <w:pStyle w:val="28"/>
              <w:bidi w:val="0"/>
            </w:pPr>
            <w:r>
              <w:rPr>
                <w:rFonts w:hint="eastAsia"/>
              </w:rPr>
              <w:t>主要污染物</w:t>
            </w:r>
          </w:p>
        </w:tc>
        <w:tc>
          <w:tcPr>
            <w:tcW w:w="95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285AE">
            <w:pPr>
              <w:pStyle w:val="28"/>
              <w:bidi w:val="0"/>
            </w:pPr>
            <w:r>
              <w:rPr>
                <w:rFonts w:hint="eastAsia"/>
              </w:rPr>
              <w:t>现有项目排放量</w:t>
            </w:r>
            <w:r>
              <w:t>*</w:t>
            </w:r>
            <w:r>
              <w:rPr>
                <w:rFonts w:hint="eastAsia"/>
              </w:rPr>
              <w:t>（</w:t>
            </w:r>
            <w:r>
              <w:t>t/a</w:t>
            </w:r>
            <w:r>
              <w:rPr>
                <w:rFonts w:hint="eastAsia"/>
              </w:rPr>
              <w:t>）</w:t>
            </w:r>
          </w:p>
        </w:tc>
        <w:tc>
          <w:tcPr>
            <w:tcW w:w="72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4E035">
            <w:pPr>
              <w:pStyle w:val="28"/>
              <w:bidi w:val="0"/>
            </w:pPr>
            <w:r>
              <w:rPr>
                <w:rFonts w:hint="eastAsia"/>
              </w:rPr>
              <w:t>本项目排放量（</w:t>
            </w:r>
            <w:r>
              <w:t>t/a</w:t>
            </w:r>
            <w:r>
              <w:rPr>
                <w:rFonts w:hint="eastAsia"/>
              </w:rPr>
              <w:t>）</w:t>
            </w:r>
          </w:p>
        </w:tc>
        <w:tc>
          <w:tcPr>
            <w:tcW w:w="56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69976">
            <w:pPr>
              <w:pStyle w:val="28"/>
              <w:bidi w:val="0"/>
            </w:pPr>
            <w:r>
              <w:rPr>
                <w:rFonts w:hint="eastAsia"/>
              </w:rPr>
              <w:t>以新带老</w:t>
            </w:r>
          </w:p>
        </w:tc>
        <w:tc>
          <w:tcPr>
            <w:tcW w:w="6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C1867">
            <w:pPr>
              <w:pStyle w:val="28"/>
              <w:bidi w:val="0"/>
            </w:pPr>
            <w:r>
              <w:rPr>
                <w:rFonts w:hint="eastAsia"/>
              </w:rPr>
              <w:t>排放增减量（</w:t>
            </w:r>
            <w:r>
              <w:t>t/a</w:t>
            </w:r>
            <w:r>
              <w:rPr>
                <w:rFonts w:hint="eastAsia"/>
              </w:rPr>
              <w:t>）</w:t>
            </w:r>
          </w:p>
        </w:tc>
      </w:tr>
      <w:tr w14:paraId="7EC1B7EB">
        <w:tblPrEx>
          <w:tblCellMar>
            <w:top w:w="0" w:type="dxa"/>
            <w:left w:w="108" w:type="dxa"/>
            <w:bottom w:w="0" w:type="dxa"/>
            <w:right w:w="108" w:type="dxa"/>
          </w:tblCellMar>
        </w:tblPrEx>
        <w:trPr>
          <w:trHeight w:val="280" w:hRule="atLeast"/>
        </w:trPr>
        <w:tc>
          <w:tcPr>
            <w:tcW w:w="373"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826A3">
            <w:pPr>
              <w:pStyle w:val="28"/>
              <w:bidi w:val="0"/>
            </w:pPr>
            <w:r>
              <w:rPr>
                <w:rFonts w:hint="eastAsia"/>
              </w:rPr>
              <w:t>废水</w:t>
            </w: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E7A4B">
            <w:pPr>
              <w:pStyle w:val="28"/>
              <w:bidi w:val="0"/>
            </w:pPr>
            <w:r>
              <w:rPr>
                <w:rFonts w:hint="eastAsia"/>
              </w:rPr>
              <w:t>淠河总干渠上段工程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256D0">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C0436">
            <w:pPr>
              <w:pStyle w:val="28"/>
              <w:bidi w:val="0"/>
            </w:pPr>
            <w:r>
              <w:t>168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73239">
            <w:pPr>
              <w:pStyle w:val="28"/>
              <w:bidi w:val="0"/>
            </w:pPr>
            <w:r>
              <w:t>168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E6CBA">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753D6">
            <w:pPr>
              <w:pStyle w:val="28"/>
              <w:bidi w:val="0"/>
            </w:pPr>
            <w:r>
              <w:t>0</w:t>
            </w:r>
          </w:p>
        </w:tc>
      </w:tr>
      <w:tr w14:paraId="05C39F9B">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2FD90">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DC2B2">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8414E">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B8581">
            <w:pPr>
              <w:pStyle w:val="28"/>
              <w:bidi w:val="0"/>
            </w:pPr>
            <w:r>
              <w:t>4032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AC651">
            <w:pPr>
              <w:pStyle w:val="28"/>
              <w:bidi w:val="0"/>
            </w:pPr>
            <w:r>
              <w:t>4032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8B0C1">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5A6A1">
            <w:pPr>
              <w:pStyle w:val="28"/>
              <w:bidi w:val="0"/>
            </w:pPr>
            <w:r>
              <w:t>0</w:t>
            </w:r>
          </w:p>
        </w:tc>
      </w:tr>
      <w:tr w14:paraId="62C82A3E">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2BF7C">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480DD">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DA505">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90CD0">
            <w:pPr>
              <w:pStyle w:val="28"/>
              <w:bidi w:val="0"/>
            </w:pPr>
            <w:r>
              <w:t>4032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72031">
            <w:pPr>
              <w:pStyle w:val="28"/>
              <w:bidi w:val="0"/>
            </w:pPr>
            <w:r>
              <w:t>4032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A6B87">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4C4FB">
            <w:pPr>
              <w:pStyle w:val="28"/>
              <w:bidi w:val="0"/>
            </w:pPr>
            <w:r>
              <w:t>0</w:t>
            </w:r>
          </w:p>
        </w:tc>
      </w:tr>
      <w:tr w14:paraId="23961008">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FB682">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D939F">
            <w:pPr>
              <w:pStyle w:val="28"/>
              <w:bidi w:val="0"/>
            </w:pPr>
            <w:r>
              <w:rPr>
                <w:rFonts w:hint="eastAsia"/>
              </w:rPr>
              <w:t>樊通桥渠下涵工程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50261">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C54D9">
            <w:pPr>
              <w:pStyle w:val="28"/>
              <w:bidi w:val="0"/>
            </w:pPr>
            <w:r>
              <w:t>84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9CE8A">
            <w:pPr>
              <w:pStyle w:val="28"/>
              <w:bidi w:val="0"/>
            </w:pPr>
            <w:r>
              <w:t>84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1A0A0">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FB270">
            <w:pPr>
              <w:pStyle w:val="28"/>
              <w:bidi w:val="0"/>
            </w:pPr>
            <w:r>
              <w:t>0</w:t>
            </w:r>
          </w:p>
        </w:tc>
      </w:tr>
      <w:tr w14:paraId="53444BA6">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101AC">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0151F">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D0324">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945AE">
            <w:pPr>
              <w:pStyle w:val="28"/>
              <w:bidi w:val="0"/>
            </w:pPr>
            <w:r>
              <w:t>2016</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651A2">
            <w:pPr>
              <w:pStyle w:val="28"/>
              <w:bidi w:val="0"/>
            </w:pPr>
            <w:r>
              <w:t>2016</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F3F47">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F9291">
            <w:pPr>
              <w:pStyle w:val="28"/>
              <w:bidi w:val="0"/>
            </w:pPr>
            <w:r>
              <w:t>0</w:t>
            </w:r>
          </w:p>
        </w:tc>
      </w:tr>
      <w:tr w14:paraId="00E3DA4D">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97C78">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1263A">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7D7D1">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132AC">
            <w:pPr>
              <w:pStyle w:val="28"/>
              <w:bidi w:val="0"/>
            </w:pPr>
            <w:r>
              <w:t>2016</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0A3BB">
            <w:pPr>
              <w:pStyle w:val="28"/>
              <w:bidi w:val="0"/>
            </w:pPr>
            <w:r>
              <w:t>2016</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F1686">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735C4">
            <w:pPr>
              <w:pStyle w:val="28"/>
              <w:bidi w:val="0"/>
            </w:pPr>
            <w:r>
              <w:t>0</w:t>
            </w:r>
          </w:p>
        </w:tc>
      </w:tr>
      <w:tr w14:paraId="091B5AC5">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0A0BD">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1EB1F">
            <w:pPr>
              <w:pStyle w:val="28"/>
              <w:bidi w:val="0"/>
            </w:pPr>
            <w:r>
              <w:rPr>
                <w:rFonts w:hint="eastAsia"/>
              </w:rPr>
              <w:t>淠河总干渠下段工程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69862E">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8BCFA">
            <w:pPr>
              <w:pStyle w:val="28"/>
              <w:bidi w:val="0"/>
            </w:pPr>
            <w:r>
              <w:t>36</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5EE44">
            <w:pPr>
              <w:pStyle w:val="28"/>
              <w:bidi w:val="0"/>
            </w:pPr>
            <w:r>
              <w:t>36</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39BF4">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AA673">
            <w:pPr>
              <w:pStyle w:val="28"/>
              <w:bidi w:val="0"/>
            </w:pPr>
            <w:r>
              <w:t>0</w:t>
            </w:r>
          </w:p>
        </w:tc>
      </w:tr>
      <w:tr w14:paraId="37000A76">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250AC">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15B08">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C942F">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EB421">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1BA1D">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2C5D6">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5250B">
            <w:pPr>
              <w:pStyle w:val="28"/>
              <w:bidi w:val="0"/>
            </w:pPr>
            <w:r>
              <w:t>0</w:t>
            </w:r>
          </w:p>
        </w:tc>
      </w:tr>
      <w:tr w14:paraId="783018D5">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AEFE2">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BA0AD">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2EF32">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66367">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D8E50">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7F72C">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64890">
            <w:pPr>
              <w:pStyle w:val="28"/>
              <w:bidi w:val="0"/>
            </w:pPr>
            <w:r>
              <w:t>0</w:t>
            </w:r>
          </w:p>
        </w:tc>
      </w:tr>
      <w:tr w14:paraId="6C6469B0">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B3951">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B55EC">
            <w:pPr>
              <w:pStyle w:val="28"/>
              <w:bidi w:val="0"/>
            </w:pPr>
            <w:r>
              <w:rPr>
                <w:rFonts w:hint="eastAsia"/>
              </w:rPr>
              <w:t>聚星渡槽工程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3C797">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D1F36">
            <w:pPr>
              <w:pStyle w:val="28"/>
              <w:bidi w:val="0"/>
            </w:pPr>
            <w:r>
              <w:t>48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BC13F">
            <w:pPr>
              <w:pStyle w:val="28"/>
              <w:bidi w:val="0"/>
            </w:pPr>
            <w:r>
              <w:t>48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C2808">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5CD37">
            <w:pPr>
              <w:pStyle w:val="28"/>
              <w:bidi w:val="0"/>
            </w:pPr>
            <w:r>
              <w:t>0</w:t>
            </w:r>
          </w:p>
        </w:tc>
      </w:tr>
      <w:tr w14:paraId="27037872">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C186D">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13010">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47EDD">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D4280">
            <w:pPr>
              <w:pStyle w:val="28"/>
              <w:bidi w:val="0"/>
            </w:pPr>
            <w:r>
              <w:t>1152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4DCCC">
            <w:pPr>
              <w:pStyle w:val="28"/>
              <w:bidi w:val="0"/>
            </w:pPr>
            <w:r>
              <w:t>1152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06AB8">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D9DF9">
            <w:pPr>
              <w:pStyle w:val="28"/>
              <w:bidi w:val="0"/>
            </w:pPr>
            <w:r>
              <w:t>0</w:t>
            </w:r>
          </w:p>
        </w:tc>
      </w:tr>
      <w:tr w14:paraId="59F05FE7">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8D879">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91932">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648F4">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B0289">
            <w:pPr>
              <w:pStyle w:val="28"/>
              <w:bidi w:val="0"/>
            </w:pPr>
            <w:r>
              <w:t>1152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75AA1">
            <w:pPr>
              <w:pStyle w:val="28"/>
              <w:bidi w:val="0"/>
            </w:pPr>
            <w:r>
              <w:t>1152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F371E">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7A97E">
            <w:pPr>
              <w:pStyle w:val="28"/>
              <w:bidi w:val="0"/>
            </w:pPr>
            <w:r>
              <w:t>0</w:t>
            </w:r>
          </w:p>
        </w:tc>
      </w:tr>
      <w:tr w14:paraId="6428D243">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0A71E">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3651E">
            <w:pPr>
              <w:pStyle w:val="28"/>
              <w:bidi w:val="0"/>
            </w:pPr>
            <w:r>
              <w:rPr>
                <w:rFonts w:hint="eastAsia"/>
              </w:rPr>
              <w:t>滁河干渠总局直管段工程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20F71">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4ACA0">
            <w:pPr>
              <w:pStyle w:val="28"/>
              <w:bidi w:val="0"/>
            </w:pPr>
            <w:r>
              <w:t>192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858F9">
            <w:pPr>
              <w:pStyle w:val="28"/>
              <w:bidi w:val="0"/>
            </w:pPr>
            <w:r>
              <w:t>192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6BEC5">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F9CB6">
            <w:pPr>
              <w:pStyle w:val="28"/>
              <w:bidi w:val="0"/>
            </w:pPr>
            <w:r>
              <w:t>0</w:t>
            </w:r>
          </w:p>
        </w:tc>
      </w:tr>
      <w:tr w14:paraId="5CA4E69E">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81189">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90E8D">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A5907">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6F16A">
            <w:pPr>
              <w:pStyle w:val="28"/>
              <w:bidi w:val="0"/>
            </w:pPr>
            <w:r>
              <w:t>4608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5ED685">
            <w:pPr>
              <w:pStyle w:val="28"/>
              <w:bidi w:val="0"/>
            </w:pPr>
            <w:r>
              <w:t>4608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B12A5">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6F6A1">
            <w:pPr>
              <w:pStyle w:val="28"/>
              <w:bidi w:val="0"/>
            </w:pPr>
            <w:r>
              <w:t>0</w:t>
            </w:r>
          </w:p>
        </w:tc>
      </w:tr>
      <w:tr w14:paraId="3743715D">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01E23">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76590">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77EF9">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DA8A8">
            <w:pPr>
              <w:pStyle w:val="28"/>
              <w:bidi w:val="0"/>
            </w:pPr>
            <w:r>
              <w:t>4608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2D360">
            <w:pPr>
              <w:pStyle w:val="28"/>
              <w:bidi w:val="0"/>
            </w:pPr>
            <w:r>
              <w:t>4608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F1F3D">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2054F">
            <w:pPr>
              <w:pStyle w:val="28"/>
              <w:bidi w:val="0"/>
            </w:pPr>
            <w:r>
              <w:t>0</w:t>
            </w:r>
          </w:p>
        </w:tc>
      </w:tr>
      <w:tr w14:paraId="07C535E3">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B8BEA">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29DC6">
            <w:pPr>
              <w:pStyle w:val="28"/>
              <w:bidi w:val="0"/>
            </w:pPr>
            <w:r>
              <w:rPr>
                <w:rFonts w:hint="eastAsia"/>
              </w:rPr>
              <w:t>滁河干渠6座渠下涵工程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00360">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8BB30">
            <w:pPr>
              <w:pStyle w:val="28"/>
              <w:bidi w:val="0"/>
            </w:pPr>
            <w:r>
              <w:t>36</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036BF">
            <w:pPr>
              <w:pStyle w:val="28"/>
              <w:bidi w:val="0"/>
            </w:pPr>
            <w:r>
              <w:t>36</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326F8">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4B3A0">
            <w:pPr>
              <w:pStyle w:val="28"/>
              <w:bidi w:val="0"/>
            </w:pPr>
            <w:r>
              <w:t>0</w:t>
            </w:r>
          </w:p>
        </w:tc>
      </w:tr>
      <w:tr w14:paraId="22DF9F0B">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A2179">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B4463">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953E2">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3BE2F">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CFEFA">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7890A">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E5F81">
            <w:pPr>
              <w:pStyle w:val="28"/>
              <w:bidi w:val="0"/>
            </w:pPr>
            <w:r>
              <w:t>0</w:t>
            </w:r>
          </w:p>
        </w:tc>
      </w:tr>
      <w:tr w14:paraId="7A127CDC">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9F323">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01DFF">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21FC0">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7BADC">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40A3B">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9AD70">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FC772">
            <w:pPr>
              <w:pStyle w:val="28"/>
              <w:bidi w:val="0"/>
            </w:pPr>
            <w:r>
              <w:t>0</w:t>
            </w:r>
          </w:p>
        </w:tc>
      </w:tr>
      <w:tr w14:paraId="076852D7">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8CC2A">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C83A2">
            <w:pPr>
              <w:pStyle w:val="28"/>
              <w:bidi w:val="0"/>
            </w:pPr>
            <w:r>
              <w:rPr>
                <w:rFonts w:hint="eastAsia"/>
              </w:rPr>
              <w:t>淠杭干渠工程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384AA">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9671C">
            <w:pPr>
              <w:pStyle w:val="28"/>
              <w:bidi w:val="0"/>
            </w:pPr>
            <w:r>
              <w:t>36</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C1A59">
            <w:pPr>
              <w:pStyle w:val="28"/>
              <w:bidi w:val="0"/>
            </w:pPr>
            <w:r>
              <w:t>36</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22867">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5E8D1">
            <w:pPr>
              <w:pStyle w:val="28"/>
              <w:bidi w:val="0"/>
            </w:pPr>
            <w:r>
              <w:t>0</w:t>
            </w:r>
          </w:p>
        </w:tc>
      </w:tr>
      <w:tr w14:paraId="3C12CF74">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1A4DA">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901F3">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87172">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BFDD5">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CFFA9">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21FB6">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7176A4">
            <w:pPr>
              <w:pStyle w:val="28"/>
              <w:bidi w:val="0"/>
            </w:pPr>
            <w:r>
              <w:t>0</w:t>
            </w:r>
          </w:p>
        </w:tc>
      </w:tr>
      <w:tr w14:paraId="3EDE86F9">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3C495">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557BB">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4469A">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00C67">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A8A6D">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0D36B">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641F58">
            <w:pPr>
              <w:pStyle w:val="28"/>
              <w:bidi w:val="0"/>
            </w:pPr>
            <w:r>
              <w:t>0</w:t>
            </w:r>
          </w:p>
        </w:tc>
      </w:tr>
      <w:tr w14:paraId="565F1E8B">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26382">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E2044">
            <w:pPr>
              <w:pStyle w:val="28"/>
              <w:bidi w:val="0"/>
            </w:pPr>
            <w:r>
              <w:rPr>
                <w:rFonts w:hint="eastAsia"/>
              </w:rPr>
              <w:t>淠东干渠工程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A4FD2">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69227">
            <w:pPr>
              <w:pStyle w:val="28"/>
              <w:bidi w:val="0"/>
            </w:pPr>
            <w:r>
              <w:t>60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EB78B">
            <w:pPr>
              <w:pStyle w:val="28"/>
              <w:bidi w:val="0"/>
            </w:pPr>
            <w:r>
              <w:t>60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403A2">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F7E039">
            <w:pPr>
              <w:pStyle w:val="28"/>
              <w:bidi w:val="0"/>
            </w:pPr>
            <w:r>
              <w:t>0</w:t>
            </w:r>
          </w:p>
        </w:tc>
      </w:tr>
      <w:tr w14:paraId="043D13FF">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81113">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13491">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EB021">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968B0">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FDDE7">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FA1C3">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94E9FF">
            <w:pPr>
              <w:pStyle w:val="28"/>
              <w:bidi w:val="0"/>
            </w:pPr>
            <w:r>
              <w:t>0</w:t>
            </w:r>
          </w:p>
        </w:tc>
      </w:tr>
      <w:tr w14:paraId="45EEBF17">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429CB">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3F1BC">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B6924">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31BE4">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4B636">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4F84B">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67348">
            <w:pPr>
              <w:pStyle w:val="28"/>
              <w:bidi w:val="0"/>
            </w:pPr>
            <w:r>
              <w:t>0</w:t>
            </w:r>
          </w:p>
        </w:tc>
      </w:tr>
      <w:tr w14:paraId="60AFA606">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787F3">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CE611">
            <w:pPr>
              <w:pStyle w:val="28"/>
              <w:bidi w:val="0"/>
            </w:pPr>
            <w:r>
              <w:rPr>
                <w:rFonts w:hint="eastAsia"/>
              </w:rPr>
              <w:t>瓦西干渠工程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DC1BF">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FE139">
            <w:pPr>
              <w:pStyle w:val="28"/>
              <w:bidi w:val="0"/>
            </w:pPr>
            <w:r>
              <w:t>36</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9118B">
            <w:pPr>
              <w:pStyle w:val="28"/>
              <w:bidi w:val="0"/>
            </w:pPr>
            <w:r>
              <w:t>36</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DC00F">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DD511">
            <w:pPr>
              <w:pStyle w:val="28"/>
              <w:bidi w:val="0"/>
            </w:pPr>
            <w:r>
              <w:t>0</w:t>
            </w:r>
          </w:p>
        </w:tc>
      </w:tr>
      <w:tr w14:paraId="00C20BE9">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E8194">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0A614">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9D30B">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2574E">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32F78">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A1DB">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88AA8">
            <w:pPr>
              <w:pStyle w:val="28"/>
              <w:bidi w:val="0"/>
            </w:pPr>
            <w:r>
              <w:t>0</w:t>
            </w:r>
          </w:p>
        </w:tc>
      </w:tr>
      <w:tr w14:paraId="70DD3C1A">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33E95">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BE1B84">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B287E">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0C21F">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62F4E">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99F4B">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55CDC">
            <w:pPr>
              <w:pStyle w:val="28"/>
              <w:bidi w:val="0"/>
            </w:pPr>
            <w:r>
              <w:t>0</w:t>
            </w:r>
          </w:p>
        </w:tc>
      </w:tr>
      <w:tr w14:paraId="387C0C41">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11913">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CA91A">
            <w:pPr>
              <w:pStyle w:val="28"/>
              <w:bidi w:val="0"/>
            </w:pPr>
            <w:r>
              <w:rPr>
                <w:rFonts w:hint="eastAsia"/>
              </w:rPr>
              <w:t>堰口分干渠工程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6F9BA">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3B9DB">
            <w:pPr>
              <w:pStyle w:val="28"/>
              <w:bidi w:val="0"/>
            </w:pPr>
            <w:r>
              <w:t>72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1CF92">
            <w:pPr>
              <w:pStyle w:val="28"/>
              <w:bidi w:val="0"/>
            </w:pPr>
            <w:r>
              <w:t>72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A5840">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761A5">
            <w:pPr>
              <w:pStyle w:val="28"/>
              <w:bidi w:val="0"/>
            </w:pPr>
            <w:r>
              <w:t>0</w:t>
            </w:r>
          </w:p>
        </w:tc>
      </w:tr>
      <w:tr w14:paraId="01DA7E71">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62F12">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EF904">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A4861">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6FA83">
            <w:pPr>
              <w:pStyle w:val="28"/>
              <w:bidi w:val="0"/>
            </w:pPr>
            <w:r>
              <w:t>1728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3D4A5">
            <w:pPr>
              <w:pStyle w:val="28"/>
              <w:bidi w:val="0"/>
            </w:pPr>
            <w:r>
              <w:t>1728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AD122">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78D2F">
            <w:pPr>
              <w:pStyle w:val="28"/>
              <w:bidi w:val="0"/>
            </w:pPr>
            <w:r>
              <w:t>0</w:t>
            </w:r>
          </w:p>
        </w:tc>
      </w:tr>
      <w:tr w14:paraId="5D344200">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E7618">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87B69">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AE7CB">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61F67">
            <w:pPr>
              <w:pStyle w:val="28"/>
              <w:bidi w:val="0"/>
            </w:pPr>
            <w:r>
              <w:t>1728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CB114">
            <w:pPr>
              <w:pStyle w:val="28"/>
              <w:bidi w:val="0"/>
            </w:pPr>
            <w:r>
              <w:t>1728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A14081">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F640F">
            <w:pPr>
              <w:pStyle w:val="28"/>
              <w:bidi w:val="0"/>
            </w:pPr>
            <w:r>
              <w:t>0</w:t>
            </w:r>
          </w:p>
        </w:tc>
      </w:tr>
      <w:tr w14:paraId="73AD9067">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1316E">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C82EA">
            <w:pPr>
              <w:pStyle w:val="28"/>
              <w:bidi w:val="0"/>
            </w:pPr>
            <w:r>
              <w:rPr>
                <w:rFonts w:hint="eastAsia"/>
              </w:rPr>
              <w:t>淠源分干渠工程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8460D">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A70D9">
            <w:pPr>
              <w:pStyle w:val="28"/>
              <w:bidi w:val="0"/>
            </w:pPr>
            <w:r>
              <w:t>108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B9825A">
            <w:pPr>
              <w:pStyle w:val="28"/>
              <w:bidi w:val="0"/>
            </w:pPr>
            <w:r>
              <w:t>108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BC94D">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A14B2">
            <w:pPr>
              <w:pStyle w:val="28"/>
              <w:bidi w:val="0"/>
            </w:pPr>
            <w:r>
              <w:t>0</w:t>
            </w:r>
          </w:p>
        </w:tc>
      </w:tr>
      <w:tr w14:paraId="2E563A98">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F2745">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5B51A">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A1516">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161E4">
            <w:pPr>
              <w:pStyle w:val="28"/>
              <w:bidi w:val="0"/>
            </w:pPr>
            <w:r>
              <w:t>2592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7EAC5">
            <w:pPr>
              <w:pStyle w:val="28"/>
              <w:bidi w:val="0"/>
            </w:pPr>
            <w:r>
              <w:t>2592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83475">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768C9">
            <w:pPr>
              <w:pStyle w:val="28"/>
              <w:bidi w:val="0"/>
            </w:pPr>
            <w:r>
              <w:t>0</w:t>
            </w:r>
          </w:p>
        </w:tc>
      </w:tr>
      <w:tr w14:paraId="50A13185">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708FB">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C2755">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2A33D">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89546">
            <w:pPr>
              <w:pStyle w:val="28"/>
              <w:bidi w:val="0"/>
            </w:pPr>
            <w:r>
              <w:t>2592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54D76">
            <w:pPr>
              <w:pStyle w:val="28"/>
              <w:bidi w:val="0"/>
            </w:pPr>
            <w:r>
              <w:t>2592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A3A49">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547A3">
            <w:pPr>
              <w:pStyle w:val="28"/>
              <w:bidi w:val="0"/>
            </w:pPr>
            <w:r>
              <w:t>0</w:t>
            </w:r>
          </w:p>
        </w:tc>
      </w:tr>
      <w:tr w14:paraId="14A2D9C9">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995F9">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4EFE2">
            <w:pPr>
              <w:pStyle w:val="28"/>
              <w:bidi w:val="0"/>
            </w:pPr>
            <w:r>
              <w:rPr>
                <w:rFonts w:hint="eastAsia"/>
              </w:rPr>
              <w:t>小蜀山分干渠工程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FA053">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BA79C">
            <w:pPr>
              <w:pStyle w:val="28"/>
              <w:bidi w:val="0"/>
            </w:pPr>
            <w:r>
              <w:t>84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522AD">
            <w:pPr>
              <w:pStyle w:val="28"/>
              <w:bidi w:val="0"/>
            </w:pPr>
            <w:r>
              <w:t>84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5BAD1">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65F91">
            <w:pPr>
              <w:pStyle w:val="28"/>
              <w:bidi w:val="0"/>
            </w:pPr>
            <w:r>
              <w:t>0</w:t>
            </w:r>
          </w:p>
        </w:tc>
      </w:tr>
      <w:tr w14:paraId="7DE070E4">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9C552">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F5B76">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39A1E">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A4C8D">
            <w:pPr>
              <w:pStyle w:val="28"/>
              <w:bidi w:val="0"/>
            </w:pPr>
            <w:r>
              <w:t>2016</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C2023">
            <w:pPr>
              <w:pStyle w:val="28"/>
              <w:bidi w:val="0"/>
            </w:pPr>
            <w:r>
              <w:t>2016</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16E3E">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ECF77">
            <w:pPr>
              <w:pStyle w:val="28"/>
              <w:bidi w:val="0"/>
            </w:pPr>
            <w:r>
              <w:t>0</w:t>
            </w:r>
          </w:p>
        </w:tc>
      </w:tr>
      <w:tr w14:paraId="52CC8BA3">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8D1B2">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49884">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5F3C9">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EF883">
            <w:pPr>
              <w:pStyle w:val="28"/>
              <w:bidi w:val="0"/>
            </w:pPr>
            <w:r>
              <w:t>2016</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B366E">
            <w:pPr>
              <w:pStyle w:val="28"/>
              <w:bidi w:val="0"/>
            </w:pPr>
            <w:r>
              <w:t>2016</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A9244">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96491">
            <w:pPr>
              <w:pStyle w:val="28"/>
              <w:bidi w:val="0"/>
            </w:pPr>
            <w:r>
              <w:t>0</w:t>
            </w:r>
          </w:p>
        </w:tc>
      </w:tr>
      <w:tr w14:paraId="41C523A8">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6B124">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6C7A4">
            <w:pPr>
              <w:pStyle w:val="28"/>
              <w:bidi w:val="0"/>
            </w:pPr>
            <w:r>
              <w:rPr>
                <w:rFonts w:hint="eastAsia"/>
              </w:rPr>
              <w:t>瓦东双庙支渠工程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E36AC">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33EB1">
            <w:pPr>
              <w:pStyle w:val="28"/>
              <w:bidi w:val="0"/>
            </w:pPr>
            <w:r>
              <w:t>36</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49AA8">
            <w:pPr>
              <w:pStyle w:val="28"/>
              <w:bidi w:val="0"/>
            </w:pPr>
            <w:r>
              <w:t>36</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0534C">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95150">
            <w:pPr>
              <w:pStyle w:val="28"/>
              <w:bidi w:val="0"/>
            </w:pPr>
            <w:r>
              <w:t>0</w:t>
            </w:r>
          </w:p>
        </w:tc>
      </w:tr>
      <w:tr w14:paraId="5BA8458F">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1B33C">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A1042">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E7455">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689CB">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69A63">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5C6D8">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A4470">
            <w:pPr>
              <w:pStyle w:val="28"/>
              <w:bidi w:val="0"/>
            </w:pPr>
            <w:r>
              <w:t>0</w:t>
            </w:r>
          </w:p>
        </w:tc>
      </w:tr>
      <w:tr w14:paraId="5DE36C58">
        <w:trPr>
          <w:trHeight w:val="3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50F74">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18B53">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C084B">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D20E1">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8AC2A">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71FDD">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81E3A">
            <w:pPr>
              <w:pStyle w:val="28"/>
              <w:bidi w:val="0"/>
            </w:pPr>
            <w:r>
              <w:t>0</w:t>
            </w:r>
          </w:p>
        </w:tc>
      </w:tr>
      <w:tr w14:paraId="4D9BC0BA">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B09F7">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D2A84">
            <w:pPr>
              <w:pStyle w:val="28"/>
              <w:bidi w:val="0"/>
            </w:pPr>
            <w:r>
              <w:rPr>
                <w:rFonts w:hint="eastAsia"/>
              </w:rPr>
              <w:t>东风支渠工程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76B55">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15A9A">
            <w:pPr>
              <w:pStyle w:val="28"/>
              <w:bidi w:val="0"/>
            </w:pPr>
            <w:r>
              <w:t>60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BF73E">
            <w:pPr>
              <w:pStyle w:val="28"/>
              <w:bidi w:val="0"/>
            </w:pPr>
            <w:r>
              <w:t>60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204D5">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C4AEA">
            <w:pPr>
              <w:pStyle w:val="28"/>
              <w:bidi w:val="0"/>
            </w:pPr>
            <w:r>
              <w:t>0</w:t>
            </w:r>
          </w:p>
        </w:tc>
      </w:tr>
      <w:tr w14:paraId="3283C8E9">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DD6F5">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A42846">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A5295">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B32F4">
            <w:pPr>
              <w:pStyle w:val="28"/>
              <w:bidi w:val="0"/>
            </w:pPr>
            <w:r>
              <w:t>0.018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F930D">
            <w:pPr>
              <w:pStyle w:val="28"/>
              <w:bidi w:val="0"/>
            </w:pPr>
            <w:r>
              <w:t>0.018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5ABEC">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00CC4">
            <w:pPr>
              <w:pStyle w:val="28"/>
              <w:bidi w:val="0"/>
            </w:pPr>
            <w:r>
              <w:t>0</w:t>
            </w:r>
          </w:p>
        </w:tc>
      </w:tr>
      <w:tr w14:paraId="7BF9DAE6">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45B5E">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E1D93">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8DC78">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2EBC5">
            <w:pPr>
              <w:pStyle w:val="28"/>
              <w:bidi w:val="0"/>
            </w:pPr>
            <w:r>
              <w:t>0.018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DB2BE">
            <w:pPr>
              <w:pStyle w:val="28"/>
              <w:bidi w:val="0"/>
            </w:pPr>
            <w:r>
              <w:t>0.018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AE57B">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DB072">
            <w:pPr>
              <w:pStyle w:val="28"/>
              <w:bidi w:val="0"/>
            </w:pPr>
            <w:r>
              <w:t>0</w:t>
            </w:r>
          </w:p>
        </w:tc>
      </w:tr>
      <w:tr w14:paraId="193FFD0B">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9B085">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7B00A">
            <w:pPr>
              <w:pStyle w:val="28"/>
              <w:bidi w:val="0"/>
            </w:pPr>
            <w:r>
              <w:t>界河支渠工程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2729C">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0244E">
            <w:pPr>
              <w:pStyle w:val="28"/>
              <w:bidi w:val="0"/>
            </w:pPr>
            <w:r>
              <w:t>60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22BFA">
            <w:pPr>
              <w:pStyle w:val="28"/>
              <w:bidi w:val="0"/>
            </w:pPr>
            <w:r>
              <w:t>60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245AC">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2AE38">
            <w:pPr>
              <w:pStyle w:val="28"/>
              <w:bidi w:val="0"/>
            </w:pPr>
            <w:r>
              <w:t>0</w:t>
            </w:r>
          </w:p>
        </w:tc>
      </w:tr>
      <w:tr w14:paraId="1FC9E01E">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E3AC2">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CF3B7">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0DD75">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E6B5D">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F9D7E">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21CDF">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07D3C8">
            <w:pPr>
              <w:pStyle w:val="28"/>
              <w:bidi w:val="0"/>
            </w:pPr>
            <w:r>
              <w:t>0</w:t>
            </w:r>
          </w:p>
        </w:tc>
      </w:tr>
      <w:tr w14:paraId="707247B8">
        <w:tblPrEx>
          <w:tblCellMar>
            <w:top w:w="0" w:type="dxa"/>
            <w:left w:w="108" w:type="dxa"/>
            <w:bottom w:w="0" w:type="dxa"/>
            <w:right w:w="108" w:type="dxa"/>
          </w:tblCellMar>
        </w:tblPrEx>
        <w:trPr>
          <w:trHeight w:val="42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5CA50">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376A6">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54BEF">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909D4">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AB1EA">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2ACFA">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7D5C5">
            <w:pPr>
              <w:pStyle w:val="28"/>
              <w:bidi w:val="0"/>
            </w:pPr>
            <w:r>
              <w:t>0</w:t>
            </w:r>
          </w:p>
        </w:tc>
      </w:tr>
      <w:tr w14:paraId="35BB0E34">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2C23F">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0294F">
            <w:pPr>
              <w:pStyle w:val="28"/>
              <w:bidi w:val="0"/>
            </w:pPr>
            <w:r>
              <w:t>义河支渠工程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B4058">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85C3F">
            <w:pPr>
              <w:pStyle w:val="28"/>
              <w:bidi w:val="0"/>
            </w:pPr>
            <w:r>
              <w:t>60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EF5FB">
            <w:pPr>
              <w:pStyle w:val="28"/>
              <w:bidi w:val="0"/>
            </w:pPr>
            <w:r>
              <w:t>60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8BFE8">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2547C">
            <w:pPr>
              <w:pStyle w:val="28"/>
              <w:bidi w:val="0"/>
            </w:pPr>
            <w:r>
              <w:t>0</w:t>
            </w:r>
          </w:p>
        </w:tc>
      </w:tr>
      <w:tr w14:paraId="7EE086C6">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D9578">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DA169">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EFDF4">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B5C6AB">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A7A679">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17384">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440734">
            <w:pPr>
              <w:pStyle w:val="28"/>
              <w:bidi w:val="0"/>
            </w:pPr>
            <w:r>
              <w:t>0</w:t>
            </w:r>
          </w:p>
        </w:tc>
      </w:tr>
      <w:tr w14:paraId="2A47E642">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3D314">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1D1F5">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95B737">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5E9EC">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E96C0">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5D7E2">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9D4E0">
            <w:pPr>
              <w:pStyle w:val="28"/>
              <w:bidi w:val="0"/>
            </w:pPr>
            <w:r>
              <w:t>0</w:t>
            </w:r>
          </w:p>
        </w:tc>
      </w:tr>
      <w:tr w14:paraId="22AFC80A">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0FD4E">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90D91">
            <w:pPr>
              <w:pStyle w:val="28"/>
              <w:bidi w:val="0"/>
            </w:pPr>
            <w:r>
              <w:rPr>
                <w:rFonts w:hint="eastAsia"/>
              </w:rPr>
              <w:t>袁店支渠工程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2342E">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65210">
            <w:pPr>
              <w:pStyle w:val="28"/>
              <w:bidi w:val="0"/>
            </w:pPr>
            <w:r>
              <w:t>60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80D47D">
            <w:pPr>
              <w:pStyle w:val="28"/>
              <w:bidi w:val="0"/>
            </w:pPr>
            <w:r>
              <w:t>60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D2B0E">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AF6FD">
            <w:pPr>
              <w:pStyle w:val="28"/>
              <w:bidi w:val="0"/>
            </w:pPr>
            <w:r>
              <w:t>0</w:t>
            </w:r>
          </w:p>
        </w:tc>
      </w:tr>
      <w:tr w14:paraId="6D1094E7">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21379">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F91DE">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63CE9">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B04BD">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51424">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EA44D">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9C57B">
            <w:pPr>
              <w:pStyle w:val="28"/>
              <w:bidi w:val="0"/>
            </w:pPr>
            <w:r>
              <w:t>0</w:t>
            </w:r>
          </w:p>
        </w:tc>
      </w:tr>
      <w:tr w14:paraId="23EC38F5">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4B1AD">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6C8B2">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AEFEE">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0E078">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BC62C">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9B808">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660CE">
            <w:pPr>
              <w:pStyle w:val="28"/>
              <w:bidi w:val="0"/>
            </w:pPr>
            <w:r>
              <w:t>0</w:t>
            </w:r>
          </w:p>
        </w:tc>
      </w:tr>
      <w:tr w14:paraId="12E6C0C5">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72242">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31BCA">
            <w:pPr>
              <w:pStyle w:val="28"/>
              <w:bidi w:val="0"/>
            </w:pPr>
            <w:r>
              <w:rPr>
                <w:rFonts w:hint="eastAsia"/>
              </w:rPr>
              <w:t>堰西支渠工程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17CEA">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17B78">
            <w:pPr>
              <w:pStyle w:val="28"/>
              <w:bidi w:val="0"/>
            </w:pPr>
            <w:r>
              <w:t>48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57FDB">
            <w:pPr>
              <w:pStyle w:val="28"/>
              <w:bidi w:val="0"/>
            </w:pPr>
            <w:r>
              <w:t>48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7B42F">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CB9DA">
            <w:pPr>
              <w:pStyle w:val="28"/>
              <w:bidi w:val="0"/>
            </w:pPr>
            <w:r>
              <w:t>0</w:t>
            </w:r>
          </w:p>
        </w:tc>
      </w:tr>
      <w:tr w14:paraId="6D92C2E5">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D6B48">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C0444">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58ABD">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545D6">
            <w:pPr>
              <w:pStyle w:val="28"/>
              <w:bidi w:val="0"/>
            </w:pPr>
            <w:r>
              <w:t>1152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347E8">
            <w:pPr>
              <w:pStyle w:val="28"/>
              <w:bidi w:val="0"/>
            </w:pPr>
            <w:r>
              <w:t>1152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6B37C">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73C80">
            <w:pPr>
              <w:pStyle w:val="28"/>
              <w:bidi w:val="0"/>
            </w:pPr>
            <w:r>
              <w:t>0</w:t>
            </w:r>
          </w:p>
        </w:tc>
      </w:tr>
      <w:tr w14:paraId="33C039BA">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5849B">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3C5720">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6A6F6">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84B55">
            <w:pPr>
              <w:pStyle w:val="28"/>
              <w:bidi w:val="0"/>
            </w:pPr>
            <w:r>
              <w:t>1152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BB4D6">
            <w:pPr>
              <w:pStyle w:val="28"/>
              <w:bidi w:val="0"/>
            </w:pPr>
            <w:r>
              <w:t>1152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98F2B">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563C4">
            <w:pPr>
              <w:pStyle w:val="28"/>
              <w:bidi w:val="0"/>
            </w:pPr>
            <w:r>
              <w:t>0</w:t>
            </w:r>
          </w:p>
        </w:tc>
      </w:tr>
      <w:tr w14:paraId="2DD7F7E7">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392F7">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C4E0A">
            <w:pPr>
              <w:pStyle w:val="28"/>
              <w:bidi w:val="0"/>
            </w:pPr>
            <w:r>
              <w:t>众兴双庙支渠工程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860D94">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3B6E1">
            <w:pPr>
              <w:pStyle w:val="28"/>
              <w:bidi w:val="0"/>
            </w:pPr>
            <w:r>
              <w:t>36</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2E165">
            <w:pPr>
              <w:pStyle w:val="28"/>
              <w:bidi w:val="0"/>
            </w:pPr>
            <w:r>
              <w:t>36</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2050C">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DA6CD">
            <w:pPr>
              <w:pStyle w:val="28"/>
              <w:bidi w:val="0"/>
            </w:pPr>
            <w:r>
              <w:t>0</w:t>
            </w:r>
          </w:p>
        </w:tc>
      </w:tr>
      <w:tr w14:paraId="2690706F">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A4936">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886CC">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D11AF2">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BEE19">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D6D4F">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AAAFE">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A7E90">
            <w:pPr>
              <w:pStyle w:val="28"/>
              <w:bidi w:val="0"/>
            </w:pPr>
            <w:r>
              <w:t>0</w:t>
            </w:r>
          </w:p>
        </w:tc>
      </w:tr>
      <w:tr w14:paraId="4A6D87A0">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64A68">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CC62A">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7E9E9B">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55EC4">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1739D">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81C59">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F2636">
            <w:pPr>
              <w:pStyle w:val="28"/>
              <w:bidi w:val="0"/>
            </w:pPr>
            <w:r>
              <w:t>0</w:t>
            </w:r>
          </w:p>
        </w:tc>
      </w:tr>
      <w:tr w14:paraId="7B2712F8">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62D98">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55EC2">
            <w:pPr>
              <w:pStyle w:val="28"/>
              <w:bidi w:val="0"/>
            </w:pPr>
            <w:r>
              <w:t>大高支渠工程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10938">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A2DA5">
            <w:pPr>
              <w:pStyle w:val="28"/>
              <w:bidi w:val="0"/>
            </w:pPr>
            <w:r>
              <w:t>36</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3D0F6">
            <w:pPr>
              <w:pStyle w:val="28"/>
              <w:bidi w:val="0"/>
            </w:pPr>
            <w:r>
              <w:t>36</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07BC0">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4A001">
            <w:pPr>
              <w:pStyle w:val="28"/>
              <w:bidi w:val="0"/>
            </w:pPr>
            <w:r>
              <w:t>0</w:t>
            </w:r>
          </w:p>
        </w:tc>
      </w:tr>
      <w:tr w14:paraId="31F489A2">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B81A4">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0E809">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97681">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B7438">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18A62">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6F499">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AEB59">
            <w:pPr>
              <w:pStyle w:val="28"/>
              <w:bidi w:val="0"/>
            </w:pPr>
            <w:r>
              <w:t>0</w:t>
            </w:r>
          </w:p>
        </w:tc>
      </w:tr>
      <w:tr w14:paraId="3CF07A9E">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DBAF5">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15FDA">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BAC2A">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0AB36">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6CC5F">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181F0">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79531">
            <w:pPr>
              <w:pStyle w:val="28"/>
              <w:bidi w:val="0"/>
            </w:pPr>
            <w:r>
              <w:t>0</w:t>
            </w:r>
          </w:p>
        </w:tc>
      </w:tr>
      <w:tr w14:paraId="399C823F">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F23E3">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92DC8">
            <w:pPr>
              <w:pStyle w:val="28"/>
              <w:bidi w:val="0"/>
            </w:pPr>
            <w:r>
              <w:t>白龙支渠工程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1AF51">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03B72">
            <w:pPr>
              <w:pStyle w:val="28"/>
              <w:bidi w:val="0"/>
            </w:pPr>
            <w:r>
              <w:t>60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B3C17">
            <w:pPr>
              <w:pStyle w:val="28"/>
              <w:bidi w:val="0"/>
            </w:pPr>
            <w:r>
              <w:t>60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F7AB1">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BA949">
            <w:pPr>
              <w:pStyle w:val="28"/>
              <w:bidi w:val="0"/>
            </w:pPr>
            <w:r>
              <w:t>0</w:t>
            </w:r>
          </w:p>
        </w:tc>
      </w:tr>
      <w:tr w14:paraId="7CE9E3C8">
        <w:tblPrEx>
          <w:tblCellMar>
            <w:top w:w="0" w:type="dxa"/>
            <w:left w:w="108" w:type="dxa"/>
            <w:bottom w:w="0" w:type="dxa"/>
            <w:right w:w="108" w:type="dxa"/>
          </w:tblCellMar>
        </w:tblPrEx>
        <w:trPr>
          <w:trHeight w:val="3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8DE8A">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92DDC">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26309">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2F908">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E9044">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DFD1A">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B210C">
            <w:pPr>
              <w:pStyle w:val="28"/>
              <w:bidi w:val="0"/>
            </w:pPr>
            <w:r>
              <w:t>0</w:t>
            </w:r>
          </w:p>
        </w:tc>
      </w:tr>
      <w:tr w14:paraId="2AC2A213">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9ECB4">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49634">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96340">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7B901">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CD0E9">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954AE">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41ADD">
            <w:pPr>
              <w:pStyle w:val="28"/>
              <w:bidi w:val="0"/>
            </w:pPr>
            <w:r>
              <w:t>0</w:t>
            </w:r>
          </w:p>
        </w:tc>
      </w:tr>
      <w:tr w14:paraId="50C512D9">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402AA">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8A230">
            <w:pPr>
              <w:pStyle w:val="28"/>
              <w:bidi w:val="0"/>
            </w:pPr>
            <w:r>
              <w:t>郑岗泵站工程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F8833">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4C819">
            <w:pPr>
              <w:pStyle w:val="28"/>
              <w:bidi w:val="0"/>
            </w:pPr>
            <w:r>
              <w:t>48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A47D5">
            <w:pPr>
              <w:pStyle w:val="28"/>
              <w:bidi w:val="0"/>
            </w:pPr>
            <w:r>
              <w:t>48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32F58">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242E6">
            <w:pPr>
              <w:pStyle w:val="28"/>
              <w:bidi w:val="0"/>
            </w:pPr>
            <w:r>
              <w:t>0</w:t>
            </w:r>
          </w:p>
        </w:tc>
      </w:tr>
      <w:tr w14:paraId="320F464A">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4AB59">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4E5E4">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7C286">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83C21">
            <w:pPr>
              <w:pStyle w:val="28"/>
              <w:bidi w:val="0"/>
            </w:pPr>
            <w:r>
              <w:t>1152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48463">
            <w:pPr>
              <w:pStyle w:val="28"/>
              <w:bidi w:val="0"/>
            </w:pPr>
            <w:r>
              <w:t>1152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5AC61">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BF752">
            <w:pPr>
              <w:pStyle w:val="28"/>
              <w:bidi w:val="0"/>
            </w:pPr>
            <w:r>
              <w:t>0</w:t>
            </w:r>
          </w:p>
        </w:tc>
      </w:tr>
      <w:tr w14:paraId="3FF478AB">
        <w:tblPrEx>
          <w:tblCellMar>
            <w:top w:w="0" w:type="dxa"/>
            <w:left w:w="108" w:type="dxa"/>
            <w:bottom w:w="0" w:type="dxa"/>
            <w:right w:w="108" w:type="dxa"/>
          </w:tblCellMar>
        </w:tblPrEx>
        <w:trPr>
          <w:trHeight w:val="4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980F3">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96929">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0E6E3D">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58DA6">
            <w:pPr>
              <w:pStyle w:val="28"/>
              <w:bidi w:val="0"/>
            </w:pPr>
            <w:r>
              <w:t>1152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82FEC">
            <w:pPr>
              <w:pStyle w:val="28"/>
              <w:bidi w:val="0"/>
            </w:pPr>
            <w:r>
              <w:t>1152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8F368">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A3519">
            <w:pPr>
              <w:pStyle w:val="28"/>
              <w:bidi w:val="0"/>
            </w:pPr>
            <w:r>
              <w:t>0</w:t>
            </w:r>
          </w:p>
        </w:tc>
      </w:tr>
      <w:tr w14:paraId="3C81DCDD">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C59FA">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4E1C4">
            <w:pPr>
              <w:pStyle w:val="28"/>
              <w:bidi w:val="0"/>
            </w:pPr>
            <w:r>
              <w:t>沣东干渠工程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6ABAF">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44F48">
            <w:pPr>
              <w:pStyle w:val="28"/>
              <w:bidi w:val="0"/>
            </w:pPr>
            <w:r>
              <w:t>360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9AF2C">
            <w:pPr>
              <w:pStyle w:val="28"/>
              <w:bidi w:val="0"/>
            </w:pPr>
            <w:r>
              <w:t>360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56EBB">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32328">
            <w:pPr>
              <w:pStyle w:val="28"/>
              <w:bidi w:val="0"/>
            </w:pPr>
            <w:r>
              <w:t>0</w:t>
            </w:r>
          </w:p>
        </w:tc>
      </w:tr>
      <w:tr w14:paraId="43DFD4E6">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913F6">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8C061">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22319">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37095">
            <w:pPr>
              <w:pStyle w:val="28"/>
              <w:bidi w:val="0"/>
            </w:pPr>
            <w:r>
              <w:t>8640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599C9">
            <w:pPr>
              <w:pStyle w:val="28"/>
              <w:bidi w:val="0"/>
            </w:pPr>
            <w:r>
              <w:t>8640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52430">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B6E84">
            <w:pPr>
              <w:pStyle w:val="28"/>
              <w:bidi w:val="0"/>
            </w:pPr>
            <w:r>
              <w:t>0</w:t>
            </w:r>
          </w:p>
        </w:tc>
      </w:tr>
      <w:tr w14:paraId="009CAEA3">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85D69">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CD549">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42149">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C127C">
            <w:pPr>
              <w:pStyle w:val="28"/>
              <w:bidi w:val="0"/>
            </w:pPr>
            <w:r>
              <w:t>8640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107DE">
            <w:pPr>
              <w:pStyle w:val="28"/>
              <w:bidi w:val="0"/>
            </w:pPr>
            <w:r>
              <w:t>8640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6E1E0">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1491D">
            <w:pPr>
              <w:pStyle w:val="28"/>
              <w:bidi w:val="0"/>
            </w:pPr>
            <w:r>
              <w:t>0</w:t>
            </w:r>
          </w:p>
        </w:tc>
      </w:tr>
      <w:tr w14:paraId="5696FD03">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B43520">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D5103">
            <w:pPr>
              <w:pStyle w:val="28"/>
              <w:bidi w:val="0"/>
            </w:pPr>
            <w:r>
              <w:t>沣西干渠工程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E553F">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43322">
            <w:pPr>
              <w:pStyle w:val="28"/>
              <w:bidi w:val="0"/>
            </w:pPr>
            <w:r>
              <w:t>288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78CEB">
            <w:pPr>
              <w:pStyle w:val="28"/>
              <w:bidi w:val="0"/>
            </w:pPr>
            <w:r>
              <w:t>288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A9F71">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52761">
            <w:pPr>
              <w:pStyle w:val="28"/>
              <w:bidi w:val="0"/>
            </w:pPr>
            <w:r>
              <w:t>0</w:t>
            </w:r>
          </w:p>
        </w:tc>
      </w:tr>
      <w:tr w14:paraId="35B74243">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F9B05">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F0761">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502A7">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D93062">
            <w:pPr>
              <w:pStyle w:val="28"/>
              <w:bidi w:val="0"/>
            </w:pPr>
            <w:r>
              <w:t>6912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78C27">
            <w:pPr>
              <w:pStyle w:val="28"/>
              <w:bidi w:val="0"/>
            </w:pPr>
            <w:r>
              <w:t>6912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DD1F9">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9F51C">
            <w:pPr>
              <w:pStyle w:val="28"/>
              <w:bidi w:val="0"/>
            </w:pPr>
            <w:r>
              <w:t>0</w:t>
            </w:r>
          </w:p>
        </w:tc>
      </w:tr>
      <w:tr w14:paraId="3CD3D406">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8F715">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560AB">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2E55F">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7C34A">
            <w:pPr>
              <w:pStyle w:val="28"/>
              <w:bidi w:val="0"/>
            </w:pPr>
            <w:r>
              <w:t>6912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733D7">
            <w:pPr>
              <w:pStyle w:val="28"/>
              <w:bidi w:val="0"/>
            </w:pPr>
            <w:r>
              <w:t>6912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DD435">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76080">
            <w:pPr>
              <w:pStyle w:val="28"/>
              <w:bidi w:val="0"/>
            </w:pPr>
            <w:r>
              <w:t>0</w:t>
            </w:r>
          </w:p>
        </w:tc>
      </w:tr>
      <w:tr w14:paraId="027354B9">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01FF5">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AC4D9">
            <w:pPr>
              <w:pStyle w:val="28"/>
              <w:bidi w:val="0"/>
            </w:pPr>
            <w:r>
              <w:t>姚李支渠工程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A1E18">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BB453">
            <w:pPr>
              <w:pStyle w:val="28"/>
              <w:bidi w:val="0"/>
            </w:pPr>
            <w:r>
              <w:t>60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75D3F">
            <w:pPr>
              <w:pStyle w:val="28"/>
              <w:bidi w:val="0"/>
            </w:pPr>
            <w:r>
              <w:t>60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1040E">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58476">
            <w:pPr>
              <w:pStyle w:val="28"/>
              <w:bidi w:val="0"/>
            </w:pPr>
            <w:r>
              <w:t>0</w:t>
            </w:r>
          </w:p>
        </w:tc>
      </w:tr>
      <w:tr w14:paraId="323F0258">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C3BBB">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953607">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3C589">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336EF">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32850C">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895A4">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21661">
            <w:pPr>
              <w:pStyle w:val="28"/>
              <w:bidi w:val="0"/>
            </w:pPr>
            <w:r>
              <w:t>0</w:t>
            </w:r>
          </w:p>
        </w:tc>
      </w:tr>
      <w:tr w14:paraId="51A7064A">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1A499">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3350B">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0BC27">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7C5E6">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2ED11">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DE1339">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DA747">
            <w:pPr>
              <w:pStyle w:val="28"/>
              <w:bidi w:val="0"/>
            </w:pPr>
            <w:r>
              <w:t>0</w:t>
            </w:r>
          </w:p>
        </w:tc>
      </w:tr>
      <w:tr w14:paraId="14B6C8A1">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2DC95">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5728B">
            <w:pPr>
              <w:pStyle w:val="28"/>
              <w:bidi w:val="0"/>
            </w:pPr>
            <w:r>
              <w:t>胜天支渠工程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1921D">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3695E">
            <w:pPr>
              <w:pStyle w:val="28"/>
              <w:bidi w:val="0"/>
            </w:pPr>
            <w:r>
              <w:t>36</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8725D">
            <w:pPr>
              <w:pStyle w:val="28"/>
              <w:bidi w:val="0"/>
            </w:pPr>
            <w:r>
              <w:t>36</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EEECE">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B815D">
            <w:pPr>
              <w:pStyle w:val="28"/>
              <w:bidi w:val="0"/>
            </w:pPr>
            <w:r>
              <w:t>0</w:t>
            </w:r>
          </w:p>
        </w:tc>
      </w:tr>
      <w:tr w14:paraId="069EB0F5">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3954A">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C871D">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FC0A3">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FC037">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6C3A9">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64548">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31261">
            <w:pPr>
              <w:pStyle w:val="28"/>
              <w:bidi w:val="0"/>
            </w:pPr>
            <w:r>
              <w:t>0</w:t>
            </w:r>
          </w:p>
        </w:tc>
      </w:tr>
      <w:tr w14:paraId="04BECC47">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F5DB0">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1A3FC">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518B5">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0CABA">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976B1">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415F2">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6F39C">
            <w:pPr>
              <w:pStyle w:val="28"/>
              <w:bidi w:val="0"/>
            </w:pPr>
            <w:r>
              <w:t>0</w:t>
            </w:r>
          </w:p>
        </w:tc>
      </w:tr>
      <w:tr w14:paraId="693AD490">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71597">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7C3E0">
            <w:pPr>
              <w:pStyle w:val="28"/>
              <w:bidi w:val="0"/>
            </w:pPr>
            <w:r>
              <w:t>乌斗支渠工程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35E03">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D9470">
            <w:pPr>
              <w:pStyle w:val="28"/>
              <w:bidi w:val="0"/>
            </w:pPr>
            <w:r>
              <w:t>72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1307D">
            <w:pPr>
              <w:pStyle w:val="28"/>
              <w:bidi w:val="0"/>
            </w:pPr>
            <w:r>
              <w:t>72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7CB92">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151FD">
            <w:pPr>
              <w:pStyle w:val="28"/>
              <w:bidi w:val="0"/>
            </w:pPr>
            <w:r>
              <w:t>0</w:t>
            </w:r>
          </w:p>
        </w:tc>
      </w:tr>
      <w:tr w14:paraId="03A70F46">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95D11">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42C83">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4E760">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FC12A">
            <w:pPr>
              <w:pStyle w:val="28"/>
              <w:bidi w:val="0"/>
            </w:pPr>
            <w:r>
              <w:t>1728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C6AEA">
            <w:pPr>
              <w:pStyle w:val="28"/>
              <w:bidi w:val="0"/>
            </w:pPr>
            <w:r>
              <w:t>1728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521A2">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F60C4">
            <w:pPr>
              <w:pStyle w:val="28"/>
              <w:bidi w:val="0"/>
            </w:pPr>
            <w:r>
              <w:t>0</w:t>
            </w:r>
          </w:p>
        </w:tc>
      </w:tr>
      <w:tr w14:paraId="26A4B4F3">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84990">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880D8">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FA39A">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F1AAD">
            <w:pPr>
              <w:pStyle w:val="28"/>
              <w:bidi w:val="0"/>
            </w:pPr>
            <w:r>
              <w:t>1728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D5696">
            <w:pPr>
              <w:pStyle w:val="28"/>
              <w:bidi w:val="0"/>
            </w:pPr>
            <w:r>
              <w:t>1728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12490">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D4E26">
            <w:pPr>
              <w:pStyle w:val="28"/>
              <w:bidi w:val="0"/>
            </w:pPr>
            <w:r>
              <w:t>0</w:t>
            </w:r>
          </w:p>
        </w:tc>
      </w:tr>
      <w:tr w14:paraId="1BEC5123">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19297D">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73852">
            <w:pPr>
              <w:pStyle w:val="28"/>
              <w:bidi w:val="0"/>
            </w:pPr>
            <w:r>
              <w:t>舒庐干渠7座水闸工程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552B3">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B2D09">
            <w:pPr>
              <w:pStyle w:val="28"/>
              <w:bidi w:val="0"/>
            </w:pPr>
            <w:r>
              <w:t>180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C2239">
            <w:pPr>
              <w:pStyle w:val="28"/>
              <w:bidi w:val="0"/>
            </w:pPr>
            <w:r>
              <w:t>180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E389D">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5FDCC4">
            <w:pPr>
              <w:pStyle w:val="28"/>
              <w:bidi w:val="0"/>
            </w:pPr>
            <w:r>
              <w:t>0</w:t>
            </w:r>
          </w:p>
        </w:tc>
      </w:tr>
      <w:tr w14:paraId="273EA762">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88B02">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C3485">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96144">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BA136">
            <w:pPr>
              <w:pStyle w:val="28"/>
              <w:bidi w:val="0"/>
            </w:pPr>
            <w:r>
              <w:t>4320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4A9C5">
            <w:pPr>
              <w:pStyle w:val="28"/>
              <w:bidi w:val="0"/>
            </w:pPr>
            <w:r>
              <w:t>4320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282DC">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A715C">
            <w:pPr>
              <w:pStyle w:val="28"/>
              <w:bidi w:val="0"/>
            </w:pPr>
            <w:r>
              <w:t>0</w:t>
            </w:r>
          </w:p>
        </w:tc>
      </w:tr>
      <w:tr w14:paraId="15BDF5DE">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183C0">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B04445">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A58BE">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34B8A">
            <w:pPr>
              <w:pStyle w:val="28"/>
              <w:bidi w:val="0"/>
            </w:pPr>
            <w:r>
              <w:t>4320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297C4">
            <w:pPr>
              <w:pStyle w:val="28"/>
              <w:bidi w:val="0"/>
            </w:pPr>
            <w:r>
              <w:t>4320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90D47">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AEC00">
            <w:pPr>
              <w:pStyle w:val="28"/>
              <w:bidi w:val="0"/>
            </w:pPr>
            <w:r>
              <w:t>0</w:t>
            </w:r>
          </w:p>
        </w:tc>
      </w:tr>
      <w:tr w14:paraId="5BBEFF5B">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F087D">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5D1A6">
            <w:pPr>
              <w:pStyle w:val="28"/>
              <w:bidi w:val="0"/>
            </w:pPr>
            <w:r>
              <w:t>杭北干渠工程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97B73">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213A6">
            <w:pPr>
              <w:pStyle w:val="28"/>
              <w:bidi w:val="0"/>
            </w:pPr>
            <w:r>
              <w:t>215.04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64577">
            <w:pPr>
              <w:pStyle w:val="28"/>
              <w:bidi w:val="0"/>
            </w:pPr>
            <w:r>
              <w:t>215.04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FDD7E">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019FF">
            <w:pPr>
              <w:pStyle w:val="28"/>
              <w:bidi w:val="0"/>
            </w:pPr>
            <w:r>
              <w:t>0</w:t>
            </w:r>
          </w:p>
        </w:tc>
      </w:tr>
      <w:tr w14:paraId="3251175E">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B1C6B">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BA0D5">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6E005">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F02B3">
            <w:pPr>
              <w:pStyle w:val="28"/>
              <w:bidi w:val="0"/>
            </w:pPr>
            <w:r>
              <w:t>0.064512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45FAE">
            <w:pPr>
              <w:pStyle w:val="28"/>
              <w:bidi w:val="0"/>
            </w:pPr>
            <w:r>
              <w:t>0.064512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44AAF">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E05DE">
            <w:pPr>
              <w:pStyle w:val="28"/>
              <w:bidi w:val="0"/>
            </w:pPr>
            <w:r>
              <w:t>0</w:t>
            </w:r>
          </w:p>
        </w:tc>
      </w:tr>
      <w:tr w14:paraId="34351910">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82418">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A4064">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59B03">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992BAA">
            <w:pPr>
              <w:pStyle w:val="28"/>
              <w:bidi w:val="0"/>
            </w:pPr>
            <w:r>
              <w:t>0.064512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D9B52B">
            <w:pPr>
              <w:pStyle w:val="28"/>
              <w:bidi w:val="0"/>
            </w:pPr>
            <w:r>
              <w:t>0.064512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948AD">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9E7C6">
            <w:pPr>
              <w:pStyle w:val="28"/>
              <w:bidi w:val="0"/>
            </w:pPr>
            <w:r>
              <w:t>0</w:t>
            </w:r>
          </w:p>
        </w:tc>
      </w:tr>
      <w:tr w14:paraId="5743177F">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A3202">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ECC91">
            <w:pPr>
              <w:pStyle w:val="28"/>
              <w:bidi w:val="0"/>
            </w:pPr>
            <w:r>
              <w:t>沙胜支渠工程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10EC7">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E6FC8">
            <w:pPr>
              <w:pStyle w:val="28"/>
              <w:bidi w:val="0"/>
            </w:pPr>
            <w:r>
              <w:t>60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FA918">
            <w:pPr>
              <w:pStyle w:val="28"/>
              <w:bidi w:val="0"/>
            </w:pPr>
            <w:r>
              <w:t>60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63495">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C02BD">
            <w:pPr>
              <w:pStyle w:val="28"/>
              <w:bidi w:val="0"/>
            </w:pPr>
            <w:r>
              <w:t>0</w:t>
            </w:r>
          </w:p>
        </w:tc>
      </w:tr>
      <w:tr w14:paraId="5279E2BB">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B6A69">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56D0A">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A7AAE">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AE437">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636DB">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96650">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86BC7">
            <w:pPr>
              <w:pStyle w:val="28"/>
              <w:bidi w:val="0"/>
            </w:pPr>
            <w:r>
              <w:t>0</w:t>
            </w:r>
          </w:p>
        </w:tc>
      </w:tr>
      <w:tr w14:paraId="0A9C9839">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F6F6E">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437B3">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50879">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8E9DC">
            <w:pPr>
              <w:pStyle w:val="28"/>
              <w:bidi w:val="0"/>
            </w:pPr>
            <w:r>
              <w:t>1440</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80EB9">
            <w:pPr>
              <w:pStyle w:val="28"/>
              <w:bidi w:val="0"/>
            </w:pPr>
            <w:r>
              <w:t>1440</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BC32E">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3D854">
            <w:pPr>
              <w:pStyle w:val="28"/>
              <w:bidi w:val="0"/>
            </w:pPr>
            <w:r>
              <w:t>0</w:t>
            </w:r>
          </w:p>
        </w:tc>
      </w:tr>
      <w:tr w14:paraId="08A1A212">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BD10B">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D909F">
            <w:pPr>
              <w:pStyle w:val="28"/>
              <w:bidi w:val="0"/>
            </w:pPr>
            <w:r>
              <w:t>乐桥支渠工程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9C3F9">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A1515">
            <w:pPr>
              <w:pStyle w:val="28"/>
              <w:bidi w:val="0"/>
            </w:pPr>
            <w:r>
              <w:t>36</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44109">
            <w:pPr>
              <w:pStyle w:val="28"/>
              <w:bidi w:val="0"/>
            </w:pPr>
            <w:r>
              <w:t>36</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3B3C7">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82F39">
            <w:pPr>
              <w:pStyle w:val="28"/>
              <w:bidi w:val="0"/>
            </w:pPr>
            <w:r>
              <w:t>0</w:t>
            </w:r>
          </w:p>
        </w:tc>
      </w:tr>
      <w:tr w14:paraId="26B66F73">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3AC1A">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14364">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4AB05E">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92722">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F5958">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DCA7C">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A24E8">
            <w:pPr>
              <w:pStyle w:val="28"/>
              <w:bidi w:val="0"/>
            </w:pPr>
            <w:r>
              <w:t>0</w:t>
            </w:r>
          </w:p>
        </w:tc>
      </w:tr>
      <w:tr w14:paraId="540F9673">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5B987">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F71A4">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FFEC2B">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2947B">
            <w:pPr>
              <w:pStyle w:val="28"/>
              <w:bidi w:val="0"/>
            </w:pPr>
            <w:r>
              <w:t>864</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66ED0">
            <w:pPr>
              <w:pStyle w:val="28"/>
              <w:bidi w:val="0"/>
            </w:pPr>
            <w:r>
              <w:t>864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507B3">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11A17">
            <w:pPr>
              <w:pStyle w:val="28"/>
              <w:bidi w:val="0"/>
            </w:pPr>
            <w:r>
              <w:t>0</w:t>
            </w:r>
          </w:p>
        </w:tc>
      </w:tr>
      <w:tr w14:paraId="7076C9EF">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42F6B">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7AFEC">
            <w:pPr>
              <w:pStyle w:val="28"/>
              <w:bidi w:val="0"/>
            </w:pPr>
            <w:r>
              <w:t>马田支渠工程</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30E0AC">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02F07">
            <w:pPr>
              <w:pStyle w:val="28"/>
              <w:bidi w:val="0"/>
            </w:pPr>
            <w:r>
              <w:t>48</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C1650">
            <w:pPr>
              <w:pStyle w:val="28"/>
              <w:bidi w:val="0"/>
            </w:pPr>
            <w:r>
              <w:t>48</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B366C">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117BF">
            <w:pPr>
              <w:pStyle w:val="28"/>
              <w:bidi w:val="0"/>
            </w:pPr>
            <w:r>
              <w:t>0</w:t>
            </w:r>
          </w:p>
        </w:tc>
      </w:tr>
      <w:tr w14:paraId="044AB44C">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8BCDF">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1FC76">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75CCE">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F631D0">
            <w:pPr>
              <w:pStyle w:val="28"/>
              <w:bidi w:val="0"/>
            </w:pPr>
            <w:r>
              <w:t>1152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49E845">
            <w:pPr>
              <w:pStyle w:val="28"/>
              <w:bidi w:val="0"/>
            </w:pPr>
            <w:r>
              <w:t>1152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3CCCB">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3FA55">
            <w:pPr>
              <w:pStyle w:val="28"/>
              <w:bidi w:val="0"/>
            </w:pPr>
            <w:r>
              <w:t>0</w:t>
            </w:r>
          </w:p>
        </w:tc>
      </w:tr>
      <w:tr w14:paraId="5CE0F34B">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85C1D">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BD030">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7017F">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EBBF0">
            <w:pPr>
              <w:pStyle w:val="28"/>
              <w:bidi w:val="0"/>
            </w:pPr>
            <w:r>
              <w:t>1152</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0A91E">
            <w:pPr>
              <w:pStyle w:val="28"/>
              <w:bidi w:val="0"/>
            </w:pPr>
            <w:r>
              <w:t>1152</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E885A">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43472">
            <w:pPr>
              <w:pStyle w:val="28"/>
              <w:bidi w:val="0"/>
            </w:pPr>
            <w:r>
              <w:t>0</w:t>
            </w:r>
          </w:p>
        </w:tc>
      </w:tr>
      <w:tr w14:paraId="0CBE4592">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42C39">
            <w:pPr>
              <w:pStyle w:val="28"/>
              <w:bidi w:val="0"/>
            </w:pPr>
          </w:p>
        </w:tc>
        <w:tc>
          <w:tcPr>
            <w:tcW w:w="948"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E0D39">
            <w:pPr>
              <w:pStyle w:val="28"/>
              <w:bidi w:val="0"/>
            </w:pPr>
            <w:r>
              <w:rPr>
                <w:rFonts w:hint="eastAsia"/>
              </w:rPr>
              <w:t>合计</w:t>
            </w: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BC2C4">
            <w:pPr>
              <w:pStyle w:val="28"/>
              <w:bidi w:val="0"/>
            </w:pPr>
            <w:r>
              <w:rPr>
                <w:rFonts w:hint="eastAsia"/>
              </w:rPr>
              <w:t>废水量</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0CC2C">
            <w:pPr>
              <w:pStyle w:val="28"/>
              <w:bidi w:val="0"/>
            </w:pPr>
            <w:r>
              <w:t xml:space="preserve">2891 </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350AC">
            <w:pPr>
              <w:pStyle w:val="28"/>
              <w:bidi w:val="0"/>
            </w:pPr>
            <w:r>
              <w:t>2891.04</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27DB4">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CAC16">
            <w:pPr>
              <w:pStyle w:val="28"/>
              <w:bidi w:val="0"/>
            </w:pPr>
            <w:r>
              <w:t>0</w:t>
            </w:r>
          </w:p>
        </w:tc>
      </w:tr>
      <w:tr w14:paraId="0354460F">
        <w:tblPrEx>
          <w:tblCellMar>
            <w:top w:w="0" w:type="dxa"/>
            <w:left w:w="108" w:type="dxa"/>
            <w:bottom w:w="0" w:type="dxa"/>
            <w:right w:w="108" w:type="dxa"/>
          </w:tblCellMar>
        </w:tblPrEx>
        <w:trPr>
          <w:trHeight w:val="28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188C3">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F6461">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FE5B3">
            <w:pPr>
              <w:pStyle w:val="28"/>
              <w:bidi w:val="0"/>
            </w:pPr>
            <w:r>
              <w:t>COD</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E8DC0">
            <w:pPr>
              <w:pStyle w:val="28"/>
              <w:bidi w:val="0"/>
            </w:pPr>
            <w:r>
              <w:t xml:space="preserve">62784.08 </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0426D">
            <w:pPr>
              <w:pStyle w:val="28"/>
              <w:bidi w:val="0"/>
            </w:pPr>
            <w:r>
              <w:t xml:space="preserve">62784.08 </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8ABF3">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4064B">
            <w:pPr>
              <w:pStyle w:val="28"/>
              <w:bidi w:val="0"/>
            </w:pPr>
            <w:r>
              <w:t>0</w:t>
            </w:r>
          </w:p>
        </w:tc>
      </w:tr>
      <w:tr w14:paraId="2B295FCE">
        <w:tblPrEx>
          <w:tblCellMar>
            <w:top w:w="0" w:type="dxa"/>
            <w:left w:w="108" w:type="dxa"/>
            <w:bottom w:w="0" w:type="dxa"/>
            <w:right w:w="108" w:type="dxa"/>
          </w:tblCellMar>
        </w:tblPrEx>
        <w:trPr>
          <w:trHeight w:val="300" w:hRule="atLeast"/>
        </w:trPr>
        <w:tc>
          <w:tcPr>
            <w:tcW w:w="37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21E12">
            <w:pPr>
              <w:pStyle w:val="28"/>
              <w:bidi w:val="0"/>
            </w:pPr>
          </w:p>
        </w:tc>
        <w:tc>
          <w:tcPr>
            <w:tcW w:w="948"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4F5921">
            <w:pPr>
              <w:pStyle w:val="28"/>
              <w:bidi w:val="0"/>
            </w:pPr>
          </w:p>
        </w:tc>
        <w:tc>
          <w:tcPr>
            <w:tcW w:w="74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31E31">
            <w:pPr>
              <w:pStyle w:val="28"/>
              <w:bidi w:val="0"/>
            </w:pPr>
            <w:r>
              <w:t>NH3-N</w:t>
            </w:r>
          </w:p>
        </w:tc>
        <w:tc>
          <w:tcPr>
            <w:tcW w:w="18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DECD4">
            <w:pPr>
              <w:pStyle w:val="28"/>
              <w:bidi w:val="0"/>
            </w:pPr>
            <w:r>
              <w:t xml:space="preserve">62784.08 </w:t>
            </w:r>
          </w:p>
        </w:tc>
        <w:tc>
          <w:tcPr>
            <w:tcW w:w="14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36C81">
            <w:pPr>
              <w:pStyle w:val="28"/>
              <w:bidi w:val="0"/>
            </w:pPr>
            <w:r>
              <w:t xml:space="preserve">62784.08 </w:t>
            </w:r>
          </w:p>
        </w:tc>
        <w:tc>
          <w:tcPr>
            <w:tcW w:w="111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FC24D">
            <w:pPr>
              <w:pStyle w:val="28"/>
              <w:bidi w:val="0"/>
            </w:pPr>
            <w:r>
              <w:t>0</w:t>
            </w:r>
          </w:p>
        </w:tc>
        <w:tc>
          <w:tcPr>
            <w:tcW w:w="132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6BA72">
            <w:pPr>
              <w:pStyle w:val="28"/>
              <w:bidi w:val="0"/>
            </w:pPr>
            <w:r>
              <w:t>0</w:t>
            </w:r>
          </w:p>
        </w:tc>
      </w:tr>
    </w:tbl>
    <w:p w14:paraId="6E39254C">
      <w:pPr>
        <w:spacing w:line="240" w:lineRule="auto"/>
        <w:rPr>
          <w:b/>
          <w:bCs/>
          <w:color w:val="0000FF"/>
          <w:sz w:val="20"/>
          <w:szCs w:val="20"/>
        </w:rPr>
      </w:pPr>
      <w:r>
        <w:rPr>
          <w:rFonts w:hint="eastAsia"/>
          <w:b/>
          <w:bCs/>
          <w:color w:val="0000FF"/>
          <w:sz w:val="20"/>
          <w:szCs w:val="20"/>
        </w:rPr>
        <w:t>*部分工程包含多个管理段，管理段情况详见表2-1-3</w:t>
      </w:r>
    </w:p>
    <w:p w14:paraId="73374B62">
      <w:pPr>
        <w:ind w:firstLine="480"/>
        <w:jc w:val="both"/>
        <w:rPr>
          <w:rFonts w:cs="Times New Roman"/>
          <w:color w:val="0000FF"/>
        </w:rPr>
      </w:pPr>
      <w:r>
        <w:rPr>
          <w:rFonts w:hint="eastAsia" w:cs="Times New Roman"/>
          <w:color w:val="0000FF"/>
        </w:rPr>
        <w:t>②处理方式可行性</w:t>
      </w:r>
    </w:p>
    <w:p w14:paraId="307245EE">
      <w:pPr>
        <w:ind w:firstLine="480"/>
        <w:jc w:val="both"/>
        <w:rPr>
          <w:rFonts w:cs="Times New Roman"/>
          <w:color w:val="0000FF"/>
        </w:rPr>
      </w:pPr>
      <w:r>
        <w:rPr>
          <w:rFonts w:hint="eastAsia" w:cs="Times New Roman"/>
          <w:color w:val="0000FF"/>
        </w:rPr>
        <w:t>其中淠河总干渠戚家桥管理分局城南管理段位于六安市城区，运营期生活污水经污水处理措施预处理后经市政污水管网排至六安市城南生活污水处理厂，本次改造项目实施后，不新增管理人员和生活污水量，现状生活污水管网已接通，六安市城南生活污水处理厂运行稳定，出污水水质可达到《城镇污水处理厂污染物排放标准》（18918-2002）一级A标准。</w:t>
      </w:r>
    </w:p>
    <w:p w14:paraId="6AADB4D6">
      <w:pPr>
        <w:ind w:firstLine="480"/>
        <w:jc w:val="both"/>
        <w:rPr>
          <w:rFonts w:cs="Times New Roman"/>
          <w:color w:val="0000FF"/>
        </w:rPr>
      </w:pPr>
      <w:r>
        <w:rPr>
          <w:rFonts w:hint="eastAsia" w:cs="Times New Roman"/>
          <w:color w:val="0000FF"/>
        </w:rPr>
        <w:t>其他管理房施工人员较少的管理段生活污水经预处理后达标就农利用，安徽省</w:t>
      </w:r>
      <w:r>
        <w:rPr>
          <w:rFonts w:hint="eastAsia" w:cs="Times New Roman"/>
          <w:color w:val="0000FF"/>
          <w:lang w:eastAsia="zh-CN"/>
        </w:rPr>
        <w:t>朱集灌区</w:t>
      </w:r>
      <w:r>
        <w:rPr>
          <w:rFonts w:hint="eastAsia" w:cs="Times New Roman"/>
          <w:color w:val="0000FF"/>
        </w:rPr>
        <w:t>管理总局将军岭管理处生活污水经污水处理措施处理后定期清运至将军岭生活污水处理厂，将军岭生活污水处理厂现状情况如下：</w:t>
      </w:r>
    </w:p>
    <w:p w14:paraId="176D13E3">
      <w:pPr>
        <w:rPr>
          <w:color w:val="0000FF"/>
        </w:rPr>
      </w:pPr>
      <w:r>
        <w:rPr>
          <w:rFonts w:hint="eastAsia"/>
          <w:color w:val="0000FF"/>
        </w:rPr>
        <w:t>表5-2-3  将军岭污水处理厂依托可行性一览表</w:t>
      </w:r>
    </w:p>
    <w:tbl>
      <w:tblPr>
        <w:tblStyle w:val="16"/>
        <w:tblW w:w="500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8"/>
        <w:gridCol w:w="1631"/>
        <w:gridCol w:w="1068"/>
        <w:gridCol w:w="1402"/>
        <w:gridCol w:w="1601"/>
        <w:gridCol w:w="934"/>
        <w:gridCol w:w="790"/>
        <w:gridCol w:w="1297"/>
      </w:tblGrid>
      <w:tr w14:paraId="1A8E1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310" w:type="pct"/>
            <w:shd w:val="clear" w:color="auto" w:fill="auto"/>
            <w:noWrap/>
            <w:vAlign w:val="center"/>
          </w:tcPr>
          <w:p w14:paraId="68B0473F">
            <w:pPr>
              <w:pStyle w:val="28"/>
              <w:bidi w:val="0"/>
            </w:pPr>
            <w:r>
              <w:t>项目名称</w:t>
            </w:r>
          </w:p>
        </w:tc>
        <w:tc>
          <w:tcPr>
            <w:tcW w:w="876" w:type="pct"/>
            <w:shd w:val="clear" w:color="auto" w:fill="auto"/>
            <w:noWrap/>
            <w:vAlign w:val="center"/>
          </w:tcPr>
          <w:p w14:paraId="0FB95802">
            <w:pPr>
              <w:pStyle w:val="28"/>
              <w:bidi w:val="0"/>
            </w:pPr>
            <w:r>
              <w:t>管理单位全称</w:t>
            </w:r>
          </w:p>
        </w:tc>
        <w:tc>
          <w:tcPr>
            <w:tcW w:w="574" w:type="pct"/>
            <w:shd w:val="clear" w:color="auto" w:fill="auto"/>
            <w:noWrap/>
            <w:vAlign w:val="center"/>
          </w:tcPr>
          <w:p w14:paraId="1D6A61A9">
            <w:pPr>
              <w:pStyle w:val="28"/>
              <w:bidi w:val="0"/>
            </w:pPr>
            <w:r>
              <w:t>管理单位位置</w:t>
            </w:r>
          </w:p>
        </w:tc>
        <w:tc>
          <w:tcPr>
            <w:tcW w:w="753" w:type="pct"/>
            <w:shd w:val="clear" w:color="auto" w:fill="auto"/>
            <w:noWrap/>
            <w:vAlign w:val="center"/>
          </w:tcPr>
          <w:p w14:paraId="5452ED0C">
            <w:pPr>
              <w:pStyle w:val="28"/>
              <w:bidi w:val="0"/>
            </w:pPr>
            <w:r>
              <w:rPr>
                <w:rFonts w:hint="eastAsia"/>
              </w:rPr>
              <w:t>周边乡镇污水处理厂名称</w:t>
            </w:r>
          </w:p>
        </w:tc>
        <w:tc>
          <w:tcPr>
            <w:tcW w:w="860" w:type="pct"/>
            <w:shd w:val="clear" w:color="auto" w:fill="auto"/>
            <w:noWrap/>
            <w:vAlign w:val="center"/>
          </w:tcPr>
          <w:p w14:paraId="131EDB9A">
            <w:pPr>
              <w:pStyle w:val="28"/>
              <w:bidi w:val="0"/>
            </w:pPr>
            <w:r>
              <w:rPr>
                <w:rFonts w:hint="eastAsia"/>
              </w:rPr>
              <w:t>具体位置、距离管理房距离km</w:t>
            </w:r>
          </w:p>
        </w:tc>
        <w:tc>
          <w:tcPr>
            <w:tcW w:w="502" w:type="pct"/>
            <w:shd w:val="clear" w:color="auto" w:fill="auto"/>
            <w:noWrap/>
            <w:vAlign w:val="center"/>
          </w:tcPr>
          <w:p w14:paraId="63D5E010">
            <w:pPr>
              <w:pStyle w:val="28"/>
              <w:bidi w:val="0"/>
            </w:pPr>
            <w:r>
              <w:rPr>
                <w:rFonts w:hint="eastAsia"/>
              </w:rPr>
              <w:t>处理规模m3/d</w:t>
            </w:r>
          </w:p>
        </w:tc>
        <w:tc>
          <w:tcPr>
            <w:tcW w:w="425" w:type="pct"/>
            <w:shd w:val="clear" w:color="auto" w:fill="auto"/>
            <w:noWrap/>
            <w:vAlign w:val="center"/>
          </w:tcPr>
          <w:p w14:paraId="72815DC2">
            <w:pPr>
              <w:pStyle w:val="28"/>
              <w:bidi w:val="0"/>
            </w:pPr>
            <w:r>
              <w:rPr>
                <w:rFonts w:hint="eastAsia"/>
              </w:rPr>
              <w:t>现状处理水量m3/d</w:t>
            </w:r>
          </w:p>
        </w:tc>
        <w:tc>
          <w:tcPr>
            <w:tcW w:w="696" w:type="pct"/>
            <w:shd w:val="clear" w:color="auto" w:fill="auto"/>
            <w:noWrap/>
            <w:vAlign w:val="center"/>
          </w:tcPr>
          <w:p w14:paraId="0863EE02">
            <w:pPr>
              <w:pStyle w:val="28"/>
              <w:bidi w:val="0"/>
            </w:pPr>
            <w:r>
              <w:rPr>
                <w:rFonts w:hint="eastAsia"/>
              </w:rPr>
              <w:t>处理工艺</w:t>
            </w:r>
          </w:p>
        </w:tc>
      </w:tr>
      <w:tr w14:paraId="0920F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310" w:type="pct"/>
            <w:shd w:val="clear" w:color="auto" w:fill="auto"/>
            <w:vAlign w:val="center"/>
          </w:tcPr>
          <w:p w14:paraId="2017967B">
            <w:pPr>
              <w:pStyle w:val="28"/>
              <w:bidi w:val="0"/>
            </w:pPr>
            <w:r>
              <w:rPr>
                <w:rFonts w:hint="eastAsia"/>
              </w:rPr>
              <w:t>楚河总干渠工程</w:t>
            </w:r>
          </w:p>
        </w:tc>
        <w:tc>
          <w:tcPr>
            <w:tcW w:w="876" w:type="pct"/>
            <w:shd w:val="clear" w:color="auto" w:fill="auto"/>
            <w:noWrap/>
            <w:vAlign w:val="center"/>
          </w:tcPr>
          <w:p w14:paraId="22C0CF2B">
            <w:pPr>
              <w:pStyle w:val="28"/>
              <w:bidi w:val="0"/>
            </w:pPr>
            <w:r>
              <w:t>安徽省</w:t>
            </w:r>
            <w:r>
              <w:rPr>
                <w:rFonts w:hint="eastAsia"/>
                <w:lang w:eastAsia="zh-CN"/>
              </w:rPr>
              <w:t>朱集灌区</w:t>
            </w:r>
            <w:r>
              <w:t>管理总局将军岭管理处</w:t>
            </w:r>
          </w:p>
        </w:tc>
        <w:tc>
          <w:tcPr>
            <w:tcW w:w="574" w:type="pct"/>
            <w:shd w:val="clear" w:color="auto" w:fill="auto"/>
            <w:noWrap/>
            <w:vAlign w:val="center"/>
          </w:tcPr>
          <w:p w14:paraId="1C4F6718">
            <w:pPr>
              <w:pStyle w:val="28"/>
              <w:bidi w:val="0"/>
            </w:pPr>
            <w:r>
              <w:t>合肥市蜀山区小庙镇</w:t>
            </w:r>
          </w:p>
        </w:tc>
        <w:tc>
          <w:tcPr>
            <w:tcW w:w="753" w:type="pct"/>
            <w:shd w:val="clear" w:color="auto" w:fill="auto"/>
            <w:noWrap/>
            <w:vAlign w:val="center"/>
          </w:tcPr>
          <w:p w14:paraId="088B4B51">
            <w:pPr>
              <w:pStyle w:val="28"/>
              <w:bidi w:val="0"/>
            </w:pPr>
            <w:r>
              <w:rPr>
                <w:rFonts w:hint="eastAsia"/>
              </w:rPr>
              <w:t>将军岭污水处理厂</w:t>
            </w:r>
          </w:p>
        </w:tc>
        <w:tc>
          <w:tcPr>
            <w:tcW w:w="860" w:type="pct"/>
            <w:shd w:val="clear" w:color="auto" w:fill="auto"/>
            <w:noWrap/>
            <w:vAlign w:val="center"/>
          </w:tcPr>
          <w:p w14:paraId="14515BA5">
            <w:pPr>
              <w:pStyle w:val="28"/>
              <w:bidi w:val="0"/>
            </w:pPr>
            <w:r>
              <w:rPr>
                <w:rFonts w:hint="eastAsia"/>
              </w:rPr>
              <w:t>S93机场高度与X047县道交口东北角，距离管理段2.49km</w:t>
            </w:r>
          </w:p>
        </w:tc>
        <w:tc>
          <w:tcPr>
            <w:tcW w:w="502" w:type="pct"/>
            <w:shd w:val="clear" w:color="auto" w:fill="auto"/>
            <w:noWrap/>
            <w:vAlign w:val="center"/>
          </w:tcPr>
          <w:p w14:paraId="13F5A49C">
            <w:pPr>
              <w:pStyle w:val="28"/>
              <w:bidi w:val="0"/>
            </w:pPr>
            <w:r>
              <w:rPr>
                <w:rFonts w:hint="eastAsia"/>
              </w:rPr>
              <w:t>100</w:t>
            </w:r>
          </w:p>
        </w:tc>
        <w:tc>
          <w:tcPr>
            <w:tcW w:w="425" w:type="pct"/>
            <w:shd w:val="clear" w:color="auto" w:fill="auto"/>
            <w:noWrap/>
            <w:vAlign w:val="center"/>
          </w:tcPr>
          <w:p w14:paraId="15528CE6">
            <w:pPr>
              <w:pStyle w:val="28"/>
              <w:bidi w:val="0"/>
            </w:pPr>
            <w:r>
              <w:rPr>
                <w:rFonts w:hint="eastAsia"/>
              </w:rPr>
              <w:t>65</w:t>
            </w:r>
          </w:p>
        </w:tc>
        <w:tc>
          <w:tcPr>
            <w:tcW w:w="696" w:type="pct"/>
            <w:shd w:val="clear" w:color="auto" w:fill="auto"/>
            <w:noWrap/>
            <w:vAlign w:val="center"/>
          </w:tcPr>
          <w:p w14:paraId="2FB11E22">
            <w:pPr>
              <w:pStyle w:val="28"/>
              <w:bidi w:val="0"/>
            </w:pPr>
            <w:r>
              <w:rPr>
                <w:rFonts w:hint="eastAsia"/>
              </w:rPr>
              <w:t>机械格栅+调节池+提篮过滤器+A2O+MBR膜生物反应器+石英砂过滤器+人工湿地</w:t>
            </w:r>
          </w:p>
        </w:tc>
      </w:tr>
    </w:tbl>
    <w:p w14:paraId="27DC2922">
      <w:pPr>
        <w:spacing w:line="240" w:lineRule="auto"/>
        <w:jc w:val="center"/>
        <w:rPr>
          <w:rFonts w:cs="Times New Roman"/>
          <w:color w:val="0000FF"/>
        </w:rPr>
      </w:pPr>
    </w:p>
    <w:p w14:paraId="603BE2D4">
      <w:pPr>
        <w:ind w:firstLine="480"/>
        <w:jc w:val="both"/>
        <w:rPr>
          <w:rFonts w:cs="Times New Roman"/>
          <w:color w:val="0000FF"/>
        </w:rPr>
      </w:pPr>
      <w:r>
        <w:rPr>
          <w:rFonts w:hint="eastAsia" w:cs="Times New Roman"/>
          <w:color w:val="0000FF"/>
        </w:rPr>
        <w:t>由上表可知，污水处理距离管理段较近，污水里规模剩余35m</w:t>
      </w:r>
      <w:r>
        <w:rPr>
          <w:rFonts w:hint="eastAsia" w:cs="Times New Roman"/>
          <w:color w:val="0000FF"/>
          <w:vertAlign w:val="superscript"/>
        </w:rPr>
        <w:t>3</w:t>
      </w:r>
      <w:r>
        <w:rPr>
          <w:rFonts w:hint="eastAsia" w:cs="Times New Roman"/>
          <w:color w:val="0000FF"/>
        </w:rPr>
        <w:t>/d，满足本项目单次处理水量约10m</w:t>
      </w:r>
      <w:r>
        <w:rPr>
          <w:rFonts w:hint="eastAsia" w:cs="Times New Roman"/>
          <w:color w:val="0000FF"/>
          <w:vertAlign w:val="superscript"/>
        </w:rPr>
        <w:t>3</w:t>
      </w:r>
      <w:r>
        <w:rPr>
          <w:rFonts w:hint="eastAsia" w:cs="Times New Roman"/>
          <w:color w:val="0000FF"/>
        </w:rPr>
        <w:t>的需求，现状将军岭污水处理厂运行状况良好，处理达到《城镇污水处理厂污染物排放标准》（18918-2002）一级A标准和环巢湖流域的排放标准。</w:t>
      </w:r>
    </w:p>
    <w:p w14:paraId="6734B076">
      <w:pPr>
        <w:ind w:firstLine="480"/>
        <w:jc w:val="both"/>
        <w:rPr>
          <w:rFonts w:cs="Times New Roman"/>
          <w:color w:val="0000FF"/>
          <w:kern w:val="2"/>
        </w:rPr>
      </w:pPr>
      <w:r>
        <w:rPr>
          <w:rFonts w:hint="eastAsia" w:cs="Times New Roman"/>
          <w:color w:val="0000FF"/>
          <w:kern w:val="2"/>
        </w:rPr>
        <w:t>本次评价要求建设单位和管理单位采用就农处理的方式处理生活污水需要定期对水质进行监测，达到</w:t>
      </w:r>
      <w:r>
        <w:rPr>
          <w:rFonts w:hint="eastAsia" w:cs="Times New Roman"/>
          <w:color w:val="0000FF"/>
        </w:rPr>
        <w:t>《农田灌溉水质标准》（GB5084-2021）中“水田作物”标准后方可就农处理；采用转运至污水处理厂的</w:t>
      </w:r>
      <w:r>
        <w:rPr>
          <w:rFonts w:hint="eastAsia" w:cs="Times New Roman"/>
          <w:color w:val="0000FF"/>
          <w:kern w:val="2"/>
        </w:rPr>
        <w:t>在预定转运周期临近前3天，提前沟通污水处理厂，确保生活污水收集后可以直接转运至污水处理厂处理。</w:t>
      </w:r>
    </w:p>
    <w:p w14:paraId="2927883A">
      <w:pPr>
        <w:ind w:firstLine="480"/>
        <w:jc w:val="both"/>
        <w:rPr>
          <w:rFonts w:cs="Times New Roman"/>
          <w:color w:val="0000FF"/>
          <w:kern w:val="2"/>
        </w:rPr>
      </w:pPr>
      <w:r>
        <w:rPr>
          <w:rFonts w:hint="eastAsia" w:cs="Times New Roman"/>
          <w:color w:val="0000FF"/>
          <w:kern w:val="2"/>
        </w:rPr>
        <w:t>技改项目实施后，管理范围依托</w:t>
      </w:r>
      <w:r>
        <w:rPr>
          <w:rFonts w:hint="eastAsia" w:cs="Times New Roman"/>
          <w:color w:val="0000FF"/>
        </w:rPr>
        <w:t>现有污水处理设施和下游污水处理厂，在严格实行管理制度，定期监测、提前沟通的情况下，运营期生活污水处理方式可行，生活污水部不排放或者进入下游污水处理厂对区域地表水环境影响较小。</w:t>
      </w:r>
    </w:p>
    <w:p w14:paraId="15B8145C">
      <w:pPr>
        <w:tabs>
          <w:tab w:val="left" w:pos="0"/>
          <w:tab w:val="left" w:pos="420"/>
        </w:tabs>
        <w:jc w:val="center"/>
        <w:rPr>
          <w:rFonts w:cs="Times New Roman"/>
          <w:bCs/>
          <w:color w:val="0000FF"/>
        </w:rPr>
      </w:pPr>
      <w:r>
        <w:rPr>
          <w:rFonts w:eastAsia="黑体" w:cs="Times New Roman"/>
          <w:bCs/>
          <w:color w:val="0000FF"/>
        </w:rPr>
        <w:t>表5-2-</w:t>
      </w:r>
      <w:r>
        <w:rPr>
          <w:rFonts w:hint="eastAsia" w:eastAsia="黑体" w:cs="Times New Roman"/>
          <w:bCs/>
          <w:color w:val="0000FF"/>
        </w:rPr>
        <w:t>3</w:t>
      </w:r>
      <w:r>
        <w:rPr>
          <w:rFonts w:eastAsia="黑体" w:cs="Times New Roman"/>
          <w:bCs/>
          <w:color w:val="0000FF"/>
        </w:rPr>
        <w:t xml:space="preserve"> 地表水环境影响评价自查表</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670"/>
        <w:gridCol w:w="1434"/>
        <w:gridCol w:w="1038"/>
        <w:gridCol w:w="396"/>
        <w:gridCol w:w="446"/>
        <w:gridCol w:w="984"/>
        <w:gridCol w:w="477"/>
        <w:gridCol w:w="13"/>
        <w:gridCol w:w="719"/>
        <w:gridCol w:w="93"/>
        <w:gridCol w:w="97"/>
        <w:gridCol w:w="1458"/>
      </w:tblGrid>
      <w:tr w14:paraId="35B3B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1146" w:type="pct"/>
            <w:gridSpan w:val="2"/>
            <w:vAlign w:val="center"/>
          </w:tcPr>
          <w:p w14:paraId="2EA4591D">
            <w:pPr>
              <w:pStyle w:val="28"/>
              <w:bidi w:val="0"/>
            </w:pPr>
            <w:r>
              <w:t>工作内容</w:t>
            </w:r>
          </w:p>
        </w:tc>
        <w:tc>
          <w:tcPr>
            <w:tcW w:w="3852" w:type="pct"/>
            <w:gridSpan w:val="11"/>
            <w:vAlign w:val="center"/>
          </w:tcPr>
          <w:p w14:paraId="544641C5">
            <w:pPr>
              <w:pStyle w:val="28"/>
              <w:bidi w:val="0"/>
            </w:pPr>
            <w:r>
              <w:t>自查项目</w:t>
            </w:r>
          </w:p>
        </w:tc>
      </w:tr>
      <w:tr w14:paraId="69A01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restart"/>
            <w:vAlign w:val="center"/>
          </w:tcPr>
          <w:p w14:paraId="56BC5A8B">
            <w:pPr>
              <w:pStyle w:val="28"/>
              <w:bidi w:val="0"/>
            </w:pPr>
            <w:r>
              <w:t>影响识别</w:t>
            </w:r>
          </w:p>
        </w:tc>
        <w:tc>
          <w:tcPr>
            <w:tcW w:w="898" w:type="pct"/>
            <w:vAlign w:val="center"/>
          </w:tcPr>
          <w:p w14:paraId="2AA324D7">
            <w:pPr>
              <w:pStyle w:val="28"/>
              <w:bidi w:val="0"/>
            </w:pPr>
            <w:r>
              <w:t>影响类型</w:t>
            </w:r>
          </w:p>
        </w:tc>
        <w:tc>
          <w:tcPr>
            <w:tcW w:w="3852" w:type="pct"/>
            <w:gridSpan w:val="11"/>
            <w:vAlign w:val="center"/>
          </w:tcPr>
          <w:p w14:paraId="5DF32CBA">
            <w:pPr>
              <w:pStyle w:val="28"/>
              <w:bidi w:val="0"/>
            </w:pPr>
            <w:r>
              <w:t>水污染影响型</w:t>
            </w:r>
            <w:r>
              <w:rPr/>
              <w:sym w:font="Wingdings 2" w:char="0052"/>
            </w:r>
            <w:r>
              <w:t>；水文要素影响型</w:t>
            </w:r>
            <w:r>
              <w:rPr/>
              <w:sym w:font="Wingdings 2" w:char="0052"/>
            </w:r>
          </w:p>
        </w:tc>
      </w:tr>
      <w:tr w14:paraId="4C8EE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3D2D2505">
            <w:pPr>
              <w:pStyle w:val="28"/>
              <w:bidi w:val="0"/>
            </w:pPr>
          </w:p>
        </w:tc>
        <w:tc>
          <w:tcPr>
            <w:tcW w:w="898" w:type="pct"/>
            <w:vAlign w:val="center"/>
          </w:tcPr>
          <w:p w14:paraId="2E1296FA">
            <w:pPr>
              <w:pStyle w:val="28"/>
              <w:bidi w:val="0"/>
            </w:pPr>
            <w:r>
              <w:t>水环境保护目标</w:t>
            </w:r>
          </w:p>
        </w:tc>
        <w:tc>
          <w:tcPr>
            <w:tcW w:w="3852" w:type="pct"/>
            <w:gridSpan w:val="11"/>
            <w:vAlign w:val="center"/>
          </w:tcPr>
          <w:p w14:paraId="1028AD2E">
            <w:pPr>
              <w:pStyle w:val="28"/>
              <w:bidi w:val="0"/>
            </w:pPr>
            <w:r>
              <w:t>饮用水水源保护区</w:t>
            </w:r>
            <w:r>
              <w:rPr/>
              <w:sym w:font="Wingdings 2" w:char="0052"/>
            </w:r>
            <w:r>
              <w:t>；饮用水取水</w:t>
            </w:r>
            <w:r>
              <w:rPr>
                <w:rFonts w:hint="eastAsia"/>
              </w:rPr>
              <w:t>口</w:t>
            </w:r>
            <w:r>
              <w:rPr/>
              <w:sym w:font="Wingdings 2" w:char="0052"/>
            </w:r>
            <w:r>
              <w:t>；涉水的自然保护区☐；重要湿地☐；</w:t>
            </w:r>
          </w:p>
          <w:p w14:paraId="10A0A176">
            <w:pPr>
              <w:pStyle w:val="28"/>
              <w:bidi w:val="0"/>
            </w:pPr>
            <w:r>
              <w:t>重点保护与珍稀水生生物的栖息地☐；重要水生生物的自然产卵场及索饵场、越冬场和洄游通道、天然渔场等渔业水体□；涉水的风景名胜区☐；其他</w:t>
            </w:r>
            <w:r>
              <w:rPr/>
              <w:sym w:font="Wingdings 2" w:char="0052"/>
            </w:r>
          </w:p>
        </w:tc>
      </w:tr>
      <w:tr w14:paraId="2C32C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72D353A6">
            <w:pPr>
              <w:pStyle w:val="28"/>
              <w:bidi w:val="0"/>
            </w:pPr>
          </w:p>
        </w:tc>
        <w:tc>
          <w:tcPr>
            <w:tcW w:w="898" w:type="pct"/>
            <w:vMerge w:val="restart"/>
            <w:vAlign w:val="center"/>
          </w:tcPr>
          <w:p w14:paraId="2CA83332">
            <w:pPr>
              <w:pStyle w:val="28"/>
              <w:bidi w:val="0"/>
            </w:pPr>
            <w:r>
              <w:t>影响途径</w:t>
            </w:r>
          </w:p>
        </w:tc>
        <w:tc>
          <w:tcPr>
            <w:tcW w:w="2578" w:type="pct"/>
            <w:gridSpan w:val="7"/>
            <w:vAlign w:val="center"/>
          </w:tcPr>
          <w:p w14:paraId="69331AFE">
            <w:pPr>
              <w:pStyle w:val="28"/>
              <w:bidi w:val="0"/>
            </w:pPr>
            <w:r>
              <w:t>水污染影响型</w:t>
            </w:r>
          </w:p>
        </w:tc>
        <w:tc>
          <w:tcPr>
            <w:tcW w:w="1274" w:type="pct"/>
            <w:gridSpan w:val="4"/>
            <w:vAlign w:val="center"/>
          </w:tcPr>
          <w:p w14:paraId="62599A9D">
            <w:pPr>
              <w:pStyle w:val="28"/>
              <w:bidi w:val="0"/>
            </w:pPr>
            <w:r>
              <w:t>水文要素影响型</w:t>
            </w:r>
          </w:p>
        </w:tc>
      </w:tr>
      <w:tr w14:paraId="3F87F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798C7F68">
            <w:pPr>
              <w:pStyle w:val="28"/>
              <w:bidi w:val="0"/>
            </w:pPr>
          </w:p>
        </w:tc>
        <w:tc>
          <w:tcPr>
            <w:tcW w:w="898" w:type="pct"/>
            <w:vMerge w:val="continue"/>
            <w:vAlign w:val="center"/>
          </w:tcPr>
          <w:p w14:paraId="1C65A72A">
            <w:pPr>
              <w:pStyle w:val="28"/>
              <w:bidi w:val="0"/>
            </w:pPr>
          </w:p>
        </w:tc>
        <w:tc>
          <w:tcPr>
            <w:tcW w:w="2578" w:type="pct"/>
            <w:gridSpan w:val="7"/>
            <w:vAlign w:val="center"/>
          </w:tcPr>
          <w:p w14:paraId="5AB76007">
            <w:pPr>
              <w:pStyle w:val="28"/>
              <w:bidi w:val="0"/>
            </w:pPr>
            <w:r>
              <w:t>直接排放☐；间接排放；其他</w:t>
            </w:r>
            <w:r>
              <w:rPr/>
              <w:sym w:font="Wingdings 2" w:char="0052"/>
            </w:r>
          </w:p>
        </w:tc>
        <w:tc>
          <w:tcPr>
            <w:tcW w:w="1274" w:type="pct"/>
            <w:gridSpan w:val="4"/>
            <w:vAlign w:val="center"/>
          </w:tcPr>
          <w:p w14:paraId="3579C3FD">
            <w:pPr>
              <w:pStyle w:val="28"/>
              <w:bidi w:val="0"/>
            </w:pPr>
            <w:r>
              <w:t>水温☐；径流</w:t>
            </w:r>
            <w:r>
              <w:rPr/>
              <w:sym w:font="Wingdings 2" w:char="0052"/>
            </w:r>
            <w:r>
              <w:t>；水域面积☐</w:t>
            </w:r>
          </w:p>
        </w:tc>
      </w:tr>
      <w:tr w14:paraId="387DA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7B7B218A">
            <w:pPr>
              <w:pStyle w:val="28"/>
              <w:bidi w:val="0"/>
            </w:pPr>
          </w:p>
        </w:tc>
        <w:tc>
          <w:tcPr>
            <w:tcW w:w="898" w:type="pct"/>
            <w:vAlign w:val="center"/>
          </w:tcPr>
          <w:p w14:paraId="08E49F40">
            <w:pPr>
              <w:pStyle w:val="28"/>
              <w:bidi w:val="0"/>
            </w:pPr>
            <w:r>
              <w:t>影响因子</w:t>
            </w:r>
          </w:p>
        </w:tc>
        <w:tc>
          <w:tcPr>
            <w:tcW w:w="2578" w:type="pct"/>
            <w:gridSpan w:val="7"/>
            <w:vAlign w:val="center"/>
          </w:tcPr>
          <w:p w14:paraId="565B9698">
            <w:pPr>
              <w:pStyle w:val="28"/>
              <w:bidi w:val="0"/>
            </w:pPr>
            <w:r>
              <w:t>持久性污染物☐；有毒有害污染物☐；非持久性污染物</w:t>
            </w:r>
            <w:r>
              <w:rPr/>
              <w:sym w:font="Wingdings 2" w:char="0052"/>
            </w:r>
            <w:r>
              <w:t>；</w:t>
            </w:r>
          </w:p>
          <w:p w14:paraId="6103E418">
            <w:pPr>
              <w:pStyle w:val="28"/>
              <w:bidi w:val="0"/>
            </w:pPr>
            <w:r>
              <w:t>pH值；热污染☐；富营养化☐；其他☐</w:t>
            </w:r>
          </w:p>
        </w:tc>
        <w:tc>
          <w:tcPr>
            <w:tcW w:w="1274" w:type="pct"/>
            <w:gridSpan w:val="4"/>
            <w:vAlign w:val="center"/>
          </w:tcPr>
          <w:p w14:paraId="17ECB8C4">
            <w:pPr>
              <w:pStyle w:val="28"/>
              <w:bidi w:val="0"/>
            </w:pPr>
            <w:r>
              <w:t>水温☐；水位（水深）</w:t>
            </w:r>
            <w:r>
              <w:rPr/>
              <w:sym w:font="Wingdings 2" w:char="0052"/>
            </w:r>
            <w:r>
              <w:t>；流速</w:t>
            </w:r>
            <w:r>
              <w:rPr/>
              <w:sym w:font="Wingdings 2" w:char="0052"/>
            </w:r>
            <w:r>
              <w:t>；流量</w:t>
            </w:r>
            <w:r>
              <w:rPr/>
              <w:sym w:font="Wingdings 2" w:char="0052"/>
            </w:r>
            <w:r>
              <w:t>；其他☐</w:t>
            </w:r>
          </w:p>
        </w:tc>
      </w:tr>
      <w:tr w14:paraId="4C795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46" w:type="pct"/>
            <w:gridSpan w:val="2"/>
            <w:vMerge w:val="restart"/>
            <w:vAlign w:val="center"/>
          </w:tcPr>
          <w:p w14:paraId="62FCA71E">
            <w:pPr>
              <w:pStyle w:val="28"/>
              <w:bidi w:val="0"/>
            </w:pPr>
            <w:r>
              <w:t>评价等级</w:t>
            </w:r>
          </w:p>
        </w:tc>
        <w:tc>
          <w:tcPr>
            <w:tcW w:w="2578" w:type="pct"/>
            <w:gridSpan w:val="7"/>
            <w:vAlign w:val="center"/>
          </w:tcPr>
          <w:p w14:paraId="104E9E53">
            <w:pPr>
              <w:pStyle w:val="28"/>
              <w:bidi w:val="0"/>
            </w:pPr>
            <w:r>
              <w:t>水污染影响型</w:t>
            </w:r>
          </w:p>
        </w:tc>
        <w:tc>
          <w:tcPr>
            <w:tcW w:w="1274" w:type="pct"/>
            <w:gridSpan w:val="4"/>
            <w:vAlign w:val="center"/>
          </w:tcPr>
          <w:p w14:paraId="546B4CA5">
            <w:pPr>
              <w:pStyle w:val="28"/>
              <w:bidi w:val="0"/>
            </w:pPr>
            <w:r>
              <w:t>水文要素影响型</w:t>
            </w:r>
          </w:p>
        </w:tc>
      </w:tr>
      <w:tr w14:paraId="5A6F09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46" w:type="pct"/>
            <w:gridSpan w:val="2"/>
            <w:vMerge w:val="continue"/>
            <w:vAlign w:val="center"/>
          </w:tcPr>
          <w:p w14:paraId="636AB5FB">
            <w:pPr>
              <w:pStyle w:val="28"/>
              <w:bidi w:val="0"/>
            </w:pPr>
          </w:p>
        </w:tc>
        <w:tc>
          <w:tcPr>
            <w:tcW w:w="2578" w:type="pct"/>
            <w:gridSpan w:val="7"/>
            <w:vAlign w:val="center"/>
          </w:tcPr>
          <w:p w14:paraId="73A341DD">
            <w:pPr>
              <w:pStyle w:val="28"/>
              <w:bidi w:val="0"/>
            </w:pPr>
            <w:r>
              <w:t>一级☐；二级☐；三级A☐；三级B</w:t>
            </w:r>
            <w:r>
              <w:rPr/>
              <w:sym w:font="Wingdings 2" w:char="0052"/>
            </w:r>
            <w:r>
              <w:t>；</w:t>
            </w:r>
          </w:p>
        </w:tc>
        <w:tc>
          <w:tcPr>
            <w:tcW w:w="1274" w:type="pct"/>
            <w:gridSpan w:val="4"/>
            <w:vAlign w:val="center"/>
          </w:tcPr>
          <w:p w14:paraId="5E3147AC">
            <w:pPr>
              <w:pStyle w:val="28"/>
              <w:bidi w:val="0"/>
            </w:pPr>
            <w:r>
              <w:t>一级</w:t>
            </w:r>
            <w:r>
              <w:rPr/>
              <w:sym w:font="Wingdings 2" w:char="0052"/>
            </w:r>
            <w:r>
              <w:t>；二级</w:t>
            </w:r>
            <w:r>
              <w:rPr/>
              <w:sym w:font="Wingdings 2" w:char="0052"/>
            </w:r>
            <w:r>
              <w:t>；三级</w:t>
            </w:r>
            <w:r>
              <w:rPr/>
              <w:sym w:font="Wingdings 2" w:char="0052"/>
            </w:r>
            <w:r>
              <w:t>；</w:t>
            </w:r>
          </w:p>
        </w:tc>
      </w:tr>
      <w:tr w14:paraId="2F4DB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restart"/>
            <w:vAlign w:val="center"/>
          </w:tcPr>
          <w:p w14:paraId="579AF242">
            <w:pPr>
              <w:pStyle w:val="28"/>
              <w:bidi w:val="0"/>
            </w:pPr>
            <w:r>
              <w:t>现状调查</w:t>
            </w:r>
          </w:p>
        </w:tc>
        <w:tc>
          <w:tcPr>
            <w:tcW w:w="898" w:type="pct"/>
            <w:vMerge w:val="restart"/>
            <w:vAlign w:val="center"/>
          </w:tcPr>
          <w:p w14:paraId="56B888B1">
            <w:pPr>
              <w:pStyle w:val="28"/>
              <w:bidi w:val="0"/>
            </w:pPr>
            <w:r>
              <w:t>区域污染源</w:t>
            </w:r>
          </w:p>
        </w:tc>
        <w:tc>
          <w:tcPr>
            <w:tcW w:w="2578" w:type="pct"/>
            <w:gridSpan w:val="7"/>
            <w:vAlign w:val="center"/>
          </w:tcPr>
          <w:p w14:paraId="6766B655">
            <w:pPr>
              <w:pStyle w:val="28"/>
              <w:bidi w:val="0"/>
            </w:pPr>
            <w:r>
              <w:t>调查项目</w:t>
            </w:r>
          </w:p>
        </w:tc>
        <w:tc>
          <w:tcPr>
            <w:tcW w:w="1274" w:type="pct"/>
            <w:gridSpan w:val="4"/>
            <w:vAlign w:val="center"/>
          </w:tcPr>
          <w:p w14:paraId="31D66A3B">
            <w:pPr>
              <w:pStyle w:val="28"/>
              <w:bidi w:val="0"/>
            </w:pPr>
            <w:r>
              <w:t>数据来源</w:t>
            </w:r>
          </w:p>
        </w:tc>
      </w:tr>
      <w:tr w14:paraId="023DA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4B865EEF">
            <w:pPr>
              <w:pStyle w:val="28"/>
              <w:bidi w:val="0"/>
            </w:pPr>
          </w:p>
        </w:tc>
        <w:tc>
          <w:tcPr>
            <w:tcW w:w="898" w:type="pct"/>
            <w:vMerge w:val="continue"/>
            <w:vAlign w:val="center"/>
          </w:tcPr>
          <w:p w14:paraId="27834742">
            <w:pPr>
              <w:pStyle w:val="28"/>
              <w:bidi w:val="0"/>
            </w:pPr>
          </w:p>
        </w:tc>
        <w:tc>
          <w:tcPr>
            <w:tcW w:w="1331" w:type="pct"/>
            <w:gridSpan w:val="2"/>
            <w:vAlign w:val="center"/>
          </w:tcPr>
          <w:p w14:paraId="69ED191C">
            <w:pPr>
              <w:pStyle w:val="28"/>
              <w:bidi w:val="0"/>
            </w:pPr>
            <w:r>
              <w:t>已建☐；在建☐；拟建☐；其他</w:t>
            </w:r>
            <w:r>
              <w:rPr/>
              <w:sym w:font="Wingdings 2" w:char="0052"/>
            </w:r>
            <w:r>
              <w:t>；</w:t>
            </w:r>
          </w:p>
        </w:tc>
        <w:tc>
          <w:tcPr>
            <w:tcW w:w="1246" w:type="pct"/>
            <w:gridSpan w:val="5"/>
            <w:vAlign w:val="center"/>
          </w:tcPr>
          <w:p w14:paraId="41C8BF2E">
            <w:pPr>
              <w:pStyle w:val="28"/>
              <w:bidi w:val="0"/>
            </w:pPr>
            <w:r>
              <w:t>拟替代的污染源☐；</w:t>
            </w:r>
          </w:p>
        </w:tc>
        <w:tc>
          <w:tcPr>
            <w:tcW w:w="1274" w:type="pct"/>
            <w:gridSpan w:val="4"/>
            <w:vAlign w:val="center"/>
          </w:tcPr>
          <w:p w14:paraId="4DD07C28">
            <w:pPr>
              <w:pStyle w:val="28"/>
              <w:bidi w:val="0"/>
            </w:pPr>
            <w:r>
              <w:t>排污许可证☐；环评☐；环保验收☐；既有实测☐；现场监测☐；入河排放数据☐；其他☐</w:t>
            </w:r>
          </w:p>
        </w:tc>
      </w:tr>
      <w:tr w14:paraId="70910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00B2F797">
            <w:pPr>
              <w:pStyle w:val="28"/>
              <w:bidi w:val="0"/>
            </w:pPr>
          </w:p>
        </w:tc>
        <w:tc>
          <w:tcPr>
            <w:tcW w:w="898" w:type="pct"/>
            <w:vMerge w:val="restart"/>
            <w:vAlign w:val="center"/>
          </w:tcPr>
          <w:p w14:paraId="19C3DE7C">
            <w:pPr>
              <w:pStyle w:val="28"/>
              <w:bidi w:val="0"/>
            </w:pPr>
            <w:r>
              <w:t>受影响水体水环境质量</w:t>
            </w:r>
          </w:p>
        </w:tc>
        <w:tc>
          <w:tcPr>
            <w:tcW w:w="2578" w:type="pct"/>
            <w:gridSpan w:val="7"/>
            <w:vAlign w:val="center"/>
          </w:tcPr>
          <w:p w14:paraId="6C81D212">
            <w:pPr>
              <w:pStyle w:val="28"/>
              <w:bidi w:val="0"/>
            </w:pPr>
            <w:r>
              <w:t>调查项目</w:t>
            </w:r>
          </w:p>
        </w:tc>
        <w:tc>
          <w:tcPr>
            <w:tcW w:w="1274" w:type="pct"/>
            <w:gridSpan w:val="4"/>
            <w:vAlign w:val="center"/>
          </w:tcPr>
          <w:p w14:paraId="0E54B2FD">
            <w:pPr>
              <w:pStyle w:val="28"/>
              <w:bidi w:val="0"/>
            </w:pPr>
            <w:r>
              <w:t>数据来源</w:t>
            </w:r>
          </w:p>
        </w:tc>
      </w:tr>
      <w:tr w14:paraId="6E569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247" w:type="pct"/>
            <w:vMerge w:val="continue"/>
            <w:vAlign w:val="center"/>
          </w:tcPr>
          <w:p w14:paraId="31EFC2C7">
            <w:pPr>
              <w:pStyle w:val="28"/>
              <w:bidi w:val="0"/>
            </w:pPr>
          </w:p>
        </w:tc>
        <w:tc>
          <w:tcPr>
            <w:tcW w:w="898" w:type="pct"/>
            <w:vMerge w:val="continue"/>
            <w:vAlign w:val="center"/>
          </w:tcPr>
          <w:p w14:paraId="57ABF921">
            <w:pPr>
              <w:pStyle w:val="28"/>
              <w:bidi w:val="0"/>
            </w:pPr>
          </w:p>
        </w:tc>
        <w:tc>
          <w:tcPr>
            <w:tcW w:w="2578" w:type="pct"/>
            <w:gridSpan w:val="7"/>
            <w:vAlign w:val="center"/>
          </w:tcPr>
          <w:p w14:paraId="72C6503A">
            <w:pPr>
              <w:pStyle w:val="28"/>
              <w:bidi w:val="0"/>
            </w:pPr>
            <w:r>
              <w:t>丰水期</w:t>
            </w:r>
            <w:r>
              <w:rPr/>
              <w:sym w:font="Wingdings 2" w:char="00A3"/>
            </w:r>
            <w:r>
              <w:t>；平水期☐；枯水期</w:t>
            </w:r>
            <w:r>
              <w:rPr/>
              <w:sym w:font="Wingdings 2" w:char="00A3"/>
            </w:r>
            <w:r>
              <w:t>；冰封期☐；</w:t>
            </w:r>
          </w:p>
          <w:p w14:paraId="40F7B43B">
            <w:pPr>
              <w:pStyle w:val="28"/>
              <w:bidi w:val="0"/>
            </w:pPr>
            <w:r>
              <w:t>春季</w:t>
            </w:r>
            <w:r>
              <w:rPr/>
              <w:sym w:font="Wingdings 2" w:char="0052"/>
            </w:r>
            <w:r>
              <w:t>；夏季☐；秋季☐；冬季☐；</w:t>
            </w:r>
          </w:p>
        </w:tc>
        <w:tc>
          <w:tcPr>
            <w:tcW w:w="1274" w:type="pct"/>
            <w:gridSpan w:val="4"/>
            <w:vAlign w:val="center"/>
          </w:tcPr>
          <w:p w14:paraId="3186E069">
            <w:pPr>
              <w:pStyle w:val="28"/>
              <w:bidi w:val="0"/>
            </w:pPr>
            <w:r>
              <w:t>生态环境保护主管部门</w:t>
            </w:r>
            <w:r>
              <w:rPr/>
              <w:sym w:font="Wingdings 2" w:char="0052"/>
            </w:r>
            <w:r>
              <w:t>；补充监测</w:t>
            </w:r>
            <w:r>
              <w:rPr/>
              <w:sym w:font="Wingdings 2" w:char="0052"/>
            </w:r>
            <w:r>
              <w:t>；其他☐；</w:t>
            </w:r>
          </w:p>
        </w:tc>
      </w:tr>
      <w:tr w14:paraId="138C8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6F1677EB">
            <w:pPr>
              <w:pStyle w:val="28"/>
              <w:bidi w:val="0"/>
            </w:pPr>
          </w:p>
        </w:tc>
        <w:tc>
          <w:tcPr>
            <w:tcW w:w="898" w:type="pct"/>
            <w:vAlign w:val="center"/>
          </w:tcPr>
          <w:p w14:paraId="72E698EC">
            <w:pPr>
              <w:pStyle w:val="28"/>
              <w:bidi w:val="0"/>
            </w:pPr>
            <w:r>
              <w:t>区域水资源开发利用状况</w:t>
            </w:r>
          </w:p>
        </w:tc>
        <w:tc>
          <w:tcPr>
            <w:tcW w:w="3852" w:type="pct"/>
            <w:gridSpan w:val="11"/>
            <w:vAlign w:val="center"/>
          </w:tcPr>
          <w:p w14:paraId="03F6B389">
            <w:pPr>
              <w:pStyle w:val="28"/>
              <w:bidi w:val="0"/>
            </w:pPr>
            <w:r>
              <w:t>未开发☐；开发量40%以下☐；开发量40%以上</w:t>
            </w:r>
            <w:r>
              <w:rPr/>
              <w:sym w:font="Wingdings 2" w:char="0052"/>
            </w:r>
            <w:r>
              <w:t>；</w:t>
            </w:r>
          </w:p>
        </w:tc>
      </w:tr>
      <w:tr w14:paraId="6A4F3E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3D73B6DB">
            <w:pPr>
              <w:pStyle w:val="28"/>
              <w:bidi w:val="0"/>
            </w:pPr>
          </w:p>
        </w:tc>
        <w:tc>
          <w:tcPr>
            <w:tcW w:w="898" w:type="pct"/>
            <w:vMerge w:val="restart"/>
            <w:vAlign w:val="center"/>
          </w:tcPr>
          <w:p w14:paraId="68564C79">
            <w:pPr>
              <w:pStyle w:val="28"/>
              <w:bidi w:val="0"/>
            </w:pPr>
            <w:r>
              <w:t>水文情势调查</w:t>
            </w:r>
          </w:p>
        </w:tc>
        <w:tc>
          <w:tcPr>
            <w:tcW w:w="2578" w:type="pct"/>
            <w:gridSpan w:val="7"/>
            <w:vAlign w:val="center"/>
          </w:tcPr>
          <w:p w14:paraId="2B3DE799">
            <w:pPr>
              <w:pStyle w:val="28"/>
              <w:bidi w:val="0"/>
            </w:pPr>
            <w:r>
              <w:t>调查时期</w:t>
            </w:r>
          </w:p>
        </w:tc>
        <w:tc>
          <w:tcPr>
            <w:tcW w:w="1274" w:type="pct"/>
            <w:gridSpan w:val="4"/>
            <w:vAlign w:val="center"/>
          </w:tcPr>
          <w:p w14:paraId="465B6C70">
            <w:pPr>
              <w:pStyle w:val="28"/>
              <w:bidi w:val="0"/>
            </w:pPr>
            <w:r>
              <w:t>数据来源</w:t>
            </w:r>
          </w:p>
        </w:tc>
      </w:tr>
      <w:tr w14:paraId="17F498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641EBA70">
            <w:pPr>
              <w:pStyle w:val="28"/>
              <w:bidi w:val="0"/>
            </w:pPr>
          </w:p>
        </w:tc>
        <w:tc>
          <w:tcPr>
            <w:tcW w:w="898" w:type="pct"/>
            <w:vMerge w:val="continue"/>
            <w:vAlign w:val="center"/>
          </w:tcPr>
          <w:p w14:paraId="3E642EAE">
            <w:pPr>
              <w:pStyle w:val="28"/>
              <w:bidi w:val="0"/>
            </w:pPr>
          </w:p>
        </w:tc>
        <w:tc>
          <w:tcPr>
            <w:tcW w:w="2578" w:type="pct"/>
            <w:gridSpan w:val="7"/>
            <w:vAlign w:val="center"/>
          </w:tcPr>
          <w:p w14:paraId="27794E09">
            <w:pPr>
              <w:pStyle w:val="28"/>
              <w:bidi w:val="0"/>
            </w:pPr>
            <w:r>
              <w:t>丰水期</w:t>
            </w:r>
            <w:r>
              <w:rPr/>
              <w:sym w:font="Wingdings 2" w:char="0052"/>
            </w:r>
            <w:r>
              <w:t>；平水期☐；枯水期</w:t>
            </w:r>
            <w:r>
              <w:rPr/>
              <w:sym w:font="Wingdings 2" w:char="0052"/>
            </w:r>
            <w:r>
              <w:t>；冰封期☐；</w:t>
            </w:r>
          </w:p>
          <w:p w14:paraId="47919FC8">
            <w:pPr>
              <w:pStyle w:val="28"/>
              <w:bidi w:val="0"/>
            </w:pPr>
            <w:r>
              <w:t>春季</w:t>
            </w:r>
            <w:r>
              <w:rPr/>
              <w:sym w:font="Wingdings 2" w:char="0052"/>
            </w:r>
            <w:r>
              <w:t>；夏季☐；秋季☐；冬季☐；</w:t>
            </w:r>
          </w:p>
        </w:tc>
        <w:tc>
          <w:tcPr>
            <w:tcW w:w="1274" w:type="pct"/>
            <w:gridSpan w:val="4"/>
            <w:vAlign w:val="center"/>
          </w:tcPr>
          <w:p w14:paraId="40C07665">
            <w:pPr>
              <w:pStyle w:val="28"/>
              <w:bidi w:val="0"/>
            </w:pPr>
            <w:r>
              <w:t>水行政主管部门</w:t>
            </w:r>
            <w:r>
              <w:rPr/>
              <w:sym w:font="Wingdings 2" w:char="0052"/>
            </w:r>
            <w:r>
              <w:t>；补充监测☐；其他☐；</w:t>
            </w:r>
          </w:p>
        </w:tc>
      </w:tr>
      <w:tr w14:paraId="4C26E8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7AE74AC0">
            <w:pPr>
              <w:pStyle w:val="28"/>
              <w:bidi w:val="0"/>
            </w:pPr>
          </w:p>
        </w:tc>
        <w:tc>
          <w:tcPr>
            <w:tcW w:w="898" w:type="pct"/>
            <w:vMerge w:val="restart"/>
            <w:vAlign w:val="center"/>
          </w:tcPr>
          <w:p w14:paraId="5B1E9A4E">
            <w:pPr>
              <w:pStyle w:val="28"/>
              <w:bidi w:val="0"/>
            </w:pPr>
            <w:r>
              <w:t>补充监测</w:t>
            </w:r>
          </w:p>
        </w:tc>
        <w:tc>
          <w:tcPr>
            <w:tcW w:w="1784" w:type="pct"/>
            <w:gridSpan w:val="4"/>
            <w:vAlign w:val="center"/>
          </w:tcPr>
          <w:p w14:paraId="5891CEF1">
            <w:pPr>
              <w:pStyle w:val="28"/>
              <w:bidi w:val="0"/>
            </w:pPr>
            <w:r>
              <w:t>监测时期</w:t>
            </w:r>
          </w:p>
        </w:tc>
        <w:tc>
          <w:tcPr>
            <w:tcW w:w="1180" w:type="pct"/>
            <w:gridSpan w:val="4"/>
            <w:vAlign w:val="center"/>
          </w:tcPr>
          <w:p w14:paraId="75B03313">
            <w:pPr>
              <w:pStyle w:val="28"/>
              <w:bidi w:val="0"/>
            </w:pPr>
            <w:r>
              <w:t>监测因子</w:t>
            </w:r>
          </w:p>
        </w:tc>
        <w:tc>
          <w:tcPr>
            <w:tcW w:w="887" w:type="pct"/>
            <w:gridSpan w:val="3"/>
            <w:vAlign w:val="center"/>
          </w:tcPr>
          <w:p w14:paraId="7A64E01E">
            <w:pPr>
              <w:pStyle w:val="28"/>
              <w:bidi w:val="0"/>
            </w:pPr>
            <w:r>
              <w:t>监测断面或点位</w:t>
            </w:r>
          </w:p>
        </w:tc>
      </w:tr>
      <w:tr w14:paraId="6FC49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2D39E375">
            <w:pPr>
              <w:pStyle w:val="28"/>
              <w:bidi w:val="0"/>
            </w:pPr>
          </w:p>
        </w:tc>
        <w:tc>
          <w:tcPr>
            <w:tcW w:w="898" w:type="pct"/>
            <w:vMerge w:val="continue"/>
            <w:vAlign w:val="center"/>
          </w:tcPr>
          <w:p w14:paraId="0B82DC72">
            <w:pPr>
              <w:pStyle w:val="28"/>
              <w:bidi w:val="0"/>
            </w:pPr>
          </w:p>
        </w:tc>
        <w:tc>
          <w:tcPr>
            <w:tcW w:w="1784" w:type="pct"/>
            <w:gridSpan w:val="4"/>
            <w:vAlign w:val="center"/>
          </w:tcPr>
          <w:p w14:paraId="327B7F7E">
            <w:pPr>
              <w:pStyle w:val="28"/>
              <w:bidi w:val="0"/>
            </w:pPr>
            <w:r>
              <w:t>丰水期</w:t>
            </w:r>
            <w:r>
              <w:rPr/>
              <w:sym w:font="Wingdings 2" w:char="00A3"/>
            </w:r>
            <w:r>
              <w:t>；平水期☐；枯水期</w:t>
            </w:r>
            <w:r>
              <w:rPr/>
              <w:sym w:font="Wingdings 2" w:char="00A3"/>
            </w:r>
            <w:r>
              <w:t>；冰封期☐；</w:t>
            </w:r>
          </w:p>
          <w:p w14:paraId="34EF0F0C">
            <w:pPr>
              <w:pStyle w:val="28"/>
              <w:bidi w:val="0"/>
            </w:pPr>
            <w:r>
              <w:t>春季</w:t>
            </w:r>
            <w:r>
              <w:rPr/>
              <w:sym w:font="Wingdings 2" w:char="0052"/>
            </w:r>
            <w:r>
              <w:t>；夏季；秋季☐；冬季☐；</w:t>
            </w:r>
          </w:p>
        </w:tc>
        <w:tc>
          <w:tcPr>
            <w:tcW w:w="1180" w:type="pct"/>
            <w:gridSpan w:val="4"/>
            <w:vAlign w:val="center"/>
          </w:tcPr>
          <w:p w14:paraId="56E23834">
            <w:pPr>
              <w:pStyle w:val="28"/>
              <w:bidi w:val="0"/>
            </w:pPr>
            <w:r>
              <w:t>（pH、化学需氧量、五日生化需氧量、悬浮物、氨氮、总磷、石油类）</w:t>
            </w:r>
          </w:p>
        </w:tc>
        <w:tc>
          <w:tcPr>
            <w:tcW w:w="887" w:type="pct"/>
            <w:gridSpan w:val="3"/>
            <w:vAlign w:val="center"/>
          </w:tcPr>
          <w:p w14:paraId="4E2DCF3F">
            <w:pPr>
              <w:pStyle w:val="28"/>
              <w:bidi w:val="0"/>
            </w:pPr>
            <w:r>
              <w:t>监测断面或点位个数</w:t>
            </w:r>
          </w:p>
          <w:p w14:paraId="232501B6">
            <w:pPr>
              <w:pStyle w:val="28"/>
              <w:bidi w:val="0"/>
            </w:pPr>
            <w:r>
              <w:t>（</w:t>
            </w:r>
            <w:r>
              <w:rPr>
                <w:rFonts w:hint="eastAsia"/>
              </w:rPr>
              <w:t>34</w:t>
            </w:r>
            <w:r>
              <w:t>）</w:t>
            </w:r>
          </w:p>
        </w:tc>
      </w:tr>
      <w:tr w14:paraId="34832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restart"/>
            <w:vAlign w:val="center"/>
          </w:tcPr>
          <w:p w14:paraId="1F903473">
            <w:pPr>
              <w:pStyle w:val="28"/>
              <w:bidi w:val="0"/>
            </w:pPr>
            <w:r>
              <w:t>现状评价</w:t>
            </w:r>
          </w:p>
        </w:tc>
        <w:tc>
          <w:tcPr>
            <w:tcW w:w="898" w:type="pct"/>
            <w:vAlign w:val="center"/>
          </w:tcPr>
          <w:p w14:paraId="4D21093F">
            <w:pPr>
              <w:pStyle w:val="28"/>
              <w:bidi w:val="0"/>
            </w:pPr>
            <w:r>
              <w:t>评价范围</w:t>
            </w:r>
          </w:p>
        </w:tc>
        <w:tc>
          <w:tcPr>
            <w:tcW w:w="3852" w:type="pct"/>
            <w:gridSpan w:val="11"/>
            <w:vAlign w:val="center"/>
          </w:tcPr>
          <w:p w14:paraId="21848D23">
            <w:pPr>
              <w:pStyle w:val="28"/>
              <w:bidi w:val="0"/>
            </w:pPr>
            <w:r>
              <w:t>河流：长度（）km；湖库、河口及近岸海域：面积（）km2</w:t>
            </w:r>
          </w:p>
        </w:tc>
      </w:tr>
      <w:tr w14:paraId="038D1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0629DC73">
            <w:pPr>
              <w:pStyle w:val="28"/>
              <w:bidi w:val="0"/>
            </w:pPr>
          </w:p>
        </w:tc>
        <w:tc>
          <w:tcPr>
            <w:tcW w:w="898" w:type="pct"/>
            <w:vAlign w:val="center"/>
          </w:tcPr>
          <w:p w14:paraId="58EF8C64">
            <w:pPr>
              <w:pStyle w:val="28"/>
              <w:bidi w:val="0"/>
            </w:pPr>
            <w:r>
              <w:t>评价因子</w:t>
            </w:r>
          </w:p>
        </w:tc>
        <w:tc>
          <w:tcPr>
            <w:tcW w:w="3852" w:type="pct"/>
            <w:gridSpan w:val="11"/>
            <w:vAlign w:val="center"/>
          </w:tcPr>
          <w:p w14:paraId="3FDDD6A4">
            <w:pPr>
              <w:pStyle w:val="28"/>
              <w:bidi w:val="0"/>
            </w:pPr>
            <w:r>
              <w:t>（pH、化学需氧量、五日生化需氧量、悬浮物、氨氮、总磷、石油类）</w:t>
            </w:r>
          </w:p>
        </w:tc>
      </w:tr>
      <w:tr w14:paraId="5EFE8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31013B67">
            <w:pPr>
              <w:pStyle w:val="28"/>
              <w:bidi w:val="0"/>
            </w:pPr>
          </w:p>
        </w:tc>
        <w:tc>
          <w:tcPr>
            <w:tcW w:w="898" w:type="pct"/>
            <w:vAlign w:val="center"/>
          </w:tcPr>
          <w:p w14:paraId="29F1A760">
            <w:pPr>
              <w:pStyle w:val="28"/>
              <w:bidi w:val="0"/>
            </w:pPr>
            <w:r>
              <w:t>评价标准</w:t>
            </w:r>
          </w:p>
        </w:tc>
        <w:tc>
          <w:tcPr>
            <w:tcW w:w="3852" w:type="pct"/>
            <w:gridSpan w:val="11"/>
            <w:vAlign w:val="center"/>
          </w:tcPr>
          <w:p w14:paraId="29ECFD6C">
            <w:pPr>
              <w:pStyle w:val="28"/>
              <w:bidi w:val="0"/>
            </w:pPr>
            <w:r>
              <w:t>河流、湖库、河口：I类☐；II类</w:t>
            </w:r>
            <w:r>
              <w:rPr/>
              <w:sym w:font="Wingdings 2" w:char="0052"/>
            </w:r>
            <w:r>
              <w:t>；Ⅲ类</w:t>
            </w:r>
            <w:r>
              <w:rPr/>
              <w:sym w:font="Wingdings 2" w:char="00A3"/>
            </w:r>
            <w:r>
              <w:t>；Ⅳ类☐；Ⅴ类☐；</w:t>
            </w:r>
          </w:p>
          <w:p w14:paraId="71D08D2A">
            <w:pPr>
              <w:pStyle w:val="28"/>
              <w:bidi w:val="0"/>
            </w:pPr>
            <w:r>
              <w:t>近岸海域：第一类☐；第二类☐；第三类☐；第四类☐；</w:t>
            </w:r>
          </w:p>
          <w:p w14:paraId="22D5AF9E">
            <w:pPr>
              <w:pStyle w:val="28"/>
              <w:bidi w:val="0"/>
            </w:pPr>
            <w:r>
              <w:t>规划年评价标准（）</w:t>
            </w:r>
          </w:p>
        </w:tc>
      </w:tr>
      <w:tr w14:paraId="0E2A4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7E28758E">
            <w:pPr>
              <w:pStyle w:val="28"/>
              <w:bidi w:val="0"/>
            </w:pPr>
          </w:p>
        </w:tc>
        <w:tc>
          <w:tcPr>
            <w:tcW w:w="898" w:type="pct"/>
            <w:vAlign w:val="center"/>
          </w:tcPr>
          <w:p w14:paraId="5BC5B6F9">
            <w:pPr>
              <w:pStyle w:val="28"/>
              <w:bidi w:val="0"/>
            </w:pPr>
            <w:r>
              <w:t>评价时期</w:t>
            </w:r>
          </w:p>
        </w:tc>
        <w:tc>
          <w:tcPr>
            <w:tcW w:w="3852" w:type="pct"/>
            <w:gridSpan w:val="11"/>
            <w:vAlign w:val="center"/>
          </w:tcPr>
          <w:p w14:paraId="3DBB8F5F">
            <w:pPr>
              <w:pStyle w:val="28"/>
              <w:bidi w:val="0"/>
            </w:pPr>
            <w:r>
              <w:t>丰水期</w:t>
            </w:r>
            <w:r>
              <w:rPr/>
              <w:sym w:font="Wingdings 2" w:char="0052"/>
            </w:r>
            <w:r>
              <w:t>；平水期☐；枯水期；冰封期☐；</w:t>
            </w:r>
          </w:p>
          <w:p w14:paraId="5A23D69B">
            <w:pPr>
              <w:pStyle w:val="28"/>
              <w:bidi w:val="0"/>
            </w:pPr>
            <w:r>
              <w:t>春季</w:t>
            </w:r>
            <w:r>
              <w:rPr/>
              <w:sym w:font="Wingdings 2" w:char="0052"/>
            </w:r>
            <w:r>
              <w:t>；夏季☐；秋季☐；冬季☐；</w:t>
            </w:r>
          </w:p>
        </w:tc>
      </w:tr>
      <w:tr w14:paraId="3F69F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7870F62B">
            <w:pPr>
              <w:pStyle w:val="28"/>
              <w:bidi w:val="0"/>
            </w:pPr>
          </w:p>
        </w:tc>
        <w:tc>
          <w:tcPr>
            <w:tcW w:w="898" w:type="pct"/>
            <w:vAlign w:val="center"/>
          </w:tcPr>
          <w:p w14:paraId="616223B9">
            <w:pPr>
              <w:pStyle w:val="28"/>
              <w:bidi w:val="0"/>
            </w:pPr>
            <w:r>
              <w:t>评价结论</w:t>
            </w:r>
          </w:p>
        </w:tc>
        <w:tc>
          <w:tcPr>
            <w:tcW w:w="3015" w:type="pct"/>
            <w:gridSpan w:val="9"/>
            <w:vAlign w:val="center"/>
          </w:tcPr>
          <w:p w14:paraId="3A1C5A62">
            <w:pPr>
              <w:pStyle w:val="28"/>
              <w:bidi w:val="0"/>
            </w:pPr>
            <w:r>
              <w:t>水环境功能区或水功能区、近岸海域环境功能区水质达标状况☐；达标☐；不达标☐；</w:t>
            </w:r>
          </w:p>
          <w:p w14:paraId="19FA35E1">
            <w:pPr>
              <w:pStyle w:val="28"/>
              <w:bidi w:val="0"/>
            </w:pPr>
            <w:r>
              <w:t>水环境控制单元或断面水质达标状况☐；达标</w:t>
            </w:r>
            <w:r>
              <w:rPr/>
              <w:sym w:font="Wingdings 2" w:char="0052"/>
            </w:r>
            <w:r>
              <w:t>；不达标☐；</w:t>
            </w:r>
          </w:p>
          <w:p w14:paraId="7D5FFDC8">
            <w:pPr>
              <w:pStyle w:val="28"/>
              <w:bidi w:val="0"/>
            </w:pPr>
            <w:r>
              <w:t>水环境保护目标质量状况；达标</w:t>
            </w:r>
            <w:r>
              <w:rPr/>
              <w:sym w:font="Wingdings 2" w:char="0052"/>
            </w:r>
            <w:r>
              <w:t>；不达标☐；</w:t>
            </w:r>
          </w:p>
          <w:p w14:paraId="04476E1C">
            <w:pPr>
              <w:pStyle w:val="28"/>
              <w:bidi w:val="0"/>
            </w:pPr>
            <w:r>
              <w:t>对照断面、控制断面等代表性断面的水质状况；达标</w:t>
            </w:r>
            <w:r>
              <w:rPr/>
              <w:sym w:font="Wingdings 2" w:char="0052"/>
            </w:r>
            <w:r>
              <w:t>；不达标☐；</w:t>
            </w:r>
          </w:p>
          <w:p w14:paraId="0563D6C6">
            <w:pPr>
              <w:pStyle w:val="28"/>
              <w:bidi w:val="0"/>
            </w:pPr>
            <w:r>
              <w:t>底泥污染评价</w:t>
            </w:r>
            <w:r>
              <w:rPr/>
              <w:sym w:font="Wingdings 2" w:char="0052"/>
            </w:r>
            <w:r>
              <w:t>；</w:t>
            </w:r>
          </w:p>
          <w:p w14:paraId="64A88A7B">
            <w:pPr>
              <w:pStyle w:val="28"/>
              <w:bidi w:val="0"/>
            </w:pPr>
            <w:r>
              <w:t>水资源与开发利用程度及其水文情势评价☐；</w:t>
            </w:r>
          </w:p>
          <w:p w14:paraId="0A82D095">
            <w:pPr>
              <w:pStyle w:val="28"/>
              <w:bidi w:val="0"/>
            </w:pPr>
            <w:r>
              <w:t>水环境质量回顾评价☐；</w:t>
            </w:r>
          </w:p>
          <w:p w14:paraId="73C87FA0">
            <w:pPr>
              <w:pStyle w:val="28"/>
              <w:bidi w:val="0"/>
            </w:pPr>
            <w:r>
              <w:t>流域（区域）水资源（包括水能资源）与开发利用总体状况、生态流量管理要求与现状满足程度、建设项目占用水域空间的水流状况与河湖演变状况☐；</w:t>
            </w:r>
          </w:p>
        </w:tc>
        <w:tc>
          <w:tcPr>
            <w:tcW w:w="836" w:type="pct"/>
            <w:gridSpan w:val="2"/>
            <w:vAlign w:val="center"/>
          </w:tcPr>
          <w:p w14:paraId="77A2D9AE">
            <w:pPr>
              <w:pStyle w:val="28"/>
              <w:bidi w:val="0"/>
            </w:pPr>
            <w:r>
              <w:t>达标区</w:t>
            </w:r>
            <w:r>
              <w:rPr/>
              <w:sym w:font="Wingdings 2" w:char="0052"/>
            </w:r>
            <w:r>
              <w:t>；</w:t>
            </w:r>
          </w:p>
          <w:p w14:paraId="1B2FA9E2">
            <w:pPr>
              <w:pStyle w:val="28"/>
              <w:bidi w:val="0"/>
            </w:pPr>
            <w:r>
              <w:t>不达标区☐；</w:t>
            </w:r>
          </w:p>
        </w:tc>
      </w:tr>
      <w:tr w14:paraId="069B9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restart"/>
            <w:vAlign w:val="center"/>
          </w:tcPr>
          <w:p w14:paraId="7B6F1F17">
            <w:pPr>
              <w:pStyle w:val="28"/>
              <w:bidi w:val="0"/>
            </w:pPr>
            <w:r>
              <w:t>影响预测</w:t>
            </w:r>
          </w:p>
        </w:tc>
        <w:tc>
          <w:tcPr>
            <w:tcW w:w="898" w:type="pct"/>
            <w:vAlign w:val="center"/>
          </w:tcPr>
          <w:p w14:paraId="7948BE4B">
            <w:pPr>
              <w:pStyle w:val="28"/>
              <w:bidi w:val="0"/>
            </w:pPr>
            <w:r>
              <w:t>预测范围</w:t>
            </w:r>
          </w:p>
        </w:tc>
        <w:tc>
          <w:tcPr>
            <w:tcW w:w="3852" w:type="pct"/>
            <w:gridSpan w:val="11"/>
            <w:vAlign w:val="center"/>
          </w:tcPr>
          <w:p w14:paraId="20E6760B">
            <w:pPr>
              <w:pStyle w:val="28"/>
              <w:bidi w:val="0"/>
            </w:pPr>
            <w:r>
              <w:t>河流：长度（）km；湖库、河口及近岸海域：面积（）km2</w:t>
            </w:r>
          </w:p>
        </w:tc>
      </w:tr>
      <w:tr w14:paraId="1C2CE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2DDDEA16">
            <w:pPr>
              <w:pStyle w:val="28"/>
              <w:bidi w:val="0"/>
            </w:pPr>
          </w:p>
        </w:tc>
        <w:tc>
          <w:tcPr>
            <w:tcW w:w="898" w:type="pct"/>
            <w:vAlign w:val="center"/>
          </w:tcPr>
          <w:p w14:paraId="56D95B8D">
            <w:pPr>
              <w:pStyle w:val="28"/>
              <w:bidi w:val="0"/>
            </w:pPr>
            <w:r>
              <w:t>预测因子</w:t>
            </w:r>
          </w:p>
        </w:tc>
        <w:tc>
          <w:tcPr>
            <w:tcW w:w="3852" w:type="pct"/>
            <w:gridSpan w:val="11"/>
            <w:vAlign w:val="center"/>
          </w:tcPr>
          <w:p w14:paraId="38D46C27">
            <w:pPr>
              <w:pStyle w:val="28"/>
              <w:bidi w:val="0"/>
            </w:pPr>
            <w:r>
              <w:t>（流量、流速、水位）</w:t>
            </w:r>
          </w:p>
        </w:tc>
      </w:tr>
      <w:tr w14:paraId="2AA774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247" w:type="pct"/>
            <w:vMerge w:val="continue"/>
            <w:vAlign w:val="center"/>
          </w:tcPr>
          <w:p w14:paraId="2F784416">
            <w:pPr>
              <w:pStyle w:val="28"/>
              <w:bidi w:val="0"/>
            </w:pPr>
          </w:p>
        </w:tc>
        <w:tc>
          <w:tcPr>
            <w:tcW w:w="898" w:type="pct"/>
            <w:vAlign w:val="center"/>
          </w:tcPr>
          <w:p w14:paraId="0F28EC2D">
            <w:pPr>
              <w:pStyle w:val="28"/>
              <w:bidi w:val="0"/>
            </w:pPr>
            <w:r>
              <w:t>预测时期</w:t>
            </w:r>
          </w:p>
        </w:tc>
        <w:tc>
          <w:tcPr>
            <w:tcW w:w="3852" w:type="pct"/>
            <w:gridSpan w:val="11"/>
            <w:vAlign w:val="center"/>
          </w:tcPr>
          <w:p w14:paraId="68016303">
            <w:pPr>
              <w:pStyle w:val="28"/>
              <w:bidi w:val="0"/>
            </w:pPr>
            <w:r>
              <w:t>丰水期；平水期☐；枯水期</w:t>
            </w:r>
            <w:r>
              <w:rPr/>
              <w:sym w:font="Wingdings 2" w:char="0052"/>
            </w:r>
            <w:r>
              <w:t>；冰封期☐；</w:t>
            </w:r>
          </w:p>
          <w:p w14:paraId="7A98C099">
            <w:pPr>
              <w:pStyle w:val="28"/>
              <w:bidi w:val="0"/>
            </w:pPr>
            <w:r>
              <w:t>春季；夏季☐；秋季☐；冬季☐；</w:t>
            </w:r>
          </w:p>
          <w:p w14:paraId="2A13E1B5">
            <w:pPr>
              <w:pStyle w:val="28"/>
              <w:bidi w:val="0"/>
            </w:pPr>
            <w:r>
              <w:t>设计水文条件☐；</w:t>
            </w:r>
          </w:p>
        </w:tc>
      </w:tr>
      <w:tr w14:paraId="1C5436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4DD8AABF">
            <w:pPr>
              <w:pStyle w:val="28"/>
              <w:bidi w:val="0"/>
            </w:pPr>
          </w:p>
        </w:tc>
        <w:tc>
          <w:tcPr>
            <w:tcW w:w="898" w:type="pct"/>
            <w:vAlign w:val="center"/>
          </w:tcPr>
          <w:p w14:paraId="64697D13">
            <w:pPr>
              <w:pStyle w:val="28"/>
              <w:bidi w:val="0"/>
            </w:pPr>
            <w:r>
              <w:t>预测情景</w:t>
            </w:r>
          </w:p>
        </w:tc>
        <w:tc>
          <w:tcPr>
            <w:tcW w:w="3852" w:type="pct"/>
            <w:gridSpan w:val="11"/>
            <w:vAlign w:val="center"/>
          </w:tcPr>
          <w:p w14:paraId="4937247D">
            <w:pPr>
              <w:pStyle w:val="28"/>
              <w:bidi w:val="0"/>
            </w:pPr>
            <w:r>
              <w:t>建设期</w:t>
            </w:r>
            <w:r>
              <w:rPr/>
              <w:sym w:font="Wingdings 2" w:char="0052"/>
            </w:r>
            <w:r>
              <w:t>；生产运行期</w:t>
            </w:r>
            <w:r>
              <w:rPr/>
              <w:sym w:font="Wingdings 2" w:char="0052"/>
            </w:r>
            <w:r>
              <w:t>；服务期满后☐；</w:t>
            </w:r>
          </w:p>
          <w:p w14:paraId="56F6444E">
            <w:pPr>
              <w:pStyle w:val="28"/>
              <w:bidi w:val="0"/>
            </w:pPr>
            <w:r>
              <w:t>正常工况；非正常工况☐；</w:t>
            </w:r>
          </w:p>
          <w:p w14:paraId="3B46883D">
            <w:pPr>
              <w:pStyle w:val="28"/>
              <w:bidi w:val="0"/>
            </w:pPr>
            <w:r>
              <w:t>污染控制和减缓措施方案☐；</w:t>
            </w:r>
          </w:p>
          <w:p w14:paraId="6395F1B6">
            <w:pPr>
              <w:pStyle w:val="28"/>
              <w:bidi w:val="0"/>
            </w:pPr>
            <w:r>
              <w:t>区（流）域环境质量改善目标要求情景☐；</w:t>
            </w:r>
          </w:p>
        </w:tc>
      </w:tr>
      <w:tr w14:paraId="05EAA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4CC3E3D6">
            <w:pPr>
              <w:pStyle w:val="28"/>
              <w:bidi w:val="0"/>
            </w:pPr>
          </w:p>
        </w:tc>
        <w:tc>
          <w:tcPr>
            <w:tcW w:w="898" w:type="pct"/>
            <w:vAlign w:val="center"/>
          </w:tcPr>
          <w:p w14:paraId="29F45AB0">
            <w:pPr>
              <w:pStyle w:val="28"/>
              <w:bidi w:val="0"/>
            </w:pPr>
            <w:r>
              <w:t>预测方法</w:t>
            </w:r>
          </w:p>
        </w:tc>
        <w:tc>
          <w:tcPr>
            <w:tcW w:w="3852" w:type="pct"/>
            <w:gridSpan w:val="11"/>
            <w:vAlign w:val="center"/>
          </w:tcPr>
          <w:p w14:paraId="0EF00F98">
            <w:pPr>
              <w:pStyle w:val="28"/>
              <w:bidi w:val="0"/>
            </w:pPr>
            <w:r>
              <w:t>数值解☐；解析解☐；其他</w:t>
            </w:r>
            <w:r>
              <w:rPr/>
              <w:sym w:font="Wingdings 2" w:char="0052"/>
            </w:r>
            <w:r>
              <w:t>；导则推荐模式☐；其他☐；</w:t>
            </w:r>
          </w:p>
        </w:tc>
      </w:tr>
      <w:tr w14:paraId="7E941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restart"/>
            <w:vAlign w:val="center"/>
          </w:tcPr>
          <w:p w14:paraId="546ABC84">
            <w:pPr>
              <w:pStyle w:val="28"/>
              <w:bidi w:val="0"/>
            </w:pPr>
            <w:r>
              <w:t>影响评价</w:t>
            </w:r>
          </w:p>
        </w:tc>
        <w:tc>
          <w:tcPr>
            <w:tcW w:w="898" w:type="pct"/>
            <w:vAlign w:val="center"/>
          </w:tcPr>
          <w:p w14:paraId="2930E7BF">
            <w:pPr>
              <w:pStyle w:val="28"/>
              <w:bidi w:val="0"/>
            </w:pPr>
            <w:r>
              <w:t>水污染控制和水源井影响减缓措施有效性评价</w:t>
            </w:r>
          </w:p>
        </w:tc>
        <w:tc>
          <w:tcPr>
            <w:tcW w:w="3852" w:type="pct"/>
            <w:gridSpan w:val="11"/>
            <w:vAlign w:val="center"/>
          </w:tcPr>
          <w:p w14:paraId="37BBBE29">
            <w:pPr>
              <w:pStyle w:val="28"/>
              <w:bidi w:val="0"/>
            </w:pPr>
            <w:r>
              <w:t>区（流）域水环境质量改善目标☐；替代削减源☐；</w:t>
            </w:r>
          </w:p>
        </w:tc>
      </w:tr>
      <w:tr w14:paraId="0998B8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4D2FEBAB">
            <w:pPr>
              <w:pStyle w:val="28"/>
              <w:bidi w:val="0"/>
            </w:pPr>
          </w:p>
        </w:tc>
        <w:tc>
          <w:tcPr>
            <w:tcW w:w="898" w:type="pct"/>
            <w:vAlign w:val="center"/>
          </w:tcPr>
          <w:p w14:paraId="7CDEC2E8">
            <w:pPr>
              <w:pStyle w:val="28"/>
              <w:bidi w:val="0"/>
            </w:pPr>
            <w:r>
              <w:t>水环境影响评价</w:t>
            </w:r>
          </w:p>
        </w:tc>
        <w:tc>
          <w:tcPr>
            <w:tcW w:w="3852" w:type="pct"/>
            <w:gridSpan w:val="11"/>
            <w:vAlign w:val="center"/>
          </w:tcPr>
          <w:p w14:paraId="57B65751">
            <w:pPr>
              <w:pStyle w:val="28"/>
              <w:bidi w:val="0"/>
            </w:pPr>
            <w:r>
              <w:t>排放口混合区外满足水环境管理要求☐；</w:t>
            </w:r>
          </w:p>
          <w:p w14:paraId="2777D482">
            <w:pPr>
              <w:pStyle w:val="28"/>
              <w:bidi w:val="0"/>
            </w:pPr>
            <w:r>
              <w:t>水环境功能区或水功能区、近岸海域环境功能区水质达标☐；</w:t>
            </w:r>
          </w:p>
          <w:p w14:paraId="3F9E934F">
            <w:pPr>
              <w:pStyle w:val="28"/>
              <w:bidi w:val="0"/>
            </w:pPr>
            <w:r>
              <w:t>满足水环境保护目标水域水环境质量要求☐；</w:t>
            </w:r>
          </w:p>
          <w:p w14:paraId="1810A53A">
            <w:pPr>
              <w:pStyle w:val="28"/>
              <w:bidi w:val="0"/>
            </w:pPr>
            <w:r>
              <w:t>水环境控制单元或断面水质达标；</w:t>
            </w:r>
          </w:p>
          <w:p w14:paraId="151CEDF5">
            <w:pPr>
              <w:pStyle w:val="28"/>
              <w:bidi w:val="0"/>
            </w:pPr>
            <w:r>
              <w:t>满足重点水污染物排放总量控制指标要求，重点行业建设项目，主要污染物排放满足等量或减量替代要求☐；</w:t>
            </w:r>
          </w:p>
          <w:p w14:paraId="0E5A1721">
            <w:pPr>
              <w:pStyle w:val="28"/>
              <w:bidi w:val="0"/>
            </w:pPr>
            <w:r>
              <w:t>满足区（流）域水环境质量改善目标要求☐；</w:t>
            </w:r>
          </w:p>
          <w:p w14:paraId="3950743E">
            <w:pPr>
              <w:pStyle w:val="28"/>
              <w:bidi w:val="0"/>
            </w:pPr>
            <w:r>
              <w:t>水文要素影响型建设项目同时应包括水文情势变化评价、主要水文特征值影响评价、生态流量符合性评价</w:t>
            </w:r>
            <w:r>
              <w:rPr/>
              <w:sym w:font="Wingdings 2" w:char="0052"/>
            </w:r>
            <w:r>
              <w:t>；</w:t>
            </w:r>
          </w:p>
          <w:p w14:paraId="55B3D962">
            <w:pPr>
              <w:pStyle w:val="28"/>
              <w:bidi w:val="0"/>
            </w:pPr>
            <w:r>
              <w:t>对于新设或调整入河（湖库、近岸海域）排放口的建设项目，应包括排放口设置的环境合理性评价☐；</w:t>
            </w:r>
          </w:p>
          <w:p w14:paraId="34F777B5">
            <w:pPr>
              <w:pStyle w:val="28"/>
              <w:bidi w:val="0"/>
            </w:pPr>
            <w:r>
              <w:t>满足生态保护红线、水环境质量底线、资源利用上线和环境准入清单管理要求☐；</w:t>
            </w:r>
          </w:p>
        </w:tc>
      </w:tr>
      <w:tr w14:paraId="02BB6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6F42C2D2">
            <w:pPr>
              <w:pStyle w:val="28"/>
              <w:bidi w:val="0"/>
            </w:pPr>
          </w:p>
        </w:tc>
        <w:tc>
          <w:tcPr>
            <w:tcW w:w="898" w:type="pct"/>
            <w:vMerge w:val="restart"/>
            <w:vAlign w:val="center"/>
          </w:tcPr>
          <w:p w14:paraId="0C35F796">
            <w:pPr>
              <w:pStyle w:val="28"/>
              <w:bidi w:val="0"/>
            </w:pPr>
            <w:r>
              <w:t>污染源排放量核算</w:t>
            </w:r>
          </w:p>
        </w:tc>
        <w:tc>
          <w:tcPr>
            <w:tcW w:w="1331" w:type="pct"/>
            <w:gridSpan w:val="2"/>
            <w:vAlign w:val="center"/>
          </w:tcPr>
          <w:p w14:paraId="324C934A">
            <w:pPr>
              <w:pStyle w:val="28"/>
              <w:bidi w:val="0"/>
            </w:pPr>
            <w:r>
              <w:t>污染物名称</w:t>
            </w:r>
          </w:p>
        </w:tc>
        <w:tc>
          <w:tcPr>
            <w:tcW w:w="1240" w:type="pct"/>
            <w:gridSpan w:val="4"/>
            <w:vAlign w:val="center"/>
          </w:tcPr>
          <w:p w14:paraId="6BD48AE2">
            <w:pPr>
              <w:pStyle w:val="28"/>
              <w:bidi w:val="0"/>
            </w:pPr>
            <w:r>
              <w:t>排放量/（t/a）</w:t>
            </w:r>
          </w:p>
        </w:tc>
        <w:tc>
          <w:tcPr>
            <w:tcW w:w="1280" w:type="pct"/>
            <w:gridSpan w:val="5"/>
            <w:vAlign w:val="center"/>
          </w:tcPr>
          <w:p w14:paraId="764E7463">
            <w:pPr>
              <w:pStyle w:val="28"/>
              <w:bidi w:val="0"/>
            </w:pPr>
            <w:r>
              <w:t>排放浓度/（mg/L）</w:t>
            </w:r>
          </w:p>
        </w:tc>
      </w:tr>
      <w:tr w14:paraId="601ED1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639150A9">
            <w:pPr>
              <w:pStyle w:val="28"/>
              <w:bidi w:val="0"/>
            </w:pPr>
          </w:p>
        </w:tc>
        <w:tc>
          <w:tcPr>
            <w:tcW w:w="898" w:type="pct"/>
            <w:vMerge w:val="continue"/>
            <w:vAlign w:val="center"/>
          </w:tcPr>
          <w:p w14:paraId="7E8B31C2">
            <w:pPr>
              <w:pStyle w:val="28"/>
              <w:bidi w:val="0"/>
            </w:pPr>
          </w:p>
        </w:tc>
        <w:tc>
          <w:tcPr>
            <w:tcW w:w="1331" w:type="pct"/>
            <w:gridSpan w:val="2"/>
            <w:vAlign w:val="center"/>
          </w:tcPr>
          <w:p w14:paraId="6E51E81D">
            <w:pPr>
              <w:pStyle w:val="28"/>
              <w:bidi w:val="0"/>
            </w:pPr>
            <w:r>
              <w:t>（）</w:t>
            </w:r>
          </w:p>
        </w:tc>
        <w:tc>
          <w:tcPr>
            <w:tcW w:w="1240" w:type="pct"/>
            <w:gridSpan w:val="4"/>
            <w:vAlign w:val="center"/>
          </w:tcPr>
          <w:p w14:paraId="71BE88F8">
            <w:pPr>
              <w:pStyle w:val="28"/>
              <w:bidi w:val="0"/>
            </w:pPr>
            <w:r>
              <w:t>（）</w:t>
            </w:r>
          </w:p>
        </w:tc>
        <w:tc>
          <w:tcPr>
            <w:tcW w:w="1280" w:type="pct"/>
            <w:gridSpan w:val="5"/>
            <w:vAlign w:val="center"/>
          </w:tcPr>
          <w:p w14:paraId="344D2627">
            <w:pPr>
              <w:pStyle w:val="28"/>
              <w:bidi w:val="0"/>
            </w:pPr>
            <w:r>
              <w:t>（）</w:t>
            </w:r>
          </w:p>
        </w:tc>
      </w:tr>
      <w:tr w14:paraId="474BC5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2E732BB1">
            <w:pPr>
              <w:pStyle w:val="28"/>
              <w:bidi w:val="0"/>
            </w:pPr>
          </w:p>
        </w:tc>
        <w:tc>
          <w:tcPr>
            <w:tcW w:w="898" w:type="pct"/>
            <w:vMerge w:val="restart"/>
            <w:vAlign w:val="center"/>
          </w:tcPr>
          <w:p w14:paraId="5E24C10E">
            <w:pPr>
              <w:pStyle w:val="28"/>
              <w:bidi w:val="0"/>
            </w:pPr>
            <w:r>
              <w:t>替代源排放情况</w:t>
            </w:r>
          </w:p>
        </w:tc>
        <w:tc>
          <w:tcPr>
            <w:tcW w:w="772" w:type="pct"/>
            <w:vAlign w:val="center"/>
          </w:tcPr>
          <w:p w14:paraId="352BBCFC">
            <w:pPr>
              <w:pStyle w:val="28"/>
              <w:bidi w:val="0"/>
            </w:pPr>
            <w:r>
              <w:t>污染源名称</w:t>
            </w:r>
          </w:p>
        </w:tc>
        <w:tc>
          <w:tcPr>
            <w:tcW w:w="772" w:type="pct"/>
            <w:gridSpan w:val="2"/>
            <w:vAlign w:val="center"/>
          </w:tcPr>
          <w:p w14:paraId="57510753">
            <w:pPr>
              <w:pStyle w:val="28"/>
              <w:bidi w:val="0"/>
            </w:pPr>
            <w:r>
              <w:t>排放许可证编号</w:t>
            </w:r>
          </w:p>
        </w:tc>
        <w:tc>
          <w:tcPr>
            <w:tcW w:w="770" w:type="pct"/>
            <w:gridSpan w:val="2"/>
            <w:vAlign w:val="center"/>
          </w:tcPr>
          <w:p w14:paraId="10D5870D">
            <w:pPr>
              <w:pStyle w:val="28"/>
              <w:bidi w:val="0"/>
            </w:pPr>
            <w:r>
              <w:t>污染物名称</w:t>
            </w:r>
          </w:p>
        </w:tc>
        <w:tc>
          <w:tcPr>
            <w:tcW w:w="753" w:type="pct"/>
            <w:gridSpan w:val="5"/>
            <w:vAlign w:val="center"/>
          </w:tcPr>
          <w:p w14:paraId="02A07ABB">
            <w:pPr>
              <w:pStyle w:val="28"/>
              <w:bidi w:val="0"/>
            </w:pPr>
            <w:r>
              <w:t>排放量/（t/a）</w:t>
            </w:r>
          </w:p>
        </w:tc>
        <w:tc>
          <w:tcPr>
            <w:tcW w:w="784" w:type="pct"/>
            <w:vAlign w:val="center"/>
          </w:tcPr>
          <w:p w14:paraId="7AFEB1B1">
            <w:pPr>
              <w:pStyle w:val="28"/>
              <w:bidi w:val="0"/>
            </w:pPr>
            <w:r>
              <w:t>排放浓度/（mg/L）</w:t>
            </w:r>
          </w:p>
        </w:tc>
      </w:tr>
      <w:tr w14:paraId="6C00D2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4160011D">
            <w:pPr>
              <w:pStyle w:val="28"/>
              <w:bidi w:val="0"/>
            </w:pPr>
          </w:p>
        </w:tc>
        <w:tc>
          <w:tcPr>
            <w:tcW w:w="898" w:type="pct"/>
            <w:vMerge w:val="continue"/>
            <w:vAlign w:val="center"/>
          </w:tcPr>
          <w:p w14:paraId="1844C980">
            <w:pPr>
              <w:pStyle w:val="28"/>
              <w:bidi w:val="0"/>
            </w:pPr>
          </w:p>
        </w:tc>
        <w:tc>
          <w:tcPr>
            <w:tcW w:w="772" w:type="pct"/>
            <w:vAlign w:val="center"/>
          </w:tcPr>
          <w:p w14:paraId="546B8D0E">
            <w:pPr>
              <w:pStyle w:val="28"/>
              <w:bidi w:val="0"/>
            </w:pPr>
            <w:r>
              <w:t>（）</w:t>
            </w:r>
          </w:p>
        </w:tc>
        <w:tc>
          <w:tcPr>
            <w:tcW w:w="772" w:type="pct"/>
            <w:gridSpan w:val="2"/>
            <w:vAlign w:val="center"/>
          </w:tcPr>
          <w:p w14:paraId="5C4B85C1">
            <w:pPr>
              <w:pStyle w:val="28"/>
              <w:bidi w:val="0"/>
            </w:pPr>
            <w:r>
              <w:t>（）</w:t>
            </w:r>
          </w:p>
        </w:tc>
        <w:tc>
          <w:tcPr>
            <w:tcW w:w="770" w:type="pct"/>
            <w:gridSpan w:val="2"/>
            <w:vAlign w:val="center"/>
          </w:tcPr>
          <w:p w14:paraId="4A0CFA8F">
            <w:pPr>
              <w:pStyle w:val="28"/>
              <w:bidi w:val="0"/>
            </w:pPr>
            <w:r>
              <w:t>（）</w:t>
            </w:r>
          </w:p>
        </w:tc>
        <w:tc>
          <w:tcPr>
            <w:tcW w:w="753" w:type="pct"/>
            <w:gridSpan w:val="5"/>
            <w:vAlign w:val="center"/>
          </w:tcPr>
          <w:p w14:paraId="5A535E22">
            <w:pPr>
              <w:pStyle w:val="28"/>
              <w:bidi w:val="0"/>
            </w:pPr>
            <w:r>
              <w:t>（）</w:t>
            </w:r>
          </w:p>
        </w:tc>
        <w:tc>
          <w:tcPr>
            <w:tcW w:w="784" w:type="pct"/>
            <w:vAlign w:val="center"/>
          </w:tcPr>
          <w:p w14:paraId="76732A25">
            <w:pPr>
              <w:pStyle w:val="28"/>
              <w:bidi w:val="0"/>
            </w:pPr>
            <w:r>
              <w:t>（）</w:t>
            </w:r>
          </w:p>
        </w:tc>
      </w:tr>
      <w:tr w14:paraId="7EF8F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10A706DF">
            <w:pPr>
              <w:pStyle w:val="28"/>
              <w:bidi w:val="0"/>
            </w:pPr>
          </w:p>
        </w:tc>
        <w:tc>
          <w:tcPr>
            <w:tcW w:w="898" w:type="pct"/>
            <w:vAlign w:val="center"/>
          </w:tcPr>
          <w:p w14:paraId="0605B68D">
            <w:pPr>
              <w:pStyle w:val="28"/>
              <w:bidi w:val="0"/>
            </w:pPr>
            <w:r>
              <w:t>生态流量确定</w:t>
            </w:r>
          </w:p>
        </w:tc>
        <w:tc>
          <w:tcPr>
            <w:tcW w:w="3852" w:type="pct"/>
            <w:gridSpan w:val="11"/>
            <w:vAlign w:val="center"/>
          </w:tcPr>
          <w:p w14:paraId="746711C2">
            <w:pPr>
              <w:pStyle w:val="28"/>
              <w:bidi w:val="0"/>
            </w:pPr>
            <w:r>
              <w:t>生态流量：一般水期（0.6）m3/s；鱼类繁殖期（）m3/s；其他（）m3/s；</w:t>
            </w:r>
          </w:p>
          <w:p w14:paraId="7D4202C2">
            <w:pPr>
              <w:pStyle w:val="28"/>
              <w:bidi w:val="0"/>
            </w:pPr>
            <w:r>
              <w:t>生态水位：一般水期（）m；鱼类繁殖期（）m；其他（）m；</w:t>
            </w:r>
          </w:p>
        </w:tc>
      </w:tr>
      <w:tr w14:paraId="731A4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restart"/>
            <w:vAlign w:val="center"/>
          </w:tcPr>
          <w:p w14:paraId="55AF5FDE">
            <w:pPr>
              <w:pStyle w:val="28"/>
              <w:bidi w:val="0"/>
            </w:pPr>
            <w:r>
              <w:t>防治措施</w:t>
            </w:r>
          </w:p>
        </w:tc>
        <w:tc>
          <w:tcPr>
            <w:tcW w:w="898" w:type="pct"/>
            <w:vAlign w:val="center"/>
          </w:tcPr>
          <w:p w14:paraId="40A7C231">
            <w:pPr>
              <w:pStyle w:val="28"/>
              <w:bidi w:val="0"/>
            </w:pPr>
            <w:r>
              <w:t>环境措施</w:t>
            </w:r>
          </w:p>
        </w:tc>
        <w:tc>
          <w:tcPr>
            <w:tcW w:w="3852" w:type="pct"/>
            <w:gridSpan w:val="11"/>
            <w:vAlign w:val="center"/>
          </w:tcPr>
          <w:p w14:paraId="6FD247A1">
            <w:pPr>
              <w:pStyle w:val="28"/>
              <w:bidi w:val="0"/>
            </w:pPr>
            <w:r>
              <w:t>污水处理设施</w:t>
            </w:r>
            <w:r>
              <w:rPr/>
              <w:sym w:font="Wingdings 2" w:char="0052"/>
            </w:r>
            <w:r>
              <w:t>；水文减缓设施</w:t>
            </w:r>
            <w:r>
              <w:rPr/>
              <w:sym w:font="Wingdings 2" w:char="0052"/>
            </w:r>
            <w:r>
              <w:t>；生态流量保障设施</w:t>
            </w:r>
            <w:r>
              <w:rPr/>
              <w:sym w:font="Wingdings 2" w:char="0052"/>
            </w:r>
            <w:r>
              <w:t>；区域消减☐；依托其他工程措施☐；其他☐；</w:t>
            </w:r>
          </w:p>
        </w:tc>
      </w:tr>
      <w:tr w14:paraId="05D4F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35937C76">
            <w:pPr>
              <w:pStyle w:val="28"/>
              <w:bidi w:val="0"/>
            </w:pPr>
          </w:p>
        </w:tc>
        <w:tc>
          <w:tcPr>
            <w:tcW w:w="898" w:type="pct"/>
            <w:vMerge w:val="restart"/>
            <w:vAlign w:val="center"/>
          </w:tcPr>
          <w:p w14:paraId="4BD476BF">
            <w:pPr>
              <w:pStyle w:val="28"/>
              <w:bidi w:val="0"/>
            </w:pPr>
            <w:r>
              <w:t>监测计划</w:t>
            </w:r>
          </w:p>
        </w:tc>
        <w:tc>
          <w:tcPr>
            <w:tcW w:w="1331" w:type="pct"/>
            <w:gridSpan w:val="2"/>
            <w:vAlign w:val="center"/>
          </w:tcPr>
          <w:p w14:paraId="6C2DEE5E">
            <w:pPr>
              <w:pStyle w:val="28"/>
              <w:bidi w:val="0"/>
            </w:pPr>
          </w:p>
        </w:tc>
        <w:tc>
          <w:tcPr>
            <w:tcW w:w="1240" w:type="pct"/>
            <w:gridSpan w:val="4"/>
            <w:vAlign w:val="center"/>
          </w:tcPr>
          <w:p w14:paraId="0728148D">
            <w:pPr>
              <w:pStyle w:val="28"/>
              <w:bidi w:val="0"/>
            </w:pPr>
            <w:r>
              <w:t>环境质量</w:t>
            </w:r>
          </w:p>
        </w:tc>
        <w:tc>
          <w:tcPr>
            <w:tcW w:w="1280" w:type="pct"/>
            <w:gridSpan w:val="5"/>
            <w:vAlign w:val="center"/>
          </w:tcPr>
          <w:p w14:paraId="4627E206">
            <w:pPr>
              <w:pStyle w:val="28"/>
              <w:bidi w:val="0"/>
            </w:pPr>
            <w:r>
              <w:t>污染源</w:t>
            </w:r>
          </w:p>
        </w:tc>
      </w:tr>
      <w:tr w14:paraId="7AC25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6F753E7B">
            <w:pPr>
              <w:pStyle w:val="28"/>
              <w:bidi w:val="0"/>
            </w:pPr>
          </w:p>
        </w:tc>
        <w:tc>
          <w:tcPr>
            <w:tcW w:w="898" w:type="pct"/>
            <w:vMerge w:val="continue"/>
            <w:vAlign w:val="center"/>
          </w:tcPr>
          <w:p w14:paraId="04B4D43C">
            <w:pPr>
              <w:pStyle w:val="28"/>
              <w:bidi w:val="0"/>
            </w:pPr>
          </w:p>
        </w:tc>
        <w:tc>
          <w:tcPr>
            <w:tcW w:w="1331" w:type="pct"/>
            <w:gridSpan w:val="2"/>
            <w:vAlign w:val="center"/>
          </w:tcPr>
          <w:p w14:paraId="7FF935A7">
            <w:pPr>
              <w:pStyle w:val="28"/>
              <w:bidi w:val="0"/>
            </w:pPr>
            <w:r>
              <w:t>监测方式</w:t>
            </w:r>
          </w:p>
        </w:tc>
        <w:tc>
          <w:tcPr>
            <w:tcW w:w="1240" w:type="pct"/>
            <w:gridSpan w:val="4"/>
            <w:vAlign w:val="center"/>
          </w:tcPr>
          <w:p w14:paraId="1DB11284">
            <w:pPr>
              <w:pStyle w:val="28"/>
              <w:bidi w:val="0"/>
            </w:pPr>
            <w:r>
              <w:t>手动</w:t>
            </w:r>
            <w:r>
              <w:rPr/>
              <w:sym w:font="Wingdings 2" w:char="0052"/>
            </w:r>
            <w:r>
              <w:t>；自动☐；无监测☐；</w:t>
            </w:r>
          </w:p>
        </w:tc>
        <w:tc>
          <w:tcPr>
            <w:tcW w:w="1280" w:type="pct"/>
            <w:gridSpan w:val="5"/>
            <w:vAlign w:val="center"/>
          </w:tcPr>
          <w:p w14:paraId="1668E48A">
            <w:pPr>
              <w:pStyle w:val="28"/>
              <w:bidi w:val="0"/>
            </w:pPr>
            <w:r>
              <w:t>手动</w:t>
            </w:r>
            <w:r>
              <w:rPr/>
              <w:sym w:font="Wingdings 2" w:char="0052"/>
            </w:r>
            <w:r>
              <w:t>；自动☐；无监测☐；</w:t>
            </w:r>
          </w:p>
        </w:tc>
      </w:tr>
      <w:tr w14:paraId="6946F6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42786322">
            <w:pPr>
              <w:pStyle w:val="28"/>
              <w:bidi w:val="0"/>
            </w:pPr>
          </w:p>
        </w:tc>
        <w:tc>
          <w:tcPr>
            <w:tcW w:w="898" w:type="pct"/>
            <w:vMerge w:val="continue"/>
            <w:vAlign w:val="center"/>
          </w:tcPr>
          <w:p w14:paraId="342B68A4">
            <w:pPr>
              <w:pStyle w:val="28"/>
              <w:bidi w:val="0"/>
            </w:pPr>
          </w:p>
        </w:tc>
        <w:tc>
          <w:tcPr>
            <w:tcW w:w="1331" w:type="pct"/>
            <w:gridSpan w:val="2"/>
            <w:vAlign w:val="center"/>
          </w:tcPr>
          <w:p w14:paraId="32EC93B3">
            <w:pPr>
              <w:pStyle w:val="28"/>
              <w:bidi w:val="0"/>
            </w:pPr>
            <w:r>
              <w:t>监测点位</w:t>
            </w:r>
          </w:p>
        </w:tc>
        <w:tc>
          <w:tcPr>
            <w:tcW w:w="1240" w:type="pct"/>
            <w:gridSpan w:val="4"/>
            <w:vAlign w:val="center"/>
          </w:tcPr>
          <w:p w14:paraId="0F024F43">
            <w:pPr>
              <w:pStyle w:val="28"/>
              <w:bidi w:val="0"/>
            </w:pPr>
            <w:r>
              <w:t>（灌区）</w:t>
            </w:r>
          </w:p>
        </w:tc>
        <w:tc>
          <w:tcPr>
            <w:tcW w:w="1280" w:type="pct"/>
            <w:gridSpan w:val="5"/>
            <w:vAlign w:val="center"/>
          </w:tcPr>
          <w:p w14:paraId="4885BC9F">
            <w:pPr>
              <w:pStyle w:val="28"/>
              <w:bidi w:val="0"/>
            </w:pPr>
            <w:r>
              <w:t>（生产废水出水口；生活污水出水口）</w:t>
            </w:r>
          </w:p>
        </w:tc>
      </w:tr>
      <w:tr w14:paraId="1AE26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6FDC5F12">
            <w:pPr>
              <w:pStyle w:val="28"/>
              <w:bidi w:val="0"/>
            </w:pPr>
          </w:p>
        </w:tc>
        <w:tc>
          <w:tcPr>
            <w:tcW w:w="898" w:type="pct"/>
            <w:vMerge w:val="continue"/>
            <w:vAlign w:val="center"/>
          </w:tcPr>
          <w:p w14:paraId="6F45F40C">
            <w:pPr>
              <w:pStyle w:val="28"/>
              <w:bidi w:val="0"/>
            </w:pPr>
          </w:p>
        </w:tc>
        <w:tc>
          <w:tcPr>
            <w:tcW w:w="1331" w:type="pct"/>
            <w:gridSpan w:val="2"/>
            <w:vAlign w:val="center"/>
          </w:tcPr>
          <w:p w14:paraId="6E39C5FB">
            <w:pPr>
              <w:pStyle w:val="28"/>
              <w:bidi w:val="0"/>
            </w:pPr>
            <w:r>
              <w:t>监测因子</w:t>
            </w:r>
          </w:p>
        </w:tc>
        <w:tc>
          <w:tcPr>
            <w:tcW w:w="1240" w:type="pct"/>
            <w:gridSpan w:val="4"/>
            <w:vAlign w:val="center"/>
          </w:tcPr>
          <w:p w14:paraId="6271638B">
            <w:pPr>
              <w:pStyle w:val="28"/>
              <w:bidi w:val="0"/>
            </w:pPr>
            <w:r>
              <w:t>（水温、pH、DO、高锰酸盐指数、SS、CODCr、BOD5、NH3-N、TP、石油类）</w:t>
            </w:r>
          </w:p>
        </w:tc>
        <w:tc>
          <w:tcPr>
            <w:tcW w:w="1280" w:type="pct"/>
            <w:gridSpan w:val="5"/>
            <w:vAlign w:val="center"/>
          </w:tcPr>
          <w:p w14:paraId="75D1F350">
            <w:pPr>
              <w:pStyle w:val="28"/>
              <w:bidi w:val="0"/>
            </w:pPr>
            <w:r>
              <w:t>（pH、SS、石油类；生活污水：CODCr、BOD5、NH3-N、TP）</w:t>
            </w:r>
          </w:p>
        </w:tc>
      </w:tr>
      <w:tr w14:paraId="626AE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47" w:type="pct"/>
            <w:vMerge w:val="continue"/>
            <w:vAlign w:val="center"/>
          </w:tcPr>
          <w:p w14:paraId="3C3A2E48">
            <w:pPr>
              <w:pStyle w:val="28"/>
              <w:bidi w:val="0"/>
            </w:pPr>
          </w:p>
        </w:tc>
        <w:tc>
          <w:tcPr>
            <w:tcW w:w="898" w:type="pct"/>
            <w:vAlign w:val="center"/>
          </w:tcPr>
          <w:p w14:paraId="426C3766">
            <w:pPr>
              <w:pStyle w:val="28"/>
              <w:bidi w:val="0"/>
            </w:pPr>
            <w:r>
              <w:t>污染物排放清单</w:t>
            </w:r>
          </w:p>
        </w:tc>
        <w:tc>
          <w:tcPr>
            <w:tcW w:w="3852" w:type="pct"/>
            <w:gridSpan w:val="11"/>
            <w:vAlign w:val="center"/>
          </w:tcPr>
          <w:p w14:paraId="6C99CC0D">
            <w:pPr>
              <w:pStyle w:val="28"/>
              <w:bidi w:val="0"/>
            </w:pPr>
            <w:r>
              <w:rPr/>
              <w:sym w:font="Wingdings 2" w:char="0052"/>
            </w:r>
          </w:p>
        </w:tc>
      </w:tr>
      <w:tr w14:paraId="19733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146" w:type="pct"/>
            <w:gridSpan w:val="2"/>
            <w:vAlign w:val="center"/>
          </w:tcPr>
          <w:p w14:paraId="14F5B1C6">
            <w:pPr>
              <w:pStyle w:val="28"/>
              <w:bidi w:val="0"/>
            </w:pPr>
            <w:r>
              <w:t>评价结论</w:t>
            </w:r>
          </w:p>
        </w:tc>
        <w:tc>
          <w:tcPr>
            <w:tcW w:w="3852" w:type="pct"/>
            <w:gridSpan w:val="11"/>
            <w:vAlign w:val="center"/>
          </w:tcPr>
          <w:p w14:paraId="72C39547">
            <w:pPr>
              <w:pStyle w:val="28"/>
              <w:bidi w:val="0"/>
            </w:pPr>
            <w:r>
              <w:t>可以接受</w:t>
            </w:r>
            <w:r>
              <w:rPr/>
              <w:sym w:font="Wingdings 2" w:char="0052"/>
            </w:r>
            <w:r>
              <w:t>；不可以接受☐；</w:t>
            </w:r>
          </w:p>
        </w:tc>
      </w:tr>
      <w:tr w14:paraId="11519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998" w:type="pct"/>
            <w:gridSpan w:val="13"/>
            <w:vAlign w:val="center"/>
          </w:tcPr>
          <w:p w14:paraId="45032552">
            <w:pPr>
              <w:pStyle w:val="28"/>
              <w:bidi w:val="0"/>
            </w:pPr>
            <w:r>
              <w:t>注：</w:t>
            </w:r>
            <w:r>
              <w:rPr>
                <w:rFonts w:hint="eastAsia"/>
              </w:rPr>
              <w:t>“</w:t>
            </w:r>
            <w:r>
              <w:t>□</w:t>
            </w:r>
            <w:r>
              <w:rPr>
                <w:rFonts w:hint="eastAsia"/>
              </w:rPr>
              <w:t>”</w:t>
            </w:r>
            <w:r>
              <w:t>为勾选项，可√；</w:t>
            </w:r>
            <w:r>
              <w:rPr>
                <w:rFonts w:hint="eastAsia"/>
              </w:rPr>
              <w:t>“</w:t>
            </w:r>
            <w:r>
              <w:t>（）</w:t>
            </w:r>
            <w:r>
              <w:rPr>
                <w:rFonts w:hint="eastAsia"/>
              </w:rPr>
              <w:t>”</w:t>
            </w:r>
            <w:r>
              <w:t>为内容填写项；</w:t>
            </w:r>
            <w:r>
              <w:rPr>
                <w:rFonts w:hint="eastAsia"/>
              </w:rPr>
              <w:t>“</w:t>
            </w:r>
            <w:r>
              <w:t>备注</w:t>
            </w:r>
            <w:r>
              <w:rPr>
                <w:rFonts w:hint="eastAsia"/>
              </w:rPr>
              <w:t>”</w:t>
            </w:r>
            <w:r>
              <w:t>为其他补充内容</w:t>
            </w:r>
          </w:p>
        </w:tc>
      </w:tr>
    </w:tbl>
    <w:p w14:paraId="2B9A03AF">
      <w:pPr>
        <w:spacing w:line="240" w:lineRule="auto"/>
        <w:rPr>
          <w:rFonts w:cs="Times New Roman"/>
          <w:color w:val="0000FF"/>
        </w:rPr>
      </w:pPr>
    </w:p>
    <w:p w14:paraId="118E84C5">
      <w:pPr>
        <w:pStyle w:val="3"/>
        <w:rPr>
          <w:rFonts w:cs="Times New Roman"/>
          <w:color w:val="0000FF"/>
        </w:rPr>
        <w:sectPr>
          <w:headerReference r:id="rId40" w:type="default"/>
          <w:footerReference r:id="rId41" w:type="default"/>
          <w:pgSz w:w="11905" w:h="16838"/>
          <w:pgMar w:top="1417" w:right="1417" w:bottom="1417" w:left="1417" w:header="850" w:footer="850" w:gutter="0"/>
          <w:pgNumType w:fmt="decimal"/>
          <w:cols w:space="0" w:num="1"/>
          <w:rtlGutter w:val="0"/>
          <w:docGrid w:linePitch="326" w:charSpace="0"/>
        </w:sectPr>
      </w:pPr>
    </w:p>
    <w:p w14:paraId="4E06DD72">
      <w:pPr>
        <w:pStyle w:val="3"/>
        <w:bidi w:val="0"/>
      </w:pPr>
      <w:bookmarkStart w:id="61" w:name="_Toc22910"/>
      <w:bookmarkEnd w:id="61"/>
      <w:bookmarkStart w:id="62" w:name="_Toc25821"/>
      <w:r>
        <w:t>5.</w:t>
      </w:r>
      <w:r>
        <w:rPr>
          <w:rFonts w:hint="eastAsia"/>
        </w:rPr>
        <w:t>3</w:t>
      </w:r>
      <w:r>
        <w:t xml:space="preserve"> 大气环境影响分析与评价</w:t>
      </w:r>
      <w:bookmarkEnd w:id="62"/>
    </w:p>
    <w:p w14:paraId="1CE29DF2">
      <w:pPr>
        <w:bidi w:val="0"/>
      </w:pPr>
      <w:r>
        <w:t>本工程对大气环境的影响主要发生在施工期；根据大气污染源分析，施工大气污染源主要包括扬尘、燃油废气和底泥恶臭等，主要污染物为TSP、SO</w:t>
      </w:r>
      <w:r>
        <w:rPr>
          <w:vertAlign w:val="subscript"/>
        </w:rPr>
        <w:t>2</w:t>
      </w:r>
      <w:r>
        <w:t>、NO</w:t>
      </w:r>
      <w:r>
        <w:rPr>
          <w:rFonts w:hint="eastAsia"/>
          <w:lang w:val="en-US" w:eastAsia="zh-CN"/>
        </w:rPr>
        <w:t>x</w:t>
      </w:r>
      <w:r>
        <w:t>、NH</w:t>
      </w:r>
      <w:r>
        <w:rPr>
          <w:vertAlign w:val="subscript"/>
        </w:rPr>
        <w:t>3</w:t>
      </w:r>
      <w:r>
        <w:t>、H</w:t>
      </w:r>
      <w:r>
        <w:rPr>
          <w:vertAlign w:val="subscript"/>
        </w:rPr>
        <w:t>2</w:t>
      </w:r>
      <w:r>
        <w:t>S、沥青烟等。</w:t>
      </w:r>
    </w:p>
    <w:p w14:paraId="35C721F1">
      <w:pPr>
        <w:pStyle w:val="4"/>
        <w:bidi w:val="0"/>
      </w:pPr>
      <w:r>
        <w:t>5.</w:t>
      </w:r>
      <w:r>
        <w:rPr>
          <w:rFonts w:hint="eastAsia"/>
        </w:rPr>
        <w:t>3</w:t>
      </w:r>
      <w:r>
        <w:t>.1 施工扬尘</w:t>
      </w:r>
    </w:p>
    <w:p w14:paraId="06DAD0EA">
      <w:pPr>
        <w:bidi w:val="0"/>
      </w:pPr>
      <w:r>
        <w:t>施工扬尘主要包括两个方面的来源：一是土石方开挖及回填产生扬尘，二是施工机械和运输车辆产生的交通扬尘。本工程按内容划分，扬尘来源主要包括土石方开挖、回填、工程物料装卸对方，施工垃圾对方、清运弃土（渣）场清表及道路运输等。</w:t>
      </w:r>
    </w:p>
    <w:p w14:paraId="298A8C58">
      <w:pPr>
        <w:bidi w:val="0"/>
      </w:pPr>
      <w:r>
        <w:t>目前水利工程施工期扬尘源强监测相关数据较少，参照文献《施工扬尘污染监测与分析》（张涛等，2023.1.26），通过参与研究的150个施工</w:t>
      </w:r>
      <w:r>
        <w:rPr>
          <w:rFonts w:hint="eastAsia"/>
        </w:rPr>
        <w:t>场地</w:t>
      </w:r>
      <w:r>
        <w:t>监测数据进行分析，土方基坑开挖回填施工、场界TSP排放浓度分别约为75μg/m</w:t>
      </w:r>
      <w:r>
        <w:rPr>
          <w:vertAlign w:val="superscript"/>
        </w:rPr>
        <w:t>3</w:t>
      </w:r>
      <w:r>
        <w:t>、70μg/m</w:t>
      </w:r>
      <w:r>
        <w:rPr>
          <w:vertAlign w:val="superscript"/>
        </w:rPr>
        <w:t>3</w:t>
      </w:r>
      <w:r>
        <w:t>。</w:t>
      </w:r>
    </w:p>
    <w:p w14:paraId="17B48A70">
      <w:pPr>
        <w:bidi w:val="0"/>
      </w:pPr>
      <w:r>
        <w:t>建筑施工场界外扬尘在距场界15m处开始迅速下降，在距离场界100m处，扬尘总量仅为场界处的11%左右，即建筑施工周围扬尘浓度随水平扩散距离的增加迅速降低。根据施工场外降尘量衰减规律，可得出本工程各施工作业过程中20m、50m、100处最大可能扬尘浓度，如表</w:t>
      </w:r>
      <w:r>
        <w:rPr>
          <w:rFonts w:hint="eastAsia"/>
        </w:rPr>
        <w:t>5</w:t>
      </w:r>
      <w:r>
        <w:rPr>
          <w:rFonts w:hint="eastAsia"/>
          <w:lang w:val="en-US" w:eastAsia="zh-CN"/>
        </w:rPr>
        <w:t>.</w:t>
      </w:r>
      <w:r>
        <w:rPr>
          <w:rFonts w:hint="eastAsia"/>
        </w:rPr>
        <w:t>3-1</w:t>
      </w:r>
      <w:r>
        <w:t>所示。</w:t>
      </w:r>
    </w:p>
    <w:p w14:paraId="097A851B">
      <w:pPr>
        <w:bidi w:val="0"/>
      </w:pPr>
      <w:r>
        <w:t>对于施工工区扬尘，可通过调整施工工区设备设施布置、加强物料覆盖并定时洒水，以降低扬尘对周边易受影响敏感点带来的可能影响，其中特别是距离周围居民点距离小于30m的施工场地，应在无雨日加强洒水，尽可能避免施工扬尘对居民生活造成的影响。以洒水降尘效果为50%计，工程距离各施工环节不同距离处扬尘浓度如表</w:t>
      </w:r>
      <w:r>
        <w:rPr>
          <w:rFonts w:hint="eastAsia"/>
        </w:rPr>
        <w:t>5</w:t>
      </w:r>
      <w:r>
        <w:rPr>
          <w:rFonts w:hint="eastAsia"/>
          <w:lang w:val="en-US" w:eastAsia="zh-CN"/>
        </w:rPr>
        <w:t>.</w:t>
      </w:r>
      <w:r>
        <w:rPr>
          <w:rFonts w:hint="eastAsia"/>
        </w:rPr>
        <w:t>3-1</w:t>
      </w:r>
      <w:r>
        <w:t>所示。</w:t>
      </w:r>
    </w:p>
    <w:p w14:paraId="34B74103">
      <w:pPr>
        <w:pStyle w:val="29"/>
        <w:bidi w:val="0"/>
      </w:pPr>
      <w:r>
        <w:t>表5</w:t>
      </w:r>
      <w:r>
        <w:rPr>
          <w:rFonts w:hint="eastAsia"/>
          <w:lang w:val="en-US" w:eastAsia="zh-CN"/>
        </w:rPr>
        <w:t>.</w:t>
      </w:r>
      <w:r>
        <w:rPr>
          <w:rFonts w:hint="eastAsia"/>
        </w:rPr>
        <w:t>3</w:t>
      </w:r>
      <w:r>
        <w:t>-1  降尘前后距离施工点不同距离扬尘浓度变化</w:t>
      </w:r>
    </w:p>
    <w:tbl>
      <w:tblPr>
        <w:tblStyle w:val="16"/>
        <w:tblW w:w="4998" w:type="pct"/>
        <w:jc w:val="center"/>
        <w:tblLayout w:type="autofit"/>
        <w:tblCellMar>
          <w:top w:w="0" w:type="dxa"/>
          <w:left w:w="108" w:type="dxa"/>
          <w:bottom w:w="0" w:type="dxa"/>
          <w:right w:w="108" w:type="dxa"/>
        </w:tblCellMar>
      </w:tblPr>
      <w:tblGrid>
        <w:gridCol w:w="2158"/>
        <w:gridCol w:w="1461"/>
        <w:gridCol w:w="941"/>
        <w:gridCol w:w="953"/>
        <w:gridCol w:w="934"/>
        <w:gridCol w:w="953"/>
        <w:gridCol w:w="949"/>
        <w:gridCol w:w="934"/>
      </w:tblGrid>
      <w:tr w14:paraId="5D59E1B2">
        <w:tblPrEx>
          <w:tblCellMar>
            <w:top w:w="0" w:type="dxa"/>
            <w:left w:w="108" w:type="dxa"/>
            <w:bottom w:w="0" w:type="dxa"/>
            <w:right w:w="108" w:type="dxa"/>
          </w:tblCellMar>
        </w:tblPrEx>
        <w:trPr>
          <w:trHeight w:val="340" w:hRule="atLeast"/>
          <w:jc w:val="center"/>
        </w:trPr>
        <w:tc>
          <w:tcPr>
            <w:tcW w:w="1162" w:type="pct"/>
            <w:vMerge w:val="restart"/>
            <w:tcBorders>
              <w:top w:val="single" w:color="000000" w:sz="4" w:space="0"/>
              <w:left w:val="single" w:color="000000" w:sz="4" w:space="0"/>
              <w:bottom w:val="single" w:color="000000" w:sz="4" w:space="0"/>
              <w:right w:val="single" w:color="000000" w:sz="4" w:space="0"/>
            </w:tcBorders>
            <w:vAlign w:val="center"/>
          </w:tcPr>
          <w:p w14:paraId="31A850CE">
            <w:pPr>
              <w:pStyle w:val="28"/>
              <w:bidi w:val="0"/>
            </w:pPr>
            <w:r>
              <w:t>工程内容</w:t>
            </w:r>
          </w:p>
        </w:tc>
        <w:tc>
          <w:tcPr>
            <w:tcW w:w="787" w:type="pct"/>
            <w:vMerge w:val="restart"/>
            <w:tcBorders>
              <w:top w:val="single" w:color="000000" w:sz="4" w:space="0"/>
              <w:left w:val="single" w:color="000000" w:sz="4" w:space="0"/>
              <w:bottom w:val="single" w:color="000000" w:sz="4" w:space="0"/>
              <w:right w:val="single" w:color="000000" w:sz="4" w:space="0"/>
            </w:tcBorders>
            <w:vAlign w:val="center"/>
          </w:tcPr>
          <w:p w14:paraId="3E04E2FB">
            <w:pPr>
              <w:pStyle w:val="28"/>
              <w:bidi w:val="0"/>
            </w:pPr>
            <w:r>
              <w:t>扬尘环节</w:t>
            </w:r>
          </w:p>
        </w:tc>
        <w:tc>
          <w:tcPr>
            <w:tcW w:w="1020" w:type="pct"/>
            <w:gridSpan w:val="2"/>
            <w:tcBorders>
              <w:top w:val="single" w:color="000000" w:sz="4" w:space="0"/>
              <w:left w:val="single" w:color="000000" w:sz="4" w:space="0"/>
              <w:bottom w:val="single" w:color="000000" w:sz="4" w:space="0"/>
              <w:right w:val="single" w:color="000000" w:sz="4" w:space="0"/>
            </w:tcBorders>
            <w:vAlign w:val="center"/>
          </w:tcPr>
          <w:p w14:paraId="312AF22B">
            <w:pPr>
              <w:pStyle w:val="28"/>
              <w:bidi w:val="0"/>
            </w:pPr>
            <w:r>
              <w:t>20m处（μg/m³）</w:t>
            </w:r>
          </w:p>
        </w:tc>
        <w:tc>
          <w:tcPr>
            <w:tcW w:w="1016" w:type="pct"/>
            <w:gridSpan w:val="2"/>
            <w:tcBorders>
              <w:top w:val="single" w:color="000000" w:sz="4" w:space="0"/>
              <w:left w:val="single" w:color="000000" w:sz="4" w:space="0"/>
              <w:bottom w:val="single" w:color="000000" w:sz="4" w:space="0"/>
              <w:right w:val="single" w:color="000000" w:sz="4" w:space="0"/>
            </w:tcBorders>
            <w:vAlign w:val="center"/>
          </w:tcPr>
          <w:p w14:paraId="5C114662">
            <w:pPr>
              <w:pStyle w:val="28"/>
              <w:bidi w:val="0"/>
            </w:pPr>
            <w:r>
              <w:t>50m处（μg/m³）</w:t>
            </w:r>
          </w:p>
        </w:tc>
        <w:tc>
          <w:tcPr>
            <w:tcW w:w="1014" w:type="pct"/>
            <w:gridSpan w:val="2"/>
            <w:tcBorders>
              <w:top w:val="single" w:color="000000" w:sz="4" w:space="0"/>
              <w:left w:val="single" w:color="000000" w:sz="4" w:space="0"/>
              <w:bottom w:val="single" w:color="000000" w:sz="4" w:space="0"/>
              <w:right w:val="single" w:color="000000" w:sz="4" w:space="0"/>
            </w:tcBorders>
            <w:vAlign w:val="center"/>
          </w:tcPr>
          <w:p w14:paraId="34379179">
            <w:pPr>
              <w:pStyle w:val="28"/>
              <w:bidi w:val="0"/>
            </w:pPr>
            <w:r>
              <w:t>100m处（μg/m³）</w:t>
            </w:r>
          </w:p>
        </w:tc>
      </w:tr>
      <w:tr w14:paraId="64F43E00">
        <w:trPr>
          <w:trHeight w:val="340" w:hRule="atLeast"/>
          <w:jc w:val="center"/>
        </w:trPr>
        <w:tc>
          <w:tcPr>
            <w:tcW w:w="1162" w:type="pct"/>
            <w:vMerge w:val="continue"/>
            <w:tcBorders>
              <w:top w:val="single" w:color="000000" w:sz="4" w:space="0"/>
              <w:left w:val="single" w:color="000000" w:sz="4" w:space="0"/>
              <w:bottom w:val="single" w:color="000000" w:sz="4" w:space="0"/>
              <w:right w:val="single" w:color="000000" w:sz="4" w:space="0"/>
            </w:tcBorders>
            <w:vAlign w:val="center"/>
          </w:tcPr>
          <w:p w14:paraId="4D24FD0B">
            <w:pPr>
              <w:pStyle w:val="28"/>
              <w:bidi w:val="0"/>
            </w:pPr>
          </w:p>
        </w:tc>
        <w:tc>
          <w:tcPr>
            <w:tcW w:w="787" w:type="pct"/>
            <w:vMerge w:val="continue"/>
            <w:tcBorders>
              <w:top w:val="single" w:color="000000" w:sz="4" w:space="0"/>
              <w:left w:val="single" w:color="000000" w:sz="4" w:space="0"/>
              <w:bottom w:val="single" w:color="000000" w:sz="4" w:space="0"/>
              <w:right w:val="single" w:color="000000" w:sz="4" w:space="0"/>
            </w:tcBorders>
            <w:vAlign w:val="center"/>
          </w:tcPr>
          <w:p w14:paraId="651D37E8">
            <w:pPr>
              <w:pStyle w:val="28"/>
              <w:bidi w:val="0"/>
            </w:pPr>
          </w:p>
        </w:tc>
        <w:tc>
          <w:tcPr>
            <w:tcW w:w="507" w:type="pct"/>
            <w:tcBorders>
              <w:top w:val="single" w:color="000000" w:sz="4" w:space="0"/>
              <w:left w:val="single" w:color="000000" w:sz="4" w:space="0"/>
              <w:bottom w:val="single" w:color="000000" w:sz="4" w:space="0"/>
              <w:right w:val="single" w:color="000000" w:sz="4" w:space="0"/>
            </w:tcBorders>
            <w:vAlign w:val="center"/>
          </w:tcPr>
          <w:p w14:paraId="18CD8FDA">
            <w:pPr>
              <w:pStyle w:val="28"/>
              <w:bidi w:val="0"/>
            </w:pPr>
            <w:r>
              <w:t>降尘前</w:t>
            </w:r>
          </w:p>
        </w:tc>
        <w:tc>
          <w:tcPr>
            <w:tcW w:w="512" w:type="pct"/>
            <w:tcBorders>
              <w:top w:val="single" w:color="000000" w:sz="4" w:space="0"/>
              <w:left w:val="single" w:color="000000" w:sz="4" w:space="0"/>
              <w:bottom w:val="single" w:color="000000" w:sz="4" w:space="0"/>
              <w:right w:val="single" w:color="000000" w:sz="4" w:space="0"/>
            </w:tcBorders>
            <w:vAlign w:val="center"/>
          </w:tcPr>
          <w:p w14:paraId="5F70B617">
            <w:pPr>
              <w:pStyle w:val="28"/>
              <w:bidi w:val="0"/>
            </w:pPr>
            <w:r>
              <w:t>降尘后</w:t>
            </w:r>
          </w:p>
        </w:tc>
        <w:tc>
          <w:tcPr>
            <w:tcW w:w="503" w:type="pct"/>
            <w:tcBorders>
              <w:top w:val="single" w:color="000000" w:sz="4" w:space="0"/>
              <w:left w:val="single" w:color="000000" w:sz="4" w:space="0"/>
              <w:bottom w:val="single" w:color="000000" w:sz="4" w:space="0"/>
              <w:right w:val="single" w:color="000000" w:sz="4" w:space="0"/>
            </w:tcBorders>
            <w:vAlign w:val="center"/>
          </w:tcPr>
          <w:p w14:paraId="5B61C215">
            <w:pPr>
              <w:pStyle w:val="28"/>
              <w:bidi w:val="0"/>
            </w:pPr>
            <w:r>
              <w:t>降尘前</w:t>
            </w:r>
          </w:p>
        </w:tc>
        <w:tc>
          <w:tcPr>
            <w:tcW w:w="512" w:type="pct"/>
            <w:tcBorders>
              <w:top w:val="single" w:color="000000" w:sz="4" w:space="0"/>
              <w:left w:val="single" w:color="000000" w:sz="4" w:space="0"/>
              <w:bottom w:val="single" w:color="000000" w:sz="4" w:space="0"/>
              <w:right w:val="single" w:color="000000" w:sz="4" w:space="0"/>
            </w:tcBorders>
            <w:vAlign w:val="center"/>
          </w:tcPr>
          <w:p w14:paraId="500E127E">
            <w:pPr>
              <w:pStyle w:val="28"/>
              <w:bidi w:val="0"/>
            </w:pPr>
            <w:r>
              <w:t>降尘后</w:t>
            </w:r>
          </w:p>
        </w:tc>
        <w:tc>
          <w:tcPr>
            <w:tcW w:w="511" w:type="pct"/>
            <w:tcBorders>
              <w:top w:val="single" w:color="000000" w:sz="4" w:space="0"/>
              <w:left w:val="single" w:color="000000" w:sz="4" w:space="0"/>
              <w:bottom w:val="single" w:color="000000" w:sz="4" w:space="0"/>
              <w:right w:val="single" w:color="000000" w:sz="4" w:space="0"/>
            </w:tcBorders>
            <w:vAlign w:val="center"/>
          </w:tcPr>
          <w:p w14:paraId="5E4A7552">
            <w:pPr>
              <w:pStyle w:val="28"/>
              <w:bidi w:val="0"/>
            </w:pPr>
            <w:r>
              <w:t>降尘前</w:t>
            </w:r>
          </w:p>
        </w:tc>
        <w:tc>
          <w:tcPr>
            <w:tcW w:w="502" w:type="pct"/>
            <w:tcBorders>
              <w:top w:val="single" w:color="000000" w:sz="4" w:space="0"/>
              <w:left w:val="single" w:color="000000" w:sz="4" w:space="0"/>
              <w:bottom w:val="single" w:color="000000" w:sz="4" w:space="0"/>
              <w:right w:val="single" w:color="000000" w:sz="4" w:space="0"/>
            </w:tcBorders>
            <w:vAlign w:val="center"/>
          </w:tcPr>
          <w:p w14:paraId="461DCD37">
            <w:pPr>
              <w:pStyle w:val="28"/>
              <w:bidi w:val="0"/>
            </w:pPr>
            <w:r>
              <w:t>降尘后</w:t>
            </w:r>
          </w:p>
        </w:tc>
      </w:tr>
      <w:tr w14:paraId="15940B78">
        <w:tblPrEx>
          <w:tblCellMar>
            <w:top w:w="0" w:type="dxa"/>
            <w:left w:w="108" w:type="dxa"/>
            <w:bottom w:w="0" w:type="dxa"/>
            <w:right w:w="108" w:type="dxa"/>
          </w:tblCellMar>
        </w:tblPrEx>
        <w:trPr>
          <w:trHeight w:val="340" w:hRule="atLeast"/>
          <w:jc w:val="center"/>
        </w:trPr>
        <w:tc>
          <w:tcPr>
            <w:tcW w:w="1162" w:type="pct"/>
            <w:vMerge w:val="restart"/>
            <w:tcBorders>
              <w:top w:val="single" w:color="000000" w:sz="4" w:space="0"/>
              <w:left w:val="single" w:color="000000" w:sz="4" w:space="0"/>
              <w:bottom w:val="single" w:color="000000" w:sz="4" w:space="0"/>
              <w:right w:val="single" w:color="000000" w:sz="4" w:space="0"/>
            </w:tcBorders>
            <w:vAlign w:val="center"/>
          </w:tcPr>
          <w:p w14:paraId="4CCCDF1F">
            <w:pPr>
              <w:pStyle w:val="28"/>
              <w:bidi w:val="0"/>
            </w:pPr>
            <w:r>
              <w:t>渠道开挖</w:t>
            </w:r>
          </w:p>
        </w:tc>
        <w:tc>
          <w:tcPr>
            <w:tcW w:w="787" w:type="pct"/>
            <w:tcBorders>
              <w:top w:val="single" w:color="000000" w:sz="4" w:space="0"/>
              <w:left w:val="single" w:color="000000" w:sz="4" w:space="0"/>
              <w:bottom w:val="single" w:color="000000" w:sz="4" w:space="0"/>
              <w:right w:val="single" w:color="000000" w:sz="4" w:space="0"/>
            </w:tcBorders>
            <w:vAlign w:val="center"/>
          </w:tcPr>
          <w:p w14:paraId="0D22F204">
            <w:pPr>
              <w:pStyle w:val="28"/>
              <w:bidi w:val="0"/>
            </w:pPr>
            <w:r>
              <w:t>沟槽开挖</w:t>
            </w:r>
          </w:p>
        </w:tc>
        <w:tc>
          <w:tcPr>
            <w:tcW w:w="988" w:type="dxa"/>
            <w:tcBorders>
              <w:top w:val="single" w:color="000000" w:sz="4" w:space="0"/>
              <w:left w:val="single" w:color="000000" w:sz="4" w:space="0"/>
              <w:bottom w:val="single" w:color="000000" w:sz="4" w:space="0"/>
              <w:right w:val="single" w:color="000000" w:sz="4" w:space="0"/>
            </w:tcBorders>
            <w:vAlign w:val="center"/>
          </w:tcPr>
          <w:p w14:paraId="5AB98F1C">
            <w:pPr>
              <w:pStyle w:val="28"/>
              <w:bidi w:val="0"/>
            </w:pPr>
            <w:r>
              <w:t>71</w:t>
            </w:r>
          </w:p>
        </w:tc>
        <w:tc>
          <w:tcPr>
            <w:tcW w:w="999" w:type="dxa"/>
            <w:tcBorders>
              <w:top w:val="single" w:color="000000" w:sz="4" w:space="0"/>
              <w:left w:val="single" w:color="000000" w:sz="4" w:space="0"/>
              <w:bottom w:val="single" w:color="000000" w:sz="4" w:space="0"/>
              <w:right w:val="single" w:color="000000" w:sz="4" w:space="0"/>
            </w:tcBorders>
            <w:vAlign w:val="center"/>
          </w:tcPr>
          <w:p w14:paraId="415733E3">
            <w:pPr>
              <w:pStyle w:val="28"/>
              <w:bidi w:val="0"/>
            </w:pPr>
            <w:r>
              <w:t>35.5</w:t>
            </w:r>
          </w:p>
        </w:tc>
        <w:tc>
          <w:tcPr>
            <w:tcW w:w="980" w:type="dxa"/>
            <w:tcBorders>
              <w:top w:val="single" w:color="000000" w:sz="4" w:space="0"/>
              <w:left w:val="single" w:color="000000" w:sz="4" w:space="0"/>
              <w:bottom w:val="single" w:color="000000" w:sz="4" w:space="0"/>
              <w:right w:val="single" w:color="000000" w:sz="4" w:space="0"/>
            </w:tcBorders>
            <w:vAlign w:val="center"/>
          </w:tcPr>
          <w:p w14:paraId="55481AB2">
            <w:pPr>
              <w:pStyle w:val="28"/>
              <w:bidi w:val="0"/>
            </w:pPr>
            <w:r>
              <w:t>18.75</w:t>
            </w:r>
          </w:p>
        </w:tc>
        <w:tc>
          <w:tcPr>
            <w:tcW w:w="999" w:type="dxa"/>
            <w:tcBorders>
              <w:top w:val="single" w:color="000000" w:sz="4" w:space="0"/>
              <w:left w:val="single" w:color="000000" w:sz="4" w:space="0"/>
              <w:bottom w:val="single" w:color="000000" w:sz="4" w:space="0"/>
              <w:right w:val="single" w:color="000000" w:sz="4" w:space="0"/>
            </w:tcBorders>
            <w:vAlign w:val="center"/>
          </w:tcPr>
          <w:p w14:paraId="737B13EA">
            <w:pPr>
              <w:pStyle w:val="28"/>
              <w:bidi w:val="0"/>
            </w:pPr>
            <w:r>
              <w:t>9.375</w:t>
            </w:r>
          </w:p>
        </w:tc>
        <w:tc>
          <w:tcPr>
            <w:tcW w:w="995" w:type="dxa"/>
            <w:tcBorders>
              <w:top w:val="single" w:color="000000" w:sz="4" w:space="0"/>
              <w:left w:val="single" w:color="000000" w:sz="4" w:space="0"/>
              <w:bottom w:val="single" w:color="000000" w:sz="4" w:space="0"/>
              <w:right w:val="single" w:color="000000" w:sz="4" w:space="0"/>
            </w:tcBorders>
            <w:vAlign w:val="center"/>
          </w:tcPr>
          <w:p w14:paraId="57443C9C">
            <w:pPr>
              <w:pStyle w:val="28"/>
              <w:bidi w:val="0"/>
            </w:pPr>
            <w:r>
              <w:t>7.5</w:t>
            </w:r>
          </w:p>
        </w:tc>
        <w:tc>
          <w:tcPr>
            <w:tcW w:w="980" w:type="dxa"/>
            <w:tcBorders>
              <w:top w:val="single" w:color="000000" w:sz="4" w:space="0"/>
              <w:left w:val="single" w:color="000000" w:sz="4" w:space="0"/>
              <w:bottom w:val="single" w:color="000000" w:sz="4" w:space="0"/>
              <w:right w:val="single" w:color="000000" w:sz="4" w:space="0"/>
            </w:tcBorders>
            <w:vAlign w:val="center"/>
          </w:tcPr>
          <w:p w14:paraId="5FA9F413">
            <w:pPr>
              <w:pStyle w:val="28"/>
              <w:bidi w:val="0"/>
            </w:pPr>
            <w:r>
              <w:t>3.75</w:t>
            </w:r>
          </w:p>
        </w:tc>
      </w:tr>
      <w:tr w14:paraId="59724A45">
        <w:tblPrEx>
          <w:tblCellMar>
            <w:top w:w="0" w:type="dxa"/>
            <w:left w:w="108" w:type="dxa"/>
            <w:bottom w:w="0" w:type="dxa"/>
            <w:right w:w="108" w:type="dxa"/>
          </w:tblCellMar>
        </w:tblPrEx>
        <w:trPr>
          <w:trHeight w:val="340" w:hRule="atLeast"/>
          <w:jc w:val="center"/>
        </w:trPr>
        <w:tc>
          <w:tcPr>
            <w:tcW w:w="1162" w:type="pct"/>
            <w:vMerge w:val="continue"/>
            <w:tcBorders>
              <w:top w:val="single" w:color="000000" w:sz="4" w:space="0"/>
              <w:left w:val="single" w:color="000000" w:sz="4" w:space="0"/>
              <w:bottom w:val="single" w:color="000000" w:sz="4" w:space="0"/>
              <w:right w:val="single" w:color="000000" w:sz="4" w:space="0"/>
            </w:tcBorders>
            <w:vAlign w:val="center"/>
          </w:tcPr>
          <w:p w14:paraId="2739283C">
            <w:pPr>
              <w:pStyle w:val="28"/>
              <w:bidi w:val="0"/>
            </w:pPr>
          </w:p>
        </w:tc>
        <w:tc>
          <w:tcPr>
            <w:tcW w:w="787" w:type="pct"/>
            <w:tcBorders>
              <w:top w:val="single" w:color="000000" w:sz="4" w:space="0"/>
              <w:left w:val="single" w:color="000000" w:sz="4" w:space="0"/>
              <w:bottom w:val="single" w:color="000000" w:sz="4" w:space="0"/>
              <w:right w:val="single" w:color="000000" w:sz="4" w:space="0"/>
            </w:tcBorders>
            <w:vAlign w:val="center"/>
          </w:tcPr>
          <w:p w14:paraId="659F68DA">
            <w:pPr>
              <w:pStyle w:val="28"/>
              <w:bidi w:val="0"/>
            </w:pPr>
            <w:r>
              <w:t>清表</w:t>
            </w:r>
          </w:p>
        </w:tc>
        <w:tc>
          <w:tcPr>
            <w:tcW w:w="988" w:type="dxa"/>
            <w:tcBorders>
              <w:top w:val="single" w:color="000000" w:sz="4" w:space="0"/>
              <w:left w:val="single" w:color="000000" w:sz="4" w:space="0"/>
              <w:bottom w:val="single" w:color="000000" w:sz="4" w:space="0"/>
              <w:right w:val="single" w:color="000000" w:sz="4" w:space="0"/>
            </w:tcBorders>
            <w:vAlign w:val="center"/>
          </w:tcPr>
          <w:p w14:paraId="2B2A8746">
            <w:pPr>
              <w:pStyle w:val="28"/>
              <w:bidi w:val="0"/>
            </w:pPr>
            <w:r>
              <w:t>71</w:t>
            </w:r>
          </w:p>
        </w:tc>
        <w:tc>
          <w:tcPr>
            <w:tcW w:w="999" w:type="dxa"/>
            <w:tcBorders>
              <w:top w:val="single" w:color="000000" w:sz="4" w:space="0"/>
              <w:left w:val="single" w:color="000000" w:sz="4" w:space="0"/>
              <w:bottom w:val="single" w:color="000000" w:sz="4" w:space="0"/>
              <w:right w:val="single" w:color="000000" w:sz="4" w:space="0"/>
            </w:tcBorders>
            <w:vAlign w:val="center"/>
          </w:tcPr>
          <w:p w14:paraId="50F46A6D">
            <w:pPr>
              <w:pStyle w:val="28"/>
              <w:bidi w:val="0"/>
            </w:pPr>
            <w:r>
              <w:t>35.5</w:t>
            </w:r>
          </w:p>
        </w:tc>
        <w:tc>
          <w:tcPr>
            <w:tcW w:w="980" w:type="dxa"/>
            <w:tcBorders>
              <w:top w:val="single" w:color="000000" w:sz="4" w:space="0"/>
              <w:left w:val="single" w:color="000000" w:sz="4" w:space="0"/>
              <w:bottom w:val="single" w:color="000000" w:sz="4" w:space="0"/>
              <w:right w:val="single" w:color="000000" w:sz="4" w:space="0"/>
            </w:tcBorders>
            <w:vAlign w:val="center"/>
          </w:tcPr>
          <w:p w14:paraId="6E1B59B8">
            <w:pPr>
              <w:pStyle w:val="28"/>
              <w:bidi w:val="0"/>
            </w:pPr>
            <w:r>
              <w:t>18.75</w:t>
            </w:r>
          </w:p>
        </w:tc>
        <w:tc>
          <w:tcPr>
            <w:tcW w:w="999" w:type="dxa"/>
            <w:tcBorders>
              <w:top w:val="single" w:color="000000" w:sz="4" w:space="0"/>
              <w:left w:val="single" w:color="000000" w:sz="4" w:space="0"/>
              <w:bottom w:val="single" w:color="000000" w:sz="4" w:space="0"/>
              <w:right w:val="single" w:color="000000" w:sz="4" w:space="0"/>
            </w:tcBorders>
            <w:vAlign w:val="center"/>
          </w:tcPr>
          <w:p w14:paraId="37EC5AD7">
            <w:pPr>
              <w:pStyle w:val="28"/>
              <w:bidi w:val="0"/>
            </w:pPr>
            <w:r>
              <w:t>9.375</w:t>
            </w:r>
          </w:p>
        </w:tc>
        <w:tc>
          <w:tcPr>
            <w:tcW w:w="995" w:type="dxa"/>
            <w:tcBorders>
              <w:top w:val="single" w:color="000000" w:sz="4" w:space="0"/>
              <w:left w:val="single" w:color="000000" w:sz="4" w:space="0"/>
              <w:bottom w:val="single" w:color="000000" w:sz="4" w:space="0"/>
              <w:right w:val="single" w:color="000000" w:sz="4" w:space="0"/>
            </w:tcBorders>
            <w:vAlign w:val="center"/>
          </w:tcPr>
          <w:p w14:paraId="39A85B8A">
            <w:pPr>
              <w:pStyle w:val="28"/>
              <w:bidi w:val="0"/>
            </w:pPr>
            <w:r>
              <w:t>7.5</w:t>
            </w:r>
          </w:p>
        </w:tc>
        <w:tc>
          <w:tcPr>
            <w:tcW w:w="980" w:type="dxa"/>
            <w:tcBorders>
              <w:top w:val="single" w:color="000000" w:sz="4" w:space="0"/>
              <w:left w:val="single" w:color="000000" w:sz="4" w:space="0"/>
              <w:bottom w:val="single" w:color="000000" w:sz="4" w:space="0"/>
              <w:right w:val="single" w:color="000000" w:sz="4" w:space="0"/>
            </w:tcBorders>
            <w:vAlign w:val="center"/>
          </w:tcPr>
          <w:p w14:paraId="11307824">
            <w:pPr>
              <w:pStyle w:val="28"/>
              <w:bidi w:val="0"/>
            </w:pPr>
            <w:r>
              <w:t>3.75</w:t>
            </w:r>
          </w:p>
        </w:tc>
      </w:tr>
      <w:tr w14:paraId="46E06B6C">
        <w:tblPrEx>
          <w:tblCellMar>
            <w:top w:w="0" w:type="dxa"/>
            <w:left w:w="108" w:type="dxa"/>
            <w:bottom w:w="0" w:type="dxa"/>
            <w:right w:w="108" w:type="dxa"/>
          </w:tblCellMar>
        </w:tblPrEx>
        <w:trPr>
          <w:trHeight w:val="340" w:hRule="atLeast"/>
          <w:jc w:val="center"/>
        </w:trPr>
        <w:tc>
          <w:tcPr>
            <w:tcW w:w="1162" w:type="pct"/>
            <w:tcBorders>
              <w:top w:val="single" w:color="000000" w:sz="4" w:space="0"/>
              <w:left w:val="single" w:color="000000" w:sz="4" w:space="0"/>
              <w:bottom w:val="single" w:color="000000" w:sz="4" w:space="0"/>
              <w:right w:val="single" w:color="000000" w:sz="4" w:space="0"/>
            </w:tcBorders>
            <w:vAlign w:val="center"/>
          </w:tcPr>
          <w:p w14:paraId="2F9E4F9D">
            <w:pPr>
              <w:pStyle w:val="28"/>
              <w:bidi w:val="0"/>
            </w:pPr>
            <w:r>
              <w:t>水闸、渠下涵、泵站施工</w:t>
            </w:r>
          </w:p>
        </w:tc>
        <w:tc>
          <w:tcPr>
            <w:tcW w:w="787" w:type="pct"/>
            <w:tcBorders>
              <w:top w:val="single" w:color="000000" w:sz="4" w:space="0"/>
              <w:left w:val="single" w:color="000000" w:sz="4" w:space="0"/>
              <w:bottom w:val="single" w:color="000000" w:sz="4" w:space="0"/>
              <w:right w:val="single" w:color="000000" w:sz="4" w:space="0"/>
            </w:tcBorders>
            <w:vAlign w:val="center"/>
          </w:tcPr>
          <w:p w14:paraId="19F5DEEC">
            <w:pPr>
              <w:pStyle w:val="28"/>
              <w:bidi w:val="0"/>
            </w:pPr>
            <w:r>
              <w:t>土方开挖</w:t>
            </w:r>
          </w:p>
        </w:tc>
        <w:tc>
          <w:tcPr>
            <w:tcW w:w="988" w:type="dxa"/>
            <w:tcBorders>
              <w:top w:val="single" w:color="000000" w:sz="4" w:space="0"/>
              <w:left w:val="single" w:color="000000" w:sz="4" w:space="0"/>
              <w:bottom w:val="single" w:color="000000" w:sz="4" w:space="0"/>
              <w:right w:val="single" w:color="000000" w:sz="4" w:space="0"/>
            </w:tcBorders>
            <w:vAlign w:val="center"/>
          </w:tcPr>
          <w:p w14:paraId="0AC26BD0">
            <w:pPr>
              <w:pStyle w:val="28"/>
              <w:bidi w:val="0"/>
            </w:pPr>
            <w:r>
              <w:t>71</w:t>
            </w:r>
          </w:p>
        </w:tc>
        <w:tc>
          <w:tcPr>
            <w:tcW w:w="999" w:type="dxa"/>
            <w:tcBorders>
              <w:top w:val="single" w:color="000000" w:sz="4" w:space="0"/>
              <w:left w:val="single" w:color="000000" w:sz="4" w:space="0"/>
              <w:bottom w:val="single" w:color="000000" w:sz="4" w:space="0"/>
              <w:right w:val="single" w:color="000000" w:sz="4" w:space="0"/>
            </w:tcBorders>
            <w:vAlign w:val="center"/>
          </w:tcPr>
          <w:p w14:paraId="5E62B039">
            <w:pPr>
              <w:pStyle w:val="28"/>
              <w:bidi w:val="0"/>
            </w:pPr>
            <w:r>
              <w:t>35.5</w:t>
            </w:r>
          </w:p>
        </w:tc>
        <w:tc>
          <w:tcPr>
            <w:tcW w:w="980" w:type="dxa"/>
            <w:tcBorders>
              <w:top w:val="single" w:color="000000" w:sz="4" w:space="0"/>
              <w:left w:val="single" w:color="000000" w:sz="4" w:space="0"/>
              <w:bottom w:val="single" w:color="000000" w:sz="4" w:space="0"/>
              <w:right w:val="single" w:color="000000" w:sz="4" w:space="0"/>
            </w:tcBorders>
            <w:vAlign w:val="center"/>
          </w:tcPr>
          <w:p w14:paraId="6945AF86">
            <w:pPr>
              <w:pStyle w:val="28"/>
              <w:bidi w:val="0"/>
            </w:pPr>
            <w:r>
              <w:t>18.75</w:t>
            </w:r>
          </w:p>
        </w:tc>
        <w:tc>
          <w:tcPr>
            <w:tcW w:w="999" w:type="dxa"/>
            <w:tcBorders>
              <w:top w:val="single" w:color="000000" w:sz="4" w:space="0"/>
              <w:left w:val="single" w:color="000000" w:sz="4" w:space="0"/>
              <w:bottom w:val="single" w:color="000000" w:sz="4" w:space="0"/>
              <w:right w:val="single" w:color="000000" w:sz="4" w:space="0"/>
            </w:tcBorders>
            <w:vAlign w:val="center"/>
          </w:tcPr>
          <w:p w14:paraId="573D02FC">
            <w:pPr>
              <w:pStyle w:val="28"/>
              <w:bidi w:val="0"/>
            </w:pPr>
            <w:r>
              <w:t>9.375</w:t>
            </w:r>
          </w:p>
        </w:tc>
        <w:tc>
          <w:tcPr>
            <w:tcW w:w="995" w:type="dxa"/>
            <w:tcBorders>
              <w:top w:val="single" w:color="000000" w:sz="4" w:space="0"/>
              <w:left w:val="single" w:color="000000" w:sz="4" w:space="0"/>
              <w:bottom w:val="single" w:color="000000" w:sz="4" w:space="0"/>
              <w:right w:val="single" w:color="000000" w:sz="4" w:space="0"/>
            </w:tcBorders>
            <w:vAlign w:val="center"/>
          </w:tcPr>
          <w:p w14:paraId="3D79ECF6">
            <w:pPr>
              <w:pStyle w:val="28"/>
              <w:bidi w:val="0"/>
            </w:pPr>
            <w:r>
              <w:t>7.5</w:t>
            </w:r>
          </w:p>
        </w:tc>
        <w:tc>
          <w:tcPr>
            <w:tcW w:w="980" w:type="dxa"/>
            <w:tcBorders>
              <w:top w:val="single" w:color="000000" w:sz="4" w:space="0"/>
              <w:left w:val="single" w:color="000000" w:sz="4" w:space="0"/>
              <w:bottom w:val="single" w:color="000000" w:sz="4" w:space="0"/>
              <w:right w:val="single" w:color="000000" w:sz="4" w:space="0"/>
            </w:tcBorders>
            <w:vAlign w:val="center"/>
          </w:tcPr>
          <w:p w14:paraId="5EA51FA1">
            <w:pPr>
              <w:pStyle w:val="28"/>
              <w:bidi w:val="0"/>
            </w:pPr>
            <w:r>
              <w:t>3.75</w:t>
            </w:r>
          </w:p>
        </w:tc>
      </w:tr>
      <w:tr w14:paraId="03E8F3BE">
        <w:tblPrEx>
          <w:tblCellMar>
            <w:top w:w="0" w:type="dxa"/>
            <w:left w:w="108" w:type="dxa"/>
            <w:bottom w:w="0" w:type="dxa"/>
            <w:right w:w="108" w:type="dxa"/>
          </w:tblCellMar>
        </w:tblPrEx>
        <w:trPr>
          <w:trHeight w:val="340" w:hRule="atLeast"/>
          <w:jc w:val="center"/>
        </w:trPr>
        <w:tc>
          <w:tcPr>
            <w:tcW w:w="1162" w:type="pct"/>
            <w:vMerge w:val="restart"/>
            <w:tcBorders>
              <w:top w:val="single" w:color="000000" w:sz="4" w:space="0"/>
              <w:left w:val="single" w:color="000000" w:sz="4" w:space="0"/>
              <w:bottom w:val="single" w:color="000000" w:sz="4" w:space="0"/>
              <w:right w:val="single" w:color="000000" w:sz="4" w:space="0"/>
            </w:tcBorders>
            <w:vAlign w:val="center"/>
          </w:tcPr>
          <w:p w14:paraId="1AE57CEC">
            <w:pPr>
              <w:pStyle w:val="28"/>
              <w:bidi w:val="0"/>
            </w:pPr>
            <w:r>
              <w:t>取、弃土场</w:t>
            </w:r>
          </w:p>
        </w:tc>
        <w:tc>
          <w:tcPr>
            <w:tcW w:w="787" w:type="pct"/>
            <w:tcBorders>
              <w:top w:val="single" w:color="000000" w:sz="4" w:space="0"/>
              <w:left w:val="single" w:color="000000" w:sz="4" w:space="0"/>
              <w:bottom w:val="single" w:color="000000" w:sz="4" w:space="0"/>
              <w:right w:val="single" w:color="000000" w:sz="4" w:space="0"/>
            </w:tcBorders>
            <w:vAlign w:val="center"/>
          </w:tcPr>
          <w:p w14:paraId="2707207A">
            <w:pPr>
              <w:pStyle w:val="28"/>
              <w:bidi w:val="0"/>
            </w:pPr>
            <w:r>
              <w:t>清表</w:t>
            </w:r>
          </w:p>
        </w:tc>
        <w:tc>
          <w:tcPr>
            <w:tcW w:w="988" w:type="dxa"/>
            <w:tcBorders>
              <w:top w:val="single" w:color="000000" w:sz="4" w:space="0"/>
              <w:left w:val="single" w:color="000000" w:sz="4" w:space="0"/>
              <w:bottom w:val="single" w:color="000000" w:sz="4" w:space="0"/>
              <w:right w:val="single" w:color="000000" w:sz="4" w:space="0"/>
            </w:tcBorders>
            <w:vAlign w:val="center"/>
          </w:tcPr>
          <w:p w14:paraId="028C609D">
            <w:pPr>
              <w:pStyle w:val="28"/>
              <w:bidi w:val="0"/>
            </w:pPr>
            <w:r>
              <w:t>71</w:t>
            </w:r>
          </w:p>
        </w:tc>
        <w:tc>
          <w:tcPr>
            <w:tcW w:w="999" w:type="dxa"/>
            <w:tcBorders>
              <w:top w:val="single" w:color="000000" w:sz="4" w:space="0"/>
              <w:left w:val="single" w:color="000000" w:sz="4" w:space="0"/>
              <w:bottom w:val="single" w:color="000000" w:sz="4" w:space="0"/>
              <w:right w:val="single" w:color="000000" w:sz="4" w:space="0"/>
            </w:tcBorders>
            <w:vAlign w:val="center"/>
          </w:tcPr>
          <w:p w14:paraId="5C316D69">
            <w:pPr>
              <w:pStyle w:val="28"/>
              <w:bidi w:val="0"/>
            </w:pPr>
            <w:r>
              <w:t>35.5</w:t>
            </w:r>
          </w:p>
        </w:tc>
        <w:tc>
          <w:tcPr>
            <w:tcW w:w="980" w:type="dxa"/>
            <w:tcBorders>
              <w:top w:val="single" w:color="000000" w:sz="4" w:space="0"/>
              <w:left w:val="single" w:color="000000" w:sz="4" w:space="0"/>
              <w:bottom w:val="single" w:color="000000" w:sz="4" w:space="0"/>
              <w:right w:val="single" w:color="000000" w:sz="4" w:space="0"/>
            </w:tcBorders>
            <w:vAlign w:val="center"/>
          </w:tcPr>
          <w:p w14:paraId="6C96D850">
            <w:pPr>
              <w:pStyle w:val="28"/>
              <w:bidi w:val="0"/>
            </w:pPr>
            <w:r>
              <w:t>18.75</w:t>
            </w:r>
          </w:p>
        </w:tc>
        <w:tc>
          <w:tcPr>
            <w:tcW w:w="999" w:type="dxa"/>
            <w:tcBorders>
              <w:top w:val="single" w:color="000000" w:sz="4" w:space="0"/>
              <w:left w:val="single" w:color="000000" w:sz="4" w:space="0"/>
              <w:bottom w:val="single" w:color="000000" w:sz="4" w:space="0"/>
              <w:right w:val="single" w:color="000000" w:sz="4" w:space="0"/>
            </w:tcBorders>
            <w:vAlign w:val="center"/>
          </w:tcPr>
          <w:p w14:paraId="364833C4">
            <w:pPr>
              <w:pStyle w:val="28"/>
              <w:bidi w:val="0"/>
            </w:pPr>
            <w:r>
              <w:t>9.375</w:t>
            </w:r>
          </w:p>
        </w:tc>
        <w:tc>
          <w:tcPr>
            <w:tcW w:w="995" w:type="dxa"/>
            <w:tcBorders>
              <w:top w:val="single" w:color="000000" w:sz="4" w:space="0"/>
              <w:left w:val="single" w:color="000000" w:sz="4" w:space="0"/>
              <w:bottom w:val="single" w:color="000000" w:sz="4" w:space="0"/>
              <w:right w:val="single" w:color="000000" w:sz="4" w:space="0"/>
            </w:tcBorders>
            <w:vAlign w:val="center"/>
          </w:tcPr>
          <w:p w14:paraId="2B4673FE">
            <w:pPr>
              <w:pStyle w:val="28"/>
              <w:bidi w:val="0"/>
            </w:pPr>
            <w:r>
              <w:t>7.5</w:t>
            </w:r>
          </w:p>
        </w:tc>
        <w:tc>
          <w:tcPr>
            <w:tcW w:w="980" w:type="dxa"/>
            <w:tcBorders>
              <w:top w:val="single" w:color="000000" w:sz="4" w:space="0"/>
              <w:left w:val="single" w:color="000000" w:sz="4" w:space="0"/>
              <w:bottom w:val="single" w:color="000000" w:sz="4" w:space="0"/>
              <w:right w:val="single" w:color="000000" w:sz="4" w:space="0"/>
            </w:tcBorders>
            <w:vAlign w:val="center"/>
          </w:tcPr>
          <w:p w14:paraId="62A64445">
            <w:pPr>
              <w:pStyle w:val="28"/>
              <w:bidi w:val="0"/>
            </w:pPr>
            <w:r>
              <w:t>3.75</w:t>
            </w:r>
          </w:p>
        </w:tc>
      </w:tr>
      <w:tr w14:paraId="650E7371">
        <w:tblPrEx>
          <w:tblCellMar>
            <w:top w:w="0" w:type="dxa"/>
            <w:left w:w="108" w:type="dxa"/>
            <w:bottom w:w="0" w:type="dxa"/>
            <w:right w:w="108" w:type="dxa"/>
          </w:tblCellMar>
        </w:tblPrEx>
        <w:trPr>
          <w:trHeight w:val="340" w:hRule="atLeast"/>
          <w:jc w:val="center"/>
        </w:trPr>
        <w:tc>
          <w:tcPr>
            <w:tcW w:w="1162" w:type="pct"/>
            <w:vMerge w:val="continue"/>
            <w:tcBorders>
              <w:top w:val="single" w:color="000000" w:sz="4" w:space="0"/>
              <w:left w:val="single" w:color="000000" w:sz="4" w:space="0"/>
              <w:bottom w:val="single" w:color="000000" w:sz="4" w:space="0"/>
              <w:right w:val="single" w:color="000000" w:sz="4" w:space="0"/>
            </w:tcBorders>
            <w:vAlign w:val="center"/>
          </w:tcPr>
          <w:p w14:paraId="130B6FCB">
            <w:pPr>
              <w:pStyle w:val="28"/>
              <w:bidi w:val="0"/>
            </w:pPr>
          </w:p>
        </w:tc>
        <w:tc>
          <w:tcPr>
            <w:tcW w:w="787" w:type="pct"/>
            <w:tcBorders>
              <w:top w:val="single" w:color="000000" w:sz="4" w:space="0"/>
              <w:left w:val="single" w:color="000000" w:sz="4" w:space="0"/>
              <w:bottom w:val="single" w:color="000000" w:sz="4" w:space="0"/>
              <w:right w:val="single" w:color="000000" w:sz="4" w:space="0"/>
            </w:tcBorders>
            <w:vAlign w:val="center"/>
          </w:tcPr>
          <w:p w14:paraId="5A3498A2">
            <w:pPr>
              <w:pStyle w:val="28"/>
              <w:bidi w:val="0"/>
            </w:pPr>
            <w:r>
              <w:t>渣土装卸作业</w:t>
            </w:r>
          </w:p>
        </w:tc>
        <w:tc>
          <w:tcPr>
            <w:tcW w:w="988" w:type="dxa"/>
            <w:tcBorders>
              <w:top w:val="single" w:color="000000" w:sz="4" w:space="0"/>
              <w:left w:val="single" w:color="000000" w:sz="4" w:space="0"/>
              <w:bottom w:val="single" w:color="000000" w:sz="4" w:space="0"/>
              <w:right w:val="single" w:color="000000" w:sz="4" w:space="0"/>
            </w:tcBorders>
            <w:vAlign w:val="center"/>
          </w:tcPr>
          <w:p w14:paraId="575F13D5">
            <w:pPr>
              <w:pStyle w:val="28"/>
              <w:bidi w:val="0"/>
            </w:pPr>
            <w:r>
              <w:t>68</w:t>
            </w:r>
          </w:p>
        </w:tc>
        <w:tc>
          <w:tcPr>
            <w:tcW w:w="999" w:type="dxa"/>
            <w:tcBorders>
              <w:top w:val="single" w:color="000000" w:sz="4" w:space="0"/>
              <w:left w:val="single" w:color="000000" w:sz="4" w:space="0"/>
              <w:bottom w:val="single" w:color="000000" w:sz="4" w:space="0"/>
              <w:right w:val="single" w:color="000000" w:sz="4" w:space="0"/>
            </w:tcBorders>
            <w:vAlign w:val="center"/>
          </w:tcPr>
          <w:p w14:paraId="485D1C46">
            <w:pPr>
              <w:pStyle w:val="28"/>
              <w:bidi w:val="0"/>
            </w:pPr>
            <w:r>
              <w:t>34</w:t>
            </w:r>
          </w:p>
        </w:tc>
        <w:tc>
          <w:tcPr>
            <w:tcW w:w="980" w:type="dxa"/>
            <w:tcBorders>
              <w:top w:val="single" w:color="000000" w:sz="4" w:space="0"/>
              <w:left w:val="single" w:color="000000" w:sz="4" w:space="0"/>
              <w:bottom w:val="single" w:color="000000" w:sz="4" w:space="0"/>
              <w:right w:val="single" w:color="000000" w:sz="4" w:space="0"/>
            </w:tcBorders>
            <w:vAlign w:val="center"/>
          </w:tcPr>
          <w:p w14:paraId="401AA265">
            <w:pPr>
              <w:pStyle w:val="28"/>
              <w:bidi w:val="0"/>
            </w:pPr>
            <w:r>
              <w:t>18.25</w:t>
            </w:r>
          </w:p>
        </w:tc>
        <w:tc>
          <w:tcPr>
            <w:tcW w:w="999" w:type="dxa"/>
            <w:tcBorders>
              <w:top w:val="single" w:color="000000" w:sz="4" w:space="0"/>
              <w:left w:val="single" w:color="000000" w:sz="4" w:space="0"/>
              <w:bottom w:val="single" w:color="000000" w:sz="4" w:space="0"/>
              <w:right w:val="single" w:color="000000" w:sz="4" w:space="0"/>
            </w:tcBorders>
            <w:vAlign w:val="center"/>
          </w:tcPr>
          <w:p w14:paraId="5A1A6631">
            <w:pPr>
              <w:pStyle w:val="28"/>
              <w:bidi w:val="0"/>
            </w:pPr>
            <w:r>
              <w:t>9.125</w:t>
            </w:r>
          </w:p>
        </w:tc>
        <w:tc>
          <w:tcPr>
            <w:tcW w:w="995" w:type="dxa"/>
            <w:tcBorders>
              <w:top w:val="single" w:color="000000" w:sz="4" w:space="0"/>
              <w:left w:val="single" w:color="000000" w:sz="4" w:space="0"/>
              <w:bottom w:val="single" w:color="000000" w:sz="4" w:space="0"/>
              <w:right w:val="single" w:color="000000" w:sz="4" w:space="0"/>
            </w:tcBorders>
            <w:vAlign w:val="center"/>
          </w:tcPr>
          <w:p w14:paraId="15EA7B56">
            <w:pPr>
              <w:pStyle w:val="28"/>
              <w:bidi w:val="0"/>
            </w:pPr>
            <w:r>
              <w:t>7.3</w:t>
            </w:r>
          </w:p>
        </w:tc>
        <w:tc>
          <w:tcPr>
            <w:tcW w:w="980" w:type="dxa"/>
            <w:tcBorders>
              <w:top w:val="single" w:color="000000" w:sz="4" w:space="0"/>
              <w:left w:val="single" w:color="000000" w:sz="4" w:space="0"/>
              <w:bottom w:val="single" w:color="000000" w:sz="4" w:space="0"/>
              <w:right w:val="single" w:color="000000" w:sz="4" w:space="0"/>
            </w:tcBorders>
            <w:vAlign w:val="center"/>
          </w:tcPr>
          <w:p w14:paraId="68224236">
            <w:pPr>
              <w:pStyle w:val="28"/>
              <w:bidi w:val="0"/>
            </w:pPr>
            <w:r>
              <w:t>3.65</w:t>
            </w:r>
          </w:p>
        </w:tc>
      </w:tr>
      <w:tr w14:paraId="421FC33F">
        <w:tblPrEx>
          <w:tblCellMar>
            <w:top w:w="0" w:type="dxa"/>
            <w:left w:w="108" w:type="dxa"/>
            <w:bottom w:w="0" w:type="dxa"/>
            <w:right w:w="108" w:type="dxa"/>
          </w:tblCellMar>
        </w:tblPrEx>
        <w:trPr>
          <w:trHeight w:val="340" w:hRule="atLeast"/>
          <w:jc w:val="center"/>
        </w:trPr>
        <w:tc>
          <w:tcPr>
            <w:tcW w:w="1162" w:type="pct"/>
            <w:tcBorders>
              <w:top w:val="single" w:color="000000" w:sz="4" w:space="0"/>
              <w:left w:val="single" w:color="000000" w:sz="4" w:space="0"/>
              <w:bottom w:val="single" w:color="000000" w:sz="4" w:space="0"/>
              <w:right w:val="single" w:color="000000" w:sz="4" w:space="0"/>
            </w:tcBorders>
            <w:vAlign w:val="center"/>
          </w:tcPr>
          <w:p w14:paraId="4118B3E3">
            <w:pPr>
              <w:pStyle w:val="28"/>
              <w:bidi w:val="0"/>
            </w:pPr>
            <w:r>
              <w:t>老渠系建筑物拆除</w:t>
            </w:r>
          </w:p>
        </w:tc>
        <w:tc>
          <w:tcPr>
            <w:tcW w:w="787" w:type="pct"/>
            <w:tcBorders>
              <w:top w:val="single" w:color="000000" w:sz="4" w:space="0"/>
              <w:left w:val="single" w:color="000000" w:sz="4" w:space="0"/>
              <w:bottom w:val="single" w:color="000000" w:sz="4" w:space="0"/>
              <w:right w:val="single" w:color="000000" w:sz="4" w:space="0"/>
            </w:tcBorders>
            <w:vAlign w:val="center"/>
          </w:tcPr>
          <w:p w14:paraId="21528A51">
            <w:pPr>
              <w:pStyle w:val="28"/>
              <w:bidi w:val="0"/>
            </w:pPr>
            <w:r>
              <w:t>拆除</w:t>
            </w:r>
          </w:p>
        </w:tc>
        <w:tc>
          <w:tcPr>
            <w:tcW w:w="988" w:type="dxa"/>
            <w:tcBorders>
              <w:top w:val="single" w:color="000000" w:sz="4" w:space="0"/>
              <w:left w:val="single" w:color="000000" w:sz="4" w:space="0"/>
              <w:bottom w:val="single" w:color="000000" w:sz="4" w:space="0"/>
              <w:right w:val="single" w:color="000000" w:sz="4" w:space="0"/>
            </w:tcBorders>
            <w:vAlign w:val="center"/>
          </w:tcPr>
          <w:p w14:paraId="4CE2402C">
            <w:pPr>
              <w:pStyle w:val="28"/>
              <w:bidi w:val="0"/>
            </w:pPr>
            <w:r>
              <w:t>65</w:t>
            </w:r>
          </w:p>
        </w:tc>
        <w:tc>
          <w:tcPr>
            <w:tcW w:w="999" w:type="dxa"/>
            <w:tcBorders>
              <w:top w:val="single" w:color="000000" w:sz="4" w:space="0"/>
              <w:left w:val="single" w:color="000000" w:sz="4" w:space="0"/>
              <w:bottom w:val="single" w:color="000000" w:sz="4" w:space="0"/>
              <w:right w:val="single" w:color="000000" w:sz="4" w:space="0"/>
            </w:tcBorders>
            <w:vAlign w:val="center"/>
          </w:tcPr>
          <w:p w14:paraId="2BADD5D9">
            <w:pPr>
              <w:pStyle w:val="28"/>
              <w:bidi w:val="0"/>
            </w:pPr>
            <w:r>
              <w:t>32.5</w:t>
            </w:r>
          </w:p>
        </w:tc>
        <w:tc>
          <w:tcPr>
            <w:tcW w:w="980" w:type="dxa"/>
            <w:tcBorders>
              <w:top w:val="single" w:color="000000" w:sz="4" w:space="0"/>
              <w:left w:val="single" w:color="000000" w:sz="4" w:space="0"/>
              <w:bottom w:val="single" w:color="000000" w:sz="4" w:space="0"/>
              <w:right w:val="single" w:color="000000" w:sz="4" w:space="0"/>
            </w:tcBorders>
            <w:vAlign w:val="center"/>
          </w:tcPr>
          <w:p w14:paraId="3674EA19">
            <w:pPr>
              <w:pStyle w:val="28"/>
              <w:bidi w:val="0"/>
            </w:pPr>
            <w:r>
              <w:t>17.5</w:t>
            </w:r>
          </w:p>
        </w:tc>
        <w:tc>
          <w:tcPr>
            <w:tcW w:w="999" w:type="dxa"/>
            <w:tcBorders>
              <w:top w:val="single" w:color="000000" w:sz="4" w:space="0"/>
              <w:left w:val="single" w:color="000000" w:sz="4" w:space="0"/>
              <w:bottom w:val="single" w:color="000000" w:sz="4" w:space="0"/>
              <w:right w:val="single" w:color="000000" w:sz="4" w:space="0"/>
            </w:tcBorders>
            <w:vAlign w:val="center"/>
          </w:tcPr>
          <w:p w14:paraId="10559A00">
            <w:pPr>
              <w:pStyle w:val="28"/>
              <w:bidi w:val="0"/>
            </w:pPr>
            <w:r>
              <w:t>8.75</w:t>
            </w:r>
          </w:p>
        </w:tc>
        <w:tc>
          <w:tcPr>
            <w:tcW w:w="995" w:type="dxa"/>
            <w:tcBorders>
              <w:top w:val="single" w:color="000000" w:sz="4" w:space="0"/>
              <w:left w:val="single" w:color="000000" w:sz="4" w:space="0"/>
              <w:bottom w:val="single" w:color="000000" w:sz="4" w:space="0"/>
              <w:right w:val="single" w:color="000000" w:sz="4" w:space="0"/>
            </w:tcBorders>
            <w:vAlign w:val="center"/>
          </w:tcPr>
          <w:p w14:paraId="112A0465">
            <w:pPr>
              <w:pStyle w:val="28"/>
              <w:bidi w:val="0"/>
            </w:pPr>
            <w:r>
              <w:t>7</w:t>
            </w:r>
          </w:p>
        </w:tc>
        <w:tc>
          <w:tcPr>
            <w:tcW w:w="980" w:type="dxa"/>
            <w:tcBorders>
              <w:top w:val="single" w:color="000000" w:sz="4" w:space="0"/>
              <w:left w:val="single" w:color="000000" w:sz="4" w:space="0"/>
              <w:bottom w:val="single" w:color="000000" w:sz="4" w:space="0"/>
              <w:right w:val="single" w:color="000000" w:sz="4" w:space="0"/>
            </w:tcBorders>
            <w:vAlign w:val="center"/>
          </w:tcPr>
          <w:p w14:paraId="7FA4122C">
            <w:pPr>
              <w:pStyle w:val="28"/>
              <w:bidi w:val="0"/>
            </w:pPr>
            <w:r>
              <w:t>3.5</w:t>
            </w:r>
          </w:p>
        </w:tc>
      </w:tr>
    </w:tbl>
    <w:p w14:paraId="0C4C55F4">
      <w:pPr>
        <w:bidi w:val="0"/>
      </w:pPr>
      <w:r>
        <w:t>交通扬尘主要是由于施工车辆在运输施工材料而引起，属于动力扬尘。引起交通扬尘的因素较多，主要跟车辆行驶速度、风速、路面积尘量和路面积尘湿度有关，其中风速还直接影响到扬尘的传输距离。据有关文献资料介绍，车辆行驶产生的扬尘占总扬尘的60%以上。</w:t>
      </w:r>
    </w:p>
    <w:p w14:paraId="324CBDCA">
      <w:pPr>
        <w:bidi w:val="0"/>
      </w:pPr>
      <w:r>
        <w:t>车辆行驶产生的扬尘，在完全干燥情况下，可按下列经验公式计算：</w:t>
      </w:r>
    </w:p>
    <w:p w14:paraId="17BA7CDA">
      <w:pPr>
        <w:bidi w:val="0"/>
        <w:jc w:val="center"/>
      </w:pPr>
      <w:r>
        <w:drawing>
          <wp:inline distT="0" distB="0" distL="114300" distR="114300">
            <wp:extent cx="2108200" cy="393700"/>
            <wp:effectExtent l="0" t="0" r="0" b="0"/>
            <wp:docPr id="105" name="图片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2140"/>
                    <pic:cNvPicPr>
                      <a:picLocks noChangeAspect="1"/>
                    </pic:cNvPicPr>
                  </pic:nvPicPr>
                  <pic:blipFill>
                    <a:blip r:embed="rId149"/>
                    <a:stretch>
                      <a:fillRect/>
                    </a:stretch>
                  </pic:blipFill>
                  <pic:spPr>
                    <a:xfrm>
                      <a:off x="0" y="0"/>
                      <a:ext cx="2108200" cy="393700"/>
                    </a:xfrm>
                    <a:prstGeom prst="rect">
                      <a:avLst/>
                    </a:prstGeom>
                    <a:noFill/>
                    <a:ln>
                      <a:noFill/>
                    </a:ln>
                  </pic:spPr>
                </pic:pic>
              </a:graphicData>
            </a:graphic>
          </wp:inline>
        </w:drawing>
      </w:r>
    </w:p>
    <w:p w14:paraId="089B89E4">
      <w:pPr>
        <w:bidi w:val="0"/>
      </w:pPr>
      <w:r>
        <w:t>式中：Q—汽车行驶的扬尘，kg/km辆；</w:t>
      </w:r>
    </w:p>
    <w:p w14:paraId="3964A435">
      <w:pPr>
        <w:bidi w:val="0"/>
        <w:ind w:firstLine="1200" w:firstLineChars="500"/>
      </w:pPr>
      <w:r>
        <w:t>V—汽车速度，km/h；</w:t>
      </w:r>
    </w:p>
    <w:p w14:paraId="5AB815B9">
      <w:pPr>
        <w:bidi w:val="0"/>
        <w:ind w:firstLine="1200" w:firstLineChars="500"/>
      </w:pPr>
      <w:r>
        <w:t>W—汽车载重量，t；</w:t>
      </w:r>
    </w:p>
    <w:p w14:paraId="15E3C3FD">
      <w:pPr>
        <w:bidi w:val="0"/>
        <w:ind w:firstLine="1200" w:firstLineChars="500"/>
      </w:pPr>
      <w:r>
        <w:t>P—道路表面粉尘量，kg/m</w:t>
      </w:r>
      <w:r>
        <w:rPr>
          <w:vertAlign w:val="superscript"/>
        </w:rPr>
        <w:t>2</w:t>
      </w:r>
      <w:r>
        <w:t>。</w:t>
      </w:r>
    </w:p>
    <w:p w14:paraId="09EA74B3">
      <w:pPr>
        <w:bidi w:val="0"/>
      </w:pPr>
      <w:r>
        <w:t>查阅相关道路扬尘实验资料，一辆载重5t的卡车，通过一段长度为500m的路面时，不同路面清洁程度，不同行驶速度情况下产生的扬尘量见表</w:t>
      </w:r>
      <w:r>
        <w:rPr>
          <w:rFonts w:hint="eastAsia"/>
        </w:rPr>
        <w:t>5</w:t>
      </w:r>
      <w:r>
        <w:rPr>
          <w:rFonts w:hint="eastAsia"/>
          <w:lang w:val="en-US" w:eastAsia="zh-CN"/>
        </w:rPr>
        <w:t>.</w:t>
      </w:r>
      <w:r>
        <w:rPr>
          <w:rFonts w:hint="eastAsia"/>
        </w:rPr>
        <w:t>3-2</w:t>
      </w:r>
      <w:r>
        <w:t>。</w:t>
      </w:r>
    </w:p>
    <w:p w14:paraId="0E12626E">
      <w:pPr>
        <w:pStyle w:val="29"/>
        <w:bidi w:val="0"/>
      </w:pPr>
      <w:r>
        <w:t>表</w:t>
      </w:r>
      <w:r>
        <w:rPr>
          <w:rFonts w:hint="eastAsia"/>
        </w:rPr>
        <w:t>5</w:t>
      </w:r>
      <w:r>
        <w:rPr>
          <w:rFonts w:hint="eastAsia"/>
          <w:lang w:val="en-US" w:eastAsia="zh-CN"/>
        </w:rPr>
        <w:t>.</w:t>
      </w:r>
      <w:r>
        <w:rPr>
          <w:rFonts w:hint="eastAsia"/>
        </w:rPr>
        <w:t xml:space="preserve">3-2  </w:t>
      </w:r>
      <w:r>
        <w:t>不同车速和地面清洁程度时的交通扬尘 单位：kg/km·辆</w:t>
      </w:r>
    </w:p>
    <w:tbl>
      <w:tblPr>
        <w:tblStyle w:val="16"/>
        <w:tblW w:w="4999" w:type="pct"/>
        <w:jc w:val="center"/>
        <w:tblLayout w:type="autofit"/>
        <w:tblCellMar>
          <w:top w:w="0" w:type="dxa"/>
          <w:left w:w="108" w:type="dxa"/>
          <w:bottom w:w="0" w:type="dxa"/>
          <w:right w:w="108" w:type="dxa"/>
        </w:tblCellMar>
      </w:tblPr>
      <w:tblGrid>
        <w:gridCol w:w="3063"/>
        <w:gridCol w:w="1023"/>
        <w:gridCol w:w="1040"/>
        <w:gridCol w:w="1023"/>
        <w:gridCol w:w="1033"/>
        <w:gridCol w:w="1040"/>
        <w:gridCol w:w="1063"/>
      </w:tblGrid>
      <w:tr w14:paraId="347F5217">
        <w:tblPrEx>
          <w:tblCellMar>
            <w:top w:w="0" w:type="dxa"/>
            <w:left w:w="108" w:type="dxa"/>
            <w:bottom w:w="0" w:type="dxa"/>
            <w:right w:w="108" w:type="dxa"/>
          </w:tblCellMar>
        </w:tblPrEx>
        <w:trPr>
          <w:trHeight w:val="340" w:hRule="atLeast"/>
          <w:jc w:val="center"/>
        </w:trPr>
        <w:tc>
          <w:tcPr>
            <w:tcW w:w="1649" w:type="pct"/>
            <w:vMerge w:val="restart"/>
            <w:tcBorders>
              <w:top w:val="single" w:color="000000" w:sz="4" w:space="0"/>
              <w:left w:val="single" w:color="000000" w:sz="4" w:space="0"/>
              <w:bottom w:val="single" w:color="000000" w:sz="4" w:space="0"/>
              <w:right w:val="single" w:color="000000" w:sz="4" w:space="0"/>
            </w:tcBorders>
            <w:vAlign w:val="center"/>
          </w:tcPr>
          <w:p w14:paraId="58E12F62">
            <w:pPr>
              <w:pStyle w:val="28"/>
              <w:bidi w:val="0"/>
            </w:pPr>
            <w:r>
              <w:t>汽车速度，km/h</w:t>
            </w:r>
          </w:p>
        </w:tc>
        <w:tc>
          <w:tcPr>
            <w:tcW w:w="3350" w:type="pct"/>
            <w:gridSpan w:val="6"/>
            <w:tcBorders>
              <w:top w:val="single" w:color="000000" w:sz="4" w:space="0"/>
              <w:left w:val="single" w:color="000000" w:sz="4" w:space="0"/>
              <w:bottom w:val="single" w:color="000000" w:sz="4" w:space="0"/>
              <w:right w:val="single" w:color="000000" w:sz="4" w:space="0"/>
            </w:tcBorders>
            <w:vAlign w:val="center"/>
          </w:tcPr>
          <w:p w14:paraId="66BDA91A">
            <w:pPr>
              <w:pStyle w:val="28"/>
              <w:bidi w:val="0"/>
            </w:pPr>
            <w:r>
              <w:t>道路表面粉尘量，kg/m²</w:t>
            </w:r>
          </w:p>
        </w:tc>
      </w:tr>
      <w:tr w14:paraId="23871348">
        <w:tblPrEx>
          <w:tblCellMar>
            <w:top w:w="0" w:type="dxa"/>
            <w:left w:w="108" w:type="dxa"/>
            <w:bottom w:w="0" w:type="dxa"/>
            <w:right w:w="108" w:type="dxa"/>
          </w:tblCellMar>
        </w:tblPrEx>
        <w:trPr>
          <w:trHeight w:val="340" w:hRule="atLeast"/>
          <w:jc w:val="center"/>
        </w:trPr>
        <w:tc>
          <w:tcPr>
            <w:tcW w:w="1649" w:type="pct"/>
            <w:vMerge w:val="continue"/>
            <w:tcBorders>
              <w:top w:val="single" w:color="000000" w:sz="4" w:space="0"/>
              <w:left w:val="single" w:color="000000" w:sz="4" w:space="0"/>
              <w:bottom w:val="single" w:color="000000" w:sz="4" w:space="0"/>
              <w:right w:val="single" w:color="000000" w:sz="4" w:space="0"/>
            </w:tcBorders>
            <w:vAlign w:val="center"/>
          </w:tcPr>
          <w:p w14:paraId="2C2B9A36">
            <w:pPr>
              <w:pStyle w:val="28"/>
              <w:bidi w:val="0"/>
            </w:pPr>
          </w:p>
        </w:tc>
        <w:tc>
          <w:tcPr>
            <w:tcW w:w="551" w:type="pct"/>
            <w:tcBorders>
              <w:top w:val="single" w:color="000000" w:sz="4" w:space="0"/>
              <w:left w:val="single" w:color="000000" w:sz="4" w:space="0"/>
              <w:bottom w:val="single" w:color="000000" w:sz="4" w:space="0"/>
              <w:right w:val="single" w:color="000000" w:sz="4" w:space="0"/>
            </w:tcBorders>
            <w:vAlign w:val="center"/>
          </w:tcPr>
          <w:p w14:paraId="69983DC3">
            <w:pPr>
              <w:pStyle w:val="28"/>
              <w:bidi w:val="0"/>
            </w:pPr>
            <w:r>
              <w:t>0.1</w:t>
            </w:r>
          </w:p>
        </w:tc>
        <w:tc>
          <w:tcPr>
            <w:tcW w:w="560" w:type="pct"/>
            <w:tcBorders>
              <w:top w:val="single" w:color="000000" w:sz="4" w:space="0"/>
              <w:left w:val="single" w:color="000000" w:sz="4" w:space="0"/>
              <w:bottom w:val="single" w:color="000000" w:sz="4" w:space="0"/>
              <w:right w:val="single" w:color="000000" w:sz="4" w:space="0"/>
            </w:tcBorders>
            <w:vAlign w:val="center"/>
          </w:tcPr>
          <w:p w14:paraId="3C36A145">
            <w:pPr>
              <w:pStyle w:val="28"/>
              <w:bidi w:val="0"/>
            </w:pPr>
            <w:r>
              <w:t>0.2</w:t>
            </w:r>
          </w:p>
        </w:tc>
        <w:tc>
          <w:tcPr>
            <w:tcW w:w="551" w:type="pct"/>
            <w:tcBorders>
              <w:top w:val="single" w:color="000000" w:sz="4" w:space="0"/>
              <w:left w:val="single" w:color="000000" w:sz="4" w:space="0"/>
              <w:bottom w:val="single" w:color="000000" w:sz="4" w:space="0"/>
              <w:right w:val="single" w:color="000000" w:sz="4" w:space="0"/>
            </w:tcBorders>
            <w:vAlign w:val="center"/>
          </w:tcPr>
          <w:p w14:paraId="4A1AE7E9">
            <w:pPr>
              <w:pStyle w:val="28"/>
              <w:bidi w:val="0"/>
            </w:pPr>
            <w:r>
              <w:t>0.3</w:t>
            </w:r>
          </w:p>
        </w:tc>
        <w:tc>
          <w:tcPr>
            <w:tcW w:w="556" w:type="pct"/>
            <w:tcBorders>
              <w:top w:val="single" w:color="000000" w:sz="4" w:space="0"/>
              <w:left w:val="single" w:color="000000" w:sz="4" w:space="0"/>
              <w:bottom w:val="single" w:color="000000" w:sz="4" w:space="0"/>
              <w:right w:val="single" w:color="000000" w:sz="4" w:space="0"/>
            </w:tcBorders>
            <w:vAlign w:val="center"/>
          </w:tcPr>
          <w:p w14:paraId="3ADA81A8">
            <w:pPr>
              <w:pStyle w:val="28"/>
              <w:bidi w:val="0"/>
            </w:pPr>
            <w:r>
              <w:t>0.4</w:t>
            </w:r>
          </w:p>
        </w:tc>
        <w:tc>
          <w:tcPr>
            <w:tcW w:w="560" w:type="pct"/>
            <w:tcBorders>
              <w:top w:val="single" w:color="000000" w:sz="4" w:space="0"/>
              <w:left w:val="single" w:color="000000" w:sz="4" w:space="0"/>
              <w:bottom w:val="single" w:color="000000" w:sz="4" w:space="0"/>
              <w:right w:val="single" w:color="000000" w:sz="4" w:space="0"/>
            </w:tcBorders>
            <w:vAlign w:val="center"/>
          </w:tcPr>
          <w:p w14:paraId="48615849">
            <w:pPr>
              <w:pStyle w:val="28"/>
              <w:bidi w:val="0"/>
            </w:pPr>
            <w:r>
              <w:t>0.5</w:t>
            </w:r>
          </w:p>
        </w:tc>
        <w:tc>
          <w:tcPr>
            <w:tcW w:w="568" w:type="pct"/>
            <w:tcBorders>
              <w:top w:val="single" w:color="000000" w:sz="4" w:space="0"/>
              <w:left w:val="single" w:color="000000" w:sz="4" w:space="0"/>
              <w:bottom w:val="single" w:color="000000" w:sz="4" w:space="0"/>
              <w:right w:val="single" w:color="000000" w:sz="4" w:space="0"/>
            </w:tcBorders>
            <w:vAlign w:val="center"/>
          </w:tcPr>
          <w:p w14:paraId="4EAAFEE2">
            <w:pPr>
              <w:pStyle w:val="28"/>
              <w:bidi w:val="0"/>
            </w:pPr>
            <w:r>
              <w:t>1.0</w:t>
            </w:r>
          </w:p>
        </w:tc>
      </w:tr>
      <w:tr w14:paraId="18E6AA05">
        <w:tblPrEx>
          <w:tblCellMar>
            <w:top w:w="0" w:type="dxa"/>
            <w:left w:w="108" w:type="dxa"/>
            <w:bottom w:w="0" w:type="dxa"/>
            <w:right w:w="108" w:type="dxa"/>
          </w:tblCellMar>
        </w:tblPrEx>
        <w:trPr>
          <w:trHeight w:val="340" w:hRule="atLeast"/>
          <w:jc w:val="center"/>
        </w:trPr>
        <w:tc>
          <w:tcPr>
            <w:tcW w:w="1649" w:type="pct"/>
            <w:tcBorders>
              <w:top w:val="single" w:color="000000" w:sz="4" w:space="0"/>
              <w:left w:val="single" w:color="000000" w:sz="4" w:space="0"/>
              <w:bottom w:val="single" w:color="000000" w:sz="4" w:space="0"/>
              <w:right w:val="single" w:color="000000" w:sz="4" w:space="0"/>
            </w:tcBorders>
            <w:vAlign w:val="center"/>
          </w:tcPr>
          <w:p w14:paraId="386E67DA">
            <w:pPr>
              <w:pStyle w:val="28"/>
              <w:bidi w:val="0"/>
            </w:pPr>
            <w:r>
              <w:t>5</w:t>
            </w:r>
          </w:p>
        </w:tc>
        <w:tc>
          <w:tcPr>
            <w:tcW w:w="551" w:type="pct"/>
            <w:tcBorders>
              <w:top w:val="single" w:color="000000" w:sz="4" w:space="0"/>
              <w:left w:val="single" w:color="000000" w:sz="4" w:space="0"/>
              <w:bottom w:val="single" w:color="000000" w:sz="4" w:space="0"/>
              <w:right w:val="single" w:color="000000" w:sz="4" w:space="0"/>
            </w:tcBorders>
            <w:vAlign w:val="center"/>
          </w:tcPr>
          <w:p w14:paraId="3E554377">
            <w:pPr>
              <w:pStyle w:val="28"/>
              <w:bidi w:val="0"/>
            </w:pPr>
            <w:r>
              <w:t>0.0283</w:t>
            </w:r>
          </w:p>
        </w:tc>
        <w:tc>
          <w:tcPr>
            <w:tcW w:w="560" w:type="pct"/>
            <w:tcBorders>
              <w:top w:val="single" w:color="000000" w:sz="4" w:space="0"/>
              <w:left w:val="single" w:color="000000" w:sz="4" w:space="0"/>
              <w:bottom w:val="single" w:color="000000" w:sz="4" w:space="0"/>
              <w:right w:val="single" w:color="000000" w:sz="4" w:space="0"/>
            </w:tcBorders>
            <w:vAlign w:val="center"/>
          </w:tcPr>
          <w:p w14:paraId="3758DE44">
            <w:pPr>
              <w:pStyle w:val="28"/>
              <w:bidi w:val="0"/>
            </w:pPr>
            <w:r>
              <w:t>0.0476</w:t>
            </w:r>
          </w:p>
        </w:tc>
        <w:tc>
          <w:tcPr>
            <w:tcW w:w="551" w:type="pct"/>
            <w:tcBorders>
              <w:top w:val="single" w:color="000000" w:sz="4" w:space="0"/>
              <w:left w:val="single" w:color="000000" w:sz="4" w:space="0"/>
              <w:bottom w:val="single" w:color="000000" w:sz="4" w:space="0"/>
              <w:right w:val="single" w:color="000000" w:sz="4" w:space="0"/>
            </w:tcBorders>
            <w:vAlign w:val="center"/>
          </w:tcPr>
          <w:p w14:paraId="2A5059B6">
            <w:pPr>
              <w:pStyle w:val="28"/>
              <w:bidi w:val="0"/>
            </w:pPr>
            <w:r>
              <w:t>0.0646</w:t>
            </w:r>
          </w:p>
        </w:tc>
        <w:tc>
          <w:tcPr>
            <w:tcW w:w="556" w:type="pct"/>
            <w:tcBorders>
              <w:top w:val="single" w:color="000000" w:sz="4" w:space="0"/>
              <w:left w:val="single" w:color="000000" w:sz="4" w:space="0"/>
              <w:bottom w:val="single" w:color="000000" w:sz="4" w:space="0"/>
              <w:right w:val="single" w:color="000000" w:sz="4" w:space="0"/>
            </w:tcBorders>
            <w:vAlign w:val="center"/>
          </w:tcPr>
          <w:p w14:paraId="10C104A1">
            <w:pPr>
              <w:pStyle w:val="28"/>
              <w:bidi w:val="0"/>
            </w:pPr>
            <w:r>
              <w:t>0.0801</w:t>
            </w:r>
          </w:p>
        </w:tc>
        <w:tc>
          <w:tcPr>
            <w:tcW w:w="560" w:type="pct"/>
            <w:tcBorders>
              <w:top w:val="single" w:color="000000" w:sz="4" w:space="0"/>
              <w:left w:val="single" w:color="000000" w:sz="4" w:space="0"/>
              <w:bottom w:val="single" w:color="000000" w:sz="4" w:space="0"/>
              <w:right w:val="single" w:color="000000" w:sz="4" w:space="0"/>
            </w:tcBorders>
            <w:vAlign w:val="center"/>
          </w:tcPr>
          <w:p w14:paraId="5A6DD716">
            <w:pPr>
              <w:pStyle w:val="28"/>
              <w:bidi w:val="0"/>
            </w:pPr>
            <w:r>
              <w:t>0.0947</w:t>
            </w:r>
          </w:p>
        </w:tc>
        <w:tc>
          <w:tcPr>
            <w:tcW w:w="568" w:type="pct"/>
            <w:tcBorders>
              <w:top w:val="single" w:color="000000" w:sz="4" w:space="0"/>
              <w:left w:val="single" w:color="000000" w:sz="4" w:space="0"/>
              <w:bottom w:val="single" w:color="000000" w:sz="4" w:space="0"/>
              <w:right w:val="single" w:color="000000" w:sz="4" w:space="0"/>
            </w:tcBorders>
            <w:vAlign w:val="center"/>
          </w:tcPr>
          <w:p w14:paraId="13D0F199">
            <w:pPr>
              <w:pStyle w:val="28"/>
              <w:bidi w:val="0"/>
            </w:pPr>
            <w:r>
              <w:t>0.1593</w:t>
            </w:r>
          </w:p>
        </w:tc>
      </w:tr>
      <w:tr w14:paraId="6290802C">
        <w:tblPrEx>
          <w:tblCellMar>
            <w:top w:w="0" w:type="dxa"/>
            <w:left w:w="108" w:type="dxa"/>
            <w:bottom w:w="0" w:type="dxa"/>
            <w:right w:w="108" w:type="dxa"/>
          </w:tblCellMar>
        </w:tblPrEx>
        <w:trPr>
          <w:trHeight w:val="340" w:hRule="atLeast"/>
          <w:jc w:val="center"/>
        </w:trPr>
        <w:tc>
          <w:tcPr>
            <w:tcW w:w="1649" w:type="pct"/>
            <w:tcBorders>
              <w:top w:val="single" w:color="000000" w:sz="4" w:space="0"/>
              <w:left w:val="single" w:color="000000" w:sz="4" w:space="0"/>
              <w:bottom w:val="single" w:color="000000" w:sz="4" w:space="0"/>
              <w:right w:val="single" w:color="000000" w:sz="4" w:space="0"/>
            </w:tcBorders>
            <w:vAlign w:val="center"/>
          </w:tcPr>
          <w:p w14:paraId="08BF7D35">
            <w:pPr>
              <w:pStyle w:val="28"/>
              <w:bidi w:val="0"/>
            </w:pPr>
            <w:r>
              <w:t>10</w:t>
            </w:r>
          </w:p>
        </w:tc>
        <w:tc>
          <w:tcPr>
            <w:tcW w:w="551" w:type="pct"/>
            <w:tcBorders>
              <w:top w:val="single" w:color="000000" w:sz="4" w:space="0"/>
              <w:left w:val="single" w:color="000000" w:sz="4" w:space="0"/>
              <w:bottom w:val="single" w:color="000000" w:sz="4" w:space="0"/>
              <w:right w:val="single" w:color="000000" w:sz="4" w:space="0"/>
            </w:tcBorders>
            <w:vAlign w:val="center"/>
          </w:tcPr>
          <w:p w14:paraId="4F97ADD6">
            <w:pPr>
              <w:pStyle w:val="28"/>
              <w:bidi w:val="0"/>
            </w:pPr>
            <w:r>
              <w:t>0.0566</w:t>
            </w:r>
          </w:p>
        </w:tc>
        <w:tc>
          <w:tcPr>
            <w:tcW w:w="560" w:type="pct"/>
            <w:tcBorders>
              <w:top w:val="single" w:color="000000" w:sz="4" w:space="0"/>
              <w:left w:val="single" w:color="000000" w:sz="4" w:space="0"/>
              <w:bottom w:val="single" w:color="000000" w:sz="4" w:space="0"/>
              <w:right w:val="single" w:color="000000" w:sz="4" w:space="0"/>
            </w:tcBorders>
            <w:vAlign w:val="center"/>
          </w:tcPr>
          <w:p w14:paraId="03D1C241">
            <w:pPr>
              <w:pStyle w:val="28"/>
              <w:bidi w:val="0"/>
            </w:pPr>
            <w:r>
              <w:t>0.0953</w:t>
            </w:r>
          </w:p>
        </w:tc>
        <w:tc>
          <w:tcPr>
            <w:tcW w:w="551" w:type="pct"/>
            <w:tcBorders>
              <w:top w:val="single" w:color="000000" w:sz="4" w:space="0"/>
              <w:left w:val="single" w:color="000000" w:sz="4" w:space="0"/>
              <w:bottom w:val="single" w:color="000000" w:sz="4" w:space="0"/>
              <w:right w:val="single" w:color="000000" w:sz="4" w:space="0"/>
            </w:tcBorders>
            <w:vAlign w:val="center"/>
          </w:tcPr>
          <w:p w14:paraId="4999474A">
            <w:pPr>
              <w:pStyle w:val="28"/>
              <w:bidi w:val="0"/>
            </w:pPr>
            <w:r>
              <w:t>0.1291</w:t>
            </w:r>
          </w:p>
        </w:tc>
        <w:tc>
          <w:tcPr>
            <w:tcW w:w="556" w:type="pct"/>
            <w:tcBorders>
              <w:top w:val="single" w:color="000000" w:sz="4" w:space="0"/>
              <w:left w:val="single" w:color="000000" w:sz="4" w:space="0"/>
              <w:bottom w:val="single" w:color="000000" w:sz="4" w:space="0"/>
              <w:right w:val="single" w:color="000000" w:sz="4" w:space="0"/>
            </w:tcBorders>
            <w:vAlign w:val="center"/>
          </w:tcPr>
          <w:p w14:paraId="2033FF92">
            <w:pPr>
              <w:pStyle w:val="28"/>
              <w:bidi w:val="0"/>
            </w:pPr>
            <w:r>
              <w:t>0.1602</w:t>
            </w:r>
          </w:p>
        </w:tc>
        <w:tc>
          <w:tcPr>
            <w:tcW w:w="560" w:type="pct"/>
            <w:tcBorders>
              <w:top w:val="single" w:color="000000" w:sz="4" w:space="0"/>
              <w:left w:val="single" w:color="000000" w:sz="4" w:space="0"/>
              <w:bottom w:val="single" w:color="000000" w:sz="4" w:space="0"/>
              <w:right w:val="single" w:color="000000" w:sz="4" w:space="0"/>
            </w:tcBorders>
            <w:vAlign w:val="center"/>
          </w:tcPr>
          <w:p w14:paraId="18B47955">
            <w:pPr>
              <w:pStyle w:val="28"/>
              <w:bidi w:val="0"/>
            </w:pPr>
            <w:r>
              <w:t>0.1894</w:t>
            </w:r>
          </w:p>
        </w:tc>
        <w:tc>
          <w:tcPr>
            <w:tcW w:w="568" w:type="pct"/>
            <w:tcBorders>
              <w:top w:val="single" w:color="000000" w:sz="4" w:space="0"/>
              <w:left w:val="single" w:color="000000" w:sz="4" w:space="0"/>
              <w:bottom w:val="single" w:color="000000" w:sz="4" w:space="0"/>
              <w:right w:val="single" w:color="000000" w:sz="4" w:space="0"/>
            </w:tcBorders>
            <w:vAlign w:val="center"/>
          </w:tcPr>
          <w:p w14:paraId="25581022">
            <w:pPr>
              <w:pStyle w:val="28"/>
              <w:bidi w:val="0"/>
            </w:pPr>
            <w:r>
              <w:t>0.3186</w:t>
            </w:r>
          </w:p>
        </w:tc>
      </w:tr>
      <w:tr w14:paraId="3466D7B9">
        <w:tblPrEx>
          <w:tblCellMar>
            <w:top w:w="0" w:type="dxa"/>
            <w:left w:w="108" w:type="dxa"/>
            <w:bottom w:w="0" w:type="dxa"/>
            <w:right w:w="108" w:type="dxa"/>
          </w:tblCellMar>
        </w:tblPrEx>
        <w:trPr>
          <w:trHeight w:val="340" w:hRule="atLeast"/>
          <w:jc w:val="center"/>
        </w:trPr>
        <w:tc>
          <w:tcPr>
            <w:tcW w:w="1649" w:type="pct"/>
            <w:tcBorders>
              <w:top w:val="single" w:color="000000" w:sz="4" w:space="0"/>
              <w:left w:val="single" w:color="000000" w:sz="4" w:space="0"/>
              <w:bottom w:val="single" w:color="000000" w:sz="4" w:space="0"/>
              <w:right w:val="single" w:color="000000" w:sz="4" w:space="0"/>
            </w:tcBorders>
            <w:vAlign w:val="center"/>
          </w:tcPr>
          <w:p w14:paraId="41A3D368">
            <w:pPr>
              <w:pStyle w:val="28"/>
              <w:bidi w:val="0"/>
            </w:pPr>
            <w:r>
              <w:t>15</w:t>
            </w:r>
          </w:p>
        </w:tc>
        <w:tc>
          <w:tcPr>
            <w:tcW w:w="551" w:type="pct"/>
            <w:tcBorders>
              <w:top w:val="single" w:color="000000" w:sz="4" w:space="0"/>
              <w:left w:val="single" w:color="000000" w:sz="4" w:space="0"/>
              <w:bottom w:val="single" w:color="000000" w:sz="4" w:space="0"/>
              <w:right w:val="single" w:color="000000" w:sz="4" w:space="0"/>
            </w:tcBorders>
            <w:vAlign w:val="center"/>
          </w:tcPr>
          <w:p w14:paraId="753EA82B">
            <w:pPr>
              <w:pStyle w:val="28"/>
              <w:bidi w:val="0"/>
            </w:pPr>
            <w:r>
              <w:t>0.0850</w:t>
            </w:r>
          </w:p>
        </w:tc>
        <w:tc>
          <w:tcPr>
            <w:tcW w:w="560" w:type="pct"/>
            <w:tcBorders>
              <w:top w:val="single" w:color="000000" w:sz="4" w:space="0"/>
              <w:left w:val="single" w:color="000000" w:sz="4" w:space="0"/>
              <w:bottom w:val="single" w:color="000000" w:sz="4" w:space="0"/>
              <w:right w:val="single" w:color="000000" w:sz="4" w:space="0"/>
            </w:tcBorders>
            <w:vAlign w:val="center"/>
          </w:tcPr>
          <w:p w14:paraId="626153D1">
            <w:pPr>
              <w:pStyle w:val="28"/>
              <w:bidi w:val="0"/>
            </w:pPr>
            <w:r>
              <w:t>0.1429</w:t>
            </w:r>
          </w:p>
        </w:tc>
        <w:tc>
          <w:tcPr>
            <w:tcW w:w="551" w:type="pct"/>
            <w:tcBorders>
              <w:top w:val="single" w:color="000000" w:sz="4" w:space="0"/>
              <w:left w:val="single" w:color="000000" w:sz="4" w:space="0"/>
              <w:bottom w:val="single" w:color="000000" w:sz="4" w:space="0"/>
              <w:right w:val="single" w:color="000000" w:sz="4" w:space="0"/>
            </w:tcBorders>
            <w:vAlign w:val="center"/>
          </w:tcPr>
          <w:p w14:paraId="2D0EAB4A">
            <w:pPr>
              <w:pStyle w:val="28"/>
              <w:bidi w:val="0"/>
            </w:pPr>
            <w:r>
              <w:t>0.1937</w:t>
            </w:r>
          </w:p>
        </w:tc>
        <w:tc>
          <w:tcPr>
            <w:tcW w:w="556" w:type="pct"/>
            <w:tcBorders>
              <w:top w:val="single" w:color="000000" w:sz="4" w:space="0"/>
              <w:left w:val="single" w:color="000000" w:sz="4" w:space="0"/>
              <w:bottom w:val="single" w:color="000000" w:sz="4" w:space="0"/>
              <w:right w:val="single" w:color="000000" w:sz="4" w:space="0"/>
            </w:tcBorders>
            <w:vAlign w:val="center"/>
          </w:tcPr>
          <w:p w14:paraId="5B054F7C">
            <w:pPr>
              <w:pStyle w:val="28"/>
              <w:bidi w:val="0"/>
            </w:pPr>
            <w:r>
              <w:t>0.2403</w:t>
            </w:r>
          </w:p>
        </w:tc>
        <w:tc>
          <w:tcPr>
            <w:tcW w:w="560" w:type="pct"/>
            <w:tcBorders>
              <w:top w:val="single" w:color="000000" w:sz="4" w:space="0"/>
              <w:left w:val="single" w:color="000000" w:sz="4" w:space="0"/>
              <w:bottom w:val="single" w:color="000000" w:sz="4" w:space="0"/>
              <w:right w:val="single" w:color="000000" w:sz="4" w:space="0"/>
            </w:tcBorders>
            <w:vAlign w:val="center"/>
          </w:tcPr>
          <w:p w14:paraId="78BF4AD3">
            <w:pPr>
              <w:pStyle w:val="28"/>
              <w:bidi w:val="0"/>
            </w:pPr>
            <w:r>
              <w:t>0.2841</w:t>
            </w:r>
          </w:p>
        </w:tc>
        <w:tc>
          <w:tcPr>
            <w:tcW w:w="568" w:type="pct"/>
            <w:tcBorders>
              <w:top w:val="single" w:color="000000" w:sz="4" w:space="0"/>
              <w:left w:val="single" w:color="000000" w:sz="4" w:space="0"/>
              <w:bottom w:val="single" w:color="000000" w:sz="4" w:space="0"/>
              <w:right w:val="single" w:color="000000" w:sz="4" w:space="0"/>
            </w:tcBorders>
            <w:vAlign w:val="center"/>
          </w:tcPr>
          <w:p w14:paraId="4CD8FB9C">
            <w:pPr>
              <w:pStyle w:val="28"/>
              <w:bidi w:val="0"/>
            </w:pPr>
            <w:r>
              <w:t>0.4778</w:t>
            </w:r>
          </w:p>
        </w:tc>
      </w:tr>
      <w:tr w14:paraId="1E27EE74">
        <w:tblPrEx>
          <w:tblCellMar>
            <w:top w:w="0" w:type="dxa"/>
            <w:left w:w="108" w:type="dxa"/>
            <w:bottom w:w="0" w:type="dxa"/>
            <w:right w:w="108" w:type="dxa"/>
          </w:tblCellMar>
        </w:tblPrEx>
        <w:trPr>
          <w:trHeight w:val="340" w:hRule="atLeast"/>
          <w:jc w:val="center"/>
        </w:trPr>
        <w:tc>
          <w:tcPr>
            <w:tcW w:w="1649" w:type="pct"/>
            <w:tcBorders>
              <w:top w:val="single" w:color="000000" w:sz="4" w:space="0"/>
              <w:left w:val="single" w:color="000000" w:sz="4" w:space="0"/>
              <w:bottom w:val="single" w:color="000000" w:sz="4" w:space="0"/>
              <w:right w:val="single" w:color="000000" w:sz="4" w:space="0"/>
            </w:tcBorders>
            <w:vAlign w:val="center"/>
          </w:tcPr>
          <w:p w14:paraId="105CFD5E">
            <w:pPr>
              <w:pStyle w:val="28"/>
              <w:bidi w:val="0"/>
            </w:pPr>
            <w:r>
              <w:t>20</w:t>
            </w:r>
          </w:p>
        </w:tc>
        <w:tc>
          <w:tcPr>
            <w:tcW w:w="551" w:type="pct"/>
            <w:tcBorders>
              <w:top w:val="single" w:color="000000" w:sz="4" w:space="0"/>
              <w:left w:val="single" w:color="000000" w:sz="4" w:space="0"/>
              <w:bottom w:val="single" w:color="000000" w:sz="4" w:space="0"/>
              <w:right w:val="single" w:color="000000" w:sz="4" w:space="0"/>
            </w:tcBorders>
            <w:vAlign w:val="center"/>
          </w:tcPr>
          <w:p w14:paraId="5BFF2E88">
            <w:pPr>
              <w:pStyle w:val="28"/>
              <w:bidi w:val="0"/>
            </w:pPr>
            <w:r>
              <w:t>0.1133</w:t>
            </w:r>
          </w:p>
        </w:tc>
        <w:tc>
          <w:tcPr>
            <w:tcW w:w="560" w:type="pct"/>
            <w:tcBorders>
              <w:top w:val="single" w:color="000000" w:sz="4" w:space="0"/>
              <w:left w:val="single" w:color="000000" w:sz="4" w:space="0"/>
              <w:bottom w:val="single" w:color="000000" w:sz="4" w:space="0"/>
              <w:right w:val="single" w:color="000000" w:sz="4" w:space="0"/>
            </w:tcBorders>
            <w:vAlign w:val="center"/>
          </w:tcPr>
          <w:p w14:paraId="46350708">
            <w:pPr>
              <w:pStyle w:val="28"/>
              <w:bidi w:val="0"/>
            </w:pPr>
            <w:r>
              <w:t>0.1905</w:t>
            </w:r>
          </w:p>
        </w:tc>
        <w:tc>
          <w:tcPr>
            <w:tcW w:w="551" w:type="pct"/>
            <w:tcBorders>
              <w:top w:val="single" w:color="000000" w:sz="4" w:space="0"/>
              <w:left w:val="single" w:color="000000" w:sz="4" w:space="0"/>
              <w:bottom w:val="single" w:color="000000" w:sz="4" w:space="0"/>
              <w:right w:val="single" w:color="000000" w:sz="4" w:space="0"/>
            </w:tcBorders>
            <w:vAlign w:val="center"/>
          </w:tcPr>
          <w:p w14:paraId="742D432A">
            <w:pPr>
              <w:pStyle w:val="28"/>
              <w:bidi w:val="0"/>
            </w:pPr>
            <w:r>
              <w:t>0.2583</w:t>
            </w:r>
          </w:p>
        </w:tc>
        <w:tc>
          <w:tcPr>
            <w:tcW w:w="556" w:type="pct"/>
            <w:tcBorders>
              <w:top w:val="single" w:color="000000" w:sz="4" w:space="0"/>
              <w:left w:val="single" w:color="000000" w:sz="4" w:space="0"/>
              <w:bottom w:val="single" w:color="000000" w:sz="4" w:space="0"/>
              <w:right w:val="single" w:color="000000" w:sz="4" w:space="0"/>
            </w:tcBorders>
            <w:vAlign w:val="center"/>
          </w:tcPr>
          <w:p w14:paraId="16020709">
            <w:pPr>
              <w:pStyle w:val="28"/>
              <w:bidi w:val="0"/>
            </w:pPr>
            <w:r>
              <w:t>0.3204</w:t>
            </w:r>
          </w:p>
        </w:tc>
        <w:tc>
          <w:tcPr>
            <w:tcW w:w="560" w:type="pct"/>
            <w:tcBorders>
              <w:top w:val="single" w:color="000000" w:sz="4" w:space="0"/>
              <w:left w:val="single" w:color="000000" w:sz="4" w:space="0"/>
              <w:bottom w:val="single" w:color="000000" w:sz="4" w:space="0"/>
              <w:right w:val="single" w:color="000000" w:sz="4" w:space="0"/>
            </w:tcBorders>
            <w:vAlign w:val="center"/>
          </w:tcPr>
          <w:p w14:paraId="760CE1D4">
            <w:pPr>
              <w:pStyle w:val="28"/>
              <w:bidi w:val="0"/>
            </w:pPr>
            <w:r>
              <w:t>0.3788</w:t>
            </w:r>
          </w:p>
        </w:tc>
        <w:tc>
          <w:tcPr>
            <w:tcW w:w="568" w:type="pct"/>
            <w:tcBorders>
              <w:top w:val="single" w:color="000000" w:sz="4" w:space="0"/>
              <w:left w:val="single" w:color="000000" w:sz="4" w:space="0"/>
              <w:bottom w:val="single" w:color="000000" w:sz="4" w:space="0"/>
              <w:right w:val="single" w:color="000000" w:sz="4" w:space="0"/>
            </w:tcBorders>
            <w:vAlign w:val="center"/>
          </w:tcPr>
          <w:p w14:paraId="2A25F1B4">
            <w:pPr>
              <w:pStyle w:val="28"/>
              <w:bidi w:val="0"/>
            </w:pPr>
            <w:r>
              <w:t>0.6371</w:t>
            </w:r>
          </w:p>
        </w:tc>
      </w:tr>
    </w:tbl>
    <w:p w14:paraId="7DA66F7C">
      <w:pPr>
        <w:tabs>
          <w:tab w:val="left" w:pos="0"/>
        </w:tabs>
        <w:spacing w:line="240" w:lineRule="auto"/>
        <w:jc w:val="center"/>
        <w:rPr>
          <w:rFonts w:cs="Times New Roman"/>
          <w:bCs/>
          <w:color w:val="0000FF"/>
        </w:rPr>
      </w:pPr>
    </w:p>
    <w:p w14:paraId="216C9826">
      <w:pPr>
        <w:bidi w:val="0"/>
      </w:pPr>
      <w:r>
        <w:t>由表</w:t>
      </w:r>
      <w:r>
        <w:rPr>
          <w:rFonts w:hint="eastAsia"/>
        </w:rPr>
        <w:t>5</w:t>
      </w:r>
      <w:r>
        <w:rPr>
          <w:rFonts w:hint="eastAsia"/>
          <w:lang w:val="en-US" w:eastAsia="zh-CN"/>
        </w:rPr>
        <w:t>.</w:t>
      </w:r>
      <w:r>
        <w:rPr>
          <w:rFonts w:hint="eastAsia"/>
        </w:rPr>
        <w:t>3-2</w:t>
      </w:r>
      <w:r>
        <w:t>可知，同样路面清洁程度情况下，车速越快，扬尘量越大，而在同样车速情况下，路面清洁程度越差，则扬尘量越大。因此，施工期土方、建材等运输过程中应限制运输车辆行驶速度并保持路面清洁。根据水利工地施工经验，在道路不洒水的情况下，交通扬尘影响范围一般为50m左右，地面洒水后，扬尘量会大大减少，具体见表</w:t>
      </w:r>
      <w:r>
        <w:rPr>
          <w:rFonts w:hint="eastAsia"/>
        </w:rPr>
        <w:t>5</w:t>
      </w:r>
      <w:r>
        <w:rPr>
          <w:rFonts w:hint="eastAsia"/>
          <w:lang w:val="en-US" w:eastAsia="zh-CN"/>
        </w:rPr>
        <w:t>.</w:t>
      </w:r>
      <w:r>
        <w:rPr>
          <w:rFonts w:hint="eastAsia"/>
        </w:rPr>
        <w:t>3-3</w:t>
      </w:r>
      <w:r>
        <w:t>。</w:t>
      </w:r>
    </w:p>
    <w:p w14:paraId="26F87344">
      <w:pPr>
        <w:pStyle w:val="29"/>
        <w:bidi w:val="0"/>
      </w:pPr>
      <w:r>
        <w:t>表</w:t>
      </w:r>
      <w:r>
        <w:rPr>
          <w:rFonts w:hint="eastAsia"/>
        </w:rPr>
        <w:t>5</w:t>
      </w:r>
      <w:r>
        <w:rPr>
          <w:rFonts w:hint="eastAsia"/>
          <w:lang w:val="en-US" w:eastAsia="zh-CN"/>
        </w:rPr>
        <w:t>.</w:t>
      </w:r>
      <w:r>
        <w:rPr>
          <w:rFonts w:hint="eastAsia"/>
        </w:rPr>
        <w:t xml:space="preserve">3-3  </w:t>
      </w:r>
      <w:r>
        <w:t>交通扬尘污染状况TSP浓度变化对比表</w:t>
      </w:r>
    </w:p>
    <w:tbl>
      <w:tblPr>
        <w:tblStyle w:val="16"/>
        <w:tblW w:w="4999" w:type="pct"/>
        <w:jc w:val="center"/>
        <w:tblLayout w:type="autofit"/>
        <w:tblCellMar>
          <w:top w:w="0" w:type="dxa"/>
          <w:left w:w="108" w:type="dxa"/>
          <w:bottom w:w="0" w:type="dxa"/>
          <w:right w:w="108" w:type="dxa"/>
        </w:tblCellMar>
      </w:tblPr>
      <w:tblGrid>
        <w:gridCol w:w="2335"/>
        <w:gridCol w:w="2332"/>
        <w:gridCol w:w="2311"/>
        <w:gridCol w:w="2307"/>
      </w:tblGrid>
      <w:tr w14:paraId="4CA79FCD">
        <w:tblPrEx>
          <w:tblCellMar>
            <w:top w:w="0" w:type="dxa"/>
            <w:left w:w="108" w:type="dxa"/>
            <w:bottom w:w="0" w:type="dxa"/>
            <w:right w:w="108" w:type="dxa"/>
          </w:tblCellMar>
        </w:tblPrEx>
        <w:trPr>
          <w:trHeight w:val="340" w:hRule="atLeast"/>
          <w:jc w:val="center"/>
        </w:trPr>
        <w:tc>
          <w:tcPr>
            <w:tcW w:w="2512" w:type="pct"/>
            <w:gridSpan w:val="2"/>
            <w:tcBorders>
              <w:top w:val="single" w:color="000000" w:sz="4" w:space="0"/>
              <w:left w:val="single" w:color="000000" w:sz="4" w:space="0"/>
              <w:bottom w:val="single" w:color="000000" w:sz="4" w:space="0"/>
              <w:right w:val="single" w:color="000000" w:sz="4" w:space="0"/>
            </w:tcBorders>
            <w:vAlign w:val="center"/>
          </w:tcPr>
          <w:p w14:paraId="4C9581F9">
            <w:pPr>
              <w:pStyle w:val="28"/>
              <w:bidi w:val="0"/>
            </w:pPr>
            <w:r>
              <w:t>监测点位置</w:t>
            </w:r>
          </w:p>
        </w:tc>
        <w:tc>
          <w:tcPr>
            <w:tcW w:w="1244" w:type="pct"/>
            <w:tcBorders>
              <w:top w:val="single" w:color="000000" w:sz="4" w:space="0"/>
              <w:left w:val="single" w:color="000000" w:sz="4" w:space="0"/>
              <w:bottom w:val="single" w:color="000000" w:sz="4" w:space="0"/>
              <w:right w:val="single" w:color="000000" w:sz="4" w:space="0"/>
            </w:tcBorders>
            <w:vAlign w:val="center"/>
          </w:tcPr>
          <w:p w14:paraId="4C3ECF77">
            <w:pPr>
              <w:pStyle w:val="28"/>
              <w:bidi w:val="0"/>
            </w:pPr>
            <w:r>
              <w:t>场地不洒水</w:t>
            </w:r>
          </w:p>
        </w:tc>
        <w:tc>
          <w:tcPr>
            <w:tcW w:w="1242" w:type="pct"/>
            <w:tcBorders>
              <w:top w:val="single" w:color="000000" w:sz="4" w:space="0"/>
              <w:left w:val="single" w:color="000000" w:sz="4" w:space="0"/>
              <w:bottom w:val="single" w:color="000000" w:sz="4" w:space="0"/>
              <w:right w:val="single" w:color="000000" w:sz="4" w:space="0"/>
            </w:tcBorders>
            <w:vAlign w:val="center"/>
          </w:tcPr>
          <w:p w14:paraId="434A6E51">
            <w:pPr>
              <w:pStyle w:val="28"/>
              <w:bidi w:val="0"/>
            </w:pPr>
            <w:r>
              <w:t>场地洒水后</w:t>
            </w:r>
          </w:p>
        </w:tc>
      </w:tr>
      <w:tr w14:paraId="6ED0E019">
        <w:tblPrEx>
          <w:tblCellMar>
            <w:top w:w="0" w:type="dxa"/>
            <w:left w:w="108" w:type="dxa"/>
            <w:bottom w:w="0" w:type="dxa"/>
            <w:right w:w="108" w:type="dxa"/>
          </w:tblCellMar>
        </w:tblPrEx>
        <w:trPr>
          <w:trHeight w:val="340" w:hRule="atLeast"/>
          <w:jc w:val="center"/>
        </w:trPr>
        <w:tc>
          <w:tcPr>
            <w:tcW w:w="1257" w:type="pct"/>
            <w:vMerge w:val="restart"/>
            <w:tcBorders>
              <w:top w:val="single" w:color="000000" w:sz="4" w:space="0"/>
              <w:left w:val="single" w:color="000000" w:sz="4" w:space="0"/>
              <w:bottom w:val="single" w:color="000000" w:sz="4" w:space="0"/>
              <w:right w:val="single" w:color="000000" w:sz="4" w:space="0"/>
            </w:tcBorders>
            <w:vAlign w:val="center"/>
          </w:tcPr>
          <w:p w14:paraId="46516063">
            <w:pPr>
              <w:pStyle w:val="28"/>
              <w:bidi w:val="0"/>
            </w:pPr>
            <w:r>
              <w:t>距场地不同距离处TSP的浓度值（mg/m³）</w:t>
            </w:r>
          </w:p>
        </w:tc>
        <w:tc>
          <w:tcPr>
            <w:tcW w:w="1254" w:type="pct"/>
            <w:tcBorders>
              <w:top w:val="single" w:color="000000" w:sz="4" w:space="0"/>
              <w:left w:val="single" w:color="000000" w:sz="4" w:space="0"/>
              <w:bottom w:val="single" w:color="000000" w:sz="4" w:space="0"/>
              <w:right w:val="single" w:color="000000" w:sz="4" w:space="0"/>
            </w:tcBorders>
            <w:vAlign w:val="center"/>
          </w:tcPr>
          <w:p w14:paraId="632ADC25">
            <w:pPr>
              <w:pStyle w:val="28"/>
              <w:bidi w:val="0"/>
            </w:pPr>
            <w:r>
              <w:t>10m</w:t>
            </w:r>
          </w:p>
        </w:tc>
        <w:tc>
          <w:tcPr>
            <w:tcW w:w="1244" w:type="pct"/>
            <w:tcBorders>
              <w:top w:val="single" w:color="000000" w:sz="4" w:space="0"/>
              <w:left w:val="single" w:color="000000" w:sz="4" w:space="0"/>
              <w:bottom w:val="single" w:color="000000" w:sz="4" w:space="0"/>
              <w:right w:val="single" w:color="000000" w:sz="4" w:space="0"/>
            </w:tcBorders>
            <w:vAlign w:val="center"/>
          </w:tcPr>
          <w:p w14:paraId="338610B9">
            <w:pPr>
              <w:pStyle w:val="28"/>
              <w:bidi w:val="0"/>
            </w:pPr>
            <w:r>
              <w:t>1.75</w:t>
            </w:r>
          </w:p>
        </w:tc>
        <w:tc>
          <w:tcPr>
            <w:tcW w:w="1242" w:type="pct"/>
            <w:tcBorders>
              <w:top w:val="single" w:color="000000" w:sz="4" w:space="0"/>
              <w:left w:val="single" w:color="000000" w:sz="4" w:space="0"/>
              <w:bottom w:val="single" w:color="000000" w:sz="4" w:space="0"/>
              <w:right w:val="single" w:color="000000" w:sz="4" w:space="0"/>
            </w:tcBorders>
            <w:vAlign w:val="center"/>
          </w:tcPr>
          <w:p w14:paraId="3AD11C8C">
            <w:pPr>
              <w:pStyle w:val="28"/>
              <w:bidi w:val="0"/>
            </w:pPr>
            <w:r>
              <w:t>0.437</w:t>
            </w:r>
          </w:p>
        </w:tc>
      </w:tr>
      <w:tr w14:paraId="239D6C44">
        <w:tblPrEx>
          <w:tblCellMar>
            <w:top w:w="0" w:type="dxa"/>
            <w:left w:w="108" w:type="dxa"/>
            <w:bottom w:w="0" w:type="dxa"/>
            <w:right w:w="108" w:type="dxa"/>
          </w:tblCellMar>
        </w:tblPrEx>
        <w:trPr>
          <w:trHeight w:val="340" w:hRule="atLeast"/>
          <w:jc w:val="center"/>
        </w:trPr>
        <w:tc>
          <w:tcPr>
            <w:tcW w:w="1257" w:type="pct"/>
            <w:vMerge w:val="continue"/>
            <w:tcBorders>
              <w:top w:val="single" w:color="000000" w:sz="4" w:space="0"/>
              <w:left w:val="single" w:color="000000" w:sz="4" w:space="0"/>
              <w:bottom w:val="single" w:color="000000" w:sz="4" w:space="0"/>
              <w:right w:val="single" w:color="000000" w:sz="4" w:space="0"/>
            </w:tcBorders>
            <w:vAlign w:val="center"/>
          </w:tcPr>
          <w:p w14:paraId="18F44363">
            <w:pPr>
              <w:pStyle w:val="28"/>
              <w:bidi w:val="0"/>
            </w:pPr>
          </w:p>
        </w:tc>
        <w:tc>
          <w:tcPr>
            <w:tcW w:w="1254" w:type="pct"/>
            <w:tcBorders>
              <w:top w:val="single" w:color="000000" w:sz="4" w:space="0"/>
              <w:left w:val="single" w:color="000000" w:sz="4" w:space="0"/>
              <w:bottom w:val="single" w:color="000000" w:sz="4" w:space="0"/>
              <w:right w:val="single" w:color="000000" w:sz="4" w:space="0"/>
            </w:tcBorders>
            <w:vAlign w:val="center"/>
          </w:tcPr>
          <w:p w14:paraId="66970D6A">
            <w:pPr>
              <w:pStyle w:val="28"/>
              <w:bidi w:val="0"/>
            </w:pPr>
            <w:r>
              <w:t>20m</w:t>
            </w:r>
          </w:p>
        </w:tc>
        <w:tc>
          <w:tcPr>
            <w:tcW w:w="1244" w:type="pct"/>
            <w:tcBorders>
              <w:top w:val="single" w:color="000000" w:sz="4" w:space="0"/>
              <w:left w:val="single" w:color="000000" w:sz="4" w:space="0"/>
              <w:bottom w:val="single" w:color="000000" w:sz="4" w:space="0"/>
              <w:right w:val="single" w:color="000000" w:sz="4" w:space="0"/>
            </w:tcBorders>
            <w:vAlign w:val="center"/>
          </w:tcPr>
          <w:p w14:paraId="784B0B9B">
            <w:pPr>
              <w:pStyle w:val="28"/>
              <w:bidi w:val="0"/>
            </w:pPr>
            <w:r>
              <w:t>1.30</w:t>
            </w:r>
          </w:p>
        </w:tc>
        <w:tc>
          <w:tcPr>
            <w:tcW w:w="1242" w:type="pct"/>
            <w:tcBorders>
              <w:top w:val="single" w:color="000000" w:sz="4" w:space="0"/>
              <w:left w:val="single" w:color="000000" w:sz="4" w:space="0"/>
              <w:bottom w:val="single" w:color="000000" w:sz="4" w:space="0"/>
              <w:right w:val="single" w:color="000000" w:sz="4" w:space="0"/>
            </w:tcBorders>
            <w:vAlign w:val="center"/>
          </w:tcPr>
          <w:p w14:paraId="364B106C">
            <w:pPr>
              <w:pStyle w:val="28"/>
              <w:bidi w:val="0"/>
            </w:pPr>
            <w:r>
              <w:t>0.350</w:t>
            </w:r>
          </w:p>
        </w:tc>
      </w:tr>
      <w:tr w14:paraId="4B16469C">
        <w:tblPrEx>
          <w:tblCellMar>
            <w:top w:w="0" w:type="dxa"/>
            <w:left w:w="108" w:type="dxa"/>
            <w:bottom w:w="0" w:type="dxa"/>
            <w:right w:w="108" w:type="dxa"/>
          </w:tblCellMar>
        </w:tblPrEx>
        <w:trPr>
          <w:trHeight w:val="340" w:hRule="atLeast"/>
          <w:jc w:val="center"/>
        </w:trPr>
        <w:tc>
          <w:tcPr>
            <w:tcW w:w="1257" w:type="pct"/>
            <w:vMerge w:val="continue"/>
            <w:tcBorders>
              <w:top w:val="single" w:color="000000" w:sz="4" w:space="0"/>
              <w:left w:val="single" w:color="000000" w:sz="4" w:space="0"/>
              <w:bottom w:val="single" w:color="000000" w:sz="4" w:space="0"/>
              <w:right w:val="single" w:color="000000" w:sz="4" w:space="0"/>
            </w:tcBorders>
            <w:vAlign w:val="center"/>
          </w:tcPr>
          <w:p w14:paraId="6F620EF6">
            <w:pPr>
              <w:pStyle w:val="28"/>
              <w:bidi w:val="0"/>
            </w:pPr>
          </w:p>
        </w:tc>
        <w:tc>
          <w:tcPr>
            <w:tcW w:w="1254" w:type="pct"/>
            <w:tcBorders>
              <w:top w:val="single" w:color="000000" w:sz="4" w:space="0"/>
              <w:left w:val="single" w:color="000000" w:sz="4" w:space="0"/>
              <w:bottom w:val="single" w:color="000000" w:sz="4" w:space="0"/>
              <w:right w:val="single" w:color="000000" w:sz="4" w:space="0"/>
            </w:tcBorders>
            <w:vAlign w:val="center"/>
          </w:tcPr>
          <w:p w14:paraId="2D38B702">
            <w:pPr>
              <w:pStyle w:val="28"/>
              <w:bidi w:val="0"/>
            </w:pPr>
            <w:r>
              <w:t>30m</w:t>
            </w:r>
          </w:p>
        </w:tc>
        <w:tc>
          <w:tcPr>
            <w:tcW w:w="1244" w:type="pct"/>
            <w:tcBorders>
              <w:top w:val="single" w:color="000000" w:sz="4" w:space="0"/>
              <w:left w:val="single" w:color="000000" w:sz="4" w:space="0"/>
              <w:bottom w:val="single" w:color="000000" w:sz="4" w:space="0"/>
              <w:right w:val="single" w:color="000000" w:sz="4" w:space="0"/>
            </w:tcBorders>
            <w:vAlign w:val="center"/>
          </w:tcPr>
          <w:p w14:paraId="3EF18951">
            <w:pPr>
              <w:pStyle w:val="28"/>
              <w:bidi w:val="0"/>
            </w:pPr>
            <w:r>
              <w:t>0.78</w:t>
            </w:r>
          </w:p>
        </w:tc>
        <w:tc>
          <w:tcPr>
            <w:tcW w:w="1242" w:type="pct"/>
            <w:tcBorders>
              <w:top w:val="single" w:color="000000" w:sz="4" w:space="0"/>
              <w:left w:val="single" w:color="000000" w:sz="4" w:space="0"/>
              <w:bottom w:val="single" w:color="000000" w:sz="4" w:space="0"/>
              <w:right w:val="single" w:color="000000" w:sz="4" w:space="0"/>
            </w:tcBorders>
            <w:vAlign w:val="center"/>
          </w:tcPr>
          <w:p w14:paraId="5CA1B04F">
            <w:pPr>
              <w:pStyle w:val="28"/>
              <w:bidi w:val="0"/>
            </w:pPr>
            <w:r>
              <w:t>0.310</w:t>
            </w:r>
          </w:p>
        </w:tc>
      </w:tr>
      <w:tr w14:paraId="7AB774B0">
        <w:tblPrEx>
          <w:tblCellMar>
            <w:top w:w="0" w:type="dxa"/>
            <w:left w:w="108" w:type="dxa"/>
            <w:bottom w:w="0" w:type="dxa"/>
            <w:right w:w="108" w:type="dxa"/>
          </w:tblCellMar>
        </w:tblPrEx>
        <w:trPr>
          <w:trHeight w:val="340" w:hRule="atLeast"/>
          <w:jc w:val="center"/>
        </w:trPr>
        <w:tc>
          <w:tcPr>
            <w:tcW w:w="1257" w:type="pct"/>
            <w:vMerge w:val="continue"/>
            <w:tcBorders>
              <w:top w:val="single" w:color="000000" w:sz="4" w:space="0"/>
              <w:left w:val="single" w:color="000000" w:sz="4" w:space="0"/>
              <w:bottom w:val="single" w:color="000000" w:sz="4" w:space="0"/>
              <w:right w:val="single" w:color="000000" w:sz="4" w:space="0"/>
            </w:tcBorders>
            <w:vAlign w:val="center"/>
          </w:tcPr>
          <w:p w14:paraId="46A5A7A8">
            <w:pPr>
              <w:pStyle w:val="28"/>
              <w:bidi w:val="0"/>
            </w:pPr>
          </w:p>
        </w:tc>
        <w:tc>
          <w:tcPr>
            <w:tcW w:w="1254" w:type="pct"/>
            <w:tcBorders>
              <w:top w:val="single" w:color="000000" w:sz="4" w:space="0"/>
              <w:left w:val="single" w:color="000000" w:sz="4" w:space="0"/>
              <w:bottom w:val="single" w:color="000000" w:sz="4" w:space="0"/>
              <w:right w:val="single" w:color="000000" w:sz="4" w:space="0"/>
            </w:tcBorders>
            <w:vAlign w:val="center"/>
          </w:tcPr>
          <w:p w14:paraId="1F4BB17D">
            <w:pPr>
              <w:pStyle w:val="28"/>
              <w:bidi w:val="0"/>
            </w:pPr>
            <w:r>
              <w:t>40m</w:t>
            </w:r>
          </w:p>
        </w:tc>
        <w:tc>
          <w:tcPr>
            <w:tcW w:w="1244" w:type="pct"/>
            <w:tcBorders>
              <w:top w:val="single" w:color="000000" w:sz="4" w:space="0"/>
              <w:left w:val="single" w:color="000000" w:sz="4" w:space="0"/>
              <w:bottom w:val="single" w:color="000000" w:sz="4" w:space="0"/>
              <w:right w:val="single" w:color="000000" w:sz="4" w:space="0"/>
            </w:tcBorders>
            <w:vAlign w:val="center"/>
          </w:tcPr>
          <w:p w14:paraId="3C4F2584">
            <w:pPr>
              <w:pStyle w:val="28"/>
              <w:bidi w:val="0"/>
            </w:pPr>
            <w:r>
              <w:t>0.365</w:t>
            </w:r>
          </w:p>
        </w:tc>
        <w:tc>
          <w:tcPr>
            <w:tcW w:w="1242" w:type="pct"/>
            <w:tcBorders>
              <w:top w:val="single" w:color="000000" w:sz="4" w:space="0"/>
              <w:left w:val="single" w:color="000000" w:sz="4" w:space="0"/>
              <w:bottom w:val="single" w:color="000000" w:sz="4" w:space="0"/>
              <w:right w:val="single" w:color="000000" w:sz="4" w:space="0"/>
            </w:tcBorders>
            <w:vAlign w:val="center"/>
          </w:tcPr>
          <w:p w14:paraId="0403904C">
            <w:pPr>
              <w:pStyle w:val="28"/>
              <w:bidi w:val="0"/>
            </w:pPr>
            <w:r>
              <w:t>0.265</w:t>
            </w:r>
          </w:p>
        </w:tc>
      </w:tr>
      <w:tr w14:paraId="672DA7D1">
        <w:trPr>
          <w:trHeight w:val="340" w:hRule="atLeast"/>
          <w:jc w:val="center"/>
        </w:trPr>
        <w:tc>
          <w:tcPr>
            <w:tcW w:w="1257" w:type="pct"/>
            <w:vMerge w:val="continue"/>
            <w:tcBorders>
              <w:top w:val="single" w:color="000000" w:sz="4" w:space="0"/>
              <w:left w:val="single" w:color="000000" w:sz="4" w:space="0"/>
              <w:bottom w:val="single" w:color="000000" w:sz="4" w:space="0"/>
              <w:right w:val="single" w:color="000000" w:sz="4" w:space="0"/>
            </w:tcBorders>
            <w:vAlign w:val="center"/>
          </w:tcPr>
          <w:p w14:paraId="65B9332A">
            <w:pPr>
              <w:pStyle w:val="28"/>
              <w:bidi w:val="0"/>
            </w:pPr>
          </w:p>
        </w:tc>
        <w:tc>
          <w:tcPr>
            <w:tcW w:w="1254" w:type="pct"/>
            <w:tcBorders>
              <w:top w:val="single" w:color="000000" w:sz="4" w:space="0"/>
              <w:left w:val="single" w:color="000000" w:sz="4" w:space="0"/>
              <w:bottom w:val="single" w:color="000000" w:sz="4" w:space="0"/>
              <w:right w:val="single" w:color="000000" w:sz="4" w:space="0"/>
            </w:tcBorders>
            <w:vAlign w:val="center"/>
          </w:tcPr>
          <w:p w14:paraId="7EAC336E">
            <w:pPr>
              <w:pStyle w:val="28"/>
              <w:bidi w:val="0"/>
            </w:pPr>
            <w:r>
              <w:t>50m</w:t>
            </w:r>
          </w:p>
        </w:tc>
        <w:tc>
          <w:tcPr>
            <w:tcW w:w="1244" w:type="pct"/>
            <w:tcBorders>
              <w:top w:val="single" w:color="000000" w:sz="4" w:space="0"/>
              <w:left w:val="single" w:color="000000" w:sz="4" w:space="0"/>
              <w:bottom w:val="single" w:color="000000" w:sz="4" w:space="0"/>
              <w:right w:val="single" w:color="000000" w:sz="4" w:space="0"/>
            </w:tcBorders>
            <w:vAlign w:val="center"/>
          </w:tcPr>
          <w:p w14:paraId="42AC91F5">
            <w:pPr>
              <w:pStyle w:val="28"/>
              <w:bidi w:val="0"/>
            </w:pPr>
            <w:r>
              <w:t>0.345</w:t>
            </w:r>
          </w:p>
        </w:tc>
        <w:tc>
          <w:tcPr>
            <w:tcW w:w="1242" w:type="pct"/>
            <w:tcBorders>
              <w:top w:val="single" w:color="000000" w:sz="4" w:space="0"/>
              <w:left w:val="single" w:color="000000" w:sz="4" w:space="0"/>
              <w:bottom w:val="single" w:color="000000" w:sz="4" w:space="0"/>
              <w:right w:val="single" w:color="000000" w:sz="4" w:space="0"/>
            </w:tcBorders>
            <w:vAlign w:val="center"/>
          </w:tcPr>
          <w:p w14:paraId="06A44727">
            <w:pPr>
              <w:pStyle w:val="28"/>
              <w:bidi w:val="0"/>
            </w:pPr>
            <w:r>
              <w:t>0.250</w:t>
            </w:r>
          </w:p>
        </w:tc>
      </w:tr>
      <w:tr w14:paraId="05315CD4">
        <w:tblPrEx>
          <w:tblCellMar>
            <w:top w:w="0" w:type="dxa"/>
            <w:left w:w="108" w:type="dxa"/>
            <w:bottom w:w="0" w:type="dxa"/>
            <w:right w:w="108" w:type="dxa"/>
          </w:tblCellMar>
        </w:tblPrEx>
        <w:trPr>
          <w:trHeight w:val="340" w:hRule="atLeast"/>
          <w:jc w:val="center"/>
        </w:trPr>
        <w:tc>
          <w:tcPr>
            <w:tcW w:w="1257" w:type="pct"/>
            <w:vMerge w:val="continue"/>
            <w:tcBorders>
              <w:top w:val="single" w:color="000000" w:sz="4" w:space="0"/>
              <w:left w:val="single" w:color="000000" w:sz="4" w:space="0"/>
              <w:bottom w:val="single" w:color="000000" w:sz="4" w:space="0"/>
              <w:right w:val="single" w:color="000000" w:sz="4" w:space="0"/>
            </w:tcBorders>
            <w:vAlign w:val="center"/>
          </w:tcPr>
          <w:p w14:paraId="335EF72C">
            <w:pPr>
              <w:pStyle w:val="28"/>
              <w:bidi w:val="0"/>
            </w:pPr>
          </w:p>
        </w:tc>
        <w:tc>
          <w:tcPr>
            <w:tcW w:w="1254" w:type="pct"/>
            <w:tcBorders>
              <w:top w:val="single" w:color="000000" w:sz="4" w:space="0"/>
              <w:left w:val="single" w:color="000000" w:sz="4" w:space="0"/>
              <w:bottom w:val="single" w:color="000000" w:sz="4" w:space="0"/>
              <w:right w:val="single" w:color="000000" w:sz="4" w:space="0"/>
            </w:tcBorders>
            <w:vAlign w:val="center"/>
          </w:tcPr>
          <w:p w14:paraId="0DA96FC3">
            <w:pPr>
              <w:pStyle w:val="28"/>
              <w:bidi w:val="0"/>
            </w:pPr>
            <w:r>
              <w:t>100m</w:t>
            </w:r>
          </w:p>
        </w:tc>
        <w:tc>
          <w:tcPr>
            <w:tcW w:w="1244" w:type="pct"/>
            <w:tcBorders>
              <w:top w:val="single" w:color="000000" w:sz="4" w:space="0"/>
              <w:left w:val="single" w:color="000000" w:sz="4" w:space="0"/>
              <w:bottom w:val="single" w:color="000000" w:sz="4" w:space="0"/>
              <w:right w:val="single" w:color="000000" w:sz="4" w:space="0"/>
            </w:tcBorders>
            <w:vAlign w:val="center"/>
          </w:tcPr>
          <w:p w14:paraId="60172318">
            <w:pPr>
              <w:pStyle w:val="28"/>
              <w:bidi w:val="0"/>
            </w:pPr>
            <w:r>
              <w:t>0.330</w:t>
            </w:r>
          </w:p>
        </w:tc>
        <w:tc>
          <w:tcPr>
            <w:tcW w:w="1242" w:type="pct"/>
            <w:tcBorders>
              <w:top w:val="single" w:color="000000" w:sz="4" w:space="0"/>
              <w:left w:val="single" w:color="000000" w:sz="4" w:space="0"/>
              <w:bottom w:val="single" w:color="000000" w:sz="4" w:space="0"/>
              <w:right w:val="single" w:color="000000" w:sz="4" w:space="0"/>
            </w:tcBorders>
            <w:vAlign w:val="center"/>
          </w:tcPr>
          <w:p w14:paraId="6F69342D">
            <w:pPr>
              <w:pStyle w:val="28"/>
              <w:bidi w:val="0"/>
            </w:pPr>
            <w:r>
              <w:t>0.238</w:t>
            </w:r>
          </w:p>
        </w:tc>
      </w:tr>
    </w:tbl>
    <w:p w14:paraId="2E9AADD6">
      <w:pPr>
        <w:tabs>
          <w:tab w:val="left" w:pos="0"/>
        </w:tabs>
        <w:spacing w:line="240" w:lineRule="auto"/>
        <w:jc w:val="center"/>
        <w:rPr>
          <w:rFonts w:cs="Times New Roman"/>
          <w:bCs/>
          <w:color w:val="0000FF"/>
        </w:rPr>
      </w:pPr>
    </w:p>
    <w:p w14:paraId="778F54E1">
      <w:pPr>
        <w:bidi w:val="0"/>
      </w:pPr>
      <w:r>
        <w:t>工程需要物料、开挖土石方数量较大，道路运输繁忙。本工程施工过程中，对外交通主要为省级干线公路，省、县、乡三级公路，为沥青或混凝土路面，道路较为清洁，汽车行驶过程产生的扬尘较少。交通扬尘主要来自于场内交通运输过程中，场内交通道路主要为简易碎石道路，根据相关资料和经验，若遇到干旱少雨大风季节，交通扬尘将较为严重，可能会对周围敏感保护目标产生影响。因此，施工过程中，需要对施工道路经常洒水以降低扬尘污染。</w:t>
      </w:r>
    </w:p>
    <w:p w14:paraId="6EF40D6D">
      <w:pPr>
        <w:pStyle w:val="4"/>
        <w:bidi w:val="0"/>
      </w:pPr>
      <w:r>
        <w:t>5.</w:t>
      </w:r>
      <w:r>
        <w:rPr>
          <w:rFonts w:hint="eastAsia"/>
        </w:rPr>
        <w:t>3</w:t>
      </w:r>
      <w:r>
        <w:t>.2 燃油废气对大气影响</w:t>
      </w:r>
    </w:p>
    <w:p w14:paraId="1C703E9E">
      <w:pPr>
        <w:bidi w:val="0"/>
      </w:pPr>
      <w:r>
        <w:t>根据污染源强核算，施工期燃油废气的产生量为CO为204.6t、NOx为336.43t、SO</w:t>
      </w:r>
      <w:r>
        <w:rPr>
          <w:vertAlign w:val="subscript"/>
        </w:rPr>
        <w:t>2</w:t>
      </w:r>
      <w:r>
        <w:t>为24.55t。根据施工组织设计，本工程施工期为24个月，工程施工期间使用机械主要为挖掘机、推土机、自卸汽车、载重汽车等，其中车辆主要集中于施工道路沿线，其他机械主要布置于各施工场地。由于本工程总体呈线性，施工线长，工区布置分散，施工期燃油废气多为流动性、间歇性排放，污染强度不大，因此燃油废气排放强度十分有限。此外，考虑工程施工场地位于农村旷野，地势平坦开阔，冬季天气以晴朗多风为主，大气扩散条件好，大气污染物背景值低，工程施工燃油废气不会对周围环境产生明显影响。</w:t>
      </w:r>
    </w:p>
    <w:p w14:paraId="1D7CE961">
      <w:pPr>
        <w:pStyle w:val="4"/>
        <w:bidi w:val="0"/>
      </w:pPr>
      <w:r>
        <w:rPr>
          <w:rFonts w:hint="eastAsia"/>
        </w:rPr>
        <w:t>5.3</w:t>
      </w:r>
      <w:r>
        <w:t>.3 恶臭气体对大气影响</w:t>
      </w:r>
    </w:p>
    <w:p w14:paraId="4D8F6615">
      <w:pPr>
        <w:bidi w:val="0"/>
      </w:pPr>
      <w:r>
        <w:t>根据项目现场勘查，本次有渠道涉及清淤工程，工程范围内基本为农村，有足够的作业空间，渠道清淤方式分为干地明挖疏浚。在渠道清淤治理、底泥晾晒过程中，渠道底泥厌氧分解会产生一些具有臭味的物质（如H</w:t>
      </w:r>
      <w:r>
        <w:rPr>
          <w:vertAlign w:val="subscript"/>
        </w:rPr>
        <w:t>2</w:t>
      </w:r>
      <w:r>
        <w:t>S、NH</w:t>
      </w:r>
      <w:r>
        <w:rPr>
          <w:vertAlign w:val="subscript"/>
        </w:rPr>
        <w:t>3</w:t>
      </w:r>
      <w:r>
        <w:t>等），这些具有臭味的物质会挥发进入大气，影响周围的环境空气质量。</w:t>
      </w:r>
    </w:p>
    <w:p w14:paraId="23CC9ACA">
      <w:pPr>
        <w:bidi w:val="0"/>
      </w:pPr>
      <w:r>
        <w:t>本次环评对于该工程清淤和底泥修复过程中产生的恶臭气体强度，采用常用的六级臭气强度评价法进行类比分析与评价。</w:t>
      </w:r>
    </w:p>
    <w:p w14:paraId="135C905B">
      <w:pPr>
        <w:bidi w:val="0"/>
      </w:pPr>
      <w:r>
        <w:t>六级臭气强度评价法：用嗅觉感觉出来的臭气强度，用</w:t>
      </w:r>
      <w:r>
        <w:rPr>
          <w:rFonts w:hint="eastAsia"/>
        </w:rPr>
        <w:t>“</w:t>
      </w:r>
      <w:r>
        <w:t>嗅觉阈值</w:t>
      </w:r>
      <w:r>
        <w:rPr>
          <w:rFonts w:hint="eastAsia"/>
        </w:rPr>
        <w:t>”</w:t>
      </w:r>
      <w:r>
        <w:t>来表示，所谓嗅觉阈值就是人所能</w:t>
      </w:r>
      <w:r>
        <w:rPr>
          <w:rFonts w:hint="eastAsia"/>
        </w:rPr>
        <w:t>嗅到</w:t>
      </w:r>
      <w:r>
        <w:t>某种物质的最小刺激量。臭气强度是以臭味的嗅觉阈值为基准划分等级的，共分为6级，见下表。为防止臭气扩散影响周围环境，对臭气的限值要求一般相当于臭气强度2.5~3.5级，超出该强度范围，即认为发生恶臭污染，需采取措施。</w:t>
      </w:r>
    </w:p>
    <w:p w14:paraId="42F15050">
      <w:pPr>
        <w:pStyle w:val="29"/>
        <w:bidi w:val="0"/>
        <w:rPr>
          <w:lang w:val="zh-CN"/>
        </w:rPr>
      </w:pPr>
      <w:r>
        <w:t>表</w:t>
      </w:r>
      <w:r>
        <w:rPr>
          <w:rFonts w:hint="eastAsia"/>
        </w:rPr>
        <w:t>5</w:t>
      </w:r>
      <w:r>
        <w:rPr>
          <w:rFonts w:hint="eastAsia"/>
          <w:lang w:val="en-US" w:eastAsia="zh-CN"/>
        </w:rPr>
        <w:t>.</w:t>
      </w:r>
      <w:r>
        <w:rPr>
          <w:rFonts w:hint="eastAsia"/>
        </w:rPr>
        <w:t>3</w:t>
      </w:r>
      <w:r>
        <w:t>-</w:t>
      </w:r>
      <w:r>
        <w:rPr>
          <w:rFonts w:hint="eastAsia"/>
        </w:rPr>
        <w:t>4</w:t>
      </w:r>
      <w:r>
        <w:t xml:space="preserve">  </w:t>
      </w:r>
      <w:r>
        <w:rPr>
          <w:lang w:val="zh-CN"/>
        </w:rPr>
        <w:t>臭气强度分级表</w:t>
      </w:r>
    </w:p>
    <w:tbl>
      <w:tblPr>
        <w:tblStyle w:val="16"/>
        <w:tblW w:w="4999" w:type="pct"/>
        <w:jc w:val="center"/>
        <w:tblLayout w:type="autofit"/>
        <w:tblCellMar>
          <w:top w:w="0" w:type="dxa"/>
          <w:left w:w="108" w:type="dxa"/>
          <w:bottom w:w="0" w:type="dxa"/>
          <w:right w:w="108" w:type="dxa"/>
        </w:tblCellMar>
      </w:tblPr>
      <w:tblGrid>
        <w:gridCol w:w="1941"/>
        <w:gridCol w:w="7344"/>
      </w:tblGrid>
      <w:tr w14:paraId="7382428F">
        <w:tblPrEx>
          <w:tblCellMar>
            <w:top w:w="0" w:type="dxa"/>
            <w:left w:w="108" w:type="dxa"/>
            <w:bottom w:w="0" w:type="dxa"/>
            <w:right w:w="108" w:type="dxa"/>
          </w:tblCellMar>
        </w:tblPrEx>
        <w:trPr>
          <w:trHeight w:val="301" w:hRule="exact"/>
          <w:jc w:val="center"/>
        </w:trPr>
        <w:tc>
          <w:tcPr>
            <w:tcW w:w="1045" w:type="pct"/>
            <w:tcBorders>
              <w:top w:val="single" w:color="000000" w:sz="4" w:space="0"/>
              <w:left w:val="single" w:color="000000" w:sz="4" w:space="0"/>
              <w:bottom w:val="single" w:color="000000" w:sz="4" w:space="0"/>
              <w:right w:val="single" w:color="000000" w:sz="4" w:space="0"/>
            </w:tcBorders>
            <w:vAlign w:val="center"/>
          </w:tcPr>
          <w:p w14:paraId="0E3D53A1">
            <w:pPr>
              <w:pStyle w:val="28"/>
              <w:bidi w:val="0"/>
            </w:pPr>
            <w:r>
              <w:t>强度等级</w:t>
            </w:r>
          </w:p>
        </w:tc>
        <w:tc>
          <w:tcPr>
            <w:tcW w:w="3954" w:type="pct"/>
            <w:tcBorders>
              <w:top w:val="single" w:color="000000" w:sz="4" w:space="0"/>
              <w:left w:val="single" w:color="000000" w:sz="4" w:space="0"/>
              <w:bottom w:val="single" w:color="000000" w:sz="4" w:space="0"/>
              <w:right w:val="single" w:color="000000" w:sz="4" w:space="0"/>
            </w:tcBorders>
            <w:vAlign w:val="center"/>
          </w:tcPr>
          <w:p w14:paraId="27BEF6EE">
            <w:pPr>
              <w:pStyle w:val="28"/>
              <w:bidi w:val="0"/>
            </w:pPr>
            <w:r>
              <w:t>嗅觉判别标准</w:t>
            </w:r>
          </w:p>
        </w:tc>
      </w:tr>
      <w:tr w14:paraId="01A63789">
        <w:tblPrEx>
          <w:tblCellMar>
            <w:top w:w="0" w:type="dxa"/>
            <w:left w:w="108" w:type="dxa"/>
            <w:bottom w:w="0" w:type="dxa"/>
            <w:right w:w="108" w:type="dxa"/>
          </w:tblCellMar>
        </w:tblPrEx>
        <w:trPr>
          <w:trHeight w:val="350" w:hRule="exact"/>
          <w:jc w:val="center"/>
        </w:trPr>
        <w:tc>
          <w:tcPr>
            <w:tcW w:w="1045" w:type="pct"/>
            <w:tcBorders>
              <w:top w:val="single" w:color="000000" w:sz="4" w:space="0"/>
              <w:left w:val="single" w:color="000000" w:sz="4" w:space="0"/>
              <w:bottom w:val="single" w:color="000000" w:sz="4" w:space="0"/>
              <w:right w:val="single" w:color="000000" w:sz="4" w:space="0"/>
            </w:tcBorders>
            <w:vAlign w:val="center"/>
          </w:tcPr>
          <w:p w14:paraId="5EE1E7CD">
            <w:pPr>
              <w:pStyle w:val="28"/>
              <w:bidi w:val="0"/>
            </w:pPr>
            <w:r>
              <w:t>0</w:t>
            </w:r>
          </w:p>
        </w:tc>
        <w:tc>
          <w:tcPr>
            <w:tcW w:w="3954" w:type="pct"/>
            <w:tcBorders>
              <w:top w:val="single" w:color="000000" w:sz="4" w:space="0"/>
              <w:left w:val="single" w:color="000000" w:sz="4" w:space="0"/>
              <w:bottom w:val="single" w:color="000000" w:sz="4" w:space="0"/>
              <w:right w:val="single" w:color="000000" w:sz="4" w:space="0"/>
            </w:tcBorders>
            <w:vAlign w:val="center"/>
          </w:tcPr>
          <w:p w14:paraId="505AE966">
            <w:pPr>
              <w:pStyle w:val="28"/>
              <w:bidi w:val="0"/>
            </w:pPr>
            <w:r>
              <w:t>无臭</w:t>
            </w:r>
          </w:p>
        </w:tc>
      </w:tr>
      <w:tr w14:paraId="4A3FD29D">
        <w:tblPrEx>
          <w:tblCellMar>
            <w:top w:w="0" w:type="dxa"/>
            <w:left w:w="108" w:type="dxa"/>
            <w:bottom w:w="0" w:type="dxa"/>
            <w:right w:w="108" w:type="dxa"/>
          </w:tblCellMar>
        </w:tblPrEx>
        <w:trPr>
          <w:trHeight w:val="346" w:hRule="exact"/>
          <w:jc w:val="center"/>
        </w:trPr>
        <w:tc>
          <w:tcPr>
            <w:tcW w:w="1045" w:type="pct"/>
            <w:tcBorders>
              <w:top w:val="single" w:color="000000" w:sz="4" w:space="0"/>
              <w:left w:val="single" w:color="000000" w:sz="4" w:space="0"/>
              <w:bottom w:val="single" w:color="000000" w:sz="4" w:space="0"/>
              <w:right w:val="single" w:color="000000" w:sz="4" w:space="0"/>
            </w:tcBorders>
            <w:vAlign w:val="center"/>
          </w:tcPr>
          <w:p w14:paraId="3E88DA07">
            <w:pPr>
              <w:pStyle w:val="28"/>
              <w:bidi w:val="0"/>
            </w:pPr>
            <w:r>
              <w:t>1</w:t>
            </w:r>
          </w:p>
        </w:tc>
        <w:tc>
          <w:tcPr>
            <w:tcW w:w="3954" w:type="pct"/>
            <w:tcBorders>
              <w:top w:val="single" w:color="000000" w:sz="4" w:space="0"/>
              <w:left w:val="single" w:color="000000" w:sz="4" w:space="0"/>
              <w:bottom w:val="single" w:color="000000" w:sz="4" w:space="0"/>
              <w:right w:val="single" w:color="000000" w:sz="4" w:space="0"/>
            </w:tcBorders>
            <w:vAlign w:val="center"/>
          </w:tcPr>
          <w:p w14:paraId="4E831457">
            <w:pPr>
              <w:pStyle w:val="28"/>
              <w:bidi w:val="0"/>
            </w:pPr>
            <w:r>
              <w:t>勉强可以感到轻微臭味（检知阈值浓度）</w:t>
            </w:r>
          </w:p>
        </w:tc>
      </w:tr>
      <w:tr w14:paraId="5641D55A">
        <w:tblPrEx>
          <w:tblCellMar>
            <w:top w:w="0" w:type="dxa"/>
            <w:left w:w="108" w:type="dxa"/>
            <w:bottom w:w="0" w:type="dxa"/>
            <w:right w:w="108" w:type="dxa"/>
          </w:tblCellMar>
        </w:tblPrEx>
        <w:trPr>
          <w:trHeight w:val="350" w:hRule="exact"/>
          <w:jc w:val="center"/>
        </w:trPr>
        <w:tc>
          <w:tcPr>
            <w:tcW w:w="1045" w:type="pct"/>
            <w:tcBorders>
              <w:top w:val="single" w:color="000000" w:sz="4" w:space="0"/>
              <w:left w:val="single" w:color="000000" w:sz="4" w:space="0"/>
              <w:bottom w:val="single" w:color="000000" w:sz="4" w:space="0"/>
              <w:right w:val="single" w:color="000000" w:sz="4" w:space="0"/>
            </w:tcBorders>
            <w:vAlign w:val="center"/>
          </w:tcPr>
          <w:p w14:paraId="4FB71DAF">
            <w:pPr>
              <w:pStyle w:val="28"/>
              <w:bidi w:val="0"/>
            </w:pPr>
            <w:r>
              <w:t>2</w:t>
            </w:r>
          </w:p>
        </w:tc>
        <w:tc>
          <w:tcPr>
            <w:tcW w:w="3954" w:type="pct"/>
            <w:tcBorders>
              <w:top w:val="single" w:color="000000" w:sz="4" w:space="0"/>
              <w:left w:val="single" w:color="000000" w:sz="4" w:space="0"/>
              <w:bottom w:val="single" w:color="000000" w:sz="4" w:space="0"/>
              <w:right w:val="single" w:color="000000" w:sz="4" w:space="0"/>
            </w:tcBorders>
            <w:vAlign w:val="center"/>
          </w:tcPr>
          <w:p w14:paraId="57366C70">
            <w:pPr>
              <w:pStyle w:val="28"/>
              <w:bidi w:val="0"/>
            </w:pPr>
            <w:r>
              <w:t>容易感到轻微臭味（认知阈值浓度）</w:t>
            </w:r>
          </w:p>
        </w:tc>
      </w:tr>
      <w:tr w14:paraId="54C92C5E">
        <w:tblPrEx>
          <w:tblCellMar>
            <w:top w:w="0" w:type="dxa"/>
            <w:left w:w="108" w:type="dxa"/>
            <w:bottom w:w="0" w:type="dxa"/>
            <w:right w:w="108" w:type="dxa"/>
          </w:tblCellMar>
        </w:tblPrEx>
        <w:trPr>
          <w:trHeight w:val="350" w:hRule="exact"/>
          <w:jc w:val="center"/>
        </w:trPr>
        <w:tc>
          <w:tcPr>
            <w:tcW w:w="1045" w:type="pct"/>
            <w:tcBorders>
              <w:top w:val="single" w:color="000000" w:sz="4" w:space="0"/>
              <w:left w:val="single" w:color="000000" w:sz="4" w:space="0"/>
              <w:bottom w:val="single" w:color="000000" w:sz="4" w:space="0"/>
              <w:right w:val="single" w:color="000000" w:sz="4" w:space="0"/>
            </w:tcBorders>
            <w:vAlign w:val="center"/>
          </w:tcPr>
          <w:p w14:paraId="0FA677BE">
            <w:pPr>
              <w:pStyle w:val="28"/>
              <w:bidi w:val="0"/>
            </w:pPr>
            <w:r>
              <w:t>3</w:t>
            </w:r>
          </w:p>
        </w:tc>
        <w:tc>
          <w:tcPr>
            <w:tcW w:w="3954" w:type="pct"/>
            <w:tcBorders>
              <w:top w:val="single" w:color="000000" w:sz="4" w:space="0"/>
              <w:left w:val="single" w:color="000000" w:sz="4" w:space="0"/>
              <w:bottom w:val="single" w:color="000000" w:sz="4" w:space="0"/>
              <w:right w:val="single" w:color="000000" w:sz="4" w:space="0"/>
            </w:tcBorders>
            <w:vAlign w:val="center"/>
          </w:tcPr>
          <w:p w14:paraId="12C14A2A">
            <w:pPr>
              <w:pStyle w:val="28"/>
              <w:bidi w:val="0"/>
            </w:pPr>
            <w:r>
              <w:t>明显感到臭味</w:t>
            </w:r>
          </w:p>
        </w:tc>
      </w:tr>
      <w:tr w14:paraId="70EF1CBC">
        <w:tblPrEx>
          <w:tblCellMar>
            <w:top w:w="0" w:type="dxa"/>
            <w:left w:w="108" w:type="dxa"/>
            <w:bottom w:w="0" w:type="dxa"/>
            <w:right w:w="108" w:type="dxa"/>
          </w:tblCellMar>
        </w:tblPrEx>
        <w:trPr>
          <w:trHeight w:val="350" w:hRule="exact"/>
          <w:jc w:val="center"/>
        </w:trPr>
        <w:tc>
          <w:tcPr>
            <w:tcW w:w="1045" w:type="pct"/>
            <w:tcBorders>
              <w:top w:val="single" w:color="000000" w:sz="4" w:space="0"/>
              <w:left w:val="single" w:color="000000" w:sz="4" w:space="0"/>
              <w:bottom w:val="single" w:color="000000" w:sz="4" w:space="0"/>
              <w:right w:val="single" w:color="000000" w:sz="4" w:space="0"/>
            </w:tcBorders>
            <w:vAlign w:val="center"/>
          </w:tcPr>
          <w:p w14:paraId="34839C4D">
            <w:pPr>
              <w:pStyle w:val="28"/>
              <w:bidi w:val="0"/>
            </w:pPr>
            <w:r>
              <w:t>4</w:t>
            </w:r>
          </w:p>
        </w:tc>
        <w:tc>
          <w:tcPr>
            <w:tcW w:w="3954" w:type="pct"/>
            <w:tcBorders>
              <w:top w:val="single" w:color="000000" w:sz="4" w:space="0"/>
              <w:left w:val="single" w:color="000000" w:sz="4" w:space="0"/>
              <w:bottom w:val="single" w:color="000000" w:sz="4" w:space="0"/>
              <w:right w:val="single" w:color="000000" w:sz="4" w:space="0"/>
            </w:tcBorders>
            <w:vAlign w:val="center"/>
          </w:tcPr>
          <w:p w14:paraId="34BB41E1">
            <w:pPr>
              <w:pStyle w:val="28"/>
              <w:bidi w:val="0"/>
            </w:pPr>
            <w:r>
              <w:t>强烈臭味</w:t>
            </w:r>
          </w:p>
        </w:tc>
      </w:tr>
      <w:tr w14:paraId="1EE1BC48">
        <w:tblPrEx>
          <w:tblCellMar>
            <w:top w:w="0" w:type="dxa"/>
            <w:left w:w="108" w:type="dxa"/>
            <w:bottom w:w="0" w:type="dxa"/>
            <w:right w:w="108" w:type="dxa"/>
          </w:tblCellMar>
        </w:tblPrEx>
        <w:trPr>
          <w:trHeight w:val="350" w:hRule="exact"/>
          <w:jc w:val="center"/>
        </w:trPr>
        <w:tc>
          <w:tcPr>
            <w:tcW w:w="1045" w:type="pct"/>
            <w:tcBorders>
              <w:top w:val="single" w:color="000000" w:sz="4" w:space="0"/>
              <w:left w:val="single" w:color="000000" w:sz="4" w:space="0"/>
              <w:bottom w:val="single" w:color="000000" w:sz="4" w:space="0"/>
              <w:right w:val="single" w:color="000000" w:sz="4" w:space="0"/>
            </w:tcBorders>
            <w:vAlign w:val="center"/>
          </w:tcPr>
          <w:p w14:paraId="254FBF22">
            <w:pPr>
              <w:pStyle w:val="28"/>
              <w:bidi w:val="0"/>
            </w:pPr>
            <w:r>
              <w:t>5</w:t>
            </w:r>
          </w:p>
        </w:tc>
        <w:tc>
          <w:tcPr>
            <w:tcW w:w="3954" w:type="pct"/>
            <w:tcBorders>
              <w:top w:val="single" w:color="000000" w:sz="4" w:space="0"/>
              <w:left w:val="single" w:color="000000" w:sz="4" w:space="0"/>
              <w:bottom w:val="single" w:color="000000" w:sz="4" w:space="0"/>
              <w:right w:val="single" w:color="000000" w:sz="4" w:space="0"/>
            </w:tcBorders>
            <w:vAlign w:val="center"/>
          </w:tcPr>
          <w:p w14:paraId="4CD09D72">
            <w:pPr>
              <w:pStyle w:val="28"/>
              <w:bidi w:val="0"/>
            </w:pPr>
            <w:r>
              <w:t>无法忍受的强烈臭味</w:t>
            </w:r>
          </w:p>
        </w:tc>
      </w:tr>
    </w:tbl>
    <w:p w14:paraId="4DD5AB30">
      <w:pPr>
        <w:autoSpaceDE w:val="0"/>
        <w:autoSpaceDN w:val="0"/>
        <w:spacing w:line="240" w:lineRule="auto"/>
        <w:ind w:firstLine="480"/>
        <w:rPr>
          <w:rFonts w:cs="Times New Roman"/>
          <w:color w:val="0000FF"/>
        </w:rPr>
      </w:pPr>
    </w:p>
    <w:p w14:paraId="4E112F8D">
      <w:pPr>
        <w:bidi w:val="0"/>
      </w:pPr>
      <w:r>
        <w:t>类比同类工程预计，本项目清淤底泥散发的恶臭强度可达3级。</w:t>
      </w:r>
    </w:p>
    <w:p w14:paraId="3B1D03A7">
      <w:pPr>
        <w:pStyle w:val="29"/>
        <w:bidi w:val="0"/>
        <w:rPr>
          <w:lang w:val="zh-CN"/>
        </w:rPr>
      </w:pPr>
      <w:r>
        <w:t>表</w:t>
      </w:r>
      <w:r>
        <w:rPr>
          <w:rFonts w:hint="eastAsia"/>
        </w:rPr>
        <w:t>5</w:t>
      </w:r>
      <w:r>
        <w:rPr>
          <w:rFonts w:hint="eastAsia"/>
          <w:lang w:val="en-US" w:eastAsia="zh-CN"/>
        </w:rPr>
        <w:t>.</w:t>
      </w:r>
      <w:r>
        <w:rPr>
          <w:rFonts w:hint="eastAsia"/>
        </w:rPr>
        <w:t>3</w:t>
      </w:r>
      <w:r>
        <w:t>-</w:t>
      </w:r>
      <w:r>
        <w:rPr>
          <w:rFonts w:hint="eastAsia"/>
        </w:rPr>
        <w:t>5</w:t>
      </w:r>
      <w:r>
        <w:t xml:space="preserve">  </w:t>
      </w:r>
      <w:r>
        <w:rPr>
          <w:lang w:val="zh-CN"/>
        </w:rPr>
        <w:t>底泥疏挖（干塘干挖）臭气强度</w:t>
      </w:r>
    </w:p>
    <w:tbl>
      <w:tblPr>
        <w:tblStyle w:val="16"/>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93"/>
        <w:gridCol w:w="3096"/>
        <w:gridCol w:w="3096"/>
      </w:tblGrid>
      <w:tr w14:paraId="107D2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6" w:type="pct"/>
            <w:tcBorders>
              <w:top w:val="single" w:color="auto" w:sz="4" w:space="0"/>
              <w:left w:val="single" w:color="auto" w:sz="4" w:space="0"/>
              <w:bottom w:val="single" w:color="auto" w:sz="4" w:space="0"/>
              <w:right w:val="single" w:color="auto" w:sz="4" w:space="0"/>
            </w:tcBorders>
            <w:vAlign w:val="center"/>
          </w:tcPr>
          <w:p w14:paraId="58E88B7E">
            <w:pPr>
              <w:pStyle w:val="28"/>
              <w:bidi w:val="0"/>
            </w:pPr>
            <w:r>
              <w:t>距离</w:t>
            </w:r>
          </w:p>
        </w:tc>
        <w:tc>
          <w:tcPr>
            <w:tcW w:w="1667" w:type="pct"/>
            <w:tcBorders>
              <w:top w:val="single" w:color="auto" w:sz="4" w:space="0"/>
              <w:left w:val="single" w:color="auto" w:sz="4" w:space="0"/>
              <w:bottom w:val="single" w:color="auto" w:sz="4" w:space="0"/>
              <w:right w:val="single" w:color="auto" w:sz="4" w:space="0"/>
            </w:tcBorders>
            <w:vAlign w:val="center"/>
          </w:tcPr>
          <w:p w14:paraId="6558DFD1">
            <w:pPr>
              <w:pStyle w:val="28"/>
              <w:bidi w:val="0"/>
            </w:pPr>
            <w:r>
              <w:t>臭气感觉强度</w:t>
            </w:r>
          </w:p>
        </w:tc>
        <w:tc>
          <w:tcPr>
            <w:tcW w:w="1667" w:type="pct"/>
            <w:tcBorders>
              <w:top w:val="single" w:color="auto" w:sz="4" w:space="0"/>
              <w:left w:val="single" w:color="auto" w:sz="4" w:space="0"/>
              <w:bottom w:val="single" w:color="auto" w:sz="4" w:space="0"/>
              <w:right w:val="single" w:color="auto" w:sz="4" w:space="0"/>
            </w:tcBorders>
            <w:vAlign w:val="center"/>
          </w:tcPr>
          <w:p w14:paraId="1D0249A0">
            <w:pPr>
              <w:pStyle w:val="28"/>
              <w:bidi w:val="0"/>
            </w:pPr>
            <w:r>
              <w:t>级别</w:t>
            </w:r>
          </w:p>
        </w:tc>
      </w:tr>
      <w:tr w14:paraId="324DA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6" w:type="pct"/>
            <w:tcBorders>
              <w:top w:val="single" w:color="auto" w:sz="4" w:space="0"/>
              <w:left w:val="single" w:color="auto" w:sz="4" w:space="0"/>
              <w:bottom w:val="single" w:color="auto" w:sz="4" w:space="0"/>
              <w:right w:val="single" w:color="auto" w:sz="4" w:space="0"/>
            </w:tcBorders>
            <w:vAlign w:val="center"/>
          </w:tcPr>
          <w:p w14:paraId="06A1F6F9">
            <w:pPr>
              <w:pStyle w:val="28"/>
              <w:bidi w:val="0"/>
            </w:pPr>
            <w:r>
              <w:t>岸边</w:t>
            </w:r>
          </w:p>
        </w:tc>
        <w:tc>
          <w:tcPr>
            <w:tcW w:w="1667" w:type="pct"/>
            <w:tcBorders>
              <w:top w:val="single" w:color="auto" w:sz="4" w:space="0"/>
              <w:left w:val="single" w:color="auto" w:sz="4" w:space="0"/>
              <w:bottom w:val="single" w:color="auto" w:sz="4" w:space="0"/>
              <w:right w:val="single" w:color="auto" w:sz="4" w:space="0"/>
            </w:tcBorders>
            <w:vAlign w:val="center"/>
          </w:tcPr>
          <w:p w14:paraId="40C9BDA2">
            <w:pPr>
              <w:pStyle w:val="28"/>
              <w:bidi w:val="0"/>
            </w:pPr>
            <w:r>
              <w:t>有较明显臭味</w:t>
            </w:r>
          </w:p>
        </w:tc>
        <w:tc>
          <w:tcPr>
            <w:tcW w:w="1667" w:type="pct"/>
            <w:tcBorders>
              <w:top w:val="single" w:color="auto" w:sz="4" w:space="0"/>
              <w:left w:val="single" w:color="auto" w:sz="4" w:space="0"/>
              <w:bottom w:val="single" w:color="auto" w:sz="4" w:space="0"/>
              <w:right w:val="single" w:color="auto" w:sz="4" w:space="0"/>
            </w:tcBorders>
            <w:vAlign w:val="center"/>
          </w:tcPr>
          <w:p w14:paraId="0A2DDE32">
            <w:pPr>
              <w:pStyle w:val="28"/>
              <w:bidi w:val="0"/>
            </w:pPr>
            <w:r>
              <w:t>3级</w:t>
            </w:r>
          </w:p>
        </w:tc>
      </w:tr>
      <w:tr w14:paraId="7C6D08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6" w:type="pct"/>
            <w:tcBorders>
              <w:top w:val="single" w:color="auto" w:sz="4" w:space="0"/>
              <w:left w:val="single" w:color="auto" w:sz="4" w:space="0"/>
              <w:bottom w:val="single" w:color="auto" w:sz="4" w:space="0"/>
              <w:right w:val="single" w:color="auto" w:sz="4" w:space="0"/>
            </w:tcBorders>
            <w:vAlign w:val="center"/>
          </w:tcPr>
          <w:p w14:paraId="76997737">
            <w:pPr>
              <w:pStyle w:val="28"/>
              <w:bidi w:val="0"/>
            </w:pPr>
            <w:r>
              <w:t>岸边30米</w:t>
            </w:r>
          </w:p>
        </w:tc>
        <w:tc>
          <w:tcPr>
            <w:tcW w:w="1667" w:type="pct"/>
            <w:tcBorders>
              <w:top w:val="single" w:color="auto" w:sz="4" w:space="0"/>
              <w:left w:val="single" w:color="auto" w:sz="4" w:space="0"/>
              <w:bottom w:val="single" w:color="auto" w:sz="4" w:space="0"/>
              <w:right w:val="single" w:color="auto" w:sz="4" w:space="0"/>
            </w:tcBorders>
            <w:vAlign w:val="center"/>
          </w:tcPr>
          <w:p w14:paraId="10A602A7">
            <w:pPr>
              <w:pStyle w:val="28"/>
              <w:bidi w:val="0"/>
            </w:pPr>
            <w:r>
              <w:t>轻微</w:t>
            </w:r>
          </w:p>
        </w:tc>
        <w:tc>
          <w:tcPr>
            <w:tcW w:w="1667" w:type="pct"/>
            <w:tcBorders>
              <w:top w:val="single" w:color="auto" w:sz="4" w:space="0"/>
              <w:left w:val="single" w:color="auto" w:sz="4" w:space="0"/>
              <w:bottom w:val="single" w:color="auto" w:sz="4" w:space="0"/>
              <w:right w:val="single" w:color="auto" w:sz="4" w:space="0"/>
            </w:tcBorders>
            <w:vAlign w:val="center"/>
          </w:tcPr>
          <w:p w14:paraId="500ACCED">
            <w:pPr>
              <w:pStyle w:val="28"/>
              <w:bidi w:val="0"/>
            </w:pPr>
            <w:r>
              <w:t>2级</w:t>
            </w:r>
          </w:p>
        </w:tc>
      </w:tr>
      <w:tr w14:paraId="23852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6" w:type="pct"/>
            <w:tcBorders>
              <w:top w:val="single" w:color="auto" w:sz="4" w:space="0"/>
              <w:left w:val="single" w:color="auto" w:sz="4" w:space="0"/>
              <w:bottom w:val="single" w:color="auto" w:sz="4" w:space="0"/>
              <w:right w:val="single" w:color="auto" w:sz="4" w:space="0"/>
            </w:tcBorders>
            <w:vAlign w:val="center"/>
          </w:tcPr>
          <w:p w14:paraId="18EBC98A">
            <w:pPr>
              <w:pStyle w:val="28"/>
              <w:bidi w:val="0"/>
            </w:pPr>
            <w:r>
              <w:t>岸边80米</w:t>
            </w:r>
          </w:p>
        </w:tc>
        <w:tc>
          <w:tcPr>
            <w:tcW w:w="1667" w:type="pct"/>
            <w:tcBorders>
              <w:top w:val="single" w:color="auto" w:sz="4" w:space="0"/>
              <w:left w:val="single" w:color="auto" w:sz="4" w:space="0"/>
              <w:bottom w:val="single" w:color="auto" w:sz="4" w:space="0"/>
              <w:right w:val="single" w:color="auto" w:sz="4" w:space="0"/>
            </w:tcBorders>
            <w:vAlign w:val="center"/>
          </w:tcPr>
          <w:p w14:paraId="13E1CBF2">
            <w:pPr>
              <w:pStyle w:val="28"/>
              <w:bidi w:val="0"/>
            </w:pPr>
            <w:r>
              <w:t>极微</w:t>
            </w:r>
          </w:p>
        </w:tc>
        <w:tc>
          <w:tcPr>
            <w:tcW w:w="1667" w:type="pct"/>
            <w:tcBorders>
              <w:top w:val="single" w:color="auto" w:sz="4" w:space="0"/>
              <w:left w:val="single" w:color="auto" w:sz="4" w:space="0"/>
              <w:bottom w:val="single" w:color="auto" w:sz="4" w:space="0"/>
              <w:right w:val="single" w:color="auto" w:sz="4" w:space="0"/>
            </w:tcBorders>
            <w:vAlign w:val="center"/>
          </w:tcPr>
          <w:p w14:paraId="307C9EEB">
            <w:pPr>
              <w:pStyle w:val="28"/>
              <w:bidi w:val="0"/>
            </w:pPr>
            <w:r>
              <w:t>1级</w:t>
            </w:r>
          </w:p>
        </w:tc>
      </w:tr>
      <w:tr w14:paraId="7389C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666" w:type="pct"/>
            <w:tcBorders>
              <w:top w:val="single" w:color="auto" w:sz="4" w:space="0"/>
              <w:left w:val="single" w:color="auto" w:sz="4" w:space="0"/>
              <w:bottom w:val="single" w:color="auto" w:sz="4" w:space="0"/>
              <w:right w:val="single" w:color="auto" w:sz="4" w:space="0"/>
            </w:tcBorders>
            <w:vAlign w:val="center"/>
          </w:tcPr>
          <w:p w14:paraId="616C7701">
            <w:pPr>
              <w:pStyle w:val="28"/>
              <w:bidi w:val="0"/>
            </w:pPr>
            <w:r>
              <w:t>100米</w:t>
            </w:r>
          </w:p>
        </w:tc>
        <w:tc>
          <w:tcPr>
            <w:tcW w:w="1667" w:type="pct"/>
            <w:tcBorders>
              <w:top w:val="single" w:color="auto" w:sz="4" w:space="0"/>
              <w:left w:val="single" w:color="auto" w:sz="4" w:space="0"/>
              <w:bottom w:val="single" w:color="auto" w:sz="4" w:space="0"/>
              <w:right w:val="single" w:color="auto" w:sz="4" w:space="0"/>
            </w:tcBorders>
            <w:vAlign w:val="center"/>
          </w:tcPr>
          <w:p w14:paraId="78FE065F">
            <w:pPr>
              <w:pStyle w:val="28"/>
              <w:bidi w:val="0"/>
            </w:pPr>
            <w:r>
              <w:t>无</w:t>
            </w:r>
          </w:p>
        </w:tc>
        <w:tc>
          <w:tcPr>
            <w:tcW w:w="1667" w:type="pct"/>
            <w:tcBorders>
              <w:top w:val="single" w:color="auto" w:sz="4" w:space="0"/>
              <w:left w:val="single" w:color="auto" w:sz="4" w:space="0"/>
              <w:bottom w:val="single" w:color="auto" w:sz="4" w:space="0"/>
              <w:right w:val="single" w:color="auto" w:sz="4" w:space="0"/>
            </w:tcBorders>
            <w:vAlign w:val="center"/>
          </w:tcPr>
          <w:p w14:paraId="3113A5EC">
            <w:pPr>
              <w:pStyle w:val="28"/>
              <w:bidi w:val="0"/>
            </w:pPr>
            <w:r>
              <w:t>0级</w:t>
            </w:r>
          </w:p>
        </w:tc>
      </w:tr>
    </w:tbl>
    <w:p w14:paraId="48695997">
      <w:pPr>
        <w:kinsoku w:val="0"/>
        <w:snapToGrid w:val="0"/>
        <w:spacing w:line="240" w:lineRule="auto"/>
        <w:ind w:firstLine="480"/>
        <w:rPr>
          <w:rFonts w:cs="Times New Roman"/>
          <w:color w:val="0000FF"/>
        </w:rPr>
      </w:pPr>
    </w:p>
    <w:p w14:paraId="732EF814">
      <w:pPr>
        <w:kinsoku w:val="0"/>
        <w:snapToGrid w:val="0"/>
        <w:ind w:firstLine="480"/>
        <w:rPr>
          <w:rFonts w:cs="Times New Roman"/>
          <w:color w:val="0000FF"/>
        </w:rPr>
      </w:pPr>
      <w:r>
        <w:rPr>
          <w:rFonts w:cs="Times New Roman"/>
          <w:color w:val="0000FF"/>
        </w:rPr>
        <w:t>本项目共设置</w:t>
      </w:r>
      <w:r>
        <w:rPr>
          <w:rFonts w:hint="eastAsia" w:cs="Times New Roman"/>
          <w:color w:val="0000FF"/>
        </w:rPr>
        <w:t>43</w:t>
      </w:r>
      <w:r>
        <w:rPr>
          <w:rFonts w:cs="Times New Roman"/>
          <w:color w:val="0000FF"/>
        </w:rPr>
        <w:t>个弃土区，其中部分渠道采用取弃结合的方式，其中瓦东干渠双庙支渠等14个项目涉及清淤，其余主要为工程弃土，基本无明显臭味。由于本工程为干式开挖，底泥产生量相对较少，其气味影响范围一般在50m以内，随着各作业区的施工结束及底泥表面迅速固化，恶臭气味将会消失。因此底泥臭气对周边环境敏感目标影响属于短暂、临时影响，评价要求工程施工时</w:t>
      </w:r>
      <w:r>
        <w:rPr>
          <w:rFonts w:hint="eastAsia" w:cs="Times New Roman"/>
          <w:color w:val="0000FF"/>
        </w:rPr>
        <w:t>需</w:t>
      </w:r>
      <w:r>
        <w:rPr>
          <w:rFonts w:cs="Times New Roman"/>
          <w:color w:val="0000FF"/>
        </w:rPr>
        <w:t>加强对敏感点的保护，优化底泥弃置点位置，</w:t>
      </w:r>
      <w:r>
        <w:rPr>
          <w:rFonts w:hint="eastAsia" w:cs="Times New Roman"/>
          <w:color w:val="0000FF"/>
        </w:rPr>
        <w:t>涉及清淤的</w:t>
      </w:r>
      <w:r>
        <w:rPr>
          <w:rFonts w:cs="Times New Roman"/>
          <w:color w:val="0000FF"/>
        </w:rPr>
        <w:t>弃土场</w:t>
      </w:r>
      <w:r>
        <w:rPr>
          <w:rFonts w:hint="eastAsia" w:cs="Times New Roman"/>
          <w:color w:val="0000FF"/>
        </w:rPr>
        <w:t>选址距离</w:t>
      </w:r>
      <w:r>
        <w:rPr>
          <w:rFonts w:cs="Times New Roman"/>
          <w:color w:val="0000FF"/>
        </w:rPr>
        <w:t>居民点50m以上，</w:t>
      </w:r>
      <w:r>
        <w:rPr>
          <w:rFonts w:hint="eastAsia" w:cs="Times New Roman"/>
          <w:color w:val="0000FF"/>
        </w:rPr>
        <w:t>马田支渠（涉及清淤）16#弃土场距离最近的敏感点管岗约42m，考虑淤泥可能产生臭气，淤泥堆放在16#弃土场远离居民点一侧，</w:t>
      </w:r>
      <w:r>
        <w:rPr>
          <w:rFonts w:cs="Times New Roman"/>
          <w:color w:val="0000FF"/>
        </w:rPr>
        <w:t>并且做好除臭措施，喷洒除臭剂，及时覆盖，减少臭气的暴露时间，随着各作业区的施工结束及植被恢复，恶臭气味将会消失，因此弃土区臭气对周边环境敏感目标影响较小。</w:t>
      </w:r>
    </w:p>
    <w:p w14:paraId="4C05F12F">
      <w:pPr>
        <w:pStyle w:val="4"/>
        <w:bidi w:val="0"/>
      </w:pPr>
      <w:r>
        <w:rPr>
          <w:rFonts w:hint="eastAsia"/>
        </w:rPr>
        <w:t>5.3</w:t>
      </w:r>
      <w:r>
        <w:t>.4 有机废气对大气影响</w:t>
      </w:r>
    </w:p>
    <w:p w14:paraId="11A32B77">
      <w:pPr>
        <w:rPr>
          <w:rFonts w:cs="Times New Roman"/>
          <w:color w:val="0000FF"/>
        </w:rPr>
      </w:pPr>
      <w:r>
        <w:rPr>
          <w:rFonts w:cs="Times New Roman"/>
          <w:color w:val="0000FF"/>
        </w:rPr>
        <w:t>子项目樊通桥渠下涵工程需要采用单组分聚脲防水涂料和渗透型氟硅防护涂料，均为高固分材料，其在施工过程中产生的非甲烷总烃量较少。本工程中选用的单组分聚脲防水涂料不需现场进行计量和调配，只进行简单混合搅拌，涂料在施工过程产生的有机废气量很少，也可避免施工现场因计量不精确导致的施工质量问题，且施工便利，采用刮板刮涂施工，施工工艺均较简单，施工速度快。</w:t>
      </w:r>
    </w:p>
    <w:p w14:paraId="7A06A6D6">
      <w:pPr>
        <w:rPr>
          <w:rFonts w:cs="Times New Roman"/>
          <w:color w:val="0000FF"/>
        </w:rPr>
      </w:pPr>
      <w:r>
        <w:rPr>
          <w:rFonts w:cs="Times New Roman"/>
          <w:color w:val="0000FF"/>
        </w:rPr>
        <w:t>单组分聚脲防水涂料是外露环保型涂料，其固含量≥80%。根据国内多个工程经验可知，先后在深圳东江5号引水隧洞、龙羊峡水电站表孔、狗皮滩水电站水垫塘、张家口清水河混凝土防渗、云桥上库混凝土面板、宝泉抽水蓄能电站上库进水口混凝土面板及伸缩缝、双沟混凝土面板裂缝处理、白莲崖水库泄洪洞、花凉亭水库溢洪道抗冲磨防护、陈村水库大坝坝顶防护、月谭水库溢洪道表面防护、甘肃双塔渡槽、克孜河南岸干渠渡槽、苏巴什水库面板抗冻害防护处理等工程进行了应用。根据多个工程在实施中对单组分聚脲材料性能或水质影响检测结果可知，材料性能满足规范要求，其在施工过程中对水库或渡槽通水水质无影响。2018年12月，国家建筑材料测试中心评价单组分聚脲防水涂料符合《绿色建筑选用产品证明商标管理办法》相关要求，准许使用绿色建筑选用产品标志。2019年7月，水利部科技推广中心将单组分聚脲防水涂料（技术）列入《2019年度水利先进实用技术重点推广指导目录》，认定为水利先进实用技术。渗透型氟硅防护涂料中挥发性组分少、污染小，固化物无毒、耐化学介质性好，施工过程对人体影响较小。</w:t>
      </w:r>
    </w:p>
    <w:p w14:paraId="127B7B16">
      <w:pPr>
        <w:pStyle w:val="4"/>
        <w:bidi w:val="0"/>
      </w:pPr>
      <w:r>
        <w:rPr>
          <w:rFonts w:hint="eastAsia"/>
        </w:rPr>
        <w:t>5.3</w:t>
      </w:r>
      <w:r>
        <w:t>.</w:t>
      </w:r>
      <w:r>
        <w:rPr>
          <w:rFonts w:hint="eastAsia"/>
          <w:lang w:val="en-US" w:eastAsia="zh-CN"/>
        </w:rPr>
        <w:t>5</w:t>
      </w:r>
      <w:r>
        <w:t xml:space="preserve"> 大气环境影响评价自查表</w:t>
      </w:r>
    </w:p>
    <w:p w14:paraId="30A91620">
      <w:pPr>
        <w:pStyle w:val="29"/>
        <w:bidi w:val="0"/>
      </w:pPr>
      <w:r>
        <w:t>表</w:t>
      </w:r>
      <w:r>
        <w:rPr>
          <w:rFonts w:hint="eastAsia"/>
        </w:rPr>
        <w:t>5</w:t>
      </w:r>
      <w:r>
        <w:rPr>
          <w:rFonts w:hint="eastAsia"/>
          <w:lang w:val="en-US" w:eastAsia="zh-CN"/>
        </w:rPr>
        <w:t>.</w:t>
      </w:r>
      <w:r>
        <w:rPr>
          <w:rFonts w:hint="eastAsia"/>
        </w:rPr>
        <w:t>3</w:t>
      </w:r>
      <w:r>
        <w:t>-</w:t>
      </w:r>
      <w:r>
        <w:rPr>
          <w:rFonts w:hint="eastAsia"/>
        </w:rPr>
        <w:t>6</w:t>
      </w:r>
      <w:r>
        <w:t xml:space="preserve">  大气环境影响评价自查表</w:t>
      </w:r>
    </w:p>
    <w:tbl>
      <w:tblPr>
        <w:tblStyle w:val="1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1"/>
        <w:gridCol w:w="1772"/>
        <w:gridCol w:w="843"/>
        <w:gridCol w:w="323"/>
        <w:gridCol w:w="479"/>
        <w:gridCol w:w="555"/>
        <w:gridCol w:w="763"/>
        <w:gridCol w:w="1126"/>
        <w:gridCol w:w="874"/>
        <w:gridCol w:w="88"/>
        <w:gridCol w:w="744"/>
        <w:gridCol w:w="804"/>
      </w:tblGrid>
      <w:tr w14:paraId="75355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45" w:type="pct"/>
            <w:gridSpan w:val="2"/>
            <w:vAlign w:val="center"/>
          </w:tcPr>
          <w:p w14:paraId="19E1277B">
            <w:pPr>
              <w:pStyle w:val="28"/>
              <w:bidi w:val="0"/>
            </w:pPr>
            <w:r>
              <w:t>工作内容</w:t>
            </w:r>
          </w:p>
        </w:tc>
        <w:tc>
          <w:tcPr>
            <w:tcW w:w="3554" w:type="pct"/>
            <w:gridSpan w:val="10"/>
            <w:vAlign w:val="center"/>
          </w:tcPr>
          <w:p w14:paraId="304A1906">
            <w:pPr>
              <w:pStyle w:val="28"/>
              <w:bidi w:val="0"/>
            </w:pPr>
            <w:r>
              <w:t>自查项目</w:t>
            </w:r>
          </w:p>
        </w:tc>
      </w:tr>
      <w:tr w14:paraId="06631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restart"/>
            <w:vAlign w:val="center"/>
          </w:tcPr>
          <w:p w14:paraId="2C9EDE15">
            <w:pPr>
              <w:pStyle w:val="28"/>
              <w:bidi w:val="0"/>
            </w:pPr>
            <w:r>
              <w:t>评价等级与范围</w:t>
            </w:r>
          </w:p>
        </w:tc>
        <w:tc>
          <w:tcPr>
            <w:tcW w:w="954" w:type="pct"/>
            <w:vAlign w:val="center"/>
          </w:tcPr>
          <w:p w14:paraId="16F86DAA">
            <w:pPr>
              <w:pStyle w:val="28"/>
              <w:bidi w:val="0"/>
            </w:pPr>
            <w:r>
              <w:t>评价等级</w:t>
            </w:r>
          </w:p>
        </w:tc>
        <w:tc>
          <w:tcPr>
            <w:tcW w:w="1185" w:type="pct"/>
            <w:gridSpan w:val="4"/>
            <w:vAlign w:val="center"/>
          </w:tcPr>
          <w:p w14:paraId="6A6A0578">
            <w:pPr>
              <w:pStyle w:val="28"/>
              <w:bidi w:val="0"/>
            </w:pPr>
            <w:r>
              <w:t>一级</w:t>
            </w:r>
            <w:r>
              <w:rPr/>
              <w:sym w:font="Wingdings 2" w:char="00A3"/>
            </w:r>
          </w:p>
        </w:tc>
        <w:tc>
          <w:tcPr>
            <w:tcW w:w="1017" w:type="pct"/>
            <w:gridSpan w:val="2"/>
            <w:vAlign w:val="center"/>
          </w:tcPr>
          <w:p w14:paraId="3F21CEFD">
            <w:pPr>
              <w:pStyle w:val="28"/>
              <w:bidi w:val="0"/>
            </w:pPr>
            <w:r>
              <w:t>二级</w:t>
            </w:r>
            <w:r>
              <w:rPr/>
              <w:sym w:font="Wingdings 2" w:char="00A3"/>
            </w:r>
          </w:p>
        </w:tc>
        <w:tc>
          <w:tcPr>
            <w:tcW w:w="1352" w:type="pct"/>
            <w:gridSpan w:val="4"/>
            <w:vAlign w:val="center"/>
          </w:tcPr>
          <w:p w14:paraId="32890347">
            <w:pPr>
              <w:pStyle w:val="28"/>
              <w:bidi w:val="0"/>
            </w:pPr>
            <w:r>
              <w:t>三级</w:t>
            </w:r>
            <w:r>
              <w:rPr/>
              <w:sym w:font="Wingdings 2" w:char="0052"/>
            </w:r>
          </w:p>
        </w:tc>
      </w:tr>
      <w:tr w14:paraId="0181B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0ED03B20">
            <w:pPr>
              <w:pStyle w:val="28"/>
              <w:bidi w:val="0"/>
            </w:pPr>
          </w:p>
        </w:tc>
        <w:tc>
          <w:tcPr>
            <w:tcW w:w="954" w:type="pct"/>
            <w:vAlign w:val="center"/>
          </w:tcPr>
          <w:p w14:paraId="5D76F8F1">
            <w:pPr>
              <w:pStyle w:val="28"/>
              <w:bidi w:val="0"/>
            </w:pPr>
            <w:r>
              <w:t>评价范围</w:t>
            </w:r>
          </w:p>
        </w:tc>
        <w:tc>
          <w:tcPr>
            <w:tcW w:w="1185" w:type="pct"/>
            <w:gridSpan w:val="4"/>
            <w:vAlign w:val="center"/>
          </w:tcPr>
          <w:p w14:paraId="4D67B602">
            <w:pPr>
              <w:pStyle w:val="28"/>
              <w:bidi w:val="0"/>
              <w:rPr>
                <w:rFonts w:hint="eastAsia" w:eastAsia="宋体"/>
                <w:lang w:eastAsia="zh-CN"/>
              </w:rPr>
            </w:pPr>
            <w:r>
              <w:t>边长=50km</w:t>
            </w:r>
            <w:r>
              <w:rPr>
                <w:rFonts w:hint="eastAsia"/>
                <w:lang w:eastAsia="zh-CN"/>
              </w:rPr>
              <w:t>□</w:t>
            </w:r>
          </w:p>
        </w:tc>
        <w:tc>
          <w:tcPr>
            <w:tcW w:w="1017" w:type="pct"/>
            <w:gridSpan w:val="2"/>
            <w:vAlign w:val="center"/>
          </w:tcPr>
          <w:p w14:paraId="24E8003C">
            <w:pPr>
              <w:pStyle w:val="28"/>
              <w:bidi w:val="0"/>
              <w:rPr>
                <w:rFonts w:hint="eastAsia" w:eastAsia="宋体"/>
                <w:lang w:eastAsia="zh-CN"/>
              </w:rPr>
            </w:pPr>
            <w:r>
              <w:t>边长5-50km</w:t>
            </w:r>
            <w:r>
              <w:rPr>
                <w:rFonts w:hint="eastAsia"/>
                <w:lang w:eastAsia="zh-CN"/>
              </w:rPr>
              <w:t>□</w:t>
            </w:r>
          </w:p>
        </w:tc>
        <w:tc>
          <w:tcPr>
            <w:tcW w:w="1352" w:type="pct"/>
            <w:gridSpan w:val="4"/>
            <w:vAlign w:val="center"/>
          </w:tcPr>
          <w:p w14:paraId="41826EA3">
            <w:pPr>
              <w:pStyle w:val="28"/>
              <w:bidi w:val="0"/>
              <w:rPr>
                <w:rFonts w:hint="eastAsia" w:eastAsia="宋体"/>
                <w:lang w:eastAsia="zh-CN"/>
              </w:rPr>
            </w:pPr>
            <w:r>
              <w:t>边长=5km</w:t>
            </w:r>
            <w:r>
              <w:rPr>
                <w:rFonts w:hint="eastAsia"/>
                <w:lang w:eastAsia="zh-CN"/>
              </w:rPr>
              <w:t>□</w:t>
            </w:r>
          </w:p>
        </w:tc>
      </w:tr>
      <w:tr w14:paraId="57163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restart"/>
            <w:vAlign w:val="center"/>
          </w:tcPr>
          <w:p w14:paraId="4D50C001">
            <w:pPr>
              <w:pStyle w:val="28"/>
              <w:bidi w:val="0"/>
            </w:pPr>
            <w:r>
              <w:t>评价因子</w:t>
            </w:r>
          </w:p>
        </w:tc>
        <w:tc>
          <w:tcPr>
            <w:tcW w:w="954" w:type="pct"/>
            <w:vAlign w:val="center"/>
          </w:tcPr>
          <w:p w14:paraId="0B2D5928">
            <w:pPr>
              <w:pStyle w:val="28"/>
              <w:bidi w:val="0"/>
            </w:pPr>
            <w:r>
              <w:t>SO</w:t>
            </w:r>
            <w:r>
              <w:rPr>
                <w:vertAlign w:val="subscript"/>
              </w:rPr>
              <w:t>2</w:t>
            </w:r>
            <w:r>
              <w:t>+NO</w:t>
            </w:r>
            <w:r>
              <w:rPr>
                <w:vertAlign w:val="subscript"/>
              </w:rPr>
              <w:t>X</w:t>
            </w:r>
            <w:r>
              <w:t>排放量</w:t>
            </w:r>
          </w:p>
        </w:tc>
        <w:tc>
          <w:tcPr>
            <w:tcW w:w="1185" w:type="pct"/>
            <w:gridSpan w:val="4"/>
            <w:vAlign w:val="center"/>
          </w:tcPr>
          <w:p w14:paraId="73A11D34">
            <w:pPr>
              <w:pStyle w:val="28"/>
              <w:bidi w:val="0"/>
            </w:pPr>
            <w:r>
              <w:t>≥2000t/a□</w:t>
            </w:r>
          </w:p>
        </w:tc>
        <w:tc>
          <w:tcPr>
            <w:tcW w:w="1017" w:type="pct"/>
            <w:gridSpan w:val="2"/>
            <w:vAlign w:val="center"/>
          </w:tcPr>
          <w:p w14:paraId="2C713D8D">
            <w:pPr>
              <w:pStyle w:val="28"/>
              <w:bidi w:val="0"/>
            </w:pPr>
            <w:r>
              <w:t>500-2000t/a□</w:t>
            </w:r>
          </w:p>
        </w:tc>
        <w:tc>
          <w:tcPr>
            <w:tcW w:w="1352" w:type="pct"/>
            <w:gridSpan w:val="4"/>
            <w:vAlign w:val="center"/>
          </w:tcPr>
          <w:p w14:paraId="6D241B8E">
            <w:pPr>
              <w:pStyle w:val="28"/>
              <w:bidi w:val="0"/>
            </w:pPr>
            <w:r>
              <w:t>＜500t/a</w:t>
            </w:r>
            <w:r>
              <w:rPr/>
              <w:sym w:font="Wingdings 2" w:char="0052"/>
            </w:r>
          </w:p>
        </w:tc>
      </w:tr>
      <w:tr w14:paraId="718A6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3D65E55E">
            <w:pPr>
              <w:pStyle w:val="28"/>
              <w:bidi w:val="0"/>
            </w:pPr>
          </w:p>
        </w:tc>
        <w:tc>
          <w:tcPr>
            <w:tcW w:w="954" w:type="pct"/>
            <w:vAlign w:val="center"/>
          </w:tcPr>
          <w:p w14:paraId="5749FEE2">
            <w:pPr>
              <w:pStyle w:val="28"/>
              <w:bidi w:val="0"/>
            </w:pPr>
            <w:r>
              <w:t>评价因子</w:t>
            </w:r>
          </w:p>
        </w:tc>
        <w:tc>
          <w:tcPr>
            <w:tcW w:w="2202" w:type="pct"/>
            <w:gridSpan w:val="6"/>
            <w:vAlign w:val="center"/>
          </w:tcPr>
          <w:p w14:paraId="3B05682D">
            <w:pPr>
              <w:pStyle w:val="28"/>
              <w:bidi w:val="0"/>
            </w:pPr>
            <w:r>
              <w:t>基本污染物（SO2、NO2、PM10、PM2.5、CO、O3）</w:t>
            </w:r>
          </w:p>
          <w:p w14:paraId="639294B6">
            <w:pPr>
              <w:pStyle w:val="28"/>
              <w:bidi w:val="0"/>
            </w:pPr>
            <w:r>
              <w:t>其他污染物（TSP</w:t>
            </w:r>
            <w:r>
              <w:rPr>
                <w:rFonts w:hint="eastAsia"/>
              </w:rPr>
              <w:t>、</w:t>
            </w:r>
            <w:r>
              <w:t>苯并芘</w:t>
            </w:r>
            <w:r>
              <w:rPr>
                <w:rFonts w:hint="eastAsia"/>
              </w:rPr>
              <w:t>、NH3、H2S</w:t>
            </w:r>
            <w:r>
              <w:t>）</w:t>
            </w:r>
          </w:p>
        </w:tc>
        <w:tc>
          <w:tcPr>
            <w:tcW w:w="1352" w:type="pct"/>
            <w:gridSpan w:val="4"/>
            <w:vAlign w:val="center"/>
          </w:tcPr>
          <w:p w14:paraId="4217BA9B">
            <w:pPr>
              <w:pStyle w:val="28"/>
              <w:bidi w:val="0"/>
            </w:pPr>
            <w:r>
              <w:t>包括二次PM2.5□</w:t>
            </w:r>
          </w:p>
          <w:p w14:paraId="3BA1131A">
            <w:pPr>
              <w:pStyle w:val="28"/>
              <w:bidi w:val="0"/>
            </w:pPr>
            <w:r>
              <w:t>不包括二次PM2.5</w:t>
            </w:r>
            <w:r>
              <w:rPr/>
              <w:sym w:font="Wingdings 2" w:char="0052"/>
            </w:r>
          </w:p>
        </w:tc>
      </w:tr>
      <w:tr w14:paraId="26C93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Align w:val="center"/>
          </w:tcPr>
          <w:p w14:paraId="4A19F14A">
            <w:pPr>
              <w:pStyle w:val="28"/>
              <w:bidi w:val="0"/>
            </w:pPr>
            <w:r>
              <w:t>评价标准</w:t>
            </w:r>
          </w:p>
        </w:tc>
        <w:tc>
          <w:tcPr>
            <w:tcW w:w="954" w:type="pct"/>
            <w:vAlign w:val="center"/>
          </w:tcPr>
          <w:p w14:paraId="759D8CDB">
            <w:pPr>
              <w:pStyle w:val="28"/>
              <w:bidi w:val="0"/>
            </w:pPr>
            <w:r>
              <w:t>评价标准</w:t>
            </w:r>
          </w:p>
        </w:tc>
        <w:tc>
          <w:tcPr>
            <w:tcW w:w="1185" w:type="pct"/>
            <w:gridSpan w:val="4"/>
            <w:vAlign w:val="center"/>
          </w:tcPr>
          <w:p w14:paraId="665C3482">
            <w:pPr>
              <w:pStyle w:val="28"/>
              <w:bidi w:val="0"/>
            </w:pPr>
            <w:r>
              <w:t>国家标准</w:t>
            </w:r>
            <w:r>
              <w:rPr/>
              <w:sym w:font="Wingdings 2" w:char="0052"/>
            </w:r>
          </w:p>
        </w:tc>
        <w:tc>
          <w:tcPr>
            <w:tcW w:w="1017" w:type="pct"/>
            <w:gridSpan w:val="2"/>
            <w:vAlign w:val="center"/>
          </w:tcPr>
          <w:p w14:paraId="4BF6423A">
            <w:pPr>
              <w:pStyle w:val="28"/>
              <w:bidi w:val="0"/>
            </w:pPr>
            <w:r>
              <w:t>地方标准</w:t>
            </w:r>
          </w:p>
        </w:tc>
        <w:tc>
          <w:tcPr>
            <w:tcW w:w="918" w:type="pct"/>
            <w:gridSpan w:val="3"/>
            <w:vAlign w:val="center"/>
          </w:tcPr>
          <w:p w14:paraId="451E43CF">
            <w:pPr>
              <w:pStyle w:val="28"/>
              <w:bidi w:val="0"/>
            </w:pPr>
            <w:r>
              <w:t>附录D</w:t>
            </w:r>
            <w:r>
              <w:rPr/>
              <w:sym w:font="Wingdings 2" w:char="0052"/>
            </w:r>
          </w:p>
        </w:tc>
        <w:tc>
          <w:tcPr>
            <w:tcW w:w="433" w:type="pct"/>
            <w:vAlign w:val="center"/>
          </w:tcPr>
          <w:p w14:paraId="635C1E63">
            <w:pPr>
              <w:pStyle w:val="28"/>
              <w:bidi w:val="0"/>
            </w:pPr>
            <w:r>
              <w:t>其他标准</w:t>
            </w:r>
          </w:p>
        </w:tc>
      </w:tr>
      <w:tr w14:paraId="4C227D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restart"/>
            <w:vAlign w:val="center"/>
          </w:tcPr>
          <w:p w14:paraId="0BA0A0C1">
            <w:pPr>
              <w:pStyle w:val="28"/>
              <w:bidi w:val="0"/>
            </w:pPr>
            <w:r>
              <w:t>现状评价</w:t>
            </w:r>
          </w:p>
        </w:tc>
        <w:tc>
          <w:tcPr>
            <w:tcW w:w="954" w:type="pct"/>
            <w:vAlign w:val="center"/>
          </w:tcPr>
          <w:p w14:paraId="4E3DEDEB">
            <w:pPr>
              <w:pStyle w:val="28"/>
              <w:bidi w:val="0"/>
            </w:pPr>
            <w:r>
              <w:t>环境功能区</w:t>
            </w:r>
          </w:p>
        </w:tc>
        <w:tc>
          <w:tcPr>
            <w:tcW w:w="1185" w:type="pct"/>
            <w:gridSpan w:val="4"/>
            <w:vAlign w:val="center"/>
          </w:tcPr>
          <w:p w14:paraId="358832A1">
            <w:pPr>
              <w:pStyle w:val="28"/>
              <w:bidi w:val="0"/>
            </w:pPr>
            <w:r>
              <w:t>一类区□</w:t>
            </w:r>
          </w:p>
        </w:tc>
        <w:tc>
          <w:tcPr>
            <w:tcW w:w="1017" w:type="pct"/>
            <w:gridSpan w:val="2"/>
            <w:vAlign w:val="center"/>
          </w:tcPr>
          <w:p w14:paraId="289C5390">
            <w:pPr>
              <w:pStyle w:val="28"/>
              <w:bidi w:val="0"/>
            </w:pPr>
            <w:r>
              <w:t>二类区</w:t>
            </w:r>
            <w:r>
              <w:rPr/>
              <w:sym w:font="Wingdings 2" w:char="0052"/>
            </w:r>
          </w:p>
        </w:tc>
        <w:tc>
          <w:tcPr>
            <w:tcW w:w="1352" w:type="pct"/>
            <w:gridSpan w:val="4"/>
            <w:vAlign w:val="center"/>
          </w:tcPr>
          <w:p w14:paraId="185D7644">
            <w:pPr>
              <w:pStyle w:val="28"/>
              <w:bidi w:val="0"/>
            </w:pPr>
            <w:r>
              <w:t>三类区□</w:t>
            </w:r>
          </w:p>
        </w:tc>
      </w:tr>
      <w:tr w14:paraId="72919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157E9E63">
            <w:pPr>
              <w:pStyle w:val="28"/>
              <w:bidi w:val="0"/>
            </w:pPr>
          </w:p>
        </w:tc>
        <w:tc>
          <w:tcPr>
            <w:tcW w:w="954" w:type="pct"/>
            <w:vAlign w:val="center"/>
          </w:tcPr>
          <w:p w14:paraId="06F953C3">
            <w:pPr>
              <w:pStyle w:val="28"/>
              <w:bidi w:val="0"/>
            </w:pPr>
            <w:r>
              <w:t>评价基准年</w:t>
            </w:r>
          </w:p>
        </w:tc>
        <w:tc>
          <w:tcPr>
            <w:tcW w:w="3554" w:type="pct"/>
            <w:gridSpan w:val="10"/>
            <w:vAlign w:val="center"/>
          </w:tcPr>
          <w:p w14:paraId="391AE529">
            <w:pPr>
              <w:pStyle w:val="28"/>
              <w:bidi w:val="0"/>
            </w:pPr>
            <w:r>
              <w:t>（2022）年</w:t>
            </w:r>
          </w:p>
        </w:tc>
      </w:tr>
      <w:tr w14:paraId="475F9A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5B0F3662">
            <w:pPr>
              <w:pStyle w:val="28"/>
              <w:bidi w:val="0"/>
            </w:pPr>
          </w:p>
        </w:tc>
        <w:tc>
          <w:tcPr>
            <w:tcW w:w="954" w:type="pct"/>
            <w:vAlign w:val="center"/>
          </w:tcPr>
          <w:p w14:paraId="50083A68">
            <w:pPr>
              <w:pStyle w:val="28"/>
              <w:bidi w:val="0"/>
            </w:pPr>
            <w:r>
              <w:t>环境空气质量现状调查数据来源</w:t>
            </w:r>
          </w:p>
        </w:tc>
        <w:tc>
          <w:tcPr>
            <w:tcW w:w="1185" w:type="pct"/>
            <w:gridSpan w:val="4"/>
            <w:vAlign w:val="center"/>
          </w:tcPr>
          <w:p w14:paraId="449A7D5A">
            <w:pPr>
              <w:pStyle w:val="28"/>
              <w:bidi w:val="0"/>
            </w:pPr>
            <w:r>
              <w:t>长期例行监测数据□</w:t>
            </w:r>
          </w:p>
        </w:tc>
        <w:tc>
          <w:tcPr>
            <w:tcW w:w="1017" w:type="pct"/>
            <w:gridSpan w:val="2"/>
            <w:vAlign w:val="center"/>
          </w:tcPr>
          <w:p w14:paraId="33427023">
            <w:pPr>
              <w:pStyle w:val="28"/>
              <w:bidi w:val="0"/>
            </w:pPr>
            <w:r>
              <w:t>主管部门发布的数据</w:t>
            </w:r>
            <w:r>
              <w:rPr/>
              <w:sym w:font="Wingdings 2" w:char="0052"/>
            </w:r>
          </w:p>
        </w:tc>
        <w:tc>
          <w:tcPr>
            <w:tcW w:w="1352" w:type="pct"/>
            <w:gridSpan w:val="4"/>
            <w:vAlign w:val="center"/>
          </w:tcPr>
          <w:p w14:paraId="2812A46D">
            <w:pPr>
              <w:pStyle w:val="28"/>
              <w:bidi w:val="0"/>
            </w:pPr>
            <w:r>
              <w:t>现状补充监测</w:t>
            </w:r>
            <w:r>
              <w:rPr/>
              <w:sym w:font="Wingdings 2" w:char="0052"/>
            </w:r>
          </w:p>
        </w:tc>
      </w:tr>
      <w:tr w14:paraId="537F9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4171A9A2">
            <w:pPr>
              <w:pStyle w:val="28"/>
              <w:bidi w:val="0"/>
            </w:pPr>
          </w:p>
        </w:tc>
        <w:tc>
          <w:tcPr>
            <w:tcW w:w="954" w:type="pct"/>
            <w:vAlign w:val="center"/>
          </w:tcPr>
          <w:p w14:paraId="7B08BE4A">
            <w:pPr>
              <w:pStyle w:val="28"/>
              <w:bidi w:val="0"/>
            </w:pPr>
            <w:r>
              <w:t>现状评价</w:t>
            </w:r>
          </w:p>
        </w:tc>
        <w:tc>
          <w:tcPr>
            <w:tcW w:w="1185" w:type="pct"/>
            <w:gridSpan w:val="4"/>
            <w:vAlign w:val="center"/>
          </w:tcPr>
          <w:p w14:paraId="1CD3961C">
            <w:pPr>
              <w:pStyle w:val="28"/>
              <w:bidi w:val="0"/>
            </w:pPr>
            <w:r>
              <w:t>达标区</w:t>
            </w:r>
            <w:r>
              <w:rPr/>
              <w:sym w:font="Wingdings 2" w:char="0052"/>
            </w:r>
          </w:p>
        </w:tc>
        <w:tc>
          <w:tcPr>
            <w:tcW w:w="2369" w:type="pct"/>
            <w:gridSpan w:val="6"/>
            <w:vAlign w:val="center"/>
          </w:tcPr>
          <w:p w14:paraId="0D49F217">
            <w:pPr>
              <w:pStyle w:val="28"/>
              <w:bidi w:val="0"/>
            </w:pPr>
            <w:r>
              <w:t>不达标区</w:t>
            </w:r>
            <w:r>
              <w:rPr/>
              <w:sym w:font="Wingdings 2" w:char="0052"/>
            </w:r>
          </w:p>
        </w:tc>
      </w:tr>
      <w:tr w14:paraId="736B0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Align w:val="center"/>
          </w:tcPr>
          <w:p w14:paraId="44A25176">
            <w:pPr>
              <w:pStyle w:val="28"/>
              <w:bidi w:val="0"/>
            </w:pPr>
            <w:r>
              <w:t>污染源调查</w:t>
            </w:r>
          </w:p>
        </w:tc>
        <w:tc>
          <w:tcPr>
            <w:tcW w:w="954" w:type="pct"/>
            <w:vAlign w:val="center"/>
          </w:tcPr>
          <w:p w14:paraId="06BB1C2A">
            <w:pPr>
              <w:pStyle w:val="28"/>
              <w:bidi w:val="0"/>
            </w:pPr>
            <w:r>
              <w:t>调查内容</w:t>
            </w:r>
          </w:p>
        </w:tc>
        <w:tc>
          <w:tcPr>
            <w:tcW w:w="1185" w:type="pct"/>
            <w:gridSpan w:val="4"/>
            <w:vAlign w:val="center"/>
          </w:tcPr>
          <w:p w14:paraId="64759DD5">
            <w:pPr>
              <w:pStyle w:val="28"/>
              <w:bidi w:val="0"/>
            </w:pPr>
            <w:r>
              <w:t>本项目正常排放源</w:t>
            </w:r>
          </w:p>
          <w:p w14:paraId="51AD3603">
            <w:pPr>
              <w:pStyle w:val="28"/>
              <w:bidi w:val="0"/>
            </w:pPr>
            <w:r>
              <w:t>本项目非正常排放源</w:t>
            </w:r>
          </w:p>
          <w:p w14:paraId="6E4E4726">
            <w:pPr>
              <w:pStyle w:val="28"/>
              <w:bidi w:val="0"/>
            </w:pPr>
            <w:r>
              <w:t>现有污染源□</w:t>
            </w:r>
          </w:p>
        </w:tc>
        <w:tc>
          <w:tcPr>
            <w:tcW w:w="1017" w:type="pct"/>
            <w:gridSpan w:val="2"/>
            <w:vAlign w:val="center"/>
          </w:tcPr>
          <w:p w14:paraId="121AD57C">
            <w:pPr>
              <w:pStyle w:val="28"/>
              <w:bidi w:val="0"/>
            </w:pPr>
            <w:r>
              <w:t>拟替代的污染源□</w:t>
            </w:r>
          </w:p>
        </w:tc>
        <w:tc>
          <w:tcPr>
            <w:tcW w:w="918" w:type="pct"/>
            <w:gridSpan w:val="3"/>
            <w:vAlign w:val="center"/>
          </w:tcPr>
          <w:p w14:paraId="7D3238CF">
            <w:pPr>
              <w:pStyle w:val="28"/>
              <w:bidi w:val="0"/>
            </w:pPr>
            <w:r>
              <w:t>其他在建、拟建项目污染源□</w:t>
            </w:r>
          </w:p>
        </w:tc>
        <w:tc>
          <w:tcPr>
            <w:tcW w:w="433" w:type="pct"/>
            <w:vAlign w:val="center"/>
          </w:tcPr>
          <w:p w14:paraId="70B4ECA5">
            <w:pPr>
              <w:pStyle w:val="28"/>
              <w:bidi w:val="0"/>
            </w:pPr>
            <w:r>
              <w:t>区域污染源</w:t>
            </w:r>
          </w:p>
        </w:tc>
      </w:tr>
      <w:tr w14:paraId="09A40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restart"/>
            <w:vAlign w:val="center"/>
          </w:tcPr>
          <w:p w14:paraId="68065255">
            <w:pPr>
              <w:pStyle w:val="28"/>
              <w:bidi w:val="0"/>
            </w:pPr>
            <w:r>
              <w:t>大气环境影响预测与评价</w:t>
            </w:r>
          </w:p>
        </w:tc>
        <w:tc>
          <w:tcPr>
            <w:tcW w:w="954" w:type="pct"/>
            <w:vAlign w:val="center"/>
          </w:tcPr>
          <w:p w14:paraId="7FDEBD50">
            <w:pPr>
              <w:pStyle w:val="28"/>
              <w:bidi w:val="0"/>
            </w:pPr>
            <w:r>
              <w:t>预测模型</w:t>
            </w:r>
          </w:p>
        </w:tc>
        <w:tc>
          <w:tcPr>
            <w:tcW w:w="454" w:type="pct"/>
            <w:vAlign w:val="center"/>
          </w:tcPr>
          <w:p w14:paraId="433E80FF">
            <w:pPr>
              <w:pStyle w:val="28"/>
              <w:bidi w:val="0"/>
            </w:pPr>
            <w:r>
              <w:t>AERMOD□</w:t>
            </w:r>
          </w:p>
        </w:tc>
        <w:tc>
          <w:tcPr>
            <w:tcW w:w="432" w:type="pct"/>
            <w:gridSpan w:val="2"/>
            <w:vAlign w:val="center"/>
          </w:tcPr>
          <w:p w14:paraId="67DAAA7B">
            <w:pPr>
              <w:pStyle w:val="28"/>
              <w:bidi w:val="0"/>
            </w:pPr>
            <w:r>
              <w:t>ADMS□</w:t>
            </w:r>
          </w:p>
        </w:tc>
        <w:tc>
          <w:tcPr>
            <w:tcW w:w="709" w:type="pct"/>
            <w:gridSpan w:val="2"/>
            <w:vAlign w:val="center"/>
          </w:tcPr>
          <w:p w14:paraId="7B8E638C">
            <w:pPr>
              <w:pStyle w:val="28"/>
              <w:bidi w:val="0"/>
            </w:pPr>
            <w:r>
              <w:t>AUSTAL2000□</w:t>
            </w:r>
          </w:p>
        </w:tc>
        <w:tc>
          <w:tcPr>
            <w:tcW w:w="606" w:type="pct"/>
            <w:vAlign w:val="center"/>
          </w:tcPr>
          <w:p w14:paraId="101D1245">
            <w:pPr>
              <w:pStyle w:val="28"/>
              <w:bidi w:val="0"/>
            </w:pPr>
            <w:r>
              <w:t>EDMS/AEDT□</w:t>
            </w:r>
          </w:p>
        </w:tc>
        <w:tc>
          <w:tcPr>
            <w:tcW w:w="518" w:type="pct"/>
            <w:gridSpan w:val="2"/>
            <w:vAlign w:val="center"/>
          </w:tcPr>
          <w:p w14:paraId="7F070B83">
            <w:pPr>
              <w:pStyle w:val="28"/>
              <w:bidi w:val="0"/>
            </w:pPr>
            <w:r>
              <w:t>CALPUFF□</w:t>
            </w:r>
          </w:p>
        </w:tc>
        <w:tc>
          <w:tcPr>
            <w:tcW w:w="400" w:type="pct"/>
            <w:vAlign w:val="center"/>
          </w:tcPr>
          <w:p w14:paraId="76E0409A">
            <w:pPr>
              <w:pStyle w:val="28"/>
              <w:bidi w:val="0"/>
            </w:pPr>
            <w:r>
              <w:t>网络模型□</w:t>
            </w:r>
          </w:p>
        </w:tc>
        <w:tc>
          <w:tcPr>
            <w:tcW w:w="433" w:type="pct"/>
            <w:vAlign w:val="center"/>
          </w:tcPr>
          <w:p w14:paraId="186637B1">
            <w:pPr>
              <w:pStyle w:val="28"/>
              <w:bidi w:val="0"/>
            </w:pPr>
            <w:r>
              <w:t>其他</w:t>
            </w:r>
          </w:p>
        </w:tc>
      </w:tr>
      <w:tr w14:paraId="0610E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2602F24C">
            <w:pPr>
              <w:pStyle w:val="28"/>
              <w:bidi w:val="0"/>
            </w:pPr>
          </w:p>
        </w:tc>
        <w:tc>
          <w:tcPr>
            <w:tcW w:w="954" w:type="pct"/>
            <w:vAlign w:val="center"/>
          </w:tcPr>
          <w:p w14:paraId="5319C34D">
            <w:pPr>
              <w:pStyle w:val="28"/>
              <w:bidi w:val="0"/>
            </w:pPr>
            <w:r>
              <w:t>预测范围</w:t>
            </w:r>
          </w:p>
        </w:tc>
        <w:tc>
          <w:tcPr>
            <w:tcW w:w="1185" w:type="pct"/>
            <w:gridSpan w:val="4"/>
            <w:vAlign w:val="center"/>
          </w:tcPr>
          <w:p w14:paraId="7F077E24">
            <w:pPr>
              <w:pStyle w:val="28"/>
              <w:bidi w:val="0"/>
            </w:pPr>
            <w:r>
              <w:t>边长≥50km□</w:t>
            </w:r>
          </w:p>
        </w:tc>
        <w:tc>
          <w:tcPr>
            <w:tcW w:w="1017" w:type="pct"/>
            <w:gridSpan w:val="2"/>
            <w:vAlign w:val="center"/>
          </w:tcPr>
          <w:p w14:paraId="7277BA92">
            <w:pPr>
              <w:pStyle w:val="28"/>
              <w:bidi w:val="0"/>
            </w:pPr>
            <w:r>
              <w:t>边长5-50km□</w:t>
            </w:r>
          </w:p>
        </w:tc>
        <w:tc>
          <w:tcPr>
            <w:tcW w:w="1352" w:type="pct"/>
            <w:gridSpan w:val="4"/>
            <w:vAlign w:val="center"/>
          </w:tcPr>
          <w:p w14:paraId="49BDAB85">
            <w:pPr>
              <w:pStyle w:val="28"/>
              <w:bidi w:val="0"/>
            </w:pPr>
            <w:r>
              <w:t>边长=5km</w:t>
            </w:r>
          </w:p>
        </w:tc>
      </w:tr>
      <w:tr w14:paraId="43CDE0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5D3C7482">
            <w:pPr>
              <w:pStyle w:val="28"/>
              <w:bidi w:val="0"/>
            </w:pPr>
          </w:p>
        </w:tc>
        <w:tc>
          <w:tcPr>
            <w:tcW w:w="954" w:type="pct"/>
            <w:vAlign w:val="center"/>
          </w:tcPr>
          <w:p w14:paraId="29B7F0F7">
            <w:pPr>
              <w:pStyle w:val="28"/>
              <w:bidi w:val="0"/>
            </w:pPr>
            <w:r>
              <w:t>预测因子</w:t>
            </w:r>
          </w:p>
        </w:tc>
        <w:tc>
          <w:tcPr>
            <w:tcW w:w="2202" w:type="pct"/>
            <w:gridSpan w:val="6"/>
            <w:vAlign w:val="center"/>
          </w:tcPr>
          <w:p w14:paraId="3E5D1161">
            <w:pPr>
              <w:pStyle w:val="28"/>
              <w:bidi w:val="0"/>
            </w:pPr>
            <w:r>
              <w:t>预测因子（）</w:t>
            </w:r>
          </w:p>
        </w:tc>
        <w:tc>
          <w:tcPr>
            <w:tcW w:w="1352" w:type="pct"/>
            <w:gridSpan w:val="4"/>
            <w:vAlign w:val="center"/>
          </w:tcPr>
          <w:p w14:paraId="6EEF7578">
            <w:pPr>
              <w:pStyle w:val="28"/>
              <w:bidi w:val="0"/>
            </w:pPr>
            <w:r>
              <w:t>包括二次PM2.5□</w:t>
            </w:r>
          </w:p>
          <w:p w14:paraId="74F67674">
            <w:pPr>
              <w:pStyle w:val="28"/>
              <w:bidi w:val="0"/>
            </w:pPr>
            <w:r>
              <w:t>不包括二次PM2.5</w:t>
            </w:r>
          </w:p>
        </w:tc>
      </w:tr>
      <w:tr w14:paraId="4C78B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28289EF1">
            <w:pPr>
              <w:pStyle w:val="28"/>
              <w:bidi w:val="0"/>
            </w:pPr>
          </w:p>
        </w:tc>
        <w:tc>
          <w:tcPr>
            <w:tcW w:w="954" w:type="pct"/>
            <w:vAlign w:val="center"/>
          </w:tcPr>
          <w:p w14:paraId="1E21FE15">
            <w:pPr>
              <w:pStyle w:val="28"/>
              <w:bidi w:val="0"/>
            </w:pPr>
            <w:r>
              <w:t>正常排放短期浓度贡献值</w:t>
            </w:r>
          </w:p>
        </w:tc>
        <w:tc>
          <w:tcPr>
            <w:tcW w:w="2202" w:type="pct"/>
            <w:gridSpan w:val="6"/>
            <w:vAlign w:val="center"/>
          </w:tcPr>
          <w:p w14:paraId="5500317C">
            <w:pPr>
              <w:pStyle w:val="28"/>
              <w:bidi w:val="0"/>
            </w:pPr>
            <w:r>
              <w:t>C本项目最大占标率≤100%</w:t>
            </w:r>
          </w:p>
        </w:tc>
        <w:tc>
          <w:tcPr>
            <w:tcW w:w="1352" w:type="pct"/>
            <w:gridSpan w:val="4"/>
            <w:vAlign w:val="center"/>
          </w:tcPr>
          <w:p w14:paraId="69474C7F">
            <w:pPr>
              <w:pStyle w:val="28"/>
              <w:bidi w:val="0"/>
            </w:pPr>
            <w:r>
              <w:t>C本项目最大占标率＞100%□</w:t>
            </w:r>
          </w:p>
        </w:tc>
      </w:tr>
      <w:tr w14:paraId="799E43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19117413">
            <w:pPr>
              <w:pStyle w:val="28"/>
              <w:bidi w:val="0"/>
            </w:pPr>
          </w:p>
        </w:tc>
        <w:tc>
          <w:tcPr>
            <w:tcW w:w="954" w:type="pct"/>
            <w:vMerge w:val="restart"/>
            <w:vAlign w:val="center"/>
          </w:tcPr>
          <w:p w14:paraId="56225D5A">
            <w:pPr>
              <w:pStyle w:val="28"/>
              <w:bidi w:val="0"/>
            </w:pPr>
            <w:r>
              <w:t>正常排放年均浓度贡献值</w:t>
            </w:r>
          </w:p>
        </w:tc>
        <w:tc>
          <w:tcPr>
            <w:tcW w:w="628" w:type="pct"/>
            <w:gridSpan w:val="2"/>
            <w:vAlign w:val="center"/>
          </w:tcPr>
          <w:p w14:paraId="325CF7EC">
            <w:pPr>
              <w:pStyle w:val="28"/>
              <w:bidi w:val="0"/>
            </w:pPr>
            <w:r>
              <w:t>一类区</w:t>
            </w:r>
          </w:p>
        </w:tc>
        <w:tc>
          <w:tcPr>
            <w:tcW w:w="1574" w:type="pct"/>
            <w:gridSpan w:val="4"/>
            <w:vAlign w:val="center"/>
          </w:tcPr>
          <w:p w14:paraId="50177A49">
            <w:pPr>
              <w:pStyle w:val="28"/>
              <w:bidi w:val="0"/>
            </w:pPr>
            <w:r>
              <w:t>C本项目最大占标率≤10%□</w:t>
            </w:r>
          </w:p>
        </w:tc>
        <w:tc>
          <w:tcPr>
            <w:tcW w:w="1352" w:type="pct"/>
            <w:gridSpan w:val="4"/>
            <w:vAlign w:val="center"/>
          </w:tcPr>
          <w:p w14:paraId="136B6C13">
            <w:pPr>
              <w:pStyle w:val="28"/>
              <w:bidi w:val="0"/>
            </w:pPr>
            <w:r>
              <w:t>C本项目最大占标率＞10%□</w:t>
            </w:r>
          </w:p>
        </w:tc>
      </w:tr>
      <w:tr w14:paraId="48EDE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15D1E74E">
            <w:pPr>
              <w:pStyle w:val="28"/>
              <w:bidi w:val="0"/>
            </w:pPr>
          </w:p>
        </w:tc>
        <w:tc>
          <w:tcPr>
            <w:tcW w:w="954" w:type="pct"/>
            <w:vMerge w:val="continue"/>
            <w:vAlign w:val="center"/>
          </w:tcPr>
          <w:p w14:paraId="0CB6FD0F">
            <w:pPr>
              <w:pStyle w:val="28"/>
              <w:bidi w:val="0"/>
            </w:pPr>
          </w:p>
        </w:tc>
        <w:tc>
          <w:tcPr>
            <w:tcW w:w="628" w:type="pct"/>
            <w:gridSpan w:val="2"/>
            <w:vAlign w:val="center"/>
          </w:tcPr>
          <w:p w14:paraId="6F88E04F">
            <w:pPr>
              <w:pStyle w:val="28"/>
              <w:bidi w:val="0"/>
            </w:pPr>
            <w:r>
              <w:t>二类区</w:t>
            </w:r>
          </w:p>
        </w:tc>
        <w:tc>
          <w:tcPr>
            <w:tcW w:w="1574" w:type="pct"/>
            <w:gridSpan w:val="4"/>
            <w:vAlign w:val="center"/>
          </w:tcPr>
          <w:p w14:paraId="2CF90C53">
            <w:pPr>
              <w:pStyle w:val="28"/>
              <w:bidi w:val="0"/>
            </w:pPr>
            <w:r>
              <w:t>C本项目最大占标率≤30%</w:t>
            </w:r>
          </w:p>
        </w:tc>
        <w:tc>
          <w:tcPr>
            <w:tcW w:w="1352" w:type="pct"/>
            <w:gridSpan w:val="4"/>
            <w:vAlign w:val="center"/>
          </w:tcPr>
          <w:p w14:paraId="4FDD8C67">
            <w:pPr>
              <w:pStyle w:val="28"/>
              <w:bidi w:val="0"/>
            </w:pPr>
            <w:r>
              <w:t>C本项目最大占标率＞30%□</w:t>
            </w:r>
          </w:p>
        </w:tc>
      </w:tr>
      <w:tr w14:paraId="6C803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6FDADA17">
            <w:pPr>
              <w:pStyle w:val="28"/>
              <w:bidi w:val="0"/>
            </w:pPr>
          </w:p>
        </w:tc>
        <w:tc>
          <w:tcPr>
            <w:tcW w:w="954" w:type="pct"/>
            <w:vAlign w:val="center"/>
          </w:tcPr>
          <w:p w14:paraId="303E531B">
            <w:pPr>
              <w:pStyle w:val="28"/>
              <w:bidi w:val="0"/>
            </w:pPr>
            <w:r>
              <w:t>非正常排放1h浓度贡献值</w:t>
            </w:r>
          </w:p>
        </w:tc>
        <w:tc>
          <w:tcPr>
            <w:tcW w:w="1185" w:type="pct"/>
            <w:gridSpan w:val="4"/>
            <w:vAlign w:val="center"/>
          </w:tcPr>
          <w:p w14:paraId="74B54D97">
            <w:pPr>
              <w:pStyle w:val="28"/>
              <w:bidi w:val="0"/>
            </w:pPr>
            <w:r>
              <w:t>非正常持续时间（  ）h</w:t>
            </w:r>
          </w:p>
        </w:tc>
        <w:tc>
          <w:tcPr>
            <w:tcW w:w="1488" w:type="pct"/>
            <w:gridSpan w:val="3"/>
            <w:vAlign w:val="center"/>
          </w:tcPr>
          <w:p w14:paraId="03FD4208">
            <w:pPr>
              <w:pStyle w:val="28"/>
              <w:bidi w:val="0"/>
            </w:pPr>
            <w:r>
              <w:t>C非正常占标率≤100%</w:t>
            </w:r>
          </w:p>
        </w:tc>
        <w:tc>
          <w:tcPr>
            <w:tcW w:w="881" w:type="pct"/>
            <w:gridSpan w:val="3"/>
            <w:vAlign w:val="center"/>
          </w:tcPr>
          <w:p w14:paraId="4A8178E4">
            <w:pPr>
              <w:pStyle w:val="28"/>
              <w:bidi w:val="0"/>
            </w:pPr>
            <w:r>
              <w:t>C非正常占标率＞100%□</w:t>
            </w:r>
          </w:p>
        </w:tc>
      </w:tr>
      <w:tr w14:paraId="1787C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0FE0E5D7">
            <w:pPr>
              <w:pStyle w:val="28"/>
              <w:bidi w:val="0"/>
            </w:pPr>
          </w:p>
        </w:tc>
        <w:tc>
          <w:tcPr>
            <w:tcW w:w="954" w:type="pct"/>
            <w:vAlign w:val="center"/>
          </w:tcPr>
          <w:p w14:paraId="2D309A91">
            <w:pPr>
              <w:pStyle w:val="28"/>
              <w:bidi w:val="0"/>
            </w:pPr>
            <w:r>
              <w:t>保证率日平均浓度和年平均浓度叠加值</w:t>
            </w:r>
          </w:p>
        </w:tc>
        <w:tc>
          <w:tcPr>
            <w:tcW w:w="1185" w:type="pct"/>
            <w:gridSpan w:val="4"/>
            <w:vAlign w:val="center"/>
          </w:tcPr>
          <w:p w14:paraId="78AE23D0">
            <w:pPr>
              <w:pStyle w:val="28"/>
              <w:bidi w:val="0"/>
            </w:pPr>
            <w:r>
              <w:t>C叠加达标</w:t>
            </w:r>
            <w:r>
              <w:rPr/>
              <w:sym w:font="Wingdings 2" w:char="00A3"/>
            </w:r>
          </w:p>
        </w:tc>
        <w:tc>
          <w:tcPr>
            <w:tcW w:w="2369" w:type="pct"/>
            <w:gridSpan w:val="6"/>
            <w:vAlign w:val="center"/>
          </w:tcPr>
          <w:p w14:paraId="423F2245">
            <w:pPr>
              <w:pStyle w:val="28"/>
              <w:bidi w:val="0"/>
            </w:pPr>
            <w:r>
              <w:t>C叠加不达标□</w:t>
            </w:r>
          </w:p>
        </w:tc>
      </w:tr>
      <w:tr w14:paraId="0ABCA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4EF1F0EF">
            <w:pPr>
              <w:pStyle w:val="28"/>
              <w:bidi w:val="0"/>
            </w:pPr>
          </w:p>
        </w:tc>
        <w:tc>
          <w:tcPr>
            <w:tcW w:w="954" w:type="pct"/>
            <w:vAlign w:val="center"/>
          </w:tcPr>
          <w:p w14:paraId="48EE94CC">
            <w:pPr>
              <w:pStyle w:val="28"/>
              <w:bidi w:val="0"/>
            </w:pPr>
            <w:r>
              <w:t>区域环境质量的整体变化情况</w:t>
            </w:r>
          </w:p>
        </w:tc>
        <w:tc>
          <w:tcPr>
            <w:tcW w:w="1185" w:type="pct"/>
            <w:gridSpan w:val="4"/>
            <w:vAlign w:val="center"/>
          </w:tcPr>
          <w:p w14:paraId="360B0F05">
            <w:pPr>
              <w:pStyle w:val="28"/>
              <w:bidi w:val="0"/>
            </w:pPr>
            <w:r>
              <w:t>k≤-20%</w:t>
            </w:r>
            <w:r>
              <w:rPr/>
              <w:sym w:font="Wingdings 2" w:char="00A3"/>
            </w:r>
          </w:p>
        </w:tc>
        <w:tc>
          <w:tcPr>
            <w:tcW w:w="2369" w:type="pct"/>
            <w:gridSpan w:val="6"/>
            <w:vAlign w:val="center"/>
          </w:tcPr>
          <w:p w14:paraId="207C4B4D">
            <w:pPr>
              <w:pStyle w:val="28"/>
              <w:bidi w:val="0"/>
            </w:pPr>
            <w:r>
              <w:t>k＞-20%□</w:t>
            </w:r>
          </w:p>
        </w:tc>
      </w:tr>
      <w:tr w14:paraId="229B10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restart"/>
            <w:vAlign w:val="center"/>
          </w:tcPr>
          <w:p w14:paraId="68F5B1FF">
            <w:pPr>
              <w:pStyle w:val="28"/>
              <w:bidi w:val="0"/>
            </w:pPr>
            <w:r>
              <w:t>环境监测计划</w:t>
            </w:r>
          </w:p>
        </w:tc>
        <w:tc>
          <w:tcPr>
            <w:tcW w:w="954" w:type="pct"/>
            <w:vAlign w:val="center"/>
          </w:tcPr>
          <w:p w14:paraId="03A656B2">
            <w:pPr>
              <w:pStyle w:val="28"/>
              <w:bidi w:val="0"/>
            </w:pPr>
            <w:r>
              <w:t>污染源监测</w:t>
            </w:r>
          </w:p>
        </w:tc>
        <w:tc>
          <w:tcPr>
            <w:tcW w:w="1185" w:type="pct"/>
            <w:gridSpan w:val="4"/>
            <w:vAlign w:val="center"/>
          </w:tcPr>
          <w:p w14:paraId="5507668C">
            <w:pPr>
              <w:pStyle w:val="28"/>
              <w:bidi w:val="0"/>
            </w:pPr>
            <w:r>
              <w:t>监测因子：（TSP</w:t>
            </w:r>
            <w:r>
              <w:rPr>
                <w:rFonts w:hint="eastAsia"/>
              </w:rPr>
              <w:t>、</w:t>
            </w:r>
            <w:r>
              <w:t>苯并芘</w:t>
            </w:r>
            <w:r>
              <w:rPr>
                <w:rFonts w:hint="eastAsia"/>
              </w:rPr>
              <w:t>、NH3、H2S</w:t>
            </w:r>
            <w:r>
              <w:t>）</w:t>
            </w:r>
          </w:p>
        </w:tc>
        <w:tc>
          <w:tcPr>
            <w:tcW w:w="1535" w:type="pct"/>
            <w:gridSpan w:val="4"/>
            <w:vAlign w:val="center"/>
          </w:tcPr>
          <w:p w14:paraId="0F001588">
            <w:pPr>
              <w:pStyle w:val="28"/>
              <w:bidi w:val="0"/>
            </w:pPr>
            <w:r>
              <w:t>有组织废气监测</w:t>
            </w:r>
            <w:r>
              <w:rPr/>
              <w:sym w:font="Wingdings 2" w:char="0052"/>
            </w:r>
          </w:p>
          <w:p w14:paraId="66375F05">
            <w:pPr>
              <w:pStyle w:val="28"/>
              <w:bidi w:val="0"/>
            </w:pPr>
            <w:r>
              <w:t>无组织废气监测</w:t>
            </w:r>
            <w:r>
              <w:rPr/>
              <w:sym w:font="Wingdings 2" w:char="0052"/>
            </w:r>
          </w:p>
        </w:tc>
        <w:tc>
          <w:tcPr>
            <w:tcW w:w="833" w:type="pct"/>
            <w:gridSpan w:val="2"/>
            <w:vAlign w:val="center"/>
          </w:tcPr>
          <w:p w14:paraId="398FCFBD">
            <w:pPr>
              <w:pStyle w:val="28"/>
              <w:bidi w:val="0"/>
            </w:pPr>
            <w:r>
              <w:t>无监测□</w:t>
            </w:r>
          </w:p>
        </w:tc>
      </w:tr>
      <w:tr w14:paraId="70FDE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5BDC3989">
            <w:pPr>
              <w:pStyle w:val="28"/>
              <w:bidi w:val="0"/>
            </w:pPr>
          </w:p>
        </w:tc>
        <w:tc>
          <w:tcPr>
            <w:tcW w:w="954" w:type="pct"/>
            <w:vAlign w:val="center"/>
          </w:tcPr>
          <w:p w14:paraId="507C4E94">
            <w:pPr>
              <w:pStyle w:val="28"/>
              <w:bidi w:val="0"/>
            </w:pPr>
            <w:r>
              <w:t>环境质量监测</w:t>
            </w:r>
          </w:p>
        </w:tc>
        <w:tc>
          <w:tcPr>
            <w:tcW w:w="1185" w:type="pct"/>
            <w:gridSpan w:val="4"/>
            <w:vAlign w:val="center"/>
          </w:tcPr>
          <w:p w14:paraId="764705A9">
            <w:pPr>
              <w:pStyle w:val="28"/>
              <w:bidi w:val="0"/>
            </w:pPr>
            <w:r>
              <w:t>监测因子：（ ）</w:t>
            </w:r>
          </w:p>
        </w:tc>
        <w:tc>
          <w:tcPr>
            <w:tcW w:w="1017" w:type="pct"/>
            <w:gridSpan w:val="2"/>
            <w:vAlign w:val="center"/>
          </w:tcPr>
          <w:p w14:paraId="2CC0CD42">
            <w:pPr>
              <w:pStyle w:val="28"/>
              <w:bidi w:val="0"/>
            </w:pPr>
            <w:r>
              <w:t>监测点位数（  ）</w:t>
            </w:r>
          </w:p>
        </w:tc>
        <w:tc>
          <w:tcPr>
            <w:tcW w:w="1352" w:type="pct"/>
            <w:gridSpan w:val="4"/>
            <w:vAlign w:val="center"/>
          </w:tcPr>
          <w:p w14:paraId="469E4DD9">
            <w:pPr>
              <w:pStyle w:val="28"/>
              <w:bidi w:val="0"/>
            </w:pPr>
            <w:r>
              <w:t>无监测□</w:t>
            </w:r>
          </w:p>
        </w:tc>
      </w:tr>
      <w:tr w14:paraId="76337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restart"/>
            <w:vAlign w:val="center"/>
          </w:tcPr>
          <w:p w14:paraId="736E08AD">
            <w:pPr>
              <w:pStyle w:val="28"/>
              <w:bidi w:val="0"/>
            </w:pPr>
            <w:r>
              <w:t>评价结论</w:t>
            </w:r>
          </w:p>
        </w:tc>
        <w:tc>
          <w:tcPr>
            <w:tcW w:w="954" w:type="pct"/>
            <w:vAlign w:val="center"/>
          </w:tcPr>
          <w:p w14:paraId="1686E616">
            <w:pPr>
              <w:pStyle w:val="28"/>
              <w:bidi w:val="0"/>
            </w:pPr>
            <w:r>
              <w:t>环境影响</w:t>
            </w:r>
          </w:p>
        </w:tc>
        <w:tc>
          <w:tcPr>
            <w:tcW w:w="3554" w:type="pct"/>
            <w:gridSpan w:val="10"/>
            <w:vAlign w:val="center"/>
          </w:tcPr>
          <w:p w14:paraId="140035D5">
            <w:pPr>
              <w:pStyle w:val="28"/>
              <w:bidi w:val="0"/>
            </w:pPr>
            <w:r>
              <w:t>可以接受</w:t>
            </w:r>
            <w:r>
              <w:rPr/>
              <w:sym w:font="Wingdings 2" w:char="0052"/>
            </w:r>
            <w:r>
              <w:t xml:space="preserve">   不可以接受□</w:t>
            </w:r>
          </w:p>
        </w:tc>
      </w:tr>
      <w:tr w14:paraId="320E8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11DEA09C">
            <w:pPr>
              <w:pStyle w:val="28"/>
              <w:bidi w:val="0"/>
            </w:pPr>
          </w:p>
        </w:tc>
        <w:tc>
          <w:tcPr>
            <w:tcW w:w="954" w:type="pct"/>
            <w:vAlign w:val="center"/>
          </w:tcPr>
          <w:p w14:paraId="425580B0">
            <w:pPr>
              <w:pStyle w:val="28"/>
              <w:bidi w:val="0"/>
            </w:pPr>
            <w:r>
              <w:t>大气环境防护距离</w:t>
            </w:r>
          </w:p>
        </w:tc>
        <w:tc>
          <w:tcPr>
            <w:tcW w:w="3554" w:type="pct"/>
            <w:gridSpan w:val="10"/>
            <w:vAlign w:val="center"/>
          </w:tcPr>
          <w:p w14:paraId="36DB00DB">
            <w:pPr>
              <w:pStyle w:val="28"/>
              <w:bidi w:val="0"/>
            </w:pPr>
            <w:r>
              <w:t>/</w:t>
            </w:r>
          </w:p>
        </w:tc>
      </w:tr>
      <w:tr w14:paraId="6D899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90" w:type="pct"/>
            <w:vMerge w:val="continue"/>
            <w:vAlign w:val="center"/>
          </w:tcPr>
          <w:p w14:paraId="2C5606F3">
            <w:pPr>
              <w:pStyle w:val="28"/>
              <w:bidi w:val="0"/>
            </w:pPr>
          </w:p>
        </w:tc>
        <w:tc>
          <w:tcPr>
            <w:tcW w:w="954" w:type="pct"/>
            <w:vAlign w:val="center"/>
          </w:tcPr>
          <w:p w14:paraId="10866101">
            <w:pPr>
              <w:pStyle w:val="28"/>
              <w:bidi w:val="0"/>
            </w:pPr>
            <w:r>
              <w:t>污染物年排放量</w:t>
            </w:r>
          </w:p>
        </w:tc>
        <w:tc>
          <w:tcPr>
            <w:tcW w:w="628" w:type="pct"/>
            <w:gridSpan w:val="2"/>
            <w:vAlign w:val="center"/>
          </w:tcPr>
          <w:p w14:paraId="4D48E063">
            <w:pPr>
              <w:pStyle w:val="28"/>
              <w:bidi w:val="0"/>
            </w:pPr>
            <w:r>
              <w:t>SO2：（  ）t/a</w:t>
            </w:r>
          </w:p>
        </w:tc>
        <w:tc>
          <w:tcPr>
            <w:tcW w:w="968" w:type="pct"/>
            <w:gridSpan w:val="3"/>
            <w:vAlign w:val="center"/>
          </w:tcPr>
          <w:p w14:paraId="7C4067A0">
            <w:pPr>
              <w:pStyle w:val="28"/>
              <w:bidi w:val="0"/>
            </w:pPr>
            <w:r>
              <w:t>NOX</w:t>
            </w:r>
            <w:r>
              <w:rPr>
                <w:rFonts w:hint="eastAsia"/>
              </w:rPr>
              <w:t>：</w:t>
            </w:r>
            <w:r>
              <w:t>（  ）t/a</w:t>
            </w:r>
          </w:p>
        </w:tc>
        <w:tc>
          <w:tcPr>
            <w:tcW w:w="1124" w:type="pct"/>
            <w:gridSpan w:val="3"/>
            <w:vAlign w:val="center"/>
          </w:tcPr>
          <w:p w14:paraId="245C7A8E">
            <w:pPr>
              <w:pStyle w:val="28"/>
              <w:bidi w:val="0"/>
            </w:pPr>
            <w:r>
              <w:t>颗粒物：（  ）t/a</w:t>
            </w:r>
          </w:p>
        </w:tc>
        <w:tc>
          <w:tcPr>
            <w:tcW w:w="833" w:type="pct"/>
            <w:gridSpan w:val="2"/>
            <w:vAlign w:val="center"/>
          </w:tcPr>
          <w:p w14:paraId="16E8DCD7">
            <w:pPr>
              <w:pStyle w:val="28"/>
              <w:bidi w:val="0"/>
            </w:pPr>
            <w:r>
              <w:rPr>
                <w:rFonts w:hint="eastAsia"/>
              </w:rPr>
              <w:t>非甲烷总烃：</w:t>
            </w:r>
            <w:r>
              <w:t>（  ）t/a</w:t>
            </w:r>
          </w:p>
        </w:tc>
      </w:tr>
      <w:tr w14:paraId="6518ED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12"/>
            <w:vAlign w:val="center"/>
          </w:tcPr>
          <w:p w14:paraId="6167A301">
            <w:pPr>
              <w:pStyle w:val="28"/>
              <w:bidi w:val="0"/>
            </w:pPr>
            <w:r>
              <w:t>注：</w:t>
            </w:r>
            <w:r>
              <w:rPr>
                <w:rFonts w:hint="eastAsia"/>
              </w:rPr>
              <w:t>“</w:t>
            </w:r>
            <w:r>
              <w:t>□</w:t>
            </w:r>
            <w:r>
              <w:rPr>
                <w:rFonts w:hint="eastAsia"/>
              </w:rPr>
              <w:t>”</w:t>
            </w:r>
            <w:r>
              <w:t>为勾选项，填</w:t>
            </w:r>
            <w:r>
              <w:rPr>
                <w:rFonts w:hint="eastAsia"/>
              </w:rPr>
              <w:t>“</w:t>
            </w:r>
            <w:r>
              <w:t>√</w:t>
            </w:r>
            <w:r>
              <w:rPr>
                <w:rFonts w:hint="eastAsia"/>
              </w:rPr>
              <w:t>”</w:t>
            </w:r>
            <w:r>
              <w:t>；</w:t>
            </w:r>
            <w:r>
              <w:rPr>
                <w:rFonts w:hint="eastAsia"/>
              </w:rPr>
              <w:t>“</w:t>
            </w:r>
            <w:r>
              <w:t>（）</w:t>
            </w:r>
            <w:r>
              <w:rPr>
                <w:rFonts w:hint="eastAsia"/>
              </w:rPr>
              <w:t>”</w:t>
            </w:r>
            <w:r>
              <w:t>为内容填写</w:t>
            </w:r>
          </w:p>
        </w:tc>
      </w:tr>
    </w:tbl>
    <w:p w14:paraId="50B7E8F7">
      <w:pPr>
        <w:spacing w:line="240" w:lineRule="auto"/>
        <w:rPr>
          <w:color w:val="0000FF"/>
        </w:rPr>
      </w:pPr>
    </w:p>
    <w:p w14:paraId="4D0D62FE">
      <w:pPr>
        <w:pStyle w:val="3"/>
        <w:bidi w:val="0"/>
      </w:pPr>
      <w:bookmarkStart w:id="63" w:name="_Toc24053"/>
      <w:r>
        <w:rPr>
          <w:rFonts w:hint="eastAsia"/>
        </w:rPr>
        <w:t>5.4</w:t>
      </w:r>
      <w:r>
        <w:t xml:space="preserve"> 声环境影响预测与评价</w:t>
      </w:r>
      <w:bookmarkEnd w:id="63"/>
    </w:p>
    <w:p w14:paraId="4F1A1945">
      <w:pPr>
        <w:bidi w:val="0"/>
      </w:pPr>
      <w:r>
        <w:t>本工程对声环境的影响主要发生在施工期，施工期的噪声源包括施工机械施工产生的点源噪声和自卸汽车运行产生的流动噪声，根据不同噪声源，其影响与评价如下：</w:t>
      </w:r>
    </w:p>
    <w:p w14:paraId="7A9ED56F">
      <w:pPr>
        <w:pStyle w:val="4"/>
        <w:bidi w:val="0"/>
      </w:pPr>
      <w:r>
        <w:rPr>
          <w:rFonts w:hint="eastAsia"/>
        </w:rPr>
        <w:t>5.4</w:t>
      </w:r>
      <w:r>
        <w:t>.1施工期声环境影响分析</w:t>
      </w:r>
    </w:p>
    <w:p w14:paraId="4F669C9C">
      <w:pPr>
        <w:pStyle w:val="5"/>
        <w:bidi w:val="0"/>
      </w:pPr>
      <w:r>
        <w:rPr>
          <w:rFonts w:hint="eastAsia"/>
        </w:rPr>
        <w:t>5.4</w:t>
      </w:r>
      <w:r>
        <w:t>.1.1 固定声源预测模式</w:t>
      </w:r>
    </w:p>
    <w:p w14:paraId="764DE10D">
      <w:pPr>
        <w:bidi w:val="0"/>
      </w:pPr>
      <w:r>
        <w:t xml:space="preserve">根据拟建项目设备声源特征和声环境的特点，结合《环境影响评价技术导则 </w:t>
      </w:r>
      <w:r>
        <w:rPr>
          <w:rFonts w:hint="eastAsia"/>
          <w:lang w:val="en-US" w:eastAsia="zh-CN"/>
        </w:rPr>
        <w:t xml:space="preserve"> </w:t>
      </w:r>
      <w:r>
        <w:t>声环境》（HJ 2.4-2021）的技术要求，本次评价采取导则上推荐的工业噪声预测模式：</w:t>
      </w:r>
    </w:p>
    <w:p w14:paraId="21160E7F">
      <w:pPr>
        <w:bidi w:val="0"/>
      </w:pPr>
      <w:r>
        <w:t>①预测点的A声级LA（r）可按下式计算，即将8个倍频带声压级合成，计算出预测点的A声级</w:t>
      </w:r>
      <w:r>
        <w:rPr>
          <w:rFonts w:hint="eastAsia"/>
        </w:rPr>
        <w:t>〔</w:t>
      </w:r>
      <w:r>
        <w:t>LA（r）</w:t>
      </w:r>
      <w:r>
        <w:rPr>
          <w:rFonts w:hint="eastAsia"/>
        </w:rPr>
        <w:t>〕</w:t>
      </w:r>
      <w:r>
        <w:t>：</w:t>
      </w:r>
    </w:p>
    <w:p w14:paraId="6070514D">
      <w:pPr>
        <w:bidi w:val="0"/>
        <w:jc w:val="center"/>
      </w:pPr>
      <w:r>
        <w:rPr>
          <w:rFonts w:cs="Times New Roman"/>
          <w:color w:val="0000FF"/>
          <w:position w:val="-28"/>
        </w:rPr>
        <w:object>
          <v:shape id="_x0000_i1033" o:spt="75" type="#_x0000_t75" style="height:49.55pt;width:202.75pt;" o:ole="t" filled="f" o:preferrelative="t" stroked="f" coordsize="21600,21600">
            <v:path/>
            <v:fill on="f" focussize="0,0"/>
            <v:stroke on="f" joinstyle="miter"/>
            <v:imagedata r:id="rId151" o:title=""/>
            <o:lock v:ext="edit" aspectratio="t"/>
            <w10:wrap type="none"/>
            <w10:anchorlock/>
          </v:shape>
          <o:OLEObject Type="Embed" ProgID="Equation.KSEE3" ShapeID="_x0000_i1033" DrawAspect="Content" ObjectID="_1468075733" r:id="rId150">
            <o:LockedField>false</o:LockedField>
          </o:OLEObject>
        </w:object>
      </w:r>
    </w:p>
    <w:p w14:paraId="74E05EB4">
      <w:pPr>
        <w:bidi w:val="0"/>
      </w:pPr>
      <w:r>
        <w:t>式中：LA（r）—距声源r处的A声级，dB（A）；</w:t>
      </w:r>
    </w:p>
    <w:p w14:paraId="4D4429C4">
      <w:pPr>
        <w:bidi w:val="0"/>
        <w:ind w:firstLine="1200" w:firstLineChars="500"/>
      </w:pPr>
      <w:r>
        <w:t>Lpi（r）—预测点（r）处，第i倍频带声压级，dB；</w:t>
      </w:r>
    </w:p>
    <w:p w14:paraId="1BB366D3">
      <w:pPr>
        <w:bidi w:val="0"/>
        <w:ind w:firstLine="1200" w:firstLineChars="500"/>
      </w:pPr>
      <w:r>
        <w:t>ΔLi—第i倍频带的A计权网络修正值，dB；</w:t>
      </w:r>
    </w:p>
    <w:p w14:paraId="3A9ABD45">
      <w:pPr>
        <w:bidi w:val="0"/>
      </w:pPr>
      <w:r>
        <w:t>②在环境影响评价中，应根据声源声功率级或参考位置处的声压级、户外声传播衰减，计算预测点的声级，分别按下式计算：</w:t>
      </w:r>
    </w:p>
    <w:p w14:paraId="14D2020C">
      <w:pPr>
        <w:bidi w:val="0"/>
        <w:jc w:val="center"/>
      </w:pPr>
      <w:r>
        <w:t>LA（r）=LA（r0）－（Adiv+Aatm+Abar+Agr+Amisc）</w:t>
      </w:r>
    </w:p>
    <w:p w14:paraId="19A64779">
      <w:pPr>
        <w:bidi w:val="0"/>
      </w:pPr>
      <w:r>
        <w:t>式中：LA（r）——距声源r处A声级，dB（A）；</w:t>
      </w:r>
    </w:p>
    <w:p w14:paraId="6F4F40C6">
      <w:pPr>
        <w:bidi w:val="0"/>
        <w:ind w:firstLine="1200" w:firstLineChars="500"/>
      </w:pPr>
      <w:r>
        <w:t>LA（r0）——参考位置r0处A声级，dB（A）；</w:t>
      </w:r>
    </w:p>
    <w:p w14:paraId="1144F271">
      <w:pPr>
        <w:bidi w:val="0"/>
        <w:ind w:firstLine="1200" w:firstLineChars="500"/>
      </w:pPr>
      <w:r>
        <w:t>Adiv——声波几何发散引起的A声级衰减量，dB（A）；</w:t>
      </w:r>
    </w:p>
    <w:p w14:paraId="5D7A732F">
      <w:pPr>
        <w:bidi w:val="0"/>
        <w:ind w:firstLine="1200" w:firstLineChars="500"/>
      </w:pPr>
      <w:r>
        <w:t>Aatm——空气吸收引起的A声级衰减量，dB（A）；</w:t>
      </w:r>
    </w:p>
    <w:p w14:paraId="5E899F64">
      <w:pPr>
        <w:bidi w:val="0"/>
        <w:ind w:firstLine="1200" w:firstLineChars="500"/>
      </w:pPr>
      <w:r>
        <w:t>Abar——屏障引起的A声级衰减量，dB（A）；</w:t>
      </w:r>
    </w:p>
    <w:p w14:paraId="4A913F4F">
      <w:pPr>
        <w:bidi w:val="0"/>
        <w:ind w:firstLine="1200" w:firstLineChars="500"/>
      </w:pPr>
      <w:r>
        <w:t>Agr——地面效应A声级衰减量，dB（A）；</w:t>
      </w:r>
    </w:p>
    <w:p w14:paraId="2F5D77E2">
      <w:pPr>
        <w:bidi w:val="0"/>
      </w:pPr>
      <w:r>
        <w:t>③几何发散衰减Adiv</w:t>
      </w:r>
    </w:p>
    <w:p w14:paraId="6A7E9753">
      <w:pPr>
        <w:bidi w:val="0"/>
      </w:pPr>
      <w:r>
        <w:t>本项目施工期间产生的噪声的设备如挖掘机、钻孔机等较为集中，可视为室外点声源处理；加工场地同样视为点声源。</w:t>
      </w:r>
    </w:p>
    <w:p w14:paraId="24D5AB12">
      <w:pPr>
        <w:bidi w:val="0"/>
        <w:jc w:val="center"/>
      </w:pPr>
      <w:r>
        <w:t>Adiv=20lg（r/r0）</w:t>
      </w:r>
    </w:p>
    <w:p w14:paraId="4A527F32">
      <w:pPr>
        <w:bidi w:val="0"/>
      </w:pPr>
      <w:r>
        <w:t>本次评价仅考虑几何发散衰减量。故预测采用的户外声传播衰减模式可简化为下式：</w:t>
      </w:r>
    </w:p>
    <w:p w14:paraId="3AAA8883">
      <w:pPr>
        <w:bidi w:val="0"/>
        <w:jc w:val="center"/>
      </w:pPr>
      <w:r>
        <w:t>LA（r）=LA（r0）－Adiv</w:t>
      </w:r>
    </w:p>
    <w:p w14:paraId="6D69887C">
      <w:pPr>
        <w:bidi w:val="0"/>
      </w:pPr>
      <w:r>
        <w:t>④其他衰减量</w:t>
      </w:r>
    </w:p>
    <w:p w14:paraId="1E5E6B42">
      <w:pPr>
        <w:bidi w:val="0"/>
      </w:pPr>
      <w:r>
        <w:t>户外声传播衰减过程中，空气吸收衰减量、地面效应衰减量与几何发散衰减量相比甚小，故本次预测中忽略空气吸收衰减量Aatm、地面效应衰减量和其他多方面因素引起的A声级衰减量Amisc。</w:t>
      </w:r>
    </w:p>
    <w:p w14:paraId="28408BD6">
      <w:pPr>
        <w:bidi w:val="0"/>
      </w:pPr>
      <w:r>
        <w:t>综上所述，本次预测采用的户外声传播衰减模式可简化为下式：</w:t>
      </w:r>
    </w:p>
    <w:p w14:paraId="15213C0A">
      <w:pPr>
        <w:bidi w:val="0"/>
        <w:jc w:val="center"/>
      </w:pPr>
      <w:r>
        <w:t>LA（r）=LA（r0）－20lg（r/r0）</w:t>
      </w:r>
    </w:p>
    <w:p w14:paraId="3A9157C4">
      <w:pPr>
        <w:bidi w:val="0"/>
      </w:pPr>
      <w:r>
        <w:t>⑤预测点贡献值计算</w:t>
      </w:r>
    </w:p>
    <w:p w14:paraId="10BD51EB">
      <w:pPr>
        <w:bidi w:val="0"/>
      </w:pPr>
      <w:r>
        <w:t>设第i室外声源在预测点产生的A声级为LAi，在T时间内该声源工作时间为ti；第j等效室外声源在预测点产生的A声级为LAj，在T时间内该声源工作时间为tj，则拟建工程声源对预测点产生的贡献值（LEqg）为：</w:t>
      </w:r>
    </w:p>
    <w:p w14:paraId="58579FCA">
      <w:pPr>
        <w:bidi w:val="0"/>
        <w:jc w:val="center"/>
      </w:pPr>
      <w:r>
        <w:rPr>
          <w:rFonts w:cs="Times New Roman"/>
          <w:color w:val="0000FF"/>
          <w:position w:val="-30"/>
        </w:rPr>
        <w:object>
          <v:shape id="_x0000_i1034" o:spt="75" type="#_x0000_t75" style="height:37pt;width:201pt;" o:ole="t" filled="f" o:preferrelative="t" stroked="f" coordsize="21600,21600">
            <v:path/>
            <v:fill on="f" focussize="0,0"/>
            <v:stroke on="f" joinstyle="miter"/>
            <v:imagedata r:id="rId152" o:title=""/>
            <o:lock v:ext="edit" aspectratio="t"/>
            <w10:wrap type="none"/>
            <w10:anchorlock/>
          </v:shape>
          <o:OLEObject Type="Embed" ProgID="Equation.3" ShapeID="_x0000_i1034" DrawAspect="Content" ObjectID="_1468075734">
            <o:LockedField>false</o:LockedField>
          </o:OLEObject>
        </w:object>
      </w:r>
    </w:p>
    <w:p w14:paraId="4114BB5C">
      <w:pPr>
        <w:bidi w:val="0"/>
      </w:pPr>
      <w:r>
        <w:t>式中：tj——在T时间内j声源工作时间，s；</w:t>
      </w:r>
    </w:p>
    <w:p w14:paraId="32B11172">
      <w:pPr>
        <w:bidi w:val="0"/>
        <w:ind w:firstLine="1200" w:firstLineChars="500"/>
      </w:pPr>
      <w:r>
        <w:t>ti——在T时间内i声源工作时间，s；</w:t>
      </w:r>
    </w:p>
    <w:p w14:paraId="143472E1">
      <w:pPr>
        <w:bidi w:val="0"/>
        <w:ind w:firstLine="1200" w:firstLineChars="500"/>
      </w:pPr>
      <w:r>
        <w:t>T——用于计算等效声级的时间，s；</w:t>
      </w:r>
    </w:p>
    <w:p w14:paraId="5ED89D70">
      <w:pPr>
        <w:bidi w:val="0"/>
        <w:ind w:firstLine="1200" w:firstLineChars="500"/>
      </w:pPr>
      <w:r>
        <w:t>N——室外声源个数；</w:t>
      </w:r>
    </w:p>
    <w:p w14:paraId="3638DE87">
      <w:pPr>
        <w:bidi w:val="0"/>
        <w:ind w:firstLine="1200" w:firstLineChars="500"/>
      </w:pPr>
      <w:r>
        <w:t>M——等效室外声源个数；</w:t>
      </w:r>
    </w:p>
    <w:p w14:paraId="5B0FA0BF">
      <w:pPr>
        <w:bidi w:val="0"/>
      </w:pPr>
      <w:r>
        <w:t>⑥预测点的预测等效声级（LEq）计算</w:t>
      </w:r>
    </w:p>
    <w:p w14:paraId="688BDA68">
      <w:pPr>
        <w:bidi w:val="0"/>
        <w:jc w:val="center"/>
      </w:pPr>
      <w:r>
        <w:rPr>
          <w:rFonts w:cs="Times New Roman"/>
          <w:color w:val="0000FF"/>
          <w:position w:val="-18"/>
        </w:rPr>
        <w:object>
          <v:shape id="_x0000_i1035" o:spt="75" type="#_x0000_t75" style="height:23pt;width:148pt;" o:ole="t" filled="f" o:preferrelative="t" stroked="f" coordsize="21600,21600">
            <v:path/>
            <v:fill on="f" focussize="0,0"/>
            <v:stroke on="f" joinstyle="miter"/>
            <v:imagedata r:id="rId153" o:title=""/>
            <o:lock v:ext="edit" aspectratio="t"/>
            <w10:wrap type="none"/>
            <w10:anchorlock/>
          </v:shape>
          <o:OLEObject Type="Embed" ProgID="Equation.3" ShapeID="_x0000_i1035" DrawAspect="Content" ObjectID="_1468075735">
            <o:LockedField>false</o:LockedField>
          </o:OLEObject>
        </w:object>
      </w:r>
    </w:p>
    <w:p w14:paraId="316BB2EC">
      <w:pPr>
        <w:bidi w:val="0"/>
      </w:pPr>
      <w:r>
        <w:t>式中：LEqg——建设项目声源在预测点的等效声级贡献量，dB（A）；</w:t>
      </w:r>
    </w:p>
    <w:p w14:paraId="1EEC5ACD">
      <w:pPr>
        <w:bidi w:val="0"/>
        <w:ind w:firstLine="1200" w:firstLineChars="500"/>
      </w:pPr>
      <w:r>
        <w:t>LEqb——预测点背景值，dB（A）</w:t>
      </w:r>
    </w:p>
    <w:p w14:paraId="33A59777">
      <w:pPr>
        <w:pStyle w:val="5"/>
        <w:bidi w:val="0"/>
      </w:pPr>
      <w:r>
        <w:rPr>
          <w:rFonts w:hint="eastAsia"/>
        </w:rPr>
        <w:t>5.4</w:t>
      </w:r>
      <w:r>
        <w:t>.1.2 固定声源影响预测</w:t>
      </w:r>
    </w:p>
    <w:p w14:paraId="0424415E">
      <w:pPr>
        <w:bidi w:val="0"/>
      </w:pPr>
      <w:r>
        <w:t>在施工过程中，挖掘机等为固定噪声源，推土机等施工机械由于活动范围较小，且车速慢，也可按固定源考虑。</w:t>
      </w:r>
    </w:p>
    <w:p w14:paraId="3FD02B55">
      <w:pPr>
        <w:bidi w:val="0"/>
      </w:pPr>
      <w:r>
        <w:t>（1）单台施工机械场界噪声预测</w:t>
      </w:r>
    </w:p>
    <w:p w14:paraId="58DADA40">
      <w:pPr>
        <w:bidi w:val="0"/>
      </w:pPr>
      <w:r>
        <w:t>计算本工程固定连续噪声点源，见下表。</w:t>
      </w:r>
    </w:p>
    <w:p w14:paraId="1087140A">
      <w:pPr>
        <w:jc w:val="center"/>
        <w:rPr>
          <w:rFonts w:cs="Times New Roman"/>
          <w:color w:val="0000FF"/>
        </w:rPr>
      </w:pPr>
      <w:r>
        <w:rPr>
          <w:rFonts w:cs="Times New Roman"/>
          <w:color w:val="0000FF"/>
        </w:rPr>
        <w:t>表</w:t>
      </w:r>
      <w:r>
        <w:rPr>
          <w:rFonts w:hint="eastAsia" w:cs="Times New Roman"/>
          <w:color w:val="0000FF"/>
        </w:rPr>
        <w:t>5</w:t>
      </w:r>
      <w:r>
        <w:rPr>
          <w:rFonts w:hint="eastAsia" w:cs="Times New Roman"/>
          <w:color w:val="0000FF"/>
          <w:lang w:val="en-US" w:eastAsia="zh-CN"/>
        </w:rPr>
        <w:t>.</w:t>
      </w:r>
      <w:r>
        <w:rPr>
          <w:rFonts w:hint="eastAsia" w:cs="Times New Roman"/>
          <w:color w:val="0000FF"/>
        </w:rPr>
        <w:t>4</w:t>
      </w:r>
      <w:r>
        <w:rPr>
          <w:rFonts w:cs="Times New Roman"/>
          <w:color w:val="0000FF"/>
        </w:rPr>
        <w:t>-1  施工噪声固定连续点源贡献值</w:t>
      </w:r>
    </w:p>
    <w:tbl>
      <w:tblPr>
        <w:tblStyle w:val="16"/>
        <w:tblW w:w="499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0"/>
        <w:gridCol w:w="1294"/>
        <w:gridCol w:w="952"/>
        <w:gridCol w:w="1210"/>
        <w:gridCol w:w="1095"/>
        <w:gridCol w:w="963"/>
        <w:gridCol w:w="963"/>
        <w:gridCol w:w="964"/>
        <w:gridCol w:w="1057"/>
      </w:tblGrid>
      <w:tr w14:paraId="065D5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restart"/>
            <w:vAlign w:val="center"/>
          </w:tcPr>
          <w:p w14:paraId="39BD58AA">
            <w:pPr>
              <w:pStyle w:val="28"/>
              <w:bidi w:val="0"/>
            </w:pPr>
            <w:r>
              <w:t>施工工序</w:t>
            </w:r>
          </w:p>
        </w:tc>
        <w:tc>
          <w:tcPr>
            <w:tcW w:w="697" w:type="pct"/>
            <w:vMerge w:val="restart"/>
            <w:vAlign w:val="center"/>
          </w:tcPr>
          <w:p w14:paraId="6A749B03">
            <w:pPr>
              <w:pStyle w:val="28"/>
              <w:bidi w:val="0"/>
            </w:pPr>
            <w:r>
              <w:t>声源</w:t>
            </w:r>
          </w:p>
        </w:tc>
        <w:tc>
          <w:tcPr>
            <w:tcW w:w="513" w:type="pct"/>
            <w:vMerge w:val="restart"/>
            <w:vAlign w:val="center"/>
          </w:tcPr>
          <w:p w14:paraId="75D23105">
            <w:pPr>
              <w:pStyle w:val="28"/>
              <w:bidi w:val="0"/>
            </w:pPr>
            <w:r>
              <w:rPr>
                <w:rFonts w:hint="eastAsia"/>
              </w:rPr>
              <w:t>5m处声源</w:t>
            </w:r>
            <w:r>
              <w:t>源强（dB）</w:t>
            </w:r>
          </w:p>
        </w:tc>
        <w:tc>
          <w:tcPr>
            <w:tcW w:w="3368" w:type="pct"/>
            <w:gridSpan w:val="6"/>
            <w:vAlign w:val="center"/>
          </w:tcPr>
          <w:p w14:paraId="1D04B021">
            <w:pPr>
              <w:pStyle w:val="28"/>
              <w:bidi w:val="0"/>
            </w:pPr>
            <w:r>
              <w:t>离声源不同距离的噪声贡献值（dB）</w:t>
            </w:r>
          </w:p>
        </w:tc>
      </w:tr>
      <w:tr w14:paraId="2C79C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2EA740A4">
            <w:pPr>
              <w:pStyle w:val="28"/>
              <w:bidi w:val="0"/>
            </w:pPr>
          </w:p>
        </w:tc>
        <w:tc>
          <w:tcPr>
            <w:tcW w:w="697" w:type="pct"/>
            <w:vMerge w:val="continue"/>
            <w:vAlign w:val="center"/>
          </w:tcPr>
          <w:p w14:paraId="19D11863">
            <w:pPr>
              <w:pStyle w:val="28"/>
              <w:bidi w:val="0"/>
            </w:pPr>
          </w:p>
        </w:tc>
        <w:tc>
          <w:tcPr>
            <w:tcW w:w="513" w:type="pct"/>
            <w:vMerge w:val="continue"/>
            <w:vAlign w:val="center"/>
          </w:tcPr>
          <w:p w14:paraId="230BE4E9">
            <w:pPr>
              <w:pStyle w:val="28"/>
              <w:bidi w:val="0"/>
            </w:pPr>
          </w:p>
        </w:tc>
        <w:tc>
          <w:tcPr>
            <w:tcW w:w="652" w:type="pct"/>
            <w:vAlign w:val="center"/>
          </w:tcPr>
          <w:p w14:paraId="7216F846">
            <w:pPr>
              <w:pStyle w:val="28"/>
              <w:bidi w:val="0"/>
            </w:pPr>
            <w:r>
              <w:t>20m</w:t>
            </w:r>
          </w:p>
        </w:tc>
        <w:tc>
          <w:tcPr>
            <w:tcW w:w="590" w:type="pct"/>
            <w:vAlign w:val="center"/>
          </w:tcPr>
          <w:p w14:paraId="6F323063">
            <w:pPr>
              <w:pStyle w:val="28"/>
              <w:bidi w:val="0"/>
            </w:pPr>
            <w:r>
              <w:t>40m</w:t>
            </w:r>
          </w:p>
        </w:tc>
        <w:tc>
          <w:tcPr>
            <w:tcW w:w="519" w:type="pct"/>
            <w:vAlign w:val="center"/>
          </w:tcPr>
          <w:p w14:paraId="19EA8C07">
            <w:pPr>
              <w:pStyle w:val="28"/>
              <w:bidi w:val="0"/>
            </w:pPr>
            <w:r>
              <w:t>80m</w:t>
            </w:r>
          </w:p>
        </w:tc>
        <w:tc>
          <w:tcPr>
            <w:tcW w:w="519" w:type="pct"/>
            <w:vAlign w:val="center"/>
          </w:tcPr>
          <w:p w14:paraId="06E944BE">
            <w:pPr>
              <w:pStyle w:val="28"/>
              <w:bidi w:val="0"/>
            </w:pPr>
            <w:r>
              <w:t>160m</w:t>
            </w:r>
          </w:p>
        </w:tc>
        <w:tc>
          <w:tcPr>
            <w:tcW w:w="519" w:type="pct"/>
            <w:vAlign w:val="center"/>
          </w:tcPr>
          <w:p w14:paraId="41113337">
            <w:pPr>
              <w:pStyle w:val="28"/>
              <w:bidi w:val="0"/>
            </w:pPr>
            <w:r>
              <w:t>320m</w:t>
            </w:r>
          </w:p>
        </w:tc>
        <w:tc>
          <w:tcPr>
            <w:tcW w:w="567" w:type="pct"/>
            <w:vAlign w:val="center"/>
          </w:tcPr>
          <w:p w14:paraId="51CEC596">
            <w:pPr>
              <w:pStyle w:val="28"/>
              <w:bidi w:val="0"/>
            </w:pPr>
            <w:r>
              <w:t>640m</w:t>
            </w:r>
          </w:p>
        </w:tc>
      </w:tr>
      <w:tr w14:paraId="1427523D">
        <w:tblPrEx>
          <w:tblCellMar>
            <w:top w:w="0" w:type="dxa"/>
            <w:left w:w="108" w:type="dxa"/>
            <w:bottom w:w="0" w:type="dxa"/>
            <w:right w:w="108" w:type="dxa"/>
          </w:tblCellMar>
        </w:tblPrEx>
        <w:trPr>
          <w:trHeight w:val="340" w:hRule="atLeast"/>
          <w:jc w:val="center"/>
        </w:trPr>
        <w:tc>
          <w:tcPr>
            <w:tcW w:w="420" w:type="pct"/>
            <w:vMerge w:val="restart"/>
            <w:vAlign w:val="center"/>
          </w:tcPr>
          <w:p w14:paraId="3F817A20">
            <w:pPr>
              <w:pStyle w:val="28"/>
              <w:bidi w:val="0"/>
            </w:pPr>
            <w:r>
              <w:t>渠道清淤</w:t>
            </w:r>
          </w:p>
        </w:tc>
        <w:tc>
          <w:tcPr>
            <w:tcW w:w="697" w:type="pct"/>
            <w:vAlign w:val="center"/>
          </w:tcPr>
          <w:p w14:paraId="134B7CA2">
            <w:pPr>
              <w:pStyle w:val="28"/>
              <w:bidi w:val="0"/>
            </w:pPr>
            <w:r>
              <w:t>反铲挖掘机</w:t>
            </w:r>
          </w:p>
        </w:tc>
        <w:tc>
          <w:tcPr>
            <w:tcW w:w="513" w:type="pct"/>
            <w:vAlign w:val="center"/>
          </w:tcPr>
          <w:p w14:paraId="706478D9">
            <w:pPr>
              <w:pStyle w:val="28"/>
              <w:bidi w:val="0"/>
            </w:pPr>
            <w:r>
              <w:t>85</w:t>
            </w:r>
          </w:p>
        </w:tc>
        <w:tc>
          <w:tcPr>
            <w:tcW w:w="652" w:type="pct"/>
            <w:vAlign w:val="center"/>
          </w:tcPr>
          <w:p w14:paraId="46BA6916">
            <w:pPr>
              <w:pStyle w:val="28"/>
              <w:bidi w:val="0"/>
            </w:pPr>
            <w:r>
              <w:t>59.0</w:t>
            </w:r>
          </w:p>
        </w:tc>
        <w:tc>
          <w:tcPr>
            <w:tcW w:w="590" w:type="pct"/>
            <w:vAlign w:val="center"/>
          </w:tcPr>
          <w:p w14:paraId="62C4C0F6">
            <w:pPr>
              <w:pStyle w:val="28"/>
              <w:bidi w:val="0"/>
            </w:pPr>
            <w:r>
              <w:t>53.0</w:t>
            </w:r>
          </w:p>
        </w:tc>
        <w:tc>
          <w:tcPr>
            <w:tcW w:w="519" w:type="pct"/>
            <w:vAlign w:val="center"/>
          </w:tcPr>
          <w:p w14:paraId="59C85849">
            <w:pPr>
              <w:pStyle w:val="28"/>
              <w:bidi w:val="0"/>
            </w:pPr>
            <w:r>
              <w:t>46.9</w:t>
            </w:r>
          </w:p>
        </w:tc>
        <w:tc>
          <w:tcPr>
            <w:tcW w:w="519" w:type="pct"/>
            <w:vAlign w:val="center"/>
          </w:tcPr>
          <w:p w14:paraId="4063AC22">
            <w:pPr>
              <w:pStyle w:val="28"/>
              <w:bidi w:val="0"/>
            </w:pPr>
            <w:r>
              <w:t>40.9</w:t>
            </w:r>
          </w:p>
        </w:tc>
        <w:tc>
          <w:tcPr>
            <w:tcW w:w="519" w:type="pct"/>
            <w:vAlign w:val="center"/>
          </w:tcPr>
          <w:p w14:paraId="5FE712CC">
            <w:pPr>
              <w:pStyle w:val="28"/>
              <w:bidi w:val="0"/>
            </w:pPr>
            <w:r>
              <w:t>34.9</w:t>
            </w:r>
          </w:p>
        </w:tc>
        <w:tc>
          <w:tcPr>
            <w:tcW w:w="567" w:type="pct"/>
            <w:vAlign w:val="center"/>
          </w:tcPr>
          <w:p w14:paraId="7AB75DEC">
            <w:pPr>
              <w:pStyle w:val="28"/>
              <w:bidi w:val="0"/>
            </w:pPr>
            <w:r>
              <w:t>28.9</w:t>
            </w:r>
          </w:p>
        </w:tc>
      </w:tr>
      <w:tr w14:paraId="256D19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25544449">
            <w:pPr>
              <w:pStyle w:val="28"/>
              <w:bidi w:val="0"/>
            </w:pPr>
          </w:p>
        </w:tc>
        <w:tc>
          <w:tcPr>
            <w:tcW w:w="697" w:type="pct"/>
            <w:vAlign w:val="center"/>
          </w:tcPr>
          <w:p w14:paraId="170412C1">
            <w:pPr>
              <w:pStyle w:val="28"/>
              <w:bidi w:val="0"/>
            </w:pPr>
            <w:r>
              <w:t>铲运机</w:t>
            </w:r>
          </w:p>
        </w:tc>
        <w:tc>
          <w:tcPr>
            <w:tcW w:w="513" w:type="pct"/>
            <w:vAlign w:val="center"/>
          </w:tcPr>
          <w:p w14:paraId="2AEF1877">
            <w:pPr>
              <w:pStyle w:val="28"/>
              <w:bidi w:val="0"/>
            </w:pPr>
            <w:r>
              <w:t>80</w:t>
            </w:r>
          </w:p>
        </w:tc>
        <w:tc>
          <w:tcPr>
            <w:tcW w:w="652" w:type="pct"/>
            <w:vAlign w:val="center"/>
          </w:tcPr>
          <w:p w14:paraId="75649F5A">
            <w:pPr>
              <w:pStyle w:val="28"/>
              <w:bidi w:val="0"/>
            </w:pPr>
            <w:r>
              <w:t>54.0</w:t>
            </w:r>
          </w:p>
        </w:tc>
        <w:tc>
          <w:tcPr>
            <w:tcW w:w="590" w:type="pct"/>
            <w:vAlign w:val="center"/>
          </w:tcPr>
          <w:p w14:paraId="7F63D9C5">
            <w:pPr>
              <w:pStyle w:val="28"/>
              <w:bidi w:val="0"/>
            </w:pPr>
            <w:r>
              <w:t>48.0</w:t>
            </w:r>
          </w:p>
        </w:tc>
        <w:tc>
          <w:tcPr>
            <w:tcW w:w="519" w:type="pct"/>
            <w:vAlign w:val="center"/>
          </w:tcPr>
          <w:p w14:paraId="3B8F3795">
            <w:pPr>
              <w:pStyle w:val="28"/>
              <w:bidi w:val="0"/>
            </w:pPr>
            <w:r>
              <w:t>41.9</w:t>
            </w:r>
          </w:p>
        </w:tc>
        <w:tc>
          <w:tcPr>
            <w:tcW w:w="519" w:type="pct"/>
            <w:vAlign w:val="center"/>
          </w:tcPr>
          <w:p w14:paraId="6890CAE2">
            <w:pPr>
              <w:pStyle w:val="28"/>
              <w:bidi w:val="0"/>
            </w:pPr>
            <w:r>
              <w:t>35.9</w:t>
            </w:r>
          </w:p>
        </w:tc>
        <w:tc>
          <w:tcPr>
            <w:tcW w:w="519" w:type="pct"/>
            <w:vAlign w:val="center"/>
          </w:tcPr>
          <w:p w14:paraId="4B71A49C">
            <w:pPr>
              <w:pStyle w:val="28"/>
              <w:bidi w:val="0"/>
            </w:pPr>
            <w:r>
              <w:t>29.9</w:t>
            </w:r>
          </w:p>
        </w:tc>
        <w:tc>
          <w:tcPr>
            <w:tcW w:w="567" w:type="pct"/>
            <w:vAlign w:val="center"/>
          </w:tcPr>
          <w:p w14:paraId="4712D680">
            <w:pPr>
              <w:pStyle w:val="28"/>
              <w:bidi w:val="0"/>
            </w:pPr>
            <w:r>
              <w:t>23.9</w:t>
            </w:r>
          </w:p>
        </w:tc>
      </w:tr>
      <w:tr w14:paraId="66594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50BF6611">
            <w:pPr>
              <w:pStyle w:val="28"/>
              <w:bidi w:val="0"/>
            </w:pPr>
          </w:p>
        </w:tc>
        <w:tc>
          <w:tcPr>
            <w:tcW w:w="697" w:type="pct"/>
            <w:vAlign w:val="center"/>
          </w:tcPr>
          <w:p w14:paraId="377A9115">
            <w:pPr>
              <w:pStyle w:val="28"/>
              <w:bidi w:val="0"/>
            </w:pPr>
            <w:r>
              <w:t>推土机</w:t>
            </w:r>
          </w:p>
        </w:tc>
        <w:tc>
          <w:tcPr>
            <w:tcW w:w="513" w:type="pct"/>
            <w:vAlign w:val="center"/>
          </w:tcPr>
          <w:p w14:paraId="5AB755F1">
            <w:pPr>
              <w:pStyle w:val="28"/>
              <w:bidi w:val="0"/>
            </w:pPr>
            <w:r>
              <w:t>82</w:t>
            </w:r>
          </w:p>
        </w:tc>
        <w:tc>
          <w:tcPr>
            <w:tcW w:w="652" w:type="pct"/>
            <w:vAlign w:val="center"/>
          </w:tcPr>
          <w:p w14:paraId="797C09EE">
            <w:pPr>
              <w:pStyle w:val="28"/>
              <w:bidi w:val="0"/>
            </w:pPr>
            <w:r>
              <w:t>56.0</w:t>
            </w:r>
          </w:p>
        </w:tc>
        <w:tc>
          <w:tcPr>
            <w:tcW w:w="590" w:type="pct"/>
            <w:vAlign w:val="center"/>
          </w:tcPr>
          <w:p w14:paraId="3AEE624F">
            <w:pPr>
              <w:pStyle w:val="28"/>
              <w:bidi w:val="0"/>
            </w:pPr>
            <w:r>
              <w:t>50.0</w:t>
            </w:r>
          </w:p>
        </w:tc>
        <w:tc>
          <w:tcPr>
            <w:tcW w:w="519" w:type="pct"/>
            <w:vAlign w:val="center"/>
          </w:tcPr>
          <w:p w14:paraId="16F8322B">
            <w:pPr>
              <w:pStyle w:val="28"/>
              <w:bidi w:val="0"/>
            </w:pPr>
            <w:r>
              <w:t>43.9</w:t>
            </w:r>
          </w:p>
        </w:tc>
        <w:tc>
          <w:tcPr>
            <w:tcW w:w="519" w:type="pct"/>
            <w:vAlign w:val="center"/>
          </w:tcPr>
          <w:p w14:paraId="340DAE75">
            <w:pPr>
              <w:pStyle w:val="28"/>
              <w:bidi w:val="0"/>
            </w:pPr>
            <w:r>
              <w:t>37.9</w:t>
            </w:r>
          </w:p>
        </w:tc>
        <w:tc>
          <w:tcPr>
            <w:tcW w:w="519" w:type="pct"/>
            <w:vAlign w:val="center"/>
          </w:tcPr>
          <w:p w14:paraId="7E08468E">
            <w:pPr>
              <w:pStyle w:val="28"/>
              <w:bidi w:val="0"/>
            </w:pPr>
            <w:r>
              <w:t>31.9</w:t>
            </w:r>
          </w:p>
        </w:tc>
        <w:tc>
          <w:tcPr>
            <w:tcW w:w="567" w:type="pct"/>
            <w:vAlign w:val="center"/>
          </w:tcPr>
          <w:p w14:paraId="136422FD">
            <w:pPr>
              <w:pStyle w:val="28"/>
              <w:bidi w:val="0"/>
            </w:pPr>
            <w:r>
              <w:t>25.9</w:t>
            </w:r>
          </w:p>
        </w:tc>
      </w:tr>
      <w:tr w14:paraId="59B46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687D3AFF">
            <w:pPr>
              <w:pStyle w:val="28"/>
              <w:bidi w:val="0"/>
            </w:pPr>
          </w:p>
        </w:tc>
        <w:tc>
          <w:tcPr>
            <w:tcW w:w="697" w:type="pct"/>
            <w:vAlign w:val="center"/>
          </w:tcPr>
          <w:p w14:paraId="66B8BC58">
            <w:pPr>
              <w:pStyle w:val="28"/>
              <w:bidi w:val="0"/>
            </w:pPr>
            <w:r>
              <w:t>自卸汽车</w:t>
            </w:r>
          </w:p>
        </w:tc>
        <w:tc>
          <w:tcPr>
            <w:tcW w:w="513" w:type="pct"/>
            <w:vAlign w:val="center"/>
          </w:tcPr>
          <w:p w14:paraId="4DAC5992">
            <w:pPr>
              <w:pStyle w:val="28"/>
              <w:bidi w:val="0"/>
            </w:pPr>
            <w:r>
              <w:t>82</w:t>
            </w:r>
          </w:p>
        </w:tc>
        <w:tc>
          <w:tcPr>
            <w:tcW w:w="652" w:type="pct"/>
            <w:vAlign w:val="center"/>
          </w:tcPr>
          <w:p w14:paraId="451B03AA">
            <w:pPr>
              <w:pStyle w:val="28"/>
              <w:bidi w:val="0"/>
            </w:pPr>
            <w:r>
              <w:t>56.0</w:t>
            </w:r>
          </w:p>
        </w:tc>
        <w:tc>
          <w:tcPr>
            <w:tcW w:w="590" w:type="pct"/>
            <w:vAlign w:val="center"/>
          </w:tcPr>
          <w:p w14:paraId="4FF3E9A2">
            <w:pPr>
              <w:pStyle w:val="28"/>
              <w:bidi w:val="0"/>
            </w:pPr>
            <w:r>
              <w:t>50.0</w:t>
            </w:r>
          </w:p>
        </w:tc>
        <w:tc>
          <w:tcPr>
            <w:tcW w:w="519" w:type="pct"/>
            <w:vAlign w:val="center"/>
          </w:tcPr>
          <w:p w14:paraId="5070C052">
            <w:pPr>
              <w:pStyle w:val="28"/>
              <w:bidi w:val="0"/>
            </w:pPr>
            <w:r>
              <w:t>43.9</w:t>
            </w:r>
          </w:p>
        </w:tc>
        <w:tc>
          <w:tcPr>
            <w:tcW w:w="519" w:type="pct"/>
            <w:vAlign w:val="center"/>
          </w:tcPr>
          <w:p w14:paraId="1F909EFA">
            <w:pPr>
              <w:pStyle w:val="28"/>
              <w:bidi w:val="0"/>
            </w:pPr>
            <w:r>
              <w:t>37.9</w:t>
            </w:r>
          </w:p>
        </w:tc>
        <w:tc>
          <w:tcPr>
            <w:tcW w:w="519" w:type="pct"/>
            <w:vAlign w:val="center"/>
          </w:tcPr>
          <w:p w14:paraId="7CDD025D">
            <w:pPr>
              <w:pStyle w:val="28"/>
              <w:bidi w:val="0"/>
            </w:pPr>
            <w:r>
              <w:t>31.9</w:t>
            </w:r>
          </w:p>
        </w:tc>
        <w:tc>
          <w:tcPr>
            <w:tcW w:w="567" w:type="pct"/>
            <w:vAlign w:val="center"/>
          </w:tcPr>
          <w:p w14:paraId="63E1714F">
            <w:pPr>
              <w:pStyle w:val="28"/>
              <w:bidi w:val="0"/>
            </w:pPr>
            <w:r>
              <w:t>25.9</w:t>
            </w:r>
          </w:p>
        </w:tc>
      </w:tr>
      <w:tr w14:paraId="4BAD58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restart"/>
            <w:vAlign w:val="center"/>
          </w:tcPr>
          <w:p w14:paraId="2261ADA4">
            <w:pPr>
              <w:pStyle w:val="28"/>
              <w:bidi w:val="0"/>
            </w:pPr>
            <w:r>
              <w:t>渠堤加培</w:t>
            </w:r>
          </w:p>
        </w:tc>
        <w:tc>
          <w:tcPr>
            <w:tcW w:w="697" w:type="pct"/>
            <w:vAlign w:val="center"/>
          </w:tcPr>
          <w:p w14:paraId="04C3055E">
            <w:pPr>
              <w:pStyle w:val="28"/>
              <w:bidi w:val="0"/>
            </w:pPr>
            <w:r>
              <w:t>反铲挖掘机</w:t>
            </w:r>
          </w:p>
        </w:tc>
        <w:tc>
          <w:tcPr>
            <w:tcW w:w="513" w:type="pct"/>
            <w:vAlign w:val="center"/>
          </w:tcPr>
          <w:p w14:paraId="4A218698">
            <w:pPr>
              <w:pStyle w:val="28"/>
              <w:bidi w:val="0"/>
            </w:pPr>
            <w:r>
              <w:t>85</w:t>
            </w:r>
          </w:p>
        </w:tc>
        <w:tc>
          <w:tcPr>
            <w:tcW w:w="652" w:type="pct"/>
            <w:vAlign w:val="center"/>
          </w:tcPr>
          <w:p w14:paraId="748DA07A">
            <w:pPr>
              <w:pStyle w:val="28"/>
              <w:bidi w:val="0"/>
            </w:pPr>
            <w:r>
              <w:t>59.0</w:t>
            </w:r>
          </w:p>
        </w:tc>
        <w:tc>
          <w:tcPr>
            <w:tcW w:w="590" w:type="pct"/>
            <w:vAlign w:val="center"/>
          </w:tcPr>
          <w:p w14:paraId="783CD78B">
            <w:pPr>
              <w:pStyle w:val="28"/>
              <w:bidi w:val="0"/>
            </w:pPr>
            <w:r>
              <w:t>53.0</w:t>
            </w:r>
          </w:p>
        </w:tc>
        <w:tc>
          <w:tcPr>
            <w:tcW w:w="519" w:type="pct"/>
            <w:vAlign w:val="center"/>
          </w:tcPr>
          <w:p w14:paraId="6AF47D34">
            <w:pPr>
              <w:pStyle w:val="28"/>
              <w:bidi w:val="0"/>
            </w:pPr>
            <w:r>
              <w:t>46.9</w:t>
            </w:r>
          </w:p>
        </w:tc>
        <w:tc>
          <w:tcPr>
            <w:tcW w:w="519" w:type="pct"/>
            <w:vAlign w:val="center"/>
          </w:tcPr>
          <w:p w14:paraId="3B6CF8F8">
            <w:pPr>
              <w:pStyle w:val="28"/>
              <w:bidi w:val="0"/>
            </w:pPr>
            <w:r>
              <w:t>40.9</w:t>
            </w:r>
          </w:p>
        </w:tc>
        <w:tc>
          <w:tcPr>
            <w:tcW w:w="519" w:type="pct"/>
            <w:vAlign w:val="center"/>
          </w:tcPr>
          <w:p w14:paraId="23A9469E">
            <w:pPr>
              <w:pStyle w:val="28"/>
              <w:bidi w:val="0"/>
            </w:pPr>
            <w:r>
              <w:t>34.9</w:t>
            </w:r>
          </w:p>
        </w:tc>
        <w:tc>
          <w:tcPr>
            <w:tcW w:w="567" w:type="pct"/>
            <w:vAlign w:val="center"/>
          </w:tcPr>
          <w:p w14:paraId="4219C4D6">
            <w:pPr>
              <w:pStyle w:val="28"/>
              <w:bidi w:val="0"/>
            </w:pPr>
            <w:r>
              <w:t>28.9</w:t>
            </w:r>
          </w:p>
        </w:tc>
      </w:tr>
      <w:tr w14:paraId="6FC44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3C95EBA1">
            <w:pPr>
              <w:pStyle w:val="28"/>
              <w:bidi w:val="0"/>
            </w:pPr>
          </w:p>
        </w:tc>
        <w:tc>
          <w:tcPr>
            <w:tcW w:w="697" w:type="pct"/>
            <w:vAlign w:val="center"/>
          </w:tcPr>
          <w:p w14:paraId="7400E9A2">
            <w:pPr>
              <w:pStyle w:val="28"/>
              <w:bidi w:val="0"/>
            </w:pPr>
            <w:r>
              <w:t>拖拉机</w:t>
            </w:r>
          </w:p>
        </w:tc>
        <w:tc>
          <w:tcPr>
            <w:tcW w:w="513" w:type="pct"/>
            <w:vAlign w:val="center"/>
          </w:tcPr>
          <w:p w14:paraId="7D7DE99E">
            <w:pPr>
              <w:pStyle w:val="28"/>
              <w:bidi w:val="0"/>
            </w:pPr>
            <w:r>
              <w:t>85</w:t>
            </w:r>
          </w:p>
        </w:tc>
        <w:tc>
          <w:tcPr>
            <w:tcW w:w="652" w:type="pct"/>
            <w:vAlign w:val="center"/>
          </w:tcPr>
          <w:p w14:paraId="3174A03B">
            <w:pPr>
              <w:pStyle w:val="28"/>
              <w:bidi w:val="0"/>
            </w:pPr>
            <w:r>
              <w:t>59.0</w:t>
            </w:r>
          </w:p>
        </w:tc>
        <w:tc>
          <w:tcPr>
            <w:tcW w:w="590" w:type="pct"/>
            <w:vAlign w:val="center"/>
          </w:tcPr>
          <w:p w14:paraId="717CFA6D">
            <w:pPr>
              <w:pStyle w:val="28"/>
              <w:bidi w:val="0"/>
            </w:pPr>
            <w:r>
              <w:t>53.0</w:t>
            </w:r>
          </w:p>
        </w:tc>
        <w:tc>
          <w:tcPr>
            <w:tcW w:w="519" w:type="pct"/>
            <w:vAlign w:val="center"/>
          </w:tcPr>
          <w:p w14:paraId="2D877AE2">
            <w:pPr>
              <w:pStyle w:val="28"/>
              <w:bidi w:val="0"/>
            </w:pPr>
            <w:r>
              <w:t>46.9</w:t>
            </w:r>
          </w:p>
        </w:tc>
        <w:tc>
          <w:tcPr>
            <w:tcW w:w="519" w:type="pct"/>
            <w:vAlign w:val="center"/>
          </w:tcPr>
          <w:p w14:paraId="232C5FDB">
            <w:pPr>
              <w:pStyle w:val="28"/>
              <w:bidi w:val="0"/>
            </w:pPr>
            <w:r>
              <w:t>40.9</w:t>
            </w:r>
          </w:p>
        </w:tc>
        <w:tc>
          <w:tcPr>
            <w:tcW w:w="519" w:type="pct"/>
            <w:vAlign w:val="center"/>
          </w:tcPr>
          <w:p w14:paraId="6C11DEE8">
            <w:pPr>
              <w:pStyle w:val="28"/>
              <w:bidi w:val="0"/>
            </w:pPr>
            <w:r>
              <w:t>34.9</w:t>
            </w:r>
          </w:p>
        </w:tc>
        <w:tc>
          <w:tcPr>
            <w:tcW w:w="567" w:type="pct"/>
            <w:vAlign w:val="center"/>
          </w:tcPr>
          <w:p w14:paraId="1A326FEC">
            <w:pPr>
              <w:pStyle w:val="28"/>
              <w:bidi w:val="0"/>
            </w:pPr>
            <w:r>
              <w:t>28.9</w:t>
            </w:r>
          </w:p>
        </w:tc>
      </w:tr>
      <w:tr w14:paraId="326FD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778B5E6D">
            <w:pPr>
              <w:pStyle w:val="28"/>
              <w:bidi w:val="0"/>
            </w:pPr>
          </w:p>
        </w:tc>
        <w:tc>
          <w:tcPr>
            <w:tcW w:w="697" w:type="pct"/>
            <w:vAlign w:val="center"/>
          </w:tcPr>
          <w:p w14:paraId="3BD84131">
            <w:pPr>
              <w:pStyle w:val="28"/>
              <w:bidi w:val="0"/>
            </w:pPr>
            <w:r>
              <w:t>自卸汽车</w:t>
            </w:r>
          </w:p>
        </w:tc>
        <w:tc>
          <w:tcPr>
            <w:tcW w:w="513" w:type="pct"/>
            <w:vAlign w:val="center"/>
          </w:tcPr>
          <w:p w14:paraId="7C03734C">
            <w:pPr>
              <w:pStyle w:val="28"/>
              <w:bidi w:val="0"/>
            </w:pPr>
            <w:r>
              <w:t>82</w:t>
            </w:r>
          </w:p>
        </w:tc>
        <w:tc>
          <w:tcPr>
            <w:tcW w:w="652" w:type="pct"/>
            <w:vAlign w:val="center"/>
          </w:tcPr>
          <w:p w14:paraId="13B91DA6">
            <w:pPr>
              <w:pStyle w:val="28"/>
              <w:bidi w:val="0"/>
            </w:pPr>
            <w:r>
              <w:t>56.0</w:t>
            </w:r>
          </w:p>
        </w:tc>
        <w:tc>
          <w:tcPr>
            <w:tcW w:w="590" w:type="pct"/>
            <w:vAlign w:val="center"/>
          </w:tcPr>
          <w:p w14:paraId="630BD1A6">
            <w:pPr>
              <w:pStyle w:val="28"/>
              <w:bidi w:val="0"/>
            </w:pPr>
            <w:r>
              <w:t>50.0</w:t>
            </w:r>
          </w:p>
        </w:tc>
        <w:tc>
          <w:tcPr>
            <w:tcW w:w="519" w:type="pct"/>
            <w:vAlign w:val="center"/>
          </w:tcPr>
          <w:p w14:paraId="22AA5CB3">
            <w:pPr>
              <w:pStyle w:val="28"/>
              <w:bidi w:val="0"/>
            </w:pPr>
            <w:r>
              <w:t>43.9</w:t>
            </w:r>
          </w:p>
        </w:tc>
        <w:tc>
          <w:tcPr>
            <w:tcW w:w="519" w:type="pct"/>
            <w:vAlign w:val="center"/>
          </w:tcPr>
          <w:p w14:paraId="3DCEBD4B">
            <w:pPr>
              <w:pStyle w:val="28"/>
              <w:bidi w:val="0"/>
            </w:pPr>
            <w:r>
              <w:t>37.9</w:t>
            </w:r>
          </w:p>
        </w:tc>
        <w:tc>
          <w:tcPr>
            <w:tcW w:w="519" w:type="pct"/>
            <w:vAlign w:val="center"/>
          </w:tcPr>
          <w:p w14:paraId="20B423E6">
            <w:pPr>
              <w:pStyle w:val="28"/>
              <w:bidi w:val="0"/>
            </w:pPr>
            <w:r>
              <w:t>31.9</w:t>
            </w:r>
          </w:p>
        </w:tc>
        <w:tc>
          <w:tcPr>
            <w:tcW w:w="567" w:type="pct"/>
            <w:vAlign w:val="center"/>
          </w:tcPr>
          <w:p w14:paraId="0B19ADA4">
            <w:pPr>
              <w:pStyle w:val="28"/>
              <w:bidi w:val="0"/>
            </w:pPr>
            <w:r>
              <w:t>25.9</w:t>
            </w:r>
          </w:p>
        </w:tc>
      </w:tr>
      <w:tr w14:paraId="32BA2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5C374B9A">
            <w:pPr>
              <w:pStyle w:val="28"/>
              <w:bidi w:val="0"/>
            </w:pPr>
          </w:p>
        </w:tc>
        <w:tc>
          <w:tcPr>
            <w:tcW w:w="697" w:type="pct"/>
            <w:vAlign w:val="center"/>
          </w:tcPr>
          <w:p w14:paraId="4304C502">
            <w:pPr>
              <w:pStyle w:val="28"/>
              <w:bidi w:val="0"/>
            </w:pPr>
            <w:r>
              <w:t>蛙夯</w:t>
            </w:r>
          </w:p>
        </w:tc>
        <w:tc>
          <w:tcPr>
            <w:tcW w:w="513" w:type="pct"/>
            <w:vAlign w:val="center"/>
          </w:tcPr>
          <w:p w14:paraId="2E276FA8">
            <w:pPr>
              <w:pStyle w:val="28"/>
              <w:bidi w:val="0"/>
            </w:pPr>
            <w:r>
              <w:t>85</w:t>
            </w:r>
          </w:p>
        </w:tc>
        <w:tc>
          <w:tcPr>
            <w:tcW w:w="652" w:type="pct"/>
            <w:vAlign w:val="center"/>
          </w:tcPr>
          <w:p w14:paraId="5629765E">
            <w:pPr>
              <w:pStyle w:val="28"/>
              <w:bidi w:val="0"/>
            </w:pPr>
            <w:r>
              <w:t>59.0</w:t>
            </w:r>
          </w:p>
        </w:tc>
        <w:tc>
          <w:tcPr>
            <w:tcW w:w="590" w:type="pct"/>
            <w:vAlign w:val="center"/>
          </w:tcPr>
          <w:p w14:paraId="37FB076E">
            <w:pPr>
              <w:pStyle w:val="28"/>
              <w:bidi w:val="0"/>
            </w:pPr>
            <w:r>
              <w:t>53.0</w:t>
            </w:r>
          </w:p>
        </w:tc>
        <w:tc>
          <w:tcPr>
            <w:tcW w:w="519" w:type="pct"/>
            <w:vAlign w:val="center"/>
          </w:tcPr>
          <w:p w14:paraId="39C4A402">
            <w:pPr>
              <w:pStyle w:val="28"/>
              <w:bidi w:val="0"/>
            </w:pPr>
            <w:r>
              <w:t>46.9</w:t>
            </w:r>
          </w:p>
        </w:tc>
        <w:tc>
          <w:tcPr>
            <w:tcW w:w="519" w:type="pct"/>
            <w:vAlign w:val="center"/>
          </w:tcPr>
          <w:p w14:paraId="128A1D7F">
            <w:pPr>
              <w:pStyle w:val="28"/>
              <w:bidi w:val="0"/>
            </w:pPr>
            <w:r>
              <w:t>40.9</w:t>
            </w:r>
          </w:p>
        </w:tc>
        <w:tc>
          <w:tcPr>
            <w:tcW w:w="519" w:type="pct"/>
            <w:vAlign w:val="center"/>
          </w:tcPr>
          <w:p w14:paraId="33D90353">
            <w:pPr>
              <w:pStyle w:val="28"/>
              <w:bidi w:val="0"/>
            </w:pPr>
            <w:r>
              <w:t>34.9</w:t>
            </w:r>
          </w:p>
        </w:tc>
        <w:tc>
          <w:tcPr>
            <w:tcW w:w="567" w:type="pct"/>
            <w:vAlign w:val="center"/>
          </w:tcPr>
          <w:p w14:paraId="5B0D4079">
            <w:pPr>
              <w:pStyle w:val="28"/>
              <w:bidi w:val="0"/>
            </w:pPr>
            <w:r>
              <w:t>28.9</w:t>
            </w:r>
          </w:p>
        </w:tc>
      </w:tr>
      <w:tr w14:paraId="27E3ED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restart"/>
            <w:vAlign w:val="center"/>
          </w:tcPr>
          <w:p w14:paraId="46F94EDC">
            <w:pPr>
              <w:pStyle w:val="28"/>
              <w:bidi w:val="0"/>
            </w:pPr>
            <w:r>
              <w:t>切岭段整治、坡面整治</w:t>
            </w:r>
          </w:p>
        </w:tc>
        <w:tc>
          <w:tcPr>
            <w:tcW w:w="697" w:type="pct"/>
            <w:vAlign w:val="center"/>
          </w:tcPr>
          <w:p w14:paraId="7FDBCFEA">
            <w:pPr>
              <w:pStyle w:val="28"/>
              <w:bidi w:val="0"/>
            </w:pPr>
            <w:r>
              <w:t>反铲挖掘机</w:t>
            </w:r>
          </w:p>
        </w:tc>
        <w:tc>
          <w:tcPr>
            <w:tcW w:w="513" w:type="pct"/>
            <w:vAlign w:val="center"/>
          </w:tcPr>
          <w:p w14:paraId="332D228C">
            <w:pPr>
              <w:pStyle w:val="28"/>
              <w:bidi w:val="0"/>
            </w:pPr>
            <w:r>
              <w:t>85</w:t>
            </w:r>
          </w:p>
        </w:tc>
        <w:tc>
          <w:tcPr>
            <w:tcW w:w="652" w:type="pct"/>
            <w:vAlign w:val="center"/>
          </w:tcPr>
          <w:p w14:paraId="1C1948FE">
            <w:pPr>
              <w:pStyle w:val="28"/>
              <w:bidi w:val="0"/>
            </w:pPr>
            <w:r>
              <w:t>59.0</w:t>
            </w:r>
          </w:p>
        </w:tc>
        <w:tc>
          <w:tcPr>
            <w:tcW w:w="590" w:type="pct"/>
            <w:vAlign w:val="center"/>
          </w:tcPr>
          <w:p w14:paraId="0252AE0F">
            <w:pPr>
              <w:pStyle w:val="28"/>
              <w:bidi w:val="0"/>
            </w:pPr>
            <w:r>
              <w:t>53.0</w:t>
            </w:r>
          </w:p>
        </w:tc>
        <w:tc>
          <w:tcPr>
            <w:tcW w:w="519" w:type="pct"/>
            <w:vAlign w:val="center"/>
          </w:tcPr>
          <w:p w14:paraId="3CD927EB">
            <w:pPr>
              <w:pStyle w:val="28"/>
              <w:bidi w:val="0"/>
            </w:pPr>
            <w:r>
              <w:t>46.9</w:t>
            </w:r>
          </w:p>
        </w:tc>
        <w:tc>
          <w:tcPr>
            <w:tcW w:w="519" w:type="pct"/>
            <w:vAlign w:val="center"/>
          </w:tcPr>
          <w:p w14:paraId="5C6C1710">
            <w:pPr>
              <w:pStyle w:val="28"/>
              <w:bidi w:val="0"/>
            </w:pPr>
            <w:r>
              <w:t>40.9</w:t>
            </w:r>
          </w:p>
        </w:tc>
        <w:tc>
          <w:tcPr>
            <w:tcW w:w="519" w:type="pct"/>
            <w:vAlign w:val="center"/>
          </w:tcPr>
          <w:p w14:paraId="1892F675">
            <w:pPr>
              <w:pStyle w:val="28"/>
              <w:bidi w:val="0"/>
            </w:pPr>
            <w:r>
              <w:t>34.9</w:t>
            </w:r>
          </w:p>
        </w:tc>
        <w:tc>
          <w:tcPr>
            <w:tcW w:w="567" w:type="pct"/>
            <w:vAlign w:val="center"/>
          </w:tcPr>
          <w:p w14:paraId="0C262286">
            <w:pPr>
              <w:pStyle w:val="28"/>
              <w:bidi w:val="0"/>
            </w:pPr>
            <w:r>
              <w:t>28.9</w:t>
            </w:r>
          </w:p>
        </w:tc>
      </w:tr>
      <w:tr w14:paraId="28C2D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50E004D7">
            <w:pPr>
              <w:pStyle w:val="28"/>
              <w:bidi w:val="0"/>
            </w:pPr>
          </w:p>
        </w:tc>
        <w:tc>
          <w:tcPr>
            <w:tcW w:w="697" w:type="pct"/>
            <w:vAlign w:val="center"/>
          </w:tcPr>
          <w:p w14:paraId="751B3707">
            <w:pPr>
              <w:pStyle w:val="28"/>
              <w:bidi w:val="0"/>
            </w:pPr>
            <w:r>
              <w:t>铲运机</w:t>
            </w:r>
          </w:p>
        </w:tc>
        <w:tc>
          <w:tcPr>
            <w:tcW w:w="513" w:type="pct"/>
            <w:vAlign w:val="center"/>
          </w:tcPr>
          <w:p w14:paraId="23F0EB5E">
            <w:pPr>
              <w:pStyle w:val="28"/>
              <w:bidi w:val="0"/>
            </w:pPr>
            <w:r>
              <w:t>80</w:t>
            </w:r>
          </w:p>
        </w:tc>
        <w:tc>
          <w:tcPr>
            <w:tcW w:w="652" w:type="pct"/>
            <w:vAlign w:val="center"/>
          </w:tcPr>
          <w:p w14:paraId="3CC6FE25">
            <w:pPr>
              <w:pStyle w:val="28"/>
              <w:bidi w:val="0"/>
            </w:pPr>
            <w:r>
              <w:t>54.0</w:t>
            </w:r>
          </w:p>
        </w:tc>
        <w:tc>
          <w:tcPr>
            <w:tcW w:w="590" w:type="pct"/>
            <w:vAlign w:val="center"/>
          </w:tcPr>
          <w:p w14:paraId="26440E5D">
            <w:pPr>
              <w:pStyle w:val="28"/>
              <w:bidi w:val="0"/>
            </w:pPr>
            <w:r>
              <w:t>48.0</w:t>
            </w:r>
          </w:p>
        </w:tc>
        <w:tc>
          <w:tcPr>
            <w:tcW w:w="519" w:type="pct"/>
            <w:vAlign w:val="center"/>
          </w:tcPr>
          <w:p w14:paraId="6A38AA64">
            <w:pPr>
              <w:pStyle w:val="28"/>
              <w:bidi w:val="0"/>
            </w:pPr>
            <w:r>
              <w:t>41.9</w:t>
            </w:r>
          </w:p>
        </w:tc>
        <w:tc>
          <w:tcPr>
            <w:tcW w:w="519" w:type="pct"/>
            <w:vAlign w:val="center"/>
          </w:tcPr>
          <w:p w14:paraId="0FAB39A0">
            <w:pPr>
              <w:pStyle w:val="28"/>
              <w:bidi w:val="0"/>
            </w:pPr>
            <w:r>
              <w:t>35.9</w:t>
            </w:r>
          </w:p>
        </w:tc>
        <w:tc>
          <w:tcPr>
            <w:tcW w:w="519" w:type="pct"/>
            <w:vAlign w:val="center"/>
          </w:tcPr>
          <w:p w14:paraId="0A6EE5FB">
            <w:pPr>
              <w:pStyle w:val="28"/>
              <w:bidi w:val="0"/>
            </w:pPr>
            <w:r>
              <w:t>29.9</w:t>
            </w:r>
          </w:p>
        </w:tc>
        <w:tc>
          <w:tcPr>
            <w:tcW w:w="567" w:type="pct"/>
            <w:vAlign w:val="center"/>
          </w:tcPr>
          <w:p w14:paraId="5DD1F8FD">
            <w:pPr>
              <w:pStyle w:val="28"/>
              <w:bidi w:val="0"/>
            </w:pPr>
            <w:r>
              <w:t>23.9</w:t>
            </w:r>
          </w:p>
        </w:tc>
      </w:tr>
      <w:tr w14:paraId="06CC9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3C252140">
            <w:pPr>
              <w:pStyle w:val="28"/>
              <w:bidi w:val="0"/>
            </w:pPr>
          </w:p>
        </w:tc>
        <w:tc>
          <w:tcPr>
            <w:tcW w:w="697" w:type="pct"/>
            <w:vAlign w:val="center"/>
          </w:tcPr>
          <w:p w14:paraId="28754B56">
            <w:pPr>
              <w:pStyle w:val="28"/>
              <w:bidi w:val="0"/>
            </w:pPr>
            <w:r>
              <w:t>推土机</w:t>
            </w:r>
          </w:p>
        </w:tc>
        <w:tc>
          <w:tcPr>
            <w:tcW w:w="513" w:type="pct"/>
            <w:vAlign w:val="center"/>
          </w:tcPr>
          <w:p w14:paraId="147EA2E4">
            <w:pPr>
              <w:pStyle w:val="28"/>
              <w:bidi w:val="0"/>
            </w:pPr>
            <w:r>
              <w:t>82</w:t>
            </w:r>
          </w:p>
        </w:tc>
        <w:tc>
          <w:tcPr>
            <w:tcW w:w="652" w:type="pct"/>
            <w:vAlign w:val="center"/>
          </w:tcPr>
          <w:p w14:paraId="0E96A576">
            <w:pPr>
              <w:pStyle w:val="28"/>
              <w:bidi w:val="0"/>
            </w:pPr>
            <w:r>
              <w:t>56.0</w:t>
            </w:r>
          </w:p>
        </w:tc>
        <w:tc>
          <w:tcPr>
            <w:tcW w:w="590" w:type="pct"/>
            <w:vAlign w:val="center"/>
          </w:tcPr>
          <w:p w14:paraId="236291B1">
            <w:pPr>
              <w:pStyle w:val="28"/>
              <w:bidi w:val="0"/>
            </w:pPr>
            <w:r>
              <w:t>50.0</w:t>
            </w:r>
          </w:p>
        </w:tc>
        <w:tc>
          <w:tcPr>
            <w:tcW w:w="519" w:type="pct"/>
            <w:vAlign w:val="center"/>
          </w:tcPr>
          <w:p w14:paraId="2CC68BDC">
            <w:pPr>
              <w:pStyle w:val="28"/>
              <w:bidi w:val="0"/>
            </w:pPr>
            <w:r>
              <w:t>43.9</w:t>
            </w:r>
          </w:p>
        </w:tc>
        <w:tc>
          <w:tcPr>
            <w:tcW w:w="519" w:type="pct"/>
            <w:vAlign w:val="center"/>
          </w:tcPr>
          <w:p w14:paraId="62697B8C">
            <w:pPr>
              <w:pStyle w:val="28"/>
              <w:bidi w:val="0"/>
            </w:pPr>
            <w:r>
              <w:t>37.9</w:t>
            </w:r>
          </w:p>
        </w:tc>
        <w:tc>
          <w:tcPr>
            <w:tcW w:w="519" w:type="pct"/>
            <w:vAlign w:val="center"/>
          </w:tcPr>
          <w:p w14:paraId="12D47AF6">
            <w:pPr>
              <w:pStyle w:val="28"/>
              <w:bidi w:val="0"/>
            </w:pPr>
            <w:r>
              <w:t>31.9</w:t>
            </w:r>
          </w:p>
        </w:tc>
        <w:tc>
          <w:tcPr>
            <w:tcW w:w="567" w:type="pct"/>
            <w:vAlign w:val="center"/>
          </w:tcPr>
          <w:p w14:paraId="3B201221">
            <w:pPr>
              <w:pStyle w:val="28"/>
              <w:bidi w:val="0"/>
            </w:pPr>
            <w:r>
              <w:t>25.9</w:t>
            </w:r>
          </w:p>
        </w:tc>
      </w:tr>
      <w:tr w14:paraId="5B1BB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6B870A3D">
            <w:pPr>
              <w:pStyle w:val="28"/>
              <w:bidi w:val="0"/>
            </w:pPr>
          </w:p>
        </w:tc>
        <w:tc>
          <w:tcPr>
            <w:tcW w:w="697" w:type="pct"/>
            <w:vAlign w:val="center"/>
          </w:tcPr>
          <w:p w14:paraId="506C3A69">
            <w:pPr>
              <w:pStyle w:val="28"/>
              <w:bidi w:val="0"/>
            </w:pPr>
            <w:r>
              <w:t>自卸汽车</w:t>
            </w:r>
          </w:p>
        </w:tc>
        <w:tc>
          <w:tcPr>
            <w:tcW w:w="513" w:type="pct"/>
            <w:vAlign w:val="center"/>
          </w:tcPr>
          <w:p w14:paraId="31C50FEF">
            <w:pPr>
              <w:pStyle w:val="28"/>
              <w:bidi w:val="0"/>
            </w:pPr>
            <w:r>
              <w:t>82</w:t>
            </w:r>
          </w:p>
        </w:tc>
        <w:tc>
          <w:tcPr>
            <w:tcW w:w="652" w:type="pct"/>
            <w:vAlign w:val="center"/>
          </w:tcPr>
          <w:p w14:paraId="236674EF">
            <w:pPr>
              <w:pStyle w:val="28"/>
              <w:bidi w:val="0"/>
            </w:pPr>
            <w:r>
              <w:t>56.0</w:t>
            </w:r>
          </w:p>
        </w:tc>
        <w:tc>
          <w:tcPr>
            <w:tcW w:w="590" w:type="pct"/>
            <w:vAlign w:val="center"/>
          </w:tcPr>
          <w:p w14:paraId="29E4B292">
            <w:pPr>
              <w:pStyle w:val="28"/>
              <w:bidi w:val="0"/>
            </w:pPr>
            <w:r>
              <w:t>50.0</w:t>
            </w:r>
          </w:p>
        </w:tc>
        <w:tc>
          <w:tcPr>
            <w:tcW w:w="519" w:type="pct"/>
            <w:vAlign w:val="center"/>
          </w:tcPr>
          <w:p w14:paraId="71110343">
            <w:pPr>
              <w:pStyle w:val="28"/>
              <w:bidi w:val="0"/>
            </w:pPr>
            <w:r>
              <w:t>43.9</w:t>
            </w:r>
          </w:p>
        </w:tc>
        <w:tc>
          <w:tcPr>
            <w:tcW w:w="519" w:type="pct"/>
            <w:vAlign w:val="center"/>
          </w:tcPr>
          <w:p w14:paraId="0AA16563">
            <w:pPr>
              <w:pStyle w:val="28"/>
              <w:bidi w:val="0"/>
            </w:pPr>
            <w:r>
              <w:t>37.9</w:t>
            </w:r>
          </w:p>
        </w:tc>
        <w:tc>
          <w:tcPr>
            <w:tcW w:w="519" w:type="pct"/>
            <w:vAlign w:val="center"/>
          </w:tcPr>
          <w:p w14:paraId="2D1B921B">
            <w:pPr>
              <w:pStyle w:val="28"/>
              <w:bidi w:val="0"/>
            </w:pPr>
            <w:r>
              <w:t>31.9</w:t>
            </w:r>
          </w:p>
        </w:tc>
        <w:tc>
          <w:tcPr>
            <w:tcW w:w="567" w:type="pct"/>
            <w:vAlign w:val="center"/>
          </w:tcPr>
          <w:p w14:paraId="076943ED">
            <w:pPr>
              <w:pStyle w:val="28"/>
              <w:bidi w:val="0"/>
            </w:pPr>
            <w:r>
              <w:t>25.9</w:t>
            </w:r>
          </w:p>
        </w:tc>
      </w:tr>
      <w:tr w14:paraId="71B34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restart"/>
            <w:vAlign w:val="center"/>
          </w:tcPr>
          <w:p w14:paraId="6BBA77C0">
            <w:pPr>
              <w:pStyle w:val="28"/>
              <w:bidi w:val="0"/>
            </w:pPr>
            <w:r>
              <w:t>渠道护砌</w:t>
            </w:r>
          </w:p>
        </w:tc>
        <w:tc>
          <w:tcPr>
            <w:tcW w:w="697" w:type="pct"/>
            <w:vAlign w:val="center"/>
          </w:tcPr>
          <w:p w14:paraId="5E4D2F5F">
            <w:pPr>
              <w:pStyle w:val="28"/>
              <w:bidi w:val="0"/>
            </w:pPr>
            <w:r>
              <w:t>反铲挖掘机</w:t>
            </w:r>
          </w:p>
        </w:tc>
        <w:tc>
          <w:tcPr>
            <w:tcW w:w="513" w:type="pct"/>
            <w:vAlign w:val="center"/>
          </w:tcPr>
          <w:p w14:paraId="6647C653">
            <w:pPr>
              <w:pStyle w:val="28"/>
              <w:bidi w:val="0"/>
            </w:pPr>
            <w:r>
              <w:t>85</w:t>
            </w:r>
          </w:p>
        </w:tc>
        <w:tc>
          <w:tcPr>
            <w:tcW w:w="652" w:type="pct"/>
            <w:vAlign w:val="center"/>
          </w:tcPr>
          <w:p w14:paraId="3162B3E9">
            <w:pPr>
              <w:pStyle w:val="28"/>
              <w:bidi w:val="0"/>
            </w:pPr>
            <w:r>
              <w:t>59.0</w:t>
            </w:r>
          </w:p>
        </w:tc>
        <w:tc>
          <w:tcPr>
            <w:tcW w:w="590" w:type="pct"/>
            <w:vAlign w:val="center"/>
          </w:tcPr>
          <w:p w14:paraId="2EA521EA">
            <w:pPr>
              <w:pStyle w:val="28"/>
              <w:bidi w:val="0"/>
            </w:pPr>
            <w:r>
              <w:t>53.0</w:t>
            </w:r>
          </w:p>
        </w:tc>
        <w:tc>
          <w:tcPr>
            <w:tcW w:w="519" w:type="pct"/>
            <w:vAlign w:val="center"/>
          </w:tcPr>
          <w:p w14:paraId="081CE5C0">
            <w:pPr>
              <w:pStyle w:val="28"/>
              <w:bidi w:val="0"/>
            </w:pPr>
            <w:r>
              <w:t>46.9</w:t>
            </w:r>
          </w:p>
        </w:tc>
        <w:tc>
          <w:tcPr>
            <w:tcW w:w="519" w:type="pct"/>
            <w:vAlign w:val="center"/>
          </w:tcPr>
          <w:p w14:paraId="1ADB08B7">
            <w:pPr>
              <w:pStyle w:val="28"/>
              <w:bidi w:val="0"/>
            </w:pPr>
            <w:r>
              <w:t>40.9</w:t>
            </w:r>
          </w:p>
        </w:tc>
        <w:tc>
          <w:tcPr>
            <w:tcW w:w="519" w:type="pct"/>
            <w:vAlign w:val="center"/>
          </w:tcPr>
          <w:p w14:paraId="6F90AAE7">
            <w:pPr>
              <w:pStyle w:val="28"/>
              <w:bidi w:val="0"/>
            </w:pPr>
            <w:r>
              <w:t>34.9</w:t>
            </w:r>
          </w:p>
        </w:tc>
        <w:tc>
          <w:tcPr>
            <w:tcW w:w="567" w:type="pct"/>
            <w:vAlign w:val="center"/>
          </w:tcPr>
          <w:p w14:paraId="3DE964C3">
            <w:pPr>
              <w:pStyle w:val="28"/>
              <w:bidi w:val="0"/>
            </w:pPr>
            <w:r>
              <w:t>28.9</w:t>
            </w:r>
          </w:p>
        </w:tc>
      </w:tr>
      <w:tr w14:paraId="2772A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0D7874AC">
            <w:pPr>
              <w:pStyle w:val="28"/>
              <w:bidi w:val="0"/>
            </w:pPr>
          </w:p>
        </w:tc>
        <w:tc>
          <w:tcPr>
            <w:tcW w:w="697" w:type="pct"/>
            <w:vAlign w:val="center"/>
          </w:tcPr>
          <w:p w14:paraId="4F8A5377">
            <w:pPr>
              <w:pStyle w:val="28"/>
              <w:bidi w:val="0"/>
            </w:pPr>
            <w:r>
              <w:t>铲运机</w:t>
            </w:r>
          </w:p>
        </w:tc>
        <w:tc>
          <w:tcPr>
            <w:tcW w:w="513" w:type="pct"/>
            <w:vAlign w:val="center"/>
          </w:tcPr>
          <w:p w14:paraId="618204F6">
            <w:pPr>
              <w:pStyle w:val="28"/>
              <w:bidi w:val="0"/>
            </w:pPr>
            <w:r>
              <w:t>80</w:t>
            </w:r>
          </w:p>
        </w:tc>
        <w:tc>
          <w:tcPr>
            <w:tcW w:w="652" w:type="pct"/>
            <w:vAlign w:val="center"/>
          </w:tcPr>
          <w:p w14:paraId="1CD488D5">
            <w:pPr>
              <w:pStyle w:val="28"/>
              <w:bidi w:val="0"/>
            </w:pPr>
            <w:r>
              <w:t>54.0</w:t>
            </w:r>
          </w:p>
        </w:tc>
        <w:tc>
          <w:tcPr>
            <w:tcW w:w="590" w:type="pct"/>
            <w:vAlign w:val="center"/>
          </w:tcPr>
          <w:p w14:paraId="3C29C5CD">
            <w:pPr>
              <w:pStyle w:val="28"/>
              <w:bidi w:val="0"/>
            </w:pPr>
            <w:r>
              <w:t>48.0</w:t>
            </w:r>
          </w:p>
        </w:tc>
        <w:tc>
          <w:tcPr>
            <w:tcW w:w="519" w:type="pct"/>
            <w:vAlign w:val="center"/>
          </w:tcPr>
          <w:p w14:paraId="78F30CCE">
            <w:pPr>
              <w:pStyle w:val="28"/>
              <w:bidi w:val="0"/>
            </w:pPr>
            <w:r>
              <w:t>41.9</w:t>
            </w:r>
          </w:p>
        </w:tc>
        <w:tc>
          <w:tcPr>
            <w:tcW w:w="519" w:type="pct"/>
            <w:vAlign w:val="center"/>
          </w:tcPr>
          <w:p w14:paraId="769C7DD3">
            <w:pPr>
              <w:pStyle w:val="28"/>
              <w:bidi w:val="0"/>
            </w:pPr>
            <w:r>
              <w:t>35.9</w:t>
            </w:r>
          </w:p>
        </w:tc>
        <w:tc>
          <w:tcPr>
            <w:tcW w:w="519" w:type="pct"/>
            <w:vAlign w:val="center"/>
          </w:tcPr>
          <w:p w14:paraId="26D25ABC">
            <w:pPr>
              <w:pStyle w:val="28"/>
              <w:bidi w:val="0"/>
            </w:pPr>
            <w:r>
              <w:t>29.9</w:t>
            </w:r>
          </w:p>
        </w:tc>
        <w:tc>
          <w:tcPr>
            <w:tcW w:w="567" w:type="pct"/>
            <w:vAlign w:val="center"/>
          </w:tcPr>
          <w:p w14:paraId="5C66964E">
            <w:pPr>
              <w:pStyle w:val="28"/>
              <w:bidi w:val="0"/>
            </w:pPr>
            <w:r>
              <w:t>23.9</w:t>
            </w:r>
          </w:p>
        </w:tc>
      </w:tr>
      <w:tr w14:paraId="53BF19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0865C9D5">
            <w:pPr>
              <w:pStyle w:val="28"/>
              <w:bidi w:val="0"/>
            </w:pPr>
          </w:p>
        </w:tc>
        <w:tc>
          <w:tcPr>
            <w:tcW w:w="697" w:type="pct"/>
            <w:vAlign w:val="center"/>
          </w:tcPr>
          <w:p w14:paraId="3D49FCF6">
            <w:pPr>
              <w:pStyle w:val="28"/>
              <w:bidi w:val="0"/>
            </w:pPr>
            <w:r>
              <w:t>推土机</w:t>
            </w:r>
          </w:p>
        </w:tc>
        <w:tc>
          <w:tcPr>
            <w:tcW w:w="513" w:type="pct"/>
            <w:vAlign w:val="center"/>
          </w:tcPr>
          <w:p w14:paraId="1516AA3C">
            <w:pPr>
              <w:pStyle w:val="28"/>
              <w:bidi w:val="0"/>
            </w:pPr>
            <w:r>
              <w:t>82</w:t>
            </w:r>
          </w:p>
        </w:tc>
        <w:tc>
          <w:tcPr>
            <w:tcW w:w="652" w:type="pct"/>
            <w:vAlign w:val="center"/>
          </w:tcPr>
          <w:p w14:paraId="3EFD6355">
            <w:pPr>
              <w:pStyle w:val="28"/>
              <w:bidi w:val="0"/>
            </w:pPr>
            <w:r>
              <w:t>56.0</w:t>
            </w:r>
          </w:p>
        </w:tc>
        <w:tc>
          <w:tcPr>
            <w:tcW w:w="590" w:type="pct"/>
            <w:vAlign w:val="center"/>
          </w:tcPr>
          <w:p w14:paraId="694E42B7">
            <w:pPr>
              <w:pStyle w:val="28"/>
              <w:bidi w:val="0"/>
            </w:pPr>
            <w:r>
              <w:t>50.0</w:t>
            </w:r>
          </w:p>
        </w:tc>
        <w:tc>
          <w:tcPr>
            <w:tcW w:w="519" w:type="pct"/>
            <w:vAlign w:val="center"/>
          </w:tcPr>
          <w:p w14:paraId="73DCD4A9">
            <w:pPr>
              <w:pStyle w:val="28"/>
              <w:bidi w:val="0"/>
            </w:pPr>
            <w:r>
              <w:t>43.9</w:t>
            </w:r>
          </w:p>
        </w:tc>
        <w:tc>
          <w:tcPr>
            <w:tcW w:w="519" w:type="pct"/>
            <w:vAlign w:val="center"/>
          </w:tcPr>
          <w:p w14:paraId="7C80CB7F">
            <w:pPr>
              <w:pStyle w:val="28"/>
              <w:bidi w:val="0"/>
            </w:pPr>
            <w:r>
              <w:t>37.9</w:t>
            </w:r>
          </w:p>
        </w:tc>
        <w:tc>
          <w:tcPr>
            <w:tcW w:w="519" w:type="pct"/>
            <w:vAlign w:val="center"/>
          </w:tcPr>
          <w:p w14:paraId="2A71E11D">
            <w:pPr>
              <w:pStyle w:val="28"/>
              <w:bidi w:val="0"/>
            </w:pPr>
            <w:r>
              <w:t>31.9</w:t>
            </w:r>
          </w:p>
        </w:tc>
        <w:tc>
          <w:tcPr>
            <w:tcW w:w="567" w:type="pct"/>
            <w:vAlign w:val="center"/>
          </w:tcPr>
          <w:p w14:paraId="6BD42922">
            <w:pPr>
              <w:pStyle w:val="28"/>
              <w:bidi w:val="0"/>
            </w:pPr>
            <w:r>
              <w:t>25.9</w:t>
            </w:r>
          </w:p>
        </w:tc>
      </w:tr>
      <w:tr w14:paraId="39448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4612AEFC">
            <w:pPr>
              <w:pStyle w:val="28"/>
              <w:bidi w:val="0"/>
            </w:pPr>
          </w:p>
        </w:tc>
        <w:tc>
          <w:tcPr>
            <w:tcW w:w="697" w:type="pct"/>
            <w:vAlign w:val="center"/>
          </w:tcPr>
          <w:p w14:paraId="5631DC8B">
            <w:pPr>
              <w:pStyle w:val="28"/>
              <w:bidi w:val="0"/>
            </w:pPr>
            <w:r>
              <w:t>打夯机</w:t>
            </w:r>
          </w:p>
        </w:tc>
        <w:tc>
          <w:tcPr>
            <w:tcW w:w="513" w:type="pct"/>
            <w:vAlign w:val="center"/>
          </w:tcPr>
          <w:p w14:paraId="2D7FCB70">
            <w:pPr>
              <w:pStyle w:val="28"/>
              <w:bidi w:val="0"/>
            </w:pPr>
            <w:r>
              <w:t>88</w:t>
            </w:r>
          </w:p>
        </w:tc>
        <w:tc>
          <w:tcPr>
            <w:tcW w:w="652" w:type="pct"/>
            <w:vAlign w:val="center"/>
          </w:tcPr>
          <w:p w14:paraId="3DA4D479">
            <w:pPr>
              <w:pStyle w:val="28"/>
              <w:bidi w:val="0"/>
            </w:pPr>
            <w:r>
              <w:t>62.0</w:t>
            </w:r>
          </w:p>
        </w:tc>
        <w:tc>
          <w:tcPr>
            <w:tcW w:w="590" w:type="pct"/>
            <w:vAlign w:val="center"/>
          </w:tcPr>
          <w:p w14:paraId="10F528ED">
            <w:pPr>
              <w:pStyle w:val="28"/>
              <w:bidi w:val="0"/>
            </w:pPr>
            <w:r>
              <w:t>56.0</w:t>
            </w:r>
          </w:p>
        </w:tc>
        <w:tc>
          <w:tcPr>
            <w:tcW w:w="519" w:type="pct"/>
            <w:vAlign w:val="center"/>
          </w:tcPr>
          <w:p w14:paraId="5E4647C4">
            <w:pPr>
              <w:pStyle w:val="28"/>
              <w:bidi w:val="0"/>
            </w:pPr>
            <w:r>
              <w:t>49.9</w:t>
            </w:r>
          </w:p>
        </w:tc>
        <w:tc>
          <w:tcPr>
            <w:tcW w:w="519" w:type="pct"/>
            <w:vAlign w:val="center"/>
          </w:tcPr>
          <w:p w14:paraId="51205203">
            <w:pPr>
              <w:pStyle w:val="28"/>
              <w:bidi w:val="0"/>
            </w:pPr>
            <w:r>
              <w:t>43.9</w:t>
            </w:r>
          </w:p>
        </w:tc>
        <w:tc>
          <w:tcPr>
            <w:tcW w:w="519" w:type="pct"/>
            <w:vAlign w:val="center"/>
          </w:tcPr>
          <w:p w14:paraId="6E7C1109">
            <w:pPr>
              <w:pStyle w:val="28"/>
              <w:bidi w:val="0"/>
            </w:pPr>
            <w:r>
              <w:t>37.9</w:t>
            </w:r>
          </w:p>
        </w:tc>
        <w:tc>
          <w:tcPr>
            <w:tcW w:w="567" w:type="pct"/>
            <w:vAlign w:val="center"/>
          </w:tcPr>
          <w:p w14:paraId="4AE172A8">
            <w:pPr>
              <w:pStyle w:val="28"/>
              <w:bidi w:val="0"/>
            </w:pPr>
            <w:r>
              <w:t>31.9</w:t>
            </w:r>
          </w:p>
        </w:tc>
      </w:tr>
      <w:tr w14:paraId="68484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35C5682F">
            <w:pPr>
              <w:pStyle w:val="28"/>
              <w:bidi w:val="0"/>
            </w:pPr>
          </w:p>
        </w:tc>
        <w:tc>
          <w:tcPr>
            <w:tcW w:w="697" w:type="pct"/>
            <w:vAlign w:val="center"/>
          </w:tcPr>
          <w:p w14:paraId="76CEF6EF">
            <w:pPr>
              <w:pStyle w:val="28"/>
              <w:bidi w:val="0"/>
            </w:pPr>
            <w:r>
              <w:t>混凝土搅拌机</w:t>
            </w:r>
          </w:p>
        </w:tc>
        <w:tc>
          <w:tcPr>
            <w:tcW w:w="513" w:type="pct"/>
            <w:vAlign w:val="center"/>
          </w:tcPr>
          <w:p w14:paraId="4A006035">
            <w:pPr>
              <w:pStyle w:val="28"/>
              <w:bidi w:val="0"/>
            </w:pPr>
            <w:r>
              <w:t>85</w:t>
            </w:r>
          </w:p>
        </w:tc>
        <w:tc>
          <w:tcPr>
            <w:tcW w:w="652" w:type="pct"/>
            <w:vAlign w:val="center"/>
          </w:tcPr>
          <w:p w14:paraId="1B505EE3">
            <w:pPr>
              <w:pStyle w:val="28"/>
              <w:bidi w:val="0"/>
            </w:pPr>
            <w:r>
              <w:t>59.0</w:t>
            </w:r>
          </w:p>
        </w:tc>
        <w:tc>
          <w:tcPr>
            <w:tcW w:w="590" w:type="pct"/>
            <w:vAlign w:val="center"/>
          </w:tcPr>
          <w:p w14:paraId="5598FAC4">
            <w:pPr>
              <w:pStyle w:val="28"/>
              <w:bidi w:val="0"/>
            </w:pPr>
            <w:r>
              <w:t>53.0</w:t>
            </w:r>
          </w:p>
        </w:tc>
        <w:tc>
          <w:tcPr>
            <w:tcW w:w="519" w:type="pct"/>
            <w:vAlign w:val="center"/>
          </w:tcPr>
          <w:p w14:paraId="61251620">
            <w:pPr>
              <w:pStyle w:val="28"/>
              <w:bidi w:val="0"/>
            </w:pPr>
            <w:r>
              <w:t>46.9</w:t>
            </w:r>
          </w:p>
        </w:tc>
        <w:tc>
          <w:tcPr>
            <w:tcW w:w="519" w:type="pct"/>
            <w:vAlign w:val="center"/>
          </w:tcPr>
          <w:p w14:paraId="4EA1EDF8">
            <w:pPr>
              <w:pStyle w:val="28"/>
              <w:bidi w:val="0"/>
            </w:pPr>
            <w:r>
              <w:t>40.9</w:t>
            </w:r>
          </w:p>
        </w:tc>
        <w:tc>
          <w:tcPr>
            <w:tcW w:w="519" w:type="pct"/>
            <w:vAlign w:val="center"/>
          </w:tcPr>
          <w:p w14:paraId="1D6893D6">
            <w:pPr>
              <w:pStyle w:val="28"/>
              <w:bidi w:val="0"/>
            </w:pPr>
            <w:r>
              <w:t>34.9</w:t>
            </w:r>
          </w:p>
        </w:tc>
        <w:tc>
          <w:tcPr>
            <w:tcW w:w="567" w:type="pct"/>
            <w:vAlign w:val="center"/>
          </w:tcPr>
          <w:p w14:paraId="552C84EC">
            <w:pPr>
              <w:pStyle w:val="28"/>
              <w:bidi w:val="0"/>
            </w:pPr>
            <w:r>
              <w:t>28.9</w:t>
            </w:r>
          </w:p>
        </w:tc>
      </w:tr>
      <w:tr w14:paraId="3F441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398E7A32">
            <w:pPr>
              <w:pStyle w:val="28"/>
              <w:bidi w:val="0"/>
            </w:pPr>
          </w:p>
        </w:tc>
        <w:tc>
          <w:tcPr>
            <w:tcW w:w="697" w:type="pct"/>
            <w:vAlign w:val="center"/>
          </w:tcPr>
          <w:p w14:paraId="376F2F5F">
            <w:pPr>
              <w:pStyle w:val="28"/>
              <w:bidi w:val="0"/>
            </w:pPr>
            <w:r>
              <w:t>电动振捣器</w:t>
            </w:r>
          </w:p>
        </w:tc>
        <w:tc>
          <w:tcPr>
            <w:tcW w:w="513" w:type="pct"/>
            <w:vAlign w:val="center"/>
          </w:tcPr>
          <w:p w14:paraId="3873E42C">
            <w:pPr>
              <w:pStyle w:val="28"/>
              <w:bidi w:val="0"/>
            </w:pPr>
            <w:r>
              <w:t>85</w:t>
            </w:r>
          </w:p>
        </w:tc>
        <w:tc>
          <w:tcPr>
            <w:tcW w:w="652" w:type="pct"/>
            <w:vAlign w:val="center"/>
          </w:tcPr>
          <w:p w14:paraId="09C6BE43">
            <w:pPr>
              <w:pStyle w:val="28"/>
              <w:bidi w:val="0"/>
            </w:pPr>
            <w:r>
              <w:t>59.0</w:t>
            </w:r>
          </w:p>
        </w:tc>
        <w:tc>
          <w:tcPr>
            <w:tcW w:w="590" w:type="pct"/>
            <w:vAlign w:val="center"/>
          </w:tcPr>
          <w:p w14:paraId="13D3A19D">
            <w:pPr>
              <w:pStyle w:val="28"/>
              <w:bidi w:val="0"/>
            </w:pPr>
            <w:r>
              <w:t>53.0</w:t>
            </w:r>
          </w:p>
        </w:tc>
        <w:tc>
          <w:tcPr>
            <w:tcW w:w="519" w:type="pct"/>
            <w:vAlign w:val="center"/>
          </w:tcPr>
          <w:p w14:paraId="0ED98FEE">
            <w:pPr>
              <w:pStyle w:val="28"/>
              <w:bidi w:val="0"/>
            </w:pPr>
            <w:r>
              <w:t>46.9</w:t>
            </w:r>
          </w:p>
        </w:tc>
        <w:tc>
          <w:tcPr>
            <w:tcW w:w="519" w:type="pct"/>
            <w:vAlign w:val="center"/>
          </w:tcPr>
          <w:p w14:paraId="08B0726C">
            <w:pPr>
              <w:pStyle w:val="28"/>
              <w:bidi w:val="0"/>
            </w:pPr>
            <w:r>
              <w:t>40.9</w:t>
            </w:r>
          </w:p>
        </w:tc>
        <w:tc>
          <w:tcPr>
            <w:tcW w:w="519" w:type="pct"/>
            <w:vAlign w:val="center"/>
          </w:tcPr>
          <w:p w14:paraId="31836301">
            <w:pPr>
              <w:pStyle w:val="28"/>
              <w:bidi w:val="0"/>
            </w:pPr>
            <w:r>
              <w:t>34.9</w:t>
            </w:r>
          </w:p>
        </w:tc>
        <w:tc>
          <w:tcPr>
            <w:tcW w:w="567" w:type="pct"/>
            <w:vAlign w:val="center"/>
          </w:tcPr>
          <w:p w14:paraId="5F6B6270">
            <w:pPr>
              <w:pStyle w:val="28"/>
              <w:bidi w:val="0"/>
            </w:pPr>
            <w:r>
              <w:t>28.9</w:t>
            </w:r>
          </w:p>
        </w:tc>
      </w:tr>
      <w:tr w14:paraId="0588E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41D7CE28">
            <w:pPr>
              <w:pStyle w:val="28"/>
              <w:bidi w:val="0"/>
            </w:pPr>
          </w:p>
        </w:tc>
        <w:tc>
          <w:tcPr>
            <w:tcW w:w="697" w:type="pct"/>
            <w:vAlign w:val="center"/>
          </w:tcPr>
          <w:p w14:paraId="7F82A0E1">
            <w:pPr>
              <w:pStyle w:val="28"/>
              <w:bidi w:val="0"/>
            </w:pPr>
            <w:r>
              <w:t>机动翻斗车</w:t>
            </w:r>
          </w:p>
        </w:tc>
        <w:tc>
          <w:tcPr>
            <w:tcW w:w="513" w:type="pct"/>
            <w:vAlign w:val="center"/>
          </w:tcPr>
          <w:p w14:paraId="25E4F1C3">
            <w:pPr>
              <w:pStyle w:val="28"/>
              <w:bidi w:val="0"/>
            </w:pPr>
            <w:r>
              <w:t>85</w:t>
            </w:r>
          </w:p>
        </w:tc>
        <w:tc>
          <w:tcPr>
            <w:tcW w:w="652" w:type="pct"/>
            <w:vAlign w:val="center"/>
          </w:tcPr>
          <w:p w14:paraId="64D63C2A">
            <w:pPr>
              <w:pStyle w:val="28"/>
              <w:bidi w:val="0"/>
            </w:pPr>
            <w:r>
              <w:t>59.0</w:t>
            </w:r>
          </w:p>
        </w:tc>
        <w:tc>
          <w:tcPr>
            <w:tcW w:w="590" w:type="pct"/>
            <w:vAlign w:val="center"/>
          </w:tcPr>
          <w:p w14:paraId="0AFA3F90">
            <w:pPr>
              <w:pStyle w:val="28"/>
              <w:bidi w:val="0"/>
            </w:pPr>
            <w:r>
              <w:t>53.0</w:t>
            </w:r>
          </w:p>
        </w:tc>
        <w:tc>
          <w:tcPr>
            <w:tcW w:w="519" w:type="pct"/>
            <w:vAlign w:val="center"/>
          </w:tcPr>
          <w:p w14:paraId="2B744663">
            <w:pPr>
              <w:pStyle w:val="28"/>
              <w:bidi w:val="0"/>
            </w:pPr>
            <w:r>
              <w:t>46.9</w:t>
            </w:r>
          </w:p>
        </w:tc>
        <w:tc>
          <w:tcPr>
            <w:tcW w:w="519" w:type="pct"/>
            <w:vAlign w:val="center"/>
          </w:tcPr>
          <w:p w14:paraId="08E23491">
            <w:pPr>
              <w:pStyle w:val="28"/>
              <w:bidi w:val="0"/>
            </w:pPr>
            <w:r>
              <w:t>40.9</w:t>
            </w:r>
          </w:p>
        </w:tc>
        <w:tc>
          <w:tcPr>
            <w:tcW w:w="519" w:type="pct"/>
            <w:vAlign w:val="center"/>
          </w:tcPr>
          <w:p w14:paraId="392E48FE">
            <w:pPr>
              <w:pStyle w:val="28"/>
              <w:bidi w:val="0"/>
            </w:pPr>
            <w:r>
              <w:t>34.9</w:t>
            </w:r>
          </w:p>
        </w:tc>
        <w:tc>
          <w:tcPr>
            <w:tcW w:w="567" w:type="pct"/>
            <w:vAlign w:val="center"/>
          </w:tcPr>
          <w:p w14:paraId="775E733B">
            <w:pPr>
              <w:pStyle w:val="28"/>
              <w:bidi w:val="0"/>
            </w:pPr>
            <w:r>
              <w:t>28.9</w:t>
            </w:r>
          </w:p>
        </w:tc>
      </w:tr>
      <w:tr w14:paraId="6F5B5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restart"/>
            <w:vAlign w:val="center"/>
          </w:tcPr>
          <w:p w14:paraId="3E87CBF4">
            <w:pPr>
              <w:pStyle w:val="28"/>
              <w:bidi w:val="0"/>
            </w:pPr>
            <w:r>
              <w:t>防渗治理、填塘固基</w:t>
            </w:r>
          </w:p>
        </w:tc>
        <w:tc>
          <w:tcPr>
            <w:tcW w:w="697" w:type="pct"/>
            <w:vAlign w:val="center"/>
          </w:tcPr>
          <w:p w14:paraId="5B0FF43E">
            <w:pPr>
              <w:pStyle w:val="28"/>
              <w:bidi w:val="0"/>
            </w:pPr>
            <w:r>
              <w:t>反铲挖掘机</w:t>
            </w:r>
          </w:p>
        </w:tc>
        <w:tc>
          <w:tcPr>
            <w:tcW w:w="513" w:type="pct"/>
            <w:vAlign w:val="center"/>
          </w:tcPr>
          <w:p w14:paraId="77C6D176">
            <w:pPr>
              <w:pStyle w:val="28"/>
              <w:bidi w:val="0"/>
            </w:pPr>
            <w:r>
              <w:t>85</w:t>
            </w:r>
          </w:p>
        </w:tc>
        <w:tc>
          <w:tcPr>
            <w:tcW w:w="652" w:type="pct"/>
            <w:vAlign w:val="center"/>
          </w:tcPr>
          <w:p w14:paraId="5FCB9164">
            <w:pPr>
              <w:pStyle w:val="28"/>
              <w:bidi w:val="0"/>
            </w:pPr>
            <w:r>
              <w:t>59.0</w:t>
            </w:r>
          </w:p>
        </w:tc>
        <w:tc>
          <w:tcPr>
            <w:tcW w:w="590" w:type="pct"/>
            <w:vAlign w:val="center"/>
          </w:tcPr>
          <w:p w14:paraId="2FA0675C">
            <w:pPr>
              <w:pStyle w:val="28"/>
              <w:bidi w:val="0"/>
            </w:pPr>
            <w:r>
              <w:t>53.0</w:t>
            </w:r>
          </w:p>
        </w:tc>
        <w:tc>
          <w:tcPr>
            <w:tcW w:w="519" w:type="pct"/>
            <w:vAlign w:val="center"/>
          </w:tcPr>
          <w:p w14:paraId="6C1F82A8">
            <w:pPr>
              <w:pStyle w:val="28"/>
              <w:bidi w:val="0"/>
            </w:pPr>
            <w:r>
              <w:t>46.9</w:t>
            </w:r>
          </w:p>
        </w:tc>
        <w:tc>
          <w:tcPr>
            <w:tcW w:w="519" w:type="pct"/>
            <w:vAlign w:val="center"/>
          </w:tcPr>
          <w:p w14:paraId="353942BF">
            <w:pPr>
              <w:pStyle w:val="28"/>
              <w:bidi w:val="0"/>
            </w:pPr>
            <w:r>
              <w:t>40.9</w:t>
            </w:r>
          </w:p>
        </w:tc>
        <w:tc>
          <w:tcPr>
            <w:tcW w:w="519" w:type="pct"/>
            <w:vAlign w:val="center"/>
          </w:tcPr>
          <w:p w14:paraId="2586CB4B">
            <w:pPr>
              <w:pStyle w:val="28"/>
              <w:bidi w:val="0"/>
            </w:pPr>
            <w:r>
              <w:t>34.9</w:t>
            </w:r>
          </w:p>
        </w:tc>
        <w:tc>
          <w:tcPr>
            <w:tcW w:w="567" w:type="pct"/>
            <w:vAlign w:val="center"/>
          </w:tcPr>
          <w:p w14:paraId="520B5178">
            <w:pPr>
              <w:pStyle w:val="28"/>
              <w:bidi w:val="0"/>
            </w:pPr>
            <w:r>
              <w:t>28.9</w:t>
            </w:r>
          </w:p>
        </w:tc>
      </w:tr>
      <w:tr w14:paraId="773BCA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59A01C6F">
            <w:pPr>
              <w:pStyle w:val="28"/>
              <w:bidi w:val="0"/>
            </w:pPr>
          </w:p>
        </w:tc>
        <w:tc>
          <w:tcPr>
            <w:tcW w:w="697" w:type="pct"/>
            <w:vAlign w:val="center"/>
          </w:tcPr>
          <w:p w14:paraId="05F8F4FD">
            <w:pPr>
              <w:pStyle w:val="28"/>
              <w:bidi w:val="0"/>
            </w:pPr>
            <w:r>
              <w:t>铲运机</w:t>
            </w:r>
          </w:p>
        </w:tc>
        <w:tc>
          <w:tcPr>
            <w:tcW w:w="513" w:type="pct"/>
            <w:vAlign w:val="center"/>
          </w:tcPr>
          <w:p w14:paraId="0BE6B7AB">
            <w:pPr>
              <w:pStyle w:val="28"/>
              <w:bidi w:val="0"/>
            </w:pPr>
            <w:r>
              <w:t>80</w:t>
            </w:r>
          </w:p>
        </w:tc>
        <w:tc>
          <w:tcPr>
            <w:tcW w:w="652" w:type="pct"/>
            <w:vAlign w:val="center"/>
          </w:tcPr>
          <w:p w14:paraId="3AB6AD72">
            <w:pPr>
              <w:pStyle w:val="28"/>
              <w:bidi w:val="0"/>
            </w:pPr>
            <w:r>
              <w:t>54.0</w:t>
            </w:r>
          </w:p>
        </w:tc>
        <w:tc>
          <w:tcPr>
            <w:tcW w:w="590" w:type="pct"/>
            <w:vAlign w:val="center"/>
          </w:tcPr>
          <w:p w14:paraId="5CDB923C">
            <w:pPr>
              <w:pStyle w:val="28"/>
              <w:bidi w:val="0"/>
            </w:pPr>
            <w:r>
              <w:t>48.0</w:t>
            </w:r>
          </w:p>
        </w:tc>
        <w:tc>
          <w:tcPr>
            <w:tcW w:w="519" w:type="pct"/>
            <w:vAlign w:val="center"/>
          </w:tcPr>
          <w:p w14:paraId="1719D1D3">
            <w:pPr>
              <w:pStyle w:val="28"/>
              <w:bidi w:val="0"/>
            </w:pPr>
            <w:r>
              <w:t>41.9</w:t>
            </w:r>
          </w:p>
        </w:tc>
        <w:tc>
          <w:tcPr>
            <w:tcW w:w="519" w:type="pct"/>
            <w:vAlign w:val="center"/>
          </w:tcPr>
          <w:p w14:paraId="650FEA8C">
            <w:pPr>
              <w:pStyle w:val="28"/>
              <w:bidi w:val="0"/>
            </w:pPr>
            <w:r>
              <w:t>35.9</w:t>
            </w:r>
          </w:p>
        </w:tc>
        <w:tc>
          <w:tcPr>
            <w:tcW w:w="519" w:type="pct"/>
            <w:vAlign w:val="center"/>
          </w:tcPr>
          <w:p w14:paraId="42096578">
            <w:pPr>
              <w:pStyle w:val="28"/>
              <w:bidi w:val="0"/>
            </w:pPr>
            <w:r>
              <w:t>29.9</w:t>
            </w:r>
          </w:p>
        </w:tc>
        <w:tc>
          <w:tcPr>
            <w:tcW w:w="567" w:type="pct"/>
            <w:vAlign w:val="center"/>
          </w:tcPr>
          <w:p w14:paraId="716ECCA4">
            <w:pPr>
              <w:pStyle w:val="28"/>
              <w:bidi w:val="0"/>
            </w:pPr>
            <w:r>
              <w:t>23.9</w:t>
            </w:r>
          </w:p>
        </w:tc>
      </w:tr>
      <w:tr w14:paraId="5712B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36F39C5B">
            <w:pPr>
              <w:pStyle w:val="28"/>
              <w:bidi w:val="0"/>
            </w:pPr>
          </w:p>
        </w:tc>
        <w:tc>
          <w:tcPr>
            <w:tcW w:w="697" w:type="pct"/>
            <w:vAlign w:val="center"/>
          </w:tcPr>
          <w:p w14:paraId="4390B5AA">
            <w:pPr>
              <w:pStyle w:val="28"/>
              <w:bidi w:val="0"/>
            </w:pPr>
            <w:r>
              <w:t>推土机</w:t>
            </w:r>
          </w:p>
        </w:tc>
        <w:tc>
          <w:tcPr>
            <w:tcW w:w="513" w:type="pct"/>
            <w:vAlign w:val="center"/>
          </w:tcPr>
          <w:p w14:paraId="5308657C">
            <w:pPr>
              <w:pStyle w:val="28"/>
              <w:bidi w:val="0"/>
            </w:pPr>
            <w:r>
              <w:t>82</w:t>
            </w:r>
          </w:p>
        </w:tc>
        <w:tc>
          <w:tcPr>
            <w:tcW w:w="652" w:type="pct"/>
            <w:vAlign w:val="center"/>
          </w:tcPr>
          <w:p w14:paraId="136CD8F3">
            <w:pPr>
              <w:pStyle w:val="28"/>
              <w:bidi w:val="0"/>
            </w:pPr>
            <w:r>
              <w:t>56.0</w:t>
            </w:r>
          </w:p>
        </w:tc>
        <w:tc>
          <w:tcPr>
            <w:tcW w:w="590" w:type="pct"/>
            <w:vAlign w:val="center"/>
          </w:tcPr>
          <w:p w14:paraId="6E852897">
            <w:pPr>
              <w:pStyle w:val="28"/>
              <w:bidi w:val="0"/>
            </w:pPr>
            <w:r>
              <w:t>50.0</w:t>
            </w:r>
          </w:p>
        </w:tc>
        <w:tc>
          <w:tcPr>
            <w:tcW w:w="519" w:type="pct"/>
            <w:vAlign w:val="center"/>
          </w:tcPr>
          <w:p w14:paraId="1611AE12">
            <w:pPr>
              <w:pStyle w:val="28"/>
              <w:bidi w:val="0"/>
            </w:pPr>
            <w:r>
              <w:t>43.9</w:t>
            </w:r>
          </w:p>
        </w:tc>
        <w:tc>
          <w:tcPr>
            <w:tcW w:w="519" w:type="pct"/>
            <w:vAlign w:val="center"/>
          </w:tcPr>
          <w:p w14:paraId="72BB16FD">
            <w:pPr>
              <w:pStyle w:val="28"/>
              <w:bidi w:val="0"/>
            </w:pPr>
            <w:r>
              <w:t>37.9</w:t>
            </w:r>
          </w:p>
        </w:tc>
        <w:tc>
          <w:tcPr>
            <w:tcW w:w="519" w:type="pct"/>
            <w:vAlign w:val="center"/>
          </w:tcPr>
          <w:p w14:paraId="6E7BB615">
            <w:pPr>
              <w:pStyle w:val="28"/>
              <w:bidi w:val="0"/>
            </w:pPr>
            <w:r>
              <w:t>31.9</w:t>
            </w:r>
          </w:p>
        </w:tc>
        <w:tc>
          <w:tcPr>
            <w:tcW w:w="567" w:type="pct"/>
            <w:vAlign w:val="center"/>
          </w:tcPr>
          <w:p w14:paraId="71A7349C">
            <w:pPr>
              <w:pStyle w:val="28"/>
              <w:bidi w:val="0"/>
            </w:pPr>
            <w:r>
              <w:t>25.9</w:t>
            </w:r>
          </w:p>
        </w:tc>
      </w:tr>
      <w:tr w14:paraId="72428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6AAC7EEA">
            <w:pPr>
              <w:pStyle w:val="28"/>
              <w:bidi w:val="0"/>
            </w:pPr>
          </w:p>
        </w:tc>
        <w:tc>
          <w:tcPr>
            <w:tcW w:w="697" w:type="pct"/>
            <w:vAlign w:val="center"/>
          </w:tcPr>
          <w:p w14:paraId="0C4207DC">
            <w:pPr>
              <w:pStyle w:val="28"/>
              <w:bidi w:val="0"/>
            </w:pPr>
            <w:r>
              <w:t>电动振捣器</w:t>
            </w:r>
          </w:p>
        </w:tc>
        <w:tc>
          <w:tcPr>
            <w:tcW w:w="513" w:type="pct"/>
            <w:vAlign w:val="center"/>
          </w:tcPr>
          <w:p w14:paraId="0E1121B8">
            <w:pPr>
              <w:pStyle w:val="28"/>
              <w:bidi w:val="0"/>
            </w:pPr>
            <w:r>
              <w:t>85</w:t>
            </w:r>
          </w:p>
        </w:tc>
        <w:tc>
          <w:tcPr>
            <w:tcW w:w="652" w:type="pct"/>
            <w:vAlign w:val="center"/>
          </w:tcPr>
          <w:p w14:paraId="356F1FD2">
            <w:pPr>
              <w:pStyle w:val="28"/>
              <w:bidi w:val="0"/>
            </w:pPr>
            <w:r>
              <w:t>59.0</w:t>
            </w:r>
          </w:p>
        </w:tc>
        <w:tc>
          <w:tcPr>
            <w:tcW w:w="590" w:type="pct"/>
            <w:vAlign w:val="center"/>
          </w:tcPr>
          <w:p w14:paraId="0A47B4CF">
            <w:pPr>
              <w:pStyle w:val="28"/>
              <w:bidi w:val="0"/>
            </w:pPr>
            <w:r>
              <w:t>53.0</w:t>
            </w:r>
          </w:p>
        </w:tc>
        <w:tc>
          <w:tcPr>
            <w:tcW w:w="519" w:type="pct"/>
            <w:vAlign w:val="center"/>
          </w:tcPr>
          <w:p w14:paraId="5EC14D37">
            <w:pPr>
              <w:pStyle w:val="28"/>
              <w:bidi w:val="0"/>
            </w:pPr>
            <w:r>
              <w:t>46.9</w:t>
            </w:r>
          </w:p>
        </w:tc>
        <w:tc>
          <w:tcPr>
            <w:tcW w:w="519" w:type="pct"/>
            <w:vAlign w:val="center"/>
          </w:tcPr>
          <w:p w14:paraId="5F10A64C">
            <w:pPr>
              <w:pStyle w:val="28"/>
              <w:bidi w:val="0"/>
            </w:pPr>
            <w:r>
              <w:t>40.9</w:t>
            </w:r>
          </w:p>
        </w:tc>
        <w:tc>
          <w:tcPr>
            <w:tcW w:w="519" w:type="pct"/>
            <w:vAlign w:val="center"/>
          </w:tcPr>
          <w:p w14:paraId="48A487D5">
            <w:pPr>
              <w:pStyle w:val="28"/>
              <w:bidi w:val="0"/>
            </w:pPr>
            <w:r>
              <w:t>34.9</w:t>
            </w:r>
          </w:p>
        </w:tc>
        <w:tc>
          <w:tcPr>
            <w:tcW w:w="567" w:type="pct"/>
            <w:vAlign w:val="center"/>
          </w:tcPr>
          <w:p w14:paraId="08E522BC">
            <w:pPr>
              <w:pStyle w:val="28"/>
              <w:bidi w:val="0"/>
            </w:pPr>
            <w:r>
              <w:t>28.9</w:t>
            </w:r>
          </w:p>
        </w:tc>
      </w:tr>
      <w:tr w14:paraId="5594F8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restart"/>
            <w:vAlign w:val="center"/>
          </w:tcPr>
          <w:p w14:paraId="2024D1C6">
            <w:pPr>
              <w:pStyle w:val="28"/>
              <w:bidi w:val="0"/>
            </w:pPr>
            <w:r>
              <w:t>滑坡治理</w:t>
            </w:r>
          </w:p>
        </w:tc>
        <w:tc>
          <w:tcPr>
            <w:tcW w:w="697" w:type="pct"/>
            <w:vAlign w:val="center"/>
          </w:tcPr>
          <w:p w14:paraId="1571E5AC">
            <w:pPr>
              <w:pStyle w:val="28"/>
              <w:bidi w:val="0"/>
            </w:pPr>
            <w:r>
              <w:t>反铲挖掘机</w:t>
            </w:r>
          </w:p>
        </w:tc>
        <w:tc>
          <w:tcPr>
            <w:tcW w:w="513" w:type="pct"/>
            <w:vAlign w:val="center"/>
          </w:tcPr>
          <w:p w14:paraId="7255D11A">
            <w:pPr>
              <w:pStyle w:val="28"/>
              <w:bidi w:val="0"/>
            </w:pPr>
            <w:r>
              <w:t>85</w:t>
            </w:r>
          </w:p>
        </w:tc>
        <w:tc>
          <w:tcPr>
            <w:tcW w:w="652" w:type="pct"/>
            <w:vAlign w:val="center"/>
          </w:tcPr>
          <w:p w14:paraId="6D1125EF">
            <w:pPr>
              <w:pStyle w:val="28"/>
              <w:bidi w:val="0"/>
            </w:pPr>
            <w:r>
              <w:t>59.0</w:t>
            </w:r>
          </w:p>
        </w:tc>
        <w:tc>
          <w:tcPr>
            <w:tcW w:w="590" w:type="pct"/>
            <w:vAlign w:val="center"/>
          </w:tcPr>
          <w:p w14:paraId="26DDCAFA">
            <w:pPr>
              <w:pStyle w:val="28"/>
              <w:bidi w:val="0"/>
            </w:pPr>
            <w:r>
              <w:t>53.0</w:t>
            </w:r>
          </w:p>
        </w:tc>
        <w:tc>
          <w:tcPr>
            <w:tcW w:w="519" w:type="pct"/>
            <w:vAlign w:val="center"/>
          </w:tcPr>
          <w:p w14:paraId="482EC438">
            <w:pPr>
              <w:pStyle w:val="28"/>
              <w:bidi w:val="0"/>
            </w:pPr>
            <w:r>
              <w:t>46.9</w:t>
            </w:r>
          </w:p>
        </w:tc>
        <w:tc>
          <w:tcPr>
            <w:tcW w:w="519" w:type="pct"/>
            <w:vAlign w:val="center"/>
          </w:tcPr>
          <w:p w14:paraId="6F610BBA">
            <w:pPr>
              <w:pStyle w:val="28"/>
              <w:bidi w:val="0"/>
            </w:pPr>
            <w:r>
              <w:t>40.9</w:t>
            </w:r>
          </w:p>
        </w:tc>
        <w:tc>
          <w:tcPr>
            <w:tcW w:w="519" w:type="pct"/>
            <w:vAlign w:val="center"/>
          </w:tcPr>
          <w:p w14:paraId="2A9D4BB8">
            <w:pPr>
              <w:pStyle w:val="28"/>
              <w:bidi w:val="0"/>
            </w:pPr>
            <w:r>
              <w:t>34.9</w:t>
            </w:r>
          </w:p>
        </w:tc>
        <w:tc>
          <w:tcPr>
            <w:tcW w:w="567" w:type="pct"/>
            <w:vAlign w:val="center"/>
          </w:tcPr>
          <w:p w14:paraId="46FFF0F1">
            <w:pPr>
              <w:pStyle w:val="28"/>
              <w:bidi w:val="0"/>
            </w:pPr>
            <w:r>
              <w:t>28.9</w:t>
            </w:r>
          </w:p>
        </w:tc>
      </w:tr>
      <w:tr w14:paraId="23525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43A40844">
            <w:pPr>
              <w:pStyle w:val="28"/>
              <w:bidi w:val="0"/>
            </w:pPr>
          </w:p>
        </w:tc>
        <w:tc>
          <w:tcPr>
            <w:tcW w:w="697" w:type="pct"/>
            <w:vAlign w:val="center"/>
          </w:tcPr>
          <w:p w14:paraId="65E3ACEA">
            <w:pPr>
              <w:pStyle w:val="28"/>
              <w:bidi w:val="0"/>
            </w:pPr>
            <w:r>
              <w:t>铲运机</w:t>
            </w:r>
          </w:p>
        </w:tc>
        <w:tc>
          <w:tcPr>
            <w:tcW w:w="513" w:type="pct"/>
            <w:vAlign w:val="center"/>
          </w:tcPr>
          <w:p w14:paraId="722818E7">
            <w:pPr>
              <w:pStyle w:val="28"/>
              <w:bidi w:val="0"/>
            </w:pPr>
            <w:r>
              <w:t>80</w:t>
            </w:r>
          </w:p>
        </w:tc>
        <w:tc>
          <w:tcPr>
            <w:tcW w:w="652" w:type="pct"/>
            <w:vAlign w:val="center"/>
          </w:tcPr>
          <w:p w14:paraId="2A205BC8">
            <w:pPr>
              <w:pStyle w:val="28"/>
              <w:bidi w:val="0"/>
            </w:pPr>
            <w:r>
              <w:t>54.0</w:t>
            </w:r>
          </w:p>
        </w:tc>
        <w:tc>
          <w:tcPr>
            <w:tcW w:w="590" w:type="pct"/>
            <w:vAlign w:val="center"/>
          </w:tcPr>
          <w:p w14:paraId="0357AC69">
            <w:pPr>
              <w:pStyle w:val="28"/>
              <w:bidi w:val="0"/>
            </w:pPr>
            <w:r>
              <w:t>48.0</w:t>
            </w:r>
          </w:p>
        </w:tc>
        <w:tc>
          <w:tcPr>
            <w:tcW w:w="519" w:type="pct"/>
            <w:vAlign w:val="center"/>
          </w:tcPr>
          <w:p w14:paraId="04B47DEC">
            <w:pPr>
              <w:pStyle w:val="28"/>
              <w:bidi w:val="0"/>
            </w:pPr>
            <w:r>
              <w:t>41.9</w:t>
            </w:r>
          </w:p>
        </w:tc>
        <w:tc>
          <w:tcPr>
            <w:tcW w:w="519" w:type="pct"/>
            <w:vAlign w:val="center"/>
          </w:tcPr>
          <w:p w14:paraId="124AC22D">
            <w:pPr>
              <w:pStyle w:val="28"/>
              <w:bidi w:val="0"/>
            </w:pPr>
            <w:r>
              <w:t>35.9</w:t>
            </w:r>
          </w:p>
        </w:tc>
        <w:tc>
          <w:tcPr>
            <w:tcW w:w="519" w:type="pct"/>
            <w:vAlign w:val="center"/>
          </w:tcPr>
          <w:p w14:paraId="0E49A424">
            <w:pPr>
              <w:pStyle w:val="28"/>
              <w:bidi w:val="0"/>
            </w:pPr>
            <w:r>
              <w:t>29.9</w:t>
            </w:r>
          </w:p>
        </w:tc>
        <w:tc>
          <w:tcPr>
            <w:tcW w:w="567" w:type="pct"/>
            <w:vAlign w:val="center"/>
          </w:tcPr>
          <w:p w14:paraId="2FC7D0BA">
            <w:pPr>
              <w:pStyle w:val="28"/>
              <w:bidi w:val="0"/>
            </w:pPr>
            <w:r>
              <w:t>23.9</w:t>
            </w:r>
          </w:p>
        </w:tc>
      </w:tr>
      <w:tr w14:paraId="19FDD0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7621D8EA">
            <w:pPr>
              <w:pStyle w:val="28"/>
              <w:bidi w:val="0"/>
            </w:pPr>
          </w:p>
        </w:tc>
        <w:tc>
          <w:tcPr>
            <w:tcW w:w="697" w:type="pct"/>
            <w:vAlign w:val="center"/>
          </w:tcPr>
          <w:p w14:paraId="26ACB1BC">
            <w:pPr>
              <w:pStyle w:val="28"/>
              <w:bidi w:val="0"/>
            </w:pPr>
            <w:r>
              <w:t>推土机</w:t>
            </w:r>
          </w:p>
        </w:tc>
        <w:tc>
          <w:tcPr>
            <w:tcW w:w="513" w:type="pct"/>
            <w:vAlign w:val="center"/>
          </w:tcPr>
          <w:p w14:paraId="7F306E7D">
            <w:pPr>
              <w:pStyle w:val="28"/>
              <w:bidi w:val="0"/>
            </w:pPr>
            <w:r>
              <w:t>82</w:t>
            </w:r>
          </w:p>
        </w:tc>
        <w:tc>
          <w:tcPr>
            <w:tcW w:w="652" w:type="pct"/>
            <w:vAlign w:val="center"/>
          </w:tcPr>
          <w:p w14:paraId="734D041B">
            <w:pPr>
              <w:pStyle w:val="28"/>
              <w:bidi w:val="0"/>
            </w:pPr>
            <w:r>
              <w:t>56.0</w:t>
            </w:r>
          </w:p>
        </w:tc>
        <w:tc>
          <w:tcPr>
            <w:tcW w:w="590" w:type="pct"/>
            <w:vAlign w:val="center"/>
          </w:tcPr>
          <w:p w14:paraId="3E4A32EC">
            <w:pPr>
              <w:pStyle w:val="28"/>
              <w:bidi w:val="0"/>
            </w:pPr>
            <w:r>
              <w:t>50.0</w:t>
            </w:r>
          </w:p>
        </w:tc>
        <w:tc>
          <w:tcPr>
            <w:tcW w:w="519" w:type="pct"/>
            <w:vAlign w:val="center"/>
          </w:tcPr>
          <w:p w14:paraId="36457CD8">
            <w:pPr>
              <w:pStyle w:val="28"/>
              <w:bidi w:val="0"/>
            </w:pPr>
            <w:r>
              <w:t>43.9</w:t>
            </w:r>
          </w:p>
        </w:tc>
        <w:tc>
          <w:tcPr>
            <w:tcW w:w="519" w:type="pct"/>
            <w:vAlign w:val="center"/>
          </w:tcPr>
          <w:p w14:paraId="3A143FC6">
            <w:pPr>
              <w:pStyle w:val="28"/>
              <w:bidi w:val="0"/>
            </w:pPr>
            <w:r>
              <w:t>37.9</w:t>
            </w:r>
          </w:p>
        </w:tc>
        <w:tc>
          <w:tcPr>
            <w:tcW w:w="519" w:type="pct"/>
            <w:vAlign w:val="center"/>
          </w:tcPr>
          <w:p w14:paraId="03B81947">
            <w:pPr>
              <w:pStyle w:val="28"/>
              <w:bidi w:val="0"/>
            </w:pPr>
            <w:r>
              <w:t>31.9</w:t>
            </w:r>
          </w:p>
        </w:tc>
        <w:tc>
          <w:tcPr>
            <w:tcW w:w="567" w:type="pct"/>
            <w:vAlign w:val="center"/>
          </w:tcPr>
          <w:p w14:paraId="4A5EC4B3">
            <w:pPr>
              <w:pStyle w:val="28"/>
              <w:bidi w:val="0"/>
            </w:pPr>
            <w:r>
              <w:t>25.9</w:t>
            </w:r>
          </w:p>
        </w:tc>
      </w:tr>
      <w:tr w14:paraId="73FCB7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restart"/>
            <w:vAlign w:val="center"/>
          </w:tcPr>
          <w:p w14:paraId="6B35DC6E">
            <w:pPr>
              <w:pStyle w:val="28"/>
              <w:bidi w:val="0"/>
            </w:pPr>
            <w:r>
              <w:t>涵闸等渠系建筑物工程</w:t>
            </w:r>
          </w:p>
        </w:tc>
        <w:tc>
          <w:tcPr>
            <w:tcW w:w="697" w:type="pct"/>
            <w:vAlign w:val="center"/>
          </w:tcPr>
          <w:p w14:paraId="4D1487CA">
            <w:pPr>
              <w:pStyle w:val="28"/>
              <w:bidi w:val="0"/>
            </w:pPr>
            <w:r>
              <w:t>履带拖拉机</w:t>
            </w:r>
          </w:p>
        </w:tc>
        <w:tc>
          <w:tcPr>
            <w:tcW w:w="513" w:type="pct"/>
            <w:vAlign w:val="center"/>
          </w:tcPr>
          <w:p w14:paraId="2A6E4EBA">
            <w:pPr>
              <w:pStyle w:val="28"/>
              <w:bidi w:val="0"/>
            </w:pPr>
            <w:r>
              <w:t>85</w:t>
            </w:r>
          </w:p>
        </w:tc>
        <w:tc>
          <w:tcPr>
            <w:tcW w:w="652" w:type="pct"/>
            <w:vAlign w:val="center"/>
          </w:tcPr>
          <w:p w14:paraId="181C5511">
            <w:pPr>
              <w:pStyle w:val="28"/>
              <w:bidi w:val="0"/>
            </w:pPr>
            <w:r>
              <w:t>59.0</w:t>
            </w:r>
          </w:p>
        </w:tc>
        <w:tc>
          <w:tcPr>
            <w:tcW w:w="590" w:type="pct"/>
            <w:vAlign w:val="center"/>
          </w:tcPr>
          <w:p w14:paraId="03BA1F62">
            <w:pPr>
              <w:pStyle w:val="28"/>
              <w:bidi w:val="0"/>
            </w:pPr>
            <w:r>
              <w:t>53.0</w:t>
            </w:r>
          </w:p>
        </w:tc>
        <w:tc>
          <w:tcPr>
            <w:tcW w:w="519" w:type="pct"/>
            <w:vAlign w:val="center"/>
          </w:tcPr>
          <w:p w14:paraId="108F8C89">
            <w:pPr>
              <w:pStyle w:val="28"/>
              <w:bidi w:val="0"/>
            </w:pPr>
            <w:r>
              <w:t>46.9</w:t>
            </w:r>
          </w:p>
        </w:tc>
        <w:tc>
          <w:tcPr>
            <w:tcW w:w="519" w:type="pct"/>
            <w:vAlign w:val="center"/>
          </w:tcPr>
          <w:p w14:paraId="65BA9A45">
            <w:pPr>
              <w:pStyle w:val="28"/>
              <w:bidi w:val="0"/>
            </w:pPr>
            <w:r>
              <w:t>40.9</w:t>
            </w:r>
          </w:p>
        </w:tc>
        <w:tc>
          <w:tcPr>
            <w:tcW w:w="519" w:type="pct"/>
            <w:vAlign w:val="center"/>
          </w:tcPr>
          <w:p w14:paraId="1B30E0C3">
            <w:pPr>
              <w:pStyle w:val="28"/>
              <w:bidi w:val="0"/>
            </w:pPr>
            <w:r>
              <w:t>34.9</w:t>
            </w:r>
          </w:p>
        </w:tc>
        <w:tc>
          <w:tcPr>
            <w:tcW w:w="567" w:type="pct"/>
            <w:vAlign w:val="center"/>
          </w:tcPr>
          <w:p w14:paraId="1C1764CE">
            <w:pPr>
              <w:pStyle w:val="28"/>
              <w:bidi w:val="0"/>
            </w:pPr>
            <w:r>
              <w:t>28.9</w:t>
            </w:r>
          </w:p>
        </w:tc>
      </w:tr>
      <w:tr w14:paraId="37688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4DE13FB6">
            <w:pPr>
              <w:pStyle w:val="28"/>
              <w:bidi w:val="0"/>
            </w:pPr>
          </w:p>
        </w:tc>
        <w:tc>
          <w:tcPr>
            <w:tcW w:w="697" w:type="pct"/>
            <w:vAlign w:val="center"/>
          </w:tcPr>
          <w:p w14:paraId="4FD86F4C">
            <w:pPr>
              <w:pStyle w:val="28"/>
              <w:bidi w:val="0"/>
            </w:pPr>
            <w:r>
              <w:t>液压破碎镐</w:t>
            </w:r>
          </w:p>
        </w:tc>
        <w:tc>
          <w:tcPr>
            <w:tcW w:w="513" w:type="pct"/>
            <w:vAlign w:val="center"/>
          </w:tcPr>
          <w:p w14:paraId="7CFEE096">
            <w:pPr>
              <w:pStyle w:val="28"/>
              <w:bidi w:val="0"/>
            </w:pPr>
            <w:r>
              <w:t>86</w:t>
            </w:r>
          </w:p>
        </w:tc>
        <w:tc>
          <w:tcPr>
            <w:tcW w:w="652" w:type="pct"/>
            <w:vAlign w:val="center"/>
          </w:tcPr>
          <w:p w14:paraId="0CD546B4">
            <w:pPr>
              <w:pStyle w:val="28"/>
              <w:bidi w:val="0"/>
            </w:pPr>
            <w:r>
              <w:t>60.0</w:t>
            </w:r>
          </w:p>
        </w:tc>
        <w:tc>
          <w:tcPr>
            <w:tcW w:w="590" w:type="pct"/>
            <w:vAlign w:val="center"/>
          </w:tcPr>
          <w:p w14:paraId="3014B1E5">
            <w:pPr>
              <w:pStyle w:val="28"/>
              <w:bidi w:val="0"/>
            </w:pPr>
            <w:r>
              <w:t>54.0</w:t>
            </w:r>
          </w:p>
        </w:tc>
        <w:tc>
          <w:tcPr>
            <w:tcW w:w="519" w:type="pct"/>
            <w:vAlign w:val="center"/>
          </w:tcPr>
          <w:p w14:paraId="18E1599D">
            <w:pPr>
              <w:pStyle w:val="28"/>
              <w:bidi w:val="0"/>
            </w:pPr>
            <w:r>
              <w:t>47.9</w:t>
            </w:r>
          </w:p>
        </w:tc>
        <w:tc>
          <w:tcPr>
            <w:tcW w:w="519" w:type="pct"/>
            <w:vAlign w:val="center"/>
          </w:tcPr>
          <w:p w14:paraId="3E5BD5E7">
            <w:pPr>
              <w:pStyle w:val="28"/>
              <w:bidi w:val="0"/>
            </w:pPr>
            <w:r>
              <w:t>41.9</w:t>
            </w:r>
          </w:p>
        </w:tc>
        <w:tc>
          <w:tcPr>
            <w:tcW w:w="519" w:type="pct"/>
            <w:vAlign w:val="center"/>
          </w:tcPr>
          <w:p w14:paraId="7796552A">
            <w:pPr>
              <w:pStyle w:val="28"/>
              <w:bidi w:val="0"/>
            </w:pPr>
            <w:r>
              <w:t>35.9</w:t>
            </w:r>
          </w:p>
        </w:tc>
        <w:tc>
          <w:tcPr>
            <w:tcW w:w="567" w:type="pct"/>
            <w:vAlign w:val="center"/>
          </w:tcPr>
          <w:p w14:paraId="06D2D5F2">
            <w:pPr>
              <w:pStyle w:val="28"/>
              <w:bidi w:val="0"/>
            </w:pPr>
            <w:r>
              <w:t>29.9</w:t>
            </w:r>
          </w:p>
        </w:tc>
      </w:tr>
      <w:tr w14:paraId="01029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2F813A8C">
            <w:pPr>
              <w:pStyle w:val="28"/>
              <w:bidi w:val="0"/>
            </w:pPr>
          </w:p>
        </w:tc>
        <w:tc>
          <w:tcPr>
            <w:tcW w:w="697" w:type="pct"/>
            <w:vAlign w:val="center"/>
          </w:tcPr>
          <w:p w14:paraId="3A1CD2F3">
            <w:pPr>
              <w:pStyle w:val="28"/>
              <w:bidi w:val="0"/>
            </w:pPr>
            <w:r>
              <w:t>反铲挖掘机</w:t>
            </w:r>
          </w:p>
        </w:tc>
        <w:tc>
          <w:tcPr>
            <w:tcW w:w="513" w:type="pct"/>
            <w:vAlign w:val="center"/>
          </w:tcPr>
          <w:p w14:paraId="4AAB5F26">
            <w:pPr>
              <w:pStyle w:val="28"/>
              <w:bidi w:val="0"/>
            </w:pPr>
            <w:r>
              <w:t>85</w:t>
            </w:r>
          </w:p>
        </w:tc>
        <w:tc>
          <w:tcPr>
            <w:tcW w:w="652" w:type="pct"/>
            <w:vAlign w:val="center"/>
          </w:tcPr>
          <w:p w14:paraId="07954E29">
            <w:pPr>
              <w:pStyle w:val="28"/>
              <w:bidi w:val="0"/>
            </w:pPr>
            <w:r>
              <w:t>59.0</w:t>
            </w:r>
          </w:p>
        </w:tc>
        <w:tc>
          <w:tcPr>
            <w:tcW w:w="590" w:type="pct"/>
            <w:vAlign w:val="center"/>
          </w:tcPr>
          <w:p w14:paraId="75CC4423">
            <w:pPr>
              <w:pStyle w:val="28"/>
              <w:bidi w:val="0"/>
            </w:pPr>
            <w:r>
              <w:t>53.0</w:t>
            </w:r>
          </w:p>
        </w:tc>
        <w:tc>
          <w:tcPr>
            <w:tcW w:w="519" w:type="pct"/>
            <w:vAlign w:val="center"/>
          </w:tcPr>
          <w:p w14:paraId="1235290B">
            <w:pPr>
              <w:pStyle w:val="28"/>
              <w:bidi w:val="0"/>
            </w:pPr>
            <w:r>
              <w:t>46.9</w:t>
            </w:r>
          </w:p>
        </w:tc>
        <w:tc>
          <w:tcPr>
            <w:tcW w:w="519" w:type="pct"/>
            <w:vAlign w:val="center"/>
          </w:tcPr>
          <w:p w14:paraId="00A06A90">
            <w:pPr>
              <w:pStyle w:val="28"/>
              <w:bidi w:val="0"/>
            </w:pPr>
            <w:r>
              <w:t>40.9</w:t>
            </w:r>
          </w:p>
        </w:tc>
        <w:tc>
          <w:tcPr>
            <w:tcW w:w="519" w:type="pct"/>
            <w:vAlign w:val="center"/>
          </w:tcPr>
          <w:p w14:paraId="14538F98">
            <w:pPr>
              <w:pStyle w:val="28"/>
              <w:bidi w:val="0"/>
            </w:pPr>
            <w:r>
              <w:t>34.9</w:t>
            </w:r>
          </w:p>
        </w:tc>
        <w:tc>
          <w:tcPr>
            <w:tcW w:w="567" w:type="pct"/>
            <w:vAlign w:val="center"/>
          </w:tcPr>
          <w:p w14:paraId="125BC2F1">
            <w:pPr>
              <w:pStyle w:val="28"/>
              <w:bidi w:val="0"/>
            </w:pPr>
            <w:r>
              <w:t>28.9</w:t>
            </w:r>
          </w:p>
        </w:tc>
      </w:tr>
      <w:tr w14:paraId="6B4A9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44DF761C">
            <w:pPr>
              <w:pStyle w:val="28"/>
              <w:bidi w:val="0"/>
            </w:pPr>
          </w:p>
        </w:tc>
        <w:tc>
          <w:tcPr>
            <w:tcW w:w="697" w:type="pct"/>
            <w:vAlign w:val="center"/>
          </w:tcPr>
          <w:p w14:paraId="4548E347">
            <w:pPr>
              <w:pStyle w:val="28"/>
              <w:bidi w:val="0"/>
            </w:pPr>
            <w:r>
              <w:t>循环转机</w:t>
            </w:r>
          </w:p>
        </w:tc>
        <w:tc>
          <w:tcPr>
            <w:tcW w:w="513" w:type="pct"/>
            <w:vAlign w:val="center"/>
          </w:tcPr>
          <w:p w14:paraId="1CEB25D1">
            <w:pPr>
              <w:pStyle w:val="28"/>
              <w:bidi w:val="0"/>
            </w:pPr>
            <w:r>
              <w:t>87</w:t>
            </w:r>
          </w:p>
        </w:tc>
        <w:tc>
          <w:tcPr>
            <w:tcW w:w="652" w:type="pct"/>
            <w:vAlign w:val="center"/>
          </w:tcPr>
          <w:p w14:paraId="354E663C">
            <w:pPr>
              <w:pStyle w:val="28"/>
              <w:bidi w:val="0"/>
            </w:pPr>
            <w:r>
              <w:t>61.0</w:t>
            </w:r>
          </w:p>
        </w:tc>
        <w:tc>
          <w:tcPr>
            <w:tcW w:w="590" w:type="pct"/>
            <w:vAlign w:val="center"/>
          </w:tcPr>
          <w:p w14:paraId="13CD2C80">
            <w:pPr>
              <w:pStyle w:val="28"/>
              <w:bidi w:val="0"/>
            </w:pPr>
            <w:r>
              <w:t>55.0</w:t>
            </w:r>
          </w:p>
        </w:tc>
        <w:tc>
          <w:tcPr>
            <w:tcW w:w="519" w:type="pct"/>
            <w:vAlign w:val="center"/>
          </w:tcPr>
          <w:p w14:paraId="7EDB2788">
            <w:pPr>
              <w:pStyle w:val="28"/>
              <w:bidi w:val="0"/>
            </w:pPr>
            <w:r>
              <w:t>48.9</w:t>
            </w:r>
          </w:p>
        </w:tc>
        <w:tc>
          <w:tcPr>
            <w:tcW w:w="519" w:type="pct"/>
            <w:vAlign w:val="center"/>
          </w:tcPr>
          <w:p w14:paraId="55D1EA8B">
            <w:pPr>
              <w:pStyle w:val="28"/>
              <w:bidi w:val="0"/>
            </w:pPr>
            <w:r>
              <w:t>42.9</w:t>
            </w:r>
          </w:p>
        </w:tc>
        <w:tc>
          <w:tcPr>
            <w:tcW w:w="519" w:type="pct"/>
            <w:vAlign w:val="center"/>
          </w:tcPr>
          <w:p w14:paraId="7DEEB235">
            <w:pPr>
              <w:pStyle w:val="28"/>
              <w:bidi w:val="0"/>
            </w:pPr>
            <w:r>
              <w:t>36.9</w:t>
            </w:r>
          </w:p>
        </w:tc>
        <w:tc>
          <w:tcPr>
            <w:tcW w:w="567" w:type="pct"/>
            <w:vAlign w:val="center"/>
          </w:tcPr>
          <w:p w14:paraId="68BFC1CB">
            <w:pPr>
              <w:pStyle w:val="28"/>
              <w:bidi w:val="0"/>
            </w:pPr>
            <w:r>
              <w:t>30.9</w:t>
            </w:r>
          </w:p>
        </w:tc>
      </w:tr>
      <w:tr w14:paraId="1F8C0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4C3C1900">
            <w:pPr>
              <w:pStyle w:val="28"/>
              <w:bidi w:val="0"/>
            </w:pPr>
          </w:p>
        </w:tc>
        <w:tc>
          <w:tcPr>
            <w:tcW w:w="697" w:type="pct"/>
            <w:vAlign w:val="center"/>
          </w:tcPr>
          <w:p w14:paraId="6790230E">
            <w:pPr>
              <w:pStyle w:val="28"/>
              <w:bidi w:val="0"/>
            </w:pPr>
            <w:r>
              <w:t>自卸汽车</w:t>
            </w:r>
          </w:p>
        </w:tc>
        <w:tc>
          <w:tcPr>
            <w:tcW w:w="513" w:type="pct"/>
            <w:vAlign w:val="center"/>
          </w:tcPr>
          <w:p w14:paraId="29544801">
            <w:pPr>
              <w:pStyle w:val="28"/>
              <w:bidi w:val="0"/>
            </w:pPr>
            <w:r>
              <w:t>82</w:t>
            </w:r>
          </w:p>
        </w:tc>
        <w:tc>
          <w:tcPr>
            <w:tcW w:w="652" w:type="pct"/>
            <w:vAlign w:val="center"/>
          </w:tcPr>
          <w:p w14:paraId="70A4D09C">
            <w:pPr>
              <w:pStyle w:val="28"/>
              <w:bidi w:val="0"/>
            </w:pPr>
            <w:r>
              <w:t>56.0</w:t>
            </w:r>
          </w:p>
        </w:tc>
        <w:tc>
          <w:tcPr>
            <w:tcW w:w="590" w:type="pct"/>
            <w:vAlign w:val="center"/>
          </w:tcPr>
          <w:p w14:paraId="1D5A4A23">
            <w:pPr>
              <w:pStyle w:val="28"/>
              <w:bidi w:val="0"/>
            </w:pPr>
            <w:r>
              <w:t>50.0</w:t>
            </w:r>
          </w:p>
        </w:tc>
        <w:tc>
          <w:tcPr>
            <w:tcW w:w="519" w:type="pct"/>
            <w:vAlign w:val="center"/>
          </w:tcPr>
          <w:p w14:paraId="4686563E">
            <w:pPr>
              <w:pStyle w:val="28"/>
              <w:bidi w:val="0"/>
            </w:pPr>
            <w:r>
              <w:t>43.9</w:t>
            </w:r>
          </w:p>
        </w:tc>
        <w:tc>
          <w:tcPr>
            <w:tcW w:w="519" w:type="pct"/>
            <w:vAlign w:val="center"/>
          </w:tcPr>
          <w:p w14:paraId="2267058B">
            <w:pPr>
              <w:pStyle w:val="28"/>
              <w:bidi w:val="0"/>
            </w:pPr>
            <w:r>
              <w:t>37.9</w:t>
            </w:r>
          </w:p>
        </w:tc>
        <w:tc>
          <w:tcPr>
            <w:tcW w:w="519" w:type="pct"/>
            <w:vAlign w:val="center"/>
          </w:tcPr>
          <w:p w14:paraId="0FFEAE68">
            <w:pPr>
              <w:pStyle w:val="28"/>
              <w:bidi w:val="0"/>
            </w:pPr>
            <w:r>
              <w:t>31.9</w:t>
            </w:r>
          </w:p>
        </w:tc>
        <w:tc>
          <w:tcPr>
            <w:tcW w:w="567" w:type="pct"/>
            <w:vAlign w:val="center"/>
          </w:tcPr>
          <w:p w14:paraId="33AEAE07">
            <w:pPr>
              <w:pStyle w:val="28"/>
              <w:bidi w:val="0"/>
            </w:pPr>
            <w:r>
              <w:t>25.9</w:t>
            </w:r>
          </w:p>
        </w:tc>
      </w:tr>
      <w:tr w14:paraId="7954D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7C0EBBCC">
            <w:pPr>
              <w:pStyle w:val="28"/>
              <w:bidi w:val="0"/>
            </w:pPr>
          </w:p>
        </w:tc>
        <w:tc>
          <w:tcPr>
            <w:tcW w:w="697" w:type="pct"/>
            <w:vAlign w:val="center"/>
          </w:tcPr>
          <w:p w14:paraId="392FDF72">
            <w:pPr>
              <w:pStyle w:val="28"/>
              <w:bidi w:val="0"/>
            </w:pPr>
            <w:r>
              <w:t>混凝土搅拌运输车</w:t>
            </w:r>
          </w:p>
        </w:tc>
        <w:tc>
          <w:tcPr>
            <w:tcW w:w="513" w:type="pct"/>
            <w:vAlign w:val="center"/>
          </w:tcPr>
          <w:p w14:paraId="442FC630">
            <w:pPr>
              <w:pStyle w:val="28"/>
              <w:bidi w:val="0"/>
            </w:pPr>
            <w:r>
              <w:t>85</w:t>
            </w:r>
          </w:p>
        </w:tc>
        <w:tc>
          <w:tcPr>
            <w:tcW w:w="652" w:type="pct"/>
            <w:vAlign w:val="center"/>
          </w:tcPr>
          <w:p w14:paraId="70393D3A">
            <w:pPr>
              <w:pStyle w:val="28"/>
              <w:bidi w:val="0"/>
            </w:pPr>
            <w:r>
              <w:t>59.0</w:t>
            </w:r>
          </w:p>
        </w:tc>
        <w:tc>
          <w:tcPr>
            <w:tcW w:w="590" w:type="pct"/>
            <w:vAlign w:val="center"/>
          </w:tcPr>
          <w:p w14:paraId="62720348">
            <w:pPr>
              <w:pStyle w:val="28"/>
              <w:bidi w:val="0"/>
            </w:pPr>
            <w:r>
              <w:t>53.0</w:t>
            </w:r>
          </w:p>
        </w:tc>
        <w:tc>
          <w:tcPr>
            <w:tcW w:w="519" w:type="pct"/>
            <w:vAlign w:val="center"/>
          </w:tcPr>
          <w:p w14:paraId="13626FDA">
            <w:pPr>
              <w:pStyle w:val="28"/>
              <w:bidi w:val="0"/>
            </w:pPr>
            <w:r>
              <w:t>46.9</w:t>
            </w:r>
          </w:p>
        </w:tc>
        <w:tc>
          <w:tcPr>
            <w:tcW w:w="519" w:type="pct"/>
            <w:vAlign w:val="center"/>
          </w:tcPr>
          <w:p w14:paraId="1E2D635C">
            <w:pPr>
              <w:pStyle w:val="28"/>
              <w:bidi w:val="0"/>
            </w:pPr>
            <w:r>
              <w:t>40.9</w:t>
            </w:r>
          </w:p>
        </w:tc>
        <w:tc>
          <w:tcPr>
            <w:tcW w:w="519" w:type="pct"/>
            <w:vAlign w:val="center"/>
          </w:tcPr>
          <w:p w14:paraId="0C5A5EEC">
            <w:pPr>
              <w:pStyle w:val="28"/>
              <w:bidi w:val="0"/>
            </w:pPr>
            <w:r>
              <w:t>34.9</w:t>
            </w:r>
          </w:p>
        </w:tc>
        <w:tc>
          <w:tcPr>
            <w:tcW w:w="567" w:type="pct"/>
            <w:vAlign w:val="center"/>
          </w:tcPr>
          <w:p w14:paraId="2F6F03B1">
            <w:pPr>
              <w:pStyle w:val="28"/>
              <w:bidi w:val="0"/>
            </w:pPr>
            <w:r>
              <w:t>28.9</w:t>
            </w:r>
          </w:p>
        </w:tc>
      </w:tr>
      <w:tr w14:paraId="65B3A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3CD9BB81">
            <w:pPr>
              <w:pStyle w:val="28"/>
              <w:bidi w:val="0"/>
            </w:pPr>
          </w:p>
        </w:tc>
        <w:tc>
          <w:tcPr>
            <w:tcW w:w="697" w:type="pct"/>
            <w:vAlign w:val="center"/>
          </w:tcPr>
          <w:p w14:paraId="776035A6">
            <w:pPr>
              <w:pStyle w:val="28"/>
              <w:bidi w:val="0"/>
            </w:pPr>
            <w:r>
              <w:t>混凝土输送泵</w:t>
            </w:r>
          </w:p>
        </w:tc>
        <w:tc>
          <w:tcPr>
            <w:tcW w:w="513" w:type="pct"/>
            <w:vAlign w:val="center"/>
          </w:tcPr>
          <w:p w14:paraId="1D1A50BF">
            <w:pPr>
              <w:pStyle w:val="28"/>
              <w:bidi w:val="0"/>
            </w:pPr>
            <w:r>
              <w:t>90</w:t>
            </w:r>
          </w:p>
        </w:tc>
        <w:tc>
          <w:tcPr>
            <w:tcW w:w="652" w:type="pct"/>
            <w:vAlign w:val="center"/>
          </w:tcPr>
          <w:p w14:paraId="30910DE9">
            <w:pPr>
              <w:pStyle w:val="28"/>
              <w:bidi w:val="0"/>
            </w:pPr>
            <w:r>
              <w:t>64.0</w:t>
            </w:r>
          </w:p>
        </w:tc>
        <w:tc>
          <w:tcPr>
            <w:tcW w:w="590" w:type="pct"/>
            <w:vAlign w:val="center"/>
          </w:tcPr>
          <w:p w14:paraId="39CC178D">
            <w:pPr>
              <w:pStyle w:val="28"/>
              <w:bidi w:val="0"/>
            </w:pPr>
            <w:r>
              <w:t>58.0</w:t>
            </w:r>
          </w:p>
        </w:tc>
        <w:tc>
          <w:tcPr>
            <w:tcW w:w="519" w:type="pct"/>
            <w:vAlign w:val="center"/>
          </w:tcPr>
          <w:p w14:paraId="6805B9EA">
            <w:pPr>
              <w:pStyle w:val="28"/>
              <w:bidi w:val="0"/>
            </w:pPr>
            <w:r>
              <w:t>51.9</w:t>
            </w:r>
          </w:p>
        </w:tc>
        <w:tc>
          <w:tcPr>
            <w:tcW w:w="519" w:type="pct"/>
            <w:vAlign w:val="center"/>
          </w:tcPr>
          <w:p w14:paraId="20A82515">
            <w:pPr>
              <w:pStyle w:val="28"/>
              <w:bidi w:val="0"/>
            </w:pPr>
            <w:r>
              <w:t>45.9</w:t>
            </w:r>
          </w:p>
        </w:tc>
        <w:tc>
          <w:tcPr>
            <w:tcW w:w="519" w:type="pct"/>
            <w:vAlign w:val="center"/>
          </w:tcPr>
          <w:p w14:paraId="11688C19">
            <w:pPr>
              <w:pStyle w:val="28"/>
              <w:bidi w:val="0"/>
            </w:pPr>
            <w:r>
              <w:t>39.9</w:t>
            </w:r>
          </w:p>
        </w:tc>
        <w:tc>
          <w:tcPr>
            <w:tcW w:w="567" w:type="pct"/>
            <w:vAlign w:val="center"/>
          </w:tcPr>
          <w:p w14:paraId="515AD90F">
            <w:pPr>
              <w:pStyle w:val="28"/>
              <w:bidi w:val="0"/>
            </w:pPr>
            <w:r>
              <w:t>33.9</w:t>
            </w:r>
          </w:p>
        </w:tc>
      </w:tr>
      <w:tr w14:paraId="6D6D9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4F53C9FC">
            <w:pPr>
              <w:pStyle w:val="28"/>
              <w:bidi w:val="0"/>
            </w:pPr>
          </w:p>
        </w:tc>
        <w:tc>
          <w:tcPr>
            <w:tcW w:w="697" w:type="pct"/>
            <w:vAlign w:val="center"/>
          </w:tcPr>
          <w:p w14:paraId="03FCDAA6">
            <w:pPr>
              <w:pStyle w:val="28"/>
              <w:bidi w:val="0"/>
            </w:pPr>
            <w:r>
              <w:t>电动振捣器</w:t>
            </w:r>
          </w:p>
        </w:tc>
        <w:tc>
          <w:tcPr>
            <w:tcW w:w="513" w:type="pct"/>
            <w:vAlign w:val="center"/>
          </w:tcPr>
          <w:p w14:paraId="7CCA7739">
            <w:pPr>
              <w:pStyle w:val="28"/>
              <w:bidi w:val="0"/>
            </w:pPr>
            <w:r>
              <w:t>86</w:t>
            </w:r>
          </w:p>
        </w:tc>
        <w:tc>
          <w:tcPr>
            <w:tcW w:w="652" w:type="pct"/>
            <w:vAlign w:val="center"/>
          </w:tcPr>
          <w:p w14:paraId="21EE3BAE">
            <w:pPr>
              <w:pStyle w:val="28"/>
              <w:bidi w:val="0"/>
            </w:pPr>
            <w:r>
              <w:t>60.0</w:t>
            </w:r>
          </w:p>
        </w:tc>
        <w:tc>
          <w:tcPr>
            <w:tcW w:w="590" w:type="pct"/>
            <w:vAlign w:val="center"/>
          </w:tcPr>
          <w:p w14:paraId="2B59F9E0">
            <w:pPr>
              <w:pStyle w:val="28"/>
              <w:bidi w:val="0"/>
            </w:pPr>
            <w:r>
              <w:t>54.0</w:t>
            </w:r>
          </w:p>
        </w:tc>
        <w:tc>
          <w:tcPr>
            <w:tcW w:w="519" w:type="pct"/>
            <w:vAlign w:val="center"/>
          </w:tcPr>
          <w:p w14:paraId="09D129CB">
            <w:pPr>
              <w:pStyle w:val="28"/>
              <w:bidi w:val="0"/>
            </w:pPr>
            <w:r>
              <w:t>47.9</w:t>
            </w:r>
          </w:p>
        </w:tc>
        <w:tc>
          <w:tcPr>
            <w:tcW w:w="519" w:type="pct"/>
            <w:vAlign w:val="center"/>
          </w:tcPr>
          <w:p w14:paraId="69447A6C">
            <w:pPr>
              <w:pStyle w:val="28"/>
              <w:bidi w:val="0"/>
            </w:pPr>
            <w:r>
              <w:t>41.9</w:t>
            </w:r>
          </w:p>
        </w:tc>
        <w:tc>
          <w:tcPr>
            <w:tcW w:w="519" w:type="pct"/>
            <w:vAlign w:val="center"/>
          </w:tcPr>
          <w:p w14:paraId="567C45C8">
            <w:pPr>
              <w:pStyle w:val="28"/>
              <w:bidi w:val="0"/>
            </w:pPr>
            <w:r>
              <w:t>35.9</w:t>
            </w:r>
          </w:p>
        </w:tc>
        <w:tc>
          <w:tcPr>
            <w:tcW w:w="567" w:type="pct"/>
            <w:vAlign w:val="center"/>
          </w:tcPr>
          <w:p w14:paraId="6BD8DAA1">
            <w:pPr>
              <w:pStyle w:val="28"/>
              <w:bidi w:val="0"/>
            </w:pPr>
            <w:r>
              <w:t>29.9</w:t>
            </w:r>
          </w:p>
        </w:tc>
      </w:tr>
      <w:tr w14:paraId="63B83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0D0BB9AA">
            <w:pPr>
              <w:pStyle w:val="28"/>
              <w:bidi w:val="0"/>
            </w:pPr>
          </w:p>
        </w:tc>
        <w:tc>
          <w:tcPr>
            <w:tcW w:w="697" w:type="pct"/>
            <w:vAlign w:val="center"/>
          </w:tcPr>
          <w:p w14:paraId="23B8009D">
            <w:pPr>
              <w:pStyle w:val="28"/>
              <w:bidi w:val="0"/>
            </w:pPr>
            <w:r>
              <w:t>起重机</w:t>
            </w:r>
          </w:p>
        </w:tc>
        <w:tc>
          <w:tcPr>
            <w:tcW w:w="513" w:type="pct"/>
            <w:vAlign w:val="center"/>
          </w:tcPr>
          <w:p w14:paraId="42EEB01C">
            <w:pPr>
              <w:pStyle w:val="28"/>
              <w:bidi w:val="0"/>
            </w:pPr>
            <w:r>
              <w:t>87</w:t>
            </w:r>
          </w:p>
        </w:tc>
        <w:tc>
          <w:tcPr>
            <w:tcW w:w="652" w:type="pct"/>
            <w:vAlign w:val="center"/>
          </w:tcPr>
          <w:p w14:paraId="014B9360">
            <w:pPr>
              <w:pStyle w:val="28"/>
              <w:bidi w:val="0"/>
            </w:pPr>
            <w:r>
              <w:t>61.0</w:t>
            </w:r>
          </w:p>
        </w:tc>
        <w:tc>
          <w:tcPr>
            <w:tcW w:w="590" w:type="pct"/>
            <w:vAlign w:val="center"/>
          </w:tcPr>
          <w:p w14:paraId="074F6BA2">
            <w:pPr>
              <w:pStyle w:val="28"/>
              <w:bidi w:val="0"/>
            </w:pPr>
            <w:r>
              <w:t>55.0</w:t>
            </w:r>
          </w:p>
        </w:tc>
        <w:tc>
          <w:tcPr>
            <w:tcW w:w="519" w:type="pct"/>
            <w:vAlign w:val="center"/>
          </w:tcPr>
          <w:p w14:paraId="0E05CBDD">
            <w:pPr>
              <w:pStyle w:val="28"/>
              <w:bidi w:val="0"/>
            </w:pPr>
            <w:r>
              <w:t>48.9</w:t>
            </w:r>
          </w:p>
        </w:tc>
        <w:tc>
          <w:tcPr>
            <w:tcW w:w="519" w:type="pct"/>
            <w:vAlign w:val="center"/>
          </w:tcPr>
          <w:p w14:paraId="76D2E45D">
            <w:pPr>
              <w:pStyle w:val="28"/>
              <w:bidi w:val="0"/>
            </w:pPr>
            <w:r>
              <w:t>42.9</w:t>
            </w:r>
          </w:p>
        </w:tc>
        <w:tc>
          <w:tcPr>
            <w:tcW w:w="519" w:type="pct"/>
            <w:vAlign w:val="center"/>
          </w:tcPr>
          <w:p w14:paraId="2D647F96">
            <w:pPr>
              <w:pStyle w:val="28"/>
              <w:bidi w:val="0"/>
            </w:pPr>
            <w:r>
              <w:t>36.9</w:t>
            </w:r>
          </w:p>
        </w:tc>
        <w:tc>
          <w:tcPr>
            <w:tcW w:w="567" w:type="pct"/>
            <w:vAlign w:val="center"/>
          </w:tcPr>
          <w:p w14:paraId="7452267A">
            <w:pPr>
              <w:pStyle w:val="28"/>
              <w:bidi w:val="0"/>
            </w:pPr>
            <w:r>
              <w:t>30.9</w:t>
            </w:r>
          </w:p>
        </w:tc>
      </w:tr>
      <w:tr w14:paraId="04F12C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restart"/>
            <w:vAlign w:val="center"/>
          </w:tcPr>
          <w:p w14:paraId="6F08607F">
            <w:pPr>
              <w:pStyle w:val="28"/>
              <w:bidi w:val="0"/>
            </w:pPr>
            <w:r>
              <w:t>堤顶防汛路</w:t>
            </w:r>
          </w:p>
        </w:tc>
        <w:tc>
          <w:tcPr>
            <w:tcW w:w="697" w:type="pct"/>
            <w:vAlign w:val="center"/>
          </w:tcPr>
          <w:p w14:paraId="242DB7FF">
            <w:pPr>
              <w:pStyle w:val="28"/>
              <w:bidi w:val="0"/>
            </w:pPr>
            <w:r>
              <w:t>反铲挖掘机</w:t>
            </w:r>
          </w:p>
        </w:tc>
        <w:tc>
          <w:tcPr>
            <w:tcW w:w="513" w:type="pct"/>
            <w:vAlign w:val="center"/>
          </w:tcPr>
          <w:p w14:paraId="43D9458B">
            <w:pPr>
              <w:pStyle w:val="28"/>
              <w:bidi w:val="0"/>
            </w:pPr>
            <w:r>
              <w:t>85</w:t>
            </w:r>
          </w:p>
        </w:tc>
        <w:tc>
          <w:tcPr>
            <w:tcW w:w="652" w:type="pct"/>
            <w:vAlign w:val="center"/>
          </w:tcPr>
          <w:p w14:paraId="0E22713C">
            <w:pPr>
              <w:pStyle w:val="28"/>
              <w:bidi w:val="0"/>
            </w:pPr>
            <w:r>
              <w:t>59.0</w:t>
            </w:r>
          </w:p>
        </w:tc>
        <w:tc>
          <w:tcPr>
            <w:tcW w:w="590" w:type="pct"/>
            <w:vAlign w:val="center"/>
          </w:tcPr>
          <w:p w14:paraId="05D30781">
            <w:pPr>
              <w:pStyle w:val="28"/>
              <w:bidi w:val="0"/>
            </w:pPr>
            <w:r>
              <w:t>53.0</w:t>
            </w:r>
          </w:p>
        </w:tc>
        <w:tc>
          <w:tcPr>
            <w:tcW w:w="519" w:type="pct"/>
            <w:vAlign w:val="center"/>
          </w:tcPr>
          <w:p w14:paraId="21F74887">
            <w:pPr>
              <w:pStyle w:val="28"/>
              <w:bidi w:val="0"/>
            </w:pPr>
            <w:r>
              <w:t>46.9</w:t>
            </w:r>
          </w:p>
        </w:tc>
        <w:tc>
          <w:tcPr>
            <w:tcW w:w="519" w:type="pct"/>
            <w:vAlign w:val="center"/>
          </w:tcPr>
          <w:p w14:paraId="22A0A249">
            <w:pPr>
              <w:pStyle w:val="28"/>
              <w:bidi w:val="0"/>
            </w:pPr>
            <w:r>
              <w:t>40.9</w:t>
            </w:r>
          </w:p>
        </w:tc>
        <w:tc>
          <w:tcPr>
            <w:tcW w:w="519" w:type="pct"/>
            <w:vAlign w:val="center"/>
          </w:tcPr>
          <w:p w14:paraId="5A5B1875">
            <w:pPr>
              <w:pStyle w:val="28"/>
              <w:bidi w:val="0"/>
            </w:pPr>
            <w:r>
              <w:t>34.9</w:t>
            </w:r>
          </w:p>
        </w:tc>
        <w:tc>
          <w:tcPr>
            <w:tcW w:w="567" w:type="pct"/>
            <w:vAlign w:val="center"/>
          </w:tcPr>
          <w:p w14:paraId="4B23B17B">
            <w:pPr>
              <w:pStyle w:val="28"/>
              <w:bidi w:val="0"/>
            </w:pPr>
            <w:r>
              <w:t>28.9</w:t>
            </w:r>
          </w:p>
        </w:tc>
      </w:tr>
      <w:tr w14:paraId="167AA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6B6FE61D">
            <w:pPr>
              <w:pStyle w:val="28"/>
              <w:bidi w:val="0"/>
            </w:pPr>
          </w:p>
        </w:tc>
        <w:tc>
          <w:tcPr>
            <w:tcW w:w="697" w:type="pct"/>
            <w:vAlign w:val="center"/>
          </w:tcPr>
          <w:p w14:paraId="13FCC2DE">
            <w:pPr>
              <w:pStyle w:val="28"/>
              <w:bidi w:val="0"/>
            </w:pPr>
            <w:r>
              <w:t>75KW推土机</w:t>
            </w:r>
          </w:p>
        </w:tc>
        <w:tc>
          <w:tcPr>
            <w:tcW w:w="513" w:type="pct"/>
            <w:vAlign w:val="center"/>
          </w:tcPr>
          <w:p w14:paraId="29D49B41">
            <w:pPr>
              <w:pStyle w:val="28"/>
              <w:bidi w:val="0"/>
            </w:pPr>
            <w:r>
              <w:t>82</w:t>
            </w:r>
          </w:p>
        </w:tc>
        <w:tc>
          <w:tcPr>
            <w:tcW w:w="652" w:type="pct"/>
            <w:vAlign w:val="center"/>
          </w:tcPr>
          <w:p w14:paraId="545C16BE">
            <w:pPr>
              <w:pStyle w:val="28"/>
              <w:bidi w:val="0"/>
            </w:pPr>
            <w:r>
              <w:t>56.0</w:t>
            </w:r>
          </w:p>
        </w:tc>
        <w:tc>
          <w:tcPr>
            <w:tcW w:w="590" w:type="pct"/>
            <w:vAlign w:val="center"/>
          </w:tcPr>
          <w:p w14:paraId="1A7E9220">
            <w:pPr>
              <w:pStyle w:val="28"/>
              <w:bidi w:val="0"/>
            </w:pPr>
            <w:r>
              <w:t>50.0</w:t>
            </w:r>
          </w:p>
        </w:tc>
        <w:tc>
          <w:tcPr>
            <w:tcW w:w="519" w:type="pct"/>
            <w:vAlign w:val="center"/>
          </w:tcPr>
          <w:p w14:paraId="175EAFF6">
            <w:pPr>
              <w:pStyle w:val="28"/>
              <w:bidi w:val="0"/>
            </w:pPr>
            <w:r>
              <w:t>43.9</w:t>
            </w:r>
          </w:p>
        </w:tc>
        <w:tc>
          <w:tcPr>
            <w:tcW w:w="519" w:type="pct"/>
            <w:vAlign w:val="center"/>
          </w:tcPr>
          <w:p w14:paraId="6F37A40A">
            <w:pPr>
              <w:pStyle w:val="28"/>
              <w:bidi w:val="0"/>
            </w:pPr>
            <w:r>
              <w:t>37.9</w:t>
            </w:r>
          </w:p>
        </w:tc>
        <w:tc>
          <w:tcPr>
            <w:tcW w:w="519" w:type="pct"/>
            <w:vAlign w:val="center"/>
          </w:tcPr>
          <w:p w14:paraId="74528E14">
            <w:pPr>
              <w:pStyle w:val="28"/>
              <w:bidi w:val="0"/>
            </w:pPr>
            <w:r>
              <w:t>31.9</w:t>
            </w:r>
          </w:p>
        </w:tc>
        <w:tc>
          <w:tcPr>
            <w:tcW w:w="567" w:type="pct"/>
            <w:vAlign w:val="center"/>
          </w:tcPr>
          <w:p w14:paraId="609B59C9">
            <w:pPr>
              <w:pStyle w:val="28"/>
              <w:bidi w:val="0"/>
            </w:pPr>
            <w:r>
              <w:t>25.9</w:t>
            </w:r>
          </w:p>
        </w:tc>
      </w:tr>
      <w:tr w14:paraId="4BFBA6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1A7A4D47">
            <w:pPr>
              <w:pStyle w:val="28"/>
              <w:bidi w:val="0"/>
            </w:pPr>
          </w:p>
        </w:tc>
        <w:tc>
          <w:tcPr>
            <w:tcW w:w="697" w:type="pct"/>
            <w:vAlign w:val="center"/>
          </w:tcPr>
          <w:p w14:paraId="3275F884">
            <w:pPr>
              <w:pStyle w:val="28"/>
              <w:bidi w:val="0"/>
            </w:pPr>
            <w:r>
              <w:t>自卸汽车</w:t>
            </w:r>
          </w:p>
        </w:tc>
        <w:tc>
          <w:tcPr>
            <w:tcW w:w="513" w:type="pct"/>
            <w:vAlign w:val="center"/>
          </w:tcPr>
          <w:p w14:paraId="14632516">
            <w:pPr>
              <w:pStyle w:val="28"/>
              <w:bidi w:val="0"/>
            </w:pPr>
            <w:r>
              <w:t>82</w:t>
            </w:r>
          </w:p>
        </w:tc>
        <w:tc>
          <w:tcPr>
            <w:tcW w:w="652" w:type="pct"/>
            <w:vAlign w:val="center"/>
          </w:tcPr>
          <w:p w14:paraId="271A6C35">
            <w:pPr>
              <w:pStyle w:val="28"/>
              <w:bidi w:val="0"/>
            </w:pPr>
            <w:r>
              <w:t>56.0</w:t>
            </w:r>
          </w:p>
        </w:tc>
        <w:tc>
          <w:tcPr>
            <w:tcW w:w="590" w:type="pct"/>
            <w:vAlign w:val="center"/>
          </w:tcPr>
          <w:p w14:paraId="438FDEF2">
            <w:pPr>
              <w:pStyle w:val="28"/>
              <w:bidi w:val="0"/>
            </w:pPr>
            <w:r>
              <w:t>50.0</w:t>
            </w:r>
          </w:p>
        </w:tc>
        <w:tc>
          <w:tcPr>
            <w:tcW w:w="519" w:type="pct"/>
            <w:vAlign w:val="center"/>
          </w:tcPr>
          <w:p w14:paraId="3AD6F61C">
            <w:pPr>
              <w:pStyle w:val="28"/>
              <w:bidi w:val="0"/>
            </w:pPr>
            <w:r>
              <w:t>43.9</w:t>
            </w:r>
          </w:p>
        </w:tc>
        <w:tc>
          <w:tcPr>
            <w:tcW w:w="519" w:type="pct"/>
            <w:vAlign w:val="center"/>
          </w:tcPr>
          <w:p w14:paraId="7B3CFF16">
            <w:pPr>
              <w:pStyle w:val="28"/>
              <w:bidi w:val="0"/>
            </w:pPr>
            <w:r>
              <w:t>37.9</w:t>
            </w:r>
          </w:p>
        </w:tc>
        <w:tc>
          <w:tcPr>
            <w:tcW w:w="519" w:type="pct"/>
            <w:vAlign w:val="center"/>
          </w:tcPr>
          <w:p w14:paraId="154AE692">
            <w:pPr>
              <w:pStyle w:val="28"/>
              <w:bidi w:val="0"/>
            </w:pPr>
            <w:r>
              <w:t>31.9</w:t>
            </w:r>
          </w:p>
        </w:tc>
        <w:tc>
          <w:tcPr>
            <w:tcW w:w="567" w:type="pct"/>
            <w:vAlign w:val="center"/>
          </w:tcPr>
          <w:p w14:paraId="5616BA6D">
            <w:pPr>
              <w:pStyle w:val="28"/>
              <w:bidi w:val="0"/>
            </w:pPr>
            <w:r>
              <w:t>25.9</w:t>
            </w:r>
          </w:p>
        </w:tc>
      </w:tr>
      <w:tr w14:paraId="345026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2281B28B">
            <w:pPr>
              <w:pStyle w:val="28"/>
              <w:bidi w:val="0"/>
            </w:pPr>
          </w:p>
        </w:tc>
        <w:tc>
          <w:tcPr>
            <w:tcW w:w="697" w:type="pct"/>
            <w:vAlign w:val="center"/>
          </w:tcPr>
          <w:p w14:paraId="1F1AAD40">
            <w:pPr>
              <w:pStyle w:val="28"/>
              <w:bidi w:val="0"/>
            </w:pPr>
            <w:r>
              <w:t>混凝土搅拌运输车</w:t>
            </w:r>
          </w:p>
        </w:tc>
        <w:tc>
          <w:tcPr>
            <w:tcW w:w="513" w:type="pct"/>
            <w:vAlign w:val="center"/>
          </w:tcPr>
          <w:p w14:paraId="1282668A">
            <w:pPr>
              <w:pStyle w:val="28"/>
              <w:bidi w:val="0"/>
            </w:pPr>
            <w:r>
              <w:t>85</w:t>
            </w:r>
          </w:p>
        </w:tc>
        <w:tc>
          <w:tcPr>
            <w:tcW w:w="652" w:type="pct"/>
            <w:vAlign w:val="center"/>
          </w:tcPr>
          <w:p w14:paraId="22A32137">
            <w:pPr>
              <w:pStyle w:val="28"/>
              <w:bidi w:val="0"/>
            </w:pPr>
            <w:r>
              <w:t>59.0</w:t>
            </w:r>
          </w:p>
        </w:tc>
        <w:tc>
          <w:tcPr>
            <w:tcW w:w="590" w:type="pct"/>
            <w:vAlign w:val="center"/>
          </w:tcPr>
          <w:p w14:paraId="088480B4">
            <w:pPr>
              <w:pStyle w:val="28"/>
              <w:bidi w:val="0"/>
            </w:pPr>
            <w:r>
              <w:t>53.0</w:t>
            </w:r>
          </w:p>
        </w:tc>
        <w:tc>
          <w:tcPr>
            <w:tcW w:w="519" w:type="pct"/>
            <w:vAlign w:val="center"/>
          </w:tcPr>
          <w:p w14:paraId="0AC831CF">
            <w:pPr>
              <w:pStyle w:val="28"/>
              <w:bidi w:val="0"/>
            </w:pPr>
            <w:r>
              <w:t>46.9</w:t>
            </w:r>
          </w:p>
        </w:tc>
        <w:tc>
          <w:tcPr>
            <w:tcW w:w="519" w:type="pct"/>
            <w:vAlign w:val="center"/>
          </w:tcPr>
          <w:p w14:paraId="286C31EC">
            <w:pPr>
              <w:pStyle w:val="28"/>
              <w:bidi w:val="0"/>
            </w:pPr>
            <w:r>
              <w:t>40.9</w:t>
            </w:r>
          </w:p>
        </w:tc>
        <w:tc>
          <w:tcPr>
            <w:tcW w:w="519" w:type="pct"/>
            <w:vAlign w:val="center"/>
          </w:tcPr>
          <w:p w14:paraId="000A4BFE">
            <w:pPr>
              <w:pStyle w:val="28"/>
              <w:bidi w:val="0"/>
            </w:pPr>
            <w:r>
              <w:t>34.9</w:t>
            </w:r>
          </w:p>
        </w:tc>
        <w:tc>
          <w:tcPr>
            <w:tcW w:w="567" w:type="pct"/>
            <w:vAlign w:val="center"/>
          </w:tcPr>
          <w:p w14:paraId="4FDF149C">
            <w:pPr>
              <w:pStyle w:val="28"/>
              <w:bidi w:val="0"/>
            </w:pPr>
            <w:r>
              <w:t>28.9</w:t>
            </w:r>
          </w:p>
        </w:tc>
      </w:tr>
      <w:tr w14:paraId="182B0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2434C4D6">
            <w:pPr>
              <w:pStyle w:val="28"/>
              <w:bidi w:val="0"/>
            </w:pPr>
          </w:p>
        </w:tc>
        <w:tc>
          <w:tcPr>
            <w:tcW w:w="697" w:type="pct"/>
            <w:vAlign w:val="center"/>
          </w:tcPr>
          <w:p w14:paraId="4560499C">
            <w:pPr>
              <w:pStyle w:val="28"/>
              <w:bidi w:val="0"/>
            </w:pPr>
            <w:r>
              <w:t>混凝土输送泵</w:t>
            </w:r>
          </w:p>
        </w:tc>
        <w:tc>
          <w:tcPr>
            <w:tcW w:w="513" w:type="pct"/>
            <w:vAlign w:val="center"/>
          </w:tcPr>
          <w:p w14:paraId="7689AD06">
            <w:pPr>
              <w:pStyle w:val="28"/>
              <w:bidi w:val="0"/>
            </w:pPr>
            <w:r>
              <w:t>90</w:t>
            </w:r>
          </w:p>
        </w:tc>
        <w:tc>
          <w:tcPr>
            <w:tcW w:w="652" w:type="pct"/>
            <w:vAlign w:val="center"/>
          </w:tcPr>
          <w:p w14:paraId="12D807D7">
            <w:pPr>
              <w:pStyle w:val="28"/>
              <w:bidi w:val="0"/>
            </w:pPr>
            <w:r>
              <w:t>64.0</w:t>
            </w:r>
          </w:p>
        </w:tc>
        <w:tc>
          <w:tcPr>
            <w:tcW w:w="590" w:type="pct"/>
            <w:vAlign w:val="center"/>
          </w:tcPr>
          <w:p w14:paraId="155F393B">
            <w:pPr>
              <w:pStyle w:val="28"/>
              <w:bidi w:val="0"/>
            </w:pPr>
            <w:r>
              <w:t>58.0</w:t>
            </w:r>
          </w:p>
        </w:tc>
        <w:tc>
          <w:tcPr>
            <w:tcW w:w="519" w:type="pct"/>
            <w:vAlign w:val="center"/>
          </w:tcPr>
          <w:p w14:paraId="219523DD">
            <w:pPr>
              <w:pStyle w:val="28"/>
              <w:bidi w:val="0"/>
            </w:pPr>
            <w:r>
              <w:t>51.9</w:t>
            </w:r>
          </w:p>
        </w:tc>
        <w:tc>
          <w:tcPr>
            <w:tcW w:w="519" w:type="pct"/>
            <w:vAlign w:val="center"/>
          </w:tcPr>
          <w:p w14:paraId="443CD712">
            <w:pPr>
              <w:pStyle w:val="28"/>
              <w:bidi w:val="0"/>
            </w:pPr>
            <w:r>
              <w:t>45.9</w:t>
            </w:r>
          </w:p>
        </w:tc>
        <w:tc>
          <w:tcPr>
            <w:tcW w:w="519" w:type="pct"/>
            <w:vAlign w:val="center"/>
          </w:tcPr>
          <w:p w14:paraId="7625CB4D">
            <w:pPr>
              <w:pStyle w:val="28"/>
              <w:bidi w:val="0"/>
            </w:pPr>
            <w:r>
              <w:t>39.9</w:t>
            </w:r>
          </w:p>
        </w:tc>
        <w:tc>
          <w:tcPr>
            <w:tcW w:w="567" w:type="pct"/>
            <w:vAlign w:val="center"/>
          </w:tcPr>
          <w:p w14:paraId="65D195C7">
            <w:pPr>
              <w:pStyle w:val="28"/>
              <w:bidi w:val="0"/>
            </w:pPr>
            <w:r>
              <w:t>33.9</w:t>
            </w:r>
          </w:p>
        </w:tc>
      </w:tr>
      <w:tr w14:paraId="5B0CC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1B5456F1">
            <w:pPr>
              <w:pStyle w:val="28"/>
              <w:bidi w:val="0"/>
            </w:pPr>
          </w:p>
        </w:tc>
        <w:tc>
          <w:tcPr>
            <w:tcW w:w="697" w:type="pct"/>
            <w:vAlign w:val="center"/>
          </w:tcPr>
          <w:p w14:paraId="16D71A4D">
            <w:pPr>
              <w:pStyle w:val="28"/>
              <w:bidi w:val="0"/>
            </w:pPr>
            <w:r>
              <w:t>电动振捣器</w:t>
            </w:r>
          </w:p>
        </w:tc>
        <w:tc>
          <w:tcPr>
            <w:tcW w:w="513" w:type="pct"/>
            <w:vAlign w:val="center"/>
          </w:tcPr>
          <w:p w14:paraId="03CBD381">
            <w:pPr>
              <w:pStyle w:val="28"/>
              <w:bidi w:val="0"/>
            </w:pPr>
            <w:r>
              <w:t>86</w:t>
            </w:r>
          </w:p>
        </w:tc>
        <w:tc>
          <w:tcPr>
            <w:tcW w:w="652" w:type="pct"/>
            <w:vAlign w:val="center"/>
          </w:tcPr>
          <w:p w14:paraId="3819435C">
            <w:pPr>
              <w:pStyle w:val="28"/>
              <w:bidi w:val="0"/>
            </w:pPr>
            <w:r>
              <w:t>60.0</w:t>
            </w:r>
          </w:p>
        </w:tc>
        <w:tc>
          <w:tcPr>
            <w:tcW w:w="590" w:type="pct"/>
            <w:vAlign w:val="center"/>
          </w:tcPr>
          <w:p w14:paraId="67DE9234">
            <w:pPr>
              <w:pStyle w:val="28"/>
              <w:bidi w:val="0"/>
            </w:pPr>
            <w:r>
              <w:t>54.0</w:t>
            </w:r>
          </w:p>
        </w:tc>
        <w:tc>
          <w:tcPr>
            <w:tcW w:w="519" w:type="pct"/>
            <w:vAlign w:val="center"/>
          </w:tcPr>
          <w:p w14:paraId="5B5B8501">
            <w:pPr>
              <w:pStyle w:val="28"/>
              <w:bidi w:val="0"/>
            </w:pPr>
            <w:r>
              <w:t>47.9</w:t>
            </w:r>
          </w:p>
        </w:tc>
        <w:tc>
          <w:tcPr>
            <w:tcW w:w="519" w:type="pct"/>
            <w:vAlign w:val="center"/>
          </w:tcPr>
          <w:p w14:paraId="0F64B2A4">
            <w:pPr>
              <w:pStyle w:val="28"/>
              <w:bidi w:val="0"/>
            </w:pPr>
            <w:r>
              <w:t>41.9</w:t>
            </w:r>
          </w:p>
        </w:tc>
        <w:tc>
          <w:tcPr>
            <w:tcW w:w="519" w:type="pct"/>
            <w:vAlign w:val="center"/>
          </w:tcPr>
          <w:p w14:paraId="3C9250C9">
            <w:pPr>
              <w:pStyle w:val="28"/>
              <w:bidi w:val="0"/>
            </w:pPr>
            <w:r>
              <w:t>35.9</w:t>
            </w:r>
          </w:p>
        </w:tc>
        <w:tc>
          <w:tcPr>
            <w:tcW w:w="567" w:type="pct"/>
            <w:vAlign w:val="center"/>
          </w:tcPr>
          <w:p w14:paraId="23E9C1AC">
            <w:pPr>
              <w:pStyle w:val="28"/>
              <w:bidi w:val="0"/>
            </w:pPr>
            <w:r>
              <w:t>29.9</w:t>
            </w:r>
          </w:p>
        </w:tc>
      </w:tr>
      <w:tr w14:paraId="1782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62BF7798">
            <w:pPr>
              <w:pStyle w:val="28"/>
              <w:bidi w:val="0"/>
            </w:pPr>
          </w:p>
        </w:tc>
        <w:tc>
          <w:tcPr>
            <w:tcW w:w="697" w:type="pct"/>
            <w:vAlign w:val="center"/>
          </w:tcPr>
          <w:p w14:paraId="48459C5A">
            <w:pPr>
              <w:pStyle w:val="28"/>
              <w:bidi w:val="0"/>
            </w:pPr>
            <w:r>
              <w:t>压路机</w:t>
            </w:r>
          </w:p>
        </w:tc>
        <w:tc>
          <w:tcPr>
            <w:tcW w:w="513" w:type="pct"/>
            <w:vAlign w:val="center"/>
          </w:tcPr>
          <w:p w14:paraId="77DA9E9C">
            <w:pPr>
              <w:pStyle w:val="28"/>
              <w:bidi w:val="0"/>
            </w:pPr>
            <w:r>
              <w:t>80</w:t>
            </w:r>
          </w:p>
        </w:tc>
        <w:tc>
          <w:tcPr>
            <w:tcW w:w="652" w:type="pct"/>
            <w:vAlign w:val="center"/>
          </w:tcPr>
          <w:p w14:paraId="76C4F8DF">
            <w:pPr>
              <w:pStyle w:val="28"/>
              <w:bidi w:val="0"/>
            </w:pPr>
            <w:r>
              <w:t>54.0</w:t>
            </w:r>
          </w:p>
        </w:tc>
        <w:tc>
          <w:tcPr>
            <w:tcW w:w="590" w:type="pct"/>
            <w:vAlign w:val="center"/>
          </w:tcPr>
          <w:p w14:paraId="52C62695">
            <w:pPr>
              <w:pStyle w:val="28"/>
              <w:bidi w:val="0"/>
            </w:pPr>
            <w:r>
              <w:t>48.0</w:t>
            </w:r>
          </w:p>
        </w:tc>
        <w:tc>
          <w:tcPr>
            <w:tcW w:w="519" w:type="pct"/>
            <w:vAlign w:val="center"/>
          </w:tcPr>
          <w:p w14:paraId="0AC887B5">
            <w:pPr>
              <w:pStyle w:val="28"/>
              <w:bidi w:val="0"/>
            </w:pPr>
            <w:r>
              <w:t>41.9</w:t>
            </w:r>
          </w:p>
        </w:tc>
        <w:tc>
          <w:tcPr>
            <w:tcW w:w="519" w:type="pct"/>
            <w:vAlign w:val="center"/>
          </w:tcPr>
          <w:p w14:paraId="0B97A7A3">
            <w:pPr>
              <w:pStyle w:val="28"/>
              <w:bidi w:val="0"/>
            </w:pPr>
            <w:r>
              <w:t>35.9</w:t>
            </w:r>
          </w:p>
        </w:tc>
        <w:tc>
          <w:tcPr>
            <w:tcW w:w="519" w:type="pct"/>
            <w:vAlign w:val="center"/>
          </w:tcPr>
          <w:p w14:paraId="25324768">
            <w:pPr>
              <w:pStyle w:val="28"/>
              <w:bidi w:val="0"/>
            </w:pPr>
            <w:r>
              <w:t>29.9</w:t>
            </w:r>
          </w:p>
        </w:tc>
        <w:tc>
          <w:tcPr>
            <w:tcW w:w="567" w:type="pct"/>
            <w:vAlign w:val="center"/>
          </w:tcPr>
          <w:p w14:paraId="587700EE">
            <w:pPr>
              <w:pStyle w:val="28"/>
              <w:bidi w:val="0"/>
            </w:pPr>
            <w:r>
              <w:t>23.9</w:t>
            </w:r>
          </w:p>
        </w:tc>
      </w:tr>
      <w:tr w14:paraId="2ACEB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6EC720B1">
            <w:pPr>
              <w:pStyle w:val="28"/>
              <w:bidi w:val="0"/>
            </w:pPr>
          </w:p>
        </w:tc>
        <w:tc>
          <w:tcPr>
            <w:tcW w:w="697" w:type="pct"/>
            <w:vAlign w:val="center"/>
          </w:tcPr>
          <w:p w14:paraId="63B81E68">
            <w:pPr>
              <w:pStyle w:val="28"/>
              <w:bidi w:val="0"/>
            </w:pPr>
            <w:r>
              <w:t>蛙夯机</w:t>
            </w:r>
          </w:p>
        </w:tc>
        <w:tc>
          <w:tcPr>
            <w:tcW w:w="513" w:type="pct"/>
            <w:vAlign w:val="center"/>
          </w:tcPr>
          <w:p w14:paraId="05A381C5">
            <w:pPr>
              <w:pStyle w:val="28"/>
              <w:bidi w:val="0"/>
            </w:pPr>
            <w:r>
              <w:t>85</w:t>
            </w:r>
          </w:p>
        </w:tc>
        <w:tc>
          <w:tcPr>
            <w:tcW w:w="652" w:type="pct"/>
            <w:vAlign w:val="center"/>
          </w:tcPr>
          <w:p w14:paraId="0BF5CC2A">
            <w:pPr>
              <w:pStyle w:val="28"/>
              <w:bidi w:val="0"/>
            </w:pPr>
            <w:r>
              <w:t>59.0</w:t>
            </w:r>
          </w:p>
        </w:tc>
        <w:tc>
          <w:tcPr>
            <w:tcW w:w="590" w:type="pct"/>
            <w:vAlign w:val="center"/>
          </w:tcPr>
          <w:p w14:paraId="43715E6A">
            <w:pPr>
              <w:pStyle w:val="28"/>
              <w:bidi w:val="0"/>
            </w:pPr>
            <w:r>
              <w:t>53.0</w:t>
            </w:r>
          </w:p>
        </w:tc>
        <w:tc>
          <w:tcPr>
            <w:tcW w:w="519" w:type="pct"/>
            <w:vAlign w:val="center"/>
          </w:tcPr>
          <w:p w14:paraId="1F6C28E3">
            <w:pPr>
              <w:pStyle w:val="28"/>
              <w:bidi w:val="0"/>
            </w:pPr>
            <w:r>
              <w:t>46.9</w:t>
            </w:r>
          </w:p>
        </w:tc>
        <w:tc>
          <w:tcPr>
            <w:tcW w:w="519" w:type="pct"/>
            <w:vAlign w:val="center"/>
          </w:tcPr>
          <w:p w14:paraId="12143570">
            <w:pPr>
              <w:pStyle w:val="28"/>
              <w:bidi w:val="0"/>
            </w:pPr>
            <w:r>
              <w:t>40.9</w:t>
            </w:r>
          </w:p>
        </w:tc>
        <w:tc>
          <w:tcPr>
            <w:tcW w:w="519" w:type="pct"/>
            <w:vAlign w:val="center"/>
          </w:tcPr>
          <w:p w14:paraId="3132FD2C">
            <w:pPr>
              <w:pStyle w:val="28"/>
              <w:bidi w:val="0"/>
            </w:pPr>
            <w:r>
              <w:t>34.9</w:t>
            </w:r>
          </w:p>
        </w:tc>
        <w:tc>
          <w:tcPr>
            <w:tcW w:w="567" w:type="pct"/>
            <w:vAlign w:val="center"/>
          </w:tcPr>
          <w:p w14:paraId="023E5A9D">
            <w:pPr>
              <w:pStyle w:val="28"/>
              <w:bidi w:val="0"/>
            </w:pPr>
            <w:r>
              <w:t>28.9</w:t>
            </w:r>
          </w:p>
        </w:tc>
      </w:tr>
      <w:tr w14:paraId="4D1F0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restart"/>
            <w:vAlign w:val="center"/>
          </w:tcPr>
          <w:p w14:paraId="13590B16">
            <w:pPr>
              <w:pStyle w:val="28"/>
              <w:bidi w:val="0"/>
            </w:pPr>
            <w:r>
              <w:t>施工布置区</w:t>
            </w:r>
          </w:p>
        </w:tc>
        <w:tc>
          <w:tcPr>
            <w:tcW w:w="697" w:type="pct"/>
            <w:vAlign w:val="center"/>
          </w:tcPr>
          <w:p w14:paraId="0CD84227">
            <w:pPr>
              <w:pStyle w:val="28"/>
              <w:bidi w:val="0"/>
            </w:pPr>
            <w:r>
              <w:t>钢筋剪切机</w:t>
            </w:r>
          </w:p>
        </w:tc>
        <w:tc>
          <w:tcPr>
            <w:tcW w:w="513" w:type="pct"/>
            <w:vAlign w:val="center"/>
          </w:tcPr>
          <w:p w14:paraId="5F0750B1">
            <w:pPr>
              <w:pStyle w:val="28"/>
              <w:bidi w:val="0"/>
            </w:pPr>
            <w:r>
              <w:t>80</w:t>
            </w:r>
          </w:p>
        </w:tc>
        <w:tc>
          <w:tcPr>
            <w:tcW w:w="652" w:type="pct"/>
            <w:vAlign w:val="center"/>
          </w:tcPr>
          <w:p w14:paraId="7A2B7F17">
            <w:pPr>
              <w:pStyle w:val="28"/>
              <w:bidi w:val="0"/>
            </w:pPr>
            <w:r>
              <w:t>54.0</w:t>
            </w:r>
          </w:p>
        </w:tc>
        <w:tc>
          <w:tcPr>
            <w:tcW w:w="590" w:type="pct"/>
            <w:vAlign w:val="center"/>
          </w:tcPr>
          <w:p w14:paraId="3A12AFC3">
            <w:pPr>
              <w:pStyle w:val="28"/>
              <w:bidi w:val="0"/>
            </w:pPr>
            <w:r>
              <w:t>48.0</w:t>
            </w:r>
          </w:p>
        </w:tc>
        <w:tc>
          <w:tcPr>
            <w:tcW w:w="519" w:type="pct"/>
            <w:vAlign w:val="center"/>
          </w:tcPr>
          <w:p w14:paraId="3CC346A6">
            <w:pPr>
              <w:pStyle w:val="28"/>
              <w:bidi w:val="0"/>
            </w:pPr>
            <w:r>
              <w:t>41.9</w:t>
            </w:r>
          </w:p>
        </w:tc>
        <w:tc>
          <w:tcPr>
            <w:tcW w:w="519" w:type="pct"/>
            <w:vAlign w:val="center"/>
          </w:tcPr>
          <w:p w14:paraId="7239D384">
            <w:pPr>
              <w:pStyle w:val="28"/>
              <w:bidi w:val="0"/>
            </w:pPr>
            <w:r>
              <w:t>35.9</w:t>
            </w:r>
          </w:p>
        </w:tc>
        <w:tc>
          <w:tcPr>
            <w:tcW w:w="519" w:type="pct"/>
            <w:vAlign w:val="center"/>
          </w:tcPr>
          <w:p w14:paraId="49816E92">
            <w:pPr>
              <w:pStyle w:val="28"/>
              <w:bidi w:val="0"/>
            </w:pPr>
            <w:r>
              <w:t>29.9</w:t>
            </w:r>
          </w:p>
        </w:tc>
        <w:tc>
          <w:tcPr>
            <w:tcW w:w="567" w:type="pct"/>
            <w:vAlign w:val="center"/>
          </w:tcPr>
          <w:p w14:paraId="11F0E725">
            <w:pPr>
              <w:pStyle w:val="28"/>
              <w:bidi w:val="0"/>
            </w:pPr>
            <w:r>
              <w:t>23.9</w:t>
            </w:r>
          </w:p>
        </w:tc>
      </w:tr>
      <w:tr w14:paraId="6E3C8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52562E30">
            <w:pPr>
              <w:pStyle w:val="28"/>
              <w:bidi w:val="0"/>
            </w:pPr>
          </w:p>
        </w:tc>
        <w:tc>
          <w:tcPr>
            <w:tcW w:w="697" w:type="pct"/>
            <w:vAlign w:val="center"/>
          </w:tcPr>
          <w:p w14:paraId="751D2F8F">
            <w:pPr>
              <w:pStyle w:val="28"/>
              <w:bidi w:val="0"/>
            </w:pPr>
            <w:r>
              <w:t>加工刨</w:t>
            </w:r>
          </w:p>
        </w:tc>
        <w:tc>
          <w:tcPr>
            <w:tcW w:w="513" w:type="pct"/>
            <w:vAlign w:val="center"/>
          </w:tcPr>
          <w:p w14:paraId="3DFACDE4">
            <w:pPr>
              <w:pStyle w:val="28"/>
              <w:bidi w:val="0"/>
            </w:pPr>
            <w:r>
              <w:t>78</w:t>
            </w:r>
          </w:p>
        </w:tc>
        <w:tc>
          <w:tcPr>
            <w:tcW w:w="652" w:type="pct"/>
            <w:vAlign w:val="center"/>
          </w:tcPr>
          <w:p w14:paraId="4C45D26A">
            <w:pPr>
              <w:pStyle w:val="28"/>
              <w:bidi w:val="0"/>
            </w:pPr>
            <w:r>
              <w:t>52.0</w:t>
            </w:r>
          </w:p>
        </w:tc>
        <w:tc>
          <w:tcPr>
            <w:tcW w:w="590" w:type="pct"/>
            <w:vAlign w:val="center"/>
          </w:tcPr>
          <w:p w14:paraId="0835FF8D">
            <w:pPr>
              <w:pStyle w:val="28"/>
              <w:bidi w:val="0"/>
            </w:pPr>
            <w:r>
              <w:t>46.0</w:t>
            </w:r>
          </w:p>
        </w:tc>
        <w:tc>
          <w:tcPr>
            <w:tcW w:w="519" w:type="pct"/>
            <w:vAlign w:val="center"/>
          </w:tcPr>
          <w:p w14:paraId="7CDEC80D">
            <w:pPr>
              <w:pStyle w:val="28"/>
              <w:bidi w:val="0"/>
            </w:pPr>
            <w:r>
              <w:t>39.9</w:t>
            </w:r>
          </w:p>
        </w:tc>
        <w:tc>
          <w:tcPr>
            <w:tcW w:w="519" w:type="pct"/>
            <w:vAlign w:val="center"/>
          </w:tcPr>
          <w:p w14:paraId="77F993F7">
            <w:pPr>
              <w:pStyle w:val="28"/>
              <w:bidi w:val="0"/>
            </w:pPr>
            <w:r>
              <w:t>33.9</w:t>
            </w:r>
          </w:p>
        </w:tc>
        <w:tc>
          <w:tcPr>
            <w:tcW w:w="519" w:type="pct"/>
            <w:vAlign w:val="center"/>
          </w:tcPr>
          <w:p w14:paraId="4BCB9E69">
            <w:pPr>
              <w:pStyle w:val="28"/>
              <w:bidi w:val="0"/>
            </w:pPr>
            <w:r>
              <w:t>27.9</w:t>
            </w:r>
          </w:p>
        </w:tc>
        <w:tc>
          <w:tcPr>
            <w:tcW w:w="567" w:type="pct"/>
            <w:vAlign w:val="center"/>
          </w:tcPr>
          <w:p w14:paraId="4E7DB44D">
            <w:pPr>
              <w:pStyle w:val="28"/>
              <w:bidi w:val="0"/>
            </w:pPr>
            <w:r>
              <w:t>21.9</w:t>
            </w:r>
          </w:p>
        </w:tc>
      </w:tr>
      <w:tr w14:paraId="3EAAB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0" w:type="pct"/>
            <w:vMerge w:val="continue"/>
            <w:vAlign w:val="center"/>
          </w:tcPr>
          <w:p w14:paraId="287F5704">
            <w:pPr>
              <w:pStyle w:val="28"/>
              <w:bidi w:val="0"/>
            </w:pPr>
          </w:p>
        </w:tc>
        <w:tc>
          <w:tcPr>
            <w:tcW w:w="697" w:type="pct"/>
            <w:vAlign w:val="center"/>
          </w:tcPr>
          <w:p w14:paraId="45C959D6">
            <w:pPr>
              <w:pStyle w:val="28"/>
              <w:bidi w:val="0"/>
            </w:pPr>
            <w:r>
              <w:t>搅拌设备</w:t>
            </w:r>
          </w:p>
        </w:tc>
        <w:tc>
          <w:tcPr>
            <w:tcW w:w="513" w:type="pct"/>
            <w:vAlign w:val="center"/>
          </w:tcPr>
          <w:p w14:paraId="22860C09">
            <w:pPr>
              <w:pStyle w:val="28"/>
              <w:bidi w:val="0"/>
            </w:pPr>
            <w:r>
              <w:t>90</w:t>
            </w:r>
          </w:p>
        </w:tc>
        <w:tc>
          <w:tcPr>
            <w:tcW w:w="652" w:type="pct"/>
            <w:vAlign w:val="center"/>
          </w:tcPr>
          <w:p w14:paraId="2545FDD1">
            <w:pPr>
              <w:pStyle w:val="28"/>
              <w:bidi w:val="0"/>
            </w:pPr>
            <w:r>
              <w:t>64.0</w:t>
            </w:r>
          </w:p>
        </w:tc>
        <w:tc>
          <w:tcPr>
            <w:tcW w:w="590" w:type="pct"/>
            <w:vAlign w:val="center"/>
          </w:tcPr>
          <w:p w14:paraId="3FC2AC16">
            <w:pPr>
              <w:pStyle w:val="28"/>
              <w:bidi w:val="0"/>
            </w:pPr>
            <w:r>
              <w:t>58.0</w:t>
            </w:r>
          </w:p>
        </w:tc>
        <w:tc>
          <w:tcPr>
            <w:tcW w:w="519" w:type="pct"/>
            <w:vAlign w:val="center"/>
          </w:tcPr>
          <w:p w14:paraId="1EC32C96">
            <w:pPr>
              <w:pStyle w:val="28"/>
              <w:bidi w:val="0"/>
            </w:pPr>
            <w:r>
              <w:t>51.9</w:t>
            </w:r>
          </w:p>
        </w:tc>
        <w:tc>
          <w:tcPr>
            <w:tcW w:w="519" w:type="pct"/>
            <w:vAlign w:val="center"/>
          </w:tcPr>
          <w:p w14:paraId="1EFD221F">
            <w:pPr>
              <w:pStyle w:val="28"/>
              <w:bidi w:val="0"/>
            </w:pPr>
            <w:r>
              <w:t>45.9</w:t>
            </w:r>
          </w:p>
        </w:tc>
        <w:tc>
          <w:tcPr>
            <w:tcW w:w="519" w:type="pct"/>
            <w:vAlign w:val="center"/>
          </w:tcPr>
          <w:p w14:paraId="1C90708D">
            <w:pPr>
              <w:pStyle w:val="28"/>
              <w:bidi w:val="0"/>
            </w:pPr>
            <w:r>
              <w:t>39.9</w:t>
            </w:r>
          </w:p>
        </w:tc>
        <w:tc>
          <w:tcPr>
            <w:tcW w:w="567" w:type="pct"/>
            <w:vAlign w:val="center"/>
          </w:tcPr>
          <w:p w14:paraId="68D80777">
            <w:pPr>
              <w:pStyle w:val="28"/>
              <w:bidi w:val="0"/>
            </w:pPr>
            <w:r>
              <w:t>33.9</w:t>
            </w:r>
          </w:p>
        </w:tc>
      </w:tr>
    </w:tbl>
    <w:p w14:paraId="2426CE7B">
      <w:pPr>
        <w:spacing w:line="240" w:lineRule="auto"/>
        <w:ind w:firstLine="482"/>
        <w:rPr>
          <w:rFonts w:cs="Times New Roman"/>
          <w:snapToGrid w:val="0"/>
          <w:color w:val="0000FF"/>
        </w:rPr>
      </w:pPr>
    </w:p>
    <w:p w14:paraId="31C31C2F">
      <w:pPr>
        <w:ind w:firstLine="482"/>
        <w:rPr>
          <w:rFonts w:cs="Times New Roman"/>
          <w:snapToGrid w:val="0"/>
          <w:color w:val="0000FF"/>
        </w:rPr>
      </w:pPr>
      <w:r>
        <w:rPr>
          <w:rFonts w:cs="Times New Roman"/>
          <w:snapToGrid w:val="0"/>
          <w:color w:val="0000FF"/>
        </w:rPr>
        <w:t>（2）不同施工工序机械综合影响预测</w:t>
      </w:r>
    </w:p>
    <w:p w14:paraId="4AE1ABFC">
      <w:pPr>
        <w:ind w:firstLine="480"/>
        <w:rPr>
          <w:rFonts w:cs="Times New Roman"/>
          <w:snapToGrid w:val="0"/>
          <w:color w:val="0000FF"/>
        </w:rPr>
      </w:pPr>
      <w:r>
        <w:rPr>
          <w:rFonts w:cs="Times New Roman"/>
          <w:snapToGrid w:val="0"/>
          <w:color w:val="0000FF"/>
        </w:rPr>
        <w:t>通过与设计单位沟通，初步拟定不同施工工序，错峰施工，因此仅考虑不同施工工序单独作用下的综合影响，不考虑不同施工工序同时施工的综合影响。考虑施工工序的施工机械的使用情况，存在多台机械共同作业的情况，因此，同一施工工序，噪声源组合在不同距离的噪声预测值，见下表所示。</w:t>
      </w:r>
    </w:p>
    <w:p w14:paraId="4CBEA4EB">
      <w:pPr>
        <w:jc w:val="center"/>
        <w:rPr>
          <w:rFonts w:cs="Times New Roman"/>
          <w:color w:val="0000FF"/>
        </w:rPr>
      </w:pPr>
      <w:r>
        <w:rPr>
          <w:rFonts w:cs="Times New Roman"/>
          <w:color w:val="0000FF"/>
        </w:rPr>
        <w:t>表</w:t>
      </w:r>
      <w:r>
        <w:rPr>
          <w:rFonts w:hint="eastAsia" w:cs="Times New Roman"/>
          <w:color w:val="0000FF"/>
        </w:rPr>
        <w:t>5-4</w:t>
      </w:r>
      <w:r>
        <w:rPr>
          <w:rFonts w:cs="Times New Roman"/>
          <w:color w:val="0000FF"/>
        </w:rPr>
        <w:t>-2  施工噪声源组合在不同距离的噪声预测值</w:t>
      </w:r>
    </w:p>
    <w:tbl>
      <w:tblPr>
        <w:tblStyle w:val="16"/>
        <w:tblW w:w="499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3"/>
        <w:gridCol w:w="1478"/>
        <w:gridCol w:w="1404"/>
        <w:gridCol w:w="1116"/>
        <w:gridCol w:w="853"/>
        <w:gridCol w:w="853"/>
        <w:gridCol w:w="853"/>
        <w:gridCol w:w="855"/>
        <w:gridCol w:w="903"/>
      </w:tblGrid>
      <w:tr w14:paraId="64FEE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14" w:type="pct"/>
            <w:vMerge w:val="restart"/>
            <w:vAlign w:val="center"/>
          </w:tcPr>
          <w:p w14:paraId="39685BF1">
            <w:pPr>
              <w:pStyle w:val="28"/>
              <w:bidi w:val="0"/>
            </w:pPr>
            <w:r>
              <w:t>施工工序</w:t>
            </w:r>
          </w:p>
        </w:tc>
        <w:tc>
          <w:tcPr>
            <w:tcW w:w="1554" w:type="pct"/>
            <w:gridSpan w:val="2"/>
            <w:vAlign w:val="center"/>
          </w:tcPr>
          <w:p w14:paraId="5E3B44B6">
            <w:pPr>
              <w:pStyle w:val="28"/>
              <w:bidi w:val="0"/>
            </w:pPr>
            <w:r>
              <w:t>同时作业的施工机械组合</w:t>
            </w:r>
          </w:p>
        </w:tc>
        <w:tc>
          <w:tcPr>
            <w:tcW w:w="2930" w:type="pct"/>
            <w:gridSpan w:val="6"/>
            <w:vAlign w:val="center"/>
          </w:tcPr>
          <w:p w14:paraId="27BA116D">
            <w:pPr>
              <w:pStyle w:val="28"/>
              <w:bidi w:val="0"/>
            </w:pPr>
            <w:r>
              <w:t>离声源不同距离的噪声贡献值（dB）</w:t>
            </w:r>
          </w:p>
        </w:tc>
      </w:tr>
      <w:tr w14:paraId="175EF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514" w:type="pct"/>
            <w:vMerge w:val="continue"/>
            <w:vAlign w:val="center"/>
          </w:tcPr>
          <w:p w14:paraId="0EE4BB30">
            <w:pPr>
              <w:pStyle w:val="28"/>
              <w:bidi w:val="0"/>
            </w:pPr>
          </w:p>
        </w:tc>
        <w:tc>
          <w:tcPr>
            <w:tcW w:w="797" w:type="pct"/>
            <w:vAlign w:val="center"/>
          </w:tcPr>
          <w:p w14:paraId="154190C7">
            <w:pPr>
              <w:pStyle w:val="28"/>
              <w:bidi w:val="0"/>
            </w:pPr>
            <w:r>
              <w:t>设备</w:t>
            </w:r>
          </w:p>
        </w:tc>
        <w:tc>
          <w:tcPr>
            <w:tcW w:w="757" w:type="pct"/>
            <w:vAlign w:val="center"/>
          </w:tcPr>
          <w:p w14:paraId="3A90451A">
            <w:pPr>
              <w:pStyle w:val="28"/>
              <w:bidi w:val="0"/>
            </w:pPr>
            <w:r>
              <w:t>设备源强（dB）</w:t>
            </w:r>
          </w:p>
        </w:tc>
        <w:tc>
          <w:tcPr>
            <w:tcW w:w="602" w:type="pct"/>
            <w:vAlign w:val="center"/>
          </w:tcPr>
          <w:p w14:paraId="3BC7694F">
            <w:pPr>
              <w:pStyle w:val="28"/>
              <w:bidi w:val="0"/>
            </w:pPr>
            <w:r>
              <w:t>10m</w:t>
            </w:r>
          </w:p>
        </w:tc>
        <w:tc>
          <w:tcPr>
            <w:tcW w:w="460" w:type="pct"/>
            <w:vAlign w:val="center"/>
          </w:tcPr>
          <w:p w14:paraId="71459EF5">
            <w:pPr>
              <w:pStyle w:val="28"/>
              <w:bidi w:val="0"/>
            </w:pPr>
            <w:r>
              <w:t>20m</w:t>
            </w:r>
          </w:p>
        </w:tc>
        <w:tc>
          <w:tcPr>
            <w:tcW w:w="460" w:type="pct"/>
            <w:vAlign w:val="center"/>
          </w:tcPr>
          <w:p w14:paraId="785F5C20">
            <w:pPr>
              <w:pStyle w:val="28"/>
              <w:bidi w:val="0"/>
            </w:pPr>
            <w:r>
              <w:t>40m</w:t>
            </w:r>
          </w:p>
        </w:tc>
        <w:tc>
          <w:tcPr>
            <w:tcW w:w="460" w:type="pct"/>
            <w:vAlign w:val="center"/>
          </w:tcPr>
          <w:p w14:paraId="310F339B">
            <w:pPr>
              <w:pStyle w:val="28"/>
              <w:bidi w:val="0"/>
            </w:pPr>
            <w:r>
              <w:t>60m</w:t>
            </w:r>
          </w:p>
        </w:tc>
        <w:tc>
          <w:tcPr>
            <w:tcW w:w="461" w:type="pct"/>
            <w:vAlign w:val="center"/>
          </w:tcPr>
          <w:p w14:paraId="4A29FB71">
            <w:pPr>
              <w:pStyle w:val="28"/>
              <w:bidi w:val="0"/>
            </w:pPr>
            <w:r>
              <w:t>80m</w:t>
            </w:r>
          </w:p>
        </w:tc>
        <w:tc>
          <w:tcPr>
            <w:tcW w:w="486" w:type="pct"/>
            <w:vAlign w:val="center"/>
          </w:tcPr>
          <w:p w14:paraId="161E2A97">
            <w:pPr>
              <w:pStyle w:val="28"/>
              <w:bidi w:val="0"/>
            </w:pPr>
            <w:r>
              <w:t>100m</w:t>
            </w:r>
          </w:p>
        </w:tc>
      </w:tr>
      <w:tr w14:paraId="0A7A20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 w:type="pct"/>
            <w:vAlign w:val="center"/>
          </w:tcPr>
          <w:p w14:paraId="3DF28BE2">
            <w:pPr>
              <w:pStyle w:val="28"/>
              <w:bidi w:val="0"/>
            </w:pPr>
            <w:r>
              <w:t>渠道清淤</w:t>
            </w:r>
          </w:p>
        </w:tc>
        <w:tc>
          <w:tcPr>
            <w:tcW w:w="797" w:type="pct"/>
            <w:vAlign w:val="center"/>
          </w:tcPr>
          <w:p w14:paraId="71DB3B1E">
            <w:pPr>
              <w:pStyle w:val="28"/>
              <w:bidi w:val="0"/>
            </w:pPr>
            <w:r>
              <w:t>反铲挖掘机×2</w:t>
            </w:r>
          </w:p>
          <w:p w14:paraId="0B5DAED8">
            <w:pPr>
              <w:pStyle w:val="28"/>
              <w:bidi w:val="0"/>
            </w:pPr>
            <w:r>
              <w:t>铲运机×1</w:t>
            </w:r>
          </w:p>
          <w:p w14:paraId="170CF2A0">
            <w:pPr>
              <w:pStyle w:val="28"/>
              <w:bidi w:val="0"/>
            </w:pPr>
            <w:r>
              <w:t>推土机×1</w:t>
            </w:r>
          </w:p>
          <w:p w14:paraId="60276431">
            <w:pPr>
              <w:pStyle w:val="28"/>
              <w:bidi w:val="0"/>
            </w:pPr>
            <w:r>
              <w:t>自卸汽车×1</w:t>
            </w:r>
          </w:p>
        </w:tc>
        <w:tc>
          <w:tcPr>
            <w:tcW w:w="757" w:type="pct"/>
            <w:vAlign w:val="center"/>
          </w:tcPr>
          <w:p w14:paraId="7819696A">
            <w:pPr>
              <w:pStyle w:val="28"/>
              <w:bidi w:val="0"/>
            </w:pPr>
            <w:r>
              <w:t>90.2</w:t>
            </w:r>
          </w:p>
        </w:tc>
        <w:tc>
          <w:tcPr>
            <w:tcW w:w="602" w:type="pct"/>
            <w:vAlign w:val="center"/>
          </w:tcPr>
          <w:p w14:paraId="58692630">
            <w:pPr>
              <w:pStyle w:val="28"/>
              <w:bidi w:val="0"/>
            </w:pPr>
            <w:r>
              <w:t>70.2</w:t>
            </w:r>
          </w:p>
        </w:tc>
        <w:tc>
          <w:tcPr>
            <w:tcW w:w="460" w:type="pct"/>
            <w:vAlign w:val="center"/>
          </w:tcPr>
          <w:p w14:paraId="418B6405">
            <w:pPr>
              <w:pStyle w:val="28"/>
              <w:bidi w:val="0"/>
            </w:pPr>
            <w:r>
              <w:t>64.2</w:t>
            </w:r>
          </w:p>
        </w:tc>
        <w:tc>
          <w:tcPr>
            <w:tcW w:w="460" w:type="pct"/>
            <w:vAlign w:val="center"/>
          </w:tcPr>
          <w:p w14:paraId="57B5F45A">
            <w:pPr>
              <w:pStyle w:val="28"/>
              <w:bidi w:val="0"/>
            </w:pPr>
            <w:r>
              <w:t>58.2</w:t>
            </w:r>
          </w:p>
        </w:tc>
        <w:tc>
          <w:tcPr>
            <w:tcW w:w="460" w:type="pct"/>
            <w:vAlign w:val="center"/>
          </w:tcPr>
          <w:p w14:paraId="07A284A5">
            <w:pPr>
              <w:pStyle w:val="28"/>
              <w:bidi w:val="0"/>
            </w:pPr>
            <w:r>
              <w:t>54.7</w:t>
            </w:r>
          </w:p>
        </w:tc>
        <w:tc>
          <w:tcPr>
            <w:tcW w:w="461" w:type="pct"/>
            <w:vAlign w:val="center"/>
          </w:tcPr>
          <w:p w14:paraId="3DC4EAC0">
            <w:pPr>
              <w:pStyle w:val="28"/>
              <w:bidi w:val="0"/>
            </w:pPr>
            <w:r>
              <w:t>52.2</w:t>
            </w:r>
          </w:p>
        </w:tc>
        <w:tc>
          <w:tcPr>
            <w:tcW w:w="486" w:type="pct"/>
            <w:vAlign w:val="center"/>
          </w:tcPr>
          <w:p w14:paraId="46805961">
            <w:pPr>
              <w:pStyle w:val="28"/>
              <w:bidi w:val="0"/>
            </w:pPr>
            <w:r>
              <w:t>50.2</w:t>
            </w:r>
          </w:p>
        </w:tc>
      </w:tr>
      <w:tr w14:paraId="2617BA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 w:type="pct"/>
            <w:vAlign w:val="center"/>
          </w:tcPr>
          <w:p w14:paraId="7C5F8E35">
            <w:pPr>
              <w:pStyle w:val="28"/>
              <w:bidi w:val="0"/>
            </w:pPr>
            <w:r>
              <w:t>渠堤加培</w:t>
            </w:r>
          </w:p>
        </w:tc>
        <w:tc>
          <w:tcPr>
            <w:tcW w:w="797" w:type="pct"/>
            <w:vAlign w:val="center"/>
          </w:tcPr>
          <w:p w14:paraId="354CABAC">
            <w:pPr>
              <w:pStyle w:val="28"/>
              <w:bidi w:val="0"/>
            </w:pPr>
            <w:r>
              <w:t>反铲挖掘机×2</w:t>
            </w:r>
          </w:p>
          <w:p w14:paraId="02BD3C07">
            <w:pPr>
              <w:pStyle w:val="28"/>
              <w:bidi w:val="0"/>
            </w:pPr>
            <w:r>
              <w:t>拖拉机×1</w:t>
            </w:r>
          </w:p>
          <w:p w14:paraId="2205FB02">
            <w:pPr>
              <w:pStyle w:val="28"/>
              <w:bidi w:val="0"/>
            </w:pPr>
            <w:r>
              <w:t>自卸汽车×1</w:t>
            </w:r>
          </w:p>
          <w:p w14:paraId="6181BE28">
            <w:pPr>
              <w:pStyle w:val="28"/>
              <w:bidi w:val="0"/>
            </w:pPr>
            <w:r>
              <w:t>蛙夯×1</w:t>
            </w:r>
          </w:p>
        </w:tc>
        <w:tc>
          <w:tcPr>
            <w:tcW w:w="757" w:type="pct"/>
            <w:vAlign w:val="center"/>
          </w:tcPr>
          <w:p w14:paraId="261CD4DC">
            <w:pPr>
              <w:pStyle w:val="28"/>
              <w:bidi w:val="0"/>
            </w:pPr>
            <w:r>
              <w:t>91.5</w:t>
            </w:r>
          </w:p>
        </w:tc>
        <w:tc>
          <w:tcPr>
            <w:tcW w:w="602" w:type="pct"/>
            <w:vAlign w:val="center"/>
          </w:tcPr>
          <w:p w14:paraId="31DB8D7C">
            <w:pPr>
              <w:pStyle w:val="28"/>
              <w:bidi w:val="0"/>
            </w:pPr>
            <w:r>
              <w:t>71.5</w:t>
            </w:r>
          </w:p>
        </w:tc>
        <w:tc>
          <w:tcPr>
            <w:tcW w:w="460" w:type="pct"/>
            <w:vAlign w:val="center"/>
          </w:tcPr>
          <w:p w14:paraId="723AFA44">
            <w:pPr>
              <w:pStyle w:val="28"/>
              <w:bidi w:val="0"/>
            </w:pPr>
            <w:r>
              <w:t>65.5</w:t>
            </w:r>
          </w:p>
        </w:tc>
        <w:tc>
          <w:tcPr>
            <w:tcW w:w="460" w:type="pct"/>
            <w:vAlign w:val="center"/>
          </w:tcPr>
          <w:p w14:paraId="4430CC6B">
            <w:pPr>
              <w:pStyle w:val="28"/>
              <w:bidi w:val="0"/>
            </w:pPr>
            <w:r>
              <w:t>59.5</w:t>
            </w:r>
          </w:p>
        </w:tc>
        <w:tc>
          <w:tcPr>
            <w:tcW w:w="460" w:type="pct"/>
            <w:vAlign w:val="center"/>
          </w:tcPr>
          <w:p w14:paraId="2241D05A">
            <w:pPr>
              <w:pStyle w:val="28"/>
              <w:bidi w:val="0"/>
            </w:pPr>
            <w:r>
              <w:t>56.0</w:t>
            </w:r>
          </w:p>
        </w:tc>
        <w:tc>
          <w:tcPr>
            <w:tcW w:w="461" w:type="pct"/>
            <w:vAlign w:val="center"/>
          </w:tcPr>
          <w:p w14:paraId="674F42CA">
            <w:pPr>
              <w:pStyle w:val="28"/>
              <w:bidi w:val="0"/>
            </w:pPr>
            <w:r>
              <w:t>53.5</w:t>
            </w:r>
          </w:p>
        </w:tc>
        <w:tc>
          <w:tcPr>
            <w:tcW w:w="486" w:type="pct"/>
            <w:vAlign w:val="center"/>
          </w:tcPr>
          <w:p w14:paraId="6F9281A2">
            <w:pPr>
              <w:pStyle w:val="28"/>
              <w:bidi w:val="0"/>
            </w:pPr>
            <w:r>
              <w:t>51.5</w:t>
            </w:r>
          </w:p>
        </w:tc>
      </w:tr>
      <w:tr w14:paraId="72E42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 w:type="pct"/>
            <w:vAlign w:val="center"/>
          </w:tcPr>
          <w:p w14:paraId="4381CE76">
            <w:pPr>
              <w:pStyle w:val="28"/>
              <w:bidi w:val="0"/>
            </w:pPr>
            <w:r>
              <w:t>切岭段整治</w:t>
            </w:r>
          </w:p>
        </w:tc>
        <w:tc>
          <w:tcPr>
            <w:tcW w:w="797" w:type="pct"/>
            <w:vAlign w:val="center"/>
          </w:tcPr>
          <w:p w14:paraId="6ACA7E23">
            <w:pPr>
              <w:pStyle w:val="28"/>
              <w:bidi w:val="0"/>
            </w:pPr>
            <w:r>
              <w:t>反铲挖掘机×2</w:t>
            </w:r>
          </w:p>
          <w:p w14:paraId="17D12AA2">
            <w:pPr>
              <w:pStyle w:val="28"/>
              <w:bidi w:val="0"/>
            </w:pPr>
            <w:r>
              <w:t>铲运机×1</w:t>
            </w:r>
          </w:p>
          <w:p w14:paraId="2FAC6B84">
            <w:pPr>
              <w:pStyle w:val="28"/>
              <w:bidi w:val="0"/>
            </w:pPr>
            <w:r>
              <w:t>推土机×1</w:t>
            </w:r>
          </w:p>
          <w:p w14:paraId="3EE0E7F7">
            <w:pPr>
              <w:pStyle w:val="28"/>
              <w:bidi w:val="0"/>
            </w:pPr>
            <w:r>
              <w:t>自卸汽车×1</w:t>
            </w:r>
          </w:p>
        </w:tc>
        <w:tc>
          <w:tcPr>
            <w:tcW w:w="757" w:type="pct"/>
            <w:vAlign w:val="center"/>
          </w:tcPr>
          <w:p w14:paraId="58C797C1">
            <w:pPr>
              <w:pStyle w:val="28"/>
              <w:bidi w:val="0"/>
            </w:pPr>
            <w:r>
              <w:t>90.2</w:t>
            </w:r>
          </w:p>
        </w:tc>
        <w:tc>
          <w:tcPr>
            <w:tcW w:w="602" w:type="pct"/>
            <w:vAlign w:val="center"/>
          </w:tcPr>
          <w:p w14:paraId="5039450C">
            <w:pPr>
              <w:pStyle w:val="28"/>
              <w:bidi w:val="0"/>
            </w:pPr>
            <w:r>
              <w:t>70.2</w:t>
            </w:r>
          </w:p>
        </w:tc>
        <w:tc>
          <w:tcPr>
            <w:tcW w:w="460" w:type="pct"/>
            <w:vAlign w:val="center"/>
          </w:tcPr>
          <w:p w14:paraId="560290B2">
            <w:pPr>
              <w:pStyle w:val="28"/>
              <w:bidi w:val="0"/>
            </w:pPr>
            <w:r>
              <w:t>64.2</w:t>
            </w:r>
          </w:p>
        </w:tc>
        <w:tc>
          <w:tcPr>
            <w:tcW w:w="460" w:type="pct"/>
            <w:vAlign w:val="center"/>
          </w:tcPr>
          <w:p w14:paraId="52DFC890">
            <w:pPr>
              <w:pStyle w:val="28"/>
              <w:bidi w:val="0"/>
            </w:pPr>
            <w:r>
              <w:t>58.2</w:t>
            </w:r>
          </w:p>
        </w:tc>
        <w:tc>
          <w:tcPr>
            <w:tcW w:w="460" w:type="pct"/>
            <w:vAlign w:val="center"/>
          </w:tcPr>
          <w:p w14:paraId="47FC689A">
            <w:pPr>
              <w:pStyle w:val="28"/>
              <w:bidi w:val="0"/>
            </w:pPr>
            <w:r>
              <w:t>54.7</w:t>
            </w:r>
          </w:p>
        </w:tc>
        <w:tc>
          <w:tcPr>
            <w:tcW w:w="461" w:type="pct"/>
            <w:vAlign w:val="center"/>
          </w:tcPr>
          <w:p w14:paraId="48A2AEF0">
            <w:pPr>
              <w:pStyle w:val="28"/>
              <w:bidi w:val="0"/>
            </w:pPr>
            <w:r>
              <w:t>52.2</w:t>
            </w:r>
          </w:p>
        </w:tc>
        <w:tc>
          <w:tcPr>
            <w:tcW w:w="486" w:type="pct"/>
            <w:vAlign w:val="center"/>
          </w:tcPr>
          <w:p w14:paraId="5DDFD4BC">
            <w:pPr>
              <w:pStyle w:val="28"/>
              <w:bidi w:val="0"/>
            </w:pPr>
            <w:r>
              <w:t>50.2</w:t>
            </w:r>
          </w:p>
        </w:tc>
      </w:tr>
      <w:tr w14:paraId="0E724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 w:type="pct"/>
            <w:vAlign w:val="center"/>
          </w:tcPr>
          <w:p w14:paraId="62ADE4EC">
            <w:pPr>
              <w:pStyle w:val="28"/>
              <w:bidi w:val="0"/>
            </w:pPr>
            <w:r>
              <w:t>渠道护砌</w:t>
            </w:r>
          </w:p>
        </w:tc>
        <w:tc>
          <w:tcPr>
            <w:tcW w:w="797" w:type="pct"/>
            <w:vAlign w:val="center"/>
          </w:tcPr>
          <w:p w14:paraId="6C0DFA02">
            <w:pPr>
              <w:pStyle w:val="28"/>
              <w:bidi w:val="0"/>
            </w:pPr>
            <w:r>
              <w:t>反铲挖掘机×1</w:t>
            </w:r>
          </w:p>
          <w:p w14:paraId="76957145">
            <w:pPr>
              <w:pStyle w:val="28"/>
              <w:bidi w:val="0"/>
            </w:pPr>
            <w:r>
              <w:t>铲运机×1</w:t>
            </w:r>
          </w:p>
          <w:p w14:paraId="10F9B331">
            <w:pPr>
              <w:pStyle w:val="28"/>
              <w:bidi w:val="0"/>
            </w:pPr>
            <w:r>
              <w:t>推土机×1</w:t>
            </w:r>
          </w:p>
          <w:p w14:paraId="64EC4450">
            <w:pPr>
              <w:pStyle w:val="28"/>
              <w:bidi w:val="0"/>
            </w:pPr>
            <w:r>
              <w:t>打夯机×1</w:t>
            </w:r>
          </w:p>
          <w:p w14:paraId="4CB6E561">
            <w:pPr>
              <w:pStyle w:val="28"/>
              <w:bidi w:val="0"/>
            </w:pPr>
            <w:r>
              <w:t>混凝土搅拌车×1</w:t>
            </w:r>
          </w:p>
          <w:p w14:paraId="3FF827C5">
            <w:pPr>
              <w:pStyle w:val="28"/>
              <w:bidi w:val="0"/>
            </w:pPr>
            <w:r>
              <w:t>电动振捣器×1</w:t>
            </w:r>
          </w:p>
          <w:p w14:paraId="5B62B41B">
            <w:pPr>
              <w:pStyle w:val="28"/>
              <w:bidi w:val="0"/>
            </w:pPr>
            <w:r>
              <w:t>机动翻斗车×1</w:t>
            </w:r>
          </w:p>
        </w:tc>
        <w:tc>
          <w:tcPr>
            <w:tcW w:w="757" w:type="pct"/>
            <w:vAlign w:val="center"/>
          </w:tcPr>
          <w:p w14:paraId="68F5D688">
            <w:pPr>
              <w:pStyle w:val="28"/>
              <w:bidi w:val="0"/>
            </w:pPr>
            <w:r>
              <w:t>91.9</w:t>
            </w:r>
          </w:p>
        </w:tc>
        <w:tc>
          <w:tcPr>
            <w:tcW w:w="602" w:type="pct"/>
            <w:vAlign w:val="center"/>
          </w:tcPr>
          <w:p w14:paraId="6CA27436">
            <w:pPr>
              <w:pStyle w:val="28"/>
              <w:bidi w:val="0"/>
            </w:pPr>
            <w:r>
              <w:t>71.6</w:t>
            </w:r>
          </w:p>
        </w:tc>
        <w:tc>
          <w:tcPr>
            <w:tcW w:w="460" w:type="pct"/>
            <w:vAlign w:val="center"/>
          </w:tcPr>
          <w:p w14:paraId="79CC4E41">
            <w:pPr>
              <w:pStyle w:val="28"/>
              <w:bidi w:val="0"/>
            </w:pPr>
            <w:r>
              <w:t>65.5</w:t>
            </w:r>
          </w:p>
        </w:tc>
        <w:tc>
          <w:tcPr>
            <w:tcW w:w="460" w:type="pct"/>
            <w:vAlign w:val="center"/>
          </w:tcPr>
          <w:p w14:paraId="3A3BA4FC">
            <w:pPr>
              <w:pStyle w:val="28"/>
              <w:bidi w:val="0"/>
            </w:pPr>
            <w:r>
              <w:t>59.5</w:t>
            </w:r>
          </w:p>
        </w:tc>
        <w:tc>
          <w:tcPr>
            <w:tcW w:w="460" w:type="pct"/>
            <w:vAlign w:val="center"/>
          </w:tcPr>
          <w:p w14:paraId="29BA3548">
            <w:pPr>
              <w:pStyle w:val="28"/>
              <w:bidi w:val="0"/>
            </w:pPr>
            <w:r>
              <w:t>56.0</w:t>
            </w:r>
          </w:p>
        </w:tc>
        <w:tc>
          <w:tcPr>
            <w:tcW w:w="461" w:type="pct"/>
            <w:vAlign w:val="center"/>
          </w:tcPr>
          <w:p w14:paraId="6582DF15">
            <w:pPr>
              <w:pStyle w:val="28"/>
              <w:bidi w:val="0"/>
            </w:pPr>
            <w:r>
              <w:t>53.5</w:t>
            </w:r>
          </w:p>
        </w:tc>
        <w:tc>
          <w:tcPr>
            <w:tcW w:w="486" w:type="pct"/>
            <w:vAlign w:val="center"/>
          </w:tcPr>
          <w:p w14:paraId="53559C73">
            <w:pPr>
              <w:pStyle w:val="28"/>
              <w:bidi w:val="0"/>
            </w:pPr>
            <w:r>
              <w:t>51.6</w:t>
            </w:r>
          </w:p>
        </w:tc>
      </w:tr>
      <w:tr w14:paraId="62F18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 w:type="pct"/>
            <w:vAlign w:val="center"/>
          </w:tcPr>
          <w:p w14:paraId="4B1E748A">
            <w:pPr>
              <w:pStyle w:val="28"/>
              <w:bidi w:val="0"/>
            </w:pPr>
            <w:r>
              <w:t>防渗治理、填塘固</w:t>
            </w:r>
            <w:r>
              <w:rPr>
                <w:rFonts w:hint="eastAsia"/>
              </w:rPr>
              <w:t>基</w:t>
            </w:r>
          </w:p>
        </w:tc>
        <w:tc>
          <w:tcPr>
            <w:tcW w:w="797" w:type="pct"/>
            <w:vAlign w:val="center"/>
          </w:tcPr>
          <w:p w14:paraId="50C6A403">
            <w:pPr>
              <w:pStyle w:val="28"/>
              <w:bidi w:val="0"/>
            </w:pPr>
            <w:r>
              <w:t>反铲挖掘机×1</w:t>
            </w:r>
          </w:p>
          <w:p w14:paraId="5252229E">
            <w:pPr>
              <w:pStyle w:val="28"/>
              <w:bidi w:val="0"/>
            </w:pPr>
            <w:r>
              <w:t>铲运机×1</w:t>
            </w:r>
          </w:p>
          <w:p w14:paraId="2618EF27">
            <w:pPr>
              <w:pStyle w:val="28"/>
              <w:bidi w:val="0"/>
            </w:pPr>
            <w:r>
              <w:t>推土机×1</w:t>
            </w:r>
          </w:p>
          <w:p w14:paraId="6060B538">
            <w:pPr>
              <w:pStyle w:val="28"/>
              <w:bidi w:val="0"/>
            </w:pPr>
            <w:r>
              <w:t>电动振动器×1</w:t>
            </w:r>
          </w:p>
        </w:tc>
        <w:tc>
          <w:tcPr>
            <w:tcW w:w="757" w:type="pct"/>
            <w:vAlign w:val="center"/>
          </w:tcPr>
          <w:p w14:paraId="6A4D310B">
            <w:pPr>
              <w:pStyle w:val="28"/>
              <w:bidi w:val="0"/>
            </w:pPr>
            <w:r>
              <w:t>92.0</w:t>
            </w:r>
          </w:p>
        </w:tc>
        <w:tc>
          <w:tcPr>
            <w:tcW w:w="602" w:type="pct"/>
            <w:vAlign w:val="center"/>
          </w:tcPr>
          <w:p w14:paraId="4CB3713D">
            <w:pPr>
              <w:pStyle w:val="28"/>
              <w:bidi w:val="0"/>
            </w:pPr>
            <w:r>
              <w:t>72.0</w:t>
            </w:r>
          </w:p>
        </w:tc>
        <w:tc>
          <w:tcPr>
            <w:tcW w:w="460" w:type="pct"/>
            <w:vAlign w:val="center"/>
          </w:tcPr>
          <w:p w14:paraId="686ED604">
            <w:pPr>
              <w:pStyle w:val="28"/>
              <w:bidi w:val="0"/>
            </w:pPr>
            <w:r>
              <w:t>66.0</w:t>
            </w:r>
          </w:p>
        </w:tc>
        <w:tc>
          <w:tcPr>
            <w:tcW w:w="460" w:type="pct"/>
            <w:vAlign w:val="center"/>
          </w:tcPr>
          <w:p w14:paraId="32FD5B7C">
            <w:pPr>
              <w:pStyle w:val="28"/>
              <w:bidi w:val="0"/>
            </w:pPr>
            <w:r>
              <w:t>59.9</w:t>
            </w:r>
          </w:p>
        </w:tc>
        <w:tc>
          <w:tcPr>
            <w:tcW w:w="460" w:type="pct"/>
            <w:vAlign w:val="center"/>
          </w:tcPr>
          <w:p w14:paraId="50845925">
            <w:pPr>
              <w:pStyle w:val="28"/>
              <w:bidi w:val="0"/>
            </w:pPr>
            <w:r>
              <w:t>56.4</w:t>
            </w:r>
          </w:p>
        </w:tc>
        <w:tc>
          <w:tcPr>
            <w:tcW w:w="461" w:type="pct"/>
            <w:vAlign w:val="center"/>
          </w:tcPr>
          <w:p w14:paraId="4A0DDBA7">
            <w:pPr>
              <w:pStyle w:val="28"/>
              <w:bidi w:val="0"/>
            </w:pPr>
            <w:r>
              <w:t>53.9</w:t>
            </w:r>
          </w:p>
        </w:tc>
        <w:tc>
          <w:tcPr>
            <w:tcW w:w="486" w:type="pct"/>
            <w:vAlign w:val="center"/>
          </w:tcPr>
          <w:p w14:paraId="7403677C">
            <w:pPr>
              <w:pStyle w:val="28"/>
              <w:bidi w:val="0"/>
            </w:pPr>
            <w:r>
              <w:t>52.0</w:t>
            </w:r>
          </w:p>
        </w:tc>
      </w:tr>
      <w:tr w14:paraId="01463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 w:type="pct"/>
            <w:vAlign w:val="center"/>
          </w:tcPr>
          <w:p w14:paraId="4ACA83FE">
            <w:pPr>
              <w:pStyle w:val="28"/>
              <w:bidi w:val="0"/>
            </w:pPr>
            <w:r>
              <w:t>滑坡治理</w:t>
            </w:r>
          </w:p>
        </w:tc>
        <w:tc>
          <w:tcPr>
            <w:tcW w:w="797" w:type="pct"/>
            <w:vAlign w:val="center"/>
          </w:tcPr>
          <w:p w14:paraId="0396BFB1">
            <w:pPr>
              <w:pStyle w:val="28"/>
              <w:bidi w:val="0"/>
            </w:pPr>
            <w:r>
              <w:t>反铲挖掘机×1</w:t>
            </w:r>
          </w:p>
          <w:p w14:paraId="7E95C520">
            <w:pPr>
              <w:pStyle w:val="28"/>
              <w:bidi w:val="0"/>
            </w:pPr>
            <w:r>
              <w:t>铲运机×1</w:t>
            </w:r>
          </w:p>
          <w:p w14:paraId="0F383A26">
            <w:pPr>
              <w:pStyle w:val="28"/>
              <w:bidi w:val="0"/>
            </w:pPr>
            <w:r>
              <w:t>推土机×1</w:t>
            </w:r>
          </w:p>
        </w:tc>
        <w:tc>
          <w:tcPr>
            <w:tcW w:w="757" w:type="pct"/>
            <w:vAlign w:val="center"/>
          </w:tcPr>
          <w:p w14:paraId="6B2B1288">
            <w:pPr>
              <w:pStyle w:val="28"/>
              <w:bidi w:val="0"/>
            </w:pPr>
            <w:r>
              <w:t>87.6</w:t>
            </w:r>
          </w:p>
        </w:tc>
        <w:tc>
          <w:tcPr>
            <w:tcW w:w="602" w:type="pct"/>
            <w:vAlign w:val="center"/>
          </w:tcPr>
          <w:p w14:paraId="02A2B605">
            <w:pPr>
              <w:pStyle w:val="28"/>
              <w:bidi w:val="0"/>
            </w:pPr>
            <w:r>
              <w:t>67.6</w:t>
            </w:r>
          </w:p>
        </w:tc>
        <w:tc>
          <w:tcPr>
            <w:tcW w:w="460" w:type="pct"/>
            <w:vAlign w:val="center"/>
          </w:tcPr>
          <w:p w14:paraId="1DE3066E">
            <w:pPr>
              <w:pStyle w:val="28"/>
              <w:bidi w:val="0"/>
            </w:pPr>
            <w:r>
              <w:t>61.6</w:t>
            </w:r>
          </w:p>
        </w:tc>
        <w:tc>
          <w:tcPr>
            <w:tcW w:w="460" w:type="pct"/>
            <w:vAlign w:val="center"/>
          </w:tcPr>
          <w:p w14:paraId="22E096F5">
            <w:pPr>
              <w:pStyle w:val="28"/>
              <w:bidi w:val="0"/>
            </w:pPr>
            <w:r>
              <w:t>55.6</w:t>
            </w:r>
          </w:p>
        </w:tc>
        <w:tc>
          <w:tcPr>
            <w:tcW w:w="460" w:type="pct"/>
            <w:vAlign w:val="center"/>
          </w:tcPr>
          <w:p w14:paraId="6C01DA0C">
            <w:pPr>
              <w:pStyle w:val="28"/>
              <w:bidi w:val="0"/>
            </w:pPr>
            <w:r>
              <w:t>52.0</w:t>
            </w:r>
          </w:p>
        </w:tc>
        <w:tc>
          <w:tcPr>
            <w:tcW w:w="461" w:type="pct"/>
            <w:vAlign w:val="center"/>
          </w:tcPr>
          <w:p w14:paraId="76A459F8">
            <w:pPr>
              <w:pStyle w:val="28"/>
              <w:bidi w:val="0"/>
            </w:pPr>
            <w:r>
              <w:t>49.5</w:t>
            </w:r>
          </w:p>
        </w:tc>
        <w:tc>
          <w:tcPr>
            <w:tcW w:w="486" w:type="pct"/>
            <w:vAlign w:val="center"/>
          </w:tcPr>
          <w:p w14:paraId="03B7144A">
            <w:pPr>
              <w:pStyle w:val="28"/>
              <w:bidi w:val="0"/>
            </w:pPr>
            <w:r>
              <w:t>47.6</w:t>
            </w:r>
          </w:p>
        </w:tc>
      </w:tr>
      <w:tr w14:paraId="038E58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 w:type="pct"/>
            <w:vAlign w:val="center"/>
          </w:tcPr>
          <w:p w14:paraId="3FCECBE3">
            <w:pPr>
              <w:pStyle w:val="28"/>
              <w:bidi w:val="0"/>
            </w:pPr>
            <w:r>
              <w:t>涵闸等渠系建筑物工程</w:t>
            </w:r>
          </w:p>
        </w:tc>
        <w:tc>
          <w:tcPr>
            <w:tcW w:w="797" w:type="pct"/>
            <w:vAlign w:val="center"/>
          </w:tcPr>
          <w:p w14:paraId="3B302463">
            <w:pPr>
              <w:pStyle w:val="28"/>
              <w:bidi w:val="0"/>
            </w:pPr>
            <w:r>
              <w:t>履带拖拉机×1</w:t>
            </w:r>
          </w:p>
          <w:p w14:paraId="3685CA76">
            <w:pPr>
              <w:pStyle w:val="28"/>
              <w:bidi w:val="0"/>
            </w:pPr>
            <w:r>
              <w:t>液压破碎镐×1</w:t>
            </w:r>
          </w:p>
          <w:p w14:paraId="175EB81A">
            <w:pPr>
              <w:pStyle w:val="28"/>
              <w:bidi w:val="0"/>
            </w:pPr>
            <w:r>
              <w:t>反铲挖掘机×1</w:t>
            </w:r>
          </w:p>
          <w:p w14:paraId="461BE0BD">
            <w:pPr>
              <w:pStyle w:val="28"/>
              <w:bidi w:val="0"/>
            </w:pPr>
            <w:r>
              <w:t>循环转机×1</w:t>
            </w:r>
          </w:p>
          <w:p w14:paraId="5D02C9C9">
            <w:pPr>
              <w:pStyle w:val="28"/>
              <w:bidi w:val="0"/>
            </w:pPr>
            <w:r>
              <w:t>自卸汽车×1</w:t>
            </w:r>
          </w:p>
          <w:p w14:paraId="1A657B6E">
            <w:pPr>
              <w:pStyle w:val="28"/>
              <w:bidi w:val="0"/>
            </w:pPr>
            <w:r>
              <w:t>混凝土搅拌运输车×1</w:t>
            </w:r>
          </w:p>
          <w:p w14:paraId="2E71A14E">
            <w:pPr>
              <w:pStyle w:val="28"/>
              <w:bidi w:val="0"/>
            </w:pPr>
            <w:r>
              <w:t>混凝土输送泵×1</w:t>
            </w:r>
          </w:p>
          <w:p w14:paraId="22B26FEE">
            <w:pPr>
              <w:pStyle w:val="28"/>
              <w:bidi w:val="0"/>
            </w:pPr>
            <w:r>
              <w:t>混凝土振捣器×1</w:t>
            </w:r>
          </w:p>
          <w:p w14:paraId="3EDF4A91">
            <w:pPr>
              <w:pStyle w:val="28"/>
              <w:bidi w:val="0"/>
            </w:pPr>
            <w:r>
              <w:t>起重机×1</w:t>
            </w:r>
          </w:p>
        </w:tc>
        <w:tc>
          <w:tcPr>
            <w:tcW w:w="757" w:type="pct"/>
            <w:vAlign w:val="center"/>
          </w:tcPr>
          <w:p w14:paraId="601C38F9">
            <w:pPr>
              <w:pStyle w:val="28"/>
              <w:bidi w:val="0"/>
            </w:pPr>
            <w:r>
              <w:t>93.2</w:t>
            </w:r>
          </w:p>
        </w:tc>
        <w:tc>
          <w:tcPr>
            <w:tcW w:w="602" w:type="pct"/>
            <w:vAlign w:val="center"/>
          </w:tcPr>
          <w:p w14:paraId="4776280D">
            <w:pPr>
              <w:pStyle w:val="28"/>
              <w:bidi w:val="0"/>
            </w:pPr>
            <w:r>
              <w:t>73.1</w:t>
            </w:r>
          </w:p>
        </w:tc>
        <w:tc>
          <w:tcPr>
            <w:tcW w:w="460" w:type="pct"/>
            <w:vAlign w:val="center"/>
          </w:tcPr>
          <w:p w14:paraId="6235CD52">
            <w:pPr>
              <w:pStyle w:val="28"/>
              <w:bidi w:val="0"/>
            </w:pPr>
            <w:r>
              <w:t>67.2</w:t>
            </w:r>
          </w:p>
        </w:tc>
        <w:tc>
          <w:tcPr>
            <w:tcW w:w="460" w:type="pct"/>
            <w:vAlign w:val="center"/>
          </w:tcPr>
          <w:p w14:paraId="491EEB58">
            <w:pPr>
              <w:pStyle w:val="28"/>
              <w:bidi w:val="0"/>
            </w:pPr>
            <w:r>
              <w:t>61.2</w:t>
            </w:r>
          </w:p>
        </w:tc>
        <w:tc>
          <w:tcPr>
            <w:tcW w:w="460" w:type="pct"/>
            <w:vAlign w:val="center"/>
          </w:tcPr>
          <w:p w14:paraId="6B2DD0CE">
            <w:pPr>
              <w:pStyle w:val="28"/>
              <w:bidi w:val="0"/>
            </w:pPr>
            <w:r>
              <w:t>57.6</w:t>
            </w:r>
          </w:p>
        </w:tc>
        <w:tc>
          <w:tcPr>
            <w:tcW w:w="461" w:type="pct"/>
            <w:vAlign w:val="center"/>
          </w:tcPr>
          <w:p w14:paraId="62DA4A2C">
            <w:pPr>
              <w:pStyle w:val="28"/>
              <w:bidi w:val="0"/>
            </w:pPr>
            <w:r>
              <w:t>55.0</w:t>
            </w:r>
          </w:p>
        </w:tc>
        <w:tc>
          <w:tcPr>
            <w:tcW w:w="486" w:type="pct"/>
            <w:vAlign w:val="center"/>
          </w:tcPr>
          <w:p w14:paraId="6B203362">
            <w:pPr>
              <w:pStyle w:val="28"/>
              <w:bidi w:val="0"/>
            </w:pPr>
            <w:r>
              <w:t>52.8</w:t>
            </w:r>
          </w:p>
        </w:tc>
      </w:tr>
      <w:tr w14:paraId="04D21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 w:type="pct"/>
            <w:vAlign w:val="center"/>
          </w:tcPr>
          <w:p w14:paraId="4FD7E467">
            <w:pPr>
              <w:pStyle w:val="28"/>
              <w:bidi w:val="0"/>
            </w:pPr>
            <w:r>
              <w:t>堤顶防汛路</w:t>
            </w:r>
          </w:p>
        </w:tc>
        <w:tc>
          <w:tcPr>
            <w:tcW w:w="797" w:type="pct"/>
            <w:vAlign w:val="center"/>
          </w:tcPr>
          <w:p w14:paraId="1A06061E">
            <w:pPr>
              <w:pStyle w:val="28"/>
              <w:bidi w:val="0"/>
            </w:pPr>
            <w:r>
              <w:t>反铲挖掘机×2</w:t>
            </w:r>
          </w:p>
          <w:p w14:paraId="677BDAAE">
            <w:pPr>
              <w:pStyle w:val="28"/>
              <w:bidi w:val="0"/>
            </w:pPr>
            <w:r>
              <w:t>75KW推土机×2</w:t>
            </w:r>
          </w:p>
          <w:p w14:paraId="4DA538E6">
            <w:pPr>
              <w:pStyle w:val="28"/>
              <w:bidi w:val="0"/>
            </w:pPr>
            <w:r>
              <w:t>自卸汽车×1</w:t>
            </w:r>
          </w:p>
          <w:p w14:paraId="214DB731">
            <w:pPr>
              <w:pStyle w:val="28"/>
              <w:bidi w:val="0"/>
            </w:pPr>
            <w:r>
              <w:t>混凝土搅拌运输车×1</w:t>
            </w:r>
          </w:p>
          <w:p w14:paraId="71CC7808">
            <w:pPr>
              <w:pStyle w:val="28"/>
              <w:bidi w:val="0"/>
            </w:pPr>
            <w:r>
              <w:t>混凝土振捣器×1</w:t>
            </w:r>
          </w:p>
        </w:tc>
        <w:tc>
          <w:tcPr>
            <w:tcW w:w="757" w:type="pct"/>
            <w:vAlign w:val="center"/>
          </w:tcPr>
          <w:p w14:paraId="0EA5C149">
            <w:pPr>
              <w:pStyle w:val="28"/>
              <w:bidi w:val="0"/>
            </w:pPr>
            <w:r>
              <w:t>92.6</w:t>
            </w:r>
          </w:p>
        </w:tc>
        <w:tc>
          <w:tcPr>
            <w:tcW w:w="602" w:type="pct"/>
            <w:vAlign w:val="center"/>
          </w:tcPr>
          <w:p w14:paraId="0DEEF92C">
            <w:pPr>
              <w:pStyle w:val="28"/>
              <w:bidi w:val="0"/>
            </w:pPr>
            <w:r>
              <w:t>72.6</w:t>
            </w:r>
          </w:p>
        </w:tc>
        <w:tc>
          <w:tcPr>
            <w:tcW w:w="460" w:type="pct"/>
            <w:vAlign w:val="center"/>
          </w:tcPr>
          <w:p w14:paraId="7533DE80">
            <w:pPr>
              <w:pStyle w:val="28"/>
              <w:bidi w:val="0"/>
            </w:pPr>
            <w:r>
              <w:t>66.6</w:t>
            </w:r>
          </w:p>
        </w:tc>
        <w:tc>
          <w:tcPr>
            <w:tcW w:w="460" w:type="pct"/>
            <w:vAlign w:val="center"/>
          </w:tcPr>
          <w:p w14:paraId="3F8D936F">
            <w:pPr>
              <w:pStyle w:val="28"/>
              <w:bidi w:val="0"/>
            </w:pPr>
            <w:r>
              <w:t>60.6</w:t>
            </w:r>
          </w:p>
        </w:tc>
        <w:tc>
          <w:tcPr>
            <w:tcW w:w="460" w:type="pct"/>
            <w:vAlign w:val="center"/>
          </w:tcPr>
          <w:p w14:paraId="302344BC">
            <w:pPr>
              <w:pStyle w:val="28"/>
              <w:bidi w:val="0"/>
            </w:pPr>
            <w:r>
              <w:t>57.0</w:t>
            </w:r>
          </w:p>
        </w:tc>
        <w:tc>
          <w:tcPr>
            <w:tcW w:w="461" w:type="pct"/>
            <w:vAlign w:val="center"/>
          </w:tcPr>
          <w:p w14:paraId="43BB86EF">
            <w:pPr>
              <w:pStyle w:val="28"/>
              <w:bidi w:val="0"/>
            </w:pPr>
            <w:r>
              <w:t>54.5</w:t>
            </w:r>
          </w:p>
        </w:tc>
        <w:tc>
          <w:tcPr>
            <w:tcW w:w="486" w:type="pct"/>
            <w:vAlign w:val="center"/>
          </w:tcPr>
          <w:p w14:paraId="1C32FD56">
            <w:pPr>
              <w:pStyle w:val="28"/>
              <w:bidi w:val="0"/>
            </w:pPr>
            <w:r>
              <w:t>52.6</w:t>
            </w:r>
          </w:p>
        </w:tc>
      </w:tr>
      <w:tr w14:paraId="77558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4" w:type="pct"/>
            <w:vAlign w:val="center"/>
          </w:tcPr>
          <w:p w14:paraId="3D77FA76">
            <w:pPr>
              <w:pStyle w:val="28"/>
              <w:bidi w:val="0"/>
            </w:pPr>
            <w:r>
              <w:t>施工布置区</w:t>
            </w:r>
          </w:p>
        </w:tc>
        <w:tc>
          <w:tcPr>
            <w:tcW w:w="797" w:type="pct"/>
            <w:vAlign w:val="center"/>
          </w:tcPr>
          <w:p w14:paraId="6473A155">
            <w:pPr>
              <w:pStyle w:val="28"/>
              <w:bidi w:val="0"/>
            </w:pPr>
            <w:r>
              <w:t>钢筋剪切机×1</w:t>
            </w:r>
          </w:p>
          <w:p w14:paraId="6076D3D0">
            <w:pPr>
              <w:pStyle w:val="28"/>
              <w:bidi w:val="0"/>
            </w:pPr>
            <w:r>
              <w:t>加工刨×1</w:t>
            </w:r>
          </w:p>
          <w:p w14:paraId="358B6A14">
            <w:pPr>
              <w:pStyle w:val="28"/>
              <w:bidi w:val="0"/>
            </w:pPr>
            <w:r>
              <w:t>搅拌设备×1</w:t>
            </w:r>
          </w:p>
        </w:tc>
        <w:tc>
          <w:tcPr>
            <w:tcW w:w="757" w:type="pct"/>
            <w:vAlign w:val="center"/>
          </w:tcPr>
          <w:p w14:paraId="6B0E4B6C">
            <w:pPr>
              <w:pStyle w:val="28"/>
              <w:bidi w:val="0"/>
            </w:pPr>
            <w:r>
              <w:t>90.7</w:t>
            </w:r>
          </w:p>
        </w:tc>
        <w:tc>
          <w:tcPr>
            <w:tcW w:w="602" w:type="pct"/>
            <w:vAlign w:val="center"/>
          </w:tcPr>
          <w:p w14:paraId="77BB99E5">
            <w:pPr>
              <w:pStyle w:val="28"/>
              <w:bidi w:val="0"/>
            </w:pPr>
            <w:r>
              <w:t>70.7</w:t>
            </w:r>
          </w:p>
        </w:tc>
        <w:tc>
          <w:tcPr>
            <w:tcW w:w="460" w:type="pct"/>
            <w:vAlign w:val="center"/>
          </w:tcPr>
          <w:p w14:paraId="2679592F">
            <w:pPr>
              <w:pStyle w:val="28"/>
              <w:bidi w:val="0"/>
            </w:pPr>
            <w:r>
              <w:t>64.6</w:t>
            </w:r>
          </w:p>
        </w:tc>
        <w:tc>
          <w:tcPr>
            <w:tcW w:w="460" w:type="pct"/>
            <w:vAlign w:val="center"/>
          </w:tcPr>
          <w:p w14:paraId="1D0CD0AF">
            <w:pPr>
              <w:pStyle w:val="28"/>
              <w:bidi w:val="0"/>
            </w:pPr>
            <w:r>
              <w:t>58.6</w:t>
            </w:r>
          </w:p>
        </w:tc>
        <w:tc>
          <w:tcPr>
            <w:tcW w:w="460" w:type="pct"/>
            <w:vAlign w:val="center"/>
          </w:tcPr>
          <w:p w14:paraId="7E98F50F">
            <w:pPr>
              <w:pStyle w:val="28"/>
              <w:bidi w:val="0"/>
            </w:pPr>
            <w:r>
              <w:t>55.1</w:t>
            </w:r>
          </w:p>
        </w:tc>
        <w:tc>
          <w:tcPr>
            <w:tcW w:w="461" w:type="pct"/>
            <w:vAlign w:val="center"/>
          </w:tcPr>
          <w:p w14:paraId="5D7A2C9E">
            <w:pPr>
              <w:pStyle w:val="28"/>
              <w:bidi w:val="0"/>
            </w:pPr>
            <w:r>
              <w:t>52.6</w:t>
            </w:r>
          </w:p>
        </w:tc>
        <w:tc>
          <w:tcPr>
            <w:tcW w:w="486" w:type="pct"/>
            <w:vAlign w:val="center"/>
          </w:tcPr>
          <w:p w14:paraId="4F357495">
            <w:pPr>
              <w:pStyle w:val="28"/>
              <w:bidi w:val="0"/>
            </w:pPr>
            <w:r>
              <w:t>50.7</w:t>
            </w:r>
          </w:p>
        </w:tc>
      </w:tr>
    </w:tbl>
    <w:p w14:paraId="0EC6277F">
      <w:pPr>
        <w:spacing w:line="240" w:lineRule="auto"/>
        <w:rPr>
          <w:rFonts w:cs="Times New Roman"/>
          <w:color w:val="0000FF"/>
        </w:rPr>
      </w:pPr>
    </w:p>
    <w:p w14:paraId="2EF9422E">
      <w:pPr>
        <w:pStyle w:val="5"/>
        <w:rPr>
          <w:rFonts w:cs="Times New Roman"/>
          <w:color w:val="0000FF"/>
        </w:rPr>
      </w:pPr>
      <w:r>
        <w:rPr>
          <w:rFonts w:hint="eastAsia" w:cs="Times New Roman"/>
          <w:color w:val="0000FF"/>
        </w:rPr>
        <w:t>5.4</w:t>
      </w:r>
      <w:r>
        <w:rPr>
          <w:rFonts w:cs="Times New Roman"/>
          <w:color w:val="0000FF"/>
        </w:rPr>
        <w:t>.1.3 固定声源施工噪声对环境敏感保护目标的影响分析</w:t>
      </w:r>
    </w:p>
    <w:p w14:paraId="454A4FAC">
      <w:pPr>
        <w:widowControl w:val="0"/>
        <w:ind w:firstLine="480" w:firstLineChars="200"/>
        <w:rPr>
          <w:rFonts w:cs="Times New Roman"/>
          <w:color w:val="0000FF"/>
        </w:rPr>
      </w:pPr>
      <w:r>
        <w:rPr>
          <w:rFonts w:cs="Times New Roman"/>
          <w:color w:val="0000FF"/>
        </w:rPr>
        <w:t>施工单位需合理安排施工时间，夜间禁止施工；若因工期紧张，必须进行夜间施工的，需采用移动声屏障，并提前告知村民，降低噪声影响。昼间施工噪声应采取如下治理措施以保证敏感点声环境质量达标：</w:t>
      </w:r>
    </w:p>
    <w:p w14:paraId="1513B5C9">
      <w:pPr>
        <w:widowControl w:val="0"/>
        <w:ind w:firstLine="480" w:firstLineChars="200"/>
        <w:rPr>
          <w:rFonts w:cs="Times New Roman"/>
          <w:color w:val="0000FF"/>
        </w:rPr>
      </w:pPr>
      <w:r>
        <w:rPr>
          <w:rFonts w:cs="Times New Roman"/>
          <w:color w:val="0000FF"/>
        </w:rPr>
        <w:t>①施工过程中使用的主要机械设备应为低噪声机械设备，例如</w:t>
      </w:r>
      <w:r>
        <w:rPr>
          <w:rFonts w:hint="eastAsia" w:cs="Times New Roman"/>
          <w:color w:val="0000FF"/>
        </w:rPr>
        <w:t>选择</w:t>
      </w:r>
      <w:r>
        <w:rPr>
          <w:rFonts w:cs="Times New Roman"/>
          <w:color w:val="0000FF"/>
        </w:rPr>
        <w:t>液压机械取代燃油机械。同时在施工过程中施工单位应设专人对设备进行定期保养和维护，避免由于设备故障而导致噪声增强现象的发生。并负责对现场工作人员进行培训，严格按操作规范使用各类机械。</w:t>
      </w:r>
    </w:p>
    <w:p w14:paraId="33DCA92A">
      <w:pPr>
        <w:widowControl w:val="0"/>
        <w:ind w:firstLine="480" w:firstLineChars="200"/>
        <w:rPr>
          <w:rFonts w:cs="Times New Roman"/>
          <w:color w:val="0000FF"/>
        </w:rPr>
      </w:pPr>
      <w:r>
        <w:rPr>
          <w:rFonts w:cs="Times New Roman"/>
          <w:color w:val="0000FF"/>
        </w:rPr>
        <w:t>②采用距离防护措施：在不影响施工情况下将噪声设备不集中安排，并将其移至距离居民住宅等敏感点较远处。</w:t>
      </w:r>
    </w:p>
    <w:p w14:paraId="39A230DD">
      <w:pPr>
        <w:widowControl w:val="0"/>
        <w:ind w:firstLine="480" w:firstLineChars="200"/>
        <w:rPr>
          <w:rFonts w:cs="Times New Roman"/>
          <w:color w:val="0000FF"/>
        </w:rPr>
      </w:pPr>
      <w:r>
        <w:rPr>
          <w:rFonts w:cs="Times New Roman"/>
          <w:color w:val="0000FF"/>
        </w:rPr>
        <w:t>③采用声屏障措施：在居民点附近施工需采取设置隔声屏障、加强施工管理等相关的降噪措施。鉴于本项目施工区域呈线状，且存在多个子项目同时施工，要求建设单位每个线性工程项目预留300m以上的移动隔声屏障备用。移动隔声屏障的降噪效果约为10-15dB左右，双层隔声屏障降噪效果为20dB左右。</w:t>
      </w:r>
    </w:p>
    <w:p w14:paraId="76975AD1">
      <w:pPr>
        <w:widowControl w:val="0"/>
        <w:ind w:firstLine="480" w:firstLineChars="200"/>
        <w:rPr>
          <w:rFonts w:cs="Times New Roman"/>
          <w:color w:val="0000FF"/>
        </w:rPr>
      </w:pPr>
      <w:r>
        <w:rPr>
          <w:rFonts w:cs="Times New Roman"/>
          <w:color w:val="0000FF"/>
        </w:rPr>
        <w:t>④施工场地的施工车辆出入地点应远离敏感点，车辆出入现场时应低速、禁鸣。</w:t>
      </w:r>
    </w:p>
    <w:p w14:paraId="7962715B">
      <w:pPr>
        <w:widowControl w:val="0"/>
        <w:ind w:firstLine="480" w:firstLineChars="200"/>
        <w:rPr>
          <w:rFonts w:cs="Times New Roman"/>
          <w:color w:val="0000FF"/>
        </w:rPr>
      </w:pPr>
      <w:r>
        <w:rPr>
          <w:rFonts w:cs="Times New Roman"/>
          <w:color w:val="0000FF"/>
        </w:rPr>
        <w:t>⑤建设管理部门应加强对施工场地的噪声管理，施工企业也应对施工噪声进行自律，文明施工，避免因施工噪声产生纠纷。</w:t>
      </w:r>
    </w:p>
    <w:p w14:paraId="3E899861">
      <w:pPr>
        <w:widowControl w:val="0"/>
        <w:ind w:firstLine="480" w:firstLineChars="200"/>
        <w:rPr>
          <w:rFonts w:cs="Times New Roman"/>
          <w:color w:val="0000FF"/>
        </w:rPr>
      </w:pPr>
      <w:r>
        <w:rPr>
          <w:rFonts w:cs="Times New Roman"/>
          <w:color w:val="0000FF"/>
        </w:rPr>
        <w:t>⑥加强施工期噪声监测，发现施工噪声超标并对附近居民点产生影响时必须首先停止施工，并应及时采取有效的噪声污染防治措施，在验证可做到噪声达标排放的前提下方可继续施工。</w:t>
      </w:r>
    </w:p>
    <w:p w14:paraId="0A338453">
      <w:pPr>
        <w:widowControl w:val="0"/>
        <w:ind w:firstLine="480" w:firstLineChars="200"/>
        <w:rPr>
          <w:rFonts w:cs="Times New Roman"/>
          <w:color w:val="0000FF"/>
        </w:rPr>
      </w:pPr>
      <w:r>
        <w:rPr>
          <w:rFonts w:cs="Times New Roman"/>
          <w:color w:val="0000FF"/>
        </w:rPr>
        <w:t>根据不同工程内容所需施工机械的情况，</w:t>
      </w:r>
      <w:r>
        <w:rPr>
          <w:rFonts w:cs="Times New Roman"/>
          <w:color w:val="0000FF"/>
          <w:spacing w:val="4"/>
          <w:kern w:val="2"/>
          <w:lang w:bidi="ar"/>
        </w:rPr>
        <w:t>根据《环境影响评价技术导则 声环境》（HJ2.4-2021），由于工程位于农村，噪声敏感保护目标距离较近，计算中考虑采取隔声屏障，其隔声降噪措施降低噪声15~20dB（A），本次评价选取20dB（A），计算施工区噪声影响预测见</w:t>
      </w:r>
      <w:r>
        <w:rPr>
          <w:rFonts w:cs="Times New Roman"/>
          <w:color w:val="0000FF"/>
        </w:rPr>
        <w:t>下表所示。</w:t>
      </w:r>
    </w:p>
    <w:p w14:paraId="74900A7D">
      <w:pPr>
        <w:widowControl w:val="0"/>
        <w:ind w:firstLine="480" w:firstLineChars="200"/>
        <w:rPr>
          <w:rFonts w:cs="Times New Roman"/>
          <w:color w:val="0000FF"/>
        </w:rPr>
      </w:pPr>
      <w:r>
        <w:rPr>
          <w:rFonts w:hint="eastAsia" w:cs="Times New Roman"/>
          <w:color w:val="0000FF"/>
        </w:rPr>
        <w:t>根据下表计算结果分析可以看出，在不考虑任何降噪措施情况下，工程施工活动产生的施工噪声，将使声环境敏感保护目标不满足《声环境质量标准》（GB3096- 2008）1类/2类标准要求，使各声敏感点出现不同程度的超标。本项目部分工程距离周围敏感点距离较近，因此，对于无法达到声环境质量标准的村庄，采取措施后，基本可以达到昼间1类标准，但是部分预测值十分接近标准值。</w:t>
      </w:r>
    </w:p>
    <w:p w14:paraId="30B5B052">
      <w:pPr>
        <w:widowControl w:val="0"/>
        <w:ind w:firstLine="480" w:firstLineChars="200"/>
        <w:rPr>
          <w:rFonts w:cs="Times New Roman"/>
          <w:color w:val="0000FF"/>
        </w:rPr>
      </w:pPr>
      <w:r>
        <w:rPr>
          <w:rFonts w:hint="eastAsia" w:cs="Times New Roman"/>
          <w:color w:val="0000FF"/>
        </w:rPr>
        <w:t>鉴于各敏感点噪声背景值（昼间、夜间）监测时间为2023年5月24日至5月25日，时值夏季，受到蝉鸣、蛙声的影响显著，而本项目主体工程是在各标段具备开工条件后开始施工，自每年10月开始，次年4月结束，时值冬、春两季，无蝉鸣和蛙声影响，因此实际环境背景噪声值相对监测值较小。同时，考虑到施工环境主要集中在乡野，噪声传播受到树木以及前排房屋的吸收、阻碍作用，一定程度上对噪声进行了衰减，因此实际主体工程施工产生的噪声，其贡献值相比理论预测贡献值小。所以，为尽量减小施工噪声对周围环境的影响，应加强施工管理，严格落实禁止夜间施工。</w:t>
      </w:r>
    </w:p>
    <w:p w14:paraId="70748F79">
      <w:pPr>
        <w:widowControl w:val="0"/>
        <w:ind w:firstLine="480" w:firstLineChars="200"/>
        <w:rPr>
          <w:rFonts w:cs="Times New Roman"/>
          <w:color w:val="0000FF"/>
        </w:rPr>
      </w:pPr>
      <w:r>
        <w:rPr>
          <w:rFonts w:hint="eastAsia" w:cs="Times New Roman"/>
          <w:color w:val="0000FF"/>
        </w:rPr>
        <w:t>本工程在以上村庄附近施工周期较短，一般为15天以内，工程对周边敏感保护目标影响时间相对较短，本报告要求施工单位在午间（12:00～14:00）和夜间（22:00~6:00）禁止施工，同时施工前施工单位应提前告知附近居民，安抚居民情绪，以进一步减小施工噪声影响。</w:t>
      </w:r>
    </w:p>
    <w:p w14:paraId="75496434">
      <w:pPr>
        <w:jc w:val="center"/>
        <w:rPr>
          <w:rFonts w:eastAsia="黑体" w:cs="Times New Roman"/>
          <w:color w:val="0000FF"/>
        </w:rPr>
        <w:sectPr>
          <w:pgSz w:w="11905" w:h="16838"/>
          <w:pgMar w:top="1417" w:right="1417" w:bottom="1417" w:left="1417" w:header="850" w:footer="850" w:gutter="0"/>
          <w:pgNumType w:fmt="decimal"/>
          <w:cols w:space="0" w:num="1"/>
          <w:rtlGutter w:val="0"/>
          <w:docGrid w:linePitch="312" w:charSpace="0"/>
        </w:sectPr>
      </w:pPr>
    </w:p>
    <w:p w14:paraId="32477F35">
      <w:pPr>
        <w:jc w:val="center"/>
        <w:rPr>
          <w:color w:val="0000FF"/>
        </w:rPr>
      </w:pPr>
      <w:r>
        <w:rPr>
          <w:rFonts w:eastAsia="黑体" w:cs="Times New Roman"/>
          <w:color w:val="0000FF"/>
        </w:rPr>
        <w:t>表</w:t>
      </w:r>
      <w:r>
        <w:rPr>
          <w:rFonts w:hint="eastAsia" w:eastAsia="黑体" w:cs="Times New Roman"/>
          <w:color w:val="0000FF"/>
        </w:rPr>
        <w:t>5-4</w:t>
      </w:r>
      <w:r>
        <w:rPr>
          <w:rFonts w:eastAsia="黑体" w:cs="Times New Roman"/>
          <w:color w:val="0000FF"/>
        </w:rPr>
        <w:t>-3  施工噪声对敏感点影响预测结果一览表  单位：dB（A）</w:t>
      </w:r>
    </w:p>
    <w:tbl>
      <w:tblPr>
        <w:tblStyle w:val="16"/>
        <w:tblW w:w="499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0"/>
        <w:gridCol w:w="1444"/>
        <w:gridCol w:w="728"/>
        <w:gridCol w:w="584"/>
        <w:gridCol w:w="400"/>
        <w:gridCol w:w="584"/>
        <w:gridCol w:w="539"/>
        <w:gridCol w:w="539"/>
        <w:gridCol w:w="400"/>
        <w:gridCol w:w="400"/>
        <w:gridCol w:w="717"/>
        <w:gridCol w:w="717"/>
        <w:gridCol w:w="717"/>
        <w:gridCol w:w="717"/>
        <w:gridCol w:w="401"/>
      </w:tblGrid>
      <w:tr w14:paraId="5856F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Merge w:val="restart"/>
            <w:vAlign w:val="center"/>
          </w:tcPr>
          <w:p w14:paraId="0FE9F09F">
            <w:pPr>
              <w:pStyle w:val="28"/>
              <w:bidi w:val="0"/>
            </w:pPr>
            <w:r>
              <w:rPr>
                <w:rFonts w:hint="eastAsia"/>
              </w:rPr>
              <w:t>声环境保护目标名称</w:t>
            </w:r>
          </w:p>
        </w:tc>
        <w:tc>
          <w:tcPr>
            <w:tcW w:w="511" w:type="pct"/>
            <w:vMerge w:val="restart"/>
            <w:vAlign w:val="center"/>
          </w:tcPr>
          <w:p w14:paraId="72818DA1">
            <w:pPr>
              <w:pStyle w:val="28"/>
              <w:bidi w:val="0"/>
            </w:pPr>
            <w:r>
              <w:rPr>
                <w:rFonts w:hint="eastAsia"/>
              </w:rPr>
              <w:t>工程内容</w:t>
            </w:r>
          </w:p>
        </w:tc>
        <w:tc>
          <w:tcPr>
            <w:tcW w:w="634" w:type="pct"/>
            <w:gridSpan w:val="2"/>
            <w:vAlign w:val="center"/>
          </w:tcPr>
          <w:p w14:paraId="45B60C03">
            <w:pPr>
              <w:pStyle w:val="28"/>
              <w:bidi w:val="0"/>
            </w:pPr>
            <w:r>
              <w:rPr>
                <w:rFonts w:hint="eastAsia"/>
              </w:rPr>
              <w:t>与工程位置关系</w:t>
            </w:r>
          </w:p>
        </w:tc>
        <w:tc>
          <w:tcPr>
            <w:tcW w:w="262" w:type="pct"/>
            <w:vMerge w:val="restart"/>
            <w:vAlign w:val="center"/>
          </w:tcPr>
          <w:p w14:paraId="28EF2A92">
            <w:pPr>
              <w:pStyle w:val="28"/>
              <w:bidi w:val="0"/>
            </w:pPr>
            <w:r>
              <w:rPr>
                <w:rFonts w:hint="eastAsia"/>
              </w:rPr>
              <w:t>执行标准</w:t>
            </w:r>
          </w:p>
        </w:tc>
        <w:tc>
          <w:tcPr>
            <w:tcW w:w="809" w:type="pct"/>
            <w:vMerge w:val="restart"/>
            <w:vAlign w:val="center"/>
          </w:tcPr>
          <w:p w14:paraId="63FF530F">
            <w:pPr>
              <w:pStyle w:val="28"/>
              <w:bidi w:val="0"/>
            </w:pPr>
            <w:r>
              <w:rPr>
                <w:rFonts w:hint="eastAsia"/>
              </w:rPr>
              <w:t>采取的措施</w:t>
            </w:r>
          </w:p>
        </w:tc>
        <w:tc>
          <w:tcPr>
            <w:tcW w:w="419" w:type="pct"/>
            <w:gridSpan w:val="2"/>
            <w:vAlign w:val="center"/>
          </w:tcPr>
          <w:p w14:paraId="1D90C71F">
            <w:pPr>
              <w:pStyle w:val="28"/>
              <w:bidi w:val="0"/>
            </w:pPr>
            <w:r>
              <w:rPr>
                <w:rFonts w:hint="eastAsia"/>
              </w:rPr>
              <w:t>背景值</w:t>
            </w:r>
            <w:r>
              <w:t>/dB</w:t>
            </w:r>
            <w:r>
              <w:rPr>
                <w:rFonts w:hint="eastAsia"/>
              </w:rPr>
              <w:t>（</w:t>
            </w:r>
            <w:r>
              <w:t>A</w:t>
            </w:r>
            <w:r>
              <w:rPr>
                <w:rFonts w:hint="eastAsia"/>
              </w:rPr>
              <w:t>）</w:t>
            </w:r>
          </w:p>
        </w:tc>
        <w:tc>
          <w:tcPr>
            <w:tcW w:w="419" w:type="pct"/>
            <w:gridSpan w:val="2"/>
            <w:vAlign w:val="center"/>
          </w:tcPr>
          <w:p w14:paraId="0FF5B9AB">
            <w:pPr>
              <w:pStyle w:val="28"/>
              <w:bidi w:val="0"/>
            </w:pPr>
            <w:r>
              <w:rPr>
                <w:rFonts w:hint="eastAsia"/>
              </w:rPr>
              <w:t>噪声标准</w:t>
            </w:r>
            <w:r>
              <w:t>/dB</w:t>
            </w:r>
            <w:r>
              <w:rPr>
                <w:rFonts w:hint="eastAsia"/>
              </w:rPr>
              <w:t>（</w:t>
            </w:r>
            <w:r>
              <w:t>A</w:t>
            </w:r>
            <w:r>
              <w:rPr>
                <w:rFonts w:hint="eastAsia"/>
              </w:rPr>
              <w:t>）</w:t>
            </w:r>
          </w:p>
        </w:tc>
        <w:tc>
          <w:tcPr>
            <w:tcW w:w="276" w:type="pct"/>
            <w:vMerge w:val="restart"/>
            <w:vAlign w:val="center"/>
          </w:tcPr>
          <w:p w14:paraId="2ADCA60E">
            <w:pPr>
              <w:pStyle w:val="28"/>
              <w:bidi w:val="0"/>
            </w:pPr>
            <w:r>
              <w:rPr>
                <w:rFonts w:hint="eastAsia"/>
              </w:rPr>
              <w:t>贡献值</w:t>
            </w:r>
            <w:r>
              <w:t>/dB</w:t>
            </w:r>
            <w:r>
              <w:rPr>
                <w:rFonts w:hint="eastAsia"/>
              </w:rPr>
              <w:t>（</w:t>
            </w:r>
            <w:r>
              <w:t>A</w:t>
            </w:r>
            <w:r>
              <w:rPr>
                <w:rFonts w:hint="eastAsia"/>
              </w:rPr>
              <w:t>）</w:t>
            </w:r>
          </w:p>
        </w:tc>
        <w:tc>
          <w:tcPr>
            <w:tcW w:w="257" w:type="pct"/>
            <w:vMerge w:val="restart"/>
            <w:vAlign w:val="center"/>
          </w:tcPr>
          <w:p w14:paraId="22E7F392">
            <w:pPr>
              <w:pStyle w:val="28"/>
              <w:bidi w:val="0"/>
            </w:pPr>
            <w:r>
              <w:rPr>
                <w:rFonts w:hint="eastAsia"/>
              </w:rPr>
              <w:t>措施后贡献值</w:t>
            </w:r>
            <w:r>
              <w:t>/dB</w:t>
            </w:r>
            <w:r>
              <w:rPr>
                <w:rFonts w:hint="eastAsia"/>
              </w:rPr>
              <w:t>（</w:t>
            </w:r>
            <w:r>
              <w:t>A</w:t>
            </w:r>
            <w:r>
              <w:rPr>
                <w:rFonts w:hint="eastAsia"/>
              </w:rPr>
              <w:t>）</w:t>
            </w:r>
          </w:p>
        </w:tc>
        <w:tc>
          <w:tcPr>
            <w:tcW w:w="257" w:type="pct"/>
            <w:vAlign w:val="center"/>
          </w:tcPr>
          <w:p w14:paraId="0D66472C">
            <w:pPr>
              <w:pStyle w:val="28"/>
              <w:bidi w:val="0"/>
            </w:pPr>
            <w:r>
              <w:rPr>
                <w:rFonts w:hint="eastAsia"/>
              </w:rPr>
              <w:t>预测值</w:t>
            </w:r>
            <w:r>
              <w:t>/dB</w:t>
            </w:r>
            <w:r>
              <w:rPr>
                <w:rFonts w:hint="eastAsia"/>
              </w:rPr>
              <w:t>（</w:t>
            </w:r>
            <w:r>
              <w:t>A</w:t>
            </w:r>
            <w:r>
              <w:rPr>
                <w:rFonts w:hint="eastAsia"/>
              </w:rPr>
              <w:t>）</w:t>
            </w:r>
          </w:p>
        </w:tc>
        <w:tc>
          <w:tcPr>
            <w:tcW w:w="257" w:type="pct"/>
            <w:vAlign w:val="center"/>
          </w:tcPr>
          <w:p w14:paraId="51AA02EA">
            <w:pPr>
              <w:pStyle w:val="28"/>
              <w:bidi w:val="0"/>
            </w:pPr>
            <w:r>
              <w:rPr>
                <w:rFonts w:hint="eastAsia"/>
              </w:rPr>
              <w:t>较现状增量</w:t>
            </w:r>
            <w:r>
              <w:t>/dB</w:t>
            </w:r>
            <w:r>
              <w:rPr>
                <w:rFonts w:hint="eastAsia"/>
              </w:rPr>
              <w:t>（</w:t>
            </w:r>
            <w:r>
              <w:t>A</w:t>
            </w:r>
            <w:r>
              <w:rPr>
                <w:rFonts w:hint="eastAsia"/>
              </w:rPr>
              <w:t>）</w:t>
            </w:r>
          </w:p>
        </w:tc>
        <w:tc>
          <w:tcPr>
            <w:tcW w:w="209" w:type="pct"/>
            <w:vAlign w:val="center"/>
          </w:tcPr>
          <w:p w14:paraId="69D11790">
            <w:pPr>
              <w:pStyle w:val="28"/>
              <w:bidi w:val="0"/>
            </w:pPr>
            <w:r>
              <w:rPr>
                <w:rFonts w:hint="eastAsia"/>
              </w:rPr>
              <w:t>超标和达标情况</w:t>
            </w:r>
          </w:p>
        </w:tc>
      </w:tr>
      <w:tr w14:paraId="778A3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Merge w:val="continue"/>
            <w:vAlign w:val="center"/>
          </w:tcPr>
          <w:p w14:paraId="4015FAF1">
            <w:pPr>
              <w:pStyle w:val="28"/>
              <w:bidi w:val="0"/>
            </w:pPr>
          </w:p>
        </w:tc>
        <w:tc>
          <w:tcPr>
            <w:tcW w:w="511" w:type="pct"/>
            <w:vMerge w:val="continue"/>
            <w:vAlign w:val="center"/>
          </w:tcPr>
          <w:p w14:paraId="509CD1FE">
            <w:pPr>
              <w:pStyle w:val="28"/>
              <w:bidi w:val="0"/>
            </w:pPr>
          </w:p>
        </w:tc>
        <w:tc>
          <w:tcPr>
            <w:tcW w:w="366" w:type="pct"/>
            <w:vAlign w:val="center"/>
          </w:tcPr>
          <w:p w14:paraId="1059EB28">
            <w:pPr>
              <w:pStyle w:val="28"/>
              <w:bidi w:val="0"/>
            </w:pPr>
            <w:r>
              <w:rPr>
                <w:rFonts w:hint="eastAsia"/>
              </w:rPr>
              <w:t>距离（</w:t>
            </w:r>
            <w:r>
              <w:t>m</w:t>
            </w:r>
            <w:r>
              <w:rPr>
                <w:rFonts w:hint="eastAsia"/>
              </w:rPr>
              <w:t>）</w:t>
            </w:r>
          </w:p>
        </w:tc>
        <w:tc>
          <w:tcPr>
            <w:tcW w:w="268" w:type="pct"/>
            <w:vAlign w:val="center"/>
          </w:tcPr>
          <w:p w14:paraId="272AF05B">
            <w:pPr>
              <w:pStyle w:val="28"/>
              <w:bidi w:val="0"/>
            </w:pPr>
            <w:r>
              <w:rPr>
                <w:rFonts w:hint="eastAsia"/>
              </w:rPr>
              <w:t>岸别</w:t>
            </w:r>
          </w:p>
        </w:tc>
        <w:tc>
          <w:tcPr>
            <w:tcW w:w="262" w:type="pct"/>
            <w:vMerge w:val="continue"/>
            <w:vAlign w:val="center"/>
          </w:tcPr>
          <w:p w14:paraId="4BC58766">
            <w:pPr>
              <w:pStyle w:val="28"/>
              <w:bidi w:val="0"/>
            </w:pPr>
          </w:p>
        </w:tc>
        <w:tc>
          <w:tcPr>
            <w:tcW w:w="809" w:type="pct"/>
            <w:vMerge w:val="continue"/>
            <w:vAlign w:val="center"/>
          </w:tcPr>
          <w:p w14:paraId="0E534A86">
            <w:pPr>
              <w:pStyle w:val="28"/>
              <w:bidi w:val="0"/>
            </w:pPr>
          </w:p>
        </w:tc>
        <w:tc>
          <w:tcPr>
            <w:tcW w:w="208" w:type="pct"/>
            <w:vAlign w:val="center"/>
          </w:tcPr>
          <w:p w14:paraId="5FD9E424">
            <w:pPr>
              <w:pStyle w:val="28"/>
              <w:bidi w:val="0"/>
            </w:pPr>
            <w:r>
              <w:rPr>
                <w:rFonts w:hint="eastAsia"/>
              </w:rPr>
              <w:t>昼间</w:t>
            </w:r>
          </w:p>
        </w:tc>
        <w:tc>
          <w:tcPr>
            <w:tcW w:w="211" w:type="pct"/>
            <w:vAlign w:val="center"/>
          </w:tcPr>
          <w:p w14:paraId="733361B1">
            <w:pPr>
              <w:pStyle w:val="28"/>
              <w:bidi w:val="0"/>
            </w:pPr>
            <w:r>
              <w:rPr>
                <w:rFonts w:hint="eastAsia"/>
              </w:rPr>
              <w:t>夜间</w:t>
            </w:r>
          </w:p>
        </w:tc>
        <w:tc>
          <w:tcPr>
            <w:tcW w:w="208" w:type="pct"/>
            <w:vAlign w:val="center"/>
          </w:tcPr>
          <w:p w14:paraId="5D79C4C2">
            <w:pPr>
              <w:pStyle w:val="28"/>
              <w:bidi w:val="0"/>
            </w:pPr>
            <w:r>
              <w:rPr>
                <w:rFonts w:hint="eastAsia"/>
              </w:rPr>
              <w:t>昼间</w:t>
            </w:r>
          </w:p>
        </w:tc>
        <w:tc>
          <w:tcPr>
            <w:tcW w:w="211" w:type="pct"/>
            <w:vAlign w:val="center"/>
          </w:tcPr>
          <w:p w14:paraId="4E6A29F0">
            <w:pPr>
              <w:pStyle w:val="28"/>
              <w:bidi w:val="0"/>
            </w:pPr>
            <w:r>
              <w:rPr>
                <w:rFonts w:hint="eastAsia"/>
              </w:rPr>
              <w:t>夜间</w:t>
            </w:r>
          </w:p>
        </w:tc>
        <w:tc>
          <w:tcPr>
            <w:tcW w:w="276" w:type="pct"/>
            <w:vMerge w:val="continue"/>
            <w:vAlign w:val="center"/>
          </w:tcPr>
          <w:p w14:paraId="4D0B5DFA">
            <w:pPr>
              <w:pStyle w:val="28"/>
              <w:bidi w:val="0"/>
            </w:pPr>
          </w:p>
        </w:tc>
        <w:tc>
          <w:tcPr>
            <w:tcW w:w="257" w:type="pct"/>
            <w:vMerge w:val="continue"/>
            <w:vAlign w:val="center"/>
          </w:tcPr>
          <w:p w14:paraId="4A1A0B6C">
            <w:pPr>
              <w:pStyle w:val="28"/>
              <w:bidi w:val="0"/>
            </w:pPr>
          </w:p>
        </w:tc>
        <w:tc>
          <w:tcPr>
            <w:tcW w:w="257" w:type="pct"/>
            <w:vAlign w:val="center"/>
          </w:tcPr>
          <w:p w14:paraId="57828CAB">
            <w:pPr>
              <w:pStyle w:val="28"/>
              <w:bidi w:val="0"/>
            </w:pPr>
            <w:r>
              <w:rPr>
                <w:rFonts w:hint="eastAsia"/>
              </w:rPr>
              <w:t>昼间</w:t>
            </w:r>
          </w:p>
        </w:tc>
        <w:tc>
          <w:tcPr>
            <w:tcW w:w="257" w:type="pct"/>
            <w:vAlign w:val="center"/>
          </w:tcPr>
          <w:p w14:paraId="72FECC7F">
            <w:pPr>
              <w:pStyle w:val="28"/>
              <w:bidi w:val="0"/>
            </w:pPr>
            <w:r>
              <w:rPr>
                <w:rFonts w:hint="eastAsia"/>
              </w:rPr>
              <w:t>昼间</w:t>
            </w:r>
          </w:p>
        </w:tc>
        <w:tc>
          <w:tcPr>
            <w:tcW w:w="209" w:type="pct"/>
            <w:vAlign w:val="center"/>
          </w:tcPr>
          <w:p w14:paraId="400B0A27">
            <w:pPr>
              <w:pStyle w:val="28"/>
              <w:bidi w:val="0"/>
            </w:pPr>
            <w:r>
              <w:rPr>
                <w:rFonts w:hint="eastAsia"/>
              </w:rPr>
              <w:t>昼间</w:t>
            </w:r>
          </w:p>
        </w:tc>
      </w:tr>
      <w:tr w14:paraId="4FE85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7D4F3A9">
            <w:pPr>
              <w:pStyle w:val="28"/>
              <w:bidi w:val="0"/>
            </w:pPr>
            <w:r>
              <w:rPr>
                <w:rFonts w:hint="eastAsia"/>
              </w:rPr>
              <w:t>方冲</w:t>
            </w:r>
          </w:p>
        </w:tc>
        <w:tc>
          <w:tcPr>
            <w:tcW w:w="511" w:type="pct"/>
            <w:vMerge w:val="restart"/>
            <w:vAlign w:val="center"/>
          </w:tcPr>
          <w:p w14:paraId="3C96D8A2">
            <w:pPr>
              <w:pStyle w:val="28"/>
              <w:bidi w:val="0"/>
            </w:pPr>
            <w:r>
              <w:rPr>
                <w:rFonts w:hint="eastAsia"/>
              </w:rPr>
              <w:t>渠道护砌</w:t>
            </w:r>
          </w:p>
        </w:tc>
        <w:tc>
          <w:tcPr>
            <w:tcW w:w="366" w:type="pct"/>
            <w:vAlign w:val="center"/>
          </w:tcPr>
          <w:p w14:paraId="4A67F53B">
            <w:pPr>
              <w:pStyle w:val="28"/>
              <w:bidi w:val="0"/>
            </w:pPr>
            <w:r>
              <w:t>15</w:t>
            </w:r>
          </w:p>
        </w:tc>
        <w:tc>
          <w:tcPr>
            <w:tcW w:w="268" w:type="pct"/>
            <w:vMerge w:val="restart"/>
            <w:vAlign w:val="center"/>
          </w:tcPr>
          <w:p w14:paraId="23C4BA26">
            <w:pPr>
              <w:pStyle w:val="28"/>
              <w:bidi w:val="0"/>
            </w:pPr>
            <w:r>
              <w:rPr>
                <w:rFonts w:hint="eastAsia"/>
              </w:rPr>
              <w:t>右岸</w:t>
            </w:r>
          </w:p>
        </w:tc>
        <w:tc>
          <w:tcPr>
            <w:tcW w:w="262" w:type="pct"/>
            <w:vMerge w:val="restart"/>
            <w:vAlign w:val="center"/>
          </w:tcPr>
          <w:p w14:paraId="6D3F633A">
            <w:pPr>
              <w:pStyle w:val="28"/>
              <w:bidi w:val="0"/>
            </w:pPr>
            <w:r>
              <w:t>1</w:t>
            </w:r>
            <w:r>
              <w:rPr>
                <w:rFonts w:hint="eastAsia"/>
              </w:rPr>
              <w:t>类</w:t>
            </w:r>
          </w:p>
        </w:tc>
        <w:tc>
          <w:tcPr>
            <w:tcW w:w="809" w:type="pct"/>
            <w:vMerge w:val="restart"/>
            <w:vAlign w:val="center"/>
          </w:tcPr>
          <w:p w14:paraId="79A878F3">
            <w:pPr>
              <w:pStyle w:val="28"/>
              <w:bidi w:val="0"/>
            </w:pPr>
            <w:r>
              <w:rPr>
                <w:rFonts w:hint="eastAsia"/>
              </w:rPr>
              <w:t>采用低噪声设备，施工机械远离居民住宅，设置双层移动声屏障</w:t>
            </w:r>
          </w:p>
        </w:tc>
        <w:tc>
          <w:tcPr>
            <w:tcW w:w="208" w:type="pct"/>
            <w:vAlign w:val="center"/>
          </w:tcPr>
          <w:p w14:paraId="055836E3">
            <w:pPr>
              <w:pStyle w:val="28"/>
              <w:bidi w:val="0"/>
            </w:pPr>
            <w:r>
              <w:t>52.3</w:t>
            </w:r>
          </w:p>
        </w:tc>
        <w:tc>
          <w:tcPr>
            <w:tcW w:w="211" w:type="pct"/>
            <w:vAlign w:val="center"/>
          </w:tcPr>
          <w:p w14:paraId="5A08E4BE">
            <w:pPr>
              <w:pStyle w:val="28"/>
              <w:bidi w:val="0"/>
            </w:pPr>
            <w:r>
              <w:t>41.3</w:t>
            </w:r>
          </w:p>
        </w:tc>
        <w:tc>
          <w:tcPr>
            <w:tcW w:w="208" w:type="pct"/>
            <w:vAlign w:val="center"/>
          </w:tcPr>
          <w:p w14:paraId="494CC716">
            <w:pPr>
              <w:pStyle w:val="28"/>
              <w:bidi w:val="0"/>
            </w:pPr>
            <w:r>
              <w:t>55</w:t>
            </w:r>
          </w:p>
        </w:tc>
        <w:tc>
          <w:tcPr>
            <w:tcW w:w="211" w:type="pct"/>
            <w:vAlign w:val="center"/>
          </w:tcPr>
          <w:p w14:paraId="0CEC4AA3">
            <w:pPr>
              <w:pStyle w:val="28"/>
              <w:bidi w:val="0"/>
            </w:pPr>
            <w:r>
              <w:t>45</w:t>
            </w:r>
          </w:p>
        </w:tc>
        <w:tc>
          <w:tcPr>
            <w:tcW w:w="276" w:type="pct"/>
            <w:vAlign w:val="center"/>
          </w:tcPr>
          <w:p w14:paraId="3411730B">
            <w:pPr>
              <w:pStyle w:val="28"/>
              <w:bidi w:val="0"/>
            </w:pPr>
            <w:r>
              <w:t>68.3</w:t>
            </w:r>
          </w:p>
        </w:tc>
        <w:tc>
          <w:tcPr>
            <w:tcW w:w="257" w:type="pct"/>
            <w:vAlign w:val="center"/>
          </w:tcPr>
          <w:p w14:paraId="5CDA3D06">
            <w:pPr>
              <w:pStyle w:val="28"/>
              <w:bidi w:val="0"/>
            </w:pPr>
            <w:r>
              <w:t>48.3</w:t>
            </w:r>
          </w:p>
        </w:tc>
        <w:tc>
          <w:tcPr>
            <w:tcW w:w="257" w:type="pct"/>
            <w:vAlign w:val="center"/>
          </w:tcPr>
          <w:p w14:paraId="4DBB66DB">
            <w:pPr>
              <w:pStyle w:val="28"/>
              <w:bidi w:val="0"/>
            </w:pPr>
            <w:r>
              <w:t>53.8</w:t>
            </w:r>
          </w:p>
        </w:tc>
        <w:tc>
          <w:tcPr>
            <w:tcW w:w="257" w:type="pct"/>
            <w:vAlign w:val="center"/>
          </w:tcPr>
          <w:p w14:paraId="59ED2094">
            <w:pPr>
              <w:pStyle w:val="28"/>
              <w:bidi w:val="0"/>
            </w:pPr>
            <w:r>
              <w:t>1.5</w:t>
            </w:r>
          </w:p>
        </w:tc>
        <w:tc>
          <w:tcPr>
            <w:tcW w:w="209" w:type="pct"/>
            <w:vAlign w:val="center"/>
          </w:tcPr>
          <w:p w14:paraId="44433AD5">
            <w:pPr>
              <w:pStyle w:val="28"/>
              <w:bidi w:val="0"/>
            </w:pPr>
            <w:r>
              <w:t>达标</w:t>
            </w:r>
          </w:p>
        </w:tc>
      </w:tr>
      <w:tr w14:paraId="29D4B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FAC536C">
            <w:pPr>
              <w:pStyle w:val="28"/>
              <w:bidi w:val="0"/>
            </w:pPr>
            <w:r>
              <w:rPr>
                <w:rFonts w:hint="eastAsia"/>
              </w:rPr>
              <w:t>张家院</w:t>
            </w:r>
          </w:p>
        </w:tc>
        <w:tc>
          <w:tcPr>
            <w:tcW w:w="511" w:type="pct"/>
            <w:vMerge w:val="continue"/>
            <w:vAlign w:val="center"/>
          </w:tcPr>
          <w:p w14:paraId="3E656F10">
            <w:pPr>
              <w:pStyle w:val="28"/>
              <w:bidi w:val="0"/>
            </w:pPr>
          </w:p>
        </w:tc>
        <w:tc>
          <w:tcPr>
            <w:tcW w:w="366" w:type="pct"/>
            <w:vAlign w:val="center"/>
          </w:tcPr>
          <w:p w14:paraId="18B19CD6">
            <w:pPr>
              <w:pStyle w:val="28"/>
              <w:bidi w:val="0"/>
            </w:pPr>
            <w:r>
              <w:t>15</w:t>
            </w:r>
          </w:p>
        </w:tc>
        <w:tc>
          <w:tcPr>
            <w:tcW w:w="268" w:type="pct"/>
            <w:vMerge w:val="continue"/>
            <w:vAlign w:val="center"/>
          </w:tcPr>
          <w:p w14:paraId="3FD89838">
            <w:pPr>
              <w:pStyle w:val="28"/>
              <w:bidi w:val="0"/>
            </w:pPr>
          </w:p>
        </w:tc>
        <w:tc>
          <w:tcPr>
            <w:tcW w:w="262" w:type="pct"/>
            <w:vMerge w:val="continue"/>
            <w:vAlign w:val="center"/>
          </w:tcPr>
          <w:p w14:paraId="452FB225">
            <w:pPr>
              <w:pStyle w:val="28"/>
              <w:bidi w:val="0"/>
            </w:pPr>
          </w:p>
        </w:tc>
        <w:tc>
          <w:tcPr>
            <w:tcW w:w="809" w:type="pct"/>
            <w:vMerge w:val="continue"/>
            <w:vAlign w:val="center"/>
          </w:tcPr>
          <w:p w14:paraId="1F79148E">
            <w:pPr>
              <w:pStyle w:val="28"/>
              <w:bidi w:val="0"/>
            </w:pPr>
          </w:p>
        </w:tc>
        <w:tc>
          <w:tcPr>
            <w:tcW w:w="208" w:type="pct"/>
            <w:vAlign w:val="center"/>
          </w:tcPr>
          <w:p w14:paraId="2C7CD651">
            <w:pPr>
              <w:pStyle w:val="28"/>
              <w:bidi w:val="0"/>
            </w:pPr>
            <w:r>
              <w:t>52.4</w:t>
            </w:r>
          </w:p>
        </w:tc>
        <w:tc>
          <w:tcPr>
            <w:tcW w:w="211" w:type="pct"/>
            <w:vAlign w:val="center"/>
          </w:tcPr>
          <w:p w14:paraId="1DA91E10">
            <w:pPr>
              <w:pStyle w:val="28"/>
              <w:bidi w:val="0"/>
            </w:pPr>
            <w:r>
              <w:t>41.4</w:t>
            </w:r>
          </w:p>
        </w:tc>
        <w:tc>
          <w:tcPr>
            <w:tcW w:w="208" w:type="pct"/>
            <w:vAlign w:val="center"/>
          </w:tcPr>
          <w:p w14:paraId="7D9AD2E8">
            <w:pPr>
              <w:pStyle w:val="28"/>
              <w:bidi w:val="0"/>
            </w:pPr>
            <w:r>
              <w:t>55</w:t>
            </w:r>
          </w:p>
        </w:tc>
        <w:tc>
          <w:tcPr>
            <w:tcW w:w="211" w:type="pct"/>
            <w:vAlign w:val="center"/>
          </w:tcPr>
          <w:p w14:paraId="692D1EE8">
            <w:pPr>
              <w:pStyle w:val="28"/>
              <w:bidi w:val="0"/>
            </w:pPr>
            <w:r>
              <w:t>45</w:t>
            </w:r>
          </w:p>
        </w:tc>
        <w:tc>
          <w:tcPr>
            <w:tcW w:w="276" w:type="pct"/>
            <w:vAlign w:val="center"/>
          </w:tcPr>
          <w:p w14:paraId="3ECE2EE9">
            <w:pPr>
              <w:pStyle w:val="28"/>
              <w:bidi w:val="0"/>
            </w:pPr>
            <w:r>
              <w:t>68.3</w:t>
            </w:r>
          </w:p>
        </w:tc>
        <w:tc>
          <w:tcPr>
            <w:tcW w:w="257" w:type="pct"/>
            <w:vAlign w:val="center"/>
          </w:tcPr>
          <w:p w14:paraId="43C3D974">
            <w:pPr>
              <w:pStyle w:val="28"/>
              <w:bidi w:val="0"/>
            </w:pPr>
            <w:r>
              <w:t>48.3</w:t>
            </w:r>
          </w:p>
        </w:tc>
        <w:tc>
          <w:tcPr>
            <w:tcW w:w="257" w:type="pct"/>
            <w:vAlign w:val="center"/>
          </w:tcPr>
          <w:p w14:paraId="2FCE417F">
            <w:pPr>
              <w:pStyle w:val="28"/>
              <w:bidi w:val="0"/>
            </w:pPr>
            <w:r>
              <w:t>53.8</w:t>
            </w:r>
          </w:p>
        </w:tc>
        <w:tc>
          <w:tcPr>
            <w:tcW w:w="257" w:type="pct"/>
            <w:vAlign w:val="center"/>
          </w:tcPr>
          <w:p w14:paraId="02EEEE59">
            <w:pPr>
              <w:pStyle w:val="28"/>
              <w:bidi w:val="0"/>
            </w:pPr>
            <w:r>
              <w:t>1.4</w:t>
            </w:r>
          </w:p>
        </w:tc>
        <w:tc>
          <w:tcPr>
            <w:tcW w:w="209" w:type="pct"/>
            <w:vAlign w:val="center"/>
          </w:tcPr>
          <w:p w14:paraId="05B1C2D9">
            <w:pPr>
              <w:pStyle w:val="28"/>
              <w:bidi w:val="0"/>
            </w:pPr>
            <w:r>
              <w:t>达标</w:t>
            </w:r>
          </w:p>
        </w:tc>
      </w:tr>
      <w:tr w14:paraId="4CC67DDE">
        <w:tblPrEx>
          <w:tblCellMar>
            <w:top w:w="0" w:type="dxa"/>
            <w:left w:w="108" w:type="dxa"/>
            <w:bottom w:w="0" w:type="dxa"/>
            <w:right w:w="108" w:type="dxa"/>
          </w:tblCellMar>
        </w:tblPrEx>
        <w:trPr>
          <w:trHeight w:val="340" w:hRule="atLeast"/>
          <w:jc w:val="center"/>
        </w:trPr>
        <w:tc>
          <w:tcPr>
            <w:tcW w:w="685" w:type="pct"/>
            <w:vAlign w:val="center"/>
          </w:tcPr>
          <w:p w14:paraId="5F89E6BE">
            <w:pPr>
              <w:pStyle w:val="28"/>
              <w:bidi w:val="0"/>
            </w:pPr>
            <w:r>
              <w:rPr>
                <w:rFonts w:hint="eastAsia"/>
              </w:rPr>
              <w:t>方岗</w:t>
            </w:r>
          </w:p>
        </w:tc>
        <w:tc>
          <w:tcPr>
            <w:tcW w:w="511" w:type="pct"/>
            <w:vAlign w:val="center"/>
          </w:tcPr>
          <w:p w14:paraId="5B7D5352">
            <w:pPr>
              <w:pStyle w:val="28"/>
              <w:bidi w:val="0"/>
            </w:pPr>
            <w:r>
              <w:rPr>
                <w:rFonts w:hint="eastAsia"/>
              </w:rPr>
              <w:t>渠道护砌</w:t>
            </w:r>
          </w:p>
        </w:tc>
        <w:tc>
          <w:tcPr>
            <w:tcW w:w="366" w:type="pct"/>
            <w:vAlign w:val="center"/>
          </w:tcPr>
          <w:p w14:paraId="4EE81ED5">
            <w:pPr>
              <w:pStyle w:val="28"/>
              <w:bidi w:val="0"/>
            </w:pPr>
            <w:r>
              <w:t>25</w:t>
            </w:r>
          </w:p>
        </w:tc>
        <w:tc>
          <w:tcPr>
            <w:tcW w:w="268" w:type="pct"/>
            <w:vAlign w:val="center"/>
          </w:tcPr>
          <w:p w14:paraId="7F1C50C6">
            <w:pPr>
              <w:pStyle w:val="28"/>
              <w:bidi w:val="0"/>
            </w:pPr>
            <w:r>
              <w:rPr>
                <w:rFonts w:hint="eastAsia"/>
              </w:rPr>
              <w:t>左岸</w:t>
            </w:r>
          </w:p>
        </w:tc>
        <w:tc>
          <w:tcPr>
            <w:tcW w:w="262" w:type="pct"/>
            <w:vAlign w:val="center"/>
          </w:tcPr>
          <w:p w14:paraId="06A76E04">
            <w:pPr>
              <w:pStyle w:val="28"/>
              <w:bidi w:val="0"/>
            </w:pPr>
            <w:r>
              <w:t>1</w:t>
            </w:r>
            <w:r>
              <w:rPr>
                <w:rFonts w:hint="eastAsia"/>
              </w:rPr>
              <w:t>类</w:t>
            </w:r>
          </w:p>
        </w:tc>
        <w:tc>
          <w:tcPr>
            <w:tcW w:w="809" w:type="pct"/>
            <w:vMerge w:val="continue"/>
            <w:vAlign w:val="center"/>
          </w:tcPr>
          <w:p w14:paraId="63C2FA19">
            <w:pPr>
              <w:pStyle w:val="28"/>
              <w:bidi w:val="0"/>
            </w:pPr>
          </w:p>
        </w:tc>
        <w:tc>
          <w:tcPr>
            <w:tcW w:w="208" w:type="pct"/>
            <w:vAlign w:val="center"/>
          </w:tcPr>
          <w:p w14:paraId="6C58B577">
            <w:pPr>
              <w:pStyle w:val="28"/>
              <w:bidi w:val="0"/>
            </w:pPr>
            <w:r>
              <w:t>52.3</w:t>
            </w:r>
          </w:p>
        </w:tc>
        <w:tc>
          <w:tcPr>
            <w:tcW w:w="211" w:type="pct"/>
            <w:vAlign w:val="center"/>
          </w:tcPr>
          <w:p w14:paraId="46B22F34">
            <w:pPr>
              <w:pStyle w:val="28"/>
              <w:bidi w:val="0"/>
            </w:pPr>
            <w:r>
              <w:t>41.3</w:t>
            </w:r>
          </w:p>
        </w:tc>
        <w:tc>
          <w:tcPr>
            <w:tcW w:w="208" w:type="pct"/>
            <w:vAlign w:val="center"/>
          </w:tcPr>
          <w:p w14:paraId="605C10C4">
            <w:pPr>
              <w:pStyle w:val="28"/>
              <w:bidi w:val="0"/>
            </w:pPr>
            <w:r>
              <w:t>55</w:t>
            </w:r>
          </w:p>
        </w:tc>
        <w:tc>
          <w:tcPr>
            <w:tcW w:w="211" w:type="pct"/>
            <w:vAlign w:val="center"/>
          </w:tcPr>
          <w:p w14:paraId="3B68C379">
            <w:pPr>
              <w:pStyle w:val="28"/>
              <w:bidi w:val="0"/>
            </w:pPr>
            <w:r>
              <w:t>45</w:t>
            </w:r>
          </w:p>
        </w:tc>
        <w:tc>
          <w:tcPr>
            <w:tcW w:w="276" w:type="pct"/>
            <w:vAlign w:val="center"/>
          </w:tcPr>
          <w:p w14:paraId="62BBA5B9">
            <w:pPr>
              <w:pStyle w:val="28"/>
              <w:bidi w:val="0"/>
            </w:pPr>
            <w:r>
              <w:t>63.9</w:t>
            </w:r>
          </w:p>
        </w:tc>
        <w:tc>
          <w:tcPr>
            <w:tcW w:w="257" w:type="pct"/>
            <w:vAlign w:val="center"/>
          </w:tcPr>
          <w:p w14:paraId="57DA1AF9">
            <w:pPr>
              <w:pStyle w:val="28"/>
              <w:bidi w:val="0"/>
            </w:pPr>
            <w:r>
              <w:t>43.9</w:t>
            </w:r>
          </w:p>
        </w:tc>
        <w:tc>
          <w:tcPr>
            <w:tcW w:w="257" w:type="pct"/>
            <w:vAlign w:val="center"/>
          </w:tcPr>
          <w:p w14:paraId="48BCAD13">
            <w:pPr>
              <w:pStyle w:val="28"/>
              <w:bidi w:val="0"/>
            </w:pPr>
            <w:r>
              <w:t>52.9</w:t>
            </w:r>
          </w:p>
        </w:tc>
        <w:tc>
          <w:tcPr>
            <w:tcW w:w="257" w:type="pct"/>
            <w:vAlign w:val="center"/>
          </w:tcPr>
          <w:p w14:paraId="6265AC3A">
            <w:pPr>
              <w:pStyle w:val="28"/>
              <w:bidi w:val="0"/>
            </w:pPr>
            <w:r>
              <w:t>0.6</w:t>
            </w:r>
          </w:p>
        </w:tc>
        <w:tc>
          <w:tcPr>
            <w:tcW w:w="209" w:type="pct"/>
            <w:vAlign w:val="center"/>
          </w:tcPr>
          <w:p w14:paraId="58280B1C">
            <w:pPr>
              <w:pStyle w:val="28"/>
              <w:bidi w:val="0"/>
            </w:pPr>
            <w:r>
              <w:t>达标</w:t>
            </w:r>
          </w:p>
        </w:tc>
      </w:tr>
      <w:tr w14:paraId="41B19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F05F455">
            <w:pPr>
              <w:pStyle w:val="28"/>
              <w:bidi w:val="0"/>
            </w:pPr>
            <w:r>
              <w:rPr>
                <w:rFonts w:hint="eastAsia"/>
              </w:rPr>
              <w:t>罗院子</w:t>
            </w:r>
          </w:p>
        </w:tc>
        <w:tc>
          <w:tcPr>
            <w:tcW w:w="511" w:type="pct"/>
            <w:vAlign w:val="center"/>
          </w:tcPr>
          <w:p w14:paraId="684BEED2">
            <w:pPr>
              <w:pStyle w:val="28"/>
              <w:bidi w:val="0"/>
            </w:pPr>
            <w:r>
              <w:rPr>
                <w:rFonts w:hint="eastAsia"/>
              </w:rPr>
              <w:t>渠道护砌</w:t>
            </w:r>
          </w:p>
        </w:tc>
        <w:tc>
          <w:tcPr>
            <w:tcW w:w="366" w:type="pct"/>
            <w:vAlign w:val="center"/>
          </w:tcPr>
          <w:p w14:paraId="1E3F9931">
            <w:pPr>
              <w:pStyle w:val="28"/>
              <w:bidi w:val="0"/>
            </w:pPr>
            <w:r>
              <w:t>15</w:t>
            </w:r>
          </w:p>
        </w:tc>
        <w:tc>
          <w:tcPr>
            <w:tcW w:w="268" w:type="pct"/>
            <w:vAlign w:val="center"/>
          </w:tcPr>
          <w:p w14:paraId="2F35542E">
            <w:pPr>
              <w:pStyle w:val="28"/>
              <w:bidi w:val="0"/>
            </w:pPr>
            <w:r>
              <w:rPr>
                <w:rFonts w:hint="eastAsia"/>
              </w:rPr>
              <w:t>右岸</w:t>
            </w:r>
          </w:p>
        </w:tc>
        <w:tc>
          <w:tcPr>
            <w:tcW w:w="262" w:type="pct"/>
            <w:vAlign w:val="center"/>
          </w:tcPr>
          <w:p w14:paraId="73B2E67A">
            <w:pPr>
              <w:pStyle w:val="28"/>
              <w:bidi w:val="0"/>
            </w:pPr>
            <w:r>
              <w:t>1</w:t>
            </w:r>
            <w:r>
              <w:rPr>
                <w:rFonts w:hint="eastAsia"/>
              </w:rPr>
              <w:t>类</w:t>
            </w:r>
          </w:p>
        </w:tc>
        <w:tc>
          <w:tcPr>
            <w:tcW w:w="809" w:type="pct"/>
            <w:vMerge w:val="continue"/>
            <w:vAlign w:val="center"/>
          </w:tcPr>
          <w:p w14:paraId="7E944200">
            <w:pPr>
              <w:pStyle w:val="28"/>
              <w:bidi w:val="0"/>
            </w:pPr>
          </w:p>
        </w:tc>
        <w:tc>
          <w:tcPr>
            <w:tcW w:w="208" w:type="pct"/>
            <w:vAlign w:val="center"/>
          </w:tcPr>
          <w:p w14:paraId="4C434CEC">
            <w:pPr>
              <w:pStyle w:val="28"/>
              <w:bidi w:val="0"/>
            </w:pPr>
            <w:r>
              <w:t>52.3</w:t>
            </w:r>
          </w:p>
        </w:tc>
        <w:tc>
          <w:tcPr>
            <w:tcW w:w="211" w:type="pct"/>
            <w:vAlign w:val="center"/>
          </w:tcPr>
          <w:p w14:paraId="05379E4F">
            <w:pPr>
              <w:pStyle w:val="28"/>
              <w:bidi w:val="0"/>
            </w:pPr>
            <w:r>
              <w:t>41.3</w:t>
            </w:r>
          </w:p>
        </w:tc>
        <w:tc>
          <w:tcPr>
            <w:tcW w:w="208" w:type="pct"/>
            <w:vAlign w:val="center"/>
          </w:tcPr>
          <w:p w14:paraId="0A4A4BB7">
            <w:pPr>
              <w:pStyle w:val="28"/>
              <w:bidi w:val="0"/>
            </w:pPr>
            <w:r>
              <w:t>55</w:t>
            </w:r>
          </w:p>
        </w:tc>
        <w:tc>
          <w:tcPr>
            <w:tcW w:w="211" w:type="pct"/>
            <w:vAlign w:val="center"/>
          </w:tcPr>
          <w:p w14:paraId="113D6B0E">
            <w:pPr>
              <w:pStyle w:val="28"/>
              <w:bidi w:val="0"/>
            </w:pPr>
            <w:r>
              <w:t>45</w:t>
            </w:r>
          </w:p>
        </w:tc>
        <w:tc>
          <w:tcPr>
            <w:tcW w:w="276" w:type="pct"/>
            <w:vAlign w:val="center"/>
          </w:tcPr>
          <w:p w14:paraId="2D425F12">
            <w:pPr>
              <w:pStyle w:val="28"/>
              <w:bidi w:val="0"/>
            </w:pPr>
            <w:r>
              <w:t>68.3</w:t>
            </w:r>
          </w:p>
        </w:tc>
        <w:tc>
          <w:tcPr>
            <w:tcW w:w="257" w:type="pct"/>
            <w:vAlign w:val="center"/>
          </w:tcPr>
          <w:p w14:paraId="75F75661">
            <w:pPr>
              <w:pStyle w:val="28"/>
              <w:bidi w:val="0"/>
            </w:pPr>
            <w:r>
              <w:t>48.3</w:t>
            </w:r>
          </w:p>
        </w:tc>
        <w:tc>
          <w:tcPr>
            <w:tcW w:w="257" w:type="pct"/>
            <w:vAlign w:val="center"/>
          </w:tcPr>
          <w:p w14:paraId="721DEE4C">
            <w:pPr>
              <w:pStyle w:val="28"/>
              <w:bidi w:val="0"/>
            </w:pPr>
            <w:r>
              <w:t>53.8</w:t>
            </w:r>
          </w:p>
        </w:tc>
        <w:tc>
          <w:tcPr>
            <w:tcW w:w="257" w:type="pct"/>
            <w:vAlign w:val="center"/>
          </w:tcPr>
          <w:p w14:paraId="4FF7FE69">
            <w:pPr>
              <w:pStyle w:val="28"/>
              <w:bidi w:val="0"/>
            </w:pPr>
            <w:r>
              <w:t>1.5</w:t>
            </w:r>
          </w:p>
        </w:tc>
        <w:tc>
          <w:tcPr>
            <w:tcW w:w="209" w:type="pct"/>
            <w:vAlign w:val="center"/>
          </w:tcPr>
          <w:p w14:paraId="43CB2254">
            <w:pPr>
              <w:pStyle w:val="28"/>
              <w:bidi w:val="0"/>
            </w:pPr>
            <w:r>
              <w:t>达标</w:t>
            </w:r>
          </w:p>
        </w:tc>
      </w:tr>
      <w:tr w14:paraId="73689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A8B9189">
            <w:pPr>
              <w:pStyle w:val="28"/>
              <w:bidi w:val="0"/>
            </w:pPr>
            <w:r>
              <w:rPr>
                <w:rFonts w:hint="eastAsia"/>
              </w:rPr>
              <w:t>方家凹</w:t>
            </w:r>
          </w:p>
        </w:tc>
        <w:tc>
          <w:tcPr>
            <w:tcW w:w="511" w:type="pct"/>
            <w:vAlign w:val="center"/>
          </w:tcPr>
          <w:p w14:paraId="733CD116">
            <w:pPr>
              <w:pStyle w:val="28"/>
              <w:bidi w:val="0"/>
            </w:pPr>
            <w:r>
              <w:rPr>
                <w:rFonts w:hint="eastAsia"/>
              </w:rPr>
              <w:t>渠道护砌</w:t>
            </w:r>
          </w:p>
        </w:tc>
        <w:tc>
          <w:tcPr>
            <w:tcW w:w="366" w:type="pct"/>
            <w:vAlign w:val="center"/>
          </w:tcPr>
          <w:p w14:paraId="5734274C">
            <w:pPr>
              <w:pStyle w:val="28"/>
              <w:bidi w:val="0"/>
            </w:pPr>
            <w:r>
              <w:t>35</w:t>
            </w:r>
          </w:p>
        </w:tc>
        <w:tc>
          <w:tcPr>
            <w:tcW w:w="268" w:type="pct"/>
            <w:vAlign w:val="center"/>
          </w:tcPr>
          <w:p w14:paraId="7D8DF5CE">
            <w:pPr>
              <w:pStyle w:val="28"/>
              <w:bidi w:val="0"/>
            </w:pPr>
            <w:r>
              <w:rPr>
                <w:rFonts w:hint="eastAsia"/>
              </w:rPr>
              <w:t>左岸</w:t>
            </w:r>
          </w:p>
        </w:tc>
        <w:tc>
          <w:tcPr>
            <w:tcW w:w="262" w:type="pct"/>
            <w:vAlign w:val="center"/>
          </w:tcPr>
          <w:p w14:paraId="7398DBB1">
            <w:pPr>
              <w:pStyle w:val="28"/>
              <w:bidi w:val="0"/>
            </w:pPr>
            <w:r>
              <w:t>1</w:t>
            </w:r>
            <w:r>
              <w:rPr>
                <w:rFonts w:hint="eastAsia"/>
              </w:rPr>
              <w:t>类</w:t>
            </w:r>
          </w:p>
        </w:tc>
        <w:tc>
          <w:tcPr>
            <w:tcW w:w="809" w:type="pct"/>
            <w:vMerge w:val="continue"/>
            <w:vAlign w:val="center"/>
          </w:tcPr>
          <w:p w14:paraId="36448D0A">
            <w:pPr>
              <w:pStyle w:val="28"/>
              <w:bidi w:val="0"/>
            </w:pPr>
          </w:p>
        </w:tc>
        <w:tc>
          <w:tcPr>
            <w:tcW w:w="208" w:type="pct"/>
            <w:vAlign w:val="center"/>
          </w:tcPr>
          <w:p w14:paraId="31C518B8">
            <w:pPr>
              <w:pStyle w:val="28"/>
              <w:bidi w:val="0"/>
            </w:pPr>
            <w:r>
              <w:t>52.0</w:t>
            </w:r>
          </w:p>
        </w:tc>
        <w:tc>
          <w:tcPr>
            <w:tcW w:w="211" w:type="pct"/>
            <w:vAlign w:val="center"/>
          </w:tcPr>
          <w:p w14:paraId="7D94EBAC">
            <w:pPr>
              <w:pStyle w:val="28"/>
              <w:bidi w:val="0"/>
            </w:pPr>
            <w:r>
              <w:t>41.0</w:t>
            </w:r>
          </w:p>
        </w:tc>
        <w:tc>
          <w:tcPr>
            <w:tcW w:w="208" w:type="pct"/>
            <w:vAlign w:val="center"/>
          </w:tcPr>
          <w:p w14:paraId="21239518">
            <w:pPr>
              <w:pStyle w:val="28"/>
              <w:bidi w:val="0"/>
            </w:pPr>
            <w:r>
              <w:t>55</w:t>
            </w:r>
          </w:p>
        </w:tc>
        <w:tc>
          <w:tcPr>
            <w:tcW w:w="211" w:type="pct"/>
            <w:vAlign w:val="center"/>
          </w:tcPr>
          <w:p w14:paraId="69D7CB5D">
            <w:pPr>
              <w:pStyle w:val="28"/>
              <w:bidi w:val="0"/>
            </w:pPr>
            <w:r>
              <w:t>45</w:t>
            </w:r>
          </w:p>
        </w:tc>
        <w:tc>
          <w:tcPr>
            <w:tcW w:w="276" w:type="pct"/>
            <w:vAlign w:val="center"/>
          </w:tcPr>
          <w:p w14:paraId="0F8CD5AF">
            <w:pPr>
              <w:pStyle w:val="28"/>
              <w:bidi w:val="0"/>
            </w:pPr>
            <w:r>
              <w:t>61.0</w:t>
            </w:r>
          </w:p>
        </w:tc>
        <w:tc>
          <w:tcPr>
            <w:tcW w:w="257" w:type="pct"/>
            <w:vAlign w:val="center"/>
          </w:tcPr>
          <w:p w14:paraId="0921DA2A">
            <w:pPr>
              <w:pStyle w:val="28"/>
              <w:bidi w:val="0"/>
            </w:pPr>
            <w:r>
              <w:t>41.0</w:t>
            </w:r>
          </w:p>
        </w:tc>
        <w:tc>
          <w:tcPr>
            <w:tcW w:w="257" w:type="pct"/>
            <w:vAlign w:val="center"/>
          </w:tcPr>
          <w:p w14:paraId="05C84D02">
            <w:pPr>
              <w:pStyle w:val="28"/>
              <w:bidi w:val="0"/>
            </w:pPr>
            <w:r>
              <w:t>52.3</w:t>
            </w:r>
          </w:p>
        </w:tc>
        <w:tc>
          <w:tcPr>
            <w:tcW w:w="257" w:type="pct"/>
            <w:vAlign w:val="center"/>
          </w:tcPr>
          <w:p w14:paraId="202DA6A9">
            <w:pPr>
              <w:pStyle w:val="28"/>
              <w:bidi w:val="0"/>
            </w:pPr>
            <w:r>
              <w:t>0.3</w:t>
            </w:r>
          </w:p>
        </w:tc>
        <w:tc>
          <w:tcPr>
            <w:tcW w:w="209" w:type="pct"/>
            <w:vAlign w:val="center"/>
          </w:tcPr>
          <w:p w14:paraId="2DAFFAC5">
            <w:pPr>
              <w:pStyle w:val="28"/>
              <w:bidi w:val="0"/>
            </w:pPr>
            <w:r>
              <w:t>达标</w:t>
            </w:r>
          </w:p>
        </w:tc>
      </w:tr>
      <w:tr w14:paraId="23C45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720400E">
            <w:pPr>
              <w:pStyle w:val="28"/>
              <w:bidi w:val="0"/>
            </w:pPr>
            <w:r>
              <w:rPr>
                <w:rFonts w:hint="eastAsia"/>
              </w:rPr>
              <w:t>鲍家庄</w:t>
            </w:r>
          </w:p>
        </w:tc>
        <w:tc>
          <w:tcPr>
            <w:tcW w:w="511" w:type="pct"/>
            <w:vAlign w:val="center"/>
          </w:tcPr>
          <w:p w14:paraId="44EFAF58">
            <w:pPr>
              <w:pStyle w:val="28"/>
              <w:bidi w:val="0"/>
            </w:pPr>
            <w:r>
              <w:rPr>
                <w:rFonts w:hint="eastAsia"/>
              </w:rPr>
              <w:t>渠道护砌</w:t>
            </w:r>
          </w:p>
        </w:tc>
        <w:tc>
          <w:tcPr>
            <w:tcW w:w="366" w:type="pct"/>
            <w:vAlign w:val="center"/>
          </w:tcPr>
          <w:p w14:paraId="05D68B0F">
            <w:pPr>
              <w:pStyle w:val="28"/>
              <w:bidi w:val="0"/>
            </w:pPr>
            <w:r>
              <w:t>25</w:t>
            </w:r>
          </w:p>
        </w:tc>
        <w:tc>
          <w:tcPr>
            <w:tcW w:w="268" w:type="pct"/>
            <w:vAlign w:val="center"/>
          </w:tcPr>
          <w:p w14:paraId="0555FC0E">
            <w:pPr>
              <w:pStyle w:val="28"/>
              <w:bidi w:val="0"/>
            </w:pPr>
            <w:r>
              <w:rPr>
                <w:rFonts w:hint="eastAsia"/>
              </w:rPr>
              <w:t>右岸</w:t>
            </w:r>
          </w:p>
        </w:tc>
        <w:tc>
          <w:tcPr>
            <w:tcW w:w="262" w:type="pct"/>
            <w:vAlign w:val="center"/>
          </w:tcPr>
          <w:p w14:paraId="2E655FC9">
            <w:pPr>
              <w:pStyle w:val="28"/>
              <w:bidi w:val="0"/>
            </w:pPr>
            <w:r>
              <w:t>1</w:t>
            </w:r>
            <w:r>
              <w:rPr>
                <w:rFonts w:hint="eastAsia"/>
              </w:rPr>
              <w:t>类</w:t>
            </w:r>
          </w:p>
        </w:tc>
        <w:tc>
          <w:tcPr>
            <w:tcW w:w="809" w:type="pct"/>
            <w:vMerge w:val="continue"/>
            <w:vAlign w:val="center"/>
          </w:tcPr>
          <w:p w14:paraId="5802D7FE">
            <w:pPr>
              <w:pStyle w:val="28"/>
              <w:bidi w:val="0"/>
            </w:pPr>
          </w:p>
        </w:tc>
        <w:tc>
          <w:tcPr>
            <w:tcW w:w="208" w:type="pct"/>
            <w:vAlign w:val="center"/>
          </w:tcPr>
          <w:p w14:paraId="77794C83">
            <w:pPr>
              <w:pStyle w:val="28"/>
              <w:bidi w:val="0"/>
            </w:pPr>
            <w:r>
              <w:t>52.3</w:t>
            </w:r>
          </w:p>
        </w:tc>
        <w:tc>
          <w:tcPr>
            <w:tcW w:w="211" w:type="pct"/>
            <w:vAlign w:val="center"/>
          </w:tcPr>
          <w:p w14:paraId="744DA5FA">
            <w:pPr>
              <w:pStyle w:val="28"/>
              <w:bidi w:val="0"/>
            </w:pPr>
            <w:r>
              <w:t>41.3</w:t>
            </w:r>
          </w:p>
        </w:tc>
        <w:tc>
          <w:tcPr>
            <w:tcW w:w="208" w:type="pct"/>
            <w:vAlign w:val="center"/>
          </w:tcPr>
          <w:p w14:paraId="63C44528">
            <w:pPr>
              <w:pStyle w:val="28"/>
              <w:bidi w:val="0"/>
            </w:pPr>
            <w:r>
              <w:t>55</w:t>
            </w:r>
          </w:p>
        </w:tc>
        <w:tc>
          <w:tcPr>
            <w:tcW w:w="211" w:type="pct"/>
            <w:vAlign w:val="center"/>
          </w:tcPr>
          <w:p w14:paraId="66842AE1">
            <w:pPr>
              <w:pStyle w:val="28"/>
              <w:bidi w:val="0"/>
            </w:pPr>
            <w:r>
              <w:t>45</w:t>
            </w:r>
          </w:p>
        </w:tc>
        <w:tc>
          <w:tcPr>
            <w:tcW w:w="276" w:type="pct"/>
            <w:vAlign w:val="center"/>
          </w:tcPr>
          <w:p w14:paraId="5765857E">
            <w:pPr>
              <w:pStyle w:val="28"/>
              <w:bidi w:val="0"/>
            </w:pPr>
            <w:r>
              <w:t>63.9</w:t>
            </w:r>
          </w:p>
        </w:tc>
        <w:tc>
          <w:tcPr>
            <w:tcW w:w="257" w:type="pct"/>
            <w:vAlign w:val="center"/>
          </w:tcPr>
          <w:p w14:paraId="605F6A07">
            <w:pPr>
              <w:pStyle w:val="28"/>
              <w:bidi w:val="0"/>
            </w:pPr>
            <w:r>
              <w:t>43.9</w:t>
            </w:r>
          </w:p>
        </w:tc>
        <w:tc>
          <w:tcPr>
            <w:tcW w:w="257" w:type="pct"/>
            <w:vAlign w:val="center"/>
          </w:tcPr>
          <w:p w14:paraId="117B4B28">
            <w:pPr>
              <w:pStyle w:val="28"/>
              <w:bidi w:val="0"/>
            </w:pPr>
            <w:r>
              <w:t>52.9</w:t>
            </w:r>
          </w:p>
        </w:tc>
        <w:tc>
          <w:tcPr>
            <w:tcW w:w="257" w:type="pct"/>
            <w:vAlign w:val="center"/>
          </w:tcPr>
          <w:p w14:paraId="02E1DBBA">
            <w:pPr>
              <w:pStyle w:val="28"/>
              <w:bidi w:val="0"/>
            </w:pPr>
            <w:r>
              <w:t>0.6</w:t>
            </w:r>
          </w:p>
        </w:tc>
        <w:tc>
          <w:tcPr>
            <w:tcW w:w="209" w:type="pct"/>
            <w:vAlign w:val="center"/>
          </w:tcPr>
          <w:p w14:paraId="4CAA3B43">
            <w:pPr>
              <w:pStyle w:val="28"/>
              <w:bidi w:val="0"/>
            </w:pPr>
            <w:r>
              <w:t>达标</w:t>
            </w:r>
          </w:p>
        </w:tc>
      </w:tr>
      <w:tr w14:paraId="607C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3424E49">
            <w:pPr>
              <w:pStyle w:val="28"/>
              <w:bidi w:val="0"/>
            </w:pPr>
            <w:r>
              <w:rPr>
                <w:rFonts w:hint="eastAsia"/>
              </w:rPr>
              <w:t>刘家庄</w:t>
            </w:r>
          </w:p>
        </w:tc>
        <w:tc>
          <w:tcPr>
            <w:tcW w:w="511" w:type="pct"/>
            <w:vAlign w:val="center"/>
          </w:tcPr>
          <w:p w14:paraId="30D9BBB9">
            <w:pPr>
              <w:pStyle w:val="28"/>
              <w:bidi w:val="0"/>
            </w:pPr>
            <w:r>
              <w:rPr>
                <w:rFonts w:hint="eastAsia"/>
              </w:rPr>
              <w:t>渠道护砌</w:t>
            </w:r>
          </w:p>
        </w:tc>
        <w:tc>
          <w:tcPr>
            <w:tcW w:w="366" w:type="pct"/>
            <w:vAlign w:val="center"/>
          </w:tcPr>
          <w:p w14:paraId="27C77B86">
            <w:pPr>
              <w:pStyle w:val="28"/>
              <w:bidi w:val="0"/>
            </w:pPr>
            <w:r>
              <w:t>20</w:t>
            </w:r>
          </w:p>
        </w:tc>
        <w:tc>
          <w:tcPr>
            <w:tcW w:w="268" w:type="pct"/>
            <w:vAlign w:val="center"/>
          </w:tcPr>
          <w:p w14:paraId="15D3DC05">
            <w:pPr>
              <w:pStyle w:val="28"/>
              <w:bidi w:val="0"/>
            </w:pPr>
            <w:r>
              <w:rPr>
                <w:rFonts w:hint="eastAsia"/>
              </w:rPr>
              <w:t>右岸</w:t>
            </w:r>
          </w:p>
        </w:tc>
        <w:tc>
          <w:tcPr>
            <w:tcW w:w="262" w:type="pct"/>
            <w:vMerge w:val="restart"/>
            <w:vAlign w:val="center"/>
          </w:tcPr>
          <w:p w14:paraId="1E160E41">
            <w:pPr>
              <w:pStyle w:val="28"/>
              <w:bidi w:val="0"/>
            </w:pPr>
            <w:r>
              <w:t>1</w:t>
            </w:r>
            <w:r>
              <w:rPr>
                <w:rFonts w:hint="eastAsia"/>
              </w:rPr>
              <w:t>类</w:t>
            </w:r>
          </w:p>
        </w:tc>
        <w:tc>
          <w:tcPr>
            <w:tcW w:w="809" w:type="pct"/>
            <w:vMerge w:val="continue"/>
            <w:vAlign w:val="center"/>
          </w:tcPr>
          <w:p w14:paraId="7737330E">
            <w:pPr>
              <w:pStyle w:val="28"/>
              <w:bidi w:val="0"/>
            </w:pPr>
          </w:p>
        </w:tc>
        <w:tc>
          <w:tcPr>
            <w:tcW w:w="208" w:type="pct"/>
            <w:vAlign w:val="center"/>
          </w:tcPr>
          <w:p w14:paraId="66DFE253">
            <w:pPr>
              <w:pStyle w:val="28"/>
              <w:bidi w:val="0"/>
            </w:pPr>
            <w:r>
              <w:t>52.3</w:t>
            </w:r>
          </w:p>
        </w:tc>
        <w:tc>
          <w:tcPr>
            <w:tcW w:w="211" w:type="pct"/>
            <w:vAlign w:val="center"/>
          </w:tcPr>
          <w:p w14:paraId="0AAD7D72">
            <w:pPr>
              <w:pStyle w:val="28"/>
              <w:bidi w:val="0"/>
            </w:pPr>
            <w:r>
              <w:t>41.3</w:t>
            </w:r>
          </w:p>
        </w:tc>
        <w:tc>
          <w:tcPr>
            <w:tcW w:w="208" w:type="pct"/>
            <w:vAlign w:val="center"/>
          </w:tcPr>
          <w:p w14:paraId="2A437512">
            <w:pPr>
              <w:pStyle w:val="28"/>
              <w:bidi w:val="0"/>
            </w:pPr>
            <w:r>
              <w:t>55</w:t>
            </w:r>
          </w:p>
        </w:tc>
        <w:tc>
          <w:tcPr>
            <w:tcW w:w="211" w:type="pct"/>
            <w:vAlign w:val="center"/>
          </w:tcPr>
          <w:p w14:paraId="0C9EE0FD">
            <w:pPr>
              <w:pStyle w:val="28"/>
              <w:bidi w:val="0"/>
            </w:pPr>
            <w:r>
              <w:t>45</w:t>
            </w:r>
          </w:p>
        </w:tc>
        <w:tc>
          <w:tcPr>
            <w:tcW w:w="276" w:type="pct"/>
            <w:vAlign w:val="center"/>
          </w:tcPr>
          <w:p w14:paraId="499F9BD0">
            <w:pPr>
              <w:pStyle w:val="28"/>
              <w:bidi w:val="0"/>
            </w:pPr>
            <w:r>
              <w:t>65.8</w:t>
            </w:r>
          </w:p>
        </w:tc>
        <w:tc>
          <w:tcPr>
            <w:tcW w:w="257" w:type="pct"/>
            <w:vAlign w:val="center"/>
          </w:tcPr>
          <w:p w14:paraId="1A42C469">
            <w:pPr>
              <w:pStyle w:val="28"/>
              <w:bidi w:val="0"/>
            </w:pPr>
            <w:r>
              <w:t>45.8</w:t>
            </w:r>
          </w:p>
        </w:tc>
        <w:tc>
          <w:tcPr>
            <w:tcW w:w="257" w:type="pct"/>
            <w:vAlign w:val="center"/>
          </w:tcPr>
          <w:p w14:paraId="50547F40">
            <w:pPr>
              <w:pStyle w:val="28"/>
              <w:bidi w:val="0"/>
            </w:pPr>
            <w:r>
              <w:t>53.2</w:t>
            </w:r>
          </w:p>
        </w:tc>
        <w:tc>
          <w:tcPr>
            <w:tcW w:w="257" w:type="pct"/>
            <w:vAlign w:val="center"/>
          </w:tcPr>
          <w:p w14:paraId="650DE3FC">
            <w:pPr>
              <w:pStyle w:val="28"/>
              <w:bidi w:val="0"/>
            </w:pPr>
            <w:r>
              <w:t>0.9</w:t>
            </w:r>
          </w:p>
        </w:tc>
        <w:tc>
          <w:tcPr>
            <w:tcW w:w="209" w:type="pct"/>
            <w:vAlign w:val="center"/>
          </w:tcPr>
          <w:p w14:paraId="028C8185">
            <w:pPr>
              <w:pStyle w:val="28"/>
              <w:bidi w:val="0"/>
            </w:pPr>
            <w:r>
              <w:t>达标</w:t>
            </w:r>
          </w:p>
        </w:tc>
      </w:tr>
      <w:tr w14:paraId="2E727D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F91786E">
            <w:pPr>
              <w:pStyle w:val="28"/>
              <w:bidi w:val="0"/>
            </w:pPr>
            <w:r>
              <w:rPr>
                <w:rFonts w:hint="eastAsia"/>
              </w:rPr>
              <w:t>上老院</w:t>
            </w:r>
          </w:p>
        </w:tc>
        <w:tc>
          <w:tcPr>
            <w:tcW w:w="511" w:type="pct"/>
            <w:vAlign w:val="center"/>
          </w:tcPr>
          <w:p w14:paraId="3814B1D1">
            <w:pPr>
              <w:pStyle w:val="28"/>
              <w:bidi w:val="0"/>
            </w:pPr>
            <w:r>
              <w:rPr>
                <w:rFonts w:hint="eastAsia"/>
              </w:rPr>
              <w:t>渠道护砌</w:t>
            </w:r>
          </w:p>
        </w:tc>
        <w:tc>
          <w:tcPr>
            <w:tcW w:w="366" w:type="pct"/>
            <w:vAlign w:val="center"/>
          </w:tcPr>
          <w:p w14:paraId="0D1589C6">
            <w:pPr>
              <w:pStyle w:val="28"/>
              <w:bidi w:val="0"/>
            </w:pPr>
            <w:r>
              <w:t>50</w:t>
            </w:r>
          </w:p>
        </w:tc>
        <w:tc>
          <w:tcPr>
            <w:tcW w:w="268" w:type="pct"/>
            <w:vAlign w:val="center"/>
          </w:tcPr>
          <w:p w14:paraId="64866819">
            <w:pPr>
              <w:pStyle w:val="28"/>
              <w:bidi w:val="0"/>
            </w:pPr>
            <w:r>
              <w:rPr>
                <w:rFonts w:hint="eastAsia"/>
              </w:rPr>
              <w:t>左岸</w:t>
            </w:r>
          </w:p>
        </w:tc>
        <w:tc>
          <w:tcPr>
            <w:tcW w:w="262" w:type="pct"/>
            <w:vMerge w:val="continue"/>
            <w:vAlign w:val="center"/>
          </w:tcPr>
          <w:p w14:paraId="50B7C19A">
            <w:pPr>
              <w:pStyle w:val="28"/>
              <w:bidi w:val="0"/>
            </w:pPr>
          </w:p>
        </w:tc>
        <w:tc>
          <w:tcPr>
            <w:tcW w:w="809" w:type="pct"/>
            <w:vMerge w:val="restart"/>
            <w:vAlign w:val="center"/>
          </w:tcPr>
          <w:p w14:paraId="189EDCBA">
            <w:pPr>
              <w:pStyle w:val="28"/>
              <w:bidi w:val="0"/>
            </w:pPr>
            <w:r>
              <w:rPr>
                <w:rFonts w:hint="eastAsia"/>
              </w:rPr>
              <w:t>采用低噪声设备，施工机械远离居民住宅</w:t>
            </w:r>
          </w:p>
        </w:tc>
        <w:tc>
          <w:tcPr>
            <w:tcW w:w="208" w:type="pct"/>
            <w:vAlign w:val="center"/>
          </w:tcPr>
          <w:p w14:paraId="56A4E223">
            <w:pPr>
              <w:pStyle w:val="28"/>
              <w:bidi w:val="0"/>
            </w:pPr>
            <w:r>
              <w:t>51.6</w:t>
            </w:r>
          </w:p>
        </w:tc>
        <w:tc>
          <w:tcPr>
            <w:tcW w:w="211" w:type="pct"/>
            <w:vAlign w:val="center"/>
          </w:tcPr>
          <w:p w14:paraId="28A00F22">
            <w:pPr>
              <w:pStyle w:val="28"/>
              <w:bidi w:val="0"/>
            </w:pPr>
            <w:r>
              <w:t>40.9</w:t>
            </w:r>
          </w:p>
        </w:tc>
        <w:tc>
          <w:tcPr>
            <w:tcW w:w="208" w:type="pct"/>
            <w:vAlign w:val="center"/>
          </w:tcPr>
          <w:p w14:paraId="0B25BB6F">
            <w:pPr>
              <w:pStyle w:val="28"/>
              <w:bidi w:val="0"/>
            </w:pPr>
            <w:r>
              <w:t>55</w:t>
            </w:r>
          </w:p>
        </w:tc>
        <w:tc>
          <w:tcPr>
            <w:tcW w:w="211" w:type="pct"/>
            <w:vAlign w:val="center"/>
          </w:tcPr>
          <w:p w14:paraId="72D3186F">
            <w:pPr>
              <w:pStyle w:val="28"/>
              <w:bidi w:val="0"/>
            </w:pPr>
            <w:r>
              <w:t>45</w:t>
            </w:r>
          </w:p>
        </w:tc>
        <w:tc>
          <w:tcPr>
            <w:tcW w:w="276" w:type="pct"/>
            <w:vAlign w:val="center"/>
          </w:tcPr>
          <w:p w14:paraId="579FFE47">
            <w:pPr>
              <w:pStyle w:val="28"/>
              <w:bidi w:val="0"/>
            </w:pPr>
            <w:r>
              <w:t>57.9</w:t>
            </w:r>
          </w:p>
        </w:tc>
        <w:tc>
          <w:tcPr>
            <w:tcW w:w="257" w:type="pct"/>
            <w:vAlign w:val="center"/>
          </w:tcPr>
          <w:p w14:paraId="12BC6727">
            <w:pPr>
              <w:pStyle w:val="28"/>
              <w:bidi w:val="0"/>
            </w:pPr>
            <w:r>
              <w:t>51.9</w:t>
            </w:r>
          </w:p>
        </w:tc>
        <w:tc>
          <w:tcPr>
            <w:tcW w:w="257" w:type="pct"/>
            <w:vAlign w:val="center"/>
          </w:tcPr>
          <w:p w14:paraId="0ADB016C">
            <w:pPr>
              <w:pStyle w:val="28"/>
              <w:bidi w:val="0"/>
            </w:pPr>
            <w:r>
              <w:t>54.8</w:t>
            </w:r>
          </w:p>
        </w:tc>
        <w:tc>
          <w:tcPr>
            <w:tcW w:w="257" w:type="pct"/>
            <w:vAlign w:val="center"/>
          </w:tcPr>
          <w:p w14:paraId="0AB84FBF">
            <w:pPr>
              <w:pStyle w:val="28"/>
              <w:bidi w:val="0"/>
            </w:pPr>
            <w:r>
              <w:t>3.2</w:t>
            </w:r>
          </w:p>
        </w:tc>
        <w:tc>
          <w:tcPr>
            <w:tcW w:w="209" w:type="pct"/>
            <w:vAlign w:val="center"/>
          </w:tcPr>
          <w:p w14:paraId="4A555592">
            <w:pPr>
              <w:pStyle w:val="28"/>
              <w:bidi w:val="0"/>
            </w:pPr>
            <w:r>
              <w:t>达标</w:t>
            </w:r>
          </w:p>
        </w:tc>
      </w:tr>
      <w:tr w14:paraId="3719D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63959B8">
            <w:pPr>
              <w:pStyle w:val="28"/>
              <w:bidi w:val="0"/>
            </w:pPr>
            <w:r>
              <w:rPr>
                <w:rFonts w:hint="eastAsia"/>
              </w:rPr>
              <w:t>新塘</w:t>
            </w:r>
          </w:p>
        </w:tc>
        <w:tc>
          <w:tcPr>
            <w:tcW w:w="511" w:type="pct"/>
            <w:vAlign w:val="center"/>
          </w:tcPr>
          <w:p w14:paraId="770C39A8">
            <w:pPr>
              <w:pStyle w:val="28"/>
              <w:bidi w:val="0"/>
            </w:pPr>
            <w:r>
              <w:rPr>
                <w:rFonts w:hint="eastAsia"/>
              </w:rPr>
              <w:t>渠道护砌</w:t>
            </w:r>
          </w:p>
        </w:tc>
        <w:tc>
          <w:tcPr>
            <w:tcW w:w="366" w:type="pct"/>
            <w:vAlign w:val="center"/>
          </w:tcPr>
          <w:p w14:paraId="6F07B48C">
            <w:pPr>
              <w:pStyle w:val="28"/>
              <w:bidi w:val="0"/>
            </w:pPr>
            <w:r>
              <w:t>65</w:t>
            </w:r>
          </w:p>
        </w:tc>
        <w:tc>
          <w:tcPr>
            <w:tcW w:w="268" w:type="pct"/>
            <w:vAlign w:val="center"/>
          </w:tcPr>
          <w:p w14:paraId="26CE0087">
            <w:pPr>
              <w:pStyle w:val="28"/>
              <w:bidi w:val="0"/>
            </w:pPr>
            <w:r>
              <w:rPr>
                <w:rFonts w:hint="eastAsia"/>
              </w:rPr>
              <w:t>右岸</w:t>
            </w:r>
          </w:p>
        </w:tc>
        <w:tc>
          <w:tcPr>
            <w:tcW w:w="262" w:type="pct"/>
            <w:vAlign w:val="center"/>
          </w:tcPr>
          <w:p w14:paraId="2EDFC644">
            <w:pPr>
              <w:pStyle w:val="28"/>
              <w:bidi w:val="0"/>
            </w:pPr>
            <w:r>
              <w:t>1</w:t>
            </w:r>
            <w:r>
              <w:rPr>
                <w:rFonts w:hint="eastAsia"/>
              </w:rPr>
              <w:t>类</w:t>
            </w:r>
          </w:p>
        </w:tc>
        <w:tc>
          <w:tcPr>
            <w:tcW w:w="809" w:type="pct"/>
            <w:vMerge w:val="continue"/>
            <w:vAlign w:val="center"/>
          </w:tcPr>
          <w:p w14:paraId="7F3C0132">
            <w:pPr>
              <w:pStyle w:val="28"/>
              <w:bidi w:val="0"/>
            </w:pPr>
          </w:p>
        </w:tc>
        <w:tc>
          <w:tcPr>
            <w:tcW w:w="208" w:type="pct"/>
            <w:vAlign w:val="center"/>
          </w:tcPr>
          <w:p w14:paraId="3A384091">
            <w:pPr>
              <w:pStyle w:val="28"/>
              <w:bidi w:val="0"/>
            </w:pPr>
            <w:r>
              <w:t>52.2</w:t>
            </w:r>
          </w:p>
        </w:tc>
        <w:tc>
          <w:tcPr>
            <w:tcW w:w="211" w:type="pct"/>
            <w:vAlign w:val="center"/>
          </w:tcPr>
          <w:p w14:paraId="1120D2ED">
            <w:pPr>
              <w:pStyle w:val="28"/>
              <w:bidi w:val="0"/>
            </w:pPr>
            <w:r>
              <w:t>41.2</w:t>
            </w:r>
          </w:p>
        </w:tc>
        <w:tc>
          <w:tcPr>
            <w:tcW w:w="208" w:type="pct"/>
            <w:vAlign w:val="center"/>
          </w:tcPr>
          <w:p w14:paraId="76A989B1">
            <w:pPr>
              <w:pStyle w:val="28"/>
              <w:bidi w:val="0"/>
            </w:pPr>
            <w:r>
              <w:t>55</w:t>
            </w:r>
          </w:p>
        </w:tc>
        <w:tc>
          <w:tcPr>
            <w:tcW w:w="211" w:type="pct"/>
            <w:vAlign w:val="center"/>
          </w:tcPr>
          <w:p w14:paraId="0429F167">
            <w:pPr>
              <w:pStyle w:val="28"/>
              <w:bidi w:val="0"/>
            </w:pPr>
            <w:r>
              <w:t>45</w:t>
            </w:r>
          </w:p>
        </w:tc>
        <w:tc>
          <w:tcPr>
            <w:tcW w:w="276" w:type="pct"/>
            <w:vAlign w:val="center"/>
          </w:tcPr>
          <w:p w14:paraId="34CE19C1">
            <w:pPr>
              <w:pStyle w:val="28"/>
              <w:bidi w:val="0"/>
            </w:pPr>
            <w:r>
              <w:t>55.6</w:t>
            </w:r>
          </w:p>
        </w:tc>
        <w:tc>
          <w:tcPr>
            <w:tcW w:w="257" w:type="pct"/>
            <w:vAlign w:val="center"/>
          </w:tcPr>
          <w:p w14:paraId="62969108">
            <w:pPr>
              <w:pStyle w:val="28"/>
              <w:bidi w:val="0"/>
            </w:pPr>
            <w:r>
              <w:t>48.6</w:t>
            </w:r>
          </w:p>
        </w:tc>
        <w:tc>
          <w:tcPr>
            <w:tcW w:w="257" w:type="pct"/>
            <w:vAlign w:val="center"/>
          </w:tcPr>
          <w:p w14:paraId="7DB47AFE">
            <w:pPr>
              <w:pStyle w:val="28"/>
              <w:bidi w:val="0"/>
            </w:pPr>
            <w:r>
              <w:t>53.8</w:t>
            </w:r>
          </w:p>
        </w:tc>
        <w:tc>
          <w:tcPr>
            <w:tcW w:w="257" w:type="pct"/>
            <w:vAlign w:val="center"/>
          </w:tcPr>
          <w:p w14:paraId="24BA0406">
            <w:pPr>
              <w:pStyle w:val="28"/>
              <w:bidi w:val="0"/>
            </w:pPr>
            <w:r>
              <w:t>1.6</w:t>
            </w:r>
          </w:p>
        </w:tc>
        <w:tc>
          <w:tcPr>
            <w:tcW w:w="209" w:type="pct"/>
            <w:vAlign w:val="center"/>
          </w:tcPr>
          <w:p w14:paraId="6CB51ADA">
            <w:pPr>
              <w:pStyle w:val="28"/>
              <w:bidi w:val="0"/>
            </w:pPr>
            <w:r>
              <w:t>达标</w:t>
            </w:r>
          </w:p>
        </w:tc>
      </w:tr>
      <w:tr w14:paraId="1424F57E">
        <w:tblPrEx>
          <w:tblCellMar>
            <w:top w:w="0" w:type="dxa"/>
            <w:left w:w="108" w:type="dxa"/>
            <w:bottom w:w="0" w:type="dxa"/>
            <w:right w:w="108" w:type="dxa"/>
          </w:tblCellMar>
        </w:tblPrEx>
        <w:trPr>
          <w:trHeight w:val="340" w:hRule="atLeast"/>
          <w:jc w:val="center"/>
        </w:trPr>
        <w:tc>
          <w:tcPr>
            <w:tcW w:w="685" w:type="pct"/>
            <w:vAlign w:val="center"/>
          </w:tcPr>
          <w:p w14:paraId="26AA40D6">
            <w:pPr>
              <w:pStyle w:val="28"/>
              <w:bidi w:val="0"/>
            </w:pPr>
            <w:r>
              <w:rPr>
                <w:rFonts w:hint="eastAsia"/>
              </w:rPr>
              <w:t>崔院子</w:t>
            </w:r>
          </w:p>
        </w:tc>
        <w:tc>
          <w:tcPr>
            <w:tcW w:w="511" w:type="pct"/>
            <w:vAlign w:val="center"/>
          </w:tcPr>
          <w:p w14:paraId="1C7F5C29">
            <w:pPr>
              <w:pStyle w:val="28"/>
              <w:bidi w:val="0"/>
            </w:pPr>
            <w:r>
              <w:rPr>
                <w:rFonts w:hint="eastAsia"/>
              </w:rPr>
              <w:t>渠道护砌</w:t>
            </w:r>
          </w:p>
        </w:tc>
        <w:tc>
          <w:tcPr>
            <w:tcW w:w="366" w:type="pct"/>
            <w:vAlign w:val="center"/>
          </w:tcPr>
          <w:p w14:paraId="339C59FC">
            <w:pPr>
              <w:pStyle w:val="28"/>
              <w:bidi w:val="0"/>
            </w:pPr>
            <w:r>
              <w:t>40</w:t>
            </w:r>
          </w:p>
        </w:tc>
        <w:tc>
          <w:tcPr>
            <w:tcW w:w="268" w:type="pct"/>
            <w:vAlign w:val="center"/>
          </w:tcPr>
          <w:p w14:paraId="3C0ECE6B">
            <w:pPr>
              <w:pStyle w:val="28"/>
              <w:bidi w:val="0"/>
            </w:pPr>
            <w:r>
              <w:rPr>
                <w:rFonts w:hint="eastAsia"/>
              </w:rPr>
              <w:t>左岸</w:t>
            </w:r>
          </w:p>
        </w:tc>
        <w:tc>
          <w:tcPr>
            <w:tcW w:w="262" w:type="pct"/>
            <w:vAlign w:val="center"/>
          </w:tcPr>
          <w:p w14:paraId="7A64B52A">
            <w:pPr>
              <w:pStyle w:val="28"/>
              <w:bidi w:val="0"/>
            </w:pPr>
            <w:r>
              <w:t>1</w:t>
            </w:r>
            <w:r>
              <w:rPr>
                <w:rFonts w:hint="eastAsia"/>
              </w:rPr>
              <w:t>类</w:t>
            </w:r>
          </w:p>
        </w:tc>
        <w:tc>
          <w:tcPr>
            <w:tcW w:w="809" w:type="pct"/>
            <w:vAlign w:val="center"/>
          </w:tcPr>
          <w:p w14:paraId="4EA211A2">
            <w:pPr>
              <w:pStyle w:val="28"/>
              <w:bidi w:val="0"/>
            </w:pPr>
            <w:r>
              <w:rPr>
                <w:rFonts w:hint="eastAsia"/>
              </w:rPr>
              <w:t>采用低噪声设备，施工机械远离居民住宅，设置双层移动声屏障</w:t>
            </w:r>
          </w:p>
        </w:tc>
        <w:tc>
          <w:tcPr>
            <w:tcW w:w="208" w:type="pct"/>
            <w:vAlign w:val="center"/>
          </w:tcPr>
          <w:p w14:paraId="1743087C">
            <w:pPr>
              <w:pStyle w:val="28"/>
              <w:bidi w:val="0"/>
            </w:pPr>
            <w:r>
              <w:t>52.3</w:t>
            </w:r>
          </w:p>
        </w:tc>
        <w:tc>
          <w:tcPr>
            <w:tcW w:w="211" w:type="pct"/>
            <w:vAlign w:val="center"/>
          </w:tcPr>
          <w:p w14:paraId="5E157FB1">
            <w:pPr>
              <w:pStyle w:val="28"/>
              <w:bidi w:val="0"/>
            </w:pPr>
            <w:r>
              <w:t>41.3</w:t>
            </w:r>
          </w:p>
        </w:tc>
        <w:tc>
          <w:tcPr>
            <w:tcW w:w="208" w:type="pct"/>
            <w:vAlign w:val="center"/>
          </w:tcPr>
          <w:p w14:paraId="3DD7A709">
            <w:pPr>
              <w:pStyle w:val="28"/>
              <w:bidi w:val="0"/>
            </w:pPr>
            <w:r>
              <w:t>55</w:t>
            </w:r>
          </w:p>
        </w:tc>
        <w:tc>
          <w:tcPr>
            <w:tcW w:w="211" w:type="pct"/>
            <w:vAlign w:val="center"/>
          </w:tcPr>
          <w:p w14:paraId="5FD85522">
            <w:pPr>
              <w:pStyle w:val="28"/>
              <w:bidi w:val="0"/>
            </w:pPr>
            <w:r>
              <w:t>45</w:t>
            </w:r>
          </w:p>
        </w:tc>
        <w:tc>
          <w:tcPr>
            <w:tcW w:w="276" w:type="pct"/>
            <w:vAlign w:val="center"/>
          </w:tcPr>
          <w:p w14:paraId="2D7834D7">
            <w:pPr>
              <w:pStyle w:val="28"/>
              <w:bidi w:val="0"/>
            </w:pPr>
            <w:r>
              <w:t>59.8</w:t>
            </w:r>
          </w:p>
        </w:tc>
        <w:tc>
          <w:tcPr>
            <w:tcW w:w="257" w:type="pct"/>
            <w:vAlign w:val="center"/>
          </w:tcPr>
          <w:p w14:paraId="42CA41B9">
            <w:pPr>
              <w:pStyle w:val="28"/>
              <w:bidi w:val="0"/>
            </w:pPr>
            <w:r>
              <w:t>39.8</w:t>
            </w:r>
          </w:p>
        </w:tc>
        <w:tc>
          <w:tcPr>
            <w:tcW w:w="257" w:type="pct"/>
            <w:vAlign w:val="center"/>
          </w:tcPr>
          <w:p w14:paraId="479164E5">
            <w:pPr>
              <w:pStyle w:val="28"/>
              <w:bidi w:val="0"/>
            </w:pPr>
            <w:r>
              <w:t>52.5</w:t>
            </w:r>
          </w:p>
        </w:tc>
        <w:tc>
          <w:tcPr>
            <w:tcW w:w="257" w:type="pct"/>
            <w:vAlign w:val="center"/>
          </w:tcPr>
          <w:p w14:paraId="28BADCFD">
            <w:pPr>
              <w:pStyle w:val="28"/>
              <w:bidi w:val="0"/>
            </w:pPr>
            <w:r>
              <w:t>0.2</w:t>
            </w:r>
          </w:p>
        </w:tc>
        <w:tc>
          <w:tcPr>
            <w:tcW w:w="209" w:type="pct"/>
            <w:vAlign w:val="center"/>
          </w:tcPr>
          <w:p w14:paraId="30B7FD54">
            <w:pPr>
              <w:pStyle w:val="28"/>
              <w:bidi w:val="0"/>
            </w:pPr>
            <w:r>
              <w:t>达标</w:t>
            </w:r>
          </w:p>
        </w:tc>
      </w:tr>
      <w:tr w14:paraId="12BAF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4DF240C">
            <w:pPr>
              <w:pStyle w:val="28"/>
              <w:bidi w:val="0"/>
            </w:pPr>
            <w:r>
              <w:rPr>
                <w:rFonts w:hint="eastAsia"/>
              </w:rPr>
              <w:t>钱大庄</w:t>
            </w:r>
          </w:p>
        </w:tc>
        <w:tc>
          <w:tcPr>
            <w:tcW w:w="511" w:type="pct"/>
            <w:vAlign w:val="center"/>
          </w:tcPr>
          <w:p w14:paraId="7312AAAD">
            <w:pPr>
              <w:pStyle w:val="28"/>
              <w:bidi w:val="0"/>
            </w:pPr>
            <w:r>
              <w:rPr>
                <w:rFonts w:hint="eastAsia"/>
              </w:rPr>
              <w:t>放水涵拆建</w:t>
            </w:r>
          </w:p>
        </w:tc>
        <w:tc>
          <w:tcPr>
            <w:tcW w:w="366" w:type="pct"/>
            <w:vAlign w:val="center"/>
          </w:tcPr>
          <w:p w14:paraId="006E1B90">
            <w:pPr>
              <w:pStyle w:val="28"/>
              <w:bidi w:val="0"/>
            </w:pPr>
            <w:r>
              <w:t>74</w:t>
            </w:r>
          </w:p>
        </w:tc>
        <w:tc>
          <w:tcPr>
            <w:tcW w:w="268" w:type="pct"/>
            <w:vAlign w:val="center"/>
          </w:tcPr>
          <w:p w14:paraId="2CBDE02C">
            <w:pPr>
              <w:pStyle w:val="28"/>
              <w:bidi w:val="0"/>
            </w:pPr>
            <w:r>
              <w:rPr>
                <w:rFonts w:hint="eastAsia"/>
              </w:rPr>
              <w:t>左岸</w:t>
            </w:r>
          </w:p>
        </w:tc>
        <w:tc>
          <w:tcPr>
            <w:tcW w:w="262" w:type="pct"/>
            <w:vAlign w:val="center"/>
          </w:tcPr>
          <w:p w14:paraId="005FBFBE">
            <w:pPr>
              <w:pStyle w:val="28"/>
              <w:bidi w:val="0"/>
            </w:pPr>
            <w:r>
              <w:t>1</w:t>
            </w:r>
            <w:r>
              <w:rPr>
                <w:rFonts w:hint="eastAsia"/>
              </w:rPr>
              <w:t>类</w:t>
            </w:r>
          </w:p>
        </w:tc>
        <w:tc>
          <w:tcPr>
            <w:tcW w:w="809" w:type="pct"/>
            <w:vMerge w:val="restart"/>
            <w:vAlign w:val="center"/>
          </w:tcPr>
          <w:p w14:paraId="0E811CB9">
            <w:pPr>
              <w:pStyle w:val="28"/>
              <w:bidi w:val="0"/>
            </w:pPr>
            <w:r>
              <w:rPr>
                <w:rFonts w:hint="eastAsia"/>
              </w:rPr>
              <w:t>采用低噪声设备，施工机械远离居民住宅</w:t>
            </w:r>
          </w:p>
        </w:tc>
        <w:tc>
          <w:tcPr>
            <w:tcW w:w="208" w:type="pct"/>
            <w:vAlign w:val="center"/>
          </w:tcPr>
          <w:p w14:paraId="0C15FC0C">
            <w:pPr>
              <w:pStyle w:val="28"/>
              <w:bidi w:val="0"/>
            </w:pPr>
            <w:r>
              <w:t>52.1</w:t>
            </w:r>
          </w:p>
        </w:tc>
        <w:tc>
          <w:tcPr>
            <w:tcW w:w="211" w:type="pct"/>
            <w:vAlign w:val="center"/>
          </w:tcPr>
          <w:p w14:paraId="7FE9883D">
            <w:pPr>
              <w:pStyle w:val="28"/>
              <w:bidi w:val="0"/>
            </w:pPr>
            <w:r>
              <w:t>41.1</w:t>
            </w:r>
          </w:p>
        </w:tc>
        <w:tc>
          <w:tcPr>
            <w:tcW w:w="208" w:type="pct"/>
            <w:vAlign w:val="center"/>
          </w:tcPr>
          <w:p w14:paraId="4B8C3871">
            <w:pPr>
              <w:pStyle w:val="28"/>
              <w:bidi w:val="0"/>
            </w:pPr>
            <w:r>
              <w:t>55</w:t>
            </w:r>
          </w:p>
        </w:tc>
        <w:tc>
          <w:tcPr>
            <w:tcW w:w="211" w:type="pct"/>
            <w:vAlign w:val="center"/>
          </w:tcPr>
          <w:p w14:paraId="4C40AC3D">
            <w:pPr>
              <w:pStyle w:val="28"/>
              <w:bidi w:val="0"/>
            </w:pPr>
            <w:r>
              <w:t>45</w:t>
            </w:r>
          </w:p>
        </w:tc>
        <w:tc>
          <w:tcPr>
            <w:tcW w:w="276" w:type="pct"/>
            <w:vAlign w:val="center"/>
          </w:tcPr>
          <w:p w14:paraId="21446D86">
            <w:pPr>
              <w:pStyle w:val="28"/>
              <w:bidi w:val="0"/>
            </w:pPr>
            <w:r>
              <w:t>55.8</w:t>
            </w:r>
          </w:p>
        </w:tc>
        <w:tc>
          <w:tcPr>
            <w:tcW w:w="257" w:type="pct"/>
            <w:vAlign w:val="center"/>
          </w:tcPr>
          <w:p w14:paraId="4BDB4FAC">
            <w:pPr>
              <w:pStyle w:val="28"/>
              <w:bidi w:val="0"/>
            </w:pPr>
            <w:r>
              <w:t>48.8</w:t>
            </w:r>
          </w:p>
        </w:tc>
        <w:tc>
          <w:tcPr>
            <w:tcW w:w="257" w:type="pct"/>
            <w:vAlign w:val="center"/>
          </w:tcPr>
          <w:p w14:paraId="310054FF">
            <w:pPr>
              <w:pStyle w:val="28"/>
              <w:bidi w:val="0"/>
            </w:pPr>
            <w:r>
              <w:t>53.8</w:t>
            </w:r>
          </w:p>
        </w:tc>
        <w:tc>
          <w:tcPr>
            <w:tcW w:w="257" w:type="pct"/>
            <w:vAlign w:val="center"/>
          </w:tcPr>
          <w:p w14:paraId="06437777">
            <w:pPr>
              <w:pStyle w:val="28"/>
              <w:bidi w:val="0"/>
            </w:pPr>
            <w:r>
              <w:t>1.7</w:t>
            </w:r>
          </w:p>
        </w:tc>
        <w:tc>
          <w:tcPr>
            <w:tcW w:w="209" w:type="pct"/>
            <w:vAlign w:val="center"/>
          </w:tcPr>
          <w:p w14:paraId="6B3A4775">
            <w:pPr>
              <w:pStyle w:val="28"/>
              <w:bidi w:val="0"/>
            </w:pPr>
            <w:r>
              <w:t>达标</w:t>
            </w:r>
          </w:p>
        </w:tc>
      </w:tr>
      <w:tr w14:paraId="4641D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CBD1C84">
            <w:pPr>
              <w:pStyle w:val="28"/>
              <w:bidi w:val="0"/>
            </w:pPr>
            <w:r>
              <w:rPr>
                <w:rFonts w:hint="eastAsia"/>
              </w:rPr>
              <w:t>余老家</w:t>
            </w:r>
          </w:p>
        </w:tc>
        <w:tc>
          <w:tcPr>
            <w:tcW w:w="511" w:type="pct"/>
            <w:vAlign w:val="center"/>
          </w:tcPr>
          <w:p w14:paraId="3985C502">
            <w:pPr>
              <w:pStyle w:val="28"/>
              <w:bidi w:val="0"/>
            </w:pPr>
            <w:r>
              <w:rPr>
                <w:rFonts w:hint="eastAsia"/>
              </w:rPr>
              <w:t>放水涵拆建</w:t>
            </w:r>
          </w:p>
        </w:tc>
        <w:tc>
          <w:tcPr>
            <w:tcW w:w="366" w:type="pct"/>
            <w:vAlign w:val="center"/>
          </w:tcPr>
          <w:p w14:paraId="6708682D">
            <w:pPr>
              <w:pStyle w:val="28"/>
              <w:bidi w:val="0"/>
            </w:pPr>
            <w:r>
              <w:t>80</w:t>
            </w:r>
          </w:p>
        </w:tc>
        <w:tc>
          <w:tcPr>
            <w:tcW w:w="268" w:type="pct"/>
            <w:vAlign w:val="center"/>
          </w:tcPr>
          <w:p w14:paraId="67E2CAF2">
            <w:pPr>
              <w:pStyle w:val="28"/>
              <w:bidi w:val="0"/>
            </w:pPr>
            <w:r>
              <w:rPr>
                <w:rFonts w:hint="eastAsia"/>
              </w:rPr>
              <w:t>左岸</w:t>
            </w:r>
          </w:p>
        </w:tc>
        <w:tc>
          <w:tcPr>
            <w:tcW w:w="262" w:type="pct"/>
            <w:vAlign w:val="center"/>
          </w:tcPr>
          <w:p w14:paraId="2ADB78F6">
            <w:pPr>
              <w:pStyle w:val="28"/>
              <w:bidi w:val="0"/>
            </w:pPr>
            <w:r>
              <w:t>1</w:t>
            </w:r>
            <w:r>
              <w:rPr>
                <w:rFonts w:hint="eastAsia"/>
              </w:rPr>
              <w:t>类</w:t>
            </w:r>
          </w:p>
        </w:tc>
        <w:tc>
          <w:tcPr>
            <w:tcW w:w="809" w:type="pct"/>
            <w:vMerge w:val="continue"/>
            <w:vAlign w:val="center"/>
          </w:tcPr>
          <w:p w14:paraId="455515D4">
            <w:pPr>
              <w:pStyle w:val="28"/>
              <w:bidi w:val="0"/>
            </w:pPr>
          </w:p>
        </w:tc>
        <w:tc>
          <w:tcPr>
            <w:tcW w:w="208" w:type="pct"/>
            <w:vAlign w:val="center"/>
          </w:tcPr>
          <w:p w14:paraId="369E002E">
            <w:pPr>
              <w:pStyle w:val="28"/>
              <w:bidi w:val="0"/>
            </w:pPr>
            <w:r>
              <w:t>51.0</w:t>
            </w:r>
          </w:p>
        </w:tc>
        <w:tc>
          <w:tcPr>
            <w:tcW w:w="211" w:type="pct"/>
            <w:vAlign w:val="center"/>
          </w:tcPr>
          <w:p w14:paraId="51BFEAE0">
            <w:pPr>
              <w:pStyle w:val="28"/>
              <w:bidi w:val="0"/>
            </w:pPr>
            <w:r>
              <w:t>40.9</w:t>
            </w:r>
          </w:p>
        </w:tc>
        <w:tc>
          <w:tcPr>
            <w:tcW w:w="208" w:type="pct"/>
            <w:vAlign w:val="center"/>
          </w:tcPr>
          <w:p w14:paraId="23F58859">
            <w:pPr>
              <w:pStyle w:val="28"/>
              <w:bidi w:val="0"/>
            </w:pPr>
            <w:r>
              <w:t>55</w:t>
            </w:r>
          </w:p>
        </w:tc>
        <w:tc>
          <w:tcPr>
            <w:tcW w:w="211" w:type="pct"/>
            <w:vAlign w:val="center"/>
          </w:tcPr>
          <w:p w14:paraId="13A72005">
            <w:pPr>
              <w:pStyle w:val="28"/>
              <w:bidi w:val="0"/>
            </w:pPr>
            <w:r>
              <w:t>45</w:t>
            </w:r>
          </w:p>
        </w:tc>
        <w:tc>
          <w:tcPr>
            <w:tcW w:w="276" w:type="pct"/>
            <w:vAlign w:val="center"/>
          </w:tcPr>
          <w:p w14:paraId="7913B9C8">
            <w:pPr>
              <w:pStyle w:val="28"/>
              <w:bidi w:val="0"/>
            </w:pPr>
            <w:r>
              <w:t>55.1</w:t>
            </w:r>
          </w:p>
        </w:tc>
        <w:tc>
          <w:tcPr>
            <w:tcW w:w="257" w:type="pct"/>
            <w:vAlign w:val="center"/>
          </w:tcPr>
          <w:p w14:paraId="73928FB8">
            <w:pPr>
              <w:pStyle w:val="28"/>
              <w:bidi w:val="0"/>
            </w:pPr>
            <w:r>
              <w:t>48.1</w:t>
            </w:r>
          </w:p>
        </w:tc>
        <w:tc>
          <w:tcPr>
            <w:tcW w:w="257" w:type="pct"/>
            <w:vAlign w:val="center"/>
          </w:tcPr>
          <w:p w14:paraId="256F31E6">
            <w:pPr>
              <w:pStyle w:val="28"/>
              <w:bidi w:val="0"/>
            </w:pPr>
            <w:r>
              <w:t>52.8</w:t>
            </w:r>
          </w:p>
        </w:tc>
        <w:tc>
          <w:tcPr>
            <w:tcW w:w="257" w:type="pct"/>
            <w:vAlign w:val="center"/>
          </w:tcPr>
          <w:p w14:paraId="151ECC24">
            <w:pPr>
              <w:pStyle w:val="28"/>
              <w:bidi w:val="0"/>
            </w:pPr>
            <w:r>
              <w:t>1.8</w:t>
            </w:r>
          </w:p>
        </w:tc>
        <w:tc>
          <w:tcPr>
            <w:tcW w:w="209" w:type="pct"/>
            <w:vAlign w:val="center"/>
          </w:tcPr>
          <w:p w14:paraId="04D2E903">
            <w:pPr>
              <w:pStyle w:val="28"/>
              <w:bidi w:val="0"/>
            </w:pPr>
            <w:r>
              <w:t>达标</w:t>
            </w:r>
          </w:p>
        </w:tc>
      </w:tr>
      <w:tr w14:paraId="64B26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93C7FE8">
            <w:pPr>
              <w:pStyle w:val="28"/>
              <w:bidi w:val="0"/>
            </w:pPr>
            <w:r>
              <w:rPr>
                <w:rFonts w:hint="eastAsia"/>
              </w:rPr>
              <w:t>鲍南楼</w:t>
            </w:r>
          </w:p>
        </w:tc>
        <w:tc>
          <w:tcPr>
            <w:tcW w:w="511" w:type="pct"/>
            <w:vAlign w:val="center"/>
          </w:tcPr>
          <w:p w14:paraId="7D6FEB92">
            <w:pPr>
              <w:pStyle w:val="28"/>
              <w:bidi w:val="0"/>
            </w:pPr>
            <w:r>
              <w:rPr>
                <w:rFonts w:hint="eastAsia"/>
              </w:rPr>
              <w:t>放水涵拆建</w:t>
            </w:r>
          </w:p>
        </w:tc>
        <w:tc>
          <w:tcPr>
            <w:tcW w:w="366" w:type="pct"/>
            <w:vAlign w:val="center"/>
          </w:tcPr>
          <w:p w14:paraId="3F4438FB">
            <w:pPr>
              <w:pStyle w:val="28"/>
              <w:bidi w:val="0"/>
            </w:pPr>
            <w:r>
              <w:t>45</w:t>
            </w:r>
          </w:p>
        </w:tc>
        <w:tc>
          <w:tcPr>
            <w:tcW w:w="268" w:type="pct"/>
            <w:vAlign w:val="center"/>
          </w:tcPr>
          <w:p w14:paraId="46FF0F2B">
            <w:pPr>
              <w:pStyle w:val="28"/>
              <w:bidi w:val="0"/>
            </w:pPr>
            <w:r>
              <w:rPr>
                <w:rFonts w:hint="eastAsia"/>
              </w:rPr>
              <w:t>左岸</w:t>
            </w:r>
          </w:p>
        </w:tc>
        <w:tc>
          <w:tcPr>
            <w:tcW w:w="262" w:type="pct"/>
            <w:vAlign w:val="center"/>
          </w:tcPr>
          <w:p w14:paraId="11B6AA75">
            <w:pPr>
              <w:pStyle w:val="28"/>
              <w:bidi w:val="0"/>
            </w:pPr>
            <w:r>
              <w:t>1</w:t>
            </w:r>
            <w:r>
              <w:rPr>
                <w:rFonts w:hint="eastAsia"/>
              </w:rPr>
              <w:t>类</w:t>
            </w:r>
          </w:p>
        </w:tc>
        <w:tc>
          <w:tcPr>
            <w:tcW w:w="809" w:type="pct"/>
            <w:vAlign w:val="center"/>
          </w:tcPr>
          <w:p w14:paraId="5DCB74FC">
            <w:pPr>
              <w:pStyle w:val="28"/>
              <w:bidi w:val="0"/>
            </w:pPr>
            <w:r>
              <w:rPr>
                <w:rFonts w:hint="eastAsia"/>
              </w:rPr>
              <w:t>采用低噪声设备，施工机械远离居民住宅，设置单层移动声屏障</w:t>
            </w:r>
          </w:p>
        </w:tc>
        <w:tc>
          <w:tcPr>
            <w:tcW w:w="208" w:type="pct"/>
            <w:vAlign w:val="center"/>
          </w:tcPr>
          <w:p w14:paraId="403A52A7">
            <w:pPr>
              <w:pStyle w:val="28"/>
              <w:bidi w:val="0"/>
            </w:pPr>
            <w:r>
              <w:t>52.3</w:t>
            </w:r>
          </w:p>
        </w:tc>
        <w:tc>
          <w:tcPr>
            <w:tcW w:w="211" w:type="pct"/>
            <w:vAlign w:val="center"/>
          </w:tcPr>
          <w:p w14:paraId="14BA86F6">
            <w:pPr>
              <w:pStyle w:val="28"/>
              <w:bidi w:val="0"/>
            </w:pPr>
            <w:r>
              <w:t>41.3</w:t>
            </w:r>
          </w:p>
        </w:tc>
        <w:tc>
          <w:tcPr>
            <w:tcW w:w="208" w:type="pct"/>
            <w:vAlign w:val="center"/>
          </w:tcPr>
          <w:p w14:paraId="3675D94C">
            <w:pPr>
              <w:pStyle w:val="28"/>
              <w:bidi w:val="0"/>
            </w:pPr>
            <w:r>
              <w:t>55</w:t>
            </w:r>
          </w:p>
        </w:tc>
        <w:tc>
          <w:tcPr>
            <w:tcW w:w="211" w:type="pct"/>
            <w:vAlign w:val="center"/>
          </w:tcPr>
          <w:p w14:paraId="3957A1AD">
            <w:pPr>
              <w:pStyle w:val="28"/>
              <w:bidi w:val="0"/>
            </w:pPr>
            <w:r>
              <w:t>45</w:t>
            </w:r>
          </w:p>
        </w:tc>
        <w:tc>
          <w:tcPr>
            <w:tcW w:w="276" w:type="pct"/>
            <w:vAlign w:val="center"/>
          </w:tcPr>
          <w:p w14:paraId="22DB8182">
            <w:pPr>
              <w:pStyle w:val="28"/>
              <w:bidi w:val="0"/>
            </w:pPr>
            <w:r>
              <w:t>60.1</w:t>
            </w:r>
          </w:p>
        </w:tc>
        <w:tc>
          <w:tcPr>
            <w:tcW w:w="257" w:type="pct"/>
            <w:vAlign w:val="center"/>
          </w:tcPr>
          <w:p w14:paraId="5EF401EF">
            <w:pPr>
              <w:pStyle w:val="28"/>
              <w:bidi w:val="0"/>
            </w:pPr>
            <w:r>
              <w:t>45.1</w:t>
            </w:r>
          </w:p>
        </w:tc>
        <w:tc>
          <w:tcPr>
            <w:tcW w:w="257" w:type="pct"/>
            <w:vAlign w:val="center"/>
          </w:tcPr>
          <w:p w14:paraId="0FB1CBF5">
            <w:pPr>
              <w:pStyle w:val="28"/>
              <w:bidi w:val="0"/>
            </w:pPr>
            <w:r>
              <w:t>53.1</w:t>
            </w:r>
          </w:p>
        </w:tc>
        <w:tc>
          <w:tcPr>
            <w:tcW w:w="257" w:type="pct"/>
            <w:vAlign w:val="center"/>
          </w:tcPr>
          <w:p w14:paraId="0E8DE1A8">
            <w:pPr>
              <w:pStyle w:val="28"/>
              <w:bidi w:val="0"/>
            </w:pPr>
            <w:r>
              <w:t>0.8</w:t>
            </w:r>
          </w:p>
        </w:tc>
        <w:tc>
          <w:tcPr>
            <w:tcW w:w="209" w:type="pct"/>
            <w:vAlign w:val="center"/>
          </w:tcPr>
          <w:p w14:paraId="07AFC8DB">
            <w:pPr>
              <w:pStyle w:val="28"/>
              <w:bidi w:val="0"/>
            </w:pPr>
            <w:r>
              <w:t>达标</w:t>
            </w:r>
          </w:p>
        </w:tc>
      </w:tr>
      <w:tr w14:paraId="501A7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D320337">
            <w:pPr>
              <w:pStyle w:val="28"/>
              <w:bidi w:val="0"/>
            </w:pPr>
            <w:r>
              <w:rPr>
                <w:rFonts w:hint="eastAsia"/>
              </w:rPr>
              <w:t>卢大庄</w:t>
            </w:r>
          </w:p>
        </w:tc>
        <w:tc>
          <w:tcPr>
            <w:tcW w:w="511" w:type="pct"/>
            <w:vAlign w:val="center"/>
          </w:tcPr>
          <w:p w14:paraId="56978CB8">
            <w:pPr>
              <w:pStyle w:val="28"/>
              <w:bidi w:val="0"/>
            </w:pPr>
            <w:r>
              <w:rPr>
                <w:rFonts w:hint="eastAsia"/>
              </w:rPr>
              <w:t>放水涵拆建</w:t>
            </w:r>
          </w:p>
        </w:tc>
        <w:tc>
          <w:tcPr>
            <w:tcW w:w="366" w:type="pct"/>
            <w:vAlign w:val="center"/>
          </w:tcPr>
          <w:p w14:paraId="11FBB8EE">
            <w:pPr>
              <w:pStyle w:val="28"/>
              <w:bidi w:val="0"/>
            </w:pPr>
            <w:r>
              <w:t>40</w:t>
            </w:r>
          </w:p>
        </w:tc>
        <w:tc>
          <w:tcPr>
            <w:tcW w:w="268" w:type="pct"/>
            <w:vAlign w:val="center"/>
          </w:tcPr>
          <w:p w14:paraId="55CC36D9">
            <w:pPr>
              <w:pStyle w:val="28"/>
              <w:bidi w:val="0"/>
            </w:pPr>
            <w:r>
              <w:rPr>
                <w:rFonts w:hint="eastAsia"/>
              </w:rPr>
              <w:t>左岸</w:t>
            </w:r>
          </w:p>
        </w:tc>
        <w:tc>
          <w:tcPr>
            <w:tcW w:w="262" w:type="pct"/>
            <w:vAlign w:val="center"/>
          </w:tcPr>
          <w:p w14:paraId="02969B1E">
            <w:pPr>
              <w:pStyle w:val="28"/>
              <w:bidi w:val="0"/>
            </w:pPr>
            <w:r>
              <w:t>1</w:t>
            </w:r>
            <w:r>
              <w:rPr>
                <w:rFonts w:hint="eastAsia"/>
              </w:rPr>
              <w:t>类</w:t>
            </w:r>
          </w:p>
        </w:tc>
        <w:tc>
          <w:tcPr>
            <w:tcW w:w="809" w:type="pct"/>
            <w:vAlign w:val="center"/>
          </w:tcPr>
          <w:p w14:paraId="2CAD0519">
            <w:pPr>
              <w:pStyle w:val="28"/>
              <w:bidi w:val="0"/>
            </w:pPr>
            <w:r>
              <w:rPr>
                <w:rFonts w:hint="eastAsia"/>
              </w:rPr>
              <w:t>采用低噪声设备，施工机械远离居民住宅，设置双层移动声屏障</w:t>
            </w:r>
          </w:p>
        </w:tc>
        <w:tc>
          <w:tcPr>
            <w:tcW w:w="208" w:type="pct"/>
            <w:vAlign w:val="center"/>
          </w:tcPr>
          <w:p w14:paraId="115C727C">
            <w:pPr>
              <w:pStyle w:val="28"/>
              <w:bidi w:val="0"/>
            </w:pPr>
            <w:r>
              <w:t>52.3</w:t>
            </w:r>
          </w:p>
        </w:tc>
        <w:tc>
          <w:tcPr>
            <w:tcW w:w="211" w:type="pct"/>
            <w:vAlign w:val="center"/>
          </w:tcPr>
          <w:p w14:paraId="472B0A25">
            <w:pPr>
              <w:pStyle w:val="28"/>
              <w:bidi w:val="0"/>
            </w:pPr>
            <w:r>
              <w:t>41.3</w:t>
            </w:r>
          </w:p>
        </w:tc>
        <w:tc>
          <w:tcPr>
            <w:tcW w:w="208" w:type="pct"/>
            <w:vAlign w:val="center"/>
          </w:tcPr>
          <w:p w14:paraId="3033CAE4">
            <w:pPr>
              <w:pStyle w:val="28"/>
              <w:bidi w:val="0"/>
            </w:pPr>
            <w:r>
              <w:t>55</w:t>
            </w:r>
          </w:p>
        </w:tc>
        <w:tc>
          <w:tcPr>
            <w:tcW w:w="211" w:type="pct"/>
            <w:vAlign w:val="center"/>
          </w:tcPr>
          <w:p w14:paraId="111CD1B3">
            <w:pPr>
              <w:pStyle w:val="28"/>
              <w:bidi w:val="0"/>
            </w:pPr>
            <w:r>
              <w:t>45</w:t>
            </w:r>
          </w:p>
        </w:tc>
        <w:tc>
          <w:tcPr>
            <w:tcW w:w="276" w:type="pct"/>
            <w:vAlign w:val="center"/>
          </w:tcPr>
          <w:p w14:paraId="44EC9D9A">
            <w:pPr>
              <w:pStyle w:val="28"/>
              <w:bidi w:val="0"/>
            </w:pPr>
            <w:r>
              <w:t>61.2</w:t>
            </w:r>
          </w:p>
        </w:tc>
        <w:tc>
          <w:tcPr>
            <w:tcW w:w="257" w:type="pct"/>
            <w:vAlign w:val="center"/>
          </w:tcPr>
          <w:p w14:paraId="1D880526">
            <w:pPr>
              <w:pStyle w:val="28"/>
              <w:bidi w:val="0"/>
            </w:pPr>
            <w:r>
              <w:t>41.2</w:t>
            </w:r>
          </w:p>
        </w:tc>
        <w:tc>
          <w:tcPr>
            <w:tcW w:w="257" w:type="pct"/>
            <w:vAlign w:val="center"/>
          </w:tcPr>
          <w:p w14:paraId="0056A809">
            <w:pPr>
              <w:pStyle w:val="28"/>
              <w:bidi w:val="0"/>
            </w:pPr>
            <w:r>
              <w:t>52.6</w:t>
            </w:r>
          </w:p>
        </w:tc>
        <w:tc>
          <w:tcPr>
            <w:tcW w:w="257" w:type="pct"/>
            <w:vAlign w:val="center"/>
          </w:tcPr>
          <w:p w14:paraId="1B526836">
            <w:pPr>
              <w:pStyle w:val="28"/>
              <w:bidi w:val="0"/>
            </w:pPr>
            <w:r>
              <w:t>0.3</w:t>
            </w:r>
          </w:p>
        </w:tc>
        <w:tc>
          <w:tcPr>
            <w:tcW w:w="209" w:type="pct"/>
            <w:vAlign w:val="center"/>
          </w:tcPr>
          <w:p w14:paraId="0E69308E">
            <w:pPr>
              <w:pStyle w:val="28"/>
              <w:bidi w:val="0"/>
            </w:pPr>
            <w:r>
              <w:t>达标</w:t>
            </w:r>
          </w:p>
        </w:tc>
      </w:tr>
      <w:tr w14:paraId="35FDE748">
        <w:tblPrEx>
          <w:tblCellMar>
            <w:top w:w="0" w:type="dxa"/>
            <w:left w:w="108" w:type="dxa"/>
            <w:bottom w:w="0" w:type="dxa"/>
            <w:right w:w="108" w:type="dxa"/>
          </w:tblCellMar>
        </w:tblPrEx>
        <w:trPr>
          <w:trHeight w:val="340" w:hRule="atLeast"/>
          <w:jc w:val="center"/>
        </w:trPr>
        <w:tc>
          <w:tcPr>
            <w:tcW w:w="685" w:type="pct"/>
            <w:vAlign w:val="center"/>
          </w:tcPr>
          <w:p w14:paraId="18BAB53F">
            <w:pPr>
              <w:pStyle w:val="28"/>
              <w:bidi w:val="0"/>
            </w:pPr>
            <w:r>
              <w:rPr>
                <w:rFonts w:hint="eastAsia"/>
              </w:rPr>
              <w:t>朱老庄</w:t>
            </w:r>
          </w:p>
        </w:tc>
        <w:tc>
          <w:tcPr>
            <w:tcW w:w="511" w:type="pct"/>
            <w:vAlign w:val="center"/>
          </w:tcPr>
          <w:p w14:paraId="29BE87A8">
            <w:pPr>
              <w:pStyle w:val="28"/>
              <w:bidi w:val="0"/>
            </w:pPr>
            <w:r>
              <w:rPr>
                <w:rFonts w:hint="eastAsia"/>
              </w:rPr>
              <w:t>放水涵拆建</w:t>
            </w:r>
          </w:p>
        </w:tc>
        <w:tc>
          <w:tcPr>
            <w:tcW w:w="366" w:type="pct"/>
            <w:vAlign w:val="center"/>
          </w:tcPr>
          <w:p w14:paraId="782FFD83">
            <w:pPr>
              <w:pStyle w:val="28"/>
              <w:bidi w:val="0"/>
            </w:pPr>
            <w:r>
              <w:t>50</w:t>
            </w:r>
          </w:p>
        </w:tc>
        <w:tc>
          <w:tcPr>
            <w:tcW w:w="268" w:type="pct"/>
            <w:vAlign w:val="center"/>
          </w:tcPr>
          <w:p w14:paraId="5A8EAF03">
            <w:pPr>
              <w:pStyle w:val="28"/>
              <w:bidi w:val="0"/>
            </w:pPr>
            <w:r>
              <w:rPr>
                <w:rFonts w:hint="eastAsia"/>
              </w:rPr>
              <w:t>左岸</w:t>
            </w:r>
          </w:p>
        </w:tc>
        <w:tc>
          <w:tcPr>
            <w:tcW w:w="262" w:type="pct"/>
            <w:vAlign w:val="center"/>
          </w:tcPr>
          <w:p w14:paraId="0A51D471">
            <w:pPr>
              <w:pStyle w:val="28"/>
              <w:bidi w:val="0"/>
            </w:pPr>
            <w:r>
              <w:t>1</w:t>
            </w:r>
            <w:r>
              <w:rPr>
                <w:rFonts w:hint="eastAsia"/>
              </w:rPr>
              <w:t>类</w:t>
            </w:r>
          </w:p>
        </w:tc>
        <w:tc>
          <w:tcPr>
            <w:tcW w:w="809" w:type="pct"/>
            <w:vAlign w:val="center"/>
          </w:tcPr>
          <w:p w14:paraId="711A3C6F">
            <w:pPr>
              <w:pStyle w:val="28"/>
              <w:bidi w:val="0"/>
            </w:pPr>
            <w:r>
              <w:rPr>
                <w:rFonts w:hint="eastAsia"/>
              </w:rPr>
              <w:t>采用低噪声设备，施工机械远离居民住宅，设置单层移动声屏障</w:t>
            </w:r>
          </w:p>
        </w:tc>
        <w:tc>
          <w:tcPr>
            <w:tcW w:w="208" w:type="pct"/>
            <w:vAlign w:val="center"/>
          </w:tcPr>
          <w:p w14:paraId="5EF5233F">
            <w:pPr>
              <w:pStyle w:val="28"/>
              <w:bidi w:val="0"/>
            </w:pPr>
            <w:r>
              <w:t>52.3</w:t>
            </w:r>
          </w:p>
        </w:tc>
        <w:tc>
          <w:tcPr>
            <w:tcW w:w="211" w:type="pct"/>
            <w:vAlign w:val="center"/>
          </w:tcPr>
          <w:p w14:paraId="093D64F4">
            <w:pPr>
              <w:pStyle w:val="28"/>
              <w:bidi w:val="0"/>
            </w:pPr>
            <w:r>
              <w:t>41.3</w:t>
            </w:r>
          </w:p>
        </w:tc>
        <w:tc>
          <w:tcPr>
            <w:tcW w:w="208" w:type="pct"/>
            <w:vAlign w:val="center"/>
          </w:tcPr>
          <w:p w14:paraId="3EA88248">
            <w:pPr>
              <w:pStyle w:val="28"/>
              <w:bidi w:val="0"/>
            </w:pPr>
            <w:r>
              <w:t>55</w:t>
            </w:r>
          </w:p>
        </w:tc>
        <w:tc>
          <w:tcPr>
            <w:tcW w:w="211" w:type="pct"/>
            <w:vAlign w:val="center"/>
          </w:tcPr>
          <w:p w14:paraId="11710CD9">
            <w:pPr>
              <w:pStyle w:val="28"/>
              <w:bidi w:val="0"/>
            </w:pPr>
            <w:r>
              <w:t>45</w:t>
            </w:r>
          </w:p>
        </w:tc>
        <w:tc>
          <w:tcPr>
            <w:tcW w:w="276" w:type="pct"/>
            <w:vAlign w:val="center"/>
          </w:tcPr>
          <w:p w14:paraId="48701F3E">
            <w:pPr>
              <w:pStyle w:val="28"/>
              <w:bidi w:val="0"/>
            </w:pPr>
            <w:r>
              <w:t>59.2</w:t>
            </w:r>
          </w:p>
        </w:tc>
        <w:tc>
          <w:tcPr>
            <w:tcW w:w="257" w:type="pct"/>
            <w:vAlign w:val="center"/>
          </w:tcPr>
          <w:p w14:paraId="23E7DC80">
            <w:pPr>
              <w:pStyle w:val="28"/>
              <w:bidi w:val="0"/>
            </w:pPr>
            <w:r>
              <w:t>44.2</w:t>
            </w:r>
          </w:p>
        </w:tc>
        <w:tc>
          <w:tcPr>
            <w:tcW w:w="257" w:type="pct"/>
            <w:vAlign w:val="center"/>
          </w:tcPr>
          <w:p w14:paraId="261B3F26">
            <w:pPr>
              <w:pStyle w:val="28"/>
              <w:bidi w:val="0"/>
            </w:pPr>
            <w:r>
              <w:t>52.9</w:t>
            </w:r>
          </w:p>
        </w:tc>
        <w:tc>
          <w:tcPr>
            <w:tcW w:w="257" w:type="pct"/>
            <w:vAlign w:val="center"/>
          </w:tcPr>
          <w:p w14:paraId="68B3E850">
            <w:pPr>
              <w:pStyle w:val="28"/>
              <w:bidi w:val="0"/>
            </w:pPr>
            <w:r>
              <w:t>0.6</w:t>
            </w:r>
          </w:p>
        </w:tc>
        <w:tc>
          <w:tcPr>
            <w:tcW w:w="209" w:type="pct"/>
            <w:vAlign w:val="center"/>
          </w:tcPr>
          <w:p w14:paraId="68A59FB5">
            <w:pPr>
              <w:pStyle w:val="28"/>
              <w:bidi w:val="0"/>
            </w:pPr>
            <w:r>
              <w:t>达标</w:t>
            </w:r>
          </w:p>
        </w:tc>
      </w:tr>
      <w:tr w14:paraId="49810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8E248F0">
            <w:pPr>
              <w:pStyle w:val="28"/>
              <w:bidi w:val="0"/>
            </w:pPr>
            <w:r>
              <w:rPr>
                <w:rFonts w:hint="eastAsia"/>
              </w:rPr>
              <w:t>对大庄</w:t>
            </w:r>
          </w:p>
        </w:tc>
        <w:tc>
          <w:tcPr>
            <w:tcW w:w="511" w:type="pct"/>
            <w:vAlign w:val="center"/>
          </w:tcPr>
          <w:p w14:paraId="6F129932">
            <w:pPr>
              <w:pStyle w:val="28"/>
              <w:bidi w:val="0"/>
            </w:pPr>
            <w:r>
              <w:rPr>
                <w:rFonts w:hint="eastAsia"/>
              </w:rPr>
              <w:t>放水涵拆建</w:t>
            </w:r>
          </w:p>
        </w:tc>
        <w:tc>
          <w:tcPr>
            <w:tcW w:w="366" w:type="pct"/>
            <w:vAlign w:val="center"/>
          </w:tcPr>
          <w:p w14:paraId="2AD583E8">
            <w:pPr>
              <w:pStyle w:val="28"/>
              <w:bidi w:val="0"/>
            </w:pPr>
            <w:r>
              <w:t>115</w:t>
            </w:r>
          </w:p>
        </w:tc>
        <w:tc>
          <w:tcPr>
            <w:tcW w:w="268" w:type="pct"/>
            <w:vAlign w:val="center"/>
          </w:tcPr>
          <w:p w14:paraId="293014DC">
            <w:pPr>
              <w:pStyle w:val="28"/>
              <w:bidi w:val="0"/>
            </w:pPr>
            <w:r>
              <w:rPr>
                <w:rFonts w:hint="eastAsia"/>
              </w:rPr>
              <w:t>左岸</w:t>
            </w:r>
          </w:p>
        </w:tc>
        <w:tc>
          <w:tcPr>
            <w:tcW w:w="262" w:type="pct"/>
            <w:vAlign w:val="center"/>
          </w:tcPr>
          <w:p w14:paraId="5B11190C">
            <w:pPr>
              <w:pStyle w:val="28"/>
              <w:bidi w:val="0"/>
            </w:pPr>
            <w:r>
              <w:t>1</w:t>
            </w:r>
            <w:r>
              <w:rPr>
                <w:rFonts w:hint="eastAsia"/>
              </w:rPr>
              <w:t>类</w:t>
            </w:r>
          </w:p>
        </w:tc>
        <w:tc>
          <w:tcPr>
            <w:tcW w:w="809" w:type="pct"/>
            <w:vMerge w:val="restart"/>
            <w:vAlign w:val="center"/>
          </w:tcPr>
          <w:p w14:paraId="56671886">
            <w:pPr>
              <w:pStyle w:val="28"/>
              <w:bidi w:val="0"/>
            </w:pPr>
            <w:r>
              <w:rPr>
                <w:rFonts w:hint="eastAsia"/>
              </w:rPr>
              <w:t>采用低噪声设备，施工机械远离居民住宅</w:t>
            </w:r>
          </w:p>
        </w:tc>
        <w:tc>
          <w:tcPr>
            <w:tcW w:w="208" w:type="pct"/>
            <w:vAlign w:val="center"/>
          </w:tcPr>
          <w:p w14:paraId="7BE5C458">
            <w:pPr>
              <w:pStyle w:val="28"/>
              <w:bidi w:val="0"/>
            </w:pPr>
            <w:r>
              <w:t>50.8</w:t>
            </w:r>
          </w:p>
        </w:tc>
        <w:tc>
          <w:tcPr>
            <w:tcW w:w="211" w:type="pct"/>
            <w:vAlign w:val="center"/>
          </w:tcPr>
          <w:p w14:paraId="624F8623">
            <w:pPr>
              <w:pStyle w:val="28"/>
              <w:bidi w:val="0"/>
            </w:pPr>
            <w:r>
              <w:t>40.9</w:t>
            </w:r>
          </w:p>
        </w:tc>
        <w:tc>
          <w:tcPr>
            <w:tcW w:w="208" w:type="pct"/>
            <w:vAlign w:val="center"/>
          </w:tcPr>
          <w:p w14:paraId="0EEF1DAE">
            <w:pPr>
              <w:pStyle w:val="28"/>
              <w:bidi w:val="0"/>
            </w:pPr>
            <w:r>
              <w:t>55</w:t>
            </w:r>
          </w:p>
        </w:tc>
        <w:tc>
          <w:tcPr>
            <w:tcW w:w="211" w:type="pct"/>
            <w:vAlign w:val="center"/>
          </w:tcPr>
          <w:p w14:paraId="6028BEC6">
            <w:pPr>
              <w:pStyle w:val="28"/>
              <w:bidi w:val="0"/>
            </w:pPr>
            <w:r>
              <w:t>45</w:t>
            </w:r>
          </w:p>
        </w:tc>
        <w:tc>
          <w:tcPr>
            <w:tcW w:w="276" w:type="pct"/>
            <w:vAlign w:val="center"/>
          </w:tcPr>
          <w:p w14:paraId="1C6905F7">
            <w:pPr>
              <w:pStyle w:val="28"/>
              <w:bidi w:val="0"/>
            </w:pPr>
            <w:r>
              <w:t>52.0</w:t>
            </w:r>
          </w:p>
        </w:tc>
        <w:tc>
          <w:tcPr>
            <w:tcW w:w="257" w:type="pct"/>
            <w:vAlign w:val="center"/>
          </w:tcPr>
          <w:p w14:paraId="44F7C789">
            <w:pPr>
              <w:pStyle w:val="28"/>
              <w:bidi w:val="0"/>
            </w:pPr>
            <w:r>
              <w:t>45.0</w:t>
            </w:r>
          </w:p>
        </w:tc>
        <w:tc>
          <w:tcPr>
            <w:tcW w:w="257" w:type="pct"/>
            <w:vAlign w:val="center"/>
          </w:tcPr>
          <w:p w14:paraId="12F70DF1">
            <w:pPr>
              <w:pStyle w:val="28"/>
              <w:bidi w:val="0"/>
            </w:pPr>
            <w:r>
              <w:t>51.8</w:t>
            </w:r>
          </w:p>
        </w:tc>
        <w:tc>
          <w:tcPr>
            <w:tcW w:w="257" w:type="pct"/>
            <w:vAlign w:val="center"/>
          </w:tcPr>
          <w:p w14:paraId="48EA7FAF">
            <w:pPr>
              <w:pStyle w:val="28"/>
              <w:bidi w:val="0"/>
            </w:pPr>
            <w:r>
              <w:t>1.0</w:t>
            </w:r>
          </w:p>
        </w:tc>
        <w:tc>
          <w:tcPr>
            <w:tcW w:w="209" w:type="pct"/>
            <w:vAlign w:val="center"/>
          </w:tcPr>
          <w:p w14:paraId="06997FFA">
            <w:pPr>
              <w:pStyle w:val="28"/>
              <w:bidi w:val="0"/>
            </w:pPr>
            <w:r>
              <w:t>达标</w:t>
            </w:r>
          </w:p>
        </w:tc>
      </w:tr>
      <w:tr w14:paraId="489A53E0">
        <w:tblPrEx>
          <w:tblCellMar>
            <w:top w:w="0" w:type="dxa"/>
            <w:left w:w="108" w:type="dxa"/>
            <w:bottom w:w="0" w:type="dxa"/>
            <w:right w:w="108" w:type="dxa"/>
          </w:tblCellMar>
        </w:tblPrEx>
        <w:trPr>
          <w:trHeight w:val="340" w:hRule="atLeast"/>
          <w:jc w:val="center"/>
        </w:trPr>
        <w:tc>
          <w:tcPr>
            <w:tcW w:w="685" w:type="pct"/>
            <w:vAlign w:val="center"/>
          </w:tcPr>
          <w:p w14:paraId="1F0A2B11">
            <w:pPr>
              <w:pStyle w:val="28"/>
              <w:bidi w:val="0"/>
            </w:pPr>
            <w:r>
              <w:rPr>
                <w:rFonts w:hint="eastAsia"/>
              </w:rPr>
              <w:t>裕安小学</w:t>
            </w:r>
          </w:p>
        </w:tc>
        <w:tc>
          <w:tcPr>
            <w:tcW w:w="511" w:type="pct"/>
            <w:vAlign w:val="center"/>
          </w:tcPr>
          <w:p w14:paraId="4DC5426F">
            <w:pPr>
              <w:pStyle w:val="28"/>
              <w:bidi w:val="0"/>
            </w:pPr>
            <w:r>
              <w:rPr>
                <w:rFonts w:hint="eastAsia"/>
              </w:rPr>
              <w:t>渠下涵加固</w:t>
            </w:r>
          </w:p>
        </w:tc>
        <w:tc>
          <w:tcPr>
            <w:tcW w:w="366" w:type="pct"/>
            <w:vAlign w:val="center"/>
          </w:tcPr>
          <w:p w14:paraId="0714939A">
            <w:pPr>
              <w:pStyle w:val="28"/>
              <w:bidi w:val="0"/>
            </w:pPr>
            <w:r>
              <w:t>165</w:t>
            </w:r>
          </w:p>
        </w:tc>
        <w:tc>
          <w:tcPr>
            <w:tcW w:w="268" w:type="pct"/>
            <w:vAlign w:val="center"/>
          </w:tcPr>
          <w:p w14:paraId="6B12A974">
            <w:pPr>
              <w:pStyle w:val="28"/>
              <w:bidi w:val="0"/>
            </w:pPr>
            <w:r>
              <w:rPr>
                <w:rFonts w:hint="eastAsia"/>
              </w:rPr>
              <w:t>左岸</w:t>
            </w:r>
          </w:p>
        </w:tc>
        <w:tc>
          <w:tcPr>
            <w:tcW w:w="262" w:type="pct"/>
            <w:vAlign w:val="center"/>
          </w:tcPr>
          <w:p w14:paraId="50622B73">
            <w:pPr>
              <w:pStyle w:val="28"/>
              <w:bidi w:val="0"/>
            </w:pPr>
            <w:r>
              <w:t>1</w:t>
            </w:r>
            <w:r>
              <w:rPr>
                <w:rFonts w:hint="eastAsia"/>
              </w:rPr>
              <w:t>类</w:t>
            </w:r>
          </w:p>
        </w:tc>
        <w:tc>
          <w:tcPr>
            <w:tcW w:w="809" w:type="pct"/>
            <w:vMerge w:val="continue"/>
            <w:vAlign w:val="center"/>
          </w:tcPr>
          <w:p w14:paraId="39571B90">
            <w:pPr>
              <w:pStyle w:val="28"/>
              <w:bidi w:val="0"/>
            </w:pPr>
          </w:p>
        </w:tc>
        <w:tc>
          <w:tcPr>
            <w:tcW w:w="208" w:type="pct"/>
            <w:vAlign w:val="center"/>
          </w:tcPr>
          <w:p w14:paraId="7F7265DE">
            <w:pPr>
              <w:pStyle w:val="28"/>
              <w:bidi w:val="0"/>
            </w:pPr>
            <w:r>
              <w:t>51.6</w:t>
            </w:r>
          </w:p>
        </w:tc>
        <w:tc>
          <w:tcPr>
            <w:tcW w:w="211" w:type="pct"/>
            <w:vAlign w:val="center"/>
          </w:tcPr>
          <w:p w14:paraId="0AE33E25">
            <w:pPr>
              <w:pStyle w:val="28"/>
              <w:bidi w:val="0"/>
            </w:pPr>
            <w:r>
              <w:t>42.6</w:t>
            </w:r>
          </w:p>
        </w:tc>
        <w:tc>
          <w:tcPr>
            <w:tcW w:w="208" w:type="pct"/>
            <w:vAlign w:val="center"/>
          </w:tcPr>
          <w:p w14:paraId="43902E39">
            <w:pPr>
              <w:pStyle w:val="28"/>
              <w:bidi w:val="0"/>
            </w:pPr>
            <w:r>
              <w:t>55</w:t>
            </w:r>
          </w:p>
        </w:tc>
        <w:tc>
          <w:tcPr>
            <w:tcW w:w="211" w:type="pct"/>
            <w:vAlign w:val="center"/>
          </w:tcPr>
          <w:p w14:paraId="4F899007">
            <w:pPr>
              <w:pStyle w:val="28"/>
              <w:bidi w:val="0"/>
            </w:pPr>
            <w:r>
              <w:t>45</w:t>
            </w:r>
          </w:p>
        </w:tc>
        <w:tc>
          <w:tcPr>
            <w:tcW w:w="276" w:type="pct"/>
            <w:vAlign w:val="center"/>
          </w:tcPr>
          <w:p w14:paraId="009BB782">
            <w:pPr>
              <w:pStyle w:val="28"/>
              <w:bidi w:val="0"/>
            </w:pPr>
            <w:r>
              <w:t>48.9</w:t>
            </w:r>
          </w:p>
        </w:tc>
        <w:tc>
          <w:tcPr>
            <w:tcW w:w="257" w:type="pct"/>
            <w:vAlign w:val="center"/>
          </w:tcPr>
          <w:p w14:paraId="4A3E6B7E">
            <w:pPr>
              <w:pStyle w:val="28"/>
              <w:bidi w:val="0"/>
            </w:pPr>
            <w:r>
              <w:t>41.9</w:t>
            </w:r>
          </w:p>
        </w:tc>
        <w:tc>
          <w:tcPr>
            <w:tcW w:w="257" w:type="pct"/>
            <w:vAlign w:val="center"/>
          </w:tcPr>
          <w:p w14:paraId="63DC6D2E">
            <w:pPr>
              <w:pStyle w:val="28"/>
              <w:bidi w:val="0"/>
            </w:pPr>
            <w:r>
              <w:t>52.0</w:t>
            </w:r>
          </w:p>
        </w:tc>
        <w:tc>
          <w:tcPr>
            <w:tcW w:w="257" w:type="pct"/>
            <w:vAlign w:val="center"/>
          </w:tcPr>
          <w:p w14:paraId="0C95AA2B">
            <w:pPr>
              <w:pStyle w:val="28"/>
              <w:bidi w:val="0"/>
            </w:pPr>
            <w:r>
              <w:t>0.4</w:t>
            </w:r>
          </w:p>
        </w:tc>
        <w:tc>
          <w:tcPr>
            <w:tcW w:w="209" w:type="pct"/>
            <w:vAlign w:val="center"/>
          </w:tcPr>
          <w:p w14:paraId="1A1BC87F">
            <w:pPr>
              <w:pStyle w:val="28"/>
              <w:bidi w:val="0"/>
            </w:pPr>
            <w:r>
              <w:t>达标</w:t>
            </w:r>
          </w:p>
        </w:tc>
      </w:tr>
      <w:tr w14:paraId="42C8E83E">
        <w:tblPrEx>
          <w:tblCellMar>
            <w:top w:w="0" w:type="dxa"/>
            <w:left w:w="108" w:type="dxa"/>
            <w:bottom w:w="0" w:type="dxa"/>
            <w:right w:w="108" w:type="dxa"/>
          </w:tblCellMar>
        </w:tblPrEx>
        <w:trPr>
          <w:trHeight w:val="340" w:hRule="atLeast"/>
          <w:jc w:val="center"/>
        </w:trPr>
        <w:tc>
          <w:tcPr>
            <w:tcW w:w="685" w:type="pct"/>
            <w:vAlign w:val="center"/>
          </w:tcPr>
          <w:p w14:paraId="15484953">
            <w:pPr>
              <w:pStyle w:val="28"/>
              <w:bidi w:val="0"/>
            </w:pPr>
            <w:r>
              <w:rPr>
                <w:rFonts w:hint="eastAsia"/>
              </w:rPr>
              <w:t>松楼郢</w:t>
            </w:r>
          </w:p>
        </w:tc>
        <w:tc>
          <w:tcPr>
            <w:tcW w:w="511" w:type="pct"/>
            <w:vAlign w:val="center"/>
          </w:tcPr>
          <w:p w14:paraId="6AFC9C96">
            <w:pPr>
              <w:pStyle w:val="28"/>
              <w:bidi w:val="0"/>
            </w:pPr>
            <w:r>
              <w:rPr>
                <w:rFonts w:hint="eastAsia"/>
              </w:rPr>
              <w:t>滑坡治理</w:t>
            </w:r>
          </w:p>
        </w:tc>
        <w:tc>
          <w:tcPr>
            <w:tcW w:w="366" w:type="pct"/>
            <w:vAlign w:val="center"/>
          </w:tcPr>
          <w:p w14:paraId="034FDB43">
            <w:pPr>
              <w:pStyle w:val="28"/>
              <w:bidi w:val="0"/>
            </w:pPr>
            <w:r>
              <w:t>106</w:t>
            </w:r>
          </w:p>
        </w:tc>
        <w:tc>
          <w:tcPr>
            <w:tcW w:w="268" w:type="pct"/>
            <w:vAlign w:val="center"/>
          </w:tcPr>
          <w:p w14:paraId="3F9AF408">
            <w:pPr>
              <w:pStyle w:val="28"/>
              <w:bidi w:val="0"/>
            </w:pPr>
            <w:r>
              <w:rPr>
                <w:rFonts w:hint="eastAsia"/>
              </w:rPr>
              <w:t>左岸</w:t>
            </w:r>
          </w:p>
        </w:tc>
        <w:tc>
          <w:tcPr>
            <w:tcW w:w="262" w:type="pct"/>
            <w:vAlign w:val="center"/>
          </w:tcPr>
          <w:p w14:paraId="66F7DF3F">
            <w:pPr>
              <w:pStyle w:val="28"/>
              <w:bidi w:val="0"/>
            </w:pPr>
            <w:r>
              <w:t>1</w:t>
            </w:r>
            <w:r>
              <w:rPr>
                <w:rFonts w:hint="eastAsia"/>
              </w:rPr>
              <w:t>类</w:t>
            </w:r>
          </w:p>
        </w:tc>
        <w:tc>
          <w:tcPr>
            <w:tcW w:w="809" w:type="pct"/>
            <w:vMerge w:val="continue"/>
            <w:vAlign w:val="center"/>
          </w:tcPr>
          <w:p w14:paraId="55CA9B23">
            <w:pPr>
              <w:pStyle w:val="28"/>
              <w:bidi w:val="0"/>
            </w:pPr>
          </w:p>
        </w:tc>
        <w:tc>
          <w:tcPr>
            <w:tcW w:w="208" w:type="pct"/>
            <w:vAlign w:val="center"/>
          </w:tcPr>
          <w:p w14:paraId="21ABAD66">
            <w:pPr>
              <w:pStyle w:val="28"/>
              <w:bidi w:val="0"/>
            </w:pPr>
            <w:r>
              <w:t>52.4</w:t>
            </w:r>
          </w:p>
        </w:tc>
        <w:tc>
          <w:tcPr>
            <w:tcW w:w="211" w:type="pct"/>
            <w:vAlign w:val="center"/>
          </w:tcPr>
          <w:p w14:paraId="5D97EA5A">
            <w:pPr>
              <w:pStyle w:val="28"/>
              <w:bidi w:val="0"/>
            </w:pPr>
            <w:r>
              <w:t>40.9</w:t>
            </w:r>
          </w:p>
        </w:tc>
        <w:tc>
          <w:tcPr>
            <w:tcW w:w="208" w:type="pct"/>
            <w:vAlign w:val="center"/>
          </w:tcPr>
          <w:p w14:paraId="4431F544">
            <w:pPr>
              <w:pStyle w:val="28"/>
              <w:bidi w:val="0"/>
            </w:pPr>
            <w:r>
              <w:t>55</w:t>
            </w:r>
          </w:p>
        </w:tc>
        <w:tc>
          <w:tcPr>
            <w:tcW w:w="211" w:type="pct"/>
            <w:vAlign w:val="center"/>
          </w:tcPr>
          <w:p w14:paraId="75E1550B">
            <w:pPr>
              <w:pStyle w:val="28"/>
              <w:bidi w:val="0"/>
            </w:pPr>
            <w:r>
              <w:t>45</w:t>
            </w:r>
          </w:p>
        </w:tc>
        <w:tc>
          <w:tcPr>
            <w:tcW w:w="276" w:type="pct"/>
            <w:vAlign w:val="center"/>
          </w:tcPr>
          <w:p w14:paraId="64F867B6">
            <w:pPr>
              <w:pStyle w:val="28"/>
              <w:bidi w:val="0"/>
            </w:pPr>
            <w:r>
              <w:t>47.1</w:t>
            </w:r>
          </w:p>
        </w:tc>
        <w:tc>
          <w:tcPr>
            <w:tcW w:w="257" w:type="pct"/>
            <w:vAlign w:val="center"/>
          </w:tcPr>
          <w:p w14:paraId="6EA3B0E6">
            <w:pPr>
              <w:pStyle w:val="28"/>
              <w:bidi w:val="0"/>
            </w:pPr>
            <w:r>
              <w:t>40.1</w:t>
            </w:r>
          </w:p>
        </w:tc>
        <w:tc>
          <w:tcPr>
            <w:tcW w:w="257" w:type="pct"/>
            <w:vAlign w:val="center"/>
          </w:tcPr>
          <w:p w14:paraId="4CC789A9">
            <w:pPr>
              <w:pStyle w:val="28"/>
              <w:bidi w:val="0"/>
            </w:pPr>
            <w:r>
              <w:t>52.6</w:t>
            </w:r>
          </w:p>
        </w:tc>
        <w:tc>
          <w:tcPr>
            <w:tcW w:w="257" w:type="pct"/>
            <w:vAlign w:val="center"/>
          </w:tcPr>
          <w:p w14:paraId="5E140DBE">
            <w:pPr>
              <w:pStyle w:val="28"/>
              <w:bidi w:val="0"/>
            </w:pPr>
            <w:r>
              <w:t>0.2</w:t>
            </w:r>
          </w:p>
        </w:tc>
        <w:tc>
          <w:tcPr>
            <w:tcW w:w="209" w:type="pct"/>
            <w:vAlign w:val="center"/>
          </w:tcPr>
          <w:p w14:paraId="67258CC6">
            <w:pPr>
              <w:pStyle w:val="28"/>
              <w:bidi w:val="0"/>
            </w:pPr>
            <w:r>
              <w:t>达标</w:t>
            </w:r>
          </w:p>
        </w:tc>
      </w:tr>
      <w:tr w14:paraId="5387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1B055A0">
            <w:pPr>
              <w:pStyle w:val="28"/>
              <w:bidi w:val="0"/>
            </w:pPr>
            <w:r>
              <w:rPr>
                <w:rFonts w:hint="eastAsia"/>
              </w:rPr>
              <w:t>大塘拐</w:t>
            </w:r>
          </w:p>
        </w:tc>
        <w:tc>
          <w:tcPr>
            <w:tcW w:w="511" w:type="pct"/>
            <w:vAlign w:val="center"/>
          </w:tcPr>
          <w:p w14:paraId="3CAA62FD">
            <w:pPr>
              <w:pStyle w:val="28"/>
              <w:bidi w:val="0"/>
            </w:pPr>
            <w:r>
              <w:rPr>
                <w:rFonts w:hint="eastAsia"/>
              </w:rPr>
              <w:t>滑坡治理</w:t>
            </w:r>
          </w:p>
        </w:tc>
        <w:tc>
          <w:tcPr>
            <w:tcW w:w="366" w:type="pct"/>
            <w:vAlign w:val="center"/>
          </w:tcPr>
          <w:p w14:paraId="536A2FCC">
            <w:pPr>
              <w:pStyle w:val="28"/>
              <w:bidi w:val="0"/>
            </w:pPr>
            <w:r>
              <w:t>156</w:t>
            </w:r>
          </w:p>
        </w:tc>
        <w:tc>
          <w:tcPr>
            <w:tcW w:w="268" w:type="pct"/>
            <w:vAlign w:val="center"/>
          </w:tcPr>
          <w:p w14:paraId="0FE023E2">
            <w:pPr>
              <w:pStyle w:val="28"/>
              <w:bidi w:val="0"/>
            </w:pPr>
            <w:r>
              <w:rPr>
                <w:rFonts w:hint="eastAsia"/>
              </w:rPr>
              <w:t>左岸</w:t>
            </w:r>
          </w:p>
        </w:tc>
        <w:tc>
          <w:tcPr>
            <w:tcW w:w="262" w:type="pct"/>
            <w:vAlign w:val="center"/>
          </w:tcPr>
          <w:p w14:paraId="58A3E96A">
            <w:pPr>
              <w:pStyle w:val="28"/>
              <w:bidi w:val="0"/>
            </w:pPr>
            <w:r>
              <w:t>1</w:t>
            </w:r>
            <w:r>
              <w:rPr>
                <w:rFonts w:hint="eastAsia"/>
              </w:rPr>
              <w:t>类</w:t>
            </w:r>
          </w:p>
        </w:tc>
        <w:tc>
          <w:tcPr>
            <w:tcW w:w="809" w:type="pct"/>
            <w:vMerge w:val="continue"/>
            <w:vAlign w:val="center"/>
          </w:tcPr>
          <w:p w14:paraId="43762F91">
            <w:pPr>
              <w:pStyle w:val="28"/>
              <w:bidi w:val="0"/>
            </w:pPr>
          </w:p>
        </w:tc>
        <w:tc>
          <w:tcPr>
            <w:tcW w:w="208" w:type="pct"/>
            <w:vAlign w:val="center"/>
          </w:tcPr>
          <w:p w14:paraId="6669B685">
            <w:pPr>
              <w:pStyle w:val="28"/>
              <w:bidi w:val="0"/>
            </w:pPr>
            <w:r>
              <w:t>53.2</w:t>
            </w:r>
          </w:p>
        </w:tc>
        <w:tc>
          <w:tcPr>
            <w:tcW w:w="211" w:type="pct"/>
            <w:vAlign w:val="center"/>
          </w:tcPr>
          <w:p w14:paraId="5F6A1A5A">
            <w:pPr>
              <w:pStyle w:val="28"/>
              <w:bidi w:val="0"/>
            </w:pPr>
            <w:r>
              <w:t>41.7</w:t>
            </w:r>
          </w:p>
        </w:tc>
        <w:tc>
          <w:tcPr>
            <w:tcW w:w="208" w:type="pct"/>
            <w:vAlign w:val="center"/>
          </w:tcPr>
          <w:p w14:paraId="7BBAD350">
            <w:pPr>
              <w:pStyle w:val="28"/>
              <w:bidi w:val="0"/>
            </w:pPr>
            <w:r>
              <w:t>55</w:t>
            </w:r>
          </w:p>
        </w:tc>
        <w:tc>
          <w:tcPr>
            <w:tcW w:w="211" w:type="pct"/>
            <w:vAlign w:val="center"/>
          </w:tcPr>
          <w:p w14:paraId="7987641B">
            <w:pPr>
              <w:pStyle w:val="28"/>
              <w:bidi w:val="0"/>
            </w:pPr>
            <w:r>
              <w:t>45</w:t>
            </w:r>
          </w:p>
        </w:tc>
        <w:tc>
          <w:tcPr>
            <w:tcW w:w="276" w:type="pct"/>
            <w:vAlign w:val="center"/>
          </w:tcPr>
          <w:p w14:paraId="525FE2C7">
            <w:pPr>
              <w:pStyle w:val="28"/>
              <w:bidi w:val="0"/>
            </w:pPr>
            <w:r>
              <w:t>43.7</w:t>
            </w:r>
          </w:p>
        </w:tc>
        <w:tc>
          <w:tcPr>
            <w:tcW w:w="257" w:type="pct"/>
            <w:vAlign w:val="center"/>
          </w:tcPr>
          <w:p w14:paraId="5D6CC3D0">
            <w:pPr>
              <w:pStyle w:val="28"/>
              <w:bidi w:val="0"/>
            </w:pPr>
            <w:r>
              <w:t>36.7</w:t>
            </w:r>
          </w:p>
        </w:tc>
        <w:tc>
          <w:tcPr>
            <w:tcW w:w="257" w:type="pct"/>
            <w:vAlign w:val="center"/>
          </w:tcPr>
          <w:p w14:paraId="078EA7B0">
            <w:pPr>
              <w:pStyle w:val="28"/>
              <w:bidi w:val="0"/>
            </w:pPr>
            <w:r>
              <w:t>53.3</w:t>
            </w:r>
          </w:p>
        </w:tc>
        <w:tc>
          <w:tcPr>
            <w:tcW w:w="257" w:type="pct"/>
            <w:vAlign w:val="center"/>
          </w:tcPr>
          <w:p w14:paraId="582B9909">
            <w:pPr>
              <w:pStyle w:val="28"/>
              <w:bidi w:val="0"/>
            </w:pPr>
            <w:r>
              <w:t>0.1</w:t>
            </w:r>
          </w:p>
        </w:tc>
        <w:tc>
          <w:tcPr>
            <w:tcW w:w="209" w:type="pct"/>
            <w:vAlign w:val="center"/>
          </w:tcPr>
          <w:p w14:paraId="63B85B61">
            <w:pPr>
              <w:pStyle w:val="28"/>
              <w:bidi w:val="0"/>
            </w:pPr>
            <w:r>
              <w:t>达标</w:t>
            </w:r>
          </w:p>
        </w:tc>
      </w:tr>
      <w:tr w14:paraId="776CB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BEDB497">
            <w:pPr>
              <w:pStyle w:val="28"/>
              <w:bidi w:val="0"/>
            </w:pPr>
            <w:r>
              <w:rPr>
                <w:rFonts w:hint="eastAsia"/>
              </w:rPr>
              <w:t>中塘郢</w:t>
            </w:r>
          </w:p>
        </w:tc>
        <w:tc>
          <w:tcPr>
            <w:tcW w:w="511" w:type="pct"/>
            <w:vAlign w:val="center"/>
          </w:tcPr>
          <w:p w14:paraId="73E3D5A3">
            <w:pPr>
              <w:pStyle w:val="28"/>
              <w:bidi w:val="0"/>
            </w:pPr>
            <w:r>
              <w:rPr>
                <w:rFonts w:hint="eastAsia"/>
              </w:rPr>
              <w:t>滑坡治理</w:t>
            </w:r>
          </w:p>
        </w:tc>
        <w:tc>
          <w:tcPr>
            <w:tcW w:w="366" w:type="pct"/>
            <w:vAlign w:val="center"/>
          </w:tcPr>
          <w:p w14:paraId="52B978D0">
            <w:pPr>
              <w:pStyle w:val="28"/>
              <w:bidi w:val="0"/>
            </w:pPr>
            <w:r>
              <w:t>50</w:t>
            </w:r>
          </w:p>
        </w:tc>
        <w:tc>
          <w:tcPr>
            <w:tcW w:w="268" w:type="pct"/>
            <w:vAlign w:val="center"/>
          </w:tcPr>
          <w:p w14:paraId="1EE510BE">
            <w:pPr>
              <w:pStyle w:val="28"/>
              <w:bidi w:val="0"/>
            </w:pPr>
            <w:r>
              <w:rPr>
                <w:rFonts w:hint="eastAsia"/>
              </w:rPr>
              <w:t>左岸</w:t>
            </w:r>
          </w:p>
        </w:tc>
        <w:tc>
          <w:tcPr>
            <w:tcW w:w="262" w:type="pct"/>
            <w:vAlign w:val="center"/>
          </w:tcPr>
          <w:p w14:paraId="36490CD8">
            <w:pPr>
              <w:pStyle w:val="28"/>
              <w:bidi w:val="0"/>
            </w:pPr>
            <w:r>
              <w:t>1</w:t>
            </w:r>
            <w:r>
              <w:rPr>
                <w:rFonts w:hint="eastAsia"/>
              </w:rPr>
              <w:t>类</w:t>
            </w:r>
          </w:p>
        </w:tc>
        <w:tc>
          <w:tcPr>
            <w:tcW w:w="809" w:type="pct"/>
            <w:vMerge w:val="continue"/>
            <w:vAlign w:val="center"/>
          </w:tcPr>
          <w:p w14:paraId="2FEBEB1C">
            <w:pPr>
              <w:pStyle w:val="28"/>
              <w:bidi w:val="0"/>
            </w:pPr>
          </w:p>
        </w:tc>
        <w:tc>
          <w:tcPr>
            <w:tcW w:w="208" w:type="pct"/>
            <w:vAlign w:val="center"/>
          </w:tcPr>
          <w:p w14:paraId="5B4A428F">
            <w:pPr>
              <w:pStyle w:val="28"/>
              <w:bidi w:val="0"/>
            </w:pPr>
            <w:r>
              <w:t>53.4</w:t>
            </w:r>
          </w:p>
        </w:tc>
        <w:tc>
          <w:tcPr>
            <w:tcW w:w="211" w:type="pct"/>
            <w:vAlign w:val="center"/>
          </w:tcPr>
          <w:p w14:paraId="7CB2CAC6">
            <w:pPr>
              <w:pStyle w:val="28"/>
              <w:bidi w:val="0"/>
            </w:pPr>
            <w:r>
              <w:t>41.9</w:t>
            </w:r>
          </w:p>
        </w:tc>
        <w:tc>
          <w:tcPr>
            <w:tcW w:w="208" w:type="pct"/>
            <w:vAlign w:val="center"/>
          </w:tcPr>
          <w:p w14:paraId="5222BDE7">
            <w:pPr>
              <w:pStyle w:val="28"/>
              <w:bidi w:val="0"/>
            </w:pPr>
            <w:r>
              <w:t>55</w:t>
            </w:r>
          </w:p>
        </w:tc>
        <w:tc>
          <w:tcPr>
            <w:tcW w:w="211" w:type="pct"/>
            <w:vAlign w:val="center"/>
          </w:tcPr>
          <w:p w14:paraId="6CF78D6E">
            <w:pPr>
              <w:pStyle w:val="28"/>
              <w:bidi w:val="0"/>
            </w:pPr>
            <w:r>
              <w:t>45</w:t>
            </w:r>
          </w:p>
        </w:tc>
        <w:tc>
          <w:tcPr>
            <w:tcW w:w="276" w:type="pct"/>
            <w:vAlign w:val="center"/>
          </w:tcPr>
          <w:p w14:paraId="07E2E011">
            <w:pPr>
              <w:pStyle w:val="28"/>
              <w:bidi w:val="0"/>
            </w:pPr>
            <w:r>
              <w:t>53.6</w:t>
            </w:r>
          </w:p>
        </w:tc>
        <w:tc>
          <w:tcPr>
            <w:tcW w:w="257" w:type="pct"/>
            <w:vAlign w:val="center"/>
          </w:tcPr>
          <w:p w14:paraId="3DD4D699">
            <w:pPr>
              <w:pStyle w:val="28"/>
              <w:bidi w:val="0"/>
            </w:pPr>
            <w:r>
              <w:t>46.6</w:t>
            </w:r>
          </w:p>
        </w:tc>
        <w:tc>
          <w:tcPr>
            <w:tcW w:w="257" w:type="pct"/>
            <w:vAlign w:val="center"/>
          </w:tcPr>
          <w:p w14:paraId="33B684ED">
            <w:pPr>
              <w:pStyle w:val="28"/>
              <w:bidi w:val="0"/>
            </w:pPr>
            <w:r>
              <w:t>54.2</w:t>
            </w:r>
          </w:p>
        </w:tc>
        <w:tc>
          <w:tcPr>
            <w:tcW w:w="257" w:type="pct"/>
            <w:vAlign w:val="center"/>
          </w:tcPr>
          <w:p w14:paraId="3704A58C">
            <w:pPr>
              <w:pStyle w:val="28"/>
              <w:bidi w:val="0"/>
            </w:pPr>
            <w:r>
              <w:t>0.8</w:t>
            </w:r>
          </w:p>
        </w:tc>
        <w:tc>
          <w:tcPr>
            <w:tcW w:w="209" w:type="pct"/>
            <w:vAlign w:val="center"/>
          </w:tcPr>
          <w:p w14:paraId="5E13D780">
            <w:pPr>
              <w:pStyle w:val="28"/>
              <w:bidi w:val="0"/>
            </w:pPr>
            <w:r>
              <w:t>达标</w:t>
            </w:r>
          </w:p>
        </w:tc>
      </w:tr>
      <w:tr w14:paraId="40D8B99D">
        <w:tblPrEx>
          <w:tblCellMar>
            <w:top w:w="0" w:type="dxa"/>
            <w:left w:w="108" w:type="dxa"/>
            <w:bottom w:w="0" w:type="dxa"/>
            <w:right w:w="108" w:type="dxa"/>
          </w:tblCellMar>
        </w:tblPrEx>
        <w:trPr>
          <w:trHeight w:val="340" w:hRule="atLeast"/>
          <w:jc w:val="center"/>
        </w:trPr>
        <w:tc>
          <w:tcPr>
            <w:tcW w:w="685" w:type="pct"/>
            <w:vAlign w:val="center"/>
          </w:tcPr>
          <w:p w14:paraId="4598F933">
            <w:pPr>
              <w:pStyle w:val="28"/>
              <w:bidi w:val="0"/>
            </w:pPr>
            <w:r>
              <w:rPr>
                <w:rFonts w:hint="eastAsia"/>
              </w:rPr>
              <w:t>聚星社区</w:t>
            </w:r>
          </w:p>
        </w:tc>
        <w:tc>
          <w:tcPr>
            <w:tcW w:w="511" w:type="pct"/>
            <w:vAlign w:val="center"/>
          </w:tcPr>
          <w:p w14:paraId="39F8D8CA">
            <w:pPr>
              <w:pStyle w:val="28"/>
              <w:bidi w:val="0"/>
            </w:pPr>
            <w:r>
              <w:rPr>
                <w:rFonts w:hint="eastAsia"/>
              </w:rPr>
              <w:t>渡槽拆建</w:t>
            </w:r>
          </w:p>
        </w:tc>
        <w:tc>
          <w:tcPr>
            <w:tcW w:w="366" w:type="pct"/>
            <w:vAlign w:val="center"/>
          </w:tcPr>
          <w:p w14:paraId="35BE094F">
            <w:pPr>
              <w:pStyle w:val="28"/>
              <w:bidi w:val="0"/>
            </w:pPr>
            <w:r>
              <w:t>25</w:t>
            </w:r>
          </w:p>
        </w:tc>
        <w:tc>
          <w:tcPr>
            <w:tcW w:w="268" w:type="pct"/>
            <w:vAlign w:val="center"/>
          </w:tcPr>
          <w:p w14:paraId="5E8E1CD2">
            <w:pPr>
              <w:pStyle w:val="28"/>
              <w:bidi w:val="0"/>
            </w:pPr>
            <w:r>
              <w:rPr>
                <w:rFonts w:hint="eastAsia"/>
              </w:rPr>
              <w:t>左岸</w:t>
            </w:r>
          </w:p>
        </w:tc>
        <w:tc>
          <w:tcPr>
            <w:tcW w:w="262" w:type="pct"/>
            <w:vAlign w:val="center"/>
          </w:tcPr>
          <w:p w14:paraId="78EBD67E">
            <w:pPr>
              <w:pStyle w:val="28"/>
              <w:bidi w:val="0"/>
            </w:pPr>
            <w:r>
              <w:t>1</w:t>
            </w:r>
            <w:r>
              <w:rPr>
                <w:rFonts w:hint="eastAsia"/>
              </w:rPr>
              <w:t>类</w:t>
            </w:r>
          </w:p>
        </w:tc>
        <w:tc>
          <w:tcPr>
            <w:tcW w:w="809" w:type="pct"/>
            <w:vAlign w:val="center"/>
          </w:tcPr>
          <w:p w14:paraId="06F28EC9">
            <w:pPr>
              <w:pStyle w:val="28"/>
              <w:bidi w:val="0"/>
            </w:pPr>
            <w:r>
              <w:rPr>
                <w:rFonts w:hint="eastAsia"/>
              </w:rPr>
              <w:t>采用低噪声设备，施工机械远离居民住宅，设置双层移动声屏障</w:t>
            </w:r>
          </w:p>
        </w:tc>
        <w:tc>
          <w:tcPr>
            <w:tcW w:w="208" w:type="pct"/>
            <w:vAlign w:val="center"/>
          </w:tcPr>
          <w:p w14:paraId="5D52831F">
            <w:pPr>
              <w:pStyle w:val="28"/>
              <w:bidi w:val="0"/>
            </w:pPr>
            <w:r>
              <w:t>53.5</w:t>
            </w:r>
          </w:p>
        </w:tc>
        <w:tc>
          <w:tcPr>
            <w:tcW w:w="211" w:type="pct"/>
            <w:vAlign w:val="center"/>
          </w:tcPr>
          <w:p w14:paraId="367318B3">
            <w:pPr>
              <w:pStyle w:val="28"/>
              <w:bidi w:val="0"/>
            </w:pPr>
            <w:r>
              <w:t>39.1</w:t>
            </w:r>
          </w:p>
        </w:tc>
        <w:tc>
          <w:tcPr>
            <w:tcW w:w="208" w:type="pct"/>
            <w:vAlign w:val="center"/>
          </w:tcPr>
          <w:p w14:paraId="07B4D89B">
            <w:pPr>
              <w:pStyle w:val="28"/>
              <w:bidi w:val="0"/>
            </w:pPr>
            <w:r>
              <w:t>55</w:t>
            </w:r>
          </w:p>
        </w:tc>
        <w:tc>
          <w:tcPr>
            <w:tcW w:w="211" w:type="pct"/>
            <w:vAlign w:val="center"/>
          </w:tcPr>
          <w:p w14:paraId="78FAE31E">
            <w:pPr>
              <w:pStyle w:val="28"/>
              <w:bidi w:val="0"/>
            </w:pPr>
            <w:r>
              <w:t>45</w:t>
            </w:r>
          </w:p>
        </w:tc>
        <w:tc>
          <w:tcPr>
            <w:tcW w:w="276" w:type="pct"/>
            <w:vAlign w:val="center"/>
          </w:tcPr>
          <w:p w14:paraId="18E8A024">
            <w:pPr>
              <w:pStyle w:val="28"/>
              <w:bidi w:val="0"/>
            </w:pPr>
            <w:r>
              <w:t>65.3</w:t>
            </w:r>
          </w:p>
        </w:tc>
        <w:tc>
          <w:tcPr>
            <w:tcW w:w="257" w:type="pct"/>
            <w:vAlign w:val="center"/>
          </w:tcPr>
          <w:p w14:paraId="2A9026EE">
            <w:pPr>
              <w:pStyle w:val="28"/>
              <w:bidi w:val="0"/>
            </w:pPr>
            <w:r>
              <w:t>45.3</w:t>
            </w:r>
          </w:p>
        </w:tc>
        <w:tc>
          <w:tcPr>
            <w:tcW w:w="257" w:type="pct"/>
            <w:vAlign w:val="center"/>
          </w:tcPr>
          <w:p w14:paraId="4ADBE2E2">
            <w:pPr>
              <w:pStyle w:val="28"/>
              <w:bidi w:val="0"/>
            </w:pPr>
            <w:r>
              <w:t>54.1</w:t>
            </w:r>
          </w:p>
        </w:tc>
        <w:tc>
          <w:tcPr>
            <w:tcW w:w="257" w:type="pct"/>
            <w:vAlign w:val="center"/>
          </w:tcPr>
          <w:p w14:paraId="43AAA4F1">
            <w:pPr>
              <w:pStyle w:val="28"/>
              <w:bidi w:val="0"/>
            </w:pPr>
            <w:r>
              <w:t>0.6</w:t>
            </w:r>
          </w:p>
        </w:tc>
        <w:tc>
          <w:tcPr>
            <w:tcW w:w="209" w:type="pct"/>
            <w:vAlign w:val="center"/>
          </w:tcPr>
          <w:p w14:paraId="59527156">
            <w:pPr>
              <w:pStyle w:val="28"/>
              <w:bidi w:val="0"/>
            </w:pPr>
            <w:r>
              <w:t>达标</w:t>
            </w:r>
          </w:p>
        </w:tc>
      </w:tr>
      <w:tr w14:paraId="5CA3E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9199C8B">
            <w:pPr>
              <w:pStyle w:val="28"/>
              <w:bidi w:val="0"/>
            </w:pPr>
            <w:r>
              <w:rPr>
                <w:rFonts w:hint="eastAsia"/>
              </w:rPr>
              <w:t>聚星学区中心学校</w:t>
            </w:r>
          </w:p>
        </w:tc>
        <w:tc>
          <w:tcPr>
            <w:tcW w:w="511" w:type="pct"/>
            <w:vAlign w:val="center"/>
          </w:tcPr>
          <w:p w14:paraId="5AE701B9">
            <w:pPr>
              <w:pStyle w:val="28"/>
              <w:bidi w:val="0"/>
            </w:pPr>
            <w:r>
              <w:rPr>
                <w:rFonts w:hint="eastAsia"/>
              </w:rPr>
              <w:t>渡槽拆建</w:t>
            </w:r>
          </w:p>
        </w:tc>
        <w:tc>
          <w:tcPr>
            <w:tcW w:w="366" w:type="pct"/>
            <w:vAlign w:val="center"/>
          </w:tcPr>
          <w:p w14:paraId="55035935">
            <w:pPr>
              <w:pStyle w:val="28"/>
              <w:bidi w:val="0"/>
            </w:pPr>
            <w:r>
              <w:t>55</w:t>
            </w:r>
          </w:p>
        </w:tc>
        <w:tc>
          <w:tcPr>
            <w:tcW w:w="268" w:type="pct"/>
            <w:vAlign w:val="center"/>
          </w:tcPr>
          <w:p w14:paraId="25389D8C">
            <w:pPr>
              <w:pStyle w:val="28"/>
              <w:bidi w:val="0"/>
            </w:pPr>
            <w:r>
              <w:rPr>
                <w:rFonts w:hint="eastAsia"/>
              </w:rPr>
              <w:t>右岸</w:t>
            </w:r>
          </w:p>
        </w:tc>
        <w:tc>
          <w:tcPr>
            <w:tcW w:w="262" w:type="pct"/>
            <w:vAlign w:val="center"/>
          </w:tcPr>
          <w:p w14:paraId="461FD01D">
            <w:pPr>
              <w:pStyle w:val="28"/>
              <w:bidi w:val="0"/>
            </w:pPr>
            <w:r>
              <w:t>1</w:t>
            </w:r>
            <w:r>
              <w:rPr>
                <w:rFonts w:hint="eastAsia"/>
              </w:rPr>
              <w:t>类</w:t>
            </w:r>
          </w:p>
        </w:tc>
        <w:tc>
          <w:tcPr>
            <w:tcW w:w="809" w:type="pct"/>
            <w:vAlign w:val="center"/>
          </w:tcPr>
          <w:p w14:paraId="6B2BF5BC">
            <w:pPr>
              <w:pStyle w:val="28"/>
              <w:bidi w:val="0"/>
            </w:pPr>
            <w:r>
              <w:rPr>
                <w:rFonts w:hint="eastAsia"/>
              </w:rPr>
              <w:t>采用低噪声设备，施工机械远离居民住宅</w:t>
            </w:r>
          </w:p>
        </w:tc>
        <w:tc>
          <w:tcPr>
            <w:tcW w:w="208" w:type="pct"/>
            <w:vAlign w:val="center"/>
          </w:tcPr>
          <w:p w14:paraId="0986D67B">
            <w:pPr>
              <w:pStyle w:val="28"/>
              <w:bidi w:val="0"/>
            </w:pPr>
            <w:r>
              <w:t>47.9</w:t>
            </w:r>
          </w:p>
        </w:tc>
        <w:tc>
          <w:tcPr>
            <w:tcW w:w="211" w:type="pct"/>
            <w:vAlign w:val="center"/>
          </w:tcPr>
          <w:p w14:paraId="738C238B">
            <w:pPr>
              <w:pStyle w:val="28"/>
              <w:bidi w:val="0"/>
            </w:pPr>
            <w:r>
              <w:t>40.2</w:t>
            </w:r>
          </w:p>
        </w:tc>
        <w:tc>
          <w:tcPr>
            <w:tcW w:w="208" w:type="pct"/>
            <w:vAlign w:val="center"/>
          </w:tcPr>
          <w:p w14:paraId="0F9864FB">
            <w:pPr>
              <w:pStyle w:val="28"/>
              <w:bidi w:val="0"/>
            </w:pPr>
            <w:r>
              <w:t>55</w:t>
            </w:r>
          </w:p>
        </w:tc>
        <w:tc>
          <w:tcPr>
            <w:tcW w:w="211" w:type="pct"/>
            <w:vAlign w:val="center"/>
          </w:tcPr>
          <w:p w14:paraId="790C4DFF">
            <w:pPr>
              <w:pStyle w:val="28"/>
              <w:bidi w:val="0"/>
            </w:pPr>
            <w:r>
              <w:t>45</w:t>
            </w:r>
          </w:p>
        </w:tc>
        <w:tc>
          <w:tcPr>
            <w:tcW w:w="276" w:type="pct"/>
            <w:vAlign w:val="center"/>
          </w:tcPr>
          <w:p w14:paraId="3C9C0A99">
            <w:pPr>
              <w:pStyle w:val="28"/>
              <w:bidi w:val="0"/>
            </w:pPr>
            <w:r>
              <w:t>58.4</w:t>
            </w:r>
          </w:p>
        </w:tc>
        <w:tc>
          <w:tcPr>
            <w:tcW w:w="257" w:type="pct"/>
            <w:vAlign w:val="center"/>
          </w:tcPr>
          <w:p w14:paraId="5D65B296">
            <w:pPr>
              <w:pStyle w:val="28"/>
              <w:bidi w:val="0"/>
            </w:pPr>
            <w:r>
              <w:t>51.4</w:t>
            </w:r>
          </w:p>
        </w:tc>
        <w:tc>
          <w:tcPr>
            <w:tcW w:w="257" w:type="pct"/>
            <w:vAlign w:val="center"/>
          </w:tcPr>
          <w:p w14:paraId="2060F9F0">
            <w:pPr>
              <w:pStyle w:val="28"/>
              <w:bidi w:val="0"/>
            </w:pPr>
            <w:r>
              <w:t>5</w:t>
            </w:r>
            <w:r>
              <w:rPr>
                <w:rFonts w:hint="eastAsia"/>
              </w:rPr>
              <w:t>2.8</w:t>
            </w:r>
          </w:p>
        </w:tc>
        <w:tc>
          <w:tcPr>
            <w:tcW w:w="257" w:type="pct"/>
            <w:vAlign w:val="center"/>
          </w:tcPr>
          <w:p w14:paraId="2A541446">
            <w:pPr>
              <w:pStyle w:val="28"/>
              <w:bidi w:val="0"/>
            </w:pPr>
            <w:r>
              <w:rPr>
                <w:rFonts w:hint="eastAsia"/>
              </w:rPr>
              <w:t>4.9</w:t>
            </w:r>
          </w:p>
        </w:tc>
        <w:tc>
          <w:tcPr>
            <w:tcW w:w="209" w:type="pct"/>
            <w:vAlign w:val="center"/>
          </w:tcPr>
          <w:p w14:paraId="66EFC090">
            <w:pPr>
              <w:pStyle w:val="28"/>
              <w:bidi w:val="0"/>
            </w:pPr>
            <w:r>
              <w:t>达标</w:t>
            </w:r>
          </w:p>
        </w:tc>
      </w:tr>
      <w:tr w14:paraId="0664D0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E4D19F2">
            <w:pPr>
              <w:pStyle w:val="28"/>
              <w:bidi w:val="0"/>
            </w:pPr>
            <w:r>
              <w:rPr>
                <w:rFonts w:hint="eastAsia"/>
              </w:rPr>
              <w:t>聚星金色童年幼儿园</w:t>
            </w:r>
          </w:p>
        </w:tc>
        <w:tc>
          <w:tcPr>
            <w:tcW w:w="511" w:type="pct"/>
            <w:vAlign w:val="center"/>
          </w:tcPr>
          <w:p w14:paraId="47CCD512">
            <w:pPr>
              <w:pStyle w:val="28"/>
              <w:bidi w:val="0"/>
            </w:pPr>
            <w:r>
              <w:rPr>
                <w:rFonts w:hint="eastAsia"/>
              </w:rPr>
              <w:t>渡槽拆建</w:t>
            </w:r>
          </w:p>
        </w:tc>
        <w:tc>
          <w:tcPr>
            <w:tcW w:w="366" w:type="pct"/>
            <w:vAlign w:val="center"/>
          </w:tcPr>
          <w:p w14:paraId="0FD79778">
            <w:pPr>
              <w:pStyle w:val="28"/>
              <w:bidi w:val="0"/>
            </w:pPr>
            <w:r>
              <w:t>35</w:t>
            </w:r>
          </w:p>
        </w:tc>
        <w:tc>
          <w:tcPr>
            <w:tcW w:w="268" w:type="pct"/>
            <w:vAlign w:val="center"/>
          </w:tcPr>
          <w:p w14:paraId="2E3A518E">
            <w:pPr>
              <w:pStyle w:val="28"/>
              <w:bidi w:val="0"/>
            </w:pPr>
            <w:r>
              <w:rPr>
                <w:rFonts w:hint="eastAsia"/>
              </w:rPr>
              <w:t>右岸</w:t>
            </w:r>
          </w:p>
        </w:tc>
        <w:tc>
          <w:tcPr>
            <w:tcW w:w="262" w:type="pct"/>
            <w:vAlign w:val="center"/>
          </w:tcPr>
          <w:p w14:paraId="28544CAB">
            <w:pPr>
              <w:pStyle w:val="28"/>
              <w:bidi w:val="0"/>
            </w:pPr>
            <w:r>
              <w:t>1</w:t>
            </w:r>
            <w:r>
              <w:rPr>
                <w:rFonts w:hint="eastAsia"/>
              </w:rPr>
              <w:t>类</w:t>
            </w:r>
          </w:p>
        </w:tc>
        <w:tc>
          <w:tcPr>
            <w:tcW w:w="809" w:type="pct"/>
            <w:vAlign w:val="center"/>
          </w:tcPr>
          <w:p w14:paraId="06A24BE9">
            <w:pPr>
              <w:pStyle w:val="28"/>
              <w:bidi w:val="0"/>
            </w:pPr>
            <w:r>
              <w:rPr>
                <w:rFonts w:hint="eastAsia"/>
              </w:rPr>
              <w:t>采用低噪声设备，施工机械远离居民住宅，设置双层移动声屏障</w:t>
            </w:r>
          </w:p>
        </w:tc>
        <w:tc>
          <w:tcPr>
            <w:tcW w:w="208" w:type="pct"/>
            <w:vAlign w:val="center"/>
          </w:tcPr>
          <w:p w14:paraId="7DA1D357">
            <w:pPr>
              <w:pStyle w:val="28"/>
              <w:bidi w:val="0"/>
            </w:pPr>
            <w:r>
              <w:t>47.8</w:t>
            </w:r>
          </w:p>
        </w:tc>
        <w:tc>
          <w:tcPr>
            <w:tcW w:w="211" w:type="pct"/>
            <w:vAlign w:val="center"/>
          </w:tcPr>
          <w:p w14:paraId="76198D15">
            <w:pPr>
              <w:pStyle w:val="28"/>
              <w:bidi w:val="0"/>
            </w:pPr>
            <w:r>
              <w:t>40.1</w:t>
            </w:r>
          </w:p>
        </w:tc>
        <w:tc>
          <w:tcPr>
            <w:tcW w:w="208" w:type="pct"/>
            <w:vAlign w:val="center"/>
          </w:tcPr>
          <w:p w14:paraId="33A97BFE">
            <w:pPr>
              <w:pStyle w:val="28"/>
              <w:bidi w:val="0"/>
            </w:pPr>
            <w:r>
              <w:t>55</w:t>
            </w:r>
          </w:p>
        </w:tc>
        <w:tc>
          <w:tcPr>
            <w:tcW w:w="211" w:type="pct"/>
            <w:vAlign w:val="center"/>
          </w:tcPr>
          <w:p w14:paraId="11E62581">
            <w:pPr>
              <w:pStyle w:val="28"/>
              <w:bidi w:val="0"/>
            </w:pPr>
            <w:r>
              <w:t>45</w:t>
            </w:r>
          </w:p>
        </w:tc>
        <w:tc>
          <w:tcPr>
            <w:tcW w:w="276" w:type="pct"/>
            <w:vAlign w:val="center"/>
          </w:tcPr>
          <w:p w14:paraId="03BCB56F">
            <w:pPr>
              <w:pStyle w:val="28"/>
              <w:bidi w:val="0"/>
            </w:pPr>
            <w:r>
              <w:t>62.3</w:t>
            </w:r>
          </w:p>
        </w:tc>
        <w:tc>
          <w:tcPr>
            <w:tcW w:w="257" w:type="pct"/>
            <w:vAlign w:val="center"/>
          </w:tcPr>
          <w:p w14:paraId="5100025C">
            <w:pPr>
              <w:pStyle w:val="28"/>
              <w:bidi w:val="0"/>
            </w:pPr>
            <w:r>
              <w:t>42.3</w:t>
            </w:r>
          </w:p>
        </w:tc>
        <w:tc>
          <w:tcPr>
            <w:tcW w:w="257" w:type="pct"/>
            <w:vAlign w:val="center"/>
          </w:tcPr>
          <w:p w14:paraId="1F8536AD">
            <w:pPr>
              <w:pStyle w:val="28"/>
              <w:bidi w:val="0"/>
            </w:pPr>
            <w:r>
              <w:t>48.9</w:t>
            </w:r>
          </w:p>
        </w:tc>
        <w:tc>
          <w:tcPr>
            <w:tcW w:w="257" w:type="pct"/>
            <w:vAlign w:val="center"/>
          </w:tcPr>
          <w:p w14:paraId="3A3D71EB">
            <w:pPr>
              <w:pStyle w:val="28"/>
              <w:bidi w:val="0"/>
            </w:pPr>
            <w:r>
              <w:t>1.1</w:t>
            </w:r>
          </w:p>
        </w:tc>
        <w:tc>
          <w:tcPr>
            <w:tcW w:w="209" w:type="pct"/>
            <w:vAlign w:val="center"/>
          </w:tcPr>
          <w:p w14:paraId="3A170FFE">
            <w:pPr>
              <w:pStyle w:val="28"/>
              <w:bidi w:val="0"/>
            </w:pPr>
            <w:r>
              <w:t>达标</w:t>
            </w:r>
          </w:p>
        </w:tc>
      </w:tr>
      <w:tr w14:paraId="185D5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3C7F43B">
            <w:pPr>
              <w:pStyle w:val="28"/>
              <w:bidi w:val="0"/>
            </w:pPr>
            <w:r>
              <w:rPr>
                <w:rFonts w:hint="eastAsia"/>
              </w:rPr>
              <w:t>独松郢</w:t>
            </w:r>
          </w:p>
        </w:tc>
        <w:tc>
          <w:tcPr>
            <w:tcW w:w="511" w:type="pct"/>
            <w:vAlign w:val="center"/>
          </w:tcPr>
          <w:p w14:paraId="683263F3">
            <w:pPr>
              <w:pStyle w:val="28"/>
              <w:bidi w:val="0"/>
            </w:pPr>
            <w:r>
              <w:rPr>
                <w:rFonts w:hint="eastAsia"/>
              </w:rPr>
              <w:t>渠道护砌</w:t>
            </w:r>
          </w:p>
        </w:tc>
        <w:tc>
          <w:tcPr>
            <w:tcW w:w="366" w:type="pct"/>
            <w:vAlign w:val="center"/>
          </w:tcPr>
          <w:p w14:paraId="236ED8F0">
            <w:pPr>
              <w:pStyle w:val="28"/>
              <w:bidi w:val="0"/>
            </w:pPr>
            <w:r>
              <w:t>120</w:t>
            </w:r>
          </w:p>
        </w:tc>
        <w:tc>
          <w:tcPr>
            <w:tcW w:w="268" w:type="pct"/>
            <w:vAlign w:val="center"/>
          </w:tcPr>
          <w:p w14:paraId="4D504853">
            <w:pPr>
              <w:pStyle w:val="28"/>
              <w:bidi w:val="0"/>
            </w:pPr>
            <w:r>
              <w:rPr>
                <w:rFonts w:hint="eastAsia"/>
              </w:rPr>
              <w:t>左岸</w:t>
            </w:r>
          </w:p>
        </w:tc>
        <w:tc>
          <w:tcPr>
            <w:tcW w:w="262" w:type="pct"/>
            <w:vAlign w:val="center"/>
          </w:tcPr>
          <w:p w14:paraId="19C43965">
            <w:pPr>
              <w:pStyle w:val="28"/>
              <w:bidi w:val="0"/>
            </w:pPr>
            <w:r>
              <w:t>1</w:t>
            </w:r>
            <w:r>
              <w:rPr>
                <w:rFonts w:hint="eastAsia"/>
              </w:rPr>
              <w:t>类</w:t>
            </w:r>
          </w:p>
        </w:tc>
        <w:tc>
          <w:tcPr>
            <w:tcW w:w="809" w:type="pct"/>
            <w:vAlign w:val="center"/>
          </w:tcPr>
          <w:p w14:paraId="1618874D">
            <w:pPr>
              <w:pStyle w:val="28"/>
              <w:bidi w:val="0"/>
            </w:pPr>
            <w:r>
              <w:rPr>
                <w:rFonts w:hint="eastAsia"/>
              </w:rPr>
              <w:t>采用低噪声设备，施工机械远离居民住宅</w:t>
            </w:r>
          </w:p>
        </w:tc>
        <w:tc>
          <w:tcPr>
            <w:tcW w:w="208" w:type="pct"/>
            <w:vAlign w:val="center"/>
          </w:tcPr>
          <w:p w14:paraId="1FA7924C">
            <w:pPr>
              <w:pStyle w:val="28"/>
              <w:bidi w:val="0"/>
            </w:pPr>
            <w:r>
              <w:t>52.3</w:t>
            </w:r>
          </w:p>
        </w:tc>
        <w:tc>
          <w:tcPr>
            <w:tcW w:w="211" w:type="pct"/>
            <w:vAlign w:val="center"/>
          </w:tcPr>
          <w:p w14:paraId="182AEC71">
            <w:pPr>
              <w:pStyle w:val="28"/>
              <w:bidi w:val="0"/>
            </w:pPr>
            <w:r>
              <w:t>42.1</w:t>
            </w:r>
          </w:p>
        </w:tc>
        <w:tc>
          <w:tcPr>
            <w:tcW w:w="208" w:type="pct"/>
            <w:vAlign w:val="center"/>
          </w:tcPr>
          <w:p w14:paraId="7D09C06F">
            <w:pPr>
              <w:pStyle w:val="28"/>
              <w:bidi w:val="0"/>
            </w:pPr>
            <w:r>
              <w:t>55</w:t>
            </w:r>
          </w:p>
        </w:tc>
        <w:tc>
          <w:tcPr>
            <w:tcW w:w="211" w:type="pct"/>
            <w:vAlign w:val="center"/>
          </w:tcPr>
          <w:p w14:paraId="44C609C4">
            <w:pPr>
              <w:pStyle w:val="28"/>
              <w:bidi w:val="0"/>
            </w:pPr>
            <w:r>
              <w:t>45</w:t>
            </w:r>
          </w:p>
        </w:tc>
        <w:tc>
          <w:tcPr>
            <w:tcW w:w="276" w:type="pct"/>
            <w:vAlign w:val="center"/>
          </w:tcPr>
          <w:p w14:paraId="595ED0F6">
            <w:pPr>
              <w:pStyle w:val="28"/>
              <w:bidi w:val="0"/>
            </w:pPr>
            <w:r>
              <w:t>50.3</w:t>
            </w:r>
          </w:p>
        </w:tc>
        <w:tc>
          <w:tcPr>
            <w:tcW w:w="257" w:type="pct"/>
            <w:vAlign w:val="center"/>
          </w:tcPr>
          <w:p w14:paraId="37D2ADD9">
            <w:pPr>
              <w:pStyle w:val="28"/>
              <w:bidi w:val="0"/>
            </w:pPr>
            <w:r>
              <w:t>43.3</w:t>
            </w:r>
          </w:p>
        </w:tc>
        <w:tc>
          <w:tcPr>
            <w:tcW w:w="257" w:type="pct"/>
            <w:vAlign w:val="center"/>
          </w:tcPr>
          <w:p w14:paraId="58274C07">
            <w:pPr>
              <w:pStyle w:val="28"/>
              <w:bidi w:val="0"/>
            </w:pPr>
            <w:r>
              <w:t>52.8</w:t>
            </w:r>
          </w:p>
        </w:tc>
        <w:tc>
          <w:tcPr>
            <w:tcW w:w="257" w:type="pct"/>
            <w:vAlign w:val="center"/>
          </w:tcPr>
          <w:p w14:paraId="7723FF79">
            <w:pPr>
              <w:pStyle w:val="28"/>
              <w:bidi w:val="0"/>
            </w:pPr>
            <w:r>
              <w:t>0.5</w:t>
            </w:r>
          </w:p>
        </w:tc>
        <w:tc>
          <w:tcPr>
            <w:tcW w:w="209" w:type="pct"/>
            <w:vAlign w:val="center"/>
          </w:tcPr>
          <w:p w14:paraId="63E08A2E">
            <w:pPr>
              <w:pStyle w:val="28"/>
              <w:bidi w:val="0"/>
            </w:pPr>
            <w:r>
              <w:t>达标</w:t>
            </w:r>
          </w:p>
        </w:tc>
      </w:tr>
      <w:tr w14:paraId="2CC3A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8FFC7CC">
            <w:pPr>
              <w:pStyle w:val="28"/>
              <w:bidi w:val="0"/>
            </w:pPr>
            <w:r>
              <w:rPr>
                <w:rFonts w:hint="eastAsia"/>
              </w:rPr>
              <w:t>将军岭</w:t>
            </w:r>
          </w:p>
        </w:tc>
        <w:tc>
          <w:tcPr>
            <w:tcW w:w="511" w:type="pct"/>
            <w:vAlign w:val="center"/>
          </w:tcPr>
          <w:p w14:paraId="20E0E917">
            <w:pPr>
              <w:pStyle w:val="28"/>
              <w:bidi w:val="0"/>
            </w:pPr>
            <w:r>
              <w:rPr>
                <w:rFonts w:hint="eastAsia"/>
              </w:rPr>
              <w:t>切岭整治</w:t>
            </w:r>
          </w:p>
        </w:tc>
        <w:tc>
          <w:tcPr>
            <w:tcW w:w="366" w:type="pct"/>
            <w:vAlign w:val="center"/>
          </w:tcPr>
          <w:p w14:paraId="0809F005">
            <w:pPr>
              <w:pStyle w:val="28"/>
              <w:bidi w:val="0"/>
            </w:pPr>
            <w:r>
              <w:t>40</w:t>
            </w:r>
          </w:p>
        </w:tc>
        <w:tc>
          <w:tcPr>
            <w:tcW w:w="268" w:type="pct"/>
            <w:vAlign w:val="center"/>
          </w:tcPr>
          <w:p w14:paraId="2F53A304">
            <w:pPr>
              <w:pStyle w:val="28"/>
              <w:bidi w:val="0"/>
            </w:pPr>
            <w:r>
              <w:rPr>
                <w:rFonts w:hint="eastAsia"/>
              </w:rPr>
              <w:t>左右岸</w:t>
            </w:r>
          </w:p>
        </w:tc>
        <w:tc>
          <w:tcPr>
            <w:tcW w:w="262" w:type="pct"/>
            <w:vAlign w:val="center"/>
          </w:tcPr>
          <w:p w14:paraId="5D7A129B">
            <w:pPr>
              <w:pStyle w:val="28"/>
              <w:bidi w:val="0"/>
            </w:pPr>
            <w:r>
              <w:t>1</w:t>
            </w:r>
            <w:r>
              <w:rPr>
                <w:rFonts w:hint="eastAsia"/>
              </w:rPr>
              <w:t>类</w:t>
            </w:r>
          </w:p>
        </w:tc>
        <w:tc>
          <w:tcPr>
            <w:tcW w:w="809" w:type="pct"/>
            <w:vAlign w:val="center"/>
          </w:tcPr>
          <w:p w14:paraId="6E040EBC">
            <w:pPr>
              <w:pStyle w:val="28"/>
              <w:bidi w:val="0"/>
            </w:pPr>
            <w:r>
              <w:rPr>
                <w:rFonts w:hint="eastAsia"/>
              </w:rPr>
              <w:t>采用低噪声设备，施工机械远离居民住宅，设置双层移动声屏障</w:t>
            </w:r>
          </w:p>
        </w:tc>
        <w:tc>
          <w:tcPr>
            <w:tcW w:w="208" w:type="pct"/>
            <w:vAlign w:val="center"/>
          </w:tcPr>
          <w:p w14:paraId="00408D03">
            <w:pPr>
              <w:pStyle w:val="28"/>
              <w:bidi w:val="0"/>
            </w:pPr>
            <w:r>
              <w:t>52.4</w:t>
            </w:r>
          </w:p>
        </w:tc>
        <w:tc>
          <w:tcPr>
            <w:tcW w:w="211" w:type="pct"/>
            <w:vAlign w:val="center"/>
          </w:tcPr>
          <w:p w14:paraId="22C009EE">
            <w:pPr>
              <w:pStyle w:val="28"/>
              <w:bidi w:val="0"/>
            </w:pPr>
            <w:r>
              <w:t>42.2</w:t>
            </w:r>
          </w:p>
        </w:tc>
        <w:tc>
          <w:tcPr>
            <w:tcW w:w="208" w:type="pct"/>
            <w:vAlign w:val="center"/>
          </w:tcPr>
          <w:p w14:paraId="5DF0E1C1">
            <w:pPr>
              <w:pStyle w:val="28"/>
              <w:bidi w:val="0"/>
            </w:pPr>
            <w:r>
              <w:t>55</w:t>
            </w:r>
          </w:p>
        </w:tc>
        <w:tc>
          <w:tcPr>
            <w:tcW w:w="211" w:type="pct"/>
            <w:vAlign w:val="center"/>
          </w:tcPr>
          <w:p w14:paraId="68BE1317">
            <w:pPr>
              <w:pStyle w:val="28"/>
              <w:bidi w:val="0"/>
            </w:pPr>
            <w:r>
              <w:t>45</w:t>
            </w:r>
          </w:p>
        </w:tc>
        <w:tc>
          <w:tcPr>
            <w:tcW w:w="276" w:type="pct"/>
            <w:vAlign w:val="center"/>
          </w:tcPr>
          <w:p w14:paraId="5B49DC9D">
            <w:pPr>
              <w:pStyle w:val="28"/>
              <w:bidi w:val="0"/>
            </w:pPr>
            <w:r>
              <w:t>58.2</w:t>
            </w:r>
          </w:p>
        </w:tc>
        <w:tc>
          <w:tcPr>
            <w:tcW w:w="257" w:type="pct"/>
            <w:vAlign w:val="center"/>
          </w:tcPr>
          <w:p w14:paraId="5D4DB223">
            <w:pPr>
              <w:pStyle w:val="28"/>
              <w:bidi w:val="0"/>
            </w:pPr>
            <w:r>
              <w:t>38.2</w:t>
            </w:r>
          </w:p>
        </w:tc>
        <w:tc>
          <w:tcPr>
            <w:tcW w:w="257" w:type="pct"/>
            <w:vAlign w:val="center"/>
          </w:tcPr>
          <w:p w14:paraId="73F8780F">
            <w:pPr>
              <w:pStyle w:val="28"/>
              <w:bidi w:val="0"/>
            </w:pPr>
            <w:r>
              <w:t>52.6</w:t>
            </w:r>
          </w:p>
        </w:tc>
        <w:tc>
          <w:tcPr>
            <w:tcW w:w="257" w:type="pct"/>
            <w:vAlign w:val="center"/>
          </w:tcPr>
          <w:p w14:paraId="3E9D8497">
            <w:pPr>
              <w:pStyle w:val="28"/>
              <w:bidi w:val="0"/>
            </w:pPr>
            <w:r>
              <w:t>0.2</w:t>
            </w:r>
          </w:p>
        </w:tc>
        <w:tc>
          <w:tcPr>
            <w:tcW w:w="209" w:type="pct"/>
            <w:vAlign w:val="center"/>
          </w:tcPr>
          <w:p w14:paraId="71F8D938">
            <w:pPr>
              <w:pStyle w:val="28"/>
              <w:bidi w:val="0"/>
            </w:pPr>
            <w:r>
              <w:t>达标</w:t>
            </w:r>
          </w:p>
        </w:tc>
      </w:tr>
      <w:tr w14:paraId="400F5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36A130D">
            <w:pPr>
              <w:pStyle w:val="28"/>
              <w:bidi w:val="0"/>
            </w:pPr>
            <w:r>
              <w:rPr>
                <w:rFonts w:hint="eastAsia"/>
              </w:rPr>
              <w:t>孟郢子</w:t>
            </w:r>
          </w:p>
        </w:tc>
        <w:tc>
          <w:tcPr>
            <w:tcW w:w="511" w:type="pct"/>
            <w:vAlign w:val="center"/>
          </w:tcPr>
          <w:p w14:paraId="0815DC7A">
            <w:pPr>
              <w:pStyle w:val="28"/>
              <w:bidi w:val="0"/>
            </w:pPr>
            <w:r>
              <w:rPr>
                <w:rFonts w:hint="eastAsia"/>
              </w:rPr>
              <w:t>渠道护砌</w:t>
            </w:r>
          </w:p>
        </w:tc>
        <w:tc>
          <w:tcPr>
            <w:tcW w:w="366" w:type="pct"/>
            <w:vAlign w:val="center"/>
          </w:tcPr>
          <w:p w14:paraId="154BFF36">
            <w:pPr>
              <w:pStyle w:val="28"/>
              <w:bidi w:val="0"/>
            </w:pPr>
            <w:r>
              <w:t>80</w:t>
            </w:r>
          </w:p>
        </w:tc>
        <w:tc>
          <w:tcPr>
            <w:tcW w:w="268" w:type="pct"/>
            <w:vAlign w:val="center"/>
          </w:tcPr>
          <w:p w14:paraId="457871BC">
            <w:pPr>
              <w:pStyle w:val="28"/>
              <w:bidi w:val="0"/>
            </w:pPr>
            <w:r>
              <w:rPr>
                <w:rFonts w:hint="eastAsia"/>
              </w:rPr>
              <w:t>右岸</w:t>
            </w:r>
          </w:p>
        </w:tc>
        <w:tc>
          <w:tcPr>
            <w:tcW w:w="262" w:type="pct"/>
            <w:vAlign w:val="center"/>
          </w:tcPr>
          <w:p w14:paraId="707D0C13">
            <w:pPr>
              <w:pStyle w:val="28"/>
              <w:bidi w:val="0"/>
            </w:pPr>
            <w:r>
              <w:t>1</w:t>
            </w:r>
            <w:r>
              <w:rPr>
                <w:rFonts w:hint="eastAsia"/>
              </w:rPr>
              <w:t>类</w:t>
            </w:r>
          </w:p>
        </w:tc>
        <w:tc>
          <w:tcPr>
            <w:tcW w:w="809" w:type="pct"/>
            <w:vMerge w:val="restart"/>
            <w:vAlign w:val="center"/>
          </w:tcPr>
          <w:p w14:paraId="6E1BB23D">
            <w:pPr>
              <w:pStyle w:val="28"/>
              <w:bidi w:val="0"/>
            </w:pPr>
            <w:r>
              <w:rPr>
                <w:rFonts w:hint="eastAsia"/>
              </w:rPr>
              <w:t>采用低噪声设备，施工机械远离居民住宅</w:t>
            </w:r>
          </w:p>
        </w:tc>
        <w:tc>
          <w:tcPr>
            <w:tcW w:w="208" w:type="pct"/>
            <w:vAlign w:val="center"/>
          </w:tcPr>
          <w:p w14:paraId="36C4558F">
            <w:pPr>
              <w:pStyle w:val="28"/>
              <w:bidi w:val="0"/>
            </w:pPr>
            <w:r>
              <w:t>52.5</w:t>
            </w:r>
          </w:p>
        </w:tc>
        <w:tc>
          <w:tcPr>
            <w:tcW w:w="211" w:type="pct"/>
            <w:vAlign w:val="center"/>
          </w:tcPr>
          <w:p w14:paraId="2E650523">
            <w:pPr>
              <w:pStyle w:val="28"/>
              <w:bidi w:val="0"/>
            </w:pPr>
            <w:r>
              <w:t>42.3</w:t>
            </w:r>
          </w:p>
        </w:tc>
        <w:tc>
          <w:tcPr>
            <w:tcW w:w="208" w:type="pct"/>
            <w:vAlign w:val="center"/>
          </w:tcPr>
          <w:p w14:paraId="4F90F2F7">
            <w:pPr>
              <w:pStyle w:val="28"/>
              <w:bidi w:val="0"/>
            </w:pPr>
            <w:r>
              <w:t>55</w:t>
            </w:r>
          </w:p>
        </w:tc>
        <w:tc>
          <w:tcPr>
            <w:tcW w:w="211" w:type="pct"/>
            <w:vAlign w:val="center"/>
          </w:tcPr>
          <w:p w14:paraId="122E7D2D">
            <w:pPr>
              <w:pStyle w:val="28"/>
              <w:bidi w:val="0"/>
            </w:pPr>
            <w:r>
              <w:t>45</w:t>
            </w:r>
          </w:p>
        </w:tc>
        <w:tc>
          <w:tcPr>
            <w:tcW w:w="276" w:type="pct"/>
            <w:vAlign w:val="center"/>
          </w:tcPr>
          <w:p w14:paraId="1B6072B9">
            <w:pPr>
              <w:pStyle w:val="28"/>
              <w:bidi w:val="0"/>
            </w:pPr>
            <w:r>
              <w:t>53.8</w:t>
            </w:r>
          </w:p>
        </w:tc>
        <w:tc>
          <w:tcPr>
            <w:tcW w:w="257" w:type="pct"/>
            <w:vAlign w:val="center"/>
          </w:tcPr>
          <w:p w14:paraId="632D969D">
            <w:pPr>
              <w:pStyle w:val="28"/>
              <w:bidi w:val="0"/>
            </w:pPr>
            <w:r>
              <w:t>46.8</w:t>
            </w:r>
          </w:p>
        </w:tc>
        <w:tc>
          <w:tcPr>
            <w:tcW w:w="257" w:type="pct"/>
            <w:vAlign w:val="center"/>
          </w:tcPr>
          <w:p w14:paraId="44C7621B">
            <w:pPr>
              <w:pStyle w:val="28"/>
              <w:bidi w:val="0"/>
            </w:pPr>
            <w:r>
              <w:t>53.5</w:t>
            </w:r>
          </w:p>
        </w:tc>
        <w:tc>
          <w:tcPr>
            <w:tcW w:w="257" w:type="pct"/>
            <w:vAlign w:val="center"/>
          </w:tcPr>
          <w:p w14:paraId="1E5613C2">
            <w:pPr>
              <w:pStyle w:val="28"/>
              <w:bidi w:val="0"/>
            </w:pPr>
            <w:r>
              <w:t>1.0</w:t>
            </w:r>
          </w:p>
        </w:tc>
        <w:tc>
          <w:tcPr>
            <w:tcW w:w="209" w:type="pct"/>
            <w:vAlign w:val="center"/>
          </w:tcPr>
          <w:p w14:paraId="62F1599C">
            <w:pPr>
              <w:pStyle w:val="28"/>
              <w:bidi w:val="0"/>
            </w:pPr>
            <w:r>
              <w:t>达标</w:t>
            </w:r>
          </w:p>
        </w:tc>
      </w:tr>
      <w:tr w14:paraId="024E3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A87EB57">
            <w:pPr>
              <w:pStyle w:val="28"/>
              <w:bidi w:val="0"/>
            </w:pPr>
            <w:r>
              <w:rPr>
                <w:rFonts w:hint="eastAsia"/>
              </w:rPr>
              <w:t>合肥四十二中</w:t>
            </w:r>
          </w:p>
        </w:tc>
        <w:tc>
          <w:tcPr>
            <w:tcW w:w="511" w:type="pct"/>
            <w:vAlign w:val="center"/>
          </w:tcPr>
          <w:p w14:paraId="3508E1FD">
            <w:pPr>
              <w:pStyle w:val="28"/>
              <w:bidi w:val="0"/>
            </w:pPr>
            <w:r>
              <w:rPr>
                <w:rFonts w:hint="eastAsia"/>
              </w:rPr>
              <w:t>吴大郢渠下涵加固</w:t>
            </w:r>
          </w:p>
        </w:tc>
        <w:tc>
          <w:tcPr>
            <w:tcW w:w="366" w:type="pct"/>
            <w:vAlign w:val="center"/>
          </w:tcPr>
          <w:p w14:paraId="2593173F">
            <w:pPr>
              <w:pStyle w:val="28"/>
              <w:bidi w:val="0"/>
            </w:pPr>
            <w:r>
              <w:t>93</w:t>
            </w:r>
          </w:p>
        </w:tc>
        <w:tc>
          <w:tcPr>
            <w:tcW w:w="268" w:type="pct"/>
            <w:vAlign w:val="center"/>
          </w:tcPr>
          <w:p w14:paraId="145DBA55">
            <w:pPr>
              <w:pStyle w:val="28"/>
              <w:bidi w:val="0"/>
            </w:pPr>
            <w:r>
              <w:rPr>
                <w:rFonts w:hint="eastAsia"/>
              </w:rPr>
              <w:t>左岸</w:t>
            </w:r>
          </w:p>
        </w:tc>
        <w:tc>
          <w:tcPr>
            <w:tcW w:w="262" w:type="pct"/>
            <w:vAlign w:val="center"/>
          </w:tcPr>
          <w:p w14:paraId="5BBA8C47">
            <w:pPr>
              <w:pStyle w:val="28"/>
              <w:bidi w:val="0"/>
            </w:pPr>
            <w:r>
              <w:t>1</w:t>
            </w:r>
            <w:r>
              <w:rPr>
                <w:rFonts w:hint="eastAsia"/>
              </w:rPr>
              <w:t>类</w:t>
            </w:r>
          </w:p>
        </w:tc>
        <w:tc>
          <w:tcPr>
            <w:tcW w:w="809" w:type="pct"/>
            <w:vMerge w:val="continue"/>
            <w:vAlign w:val="center"/>
          </w:tcPr>
          <w:p w14:paraId="5EE83173">
            <w:pPr>
              <w:pStyle w:val="28"/>
              <w:bidi w:val="0"/>
            </w:pPr>
          </w:p>
        </w:tc>
        <w:tc>
          <w:tcPr>
            <w:tcW w:w="208" w:type="pct"/>
            <w:vAlign w:val="center"/>
          </w:tcPr>
          <w:p w14:paraId="73809149">
            <w:pPr>
              <w:pStyle w:val="28"/>
              <w:bidi w:val="0"/>
            </w:pPr>
            <w:r>
              <w:t>52.4</w:t>
            </w:r>
          </w:p>
        </w:tc>
        <w:tc>
          <w:tcPr>
            <w:tcW w:w="211" w:type="pct"/>
            <w:vAlign w:val="center"/>
          </w:tcPr>
          <w:p w14:paraId="257CBDE2">
            <w:pPr>
              <w:pStyle w:val="28"/>
              <w:bidi w:val="0"/>
            </w:pPr>
            <w:r>
              <w:t>42.2</w:t>
            </w:r>
          </w:p>
        </w:tc>
        <w:tc>
          <w:tcPr>
            <w:tcW w:w="208" w:type="pct"/>
            <w:vAlign w:val="center"/>
          </w:tcPr>
          <w:p w14:paraId="7F2BA8A4">
            <w:pPr>
              <w:pStyle w:val="28"/>
              <w:bidi w:val="0"/>
            </w:pPr>
            <w:r>
              <w:t>55</w:t>
            </w:r>
          </w:p>
        </w:tc>
        <w:tc>
          <w:tcPr>
            <w:tcW w:w="211" w:type="pct"/>
            <w:vAlign w:val="center"/>
          </w:tcPr>
          <w:p w14:paraId="3E09B5E5">
            <w:pPr>
              <w:pStyle w:val="28"/>
              <w:bidi w:val="0"/>
            </w:pPr>
            <w:r>
              <w:t>45</w:t>
            </w:r>
          </w:p>
        </w:tc>
        <w:tc>
          <w:tcPr>
            <w:tcW w:w="276" w:type="pct"/>
            <w:vAlign w:val="center"/>
          </w:tcPr>
          <w:p w14:paraId="238DE3FD">
            <w:pPr>
              <w:pStyle w:val="28"/>
              <w:bidi w:val="0"/>
            </w:pPr>
            <w:r>
              <w:t>53.8</w:t>
            </w:r>
          </w:p>
        </w:tc>
        <w:tc>
          <w:tcPr>
            <w:tcW w:w="257" w:type="pct"/>
            <w:vAlign w:val="center"/>
          </w:tcPr>
          <w:p w14:paraId="189E6735">
            <w:pPr>
              <w:pStyle w:val="28"/>
              <w:bidi w:val="0"/>
            </w:pPr>
            <w:r>
              <w:t>46.8</w:t>
            </w:r>
          </w:p>
        </w:tc>
        <w:tc>
          <w:tcPr>
            <w:tcW w:w="257" w:type="pct"/>
            <w:vAlign w:val="center"/>
          </w:tcPr>
          <w:p w14:paraId="415AA517">
            <w:pPr>
              <w:pStyle w:val="28"/>
              <w:bidi w:val="0"/>
            </w:pPr>
            <w:r>
              <w:t>53.5</w:t>
            </w:r>
          </w:p>
        </w:tc>
        <w:tc>
          <w:tcPr>
            <w:tcW w:w="257" w:type="pct"/>
            <w:vAlign w:val="center"/>
          </w:tcPr>
          <w:p w14:paraId="31EDBB1A">
            <w:pPr>
              <w:pStyle w:val="28"/>
              <w:bidi w:val="0"/>
            </w:pPr>
            <w:r>
              <w:t>1.1</w:t>
            </w:r>
          </w:p>
        </w:tc>
        <w:tc>
          <w:tcPr>
            <w:tcW w:w="209" w:type="pct"/>
            <w:vAlign w:val="center"/>
          </w:tcPr>
          <w:p w14:paraId="29C5ACBF">
            <w:pPr>
              <w:pStyle w:val="28"/>
              <w:bidi w:val="0"/>
            </w:pPr>
            <w:r>
              <w:t>达标</w:t>
            </w:r>
          </w:p>
        </w:tc>
      </w:tr>
      <w:tr w14:paraId="5B848A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B1B313A">
            <w:pPr>
              <w:pStyle w:val="28"/>
              <w:bidi w:val="0"/>
            </w:pPr>
            <w:r>
              <w:rPr>
                <w:rFonts w:hint="eastAsia"/>
              </w:rPr>
              <w:t>姜大庄</w:t>
            </w:r>
          </w:p>
        </w:tc>
        <w:tc>
          <w:tcPr>
            <w:tcW w:w="511" w:type="pct"/>
            <w:vAlign w:val="center"/>
          </w:tcPr>
          <w:p w14:paraId="349592CE">
            <w:pPr>
              <w:pStyle w:val="28"/>
              <w:bidi w:val="0"/>
            </w:pPr>
            <w:r>
              <w:rPr>
                <w:rFonts w:hint="eastAsia"/>
              </w:rPr>
              <w:t>姜大庄放水涵拆建</w:t>
            </w:r>
          </w:p>
        </w:tc>
        <w:tc>
          <w:tcPr>
            <w:tcW w:w="366" w:type="pct"/>
            <w:vAlign w:val="center"/>
          </w:tcPr>
          <w:p w14:paraId="467CFB53">
            <w:pPr>
              <w:pStyle w:val="28"/>
              <w:bidi w:val="0"/>
            </w:pPr>
            <w:r>
              <w:t>136</w:t>
            </w:r>
          </w:p>
        </w:tc>
        <w:tc>
          <w:tcPr>
            <w:tcW w:w="268" w:type="pct"/>
            <w:vAlign w:val="center"/>
          </w:tcPr>
          <w:p w14:paraId="0BD7552F">
            <w:pPr>
              <w:pStyle w:val="28"/>
              <w:bidi w:val="0"/>
            </w:pPr>
            <w:r>
              <w:rPr>
                <w:rFonts w:hint="eastAsia"/>
              </w:rPr>
              <w:t>左岸</w:t>
            </w:r>
          </w:p>
        </w:tc>
        <w:tc>
          <w:tcPr>
            <w:tcW w:w="262" w:type="pct"/>
            <w:vAlign w:val="center"/>
          </w:tcPr>
          <w:p w14:paraId="57D7F26E">
            <w:pPr>
              <w:pStyle w:val="28"/>
              <w:bidi w:val="0"/>
            </w:pPr>
            <w:r>
              <w:t>1</w:t>
            </w:r>
            <w:r>
              <w:rPr>
                <w:rFonts w:hint="eastAsia"/>
              </w:rPr>
              <w:t>类</w:t>
            </w:r>
          </w:p>
        </w:tc>
        <w:tc>
          <w:tcPr>
            <w:tcW w:w="809" w:type="pct"/>
            <w:vMerge w:val="continue"/>
            <w:vAlign w:val="center"/>
          </w:tcPr>
          <w:p w14:paraId="7147D351">
            <w:pPr>
              <w:pStyle w:val="28"/>
              <w:bidi w:val="0"/>
            </w:pPr>
          </w:p>
        </w:tc>
        <w:tc>
          <w:tcPr>
            <w:tcW w:w="208" w:type="pct"/>
            <w:vAlign w:val="center"/>
          </w:tcPr>
          <w:p w14:paraId="19AD8EFA">
            <w:pPr>
              <w:pStyle w:val="28"/>
              <w:bidi w:val="0"/>
            </w:pPr>
            <w:r>
              <w:t>53.3</w:t>
            </w:r>
          </w:p>
        </w:tc>
        <w:tc>
          <w:tcPr>
            <w:tcW w:w="211" w:type="pct"/>
            <w:vAlign w:val="center"/>
          </w:tcPr>
          <w:p w14:paraId="583AD328">
            <w:pPr>
              <w:pStyle w:val="28"/>
              <w:bidi w:val="0"/>
            </w:pPr>
            <w:r>
              <w:t>42.5</w:t>
            </w:r>
          </w:p>
        </w:tc>
        <w:tc>
          <w:tcPr>
            <w:tcW w:w="208" w:type="pct"/>
            <w:vAlign w:val="center"/>
          </w:tcPr>
          <w:p w14:paraId="1F122DB1">
            <w:pPr>
              <w:pStyle w:val="28"/>
              <w:bidi w:val="0"/>
            </w:pPr>
            <w:r>
              <w:t>55</w:t>
            </w:r>
          </w:p>
        </w:tc>
        <w:tc>
          <w:tcPr>
            <w:tcW w:w="211" w:type="pct"/>
            <w:vAlign w:val="center"/>
          </w:tcPr>
          <w:p w14:paraId="1E3269AF">
            <w:pPr>
              <w:pStyle w:val="28"/>
              <w:bidi w:val="0"/>
            </w:pPr>
            <w:r>
              <w:t>45</w:t>
            </w:r>
          </w:p>
        </w:tc>
        <w:tc>
          <w:tcPr>
            <w:tcW w:w="276" w:type="pct"/>
            <w:vAlign w:val="center"/>
          </w:tcPr>
          <w:p w14:paraId="0F2C7775">
            <w:pPr>
              <w:pStyle w:val="28"/>
              <w:bidi w:val="0"/>
            </w:pPr>
            <w:r>
              <w:t>50.5</w:t>
            </w:r>
          </w:p>
        </w:tc>
        <w:tc>
          <w:tcPr>
            <w:tcW w:w="257" w:type="pct"/>
            <w:vAlign w:val="center"/>
          </w:tcPr>
          <w:p w14:paraId="4208D20E">
            <w:pPr>
              <w:pStyle w:val="28"/>
              <w:bidi w:val="0"/>
            </w:pPr>
            <w:r>
              <w:t>43.5</w:t>
            </w:r>
          </w:p>
        </w:tc>
        <w:tc>
          <w:tcPr>
            <w:tcW w:w="257" w:type="pct"/>
            <w:vAlign w:val="center"/>
          </w:tcPr>
          <w:p w14:paraId="5D40D830">
            <w:pPr>
              <w:pStyle w:val="28"/>
              <w:bidi w:val="0"/>
            </w:pPr>
            <w:r>
              <w:t>53.7</w:t>
            </w:r>
          </w:p>
        </w:tc>
        <w:tc>
          <w:tcPr>
            <w:tcW w:w="257" w:type="pct"/>
            <w:vAlign w:val="center"/>
          </w:tcPr>
          <w:p w14:paraId="7353C1E3">
            <w:pPr>
              <w:pStyle w:val="28"/>
              <w:bidi w:val="0"/>
            </w:pPr>
            <w:r>
              <w:t>0.4</w:t>
            </w:r>
          </w:p>
        </w:tc>
        <w:tc>
          <w:tcPr>
            <w:tcW w:w="209" w:type="pct"/>
            <w:vAlign w:val="center"/>
          </w:tcPr>
          <w:p w14:paraId="0F4BEF1E">
            <w:pPr>
              <w:pStyle w:val="28"/>
              <w:bidi w:val="0"/>
            </w:pPr>
            <w:r>
              <w:t>达标</w:t>
            </w:r>
          </w:p>
        </w:tc>
      </w:tr>
      <w:tr w14:paraId="7D53D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5A51E0C">
            <w:pPr>
              <w:pStyle w:val="28"/>
              <w:bidi w:val="0"/>
            </w:pPr>
            <w:r>
              <w:rPr>
                <w:rFonts w:hint="eastAsia"/>
              </w:rPr>
              <w:t>方家圩</w:t>
            </w:r>
          </w:p>
        </w:tc>
        <w:tc>
          <w:tcPr>
            <w:tcW w:w="511" w:type="pct"/>
            <w:vAlign w:val="center"/>
          </w:tcPr>
          <w:p w14:paraId="250D65FE">
            <w:pPr>
              <w:pStyle w:val="28"/>
              <w:bidi w:val="0"/>
            </w:pPr>
            <w:r>
              <w:rPr>
                <w:rFonts w:hint="eastAsia"/>
              </w:rPr>
              <w:t>李新庄农门维修加固</w:t>
            </w:r>
          </w:p>
        </w:tc>
        <w:tc>
          <w:tcPr>
            <w:tcW w:w="366" w:type="pct"/>
            <w:vAlign w:val="center"/>
          </w:tcPr>
          <w:p w14:paraId="72EAF70D">
            <w:pPr>
              <w:pStyle w:val="28"/>
              <w:bidi w:val="0"/>
            </w:pPr>
            <w:r>
              <w:t>88</w:t>
            </w:r>
          </w:p>
        </w:tc>
        <w:tc>
          <w:tcPr>
            <w:tcW w:w="268" w:type="pct"/>
            <w:vAlign w:val="center"/>
          </w:tcPr>
          <w:p w14:paraId="2CCD1A08">
            <w:pPr>
              <w:pStyle w:val="28"/>
              <w:bidi w:val="0"/>
            </w:pPr>
            <w:r>
              <w:rPr>
                <w:rFonts w:hint="eastAsia"/>
              </w:rPr>
              <w:t>左岸</w:t>
            </w:r>
          </w:p>
        </w:tc>
        <w:tc>
          <w:tcPr>
            <w:tcW w:w="262" w:type="pct"/>
            <w:vAlign w:val="center"/>
          </w:tcPr>
          <w:p w14:paraId="2EECDDAC">
            <w:pPr>
              <w:pStyle w:val="28"/>
              <w:bidi w:val="0"/>
            </w:pPr>
            <w:r>
              <w:t>1</w:t>
            </w:r>
            <w:r>
              <w:rPr>
                <w:rFonts w:hint="eastAsia"/>
              </w:rPr>
              <w:t>类</w:t>
            </w:r>
          </w:p>
        </w:tc>
        <w:tc>
          <w:tcPr>
            <w:tcW w:w="809" w:type="pct"/>
            <w:vMerge w:val="continue"/>
            <w:vAlign w:val="center"/>
          </w:tcPr>
          <w:p w14:paraId="0E12E777">
            <w:pPr>
              <w:pStyle w:val="28"/>
              <w:bidi w:val="0"/>
            </w:pPr>
          </w:p>
        </w:tc>
        <w:tc>
          <w:tcPr>
            <w:tcW w:w="208" w:type="pct"/>
            <w:vAlign w:val="center"/>
          </w:tcPr>
          <w:p w14:paraId="412D1B3E">
            <w:pPr>
              <w:pStyle w:val="28"/>
              <w:bidi w:val="0"/>
            </w:pPr>
            <w:r>
              <w:t>53.5</w:t>
            </w:r>
          </w:p>
        </w:tc>
        <w:tc>
          <w:tcPr>
            <w:tcW w:w="211" w:type="pct"/>
            <w:vAlign w:val="center"/>
          </w:tcPr>
          <w:p w14:paraId="19EDD46D">
            <w:pPr>
              <w:pStyle w:val="28"/>
              <w:bidi w:val="0"/>
            </w:pPr>
            <w:r>
              <w:t>42.7</w:t>
            </w:r>
          </w:p>
        </w:tc>
        <w:tc>
          <w:tcPr>
            <w:tcW w:w="208" w:type="pct"/>
            <w:vAlign w:val="center"/>
          </w:tcPr>
          <w:p w14:paraId="1B2AB761">
            <w:pPr>
              <w:pStyle w:val="28"/>
              <w:bidi w:val="0"/>
            </w:pPr>
            <w:r>
              <w:t>55</w:t>
            </w:r>
          </w:p>
        </w:tc>
        <w:tc>
          <w:tcPr>
            <w:tcW w:w="211" w:type="pct"/>
            <w:vAlign w:val="center"/>
          </w:tcPr>
          <w:p w14:paraId="5CE5B9CB">
            <w:pPr>
              <w:pStyle w:val="28"/>
              <w:bidi w:val="0"/>
            </w:pPr>
            <w:r>
              <w:t>45</w:t>
            </w:r>
          </w:p>
        </w:tc>
        <w:tc>
          <w:tcPr>
            <w:tcW w:w="276" w:type="pct"/>
            <w:vAlign w:val="center"/>
          </w:tcPr>
          <w:p w14:paraId="7942B79E">
            <w:pPr>
              <w:pStyle w:val="28"/>
              <w:bidi w:val="0"/>
            </w:pPr>
            <w:r>
              <w:t>54.3</w:t>
            </w:r>
          </w:p>
        </w:tc>
        <w:tc>
          <w:tcPr>
            <w:tcW w:w="257" w:type="pct"/>
            <w:vAlign w:val="center"/>
          </w:tcPr>
          <w:p w14:paraId="11BAEB57">
            <w:pPr>
              <w:pStyle w:val="28"/>
              <w:bidi w:val="0"/>
            </w:pPr>
            <w:r>
              <w:t>47.3</w:t>
            </w:r>
          </w:p>
        </w:tc>
        <w:tc>
          <w:tcPr>
            <w:tcW w:w="257" w:type="pct"/>
            <w:vAlign w:val="center"/>
          </w:tcPr>
          <w:p w14:paraId="28C91B8E">
            <w:pPr>
              <w:pStyle w:val="28"/>
              <w:bidi w:val="0"/>
            </w:pPr>
            <w:r>
              <w:t>54.4</w:t>
            </w:r>
          </w:p>
        </w:tc>
        <w:tc>
          <w:tcPr>
            <w:tcW w:w="257" w:type="pct"/>
            <w:vAlign w:val="center"/>
          </w:tcPr>
          <w:p w14:paraId="6D6364AC">
            <w:pPr>
              <w:pStyle w:val="28"/>
              <w:bidi w:val="0"/>
            </w:pPr>
            <w:r>
              <w:t>0.9</w:t>
            </w:r>
          </w:p>
        </w:tc>
        <w:tc>
          <w:tcPr>
            <w:tcW w:w="209" w:type="pct"/>
            <w:vAlign w:val="center"/>
          </w:tcPr>
          <w:p w14:paraId="4AA15334">
            <w:pPr>
              <w:pStyle w:val="28"/>
              <w:bidi w:val="0"/>
            </w:pPr>
            <w:r>
              <w:t>达标</w:t>
            </w:r>
          </w:p>
        </w:tc>
      </w:tr>
      <w:tr w14:paraId="48852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43E82BD">
            <w:pPr>
              <w:pStyle w:val="28"/>
              <w:bidi w:val="0"/>
            </w:pPr>
            <w:r>
              <w:rPr>
                <w:rFonts w:hint="eastAsia"/>
              </w:rPr>
              <w:t>黄小庄</w:t>
            </w:r>
          </w:p>
        </w:tc>
        <w:tc>
          <w:tcPr>
            <w:tcW w:w="511" w:type="pct"/>
            <w:vAlign w:val="center"/>
          </w:tcPr>
          <w:p w14:paraId="7AF9618E">
            <w:pPr>
              <w:pStyle w:val="28"/>
              <w:bidi w:val="0"/>
            </w:pPr>
            <w:r>
              <w:rPr>
                <w:rFonts w:hint="eastAsia"/>
              </w:rPr>
              <w:t>汪大栗树农门拆建</w:t>
            </w:r>
          </w:p>
        </w:tc>
        <w:tc>
          <w:tcPr>
            <w:tcW w:w="366" w:type="pct"/>
            <w:vAlign w:val="center"/>
          </w:tcPr>
          <w:p w14:paraId="051356BB">
            <w:pPr>
              <w:pStyle w:val="28"/>
              <w:bidi w:val="0"/>
            </w:pPr>
            <w:r>
              <w:t>124</w:t>
            </w:r>
          </w:p>
        </w:tc>
        <w:tc>
          <w:tcPr>
            <w:tcW w:w="268" w:type="pct"/>
            <w:vAlign w:val="center"/>
          </w:tcPr>
          <w:p w14:paraId="53189CD5">
            <w:pPr>
              <w:pStyle w:val="28"/>
              <w:bidi w:val="0"/>
            </w:pPr>
            <w:r>
              <w:rPr>
                <w:rFonts w:hint="eastAsia"/>
              </w:rPr>
              <w:t>左岸</w:t>
            </w:r>
          </w:p>
        </w:tc>
        <w:tc>
          <w:tcPr>
            <w:tcW w:w="262" w:type="pct"/>
            <w:vAlign w:val="center"/>
          </w:tcPr>
          <w:p w14:paraId="624AB6FF">
            <w:pPr>
              <w:pStyle w:val="28"/>
              <w:bidi w:val="0"/>
            </w:pPr>
            <w:r>
              <w:t>1</w:t>
            </w:r>
            <w:r>
              <w:rPr>
                <w:rFonts w:hint="eastAsia"/>
              </w:rPr>
              <w:t>类</w:t>
            </w:r>
          </w:p>
        </w:tc>
        <w:tc>
          <w:tcPr>
            <w:tcW w:w="809" w:type="pct"/>
            <w:vMerge w:val="continue"/>
            <w:vAlign w:val="center"/>
          </w:tcPr>
          <w:p w14:paraId="1B1FBE3A">
            <w:pPr>
              <w:pStyle w:val="28"/>
              <w:bidi w:val="0"/>
            </w:pPr>
          </w:p>
        </w:tc>
        <w:tc>
          <w:tcPr>
            <w:tcW w:w="208" w:type="pct"/>
            <w:vAlign w:val="center"/>
          </w:tcPr>
          <w:p w14:paraId="18F16A8C">
            <w:pPr>
              <w:pStyle w:val="28"/>
              <w:bidi w:val="0"/>
            </w:pPr>
            <w:r>
              <w:t>53.3</w:t>
            </w:r>
          </w:p>
        </w:tc>
        <w:tc>
          <w:tcPr>
            <w:tcW w:w="211" w:type="pct"/>
            <w:vAlign w:val="center"/>
          </w:tcPr>
          <w:p w14:paraId="49F7C1A8">
            <w:pPr>
              <w:pStyle w:val="28"/>
              <w:bidi w:val="0"/>
            </w:pPr>
            <w:r>
              <w:t>42.5</w:t>
            </w:r>
          </w:p>
        </w:tc>
        <w:tc>
          <w:tcPr>
            <w:tcW w:w="208" w:type="pct"/>
            <w:vAlign w:val="center"/>
          </w:tcPr>
          <w:p w14:paraId="16BDAA60">
            <w:pPr>
              <w:pStyle w:val="28"/>
              <w:bidi w:val="0"/>
            </w:pPr>
            <w:r>
              <w:t>55</w:t>
            </w:r>
          </w:p>
        </w:tc>
        <w:tc>
          <w:tcPr>
            <w:tcW w:w="211" w:type="pct"/>
            <w:vAlign w:val="center"/>
          </w:tcPr>
          <w:p w14:paraId="76D7D95E">
            <w:pPr>
              <w:pStyle w:val="28"/>
              <w:bidi w:val="0"/>
            </w:pPr>
            <w:r>
              <w:t>45</w:t>
            </w:r>
          </w:p>
        </w:tc>
        <w:tc>
          <w:tcPr>
            <w:tcW w:w="276" w:type="pct"/>
            <w:vAlign w:val="center"/>
          </w:tcPr>
          <w:p w14:paraId="0024ABFA">
            <w:pPr>
              <w:pStyle w:val="28"/>
              <w:bidi w:val="0"/>
            </w:pPr>
            <w:r>
              <w:t>51.3</w:t>
            </w:r>
          </w:p>
        </w:tc>
        <w:tc>
          <w:tcPr>
            <w:tcW w:w="257" w:type="pct"/>
            <w:vAlign w:val="center"/>
          </w:tcPr>
          <w:p w14:paraId="0D927401">
            <w:pPr>
              <w:pStyle w:val="28"/>
              <w:bidi w:val="0"/>
            </w:pPr>
            <w:r>
              <w:t>44.3</w:t>
            </w:r>
          </w:p>
        </w:tc>
        <w:tc>
          <w:tcPr>
            <w:tcW w:w="257" w:type="pct"/>
            <w:vAlign w:val="center"/>
          </w:tcPr>
          <w:p w14:paraId="0B54AE9A">
            <w:pPr>
              <w:pStyle w:val="28"/>
              <w:bidi w:val="0"/>
            </w:pPr>
            <w:r>
              <w:t>53.8</w:t>
            </w:r>
          </w:p>
        </w:tc>
        <w:tc>
          <w:tcPr>
            <w:tcW w:w="257" w:type="pct"/>
            <w:vAlign w:val="center"/>
          </w:tcPr>
          <w:p w14:paraId="64270786">
            <w:pPr>
              <w:pStyle w:val="28"/>
              <w:bidi w:val="0"/>
            </w:pPr>
            <w:r>
              <w:t>0.5</w:t>
            </w:r>
          </w:p>
        </w:tc>
        <w:tc>
          <w:tcPr>
            <w:tcW w:w="209" w:type="pct"/>
            <w:vAlign w:val="center"/>
          </w:tcPr>
          <w:p w14:paraId="607F1364">
            <w:pPr>
              <w:pStyle w:val="28"/>
              <w:bidi w:val="0"/>
            </w:pPr>
            <w:r>
              <w:t>达标</w:t>
            </w:r>
          </w:p>
        </w:tc>
      </w:tr>
      <w:tr w14:paraId="65ED64C4">
        <w:tblPrEx>
          <w:tblCellMar>
            <w:top w:w="0" w:type="dxa"/>
            <w:left w:w="108" w:type="dxa"/>
            <w:bottom w:w="0" w:type="dxa"/>
            <w:right w:w="108" w:type="dxa"/>
          </w:tblCellMar>
        </w:tblPrEx>
        <w:trPr>
          <w:trHeight w:val="340" w:hRule="atLeast"/>
          <w:jc w:val="center"/>
        </w:trPr>
        <w:tc>
          <w:tcPr>
            <w:tcW w:w="685" w:type="pct"/>
            <w:vAlign w:val="center"/>
          </w:tcPr>
          <w:p w14:paraId="2080DE37">
            <w:pPr>
              <w:pStyle w:val="28"/>
              <w:bidi w:val="0"/>
            </w:pPr>
            <w:r>
              <w:rPr>
                <w:rFonts w:hint="eastAsia"/>
              </w:rPr>
              <w:t>崔大庄</w:t>
            </w:r>
          </w:p>
        </w:tc>
        <w:tc>
          <w:tcPr>
            <w:tcW w:w="511" w:type="pct"/>
            <w:vAlign w:val="center"/>
          </w:tcPr>
          <w:p w14:paraId="2460161F">
            <w:pPr>
              <w:pStyle w:val="28"/>
              <w:bidi w:val="0"/>
            </w:pPr>
            <w:r>
              <w:rPr>
                <w:rFonts w:hint="eastAsia"/>
              </w:rPr>
              <w:t>胡小圩放水涵拆建</w:t>
            </w:r>
          </w:p>
        </w:tc>
        <w:tc>
          <w:tcPr>
            <w:tcW w:w="366" w:type="pct"/>
            <w:vAlign w:val="center"/>
          </w:tcPr>
          <w:p w14:paraId="48403D51">
            <w:pPr>
              <w:pStyle w:val="28"/>
              <w:bidi w:val="0"/>
            </w:pPr>
            <w:r>
              <w:t>92</w:t>
            </w:r>
          </w:p>
        </w:tc>
        <w:tc>
          <w:tcPr>
            <w:tcW w:w="268" w:type="pct"/>
            <w:vAlign w:val="center"/>
          </w:tcPr>
          <w:p w14:paraId="148A860F">
            <w:pPr>
              <w:pStyle w:val="28"/>
              <w:bidi w:val="0"/>
            </w:pPr>
            <w:r>
              <w:rPr>
                <w:rFonts w:hint="eastAsia"/>
              </w:rPr>
              <w:t>右岸</w:t>
            </w:r>
          </w:p>
        </w:tc>
        <w:tc>
          <w:tcPr>
            <w:tcW w:w="262" w:type="pct"/>
            <w:vAlign w:val="center"/>
          </w:tcPr>
          <w:p w14:paraId="488553F7">
            <w:pPr>
              <w:pStyle w:val="28"/>
              <w:bidi w:val="0"/>
            </w:pPr>
            <w:r>
              <w:t>1</w:t>
            </w:r>
            <w:r>
              <w:rPr>
                <w:rFonts w:hint="eastAsia"/>
              </w:rPr>
              <w:t>类</w:t>
            </w:r>
          </w:p>
        </w:tc>
        <w:tc>
          <w:tcPr>
            <w:tcW w:w="809" w:type="pct"/>
            <w:vMerge w:val="continue"/>
            <w:vAlign w:val="center"/>
          </w:tcPr>
          <w:p w14:paraId="4427C860">
            <w:pPr>
              <w:pStyle w:val="28"/>
              <w:bidi w:val="0"/>
            </w:pPr>
          </w:p>
        </w:tc>
        <w:tc>
          <w:tcPr>
            <w:tcW w:w="208" w:type="pct"/>
            <w:vAlign w:val="center"/>
          </w:tcPr>
          <w:p w14:paraId="00253E96">
            <w:pPr>
              <w:pStyle w:val="28"/>
              <w:bidi w:val="0"/>
            </w:pPr>
            <w:r>
              <w:t>53.3</w:t>
            </w:r>
          </w:p>
        </w:tc>
        <w:tc>
          <w:tcPr>
            <w:tcW w:w="211" w:type="pct"/>
            <w:vAlign w:val="center"/>
          </w:tcPr>
          <w:p w14:paraId="04120250">
            <w:pPr>
              <w:pStyle w:val="28"/>
              <w:bidi w:val="0"/>
            </w:pPr>
            <w:r>
              <w:t>42.5</w:t>
            </w:r>
          </w:p>
        </w:tc>
        <w:tc>
          <w:tcPr>
            <w:tcW w:w="208" w:type="pct"/>
            <w:vAlign w:val="center"/>
          </w:tcPr>
          <w:p w14:paraId="0CAEBD04">
            <w:pPr>
              <w:pStyle w:val="28"/>
              <w:bidi w:val="0"/>
            </w:pPr>
            <w:r>
              <w:t>55</w:t>
            </w:r>
          </w:p>
        </w:tc>
        <w:tc>
          <w:tcPr>
            <w:tcW w:w="211" w:type="pct"/>
            <w:vAlign w:val="center"/>
          </w:tcPr>
          <w:p w14:paraId="57B8C886">
            <w:pPr>
              <w:pStyle w:val="28"/>
              <w:bidi w:val="0"/>
            </w:pPr>
            <w:r>
              <w:t>45</w:t>
            </w:r>
          </w:p>
        </w:tc>
        <w:tc>
          <w:tcPr>
            <w:tcW w:w="276" w:type="pct"/>
            <w:vAlign w:val="center"/>
          </w:tcPr>
          <w:p w14:paraId="721E320F">
            <w:pPr>
              <w:pStyle w:val="28"/>
              <w:bidi w:val="0"/>
            </w:pPr>
            <w:r>
              <w:t>53.9</w:t>
            </w:r>
          </w:p>
        </w:tc>
        <w:tc>
          <w:tcPr>
            <w:tcW w:w="257" w:type="pct"/>
            <w:vAlign w:val="center"/>
          </w:tcPr>
          <w:p w14:paraId="74874000">
            <w:pPr>
              <w:pStyle w:val="28"/>
              <w:bidi w:val="0"/>
            </w:pPr>
            <w:r>
              <w:t>46.9</w:t>
            </w:r>
          </w:p>
        </w:tc>
        <w:tc>
          <w:tcPr>
            <w:tcW w:w="257" w:type="pct"/>
            <w:vAlign w:val="center"/>
          </w:tcPr>
          <w:p w14:paraId="22D51D6C">
            <w:pPr>
              <w:pStyle w:val="28"/>
              <w:bidi w:val="0"/>
            </w:pPr>
            <w:r>
              <w:t>54.2</w:t>
            </w:r>
          </w:p>
        </w:tc>
        <w:tc>
          <w:tcPr>
            <w:tcW w:w="257" w:type="pct"/>
            <w:vAlign w:val="center"/>
          </w:tcPr>
          <w:p w14:paraId="3F76E06A">
            <w:pPr>
              <w:pStyle w:val="28"/>
              <w:bidi w:val="0"/>
            </w:pPr>
            <w:r>
              <w:t>0.9</w:t>
            </w:r>
          </w:p>
        </w:tc>
        <w:tc>
          <w:tcPr>
            <w:tcW w:w="209" w:type="pct"/>
            <w:vAlign w:val="center"/>
          </w:tcPr>
          <w:p w14:paraId="45E07646">
            <w:pPr>
              <w:pStyle w:val="28"/>
              <w:bidi w:val="0"/>
            </w:pPr>
            <w:r>
              <w:t>达标</w:t>
            </w:r>
          </w:p>
        </w:tc>
      </w:tr>
      <w:tr w14:paraId="197749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1FA5099">
            <w:pPr>
              <w:pStyle w:val="28"/>
              <w:bidi w:val="0"/>
            </w:pPr>
            <w:r>
              <w:rPr>
                <w:rFonts w:hint="eastAsia"/>
              </w:rPr>
              <w:t>戚大庄</w:t>
            </w:r>
          </w:p>
        </w:tc>
        <w:tc>
          <w:tcPr>
            <w:tcW w:w="511" w:type="pct"/>
            <w:vAlign w:val="center"/>
          </w:tcPr>
          <w:p w14:paraId="1E67F9B0">
            <w:pPr>
              <w:pStyle w:val="28"/>
              <w:bidi w:val="0"/>
            </w:pPr>
            <w:r>
              <w:rPr>
                <w:rFonts w:hint="eastAsia"/>
              </w:rPr>
              <w:t>戚大庄放水涵拆建</w:t>
            </w:r>
          </w:p>
        </w:tc>
        <w:tc>
          <w:tcPr>
            <w:tcW w:w="366" w:type="pct"/>
            <w:vAlign w:val="center"/>
          </w:tcPr>
          <w:p w14:paraId="24DE0798">
            <w:pPr>
              <w:pStyle w:val="28"/>
              <w:bidi w:val="0"/>
            </w:pPr>
            <w:r>
              <w:t>102</w:t>
            </w:r>
          </w:p>
        </w:tc>
        <w:tc>
          <w:tcPr>
            <w:tcW w:w="268" w:type="pct"/>
            <w:vAlign w:val="center"/>
          </w:tcPr>
          <w:p w14:paraId="77F32CDB">
            <w:pPr>
              <w:pStyle w:val="28"/>
              <w:bidi w:val="0"/>
            </w:pPr>
            <w:r>
              <w:rPr>
                <w:rFonts w:hint="eastAsia"/>
              </w:rPr>
              <w:t>右岸</w:t>
            </w:r>
          </w:p>
        </w:tc>
        <w:tc>
          <w:tcPr>
            <w:tcW w:w="262" w:type="pct"/>
            <w:vAlign w:val="center"/>
          </w:tcPr>
          <w:p w14:paraId="7CF260BA">
            <w:pPr>
              <w:pStyle w:val="28"/>
              <w:bidi w:val="0"/>
            </w:pPr>
            <w:r>
              <w:t>1</w:t>
            </w:r>
            <w:r>
              <w:rPr>
                <w:rFonts w:hint="eastAsia"/>
              </w:rPr>
              <w:t>类</w:t>
            </w:r>
          </w:p>
        </w:tc>
        <w:tc>
          <w:tcPr>
            <w:tcW w:w="809" w:type="pct"/>
            <w:vMerge w:val="continue"/>
            <w:vAlign w:val="center"/>
          </w:tcPr>
          <w:p w14:paraId="4AD99033">
            <w:pPr>
              <w:pStyle w:val="28"/>
              <w:bidi w:val="0"/>
            </w:pPr>
          </w:p>
        </w:tc>
        <w:tc>
          <w:tcPr>
            <w:tcW w:w="208" w:type="pct"/>
            <w:vAlign w:val="center"/>
          </w:tcPr>
          <w:p w14:paraId="4A227A55">
            <w:pPr>
              <w:pStyle w:val="28"/>
              <w:bidi w:val="0"/>
            </w:pPr>
            <w:r>
              <w:t>52.2</w:t>
            </w:r>
          </w:p>
        </w:tc>
        <w:tc>
          <w:tcPr>
            <w:tcW w:w="211" w:type="pct"/>
            <w:vAlign w:val="center"/>
          </w:tcPr>
          <w:p w14:paraId="2DB48ECD">
            <w:pPr>
              <w:pStyle w:val="28"/>
              <w:bidi w:val="0"/>
            </w:pPr>
            <w:r>
              <w:t>41.4</w:t>
            </w:r>
          </w:p>
        </w:tc>
        <w:tc>
          <w:tcPr>
            <w:tcW w:w="208" w:type="pct"/>
            <w:vAlign w:val="center"/>
          </w:tcPr>
          <w:p w14:paraId="41E1D07C">
            <w:pPr>
              <w:pStyle w:val="28"/>
              <w:bidi w:val="0"/>
            </w:pPr>
            <w:r>
              <w:t>55</w:t>
            </w:r>
          </w:p>
        </w:tc>
        <w:tc>
          <w:tcPr>
            <w:tcW w:w="211" w:type="pct"/>
            <w:vAlign w:val="center"/>
          </w:tcPr>
          <w:p w14:paraId="257F8EE6">
            <w:pPr>
              <w:pStyle w:val="28"/>
              <w:bidi w:val="0"/>
            </w:pPr>
            <w:r>
              <w:t>45</w:t>
            </w:r>
          </w:p>
        </w:tc>
        <w:tc>
          <w:tcPr>
            <w:tcW w:w="276" w:type="pct"/>
            <w:vAlign w:val="center"/>
          </w:tcPr>
          <w:p w14:paraId="55AE9F56">
            <w:pPr>
              <w:pStyle w:val="28"/>
              <w:bidi w:val="0"/>
            </w:pPr>
            <w:r>
              <w:t>53.0</w:t>
            </w:r>
          </w:p>
        </w:tc>
        <w:tc>
          <w:tcPr>
            <w:tcW w:w="257" w:type="pct"/>
            <w:vAlign w:val="center"/>
          </w:tcPr>
          <w:p w14:paraId="42AA11A8">
            <w:pPr>
              <w:pStyle w:val="28"/>
              <w:bidi w:val="0"/>
            </w:pPr>
            <w:r>
              <w:t>46.0</w:t>
            </w:r>
          </w:p>
        </w:tc>
        <w:tc>
          <w:tcPr>
            <w:tcW w:w="257" w:type="pct"/>
            <w:vAlign w:val="center"/>
          </w:tcPr>
          <w:p w14:paraId="1AF32B2B">
            <w:pPr>
              <w:pStyle w:val="28"/>
              <w:bidi w:val="0"/>
            </w:pPr>
            <w:r>
              <w:t>53.1</w:t>
            </w:r>
          </w:p>
        </w:tc>
        <w:tc>
          <w:tcPr>
            <w:tcW w:w="257" w:type="pct"/>
            <w:vAlign w:val="center"/>
          </w:tcPr>
          <w:p w14:paraId="490056DE">
            <w:pPr>
              <w:pStyle w:val="28"/>
              <w:bidi w:val="0"/>
            </w:pPr>
            <w:r>
              <w:t>0.9</w:t>
            </w:r>
          </w:p>
        </w:tc>
        <w:tc>
          <w:tcPr>
            <w:tcW w:w="209" w:type="pct"/>
            <w:vAlign w:val="center"/>
          </w:tcPr>
          <w:p w14:paraId="7BF2E7B5">
            <w:pPr>
              <w:pStyle w:val="28"/>
              <w:bidi w:val="0"/>
            </w:pPr>
            <w:r>
              <w:t>达标</w:t>
            </w:r>
          </w:p>
        </w:tc>
      </w:tr>
      <w:tr w14:paraId="5877E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E9BAB93">
            <w:pPr>
              <w:pStyle w:val="28"/>
              <w:bidi w:val="0"/>
            </w:pPr>
            <w:r>
              <w:rPr>
                <w:rFonts w:hint="eastAsia"/>
              </w:rPr>
              <w:t>宋庄</w:t>
            </w:r>
          </w:p>
        </w:tc>
        <w:tc>
          <w:tcPr>
            <w:tcW w:w="511" w:type="pct"/>
            <w:vAlign w:val="center"/>
          </w:tcPr>
          <w:p w14:paraId="09469BCA">
            <w:pPr>
              <w:pStyle w:val="28"/>
              <w:bidi w:val="0"/>
            </w:pPr>
            <w:r>
              <w:rPr>
                <w:rFonts w:hint="eastAsia"/>
              </w:rPr>
              <w:t>平塘</w:t>
            </w:r>
            <w:r>
              <w:t>2#</w:t>
            </w:r>
            <w:r>
              <w:rPr>
                <w:rFonts w:hint="eastAsia"/>
              </w:rPr>
              <w:t>放水涵拆建</w:t>
            </w:r>
          </w:p>
        </w:tc>
        <w:tc>
          <w:tcPr>
            <w:tcW w:w="366" w:type="pct"/>
            <w:vAlign w:val="center"/>
          </w:tcPr>
          <w:p w14:paraId="0E9B45DA">
            <w:pPr>
              <w:pStyle w:val="28"/>
              <w:bidi w:val="0"/>
            </w:pPr>
            <w:r>
              <w:t>10</w:t>
            </w:r>
          </w:p>
        </w:tc>
        <w:tc>
          <w:tcPr>
            <w:tcW w:w="268" w:type="pct"/>
            <w:vAlign w:val="center"/>
          </w:tcPr>
          <w:p w14:paraId="0181EBDA">
            <w:pPr>
              <w:pStyle w:val="28"/>
              <w:bidi w:val="0"/>
            </w:pPr>
            <w:r>
              <w:rPr>
                <w:rFonts w:hint="eastAsia"/>
              </w:rPr>
              <w:t>左岸</w:t>
            </w:r>
          </w:p>
        </w:tc>
        <w:tc>
          <w:tcPr>
            <w:tcW w:w="262" w:type="pct"/>
            <w:vAlign w:val="center"/>
          </w:tcPr>
          <w:p w14:paraId="4FD93518">
            <w:pPr>
              <w:pStyle w:val="28"/>
              <w:bidi w:val="0"/>
            </w:pPr>
            <w:r>
              <w:t>1</w:t>
            </w:r>
            <w:r>
              <w:rPr>
                <w:rFonts w:hint="eastAsia"/>
              </w:rPr>
              <w:t>类</w:t>
            </w:r>
          </w:p>
        </w:tc>
        <w:tc>
          <w:tcPr>
            <w:tcW w:w="809" w:type="pct"/>
            <w:vAlign w:val="center"/>
          </w:tcPr>
          <w:p w14:paraId="7CDEDF03">
            <w:pPr>
              <w:pStyle w:val="28"/>
              <w:bidi w:val="0"/>
            </w:pPr>
            <w:r>
              <w:rPr>
                <w:rFonts w:hint="eastAsia"/>
              </w:rPr>
              <w:t>采用低噪声设备，施工机械远离居民住宅，设置双层移动声屏障</w:t>
            </w:r>
          </w:p>
        </w:tc>
        <w:tc>
          <w:tcPr>
            <w:tcW w:w="208" w:type="pct"/>
            <w:vAlign w:val="center"/>
          </w:tcPr>
          <w:p w14:paraId="45FAA9B2">
            <w:pPr>
              <w:pStyle w:val="28"/>
              <w:bidi w:val="0"/>
            </w:pPr>
            <w:r>
              <w:t>51.6</w:t>
            </w:r>
          </w:p>
        </w:tc>
        <w:tc>
          <w:tcPr>
            <w:tcW w:w="211" w:type="pct"/>
            <w:vAlign w:val="center"/>
          </w:tcPr>
          <w:p w14:paraId="1A2F165A">
            <w:pPr>
              <w:pStyle w:val="28"/>
              <w:bidi w:val="0"/>
            </w:pPr>
            <w:r>
              <w:t>42.6</w:t>
            </w:r>
          </w:p>
        </w:tc>
        <w:tc>
          <w:tcPr>
            <w:tcW w:w="208" w:type="pct"/>
            <w:vAlign w:val="center"/>
          </w:tcPr>
          <w:p w14:paraId="1DEF8C6D">
            <w:pPr>
              <w:pStyle w:val="28"/>
              <w:bidi w:val="0"/>
            </w:pPr>
            <w:r>
              <w:t>55</w:t>
            </w:r>
          </w:p>
        </w:tc>
        <w:tc>
          <w:tcPr>
            <w:tcW w:w="211" w:type="pct"/>
            <w:vAlign w:val="center"/>
          </w:tcPr>
          <w:p w14:paraId="5BB6F63C">
            <w:pPr>
              <w:pStyle w:val="28"/>
              <w:bidi w:val="0"/>
            </w:pPr>
            <w:r>
              <w:t>45</w:t>
            </w:r>
          </w:p>
        </w:tc>
        <w:tc>
          <w:tcPr>
            <w:tcW w:w="276" w:type="pct"/>
            <w:vAlign w:val="center"/>
          </w:tcPr>
          <w:p w14:paraId="298CBDAD">
            <w:pPr>
              <w:pStyle w:val="28"/>
              <w:bidi w:val="0"/>
            </w:pPr>
            <w:r>
              <w:t>73.2</w:t>
            </w:r>
          </w:p>
        </w:tc>
        <w:tc>
          <w:tcPr>
            <w:tcW w:w="257" w:type="pct"/>
            <w:vAlign w:val="center"/>
          </w:tcPr>
          <w:p w14:paraId="641A09FA">
            <w:pPr>
              <w:pStyle w:val="28"/>
              <w:bidi w:val="0"/>
            </w:pPr>
            <w:r>
              <w:t>51.2</w:t>
            </w:r>
          </w:p>
        </w:tc>
        <w:tc>
          <w:tcPr>
            <w:tcW w:w="257" w:type="pct"/>
            <w:vAlign w:val="center"/>
          </w:tcPr>
          <w:p w14:paraId="7D2040A0">
            <w:pPr>
              <w:pStyle w:val="28"/>
              <w:bidi w:val="0"/>
            </w:pPr>
            <w:r>
              <w:t>54.4</w:t>
            </w:r>
          </w:p>
        </w:tc>
        <w:tc>
          <w:tcPr>
            <w:tcW w:w="257" w:type="pct"/>
            <w:vAlign w:val="center"/>
          </w:tcPr>
          <w:p w14:paraId="3442A74F">
            <w:pPr>
              <w:pStyle w:val="28"/>
              <w:bidi w:val="0"/>
            </w:pPr>
            <w:r>
              <w:t>2.8</w:t>
            </w:r>
          </w:p>
        </w:tc>
        <w:tc>
          <w:tcPr>
            <w:tcW w:w="209" w:type="pct"/>
            <w:vAlign w:val="center"/>
          </w:tcPr>
          <w:p w14:paraId="1614FB09">
            <w:pPr>
              <w:pStyle w:val="28"/>
              <w:bidi w:val="0"/>
            </w:pPr>
            <w:r>
              <w:t>达标</w:t>
            </w:r>
          </w:p>
        </w:tc>
      </w:tr>
      <w:tr w14:paraId="2663E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09303A2">
            <w:pPr>
              <w:pStyle w:val="28"/>
              <w:bidi w:val="0"/>
            </w:pPr>
            <w:r>
              <w:rPr>
                <w:rFonts w:hint="eastAsia"/>
              </w:rPr>
              <w:t>枣树林店</w:t>
            </w:r>
          </w:p>
        </w:tc>
        <w:tc>
          <w:tcPr>
            <w:tcW w:w="511" w:type="pct"/>
            <w:vAlign w:val="center"/>
          </w:tcPr>
          <w:p w14:paraId="5BE0843E">
            <w:pPr>
              <w:pStyle w:val="28"/>
              <w:bidi w:val="0"/>
            </w:pPr>
            <w:r>
              <w:rPr>
                <w:rFonts w:hint="eastAsia"/>
              </w:rPr>
              <w:t>枣树林放水涵拆建</w:t>
            </w:r>
          </w:p>
        </w:tc>
        <w:tc>
          <w:tcPr>
            <w:tcW w:w="366" w:type="pct"/>
            <w:vAlign w:val="center"/>
          </w:tcPr>
          <w:p w14:paraId="18475D87">
            <w:pPr>
              <w:pStyle w:val="28"/>
              <w:bidi w:val="0"/>
            </w:pPr>
            <w:r>
              <w:t>151</w:t>
            </w:r>
          </w:p>
        </w:tc>
        <w:tc>
          <w:tcPr>
            <w:tcW w:w="268" w:type="pct"/>
            <w:vAlign w:val="center"/>
          </w:tcPr>
          <w:p w14:paraId="1784B6B3">
            <w:pPr>
              <w:pStyle w:val="28"/>
              <w:bidi w:val="0"/>
            </w:pPr>
            <w:r>
              <w:rPr>
                <w:rFonts w:hint="eastAsia"/>
              </w:rPr>
              <w:t>左岸</w:t>
            </w:r>
          </w:p>
        </w:tc>
        <w:tc>
          <w:tcPr>
            <w:tcW w:w="262" w:type="pct"/>
            <w:vAlign w:val="center"/>
          </w:tcPr>
          <w:p w14:paraId="68D3A9C8">
            <w:pPr>
              <w:pStyle w:val="28"/>
              <w:bidi w:val="0"/>
            </w:pPr>
            <w:r>
              <w:t>1</w:t>
            </w:r>
            <w:r>
              <w:rPr>
                <w:rFonts w:hint="eastAsia"/>
              </w:rPr>
              <w:t>类</w:t>
            </w:r>
          </w:p>
        </w:tc>
        <w:tc>
          <w:tcPr>
            <w:tcW w:w="809" w:type="pct"/>
            <w:vMerge w:val="restart"/>
            <w:vAlign w:val="center"/>
          </w:tcPr>
          <w:p w14:paraId="5F435B91">
            <w:pPr>
              <w:pStyle w:val="28"/>
              <w:bidi w:val="0"/>
            </w:pPr>
            <w:r>
              <w:rPr>
                <w:rFonts w:hint="eastAsia"/>
              </w:rPr>
              <w:t>采用低噪声设备，施工机械远离居民住宅</w:t>
            </w:r>
          </w:p>
        </w:tc>
        <w:tc>
          <w:tcPr>
            <w:tcW w:w="208" w:type="pct"/>
            <w:vAlign w:val="center"/>
          </w:tcPr>
          <w:p w14:paraId="16352CB5">
            <w:pPr>
              <w:pStyle w:val="28"/>
              <w:bidi w:val="0"/>
            </w:pPr>
            <w:r>
              <w:t>52.6</w:t>
            </w:r>
          </w:p>
        </w:tc>
        <w:tc>
          <w:tcPr>
            <w:tcW w:w="211" w:type="pct"/>
            <w:vAlign w:val="center"/>
          </w:tcPr>
          <w:p w14:paraId="0EE822F7">
            <w:pPr>
              <w:pStyle w:val="28"/>
              <w:bidi w:val="0"/>
            </w:pPr>
            <w:r>
              <w:t>41.8</w:t>
            </w:r>
          </w:p>
        </w:tc>
        <w:tc>
          <w:tcPr>
            <w:tcW w:w="208" w:type="pct"/>
            <w:vAlign w:val="center"/>
          </w:tcPr>
          <w:p w14:paraId="154DBDFB">
            <w:pPr>
              <w:pStyle w:val="28"/>
              <w:bidi w:val="0"/>
            </w:pPr>
            <w:r>
              <w:t>55</w:t>
            </w:r>
          </w:p>
        </w:tc>
        <w:tc>
          <w:tcPr>
            <w:tcW w:w="211" w:type="pct"/>
            <w:vAlign w:val="center"/>
          </w:tcPr>
          <w:p w14:paraId="71E7FED9">
            <w:pPr>
              <w:pStyle w:val="28"/>
              <w:bidi w:val="0"/>
            </w:pPr>
            <w:r>
              <w:t>45</w:t>
            </w:r>
          </w:p>
        </w:tc>
        <w:tc>
          <w:tcPr>
            <w:tcW w:w="276" w:type="pct"/>
            <w:vAlign w:val="center"/>
          </w:tcPr>
          <w:p w14:paraId="38B8FD82">
            <w:pPr>
              <w:pStyle w:val="28"/>
              <w:bidi w:val="0"/>
            </w:pPr>
            <w:r>
              <w:t>49.6</w:t>
            </w:r>
          </w:p>
        </w:tc>
        <w:tc>
          <w:tcPr>
            <w:tcW w:w="257" w:type="pct"/>
            <w:vAlign w:val="center"/>
          </w:tcPr>
          <w:p w14:paraId="69F2655E">
            <w:pPr>
              <w:pStyle w:val="28"/>
              <w:bidi w:val="0"/>
            </w:pPr>
            <w:r>
              <w:t>42.6</w:t>
            </w:r>
          </w:p>
        </w:tc>
        <w:tc>
          <w:tcPr>
            <w:tcW w:w="257" w:type="pct"/>
            <w:vAlign w:val="center"/>
          </w:tcPr>
          <w:p w14:paraId="35335733">
            <w:pPr>
              <w:pStyle w:val="28"/>
              <w:bidi w:val="0"/>
            </w:pPr>
            <w:r>
              <w:t>53.0</w:t>
            </w:r>
          </w:p>
        </w:tc>
        <w:tc>
          <w:tcPr>
            <w:tcW w:w="257" w:type="pct"/>
            <w:vAlign w:val="center"/>
          </w:tcPr>
          <w:p w14:paraId="63B28C65">
            <w:pPr>
              <w:pStyle w:val="28"/>
              <w:bidi w:val="0"/>
            </w:pPr>
            <w:r>
              <w:t>0.4</w:t>
            </w:r>
          </w:p>
        </w:tc>
        <w:tc>
          <w:tcPr>
            <w:tcW w:w="209" w:type="pct"/>
            <w:vAlign w:val="center"/>
          </w:tcPr>
          <w:p w14:paraId="530E8AB9">
            <w:pPr>
              <w:pStyle w:val="28"/>
              <w:bidi w:val="0"/>
            </w:pPr>
            <w:r>
              <w:t>达标</w:t>
            </w:r>
          </w:p>
        </w:tc>
      </w:tr>
      <w:tr w14:paraId="1BF1CCAA">
        <w:tblPrEx>
          <w:tblCellMar>
            <w:top w:w="0" w:type="dxa"/>
            <w:left w:w="108" w:type="dxa"/>
            <w:bottom w:w="0" w:type="dxa"/>
            <w:right w:w="108" w:type="dxa"/>
          </w:tblCellMar>
        </w:tblPrEx>
        <w:trPr>
          <w:trHeight w:val="340" w:hRule="atLeast"/>
          <w:jc w:val="center"/>
        </w:trPr>
        <w:tc>
          <w:tcPr>
            <w:tcW w:w="685" w:type="pct"/>
            <w:vAlign w:val="center"/>
          </w:tcPr>
          <w:p w14:paraId="2CE81970">
            <w:pPr>
              <w:pStyle w:val="28"/>
              <w:bidi w:val="0"/>
            </w:pPr>
            <w:r>
              <w:rPr>
                <w:rFonts w:hint="eastAsia"/>
              </w:rPr>
              <w:t>蔡家庄</w:t>
            </w:r>
          </w:p>
        </w:tc>
        <w:tc>
          <w:tcPr>
            <w:tcW w:w="511" w:type="pct"/>
            <w:vAlign w:val="center"/>
          </w:tcPr>
          <w:p w14:paraId="1F6BA307">
            <w:pPr>
              <w:pStyle w:val="28"/>
              <w:bidi w:val="0"/>
            </w:pPr>
            <w:r>
              <w:rPr>
                <w:rFonts w:hint="eastAsia"/>
              </w:rPr>
              <w:t>沙井农门拆建</w:t>
            </w:r>
          </w:p>
        </w:tc>
        <w:tc>
          <w:tcPr>
            <w:tcW w:w="366" w:type="pct"/>
            <w:vAlign w:val="center"/>
          </w:tcPr>
          <w:p w14:paraId="2AF023EE">
            <w:pPr>
              <w:pStyle w:val="28"/>
              <w:bidi w:val="0"/>
            </w:pPr>
            <w:r>
              <w:t>130</w:t>
            </w:r>
          </w:p>
        </w:tc>
        <w:tc>
          <w:tcPr>
            <w:tcW w:w="268" w:type="pct"/>
            <w:vAlign w:val="center"/>
          </w:tcPr>
          <w:p w14:paraId="3A7051C6">
            <w:pPr>
              <w:pStyle w:val="28"/>
              <w:bidi w:val="0"/>
            </w:pPr>
            <w:r>
              <w:rPr>
                <w:rFonts w:hint="eastAsia"/>
              </w:rPr>
              <w:t>右岸</w:t>
            </w:r>
          </w:p>
        </w:tc>
        <w:tc>
          <w:tcPr>
            <w:tcW w:w="262" w:type="pct"/>
            <w:vAlign w:val="center"/>
          </w:tcPr>
          <w:p w14:paraId="39720C4D">
            <w:pPr>
              <w:pStyle w:val="28"/>
              <w:bidi w:val="0"/>
            </w:pPr>
            <w:r>
              <w:t>1</w:t>
            </w:r>
            <w:r>
              <w:rPr>
                <w:rFonts w:hint="eastAsia"/>
              </w:rPr>
              <w:t>类</w:t>
            </w:r>
          </w:p>
        </w:tc>
        <w:tc>
          <w:tcPr>
            <w:tcW w:w="809" w:type="pct"/>
            <w:vMerge w:val="continue"/>
            <w:vAlign w:val="center"/>
          </w:tcPr>
          <w:p w14:paraId="530D7632">
            <w:pPr>
              <w:pStyle w:val="28"/>
              <w:bidi w:val="0"/>
            </w:pPr>
          </w:p>
        </w:tc>
        <w:tc>
          <w:tcPr>
            <w:tcW w:w="208" w:type="pct"/>
            <w:vAlign w:val="center"/>
          </w:tcPr>
          <w:p w14:paraId="24264E14">
            <w:pPr>
              <w:pStyle w:val="28"/>
              <w:bidi w:val="0"/>
            </w:pPr>
            <w:r>
              <w:t>53.6</w:t>
            </w:r>
          </w:p>
        </w:tc>
        <w:tc>
          <w:tcPr>
            <w:tcW w:w="211" w:type="pct"/>
            <w:vAlign w:val="center"/>
          </w:tcPr>
          <w:p w14:paraId="3EAEA9C0">
            <w:pPr>
              <w:pStyle w:val="28"/>
              <w:bidi w:val="0"/>
            </w:pPr>
            <w:r>
              <w:t>42.8</w:t>
            </w:r>
          </w:p>
        </w:tc>
        <w:tc>
          <w:tcPr>
            <w:tcW w:w="208" w:type="pct"/>
            <w:vAlign w:val="center"/>
          </w:tcPr>
          <w:p w14:paraId="0476202E">
            <w:pPr>
              <w:pStyle w:val="28"/>
              <w:bidi w:val="0"/>
            </w:pPr>
            <w:r>
              <w:t>55</w:t>
            </w:r>
          </w:p>
        </w:tc>
        <w:tc>
          <w:tcPr>
            <w:tcW w:w="211" w:type="pct"/>
            <w:vAlign w:val="center"/>
          </w:tcPr>
          <w:p w14:paraId="1450E359">
            <w:pPr>
              <w:pStyle w:val="28"/>
              <w:bidi w:val="0"/>
            </w:pPr>
            <w:r>
              <w:t>45</w:t>
            </w:r>
          </w:p>
        </w:tc>
        <w:tc>
          <w:tcPr>
            <w:tcW w:w="276" w:type="pct"/>
            <w:vAlign w:val="center"/>
          </w:tcPr>
          <w:p w14:paraId="6BFEBC51">
            <w:pPr>
              <w:pStyle w:val="28"/>
              <w:bidi w:val="0"/>
            </w:pPr>
            <w:r>
              <w:t>50.9</w:t>
            </w:r>
          </w:p>
        </w:tc>
        <w:tc>
          <w:tcPr>
            <w:tcW w:w="257" w:type="pct"/>
            <w:vAlign w:val="center"/>
          </w:tcPr>
          <w:p w14:paraId="5EA9F222">
            <w:pPr>
              <w:pStyle w:val="28"/>
              <w:bidi w:val="0"/>
            </w:pPr>
            <w:r>
              <w:t>43.9</w:t>
            </w:r>
          </w:p>
        </w:tc>
        <w:tc>
          <w:tcPr>
            <w:tcW w:w="257" w:type="pct"/>
            <w:vAlign w:val="center"/>
          </w:tcPr>
          <w:p w14:paraId="55E850AF">
            <w:pPr>
              <w:pStyle w:val="28"/>
              <w:bidi w:val="0"/>
            </w:pPr>
            <w:r>
              <w:t>54.0</w:t>
            </w:r>
          </w:p>
        </w:tc>
        <w:tc>
          <w:tcPr>
            <w:tcW w:w="257" w:type="pct"/>
            <w:vAlign w:val="center"/>
          </w:tcPr>
          <w:p w14:paraId="4B319418">
            <w:pPr>
              <w:pStyle w:val="28"/>
              <w:bidi w:val="0"/>
            </w:pPr>
            <w:r>
              <w:t>0.4</w:t>
            </w:r>
          </w:p>
        </w:tc>
        <w:tc>
          <w:tcPr>
            <w:tcW w:w="209" w:type="pct"/>
            <w:vAlign w:val="center"/>
          </w:tcPr>
          <w:p w14:paraId="0619954A">
            <w:pPr>
              <w:pStyle w:val="28"/>
              <w:bidi w:val="0"/>
            </w:pPr>
            <w:r>
              <w:t>达标</w:t>
            </w:r>
          </w:p>
        </w:tc>
      </w:tr>
      <w:tr w14:paraId="7DBE7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8FD2187">
            <w:pPr>
              <w:pStyle w:val="28"/>
              <w:bidi w:val="0"/>
            </w:pPr>
            <w:r>
              <w:rPr>
                <w:rFonts w:hint="eastAsia"/>
              </w:rPr>
              <w:t>松棵</w:t>
            </w:r>
          </w:p>
        </w:tc>
        <w:tc>
          <w:tcPr>
            <w:tcW w:w="511" w:type="pct"/>
            <w:vAlign w:val="center"/>
          </w:tcPr>
          <w:p w14:paraId="46D17360">
            <w:pPr>
              <w:pStyle w:val="28"/>
              <w:bidi w:val="0"/>
            </w:pPr>
            <w:r>
              <w:rPr>
                <w:rFonts w:hint="eastAsia"/>
              </w:rPr>
              <w:t>松棵放水涵拆建</w:t>
            </w:r>
          </w:p>
        </w:tc>
        <w:tc>
          <w:tcPr>
            <w:tcW w:w="366" w:type="pct"/>
            <w:vAlign w:val="center"/>
          </w:tcPr>
          <w:p w14:paraId="3F417D17">
            <w:pPr>
              <w:pStyle w:val="28"/>
              <w:bidi w:val="0"/>
            </w:pPr>
            <w:r>
              <w:t>120</w:t>
            </w:r>
          </w:p>
        </w:tc>
        <w:tc>
          <w:tcPr>
            <w:tcW w:w="268" w:type="pct"/>
            <w:vAlign w:val="center"/>
          </w:tcPr>
          <w:p w14:paraId="09EC4198">
            <w:pPr>
              <w:pStyle w:val="28"/>
              <w:bidi w:val="0"/>
            </w:pPr>
            <w:r>
              <w:rPr>
                <w:rFonts w:hint="eastAsia"/>
              </w:rPr>
              <w:t>左岸</w:t>
            </w:r>
          </w:p>
        </w:tc>
        <w:tc>
          <w:tcPr>
            <w:tcW w:w="262" w:type="pct"/>
            <w:vAlign w:val="center"/>
          </w:tcPr>
          <w:p w14:paraId="31BA6894">
            <w:pPr>
              <w:pStyle w:val="28"/>
              <w:bidi w:val="0"/>
            </w:pPr>
            <w:r>
              <w:t>1</w:t>
            </w:r>
            <w:r>
              <w:rPr>
                <w:rFonts w:hint="eastAsia"/>
              </w:rPr>
              <w:t>类</w:t>
            </w:r>
          </w:p>
        </w:tc>
        <w:tc>
          <w:tcPr>
            <w:tcW w:w="809" w:type="pct"/>
            <w:vMerge w:val="continue"/>
            <w:vAlign w:val="center"/>
          </w:tcPr>
          <w:p w14:paraId="2EEFBEC8">
            <w:pPr>
              <w:pStyle w:val="28"/>
              <w:bidi w:val="0"/>
            </w:pPr>
          </w:p>
        </w:tc>
        <w:tc>
          <w:tcPr>
            <w:tcW w:w="208" w:type="pct"/>
            <w:vAlign w:val="center"/>
          </w:tcPr>
          <w:p w14:paraId="1E39413D">
            <w:pPr>
              <w:pStyle w:val="28"/>
              <w:bidi w:val="0"/>
            </w:pPr>
            <w:r>
              <w:t>53.2</w:t>
            </w:r>
          </w:p>
        </w:tc>
        <w:tc>
          <w:tcPr>
            <w:tcW w:w="211" w:type="pct"/>
            <w:vAlign w:val="center"/>
          </w:tcPr>
          <w:p w14:paraId="4961D4CC">
            <w:pPr>
              <w:pStyle w:val="28"/>
              <w:bidi w:val="0"/>
            </w:pPr>
            <w:r>
              <w:t>42.4</w:t>
            </w:r>
          </w:p>
        </w:tc>
        <w:tc>
          <w:tcPr>
            <w:tcW w:w="208" w:type="pct"/>
            <w:vAlign w:val="center"/>
          </w:tcPr>
          <w:p w14:paraId="70297E36">
            <w:pPr>
              <w:pStyle w:val="28"/>
              <w:bidi w:val="0"/>
            </w:pPr>
            <w:r>
              <w:t>55</w:t>
            </w:r>
          </w:p>
        </w:tc>
        <w:tc>
          <w:tcPr>
            <w:tcW w:w="211" w:type="pct"/>
            <w:vAlign w:val="center"/>
          </w:tcPr>
          <w:p w14:paraId="10408806">
            <w:pPr>
              <w:pStyle w:val="28"/>
              <w:bidi w:val="0"/>
            </w:pPr>
            <w:r>
              <w:t>45</w:t>
            </w:r>
          </w:p>
        </w:tc>
        <w:tc>
          <w:tcPr>
            <w:tcW w:w="276" w:type="pct"/>
            <w:vAlign w:val="center"/>
          </w:tcPr>
          <w:p w14:paraId="53D69382">
            <w:pPr>
              <w:pStyle w:val="28"/>
              <w:bidi w:val="0"/>
            </w:pPr>
            <w:r>
              <w:t>51.6</w:t>
            </w:r>
          </w:p>
        </w:tc>
        <w:tc>
          <w:tcPr>
            <w:tcW w:w="257" w:type="pct"/>
            <w:vAlign w:val="center"/>
          </w:tcPr>
          <w:p w14:paraId="4841F4A2">
            <w:pPr>
              <w:pStyle w:val="28"/>
              <w:bidi w:val="0"/>
            </w:pPr>
            <w:r>
              <w:t>44.6</w:t>
            </w:r>
          </w:p>
        </w:tc>
        <w:tc>
          <w:tcPr>
            <w:tcW w:w="257" w:type="pct"/>
            <w:vAlign w:val="center"/>
          </w:tcPr>
          <w:p w14:paraId="28114B91">
            <w:pPr>
              <w:pStyle w:val="28"/>
              <w:bidi w:val="0"/>
            </w:pPr>
            <w:r>
              <w:t>53.8</w:t>
            </w:r>
          </w:p>
        </w:tc>
        <w:tc>
          <w:tcPr>
            <w:tcW w:w="257" w:type="pct"/>
            <w:vAlign w:val="center"/>
          </w:tcPr>
          <w:p w14:paraId="31344BF0">
            <w:pPr>
              <w:pStyle w:val="28"/>
              <w:bidi w:val="0"/>
            </w:pPr>
            <w:r>
              <w:t>0.6</w:t>
            </w:r>
          </w:p>
        </w:tc>
        <w:tc>
          <w:tcPr>
            <w:tcW w:w="209" w:type="pct"/>
            <w:vAlign w:val="center"/>
          </w:tcPr>
          <w:p w14:paraId="6803F42A">
            <w:pPr>
              <w:pStyle w:val="28"/>
              <w:bidi w:val="0"/>
            </w:pPr>
            <w:r>
              <w:t>达标</w:t>
            </w:r>
          </w:p>
        </w:tc>
      </w:tr>
      <w:tr w14:paraId="601EF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F448475">
            <w:pPr>
              <w:pStyle w:val="28"/>
              <w:bidi w:val="0"/>
            </w:pPr>
            <w:r>
              <w:rPr>
                <w:rFonts w:hint="eastAsia"/>
              </w:rPr>
              <w:t>松棵</w:t>
            </w:r>
          </w:p>
        </w:tc>
        <w:tc>
          <w:tcPr>
            <w:tcW w:w="511" w:type="pct"/>
            <w:vAlign w:val="center"/>
          </w:tcPr>
          <w:p w14:paraId="5702E7D5">
            <w:pPr>
              <w:pStyle w:val="28"/>
              <w:bidi w:val="0"/>
            </w:pPr>
            <w:r>
              <w:rPr>
                <w:rFonts w:hint="eastAsia"/>
              </w:rPr>
              <w:t>张庄农门拆建</w:t>
            </w:r>
          </w:p>
        </w:tc>
        <w:tc>
          <w:tcPr>
            <w:tcW w:w="366" w:type="pct"/>
            <w:vAlign w:val="center"/>
          </w:tcPr>
          <w:p w14:paraId="2BFD0E9C">
            <w:pPr>
              <w:pStyle w:val="28"/>
              <w:bidi w:val="0"/>
            </w:pPr>
            <w:r>
              <w:t>80</w:t>
            </w:r>
          </w:p>
        </w:tc>
        <w:tc>
          <w:tcPr>
            <w:tcW w:w="268" w:type="pct"/>
            <w:vAlign w:val="center"/>
          </w:tcPr>
          <w:p w14:paraId="54D65262">
            <w:pPr>
              <w:pStyle w:val="28"/>
              <w:bidi w:val="0"/>
            </w:pPr>
            <w:r>
              <w:rPr>
                <w:rFonts w:hint="eastAsia"/>
              </w:rPr>
              <w:t>左岸</w:t>
            </w:r>
          </w:p>
        </w:tc>
        <w:tc>
          <w:tcPr>
            <w:tcW w:w="262" w:type="pct"/>
            <w:vAlign w:val="center"/>
          </w:tcPr>
          <w:p w14:paraId="5D81E871">
            <w:pPr>
              <w:pStyle w:val="28"/>
              <w:bidi w:val="0"/>
            </w:pPr>
            <w:r>
              <w:t>1</w:t>
            </w:r>
            <w:r>
              <w:rPr>
                <w:rFonts w:hint="eastAsia"/>
              </w:rPr>
              <w:t>类</w:t>
            </w:r>
          </w:p>
        </w:tc>
        <w:tc>
          <w:tcPr>
            <w:tcW w:w="809" w:type="pct"/>
            <w:vMerge w:val="continue"/>
            <w:vAlign w:val="center"/>
          </w:tcPr>
          <w:p w14:paraId="1E711C44">
            <w:pPr>
              <w:pStyle w:val="28"/>
              <w:bidi w:val="0"/>
            </w:pPr>
          </w:p>
        </w:tc>
        <w:tc>
          <w:tcPr>
            <w:tcW w:w="208" w:type="pct"/>
            <w:vAlign w:val="center"/>
          </w:tcPr>
          <w:p w14:paraId="0FF44CCF">
            <w:pPr>
              <w:pStyle w:val="28"/>
              <w:bidi w:val="0"/>
            </w:pPr>
            <w:r>
              <w:t>53.5</w:t>
            </w:r>
          </w:p>
        </w:tc>
        <w:tc>
          <w:tcPr>
            <w:tcW w:w="211" w:type="pct"/>
            <w:vAlign w:val="center"/>
          </w:tcPr>
          <w:p w14:paraId="0E1DE351">
            <w:pPr>
              <w:pStyle w:val="28"/>
              <w:bidi w:val="0"/>
            </w:pPr>
            <w:r>
              <w:t>42.7</w:t>
            </w:r>
          </w:p>
        </w:tc>
        <w:tc>
          <w:tcPr>
            <w:tcW w:w="208" w:type="pct"/>
            <w:vAlign w:val="center"/>
          </w:tcPr>
          <w:p w14:paraId="0EECD741">
            <w:pPr>
              <w:pStyle w:val="28"/>
              <w:bidi w:val="0"/>
            </w:pPr>
            <w:r>
              <w:t>55</w:t>
            </w:r>
          </w:p>
        </w:tc>
        <w:tc>
          <w:tcPr>
            <w:tcW w:w="211" w:type="pct"/>
            <w:vAlign w:val="center"/>
          </w:tcPr>
          <w:p w14:paraId="3FF5D395">
            <w:pPr>
              <w:pStyle w:val="28"/>
              <w:bidi w:val="0"/>
            </w:pPr>
            <w:r>
              <w:t>45</w:t>
            </w:r>
          </w:p>
        </w:tc>
        <w:tc>
          <w:tcPr>
            <w:tcW w:w="276" w:type="pct"/>
            <w:vAlign w:val="center"/>
          </w:tcPr>
          <w:p w14:paraId="2D4C73C5">
            <w:pPr>
              <w:pStyle w:val="28"/>
              <w:bidi w:val="0"/>
            </w:pPr>
            <w:r>
              <w:t>55.1</w:t>
            </w:r>
          </w:p>
        </w:tc>
        <w:tc>
          <w:tcPr>
            <w:tcW w:w="257" w:type="pct"/>
            <w:vAlign w:val="center"/>
          </w:tcPr>
          <w:p w14:paraId="2171A117">
            <w:pPr>
              <w:pStyle w:val="28"/>
              <w:bidi w:val="0"/>
            </w:pPr>
            <w:r>
              <w:t>48.1</w:t>
            </w:r>
          </w:p>
        </w:tc>
        <w:tc>
          <w:tcPr>
            <w:tcW w:w="257" w:type="pct"/>
            <w:vAlign w:val="center"/>
          </w:tcPr>
          <w:p w14:paraId="33875FC7">
            <w:pPr>
              <w:pStyle w:val="28"/>
              <w:bidi w:val="0"/>
            </w:pPr>
            <w:r>
              <w:t>54.6</w:t>
            </w:r>
          </w:p>
        </w:tc>
        <w:tc>
          <w:tcPr>
            <w:tcW w:w="257" w:type="pct"/>
            <w:vAlign w:val="center"/>
          </w:tcPr>
          <w:p w14:paraId="738DDD28">
            <w:pPr>
              <w:pStyle w:val="28"/>
              <w:bidi w:val="0"/>
            </w:pPr>
            <w:r>
              <w:t>1.1</w:t>
            </w:r>
          </w:p>
        </w:tc>
        <w:tc>
          <w:tcPr>
            <w:tcW w:w="209" w:type="pct"/>
            <w:vAlign w:val="center"/>
          </w:tcPr>
          <w:p w14:paraId="5FFFE46A">
            <w:pPr>
              <w:pStyle w:val="28"/>
              <w:bidi w:val="0"/>
            </w:pPr>
            <w:r>
              <w:t>达标</w:t>
            </w:r>
          </w:p>
        </w:tc>
      </w:tr>
      <w:tr w14:paraId="06A38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576BFE0">
            <w:pPr>
              <w:pStyle w:val="28"/>
              <w:bidi w:val="0"/>
            </w:pPr>
            <w:r>
              <w:rPr>
                <w:rFonts w:hint="eastAsia"/>
              </w:rPr>
              <w:t>张老庄</w:t>
            </w:r>
          </w:p>
        </w:tc>
        <w:tc>
          <w:tcPr>
            <w:tcW w:w="511" w:type="pct"/>
            <w:vAlign w:val="center"/>
          </w:tcPr>
          <w:p w14:paraId="364F0D91">
            <w:pPr>
              <w:pStyle w:val="28"/>
              <w:bidi w:val="0"/>
            </w:pPr>
            <w:r>
              <w:rPr>
                <w:rFonts w:hint="eastAsia"/>
              </w:rPr>
              <w:t>月斗农门拆建</w:t>
            </w:r>
          </w:p>
        </w:tc>
        <w:tc>
          <w:tcPr>
            <w:tcW w:w="366" w:type="pct"/>
            <w:vAlign w:val="center"/>
          </w:tcPr>
          <w:p w14:paraId="74967498">
            <w:pPr>
              <w:pStyle w:val="28"/>
              <w:bidi w:val="0"/>
            </w:pPr>
            <w:r>
              <w:t>44</w:t>
            </w:r>
          </w:p>
        </w:tc>
        <w:tc>
          <w:tcPr>
            <w:tcW w:w="268" w:type="pct"/>
            <w:vAlign w:val="center"/>
          </w:tcPr>
          <w:p w14:paraId="68A7EC97">
            <w:pPr>
              <w:pStyle w:val="28"/>
              <w:bidi w:val="0"/>
            </w:pPr>
            <w:r>
              <w:rPr>
                <w:rFonts w:hint="eastAsia"/>
              </w:rPr>
              <w:t>左岸</w:t>
            </w:r>
          </w:p>
        </w:tc>
        <w:tc>
          <w:tcPr>
            <w:tcW w:w="262" w:type="pct"/>
            <w:vAlign w:val="center"/>
          </w:tcPr>
          <w:p w14:paraId="51EC5DB9">
            <w:pPr>
              <w:pStyle w:val="28"/>
              <w:bidi w:val="0"/>
            </w:pPr>
            <w:r>
              <w:t>1</w:t>
            </w:r>
            <w:r>
              <w:rPr>
                <w:rFonts w:hint="eastAsia"/>
              </w:rPr>
              <w:t>类</w:t>
            </w:r>
          </w:p>
        </w:tc>
        <w:tc>
          <w:tcPr>
            <w:tcW w:w="809" w:type="pct"/>
            <w:vAlign w:val="center"/>
          </w:tcPr>
          <w:p w14:paraId="332C564F">
            <w:pPr>
              <w:pStyle w:val="28"/>
              <w:bidi w:val="0"/>
            </w:pPr>
            <w:r>
              <w:rPr>
                <w:rFonts w:hint="eastAsia"/>
              </w:rPr>
              <w:t>采用低噪声设备，施工机械远离居民住宅，设置单层移动声屏障</w:t>
            </w:r>
          </w:p>
        </w:tc>
        <w:tc>
          <w:tcPr>
            <w:tcW w:w="208" w:type="pct"/>
            <w:vAlign w:val="center"/>
          </w:tcPr>
          <w:p w14:paraId="35779AA7">
            <w:pPr>
              <w:pStyle w:val="28"/>
              <w:bidi w:val="0"/>
            </w:pPr>
            <w:r>
              <w:t>53.8</w:t>
            </w:r>
          </w:p>
        </w:tc>
        <w:tc>
          <w:tcPr>
            <w:tcW w:w="211" w:type="pct"/>
            <w:vAlign w:val="center"/>
          </w:tcPr>
          <w:p w14:paraId="30640DDA">
            <w:pPr>
              <w:pStyle w:val="28"/>
              <w:bidi w:val="0"/>
            </w:pPr>
            <w:r>
              <w:t>41.8</w:t>
            </w:r>
          </w:p>
        </w:tc>
        <w:tc>
          <w:tcPr>
            <w:tcW w:w="208" w:type="pct"/>
            <w:vAlign w:val="center"/>
          </w:tcPr>
          <w:p w14:paraId="6AD90262">
            <w:pPr>
              <w:pStyle w:val="28"/>
              <w:bidi w:val="0"/>
            </w:pPr>
            <w:r>
              <w:t>55</w:t>
            </w:r>
          </w:p>
        </w:tc>
        <w:tc>
          <w:tcPr>
            <w:tcW w:w="211" w:type="pct"/>
            <w:vAlign w:val="center"/>
          </w:tcPr>
          <w:p w14:paraId="1E1F00FE">
            <w:pPr>
              <w:pStyle w:val="28"/>
              <w:bidi w:val="0"/>
            </w:pPr>
            <w:r>
              <w:t>45</w:t>
            </w:r>
          </w:p>
        </w:tc>
        <w:tc>
          <w:tcPr>
            <w:tcW w:w="276" w:type="pct"/>
            <w:vAlign w:val="center"/>
          </w:tcPr>
          <w:p w14:paraId="48FD07F1">
            <w:pPr>
              <w:pStyle w:val="28"/>
              <w:bidi w:val="0"/>
            </w:pPr>
            <w:r>
              <w:t>60.3</w:t>
            </w:r>
          </w:p>
        </w:tc>
        <w:tc>
          <w:tcPr>
            <w:tcW w:w="257" w:type="pct"/>
            <w:vAlign w:val="center"/>
          </w:tcPr>
          <w:p w14:paraId="33EC96D4">
            <w:pPr>
              <w:pStyle w:val="28"/>
              <w:bidi w:val="0"/>
            </w:pPr>
            <w:r>
              <w:t>45.3</w:t>
            </w:r>
          </w:p>
        </w:tc>
        <w:tc>
          <w:tcPr>
            <w:tcW w:w="257" w:type="pct"/>
            <w:vAlign w:val="center"/>
          </w:tcPr>
          <w:p w14:paraId="11D807D5">
            <w:pPr>
              <w:pStyle w:val="28"/>
              <w:bidi w:val="0"/>
            </w:pPr>
            <w:r>
              <w:t>54.4</w:t>
            </w:r>
          </w:p>
        </w:tc>
        <w:tc>
          <w:tcPr>
            <w:tcW w:w="257" w:type="pct"/>
            <w:vAlign w:val="center"/>
          </w:tcPr>
          <w:p w14:paraId="01DE654D">
            <w:pPr>
              <w:pStyle w:val="28"/>
              <w:bidi w:val="0"/>
            </w:pPr>
            <w:r>
              <w:t>0.6</w:t>
            </w:r>
          </w:p>
        </w:tc>
        <w:tc>
          <w:tcPr>
            <w:tcW w:w="209" w:type="pct"/>
            <w:vAlign w:val="center"/>
          </w:tcPr>
          <w:p w14:paraId="5165A1C7">
            <w:pPr>
              <w:pStyle w:val="28"/>
              <w:bidi w:val="0"/>
            </w:pPr>
            <w:r>
              <w:t>达标</w:t>
            </w:r>
          </w:p>
        </w:tc>
      </w:tr>
      <w:tr w14:paraId="5C111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4436A32">
            <w:pPr>
              <w:pStyle w:val="28"/>
              <w:bidi w:val="0"/>
            </w:pPr>
            <w:r>
              <w:rPr>
                <w:rFonts w:hint="eastAsia"/>
              </w:rPr>
              <w:t>月牙山村</w:t>
            </w:r>
          </w:p>
        </w:tc>
        <w:tc>
          <w:tcPr>
            <w:tcW w:w="511" w:type="pct"/>
            <w:vAlign w:val="center"/>
          </w:tcPr>
          <w:p w14:paraId="4BB5E0A1">
            <w:pPr>
              <w:pStyle w:val="28"/>
              <w:bidi w:val="0"/>
            </w:pPr>
            <w:r>
              <w:rPr>
                <w:rFonts w:hint="eastAsia"/>
              </w:rPr>
              <w:t>朱老庄放水涵拆建</w:t>
            </w:r>
          </w:p>
        </w:tc>
        <w:tc>
          <w:tcPr>
            <w:tcW w:w="366" w:type="pct"/>
            <w:vAlign w:val="center"/>
          </w:tcPr>
          <w:p w14:paraId="14729099">
            <w:pPr>
              <w:pStyle w:val="28"/>
              <w:bidi w:val="0"/>
            </w:pPr>
            <w:r>
              <w:t>19</w:t>
            </w:r>
          </w:p>
        </w:tc>
        <w:tc>
          <w:tcPr>
            <w:tcW w:w="268" w:type="pct"/>
            <w:vAlign w:val="center"/>
          </w:tcPr>
          <w:p w14:paraId="030C3626">
            <w:pPr>
              <w:pStyle w:val="28"/>
              <w:bidi w:val="0"/>
            </w:pPr>
            <w:r>
              <w:rPr>
                <w:rFonts w:hint="eastAsia"/>
              </w:rPr>
              <w:t>左岸</w:t>
            </w:r>
          </w:p>
        </w:tc>
        <w:tc>
          <w:tcPr>
            <w:tcW w:w="262" w:type="pct"/>
            <w:vAlign w:val="center"/>
          </w:tcPr>
          <w:p w14:paraId="749C0CB8">
            <w:pPr>
              <w:pStyle w:val="28"/>
              <w:bidi w:val="0"/>
            </w:pPr>
            <w:r>
              <w:t>1</w:t>
            </w:r>
            <w:r>
              <w:rPr>
                <w:rFonts w:hint="eastAsia"/>
              </w:rPr>
              <w:t>类</w:t>
            </w:r>
          </w:p>
        </w:tc>
        <w:tc>
          <w:tcPr>
            <w:tcW w:w="809" w:type="pct"/>
            <w:vAlign w:val="center"/>
          </w:tcPr>
          <w:p w14:paraId="0389457B">
            <w:pPr>
              <w:pStyle w:val="28"/>
              <w:bidi w:val="0"/>
            </w:pPr>
            <w:r>
              <w:rPr>
                <w:rFonts w:hint="eastAsia"/>
              </w:rPr>
              <w:t>采用低噪声设备，施工机械远离居民住宅，设置双层移动声屏障</w:t>
            </w:r>
          </w:p>
        </w:tc>
        <w:tc>
          <w:tcPr>
            <w:tcW w:w="208" w:type="pct"/>
            <w:vAlign w:val="center"/>
          </w:tcPr>
          <w:p w14:paraId="5A2A8B4C">
            <w:pPr>
              <w:pStyle w:val="28"/>
              <w:bidi w:val="0"/>
            </w:pPr>
            <w:r>
              <w:t>53.3</w:t>
            </w:r>
          </w:p>
        </w:tc>
        <w:tc>
          <w:tcPr>
            <w:tcW w:w="211" w:type="pct"/>
            <w:vAlign w:val="center"/>
          </w:tcPr>
          <w:p w14:paraId="4057C113">
            <w:pPr>
              <w:pStyle w:val="28"/>
              <w:bidi w:val="0"/>
            </w:pPr>
            <w:r>
              <w:t>42.5</w:t>
            </w:r>
          </w:p>
        </w:tc>
        <w:tc>
          <w:tcPr>
            <w:tcW w:w="208" w:type="pct"/>
            <w:vAlign w:val="center"/>
          </w:tcPr>
          <w:p w14:paraId="2997EC8C">
            <w:pPr>
              <w:pStyle w:val="28"/>
              <w:bidi w:val="0"/>
            </w:pPr>
            <w:r>
              <w:t>55</w:t>
            </w:r>
          </w:p>
        </w:tc>
        <w:tc>
          <w:tcPr>
            <w:tcW w:w="211" w:type="pct"/>
            <w:vAlign w:val="center"/>
          </w:tcPr>
          <w:p w14:paraId="35288D86">
            <w:pPr>
              <w:pStyle w:val="28"/>
              <w:bidi w:val="0"/>
            </w:pPr>
            <w:r>
              <w:t>45</w:t>
            </w:r>
          </w:p>
        </w:tc>
        <w:tc>
          <w:tcPr>
            <w:tcW w:w="276" w:type="pct"/>
            <w:vAlign w:val="center"/>
          </w:tcPr>
          <w:p w14:paraId="37F0D638">
            <w:pPr>
              <w:pStyle w:val="28"/>
              <w:bidi w:val="0"/>
            </w:pPr>
            <w:r>
              <w:t>67.6</w:t>
            </w:r>
          </w:p>
        </w:tc>
        <w:tc>
          <w:tcPr>
            <w:tcW w:w="257" w:type="pct"/>
            <w:vAlign w:val="center"/>
          </w:tcPr>
          <w:p w14:paraId="10EC9FE5">
            <w:pPr>
              <w:pStyle w:val="28"/>
              <w:bidi w:val="0"/>
            </w:pPr>
            <w:r>
              <w:t>47.6</w:t>
            </w:r>
          </w:p>
        </w:tc>
        <w:tc>
          <w:tcPr>
            <w:tcW w:w="257" w:type="pct"/>
            <w:vAlign w:val="center"/>
          </w:tcPr>
          <w:p w14:paraId="34855568">
            <w:pPr>
              <w:pStyle w:val="28"/>
              <w:bidi w:val="0"/>
            </w:pPr>
            <w:r>
              <w:t>54.3</w:t>
            </w:r>
          </w:p>
        </w:tc>
        <w:tc>
          <w:tcPr>
            <w:tcW w:w="257" w:type="pct"/>
            <w:vAlign w:val="center"/>
          </w:tcPr>
          <w:p w14:paraId="6D20A3AA">
            <w:pPr>
              <w:pStyle w:val="28"/>
              <w:bidi w:val="0"/>
            </w:pPr>
            <w:r>
              <w:t>1.0</w:t>
            </w:r>
          </w:p>
        </w:tc>
        <w:tc>
          <w:tcPr>
            <w:tcW w:w="209" w:type="pct"/>
            <w:vAlign w:val="center"/>
          </w:tcPr>
          <w:p w14:paraId="6E352AA9">
            <w:pPr>
              <w:pStyle w:val="28"/>
              <w:bidi w:val="0"/>
            </w:pPr>
            <w:r>
              <w:t>达标</w:t>
            </w:r>
          </w:p>
        </w:tc>
      </w:tr>
      <w:tr w14:paraId="1A60732F">
        <w:tblPrEx>
          <w:tblCellMar>
            <w:top w:w="0" w:type="dxa"/>
            <w:left w:w="108" w:type="dxa"/>
            <w:bottom w:w="0" w:type="dxa"/>
            <w:right w:w="108" w:type="dxa"/>
          </w:tblCellMar>
        </w:tblPrEx>
        <w:trPr>
          <w:trHeight w:val="340" w:hRule="atLeast"/>
          <w:jc w:val="center"/>
        </w:trPr>
        <w:tc>
          <w:tcPr>
            <w:tcW w:w="685" w:type="pct"/>
            <w:vAlign w:val="center"/>
          </w:tcPr>
          <w:p w14:paraId="531A4E0C">
            <w:pPr>
              <w:pStyle w:val="28"/>
              <w:bidi w:val="0"/>
            </w:pPr>
            <w:r>
              <w:rPr>
                <w:rFonts w:hint="eastAsia"/>
              </w:rPr>
              <w:t>胡家庄</w:t>
            </w:r>
          </w:p>
        </w:tc>
        <w:tc>
          <w:tcPr>
            <w:tcW w:w="511" w:type="pct"/>
            <w:vAlign w:val="center"/>
          </w:tcPr>
          <w:p w14:paraId="621B9A8E">
            <w:pPr>
              <w:pStyle w:val="28"/>
              <w:bidi w:val="0"/>
            </w:pPr>
            <w:r>
              <w:rPr>
                <w:rFonts w:hint="eastAsia"/>
              </w:rPr>
              <w:t>胡小庄放水涵拆建</w:t>
            </w:r>
          </w:p>
        </w:tc>
        <w:tc>
          <w:tcPr>
            <w:tcW w:w="366" w:type="pct"/>
            <w:vAlign w:val="center"/>
          </w:tcPr>
          <w:p w14:paraId="4428538D">
            <w:pPr>
              <w:pStyle w:val="28"/>
              <w:bidi w:val="0"/>
            </w:pPr>
            <w:r>
              <w:t>63</w:t>
            </w:r>
          </w:p>
        </w:tc>
        <w:tc>
          <w:tcPr>
            <w:tcW w:w="268" w:type="pct"/>
            <w:vAlign w:val="center"/>
          </w:tcPr>
          <w:p w14:paraId="11F53DCD">
            <w:pPr>
              <w:pStyle w:val="28"/>
              <w:bidi w:val="0"/>
            </w:pPr>
            <w:r>
              <w:rPr>
                <w:rFonts w:hint="eastAsia"/>
              </w:rPr>
              <w:t>左岸</w:t>
            </w:r>
          </w:p>
        </w:tc>
        <w:tc>
          <w:tcPr>
            <w:tcW w:w="262" w:type="pct"/>
            <w:vAlign w:val="center"/>
          </w:tcPr>
          <w:p w14:paraId="4537C83E">
            <w:pPr>
              <w:pStyle w:val="28"/>
              <w:bidi w:val="0"/>
            </w:pPr>
            <w:r>
              <w:t>1</w:t>
            </w:r>
            <w:r>
              <w:rPr>
                <w:rFonts w:hint="eastAsia"/>
              </w:rPr>
              <w:t>类</w:t>
            </w:r>
          </w:p>
        </w:tc>
        <w:tc>
          <w:tcPr>
            <w:tcW w:w="809" w:type="pct"/>
            <w:vMerge w:val="restart"/>
            <w:vAlign w:val="center"/>
          </w:tcPr>
          <w:p w14:paraId="1FDF7CD2">
            <w:pPr>
              <w:pStyle w:val="28"/>
              <w:bidi w:val="0"/>
            </w:pPr>
            <w:r>
              <w:rPr>
                <w:rFonts w:hint="eastAsia"/>
              </w:rPr>
              <w:t>采用低噪声设备，施工机械远离居民住宅</w:t>
            </w:r>
          </w:p>
        </w:tc>
        <w:tc>
          <w:tcPr>
            <w:tcW w:w="208" w:type="pct"/>
            <w:vAlign w:val="center"/>
          </w:tcPr>
          <w:p w14:paraId="6CF2282C">
            <w:pPr>
              <w:pStyle w:val="28"/>
              <w:bidi w:val="0"/>
            </w:pPr>
            <w:r>
              <w:t>52.6</w:t>
            </w:r>
          </w:p>
        </w:tc>
        <w:tc>
          <w:tcPr>
            <w:tcW w:w="211" w:type="pct"/>
            <w:vAlign w:val="center"/>
          </w:tcPr>
          <w:p w14:paraId="652C1271">
            <w:pPr>
              <w:pStyle w:val="28"/>
              <w:bidi w:val="0"/>
            </w:pPr>
            <w:r>
              <w:t>42</w:t>
            </w:r>
          </w:p>
        </w:tc>
        <w:tc>
          <w:tcPr>
            <w:tcW w:w="208" w:type="pct"/>
            <w:vAlign w:val="center"/>
          </w:tcPr>
          <w:p w14:paraId="47D6E2EB">
            <w:pPr>
              <w:pStyle w:val="28"/>
              <w:bidi w:val="0"/>
            </w:pPr>
            <w:r>
              <w:t>55</w:t>
            </w:r>
          </w:p>
        </w:tc>
        <w:tc>
          <w:tcPr>
            <w:tcW w:w="211" w:type="pct"/>
            <w:vAlign w:val="center"/>
          </w:tcPr>
          <w:p w14:paraId="35B409D7">
            <w:pPr>
              <w:pStyle w:val="28"/>
              <w:bidi w:val="0"/>
            </w:pPr>
            <w:r>
              <w:t>45</w:t>
            </w:r>
          </w:p>
        </w:tc>
        <w:tc>
          <w:tcPr>
            <w:tcW w:w="276" w:type="pct"/>
            <w:vAlign w:val="center"/>
          </w:tcPr>
          <w:p w14:paraId="3C608102">
            <w:pPr>
              <w:pStyle w:val="28"/>
              <w:bidi w:val="0"/>
            </w:pPr>
            <w:r>
              <w:t>57.2</w:t>
            </w:r>
          </w:p>
        </w:tc>
        <w:tc>
          <w:tcPr>
            <w:tcW w:w="257" w:type="pct"/>
            <w:vAlign w:val="center"/>
          </w:tcPr>
          <w:p w14:paraId="45761619">
            <w:pPr>
              <w:pStyle w:val="28"/>
              <w:bidi w:val="0"/>
            </w:pPr>
            <w:r>
              <w:t>49.2</w:t>
            </w:r>
          </w:p>
        </w:tc>
        <w:tc>
          <w:tcPr>
            <w:tcW w:w="257" w:type="pct"/>
            <w:vAlign w:val="center"/>
          </w:tcPr>
          <w:p w14:paraId="3CD26484">
            <w:pPr>
              <w:pStyle w:val="28"/>
              <w:bidi w:val="0"/>
            </w:pPr>
            <w:r>
              <w:t>54.2</w:t>
            </w:r>
          </w:p>
        </w:tc>
        <w:tc>
          <w:tcPr>
            <w:tcW w:w="257" w:type="pct"/>
            <w:vAlign w:val="center"/>
          </w:tcPr>
          <w:p w14:paraId="3AB0CD5E">
            <w:pPr>
              <w:pStyle w:val="28"/>
              <w:bidi w:val="0"/>
            </w:pPr>
            <w:r>
              <w:t>1.6</w:t>
            </w:r>
          </w:p>
        </w:tc>
        <w:tc>
          <w:tcPr>
            <w:tcW w:w="209" w:type="pct"/>
            <w:vAlign w:val="center"/>
          </w:tcPr>
          <w:p w14:paraId="7B4CAFAE">
            <w:pPr>
              <w:pStyle w:val="28"/>
              <w:bidi w:val="0"/>
            </w:pPr>
            <w:r>
              <w:t>达标</w:t>
            </w:r>
          </w:p>
        </w:tc>
      </w:tr>
      <w:tr w14:paraId="48A28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00F10D7">
            <w:pPr>
              <w:pStyle w:val="28"/>
              <w:bidi w:val="0"/>
            </w:pPr>
            <w:r>
              <w:rPr>
                <w:rFonts w:hint="eastAsia"/>
              </w:rPr>
              <w:t>胡家庄</w:t>
            </w:r>
          </w:p>
        </w:tc>
        <w:tc>
          <w:tcPr>
            <w:tcW w:w="511" w:type="pct"/>
            <w:vAlign w:val="center"/>
          </w:tcPr>
          <w:p w14:paraId="43E0B7A8">
            <w:pPr>
              <w:pStyle w:val="28"/>
              <w:bidi w:val="0"/>
            </w:pPr>
            <w:r>
              <w:rPr>
                <w:rFonts w:hint="eastAsia"/>
              </w:rPr>
              <w:t>胡小庄放水涵拆建</w:t>
            </w:r>
          </w:p>
        </w:tc>
        <w:tc>
          <w:tcPr>
            <w:tcW w:w="366" w:type="pct"/>
            <w:vAlign w:val="center"/>
          </w:tcPr>
          <w:p w14:paraId="78EA3A09">
            <w:pPr>
              <w:pStyle w:val="28"/>
              <w:bidi w:val="0"/>
            </w:pPr>
            <w:r>
              <w:t>62</w:t>
            </w:r>
          </w:p>
        </w:tc>
        <w:tc>
          <w:tcPr>
            <w:tcW w:w="268" w:type="pct"/>
            <w:vAlign w:val="center"/>
          </w:tcPr>
          <w:p w14:paraId="01949EB1">
            <w:pPr>
              <w:pStyle w:val="28"/>
              <w:bidi w:val="0"/>
            </w:pPr>
            <w:r>
              <w:rPr>
                <w:rFonts w:hint="eastAsia"/>
              </w:rPr>
              <w:t>右岸</w:t>
            </w:r>
          </w:p>
        </w:tc>
        <w:tc>
          <w:tcPr>
            <w:tcW w:w="262" w:type="pct"/>
            <w:vAlign w:val="center"/>
          </w:tcPr>
          <w:p w14:paraId="79027444">
            <w:pPr>
              <w:pStyle w:val="28"/>
              <w:bidi w:val="0"/>
            </w:pPr>
            <w:r>
              <w:t>1</w:t>
            </w:r>
            <w:r>
              <w:rPr>
                <w:rFonts w:hint="eastAsia"/>
              </w:rPr>
              <w:t>类</w:t>
            </w:r>
          </w:p>
        </w:tc>
        <w:tc>
          <w:tcPr>
            <w:tcW w:w="809" w:type="pct"/>
            <w:vMerge w:val="continue"/>
            <w:vAlign w:val="center"/>
          </w:tcPr>
          <w:p w14:paraId="50C13FE9">
            <w:pPr>
              <w:pStyle w:val="28"/>
              <w:bidi w:val="0"/>
            </w:pPr>
          </w:p>
        </w:tc>
        <w:tc>
          <w:tcPr>
            <w:tcW w:w="208" w:type="pct"/>
            <w:vAlign w:val="center"/>
          </w:tcPr>
          <w:p w14:paraId="1044A489">
            <w:pPr>
              <w:pStyle w:val="28"/>
              <w:bidi w:val="0"/>
            </w:pPr>
            <w:r>
              <w:t>53.5</w:t>
            </w:r>
          </w:p>
        </w:tc>
        <w:tc>
          <w:tcPr>
            <w:tcW w:w="211" w:type="pct"/>
            <w:vAlign w:val="center"/>
          </w:tcPr>
          <w:p w14:paraId="127181DE">
            <w:pPr>
              <w:pStyle w:val="28"/>
              <w:bidi w:val="0"/>
            </w:pPr>
            <w:r>
              <w:t>42.7</w:t>
            </w:r>
          </w:p>
        </w:tc>
        <w:tc>
          <w:tcPr>
            <w:tcW w:w="208" w:type="pct"/>
            <w:vAlign w:val="center"/>
          </w:tcPr>
          <w:p w14:paraId="53B5672F">
            <w:pPr>
              <w:pStyle w:val="28"/>
              <w:bidi w:val="0"/>
            </w:pPr>
            <w:r>
              <w:t>55</w:t>
            </w:r>
          </w:p>
        </w:tc>
        <w:tc>
          <w:tcPr>
            <w:tcW w:w="211" w:type="pct"/>
            <w:vAlign w:val="center"/>
          </w:tcPr>
          <w:p w14:paraId="77508118">
            <w:pPr>
              <w:pStyle w:val="28"/>
              <w:bidi w:val="0"/>
            </w:pPr>
            <w:r>
              <w:t>45</w:t>
            </w:r>
          </w:p>
        </w:tc>
        <w:tc>
          <w:tcPr>
            <w:tcW w:w="276" w:type="pct"/>
            <w:vAlign w:val="center"/>
          </w:tcPr>
          <w:p w14:paraId="32B099D6">
            <w:pPr>
              <w:pStyle w:val="28"/>
              <w:bidi w:val="0"/>
            </w:pPr>
            <w:r>
              <w:t>57.4</w:t>
            </w:r>
          </w:p>
        </w:tc>
        <w:tc>
          <w:tcPr>
            <w:tcW w:w="257" w:type="pct"/>
            <w:vAlign w:val="center"/>
          </w:tcPr>
          <w:p w14:paraId="6BF130D8">
            <w:pPr>
              <w:pStyle w:val="28"/>
              <w:bidi w:val="0"/>
            </w:pPr>
            <w:r>
              <w:t>49.4</w:t>
            </w:r>
          </w:p>
        </w:tc>
        <w:tc>
          <w:tcPr>
            <w:tcW w:w="257" w:type="pct"/>
            <w:vAlign w:val="center"/>
          </w:tcPr>
          <w:p w14:paraId="13C29FA4">
            <w:pPr>
              <w:pStyle w:val="28"/>
              <w:bidi w:val="0"/>
            </w:pPr>
            <w:r>
              <w:t>54.9</w:t>
            </w:r>
          </w:p>
        </w:tc>
        <w:tc>
          <w:tcPr>
            <w:tcW w:w="257" w:type="pct"/>
            <w:vAlign w:val="center"/>
          </w:tcPr>
          <w:p w14:paraId="5EE440AA">
            <w:pPr>
              <w:pStyle w:val="28"/>
              <w:bidi w:val="0"/>
            </w:pPr>
            <w:r>
              <w:t>1.4</w:t>
            </w:r>
          </w:p>
        </w:tc>
        <w:tc>
          <w:tcPr>
            <w:tcW w:w="209" w:type="pct"/>
            <w:vAlign w:val="center"/>
          </w:tcPr>
          <w:p w14:paraId="72F71E97">
            <w:pPr>
              <w:pStyle w:val="28"/>
              <w:bidi w:val="0"/>
            </w:pPr>
            <w:r>
              <w:t>达标</w:t>
            </w:r>
          </w:p>
        </w:tc>
      </w:tr>
      <w:tr w14:paraId="7B1C55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26EA46F">
            <w:pPr>
              <w:pStyle w:val="28"/>
              <w:bidi w:val="0"/>
            </w:pPr>
            <w:r>
              <w:rPr>
                <w:rFonts w:hint="eastAsia"/>
              </w:rPr>
              <w:t>甄大庄</w:t>
            </w:r>
          </w:p>
        </w:tc>
        <w:tc>
          <w:tcPr>
            <w:tcW w:w="511" w:type="pct"/>
            <w:vAlign w:val="center"/>
          </w:tcPr>
          <w:p w14:paraId="09E13961">
            <w:pPr>
              <w:pStyle w:val="28"/>
              <w:bidi w:val="0"/>
            </w:pPr>
            <w:r>
              <w:rPr>
                <w:rFonts w:hint="eastAsia"/>
              </w:rPr>
              <w:t>红冲西放水涵拆建</w:t>
            </w:r>
          </w:p>
        </w:tc>
        <w:tc>
          <w:tcPr>
            <w:tcW w:w="366" w:type="pct"/>
            <w:vAlign w:val="center"/>
          </w:tcPr>
          <w:p w14:paraId="0F5789BF">
            <w:pPr>
              <w:pStyle w:val="28"/>
              <w:bidi w:val="0"/>
            </w:pPr>
            <w:r>
              <w:t>51</w:t>
            </w:r>
          </w:p>
        </w:tc>
        <w:tc>
          <w:tcPr>
            <w:tcW w:w="268" w:type="pct"/>
            <w:vAlign w:val="center"/>
          </w:tcPr>
          <w:p w14:paraId="6259376D">
            <w:pPr>
              <w:pStyle w:val="28"/>
              <w:bidi w:val="0"/>
            </w:pPr>
            <w:r>
              <w:rPr>
                <w:rFonts w:hint="eastAsia"/>
              </w:rPr>
              <w:t>右岸</w:t>
            </w:r>
          </w:p>
        </w:tc>
        <w:tc>
          <w:tcPr>
            <w:tcW w:w="262" w:type="pct"/>
            <w:vAlign w:val="center"/>
          </w:tcPr>
          <w:p w14:paraId="52BABC9C">
            <w:pPr>
              <w:pStyle w:val="28"/>
              <w:bidi w:val="0"/>
            </w:pPr>
            <w:r>
              <w:t>1</w:t>
            </w:r>
            <w:r>
              <w:rPr>
                <w:rFonts w:hint="eastAsia"/>
              </w:rPr>
              <w:t>类</w:t>
            </w:r>
          </w:p>
        </w:tc>
        <w:tc>
          <w:tcPr>
            <w:tcW w:w="809" w:type="pct"/>
            <w:vMerge w:val="continue"/>
            <w:vAlign w:val="center"/>
          </w:tcPr>
          <w:p w14:paraId="265C31C8">
            <w:pPr>
              <w:pStyle w:val="28"/>
              <w:bidi w:val="0"/>
            </w:pPr>
          </w:p>
        </w:tc>
        <w:tc>
          <w:tcPr>
            <w:tcW w:w="208" w:type="pct"/>
            <w:vAlign w:val="center"/>
          </w:tcPr>
          <w:p w14:paraId="7D999F90">
            <w:pPr>
              <w:pStyle w:val="28"/>
              <w:bidi w:val="0"/>
            </w:pPr>
            <w:r>
              <w:t>52.6</w:t>
            </w:r>
          </w:p>
        </w:tc>
        <w:tc>
          <w:tcPr>
            <w:tcW w:w="211" w:type="pct"/>
            <w:vAlign w:val="center"/>
          </w:tcPr>
          <w:p w14:paraId="464B878F">
            <w:pPr>
              <w:pStyle w:val="28"/>
              <w:bidi w:val="0"/>
            </w:pPr>
            <w:r>
              <w:t>42.4</w:t>
            </w:r>
          </w:p>
        </w:tc>
        <w:tc>
          <w:tcPr>
            <w:tcW w:w="208" w:type="pct"/>
            <w:vAlign w:val="center"/>
          </w:tcPr>
          <w:p w14:paraId="2A1D8D7C">
            <w:pPr>
              <w:pStyle w:val="28"/>
              <w:bidi w:val="0"/>
            </w:pPr>
            <w:r>
              <w:t>55</w:t>
            </w:r>
          </w:p>
        </w:tc>
        <w:tc>
          <w:tcPr>
            <w:tcW w:w="211" w:type="pct"/>
            <w:vAlign w:val="center"/>
          </w:tcPr>
          <w:p w14:paraId="312E1969">
            <w:pPr>
              <w:pStyle w:val="28"/>
              <w:bidi w:val="0"/>
            </w:pPr>
            <w:r>
              <w:t>45</w:t>
            </w:r>
          </w:p>
        </w:tc>
        <w:tc>
          <w:tcPr>
            <w:tcW w:w="276" w:type="pct"/>
            <w:vAlign w:val="center"/>
          </w:tcPr>
          <w:p w14:paraId="4A59ECFE">
            <w:pPr>
              <w:pStyle w:val="28"/>
              <w:bidi w:val="0"/>
            </w:pPr>
            <w:r>
              <w:t>59.1</w:t>
            </w:r>
          </w:p>
        </w:tc>
        <w:tc>
          <w:tcPr>
            <w:tcW w:w="257" w:type="pct"/>
            <w:vAlign w:val="center"/>
          </w:tcPr>
          <w:p w14:paraId="131ECB18">
            <w:pPr>
              <w:pStyle w:val="28"/>
              <w:bidi w:val="0"/>
            </w:pPr>
            <w:r>
              <w:t>51.1</w:t>
            </w:r>
          </w:p>
        </w:tc>
        <w:tc>
          <w:tcPr>
            <w:tcW w:w="257" w:type="pct"/>
            <w:vAlign w:val="center"/>
          </w:tcPr>
          <w:p w14:paraId="5BB66309">
            <w:pPr>
              <w:pStyle w:val="28"/>
              <w:bidi w:val="0"/>
            </w:pPr>
            <w:r>
              <w:t>54.9</w:t>
            </w:r>
          </w:p>
        </w:tc>
        <w:tc>
          <w:tcPr>
            <w:tcW w:w="257" w:type="pct"/>
            <w:vAlign w:val="center"/>
          </w:tcPr>
          <w:p w14:paraId="25E43B71">
            <w:pPr>
              <w:pStyle w:val="28"/>
              <w:bidi w:val="0"/>
            </w:pPr>
            <w:r>
              <w:t>2.3</w:t>
            </w:r>
          </w:p>
        </w:tc>
        <w:tc>
          <w:tcPr>
            <w:tcW w:w="209" w:type="pct"/>
            <w:vAlign w:val="center"/>
          </w:tcPr>
          <w:p w14:paraId="127D795B">
            <w:pPr>
              <w:pStyle w:val="28"/>
              <w:bidi w:val="0"/>
            </w:pPr>
            <w:r>
              <w:t>达标</w:t>
            </w:r>
          </w:p>
        </w:tc>
      </w:tr>
      <w:tr w14:paraId="7833B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A5D0737">
            <w:pPr>
              <w:pStyle w:val="28"/>
              <w:bidi w:val="0"/>
            </w:pPr>
            <w:r>
              <w:rPr>
                <w:rFonts w:hint="eastAsia"/>
              </w:rPr>
              <w:t>谢庄</w:t>
            </w:r>
          </w:p>
        </w:tc>
        <w:tc>
          <w:tcPr>
            <w:tcW w:w="511" w:type="pct"/>
            <w:vAlign w:val="center"/>
          </w:tcPr>
          <w:p w14:paraId="1D72A465">
            <w:pPr>
              <w:pStyle w:val="28"/>
              <w:bidi w:val="0"/>
            </w:pPr>
            <w:r>
              <w:rPr>
                <w:rFonts w:hint="eastAsia"/>
              </w:rPr>
              <w:t>黄泥店放水涵拆建</w:t>
            </w:r>
          </w:p>
        </w:tc>
        <w:tc>
          <w:tcPr>
            <w:tcW w:w="366" w:type="pct"/>
            <w:vAlign w:val="center"/>
          </w:tcPr>
          <w:p w14:paraId="55339DE3">
            <w:pPr>
              <w:pStyle w:val="28"/>
              <w:bidi w:val="0"/>
            </w:pPr>
            <w:r>
              <w:t>69</w:t>
            </w:r>
          </w:p>
        </w:tc>
        <w:tc>
          <w:tcPr>
            <w:tcW w:w="268" w:type="pct"/>
            <w:vAlign w:val="center"/>
          </w:tcPr>
          <w:p w14:paraId="3B6C2B85">
            <w:pPr>
              <w:pStyle w:val="28"/>
              <w:bidi w:val="0"/>
            </w:pPr>
            <w:r>
              <w:rPr>
                <w:rFonts w:hint="eastAsia"/>
              </w:rPr>
              <w:t>右岸</w:t>
            </w:r>
          </w:p>
        </w:tc>
        <w:tc>
          <w:tcPr>
            <w:tcW w:w="262" w:type="pct"/>
            <w:vAlign w:val="center"/>
          </w:tcPr>
          <w:p w14:paraId="1B43637B">
            <w:pPr>
              <w:pStyle w:val="28"/>
              <w:bidi w:val="0"/>
            </w:pPr>
            <w:r>
              <w:t>1</w:t>
            </w:r>
            <w:r>
              <w:rPr>
                <w:rFonts w:hint="eastAsia"/>
              </w:rPr>
              <w:t>类</w:t>
            </w:r>
          </w:p>
        </w:tc>
        <w:tc>
          <w:tcPr>
            <w:tcW w:w="809" w:type="pct"/>
            <w:vMerge w:val="continue"/>
            <w:vAlign w:val="center"/>
          </w:tcPr>
          <w:p w14:paraId="2C7F3FFC">
            <w:pPr>
              <w:pStyle w:val="28"/>
              <w:bidi w:val="0"/>
            </w:pPr>
          </w:p>
        </w:tc>
        <w:tc>
          <w:tcPr>
            <w:tcW w:w="208" w:type="pct"/>
            <w:vAlign w:val="center"/>
          </w:tcPr>
          <w:p w14:paraId="7C04F165">
            <w:pPr>
              <w:pStyle w:val="28"/>
              <w:bidi w:val="0"/>
            </w:pPr>
            <w:r>
              <w:t>53.1</w:t>
            </w:r>
          </w:p>
        </w:tc>
        <w:tc>
          <w:tcPr>
            <w:tcW w:w="211" w:type="pct"/>
            <w:vAlign w:val="center"/>
          </w:tcPr>
          <w:p w14:paraId="3D439BA0">
            <w:pPr>
              <w:pStyle w:val="28"/>
              <w:bidi w:val="0"/>
            </w:pPr>
            <w:r>
              <w:t>42.3</w:t>
            </w:r>
          </w:p>
        </w:tc>
        <w:tc>
          <w:tcPr>
            <w:tcW w:w="208" w:type="pct"/>
            <w:vAlign w:val="center"/>
          </w:tcPr>
          <w:p w14:paraId="3F58711B">
            <w:pPr>
              <w:pStyle w:val="28"/>
              <w:bidi w:val="0"/>
            </w:pPr>
            <w:r>
              <w:t>55</w:t>
            </w:r>
          </w:p>
        </w:tc>
        <w:tc>
          <w:tcPr>
            <w:tcW w:w="211" w:type="pct"/>
            <w:vAlign w:val="center"/>
          </w:tcPr>
          <w:p w14:paraId="7F576AC1">
            <w:pPr>
              <w:pStyle w:val="28"/>
              <w:bidi w:val="0"/>
            </w:pPr>
            <w:r>
              <w:t>45</w:t>
            </w:r>
          </w:p>
        </w:tc>
        <w:tc>
          <w:tcPr>
            <w:tcW w:w="276" w:type="pct"/>
            <w:vAlign w:val="center"/>
          </w:tcPr>
          <w:p w14:paraId="23225B17">
            <w:pPr>
              <w:pStyle w:val="28"/>
              <w:bidi w:val="0"/>
            </w:pPr>
            <w:r>
              <w:t>56.4</w:t>
            </w:r>
          </w:p>
        </w:tc>
        <w:tc>
          <w:tcPr>
            <w:tcW w:w="257" w:type="pct"/>
            <w:vAlign w:val="center"/>
          </w:tcPr>
          <w:p w14:paraId="3893B64B">
            <w:pPr>
              <w:pStyle w:val="28"/>
              <w:bidi w:val="0"/>
            </w:pPr>
            <w:r>
              <w:t>48.4</w:t>
            </w:r>
          </w:p>
        </w:tc>
        <w:tc>
          <w:tcPr>
            <w:tcW w:w="257" w:type="pct"/>
            <w:vAlign w:val="center"/>
          </w:tcPr>
          <w:p w14:paraId="3FF5345F">
            <w:pPr>
              <w:pStyle w:val="28"/>
              <w:bidi w:val="0"/>
            </w:pPr>
            <w:r>
              <w:t>54.4</w:t>
            </w:r>
          </w:p>
        </w:tc>
        <w:tc>
          <w:tcPr>
            <w:tcW w:w="257" w:type="pct"/>
            <w:vAlign w:val="center"/>
          </w:tcPr>
          <w:p w14:paraId="34A79A2B">
            <w:pPr>
              <w:pStyle w:val="28"/>
              <w:bidi w:val="0"/>
            </w:pPr>
            <w:r>
              <w:t>1.3</w:t>
            </w:r>
          </w:p>
        </w:tc>
        <w:tc>
          <w:tcPr>
            <w:tcW w:w="209" w:type="pct"/>
            <w:vAlign w:val="center"/>
          </w:tcPr>
          <w:p w14:paraId="4C3CE79B">
            <w:pPr>
              <w:pStyle w:val="28"/>
              <w:bidi w:val="0"/>
            </w:pPr>
            <w:r>
              <w:t>达标</w:t>
            </w:r>
          </w:p>
        </w:tc>
      </w:tr>
      <w:tr w14:paraId="04D91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F3F6E6F">
            <w:pPr>
              <w:pStyle w:val="28"/>
              <w:bidi w:val="0"/>
            </w:pPr>
            <w:r>
              <w:rPr>
                <w:rFonts w:hint="eastAsia"/>
              </w:rPr>
              <w:t>王家庄</w:t>
            </w:r>
          </w:p>
        </w:tc>
        <w:tc>
          <w:tcPr>
            <w:tcW w:w="511" w:type="pct"/>
            <w:vAlign w:val="center"/>
          </w:tcPr>
          <w:p w14:paraId="4359A18A">
            <w:pPr>
              <w:pStyle w:val="28"/>
              <w:bidi w:val="0"/>
            </w:pPr>
            <w:r>
              <w:rPr>
                <w:rFonts w:hint="eastAsia"/>
              </w:rPr>
              <w:t>红冲东放水涵拆建</w:t>
            </w:r>
          </w:p>
        </w:tc>
        <w:tc>
          <w:tcPr>
            <w:tcW w:w="366" w:type="pct"/>
            <w:vAlign w:val="center"/>
          </w:tcPr>
          <w:p w14:paraId="2DAB0DCA">
            <w:pPr>
              <w:pStyle w:val="28"/>
              <w:bidi w:val="0"/>
            </w:pPr>
            <w:r>
              <w:t>53</w:t>
            </w:r>
          </w:p>
        </w:tc>
        <w:tc>
          <w:tcPr>
            <w:tcW w:w="268" w:type="pct"/>
            <w:vAlign w:val="center"/>
          </w:tcPr>
          <w:p w14:paraId="374CBD19">
            <w:pPr>
              <w:pStyle w:val="28"/>
              <w:bidi w:val="0"/>
            </w:pPr>
            <w:r>
              <w:rPr>
                <w:rFonts w:hint="eastAsia"/>
              </w:rPr>
              <w:t>左岸</w:t>
            </w:r>
          </w:p>
        </w:tc>
        <w:tc>
          <w:tcPr>
            <w:tcW w:w="262" w:type="pct"/>
            <w:vAlign w:val="center"/>
          </w:tcPr>
          <w:p w14:paraId="0F005FB8">
            <w:pPr>
              <w:pStyle w:val="28"/>
              <w:bidi w:val="0"/>
            </w:pPr>
            <w:r>
              <w:t>1</w:t>
            </w:r>
            <w:r>
              <w:rPr>
                <w:rFonts w:hint="eastAsia"/>
              </w:rPr>
              <w:t>类</w:t>
            </w:r>
          </w:p>
        </w:tc>
        <w:tc>
          <w:tcPr>
            <w:tcW w:w="809" w:type="pct"/>
            <w:vMerge w:val="continue"/>
            <w:vAlign w:val="center"/>
          </w:tcPr>
          <w:p w14:paraId="241748F3">
            <w:pPr>
              <w:pStyle w:val="28"/>
              <w:bidi w:val="0"/>
            </w:pPr>
          </w:p>
        </w:tc>
        <w:tc>
          <w:tcPr>
            <w:tcW w:w="208" w:type="pct"/>
            <w:vAlign w:val="center"/>
          </w:tcPr>
          <w:p w14:paraId="4827EAB8">
            <w:pPr>
              <w:pStyle w:val="28"/>
              <w:bidi w:val="0"/>
            </w:pPr>
            <w:r>
              <w:t>52.5</w:t>
            </w:r>
          </w:p>
        </w:tc>
        <w:tc>
          <w:tcPr>
            <w:tcW w:w="211" w:type="pct"/>
            <w:vAlign w:val="center"/>
          </w:tcPr>
          <w:p w14:paraId="6EEC8E82">
            <w:pPr>
              <w:pStyle w:val="28"/>
              <w:bidi w:val="0"/>
            </w:pPr>
            <w:r>
              <w:t>42.2</w:t>
            </w:r>
          </w:p>
        </w:tc>
        <w:tc>
          <w:tcPr>
            <w:tcW w:w="208" w:type="pct"/>
            <w:vAlign w:val="center"/>
          </w:tcPr>
          <w:p w14:paraId="7451A11E">
            <w:pPr>
              <w:pStyle w:val="28"/>
              <w:bidi w:val="0"/>
            </w:pPr>
            <w:r>
              <w:t>55</w:t>
            </w:r>
          </w:p>
        </w:tc>
        <w:tc>
          <w:tcPr>
            <w:tcW w:w="211" w:type="pct"/>
            <w:vAlign w:val="center"/>
          </w:tcPr>
          <w:p w14:paraId="558234EA">
            <w:pPr>
              <w:pStyle w:val="28"/>
              <w:bidi w:val="0"/>
            </w:pPr>
            <w:r>
              <w:t>45</w:t>
            </w:r>
          </w:p>
        </w:tc>
        <w:tc>
          <w:tcPr>
            <w:tcW w:w="276" w:type="pct"/>
            <w:vAlign w:val="center"/>
          </w:tcPr>
          <w:p w14:paraId="17BF45A2">
            <w:pPr>
              <w:pStyle w:val="28"/>
              <w:bidi w:val="0"/>
            </w:pPr>
            <w:r>
              <w:t>58.7</w:t>
            </w:r>
          </w:p>
        </w:tc>
        <w:tc>
          <w:tcPr>
            <w:tcW w:w="257" w:type="pct"/>
            <w:vAlign w:val="center"/>
          </w:tcPr>
          <w:p w14:paraId="58B94991">
            <w:pPr>
              <w:pStyle w:val="28"/>
              <w:bidi w:val="0"/>
            </w:pPr>
            <w:r>
              <w:t>50.7</w:t>
            </w:r>
          </w:p>
        </w:tc>
        <w:tc>
          <w:tcPr>
            <w:tcW w:w="257" w:type="pct"/>
            <w:vAlign w:val="center"/>
          </w:tcPr>
          <w:p w14:paraId="09AD8AE8">
            <w:pPr>
              <w:pStyle w:val="28"/>
              <w:bidi w:val="0"/>
            </w:pPr>
            <w:r>
              <w:t>54.7</w:t>
            </w:r>
          </w:p>
        </w:tc>
        <w:tc>
          <w:tcPr>
            <w:tcW w:w="257" w:type="pct"/>
            <w:vAlign w:val="center"/>
          </w:tcPr>
          <w:p w14:paraId="67D0DFD6">
            <w:pPr>
              <w:pStyle w:val="28"/>
              <w:bidi w:val="0"/>
            </w:pPr>
            <w:r>
              <w:t>2.2</w:t>
            </w:r>
          </w:p>
        </w:tc>
        <w:tc>
          <w:tcPr>
            <w:tcW w:w="209" w:type="pct"/>
            <w:vAlign w:val="center"/>
          </w:tcPr>
          <w:p w14:paraId="077248AE">
            <w:pPr>
              <w:pStyle w:val="28"/>
              <w:bidi w:val="0"/>
            </w:pPr>
            <w:r>
              <w:t>达标</w:t>
            </w:r>
          </w:p>
        </w:tc>
      </w:tr>
      <w:tr w14:paraId="334E8A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D30DFE2">
            <w:pPr>
              <w:pStyle w:val="28"/>
              <w:bidi w:val="0"/>
            </w:pPr>
            <w:r>
              <w:rPr>
                <w:rFonts w:hint="eastAsia"/>
              </w:rPr>
              <w:t>杨家榜</w:t>
            </w:r>
          </w:p>
        </w:tc>
        <w:tc>
          <w:tcPr>
            <w:tcW w:w="511" w:type="pct"/>
            <w:vAlign w:val="center"/>
          </w:tcPr>
          <w:p w14:paraId="4E64A266">
            <w:pPr>
              <w:pStyle w:val="28"/>
              <w:bidi w:val="0"/>
            </w:pPr>
            <w:r>
              <w:rPr>
                <w:rFonts w:hint="eastAsia"/>
              </w:rPr>
              <w:t>高稻场放水涵拆建</w:t>
            </w:r>
          </w:p>
        </w:tc>
        <w:tc>
          <w:tcPr>
            <w:tcW w:w="366" w:type="pct"/>
            <w:vAlign w:val="center"/>
          </w:tcPr>
          <w:p w14:paraId="61C0DA3F">
            <w:pPr>
              <w:pStyle w:val="28"/>
              <w:bidi w:val="0"/>
            </w:pPr>
            <w:r>
              <w:t>96</w:t>
            </w:r>
          </w:p>
        </w:tc>
        <w:tc>
          <w:tcPr>
            <w:tcW w:w="268" w:type="pct"/>
            <w:vAlign w:val="center"/>
          </w:tcPr>
          <w:p w14:paraId="3BB7F01A">
            <w:pPr>
              <w:pStyle w:val="28"/>
              <w:bidi w:val="0"/>
            </w:pPr>
            <w:r>
              <w:rPr>
                <w:rFonts w:hint="eastAsia"/>
              </w:rPr>
              <w:t>左岸</w:t>
            </w:r>
          </w:p>
        </w:tc>
        <w:tc>
          <w:tcPr>
            <w:tcW w:w="262" w:type="pct"/>
            <w:vAlign w:val="center"/>
          </w:tcPr>
          <w:p w14:paraId="09828E1F">
            <w:pPr>
              <w:pStyle w:val="28"/>
              <w:bidi w:val="0"/>
            </w:pPr>
            <w:r>
              <w:t>1</w:t>
            </w:r>
            <w:r>
              <w:rPr>
                <w:rFonts w:hint="eastAsia"/>
              </w:rPr>
              <w:t>类</w:t>
            </w:r>
          </w:p>
        </w:tc>
        <w:tc>
          <w:tcPr>
            <w:tcW w:w="809" w:type="pct"/>
            <w:vMerge w:val="continue"/>
            <w:vAlign w:val="center"/>
          </w:tcPr>
          <w:p w14:paraId="419F64E0">
            <w:pPr>
              <w:pStyle w:val="28"/>
              <w:bidi w:val="0"/>
            </w:pPr>
          </w:p>
        </w:tc>
        <w:tc>
          <w:tcPr>
            <w:tcW w:w="208" w:type="pct"/>
            <w:vAlign w:val="center"/>
          </w:tcPr>
          <w:p w14:paraId="12B40DE4">
            <w:pPr>
              <w:pStyle w:val="28"/>
              <w:bidi w:val="0"/>
            </w:pPr>
            <w:r>
              <w:t>53.2</w:t>
            </w:r>
          </w:p>
        </w:tc>
        <w:tc>
          <w:tcPr>
            <w:tcW w:w="211" w:type="pct"/>
            <w:vAlign w:val="center"/>
          </w:tcPr>
          <w:p w14:paraId="4ADF08DF">
            <w:pPr>
              <w:pStyle w:val="28"/>
              <w:bidi w:val="0"/>
            </w:pPr>
            <w:r>
              <w:t>42.2</w:t>
            </w:r>
          </w:p>
        </w:tc>
        <w:tc>
          <w:tcPr>
            <w:tcW w:w="208" w:type="pct"/>
            <w:vAlign w:val="center"/>
          </w:tcPr>
          <w:p w14:paraId="3EEC806A">
            <w:pPr>
              <w:pStyle w:val="28"/>
              <w:bidi w:val="0"/>
            </w:pPr>
            <w:r>
              <w:t>55</w:t>
            </w:r>
          </w:p>
        </w:tc>
        <w:tc>
          <w:tcPr>
            <w:tcW w:w="211" w:type="pct"/>
            <w:vAlign w:val="center"/>
          </w:tcPr>
          <w:p w14:paraId="2025FE3A">
            <w:pPr>
              <w:pStyle w:val="28"/>
              <w:bidi w:val="0"/>
            </w:pPr>
            <w:r>
              <w:t>45</w:t>
            </w:r>
          </w:p>
        </w:tc>
        <w:tc>
          <w:tcPr>
            <w:tcW w:w="276" w:type="pct"/>
            <w:vAlign w:val="center"/>
          </w:tcPr>
          <w:p w14:paraId="2096D278">
            <w:pPr>
              <w:pStyle w:val="28"/>
              <w:bidi w:val="0"/>
            </w:pPr>
            <w:r>
              <w:t>53.6</w:t>
            </w:r>
          </w:p>
        </w:tc>
        <w:tc>
          <w:tcPr>
            <w:tcW w:w="257" w:type="pct"/>
            <w:vAlign w:val="center"/>
          </w:tcPr>
          <w:p w14:paraId="0027F32C">
            <w:pPr>
              <w:pStyle w:val="28"/>
              <w:bidi w:val="0"/>
            </w:pPr>
            <w:r>
              <w:t>45.6</w:t>
            </w:r>
          </w:p>
        </w:tc>
        <w:tc>
          <w:tcPr>
            <w:tcW w:w="257" w:type="pct"/>
            <w:vAlign w:val="center"/>
          </w:tcPr>
          <w:p w14:paraId="3505FF02">
            <w:pPr>
              <w:pStyle w:val="28"/>
              <w:bidi w:val="0"/>
            </w:pPr>
            <w:r>
              <w:t>53.9</w:t>
            </w:r>
          </w:p>
        </w:tc>
        <w:tc>
          <w:tcPr>
            <w:tcW w:w="257" w:type="pct"/>
            <w:vAlign w:val="center"/>
          </w:tcPr>
          <w:p w14:paraId="03E60ED6">
            <w:pPr>
              <w:pStyle w:val="28"/>
              <w:bidi w:val="0"/>
            </w:pPr>
            <w:r>
              <w:t>0.7</w:t>
            </w:r>
          </w:p>
        </w:tc>
        <w:tc>
          <w:tcPr>
            <w:tcW w:w="209" w:type="pct"/>
            <w:vAlign w:val="center"/>
          </w:tcPr>
          <w:p w14:paraId="27BAAF89">
            <w:pPr>
              <w:pStyle w:val="28"/>
              <w:bidi w:val="0"/>
            </w:pPr>
            <w:r>
              <w:t>达标</w:t>
            </w:r>
          </w:p>
        </w:tc>
      </w:tr>
      <w:tr w14:paraId="25FB5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E35A738">
            <w:pPr>
              <w:pStyle w:val="28"/>
              <w:bidi w:val="0"/>
            </w:pPr>
            <w:r>
              <w:rPr>
                <w:rFonts w:hint="eastAsia"/>
              </w:rPr>
              <w:t>十四石</w:t>
            </w:r>
          </w:p>
        </w:tc>
        <w:tc>
          <w:tcPr>
            <w:tcW w:w="511" w:type="pct"/>
            <w:vAlign w:val="center"/>
          </w:tcPr>
          <w:p w14:paraId="27F8D392">
            <w:pPr>
              <w:pStyle w:val="28"/>
              <w:bidi w:val="0"/>
            </w:pPr>
            <w:r>
              <w:rPr>
                <w:rFonts w:hint="eastAsia"/>
              </w:rPr>
              <w:t>滑坡治理</w:t>
            </w:r>
          </w:p>
        </w:tc>
        <w:tc>
          <w:tcPr>
            <w:tcW w:w="366" w:type="pct"/>
            <w:vAlign w:val="center"/>
          </w:tcPr>
          <w:p w14:paraId="5211DD7B">
            <w:pPr>
              <w:pStyle w:val="28"/>
              <w:bidi w:val="0"/>
            </w:pPr>
            <w:r>
              <w:t>76</w:t>
            </w:r>
          </w:p>
        </w:tc>
        <w:tc>
          <w:tcPr>
            <w:tcW w:w="268" w:type="pct"/>
            <w:vAlign w:val="center"/>
          </w:tcPr>
          <w:p w14:paraId="55D571D8">
            <w:pPr>
              <w:pStyle w:val="28"/>
              <w:bidi w:val="0"/>
            </w:pPr>
            <w:r>
              <w:rPr>
                <w:rFonts w:hint="eastAsia"/>
              </w:rPr>
              <w:t>左岸</w:t>
            </w:r>
          </w:p>
        </w:tc>
        <w:tc>
          <w:tcPr>
            <w:tcW w:w="262" w:type="pct"/>
            <w:vAlign w:val="center"/>
          </w:tcPr>
          <w:p w14:paraId="7E0EAB37">
            <w:pPr>
              <w:pStyle w:val="28"/>
              <w:bidi w:val="0"/>
            </w:pPr>
            <w:r>
              <w:t>1</w:t>
            </w:r>
            <w:r>
              <w:rPr>
                <w:rFonts w:hint="eastAsia"/>
              </w:rPr>
              <w:t>类</w:t>
            </w:r>
          </w:p>
        </w:tc>
        <w:tc>
          <w:tcPr>
            <w:tcW w:w="809" w:type="pct"/>
            <w:vMerge w:val="continue"/>
            <w:vAlign w:val="center"/>
          </w:tcPr>
          <w:p w14:paraId="3D50F6E8">
            <w:pPr>
              <w:pStyle w:val="28"/>
              <w:bidi w:val="0"/>
            </w:pPr>
          </w:p>
        </w:tc>
        <w:tc>
          <w:tcPr>
            <w:tcW w:w="208" w:type="pct"/>
            <w:vAlign w:val="center"/>
          </w:tcPr>
          <w:p w14:paraId="394B27C5">
            <w:pPr>
              <w:pStyle w:val="28"/>
              <w:bidi w:val="0"/>
            </w:pPr>
            <w:r>
              <w:t>53.6</w:t>
            </w:r>
          </w:p>
        </w:tc>
        <w:tc>
          <w:tcPr>
            <w:tcW w:w="211" w:type="pct"/>
            <w:vAlign w:val="center"/>
          </w:tcPr>
          <w:p w14:paraId="6FF57090">
            <w:pPr>
              <w:pStyle w:val="28"/>
              <w:bidi w:val="0"/>
            </w:pPr>
            <w:r>
              <w:t>42.8</w:t>
            </w:r>
          </w:p>
        </w:tc>
        <w:tc>
          <w:tcPr>
            <w:tcW w:w="208" w:type="pct"/>
            <w:vAlign w:val="center"/>
          </w:tcPr>
          <w:p w14:paraId="480B7AD6">
            <w:pPr>
              <w:pStyle w:val="28"/>
              <w:bidi w:val="0"/>
            </w:pPr>
            <w:r>
              <w:t>55</w:t>
            </w:r>
          </w:p>
        </w:tc>
        <w:tc>
          <w:tcPr>
            <w:tcW w:w="211" w:type="pct"/>
            <w:vAlign w:val="center"/>
          </w:tcPr>
          <w:p w14:paraId="01D0051A">
            <w:pPr>
              <w:pStyle w:val="28"/>
              <w:bidi w:val="0"/>
            </w:pPr>
            <w:r>
              <w:t>45</w:t>
            </w:r>
          </w:p>
        </w:tc>
        <w:tc>
          <w:tcPr>
            <w:tcW w:w="276" w:type="pct"/>
            <w:vAlign w:val="center"/>
          </w:tcPr>
          <w:p w14:paraId="29777C7E">
            <w:pPr>
              <w:pStyle w:val="28"/>
              <w:bidi w:val="0"/>
            </w:pPr>
            <w:r>
              <w:t>50.0</w:t>
            </w:r>
          </w:p>
        </w:tc>
        <w:tc>
          <w:tcPr>
            <w:tcW w:w="257" w:type="pct"/>
            <w:vAlign w:val="center"/>
          </w:tcPr>
          <w:p w14:paraId="0BDDED91">
            <w:pPr>
              <w:pStyle w:val="28"/>
              <w:bidi w:val="0"/>
            </w:pPr>
            <w:r>
              <w:t>42.0</w:t>
            </w:r>
          </w:p>
        </w:tc>
        <w:tc>
          <w:tcPr>
            <w:tcW w:w="257" w:type="pct"/>
            <w:vAlign w:val="center"/>
          </w:tcPr>
          <w:p w14:paraId="2779372F">
            <w:pPr>
              <w:pStyle w:val="28"/>
              <w:bidi w:val="0"/>
            </w:pPr>
            <w:r>
              <w:t>53.9</w:t>
            </w:r>
          </w:p>
        </w:tc>
        <w:tc>
          <w:tcPr>
            <w:tcW w:w="257" w:type="pct"/>
            <w:vAlign w:val="center"/>
          </w:tcPr>
          <w:p w14:paraId="72ECE8F6">
            <w:pPr>
              <w:pStyle w:val="28"/>
              <w:bidi w:val="0"/>
            </w:pPr>
            <w:r>
              <w:t>0.3</w:t>
            </w:r>
          </w:p>
        </w:tc>
        <w:tc>
          <w:tcPr>
            <w:tcW w:w="209" w:type="pct"/>
            <w:vAlign w:val="center"/>
          </w:tcPr>
          <w:p w14:paraId="3E9E6A34">
            <w:pPr>
              <w:pStyle w:val="28"/>
              <w:bidi w:val="0"/>
            </w:pPr>
            <w:r>
              <w:t>达标</w:t>
            </w:r>
          </w:p>
        </w:tc>
      </w:tr>
      <w:tr w14:paraId="5E3D5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6B14736">
            <w:pPr>
              <w:pStyle w:val="28"/>
              <w:bidi w:val="0"/>
            </w:pPr>
            <w:r>
              <w:rPr>
                <w:rFonts w:hint="eastAsia"/>
              </w:rPr>
              <w:t>胡小庄</w:t>
            </w:r>
          </w:p>
        </w:tc>
        <w:tc>
          <w:tcPr>
            <w:tcW w:w="511" w:type="pct"/>
            <w:vAlign w:val="center"/>
          </w:tcPr>
          <w:p w14:paraId="3CA31013">
            <w:pPr>
              <w:pStyle w:val="28"/>
              <w:bidi w:val="0"/>
            </w:pPr>
            <w:r>
              <w:rPr>
                <w:rFonts w:hint="eastAsia"/>
              </w:rPr>
              <w:t>胡粉坊</w:t>
            </w:r>
            <w:r>
              <w:t>2#</w:t>
            </w:r>
            <w:r>
              <w:rPr>
                <w:rFonts w:hint="eastAsia"/>
              </w:rPr>
              <w:t>放水涵维修加固</w:t>
            </w:r>
          </w:p>
        </w:tc>
        <w:tc>
          <w:tcPr>
            <w:tcW w:w="366" w:type="pct"/>
            <w:vAlign w:val="center"/>
          </w:tcPr>
          <w:p w14:paraId="46D36E96">
            <w:pPr>
              <w:pStyle w:val="28"/>
              <w:bidi w:val="0"/>
            </w:pPr>
            <w:r>
              <w:t>36</w:t>
            </w:r>
          </w:p>
        </w:tc>
        <w:tc>
          <w:tcPr>
            <w:tcW w:w="268" w:type="pct"/>
            <w:vAlign w:val="center"/>
          </w:tcPr>
          <w:p w14:paraId="411B9040">
            <w:pPr>
              <w:pStyle w:val="28"/>
              <w:bidi w:val="0"/>
            </w:pPr>
            <w:r>
              <w:rPr>
                <w:rFonts w:hint="eastAsia"/>
              </w:rPr>
              <w:t>左岸</w:t>
            </w:r>
          </w:p>
        </w:tc>
        <w:tc>
          <w:tcPr>
            <w:tcW w:w="262" w:type="pct"/>
            <w:vAlign w:val="center"/>
          </w:tcPr>
          <w:p w14:paraId="1C836DB4">
            <w:pPr>
              <w:pStyle w:val="28"/>
              <w:bidi w:val="0"/>
            </w:pPr>
            <w:r>
              <w:t>1</w:t>
            </w:r>
            <w:r>
              <w:rPr>
                <w:rFonts w:hint="eastAsia"/>
              </w:rPr>
              <w:t>类</w:t>
            </w:r>
          </w:p>
        </w:tc>
        <w:tc>
          <w:tcPr>
            <w:tcW w:w="809" w:type="pct"/>
            <w:vAlign w:val="center"/>
          </w:tcPr>
          <w:p w14:paraId="35B992F7">
            <w:pPr>
              <w:pStyle w:val="28"/>
              <w:bidi w:val="0"/>
            </w:pPr>
            <w:r>
              <w:rPr>
                <w:rFonts w:hint="eastAsia"/>
              </w:rPr>
              <w:t>采用低噪声设备，施工机械远离居民住宅，设置单层移动声屏障</w:t>
            </w:r>
          </w:p>
        </w:tc>
        <w:tc>
          <w:tcPr>
            <w:tcW w:w="208" w:type="pct"/>
            <w:vAlign w:val="center"/>
          </w:tcPr>
          <w:p w14:paraId="093CFCDB">
            <w:pPr>
              <w:pStyle w:val="28"/>
              <w:bidi w:val="0"/>
            </w:pPr>
            <w:r>
              <w:t>53.2</w:t>
            </w:r>
          </w:p>
        </w:tc>
        <w:tc>
          <w:tcPr>
            <w:tcW w:w="211" w:type="pct"/>
            <w:vAlign w:val="center"/>
          </w:tcPr>
          <w:p w14:paraId="3D506D47">
            <w:pPr>
              <w:pStyle w:val="28"/>
              <w:bidi w:val="0"/>
            </w:pPr>
            <w:r>
              <w:t>42.3</w:t>
            </w:r>
          </w:p>
        </w:tc>
        <w:tc>
          <w:tcPr>
            <w:tcW w:w="208" w:type="pct"/>
            <w:vAlign w:val="center"/>
          </w:tcPr>
          <w:p w14:paraId="46B3EB54">
            <w:pPr>
              <w:pStyle w:val="28"/>
              <w:bidi w:val="0"/>
            </w:pPr>
            <w:r>
              <w:t>55</w:t>
            </w:r>
          </w:p>
        </w:tc>
        <w:tc>
          <w:tcPr>
            <w:tcW w:w="211" w:type="pct"/>
            <w:vAlign w:val="center"/>
          </w:tcPr>
          <w:p w14:paraId="4414E032">
            <w:pPr>
              <w:pStyle w:val="28"/>
              <w:bidi w:val="0"/>
            </w:pPr>
            <w:r>
              <w:t>45</w:t>
            </w:r>
          </w:p>
        </w:tc>
        <w:tc>
          <w:tcPr>
            <w:tcW w:w="276" w:type="pct"/>
            <w:vAlign w:val="center"/>
          </w:tcPr>
          <w:p w14:paraId="123CCB79">
            <w:pPr>
              <w:pStyle w:val="28"/>
              <w:bidi w:val="0"/>
            </w:pPr>
            <w:r>
              <w:t>62.1</w:t>
            </w:r>
          </w:p>
        </w:tc>
        <w:tc>
          <w:tcPr>
            <w:tcW w:w="257" w:type="pct"/>
            <w:vAlign w:val="center"/>
          </w:tcPr>
          <w:p w14:paraId="5DBAA9F0">
            <w:pPr>
              <w:pStyle w:val="28"/>
              <w:bidi w:val="0"/>
            </w:pPr>
            <w:r>
              <w:t>47.1</w:t>
            </w:r>
          </w:p>
        </w:tc>
        <w:tc>
          <w:tcPr>
            <w:tcW w:w="257" w:type="pct"/>
            <w:vAlign w:val="center"/>
          </w:tcPr>
          <w:p w14:paraId="5A4CB96F">
            <w:pPr>
              <w:pStyle w:val="28"/>
              <w:bidi w:val="0"/>
            </w:pPr>
            <w:r>
              <w:t>54.2</w:t>
            </w:r>
          </w:p>
        </w:tc>
        <w:tc>
          <w:tcPr>
            <w:tcW w:w="257" w:type="pct"/>
            <w:vAlign w:val="center"/>
          </w:tcPr>
          <w:p w14:paraId="1C494F90">
            <w:pPr>
              <w:pStyle w:val="28"/>
              <w:bidi w:val="0"/>
            </w:pPr>
            <w:r>
              <w:t>1.0</w:t>
            </w:r>
          </w:p>
        </w:tc>
        <w:tc>
          <w:tcPr>
            <w:tcW w:w="209" w:type="pct"/>
            <w:vAlign w:val="center"/>
          </w:tcPr>
          <w:p w14:paraId="794F0AF4">
            <w:pPr>
              <w:pStyle w:val="28"/>
              <w:bidi w:val="0"/>
            </w:pPr>
            <w:r>
              <w:t>达标</w:t>
            </w:r>
          </w:p>
        </w:tc>
      </w:tr>
      <w:tr w14:paraId="42569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8A99DFB">
            <w:pPr>
              <w:pStyle w:val="28"/>
              <w:bidi w:val="0"/>
            </w:pPr>
            <w:r>
              <w:rPr>
                <w:rFonts w:hint="eastAsia"/>
              </w:rPr>
              <w:t>王庄</w:t>
            </w:r>
          </w:p>
        </w:tc>
        <w:tc>
          <w:tcPr>
            <w:tcW w:w="511" w:type="pct"/>
            <w:vAlign w:val="center"/>
          </w:tcPr>
          <w:p w14:paraId="0CEB97BA">
            <w:pPr>
              <w:pStyle w:val="28"/>
              <w:bidi w:val="0"/>
            </w:pPr>
            <w:r>
              <w:rPr>
                <w:rFonts w:hint="eastAsia"/>
              </w:rPr>
              <w:t>胡粉坊</w:t>
            </w:r>
            <w:r>
              <w:t>1#</w:t>
            </w:r>
            <w:r>
              <w:rPr>
                <w:rFonts w:hint="eastAsia"/>
              </w:rPr>
              <w:t>放水涵拆建</w:t>
            </w:r>
          </w:p>
        </w:tc>
        <w:tc>
          <w:tcPr>
            <w:tcW w:w="366" w:type="pct"/>
            <w:vAlign w:val="center"/>
          </w:tcPr>
          <w:p w14:paraId="08A9A086">
            <w:pPr>
              <w:pStyle w:val="28"/>
              <w:bidi w:val="0"/>
            </w:pPr>
            <w:r>
              <w:t>111</w:t>
            </w:r>
          </w:p>
        </w:tc>
        <w:tc>
          <w:tcPr>
            <w:tcW w:w="268" w:type="pct"/>
            <w:vAlign w:val="center"/>
          </w:tcPr>
          <w:p w14:paraId="018C85C8">
            <w:pPr>
              <w:pStyle w:val="28"/>
              <w:bidi w:val="0"/>
            </w:pPr>
            <w:r>
              <w:rPr>
                <w:rFonts w:hint="eastAsia"/>
              </w:rPr>
              <w:t>右岸</w:t>
            </w:r>
          </w:p>
        </w:tc>
        <w:tc>
          <w:tcPr>
            <w:tcW w:w="262" w:type="pct"/>
            <w:vAlign w:val="center"/>
          </w:tcPr>
          <w:p w14:paraId="5639E3ED">
            <w:pPr>
              <w:pStyle w:val="28"/>
              <w:bidi w:val="0"/>
            </w:pPr>
            <w:r>
              <w:t>1</w:t>
            </w:r>
            <w:r>
              <w:rPr>
                <w:rFonts w:hint="eastAsia"/>
              </w:rPr>
              <w:t>类</w:t>
            </w:r>
          </w:p>
        </w:tc>
        <w:tc>
          <w:tcPr>
            <w:tcW w:w="809" w:type="pct"/>
            <w:vMerge w:val="restart"/>
            <w:vAlign w:val="center"/>
          </w:tcPr>
          <w:p w14:paraId="73B3F6C0">
            <w:pPr>
              <w:pStyle w:val="28"/>
              <w:bidi w:val="0"/>
            </w:pPr>
            <w:r>
              <w:rPr>
                <w:rFonts w:hint="eastAsia"/>
              </w:rPr>
              <w:t>采用低噪声设备，施工机械远离居民住宅</w:t>
            </w:r>
          </w:p>
        </w:tc>
        <w:tc>
          <w:tcPr>
            <w:tcW w:w="208" w:type="pct"/>
            <w:vAlign w:val="center"/>
          </w:tcPr>
          <w:p w14:paraId="760B916B">
            <w:pPr>
              <w:pStyle w:val="28"/>
              <w:bidi w:val="0"/>
            </w:pPr>
            <w:r>
              <w:t>53.8</w:t>
            </w:r>
          </w:p>
        </w:tc>
        <w:tc>
          <w:tcPr>
            <w:tcW w:w="211" w:type="pct"/>
            <w:vAlign w:val="center"/>
          </w:tcPr>
          <w:p w14:paraId="1038CF10">
            <w:pPr>
              <w:pStyle w:val="28"/>
              <w:bidi w:val="0"/>
            </w:pPr>
            <w:r>
              <w:t>42.8</w:t>
            </w:r>
          </w:p>
        </w:tc>
        <w:tc>
          <w:tcPr>
            <w:tcW w:w="208" w:type="pct"/>
            <w:vAlign w:val="center"/>
          </w:tcPr>
          <w:p w14:paraId="437B025D">
            <w:pPr>
              <w:pStyle w:val="28"/>
              <w:bidi w:val="0"/>
            </w:pPr>
            <w:r>
              <w:t>55</w:t>
            </w:r>
          </w:p>
        </w:tc>
        <w:tc>
          <w:tcPr>
            <w:tcW w:w="211" w:type="pct"/>
            <w:vAlign w:val="center"/>
          </w:tcPr>
          <w:p w14:paraId="350ABD9D">
            <w:pPr>
              <w:pStyle w:val="28"/>
              <w:bidi w:val="0"/>
            </w:pPr>
            <w:r>
              <w:t>45</w:t>
            </w:r>
          </w:p>
        </w:tc>
        <w:tc>
          <w:tcPr>
            <w:tcW w:w="276" w:type="pct"/>
            <w:vAlign w:val="center"/>
          </w:tcPr>
          <w:p w14:paraId="1AAF3E71">
            <w:pPr>
              <w:pStyle w:val="28"/>
              <w:bidi w:val="0"/>
            </w:pPr>
            <w:r>
              <w:t>52.3</w:t>
            </w:r>
          </w:p>
        </w:tc>
        <w:tc>
          <w:tcPr>
            <w:tcW w:w="257" w:type="pct"/>
            <w:vAlign w:val="center"/>
          </w:tcPr>
          <w:p w14:paraId="277A9EDC">
            <w:pPr>
              <w:pStyle w:val="28"/>
              <w:bidi w:val="0"/>
            </w:pPr>
            <w:r>
              <w:t>44.3</w:t>
            </w:r>
          </w:p>
        </w:tc>
        <w:tc>
          <w:tcPr>
            <w:tcW w:w="257" w:type="pct"/>
            <w:vAlign w:val="center"/>
          </w:tcPr>
          <w:p w14:paraId="39F3FC2D">
            <w:pPr>
              <w:pStyle w:val="28"/>
              <w:bidi w:val="0"/>
            </w:pPr>
            <w:r>
              <w:t>54.3</w:t>
            </w:r>
          </w:p>
        </w:tc>
        <w:tc>
          <w:tcPr>
            <w:tcW w:w="257" w:type="pct"/>
            <w:vAlign w:val="center"/>
          </w:tcPr>
          <w:p w14:paraId="2765A8B1">
            <w:pPr>
              <w:pStyle w:val="28"/>
              <w:bidi w:val="0"/>
            </w:pPr>
            <w:r>
              <w:t>0.5</w:t>
            </w:r>
          </w:p>
        </w:tc>
        <w:tc>
          <w:tcPr>
            <w:tcW w:w="209" w:type="pct"/>
            <w:vAlign w:val="center"/>
          </w:tcPr>
          <w:p w14:paraId="00238AAD">
            <w:pPr>
              <w:pStyle w:val="28"/>
              <w:bidi w:val="0"/>
            </w:pPr>
            <w:r>
              <w:t>达标</w:t>
            </w:r>
          </w:p>
        </w:tc>
      </w:tr>
      <w:tr w14:paraId="41FB0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42D15C1">
            <w:pPr>
              <w:pStyle w:val="28"/>
              <w:bidi w:val="0"/>
            </w:pPr>
            <w:r>
              <w:rPr>
                <w:rFonts w:hint="eastAsia"/>
              </w:rPr>
              <w:t>二十石</w:t>
            </w:r>
          </w:p>
        </w:tc>
        <w:tc>
          <w:tcPr>
            <w:tcW w:w="511" w:type="pct"/>
            <w:vAlign w:val="center"/>
          </w:tcPr>
          <w:p w14:paraId="2C8D9B64">
            <w:pPr>
              <w:pStyle w:val="28"/>
              <w:bidi w:val="0"/>
            </w:pPr>
            <w:r>
              <w:rPr>
                <w:rFonts w:hint="eastAsia"/>
              </w:rPr>
              <w:t>二十担涵维修加固</w:t>
            </w:r>
          </w:p>
        </w:tc>
        <w:tc>
          <w:tcPr>
            <w:tcW w:w="366" w:type="pct"/>
            <w:vAlign w:val="center"/>
          </w:tcPr>
          <w:p w14:paraId="34584A14">
            <w:pPr>
              <w:pStyle w:val="28"/>
              <w:bidi w:val="0"/>
            </w:pPr>
            <w:r>
              <w:t>64</w:t>
            </w:r>
          </w:p>
        </w:tc>
        <w:tc>
          <w:tcPr>
            <w:tcW w:w="268" w:type="pct"/>
            <w:vAlign w:val="center"/>
          </w:tcPr>
          <w:p w14:paraId="5AFECB8C">
            <w:pPr>
              <w:pStyle w:val="28"/>
              <w:bidi w:val="0"/>
            </w:pPr>
            <w:r>
              <w:rPr>
                <w:rFonts w:hint="eastAsia"/>
              </w:rPr>
              <w:t>右岸</w:t>
            </w:r>
          </w:p>
        </w:tc>
        <w:tc>
          <w:tcPr>
            <w:tcW w:w="262" w:type="pct"/>
            <w:vAlign w:val="center"/>
          </w:tcPr>
          <w:p w14:paraId="3C421C09">
            <w:pPr>
              <w:pStyle w:val="28"/>
              <w:bidi w:val="0"/>
            </w:pPr>
            <w:r>
              <w:t>1</w:t>
            </w:r>
            <w:r>
              <w:rPr>
                <w:rFonts w:hint="eastAsia"/>
              </w:rPr>
              <w:t>类</w:t>
            </w:r>
          </w:p>
        </w:tc>
        <w:tc>
          <w:tcPr>
            <w:tcW w:w="809" w:type="pct"/>
            <w:vMerge w:val="continue"/>
            <w:vAlign w:val="center"/>
          </w:tcPr>
          <w:p w14:paraId="3E19CB14">
            <w:pPr>
              <w:pStyle w:val="28"/>
              <w:bidi w:val="0"/>
            </w:pPr>
          </w:p>
        </w:tc>
        <w:tc>
          <w:tcPr>
            <w:tcW w:w="208" w:type="pct"/>
            <w:vAlign w:val="center"/>
          </w:tcPr>
          <w:p w14:paraId="2DF47DD2">
            <w:pPr>
              <w:pStyle w:val="28"/>
              <w:bidi w:val="0"/>
            </w:pPr>
            <w:r>
              <w:t>53.2</w:t>
            </w:r>
          </w:p>
        </w:tc>
        <w:tc>
          <w:tcPr>
            <w:tcW w:w="211" w:type="pct"/>
            <w:vAlign w:val="center"/>
          </w:tcPr>
          <w:p w14:paraId="7C636463">
            <w:pPr>
              <w:pStyle w:val="28"/>
              <w:bidi w:val="0"/>
            </w:pPr>
            <w:r>
              <w:t>42.8</w:t>
            </w:r>
          </w:p>
        </w:tc>
        <w:tc>
          <w:tcPr>
            <w:tcW w:w="208" w:type="pct"/>
            <w:vAlign w:val="center"/>
          </w:tcPr>
          <w:p w14:paraId="3AD46AEF">
            <w:pPr>
              <w:pStyle w:val="28"/>
              <w:bidi w:val="0"/>
            </w:pPr>
            <w:r>
              <w:t>55</w:t>
            </w:r>
          </w:p>
        </w:tc>
        <w:tc>
          <w:tcPr>
            <w:tcW w:w="211" w:type="pct"/>
            <w:vAlign w:val="center"/>
          </w:tcPr>
          <w:p w14:paraId="575F33BE">
            <w:pPr>
              <w:pStyle w:val="28"/>
              <w:bidi w:val="0"/>
            </w:pPr>
            <w:r>
              <w:t>45</w:t>
            </w:r>
          </w:p>
        </w:tc>
        <w:tc>
          <w:tcPr>
            <w:tcW w:w="276" w:type="pct"/>
            <w:vAlign w:val="center"/>
          </w:tcPr>
          <w:p w14:paraId="08D48A0D">
            <w:pPr>
              <w:pStyle w:val="28"/>
              <w:bidi w:val="0"/>
            </w:pPr>
            <w:r>
              <w:t>57.1</w:t>
            </w:r>
          </w:p>
        </w:tc>
        <w:tc>
          <w:tcPr>
            <w:tcW w:w="257" w:type="pct"/>
            <w:vAlign w:val="center"/>
          </w:tcPr>
          <w:p w14:paraId="4AC13F30">
            <w:pPr>
              <w:pStyle w:val="28"/>
              <w:bidi w:val="0"/>
            </w:pPr>
            <w:r>
              <w:t>49.1</w:t>
            </w:r>
          </w:p>
        </w:tc>
        <w:tc>
          <w:tcPr>
            <w:tcW w:w="257" w:type="pct"/>
            <w:vAlign w:val="center"/>
          </w:tcPr>
          <w:p w14:paraId="79BF5A1D">
            <w:pPr>
              <w:pStyle w:val="28"/>
              <w:bidi w:val="0"/>
            </w:pPr>
            <w:r>
              <w:t>54.6</w:t>
            </w:r>
          </w:p>
        </w:tc>
        <w:tc>
          <w:tcPr>
            <w:tcW w:w="257" w:type="pct"/>
            <w:vAlign w:val="center"/>
          </w:tcPr>
          <w:p w14:paraId="0360959B">
            <w:pPr>
              <w:pStyle w:val="28"/>
              <w:bidi w:val="0"/>
            </w:pPr>
            <w:r>
              <w:t>1.4</w:t>
            </w:r>
          </w:p>
        </w:tc>
        <w:tc>
          <w:tcPr>
            <w:tcW w:w="209" w:type="pct"/>
            <w:vAlign w:val="center"/>
          </w:tcPr>
          <w:p w14:paraId="64267F2B">
            <w:pPr>
              <w:pStyle w:val="28"/>
              <w:bidi w:val="0"/>
            </w:pPr>
            <w:r>
              <w:t>达标</w:t>
            </w:r>
          </w:p>
        </w:tc>
      </w:tr>
      <w:tr w14:paraId="3AEF2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481D21E">
            <w:pPr>
              <w:pStyle w:val="28"/>
              <w:bidi w:val="0"/>
            </w:pPr>
            <w:r>
              <w:rPr>
                <w:rFonts w:hint="eastAsia"/>
              </w:rPr>
              <w:t>谢老庄</w:t>
            </w:r>
          </w:p>
        </w:tc>
        <w:tc>
          <w:tcPr>
            <w:tcW w:w="511" w:type="pct"/>
            <w:vAlign w:val="center"/>
          </w:tcPr>
          <w:p w14:paraId="415C5BEF">
            <w:pPr>
              <w:pStyle w:val="28"/>
              <w:bidi w:val="0"/>
            </w:pPr>
            <w:r>
              <w:rPr>
                <w:rFonts w:hint="eastAsia"/>
              </w:rPr>
              <w:t>谢老庄放水涵拆建</w:t>
            </w:r>
          </w:p>
        </w:tc>
        <w:tc>
          <w:tcPr>
            <w:tcW w:w="366" w:type="pct"/>
            <w:vAlign w:val="center"/>
          </w:tcPr>
          <w:p w14:paraId="2033140F">
            <w:pPr>
              <w:pStyle w:val="28"/>
              <w:bidi w:val="0"/>
            </w:pPr>
            <w:r>
              <w:t>50</w:t>
            </w:r>
          </w:p>
        </w:tc>
        <w:tc>
          <w:tcPr>
            <w:tcW w:w="268" w:type="pct"/>
            <w:vAlign w:val="center"/>
          </w:tcPr>
          <w:p w14:paraId="111A5967">
            <w:pPr>
              <w:pStyle w:val="28"/>
              <w:bidi w:val="0"/>
            </w:pPr>
            <w:r>
              <w:rPr>
                <w:rFonts w:hint="eastAsia"/>
              </w:rPr>
              <w:t>左岸</w:t>
            </w:r>
          </w:p>
        </w:tc>
        <w:tc>
          <w:tcPr>
            <w:tcW w:w="262" w:type="pct"/>
            <w:vAlign w:val="center"/>
          </w:tcPr>
          <w:p w14:paraId="6C6089C8">
            <w:pPr>
              <w:pStyle w:val="28"/>
              <w:bidi w:val="0"/>
            </w:pPr>
            <w:r>
              <w:t>1</w:t>
            </w:r>
            <w:r>
              <w:rPr>
                <w:rFonts w:hint="eastAsia"/>
              </w:rPr>
              <w:t>类</w:t>
            </w:r>
          </w:p>
        </w:tc>
        <w:tc>
          <w:tcPr>
            <w:tcW w:w="809" w:type="pct"/>
            <w:vMerge w:val="continue"/>
            <w:vAlign w:val="center"/>
          </w:tcPr>
          <w:p w14:paraId="3FADD78D">
            <w:pPr>
              <w:pStyle w:val="28"/>
              <w:bidi w:val="0"/>
            </w:pPr>
          </w:p>
        </w:tc>
        <w:tc>
          <w:tcPr>
            <w:tcW w:w="208" w:type="pct"/>
            <w:vAlign w:val="center"/>
          </w:tcPr>
          <w:p w14:paraId="2D5700C9">
            <w:pPr>
              <w:pStyle w:val="28"/>
              <w:bidi w:val="0"/>
            </w:pPr>
            <w:r>
              <w:t>52.4</w:t>
            </w:r>
          </w:p>
        </w:tc>
        <w:tc>
          <w:tcPr>
            <w:tcW w:w="211" w:type="pct"/>
            <w:vAlign w:val="center"/>
          </w:tcPr>
          <w:p w14:paraId="5B6789F8">
            <w:pPr>
              <w:pStyle w:val="28"/>
              <w:bidi w:val="0"/>
            </w:pPr>
            <w:r>
              <w:t>42.2</w:t>
            </w:r>
          </w:p>
        </w:tc>
        <w:tc>
          <w:tcPr>
            <w:tcW w:w="208" w:type="pct"/>
            <w:vAlign w:val="center"/>
          </w:tcPr>
          <w:p w14:paraId="4A776A7F">
            <w:pPr>
              <w:pStyle w:val="28"/>
              <w:bidi w:val="0"/>
            </w:pPr>
            <w:r>
              <w:t>55</w:t>
            </w:r>
          </w:p>
        </w:tc>
        <w:tc>
          <w:tcPr>
            <w:tcW w:w="211" w:type="pct"/>
            <w:vAlign w:val="center"/>
          </w:tcPr>
          <w:p w14:paraId="6B14843E">
            <w:pPr>
              <w:pStyle w:val="28"/>
              <w:bidi w:val="0"/>
            </w:pPr>
            <w:r>
              <w:t>45</w:t>
            </w:r>
          </w:p>
        </w:tc>
        <w:tc>
          <w:tcPr>
            <w:tcW w:w="276" w:type="pct"/>
            <w:vAlign w:val="center"/>
          </w:tcPr>
          <w:p w14:paraId="3E6E4EFD">
            <w:pPr>
              <w:pStyle w:val="28"/>
              <w:bidi w:val="0"/>
            </w:pPr>
            <w:r>
              <w:t>59.2</w:t>
            </w:r>
          </w:p>
        </w:tc>
        <w:tc>
          <w:tcPr>
            <w:tcW w:w="257" w:type="pct"/>
            <w:vAlign w:val="center"/>
          </w:tcPr>
          <w:p w14:paraId="1A36A5E8">
            <w:pPr>
              <w:pStyle w:val="28"/>
              <w:bidi w:val="0"/>
            </w:pPr>
            <w:r>
              <w:t>51.2</w:t>
            </w:r>
          </w:p>
        </w:tc>
        <w:tc>
          <w:tcPr>
            <w:tcW w:w="257" w:type="pct"/>
            <w:vAlign w:val="center"/>
          </w:tcPr>
          <w:p w14:paraId="41A174C6">
            <w:pPr>
              <w:pStyle w:val="28"/>
              <w:bidi w:val="0"/>
            </w:pPr>
            <w:r>
              <w:t>54.9</w:t>
            </w:r>
          </w:p>
        </w:tc>
        <w:tc>
          <w:tcPr>
            <w:tcW w:w="257" w:type="pct"/>
            <w:vAlign w:val="center"/>
          </w:tcPr>
          <w:p w14:paraId="09A75F82">
            <w:pPr>
              <w:pStyle w:val="28"/>
              <w:bidi w:val="0"/>
            </w:pPr>
            <w:r>
              <w:t>2.5</w:t>
            </w:r>
          </w:p>
        </w:tc>
        <w:tc>
          <w:tcPr>
            <w:tcW w:w="209" w:type="pct"/>
            <w:vAlign w:val="center"/>
          </w:tcPr>
          <w:p w14:paraId="577E1AF3">
            <w:pPr>
              <w:pStyle w:val="28"/>
              <w:bidi w:val="0"/>
            </w:pPr>
            <w:r>
              <w:t>达标</w:t>
            </w:r>
          </w:p>
        </w:tc>
      </w:tr>
      <w:tr w14:paraId="55D7F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37552F3">
            <w:pPr>
              <w:pStyle w:val="28"/>
              <w:bidi w:val="0"/>
            </w:pPr>
            <w:r>
              <w:rPr>
                <w:rFonts w:hint="eastAsia"/>
              </w:rPr>
              <w:t>傅老庄</w:t>
            </w:r>
          </w:p>
        </w:tc>
        <w:tc>
          <w:tcPr>
            <w:tcW w:w="511" w:type="pct"/>
            <w:vAlign w:val="center"/>
          </w:tcPr>
          <w:p w14:paraId="7FB10446">
            <w:pPr>
              <w:pStyle w:val="28"/>
              <w:bidi w:val="0"/>
            </w:pPr>
            <w:r>
              <w:rPr>
                <w:rFonts w:hint="eastAsia"/>
              </w:rPr>
              <w:t>仓房放水涵拆建</w:t>
            </w:r>
          </w:p>
        </w:tc>
        <w:tc>
          <w:tcPr>
            <w:tcW w:w="366" w:type="pct"/>
            <w:vAlign w:val="center"/>
          </w:tcPr>
          <w:p w14:paraId="52E5E6A3">
            <w:pPr>
              <w:pStyle w:val="28"/>
              <w:bidi w:val="0"/>
            </w:pPr>
            <w:r>
              <w:t>120</w:t>
            </w:r>
          </w:p>
        </w:tc>
        <w:tc>
          <w:tcPr>
            <w:tcW w:w="268" w:type="pct"/>
            <w:vAlign w:val="center"/>
          </w:tcPr>
          <w:p w14:paraId="0DA0C870">
            <w:pPr>
              <w:pStyle w:val="28"/>
              <w:bidi w:val="0"/>
            </w:pPr>
            <w:r>
              <w:rPr>
                <w:rFonts w:hint="eastAsia"/>
              </w:rPr>
              <w:t>左岸</w:t>
            </w:r>
          </w:p>
        </w:tc>
        <w:tc>
          <w:tcPr>
            <w:tcW w:w="262" w:type="pct"/>
            <w:vAlign w:val="center"/>
          </w:tcPr>
          <w:p w14:paraId="1575DF81">
            <w:pPr>
              <w:pStyle w:val="28"/>
              <w:bidi w:val="0"/>
            </w:pPr>
            <w:r>
              <w:t>1</w:t>
            </w:r>
            <w:r>
              <w:rPr>
                <w:rFonts w:hint="eastAsia"/>
              </w:rPr>
              <w:t>类</w:t>
            </w:r>
          </w:p>
        </w:tc>
        <w:tc>
          <w:tcPr>
            <w:tcW w:w="809" w:type="pct"/>
            <w:vMerge w:val="continue"/>
            <w:vAlign w:val="center"/>
          </w:tcPr>
          <w:p w14:paraId="5A7F3F62">
            <w:pPr>
              <w:pStyle w:val="28"/>
              <w:bidi w:val="0"/>
            </w:pPr>
          </w:p>
        </w:tc>
        <w:tc>
          <w:tcPr>
            <w:tcW w:w="208" w:type="pct"/>
            <w:vAlign w:val="center"/>
          </w:tcPr>
          <w:p w14:paraId="227294FC">
            <w:pPr>
              <w:pStyle w:val="28"/>
              <w:bidi w:val="0"/>
            </w:pPr>
            <w:r>
              <w:t>53.6</w:t>
            </w:r>
          </w:p>
        </w:tc>
        <w:tc>
          <w:tcPr>
            <w:tcW w:w="211" w:type="pct"/>
            <w:vAlign w:val="center"/>
          </w:tcPr>
          <w:p w14:paraId="3981F9E1">
            <w:pPr>
              <w:pStyle w:val="28"/>
              <w:bidi w:val="0"/>
            </w:pPr>
            <w:r>
              <w:t>42.8</w:t>
            </w:r>
          </w:p>
        </w:tc>
        <w:tc>
          <w:tcPr>
            <w:tcW w:w="208" w:type="pct"/>
            <w:vAlign w:val="center"/>
          </w:tcPr>
          <w:p w14:paraId="460A4617">
            <w:pPr>
              <w:pStyle w:val="28"/>
              <w:bidi w:val="0"/>
            </w:pPr>
            <w:r>
              <w:t>55</w:t>
            </w:r>
          </w:p>
        </w:tc>
        <w:tc>
          <w:tcPr>
            <w:tcW w:w="211" w:type="pct"/>
            <w:vAlign w:val="center"/>
          </w:tcPr>
          <w:p w14:paraId="49647420">
            <w:pPr>
              <w:pStyle w:val="28"/>
              <w:bidi w:val="0"/>
            </w:pPr>
            <w:r>
              <w:t>45</w:t>
            </w:r>
          </w:p>
        </w:tc>
        <w:tc>
          <w:tcPr>
            <w:tcW w:w="276" w:type="pct"/>
            <w:vAlign w:val="center"/>
          </w:tcPr>
          <w:p w14:paraId="6B2AAA25">
            <w:pPr>
              <w:pStyle w:val="28"/>
              <w:bidi w:val="0"/>
            </w:pPr>
            <w:r>
              <w:t>51.6</w:t>
            </w:r>
          </w:p>
        </w:tc>
        <w:tc>
          <w:tcPr>
            <w:tcW w:w="257" w:type="pct"/>
            <w:vAlign w:val="center"/>
          </w:tcPr>
          <w:p w14:paraId="5FF999AB">
            <w:pPr>
              <w:pStyle w:val="28"/>
              <w:bidi w:val="0"/>
            </w:pPr>
            <w:r>
              <w:t>43.6</w:t>
            </w:r>
          </w:p>
        </w:tc>
        <w:tc>
          <w:tcPr>
            <w:tcW w:w="257" w:type="pct"/>
            <w:vAlign w:val="center"/>
          </w:tcPr>
          <w:p w14:paraId="7877A6E3">
            <w:pPr>
              <w:pStyle w:val="28"/>
              <w:bidi w:val="0"/>
            </w:pPr>
            <w:r>
              <w:t>54.0</w:t>
            </w:r>
          </w:p>
        </w:tc>
        <w:tc>
          <w:tcPr>
            <w:tcW w:w="257" w:type="pct"/>
            <w:vAlign w:val="center"/>
          </w:tcPr>
          <w:p w14:paraId="48D80AE7">
            <w:pPr>
              <w:pStyle w:val="28"/>
              <w:bidi w:val="0"/>
            </w:pPr>
            <w:r>
              <w:t>0.4</w:t>
            </w:r>
          </w:p>
        </w:tc>
        <w:tc>
          <w:tcPr>
            <w:tcW w:w="209" w:type="pct"/>
            <w:vAlign w:val="center"/>
          </w:tcPr>
          <w:p w14:paraId="7FE7F844">
            <w:pPr>
              <w:pStyle w:val="28"/>
              <w:bidi w:val="0"/>
            </w:pPr>
            <w:r>
              <w:t>达标</w:t>
            </w:r>
          </w:p>
        </w:tc>
      </w:tr>
      <w:tr w14:paraId="58D72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7FDB2E2">
            <w:pPr>
              <w:pStyle w:val="28"/>
              <w:bidi w:val="0"/>
            </w:pPr>
            <w:r>
              <w:rPr>
                <w:rFonts w:hint="eastAsia"/>
              </w:rPr>
              <w:t>大路沿</w:t>
            </w:r>
          </w:p>
        </w:tc>
        <w:tc>
          <w:tcPr>
            <w:tcW w:w="511" w:type="pct"/>
            <w:vAlign w:val="center"/>
          </w:tcPr>
          <w:p w14:paraId="0B6BA001">
            <w:pPr>
              <w:pStyle w:val="28"/>
              <w:bidi w:val="0"/>
            </w:pPr>
            <w:r>
              <w:rPr>
                <w:rFonts w:hint="eastAsia"/>
              </w:rPr>
              <w:t>祝墩</w:t>
            </w:r>
            <w:r>
              <w:t>1#</w:t>
            </w:r>
            <w:r>
              <w:rPr>
                <w:rFonts w:hint="eastAsia"/>
              </w:rPr>
              <w:t>涵拆建</w:t>
            </w:r>
          </w:p>
        </w:tc>
        <w:tc>
          <w:tcPr>
            <w:tcW w:w="366" w:type="pct"/>
            <w:vAlign w:val="center"/>
          </w:tcPr>
          <w:p w14:paraId="6DC93612">
            <w:pPr>
              <w:pStyle w:val="28"/>
              <w:bidi w:val="0"/>
            </w:pPr>
            <w:r>
              <w:t>66</w:t>
            </w:r>
          </w:p>
        </w:tc>
        <w:tc>
          <w:tcPr>
            <w:tcW w:w="268" w:type="pct"/>
            <w:vAlign w:val="center"/>
          </w:tcPr>
          <w:p w14:paraId="7B52FAFD">
            <w:pPr>
              <w:pStyle w:val="28"/>
              <w:bidi w:val="0"/>
            </w:pPr>
            <w:r>
              <w:rPr>
                <w:rFonts w:hint="eastAsia"/>
              </w:rPr>
              <w:t>左岸</w:t>
            </w:r>
          </w:p>
        </w:tc>
        <w:tc>
          <w:tcPr>
            <w:tcW w:w="262" w:type="pct"/>
            <w:vAlign w:val="center"/>
          </w:tcPr>
          <w:p w14:paraId="4D1ABA41">
            <w:pPr>
              <w:pStyle w:val="28"/>
              <w:bidi w:val="0"/>
            </w:pPr>
            <w:r>
              <w:t>1</w:t>
            </w:r>
            <w:r>
              <w:rPr>
                <w:rFonts w:hint="eastAsia"/>
              </w:rPr>
              <w:t>类</w:t>
            </w:r>
          </w:p>
        </w:tc>
        <w:tc>
          <w:tcPr>
            <w:tcW w:w="809" w:type="pct"/>
            <w:vMerge w:val="continue"/>
            <w:vAlign w:val="center"/>
          </w:tcPr>
          <w:p w14:paraId="22869088">
            <w:pPr>
              <w:pStyle w:val="28"/>
              <w:bidi w:val="0"/>
            </w:pPr>
          </w:p>
        </w:tc>
        <w:tc>
          <w:tcPr>
            <w:tcW w:w="208" w:type="pct"/>
            <w:vAlign w:val="center"/>
          </w:tcPr>
          <w:p w14:paraId="63DF2DDD">
            <w:pPr>
              <w:pStyle w:val="28"/>
              <w:bidi w:val="0"/>
            </w:pPr>
            <w:r>
              <w:t>53.2</w:t>
            </w:r>
          </w:p>
        </w:tc>
        <w:tc>
          <w:tcPr>
            <w:tcW w:w="211" w:type="pct"/>
            <w:vAlign w:val="center"/>
          </w:tcPr>
          <w:p w14:paraId="5C6B326F">
            <w:pPr>
              <w:pStyle w:val="28"/>
              <w:bidi w:val="0"/>
            </w:pPr>
            <w:r>
              <w:t>42.8</w:t>
            </w:r>
          </w:p>
        </w:tc>
        <w:tc>
          <w:tcPr>
            <w:tcW w:w="208" w:type="pct"/>
            <w:vAlign w:val="center"/>
          </w:tcPr>
          <w:p w14:paraId="6BAD1B12">
            <w:pPr>
              <w:pStyle w:val="28"/>
              <w:bidi w:val="0"/>
            </w:pPr>
            <w:r>
              <w:t>55</w:t>
            </w:r>
          </w:p>
        </w:tc>
        <w:tc>
          <w:tcPr>
            <w:tcW w:w="211" w:type="pct"/>
            <w:vAlign w:val="center"/>
          </w:tcPr>
          <w:p w14:paraId="7C77EA28">
            <w:pPr>
              <w:pStyle w:val="28"/>
              <w:bidi w:val="0"/>
            </w:pPr>
            <w:r>
              <w:t>45</w:t>
            </w:r>
          </w:p>
        </w:tc>
        <w:tc>
          <w:tcPr>
            <w:tcW w:w="276" w:type="pct"/>
            <w:vAlign w:val="center"/>
          </w:tcPr>
          <w:p w14:paraId="41AD3C94">
            <w:pPr>
              <w:pStyle w:val="28"/>
              <w:bidi w:val="0"/>
            </w:pPr>
            <w:r>
              <w:t>56.8</w:t>
            </w:r>
          </w:p>
        </w:tc>
        <w:tc>
          <w:tcPr>
            <w:tcW w:w="257" w:type="pct"/>
            <w:vAlign w:val="center"/>
          </w:tcPr>
          <w:p w14:paraId="74C8E2BC">
            <w:pPr>
              <w:pStyle w:val="28"/>
              <w:bidi w:val="0"/>
            </w:pPr>
            <w:r>
              <w:t>48.8</w:t>
            </w:r>
          </w:p>
        </w:tc>
        <w:tc>
          <w:tcPr>
            <w:tcW w:w="257" w:type="pct"/>
            <w:vAlign w:val="center"/>
          </w:tcPr>
          <w:p w14:paraId="1E463C27">
            <w:pPr>
              <w:pStyle w:val="28"/>
              <w:bidi w:val="0"/>
            </w:pPr>
            <w:r>
              <w:t>54.6</w:t>
            </w:r>
          </w:p>
        </w:tc>
        <w:tc>
          <w:tcPr>
            <w:tcW w:w="257" w:type="pct"/>
            <w:vAlign w:val="center"/>
          </w:tcPr>
          <w:p w14:paraId="69932224">
            <w:pPr>
              <w:pStyle w:val="28"/>
              <w:bidi w:val="0"/>
            </w:pPr>
            <w:r>
              <w:t>1.4</w:t>
            </w:r>
          </w:p>
        </w:tc>
        <w:tc>
          <w:tcPr>
            <w:tcW w:w="209" w:type="pct"/>
            <w:vAlign w:val="center"/>
          </w:tcPr>
          <w:p w14:paraId="3CB3908C">
            <w:pPr>
              <w:pStyle w:val="28"/>
              <w:bidi w:val="0"/>
            </w:pPr>
            <w:r>
              <w:t>达标</w:t>
            </w:r>
          </w:p>
        </w:tc>
      </w:tr>
      <w:tr w14:paraId="2B06D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B7FB1A0">
            <w:pPr>
              <w:pStyle w:val="28"/>
              <w:bidi w:val="0"/>
            </w:pPr>
            <w:r>
              <w:rPr>
                <w:rFonts w:hint="eastAsia"/>
              </w:rPr>
              <w:t>孙槽坊</w:t>
            </w:r>
          </w:p>
        </w:tc>
        <w:tc>
          <w:tcPr>
            <w:tcW w:w="511" w:type="pct"/>
            <w:vAlign w:val="center"/>
          </w:tcPr>
          <w:p w14:paraId="5584135E">
            <w:pPr>
              <w:pStyle w:val="28"/>
              <w:bidi w:val="0"/>
            </w:pPr>
            <w:r>
              <w:rPr>
                <w:rFonts w:hint="eastAsia"/>
              </w:rPr>
              <w:t>孙槽坊放水涵拆建</w:t>
            </w:r>
          </w:p>
        </w:tc>
        <w:tc>
          <w:tcPr>
            <w:tcW w:w="366" w:type="pct"/>
            <w:vAlign w:val="center"/>
          </w:tcPr>
          <w:p w14:paraId="1E879613">
            <w:pPr>
              <w:pStyle w:val="28"/>
              <w:bidi w:val="0"/>
            </w:pPr>
            <w:r>
              <w:t>104</w:t>
            </w:r>
          </w:p>
        </w:tc>
        <w:tc>
          <w:tcPr>
            <w:tcW w:w="268" w:type="pct"/>
            <w:vAlign w:val="center"/>
          </w:tcPr>
          <w:p w14:paraId="70286FC7">
            <w:pPr>
              <w:pStyle w:val="28"/>
              <w:bidi w:val="0"/>
            </w:pPr>
            <w:r>
              <w:rPr>
                <w:rFonts w:hint="eastAsia"/>
              </w:rPr>
              <w:t>左岸</w:t>
            </w:r>
          </w:p>
        </w:tc>
        <w:tc>
          <w:tcPr>
            <w:tcW w:w="262" w:type="pct"/>
            <w:vAlign w:val="center"/>
          </w:tcPr>
          <w:p w14:paraId="02CCB56A">
            <w:pPr>
              <w:pStyle w:val="28"/>
              <w:bidi w:val="0"/>
            </w:pPr>
            <w:r>
              <w:t>1</w:t>
            </w:r>
            <w:r>
              <w:rPr>
                <w:rFonts w:hint="eastAsia"/>
              </w:rPr>
              <w:t>类</w:t>
            </w:r>
          </w:p>
        </w:tc>
        <w:tc>
          <w:tcPr>
            <w:tcW w:w="809" w:type="pct"/>
            <w:vMerge w:val="continue"/>
            <w:vAlign w:val="center"/>
          </w:tcPr>
          <w:p w14:paraId="4C89F9DC">
            <w:pPr>
              <w:pStyle w:val="28"/>
              <w:bidi w:val="0"/>
            </w:pPr>
          </w:p>
        </w:tc>
        <w:tc>
          <w:tcPr>
            <w:tcW w:w="208" w:type="pct"/>
            <w:vAlign w:val="center"/>
          </w:tcPr>
          <w:p w14:paraId="7DFA7C80">
            <w:pPr>
              <w:pStyle w:val="28"/>
              <w:bidi w:val="0"/>
            </w:pPr>
            <w:r>
              <w:t>53.6</w:t>
            </w:r>
          </w:p>
        </w:tc>
        <w:tc>
          <w:tcPr>
            <w:tcW w:w="211" w:type="pct"/>
            <w:vAlign w:val="center"/>
          </w:tcPr>
          <w:p w14:paraId="600349DF">
            <w:pPr>
              <w:pStyle w:val="28"/>
              <w:bidi w:val="0"/>
            </w:pPr>
            <w:r>
              <w:t>42.8</w:t>
            </w:r>
          </w:p>
        </w:tc>
        <w:tc>
          <w:tcPr>
            <w:tcW w:w="208" w:type="pct"/>
            <w:vAlign w:val="center"/>
          </w:tcPr>
          <w:p w14:paraId="604EDDB2">
            <w:pPr>
              <w:pStyle w:val="28"/>
              <w:bidi w:val="0"/>
            </w:pPr>
            <w:r>
              <w:t>55</w:t>
            </w:r>
          </w:p>
        </w:tc>
        <w:tc>
          <w:tcPr>
            <w:tcW w:w="211" w:type="pct"/>
            <w:vAlign w:val="center"/>
          </w:tcPr>
          <w:p w14:paraId="11D72D39">
            <w:pPr>
              <w:pStyle w:val="28"/>
              <w:bidi w:val="0"/>
            </w:pPr>
            <w:r>
              <w:t>45</w:t>
            </w:r>
          </w:p>
        </w:tc>
        <w:tc>
          <w:tcPr>
            <w:tcW w:w="276" w:type="pct"/>
            <w:vAlign w:val="center"/>
          </w:tcPr>
          <w:p w14:paraId="26E2EED0">
            <w:pPr>
              <w:pStyle w:val="28"/>
              <w:bidi w:val="0"/>
            </w:pPr>
            <w:r>
              <w:t>52.9</w:t>
            </w:r>
          </w:p>
        </w:tc>
        <w:tc>
          <w:tcPr>
            <w:tcW w:w="257" w:type="pct"/>
            <w:vAlign w:val="center"/>
          </w:tcPr>
          <w:p w14:paraId="6B503706">
            <w:pPr>
              <w:pStyle w:val="28"/>
              <w:bidi w:val="0"/>
            </w:pPr>
            <w:r>
              <w:t>44.9</w:t>
            </w:r>
          </w:p>
        </w:tc>
        <w:tc>
          <w:tcPr>
            <w:tcW w:w="257" w:type="pct"/>
            <w:vAlign w:val="center"/>
          </w:tcPr>
          <w:p w14:paraId="223B3436">
            <w:pPr>
              <w:pStyle w:val="28"/>
              <w:bidi w:val="0"/>
            </w:pPr>
            <w:r>
              <w:t>54.1</w:t>
            </w:r>
          </w:p>
        </w:tc>
        <w:tc>
          <w:tcPr>
            <w:tcW w:w="257" w:type="pct"/>
            <w:vAlign w:val="center"/>
          </w:tcPr>
          <w:p w14:paraId="67FD9AEA">
            <w:pPr>
              <w:pStyle w:val="28"/>
              <w:bidi w:val="0"/>
            </w:pPr>
            <w:r>
              <w:t>0.5</w:t>
            </w:r>
          </w:p>
        </w:tc>
        <w:tc>
          <w:tcPr>
            <w:tcW w:w="209" w:type="pct"/>
            <w:vAlign w:val="center"/>
          </w:tcPr>
          <w:p w14:paraId="78B55132">
            <w:pPr>
              <w:pStyle w:val="28"/>
              <w:bidi w:val="0"/>
            </w:pPr>
            <w:r>
              <w:t>达标</w:t>
            </w:r>
          </w:p>
        </w:tc>
      </w:tr>
      <w:tr w14:paraId="7E77F7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4DD1A6C">
            <w:pPr>
              <w:pStyle w:val="28"/>
              <w:bidi w:val="0"/>
            </w:pPr>
            <w:r>
              <w:rPr>
                <w:rFonts w:hint="eastAsia"/>
              </w:rPr>
              <w:t>刘老庄</w:t>
            </w:r>
          </w:p>
        </w:tc>
        <w:tc>
          <w:tcPr>
            <w:tcW w:w="511" w:type="pct"/>
            <w:vAlign w:val="center"/>
          </w:tcPr>
          <w:p w14:paraId="361827FD">
            <w:pPr>
              <w:pStyle w:val="28"/>
              <w:bidi w:val="0"/>
            </w:pPr>
            <w:r>
              <w:rPr>
                <w:rFonts w:hint="eastAsia"/>
              </w:rPr>
              <w:t>刘老庄放水涵拆建</w:t>
            </w:r>
          </w:p>
        </w:tc>
        <w:tc>
          <w:tcPr>
            <w:tcW w:w="366" w:type="pct"/>
            <w:vAlign w:val="center"/>
          </w:tcPr>
          <w:p w14:paraId="3A1674D0">
            <w:pPr>
              <w:pStyle w:val="28"/>
              <w:bidi w:val="0"/>
            </w:pPr>
            <w:r>
              <w:t>58</w:t>
            </w:r>
          </w:p>
        </w:tc>
        <w:tc>
          <w:tcPr>
            <w:tcW w:w="268" w:type="pct"/>
            <w:vAlign w:val="center"/>
          </w:tcPr>
          <w:p w14:paraId="771D034E">
            <w:pPr>
              <w:pStyle w:val="28"/>
              <w:bidi w:val="0"/>
            </w:pPr>
            <w:r>
              <w:rPr>
                <w:rFonts w:hint="eastAsia"/>
              </w:rPr>
              <w:t>左岸</w:t>
            </w:r>
          </w:p>
        </w:tc>
        <w:tc>
          <w:tcPr>
            <w:tcW w:w="262" w:type="pct"/>
            <w:vAlign w:val="center"/>
          </w:tcPr>
          <w:p w14:paraId="2D8B978A">
            <w:pPr>
              <w:pStyle w:val="28"/>
              <w:bidi w:val="0"/>
            </w:pPr>
            <w:r>
              <w:t>1</w:t>
            </w:r>
            <w:r>
              <w:rPr>
                <w:rFonts w:hint="eastAsia"/>
              </w:rPr>
              <w:t>类</w:t>
            </w:r>
          </w:p>
        </w:tc>
        <w:tc>
          <w:tcPr>
            <w:tcW w:w="809" w:type="pct"/>
            <w:vMerge w:val="continue"/>
            <w:vAlign w:val="center"/>
          </w:tcPr>
          <w:p w14:paraId="78F2E4CA">
            <w:pPr>
              <w:pStyle w:val="28"/>
              <w:bidi w:val="0"/>
            </w:pPr>
          </w:p>
        </w:tc>
        <w:tc>
          <w:tcPr>
            <w:tcW w:w="208" w:type="pct"/>
            <w:vAlign w:val="center"/>
          </w:tcPr>
          <w:p w14:paraId="3CD17F81">
            <w:pPr>
              <w:pStyle w:val="28"/>
              <w:bidi w:val="0"/>
            </w:pPr>
            <w:r>
              <w:t>53.1</w:t>
            </w:r>
          </w:p>
        </w:tc>
        <w:tc>
          <w:tcPr>
            <w:tcW w:w="211" w:type="pct"/>
            <w:vAlign w:val="center"/>
          </w:tcPr>
          <w:p w14:paraId="69E67261">
            <w:pPr>
              <w:pStyle w:val="28"/>
              <w:bidi w:val="0"/>
            </w:pPr>
            <w:r>
              <w:t>42.3</w:t>
            </w:r>
          </w:p>
        </w:tc>
        <w:tc>
          <w:tcPr>
            <w:tcW w:w="208" w:type="pct"/>
            <w:vAlign w:val="center"/>
          </w:tcPr>
          <w:p w14:paraId="51120B08">
            <w:pPr>
              <w:pStyle w:val="28"/>
              <w:bidi w:val="0"/>
            </w:pPr>
            <w:r>
              <w:t>55</w:t>
            </w:r>
          </w:p>
        </w:tc>
        <w:tc>
          <w:tcPr>
            <w:tcW w:w="211" w:type="pct"/>
            <w:vAlign w:val="center"/>
          </w:tcPr>
          <w:p w14:paraId="69F5BCCA">
            <w:pPr>
              <w:pStyle w:val="28"/>
              <w:bidi w:val="0"/>
            </w:pPr>
            <w:r>
              <w:t>45</w:t>
            </w:r>
          </w:p>
        </w:tc>
        <w:tc>
          <w:tcPr>
            <w:tcW w:w="276" w:type="pct"/>
            <w:vAlign w:val="center"/>
          </w:tcPr>
          <w:p w14:paraId="6949EF89">
            <w:pPr>
              <w:pStyle w:val="28"/>
              <w:bidi w:val="0"/>
            </w:pPr>
            <w:r>
              <w:t>57.9</w:t>
            </w:r>
          </w:p>
        </w:tc>
        <w:tc>
          <w:tcPr>
            <w:tcW w:w="257" w:type="pct"/>
            <w:vAlign w:val="center"/>
          </w:tcPr>
          <w:p w14:paraId="268A2B38">
            <w:pPr>
              <w:pStyle w:val="28"/>
              <w:bidi w:val="0"/>
            </w:pPr>
            <w:r>
              <w:t>49.9</w:t>
            </w:r>
          </w:p>
        </w:tc>
        <w:tc>
          <w:tcPr>
            <w:tcW w:w="257" w:type="pct"/>
            <w:vAlign w:val="center"/>
          </w:tcPr>
          <w:p w14:paraId="1D9C57DD">
            <w:pPr>
              <w:pStyle w:val="28"/>
              <w:bidi w:val="0"/>
            </w:pPr>
            <w:r>
              <w:t>54.8</w:t>
            </w:r>
          </w:p>
        </w:tc>
        <w:tc>
          <w:tcPr>
            <w:tcW w:w="257" w:type="pct"/>
            <w:vAlign w:val="center"/>
          </w:tcPr>
          <w:p w14:paraId="3BCE2099">
            <w:pPr>
              <w:pStyle w:val="28"/>
              <w:bidi w:val="0"/>
            </w:pPr>
            <w:r>
              <w:t>1.7</w:t>
            </w:r>
          </w:p>
        </w:tc>
        <w:tc>
          <w:tcPr>
            <w:tcW w:w="209" w:type="pct"/>
            <w:vAlign w:val="center"/>
          </w:tcPr>
          <w:p w14:paraId="25D5B442">
            <w:pPr>
              <w:pStyle w:val="28"/>
              <w:bidi w:val="0"/>
            </w:pPr>
            <w:r>
              <w:t>达标</w:t>
            </w:r>
          </w:p>
        </w:tc>
      </w:tr>
      <w:tr w14:paraId="7C378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473B60D">
            <w:pPr>
              <w:pStyle w:val="28"/>
              <w:bidi w:val="0"/>
            </w:pPr>
            <w:r>
              <w:rPr>
                <w:rFonts w:hint="eastAsia"/>
              </w:rPr>
              <w:t>刘墩</w:t>
            </w:r>
          </w:p>
        </w:tc>
        <w:tc>
          <w:tcPr>
            <w:tcW w:w="511" w:type="pct"/>
            <w:vAlign w:val="center"/>
          </w:tcPr>
          <w:p w14:paraId="61A593F1">
            <w:pPr>
              <w:pStyle w:val="28"/>
              <w:bidi w:val="0"/>
            </w:pPr>
            <w:r>
              <w:rPr>
                <w:rFonts w:hint="eastAsia"/>
              </w:rPr>
              <w:t>硖石农门拆建</w:t>
            </w:r>
          </w:p>
        </w:tc>
        <w:tc>
          <w:tcPr>
            <w:tcW w:w="366" w:type="pct"/>
            <w:vAlign w:val="center"/>
          </w:tcPr>
          <w:p w14:paraId="3750A8A2">
            <w:pPr>
              <w:pStyle w:val="28"/>
              <w:bidi w:val="0"/>
            </w:pPr>
            <w:r>
              <w:t>117</w:t>
            </w:r>
          </w:p>
        </w:tc>
        <w:tc>
          <w:tcPr>
            <w:tcW w:w="268" w:type="pct"/>
            <w:vAlign w:val="center"/>
          </w:tcPr>
          <w:p w14:paraId="44DA3012">
            <w:pPr>
              <w:pStyle w:val="28"/>
              <w:bidi w:val="0"/>
            </w:pPr>
            <w:r>
              <w:rPr>
                <w:rFonts w:hint="eastAsia"/>
              </w:rPr>
              <w:t>左岸</w:t>
            </w:r>
          </w:p>
        </w:tc>
        <w:tc>
          <w:tcPr>
            <w:tcW w:w="262" w:type="pct"/>
            <w:vAlign w:val="center"/>
          </w:tcPr>
          <w:p w14:paraId="1EDF19FC">
            <w:pPr>
              <w:pStyle w:val="28"/>
              <w:bidi w:val="0"/>
            </w:pPr>
            <w:r>
              <w:t>1</w:t>
            </w:r>
            <w:r>
              <w:rPr>
                <w:rFonts w:hint="eastAsia"/>
              </w:rPr>
              <w:t>类</w:t>
            </w:r>
          </w:p>
        </w:tc>
        <w:tc>
          <w:tcPr>
            <w:tcW w:w="809" w:type="pct"/>
            <w:vMerge w:val="continue"/>
            <w:vAlign w:val="center"/>
          </w:tcPr>
          <w:p w14:paraId="18C6C0D3">
            <w:pPr>
              <w:pStyle w:val="28"/>
              <w:bidi w:val="0"/>
            </w:pPr>
          </w:p>
        </w:tc>
        <w:tc>
          <w:tcPr>
            <w:tcW w:w="208" w:type="pct"/>
            <w:vAlign w:val="center"/>
          </w:tcPr>
          <w:p w14:paraId="5F9CAE17">
            <w:pPr>
              <w:pStyle w:val="28"/>
              <w:bidi w:val="0"/>
            </w:pPr>
            <w:r>
              <w:t>53.6</w:t>
            </w:r>
          </w:p>
        </w:tc>
        <w:tc>
          <w:tcPr>
            <w:tcW w:w="211" w:type="pct"/>
            <w:vAlign w:val="center"/>
          </w:tcPr>
          <w:p w14:paraId="6D4A3769">
            <w:pPr>
              <w:pStyle w:val="28"/>
              <w:bidi w:val="0"/>
            </w:pPr>
            <w:r>
              <w:t>42.8</w:t>
            </w:r>
          </w:p>
        </w:tc>
        <w:tc>
          <w:tcPr>
            <w:tcW w:w="208" w:type="pct"/>
            <w:vAlign w:val="center"/>
          </w:tcPr>
          <w:p w14:paraId="6316A51C">
            <w:pPr>
              <w:pStyle w:val="28"/>
              <w:bidi w:val="0"/>
            </w:pPr>
            <w:r>
              <w:t>55</w:t>
            </w:r>
          </w:p>
        </w:tc>
        <w:tc>
          <w:tcPr>
            <w:tcW w:w="211" w:type="pct"/>
            <w:vAlign w:val="center"/>
          </w:tcPr>
          <w:p w14:paraId="27CA6E2D">
            <w:pPr>
              <w:pStyle w:val="28"/>
              <w:bidi w:val="0"/>
            </w:pPr>
            <w:r>
              <w:t>45</w:t>
            </w:r>
          </w:p>
        </w:tc>
        <w:tc>
          <w:tcPr>
            <w:tcW w:w="276" w:type="pct"/>
            <w:vAlign w:val="center"/>
          </w:tcPr>
          <w:p w14:paraId="0F1EC537">
            <w:pPr>
              <w:pStyle w:val="28"/>
              <w:bidi w:val="0"/>
            </w:pPr>
            <w:r>
              <w:t>51.8</w:t>
            </w:r>
          </w:p>
        </w:tc>
        <w:tc>
          <w:tcPr>
            <w:tcW w:w="257" w:type="pct"/>
            <w:vAlign w:val="center"/>
          </w:tcPr>
          <w:p w14:paraId="6102AC62">
            <w:pPr>
              <w:pStyle w:val="28"/>
              <w:bidi w:val="0"/>
            </w:pPr>
            <w:r>
              <w:t>43.8</w:t>
            </w:r>
          </w:p>
        </w:tc>
        <w:tc>
          <w:tcPr>
            <w:tcW w:w="257" w:type="pct"/>
            <w:vAlign w:val="center"/>
          </w:tcPr>
          <w:p w14:paraId="4789DC6C">
            <w:pPr>
              <w:pStyle w:val="28"/>
              <w:bidi w:val="0"/>
            </w:pPr>
            <w:r>
              <w:t>54.0</w:t>
            </w:r>
          </w:p>
        </w:tc>
        <w:tc>
          <w:tcPr>
            <w:tcW w:w="257" w:type="pct"/>
            <w:vAlign w:val="center"/>
          </w:tcPr>
          <w:p w14:paraId="49C82598">
            <w:pPr>
              <w:pStyle w:val="28"/>
              <w:bidi w:val="0"/>
            </w:pPr>
            <w:r>
              <w:t>0.4</w:t>
            </w:r>
          </w:p>
        </w:tc>
        <w:tc>
          <w:tcPr>
            <w:tcW w:w="209" w:type="pct"/>
            <w:vAlign w:val="center"/>
          </w:tcPr>
          <w:p w14:paraId="2F01D511">
            <w:pPr>
              <w:pStyle w:val="28"/>
              <w:bidi w:val="0"/>
            </w:pPr>
            <w:r>
              <w:t>达标</w:t>
            </w:r>
          </w:p>
        </w:tc>
      </w:tr>
      <w:tr w14:paraId="4ED24D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3C63027">
            <w:pPr>
              <w:pStyle w:val="28"/>
              <w:bidi w:val="0"/>
            </w:pPr>
            <w:r>
              <w:rPr>
                <w:rFonts w:hint="eastAsia"/>
              </w:rPr>
              <w:t>楼郢村</w:t>
            </w:r>
          </w:p>
        </w:tc>
        <w:tc>
          <w:tcPr>
            <w:tcW w:w="511" w:type="pct"/>
            <w:vAlign w:val="center"/>
          </w:tcPr>
          <w:p w14:paraId="7FB87223">
            <w:pPr>
              <w:pStyle w:val="28"/>
              <w:bidi w:val="0"/>
            </w:pPr>
            <w:r>
              <w:rPr>
                <w:rFonts w:hint="eastAsia"/>
              </w:rPr>
              <w:t>北园涵拆建</w:t>
            </w:r>
          </w:p>
        </w:tc>
        <w:tc>
          <w:tcPr>
            <w:tcW w:w="366" w:type="pct"/>
            <w:vAlign w:val="center"/>
          </w:tcPr>
          <w:p w14:paraId="5A3CD8EF">
            <w:pPr>
              <w:pStyle w:val="28"/>
              <w:bidi w:val="0"/>
            </w:pPr>
            <w:r>
              <w:t>20</w:t>
            </w:r>
          </w:p>
        </w:tc>
        <w:tc>
          <w:tcPr>
            <w:tcW w:w="268" w:type="pct"/>
            <w:vAlign w:val="center"/>
          </w:tcPr>
          <w:p w14:paraId="0B7E3959">
            <w:pPr>
              <w:pStyle w:val="28"/>
              <w:bidi w:val="0"/>
            </w:pPr>
            <w:r>
              <w:rPr>
                <w:rFonts w:hint="eastAsia"/>
              </w:rPr>
              <w:t>左岸</w:t>
            </w:r>
          </w:p>
        </w:tc>
        <w:tc>
          <w:tcPr>
            <w:tcW w:w="262" w:type="pct"/>
            <w:vAlign w:val="center"/>
          </w:tcPr>
          <w:p w14:paraId="20F54173">
            <w:pPr>
              <w:pStyle w:val="28"/>
              <w:bidi w:val="0"/>
            </w:pPr>
            <w:r>
              <w:t>1</w:t>
            </w:r>
            <w:r>
              <w:rPr>
                <w:rFonts w:hint="eastAsia"/>
              </w:rPr>
              <w:t>类</w:t>
            </w:r>
          </w:p>
        </w:tc>
        <w:tc>
          <w:tcPr>
            <w:tcW w:w="809" w:type="pct"/>
            <w:vAlign w:val="center"/>
          </w:tcPr>
          <w:p w14:paraId="48B65EB5">
            <w:pPr>
              <w:pStyle w:val="28"/>
              <w:bidi w:val="0"/>
            </w:pPr>
            <w:r>
              <w:rPr>
                <w:rFonts w:hint="eastAsia"/>
              </w:rPr>
              <w:t>采用低噪声设备，施工机械远离居民住宅，设置双层移动声屏障</w:t>
            </w:r>
          </w:p>
        </w:tc>
        <w:tc>
          <w:tcPr>
            <w:tcW w:w="208" w:type="pct"/>
            <w:vAlign w:val="center"/>
          </w:tcPr>
          <w:p w14:paraId="54903387">
            <w:pPr>
              <w:pStyle w:val="28"/>
              <w:bidi w:val="0"/>
            </w:pPr>
            <w:r>
              <w:t>50.3</w:t>
            </w:r>
          </w:p>
        </w:tc>
        <w:tc>
          <w:tcPr>
            <w:tcW w:w="211" w:type="pct"/>
            <w:vAlign w:val="center"/>
          </w:tcPr>
          <w:p w14:paraId="4CD4ACC3">
            <w:pPr>
              <w:pStyle w:val="28"/>
              <w:bidi w:val="0"/>
            </w:pPr>
            <w:r>
              <w:t>40.8</w:t>
            </w:r>
          </w:p>
        </w:tc>
        <w:tc>
          <w:tcPr>
            <w:tcW w:w="208" w:type="pct"/>
            <w:vAlign w:val="center"/>
          </w:tcPr>
          <w:p w14:paraId="4DBAF775">
            <w:pPr>
              <w:pStyle w:val="28"/>
              <w:bidi w:val="0"/>
            </w:pPr>
            <w:r>
              <w:t>55</w:t>
            </w:r>
          </w:p>
        </w:tc>
        <w:tc>
          <w:tcPr>
            <w:tcW w:w="211" w:type="pct"/>
            <w:vAlign w:val="center"/>
          </w:tcPr>
          <w:p w14:paraId="3526C7E6">
            <w:pPr>
              <w:pStyle w:val="28"/>
              <w:bidi w:val="0"/>
            </w:pPr>
            <w:r>
              <w:t>45</w:t>
            </w:r>
          </w:p>
        </w:tc>
        <w:tc>
          <w:tcPr>
            <w:tcW w:w="276" w:type="pct"/>
            <w:vAlign w:val="center"/>
          </w:tcPr>
          <w:p w14:paraId="62FDCC38">
            <w:pPr>
              <w:pStyle w:val="28"/>
              <w:bidi w:val="0"/>
            </w:pPr>
            <w:r>
              <w:t>67.2</w:t>
            </w:r>
          </w:p>
        </w:tc>
        <w:tc>
          <w:tcPr>
            <w:tcW w:w="257" w:type="pct"/>
            <w:vAlign w:val="center"/>
          </w:tcPr>
          <w:p w14:paraId="2BF8A003">
            <w:pPr>
              <w:pStyle w:val="28"/>
              <w:bidi w:val="0"/>
            </w:pPr>
            <w:r>
              <w:t>47.2</w:t>
            </w:r>
          </w:p>
        </w:tc>
        <w:tc>
          <w:tcPr>
            <w:tcW w:w="257" w:type="pct"/>
            <w:vAlign w:val="center"/>
          </w:tcPr>
          <w:p w14:paraId="64CC67AC">
            <w:pPr>
              <w:pStyle w:val="28"/>
              <w:bidi w:val="0"/>
            </w:pPr>
            <w:r>
              <w:t>52.0</w:t>
            </w:r>
          </w:p>
        </w:tc>
        <w:tc>
          <w:tcPr>
            <w:tcW w:w="257" w:type="pct"/>
            <w:vAlign w:val="center"/>
          </w:tcPr>
          <w:p w14:paraId="53349DFD">
            <w:pPr>
              <w:pStyle w:val="28"/>
              <w:bidi w:val="0"/>
            </w:pPr>
            <w:r>
              <w:t>1.7</w:t>
            </w:r>
          </w:p>
        </w:tc>
        <w:tc>
          <w:tcPr>
            <w:tcW w:w="209" w:type="pct"/>
            <w:vAlign w:val="center"/>
          </w:tcPr>
          <w:p w14:paraId="4697EB89">
            <w:pPr>
              <w:pStyle w:val="28"/>
              <w:bidi w:val="0"/>
            </w:pPr>
            <w:r>
              <w:t>达标</w:t>
            </w:r>
          </w:p>
        </w:tc>
      </w:tr>
      <w:tr w14:paraId="428F4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D5A8F00">
            <w:pPr>
              <w:pStyle w:val="28"/>
              <w:bidi w:val="0"/>
            </w:pPr>
            <w:r>
              <w:rPr>
                <w:rFonts w:hint="eastAsia"/>
              </w:rPr>
              <w:t>土城</w:t>
            </w:r>
          </w:p>
        </w:tc>
        <w:tc>
          <w:tcPr>
            <w:tcW w:w="511" w:type="pct"/>
            <w:vAlign w:val="center"/>
          </w:tcPr>
          <w:p w14:paraId="501BAEC3">
            <w:pPr>
              <w:pStyle w:val="28"/>
              <w:bidi w:val="0"/>
            </w:pPr>
            <w:r>
              <w:rPr>
                <w:rFonts w:hint="eastAsia"/>
              </w:rPr>
              <w:t>土城涵拆建</w:t>
            </w:r>
          </w:p>
        </w:tc>
        <w:tc>
          <w:tcPr>
            <w:tcW w:w="366" w:type="pct"/>
            <w:vAlign w:val="center"/>
          </w:tcPr>
          <w:p w14:paraId="2F72D46D">
            <w:pPr>
              <w:pStyle w:val="28"/>
              <w:bidi w:val="0"/>
            </w:pPr>
            <w:r>
              <w:t>160</w:t>
            </w:r>
          </w:p>
        </w:tc>
        <w:tc>
          <w:tcPr>
            <w:tcW w:w="268" w:type="pct"/>
            <w:vAlign w:val="center"/>
          </w:tcPr>
          <w:p w14:paraId="24158C9D">
            <w:pPr>
              <w:pStyle w:val="28"/>
              <w:bidi w:val="0"/>
            </w:pPr>
            <w:r>
              <w:rPr>
                <w:rFonts w:hint="eastAsia"/>
              </w:rPr>
              <w:t>左岸</w:t>
            </w:r>
          </w:p>
        </w:tc>
        <w:tc>
          <w:tcPr>
            <w:tcW w:w="262" w:type="pct"/>
            <w:vAlign w:val="center"/>
          </w:tcPr>
          <w:p w14:paraId="2488C17D">
            <w:pPr>
              <w:pStyle w:val="28"/>
              <w:bidi w:val="0"/>
            </w:pPr>
            <w:r>
              <w:t>1</w:t>
            </w:r>
            <w:r>
              <w:rPr>
                <w:rFonts w:hint="eastAsia"/>
              </w:rPr>
              <w:t>类</w:t>
            </w:r>
          </w:p>
        </w:tc>
        <w:tc>
          <w:tcPr>
            <w:tcW w:w="809" w:type="pct"/>
            <w:vMerge w:val="restart"/>
            <w:vAlign w:val="center"/>
          </w:tcPr>
          <w:p w14:paraId="57EC7BFE">
            <w:pPr>
              <w:pStyle w:val="28"/>
              <w:bidi w:val="0"/>
            </w:pPr>
            <w:r>
              <w:rPr>
                <w:rFonts w:hint="eastAsia"/>
              </w:rPr>
              <w:t>采用低噪声设备，施工机械远离居民住宅</w:t>
            </w:r>
          </w:p>
        </w:tc>
        <w:tc>
          <w:tcPr>
            <w:tcW w:w="208" w:type="pct"/>
            <w:vAlign w:val="center"/>
          </w:tcPr>
          <w:p w14:paraId="691D04E1">
            <w:pPr>
              <w:pStyle w:val="28"/>
              <w:bidi w:val="0"/>
            </w:pPr>
            <w:r>
              <w:t>50.3</w:t>
            </w:r>
          </w:p>
        </w:tc>
        <w:tc>
          <w:tcPr>
            <w:tcW w:w="211" w:type="pct"/>
            <w:vAlign w:val="center"/>
          </w:tcPr>
          <w:p w14:paraId="6888BCD2">
            <w:pPr>
              <w:pStyle w:val="28"/>
              <w:bidi w:val="0"/>
            </w:pPr>
            <w:r>
              <w:t>40.8</w:t>
            </w:r>
          </w:p>
        </w:tc>
        <w:tc>
          <w:tcPr>
            <w:tcW w:w="208" w:type="pct"/>
            <w:vAlign w:val="center"/>
          </w:tcPr>
          <w:p w14:paraId="14BB6A9C">
            <w:pPr>
              <w:pStyle w:val="28"/>
              <w:bidi w:val="0"/>
            </w:pPr>
            <w:r>
              <w:t>55</w:t>
            </w:r>
          </w:p>
        </w:tc>
        <w:tc>
          <w:tcPr>
            <w:tcW w:w="211" w:type="pct"/>
            <w:vAlign w:val="center"/>
          </w:tcPr>
          <w:p w14:paraId="7DEA316C">
            <w:pPr>
              <w:pStyle w:val="28"/>
              <w:bidi w:val="0"/>
            </w:pPr>
            <w:r>
              <w:t>45</w:t>
            </w:r>
          </w:p>
        </w:tc>
        <w:tc>
          <w:tcPr>
            <w:tcW w:w="276" w:type="pct"/>
            <w:vAlign w:val="center"/>
          </w:tcPr>
          <w:p w14:paraId="35B1D836">
            <w:pPr>
              <w:pStyle w:val="28"/>
              <w:bidi w:val="0"/>
            </w:pPr>
            <w:r>
              <w:t>49.1</w:t>
            </w:r>
          </w:p>
        </w:tc>
        <w:tc>
          <w:tcPr>
            <w:tcW w:w="257" w:type="pct"/>
            <w:vAlign w:val="center"/>
          </w:tcPr>
          <w:p w14:paraId="3E13BD6F">
            <w:pPr>
              <w:pStyle w:val="28"/>
              <w:bidi w:val="0"/>
            </w:pPr>
            <w:r>
              <w:t>42.1</w:t>
            </w:r>
          </w:p>
        </w:tc>
        <w:tc>
          <w:tcPr>
            <w:tcW w:w="257" w:type="pct"/>
            <w:vAlign w:val="center"/>
          </w:tcPr>
          <w:p w14:paraId="157A5D94">
            <w:pPr>
              <w:pStyle w:val="28"/>
              <w:bidi w:val="0"/>
            </w:pPr>
            <w:r>
              <w:t>50.9</w:t>
            </w:r>
          </w:p>
        </w:tc>
        <w:tc>
          <w:tcPr>
            <w:tcW w:w="257" w:type="pct"/>
            <w:vAlign w:val="center"/>
          </w:tcPr>
          <w:p w14:paraId="7825ADBB">
            <w:pPr>
              <w:pStyle w:val="28"/>
              <w:bidi w:val="0"/>
            </w:pPr>
            <w:r>
              <w:t>0.6</w:t>
            </w:r>
          </w:p>
        </w:tc>
        <w:tc>
          <w:tcPr>
            <w:tcW w:w="209" w:type="pct"/>
            <w:vAlign w:val="center"/>
          </w:tcPr>
          <w:p w14:paraId="53AD69B6">
            <w:pPr>
              <w:pStyle w:val="28"/>
              <w:bidi w:val="0"/>
            </w:pPr>
            <w:r>
              <w:t>达标</w:t>
            </w:r>
          </w:p>
        </w:tc>
      </w:tr>
      <w:tr w14:paraId="55AE7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5B001B1">
            <w:pPr>
              <w:pStyle w:val="28"/>
              <w:bidi w:val="0"/>
            </w:pPr>
            <w:r>
              <w:rPr>
                <w:rFonts w:hint="eastAsia"/>
              </w:rPr>
              <w:t>高庄</w:t>
            </w:r>
          </w:p>
        </w:tc>
        <w:tc>
          <w:tcPr>
            <w:tcW w:w="511" w:type="pct"/>
            <w:vAlign w:val="center"/>
          </w:tcPr>
          <w:p w14:paraId="6D57D29F">
            <w:pPr>
              <w:pStyle w:val="28"/>
              <w:bidi w:val="0"/>
            </w:pPr>
            <w:r>
              <w:rPr>
                <w:rFonts w:hint="eastAsia"/>
              </w:rPr>
              <w:t>高庄农门拆建</w:t>
            </w:r>
          </w:p>
        </w:tc>
        <w:tc>
          <w:tcPr>
            <w:tcW w:w="366" w:type="pct"/>
            <w:vAlign w:val="center"/>
          </w:tcPr>
          <w:p w14:paraId="3CD62B63">
            <w:pPr>
              <w:pStyle w:val="28"/>
              <w:bidi w:val="0"/>
            </w:pPr>
            <w:r>
              <w:t>170</w:t>
            </w:r>
          </w:p>
        </w:tc>
        <w:tc>
          <w:tcPr>
            <w:tcW w:w="268" w:type="pct"/>
            <w:vAlign w:val="center"/>
          </w:tcPr>
          <w:p w14:paraId="0BB51321">
            <w:pPr>
              <w:pStyle w:val="28"/>
              <w:bidi w:val="0"/>
            </w:pPr>
            <w:r>
              <w:rPr>
                <w:rFonts w:hint="eastAsia"/>
              </w:rPr>
              <w:t>左岸</w:t>
            </w:r>
          </w:p>
        </w:tc>
        <w:tc>
          <w:tcPr>
            <w:tcW w:w="262" w:type="pct"/>
            <w:vAlign w:val="center"/>
          </w:tcPr>
          <w:p w14:paraId="19AA8282">
            <w:pPr>
              <w:pStyle w:val="28"/>
              <w:bidi w:val="0"/>
            </w:pPr>
            <w:r>
              <w:t>1</w:t>
            </w:r>
            <w:r>
              <w:rPr>
                <w:rFonts w:hint="eastAsia"/>
              </w:rPr>
              <w:t>类</w:t>
            </w:r>
          </w:p>
        </w:tc>
        <w:tc>
          <w:tcPr>
            <w:tcW w:w="809" w:type="pct"/>
            <w:vMerge w:val="continue"/>
            <w:vAlign w:val="center"/>
          </w:tcPr>
          <w:p w14:paraId="528BD3FE">
            <w:pPr>
              <w:pStyle w:val="28"/>
              <w:bidi w:val="0"/>
            </w:pPr>
          </w:p>
        </w:tc>
        <w:tc>
          <w:tcPr>
            <w:tcW w:w="208" w:type="pct"/>
            <w:vAlign w:val="center"/>
          </w:tcPr>
          <w:p w14:paraId="0212E952">
            <w:pPr>
              <w:pStyle w:val="28"/>
              <w:bidi w:val="0"/>
            </w:pPr>
            <w:r>
              <w:t>50.3</w:t>
            </w:r>
          </w:p>
        </w:tc>
        <w:tc>
          <w:tcPr>
            <w:tcW w:w="211" w:type="pct"/>
            <w:vAlign w:val="center"/>
          </w:tcPr>
          <w:p w14:paraId="1E554C27">
            <w:pPr>
              <w:pStyle w:val="28"/>
              <w:bidi w:val="0"/>
            </w:pPr>
            <w:r>
              <w:t>40.8</w:t>
            </w:r>
          </w:p>
        </w:tc>
        <w:tc>
          <w:tcPr>
            <w:tcW w:w="208" w:type="pct"/>
            <w:vAlign w:val="center"/>
          </w:tcPr>
          <w:p w14:paraId="285D0E8F">
            <w:pPr>
              <w:pStyle w:val="28"/>
              <w:bidi w:val="0"/>
            </w:pPr>
            <w:r>
              <w:t>55</w:t>
            </w:r>
          </w:p>
        </w:tc>
        <w:tc>
          <w:tcPr>
            <w:tcW w:w="211" w:type="pct"/>
            <w:vAlign w:val="center"/>
          </w:tcPr>
          <w:p w14:paraId="0DBC1EAB">
            <w:pPr>
              <w:pStyle w:val="28"/>
              <w:bidi w:val="0"/>
            </w:pPr>
            <w:r>
              <w:t>45</w:t>
            </w:r>
          </w:p>
        </w:tc>
        <w:tc>
          <w:tcPr>
            <w:tcW w:w="276" w:type="pct"/>
            <w:vAlign w:val="center"/>
          </w:tcPr>
          <w:p w14:paraId="7956DF57">
            <w:pPr>
              <w:pStyle w:val="28"/>
              <w:bidi w:val="0"/>
            </w:pPr>
            <w:r>
              <w:t>48.6</w:t>
            </w:r>
          </w:p>
        </w:tc>
        <w:tc>
          <w:tcPr>
            <w:tcW w:w="257" w:type="pct"/>
            <w:vAlign w:val="center"/>
          </w:tcPr>
          <w:p w14:paraId="02A65451">
            <w:pPr>
              <w:pStyle w:val="28"/>
              <w:bidi w:val="0"/>
            </w:pPr>
            <w:r>
              <w:t>41.6</w:t>
            </w:r>
          </w:p>
        </w:tc>
        <w:tc>
          <w:tcPr>
            <w:tcW w:w="257" w:type="pct"/>
            <w:vAlign w:val="center"/>
          </w:tcPr>
          <w:p w14:paraId="64FE8302">
            <w:pPr>
              <w:pStyle w:val="28"/>
              <w:bidi w:val="0"/>
            </w:pPr>
            <w:r>
              <w:t>50.8</w:t>
            </w:r>
          </w:p>
        </w:tc>
        <w:tc>
          <w:tcPr>
            <w:tcW w:w="257" w:type="pct"/>
            <w:vAlign w:val="center"/>
          </w:tcPr>
          <w:p w14:paraId="7136551E">
            <w:pPr>
              <w:pStyle w:val="28"/>
              <w:bidi w:val="0"/>
            </w:pPr>
            <w:r>
              <w:t>0.5</w:t>
            </w:r>
          </w:p>
        </w:tc>
        <w:tc>
          <w:tcPr>
            <w:tcW w:w="209" w:type="pct"/>
            <w:vAlign w:val="center"/>
          </w:tcPr>
          <w:p w14:paraId="0CF94651">
            <w:pPr>
              <w:pStyle w:val="28"/>
              <w:bidi w:val="0"/>
            </w:pPr>
            <w:r>
              <w:t>达标</w:t>
            </w:r>
          </w:p>
        </w:tc>
      </w:tr>
      <w:tr w14:paraId="698F8FA1">
        <w:tblPrEx>
          <w:tblCellMar>
            <w:top w:w="0" w:type="dxa"/>
            <w:left w:w="108" w:type="dxa"/>
            <w:bottom w:w="0" w:type="dxa"/>
            <w:right w:w="108" w:type="dxa"/>
          </w:tblCellMar>
        </w:tblPrEx>
        <w:trPr>
          <w:trHeight w:val="340" w:hRule="atLeast"/>
          <w:jc w:val="center"/>
        </w:trPr>
        <w:tc>
          <w:tcPr>
            <w:tcW w:w="685" w:type="pct"/>
            <w:vAlign w:val="center"/>
          </w:tcPr>
          <w:p w14:paraId="4D9E36C3">
            <w:pPr>
              <w:pStyle w:val="28"/>
              <w:bidi w:val="0"/>
            </w:pPr>
            <w:r>
              <w:rPr>
                <w:rFonts w:hint="eastAsia"/>
              </w:rPr>
              <w:t>周家圩</w:t>
            </w:r>
          </w:p>
        </w:tc>
        <w:tc>
          <w:tcPr>
            <w:tcW w:w="511" w:type="pct"/>
            <w:vAlign w:val="center"/>
          </w:tcPr>
          <w:p w14:paraId="0564744C">
            <w:pPr>
              <w:pStyle w:val="28"/>
              <w:bidi w:val="0"/>
            </w:pPr>
            <w:r>
              <w:rPr>
                <w:rFonts w:hint="eastAsia"/>
              </w:rPr>
              <w:t>唐墩涵拆建</w:t>
            </w:r>
          </w:p>
        </w:tc>
        <w:tc>
          <w:tcPr>
            <w:tcW w:w="366" w:type="pct"/>
            <w:vAlign w:val="center"/>
          </w:tcPr>
          <w:p w14:paraId="39F57B32">
            <w:pPr>
              <w:pStyle w:val="28"/>
              <w:bidi w:val="0"/>
            </w:pPr>
            <w:r>
              <w:t>170</w:t>
            </w:r>
          </w:p>
        </w:tc>
        <w:tc>
          <w:tcPr>
            <w:tcW w:w="268" w:type="pct"/>
            <w:vAlign w:val="center"/>
          </w:tcPr>
          <w:p w14:paraId="7BF69C34">
            <w:pPr>
              <w:pStyle w:val="28"/>
              <w:bidi w:val="0"/>
            </w:pPr>
            <w:r>
              <w:rPr>
                <w:rFonts w:hint="eastAsia"/>
              </w:rPr>
              <w:t>左岸</w:t>
            </w:r>
          </w:p>
        </w:tc>
        <w:tc>
          <w:tcPr>
            <w:tcW w:w="262" w:type="pct"/>
            <w:vAlign w:val="center"/>
          </w:tcPr>
          <w:p w14:paraId="163CF7FB">
            <w:pPr>
              <w:pStyle w:val="28"/>
              <w:bidi w:val="0"/>
            </w:pPr>
            <w:r>
              <w:t>1</w:t>
            </w:r>
            <w:r>
              <w:rPr>
                <w:rFonts w:hint="eastAsia"/>
              </w:rPr>
              <w:t>类</w:t>
            </w:r>
          </w:p>
        </w:tc>
        <w:tc>
          <w:tcPr>
            <w:tcW w:w="809" w:type="pct"/>
            <w:vMerge w:val="continue"/>
            <w:vAlign w:val="center"/>
          </w:tcPr>
          <w:p w14:paraId="41AE25EB">
            <w:pPr>
              <w:pStyle w:val="28"/>
              <w:bidi w:val="0"/>
            </w:pPr>
          </w:p>
        </w:tc>
        <w:tc>
          <w:tcPr>
            <w:tcW w:w="208" w:type="pct"/>
            <w:vAlign w:val="center"/>
          </w:tcPr>
          <w:p w14:paraId="66A58521">
            <w:pPr>
              <w:pStyle w:val="28"/>
              <w:bidi w:val="0"/>
            </w:pPr>
            <w:r>
              <w:t>50.3</w:t>
            </w:r>
          </w:p>
        </w:tc>
        <w:tc>
          <w:tcPr>
            <w:tcW w:w="211" w:type="pct"/>
            <w:vAlign w:val="center"/>
          </w:tcPr>
          <w:p w14:paraId="05330676">
            <w:pPr>
              <w:pStyle w:val="28"/>
              <w:bidi w:val="0"/>
            </w:pPr>
            <w:r>
              <w:t>40.8</w:t>
            </w:r>
          </w:p>
        </w:tc>
        <w:tc>
          <w:tcPr>
            <w:tcW w:w="208" w:type="pct"/>
            <w:vAlign w:val="center"/>
          </w:tcPr>
          <w:p w14:paraId="58603977">
            <w:pPr>
              <w:pStyle w:val="28"/>
              <w:bidi w:val="0"/>
            </w:pPr>
            <w:r>
              <w:t>55</w:t>
            </w:r>
          </w:p>
        </w:tc>
        <w:tc>
          <w:tcPr>
            <w:tcW w:w="211" w:type="pct"/>
            <w:vAlign w:val="center"/>
          </w:tcPr>
          <w:p w14:paraId="500E33C4">
            <w:pPr>
              <w:pStyle w:val="28"/>
              <w:bidi w:val="0"/>
            </w:pPr>
            <w:r>
              <w:t>45</w:t>
            </w:r>
          </w:p>
        </w:tc>
        <w:tc>
          <w:tcPr>
            <w:tcW w:w="276" w:type="pct"/>
            <w:vAlign w:val="center"/>
          </w:tcPr>
          <w:p w14:paraId="75D4C9E0">
            <w:pPr>
              <w:pStyle w:val="28"/>
              <w:bidi w:val="0"/>
            </w:pPr>
            <w:r>
              <w:t>48.6</w:t>
            </w:r>
          </w:p>
        </w:tc>
        <w:tc>
          <w:tcPr>
            <w:tcW w:w="257" w:type="pct"/>
            <w:vAlign w:val="center"/>
          </w:tcPr>
          <w:p w14:paraId="6D6FD386">
            <w:pPr>
              <w:pStyle w:val="28"/>
              <w:bidi w:val="0"/>
            </w:pPr>
            <w:r>
              <w:t>41.6</w:t>
            </w:r>
          </w:p>
        </w:tc>
        <w:tc>
          <w:tcPr>
            <w:tcW w:w="257" w:type="pct"/>
            <w:vAlign w:val="center"/>
          </w:tcPr>
          <w:p w14:paraId="534886D5">
            <w:pPr>
              <w:pStyle w:val="28"/>
              <w:bidi w:val="0"/>
            </w:pPr>
            <w:r>
              <w:t>50.8</w:t>
            </w:r>
          </w:p>
        </w:tc>
        <w:tc>
          <w:tcPr>
            <w:tcW w:w="257" w:type="pct"/>
            <w:vAlign w:val="center"/>
          </w:tcPr>
          <w:p w14:paraId="314C6CBB">
            <w:pPr>
              <w:pStyle w:val="28"/>
              <w:bidi w:val="0"/>
            </w:pPr>
            <w:r>
              <w:t>0.5</w:t>
            </w:r>
          </w:p>
        </w:tc>
        <w:tc>
          <w:tcPr>
            <w:tcW w:w="209" w:type="pct"/>
            <w:vAlign w:val="center"/>
          </w:tcPr>
          <w:p w14:paraId="04FB4125">
            <w:pPr>
              <w:pStyle w:val="28"/>
              <w:bidi w:val="0"/>
            </w:pPr>
            <w:r>
              <w:t>达标</w:t>
            </w:r>
          </w:p>
        </w:tc>
      </w:tr>
      <w:tr w14:paraId="64699E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189CE41">
            <w:pPr>
              <w:pStyle w:val="28"/>
              <w:bidi w:val="0"/>
            </w:pPr>
            <w:r>
              <w:rPr>
                <w:rFonts w:hint="eastAsia"/>
              </w:rPr>
              <w:t>梅店村</w:t>
            </w:r>
          </w:p>
        </w:tc>
        <w:tc>
          <w:tcPr>
            <w:tcW w:w="511" w:type="pct"/>
            <w:vAlign w:val="center"/>
          </w:tcPr>
          <w:p w14:paraId="0B8450D7">
            <w:pPr>
              <w:pStyle w:val="28"/>
              <w:bidi w:val="0"/>
            </w:pPr>
            <w:r>
              <w:rPr>
                <w:rFonts w:hint="eastAsia"/>
              </w:rPr>
              <w:t>梅店农户拆建</w:t>
            </w:r>
          </w:p>
        </w:tc>
        <w:tc>
          <w:tcPr>
            <w:tcW w:w="366" w:type="pct"/>
            <w:vAlign w:val="center"/>
          </w:tcPr>
          <w:p w14:paraId="72D6A463">
            <w:pPr>
              <w:pStyle w:val="28"/>
              <w:bidi w:val="0"/>
            </w:pPr>
            <w:r>
              <w:t>180</w:t>
            </w:r>
          </w:p>
        </w:tc>
        <w:tc>
          <w:tcPr>
            <w:tcW w:w="268" w:type="pct"/>
            <w:vAlign w:val="center"/>
          </w:tcPr>
          <w:p w14:paraId="6E60DB21">
            <w:pPr>
              <w:pStyle w:val="28"/>
              <w:bidi w:val="0"/>
            </w:pPr>
            <w:r>
              <w:rPr>
                <w:rFonts w:hint="eastAsia"/>
              </w:rPr>
              <w:t>左岸</w:t>
            </w:r>
          </w:p>
        </w:tc>
        <w:tc>
          <w:tcPr>
            <w:tcW w:w="262" w:type="pct"/>
            <w:vAlign w:val="center"/>
          </w:tcPr>
          <w:p w14:paraId="57FA1786">
            <w:pPr>
              <w:pStyle w:val="28"/>
              <w:bidi w:val="0"/>
            </w:pPr>
            <w:r>
              <w:t>1</w:t>
            </w:r>
            <w:r>
              <w:rPr>
                <w:rFonts w:hint="eastAsia"/>
              </w:rPr>
              <w:t>类</w:t>
            </w:r>
          </w:p>
        </w:tc>
        <w:tc>
          <w:tcPr>
            <w:tcW w:w="809" w:type="pct"/>
            <w:vMerge w:val="continue"/>
            <w:vAlign w:val="center"/>
          </w:tcPr>
          <w:p w14:paraId="08AFAD2B">
            <w:pPr>
              <w:pStyle w:val="28"/>
              <w:bidi w:val="0"/>
            </w:pPr>
          </w:p>
        </w:tc>
        <w:tc>
          <w:tcPr>
            <w:tcW w:w="208" w:type="pct"/>
            <w:vAlign w:val="center"/>
          </w:tcPr>
          <w:p w14:paraId="665B8EAC">
            <w:pPr>
              <w:pStyle w:val="28"/>
              <w:bidi w:val="0"/>
            </w:pPr>
            <w:r>
              <w:t>50.3</w:t>
            </w:r>
          </w:p>
        </w:tc>
        <w:tc>
          <w:tcPr>
            <w:tcW w:w="211" w:type="pct"/>
            <w:vAlign w:val="center"/>
          </w:tcPr>
          <w:p w14:paraId="7B7EDC7A">
            <w:pPr>
              <w:pStyle w:val="28"/>
              <w:bidi w:val="0"/>
            </w:pPr>
            <w:r>
              <w:t>40.8</w:t>
            </w:r>
          </w:p>
        </w:tc>
        <w:tc>
          <w:tcPr>
            <w:tcW w:w="208" w:type="pct"/>
            <w:vAlign w:val="center"/>
          </w:tcPr>
          <w:p w14:paraId="4A30CA7D">
            <w:pPr>
              <w:pStyle w:val="28"/>
              <w:bidi w:val="0"/>
            </w:pPr>
            <w:r>
              <w:t>55</w:t>
            </w:r>
          </w:p>
        </w:tc>
        <w:tc>
          <w:tcPr>
            <w:tcW w:w="211" w:type="pct"/>
            <w:vAlign w:val="center"/>
          </w:tcPr>
          <w:p w14:paraId="2394F735">
            <w:pPr>
              <w:pStyle w:val="28"/>
              <w:bidi w:val="0"/>
            </w:pPr>
            <w:r>
              <w:t>45</w:t>
            </w:r>
          </w:p>
        </w:tc>
        <w:tc>
          <w:tcPr>
            <w:tcW w:w="276" w:type="pct"/>
            <w:vAlign w:val="center"/>
          </w:tcPr>
          <w:p w14:paraId="61E7E0C7">
            <w:pPr>
              <w:pStyle w:val="28"/>
              <w:bidi w:val="0"/>
            </w:pPr>
            <w:r>
              <w:t>48.1</w:t>
            </w:r>
          </w:p>
        </w:tc>
        <w:tc>
          <w:tcPr>
            <w:tcW w:w="257" w:type="pct"/>
            <w:vAlign w:val="center"/>
          </w:tcPr>
          <w:p w14:paraId="48BD81A9">
            <w:pPr>
              <w:pStyle w:val="28"/>
              <w:bidi w:val="0"/>
            </w:pPr>
            <w:r>
              <w:t>41.1</w:t>
            </w:r>
          </w:p>
        </w:tc>
        <w:tc>
          <w:tcPr>
            <w:tcW w:w="257" w:type="pct"/>
            <w:vAlign w:val="center"/>
          </w:tcPr>
          <w:p w14:paraId="243A5929">
            <w:pPr>
              <w:pStyle w:val="28"/>
              <w:bidi w:val="0"/>
            </w:pPr>
            <w:r>
              <w:t>50.8</w:t>
            </w:r>
          </w:p>
        </w:tc>
        <w:tc>
          <w:tcPr>
            <w:tcW w:w="257" w:type="pct"/>
            <w:vAlign w:val="center"/>
          </w:tcPr>
          <w:p w14:paraId="790BD020">
            <w:pPr>
              <w:pStyle w:val="28"/>
              <w:bidi w:val="0"/>
            </w:pPr>
            <w:r>
              <w:t>0.5</w:t>
            </w:r>
          </w:p>
        </w:tc>
        <w:tc>
          <w:tcPr>
            <w:tcW w:w="209" w:type="pct"/>
            <w:vAlign w:val="center"/>
          </w:tcPr>
          <w:p w14:paraId="229C8465">
            <w:pPr>
              <w:pStyle w:val="28"/>
              <w:bidi w:val="0"/>
            </w:pPr>
            <w:r>
              <w:t>达标</w:t>
            </w:r>
          </w:p>
        </w:tc>
      </w:tr>
      <w:tr w14:paraId="06356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0CFCA3D">
            <w:pPr>
              <w:pStyle w:val="28"/>
              <w:bidi w:val="0"/>
            </w:pPr>
            <w:r>
              <w:rPr>
                <w:rFonts w:hint="eastAsia"/>
              </w:rPr>
              <w:t>众兴镇</w:t>
            </w:r>
          </w:p>
        </w:tc>
        <w:tc>
          <w:tcPr>
            <w:tcW w:w="511" w:type="pct"/>
            <w:vAlign w:val="center"/>
          </w:tcPr>
          <w:p w14:paraId="5052AF0D">
            <w:pPr>
              <w:pStyle w:val="28"/>
              <w:bidi w:val="0"/>
            </w:pPr>
            <w:r>
              <w:rPr>
                <w:rFonts w:hint="eastAsia"/>
              </w:rPr>
              <w:t>王安进水闸拆建</w:t>
            </w:r>
          </w:p>
        </w:tc>
        <w:tc>
          <w:tcPr>
            <w:tcW w:w="366" w:type="pct"/>
            <w:vAlign w:val="center"/>
          </w:tcPr>
          <w:p w14:paraId="7410E7EE">
            <w:pPr>
              <w:pStyle w:val="28"/>
              <w:bidi w:val="0"/>
            </w:pPr>
            <w:r>
              <w:t>35</w:t>
            </w:r>
          </w:p>
        </w:tc>
        <w:tc>
          <w:tcPr>
            <w:tcW w:w="268" w:type="pct"/>
            <w:vAlign w:val="center"/>
          </w:tcPr>
          <w:p w14:paraId="5646B28F">
            <w:pPr>
              <w:pStyle w:val="28"/>
              <w:bidi w:val="0"/>
            </w:pPr>
            <w:r>
              <w:rPr>
                <w:rFonts w:hint="eastAsia"/>
              </w:rPr>
              <w:t>左岸</w:t>
            </w:r>
          </w:p>
        </w:tc>
        <w:tc>
          <w:tcPr>
            <w:tcW w:w="262" w:type="pct"/>
            <w:vAlign w:val="center"/>
          </w:tcPr>
          <w:p w14:paraId="08753001">
            <w:pPr>
              <w:pStyle w:val="28"/>
              <w:bidi w:val="0"/>
            </w:pPr>
            <w:r>
              <w:t>2</w:t>
            </w:r>
            <w:r>
              <w:rPr>
                <w:rFonts w:hint="eastAsia"/>
              </w:rPr>
              <w:t>类</w:t>
            </w:r>
          </w:p>
        </w:tc>
        <w:tc>
          <w:tcPr>
            <w:tcW w:w="809" w:type="pct"/>
            <w:vAlign w:val="center"/>
          </w:tcPr>
          <w:p w14:paraId="764F34EB">
            <w:pPr>
              <w:pStyle w:val="28"/>
              <w:bidi w:val="0"/>
            </w:pPr>
            <w:r>
              <w:rPr>
                <w:rFonts w:hint="eastAsia"/>
              </w:rPr>
              <w:t>采用低噪声设备，施工机械远离居民住宅，设置双层移动声屏障</w:t>
            </w:r>
          </w:p>
        </w:tc>
        <w:tc>
          <w:tcPr>
            <w:tcW w:w="208" w:type="pct"/>
            <w:vAlign w:val="center"/>
          </w:tcPr>
          <w:p w14:paraId="21FEB515">
            <w:pPr>
              <w:pStyle w:val="28"/>
              <w:bidi w:val="0"/>
            </w:pPr>
            <w:r>
              <w:t>50.3</w:t>
            </w:r>
          </w:p>
        </w:tc>
        <w:tc>
          <w:tcPr>
            <w:tcW w:w="211" w:type="pct"/>
            <w:vAlign w:val="center"/>
          </w:tcPr>
          <w:p w14:paraId="588D1497">
            <w:pPr>
              <w:pStyle w:val="28"/>
              <w:bidi w:val="0"/>
            </w:pPr>
            <w:r>
              <w:t>40.8</w:t>
            </w:r>
          </w:p>
        </w:tc>
        <w:tc>
          <w:tcPr>
            <w:tcW w:w="208" w:type="pct"/>
            <w:vAlign w:val="center"/>
          </w:tcPr>
          <w:p w14:paraId="5A58DECF">
            <w:pPr>
              <w:pStyle w:val="28"/>
              <w:bidi w:val="0"/>
            </w:pPr>
            <w:r>
              <w:t>60</w:t>
            </w:r>
          </w:p>
        </w:tc>
        <w:tc>
          <w:tcPr>
            <w:tcW w:w="211" w:type="pct"/>
            <w:vAlign w:val="center"/>
          </w:tcPr>
          <w:p w14:paraId="00311973">
            <w:pPr>
              <w:pStyle w:val="28"/>
              <w:bidi w:val="0"/>
            </w:pPr>
            <w:r>
              <w:t>50</w:t>
            </w:r>
          </w:p>
        </w:tc>
        <w:tc>
          <w:tcPr>
            <w:tcW w:w="276" w:type="pct"/>
            <w:vAlign w:val="center"/>
          </w:tcPr>
          <w:p w14:paraId="044433BA">
            <w:pPr>
              <w:pStyle w:val="28"/>
              <w:bidi w:val="0"/>
            </w:pPr>
            <w:r>
              <w:t>62.3</w:t>
            </w:r>
          </w:p>
        </w:tc>
        <w:tc>
          <w:tcPr>
            <w:tcW w:w="257" w:type="pct"/>
            <w:vAlign w:val="center"/>
          </w:tcPr>
          <w:p w14:paraId="73F43ECD">
            <w:pPr>
              <w:pStyle w:val="28"/>
              <w:bidi w:val="0"/>
            </w:pPr>
            <w:r>
              <w:t>42.3</w:t>
            </w:r>
          </w:p>
        </w:tc>
        <w:tc>
          <w:tcPr>
            <w:tcW w:w="257" w:type="pct"/>
            <w:vAlign w:val="center"/>
          </w:tcPr>
          <w:p w14:paraId="5582B0E0">
            <w:pPr>
              <w:pStyle w:val="28"/>
              <w:bidi w:val="0"/>
            </w:pPr>
            <w:r>
              <w:t>50.9</w:t>
            </w:r>
          </w:p>
        </w:tc>
        <w:tc>
          <w:tcPr>
            <w:tcW w:w="257" w:type="pct"/>
            <w:vAlign w:val="center"/>
          </w:tcPr>
          <w:p w14:paraId="4F9C6A66">
            <w:pPr>
              <w:pStyle w:val="28"/>
              <w:bidi w:val="0"/>
            </w:pPr>
            <w:r>
              <w:t>0.6</w:t>
            </w:r>
          </w:p>
        </w:tc>
        <w:tc>
          <w:tcPr>
            <w:tcW w:w="209" w:type="pct"/>
            <w:vAlign w:val="center"/>
          </w:tcPr>
          <w:p w14:paraId="6D5D38D6">
            <w:pPr>
              <w:pStyle w:val="28"/>
              <w:bidi w:val="0"/>
            </w:pPr>
            <w:r>
              <w:t>达标</w:t>
            </w:r>
          </w:p>
        </w:tc>
      </w:tr>
      <w:tr w14:paraId="72EDD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01D8700">
            <w:pPr>
              <w:pStyle w:val="28"/>
              <w:bidi w:val="0"/>
            </w:pPr>
            <w:r>
              <w:rPr>
                <w:rFonts w:hint="eastAsia"/>
              </w:rPr>
              <w:t>王安村</w:t>
            </w:r>
          </w:p>
        </w:tc>
        <w:tc>
          <w:tcPr>
            <w:tcW w:w="511" w:type="pct"/>
            <w:vAlign w:val="center"/>
          </w:tcPr>
          <w:p w14:paraId="7CC43111">
            <w:pPr>
              <w:pStyle w:val="28"/>
              <w:bidi w:val="0"/>
            </w:pPr>
            <w:r>
              <w:rPr>
                <w:rFonts w:hint="eastAsia"/>
              </w:rPr>
              <w:t>渠道护砌</w:t>
            </w:r>
          </w:p>
        </w:tc>
        <w:tc>
          <w:tcPr>
            <w:tcW w:w="366" w:type="pct"/>
            <w:vAlign w:val="center"/>
          </w:tcPr>
          <w:p w14:paraId="4F8EF069">
            <w:pPr>
              <w:pStyle w:val="28"/>
              <w:bidi w:val="0"/>
            </w:pPr>
            <w:r>
              <w:t>190</w:t>
            </w:r>
          </w:p>
        </w:tc>
        <w:tc>
          <w:tcPr>
            <w:tcW w:w="268" w:type="pct"/>
            <w:vAlign w:val="center"/>
          </w:tcPr>
          <w:p w14:paraId="2FDBD806">
            <w:pPr>
              <w:pStyle w:val="28"/>
              <w:bidi w:val="0"/>
            </w:pPr>
            <w:r>
              <w:rPr>
                <w:rFonts w:hint="eastAsia"/>
              </w:rPr>
              <w:t>左岸</w:t>
            </w:r>
          </w:p>
        </w:tc>
        <w:tc>
          <w:tcPr>
            <w:tcW w:w="262" w:type="pct"/>
            <w:vAlign w:val="center"/>
          </w:tcPr>
          <w:p w14:paraId="041576E6">
            <w:pPr>
              <w:pStyle w:val="28"/>
              <w:bidi w:val="0"/>
            </w:pPr>
            <w:r>
              <w:t>1</w:t>
            </w:r>
            <w:r>
              <w:rPr>
                <w:rFonts w:hint="eastAsia"/>
              </w:rPr>
              <w:t>类</w:t>
            </w:r>
          </w:p>
        </w:tc>
        <w:tc>
          <w:tcPr>
            <w:tcW w:w="809" w:type="pct"/>
            <w:vAlign w:val="center"/>
          </w:tcPr>
          <w:p w14:paraId="2FDB36AB">
            <w:pPr>
              <w:pStyle w:val="28"/>
              <w:bidi w:val="0"/>
            </w:pPr>
            <w:r>
              <w:rPr>
                <w:rFonts w:hint="eastAsia"/>
              </w:rPr>
              <w:t>采用低噪声设备，施工机械远离居民住宅</w:t>
            </w:r>
          </w:p>
        </w:tc>
        <w:tc>
          <w:tcPr>
            <w:tcW w:w="208" w:type="pct"/>
            <w:vAlign w:val="center"/>
          </w:tcPr>
          <w:p w14:paraId="289DC0C6">
            <w:pPr>
              <w:pStyle w:val="28"/>
              <w:bidi w:val="0"/>
            </w:pPr>
            <w:r>
              <w:t>50.3</w:t>
            </w:r>
          </w:p>
        </w:tc>
        <w:tc>
          <w:tcPr>
            <w:tcW w:w="211" w:type="pct"/>
            <w:vAlign w:val="center"/>
          </w:tcPr>
          <w:p w14:paraId="4A84FA01">
            <w:pPr>
              <w:pStyle w:val="28"/>
              <w:bidi w:val="0"/>
            </w:pPr>
            <w:r>
              <w:t>40.8</w:t>
            </w:r>
          </w:p>
        </w:tc>
        <w:tc>
          <w:tcPr>
            <w:tcW w:w="208" w:type="pct"/>
            <w:vAlign w:val="center"/>
          </w:tcPr>
          <w:p w14:paraId="3D0CA5AE">
            <w:pPr>
              <w:pStyle w:val="28"/>
              <w:bidi w:val="0"/>
            </w:pPr>
            <w:r>
              <w:t>55</w:t>
            </w:r>
          </w:p>
        </w:tc>
        <w:tc>
          <w:tcPr>
            <w:tcW w:w="211" w:type="pct"/>
            <w:vAlign w:val="center"/>
          </w:tcPr>
          <w:p w14:paraId="7FDD382D">
            <w:pPr>
              <w:pStyle w:val="28"/>
              <w:bidi w:val="0"/>
            </w:pPr>
            <w:r>
              <w:t>45</w:t>
            </w:r>
          </w:p>
        </w:tc>
        <w:tc>
          <w:tcPr>
            <w:tcW w:w="276" w:type="pct"/>
            <w:vAlign w:val="center"/>
          </w:tcPr>
          <w:p w14:paraId="4ED9D362">
            <w:pPr>
              <w:pStyle w:val="28"/>
              <w:bidi w:val="0"/>
            </w:pPr>
            <w:r>
              <w:t>46.3</w:t>
            </w:r>
          </w:p>
        </w:tc>
        <w:tc>
          <w:tcPr>
            <w:tcW w:w="257" w:type="pct"/>
            <w:vAlign w:val="center"/>
          </w:tcPr>
          <w:p w14:paraId="5323F345">
            <w:pPr>
              <w:pStyle w:val="28"/>
              <w:bidi w:val="0"/>
            </w:pPr>
            <w:r>
              <w:t>39.3</w:t>
            </w:r>
          </w:p>
        </w:tc>
        <w:tc>
          <w:tcPr>
            <w:tcW w:w="257" w:type="pct"/>
            <w:vAlign w:val="center"/>
          </w:tcPr>
          <w:p w14:paraId="53CDFEBB">
            <w:pPr>
              <w:pStyle w:val="28"/>
              <w:bidi w:val="0"/>
            </w:pPr>
            <w:r>
              <w:t>50.6</w:t>
            </w:r>
          </w:p>
        </w:tc>
        <w:tc>
          <w:tcPr>
            <w:tcW w:w="257" w:type="pct"/>
            <w:vAlign w:val="center"/>
          </w:tcPr>
          <w:p w14:paraId="33D38879">
            <w:pPr>
              <w:pStyle w:val="28"/>
              <w:bidi w:val="0"/>
            </w:pPr>
            <w:r>
              <w:t>0.3</w:t>
            </w:r>
          </w:p>
        </w:tc>
        <w:tc>
          <w:tcPr>
            <w:tcW w:w="209" w:type="pct"/>
            <w:vAlign w:val="center"/>
          </w:tcPr>
          <w:p w14:paraId="450578F9">
            <w:pPr>
              <w:pStyle w:val="28"/>
              <w:bidi w:val="0"/>
            </w:pPr>
            <w:r>
              <w:t>达标</w:t>
            </w:r>
          </w:p>
        </w:tc>
      </w:tr>
      <w:tr w14:paraId="6DECE1D4">
        <w:tblPrEx>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1BE03E5E">
            <w:pPr>
              <w:pStyle w:val="28"/>
              <w:bidi w:val="0"/>
            </w:pPr>
            <w:r>
              <w:rPr>
                <w:rFonts w:hint="eastAsia"/>
              </w:rPr>
              <w:t>安丰塘镇</w:t>
            </w:r>
          </w:p>
        </w:tc>
        <w:tc>
          <w:tcPr>
            <w:tcW w:w="511" w:type="pct"/>
            <w:shd w:val="clear" w:color="auto" w:fill="FFFFFF"/>
            <w:vAlign w:val="center"/>
          </w:tcPr>
          <w:p w14:paraId="6D8B05EF">
            <w:pPr>
              <w:pStyle w:val="28"/>
              <w:bidi w:val="0"/>
            </w:pPr>
            <w:r>
              <w:rPr>
                <w:rFonts w:hint="eastAsia"/>
              </w:rPr>
              <w:t>戈店节制闸加固</w:t>
            </w:r>
          </w:p>
        </w:tc>
        <w:tc>
          <w:tcPr>
            <w:tcW w:w="366" w:type="pct"/>
            <w:vAlign w:val="center"/>
          </w:tcPr>
          <w:p w14:paraId="4E3DD5BC">
            <w:pPr>
              <w:pStyle w:val="28"/>
              <w:bidi w:val="0"/>
            </w:pPr>
            <w:r>
              <w:t>30</w:t>
            </w:r>
          </w:p>
        </w:tc>
        <w:tc>
          <w:tcPr>
            <w:tcW w:w="268" w:type="pct"/>
            <w:vAlign w:val="center"/>
          </w:tcPr>
          <w:p w14:paraId="5008BCCB">
            <w:pPr>
              <w:pStyle w:val="28"/>
              <w:bidi w:val="0"/>
            </w:pPr>
            <w:r>
              <w:rPr>
                <w:rFonts w:hint="eastAsia"/>
              </w:rPr>
              <w:t>左右岸</w:t>
            </w:r>
          </w:p>
        </w:tc>
        <w:tc>
          <w:tcPr>
            <w:tcW w:w="262" w:type="pct"/>
            <w:vAlign w:val="center"/>
          </w:tcPr>
          <w:p w14:paraId="2EDE7B32">
            <w:pPr>
              <w:pStyle w:val="28"/>
              <w:bidi w:val="0"/>
            </w:pPr>
            <w:r>
              <w:rPr>
                <w:rFonts w:hint="eastAsia"/>
              </w:rPr>
              <w:t>2类</w:t>
            </w:r>
          </w:p>
        </w:tc>
        <w:tc>
          <w:tcPr>
            <w:tcW w:w="809" w:type="pct"/>
            <w:vAlign w:val="center"/>
          </w:tcPr>
          <w:p w14:paraId="6986A31A">
            <w:pPr>
              <w:pStyle w:val="28"/>
              <w:bidi w:val="0"/>
            </w:pPr>
            <w:r>
              <w:rPr>
                <w:rFonts w:hint="eastAsia"/>
              </w:rPr>
              <w:t>采用低噪声设备，施工机械远离居民住宅，设置双层移动声屏障</w:t>
            </w:r>
          </w:p>
        </w:tc>
        <w:tc>
          <w:tcPr>
            <w:tcW w:w="208" w:type="pct"/>
            <w:vAlign w:val="center"/>
          </w:tcPr>
          <w:p w14:paraId="7B4104A2">
            <w:pPr>
              <w:pStyle w:val="28"/>
              <w:bidi w:val="0"/>
            </w:pPr>
            <w:r>
              <w:t>50.3</w:t>
            </w:r>
          </w:p>
        </w:tc>
        <w:tc>
          <w:tcPr>
            <w:tcW w:w="211" w:type="pct"/>
            <w:vAlign w:val="center"/>
          </w:tcPr>
          <w:p w14:paraId="03455074">
            <w:pPr>
              <w:pStyle w:val="28"/>
              <w:bidi w:val="0"/>
            </w:pPr>
            <w:r>
              <w:t>40.8</w:t>
            </w:r>
          </w:p>
        </w:tc>
        <w:tc>
          <w:tcPr>
            <w:tcW w:w="208" w:type="pct"/>
            <w:vAlign w:val="center"/>
          </w:tcPr>
          <w:p w14:paraId="057214C5">
            <w:pPr>
              <w:pStyle w:val="28"/>
              <w:bidi w:val="0"/>
            </w:pPr>
            <w:r>
              <w:t>60</w:t>
            </w:r>
          </w:p>
        </w:tc>
        <w:tc>
          <w:tcPr>
            <w:tcW w:w="211" w:type="pct"/>
            <w:vAlign w:val="center"/>
          </w:tcPr>
          <w:p w14:paraId="2ECFD346">
            <w:pPr>
              <w:pStyle w:val="28"/>
              <w:bidi w:val="0"/>
            </w:pPr>
            <w:r>
              <w:t>50</w:t>
            </w:r>
          </w:p>
        </w:tc>
        <w:tc>
          <w:tcPr>
            <w:tcW w:w="276" w:type="pct"/>
            <w:vAlign w:val="center"/>
          </w:tcPr>
          <w:p w14:paraId="6DB51CF6">
            <w:pPr>
              <w:pStyle w:val="28"/>
              <w:bidi w:val="0"/>
            </w:pPr>
            <w:r>
              <w:t>63.7</w:t>
            </w:r>
          </w:p>
        </w:tc>
        <w:tc>
          <w:tcPr>
            <w:tcW w:w="257" w:type="pct"/>
            <w:vAlign w:val="center"/>
          </w:tcPr>
          <w:p w14:paraId="54F9BBE9">
            <w:pPr>
              <w:pStyle w:val="28"/>
              <w:bidi w:val="0"/>
            </w:pPr>
            <w:r>
              <w:t>43.7</w:t>
            </w:r>
          </w:p>
        </w:tc>
        <w:tc>
          <w:tcPr>
            <w:tcW w:w="257" w:type="pct"/>
            <w:vAlign w:val="center"/>
          </w:tcPr>
          <w:p w14:paraId="46212E21">
            <w:pPr>
              <w:pStyle w:val="28"/>
              <w:bidi w:val="0"/>
            </w:pPr>
            <w:r>
              <w:t>51.2</w:t>
            </w:r>
          </w:p>
        </w:tc>
        <w:tc>
          <w:tcPr>
            <w:tcW w:w="257" w:type="pct"/>
            <w:vAlign w:val="center"/>
          </w:tcPr>
          <w:p w14:paraId="127A51BC">
            <w:pPr>
              <w:pStyle w:val="28"/>
              <w:bidi w:val="0"/>
            </w:pPr>
            <w:r>
              <w:t>0.9</w:t>
            </w:r>
          </w:p>
        </w:tc>
        <w:tc>
          <w:tcPr>
            <w:tcW w:w="209" w:type="pct"/>
            <w:vAlign w:val="center"/>
          </w:tcPr>
          <w:p w14:paraId="0828027E">
            <w:pPr>
              <w:pStyle w:val="28"/>
              <w:bidi w:val="0"/>
            </w:pPr>
            <w:r>
              <w:t>达标</w:t>
            </w:r>
          </w:p>
        </w:tc>
      </w:tr>
      <w:tr w14:paraId="15E6F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5DEC9928">
            <w:pPr>
              <w:pStyle w:val="28"/>
              <w:bidi w:val="0"/>
            </w:pPr>
            <w:r>
              <w:rPr>
                <w:rFonts w:hint="eastAsia"/>
              </w:rPr>
              <w:t>廖家庄</w:t>
            </w:r>
          </w:p>
        </w:tc>
        <w:tc>
          <w:tcPr>
            <w:tcW w:w="511" w:type="pct"/>
            <w:shd w:val="clear" w:color="auto" w:fill="FFFFFF"/>
            <w:vAlign w:val="center"/>
          </w:tcPr>
          <w:p w14:paraId="35DA0D52">
            <w:pPr>
              <w:pStyle w:val="28"/>
              <w:bidi w:val="0"/>
            </w:pPr>
            <w:r>
              <w:rPr>
                <w:rFonts w:hint="eastAsia"/>
              </w:rPr>
              <w:t>塘坊放水涵拆建</w:t>
            </w:r>
          </w:p>
        </w:tc>
        <w:tc>
          <w:tcPr>
            <w:tcW w:w="366" w:type="pct"/>
            <w:vAlign w:val="center"/>
          </w:tcPr>
          <w:p w14:paraId="1487F5C7">
            <w:pPr>
              <w:pStyle w:val="28"/>
              <w:bidi w:val="0"/>
            </w:pPr>
            <w:r>
              <w:t>62</w:t>
            </w:r>
          </w:p>
        </w:tc>
        <w:tc>
          <w:tcPr>
            <w:tcW w:w="268" w:type="pct"/>
            <w:vAlign w:val="center"/>
          </w:tcPr>
          <w:p w14:paraId="01100B37">
            <w:pPr>
              <w:pStyle w:val="28"/>
              <w:bidi w:val="0"/>
            </w:pPr>
            <w:r>
              <w:rPr>
                <w:rFonts w:hint="eastAsia"/>
              </w:rPr>
              <w:t>左岸</w:t>
            </w:r>
          </w:p>
        </w:tc>
        <w:tc>
          <w:tcPr>
            <w:tcW w:w="262" w:type="pct"/>
            <w:vAlign w:val="center"/>
          </w:tcPr>
          <w:p w14:paraId="0358CC5B">
            <w:pPr>
              <w:pStyle w:val="28"/>
              <w:bidi w:val="0"/>
            </w:pPr>
            <w:r>
              <w:t>1</w:t>
            </w:r>
            <w:r>
              <w:rPr>
                <w:rFonts w:hint="eastAsia"/>
              </w:rPr>
              <w:t>类</w:t>
            </w:r>
          </w:p>
        </w:tc>
        <w:tc>
          <w:tcPr>
            <w:tcW w:w="809" w:type="pct"/>
            <w:vAlign w:val="center"/>
          </w:tcPr>
          <w:p w14:paraId="5D141210">
            <w:pPr>
              <w:pStyle w:val="28"/>
              <w:bidi w:val="0"/>
            </w:pPr>
            <w:r>
              <w:rPr>
                <w:rFonts w:hint="eastAsia"/>
              </w:rPr>
              <w:t>采用低噪声设备，施工机械远离居民住宅</w:t>
            </w:r>
          </w:p>
        </w:tc>
        <w:tc>
          <w:tcPr>
            <w:tcW w:w="208" w:type="pct"/>
            <w:vAlign w:val="center"/>
          </w:tcPr>
          <w:p w14:paraId="198C1502">
            <w:pPr>
              <w:pStyle w:val="28"/>
              <w:bidi w:val="0"/>
            </w:pPr>
            <w:r>
              <w:t>50.3</w:t>
            </w:r>
          </w:p>
        </w:tc>
        <w:tc>
          <w:tcPr>
            <w:tcW w:w="211" w:type="pct"/>
            <w:vAlign w:val="center"/>
          </w:tcPr>
          <w:p w14:paraId="2263F777">
            <w:pPr>
              <w:pStyle w:val="28"/>
              <w:bidi w:val="0"/>
            </w:pPr>
            <w:r>
              <w:t>40.8</w:t>
            </w:r>
          </w:p>
        </w:tc>
        <w:tc>
          <w:tcPr>
            <w:tcW w:w="208" w:type="pct"/>
            <w:vAlign w:val="center"/>
          </w:tcPr>
          <w:p w14:paraId="3C85B57C">
            <w:pPr>
              <w:pStyle w:val="28"/>
              <w:bidi w:val="0"/>
            </w:pPr>
            <w:r>
              <w:t>55</w:t>
            </w:r>
          </w:p>
        </w:tc>
        <w:tc>
          <w:tcPr>
            <w:tcW w:w="211" w:type="pct"/>
            <w:vAlign w:val="center"/>
          </w:tcPr>
          <w:p w14:paraId="7122B9FD">
            <w:pPr>
              <w:pStyle w:val="28"/>
              <w:bidi w:val="0"/>
            </w:pPr>
            <w:r>
              <w:t>45</w:t>
            </w:r>
          </w:p>
        </w:tc>
        <w:tc>
          <w:tcPr>
            <w:tcW w:w="276" w:type="pct"/>
            <w:vAlign w:val="center"/>
          </w:tcPr>
          <w:p w14:paraId="242C77BA">
            <w:pPr>
              <w:pStyle w:val="28"/>
              <w:bidi w:val="0"/>
            </w:pPr>
            <w:r>
              <w:t>57.4</w:t>
            </w:r>
          </w:p>
        </w:tc>
        <w:tc>
          <w:tcPr>
            <w:tcW w:w="257" w:type="pct"/>
            <w:vAlign w:val="center"/>
          </w:tcPr>
          <w:p w14:paraId="3C3E9F0F">
            <w:pPr>
              <w:pStyle w:val="28"/>
              <w:bidi w:val="0"/>
            </w:pPr>
            <w:r>
              <w:t>50.4</w:t>
            </w:r>
          </w:p>
        </w:tc>
        <w:tc>
          <w:tcPr>
            <w:tcW w:w="257" w:type="pct"/>
            <w:vAlign w:val="center"/>
          </w:tcPr>
          <w:p w14:paraId="03109184">
            <w:pPr>
              <w:pStyle w:val="28"/>
              <w:bidi w:val="0"/>
            </w:pPr>
            <w:r>
              <w:t>53.3</w:t>
            </w:r>
          </w:p>
        </w:tc>
        <w:tc>
          <w:tcPr>
            <w:tcW w:w="257" w:type="pct"/>
            <w:vAlign w:val="center"/>
          </w:tcPr>
          <w:p w14:paraId="183DD35C">
            <w:pPr>
              <w:pStyle w:val="28"/>
              <w:bidi w:val="0"/>
            </w:pPr>
            <w:r>
              <w:t>3.0</w:t>
            </w:r>
          </w:p>
        </w:tc>
        <w:tc>
          <w:tcPr>
            <w:tcW w:w="209" w:type="pct"/>
            <w:vAlign w:val="center"/>
          </w:tcPr>
          <w:p w14:paraId="6FE97015">
            <w:pPr>
              <w:pStyle w:val="28"/>
              <w:bidi w:val="0"/>
            </w:pPr>
            <w:r>
              <w:t>达标</w:t>
            </w:r>
          </w:p>
        </w:tc>
      </w:tr>
      <w:tr w14:paraId="53CA2F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3698D0DC">
            <w:pPr>
              <w:pStyle w:val="28"/>
              <w:bidi w:val="0"/>
            </w:pPr>
            <w:r>
              <w:rPr>
                <w:rFonts w:hint="eastAsia"/>
              </w:rPr>
              <w:t>孙家潍坊</w:t>
            </w:r>
          </w:p>
        </w:tc>
        <w:tc>
          <w:tcPr>
            <w:tcW w:w="511" w:type="pct"/>
            <w:shd w:val="clear" w:color="auto" w:fill="FFFFFF"/>
            <w:vAlign w:val="center"/>
          </w:tcPr>
          <w:p w14:paraId="31F0B672">
            <w:pPr>
              <w:pStyle w:val="28"/>
              <w:bidi w:val="0"/>
            </w:pPr>
            <w:r>
              <w:rPr>
                <w:rFonts w:hint="eastAsia"/>
              </w:rPr>
              <w:t>新华涵拆建</w:t>
            </w:r>
          </w:p>
        </w:tc>
        <w:tc>
          <w:tcPr>
            <w:tcW w:w="366" w:type="pct"/>
            <w:vAlign w:val="center"/>
          </w:tcPr>
          <w:p w14:paraId="01A45F78">
            <w:pPr>
              <w:pStyle w:val="28"/>
              <w:bidi w:val="0"/>
            </w:pPr>
            <w:r>
              <w:t>44</w:t>
            </w:r>
          </w:p>
        </w:tc>
        <w:tc>
          <w:tcPr>
            <w:tcW w:w="268" w:type="pct"/>
            <w:vAlign w:val="center"/>
          </w:tcPr>
          <w:p w14:paraId="3DCE1344">
            <w:pPr>
              <w:pStyle w:val="28"/>
              <w:bidi w:val="0"/>
            </w:pPr>
            <w:r>
              <w:rPr>
                <w:rFonts w:hint="eastAsia"/>
              </w:rPr>
              <w:t>左岸</w:t>
            </w:r>
          </w:p>
        </w:tc>
        <w:tc>
          <w:tcPr>
            <w:tcW w:w="262" w:type="pct"/>
            <w:vAlign w:val="center"/>
          </w:tcPr>
          <w:p w14:paraId="63959FB0">
            <w:pPr>
              <w:pStyle w:val="28"/>
              <w:bidi w:val="0"/>
            </w:pPr>
            <w:r>
              <w:t>1</w:t>
            </w:r>
            <w:r>
              <w:rPr>
                <w:rFonts w:hint="eastAsia"/>
              </w:rPr>
              <w:t>类</w:t>
            </w:r>
          </w:p>
        </w:tc>
        <w:tc>
          <w:tcPr>
            <w:tcW w:w="809" w:type="pct"/>
            <w:vAlign w:val="center"/>
          </w:tcPr>
          <w:p w14:paraId="41899216">
            <w:pPr>
              <w:pStyle w:val="28"/>
              <w:bidi w:val="0"/>
            </w:pPr>
            <w:r>
              <w:rPr>
                <w:rFonts w:hint="eastAsia"/>
              </w:rPr>
              <w:t>采用低噪声设备，施工机械远离居民住宅，设置单层移动声屏障</w:t>
            </w:r>
          </w:p>
        </w:tc>
        <w:tc>
          <w:tcPr>
            <w:tcW w:w="208" w:type="pct"/>
            <w:vAlign w:val="center"/>
          </w:tcPr>
          <w:p w14:paraId="1977B71D">
            <w:pPr>
              <w:pStyle w:val="28"/>
              <w:bidi w:val="0"/>
            </w:pPr>
            <w:r>
              <w:t>50.3</w:t>
            </w:r>
          </w:p>
        </w:tc>
        <w:tc>
          <w:tcPr>
            <w:tcW w:w="211" w:type="pct"/>
            <w:vAlign w:val="center"/>
          </w:tcPr>
          <w:p w14:paraId="2CB9BFD6">
            <w:pPr>
              <w:pStyle w:val="28"/>
              <w:bidi w:val="0"/>
            </w:pPr>
            <w:r>
              <w:t>40.8</w:t>
            </w:r>
          </w:p>
        </w:tc>
        <w:tc>
          <w:tcPr>
            <w:tcW w:w="208" w:type="pct"/>
            <w:vAlign w:val="center"/>
          </w:tcPr>
          <w:p w14:paraId="20E0CC7C">
            <w:pPr>
              <w:pStyle w:val="28"/>
              <w:bidi w:val="0"/>
            </w:pPr>
            <w:r>
              <w:t>55</w:t>
            </w:r>
          </w:p>
        </w:tc>
        <w:tc>
          <w:tcPr>
            <w:tcW w:w="211" w:type="pct"/>
            <w:vAlign w:val="center"/>
          </w:tcPr>
          <w:p w14:paraId="18EB6E38">
            <w:pPr>
              <w:pStyle w:val="28"/>
              <w:bidi w:val="0"/>
            </w:pPr>
            <w:r>
              <w:t>45</w:t>
            </w:r>
          </w:p>
        </w:tc>
        <w:tc>
          <w:tcPr>
            <w:tcW w:w="276" w:type="pct"/>
            <w:vAlign w:val="center"/>
          </w:tcPr>
          <w:p w14:paraId="72AD160B">
            <w:pPr>
              <w:pStyle w:val="28"/>
              <w:bidi w:val="0"/>
            </w:pPr>
            <w:r>
              <w:t>60.3</w:t>
            </w:r>
          </w:p>
        </w:tc>
        <w:tc>
          <w:tcPr>
            <w:tcW w:w="257" w:type="pct"/>
            <w:vAlign w:val="center"/>
          </w:tcPr>
          <w:p w14:paraId="2A6B6F22">
            <w:pPr>
              <w:pStyle w:val="28"/>
              <w:bidi w:val="0"/>
            </w:pPr>
            <w:r>
              <w:t>45.3</w:t>
            </w:r>
          </w:p>
        </w:tc>
        <w:tc>
          <w:tcPr>
            <w:tcW w:w="257" w:type="pct"/>
            <w:vAlign w:val="center"/>
          </w:tcPr>
          <w:p w14:paraId="45BE7C06">
            <w:pPr>
              <w:pStyle w:val="28"/>
              <w:bidi w:val="0"/>
            </w:pPr>
            <w:r>
              <w:t>51.5</w:t>
            </w:r>
          </w:p>
        </w:tc>
        <w:tc>
          <w:tcPr>
            <w:tcW w:w="257" w:type="pct"/>
            <w:vAlign w:val="center"/>
          </w:tcPr>
          <w:p w14:paraId="5DD2DD79">
            <w:pPr>
              <w:pStyle w:val="28"/>
              <w:bidi w:val="0"/>
            </w:pPr>
            <w:r>
              <w:t>1.2</w:t>
            </w:r>
          </w:p>
        </w:tc>
        <w:tc>
          <w:tcPr>
            <w:tcW w:w="209" w:type="pct"/>
            <w:vAlign w:val="center"/>
          </w:tcPr>
          <w:p w14:paraId="3B44F40B">
            <w:pPr>
              <w:pStyle w:val="28"/>
              <w:bidi w:val="0"/>
            </w:pPr>
            <w:r>
              <w:t>达标</w:t>
            </w:r>
          </w:p>
        </w:tc>
      </w:tr>
      <w:tr w14:paraId="4FD6F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7710226D">
            <w:pPr>
              <w:pStyle w:val="28"/>
              <w:bidi w:val="0"/>
            </w:pPr>
            <w:r>
              <w:rPr>
                <w:rFonts w:hint="eastAsia"/>
              </w:rPr>
              <w:t>马家庄</w:t>
            </w:r>
          </w:p>
        </w:tc>
        <w:tc>
          <w:tcPr>
            <w:tcW w:w="511" w:type="pct"/>
            <w:shd w:val="clear" w:color="auto" w:fill="FFFFFF"/>
            <w:vAlign w:val="center"/>
          </w:tcPr>
          <w:p w14:paraId="145D407C">
            <w:pPr>
              <w:pStyle w:val="28"/>
              <w:bidi w:val="0"/>
            </w:pPr>
            <w:r>
              <w:rPr>
                <w:rFonts w:hint="eastAsia"/>
              </w:rPr>
              <w:t>罗庄</w:t>
            </w:r>
            <w:r>
              <w:t>2</w:t>
            </w:r>
            <w:r>
              <w:rPr>
                <w:rFonts w:hint="eastAsia"/>
              </w:rPr>
              <w:t>号放水涵拆建</w:t>
            </w:r>
          </w:p>
        </w:tc>
        <w:tc>
          <w:tcPr>
            <w:tcW w:w="366" w:type="pct"/>
            <w:vAlign w:val="center"/>
          </w:tcPr>
          <w:p w14:paraId="7FC30926">
            <w:pPr>
              <w:pStyle w:val="28"/>
              <w:bidi w:val="0"/>
            </w:pPr>
            <w:r>
              <w:t>59</w:t>
            </w:r>
          </w:p>
        </w:tc>
        <w:tc>
          <w:tcPr>
            <w:tcW w:w="268" w:type="pct"/>
            <w:vAlign w:val="center"/>
          </w:tcPr>
          <w:p w14:paraId="6A486D90">
            <w:pPr>
              <w:pStyle w:val="28"/>
              <w:bidi w:val="0"/>
            </w:pPr>
            <w:r>
              <w:rPr>
                <w:rFonts w:hint="eastAsia"/>
              </w:rPr>
              <w:t>左岸</w:t>
            </w:r>
          </w:p>
        </w:tc>
        <w:tc>
          <w:tcPr>
            <w:tcW w:w="262" w:type="pct"/>
            <w:vAlign w:val="center"/>
          </w:tcPr>
          <w:p w14:paraId="7C575D46">
            <w:pPr>
              <w:pStyle w:val="28"/>
              <w:bidi w:val="0"/>
            </w:pPr>
            <w:r>
              <w:t>1</w:t>
            </w:r>
            <w:r>
              <w:rPr>
                <w:rFonts w:hint="eastAsia"/>
              </w:rPr>
              <w:t>类</w:t>
            </w:r>
          </w:p>
        </w:tc>
        <w:tc>
          <w:tcPr>
            <w:tcW w:w="809" w:type="pct"/>
            <w:vMerge w:val="restart"/>
            <w:vAlign w:val="center"/>
          </w:tcPr>
          <w:p w14:paraId="7CA0FC2F">
            <w:pPr>
              <w:pStyle w:val="28"/>
              <w:bidi w:val="0"/>
            </w:pPr>
            <w:r>
              <w:rPr>
                <w:rFonts w:hint="eastAsia"/>
              </w:rPr>
              <w:t>采用低噪声设备，施工机械远离居民住宅</w:t>
            </w:r>
          </w:p>
        </w:tc>
        <w:tc>
          <w:tcPr>
            <w:tcW w:w="208" w:type="pct"/>
            <w:vAlign w:val="center"/>
          </w:tcPr>
          <w:p w14:paraId="0CAB157D">
            <w:pPr>
              <w:pStyle w:val="28"/>
              <w:bidi w:val="0"/>
            </w:pPr>
            <w:r>
              <w:t>50.3</w:t>
            </w:r>
          </w:p>
        </w:tc>
        <w:tc>
          <w:tcPr>
            <w:tcW w:w="211" w:type="pct"/>
            <w:vAlign w:val="center"/>
          </w:tcPr>
          <w:p w14:paraId="76419D03">
            <w:pPr>
              <w:pStyle w:val="28"/>
              <w:bidi w:val="0"/>
            </w:pPr>
            <w:r>
              <w:t>40.8</w:t>
            </w:r>
          </w:p>
        </w:tc>
        <w:tc>
          <w:tcPr>
            <w:tcW w:w="208" w:type="pct"/>
            <w:vAlign w:val="center"/>
          </w:tcPr>
          <w:p w14:paraId="20F9D9F3">
            <w:pPr>
              <w:pStyle w:val="28"/>
              <w:bidi w:val="0"/>
            </w:pPr>
            <w:r>
              <w:t>55</w:t>
            </w:r>
          </w:p>
        </w:tc>
        <w:tc>
          <w:tcPr>
            <w:tcW w:w="211" w:type="pct"/>
            <w:vAlign w:val="center"/>
          </w:tcPr>
          <w:p w14:paraId="31875CAF">
            <w:pPr>
              <w:pStyle w:val="28"/>
              <w:bidi w:val="0"/>
            </w:pPr>
            <w:r>
              <w:t>45</w:t>
            </w:r>
          </w:p>
        </w:tc>
        <w:tc>
          <w:tcPr>
            <w:tcW w:w="276" w:type="pct"/>
            <w:vAlign w:val="center"/>
          </w:tcPr>
          <w:p w14:paraId="2FAC354E">
            <w:pPr>
              <w:pStyle w:val="28"/>
              <w:bidi w:val="0"/>
            </w:pPr>
            <w:r>
              <w:t>57.8</w:t>
            </w:r>
          </w:p>
        </w:tc>
        <w:tc>
          <w:tcPr>
            <w:tcW w:w="257" w:type="pct"/>
            <w:vAlign w:val="center"/>
          </w:tcPr>
          <w:p w14:paraId="0FC6E784">
            <w:pPr>
              <w:pStyle w:val="28"/>
              <w:bidi w:val="0"/>
            </w:pPr>
            <w:r>
              <w:t>50.8</w:t>
            </w:r>
          </w:p>
        </w:tc>
        <w:tc>
          <w:tcPr>
            <w:tcW w:w="257" w:type="pct"/>
            <w:vAlign w:val="center"/>
          </w:tcPr>
          <w:p w14:paraId="2CED18EC">
            <w:pPr>
              <w:pStyle w:val="28"/>
              <w:bidi w:val="0"/>
            </w:pPr>
            <w:r>
              <w:t>53.6</w:t>
            </w:r>
          </w:p>
        </w:tc>
        <w:tc>
          <w:tcPr>
            <w:tcW w:w="257" w:type="pct"/>
            <w:vAlign w:val="center"/>
          </w:tcPr>
          <w:p w14:paraId="1660A89C">
            <w:pPr>
              <w:pStyle w:val="28"/>
              <w:bidi w:val="0"/>
            </w:pPr>
            <w:r>
              <w:t>3.3</w:t>
            </w:r>
          </w:p>
        </w:tc>
        <w:tc>
          <w:tcPr>
            <w:tcW w:w="209" w:type="pct"/>
            <w:vAlign w:val="center"/>
          </w:tcPr>
          <w:p w14:paraId="518AF156">
            <w:pPr>
              <w:pStyle w:val="28"/>
              <w:bidi w:val="0"/>
            </w:pPr>
            <w:r>
              <w:t>达标</w:t>
            </w:r>
          </w:p>
        </w:tc>
      </w:tr>
      <w:tr w14:paraId="7A794B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5655B705">
            <w:pPr>
              <w:pStyle w:val="28"/>
              <w:bidi w:val="0"/>
            </w:pPr>
            <w:r>
              <w:rPr>
                <w:rFonts w:hint="eastAsia"/>
              </w:rPr>
              <w:t>四大家</w:t>
            </w:r>
          </w:p>
        </w:tc>
        <w:tc>
          <w:tcPr>
            <w:tcW w:w="511" w:type="pct"/>
            <w:shd w:val="clear" w:color="auto" w:fill="FFFFFF"/>
            <w:vAlign w:val="center"/>
          </w:tcPr>
          <w:p w14:paraId="094429C6">
            <w:pPr>
              <w:pStyle w:val="28"/>
              <w:bidi w:val="0"/>
            </w:pPr>
            <w:r>
              <w:rPr>
                <w:rFonts w:hint="eastAsia"/>
              </w:rPr>
              <w:t>河沿放水涵拆建</w:t>
            </w:r>
          </w:p>
        </w:tc>
        <w:tc>
          <w:tcPr>
            <w:tcW w:w="366" w:type="pct"/>
            <w:vAlign w:val="center"/>
          </w:tcPr>
          <w:p w14:paraId="6CC1F4A4">
            <w:pPr>
              <w:pStyle w:val="28"/>
              <w:bidi w:val="0"/>
            </w:pPr>
            <w:r>
              <w:t>132</w:t>
            </w:r>
          </w:p>
        </w:tc>
        <w:tc>
          <w:tcPr>
            <w:tcW w:w="268" w:type="pct"/>
            <w:vAlign w:val="center"/>
          </w:tcPr>
          <w:p w14:paraId="289E4B62">
            <w:pPr>
              <w:pStyle w:val="28"/>
              <w:bidi w:val="0"/>
            </w:pPr>
            <w:r>
              <w:rPr>
                <w:rFonts w:hint="eastAsia"/>
              </w:rPr>
              <w:t>左岸</w:t>
            </w:r>
          </w:p>
        </w:tc>
        <w:tc>
          <w:tcPr>
            <w:tcW w:w="262" w:type="pct"/>
            <w:vAlign w:val="center"/>
          </w:tcPr>
          <w:p w14:paraId="38D41E36">
            <w:pPr>
              <w:pStyle w:val="28"/>
              <w:bidi w:val="0"/>
            </w:pPr>
            <w:r>
              <w:t>1</w:t>
            </w:r>
            <w:r>
              <w:rPr>
                <w:rFonts w:hint="eastAsia"/>
              </w:rPr>
              <w:t>类</w:t>
            </w:r>
          </w:p>
        </w:tc>
        <w:tc>
          <w:tcPr>
            <w:tcW w:w="809" w:type="pct"/>
            <w:vMerge w:val="continue"/>
            <w:vAlign w:val="center"/>
          </w:tcPr>
          <w:p w14:paraId="6B887874">
            <w:pPr>
              <w:pStyle w:val="28"/>
              <w:bidi w:val="0"/>
            </w:pPr>
          </w:p>
        </w:tc>
        <w:tc>
          <w:tcPr>
            <w:tcW w:w="208" w:type="pct"/>
            <w:vAlign w:val="center"/>
          </w:tcPr>
          <w:p w14:paraId="66E5E9D4">
            <w:pPr>
              <w:pStyle w:val="28"/>
              <w:bidi w:val="0"/>
            </w:pPr>
            <w:r>
              <w:t>50.3</w:t>
            </w:r>
          </w:p>
        </w:tc>
        <w:tc>
          <w:tcPr>
            <w:tcW w:w="211" w:type="pct"/>
            <w:vAlign w:val="center"/>
          </w:tcPr>
          <w:p w14:paraId="05415242">
            <w:pPr>
              <w:pStyle w:val="28"/>
              <w:bidi w:val="0"/>
            </w:pPr>
            <w:r>
              <w:t>40.8</w:t>
            </w:r>
          </w:p>
        </w:tc>
        <w:tc>
          <w:tcPr>
            <w:tcW w:w="208" w:type="pct"/>
            <w:vAlign w:val="center"/>
          </w:tcPr>
          <w:p w14:paraId="1B49FB9C">
            <w:pPr>
              <w:pStyle w:val="28"/>
              <w:bidi w:val="0"/>
            </w:pPr>
            <w:r>
              <w:t>55</w:t>
            </w:r>
          </w:p>
        </w:tc>
        <w:tc>
          <w:tcPr>
            <w:tcW w:w="211" w:type="pct"/>
            <w:vAlign w:val="center"/>
          </w:tcPr>
          <w:p w14:paraId="09DD911A">
            <w:pPr>
              <w:pStyle w:val="28"/>
              <w:bidi w:val="0"/>
            </w:pPr>
            <w:r>
              <w:t>45</w:t>
            </w:r>
          </w:p>
        </w:tc>
        <w:tc>
          <w:tcPr>
            <w:tcW w:w="276" w:type="pct"/>
            <w:vAlign w:val="center"/>
          </w:tcPr>
          <w:p w14:paraId="13C4838C">
            <w:pPr>
              <w:pStyle w:val="28"/>
              <w:bidi w:val="0"/>
            </w:pPr>
            <w:r>
              <w:t>50.8</w:t>
            </w:r>
          </w:p>
        </w:tc>
        <w:tc>
          <w:tcPr>
            <w:tcW w:w="257" w:type="pct"/>
            <w:vAlign w:val="center"/>
          </w:tcPr>
          <w:p w14:paraId="6CB2A1ED">
            <w:pPr>
              <w:pStyle w:val="28"/>
              <w:bidi w:val="0"/>
            </w:pPr>
            <w:r>
              <w:t>43.8</w:t>
            </w:r>
          </w:p>
        </w:tc>
        <w:tc>
          <w:tcPr>
            <w:tcW w:w="257" w:type="pct"/>
            <w:vAlign w:val="center"/>
          </w:tcPr>
          <w:p w14:paraId="073E7639">
            <w:pPr>
              <w:pStyle w:val="28"/>
              <w:bidi w:val="0"/>
            </w:pPr>
            <w:r>
              <w:t>51.2</w:t>
            </w:r>
          </w:p>
        </w:tc>
        <w:tc>
          <w:tcPr>
            <w:tcW w:w="257" w:type="pct"/>
            <w:vAlign w:val="center"/>
          </w:tcPr>
          <w:p w14:paraId="436E9429">
            <w:pPr>
              <w:pStyle w:val="28"/>
              <w:bidi w:val="0"/>
            </w:pPr>
            <w:r>
              <w:t>0.9</w:t>
            </w:r>
          </w:p>
        </w:tc>
        <w:tc>
          <w:tcPr>
            <w:tcW w:w="209" w:type="pct"/>
            <w:vAlign w:val="center"/>
          </w:tcPr>
          <w:p w14:paraId="6D8F11C4">
            <w:pPr>
              <w:pStyle w:val="28"/>
              <w:bidi w:val="0"/>
            </w:pPr>
            <w:r>
              <w:t>达标</w:t>
            </w:r>
          </w:p>
        </w:tc>
      </w:tr>
      <w:tr w14:paraId="1C57A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3B706267">
            <w:pPr>
              <w:pStyle w:val="28"/>
              <w:bidi w:val="0"/>
            </w:pPr>
            <w:r>
              <w:rPr>
                <w:rFonts w:hint="eastAsia"/>
              </w:rPr>
              <w:t>老命郢</w:t>
            </w:r>
          </w:p>
        </w:tc>
        <w:tc>
          <w:tcPr>
            <w:tcW w:w="511" w:type="pct"/>
            <w:shd w:val="clear" w:color="auto" w:fill="FFFFFF"/>
            <w:vAlign w:val="center"/>
          </w:tcPr>
          <w:p w14:paraId="6DD00A89">
            <w:pPr>
              <w:pStyle w:val="28"/>
              <w:bidi w:val="0"/>
            </w:pPr>
            <w:r>
              <w:rPr>
                <w:rFonts w:hint="eastAsia"/>
              </w:rPr>
              <w:t>罗庄</w:t>
            </w:r>
            <w:r>
              <w:t>3</w:t>
            </w:r>
            <w:r>
              <w:rPr>
                <w:rFonts w:hint="eastAsia"/>
              </w:rPr>
              <w:t>号放水涵拆建</w:t>
            </w:r>
          </w:p>
        </w:tc>
        <w:tc>
          <w:tcPr>
            <w:tcW w:w="366" w:type="pct"/>
            <w:vAlign w:val="center"/>
          </w:tcPr>
          <w:p w14:paraId="3D797B4B">
            <w:pPr>
              <w:pStyle w:val="28"/>
              <w:bidi w:val="0"/>
            </w:pPr>
            <w:r>
              <w:t>116</w:t>
            </w:r>
          </w:p>
        </w:tc>
        <w:tc>
          <w:tcPr>
            <w:tcW w:w="268" w:type="pct"/>
            <w:vAlign w:val="center"/>
          </w:tcPr>
          <w:p w14:paraId="617FF009">
            <w:pPr>
              <w:pStyle w:val="28"/>
              <w:bidi w:val="0"/>
            </w:pPr>
            <w:r>
              <w:rPr>
                <w:rFonts w:hint="eastAsia"/>
              </w:rPr>
              <w:t>右岸</w:t>
            </w:r>
          </w:p>
        </w:tc>
        <w:tc>
          <w:tcPr>
            <w:tcW w:w="262" w:type="pct"/>
            <w:vAlign w:val="center"/>
          </w:tcPr>
          <w:p w14:paraId="2AB10064">
            <w:pPr>
              <w:pStyle w:val="28"/>
              <w:bidi w:val="0"/>
            </w:pPr>
            <w:r>
              <w:t>1</w:t>
            </w:r>
            <w:r>
              <w:rPr>
                <w:rFonts w:hint="eastAsia"/>
              </w:rPr>
              <w:t>类</w:t>
            </w:r>
          </w:p>
        </w:tc>
        <w:tc>
          <w:tcPr>
            <w:tcW w:w="809" w:type="pct"/>
            <w:vMerge w:val="continue"/>
            <w:vAlign w:val="center"/>
          </w:tcPr>
          <w:p w14:paraId="7F08B857">
            <w:pPr>
              <w:pStyle w:val="28"/>
              <w:bidi w:val="0"/>
            </w:pPr>
          </w:p>
        </w:tc>
        <w:tc>
          <w:tcPr>
            <w:tcW w:w="208" w:type="pct"/>
            <w:vAlign w:val="center"/>
          </w:tcPr>
          <w:p w14:paraId="79A0733D">
            <w:pPr>
              <w:pStyle w:val="28"/>
              <w:bidi w:val="0"/>
            </w:pPr>
            <w:r>
              <w:t>50.3</w:t>
            </w:r>
          </w:p>
        </w:tc>
        <w:tc>
          <w:tcPr>
            <w:tcW w:w="211" w:type="pct"/>
            <w:vAlign w:val="center"/>
          </w:tcPr>
          <w:p w14:paraId="7F3BE92D">
            <w:pPr>
              <w:pStyle w:val="28"/>
              <w:bidi w:val="0"/>
            </w:pPr>
            <w:r>
              <w:t>40.8</w:t>
            </w:r>
          </w:p>
        </w:tc>
        <w:tc>
          <w:tcPr>
            <w:tcW w:w="208" w:type="pct"/>
            <w:vAlign w:val="center"/>
          </w:tcPr>
          <w:p w14:paraId="7A11DB38">
            <w:pPr>
              <w:pStyle w:val="28"/>
              <w:bidi w:val="0"/>
            </w:pPr>
            <w:r>
              <w:t>55</w:t>
            </w:r>
          </w:p>
        </w:tc>
        <w:tc>
          <w:tcPr>
            <w:tcW w:w="211" w:type="pct"/>
            <w:vAlign w:val="center"/>
          </w:tcPr>
          <w:p w14:paraId="19BB0188">
            <w:pPr>
              <w:pStyle w:val="28"/>
              <w:bidi w:val="0"/>
            </w:pPr>
            <w:r>
              <w:t>45</w:t>
            </w:r>
          </w:p>
        </w:tc>
        <w:tc>
          <w:tcPr>
            <w:tcW w:w="276" w:type="pct"/>
            <w:vAlign w:val="center"/>
          </w:tcPr>
          <w:p w14:paraId="5A0A794C">
            <w:pPr>
              <w:pStyle w:val="28"/>
              <w:bidi w:val="0"/>
            </w:pPr>
            <w:r>
              <w:t>51.9</w:t>
            </w:r>
          </w:p>
        </w:tc>
        <w:tc>
          <w:tcPr>
            <w:tcW w:w="257" w:type="pct"/>
            <w:vAlign w:val="center"/>
          </w:tcPr>
          <w:p w14:paraId="7DE5713C">
            <w:pPr>
              <w:pStyle w:val="28"/>
              <w:bidi w:val="0"/>
            </w:pPr>
            <w:r>
              <w:t>44.9</w:t>
            </w:r>
          </w:p>
        </w:tc>
        <w:tc>
          <w:tcPr>
            <w:tcW w:w="257" w:type="pct"/>
            <w:vAlign w:val="center"/>
          </w:tcPr>
          <w:p w14:paraId="490B3C51">
            <w:pPr>
              <w:pStyle w:val="28"/>
              <w:bidi w:val="0"/>
            </w:pPr>
            <w:r>
              <w:t>51.4</w:t>
            </w:r>
          </w:p>
        </w:tc>
        <w:tc>
          <w:tcPr>
            <w:tcW w:w="257" w:type="pct"/>
            <w:vAlign w:val="center"/>
          </w:tcPr>
          <w:p w14:paraId="40782181">
            <w:pPr>
              <w:pStyle w:val="28"/>
              <w:bidi w:val="0"/>
            </w:pPr>
            <w:r>
              <w:t>1.1</w:t>
            </w:r>
          </w:p>
        </w:tc>
        <w:tc>
          <w:tcPr>
            <w:tcW w:w="209" w:type="pct"/>
            <w:vAlign w:val="center"/>
          </w:tcPr>
          <w:p w14:paraId="54A4028D">
            <w:pPr>
              <w:pStyle w:val="28"/>
              <w:bidi w:val="0"/>
            </w:pPr>
            <w:r>
              <w:t>达标</w:t>
            </w:r>
          </w:p>
        </w:tc>
      </w:tr>
      <w:tr w14:paraId="56E50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2420356F">
            <w:pPr>
              <w:pStyle w:val="28"/>
              <w:bidi w:val="0"/>
            </w:pPr>
            <w:r>
              <w:rPr>
                <w:rFonts w:hint="eastAsia"/>
              </w:rPr>
              <w:t>孟家墙</w:t>
            </w:r>
          </w:p>
        </w:tc>
        <w:tc>
          <w:tcPr>
            <w:tcW w:w="511" w:type="pct"/>
            <w:shd w:val="clear" w:color="auto" w:fill="FFFFFF"/>
            <w:vAlign w:val="center"/>
          </w:tcPr>
          <w:p w14:paraId="49DFD93B">
            <w:pPr>
              <w:pStyle w:val="28"/>
              <w:bidi w:val="0"/>
            </w:pPr>
            <w:r>
              <w:rPr>
                <w:rFonts w:hint="eastAsia"/>
              </w:rPr>
              <w:t>孟郢涵拆建</w:t>
            </w:r>
          </w:p>
        </w:tc>
        <w:tc>
          <w:tcPr>
            <w:tcW w:w="366" w:type="pct"/>
            <w:vAlign w:val="center"/>
          </w:tcPr>
          <w:p w14:paraId="1C2AB3D3">
            <w:pPr>
              <w:pStyle w:val="28"/>
              <w:bidi w:val="0"/>
            </w:pPr>
            <w:r>
              <w:t>159</w:t>
            </w:r>
          </w:p>
        </w:tc>
        <w:tc>
          <w:tcPr>
            <w:tcW w:w="268" w:type="pct"/>
            <w:vAlign w:val="center"/>
          </w:tcPr>
          <w:p w14:paraId="1FFDB39E">
            <w:pPr>
              <w:pStyle w:val="28"/>
              <w:bidi w:val="0"/>
            </w:pPr>
            <w:r>
              <w:rPr>
                <w:rFonts w:hint="eastAsia"/>
              </w:rPr>
              <w:t>左岸</w:t>
            </w:r>
          </w:p>
        </w:tc>
        <w:tc>
          <w:tcPr>
            <w:tcW w:w="262" w:type="pct"/>
            <w:vAlign w:val="center"/>
          </w:tcPr>
          <w:p w14:paraId="32B56C23">
            <w:pPr>
              <w:pStyle w:val="28"/>
              <w:bidi w:val="0"/>
            </w:pPr>
            <w:r>
              <w:t>1</w:t>
            </w:r>
            <w:r>
              <w:rPr>
                <w:rFonts w:hint="eastAsia"/>
              </w:rPr>
              <w:t>类</w:t>
            </w:r>
          </w:p>
        </w:tc>
        <w:tc>
          <w:tcPr>
            <w:tcW w:w="809" w:type="pct"/>
            <w:vMerge w:val="continue"/>
            <w:vAlign w:val="center"/>
          </w:tcPr>
          <w:p w14:paraId="04A79D36">
            <w:pPr>
              <w:pStyle w:val="28"/>
              <w:bidi w:val="0"/>
            </w:pPr>
          </w:p>
        </w:tc>
        <w:tc>
          <w:tcPr>
            <w:tcW w:w="208" w:type="pct"/>
            <w:vAlign w:val="center"/>
          </w:tcPr>
          <w:p w14:paraId="53047CB8">
            <w:pPr>
              <w:pStyle w:val="28"/>
              <w:bidi w:val="0"/>
            </w:pPr>
            <w:r>
              <w:t>50.3</w:t>
            </w:r>
          </w:p>
        </w:tc>
        <w:tc>
          <w:tcPr>
            <w:tcW w:w="211" w:type="pct"/>
            <w:vAlign w:val="center"/>
          </w:tcPr>
          <w:p w14:paraId="72458ED9">
            <w:pPr>
              <w:pStyle w:val="28"/>
              <w:bidi w:val="0"/>
            </w:pPr>
            <w:r>
              <w:t>40.8</w:t>
            </w:r>
          </w:p>
        </w:tc>
        <w:tc>
          <w:tcPr>
            <w:tcW w:w="208" w:type="pct"/>
            <w:vAlign w:val="center"/>
          </w:tcPr>
          <w:p w14:paraId="494FFA5F">
            <w:pPr>
              <w:pStyle w:val="28"/>
              <w:bidi w:val="0"/>
            </w:pPr>
            <w:r>
              <w:t>55</w:t>
            </w:r>
          </w:p>
        </w:tc>
        <w:tc>
          <w:tcPr>
            <w:tcW w:w="211" w:type="pct"/>
            <w:vAlign w:val="center"/>
          </w:tcPr>
          <w:p w14:paraId="4C37A8CE">
            <w:pPr>
              <w:pStyle w:val="28"/>
              <w:bidi w:val="0"/>
            </w:pPr>
            <w:r>
              <w:t>45</w:t>
            </w:r>
          </w:p>
        </w:tc>
        <w:tc>
          <w:tcPr>
            <w:tcW w:w="276" w:type="pct"/>
            <w:vAlign w:val="center"/>
          </w:tcPr>
          <w:p w14:paraId="780F20C8">
            <w:pPr>
              <w:pStyle w:val="28"/>
              <w:bidi w:val="0"/>
            </w:pPr>
            <w:r>
              <w:t>49.2</w:t>
            </w:r>
          </w:p>
        </w:tc>
        <w:tc>
          <w:tcPr>
            <w:tcW w:w="257" w:type="pct"/>
            <w:vAlign w:val="center"/>
          </w:tcPr>
          <w:p w14:paraId="5CB49D56">
            <w:pPr>
              <w:pStyle w:val="28"/>
              <w:bidi w:val="0"/>
            </w:pPr>
            <w:r>
              <w:t>42.2</w:t>
            </w:r>
          </w:p>
        </w:tc>
        <w:tc>
          <w:tcPr>
            <w:tcW w:w="257" w:type="pct"/>
            <w:vAlign w:val="center"/>
          </w:tcPr>
          <w:p w14:paraId="44DAA015">
            <w:pPr>
              <w:pStyle w:val="28"/>
              <w:bidi w:val="0"/>
            </w:pPr>
            <w:r>
              <w:t>50.9</w:t>
            </w:r>
          </w:p>
        </w:tc>
        <w:tc>
          <w:tcPr>
            <w:tcW w:w="257" w:type="pct"/>
            <w:vAlign w:val="center"/>
          </w:tcPr>
          <w:p w14:paraId="51B12CF7">
            <w:pPr>
              <w:pStyle w:val="28"/>
              <w:bidi w:val="0"/>
            </w:pPr>
            <w:r>
              <w:t>0.6</w:t>
            </w:r>
          </w:p>
        </w:tc>
        <w:tc>
          <w:tcPr>
            <w:tcW w:w="209" w:type="pct"/>
            <w:vAlign w:val="center"/>
          </w:tcPr>
          <w:p w14:paraId="275FE7E5">
            <w:pPr>
              <w:pStyle w:val="28"/>
              <w:bidi w:val="0"/>
            </w:pPr>
            <w:r>
              <w:t>达标</w:t>
            </w:r>
          </w:p>
        </w:tc>
      </w:tr>
      <w:tr w14:paraId="783479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21F81329">
            <w:pPr>
              <w:pStyle w:val="28"/>
              <w:bidi w:val="0"/>
            </w:pPr>
            <w:r>
              <w:rPr>
                <w:rFonts w:hint="eastAsia"/>
              </w:rPr>
              <w:t>王家酒坊</w:t>
            </w:r>
          </w:p>
        </w:tc>
        <w:tc>
          <w:tcPr>
            <w:tcW w:w="511" w:type="pct"/>
            <w:shd w:val="clear" w:color="auto" w:fill="FFFFFF"/>
            <w:vAlign w:val="center"/>
          </w:tcPr>
          <w:p w14:paraId="090CB7B0">
            <w:pPr>
              <w:pStyle w:val="28"/>
              <w:bidi w:val="0"/>
            </w:pPr>
            <w:r>
              <w:rPr>
                <w:rFonts w:hint="eastAsia"/>
              </w:rPr>
              <w:t>九房涵拆建</w:t>
            </w:r>
          </w:p>
        </w:tc>
        <w:tc>
          <w:tcPr>
            <w:tcW w:w="366" w:type="pct"/>
            <w:vAlign w:val="center"/>
          </w:tcPr>
          <w:p w14:paraId="58113232">
            <w:pPr>
              <w:pStyle w:val="28"/>
              <w:bidi w:val="0"/>
            </w:pPr>
            <w:r>
              <w:t>54</w:t>
            </w:r>
          </w:p>
        </w:tc>
        <w:tc>
          <w:tcPr>
            <w:tcW w:w="268" w:type="pct"/>
            <w:vAlign w:val="center"/>
          </w:tcPr>
          <w:p w14:paraId="1D9B87DD">
            <w:pPr>
              <w:pStyle w:val="28"/>
              <w:bidi w:val="0"/>
            </w:pPr>
            <w:r>
              <w:rPr>
                <w:rFonts w:hint="eastAsia"/>
              </w:rPr>
              <w:t>右岸</w:t>
            </w:r>
          </w:p>
        </w:tc>
        <w:tc>
          <w:tcPr>
            <w:tcW w:w="262" w:type="pct"/>
            <w:vAlign w:val="center"/>
          </w:tcPr>
          <w:p w14:paraId="045532FD">
            <w:pPr>
              <w:pStyle w:val="28"/>
              <w:bidi w:val="0"/>
            </w:pPr>
            <w:r>
              <w:t>1</w:t>
            </w:r>
            <w:r>
              <w:rPr>
                <w:rFonts w:hint="eastAsia"/>
              </w:rPr>
              <w:t>类</w:t>
            </w:r>
          </w:p>
        </w:tc>
        <w:tc>
          <w:tcPr>
            <w:tcW w:w="809" w:type="pct"/>
            <w:vMerge w:val="continue"/>
            <w:vAlign w:val="center"/>
          </w:tcPr>
          <w:p w14:paraId="1A607214">
            <w:pPr>
              <w:pStyle w:val="28"/>
              <w:bidi w:val="0"/>
            </w:pPr>
          </w:p>
        </w:tc>
        <w:tc>
          <w:tcPr>
            <w:tcW w:w="208" w:type="pct"/>
            <w:vAlign w:val="center"/>
          </w:tcPr>
          <w:p w14:paraId="351444C7">
            <w:pPr>
              <w:pStyle w:val="28"/>
              <w:bidi w:val="0"/>
            </w:pPr>
            <w:r>
              <w:t>50.3</w:t>
            </w:r>
          </w:p>
        </w:tc>
        <w:tc>
          <w:tcPr>
            <w:tcW w:w="211" w:type="pct"/>
            <w:vAlign w:val="center"/>
          </w:tcPr>
          <w:p w14:paraId="459DFA36">
            <w:pPr>
              <w:pStyle w:val="28"/>
              <w:bidi w:val="0"/>
            </w:pPr>
            <w:r>
              <w:t>40.8</w:t>
            </w:r>
          </w:p>
        </w:tc>
        <w:tc>
          <w:tcPr>
            <w:tcW w:w="208" w:type="pct"/>
            <w:vAlign w:val="center"/>
          </w:tcPr>
          <w:p w14:paraId="61F4C9E2">
            <w:pPr>
              <w:pStyle w:val="28"/>
              <w:bidi w:val="0"/>
            </w:pPr>
            <w:r>
              <w:t>55</w:t>
            </w:r>
          </w:p>
        </w:tc>
        <w:tc>
          <w:tcPr>
            <w:tcW w:w="211" w:type="pct"/>
            <w:vAlign w:val="center"/>
          </w:tcPr>
          <w:p w14:paraId="5532A7F6">
            <w:pPr>
              <w:pStyle w:val="28"/>
              <w:bidi w:val="0"/>
            </w:pPr>
            <w:r>
              <w:t>45</w:t>
            </w:r>
          </w:p>
        </w:tc>
        <w:tc>
          <w:tcPr>
            <w:tcW w:w="276" w:type="pct"/>
            <w:vAlign w:val="center"/>
          </w:tcPr>
          <w:p w14:paraId="511338E6">
            <w:pPr>
              <w:pStyle w:val="28"/>
              <w:bidi w:val="0"/>
            </w:pPr>
            <w:r>
              <w:t>58.6</w:t>
            </w:r>
          </w:p>
        </w:tc>
        <w:tc>
          <w:tcPr>
            <w:tcW w:w="257" w:type="pct"/>
            <w:vAlign w:val="center"/>
          </w:tcPr>
          <w:p w14:paraId="56459967">
            <w:pPr>
              <w:pStyle w:val="28"/>
              <w:bidi w:val="0"/>
            </w:pPr>
            <w:r>
              <w:t>51.6</w:t>
            </w:r>
          </w:p>
        </w:tc>
        <w:tc>
          <w:tcPr>
            <w:tcW w:w="257" w:type="pct"/>
            <w:vAlign w:val="center"/>
          </w:tcPr>
          <w:p w14:paraId="3BF5290E">
            <w:pPr>
              <w:pStyle w:val="28"/>
              <w:bidi w:val="0"/>
            </w:pPr>
            <w:r>
              <w:t>54.0</w:t>
            </w:r>
          </w:p>
        </w:tc>
        <w:tc>
          <w:tcPr>
            <w:tcW w:w="257" w:type="pct"/>
            <w:vAlign w:val="center"/>
          </w:tcPr>
          <w:p w14:paraId="28C37E14">
            <w:pPr>
              <w:pStyle w:val="28"/>
              <w:bidi w:val="0"/>
            </w:pPr>
            <w:r>
              <w:t>3.7</w:t>
            </w:r>
          </w:p>
        </w:tc>
        <w:tc>
          <w:tcPr>
            <w:tcW w:w="209" w:type="pct"/>
            <w:vAlign w:val="center"/>
          </w:tcPr>
          <w:p w14:paraId="56DAB765">
            <w:pPr>
              <w:pStyle w:val="28"/>
              <w:bidi w:val="0"/>
            </w:pPr>
            <w:r>
              <w:t>达标</w:t>
            </w:r>
          </w:p>
        </w:tc>
      </w:tr>
      <w:tr w14:paraId="20082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609263FA">
            <w:pPr>
              <w:pStyle w:val="28"/>
              <w:bidi w:val="0"/>
            </w:pPr>
            <w:r>
              <w:rPr>
                <w:rFonts w:hint="eastAsia"/>
              </w:rPr>
              <w:t>梨树根</w:t>
            </w:r>
          </w:p>
        </w:tc>
        <w:tc>
          <w:tcPr>
            <w:tcW w:w="511" w:type="pct"/>
            <w:shd w:val="clear" w:color="auto" w:fill="FFFFFF"/>
            <w:vAlign w:val="center"/>
          </w:tcPr>
          <w:p w14:paraId="500F6501">
            <w:pPr>
              <w:pStyle w:val="28"/>
              <w:bidi w:val="0"/>
            </w:pPr>
            <w:r>
              <w:rPr>
                <w:rFonts w:hint="eastAsia"/>
              </w:rPr>
              <w:t>老龙头节制闸加固</w:t>
            </w:r>
          </w:p>
        </w:tc>
        <w:tc>
          <w:tcPr>
            <w:tcW w:w="366" w:type="pct"/>
            <w:vAlign w:val="center"/>
          </w:tcPr>
          <w:p w14:paraId="4C06B4F8">
            <w:pPr>
              <w:pStyle w:val="28"/>
              <w:bidi w:val="0"/>
            </w:pPr>
            <w:r>
              <w:t>25</w:t>
            </w:r>
          </w:p>
        </w:tc>
        <w:tc>
          <w:tcPr>
            <w:tcW w:w="268" w:type="pct"/>
            <w:vAlign w:val="center"/>
          </w:tcPr>
          <w:p w14:paraId="567CE823">
            <w:pPr>
              <w:pStyle w:val="28"/>
              <w:bidi w:val="0"/>
            </w:pPr>
            <w:r>
              <w:rPr>
                <w:rFonts w:hint="eastAsia"/>
              </w:rPr>
              <w:t>右岸</w:t>
            </w:r>
          </w:p>
        </w:tc>
        <w:tc>
          <w:tcPr>
            <w:tcW w:w="262" w:type="pct"/>
            <w:vAlign w:val="center"/>
          </w:tcPr>
          <w:p w14:paraId="3EA5E647">
            <w:pPr>
              <w:pStyle w:val="28"/>
              <w:bidi w:val="0"/>
            </w:pPr>
            <w:r>
              <w:t>1</w:t>
            </w:r>
            <w:r>
              <w:rPr>
                <w:rFonts w:hint="eastAsia"/>
              </w:rPr>
              <w:t>类</w:t>
            </w:r>
          </w:p>
        </w:tc>
        <w:tc>
          <w:tcPr>
            <w:tcW w:w="809" w:type="pct"/>
            <w:vAlign w:val="center"/>
          </w:tcPr>
          <w:p w14:paraId="1C957B4D">
            <w:pPr>
              <w:pStyle w:val="28"/>
              <w:bidi w:val="0"/>
            </w:pPr>
            <w:r>
              <w:rPr>
                <w:rFonts w:hint="eastAsia"/>
              </w:rPr>
              <w:t>采用低噪声设备，施工机械远离居民住宅，设置双层移动声屏障</w:t>
            </w:r>
          </w:p>
        </w:tc>
        <w:tc>
          <w:tcPr>
            <w:tcW w:w="208" w:type="pct"/>
            <w:vAlign w:val="center"/>
          </w:tcPr>
          <w:p w14:paraId="35118E89">
            <w:pPr>
              <w:pStyle w:val="28"/>
              <w:bidi w:val="0"/>
            </w:pPr>
            <w:r>
              <w:t>52.7</w:t>
            </w:r>
          </w:p>
        </w:tc>
        <w:tc>
          <w:tcPr>
            <w:tcW w:w="211" w:type="pct"/>
            <w:vAlign w:val="center"/>
          </w:tcPr>
          <w:p w14:paraId="79ABDF12">
            <w:pPr>
              <w:pStyle w:val="28"/>
              <w:bidi w:val="0"/>
            </w:pPr>
            <w:r>
              <w:t>42.3</w:t>
            </w:r>
          </w:p>
        </w:tc>
        <w:tc>
          <w:tcPr>
            <w:tcW w:w="208" w:type="pct"/>
            <w:vAlign w:val="center"/>
          </w:tcPr>
          <w:p w14:paraId="4E9A9FA5">
            <w:pPr>
              <w:pStyle w:val="28"/>
              <w:bidi w:val="0"/>
            </w:pPr>
            <w:r>
              <w:t>55</w:t>
            </w:r>
          </w:p>
        </w:tc>
        <w:tc>
          <w:tcPr>
            <w:tcW w:w="211" w:type="pct"/>
            <w:vAlign w:val="center"/>
          </w:tcPr>
          <w:p w14:paraId="720DFBD4">
            <w:pPr>
              <w:pStyle w:val="28"/>
              <w:bidi w:val="0"/>
            </w:pPr>
            <w:r>
              <w:t>45</w:t>
            </w:r>
          </w:p>
        </w:tc>
        <w:tc>
          <w:tcPr>
            <w:tcW w:w="276" w:type="pct"/>
            <w:vAlign w:val="center"/>
          </w:tcPr>
          <w:p w14:paraId="5CF39A63">
            <w:pPr>
              <w:pStyle w:val="28"/>
              <w:bidi w:val="0"/>
            </w:pPr>
            <w:r>
              <w:t>65.3</w:t>
            </w:r>
          </w:p>
        </w:tc>
        <w:tc>
          <w:tcPr>
            <w:tcW w:w="257" w:type="pct"/>
            <w:vAlign w:val="center"/>
          </w:tcPr>
          <w:p w14:paraId="235DE527">
            <w:pPr>
              <w:pStyle w:val="28"/>
              <w:bidi w:val="0"/>
            </w:pPr>
            <w:r>
              <w:t>45.3</w:t>
            </w:r>
          </w:p>
        </w:tc>
        <w:tc>
          <w:tcPr>
            <w:tcW w:w="257" w:type="pct"/>
            <w:vAlign w:val="center"/>
          </w:tcPr>
          <w:p w14:paraId="1C8146B0">
            <w:pPr>
              <w:pStyle w:val="28"/>
              <w:bidi w:val="0"/>
            </w:pPr>
            <w:r>
              <w:t>53.4</w:t>
            </w:r>
          </w:p>
        </w:tc>
        <w:tc>
          <w:tcPr>
            <w:tcW w:w="257" w:type="pct"/>
            <w:vAlign w:val="center"/>
          </w:tcPr>
          <w:p w14:paraId="10FD246D">
            <w:pPr>
              <w:pStyle w:val="28"/>
              <w:bidi w:val="0"/>
            </w:pPr>
            <w:r>
              <w:t>0.7</w:t>
            </w:r>
          </w:p>
        </w:tc>
        <w:tc>
          <w:tcPr>
            <w:tcW w:w="209" w:type="pct"/>
            <w:vAlign w:val="center"/>
          </w:tcPr>
          <w:p w14:paraId="3DB98749">
            <w:pPr>
              <w:pStyle w:val="28"/>
              <w:bidi w:val="0"/>
            </w:pPr>
            <w:r>
              <w:t>达标</w:t>
            </w:r>
          </w:p>
        </w:tc>
      </w:tr>
      <w:tr w14:paraId="36DB5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1C14F73F">
            <w:pPr>
              <w:pStyle w:val="28"/>
              <w:bidi w:val="0"/>
            </w:pPr>
            <w:r>
              <w:rPr>
                <w:rFonts w:hint="eastAsia"/>
              </w:rPr>
              <w:t>南小营</w:t>
            </w:r>
          </w:p>
        </w:tc>
        <w:tc>
          <w:tcPr>
            <w:tcW w:w="511" w:type="pct"/>
            <w:shd w:val="clear" w:color="auto" w:fill="FFFFFF"/>
            <w:vAlign w:val="center"/>
          </w:tcPr>
          <w:p w14:paraId="4CC937D6">
            <w:pPr>
              <w:pStyle w:val="28"/>
              <w:bidi w:val="0"/>
            </w:pPr>
            <w:r>
              <w:rPr>
                <w:rFonts w:hint="eastAsia"/>
              </w:rPr>
              <w:t>蒋圩涵加固</w:t>
            </w:r>
          </w:p>
        </w:tc>
        <w:tc>
          <w:tcPr>
            <w:tcW w:w="366" w:type="pct"/>
            <w:vAlign w:val="center"/>
          </w:tcPr>
          <w:p w14:paraId="646DC787">
            <w:pPr>
              <w:pStyle w:val="28"/>
              <w:bidi w:val="0"/>
            </w:pPr>
            <w:r>
              <w:t>79</w:t>
            </w:r>
          </w:p>
        </w:tc>
        <w:tc>
          <w:tcPr>
            <w:tcW w:w="268" w:type="pct"/>
            <w:vAlign w:val="center"/>
          </w:tcPr>
          <w:p w14:paraId="0E8F21E3">
            <w:pPr>
              <w:pStyle w:val="28"/>
              <w:bidi w:val="0"/>
            </w:pPr>
            <w:r>
              <w:rPr>
                <w:rFonts w:hint="eastAsia"/>
              </w:rPr>
              <w:t>右岸</w:t>
            </w:r>
          </w:p>
        </w:tc>
        <w:tc>
          <w:tcPr>
            <w:tcW w:w="262" w:type="pct"/>
            <w:vAlign w:val="center"/>
          </w:tcPr>
          <w:p w14:paraId="7DE608E4">
            <w:pPr>
              <w:pStyle w:val="28"/>
              <w:bidi w:val="0"/>
            </w:pPr>
            <w:r>
              <w:t>1</w:t>
            </w:r>
            <w:r>
              <w:rPr>
                <w:rFonts w:hint="eastAsia"/>
              </w:rPr>
              <w:t>类</w:t>
            </w:r>
          </w:p>
        </w:tc>
        <w:tc>
          <w:tcPr>
            <w:tcW w:w="809" w:type="pct"/>
            <w:vMerge w:val="restart"/>
            <w:vAlign w:val="center"/>
          </w:tcPr>
          <w:p w14:paraId="5A9C10F8">
            <w:pPr>
              <w:pStyle w:val="28"/>
              <w:bidi w:val="0"/>
            </w:pPr>
            <w:r>
              <w:rPr>
                <w:rFonts w:hint="eastAsia"/>
              </w:rPr>
              <w:t>采用低噪声设备，施工机械远离居民住宅</w:t>
            </w:r>
          </w:p>
        </w:tc>
        <w:tc>
          <w:tcPr>
            <w:tcW w:w="208" w:type="pct"/>
            <w:vAlign w:val="center"/>
          </w:tcPr>
          <w:p w14:paraId="0439A8A8">
            <w:pPr>
              <w:pStyle w:val="28"/>
              <w:bidi w:val="0"/>
            </w:pPr>
            <w:r>
              <w:t>52.7</w:t>
            </w:r>
          </w:p>
        </w:tc>
        <w:tc>
          <w:tcPr>
            <w:tcW w:w="211" w:type="pct"/>
            <w:vAlign w:val="center"/>
          </w:tcPr>
          <w:p w14:paraId="536DE4F4">
            <w:pPr>
              <w:pStyle w:val="28"/>
              <w:bidi w:val="0"/>
            </w:pPr>
            <w:r>
              <w:t>42.3</w:t>
            </w:r>
          </w:p>
        </w:tc>
        <w:tc>
          <w:tcPr>
            <w:tcW w:w="208" w:type="pct"/>
            <w:vAlign w:val="center"/>
          </w:tcPr>
          <w:p w14:paraId="013D6E56">
            <w:pPr>
              <w:pStyle w:val="28"/>
              <w:bidi w:val="0"/>
            </w:pPr>
            <w:r>
              <w:t>55</w:t>
            </w:r>
          </w:p>
        </w:tc>
        <w:tc>
          <w:tcPr>
            <w:tcW w:w="211" w:type="pct"/>
            <w:vAlign w:val="center"/>
          </w:tcPr>
          <w:p w14:paraId="0D636142">
            <w:pPr>
              <w:pStyle w:val="28"/>
              <w:bidi w:val="0"/>
            </w:pPr>
            <w:r>
              <w:t>45</w:t>
            </w:r>
          </w:p>
        </w:tc>
        <w:tc>
          <w:tcPr>
            <w:tcW w:w="276" w:type="pct"/>
            <w:vAlign w:val="center"/>
          </w:tcPr>
          <w:p w14:paraId="183EDFD8">
            <w:pPr>
              <w:pStyle w:val="28"/>
              <w:bidi w:val="0"/>
            </w:pPr>
            <w:r>
              <w:t>55.3</w:t>
            </w:r>
          </w:p>
        </w:tc>
        <w:tc>
          <w:tcPr>
            <w:tcW w:w="257" w:type="pct"/>
            <w:vAlign w:val="center"/>
          </w:tcPr>
          <w:p w14:paraId="60C2C517">
            <w:pPr>
              <w:pStyle w:val="28"/>
              <w:bidi w:val="0"/>
            </w:pPr>
            <w:r>
              <w:t>47.3</w:t>
            </w:r>
          </w:p>
        </w:tc>
        <w:tc>
          <w:tcPr>
            <w:tcW w:w="257" w:type="pct"/>
            <w:vAlign w:val="center"/>
          </w:tcPr>
          <w:p w14:paraId="4092D838">
            <w:pPr>
              <w:pStyle w:val="28"/>
              <w:bidi w:val="0"/>
            </w:pPr>
            <w:r>
              <w:t>53.8</w:t>
            </w:r>
          </w:p>
        </w:tc>
        <w:tc>
          <w:tcPr>
            <w:tcW w:w="257" w:type="pct"/>
            <w:vAlign w:val="center"/>
          </w:tcPr>
          <w:p w14:paraId="67C22D24">
            <w:pPr>
              <w:pStyle w:val="28"/>
              <w:bidi w:val="0"/>
            </w:pPr>
            <w:r>
              <w:t>1.1</w:t>
            </w:r>
          </w:p>
        </w:tc>
        <w:tc>
          <w:tcPr>
            <w:tcW w:w="209" w:type="pct"/>
            <w:vAlign w:val="center"/>
          </w:tcPr>
          <w:p w14:paraId="29D121A2">
            <w:pPr>
              <w:pStyle w:val="28"/>
              <w:bidi w:val="0"/>
            </w:pPr>
            <w:r>
              <w:t>达标</w:t>
            </w:r>
          </w:p>
        </w:tc>
      </w:tr>
      <w:tr w14:paraId="128D9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7D0F2A59">
            <w:pPr>
              <w:pStyle w:val="28"/>
              <w:bidi w:val="0"/>
            </w:pPr>
            <w:r>
              <w:rPr>
                <w:rFonts w:hint="eastAsia"/>
              </w:rPr>
              <w:t>李墙</w:t>
            </w:r>
          </w:p>
        </w:tc>
        <w:tc>
          <w:tcPr>
            <w:tcW w:w="511" w:type="pct"/>
            <w:shd w:val="clear" w:color="auto" w:fill="FFFFFF"/>
            <w:vAlign w:val="center"/>
          </w:tcPr>
          <w:p w14:paraId="171D8E58">
            <w:pPr>
              <w:pStyle w:val="28"/>
              <w:bidi w:val="0"/>
            </w:pPr>
            <w:r>
              <w:rPr>
                <w:rFonts w:hint="eastAsia"/>
              </w:rPr>
              <w:t>李墙涵拆建</w:t>
            </w:r>
          </w:p>
        </w:tc>
        <w:tc>
          <w:tcPr>
            <w:tcW w:w="366" w:type="pct"/>
            <w:vAlign w:val="center"/>
          </w:tcPr>
          <w:p w14:paraId="5BEA3684">
            <w:pPr>
              <w:pStyle w:val="28"/>
              <w:bidi w:val="0"/>
            </w:pPr>
            <w:r>
              <w:t>81</w:t>
            </w:r>
          </w:p>
        </w:tc>
        <w:tc>
          <w:tcPr>
            <w:tcW w:w="268" w:type="pct"/>
            <w:vAlign w:val="center"/>
          </w:tcPr>
          <w:p w14:paraId="52C31578">
            <w:pPr>
              <w:pStyle w:val="28"/>
              <w:bidi w:val="0"/>
            </w:pPr>
            <w:r>
              <w:rPr>
                <w:rFonts w:hint="eastAsia"/>
              </w:rPr>
              <w:t>右岸</w:t>
            </w:r>
          </w:p>
        </w:tc>
        <w:tc>
          <w:tcPr>
            <w:tcW w:w="262" w:type="pct"/>
            <w:vAlign w:val="center"/>
          </w:tcPr>
          <w:p w14:paraId="54F4A21B">
            <w:pPr>
              <w:pStyle w:val="28"/>
              <w:bidi w:val="0"/>
            </w:pPr>
            <w:r>
              <w:t>1</w:t>
            </w:r>
            <w:r>
              <w:rPr>
                <w:rFonts w:hint="eastAsia"/>
              </w:rPr>
              <w:t>类</w:t>
            </w:r>
          </w:p>
        </w:tc>
        <w:tc>
          <w:tcPr>
            <w:tcW w:w="809" w:type="pct"/>
            <w:vMerge w:val="continue"/>
            <w:vAlign w:val="center"/>
          </w:tcPr>
          <w:p w14:paraId="44CB3AEC">
            <w:pPr>
              <w:pStyle w:val="28"/>
              <w:bidi w:val="0"/>
            </w:pPr>
          </w:p>
        </w:tc>
        <w:tc>
          <w:tcPr>
            <w:tcW w:w="208" w:type="pct"/>
            <w:vAlign w:val="center"/>
          </w:tcPr>
          <w:p w14:paraId="3F4A0424">
            <w:pPr>
              <w:pStyle w:val="28"/>
              <w:bidi w:val="0"/>
            </w:pPr>
            <w:r>
              <w:t>52.7</w:t>
            </w:r>
          </w:p>
        </w:tc>
        <w:tc>
          <w:tcPr>
            <w:tcW w:w="211" w:type="pct"/>
            <w:vAlign w:val="center"/>
          </w:tcPr>
          <w:p w14:paraId="4A41A26F">
            <w:pPr>
              <w:pStyle w:val="28"/>
              <w:bidi w:val="0"/>
            </w:pPr>
            <w:r>
              <w:t>42.3</w:t>
            </w:r>
          </w:p>
        </w:tc>
        <w:tc>
          <w:tcPr>
            <w:tcW w:w="208" w:type="pct"/>
            <w:vAlign w:val="center"/>
          </w:tcPr>
          <w:p w14:paraId="5C872E86">
            <w:pPr>
              <w:pStyle w:val="28"/>
              <w:bidi w:val="0"/>
            </w:pPr>
            <w:r>
              <w:t>55</w:t>
            </w:r>
          </w:p>
        </w:tc>
        <w:tc>
          <w:tcPr>
            <w:tcW w:w="211" w:type="pct"/>
            <w:vAlign w:val="center"/>
          </w:tcPr>
          <w:p w14:paraId="0AC26F40">
            <w:pPr>
              <w:pStyle w:val="28"/>
              <w:bidi w:val="0"/>
            </w:pPr>
            <w:r>
              <w:t>45</w:t>
            </w:r>
          </w:p>
        </w:tc>
        <w:tc>
          <w:tcPr>
            <w:tcW w:w="276" w:type="pct"/>
            <w:vAlign w:val="center"/>
          </w:tcPr>
          <w:p w14:paraId="1A018B72">
            <w:pPr>
              <w:pStyle w:val="28"/>
              <w:bidi w:val="0"/>
            </w:pPr>
            <w:r>
              <w:t>55.0</w:t>
            </w:r>
          </w:p>
        </w:tc>
        <w:tc>
          <w:tcPr>
            <w:tcW w:w="257" w:type="pct"/>
            <w:vAlign w:val="center"/>
          </w:tcPr>
          <w:p w14:paraId="072FC84F">
            <w:pPr>
              <w:pStyle w:val="28"/>
              <w:bidi w:val="0"/>
            </w:pPr>
            <w:r>
              <w:t>47.0</w:t>
            </w:r>
          </w:p>
        </w:tc>
        <w:tc>
          <w:tcPr>
            <w:tcW w:w="257" w:type="pct"/>
            <w:vAlign w:val="center"/>
          </w:tcPr>
          <w:p w14:paraId="78A7EE51">
            <w:pPr>
              <w:pStyle w:val="28"/>
              <w:bidi w:val="0"/>
            </w:pPr>
            <w:r>
              <w:t>53.7</w:t>
            </w:r>
          </w:p>
        </w:tc>
        <w:tc>
          <w:tcPr>
            <w:tcW w:w="257" w:type="pct"/>
            <w:vAlign w:val="center"/>
          </w:tcPr>
          <w:p w14:paraId="58B74EA3">
            <w:pPr>
              <w:pStyle w:val="28"/>
              <w:bidi w:val="0"/>
            </w:pPr>
            <w:r>
              <w:t>1.0</w:t>
            </w:r>
          </w:p>
        </w:tc>
        <w:tc>
          <w:tcPr>
            <w:tcW w:w="209" w:type="pct"/>
            <w:vAlign w:val="center"/>
          </w:tcPr>
          <w:p w14:paraId="4B7F4A84">
            <w:pPr>
              <w:pStyle w:val="28"/>
              <w:bidi w:val="0"/>
            </w:pPr>
            <w:r>
              <w:t>达标</w:t>
            </w:r>
          </w:p>
        </w:tc>
      </w:tr>
      <w:tr w14:paraId="73AD9F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31DC1605">
            <w:pPr>
              <w:pStyle w:val="28"/>
              <w:bidi w:val="0"/>
            </w:pPr>
            <w:r>
              <w:rPr>
                <w:rFonts w:hint="eastAsia"/>
              </w:rPr>
              <w:t>欧家老郢</w:t>
            </w:r>
          </w:p>
        </w:tc>
        <w:tc>
          <w:tcPr>
            <w:tcW w:w="511" w:type="pct"/>
            <w:shd w:val="clear" w:color="auto" w:fill="FFFFFF"/>
            <w:vAlign w:val="center"/>
          </w:tcPr>
          <w:p w14:paraId="710AD5BE">
            <w:pPr>
              <w:pStyle w:val="28"/>
              <w:bidi w:val="0"/>
            </w:pPr>
            <w:r>
              <w:rPr>
                <w:rFonts w:hint="eastAsia"/>
              </w:rPr>
              <w:t>欧圩涵拆建</w:t>
            </w:r>
          </w:p>
        </w:tc>
        <w:tc>
          <w:tcPr>
            <w:tcW w:w="366" w:type="pct"/>
            <w:vAlign w:val="center"/>
          </w:tcPr>
          <w:p w14:paraId="5AA71CDB">
            <w:pPr>
              <w:pStyle w:val="28"/>
              <w:bidi w:val="0"/>
            </w:pPr>
            <w:r>
              <w:t>98</w:t>
            </w:r>
          </w:p>
        </w:tc>
        <w:tc>
          <w:tcPr>
            <w:tcW w:w="268" w:type="pct"/>
            <w:vAlign w:val="center"/>
          </w:tcPr>
          <w:p w14:paraId="171D9221">
            <w:pPr>
              <w:pStyle w:val="28"/>
              <w:bidi w:val="0"/>
            </w:pPr>
            <w:r>
              <w:rPr>
                <w:rFonts w:hint="eastAsia"/>
              </w:rPr>
              <w:t>右岸</w:t>
            </w:r>
          </w:p>
        </w:tc>
        <w:tc>
          <w:tcPr>
            <w:tcW w:w="262" w:type="pct"/>
            <w:vAlign w:val="center"/>
          </w:tcPr>
          <w:p w14:paraId="3D48A5E1">
            <w:pPr>
              <w:pStyle w:val="28"/>
              <w:bidi w:val="0"/>
            </w:pPr>
            <w:r>
              <w:t>1</w:t>
            </w:r>
            <w:r>
              <w:rPr>
                <w:rFonts w:hint="eastAsia"/>
              </w:rPr>
              <w:t>类</w:t>
            </w:r>
          </w:p>
        </w:tc>
        <w:tc>
          <w:tcPr>
            <w:tcW w:w="809" w:type="pct"/>
            <w:vMerge w:val="continue"/>
            <w:vAlign w:val="center"/>
          </w:tcPr>
          <w:p w14:paraId="32BC877E">
            <w:pPr>
              <w:pStyle w:val="28"/>
              <w:bidi w:val="0"/>
            </w:pPr>
          </w:p>
        </w:tc>
        <w:tc>
          <w:tcPr>
            <w:tcW w:w="208" w:type="pct"/>
            <w:vAlign w:val="center"/>
          </w:tcPr>
          <w:p w14:paraId="277028AC">
            <w:pPr>
              <w:pStyle w:val="28"/>
              <w:bidi w:val="0"/>
            </w:pPr>
            <w:r>
              <w:t>52.7</w:t>
            </w:r>
          </w:p>
        </w:tc>
        <w:tc>
          <w:tcPr>
            <w:tcW w:w="211" w:type="pct"/>
            <w:vAlign w:val="center"/>
          </w:tcPr>
          <w:p w14:paraId="5ACBCE91">
            <w:pPr>
              <w:pStyle w:val="28"/>
              <w:bidi w:val="0"/>
            </w:pPr>
            <w:r>
              <w:t>42.3</w:t>
            </w:r>
          </w:p>
        </w:tc>
        <w:tc>
          <w:tcPr>
            <w:tcW w:w="208" w:type="pct"/>
            <w:vAlign w:val="center"/>
          </w:tcPr>
          <w:p w14:paraId="3AB8F2CC">
            <w:pPr>
              <w:pStyle w:val="28"/>
              <w:bidi w:val="0"/>
            </w:pPr>
            <w:r>
              <w:t>55</w:t>
            </w:r>
          </w:p>
        </w:tc>
        <w:tc>
          <w:tcPr>
            <w:tcW w:w="211" w:type="pct"/>
            <w:vAlign w:val="center"/>
          </w:tcPr>
          <w:p w14:paraId="0BB7EB1D">
            <w:pPr>
              <w:pStyle w:val="28"/>
              <w:bidi w:val="0"/>
            </w:pPr>
            <w:r>
              <w:t>45</w:t>
            </w:r>
          </w:p>
        </w:tc>
        <w:tc>
          <w:tcPr>
            <w:tcW w:w="276" w:type="pct"/>
            <w:vAlign w:val="center"/>
          </w:tcPr>
          <w:p w14:paraId="59624E9C">
            <w:pPr>
              <w:pStyle w:val="28"/>
              <w:bidi w:val="0"/>
            </w:pPr>
            <w:r>
              <w:t>53.4</w:t>
            </w:r>
          </w:p>
        </w:tc>
        <w:tc>
          <w:tcPr>
            <w:tcW w:w="257" w:type="pct"/>
            <w:vAlign w:val="center"/>
          </w:tcPr>
          <w:p w14:paraId="0A711F9E">
            <w:pPr>
              <w:pStyle w:val="28"/>
              <w:bidi w:val="0"/>
            </w:pPr>
            <w:r>
              <w:t>45.4</w:t>
            </w:r>
          </w:p>
        </w:tc>
        <w:tc>
          <w:tcPr>
            <w:tcW w:w="257" w:type="pct"/>
            <w:vAlign w:val="center"/>
          </w:tcPr>
          <w:p w14:paraId="1FEC1A87">
            <w:pPr>
              <w:pStyle w:val="28"/>
              <w:bidi w:val="0"/>
            </w:pPr>
            <w:r>
              <w:t>53.4</w:t>
            </w:r>
          </w:p>
        </w:tc>
        <w:tc>
          <w:tcPr>
            <w:tcW w:w="257" w:type="pct"/>
            <w:vAlign w:val="center"/>
          </w:tcPr>
          <w:p w14:paraId="3E861E8A">
            <w:pPr>
              <w:pStyle w:val="28"/>
              <w:bidi w:val="0"/>
            </w:pPr>
            <w:r>
              <w:t>0.7</w:t>
            </w:r>
          </w:p>
        </w:tc>
        <w:tc>
          <w:tcPr>
            <w:tcW w:w="209" w:type="pct"/>
            <w:vAlign w:val="center"/>
          </w:tcPr>
          <w:p w14:paraId="0536A831">
            <w:pPr>
              <w:pStyle w:val="28"/>
              <w:bidi w:val="0"/>
            </w:pPr>
            <w:r>
              <w:t>达标</w:t>
            </w:r>
          </w:p>
        </w:tc>
      </w:tr>
      <w:tr w14:paraId="39086D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4649EC6D">
            <w:pPr>
              <w:pStyle w:val="28"/>
              <w:bidi w:val="0"/>
            </w:pPr>
            <w:r>
              <w:rPr>
                <w:rFonts w:hint="eastAsia"/>
              </w:rPr>
              <w:t>王家河坝</w:t>
            </w:r>
          </w:p>
        </w:tc>
        <w:tc>
          <w:tcPr>
            <w:tcW w:w="511" w:type="pct"/>
            <w:shd w:val="clear" w:color="auto" w:fill="FFFFFF"/>
            <w:vAlign w:val="center"/>
          </w:tcPr>
          <w:p w14:paraId="65E72149">
            <w:pPr>
              <w:pStyle w:val="28"/>
              <w:bidi w:val="0"/>
            </w:pPr>
            <w:r>
              <w:rPr>
                <w:rFonts w:hint="eastAsia"/>
              </w:rPr>
              <w:t>河坝涵拆建</w:t>
            </w:r>
          </w:p>
        </w:tc>
        <w:tc>
          <w:tcPr>
            <w:tcW w:w="366" w:type="pct"/>
            <w:vAlign w:val="center"/>
          </w:tcPr>
          <w:p w14:paraId="71A766C1">
            <w:pPr>
              <w:pStyle w:val="28"/>
              <w:bidi w:val="0"/>
            </w:pPr>
            <w:r>
              <w:t>67</w:t>
            </w:r>
          </w:p>
        </w:tc>
        <w:tc>
          <w:tcPr>
            <w:tcW w:w="268" w:type="pct"/>
            <w:vAlign w:val="center"/>
          </w:tcPr>
          <w:p w14:paraId="3FD7C67F">
            <w:pPr>
              <w:pStyle w:val="28"/>
              <w:bidi w:val="0"/>
            </w:pPr>
            <w:r>
              <w:rPr>
                <w:rFonts w:hint="eastAsia"/>
              </w:rPr>
              <w:t>右岸</w:t>
            </w:r>
          </w:p>
        </w:tc>
        <w:tc>
          <w:tcPr>
            <w:tcW w:w="262" w:type="pct"/>
            <w:vAlign w:val="center"/>
          </w:tcPr>
          <w:p w14:paraId="078A000F">
            <w:pPr>
              <w:pStyle w:val="28"/>
              <w:bidi w:val="0"/>
            </w:pPr>
            <w:r>
              <w:t>1</w:t>
            </w:r>
            <w:r>
              <w:rPr>
                <w:rFonts w:hint="eastAsia"/>
              </w:rPr>
              <w:t>类</w:t>
            </w:r>
          </w:p>
        </w:tc>
        <w:tc>
          <w:tcPr>
            <w:tcW w:w="809" w:type="pct"/>
            <w:vMerge w:val="continue"/>
            <w:vAlign w:val="center"/>
          </w:tcPr>
          <w:p w14:paraId="12AFBDBB">
            <w:pPr>
              <w:pStyle w:val="28"/>
              <w:bidi w:val="0"/>
            </w:pPr>
          </w:p>
        </w:tc>
        <w:tc>
          <w:tcPr>
            <w:tcW w:w="208" w:type="pct"/>
            <w:vAlign w:val="center"/>
          </w:tcPr>
          <w:p w14:paraId="66FAAA40">
            <w:pPr>
              <w:pStyle w:val="28"/>
              <w:bidi w:val="0"/>
            </w:pPr>
            <w:r>
              <w:t>52.7</w:t>
            </w:r>
          </w:p>
        </w:tc>
        <w:tc>
          <w:tcPr>
            <w:tcW w:w="211" w:type="pct"/>
            <w:vAlign w:val="center"/>
          </w:tcPr>
          <w:p w14:paraId="0AF9229C">
            <w:pPr>
              <w:pStyle w:val="28"/>
              <w:bidi w:val="0"/>
            </w:pPr>
            <w:r>
              <w:t>42.3</w:t>
            </w:r>
          </w:p>
        </w:tc>
        <w:tc>
          <w:tcPr>
            <w:tcW w:w="208" w:type="pct"/>
            <w:vAlign w:val="center"/>
          </w:tcPr>
          <w:p w14:paraId="3F576716">
            <w:pPr>
              <w:pStyle w:val="28"/>
              <w:bidi w:val="0"/>
            </w:pPr>
            <w:r>
              <w:t>55</w:t>
            </w:r>
          </w:p>
        </w:tc>
        <w:tc>
          <w:tcPr>
            <w:tcW w:w="211" w:type="pct"/>
            <w:vAlign w:val="center"/>
          </w:tcPr>
          <w:p w14:paraId="2880D241">
            <w:pPr>
              <w:pStyle w:val="28"/>
              <w:bidi w:val="0"/>
            </w:pPr>
            <w:r>
              <w:t>45</w:t>
            </w:r>
          </w:p>
        </w:tc>
        <w:tc>
          <w:tcPr>
            <w:tcW w:w="276" w:type="pct"/>
            <w:vAlign w:val="center"/>
          </w:tcPr>
          <w:p w14:paraId="17D59BE2">
            <w:pPr>
              <w:pStyle w:val="28"/>
              <w:bidi w:val="0"/>
            </w:pPr>
            <w:r>
              <w:t>56.7</w:t>
            </w:r>
          </w:p>
        </w:tc>
        <w:tc>
          <w:tcPr>
            <w:tcW w:w="257" w:type="pct"/>
            <w:vAlign w:val="center"/>
          </w:tcPr>
          <w:p w14:paraId="24A55A71">
            <w:pPr>
              <w:pStyle w:val="28"/>
              <w:bidi w:val="0"/>
            </w:pPr>
            <w:r>
              <w:t>48.7</w:t>
            </w:r>
          </w:p>
        </w:tc>
        <w:tc>
          <w:tcPr>
            <w:tcW w:w="257" w:type="pct"/>
            <w:vAlign w:val="center"/>
          </w:tcPr>
          <w:p w14:paraId="31F93DD4">
            <w:pPr>
              <w:pStyle w:val="28"/>
              <w:bidi w:val="0"/>
            </w:pPr>
            <w:r>
              <w:t>54.2</w:t>
            </w:r>
          </w:p>
        </w:tc>
        <w:tc>
          <w:tcPr>
            <w:tcW w:w="257" w:type="pct"/>
            <w:vAlign w:val="center"/>
          </w:tcPr>
          <w:p w14:paraId="3A150FF7">
            <w:pPr>
              <w:pStyle w:val="28"/>
              <w:bidi w:val="0"/>
            </w:pPr>
            <w:r>
              <w:t>1.5</w:t>
            </w:r>
          </w:p>
        </w:tc>
        <w:tc>
          <w:tcPr>
            <w:tcW w:w="209" w:type="pct"/>
            <w:vAlign w:val="center"/>
          </w:tcPr>
          <w:p w14:paraId="14F22C33">
            <w:pPr>
              <w:pStyle w:val="28"/>
              <w:bidi w:val="0"/>
            </w:pPr>
            <w:r>
              <w:t>达标</w:t>
            </w:r>
          </w:p>
        </w:tc>
      </w:tr>
      <w:tr w14:paraId="30FDD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763A8987">
            <w:pPr>
              <w:pStyle w:val="28"/>
              <w:bidi w:val="0"/>
            </w:pPr>
            <w:r>
              <w:rPr>
                <w:rFonts w:hint="eastAsia"/>
              </w:rPr>
              <w:t>门朝西</w:t>
            </w:r>
          </w:p>
        </w:tc>
        <w:tc>
          <w:tcPr>
            <w:tcW w:w="511" w:type="pct"/>
            <w:shd w:val="clear" w:color="auto" w:fill="FFFFFF"/>
            <w:vAlign w:val="center"/>
          </w:tcPr>
          <w:p w14:paraId="201A307A">
            <w:pPr>
              <w:pStyle w:val="28"/>
              <w:bidi w:val="0"/>
            </w:pPr>
            <w:r>
              <w:rPr>
                <w:rFonts w:hint="eastAsia"/>
              </w:rPr>
              <w:t>北老君涵拆建</w:t>
            </w:r>
          </w:p>
        </w:tc>
        <w:tc>
          <w:tcPr>
            <w:tcW w:w="366" w:type="pct"/>
            <w:vAlign w:val="center"/>
          </w:tcPr>
          <w:p w14:paraId="498E25D4">
            <w:pPr>
              <w:pStyle w:val="28"/>
              <w:bidi w:val="0"/>
            </w:pPr>
            <w:r>
              <w:t>54</w:t>
            </w:r>
          </w:p>
        </w:tc>
        <w:tc>
          <w:tcPr>
            <w:tcW w:w="268" w:type="pct"/>
            <w:vAlign w:val="center"/>
          </w:tcPr>
          <w:p w14:paraId="3E5F4EF3">
            <w:pPr>
              <w:pStyle w:val="28"/>
              <w:bidi w:val="0"/>
            </w:pPr>
            <w:r>
              <w:rPr>
                <w:rFonts w:hint="eastAsia"/>
              </w:rPr>
              <w:t>右岸</w:t>
            </w:r>
          </w:p>
        </w:tc>
        <w:tc>
          <w:tcPr>
            <w:tcW w:w="262" w:type="pct"/>
            <w:vAlign w:val="center"/>
          </w:tcPr>
          <w:p w14:paraId="76D695AF">
            <w:pPr>
              <w:pStyle w:val="28"/>
              <w:bidi w:val="0"/>
            </w:pPr>
            <w:r>
              <w:t>1</w:t>
            </w:r>
            <w:r>
              <w:rPr>
                <w:rFonts w:hint="eastAsia"/>
              </w:rPr>
              <w:t>类</w:t>
            </w:r>
          </w:p>
        </w:tc>
        <w:tc>
          <w:tcPr>
            <w:tcW w:w="809" w:type="pct"/>
            <w:vMerge w:val="continue"/>
            <w:vAlign w:val="center"/>
          </w:tcPr>
          <w:p w14:paraId="70A42C24">
            <w:pPr>
              <w:pStyle w:val="28"/>
              <w:bidi w:val="0"/>
            </w:pPr>
          </w:p>
        </w:tc>
        <w:tc>
          <w:tcPr>
            <w:tcW w:w="208" w:type="pct"/>
            <w:vAlign w:val="center"/>
          </w:tcPr>
          <w:p w14:paraId="6530002B">
            <w:pPr>
              <w:pStyle w:val="28"/>
              <w:bidi w:val="0"/>
            </w:pPr>
            <w:r>
              <w:t>52.7</w:t>
            </w:r>
          </w:p>
        </w:tc>
        <w:tc>
          <w:tcPr>
            <w:tcW w:w="211" w:type="pct"/>
            <w:vAlign w:val="center"/>
          </w:tcPr>
          <w:p w14:paraId="47D92342">
            <w:pPr>
              <w:pStyle w:val="28"/>
              <w:bidi w:val="0"/>
            </w:pPr>
            <w:r>
              <w:t>42.3</w:t>
            </w:r>
          </w:p>
        </w:tc>
        <w:tc>
          <w:tcPr>
            <w:tcW w:w="208" w:type="pct"/>
            <w:vAlign w:val="center"/>
          </w:tcPr>
          <w:p w14:paraId="70DAD8F0">
            <w:pPr>
              <w:pStyle w:val="28"/>
              <w:bidi w:val="0"/>
            </w:pPr>
            <w:r>
              <w:t>55</w:t>
            </w:r>
          </w:p>
        </w:tc>
        <w:tc>
          <w:tcPr>
            <w:tcW w:w="211" w:type="pct"/>
            <w:vAlign w:val="center"/>
          </w:tcPr>
          <w:p w14:paraId="61E64F9D">
            <w:pPr>
              <w:pStyle w:val="28"/>
              <w:bidi w:val="0"/>
            </w:pPr>
            <w:r>
              <w:t>45</w:t>
            </w:r>
          </w:p>
        </w:tc>
        <w:tc>
          <w:tcPr>
            <w:tcW w:w="276" w:type="pct"/>
            <w:vAlign w:val="center"/>
          </w:tcPr>
          <w:p w14:paraId="2F091106">
            <w:pPr>
              <w:pStyle w:val="28"/>
              <w:bidi w:val="0"/>
            </w:pPr>
            <w:r>
              <w:t>58.6</w:t>
            </w:r>
          </w:p>
        </w:tc>
        <w:tc>
          <w:tcPr>
            <w:tcW w:w="257" w:type="pct"/>
            <w:vAlign w:val="center"/>
          </w:tcPr>
          <w:p w14:paraId="158587AB">
            <w:pPr>
              <w:pStyle w:val="28"/>
              <w:bidi w:val="0"/>
            </w:pPr>
            <w:r>
              <w:t>50.6</w:t>
            </w:r>
          </w:p>
        </w:tc>
        <w:tc>
          <w:tcPr>
            <w:tcW w:w="257" w:type="pct"/>
            <w:vAlign w:val="center"/>
          </w:tcPr>
          <w:p w14:paraId="30C3D039">
            <w:pPr>
              <w:pStyle w:val="28"/>
              <w:bidi w:val="0"/>
            </w:pPr>
            <w:r>
              <w:t>54.8</w:t>
            </w:r>
          </w:p>
        </w:tc>
        <w:tc>
          <w:tcPr>
            <w:tcW w:w="257" w:type="pct"/>
            <w:vAlign w:val="center"/>
          </w:tcPr>
          <w:p w14:paraId="2B055AAC">
            <w:pPr>
              <w:pStyle w:val="28"/>
              <w:bidi w:val="0"/>
            </w:pPr>
            <w:r>
              <w:t>2.1</w:t>
            </w:r>
          </w:p>
        </w:tc>
        <w:tc>
          <w:tcPr>
            <w:tcW w:w="209" w:type="pct"/>
            <w:vAlign w:val="center"/>
          </w:tcPr>
          <w:p w14:paraId="63F244E0">
            <w:pPr>
              <w:pStyle w:val="28"/>
              <w:bidi w:val="0"/>
            </w:pPr>
            <w:r>
              <w:t>达标</w:t>
            </w:r>
          </w:p>
        </w:tc>
      </w:tr>
      <w:tr w14:paraId="3BC16B58">
        <w:tblPrEx>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4771D735">
            <w:pPr>
              <w:pStyle w:val="28"/>
              <w:bidi w:val="0"/>
            </w:pPr>
            <w:r>
              <w:rPr>
                <w:rFonts w:hint="eastAsia"/>
              </w:rPr>
              <w:t>陈家圩</w:t>
            </w:r>
          </w:p>
        </w:tc>
        <w:tc>
          <w:tcPr>
            <w:tcW w:w="511" w:type="pct"/>
            <w:shd w:val="clear" w:color="auto" w:fill="FFFFFF"/>
            <w:vAlign w:val="center"/>
          </w:tcPr>
          <w:p w14:paraId="586B1B44">
            <w:pPr>
              <w:pStyle w:val="28"/>
              <w:bidi w:val="0"/>
            </w:pPr>
            <w:r>
              <w:rPr>
                <w:rFonts w:hint="eastAsia"/>
              </w:rPr>
              <w:t>桃园进水闸拆建</w:t>
            </w:r>
          </w:p>
        </w:tc>
        <w:tc>
          <w:tcPr>
            <w:tcW w:w="366" w:type="pct"/>
            <w:vAlign w:val="center"/>
          </w:tcPr>
          <w:p w14:paraId="62CED922">
            <w:pPr>
              <w:pStyle w:val="28"/>
              <w:bidi w:val="0"/>
            </w:pPr>
            <w:r>
              <w:t>44</w:t>
            </w:r>
          </w:p>
        </w:tc>
        <w:tc>
          <w:tcPr>
            <w:tcW w:w="268" w:type="pct"/>
            <w:vAlign w:val="center"/>
          </w:tcPr>
          <w:p w14:paraId="6F88EC6F">
            <w:pPr>
              <w:pStyle w:val="28"/>
              <w:bidi w:val="0"/>
            </w:pPr>
            <w:r>
              <w:rPr>
                <w:rFonts w:hint="eastAsia"/>
              </w:rPr>
              <w:t>右岸</w:t>
            </w:r>
          </w:p>
        </w:tc>
        <w:tc>
          <w:tcPr>
            <w:tcW w:w="262" w:type="pct"/>
            <w:vAlign w:val="center"/>
          </w:tcPr>
          <w:p w14:paraId="657D930B">
            <w:pPr>
              <w:pStyle w:val="28"/>
              <w:bidi w:val="0"/>
            </w:pPr>
            <w:r>
              <w:t>1</w:t>
            </w:r>
            <w:r>
              <w:rPr>
                <w:rFonts w:hint="eastAsia"/>
              </w:rPr>
              <w:t>类</w:t>
            </w:r>
          </w:p>
        </w:tc>
        <w:tc>
          <w:tcPr>
            <w:tcW w:w="809" w:type="pct"/>
            <w:vAlign w:val="center"/>
          </w:tcPr>
          <w:p w14:paraId="69E63C52">
            <w:pPr>
              <w:pStyle w:val="28"/>
              <w:bidi w:val="0"/>
            </w:pPr>
            <w:r>
              <w:rPr>
                <w:rFonts w:hint="eastAsia"/>
              </w:rPr>
              <w:t>采用低噪声设备，施工机械远离居民住宅，设置单层移动声屏障</w:t>
            </w:r>
          </w:p>
        </w:tc>
        <w:tc>
          <w:tcPr>
            <w:tcW w:w="208" w:type="pct"/>
            <w:vAlign w:val="center"/>
          </w:tcPr>
          <w:p w14:paraId="0430C59C">
            <w:pPr>
              <w:pStyle w:val="28"/>
              <w:bidi w:val="0"/>
            </w:pPr>
            <w:r>
              <w:t>52.7</w:t>
            </w:r>
          </w:p>
        </w:tc>
        <w:tc>
          <w:tcPr>
            <w:tcW w:w="211" w:type="pct"/>
            <w:vAlign w:val="center"/>
          </w:tcPr>
          <w:p w14:paraId="01C251F9">
            <w:pPr>
              <w:pStyle w:val="28"/>
              <w:bidi w:val="0"/>
            </w:pPr>
            <w:r>
              <w:t>42.3</w:t>
            </w:r>
          </w:p>
        </w:tc>
        <w:tc>
          <w:tcPr>
            <w:tcW w:w="208" w:type="pct"/>
            <w:vAlign w:val="center"/>
          </w:tcPr>
          <w:p w14:paraId="797A98B8">
            <w:pPr>
              <w:pStyle w:val="28"/>
              <w:bidi w:val="0"/>
            </w:pPr>
            <w:r>
              <w:t>55</w:t>
            </w:r>
          </w:p>
        </w:tc>
        <w:tc>
          <w:tcPr>
            <w:tcW w:w="211" w:type="pct"/>
            <w:vAlign w:val="center"/>
          </w:tcPr>
          <w:p w14:paraId="60B12027">
            <w:pPr>
              <w:pStyle w:val="28"/>
              <w:bidi w:val="0"/>
            </w:pPr>
            <w:r>
              <w:t>45</w:t>
            </w:r>
          </w:p>
        </w:tc>
        <w:tc>
          <w:tcPr>
            <w:tcW w:w="276" w:type="pct"/>
            <w:vAlign w:val="center"/>
          </w:tcPr>
          <w:p w14:paraId="023194CE">
            <w:pPr>
              <w:pStyle w:val="28"/>
              <w:bidi w:val="0"/>
            </w:pPr>
            <w:r>
              <w:t>60.3</w:t>
            </w:r>
          </w:p>
        </w:tc>
        <w:tc>
          <w:tcPr>
            <w:tcW w:w="257" w:type="pct"/>
            <w:vAlign w:val="center"/>
          </w:tcPr>
          <w:p w14:paraId="67DF3B6B">
            <w:pPr>
              <w:pStyle w:val="28"/>
              <w:bidi w:val="0"/>
            </w:pPr>
            <w:r>
              <w:t>45.3</w:t>
            </w:r>
          </w:p>
        </w:tc>
        <w:tc>
          <w:tcPr>
            <w:tcW w:w="257" w:type="pct"/>
            <w:vAlign w:val="center"/>
          </w:tcPr>
          <w:p w14:paraId="71463E9E">
            <w:pPr>
              <w:pStyle w:val="28"/>
              <w:bidi w:val="0"/>
            </w:pPr>
            <w:r>
              <w:t>53.4</w:t>
            </w:r>
          </w:p>
        </w:tc>
        <w:tc>
          <w:tcPr>
            <w:tcW w:w="257" w:type="pct"/>
            <w:vAlign w:val="center"/>
          </w:tcPr>
          <w:p w14:paraId="1484A3EF">
            <w:pPr>
              <w:pStyle w:val="28"/>
              <w:bidi w:val="0"/>
            </w:pPr>
            <w:r>
              <w:t>0.7</w:t>
            </w:r>
          </w:p>
        </w:tc>
        <w:tc>
          <w:tcPr>
            <w:tcW w:w="209" w:type="pct"/>
            <w:vAlign w:val="center"/>
          </w:tcPr>
          <w:p w14:paraId="2D2FC5E7">
            <w:pPr>
              <w:pStyle w:val="28"/>
              <w:bidi w:val="0"/>
            </w:pPr>
            <w:r>
              <w:t>达标</w:t>
            </w:r>
          </w:p>
        </w:tc>
      </w:tr>
      <w:tr w14:paraId="1198B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CBC8E4E">
            <w:pPr>
              <w:pStyle w:val="28"/>
              <w:bidi w:val="0"/>
            </w:pPr>
            <w:r>
              <w:rPr>
                <w:rFonts w:hint="eastAsia"/>
              </w:rPr>
              <w:t>郑圩</w:t>
            </w:r>
          </w:p>
        </w:tc>
        <w:tc>
          <w:tcPr>
            <w:tcW w:w="511" w:type="pct"/>
            <w:vAlign w:val="center"/>
          </w:tcPr>
          <w:p w14:paraId="152EB170">
            <w:pPr>
              <w:pStyle w:val="28"/>
              <w:bidi w:val="0"/>
            </w:pPr>
            <w:r>
              <w:rPr>
                <w:rFonts w:hint="eastAsia"/>
              </w:rPr>
              <w:t>桃园北涵拆建</w:t>
            </w:r>
          </w:p>
        </w:tc>
        <w:tc>
          <w:tcPr>
            <w:tcW w:w="366" w:type="pct"/>
            <w:vAlign w:val="center"/>
          </w:tcPr>
          <w:p w14:paraId="5672F6F1">
            <w:pPr>
              <w:pStyle w:val="28"/>
              <w:bidi w:val="0"/>
            </w:pPr>
            <w:r>
              <w:t>77</w:t>
            </w:r>
          </w:p>
        </w:tc>
        <w:tc>
          <w:tcPr>
            <w:tcW w:w="268" w:type="pct"/>
            <w:vAlign w:val="center"/>
          </w:tcPr>
          <w:p w14:paraId="1C0CEC94">
            <w:pPr>
              <w:pStyle w:val="28"/>
              <w:bidi w:val="0"/>
            </w:pPr>
            <w:r>
              <w:rPr>
                <w:rFonts w:hint="eastAsia"/>
              </w:rPr>
              <w:t>右岸</w:t>
            </w:r>
          </w:p>
        </w:tc>
        <w:tc>
          <w:tcPr>
            <w:tcW w:w="262" w:type="pct"/>
            <w:vAlign w:val="center"/>
          </w:tcPr>
          <w:p w14:paraId="48C710E0">
            <w:pPr>
              <w:pStyle w:val="28"/>
              <w:bidi w:val="0"/>
            </w:pPr>
            <w:r>
              <w:t>1</w:t>
            </w:r>
            <w:r>
              <w:rPr>
                <w:rFonts w:hint="eastAsia"/>
              </w:rPr>
              <w:t>类</w:t>
            </w:r>
          </w:p>
        </w:tc>
        <w:tc>
          <w:tcPr>
            <w:tcW w:w="809" w:type="pct"/>
            <w:vMerge w:val="restart"/>
            <w:vAlign w:val="center"/>
          </w:tcPr>
          <w:p w14:paraId="773D4E44">
            <w:pPr>
              <w:pStyle w:val="28"/>
              <w:bidi w:val="0"/>
            </w:pPr>
            <w:r>
              <w:rPr>
                <w:rFonts w:hint="eastAsia"/>
              </w:rPr>
              <w:t>采用低噪声设备，施工机械远离居民住宅</w:t>
            </w:r>
          </w:p>
        </w:tc>
        <w:tc>
          <w:tcPr>
            <w:tcW w:w="208" w:type="pct"/>
            <w:vAlign w:val="center"/>
          </w:tcPr>
          <w:p w14:paraId="423679D4">
            <w:pPr>
              <w:pStyle w:val="28"/>
              <w:bidi w:val="0"/>
            </w:pPr>
            <w:r>
              <w:t>52.7</w:t>
            </w:r>
          </w:p>
        </w:tc>
        <w:tc>
          <w:tcPr>
            <w:tcW w:w="211" w:type="pct"/>
            <w:vAlign w:val="center"/>
          </w:tcPr>
          <w:p w14:paraId="0982F062">
            <w:pPr>
              <w:pStyle w:val="28"/>
              <w:bidi w:val="0"/>
            </w:pPr>
            <w:r>
              <w:t>42.3</w:t>
            </w:r>
          </w:p>
        </w:tc>
        <w:tc>
          <w:tcPr>
            <w:tcW w:w="208" w:type="pct"/>
            <w:vAlign w:val="center"/>
          </w:tcPr>
          <w:p w14:paraId="3439AE4E">
            <w:pPr>
              <w:pStyle w:val="28"/>
              <w:bidi w:val="0"/>
            </w:pPr>
            <w:r>
              <w:t>55</w:t>
            </w:r>
          </w:p>
        </w:tc>
        <w:tc>
          <w:tcPr>
            <w:tcW w:w="211" w:type="pct"/>
            <w:vAlign w:val="center"/>
          </w:tcPr>
          <w:p w14:paraId="2795F0BF">
            <w:pPr>
              <w:pStyle w:val="28"/>
              <w:bidi w:val="0"/>
            </w:pPr>
            <w:r>
              <w:t>45</w:t>
            </w:r>
          </w:p>
        </w:tc>
        <w:tc>
          <w:tcPr>
            <w:tcW w:w="276" w:type="pct"/>
            <w:vAlign w:val="center"/>
          </w:tcPr>
          <w:p w14:paraId="1954AE6C">
            <w:pPr>
              <w:pStyle w:val="28"/>
              <w:bidi w:val="0"/>
            </w:pPr>
            <w:r>
              <w:t>55.5</w:t>
            </w:r>
          </w:p>
        </w:tc>
        <w:tc>
          <w:tcPr>
            <w:tcW w:w="257" w:type="pct"/>
            <w:vAlign w:val="center"/>
          </w:tcPr>
          <w:p w14:paraId="705E621B">
            <w:pPr>
              <w:pStyle w:val="28"/>
              <w:bidi w:val="0"/>
            </w:pPr>
            <w:r>
              <w:t>47.5</w:t>
            </w:r>
          </w:p>
        </w:tc>
        <w:tc>
          <w:tcPr>
            <w:tcW w:w="257" w:type="pct"/>
            <w:vAlign w:val="center"/>
          </w:tcPr>
          <w:p w14:paraId="4174B63E">
            <w:pPr>
              <w:pStyle w:val="28"/>
              <w:bidi w:val="0"/>
            </w:pPr>
            <w:r>
              <w:t>53.8</w:t>
            </w:r>
          </w:p>
        </w:tc>
        <w:tc>
          <w:tcPr>
            <w:tcW w:w="257" w:type="pct"/>
            <w:vAlign w:val="center"/>
          </w:tcPr>
          <w:p w14:paraId="51D5CD20">
            <w:pPr>
              <w:pStyle w:val="28"/>
              <w:bidi w:val="0"/>
            </w:pPr>
            <w:r>
              <w:t>1.1</w:t>
            </w:r>
          </w:p>
        </w:tc>
        <w:tc>
          <w:tcPr>
            <w:tcW w:w="209" w:type="pct"/>
            <w:vAlign w:val="center"/>
          </w:tcPr>
          <w:p w14:paraId="05DB8A4B">
            <w:pPr>
              <w:pStyle w:val="28"/>
              <w:bidi w:val="0"/>
            </w:pPr>
            <w:r>
              <w:t>达标</w:t>
            </w:r>
          </w:p>
        </w:tc>
      </w:tr>
      <w:tr w14:paraId="15E7D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8F951FD">
            <w:pPr>
              <w:pStyle w:val="28"/>
              <w:bidi w:val="0"/>
            </w:pPr>
            <w:r>
              <w:rPr>
                <w:rFonts w:hint="eastAsia"/>
              </w:rPr>
              <w:t>小河东</w:t>
            </w:r>
          </w:p>
        </w:tc>
        <w:tc>
          <w:tcPr>
            <w:tcW w:w="511" w:type="pct"/>
            <w:vAlign w:val="center"/>
          </w:tcPr>
          <w:p w14:paraId="3060793D">
            <w:pPr>
              <w:pStyle w:val="28"/>
              <w:bidi w:val="0"/>
            </w:pPr>
            <w:r>
              <w:rPr>
                <w:rFonts w:hint="eastAsia"/>
              </w:rPr>
              <w:t>桥南西涵拆建</w:t>
            </w:r>
          </w:p>
        </w:tc>
        <w:tc>
          <w:tcPr>
            <w:tcW w:w="366" w:type="pct"/>
            <w:vAlign w:val="center"/>
          </w:tcPr>
          <w:p w14:paraId="2FEF85B2">
            <w:pPr>
              <w:pStyle w:val="28"/>
              <w:bidi w:val="0"/>
            </w:pPr>
            <w:r>
              <w:t>54</w:t>
            </w:r>
          </w:p>
        </w:tc>
        <w:tc>
          <w:tcPr>
            <w:tcW w:w="268" w:type="pct"/>
            <w:vAlign w:val="center"/>
          </w:tcPr>
          <w:p w14:paraId="71502ADD">
            <w:pPr>
              <w:pStyle w:val="28"/>
              <w:bidi w:val="0"/>
            </w:pPr>
            <w:r>
              <w:rPr>
                <w:rFonts w:hint="eastAsia"/>
              </w:rPr>
              <w:t>左岸</w:t>
            </w:r>
          </w:p>
        </w:tc>
        <w:tc>
          <w:tcPr>
            <w:tcW w:w="262" w:type="pct"/>
            <w:vAlign w:val="center"/>
          </w:tcPr>
          <w:p w14:paraId="434DFF6A">
            <w:pPr>
              <w:pStyle w:val="28"/>
              <w:bidi w:val="0"/>
            </w:pPr>
            <w:r>
              <w:t>1</w:t>
            </w:r>
            <w:r>
              <w:rPr>
                <w:rFonts w:hint="eastAsia"/>
              </w:rPr>
              <w:t>类</w:t>
            </w:r>
          </w:p>
        </w:tc>
        <w:tc>
          <w:tcPr>
            <w:tcW w:w="809" w:type="pct"/>
            <w:vMerge w:val="continue"/>
            <w:vAlign w:val="center"/>
          </w:tcPr>
          <w:p w14:paraId="7AB9F256">
            <w:pPr>
              <w:pStyle w:val="28"/>
              <w:bidi w:val="0"/>
            </w:pPr>
          </w:p>
        </w:tc>
        <w:tc>
          <w:tcPr>
            <w:tcW w:w="208" w:type="pct"/>
            <w:vAlign w:val="center"/>
          </w:tcPr>
          <w:p w14:paraId="737DE609">
            <w:pPr>
              <w:pStyle w:val="28"/>
              <w:bidi w:val="0"/>
            </w:pPr>
            <w:r>
              <w:t>52.7</w:t>
            </w:r>
          </w:p>
        </w:tc>
        <w:tc>
          <w:tcPr>
            <w:tcW w:w="211" w:type="pct"/>
            <w:vAlign w:val="center"/>
          </w:tcPr>
          <w:p w14:paraId="62E6B4E5">
            <w:pPr>
              <w:pStyle w:val="28"/>
              <w:bidi w:val="0"/>
            </w:pPr>
            <w:r>
              <w:t>42.3</w:t>
            </w:r>
          </w:p>
        </w:tc>
        <w:tc>
          <w:tcPr>
            <w:tcW w:w="208" w:type="pct"/>
            <w:vAlign w:val="center"/>
          </w:tcPr>
          <w:p w14:paraId="32AE6C7C">
            <w:pPr>
              <w:pStyle w:val="28"/>
              <w:bidi w:val="0"/>
            </w:pPr>
            <w:r>
              <w:t>55</w:t>
            </w:r>
          </w:p>
        </w:tc>
        <w:tc>
          <w:tcPr>
            <w:tcW w:w="211" w:type="pct"/>
            <w:vAlign w:val="center"/>
          </w:tcPr>
          <w:p w14:paraId="113FE510">
            <w:pPr>
              <w:pStyle w:val="28"/>
              <w:bidi w:val="0"/>
            </w:pPr>
            <w:r>
              <w:t>45</w:t>
            </w:r>
          </w:p>
        </w:tc>
        <w:tc>
          <w:tcPr>
            <w:tcW w:w="276" w:type="pct"/>
            <w:vAlign w:val="center"/>
          </w:tcPr>
          <w:p w14:paraId="02EDDA49">
            <w:pPr>
              <w:pStyle w:val="28"/>
              <w:bidi w:val="0"/>
            </w:pPr>
            <w:r>
              <w:t>58.6</w:t>
            </w:r>
          </w:p>
        </w:tc>
        <w:tc>
          <w:tcPr>
            <w:tcW w:w="257" w:type="pct"/>
            <w:vAlign w:val="center"/>
          </w:tcPr>
          <w:p w14:paraId="3E1A91AD">
            <w:pPr>
              <w:pStyle w:val="28"/>
              <w:bidi w:val="0"/>
            </w:pPr>
            <w:r>
              <w:t>50.6</w:t>
            </w:r>
          </w:p>
        </w:tc>
        <w:tc>
          <w:tcPr>
            <w:tcW w:w="257" w:type="pct"/>
            <w:vAlign w:val="center"/>
          </w:tcPr>
          <w:p w14:paraId="7FEFE4E7">
            <w:pPr>
              <w:pStyle w:val="28"/>
              <w:bidi w:val="0"/>
            </w:pPr>
            <w:r>
              <w:t>54.8</w:t>
            </w:r>
          </w:p>
        </w:tc>
        <w:tc>
          <w:tcPr>
            <w:tcW w:w="257" w:type="pct"/>
            <w:vAlign w:val="center"/>
          </w:tcPr>
          <w:p w14:paraId="7AAFD5A2">
            <w:pPr>
              <w:pStyle w:val="28"/>
              <w:bidi w:val="0"/>
            </w:pPr>
            <w:r>
              <w:t>2.1</w:t>
            </w:r>
          </w:p>
        </w:tc>
        <w:tc>
          <w:tcPr>
            <w:tcW w:w="209" w:type="pct"/>
            <w:vAlign w:val="center"/>
          </w:tcPr>
          <w:p w14:paraId="5CB5851E">
            <w:pPr>
              <w:pStyle w:val="28"/>
              <w:bidi w:val="0"/>
            </w:pPr>
            <w:r>
              <w:t>达标</w:t>
            </w:r>
          </w:p>
        </w:tc>
      </w:tr>
      <w:tr w14:paraId="7CC4254C">
        <w:tblPrEx>
          <w:tblCellMar>
            <w:top w:w="0" w:type="dxa"/>
            <w:left w:w="108" w:type="dxa"/>
            <w:bottom w:w="0" w:type="dxa"/>
            <w:right w:w="108" w:type="dxa"/>
          </w:tblCellMar>
        </w:tblPrEx>
        <w:trPr>
          <w:trHeight w:val="340" w:hRule="atLeast"/>
          <w:jc w:val="center"/>
        </w:trPr>
        <w:tc>
          <w:tcPr>
            <w:tcW w:w="685" w:type="pct"/>
            <w:vAlign w:val="center"/>
          </w:tcPr>
          <w:p w14:paraId="3B35546F">
            <w:pPr>
              <w:pStyle w:val="28"/>
              <w:bidi w:val="0"/>
            </w:pPr>
            <w:r>
              <w:rPr>
                <w:rFonts w:hint="eastAsia"/>
              </w:rPr>
              <w:t>西老龙窝</w:t>
            </w:r>
          </w:p>
        </w:tc>
        <w:tc>
          <w:tcPr>
            <w:tcW w:w="511" w:type="pct"/>
            <w:vAlign w:val="center"/>
          </w:tcPr>
          <w:p w14:paraId="074B79F0">
            <w:pPr>
              <w:pStyle w:val="28"/>
              <w:bidi w:val="0"/>
            </w:pPr>
            <w:r>
              <w:rPr>
                <w:rFonts w:hint="eastAsia"/>
              </w:rPr>
              <w:t>南塘进水闸拆建</w:t>
            </w:r>
          </w:p>
        </w:tc>
        <w:tc>
          <w:tcPr>
            <w:tcW w:w="366" w:type="pct"/>
            <w:vAlign w:val="center"/>
          </w:tcPr>
          <w:p w14:paraId="23D038D0">
            <w:pPr>
              <w:pStyle w:val="28"/>
              <w:bidi w:val="0"/>
            </w:pPr>
            <w:r>
              <w:t>38</w:t>
            </w:r>
          </w:p>
        </w:tc>
        <w:tc>
          <w:tcPr>
            <w:tcW w:w="268" w:type="pct"/>
            <w:vAlign w:val="center"/>
          </w:tcPr>
          <w:p w14:paraId="1FC5D772">
            <w:pPr>
              <w:pStyle w:val="28"/>
              <w:bidi w:val="0"/>
            </w:pPr>
            <w:r>
              <w:rPr>
                <w:rFonts w:hint="eastAsia"/>
              </w:rPr>
              <w:t>左岸</w:t>
            </w:r>
          </w:p>
        </w:tc>
        <w:tc>
          <w:tcPr>
            <w:tcW w:w="262" w:type="pct"/>
            <w:vAlign w:val="center"/>
          </w:tcPr>
          <w:p w14:paraId="7CB2BA68">
            <w:pPr>
              <w:pStyle w:val="28"/>
              <w:bidi w:val="0"/>
            </w:pPr>
            <w:r>
              <w:t>1</w:t>
            </w:r>
            <w:r>
              <w:rPr>
                <w:rFonts w:hint="eastAsia"/>
              </w:rPr>
              <w:t>类</w:t>
            </w:r>
          </w:p>
        </w:tc>
        <w:tc>
          <w:tcPr>
            <w:tcW w:w="809" w:type="pct"/>
            <w:vAlign w:val="center"/>
          </w:tcPr>
          <w:p w14:paraId="7863E257">
            <w:pPr>
              <w:pStyle w:val="28"/>
              <w:bidi w:val="0"/>
            </w:pPr>
            <w:r>
              <w:rPr>
                <w:rFonts w:hint="eastAsia"/>
              </w:rPr>
              <w:t>采用低噪声设备，施工机械远离居民住宅，设置双层移动声屏障</w:t>
            </w:r>
          </w:p>
        </w:tc>
        <w:tc>
          <w:tcPr>
            <w:tcW w:w="208" w:type="pct"/>
            <w:vAlign w:val="center"/>
          </w:tcPr>
          <w:p w14:paraId="5B097955">
            <w:pPr>
              <w:pStyle w:val="28"/>
              <w:bidi w:val="0"/>
            </w:pPr>
            <w:r>
              <w:t>52.7</w:t>
            </w:r>
          </w:p>
        </w:tc>
        <w:tc>
          <w:tcPr>
            <w:tcW w:w="211" w:type="pct"/>
            <w:vAlign w:val="center"/>
          </w:tcPr>
          <w:p w14:paraId="38DACFDE">
            <w:pPr>
              <w:pStyle w:val="28"/>
              <w:bidi w:val="0"/>
            </w:pPr>
            <w:r>
              <w:t>42.3</w:t>
            </w:r>
          </w:p>
        </w:tc>
        <w:tc>
          <w:tcPr>
            <w:tcW w:w="208" w:type="pct"/>
            <w:vAlign w:val="center"/>
          </w:tcPr>
          <w:p w14:paraId="328BB741">
            <w:pPr>
              <w:pStyle w:val="28"/>
              <w:bidi w:val="0"/>
            </w:pPr>
            <w:r>
              <w:t>55</w:t>
            </w:r>
          </w:p>
        </w:tc>
        <w:tc>
          <w:tcPr>
            <w:tcW w:w="211" w:type="pct"/>
            <w:vAlign w:val="center"/>
          </w:tcPr>
          <w:p w14:paraId="38E65982">
            <w:pPr>
              <w:pStyle w:val="28"/>
              <w:bidi w:val="0"/>
            </w:pPr>
            <w:r>
              <w:t>45</w:t>
            </w:r>
          </w:p>
        </w:tc>
        <w:tc>
          <w:tcPr>
            <w:tcW w:w="276" w:type="pct"/>
            <w:vAlign w:val="center"/>
          </w:tcPr>
          <w:p w14:paraId="7DCBBFED">
            <w:pPr>
              <w:pStyle w:val="28"/>
              <w:bidi w:val="0"/>
            </w:pPr>
            <w:r>
              <w:t>61.6</w:t>
            </w:r>
          </w:p>
        </w:tc>
        <w:tc>
          <w:tcPr>
            <w:tcW w:w="257" w:type="pct"/>
            <w:vAlign w:val="center"/>
          </w:tcPr>
          <w:p w14:paraId="50794E06">
            <w:pPr>
              <w:pStyle w:val="28"/>
              <w:bidi w:val="0"/>
            </w:pPr>
            <w:r>
              <w:t>41.6</w:t>
            </w:r>
          </w:p>
        </w:tc>
        <w:tc>
          <w:tcPr>
            <w:tcW w:w="257" w:type="pct"/>
            <w:vAlign w:val="center"/>
          </w:tcPr>
          <w:p w14:paraId="6ED36453">
            <w:pPr>
              <w:pStyle w:val="28"/>
              <w:bidi w:val="0"/>
            </w:pPr>
            <w:r>
              <w:t>53.0</w:t>
            </w:r>
          </w:p>
        </w:tc>
        <w:tc>
          <w:tcPr>
            <w:tcW w:w="257" w:type="pct"/>
            <w:vAlign w:val="center"/>
          </w:tcPr>
          <w:p w14:paraId="7051C5FB">
            <w:pPr>
              <w:pStyle w:val="28"/>
              <w:bidi w:val="0"/>
            </w:pPr>
            <w:r>
              <w:t>0.3</w:t>
            </w:r>
          </w:p>
        </w:tc>
        <w:tc>
          <w:tcPr>
            <w:tcW w:w="209" w:type="pct"/>
            <w:vAlign w:val="center"/>
          </w:tcPr>
          <w:p w14:paraId="1612EDD1">
            <w:pPr>
              <w:pStyle w:val="28"/>
              <w:bidi w:val="0"/>
            </w:pPr>
            <w:r>
              <w:t>达标</w:t>
            </w:r>
          </w:p>
        </w:tc>
      </w:tr>
      <w:tr w14:paraId="27F78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A427BBD">
            <w:pPr>
              <w:pStyle w:val="28"/>
              <w:bidi w:val="0"/>
            </w:pPr>
            <w:r>
              <w:rPr>
                <w:rFonts w:hint="eastAsia"/>
              </w:rPr>
              <w:t>郭圩</w:t>
            </w:r>
          </w:p>
        </w:tc>
        <w:tc>
          <w:tcPr>
            <w:tcW w:w="511" w:type="pct"/>
            <w:vAlign w:val="center"/>
          </w:tcPr>
          <w:p w14:paraId="004DA916">
            <w:pPr>
              <w:pStyle w:val="28"/>
              <w:bidi w:val="0"/>
            </w:pPr>
            <w:r>
              <w:rPr>
                <w:rFonts w:hint="eastAsia"/>
              </w:rPr>
              <w:t>龙窝节制闸拆建</w:t>
            </w:r>
          </w:p>
        </w:tc>
        <w:tc>
          <w:tcPr>
            <w:tcW w:w="366" w:type="pct"/>
            <w:vAlign w:val="center"/>
          </w:tcPr>
          <w:p w14:paraId="75507274">
            <w:pPr>
              <w:pStyle w:val="28"/>
              <w:bidi w:val="0"/>
            </w:pPr>
            <w:r>
              <w:t>59</w:t>
            </w:r>
          </w:p>
        </w:tc>
        <w:tc>
          <w:tcPr>
            <w:tcW w:w="268" w:type="pct"/>
            <w:vAlign w:val="center"/>
          </w:tcPr>
          <w:p w14:paraId="3DBECC43">
            <w:pPr>
              <w:pStyle w:val="28"/>
              <w:bidi w:val="0"/>
            </w:pPr>
            <w:r>
              <w:rPr>
                <w:rFonts w:hint="eastAsia"/>
              </w:rPr>
              <w:t>右岸</w:t>
            </w:r>
          </w:p>
        </w:tc>
        <w:tc>
          <w:tcPr>
            <w:tcW w:w="262" w:type="pct"/>
            <w:vAlign w:val="center"/>
          </w:tcPr>
          <w:p w14:paraId="1B327ACB">
            <w:pPr>
              <w:pStyle w:val="28"/>
              <w:bidi w:val="0"/>
            </w:pPr>
            <w:r>
              <w:t>1</w:t>
            </w:r>
            <w:r>
              <w:rPr>
                <w:rFonts w:hint="eastAsia"/>
              </w:rPr>
              <w:t>类</w:t>
            </w:r>
          </w:p>
        </w:tc>
        <w:tc>
          <w:tcPr>
            <w:tcW w:w="809" w:type="pct"/>
            <w:vMerge w:val="restart"/>
            <w:vAlign w:val="center"/>
          </w:tcPr>
          <w:p w14:paraId="119920A7">
            <w:pPr>
              <w:pStyle w:val="28"/>
              <w:bidi w:val="0"/>
            </w:pPr>
            <w:r>
              <w:rPr>
                <w:rFonts w:hint="eastAsia"/>
              </w:rPr>
              <w:t>采用低噪声设备，施工机械远离居民住宅</w:t>
            </w:r>
          </w:p>
        </w:tc>
        <w:tc>
          <w:tcPr>
            <w:tcW w:w="208" w:type="pct"/>
            <w:vAlign w:val="center"/>
          </w:tcPr>
          <w:p w14:paraId="5BE2B2F9">
            <w:pPr>
              <w:pStyle w:val="28"/>
              <w:bidi w:val="0"/>
            </w:pPr>
            <w:r>
              <w:t>52.7</w:t>
            </w:r>
          </w:p>
        </w:tc>
        <w:tc>
          <w:tcPr>
            <w:tcW w:w="211" w:type="pct"/>
            <w:vAlign w:val="center"/>
          </w:tcPr>
          <w:p w14:paraId="7486A635">
            <w:pPr>
              <w:pStyle w:val="28"/>
              <w:bidi w:val="0"/>
            </w:pPr>
            <w:r>
              <w:t>42.3</w:t>
            </w:r>
          </w:p>
        </w:tc>
        <w:tc>
          <w:tcPr>
            <w:tcW w:w="208" w:type="pct"/>
            <w:vAlign w:val="center"/>
          </w:tcPr>
          <w:p w14:paraId="2DF11178">
            <w:pPr>
              <w:pStyle w:val="28"/>
              <w:bidi w:val="0"/>
            </w:pPr>
            <w:r>
              <w:t>55</w:t>
            </w:r>
          </w:p>
        </w:tc>
        <w:tc>
          <w:tcPr>
            <w:tcW w:w="211" w:type="pct"/>
            <w:vAlign w:val="center"/>
          </w:tcPr>
          <w:p w14:paraId="4B127B2D">
            <w:pPr>
              <w:pStyle w:val="28"/>
              <w:bidi w:val="0"/>
            </w:pPr>
            <w:r>
              <w:t>45</w:t>
            </w:r>
          </w:p>
        </w:tc>
        <w:tc>
          <w:tcPr>
            <w:tcW w:w="276" w:type="pct"/>
            <w:vAlign w:val="center"/>
          </w:tcPr>
          <w:p w14:paraId="10F6362B">
            <w:pPr>
              <w:pStyle w:val="28"/>
              <w:bidi w:val="0"/>
            </w:pPr>
            <w:r>
              <w:t>57.8</w:t>
            </w:r>
          </w:p>
        </w:tc>
        <w:tc>
          <w:tcPr>
            <w:tcW w:w="257" w:type="pct"/>
            <w:vAlign w:val="center"/>
          </w:tcPr>
          <w:p w14:paraId="2E3EBF10">
            <w:pPr>
              <w:pStyle w:val="28"/>
              <w:bidi w:val="0"/>
            </w:pPr>
            <w:r>
              <w:t>50.8</w:t>
            </w:r>
          </w:p>
        </w:tc>
        <w:tc>
          <w:tcPr>
            <w:tcW w:w="257" w:type="pct"/>
            <w:vAlign w:val="center"/>
          </w:tcPr>
          <w:p w14:paraId="451CBF1D">
            <w:pPr>
              <w:pStyle w:val="28"/>
              <w:bidi w:val="0"/>
            </w:pPr>
            <w:r>
              <w:t>54.9</w:t>
            </w:r>
          </w:p>
        </w:tc>
        <w:tc>
          <w:tcPr>
            <w:tcW w:w="257" w:type="pct"/>
            <w:vAlign w:val="center"/>
          </w:tcPr>
          <w:p w14:paraId="40BE7E53">
            <w:pPr>
              <w:pStyle w:val="28"/>
              <w:bidi w:val="0"/>
            </w:pPr>
            <w:r>
              <w:t>2.2</w:t>
            </w:r>
          </w:p>
        </w:tc>
        <w:tc>
          <w:tcPr>
            <w:tcW w:w="209" w:type="pct"/>
            <w:vAlign w:val="center"/>
          </w:tcPr>
          <w:p w14:paraId="25E6FE20">
            <w:pPr>
              <w:pStyle w:val="28"/>
              <w:bidi w:val="0"/>
            </w:pPr>
            <w:r>
              <w:t>达标</w:t>
            </w:r>
          </w:p>
        </w:tc>
      </w:tr>
      <w:tr w14:paraId="44C2C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B2D1E36">
            <w:pPr>
              <w:pStyle w:val="28"/>
              <w:bidi w:val="0"/>
            </w:pPr>
            <w:r>
              <w:rPr>
                <w:rFonts w:hint="eastAsia"/>
              </w:rPr>
              <w:t>史圩</w:t>
            </w:r>
          </w:p>
        </w:tc>
        <w:tc>
          <w:tcPr>
            <w:tcW w:w="511" w:type="pct"/>
            <w:vAlign w:val="center"/>
          </w:tcPr>
          <w:p w14:paraId="7E7C678F">
            <w:pPr>
              <w:pStyle w:val="28"/>
              <w:bidi w:val="0"/>
            </w:pPr>
            <w:r>
              <w:rPr>
                <w:rFonts w:hint="eastAsia"/>
              </w:rPr>
              <w:t>机耕桥拆建</w:t>
            </w:r>
          </w:p>
        </w:tc>
        <w:tc>
          <w:tcPr>
            <w:tcW w:w="366" w:type="pct"/>
            <w:vAlign w:val="center"/>
          </w:tcPr>
          <w:p w14:paraId="00652D26">
            <w:pPr>
              <w:pStyle w:val="28"/>
              <w:bidi w:val="0"/>
            </w:pPr>
            <w:r>
              <w:t>59</w:t>
            </w:r>
          </w:p>
        </w:tc>
        <w:tc>
          <w:tcPr>
            <w:tcW w:w="268" w:type="pct"/>
            <w:vAlign w:val="center"/>
          </w:tcPr>
          <w:p w14:paraId="777CA6BC">
            <w:pPr>
              <w:pStyle w:val="28"/>
              <w:bidi w:val="0"/>
            </w:pPr>
            <w:r>
              <w:rPr>
                <w:rFonts w:hint="eastAsia"/>
              </w:rPr>
              <w:t>左岸</w:t>
            </w:r>
          </w:p>
        </w:tc>
        <w:tc>
          <w:tcPr>
            <w:tcW w:w="262" w:type="pct"/>
            <w:vAlign w:val="center"/>
          </w:tcPr>
          <w:p w14:paraId="12B5E50F">
            <w:pPr>
              <w:pStyle w:val="28"/>
              <w:bidi w:val="0"/>
            </w:pPr>
            <w:r>
              <w:t>1</w:t>
            </w:r>
            <w:r>
              <w:rPr>
                <w:rFonts w:hint="eastAsia"/>
              </w:rPr>
              <w:t>类</w:t>
            </w:r>
          </w:p>
        </w:tc>
        <w:tc>
          <w:tcPr>
            <w:tcW w:w="809" w:type="pct"/>
            <w:vMerge w:val="continue"/>
            <w:vAlign w:val="center"/>
          </w:tcPr>
          <w:p w14:paraId="5EB8FF39">
            <w:pPr>
              <w:pStyle w:val="28"/>
              <w:bidi w:val="0"/>
            </w:pPr>
          </w:p>
        </w:tc>
        <w:tc>
          <w:tcPr>
            <w:tcW w:w="208" w:type="pct"/>
            <w:vAlign w:val="center"/>
          </w:tcPr>
          <w:p w14:paraId="50798084">
            <w:pPr>
              <w:pStyle w:val="28"/>
              <w:bidi w:val="0"/>
            </w:pPr>
            <w:r>
              <w:t>52.7</w:t>
            </w:r>
          </w:p>
        </w:tc>
        <w:tc>
          <w:tcPr>
            <w:tcW w:w="211" w:type="pct"/>
            <w:vAlign w:val="center"/>
          </w:tcPr>
          <w:p w14:paraId="59E92D64">
            <w:pPr>
              <w:pStyle w:val="28"/>
              <w:bidi w:val="0"/>
            </w:pPr>
            <w:r>
              <w:t>42.3</w:t>
            </w:r>
          </w:p>
        </w:tc>
        <w:tc>
          <w:tcPr>
            <w:tcW w:w="208" w:type="pct"/>
            <w:vAlign w:val="center"/>
          </w:tcPr>
          <w:p w14:paraId="79D2050B">
            <w:pPr>
              <w:pStyle w:val="28"/>
              <w:bidi w:val="0"/>
            </w:pPr>
            <w:r>
              <w:t>55</w:t>
            </w:r>
          </w:p>
        </w:tc>
        <w:tc>
          <w:tcPr>
            <w:tcW w:w="211" w:type="pct"/>
            <w:vAlign w:val="center"/>
          </w:tcPr>
          <w:p w14:paraId="5EE15A32">
            <w:pPr>
              <w:pStyle w:val="28"/>
              <w:bidi w:val="0"/>
            </w:pPr>
            <w:r>
              <w:t>45</w:t>
            </w:r>
          </w:p>
        </w:tc>
        <w:tc>
          <w:tcPr>
            <w:tcW w:w="276" w:type="pct"/>
            <w:vAlign w:val="center"/>
          </w:tcPr>
          <w:p w14:paraId="783E6807">
            <w:pPr>
              <w:pStyle w:val="28"/>
              <w:bidi w:val="0"/>
            </w:pPr>
            <w:r>
              <w:t>57.8</w:t>
            </w:r>
          </w:p>
        </w:tc>
        <w:tc>
          <w:tcPr>
            <w:tcW w:w="257" w:type="pct"/>
            <w:vAlign w:val="center"/>
          </w:tcPr>
          <w:p w14:paraId="4D54C2A6">
            <w:pPr>
              <w:pStyle w:val="28"/>
              <w:bidi w:val="0"/>
            </w:pPr>
            <w:r>
              <w:t>50.8</w:t>
            </w:r>
          </w:p>
        </w:tc>
        <w:tc>
          <w:tcPr>
            <w:tcW w:w="257" w:type="pct"/>
            <w:vAlign w:val="center"/>
          </w:tcPr>
          <w:p w14:paraId="1ADB7BF1">
            <w:pPr>
              <w:pStyle w:val="28"/>
              <w:bidi w:val="0"/>
            </w:pPr>
            <w:r>
              <w:t>54.9</w:t>
            </w:r>
          </w:p>
        </w:tc>
        <w:tc>
          <w:tcPr>
            <w:tcW w:w="257" w:type="pct"/>
            <w:vAlign w:val="center"/>
          </w:tcPr>
          <w:p w14:paraId="6C454FE3">
            <w:pPr>
              <w:pStyle w:val="28"/>
              <w:bidi w:val="0"/>
            </w:pPr>
            <w:r>
              <w:t>2.2</w:t>
            </w:r>
          </w:p>
        </w:tc>
        <w:tc>
          <w:tcPr>
            <w:tcW w:w="209" w:type="pct"/>
            <w:vAlign w:val="center"/>
          </w:tcPr>
          <w:p w14:paraId="6EC71E20">
            <w:pPr>
              <w:pStyle w:val="28"/>
              <w:bidi w:val="0"/>
            </w:pPr>
            <w:r>
              <w:t>达标</w:t>
            </w:r>
          </w:p>
        </w:tc>
      </w:tr>
      <w:tr w14:paraId="3B8CC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0A6DFC7">
            <w:pPr>
              <w:pStyle w:val="28"/>
              <w:bidi w:val="0"/>
            </w:pPr>
            <w:r>
              <w:rPr>
                <w:rFonts w:hint="eastAsia"/>
              </w:rPr>
              <w:t>杜家圩</w:t>
            </w:r>
          </w:p>
        </w:tc>
        <w:tc>
          <w:tcPr>
            <w:tcW w:w="511" w:type="pct"/>
            <w:vAlign w:val="center"/>
          </w:tcPr>
          <w:p w14:paraId="702DC905">
            <w:pPr>
              <w:pStyle w:val="28"/>
              <w:bidi w:val="0"/>
            </w:pPr>
            <w:r>
              <w:rPr>
                <w:rFonts w:hint="eastAsia"/>
              </w:rPr>
              <w:t>杜圩涵拆建</w:t>
            </w:r>
          </w:p>
        </w:tc>
        <w:tc>
          <w:tcPr>
            <w:tcW w:w="366" w:type="pct"/>
            <w:vAlign w:val="center"/>
          </w:tcPr>
          <w:p w14:paraId="166A5C1A">
            <w:pPr>
              <w:pStyle w:val="28"/>
              <w:bidi w:val="0"/>
            </w:pPr>
            <w:r>
              <w:t>50</w:t>
            </w:r>
          </w:p>
        </w:tc>
        <w:tc>
          <w:tcPr>
            <w:tcW w:w="268" w:type="pct"/>
            <w:vAlign w:val="center"/>
          </w:tcPr>
          <w:p w14:paraId="73E12611">
            <w:pPr>
              <w:pStyle w:val="28"/>
              <w:bidi w:val="0"/>
            </w:pPr>
            <w:r>
              <w:rPr>
                <w:rFonts w:hint="eastAsia"/>
              </w:rPr>
              <w:t>左岸</w:t>
            </w:r>
          </w:p>
        </w:tc>
        <w:tc>
          <w:tcPr>
            <w:tcW w:w="262" w:type="pct"/>
            <w:vAlign w:val="center"/>
          </w:tcPr>
          <w:p w14:paraId="50405048">
            <w:pPr>
              <w:pStyle w:val="28"/>
              <w:bidi w:val="0"/>
            </w:pPr>
            <w:r>
              <w:t>1</w:t>
            </w:r>
            <w:r>
              <w:rPr>
                <w:rFonts w:hint="eastAsia"/>
              </w:rPr>
              <w:t>类</w:t>
            </w:r>
          </w:p>
        </w:tc>
        <w:tc>
          <w:tcPr>
            <w:tcW w:w="809" w:type="pct"/>
            <w:vMerge w:val="continue"/>
            <w:vAlign w:val="center"/>
          </w:tcPr>
          <w:p w14:paraId="10DC2CC8">
            <w:pPr>
              <w:pStyle w:val="28"/>
              <w:bidi w:val="0"/>
            </w:pPr>
          </w:p>
        </w:tc>
        <w:tc>
          <w:tcPr>
            <w:tcW w:w="208" w:type="pct"/>
            <w:vAlign w:val="center"/>
          </w:tcPr>
          <w:p w14:paraId="14C33354">
            <w:pPr>
              <w:pStyle w:val="28"/>
              <w:bidi w:val="0"/>
            </w:pPr>
            <w:r>
              <w:t>52.7</w:t>
            </w:r>
          </w:p>
        </w:tc>
        <w:tc>
          <w:tcPr>
            <w:tcW w:w="211" w:type="pct"/>
            <w:vAlign w:val="center"/>
          </w:tcPr>
          <w:p w14:paraId="377AB65D">
            <w:pPr>
              <w:pStyle w:val="28"/>
              <w:bidi w:val="0"/>
            </w:pPr>
            <w:r>
              <w:t>42.3</w:t>
            </w:r>
          </w:p>
        </w:tc>
        <w:tc>
          <w:tcPr>
            <w:tcW w:w="208" w:type="pct"/>
            <w:vAlign w:val="center"/>
          </w:tcPr>
          <w:p w14:paraId="61FA4320">
            <w:pPr>
              <w:pStyle w:val="28"/>
              <w:bidi w:val="0"/>
            </w:pPr>
            <w:r>
              <w:t>55</w:t>
            </w:r>
          </w:p>
        </w:tc>
        <w:tc>
          <w:tcPr>
            <w:tcW w:w="211" w:type="pct"/>
            <w:vAlign w:val="center"/>
          </w:tcPr>
          <w:p w14:paraId="3AA360FE">
            <w:pPr>
              <w:pStyle w:val="28"/>
              <w:bidi w:val="0"/>
            </w:pPr>
            <w:r>
              <w:t>45</w:t>
            </w:r>
          </w:p>
        </w:tc>
        <w:tc>
          <w:tcPr>
            <w:tcW w:w="276" w:type="pct"/>
            <w:vAlign w:val="center"/>
          </w:tcPr>
          <w:p w14:paraId="102F7FEA">
            <w:pPr>
              <w:pStyle w:val="28"/>
              <w:bidi w:val="0"/>
            </w:pPr>
            <w:r>
              <w:t>59.2</w:t>
            </w:r>
          </w:p>
        </w:tc>
        <w:tc>
          <w:tcPr>
            <w:tcW w:w="257" w:type="pct"/>
            <w:vAlign w:val="center"/>
          </w:tcPr>
          <w:p w14:paraId="5B380DCB">
            <w:pPr>
              <w:pStyle w:val="28"/>
              <w:bidi w:val="0"/>
            </w:pPr>
            <w:r>
              <w:t>50.7</w:t>
            </w:r>
          </w:p>
        </w:tc>
        <w:tc>
          <w:tcPr>
            <w:tcW w:w="257" w:type="pct"/>
            <w:vAlign w:val="center"/>
          </w:tcPr>
          <w:p w14:paraId="705B739D">
            <w:pPr>
              <w:pStyle w:val="28"/>
              <w:bidi w:val="0"/>
            </w:pPr>
            <w:r>
              <w:t>54.8</w:t>
            </w:r>
          </w:p>
        </w:tc>
        <w:tc>
          <w:tcPr>
            <w:tcW w:w="257" w:type="pct"/>
            <w:vAlign w:val="center"/>
          </w:tcPr>
          <w:p w14:paraId="2B71B89D">
            <w:pPr>
              <w:pStyle w:val="28"/>
              <w:bidi w:val="0"/>
            </w:pPr>
            <w:r>
              <w:t>2.1</w:t>
            </w:r>
          </w:p>
        </w:tc>
        <w:tc>
          <w:tcPr>
            <w:tcW w:w="209" w:type="pct"/>
            <w:vAlign w:val="center"/>
          </w:tcPr>
          <w:p w14:paraId="3EB3E864">
            <w:pPr>
              <w:pStyle w:val="28"/>
              <w:bidi w:val="0"/>
            </w:pPr>
            <w:r>
              <w:t>达标</w:t>
            </w:r>
          </w:p>
        </w:tc>
      </w:tr>
      <w:tr w14:paraId="246B39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7DFC7C0">
            <w:pPr>
              <w:pStyle w:val="28"/>
              <w:bidi w:val="0"/>
            </w:pPr>
            <w:r>
              <w:rPr>
                <w:rFonts w:hint="eastAsia"/>
              </w:rPr>
              <w:t>杨家圩</w:t>
            </w:r>
          </w:p>
        </w:tc>
        <w:tc>
          <w:tcPr>
            <w:tcW w:w="511" w:type="pct"/>
            <w:vAlign w:val="center"/>
          </w:tcPr>
          <w:p w14:paraId="698C3B5F">
            <w:pPr>
              <w:pStyle w:val="28"/>
              <w:bidi w:val="0"/>
            </w:pPr>
            <w:r>
              <w:rPr>
                <w:rFonts w:hint="eastAsia"/>
              </w:rPr>
              <w:t>新店进水闸拆建</w:t>
            </w:r>
          </w:p>
        </w:tc>
        <w:tc>
          <w:tcPr>
            <w:tcW w:w="366" w:type="pct"/>
            <w:vAlign w:val="center"/>
          </w:tcPr>
          <w:p w14:paraId="75E19176">
            <w:pPr>
              <w:pStyle w:val="28"/>
              <w:bidi w:val="0"/>
            </w:pPr>
            <w:r>
              <w:t>20</w:t>
            </w:r>
          </w:p>
        </w:tc>
        <w:tc>
          <w:tcPr>
            <w:tcW w:w="268" w:type="pct"/>
            <w:vAlign w:val="center"/>
          </w:tcPr>
          <w:p w14:paraId="35BF62AF">
            <w:pPr>
              <w:pStyle w:val="28"/>
              <w:bidi w:val="0"/>
            </w:pPr>
            <w:r>
              <w:rPr>
                <w:rFonts w:hint="eastAsia"/>
              </w:rPr>
              <w:t>左右岸</w:t>
            </w:r>
          </w:p>
        </w:tc>
        <w:tc>
          <w:tcPr>
            <w:tcW w:w="262" w:type="pct"/>
            <w:vAlign w:val="center"/>
          </w:tcPr>
          <w:p w14:paraId="4BFA6548">
            <w:pPr>
              <w:pStyle w:val="28"/>
              <w:bidi w:val="0"/>
            </w:pPr>
            <w:r>
              <w:t>1</w:t>
            </w:r>
            <w:r>
              <w:rPr>
                <w:rFonts w:hint="eastAsia"/>
              </w:rPr>
              <w:t>类</w:t>
            </w:r>
          </w:p>
        </w:tc>
        <w:tc>
          <w:tcPr>
            <w:tcW w:w="809" w:type="pct"/>
            <w:vMerge w:val="restart"/>
            <w:vAlign w:val="center"/>
          </w:tcPr>
          <w:p w14:paraId="6A8D09A9">
            <w:pPr>
              <w:pStyle w:val="28"/>
              <w:bidi w:val="0"/>
            </w:pPr>
            <w:r>
              <w:rPr>
                <w:rFonts w:hint="eastAsia"/>
              </w:rPr>
              <w:t>采用低噪声设备，施工机械远离居民住宅，设置双层移动声屏障</w:t>
            </w:r>
          </w:p>
        </w:tc>
        <w:tc>
          <w:tcPr>
            <w:tcW w:w="208" w:type="pct"/>
            <w:vAlign w:val="center"/>
          </w:tcPr>
          <w:p w14:paraId="7382075A">
            <w:pPr>
              <w:pStyle w:val="28"/>
              <w:bidi w:val="0"/>
            </w:pPr>
            <w:r>
              <w:t>52.7</w:t>
            </w:r>
          </w:p>
        </w:tc>
        <w:tc>
          <w:tcPr>
            <w:tcW w:w="211" w:type="pct"/>
            <w:vAlign w:val="center"/>
          </w:tcPr>
          <w:p w14:paraId="772B482C">
            <w:pPr>
              <w:pStyle w:val="28"/>
              <w:bidi w:val="0"/>
            </w:pPr>
            <w:r>
              <w:t>42.3</w:t>
            </w:r>
          </w:p>
        </w:tc>
        <w:tc>
          <w:tcPr>
            <w:tcW w:w="208" w:type="pct"/>
            <w:vAlign w:val="center"/>
          </w:tcPr>
          <w:p w14:paraId="47987157">
            <w:pPr>
              <w:pStyle w:val="28"/>
              <w:bidi w:val="0"/>
            </w:pPr>
            <w:r>
              <w:t>55</w:t>
            </w:r>
          </w:p>
        </w:tc>
        <w:tc>
          <w:tcPr>
            <w:tcW w:w="211" w:type="pct"/>
            <w:vAlign w:val="center"/>
          </w:tcPr>
          <w:p w14:paraId="0F3BEE74">
            <w:pPr>
              <w:pStyle w:val="28"/>
              <w:bidi w:val="0"/>
            </w:pPr>
            <w:r>
              <w:t>45</w:t>
            </w:r>
          </w:p>
        </w:tc>
        <w:tc>
          <w:tcPr>
            <w:tcW w:w="276" w:type="pct"/>
            <w:vAlign w:val="center"/>
          </w:tcPr>
          <w:p w14:paraId="0446F956">
            <w:pPr>
              <w:pStyle w:val="28"/>
              <w:bidi w:val="0"/>
            </w:pPr>
            <w:r>
              <w:t>67.2</w:t>
            </w:r>
          </w:p>
        </w:tc>
        <w:tc>
          <w:tcPr>
            <w:tcW w:w="257" w:type="pct"/>
            <w:vAlign w:val="center"/>
          </w:tcPr>
          <w:p w14:paraId="6C87F3E9">
            <w:pPr>
              <w:pStyle w:val="28"/>
              <w:bidi w:val="0"/>
            </w:pPr>
            <w:r>
              <w:t>47.2</w:t>
            </w:r>
          </w:p>
        </w:tc>
        <w:tc>
          <w:tcPr>
            <w:tcW w:w="257" w:type="pct"/>
            <w:vAlign w:val="center"/>
          </w:tcPr>
          <w:p w14:paraId="7CBE27E4">
            <w:pPr>
              <w:pStyle w:val="28"/>
              <w:bidi w:val="0"/>
            </w:pPr>
            <w:r>
              <w:t>53.8</w:t>
            </w:r>
          </w:p>
        </w:tc>
        <w:tc>
          <w:tcPr>
            <w:tcW w:w="257" w:type="pct"/>
            <w:vAlign w:val="center"/>
          </w:tcPr>
          <w:p w14:paraId="5152B5F0">
            <w:pPr>
              <w:pStyle w:val="28"/>
              <w:bidi w:val="0"/>
            </w:pPr>
            <w:r>
              <w:t>1.1</w:t>
            </w:r>
          </w:p>
        </w:tc>
        <w:tc>
          <w:tcPr>
            <w:tcW w:w="209" w:type="pct"/>
            <w:vAlign w:val="center"/>
          </w:tcPr>
          <w:p w14:paraId="57BCFB6E">
            <w:pPr>
              <w:pStyle w:val="28"/>
              <w:bidi w:val="0"/>
            </w:pPr>
            <w:r>
              <w:t>达标</w:t>
            </w:r>
          </w:p>
        </w:tc>
      </w:tr>
      <w:tr w14:paraId="7C70F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3419979">
            <w:pPr>
              <w:pStyle w:val="28"/>
              <w:bidi w:val="0"/>
            </w:pPr>
            <w:r>
              <w:rPr>
                <w:rFonts w:hint="eastAsia"/>
              </w:rPr>
              <w:t>古城拐</w:t>
            </w:r>
          </w:p>
        </w:tc>
        <w:tc>
          <w:tcPr>
            <w:tcW w:w="511" w:type="pct"/>
            <w:vAlign w:val="center"/>
          </w:tcPr>
          <w:p w14:paraId="07566642">
            <w:pPr>
              <w:pStyle w:val="28"/>
              <w:bidi w:val="0"/>
            </w:pPr>
            <w:r>
              <w:rPr>
                <w:rFonts w:hint="eastAsia"/>
              </w:rPr>
              <w:t>九龙进水闸拆建</w:t>
            </w:r>
          </w:p>
        </w:tc>
        <w:tc>
          <w:tcPr>
            <w:tcW w:w="366" w:type="pct"/>
            <w:vAlign w:val="center"/>
          </w:tcPr>
          <w:p w14:paraId="6C354C14">
            <w:pPr>
              <w:pStyle w:val="28"/>
              <w:bidi w:val="0"/>
            </w:pPr>
            <w:r>
              <w:t>20</w:t>
            </w:r>
          </w:p>
        </w:tc>
        <w:tc>
          <w:tcPr>
            <w:tcW w:w="268" w:type="pct"/>
            <w:vAlign w:val="center"/>
          </w:tcPr>
          <w:p w14:paraId="548EA344">
            <w:pPr>
              <w:pStyle w:val="28"/>
              <w:bidi w:val="0"/>
            </w:pPr>
            <w:r>
              <w:rPr>
                <w:rFonts w:hint="eastAsia"/>
              </w:rPr>
              <w:t>右岸</w:t>
            </w:r>
          </w:p>
        </w:tc>
        <w:tc>
          <w:tcPr>
            <w:tcW w:w="262" w:type="pct"/>
            <w:vAlign w:val="center"/>
          </w:tcPr>
          <w:p w14:paraId="141B9142">
            <w:pPr>
              <w:pStyle w:val="28"/>
              <w:bidi w:val="0"/>
            </w:pPr>
            <w:r>
              <w:t>1</w:t>
            </w:r>
            <w:r>
              <w:rPr>
                <w:rFonts w:hint="eastAsia"/>
              </w:rPr>
              <w:t>类</w:t>
            </w:r>
          </w:p>
        </w:tc>
        <w:tc>
          <w:tcPr>
            <w:tcW w:w="809" w:type="pct"/>
            <w:vMerge w:val="continue"/>
            <w:vAlign w:val="center"/>
          </w:tcPr>
          <w:p w14:paraId="359B1E13">
            <w:pPr>
              <w:pStyle w:val="28"/>
              <w:bidi w:val="0"/>
            </w:pPr>
          </w:p>
        </w:tc>
        <w:tc>
          <w:tcPr>
            <w:tcW w:w="208" w:type="pct"/>
            <w:vAlign w:val="center"/>
          </w:tcPr>
          <w:p w14:paraId="23596659">
            <w:pPr>
              <w:pStyle w:val="28"/>
              <w:bidi w:val="0"/>
            </w:pPr>
            <w:r>
              <w:t>52.7</w:t>
            </w:r>
          </w:p>
        </w:tc>
        <w:tc>
          <w:tcPr>
            <w:tcW w:w="211" w:type="pct"/>
            <w:vAlign w:val="center"/>
          </w:tcPr>
          <w:p w14:paraId="710EB1BE">
            <w:pPr>
              <w:pStyle w:val="28"/>
              <w:bidi w:val="0"/>
            </w:pPr>
            <w:r>
              <w:t>42.3</w:t>
            </w:r>
          </w:p>
        </w:tc>
        <w:tc>
          <w:tcPr>
            <w:tcW w:w="208" w:type="pct"/>
            <w:vAlign w:val="center"/>
          </w:tcPr>
          <w:p w14:paraId="19E760FC">
            <w:pPr>
              <w:pStyle w:val="28"/>
              <w:bidi w:val="0"/>
            </w:pPr>
            <w:r>
              <w:t>55</w:t>
            </w:r>
          </w:p>
        </w:tc>
        <w:tc>
          <w:tcPr>
            <w:tcW w:w="211" w:type="pct"/>
            <w:vAlign w:val="center"/>
          </w:tcPr>
          <w:p w14:paraId="6A5C8DC7">
            <w:pPr>
              <w:pStyle w:val="28"/>
              <w:bidi w:val="0"/>
            </w:pPr>
            <w:r>
              <w:t>45</w:t>
            </w:r>
          </w:p>
        </w:tc>
        <w:tc>
          <w:tcPr>
            <w:tcW w:w="276" w:type="pct"/>
            <w:vAlign w:val="center"/>
          </w:tcPr>
          <w:p w14:paraId="5F8ACB4A">
            <w:pPr>
              <w:pStyle w:val="28"/>
              <w:bidi w:val="0"/>
            </w:pPr>
            <w:r>
              <w:t>67.2</w:t>
            </w:r>
          </w:p>
        </w:tc>
        <w:tc>
          <w:tcPr>
            <w:tcW w:w="257" w:type="pct"/>
            <w:vAlign w:val="center"/>
          </w:tcPr>
          <w:p w14:paraId="3C95AEF9">
            <w:pPr>
              <w:pStyle w:val="28"/>
              <w:bidi w:val="0"/>
            </w:pPr>
            <w:r>
              <w:t>47.2</w:t>
            </w:r>
          </w:p>
        </w:tc>
        <w:tc>
          <w:tcPr>
            <w:tcW w:w="257" w:type="pct"/>
            <w:vAlign w:val="center"/>
          </w:tcPr>
          <w:p w14:paraId="00938C16">
            <w:pPr>
              <w:pStyle w:val="28"/>
              <w:bidi w:val="0"/>
            </w:pPr>
            <w:r>
              <w:t>53.8</w:t>
            </w:r>
          </w:p>
        </w:tc>
        <w:tc>
          <w:tcPr>
            <w:tcW w:w="257" w:type="pct"/>
            <w:vAlign w:val="center"/>
          </w:tcPr>
          <w:p w14:paraId="22B6F8D9">
            <w:pPr>
              <w:pStyle w:val="28"/>
              <w:bidi w:val="0"/>
            </w:pPr>
            <w:r>
              <w:t>1.1</w:t>
            </w:r>
          </w:p>
        </w:tc>
        <w:tc>
          <w:tcPr>
            <w:tcW w:w="209" w:type="pct"/>
            <w:vAlign w:val="center"/>
          </w:tcPr>
          <w:p w14:paraId="53646333">
            <w:pPr>
              <w:pStyle w:val="28"/>
              <w:bidi w:val="0"/>
            </w:pPr>
            <w:r>
              <w:t>达标</w:t>
            </w:r>
          </w:p>
        </w:tc>
      </w:tr>
      <w:tr w14:paraId="0CA0B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31C5477">
            <w:pPr>
              <w:pStyle w:val="28"/>
              <w:bidi w:val="0"/>
            </w:pPr>
            <w:r>
              <w:rPr>
                <w:rFonts w:hint="eastAsia"/>
              </w:rPr>
              <w:t>黄家圩</w:t>
            </w:r>
          </w:p>
        </w:tc>
        <w:tc>
          <w:tcPr>
            <w:tcW w:w="511" w:type="pct"/>
            <w:vAlign w:val="center"/>
          </w:tcPr>
          <w:p w14:paraId="50854502">
            <w:pPr>
              <w:pStyle w:val="28"/>
              <w:bidi w:val="0"/>
            </w:pPr>
            <w:r>
              <w:rPr>
                <w:rFonts w:hint="eastAsia"/>
              </w:rPr>
              <w:t>古城进水闸拆建</w:t>
            </w:r>
          </w:p>
        </w:tc>
        <w:tc>
          <w:tcPr>
            <w:tcW w:w="366" w:type="pct"/>
            <w:vAlign w:val="center"/>
          </w:tcPr>
          <w:p w14:paraId="107C2699">
            <w:pPr>
              <w:pStyle w:val="28"/>
              <w:bidi w:val="0"/>
            </w:pPr>
            <w:r>
              <w:t>20</w:t>
            </w:r>
          </w:p>
        </w:tc>
        <w:tc>
          <w:tcPr>
            <w:tcW w:w="268" w:type="pct"/>
            <w:vAlign w:val="center"/>
          </w:tcPr>
          <w:p w14:paraId="055BD17A">
            <w:pPr>
              <w:pStyle w:val="28"/>
              <w:bidi w:val="0"/>
            </w:pPr>
            <w:r>
              <w:rPr>
                <w:rFonts w:hint="eastAsia"/>
              </w:rPr>
              <w:t>右岸</w:t>
            </w:r>
          </w:p>
        </w:tc>
        <w:tc>
          <w:tcPr>
            <w:tcW w:w="262" w:type="pct"/>
            <w:vAlign w:val="center"/>
          </w:tcPr>
          <w:p w14:paraId="79A4DFFF">
            <w:pPr>
              <w:pStyle w:val="28"/>
              <w:bidi w:val="0"/>
            </w:pPr>
            <w:r>
              <w:t>1</w:t>
            </w:r>
            <w:r>
              <w:rPr>
                <w:rFonts w:hint="eastAsia"/>
              </w:rPr>
              <w:t>类</w:t>
            </w:r>
          </w:p>
        </w:tc>
        <w:tc>
          <w:tcPr>
            <w:tcW w:w="809" w:type="pct"/>
            <w:vMerge w:val="continue"/>
            <w:vAlign w:val="center"/>
          </w:tcPr>
          <w:p w14:paraId="1D36EE72">
            <w:pPr>
              <w:pStyle w:val="28"/>
              <w:bidi w:val="0"/>
            </w:pPr>
          </w:p>
        </w:tc>
        <w:tc>
          <w:tcPr>
            <w:tcW w:w="208" w:type="pct"/>
            <w:vAlign w:val="center"/>
          </w:tcPr>
          <w:p w14:paraId="3DA482B5">
            <w:pPr>
              <w:pStyle w:val="28"/>
              <w:bidi w:val="0"/>
            </w:pPr>
            <w:r>
              <w:t>52.7</w:t>
            </w:r>
          </w:p>
        </w:tc>
        <w:tc>
          <w:tcPr>
            <w:tcW w:w="211" w:type="pct"/>
            <w:vAlign w:val="center"/>
          </w:tcPr>
          <w:p w14:paraId="5635721F">
            <w:pPr>
              <w:pStyle w:val="28"/>
              <w:bidi w:val="0"/>
            </w:pPr>
            <w:r>
              <w:t>42.3</w:t>
            </w:r>
          </w:p>
        </w:tc>
        <w:tc>
          <w:tcPr>
            <w:tcW w:w="208" w:type="pct"/>
            <w:vAlign w:val="center"/>
          </w:tcPr>
          <w:p w14:paraId="7D6BD9F8">
            <w:pPr>
              <w:pStyle w:val="28"/>
              <w:bidi w:val="0"/>
            </w:pPr>
            <w:r>
              <w:t>55</w:t>
            </w:r>
          </w:p>
        </w:tc>
        <w:tc>
          <w:tcPr>
            <w:tcW w:w="211" w:type="pct"/>
            <w:vAlign w:val="center"/>
          </w:tcPr>
          <w:p w14:paraId="0364764B">
            <w:pPr>
              <w:pStyle w:val="28"/>
              <w:bidi w:val="0"/>
            </w:pPr>
            <w:r>
              <w:t>45</w:t>
            </w:r>
          </w:p>
        </w:tc>
        <w:tc>
          <w:tcPr>
            <w:tcW w:w="276" w:type="pct"/>
            <w:vAlign w:val="center"/>
          </w:tcPr>
          <w:p w14:paraId="6DD62774">
            <w:pPr>
              <w:pStyle w:val="28"/>
              <w:bidi w:val="0"/>
            </w:pPr>
            <w:r>
              <w:t>67.2</w:t>
            </w:r>
          </w:p>
        </w:tc>
        <w:tc>
          <w:tcPr>
            <w:tcW w:w="257" w:type="pct"/>
            <w:vAlign w:val="center"/>
          </w:tcPr>
          <w:p w14:paraId="12E2C205">
            <w:pPr>
              <w:pStyle w:val="28"/>
              <w:bidi w:val="0"/>
            </w:pPr>
            <w:r>
              <w:t>47.2</w:t>
            </w:r>
          </w:p>
        </w:tc>
        <w:tc>
          <w:tcPr>
            <w:tcW w:w="257" w:type="pct"/>
            <w:vAlign w:val="center"/>
          </w:tcPr>
          <w:p w14:paraId="5183C0AD">
            <w:pPr>
              <w:pStyle w:val="28"/>
              <w:bidi w:val="0"/>
            </w:pPr>
            <w:r>
              <w:t>53.8</w:t>
            </w:r>
          </w:p>
        </w:tc>
        <w:tc>
          <w:tcPr>
            <w:tcW w:w="257" w:type="pct"/>
            <w:vAlign w:val="center"/>
          </w:tcPr>
          <w:p w14:paraId="56E9F49F">
            <w:pPr>
              <w:pStyle w:val="28"/>
              <w:bidi w:val="0"/>
            </w:pPr>
            <w:r>
              <w:t>1.1</w:t>
            </w:r>
          </w:p>
        </w:tc>
        <w:tc>
          <w:tcPr>
            <w:tcW w:w="209" w:type="pct"/>
            <w:vAlign w:val="center"/>
          </w:tcPr>
          <w:p w14:paraId="6F9245D0">
            <w:pPr>
              <w:pStyle w:val="28"/>
              <w:bidi w:val="0"/>
            </w:pPr>
            <w:r>
              <w:t>达标</w:t>
            </w:r>
          </w:p>
        </w:tc>
      </w:tr>
      <w:tr w14:paraId="68C4C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02F2F40">
            <w:pPr>
              <w:pStyle w:val="28"/>
              <w:bidi w:val="0"/>
            </w:pPr>
            <w:r>
              <w:rPr>
                <w:rFonts w:hint="eastAsia"/>
              </w:rPr>
              <w:t>牌坊圩</w:t>
            </w:r>
          </w:p>
        </w:tc>
        <w:tc>
          <w:tcPr>
            <w:tcW w:w="511" w:type="pct"/>
            <w:vAlign w:val="center"/>
          </w:tcPr>
          <w:p w14:paraId="74AED05A">
            <w:pPr>
              <w:pStyle w:val="28"/>
              <w:bidi w:val="0"/>
            </w:pPr>
            <w:r>
              <w:rPr>
                <w:rFonts w:hint="eastAsia"/>
              </w:rPr>
              <w:t>十里进水闸拆建</w:t>
            </w:r>
          </w:p>
        </w:tc>
        <w:tc>
          <w:tcPr>
            <w:tcW w:w="366" w:type="pct"/>
            <w:vAlign w:val="center"/>
          </w:tcPr>
          <w:p w14:paraId="694EF7FB">
            <w:pPr>
              <w:pStyle w:val="28"/>
              <w:bidi w:val="0"/>
            </w:pPr>
            <w:r>
              <w:t>90</w:t>
            </w:r>
          </w:p>
        </w:tc>
        <w:tc>
          <w:tcPr>
            <w:tcW w:w="268" w:type="pct"/>
            <w:vAlign w:val="center"/>
          </w:tcPr>
          <w:p w14:paraId="2BF1F486">
            <w:pPr>
              <w:pStyle w:val="28"/>
              <w:bidi w:val="0"/>
            </w:pPr>
            <w:r>
              <w:rPr>
                <w:rFonts w:hint="eastAsia"/>
              </w:rPr>
              <w:t>右岸</w:t>
            </w:r>
          </w:p>
        </w:tc>
        <w:tc>
          <w:tcPr>
            <w:tcW w:w="262" w:type="pct"/>
            <w:vAlign w:val="center"/>
          </w:tcPr>
          <w:p w14:paraId="102A7E85">
            <w:pPr>
              <w:pStyle w:val="28"/>
              <w:bidi w:val="0"/>
            </w:pPr>
            <w:r>
              <w:t>1</w:t>
            </w:r>
            <w:r>
              <w:rPr>
                <w:rFonts w:hint="eastAsia"/>
              </w:rPr>
              <w:t>类</w:t>
            </w:r>
          </w:p>
        </w:tc>
        <w:tc>
          <w:tcPr>
            <w:tcW w:w="809" w:type="pct"/>
            <w:vMerge w:val="restart"/>
            <w:vAlign w:val="center"/>
          </w:tcPr>
          <w:p w14:paraId="78DDD7BB">
            <w:pPr>
              <w:pStyle w:val="28"/>
              <w:bidi w:val="0"/>
            </w:pPr>
            <w:r>
              <w:rPr>
                <w:rFonts w:hint="eastAsia"/>
              </w:rPr>
              <w:t>采用低噪声设备，施工机械远离居民住宅</w:t>
            </w:r>
          </w:p>
        </w:tc>
        <w:tc>
          <w:tcPr>
            <w:tcW w:w="208" w:type="pct"/>
            <w:vAlign w:val="center"/>
          </w:tcPr>
          <w:p w14:paraId="1060F97D">
            <w:pPr>
              <w:pStyle w:val="28"/>
              <w:bidi w:val="0"/>
            </w:pPr>
            <w:r>
              <w:t>52.7</w:t>
            </w:r>
          </w:p>
        </w:tc>
        <w:tc>
          <w:tcPr>
            <w:tcW w:w="211" w:type="pct"/>
            <w:vAlign w:val="center"/>
          </w:tcPr>
          <w:p w14:paraId="68A793C5">
            <w:pPr>
              <w:pStyle w:val="28"/>
              <w:bidi w:val="0"/>
            </w:pPr>
            <w:r>
              <w:t>42.3</w:t>
            </w:r>
          </w:p>
        </w:tc>
        <w:tc>
          <w:tcPr>
            <w:tcW w:w="208" w:type="pct"/>
            <w:vAlign w:val="center"/>
          </w:tcPr>
          <w:p w14:paraId="3A77A007">
            <w:pPr>
              <w:pStyle w:val="28"/>
              <w:bidi w:val="0"/>
            </w:pPr>
            <w:r>
              <w:t>55</w:t>
            </w:r>
          </w:p>
        </w:tc>
        <w:tc>
          <w:tcPr>
            <w:tcW w:w="211" w:type="pct"/>
            <w:vAlign w:val="center"/>
          </w:tcPr>
          <w:p w14:paraId="6AC09B66">
            <w:pPr>
              <w:pStyle w:val="28"/>
              <w:bidi w:val="0"/>
            </w:pPr>
            <w:r>
              <w:t>45</w:t>
            </w:r>
          </w:p>
        </w:tc>
        <w:tc>
          <w:tcPr>
            <w:tcW w:w="276" w:type="pct"/>
            <w:vAlign w:val="center"/>
          </w:tcPr>
          <w:p w14:paraId="36AFB215">
            <w:pPr>
              <w:pStyle w:val="28"/>
              <w:bidi w:val="0"/>
            </w:pPr>
            <w:r>
              <w:t>54.1</w:t>
            </w:r>
          </w:p>
        </w:tc>
        <w:tc>
          <w:tcPr>
            <w:tcW w:w="257" w:type="pct"/>
            <w:vAlign w:val="center"/>
          </w:tcPr>
          <w:p w14:paraId="2D561BDF">
            <w:pPr>
              <w:pStyle w:val="28"/>
              <w:bidi w:val="0"/>
            </w:pPr>
            <w:r>
              <w:t>47.1</w:t>
            </w:r>
          </w:p>
        </w:tc>
        <w:tc>
          <w:tcPr>
            <w:tcW w:w="257" w:type="pct"/>
            <w:vAlign w:val="center"/>
          </w:tcPr>
          <w:p w14:paraId="58ADB520">
            <w:pPr>
              <w:pStyle w:val="28"/>
              <w:bidi w:val="0"/>
            </w:pPr>
            <w:r>
              <w:t>53.8</w:t>
            </w:r>
          </w:p>
        </w:tc>
        <w:tc>
          <w:tcPr>
            <w:tcW w:w="257" w:type="pct"/>
            <w:vAlign w:val="center"/>
          </w:tcPr>
          <w:p w14:paraId="483287EE">
            <w:pPr>
              <w:pStyle w:val="28"/>
              <w:bidi w:val="0"/>
            </w:pPr>
            <w:r>
              <w:t>1.1</w:t>
            </w:r>
          </w:p>
        </w:tc>
        <w:tc>
          <w:tcPr>
            <w:tcW w:w="209" w:type="pct"/>
            <w:vAlign w:val="center"/>
          </w:tcPr>
          <w:p w14:paraId="692FD713">
            <w:pPr>
              <w:pStyle w:val="28"/>
              <w:bidi w:val="0"/>
            </w:pPr>
            <w:r>
              <w:t>达标</w:t>
            </w:r>
          </w:p>
        </w:tc>
      </w:tr>
      <w:tr w14:paraId="4294BE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4D3EE64">
            <w:pPr>
              <w:pStyle w:val="28"/>
              <w:bidi w:val="0"/>
            </w:pPr>
            <w:r>
              <w:rPr>
                <w:rFonts w:hint="eastAsia"/>
              </w:rPr>
              <w:t>朱圩</w:t>
            </w:r>
          </w:p>
        </w:tc>
        <w:tc>
          <w:tcPr>
            <w:tcW w:w="511" w:type="pct"/>
            <w:vAlign w:val="center"/>
          </w:tcPr>
          <w:p w14:paraId="3C239C5B">
            <w:pPr>
              <w:pStyle w:val="28"/>
              <w:bidi w:val="0"/>
            </w:pPr>
            <w:r>
              <w:rPr>
                <w:rFonts w:hint="eastAsia"/>
              </w:rPr>
              <w:t>九里分支口拆建</w:t>
            </w:r>
          </w:p>
        </w:tc>
        <w:tc>
          <w:tcPr>
            <w:tcW w:w="366" w:type="pct"/>
            <w:vAlign w:val="center"/>
          </w:tcPr>
          <w:p w14:paraId="03043008">
            <w:pPr>
              <w:pStyle w:val="28"/>
              <w:bidi w:val="0"/>
            </w:pPr>
            <w:r>
              <w:t>125</w:t>
            </w:r>
          </w:p>
        </w:tc>
        <w:tc>
          <w:tcPr>
            <w:tcW w:w="268" w:type="pct"/>
            <w:vAlign w:val="center"/>
          </w:tcPr>
          <w:p w14:paraId="4368655E">
            <w:pPr>
              <w:pStyle w:val="28"/>
              <w:bidi w:val="0"/>
            </w:pPr>
            <w:r>
              <w:rPr>
                <w:rFonts w:hint="eastAsia"/>
              </w:rPr>
              <w:t>右岸</w:t>
            </w:r>
          </w:p>
        </w:tc>
        <w:tc>
          <w:tcPr>
            <w:tcW w:w="262" w:type="pct"/>
            <w:vAlign w:val="center"/>
          </w:tcPr>
          <w:p w14:paraId="7CD61372">
            <w:pPr>
              <w:pStyle w:val="28"/>
              <w:bidi w:val="0"/>
            </w:pPr>
            <w:r>
              <w:t>1</w:t>
            </w:r>
            <w:r>
              <w:rPr>
                <w:rFonts w:hint="eastAsia"/>
              </w:rPr>
              <w:t>类</w:t>
            </w:r>
          </w:p>
        </w:tc>
        <w:tc>
          <w:tcPr>
            <w:tcW w:w="809" w:type="pct"/>
            <w:vMerge w:val="continue"/>
            <w:vAlign w:val="center"/>
          </w:tcPr>
          <w:p w14:paraId="616540DB">
            <w:pPr>
              <w:pStyle w:val="28"/>
              <w:bidi w:val="0"/>
            </w:pPr>
          </w:p>
        </w:tc>
        <w:tc>
          <w:tcPr>
            <w:tcW w:w="208" w:type="pct"/>
            <w:vAlign w:val="center"/>
          </w:tcPr>
          <w:p w14:paraId="171C9245">
            <w:pPr>
              <w:pStyle w:val="28"/>
              <w:bidi w:val="0"/>
            </w:pPr>
            <w:r>
              <w:t>52.7</w:t>
            </w:r>
          </w:p>
        </w:tc>
        <w:tc>
          <w:tcPr>
            <w:tcW w:w="211" w:type="pct"/>
            <w:vAlign w:val="center"/>
          </w:tcPr>
          <w:p w14:paraId="09832D9E">
            <w:pPr>
              <w:pStyle w:val="28"/>
              <w:bidi w:val="0"/>
            </w:pPr>
            <w:r>
              <w:t>42.3</w:t>
            </w:r>
          </w:p>
        </w:tc>
        <w:tc>
          <w:tcPr>
            <w:tcW w:w="208" w:type="pct"/>
            <w:vAlign w:val="center"/>
          </w:tcPr>
          <w:p w14:paraId="26F849D0">
            <w:pPr>
              <w:pStyle w:val="28"/>
              <w:bidi w:val="0"/>
            </w:pPr>
            <w:r>
              <w:t>55</w:t>
            </w:r>
          </w:p>
        </w:tc>
        <w:tc>
          <w:tcPr>
            <w:tcW w:w="211" w:type="pct"/>
            <w:vAlign w:val="center"/>
          </w:tcPr>
          <w:p w14:paraId="03AC4DCE">
            <w:pPr>
              <w:pStyle w:val="28"/>
              <w:bidi w:val="0"/>
            </w:pPr>
            <w:r>
              <w:t>45</w:t>
            </w:r>
          </w:p>
        </w:tc>
        <w:tc>
          <w:tcPr>
            <w:tcW w:w="276" w:type="pct"/>
            <w:vAlign w:val="center"/>
          </w:tcPr>
          <w:p w14:paraId="594A7BF9">
            <w:pPr>
              <w:pStyle w:val="28"/>
              <w:bidi w:val="0"/>
            </w:pPr>
            <w:r>
              <w:t>51.3</w:t>
            </w:r>
          </w:p>
        </w:tc>
        <w:tc>
          <w:tcPr>
            <w:tcW w:w="257" w:type="pct"/>
            <w:vAlign w:val="center"/>
          </w:tcPr>
          <w:p w14:paraId="2FE9769A">
            <w:pPr>
              <w:pStyle w:val="28"/>
              <w:bidi w:val="0"/>
            </w:pPr>
            <w:r>
              <w:t>44.3</w:t>
            </w:r>
          </w:p>
        </w:tc>
        <w:tc>
          <w:tcPr>
            <w:tcW w:w="257" w:type="pct"/>
            <w:vAlign w:val="center"/>
          </w:tcPr>
          <w:p w14:paraId="256B20B8">
            <w:pPr>
              <w:pStyle w:val="28"/>
              <w:bidi w:val="0"/>
            </w:pPr>
            <w:r>
              <w:t>53.3</w:t>
            </w:r>
          </w:p>
        </w:tc>
        <w:tc>
          <w:tcPr>
            <w:tcW w:w="257" w:type="pct"/>
            <w:vAlign w:val="center"/>
          </w:tcPr>
          <w:p w14:paraId="0A15825E">
            <w:pPr>
              <w:pStyle w:val="28"/>
              <w:bidi w:val="0"/>
            </w:pPr>
            <w:r>
              <w:t>0.6</w:t>
            </w:r>
          </w:p>
        </w:tc>
        <w:tc>
          <w:tcPr>
            <w:tcW w:w="209" w:type="pct"/>
            <w:vAlign w:val="center"/>
          </w:tcPr>
          <w:p w14:paraId="747B46AF">
            <w:pPr>
              <w:pStyle w:val="28"/>
              <w:bidi w:val="0"/>
            </w:pPr>
            <w:r>
              <w:t>达标</w:t>
            </w:r>
          </w:p>
        </w:tc>
      </w:tr>
      <w:tr w14:paraId="5EB5E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2F17BE5">
            <w:pPr>
              <w:pStyle w:val="28"/>
              <w:bidi w:val="0"/>
            </w:pPr>
            <w:r>
              <w:rPr>
                <w:rFonts w:hint="eastAsia"/>
              </w:rPr>
              <w:t>翁店子</w:t>
            </w:r>
          </w:p>
        </w:tc>
        <w:tc>
          <w:tcPr>
            <w:tcW w:w="511" w:type="pct"/>
            <w:vAlign w:val="center"/>
          </w:tcPr>
          <w:p w14:paraId="032A815A">
            <w:pPr>
              <w:pStyle w:val="28"/>
              <w:bidi w:val="0"/>
            </w:pPr>
            <w:r>
              <w:rPr>
                <w:rFonts w:hint="eastAsia"/>
              </w:rPr>
              <w:t>渠底护砌</w:t>
            </w:r>
          </w:p>
        </w:tc>
        <w:tc>
          <w:tcPr>
            <w:tcW w:w="366" w:type="pct"/>
            <w:vAlign w:val="center"/>
          </w:tcPr>
          <w:p w14:paraId="5B15FE72">
            <w:pPr>
              <w:pStyle w:val="28"/>
              <w:bidi w:val="0"/>
            </w:pPr>
            <w:r>
              <w:t>35</w:t>
            </w:r>
          </w:p>
        </w:tc>
        <w:tc>
          <w:tcPr>
            <w:tcW w:w="268" w:type="pct"/>
            <w:vAlign w:val="center"/>
          </w:tcPr>
          <w:p w14:paraId="0F5B60BC">
            <w:pPr>
              <w:pStyle w:val="28"/>
              <w:bidi w:val="0"/>
            </w:pPr>
            <w:r>
              <w:rPr>
                <w:rFonts w:hint="eastAsia"/>
              </w:rPr>
              <w:t>右岸</w:t>
            </w:r>
          </w:p>
        </w:tc>
        <w:tc>
          <w:tcPr>
            <w:tcW w:w="262" w:type="pct"/>
            <w:vAlign w:val="center"/>
          </w:tcPr>
          <w:p w14:paraId="64367209">
            <w:pPr>
              <w:pStyle w:val="28"/>
              <w:bidi w:val="0"/>
            </w:pPr>
            <w:r>
              <w:t>1</w:t>
            </w:r>
            <w:r>
              <w:rPr>
                <w:rFonts w:hint="eastAsia"/>
              </w:rPr>
              <w:t>类</w:t>
            </w:r>
          </w:p>
        </w:tc>
        <w:tc>
          <w:tcPr>
            <w:tcW w:w="809" w:type="pct"/>
            <w:vAlign w:val="center"/>
          </w:tcPr>
          <w:p w14:paraId="5BF4AD00">
            <w:pPr>
              <w:pStyle w:val="28"/>
              <w:bidi w:val="0"/>
            </w:pPr>
            <w:r>
              <w:rPr>
                <w:rFonts w:hint="eastAsia"/>
              </w:rPr>
              <w:t>采用低噪声设备，施工机械远离居民住宅，设置双层移动声屏障</w:t>
            </w:r>
          </w:p>
        </w:tc>
        <w:tc>
          <w:tcPr>
            <w:tcW w:w="208" w:type="pct"/>
            <w:vAlign w:val="center"/>
          </w:tcPr>
          <w:p w14:paraId="42608FC0">
            <w:pPr>
              <w:pStyle w:val="28"/>
              <w:bidi w:val="0"/>
            </w:pPr>
            <w:r>
              <w:t>52.3</w:t>
            </w:r>
          </w:p>
        </w:tc>
        <w:tc>
          <w:tcPr>
            <w:tcW w:w="211" w:type="pct"/>
            <w:vAlign w:val="center"/>
          </w:tcPr>
          <w:p w14:paraId="61366343">
            <w:pPr>
              <w:pStyle w:val="28"/>
              <w:bidi w:val="0"/>
            </w:pPr>
            <w:r>
              <w:t>42.4</w:t>
            </w:r>
          </w:p>
        </w:tc>
        <w:tc>
          <w:tcPr>
            <w:tcW w:w="208" w:type="pct"/>
            <w:vAlign w:val="center"/>
          </w:tcPr>
          <w:p w14:paraId="1E4257D6">
            <w:pPr>
              <w:pStyle w:val="28"/>
              <w:bidi w:val="0"/>
            </w:pPr>
            <w:r>
              <w:t>55</w:t>
            </w:r>
          </w:p>
        </w:tc>
        <w:tc>
          <w:tcPr>
            <w:tcW w:w="211" w:type="pct"/>
            <w:vAlign w:val="center"/>
          </w:tcPr>
          <w:p w14:paraId="73CA0215">
            <w:pPr>
              <w:pStyle w:val="28"/>
              <w:bidi w:val="0"/>
            </w:pPr>
            <w:r>
              <w:t>45</w:t>
            </w:r>
          </w:p>
        </w:tc>
        <w:tc>
          <w:tcPr>
            <w:tcW w:w="276" w:type="pct"/>
            <w:vAlign w:val="center"/>
          </w:tcPr>
          <w:p w14:paraId="1D347EF5">
            <w:pPr>
              <w:pStyle w:val="28"/>
              <w:bidi w:val="0"/>
            </w:pPr>
            <w:r>
              <w:t>61.0</w:t>
            </w:r>
          </w:p>
        </w:tc>
        <w:tc>
          <w:tcPr>
            <w:tcW w:w="257" w:type="pct"/>
            <w:vAlign w:val="center"/>
          </w:tcPr>
          <w:p w14:paraId="1FEF71C7">
            <w:pPr>
              <w:pStyle w:val="28"/>
              <w:bidi w:val="0"/>
            </w:pPr>
            <w:r>
              <w:t>41.0</w:t>
            </w:r>
          </w:p>
        </w:tc>
        <w:tc>
          <w:tcPr>
            <w:tcW w:w="257" w:type="pct"/>
            <w:vAlign w:val="center"/>
          </w:tcPr>
          <w:p w14:paraId="5EC3618B">
            <w:pPr>
              <w:pStyle w:val="28"/>
              <w:bidi w:val="0"/>
            </w:pPr>
            <w:r>
              <w:t>52.6</w:t>
            </w:r>
          </w:p>
        </w:tc>
        <w:tc>
          <w:tcPr>
            <w:tcW w:w="257" w:type="pct"/>
            <w:vAlign w:val="center"/>
          </w:tcPr>
          <w:p w14:paraId="1CA30216">
            <w:pPr>
              <w:pStyle w:val="28"/>
              <w:bidi w:val="0"/>
            </w:pPr>
            <w:r>
              <w:t>0.3</w:t>
            </w:r>
          </w:p>
        </w:tc>
        <w:tc>
          <w:tcPr>
            <w:tcW w:w="209" w:type="pct"/>
            <w:vAlign w:val="center"/>
          </w:tcPr>
          <w:p w14:paraId="0BF2EFB4">
            <w:pPr>
              <w:pStyle w:val="28"/>
              <w:bidi w:val="0"/>
            </w:pPr>
            <w:r>
              <w:t>达标</w:t>
            </w:r>
          </w:p>
        </w:tc>
      </w:tr>
      <w:tr w14:paraId="150FF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C480FA1">
            <w:pPr>
              <w:pStyle w:val="28"/>
              <w:bidi w:val="0"/>
            </w:pPr>
            <w:r>
              <w:rPr>
                <w:rFonts w:hint="eastAsia"/>
              </w:rPr>
              <w:t>翁大庄</w:t>
            </w:r>
          </w:p>
        </w:tc>
        <w:tc>
          <w:tcPr>
            <w:tcW w:w="511" w:type="pct"/>
            <w:vAlign w:val="center"/>
          </w:tcPr>
          <w:p w14:paraId="41796840">
            <w:pPr>
              <w:pStyle w:val="28"/>
              <w:bidi w:val="0"/>
            </w:pPr>
            <w:r>
              <w:rPr>
                <w:rFonts w:hint="eastAsia"/>
              </w:rPr>
              <w:t>管理道路</w:t>
            </w:r>
          </w:p>
        </w:tc>
        <w:tc>
          <w:tcPr>
            <w:tcW w:w="366" w:type="pct"/>
            <w:vAlign w:val="center"/>
          </w:tcPr>
          <w:p w14:paraId="07107B8E">
            <w:pPr>
              <w:pStyle w:val="28"/>
              <w:bidi w:val="0"/>
            </w:pPr>
            <w:r>
              <w:t>57</w:t>
            </w:r>
          </w:p>
        </w:tc>
        <w:tc>
          <w:tcPr>
            <w:tcW w:w="268" w:type="pct"/>
            <w:vAlign w:val="center"/>
          </w:tcPr>
          <w:p w14:paraId="323A7BA3">
            <w:pPr>
              <w:pStyle w:val="28"/>
              <w:bidi w:val="0"/>
            </w:pPr>
            <w:r>
              <w:rPr>
                <w:rFonts w:hint="eastAsia"/>
              </w:rPr>
              <w:t>右岸</w:t>
            </w:r>
          </w:p>
        </w:tc>
        <w:tc>
          <w:tcPr>
            <w:tcW w:w="262" w:type="pct"/>
            <w:vAlign w:val="center"/>
          </w:tcPr>
          <w:p w14:paraId="3ED5B64D">
            <w:pPr>
              <w:pStyle w:val="28"/>
              <w:bidi w:val="0"/>
            </w:pPr>
            <w:r>
              <w:rPr>
                <w:rFonts w:hint="eastAsia"/>
              </w:rPr>
              <w:t>1类</w:t>
            </w:r>
          </w:p>
        </w:tc>
        <w:tc>
          <w:tcPr>
            <w:tcW w:w="809" w:type="pct"/>
            <w:vMerge w:val="restart"/>
            <w:vAlign w:val="center"/>
          </w:tcPr>
          <w:p w14:paraId="48EE4511">
            <w:pPr>
              <w:pStyle w:val="28"/>
              <w:bidi w:val="0"/>
            </w:pPr>
            <w:r>
              <w:rPr>
                <w:rFonts w:hint="eastAsia"/>
              </w:rPr>
              <w:t>采用低噪声设备，施工机械远离居民住宅</w:t>
            </w:r>
          </w:p>
        </w:tc>
        <w:tc>
          <w:tcPr>
            <w:tcW w:w="208" w:type="pct"/>
            <w:vAlign w:val="center"/>
          </w:tcPr>
          <w:p w14:paraId="03C62FC8">
            <w:pPr>
              <w:pStyle w:val="28"/>
              <w:bidi w:val="0"/>
            </w:pPr>
            <w:r>
              <w:t>52.3</w:t>
            </w:r>
          </w:p>
        </w:tc>
        <w:tc>
          <w:tcPr>
            <w:tcW w:w="211" w:type="pct"/>
            <w:vAlign w:val="center"/>
          </w:tcPr>
          <w:p w14:paraId="2720C1AB">
            <w:pPr>
              <w:pStyle w:val="28"/>
              <w:bidi w:val="0"/>
            </w:pPr>
            <w:r>
              <w:t>42.4</w:t>
            </w:r>
          </w:p>
        </w:tc>
        <w:tc>
          <w:tcPr>
            <w:tcW w:w="208" w:type="pct"/>
            <w:vAlign w:val="center"/>
          </w:tcPr>
          <w:p w14:paraId="27A1F4D2">
            <w:pPr>
              <w:pStyle w:val="28"/>
              <w:bidi w:val="0"/>
            </w:pPr>
            <w:r>
              <w:t>55</w:t>
            </w:r>
          </w:p>
        </w:tc>
        <w:tc>
          <w:tcPr>
            <w:tcW w:w="211" w:type="pct"/>
            <w:vAlign w:val="center"/>
          </w:tcPr>
          <w:p w14:paraId="22913C37">
            <w:pPr>
              <w:pStyle w:val="28"/>
              <w:bidi w:val="0"/>
            </w:pPr>
            <w:r>
              <w:t>45</w:t>
            </w:r>
          </w:p>
        </w:tc>
        <w:tc>
          <w:tcPr>
            <w:tcW w:w="276" w:type="pct"/>
            <w:vAlign w:val="center"/>
          </w:tcPr>
          <w:p w14:paraId="5A104E88">
            <w:pPr>
              <w:pStyle w:val="28"/>
              <w:bidi w:val="0"/>
            </w:pPr>
            <w:r>
              <w:t>57.5</w:t>
            </w:r>
          </w:p>
        </w:tc>
        <w:tc>
          <w:tcPr>
            <w:tcW w:w="257" w:type="pct"/>
            <w:vAlign w:val="center"/>
          </w:tcPr>
          <w:p w14:paraId="0A6A346A">
            <w:pPr>
              <w:pStyle w:val="28"/>
              <w:bidi w:val="0"/>
            </w:pPr>
            <w:r>
              <w:t>50.5</w:t>
            </w:r>
          </w:p>
        </w:tc>
        <w:tc>
          <w:tcPr>
            <w:tcW w:w="257" w:type="pct"/>
            <w:vAlign w:val="center"/>
          </w:tcPr>
          <w:p w14:paraId="3FFEC4D9">
            <w:pPr>
              <w:pStyle w:val="28"/>
              <w:bidi w:val="0"/>
            </w:pPr>
            <w:r>
              <w:t>54.5</w:t>
            </w:r>
          </w:p>
        </w:tc>
        <w:tc>
          <w:tcPr>
            <w:tcW w:w="257" w:type="pct"/>
            <w:vAlign w:val="center"/>
          </w:tcPr>
          <w:p w14:paraId="30ED69D5">
            <w:pPr>
              <w:pStyle w:val="28"/>
              <w:bidi w:val="0"/>
            </w:pPr>
            <w:r>
              <w:t>2.2</w:t>
            </w:r>
          </w:p>
        </w:tc>
        <w:tc>
          <w:tcPr>
            <w:tcW w:w="209" w:type="pct"/>
            <w:vAlign w:val="center"/>
          </w:tcPr>
          <w:p w14:paraId="0899FE7C">
            <w:pPr>
              <w:pStyle w:val="28"/>
              <w:bidi w:val="0"/>
            </w:pPr>
            <w:r>
              <w:t>达标</w:t>
            </w:r>
          </w:p>
        </w:tc>
      </w:tr>
      <w:tr w14:paraId="525B0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0A17ECED">
            <w:pPr>
              <w:pStyle w:val="28"/>
              <w:bidi w:val="0"/>
            </w:pPr>
            <w:r>
              <w:rPr>
                <w:rFonts w:hint="eastAsia"/>
              </w:rPr>
              <w:t>杨老庄</w:t>
            </w:r>
          </w:p>
        </w:tc>
        <w:tc>
          <w:tcPr>
            <w:tcW w:w="511" w:type="pct"/>
            <w:shd w:val="clear" w:color="auto" w:fill="FFFFFF"/>
            <w:vAlign w:val="center"/>
          </w:tcPr>
          <w:p w14:paraId="4AEBCA46">
            <w:pPr>
              <w:pStyle w:val="28"/>
              <w:bidi w:val="0"/>
            </w:pPr>
            <w:r>
              <w:rPr>
                <w:rFonts w:hint="eastAsia"/>
              </w:rPr>
              <w:t>陈星生产桥拆建</w:t>
            </w:r>
          </w:p>
        </w:tc>
        <w:tc>
          <w:tcPr>
            <w:tcW w:w="366" w:type="pct"/>
            <w:vAlign w:val="center"/>
          </w:tcPr>
          <w:p w14:paraId="489B0926">
            <w:pPr>
              <w:pStyle w:val="28"/>
              <w:bidi w:val="0"/>
            </w:pPr>
            <w:r>
              <w:t>100</w:t>
            </w:r>
          </w:p>
        </w:tc>
        <w:tc>
          <w:tcPr>
            <w:tcW w:w="268" w:type="pct"/>
            <w:vAlign w:val="center"/>
          </w:tcPr>
          <w:p w14:paraId="693BF517">
            <w:pPr>
              <w:pStyle w:val="28"/>
              <w:bidi w:val="0"/>
            </w:pPr>
            <w:r>
              <w:rPr>
                <w:rFonts w:hint="eastAsia"/>
              </w:rPr>
              <w:t>右岸</w:t>
            </w:r>
          </w:p>
        </w:tc>
        <w:tc>
          <w:tcPr>
            <w:tcW w:w="262" w:type="pct"/>
            <w:vAlign w:val="center"/>
          </w:tcPr>
          <w:p w14:paraId="002C3493">
            <w:pPr>
              <w:pStyle w:val="28"/>
              <w:bidi w:val="0"/>
            </w:pPr>
            <w:r>
              <w:t>1</w:t>
            </w:r>
            <w:r>
              <w:rPr>
                <w:rFonts w:hint="eastAsia"/>
              </w:rPr>
              <w:t>类</w:t>
            </w:r>
          </w:p>
        </w:tc>
        <w:tc>
          <w:tcPr>
            <w:tcW w:w="809" w:type="pct"/>
            <w:vMerge w:val="continue"/>
            <w:vAlign w:val="center"/>
          </w:tcPr>
          <w:p w14:paraId="2535B055">
            <w:pPr>
              <w:pStyle w:val="28"/>
              <w:bidi w:val="0"/>
            </w:pPr>
          </w:p>
        </w:tc>
        <w:tc>
          <w:tcPr>
            <w:tcW w:w="208" w:type="pct"/>
            <w:vAlign w:val="center"/>
          </w:tcPr>
          <w:p w14:paraId="7BAEE32B">
            <w:pPr>
              <w:pStyle w:val="28"/>
              <w:bidi w:val="0"/>
            </w:pPr>
            <w:r>
              <w:t>53.1</w:t>
            </w:r>
          </w:p>
        </w:tc>
        <w:tc>
          <w:tcPr>
            <w:tcW w:w="211" w:type="pct"/>
            <w:vAlign w:val="center"/>
          </w:tcPr>
          <w:p w14:paraId="226D608E">
            <w:pPr>
              <w:pStyle w:val="28"/>
              <w:bidi w:val="0"/>
            </w:pPr>
            <w:r>
              <w:t>41.2</w:t>
            </w:r>
          </w:p>
        </w:tc>
        <w:tc>
          <w:tcPr>
            <w:tcW w:w="208" w:type="pct"/>
            <w:vAlign w:val="center"/>
          </w:tcPr>
          <w:p w14:paraId="31ED7DAB">
            <w:pPr>
              <w:pStyle w:val="28"/>
              <w:bidi w:val="0"/>
            </w:pPr>
            <w:r>
              <w:t>55</w:t>
            </w:r>
          </w:p>
        </w:tc>
        <w:tc>
          <w:tcPr>
            <w:tcW w:w="211" w:type="pct"/>
            <w:vAlign w:val="center"/>
          </w:tcPr>
          <w:p w14:paraId="16493418">
            <w:pPr>
              <w:pStyle w:val="28"/>
              <w:bidi w:val="0"/>
            </w:pPr>
            <w:r>
              <w:t>45</w:t>
            </w:r>
          </w:p>
        </w:tc>
        <w:tc>
          <w:tcPr>
            <w:tcW w:w="276" w:type="pct"/>
            <w:vAlign w:val="center"/>
          </w:tcPr>
          <w:p w14:paraId="7C823BFF">
            <w:pPr>
              <w:pStyle w:val="28"/>
              <w:bidi w:val="0"/>
            </w:pPr>
            <w:r>
              <w:t>53.2</w:t>
            </w:r>
          </w:p>
        </w:tc>
        <w:tc>
          <w:tcPr>
            <w:tcW w:w="257" w:type="pct"/>
            <w:vAlign w:val="center"/>
          </w:tcPr>
          <w:p w14:paraId="0F806672">
            <w:pPr>
              <w:pStyle w:val="28"/>
              <w:bidi w:val="0"/>
            </w:pPr>
            <w:r>
              <w:t>46.2</w:t>
            </w:r>
          </w:p>
        </w:tc>
        <w:tc>
          <w:tcPr>
            <w:tcW w:w="257" w:type="pct"/>
            <w:vAlign w:val="center"/>
          </w:tcPr>
          <w:p w14:paraId="2AAFF360">
            <w:pPr>
              <w:pStyle w:val="28"/>
              <w:bidi w:val="0"/>
            </w:pPr>
            <w:r>
              <w:t>53.9</w:t>
            </w:r>
          </w:p>
        </w:tc>
        <w:tc>
          <w:tcPr>
            <w:tcW w:w="257" w:type="pct"/>
            <w:vAlign w:val="center"/>
          </w:tcPr>
          <w:p w14:paraId="044291C4">
            <w:pPr>
              <w:pStyle w:val="28"/>
              <w:bidi w:val="0"/>
            </w:pPr>
            <w:r>
              <w:t>0.8</w:t>
            </w:r>
          </w:p>
        </w:tc>
        <w:tc>
          <w:tcPr>
            <w:tcW w:w="209" w:type="pct"/>
            <w:vAlign w:val="center"/>
          </w:tcPr>
          <w:p w14:paraId="1454B8F8">
            <w:pPr>
              <w:pStyle w:val="28"/>
              <w:bidi w:val="0"/>
            </w:pPr>
            <w:r>
              <w:t>达标</w:t>
            </w:r>
          </w:p>
        </w:tc>
      </w:tr>
      <w:tr w14:paraId="464D0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428D081A">
            <w:pPr>
              <w:pStyle w:val="28"/>
              <w:bidi w:val="0"/>
            </w:pPr>
            <w:r>
              <w:rPr>
                <w:rFonts w:hint="eastAsia"/>
              </w:rPr>
              <w:t>徐家盐行</w:t>
            </w:r>
          </w:p>
        </w:tc>
        <w:tc>
          <w:tcPr>
            <w:tcW w:w="511" w:type="pct"/>
            <w:shd w:val="clear" w:color="auto" w:fill="FFFFFF"/>
            <w:vAlign w:val="center"/>
          </w:tcPr>
          <w:p w14:paraId="1D2C2A2F">
            <w:pPr>
              <w:pStyle w:val="28"/>
              <w:bidi w:val="0"/>
            </w:pPr>
            <w:r>
              <w:rPr>
                <w:rFonts w:hint="eastAsia"/>
              </w:rPr>
              <w:t>机耕桥拆建</w:t>
            </w:r>
          </w:p>
        </w:tc>
        <w:tc>
          <w:tcPr>
            <w:tcW w:w="366" w:type="pct"/>
            <w:vAlign w:val="center"/>
          </w:tcPr>
          <w:p w14:paraId="70D31F97">
            <w:pPr>
              <w:pStyle w:val="28"/>
              <w:bidi w:val="0"/>
            </w:pPr>
            <w:r>
              <w:t>30</w:t>
            </w:r>
          </w:p>
        </w:tc>
        <w:tc>
          <w:tcPr>
            <w:tcW w:w="268" w:type="pct"/>
            <w:vAlign w:val="center"/>
          </w:tcPr>
          <w:p w14:paraId="02A75CAC">
            <w:pPr>
              <w:pStyle w:val="28"/>
              <w:bidi w:val="0"/>
            </w:pPr>
            <w:r>
              <w:rPr>
                <w:rFonts w:hint="eastAsia"/>
              </w:rPr>
              <w:t>左岸</w:t>
            </w:r>
          </w:p>
        </w:tc>
        <w:tc>
          <w:tcPr>
            <w:tcW w:w="262" w:type="pct"/>
            <w:vAlign w:val="center"/>
          </w:tcPr>
          <w:p w14:paraId="04434E8B">
            <w:pPr>
              <w:pStyle w:val="28"/>
              <w:bidi w:val="0"/>
            </w:pPr>
            <w:r>
              <w:t>1</w:t>
            </w:r>
            <w:r>
              <w:rPr>
                <w:rFonts w:hint="eastAsia"/>
              </w:rPr>
              <w:t>类</w:t>
            </w:r>
          </w:p>
        </w:tc>
        <w:tc>
          <w:tcPr>
            <w:tcW w:w="809" w:type="pct"/>
            <w:vAlign w:val="center"/>
          </w:tcPr>
          <w:p w14:paraId="56B21CCD">
            <w:pPr>
              <w:pStyle w:val="28"/>
              <w:bidi w:val="0"/>
            </w:pPr>
            <w:r>
              <w:rPr>
                <w:rFonts w:hint="eastAsia"/>
              </w:rPr>
              <w:t>采用低噪声设备，施工机械远离居民住宅，设置双层移动声屏障</w:t>
            </w:r>
          </w:p>
        </w:tc>
        <w:tc>
          <w:tcPr>
            <w:tcW w:w="208" w:type="pct"/>
            <w:vAlign w:val="center"/>
          </w:tcPr>
          <w:p w14:paraId="3913943E">
            <w:pPr>
              <w:pStyle w:val="28"/>
              <w:bidi w:val="0"/>
            </w:pPr>
            <w:r>
              <w:t>52.7</w:t>
            </w:r>
          </w:p>
        </w:tc>
        <w:tc>
          <w:tcPr>
            <w:tcW w:w="211" w:type="pct"/>
            <w:vAlign w:val="center"/>
          </w:tcPr>
          <w:p w14:paraId="2B453F6B">
            <w:pPr>
              <w:pStyle w:val="28"/>
              <w:bidi w:val="0"/>
            </w:pPr>
            <w:r>
              <w:t>42.3</w:t>
            </w:r>
          </w:p>
        </w:tc>
        <w:tc>
          <w:tcPr>
            <w:tcW w:w="208" w:type="pct"/>
            <w:vAlign w:val="center"/>
          </w:tcPr>
          <w:p w14:paraId="217B329B">
            <w:pPr>
              <w:pStyle w:val="28"/>
              <w:bidi w:val="0"/>
            </w:pPr>
            <w:r>
              <w:t>55</w:t>
            </w:r>
          </w:p>
        </w:tc>
        <w:tc>
          <w:tcPr>
            <w:tcW w:w="211" w:type="pct"/>
            <w:vAlign w:val="center"/>
          </w:tcPr>
          <w:p w14:paraId="46C0DC61">
            <w:pPr>
              <w:pStyle w:val="28"/>
              <w:bidi w:val="0"/>
            </w:pPr>
            <w:r>
              <w:t>45</w:t>
            </w:r>
          </w:p>
        </w:tc>
        <w:tc>
          <w:tcPr>
            <w:tcW w:w="276" w:type="pct"/>
            <w:vAlign w:val="center"/>
          </w:tcPr>
          <w:p w14:paraId="7D3DEC18">
            <w:pPr>
              <w:pStyle w:val="28"/>
              <w:bidi w:val="0"/>
            </w:pPr>
            <w:r>
              <w:t>63.7</w:t>
            </w:r>
          </w:p>
        </w:tc>
        <w:tc>
          <w:tcPr>
            <w:tcW w:w="257" w:type="pct"/>
            <w:vAlign w:val="center"/>
          </w:tcPr>
          <w:p w14:paraId="61B02983">
            <w:pPr>
              <w:pStyle w:val="28"/>
              <w:bidi w:val="0"/>
            </w:pPr>
            <w:r>
              <w:t>43.7</w:t>
            </w:r>
          </w:p>
        </w:tc>
        <w:tc>
          <w:tcPr>
            <w:tcW w:w="257" w:type="pct"/>
            <w:vAlign w:val="center"/>
          </w:tcPr>
          <w:p w14:paraId="14E4BBB2">
            <w:pPr>
              <w:pStyle w:val="28"/>
              <w:bidi w:val="0"/>
            </w:pPr>
            <w:r>
              <w:t>53.2</w:t>
            </w:r>
          </w:p>
        </w:tc>
        <w:tc>
          <w:tcPr>
            <w:tcW w:w="257" w:type="pct"/>
            <w:vAlign w:val="center"/>
          </w:tcPr>
          <w:p w14:paraId="325EF819">
            <w:pPr>
              <w:pStyle w:val="28"/>
              <w:bidi w:val="0"/>
            </w:pPr>
            <w:r>
              <w:t>0.5</w:t>
            </w:r>
          </w:p>
        </w:tc>
        <w:tc>
          <w:tcPr>
            <w:tcW w:w="209" w:type="pct"/>
            <w:vAlign w:val="center"/>
          </w:tcPr>
          <w:p w14:paraId="543C0E7B">
            <w:pPr>
              <w:pStyle w:val="28"/>
              <w:bidi w:val="0"/>
            </w:pPr>
            <w:r>
              <w:t>达标</w:t>
            </w:r>
          </w:p>
        </w:tc>
      </w:tr>
      <w:tr w14:paraId="07611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4EAEC56F">
            <w:pPr>
              <w:pStyle w:val="28"/>
              <w:bidi w:val="0"/>
            </w:pPr>
            <w:r>
              <w:rPr>
                <w:rFonts w:hint="eastAsia"/>
              </w:rPr>
              <w:t>新东</w:t>
            </w:r>
          </w:p>
        </w:tc>
        <w:tc>
          <w:tcPr>
            <w:tcW w:w="511" w:type="pct"/>
            <w:shd w:val="clear" w:color="auto" w:fill="FFFFFF"/>
            <w:vAlign w:val="center"/>
          </w:tcPr>
          <w:p w14:paraId="614CB874">
            <w:pPr>
              <w:pStyle w:val="28"/>
              <w:bidi w:val="0"/>
            </w:pPr>
            <w:r>
              <w:rPr>
                <w:rFonts w:hint="eastAsia"/>
              </w:rPr>
              <w:t>北沿放水涵拆建</w:t>
            </w:r>
          </w:p>
        </w:tc>
        <w:tc>
          <w:tcPr>
            <w:tcW w:w="366" w:type="pct"/>
            <w:vAlign w:val="center"/>
          </w:tcPr>
          <w:p w14:paraId="281BD903">
            <w:pPr>
              <w:pStyle w:val="28"/>
              <w:bidi w:val="0"/>
            </w:pPr>
            <w:r>
              <w:t>45</w:t>
            </w:r>
          </w:p>
        </w:tc>
        <w:tc>
          <w:tcPr>
            <w:tcW w:w="268" w:type="pct"/>
            <w:vAlign w:val="center"/>
          </w:tcPr>
          <w:p w14:paraId="3CD3C1C8">
            <w:pPr>
              <w:pStyle w:val="28"/>
              <w:bidi w:val="0"/>
            </w:pPr>
            <w:r>
              <w:rPr>
                <w:rFonts w:hint="eastAsia"/>
              </w:rPr>
              <w:t>左岸</w:t>
            </w:r>
          </w:p>
        </w:tc>
        <w:tc>
          <w:tcPr>
            <w:tcW w:w="262" w:type="pct"/>
            <w:vAlign w:val="center"/>
          </w:tcPr>
          <w:p w14:paraId="1AF0DBC7">
            <w:pPr>
              <w:pStyle w:val="28"/>
              <w:bidi w:val="0"/>
            </w:pPr>
            <w:r>
              <w:t>1</w:t>
            </w:r>
            <w:r>
              <w:rPr>
                <w:rFonts w:hint="eastAsia"/>
              </w:rPr>
              <w:t>类</w:t>
            </w:r>
          </w:p>
        </w:tc>
        <w:tc>
          <w:tcPr>
            <w:tcW w:w="809" w:type="pct"/>
            <w:vAlign w:val="center"/>
          </w:tcPr>
          <w:p w14:paraId="3CBF1CC9">
            <w:pPr>
              <w:pStyle w:val="28"/>
              <w:bidi w:val="0"/>
            </w:pPr>
            <w:r>
              <w:rPr>
                <w:rFonts w:hint="eastAsia"/>
              </w:rPr>
              <w:t>采用低噪声设备，施工机械远离居民住宅，设置双层移动声屏障</w:t>
            </w:r>
          </w:p>
        </w:tc>
        <w:tc>
          <w:tcPr>
            <w:tcW w:w="208" w:type="pct"/>
            <w:vAlign w:val="center"/>
          </w:tcPr>
          <w:p w14:paraId="5AF790D8">
            <w:pPr>
              <w:pStyle w:val="28"/>
              <w:bidi w:val="0"/>
            </w:pPr>
            <w:r>
              <w:t>52.7</w:t>
            </w:r>
          </w:p>
        </w:tc>
        <w:tc>
          <w:tcPr>
            <w:tcW w:w="211" w:type="pct"/>
            <w:vAlign w:val="center"/>
          </w:tcPr>
          <w:p w14:paraId="2CC96D90">
            <w:pPr>
              <w:pStyle w:val="28"/>
              <w:bidi w:val="0"/>
            </w:pPr>
            <w:r>
              <w:t>42.3</w:t>
            </w:r>
          </w:p>
        </w:tc>
        <w:tc>
          <w:tcPr>
            <w:tcW w:w="208" w:type="pct"/>
            <w:vAlign w:val="center"/>
          </w:tcPr>
          <w:p w14:paraId="3F216D35">
            <w:pPr>
              <w:pStyle w:val="28"/>
              <w:bidi w:val="0"/>
            </w:pPr>
            <w:r>
              <w:t>55</w:t>
            </w:r>
          </w:p>
        </w:tc>
        <w:tc>
          <w:tcPr>
            <w:tcW w:w="211" w:type="pct"/>
            <w:vAlign w:val="center"/>
          </w:tcPr>
          <w:p w14:paraId="2AE0CE3A">
            <w:pPr>
              <w:pStyle w:val="28"/>
              <w:bidi w:val="0"/>
            </w:pPr>
            <w:r>
              <w:t>45</w:t>
            </w:r>
          </w:p>
        </w:tc>
        <w:tc>
          <w:tcPr>
            <w:tcW w:w="276" w:type="pct"/>
            <w:vAlign w:val="center"/>
          </w:tcPr>
          <w:p w14:paraId="026E1BFF">
            <w:pPr>
              <w:pStyle w:val="28"/>
              <w:bidi w:val="0"/>
            </w:pPr>
            <w:r>
              <w:t>60.1</w:t>
            </w:r>
          </w:p>
        </w:tc>
        <w:tc>
          <w:tcPr>
            <w:tcW w:w="257" w:type="pct"/>
            <w:vAlign w:val="center"/>
          </w:tcPr>
          <w:p w14:paraId="2489B707">
            <w:pPr>
              <w:pStyle w:val="28"/>
              <w:bidi w:val="0"/>
            </w:pPr>
            <w:r>
              <w:t>45.1</w:t>
            </w:r>
          </w:p>
        </w:tc>
        <w:tc>
          <w:tcPr>
            <w:tcW w:w="257" w:type="pct"/>
            <w:vAlign w:val="center"/>
          </w:tcPr>
          <w:p w14:paraId="09990CD4">
            <w:pPr>
              <w:pStyle w:val="28"/>
              <w:bidi w:val="0"/>
            </w:pPr>
            <w:r>
              <w:t>53.4</w:t>
            </w:r>
          </w:p>
        </w:tc>
        <w:tc>
          <w:tcPr>
            <w:tcW w:w="257" w:type="pct"/>
            <w:vAlign w:val="center"/>
          </w:tcPr>
          <w:p w14:paraId="6C70C464">
            <w:pPr>
              <w:pStyle w:val="28"/>
              <w:bidi w:val="0"/>
            </w:pPr>
            <w:r>
              <w:t>0.7</w:t>
            </w:r>
          </w:p>
        </w:tc>
        <w:tc>
          <w:tcPr>
            <w:tcW w:w="209" w:type="pct"/>
            <w:vAlign w:val="center"/>
          </w:tcPr>
          <w:p w14:paraId="72C0551A">
            <w:pPr>
              <w:pStyle w:val="28"/>
              <w:bidi w:val="0"/>
            </w:pPr>
            <w:r>
              <w:t>达标</w:t>
            </w:r>
          </w:p>
        </w:tc>
      </w:tr>
      <w:tr w14:paraId="0BF1C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4670423B">
            <w:pPr>
              <w:pStyle w:val="28"/>
              <w:bidi w:val="0"/>
            </w:pPr>
            <w:r>
              <w:rPr>
                <w:rFonts w:hint="eastAsia"/>
              </w:rPr>
              <w:t>大门朝东</w:t>
            </w:r>
          </w:p>
        </w:tc>
        <w:tc>
          <w:tcPr>
            <w:tcW w:w="511" w:type="pct"/>
            <w:shd w:val="clear" w:color="auto" w:fill="FFFFFF"/>
            <w:vAlign w:val="center"/>
          </w:tcPr>
          <w:p w14:paraId="6A476B7C">
            <w:pPr>
              <w:pStyle w:val="28"/>
              <w:bidi w:val="0"/>
            </w:pPr>
            <w:r>
              <w:rPr>
                <w:rFonts w:hint="eastAsia"/>
              </w:rPr>
              <w:t>大门东放水涵拆建</w:t>
            </w:r>
          </w:p>
        </w:tc>
        <w:tc>
          <w:tcPr>
            <w:tcW w:w="366" w:type="pct"/>
            <w:vAlign w:val="center"/>
          </w:tcPr>
          <w:p w14:paraId="57354585">
            <w:pPr>
              <w:pStyle w:val="28"/>
              <w:bidi w:val="0"/>
            </w:pPr>
            <w:r>
              <w:t>100</w:t>
            </w:r>
          </w:p>
        </w:tc>
        <w:tc>
          <w:tcPr>
            <w:tcW w:w="268" w:type="pct"/>
            <w:vAlign w:val="center"/>
          </w:tcPr>
          <w:p w14:paraId="3D330376">
            <w:pPr>
              <w:pStyle w:val="28"/>
              <w:bidi w:val="0"/>
            </w:pPr>
            <w:r>
              <w:rPr>
                <w:rFonts w:hint="eastAsia"/>
              </w:rPr>
              <w:t>左岸</w:t>
            </w:r>
          </w:p>
        </w:tc>
        <w:tc>
          <w:tcPr>
            <w:tcW w:w="262" w:type="pct"/>
            <w:vAlign w:val="center"/>
          </w:tcPr>
          <w:p w14:paraId="524592C3">
            <w:pPr>
              <w:pStyle w:val="28"/>
              <w:bidi w:val="0"/>
            </w:pPr>
            <w:r>
              <w:t>1</w:t>
            </w:r>
            <w:r>
              <w:rPr>
                <w:rFonts w:hint="eastAsia"/>
              </w:rPr>
              <w:t>类</w:t>
            </w:r>
          </w:p>
        </w:tc>
        <w:tc>
          <w:tcPr>
            <w:tcW w:w="809" w:type="pct"/>
            <w:vAlign w:val="center"/>
          </w:tcPr>
          <w:p w14:paraId="28985D11">
            <w:pPr>
              <w:pStyle w:val="28"/>
              <w:bidi w:val="0"/>
            </w:pPr>
            <w:r>
              <w:rPr>
                <w:rFonts w:hint="eastAsia"/>
              </w:rPr>
              <w:t>采用低噪声设备，施工机械远离居民住宅</w:t>
            </w:r>
          </w:p>
        </w:tc>
        <w:tc>
          <w:tcPr>
            <w:tcW w:w="208" w:type="pct"/>
            <w:vAlign w:val="center"/>
          </w:tcPr>
          <w:p w14:paraId="2422BEF9">
            <w:pPr>
              <w:pStyle w:val="28"/>
              <w:bidi w:val="0"/>
            </w:pPr>
            <w:r>
              <w:t>52.7</w:t>
            </w:r>
          </w:p>
        </w:tc>
        <w:tc>
          <w:tcPr>
            <w:tcW w:w="211" w:type="pct"/>
            <w:vAlign w:val="center"/>
          </w:tcPr>
          <w:p w14:paraId="48F53FE3">
            <w:pPr>
              <w:pStyle w:val="28"/>
              <w:bidi w:val="0"/>
            </w:pPr>
            <w:r>
              <w:t>42.3</w:t>
            </w:r>
          </w:p>
        </w:tc>
        <w:tc>
          <w:tcPr>
            <w:tcW w:w="208" w:type="pct"/>
            <w:vAlign w:val="center"/>
          </w:tcPr>
          <w:p w14:paraId="659B61F7">
            <w:pPr>
              <w:pStyle w:val="28"/>
              <w:bidi w:val="0"/>
            </w:pPr>
            <w:r>
              <w:t>55</w:t>
            </w:r>
          </w:p>
        </w:tc>
        <w:tc>
          <w:tcPr>
            <w:tcW w:w="211" w:type="pct"/>
            <w:vAlign w:val="center"/>
          </w:tcPr>
          <w:p w14:paraId="617B53B3">
            <w:pPr>
              <w:pStyle w:val="28"/>
              <w:bidi w:val="0"/>
            </w:pPr>
            <w:r>
              <w:t>45</w:t>
            </w:r>
          </w:p>
        </w:tc>
        <w:tc>
          <w:tcPr>
            <w:tcW w:w="276" w:type="pct"/>
            <w:vAlign w:val="center"/>
          </w:tcPr>
          <w:p w14:paraId="78B19056">
            <w:pPr>
              <w:pStyle w:val="28"/>
              <w:bidi w:val="0"/>
            </w:pPr>
            <w:r>
              <w:t>53.2</w:t>
            </w:r>
          </w:p>
        </w:tc>
        <w:tc>
          <w:tcPr>
            <w:tcW w:w="257" w:type="pct"/>
            <w:vAlign w:val="center"/>
          </w:tcPr>
          <w:p w14:paraId="686AE3B8">
            <w:pPr>
              <w:pStyle w:val="28"/>
              <w:bidi w:val="0"/>
            </w:pPr>
            <w:r>
              <w:t>46.2</w:t>
            </w:r>
          </w:p>
        </w:tc>
        <w:tc>
          <w:tcPr>
            <w:tcW w:w="257" w:type="pct"/>
            <w:vAlign w:val="center"/>
          </w:tcPr>
          <w:p w14:paraId="5947D01D">
            <w:pPr>
              <w:pStyle w:val="28"/>
              <w:bidi w:val="0"/>
            </w:pPr>
            <w:r>
              <w:t>53.6</w:t>
            </w:r>
          </w:p>
        </w:tc>
        <w:tc>
          <w:tcPr>
            <w:tcW w:w="257" w:type="pct"/>
            <w:vAlign w:val="center"/>
          </w:tcPr>
          <w:p w14:paraId="4F8A04A0">
            <w:pPr>
              <w:pStyle w:val="28"/>
              <w:bidi w:val="0"/>
            </w:pPr>
            <w:r>
              <w:t>0.9</w:t>
            </w:r>
          </w:p>
        </w:tc>
        <w:tc>
          <w:tcPr>
            <w:tcW w:w="209" w:type="pct"/>
            <w:vAlign w:val="center"/>
          </w:tcPr>
          <w:p w14:paraId="792EF41F">
            <w:pPr>
              <w:pStyle w:val="28"/>
              <w:bidi w:val="0"/>
            </w:pPr>
            <w:r>
              <w:t>达标</w:t>
            </w:r>
          </w:p>
        </w:tc>
      </w:tr>
      <w:tr w14:paraId="53155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0F697F2B">
            <w:pPr>
              <w:pStyle w:val="28"/>
              <w:bidi w:val="0"/>
            </w:pPr>
            <w:r>
              <w:rPr>
                <w:rFonts w:hint="eastAsia"/>
              </w:rPr>
              <w:t>汪家前套</w:t>
            </w:r>
          </w:p>
        </w:tc>
        <w:tc>
          <w:tcPr>
            <w:tcW w:w="511" w:type="pct"/>
            <w:shd w:val="clear" w:color="auto" w:fill="FFFFFF"/>
            <w:vAlign w:val="center"/>
          </w:tcPr>
          <w:p w14:paraId="32FE7774">
            <w:pPr>
              <w:pStyle w:val="28"/>
              <w:bidi w:val="0"/>
            </w:pPr>
            <w:r>
              <w:rPr>
                <w:rFonts w:hint="eastAsia"/>
              </w:rPr>
              <w:t>前套机耕桥拆建</w:t>
            </w:r>
          </w:p>
        </w:tc>
        <w:tc>
          <w:tcPr>
            <w:tcW w:w="366" w:type="pct"/>
            <w:vAlign w:val="center"/>
          </w:tcPr>
          <w:p w14:paraId="4CEE089F">
            <w:pPr>
              <w:pStyle w:val="28"/>
              <w:bidi w:val="0"/>
            </w:pPr>
            <w:r>
              <w:t>50</w:t>
            </w:r>
          </w:p>
        </w:tc>
        <w:tc>
          <w:tcPr>
            <w:tcW w:w="268" w:type="pct"/>
            <w:vAlign w:val="center"/>
          </w:tcPr>
          <w:p w14:paraId="1C3B7691">
            <w:pPr>
              <w:pStyle w:val="28"/>
              <w:bidi w:val="0"/>
            </w:pPr>
            <w:r>
              <w:rPr>
                <w:rFonts w:hint="eastAsia"/>
              </w:rPr>
              <w:t>左岸</w:t>
            </w:r>
          </w:p>
        </w:tc>
        <w:tc>
          <w:tcPr>
            <w:tcW w:w="262" w:type="pct"/>
            <w:vAlign w:val="center"/>
          </w:tcPr>
          <w:p w14:paraId="17CEBF80">
            <w:pPr>
              <w:pStyle w:val="28"/>
              <w:bidi w:val="0"/>
            </w:pPr>
            <w:r>
              <w:t>1</w:t>
            </w:r>
            <w:r>
              <w:rPr>
                <w:rFonts w:hint="eastAsia"/>
              </w:rPr>
              <w:t>类</w:t>
            </w:r>
          </w:p>
        </w:tc>
        <w:tc>
          <w:tcPr>
            <w:tcW w:w="809" w:type="pct"/>
            <w:vAlign w:val="center"/>
          </w:tcPr>
          <w:p w14:paraId="334A374A">
            <w:pPr>
              <w:pStyle w:val="28"/>
              <w:bidi w:val="0"/>
            </w:pPr>
            <w:r>
              <w:rPr>
                <w:rFonts w:hint="eastAsia"/>
              </w:rPr>
              <w:t>采用低噪声设备，施工机械远离居民住宅，设置双层移动声屏障</w:t>
            </w:r>
          </w:p>
        </w:tc>
        <w:tc>
          <w:tcPr>
            <w:tcW w:w="208" w:type="pct"/>
            <w:vAlign w:val="center"/>
          </w:tcPr>
          <w:p w14:paraId="14B500D3">
            <w:pPr>
              <w:pStyle w:val="28"/>
              <w:bidi w:val="0"/>
            </w:pPr>
            <w:r>
              <w:t>52.7</w:t>
            </w:r>
          </w:p>
        </w:tc>
        <w:tc>
          <w:tcPr>
            <w:tcW w:w="211" w:type="pct"/>
            <w:vAlign w:val="center"/>
          </w:tcPr>
          <w:p w14:paraId="0FE28355">
            <w:pPr>
              <w:pStyle w:val="28"/>
              <w:bidi w:val="0"/>
            </w:pPr>
            <w:r>
              <w:t>42.3</w:t>
            </w:r>
          </w:p>
        </w:tc>
        <w:tc>
          <w:tcPr>
            <w:tcW w:w="208" w:type="pct"/>
            <w:vAlign w:val="center"/>
          </w:tcPr>
          <w:p w14:paraId="731B5CBD">
            <w:pPr>
              <w:pStyle w:val="28"/>
              <w:bidi w:val="0"/>
            </w:pPr>
            <w:r>
              <w:t>55</w:t>
            </w:r>
          </w:p>
        </w:tc>
        <w:tc>
          <w:tcPr>
            <w:tcW w:w="211" w:type="pct"/>
            <w:vAlign w:val="center"/>
          </w:tcPr>
          <w:p w14:paraId="583C8A73">
            <w:pPr>
              <w:pStyle w:val="28"/>
              <w:bidi w:val="0"/>
            </w:pPr>
            <w:r>
              <w:t>45</w:t>
            </w:r>
          </w:p>
        </w:tc>
        <w:tc>
          <w:tcPr>
            <w:tcW w:w="276" w:type="pct"/>
            <w:vAlign w:val="center"/>
          </w:tcPr>
          <w:p w14:paraId="6C8C7DCF">
            <w:pPr>
              <w:pStyle w:val="28"/>
              <w:bidi w:val="0"/>
            </w:pPr>
            <w:r>
              <w:t>59.2</w:t>
            </w:r>
          </w:p>
        </w:tc>
        <w:tc>
          <w:tcPr>
            <w:tcW w:w="257" w:type="pct"/>
            <w:vAlign w:val="center"/>
          </w:tcPr>
          <w:p w14:paraId="3EA2D1E7">
            <w:pPr>
              <w:pStyle w:val="28"/>
              <w:bidi w:val="0"/>
            </w:pPr>
            <w:r>
              <w:t>34.2</w:t>
            </w:r>
          </w:p>
        </w:tc>
        <w:tc>
          <w:tcPr>
            <w:tcW w:w="257" w:type="pct"/>
            <w:vAlign w:val="center"/>
          </w:tcPr>
          <w:p w14:paraId="40831132">
            <w:pPr>
              <w:pStyle w:val="28"/>
              <w:bidi w:val="0"/>
            </w:pPr>
            <w:r>
              <w:t>52.8</w:t>
            </w:r>
          </w:p>
        </w:tc>
        <w:tc>
          <w:tcPr>
            <w:tcW w:w="257" w:type="pct"/>
            <w:vAlign w:val="center"/>
          </w:tcPr>
          <w:p w14:paraId="7E912766">
            <w:pPr>
              <w:pStyle w:val="28"/>
              <w:bidi w:val="0"/>
            </w:pPr>
            <w:r>
              <w:t>0.1</w:t>
            </w:r>
          </w:p>
        </w:tc>
        <w:tc>
          <w:tcPr>
            <w:tcW w:w="209" w:type="pct"/>
            <w:vAlign w:val="center"/>
          </w:tcPr>
          <w:p w14:paraId="45B8D350">
            <w:pPr>
              <w:pStyle w:val="28"/>
              <w:bidi w:val="0"/>
            </w:pPr>
            <w:r>
              <w:t>达标</w:t>
            </w:r>
          </w:p>
        </w:tc>
      </w:tr>
      <w:tr w14:paraId="0C4DA97C">
        <w:tblPrEx>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5DA2BEC3">
            <w:pPr>
              <w:pStyle w:val="28"/>
              <w:bidi w:val="0"/>
            </w:pPr>
            <w:r>
              <w:rPr>
                <w:rFonts w:hint="eastAsia"/>
              </w:rPr>
              <w:t>丁家孤堆</w:t>
            </w:r>
          </w:p>
        </w:tc>
        <w:tc>
          <w:tcPr>
            <w:tcW w:w="511" w:type="pct"/>
            <w:shd w:val="clear" w:color="auto" w:fill="FFFFFF"/>
            <w:vAlign w:val="center"/>
          </w:tcPr>
          <w:p w14:paraId="41211FAF">
            <w:pPr>
              <w:pStyle w:val="28"/>
              <w:bidi w:val="0"/>
            </w:pPr>
            <w:r>
              <w:rPr>
                <w:rFonts w:hint="eastAsia"/>
              </w:rPr>
              <w:t>丁家孤堆进水口拆建</w:t>
            </w:r>
          </w:p>
        </w:tc>
        <w:tc>
          <w:tcPr>
            <w:tcW w:w="366" w:type="pct"/>
            <w:vAlign w:val="center"/>
          </w:tcPr>
          <w:p w14:paraId="4AC92566">
            <w:pPr>
              <w:pStyle w:val="28"/>
              <w:bidi w:val="0"/>
            </w:pPr>
            <w:r>
              <w:t>90</w:t>
            </w:r>
          </w:p>
        </w:tc>
        <w:tc>
          <w:tcPr>
            <w:tcW w:w="268" w:type="pct"/>
            <w:vAlign w:val="center"/>
          </w:tcPr>
          <w:p w14:paraId="1007C5CE">
            <w:pPr>
              <w:pStyle w:val="28"/>
              <w:bidi w:val="0"/>
            </w:pPr>
            <w:r>
              <w:rPr>
                <w:rFonts w:hint="eastAsia"/>
              </w:rPr>
              <w:t>右岸</w:t>
            </w:r>
          </w:p>
        </w:tc>
        <w:tc>
          <w:tcPr>
            <w:tcW w:w="262" w:type="pct"/>
            <w:vAlign w:val="center"/>
          </w:tcPr>
          <w:p w14:paraId="56F94425">
            <w:pPr>
              <w:pStyle w:val="28"/>
              <w:bidi w:val="0"/>
            </w:pPr>
            <w:r>
              <w:t>1</w:t>
            </w:r>
            <w:r>
              <w:rPr>
                <w:rFonts w:hint="eastAsia"/>
              </w:rPr>
              <w:t>类</w:t>
            </w:r>
          </w:p>
        </w:tc>
        <w:tc>
          <w:tcPr>
            <w:tcW w:w="809" w:type="pct"/>
            <w:vAlign w:val="center"/>
          </w:tcPr>
          <w:p w14:paraId="5439CC6B">
            <w:pPr>
              <w:pStyle w:val="28"/>
              <w:bidi w:val="0"/>
            </w:pPr>
            <w:r>
              <w:rPr>
                <w:rFonts w:hint="eastAsia"/>
              </w:rPr>
              <w:t>采用低噪声设备，施工机械远离居民住宅</w:t>
            </w:r>
          </w:p>
        </w:tc>
        <w:tc>
          <w:tcPr>
            <w:tcW w:w="208" w:type="pct"/>
            <w:vAlign w:val="center"/>
          </w:tcPr>
          <w:p w14:paraId="45540B2E">
            <w:pPr>
              <w:pStyle w:val="28"/>
              <w:bidi w:val="0"/>
            </w:pPr>
            <w:r>
              <w:t>52.7</w:t>
            </w:r>
          </w:p>
        </w:tc>
        <w:tc>
          <w:tcPr>
            <w:tcW w:w="211" w:type="pct"/>
            <w:vAlign w:val="center"/>
          </w:tcPr>
          <w:p w14:paraId="4E416BC5">
            <w:pPr>
              <w:pStyle w:val="28"/>
              <w:bidi w:val="0"/>
            </w:pPr>
            <w:r>
              <w:t>42.3</w:t>
            </w:r>
          </w:p>
        </w:tc>
        <w:tc>
          <w:tcPr>
            <w:tcW w:w="208" w:type="pct"/>
            <w:vAlign w:val="center"/>
          </w:tcPr>
          <w:p w14:paraId="638882F0">
            <w:pPr>
              <w:pStyle w:val="28"/>
              <w:bidi w:val="0"/>
            </w:pPr>
            <w:r>
              <w:t>55</w:t>
            </w:r>
          </w:p>
        </w:tc>
        <w:tc>
          <w:tcPr>
            <w:tcW w:w="211" w:type="pct"/>
            <w:vAlign w:val="center"/>
          </w:tcPr>
          <w:p w14:paraId="1F0049B7">
            <w:pPr>
              <w:pStyle w:val="28"/>
              <w:bidi w:val="0"/>
            </w:pPr>
            <w:r>
              <w:t>45</w:t>
            </w:r>
          </w:p>
        </w:tc>
        <w:tc>
          <w:tcPr>
            <w:tcW w:w="276" w:type="pct"/>
            <w:vAlign w:val="center"/>
          </w:tcPr>
          <w:p w14:paraId="2AF88DAC">
            <w:pPr>
              <w:pStyle w:val="28"/>
              <w:bidi w:val="0"/>
            </w:pPr>
            <w:r>
              <w:t>54.1</w:t>
            </w:r>
          </w:p>
        </w:tc>
        <w:tc>
          <w:tcPr>
            <w:tcW w:w="257" w:type="pct"/>
            <w:vAlign w:val="center"/>
          </w:tcPr>
          <w:p w14:paraId="21E07F2B">
            <w:pPr>
              <w:pStyle w:val="28"/>
              <w:bidi w:val="0"/>
            </w:pPr>
            <w:r>
              <w:t>47.1</w:t>
            </w:r>
          </w:p>
        </w:tc>
        <w:tc>
          <w:tcPr>
            <w:tcW w:w="257" w:type="pct"/>
            <w:vAlign w:val="center"/>
          </w:tcPr>
          <w:p w14:paraId="76494F92">
            <w:pPr>
              <w:pStyle w:val="28"/>
              <w:bidi w:val="0"/>
            </w:pPr>
            <w:r>
              <w:t>53.8</w:t>
            </w:r>
          </w:p>
        </w:tc>
        <w:tc>
          <w:tcPr>
            <w:tcW w:w="257" w:type="pct"/>
            <w:vAlign w:val="center"/>
          </w:tcPr>
          <w:p w14:paraId="1C22C8CE">
            <w:pPr>
              <w:pStyle w:val="28"/>
              <w:bidi w:val="0"/>
            </w:pPr>
            <w:r>
              <w:t>1.1</w:t>
            </w:r>
          </w:p>
        </w:tc>
        <w:tc>
          <w:tcPr>
            <w:tcW w:w="209" w:type="pct"/>
            <w:vAlign w:val="center"/>
          </w:tcPr>
          <w:p w14:paraId="7579B461">
            <w:pPr>
              <w:pStyle w:val="28"/>
              <w:bidi w:val="0"/>
            </w:pPr>
            <w:r>
              <w:t>达标</w:t>
            </w:r>
          </w:p>
        </w:tc>
      </w:tr>
      <w:tr w14:paraId="5603D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6C17D963">
            <w:pPr>
              <w:pStyle w:val="28"/>
              <w:bidi w:val="0"/>
            </w:pPr>
            <w:r>
              <w:rPr>
                <w:rFonts w:hint="eastAsia"/>
              </w:rPr>
              <w:t>门西</w:t>
            </w:r>
          </w:p>
        </w:tc>
        <w:tc>
          <w:tcPr>
            <w:tcW w:w="511" w:type="pct"/>
            <w:shd w:val="clear" w:color="auto" w:fill="FFFFFF"/>
            <w:vAlign w:val="center"/>
          </w:tcPr>
          <w:p w14:paraId="622A42F5">
            <w:pPr>
              <w:pStyle w:val="28"/>
              <w:bidi w:val="0"/>
            </w:pPr>
            <w:r>
              <w:rPr>
                <w:rFonts w:hint="eastAsia"/>
              </w:rPr>
              <w:t>门西机耕桥拆建、放水涵拆建</w:t>
            </w:r>
          </w:p>
        </w:tc>
        <w:tc>
          <w:tcPr>
            <w:tcW w:w="366" w:type="pct"/>
            <w:vAlign w:val="center"/>
          </w:tcPr>
          <w:p w14:paraId="58AFF00C">
            <w:pPr>
              <w:pStyle w:val="28"/>
              <w:bidi w:val="0"/>
            </w:pPr>
            <w:r>
              <w:t>30</w:t>
            </w:r>
          </w:p>
        </w:tc>
        <w:tc>
          <w:tcPr>
            <w:tcW w:w="268" w:type="pct"/>
            <w:vAlign w:val="center"/>
          </w:tcPr>
          <w:p w14:paraId="51E09743">
            <w:pPr>
              <w:pStyle w:val="28"/>
              <w:bidi w:val="0"/>
            </w:pPr>
            <w:r>
              <w:rPr>
                <w:rFonts w:hint="eastAsia"/>
              </w:rPr>
              <w:t>左岸</w:t>
            </w:r>
          </w:p>
        </w:tc>
        <w:tc>
          <w:tcPr>
            <w:tcW w:w="262" w:type="pct"/>
            <w:vAlign w:val="center"/>
          </w:tcPr>
          <w:p w14:paraId="4F395AD7">
            <w:pPr>
              <w:pStyle w:val="28"/>
              <w:bidi w:val="0"/>
            </w:pPr>
            <w:r>
              <w:t>1</w:t>
            </w:r>
            <w:r>
              <w:rPr>
                <w:rFonts w:hint="eastAsia"/>
              </w:rPr>
              <w:t>类</w:t>
            </w:r>
          </w:p>
        </w:tc>
        <w:tc>
          <w:tcPr>
            <w:tcW w:w="809" w:type="pct"/>
            <w:vMerge w:val="restart"/>
            <w:vAlign w:val="center"/>
          </w:tcPr>
          <w:p w14:paraId="430E43EA">
            <w:pPr>
              <w:pStyle w:val="28"/>
              <w:bidi w:val="0"/>
            </w:pPr>
            <w:r>
              <w:rPr>
                <w:rFonts w:hint="eastAsia"/>
              </w:rPr>
              <w:t>采用低噪声设备，施工机械远离居民住宅，设置双层移动声屏障</w:t>
            </w:r>
          </w:p>
        </w:tc>
        <w:tc>
          <w:tcPr>
            <w:tcW w:w="208" w:type="pct"/>
            <w:vAlign w:val="center"/>
          </w:tcPr>
          <w:p w14:paraId="756DAD41">
            <w:pPr>
              <w:pStyle w:val="28"/>
              <w:bidi w:val="0"/>
            </w:pPr>
            <w:r>
              <w:t>52.7</w:t>
            </w:r>
          </w:p>
        </w:tc>
        <w:tc>
          <w:tcPr>
            <w:tcW w:w="211" w:type="pct"/>
            <w:vAlign w:val="center"/>
          </w:tcPr>
          <w:p w14:paraId="43EF8F41">
            <w:pPr>
              <w:pStyle w:val="28"/>
              <w:bidi w:val="0"/>
            </w:pPr>
            <w:r>
              <w:t>42.3</w:t>
            </w:r>
          </w:p>
        </w:tc>
        <w:tc>
          <w:tcPr>
            <w:tcW w:w="208" w:type="pct"/>
            <w:vAlign w:val="center"/>
          </w:tcPr>
          <w:p w14:paraId="6B411A18">
            <w:pPr>
              <w:pStyle w:val="28"/>
              <w:bidi w:val="0"/>
            </w:pPr>
            <w:r>
              <w:t>55</w:t>
            </w:r>
          </w:p>
        </w:tc>
        <w:tc>
          <w:tcPr>
            <w:tcW w:w="211" w:type="pct"/>
            <w:vAlign w:val="center"/>
          </w:tcPr>
          <w:p w14:paraId="622BA229">
            <w:pPr>
              <w:pStyle w:val="28"/>
              <w:bidi w:val="0"/>
            </w:pPr>
            <w:r>
              <w:t>45</w:t>
            </w:r>
          </w:p>
        </w:tc>
        <w:tc>
          <w:tcPr>
            <w:tcW w:w="276" w:type="pct"/>
            <w:vAlign w:val="center"/>
          </w:tcPr>
          <w:p w14:paraId="32E9FB48">
            <w:pPr>
              <w:pStyle w:val="28"/>
              <w:bidi w:val="0"/>
            </w:pPr>
            <w:r>
              <w:t>63.7</w:t>
            </w:r>
          </w:p>
        </w:tc>
        <w:tc>
          <w:tcPr>
            <w:tcW w:w="257" w:type="pct"/>
            <w:vAlign w:val="center"/>
          </w:tcPr>
          <w:p w14:paraId="2A639FE0">
            <w:pPr>
              <w:pStyle w:val="28"/>
              <w:bidi w:val="0"/>
            </w:pPr>
            <w:r>
              <w:t>43.7</w:t>
            </w:r>
          </w:p>
        </w:tc>
        <w:tc>
          <w:tcPr>
            <w:tcW w:w="257" w:type="pct"/>
            <w:vAlign w:val="center"/>
          </w:tcPr>
          <w:p w14:paraId="692ABD20">
            <w:pPr>
              <w:pStyle w:val="28"/>
              <w:bidi w:val="0"/>
            </w:pPr>
            <w:r>
              <w:t>53.2</w:t>
            </w:r>
          </w:p>
        </w:tc>
        <w:tc>
          <w:tcPr>
            <w:tcW w:w="257" w:type="pct"/>
            <w:vAlign w:val="center"/>
          </w:tcPr>
          <w:p w14:paraId="7CAC41C6">
            <w:pPr>
              <w:pStyle w:val="28"/>
              <w:bidi w:val="0"/>
            </w:pPr>
            <w:r>
              <w:t>0.5</w:t>
            </w:r>
          </w:p>
        </w:tc>
        <w:tc>
          <w:tcPr>
            <w:tcW w:w="209" w:type="pct"/>
            <w:vAlign w:val="center"/>
          </w:tcPr>
          <w:p w14:paraId="52268570">
            <w:pPr>
              <w:pStyle w:val="28"/>
              <w:bidi w:val="0"/>
            </w:pPr>
            <w:r>
              <w:t>达标</w:t>
            </w:r>
          </w:p>
        </w:tc>
      </w:tr>
      <w:tr w14:paraId="238F2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5F0DAEDE">
            <w:pPr>
              <w:pStyle w:val="28"/>
              <w:bidi w:val="0"/>
            </w:pPr>
            <w:r>
              <w:rPr>
                <w:rFonts w:hint="eastAsia"/>
              </w:rPr>
              <w:t>程家老郢</w:t>
            </w:r>
          </w:p>
        </w:tc>
        <w:tc>
          <w:tcPr>
            <w:tcW w:w="511" w:type="pct"/>
            <w:shd w:val="clear" w:color="auto" w:fill="FFFFFF"/>
            <w:vAlign w:val="center"/>
          </w:tcPr>
          <w:p w14:paraId="094B8543">
            <w:pPr>
              <w:pStyle w:val="28"/>
              <w:bidi w:val="0"/>
            </w:pPr>
            <w:r>
              <w:rPr>
                <w:rFonts w:hint="eastAsia"/>
              </w:rPr>
              <w:t>放水涵、机耕桥拆建</w:t>
            </w:r>
          </w:p>
        </w:tc>
        <w:tc>
          <w:tcPr>
            <w:tcW w:w="366" w:type="pct"/>
            <w:vAlign w:val="center"/>
          </w:tcPr>
          <w:p w14:paraId="3FA926B2">
            <w:pPr>
              <w:pStyle w:val="28"/>
              <w:bidi w:val="0"/>
            </w:pPr>
            <w:r>
              <w:t>20</w:t>
            </w:r>
          </w:p>
        </w:tc>
        <w:tc>
          <w:tcPr>
            <w:tcW w:w="268" w:type="pct"/>
            <w:vAlign w:val="center"/>
          </w:tcPr>
          <w:p w14:paraId="3C1F35DD">
            <w:pPr>
              <w:pStyle w:val="28"/>
              <w:bidi w:val="0"/>
            </w:pPr>
            <w:r>
              <w:rPr>
                <w:rFonts w:hint="eastAsia"/>
              </w:rPr>
              <w:t>左岸</w:t>
            </w:r>
          </w:p>
        </w:tc>
        <w:tc>
          <w:tcPr>
            <w:tcW w:w="262" w:type="pct"/>
            <w:vAlign w:val="center"/>
          </w:tcPr>
          <w:p w14:paraId="2053BE87">
            <w:pPr>
              <w:pStyle w:val="28"/>
              <w:bidi w:val="0"/>
            </w:pPr>
            <w:r>
              <w:t>1</w:t>
            </w:r>
            <w:r>
              <w:rPr>
                <w:rFonts w:hint="eastAsia"/>
              </w:rPr>
              <w:t>类</w:t>
            </w:r>
          </w:p>
        </w:tc>
        <w:tc>
          <w:tcPr>
            <w:tcW w:w="809" w:type="pct"/>
            <w:vMerge w:val="continue"/>
            <w:vAlign w:val="center"/>
          </w:tcPr>
          <w:p w14:paraId="47B09DBC">
            <w:pPr>
              <w:pStyle w:val="28"/>
              <w:bidi w:val="0"/>
            </w:pPr>
          </w:p>
        </w:tc>
        <w:tc>
          <w:tcPr>
            <w:tcW w:w="208" w:type="pct"/>
            <w:vAlign w:val="center"/>
          </w:tcPr>
          <w:p w14:paraId="2F4A4AA7">
            <w:pPr>
              <w:pStyle w:val="28"/>
              <w:bidi w:val="0"/>
            </w:pPr>
            <w:r>
              <w:t>52.7</w:t>
            </w:r>
          </w:p>
        </w:tc>
        <w:tc>
          <w:tcPr>
            <w:tcW w:w="211" w:type="pct"/>
            <w:vAlign w:val="center"/>
          </w:tcPr>
          <w:p w14:paraId="4ED9EBE5">
            <w:pPr>
              <w:pStyle w:val="28"/>
              <w:bidi w:val="0"/>
            </w:pPr>
            <w:r>
              <w:t>42.3</w:t>
            </w:r>
          </w:p>
        </w:tc>
        <w:tc>
          <w:tcPr>
            <w:tcW w:w="208" w:type="pct"/>
            <w:vAlign w:val="center"/>
          </w:tcPr>
          <w:p w14:paraId="3F4A9F40">
            <w:pPr>
              <w:pStyle w:val="28"/>
              <w:bidi w:val="0"/>
            </w:pPr>
            <w:r>
              <w:t>55</w:t>
            </w:r>
          </w:p>
        </w:tc>
        <w:tc>
          <w:tcPr>
            <w:tcW w:w="211" w:type="pct"/>
            <w:vAlign w:val="center"/>
          </w:tcPr>
          <w:p w14:paraId="47BCBD5D">
            <w:pPr>
              <w:pStyle w:val="28"/>
              <w:bidi w:val="0"/>
            </w:pPr>
            <w:r>
              <w:t>45</w:t>
            </w:r>
          </w:p>
        </w:tc>
        <w:tc>
          <w:tcPr>
            <w:tcW w:w="276" w:type="pct"/>
            <w:vAlign w:val="center"/>
          </w:tcPr>
          <w:p w14:paraId="53C65F31">
            <w:pPr>
              <w:pStyle w:val="28"/>
              <w:bidi w:val="0"/>
            </w:pPr>
            <w:r>
              <w:t>67.2</w:t>
            </w:r>
          </w:p>
        </w:tc>
        <w:tc>
          <w:tcPr>
            <w:tcW w:w="257" w:type="pct"/>
            <w:vAlign w:val="center"/>
          </w:tcPr>
          <w:p w14:paraId="0EF03BF7">
            <w:pPr>
              <w:pStyle w:val="28"/>
              <w:bidi w:val="0"/>
            </w:pPr>
            <w:r>
              <w:t>47.2</w:t>
            </w:r>
          </w:p>
        </w:tc>
        <w:tc>
          <w:tcPr>
            <w:tcW w:w="257" w:type="pct"/>
            <w:vAlign w:val="center"/>
          </w:tcPr>
          <w:p w14:paraId="32C6068F">
            <w:pPr>
              <w:pStyle w:val="28"/>
              <w:bidi w:val="0"/>
            </w:pPr>
            <w:r>
              <w:t>53.8</w:t>
            </w:r>
          </w:p>
        </w:tc>
        <w:tc>
          <w:tcPr>
            <w:tcW w:w="257" w:type="pct"/>
            <w:vAlign w:val="center"/>
          </w:tcPr>
          <w:p w14:paraId="563F6CA6">
            <w:pPr>
              <w:pStyle w:val="28"/>
              <w:bidi w:val="0"/>
            </w:pPr>
            <w:r>
              <w:t>1.1</w:t>
            </w:r>
          </w:p>
        </w:tc>
        <w:tc>
          <w:tcPr>
            <w:tcW w:w="209" w:type="pct"/>
            <w:vAlign w:val="center"/>
          </w:tcPr>
          <w:p w14:paraId="3C1748FE">
            <w:pPr>
              <w:pStyle w:val="28"/>
              <w:bidi w:val="0"/>
            </w:pPr>
            <w:r>
              <w:t>达标</w:t>
            </w:r>
          </w:p>
        </w:tc>
      </w:tr>
      <w:tr w14:paraId="3B907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0BFD5CA5">
            <w:pPr>
              <w:pStyle w:val="28"/>
              <w:bidi w:val="0"/>
            </w:pPr>
            <w:r>
              <w:rPr>
                <w:rFonts w:hint="eastAsia"/>
              </w:rPr>
              <w:t>北新店村</w:t>
            </w:r>
          </w:p>
        </w:tc>
        <w:tc>
          <w:tcPr>
            <w:tcW w:w="511" w:type="pct"/>
            <w:shd w:val="clear" w:color="auto" w:fill="FFFFFF"/>
            <w:vAlign w:val="center"/>
          </w:tcPr>
          <w:p w14:paraId="19180DF3">
            <w:pPr>
              <w:pStyle w:val="28"/>
              <w:bidi w:val="0"/>
            </w:pPr>
            <w:r>
              <w:rPr>
                <w:rFonts w:hint="eastAsia"/>
              </w:rPr>
              <w:t>渠道整治拆建</w:t>
            </w:r>
          </w:p>
        </w:tc>
        <w:tc>
          <w:tcPr>
            <w:tcW w:w="366" w:type="pct"/>
            <w:vAlign w:val="center"/>
          </w:tcPr>
          <w:p w14:paraId="3BF5AF0C">
            <w:pPr>
              <w:pStyle w:val="28"/>
              <w:bidi w:val="0"/>
            </w:pPr>
            <w:r>
              <w:t>30</w:t>
            </w:r>
          </w:p>
        </w:tc>
        <w:tc>
          <w:tcPr>
            <w:tcW w:w="268" w:type="pct"/>
            <w:vAlign w:val="center"/>
          </w:tcPr>
          <w:p w14:paraId="33BC785E">
            <w:pPr>
              <w:pStyle w:val="28"/>
              <w:bidi w:val="0"/>
            </w:pPr>
            <w:r>
              <w:rPr>
                <w:rFonts w:hint="eastAsia"/>
              </w:rPr>
              <w:t>左岸</w:t>
            </w:r>
          </w:p>
        </w:tc>
        <w:tc>
          <w:tcPr>
            <w:tcW w:w="262" w:type="pct"/>
            <w:vAlign w:val="center"/>
          </w:tcPr>
          <w:p w14:paraId="3B81715A">
            <w:pPr>
              <w:pStyle w:val="28"/>
              <w:bidi w:val="0"/>
            </w:pPr>
            <w:r>
              <w:t>1</w:t>
            </w:r>
            <w:r>
              <w:rPr>
                <w:rFonts w:hint="eastAsia"/>
              </w:rPr>
              <w:t>类</w:t>
            </w:r>
          </w:p>
        </w:tc>
        <w:tc>
          <w:tcPr>
            <w:tcW w:w="809" w:type="pct"/>
            <w:vMerge w:val="continue"/>
            <w:vAlign w:val="center"/>
          </w:tcPr>
          <w:p w14:paraId="734E61F9">
            <w:pPr>
              <w:pStyle w:val="28"/>
              <w:bidi w:val="0"/>
            </w:pPr>
          </w:p>
        </w:tc>
        <w:tc>
          <w:tcPr>
            <w:tcW w:w="208" w:type="pct"/>
            <w:vAlign w:val="center"/>
          </w:tcPr>
          <w:p w14:paraId="3419F392">
            <w:pPr>
              <w:pStyle w:val="28"/>
              <w:bidi w:val="0"/>
            </w:pPr>
            <w:r>
              <w:t>52.7</w:t>
            </w:r>
          </w:p>
        </w:tc>
        <w:tc>
          <w:tcPr>
            <w:tcW w:w="211" w:type="pct"/>
            <w:vAlign w:val="center"/>
          </w:tcPr>
          <w:p w14:paraId="44DF7968">
            <w:pPr>
              <w:pStyle w:val="28"/>
              <w:bidi w:val="0"/>
            </w:pPr>
            <w:r>
              <w:t>42.3</w:t>
            </w:r>
          </w:p>
        </w:tc>
        <w:tc>
          <w:tcPr>
            <w:tcW w:w="208" w:type="pct"/>
            <w:vAlign w:val="center"/>
          </w:tcPr>
          <w:p w14:paraId="1D406982">
            <w:pPr>
              <w:pStyle w:val="28"/>
              <w:bidi w:val="0"/>
            </w:pPr>
            <w:r>
              <w:t>55</w:t>
            </w:r>
          </w:p>
        </w:tc>
        <w:tc>
          <w:tcPr>
            <w:tcW w:w="211" w:type="pct"/>
            <w:vAlign w:val="center"/>
          </w:tcPr>
          <w:p w14:paraId="4E9ECBB7">
            <w:pPr>
              <w:pStyle w:val="28"/>
              <w:bidi w:val="0"/>
            </w:pPr>
            <w:r>
              <w:t>45</w:t>
            </w:r>
          </w:p>
        </w:tc>
        <w:tc>
          <w:tcPr>
            <w:tcW w:w="276" w:type="pct"/>
            <w:vAlign w:val="center"/>
          </w:tcPr>
          <w:p w14:paraId="02F6A771">
            <w:pPr>
              <w:pStyle w:val="28"/>
              <w:bidi w:val="0"/>
            </w:pPr>
            <w:r>
              <w:t>63.7</w:t>
            </w:r>
          </w:p>
        </w:tc>
        <w:tc>
          <w:tcPr>
            <w:tcW w:w="257" w:type="pct"/>
            <w:vAlign w:val="center"/>
          </w:tcPr>
          <w:p w14:paraId="03388DF1">
            <w:pPr>
              <w:pStyle w:val="28"/>
              <w:bidi w:val="0"/>
            </w:pPr>
            <w:r>
              <w:t>43.7</w:t>
            </w:r>
          </w:p>
        </w:tc>
        <w:tc>
          <w:tcPr>
            <w:tcW w:w="257" w:type="pct"/>
            <w:vAlign w:val="center"/>
          </w:tcPr>
          <w:p w14:paraId="5C8C40C6">
            <w:pPr>
              <w:pStyle w:val="28"/>
              <w:bidi w:val="0"/>
            </w:pPr>
            <w:r>
              <w:t>53.2</w:t>
            </w:r>
          </w:p>
        </w:tc>
        <w:tc>
          <w:tcPr>
            <w:tcW w:w="257" w:type="pct"/>
            <w:vAlign w:val="center"/>
          </w:tcPr>
          <w:p w14:paraId="5B3EE3D0">
            <w:pPr>
              <w:pStyle w:val="28"/>
              <w:bidi w:val="0"/>
            </w:pPr>
            <w:r>
              <w:t>0.5</w:t>
            </w:r>
          </w:p>
        </w:tc>
        <w:tc>
          <w:tcPr>
            <w:tcW w:w="209" w:type="pct"/>
            <w:vAlign w:val="center"/>
          </w:tcPr>
          <w:p w14:paraId="586F4B6A">
            <w:pPr>
              <w:pStyle w:val="28"/>
              <w:bidi w:val="0"/>
            </w:pPr>
            <w:r>
              <w:t>达标</w:t>
            </w:r>
          </w:p>
        </w:tc>
      </w:tr>
      <w:tr w14:paraId="5052F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5DB6E488">
            <w:pPr>
              <w:pStyle w:val="28"/>
              <w:bidi w:val="0"/>
            </w:pPr>
            <w:r>
              <w:rPr>
                <w:rFonts w:hint="eastAsia"/>
              </w:rPr>
              <w:t>朱家小郢</w:t>
            </w:r>
          </w:p>
        </w:tc>
        <w:tc>
          <w:tcPr>
            <w:tcW w:w="511" w:type="pct"/>
            <w:shd w:val="clear" w:color="auto" w:fill="FFFFFF"/>
            <w:vAlign w:val="center"/>
          </w:tcPr>
          <w:p w14:paraId="4AB08EB3">
            <w:pPr>
              <w:pStyle w:val="28"/>
              <w:bidi w:val="0"/>
            </w:pPr>
            <w:r>
              <w:rPr>
                <w:rFonts w:hint="eastAsia"/>
              </w:rPr>
              <w:t>放水涵新建</w:t>
            </w:r>
          </w:p>
        </w:tc>
        <w:tc>
          <w:tcPr>
            <w:tcW w:w="366" w:type="pct"/>
            <w:vAlign w:val="center"/>
          </w:tcPr>
          <w:p w14:paraId="4DED9878">
            <w:pPr>
              <w:pStyle w:val="28"/>
              <w:bidi w:val="0"/>
            </w:pPr>
            <w:r>
              <w:t>25</w:t>
            </w:r>
          </w:p>
        </w:tc>
        <w:tc>
          <w:tcPr>
            <w:tcW w:w="268" w:type="pct"/>
            <w:vAlign w:val="center"/>
          </w:tcPr>
          <w:p w14:paraId="150DA4C7">
            <w:pPr>
              <w:pStyle w:val="28"/>
              <w:bidi w:val="0"/>
            </w:pPr>
            <w:r>
              <w:rPr>
                <w:rFonts w:hint="eastAsia"/>
              </w:rPr>
              <w:t>左岸</w:t>
            </w:r>
          </w:p>
        </w:tc>
        <w:tc>
          <w:tcPr>
            <w:tcW w:w="262" w:type="pct"/>
            <w:vAlign w:val="center"/>
          </w:tcPr>
          <w:p w14:paraId="2E13691E">
            <w:pPr>
              <w:pStyle w:val="28"/>
              <w:bidi w:val="0"/>
            </w:pPr>
            <w:r>
              <w:t>1</w:t>
            </w:r>
            <w:r>
              <w:rPr>
                <w:rFonts w:hint="eastAsia"/>
              </w:rPr>
              <w:t>类</w:t>
            </w:r>
          </w:p>
        </w:tc>
        <w:tc>
          <w:tcPr>
            <w:tcW w:w="809" w:type="pct"/>
            <w:vMerge w:val="continue"/>
            <w:vAlign w:val="center"/>
          </w:tcPr>
          <w:p w14:paraId="3461DA28">
            <w:pPr>
              <w:pStyle w:val="28"/>
              <w:bidi w:val="0"/>
            </w:pPr>
          </w:p>
        </w:tc>
        <w:tc>
          <w:tcPr>
            <w:tcW w:w="208" w:type="pct"/>
            <w:vAlign w:val="center"/>
          </w:tcPr>
          <w:p w14:paraId="700B4B4A">
            <w:pPr>
              <w:pStyle w:val="28"/>
              <w:bidi w:val="0"/>
            </w:pPr>
            <w:r>
              <w:t>52.7</w:t>
            </w:r>
          </w:p>
        </w:tc>
        <w:tc>
          <w:tcPr>
            <w:tcW w:w="211" w:type="pct"/>
            <w:vAlign w:val="center"/>
          </w:tcPr>
          <w:p w14:paraId="1E4C0C1C">
            <w:pPr>
              <w:pStyle w:val="28"/>
              <w:bidi w:val="0"/>
            </w:pPr>
            <w:r>
              <w:t>42.3</w:t>
            </w:r>
          </w:p>
        </w:tc>
        <w:tc>
          <w:tcPr>
            <w:tcW w:w="208" w:type="pct"/>
            <w:vAlign w:val="center"/>
          </w:tcPr>
          <w:p w14:paraId="4AECC1DE">
            <w:pPr>
              <w:pStyle w:val="28"/>
              <w:bidi w:val="0"/>
            </w:pPr>
            <w:r>
              <w:t>55</w:t>
            </w:r>
          </w:p>
        </w:tc>
        <w:tc>
          <w:tcPr>
            <w:tcW w:w="211" w:type="pct"/>
            <w:vAlign w:val="center"/>
          </w:tcPr>
          <w:p w14:paraId="6466A831">
            <w:pPr>
              <w:pStyle w:val="28"/>
              <w:bidi w:val="0"/>
            </w:pPr>
            <w:r>
              <w:t>45</w:t>
            </w:r>
          </w:p>
        </w:tc>
        <w:tc>
          <w:tcPr>
            <w:tcW w:w="276" w:type="pct"/>
            <w:vAlign w:val="center"/>
          </w:tcPr>
          <w:p w14:paraId="2354971B">
            <w:pPr>
              <w:pStyle w:val="28"/>
              <w:bidi w:val="0"/>
            </w:pPr>
            <w:r>
              <w:t>65.3</w:t>
            </w:r>
          </w:p>
        </w:tc>
        <w:tc>
          <w:tcPr>
            <w:tcW w:w="257" w:type="pct"/>
            <w:vAlign w:val="center"/>
          </w:tcPr>
          <w:p w14:paraId="0D2966D1">
            <w:pPr>
              <w:pStyle w:val="28"/>
              <w:bidi w:val="0"/>
            </w:pPr>
            <w:r>
              <w:t>45.3</w:t>
            </w:r>
          </w:p>
        </w:tc>
        <w:tc>
          <w:tcPr>
            <w:tcW w:w="257" w:type="pct"/>
            <w:vAlign w:val="center"/>
          </w:tcPr>
          <w:p w14:paraId="4FB3D0DE">
            <w:pPr>
              <w:pStyle w:val="28"/>
              <w:bidi w:val="0"/>
            </w:pPr>
            <w:r>
              <w:t>53.4</w:t>
            </w:r>
          </w:p>
        </w:tc>
        <w:tc>
          <w:tcPr>
            <w:tcW w:w="257" w:type="pct"/>
            <w:vAlign w:val="center"/>
          </w:tcPr>
          <w:p w14:paraId="0A67B1F2">
            <w:pPr>
              <w:pStyle w:val="28"/>
              <w:bidi w:val="0"/>
            </w:pPr>
            <w:r>
              <w:t>0.7</w:t>
            </w:r>
          </w:p>
        </w:tc>
        <w:tc>
          <w:tcPr>
            <w:tcW w:w="209" w:type="pct"/>
            <w:vAlign w:val="center"/>
          </w:tcPr>
          <w:p w14:paraId="7DE52DA7">
            <w:pPr>
              <w:pStyle w:val="28"/>
              <w:bidi w:val="0"/>
            </w:pPr>
            <w:r>
              <w:t>达标</w:t>
            </w:r>
          </w:p>
        </w:tc>
      </w:tr>
      <w:tr w14:paraId="244E61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7E5C8715">
            <w:pPr>
              <w:pStyle w:val="28"/>
              <w:bidi w:val="0"/>
            </w:pPr>
            <w:r>
              <w:rPr>
                <w:rFonts w:hint="eastAsia"/>
              </w:rPr>
              <w:t>包圩</w:t>
            </w:r>
          </w:p>
        </w:tc>
        <w:tc>
          <w:tcPr>
            <w:tcW w:w="511" w:type="pct"/>
            <w:shd w:val="clear" w:color="auto" w:fill="FFFFFF"/>
            <w:vAlign w:val="center"/>
          </w:tcPr>
          <w:p w14:paraId="011D7766">
            <w:pPr>
              <w:pStyle w:val="28"/>
              <w:bidi w:val="0"/>
            </w:pPr>
            <w:r>
              <w:rPr>
                <w:rFonts w:hint="eastAsia"/>
              </w:rPr>
              <w:t>底泥清淤</w:t>
            </w:r>
          </w:p>
        </w:tc>
        <w:tc>
          <w:tcPr>
            <w:tcW w:w="366" w:type="pct"/>
            <w:vAlign w:val="center"/>
          </w:tcPr>
          <w:p w14:paraId="6A04B70C">
            <w:pPr>
              <w:pStyle w:val="28"/>
              <w:bidi w:val="0"/>
            </w:pPr>
            <w:r>
              <w:t>20</w:t>
            </w:r>
          </w:p>
        </w:tc>
        <w:tc>
          <w:tcPr>
            <w:tcW w:w="268" w:type="pct"/>
            <w:vAlign w:val="center"/>
          </w:tcPr>
          <w:p w14:paraId="7F381CDA">
            <w:pPr>
              <w:pStyle w:val="28"/>
              <w:bidi w:val="0"/>
            </w:pPr>
            <w:r>
              <w:rPr>
                <w:rFonts w:hint="eastAsia"/>
              </w:rPr>
              <w:t>左岸</w:t>
            </w:r>
          </w:p>
        </w:tc>
        <w:tc>
          <w:tcPr>
            <w:tcW w:w="262" w:type="pct"/>
            <w:vAlign w:val="center"/>
          </w:tcPr>
          <w:p w14:paraId="29F9DA4C">
            <w:pPr>
              <w:pStyle w:val="28"/>
              <w:bidi w:val="0"/>
            </w:pPr>
            <w:r>
              <w:t>1</w:t>
            </w:r>
            <w:r>
              <w:rPr>
                <w:rFonts w:hint="eastAsia"/>
              </w:rPr>
              <w:t>类</w:t>
            </w:r>
          </w:p>
        </w:tc>
        <w:tc>
          <w:tcPr>
            <w:tcW w:w="809" w:type="pct"/>
            <w:vMerge w:val="continue"/>
            <w:vAlign w:val="center"/>
          </w:tcPr>
          <w:p w14:paraId="4BD32498">
            <w:pPr>
              <w:pStyle w:val="28"/>
              <w:bidi w:val="0"/>
            </w:pPr>
          </w:p>
        </w:tc>
        <w:tc>
          <w:tcPr>
            <w:tcW w:w="208" w:type="pct"/>
            <w:vAlign w:val="center"/>
          </w:tcPr>
          <w:p w14:paraId="1C930F78">
            <w:pPr>
              <w:pStyle w:val="28"/>
              <w:bidi w:val="0"/>
            </w:pPr>
            <w:r>
              <w:t>52.7</w:t>
            </w:r>
          </w:p>
        </w:tc>
        <w:tc>
          <w:tcPr>
            <w:tcW w:w="211" w:type="pct"/>
            <w:vAlign w:val="center"/>
          </w:tcPr>
          <w:p w14:paraId="7E306BDB">
            <w:pPr>
              <w:pStyle w:val="28"/>
              <w:bidi w:val="0"/>
            </w:pPr>
            <w:r>
              <w:t>42.3</w:t>
            </w:r>
          </w:p>
        </w:tc>
        <w:tc>
          <w:tcPr>
            <w:tcW w:w="208" w:type="pct"/>
            <w:vAlign w:val="center"/>
          </w:tcPr>
          <w:p w14:paraId="203AC1C3">
            <w:pPr>
              <w:pStyle w:val="28"/>
              <w:bidi w:val="0"/>
            </w:pPr>
            <w:r>
              <w:t>55</w:t>
            </w:r>
          </w:p>
        </w:tc>
        <w:tc>
          <w:tcPr>
            <w:tcW w:w="211" w:type="pct"/>
            <w:vAlign w:val="center"/>
          </w:tcPr>
          <w:p w14:paraId="4CFB7581">
            <w:pPr>
              <w:pStyle w:val="28"/>
              <w:bidi w:val="0"/>
            </w:pPr>
            <w:r>
              <w:t>45</w:t>
            </w:r>
          </w:p>
        </w:tc>
        <w:tc>
          <w:tcPr>
            <w:tcW w:w="276" w:type="pct"/>
            <w:vAlign w:val="center"/>
          </w:tcPr>
          <w:p w14:paraId="12E22C3D">
            <w:pPr>
              <w:pStyle w:val="28"/>
              <w:bidi w:val="0"/>
            </w:pPr>
            <w:r>
              <w:t>64.2</w:t>
            </w:r>
          </w:p>
        </w:tc>
        <w:tc>
          <w:tcPr>
            <w:tcW w:w="257" w:type="pct"/>
            <w:vAlign w:val="center"/>
          </w:tcPr>
          <w:p w14:paraId="42451268">
            <w:pPr>
              <w:pStyle w:val="28"/>
              <w:bidi w:val="0"/>
            </w:pPr>
            <w:r>
              <w:t>44.2</w:t>
            </w:r>
          </w:p>
        </w:tc>
        <w:tc>
          <w:tcPr>
            <w:tcW w:w="257" w:type="pct"/>
            <w:vAlign w:val="center"/>
          </w:tcPr>
          <w:p w14:paraId="70142BA9">
            <w:pPr>
              <w:pStyle w:val="28"/>
              <w:bidi w:val="0"/>
            </w:pPr>
            <w:r>
              <w:t>53.3</w:t>
            </w:r>
          </w:p>
        </w:tc>
        <w:tc>
          <w:tcPr>
            <w:tcW w:w="257" w:type="pct"/>
            <w:vAlign w:val="center"/>
          </w:tcPr>
          <w:p w14:paraId="066C4930">
            <w:pPr>
              <w:pStyle w:val="28"/>
              <w:bidi w:val="0"/>
            </w:pPr>
            <w:r>
              <w:t>0.6</w:t>
            </w:r>
          </w:p>
        </w:tc>
        <w:tc>
          <w:tcPr>
            <w:tcW w:w="209" w:type="pct"/>
            <w:vAlign w:val="center"/>
          </w:tcPr>
          <w:p w14:paraId="393B57E8">
            <w:pPr>
              <w:pStyle w:val="28"/>
              <w:bidi w:val="0"/>
            </w:pPr>
            <w:r>
              <w:t>达标</w:t>
            </w:r>
          </w:p>
        </w:tc>
      </w:tr>
      <w:tr w14:paraId="40B73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23D63144">
            <w:pPr>
              <w:pStyle w:val="28"/>
              <w:bidi w:val="0"/>
            </w:pPr>
            <w:r>
              <w:rPr>
                <w:rFonts w:hint="eastAsia"/>
              </w:rPr>
              <w:t>鲁家大郢</w:t>
            </w:r>
          </w:p>
        </w:tc>
        <w:tc>
          <w:tcPr>
            <w:tcW w:w="511" w:type="pct"/>
            <w:shd w:val="clear" w:color="auto" w:fill="FFFFFF"/>
            <w:vAlign w:val="center"/>
          </w:tcPr>
          <w:p w14:paraId="54B9B912">
            <w:pPr>
              <w:pStyle w:val="28"/>
              <w:bidi w:val="0"/>
            </w:pPr>
            <w:r>
              <w:rPr>
                <w:rFonts w:hint="eastAsia"/>
              </w:rPr>
              <w:t>机耕桥拆建</w:t>
            </w:r>
          </w:p>
        </w:tc>
        <w:tc>
          <w:tcPr>
            <w:tcW w:w="366" w:type="pct"/>
            <w:vAlign w:val="center"/>
          </w:tcPr>
          <w:p w14:paraId="754A5E5D">
            <w:pPr>
              <w:pStyle w:val="28"/>
              <w:bidi w:val="0"/>
            </w:pPr>
            <w:r>
              <w:t>35</w:t>
            </w:r>
          </w:p>
        </w:tc>
        <w:tc>
          <w:tcPr>
            <w:tcW w:w="268" w:type="pct"/>
            <w:vAlign w:val="center"/>
          </w:tcPr>
          <w:p w14:paraId="3F35977E">
            <w:pPr>
              <w:pStyle w:val="28"/>
              <w:bidi w:val="0"/>
            </w:pPr>
            <w:r>
              <w:rPr>
                <w:rFonts w:hint="eastAsia"/>
              </w:rPr>
              <w:t>左岸</w:t>
            </w:r>
          </w:p>
        </w:tc>
        <w:tc>
          <w:tcPr>
            <w:tcW w:w="262" w:type="pct"/>
            <w:vAlign w:val="center"/>
          </w:tcPr>
          <w:p w14:paraId="16358716">
            <w:pPr>
              <w:pStyle w:val="28"/>
              <w:bidi w:val="0"/>
            </w:pPr>
            <w:r>
              <w:t>1</w:t>
            </w:r>
            <w:r>
              <w:rPr>
                <w:rFonts w:hint="eastAsia"/>
              </w:rPr>
              <w:t>类</w:t>
            </w:r>
          </w:p>
        </w:tc>
        <w:tc>
          <w:tcPr>
            <w:tcW w:w="809" w:type="pct"/>
            <w:vMerge w:val="continue"/>
            <w:vAlign w:val="center"/>
          </w:tcPr>
          <w:p w14:paraId="06A1A2BF">
            <w:pPr>
              <w:pStyle w:val="28"/>
              <w:bidi w:val="0"/>
            </w:pPr>
          </w:p>
        </w:tc>
        <w:tc>
          <w:tcPr>
            <w:tcW w:w="208" w:type="pct"/>
            <w:vAlign w:val="center"/>
          </w:tcPr>
          <w:p w14:paraId="0C78C7E8">
            <w:pPr>
              <w:pStyle w:val="28"/>
              <w:bidi w:val="0"/>
            </w:pPr>
            <w:r>
              <w:t>52.7</w:t>
            </w:r>
          </w:p>
        </w:tc>
        <w:tc>
          <w:tcPr>
            <w:tcW w:w="211" w:type="pct"/>
            <w:vAlign w:val="center"/>
          </w:tcPr>
          <w:p w14:paraId="74386AF8">
            <w:pPr>
              <w:pStyle w:val="28"/>
              <w:bidi w:val="0"/>
            </w:pPr>
            <w:r>
              <w:t>42.3</w:t>
            </w:r>
          </w:p>
        </w:tc>
        <w:tc>
          <w:tcPr>
            <w:tcW w:w="208" w:type="pct"/>
            <w:vAlign w:val="center"/>
          </w:tcPr>
          <w:p w14:paraId="5B3BB79F">
            <w:pPr>
              <w:pStyle w:val="28"/>
              <w:bidi w:val="0"/>
            </w:pPr>
            <w:r>
              <w:t>55</w:t>
            </w:r>
          </w:p>
        </w:tc>
        <w:tc>
          <w:tcPr>
            <w:tcW w:w="211" w:type="pct"/>
            <w:vAlign w:val="center"/>
          </w:tcPr>
          <w:p w14:paraId="0B6A0772">
            <w:pPr>
              <w:pStyle w:val="28"/>
              <w:bidi w:val="0"/>
            </w:pPr>
            <w:r>
              <w:t>45</w:t>
            </w:r>
          </w:p>
        </w:tc>
        <w:tc>
          <w:tcPr>
            <w:tcW w:w="276" w:type="pct"/>
            <w:vAlign w:val="center"/>
          </w:tcPr>
          <w:p w14:paraId="2A1F3AFB">
            <w:pPr>
              <w:pStyle w:val="28"/>
              <w:bidi w:val="0"/>
            </w:pPr>
            <w:r>
              <w:t>62.3</w:t>
            </w:r>
          </w:p>
        </w:tc>
        <w:tc>
          <w:tcPr>
            <w:tcW w:w="257" w:type="pct"/>
            <w:vAlign w:val="center"/>
          </w:tcPr>
          <w:p w14:paraId="3EDB21C6">
            <w:pPr>
              <w:pStyle w:val="28"/>
              <w:bidi w:val="0"/>
            </w:pPr>
            <w:r>
              <w:t>42.3</w:t>
            </w:r>
          </w:p>
        </w:tc>
        <w:tc>
          <w:tcPr>
            <w:tcW w:w="257" w:type="pct"/>
            <w:vAlign w:val="center"/>
          </w:tcPr>
          <w:p w14:paraId="237A2C8F">
            <w:pPr>
              <w:pStyle w:val="28"/>
              <w:bidi w:val="0"/>
            </w:pPr>
            <w:r>
              <w:t>53.1</w:t>
            </w:r>
          </w:p>
        </w:tc>
        <w:tc>
          <w:tcPr>
            <w:tcW w:w="257" w:type="pct"/>
            <w:vAlign w:val="center"/>
          </w:tcPr>
          <w:p w14:paraId="1B7F4B5F">
            <w:pPr>
              <w:pStyle w:val="28"/>
              <w:bidi w:val="0"/>
            </w:pPr>
            <w:r>
              <w:t>0.4</w:t>
            </w:r>
          </w:p>
        </w:tc>
        <w:tc>
          <w:tcPr>
            <w:tcW w:w="209" w:type="pct"/>
            <w:vAlign w:val="center"/>
          </w:tcPr>
          <w:p w14:paraId="602DBBFE">
            <w:pPr>
              <w:pStyle w:val="28"/>
              <w:bidi w:val="0"/>
            </w:pPr>
            <w:r>
              <w:t>达标</w:t>
            </w:r>
          </w:p>
        </w:tc>
      </w:tr>
      <w:tr w14:paraId="18258DB6">
        <w:tblPrEx>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063FF7AE">
            <w:pPr>
              <w:pStyle w:val="28"/>
              <w:bidi w:val="0"/>
            </w:pPr>
            <w:r>
              <w:rPr>
                <w:rFonts w:hint="eastAsia"/>
              </w:rPr>
              <w:t>堰口镇</w:t>
            </w:r>
          </w:p>
        </w:tc>
        <w:tc>
          <w:tcPr>
            <w:tcW w:w="511" w:type="pct"/>
            <w:shd w:val="clear" w:color="auto" w:fill="FFFFFF"/>
            <w:vAlign w:val="center"/>
          </w:tcPr>
          <w:p w14:paraId="56EA8A25">
            <w:pPr>
              <w:pStyle w:val="28"/>
              <w:bidi w:val="0"/>
            </w:pPr>
            <w:r>
              <w:rPr>
                <w:rFonts w:hint="eastAsia"/>
              </w:rPr>
              <w:t>进水闸拆建</w:t>
            </w:r>
          </w:p>
        </w:tc>
        <w:tc>
          <w:tcPr>
            <w:tcW w:w="366" w:type="pct"/>
            <w:vAlign w:val="center"/>
          </w:tcPr>
          <w:p w14:paraId="1D48FDAB">
            <w:pPr>
              <w:pStyle w:val="28"/>
              <w:bidi w:val="0"/>
            </w:pPr>
            <w:r>
              <w:t>10</w:t>
            </w:r>
          </w:p>
        </w:tc>
        <w:tc>
          <w:tcPr>
            <w:tcW w:w="268" w:type="pct"/>
            <w:vAlign w:val="center"/>
          </w:tcPr>
          <w:p w14:paraId="0792567E">
            <w:pPr>
              <w:pStyle w:val="28"/>
              <w:bidi w:val="0"/>
            </w:pPr>
            <w:r>
              <w:rPr>
                <w:rFonts w:hint="eastAsia"/>
              </w:rPr>
              <w:t>左岸</w:t>
            </w:r>
          </w:p>
        </w:tc>
        <w:tc>
          <w:tcPr>
            <w:tcW w:w="262" w:type="pct"/>
            <w:vAlign w:val="center"/>
          </w:tcPr>
          <w:p w14:paraId="40320678">
            <w:pPr>
              <w:pStyle w:val="28"/>
              <w:bidi w:val="0"/>
            </w:pPr>
            <w:r>
              <w:t>2</w:t>
            </w:r>
            <w:r>
              <w:rPr>
                <w:rFonts w:hint="eastAsia"/>
              </w:rPr>
              <w:t>类</w:t>
            </w:r>
          </w:p>
        </w:tc>
        <w:tc>
          <w:tcPr>
            <w:tcW w:w="809" w:type="pct"/>
            <w:vMerge w:val="continue"/>
            <w:vAlign w:val="center"/>
          </w:tcPr>
          <w:p w14:paraId="56E4C311">
            <w:pPr>
              <w:pStyle w:val="28"/>
              <w:bidi w:val="0"/>
            </w:pPr>
          </w:p>
        </w:tc>
        <w:tc>
          <w:tcPr>
            <w:tcW w:w="208" w:type="pct"/>
            <w:vAlign w:val="center"/>
          </w:tcPr>
          <w:p w14:paraId="4B5F4CA3">
            <w:pPr>
              <w:pStyle w:val="28"/>
              <w:bidi w:val="0"/>
            </w:pPr>
            <w:r>
              <w:t>53.4</w:t>
            </w:r>
          </w:p>
        </w:tc>
        <w:tc>
          <w:tcPr>
            <w:tcW w:w="211" w:type="pct"/>
            <w:vAlign w:val="center"/>
          </w:tcPr>
          <w:p w14:paraId="40EABC63">
            <w:pPr>
              <w:pStyle w:val="28"/>
              <w:bidi w:val="0"/>
            </w:pPr>
            <w:r>
              <w:t>41.4</w:t>
            </w:r>
          </w:p>
        </w:tc>
        <w:tc>
          <w:tcPr>
            <w:tcW w:w="208" w:type="pct"/>
            <w:vAlign w:val="center"/>
          </w:tcPr>
          <w:p w14:paraId="3750054F">
            <w:pPr>
              <w:pStyle w:val="28"/>
              <w:bidi w:val="0"/>
            </w:pPr>
            <w:r>
              <w:t>60</w:t>
            </w:r>
          </w:p>
        </w:tc>
        <w:tc>
          <w:tcPr>
            <w:tcW w:w="211" w:type="pct"/>
            <w:vAlign w:val="center"/>
          </w:tcPr>
          <w:p w14:paraId="103CC6B7">
            <w:pPr>
              <w:pStyle w:val="28"/>
              <w:bidi w:val="0"/>
            </w:pPr>
            <w:r>
              <w:t>50</w:t>
            </w:r>
          </w:p>
        </w:tc>
        <w:tc>
          <w:tcPr>
            <w:tcW w:w="276" w:type="pct"/>
            <w:vAlign w:val="center"/>
          </w:tcPr>
          <w:p w14:paraId="4E3DF832">
            <w:pPr>
              <w:pStyle w:val="28"/>
              <w:bidi w:val="0"/>
            </w:pPr>
            <w:r>
              <w:t>73.2</w:t>
            </w:r>
          </w:p>
        </w:tc>
        <w:tc>
          <w:tcPr>
            <w:tcW w:w="257" w:type="pct"/>
            <w:vAlign w:val="center"/>
          </w:tcPr>
          <w:p w14:paraId="33283B3D">
            <w:pPr>
              <w:pStyle w:val="28"/>
              <w:bidi w:val="0"/>
            </w:pPr>
            <w:r>
              <w:t>53.2</w:t>
            </w:r>
          </w:p>
        </w:tc>
        <w:tc>
          <w:tcPr>
            <w:tcW w:w="257" w:type="pct"/>
            <w:vAlign w:val="center"/>
          </w:tcPr>
          <w:p w14:paraId="505D40CF">
            <w:pPr>
              <w:pStyle w:val="28"/>
              <w:bidi w:val="0"/>
            </w:pPr>
            <w:r>
              <w:t>56.3</w:t>
            </w:r>
          </w:p>
        </w:tc>
        <w:tc>
          <w:tcPr>
            <w:tcW w:w="257" w:type="pct"/>
            <w:vAlign w:val="center"/>
          </w:tcPr>
          <w:p w14:paraId="1BDD353C">
            <w:pPr>
              <w:pStyle w:val="28"/>
              <w:bidi w:val="0"/>
            </w:pPr>
            <w:r>
              <w:t>2.9</w:t>
            </w:r>
          </w:p>
        </w:tc>
        <w:tc>
          <w:tcPr>
            <w:tcW w:w="209" w:type="pct"/>
            <w:vAlign w:val="center"/>
          </w:tcPr>
          <w:p w14:paraId="513306C1">
            <w:pPr>
              <w:pStyle w:val="28"/>
              <w:bidi w:val="0"/>
            </w:pPr>
            <w:r>
              <w:t>达标</w:t>
            </w:r>
          </w:p>
        </w:tc>
      </w:tr>
      <w:tr w14:paraId="4DFE3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37A36C5A">
            <w:pPr>
              <w:pStyle w:val="28"/>
              <w:bidi w:val="0"/>
            </w:pPr>
            <w:r>
              <w:rPr>
                <w:rFonts w:hint="eastAsia"/>
              </w:rPr>
              <w:t>杨岗村</w:t>
            </w:r>
          </w:p>
        </w:tc>
        <w:tc>
          <w:tcPr>
            <w:tcW w:w="511" w:type="pct"/>
            <w:shd w:val="clear" w:color="auto" w:fill="FFFFFF"/>
            <w:vAlign w:val="center"/>
          </w:tcPr>
          <w:p w14:paraId="7F43BE16">
            <w:pPr>
              <w:pStyle w:val="28"/>
              <w:bidi w:val="0"/>
            </w:pPr>
            <w:r>
              <w:rPr>
                <w:rFonts w:hint="eastAsia"/>
              </w:rPr>
              <w:t>二道河进水闸拆建</w:t>
            </w:r>
          </w:p>
        </w:tc>
        <w:tc>
          <w:tcPr>
            <w:tcW w:w="366" w:type="pct"/>
            <w:vAlign w:val="center"/>
          </w:tcPr>
          <w:p w14:paraId="4BF00CAA">
            <w:pPr>
              <w:pStyle w:val="28"/>
              <w:bidi w:val="0"/>
            </w:pPr>
            <w:r>
              <w:t>30</w:t>
            </w:r>
          </w:p>
        </w:tc>
        <w:tc>
          <w:tcPr>
            <w:tcW w:w="268" w:type="pct"/>
            <w:vAlign w:val="center"/>
          </w:tcPr>
          <w:p w14:paraId="50C2E250">
            <w:pPr>
              <w:pStyle w:val="28"/>
              <w:bidi w:val="0"/>
            </w:pPr>
            <w:r>
              <w:rPr>
                <w:rFonts w:hint="eastAsia"/>
              </w:rPr>
              <w:t>右岸</w:t>
            </w:r>
          </w:p>
        </w:tc>
        <w:tc>
          <w:tcPr>
            <w:tcW w:w="262" w:type="pct"/>
            <w:vAlign w:val="center"/>
          </w:tcPr>
          <w:p w14:paraId="79284274">
            <w:pPr>
              <w:pStyle w:val="28"/>
              <w:bidi w:val="0"/>
            </w:pPr>
            <w:r>
              <w:t>1</w:t>
            </w:r>
            <w:r>
              <w:rPr>
                <w:rFonts w:hint="eastAsia"/>
              </w:rPr>
              <w:t>类</w:t>
            </w:r>
          </w:p>
        </w:tc>
        <w:tc>
          <w:tcPr>
            <w:tcW w:w="809" w:type="pct"/>
            <w:vMerge w:val="continue"/>
            <w:vAlign w:val="center"/>
          </w:tcPr>
          <w:p w14:paraId="257C913F">
            <w:pPr>
              <w:pStyle w:val="28"/>
              <w:bidi w:val="0"/>
            </w:pPr>
          </w:p>
        </w:tc>
        <w:tc>
          <w:tcPr>
            <w:tcW w:w="208" w:type="pct"/>
            <w:vAlign w:val="center"/>
          </w:tcPr>
          <w:p w14:paraId="0F644F18">
            <w:pPr>
              <w:pStyle w:val="28"/>
              <w:bidi w:val="0"/>
            </w:pPr>
            <w:r>
              <w:t>53.4</w:t>
            </w:r>
          </w:p>
        </w:tc>
        <w:tc>
          <w:tcPr>
            <w:tcW w:w="211" w:type="pct"/>
            <w:vAlign w:val="center"/>
          </w:tcPr>
          <w:p w14:paraId="397B93B0">
            <w:pPr>
              <w:pStyle w:val="28"/>
              <w:bidi w:val="0"/>
            </w:pPr>
            <w:r>
              <w:t>41.4</w:t>
            </w:r>
          </w:p>
        </w:tc>
        <w:tc>
          <w:tcPr>
            <w:tcW w:w="208" w:type="pct"/>
            <w:vAlign w:val="center"/>
          </w:tcPr>
          <w:p w14:paraId="787C8F7D">
            <w:pPr>
              <w:pStyle w:val="28"/>
              <w:bidi w:val="0"/>
            </w:pPr>
            <w:r>
              <w:t>55</w:t>
            </w:r>
          </w:p>
        </w:tc>
        <w:tc>
          <w:tcPr>
            <w:tcW w:w="211" w:type="pct"/>
            <w:vAlign w:val="center"/>
          </w:tcPr>
          <w:p w14:paraId="37DD204B">
            <w:pPr>
              <w:pStyle w:val="28"/>
              <w:bidi w:val="0"/>
            </w:pPr>
            <w:r>
              <w:t>45</w:t>
            </w:r>
          </w:p>
        </w:tc>
        <w:tc>
          <w:tcPr>
            <w:tcW w:w="276" w:type="pct"/>
            <w:vAlign w:val="center"/>
          </w:tcPr>
          <w:p w14:paraId="3B0E4E69">
            <w:pPr>
              <w:pStyle w:val="28"/>
              <w:bidi w:val="0"/>
            </w:pPr>
            <w:r>
              <w:t>63.7</w:t>
            </w:r>
          </w:p>
        </w:tc>
        <w:tc>
          <w:tcPr>
            <w:tcW w:w="257" w:type="pct"/>
            <w:vAlign w:val="center"/>
          </w:tcPr>
          <w:p w14:paraId="67F09BBB">
            <w:pPr>
              <w:pStyle w:val="28"/>
              <w:bidi w:val="0"/>
            </w:pPr>
            <w:r>
              <w:t>43.7</w:t>
            </w:r>
          </w:p>
        </w:tc>
        <w:tc>
          <w:tcPr>
            <w:tcW w:w="257" w:type="pct"/>
            <w:vAlign w:val="center"/>
          </w:tcPr>
          <w:p w14:paraId="0376055C">
            <w:pPr>
              <w:pStyle w:val="28"/>
              <w:bidi w:val="0"/>
            </w:pPr>
            <w:r>
              <w:t>53.8</w:t>
            </w:r>
          </w:p>
        </w:tc>
        <w:tc>
          <w:tcPr>
            <w:tcW w:w="257" w:type="pct"/>
            <w:vAlign w:val="center"/>
          </w:tcPr>
          <w:p w14:paraId="2B18D170">
            <w:pPr>
              <w:pStyle w:val="28"/>
              <w:bidi w:val="0"/>
            </w:pPr>
            <w:r>
              <w:t>0.4</w:t>
            </w:r>
          </w:p>
        </w:tc>
        <w:tc>
          <w:tcPr>
            <w:tcW w:w="209" w:type="pct"/>
            <w:vAlign w:val="center"/>
          </w:tcPr>
          <w:p w14:paraId="1BA9A0DD">
            <w:pPr>
              <w:pStyle w:val="28"/>
              <w:bidi w:val="0"/>
            </w:pPr>
            <w:r>
              <w:t>达标</w:t>
            </w:r>
          </w:p>
        </w:tc>
      </w:tr>
      <w:tr w14:paraId="58E41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52729707">
            <w:pPr>
              <w:pStyle w:val="28"/>
              <w:bidi w:val="0"/>
            </w:pPr>
            <w:r>
              <w:rPr>
                <w:rFonts w:hint="eastAsia"/>
              </w:rPr>
              <w:t>戴家墙</w:t>
            </w:r>
          </w:p>
        </w:tc>
        <w:tc>
          <w:tcPr>
            <w:tcW w:w="511" w:type="pct"/>
            <w:shd w:val="clear" w:color="auto" w:fill="FFFFFF"/>
            <w:vAlign w:val="center"/>
          </w:tcPr>
          <w:p w14:paraId="41BF0963">
            <w:pPr>
              <w:pStyle w:val="28"/>
              <w:bidi w:val="0"/>
            </w:pPr>
            <w:r>
              <w:rPr>
                <w:rFonts w:hint="eastAsia"/>
              </w:rPr>
              <w:t>过路涵拆建</w:t>
            </w:r>
          </w:p>
        </w:tc>
        <w:tc>
          <w:tcPr>
            <w:tcW w:w="366" w:type="pct"/>
            <w:vAlign w:val="center"/>
          </w:tcPr>
          <w:p w14:paraId="6E2F7464">
            <w:pPr>
              <w:pStyle w:val="28"/>
              <w:bidi w:val="0"/>
            </w:pPr>
            <w:r>
              <w:t>30</w:t>
            </w:r>
          </w:p>
        </w:tc>
        <w:tc>
          <w:tcPr>
            <w:tcW w:w="268" w:type="pct"/>
            <w:vAlign w:val="center"/>
          </w:tcPr>
          <w:p w14:paraId="189CBDB5">
            <w:pPr>
              <w:pStyle w:val="28"/>
              <w:bidi w:val="0"/>
            </w:pPr>
            <w:r>
              <w:rPr>
                <w:rFonts w:hint="eastAsia"/>
              </w:rPr>
              <w:t>左岸</w:t>
            </w:r>
          </w:p>
        </w:tc>
        <w:tc>
          <w:tcPr>
            <w:tcW w:w="262" w:type="pct"/>
            <w:vAlign w:val="center"/>
          </w:tcPr>
          <w:p w14:paraId="22519465">
            <w:pPr>
              <w:pStyle w:val="28"/>
              <w:bidi w:val="0"/>
            </w:pPr>
            <w:r>
              <w:t>1</w:t>
            </w:r>
            <w:r>
              <w:rPr>
                <w:rFonts w:hint="eastAsia"/>
              </w:rPr>
              <w:t>类</w:t>
            </w:r>
          </w:p>
        </w:tc>
        <w:tc>
          <w:tcPr>
            <w:tcW w:w="809" w:type="pct"/>
            <w:vMerge w:val="continue"/>
            <w:vAlign w:val="center"/>
          </w:tcPr>
          <w:p w14:paraId="3D1F9860">
            <w:pPr>
              <w:pStyle w:val="28"/>
              <w:bidi w:val="0"/>
            </w:pPr>
          </w:p>
        </w:tc>
        <w:tc>
          <w:tcPr>
            <w:tcW w:w="208" w:type="pct"/>
            <w:vAlign w:val="center"/>
          </w:tcPr>
          <w:p w14:paraId="400DF2D8">
            <w:pPr>
              <w:pStyle w:val="28"/>
              <w:bidi w:val="0"/>
            </w:pPr>
            <w:r>
              <w:t>53.4</w:t>
            </w:r>
          </w:p>
        </w:tc>
        <w:tc>
          <w:tcPr>
            <w:tcW w:w="211" w:type="pct"/>
            <w:vAlign w:val="center"/>
          </w:tcPr>
          <w:p w14:paraId="1FE7B0E3">
            <w:pPr>
              <w:pStyle w:val="28"/>
              <w:bidi w:val="0"/>
            </w:pPr>
            <w:r>
              <w:t>41.4</w:t>
            </w:r>
          </w:p>
        </w:tc>
        <w:tc>
          <w:tcPr>
            <w:tcW w:w="208" w:type="pct"/>
            <w:vAlign w:val="center"/>
          </w:tcPr>
          <w:p w14:paraId="62B7E23E">
            <w:pPr>
              <w:pStyle w:val="28"/>
              <w:bidi w:val="0"/>
            </w:pPr>
            <w:r>
              <w:t>55</w:t>
            </w:r>
          </w:p>
        </w:tc>
        <w:tc>
          <w:tcPr>
            <w:tcW w:w="211" w:type="pct"/>
            <w:vAlign w:val="center"/>
          </w:tcPr>
          <w:p w14:paraId="5C373B58">
            <w:pPr>
              <w:pStyle w:val="28"/>
              <w:bidi w:val="0"/>
            </w:pPr>
            <w:r>
              <w:t>45</w:t>
            </w:r>
          </w:p>
        </w:tc>
        <w:tc>
          <w:tcPr>
            <w:tcW w:w="276" w:type="pct"/>
            <w:vAlign w:val="center"/>
          </w:tcPr>
          <w:p w14:paraId="21C4E03B">
            <w:pPr>
              <w:pStyle w:val="28"/>
              <w:bidi w:val="0"/>
            </w:pPr>
            <w:r>
              <w:t>63.7</w:t>
            </w:r>
          </w:p>
        </w:tc>
        <w:tc>
          <w:tcPr>
            <w:tcW w:w="257" w:type="pct"/>
            <w:vAlign w:val="center"/>
          </w:tcPr>
          <w:p w14:paraId="6E4F0F7B">
            <w:pPr>
              <w:pStyle w:val="28"/>
              <w:bidi w:val="0"/>
            </w:pPr>
            <w:r>
              <w:t>43.7</w:t>
            </w:r>
          </w:p>
        </w:tc>
        <w:tc>
          <w:tcPr>
            <w:tcW w:w="257" w:type="pct"/>
            <w:vAlign w:val="center"/>
          </w:tcPr>
          <w:p w14:paraId="0C4EB4F0">
            <w:pPr>
              <w:pStyle w:val="28"/>
              <w:bidi w:val="0"/>
            </w:pPr>
            <w:r>
              <w:t>53.8</w:t>
            </w:r>
          </w:p>
        </w:tc>
        <w:tc>
          <w:tcPr>
            <w:tcW w:w="257" w:type="pct"/>
            <w:vAlign w:val="center"/>
          </w:tcPr>
          <w:p w14:paraId="4BFA948F">
            <w:pPr>
              <w:pStyle w:val="28"/>
              <w:bidi w:val="0"/>
            </w:pPr>
            <w:r>
              <w:t>0.4</w:t>
            </w:r>
          </w:p>
        </w:tc>
        <w:tc>
          <w:tcPr>
            <w:tcW w:w="209" w:type="pct"/>
            <w:vAlign w:val="center"/>
          </w:tcPr>
          <w:p w14:paraId="782F63E5">
            <w:pPr>
              <w:pStyle w:val="28"/>
              <w:bidi w:val="0"/>
            </w:pPr>
            <w:r>
              <w:t>达标</w:t>
            </w:r>
          </w:p>
        </w:tc>
      </w:tr>
      <w:tr w14:paraId="3308B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491F1933">
            <w:pPr>
              <w:pStyle w:val="28"/>
              <w:bidi w:val="0"/>
            </w:pPr>
            <w:r>
              <w:rPr>
                <w:rFonts w:hint="eastAsia"/>
              </w:rPr>
              <w:t>李家圩</w:t>
            </w:r>
          </w:p>
        </w:tc>
        <w:tc>
          <w:tcPr>
            <w:tcW w:w="511" w:type="pct"/>
            <w:shd w:val="clear" w:color="auto" w:fill="FFFFFF"/>
            <w:vAlign w:val="center"/>
          </w:tcPr>
          <w:p w14:paraId="1635CB0B">
            <w:pPr>
              <w:pStyle w:val="28"/>
              <w:bidi w:val="0"/>
            </w:pPr>
            <w:r>
              <w:rPr>
                <w:rFonts w:hint="eastAsia"/>
              </w:rPr>
              <w:t>渠道整治</w:t>
            </w:r>
          </w:p>
        </w:tc>
        <w:tc>
          <w:tcPr>
            <w:tcW w:w="366" w:type="pct"/>
            <w:vAlign w:val="center"/>
          </w:tcPr>
          <w:p w14:paraId="234D8D1D">
            <w:pPr>
              <w:pStyle w:val="28"/>
              <w:bidi w:val="0"/>
            </w:pPr>
            <w:r>
              <w:t>30</w:t>
            </w:r>
          </w:p>
        </w:tc>
        <w:tc>
          <w:tcPr>
            <w:tcW w:w="268" w:type="pct"/>
            <w:vAlign w:val="center"/>
          </w:tcPr>
          <w:p w14:paraId="6CBA7CB5">
            <w:pPr>
              <w:pStyle w:val="28"/>
              <w:bidi w:val="0"/>
            </w:pPr>
            <w:r>
              <w:rPr>
                <w:rFonts w:hint="eastAsia"/>
              </w:rPr>
              <w:t>右岸</w:t>
            </w:r>
          </w:p>
        </w:tc>
        <w:tc>
          <w:tcPr>
            <w:tcW w:w="262" w:type="pct"/>
            <w:vAlign w:val="center"/>
          </w:tcPr>
          <w:p w14:paraId="73F16EC0">
            <w:pPr>
              <w:pStyle w:val="28"/>
              <w:bidi w:val="0"/>
            </w:pPr>
            <w:r>
              <w:t>1</w:t>
            </w:r>
            <w:r>
              <w:rPr>
                <w:rFonts w:hint="eastAsia"/>
              </w:rPr>
              <w:t>类</w:t>
            </w:r>
          </w:p>
        </w:tc>
        <w:tc>
          <w:tcPr>
            <w:tcW w:w="809" w:type="pct"/>
            <w:vMerge w:val="continue"/>
            <w:vAlign w:val="center"/>
          </w:tcPr>
          <w:p w14:paraId="1C4E2920">
            <w:pPr>
              <w:pStyle w:val="28"/>
              <w:bidi w:val="0"/>
            </w:pPr>
          </w:p>
        </w:tc>
        <w:tc>
          <w:tcPr>
            <w:tcW w:w="208" w:type="pct"/>
            <w:vAlign w:val="center"/>
          </w:tcPr>
          <w:p w14:paraId="6271AD88">
            <w:pPr>
              <w:pStyle w:val="28"/>
              <w:bidi w:val="0"/>
            </w:pPr>
            <w:r>
              <w:t>53.4</w:t>
            </w:r>
          </w:p>
        </w:tc>
        <w:tc>
          <w:tcPr>
            <w:tcW w:w="211" w:type="pct"/>
            <w:vAlign w:val="center"/>
          </w:tcPr>
          <w:p w14:paraId="76FF62D1">
            <w:pPr>
              <w:pStyle w:val="28"/>
              <w:bidi w:val="0"/>
            </w:pPr>
            <w:r>
              <w:t>41.4</w:t>
            </w:r>
          </w:p>
        </w:tc>
        <w:tc>
          <w:tcPr>
            <w:tcW w:w="208" w:type="pct"/>
            <w:vAlign w:val="center"/>
          </w:tcPr>
          <w:p w14:paraId="730BEEED">
            <w:pPr>
              <w:pStyle w:val="28"/>
              <w:bidi w:val="0"/>
            </w:pPr>
            <w:r>
              <w:t>55</w:t>
            </w:r>
          </w:p>
        </w:tc>
        <w:tc>
          <w:tcPr>
            <w:tcW w:w="211" w:type="pct"/>
            <w:vAlign w:val="center"/>
          </w:tcPr>
          <w:p w14:paraId="5F716AE2">
            <w:pPr>
              <w:pStyle w:val="28"/>
              <w:bidi w:val="0"/>
            </w:pPr>
            <w:r>
              <w:t>45</w:t>
            </w:r>
          </w:p>
        </w:tc>
        <w:tc>
          <w:tcPr>
            <w:tcW w:w="276" w:type="pct"/>
            <w:vAlign w:val="center"/>
          </w:tcPr>
          <w:p w14:paraId="506F7DFF">
            <w:pPr>
              <w:pStyle w:val="28"/>
              <w:bidi w:val="0"/>
            </w:pPr>
            <w:r>
              <w:t>60.7</w:t>
            </w:r>
          </w:p>
        </w:tc>
        <w:tc>
          <w:tcPr>
            <w:tcW w:w="257" w:type="pct"/>
            <w:vAlign w:val="center"/>
          </w:tcPr>
          <w:p w14:paraId="51CAD5FE">
            <w:pPr>
              <w:pStyle w:val="28"/>
              <w:bidi w:val="0"/>
            </w:pPr>
            <w:r>
              <w:t>40.7</w:t>
            </w:r>
          </w:p>
        </w:tc>
        <w:tc>
          <w:tcPr>
            <w:tcW w:w="257" w:type="pct"/>
            <w:vAlign w:val="center"/>
          </w:tcPr>
          <w:p w14:paraId="511FE8C6">
            <w:pPr>
              <w:pStyle w:val="28"/>
              <w:bidi w:val="0"/>
            </w:pPr>
            <w:r>
              <w:t>53.6</w:t>
            </w:r>
          </w:p>
        </w:tc>
        <w:tc>
          <w:tcPr>
            <w:tcW w:w="257" w:type="pct"/>
            <w:vAlign w:val="center"/>
          </w:tcPr>
          <w:p w14:paraId="338861FF">
            <w:pPr>
              <w:pStyle w:val="28"/>
              <w:bidi w:val="0"/>
            </w:pPr>
            <w:r>
              <w:t>0.2</w:t>
            </w:r>
          </w:p>
        </w:tc>
        <w:tc>
          <w:tcPr>
            <w:tcW w:w="209" w:type="pct"/>
            <w:vAlign w:val="center"/>
          </w:tcPr>
          <w:p w14:paraId="0D1E8373">
            <w:pPr>
              <w:pStyle w:val="28"/>
              <w:bidi w:val="0"/>
            </w:pPr>
            <w:r>
              <w:t>达标</w:t>
            </w:r>
          </w:p>
        </w:tc>
      </w:tr>
      <w:tr w14:paraId="69CB1F9F">
        <w:tblPrEx>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18F0BAF2">
            <w:pPr>
              <w:pStyle w:val="28"/>
              <w:bidi w:val="0"/>
            </w:pPr>
            <w:r>
              <w:rPr>
                <w:rFonts w:hint="eastAsia"/>
              </w:rPr>
              <w:t>严家圩</w:t>
            </w:r>
          </w:p>
        </w:tc>
        <w:tc>
          <w:tcPr>
            <w:tcW w:w="511" w:type="pct"/>
            <w:shd w:val="clear" w:color="auto" w:fill="FFFFFF"/>
            <w:vAlign w:val="center"/>
          </w:tcPr>
          <w:p w14:paraId="7B95E8DA">
            <w:pPr>
              <w:pStyle w:val="28"/>
              <w:bidi w:val="0"/>
            </w:pPr>
            <w:r>
              <w:rPr>
                <w:rFonts w:hint="eastAsia"/>
              </w:rPr>
              <w:t>进水涵拆建</w:t>
            </w:r>
          </w:p>
        </w:tc>
        <w:tc>
          <w:tcPr>
            <w:tcW w:w="366" w:type="pct"/>
            <w:vAlign w:val="center"/>
          </w:tcPr>
          <w:p w14:paraId="123FBC3D">
            <w:pPr>
              <w:pStyle w:val="28"/>
              <w:bidi w:val="0"/>
            </w:pPr>
            <w:r>
              <w:t>28</w:t>
            </w:r>
          </w:p>
        </w:tc>
        <w:tc>
          <w:tcPr>
            <w:tcW w:w="268" w:type="pct"/>
            <w:vAlign w:val="center"/>
          </w:tcPr>
          <w:p w14:paraId="439F2023">
            <w:pPr>
              <w:pStyle w:val="28"/>
              <w:bidi w:val="0"/>
            </w:pPr>
            <w:r>
              <w:rPr>
                <w:rFonts w:hint="eastAsia"/>
              </w:rPr>
              <w:t>右岸</w:t>
            </w:r>
          </w:p>
        </w:tc>
        <w:tc>
          <w:tcPr>
            <w:tcW w:w="262" w:type="pct"/>
            <w:vAlign w:val="center"/>
          </w:tcPr>
          <w:p w14:paraId="30540923">
            <w:pPr>
              <w:pStyle w:val="28"/>
              <w:bidi w:val="0"/>
            </w:pPr>
            <w:r>
              <w:t>1</w:t>
            </w:r>
            <w:r>
              <w:rPr>
                <w:rFonts w:hint="eastAsia"/>
              </w:rPr>
              <w:t>类</w:t>
            </w:r>
          </w:p>
        </w:tc>
        <w:tc>
          <w:tcPr>
            <w:tcW w:w="809" w:type="pct"/>
            <w:vMerge w:val="continue"/>
            <w:vAlign w:val="center"/>
          </w:tcPr>
          <w:p w14:paraId="18271E20">
            <w:pPr>
              <w:pStyle w:val="28"/>
              <w:bidi w:val="0"/>
            </w:pPr>
          </w:p>
        </w:tc>
        <w:tc>
          <w:tcPr>
            <w:tcW w:w="208" w:type="pct"/>
            <w:vAlign w:val="center"/>
          </w:tcPr>
          <w:p w14:paraId="040935C7">
            <w:pPr>
              <w:pStyle w:val="28"/>
              <w:bidi w:val="0"/>
            </w:pPr>
            <w:r>
              <w:t>53.4</w:t>
            </w:r>
          </w:p>
        </w:tc>
        <w:tc>
          <w:tcPr>
            <w:tcW w:w="211" w:type="pct"/>
            <w:vAlign w:val="center"/>
          </w:tcPr>
          <w:p w14:paraId="31077C0C">
            <w:pPr>
              <w:pStyle w:val="28"/>
              <w:bidi w:val="0"/>
            </w:pPr>
            <w:r>
              <w:t>41.4</w:t>
            </w:r>
          </w:p>
        </w:tc>
        <w:tc>
          <w:tcPr>
            <w:tcW w:w="208" w:type="pct"/>
            <w:vAlign w:val="center"/>
          </w:tcPr>
          <w:p w14:paraId="1ECB399C">
            <w:pPr>
              <w:pStyle w:val="28"/>
              <w:bidi w:val="0"/>
            </w:pPr>
            <w:r>
              <w:t>55</w:t>
            </w:r>
          </w:p>
        </w:tc>
        <w:tc>
          <w:tcPr>
            <w:tcW w:w="211" w:type="pct"/>
            <w:vAlign w:val="center"/>
          </w:tcPr>
          <w:p w14:paraId="7A9C3DF5">
            <w:pPr>
              <w:pStyle w:val="28"/>
              <w:bidi w:val="0"/>
            </w:pPr>
            <w:r>
              <w:t>45</w:t>
            </w:r>
          </w:p>
        </w:tc>
        <w:tc>
          <w:tcPr>
            <w:tcW w:w="276" w:type="pct"/>
            <w:vAlign w:val="center"/>
          </w:tcPr>
          <w:p w14:paraId="00235438">
            <w:pPr>
              <w:pStyle w:val="28"/>
              <w:bidi w:val="0"/>
            </w:pPr>
            <w:r>
              <w:t>64.3</w:t>
            </w:r>
          </w:p>
        </w:tc>
        <w:tc>
          <w:tcPr>
            <w:tcW w:w="257" w:type="pct"/>
            <w:vAlign w:val="center"/>
          </w:tcPr>
          <w:p w14:paraId="1D2CC22D">
            <w:pPr>
              <w:pStyle w:val="28"/>
              <w:bidi w:val="0"/>
            </w:pPr>
            <w:r>
              <w:t>44.3</w:t>
            </w:r>
          </w:p>
        </w:tc>
        <w:tc>
          <w:tcPr>
            <w:tcW w:w="257" w:type="pct"/>
            <w:vAlign w:val="center"/>
          </w:tcPr>
          <w:p w14:paraId="39665D23">
            <w:pPr>
              <w:pStyle w:val="28"/>
              <w:bidi w:val="0"/>
            </w:pPr>
            <w:r>
              <w:t>53.9</w:t>
            </w:r>
          </w:p>
        </w:tc>
        <w:tc>
          <w:tcPr>
            <w:tcW w:w="257" w:type="pct"/>
            <w:vAlign w:val="center"/>
          </w:tcPr>
          <w:p w14:paraId="5486BC80">
            <w:pPr>
              <w:pStyle w:val="28"/>
              <w:bidi w:val="0"/>
            </w:pPr>
            <w:r>
              <w:t>0.5</w:t>
            </w:r>
          </w:p>
        </w:tc>
        <w:tc>
          <w:tcPr>
            <w:tcW w:w="209" w:type="pct"/>
            <w:vAlign w:val="center"/>
          </w:tcPr>
          <w:p w14:paraId="71A779BE">
            <w:pPr>
              <w:pStyle w:val="28"/>
              <w:bidi w:val="0"/>
            </w:pPr>
            <w:r>
              <w:t>达标</w:t>
            </w:r>
          </w:p>
        </w:tc>
      </w:tr>
      <w:tr w14:paraId="344963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54533530">
            <w:pPr>
              <w:pStyle w:val="28"/>
              <w:bidi w:val="0"/>
            </w:pPr>
            <w:r>
              <w:rPr>
                <w:rFonts w:hint="eastAsia"/>
              </w:rPr>
              <w:t>寿县陶圩中学</w:t>
            </w:r>
          </w:p>
        </w:tc>
        <w:tc>
          <w:tcPr>
            <w:tcW w:w="511" w:type="pct"/>
            <w:shd w:val="clear" w:color="auto" w:fill="FFFFFF"/>
            <w:vAlign w:val="center"/>
          </w:tcPr>
          <w:p w14:paraId="0D11694B">
            <w:pPr>
              <w:pStyle w:val="28"/>
              <w:bidi w:val="0"/>
            </w:pPr>
            <w:r>
              <w:rPr>
                <w:rFonts w:hint="eastAsia"/>
              </w:rPr>
              <w:t>渠道整治</w:t>
            </w:r>
          </w:p>
        </w:tc>
        <w:tc>
          <w:tcPr>
            <w:tcW w:w="366" w:type="pct"/>
            <w:vAlign w:val="center"/>
          </w:tcPr>
          <w:p w14:paraId="28926B86">
            <w:pPr>
              <w:pStyle w:val="28"/>
              <w:bidi w:val="0"/>
            </w:pPr>
            <w:r>
              <w:t>180</w:t>
            </w:r>
          </w:p>
        </w:tc>
        <w:tc>
          <w:tcPr>
            <w:tcW w:w="268" w:type="pct"/>
            <w:vAlign w:val="center"/>
          </w:tcPr>
          <w:p w14:paraId="2287FE76">
            <w:pPr>
              <w:pStyle w:val="28"/>
              <w:bidi w:val="0"/>
            </w:pPr>
            <w:r>
              <w:rPr>
                <w:rFonts w:hint="eastAsia"/>
              </w:rPr>
              <w:t>右岸</w:t>
            </w:r>
          </w:p>
        </w:tc>
        <w:tc>
          <w:tcPr>
            <w:tcW w:w="262" w:type="pct"/>
            <w:vAlign w:val="center"/>
          </w:tcPr>
          <w:p w14:paraId="19A2E71E">
            <w:pPr>
              <w:pStyle w:val="28"/>
              <w:bidi w:val="0"/>
            </w:pPr>
            <w:r>
              <w:t>1</w:t>
            </w:r>
            <w:r>
              <w:rPr>
                <w:rFonts w:hint="eastAsia"/>
              </w:rPr>
              <w:t>类</w:t>
            </w:r>
          </w:p>
        </w:tc>
        <w:tc>
          <w:tcPr>
            <w:tcW w:w="809" w:type="pct"/>
            <w:vAlign w:val="center"/>
          </w:tcPr>
          <w:p w14:paraId="676A6058">
            <w:pPr>
              <w:pStyle w:val="28"/>
              <w:bidi w:val="0"/>
            </w:pPr>
            <w:r>
              <w:rPr>
                <w:rFonts w:hint="eastAsia"/>
              </w:rPr>
              <w:t>采用低噪声设备，施工机械远离居民住宅</w:t>
            </w:r>
          </w:p>
        </w:tc>
        <w:tc>
          <w:tcPr>
            <w:tcW w:w="208" w:type="pct"/>
            <w:vAlign w:val="center"/>
          </w:tcPr>
          <w:p w14:paraId="2E952331">
            <w:pPr>
              <w:pStyle w:val="28"/>
              <w:bidi w:val="0"/>
            </w:pPr>
            <w:r>
              <w:t>53.4</w:t>
            </w:r>
          </w:p>
        </w:tc>
        <w:tc>
          <w:tcPr>
            <w:tcW w:w="211" w:type="pct"/>
            <w:vAlign w:val="center"/>
          </w:tcPr>
          <w:p w14:paraId="7158D450">
            <w:pPr>
              <w:pStyle w:val="28"/>
              <w:bidi w:val="0"/>
            </w:pPr>
            <w:r>
              <w:t>41.4</w:t>
            </w:r>
          </w:p>
        </w:tc>
        <w:tc>
          <w:tcPr>
            <w:tcW w:w="208" w:type="pct"/>
            <w:vAlign w:val="center"/>
          </w:tcPr>
          <w:p w14:paraId="3CD607AD">
            <w:pPr>
              <w:pStyle w:val="28"/>
              <w:bidi w:val="0"/>
            </w:pPr>
            <w:r>
              <w:t>55</w:t>
            </w:r>
          </w:p>
        </w:tc>
        <w:tc>
          <w:tcPr>
            <w:tcW w:w="211" w:type="pct"/>
            <w:vAlign w:val="center"/>
          </w:tcPr>
          <w:p w14:paraId="4FD7A525">
            <w:pPr>
              <w:pStyle w:val="28"/>
              <w:bidi w:val="0"/>
            </w:pPr>
            <w:r>
              <w:t>45</w:t>
            </w:r>
          </w:p>
        </w:tc>
        <w:tc>
          <w:tcPr>
            <w:tcW w:w="276" w:type="pct"/>
            <w:vAlign w:val="center"/>
          </w:tcPr>
          <w:p w14:paraId="644C6725">
            <w:pPr>
              <w:pStyle w:val="28"/>
              <w:bidi w:val="0"/>
            </w:pPr>
            <w:r>
              <w:t>45.1</w:t>
            </w:r>
          </w:p>
        </w:tc>
        <w:tc>
          <w:tcPr>
            <w:tcW w:w="257" w:type="pct"/>
            <w:vAlign w:val="center"/>
          </w:tcPr>
          <w:p w14:paraId="7EA0E199">
            <w:pPr>
              <w:pStyle w:val="28"/>
              <w:bidi w:val="0"/>
            </w:pPr>
            <w:r>
              <w:t>38.1</w:t>
            </w:r>
          </w:p>
        </w:tc>
        <w:tc>
          <w:tcPr>
            <w:tcW w:w="257" w:type="pct"/>
            <w:vAlign w:val="center"/>
          </w:tcPr>
          <w:p w14:paraId="371BB5D2">
            <w:pPr>
              <w:pStyle w:val="28"/>
              <w:bidi w:val="0"/>
            </w:pPr>
            <w:r>
              <w:t>53.5</w:t>
            </w:r>
          </w:p>
        </w:tc>
        <w:tc>
          <w:tcPr>
            <w:tcW w:w="257" w:type="pct"/>
            <w:vAlign w:val="center"/>
          </w:tcPr>
          <w:p w14:paraId="121BFEC9">
            <w:pPr>
              <w:pStyle w:val="28"/>
              <w:bidi w:val="0"/>
            </w:pPr>
            <w:r>
              <w:t>0.1</w:t>
            </w:r>
          </w:p>
        </w:tc>
        <w:tc>
          <w:tcPr>
            <w:tcW w:w="209" w:type="pct"/>
            <w:vAlign w:val="center"/>
          </w:tcPr>
          <w:p w14:paraId="5A17C51C">
            <w:pPr>
              <w:pStyle w:val="28"/>
              <w:bidi w:val="0"/>
            </w:pPr>
            <w:r>
              <w:t>达标</w:t>
            </w:r>
          </w:p>
        </w:tc>
      </w:tr>
      <w:tr w14:paraId="6F545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7D513A45">
            <w:pPr>
              <w:pStyle w:val="28"/>
              <w:bidi w:val="0"/>
            </w:pPr>
            <w:r>
              <w:rPr>
                <w:rFonts w:hint="eastAsia"/>
              </w:rPr>
              <w:t>魏家岗</w:t>
            </w:r>
          </w:p>
        </w:tc>
        <w:tc>
          <w:tcPr>
            <w:tcW w:w="511" w:type="pct"/>
            <w:shd w:val="clear" w:color="auto" w:fill="FFFFFF"/>
            <w:vAlign w:val="center"/>
          </w:tcPr>
          <w:p w14:paraId="7248A279">
            <w:pPr>
              <w:pStyle w:val="28"/>
              <w:bidi w:val="0"/>
            </w:pPr>
            <w:r>
              <w:rPr>
                <w:rFonts w:hint="eastAsia"/>
              </w:rPr>
              <w:t>进水涵拆建</w:t>
            </w:r>
          </w:p>
        </w:tc>
        <w:tc>
          <w:tcPr>
            <w:tcW w:w="366" w:type="pct"/>
            <w:vAlign w:val="center"/>
          </w:tcPr>
          <w:p w14:paraId="3D7E56B5">
            <w:pPr>
              <w:pStyle w:val="28"/>
              <w:bidi w:val="0"/>
            </w:pPr>
            <w:r>
              <w:t>20</w:t>
            </w:r>
          </w:p>
        </w:tc>
        <w:tc>
          <w:tcPr>
            <w:tcW w:w="268" w:type="pct"/>
            <w:vAlign w:val="center"/>
          </w:tcPr>
          <w:p w14:paraId="378178DF">
            <w:pPr>
              <w:pStyle w:val="28"/>
              <w:bidi w:val="0"/>
            </w:pPr>
            <w:r>
              <w:rPr>
                <w:rFonts w:hint="eastAsia"/>
              </w:rPr>
              <w:t>左岸</w:t>
            </w:r>
          </w:p>
        </w:tc>
        <w:tc>
          <w:tcPr>
            <w:tcW w:w="262" w:type="pct"/>
            <w:vAlign w:val="center"/>
          </w:tcPr>
          <w:p w14:paraId="12EC4895">
            <w:pPr>
              <w:pStyle w:val="28"/>
              <w:bidi w:val="0"/>
            </w:pPr>
            <w:r>
              <w:t>1</w:t>
            </w:r>
            <w:r>
              <w:rPr>
                <w:rFonts w:hint="eastAsia"/>
              </w:rPr>
              <w:t>类</w:t>
            </w:r>
          </w:p>
        </w:tc>
        <w:tc>
          <w:tcPr>
            <w:tcW w:w="809" w:type="pct"/>
            <w:vMerge w:val="restart"/>
            <w:vAlign w:val="center"/>
          </w:tcPr>
          <w:p w14:paraId="458288D7">
            <w:pPr>
              <w:pStyle w:val="28"/>
              <w:bidi w:val="0"/>
            </w:pPr>
            <w:r>
              <w:rPr>
                <w:rFonts w:hint="eastAsia"/>
              </w:rPr>
              <w:t>采用低噪声设备，施工机械远离居民住宅，设置双层移动声屏障</w:t>
            </w:r>
          </w:p>
        </w:tc>
        <w:tc>
          <w:tcPr>
            <w:tcW w:w="208" w:type="pct"/>
            <w:vAlign w:val="center"/>
          </w:tcPr>
          <w:p w14:paraId="57359547">
            <w:pPr>
              <w:pStyle w:val="28"/>
              <w:bidi w:val="0"/>
            </w:pPr>
            <w:r>
              <w:t>53.4</w:t>
            </w:r>
          </w:p>
        </w:tc>
        <w:tc>
          <w:tcPr>
            <w:tcW w:w="211" w:type="pct"/>
            <w:vAlign w:val="center"/>
          </w:tcPr>
          <w:p w14:paraId="4CAE3D4E">
            <w:pPr>
              <w:pStyle w:val="28"/>
              <w:bidi w:val="0"/>
            </w:pPr>
            <w:r>
              <w:t>41.4</w:t>
            </w:r>
          </w:p>
        </w:tc>
        <w:tc>
          <w:tcPr>
            <w:tcW w:w="208" w:type="pct"/>
            <w:vAlign w:val="center"/>
          </w:tcPr>
          <w:p w14:paraId="5C9184C9">
            <w:pPr>
              <w:pStyle w:val="28"/>
              <w:bidi w:val="0"/>
            </w:pPr>
            <w:r>
              <w:t>55</w:t>
            </w:r>
          </w:p>
        </w:tc>
        <w:tc>
          <w:tcPr>
            <w:tcW w:w="211" w:type="pct"/>
            <w:vAlign w:val="center"/>
          </w:tcPr>
          <w:p w14:paraId="4C602940">
            <w:pPr>
              <w:pStyle w:val="28"/>
              <w:bidi w:val="0"/>
            </w:pPr>
            <w:r>
              <w:t>45</w:t>
            </w:r>
          </w:p>
        </w:tc>
        <w:tc>
          <w:tcPr>
            <w:tcW w:w="276" w:type="pct"/>
            <w:vAlign w:val="center"/>
          </w:tcPr>
          <w:p w14:paraId="0B101A5C">
            <w:pPr>
              <w:pStyle w:val="28"/>
              <w:bidi w:val="0"/>
            </w:pPr>
            <w:r>
              <w:t>67.2</w:t>
            </w:r>
          </w:p>
        </w:tc>
        <w:tc>
          <w:tcPr>
            <w:tcW w:w="257" w:type="pct"/>
            <w:vAlign w:val="center"/>
          </w:tcPr>
          <w:p w14:paraId="2D09A609">
            <w:pPr>
              <w:pStyle w:val="28"/>
              <w:bidi w:val="0"/>
            </w:pPr>
            <w:r>
              <w:t>47.2</w:t>
            </w:r>
          </w:p>
        </w:tc>
        <w:tc>
          <w:tcPr>
            <w:tcW w:w="257" w:type="pct"/>
            <w:vAlign w:val="center"/>
          </w:tcPr>
          <w:p w14:paraId="05654F61">
            <w:pPr>
              <w:pStyle w:val="28"/>
              <w:bidi w:val="0"/>
            </w:pPr>
            <w:r>
              <w:t>54.3</w:t>
            </w:r>
          </w:p>
        </w:tc>
        <w:tc>
          <w:tcPr>
            <w:tcW w:w="257" w:type="pct"/>
            <w:vAlign w:val="center"/>
          </w:tcPr>
          <w:p w14:paraId="11C04280">
            <w:pPr>
              <w:pStyle w:val="28"/>
              <w:bidi w:val="0"/>
            </w:pPr>
            <w:r>
              <w:t>0.9</w:t>
            </w:r>
          </w:p>
        </w:tc>
        <w:tc>
          <w:tcPr>
            <w:tcW w:w="209" w:type="pct"/>
            <w:vAlign w:val="center"/>
          </w:tcPr>
          <w:p w14:paraId="083345F2">
            <w:pPr>
              <w:pStyle w:val="28"/>
              <w:bidi w:val="0"/>
            </w:pPr>
            <w:r>
              <w:t>达标</w:t>
            </w:r>
          </w:p>
        </w:tc>
      </w:tr>
      <w:tr w14:paraId="4D7EFD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537F887F">
            <w:pPr>
              <w:pStyle w:val="28"/>
              <w:bidi w:val="0"/>
            </w:pPr>
            <w:r>
              <w:rPr>
                <w:rFonts w:hint="eastAsia"/>
              </w:rPr>
              <w:t>李家大圩</w:t>
            </w:r>
          </w:p>
        </w:tc>
        <w:tc>
          <w:tcPr>
            <w:tcW w:w="511" w:type="pct"/>
            <w:shd w:val="clear" w:color="auto" w:fill="FFFFFF"/>
            <w:vAlign w:val="center"/>
          </w:tcPr>
          <w:p w14:paraId="1FBC40B5">
            <w:pPr>
              <w:pStyle w:val="28"/>
              <w:bidi w:val="0"/>
            </w:pPr>
            <w:r>
              <w:rPr>
                <w:rFonts w:hint="eastAsia"/>
              </w:rPr>
              <w:t>机耕桥拆建</w:t>
            </w:r>
          </w:p>
        </w:tc>
        <w:tc>
          <w:tcPr>
            <w:tcW w:w="366" w:type="pct"/>
            <w:vAlign w:val="center"/>
          </w:tcPr>
          <w:p w14:paraId="33BD6430">
            <w:pPr>
              <w:pStyle w:val="28"/>
              <w:bidi w:val="0"/>
            </w:pPr>
            <w:r>
              <w:t>30</w:t>
            </w:r>
          </w:p>
        </w:tc>
        <w:tc>
          <w:tcPr>
            <w:tcW w:w="268" w:type="pct"/>
            <w:vAlign w:val="center"/>
          </w:tcPr>
          <w:p w14:paraId="1651E74A">
            <w:pPr>
              <w:pStyle w:val="28"/>
              <w:bidi w:val="0"/>
            </w:pPr>
            <w:r>
              <w:rPr>
                <w:rFonts w:hint="eastAsia"/>
              </w:rPr>
              <w:t>左岸</w:t>
            </w:r>
          </w:p>
        </w:tc>
        <w:tc>
          <w:tcPr>
            <w:tcW w:w="262" w:type="pct"/>
            <w:vAlign w:val="center"/>
          </w:tcPr>
          <w:p w14:paraId="71F26467">
            <w:pPr>
              <w:pStyle w:val="28"/>
              <w:bidi w:val="0"/>
            </w:pPr>
            <w:r>
              <w:t>1</w:t>
            </w:r>
            <w:r>
              <w:rPr>
                <w:rFonts w:hint="eastAsia"/>
              </w:rPr>
              <w:t>类</w:t>
            </w:r>
          </w:p>
        </w:tc>
        <w:tc>
          <w:tcPr>
            <w:tcW w:w="809" w:type="pct"/>
            <w:vMerge w:val="continue"/>
            <w:vAlign w:val="center"/>
          </w:tcPr>
          <w:p w14:paraId="43981296">
            <w:pPr>
              <w:pStyle w:val="28"/>
              <w:bidi w:val="0"/>
            </w:pPr>
          </w:p>
        </w:tc>
        <w:tc>
          <w:tcPr>
            <w:tcW w:w="208" w:type="pct"/>
            <w:vAlign w:val="center"/>
          </w:tcPr>
          <w:p w14:paraId="4116E21A">
            <w:pPr>
              <w:pStyle w:val="28"/>
              <w:bidi w:val="0"/>
            </w:pPr>
            <w:r>
              <w:t>53.4</w:t>
            </w:r>
          </w:p>
        </w:tc>
        <w:tc>
          <w:tcPr>
            <w:tcW w:w="211" w:type="pct"/>
            <w:vAlign w:val="center"/>
          </w:tcPr>
          <w:p w14:paraId="3ED80C76">
            <w:pPr>
              <w:pStyle w:val="28"/>
              <w:bidi w:val="0"/>
            </w:pPr>
            <w:r>
              <w:t>41.4</w:t>
            </w:r>
          </w:p>
        </w:tc>
        <w:tc>
          <w:tcPr>
            <w:tcW w:w="208" w:type="pct"/>
            <w:vAlign w:val="center"/>
          </w:tcPr>
          <w:p w14:paraId="09946723">
            <w:pPr>
              <w:pStyle w:val="28"/>
              <w:bidi w:val="0"/>
            </w:pPr>
            <w:r>
              <w:t>55</w:t>
            </w:r>
          </w:p>
        </w:tc>
        <w:tc>
          <w:tcPr>
            <w:tcW w:w="211" w:type="pct"/>
            <w:vAlign w:val="center"/>
          </w:tcPr>
          <w:p w14:paraId="4E121F5E">
            <w:pPr>
              <w:pStyle w:val="28"/>
              <w:bidi w:val="0"/>
            </w:pPr>
            <w:r>
              <w:t>45</w:t>
            </w:r>
          </w:p>
        </w:tc>
        <w:tc>
          <w:tcPr>
            <w:tcW w:w="276" w:type="pct"/>
            <w:vAlign w:val="center"/>
          </w:tcPr>
          <w:p w14:paraId="6FB13A49">
            <w:pPr>
              <w:pStyle w:val="28"/>
              <w:bidi w:val="0"/>
            </w:pPr>
            <w:r>
              <w:t>63.7</w:t>
            </w:r>
          </w:p>
        </w:tc>
        <w:tc>
          <w:tcPr>
            <w:tcW w:w="257" w:type="pct"/>
            <w:vAlign w:val="center"/>
          </w:tcPr>
          <w:p w14:paraId="41CB35CB">
            <w:pPr>
              <w:pStyle w:val="28"/>
              <w:bidi w:val="0"/>
            </w:pPr>
            <w:r>
              <w:t>43.7</w:t>
            </w:r>
          </w:p>
        </w:tc>
        <w:tc>
          <w:tcPr>
            <w:tcW w:w="257" w:type="pct"/>
            <w:vAlign w:val="center"/>
          </w:tcPr>
          <w:p w14:paraId="35BDCAD7">
            <w:pPr>
              <w:pStyle w:val="28"/>
              <w:bidi w:val="0"/>
            </w:pPr>
            <w:r>
              <w:t>53.8</w:t>
            </w:r>
          </w:p>
        </w:tc>
        <w:tc>
          <w:tcPr>
            <w:tcW w:w="257" w:type="pct"/>
            <w:vAlign w:val="center"/>
          </w:tcPr>
          <w:p w14:paraId="7BEF5BEE">
            <w:pPr>
              <w:pStyle w:val="28"/>
              <w:bidi w:val="0"/>
            </w:pPr>
            <w:r>
              <w:t>0.4</w:t>
            </w:r>
          </w:p>
        </w:tc>
        <w:tc>
          <w:tcPr>
            <w:tcW w:w="209" w:type="pct"/>
            <w:vAlign w:val="center"/>
          </w:tcPr>
          <w:p w14:paraId="7205BD7D">
            <w:pPr>
              <w:pStyle w:val="28"/>
              <w:bidi w:val="0"/>
            </w:pPr>
            <w:r>
              <w:t>达标</w:t>
            </w:r>
          </w:p>
        </w:tc>
      </w:tr>
      <w:tr w14:paraId="006F4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00ACB01D">
            <w:pPr>
              <w:pStyle w:val="28"/>
              <w:bidi w:val="0"/>
            </w:pPr>
            <w:r>
              <w:rPr>
                <w:rFonts w:hint="eastAsia"/>
              </w:rPr>
              <w:t>井圩</w:t>
            </w:r>
          </w:p>
        </w:tc>
        <w:tc>
          <w:tcPr>
            <w:tcW w:w="511" w:type="pct"/>
            <w:shd w:val="clear" w:color="auto" w:fill="FFFFFF"/>
            <w:vAlign w:val="center"/>
          </w:tcPr>
          <w:p w14:paraId="16B62548">
            <w:pPr>
              <w:pStyle w:val="28"/>
              <w:bidi w:val="0"/>
            </w:pPr>
            <w:r>
              <w:rPr>
                <w:rFonts w:hint="eastAsia"/>
              </w:rPr>
              <w:t>机耕桥拆建</w:t>
            </w:r>
          </w:p>
        </w:tc>
        <w:tc>
          <w:tcPr>
            <w:tcW w:w="366" w:type="pct"/>
            <w:vAlign w:val="center"/>
          </w:tcPr>
          <w:p w14:paraId="3BC7327A">
            <w:pPr>
              <w:pStyle w:val="28"/>
              <w:bidi w:val="0"/>
            </w:pPr>
            <w:r>
              <w:t>20</w:t>
            </w:r>
          </w:p>
        </w:tc>
        <w:tc>
          <w:tcPr>
            <w:tcW w:w="268" w:type="pct"/>
            <w:vAlign w:val="center"/>
          </w:tcPr>
          <w:p w14:paraId="7C2EFBB3">
            <w:pPr>
              <w:pStyle w:val="28"/>
              <w:bidi w:val="0"/>
            </w:pPr>
            <w:r>
              <w:rPr>
                <w:rFonts w:hint="eastAsia"/>
              </w:rPr>
              <w:t>左岸</w:t>
            </w:r>
          </w:p>
        </w:tc>
        <w:tc>
          <w:tcPr>
            <w:tcW w:w="262" w:type="pct"/>
            <w:vAlign w:val="center"/>
          </w:tcPr>
          <w:p w14:paraId="6FF62766">
            <w:pPr>
              <w:pStyle w:val="28"/>
              <w:bidi w:val="0"/>
            </w:pPr>
            <w:r>
              <w:t>1</w:t>
            </w:r>
            <w:r>
              <w:rPr>
                <w:rFonts w:hint="eastAsia"/>
              </w:rPr>
              <w:t>类</w:t>
            </w:r>
          </w:p>
        </w:tc>
        <w:tc>
          <w:tcPr>
            <w:tcW w:w="809" w:type="pct"/>
            <w:vMerge w:val="continue"/>
            <w:vAlign w:val="center"/>
          </w:tcPr>
          <w:p w14:paraId="68BE533E">
            <w:pPr>
              <w:pStyle w:val="28"/>
              <w:bidi w:val="0"/>
            </w:pPr>
          </w:p>
        </w:tc>
        <w:tc>
          <w:tcPr>
            <w:tcW w:w="208" w:type="pct"/>
            <w:vAlign w:val="center"/>
          </w:tcPr>
          <w:p w14:paraId="6C66F213">
            <w:pPr>
              <w:pStyle w:val="28"/>
              <w:bidi w:val="0"/>
            </w:pPr>
            <w:r>
              <w:t>53.4</w:t>
            </w:r>
          </w:p>
        </w:tc>
        <w:tc>
          <w:tcPr>
            <w:tcW w:w="211" w:type="pct"/>
            <w:vAlign w:val="center"/>
          </w:tcPr>
          <w:p w14:paraId="09FCDBF4">
            <w:pPr>
              <w:pStyle w:val="28"/>
              <w:bidi w:val="0"/>
            </w:pPr>
            <w:r>
              <w:t>41.4</w:t>
            </w:r>
          </w:p>
        </w:tc>
        <w:tc>
          <w:tcPr>
            <w:tcW w:w="208" w:type="pct"/>
            <w:vAlign w:val="center"/>
          </w:tcPr>
          <w:p w14:paraId="3821F8E4">
            <w:pPr>
              <w:pStyle w:val="28"/>
              <w:bidi w:val="0"/>
            </w:pPr>
            <w:r>
              <w:t>55</w:t>
            </w:r>
          </w:p>
        </w:tc>
        <w:tc>
          <w:tcPr>
            <w:tcW w:w="211" w:type="pct"/>
            <w:vAlign w:val="center"/>
          </w:tcPr>
          <w:p w14:paraId="17C2C083">
            <w:pPr>
              <w:pStyle w:val="28"/>
              <w:bidi w:val="0"/>
            </w:pPr>
            <w:r>
              <w:t>45</w:t>
            </w:r>
          </w:p>
        </w:tc>
        <w:tc>
          <w:tcPr>
            <w:tcW w:w="276" w:type="pct"/>
            <w:vAlign w:val="center"/>
          </w:tcPr>
          <w:p w14:paraId="730A6B4F">
            <w:pPr>
              <w:pStyle w:val="28"/>
              <w:bidi w:val="0"/>
            </w:pPr>
            <w:r>
              <w:t>67.2</w:t>
            </w:r>
          </w:p>
        </w:tc>
        <w:tc>
          <w:tcPr>
            <w:tcW w:w="257" w:type="pct"/>
            <w:vAlign w:val="center"/>
          </w:tcPr>
          <w:p w14:paraId="0AE8E9D8">
            <w:pPr>
              <w:pStyle w:val="28"/>
              <w:bidi w:val="0"/>
            </w:pPr>
            <w:r>
              <w:t>47.2</w:t>
            </w:r>
          </w:p>
        </w:tc>
        <w:tc>
          <w:tcPr>
            <w:tcW w:w="257" w:type="pct"/>
            <w:vAlign w:val="center"/>
          </w:tcPr>
          <w:p w14:paraId="1AD5D8E6">
            <w:pPr>
              <w:pStyle w:val="28"/>
              <w:bidi w:val="0"/>
            </w:pPr>
            <w:r>
              <w:t>54.3</w:t>
            </w:r>
          </w:p>
        </w:tc>
        <w:tc>
          <w:tcPr>
            <w:tcW w:w="257" w:type="pct"/>
            <w:vAlign w:val="center"/>
          </w:tcPr>
          <w:p w14:paraId="485B7017">
            <w:pPr>
              <w:pStyle w:val="28"/>
              <w:bidi w:val="0"/>
            </w:pPr>
            <w:r>
              <w:t>0.9</w:t>
            </w:r>
          </w:p>
        </w:tc>
        <w:tc>
          <w:tcPr>
            <w:tcW w:w="209" w:type="pct"/>
            <w:vAlign w:val="center"/>
          </w:tcPr>
          <w:p w14:paraId="55473220">
            <w:pPr>
              <w:pStyle w:val="28"/>
              <w:bidi w:val="0"/>
            </w:pPr>
            <w:r>
              <w:t>达标</w:t>
            </w:r>
          </w:p>
        </w:tc>
      </w:tr>
      <w:tr w14:paraId="3264CF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7CB3796E">
            <w:pPr>
              <w:pStyle w:val="28"/>
              <w:bidi w:val="0"/>
            </w:pPr>
            <w:r>
              <w:rPr>
                <w:rFonts w:hint="eastAsia"/>
              </w:rPr>
              <w:t>窑口街道</w:t>
            </w:r>
          </w:p>
        </w:tc>
        <w:tc>
          <w:tcPr>
            <w:tcW w:w="511" w:type="pct"/>
            <w:shd w:val="clear" w:color="auto" w:fill="FFFFFF"/>
            <w:vAlign w:val="center"/>
          </w:tcPr>
          <w:p w14:paraId="76BF6664">
            <w:pPr>
              <w:pStyle w:val="28"/>
              <w:bidi w:val="0"/>
            </w:pPr>
            <w:r>
              <w:rPr>
                <w:rFonts w:hint="eastAsia"/>
              </w:rPr>
              <w:t>节制闸拆建</w:t>
            </w:r>
          </w:p>
        </w:tc>
        <w:tc>
          <w:tcPr>
            <w:tcW w:w="366" w:type="pct"/>
            <w:vAlign w:val="center"/>
          </w:tcPr>
          <w:p w14:paraId="78A2EAE9">
            <w:pPr>
              <w:pStyle w:val="28"/>
              <w:bidi w:val="0"/>
            </w:pPr>
            <w:r>
              <w:t>20</w:t>
            </w:r>
          </w:p>
        </w:tc>
        <w:tc>
          <w:tcPr>
            <w:tcW w:w="268" w:type="pct"/>
            <w:vAlign w:val="center"/>
          </w:tcPr>
          <w:p w14:paraId="6AC1CBDB">
            <w:pPr>
              <w:pStyle w:val="28"/>
              <w:bidi w:val="0"/>
            </w:pPr>
            <w:r>
              <w:rPr>
                <w:rFonts w:hint="eastAsia"/>
              </w:rPr>
              <w:t>左岸</w:t>
            </w:r>
          </w:p>
        </w:tc>
        <w:tc>
          <w:tcPr>
            <w:tcW w:w="262" w:type="pct"/>
            <w:vAlign w:val="center"/>
          </w:tcPr>
          <w:p w14:paraId="3B371CEE">
            <w:pPr>
              <w:pStyle w:val="28"/>
              <w:bidi w:val="0"/>
            </w:pPr>
            <w:r>
              <w:t>2</w:t>
            </w:r>
            <w:r>
              <w:rPr>
                <w:rFonts w:hint="eastAsia"/>
              </w:rPr>
              <w:t>类</w:t>
            </w:r>
          </w:p>
        </w:tc>
        <w:tc>
          <w:tcPr>
            <w:tcW w:w="809" w:type="pct"/>
            <w:vMerge w:val="continue"/>
            <w:vAlign w:val="center"/>
          </w:tcPr>
          <w:p w14:paraId="0695E9E3">
            <w:pPr>
              <w:pStyle w:val="28"/>
              <w:bidi w:val="0"/>
            </w:pPr>
          </w:p>
        </w:tc>
        <w:tc>
          <w:tcPr>
            <w:tcW w:w="208" w:type="pct"/>
            <w:vAlign w:val="center"/>
          </w:tcPr>
          <w:p w14:paraId="2F5568ED">
            <w:pPr>
              <w:pStyle w:val="28"/>
              <w:bidi w:val="0"/>
            </w:pPr>
            <w:r>
              <w:t>53.4</w:t>
            </w:r>
          </w:p>
        </w:tc>
        <w:tc>
          <w:tcPr>
            <w:tcW w:w="211" w:type="pct"/>
            <w:vAlign w:val="center"/>
          </w:tcPr>
          <w:p w14:paraId="029AEC2C">
            <w:pPr>
              <w:pStyle w:val="28"/>
              <w:bidi w:val="0"/>
            </w:pPr>
            <w:r>
              <w:t>41.4</w:t>
            </w:r>
          </w:p>
        </w:tc>
        <w:tc>
          <w:tcPr>
            <w:tcW w:w="208" w:type="pct"/>
            <w:vAlign w:val="center"/>
          </w:tcPr>
          <w:p w14:paraId="6E416A8B">
            <w:pPr>
              <w:pStyle w:val="28"/>
              <w:bidi w:val="0"/>
            </w:pPr>
            <w:r>
              <w:t>60</w:t>
            </w:r>
          </w:p>
        </w:tc>
        <w:tc>
          <w:tcPr>
            <w:tcW w:w="211" w:type="pct"/>
            <w:vAlign w:val="center"/>
          </w:tcPr>
          <w:p w14:paraId="6EE8EC3C">
            <w:pPr>
              <w:pStyle w:val="28"/>
              <w:bidi w:val="0"/>
            </w:pPr>
            <w:r>
              <w:t>50</w:t>
            </w:r>
          </w:p>
        </w:tc>
        <w:tc>
          <w:tcPr>
            <w:tcW w:w="276" w:type="pct"/>
            <w:vAlign w:val="center"/>
          </w:tcPr>
          <w:p w14:paraId="146BEABA">
            <w:pPr>
              <w:pStyle w:val="28"/>
              <w:bidi w:val="0"/>
            </w:pPr>
            <w:r>
              <w:t>67.2</w:t>
            </w:r>
          </w:p>
        </w:tc>
        <w:tc>
          <w:tcPr>
            <w:tcW w:w="257" w:type="pct"/>
            <w:vAlign w:val="center"/>
          </w:tcPr>
          <w:p w14:paraId="5BE53EFB">
            <w:pPr>
              <w:pStyle w:val="28"/>
              <w:bidi w:val="0"/>
            </w:pPr>
            <w:r>
              <w:t>47.2</w:t>
            </w:r>
          </w:p>
        </w:tc>
        <w:tc>
          <w:tcPr>
            <w:tcW w:w="257" w:type="pct"/>
            <w:vAlign w:val="center"/>
          </w:tcPr>
          <w:p w14:paraId="4C0449BE">
            <w:pPr>
              <w:pStyle w:val="28"/>
              <w:bidi w:val="0"/>
            </w:pPr>
            <w:r>
              <w:t>54.3</w:t>
            </w:r>
          </w:p>
        </w:tc>
        <w:tc>
          <w:tcPr>
            <w:tcW w:w="257" w:type="pct"/>
            <w:vAlign w:val="center"/>
          </w:tcPr>
          <w:p w14:paraId="4DE01C2D">
            <w:pPr>
              <w:pStyle w:val="28"/>
              <w:bidi w:val="0"/>
            </w:pPr>
            <w:r>
              <w:t>0.9</w:t>
            </w:r>
          </w:p>
        </w:tc>
        <w:tc>
          <w:tcPr>
            <w:tcW w:w="209" w:type="pct"/>
            <w:vAlign w:val="center"/>
          </w:tcPr>
          <w:p w14:paraId="26B8A612">
            <w:pPr>
              <w:pStyle w:val="28"/>
              <w:bidi w:val="0"/>
            </w:pPr>
            <w:r>
              <w:t>达标</w:t>
            </w:r>
          </w:p>
        </w:tc>
      </w:tr>
      <w:tr w14:paraId="7825C8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F7F7928">
            <w:pPr>
              <w:pStyle w:val="28"/>
              <w:bidi w:val="0"/>
            </w:pPr>
            <w:r>
              <w:rPr>
                <w:rFonts w:hint="eastAsia"/>
              </w:rPr>
              <w:t>霍山迎宾府</w:t>
            </w:r>
          </w:p>
        </w:tc>
        <w:tc>
          <w:tcPr>
            <w:tcW w:w="511" w:type="pct"/>
            <w:vAlign w:val="center"/>
          </w:tcPr>
          <w:p w14:paraId="308E8648">
            <w:pPr>
              <w:pStyle w:val="28"/>
              <w:bidi w:val="0"/>
            </w:pPr>
            <w:r>
              <w:rPr>
                <w:rFonts w:hint="eastAsia"/>
              </w:rPr>
              <w:t>文家岩泄洪闸拆建</w:t>
            </w:r>
          </w:p>
        </w:tc>
        <w:tc>
          <w:tcPr>
            <w:tcW w:w="366" w:type="pct"/>
            <w:vAlign w:val="center"/>
          </w:tcPr>
          <w:p w14:paraId="1DE69558">
            <w:pPr>
              <w:pStyle w:val="28"/>
              <w:bidi w:val="0"/>
            </w:pPr>
            <w:r>
              <w:t>125</w:t>
            </w:r>
          </w:p>
        </w:tc>
        <w:tc>
          <w:tcPr>
            <w:tcW w:w="268" w:type="pct"/>
            <w:vAlign w:val="center"/>
          </w:tcPr>
          <w:p w14:paraId="0480ADA9">
            <w:pPr>
              <w:pStyle w:val="28"/>
              <w:bidi w:val="0"/>
            </w:pPr>
            <w:r>
              <w:rPr>
                <w:rFonts w:hint="eastAsia"/>
              </w:rPr>
              <w:t>左岸</w:t>
            </w:r>
          </w:p>
        </w:tc>
        <w:tc>
          <w:tcPr>
            <w:tcW w:w="262" w:type="pct"/>
            <w:vAlign w:val="center"/>
          </w:tcPr>
          <w:p w14:paraId="52AF5674">
            <w:pPr>
              <w:pStyle w:val="28"/>
              <w:bidi w:val="0"/>
            </w:pPr>
            <w:r>
              <w:t>1</w:t>
            </w:r>
            <w:r>
              <w:rPr>
                <w:rFonts w:hint="eastAsia"/>
              </w:rPr>
              <w:t>类</w:t>
            </w:r>
          </w:p>
        </w:tc>
        <w:tc>
          <w:tcPr>
            <w:tcW w:w="809" w:type="pct"/>
            <w:vMerge w:val="restart"/>
            <w:vAlign w:val="center"/>
          </w:tcPr>
          <w:p w14:paraId="1BDD9F86">
            <w:pPr>
              <w:pStyle w:val="28"/>
              <w:bidi w:val="0"/>
            </w:pPr>
            <w:r>
              <w:rPr>
                <w:rFonts w:hint="eastAsia"/>
              </w:rPr>
              <w:t>采用低噪声设备，施工机械远离居民住宅</w:t>
            </w:r>
          </w:p>
        </w:tc>
        <w:tc>
          <w:tcPr>
            <w:tcW w:w="208" w:type="pct"/>
            <w:vAlign w:val="center"/>
          </w:tcPr>
          <w:p w14:paraId="66E56326">
            <w:pPr>
              <w:pStyle w:val="28"/>
              <w:bidi w:val="0"/>
            </w:pPr>
            <w:r>
              <w:rPr>
                <w:rFonts w:hint="eastAsia"/>
              </w:rPr>
              <w:t>51.4</w:t>
            </w:r>
          </w:p>
        </w:tc>
        <w:tc>
          <w:tcPr>
            <w:tcW w:w="211" w:type="pct"/>
            <w:vAlign w:val="center"/>
          </w:tcPr>
          <w:p w14:paraId="7D72D1BA">
            <w:pPr>
              <w:pStyle w:val="28"/>
              <w:bidi w:val="0"/>
            </w:pPr>
            <w:r>
              <w:t>41.9</w:t>
            </w:r>
          </w:p>
        </w:tc>
        <w:tc>
          <w:tcPr>
            <w:tcW w:w="208" w:type="pct"/>
            <w:vAlign w:val="center"/>
          </w:tcPr>
          <w:p w14:paraId="04C61F06">
            <w:pPr>
              <w:pStyle w:val="28"/>
              <w:bidi w:val="0"/>
            </w:pPr>
            <w:r>
              <w:t>55</w:t>
            </w:r>
          </w:p>
        </w:tc>
        <w:tc>
          <w:tcPr>
            <w:tcW w:w="211" w:type="pct"/>
            <w:vAlign w:val="center"/>
          </w:tcPr>
          <w:p w14:paraId="138DFA32">
            <w:pPr>
              <w:pStyle w:val="28"/>
              <w:bidi w:val="0"/>
            </w:pPr>
            <w:r>
              <w:t>45</w:t>
            </w:r>
          </w:p>
        </w:tc>
        <w:tc>
          <w:tcPr>
            <w:tcW w:w="276" w:type="pct"/>
            <w:vAlign w:val="center"/>
          </w:tcPr>
          <w:p w14:paraId="5FF7D476">
            <w:pPr>
              <w:pStyle w:val="28"/>
              <w:bidi w:val="0"/>
            </w:pPr>
            <w:r>
              <w:t>51.3</w:t>
            </w:r>
          </w:p>
        </w:tc>
        <w:tc>
          <w:tcPr>
            <w:tcW w:w="257" w:type="pct"/>
            <w:vAlign w:val="center"/>
          </w:tcPr>
          <w:p w14:paraId="4CA0E8CE">
            <w:pPr>
              <w:pStyle w:val="28"/>
              <w:bidi w:val="0"/>
            </w:pPr>
            <w:r>
              <w:t>44.3</w:t>
            </w:r>
          </w:p>
        </w:tc>
        <w:tc>
          <w:tcPr>
            <w:tcW w:w="257" w:type="pct"/>
            <w:vAlign w:val="center"/>
          </w:tcPr>
          <w:p w14:paraId="48DC33F3">
            <w:pPr>
              <w:pStyle w:val="28"/>
              <w:bidi w:val="0"/>
            </w:pPr>
            <w:r>
              <w:t>44.3</w:t>
            </w:r>
          </w:p>
        </w:tc>
        <w:tc>
          <w:tcPr>
            <w:tcW w:w="257" w:type="pct"/>
            <w:vAlign w:val="center"/>
          </w:tcPr>
          <w:p w14:paraId="320F346A">
            <w:pPr>
              <w:pStyle w:val="28"/>
              <w:bidi w:val="0"/>
            </w:pPr>
            <w:r>
              <w:t>39.1</w:t>
            </w:r>
          </w:p>
        </w:tc>
        <w:tc>
          <w:tcPr>
            <w:tcW w:w="209" w:type="pct"/>
            <w:vAlign w:val="center"/>
          </w:tcPr>
          <w:p w14:paraId="5CFA2F02">
            <w:pPr>
              <w:pStyle w:val="28"/>
              <w:bidi w:val="0"/>
            </w:pPr>
            <w:r>
              <w:t>达标</w:t>
            </w:r>
          </w:p>
        </w:tc>
      </w:tr>
      <w:tr w14:paraId="2D9F1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EC3D47C">
            <w:pPr>
              <w:pStyle w:val="28"/>
              <w:bidi w:val="0"/>
            </w:pPr>
            <w:r>
              <w:rPr>
                <w:rFonts w:hint="eastAsia"/>
              </w:rPr>
              <w:t>文家畈</w:t>
            </w:r>
          </w:p>
        </w:tc>
        <w:tc>
          <w:tcPr>
            <w:tcW w:w="511" w:type="pct"/>
            <w:vAlign w:val="center"/>
          </w:tcPr>
          <w:p w14:paraId="3439D526">
            <w:pPr>
              <w:pStyle w:val="28"/>
              <w:bidi w:val="0"/>
            </w:pPr>
            <w:r>
              <w:rPr>
                <w:rFonts w:hint="eastAsia"/>
              </w:rPr>
              <w:t>文家岩泄洪闸拆建</w:t>
            </w:r>
          </w:p>
        </w:tc>
        <w:tc>
          <w:tcPr>
            <w:tcW w:w="366" w:type="pct"/>
            <w:vAlign w:val="center"/>
          </w:tcPr>
          <w:p w14:paraId="39EFE61C">
            <w:pPr>
              <w:pStyle w:val="28"/>
              <w:bidi w:val="0"/>
            </w:pPr>
            <w:r>
              <w:t>91</w:t>
            </w:r>
          </w:p>
        </w:tc>
        <w:tc>
          <w:tcPr>
            <w:tcW w:w="268" w:type="pct"/>
            <w:vAlign w:val="center"/>
          </w:tcPr>
          <w:p w14:paraId="089A87C0">
            <w:pPr>
              <w:pStyle w:val="28"/>
              <w:bidi w:val="0"/>
            </w:pPr>
            <w:r>
              <w:rPr>
                <w:rFonts w:hint="eastAsia"/>
              </w:rPr>
              <w:t>右岸</w:t>
            </w:r>
          </w:p>
        </w:tc>
        <w:tc>
          <w:tcPr>
            <w:tcW w:w="262" w:type="pct"/>
            <w:vAlign w:val="center"/>
          </w:tcPr>
          <w:p w14:paraId="1789F965">
            <w:pPr>
              <w:pStyle w:val="28"/>
              <w:bidi w:val="0"/>
            </w:pPr>
            <w:r>
              <w:t>1</w:t>
            </w:r>
            <w:r>
              <w:rPr>
                <w:rFonts w:hint="eastAsia"/>
              </w:rPr>
              <w:t>类</w:t>
            </w:r>
          </w:p>
        </w:tc>
        <w:tc>
          <w:tcPr>
            <w:tcW w:w="809" w:type="pct"/>
            <w:vMerge w:val="continue"/>
            <w:vAlign w:val="center"/>
          </w:tcPr>
          <w:p w14:paraId="5923DB36">
            <w:pPr>
              <w:pStyle w:val="28"/>
              <w:bidi w:val="0"/>
            </w:pPr>
          </w:p>
        </w:tc>
        <w:tc>
          <w:tcPr>
            <w:tcW w:w="208" w:type="pct"/>
            <w:vAlign w:val="center"/>
          </w:tcPr>
          <w:p w14:paraId="1BDF6BC5">
            <w:pPr>
              <w:pStyle w:val="28"/>
              <w:bidi w:val="0"/>
            </w:pPr>
            <w:r>
              <w:rPr>
                <w:rFonts w:hint="eastAsia"/>
              </w:rPr>
              <w:t>51.4</w:t>
            </w:r>
          </w:p>
        </w:tc>
        <w:tc>
          <w:tcPr>
            <w:tcW w:w="211" w:type="pct"/>
            <w:vAlign w:val="center"/>
          </w:tcPr>
          <w:p w14:paraId="60B7C520">
            <w:pPr>
              <w:pStyle w:val="28"/>
              <w:bidi w:val="0"/>
            </w:pPr>
            <w:r>
              <w:t>41.9</w:t>
            </w:r>
          </w:p>
        </w:tc>
        <w:tc>
          <w:tcPr>
            <w:tcW w:w="208" w:type="pct"/>
            <w:vAlign w:val="center"/>
          </w:tcPr>
          <w:p w14:paraId="20464EF7">
            <w:pPr>
              <w:pStyle w:val="28"/>
              <w:bidi w:val="0"/>
            </w:pPr>
            <w:r>
              <w:t>55</w:t>
            </w:r>
          </w:p>
        </w:tc>
        <w:tc>
          <w:tcPr>
            <w:tcW w:w="211" w:type="pct"/>
            <w:vAlign w:val="center"/>
          </w:tcPr>
          <w:p w14:paraId="48D72891">
            <w:pPr>
              <w:pStyle w:val="28"/>
              <w:bidi w:val="0"/>
            </w:pPr>
            <w:r>
              <w:t>45</w:t>
            </w:r>
          </w:p>
        </w:tc>
        <w:tc>
          <w:tcPr>
            <w:tcW w:w="276" w:type="pct"/>
            <w:vAlign w:val="center"/>
          </w:tcPr>
          <w:p w14:paraId="3A004E05">
            <w:pPr>
              <w:pStyle w:val="28"/>
              <w:bidi w:val="0"/>
            </w:pPr>
            <w:r>
              <w:t>54.0</w:t>
            </w:r>
          </w:p>
        </w:tc>
        <w:tc>
          <w:tcPr>
            <w:tcW w:w="257" w:type="pct"/>
            <w:vAlign w:val="center"/>
          </w:tcPr>
          <w:p w14:paraId="76F840DD">
            <w:pPr>
              <w:pStyle w:val="28"/>
              <w:bidi w:val="0"/>
            </w:pPr>
            <w:r>
              <w:t>47.0</w:t>
            </w:r>
          </w:p>
        </w:tc>
        <w:tc>
          <w:tcPr>
            <w:tcW w:w="257" w:type="pct"/>
            <w:vAlign w:val="center"/>
          </w:tcPr>
          <w:p w14:paraId="2C8B807D">
            <w:pPr>
              <w:pStyle w:val="28"/>
              <w:bidi w:val="0"/>
            </w:pPr>
            <w:r>
              <w:t>47.0</w:t>
            </w:r>
          </w:p>
        </w:tc>
        <w:tc>
          <w:tcPr>
            <w:tcW w:w="257" w:type="pct"/>
            <w:vAlign w:val="center"/>
          </w:tcPr>
          <w:p w14:paraId="32D14B7F">
            <w:pPr>
              <w:pStyle w:val="28"/>
              <w:bidi w:val="0"/>
            </w:pPr>
            <w:r>
              <w:t>41.9</w:t>
            </w:r>
          </w:p>
        </w:tc>
        <w:tc>
          <w:tcPr>
            <w:tcW w:w="209" w:type="pct"/>
            <w:vAlign w:val="center"/>
          </w:tcPr>
          <w:p w14:paraId="1E64CC4A">
            <w:pPr>
              <w:pStyle w:val="28"/>
              <w:bidi w:val="0"/>
            </w:pPr>
            <w:r>
              <w:t>达标</w:t>
            </w:r>
          </w:p>
        </w:tc>
      </w:tr>
      <w:tr w14:paraId="083E6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26DFDFD">
            <w:pPr>
              <w:pStyle w:val="28"/>
              <w:bidi w:val="0"/>
            </w:pPr>
            <w:r>
              <w:rPr>
                <w:rFonts w:hint="eastAsia"/>
              </w:rPr>
              <w:t>旱龙头</w:t>
            </w:r>
          </w:p>
        </w:tc>
        <w:tc>
          <w:tcPr>
            <w:tcW w:w="511" w:type="pct"/>
            <w:vAlign w:val="center"/>
          </w:tcPr>
          <w:p w14:paraId="5E2F6B08">
            <w:pPr>
              <w:pStyle w:val="28"/>
              <w:bidi w:val="0"/>
            </w:pPr>
            <w:r>
              <w:rPr>
                <w:rFonts w:hint="eastAsia"/>
              </w:rPr>
              <w:t>旱龙头泄洪闸拆建</w:t>
            </w:r>
          </w:p>
        </w:tc>
        <w:tc>
          <w:tcPr>
            <w:tcW w:w="366" w:type="pct"/>
            <w:vAlign w:val="center"/>
          </w:tcPr>
          <w:p w14:paraId="0DB34EED">
            <w:pPr>
              <w:pStyle w:val="28"/>
              <w:bidi w:val="0"/>
            </w:pPr>
            <w:r>
              <w:t>103</w:t>
            </w:r>
          </w:p>
        </w:tc>
        <w:tc>
          <w:tcPr>
            <w:tcW w:w="268" w:type="pct"/>
            <w:vAlign w:val="center"/>
          </w:tcPr>
          <w:p w14:paraId="0BBD1591">
            <w:pPr>
              <w:pStyle w:val="28"/>
              <w:bidi w:val="0"/>
            </w:pPr>
            <w:r>
              <w:rPr>
                <w:rFonts w:hint="eastAsia"/>
              </w:rPr>
              <w:t>左岸</w:t>
            </w:r>
          </w:p>
        </w:tc>
        <w:tc>
          <w:tcPr>
            <w:tcW w:w="262" w:type="pct"/>
            <w:vAlign w:val="center"/>
          </w:tcPr>
          <w:p w14:paraId="6614B896">
            <w:pPr>
              <w:pStyle w:val="28"/>
              <w:bidi w:val="0"/>
            </w:pPr>
            <w:r>
              <w:t>1</w:t>
            </w:r>
            <w:r>
              <w:rPr>
                <w:rFonts w:hint="eastAsia"/>
              </w:rPr>
              <w:t>类</w:t>
            </w:r>
          </w:p>
        </w:tc>
        <w:tc>
          <w:tcPr>
            <w:tcW w:w="809" w:type="pct"/>
            <w:vMerge w:val="continue"/>
            <w:vAlign w:val="center"/>
          </w:tcPr>
          <w:p w14:paraId="493770D2">
            <w:pPr>
              <w:pStyle w:val="28"/>
              <w:bidi w:val="0"/>
            </w:pPr>
          </w:p>
        </w:tc>
        <w:tc>
          <w:tcPr>
            <w:tcW w:w="208" w:type="pct"/>
            <w:vAlign w:val="center"/>
          </w:tcPr>
          <w:p w14:paraId="69365481">
            <w:pPr>
              <w:pStyle w:val="28"/>
              <w:bidi w:val="0"/>
            </w:pPr>
            <w:r>
              <w:rPr>
                <w:rFonts w:hint="eastAsia"/>
              </w:rPr>
              <w:t>51.4</w:t>
            </w:r>
          </w:p>
        </w:tc>
        <w:tc>
          <w:tcPr>
            <w:tcW w:w="211" w:type="pct"/>
            <w:vAlign w:val="center"/>
          </w:tcPr>
          <w:p w14:paraId="17B9A10A">
            <w:pPr>
              <w:pStyle w:val="28"/>
              <w:bidi w:val="0"/>
            </w:pPr>
            <w:r>
              <w:t>41.9</w:t>
            </w:r>
          </w:p>
        </w:tc>
        <w:tc>
          <w:tcPr>
            <w:tcW w:w="208" w:type="pct"/>
            <w:vAlign w:val="center"/>
          </w:tcPr>
          <w:p w14:paraId="1CAB4B68">
            <w:pPr>
              <w:pStyle w:val="28"/>
              <w:bidi w:val="0"/>
            </w:pPr>
            <w:r>
              <w:t>55</w:t>
            </w:r>
          </w:p>
        </w:tc>
        <w:tc>
          <w:tcPr>
            <w:tcW w:w="211" w:type="pct"/>
            <w:vAlign w:val="center"/>
          </w:tcPr>
          <w:p w14:paraId="2D9ACEE3">
            <w:pPr>
              <w:pStyle w:val="28"/>
              <w:bidi w:val="0"/>
            </w:pPr>
            <w:r>
              <w:t>45</w:t>
            </w:r>
          </w:p>
        </w:tc>
        <w:tc>
          <w:tcPr>
            <w:tcW w:w="276" w:type="pct"/>
            <w:vAlign w:val="center"/>
          </w:tcPr>
          <w:p w14:paraId="7E46A246">
            <w:pPr>
              <w:pStyle w:val="28"/>
              <w:bidi w:val="0"/>
            </w:pPr>
            <w:r>
              <w:t>53.0</w:t>
            </w:r>
          </w:p>
        </w:tc>
        <w:tc>
          <w:tcPr>
            <w:tcW w:w="257" w:type="pct"/>
            <w:vAlign w:val="center"/>
          </w:tcPr>
          <w:p w14:paraId="164EDE29">
            <w:pPr>
              <w:pStyle w:val="28"/>
              <w:bidi w:val="0"/>
            </w:pPr>
            <w:r>
              <w:t>46.0</w:t>
            </w:r>
          </w:p>
        </w:tc>
        <w:tc>
          <w:tcPr>
            <w:tcW w:w="257" w:type="pct"/>
            <w:vAlign w:val="center"/>
          </w:tcPr>
          <w:p w14:paraId="586F05B1">
            <w:pPr>
              <w:pStyle w:val="28"/>
              <w:bidi w:val="0"/>
            </w:pPr>
            <w:r>
              <w:t>46.0</w:t>
            </w:r>
          </w:p>
        </w:tc>
        <w:tc>
          <w:tcPr>
            <w:tcW w:w="257" w:type="pct"/>
            <w:vAlign w:val="center"/>
          </w:tcPr>
          <w:p w14:paraId="7B31BBB7">
            <w:pPr>
              <w:pStyle w:val="28"/>
              <w:bidi w:val="0"/>
            </w:pPr>
            <w:r>
              <w:t>40.8</w:t>
            </w:r>
          </w:p>
        </w:tc>
        <w:tc>
          <w:tcPr>
            <w:tcW w:w="209" w:type="pct"/>
            <w:vAlign w:val="center"/>
          </w:tcPr>
          <w:p w14:paraId="0839D6EF">
            <w:pPr>
              <w:pStyle w:val="28"/>
              <w:bidi w:val="0"/>
            </w:pPr>
            <w:r>
              <w:t>达标</w:t>
            </w:r>
          </w:p>
        </w:tc>
      </w:tr>
      <w:tr w14:paraId="4AB94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5C7A4DD">
            <w:pPr>
              <w:pStyle w:val="28"/>
              <w:bidi w:val="0"/>
            </w:pPr>
            <w:r>
              <w:rPr>
                <w:rFonts w:hint="eastAsia"/>
              </w:rPr>
              <w:t>戴家院</w:t>
            </w:r>
          </w:p>
        </w:tc>
        <w:tc>
          <w:tcPr>
            <w:tcW w:w="511" w:type="pct"/>
            <w:vAlign w:val="center"/>
          </w:tcPr>
          <w:p w14:paraId="3C9EDB2F">
            <w:pPr>
              <w:pStyle w:val="28"/>
              <w:bidi w:val="0"/>
            </w:pPr>
            <w:r>
              <w:rPr>
                <w:rFonts w:hint="eastAsia"/>
              </w:rPr>
              <w:t>单冲渡槽拆建</w:t>
            </w:r>
          </w:p>
        </w:tc>
        <w:tc>
          <w:tcPr>
            <w:tcW w:w="366" w:type="pct"/>
            <w:vAlign w:val="center"/>
          </w:tcPr>
          <w:p w14:paraId="1E15E5E3">
            <w:pPr>
              <w:pStyle w:val="28"/>
              <w:bidi w:val="0"/>
            </w:pPr>
            <w:r>
              <w:t>116</w:t>
            </w:r>
          </w:p>
        </w:tc>
        <w:tc>
          <w:tcPr>
            <w:tcW w:w="268" w:type="pct"/>
            <w:vAlign w:val="center"/>
          </w:tcPr>
          <w:p w14:paraId="00063B13">
            <w:pPr>
              <w:pStyle w:val="28"/>
              <w:bidi w:val="0"/>
            </w:pPr>
            <w:r>
              <w:rPr>
                <w:rFonts w:hint="eastAsia"/>
              </w:rPr>
              <w:t>左岸</w:t>
            </w:r>
          </w:p>
        </w:tc>
        <w:tc>
          <w:tcPr>
            <w:tcW w:w="262" w:type="pct"/>
            <w:vAlign w:val="center"/>
          </w:tcPr>
          <w:p w14:paraId="195AFA1F">
            <w:pPr>
              <w:pStyle w:val="28"/>
              <w:bidi w:val="0"/>
            </w:pPr>
            <w:r>
              <w:t>1</w:t>
            </w:r>
            <w:r>
              <w:rPr>
                <w:rFonts w:hint="eastAsia"/>
              </w:rPr>
              <w:t>类</w:t>
            </w:r>
          </w:p>
        </w:tc>
        <w:tc>
          <w:tcPr>
            <w:tcW w:w="809" w:type="pct"/>
            <w:vMerge w:val="continue"/>
            <w:vAlign w:val="center"/>
          </w:tcPr>
          <w:p w14:paraId="4B3C5A0B">
            <w:pPr>
              <w:pStyle w:val="28"/>
              <w:bidi w:val="0"/>
            </w:pPr>
          </w:p>
        </w:tc>
        <w:tc>
          <w:tcPr>
            <w:tcW w:w="208" w:type="pct"/>
            <w:vAlign w:val="center"/>
          </w:tcPr>
          <w:p w14:paraId="51A8C44C">
            <w:pPr>
              <w:pStyle w:val="28"/>
              <w:bidi w:val="0"/>
            </w:pPr>
            <w:r>
              <w:rPr>
                <w:rFonts w:hint="eastAsia"/>
              </w:rPr>
              <w:t>51.4</w:t>
            </w:r>
          </w:p>
        </w:tc>
        <w:tc>
          <w:tcPr>
            <w:tcW w:w="211" w:type="pct"/>
            <w:vAlign w:val="center"/>
          </w:tcPr>
          <w:p w14:paraId="35AAAFA4">
            <w:pPr>
              <w:pStyle w:val="28"/>
              <w:bidi w:val="0"/>
            </w:pPr>
            <w:r>
              <w:t>41.9</w:t>
            </w:r>
          </w:p>
        </w:tc>
        <w:tc>
          <w:tcPr>
            <w:tcW w:w="208" w:type="pct"/>
            <w:vAlign w:val="center"/>
          </w:tcPr>
          <w:p w14:paraId="33909C36">
            <w:pPr>
              <w:pStyle w:val="28"/>
              <w:bidi w:val="0"/>
            </w:pPr>
            <w:r>
              <w:t>55</w:t>
            </w:r>
          </w:p>
        </w:tc>
        <w:tc>
          <w:tcPr>
            <w:tcW w:w="211" w:type="pct"/>
            <w:vAlign w:val="center"/>
          </w:tcPr>
          <w:p w14:paraId="06C90102">
            <w:pPr>
              <w:pStyle w:val="28"/>
              <w:bidi w:val="0"/>
            </w:pPr>
            <w:r>
              <w:t>45</w:t>
            </w:r>
          </w:p>
        </w:tc>
        <w:tc>
          <w:tcPr>
            <w:tcW w:w="276" w:type="pct"/>
            <w:vAlign w:val="center"/>
          </w:tcPr>
          <w:p w14:paraId="5D735709">
            <w:pPr>
              <w:pStyle w:val="28"/>
              <w:bidi w:val="0"/>
            </w:pPr>
            <w:r>
              <w:t>51.9</w:t>
            </w:r>
          </w:p>
        </w:tc>
        <w:tc>
          <w:tcPr>
            <w:tcW w:w="257" w:type="pct"/>
            <w:vAlign w:val="center"/>
          </w:tcPr>
          <w:p w14:paraId="164F976F">
            <w:pPr>
              <w:pStyle w:val="28"/>
              <w:bidi w:val="0"/>
            </w:pPr>
            <w:r>
              <w:t>44.9</w:t>
            </w:r>
          </w:p>
        </w:tc>
        <w:tc>
          <w:tcPr>
            <w:tcW w:w="257" w:type="pct"/>
            <w:vAlign w:val="center"/>
          </w:tcPr>
          <w:p w14:paraId="409EAFDB">
            <w:pPr>
              <w:pStyle w:val="28"/>
              <w:bidi w:val="0"/>
            </w:pPr>
            <w:r>
              <w:t>44.9</w:t>
            </w:r>
          </w:p>
        </w:tc>
        <w:tc>
          <w:tcPr>
            <w:tcW w:w="257" w:type="pct"/>
            <w:vAlign w:val="center"/>
          </w:tcPr>
          <w:p w14:paraId="47B58629">
            <w:pPr>
              <w:pStyle w:val="28"/>
              <w:bidi w:val="0"/>
            </w:pPr>
            <w:r>
              <w:t>39.8</w:t>
            </w:r>
          </w:p>
        </w:tc>
        <w:tc>
          <w:tcPr>
            <w:tcW w:w="209" w:type="pct"/>
            <w:vAlign w:val="center"/>
          </w:tcPr>
          <w:p w14:paraId="364C18FC">
            <w:pPr>
              <w:pStyle w:val="28"/>
              <w:bidi w:val="0"/>
            </w:pPr>
            <w:r>
              <w:t>达标</w:t>
            </w:r>
          </w:p>
        </w:tc>
      </w:tr>
      <w:tr w14:paraId="51B32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90F85CA">
            <w:pPr>
              <w:pStyle w:val="28"/>
              <w:bidi w:val="0"/>
            </w:pPr>
            <w:r>
              <w:rPr>
                <w:rFonts w:hint="eastAsia"/>
              </w:rPr>
              <w:t>大柏</w:t>
            </w:r>
          </w:p>
        </w:tc>
        <w:tc>
          <w:tcPr>
            <w:tcW w:w="511" w:type="pct"/>
            <w:vAlign w:val="center"/>
          </w:tcPr>
          <w:p w14:paraId="17B13641">
            <w:pPr>
              <w:pStyle w:val="28"/>
              <w:bidi w:val="0"/>
            </w:pPr>
            <w:r>
              <w:rPr>
                <w:rFonts w:hint="eastAsia"/>
              </w:rPr>
              <w:t>放水涵拆建</w:t>
            </w:r>
          </w:p>
        </w:tc>
        <w:tc>
          <w:tcPr>
            <w:tcW w:w="366" w:type="pct"/>
            <w:vAlign w:val="center"/>
          </w:tcPr>
          <w:p w14:paraId="58E0E7A5">
            <w:pPr>
              <w:pStyle w:val="28"/>
              <w:bidi w:val="0"/>
            </w:pPr>
            <w:r>
              <w:t>140</w:t>
            </w:r>
          </w:p>
        </w:tc>
        <w:tc>
          <w:tcPr>
            <w:tcW w:w="268" w:type="pct"/>
            <w:vAlign w:val="center"/>
          </w:tcPr>
          <w:p w14:paraId="342E47E3">
            <w:pPr>
              <w:pStyle w:val="28"/>
              <w:bidi w:val="0"/>
            </w:pPr>
            <w:r>
              <w:rPr>
                <w:rFonts w:hint="eastAsia"/>
              </w:rPr>
              <w:t>右岸</w:t>
            </w:r>
          </w:p>
        </w:tc>
        <w:tc>
          <w:tcPr>
            <w:tcW w:w="262" w:type="pct"/>
            <w:vAlign w:val="center"/>
          </w:tcPr>
          <w:p w14:paraId="563CDDE5">
            <w:pPr>
              <w:pStyle w:val="28"/>
              <w:bidi w:val="0"/>
            </w:pPr>
            <w:r>
              <w:t>1</w:t>
            </w:r>
            <w:r>
              <w:rPr>
                <w:rFonts w:hint="eastAsia"/>
              </w:rPr>
              <w:t>类</w:t>
            </w:r>
          </w:p>
        </w:tc>
        <w:tc>
          <w:tcPr>
            <w:tcW w:w="809" w:type="pct"/>
            <w:vMerge w:val="continue"/>
            <w:vAlign w:val="center"/>
          </w:tcPr>
          <w:p w14:paraId="44BC3502">
            <w:pPr>
              <w:pStyle w:val="28"/>
              <w:bidi w:val="0"/>
            </w:pPr>
          </w:p>
        </w:tc>
        <w:tc>
          <w:tcPr>
            <w:tcW w:w="208" w:type="pct"/>
            <w:vAlign w:val="center"/>
          </w:tcPr>
          <w:p w14:paraId="76547B82">
            <w:pPr>
              <w:pStyle w:val="28"/>
              <w:bidi w:val="0"/>
            </w:pPr>
            <w:r>
              <w:t>52.3</w:t>
            </w:r>
          </w:p>
        </w:tc>
        <w:tc>
          <w:tcPr>
            <w:tcW w:w="211" w:type="pct"/>
            <w:vAlign w:val="center"/>
          </w:tcPr>
          <w:p w14:paraId="14483ABE">
            <w:pPr>
              <w:pStyle w:val="28"/>
              <w:bidi w:val="0"/>
            </w:pPr>
            <w:r>
              <w:t>43.5</w:t>
            </w:r>
          </w:p>
        </w:tc>
        <w:tc>
          <w:tcPr>
            <w:tcW w:w="208" w:type="pct"/>
            <w:vAlign w:val="center"/>
          </w:tcPr>
          <w:p w14:paraId="3EF021D5">
            <w:pPr>
              <w:pStyle w:val="28"/>
              <w:bidi w:val="0"/>
            </w:pPr>
            <w:r>
              <w:t>55</w:t>
            </w:r>
          </w:p>
        </w:tc>
        <w:tc>
          <w:tcPr>
            <w:tcW w:w="211" w:type="pct"/>
            <w:vAlign w:val="center"/>
          </w:tcPr>
          <w:p w14:paraId="384B060C">
            <w:pPr>
              <w:pStyle w:val="28"/>
              <w:bidi w:val="0"/>
            </w:pPr>
            <w:r>
              <w:t>45</w:t>
            </w:r>
          </w:p>
        </w:tc>
        <w:tc>
          <w:tcPr>
            <w:tcW w:w="276" w:type="pct"/>
            <w:vAlign w:val="center"/>
          </w:tcPr>
          <w:p w14:paraId="453CC7D7">
            <w:pPr>
              <w:pStyle w:val="28"/>
              <w:bidi w:val="0"/>
            </w:pPr>
            <w:r>
              <w:t>50.3</w:t>
            </w:r>
          </w:p>
        </w:tc>
        <w:tc>
          <w:tcPr>
            <w:tcW w:w="257" w:type="pct"/>
            <w:vAlign w:val="center"/>
          </w:tcPr>
          <w:p w14:paraId="47740F7E">
            <w:pPr>
              <w:pStyle w:val="28"/>
              <w:bidi w:val="0"/>
            </w:pPr>
            <w:r>
              <w:t>43.3</w:t>
            </w:r>
          </w:p>
        </w:tc>
        <w:tc>
          <w:tcPr>
            <w:tcW w:w="257" w:type="pct"/>
            <w:vAlign w:val="center"/>
          </w:tcPr>
          <w:p w14:paraId="1A74EF5F">
            <w:pPr>
              <w:pStyle w:val="28"/>
              <w:bidi w:val="0"/>
            </w:pPr>
            <w:r>
              <w:t>52.8</w:t>
            </w:r>
          </w:p>
        </w:tc>
        <w:tc>
          <w:tcPr>
            <w:tcW w:w="257" w:type="pct"/>
            <w:vAlign w:val="center"/>
          </w:tcPr>
          <w:p w14:paraId="0E90471E">
            <w:pPr>
              <w:pStyle w:val="28"/>
              <w:bidi w:val="0"/>
            </w:pPr>
            <w:r>
              <w:t>0.5</w:t>
            </w:r>
          </w:p>
        </w:tc>
        <w:tc>
          <w:tcPr>
            <w:tcW w:w="209" w:type="pct"/>
            <w:vAlign w:val="center"/>
          </w:tcPr>
          <w:p w14:paraId="3724CD4D">
            <w:pPr>
              <w:pStyle w:val="28"/>
              <w:bidi w:val="0"/>
            </w:pPr>
            <w:r>
              <w:t>达标</w:t>
            </w:r>
          </w:p>
        </w:tc>
      </w:tr>
      <w:tr w14:paraId="237DF6D7">
        <w:tblPrEx>
          <w:tblCellMar>
            <w:top w:w="0" w:type="dxa"/>
            <w:left w:w="108" w:type="dxa"/>
            <w:bottom w:w="0" w:type="dxa"/>
            <w:right w:w="108" w:type="dxa"/>
          </w:tblCellMar>
        </w:tblPrEx>
        <w:trPr>
          <w:trHeight w:val="340" w:hRule="atLeast"/>
          <w:jc w:val="center"/>
        </w:trPr>
        <w:tc>
          <w:tcPr>
            <w:tcW w:w="685" w:type="pct"/>
            <w:vAlign w:val="center"/>
          </w:tcPr>
          <w:p w14:paraId="18F9EB24">
            <w:pPr>
              <w:pStyle w:val="28"/>
              <w:bidi w:val="0"/>
            </w:pPr>
            <w:r>
              <w:rPr>
                <w:rFonts w:hint="eastAsia"/>
              </w:rPr>
              <w:t>面坊郢</w:t>
            </w:r>
          </w:p>
        </w:tc>
        <w:tc>
          <w:tcPr>
            <w:tcW w:w="511" w:type="pct"/>
            <w:vAlign w:val="center"/>
          </w:tcPr>
          <w:p w14:paraId="06B98994">
            <w:pPr>
              <w:pStyle w:val="28"/>
              <w:bidi w:val="0"/>
            </w:pPr>
            <w:r>
              <w:rPr>
                <w:rFonts w:hint="eastAsia"/>
              </w:rPr>
              <w:t>机耕桥拆建</w:t>
            </w:r>
          </w:p>
        </w:tc>
        <w:tc>
          <w:tcPr>
            <w:tcW w:w="366" w:type="pct"/>
            <w:vAlign w:val="center"/>
          </w:tcPr>
          <w:p w14:paraId="7D2130F5">
            <w:pPr>
              <w:pStyle w:val="28"/>
              <w:bidi w:val="0"/>
            </w:pPr>
            <w:r>
              <w:t>40</w:t>
            </w:r>
          </w:p>
        </w:tc>
        <w:tc>
          <w:tcPr>
            <w:tcW w:w="268" w:type="pct"/>
            <w:vAlign w:val="center"/>
          </w:tcPr>
          <w:p w14:paraId="442BAF64">
            <w:pPr>
              <w:pStyle w:val="28"/>
              <w:bidi w:val="0"/>
            </w:pPr>
            <w:r>
              <w:rPr>
                <w:rFonts w:hint="eastAsia"/>
              </w:rPr>
              <w:t>右岸</w:t>
            </w:r>
          </w:p>
        </w:tc>
        <w:tc>
          <w:tcPr>
            <w:tcW w:w="262" w:type="pct"/>
            <w:vAlign w:val="center"/>
          </w:tcPr>
          <w:p w14:paraId="0E6AAC5C">
            <w:pPr>
              <w:pStyle w:val="28"/>
              <w:bidi w:val="0"/>
            </w:pPr>
            <w:r>
              <w:t>1</w:t>
            </w:r>
            <w:r>
              <w:rPr>
                <w:rFonts w:hint="eastAsia"/>
              </w:rPr>
              <w:t>类</w:t>
            </w:r>
          </w:p>
        </w:tc>
        <w:tc>
          <w:tcPr>
            <w:tcW w:w="809" w:type="pct"/>
            <w:vAlign w:val="center"/>
          </w:tcPr>
          <w:p w14:paraId="620BA4EC">
            <w:pPr>
              <w:pStyle w:val="28"/>
              <w:bidi w:val="0"/>
            </w:pPr>
            <w:r>
              <w:rPr>
                <w:rFonts w:hint="eastAsia"/>
              </w:rPr>
              <w:t>采用低噪声设备，施工机械远离居民住宅，设置双层移动声屏障</w:t>
            </w:r>
          </w:p>
        </w:tc>
        <w:tc>
          <w:tcPr>
            <w:tcW w:w="208" w:type="pct"/>
            <w:vAlign w:val="center"/>
          </w:tcPr>
          <w:p w14:paraId="36D844F2">
            <w:pPr>
              <w:pStyle w:val="28"/>
              <w:bidi w:val="0"/>
            </w:pPr>
            <w:r>
              <w:t>52.3</w:t>
            </w:r>
          </w:p>
        </w:tc>
        <w:tc>
          <w:tcPr>
            <w:tcW w:w="211" w:type="pct"/>
            <w:vAlign w:val="center"/>
          </w:tcPr>
          <w:p w14:paraId="7A8F1A51">
            <w:pPr>
              <w:pStyle w:val="28"/>
              <w:bidi w:val="0"/>
            </w:pPr>
            <w:r>
              <w:t>43.5</w:t>
            </w:r>
          </w:p>
        </w:tc>
        <w:tc>
          <w:tcPr>
            <w:tcW w:w="208" w:type="pct"/>
            <w:vAlign w:val="center"/>
          </w:tcPr>
          <w:p w14:paraId="33FBABD6">
            <w:pPr>
              <w:pStyle w:val="28"/>
              <w:bidi w:val="0"/>
            </w:pPr>
            <w:r>
              <w:t>55</w:t>
            </w:r>
          </w:p>
        </w:tc>
        <w:tc>
          <w:tcPr>
            <w:tcW w:w="211" w:type="pct"/>
            <w:vAlign w:val="center"/>
          </w:tcPr>
          <w:p w14:paraId="4DF14169">
            <w:pPr>
              <w:pStyle w:val="28"/>
              <w:bidi w:val="0"/>
            </w:pPr>
            <w:r>
              <w:t>45</w:t>
            </w:r>
          </w:p>
        </w:tc>
        <w:tc>
          <w:tcPr>
            <w:tcW w:w="276" w:type="pct"/>
            <w:vAlign w:val="center"/>
          </w:tcPr>
          <w:p w14:paraId="30C86657">
            <w:pPr>
              <w:pStyle w:val="28"/>
              <w:bidi w:val="0"/>
            </w:pPr>
            <w:r>
              <w:t>61.2</w:t>
            </w:r>
          </w:p>
        </w:tc>
        <w:tc>
          <w:tcPr>
            <w:tcW w:w="257" w:type="pct"/>
            <w:vAlign w:val="center"/>
          </w:tcPr>
          <w:p w14:paraId="2DFD2C54">
            <w:pPr>
              <w:pStyle w:val="28"/>
              <w:bidi w:val="0"/>
            </w:pPr>
            <w:r>
              <w:t>46.2</w:t>
            </w:r>
          </w:p>
        </w:tc>
        <w:tc>
          <w:tcPr>
            <w:tcW w:w="257" w:type="pct"/>
            <w:vAlign w:val="center"/>
          </w:tcPr>
          <w:p w14:paraId="7905FF94">
            <w:pPr>
              <w:pStyle w:val="28"/>
              <w:bidi w:val="0"/>
            </w:pPr>
            <w:r>
              <w:t>53.2</w:t>
            </w:r>
          </w:p>
        </w:tc>
        <w:tc>
          <w:tcPr>
            <w:tcW w:w="257" w:type="pct"/>
            <w:vAlign w:val="center"/>
          </w:tcPr>
          <w:p w14:paraId="7D8E5FF4">
            <w:pPr>
              <w:pStyle w:val="28"/>
              <w:bidi w:val="0"/>
            </w:pPr>
            <w:r>
              <w:t>0.9</w:t>
            </w:r>
          </w:p>
        </w:tc>
        <w:tc>
          <w:tcPr>
            <w:tcW w:w="209" w:type="pct"/>
            <w:vAlign w:val="center"/>
          </w:tcPr>
          <w:p w14:paraId="02982C70">
            <w:pPr>
              <w:pStyle w:val="28"/>
              <w:bidi w:val="0"/>
            </w:pPr>
            <w:r>
              <w:t>达标</w:t>
            </w:r>
          </w:p>
        </w:tc>
      </w:tr>
      <w:tr w14:paraId="0D6C7D79">
        <w:tblPrEx>
          <w:tblCellMar>
            <w:top w:w="0" w:type="dxa"/>
            <w:left w:w="108" w:type="dxa"/>
            <w:bottom w:w="0" w:type="dxa"/>
            <w:right w:w="108" w:type="dxa"/>
          </w:tblCellMar>
        </w:tblPrEx>
        <w:trPr>
          <w:trHeight w:val="340" w:hRule="atLeast"/>
          <w:jc w:val="center"/>
        </w:trPr>
        <w:tc>
          <w:tcPr>
            <w:tcW w:w="685" w:type="pct"/>
            <w:vAlign w:val="center"/>
          </w:tcPr>
          <w:p w14:paraId="3E079735">
            <w:pPr>
              <w:pStyle w:val="28"/>
              <w:bidi w:val="0"/>
            </w:pPr>
            <w:r>
              <w:rPr>
                <w:rFonts w:hint="eastAsia"/>
              </w:rPr>
              <w:t>裴小郢</w:t>
            </w:r>
          </w:p>
        </w:tc>
        <w:tc>
          <w:tcPr>
            <w:tcW w:w="511" w:type="pct"/>
            <w:vAlign w:val="center"/>
          </w:tcPr>
          <w:p w14:paraId="127D0D00">
            <w:pPr>
              <w:pStyle w:val="28"/>
              <w:bidi w:val="0"/>
            </w:pPr>
            <w:r>
              <w:rPr>
                <w:rFonts w:hint="eastAsia"/>
              </w:rPr>
              <w:t>放水涵拆建</w:t>
            </w:r>
          </w:p>
        </w:tc>
        <w:tc>
          <w:tcPr>
            <w:tcW w:w="366" w:type="pct"/>
            <w:vAlign w:val="center"/>
          </w:tcPr>
          <w:p w14:paraId="7A3E5763">
            <w:pPr>
              <w:pStyle w:val="28"/>
              <w:bidi w:val="0"/>
            </w:pPr>
            <w:r>
              <w:t>90</w:t>
            </w:r>
          </w:p>
        </w:tc>
        <w:tc>
          <w:tcPr>
            <w:tcW w:w="268" w:type="pct"/>
            <w:vAlign w:val="center"/>
          </w:tcPr>
          <w:p w14:paraId="18C95121">
            <w:pPr>
              <w:pStyle w:val="28"/>
              <w:bidi w:val="0"/>
            </w:pPr>
            <w:r>
              <w:rPr>
                <w:rFonts w:hint="eastAsia"/>
              </w:rPr>
              <w:t>右岸</w:t>
            </w:r>
          </w:p>
        </w:tc>
        <w:tc>
          <w:tcPr>
            <w:tcW w:w="262" w:type="pct"/>
            <w:vMerge w:val="restart"/>
            <w:vAlign w:val="center"/>
          </w:tcPr>
          <w:p w14:paraId="729254C0">
            <w:pPr>
              <w:pStyle w:val="28"/>
              <w:bidi w:val="0"/>
            </w:pPr>
            <w:r>
              <w:t>1</w:t>
            </w:r>
            <w:r>
              <w:rPr>
                <w:rFonts w:hint="eastAsia"/>
              </w:rPr>
              <w:t>类</w:t>
            </w:r>
          </w:p>
        </w:tc>
        <w:tc>
          <w:tcPr>
            <w:tcW w:w="809" w:type="pct"/>
            <w:vMerge w:val="restart"/>
            <w:vAlign w:val="center"/>
          </w:tcPr>
          <w:p w14:paraId="5E8F4257">
            <w:pPr>
              <w:pStyle w:val="28"/>
              <w:bidi w:val="0"/>
            </w:pPr>
            <w:r>
              <w:rPr>
                <w:rFonts w:hint="eastAsia"/>
              </w:rPr>
              <w:t>采用低噪声设备，施工机械远离居民住宅</w:t>
            </w:r>
          </w:p>
        </w:tc>
        <w:tc>
          <w:tcPr>
            <w:tcW w:w="208" w:type="pct"/>
            <w:vAlign w:val="center"/>
          </w:tcPr>
          <w:p w14:paraId="5860CB15">
            <w:pPr>
              <w:pStyle w:val="28"/>
              <w:bidi w:val="0"/>
            </w:pPr>
            <w:r>
              <w:t>52.3</w:t>
            </w:r>
          </w:p>
        </w:tc>
        <w:tc>
          <w:tcPr>
            <w:tcW w:w="211" w:type="pct"/>
            <w:vAlign w:val="center"/>
          </w:tcPr>
          <w:p w14:paraId="13258E73">
            <w:pPr>
              <w:pStyle w:val="28"/>
              <w:bidi w:val="0"/>
            </w:pPr>
            <w:r>
              <w:t>43.5</w:t>
            </w:r>
          </w:p>
        </w:tc>
        <w:tc>
          <w:tcPr>
            <w:tcW w:w="208" w:type="pct"/>
            <w:vAlign w:val="center"/>
          </w:tcPr>
          <w:p w14:paraId="352AA753">
            <w:pPr>
              <w:pStyle w:val="28"/>
              <w:bidi w:val="0"/>
            </w:pPr>
            <w:r>
              <w:t>55</w:t>
            </w:r>
          </w:p>
        </w:tc>
        <w:tc>
          <w:tcPr>
            <w:tcW w:w="211" w:type="pct"/>
            <w:vAlign w:val="center"/>
          </w:tcPr>
          <w:p w14:paraId="0ECD7F77">
            <w:pPr>
              <w:pStyle w:val="28"/>
              <w:bidi w:val="0"/>
            </w:pPr>
            <w:r>
              <w:t>45</w:t>
            </w:r>
          </w:p>
        </w:tc>
        <w:tc>
          <w:tcPr>
            <w:tcW w:w="276" w:type="pct"/>
            <w:vAlign w:val="center"/>
          </w:tcPr>
          <w:p w14:paraId="3F074A9A">
            <w:pPr>
              <w:pStyle w:val="28"/>
              <w:bidi w:val="0"/>
            </w:pPr>
            <w:r>
              <w:t>54.1</w:t>
            </w:r>
          </w:p>
        </w:tc>
        <w:tc>
          <w:tcPr>
            <w:tcW w:w="257" w:type="pct"/>
            <w:vAlign w:val="center"/>
          </w:tcPr>
          <w:p w14:paraId="349C8F96">
            <w:pPr>
              <w:pStyle w:val="28"/>
              <w:bidi w:val="0"/>
            </w:pPr>
            <w:r>
              <w:t>47.1</w:t>
            </w:r>
          </w:p>
        </w:tc>
        <w:tc>
          <w:tcPr>
            <w:tcW w:w="257" w:type="pct"/>
            <w:vAlign w:val="center"/>
          </w:tcPr>
          <w:p w14:paraId="5E3124CE">
            <w:pPr>
              <w:pStyle w:val="28"/>
              <w:bidi w:val="0"/>
            </w:pPr>
            <w:r>
              <w:t>53.5</w:t>
            </w:r>
          </w:p>
        </w:tc>
        <w:tc>
          <w:tcPr>
            <w:tcW w:w="257" w:type="pct"/>
            <w:vAlign w:val="center"/>
          </w:tcPr>
          <w:p w14:paraId="2B7FDAA5">
            <w:pPr>
              <w:pStyle w:val="28"/>
              <w:bidi w:val="0"/>
            </w:pPr>
            <w:r>
              <w:t>1.2</w:t>
            </w:r>
          </w:p>
        </w:tc>
        <w:tc>
          <w:tcPr>
            <w:tcW w:w="209" w:type="pct"/>
            <w:vAlign w:val="center"/>
          </w:tcPr>
          <w:p w14:paraId="7AD904C7">
            <w:pPr>
              <w:pStyle w:val="28"/>
              <w:bidi w:val="0"/>
            </w:pPr>
            <w:r>
              <w:t>达标</w:t>
            </w:r>
          </w:p>
        </w:tc>
      </w:tr>
      <w:tr w14:paraId="1D336A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CA43F03">
            <w:pPr>
              <w:pStyle w:val="28"/>
              <w:bidi w:val="0"/>
            </w:pPr>
            <w:r>
              <w:rPr>
                <w:rFonts w:hint="eastAsia"/>
              </w:rPr>
              <w:t>海老庄</w:t>
            </w:r>
          </w:p>
        </w:tc>
        <w:tc>
          <w:tcPr>
            <w:tcW w:w="511" w:type="pct"/>
            <w:vAlign w:val="center"/>
          </w:tcPr>
          <w:p w14:paraId="5A15D54B">
            <w:pPr>
              <w:pStyle w:val="28"/>
              <w:bidi w:val="0"/>
            </w:pPr>
            <w:r>
              <w:rPr>
                <w:rFonts w:hint="eastAsia"/>
              </w:rPr>
              <w:t>新建跌水</w:t>
            </w:r>
          </w:p>
        </w:tc>
        <w:tc>
          <w:tcPr>
            <w:tcW w:w="366" w:type="pct"/>
            <w:vAlign w:val="center"/>
          </w:tcPr>
          <w:p w14:paraId="6341AA94">
            <w:pPr>
              <w:pStyle w:val="28"/>
              <w:bidi w:val="0"/>
            </w:pPr>
            <w:r>
              <w:t>108</w:t>
            </w:r>
          </w:p>
        </w:tc>
        <w:tc>
          <w:tcPr>
            <w:tcW w:w="268" w:type="pct"/>
            <w:vAlign w:val="center"/>
          </w:tcPr>
          <w:p w14:paraId="16D7F5FD">
            <w:pPr>
              <w:pStyle w:val="28"/>
              <w:bidi w:val="0"/>
            </w:pPr>
          </w:p>
        </w:tc>
        <w:tc>
          <w:tcPr>
            <w:tcW w:w="262" w:type="pct"/>
            <w:vMerge w:val="continue"/>
            <w:vAlign w:val="center"/>
          </w:tcPr>
          <w:p w14:paraId="03297BB4">
            <w:pPr>
              <w:pStyle w:val="28"/>
              <w:bidi w:val="0"/>
            </w:pPr>
          </w:p>
        </w:tc>
        <w:tc>
          <w:tcPr>
            <w:tcW w:w="809" w:type="pct"/>
            <w:vMerge w:val="continue"/>
            <w:vAlign w:val="center"/>
          </w:tcPr>
          <w:p w14:paraId="1B1AEFF2">
            <w:pPr>
              <w:pStyle w:val="28"/>
              <w:bidi w:val="0"/>
            </w:pPr>
          </w:p>
        </w:tc>
        <w:tc>
          <w:tcPr>
            <w:tcW w:w="208" w:type="pct"/>
            <w:vAlign w:val="center"/>
          </w:tcPr>
          <w:p w14:paraId="2C8EBDC8">
            <w:pPr>
              <w:pStyle w:val="28"/>
              <w:bidi w:val="0"/>
            </w:pPr>
            <w:r>
              <w:t>52.3</w:t>
            </w:r>
          </w:p>
        </w:tc>
        <w:tc>
          <w:tcPr>
            <w:tcW w:w="211" w:type="pct"/>
            <w:vAlign w:val="center"/>
          </w:tcPr>
          <w:p w14:paraId="473BB734">
            <w:pPr>
              <w:pStyle w:val="28"/>
              <w:bidi w:val="0"/>
            </w:pPr>
            <w:r>
              <w:t>43.5</w:t>
            </w:r>
          </w:p>
        </w:tc>
        <w:tc>
          <w:tcPr>
            <w:tcW w:w="208" w:type="pct"/>
            <w:vAlign w:val="center"/>
          </w:tcPr>
          <w:p w14:paraId="1ACBBF5C">
            <w:pPr>
              <w:pStyle w:val="28"/>
              <w:bidi w:val="0"/>
            </w:pPr>
            <w:r>
              <w:t>55</w:t>
            </w:r>
          </w:p>
        </w:tc>
        <w:tc>
          <w:tcPr>
            <w:tcW w:w="211" w:type="pct"/>
            <w:vAlign w:val="center"/>
          </w:tcPr>
          <w:p w14:paraId="166C3420">
            <w:pPr>
              <w:pStyle w:val="28"/>
              <w:bidi w:val="0"/>
            </w:pPr>
            <w:r>
              <w:t>45</w:t>
            </w:r>
          </w:p>
        </w:tc>
        <w:tc>
          <w:tcPr>
            <w:tcW w:w="276" w:type="pct"/>
            <w:vAlign w:val="center"/>
          </w:tcPr>
          <w:p w14:paraId="46E7CF0C">
            <w:pPr>
              <w:pStyle w:val="28"/>
              <w:bidi w:val="0"/>
            </w:pPr>
            <w:r>
              <w:t>49.5</w:t>
            </w:r>
          </w:p>
        </w:tc>
        <w:tc>
          <w:tcPr>
            <w:tcW w:w="257" w:type="pct"/>
            <w:vAlign w:val="center"/>
          </w:tcPr>
          <w:p w14:paraId="053AC61E">
            <w:pPr>
              <w:pStyle w:val="28"/>
              <w:bidi w:val="0"/>
            </w:pPr>
            <w:r>
              <w:t>42.5</w:t>
            </w:r>
          </w:p>
        </w:tc>
        <w:tc>
          <w:tcPr>
            <w:tcW w:w="257" w:type="pct"/>
            <w:vAlign w:val="center"/>
          </w:tcPr>
          <w:p w14:paraId="442771F1">
            <w:pPr>
              <w:pStyle w:val="28"/>
              <w:bidi w:val="0"/>
            </w:pPr>
            <w:r>
              <w:t>52.7</w:t>
            </w:r>
          </w:p>
        </w:tc>
        <w:tc>
          <w:tcPr>
            <w:tcW w:w="257" w:type="pct"/>
            <w:vAlign w:val="center"/>
          </w:tcPr>
          <w:p w14:paraId="6E018423">
            <w:pPr>
              <w:pStyle w:val="28"/>
              <w:bidi w:val="0"/>
            </w:pPr>
            <w:r>
              <w:t>0.4</w:t>
            </w:r>
          </w:p>
        </w:tc>
        <w:tc>
          <w:tcPr>
            <w:tcW w:w="209" w:type="pct"/>
            <w:vAlign w:val="center"/>
          </w:tcPr>
          <w:p w14:paraId="68B1C05A">
            <w:pPr>
              <w:pStyle w:val="28"/>
              <w:bidi w:val="0"/>
            </w:pPr>
            <w:r>
              <w:t>达标</w:t>
            </w:r>
          </w:p>
        </w:tc>
      </w:tr>
      <w:tr w14:paraId="24808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C76E040">
            <w:pPr>
              <w:pStyle w:val="28"/>
              <w:bidi w:val="0"/>
            </w:pPr>
            <w:r>
              <w:rPr>
                <w:rFonts w:hint="eastAsia"/>
              </w:rPr>
              <w:t>陈家洼</w:t>
            </w:r>
          </w:p>
        </w:tc>
        <w:tc>
          <w:tcPr>
            <w:tcW w:w="511" w:type="pct"/>
            <w:vAlign w:val="center"/>
          </w:tcPr>
          <w:p w14:paraId="4D8B41F3">
            <w:pPr>
              <w:pStyle w:val="28"/>
              <w:bidi w:val="0"/>
            </w:pPr>
            <w:r>
              <w:rPr>
                <w:rFonts w:hint="eastAsia"/>
              </w:rPr>
              <w:t>放水涵拆建</w:t>
            </w:r>
          </w:p>
        </w:tc>
        <w:tc>
          <w:tcPr>
            <w:tcW w:w="366" w:type="pct"/>
            <w:vAlign w:val="center"/>
          </w:tcPr>
          <w:p w14:paraId="6C47488D">
            <w:pPr>
              <w:pStyle w:val="28"/>
              <w:bidi w:val="0"/>
            </w:pPr>
            <w:r>
              <w:t>113</w:t>
            </w:r>
          </w:p>
        </w:tc>
        <w:tc>
          <w:tcPr>
            <w:tcW w:w="268" w:type="pct"/>
            <w:vAlign w:val="center"/>
          </w:tcPr>
          <w:p w14:paraId="52AAA719">
            <w:pPr>
              <w:pStyle w:val="28"/>
              <w:bidi w:val="0"/>
            </w:pPr>
            <w:r>
              <w:rPr>
                <w:rFonts w:hint="eastAsia"/>
              </w:rPr>
              <w:t>右岸</w:t>
            </w:r>
          </w:p>
        </w:tc>
        <w:tc>
          <w:tcPr>
            <w:tcW w:w="262" w:type="pct"/>
            <w:vAlign w:val="center"/>
          </w:tcPr>
          <w:p w14:paraId="5934FD85">
            <w:pPr>
              <w:pStyle w:val="28"/>
              <w:bidi w:val="0"/>
            </w:pPr>
            <w:r>
              <w:t>1</w:t>
            </w:r>
            <w:r>
              <w:rPr>
                <w:rFonts w:hint="eastAsia"/>
              </w:rPr>
              <w:t>类</w:t>
            </w:r>
          </w:p>
        </w:tc>
        <w:tc>
          <w:tcPr>
            <w:tcW w:w="809" w:type="pct"/>
            <w:vMerge w:val="continue"/>
            <w:vAlign w:val="center"/>
          </w:tcPr>
          <w:p w14:paraId="19C33E02">
            <w:pPr>
              <w:pStyle w:val="28"/>
              <w:bidi w:val="0"/>
            </w:pPr>
          </w:p>
        </w:tc>
        <w:tc>
          <w:tcPr>
            <w:tcW w:w="208" w:type="pct"/>
            <w:vAlign w:val="center"/>
          </w:tcPr>
          <w:p w14:paraId="7EEC768C">
            <w:pPr>
              <w:pStyle w:val="28"/>
              <w:bidi w:val="0"/>
            </w:pPr>
            <w:r>
              <w:t>52.3</w:t>
            </w:r>
          </w:p>
        </w:tc>
        <w:tc>
          <w:tcPr>
            <w:tcW w:w="211" w:type="pct"/>
            <w:vAlign w:val="center"/>
          </w:tcPr>
          <w:p w14:paraId="34E0304A">
            <w:pPr>
              <w:pStyle w:val="28"/>
              <w:bidi w:val="0"/>
            </w:pPr>
            <w:r>
              <w:t>43.5</w:t>
            </w:r>
          </w:p>
        </w:tc>
        <w:tc>
          <w:tcPr>
            <w:tcW w:w="208" w:type="pct"/>
            <w:vAlign w:val="center"/>
          </w:tcPr>
          <w:p w14:paraId="26E3DAC0">
            <w:pPr>
              <w:pStyle w:val="28"/>
              <w:bidi w:val="0"/>
            </w:pPr>
            <w:r>
              <w:t>55</w:t>
            </w:r>
          </w:p>
        </w:tc>
        <w:tc>
          <w:tcPr>
            <w:tcW w:w="211" w:type="pct"/>
            <w:vAlign w:val="center"/>
          </w:tcPr>
          <w:p w14:paraId="5EE02C1A">
            <w:pPr>
              <w:pStyle w:val="28"/>
              <w:bidi w:val="0"/>
            </w:pPr>
            <w:r>
              <w:t>45</w:t>
            </w:r>
          </w:p>
        </w:tc>
        <w:tc>
          <w:tcPr>
            <w:tcW w:w="276" w:type="pct"/>
            <w:vAlign w:val="center"/>
          </w:tcPr>
          <w:p w14:paraId="27B3360B">
            <w:pPr>
              <w:pStyle w:val="28"/>
              <w:bidi w:val="0"/>
            </w:pPr>
            <w:r>
              <w:t>52.1</w:t>
            </w:r>
          </w:p>
        </w:tc>
        <w:tc>
          <w:tcPr>
            <w:tcW w:w="257" w:type="pct"/>
            <w:vAlign w:val="center"/>
          </w:tcPr>
          <w:p w14:paraId="270E1AEB">
            <w:pPr>
              <w:pStyle w:val="28"/>
              <w:bidi w:val="0"/>
            </w:pPr>
            <w:r>
              <w:t>45.1</w:t>
            </w:r>
          </w:p>
        </w:tc>
        <w:tc>
          <w:tcPr>
            <w:tcW w:w="257" w:type="pct"/>
            <w:vAlign w:val="center"/>
          </w:tcPr>
          <w:p w14:paraId="515FB84B">
            <w:pPr>
              <w:pStyle w:val="28"/>
              <w:bidi w:val="0"/>
            </w:pPr>
            <w:r>
              <w:t>53.1</w:t>
            </w:r>
          </w:p>
        </w:tc>
        <w:tc>
          <w:tcPr>
            <w:tcW w:w="257" w:type="pct"/>
            <w:vAlign w:val="center"/>
          </w:tcPr>
          <w:p w14:paraId="3FA0AC90">
            <w:pPr>
              <w:pStyle w:val="28"/>
              <w:bidi w:val="0"/>
            </w:pPr>
            <w:r>
              <w:t>0.8</w:t>
            </w:r>
          </w:p>
        </w:tc>
        <w:tc>
          <w:tcPr>
            <w:tcW w:w="209" w:type="pct"/>
            <w:vAlign w:val="center"/>
          </w:tcPr>
          <w:p w14:paraId="09B0C539">
            <w:pPr>
              <w:pStyle w:val="28"/>
              <w:bidi w:val="0"/>
            </w:pPr>
            <w:r>
              <w:t>达标</w:t>
            </w:r>
          </w:p>
        </w:tc>
      </w:tr>
      <w:tr w14:paraId="64984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C882AC5">
            <w:pPr>
              <w:pStyle w:val="28"/>
              <w:bidi w:val="0"/>
            </w:pPr>
            <w:r>
              <w:rPr>
                <w:rFonts w:hint="eastAsia"/>
              </w:rPr>
              <w:t>大堰拐</w:t>
            </w:r>
          </w:p>
        </w:tc>
        <w:tc>
          <w:tcPr>
            <w:tcW w:w="511" w:type="pct"/>
            <w:vAlign w:val="center"/>
          </w:tcPr>
          <w:p w14:paraId="507C16C6">
            <w:pPr>
              <w:pStyle w:val="28"/>
              <w:bidi w:val="0"/>
            </w:pPr>
            <w:r>
              <w:rPr>
                <w:rFonts w:hint="eastAsia"/>
              </w:rPr>
              <w:t>人行桥拆建</w:t>
            </w:r>
          </w:p>
        </w:tc>
        <w:tc>
          <w:tcPr>
            <w:tcW w:w="366" w:type="pct"/>
            <w:vAlign w:val="center"/>
          </w:tcPr>
          <w:p w14:paraId="33732C53">
            <w:pPr>
              <w:pStyle w:val="28"/>
              <w:bidi w:val="0"/>
            </w:pPr>
            <w:r>
              <w:t>70</w:t>
            </w:r>
          </w:p>
        </w:tc>
        <w:tc>
          <w:tcPr>
            <w:tcW w:w="268" w:type="pct"/>
            <w:vAlign w:val="center"/>
          </w:tcPr>
          <w:p w14:paraId="3C83DF13">
            <w:pPr>
              <w:pStyle w:val="28"/>
              <w:bidi w:val="0"/>
            </w:pPr>
            <w:r>
              <w:rPr>
                <w:rFonts w:hint="eastAsia"/>
              </w:rPr>
              <w:t>左岸</w:t>
            </w:r>
          </w:p>
        </w:tc>
        <w:tc>
          <w:tcPr>
            <w:tcW w:w="262" w:type="pct"/>
            <w:vAlign w:val="center"/>
          </w:tcPr>
          <w:p w14:paraId="2230234A">
            <w:pPr>
              <w:pStyle w:val="28"/>
              <w:bidi w:val="0"/>
            </w:pPr>
            <w:r>
              <w:t>1</w:t>
            </w:r>
            <w:r>
              <w:rPr>
                <w:rFonts w:hint="eastAsia"/>
              </w:rPr>
              <w:t>类</w:t>
            </w:r>
          </w:p>
        </w:tc>
        <w:tc>
          <w:tcPr>
            <w:tcW w:w="809" w:type="pct"/>
            <w:vMerge w:val="continue"/>
            <w:vAlign w:val="center"/>
          </w:tcPr>
          <w:p w14:paraId="5EEA0CE2">
            <w:pPr>
              <w:pStyle w:val="28"/>
              <w:bidi w:val="0"/>
            </w:pPr>
          </w:p>
        </w:tc>
        <w:tc>
          <w:tcPr>
            <w:tcW w:w="208" w:type="pct"/>
            <w:vAlign w:val="center"/>
          </w:tcPr>
          <w:p w14:paraId="10E783FE">
            <w:pPr>
              <w:pStyle w:val="28"/>
              <w:bidi w:val="0"/>
            </w:pPr>
            <w:r>
              <w:t>52.3</w:t>
            </w:r>
          </w:p>
        </w:tc>
        <w:tc>
          <w:tcPr>
            <w:tcW w:w="211" w:type="pct"/>
            <w:vAlign w:val="center"/>
          </w:tcPr>
          <w:p w14:paraId="091D757E">
            <w:pPr>
              <w:pStyle w:val="28"/>
              <w:bidi w:val="0"/>
            </w:pPr>
            <w:r>
              <w:t>43.5</w:t>
            </w:r>
          </w:p>
        </w:tc>
        <w:tc>
          <w:tcPr>
            <w:tcW w:w="208" w:type="pct"/>
            <w:vAlign w:val="center"/>
          </w:tcPr>
          <w:p w14:paraId="318D65A7">
            <w:pPr>
              <w:pStyle w:val="28"/>
              <w:bidi w:val="0"/>
            </w:pPr>
            <w:r>
              <w:t>55</w:t>
            </w:r>
          </w:p>
        </w:tc>
        <w:tc>
          <w:tcPr>
            <w:tcW w:w="211" w:type="pct"/>
            <w:vAlign w:val="center"/>
          </w:tcPr>
          <w:p w14:paraId="6E42EAFA">
            <w:pPr>
              <w:pStyle w:val="28"/>
              <w:bidi w:val="0"/>
            </w:pPr>
            <w:r>
              <w:t>45</w:t>
            </w:r>
          </w:p>
        </w:tc>
        <w:tc>
          <w:tcPr>
            <w:tcW w:w="276" w:type="pct"/>
            <w:vAlign w:val="center"/>
          </w:tcPr>
          <w:p w14:paraId="6FDD8BDA">
            <w:pPr>
              <w:pStyle w:val="28"/>
              <w:bidi w:val="0"/>
            </w:pPr>
            <w:r>
              <w:t>56.3</w:t>
            </w:r>
          </w:p>
        </w:tc>
        <w:tc>
          <w:tcPr>
            <w:tcW w:w="257" w:type="pct"/>
            <w:vAlign w:val="center"/>
          </w:tcPr>
          <w:p w14:paraId="22D9E4B2">
            <w:pPr>
              <w:pStyle w:val="28"/>
              <w:bidi w:val="0"/>
            </w:pPr>
            <w:r>
              <w:t>49.3</w:t>
            </w:r>
          </w:p>
        </w:tc>
        <w:tc>
          <w:tcPr>
            <w:tcW w:w="257" w:type="pct"/>
            <w:vAlign w:val="center"/>
          </w:tcPr>
          <w:p w14:paraId="65C13F85">
            <w:pPr>
              <w:pStyle w:val="28"/>
              <w:bidi w:val="0"/>
            </w:pPr>
            <w:r>
              <w:t>54.1</w:t>
            </w:r>
          </w:p>
        </w:tc>
        <w:tc>
          <w:tcPr>
            <w:tcW w:w="257" w:type="pct"/>
            <w:vAlign w:val="center"/>
          </w:tcPr>
          <w:p w14:paraId="60F79ECC">
            <w:pPr>
              <w:pStyle w:val="28"/>
              <w:bidi w:val="0"/>
            </w:pPr>
            <w:r>
              <w:t>1.8</w:t>
            </w:r>
          </w:p>
        </w:tc>
        <w:tc>
          <w:tcPr>
            <w:tcW w:w="209" w:type="pct"/>
            <w:vAlign w:val="center"/>
          </w:tcPr>
          <w:p w14:paraId="74405DC4">
            <w:pPr>
              <w:pStyle w:val="28"/>
              <w:bidi w:val="0"/>
            </w:pPr>
            <w:r>
              <w:t>达标</w:t>
            </w:r>
          </w:p>
        </w:tc>
      </w:tr>
      <w:tr w14:paraId="549DF0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3F63777">
            <w:pPr>
              <w:pStyle w:val="28"/>
              <w:bidi w:val="0"/>
            </w:pPr>
            <w:r>
              <w:rPr>
                <w:rFonts w:hint="eastAsia"/>
              </w:rPr>
              <w:t>大堰梢</w:t>
            </w:r>
          </w:p>
        </w:tc>
        <w:tc>
          <w:tcPr>
            <w:tcW w:w="511" w:type="pct"/>
            <w:vAlign w:val="center"/>
          </w:tcPr>
          <w:p w14:paraId="2941A5FD">
            <w:pPr>
              <w:pStyle w:val="28"/>
              <w:bidi w:val="0"/>
            </w:pPr>
            <w:r>
              <w:rPr>
                <w:rFonts w:hint="eastAsia"/>
              </w:rPr>
              <w:t>机耕桥拆建</w:t>
            </w:r>
          </w:p>
        </w:tc>
        <w:tc>
          <w:tcPr>
            <w:tcW w:w="366" w:type="pct"/>
            <w:vAlign w:val="center"/>
          </w:tcPr>
          <w:p w14:paraId="755570AB">
            <w:pPr>
              <w:pStyle w:val="28"/>
              <w:bidi w:val="0"/>
            </w:pPr>
            <w:r>
              <w:t>135</w:t>
            </w:r>
          </w:p>
        </w:tc>
        <w:tc>
          <w:tcPr>
            <w:tcW w:w="268" w:type="pct"/>
            <w:vAlign w:val="center"/>
          </w:tcPr>
          <w:p w14:paraId="3089AA7A">
            <w:pPr>
              <w:pStyle w:val="28"/>
              <w:bidi w:val="0"/>
            </w:pPr>
            <w:r>
              <w:rPr>
                <w:rFonts w:hint="eastAsia"/>
              </w:rPr>
              <w:t>左岸</w:t>
            </w:r>
          </w:p>
        </w:tc>
        <w:tc>
          <w:tcPr>
            <w:tcW w:w="262" w:type="pct"/>
            <w:vAlign w:val="center"/>
          </w:tcPr>
          <w:p w14:paraId="0603C52E">
            <w:pPr>
              <w:pStyle w:val="28"/>
              <w:bidi w:val="0"/>
            </w:pPr>
            <w:r>
              <w:t>1</w:t>
            </w:r>
            <w:r>
              <w:rPr>
                <w:rFonts w:hint="eastAsia"/>
              </w:rPr>
              <w:t>类</w:t>
            </w:r>
          </w:p>
        </w:tc>
        <w:tc>
          <w:tcPr>
            <w:tcW w:w="809" w:type="pct"/>
            <w:vMerge w:val="continue"/>
            <w:vAlign w:val="center"/>
          </w:tcPr>
          <w:p w14:paraId="2952C9F1">
            <w:pPr>
              <w:pStyle w:val="28"/>
              <w:bidi w:val="0"/>
            </w:pPr>
          </w:p>
        </w:tc>
        <w:tc>
          <w:tcPr>
            <w:tcW w:w="208" w:type="pct"/>
            <w:vAlign w:val="center"/>
          </w:tcPr>
          <w:p w14:paraId="59F63BF4">
            <w:pPr>
              <w:pStyle w:val="28"/>
              <w:bidi w:val="0"/>
            </w:pPr>
            <w:r>
              <w:t>52.3</w:t>
            </w:r>
          </w:p>
        </w:tc>
        <w:tc>
          <w:tcPr>
            <w:tcW w:w="211" w:type="pct"/>
            <w:vAlign w:val="center"/>
          </w:tcPr>
          <w:p w14:paraId="6649381A">
            <w:pPr>
              <w:pStyle w:val="28"/>
              <w:bidi w:val="0"/>
            </w:pPr>
            <w:r>
              <w:t>43.5</w:t>
            </w:r>
          </w:p>
        </w:tc>
        <w:tc>
          <w:tcPr>
            <w:tcW w:w="208" w:type="pct"/>
            <w:vAlign w:val="center"/>
          </w:tcPr>
          <w:p w14:paraId="037E4DFB">
            <w:pPr>
              <w:pStyle w:val="28"/>
              <w:bidi w:val="0"/>
            </w:pPr>
            <w:r>
              <w:t>55</w:t>
            </w:r>
          </w:p>
        </w:tc>
        <w:tc>
          <w:tcPr>
            <w:tcW w:w="211" w:type="pct"/>
            <w:vAlign w:val="center"/>
          </w:tcPr>
          <w:p w14:paraId="33D5DDCF">
            <w:pPr>
              <w:pStyle w:val="28"/>
              <w:bidi w:val="0"/>
            </w:pPr>
            <w:r>
              <w:t>45</w:t>
            </w:r>
          </w:p>
        </w:tc>
        <w:tc>
          <w:tcPr>
            <w:tcW w:w="276" w:type="pct"/>
            <w:vAlign w:val="center"/>
          </w:tcPr>
          <w:p w14:paraId="32BB3D90">
            <w:pPr>
              <w:pStyle w:val="28"/>
              <w:bidi w:val="0"/>
            </w:pPr>
            <w:r>
              <w:t>50.6</w:t>
            </w:r>
          </w:p>
        </w:tc>
        <w:tc>
          <w:tcPr>
            <w:tcW w:w="257" w:type="pct"/>
            <w:vAlign w:val="center"/>
          </w:tcPr>
          <w:p w14:paraId="629E7E90">
            <w:pPr>
              <w:pStyle w:val="28"/>
              <w:bidi w:val="0"/>
            </w:pPr>
            <w:r>
              <w:t>43.6</w:t>
            </w:r>
          </w:p>
        </w:tc>
        <w:tc>
          <w:tcPr>
            <w:tcW w:w="257" w:type="pct"/>
            <w:vAlign w:val="center"/>
          </w:tcPr>
          <w:p w14:paraId="2BA3E9A8">
            <w:pPr>
              <w:pStyle w:val="28"/>
              <w:bidi w:val="0"/>
            </w:pPr>
            <w:r>
              <w:t>52.8</w:t>
            </w:r>
          </w:p>
        </w:tc>
        <w:tc>
          <w:tcPr>
            <w:tcW w:w="257" w:type="pct"/>
            <w:vAlign w:val="center"/>
          </w:tcPr>
          <w:p w14:paraId="28929851">
            <w:pPr>
              <w:pStyle w:val="28"/>
              <w:bidi w:val="0"/>
            </w:pPr>
            <w:r>
              <w:t>0.5</w:t>
            </w:r>
          </w:p>
        </w:tc>
        <w:tc>
          <w:tcPr>
            <w:tcW w:w="209" w:type="pct"/>
            <w:vAlign w:val="center"/>
          </w:tcPr>
          <w:p w14:paraId="01E420DE">
            <w:pPr>
              <w:pStyle w:val="28"/>
              <w:bidi w:val="0"/>
            </w:pPr>
            <w:r>
              <w:t>达标</w:t>
            </w:r>
          </w:p>
        </w:tc>
      </w:tr>
      <w:tr w14:paraId="34DCD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6A89BCC">
            <w:pPr>
              <w:pStyle w:val="28"/>
              <w:bidi w:val="0"/>
            </w:pPr>
            <w:r>
              <w:rPr>
                <w:rFonts w:hint="eastAsia"/>
              </w:rPr>
              <w:t>王家洼</w:t>
            </w:r>
          </w:p>
        </w:tc>
        <w:tc>
          <w:tcPr>
            <w:tcW w:w="511" w:type="pct"/>
            <w:vAlign w:val="center"/>
          </w:tcPr>
          <w:p w14:paraId="4BF193E1">
            <w:pPr>
              <w:pStyle w:val="28"/>
              <w:bidi w:val="0"/>
            </w:pPr>
            <w:r>
              <w:rPr>
                <w:rFonts w:hint="eastAsia"/>
              </w:rPr>
              <w:t>人行桥拆建</w:t>
            </w:r>
          </w:p>
        </w:tc>
        <w:tc>
          <w:tcPr>
            <w:tcW w:w="366" w:type="pct"/>
            <w:vAlign w:val="center"/>
          </w:tcPr>
          <w:p w14:paraId="5C3F59E9">
            <w:pPr>
              <w:pStyle w:val="28"/>
              <w:bidi w:val="0"/>
            </w:pPr>
            <w:r>
              <w:t>57</w:t>
            </w:r>
          </w:p>
        </w:tc>
        <w:tc>
          <w:tcPr>
            <w:tcW w:w="268" w:type="pct"/>
            <w:vAlign w:val="center"/>
          </w:tcPr>
          <w:p w14:paraId="609FFBCF">
            <w:pPr>
              <w:pStyle w:val="28"/>
              <w:bidi w:val="0"/>
            </w:pPr>
            <w:r>
              <w:rPr>
                <w:rFonts w:hint="eastAsia"/>
              </w:rPr>
              <w:t>右岸</w:t>
            </w:r>
          </w:p>
        </w:tc>
        <w:tc>
          <w:tcPr>
            <w:tcW w:w="262" w:type="pct"/>
            <w:vAlign w:val="center"/>
          </w:tcPr>
          <w:p w14:paraId="7F080458">
            <w:pPr>
              <w:pStyle w:val="28"/>
              <w:bidi w:val="0"/>
            </w:pPr>
            <w:r>
              <w:t>1</w:t>
            </w:r>
            <w:r>
              <w:rPr>
                <w:rFonts w:hint="eastAsia"/>
              </w:rPr>
              <w:t>类</w:t>
            </w:r>
          </w:p>
        </w:tc>
        <w:tc>
          <w:tcPr>
            <w:tcW w:w="809" w:type="pct"/>
            <w:vMerge w:val="continue"/>
            <w:vAlign w:val="center"/>
          </w:tcPr>
          <w:p w14:paraId="027C49F4">
            <w:pPr>
              <w:pStyle w:val="28"/>
              <w:bidi w:val="0"/>
            </w:pPr>
          </w:p>
        </w:tc>
        <w:tc>
          <w:tcPr>
            <w:tcW w:w="208" w:type="pct"/>
            <w:vAlign w:val="center"/>
          </w:tcPr>
          <w:p w14:paraId="286BEC05">
            <w:pPr>
              <w:pStyle w:val="28"/>
              <w:bidi w:val="0"/>
            </w:pPr>
            <w:r>
              <w:t>52.3</w:t>
            </w:r>
          </w:p>
        </w:tc>
        <w:tc>
          <w:tcPr>
            <w:tcW w:w="211" w:type="pct"/>
            <w:vAlign w:val="center"/>
          </w:tcPr>
          <w:p w14:paraId="3FB984BB">
            <w:pPr>
              <w:pStyle w:val="28"/>
              <w:bidi w:val="0"/>
            </w:pPr>
            <w:r>
              <w:t>43.5</w:t>
            </w:r>
          </w:p>
        </w:tc>
        <w:tc>
          <w:tcPr>
            <w:tcW w:w="208" w:type="pct"/>
            <w:vAlign w:val="center"/>
          </w:tcPr>
          <w:p w14:paraId="40455FEC">
            <w:pPr>
              <w:pStyle w:val="28"/>
              <w:bidi w:val="0"/>
            </w:pPr>
            <w:r>
              <w:t>55</w:t>
            </w:r>
          </w:p>
        </w:tc>
        <w:tc>
          <w:tcPr>
            <w:tcW w:w="211" w:type="pct"/>
            <w:vAlign w:val="center"/>
          </w:tcPr>
          <w:p w14:paraId="38D70BB1">
            <w:pPr>
              <w:pStyle w:val="28"/>
              <w:bidi w:val="0"/>
            </w:pPr>
            <w:r>
              <w:t>45</w:t>
            </w:r>
          </w:p>
        </w:tc>
        <w:tc>
          <w:tcPr>
            <w:tcW w:w="276" w:type="pct"/>
            <w:vAlign w:val="center"/>
          </w:tcPr>
          <w:p w14:paraId="36AE027D">
            <w:pPr>
              <w:pStyle w:val="28"/>
              <w:bidi w:val="0"/>
            </w:pPr>
            <w:r>
              <w:t>58.1</w:t>
            </w:r>
          </w:p>
        </w:tc>
        <w:tc>
          <w:tcPr>
            <w:tcW w:w="257" w:type="pct"/>
            <w:vAlign w:val="center"/>
          </w:tcPr>
          <w:p w14:paraId="5CB4DB95">
            <w:pPr>
              <w:pStyle w:val="28"/>
              <w:bidi w:val="0"/>
            </w:pPr>
            <w:r>
              <w:t>51.1</w:t>
            </w:r>
          </w:p>
        </w:tc>
        <w:tc>
          <w:tcPr>
            <w:tcW w:w="257" w:type="pct"/>
            <w:vAlign w:val="center"/>
          </w:tcPr>
          <w:p w14:paraId="16BE3811">
            <w:pPr>
              <w:pStyle w:val="28"/>
              <w:bidi w:val="0"/>
            </w:pPr>
            <w:r>
              <w:t>54.7</w:t>
            </w:r>
          </w:p>
        </w:tc>
        <w:tc>
          <w:tcPr>
            <w:tcW w:w="257" w:type="pct"/>
            <w:vAlign w:val="center"/>
          </w:tcPr>
          <w:p w14:paraId="168990E0">
            <w:pPr>
              <w:pStyle w:val="28"/>
              <w:bidi w:val="0"/>
            </w:pPr>
            <w:r>
              <w:t>2.4</w:t>
            </w:r>
          </w:p>
        </w:tc>
        <w:tc>
          <w:tcPr>
            <w:tcW w:w="209" w:type="pct"/>
            <w:vAlign w:val="center"/>
          </w:tcPr>
          <w:p w14:paraId="0B9A4C9B">
            <w:pPr>
              <w:pStyle w:val="28"/>
              <w:bidi w:val="0"/>
            </w:pPr>
            <w:r>
              <w:t>达标</w:t>
            </w:r>
          </w:p>
        </w:tc>
      </w:tr>
      <w:tr w14:paraId="4493B9F3">
        <w:tblPrEx>
          <w:tblCellMar>
            <w:top w:w="0" w:type="dxa"/>
            <w:left w:w="108" w:type="dxa"/>
            <w:bottom w:w="0" w:type="dxa"/>
            <w:right w:w="108" w:type="dxa"/>
          </w:tblCellMar>
        </w:tblPrEx>
        <w:trPr>
          <w:trHeight w:val="340" w:hRule="atLeast"/>
          <w:jc w:val="center"/>
        </w:trPr>
        <w:tc>
          <w:tcPr>
            <w:tcW w:w="685" w:type="pct"/>
            <w:vAlign w:val="center"/>
          </w:tcPr>
          <w:p w14:paraId="3F098AB2">
            <w:pPr>
              <w:pStyle w:val="28"/>
              <w:bidi w:val="0"/>
            </w:pPr>
            <w:r>
              <w:rPr>
                <w:rFonts w:hint="eastAsia"/>
              </w:rPr>
              <w:t>姚家畈</w:t>
            </w:r>
          </w:p>
        </w:tc>
        <w:tc>
          <w:tcPr>
            <w:tcW w:w="511" w:type="pct"/>
            <w:vAlign w:val="center"/>
          </w:tcPr>
          <w:p w14:paraId="5BF49E5A">
            <w:pPr>
              <w:pStyle w:val="28"/>
              <w:bidi w:val="0"/>
            </w:pPr>
            <w:r>
              <w:rPr>
                <w:rFonts w:hint="eastAsia"/>
              </w:rPr>
              <w:t>节制闸拆建</w:t>
            </w:r>
          </w:p>
        </w:tc>
        <w:tc>
          <w:tcPr>
            <w:tcW w:w="366" w:type="pct"/>
            <w:vAlign w:val="center"/>
          </w:tcPr>
          <w:p w14:paraId="4B67E1DC">
            <w:pPr>
              <w:pStyle w:val="28"/>
              <w:bidi w:val="0"/>
            </w:pPr>
            <w:r>
              <w:t>90</w:t>
            </w:r>
          </w:p>
        </w:tc>
        <w:tc>
          <w:tcPr>
            <w:tcW w:w="268" w:type="pct"/>
            <w:vAlign w:val="center"/>
          </w:tcPr>
          <w:p w14:paraId="286F112F">
            <w:pPr>
              <w:pStyle w:val="28"/>
              <w:bidi w:val="0"/>
            </w:pPr>
            <w:r>
              <w:rPr>
                <w:rFonts w:hint="eastAsia"/>
              </w:rPr>
              <w:t>左岸</w:t>
            </w:r>
          </w:p>
        </w:tc>
        <w:tc>
          <w:tcPr>
            <w:tcW w:w="262" w:type="pct"/>
            <w:vAlign w:val="center"/>
          </w:tcPr>
          <w:p w14:paraId="1F00B786">
            <w:pPr>
              <w:pStyle w:val="28"/>
              <w:bidi w:val="0"/>
            </w:pPr>
            <w:r>
              <w:t>1</w:t>
            </w:r>
            <w:r>
              <w:rPr>
                <w:rFonts w:hint="eastAsia"/>
              </w:rPr>
              <w:t>类</w:t>
            </w:r>
          </w:p>
        </w:tc>
        <w:tc>
          <w:tcPr>
            <w:tcW w:w="809" w:type="pct"/>
            <w:vMerge w:val="continue"/>
            <w:vAlign w:val="center"/>
          </w:tcPr>
          <w:p w14:paraId="52E7D7B2">
            <w:pPr>
              <w:pStyle w:val="28"/>
              <w:bidi w:val="0"/>
            </w:pPr>
          </w:p>
        </w:tc>
        <w:tc>
          <w:tcPr>
            <w:tcW w:w="208" w:type="pct"/>
            <w:vAlign w:val="center"/>
          </w:tcPr>
          <w:p w14:paraId="74D0207B">
            <w:pPr>
              <w:pStyle w:val="28"/>
              <w:bidi w:val="0"/>
            </w:pPr>
            <w:r>
              <w:t>52.3</w:t>
            </w:r>
          </w:p>
        </w:tc>
        <w:tc>
          <w:tcPr>
            <w:tcW w:w="211" w:type="pct"/>
            <w:vAlign w:val="center"/>
          </w:tcPr>
          <w:p w14:paraId="699EBA7B">
            <w:pPr>
              <w:pStyle w:val="28"/>
              <w:bidi w:val="0"/>
            </w:pPr>
            <w:r>
              <w:t>43.5</w:t>
            </w:r>
          </w:p>
        </w:tc>
        <w:tc>
          <w:tcPr>
            <w:tcW w:w="208" w:type="pct"/>
            <w:vAlign w:val="center"/>
          </w:tcPr>
          <w:p w14:paraId="234C51A0">
            <w:pPr>
              <w:pStyle w:val="28"/>
              <w:bidi w:val="0"/>
            </w:pPr>
            <w:r>
              <w:t>55</w:t>
            </w:r>
          </w:p>
        </w:tc>
        <w:tc>
          <w:tcPr>
            <w:tcW w:w="211" w:type="pct"/>
            <w:vAlign w:val="center"/>
          </w:tcPr>
          <w:p w14:paraId="282366F2">
            <w:pPr>
              <w:pStyle w:val="28"/>
              <w:bidi w:val="0"/>
            </w:pPr>
            <w:r>
              <w:t>45</w:t>
            </w:r>
          </w:p>
        </w:tc>
        <w:tc>
          <w:tcPr>
            <w:tcW w:w="276" w:type="pct"/>
            <w:vAlign w:val="center"/>
          </w:tcPr>
          <w:p w14:paraId="65BC31C7">
            <w:pPr>
              <w:pStyle w:val="28"/>
              <w:bidi w:val="0"/>
            </w:pPr>
            <w:r>
              <w:t>54.1</w:t>
            </w:r>
          </w:p>
        </w:tc>
        <w:tc>
          <w:tcPr>
            <w:tcW w:w="257" w:type="pct"/>
            <w:vAlign w:val="center"/>
          </w:tcPr>
          <w:p w14:paraId="74E7677A">
            <w:pPr>
              <w:pStyle w:val="28"/>
              <w:bidi w:val="0"/>
            </w:pPr>
            <w:r>
              <w:t>47.1</w:t>
            </w:r>
          </w:p>
        </w:tc>
        <w:tc>
          <w:tcPr>
            <w:tcW w:w="257" w:type="pct"/>
            <w:vAlign w:val="center"/>
          </w:tcPr>
          <w:p w14:paraId="56F87DC0">
            <w:pPr>
              <w:pStyle w:val="28"/>
              <w:bidi w:val="0"/>
            </w:pPr>
            <w:r>
              <w:t>53.5</w:t>
            </w:r>
          </w:p>
        </w:tc>
        <w:tc>
          <w:tcPr>
            <w:tcW w:w="257" w:type="pct"/>
            <w:vAlign w:val="center"/>
          </w:tcPr>
          <w:p w14:paraId="6A3A4384">
            <w:pPr>
              <w:pStyle w:val="28"/>
              <w:bidi w:val="0"/>
            </w:pPr>
            <w:r>
              <w:t>1.2</w:t>
            </w:r>
          </w:p>
        </w:tc>
        <w:tc>
          <w:tcPr>
            <w:tcW w:w="209" w:type="pct"/>
            <w:vAlign w:val="center"/>
          </w:tcPr>
          <w:p w14:paraId="759FCC42">
            <w:pPr>
              <w:pStyle w:val="28"/>
              <w:bidi w:val="0"/>
            </w:pPr>
            <w:r>
              <w:t>达标</w:t>
            </w:r>
          </w:p>
        </w:tc>
      </w:tr>
      <w:tr w14:paraId="360439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36712B8">
            <w:pPr>
              <w:pStyle w:val="28"/>
              <w:bidi w:val="0"/>
            </w:pPr>
            <w:r>
              <w:rPr>
                <w:rFonts w:hint="eastAsia"/>
              </w:rPr>
              <w:t>三里郢</w:t>
            </w:r>
          </w:p>
        </w:tc>
        <w:tc>
          <w:tcPr>
            <w:tcW w:w="511" w:type="pct"/>
            <w:vAlign w:val="center"/>
          </w:tcPr>
          <w:p w14:paraId="36FC6B66">
            <w:pPr>
              <w:pStyle w:val="28"/>
              <w:bidi w:val="0"/>
            </w:pPr>
            <w:r>
              <w:rPr>
                <w:rFonts w:hint="eastAsia"/>
              </w:rPr>
              <w:t>渡槽拆建</w:t>
            </w:r>
          </w:p>
        </w:tc>
        <w:tc>
          <w:tcPr>
            <w:tcW w:w="366" w:type="pct"/>
            <w:vAlign w:val="center"/>
          </w:tcPr>
          <w:p w14:paraId="3532BC11">
            <w:pPr>
              <w:pStyle w:val="28"/>
              <w:bidi w:val="0"/>
            </w:pPr>
            <w:r>
              <w:t>307</w:t>
            </w:r>
          </w:p>
        </w:tc>
        <w:tc>
          <w:tcPr>
            <w:tcW w:w="268" w:type="pct"/>
            <w:vAlign w:val="center"/>
          </w:tcPr>
          <w:p w14:paraId="6951082D">
            <w:pPr>
              <w:pStyle w:val="28"/>
              <w:bidi w:val="0"/>
            </w:pPr>
            <w:r>
              <w:rPr>
                <w:rFonts w:hint="eastAsia"/>
              </w:rPr>
              <w:t>右岸</w:t>
            </w:r>
          </w:p>
        </w:tc>
        <w:tc>
          <w:tcPr>
            <w:tcW w:w="262" w:type="pct"/>
            <w:vAlign w:val="center"/>
          </w:tcPr>
          <w:p w14:paraId="049DD4D2">
            <w:pPr>
              <w:pStyle w:val="28"/>
              <w:bidi w:val="0"/>
            </w:pPr>
            <w:r>
              <w:t>1</w:t>
            </w:r>
            <w:r>
              <w:rPr>
                <w:rFonts w:hint="eastAsia"/>
              </w:rPr>
              <w:t>类</w:t>
            </w:r>
          </w:p>
        </w:tc>
        <w:tc>
          <w:tcPr>
            <w:tcW w:w="809" w:type="pct"/>
            <w:vMerge w:val="continue"/>
            <w:vAlign w:val="center"/>
          </w:tcPr>
          <w:p w14:paraId="7EFA4DA1">
            <w:pPr>
              <w:pStyle w:val="28"/>
              <w:bidi w:val="0"/>
            </w:pPr>
          </w:p>
        </w:tc>
        <w:tc>
          <w:tcPr>
            <w:tcW w:w="208" w:type="pct"/>
            <w:vAlign w:val="center"/>
          </w:tcPr>
          <w:p w14:paraId="3E6CBC19">
            <w:pPr>
              <w:pStyle w:val="28"/>
              <w:bidi w:val="0"/>
            </w:pPr>
            <w:r>
              <w:t>52.3</w:t>
            </w:r>
          </w:p>
        </w:tc>
        <w:tc>
          <w:tcPr>
            <w:tcW w:w="211" w:type="pct"/>
            <w:vAlign w:val="center"/>
          </w:tcPr>
          <w:p w14:paraId="7742754F">
            <w:pPr>
              <w:pStyle w:val="28"/>
              <w:bidi w:val="0"/>
            </w:pPr>
            <w:r>
              <w:t>43.5</w:t>
            </w:r>
          </w:p>
        </w:tc>
        <w:tc>
          <w:tcPr>
            <w:tcW w:w="208" w:type="pct"/>
            <w:vAlign w:val="center"/>
          </w:tcPr>
          <w:p w14:paraId="05772387">
            <w:pPr>
              <w:pStyle w:val="28"/>
              <w:bidi w:val="0"/>
            </w:pPr>
            <w:r>
              <w:t>55</w:t>
            </w:r>
          </w:p>
        </w:tc>
        <w:tc>
          <w:tcPr>
            <w:tcW w:w="211" w:type="pct"/>
            <w:vAlign w:val="center"/>
          </w:tcPr>
          <w:p w14:paraId="773A737F">
            <w:pPr>
              <w:pStyle w:val="28"/>
              <w:bidi w:val="0"/>
            </w:pPr>
            <w:r>
              <w:t>45</w:t>
            </w:r>
          </w:p>
        </w:tc>
        <w:tc>
          <w:tcPr>
            <w:tcW w:w="276" w:type="pct"/>
            <w:vAlign w:val="center"/>
          </w:tcPr>
          <w:p w14:paraId="18C374C7">
            <w:pPr>
              <w:pStyle w:val="28"/>
              <w:bidi w:val="0"/>
            </w:pPr>
            <w:r>
              <w:t>43.5</w:t>
            </w:r>
          </w:p>
        </w:tc>
        <w:tc>
          <w:tcPr>
            <w:tcW w:w="257" w:type="pct"/>
            <w:vAlign w:val="center"/>
          </w:tcPr>
          <w:p w14:paraId="2F010548">
            <w:pPr>
              <w:pStyle w:val="28"/>
              <w:bidi w:val="0"/>
            </w:pPr>
            <w:r>
              <w:t>36.5</w:t>
            </w:r>
          </w:p>
        </w:tc>
        <w:tc>
          <w:tcPr>
            <w:tcW w:w="257" w:type="pct"/>
            <w:vAlign w:val="center"/>
          </w:tcPr>
          <w:p w14:paraId="74D9A3ED">
            <w:pPr>
              <w:pStyle w:val="28"/>
              <w:bidi w:val="0"/>
            </w:pPr>
            <w:r>
              <w:t>52.4</w:t>
            </w:r>
          </w:p>
        </w:tc>
        <w:tc>
          <w:tcPr>
            <w:tcW w:w="257" w:type="pct"/>
            <w:vAlign w:val="center"/>
          </w:tcPr>
          <w:p w14:paraId="1A7E1672">
            <w:pPr>
              <w:pStyle w:val="28"/>
              <w:bidi w:val="0"/>
            </w:pPr>
            <w:r>
              <w:t>0.1</w:t>
            </w:r>
          </w:p>
        </w:tc>
        <w:tc>
          <w:tcPr>
            <w:tcW w:w="209" w:type="pct"/>
            <w:vAlign w:val="center"/>
          </w:tcPr>
          <w:p w14:paraId="67CC1132">
            <w:pPr>
              <w:pStyle w:val="28"/>
              <w:bidi w:val="0"/>
            </w:pPr>
            <w:r>
              <w:t>达标</w:t>
            </w:r>
          </w:p>
        </w:tc>
      </w:tr>
      <w:tr w14:paraId="37DA1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56B7825">
            <w:pPr>
              <w:pStyle w:val="28"/>
              <w:bidi w:val="0"/>
            </w:pPr>
            <w:r>
              <w:rPr>
                <w:rFonts w:hint="eastAsia"/>
              </w:rPr>
              <w:t>新庄子</w:t>
            </w:r>
          </w:p>
        </w:tc>
        <w:tc>
          <w:tcPr>
            <w:tcW w:w="511" w:type="pct"/>
            <w:vAlign w:val="center"/>
          </w:tcPr>
          <w:p w14:paraId="105AEC5C">
            <w:pPr>
              <w:pStyle w:val="28"/>
              <w:bidi w:val="0"/>
            </w:pPr>
            <w:r>
              <w:rPr>
                <w:rFonts w:hint="eastAsia"/>
              </w:rPr>
              <w:t>人行桥拆建</w:t>
            </w:r>
          </w:p>
        </w:tc>
        <w:tc>
          <w:tcPr>
            <w:tcW w:w="366" w:type="pct"/>
            <w:vAlign w:val="center"/>
          </w:tcPr>
          <w:p w14:paraId="6D03CB29">
            <w:pPr>
              <w:pStyle w:val="28"/>
              <w:bidi w:val="0"/>
            </w:pPr>
            <w:r>
              <w:t>55</w:t>
            </w:r>
          </w:p>
        </w:tc>
        <w:tc>
          <w:tcPr>
            <w:tcW w:w="268" w:type="pct"/>
            <w:vAlign w:val="center"/>
          </w:tcPr>
          <w:p w14:paraId="33778B99">
            <w:pPr>
              <w:pStyle w:val="28"/>
              <w:bidi w:val="0"/>
            </w:pPr>
            <w:r>
              <w:rPr>
                <w:rFonts w:hint="eastAsia"/>
              </w:rPr>
              <w:t>左岸</w:t>
            </w:r>
          </w:p>
        </w:tc>
        <w:tc>
          <w:tcPr>
            <w:tcW w:w="262" w:type="pct"/>
            <w:vAlign w:val="center"/>
          </w:tcPr>
          <w:p w14:paraId="4E42DBB8">
            <w:pPr>
              <w:pStyle w:val="28"/>
              <w:bidi w:val="0"/>
            </w:pPr>
            <w:r>
              <w:t>1</w:t>
            </w:r>
            <w:r>
              <w:rPr>
                <w:rFonts w:hint="eastAsia"/>
              </w:rPr>
              <w:t>类</w:t>
            </w:r>
          </w:p>
        </w:tc>
        <w:tc>
          <w:tcPr>
            <w:tcW w:w="809" w:type="pct"/>
            <w:vMerge w:val="continue"/>
            <w:vAlign w:val="center"/>
          </w:tcPr>
          <w:p w14:paraId="4D8649F6">
            <w:pPr>
              <w:pStyle w:val="28"/>
              <w:bidi w:val="0"/>
            </w:pPr>
          </w:p>
        </w:tc>
        <w:tc>
          <w:tcPr>
            <w:tcW w:w="208" w:type="pct"/>
            <w:vAlign w:val="center"/>
          </w:tcPr>
          <w:p w14:paraId="54A19443">
            <w:pPr>
              <w:pStyle w:val="28"/>
              <w:bidi w:val="0"/>
            </w:pPr>
            <w:r>
              <w:t>52.3</w:t>
            </w:r>
          </w:p>
        </w:tc>
        <w:tc>
          <w:tcPr>
            <w:tcW w:w="211" w:type="pct"/>
            <w:vAlign w:val="center"/>
          </w:tcPr>
          <w:p w14:paraId="717363CD">
            <w:pPr>
              <w:pStyle w:val="28"/>
              <w:bidi w:val="0"/>
            </w:pPr>
            <w:r>
              <w:t>43.5</w:t>
            </w:r>
          </w:p>
        </w:tc>
        <w:tc>
          <w:tcPr>
            <w:tcW w:w="208" w:type="pct"/>
            <w:vAlign w:val="center"/>
          </w:tcPr>
          <w:p w14:paraId="19F41327">
            <w:pPr>
              <w:pStyle w:val="28"/>
              <w:bidi w:val="0"/>
            </w:pPr>
            <w:r>
              <w:t>55</w:t>
            </w:r>
          </w:p>
        </w:tc>
        <w:tc>
          <w:tcPr>
            <w:tcW w:w="211" w:type="pct"/>
            <w:vAlign w:val="center"/>
          </w:tcPr>
          <w:p w14:paraId="07DA9E53">
            <w:pPr>
              <w:pStyle w:val="28"/>
              <w:bidi w:val="0"/>
            </w:pPr>
            <w:r>
              <w:t>45</w:t>
            </w:r>
          </w:p>
        </w:tc>
        <w:tc>
          <w:tcPr>
            <w:tcW w:w="276" w:type="pct"/>
            <w:vAlign w:val="center"/>
          </w:tcPr>
          <w:p w14:paraId="65AF6511">
            <w:pPr>
              <w:pStyle w:val="28"/>
              <w:bidi w:val="0"/>
            </w:pPr>
            <w:r>
              <w:t>58.4</w:t>
            </w:r>
          </w:p>
        </w:tc>
        <w:tc>
          <w:tcPr>
            <w:tcW w:w="257" w:type="pct"/>
            <w:vAlign w:val="center"/>
          </w:tcPr>
          <w:p w14:paraId="31208847">
            <w:pPr>
              <w:pStyle w:val="28"/>
              <w:bidi w:val="0"/>
            </w:pPr>
            <w:r>
              <w:t>51.4</w:t>
            </w:r>
          </w:p>
        </w:tc>
        <w:tc>
          <w:tcPr>
            <w:tcW w:w="257" w:type="pct"/>
            <w:vAlign w:val="center"/>
          </w:tcPr>
          <w:p w14:paraId="1D849111">
            <w:pPr>
              <w:pStyle w:val="28"/>
              <w:bidi w:val="0"/>
            </w:pPr>
            <w:r>
              <w:t>54.9</w:t>
            </w:r>
          </w:p>
        </w:tc>
        <w:tc>
          <w:tcPr>
            <w:tcW w:w="257" w:type="pct"/>
            <w:vAlign w:val="center"/>
          </w:tcPr>
          <w:p w14:paraId="50DE81E8">
            <w:pPr>
              <w:pStyle w:val="28"/>
              <w:bidi w:val="0"/>
            </w:pPr>
            <w:r>
              <w:t>2.6</w:t>
            </w:r>
          </w:p>
        </w:tc>
        <w:tc>
          <w:tcPr>
            <w:tcW w:w="209" w:type="pct"/>
            <w:vAlign w:val="center"/>
          </w:tcPr>
          <w:p w14:paraId="19437705">
            <w:pPr>
              <w:pStyle w:val="28"/>
              <w:bidi w:val="0"/>
            </w:pPr>
            <w:r>
              <w:t>达标</w:t>
            </w:r>
          </w:p>
        </w:tc>
      </w:tr>
      <w:tr w14:paraId="1388F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0D52840">
            <w:pPr>
              <w:pStyle w:val="28"/>
              <w:bidi w:val="0"/>
            </w:pPr>
            <w:r>
              <w:rPr>
                <w:rFonts w:hint="eastAsia"/>
              </w:rPr>
              <w:t>牌坊郢</w:t>
            </w:r>
          </w:p>
        </w:tc>
        <w:tc>
          <w:tcPr>
            <w:tcW w:w="511" w:type="pct"/>
            <w:vAlign w:val="center"/>
          </w:tcPr>
          <w:p w14:paraId="46E8CA52">
            <w:pPr>
              <w:pStyle w:val="28"/>
              <w:bidi w:val="0"/>
            </w:pPr>
            <w:r>
              <w:rPr>
                <w:rFonts w:hint="eastAsia"/>
              </w:rPr>
              <w:t>放水涵拆建</w:t>
            </w:r>
          </w:p>
        </w:tc>
        <w:tc>
          <w:tcPr>
            <w:tcW w:w="366" w:type="pct"/>
            <w:vAlign w:val="center"/>
          </w:tcPr>
          <w:p w14:paraId="48AB07AC">
            <w:pPr>
              <w:pStyle w:val="28"/>
              <w:bidi w:val="0"/>
            </w:pPr>
            <w:r>
              <w:t>135</w:t>
            </w:r>
          </w:p>
        </w:tc>
        <w:tc>
          <w:tcPr>
            <w:tcW w:w="268" w:type="pct"/>
            <w:vMerge w:val="restart"/>
            <w:vAlign w:val="center"/>
          </w:tcPr>
          <w:p w14:paraId="4EBF7E11">
            <w:pPr>
              <w:pStyle w:val="28"/>
              <w:bidi w:val="0"/>
            </w:pPr>
            <w:r>
              <w:rPr>
                <w:rFonts w:hint="eastAsia"/>
              </w:rPr>
              <w:t>右岸</w:t>
            </w:r>
          </w:p>
        </w:tc>
        <w:tc>
          <w:tcPr>
            <w:tcW w:w="262" w:type="pct"/>
            <w:vAlign w:val="center"/>
          </w:tcPr>
          <w:p w14:paraId="7A03089D">
            <w:pPr>
              <w:pStyle w:val="28"/>
              <w:bidi w:val="0"/>
            </w:pPr>
            <w:r>
              <w:t>1</w:t>
            </w:r>
            <w:r>
              <w:rPr>
                <w:rFonts w:hint="eastAsia"/>
              </w:rPr>
              <w:t>类</w:t>
            </w:r>
          </w:p>
        </w:tc>
        <w:tc>
          <w:tcPr>
            <w:tcW w:w="809" w:type="pct"/>
            <w:vMerge w:val="continue"/>
            <w:vAlign w:val="center"/>
          </w:tcPr>
          <w:p w14:paraId="67AEFDB9">
            <w:pPr>
              <w:pStyle w:val="28"/>
              <w:bidi w:val="0"/>
            </w:pPr>
          </w:p>
        </w:tc>
        <w:tc>
          <w:tcPr>
            <w:tcW w:w="208" w:type="pct"/>
            <w:vAlign w:val="center"/>
          </w:tcPr>
          <w:p w14:paraId="091AF9D3">
            <w:pPr>
              <w:pStyle w:val="28"/>
              <w:bidi w:val="0"/>
            </w:pPr>
            <w:r>
              <w:t>52.3</w:t>
            </w:r>
          </w:p>
        </w:tc>
        <w:tc>
          <w:tcPr>
            <w:tcW w:w="211" w:type="pct"/>
            <w:vAlign w:val="center"/>
          </w:tcPr>
          <w:p w14:paraId="562A57AD">
            <w:pPr>
              <w:pStyle w:val="28"/>
              <w:bidi w:val="0"/>
            </w:pPr>
            <w:r>
              <w:t>43.5</w:t>
            </w:r>
          </w:p>
        </w:tc>
        <w:tc>
          <w:tcPr>
            <w:tcW w:w="208" w:type="pct"/>
            <w:vAlign w:val="center"/>
          </w:tcPr>
          <w:p w14:paraId="61BADB9E">
            <w:pPr>
              <w:pStyle w:val="28"/>
              <w:bidi w:val="0"/>
            </w:pPr>
            <w:r>
              <w:t>55</w:t>
            </w:r>
          </w:p>
        </w:tc>
        <w:tc>
          <w:tcPr>
            <w:tcW w:w="211" w:type="pct"/>
            <w:vAlign w:val="center"/>
          </w:tcPr>
          <w:p w14:paraId="230E552F">
            <w:pPr>
              <w:pStyle w:val="28"/>
              <w:bidi w:val="0"/>
            </w:pPr>
            <w:r>
              <w:t>45</w:t>
            </w:r>
          </w:p>
        </w:tc>
        <w:tc>
          <w:tcPr>
            <w:tcW w:w="276" w:type="pct"/>
            <w:vAlign w:val="center"/>
          </w:tcPr>
          <w:p w14:paraId="4D0A896D">
            <w:pPr>
              <w:pStyle w:val="28"/>
              <w:bidi w:val="0"/>
            </w:pPr>
            <w:r>
              <w:t>50.6</w:t>
            </w:r>
          </w:p>
        </w:tc>
        <w:tc>
          <w:tcPr>
            <w:tcW w:w="257" w:type="pct"/>
            <w:vAlign w:val="center"/>
          </w:tcPr>
          <w:p w14:paraId="1987F185">
            <w:pPr>
              <w:pStyle w:val="28"/>
              <w:bidi w:val="0"/>
            </w:pPr>
            <w:r>
              <w:t>43.6</w:t>
            </w:r>
          </w:p>
        </w:tc>
        <w:tc>
          <w:tcPr>
            <w:tcW w:w="257" w:type="pct"/>
            <w:vAlign w:val="center"/>
          </w:tcPr>
          <w:p w14:paraId="7ACC2636">
            <w:pPr>
              <w:pStyle w:val="28"/>
              <w:bidi w:val="0"/>
            </w:pPr>
            <w:r>
              <w:t>52.8</w:t>
            </w:r>
          </w:p>
        </w:tc>
        <w:tc>
          <w:tcPr>
            <w:tcW w:w="257" w:type="pct"/>
            <w:vAlign w:val="center"/>
          </w:tcPr>
          <w:p w14:paraId="2FFED149">
            <w:pPr>
              <w:pStyle w:val="28"/>
              <w:bidi w:val="0"/>
            </w:pPr>
            <w:r>
              <w:t>0.5</w:t>
            </w:r>
          </w:p>
        </w:tc>
        <w:tc>
          <w:tcPr>
            <w:tcW w:w="209" w:type="pct"/>
            <w:vAlign w:val="center"/>
          </w:tcPr>
          <w:p w14:paraId="67B7DA4F">
            <w:pPr>
              <w:pStyle w:val="28"/>
              <w:bidi w:val="0"/>
            </w:pPr>
            <w:r>
              <w:t>达标</w:t>
            </w:r>
          </w:p>
        </w:tc>
      </w:tr>
      <w:tr w14:paraId="14480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1C4C56B">
            <w:pPr>
              <w:pStyle w:val="28"/>
              <w:bidi w:val="0"/>
            </w:pPr>
            <w:r>
              <w:rPr>
                <w:rFonts w:hint="eastAsia"/>
              </w:rPr>
              <w:t>平塘坎</w:t>
            </w:r>
          </w:p>
        </w:tc>
        <w:tc>
          <w:tcPr>
            <w:tcW w:w="511" w:type="pct"/>
            <w:vAlign w:val="center"/>
          </w:tcPr>
          <w:p w14:paraId="43A8A335">
            <w:pPr>
              <w:pStyle w:val="28"/>
              <w:bidi w:val="0"/>
            </w:pPr>
            <w:r>
              <w:rPr>
                <w:rFonts w:hint="eastAsia"/>
              </w:rPr>
              <w:t>人行桥拆建</w:t>
            </w:r>
          </w:p>
        </w:tc>
        <w:tc>
          <w:tcPr>
            <w:tcW w:w="366" w:type="pct"/>
            <w:vAlign w:val="center"/>
          </w:tcPr>
          <w:p w14:paraId="7AE720F0">
            <w:pPr>
              <w:pStyle w:val="28"/>
              <w:bidi w:val="0"/>
            </w:pPr>
            <w:r>
              <w:t>78</w:t>
            </w:r>
          </w:p>
        </w:tc>
        <w:tc>
          <w:tcPr>
            <w:tcW w:w="268" w:type="pct"/>
            <w:vMerge w:val="continue"/>
            <w:vAlign w:val="center"/>
          </w:tcPr>
          <w:p w14:paraId="16CBBDCE">
            <w:pPr>
              <w:pStyle w:val="28"/>
              <w:bidi w:val="0"/>
            </w:pPr>
          </w:p>
        </w:tc>
        <w:tc>
          <w:tcPr>
            <w:tcW w:w="262" w:type="pct"/>
            <w:vAlign w:val="center"/>
          </w:tcPr>
          <w:p w14:paraId="30683C29">
            <w:pPr>
              <w:pStyle w:val="28"/>
              <w:bidi w:val="0"/>
            </w:pPr>
            <w:r>
              <w:t>1</w:t>
            </w:r>
            <w:r>
              <w:rPr>
                <w:rFonts w:hint="eastAsia"/>
              </w:rPr>
              <w:t>类</w:t>
            </w:r>
          </w:p>
        </w:tc>
        <w:tc>
          <w:tcPr>
            <w:tcW w:w="809" w:type="pct"/>
            <w:vMerge w:val="continue"/>
            <w:vAlign w:val="center"/>
          </w:tcPr>
          <w:p w14:paraId="7EF07D09">
            <w:pPr>
              <w:pStyle w:val="28"/>
              <w:bidi w:val="0"/>
            </w:pPr>
          </w:p>
        </w:tc>
        <w:tc>
          <w:tcPr>
            <w:tcW w:w="208" w:type="pct"/>
            <w:vAlign w:val="center"/>
          </w:tcPr>
          <w:p w14:paraId="6FE1786E">
            <w:pPr>
              <w:pStyle w:val="28"/>
              <w:bidi w:val="0"/>
            </w:pPr>
            <w:r>
              <w:t>52.3</w:t>
            </w:r>
          </w:p>
        </w:tc>
        <w:tc>
          <w:tcPr>
            <w:tcW w:w="211" w:type="pct"/>
            <w:vAlign w:val="center"/>
          </w:tcPr>
          <w:p w14:paraId="57B31345">
            <w:pPr>
              <w:pStyle w:val="28"/>
              <w:bidi w:val="0"/>
            </w:pPr>
            <w:r>
              <w:t>43.5</w:t>
            </w:r>
          </w:p>
        </w:tc>
        <w:tc>
          <w:tcPr>
            <w:tcW w:w="208" w:type="pct"/>
            <w:vAlign w:val="center"/>
          </w:tcPr>
          <w:p w14:paraId="5ACFCF0C">
            <w:pPr>
              <w:pStyle w:val="28"/>
              <w:bidi w:val="0"/>
            </w:pPr>
            <w:r>
              <w:t>55</w:t>
            </w:r>
          </w:p>
        </w:tc>
        <w:tc>
          <w:tcPr>
            <w:tcW w:w="211" w:type="pct"/>
            <w:vAlign w:val="center"/>
          </w:tcPr>
          <w:p w14:paraId="77426CCA">
            <w:pPr>
              <w:pStyle w:val="28"/>
              <w:bidi w:val="0"/>
            </w:pPr>
            <w:r>
              <w:t>45</w:t>
            </w:r>
          </w:p>
        </w:tc>
        <w:tc>
          <w:tcPr>
            <w:tcW w:w="276" w:type="pct"/>
            <w:vAlign w:val="center"/>
          </w:tcPr>
          <w:p w14:paraId="16284108">
            <w:pPr>
              <w:pStyle w:val="28"/>
              <w:bidi w:val="0"/>
            </w:pPr>
            <w:r>
              <w:t>55.4</w:t>
            </w:r>
          </w:p>
        </w:tc>
        <w:tc>
          <w:tcPr>
            <w:tcW w:w="257" w:type="pct"/>
            <w:vAlign w:val="center"/>
          </w:tcPr>
          <w:p w14:paraId="3E8B8CB2">
            <w:pPr>
              <w:pStyle w:val="28"/>
              <w:bidi w:val="0"/>
            </w:pPr>
            <w:r>
              <w:t>48.4</w:t>
            </w:r>
          </w:p>
        </w:tc>
        <w:tc>
          <w:tcPr>
            <w:tcW w:w="257" w:type="pct"/>
            <w:vAlign w:val="center"/>
          </w:tcPr>
          <w:p w14:paraId="78041BCF">
            <w:pPr>
              <w:pStyle w:val="28"/>
              <w:bidi w:val="0"/>
            </w:pPr>
            <w:r>
              <w:t>53.8</w:t>
            </w:r>
          </w:p>
        </w:tc>
        <w:tc>
          <w:tcPr>
            <w:tcW w:w="257" w:type="pct"/>
            <w:vAlign w:val="center"/>
          </w:tcPr>
          <w:p w14:paraId="2A48E10A">
            <w:pPr>
              <w:pStyle w:val="28"/>
              <w:bidi w:val="0"/>
            </w:pPr>
            <w:r>
              <w:t>1.5</w:t>
            </w:r>
          </w:p>
        </w:tc>
        <w:tc>
          <w:tcPr>
            <w:tcW w:w="209" w:type="pct"/>
            <w:vAlign w:val="center"/>
          </w:tcPr>
          <w:p w14:paraId="71979257">
            <w:pPr>
              <w:pStyle w:val="28"/>
              <w:bidi w:val="0"/>
            </w:pPr>
            <w:r>
              <w:t>达标</w:t>
            </w:r>
          </w:p>
        </w:tc>
      </w:tr>
      <w:tr w14:paraId="3AD57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6ED86C3">
            <w:pPr>
              <w:pStyle w:val="28"/>
              <w:bidi w:val="0"/>
            </w:pPr>
            <w:r>
              <w:rPr>
                <w:rFonts w:hint="eastAsia"/>
              </w:rPr>
              <w:t>林小郢</w:t>
            </w:r>
          </w:p>
        </w:tc>
        <w:tc>
          <w:tcPr>
            <w:tcW w:w="511" w:type="pct"/>
            <w:vAlign w:val="center"/>
          </w:tcPr>
          <w:p w14:paraId="1489CB6C">
            <w:pPr>
              <w:pStyle w:val="28"/>
              <w:bidi w:val="0"/>
            </w:pPr>
            <w:r>
              <w:rPr>
                <w:rFonts w:hint="eastAsia"/>
              </w:rPr>
              <w:t>放水涵拆建</w:t>
            </w:r>
          </w:p>
        </w:tc>
        <w:tc>
          <w:tcPr>
            <w:tcW w:w="366" w:type="pct"/>
            <w:vAlign w:val="center"/>
          </w:tcPr>
          <w:p w14:paraId="3D1738FF">
            <w:pPr>
              <w:pStyle w:val="28"/>
              <w:bidi w:val="0"/>
            </w:pPr>
            <w:r>
              <w:t>170</w:t>
            </w:r>
          </w:p>
        </w:tc>
        <w:tc>
          <w:tcPr>
            <w:tcW w:w="268" w:type="pct"/>
            <w:vMerge w:val="restart"/>
            <w:vAlign w:val="center"/>
          </w:tcPr>
          <w:p w14:paraId="3E50C330">
            <w:pPr>
              <w:pStyle w:val="28"/>
              <w:bidi w:val="0"/>
            </w:pPr>
            <w:r>
              <w:rPr>
                <w:rFonts w:hint="eastAsia"/>
              </w:rPr>
              <w:t>右岸</w:t>
            </w:r>
          </w:p>
        </w:tc>
        <w:tc>
          <w:tcPr>
            <w:tcW w:w="262" w:type="pct"/>
            <w:vAlign w:val="center"/>
          </w:tcPr>
          <w:p w14:paraId="5653F2FC">
            <w:pPr>
              <w:pStyle w:val="28"/>
              <w:bidi w:val="0"/>
            </w:pPr>
            <w:r>
              <w:t>1</w:t>
            </w:r>
            <w:r>
              <w:rPr>
                <w:rFonts w:hint="eastAsia"/>
              </w:rPr>
              <w:t>类</w:t>
            </w:r>
          </w:p>
        </w:tc>
        <w:tc>
          <w:tcPr>
            <w:tcW w:w="809" w:type="pct"/>
            <w:vMerge w:val="continue"/>
            <w:vAlign w:val="center"/>
          </w:tcPr>
          <w:p w14:paraId="70F28D19">
            <w:pPr>
              <w:pStyle w:val="28"/>
              <w:bidi w:val="0"/>
            </w:pPr>
          </w:p>
        </w:tc>
        <w:tc>
          <w:tcPr>
            <w:tcW w:w="208" w:type="pct"/>
            <w:vAlign w:val="center"/>
          </w:tcPr>
          <w:p w14:paraId="7B0D9539">
            <w:pPr>
              <w:pStyle w:val="28"/>
              <w:bidi w:val="0"/>
            </w:pPr>
            <w:r>
              <w:t>52.3</w:t>
            </w:r>
          </w:p>
        </w:tc>
        <w:tc>
          <w:tcPr>
            <w:tcW w:w="211" w:type="pct"/>
            <w:vAlign w:val="center"/>
          </w:tcPr>
          <w:p w14:paraId="550D3476">
            <w:pPr>
              <w:pStyle w:val="28"/>
              <w:bidi w:val="0"/>
            </w:pPr>
            <w:r>
              <w:t>43.5</w:t>
            </w:r>
          </w:p>
        </w:tc>
        <w:tc>
          <w:tcPr>
            <w:tcW w:w="208" w:type="pct"/>
            <w:vAlign w:val="center"/>
          </w:tcPr>
          <w:p w14:paraId="6A3CCFE8">
            <w:pPr>
              <w:pStyle w:val="28"/>
              <w:bidi w:val="0"/>
            </w:pPr>
            <w:r>
              <w:t>55</w:t>
            </w:r>
          </w:p>
        </w:tc>
        <w:tc>
          <w:tcPr>
            <w:tcW w:w="211" w:type="pct"/>
            <w:vAlign w:val="center"/>
          </w:tcPr>
          <w:p w14:paraId="541CAEA3">
            <w:pPr>
              <w:pStyle w:val="28"/>
              <w:bidi w:val="0"/>
            </w:pPr>
            <w:r>
              <w:t>45</w:t>
            </w:r>
          </w:p>
        </w:tc>
        <w:tc>
          <w:tcPr>
            <w:tcW w:w="276" w:type="pct"/>
            <w:vAlign w:val="center"/>
          </w:tcPr>
          <w:p w14:paraId="16185CF5">
            <w:pPr>
              <w:pStyle w:val="28"/>
              <w:bidi w:val="0"/>
            </w:pPr>
            <w:r>
              <w:t>48.6</w:t>
            </w:r>
          </w:p>
        </w:tc>
        <w:tc>
          <w:tcPr>
            <w:tcW w:w="257" w:type="pct"/>
            <w:vAlign w:val="center"/>
          </w:tcPr>
          <w:p w14:paraId="381C5880">
            <w:pPr>
              <w:pStyle w:val="28"/>
              <w:bidi w:val="0"/>
            </w:pPr>
            <w:r>
              <w:t>41.6</w:t>
            </w:r>
          </w:p>
        </w:tc>
        <w:tc>
          <w:tcPr>
            <w:tcW w:w="257" w:type="pct"/>
            <w:vAlign w:val="center"/>
          </w:tcPr>
          <w:p w14:paraId="2D556471">
            <w:pPr>
              <w:pStyle w:val="28"/>
              <w:bidi w:val="0"/>
            </w:pPr>
            <w:r>
              <w:t>52.7</w:t>
            </w:r>
          </w:p>
        </w:tc>
        <w:tc>
          <w:tcPr>
            <w:tcW w:w="257" w:type="pct"/>
            <w:vAlign w:val="center"/>
          </w:tcPr>
          <w:p w14:paraId="3AC18EE4">
            <w:pPr>
              <w:pStyle w:val="28"/>
              <w:bidi w:val="0"/>
            </w:pPr>
            <w:r>
              <w:t>0.4</w:t>
            </w:r>
          </w:p>
        </w:tc>
        <w:tc>
          <w:tcPr>
            <w:tcW w:w="209" w:type="pct"/>
            <w:vAlign w:val="center"/>
          </w:tcPr>
          <w:p w14:paraId="474717D9">
            <w:pPr>
              <w:pStyle w:val="28"/>
              <w:bidi w:val="0"/>
            </w:pPr>
            <w:r>
              <w:t>达标</w:t>
            </w:r>
          </w:p>
        </w:tc>
      </w:tr>
      <w:tr w14:paraId="6014F942">
        <w:tblPrEx>
          <w:tblCellMar>
            <w:top w:w="0" w:type="dxa"/>
            <w:left w:w="108" w:type="dxa"/>
            <w:bottom w:w="0" w:type="dxa"/>
            <w:right w:w="108" w:type="dxa"/>
          </w:tblCellMar>
        </w:tblPrEx>
        <w:trPr>
          <w:trHeight w:val="340" w:hRule="atLeast"/>
          <w:jc w:val="center"/>
        </w:trPr>
        <w:tc>
          <w:tcPr>
            <w:tcW w:w="685" w:type="pct"/>
            <w:vAlign w:val="center"/>
          </w:tcPr>
          <w:p w14:paraId="66A08692">
            <w:pPr>
              <w:pStyle w:val="28"/>
              <w:bidi w:val="0"/>
            </w:pPr>
            <w:r>
              <w:rPr>
                <w:rFonts w:hint="eastAsia"/>
              </w:rPr>
              <w:t>刘小</w:t>
            </w:r>
          </w:p>
        </w:tc>
        <w:tc>
          <w:tcPr>
            <w:tcW w:w="511" w:type="pct"/>
            <w:vAlign w:val="center"/>
          </w:tcPr>
          <w:p w14:paraId="01E90239">
            <w:pPr>
              <w:pStyle w:val="28"/>
              <w:bidi w:val="0"/>
            </w:pPr>
            <w:r>
              <w:rPr>
                <w:rFonts w:hint="eastAsia"/>
              </w:rPr>
              <w:t>机耕桥拆建</w:t>
            </w:r>
          </w:p>
        </w:tc>
        <w:tc>
          <w:tcPr>
            <w:tcW w:w="366" w:type="pct"/>
            <w:vAlign w:val="center"/>
          </w:tcPr>
          <w:p w14:paraId="26823799">
            <w:pPr>
              <w:pStyle w:val="28"/>
              <w:bidi w:val="0"/>
            </w:pPr>
            <w:r>
              <w:t>170</w:t>
            </w:r>
          </w:p>
        </w:tc>
        <w:tc>
          <w:tcPr>
            <w:tcW w:w="268" w:type="pct"/>
            <w:vMerge w:val="continue"/>
            <w:vAlign w:val="center"/>
          </w:tcPr>
          <w:p w14:paraId="4CCF7B0B">
            <w:pPr>
              <w:pStyle w:val="28"/>
              <w:bidi w:val="0"/>
            </w:pPr>
          </w:p>
        </w:tc>
        <w:tc>
          <w:tcPr>
            <w:tcW w:w="262" w:type="pct"/>
            <w:vAlign w:val="center"/>
          </w:tcPr>
          <w:p w14:paraId="16B2C6EA">
            <w:pPr>
              <w:pStyle w:val="28"/>
              <w:bidi w:val="0"/>
            </w:pPr>
            <w:r>
              <w:t>1</w:t>
            </w:r>
            <w:r>
              <w:rPr>
                <w:rFonts w:hint="eastAsia"/>
              </w:rPr>
              <w:t>类</w:t>
            </w:r>
          </w:p>
        </w:tc>
        <w:tc>
          <w:tcPr>
            <w:tcW w:w="809" w:type="pct"/>
            <w:vMerge w:val="continue"/>
            <w:vAlign w:val="center"/>
          </w:tcPr>
          <w:p w14:paraId="58C0A299">
            <w:pPr>
              <w:pStyle w:val="28"/>
              <w:bidi w:val="0"/>
            </w:pPr>
          </w:p>
        </w:tc>
        <w:tc>
          <w:tcPr>
            <w:tcW w:w="208" w:type="pct"/>
            <w:vAlign w:val="center"/>
          </w:tcPr>
          <w:p w14:paraId="314AFFE2">
            <w:pPr>
              <w:pStyle w:val="28"/>
              <w:bidi w:val="0"/>
            </w:pPr>
            <w:r>
              <w:t>52.3</w:t>
            </w:r>
          </w:p>
        </w:tc>
        <w:tc>
          <w:tcPr>
            <w:tcW w:w="211" w:type="pct"/>
            <w:vAlign w:val="center"/>
          </w:tcPr>
          <w:p w14:paraId="3E787CC0">
            <w:pPr>
              <w:pStyle w:val="28"/>
              <w:bidi w:val="0"/>
            </w:pPr>
            <w:r>
              <w:t>43.5</w:t>
            </w:r>
          </w:p>
        </w:tc>
        <w:tc>
          <w:tcPr>
            <w:tcW w:w="208" w:type="pct"/>
            <w:vAlign w:val="center"/>
          </w:tcPr>
          <w:p w14:paraId="42A0988E">
            <w:pPr>
              <w:pStyle w:val="28"/>
              <w:bidi w:val="0"/>
            </w:pPr>
            <w:r>
              <w:t>55</w:t>
            </w:r>
          </w:p>
        </w:tc>
        <w:tc>
          <w:tcPr>
            <w:tcW w:w="211" w:type="pct"/>
            <w:vAlign w:val="center"/>
          </w:tcPr>
          <w:p w14:paraId="44CDCFD1">
            <w:pPr>
              <w:pStyle w:val="28"/>
              <w:bidi w:val="0"/>
            </w:pPr>
            <w:r>
              <w:t>45</w:t>
            </w:r>
          </w:p>
        </w:tc>
        <w:tc>
          <w:tcPr>
            <w:tcW w:w="276" w:type="pct"/>
            <w:vAlign w:val="center"/>
          </w:tcPr>
          <w:p w14:paraId="35A8998F">
            <w:pPr>
              <w:pStyle w:val="28"/>
              <w:bidi w:val="0"/>
            </w:pPr>
            <w:r>
              <w:t>48.6</w:t>
            </w:r>
          </w:p>
        </w:tc>
        <w:tc>
          <w:tcPr>
            <w:tcW w:w="257" w:type="pct"/>
            <w:vAlign w:val="center"/>
          </w:tcPr>
          <w:p w14:paraId="3A6BFFBE">
            <w:pPr>
              <w:pStyle w:val="28"/>
              <w:bidi w:val="0"/>
            </w:pPr>
            <w:r>
              <w:t>41.6</w:t>
            </w:r>
          </w:p>
        </w:tc>
        <w:tc>
          <w:tcPr>
            <w:tcW w:w="257" w:type="pct"/>
            <w:vAlign w:val="center"/>
          </w:tcPr>
          <w:p w14:paraId="097F63BA">
            <w:pPr>
              <w:pStyle w:val="28"/>
              <w:bidi w:val="0"/>
            </w:pPr>
            <w:r>
              <w:t>52.7</w:t>
            </w:r>
          </w:p>
        </w:tc>
        <w:tc>
          <w:tcPr>
            <w:tcW w:w="257" w:type="pct"/>
            <w:vAlign w:val="center"/>
          </w:tcPr>
          <w:p w14:paraId="7C51BD22">
            <w:pPr>
              <w:pStyle w:val="28"/>
              <w:bidi w:val="0"/>
            </w:pPr>
            <w:r>
              <w:t>0.4</w:t>
            </w:r>
          </w:p>
        </w:tc>
        <w:tc>
          <w:tcPr>
            <w:tcW w:w="209" w:type="pct"/>
            <w:vAlign w:val="center"/>
          </w:tcPr>
          <w:p w14:paraId="0EA2A177">
            <w:pPr>
              <w:pStyle w:val="28"/>
              <w:bidi w:val="0"/>
            </w:pPr>
            <w:r>
              <w:t>达标</w:t>
            </w:r>
          </w:p>
        </w:tc>
      </w:tr>
      <w:tr w14:paraId="526F4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D18EB14">
            <w:pPr>
              <w:pStyle w:val="28"/>
              <w:bidi w:val="0"/>
            </w:pPr>
            <w:r>
              <w:rPr>
                <w:rFonts w:hint="eastAsia"/>
              </w:rPr>
              <w:t>刘岗</w:t>
            </w:r>
          </w:p>
        </w:tc>
        <w:tc>
          <w:tcPr>
            <w:tcW w:w="511" w:type="pct"/>
            <w:vAlign w:val="center"/>
          </w:tcPr>
          <w:p w14:paraId="1108324C">
            <w:pPr>
              <w:pStyle w:val="28"/>
              <w:bidi w:val="0"/>
            </w:pPr>
            <w:r>
              <w:rPr>
                <w:rFonts w:hint="eastAsia"/>
              </w:rPr>
              <w:t>机耕桥拆建</w:t>
            </w:r>
          </w:p>
        </w:tc>
        <w:tc>
          <w:tcPr>
            <w:tcW w:w="366" w:type="pct"/>
            <w:vAlign w:val="center"/>
          </w:tcPr>
          <w:p w14:paraId="50037AB9">
            <w:pPr>
              <w:pStyle w:val="28"/>
              <w:bidi w:val="0"/>
            </w:pPr>
            <w:r>
              <w:t>204</w:t>
            </w:r>
          </w:p>
        </w:tc>
        <w:tc>
          <w:tcPr>
            <w:tcW w:w="268" w:type="pct"/>
            <w:vAlign w:val="center"/>
          </w:tcPr>
          <w:p w14:paraId="6C26DD75">
            <w:pPr>
              <w:pStyle w:val="28"/>
              <w:bidi w:val="0"/>
            </w:pPr>
            <w:r>
              <w:rPr>
                <w:rFonts w:hint="eastAsia"/>
              </w:rPr>
              <w:t>左岸</w:t>
            </w:r>
          </w:p>
        </w:tc>
        <w:tc>
          <w:tcPr>
            <w:tcW w:w="262" w:type="pct"/>
            <w:vAlign w:val="center"/>
          </w:tcPr>
          <w:p w14:paraId="6FD85043">
            <w:pPr>
              <w:pStyle w:val="28"/>
              <w:bidi w:val="0"/>
            </w:pPr>
            <w:r>
              <w:t>1</w:t>
            </w:r>
            <w:r>
              <w:rPr>
                <w:rFonts w:hint="eastAsia"/>
              </w:rPr>
              <w:t>类</w:t>
            </w:r>
          </w:p>
        </w:tc>
        <w:tc>
          <w:tcPr>
            <w:tcW w:w="809" w:type="pct"/>
            <w:vMerge w:val="continue"/>
            <w:vAlign w:val="center"/>
          </w:tcPr>
          <w:p w14:paraId="2590A5C4">
            <w:pPr>
              <w:pStyle w:val="28"/>
              <w:bidi w:val="0"/>
            </w:pPr>
          </w:p>
        </w:tc>
        <w:tc>
          <w:tcPr>
            <w:tcW w:w="208" w:type="pct"/>
            <w:vAlign w:val="center"/>
          </w:tcPr>
          <w:p w14:paraId="2140C316">
            <w:pPr>
              <w:pStyle w:val="28"/>
              <w:bidi w:val="0"/>
            </w:pPr>
            <w:r>
              <w:t>52.3</w:t>
            </w:r>
          </w:p>
        </w:tc>
        <w:tc>
          <w:tcPr>
            <w:tcW w:w="211" w:type="pct"/>
            <w:vAlign w:val="center"/>
          </w:tcPr>
          <w:p w14:paraId="50570AAF">
            <w:pPr>
              <w:pStyle w:val="28"/>
              <w:bidi w:val="0"/>
            </w:pPr>
            <w:r>
              <w:t>43.5</w:t>
            </w:r>
          </w:p>
        </w:tc>
        <w:tc>
          <w:tcPr>
            <w:tcW w:w="208" w:type="pct"/>
            <w:vAlign w:val="center"/>
          </w:tcPr>
          <w:p w14:paraId="4B86A995">
            <w:pPr>
              <w:pStyle w:val="28"/>
              <w:bidi w:val="0"/>
            </w:pPr>
            <w:r>
              <w:t>55</w:t>
            </w:r>
          </w:p>
        </w:tc>
        <w:tc>
          <w:tcPr>
            <w:tcW w:w="211" w:type="pct"/>
            <w:vAlign w:val="center"/>
          </w:tcPr>
          <w:p w14:paraId="5BAAECE5">
            <w:pPr>
              <w:pStyle w:val="28"/>
              <w:bidi w:val="0"/>
            </w:pPr>
            <w:r>
              <w:t>45</w:t>
            </w:r>
          </w:p>
        </w:tc>
        <w:tc>
          <w:tcPr>
            <w:tcW w:w="276" w:type="pct"/>
            <w:vAlign w:val="center"/>
          </w:tcPr>
          <w:p w14:paraId="6DC4DF81">
            <w:pPr>
              <w:pStyle w:val="28"/>
              <w:bidi w:val="0"/>
            </w:pPr>
            <w:r>
              <w:t>47.0</w:t>
            </w:r>
          </w:p>
        </w:tc>
        <w:tc>
          <w:tcPr>
            <w:tcW w:w="257" w:type="pct"/>
            <w:vAlign w:val="center"/>
          </w:tcPr>
          <w:p w14:paraId="3398A0AB">
            <w:pPr>
              <w:pStyle w:val="28"/>
              <w:bidi w:val="0"/>
            </w:pPr>
            <w:r>
              <w:t>40.0</w:t>
            </w:r>
          </w:p>
        </w:tc>
        <w:tc>
          <w:tcPr>
            <w:tcW w:w="257" w:type="pct"/>
            <w:vAlign w:val="center"/>
          </w:tcPr>
          <w:p w14:paraId="18F72A33">
            <w:pPr>
              <w:pStyle w:val="28"/>
              <w:bidi w:val="0"/>
            </w:pPr>
            <w:r>
              <w:t>52.5</w:t>
            </w:r>
          </w:p>
        </w:tc>
        <w:tc>
          <w:tcPr>
            <w:tcW w:w="257" w:type="pct"/>
            <w:vAlign w:val="center"/>
          </w:tcPr>
          <w:p w14:paraId="2050787B">
            <w:pPr>
              <w:pStyle w:val="28"/>
              <w:bidi w:val="0"/>
            </w:pPr>
            <w:r>
              <w:t>0.2</w:t>
            </w:r>
          </w:p>
        </w:tc>
        <w:tc>
          <w:tcPr>
            <w:tcW w:w="209" w:type="pct"/>
            <w:vAlign w:val="center"/>
          </w:tcPr>
          <w:p w14:paraId="0E1367CD">
            <w:pPr>
              <w:pStyle w:val="28"/>
              <w:bidi w:val="0"/>
            </w:pPr>
            <w:r>
              <w:t>达标</w:t>
            </w:r>
          </w:p>
        </w:tc>
      </w:tr>
      <w:tr w14:paraId="0BCE7F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20BB0CC">
            <w:pPr>
              <w:pStyle w:val="28"/>
              <w:bidi w:val="0"/>
            </w:pPr>
            <w:r>
              <w:rPr>
                <w:rFonts w:hint="eastAsia"/>
              </w:rPr>
              <w:t>烂稻冲</w:t>
            </w:r>
          </w:p>
        </w:tc>
        <w:tc>
          <w:tcPr>
            <w:tcW w:w="511" w:type="pct"/>
            <w:vAlign w:val="center"/>
          </w:tcPr>
          <w:p w14:paraId="28928D79">
            <w:pPr>
              <w:pStyle w:val="28"/>
              <w:bidi w:val="0"/>
            </w:pPr>
            <w:r>
              <w:rPr>
                <w:rFonts w:hint="eastAsia"/>
              </w:rPr>
              <w:t>放水涵拆建</w:t>
            </w:r>
          </w:p>
        </w:tc>
        <w:tc>
          <w:tcPr>
            <w:tcW w:w="366" w:type="pct"/>
            <w:vAlign w:val="center"/>
          </w:tcPr>
          <w:p w14:paraId="17C5D105">
            <w:pPr>
              <w:pStyle w:val="28"/>
              <w:bidi w:val="0"/>
            </w:pPr>
            <w:r>
              <w:t>335</w:t>
            </w:r>
          </w:p>
        </w:tc>
        <w:tc>
          <w:tcPr>
            <w:tcW w:w="268" w:type="pct"/>
            <w:vAlign w:val="center"/>
          </w:tcPr>
          <w:p w14:paraId="0ECE7AE1">
            <w:pPr>
              <w:pStyle w:val="28"/>
              <w:bidi w:val="0"/>
            </w:pPr>
            <w:r>
              <w:rPr>
                <w:rFonts w:hint="eastAsia"/>
              </w:rPr>
              <w:t>左岸</w:t>
            </w:r>
          </w:p>
        </w:tc>
        <w:tc>
          <w:tcPr>
            <w:tcW w:w="262" w:type="pct"/>
            <w:vAlign w:val="center"/>
          </w:tcPr>
          <w:p w14:paraId="2EE65C9D">
            <w:pPr>
              <w:pStyle w:val="28"/>
              <w:bidi w:val="0"/>
            </w:pPr>
            <w:r>
              <w:t>1</w:t>
            </w:r>
            <w:r>
              <w:rPr>
                <w:rFonts w:hint="eastAsia"/>
              </w:rPr>
              <w:t>类</w:t>
            </w:r>
          </w:p>
        </w:tc>
        <w:tc>
          <w:tcPr>
            <w:tcW w:w="809" w:type="pct"/>
            <w:vMerge w:val="continue"/>
            <w:vAlign w:val="center"/>
          </w:tcPr>
          <w:p w14:paraId="7161048E">
            <w:pPr>
              <w:pStyle w:val="28"/>
              <w:bidi w:val="0"/>
            </w:pPr>
          </w:p>
        </w:tc>
        <w:tc>
          <w:tcPr>
            <w:tcW w:w="208" w:type="pct"/>
            <w:vAlign w:val="center"/>
          </w:tcPr>
          <w:p w14:paraId="0563002F">
            <w:pPr>
              <w:pStyle w:val="28"/>
              <w:bidi w:val="0"/>
            </w:pPr>
            <w:r>
              <w:t>52.3</w:t>
            </w:r>
          </w:p>
        </w:tc>
        <w:tc>
          <w:tcPr>
            <w:tcW w:w="211" w:type="pct"/>
            <w:vAlign w:val="center"/>
          </w:tcPr>
          <w:p w14:paraId="7F315BCB">
            <w:pPr>
              <w:pStyle w:val="28"/>
              <w:bidi w:val="0"/>
            </w:pPr>
            <w:r>
              <w:t>43.5</w:t>
            </w:r>
          </w:p>
        </w:tc>
        <w:tc>
          <w:tcPr>
            <w:tcW w:w="208" w:type="pct"/>
            <w:vAlign w:val="center"/>
          </w:tcPr>
          <w:p w14:paraId="1EBCA5F4">
            <w:pPr>
              <w:pStyle w:val="28"/>
              <w:bidi w:val="0"/>
            </w:pPr>
            <w:r>
              <w:t>55</w:t>
            </w:r>
          </w:p>
        </w:tc>
        <w:tc>
          <w:tcPr>
            <w:tcW w:w="211" w:type="pct"/>
            <w:vAlign w:val="center"/>
          </w:tcPr>
          <w:p w14:paraId="464533AD">
            <w:pPr>
              <w:pStyle w:val="28"/>
              <w:bidi w:val="0"/>
            </w:pPr>
            <w:r>
              <w:t>45</w:t>
            </w:r>
          </w:p>
        </w:tc>
        <w:tc>
          <w:tcPr>
            <w:tcW w:w="276" w:type="pct"/>
            <w:vAlign w:val="center"/>
          </w:tcPr>
          <w:p w14:paraId="6DB1158D">
            <w:pPr>
              <w:pStyle w:val="28"/>
              <w:bidi w:val="0"/>
            </w:pPr>
            <w:r>
              <w:t>42.7</w:t>
            </w:r>
          </w:p>
        </w:tc>
        <w:tc>
          <w:tcPr>
            <w:tcW w:w="257" w:type="pct"/>
            <w:vAlign w:val="center"/>
          </w:tcPr>
          <w:p w14:paraId="098611E9">
            <w:pPr>
              <w:pStyle w:val="28"/>
              <w:bidi w:val="0"/>
            </w:pPr>
            <w:r>
              <w:t>35.7</w:t>
            </w:r>
          </w:p>
        </w:tc>
        <w:tc>
          <w:tcPr>
            <w:tcW w:w="257" w:type="pct"/>
            <w:vAlign w:val="center"/>
          </w:tcPr>
          <w:p w14:paraId="6503FAEC">
            <w:pPr>
              <w:pStyle w:val="28"/>
              <w:bidi w:val="0"/>
            </w:pPr>
            <w:r>
              <w:t>52.4</w:t>
            </w:r>
          </w:p>
        </w:tc>
        <w:tc>
          <w:tcPr>
            <w:tcW w:w="257" w:type="pct"/>
            <w:vAlign w:val="center"/>
          </w:tcPr>
          <w:p w14:paraId="34DE3376">
            <w:pPr>
              <w:pStyle w:val="28"/>
              <w:bidi w:val="0"/>
            </w:pPr>
            <w:r>
              <w:t>0.1</w:t>
            </w:r>
          </w:p>
        </w:tc>
        <w:tc>
          <w:tcPr>
            <w:tcW w:w="209" w:type="pct"/>
            <w:vAlign w:val="center"/>
          </w:tcPr>
          <w:p w14:paraId="04DD1352">
            <w:pPr>
              <w:pStyle w:val="28"/>
              <w:bidi w:val="0"/>
            </w:pPr>
            <w:r>
              <w:t>达标</w:t>
            </w:r>
          </w:p>
        </w:tc>
      </w:tr>
      <w:tr w14:paraId="6F6347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3F12DD7">
            <w:pPr>
              <w:pStyle w:val="28"/>
              <w:bidi w:val="0"/>
            </w:pPr>
            <w:r>
              <w:rPr>
                <w:rFonts w:hint="eastAsia"/>
              </w:rPr>
              <w:t>瓦小岗</w:t>
            </w:r>
          </w:p>
        </w:tc>
        <w:tc>
          <w:tcPr>
            <w:tcW w:w="511" w:type="pct"/>
            <w:vAlign w:val="center"/>
          </w:tcPr>
          <w:p w14:paraId="22FABA00">
            <w:pPr>
              <w:pStyle w:val="28"/>
              <w:bidi w:val="0"/>
            </w:pPr>
            <w:r>
              <w:rPr>
                <w:rFonts w:hint="eastAsia"/>
              </w:rPr>
              <w:t>机耕桥拆建</w:t>
            </w:r>
          </w:p>
        </w:tc>
        <w:tc>
          <w:tcPr>
            <w:tcW w:w="366" w:type="pct"/>
            <w:vAlign w:val="center"/>
          </w:tcPr>
          <w:p w14:paraId="2AD7F32C">
            <w:pPr>
              <w:pStyle w:val="28"/>
              <w:bidi w:val="0"/>
            </w:pPr>
            <w:r>
              <w:t>60</w:t>
            </w:r>
          </w:p>
        </w:tc>
        <w:tc>
          <w:tcPr>
            <w:tcW w:w="268" w:type="pct"/>
            <w:vAlign w:val="center"/>
          </w:tcPr>
          <w:p w14:paraId="3CA9A52D">
            <w:pPr>
              <w:pStyle w:val="28"/>
              <w:bidi w:val="0"/>
            </w:pPr>
            <w:r>
              <w:rPr>
                <w:rFonts w:hint="eastAsia"/>
              </w:rPr>
              <w:t>左岸</w:t>
            </w:r>
          </w:p>
        </w:tc>
        <w:tc>
          <w:tcPr>
            <w:tcW w:w="262" w:type="pct"/>
            <w:vAlign w:val="center"/>
          </w:tcPr>
          <w:p w14:paraId="4D8CC5A6">
            <w:pPr>
              <w:pStyle w:val="28"/>
              <w:bidi w:val="0"/>
            </w:pPr>
            <w:r>
              <w:t>1</w:t>
            </w:r>
            <w:r>
              <w:rPr>
                <w:rFonts w:hint="eastAsia"/>
              </w:rPr>
              <w:t>类</w:t>
            </w:r>
          </w:p>
        </w:tc>
        <w:tc>
          <w:tcPr>
            <w:tcW w:w="809" w:type="pct"/>
            <w:vMerge w:val="continue"/>
            <w:vAlign w:val="center"/>
          </w:tcPr>
          <w:p w14:paraId="3197B6F6">
            <w:pPr>
              <w:pStyle w:val="28"/>
              <w:bidi w:val="0"/>
            </w:pPr>
          </w:p>
        </w:tc>
        <w:tc>
          <w:tcPr>
            <w:tcW w:w="208" w:type="pct"/>
            <w:vAlign w:val="center"/>
          </w:tcPr>
          <w:p w14:paraId="004FB8ED">
            <w:pPr>
              <w:pStyle w:val="28"/>
              <w:bidi w:val="0"/>
            </w:pPr>
            <w:r>
              <w:t>52.3</w:t>
            </w:r>
          </w:p>
        </w:tc>
        <w:tc>
          <w:tcPr>
            <w:tcW w:w="211" w:type="pct"/>
            <w:vAlign w:val="center"/>
          </w:tcPr>
          <w:p w14:paraId="0ED353A2">
            <w:pPr>
              <w:pStyle w:val="28"/>
              <w:bidi w:val="0"/>
            </w:pPr>
            <w:r>
              <w:t>43.5</w:t>
            </w:r>
          </w:p>
        </w:tc>
        <w:tc>
          <w:tcPr>
            <w:tcW w:w="208" w:type="pct"/>
            <w:vAlign w:val="center"/>
          </w:tcPr>
          <w:p w14:paraId="71880644">
            <w:pPr>
              <w:pStyle w:val="28"/>
              <w:bidi w:val="0"/>
            </w:pPr>
            <w:r>
              <w:t>55</w:t>
            </w:r>
          </w:p>
        </w:tc>
        <w:tc>
          <w:tcPr>
            <w:tcW w:w="211" w:type="pct"/>
            <w:vAlign w:val="center"/>
          </w:tcPr>
          <w:p w14:paraId="0342C716">
            <w:pPr>
              <w:pStyle w:val="28"/>
              <w:bidi w:val="0"/>
            </w:pPr>
            <w:r>
              <w:t>45</w:t>
            </w:r>
          </w:p>
        </w:tc>
        <w:tc>
          <w:tcPr>
            <w:tcW w:w="276" w:type="pct"/>
            <w:vAlign w:val="center"/>
          </w:tcPr>
          <w:p w14:paraId="04591629">
            <w:pPr>
              <w:pStyle w:val="28"/>
              <w:bidi w:val="0"/>
            </w:pPr>
            <w:r>
              <w:t>57.6</w:t>
            </w:r>
          </w:p>
        </w:tc>
        <w:tc>
          <w:tcPr>
            <w:tcW w:w="257" w:type="pct"/>
            <w:vAlign w:val="center"/>
          </w:tcPr>
          <w:p w14:paraId="699A2A6B">
            <w:pPr>
              <w:pStyle w:val="28"/>
              <w:bidi w:val="0"/>
            </w:pPr>
            <w:r>
              <w:t>50.6</w:t>
            </w:r>
          </w:p>
        </w:tc>
        <w:tc>
          <w:tcPr>
            <w:tcW w:w="257" w:type="pct"/>
            <w:vAlign w:val="center"/>
          </w:tcPr>
          <w:p w14:paraId="3D9FB1DF">
            <w:pPr>
              <w:pStyle w:val="28"/>
              <w:bidi w:val="0"/>
            </w:pPr>
            <w:r>
              <w:t>54.6</w:t>
            </w:r>
          </w:p>
        </w:tc>
        <w:tc>
          <w:tcPr>
            <w:tcW w:w="257" w:type="pct"/>
            <w:vAlign w:val="center"/>
          </w:tcPr>
          <w:p w14:paraId="02302C45">
            <w:pPr>
              <w:pStyle w:val="28"/>
              <w:bidi w:val="0"/>
            </w:pPr>
            <w:r>
              <w:t>2.3</w:t>
            </w:r>
          </w:p>
        </w:tc>
        <w:tc>
          <w:tcPr>
            <w:tcW w:w="209" w:type="pct"/>
            <w:vAlign w:val="center"/>
          </w:tcPr>
          <w:p w14:paraId="21FA9611">
            <w:pPr>
              <w:pStyle w:val="28"/>
              <w:bidi w:val="0"/>
            </w:pPr>
            <w:r>
              <w:t>达标</w:t>
            </w:r>
          </w:p>
        </w:tc>
      </w:tr>
      <w:tr w14:paraId="1C8F6AA7">
        <w:tblPrEx>
          <w:tblCellMar>
            <w:top w:w="0" w:type="dxa"/>
            <w:left w:w="108" w:type="dxa"/>
            <w:bottom w:w="0" w:type="dxa"/>
            <w:right w:w="108" w:type="dxa"/>
          </w:tblCellMar>
        </w:tblPrEx>
        <w:trPr>
          <w:trHeight w:val="340" w:hRule="atLeast"/>
          <w:jc w:val="center"/>
        </w:trPr>
        <w:tc>
          <w:tcPr>
            <w:tcW w:w="685" w:type="pct"/>
            <w:vAlign w:val="center"/>
          </w:tcPr>
          <w:p w14:paraId="619DCBD8">
            <w:pPr>
              <w:pStyle w:val="28"/>
              <w:bidi w:val="0"/>
            </w:pPr>
            <w:r>
              <w:rPr>
                <w:rFonts w:hint="eastAsia"/>
              </w:rPr>
              <w:t>万塘拐</w:t>
            </w:r>
          </w:p>
        </w:tc>
        <w:tc>
          <w:tcPr>
            <w:tcW w:w="511" w:type="pct"/>
            <w:vAlign w:val="center"/>
          </w:tcPr>
          <w:p w14:paraId="45C83643">
            <w:pPr>
              <w:pStyle w:val="28"/>
              <w:bidi w:val="0"/>
            </w:pPr>
            <w:r>
              <w:rPr>
                <w:rFonts w:hint="eastAsia"/>
              </w:rPr>
              <w:t>放水涵拆建</w:t>
            </w:r>
          </w:p>
        </w:tc>
        <w:tc>
          <w:tcPr>
            <w:tcW w:w="366" w:type="pct"/>
            <w:vAlign w:val="center"/>
          </w:tcPr>
          <w:p w14:paraId="10F5B61E">
            <w:pPr>
              <w:pStyle w:val="28"/>
              <w:bidi w:val="0"/>
            </w:pPr>
            <w:r>
              <w:t>130</w:t>
            </w:r>
          </w:p>
        </w:tc>
        <w:tc>
          <w:tcPr>
            <w:tcW w:w="268" w:type="pct"/>
            <w:vAlign w:val="center"/>
          </w:tcPr>
          <w:p w14:paraId="3E10F3A5">
            <w:pPr>
              <w:pStyle w:val="28"/>
              <w:bidi w:val="0"/>
            </w:pPr>
            <w:r>
              <w:rPr>
                <w:rFonts w:hint="eastAsia"/>
              </w:rPr>
              <w:t>左岸</w:t>
            </w:r>
          </w:p>
        </w:tc>
        <w:tc>
          <w:tcPr>
            <w:tcW w:w="262" w:type="pct"/>
            <w:vAlign w:val="center"/>
          </w:tcPr>
          <w:p w14:paraId="431FC38A">
            <w:pPr>
              <w:pStyle w:val="28"/>
              <w:bidi w:val="0"/>
            </w:pPr>
            <w:r>
              <w:t>1</w:t>
            </w:r>
            <w:r>
              <w:rPr>
                <w:rFonts w:hint="eastAsia"/>
              </w:rPr>
              <w:t>类</w:t>
            </w:r>
          </w:p>
        </w:tc>
        <w:tc>
          <w:tcPr>
            <w:tcW w:w="809" w:type="pct"/>
            <w:vMerge w:val="continue"/>
            <w:vAlign w:val="center"/>
          </w:tcPr>
          <w:p w14:paraId="0B0BDBD6">
            <w:pPr>
              <w:pStyle w:val="28"/>
              <w:bidi w:val="0"/>
            </w:pPr>
          </w:p>
        </w:tc>
        <w:tc>
          <w:tcPr>
            <w:tcW w:w="208" w:type="pct"/>
            <w:vAlign w:val="center"/>
          </w:tcPr>
          <w:p w14:paraId="08E117E6">
            <w:pPr>
              <w:pStyle w:val="28"/>
              <w:bidi w:val="0"/>
            </w:pPr>
            <w:r>
              <w:t>52.3</w:t>
            </w:r>
          </w:p>
        </w:tc>
        <w:tc>
          <w:tcPr>
            <w:tcW w:w="211" w:type="pct"/>
            <w:vAlign w:val="center"/>
          </w:tcPr>
          <w:p w14:paraId="0BB7A4C7">
            <w:pPr>
              <w:pStyle w:val="28"/>
              <w:bidi w:val="0"/>
            </w:pPr>
            <w:r>
              <w:t>43.5</w:t>
            </w:r>
          </w:p>
        </w:tc>
        <w:tc>
          <w:tcPr>
            <w:tcW w:w="208" w:type="pct"/>
            <w:vAlign w:val="center"/>
          </w:tcPr>
          <w:p w14:paraId="16B540BD">
            <w:pPr>
              <w:pStyle w:val="28"/>
              <w:bidi w:val="0"/>
            </w:pPr>
            <w:r>
              <w:t>55</w:t>
            </w:r>
          </w:p>
        </w:tc>
        <w:tc>
          <w:tcPr>
            <w:tcW w:w="211" w:type="pct"/>
            <w:vAlign w:val="center"/>
          </w:tcPr>
          <w:p w14:paraId="5767432E">
            <w:pPr>
              <w:pStyle w:val="28"/>
              <w:bidi w:val="0"/>
            </w:pPr>
            <w:r>
              <w:t>45</w:t>
            </w:r>
          </w:p>
        </w:tc>
        <w:tc>
          <w:tcPr>
            <w:tcW w:w="276" w:type="pct"/>
            <w:vAlign w:val="center"/>
          </w:tcPr>
          <w:p w14:paraId="35800D9B">
            <w:pPr>
              <w:pStyle w:val="28"/>
              <w:bidi w:val="0"/>
            </w:pPr>
            <w:r>
              <w:t>50.9</w:t>
            </w:r>
          </w:p>
        </w:tc>
        <w:tc>
          <w:tcPr>
            <w:tcW w:w="257" w:type="pct"/>
            <w:vAlign w:val="center"/>
          </w:tcPr>
          <w:p w14:paraId="5BB7549C">
            <w:pPr>
              <w:pStyle w:val="28"/>
              <w:bidi w:val="0"/>
            </w:pPr>
            <w:r>
              <w:t>43.9</w:t>
            </w:r>
          </w:p>
        </w:tc>
        <w:tc>
          <w:tcPr>
            <w:tcW w:w="257" w:type="pct"/>
            <w:vAlign w:val="center"/>
          </w:tcPr>
          <w:p w14:paraId="7C5FA183">
            <w:pPr>
              <w:pStyle w:val="28"/>
              <w:bidi w:val="0"/>
            </w:pPr>
            <w:r>
              <w:t>52.9</w:t>
            </w:r>
          </w:p>
        </w:tc>
        <w:tc>
          <w:tcPr>
            <w:tcW w:w="257" w:type="pct"/>
            <w:vAlign w:val="center"/>
          </w:tcPr>
          <w:p w14:paraId="19708F2C">
            <w:pPr>
              <w:pStyle w:val="28"/>
              <w:bidi w:val="0"/>
            </w:pPr>
            <w:r>
              <w:t>0.6</w:t>
            </w:r>
          </w:p>
        </w:tc>
        <w:tc>
          <w:tcPr>
            <w:tcW w:w="209" w:type="pct"/>
            <w:vAlign w:val="center"/>
          </w:tcPr>
          <w:p w14:paraId="3A02FE6A">
            <w:pPr>
              <w:pStyle w:val="28"/>
              <w:bidi w:val="0"/>
            </w:pPr>
            <w:r>
              <w:t>达标</w:t>
            </w:r>
          </w:p>
        </w:tc>
      </w:tr>
      <w:tr w14:paraId="12AD3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077A156">
            <w:pPr>
              <w:pStyle w:val="28"/>
              <w:bidi w:val="0"/>
            </w:pPr>
            <w:r>
              <w:rPr>
                <w:rFonts w:hint="eastAsia"/>
              </w:rPr>
              <w:t>凌大郢</w:t>
            </w:r>
          </w:p>
        </w:tc>
        <w:tc>
          <w:tcPr>
            <w:tcW w:w="511" w:type="pct"/>
            <w:vAlign w:val="center"/>
          </w:tcPr>
          <w:p w14:paraId="28A42964">
            <w:pPr>
              <w:pStyle w:val="28"/>
              <w:bidi w:val="0"/>
            </w:pPr>
            <w:r>
              <w:rPr>
                <w:rFonts w:hint="eastAsia"/>
              </w:rPr>
              <w:t>机耕桥拆建</w:t>
            </w:r>
          </w:p>
        </w:tc>
        <w:tc>
          <w:tcPr>
            <w:tcW w:w="366" w:type="pct"/>
            <w:vAlign w:val="center"/>
          </w:tcPr>
          <w:p w14:paraId="0888A2B5">
            <w:pPr>
              <w:pStyle w:val="28"/>
              <w:bidi w:val="0"/>
            </w:pPr>
            <w:r>
              <w:t>54</w:t>
            </w:r>
          </w:p>
        </w:tc>
        <w:tc>
          <w:tcPr>
            <w:tcW w:w="268" w:type="pct"/>
            <w:vAlign w:val="center"/>
          </w:tcPr>
          <w:p w14:paraId="59D4C1C4">
            <w:pPr>
              <w:pStyle w:val="28"/>
              <w:bidi w:val="0"/>
            </w:pPr>
            <w:r>
              <w:rPr>
                <w:rFonts w:hint="eastAsia"/>
              </w:rPr>
              <w:t>右岸</w:t>
            </w:r>
          </w:p>
        </w:tc>
        <w:tc>
          <w:tcPr>
            <w:tcW w:w="262" w:type="pct"/>
            <w:vAlign w:val="center"/>
          </w:tcPr>
          <w:p w14:paraId="06552496">
            <w:pPr>
              <w:pStyle w:val="28"/>
              <w:bidi w:val="0"/>
            </w:pPr>
            <w:r>
              <w:t>1</w:t>
            </w:r>
            <w:r>
              <w:rPr>
                <w:rFonts w:hint="eastAsia"/>
              </w:rPr>
              <w:t>类</w:t>
            </w:r>
          </w:p>
        </w:tc>
        <w:tc>
          <w:tcPr>
            <w:tcW w:w="809" w:type="pct"/>
            <w:vMerge w:val="continue"/>
            <w:vAlign w:val="center"/>
          </w:tcPr>
          <w:p w14:paraId="4CF103A0">
            <w:pPr>
              <w:pStyle w:val="28"/>
              <w:bidi w:val="0"/>
            </w:pPr>
          </w:p>
        </w:tc>
        <w:tc>
          <w:tcPr>
            <w:tcW w:w="208" w:type="pct"/>
            <w:vAlign w:val="center"/>
          </w:tcPr>
          <w:p w14:paraId="7C9050CD">
            <w:pPr>
              <w:pStyle w:val="28"/>
              <w:bidi w:val="0"/>
            </w:pPr>
            <w:r>
              <w:t>52.3</w:t>
            </w:r>
          </w:p>
        </w:tc>
        <w:tc>
          <w:tcPr>
            <w:tcW w:w="211" w:type="pct"/>
            <w:vAlign w:val="center"/>
          </w:tcPr>
          <w:p w14:paraId="21DA02CF">
            <w:pPr>
              <w:pStyle w:val="28"/>
              <w:bidi w:val="0"/>
            </w:pPr>
            <w:r>
              <w:t>43.5</w:t>
            </w:r>
          </w:p>
        </w:tc>
        <w:tc>
          <w:tcPr>
            <w:tcW w:w="208" w:type="pct"/>
            <w:vAlign w:val="center"/>
          </w:tcPr>
          <w:p w14:paraId="36454323">
            <w:pPr>
              <w:pStyle w:val="28"/>
              <w:bidi w:val="0"/>
            </w:pPr>
            <w:r>
              <w:t>55</w:t>
            </w:r>
          </w:p>
        </w:tc>
        <w:tc>
          <w:tcPr>
            <w:tcW w:w="211" w:type="pct"/>
            <w:vAlign w:val="center"/>
          </w:tcPr>
          <w:p w14:paraId="54D33EC0">
            <w:pPr>
              <w:pStyle w:val="28"/>
              <w:bidi w:val="0"/>
            </w:pPr>
            <w:r>
              <w:t>45</w:t>
            </w:r>
          </w:p>
        </w:tc>
        <w:tc>
          <w:tcPr>
            <w:tcW w:w="276" w:type="pct"/>
            <w:vAlign w:val="center"/>
          </w:tcPr>
          <w:p w14:paraId="38A7D11C">
            <w:pPr>
              <w:pStyle w:val="28"/>
              <w:bidi w:val="0"/>
            </w:pPr>
            <w:r>
              <w:t>58.6</w:t>
            </w:r>
          </w:p>
        </w:tc>
        <w:tc>
          <w:tcPr>
            <w:tcW w:w="257" w:type="pct"/>
            <w:vAlign w:val="center"/>
          </w:tcPr>
          <w:p w14:paraId="37CC9F4E">
            <w:pPr>
              <w:pStyle w:val="28"/>
              <w:bidi w:val="0"/>
            </w:pPr>
            <w:r>
              <w:t>51.6</w:t>
            </w:r>
          </w:p>
        </w:tc>
        <w:tc>
          <w:tcPr>
            <w:tcW w:w="257" w:type="pct"/>
            <w:vAlign w:val="center"/>
          </w:tcPr>
          <w:p w14:paraId="24A65782">
            <w:pPr>
              <w:pStyle w:val="28"/>
              <w:bidi w:val="0"/>
            </w:pPr>
            <w:r>
              <w:t>55.0</w:t>
            </w:r>
          </w:p>
        </w:tc>
        <w:tc>
          <w:tcPr>
            <w:tcW w:w="257" w:type="pct"/>
            <w:vAlign w:val="center"/>
          </w:tcPr>
          <w:p w14:paraId="09B5F1D7">
            <w:pPr>
              <w:pStyle w:val="28"/>
              <w:bidi w:val="0"/>
            </w:pPr>
            <w:r>
              <w:t>2.7</w:t>
            </w:r>
          </w:p>
        </w:tc>
        <w:tc>
          <w:tcPr>
            <w:tcW w:w="209" w:type="pct"/>
            <w:vAlign w:val="center"/>
          </w:tcPr>
          <w:p w14:paraId="603F1105">
            <w:pPr>
              <w:pStyle w:val="28"/>
              <w:bidi w:val="0"/>
            </w:pPr>
            <w:r>
              <w:t>达标</w:t>
            </w:r>
          </w:p>
        </w:tc>
      </w:tr>
      <w:tr w14:paraId="6F82E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580B5F2">
            <w:pPr>
              <w:pStyle w:val="28"/>
              <w:bidi w:val="0"/>
            </w:pPr>
            <w:r>
              <w:rPr>
                <w:rFonts w:hint="eastAsia"/>
              </w:rPr>
              <w:t>唐郢</w:t>
            </w:r>
          </w:p>
        </w:tc>
        <w:tc>
          <w:tcPr>
            <w:tcW w:w="511" w:type="pct"/>
            <w:vAlign w:val="center"/>
          </w:tcPr>
          <w:p w14:paraId="0A087254">
            <w:pPr>
              <w:pStyle w:val="28"/>
              <w:bidi w:val="0"/>
            </w:pPr>
            <w:r>
              <w:rPr>
                <w:rFonts w:hint="eastAsia"/>
              </w:rPr>
              <w:t>节制闸拆建</w:t>
            </w:r>
          </w:p>
        </w:tc>
        <w:tc>
          <w:tcPr>
            <w:tcW w:w="366" w:type="pct"/>
            <w:vAlign w:val="center"/>
          </w:tcPr>
          <w:p w14:paraId="01EDC136">
            <w:pPr>
              <w:pStyle w:val="28"/>
              <w:bidi w:val="0"/>
            </w:pPr>
            <w:r>
              <w:t>90</w:t>
            </w:r>
          </w:p>
        </w:tc>
        <w:tc>
          <w:tcPr>
            <w:tcW w:w="268" w:type="pct"/>
            <w:vAlign w:val="center"/>
          </w:tcPr>
          <w:p w14:paraId="6CF5A3A7">
            <w:pPr>
              <w:pStyle w:val="28"/>
              <w:bidi w:val="0"/>
            </w:pPr>
            <w:r>
              <w:rPr>
                <w:rFonts w:hint="eastAsia"/>
              </w:rPr>
              <w:t>右岸</w:t>
            </w:r>
          </w:p>
        </w:tc>
        <w:tc>
          <w:tcPr>
            <w:tcW w:w="262" w:type="pct"/>
            <w:vAlign w:val="center"/>
          </w:tcPr>
          <w:p w14:paraId="56B0AA62">
            <w:pPr>
              <w:pStyle w:val="28"/>
              <w:bidi w:val="0"/>
            </w:pPr>
            <w:r>
              <w:t>1</w:t>
            </w:r>
            <w:r>
              <w:rPr>
                <w:rFonts w:hint="eastAsia"/>
              </w:rPr>
              <w:t>类</w:t>
            </w:r>
          </w:p>
        </w:tc>
        <w:tc>
          <w:tcPr>
            <w:tcW w:w="809" w:type="pct"/>
            <w:vMerge w:val="continue"/>
            <w:vAlign w:val="center"/>
          </w:tcPr>
          <w:p w14:paraId="67CF4471">
            <w:pPr>
              <w:pStyle w:val="28"/>
              <w:bidi w:val="0"/>
            </w:pPr>
          </w:p>
        </w:tc>
        <w:tc>
          <w:tcPr>
            <w:tcW w:w="208" w:type="pct"/>
            <w:vAlign w:val="center"/>
          </w:tcPr>
          <w:p w14:paraId="03FDFA27">
            <w:pPr>
              <w:pStyle w:val="28"/>
              <w:bidi w:val="0"/>
            </w:pPr>
            <w:r>
              <w:t>52.3</w:t>
            </w:r>
          </w:p>
        </w:tc>
        <w:tc>
          <w:tcPr>
            <w:tcW w:w="211" w:type="pct"/>
            <w:vAlign w:val="center"/>
          </w:tcPr>
          <w:p w14:paraId="19E60D2A">
            <w:pPr>
              <w:pStyle w:val="28"/>
              <w:bidi w:val="0"/>
            </w:pPr>
            <w:r>
              <w:t>43.5</w:t>
            </w:r>
          </w:p>
        </w:tc>
        <w:tc>
          <w:tcPr>
            <w:tcW w:w="208" w:type="pct"/>
            <w:vAlign w:val="center"/>
          </w:tcPr>
          <w:p w14:paraId="5E172390">
            <w:pPr>
              <w:pStyle w:val="28"/>
              <w:bidi w:val="0"/>
            </w:pPr>
            <w:r>
              <w:t>55</w:t>
            </w:r>
          </w:p>
        </w:tc>
        <w:tc>
          <w:tcPr>
            <w:tcW w:w="211" w:type="pct"/>
            <w:vAlign w:val="center"/>
          </w:tcPr>
          <w:p w14:paraId="1AFA56AD">
            <w:pPr>
              <w:pStyle w:val="28"/>
              <w:bidi w:val="0"/>
            </w:pPr>
            <w:r>
              <w:t>45</w:t>
            </w:r>
          </w:p>
        </w:tc>
        <w:tc>
          <w:tcPr>
            <w:tcW w:w="276" w:type="pct"/>
            <w:vAlign w:val="center"/>
          </w:tcPr>
          <w:p w14:paraId="5A639556">
            <w:pPr>
              <w:pStyle w:val="28"/>
              <w:bidi w:val="0"/>
            </w:pPr>
            <w:r>
              <w:t>54.1</w:t>
            </w:r>
          </w:p>
        </w:tc>
        <w:tc>
          <w:tcPr>
            <w:tcW w:w="257" w:type="pct"/>
            <w:vAlign w:val="center"/>
          </w:tcPr>
          <w:p w14:paraId="07222369">
            <w:pPr>
              <w:pStyle w:val="28"/>
              <w:bidi w:val="0"/>
            </w:pPr>
            <w:r>
              <w:t>47.1</w:t>
            </w:r>
          </w:p>
        </w:tc>
        <w:tc>
          <w:tcPr>
            <w:tcW w:w="257" w:type="pct"/>
            <w:vAlign w:val="center"/>
          </w:tcPr>
          <w:p w14:paraId="1B89CCC7">
            <w:pPr>
              <w:pStyle w:val="28"/>
              <w:bidi w:val="0"/>
            </w:pPr>
            <w:r>
              <w:t>53.5</w:t>
            </w:r>
          </w:p>
        </w:tc>
        <w:tc>
          <w:tcPr>
            <w:tcW w:w="257" w:type="pct"/>
            <w:vAlign w:val="center"/>
          </w:tcPr>
          <w:p w14:paraId="475B8B75">
            <w:pPr>
              <w:pStyle w:val="28"/>
              <w:bidi w:val="0"/>
            </w:pPr>
            <w:r>
              <w:t>1.2</w:t>
            </w:r>
          </w:p>
        </w:tc>
        <w:tc>
          <w:tcPr>
            <w:tcW w:w="209" w:type="pct"/>
            <w:vAlign w:val="center"/>
          </w:tcPr>
          <w:p w14:paraId="5437CEE4">
            <w:pPr>
              <w:pStyle w:val="28"/>
              <w:bidi w:val="0"/>
            </w:pPr>
            <w:r>
              <w:t>达标</w:t>
            </w:r>
          </w:p>
        </w:tc>
      </w:tr>
      <w:tr w14:paraId="1F802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92ECA50">
            <w:pPr>
              <w:pStyle w:val="28"/>
              <w:bidi w:val="0"/>
            </w:pPr>
            <w:r>
              <w:rPr>
                <w:rFonts w:hint="eastAsia"/>
              </w:rPr>
              <w:t>大路塘</w:t>
            </w:r>
          </w:p>
        </w:tc>
        <w:tc>
          <w:tcPr>
            <w:tcW w:w="511" w:type="pct"/>
            <w:vAlign w:val="center"/>
          </w:tcPr>
          <w:p w14:paraId="65D9E4AE">
            <w:pPr>
              <w:pStyle w:val="28"/>
              <w:bidi w:val="0"/>
            </w:pPr>
            <w:r>
              <w:rPr>
                <w:rFonts w:hint="eastAsia"/>
              </w:rPr>
              <w:t>渡槽拆建</w:t>
            </w:r>
          </w:p>
        </w:tc>
        <w:tc>
          <w:tcPr>
            <w:tcW w:w="366" w:type="pct"/>
            <w:vAlign w:val="center"/>
          </w:tcPr>
          <w:p w14:paraId="05F23AFF">
            <w:pPr>
              <w:pStyle w:val="28"/>
              <w:bidi w:val="0"/>
            </w:pPr>
            <w:r>
              <w:t>120</w:t>
            </w:r>
          </w:p>
        </w:tc>
        <w:tc>
          <w:tcPr>
            <w:tcW w:w="268" w:type="pct"/>
            <w:vAlign w:val="center"/>
          </w:tcPr>
          <w:p w14:paraId="57270CBD">
            <w:pPr>
              <w:pStyle w:val="28"/>
              <w:bidi w:val="0"/>
            </w:pPr>
            <w:r>
              <w:rPr>
                <w:rFonts w:hint="eastAsia"/>
              </w:rPr>
              <w:t>左岸</w:t>
            </w:r>
          </w:p>
        </w:tc>
        <w:tc>
          <w:tcPr>
            <w:tcW w:w="262" w:type="pct"/>
            <w:vAlign w:val="center"/>
          </w:tcPr>
          <w:p w14:paraId="4A47553B">
            <w:pPr>
              <w:pStyle w:val="28"/>
              <w:bidi w:val="0"/>
            </w:pPr>
            <w:r>
              <w:t>1</w:t>
            </w:r>
            <w:r>
              <w:rPr>
                <w:rFonts w:hint="eastAsia"/>
              </w:rPr>
              <w:t>类</w:t>
            </w:r>
          </w:p>
        </w:tc>
        <w:tc>
          <w:tcPr>
            <w:tcW w:w="809" w:type="pct"/>
            <w:vMerge w:val="continue"/>
            <w:vAlign w:val="center"/>
          </w:tcPr>
          <w:p w14:paraId="2F810758">
            <w:pPr>
              <w:pStyle w:val="28"/>
              <w:bidi w:val="0"/>
            </w:pPr>
          </w:p>
        </w:tc>
        <w:tc>
          <w:tcPr>
            <w:tcW w:w="208" w:type="pct"/>
            <w:vAlign w:val="center"/>
          </w:tcPr>
          <w:p w14:paraId="677E3E9A">
            <w:pPr>
              <w:pStyle w:val="28"/>
              <w:bidi w:val="0"/>
            </w:pPr>
            <w:r>
              <w:t>52.3</w:t>
            </w:r>
          </w:p>
        </w:tc>
        <w:tc>
          <w:tcPr>
            <w:tcW w:w="211" w:type="pct"/>
            <w:vAlign w:val="center"/>
          </w:tcPr>
          <w:p w14:paraId="15B4CC41">
            <w:pPr>
              <w:pStyle w:val="28"/>
              <w:bidi w:val="0"/>
            </w:pPr>
            <w:r>
              <w:t>43.5</w:t>
            </w:r>
          </w:p>
        </w:tc>
        <w:tc>
          <w:tcPr>
            <w:tcW w:w="208" w:type="pct"/>
            <w:vAlign w:val="center"/>
          </w:tcPr>
          <w:p w14:paraId="59067F5A">
            <w:pPr>
              <w:pStyle w:val="28"/>
              <w:bidi w:val="0"/>
            </w:pPr>
            <w:r>
              <w:t>55</w:t>
            </w:r>
          </w:p>
        </w:tc>
        <w:tc>
          <w:tcPr>
            <w:tcW w:w="211" w:type="pct"/>
            <w:vAlign w:val="center"/>
          </w:tcPr>
          <w:p w14:paraId="72B21EB3">
            <w:pPr>
              <w:pStyle w:val="28"/>
              <w:bidi w:val="0"/>
            </w:pPr>
            <w:r>
              <w:t>45</w:t>
            </w:r>
          </w:p>
        </w:tc>
        <w:tc>
          <w:tcPr>
            <w:tcW w:w="276" w:type="pct"/>
            <w:vAlign w:val="center"/>
          </w:tcPr>
          <w:p w14:paraId="51632FA5">
            <w:pPr>
              <w:pStyle w:val="28"/>
              <w:bidi w:val="0"/>
            </w:pPr>
            <w:r>
              <w:t>51.6</w:t>
            </w:r>
          </w:p>
        </w:tc>
        <w:tc>
          <w:tcPr>
            <w:tcW w:w="257" w:type="pct"/>
            <w:vAlign w:val="center"/>
          </w:tcPr>
          <w:p w14:paraId="4BC63609">
            <w:pPr>
              <w:pStyle w:val="28"/>
              <w:bidi w:val="0"/>
            </w:pPr>
            <w:r>
              <w:t>44.6</w:t>
            </w:r>
          </w:p>
        </w:tc>
        <w:tc>
          <w:tcPr>
            <w:tcW w:w="257" w:type="pct"/>
            <w:vAlign w:val="center"/>
          </w:tcPr>
          <w:p w14:paraId="73DF36F9">
            <w:pPr>
              <w:pStyle w:val="28"/>
              <w:bidi w:val="0"/>
            </w:pPr>
            <w:r>
              <w:t>53.0</w:t>
            </w:r>
          </w:p>
        </w:tc>
        <w:tc>
          <w:tcPr>
            <w:tcW w:w="257" w:type="pct"/>
            <w:vAlign w:val="center"/>
          </w:tcPr>
          <w:p w14:paraId="2AE1C846">
            <w:pPr>
              <w:pStyle w:val="28"/>
              <w:bidi w:val="0"/>
            </w:pPr>
            <w:r>
              <w:t>0.7</w:t>
            </w:r>
          </w:p>
        </w:tc>
        <w:tc>
          <w:tcPr>
            <w:tcW w:w="209" w:type="pct"/>
            <w:vAlign w:val="center"/>
          </w:tcPr>
          <w:p w14:paraId="28458FD8">
            <w:pPr>
              <w:pStyle w:val="28"/>
              <w:bidi w:val="0"/>
            </w:pPr>
            <w:r>
              <w:t>达标</w:t>
            </w:r>
          </w:p>
        </w:tc>
      </w:tr>
      <w:tr w14:paraId="7B44D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0E59DBF">
            <w:pPr>
              <w:pStyle w:val="28"/>
              <w:bidi w:val="0"/>
            </w:pPr>
            <w:r>
              <w:rPr>
                <w:rFonts w:hint="eastAsia"/>
              </w:rPr>
              <w:t>王大郢</w:t>
            </w:r>
          </w:p>
        </w:tc>
        <w:tc>
          <w:tcPr>
            <w:tcW w:w="511" w:type="pct"/>
            <w:vAlign w:val="center"/>
          </w:tcPr>
          <w:p w14:paraId="6AB3CAF0">
            <w:pPr>
              <w:pStyle w:val="28"/>
              <w:bidi w:val="0"/>
            </w:pPr>
            <w:r>
              <w:rPr>
                <w:rFonts w:hint="eastAsia"/>
              </w:rPr>
              <w:t>渠道护砌</w:t>
            </w:r>
          </w:p>
        </w:tc>
        <w:tc>
          <w:tcPr>
            <w:tcW w:w="366" w:type="pct"/>
            <w:vAlign w:val="center"/>
          </w:tcPr>
          <w:p w14:paraId="081D8F1D">
            <w:pPr>
              <w:pStyle w:val="28"/>
              <w:bidi w:val="0"/>
            </w:pPr>
            <w:r>
              <w:t>20</w:t>
            </w:r>
          </w:p>
        </w:tc>
        <w:tc>
          <w:tcPr>
            <w:tcW w:w="268" w:type="pct"/>
            <w:vAlign w:val="center"/>
          </w:tcPr>
          <w:p w14:paraId="373CC44E">
            <w:pPr>
              <w:pStyle w:val="28"/>
              <w:bidi w:val="0"/>
            </w:pPr>
            <w:r>
              <w:rPr>
                <w:rFonts w:hint="eastAsia"/>
              </w:rPr>
              <w:t>左岸</w:t>
            </w:r>
          </w:p>
        </w:tc>
        <w:tc>
          <w:tcPr>
            <w:tcW w:w="262" w:type="pct"/>
            <w:vAlign w:val="center"/>
          </w:tcPr>
          <w:p w14:paraId="51223F64">
            <w:pPr>
              <w:pStyle w:val="28"/>
              <w:bidi w:val="0"/>
            </w:pPr>
            <w:r>
              <w:t>1</w:t>
            </w:r>
            <w:r>
              <w:rPr>
                <w:rFonts w:hint="eastAsia"/>
              </w:rPr>
              <w:t>类</w:t>
            </w:r>
          </w:p>
        </w:tc>
        <w:tc>
          <w:tcPr>
            <w:tcW w:w="809" w:type="pct"/>
            <w:vMerge w:val="restart"/>
            <w:vAlign w:val="center"/>
          </w:tcPr>
          <w:p w14:paraId="492D5446">
            <w:pPr>
              <w:pStyle w:val="28"/>
              <w:bidi w:val="0"/>
            </w:pPr>
            <w:r>
              <w:rPr>
                <w:rFonts w:hint="eastAsia"/>
              </w:rPr>
              <w:t>采用低噪声设备，施工机械远离居民住宅，设置双层移动声屏障</w:t>
            </w:r>
          </w:p>
        </w:tc>
        <w:tc>
          <w:tcPr>
            <w:tcW w:w="208" w:type="pct"/>
            <w:vAlign w:val="center"/>
          </w:tcPr>
          <w:p w14:paraId="025F097C">
            <w:pPr>
              <w:pStyle w:val="28"/>
              <w:bidi w:val="0"/>
            </w:pPr>
            <w:r>
              <w:t>53.5</w:t>
            </w:r>
          </w:p>
        </w:tc>
        <w:tc>
          <w:tcPr>
            <w:tcW w:w="211" w:type="pct"/>
            <w:vAlign w:val="center"/>
          </w:tcPr>
          <w:p w14:paraId="64051B43">
            <w:pPr>
              <w:pStyle w:val="28"/>
              <w:bidi w:val="0"/>
            </w:pPr>
            <w:r>
              <w:t>42</w:t>
            </w:r>
          </w:p>
        </w:tc>
        <w:tc>
          <w:tcPr>
            <w:tcW w:w="208" w:type="pct"/>
            <w:vAlign w:val="center"/>
          </w:tcPr>
          <w:p w14:paraId="64AA6374">
            <w:pPr>
              <w:pStyle w:val="28"/>
              <w:bidi w:val="0"/>
            </w:pPr>
            <w:r>
              <w:t>55</w:t>
            </w:r>
          </w:p>
        </w:tc>
        <w:tc>
          <w:tcPr>
            <w:tcW w:w="211" w:type="pct"/>
            <w:vAlign w:val="center"/>
          </w:tcPr>
          <w:p w14:paraId="5974441C">
            <w:pPr>
              <w:pStyle w:val="28"/>
              <w:bidi w:val="0"/>
            </w:pPr>
            <w:r>
              <w:t>45</w:t>
            </w:r>
          </w:p>
        </w:tc>
        <w:tc>
          <w:tcPr>
            <w:tcW w:w="276" w:type="pct"/>
            <w:vAlign w:val="center"/>
          </w:tcPr>
          <w:p w14:paraId="528EBC5D">
            <w:pPr>
              <w:pStyle w:val="28"/>
              <w:bidi w:val="0"/>
            </w:pPr>
            <w:r>
              <w:t>65.8</w:t>
            </w:r>
          </w:p>
        </w:tc>
        <w:tc>
          <w:tcPr>
            <w:tcW w:w="257" w:type="pct"/>
            <w:vAlign w:val="center"/>
          </w:tcPr>
          <w:p w14:paraId="65AAF4B6">
            <w:pPr>
              <w:pStyle w:val="28"/>
              <w:bidi w:val="0"/>
            </w:pPr>
            <w:r>
              <w:t>45.8</w:t>
            </w:r>
          </w:p>
        </w:tc>
        <w:tc>
          <w:tcPr>
            <w:tcW w:w="257" w:type="pct"/>
            <w:vAlign w:val="center"/>
          </w:tcPr>
          <w:p w14:paraId="5044A39A">
            <w:pPr>
              <w:pStyle w:val="28"/>
              <w:bidi w:val="0"/>
            </w:pPr>
            <w:r>
              <w:t>54.2</w:t>
            </w:r>
          </w:p>
        </w:tc>
        <w:tc>
          <w:tcPr>
            <w:tcW w:w="257" w:type="pct"/>
            <w:vAlign w:val="center"/>
          </w:tcPr>
          <w:p w14:paraId="5AFEA4B7">
            <w:pPr>
              <w:pStyle w:val="28"/>
              <w:bidi w:val="0"/>
            </w:pPr>
            <w:r>
              <w:t>0.7</w:t>
            </w:r>
          </w:p>
        </w:tc>
        <w:tc>
          <w:tcPr>
            <w:tcW w:w="209" w:type="pct"/>
            <w:vAlign w:val="center"/>
          </w:tcPr>
          <w:p w14:paraId="54206532">
            <w:pPr>
              <w:pStyle w:val="28"/>
              <w:bidi w:val="0"/>
            </w:pPr>
            <w:r>
              <w:t>达标</w:t>
            </w:r>
          </w:p>
        </w:tc>
      </w:tr>
      <w:tr w14:paraId="5FFC0AA6">
        <w:tblPrEx>
          <w:tblCellMar>
            <w:top w:w="0" w:type="dxa"/>
            <w:left w:w="108" w:type="dxa"/>
            <w:bottom w:w="0" w:type="dxa"/>
            <w:right w:w="108" w:type="dxa"/>
          </w:tblCellMar>
        </w:tblPrEx>
        <w:trPr>
          <w:trHeight w:val="340" w:hRule="atLeast"/>
          <w:jc w:val="center"/>
        </w:trPr>
        <w:tc>
          <w:tcPr>
            <w:tcW w:w="685" w:type="pct"/>
            <w:vAlign w:val="center"/>
          </w:tcPr>
          <w:p w14:paraId="6768B5D6">
            <w:pPr>
              <w:pStyle w:val="28"/>
              <w:bidi w:val="0"/>
            </w:pPr>
            <w:r>
              <w:rPr>
                <w:rFonts w:hint="eastAsia"/>
              </w:rPr>
              <w:t>黄豆店</w:t>
            </w:r>
          </w:p>
        </w:tc>
        <w:tc>
          <w:tcPr>
            <w:tcW w:w="511" w:type="pct"/>
            <w:vAlign w:val="center"/>
          </w:tcPr>
          <w:p w14:paraId="2E67F23B">
            <w:pPr>
              <w:pStyle w:val="28"/>
              <w:bidi w:val="0"/>
            </w:pPr>
            <w:r>
              <w:rPr>
                <w:rFonts w:hint="eastAsia"/>
              </w:rPr>
              <w:t>渠道护砌</w:t>
            </w:r>
          </w:p>
        </w:tc>
        <w:tc>
          <w:tcPr>
            <w:tcW w:w="366" w:type="pct"/>
            <w:vAlign w:val="center"/>
          </w:tcPr>
          <w:p w14:paraId="648161D2">
            <w:pPr>
              <w:pStyle w:val="28"/>
              <w:bidi w:val="0"/>
            </w:pPr>
            <w:r>
              <w:t>20</w:t>
            </w:r>
          </w:p>
        </w:tc>
        <w:tc>
          <w:tcPr>
            <w:tcW w:w="268" w:type="pct"/>
            <w:vAlign w:val="center"/>
          </w:tcPr>
          <w:p w14:paraId="65E96C5E">
            <w:pPr>
              <w:pStyle w:val="28"/>
              <w:bidi w:val="0"/>
            </w:pPr>
            <w:r>
              <w:rPr>
                <w:rFonts w:hint="eastAsia"/>
              </w:rPr>
              <w:t>左岸</w:t>
            </w:r>
          </w:p>
        </w:tc>
        <w:tc>
          <w:tcPr>
            <w:tcW w:w="262" w:type="pct"/>
            <w:vAlign w:val="center"/>
          </w:tcPr>
          <w:p w14:paraId="50827FF9">
            <w:pPr>
              <w:pStyle w:val="28"/>
              <w:bidi w:val="0"/>
            </w:pPr>
            <w:r>
              <w:t>1</w:t>
            </w:r>
            <w:r>
              <w:rPr>
                <w:rFonts w:hint="eastAsia"/>
              </w:rPr>
              <w:t>类</w:t>
            </w:r>
          </w:p>
        </w:tc>
        <w:tc>
          <w:tcPr>
            <w:tcW w:w="809" w:type="pct"/>
            <w:vMerge w:val="continue"/>
            <w:vAlign w:val="center"/>
          </w:tcPr>
          <w:p w14:paraId="0375390E">
            <w:pPr>
              <w:pStyle w:val="28"/>
              <w:bidi w:val="0"/>
            </w:pPr>
          </w:p>
        </w:tc>
        <w:tc>
          <w:tcPr>
            <w:tcW w:w="208" w:type="pct"/>
            <w:vAlign w:val="center"/>
          </w:tcPr>
          <w:p w14:paraId="0CCC495C">
            <w:pPr>
              <w:pStyle w:val="28"/>
              <w:bidi w:val="0"/>
            </w:pPr>
            <w:r>
              <w:t>53.5</w:t>
            </w:r>
          </w:p>
        </w:tc>
        <w:tc>
          <w:tcPr>
            <w:tcW w:w="211" w:type="pct"/>
            <w:vAlign w:val="center"/>
          </w:tcPr>
          <w:p w14:paraId="1FBEC8FD">
            <w:pPr>
              <w:pStyle w:val="28"/>
              <w:bidi w:val="0"/>
            </w:pPr>
            <w:r>
              <w:t>42</w:t>
            </w:r>
          </w:p>
        </w:tc>
        <w:tc>
          <w:tcPr>
            <w:tcW w:w="208" w:type="pct"/>
            <w:vAlign w:val="center"/>
          </w:tcPr>
          <w:p w14:paraId="108507DE">
            <w:pPr>
              <w:pStyle w:val="28"/>
              <w:bidi w:val="0"/>
            </w:pPr>
            <w:r>
              <w:t>55</w:t>
            </w:r>
          </w:p>
        </w:tc>
        <w:tc>
          <w:tcPr>
            <w:tcW w:w="211" w:type="pct"/>
            <w:vAlign w:val="center"/>
          </w:tcPr>
          <w:p w14:paraId="0D3F1C65">
            <w:pPr>
              <w:pStyle w:val="28"/>
              <w:bidi w:val="0"/>
            </w:pPr>
            <w:r>
              <w:t>45</w:t>
            </w:r>
          </w:p>
        </w:tc>
        <w:tc>
          <w:tcPr>
            <w:tcW w:w="276" w:type="pct"/>
            <w:vAlign w:val="center"/>
          </w:tcPr>
          <w:p w14:paraId="1617050A">
            <w:pPr>
              <w:pStyle w:val="28"/>
              <w:bidi w:val="0"/>
            </w:pPr>
            <w:r>
              <w:t>65.8</w:t>
            </w:r>
          </w:p>
        </w:tc>
        <w:tc>
          <w:tcPr>
            <w:tcW w:w="257" w:type="pct"/>
            <w:vAlign w:val="center"/>
          </w:tcPr>
          <w:p w14:paraId="3AC7B431">
            <w:pPr>
              <w:pStyle w:val="28"/>
              <w:bidi w:val="0"/>
            </w:pPr>
            <w:r>
              <w:t>45.8</w:t>
            </w:r>
          </w:p>
        </w:tc>
        <w:tc>
          <w:tcPr>
            <w:tcW w:w="257" w:type="pct"/>
            <w:vAlign w:val="center"/>
          </w:tcPr>
          <w:p w14:paraId="19726B8A">
            <w:pPr>
              <w:pStyle w:val="28"/>
              <w:bidi w:val="0"/>
            </w:pPr>
            <w:r>
              <w:t>54.2</w:t>
            </w:r>
          </w:p>
        </w:tc>
        <w:tc>
          <w:tcPr>
            <w:tcW w:w="257" w:type="pct"/>
            <w:vAlign w:val="center"/>
          </w:tcPr>
          <w:p w14:paraId="05D175E6">
            <w:pPr>
              <w:pStyle w:val="28"/>
              <w:bidi w:val="0"/>
            </w:pPr>
            <w:r>
              <w:t>0.7</w:t>
            </w:r>
          </w:p>
        </w:tc>
        <w:tc>
          <w:tcPr>
            <w:tcW w:w="209" w:type="pct"/>
            <w:vAlign w:val="center"/>
          </w:tcPr>
          <w:p w14:paraId="3A69EC0E">
            <w:pPr>
              <w:pStyle w:val="28"/>
              <w:bidi w:val="0"/>
            </w:pPr>
            <w:r>
              <w:t>达标</w:t>
            </w:r>
          </w:p>
        </w:tc>
      </w:tr>
      <w:tr w14:paraId="6C5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CAF3C39">
            <w:pPr>
              <w:pStyle w:val="28"/>
              <w:bidi w:val="0"/>
            </w:pPr>
            <w:r>
              <w:rPr>
                <w:rFonts w:hint="eastAsia"/>
              </w:rPr>
              <w:t>毛狗窝</w:t>
            </w:r>
          </w:p>
        </w:tc>
        <w:tc>
          <w:tcPr>
            <w:tcW w:w="511" w:type="pct"/>
            <w:vAlign w:val="center"/>
          </w:tcPr>
          <w:p w14:paraId="6529DDE2">
            <w:pPr>
              <w:pStyle w:val="28"/>
              <w:bidi w:val="0"/>
            </w:pPr>
            <w:r>
              <w:rPr>
                <w:rFonts w:hint="eastAsia"/>
              </w:rPr>
              <w:t>渠道护砌</w:t>
            </w:r>
          </w:p>
        </w:tc>
        <w:tc>
          <w:tcPr>
            <w:tcW w:w="366" w:type="pct"/>
            <w:vAlign w:val="center"/>
          </w:tcPr>
          <w:p w14:paraId="0D2CAC82">
            <w:pPr>
              <w:pStyle w:val="28"/>
              <w:bidi w:val="0"/>
            </w:pPr>
            <w:r>
              <w:t>40</w:t>
            </w:r>
          </w:p>
        </w:tc>
        <w:tc>
          <w:tcPr>
            <w:tcW w:w="268" w:type="pct"/>
            <w:vAlign w:val="center"/>
          </w:tcPr>
          <w:p w14:paraId="5F44292E">
            <w:pPr>
              <w:pStyle w:val="28"/>
              <w:bidi w:val="0"/>
            </w:pPr>
            <w:r>
              <w:rPr>
                <w:rFonts w:hint="eastAsia"/>
              </w:rPr>
              <w:t>右岸</w:t>
            </w:r>
          </w:p>
        </w:tc>
        <w:tc>
          <w:tcPr>
            <w:tcW w:w="262" w:type="pct"/>
            <w:vAlign w:val="center"/>
          </w:tcPr>
          <w:p w14:paraId="057900A1">
            <w:pPr>
              <w:pStyle w:val="28"/>
              <w:bidi w:val="0"/>
            </w:pPr>
            <w:r>
              <w:t>1</w:t>
            </w:r>
            <w:r>
              <w:rPr>
                <w:rFonts w:hint="eastAsia"/>
              </w:rPr>
              <w:t>类</w:t>
            </w:r>
          </w:p>
        </w:tc>
        <w:tc>
          <w:tcPr>
            <w:tcW w:w="809" w:type="pct"/>
            <w:vMerge w:val="continue"/>
            <w:vAlign w:val="center"/>
          </w:tcPr>
          <w:p w14:paraId="2F66A38B">
            <w:pPr>
              <w:pStyle w:val="28"/>
              <w:bidi w:val="0"/>
            </w:pPr>
          </w:p>
        </w:tc>
        <w:tc>
          <w:tcPr>
            <w:tcW w:w="208" w:type="pct"/>
            <w:vAlign w:val="center"/>
          </w:tcPr>
          <w:p w14:paraId="309736FD">
            <w:pPr>
              <w:pStyle w:val="28"/>
              <w:bidi w:val="0"/>
            </w:pPr>
            <w:r>
              <w:t>53.5</w:t>
            </w:r>
          </w:p>
        </w:tc>
        <w:tc>
          <w:tcPr>
            <w:tcW w:w="211" w:type="pct"/>
            <w:vAlign w:val="center"/>
          </w:tcPr>
          <w:p w14:paraId="6E137F1B">
            <w:pPr>
              <w:pStyle w:val="28"/>
              <w:bidi w:val="0"/>
            </w:pPr>
            <w:r>
              <w:t>42</w:t>
            </w:r>
          </w:p>
        </w:tc>
        <w:tc>
          <w:tcPr>
            <w:tcW w:w="208" w:type="pct"/>
            <w:vAlign w:val="center"/>
          </w:tcPr>
          <w:p w14:paraId="3D319A98">
            <w:pPr>
              <w:pStyle w:val="28"/>
              <w:bidi w:val="0"/>
            </w:pPr>
            <w:r>
              <w:t>55</w:t>
            </w:r>
          </w:p>
        </w:tc>
        <w:tc>
          <w:tcPr>
            <w:tcW w:w="211" w:type="pct"/>
            <w:vAlign w:val="center"/>
          </w:tcPr>
          <w:p w14:paraId="58D2ACAD">
            <w:pPr>
              <w:pStyle w:val="28"/>
              <w:bidi w:val="0"/>
            </w:pPr>
            <w:r>
              <w:t>45</w:t>
            </w:r>
          </w:p>
        </w:tc>
        <w:tc>
          <w:tcPr>
            <w:tcW w:w="276" w:type="pct"/>
            <w:vAlign w:val="center"/>
          </w:tcPr>
          <w:p w14:paraId="677E3909">
            <w:pPr>
              <w:pStyle w:val="28"/>
              <w:bidi w:val="0"/>
            </w:pPr>
            <w:r>
              <w:t>59.8</w:t>
            </w:r>
          </w:p>
        </w:tc>
        <w:tc>
          <w:tcPr>
            <w:tcW w:w="257" w:type="pct"/>
            <w:vAlign w:val="center"/>
          </w:tcPr>
          <w:p w14:paraId="4E18DA4B">
            <w:pPr>
              <w:pStyle w:val="28"/>
              <w:bidi w:val="0"/>
            </w:pPr>
            <w:r>
              <w:t>39.8</w:t>
            </w:r>
          </w:p>
        </w:tc>
        <w:tc>
          <w:tcPr>
            <w:tcW w:w="257" w:type="pct"/>
            <w:vAlign w:val="center"/>
          </w:tcPr>
          <w:p w14:paraId="7F71F33E">
            <w:pPr>
              <w:pStyle w:val="28"/>
              <w:bidi w:val="0"/>
            </w:pPr>
            <w:r>
              <w:t>53.7</w:t>
            </w:r>
          </w:p>
        </w:tc>
        <w:tc>
          <w:tcPr>
            <w:tcW w:w="257" w:type="pct"/>
            <w:vAlign w:val="center"/>
          </w:tcPr>
          <w:p w14:paraId="358A0887">
            <w:pPr>
              <w:pStyle w:val="28"/>
              <w:bidi w:val="0"/>
            </w:pPr>
            <w:r>
              <w:t>0.2</w:t>
            </w:r>
          </w:p>
        </w:tc>
        <w:tc>
          <w:tcPr>
            <w:tcW w:w="209" w:type="pct"/>
            <w:vAlign w:val="center"/>
          </w:tcPr>
          <w:p w14:paraId="7AD554A4">
            <w:pPr>
              <w:pStyle w:val="28"/>
              <w:bidi w:val="0"/>
            </w:pPr>
            <w:r>
              <w:t>达标</w:t>
            </w:r>
          </w:p>
        </w:tc>
      </w:tr>
      <w:tr w14:paraId="447B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4643048">
            <w:pPr>
              <w:pStyle w:val="28"/>
              <w:bidi w:val="0"/>
            </w:pPr>
            <w:r>
              <w:rPr>
                <w:rFonts w:hint="eastAsia"/>
              </w:rPr>
              <w:t>后圩</w:t>
            </w:r>
          </w:p>
        </w:tc>
        <w:tc>
          <w:tcPr>
            <w:tcW w:w="511" w:type="pct"/>
            <w:vAlign w:val="center"/>
          </w:tcPr>
          <w:p w14:paraId="3BE99535">
            <w:pPr>
              <w:pStyle w:val="28"/>
              <w:bidi w:val="0"/>
            </w:pPr>
            <w:r>
              <w:rPr>
                <w:rFonts w:hint="eastAsia"/>
              </w:rPr>
              <w:t>渠道护砌</w:t>
            </w:r>
          </w:p>
        </w:tc>
        <w:tc>
          <w:tcPr>
            <w:tcW w:w="366" w:type="pct"/>
            <w:vAlign w:val="center"/>
          </w:tcPr>
          <w:p w14:paraId="1F4EC94E">
            <w:pPr>
              <w:pStyle w:val="28"/>
              <w:bidi w:val="0"/>
            </w:pPr>
            <w:r>
              <w:t>120</w:t>
            </w:r>
          </w:p>
        </w:tc>
        <w:tc>
          <w:tcPr>
            <w:tcW w:w="268" w:type="pct"/>
            <w:vAlign w:val="center"/>
          </w:tcPr>
          <w:p w14:paraId="459BC983">
            <w:pPr>
              <w:pStyle w:val="28"/>
              <w:bidi w:val="0"/>
            </w:pPr>
            <w:r>
              <w:rPr>
                <w:rFonts w:hint="eastAsia"/>
              </w:rPr>
              <w:t>右岸</w:t>
            </w:r>
          </w:p>
        </w:tc>
        <w:tc>
          <w:tcPr>
            <w:tcW w:w="262" w:type="pct"/>
            <w:vAlign w:val="center"/>
          </w:tcPr>
          <w:p w14:paraId="6C6A9B6C">
            <w:pPr>
              <w:pStyle w:val="28"/>
              <w:bidi w:val="0"/>
            </w:pPr>
            <w:r>
              <w:t>1</w:t>
            </w:r>
            <w:r>
              <w:rPr>
                <w:rFonts w:hint="eastAsia"/>
              </w:rPr>
              <w:t>类</w:t>
            </w:r>
          </w:p>
        </w:tc>
        <w:tc>
          <w:tcPr>
            <w:tcW w:w="809" w:type="pct"/>
            <w:vMerge w:val="restart"/>
            <w:vAlign w:val="center"/>
          </w:tcPr>
          <w:p w14:paraId="75208F0F">
            <w:pPr>
              <w:pStyle w:val="28"/>
              <w:bidi w:val="0"/>
            </w:pPr>
            <w:r>
              <w:rPr>
                <w:rFonts w:hint="eastAsia"/>
              </w:rPr>
              <w:t>采用低噪声设备，施工机械远离居民住宅</w:t>
            </w:r>
          </w:p>
        </w:tc>
        <w:tc>
          <w:tcPr>
            <w:tcW w:w="208" w:type="pct"/>
            <w:vAlign w:val="center"/>
          </w:tcPr>
          <w:p w14:paraId="2EB3EF29">
            <w:pPr>
              <w:pStyle w:val="28"/>
              <w:bidi w:val="0"/>
            </w:pPr>
            <w:r>
              <w:t>53.5</w:t>
            </w:r>
          </w:p>
        </w:tc>
        <w:tc>
          <w:tcPr>
            <w:tcW w:w="211" w:type="pct"/>
            <w:vAlign w:val="center"/>
          </w:tcPr>
          <w:p w14:paraId="5B2B7A40">
            <w:pPr>
              <w:pStyle w:val="28"/>
              <w:bidi w:val="0"/>
            </w:pPr>
            <w:r>
              <w:t>42</w:t>
            </w:r>
          </w:p>
        </w:tc>
        <w:tc>
          <w:tcPr>
            <w:tcW w:w="208" w:type="pct"/>
            <w:vAlign w:val="center"/>
          </w:tcPr>
          <w:p w14:paraId="43E5D94D">
            <w:pPr>
              <w:pStyle w:val="28"/>
              <w:bidi w:val="0"/>
            </w:pPr>
            <w:r>
              <w:t>55</w:t>
            </w:r>
          </w:p>
        </w:tc>
        <w:tc>
          <w:tcPr>
            <w:tcW w:w="211" w:type="pct"/>
            <w:vAlign w:val="center"/>
          </w:tcPr>
          <w:p w14:paraId="6914D742">
            <w:pPr>
              <w:pStyle w:val="28"/>
              <w:bidi w:val="0"/>
            </w:pPr>
            <w:r>
              <w:t>45</w:t>
            </w:r>
          </w:p>
        </w:tc>
        <w:tc>
          <w:tcPr>
            <w:tcW w:w="276" w:type="pct"/>
            <w:vAlign w:val="center"/>
          </w:tcPr>
          <w:p w14:paraId="350400A6">
            <w:pPr>
              <w:pStyle w:val="28"/>
              <w:bidi w:val="0"/>
            </w:pPr>
            <w:r>
              <w:t>50.3</w:t>
            </w:r>
          </w:p>
        </w:tc>
        <w:tc>
          <w:tcPr>
            <w:tcW w:w="257" w:type="pct"/>
            <w:vAlign w:val="center"/>
          </w:tcPr>
          <w:p w14:paraId="196DAEB3">
            <w:pPr>
              <w:pStyle w:val="28"/>
              <w:bidi w:val="0"/>
            </w:pPr>
            <w:r>
              <w:t>43.3</w:t>
            </w:r>
          </w:p>
        </w:tc>
        <w:tc>
          <w:tcPr>
            <w:tcW w:w="257" w:type="pct"/>
            <w:vAlign w:val="center"/>
          </w:tcPr>
          <w:p w14:paraId="3153A6ED">
            <w:pPr>
              <w:pStyle w:val="28"/>
              <w:bidi w:val="0"/>
            </w:pPr>
            <w:r>
              <w:t>53.9</w:t>
            </w:r>
          </w:p>
        </w:tc>
        <w:tc>
          <w:tcPr>
            <w:tcW w:w="257" w:type="pct"/>
            <w:vAlign w:val="center"/>
          </w:tcPr>
          <w:p w14:paraId="17FDE8FD">
            <w:pPr>
              <w:pStyle w:val="28"/>
              <w:bidi w:val="0"/>
            </w:pPr>
            <w:r>
              <w:t>0.4</w:t>
            </w:r>
          </w:p>
        </w:tc>
        <w:tc>
          <w:tcPr>
            <w:tcW w:w="209" w:type="pct"/>
            <w:vAlign w:val="center"/>
          </w:tcPr>
          <w:p w14:paraId="4D14D8E9">
            <w:pPr>
              <w:pStyle w:val="28"/>
              <w:bidi w:val="0"/>
            </w:pPr>
            <w:r>
              <w:t>达标</w:t>
            </w:r>
          </w:p>
        </w:tc>
      </w:tr>
      <w:tr w14:paraId="0AB67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EA99E9A">
            <w:pPr>
              <w:pStyle w:val="28"/>
              <w:bidi w:val="0"/>
            </w:pPr>
            <w:r>
              <w:rPr>
                <w:rFonts w:hint="eastAsia"/>
              </w:rPr>
              <w:t>前圩</w:t>
            </w:r>
          </w:p>
        </w:tc>
        <w:tc>
          <w:tcPr>
            <w:tcW w:w="511" w:type="pct"/>
            <w:vAlign w:val="center"/>
          </w:tcPr>
          <w:p w14:paraId="394D5E60">
            <w:pPr>
              <w:pStyle w:val="28"/>
              <w:bidi w:val="0"/>
            </w:pPr>
            <w:r>
              <w:rPr>
                <w:rFonts w:hint="eastAsia"/>
              </w:rPr>
              <w:t>渠道护砌</w:t>
            </w:r>
          </w:p>
        </w:tc>
        <w:tc>
          <w:tcPr>
            <w:tcW w:w="366" w:type="pct"/>
            <w:vAlign w:val="center"/>
          </w:tcPr>
          <w:p w14:paraId="638E5782">
            <w:pPr>
              <w:pStyle w:val="28"/>
              <w:bidi w:val="0"/>
            </w:pPr>
            <w:r>
              <w:t>120</w:t>
            </w:r>
          </w:p>
        </w:tc>
        <w:tc>
          <w:tcPr>
            <w:tcW w:w="268" w:type="pct"/>
            <w:vAlign w:val="center"/>
          </w:tcPr>
          <w:p w14:paraId="3CC1A08B">
            <w:pPr>
              <w:pStyle w:val="28"/>
              <w:bidi w:val="0"/>
            </w:pPr>
            <w:r>
              <w:rPr>
                <w:rFonts w:hint="eastAsia"/>
              </w:rPr>
              <w:t>左岸</w:t>
            </w:r>
          </w:p>
        </w:tc>
        <w:tc>
          <w:tcPr>
            <w:tcW w:w="262" w:type="pct"/>
            <w:vAlign w:val="center"/>
          </w:tcPr>
          <w:p w14:paraId="1BE328F2">
            <w:pPr>
              <w:pStyle w:val="28"/>
              <w:bidi w:val="0"/>
            </w:pPr>
            <w:r>
              <w:t>1</w:t>
            </w:r>
            <w:r>
              <w:rPr>
                <w:rFonts w:hint="eastAsia"/>
              </w:rPr>
              <w:t>类</w:t>
            </w:r>
          </w:p>
        </w:tc>
        <w:tc>
          <w:tcPr>
            <w:tcW w:w="809" w:type="pct"/>
            <w:vMerge w:val="continue"/>
            <w:vAlign w:val="center"/>
          </w:tcPr>
          <w:p w14:paraId="0A458CEA">
            <w:pPr>
              <w:pStyle w:val="28"/>
              <w:bidi w:val="0"/>
            </w:pPr>
          </w:p>
        </w:tc>
        <w:tc>
          <w:tcPr>
            <w:tcW w:w="208" w:type="pct"/>
            <w:vAlign w:val="center"/>
          </w:tcPr>
          <w:p w14:paraId="66A9F2A2">
            <w:pPr>
              <w:pStyle w:val="28"/>
              <w:bidi w:val="0"/>
            </w:pPr>
            <w:r>
              <w:t>53.5</w:t>
            </w:r>
          </w:p>
        </w:tc>
        <w:tc>
          <w:tcPr>
            <w:tcW w:w="211" w:type="pct"/>
            <w:vAlign w:val="center"/>
          </w:tcPr>
          <w:p w14:paraId="08BBB1B5">
            <w:pPr>
              <w:pStyle w:val="28"/>
              <w:bidi w:val="0"/>
            </w:pPr>
            <w:r>
              <w:t>42</w:t>
            </w:r>
          </w:p>
        </w:tc>
        <w:tc>
          <w:tcPr>
            <w:tcW w:w="208" w:type="pct"/>
            <w:vAlign w:val="center"/>
          </w:tcPr>
          <w:p w14:paraId="0B72105A">
            <w:pPr>
              <w:pStyle w:val="28"/>
              <w:bidi w:val="0"/>
            </w:pPr>
            <w:r>
              <w:t>55</w:t>
            </w:r>
          </w:p>
        </w:tc>
        <w:tc>
          <w:tcPr>
            <w:tcW w:w="211" w:type="pct"/>
            <w:vAlign w:val="center"/>
          </w:tcPr>
          <w:p w14:paraId="4A0DE3EA">
            <w:pPr>
              <w:pStyle w:val="28"/>
              <w:bidi w:val="0"/>
            </w:pPr>
            <w:r>
              <w:t>45</w:t>
            </w:r>
          </w:p>
        </w:tc>
        <w:tc>
          <w:tcPr>
            <w:tcW w:w="276" w:type="pct"/>
            <w:vAlign w:val="center"/>
          </w:tcPr>
          <w:p w14:paraId="03DF42C6">
            <w:pPr>
              <w:pStyle w:val="28"/>
              <w:bidi w:val="0"/>
            </w:pPr>
            <w:r>
              <w:t>50.3</w:t>
            </w:r>
          </w:p>
        </w:tc>
        <w:tc>
          <w:tcPr>
            <w:tcW w:w="257" w:type="pct"/>
            <w:vAlign w:val="center"/>
          </w:tcPr>
          <w:p w14:paraId="5AFBE89F">
            <w:pPr>
              <w:pStyle w:val="28"/>
              <w:bidi w:val="0"/>
            </w:pPr>
            <w:r>
              <w:t>43.3</w:t>
            </w:r>
          </w:p>
        </w:tc>
        <w:tc>
          <w:tcPr>
            <w:tcW w:w="257" w:type="pct"/>
            <w:vAlign w:val="center"/>
          </w:tcPr>
          <w:p w14:paraId="143D8217">
            <w:pPr>
              <w:pStyle w:val="28"/>
              <w:bidi w:val="0"/>
            </w:pPr>
            <w:r>
              <w:t>53.9</w:t>
            </w:r>
          </w:p>
        </w:tc>
        <w:tc>
          <w:tcPr>
            <w:tcW w:w="257" w:type="pct"/>
            <w:vAlign w:val="center"/>
          </w:tcPr>
          <w:p w14:paraId="151F28F7">
            <w:pPr>
              <w:pStyle w:val="28"/>
              <w:bidi w:val="0"/>
            </w:pPr>
            <w:r>
              <w:t>0.4</w:t>
            </w:r>
          </w:p>
        </w:tc>
        <w:tc>
          <w:tcPr>
            <w:tcW w:w="209" w:type="pct"/>
            <w:vAlign w:val="center"/>
          </w:tcPr>
          <w:p w14:paraId="60DA2E4F">
            <w:pPr>
              <w:pStyle w:val="28"/>
              <w:bidi w:val="0"/>
            </w:pPr>
            <w:r>
              <w:t>达标</w:t>
            </w:r>
          </w:p>
        </w:tc>
      </w:tr>
      <w:tr w14:paraId="556C13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30FA6FA">
            <w:pPr>
              <w:pStyle w:val="28"/>
              <w:bidi w:val="0"/>
            </w:pPr>
            <w:r>
              <w:rPr>
                <w:rFonts w:hint="eastAsia"/>
              </w:rPr>
              <w:t>汪庄</w:t>
            </w:r>
          </w:p>
        </w:tc>
        <w:tc>
          <w:tcPr>
            <w:tcW w:w="511" w:type="pct"/>
            <w:vAlign w:val="center"/>
          </w:tcPr>
          <w:p w14:paraId="0B304670">
            <w:pPr>
              <w:pStyle w:val="28"/>
              <w:bidi w:val="0"/>
            </w:pPr>
            <w:r>
              <w:rPr>
                <w:rFonts w:hint="eastAsia"/>
              </w:rPr>
              <w:t>渠道护砌</w:t>
            </w:r>
          </w:p>
        </w:tc>
        <w:tc>
          <w:tcPr>
            <w:tcW w:w="366" w:type="pct"/>
            <w:vAlign w:val="center"/>
          </w:tcPr>
          <w:p w14:paraId="73ABF76D">
            <w:pPr>
              <w:pStyle w:val="28"/>
              <w:bidi w:val="0"/>
            </w:pPr>
            <w:r>
              <w:t>20</w:t>
            </w:r>
          </w:p>
        </w:tc>
        <w:tc>
          <w:tcPr>
            <w:tcW w:w="268" w:type="pct"/>
            <w:vAlign w:val="center"/>
          </w:tcPr>
          <w:p w14:paraId="171436A7">
            <w:pPr>
              <w:pStyle w:val="28"/>
              <w:bidi w:val="0"/>
            </w:pPr>
            <w:r>
              <w:rPr>
                <w:rFonts w:hint="eastAsia"/>
              </w:rPr>
              <w:t>左岸</w:t>
            </w:r>
          </w:p>
        </w:tc>
        <w:tc>
          <w:tcPr>
            <w:tcW w:w="262" w:type="pct"/>
            <w:vAlign w:val="center"/>
          </w:tcPr>
          <w:p w14:paraId="616158FA">
            <w:pPr>
              <w:pStyle w:val="28"/>
              <w:bidi w:val="0"/>
            </w:pPr>
            <w:r>
              <w:t>1</w:t>
            </w:r>
            <w:r>
              <w:rPr>
                <w:rFonts w:hint="eastAsia"/>
              </w:rPr>
              <w:t>类</w:t>
            </w:r>
          </w:p>
        </w:tc>
        <w:tc>
          <w:tcPr>
            <w:tcW w:w="809" w:type="pct"/>
            <w:vMerge w:val="restart"/>
            <w:vAlign w:val="center"/>
          </w:tcPr>
          <w:p w14:paraId="180E9B3B">
            <w:pPr>
              <w:pStyle w:val="28"/>
              <w:bidi w:val="0"/>
            </w:pPr>
            <w:r>
              <w:rPr>
                <w:rFonts w:hint="eastAsia"/>
              </w:rPr>
              <w:t>采用低噪声设备，施工机械远离居民住宅，设置双层移动声屏障</w:t>
            </w:r>
          </w:p>
        </w:tc>
        <w:tc>
          <w:tcPr>
            <w:tcW w:w="208" w:type="pct"/>
            <w:vAlign w:val="center"/>
          </w:tcPr>
          <w:p w14:paraId="2EF23A89">
            <w:pPr>
              <w:pStyle w:val="28"/>
              <w:bidi w:val="0"/>
            </w:pPr>
            <w:r>
              <w:t>53.5</w:t>
            </w:r>
          </w:p>
        </w:tc>
        <w:tc>
          <w:tcPr>
            <w:tcW w:w="211" w:type="pct"/>
            <w:vAlign w:val="center"/>
          </w:tcPr>
          <w:p w14:paraId="262605E8">
            <w:pPr>
              <w:pStyle w:val="28"/>
              <w:bidi w:val="0"/>
            </w:pPr>
            <w:r>
              <w:t>42</w:t>
            </w:r>
          </w:p>
        </w:tc>
        <w:tc>
          <w:tcPr>
            <w:tcW w:w="208" w:type="pct"/>
            <w:vAlign w:val="center"/>
          </w:tcPr>
          <w:p w14:paraId="246692D7">
            <w:pPr>
              <w:pStyle w:val="28"/>
              <w:bidi w:val="0"/>
            </w:pPr>
            <w:r>
              <w:t>55</w:t>
            </w:r>
          </w:p>
        </w:tc>
        <w:tc>
          <w:tcPr>
            <w:tcW w:w="211" w:type="pct"/>
            <w:vAlign w:val="center"/>
          </w:tcPr>
          <w:p w14:paraId="6B7EC8C8">
            <w:pPr>
              <w:pStyle w:val="28"/>
              <w:bidi w:val="0"/>
            </w:pPr>
            <w:r>
              <w:t>45</w:t>
            </w:r>
          </w:p>
        </w:tc>
        <w:tc>
          <w:tcPr>
            <w:tcW w:w="276" w:type="pct"/>
            <w:vAlign w:val="center"/>
          </w:tcPr>
          <w:p w14:paraId="25F8C5B2">
            <w:pPr>
              <w:pStyle w:val="28"/>
              <w:bidi w:val="0"/>
            </w:pPr>
            <w:r>
              <w:t>65.8</w:t>
            </w:r>
          </w:p>
        </w:tc>
        <w:tc>
          <w:tcPr>
            <w:tcW w:w="257" w:type="pct"/>
            <w:vAlign w:val="center"/>
          </w:tcPr>
          <w:p w14:paraId="16DD8F00">
            <w:pPr>
              <w:pStyle w:val="28"/>
              <w:bidi w:val="0"/>
            </w:pPr>
            <w:r>
              <w:t>45.8</w:t>
            </w:r>
          </w:p>
        </w:tc>
        <w:tc>
          <w:tcPr>
            <w:tcW w:w="257" w:type="pct"/>
            <w:vAlign w:val="center"/>
          </w:tcPr>
          <w:p w14:paraId="75DBF59E">
            <w:pPr>
              <w:pStyle w:val="28"/>
              <w:bidi w:val="0"/>
            </w:pPr>
            <w:r>
              <w:t>54.2</w:t>
            </w:r>
          </w:p>
        </w:tc>
        <w:tc>
          <w:tcPr>
            <w:tcW w:w="257" w:type="pct"/>
            <w:vAlign w:val="center"/>
          </w:tcPr>
          <w:p w14:paraId="2A4821EE">
            <w:pPr>
              <w:pStyle w:val="28"/>
              <w:bidi w:val="0"/>
            </w:pPr>
            <w:r>
              <w:t>0.7</w:t>
            </w:r>
          </w:p>
        </w:tc>
        <w:tc>
          <w:tcPr>
            <w:tcW w:w="209" w:type="pct"/>
            <w:vAlign w:val="center"/>
          </w:tcPr>
          <w:p w14:paraId="4B99C8F2">
            <w:pPr>
              <w:pStyle w:val="28"/>
              <w:bidi w:val="0"/>
            </w:pPr>
            <w:r>
              <w:t>达标</w:t>
            </w:r>
          </w:p>
        </w:tc>
      </w:tr>
      <w:tr w14:paraId="32F433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87B9D1E">
            <w:pPr>
              <w:pStyle w:val="28"/>
              <w:bidi w:val="0"/>
            </w:pPr>
            <w:r>
              <w:rPr>
                <w:rFonts w:hint="eastAsia"/>
              </w:rPr>
              <w:t>周岗村</w:t>
            </w:r>
          </w:p>
        </w:tc>
        <w:tc>
          <w:tcPr>
            <w:tcW w:w="511" w:type="pct"/>
            <w:vAlign w:val="center"/>
          </w:tcPr>
          <w:p w14:paraId="7F2DC151">
            <w:pPr>
              <w:pStyle w:val="28"/>
              <w:bidi w:val="0"/>
            </w:pPr>
            <w:r>
              <w:rPr>
                <w:rFonts w:hint="eastAsia"/>
              </w:rPr>
              <w:t>放水涵加固</w:t>
            </w:r>
          </w:p>
        </w:tc>
        <w:tc>
          <w:tcPr>
            <w:tcW w:w="366" w:type="pct"/>
            <w:vAlign w:val="center"/>
          </w:tcPr>
          <w:p w14:paraId="21276A1A">
            <w:pPr>
              <w:pStyle w:val="28"/>
              <w:bidi w:val="0"/>
            </w:pPr>
            <w:r>
              <w:t>40</w:t>
            </w:r>
          </w:p>
        </w:tc>
        <w:tc>
          <w:tcPr>
            <w:tcW w:w="268" w:type="pct"/>
            <w:vAlign w:val="center"/>
          </w:tcPr>
          <w:p w14:paraId="057B8C1B">
            <w:pPr>
              <w:pStyle w:val="28"/>
              <w:bidi w:val="0"/>
            </w:pPr>
            <w:r>
              <w:rPr>
                <w:rFonts w:hint="eastAsia"/>
              </w:rPr>
              <w:t>左岸</w:t>
            </w:r>
          </w:p>
        </w:tc>
        <w:tc>
          <w:tcPr>
            <w:tcW w:w="262" w:type="pct"/>
            <w:vAlign w:val="center"/>
          </w:tcPr>
          <w:p w14:paraId="6C790337">
            <w:pPr>
              <w:pStyle w:val="28"/>
              <w:bidi w:val="0"/>
            </w:pPr>
            <w:r>
              <w:t>1</w:t>
            </w:r>
            <w:r>
              <w:rPr>
                <w:rFonts w:hint="eastAsia"/>
              </w:rPr>
              <w:t>类</w:t>
            </w:r>
          </w:p>
        </w:tc>
        <w:tc>
          <w:tcPr>
            <w:tcW w:w="809" w:type="pct"/>
            <w:vMerge w:val="continue"/>
            <w:vAlign w:val="center"/>
          </w:tcPr>
          <w:p w14:paraId="156285EB">
            <w:pPr>
              <w:pStyle w:val="28"/>
              <w:bidi w:val="0"/>
            </w:pPr>
          </w:p>
        </w:tc>
        <w:tc>
          <w:tcPr>
            <w:tcW w:w="208" w:type="pct"/>
            <w:vAlign w:val="center"/>
          </w:tcPr>
          <w:p w14:paraId="365FA248">
            <w:pPr>
              <w:pStyle w:val="28"/>
              <w:bidi w:val="0"/>
            </w:pPr>
            <w:r>
              <w:t>53.5</w:t>
            </w:r>
          </w:p>
        </w:tc>
        <w:tc>
          <w:tcPr>
            <w:tcW w:w="211" w:type="pct"/>
            <w:vAlign w:val="center"/>
          </w:tcPr>
          <w:p w14:paraId="3528BD87">
            <w:pPr>
              <w:pStyle w:val="28"/>
              <w:bidi w:val="0"/>
            </w:pPr>
            <w:r>
              <w:t>42</w:t>
            </w:r>
          </w:p>
        </w:tc>
        <w:tc>
          <w:tcPr>
            <w:tcW w:w="208" w:type="pct"/>
            <w:vAlign w:val="center"/>
          </w:tcPr>
          <w:p w14:paraId="3DFB20CD">
            <w:pPr>
              <w:pStyle w:val="28"/>
              <w:bidi w:val="0"/>
            </w:pPr>
            <w:r>
              <w:t>55</w:t>
            </w:r>
          </w:p>
        </w:tc>
        <w:tc>
          <w:tcPr>
            <w:tcW w:w="211" w:type="pct"/>
            <w:vAlign w:val="center"/>
          </w:tcPr>
          <w:p w14:paraId="69ACDDFF">
            <w:pPr>
              <w:pStyle w:val="28"/>
              <w:bidi w:val="0"/>
            </w:pPr>
            <w:r>
              <w:t>45</w:t>
            </w:r>
          </w:p>
        </w:tc>
        <w:tc>
          <w:tcPr>
            <w:tcW w:w="276" w:type="pct"/>
            <w:vAlign w:val="center"/>
          </w:tcPr>
          <w:p w14:paraId="4889B91A">
            <w:pPr>
              <w:pStyle w:val="28"/>
              <w:bidi w:val="0"/>
            </w:pPr>
            <w:r>
              <w:t>61.2</w:t>
            </w:r>
          </w:p>
        </w:tc>
        <w:tc>
          <w:tcPr>
            <w:tcW w:w="257" w:type="pct"/>
            <w:vAlign w:val="center"/>
          </w:tcPr>
          <w:p w14:paraId="06AEB4A6">
            <w:pPr>
              <w:pStyle w:val="28"/>
              <w:bidi w:val="0"/>
            </w:pPr>
            <w:r>
              <w:t>41.2</w:t>
            </w:r>
          </w:p>
        </w:tc>
        <w:tc>
          <w:tcPr>
            <w:tcW w:w="257" w:type="pct"/>
            <w:vAlign w:val="center"/>
          </w:tcPr>
          <w:p w14:paraId="5B074DC4">
            <w:pPr>
              <w:pStyle w:val="28"/>
              <w:bidi w:val="0"/>
            </w:pPr>
            <w:r>
              <w:t>53.7</w:t>
            </w:r>
          </w:p>
        </w:tc>
        <w:tc>
          <w:tcPr>
            <w:tcW w:w="257" w:type="pct"/>
            <w:vAlign w:val="center"/>
          </w:tcPr>
          <w:p w14:paraId="00F88EE3">
            <w:pPr>
              <w:pStyle w:val="28"/>
              <w:bidi w:val="0"/>
            </w:pPr>
            <w:r>
              <w:t>0.2</w:t>
            </w:r>
          </w:p>
        </w:tc>
        <w:tc>
          <w:tcPr>
            <w:tcW w:w="209" w:type="pct"/>
            <w:vAlign w:val="center"/>
          </w:tcPr>
          <w:p w14:paraId="43827A32">
            <w:pPr>
              <w:pStyle w:val="28"/>
              <w:bidi w:val="0"/>
            </w:pPr>
            <w:r>
              <w:t>达标</w:t>
            </w:r>
          </w:p>
        </w:tc>
      </w:tr>
      <w:tr w14:paraId="59E5CE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CF0695B">
            <w:pPr>
              <w:pStyle w:val="28"/>
              <w:bidi w:val="0"/>
            </w:pPr>
            <w:r>
              <w:rPr>
                <w:rFonts w:hint="eastAsia"/>
              </w:rPr>
              <w:t>大新庄</w:t>
            </w:r>
          </w:p>
        </w:tc>
        <w:tc>
          <w:tcPr>
            <w:tcW w:w="511" w:type="pct"/>
            <w:vAlign w:val="center"/>
          </w:tcPr>
          <w:p w14:paraId="326D4CFC">
            <w:pPr>
              <w:pStyle w:val="28"/>
              <w:bidi w:val="0"/>
            </w:pPr>
            <w:r>
              <w:rPr>
                <w:rFonts w:hint="eastAsia"/>
              </w:rPr>
              <w:t>渠道护砌</w:t>
            </w:r>
          </w:p>
        </w:tc>
        <w:tc>
          <w:tcPr>
            <w:tcW w:w="366" w:type="pct"/>
            <w:vAlign w:val="center"/>
          </w:tcPr>
          <w:p w14:paraId="10E9B3BB">
            <w:pPr>
              <w:pStyle w:val="28"/>
              <w:bidi w:val="0"/>
            </w:pPr>
            <w:r>
              <w:t>30</w:t>
            </w:r>
          </w:p>
        </w:tc>
        <w:tc>
          <w:tcPr>
            <w:tcW w:w="268" w:type="pct"/>
            <w:vAlign w:val="center"/>
          </w:tcPr>
          <w:p w14:paraId="3140B2FA">
            <w:pPr>
              <w:pStyle w:val="28"/>
              <w:bidi w:val="0"/>
            </w:pPr>
            <w:r>
              <w:rPr>
                <w:rFonts w:hint="eastAsia"/>
              </w:rPr>
              <w:t>左岸</w:t>
            </w:r>
          </w:p>
        </w:tc>
        <w:tc>
          <w:tcPr>
            <w:tcW w:w="262" w:type="pct"/>
            <w:vAlign w:val="center"/>
          </w:tcPr>
          <w:p w14:paraId="4178B7A4">
            <w:pPr>
              <w:pStyle w:val="28"/>
              <w:bidi w:val="0"/>
            </w:pPr>
            <w:r>
              <w:t>1</w:t>
            </w:r>
            <w:r>
              <w:rPr>
                <w:rFonts w:hint="eastAsia"/>
              </w:rPr>
              <w:t>类</w:t>
            </w:r>
          </w:p>
        </w:tc>
        <w:tc>
          <w:tcPr>
            <w:tcW w:w="809" w:type="pct"/>
            <w:vMerge w:val="continue"/>
            <w:vAlign w:val="center"/>
          </w:tcPr>
          <w:p w14:paraId="3E1B8C7F">
            <w:pPr>
              <w:pStyle w:val="28"/>
              <w:bidi w:val="0"/>
            </w:pPr>
          </w:p>
        </w:tc>
        <w:tc>
          <w:tcPr>
            <w:tcW w:w="208" w:type="pct"/>
            <w:vAlign w:val="center"/>
          </w:tcPr>
          <w:p w14:paraId="15920F87">
            <w:pPr>
              <w:pStyle w:val="28"/>
              <w:bidi w:val="0"/>
            </w:pPr>
            <w:r>
              <w:t>53.5</w:t>
            </w:r>
          </w:p>
        </w:tc>
        <w:tc>
          <w:tcPr>
            <w:tcW w:w="211" w:type="pct"/>
            <w:vAlign w:val="center"/>
          </w:tcPr>
          <w:p w14:paraId="7415FFB3">
            <w:pPr>
              <w:pStyle w:val="28"/>
              <w:bidi w:val="0"/>
            </w:pPr>
            <w:r>
              <w:t>42</w:t>
            </w:r>
          </w:p>
        </w:tc>
        <w:tc>
          <w:tcPr>
            <w:tcW w:w="208" w:type="pct"/>
            <w:vAlign w:val="center"/>
          </w:tcPr>
          <w:p w14:paraId="69CB6145">
            <w:pPr>
              <w:pStyle w:val="28"/>
              <w:bidi w:val="0"/>
            </w:pPr>
            <w:r>
              <w:t>55</w:t>
            </w:r>
          </w:p>
        </w:tc>
        <w:tc>
          <w:tcPr>
            <w:tcW w:w="211" w:type="pct"/>
            <w:vAlign w:val="center"/>
          </w:tcPr>
          <w:p w14:paraId="70DEF093">
            <w:pPr>
              <w:pStyle w:val="28"/>
              <w:bidi w:val="0"/>
            </w:pPr>
            <w:r>
              <w:t>45</w:t>
            </w:r>
          </w:p>
        </w:tc>
        <w:tc>
          <w:tcPr>
            <w:tcW w:w="276" w:type="pct"/>
            <w:vAlign w:val="center"/>
          </w:tcPr>
          <w:p w14:paraId="02D5F285">
            <w:pPr>
              <w:pStyle w:val="28"/>
              <w:bidi w:val="0"/>
            </w:pPr>
            <w:r>
              <w:t>62.3</w:t>
            </w:r>
          </w:p>
        </w:tc>
        <w:tc>
          <w:tcPr>
            <w:tcW w:w="257" w:type="pct"/>
            <w:vAlign w:val="center"/>
          </w:tcPr>
          <w:p w14:paraId="615AC33B">
            <w:pPr>
              <w:pStyle w:val="28"/>
              <w:bidi w:val="0"/>
            </w:pPr>
            <w:r>
              <w:t>42.3</w:t>
            </w:r>
          </w:p>
        </w:tc>
        <w:tc>
          <w:tcPr>
            <w:tcW w:w="257" w:type="pct"/>
            <w:vAlign w:val="center"/>
          </w:tcPr>
          <w:p w14:paraId="1C324D82">
            <w:pPr>
              <w:pStyle w:val="28"/>
              <w:bidi w:val="0"/>
            </w:pPr>
            <w:r>
              <w:t>53.8</w:t>
            </w:r>
          </w:p>
        </w:tc>
        <w:tc>
          <w:tcPr>
            <w:tcW w:w="257" w:type="pct"/>
            <w:vAlign w:val="center"/>
          </w:tcPr>
          <w:p w14:paraId="68D92D61">
            <w:pPr>
              <w:pStyle w:val="28"/>
              <w:bidi w:val="0"/>
            </w:pPr>
            <w:r>
              <w:t>0.3</w:t>
            </w:r>
          </w:p>
        </w:tc>
        <w:tc>
          <w:tcPr>
            <w:tcW w:w="209" w:type="pct"/>
            <w:vAlign w:val="center"/>
          </w:tcPr>
          <w:p w14:paraId="76D2CCF7">
            <w:pPr>
              <w:pStyle w:val="28"/>
              <w:bidi w:val="0"/>
            </w:pPr>
            <w:r>
              <w:t>达标</w:t>
            </w:r>
          </w:p>
        </w:tc>
      </w:tr>
      <w:tr w14:paraId="1AC3A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E57D895">
            <w:pPr>
              <w:pStyle w:val="28"/>
              <w:bidi w:val="0"/>
            </w:pPr>
            <w:r>
              <w:rPr>
                <w:rFonts w:hint="eastAsia"/>
              </w:rPr>
              <w:t>小南庄</w:t>
            </w:r>
          </w:p>
        </w:tc>
        <w:tc>
          <w:tcPr>
            <w:tcW w:w="511" w:type="pct"/>
            <w:vAlign w:val="center"/>
          </w:tcPr>
          <w:p w14:paraId="204531A0">
            <w:pPr>
              <w:pStyle w:val="28"/>
              <w:bidi w:val="0"/>
            </w:pPr>
            <w:r>
              <w:rPr>
                <w:rFonts w:hint="eastAsia"/>
              </w:rPr>
              <w:t>放水涵加固</w:t>
            </w:r>
          </w:p>
        </w:tc>
        <w:tc>
          <w:tcPr>
            <w:tcW w:w="366" w:type="pct"/>
            <w:vAlign w:val="center"/>
          </w:tcPr>
          <w:p w14:paraId="290B8EC5">
            <w:pPr>
              <w:pStyle w:val="28"/>
              <w:bidi w:val="0"/>
            </w:pPr>
            <w:r>
              <w:t>120</w:t>
            </w:r>
          </w:p>
        </w:tc>
        <w:tc>
          <w:tcPr>
            <w:tcW w:w="268" w:type="pct"/>
            <w:vAlign w:val="center"/>
          </w:tcPr>
          <w:p w14:paraId="118AA7BE">
            <w:pPr>
              <w:pStyle w:val="28"/>
              <w:bidi w:val="0"/>
            </w:pPr>
            <w:r>
              <w:rPr>
                <w:rFonts w:hint="eastAsia"/>
              </w:rPr>
              <w:t>左岸</w:t>
            </w:r>
          </w:p>
        </w:tc>
        <w:tc>
          <w:tcPr>
            <w:tcW w:w="262" w:type="pct"/>
            <w:vAlign w:val="center"/>
          </w:tcPr>
          <w:p w14:paraId="532AF101">
            <w:pPr>
              <w:pStyle w:val="28"/>
              <w:bidi w:val="0"/>
            </w:pPr>
            <w:r>
              <w:t>1</w:t>
            </w:r>
            <w:r>
              <w:rPr>
                <w:rFonts w:hint="eastAsia"/>
              </w:rPr>
              <w:t>类</w:t>
            </w:r>
          </w:p>
        </w:tc>
        <w:tc>
          <w:tcPr>
            <w:tcW w:w="809" w:type="pct"/>
            <w:vAlign w:val="center"/>
          </w:tcPr>
          <w:p w14:paraId="21135AD9">
            <w:pPr>
              <w:pStyle w:val="28"/>
              <w:bidi w:val="0"/>
            </w:pPr>
            <w:r>
              <w:rPr>
                <w:rFonts w:hint="eastAsia"/>
              </w:rPr>
              <w:t>采用低噪声设备，施工机械远离居民住宅</w:t>
            </w:r>
          </w:p>
        </w:tc>
        <w:tc>
          <w:tcPr>
            <w:tcW w:w="208" w:type="pct"/>
            <w:vAlign w:val="center"/>
          </w:tcPr>
          <w:p w14:paraId="7B83E453">
            <w:pPr>
              <w:pStyle w:val="28"/>
              <w:bidi w:val="0"/>
            </w:pPr>
            <w:r>
              <w:t>53.5</w:t>
            </w:r>
          </w:p>
        </w:tc>
        <w:tc>
          <w:tcPr>
            <w:tcW w:w="211" w:type="pct"/>
            <w:vAlign w:val="center"/>
          </w:tcPr>
          <w:p w14:paraId="694F0C50">
            <w:pPr>
              <w:pStyle w:val="28"/>
              <w:bidi w:val="0"/>
            </w:pPr>
            <w:r>
              <w:t>42</w:t>
            </w:r>
          </w:p>
        </w:tc>
        <w:tc>
          <w:tcPr>
            <w:tcW w:w="208" w:type="pct"/>
            <w:vAlign w:val="center"/>
          </w:tcPr>
          <w:p w14:paraId="57D53849">
            <w:pPr>
              <w:pStyle w:val="28"/>
              <w:bidi w:val="0"/>
            </w:pPr>
            <w:r>
              <w:t>55</w:t>
            </w:r>
          </w:p>
        </w:tc>
        <w:tc>
          <w:tcPr>
            <w:tcW w:w="211" w:type="pct"/>
            <w:vAlign w:val="center"/>
          </w:tcPr>
          <w:p w14:paraId="79107B73">
            <w:pPr>
              <w:pStyle w:val="28"/>
              <w:bidi w:val="0"/>
            </w:pPr>
            <w:r>
              <w:t>45</w:t>
            </w:r>
          </w:p>
        </w:tc>
        <w:tc>
          <w:tcPr>
            <w:tcW w:w="276" w:type="pct"/>
            <w:vAlign w:val="center"/>
          </w:tcPr>
          <w:p w14:paraId="745A00CE">
            <w:pPr>
              <w:pStyle w:val="28"/>
              <w:bidi w:val="0"/>
            </w:pPr>
            <w:r>
              <w:t>51.6</w:t>
            </w:r>
          </w:p>
        </w:tc>
        <w:tc>
          <w:tcPr>
            <w:tcW w:w="257" w:type="pct"/>
            <w:vAlign w:val="center"/>
          </w:tcPr>
          <w:p w14:paraId="1A51A255">
            <w:pPr>
              <w:pStyle w:val="28"/>
              <w:bidi w:val="0"/>
            </w:pPr>
            <w:r>
              <w:t>44.6</w:t>
            </w:r>
          </w:p>
        </w:tc>
        <w:tc>
          <w:tcPr>
            <w:tcW w:w="257" w:type="pct"/>
            <w:vAlign w:val="center"/>
          </w:tcPr>
          <w:p w14:paraId="0ED494EA">
            <w:pPr>
              <w:pStyle w:val="28"/>
              <w:bidi w:val="0"/>
            </w:pPr>
            <w:r>
              <w:t>54.0</w:t>
            </w:r>
          </w:p>
        </w:tc>
        <w:tc>
          <w:tcPr>
            <w:tcW w:w="257" w:type="pct"/>
            <w:vAlign w:val="center"/>
          </w:tcPr>
          <w:p w14:paraId="34FC47DF">
            <w:pPr>
              <w:pStyle w:val="28"/>
              <w:bidi w:val="0"/>
            </w:pPr>
            <w:r>
              <w:t>0.5</w:t>
            </w:r>
          </w:p>
        </w:tc>
        <w:tc>
          <w:tcPr>
            <w:tcW w:w="209" w:type="pct"/>
            <w:vAlign w:val="center"/>
          </w:tcPr>
          <w:p w14:paraId="39C433CF">
            <w:pPr>
              <w:pStyle w:val="28"/>
              <w:bidi w:val="0"/>
            </w:pPr>
            <w:r>
              <w:t>达标</w:t>
            </w:r>
          </w:p>
        </w:tc>
      </w:tr>
      <w:tr w14:paraId="26708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9884B4D">
            <w:pPr>
              <w:pStyle w:val="28"/>
              <w:bidi w:val="0"/>
            </w:pPr>
            <w:r>
              <w:rPr>
                <w:rFonts w:hint="eastAsia"/>
              </w:rPr>
              <w:t>北仓村</w:t>
            </w:r>
          </w:p>
        </w:tc>
        <w:tc>
          <w:tcPr>
            <w:tcW w:w="511" w:type="pct"/>
            <w:vAlign w:val="center"/>
          </w:tcPr>
          <w:p w14:paraId="619B2538">
            <w:pPr>
              <w:pStyle w:val="28"/>
              <w:bidi w:val="0"/>
            </w:pPr>
            <w:r>
              <w:rPr>
                <w:rFonts w:hint="eastAsia"/>
              </w:rPr>
              <w:t>渠道护砌</w:t>
            </w:r>
          </w:p>
        </w:tc>
        <w:tc>
          <w:tcPr>
            <w:tcW w:w="366" w:type="pct"/>
            <w:vAlign w:val="center"/>
          </w:tcPr>
          <w:p w14:paraId="699FE029">
            <w:pPr>
              <w:pStyle w:val="28"/>
              <w:bidi w:val="0"/>
            </w:pPr>
            <w:r>
              <w:t>20</w:t>
            </w:r>
          </w:p>
        </w:tc>
        <w:tc>
          <w:tcPr>
            <w:tcW w:w="268" w:type="pct"/>
            <w:vAlign w:val="center"/>
          </w:tcPr>
          <w:p w14:paraId="785D3BAB">
            <w:pPr>
              <w:pStyle w:val="28"/>
              <w:bidi w:val="0"/>
            </w:pPr>
            <w:r>
              <w:rPr>
                <w:rFonts w:hint="eastAsia"/>
              </w:rPr>
              <w:t>右岸</w:t>
            </w:r>
          </w:p>
        </w:tc>
        <w:tc>
          <w:tcPr>
            <w:tcW w:w="262" w:type="pct"/>
            <w:vAlign w:val="center"/>
          </w:tcPr>
          <w:p w14:paraId="5319654A">
            <w:pPr>
              <w:pStyle w:val="28"/>
              <w:bidi w:val="0"/>
            </w:pPr>
            <w:r>
              <w:t>1</w:t>
            </w:r>
            <w:r>
              <w:rPr>
                <w:rFonts w:hint="eastAsia"/>
              </w:rPr>
              <w:t>类</w:t>
            </w:r>
          </w:p>
        </w:tc>
        <w:tc>
          <w:tcPr>
            <w:tcW w:w="809" w:type="pct"/>
            <w:vMerge w:val="restart"/>
            <w:vAlign w:val="center"/>
          </w:tcPr>
          <w:p w14:paraId="663001C3">
            <w:pPr>
              <w:pStyle w:val="28"/>
              <w:bidi w:val="0"/>
            </w:pPr>
            <w:r>
              <w:rPr>
                <w:rFonts w:hint="eastAsia"/>
              </w:rPr>
              <w:t>采用低噪声设备，施工机械远离居民住宅，设置双层移动声屏障</w:t>
            </w:r>
          </w:p>
        </w:tc>
        <w:tc>
          <w:tcPr>
            <w:tcW w:w="208" w:type="pct"/>
            <w:vAlign w:val="center"/>
          </w:tcPr>
          <w:p w14:paraId="144BA39C">
            <w:pPr>
              <w:pStyle w:val="28"/>
              <w:bidi w:val="0"/>
            </w:pPr>
            <w:r>
              <w:t>53.5</w:t>
            </w:r>
          </w:p>
        </w:tc>
        <w:tc>
          <w:tcPr>
            <w:tcW w:w="211" w:type="pct"/>
            <w:vAlign w:val="center"/>
          </w:tcPr>
          <w:p w14:paraId="1AD03F37">
            <w:pPr>
              <w:pStyle w:val="28"/>
              <w:bidi w:val="0"/>
            </w:pPr>
            <w:r>
              <w:t>42</w:t>
            </w:r>
          </w:p>
        </w:tc>
        <w:tc>
          <w:tcPr>
            <w:tcW w:w="208" w:type="pct"/>
            <w:vAlign w:val="center"/>
          </w:tcPr>
          <w:p w14:paraId="262AA0E8">
            <w:pPr>
              <w:pStyle w:val="28"/>
              <w:bidi w:val="0"/>
            </w:pPr>
            <w:r>
              <w:t>55</w:t>
            </w:r>
          </w:p>
        </w:tc>
        <w:tc>
          <w:tcPr>
            <w:tcW w:w="211" w:type="pct"/>
            <w:vAlign w:val="center"/>
          </w:tcPr>
          <w:p w14:paraId="651E6AB6">
            <w:pPr>
              <w:pStyle w:val="28"/>
              <w:bidi w:val="0"/>
            </w:pPr>
            <w:r>
              <w:t>45</w:t>
            </w:r>
          </w:p>
        </w:tc>
        <w:tc>
          <w:tcPr>
            <w:tcW w:w="276" w:type="pct"/>
            <w:vAlign w:val="center"/>
          </w:tcPr>
          <w:p w14:paraId="3301F354">
            <w:pPr>
              <w:pStyle w:val="28"/>
              <w:bidi w:val="0"/>
            </w:pPr>
            <w:r>
              <w:t>65.8</w:t>
            </w:r>
          </w:p>
        </w:tc>
        <w:tc>
          <w:tcPr>
            <w:tcW w:w="257" w:type="pct"/>
            <w:vAlign w:val="center"/>
          </w:tcPr>
          <w:p w14:paraId="7F67CD04">
            <w:pPr>
              <w:pStyle w:val="28"/>
              <w:bidi w:val="0"/>
            </w:pPr>
            <w:r>
              <w:t>45.8</w:t>
            </w:r>
          </w:p>
        </w:tc>
        <w:tc>
          <w:tcPr>
            <w:tcW w:w="257" w:type="pct"/>
            <w:vAlign w:val="center"/>
          </w:tcPr>
          <w:p w14:paraId="451BC26F">
            <w:pPr>
              <w:pStyle w:val="28"/>
              <w:bidi w:val="0"/>
            </w:pPr>
            <w:r>
              <w:t>54.2</w:t>
            </w:r>
          </w:p>
        </w:tc>
        <w:tc>
          <w:tcPr>
            <w:tcW w:w="257" w:type="pct"/>
            <w:vAlign w:val="center"/>
          </w:tcPr>
          <w:p w14:paraId="058D5673">
            <w:pPr>
              <w:pStyle w:val="28"/>
              <w:bidi w:val="0"/>
            </w:pPr>
            <w:r>
              <w:t>0.7</w:t>
            </w:r>
          </w:p>
        </w:tc>
        <w:tc>
          <w:tcPr>
            <w:tcW w:w="209" w:type="pct"/>
            <w:vAlign w:val="center"/>
          </w:tcPr>
          <w:p w14:paraId="7408BF48">
            <w:pPr>
              <w:pStyle w:val="28"/>
              <w:bidi w:val="0"/>
            </w:pPr>
            <w:r>
              <w:t>达标</w:t>
            </w:r>
          </w:p>
        </w:tc>
      </w:tr>
      <w:tr w14:paraId="5E065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C59DDA3">
            <w:pPr>
              <w:pStyle w:val="28"/>
              <w:bidi w:val="0"/>
            </w:pPr>
            <w:r>
              <w:rPr>
                <w:rFonts w:hint="eastAsia"/>
              </w:rPr>
              <w:t>大南郢</w:t>
            </w:r>
          </w:p>
        </w:tc>
        <w:tc>
          <w:tcPr>
            <w:tcW w:w="511" w:type="pct"/>
            <w:vAlign w:val="center"/>
          </w:tcPr>
          <w:p w14:paraId="40B8257A">
            <w:pPr>
              <w:pStyle w:val="28"/>
              <w:bidi w:val="0"/>
            </w:pPr>
            <w:r>
              <w:rPr>
                <w:rFonts w:hint="eastAsia"/>
              </w:rPr>
              <w:t>渠道护砌</w:t>
            </w:r>
          </w:p>
        </w:tc>
        <w:tc>
          <w:tcPr>
            <w:tcW w:w="366" w:type="pct"/>
            <w:vAlign w:val="center"/>
          </w:tcPr>
          <w:p w14:paraId="3A97BDC5">
            <w:pPr>
              <w:pStyle w:val="28"/>
              <w:bidi w:val="0"/>
            </w:pPr>
            <w:r>
              <w:t>30</w:t>
            </w:r>
          </w:p>
        </w:tc>
        <w:tc>
          <w:tcPr>
            <w:tcW w:w="268" w:type="pct"/>
            <w:vAlign w:val="center"/>
          </w:tcPr>
          <w:p w14:paraId="060EB28F">
            <w:pPr>
              <w:pStyle w:val="28"/>
              <w:bidi w:val="0"/>
            </w:pPr>
            <w:r>
              <w:rPr>
                <w:rFonts w:hint="eastAsia"/>
              </w:rPr>
              <w:t>左岸</w:t>
            </w:r>
          </w:p>
        </w:tc>
        <w:tc>
          <w:tcPr>
            <w:tcW w:w="262" w:type="pct"/>
            <w:vAlign w:val="center"/>
          </w:tcPr>
          <w:p w14:paraId="20F30D62">
            <w:pPr>
              <w:pStyle w:val="28"/>
              <w:bidi w:val="0"/>
            </w:pPr>
            <w:r>
              <w:t>1</w:t>
            </w:r>
            <w:r>
              <w:rPr>
                <w:rFonts w:hint="eastAsia"/>
              </w:rPr>
              <w:t>类</w:t>
            </w:r>
          </w:p>
        </w:tc>
        <w:tc>
          <w:tcPr>
            <w:tcW w:w="809" w:type="pct"/>
            <w:vMerge w:val="continue"/>
            <w:vAlign w:val="center"/>
          </w:tcPr>
          <w:p w14:paraId="332C4918">
            <w:pPr>
              <w:pStyle w:val="28"/>
              <w:bidi w:val="0"/>
            </w:pPr>
          </w:p>
        </w:tc>
        <w:tc>
          <w:tcPr>
            <w:tcW w:w="208" w:type="pct"/>
            <w:vAlign w:val="center"/>
          </w:tcPr>
          <w:p w14:paraId="0060A578">
            <w:pPr>
              <w:pStyle w:val="28"/>
              <w:bidi w:val="0"/>
            </w:pPr>
            <w:r>
              <w:t>53.5</w:t>
            </w:r>
          </w:p>
        </w:tc>
        <w:tc>
          <w:tcPr>
            <w:tcW w:w="211" w:type="pct"/>
            <w:vAlign w:val="center"/>
          </w:tcPr>
          <w:p w14:paraId="4EAF503B">
            <w:pPr>
              <w:pStyle w:val="28"/>
              <w:bidi w:val="0"/>
            </w:pPr>
            <w:r>
              <w:t>42</w:t>
            </w:r>
          </w:p>
        </w:tc>
        <w:tc>
          <w:tcPr>
            <w:tcW w:w="208" w:type="pct"/>
            <w:vAlign w:val="center"/>
          </w:tcPr>
          <w:p w14:paraId="1C567AF7">
            <w:pPr>
              <w:pStyle w:val="28"/>
              <w:bidi w:val="0"/>
            </w:pPr>
            <w:r>
              <w:t>55</w:t>
            </w:r>
          </w:p>
        </w:tc>
        <w:tc>
          <w:tcPr>
            <w:tcW w:w="211" w:type="pct"/>
            <w:vAlign w:val="center"/>
          </w:tcPr>
          <w:p w14:paraId="24BC6D01">
            <w:pPr>
              <w:pStyle w:val="28"/>
              <w:bidi w:val="0"/>
            </w:pPr>
            <w:r>
              <w:t>45</w:t>
            </w:r>
          </w:p>
        </w:tc>
        <w:tc>
          <w:tcPr>
            <w:tcW w:w="276" w:type="pct"/>
            <w:vAlign w:val="center"/>
          </w:tcPr>
          <w:p w14:paraId="68EC61C4">
            <w:pPr>
              <w:pStyle w:val="28"/>
              <w:bidi w:val="0"/>
            </w:pPr>
            <w:r>
              <w:t>62.3</w:t>
            </w:r>
          </w:p>
        </w:tc>
        <w:tc>
          <w:tcPr>
            <w:tcW w:w="257" w:type="pct"/>
            <w:vAlign w:val="center"/>
          </w:tcPr>
          <w:p w14:paraId="14ED8FC2">
            <w:pPr>
              <w:pStyle w:val="28"/>
              <w:bidi w:val="0"/>
            </w:pPr>
            <w:r>
              <w:t>42.3</w:t>
            </w:r>
          </w:p>
        </w:tc>
        <w:tc>
          <w:tcPr>
            <w:tcW w:w="257" w:type="pct"/>
            <w:vAlign w:val="center"/>
          </w:tcPr>
          <w:p w14:paraId="3DCE2E8C">
            <w:pPr>
              <w:pStyle w:val="28"/>
              <w:bidi w:val="0"/>
            </w:pPr>
            <w:r>
              <w:t>53.8</w:t>
            </w:r>
          </w:p>
        </w:tc>
        <w:tc>
          <w:tcPr>
            <w:tcW w:w="257" w:type="pct"/>
            <w:vAlign w:val="center"/>
          </w:tcPr>
          <w:p w14:paraId="579D2BAA">
            <w:pPr>
              <w:pStyle w:val="28"/>
              <w:bidi w:val="0"/>
            </w:pPr>
            <w:r>
              <w:t>0.3</w:t>
            </w:r>
          </w:p>
        </w:tc>
        <w:tc>
          <w:tcPr>
            <w:tcW w:w="209" w:type="pct"/>
            <w:vAlign w:val="center"/>
          </w:tcPr>
          <w:p w14:paraId="30C1161B">
            <w:pPr>
              <w:pStyle w:val="28"/>
              <w:bidi w:val="0"/>
            </w:pPr>
            <w:r>
              <w:t>达标</w:t>
            </w:r>
          </w:p>
        </w:tc>
      </w:tr>
      <w:tr w14:paraId="63794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61EC545">
            <w:pPr>
              <w:pStyle w:val="28"/>
              <w:bidi w:val="0"/>
            </w:pPr>
            <w:r>
              <w:rPr>
                <w:rFonts w:hint="eastAsia"/>
              </w:rPr>
              <w:t>刘郢</w:t>
            </w:r>
          </w:p>
        </w:tc>
        <w:tc>
          <w:tcPr>
            <w:tcW w:w="511" w:type="pct"/>
            <w:vAlign w:val="center"/>
          </w:tcPr>
          <w:p w14:paraId="542E5BD5">
            <w:pPr>
              <w:pStyle w:val="28"/>
              <w:bidi w:val="0"/>
            </w:pPr>
            <w:r>
              <w:rPr>
                <w:rFonts w:hint="eastAsia"/>
              </w:rPr>
              <w:t>渠道护砌</w:t>
            </w:r>
          </w:p>
        </w:tc>
        <w:tc>
          <w:tcPr>
            <w:tcW w:w="366" w:type="pct"/>
            <w:vAlign w:val="center"/>
          </w:tcPr>
          <w:p w14:paraId="75A975C5">
            <w:pPr>
              <w:pStyle w:val="28"/>
              <w:bidi w:val="0"/>
            </w:pPr>
            <w:r>
              <w:t>110</w:t>
            </w:r>
          </w:p>
        </w:tc>
        <w:tc>
          <w:tcPr>
            <w:tcW w:w="268" w:type="pct"/>
            <w:vAlign w:val="center"/>
          </w:tcPr>
          <w:p w14:paraId="6B7DB8D8">
            <w:pPr>
              <w:pStyle w:val="28"/>
              <w:bidi w:val="0"/>
            </w:pPr>
            <w:r>
              <w:rPr>
                <w:rFonts w:hint="eastAsia"/>
              </w:rPr>
              <w:t>右岸</w:t>
            </w:r>
          </w:p>
        </w:tc>
        <w:tc>
          <w:tcPr>
            <w:tcW w:w="262" w:type="pct"/>
            <w:vAlign w:val="center"/>
          </w:tcPr>
          <w:p w14:paraId="75F3276F">
            <w:pPr>
              <w:pStyle w:val="28"/>
              <w:bidi w:val="0"/>
            </w:pPr>
            <w:r>
              <w:t>1</w:t>
            </w:r>
            <w:r>
              <w:rPr>
                <w:rFonts w:hint="eastAsia"/>
              </w:rPr>
              <w:t>类</w:t>
            </w:r>
          </w:p>
        </w:tc>
        <w:tc>
          <w:tcPr>
            <w:tcW w:w="809" w:type="pct"/>
            <w:vAlign w:val="center"/>
          </w:tcPr>
          <w:p w14:paraId="12FDE8D9">
            <w:pPr>
              <w:pStyle w:val="28"/>
              <w:bidi w:val="0"/>
            </w:pPr>
            <w:r>
              <w:rPr>
                <w:rFonts w:hint="eastAsia"/>
              </w:rPr>
              <w:t>采用低噪声设备，施工机械远离居民住宅</w:t>
            </w:r>
          </w:p>
        </w:tc>
        <w:tc>
          <w:tcPr>
            <w:tcW w:w="208" w:type="pct"/>
            <w:vAlign w:val="center"/>
          </w:tcPr>
          <w:p w14:paraId="7FF24191">
            <w:pPr>
              <w:pStyle w:val="28"/>
              <w:bidi w:val="0"/>
            </w:pPr>
            <w:r>
              <w:t>53.5</w:t>
            </w:r>
          </w:p>
        </w:tc>
        <w:tc>
          <w:tcPr>
            <w:tcW w:w="211" w:type="pct"/>
            <w:vAlign w:val="center"/>
          </w:tcPr>
          <w:p w14:paraId="06C930D0">
            <w:pPr>
              <w:pStyle w:val="28"/>
              <w:bidi w:val="0"/>
            </w:pPr>
            <w:r>
              <w:t>42</w:t>
            </w:r>
          </w:p>
        </w:tc>
        <w:tc>
          <w:tcPr>
            <w:tcW w:w="208" w:type="pct"/>
            <w:vAlign w:val="center"/>
          </w:tcPr>
          <w:p w14:paraId="2648036E">
            <w:pPr>
              <w:pStyle w:val="28"/>
              <w:bidi w:val="0"/>
            </w:pPr>
            <w:r>
              <w:t>55</w:t>
            </w:r>
          </w:p>
        </w:tc>
        <w:tc>
          <w:tcPr>
            <w:tcW w:w="211" w:type="pct"/>
            <w:vAlign w:val="center"/>
          </w:tcPr>
          <w:p w14:paraId="7BB3DFEB">
            <w:pPr>
              <w:pStyle w:val="28"/>
              <w:bidi w:val="0"/>
            </w:pPr>
            <w:r>
              <w:t>45</w:t>
            </w:r>
          </w:p>
        </w:tc>
        <w:tc>
          <w:tcPr>
            <w:tcW w:w="276" w:type="pct"/>
            <w:vAlign w:val="center"/>
          </w:tcPr>
          <w:p w14:paraId="0D25A20A">
            <w:pPr>
              <w:pStyle w:val="28"/>
              <w:bidi w:val="0"/>
            </w:pPr>
            <w:r>
              <w:t>51.0</w:t>
            </w:r>
          </w:p>
        </w:tc>
        <w:tc>
          <w:tcPr>
            <w:tcW w:w="257" w:type="pct"/>
            <w:vAlign w:val="center"/>
          </w:tcPr>
          <w:p w14:paraId="330C804F">
            <w:pPr>
              <w:pStyle w:val="28"/>
              <w:bidi w:val="0"/>
            </w:pPr>
            <w:r>
              <w:t>44.0</w:t>
            </w:r>
          </w:p>
        </w:tc>
        <w:tc>
          <w:tcPr>
            <w:tcW w:w="257" w:type="pct"/>
            <w:vAlign w:val="center"/>
          </w:tcPr>
          <w:p w14:paraId="1C40145F">
            <w:pPr>
              <w:pStyle w:val="28"/>
              <w:bidi w:val="0"/>
            </w:pPr>
            <w:r>
              <w:t>54.0</w:t>
            </w:r>
          </w:p>
        </w:tc>
        <w:tc>
          <w:tcPr>
            <w:tcW w:w="257" w:type="pct"/>
            <w:vAlign w:val="center"/>
          </w:tcPr>
          <w:p w14:paraId="7FD341FB">
            <w:pPr>
              <w:pStyle w:val="28"/>
              <w:bidi w:val="0"/>
            </w:pPr>
            <w:r>
              <w:t>0.5</w:t>
            </w:r>
          </w:p>
        </w:tc>
        <w:tc>
          <w:tcPr>
            <w:tcW w:w="209" w:type="pct"/>
            <w:vAlign w:val="center"/>
          </w:tcPr>
          <w:p w14:paraId="5929D6B7">
            <w:pPr>
              <w:pStyle w:val="28"/>
              <w:bidi w:val="0"/>
            </w:pPr>
            <w:r>
              <w:t>达标</w:t>
            </w:r>
          </w:p>
        </w:tc>
      </w:tr>
      <w:tr w14:paraId="754FC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F642BAC">
            <w:pPr>
              <w:pStyle w:val="28"/>
              <w:bidi w:val="0"/>
            </w:pPr>
            <w:r>
              <w:rPr>
                <w:rFonts w:hint="eastAsia"/>
              </w:rPr>
              <w:t>桃园</w:t>
            </w:r>
          </w:p>
        </w:tc>
        <w:tc>
          <w:tcPr>
            <w:tcW w:w="511" w:type="pct"/>
            <w:vAlign w:val="center"/>
          </w:tcPr>
          <w:p w14:paraId="4E712B53">
            <w:pPr>
              <w:pStyle w:val="28"/>
              <w:bidi w:val="0"/>
            </w:pPr>
            <w:r>
              <w:rPr>
                <w:rFonts w:hint="eastAsia"/>
              </w:rPr>
              <w:t>渠道护砌</w:t>
            </w:r>
          </w:p>
        </w:tc>
        <w:tc>
          <w:tcPr>
            <w:tcW w:w="366" w:type="pct"/>
            <w:vAlign w:val="center"/>
          </w:tcPr>
          <w:p w14:paraId="22D860F9">
            <w:pPr>
              <w:pStyle w:val="28"/>
              <w:bidi w:val="0"/>
            </w:pPr>
            <w:r>
              <w:t>40</w:t>
            </w:r>
          </w:p>
        </w:tc>
        <w:tc>
          <w:tcPr>
            <w:tcW w:w="268" w:type="pct"/>
            <w:vAlign w:val="center"/>
          </w:tcPr>
          <w:p w14:paraId="685C15D3">
            <w:pPr>
              <w:pStyle w:val="28"/>
              <w:bidi w:val="0"/>
            </w:pPr>
            <w:r>
              <w:rPr>
                <w:rFonts w:hint="eastAsia"/>
              </w:rPr>
              <w:t>右岸</w:t>
            </w:r>
          </w:p>
        </w:tc>
        <w:tc>
          <w:tcPr>
            <w:tcW w:w="262" w:type="pct"/>
            <w:vAlign w:val="center"/>
          </w:tcPr>
          <w:p w14:paraId="6E2CA80B">
            <w:pPr>
              <w:pStyle w:val="28"/>
              <w:bidi w:val="0"/>
            </w:pPr>
            <w:r>
              <w:t>1</w:t>
            </w:r>
            <w:r>
              <w:rPr>
                <w:rFonts w:hint="eastAsia"/>
              </w:rPr>
              <w:t>类</w:t>
            </w:r>
          </w:p>
        </w:tc>
        <w:tc>
          <w:tcPr>
            <w:tcW w:w="809" w:type="pct"/>
            <w:vAlign w:val="center"/>
          </w:tcPr>
          <w:p w14:paraId="425DB989">
            <w:pPr>
              <w:pStyle w:val="28"/>
              <w:bidi w:val="0"/>
            </w:pPr>
            <w:r>
              <w:rPr>
                <w:rFonts w:hint="eastAsia"/>
              </w:rPr>
              <w:t>采用低噪声设备，施工机械远离居民住宅，设置双层移动声屏障</w:t>
            </w:r>
          </w:p>
        </w:tc>
        <w:tc>
          <w:tcPr>
            <w:tcW w:w="208" w:type="pct"/>
            <w:vAlign w:val="center"/>
          </w:tcPr>
          <w:p w14:paraId="30DACBF0">
            <w:pPr>
              <w:pStyle w:val="28"/>
              <w:bidi w:val="0"/>
            </w:pPr>
            <w:r>
              <w:t>53.5</w:t>
            </w:r>
          </w:p>
        </w:tc>
        <w:tc>
          <w:tcPr>
            <w:tcW w:w="211" w:type="pct"/>
            <w:vAlign w:val="center"/>
          </w:tcPr>
          <w:p w14:paraId="0BA3B5CA">
            <w:pPr>
              <w:pStyle w:val="28"/>
              <w:bidi w:val="0"/>
            </w:pPr>
            <w:r>
              <w:t>42</w:t>
            </w:r>
          </w:p>
        </w:tc>
        <w:tc>
          <w:tcPr>
            <w:tcW w:w="208" w:type="pct"/>
            <w:vAlign w:val="center"/>
          </w:tcPr>
          <w:p w14:paraId="62238655">
            <w:pPr>
              <w:pStyle w:val="28"/>
              <w:bidi w:val="0"/>
            </w:pPr>
            <w:r>
              <w:t>55</w:t>
            </w:r>
          </w:p>
        </w:tc>
        <w:tc>
          <w:tcPr>
            <w:tcW w:w="211" w:type="pct"/>
            <w:vAlign w:val="center"/>
          </w:tcPr>
          <w:p w14:paraId="73C24E1D">
            <w:pPr>
              <w:pStyle w:val="28"/>
              <w:bidi w:val="0"/>
            </w:pPr>
            <w:r>
              <w:t>45</w:t>
            </w:r>
          </w:p>
        </w:tc>
        <w:tc>
          <w:tcPr>
            <w:tcW w:w="276" w:type="pct"/>
            <w:vAlign w:val="center"/>
          </w:tcPr>
          <w:p w14:paraId="697AA515">
            <w:pPr>
              <w:pStyle w:val="28"/>
              <w:bidi w:val="0"/>
            </w:pPr>
            <w:r>
              <w:t>59.8</w:t>
            </w:r>
          </w:p>
        </w:tc>
        <w:tc>
          <w:tcPr>
            <w:tcW w:w="257" w:type="pct"/>
            <w:vAlign w:val="center"/>
          </w:tcPr>
          <w:p w14:paraId="065A75FC">
            <w:pPr>
              <w:pStyle w:val="28"/>
              <w:bidi w:val="0"/>
            </w:pPr>
            <w:r>
              <w:t>39.8</w:t>
            </w:r>
          </w:p>
        </w:tc>
        <w:tc>
          <w:tcPr>
            <w:tcW w:w="257" w:type="pct"/>
            <w:vAlign w:val="center"/>
          </w:tcPr>
          <w:p w14:paraId="7F1E45AD">
            <w:pPr>
              <w:pStyle w:val="28"/>
              <w:bidi w:val="0"/>
            </w:pPr>
            <w:r>
              <w:t>53.7</w:t>
            </w:r>
          </w:p>
        </w:tc>
        <w:tc>
          <w:tcPr>
            <w:tcW w:w="257" w:type="pct"/>
            <w:vAlign w:val="center"/>
          </w:tcPr>
          <w:p w14:paraId="4EF9F6C7">
            <w:pPr>
              <w:pStyle w:val="28"/>
              <w:bidi w:val="0"/>
            </w:pPr>
            <w:r>
              <w:t>0.2</w:t>
            </w:r>
          </w:p>
        </w:tc>
        <w:tc>
          <w:tcPr>
            <w:tcW w:w="209" w:type="pct"/>
            <w:vAlign w:val="center"/>
          </w:tcPr>
          <w:p w14:paraId="60054A9C">
            <w:pPr>
              <w:pStyle w:val="28"/>
              <w:bidi w:val="0"/>
            </w:pPr>
            <w:r>
              <w:t>达标</w:t>
            </w:r>
          </w:p>
        </w:tc>
      </w:tr>
      <w:tr w14:paraId="63F35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58A99F8">
            <w:pPr>
              <w:pStyle w:val="28"/>
              <w:bidi w:val="0"/>
            </w:pPr>
            <w:r>
              <w:rPr>
                <w:rFonts w:hint="eastAsia"/>
              </w:rPr>
              <w:t>后郢</w:t>
            </w:r>
          </w:p>
        </w:tc>
        <w:tc>
          <w:tcPr>
            <w:tcW w:w="511" w:type="pct"/>
            <w:vAlign w:val="center"/>
          </w:tcPr>
          <w:p w14:paraId="44551649">
            <w:pPr>
              <w:pStyle w:val="28"/>
              <w:bidi w:val="0"/>
            </w:pPr>
            <w:r>
              <w:rPr>
                <w:rFonts w:hint="eastAsia"/>
              </w:rPr>
              <w:t>渠道护砌</w:t>
            </w:r>
          </w:p>
        </w:tc>
        <w:tc>
          <w:tcPr>
            <w:tcW w:w="366" w:type="pct"/>
            <w:vAlign w:val="center"/>
          </w:tcPr>
          <w:p w14:paraId="79EBE6F2">
            <w:pPr>
              <w:pStyle w:val="28"/>
              <w:bidi w:val="0"/>
            </w:pPr>
            <w:r>
              <w:t>55</w:t>
            </w:r>
          </w:p>
        </w:tc>
        <w:tc>
          <w:tcPr>
            <w:tcW w:w="268" w:type="pct"/>
            <w:vAlign w:val="center"/>
          </w:tcPr>
          <w:p w14:paraId="2773A17F">
            <w:pPr>
              <w:pStyle w:val="28"/>
              <w:bidi w:val="0"/>
            </w:pPr>
            <w:r>
              <w:rPr>
                <w:rFonts w:hint="eastAsia"/>
              </w:rPr>
              <w:t>左岸</w:t>
            </w:r>
          </w:p>
        </w:tc>
        <w:tc>
          <w:tcPr>
            <w:tcW w:w="262" w:type="pct"/>
            <w:vAlign w:val="center"/>
          </w:tcPr>
          <w:p w14:paraId="49FE607B">
            <w:pPr>
              <w:pStyle w:val="28"/>
              <w:bidi w:val="0"/>
            </w:pPr>
            <w:r>
              <w:t>1</w:t>
            </w:r>
            <w:r>
              <w:rPr>
                <w:rFonts w:hint="eastAsia"/>
              </w:rPr>
              <w:t>类</w:t>
            </w:r>
          </w:p>
        </w:tc>
        <w:tc>
          <w:tcPr>
            <w:tcW w:w="809" w:type="pct"/>
            <w:vMerge w:val="restart"/>
            <w:vAlign w:val="center"/>
          </w:tcPr>
          <w:p w14:paraId="5EB62BD0">
            <w:pPr>
              <w:pStyle w:val="28"/>
              <w:bidi w:val="0"/>
            </w:pPr>
            <w:r>
              <w:rPr>
                <w:rFonts w:hint="eastAsia"/>
              </w:rPr>
              <w:t>采用低噪声设备，施工机械远离居民住宅</w:t>
            </w:r>
          </w:p>
        </w:tc>
        <w:tc>
          <w:tcPr>
            <w:tcW w:w="208" w:type="pct"/>
            <w:vAlign w:val="center"/>
          </w:tcPr>
          <w:p w14:paraId="3D7F167B">
            <w:pPr>
              <w:pStyle w:val="28"/>
              <w:bidi w:val="0"/>
            </w:pPr>
            <w:r>
              <w:t>53.5</w:t>
            </w:r>
          </w:p>
        </w:tc>
        <w:tc>
          <w:tcPr>
            <w:tcW w:w="211" w:type="pct"/>
            <w:vAlign w:val="center"/>
          </w:tcPr>
          <w:p w14:paraId="1B9511F4">
            <w:pPr>
              <w:pStyle w:val="28"/>
              <w:bidi w:val="0"/>
            </w:pPr>
            <w:r>
              <w:t>42</w:t>
            </w:r>
          </w:p>
        </w:tc>
        <w:tc>
          <w:tcPr>
            <w:tcW w:w="208" w:type="pct"/>
            <w:vAlign w:val="center"/>
          </w:tcPr>
          <w:p w14:paraId="58A34A36">
            <w:pPr>
              <w:pStyle w:val="28"/>
              <w:bidi w:val="0"/>
            </w:pPr>
            <w:r>
              <w:t>55</w:t>
            </w:r>
          </w:p>
        </w:tc>
        <w:tc>
          <w:tcPr>
            <w:tcW w:w="211" w:type="pct"/>
            <w:vAlign w:val="center"/>
          </w:tcPr>
          <w:p w14:paraId="3979C812">
            <w:pPr>
              <w:pStyle w:val="28"/>
              <w:bidi w:val="0"/>
            </w:pPr>
            <w:r>
              <w:t>45</w:t>
            </w:r>
          </w:p>
        </w:tc>
        <w:tc>
          <w:tcPr>
            <w:tcW w:w="276" w:type="pct"/>
            <w:vAlign w:val="center"/>
          </w:tcPr>
          <w:p w14:paraId="5AB9A3A0">
            <w:pPr>
              <w:pStyle w:val="28"/>
              <w:bidi w:val="0"/>
            </w:pPr>
            <w:r>
              <w:t>57.1</w:t>
            </w:r>
          </w:p>
        </w:tc>
        <w:tc>
          <w:tcPr>
            <w:tcW w:w="257" w:type="pct"/>
            <w:vAlign w:val="center"/>
          </w:tcPr>
          <w:p w14:paraId="53A24CFD">
            <w:pPr>
              <w:pStyle w:val="28"/>
              <w:bidi w:val="0"/>
            </w:pPr>
            <w:r>
              <w:t>49.1</w:t>
            </w:r>
          </w:p>
        </w:tc>
        <w:tc>
          <w:tcPr>
            <w:tcW w:w="257" w:type="pct"/>
            <w:vAlign w:val="center"/>
          </w:tcPr>
          <w:p w14:paraId="211FB3AD">
            <w:pPr>
              <w:pStyle w:val="28"/>
              <w:bidi w:val="0"/>
            </w:pPr>
            <w:r>
              <w:t>54.8</w:t>
            </w:r>
          </w:p>
        </w:tc>
        <w:tc>
          <w:tcPr>
            <w:tcW w:w="257" w:type="pct"/>
            <w:vAlign w:val="center"/>
          </w:tcPr>
          <w:p w14:paraId="7983A537">
            <w:pPr>
              <w:pStyle w:val="28"/>
              <w:bidi w:val="0"/>
            </w:pPr>
            <w:r>
              <w:t>1.3</w:t>
            </w:r>
          </w:p>
        </w:tc>
        <w:tc>
          <w:tcPr>
            <w:tcW w:w="209" w:type="pct"/>
            <w:vAlign w:val="center"/>
          </w:tcPr>
          <w:p w14:paraId="21B7FA4E">
            <w:pPr>
              <w:pStyle w:val="28"/>
              <w:bidi w:val="0"/>
            </w:pPr>
            <w:r>
              <w:t>达标</w:t>
            </w:r>
          </w:p>
        </w:tc>
      </w:tr>
      <w:tr w14:paraId="38AB2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F3D9176">
            <w:pPr>
              <w:pStyle w:val="28"/>
              <w:bidi w:val="0"/>
            </w:pPr>
            <w:r>
              <w:rPr>
                <w:rFonts w:hint="eastAsia"/>
              </w:rPr>
              <w:t>三土城</w:t>
            </w:r>
          </w:p>
        </w:tc>
        <w:tc>
          <w:tcPr>
            <w:tcW w:w="511" w:type="pct"/>
            <w:vAlign w:val="center"/>
          </w:tcPr>
          <w:p w14:paraId="45742690">
            <w:pPr>
              <w:pStyle w:val="28"/>
              <w:bidi w:val="0"/>
            </w:pPr>
            <w:r>
              <w:rPr>
                <w:rFonts w:hint="eastAsia"/>
              </w:rPr>
              <w:t>底泥清淤</w:t>
            </w:r>
          </w:p>
        </w:tc>
        <w:tc>
          <w:tcPr>
            <w:tcW w:w="366" w:type="pct"/>
            <w:vAlign w:val="center"/>
          </w:tcPr>
          <w:p w14:paraId="19E14E3A">
            <w:pPr>
              <w:pStyle w:val="28"/>
              <w:bidi w:val="0"/>
            </w:pPr>
            <w:r>
              <w:t>55</w:t>
            </w:r>
          </w:p>
        </w:tc>
        <w:tc>
          <w:tcPr>
            <w:tcW w:w="268" w:type="pct"/>
            <w:vAlign w:val="center"/>
          </w:tcPr>
          <w:p w14:paraId="11D1D532">
            <w:pPr>
              <w:pStyle w:val="28"/>
              <w:bidi w:val="0"/>
            </w:pPr>
            <w:r>
              <w:rPr>
                <w:rFonts w:hint="eastAsia"/>
              </w:rPr>
              <w:t>左岸</w:t>
            </w:r>
          </w:p>
        </w:tc>
        <w:tc>
          <w:tcPr>
            <w:tcW w:w="262" w:type="pct"/>
            <w:vAlign w:val="center"/>
          </w:tcPr>
          <w:p w14:paraId="5FECFB9A">
            <w:pPr>
              <w:pStyle w:val="28"/>
              <w:bidi w:val="0"/>
            </w:pPr>
            <w:r>
              <w:t>1</w:t>
            </w:r>
            <w:r>
              <w:rPr>
                <w:rFonts w:hint="eastAsia"/>
              </w:rPr>
              <w:t>类</w:t>
            </w:r>
          </w:p>
        </w:tc>
        <w:tc>
          <w:tcPr>
            <w:tcW w:w="809" w:type="pct"/>
            <w:vMerge w:val="continue"/>
            <w:vAlign w:val="center"/>
          </w:tcPr>
          <w:p w14:paraId="68C5E46E">
            <w:pPr>
              <w:pStyle w:val="28"/>
              <w:bidi w:val="0"/>
            </w:pPr>
          </w:p>
        </w:tc>
        <w:tc>
          <w:tcPr>
            <w:tcW w:w="208" w:type="pct"/>
            <w:vAlign w:val="center"/>
          </w:tcPr>
          <w:p w14:paraId="7401E296">
            <w:pPr>
              <w:pStyle w:val="28"/>
              <w:bidi w:val="0"/>
            </w:pPr>
            <w:r>
              <w:t>53.5</w:t>
            </w:r>
          </w:p>
        </w:tc>
        <w:tc>
          <w:tcPr>
            <w:tcW w:w="211" w:type="pct"/>
            <w:vAlign w:val="center"/>
          </w:tcPr>
          <w:p w14:paraId="23B7D5B1">
            <w:pPr>
              <w:pStyle w:val="28"/>
              <w:bidi w:val="0"/>
            </w:pPr>
            <w:r>
              <w:t>42</w:t>
            </w:r>
          </w:p>
        </w:tc>
        <w:tc>
          <w:tcPr>
            <w:tcW w:w="208" w:type="pct"/>
            <w:vAlign w:val="center"/>
          </w:tcPr>
          <w:p w14:paraId="359C1195">
            <w:pPr>
              <w:pStyle w:val="28"/>
              <w:bidi w:val="0"/>
            </w:pPr>
            <w:r>
              <w:t>55</w:t>
            </w:r>
          </w:p>
        </w:tc>
        <w:tc>
          <w:tcPr>
            <w:tcW w:w="211" w:type="pct"/>
            <w:vAlign w:val="center"/>
          </w:tcPr>
          <w:p w14:paraId="6E222FA5">
            <w:pPr>
              <w:pStyle w:val="28"/>
              <w:bidi w:val="0"/>
            </w:pPr>
            <w:r>
              <w:t>45</w:t>
            </w:r>
          </w:p>
        </w:tc>
        <w:tc>
          <w:tcPr>
            <w:tcW w:w="276" w:type="pct"/>
            <w:vAlign w:val="center"/>
          </w:tcPr>
          <w:p w14:paraId="2830B7F9">
            <w:pPr>
              <w:pStyle w:val="28"/>
              <w:bidi w:val="0"/>
            </w:pPr>
            <w:r>
              <w:t>55.4</w:t>
            </w:r>
          </w:p>
        </w:tc>
        <w:tc>
          <w:tcPr>
            <w:tcW w:w="257" w:type="pct"/>
            <w:vAlign w:val="center"/>
          </w:tcPr>
          <w:p w14:paraId="1CD4D5B6">
            <w:pPr>
              <w:pStyle w:val="28"/>
              <w:bidi w:val="0"/>
            </w:pPr>
            <w:r>
              <w:t>48.4</w:t>
            </w:r>
          </w:p>
        </w:tc>
        <w:tc>
          <w:tcPr>
            <w:tcW w:w="257" w:type="pct"/>
            <w:vAlign w:val="center"/>
          </w:tcPr>
          <w:p w14:paraId="5DE813DA">
            <w:pPr>
              <w:pStyle w:val="28"/>
              <w:bidi w:val="0"/>
            </w:pPr>
            <w:r>
              <w:t>54.7</w:t>
            </w:r>
          </w:p>
        </w:tc>
        <w:tc>
          <w:tcPr>
            <w:tcW w:w="257" w:type="pct"/>
            <w:vAlign w:val="center"/>
          </w:tcPr>
          <w:p w14:paraId="157A854F">
            <w:pPr>
              <w:pStyle w:val="28"/>
              <w:bidi w:val="0"/>
            </w:pPr>
            <w:r>
              <w:t>1.2</w:t>
            </w:r>
          </w:p>
        </w:tc>
        <w:tc>
          <w:tcPr>
            <w:tcW w:w="209" w:type="pct"/>
            <w:vAlign w:val="center"/>
          </w:tcPr>
          <w:p w14:paraId="4B02BB7F">
            <w:pPr>
              <w:pStyle w:val="28"/>
              <w:bidi w:val="0"/>
            </w:pPr>
            <w:r>
              <w:t>达标</w:t>
            </w:r>
          </w:p>
        </w:tc>
      </w:tr>
      <w:tr w14:paraId="3231F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shd w:val="clear" w:color="auto" w:fill="FFFFFF"/>
            <w:vAlign w:val="center"/>
          </w:tcPr>
          <w:p w14:paraId="5975E428">
            <w:pPr>
              <w:pStyle w:val="28"/>
              <w:bidi w:val="0"/>
            </w:pPr>
            <w:r>
              <w:rPr>
                <w:rFonts w:hint="eastAsia"/>
              </w:rPr>
              <w:t>后郢子</w:t>
            </w:r>
          </w:p>
        </w:tc>
        <w:tc>
          <w:tcPr>
            <w:tcW w:w="511" w:type="pct"/>
            <w:shd w:val="clear" w:color="auto" w:fill="FFFFFF"/>
            <w:vAlign w:val="center"/>
          </w:tcPr>
          <w:p w14:paraId="556F9155">
            <w:pPr>
              <w:pStyle w:val="28"/>
              <w:bidi w:val="0"/>
            </w:pPr>
            <w:r>
              <w:rPr>
                <w:rFonts w:hint="eastAsia"/>
              </w:rPr>
              <w:t>放水涵加固</w:t>
            </w:r>
          </w:p>
        </w:tc>
        <w:tc>
          <w:tcPr>
            <w:tcW w:w="366" w:type="pct"/>
            <w:vAlign w:val="center"/>
          </w:tcPr>
          <w:p w14:paraId="6310D5E1">
            <w:pPr>
              <w:pStyle w:val="28"/>
              <w:bidi w:val="0"/>
            </w:pPr>
            <w:r>
              <w:t>30</w:t>
            </w:r>
          </w:p>
        </w:tc>
        <w:tc>
          <w:tcPr>
            <w:tcW w:w="268" w:type="pct"/>
            <w:vAlign w:val="center"/>
          </w:tcPr>
          <w:p w14:paraId="31C4E321">
            <w:pPr>
              <w:pStyle w:val="28"/>
              <w:bidi w:val="0"/>
            </w:pPr>
            <w:r>
              <w:rPr>
                <w:rFonts w:hint="eastAsia"/>
              </w:rPr>
              <w:t>左岸</w:t>
            </w:r>
          </w:p>
        </w:tc>
        <w:tc>
          <w:tcPr>
            <w:tcW w:w="262" w:type="pct"/>
            <w:vAlign w:val="center"/>
          </w:tcPr>
          <w:p w14:paraId="5B709865">
            <w:pPr>
              <w:pStyle w:val="28"/>
              <w:bidi w:val="0"/>
            </w:pPr>
            <w:r>
              <w:t>1</w:t>
            </w:r>
            <w:r>
              <w:rPr>
                <w:rFonts w:hint="eastAsia"/>
              </w:rPr>
              <w:t>类</w:t>
            </w:r>
          </w:p>
        </w:tc>
        <w:tc>
          <w:tcPr>
            <w:tcW w:w="809" w:type="pct"/>
            <w:vMerge w:val="restart"/>
            <w:vAlign w:val="center"/>
          </w:tcPr>
          <w:p w14:paraId="3AE25ECF">
            <w:pPr>
              <w:pStyle w:val="28"/>
              <w:bidi w:val="0"/>
            </w:pPr>
            <w:r>
              <w:rPr>
                <w:rFonts w:hint="eastAsia"/>
              </w:rPr>
              <w:t>采用低噪声设备，施工机械远离居民住宅，设置双层移动声屏障</w:t>
            </w:r>
          </w:p>
        </w:tc>
        <w:tc>
          <w:tcPr>
            <w:tcW w:w="208" w:type="pct"/>
            <w:vAlign w:val="center"/>
          </w:tcPr>
          <w:p w14:paraId="6AC7F31A">
            <w:pPr>
              <w:pStyle w:val="28"/>
              <w:bidi w:val="0"/>
            </w:pPr>
            <w:r>
              <w:t>53.5</w:t>
            </w:r>
          </w:p>
        </w:tc>
        <w:tc>
          <w:tcPr>
            <w:tcW w:w="211" w:type="pct"/>
            <w:vAlign w:val="center"/>
          </w:tcPr>
          <w:p w14:paraId="75B0CC7B">
            <w:pPr>
              <w:pStyle w:val="28"/>
              <w:bidi w:val="0"/>
            </w:pPr>
            <w:r>
              <w:t>42</w:t>
            </w:r>
          </w:p>
        </w:tc>
        <w:tc>
          <w:tcPr>
            <w:tcW w:w="208" w:type="pct"/>
            <w:vAlign w:val="center"/>
          </w:tcPr>
          <w:p w14:paraId="30964E1F">
            <w:pPr>
              <w:pStyle w:val="28"/>
              <w:bidi w:val="0"/>
            </w:pPr>
            <w:r>
              <w:t>55</w:t>
            </w:r>
          </w:p>
        </w:tc>
        <w:tc>
          <w:tcPr>
            <w:tcW w:w="211" w:type="pct"/>
            <w:vAlign w:val="center"/>
          </w:tcPr>
          <w:p w14:paraId="32C1F0AA">
            <w:pPr>
              <w:pStyle w:val="28"/>
              <w:bidi w:val="0"/>
            </w:pPr>
            <w:r>
              <w:t>45</w:t>
            </w:r>
          </w:p>
        </w:tc>
        <w:tc>
          <w:tcPr>
            <w:tcW w:w="276" w:type="pct"/>
            <w:vAlign w:val="center"/>
          </w:tcPr>
          <w:p w14:paraId="0ADCA784">
            <w:pPr>
              <w:pStyle w:val="28"/>
              <w:bidi w:val="0"/>
            </w:pPr>
            <w:r>
              <w:t>63.7</w:t>
            </w:r>
          </w:p>
        </w:tc>
        <w:tc>
          <w:tcPr>
            <w:tcW w:w="257" w:type="pct"/>
            <w:vAlign w:val="center"/>
          </w:tcPr>
          <w:p w14:paraId="2358B62C">
            <w:pPr>
              <w:pStyle w:val="28"/>
              <w:bidi w:val="0"/>
            </w:pPr>
            <w:r>
              <w:t>43.7</w:t>
            </w:r>
          </w:p>
        </w:tc>
        <w:tc>
          <w:tcPr>
            <w:tcW w:w="257" w:type="pct"/>
            <w:vAlign w:val="center"/>
          </w:tcPr>
          <w:p w14:paraId="5EF41D1C">
            <w:pPr>
              <w:pStyle w:val="28"/>
              <w:bidi w:val="0"/>
            </w:pPr>
            <w:r>
              <w:t>53.9</w:t>
            </w:r>
          </w:p>
        </w:tc>
        <w:tc>
          <w:tcPr>
            <w:tcW w:w="257" w:type="pct"/>
            <w:vAlign w:val="center"/>
          </w:tcPr>
          <w:p w14:paraId="11814D55">
            <w:pPr>
              <w:pStyle w:val="28"/>
              <w:bidi w:val="0"/>
            </w:pPr>
            <w:r>
              <w:t>0.4</w:t>
            </w:r>
          </w:p>
        </w:tc>
        <w:tc>
          <w:tcPr>
            <w:tcW w:w="209" w:type="pct"/>
            <w:vAlign w:val="center"/>
          </w:tcPr>
          <w:p w14:paraId="624B1935">
            <w:pPr>
              <w:pStyle w:val="28"/>
              <w:bidi w:val="0"/>
            </w:pPr>
            <w:r>
              <w:t>达标</w:t>
            </w:r>
          </w:p>
        </w:tc>
      </w:tr>
      <w:tr w14:paraId="5DAF2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0CC8C93">
            <w:pPr>
              <w:pStyle w:val="28"/>
              <w:bidi w:val="0"/>
            </w:pPr>
            <w:r>
              <w:rPr>
                <w:rFonts w:hint="eastAsia"/>
              </w:rPr>
              <w:t>申家塘</w:t>
            </w:r>
          </w:p>
        </w:tc>
        <w:tc>
          <w:tcPr>
            <w:tcW w:w="511" w:type="pct"/>
            <w:vAlign w:val="center"/>
          </w:tcPr>
          <w:p w14:paraId="73513621">
            <w:pPr>
              <w:pStyle w:val="28"/>
              <w:bidi w:val="0"/>
            </w:pPr>
            <w:r>
              <w:rPr>
                <w:rFonts w:hint="eastAsia"/>
              </w:rPr>
              <w:t>渠道整治</w:t>
            </w:r>
          </w:p>
        </w:tc>
        <w:tc>
          <w:tcPr>
            <w:tcW w:w="366" w:type="pct"/>
            <w:vAlign w:val="center"/>
          </w:tcPr>
          <w:p w14:paraId="66B7683E">
            <w:pPr>
              <w:pStyle w:val="28"/>
              <w:bidi w:val="0"/>
            </w:pPr>
            <w:r>
              <w:t>30</w:t>
            </w:r>
          </w:p>
        </w:tc>
        <w:tc>
          <w:tcPr>
            <w:tcW w:w="268" w:type="pct"/>
            <w:vAlign w:val="center"/>
          </w:tcPr>
          <w:p w14:paraId="3544304C">
            <w:pPr>
              <w:pStyle w:val="28"/>
              <w:bidi w:val="0"/>
            </w:pPr>
            <w:r>
              <w:rPr>
                <w:rFonts w:hint="eastAsia"/>
              </w:rPr>
              <w:t>左岸</w:t>
            </w:r>
          </w:p>
        </w:tc>
        <w:tc>
          <w:tcPr>
            <w:tcW w:w="262" w:type="pct"/>
            <w:vAlign w:val="center"/>
          </w:tcPr>
          <w:p w14:paraId="67A2CA81">
            <w:pPr>
              <w:pStyle w:val="28"/>
              <w:bidi w:val="0"/>
            </w:pPr>
            <w:r>
              <w:t>1</w:t>
            </w:r>
            <w:r>
              <w:rPr>
                <w:rFonts w:hint="eastAsia"/>
              </w:rPr>
              <w:t>类</w:t>
            </w:r>
          </w:p>
        </w:tc>
        <w:tc>
          <w:tcPr>
            <w:tcW w:w="809" w:type="pct"/>
            <w:vMerge w:val="continue"/>
            <w:vAlign w:val="center"/>
          </w:tcPr>
          <w:p w14:paraId="51BF23F5">
            <w:pPr>
              <w:pStyle w:val="28"/>
              <w:bidi w:val="0"/>
            </w:pPr>
          </w:p>
        </w:tc>
        <w:tc>
          <w:tcPr>
            <w:tcW w:w="208" w:type="pct"/>
            <w:vAlign w:val="center"/>
          </w:tcPr>
          <w:p w14:paraId="27B6D70C">
            <w:pPr>
              <w:pStyle w:val="28"/>
              <w:bidi w:val="0"/>
            </w:pPr>
            <w:r>
              <w:t>52.4</w:t>
            </w:r>
          </w:p>
        </w:tc>
        <w:tc>
          <w:tcPr>
            <w:tcW w:w="211" w:type="pct"/>
            <w:vAlign w:val="center"/>
          </w:tcPr>
          <w:p w14:paraId="5A847010">
            <w:pPr>
              <w:pStyle w:val="28"/>
              <w:bidi w:val="0"/>
            </w:pPr>
            <w:r>
              <w:t>41.8</w:t>
            </w:r>
          </w:p>
        </w:tc>
        <w:tc>
          <w:tcPr>
            <w:tcW w:w="208" w:type="pct"/>
            <w:vAlign w:val="center"/>
          </w:tcPr>
          <w:p w14:paraId="520F14AD">
            <w:pPr>
              <w:pStyle w:val="28"/>
              <w:bidi w:val="0"/>
            </w:pPr>
            <w:r>
              <w:t>55</w:t>
            </w:r>
          </w:p>
        </w:tc>
        <w:tc>
          <w:tcPr>
            <w:tcW w:w="211" w:type="pct"/>
            <w:vAlign w:val="center"/>
          </w:tcPr>
          <w:p w14:paraId="04800EBE">
            <w:pPr>
              <w:pStyle w:val="28"/>
              <w:bidi w:val="0"/>
            </w:pPr>
            <w:r>
              <w:t>45</w:t>
            </w:r>
          </w:p>
        </w:tc>
        <w:tc>
          <w:tcPr>
            <w:tcW w:w="276" w:type="pct"/>
            <w:vAlign w:val="center"/>
          </w:tcPr>
          <w:p w14:paraId="7137FE43">
            <w:pPr>
              <w:pStyle w:val="28"/>
              <w:bidi w:val="0"/>
            </w:pPr>
            <w:r>
              <w:t>60.7</w:t>
            </w:r>
          </w:p>
        </w:tc>
        <w:tc>
          <w:tcPr>
            <w:tcW w:w="257" w:type="pct"/>
            <w:vAlign w:val="center"/>
          </w:tcPr>
          <w:p w14:paraId="6EFB9C05">
            <w:pPr>
              <w:pStyle w:val="28"/>
              <w:bidi w:val="0"/>
            </w:pPr>
            <w:r>
              <w:t>40.7</w:t>
            </w:r>
          </w:p>
        </w:tc>
        <w:tc>
          <w:tcPr>
            <w:tcW w:w="257" w:type="pct"/>
            <w:vAlign w:val="center"/>
          </w:tcPr>
          <w:p w14:paraId="26BBED2D">
            <w:pPr>
              <w:pStyle w:val="28"/>
              <w:bidi w:val="0"/>
            </w:pPr>
            <w:r>
              <w:t>52.7</w:t>
            </w:r>
          </w:p>
        </w:tc>
        <w:tc>
          <w:tcPr>
            <w:tcW w:w="257" w:type="pct"/>
            <w:vAlign w:val="center"/>
          </w:tcPr>
          <w:p w14:paraId="7FD6E15C">
            <w:pPr>
              <w:pStyle w:val="28"/>
              <w:bidi w:val="0"/>
            </w:pPr>
            <w:r>
              <w:t>0.3</w:t>
            </w:r>
          </w:p>
        </w:tc>
        <w:tc>
          <w:tcPr>
            <w:tcW w:w="209" w:type="pct"/>
            <w:vAlign w:val="center"/>
          </w:tcPr>
          <w:p w14:paraId="6AD2A65F">
            <w:pPr>
              <w:pStyle w:val="28"/>
              <w:bidi w:val="0"/>
            </w:pPr>
            <w:r>
              <w:t>达标</w:t>
            </w:r>
          </w:p>
        </w:tc>
      </w:tr>
      <w:tr w14:paraId="06F33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641887E">
            <w:pPr>
              <w:pStyle w:val="28"/>
              <w:bidi w:val="0"/>
            </w:pPr>
            <w:r>
              <w:rPr>
                <w:rFonts w:hint="eastAsia"/>
              </w:rPr>
              <w:t>小新庄</w:t>
            </w:r>
          </w:p>
        </w:tc>
        <w:tc>
          <w:tcPr>
            <w:tcW w:w="511" w:type="pct"/>
            <w:vAlign w:val="center"/>
          </w:tcPr>
          <w:p w14:paraId="08195B0A">
            <w:pPr>
              <w:pStyle w:val="28"/>
              <w:bidi w:val="0"/>
            </w:pPr>
            <w:r>
              <w:rPr>
                <w:rFonts w:hint="eastAsia"/>
              </w:rPr>
              <w:t>放水涵加固</w:t>
            </w:r>
          </w:p>
        </w:tc>
        <w:tc>
          <w:tcPr>
            <w:tcW w:w="366" w:type="pct"/>
            <w:vAlign w:val="center"/>
          </w:tcPr>
          <w:p w14:paraId="2BCE744A">
            <w:pPr>
              <w:pStyle w:val="28"/>
              <w:bidi w:val="0"/>
            </w:pPr>
            <w:r>
              <w:t>40</w:t>
            </w:r>
          </w:p>
        </w:tc>
        <w:tc>
          <w:tcPr>
            <w:tcW w:w="268" w:type="pct"/>
            <w:vAlign w:val="center"/>
          </w:tcPr>
          <w:p w14:paraId="4EC39028">
            <w:pPr>
              <w:pStyle w:val="28"/>
              <w:bidi w:val="0"/>
            </w:pPr>
            <w:r>
              <w:rPr>
                <w:rFonts w:hint="eastAsia"/>
              </w:rPr>
              <w:t>右岸</w:t>
            </w:r>
          </w:p>
        </w:tc>
        <w:tc>
          <w:tcPr>
            <w:tcW w:w="262" w:type="pct"/>
            <w:vAlign w:val="center"/>
          </w:tcPr>
          <w:p w14:paraId="04AAEA26">
            <w:pPr>
              <w:pStyle w:val="28"/>
              <w:bidi w:val="0"/>
            </w:pPr>
            <w:r>
              <w:t>1</w:t>
            </w:r>
            <w:r>
              <w:rPr>
                <w:rFonts w:hint="eastAsia"/>
              </w:rPr>
              <w:t>类</w:t>
            </w:r>
          </w:p>
        </w:tc>
        <w:tc>
          <w:tcPr>
            <w:tcW w:w="809" w:type="pct"/>
            <w:vMerge w:val="continue"/>
            <w:vAlign w:val="center"/>
          </w:tcPr>
          <w:p w14:paraId="323DDDA2">
            <w:pPr>
              <w:pStyle w:val="28"/>
              <w:bidi w:val="0"/>
            </w:pPr>
          </w:p>
        </w:tc>
        <w:tc>
          <w:tcPr>
            <w:tcW w:w="208" w:type="pct"/>
            <w:vAlign w:val="center"/>
          </w:tcPr>
          <w:p w14:paraId="1BBA71B2">
            <w:pPr>
              <w:pStyle w:val="28"/>
              <w:bidi w:val="0"/>
            </w:pPr>
            <w:r>
              <w:t>52.4</w:t>
            </w:r>
          </w:p>
        </w:tc>
        <w:tc>
          <w:tcPr>
            <w:tcW w:w="211" w:type="pct"/>
            <w:vAlign w:val="center"/>
          </w:tcPr>
          <w:p w14:paraId="67AA19F1">
            <w:pPr>
              <w:pStyle w:val="28"/>
              <w:bidi w:val="0"/>
            </w:pPr>
            <w:r>
              <w:t>41.8</w:t>
            </w:r>
          </w:p>
        </w:tc>
        <w:tc>
          <w:tcPr>
            <w:tcW w:w="208" w:type="pct"/>
            <w:vAlign w:val="center"/>
          </w:tcPr>
          <w:p w14:paraId="04195BF5">
            <w:pPr>
              <w:pStyle w:val="28"/>
              <w:bidi w:val="0"/>
            </w:pPr>
            <w:r>
              <w:t>55</w:t>
            </w:r>
          </w:p>
        </w:tc>
        <w:tc>
          <w:tcPr>
            <w:tcW w:w="211" w:type="pct"/>
            <w:vAlign w:val="center"/>
          </w:tcPr>
          <w:p w14:paraId="5A6C3B3F">
            <w:pPr>
              <w:pStyle w:val="28"/>
              <w:bidi w:val="0"/>
            </w:pPr>
            <w:r>
              <w:t>45</w:t>
            </w:r>
          </w:p>
        </w:tc>
        <w:tc>
          <w:tcPr>
            <w:tcW w:w="276" w:type="pct"/>
            <w:vAlign w:val="center"/>
          </w:tcPr>
          <w:p w14:paraId="57374844">
            <w:pPr>
              <w:pStyle w:val="28"/>
              <w:bidi w:val="0"/>
            </w:pPr>
            <w:r>
              <w:t>61.2</w:t>
            </w:r>
          </w:p>
        </w:tc>
        <w:tc>
          <w:tcPr>
            <w:tcW w:w="257" w:type="pct"/>
            <w:vAlign w:val="center"/>
          </w:tcPr>
          <w:p w14:paraId="1F3130C1">
            <w:pPr>
              <w:pStyle w:val="28"/>
              <w:bidi w:val="0"/>
            </w:pPr>
            <w:r>
              <w:t>41.2</w:t>
            </w:r>
          </w:p>
        </w:tc>
        <w:tc>
          <w:tcPr>
            <w:tcW w:w="257" w:type="pct"/>
            <w:vAlign w:val="center"/>
          </w:tcPr>
          <w:p w14:paraId="3E24F4FC">
            <w:pPr>
              <w:pStyle w:val="28"/>
              <w:bidi w:val="0"/>
            </w:pPr>
            <w:r>
              <w:t>52.7</w:t>
            </w:r>
          </w:p>
        </w:tc>
        <w:tc>
          <w:tcPr>
            <w:tcW w:w="257" w:type="pct"/>
            <w:vAlign w:val="center"/>
          </w:tcPr>
          <w:p w14:paraId="4E095629">
            <w:pPr>
              <w:pStyle w:val="28"/>
              <w:bidi w:val="0"/>
            </w:pPr>
            <w:r>
              <w:t>0.3</w:t>
            </w:r>
          </w:p>
        </w:tc>
        <w:tc>
          <w:tcPr>
            <w:tcW w:w="209" w:type="pct"/>
            <w:vAlign w:val="center"/>
          </w:tcPr>
          <w:p w14:paraId="35444F1E">
            <w:pPr>
              <w:pStyle w:val="28"/>
              <w:bidi w:val="0"/>
            </w:pPr>
            <w:r>
              <w:t>达标</w:t>
            </w:r>
          </w:p>
        </w:tc>
      </w:tr>
      <w:tr w14:paraId="52C428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7FCB435">
            <w:pPr>
              <w:pStyle w:val="28"/>
              <w:bidi w:val="0"/>
            </w:pPr>
            <w:r>
              <w:rPr>
                <w:rFonts w:hint="eastAsia"/>
              </w:rPr>
              <w:t>大路庄</w:t>
            </w:r>
          </w:p>
        </w:tc>
        <w:tc>
          <w:tcPr>
            <w:tcW w:w="511" w:type="pct"/>
            <w:vAlign w:val="center"/>
          </w:tcPr>
          <w:p w14:paraId="11078625">
            <w:pPr>
              <w:pStyle w:val="28"/>
              <w:bidi w:val="0"/>
            </w:pPr>
            <w:r>
              <w:rPr>
                <w:rFonts w:hint="eastAsia"/>
              </w:rPr>
              <w:t>底泥清淤</w:t>
            </w:r>
          </w:p>
        </w:tc>
        <w:tc>
          <w:tcPr>
            <w:tcW w:w="366" w:type="pct"/>
            <w:vAlign w:val="center"/>
          </w:tcPr>
          <w:p w14:paraId="2FA73114">
            <w:pPr>
              <w:pStyle w:val="28"/>
              <w:bidi w:val="0"/>
            </w:pPr>
            <w:r>
              <w:t>40</w:t>
            </w:r>
          </w:p>
        </w:tc>
        <w:tc>
          <w:tcPr>
            <w:tcW w:w="268" w:type="pct"/>
            <w:vAlign w:val="center"/>
          </w:tcPr>
          <w:p w14:paraId="1571D994">
            <w:pPr>
              <w:pStyle w:val="28"/>
              <w:bidi w:val="0"/>
            </w:pPr>
            <w:r>
              <w:rPr>
                <w:rFonts w:hint="eastAsia"/>
              </w:rPr>
              <w:t>右岸</w:t>
            </w:r>
          </w:p>
        </w:tc>
        <w:tc>
          <w:tcPr>
            <w:tcW w:w="262" w:type="pct"/>
            <w:vAlign w:val="center"/>
          </w:tcPr>
          <w:p w14:paraId="72822C79">
            <w:pPr>
              <w:pStyle w:val="28"/>
              <w:bidi w:val="0"/>
            </w:pPr>
            <w:r>
              <w:t>1</w:t>
            </w:r>
            <w:r>
              <w:rPr>
                <w:rFonts w:hint="eastAsia"/>
              </w:rPr>
              <w:t>类</w:t>
            </w:r>
          </w:p>
        </w:tc>
        <w:tc>
          <w:tcPr>
            <w:tcW w:w="809" w:type="pct"/>
            <w:vMerge w:val="continue"/>
            <w:vAlign w:val="center"/>
          </w:tcPr>
          <w:p w14:paraId="31EE8995">
            <w:pPr>
              <w:pStyle w:val="28"/>
              <w:bidi w:val="0"/>
            </w:pPr>
          </w:p>
        </w:tc>
        <w:tc>
          <w:tcPr>
            <w:tcW w:w="208" w:type="pct"/>
            <w:vAlign w:val="center"/>
          </w:tcPr>
          <w:p w14:paraId="700E136C">
            <w:pPr>
              <w:pStyle w:val="28"/>
              <w:bidi w:val="0"/>
            </w:pPr>
            <w:r>
              <w:t>52.4</w:t>
            </w:r>
          </w:p>
        </w:tc>
        <w:tc>
          <w:tcPr>
            <w:tcW w:w="211" w:type="pct"/>
            <w:vAlign w:val="center"/>
          </w:tcPr>
          <w:p w14:paraId="3AA2A7B9">
            <w:pPr>
              <w:pStyle w:val="28"/>
              <w:bidi w:val="0"/>
            </w:pPr>
            <w:r>
              <w:t>41.8</w:t>
            </w:r>
          </w:p>
        </w:tc>
        <w:tc>
          <w:tcPr>
            <w:tcW w:w="208" w:type="pct"/>
            <w:vAlign w:val="center"/>
          </w:tcPr>
          <w:p w14:paraId="619F9B6A">
            <w:pPr>
              <w:pStyle w:val="28"/>
              <w:bidi w:val="0"/>
            </w:pPr>
            <w:r>
              <w:t>55</w:t>
            </w:r>
          </w:p>
        </w:tc>
        <w:tc>
          <w:tcPr>
            <w:tcW w:w="211" w:type="pct"/>
            <w:vAlign w:val="center"/>
          </w:tcPr>
          <w:p w14:paraId="1957872F">
            <w:pPr>
              <w:pStyle w:val="28"/>
              <w:bidi w:val="0"/>
            </w:pPr>
            <w:r>
              <w:t>45</w:t>
            </w:r>
          </w:p>
        </w:tc>
        <w:tc>
          <w:tcPr>
            <w:tcW w:w="276" w:type="pct"/>
            <w:vAlign w:val="center"/>
          </w:tcPr>
          <w:p w14:paraId="7CAB447C">
            <w:pPr>
              <w:pStyle w:val="28"/>
              <w:bidi w:val="0"/>
            </w:pPr>
            <w:r>
              <w:t>58.2</w:t>
            </w:r>
          </w:p>
        </w:tc>
        <w:tc>
          <w:tcPr>
            <w:tcW w:w="257" w:type="pct"/>
            <w:vAlign w:val="center"/>
          </w:tcPr>
          <w:p w14:paraId="53F1F856">
            <w:pPr>
              <w:pStyle w:val="28"/>
              <w:bidi w:val="0"/>
            </w:pPr>
            <w:r>
              <w:t>38.2</w:t>
            </w:r>
          </w:p>
        </w:tc>
        <w:tc>
          <w:tcPr>
            <w:tcW w:w="257" w:type="pct"/>
            <w:vAlign w:val="center"/>
          </w:tcPr>
          <w:p w14:paraId="5D607D9B">
            <w:pPr>
              <w:pStyle w:val="28"/>
              <w:bidi w:val="0"/>
            </w:pPr>
            <w:r>
              <w:t>52.6</w:t>
            </w:r>
          </w:p>
        </w:tc>
        <w:tc>
          <w:tcPr>
            <w:tcW w:w="257" w:type="pct"/>
            <w:vAlign w:val="center"/>
          </w:tcPr>
          <w:p w14:paraId="26729697">
            <w:pPr>
              <w:pStyle w:val="28"/>
              <w:bidi w:val="0"/>
            </w:pPr>
            <w:r>
              <w:t>0.2</w:t>
            </w:r>
          </w:p>
        </w:tc>
        <w:tc>
          <w:tcPr>
            <w:tcW w:w="209" w:type="pct"/>
            <w:vAlign w:val="center"/>
          </w:tcPr>
          <w:p w14:paraId="1B0C3CA4">
            <w:pPr>
              <w:pStyle w:val="28"/>
              <w:bidi w:val="0"/>
            </w:pPr>
            <w:r>
              <w:t>达标</w:t>
            </w:r>
          </w:p>
        </w:tc>
      </w:tr>
      <w:tr w14:paraId="4CE1F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FBC02F0">
            <w:pPr>
              <w:pStyle w:val="28"/>
              <w:bidi w:val="0"/>
            </w:pPr>
            <w:r>
              <w:rPr>
                <w:rFonts w:hint="eastAsia"/>
              </w:rPr>
              <w:t>大张郢</w:t>
            </w:r>
          </w:p>
        </w:tc>
        <w:tc>
          <w:tcPr>
            <w:tcW w:w="511" w:type="pct"/>
            <w:vAlign w:val="center"/>
          </w:tcPr>
          <w:p w14:paraId="557657DE">
            <w:pPr>
              <w:pStyle w:val="28"/>
              <w:bidi w:val="0"/>
            </w:pPr>
            <w:r>
              <w:rPr>
                <w:rFonts w:hint="eastAsia"/>
              </w:rPr>
              <w:t>放水涵加固</w:t>
            </w:r>
          </w:p>
        </w:tc>
        <w:tc>
          <w:tcPr>
            <w:tcW w:w="366" w:type="pct"/>
            <w:vAlign w:val="center"/>
          </w:tcPr>
          <w:p w14:paraId="08657DCD">
            <w:pPr>
              <w:pStyle w:val="28"/>
              <w:bidi w:val="0"/>
            </w:pPr>
            <w:r>
              <w:t>50</w:t>
            </w:r>
          </w:p>
        </w:tc>
        <w:tc>
          <w:tcPr>
            <w:tcW w:w="268" w:type="pct"/>
            <w:vAlign w:val="center"/>
          </w:tcPr>
          <w:p w14:paraId="324DF530">
            <w:pPr>
              <w:pStyle w:val="28"/>
              <w:bidi w:val="0"/>
            </w:pPr>
            <w:r>
              <w:rPr>
                <w:rFonts w:hint="eastAsia"/>
              </w:rPr>
              <w:t>左岸</w:t>
            </w:r>
          </w:p>
        </w:tc>
        <w:tc>
          <w:tcPr>
            <w:tcW w:w="262" w:type="pct"/>
            <w:vAlign w:val="center"/>
          </w:tcPr>
          <w:p w14:paraId="71EEF55A">
            <w:pPr>
              <w:pStyle w:val="28"/>
              <w:bidi w:val="0"/>
            </w:pPr>
            <w:r>
              <w:t>1</w:t>
            </w:r>
            <w:r>
              <w:rPr>
                <w:rFonts w:hint="eastAsia"/>
              </w:rPr>
              <w:t>类</w:t>
            </w:r>
          </w:p>
        </w:tc>
        <w:tc>
          <w:tcPr>
            <w:tcW w:w="809" w:type="pct"/>
            <w:vMerge w:val="restart"/>
            <w:vAlign w:val="center"/>
          </w:tcPr>
          <w:p w14:paraId="03B165CE">
            <w:pPr>
              <w:pStyle w:val="28"/>
              <w:bidi w:val="0"/>
            </w:pPr>
            <w:r>
              <w:rPr>
                <w:rFonts w:hint="eastAsia"/>
              </w:rPr>
              <w:t>采用低噪声设备，施工机械远离居民住宅</w:t>
            </w:r>
          </w:p>
        </w:tc>
        <w:tc>
          <w:tcPr>
            <w:tcW w:w="208" w:type="pct"/>
            <w:vAlign w:val="center"/>
          </w:tcPr>
          <w:p w14:paraId="642889AE">
            <w:pPr>
              <w:pStyle w:val="28"/>
              <w:bidi w:val="0"/>
            </w:pPr>
            <w:r>
              <w:t>52.4</w:t>
            </w:r>
          </w:p>
        </w:tc>
        <w:tc>
          <w:tcPr>
            <w:tcW w:w="211" w:type="pct"/>
            <w:vAlign w:val="center"/>
          </w:tcPr>
          <w:p w14:paraId="7C9C2664">
            <w:pPr>
              <w:pStyle w:val="28"/>
              <w:bidi w:val="0"/>
            </w:pPr>
            <w:r>
              <w:t>41.8</w:t>
            </w:r>
          </w:p>
        </w:tc>
        <w:tc>
          <w:tcPr>
            <w:tcW w:w="208" w:type="pct"/>
            <w:vAlign w:val="center"/>
          </w:tcPr>
          <w:p w14:paraId="1385E4F0">
            <w:pPr>
              <w:pStyle w:val="28"/>
              <w:bidi w:val="0"/>
            </w:pPr>
            <w:r>
              <w:t>55</w:t>
            </w:r>
          </w:p>
        </w:tc>
        <w:tc>
          <w:tcPr>
            <w:tcW w:w="211" w:type="pct"/>
            <w:vAlign w:val="center"/>
          </w:tcPr>
          <w:p w14:paraId="1F2B4978">
            <w:pPr>
              <w:pStyle w:val="28"/>
              <w:bidi w:val="0"/>
            </w:pPr>
            <w:r>
              <w:t>45</w:t>
            </w:r>
          </w:p>
        </w:tc>
        <w:tc>
          <w:tcPr>
            <w:tcW w:w="276" w:type="pct"/>
            <w:vAlign w:val="center"/>
          </w:tcPr>
          <w:p w14:paraId="330BF234">
            <w:pPr>
              <w:pStyle w:val="28"/>
              <w:bidi w:val="0"/>
            </w:pPr>
            <w:r>
              <w:t>59.2</w:t>
            </w:r>
          </w:p>
        </w:tc>
        <w:tc>
          <w:tcPr>
            <w:tcW w:w="257" w:type="pct"/>
            <w:vAlign w:val="center"/>
          </w:tcPr>
          <w:p w14:paraId="747ED3E9">
            <w:pPr>
              <w:pStyle w:val="28"/>
              <w:bidi w:val="0"/>
            </w:pPr>
            <w:r>
              <w:t>51.2</w:t>
            </w:r>
          </w:p>
        </w:tc>
        <w:tc>
          <w:tcPr>
            <w:tcW w:w="257" w:type="pct"/>
            <w:vAlign w:val="center"/>
          </w:tcPr>
          <w:p w14:paraId="090DEFCC">
            <w:pPr>
              <w:pStyle w:val="28"/>
              <w:bidi w:val="0"/>
            </w:pPr>
            <w:r>
              <w:t>54.9</w:t>
            </w:r>
          </w:p>
        </w:tc>
        <w:tc>
          <w:tcPr>
            <w:tcW w:w="257" w:type="pct"/>
            <w:vAlign w:val="center"/>
          </w:tcPr>
          <w:p w14:paraId="2C79703D">
            <w:pPr>
              <w:pStyle w:val="28"/>
              <w:bidi w:val="0"/>
            </w:pPr>
            <w:r>
              <w:t>2.5</w:t>
            </w:r>
          </w:p>
        </w:tc>
        <w:tc>
          <w:tcPr>
            <w:tcW w:w="209" w:type="pct"/>
            <w:vAlign w:val="center"/>
          </w:tcPr>
          <w:p w14:paraId="439308DB">
            <w:pPr>
              <w:pStyle w:val="28"/>
              <w:bidi w:val="0"/>
            </w:pPr>
            <w:r>
              <w:t>达标</w:t>
            </w:r>
          </w:p>
        </w:tc>
      </w:tr>
      <w:tr w14:paraId="75BB3B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64C0BA1">
            <w:pPr>
              <w:pStyle w:val="28"/>
              <w:bidi w:val="0"/>
            </w:pPr>
            <w:r>
              <w:rPr>
                <w:rFonts w:hint="eastAsia"/>
              </w:rPr>
              <w:t>徐套</w:t>
            </w:r>
          </w:p>
        </w:tc>
        <w:tc>
          <w:tcPr>
            <w:tcW w:w="511" w:type="pct"/>
            <w:vAlign w:val="center"/>
          </w:tcPr>
          <w:p w14:paraId="03AB5EE9">
            <w:pPr>
              <w:pStyle w:val="28"/>
              <w:bidi w:val="0"/>
            </w:pPr>
            <w:r>
              <w:rPr>
                <w:rFonts w:hint="eastAsia"/>
              </w:rPr>
              <w:t>放水涵加固</w:t>
            </w:r>
          </w:p>
        </w:tc>
        <w:tc>
          <w:tcPr>
            <w:tcW w:w="366" w:type="pct"/>
            <w:vAlign w:val="center"/>
          </w:tcPr>
          <w:p w14:paraId="722DFEA7">
            <w:pPr>
              <w:pStyle w:val="28"/>
              <w:bidi w:val="0"/>
            </w:pPr>
            <w:r>
              <w:t>60</w:t>
            </w:r>
          </w:p>
        </w:tc>
        <w:tc>
          <w:tcPr>
            <w:tcW w:w="268" w:type="pct"/>
            <w:vAlign w:val="center"/>
          </w:tcPr>
          <w:p w14:paraId="5C4B9BC3">
            <w:pPr>
              <w:pStyle w:val="28"/>
              <w:bidi w:val="0"/>
            </w:pPr>
            <w:r>
              <w:rPr>
                <w:rFonts w:hint="eastAsia"/>
              </w:rPr>
              <w:t>左岸</w:t>
            </w:r>
          </w:p>
        </w:tc>
        <w:tc>
          <w:tcPr>
            <w:tcW w:w="262" w:type="pct"/>
            <w:vAlign w:val="center"/>
          </w:tcPr>
          <w:p w14:paraId="12FD84E4">
            <w:pPr>
              <w:pStyle w:val="28"/>
              <w:bidi w:val="0"/>
            </w:pPr>
            <w:r>
              <w:t>1</w:t>
            </w:r>
            <w:r>
              <w:rPr>
                <w:rFonts w:hint="eastAsia"/>
              </w:rPr>
              <w:t>类</w:t>
            </w:r>
          </w:p>
        </w:tc>
        <w:tc>
          <w:tcPr>
            <w:tcW w:w="809" w:type="pct"/>
            <w:vMerge w:val="continue"/>
            <w:vAlign w:val="center"/>
          </w:tcPr>
          <w:p w14:paraId="6ABA107D">
            <w:pPr>
              <w:pStyle w:val="28"/>
              <w:bidi w:val="0"/>
            </w:pPr>
          </w:p>
        </w:tc>
        <w:tc>
          <w:tcPr>
            <w:tcW w:w="208" w:type="pct"/>
            <w:vAlign w:val="center"/>
          </w:tcPr>
          <w:p w14:paraId="57E16C1A">
            <w:pPr>
              <w:pStyle w:val="28"/>
              <w:bidi w:val="0"/>
            </w:pPr>
            <w:r>
              <w:t>52.4</w:t>
            </w:r>
          </w:p>
        </w:tc>
        <w:tc>
          <w:tcPr>
            <w:tcW w:w="211" w:type="pct"/>
            <w:vAlign w:val="center"/>
          </w:tcPr>
          <w:p w14:paraId="644F7A19">
            <w:pPr>
              <w:pStyle w:val="28"/>
              <w:bidi w:val="0"/>
            </w:pPr>
            <w:r>
              <w:t>41.8</w:t>
            </w:r>
          </w:p>
        </w:tc>
        <w:tc>
          <w:tcPr>
            <w:tcW w:w="208" w:type="pct"/>
            <w:vAlign w:val="center"/>
          </w:tcPr>
          <w:p w14:paraId="45750B0C">
            <w:pPr>
              <w:pStyle w:val="28"/>
              <w:bidi w:val="0"/>
            </w:pPr>
            <w:r>
              <w:t>55</w:t>
            </w:r>
          </w:p>
        </w:tc>
        <w:tc>
          <w:tcPr>
            <w:tcW w:w="211" w:type="pct"/>
            <w:vAlign w:val="center"/>
          </w:tcPr>
          <w:p w14:paraId="4F5838C7">
            <w:pPr>
              <w:pStyle w:val="28"/>
              <w:bidi w:val="0"/>
            </w:pPr>
            <w:r>
              <w:t>45</w:t>
            </w:r>
          </w:p>
        </w:tc>
        <w:tc>
          <w:tcPr>
            <w:tcW w:w="276" w:type="pct"/>
            <w:vAlign w:val="center"/>
          </w:tcPr>
          <w:p w14:paraId="1FBA5889">
            <w:pPr>
              <w:pStyle w:val="28"/>
              <w:bidi w:val="0"/>
            </w:pPr>
            <w:r>
              <w:t>57.6</w:t>
            </w:r>
          </w:p>
        </w:tc>
        <w:tc>
          <w:tcPr>
            <w:tcW w:w="257" w:type="pct"/>
            <w:vAlign w:val="center"/>
          </w:tcPr>
          <w:p w14:paraId="48752325">
            <w:pPr>
              <w:pStyle w:val="28"/>
              <w:bidi w:val="0"/>
            </w:pPr>
            <w:r>
              <w:t>50.6</w:t>
            </w:r>
          </w:p>
        </w:tc>
        <w:tc>
          <w:tcPr>
            <w:tcW w:w="257" w:type="pct"/>
            <w:vAlign w:val="center"/>
          </w:tcPr>
          <w:p w14:paraId="33B4B6AD">
            <w:pPr>
              <w:pStyle w:val="28"/>
              <w:bidi w:val="0"/>
            </w:pPr>
            <w:r>
              <w:t>54.6</w:t>
            </w:r>
          </w:p>
        </w:tc>
        <w:tc>
          <w:tcPr>
            <w:tcW w:w="257" w:type="pct"/>
            <w:vAlign w:val="center"/>
          </w:tcPr>
          <w:p w14:paraId="62EF8406">
            <w:pPr>
              <w:pStyle w:val="28"/>
              <w:bidi w:val="0"/>
            </w:pPr>
            <w:r>
              <w:t>2.2</w:t>
            </w:r>
          </w:p>
        </w:tc>
        <w:tc>
          <w:tcPr>
            <w:tcW w:w="209" w:type="pct"/>
            <w:vAlign w:val="center"/>
          </w:tcPr>
          <w:p w14:paraId="4D921126">
            <w:pPr>
              <w:pStyle w:val="28"/>
              <w:bidi w:val="0"/>
            </w:pPr>
            <w:r>
              <w:t>达标</w:t>
            </w:r>
          </w:p>
        </w:tc>
      </w:tr>
      <w:tr w14:paraId="31A0E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67CEB12">
            <w:pPr>
              <w:pStyle w:val="28"/>
              <w:bidi w:val="0"/>
            </w:pPr>
            <w:r>
              <w:rPr>
                <w:rFonts w:hint="eastAsia"/>
              </w:rPr>
              <w:t>徐岗村</w:t>
            </w:r>
          </w:p>
        </w:tc>
        <w:tc>
          <w:tcPr>
            <w:tcW w:w="511" w:type="pct"/>
            <w:vAlign w:val="center"/>
          </w:tcPr>
          <w:p w14:paraId="5BC4E636">
            <w:pPr>
              <w:pStyle w:val="28"/>
              <w:bidi w:val="0"/>
            </w:pPr>
            <w:r>
              <w:rPr>
                <w:rFonts w:hint="eastAsia"/>
              </w:rPr>
              <w:t>底泥清淤</w:t>
            </w:r>
          </w:p>
        </w:tc>
        <w:tc>
          <w:tcPr>
            <w:tcW w:w="366" w:type="pct"/>
            <w:vAlign w:val="center"/>
          </w:tcPr>
          <w:p w14:paraId="4F2A0F91">
            <w:pPr>
              <w:pStyle w:val="28"/>
              <w:bidi w:val="0"/>
            </w:pPr>
            <w:r>
              <w:t>25</w:t>
            </w:r>
          </w:p>
        </w:tc>
        <w:tc>
          <w:tcPr>
            <w:tcW w:w="268" w:type="pct"/>
            <w:vAlign w:val="center"/>
          </w:tcPr>
          <w:p w14:paraId="73C17129">
            <w:pPr>
              <w:pStyle w:val="28"/>
              <w:bidi w:val="0"/>
            </w:pPr>
            <w:r>
              <w:rPr>
                <w:rFonts w:hint="eastAsia"/>
              </w:rPr>
              <w:t>右岸</w:t>
            </w:r>
          </w:p>
        </w:tc>
        <w:tc>
          <w:tcPr>
            <w:tcW w:w="262" w:type="pct"/>
            <w:vAlign w:val="center"/>
          </w:tcPr>
          <w:p w14:paraId="5DA30218">
            <w:pPr>
              <w:pStyle w:val="28"/>
              <w:bidi w:val="0"/>
            </w:pPr>
            <w:r>
              <w:t>1</w:t>
            </w:r>
            <w:r>
              <w:rPr>
                <w:rFonts w:hint="eastAsia"/>
              </w:rPr>
              <w:t>类</w:t>
            </w:r>
          </w:p>
        </w:tc>
        <w:tc>
          <w:tcPr>
            <w:tcW w:w="809" w:type="pct"/>
            <w:vAlign w:val="center"/>
          </w:tcPr>
          <w:p w14:paraId="6113FB60">
            <w:pPr>
              <w:pStyle w:val="28"/>
              <w:bidi w:val="0"/>
            </w:pPr>
            <w:r>
              <w:rPr>
                <w:rFonts w:hint="eastAsia"/>
              </w:rPr>
              <w:t>采用低噪声设备，施工机械远离居民住宅，设置双层移动声屏障</w:t>
            </w:r>
          </w:p>
        </w:tc>
        <w:tc>
          <w:tcPr>
            <w:tcW w:w="208" w:type="pct"/>
            <w:vAlign w:val="center"/>
          </w:tcPr>
          <w:p w14:paraId="1C394703">
            <w:pPr>
              <w:pStyle w:val="28"/>
              <w:bidi w:val="0"/>
            </w:pPr>
            <w:r>
              <w:t>52.4</w:t>
            </w:r>
          </w:p>
        </w:tc>
        <w:tc>
          <w:tcPr>
            <w:tcW w:w="211" w:type="pct"/>
            <w:vAlign w:val="center"/>
          </w:tcPr>
          <w:p w14:paraId="20B7816E">
            <w:pPr>
              <w:pStyle w:val="28"/>
              <w:bidi w:val="0"/>
            </w:pPr>
            <w:r>
              <w:t>41.8</w:t>
            </w:r>
          </w:p>
        </w:tc>
        <w:tc>
          <w:tcPr>
            <w:tcW w:w="208" w:type="pct"/>
            <w:vAlign w:val="center"/>
          </w:tcPr>
          <w:p w14:paraId="7B5A56E0">
            <w:pPr>
              <w:pStyle w:val="28"/>
              <w:bidi w:val="0"/>
            </w:pPr>
            <w:r>
              <w:t>55</w:t>
            </w:r>
          </w:p>
        </w:tc>
        <w:tc>
          <w:tcPr>
            <w:tcW w:w="211" w:type="pct"/>
            <w:vAlign w:val="center"/>
          </w:tcPr>
          <w:p w14:paraId="77BEF35A">
            <w:pPr>
              <w:pStyle w:val="28"/>
              <w:bidi w:val="0"/>
            </w:pPr>
            <w:r>
              <w:t>45</w:t>
            </w:r>
          </w:p>
        </w:tc>
        <w:tc>
          <w:tcPr>
            <w:tcW w:w="276" w:type="pct"/>
            <w:vAlign w:val="center"/>
          </w:tcPr>
          <w:p w14:paraId="5150F8B5">
            <w:pPr>
              <w:pStyle w:val="28"/>
              <w:bidi w:val="0"/>
            </w:pPr>
            <w:r>
              <w:t>62.3</w:t>
            </w:r>
          </w:p>
        </w:tc>
        <w:tc>
          <w:tcPr>
            <w:tcW w:w="257" w:type="pct"/>
            <w:vAlign w:val="center"/>
          </w:tcPr>
          <w:p w14:paraId="22AF12CC">
            <w:pPr>
              <w:pStyle w:val="28"/>
              <w:bidi w:val="0"/>
            </w:pPr>
            <w:r>
              <w:t>42.3</w:t>
            </w:r>
          </w:p>
        </w:tc>
        <w:tc>
          <w:tcPr>
            <w:tcW w:w="257" w:type="pct"/>
            <w:vAlign w:val="center"/>
          </w:tcPr>
          <w:p w14:paraId="3714DEC9">
            <w:pPr>
              <w:pStyle w:val="28"/>
              <w:bidi w:val="0"/>
            </w:pPr>
            <w:r>
              <w:t>52.8</w:t>
            </w:r>
          </w:p>
        </w:tc>
        <w:tc>
          <w:tcPr>
            <w:tcW w:w="257" w:type="pct"/>
            <w:vAlign w:val="center"/>
          </w:tcPr>
          <w:p w14:paraId="28B07ED4">
            <w:pPr>
              <w:pStyle w:val="28"/>
              <w:bidi w:val="0"/>
            </w:pPr>
            <w:r>
              <w:t>0.4</w:t>
            </w:r>
          </w:p>
        </w:tc>
        <w:tc>
          <w:tcPr>
            <w:tcW w:w="209" w:type="pct"/>
            <w:vAlign w:val="center"/>
          </w:tcPr>
          <w:p w14:paraId="5BFB50EC">
            <w:pPr>
              <w:pStyle w:val="28"/>
              <w:bidi w:val="0"/>
            </w:pPr>
            <w:r>
              <w:t>达标</w:t>
            </w:r>
          </w:p>
        </w:tc>
      </w:tr>
      <w:tr w14:paraId="04023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E42C8DF">
            <w:pPr>
              <w:pStyle w:val="28"/>
              <w:bidi w:val="0"/>
            </w:pPr>
            <w:r>
              <w:rPr>
                <w:rFonts w:hint="eastAsia"/>
              </w:rPr>
              <w:t>徐岗小学</w:t>
            </w:r>
          </w:p>
        </w:tc>
        <w:tc>
          <w:tcPr>
            <w:tcW w:w="511" w:type="pct"/>
            <w:vAlign w:val="center"/>
          </w:tcPr>
          <w:p w14:paraId="0956EB19">
            <w:pPr>
              <w:pStyle w:val="28"/>
              <w:bidi w:val="0"/>
            </w:pPr>
            <w:r>
              <w:rPr>
                <w:rFonts w:hint="eastAsia"/>
              </w:rPr>
              <w:t>节制闸加固</w:t>
            </w:r>
          </w:p>
        </w:tc>
        <w:tc>
          <w:tcPr>
            <w:tcW w:w="366" w:type="pct"/>
            <w:vAlign w:val="center"/>
          </w:tcPr>
          <w:p w14:paraId="4B703E5D">
            <w:pPr>
              <w:pStyle w:val="28"/>
              <w:bidi w:val="0"/>
            </w:pPr>
            <w:r>
              <w:t>45</w:t>
            </w:r>
          </w:p>
        </w:tc>
        <w:tc>
          <w:tcPr>
            <w:tcW w:w="268" w:type="pct"/>
            <w:vAlign w:val="center"/>
          </w:tcPr>
          <w:p w14:paraId="4DCE8C9F">
            <w:pPr>
              <w:pStyle w:val="28"/>
              <w:bidi w:val="0"/>
            </w:pPr>
            <w:r>
              <w:rPr>
                <w:rFonts w:hint="eastAsia"/>
              </w:rPr>
              <w:t>左岸</w:t>
            </w:r>
          </w:p>
        </w:tc>
        <w:tc>
          <w:tcPr>
            <w:tcW w:w="262" w:type="pct"/>
            <w:vAlign w:val="center"/>
          </w:tcPr>
          <w:p w14:paraId="49AA941F">
            <w:pPr>
              <w:pStyle w:val="28"/>
              <w:bidi w:val="0"/>
            </w:pPr>
            <w:r>
              <w:t>1</w:t>
            </w:r>
            <w:r>
              <w:rPr>
                <w:rFonts w:hint="eastAsia"/>
              </w:rPr>
              <w:t>类</w:t>
            </w:r>
          </w:p>
        </w:tc>
        <w:tc>
          <w:tcPr>
            <w:tcW w:w="809" w:type="pct"/>
            <w:vAlign w:val="center"/>
          </w:tcPr>
          <w:p w14:paraId="00CF809A">
            <w:pPr>
              <w:pStyle w:val="28"/>
              <w:bidi w:val="0"/>
            </w:pPr>
            <w:r>
              <w:rPr>
                <w:rFonts w:hint="eastAsia"/>
              </w:rPr>
              <w:t>采用低噪声设备，施工机械远离居民住宅，设置单层移动声屏障</w:t>
            </w:r>
          </w:p>
        </w:tc>
        <w:tc>
          <w:tcPr>
            <w:tcW w:w="208" w:type="pct"/>
            <w:vAlign w:val="center"/>
          </w:tcPr>
          <w:p w14:paraId="7B99ED96">
            <w:pPr>
              <w:pStyle w:val="28"/>
              <w:bidi w:val="0"/>
            </w:pPr>
            <w:r>
              <w:t>52.4</w:t>
            </w:r>
          </w:p>
        </w:tc>
        <w:tc>
          <w:tcPr>
            <w:tcW w:w="211" w:type="pct"/>
            <w:vAlign w:val="center"/>
          </w:tcPr>
          <w:p w14:paraId="0CF0F9D2">
            <w:pPr>
              <w:pStyle w:val="28"/>
              <w:bidi w:val="0"/>
            </w:pPr>
            <w:r>
              <w:t>41.8</w:t>
            </w:r>
          </w:p>
        </w:tc>
        <w:tc>
          <w:tcPr>
            <w:tcW w:w="208" w:type="pct"/>
            <w:vAlign w:val="center"/>
          </w:tcPr>
          <w:p w14:paraId="4C3F6F0D">
            <w:pPr>
              <w:pStyle w:val="28"/>
              <w:bidi w:val="0"/>
            </w:pPr>
            <w:r>
              <w:t>55</w:t>
            </w:r>
          </w:p>
        </w:tc>
        <w:tc>
          <w:tcPr>
            <w:tcW w:w="211" w:type="pct"/>
            <w:vAlign w:val="center"/>
          </w:tcPr>
          <w:p w14:paraId="2154C8FC">
            <w:pPr>
              <w:pStyle w:val="28"/>
              <w:bidi w:val="0"/>
            </w:pPr>
            <w:r>
              <w:t>45</w:t>
            </w:r>
          </w:p>
        </w:tc>
        <w:tc>
          <w:tcPr>
            <w:tcW w:w="276" w:type="pct"/>
            <w:vAlign w:val="center"/>
          </w:tcPr>
          <w:p w14:paraId="6438DDE6">
            <w:pPr>
              <w:pStyle w:val="28"/>
              <w:bidi w:val="0"/>
            </w:pPr>
            <w:r>
              <w:t>60.1</w:t>
            </w:r>
          </w:p>
        </w:tc>
        <w:tc>
          <w:tcPr>
            <w:tcW w:w="257" w:type="pct"/>
            <w:vAlign w:val="center"/>
          </w:tcPr>
          <w:p w14:paraId="3EA7CF08">
            <w:pPr>
              <w:pStyle w:val="28"/>
              <w:bidi w:val="0"/>
            </w:pPr>
            <w:r>
              <w:t>50.1</w:t>
            </w:r>
          </w:p>
        </w:tc>
        <w:tc>
          <w:tcPr>
            <w:tcW w:w="257" w:type="pct"/>
            <w:vAlign w:val="center"/>
          </w:tcPr>
          <w:p w14:paraId="251AEA08">
            <w:pPr>
              <w:pStyle w:val="28"/>
              <w:bidi w:val="0"/>
            </w:pPr>
            <w:r>
              <w:t>54.4</w:t>
            </w:r>
          </w:p>
        </w:tc>
        <w:tc>
          <w:tcPr>
            <w:tcW w:w="257" w:type="pct"/>
            <w:vAlign w:val="center"/>
          </w:tcPr>
          <w:p w14:paraId="63C8E01F">
            <w:pPr>
              <w:pStyle w:val="28"/>
              <w:bidi w:val="0"/>
            </w:pPr>
            <w:r>
              <w:t>2.0</w:t>
            </w:r>
          </w:p>
        </w:tc>
        <w:tc>
          <w:tcPr>
            <w:tcW w:w="209" w:type="pct"/>
            <w:vAlign w:val="center"/>
          </w:tcPr>
          <w:p w14:paraId="296E2561">
            <w:pPr>
              <w:pStyle w:val="28"/>
              <w:bidi w:val="0"/>
            </w:pPr>
            <w:r>
              <w:t>达标</w:t>
            </w:r>
          </w:p>
        </w:tc>
      </w:tr>
      <w:tr w14:paraId="47693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685" w:type="pct"/>
            <w:vAlign w:val="center"/>
          </w:tcPr>
          <w:p w14:paraId="24C4E101">
            <w:pPr>
              <w:pStyle w:val="28"/>
              <w:bidi w:val="0"/>
            </w:pPr>
            <w:r>
              <w:rPr>
                <w:rFonts w:hint="eastAsia"/>
              </w:rPr>
              <w:t>老岗</w:t>
            </w:r>
          </w:p>
        </w:tc>
        <w:tc>
          <w:tcPr>
            <w:tcW w:w="511" w:type="pct"/>
            <w:vAlign w:val="center"/>
          </w:tcPr>
          <w:p w14:paraId="3FE710F3">
            <w:pPr>
              <w:pStyle w:val="28"/>
              <w:bidi w:val="0"/>
            </w:pPr>
            <w:r>
              <w:rPr>
                <w:rFonts w:hint="eastAsia"/>
              </w:rPr>
              <w:t>节制闸加固</w:t>
            </w:r>
          </w:p>
        </w:tc>
        <w:tc>
          <w:tcPr>
            <w:tcW w:w="366" w:type="pct"/>
            <w:vAlign w:val="center"/>
          </w:tcPr>
          <w:p w14:paraId="436B5335">
            <w:pPr>
              <w:pStyle w:val="28"/>
              <w:bidi w:val="0"/>
            </w:pPr>
            <w:r>
              <w:t>20</w:t>
            </w:r>
          </w:p>
        </w:tc>
        <w:tc>
          <w:tcPr>
            <w:tcW w:w="268" w:type="pct"/>
            <w:vAlign w:val="center"/>
          </w:tcPr>
          <w:p w14:paraId="06C5A177">
            <w:pPr>
              <w:pStyle w:val="28"/>
              <w:bidi w:val="0"/>
            </w:pPr>
            <w:r>
              <w:rPr>
                <w:rFonts w:hint="eastAsia"/>
              </w:rPr>
              <w:t>左岸</w:t>
            </w:r>
          </w:p>
        </w:tc>
        <w:tc>
          <w:tcPr>
            <w:tcW w:w="262" w:type="pct"/>
            <w:vAlign w:val="center"/>
          </w:tcPr>
          <w:p w14:paraId="6243C47C">
            <w:pPr>
              <w:pStyle w:val="28"/>
              <w:bidi w:val="0"/>
            </w:pPr>
            <w:r>
              <w:t>1</w:t>
            </w:r>
            <w:r>
              <w:rPr>
                <w:rFonts w:hint="eastAsia"/>
              </w:rPr>
              <w:t>类</w:t>
            </w:r>
          </w:p>
        </w:tc>
        <w:tc>
          <w:tcPr>
            <w:tcW w:w="809" w:type="pct"/>
            <w:vMerge w:val="restart"/>
            <w:vAlign w:val="center"/>
          </w:tcPr>
          <w:p w14:paraId="22A7EBBD">
            <w:pPr>
              <w:pStyle w:val="28"/>
              <w:bidi w:val="0"/>
            </w:pPr>
            <w:r>
              <w:rPr>
                <w:rFonts w:hint="eastAsia"/>
              </w:rPr>
              <w:t>采用低噪声设备，施工机械远离居民住宅，设置双层移动声屏障</w:t>
            </w:r>
          </w:p>
        </w:tc>
        <w:tc>
          <w:tcPr>
            <w:tcW w:w="208" w:type="pct"/>
            <w:vAlign w:val="center"/>
          </w:tcPr>
          <w:p w14:paraId="2B284DAE">
            <w:pPr>
              <w:pStyle w:val="28"/>
              <w:bidi w:val="0"/>
            </w:pPr>
            <w:r>
              <w:t>52.4</w:t>
            </w:r>
          </w:p>
        </w:tc>
        <w:tc>
          <w:tcPr>
            <w:tcW w:w="211" w:type="pct"/>
            <w:vAlign w:val="center"/>
          </w:tcPr>
          <w:p w14:paraId="6C848CD4">
            <w:pPr>
              <w:pStyle w:val="28"/>
              <w:bidi w:val="0"/>
            </w:pPr>
            <w:r>
              <w:t>41.8</w:t>
            </w:r>
          </w:p>
        </w:tc>
        <w:tc>
          <w:tcPr>
            <w:tcW w:w="208" w:type="pct"/>
            <w:vAlign w:val="center"/>
          </w:tcPr>
          <w:p w14:paraId="79C39EA5">
            <w:pPr>
              <w:pStyle w:val="28"/>
              <w:bidi w:val="0"/>
            </w:pPr>
            <w:r>
              <w:t>55</w:t>
            </w:r>
          </w:p>
        </w:tc>
        <w:tc>
          <w:tcPr>
            <w:tcW w:w="211" w:type="pct"/>
            <w:vAlign w:val="center"/>
          </w:tcPr>
          <w:p w14:paraId="4BC9C5D5">
            <w:pPr>
              <w:pStyle w:val="28"/>
              <w:bidi w:val="0"/>
            </w:pPr>
            <w:r>
              <w:t>45</w:t>
            </w:r>
          </w:p>
        </w:tc>
        <w:tc>
          <w:tcPr>
            <w:tcW w:w="276" w:type="pct"/>
            <w:vAlign w:val="center"/>
          </w:tcPr>
          <w:p w14:paraId="1E862E0F">
            <w:pPr>
              <w:pStyle w:val="28"/>
              <w:bidi w:val="0"/>
            </w:pPr>
            <w:r>
              <w:t>67.2</w:t>
            </w:r>
          </w:p>
        </w:tc>
        <w:tc>
          <w:tcPr>
            <w:tcW w:w="257" w:type="pct"/>
            <w:vAlign w:val="center"/>
          </w:tcPr>
          <w:p w14:paraId="5E5995DE">
            <w:pPr>
              <w:pStyle w:val="28"/>
              <w:bidi w:val="0"/>
            </w:pPr>
            <w:r>
              <w:t>47.2</w:t>
            </w:r>
          </w:p>
        </w:tc>
        <w:tc>
          <w:tcPr>
            <w:tcW w:w="257" w:type="pct"/>
            <w:vAlign w:val="center"/>
          </w:tcPr>
          <w:p w14:paraId="3695CA5C">
            <w:pPr>
              <w:pStyle w:val="28"/>
              <w:bidi w:val="0"/>
            </w:pPr>
            <w:r>
              <w:t>53.5</w:t>
            </w:r>
          </w:p>
        </w:tc>
        <w:tc>
          <w:tcPr>
            <w:tcW w:w="257" w:type="pct"/>
            <w:vAlign w:val="center"/>
          </w:tcPr>
          <w:p w14:paraId="137C2854">
            <w:pPr>
              <w:pStyle w:val="28"/>
              <w:bidi w:val="0"/>
            </w:pPr>
            <w:r>
              <w:t>1.1</w:t>
            </w:r>
          </w:p>
        </w:tc>
        <w:tc>
          <w:tcPr>
            <w:tcW w:w="209" w:type="pct"/>
            <w:vAlign w:val="center"/>
          </w:tcPr>
          <w:p w14:paraId="5A669265">
            <w:pPr>
              <w:pStyle w:val="28"/>
              <w:bidi w:val="0"/>
            </w:pPr>
            <w:r>
              <w:t>达标</w:t>
            </w:r>
          </w:p>
        </w:tc>
      </w:tr>
      <w:tr w14:paraId="12FE2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C9F5110">
            <w:pPr>
              <w:pStyle w:val="28"/>
              <w:bidi w:val="0"/>
            </w:pPr>
            <w:r>
              <w:rPr>
                <w:rFonts w:hint="eastAsia"/>
              </w:rPr>
              <w:t>龙尾巴沟</w:t>
            </w:r>
          </w:p>
        </w:tc>
        <w:tc>
          <w:tcPr>
            <w:tcW w:w="511" w:type="pct"/>
            <w:vAlign w:val="center"/>
          </w:tcPr>
          <w:p w14:paraId="4B05B457">
            <w:pPr>
              <w:pStyle w:val="28"/>
              <w:bidi w:val="0"/>
            </w:pPr>
            <w:r>
              <w:rPr>
                <w:rFonts w:hint="eastAsia"/>
              </w:rPr>
              <w:t>进水闸拆建</w:t>
            </w:r>
          </w:p>
        </w:tc>
        <w:tc>
          <w:tcPr>
            <w:tcW w:w="366" w:type="pct"/>
            <w:vAlign w:val="center"/>
          </w:tcPr>
          <w:p w14:paraId="54AB5DE6">
            <w:pPr>
              <w:pStyle w:val="28"/>
              <w:bidi w:val="0"/>
            </w:pPr>
            <w:r>
              <w:t>35</w:t>
            </w:r>
          </w:p>
        </w:tc>
        <w:tc>
          <w:tcPr>
            <w:tcW w:w="268" w:type="pct"/>
            <w:vAlign w:val="center"/>
          </w:tcPr>
          <w:p w14:paraId="4F680482">
            <w:pPr>
              <w:pStyle w:val="28"/>
              <w:bidi w:val="0"/>
            </w:pPr>
            <w:r>
              <w:rPr>
                <w:rFonts w:hint="eastAsia"/>
              </w:rPr>
              <w:t>左岸</w:t>
            </w:r>
          </w:p>
        </w:tc>
        <w:tc>
          <w:tcPr>
            <w:tcW w:w="262" w:type="pct"/>
            <w:vAlign w:val="center"/>
          </w:tcPr>
          <w:p w14:paraId="3F507EFF">
            <w:pPr>
              <w:pStyle w:val="28"/>
              <w:bidi w:val="0"/>
            </w:pPr>
            <w:r>
              <w:t>1</w:t>
            </w:r>
            <w:r>
              <w:rPr>
                <w:rFonts w:hint="eastAsia"/>
              </w:rPr>
              <w:t>类</w:t>
            </w:r>
          </w:p>
        </w:tc>
        <w:tc>
          <w:tcPr>
            <w:tcW w:w="809" w:type="pct"/>
            <w:vMerge w:val="continue"/>
            <w:vAlign w:val="center"/>
          </w:tcPr>
          <w:p w14:paraId="7C5B645C">
            <w:pPr>
              <w:pStyle w:val="28"/>
              <w:bidi w:val="0"/>
            </w:pPr>
          </w:p>
        </w:tc>
        <w:tc>
          <w:tcPr>
            <w:tcW w:w="208" w:type="pct"/>
            <w:vAlign w:val="center"/>
          </w:tcPr>
          <w:p w14:paraId="0FD74C07">
            <w:pPr>
              <w:pStyle w:val="28"/>
              <w:bidi w:val="0"/>
            </w:pPr>
            <w:r>
              <w:t>52.4</w:t>
            </w:r>
          </w:p>
        </w:tc>
        <w:tc>
          <w:tcPr>
            <w:tcW w:w="211" w:type="pct"/>
            <w:vAlign w:val="center"/>
          </w:tcPr>
          <w:p w14:paraId="636B2A67">
            <w:pPr>
              <w:pStyle w:val="28"/>
              <w:bidi w:val="0"/>
            </w:pPr>
            <w:r>
              <w:t>41.8</w:t>
            </w:r>
          </w:p>
        </w:tc>
        <w:tc>
          <w:tcPr>
            <w:tcW w:w="208" w:type="pct"/>
            <w:vAlign w:val="center"/>
          </w:tcPr>
          <w:p w14:paraId="6C202C4E">
            <w:pPr>
              <w:pStyle w:val="28"/>
              <w:bidi w:val="0"/>
            </w:pPr>
            <w:r>
              <w:t>55</w:t>
            </w:r>
          </w:p>
        </w:tc>
        <w:tc>
          <w:tcPr>
            <w:tcW w:w="211" w:type="pct"/>
            <w:vAlign w:val="center"/>
          </w:tcPr>
          <w:p w14:paraId="5BA30F16">
            <w:pPr>
              <w:pStyle w:val="28"/>
              <w:bidi w:val="0"/>
            </w:pPr>
            <w:r>
              <w:t>45</w:t>
            </w:r>
          </w:p>
        </w:tc>
        <w:tc>
          <w:tcPr>
            <w:tcW w:w="276" w:type="pct"/>
            <w:vAlign w:val="center"/>
          </w:tcPr>
          <w:p w14:paraId="6FFBEF24">
            <w:pPr>
              <w:pStyle w:val="28"/>
              <w:bidi w:val="0"/>
            </w:pPr>
            <w:r>
              <w:t>62.3</w:t>
            </w:r>
          </w:p>
        </w:tc>
        <w:tc>
          <w:tcPr>
            <w:tcW w:w="257" w:type="pct"/>
            <w:vAlign w:val="center"/>
          </w:tcPr>
          <w:p w14:paraId="617D4EBE">
            <w:pPr>
              <w:pStyle w:val="28"/>
              <w:bidi w:val="0"/>
            </w:pPr>
            <w:r>
              <w:t>42.3</w:t>
            </w:r>
          </w:p>
        </w:tc>
        <w:tc>
          <w:tcPr>
            <w:tcW w:w="257" w:type="pct"/>
            <w:vAlign w:val="center"/>
          </w:tcPr>
          <w:p w14:paraId="5F954E10">
            <w:pPr>
              <w:pStyle w:val="28"/>
              <w:bidi w:val="0"/>
            </w:pPr>
            <w:r>
              <w:t>52.8</w:t>
            </w:r>
          </w:p>
        </w:tc>
        <w:tc>
          <w:tcPr>
            <w:tcW w:w="257" w:type="pct"/>
            <w:vAlign w:val="center"/>
          </w:tcPr>
          <w:p w14:paraId="062A3BAD">
            <w:pPr>
              <w:pStyle w:val="28"/>
              <w:bidi w:val="0"/>
            </w:pPr>
            <w:r>
              <w:t>0.4</w:t>
            </w:r>
          </w:p>
        </w:tc>
        <w:tc>
          <w:tcPr>
            <w:tcW w:w="209" w:type="pct"/>
            <w:vAlign w:val="center"/>
          </w:tcPr>
          <w:p w14:paraId="43875D0D">
            <w:pPr>
              <w:pStyle w:val="28"/>
              <w:bidi w:val="0"/>
            </w:pPr>
            <w:r>
              <w:t>达标</w:t>
            </w:r>
          </w:p>
        </w:tc>
      </w:tr>
      <w:tr w14:paraId="3C85F925">
        <w:tblPrEx>
          <w:tblCellMar>
            <w:top w:w="0" w:type="dxa"/>
            <w:left w:w="108" w:type="dxa"/>
            <w:bottom w:w="0" w:type="dxa"/>
            <w:right w:w="108" w:type="dxa"/>
          </w:tblCellMar>
        </w:tblPrEx>
        <w:trPr>
          <w:trHeight w:val="340" w:hRule="atLeast"/>
          <w:jc w:val="center"/>
        </w:trPr>
        <w:tc>
          <w:tcPr>
            <w:tcW w:w="685" w:type="pct"/>
            <w:vAlign w:val="center"/>
          </w:tcPr>
          <w:p w14:paraId="69CDDDD8">
            <w:pPr>
              <w:pStyle w:val="28"/>
              <w:bidi w:val="0"/>
            </w:pPr>
            <w:r>
              <w:rPr>
                <w:rFonts w:hint="eastAsia"/>
              </w:rPr>
              <w:t>破楼</w:t>
            </w:r>
          </w:p>
        </w:tc>
        <w:tc>
          <w:tcPr>
            <w:tcW w:w="511" w:type="pct"/>
            <w:vAlign w:val="center"/>
          </w:tcPr>
          <w:p w14:paraId="6ADC40A3">
            <w:pPr>
              <w:pStyle w:val="28"/>
              <w:bidi w:val="0"/>
            </w:pPr>
            <w:r>
              <w:rPr>
                <w:rFonts w:hint="eastAsia"/>
              </w:rPr>
              <w:t>放水涵拆建</w:t>
            </w:r>
          </w:p>
        </w:tc>
        <w:tc>
          <w:tcPr>
            <w:tcW w:w="366" w:type="pct"/>
            <w:vAlign w:val="center"/>
          </w:tcPr>
          <w:p w14:paraId="262E0C40">
            <w:pPr>
              <w:pStyle w:val="28"/>
              <w:bidi w:val="0"/>
            </w:pPr>
            <w:r>
              <w:t>140</w:t>
            </w:r>
          </w:p>
        </w:tc>
        <w:tc>
          <w:tcPr>
            <w:tcW w:w="268" w:type="pct"/>
            <w:vAlign w:val="center"/>
          </w:tcPr>
          <w:p w14:paraId="0DE24995">
            <w:pPr>
              <w:pStyle w:val="28"/>
              <w:bidi w:val="0"/>
            </w:pPr>
            <w:r>
              <w:rPr>
                <w:rFonts w:hint="eastAsia"/>
              </w:rPr>
              <w:t>右岸</w:t>
            </w:r>
          </w:p>
        </w:tc>
        <w:tc>
          <w:tcPr>
            <w:tcW w:w="262" w:type="pct"/>
            <w:vAlign w:val="center"/>
          </w:tcPr>
          <w:p w14:paraId="2A80F752">
            <w:pPr>
              <w:pStyle w:val="28"/>
              <w:bidi w:val="0"/>
            </w:pPr>
            <w:r>
              <w:t>1</w:t>
            </w:r>
            <w:r>
              <w:rPr>
                <w:rFonts w:hint="eastAsia"/>
              </w:rPr>
              <w:t>类</w:t>
            </w:r>
          </w:p>
        </w:tc>
        <w:tc>
          <w:tcPr>
            <w:tcW w:w="809" w:type="pct"/>
            <w:vAlign w:val="center"/>
          </w:tcPr>
          <w:p w14:paraId="1F57442D">
            <w:pPr>
              <w:pStyle w:val="28"/>
              <w:bidi w:val="0"/>
            </w:pPr>
            <w:r>
              <w:rPr>
                <w:rFonts w:hint="eastAsia"/>
              </w:rPr>
              <w:t>采用低噪声设备，施工机械远离居民住宅</w:t>
            </w:r>
          </w:p>
        </w:tc>
        <w:tc>
          <w:tcPr>
            <w:tcW w:w="208" w:type="pct"/>
            <w:vAlign w:val="center"/>
          </w:tcPr>
          <w:p w14:paraId="239FD7F8">
            <w:pPr>
              <w:pStyle w:val="28"/>
              <w:bidi w:val="0"/>
            </w:pPr>
            <w:r>
              <w:t>52.4</w:t>
            </w:r>
          </w:p>
        </w:tc>
        <w:tc>
          <w:tcPr>
            <w:tcW w:w="211" w:type="pct"/>
            <w:vAlign w:val="center"/>
          </w:tcPr>
          <w:p w14:paraId="0BB05B6E">
            <w:pPr>
              <w:pStyle w:val="28"/>
              <w:bidi w:val="0"/>
            </w:pPr>
            <w:r>
              <w:t>41.8</w:t>
            </w:r>
          </w:p>
        </w:tc>
        <w:tc>
          <w:tcPr>
            <w:tcW w:w="208" w:type="pct"/>
            <w:vAlign w:val="center"/>
          </w:tcPr>
          <w:p w14:paraId="3BC40CA4">
            <w:pPr>
              <w:pStyle w:val="28"/>
              <w:bidi w:val="0"/>
            </w:pPr>
            <w:r>
              <w:t>55</w:t>
            </w:r>
          </w:p>
        </w:tc>
        <w:tc>
          <w:tcPr>
            <w:tcW w:w="211" w:type="pct"/>
            <w:vAlign w:val="center"/>
          </w:tcPr>
          <w:p w14:paraId="2AE64FB5">
            <w:pPr>
              <w:pStyle w:val="28"/>
              <w:bidi w:val="0"/>
            </w:pPr>
            <w:r>
              <w:t>45</w:t>
            </w:r>
          </w:p>
        </w:tc>
        <w:tc>
          <w:tcPr>
            <w:tcW w:w="276" w:type="pct"/>
            <w:vAlign w:val="center"/>
          </w:tcPr>
          <w:p w14:paraId="5AEA962C">
            <w:pPr>
              <w:pStyle w:val="28"/>
              <w:bidi w:val="0"/>
            </w:pPr>
            <w:r>
              <w:t>50.3</w:t>
            </w:r>
          </w:p>
        </w:tc>
        <w:tc>
          <w:tcPr>
            <w:tcW w:w="257" w:type="pct"/>
            <w:vAlign w:val="center"/>
          </w:tcPr>
          <w:p w14:paraId="793C2B68">
            <w:pPr>
              <w:pStyle w:val="28"/>
              <w:bidi w:val="0"/>
            </w:pPr>
            <w:r>
              <w:t>43.3</w:t>
            </w:r>
          </w:p>
        </w:tc>
        <w:tc>
          <w:tcPr>
            <w:tcW w:w="257" w:type="pct"/>
            <w:vAlign w:val="center"/>
          </w:tcPr>
          <w:p w14:paraId="4420DC4A">
            <w:pPr>
              <w:pStyle w:val="28"/>
              <w:bidi w:val="0"/>
            </w:pPr>
            <w:r>
              <w:t>52.9</w:t>
            </w:r>
          </w:p>
        </w:tc>
        <w:tc>
          <w:tcPr>
            <w:tcW w:w="257" w:type="pct"/>
            <w:vAlign w:val="center"/>
          </w:tcPr>
          <w:p w14:paraId="6B3B03D4">
            <w:pPr>
              <w:pStyle w:val="28"/>
              <w:bidi w:val="0"/>
            </w:pPr>
            <w:r>
              <w:t>0.5</w:t>
            </w:r>
          </w:p>
        </w:tc>
        <w:tc>
          <w:tcPr>
            <w:tcW w:w="209" w:type="pct"/>
            <w:vAlign w:val="center"/>
          </w:tcPr>
          <w:p w14:paraId="37D4A51D">
            <w:pPr>
              <w:pStyle w:val="28"/>
              <w:bidi w:val="0"/>
            </w:pPr>
            <w:r>
              <w:t>达标</w:t>
            </w:r>
          </w:p>
        </w:tc>
      </w:tr>
      <w:tr w14:paraId="74FB7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7D7CEB2">
            <w:pPr>
              <w:pStyle w:val="28"/>
              <w:bidi w:val="0"/>
            </w:pPr>
            <w:r>
              <w:rPr>
                <w:rFonts w:hint="eastAsia"/>
              </w:rPr>
              <w:t>南顾村</w:t>
            </w:r>
          </w:p>
        </w:tc>
        <w:tc>
          <w:tcPr>
            <w:tcW w:w="511" w:type="pct"/>
            <w:vAlign w:val="center"/>
          </w:tcPr>
          <w:p w14:paraId="704240EA">
            <w:pPr>
              <w:pStyle w:val="28"/>
              <w:bidi w:val="0"/>
            </w:pPr>
            <w:r>
              <w:rPr>
                <w:rFonts w:hint="eastAsia"/>
              </w:rPr>
              <w:t>进水闸拆建</w:t>
            </w:r>
          </w:p>
        </w:tc>
        <w:tc>
          <w:tcPr>
            <w:tcW w:w="366" w:type="pct"/>
            <w:vAlign w:val="center"/>
          </w:tcPr>
          <w:p w14:paraId="460CC3BC">
            <w:pPr>
              <w:pStyle w:val="28"/>
              <w:bidi w:val="0"/>
            </w:pPr>
            <w:r>
              <w:t>20</w:t>
            </w:r>
          </w:p>
        </w:tc>
        <w:tc>
          <w:tcPr>
            <w:tcW w:w="268" w:type="pct"/>
            <w:vAlign w:val="center"/>
          </w:tcPr>
          <w:p w14:paraId="74F3BD76">
            <w:pPr>
              <w:pStyle w:val="28"/>
              <w:bidi w:val="0"/>
            </w:pPr>
            <w:r>
              <w:rPr>
                <w:rFonts w:hint="eastAsia"/>
              </w:rPr>
              <w:t>左岸</w:t>
            </w:r>
          </w:p>
        </w:tc>
        <w:tc>
          <w:tcPr>
            <w:tcW w:w="262" w:type="pct"/>
            <w:vAlign w:val="center"/>
          </w:tcPr>
          <w:p w14:paraId="7492DA07">
            <w:pPr>
              <w:pStyle w:val="28"/>
              <w:bidi w:val="0"/>
            </w:pPr>
            <w:r>
              <w:t>1</w:t>
            </w:r>
            <w:r>
              <w:rPr>
                <w:rFonts w:hint="eastAsia"/>
              </w:rPr>
              <w:t>类</w:t>
            </w:r>
          </w:p>
        </w:tc>
        <w:tc>
          <w:tcPr>
            <w:tcW w:w="809" w:type="pct"/>
            <w:vMerge w:val="restart"/>
            <w:vAlign w:val="center"/>
          </w:tcPr>
          <w:p w14:paraId="505D17A0">
            <w:pPr>
              <w:pStyle w:val="28"/>
              <w:bidi w:val="0"/>
            </w:pPr>
            <w:r>
              <w:rPr>
                <w:rFonts w:hint="eastAsia"/>
              </w:rPr>
              <w:t>采用低噪声设备，施工机械远离居民住宅，设置双层移动声屏障</w:t>
            </w:r>
          </w:p>
        </w:tc>
        <w:tc>
          <w:tcPr>
            <w:tcW w:w="208" w:type="pct"/>
            <w:vAlign w:val="center"/>
          </w:tcPr>
          <w:p w14:paraId="28B86CB0">
            <w:pPr>
              <w:pStyle w:val="28"/>
              <w:bidi w:val="0"/>
            </w:pPr>
            <w:r>
              <w:t>52.4</w:t>
            </w:r>
          </w:p>
        </w:tc>
        <w:tc>
          <w:tcPr>
            <w:tcW w:w="211" w:type="pct"/>
            <w:vAlign w:val="center"/>
          </w:tcPr>
          <w:p w14:paraId="20EBD524">
            <w:pPr>
              <w:pStyle w:val="28"/>
              <w:bidi w:val="0"/>
            </w:pPr>
            <w:r>
              <w:t>41.8</w:t>
            </w:r>
          </w:p>
        </w:tc>
        <w:tc>
          <w:tcPr>
            <w:tcW w:w="208" w:type="pct"/>
            <w:vAlign w:val="center"/>
          </w:tcPr>
          <w:p w14:paraId="2ECBB516">
            <w:pPr>
              <w:pStyle w:val="28"/>
              <w:bidi w:val="0"/>
            </w:pPr>
            <w:r>
              <w:t>55</w:t>
            </w:r>
          </w:p>
        </w:tc>
        <w:tc>
          <w:tcPr>
            <w:tcW w:w="211" w:type="pct"/>
            <w:vAlign w:val="center"/>
          </w:tcPr>
          <w:p w14:paraId="7312046E">
            <w:pPr>
              <w:pStyle w:val="28"/>
              <w:bidi w:val="0"/>
            </w:pPr>
            <w:r>
              <w:t>45</w:t>
            </w:r>
          </w:p>
        </w:tc>
        <w:tc>
          <w:tcPr>
            <w:tcW w:w="276" w:type="pct"/>
            <w:vAlign w:val="center"/>
          </w:tcPr>
          <w:p w14:paraId="2E5A4B72">
            <w:pPr>
              <w:pStyle w:val="28"/>
              <w:bidi w:val="0"/>
            </w:pPr>
            <w:r>
              <w:t>67.2</w:t>
            </w:r>
          </w:p>
        </w:tc>
        <w:tc>
          <w:tcPr>
            <w:tcW w:w="257" w:type="pct"/>
            <w:vAlign w:val="center"/>
          </w:tcPr>
          <w:p w14:paraId="1D69B674">
            <w:pPr>
              <w:pStyle w:val="28"/>
              <w:bidi w:val="0"/>
            </w:pPr>
            <w:r>
              <w:t>47.2</w:t>
            </w:r>
          </w:p>
        </w:tc>
        <w:tc>
          <w:tcPr>
            <w:tcW w:w="257" w:type="pct"/>
            <w:vAlign w:val="center"/>
          </w:tcPr>
          <w:p w14:paraId="5F79F3F3">
            <w:pPr>
              <w:pStyle w:val="28"/>
              <w:bidi w:val="0"/>
            </w:pPr>
            <w:r>
              <w:t>53.5</w:t>
            </w:r>
          </w:p>
        </w:tc>
        <w:tc>
          <w:tcPr>
            <w:tcW w:w="257" w:type="pct"/>
            <w:vAlign w:val="center"/>
          </w:tcPr>
          <w:p w14:paraId="49D18663">
            <w:pPr>
              <w:pStyle w:val="28"/>
              <w:bidi w:val="0"/>
            </w:pPr>
            <w:r>
              <w:t>1.1</w:t>
            </w:r>
          </w:p>
        </w:tc>
        <w:tc>
          <w:tcPr>
            <w:tcW w:w="209" w:type="pct"/>
            <w:vAlign w:val="center"/>
          </w:tcPr>
          <w:p w14:paraId="34EFEFD8">
            <w:pPr>
              <w:pStyle w:val="28"/>
              <w:bidi w:val="0"/>
            </w:pPr>
            <w:r>
              <w:t>达标</w:t>
            </w:r>
          </w:p>
        </w:tc>
      </w:tr>
      <w:tr w14:paraId="5BEF3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21812FA">
            <w:pPr>
              <w:pStyle w:val="28"/>
              <w:bidi w:val="0"/>
            </w:pPr>
            <w:r>
              <w:rPr>
                <w:rFonts w:hint="eastAsia"/>
              </w:rPr>
              <w:t>小庄</w:t>
            </w:r>
          </w:p>
        </w:tc>
        <w:tc>
          <w:tcPr>
            <w:tcW w:w="511" w:type="pct"/>
            <w:vAlign w:val="center"/>
          </w:tcPr>
          <w:p w14:paraId="5A2E1770">
            <w:pPr>
              <w:pStyle w:val="28"/>
              <w:bidi w:val="0"/>
            </w:pPr>
            <w:r>
              <w:rPr>
                <w:rFonts w:hint="eastAsia"/>
              </w:rPr>
              <w:t>渠道整治</w:t>
            </w:r>
          </w:p>
        </w:tc>
        <w:tc>
          <w:tcPr>
            <w:tcW w:w="366" w:type="pct"/>
            <w:vAlign w:val="center"/>
          </w:tcPr>
          <w:p w14:paraId="11520C98">
            <w:pPr>
              <w:pStyle w:val="28"/>
              <w:bidi w:val="0"/>
            </w:pPr>
            <w:r>
              <w:t>20</w:t>
            </w:r>
          </w:p>
        </w:tc>
        <w:tc>
          <w:tcPr>
            <w:tcW w:w="268" w:type="pct"/>
            <w:vAlign w:val="center"/>
          </w:tcPr>
          <w:p w14:paraId="272D11AC">
            <w:pPr>
              <w:pStyle w:val="28"/>
              <w:bidi w:val="0"/>
            </w:pPr>
            <w:r>
              <w:rPr>
                <w:rFonts w:hint="eastAsia"/>
              </w:rPr>
              <w:t>右岸</w:t>
            </w:r>
          </w:p>
        </w:tc>
        <w:tc>
          <w:tcPr>
            <w:tcW w:w="262" w:type="pct"/>
            <w:vAlign w:val="center"/>
          </w:tcPr>
          <w:p w14:paraId="4B7E49D0">
            <w:pPr>
              <w:pStyle w:val="28"/>
              <w:bidi w:val="0"/>
            </w:pPr>
            <w:r>
              <w:t>1</w:t>
            </w:r>
            <w:r>
              <w:rPr>
                <w:rFonts w:hint="eastAsia"/>
              </w:rPr>
              <w:t>类</w:t>
            </w:r>
          </w:p>
        </w:tc>
        <w:tc>
          <w:tcPr>
            <w:tcW w:w="809" w:type="pct"/>
            <w:vMerge w:val="continue"/>
            <w:vAlign w:val="center"/>
          </w:tcPr>
          <w:p w14:paraId="72A1AFE6">
            <w:pPr>
              <w:pStyle w:val="28"/>
              <w:bidi w:val="0"/>
            </w:pPr>
          </w:p>
        </w:tc>
        <w:tc>
          <w:tcPr>
            <w:tcW w:w="208" w:type="pct"/>
            <w:vAlign w:val="center"/>
          </w:tcPr>
          <w:p w14:paraId="1BD4645F">
            <w:pPr>
              <w:pStyle w:val="28"/>
              <w:bidi w:val="0"/>
            </w:pPr>
            <w:r>
              <w:t>52.4</w:t>
            </w:r>
          </w:p>
        </w:tc>
        <w:tc>
          <w:tcPr>
            <w:tcW w:w="211" w:type="pct"/>
            <w:vAlign w:val="center"/>
          </w:tcPr>
          <w:p w14:paraId="7D274198">
            <w:pPr>
              <w:pStyle w:val="28"/>
              <w:bidi w:val="0"/>
            </w:pPr>
            <w:r>
              <w:t>41.8</w:t>
            </w:r>
          </w:p>
        </w:tc>
        <w:tc>
          <w:tcPr>
            <w:tcW w:w="208" w:type="pct"/>
            <w:vAlign w:val="center"/>
          </w:tcPr>
          <w:p w14:paraId="0B824530">
            <w:pPr>
              <w:pStyle w:val="28"/>
              <w:bidi w:val="0"/>
            </w:pPr>
            <w:r>
              <w:t>55</w:t>
            </w:r>
          </w:p>
        </w:tc>
        <w:tc>
          <w:tcPr>
            <w:tcW w:w="211" w:type="pct"/>
            <w:vAlign w:val="center"/>
          </w:tcPr>
          <w:p w14:paraId="7EB95F01">
            <w:pPr>
              <w:pStyle w:val="28"/>
              <w:bidi w:val="0"/>
            </w:pPr>
            <w:r>
              <w:t>45</w:t>
            </w:r>
          </w:p>
        </w:tc>
        <w:tc>
          <w:tcPr>
            <w:tcW w:w="276" w:type="pct"/>
            <w:vAlign w:val="center"/>
          </w:tcPr>
          <w:p w14:paraId="1F78FEE9">
            <w:pPr>
              <w:pStyle w:val="28"/>
              <w:bidi w:val="0"/>
            </w:pPr>
            <w:r>
              <w:t>64.2</w:t>
            </w:r>
          </w:p>
        </w:tc>
        <w:tc>
          <w:tcPr>
            <w:tcW w:w="257" w:type="pct"/>
            <w:vAlign w:val="center"/>
          </w:tcPr>
          <w:p w14:paraId="36F0FF1E">
            <w:pPr>
              <w:pStyle w:val="28"/>
              <w:bidi w:val="0"/>
            </w:pPr>
            <w:r>
              <w:t>44.2</w:t>
            </w:r>
          </w:p>
        </w:tc>
        <w:tc>
          <w:tcPr>
            <w:tcW w:w="257" w:type="pct"/>
            <w:vAlign w:val="center"/>
          </w:tcPr>
          <w:p w14:paraId="09238D76">
            <w:pPr>
              <w:pStyle w:val="28"/>
              <w:bidi w:val="0"/>
            </w:pPr>
            <w:r>
              <w:t>53.0</w:t>
            </w:r>
          </w:p>
        </w:tc>
        <w:tc>
          <w:tcPr>
            <w:tcW w:w="257" w:type="pct"/>
            <w:vAlign w:val="center"/>
          </w:tcPr>
          <w:p w14:paraId="7DB3F762">
            <w:pPr>
              <w:pStyle w:val="28"/>
              <w:bidi w:val="0"/>
            </w:pPr>
            <w:r>
              <w:t>0.6</w:t>
            </w:r>
          </w:p>
        </w:tc>
        <w:tc>
          <w:tcPr>
            <w:tcW w:w="209" w:type="pct"/>
            <w:vAlign w:val="center"/>
          </w:tcPr>
          <w:p w14:paraId="671E4A21">
            <w:pPr>
              <w:pStyle w:val="28"/>
              <w:bidi w:val="0"/>
            </w:pPr>
            <w:r>
              <w:t>达标</w:t>
            </w:r>
          </w:p>
        </w:tc>
      </w:tr>
      <w:tr w14:paraId="30808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2EF86EA">
            <w:pPr>
              <w:pStyle w:val="28"/>
              <w:bidi w:val="0"/>
            </w:pPr>
            <w:r>
              <w:rPr>
                <w:rFonts w:hint="eastAsia"/>
              </w:rPr>
              <w:t>王庄</w:t>
            </w:r>
          </w:p>
        </w:tc>
        <w:tc>
          <w:tcPr>
            <w:tcW w:w="511" w:type="pct"/>
            <w:vAlign w:val="center"/>
          </w:tcPr>
          <w:p w14:paraId="3336B8B6">
            <w:pPr>
              <w:pStyle w:val="28"/>
              <w:bidi w:val="0"/>
            </w:pPr>
            <w:r>
              <w:rPr>
                <w:rFonts w:hint="eastAsia"/>
              </w:rPr>
              <w:t>放水涵加固</w:t>
            </w:r>
          </w:p>
        </w:tc>
        <w:tc>
          <w:tcPr>
            <w:tcW w:w="366" w:type="pct"/>
            <w:vAlign w:val="center"/>
          </w:tcPr>
          <w:p w14:paraId="47F20B41">
            <w:pPr>
              <w:pStyle w:val="28"/>
              <w:bidi w:val="0"/>
            </w:pPr>
            <w:r>
              <w:t>20</w:t>
            </w:r>
          </w:p>
        </w:tc>
        <w:tc>
          <w:tcPr>
            <w:tcW w:w="268" w:type="pct"/>
            <w:vAlign w:val="center"/>
          </w:tcPr>
          <w:p w14:paraId="3C6DCBA2">
            <w:pPr>
              <w:pStyle w:val="28"/>
              <w:bidi w:val="0"/>
            </w:pPr>
            <w:r>
              <w:rPr>
                <w:rFonts w:hint="eastAsia"/>
              </w:rPr>
              <w:t>左岸</w:t>
            </w:r>
          </w:p>
        </w:tc>
        <w:tc>
          <w:tcPr>
            <w:tcW w:w="262" w:type="pct"/>
            <w:vAlign w:val="center"/>
          </w:tcPr>
          <w:p w14:paraId="45F8FA07">
            <w:pPr>
              <w:pStyle w:val="28"/>
              <w:bidi w:val="0"/>
            </w:pPr>
            <w:r>
              <w:t>1</w:t>
            </w:r>
            <w:r>
              <w:rPr>
                <w:rFonts w:hint="eastAsia"/>
              </w:rPr>
              <w:t>类</w:t>
            </w:r>
          </w:p>
        </w:tc>
        <w:tc>
          <w:tcPr>
            <w:tcW w:w="809" w:type="pct"/>
            <w:vMerge w:val="continue"/>
            <w:vAlign w:val="center"/>
          </w:tcPr>
          <w:p w14:paraId="069C7DF4">
            <w:pPr>
              <w:pStyle w:val="28"/>
              <w:bidi w:val="0"/>
            </w:pPr>
          </w:p>
        </w:tc>
        <w:tc>
          <w:tcPr>
            <w:tcW w:w="208" w:type="pct"/>
            <w:vAlign w:val="center"/>
          </w:tcPr>
          <w:p w14:paraId="2AA8BFA7">
            <w:pPr>
              <w:pStyle w:val="28"/>
              <w:bidi w:val="0"/>
            </w:pPr>
            <w:r>
              <w:t>51.8</w:t>
            </w:r>
          </w:p>
        </w:tc>
        <w:tc>
          <w:tcPr>
            <w:tcW w:w="211" w:type="pct"/>
            <w:vAlign w:val="center"/>
          </w:tcPr>
          <w:p w14:paraId="23138D47">
            <w:pPr>
              <w:pStyle w:val="28"/>
              <w:bidi w:val="0"/>
            </w:pPr>
            <w:r>
              <w:t>42.4</w:t>
            </w:r>
          </w:p>
        </w:tc>
        <w:tc>
          <w:tcPr>
            <w:tcW w:w="208" w:type="pct"/>
            <w:vAlign w:val="center"/>
          </w:tcPr>
          <w:p w14:paraId="7F19AD32">
            <w:pPr>
              <w:pStyle w:val="28"/>
              <w:bidi w:val="0"/>
            </w:pPr>
            <w:r>
              <w:t>55</w:t>
            </w:r>
          </w:p>
        </w:tc>
        <w:tc>
          <w:tcPr>
            <w:tcW w:w="211" w:type="pct"/>
            <w:vAlign w:val="center"/>
          </w:tcPr>
          <w:p w14:paraId="6AFC3A3D">
            <w:pPr>
              <w:pStyle w:val="28"/>
              <w:bidi w:val="0"/>
            </w:pPr>
            <w:r>
              <w:t>45</w:t>
            </w:r>
          </w:p>
        </w:tc>
        <w:tc>
          <w:tcPr>
            <w:tcW w:w="276" w:type="pct"/>
            <w:vAlign w:val="center"/>
          </w:tcPr>
          <w:p w14:paraId="4F1CE7E2">
            <w:pPr>
              <w:pStyle w:val="28"/>
              <w:bidi w:val="0"/>
            </w:pPr>
            <w:r>
              <w:t>67.2</w:t>
            </w:r>
          </w:p>
        </w:tc>
        <w:tc>
          <w:tcPr>
            <w:tcW w:w="257" w:type="pct"/>
            <w:vAlign w:val="center"/>
          </w:tcPr>
          <w:p w14:paraId="66FBF71B">
            <w:pPr>
              <w:pStyle w:val="28"/>
              <w:bidi w:val="0"/>
            </w:pPr>
            <w:r>
              <w:t>47.2</w:t>
            </w:r>
          </w:p>
        </w:tc>
        <w:tc>
          <w:tcPr>
            <w:tcW w:w="257" w:type="pct"/>
            <w:vAlign w:val="center"/>
          </w:tcPr>
          <w:p w14:paraId="253F4991">
            <w:pPr>
              <w:pStyle w:val="28"/>
              <w:bidi w:val="0"/>
            </w:pPr>
            <w:r>
              <w:t>53.1</w:t>
            </w:r>
          </w:p>
        </w:tc>
        <w:tc>
          <w:tcPr>
            <w:tcW w:w="257" w:type="pct"/>
            <w:vAlign w:val="center"/>
          </w:tcPr>
          <w:p w14:paraId="3C1D5DCA">
            <w:pPr>
              <w:pStyle w:val="28"/>
              <w:bidi w:val="0"/>
            </w:pPr>
            <w:r>
              <w:t>1.3</w:t>
            </w:r>
          </w:p>
        </w:tc>
        <w:tc>
          <w:tcPr>
            <w:tcW w:w="209" w:type="pct"/>
            <w:vAlign w:val="center"/>
          </w:tcPr>
          <w:p w14:paraId="55BCB949">
            <w:pPr>
              <w:pStyle w:val="28"/>
              <w:bidi w:val="0"/>
            </w:pPr>
            <w:r>
              <w:t>达标</w:t>
            </w:r>
          </w:p>
        </w:tc>
      </w:tr>
      <w:tr w14:paraId="5F884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492364E">
            <w:pPr>
              <w:pStyle w:val="28"/>
              <w:bidi w:val="0"/>
            </w:pPr>
            <w:r>
              <w:rPr>
                <w:rFonts w:hint="eastAsia"/>
              </w:rPr>
              <w:t>鲍小郢</w:t>
            </w:r>
          </w:p>
        </w:tc>
        <w:tc>
          <w:tcPr>
            <w:tcW w:w="511" w:type="pct"/>
            <w:vAlign w:val="center"/>
          </w:tcPr>
          <w:p w14:paraId="488D6D25">
            <w:pPr>
              <w:pStyle w:val="28"/>
              <w:bidi w:val="0"/>
            </w:pPr>
            <w:r>
              <w:rPr>
                <w:rFonts w:hint="eastAsia"/>
              </w:rPr>
              <w:t>放水涵拆建</w:t>
            </w:r>
          </w:p>
        </w:tc>
        <w:tc>
          <w:tcPr>
            <w:tcW w:w="366" w:type="pct"/>
            <w:vAlign w:val="center"/>
          </w:tcPr>
          <w:p w14:paraId="5A3A5F87">
            <w:pPr>
              <w:pStyle w:val="28"/>
              <w:bidi w:val="0"/>
            </w:pPr>
            <w:r>
              <w:t>30</w:t>
            </w:r>
          </w:p>
        </w:tc>
        <w:tc>
          <w:tcPr>
            <w:tcW w:w="268" w:type="pct"/>
            <w:vAlign w:val="center"/>
          </w:tcPr>
          <w:p w14:paraId="6B22BB2F">
            <w:pPr>
              <w:pStyle w:val="28"/>
              <w:bidi w:val="0"/>
            </w:pPr>
            <w:r>
              <w:rPr>
                <w:rFonts w:hint="eastAsia"/>
              </w:rPr>
              <w:t>左岸</w:t>
            </w:r>
          </w:p>
        </w:tc>
        <w:tc>
          <w:tcPr>
            <w:tcW w:w="262" w:type="pct"/>
            <w:vAlign w:val="center"/>
          </w:tcPr>
          <w:p w14:paraId="402A1D35">
            <w:pPr>
              <w:pStyle w:val="28"/>
              <w:bidi w:val="0"/>
            </w:pPr>
            <w:r>
              <w:t>1</w:t>
            </w:r>
            <w:r>
              <w:rPr>
                <w:rFonts w:hint="eastAsia"/>
              </w:rPr>
              <w:t>类</w:t>
            </w:r>
          </w:p>
        </w:tc>
        <w:tc>
          <w:tcPr>
            <w:tcW w:w="809" w:type="pct"/>
            <w:vMerge w:val="continue"/>
            <w:vAlign w:val="center"/>
          </w:tcPr>
          <w:p w14:paraId="4FF559D2">
            <w:pPr>
              <w:pStyle w:val="28"/>
              <w:bidi w:val="0"/>
            </w:pPr>
          </w:p>
        </w:tc>
        <w:tc>
          <w:tcPr>
            <w:tcW w:w="208" w:type="pct"/>
            <w:vAlign w:val="center"/>
          </w:tcPr>
          <w:p w14:paraId="6B3FCB97">
            <w:pPr>
              <w:pStyle w:val="28"/>
              <w:bidi w:val="0"/>
            </w:pPr>
            <w:r>
              <w:t>51.8</w:t>
            </w:r>
          </w:p>
        </w:tc>
        <w:tc>
          <w:tcPr>
            <w:tcW w:w="211" w:type="pct"/>
            <w:vAlign w:val="center"/>
          </w:tcPr>
          <w:p w14:paraId="11032054">
            <w:pPr>
              <w:pStyle w:val="28"/>
              <w:bidi w:val="0"/>
            </w:pPr>
            <w:r>
              <w:t>42.4</w:t>
            </w:r>
          </w:p>
        </w:tc>
        <w:tc>
          <w:tcPr>
            <w:tcW w:w="208" w:type="pct"/>
            <w:vAlign w:val="center"/>
          </w:tcPr>
          <w:p w14:paraId="3CEE6043">
            <w:pPr>
              <w:pStyle w:val="28"/>
              <w:bidi w:val="0"/>
            </w:pPr>
            <w:r>
              <w:t>55</w:t>
            </w:r>
          </w:p>
        </w:tc>
        <w:tc>
          <w:tcPr>
            <w:tcW w:w="211" w:type="pct"/>
            <w:vAlign w:val="center"/>
          </w:tcPr>
          <w:p w14:paraId="17B3FCA5">
            <w:pPr>
              <w:pStyle w:val="28"/>
              <w:bidi w:val="0"/>
            </w:pPr>
            <w:r>
              <w:t>45</w:t>
            </w:r>
          </w:p>
        </w:tc>
        <w:tc>
          <w:tcPr>
            <w:tcW w:w="276" w:type="pct"/>
            <w:vAlign w:val="center"/>
          </w:tcPr>
          <w:p w14:paraId="4ABB3A37">
            <w:pPr>
              <w:pStyle w:val="28"/>
              <w:bidi w:val="0"/>
            </w:pPr>
            <w:r>
              <w:t>63.7</w:t>
            </w:r>
          </w:p>
        </w:tc>
        <w:tc>
          <w:tcPr>
            <w:tcW w:w="257" w:type="pct"/>
            <w:vAlign w:val="center"/>
          </w:tcPr>
          <w:p w14:paraId="205622DC">
            <w:pPr>
              <w:pStyle w:val="28"/>
              <w:bidi w:val="0"/>
            </w:pPr>
            <w:r>
              <w:t>43.7</w:t>
            </w:r>
          </w:p>
        </w:tc>
        <w:tc>
          <w:tcPr>
            <w:tcW w:w="257" w:type="pct"/>
            <w:vAlign w:val="center"/>
          </w:tcPr>
          <w:p w14:paraId="1A53E9DA">
            <w:pPr>
              <w:pStyle w:val="28"/>
              <w:bidi w:val="0"/>
            </w:pPr>
            <w:r>
              <w:t>52.4</w:t>
            </w:r>
          </w:p>
        </w:tc>
        <w:tc>
          <w:tcPr>
            <w:tcW w:w="257" w:type="pct"/>
            <w:vAlign w:val="center"/>
          </w:tcPr>
          <w:p w14:paraId="335D8C23">
            <w:pPr>
              <w:pStyle w:val="28"/>
              <w:bidi w:val="0"/>
            </w:pPr>
            <w:r>
              <w:t>0.6</w:t>
            </w:r>
          </w:p>
        </w:tc>
        <w:tc>
          <w:tcPr>
            <w:tcW w:w="209" w:type="pct"/>
            <w:vAlign w:val="center"/>
          </w:tcPr>
          <w:p w14:paraId="6BC829F7">
            <w:pPr>
              <w:pStyle w:val="28"/>
              <w:bidi w:val="0"/>
            </w:pPr>
            <w:r>
              <w:t>达标</w:t>
            </w:r>
          </w:p>
        </w:tc>
      </w:tr>
      <w:tr w14:paraId="6A386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E4C6526">
            <w:pPr>
              <w:pStyle w:val="28"/>
              <w:bidi w:val="0"/>
            </w:pPr>
            <w:r>
              <w:rPr>
                <w:rFonts w:hint="eastAsia"/>
              </w:rPr>
              <w:t>鲍大郢</w:t>
            </w:r>
          </w:p>
        </w:tc>
        <w:tc>
          <w:tcPr>
            <w:tcW w:w="511" w:type="pct"/>
            <w:vAlign w:val="center"/>
          </w:tcPr>
          <w:p w14:paraId="0CABA204">
            <w:pPr>
              <w:pStyle w:val="28"/>
              <w:bidi w:val="0"/>
            </w:pPr>
            <w:r>
              <w:rPr>
                <w:rFonts w:hint="eastAsia"/>
              </w:rPr>
              <w:t>机耕桥拆建</w:t>
            </w:r>
          </w:p>
        </w:tc>
        <w:tc>
          <w:tcPr>
            <w:tcW w:w="366" w:type="pct"/>
            <w:vAlign w:val="center"/>
          </w:tcPr>
          <w:p w14:paraId="51DD6F3A">
            <w:pPr>
              <w:pStyle w:val="28"/>
              <w:bidi w:val="0"/>
            </w:pPr>
            <w:r>
              <w:t>20</w:t>
            </w:r>
          </w:p>
        </w:tc>
        <w:tc>
          <w:tcPr>
            <w:tcW w:w="268" w:type="pct"/>
            <w:vAlign w:val="center"/>
          </w:tcPr>
          <w:p w14:paraId="762CD054">
            <w:pPr>
              <w:pStyle w:val="28"/>
              <w:bidi w:val="0"/>
            </w:pPr>
            <w:r>
              <w:rPr>
                <w:rFonts w:hint="eastAsia"/>
              </w:rPr>
              <w:t>左岸</w:t>
            </w:r>
          </w:p>
        </w:tc>
        <w:tc>
          <w:tcPr>
            <w:tcW w:w="262" w:type="pct"/>
            <w:vAlign w:val="center"/>
          </w:tcPr>
          <w:p w14:paraId="1B0A21F9">
            <w:pPr>
              <w:pStyle w:val="28"/>
              <w:bidi w:val="0"/>
            </w:pPr>
            <w:r>
              <w:t>1</w:t>
            </w:r>
            <w:r>
              <w:rPr>
                <w:rFonts w:hint="eastAsia"/>
              </w:rPr>
              <w:t>类</w:t>
            </w:r>
          </w:p>
        </w:tc>
        <w:tc>
          <w:tcPr>
            <w:tcW w:w="809" w:type="pct"/>
            <w:vMerge w:val="continue"/>
            <w:vAlign w:val="center"/>
          </w:tcPr>
          <w:p w14:paraId="21EE3997">
            <w:pPr>
              <w:pStyle w:val="28"/>
              <w:bidi w:val="0"/>
            </w:pPr>
          </w:p>
        </w:tc>
        <w:tc>
          <w:tcPr>
            <w:tcW w:w="208" w:type="pct"/>
            <w:vAlign w:val="center"/>
          </w:tcPr>
          <w:p w14:paraId="5CCC669A">
            <w:pPr>
              <w:pStyle w:val="28"/>
              <w:bidi w:val="0"/>
            </w:pPr>
            <w:r>
              <w:t>51.8</w:t>
            </w:r>
          </w:p>
        </w:tc>
        <w:tc>
          <w:tcPr>
            <w:tcW w:w="211" w:type="pct"/>
            <w:vAlign w:val="center"/>
          </w:tcPr>
          <w:p w14:paraId="03FEB8AD">
            <w:pPr>
              <w:pStyle w:val="28"/>
              <w:bidi w:val="0"/>
            </w:pPr>
            <w:r>
              <w:t>42.4</w:t>
            </w:r>
          </w:p>
        </w:tc>
        <w:tc>
          <w:tcPr>
            <w:tcW w:w="208" w:type="pct"/>
            <w:vAlign w:val="center"/>
          </w:tcPr>
          <w:p w14:paraId="2EDCA7C9">
            <w:pPr>
              <w:pStyle w:val="28"/>
              <w:bidi w:val="0"/>
            </w:pPr>
            <w:r>
              <w:t>55</w:t>
            </w:r>
          </w:p>
        </w:tc>
        <w:tc>
          <w:tcPr>
            <w:tcW w:w="211" w:type="pct"/>
            <w:vAlign w:val="center"/>
          </w:tcPr>
          <w:p w14:paraId="54045CE8">
            <w:pPr>
              <w:pStyle w:val="28"/>
              <w:bidi w:val="0"/>
            </w:pPr>
            <w:r>
              <w:t>45</w:t>
            </w:r>
          </w:p>
        </w:tc>
        <w:tc>
          <w:tcPr>
            <w:tcW w:w="276" w:type="pct"/>
            <w:vAlign w:val="center"/>
          </w:tcPr>
          <w:p w14:paraId="0EC7A5C4">
            <w:pPr>
              <w:pStyle w:val="28"/>
              <w:bidi w:val="0"/>
            </w:pPr>
            <w:r>
              <w:t>67.2</w:t>
            </w:r>
          </w:p>
        </w:tc>
        <w:tc>
          <w:tcPr>
            <w:tcW w:w="257" w:type="pct"/>
            <w:vAlign w:val="center"/>
          </w:tcPr>
          <w:p w14:paraId="6868B6AD">
            <w:pPr>
              <w:pStyle w:val="28"/>
              <w:bidi w:val="0"/>
            </w:pPr>
            <w:r>
              <w:t>47.2</w:t>
            </w:r>
          </w:p>
        </w:tc>
        <w:tc>
          <w:tcPr>
            <w:tcW w:w="257" w:type="pct"/>
            <w:vAlign w:val="center"/>
          </w:tcPr>
          <w:p w14:paraId="088543B5">
            <w:pPr>
              <w:pStyle w:val="28"/>
              <w:bidi w:val="0"/>
            </w:pPr>
            <w:r>
              <w:t>53.1</w:t>
            </w:r>
          </w:p>
        </w:tc>
        <w:tc>
          <w:tcPr>
            <w:tcW w:w="257" w:type="pct"/>
            <w:vAlign w:val="center"/>
          </w:tcPr>
          <w:p w14:paraId="6046805D">
            <w:pPr>
              <w:pStyle w:val="28"/>
              <w:bidi w:val="0"/>
            </w:pPr>
            <w:r>
              <w:t>1.3</w:t>
            </w:r>
          </w:p>
        </w:tc>
        <w:tc>
          <w:tcPr>
            <w:tcW w:w="209" w:type="pct"/>
            <w:vAlign w:val="center"/>
          </w:tcPr>
          <w:p w14:paraId="6C4D6B79">
            <w:pPr>
              <w:pStyle w:val="28"/>
              <w:bidi w:val="0"/>
            </w:pPr>
            <w:r>
              <w:t>达标</w:t>
            </w:r>
          </w:p>
        </w:tc>
      </w:tr>
      <w:tr w14:paraId="0C92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BD35715">
            <w:pPr>
              <w:pStyle w:val="28"/>
              <w:bidi w:val="0"/>
            </w:pPr>
            <w:r>
              <w:rPr>
                <w:rFonts w:hint="eastAsia"/>
              </w:rPr>
              <w:t>七里井</w:t>
            </w:r>
          </w:p>
        </w:tc>
        <w:tc>
          <w:tcPr>
            <w:tcW w:w="511" w:type="pct"/>
            <w:vAlign w:val="center"/>
          </w:tcPr>
          <w:p w14:paraId="2E5E3546">
            <w:pPr>
              <w:pStyle w:val="28"/>
              <w:bidi w:val="0"/>
            </w:pPr>
            <w:r>
              <w:rPr>
                <w:rFonts w:hint="eastAsia"/>
              </w:rPr>
              <w:t>放水涵拆建</w:t>
            </w:r>
          </w:p>
        </w:tc>
        <w:tc>
          <w:tcPr>
            <w:tcW w:w="366" w:type="pct"/>
            <w:vAlign w:val="center"/>
          </w:tcPr>
          <w:p w14:paraId="2E6095EC">
            <w:pPr>
              <w:pStyle w:val="28"/>
              <w:bidi w:val="0"/>
            </w:pPr>
            <w:r>
              <w:t>20</w:t>
            </w:r>
          </w:p>
        </w:tc>
        <w:tc>
          <w:tcPr>
            <w:tcW w:w="268" w:type="pct"/>
            <w:vAlign w:val="center"/>
          </w:tcPr>
          <w:p w14:paraId="5BC55800">
            <w:pPr>
              <w:pStyle w:val="28"/>
              <w:bidi w:val="0"/>
            </w:pPr>
            <w:r>
              <w:rPr>
                <w:rFonts w:hint="eastAsia"/>
              </w:rPr>
              <w:t>左岸</w:t>
            </w:r>
          </w:p>
        </w:tc>
        <w:tc>
          <w:tcPr>
            <w:tcW w:w="262" w:type="pct"/>
            <w:vAlign w:val="center"/>
          </w:tcPr>
          <w:p w14:paraId="409799DE">
            <w:pPr>
              <w:pStyle w:val="28"/>
              <w:bidi w:val="0"/>
            </w:pPr>
            <w:r>
              <w:t>1</w:t>
            </w:r>
            <w:r>
              <w:rPr>
                <w:rFonts w:hint="eastAsia"/>
              </w:rPr>
              <w:t>类</w:t>
            </w:r>
          </w:p>
        </w:tc>
        <w:tc>
          <w:tcPr>
            <w:tcW w:w="809" w:type="pct"/>
            <w:vMerge w:val="continue"/>
            <w:vAlign w:val="center"/>
          </w:tcPr>
          <w:p w14:paraId="79EFA839">
            <w:pPr>
              <w:pStyle w:val="28"/>
              <w:bidi w:val="0"/>
            </w:pPr>
          </w:p>
        </w:tc>
        <w:tc>
          <w:tcPr>
            <w:tcW w:w="208" w:type="pct"/>
            <w:vAlign w:val="center"/>
          </w:tcPr>
          <w:p w14:paraId="4D3293D9">
            <w:pPr>
              <w:pStyle w:val="28"/>
              <w:bidi w:val="0"/>
            </w:pPr>
            <w:r>
              <w:t>51.8</w:t>
            </w:r>
          </w:p>
        </w:tc>
        <w:tc>
          <w:tcPr>
            <w:tcW w:w="211" w:type="pct"/>
            <w:vAlign w:val="center"/>
          </w:tcPr>
          <w:p w14:paraId="40D4BE92">
            <w:pPr>
              <w:pStyle w:val="28"/>
              <w:bidi w:val="0"/>
            </w:pPr>
            <w:r>
              <w:t>42.4</w:t>
            </w:r>
          </w:p>
        </w:tc>
        <w:tc>
          <w:tcPr>
            <w:tcW w:w="208" w:type="pct"/>
            <w:vAlign w:val="center"/>
          </w:tcPr>
          <w:p w14:paraId="31FE7EFF">
            <w:pPr>
              <w:pStyle w:val="28"/>
              <w:bidi w:val="0"/>
            </w:pPr>
            <w:r>
              <w:t>55</w:t>
            </w:r>
          </w:p>
        </w:tc>
        <w:tc>
          <w:tcPr>
            <w:tcW w:w="211" w:type="pct"/>
            <w:vAlign w:val="center"/>
          </w:tcPr>
          <w:p w14:paraId="758C2EF5">
            <w:pPr>
              <w:pStyle w:val="28"/>
              <w:bidi w:val="0"/>
            </w:pPr>
            <w:r>
              <w:t>45</w:t>
            </w:r>
          </w:p>
        </w:tc>
        <w:tc>
          <w:tcPr>
            <w:tcW w:w="276" w:type="pct"/>
            <w:vAlign w:val="center"/>
          </w:tcPr>
          <w:p w14:paraId="618D58E5">
            <w:pPr>
              <w:pStyle w:val="28"/>
              <w:bidi w:val="0"/>
            </w:pPr>
            <w:r>
              <w:t>67.2</w:t>
            </w:r>
          </w:p>
        </w:tc>
        <w:tc>
          <w:tcPr>
            <w:tcW w:w="257" w:type="pct"/>
            <w:vAlign w:val="center"/>
          </w:tcPr>
          <w:p w14:paraId="246A3979">
            <w:pPr>
              <w:pStyle w:val="28"/>
              <w:bidi w:val="0"/>
            </w:pPr>
            <w:r>
              <w:t>47.2</w:t>
            </w:r>
          </w:p>
        </w:tc>
        <w:tc>
          <w:tcPr>
            <w:tcW w:w="257" w:type="pct"/>
            <w:vAlign w:val="center"/>
          </w:tcPr>
          <w:p w14:paraId="20349907">
            <w:pPr>
              <w:pStyle w:val="28"/>
              <w:bidi w:val="0"/>
            </w:pPr>
            <w:r>
              <w:t>53.1</w:t>
            </w:r>
          </w:p>
        </w:tc>
        <w:tc>
          <w:tcPr>
            <w:tcW w:w="257" w:type="pct"/>
            <w:vAlign w:val="center"/>
          </w:tcPr>
          <w:p w14:paraId="55545C48">
            <w:pPr>
              <w:pStyle w:val="28"/>
              <w:bidi w:val="0"/>
            </w:pPr>
            <w:r>
              <w:t>1.3</w:t>
            </w:r>
          </w:p>
        </w:tc>
        <w:tc>
          <w:tcPr>
            <w:tcW w:w="209" w:type="pct"/>
            <w:vAlign w:val="center"/>
          </w:tcPr>
          <w:p w14:paraId="1798D333">
            <w:pPr>
              <w:pStyle w:val="28"/>
              <w:bidi w:val="0"/>
            </w:pPr>
            <w:r>
              <w:t>达标</w:t>
            </w:r>
          </w:p>
        </w:tc>
      </w:tr>
      <w:tr w14:paraId="0DDCE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51DB8E0">
            <w:pPr>
              <w:pStyle w:val="28"/>
              <w:bidi w:val="0"/>
            </w:pPr>
            <w:r>
              <w:rPr>
                <w:rFonts w:hint="eastAsia"/>
              </w:rPr>
              <w:t>刘郢</w:t>
            </w:r>
          </w:p>
        </w:tc>
        <w:tc>
          <w:tcPr>
            <w:tcW w:w="511" w:type="pct"/>
            <w:vAlign w:val="center"/>
          </w:tcPr>
          <w:p w14:paraId="161CB88B">
            <w:pPr>
              <w:pStyle w:val="28"/>
              <w:bidi w:val="0"/>
            </w:pPr>
            <w:r>
              <w:rPr>
                <w:rFonts w:hint="eastAsia"/>
              </w:rPr>
              <w:t>进水闸拆建</w:t>
            </w:r>
          </w:p>
        </w:tc>
        <w:tc>
          <w:tcPr>
            <w:tcW w:w="366" w:type="pct"/>
            <w:vAlign w:val="center"/>
          </w:tcPr>
          <w:p w14:paraId="60B1CA11">
            <w:pPr>
              <w:pStyle w:val="28"/>
              <w:bidi w:val="0"/>
            </w:pPr>
            <w:r>
              <w:t>50</w:t>
            </w:r>
          </w:p>
        </w:tc>
        <w:tc>
          <w:tcPr>
            <w:tcW w:w="268" w:type="pct"/>
            <w:vAlign w:val="center"/>
          </w:tcPr>
          <w:p w14:paraId="2A901B2A">
            <w:pPr>
              <w:pStyle w:val="28"/>
              <w:bidi w:val="0"/>
            </w:pPr>
            <w:r>
              <w:rPr>
                <w:rFonts w:hint="eastAsia"/>
              </w:rPr>
              <w:t>右岸</w:t>
            </w:r>
          </w:p>
        </w:tc>
        <w:tc>
          <w:tcPr>
            <w:tcW w:w="262" w:type="pct"/>
            <w:vAlign w:val="center"/>
          </w:tcPr>
          <w:p w14:paraId="0A199F1C">
            <w:pPr>
              <w:pStyle w:val="28"/>
              <w:bidi w:val="0"/>
            </w:pPr>
            <w:r>
              <w:t>1</w:t>
            </w:r>
            <w:r>
              <w:rPr>
                <w:rFonts w:hint="eastAsia"/>
              </w:rPr>
              <w:t>类</w:t>
            </w:r>
          </w:p>
        </w:tc>
        <w:tc>
          <w:tcPr>
            <w:tcW w:w="809" w:type="pct"/>
            <w:vAlign w:val="center"/>
          </w:tcPr>
          <w:p w14:paraId="222BB635">
            <w:pPr>
              <w:pStyle w:val="28"/>
              <w:bidi w:val="0"/>
            </w:pPr>
            <w:r>
              <w:rPr>
                <w:rFonts w:hint="eastAsia"/>
              </w:rPr>
              <w:t>采用低噪声设备，施工机械远离居民住宅</w:t>
            </w:r>
          </w:p>
        </w:tc>
        <w:tc>
          <w:tcPr>
            <w:tcW w:w="208" w:type="pct"/>
            <w:vAlign w:val="center"/>
          </w:tcPr>
          <w:p w14:paraId="192645A6">
            <w:pPr>
              <w:pStyle w:val="28"/>
              <w:bidi w:val="0"/>
            </w:pPr>
            <w:r>
              <w:t>51.8</w:t>
            </w:r>
          </w:p>
        </w:tc>
        <w:tc>
          <w:tcPr>
            <w:tcW w:w="211" w:type="pct"/>
            <w:vAlign w:val="center"/>
          </w:tcPr>
          <w:p w14:paraId="584530CC">
            <w:pPr>
              <w:pStyle w:val="28"/>
              <w:bidi w:val="0"/>
            </w:pPr>
            <w:r>
              <w:t>42.4</w:t>
            </w:r>
          </w:p>
        </w:tc>
        <w:tc>
          <w:tcPr>
            <w:tcW w:w="208" w:type="pct"/>
            <w:vAlign w:val="center"/>
          </w:tcPr>
          <w:p w14:paraId="05EF9F14">
            <w:pPr>
              <w:pStyle w:val="28"/>
              <w:bidi w:val="0"/>
            </w:pPr>
            <w:r>
              <w:t>55</w:t>
            </w:r>
          </w:p>
        </w:tc>
        <w:tc>
          <w:tcPr>
            <w:tcW w:w="211" w:type="pct"/>
            <w:vAlign w:val="center"/>
          </w:tcPr>
          <w:p w14:paraId="37D1B47D">
            <w:pPr>
              <w:pStyle w:val="28"/>
              <w:bidi w:val="0"/>
            </w:pPr>
            <w:r>
              <w:t>45</w:t>
            </w:r>
          </w:p>
        </w:tc>
        <w:tc>
          <w:tcPr>
            <w:tcW w:w="276" w:type="pct"/>
            <w:vAlign w:val="center"/>
          </w:tcPr>
          <w:p w14:paraId="466DFFBC">
            <w:pPr>
              <w:pStyle w:val="28"/>
              <w:bidi w:val="0"/>
            </w:pPr>
            <w:r>
              <w:t>59.2</w:t>
            </w:r>
          </w:p>
        </w:tc>
        <w:tc>
          <w:tcPr>
            <w:tcW w:w="257" w:type="pct"/>
            <w:vAlign w:val="center"/>
          </w:tcPr>
          <w:p w14:paraId="3AB12108">
            <w:pPr>
              <w:pStyle w:val="28"/>
              <w:bidi w:val="0"/>
            </w:pPr>
            <w:r>
              <w:t>51.2</w:t>
            </w:r>
          </w:p>
        </w:tc>
        <w:tc>
          <w:tcPr>
            <w:tcW w:w="257" w:type="pct"/>
            <w:vAlign w:val="center"/>
          </w:tcPr>
          <w:p w14:paraId="4B083D5D">
            <w:pPr>
              <w:pStyle w:val="28"/>
              <w:bidi w:val="0"/>
            </w:pPr>
            <w:r>
              <w:t>54.5</w:t>
            </w:r>
          </w:p>
        </w:tc>
        <w:tc>
          <w:tcPr>
            <w:tcW w:w="257" w:type="pct"/>
            <w:vAlign w:val="center"/>
          </w:tcPr>
          <w:p w14:paraId="02559788">
            <w:pPr>
              <w:pStyle w:val="28"/>
              <w:bidi w:val="0"/>
            </w:pPr>
            <w:r>
              <w:t>2.7</w:t>
            </w:r>
          </w:p>
        </w:tc>
        <w:tc>
          <w:tcPr>
            <w:tcW w:w="209" w:type="pct"/>
            <w:vAlign w:val="center"/>
          </w:tcPr>
          <w:p w14:paraId="0449D851">
            <w:pPr>
              <w:pStyle w:val="28"/>
              <w:bidi w:val="0"/>
            </w:pPr>
            <w:r>
              <w:t>达标</w:t>
            </w:r>
          </w:p>
        </w:tc>
      </w:tr>
      <w:tr w14:paraId="12EC9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71F10E4">
            <w:pPr>
              <w:pStyle w:val="28"/>
              <w:bidi w:val="0"/>
            </w:pPr>
            <w:r>
              <w:rPr>
                <w:rFonts w:hint="eastAsia"/>
              </w:rPr>
              <w:t>双大门</w:t>
            </w:r>
          </w:p>
        </w:tc>
        <w:tc>
          <w:tcPr>
            <w:tcW w:w="511" w:type="pct"/>
            <w:vAlign w:val="center"/>
          </w:tcPr>
          <w:p w14:paraId="78513BAE">
            <w:pPr>
              <w:pStyle w:val="28"/>
              <w:bidi w:val="0"/>
            </w:pPr>
            <w:r>
              <w:rPr>
                <w:rFonts w:hint="eastAsia"/>
              </w:rPr>
              <w:t>放水涵加固</w:t>
            </w:r>
          </w:p>
        </w:tc>
        <w:tc>
          <w:tcPr>
            <w:tcW w:w="366" w:type="pct"/>
            <w:vAlign w:val="center"/>
          </w:tcPr>
          <w:p w14:paraId="339886B0">
            <w:pPr>
              <w:pStyle w:val="28"/>
              <w:bidi w:val="0"/>
            </w:pPr>
            <w:r>
              <w:t>20</w:t>
            </w:r>
          </w:p>
        </w:tc>
        <w:tc>
          <w:tcPr>
            <w:tcW w:w="268" w:type="pct"/>
            <w:vAlign w:val="center"/>
          </w:tcPr>
          <w:p w14:paraId="0CA5D834">
            <w:pPr>
              <w:pStyle w:val="28"/>
              <w:bidi w:val="0"/>
            </w:pPr>
            <w:r>
              <w:rPr>
                <w:rFonts w:hint="eastAsia"/>
              </w:rPr>
              <w:t>右岸</w:t>
            </w:r>
          </w:p>
        </w:tc>
        <w:tc>
          <w:tcPr>
            <w:tcW w:w="262" w:type="pct"/>
            <w:vAlign w:val="center"/>
          </w:tcPr>
          <w:p w14:paraId="17EF2A7F">
            <w:pPr>
              <w:pStyle w:val="28"/>
              <w:bidi w:val="0"/>
            </w:pPr>
            <w:r>
              <w:t>1</w:t>
            </w:r>
            <w:r>
              <w:rPr>
                <w:rFonts w:hint="eastAsia"/>
              </w:rPr>
              <w:t>类</w:t>
            </w:r>
          </w:p>
        </w:tc>
        <w:tc>
          <w:tcPr>
            <w:tcW w:w="809" w:type="pct"/>
            <w:vMerge w:val="restart"/>
            <w:vAlign w:val="center"/>
          </w:tcPr>
          <w:p w14:paraId="20BDAC35">
            <w:pPr>
              <w:pStyle w:val="28"/>
              <w:bidi w:val="0"/>
            </w:pPr>
            <w:r>
              <w:rPr>
                <w:rFonts w:hint="eastAsia"/>
              </w:rPr>
              <w:t>采用低噪声设备，施工机械远离居民住宅，设置双层移动声屏障</w:t>
            </w:r>
          </w:p>
        </w:tc>
        <w:tc>
          <w:tcPr>
            <w:tcW w:w="208" w:type="pct"/>
            <w:vAlign w:val="center"/>
          </w:tcPr>
          <w:p w14:paraId="337C8C64">
            <w:pPr>
              <w:pStyle w:val="28"/>
              <w:bidi w:val="0"/>
            </w:pPr>
            <w:r>
              <w:t>51.8</w:t>
            </w:r>
          </w:p>
        </w:tc>
        <w:tc>
          <w:tcPr>
            <w:tcW w:w="211" w:type="pct"/>
            <w:vAlign w:val="center"/>
          </w:tcPr>
          <w:p w14:paraId="71170BA1">
            <w:pPr>
              <w:pStyle w:val="28"/>
              <w:bidi w:val="0"/>
            </w:pPr>
            <w:r>
              <w:t>42.4</w:t>
            </w:r>
          </w:p>
        </w:tc>
        <w:tc>
          <w:tcPr>
            <w:tcW w:w="208" w:type="pct"/>
            <w:vAlign w:val="center"/>
          </w:tcPr>
          <w:p w14:paraId="1F65B7CA">
            <w:pPr>
              <w:pStyle w:val="28"/>
              <w:bidi w:val="0"/>
            </w:pPr>
            <w:r>
              <w:t>55</w:t>
            </w:r>
          </w:p>
        </w:tc>
        <w:tc>
          <w:tcPr>
            <w:tcW w:w="211" w:type="pct"/>
            <w:vAlign w:val="center"/>
          </w:tcPr>
          <w:p w14:paraId="2CE3DCD1">
            <w:pPr>
              <w:pStyle w:val="28"/>
              <w:bidi w:val="0"/>
            </w:pPr>
            <w:r>
              <w:t>45</w:t>
            </w:r>
          </w:p>
        </w:tc>
        <w:tc>
          <w:tcPr>
            <w:tcW w:w="276" w:type="pct"/>
            <w:vAlign w:val="center"/>
          </w:tcPr>
          <w:p w14:paraId="26C3899E">
            <w:pPr>
              <w:pStyle w:val="28"/>
              <w:bidi w:val="0"/>
            </w:pPr>
            <w:r>
              <w:t>67.2</w:t>
            </w:r>
          </w:p>
        </w:tc>
        <w:tc>
          <w:tcPr>
            <w:tcW w:w="257" w:type="pct"/>
            <w:vAlign w:val="center"/>
          </w:tcPr>
          <w:p w14:paraId="5052FE74">
            <w:pPr>
              <w:pStyle w:val="28"/>
              <w:bidi w:val="0"/>
            </w:pPr>
            <w:r>
              <w:t>47.2</w:t>
            </w:r>
          </w:p>
        </w:tc>
        <w:tc>
          <w:tcPr>
            <w:tcW w:w="257" w:type="pct"/>
            <w:vAlign w:val="center"/>
          </w:tcPr>
          <w:p w14:paraId="724D0700">
            <w:pPr>
              <w:pStyle w:val="28"/>
              <w:bidi w:val="0"/>
            </w:pPr>
            <w:r>
              <w:t>53.1</w:t>
            </w:r>
          </w:p>
        </w:tc>
        <w:tc>
          <w:tcPr>
            <w:tcW w:w="257" w:type="pct"/>
            <w:vAlign w:val="center"/>
          </w:tcPr>
          <w:p w14:paraId="2B82B3ED">
            <w:pPr>
              <w:pStyle w:val="28"/>
              <w:bidi w:val="0"/>
            </w:pPr>
            <w:r>
              <w:t>1.3</w:t>
            </w:r>
          </w:p>
        </w:tc>
        <w:tc>
          <w:tcPr>
            <w:tcW w:w="209" w:type="pct"/>
            <w:vAlign w:val="center"/>
          </w:tcPr>
          <w:p w14:paraId="739B191F">
            <w:pPr>
              <w:pStyle w:val="28"/>
              <w:bidi w:val="0"/>
            </w:pPr>
            <w:r>
              <w:t>达标</w:t>
            </w:r>
          </w:p>
        </w:tc>
      </w:tr>
      <w:tr w14:paraId="4A078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402F4B8">
            <w:pPr>
              <w:pStyle w:val="28"/>
              <w:bidi w:val="0"/>
            </w:pPr>
            <w:r>
              <w:rPr>
                <w:rFonts w:hint="eastAsia"/>
              </w:rPr>
              <w:t>左郢</w:t>
            </w:r>
          </w:p>
        </w:tc>
        <w:tc>
          <w:tcPr>
            <w:tcW w:w="511" w:type="pct"/>
            <w:vAlign w:val="center"/>
          </w:tcPr>
          <w:p w14:paraId="2B5096B4">
            <w:pPr>
              <w:pStyle w:val="28"/>
              <w:bidi w:val="0"/>
            </w:pPr>
            <w:r>
              <w:rPr>
                <w:rFonts w:hint="eastAsia"/>
              </w:rPr>
              <w:t>放水涵加固</w:t>
            </w:r>
          </w:p>
        </w:tc>
        <w:tc>
          <w:tcPr>
            <w:tcW w:w="366" w:type="pct"/>
            <w:vAlign w:val="center"/>
          </w:tcPr>
          <w:p w14:paraId="17D1CC43">
            <w:pPr>
              <w:pStyle w:val="28"/>
              <w:bidi w:val="0"/>
            </w:pPr>
            <w:r>
              <w:t>20</w:t>
            </w:r>
          </w:p>
        </w:tc>
        <w:tc>
          <w:tcPr>
            <w:tcW w:w="268" w:type="pct"/>
            <w:vAlign w:val="center"/>
          </w:tcPr>
          <w:p w14:paraId="6E79A014">
            <w:pPr>
              <w:pStyle w:val="28"/>
              <w:bidi w:val="0"/>
            </w:pPr>
            <w:r>
              <w:rPr>
                <w:rFonts w:hint="eastAsia"/>
              </w:rPr>
              <w:t>右岸</w:t>
            </w:r>
          </w:p>
        </w:tc>
        <w:tc>
          <w:tcPr>
            <w:tcW w:w="262" w:type="pct"/>
            <w:vAlign w:val="center"/>
          </w:tcPr>
          <w:p w14:paraId="0CE704C0">
            <w:pPr>
              <w:pStyle w:val="28"/>
              <w:bidi w:val="0"/>
            </w:pPr>
            <w:r>
              <w:t>1</w:t>
            </w:r>
            <w:r>
              <w:rPr>
                <w:rFonts w:hint="eastAsia"/>
              </w:rPr>
              <w:t>类</w:t>
            </w:r>
          </w:p>
        </w:tc>
        <w:tc>
          <w:tcPr>
            <w:tcW w:w="809" w:type="pct"/>
            <w:vMerge w:val="continue"/>
            <w:vAlign w:val="center"/>
          </w:tcPr>
          <w:p w14:paraId="0CB0FA47">
            <w:pPr>
              <w:pStyle w:val="28"/>
              <w:bidi w:val="0"/>
            </w:pPr>
          </w:p>
        </w:tc>
        <w:tc>
          <w:tcPr>
            <w:tcW w:w="208" w:type="pct"/>
            <w:vAlign w:val="center"/>
          </w:tcPr>
          <w:p w14:paraId="71AB2D67">
            <w:pPr>
              <w:pStyle w:val="28"/>
              <w:bidi w:val="0"/>
            </w:pPr>
            <w:r>
              <w:t>51.8</w:t>
            </w:r>
          </w:p>
        </w:tc>
        <w:tc>
          <w:tcPr>
            <w:tcW w:w="211" w:type="pct"/>
            <w:vAlign w:val="center"/>
          </w:tcPr>
          <w:p w14:paraId="209ECC7D">
            <w:pPr>
              <w:pStyle w:val="28"/>
              <w:bidi w:val="0"/>
            </w:pPr>
            <w:r>
              <w:t>42.4</w:t>
            </w:r>
          </w:p>
        </w:tc>
        <w:tc>
          <w:tcPr>
            <w:tcW w:w="208" w:type="pct"/>
            <w:vAlign w:val="center"/>
          </w:tcPr>
          <w:p w14:paraId="65FBCDB9">
            <w:pPr>
              <w:pStyle w:val="28"/>
              <w:bidi w:val="0"/>
            </w:pPr>
            <w:r>
              <w:t>55</w:t>
            </w:r>
          </w:p>
        </w:tc>
        <w:tc>
          <w:tcPr>
            <w:tcW w:w="211" w:type="pct"/>
            <w:vAlign w:val="center"/>
          </w:tcPr>
          <w:p w14:paraId="4D3F0328">
            <w:pPr>
              <w:pStyle w:val="28"/>
              <w:bidi w:val="0"/>
            </w:pPr>
            <w:r>
              <w:t>45</w:t>
            </w:r>
          </w:p>
        </w:tc>
        <w:tc>
          <w:tcPr>
            <w:tcW w:w="276" w:type="pct"/>
            <w:vAlign w:val="center"/>
          </w:tcPr>
          <w:p w14:paraId="1AFB1230">
            <w:pPr>
              <w:pStyle w:val="28"/>
              <w:bidi w:val="0"/>
            </w:pPr>
            <w:r>
              <w:t>67.2</w:t>
            </w:r>
          </w:p>
        </w:tc>
        <w:tc>
          <w:tcPr>
            <w:tcW w:w="257" w:type="pct"/>
            <w:vAlign w:val="center"/>
          </w:tcPr>
          <w:p w14:paraId="595174D3">
            <w:pPr>
              <w:pStyle w:val="28"/>
              <w:bidi w:val="0"/>
            </w:pPr>
            <w:r>
              <w:t>47.2</w:t>
            </w:r>
          </w:p>
        </w:tc>
        <w:tc>
          <w:tcPr>
            <w:tcW w:w="257" w:type="pct"/>
            <w:vAlign w:val="center"/>
          </w:tcPr>
          <w:p w14:paraId="1A8F0FDB">
            <w:pPr>
              <w:pStyle w:val="28"/>
              <w:bidi w:val="0"/>
            </w:pPr>
            <w:r>
              <w:t>53.1</w:t>
            </w:r>
          </w:p>
        </w:tc>
        <w:tc>
          <w:tcPr>
            <w:tcW w:w="257" w:type="pct"/>
            <w:vAlign w:val="center"/>
          </w:tcPr>
          <w:p w14:paraId="4CE65113">
            <w:pPr>
              <w:pStyle w:val="28"/>
              <w:bidi w:val="0"/>
            </w:pPr>
            <w:r>
              <w:t>1.3</w:t>
            </w:r>
          </w:p>
        </w:tc>
        <w:tc>
          <w:tcPr>
            <w:tcW w:w="209" w:type="pct"/>
            <w:vAlign w:val="center"/>
          </w:tcPr>
          <w:p w14:paraId="5970FC35">
            <w:pPr>
              <w:pStyle w:val="28"/>
              <w:bidi w:val="0"/>
            </w:pPr>
            <w:r>
              <w:t>达标</w:t>
            </w:r>
          </w:p>
        </w:tc>
      </w:tr>
      <w:tr w14:paraId="179A7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41D2B56">
            <w:pPr>
              <w:pStyle w:val="28"/>
              <w:bidi w:val="0"/>
            </w:pPr>
            <w:r>
              <w:rPr>
                <w:rFonts w:hint="eastAsia"/>
              </w:rPr>
              <w:t>迎河镇</w:t>
            </w:r>
          </w:p>
        </w:tc>
        <w:tc>
          <w:tcPr>
            <w:tcW w:w="511" w:type="pct"/>
            <w:vAlign w:val="center"/>
          </w:tcPr>
          <w:p w14:paraId="1DEACC33">
            <w:pPr>
              <w:pStyle w:val="28"/>
              <w:bidi w:val="0"/>
            </w:pPr>
            <w:r>
              <w:rPr>
                <w:rFonts w:hint="eastAsia"/>
              </w:rPr>
              <w:t>底泥清淤</w:t>
            </w:r>
          </w:p>
        </w:tc>
        <w:tc>
          <w:tcPr>
            <w:tcW w:w="366" w:type="pct"/>
            <w:vAlign w:val="center"/>
          </w:tcPr>
          <w:p w14:paraId="78ADC29F">
            <w:pPr>
              <w:pStyle w:val="28"/>
              <w:bidi w:val="0"/>
            </w:pPr>
            <w:r>
              <w:t>20</w:t>
            </w:r>
          </w:p>
        </w:tc>
        <w:tc>
          <w:tcPr>
            <w:tcW w:w="268" w:type="pct"/>
            <w:vAlign w:val="center"/>
          </w:tcPr>
          <w:p w14:paraId="0D77285C">
            <w:pPr>
              <w:pStyle w:val="28"/>
              <w:bidi w:val="0"/>
            </w:pPr>
            <w:r>
              <w:rPr>
                <w:rFonts w:hint="eastAsia"/>
              </w:rPr>
              <w:t>左右岸</w:t>
            </w:r>
          </w:p>
        </w:tc>
        <w:tc>
          <w:tcPr>
            <w:tcW w:w="262" w:type="pct"/>
            <w:vAlign w:val="center"/>
          </w:tcPr>
          <w:p w14:paraId="27E27CBD">
            <w:pPr>
              <w:pStyle w:val="28"/>
              <w:bidi w:val="0"/>
            </w:pPr>
            <w:r>
              <w:rPr>
                <w:rFonts w:hint="eastAsia"/>
              </w:rPr>
              <w:t>2类</w:t>
            </w:r>
          </w:p>
        </w:tc>
        <w:tc>
          <w:tcPr>
            <w:tcW w:w="809" w:type="pct"/>
            <w:vMerge w:val="continue"/>
            <w:vAlign w:val="center"/>
          </w:tcPr>
          <w:p w14:paraId="0BFD5E0A">
            <w:pPr>
              <w:pStyle w:val="28"/>
              <w:bidi w:val="0"/>
            </w:pPr>
          </w:p>
        </w:tc>
        <w:tc>
          <w:tcPr>
            <w:tcW w:w="208" w:type="pct"/>
            <w:vAlign w:val="center"/>
          </w:tcPr>
          <w:p w14:paraId="336EB3C4">
            <w:pPr>
              <w:pStyle w:val="28"/>
              <w:bidi w:val="0"/>
            </w:pPr>
            <w:r>
              <w:t>51.8</w:t>
            </w:r>
          </w:p>
        </w:tc>
        <w:tc>
          <w:tcPr>
            <w:tcW w:w="211" w:type="pct"/>
            <w:vAlign w:val="center"/>
          </w:tcPr>
          <w:p w14:paraId="6127944B">
            <w:pPr>
              <w:pStyle w:val="28"/>
              <w:bidi w:val="0"/>
            </w:pPr>
            <w:r>
              <w:t>42.4</w:t>
            </w:r>
          </w:p>
        </w:tc>
        <w:tc>
          <w:tcPr>
            <w:tcW w:w="208" w:type="pct"/>
            <w:vAlign w:val="center"/>
          </w:tcPr>
          <w:p w14:paraId="6C493E26">
            <w:pPr>
              <w:pStyle w:val="28"/>
              <w:bidi w:val="0"/>
            </w:pPr>
            <w:r>
              <w:t>60</w:t>
            </w:r>
          </w:p>
        </w:tc>
        <w:tc>
          <w:tcPr>
            <w:tcW w:w="211" w:type="pct"/>
            <w:vAlign w:val="center"/>
          </w:tcPr>
          <w:p w14:paraId="1ACEB44C">
            <w:pPr>
              <w:pStyle w:val="28"/>
              <w:bidi w:val="0"/>
            </w:pPr>
            <w:r>
              <w:t>50</w:t>
            </w:r>
          </w:p>
        </w:tc>
        <w:tc>
          <w:tcPr>
            <w:tcW w:w="276" w:type="pct"/>
            <w:vAlign w:val="center"/>
          </w:tcPr>
          <w:p w14:paraId="37EC0C99">
            <w:pPr>
              <w:pStyle w:val="28"/>
              <w:bidi w:val="0"/>
            </w:pPr>
            <w:r>
              <w:t>64.2</w:t>
            </w:r>
          </w:p>
        </w:tc>
        <w:tc>
          <w:tcPr>
            <w:tcW w:w="257" w:type="pct"/>
            <w:vAlign w:val="center"/>
          </w:tcPr>
          <w:p w14:paraId="4021692D">
            <w:pPr>
              <w:pStyle w:val="28"/>
              <w:bidi w:val="0"/>
            </w:pPr>
            <w:r>
              <w:t>44.2</w:t>
            </w:r>
          </w:p>
        </w:tc>
        <w:tc>
          <w:tcPr>
            <w:tcW w:w="257" w:type="pct"/>
            <w:vAlign w:val="center"/>
          </w:tcPr>
          <w:p w14:paraId="0015E378">
            <w:pPr>
              <w:pStyle w:val="28"/>
              <w:bidi w:val="0"/>
            </w:pPr>
            <w:r>
              <w:t>52.5</w:t>
            </w:r>
          </w:p>
        </w:tc>
        <w:tc>
          <w:tcPr>
            <w:tcW w:w="257" w:type="pct"/>
            <w:vAlign w:val="center"/>
          </w:tcPr>
          <w:p w14:paraId="3CFFDCD4">
            <w:pPr>
              <w:pStyle w:val="28"/>
              <w:bidi w:val="0"/>
            </w:pPr>
            <w:r>
              <w:t>0.7</w:t>
            </w:r>
          </w:p>
        </w:tc>
        <w:tc>
          <w:tcPr>
            <w:tcW w:w="209" w:type="pct"/>
            <w:vAlign w:val="center"/>
          </w:tcPr>
          <w:p w14:paraId="6554EBC6">
            <w:pPr>
              <w:pStyle w:val="28"/>
              <w:bidi w:val="0"/>
            </w:pPr>
            <w:r>
              <w:t>达标</w:t>
            </w:r>
          </w:p>
        </w:tc>
      </w:tr>
      <w:tr w14:paraId="605F3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5F6E77A">
            <w:pPr>
              <w:pStyle w:val="28"/>
              <w:bidi w:val="0"/>
            </w:pPr>
            <w:r>
              <w:rPr>
                <w:rFonts w:hint="eastAsia"/>
              </w:rPr>
              <w:t>新庄</w:t>
            </w:r>
          </w:p>
        </w:tc>
        <w:tc>
          <w:tcPr>
            <w:tcW w:w="511" w:type="pct"/>
            <w:vAlign w:val="center"/>
          </w:tcPr>
          <w:p w14:paraId="3694DC6D">
            <w:pPr>
              <w:pStyle w:val="28"/>
              <w:bidi w:val="0"/>
            </w:pPr>
            <w:r>
              <w:rPr>
                <w:rFonts w:hint="eastAsia"/>
              </w:rPr>
              <w:t>放水涵加固</w:t>
            </w:r>
          </w:p>
        </w:tc>
        <w:tc>
          <w:tcPr>
            <w:tcW w:w="366" w:type="pct"/>
            <w:vAlign w:val="center"/>
          </w:tcPr>
          <w:p w14:paraId="37CB326B">
            <w:pPr>
              <w:pStyle w:val="28"/>
              <w:bidi w:val="0"/>
            </w:pPr>
            <w:r>
              <w:t>20</w:t>
            </w:r>
          </w:p>
        </w:tc>
        <w:tc>
          <w:tcPr>
            <w:tcW w:w="268" w:type="pct"/>
            <w:vAlign w:val="center"/>
          </w:tcPr>
          <w:p w14:paraId="4EDE9AB9">
            <w:pPr>
              <w:pStyle w:val="28"/>
              <w:bidi w:val="0"/>
            </w:pPr>
            <w:r>
              <w:rPr>
                <w:rFonts w:hint="eastAsia"/>
              </w:rPr>
              <w:t>左右岸</w:t>
            </w:r>
          </w:p>
        </w:tc>
        <w:tc>
          <w:tcPr>
            <w:tcW w:w="262" w:type="pct"/>
            <w:vAlign w:val="center"/>
          </w:tcPr>
          <w:p w14:paraId="426E8711">
            <w:pPr>
              <w:pStyle w:val="28"/>
              <w:bidi w:val="0"/>
            </w:pPr>
            <w:r>
              <w:rPr>
                <w:rFonts w:hint="eastAsia"/>
              </w:rPr>
              <w:t>1类</w:t>
            </w:r>
          </w:p>
        </w:tc>
        <w:tc>
          <w:tcPr>
            <w:tcW w:w="809" w:type="pct"/>
            <w:vMerge w:val="continue"/>
            <w:vAlign w:val="center"/>
          </w:tcPr>
          <w:p w14:paraId="771D5EA0">
            <w:pPr>
              <w:pStyle w:val="28"/>
              <w:bidi w:val="0"/>
            </w:pPr>
          </w:p>
        </w:tc>
        <w:tc>
          <w:tcPr>
            <w:tcW w:w="208" w:type="pct"/>
            <w:vAlign w:val="center"/>
          </w:tcPr>
          <w:p w14:paraId="635D8496">
            <w:pPr>
              <w:pStyle w:val="28"/>
              <w:bidi w:val="0"/>
            </w:pPr>
            <w:r>
              <w:t>51.8</w:t>
            </w:r>
          </w:p>
        </w:tc>
        <w:tc>
          <w:tcPr>
            <w:tcW w:w="211" w:type="pct"/>
            <w:vAlign w:val="center"/>
          </w:tcPr>
          <w:p w14:paraId="110B73AB">
            <w:pPr>
              <w:pStyle w:val="28"/>
              <w:bidi w:val="0"/>
            </w:pPr>
            <w:r>
              <w:t>42.4</w:t>
            </w:r>
          </w:p>
        </w:tc>
        <w:tc>
          <w:tcPr>
            <w:tcW w:w="208" w:type="pct"/>
            <w:vAlign w:val="center"/>
          </w:tcPr>
          <w:p w14:paraId="21F877B6">
            <w:pPr>
              <w:pStyle w:val="28"/>
              <w:bidi w:val="0"/>
            </w:pPr>
            <w:r>
              <w:t>55</w:t>
            </w:r>
          </w:p>
        </w:tc>
        <w:tc>
          <w:tcPr>
            <w:tcW w:w="211" w:type="pct"/>
            <w:vAlign w:val="center"/>
          </w:tcPr>
          <w:p w14:paraId="3887DABC">
            <w:pPr>
              <w:pStyle w:val="28"/>
              <w:bidi w:val="0"/>
            </w:pPr>
            <w:r>
              <w:t>45</w:t>
            </w:r>
          </w:p>
        </w:tc>
        <w:tc>
          <w:tcPr>
            <w:tcW w:w="276" w:type="pct"/>
            <w:vAlign w:val="center"/>
          </w:tcPr>
          <w:p w14:paraId="7DC736BE">
            <w:pPr>
              <w:pStyle w:val="28"/>
              <w:bidi w:val="0"/>
            </w:pPr>
            <w:r>
              <w:t>67.2</w:t>
            </w:r>
          </w:p>
        </w:tc>
        <w:tc>
          <w:tcPr>
            <w:tcW w:w="257" w:type="pct"/>
            <w:vAlign w:val="center"/>
          </w:tcPr>
          <w:p w14:paraId="4425E4C6">
            <w:pPr>
              <w:pStyle w:val="28"/>
              <w:bidi w:val="0"/>
            </w:pPr>
            <w:r>
              <w:t>47.2</w:t>
            </w:r>
          </w:p>
        </w:tc>
        <w:tc>
          <w:tcPr>
            <w:tcW w:w="257" w:type="pct"/>
            <w:vAlign w:val="center"/>
          </w:tcPr>
          <w:p w14:paraId="665AFB3F">
            <w:pPr>
              <w:pStyle w:val="28"/>
              <w:bidi w:val="0"/>
            </w:pPr>
            <w:r>
              <w:t>53.1</w:t>
            </w:r>
          </w:p>
        </w:tc>
        <w:tc>
          <w:tcPr>
            <w:tcW w:w="257" w:type="pct"/>
            <w:vAlign w:val="center"/>
          </w:tcPr>
          <w:p w14:paraId="35C1145C">
            <w:pPr>
              <w:pStyle w:val="28"/>
              <w:bidi w:val="0"/>
            </w:pPr>
            <w:r>
              <w:t>1.3</w:t>
            </w:r>
          </w:p>
        </w:tc>
        <w:tc>
          <w:tcPr>
            <w:tcW w:w="209" w:type="pct"/>
            <w:vAlign w:val="center"/>
          </w:tcPr>
          <w:p w14:paraId="612DB977">
            <w:pPr>
              <w:pStyle w:val="28"/>
              <w:bidi w:val="0"/>
            </w:pPr>
            <w:r>
              <w:t>达标</w:t>
            </w:r>
          </w:p>
        </w:tc>
      </w:tr>
      <w:tr w14:paraId="2CBD344F">
        <w:tblPrEx>
          <w:tblCellMar>
            <w:top w:w="0" w:type="dxa"/>
            <w:left w:w="108" w:type="dxa"/>
            <w:bottom w:w="0" w:type="dxa"/>
            <w:right w:w="108" w:type="dxa"/>
          </w:tblCellMar>
        </w:tblPrEx>
        <w:trPr>
          <w:trHeight w:val="340" w:hRule="atLeast"/>
          <w:jc w:val="center"/>
        </w:trPr>
        <w:tc>
          <w:tcPr>
            <w:tcW w:w="685" w:type="pct"/>
            <w:vAlign w:val="center"/>
          </w:tcPr>
          <w:p w14:paraId="0905BD17">
            <w:pPr>
              <w:pStyle w:val="28"/>
              <w:bidi w:val="0"/>
            </w:pPr>
            <w:r>
              <w:rPr>
                <w:rFonts w:hint="eastAsia"/>
              </w:rPr>
              <w:t>马堰村</w:t>
            </w:r>
          </w:p>
        </w:tc>
        <w:tc>
          <w:tcPr>
            <w:tcW w:w="511" w:type="pct"/>
            <w:vAlign w:val="center"/>
          </w:tcPr>
          <w:p w14:paraId="12269243">
            <w:pPr>
              <w:pStyle w:val="28"/>
              <w:bidi w:val="0"/>
            </w:pPr>
            <w:r>
              <w:rPr>
                <w:rFonts w:hint="eastAsia"/>
              </w:rPr>
              <w:t>放水涵拆建</w:t>
            </w:r>
          </w:p>
        </w:tc>
        <w:tc>
          <w:tcPr>
            <w:tcW w:w="366" w:type="pct"/>
            <w:vAlign w:val="center"/>
          </w:tcPr>
          <w:p w14:paraId="657ED503">
            <w:pPr>
              <w:pStyle w:val="28"/>
              <w:bidi w:val="0"/>
            </w:pPr>
            <w:r>
              <w:t>25</w:t>
            </w:r>
          </w:p>
        </w:tc>
        <w:tc>
          <w:tcPr>
            <w:tcW w:w="268" w:type="pct"/>
            <w:vAlign w:val="center"/>
          </w:tcPr>
          <w:p w14:paraId="7F5559E4">
            <w:pPr>
              <w:pStyle w:val="28"/>
              <w:bidi w:val="0"/>
            </w:pPr>
            <w:r>
              <w:rPr>
                <w:rFonts w:hint="eastAsia"/>
              </w:rPr>
              <w:t>左、右岸</w:t>
            </w:r>
          </w:p>
        </w:tc>
        <w:tc>
          <w:tcPr>
            <w:tcW w:w="262" w:type="pct"/>
            <w:vAlign w:val="center"/>
          </w:tcPr>
          <w:p w14:paraId="04CA54F4">
            <w:pPr>
              <w:pStyle w:val="28"/>
              <w:bidi w:val="0"/>
            </w:pPr>
            <w:r>
              <w:t>1</w:t>
            </w:r>
            <w:r>
              <w:rPr>
                <w:rFonts w:hint="eastAsia"/>
              </w:rPr>
              <w:t>类</w:t>
            </w:r>
          </w:p>
        </w:tc>
        <w:tc>
          <w:tcPr>
            <w:tcW w:w="809" w:type="pct"/>
            <w:vMerge w:val="continue"/>
            <w:vAlign w:val="center"/>
          </w:tcPr>
          <w:p w14:paraId="5CED8D8F">
            <w:pPr>
              <w:pStyle w:val="28"/>
              <w:bidi w:val="0"/>
            </w:pPr>
          </w:p>
        </w:tc>
        <w:tc>
          <w:tcPr>
            <w:tcW w:w="208" w:type="pct"/>
            <w:vAlign w:val="center"/>
          </w:tcPr>
          <w:p w14:paraId="0E7AD9E1">
            <w:pPr>
              <w:pStyle w:val="28"/>
              <w:bidi w:val="0"/>
            </w:pPr>
            <w:r>
              <w:t>52.6</w:t>
            </w:r>
          </w:p>
        </w:tc>
        <w:tc>
          <w:tcPr>
            <w:tcW w:w="211" w:type="pct"/>
            <w:vAlign w:val="center"/>
          </w:tcPr>
          <w:p w14:paraId="569B1A7B">
            <w:pPr>
              <w:pStyle w:val="28"/>
              <w:bidi w:val="0"/>
            </w:pPr>
            <w:r>
              <w:t>41.9</w:t>
            </w:r>
          </w:p>
        </w:tc>
        <w:tc>
          <w:tcPr>
            <w:tcW w:w="208" w:type="pct"/>
            <w:vAlign w:val="center"/>
          </w:tcPr>
          <w:p w14:paraId="73313204">
            <w:pPr>
              <w:pStyle w:val="28"/>
              <w:bidi w:val="0"/>
            </w:pPr>
            <w:r>
              <w:t>55</w:t>
            </w:r>
          </w:p>
        </w:tc>
        <w:tc>
          <w:tcPr>
            <w:tcW w:w="211" w:type="pct"/>
            <w:vAlign w:val="center"/>
          </w:tcPr>
          <w:p w14:paraId="38FF3C75">
            <w:pPr>
              <w:pStyle w:val="28"/>
              <w:bidi w:val="0"/>
            </w:pPr>
            <w:r>
              <w:t>45</w:t>
            </w:r>
          </w:p>
        </w:tc>
        <w:tc>
          <w:tcPr>
            <w:tcW w:w="276" w:type="pct"/>
            <w:vAlign w:val="center"/>
          </w:tcPr>
          <w:p w14:paraId="510F355D">
            <w:pPr>
              <w:pStyle w:val="28"/>
              <w:bidi w:val="0"/>
            </w:pPr>
            <w:r>
              <w:t>65.3</w:t>
            </w:r>
          </w:p>
        </w:tc>
        <w:tc>
          <w:tcPr>
            <w:tcW w:w="257" w:type="pct"/>
            <w:vAlign w:val="center"/>
          </w:tcPr>
          <w:p w14:paraId="4186579B">
            <w:pPr>
              <w:pStyle w:val="28"/>
              <w:bidi w:val="0"/>
            </w:pPr>
            <w:r>
              <w:t>45.3</w:t>
            </w:r>
          </w:p>
        </w:tc>
        <w:tc>
          <w:tcPr>
            <w:tcW w:w="257" w:type="pct"/>
            <w:vAlign w:val="center"/>
          </w:tcPr>
          <w:p w14:paraId="466A3091">
            <w:pPr>
              <w:pStyle w:val="28"/>
              <w:bidi w:val="0"/>
            </w:pPr>
            <w:r>
              <w:t>53.3</w:t>
            </w:r>
          </w:p>
        </w:tc>
        <w:tc>
          <w:tcPr>
            <w:tcW w:w="257" w:type="pct"/>
            <w:vAlign w:val="center"/>
          </w:tcPr>
          <w:p w14:paraId="1008C8AF">
            <w:pPr>
              <w:pStyle w:val="28"/>
              <w:bidi w:val="0"/>
            </w:pPr>
            <w:r>
              <w:t>0.7</w:t>
            </w:r>
          </w:p>
        </w:tc>
        <w:tc>
          <w:tcPr>
            <w:tcW w:w="209" w:type="pct"/>
            <w:vAlign w:val="center"/>
          </w:tcPr>
          <w:p w14:paraId="65B24442">
            <w:pPr>
              <w:pStyle w:val="28"/>
              <w:bidi w:val="0"/>
            </w:pPr>
            <w:r>
              <w:t>达标</w:t>
            </w:r>
          </w:p>
        </w:tc>
      </w:tr>
      <w:tr w14:paraId="2C6F1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4B34410">
            <w:pPr>
              <w:pStyle w:val="28"/>
              <w:bidi w:val="0"/>
            </w:pPr>
            <w:r>
              <w:rPr>
                <w:rFonts w:hint="eastAsia"/>
              </w:rPr>
              <w:t>吴小庄</w:t>
            </w:r>
          </w:p>
        </w:tc>
        <w:tc>
          <w:tcPr>
            <w:tcW w:w="511" w:type="pct"/>
            <w:vAlign w:val="center"/>
          </w:tcPr>
          <w:p w14:paraId="4C0585AF">
            <w:pPr>
              <w:pStyle w:val="28"/>
              <w:bidi w:val="0"/>
            </w:pPr>
            <w:r>
              <w:rPr>
                <w:rFonts w:hint="eastAsia"/>
              </w:rPr>
              <w:t>放水涵拆建</w:t>
            </w:r>
          </w:p>
        </w:tc>
        <w:tc>
          <w:tcPr>
            <w:tcW w:w="366" w:type="pct"/>
            <w:vAlign w:val="center"/>
          </w:tcPr>
          <w:p w14:paraId="74D57AAF">
            <w:pPr>
              <w:pStyle w:val="28"/>
              <w:bidi w:val="0"/>
            </w:pPr>
            <w:r>
              <w:t>10</w:t>
            </w:r>
          </w:p>
        </w:tc>
        <w:tc>
          <w:tcPr>
            <w:tcW w:w="268" w:type="pct"/>
            <w:vAlign w:val="center"/>
          </w:tcPr>
          <w:p w14:paraId="50100790">
            <w:pPr>
              <w:pStyle w:val="28"/>
              <w:bidi w:val="0"/>
            </w:pPr>
            <w:r>
              <w:rPr>
                <w:rFonts w:hint="eastAsia"/>
              </w:rPr>
              <w:t>左右岸</w:t>
            </w:r>
          </w:p>
        </w:tc>
        <w:tc>
          <w:tcPr>
            <w:tcW w:w="262" w:type="pct"/>
            <w:vAlign w:val="center"/>
          </w:tcPr>
          <w:p w14:paraId="3C769D17">
            <w:pPr>
              <w:pStyle w:val="28"/>
              <w:bidi w:val="0"/>
            </w:pPr>
            <w:r>
              <w:t>1</w:t>
            </w:r>
            <w:r>
              <w:rPr>
                <w:rFonts w:hint="eastAsia"/>
              </w:rPr>
              <w:t>类</w:t>
            </w:r>
          </w:p>
        </w:tc>
        <w:tc>
          <w:tcPr>
            <w:tcW w:w="809" w:type="pct"/>
            <w:vMerge w:val="continue"/>
            <w:vAlign w:val="center"/>
          </w:tcPr>
          <w:p w14:paraId="5AE8CC95">
            <w:pPr>
              <w:pStyle w:val="28"/>
              <w:bidi w:val="0"/>
            </w:pPr>
          </w:p>
        </w:tc>
        <w:tc>
          <w:tcPr>
            <w:tcW w:w="208" w:type="pct"/>
            <w:vAlign w:val="center"/>
          </w:tcPr>
          <w:p w14:paraId="74713782">
            <w:pPr>
              <w:pStyle w:val="28"/>
              <w:bidi w:val="0"/>
            </w:pPr>
            <w:r>
              <w:t>52.6</w:t>
            </w:r>
          </w:p>
        </w:tc>
        <w:tc>
          <w:tcPr>
            <w:tcW w:w="211" w:type="pct"/>
            <w:vAlign w:val="center"/>
          </w:tcPr>
          <w:p w14:paraId="196F2280">
            <w:pPr>
              <w:pStyle w:val="28"/>
              <w:bidi w:val="0"/>
            </w:pPr>
            <w:r>
              <w:t>41.9</w:t>
            </w:r>
          </w:p>
        </w:tc>
        <w:tc>
          <w:tcPr>
            <w:tcW w:w="208" w:type="pct"/>
            <w:vAlign w:val="center"/>
          </w:tcPr>
          <w:p w14:paraId="5443FF00">
            <w:pPr>
              <w:pStyle w:val="28"/>
              <w:bidi w:val="0"/>
            </w:pPr>
            <w:r>
              <w:t>55</w:t>
            </w:r>
          </w:p>
        </w:tc>
        <w:tc>
          <w:tcPr>
            <w:tcW w:w="211" w:type="pct"/>
            <w:vAlign w:val="center"/>
          </w:tcPr>
          <w:p w14:paraId="4EB7EFFA">
            <w:pPr>
              <w:pStyle w:val="28"/>
              <w:bidi w:val="0"/>
            </w:pPr>
            <w:r>
              <w:t>45</w:t>
            </w:r>
          </w:p>
        </w:tc>
        <w:tc>
          <w:tcPr>
            <w:tcW w:w="276" w:type="pct"/>
            <w:vAlign w:val="center"/>
          </w:tcPr>
          <w:p w14:paraId="568D132B">
            <w:pPr>
              <w:pStyle w:val="28"/>
              <w:bidi w:val="0"/>
            </w:pPr>
            <w:r>
              <w:t>73.2</w:t>
            </w:r>
          </w:p>
        </w:tc>
        <w:tc>
          <w:tcPr>
            <w:tcW w:w="257" w:type="pct"/>
            <w:vAlign w:val="center"/>
          </w:tcPr>
          <w:p w14:paraId="1378B566">
            <w:pPr>
              <w:pStyle w:val="28"/>
              <w:bidi w:val="0"/>
            </w:pPr>
            <w:r>
              <w:t>51.2</w:t>
            </w:r>
          </w:p>
        </w:tc>
        <w:tc>
          <w:tcPr>
            <w:tcW w:w="257" w:type="pct"/>
            <w:vAlign w:val="center"/>
          </w:tcPr>
          <w:p w14:paraId="0D3E3F4B">
            <w:pPr>
              <w:pStyle w:val="28"/>
              <w:bidi w:val="0"/>
            </w:pPr>
            <w:r>
              <w:t>55.0</w:t>
            </w:r>
          </w:p>
        </w:tc>
        <w:tc>
          <w:tcPr>
            <w:tcW w:w="257" w:type="pct"/>
            <w:vAlign w:val="center"/>
          </w:tcPr>
          <w:p w14:paraId="449A6AFC">
            <w:pPr>
              <w:pStyle w:val="28"/>
              <w:bidi w:val="0"/>
            </w:pPr>
            <w:r>
              <w:t>2.4</w:t>
            </w:r>
          </w:p>
        </w:tc>
        <w:tc>
          <w:tcPr>
            <w:tcW w:w="209" w:type="pct"/>
            <w:vAlign w:val="center"/>
          </w:tcPr>
          <w:p w14:paraId="37DBF2C7">
            <w:pPr>
              <w:pStyle w:val="28"/>
              <w:bidi w:val="0"/>
            </w:pPr>
            <w:r>
              <w:t>达标</w:t>
            </w:r>
          </w:p>
        </w:tc>
      </w:tr>
      <w:tr w14:paraId="64062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DBACE73">
            <w:pPr>
              <w:pStyle w:val="28"/>
              <w:bidi w:val="0"/>
            </w:pPr>
            <w:r>
              <w:rPr>
                <w:rFonts w:hint="eastAsia"/>
              </w:rPr>
              <w:t>杨塝</w:t>
            </w:r>
          </w:p>
        </w:tc>
        <w:tc>
          <w:tcPr>
            <w:tcW w:w="511" w:type="pct"/>
            <w:vAlign w:val="center"/>
          </w:tcPr>
          <w:p w14:paraId="3E7B2CE9">
            <w:pPr>
              <w:pStyle w:val="28"/>
              <w:bidi w:val="0"/>
            </w:pPr>
            <w:r>
              <w:rPr>
                <w:rFonts w:hint="eastAsia"/>
              </w:rPr>
              <w:t>放水涵拆建</w:t>
            </w:r>
          </w:p>
        </w:tc>
        <w:tc>
          <w:tcPr>
            <w:tcW w:w="366" w:type="pct"/>
            <w:vAlign w:val="center"/>
          </w:tcPr>
          <w:p w14:paraId="59C1A0A9">
            <w:pPr>
              <w:pStyle w:val="28"/>
              <w:bidi w:val="0"/>
            </w:pPr>
            <w:r>
              <w:t>10</w:t>
            </w:r>
          </w:p>
        </w:tc>
        <w:tc>
          <w:tcPr>
            <w:tcW w:w="268" w:type="pct"/>
            <w:vAlign w:val="center"/>
          </w:tcPr>
          <w:p w14:paraId="0A89F0CD">
            <w:pPr>
              <w:pStyle w:val="28"/>
              <w:bidi w:val="0"/>
            </w:pPr>
            <w:r>
              <w:rPr>
                <w:rFonts w:hint="eastAsia"/>
              </w:rPr>
              <w:t>左右岸</w:t>
            </w:r>
          </w:p>
        </w:tc>
        <w:tc>
          <w:tcPr>
            <w:tcW w:w="262" w:type="pct"/>
            <w:vAlign w:val="center"/>
          </w:tcPr>
          <w:p w14:paraId="47F1C47E">
            <w:pPr>
              <w:pStyle w:val="28"/>
              <w:bidi w:val="0"/>
            </w:pPr>
            <w:r>
              <w:t>1</w:t>
            </w:r>
            <w:r>
              <w:rPr>
                <w:rFonts w:hint="eastAsia"/>
              </w:rPr>
              <w:t>类</w:t>
            </w:r>
          </w:p>
        </w:tc>
        <w:tc>
          <w:tcPr>
            <w:tcW w:w="809" w:type="pct"/>
            <w:vMerge w:val="continue"/>
            <w:vAlign w:val="center"/>
          </w:tcPr>
          <w:p w14:paraId="4B74AA7B">
            <w:pPr>
              <w:pStyle w:val="28"/>
              <w:bidi w:val="0"/>
            </w:pPr>
          </w:p>
        </w:tc>
        <w:tc>
          <w:tcPr>
            <w:tcW w:w="208" w:type="pct"/>
            <w:vAlign w:val="center"/>
          </w:tcPr>
          <w:p w14:paraId="7F7B94A5">
            <w:pPr>
              <w:pStyle w:val="28"/>
              <w:bidi w:val="0"/>
            </w:pPr>
            <w:r>
              <w:t>52.6</w:t>
            </w:r>
          </w:p>
        </w:tc>
        <w:tc>
          <w:tcPr>
            <w:tcW w:w="211" w:type="pct"/>
            <w:vAlign w:val="center"/>
          </w:tcPr>
          <w:p w14:paraId="02B25BB4">
            <w:pPr>
              <w:pStyle w:val="28"/>
              <w:bidi w:val="0"/>
            </w:pPr>
            <w:r>
              <w:t>41.9</w:t>
            </w:r>
          </w:p>
        </w:tc>
        <w:tc>
          <w:tcPr>
            <w:tcW w:w="208" w:type="pct"/>
            <w:vAlign w:val="center"/>
          </w:tcPr>
          <w:p w14:paraId="7ABD9134">
            <w:pPr>
              <w:pStyle w:val="28"/>
              <w:bidi w:val="0"/>
            </w:pPr>
            <w:r>
              <w:t>55</w:t>
            </w:r>
          </w:p>
        </w:tc>
        <w:tc>
          <w:tcPr>
            <w:tcW w:w="211" w:type="pct"/>
            <w:vAlign w:val="center"/>
          </w:tcPr>
          <w:p w14:paraId="4D99CBEE">
            <w:pPr>
              <w:pStyle w:val="28"/>
              <w:bidi w:val="0"/>
            </w:pPr>
            <w:r>
              <w:t>45</w:t>
            </w:r>
          </w:p>
        </w:tc>
        <w:tc>
          <w:tcPr>
            <w:tcW w:w="276" w:type="pct"/>
            <w:vAlign w:val="center"/>
          </w:tcPr>
          <w:p w14:paraId="305BC59C">
            <w:pPr>
              <w:pStyle w:val="28"/>
              <w:bidi w:val="0"/>
            </w:pPr>
            <w:r>
              <w:t>73.2</w:t>
            </w:r>
          </w:p>
        </w:tc>
        <w:tc>
          <w:tcPr>
            <w:tcW w:w="257" w:type="pct"/>
            <w:vAlign w:val="center"/>
          </w:tcPr>
          <w:p w14:paraId="0E316C8D">
            <w:pPr>
              <w:pStyle w:val="28"/>
              <w:bidi w:val="0"/>
            </w:pPr>
            <w:r>
              <w:t>51.2</w:t>
            </w:r>
          </w:p>
        </w:tc>
        <w:tc>
          <w:tcPr>
            <w:tcW w:w="257" w:type="pct"/>
            <w:vAlign w:val="center"/>
          </w:tcPr>
          <w:p w14:paraId="09645D77">
            <w:pPr>
              <w:pStyle w:val="28"/>
              <w:bidi w:val="0"/>
            </w:pPr>
            <w:r>
              <w:t>55.0</w:t>
            </w:r>
          </w:p>
        </w:tc>
        <w:tc>
          <w:tcPr>
            <w:tcW w:w="257" w:type="pct"/>
            <w:vAlign w:val="center"/>
          </w:tcPr>
          <w:p w14:paraId="3B4AE66F">
            <w:pPr>
              <w:pStyle w:val="28"/>
              <w:bidi w:val="0"/>
            </w:pPr>
            <w:r>
              <w:t>2.4</w:t>
            </w:r>
          </w:p>
        </w:tc>
        <w:tc>
          <w:tcPr>
            <w:tcW w:w="209" w:type="pct"/>
            <w:vAlign w:val="center"/>
          </w:tcPr>
          <w:p w14:paraId="173950E7">
            <w:pPr>
              <w:pStyle w:val="28"/>
              <w:bidi w:val="0"/>
            </w:pPr>
            <w:r>
              <w:t>达标</w:t>
            </w:r>
          </w:p>
        </w:tc>
      </w:tr>
      <w:tr w14:paraId="5D947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F9E7DA8">
            <w:pPr>
              <w:pStyle w:val="28"/>
              <w:bidi w:val="0"/>
            </w:pPr>
            <w:r>
              <w:rPr>
                <w:rFonts w:hint="eastAsia"/>
              </w:rPr>
              <w:t>吴山圩</w:t>
            </w:r>
          </w:p>
        </w:tc>
        <w:tc>
          <w:tcPr>
            <w:tcW w:w="511" w:type="pct"/>
            <w:vAlign w:val="center"/>
          </w:tcPr>
          <w:p w14:paraId="4BD226F3">
            <w:pPr>
              <w:pStyle w:val="28"/>
              <w:bidi w:val="0"/>
            </w:pPr>
            <w:r>
              <w:rPr>
                <w:rFonts w:hint="eastAsia"/>
              </w:rPr>
              <w:t>放水涵拆建</w:t>
            </w:r>
          </w:p>
        </w:tc>
        <w:tc>
          <w:tcPr>
            <w:tcW w:w="366" w:type="pct"/>
            <w:vAlign w:val="center"/>
          </w:tcPr>
          <w:p w14:paraId="4C0D7B2D">
            <w:pPr>
              <w:pStyle w:val="28"/>
              <w:bidi w:val="0"/>
            </w:pPr>
            <w:r>
              <w:t>10</w:t>
            </w:r>
          </w:p>
        </w:tc>
        <w:tc>
          <w:tcPr>
            <w:tcW w:w="268" w:type="pct"/>
            <w:vAlign w:val="center"/>
          </w:tcPr>
          <w:p w14:paraId="60ED6EB9">
            <w:pPr>
              <w:pStyle w:val="28"/>
              <w:bidi w:val="0"/>
            </w:pPr>
            <w:r>
              <w:rPr>
                <w:rFonts w:hint="eastAsia"/>
              </w:rPr>
              <w:t>左右岸</w:t>
            </w:r>
          </w:p>
        </w:tc>
        <w:tc>
          <w:tcPr>
            <w:tcW w:w="262" w:type="pct"/>
            <w:vAlign w:val="center"/>
          </w:tcPr>
          <w:p w14:paraId="553ECC6F">
            <w:pPr>
              <w:pStyle w:val="28"/>
              <w:bidi w:val="0"/>
            </w:pPr>
            <w:r>
              <w:t>1</w:t>
            </w:r>
            <w:r>
              <w:rPr>
                <w:rFonts w:hint="eastAsia"/>
              </w:rPr>
              <w:t>类</w:t>
            </w:r>
          </w:p>
        </w:tc>
        <w:tc>
          <w:tcPr>
            <w:tcW w:w="809" w:type="pct"/>
            <w:vMerge w:val="continue"/>
            <w:vAlign w:val="center"/>
          </w:tcPr>
          <w:p w14:paraId="5F6B6B00">
            <w:pPr>
              <w:pStyle w:val="28"/>
              <w:bidi w:val="0"/>
            </w:pPr>
          </w:p>
        </w:tc>
        <w:tc>
          <w:tcPr>
            <w:tcW w:w="208" w:type="pct"/>
            <w:vAlign w:val="center"/>
          </w:tcPr>
          <w:p w14:paraId="20F476A5">
            <w:pPr>
              <w:pStyle w:val="28"/>
              <w:bidi w:val="0"/>
            </w:pPr>
            <w:r>
              <w:t>52.6</w:t>
            </w:r>
          </w:p>
        </w:tc>
        <w:tc>
          <w:tcPr>
            <w:tcW w:w="211" w:type="pct"/>
            <w:vAlign w:val="center"/>
          </w:tcPr>
          <w:p w14:paraId="4C57B479">
            <w:pPr>
              <w:pStyle w:val="28"/>
              <w:bidi w:val="0"/>
            </w:pPr>
            <w:r>
              <w:t>41.9</w:t>
            </w:r>
          </w:p>
        </w:tc>
        <w:tc>
          <w:tcPr>
            <w:tcW w:w="208" w:type="pct"/>
            <w:vAlign w:val="center"/>
          </w:tcPr>
          <w:p w14:paraId="0510D4E3">
            <w:pPr>
              <w:pStyle w:val="28"/>
              <w:bidi w:val="0"/>
            </w:pPr>
            <w:r>
              <w:t>55</w:t>
            </w:r>
          </w:p>
        </w:tc>
        <w:tc>
          <w:tcPr>
            <w:tcW w:w="211" w:type="pct"/>
            <w:vAlign w:val="center"/>
          </w:tcPr>
          <w:p w14:paraId="5C249F4A">
            <w:pPr>
              <w:pStyle w:val="28"/>
              <w:bidi w:val="0"/>
            </w:pPr>
            <w:r>
              <w:t>45</w:t>
            </w:r>
          </w:p>
        </w:tc>
        <w:tc>
          <w:tcPr>
            <w:tcW w:w="276" w:type="pct"/>
            <w:vAlign w:val="center"/>
          </w:tcPr>
          <w:p w14:paraId="57F535C4">
            <w:pPr>
              <w:pStyle w:val="28"/>
              <w:bidi w:val="0"/>
            </w:pPr>
            <w:r>
              <w:t>73.2</w:t>
            </w:r>
          </w:p>
        </w:tc>
        <w:tc>
          <w:tcPr>
            <w:tcW w:w="257" w:type="pct"/>
            <w:vAlign w:val="center"/>
          </w:tcPr>
          <w:p w14:paraId="2583CCAF">
            <w:pPr>
              <w:pStyle w:val="28"/>
              <w:bidi w:val="0"/>
            </w:pPr>
            <w:r>
              <w:t>51.2</w:t>
            </w:r>
          </w:p>
        </w:tc>
        <w:tc>
          <w:tcPr>
            <w:tcW w:w="257" w:type="pct"/>
            <w:vAlign w:val="center"/>
          </w:tcPr>
          <w:p w14:paraId="59B3E7E1">
            <w:pPr>
              <w:pStyle w:val="28"/>
              <w:bidi w:val="0"/>
            </w:pPr>
            <w:r>
              <w:t>55.0</w:t>
            </w:r>
          </w:p>
        </w:tc>
        <w:tc>
          <w:tcPr>
            <w:tcW w:w="257" w:type="pct"/>
            <w:vAlign w:val="center"/>
          </w:tcPr>
          <w:p w14:paraId="11B078D0">
            <w:pPr>
              <w:pStyle w:val="28"/>
              <w:bidi w:val="0"/>
            </w:pPr>
            <w:r>
              <w:t>2.4</w:t>
            </w:r>
          </w:p>
        </w:tc>
        <w:tc>
          <w:tcPr>
            <w:tcW w:w="209" w:type="pct"/>
            <w:vAlign w:val="center"/>
          </w:tcPr>
          <w:p w14:paraId="526F169D">
            <w:pPr>
              <w:pStyle w:val="28"/>
              <w:bidi w:val="0"/>
            </w:pPr>
            <w:r>
              <w:t>达标</w:t>
            </w:r>
          </w:p>
        </w:tc>
      </w:tr>
      <w:tr w14:paraId="497DA4BA">
        <w:tblPrEx>
          <w:tblCellMar>
            <w:top w:w="0" w:type="dxa"/>
            <w:left w:w="108" w:type="dxa"/>
            <w:bottom w:w="0" w:type="dxa"/>
            <w:right w:w="108" w:type="dxa"/>
          </w:tblCellMar>
        </w:tblPrEx>
        <w:trPr>
          <w:trHeight w:val="340" w:hRule="atLeast"/>
          <w:jc w:val="center"/>
        </w:trPr>
        <w:tc>
          <w:tcPr>
            <w:tcW w:w="685" w:type="pct"/>
            <w:vAlign w:val="center"/>
          </w:tcPr>
          <w:p w14:paraId="09E9A4A5">
            <w:pPr>
              <w:pStyle w:val="28"/>
              <w:bidi w:val="0"/>
            </w:pPr>
            <w:r>
              <w:rPr>
                <w:rFonts w:hint="eastAsia"/>
              </w:rPr>
              <w:t>唐夹街</w:t>
            </w:r>
          </w:p>
        </w:tc>
        <w:tc>
          <w:tcPr>
            <w:tcW w:w="511" w:type="pct"/>
            <w:vAlign w:val="center"/>
          </w:tcPr>
          <w:p w14:paraId="79DBEE33">
            <w:pPr>
              <w:pStyle w:val="28"/>
              <w:bidi w:val="0"/>
            </w:pPr>
            <w:r>
              <w:rPr>
                <w:rFonts w:hint="eastAsia"/>
              </w:rPr>
              <w:t>渠堤加培</w:t>
            </w:r>
          </w:p>
        </w:tc>
        <w:tc>
          <w:tcPr>
            <w:tcW w:w="366" w:type="pct"/>
            <w:vAlign w:val="center"/>
          </w:tcPr>
          <w:p w14:paraId="427CEECC">
            <w:pPr>
              <w:pStyle w:val="28"/>
              <w:bidi w:val="0"/>
            </w:pPr>
            <w:r>
              <w:t>50</w:t>
            </w:r>
          </w:p>
        </w:tc>
        <w:tc>
          <w:tcPr>
            <w:tcW w:w="268" w:type="pct"/>
            <w:vAlign w:val="center"/>
          </w:tcPr>
          <w:p w14:paraId="60DB50BE">
            <w:pPr>
              <w:pStyle w:val="28"/>
              <w:bidi w:val="0"/>
            </w:pPr>
            <w:r>
              <w:rPr>
                <w:rFonts w:hint="eastAsia"/>
              </w:rPr>
              <w:t>左岸</w:t>
            </w:r>
          </w:p>
        </w:tc>
        <w:tc>
          <w:tcPr>
            <w:tcW w:w="262" w:type="pct"/>
            <w:vAlign w:val="center"/>
          </w:tcPr>
          <w:p w14:paraId="40F107E0">
            <w:pPr>
              <w:pStyle w:val="28"/>
              <w:bidi w:val="0"/>
            </w:pPr>
            <w:r>
              <w:t>1</w:t>
            </w:r>
            <w:r>
              <w:rPr>
                <w:rFonts w:hint="eastAsia"/>
              </w:rPr>
              <w:t>类</w:t>
            </w:r>
          </w:p>
        </w:tc>
        <w:tc>
          <w:tcPr>
            <w:tcW w:w="809" w:type="pct"/>
            <w:vAlign w:val="center"/>
          </w:tcPr>
          <w:p w14:paraId="7D4DA390">
            <w:pPr>
              <w:pStyle w:val="28"/>
              <w:bidi w:val="0"/>
            </w:pPr>
            <w:r>
              <w:rPr>
                <w:rFonts w:hint="eastAsia"/>
              </w:rPr>
              <w:t>采用低噪声设备，施工机械远离居民住宅</w:t>
            </w:r>
          </w:p>
        </w:tc>
        <w:tc>
          <w:tcPr>
            <w:tcW w:w="208" w:type="pct"/>
            <w:vAlign w:val="center"/>
          </w:tcPr>
          <w:p w14:paraId="7DAE7E79">
            <w:pPr>
              <w:pStyle w:val="28"/>
              <w:bidi w:val="0"/>
            </w:pPr>
            <w:r>
              <w:t>53.7</w:t>
            </w:r>
          </w:p>
        </w:tc>
        <w:tc>
          <w:tcPr>
            <w:tcW w:w="211" w:type="pct"/>
            <w:vAlign w:val="center"/>
          </w:tcPr>
          <w:p w14:paraId="5FBF377C">
            <w:pPr>
              <w:pStyle w:val="28"/>
              <w:bidi w:val="0"/>
            </w:pPr>
            <w:r>
              <w:t>42</w:t>
            </w:r>
          </w:p>
        </w:tc>
        <w:tc>
          <w:tcPr>
            <w:tcW w:w="208" w:type="pct"/>
            <w:vAlign w:val="center"/>
          </w:tcPr>
          <w:p w14:paraId="685F510C">
            <w:pPr>
              <w:pStyle w:val="28"/>
              <w:bidi w:val="0"/>
            </w:pPr>
            <w:r>
              <w:t>55</w:t>
            </w:r>
          </w:p>
        </w:tc>
        <w:tc>
          <w:tcPr>
            <w:tcW w:w="211" w:type="pct"/>
            <w:vAlign w:val="center"/>
          </w:tcPr>
          <w:p w14:paraId="431EA1A1">
            <w:pPr>
              <w:pStyle w:val="28"/>
              <w:bidi w:val="0"/>
            </w:pPr>
            <w:r>
              <w:t>45</w:t>
            </w:r>
          </w:p>
        </w:tc>
        <w:tc>
          <w:tcPr>
            <w:tcW w:w="276" w:type="pct"/>
            <w:vAlign w:val="center"/>
          </w:tcPr>
          <w:p w14:paraId="138E31CF">
            <w:pPr>
              <w:pStyle w:val="28"/>
              <w:bidi w:val="0"/>
            </w:pPr>
            <w:r>
              <w:t>57.6</w:t>
            </w:r>
          </w:p>
        </w:tc>
        <w:tc>
          <w:tcPr>
            <w:tcW w:w="257" w:type="pct"/>
            <w:vAlign w:val="center"/>
          </w:tcPr>
          <w:p w14:paraId="03D4BCE2">
            <w:pPr>
              <w:pStyle w:val="28"/>
              <w:bidi w:val="0"/>
            </w:pPr>
            <w:r>
              <w:t>48.6</w:t>
            </w:r>
          </w:p>
        </w:tc>
        <w:tc>
          <w:tcPr>
            <w:tcW w:w="257" w:type="pct"/>
            <w:vAlign w:val="center"/>
          </w:tcPr>
          <w:p w14:paraId="132CD477">
            <w:pPr>
              <w:pStyle w:val="28"/>
              <w:bidi w:val="0"/>
            </w:pPr>
            <w:r>
              <w:t>54.9</w:t>
            </w:r>
          </w:p>
        </w:tc>
        <w:tc>
          <w:tcPr>
            <w:tcW w:w="257" w:type="pct"/>
            <w:vAlign w:val="center"/>
          </w:tcPr>
          <w:p w14:paraId="03F2EAE9">
            <w:pPr>
              <w:pStyle w:val="28"/>
              <w:bidi w:val="0"/>
            </w:pPr>
            <w:r>
              <w:t>1.2</w:t>
            </w:r>
          </w:p>
        </w:tc>
        <w:tc>
          <w:tcPr>
            <w:tcW w:w="209" w:type="pct"/>
            <w:vAlign w:val="center"/>
          </w:tcPr>
          <w:p w14:paraId="11A78534">
            <w:pPr>
              <w:pStyle w:val="28"/>
              <w:bidi w:val="0"/>
            </w:pPr>
            <w:r>
              <w:t>达标</w:t>
            </w:r>
          </w:p>
        </w:tc>
      </w:tr>
      <w:tr w14:paraId="09C76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4AACA23">
            <w:pPr>
              <w:pStyle w:val="28"/>
              <w:bidi w:val="0"/>
            </w:pPr>
            <w:r>
              <w:rPr>
                <w:rFonts w:hint="eastAsia"/>
              </w:rPr>
              <w:t>郭小庄</w:t>
            </w:r>
          </w:p>
        </w:tc>
        <w:tc>
          <w:tcPr>
            <w:tcW w:w="511" w:type="pct"/>
            <w:vAlign w:val="center"/>
          </w:tcPr>
          <w:p w14:paraId="6068ABDA">
            <w:pPr>
              <w:pStyle w:val="28"/>
              <w:bidi w:val="0"/>
            </w:pPr>
            <w:r>
              <w:rPr>
                <w:rFonts w:hint="eastAsia"/>
              </w:rPr>
              <w:t>渠堤加培</w:t>
            </w:r>
          </w:p>
        </w:tc>
        <w:tc>
          <w:tcPr>
            <w:tcW w:w="366" w:type="pct"/>
            <w:vAlign w:val="center"/>
          </w:tcPr>
          <w:p w14:paraId="0C049F75">
            <w:pPr>
              <w:pStyle w:val="28"/>
              <w:bidi w:val="0"/>
            </w:pPr>
            <w:r>
              <w:t>25</w:t>
            </w:r>
          </w:p>
        </w:tc>
        <w:tc>
          <w:tcPr>
            <w:tcW w:w="268" w:type="pct"/>
            <w:vAlign w:val="center"/>
          </w:tcPr>
          <w:p w14:paraId="74677252">
            <w:pPr>
              <w:pStyle w:val="28"/>
              <w:bidi w:val="0"/>
            </w:pPr>
            <w:r>
              <w:rPr>
                <w:rFonts w:hint="eastAsia"/>
              </w:rPr>
              <w:t>左岸</w:t>
            </w:r>
          </w:p>
        </w:tc>
        <w:tc>
          <w:tcPr>
            <w:tcW w:w="262" w:type="pct"/>
            <w:vAlign w:val="center"/>
          </w:tcPr>
          <w:p w14:paraId="783F23FD">
            <w:pPr>
              <w:pStyle w:val="28"/>
              <w:bidi w:val="0"/>
            </w:pPr>
            <w:r>
              <w:t>1</w:t>
            </w:r>
            <w:r>
              <w:rPr>
                <w:rFonts w:hint="eastAsia"/>
              </w:rPr>
              <w:t>类</w:t>
            </w:r>
          </w:p>
        </w:tc>
        <w:tc>
          <w:tcPr>
            <w:tcW w:w="809" w:type="pct"/>
            <w:vAlign w:val="center"/>
          </w:tcPr>
          <w:p w14:paraId="1DA620A7">
            <w:pPr>
              <w:pStyle w:val="28"/>
              <w:bidi w:val="0"/>
            </w:pPr>
            <w:r>
              <w:rPr>
                <w:rFonts w:hint="eastAsia"/>
              </w:rPr>
              <w:t>采用低噪声设备，施工机械远离居民住宅，设置双层移动声屏障</w:t>
            </w:r>
          </w:p>
        </w:tc>
        <w:tc>
          <w:tcPr>
            <w:tcW w:w="208" w:type="pct"/>
            <w:vAlign w:val="center"/>
          </w:tcPr>
          <w:p w14:paraId="7C90CC39">
            <w:pPr>
              <w:pStyle w:val="28"/>
              <w:bidi w:val="0"/>
            </w:pPr>
            <w:r>
              <w:t>53.7</w:t>
            </w:r>
          </w:p>
        </w:tc>
        <w:tc>
          <w:tcPr>
            <w:tcW w:w="211" w:type="pct"/>
            <w:vAlign w:val="center"/>
          </w:tcPr>
          <w:p w14:paraId="56C46EC0">
            <w:pPr>
              <w:pStyle w:val="28"/>
              <w:bidi w:val="0"/>
            </w:pPr>
            <w:r>
              <w:t>42</w:t>
            </w:r>
          </w:p>
        </w:tc>
        <w:tc>
          <w:tcPr>
            <w:tcW w:w="208" w:type="pct"/>
            <w:vAlign w:val="center"/>
          </w:tcPr>
          <w:p w14:paraId="4C7BF461">
            <w:pPr>
              <w:pStyle w:val="28"/>
              <w:bidi w:val="0"/>
            </w:pPr>
            <w:r>
              <w:t>55</w:t>
            </w:r>
          </w:p>
        </w:tc>
        <w:tc>
          <w:tcPr>
            <w:tcW w:w="211" w:type="pct"/>
            <w:vAlign w:val="center"/>
          </w:tcPr>
          <w:p w14:paraId="17499232">
            <w:pPr>
              <w:pStyle w:val="28"/>
              <w:bidi w:val="0"/>
            </w:pPr>
            <w:r>
              <w:t>45</w:t>
            </w:r>
          </w:p>
        </w:tc>
        <w:tc>
          <w:tcPr>
            <w:tcW w:w="276" w:type="pct"/>
            <w:vAlign w:val="center"/>
          </w:tcPr>
          <w:p w14:paraId="5941A186">
            <w:pPr>
              <w:pStyle w:val="28"/>
              <w:bidi w:val="0"/>
            </w:pPr>
            <w:r>
              <w:t>63.6</w:t>
            </w:r>
          </w:p>
        </w:tc>
        <w:tc>
          <w:tcPr>
            <w:tcW w:w="257" w:type="pct"/>
            <w:vAlign w:val="center"/>
          </w:tcPr>
          <w:p w14:paraId="2C25F15E">
            <w:pPr>
              <w:pStyle w:val="28"/>
              <w:bidi w:val="0"/>
            </w:pPr>
            <w:r>
              <w:t>43.6</w:t>
            </w:r>
          </w:p>
        </w:tc>
        <w:tc>
          <w:tcPr>
            <w:tcW w:w="257" w:type="pct"/>
            <w:vAlign w:val="center"/>
          </w:tcPr>
          <w:p w14:paraId="5377183B">
            <w:pPr>
              <w:pStyle w:val="28"/>
              <w:bidi w:val="0"/>
            </w:pPr>
            <w:r>
              <w:t>54.1</w:t>
            </w:r>
          </w:p>
        </w:tc>
        <w:tc>
          <w:tcPr>
            <w:tcW w:w="257" w:type="pct"/>
            <w:vAlign w:val="center"/>
          </w:tcPr>
          <w:p w14:paraId="318248AB">
            <w:pPr>
              <w:pStyle w:val="28"/>
              <w:bidi w:val="0"/>
            </w:pPr>
            <w:r>
              <w:t>0.4</w:t>
            </w:r>
          </w:p>
        </w:tc>
        <w:tc>
          <w:tcPr>
            <w:tcW w:w="209" w:type="pct"/>
            <w:vAlign w:val="center"/>
          </w:tcPr>
          <w:p w14:paraId="03AAC872">
            <w:pPr>
              <w:pStyle w:val="28"/>
              <w:bidi w:val="0"/>
            </w:pPr>
            <w:r>
              <w:t>达标</w:t>
            </w:r>
          </w:p>
        </w:tc>
      </w:tr>
      <w:tr w14:paraId="765FC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91B7A81">
            <w:pPr>
              <w:pStyle w:val="28"/>
              <w:bidi w:val="0"/>
            </w:pPr>
            <w:r>
              <w:rPr>
                <w:rFonts w:hint="eastAsia"/>
              </w:rPr>
              <w:t>上桂岗</w:t>
            </w:r>
          </w:p>
        </w:tc>
        <w:tc>
          <w:tcPr>
            <w:tcW w:w="511" w:type="pct"/>
            <w:vAlign w:val="center"/>
          </w:tcPr>
          <w:p w14:paraId="69374D63">
            <w:pPr>
              <w:pStyle w:val="28"/>
              <w:bidi w:val="0"/>
            </w:pPr>
            <w:r>
              <w:rPr>
                <w:rFonts w:hint="eastAsia"/>
              </w:rPr>
              <w:t>跌水拆建</w:t>
            </w:r>
          </w:p>
        </w:tc>
        <w:tc>
          <w:tcPr>
            <w:tcW w:w="366" w:type="pct"/>
            <w:vAlign w:val="center"/>
          </w:tcPr>
          <w:p w14:paraId="5A2DB0EA">
            <w:pPr>
              <w:pStyle w:val="28"/>
              <w:bidi w:val="0"/>
            </w:pPr>
            <w:r>
              <w:t>50</w:t>
            </w:r>
          </w:p>
        </w:tc>
        <w:tc>
          <w:tcPr>
            <w:tcW w:w="268" w:type="pct"/>
            <w:vAlign w:val="center"/>
          </w:tcPr>
          <w:p w14:paraId="0781454B">
            <w:pPr>
              <w:pStyle w:val="28"/>
              <w:bidi w:val="0"/>
            </w:pPr>
            <w:r>
              <w:rPr>
                <w:rFonts w:hint="eastAsia"/>
              </w:rPr>
              <w:t>右岸</w:t>
            </w:r>
          </w:p>
        </w:tc>
        <w:tc>
          <w:tcPr>
            <w:tcW w:w="262" w:type="pct"/>
            <w:vAlign w:val="center"/>
          </w:tcPr>
          <w:p w14:paraId="7D237646">
            <w:pPr>
              <w:pStyle w:val="28"/>
              <w:bidi w:val="0"/>
            </w:pPr>
            <w:r>
              <w:t>1</w:t>
            </w:r>
            <w:r>
              <w:rPr>
                <w:rFonts w:hint="eastAsia"/>
              </w:rPr>
              <w:t>类</w:t>
            </w:r>
          </w:p>
        </w:tc>
        <w:tc>
          <w:tcPr>
            <w:tcW w:w="809" w:type="pct"/>
            <w:vAlign w:val="center"/>
          </w:tcPr>
          <w:p w14:paraId="52C213E7">
            <w:pPr>
              <w:pStyle w:val="28"/>
              <w:bidi w:val="0"/>
            </w:pPr>
            <w:r>
              <w:rPr>
                <w:rFonts w:hint="eastAsia"/>
              </w:rPr>
              <w:t>采用低噪声设备，施工机械远离居民住宅，设置单层移动声屏障</w:t>
            </w:r>
          </w:p>
        </w:tc>
        <w:tc>
          <w:tcPr>
            <w:tcW w:w="208" w:type="pct"/>
            <w:vAlign w:val="center"/>
          </w:tcPr>
          <w:p w14:paraId="08C7B74B">
            <w:pPr>
              <w:pStyle w:val="28"/>
              <w:bidi w:val="0"/>
            </w:pPr>
            <w:r>
              <w:t>53.7</w:t>
            </w:r>
          </w:p>
        </w:tc>
        <w:tc>
          <w:tcPr>
            <w:tcW w:w="211" w:type="pct"/>
            <w:vAlign w:val="center"/>
          </w:tcPr>
          <w:p w14:paraId="54869D99">
            <w:pPr>
              <w:pStyle w:val="28"/>
              <w:bidi w:val="0"/>
            </w:pPr>
            <w:r>
              <w:t>42</w:t>
            </w:r>
          </w:p>
        </w:tc>
        <w:tc>
          <w:tcPr>
            <w:tcW w:w="208" w:type="pct"/>
            <w:vAlign w:val="center"/>
          </w:tcPr>
          <w:p w14:paraId="0CF98D22">
            <w:pPr>
              <w:pStyle w:val="28"/>
              <w:bidi w:val="0"/>
            </w:pPr>
            <w:r>
              <w:t>55</w:t>
            </w:r>
          </w:p>
        </w:tc>
        <w:tc>
          <w:tcPr>
            <w:tcW w:w="211" w:type="pct"/>
            <w:vAlign w:val="center"/>
          </w:tcPr>
          <w:p w14:paraId="5F5333F3">
            <w:pPr>
              <w:pStyle w:val="28"/>
              <w:bidi w:val="0"/>
            </w:pPr>
            <w:r>
              <w:t>45</w:t>
            </w:r>
          </w:p>
        </w:tc>
        <w:tc>
          <w:tcPr>
            <w:tcW w:w="276" w:type="pct"/>
            <w:vAlign w:val="center"/>
          </w:tcPr>
          <w:p w14:paraId="5BE9A4E6">
            <w:pPr>
              <w:pStyle w:val="28"/>
              <w:bidi w:val="0"/>
            </w:pPr>
            <w:r>
              <w:t>59.2</w:t>
            </w:r>
          </w:p>
        </w:tc>
        <w:tc>
          <w:tcPr>
            <w:tcW w:w="257" w:type="pct"/>
            <w:vAlign w:val="center"/>
          </w:tcPr>
          <w:p w14:paraId="2FE56D59">
            <w:pPr>
              <w:pStyle w:val="28"/>
              <w:bidi w:val="0"/>
            </w:pPr>
            <w:r>
              <w:t>44.2</w:t>
            </w:r>
          </w:p>
        </w:tc>
        <w:tc>
          <w:tcPr>
            <w:tcW w:w="257" w:type="pct"/>
            <w:vAlign w:val="center"/>
          </w:tcPr>
          <w:p w14:paraId="231F9A90">
            <w:pPr>
              <w:pStyle w:val="28"/>
              <w:bidi w:val="0"/>
            </w:pPr>
            <w:r>
              <w:t>54.2</w:t>
            </w:r>
          </w:p>
        </w:tc>
        <w:tc>
          <w:tcPr>
            <w:tcW w:w="257" w:type="pct"/>
            <w:vAlign w:val="center"/>
          </w:tcPr>
          <w:p w14:paraId="74DE5222">
            <w:pPr>
              <w:pStyle w:val="28"/>
              <w:bidi w:val="0"/>
            </w:pPr>
            <w:r>
              <w:t>0.5</w:t>
            </w:r>
          </w:p>
        </w:tc>
        <w:tc>
          <w:tcPr>
            <w:tcW w:w="209" w:type="pct"/>
            <w:vAlign w:val="center"/>
          </w:tcPr>
          <w:p w14:paraId="525289DB">
            <w:pPr>
              <w:pStyle w:val="28"/>
              <w:bidi w:val="0"/>
            </w:pPr>
            <w:r>
              <w:t>达标</w:t>
            </w:r>
          </w:p>
        </w:tc>
      </w:tr>
      <w:tr w14:paraId="2C395DB2">
        <w:tblPrEx>
          <w:tblCellMar>
            <w:top w:w="0" w:type="dxa"/>
            <w:left w:w="108" w:type="dxa"/>
            <w:bottom w:w="0" w:type="dxa"/>
            <w:right w:w="108" w:type="dxa"/>
          </w:tblCellMar>
        </w:tblPrEx>
        <w:trPr>
          <w:trHeight w:val="340" w:hRule="atLeast"/>
          <w:jc w:val="center"/>
        </w:trPr>
        <w:tc>
          <w:tcPr>
            <w:tcW w:w="685" w:type="pct"/>
            <w:vAlign w:val="center"/>
          </w:tcPr>
          <w:p w14:paraId="038882CA">
            <w:pPr>
              <w:pStyle w:val="28"/>
              <w:bidi w:val="0"/>
            </w:pPr>
            <w:r>
              <w:rPr>
                <w:rFonts w:hint="eastAsia"/>
              </w:rPr>
              <w:t>柿树岗</w:t>
            </w:r>
          </w:p>
        </w:tc>
        <w:tc>
          <w:tcPr>
            <w:tcW w:w="511" w:type="pct"/>
            <w:vAlign w:val="center"/>
          </w:tcPr>
          <w:p w14:paraId="625456F1">
            <w:pPr>
              <w:pStyle w:val="28"/>
              <w:bidi w:val="0"/>
            </w:pPr>
            <w:r>
              <w:rPr>
                <w:rFonts w:hint="eastAsia"/>
              </w:rPr>
              <w:t>机耕桥拆建</w:t>
            </w:r>
          </w:p>
        </w:tc>
        <w:tc>
          <w:tcPr>
            <w:tcW w:w="366" w:type="pct"/>
            <w:vAlign w:val="center"/>
          </w:tcPr>
          <w:p w14:paraId="426DA2D6">
            <w:pPr>
              <w:pStyle w:val="28"/>
              <w:bidi w:val="0"/>
            </w:pPr>
            <w:r>
              <w:t>90</w:t>
            </w:r>
          </w:p>
        </w:tc>
        <w:tc>
          <w:tcPr>
            <w:tcW w:w="268" w:type="pct"/>
            <w:vAlign w:val="center"/>
          </w:tcPr>
          <w:p w14:paraId="5E48C322">
            <w:pPr>
              <w:pStyle w:val="28"/>
              <w:bidi w:val="0"/>
            </w:pPr>
            <w:r>
              <w:rPr>
                <w:rFonts w:hint="eastAsia"/>
              </w:rPr>
              <w:t>右岸</w:t>
            </w:r>
          </w:p>
        </w:tc>
        <w:tc>
          <w:tcPr>
            <w:tcW w:w="262" w:type="pct"/>
            <w:vAlign w:val="center"/>
          </w:tcPr>
          <w:p w14:paraId="7AF42D27">
            <w:pPr>
              <w:pStyle w:val="28"/>
              <w:bidi w:val="0"/>
            </w:pPr>
            <w:r>
              <w:t>1</w:t>
            </w:r>
            <w:r>
              <w:rPr>
                <w:rFonts w:hint="eastAsia"/>
              </w:rPr>
              <w:t>类</w:t>
            </w:r>
          </w:p>
        </w:tc>
        <w:tc>
          <w:tcPr>
            <w:tcW w:w="809" w:type="pct"/>
            <w:vMerge w:val="restart"/>
            <w:vAlign w:val="center"/>
          </w:tcPr>
          <w:p w14:paraId="5436C4F1">
            <w:pPr>
              <w:pStyle w:val="28"/>
              <w:bidi w:val="0"/>
            </w:pPr>
            <w:r>
              <w:rPr>
                <w:rFonts w:hint="eastAsia"/>
              </w:rPr>
              <w:t>采用低噪声设备，施工机械远离居民住宅</w:t>
            </w:r>
          </w:p>
        </w:tc>
        <w:tc>
          <w:tcPr>
            <w:tcW w:w="208" w:type="pct"/>
            <w:vAlign w:val="center"/>
          </w:tcPr>
          <w:p w14:paraId="6498D87B">
            <w:pPr>
              <w:pStyle w:val="28"/>
              <w:bidi w:val="0"/>
            </w:pPr>
            <w:r>
              <w:t>53.7</w:t>
            </w:r>
          </w:p>
        </w:tc>
        <w:tc>
          <w:tcPr>
            <w:tcW w:w="211" w:type="pct"/>
            <w:vAlign w:val="center"/>
          </w:tcPr>
          <w:p w14:paraId="3121FD5F">
            <w:pPr>
              <w:pStyle w:val="28"/>
              <w:bidi w:val="0"/>
            </w:pPr>
            <w:r>
              <w:t>42</w:t>
            </w:r>
          </w:p>
        </w:tc>
        <w:tc>
          <w:tcPr>
            <w:tcW w:w="208" w:type="pct"/>
            <w:vAlign w:val="center"/>
          </w:tcPr>
          <w:p w14:paraId="1A574B41">
            <w:pPr>
              <w:pStyle w:val="28"/>
              <w:bidi w:val="0"/>
            </w:pPr>
            <w:r>
              <w:t>55</w:t>
            </w:r>
          </w:p>
        </w:tc>
        <w:tc>
          <w:tcPr>
            <w:tcW w:w="211" w:type="pct"/>
            <w:vAlign w:val="center"/>
          </w:tcPr>
          <w:p w14:paraId="4CF7F858">
            <w:pPr>
              <w:pStyle w:val="28"/>
              <w:bidi w:val="0"/>
            </w:pPr>
            <w:r>
              <w:t>45</w:t>
            </w:r>
          </w:p>
        </w:tc>
        <w:tc>
          <w:tcPr>
            <w:tcW w:w="276" w:type="pct"/>
            <w:vAlign w:val="center"/>
          </w:tcPr>
          <w:p w14:paraId="6162E5DB">
            <w:pPr>
              <w:pStyle w:val="28"/>
              <w:bidi w:val="0"/>
            </w:pPr>
            <w:r>
              <w:t>54.1</w:t>
            </w:r>
          </w:p>
        </w:tc>
        <w:tc>
          <w:tcPr>
            <w:tcW w:w="257" w:type="pct"/>
            <w:vAlign w:val="center"/>
          </w:tcPr>
          <w:p w14:paraId="0953F5D2">
            <w:pPr>
              <w:pStyle w:val="28"/>
              <w:bidi w:val="0"/>
            </w:pPr>
            <w:r>
              <w:t>47.1</w:t>
            </w:r>
          </w:p>
        </w:tc>
        <w:tc>
          <w:tcPr>
            <w:tcW w:w="257" w:type="pct"/>
            <w:vAlign w:val="center"/>
          </w:tcPr>
          <w:p w14:paraId="3C806C68">
            <w:pPr>
              <w:pStyle w:val="28"/>
              <w:bidi w:val="0"/>
            </w:pPr>
            <w:r>
              <w:t>54.6</w:t>
            </w:r>
          </w:p>
        </w:tc>
        <w:tc>
          <w:tcPr>
            <w:tcW w:w="257" w:type="pct"/>
            <w:vAlign w:val="center"/>
          </w:tcPr>
          <w:p w14:paraId="59C1EAF9">
            <w:pPr>
              <w:pStyle w:val="28"/>
              <w:bidi w:val="0"/>
            </w:pPr>
            <w:r>
              <w:t>0.9</w:t>
            </w:r>
          </w:p>
        </w:tc>
        <w:tc>
          <w:tcPr>
            <w:tcW w:w="209" w:type="pct"/>
            <w:vAlign w:val="center"/>
          </w:tcPr>
          <w:p w14:paraId="18F1F81C">
            <w:pPr>
              <w:pStyle w:val="28"/>
              <w:bidi w:val="0"/>
            </w:pPr>
            <w:r>
              <w:t>达标</w:t>
            </w:r>
          </w:p>
        </w:tc>
      </w:tr>
      <w:tr w14:paraId="685B708E">
        <w:tblPrEx>
          <w:tblCellMar>
            <w:top w:w="0" w:type="dxa"/>
            <w:left w:w="108" w:type="dxa"/>
            <w:bottom w:w="0" w:type="dxa"/>
            <w:right w:w="108" w:type="dxa"/>
          </w:tblCellMar>
        </w:tblPrEx>
        <w:trPr>
          <w:trHeight w:val="340" w:hRule="atLeast"/>
          <w:jc w:val="center"/>
        </w:trPr>
        <w:tc>
          <w:tcPr>
            <w:tcW w:w="685" w:type="pct"/>
            <w:vAlign w:val="center"/>
          </w:tcPr>
          <w:p w14:paraId="003C8D75">
            <w:pPr>
              <w:pStyle w:val="28"/>
              <w:bidi w:val="0"/>
            </w:pPr>
            <w:r>
              <w:rPr>
                <w:rFonts w:hint="eastAsia"/>
              </w:rPr>
              <w:t>下桂岗</w:t>
            </w:r>
          </w:p>
        </w:tc>
        <w:tc>
          <w:tcPr>
            <w:tcW w:w="511" w:type="pct"/>
            <w:vAlign w:val="center"/>
          </w:tcPr>
          <w:p w14:paraId="270826EC">
            <w:pPr>
              <w:pStyle w:val="28"/>
              <w:bidi w:val="0"/>
            </w:pPr>
            <w:r>
              <w:rPr>
                <w:rFonts w:hint="eastAsia"/>
              </w:rPr>
              <w:t>渠堤加培</w:t>
            </w:r>
          </w:p>
        </w:tc>
        <w:tc>
          <w:tcPr>
            <w:tcW w:w="366" w:type="pct"/>
            <w:vAlign w:val="center"/>
          </w:tcPr>
          <w:p w14:paraId="772C44AE">
            <w:pPr>
              <w:pStyle w:val="28"/>
              <w:bidi w:val="0"/>
            </w:pPr>
            <w:r>
              <w:t>90</w:t>
            </w:r>
          </w:p>
        </w:tc>
        <w:tc>
          <w:tcPr>
            <w:tcW w:w="268" w:type="pct"/>
            <w:vAlign w:val="center"/>
          </w:tcPr>
          <w:p w14:paraId="79460B56">
            <w:pPr>
              <w:pStyle w:val="28"/>
              <w:bidi w:val="0"/>
            </w:pPr>
            <w:r>
              <w:rPr>
                <w:rFonts w:hint="eastAsia"/>
              </w:rPr>
              <w:t>右岸</w:t>
            </w:r>
          </w:p>
        </w:tc>
        <w:tc>
          <w:tcPr>
            <w:tcW w:w="262" w:type="pct"/>
            <w:vAlign w:val="center"/>
          </w:tcPr>
          <w:p w14:paraId="5195F111">
            <w:pPr>
              <w:pStyle w:val="28"/>
              <w:bidi w:val="0"/>
            </w:pPr>
            <w:r>
              <w:t>1</w:t>
            </w:r>
            <w:r>
              <w:rPr>
                <w:rFonts w:hint="eastAsia"/>
              </w:rPr>
              <w:t>类</w:t>
            </w:r>
          </w:p>
        </w:tc>
        <w:tc>
          <w:tcPr>
            <w:tcW w:w="809" w:type="pct"/>
            <w:vMerge w:val="continue"/>
            <w:vAlign w:val="center"/>
          </w:tcPr>
          <w:p w14:paraId="2921E15A">
            <w:pPr>
              <w:pStyle w:val="28"/>
              <w:bidi w:val="0"/>
            </w:pPr>
          </w:p>
        </w:tc>
        <w:tc>
          <w:tcPr>
            <w:tcW w:w="208" w:type="pct"/>
            <w:vAlign w:val="center"/>
          </w:tcPr>
          <w:p w14:paraId="4CE653B9">
            <w:pPr>
              <w:pStyle w:val="28"/>
              <w:bidi w:val="0"/>
            </w:pPr>
            <w:r>
              <w:t>53.7</w:t>
            </w:r>
          </w:p>
        </w:tc>
        <w:tc>
          <w:tcPr>
            <w:tcW w:w="211" w:type="pct"/>
            <w:vAlign w:val="center"/>
          </w:tcPr>
          <w:p w14:paraId="45987506">
            <w:pPr>
              <w:pStyle w:val="28"/>
              <w:bidi w:val="0"/>
            </w:pPr>
            <w:r>
              <w:t>42</w:t>
            </w:r>
          </w:p>
        </w:tc>
        <w:tc>
          <w:tcPr>
            <w:tcW w:w="208" w:type="pct"/>
            <w:vAlign w:val="center"/>
          </w:tcPr>
          <w:p w14:paraId="39CB3EC5">
            <w:pPr>
              <w:pStyle w:val="28"/>
              <w:bidi w:val="0"/>
            </w:pPr>
            <w:r>
              <w:t>55</w:t>
            </w:r>
          </w:p>
        </w:tc>
        <w:tc>
          <w:tcPr>
            <w:tcW w:w="211" w:type="pct"/>
            <w:vAlign w:val="center"/>
          </w:tcPr>
          <w:p w14:paraId="4CB59BA5">
            <w:pPr>
              <w:pStyle w:val="28"/>
              <w:bidi w:val="0"/>
            </w:pPr>
            <w:r>
              <w:t>45</w:t>
            </w:r>
          </w:p>
        </w:tc>
        <w:tc>
          <w:tcPr>
            <w:tcW w:w="276" w:type="pct"/>
            <w:vAlign w:val="center"/>
          </w:tcPr>
          <w:p w14:paraId="3EE5ED91">
            <w:pPr>
              <w:pStyle w:val="28"/>
              <w:bidi w:val="0"/>
            </w:pPr>
            <w:r>
              <w:t>52.4</w:t>
            </w:r>
          </w:p>
        </w:tc>
        <w:tc>
          <w:tcPr>
            <w:tcW w:w="257" w:type="pct"/>
            <w:vAlign w:val="center"/>
          </w:tcPr>
          <w:p w14:paraId="25CB8D28">
            <w:pPr>
              <w:pStyle w:val="28"/>
              <w:bidi w:val="0"/>
            </w:pPr>
            <w:r>
              <w:t>45.4</w:t>
            </w:r>
          </w:p>
        </w:tc>
        <w:tc>
          <w:tcPr>
            <w:tcW w:w="257" w:type="pct"/>
            <w:vAlign w:val="center"/>
          </w:tcPr>
          <w:p w14:paraId="06DA95EA">
            <w:pPr>
              <w:pStyle w:val="28"/>
              <w:bidi w:val="0"/>
            </w:pPr>
            <w:r>
              <w:t>54.3</w:t>
            </w:r>
          </w:p>
        </w:tc>
        <w:tc>
          <w:tcPr>
            <w:tcW w:w="257" w:type="pct"/>
            <w:vAlign w:val="center"/>
          </w:tcPr>
          <w:p w14:paraId="2A57B5F4">
            <w:pPr>
              <w:pStyle w:val="28"/>
              <w:bidi w:val="0"/>
            </w:pPr>
            <w:r>
              <w:t>0.6</w:t>
            </w:r>
          </w:p>
        </w:tc>
        <w:tc>
          <w:tcPr>
            <w:tcW w:w="209" w:type="pct"/>
            <w:vAlign w:val="center"/>
          </w:tcPr>
          <w:p w14:paraId="4E51C1CA">
            <w:pPr>
              <w:pStyle w:val="28"/>
              <w:bidi w:val="0"/>
            </w:pPr>
            <w:r>
              <w:t>达标</w:t>
            </w:r>
          </w:p>
        </w:tc>
      </w:tr>
      <w:tr w14:paraId="6FB36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334E5EB">
            <w:pPr>
              <w:pStyle w:val="28"/>
              <w:bidi w:val="0"/>
            </w:pPr>
            <w:r>
              <w:rPr>
                <w:rFonts w:hint="eastAsia"/>
              </w:rPr>
              <w:t>解家圩</w:t>
            </w:r>
          </w:p>
        </w:tc>
        <w:tc>
          <w:tcPr>
            <w:tcW w:w="511" w:type="pct"/>
            <w:vAlign w:val="center"/>
          </w:tcPr>
          <w:p w14:paraId="19D33048">
            <w:pPr>
              <w:pStyle w:val="28"/>
              <w:bidi w:val="0"/>
            </w:pPr>
            <w:r>
              <w:rPr>
                <w:rFonts w:hint="eastAsia"/>
              </w:rPr>
              <w:t>分水闸拆建</w:t>
            </w:r>
          </w:p>
        </w:tc>
        <w:tc>
          <w:tcPr>
            <w:tcW w:w="366" w:type="pct"/>
            <w:vAlign w:val="center"/>
          </w:tcPr>
          <w:p w14:paraId="0B723D61">
            <w:pPr>
              <w:pStyle w:val="28"/>
              <w:bidi w:val="0"/>
            </w:pPr>
            <w:r>
              <w:t>150</w:t>
            </w:r>
          </w:p>
        </w:tc>
        <w:tc>
          <w:tcPr>
            <w:tcW w:w="268" w:type="pct"/>
            <w:vAlign w:val="center"/>
          </w:tcPr>
          <w:p w14:paraId="38AF9A46">
            <w:pPr>
              <w:pStyle w:val="28"/>
              <w:bidi w:val="0"/>
            </w:pPr>
            <w:r>
              <w:rPr>
                <w:rFonts w:hint="eastAsia"/>
              </w:rPr>
              <w:t>右岸</w:t>
            </w:r>
          </w:p>
        </w:tc>
        <w:tc>
          <w:tcPr>
            <w:tcW w:w="262" w:type="pct"/>
            <w:vAlign w:val="center"/>
          </w:tcPr>
          <w:p w14:paraId="21320F51">
            <w:pPr>
              <w:pStyle w:val="28"/>
              <w:bidi w:val="0"/>
            </w:pPr>
            <w:r>
              <w:t>1</w:t>
            </w:r>
            <w:r>
              <w:rPr>
                <w:rFonts w:hint="eastAsia"/>
              </w:rPr>
              <w:t>类</w:t>
            </w:r>
          </w:p>
        </w:tc>
        <w:tc>
          <w:tcPr>
            <w:tcW w:w="809" w:type="pct"/>
            <w:vMerge w:val="continue"/>
            <w:vAlign w:val="center"/>
          </w:tcPr>
          <w:p w14:paraId="252727CE">
            <w:pPr>
              <w:pStyle w:val="28"/>
              <w:bidi w:val="0"/>
            </w:pPr>
          </w:p>
        </w:tc>
        <w:tc>
          <w:tcPr>
            <w:tcW w:w="208" w:type="pct"/>
            <w:vAlign w:val="center"/>
          </w:tcPr>
          <w:p w14:paraId="35D28DBD">
            <w:pPr>
              <w:pStyle w:val="28"/>
              <w:bidi w:val="0"/>
            </w:pPr>
            <w:r>
              <w:t>53.7</w:t>
            </w:r>
          </w:p>
        </w:tc>
        <w:tc>
          <w:tcPr>
            <w:tcW w:w="211" w:type="pct"/>
            <w:vAlign w:val="center"/>
          </w:tcPr>
          <w:p w14:paraId="4624CDEF">
            <w:pPr>
              <w:pStyle w:val="28"/>
              <w:bidi w:val="0"/>
            </w:pPr>
            <w:r>
              <w:t>42</w:t>
            </w:r>
          </w:p>
        </w:tc>
        <w:tc>
          <w:tcPr>
            <w:tcW w:w="208" w:type="pct"/>
            <w:vAlign w:val="center"/>
          </w:tcPr>
          <w:p w14:paraId="1DE4C36C">
            <w:pPr>
              <w:pStyle w:val="28"/>
              <w:bidi w:val="0"/>
            </w:pPr>
            <w:r>
              <w:t>55</w:t>
            </w:r>
          </w:p>
        </w:tc>
        <w:tc>
          <w:tcPr>
            <w:tcW w:w="211" w:type="pct"/>
            <w:vAlign w:val="center"/>
          </w:tcPr>
          <w:p w14:paraId="123821DF">
            <w:pPr>
              <w:pStyle w:val="28"/>
              <w:bidi w:val="0"/>
            </w:pPr>
            <w:r>
              <w:t>45</w:t>
            </w:r>
          </w:p>
        </w:tc>
        <w:tc>
          <w:tcPr>
            <w:tcW w:w="276" w:type="pct"/>
            <w:vAlign w:val="center"/>
          </w:tcPr>
          <w:p w14:paraId="13485E20">
            <w:pPr>
              <w:pStyle w:val="28"/>
              <w:bidi w:val="0"/>
            </w:pPr>
            <w:r>
              <w:t>49.7</w:t>
            </w:r>
          </w:p>
        </w:tc>
        <w:tc>
          <w:tcPr>
            <w:tcW w:w="257" w:type="pct"/>
            <w:vAlign w:val="center"/>
          </w:tcPr>
          <w:p w14:paraId="2060F8EF">
            <w:pPr>
              <w:pStyle w:val="28"/>
              <w:bidi w:val="0"/>
            </w:pPr>
            <w:r>
              <w:t>42.7</w:t>
            </w:r>
          </w:p>
        </w:tc>
        <w:tc>
          <w:tcPr>
            <w:tcW w:w="257" w:type="pct"/>
            <w:vAlign w:val="center"/>
          </w:tcPr>
          <w:p w14:paraId="015B8D00">
            <w:pPr>
              <w:pStyle w:val="28"/>
              <w:bidi w:val="0"/>
            </w:pPr>
            <w:r>
              <w:t>54.0</w:t>
            </w:r>
          </w:p>
        </w:tc>
        <w:tc>
          <w:tcPr>
            <w:tcW w:w="257" w:type="pct"/>
            <w:vAlign w:val="center"/>
          </w:tcPr>
          <w:p w14:paraId="1331DDA0">
            <w:pPr>
              <w:pStyle w:val="28"/>
              <w:bidi w:val="0"/>
            </w:pPr>
            <w:r>
              <w:t>0.3</w:t>
            </w:r>
          </w:p>
        </w:tc>
        <w:tc>
          <w:tcPr>
            <w:tcW w:w="209" w:type="pct"/>
            <w:vAlign w:val="center"/>
          </w:tcPr>
          <w:p w14:paraId="0BEFE545">
            <w:pPr>
              <w:pStyle w:val="28"/>
              <w:bidi w:val="0"/>
            </w:pPr>
            <w:r>
              <w:t>达标</w:t>
            </w:r>
          </w:p>
        </w:tc>
      </w:tr>
      <w:tr w14:paraId="1CB01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6D96949">
            <w:pPr>
              <w:pStyle w:val="28"/>
              <w:bidi w:val="0"/>
            </w:pPr>
            <w:r>
              <w:rPr>
                <w:rFonts w:hint="eastAsia"/>
              </w:rPr>
              <w:t>西庄</w:t>
            </w:r>
          </w:p>
        </w:tc>
        <w:tc>
          <w:tcPr>
            <w:tcW w:w="511" w:type="pct"/>
            <w:vAlign w:val="center"/>
          </w:tcPr>
          <w:p w14:paraId="635A50E4">
            <w:pPr>
              <w:pStyle w:val="28"/>
              <w:bidi w:val="0"/>
            </w:pPr>
            <w:r>
              <w:rPr>
                <w:rFonts w:hint="eastAsia"/>
              </w:rPr>
              <w:t>人行桥拆建</w:t>
            </w:r>
          </w:p>
        </w:tc>
        <w:tc>
          <w:tcPr>
            <w:tcW w:w="366" w:type="pct"/>
            <w:vAlign w:val="center"/>
          </w:tcPr>
          <w:p w14:paraId="5AB70076">
            <w:pPr>
              <w:pStyle w:val="28"/>
              <w:bidi w:val="0"/>
            </w:pPr>
            <w:r>
              <w:t>85</w:t>
            </w:r>
          </w:p>
        </w:tc>
        <w:tc>
          <w:tcPr>
            <w:tcW w:w="268" w:type="pct"/>
            <w:vAlign w:val="center"/>
          </w:tcPr>
          <w:p w14:paraId="3BE18EE6">
            <w:pPr>
              <w:pStyle w:val="28"/>
              <w:bidi w:val="0"/>
            </w:pPr>
            <w:r>
              <w:rPr>
                <w:rFonts w:hint="eastAsia"/>
              </w:rPr>
              <w:t>左岸</w:t>
            </w:r>
          </w:p>
        </w:tc>
        <w:tc>
          <w:tcPr>
            <w:tcW w:w="262" w:type="pct"/>
            <w:vAlign w:val="center"/>
          </w:tcPr>
          <w:p w14:paraId="597D8E16">
            <w:pPr>
              <w:pStyle w:val="28"/>
              <w:bidi w:val="0"/>
            </w:pPr>
            <w:r>
              <w:t>1</w:t>
            </w:r>
            <w:r>
              <w:rPr>
                <w:rFonts w:hint="eastAsia"/>
              </w:rPr>
              <w:t>类</w:t>
            </w:r>
          </w:p>
        </w:tc>
        <w:tc>
          <w:tcPr>
            <w:tcW w:w="809" w:type="pct"/>
            <w:vMerge w:val="continue"/>
            <w:vAlign w:val="center"/>
          </w:tcPr>
          <w:p w14:paraId="7CC46DC1">
            <w:pPr>
              <w:pStyle w:val="28"/>
              <w:bidi w:val="0"/>
            </w:pPr>
          </w:p>
        </w:tc>
        <w:tc>
          <w:tcPr>
            <w:tcW w:w="208" w:type="pct"/>
            <w:vAlign w:val="center"/>
          </w:tcPr>
          <w:p w14:paraId="62B539C5">
            <w:pPr>
              <w:pStyle w:val="28"/>
              <w:bidi w:val="0"/>
            </w:pPr>
            <w:r>
              <w:t>52.5</w:t>
            </w:r>
          </w:p>
        </w:tc>
        <w:tc>
          <w:tcPr>
            <w:tcW w:w="211" w:type="pct"/>
            <w:vAlign w:val="center"/>
          </w:tcPr>
          <w:p w14:paraId="39CAEF60">
            <w:pPr>
              <w:pStyle w:val="28"/>
              <w:bidi w:val="0"/>
            </w:pPr>
            <w:r>
              <w:t>43.4</w:t>
            </w:r>
          </w:p>
        </w:tc>
        <w:tc>
          <w:tcPr>
            <w:tcW w:w="208" w:type="pct"/>
            <w:vAlign w:val="center"/>
          </w:tcPr>
          <w:p w14:paraId="15F5041D">
            <w:pPr>
              <w:pStyle w:val="28"/>
              <w:bidi w:val="0"/>
            </w:pPr>
            <w:r>
              <w:t>55</w:t>
            </w:r>
          </w:p>
        </w:tc>
        <w:tc>
          <w:tcPr>
            <w:tcW w:w="211" w:type="pct"/>
            <w:vAlign w:val="center"/>
          </w:tcPr>
          <w:p w14:paraId="62540F25">
            <w:pPr>
              <w:pStyle w:val="28"/>
              <w:bidi w:val="0"/>
            </w:pPr>
            <w:r>
              <w:t>45</w:t>
            </w:r>
          </w:p>
        </w:tc>
        <w:tc>
          <w:tcPr>
            <w:tcW w:w="276" w:type="pct"/>
            <w:vAlign w:val="center"/>
          </w:tcPr>
          <w:p w14:paraId="35B5DD65">
            <w:pPr>
              <w:pStyle w:val="28"/>
              <w:bidi w:val="0"/>
            </w:pPr>
            <w:r>
              <w:t>54.6</w:t>
            </w:r>
          </w:p>
        </w:tc>
        <w:tc>
          <w:tcPr>
            <w:tcW w:w="257" w:type="pct"/>
            <w:vAlign w:val="center"/>
          </w:tcPr>
          <w:p w14:paraId="5B5D9828">
            <w:pPr>
              <w:pStyle w:val="28"/>
              <w:bidi w:val="0"/>
            </w:pPr>
            <w:r>
              <w:t>47.6</w:t>
            </w:r>
          </w:p>
        </w:tc>
        <w:tc>
          <w:tcPr>
            <w:tcW w:w="257" w:type="pct"/>
            <w:vAlign w:val="center"/>
          </w:tcPr>
          <w:p w14:paraId="2CE16AE6">
            <w:pPr>
              <w:pStyle w:val="28"/>
              <w:bidi w:val="0"/>
            </w:pPr>
            <w:r>
              <w:t>53.7</w:t>
            </w:r>
          </w:p>
        </w:tc>
        <w:tc>
          <w:tcPr>
            <w:tcW w:w="257" w:type="pct"/>
            <w:vAlign w:val="center"/>
          </w:tcPr>
          <w:p w14:paraId="6E56B47B">
            <w:pPr>
              <w:pStyle w:val="28"/>
              <w:bidi w:val="0"/>
            </w:pPr>
            <w:r>
              <w:t>1.2</w:t>
            </w:r>
          </w:p>
        </w:tc>
        <w:tc>
          <w:tcPr>
            <w:tcW w:w="209" w:type="pct"/>
            <w:vAlign w:val="center"/>
          </w:tcPr>
          <w:p w14:paraId="7A8AE289">
            <w:pPr>
              <w:pStyle w:val="28"/>
              <w:bidi w:val="0"/>
            </w:pPr>
            <w:r>
              <w:t>达标</w:t>
            </w:r>
          </w:p>
        </w:tc>
      </w:tr>
      <w:tr w14:paraId="2B4C1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1A110CE">
            <w:pPr>
              <w:pStyle w:val="28"/>
              <w:bidi w:val="0"/>
            </w:pPr>
            <w:r>
              <w:rPr>
                <w:rFonts w:hint="eastAsia"/>
              </w:rPr>
              <w:t>张大郢</w:t>
            </w:r>
          </w:p>
        </w:tc>
        <w:tc>
          <w:tcPr>
            <w:tcW w:w="511" w:type="pct"/>
            <w:vAlign w:val="center"/>
          </w:tcPr>
          <w:p w14:paraId="5B93E139">
            <w:pPr>
              <w:pStyle w:val="28"/>
              <w:bidi w:val="0"/>
            </w:pPr>
            <w:r>
              <w:rPr>
                <w:rFonts w:hint="eastAsia"/>
              </w:rPr>
              <w:t>渠道清淤</w:t>
            </w:r>
          </w:p>
        </w:tc>
        <w:tc>
          <w:tcPr>
            <w:tcW w:w="366" w:type="pct"/>
            <w:vAlign w:val="center"/>
          </w:tcPr>
          <w:p w14:paraId="722EEC57">
            <w:pPr>
              <w:pStyle w:val="28"/>
              <w:bidi w:val="0"/>
            </w:pPr>
            <w:r>
              <w:t>25</w:t>
            </w:r>
          </w:p>
        </w:tc>
        <w:tc>
          <w:tcPr>
            <w:tcW w:w="268" w:type="pct"/>
            <w:vAlign w:val="center"/>
          </w:tcPr>
          <w:p w14:paraId="2B18E4B5">
            <w:pPr>
              <w:pStyle w:val="28"/>
              <w:bidi w:val="0"/>
            </w:pPr>
            <w:r>
              <w:rPr>
                <w:rFonts w:hint="eastAsia"/>
              </w:rPr>
              <w:t>右岸</w:t>
            </w:r>
          </w:p>
        </w:tc>
        <w:tc>
          <w:tcPr>
            <w:tcW w:w="262" w:type="pct"/>
            <w:vAlign w:val="center"/>
          </w:tcPr>
          <w:p w14:paraId="2A5FDEF7">
            <w:pPr>
              <w:pStyle w:val="28"/>
              <w:bidi w:val="0"/>
            </w:pPr>
            <w:r>
              <w:t>1</w:t>
            </w:r>
            <w:r>
              <w:rPr>
                <w:rFonts w:hint="eastAsia"/>
              </w:rPr>
              <w:t>类</w:t>
            </w:r>
          </w:p>
        </w:tc>
        <w:tc>
          <w:tcPr>
            <w:tcW w:w="809" w:type="pct"/>
            <w:vMerge w:val="restart"/>
            <w:vAlign w:val="center"/>
          </w:tcPr>
          <w:p w14:paraId="115177C6">
            <w:pPr>
              <w:pStyle w:val="28"/>
              <w:bidi w:val="0"/>
            </w:pPr>
            <w:r>
              <w:rPr>
                <w:rFonts w:hint="eastAsia"/>
              </w:rPr>
              <w:t>采用低噪声设备，施工机械远离居民住宅，设置双层移动声屏障</w:t>
            </w:r>
          </w:p>
        </w:tc>
        <w:tc>
          <w:tcPr>
            <w:tcW w:w="208" w:type="pct"/>
            <w:vAlign w:val="center"/>
          </w:tcPr>
          <w:p w14:paraId="33C9284C">
            <w:pPr>
              <w:pStyle w:val="28"/>
              <w:bidi w:val="0"/>
            </w:pPr>
            <w:r>
              <w:t>52.5</w:t>
            </w:r>
          </w:p>
        </w:tc>
        <w:tc>
          <w:tcPr>
            <w:tcW w:w="211" w:type="pct"/>
            <w:vAlign w:val="center"/>
          </w:tcPr>
          <w:p w14:paraId="4C84A2C4">
            <w:pPr>
              <w:pStyle w:val="28"/>
              <w:bidi w:val="0"/>
            </w:pPr>
            <w:r>
              <w:t>43.4</w:t>
            </w:r>
          </w:p>
        </w:tc>
        <w:tc>
          <w:tcPr>
            <w:tcW w:w="208" w:type="pct"/>
            <w:vAlign w:val="center"/>
          </w:tcPr>
          <w:p w14:paraId="7B93E7C7">
            <w:pPr>
              <w:pStyle w:val="28"/>
              <w:bidi w:val="0"/>
            </w:pPr>
            <w:r>
              <w:t>55</w:t>
            </w:r>
          </w:p>
        </w:tc>
        <w:tc>
          <w:tcPr>
            <w:tcW w:w="211" w:type="pct"/>
            <w:vAlign w:val="center"/>
          </w:tcPr>
          <w:p w14:paraId="4E8E2C9A">
            <w:pPr>
              <w:pStyle w:val="28"/>
              <w:bidi w:val="0"/>
            </w:pPr>
            <w:r>
              <w:t>45</w:t>
            </w:r>
          </w:p>
        </w:tc>
        <w:tc>
          <w:tcPr>
            <w:tcW w:w="276" w:type="pct"/>
            <w:vAlign w:val="center"/>
          </w:tcPr>
          <w:p w14:paraId="15D93111">
            <w:pPr>
              <w:pStyle w:val="28"/>
              <w:bidi w:val="0"/>
            </w:pPr>
            <w:r>
              <w:t>62.3</w:t>
            </w:r>
          </w:p>
        </w:tc>
        <w:tc>
          <w:tcPr>
            <w:tcW w:w="257" w:type="pct"/>
            <w:vAlign w:val="center"/>
          </w:tcPr>
          <w:p w14:paraId="2174A646">
            <w:pPr>
              <w:pStyle w:val="28"/>
              <w:bidi w:val="0"/>
            </w:pPr>
            <w:r>
              <w:t>42.3</w:t>
            </w:r>
          </w:p>
        </w:tc>
        <w:tc>
          <w:tcPr>
            <w:tcW w:w="257" w:type="pct"/>
            <w:vAlign w:val="center"/>
          </w:tcPr>
          <w:p w14:paraId="5FC860CB">
            <w:pPr>
              <w:pStyle w:val="28"/>
              <w:bidi w:val="0"/>
            </w:pPr>
            <w:r>
              <w:t>52.9</w:t>
            </w:r>
          </w:p>
        </w:tc>
        <w:tc>
          <w:tcPr>
            <w:tcW w:w="257" w:type="pct"/>
            <w:vAlign w:val="center"/>
          </w:tcPr>
          <w:p w14:paraId="79294F56">
            <w:pPr>
              <w:pStyle w:val="28"/>
              <w:bidi w:val="0"/>
            </w:pPr>
            <w:r>
              <w:t>0.4</w:t>
            </w:r>
          </w:p>
        </w:tc>
        <w:tc>
          <w:tcPr>
            <w:tcW w:w="209" w:type="pct"/>
            <w:vAlign w:val="center"/>
          </w:tcPr>
          <w:p w14:paraId="51288E7C">
            <w:pPr>
              <w:pStyle w:val="28"/>
              <w:bidi w:val="0"/>
            </w:pPr>
            <w:r>
              <w:t>达标</w:t>
            </w:r>
          </w:p>
        </w:tc>
      </w:tr>
      <w:tr w14:paraId="33D9F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3257ECC">
            <w:pPr>
              <w:pStyle w:val="28"/>
              <w:bidi w:val="0"/>
            </w:pPr>
            <w:r>
              <w:rPr>
                <w:rFonts w:hint="eastAsia"/>
              </w:rPr>
              <w:t>张小店</w:t>
            </w:r>
          </w:p>
        </w:tc>
        <w:tc>
          <w:tcPr>
            <w:tcW w:w="511" w:type="pct"/>
            <w:vAlign w:val="center"/>
          </w:tcPr>
          <w:p w14:paraId="58A62438">
            <w:pPr>
              <w:pStyle w:val="28"/>
              <w:bidi w:val="0"/>
            </w:pPr>
            <w:r>
              <w:rPr>
                <w:rFonts w:hint="eastAsia"/>
              </w:rPr>
              <w:t>跌水闸拆建</w:t>
            </w:r>
          </w:p>
        </w:tc>
        <w:tc>
          <w:tcPr>
            <w:tcW w:w="366" w:type="pct"/>
            <w:vAlign w:val="center"/>
          </w:tcPr>
          <w:p w14:paraId="734CA45D">
            <w:pPr>
              <w:pStyle w:val="28"/>
              <w:bidi w:val="0"/>
            </w:pPr>
            <w:r>
              <w:t>15</w:t>
            </w:r>
          </w:p>
        </w:tc>
        <w:tc>
          <w:tcPr>
            <w:tcW w:w="268" w:type="pct"/>
            <w:vAlign w:val="center"/>
          </w:tcPr>
          <w:p w14:paraId="672021E5">
            <w:pPr>
              <w:pStyle w:val="28"/>
              <w:bidi w:val="0"/>
            </w:pPr>
            <w:r>
              <w:rPr>
                <w:rFonts w:hint="eastAsia"/>
              </w:rPr>
              <w:t>左岸</w:t>
            </w:r>
          </w:p>
        </w:tc>
        <w:tc>
          <w:tcPr>
            <w:tcW w:w="262" w:type="pct"/>
            <w:vAlign w:val="center"/>
          </w:tcPr>
          <w:p w14:paraId="6D3C89DD">
            <w:pPr>
              <w:pStyle w:val="28"/>
              <w:bidi w:val="0"/>
            </w:pPr>
            <w:r>
              <w:t>1</w:t>
            </w:r>
            <w:r>
              <w:rPr>
                <w:rFonts w:hint="eastAsia"/>
              </w:rPr>
              <w:t>类</w:t>
            </w:r>
          </w:p>
        </w:tc>
        <w:tc>
          <w:tcPr>
            <w:tcW w:w="809" w:type="pct"/>
            <w:vMerge w:val="continue"/>
            <w:vAlign w:val="center"/>
          </w:tcPr>
          <w:p w14:paraId="37CE6AC4">
            <w:pPr>
              <w:pStyle w:val="28"/>
              <w:bidi w:val="0"/>
            </w:pPr>
          </w:p>
        </w:tc>
        <w:tc>
          <w:tcPr>
            <w:tcW w:w="208" w:type="pct"/>
            <w:vAlign w:val="center"/>
          </w:tcPr>
          <w:p w14:paraId="5CDAD5C0">
            <w:pPr>
              <w:pStyle w:val="28"/>
              <w:bidi w:val="0"/>
            </w:pPr>
            <w:r>
              <w:t>52.5</w:t>
            </w:r>
          </w:p>
        </w:tc>
        <w:tc>
          <w:tcPr>
            <w:tcW w:w="211" w:type="pct"/>
            <w:vAlign w:val="center"/>
          </w:tcPr>
          <w:p w14:paraId="3ACA2E41">
            <w:pPr>
              <w:pStyle w:val="28"/>
              <w:bidi w:val="0"/>
            </w:pPr>
            <w:r>
              <w:t>43.4</w:t>
            </w:r>
          </w:p>
        </w:tc>
        <w:tc>
          <w:tcPr>
            <w:tcW w:w="208" w:type="pct"/>
            <w:vAlign w:val="center"/>
          </w:tcPr>
          <w:p w14:paraId="24599CED">
            <w:pPr>
              <w:pStyle w:val="28"/>
              <w:bidi w:val="0"/>
            </w:pPr>
            <w:r>
              <w:t>55</w:t>
            </w:r>
          </w:p>
        </w:tc>
        <w:tc>
          <w:tcPr>
            <w:tcW w:w="211" w:type="pct"/>
            <w:vAlign w:val="center"/>
          </w:tcPr>
          <w:p w14:paraId="4ACE4918">
            <w:pPr>
              <w:pStyle w:val="28"/>
              <w:bidi w:val="0"/>
            </w:pPr>
            <w:r>
              <w:t>45</w:t>
            </w:r>
          </w:p>
        </w:tc>
        <w:tc>
          <w:tcPr>
            <w:tcW w:w="276" w:type="pct"/>
            <w:vAlign w:val="center"/>
          </w:tcPr>
          <w:p w14:paraId="4703D2B8">
            <w:pPr>
              <w:pStyle w:val="28"/>
              <w:bidi w:val="0"/>
            </w:pPr>
            <w:r>
              <w:t>69.7</w:t>
            </w:r>
          </w:p>
        </w:tc>
        <w:tc>
          <w:tcPr>
            <w:tcW w:w="257" w:type="pct"/>
            <w:vAlign w:val="center"/>
          </w:tcPr>
          <w:p w14:paraId="1531701B">
            <w:pPr>
              <w:pStyle w:val="28"/>
              <w:bidi w:val="0"/>
            </w:pPr>
            <w:r>
              <w:t>49.7</w:t>
            </w:r>
          </w:p>
        </w:tc>
        <w:tc>
          <w:tcPr>
            <w:tcW w:w="257" w:type="pct"/>
            <w:vAlign w:val="center"/>
          </w:tcPr>
          <w:p w14:paraId="2DCF46CF">
            <w:pPr>
              <w:pStyle w:val="28"/>
              <w:bidi w:val="0"/>
            </w:pPr>
            <w:r>
              <w:t>54.3</w:t>
            </w:r>
          </w:p>
        </w:tc>
        <w:tc>
          <w:tcPr>
            <w:tcW w:w="257" w:type="pct"/>
            <w:vAlign w:val="center"/>
          </w:tcPr>
          <w:p w14:paraId="68271814">
            <w:pPr>
              <w:pStyle w:val="28"/>
              <w:bidi w:val="0"/>
            </w:pPr>
            <w:r>
              <w:t>1.8</w:t>
            </w:r>
          </w:p>
        </w:tc>
        <w:tc>
          <w:tcPr>
            <w:tcW w:w="209" w:type="pct"/>
            <w:vAlign w:val="center"/>
          </w:tcPr>
          <w:p w14:paraId="44E7E827">
            <w:pPr>
              <w:pStyle w:val="28"/>
              <w:bidi w:val="0"/>
            </w:pPr>
            <w:r>
              <w:t>达标</w:t>
            </w:r>
          </w:p>
        </w:tc>
      </w:tr>
      <w:tr w14:paraId="76A03B7A">
        <w:tblPrEx>
          <w:tblCellMar>
            <w:top w:w="0" w:type="dxa"/>
            <w:left w:w="108" w:type="dxa"/>
            <w:bottom w:w="0" w:type="dxa"/>
            <w:right w:w="108" w:type="dxa"/>
          </w:tblCellMar>
        </w:tblPrEx>
        <w:trPr>
          <w:trHeight w:val="340" w:hRule="atLeast"/>
          <w:jc w:val="center"/>
        </w:trPr>
        <w:tc>
          <w:tcPr>
            <w:tcW w:w="685" w:type="pct"/>
            <w:vAlign w:val="center"/>
          </w:tcPr>
          <w:p w14:paraId="043CD216">
            <w:pPr>
              <w:pStyle w:val="28"/>
              <w:bidi w:val="0"/>
            </w:pPr>
            <w:r>
              <w:rPr>
                <w:rFonts w:hint="eastAsia"/>
              </w:rPr>
              <w:t>毛墩村</w:t>
            </w:r>
          </w:p>
        </w:tc>
        <w:tc>
          <w:tcPr>
            <w:tcW w:w="511" w:type="pct"/>
            <w:vAlign w:val="center"/>
          </w:tcPr>
          <w:p w14:paraId="6B535565">
            <w:pPr>
              <w:pStyle w:val="28"/>
              <w:bidi w:val="0"/>
            </w:pPr>
            <w:r>
              <w:rPr>
                <w:rFonts w:hint="eastAsia"/>
              </w:rPr>
              <w:t>新建节制闸</w:t>
            </w:r>
          </w:p>
        </w:tc>
        <w:tc>
          <w:tcPr>
            <w:tcW w:w="366" w:type="pct"/>
            <w:vAlign w:val="center"/>
          </w:tcPr>
          <w:p w14:paraId="290CF4F2">
            <w:pPr>
              <w:pStyle w:val="28"/>
              <w:bidi w:val="0"/>
            </w:pPr>
            <w:r>
              <w:t>65</w:t>
            </w:r>
          </w:p>
        </w:tc>
        <w:tc>
          <w:tcPr>
            <w:tcW w:w="268" w:type="pct"/>
            <w:vAlign w:val="center"/>
          </w:tcPr>
          <w:p w14:paraId="645ABEF2">
            <w:pPr>
              <w:pStyle w:val="28"/>
              <w:bidi w:val="0"/>
            </w:pPr>
            <w:r>
              <w:rPr>
                <w:rFonts w:hint="eastAsia"/>
              </w:rPr>
              <w:t>右岸</w:t>
            </w:r>
          </w:p>
        </w:tc>
        <w:tc>
          <w:tcPr>
            <w:tcW w:w="262" w:type="pct"/>
            <w:vAlign w:val="center"/>
          </w:tcPr>
          <w:p w14:paraId="252DFDEC">
            <w:pPr>
              <w:pStyle w:val="28"/>
              <w:bidi w:val="0"/>
            </w:pPr>
            <w:r>
              <w:t>1</w:t>
            </w:r>
            <w:r>
              <w:rPr>
                <w:rFonts w:hint="eastAsia"/>
              </w:rPr>
              <w:t>类</w:t>
            </w:r>
          </w:p>
        </w:tc>
        <w:tc>
          <w:tcPr>
            <w:tcW w:w="809" w:type="pct"/>
            <w:vMerge w:val="restart"/>
            <w:vAlign w:val="center"/>
          </w:tcPr>
          <w:p w14:paraId="7D02C4A5">
            <w:pPr>
              <w:pStyle w:val="28"/>
              <w:bidi w:val="0"/>
            </w:pPr>
            <w:r>
              <w:rPr>
                <w:rFonts w:hint="eastAsia"/>
              </w:rPr>
              <w:t>采用低噪声设备，施工机械远离居民住宅</w:t>
            </w:r>
          </w:p>
        </w:tc>
        <w:tc>
          <w:tcPr>
            <w:tcW w:w="208" w:type="pct"/>
            <w:vAlign w:val="center"/>
          </w:tcPr>
          <w:p w14:paraId="4CFC839A">
            <w:pPr>
              <w:pStyle w:val="28"/>
              <w:bidi w:val="0"/>
            </w:pPr>
            <w:r>
              <w:t>52.5</w:t>
            </w:r>
          </w:p>
        </w:tc>
        <w:tc>
          <w:tcPr>
            <w:tcW w:w="211" w:type="pct"/>
            <w:vAlign w:val="center"/>
          </w:tcPr>
          <w:p w14:paraId="7C4F4FC5">
            <w:pPr>
              <w:pStyle w:val="28"/>
              <w:bidi w:val="0"/>
            </w:pPr>
            <w:r>
              <w:t>43.4</w:t>
            </w:r>
          </w:p>
        </w:tc>
        <w:tc>
          <w:tcPr>
            <w:tcW w:w="208" w:type="pct"/>
            <w:vAlign w:val="center"/>
          </w:tcPr>
          <w:p w14:paraId="0143844E">
            <w:pPr>
              <w:pStyle w:val="28"/>
              <w:bidi w:val="0"/>
            </w:pPr>
            <w:r>
              <w:t>55</w:t>
            </w:r>
          </w:p>
        </w:tc>
        <w:tc>
          <w:tcPr>
            <w:tcW w:w="211" w:type="pct"/>
            <w:vAlign w:val="center"/>
          </w:tcPr>
          <w:p w14:paraId="01107517">
            <w:pPr>
              <w:pStyle w:val="28"/>
              <w:bidi w:val="0"/>
            </w:pPr>
            <w:r>
              <w:t>45</w:t>
            </w:r>
          </w:p>
        </w:tc>
        <w:tc>
          <w:tcPr>
            <w:tcW w:w="276" w:type="pct"/>
            <w:vAlign w:val="center"/>
          </w:tcPr>
          <w:p w14:paraId="7D873CAE">
            <w:pPr>
              <w:pStyle w:val="28"/>
              <w:bidi w:val="0"/>
            </w:pPr>
            <w:r>
              <w:t>57.0</w:t>
            </w:r>
          </w:p>
        </w:tc>
        <w:tc>
          <w:tcPr>
            <w:tcW w:w="257" w:type="pct"/>
            <w:vAlign w:val="center"/>
          </w:tcPr>
          <w:p w14:paraId="5DD7A9FD">
            <w:pPr>
              <w:pStyle w:val="28"/>
              <w:bidi w:val="0"/>
            </w:pPr>
            <w:r>
              <w:t>50.0</w:t>
            </w:r>
          </w:p>
        </w:tc>
        <w:tc>
          <w:tcPr>
            <w:tcW w:w="257" w:type="pct"/>
            <w:vAlign w:val="center"/>
          </w:tcPr>
          <w:p w14:paraId="237126DC">
            <w:pPr>
              <w:pStyle w:val="28"/>
              <w:bidi w:val="0"/>
            </w:pPr>
            <w:r>
              <w:t>54.4</w:t>
            </w:r>
          </w:p>
        </w:tc>
        <w:tc>
          <w:tcPr>
            <w:tcW w:w="257" w:type="pct"/>
            <w:vAlign w:val="center"/>
          </w:tcPr>
          <w:p w14:paraId="54451DD1">
            <w:pPr>
              <w:pStyle w:val="28"/>
              <w:bidi w:val="0"/>
            </w:pPr>
            <w:r>
              <w:t>1.9</w:t>
            </w:r>
          </w:p>
        </w:tc>
        <w:tc>
          <w:tcPr>
            <w:tcW w:w="209" w:type="pct"/>
            <w:vAlign w:val="center"/>
          </w:tcPr>
          <w:p w14:paraId="74875F7B">
            <w:pPr>
              <w:pStyle w:val="28"/>
              <w:bidi w:val="0"/>
            </w:pPr>
            <w:r>
              <w:t>达标</w:t>
            </w:r>
          </w:p>
        </w:tc>
      </w:tr>
      <w:tr w14:paraId="5100A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5AA0500">
            <w:pPr>
              <w:pStyle w:val="28"/>
              <w:bidi w:val="0"/>
            </w:pPr>
            <w:r>
              <w:rPr>
                <w:rFonts w:hint="eastAsia"/>
              </w:rPr>
              <w:t>同心村</w:t>
            </w:r>
          </w:p>
        </w:tc>
        <w:tc>
          <w:tcPr>
            <w:tcW w:w="511" w:type="pct"/>
            <w:vAlign w:val="center"/>
          </w:tcPr>
          <w:p w14:paraId="294006AA">
            <w:pPr>
              <w:pStyle w:val="28"/>
              <w:bidi w:val="0"/>
            </w:pPr>
            <w:r>
              <w:rPr>
                <w:rFonts w:hint="eastAsia"/>
              </w:rPr>
              <w:t>涵管拆建</w:t>
            </w:r>
          </w:p>
        </w:tc>
        <w:tc>
          <w:tcPr>
            <w:tcW w:w="366" w:type="pct"/>
            <w:vAlign w:val="center"/>
          </w:tcPr>
          <w:p w14:paraId="54667B36">
            <w:pPr>
              <w:pStyle w:val="28"/>
              <w:bidi w:val="0"/>
            </w:pPr>
            <w:r>
              <w:t>167</w:t>
            </w:r>
          </w:p>
        </w:tc>
        <w:tc>
          <w:tcPr>
            <w:tcW w:w="268" w:type="pct"/>
            <w:vAlign w:val="center"/>
          </w:tcPr>
          <w:p w14:paraId="3D180D29">
            <w:pPr>
              <w:pStyle w:val="28"/>
              <w:bidi w:val="0"/>
            </w:pPr>
            <w:r>
              <w:rPr>
                <w:rFonts w:hint="eastAsia"/>
              </w:rPr>
              <w:t>左岸</w:t>
            </w:r>
          </w:p>
        </w:tc>
        <w:tc>
          <w:tcPr>
            <w:tcW w:w="262" w:type="pct"/>
            <w:vAlign w:val="center"/>
          </w:tcPr>
          <w:p w14:paraId="462B779A">
            <w:pPr>
              <w:pStyle w:val="28"/>
              <w:bidi w:val="0"/>
            </w:pPr>
            <w:r>
              <w:t>1</w:t>
            </w:r>
            <w:r>
              <w:rPr>
                <w:rFonts w:hint="eastAsia"/>
              </w:rPr>
              <w:t>类</w:t>
            </w:r>
          </w:p>
        </w:tc>
        <w:tc>
          <w:tcPr>
            <w:tcW w:w="809" w:type="pct"/>
            <w:vMerge w:val="continue"/>
            <w:vAlign w:val="center"/>
          </w:tcPr>
          <w:p w14:paraId="5EFDCEFC">
            <w:pPr>
              <w:pStyle w:val="28"/>
              <w:bidi w:val="0"/>
            </w:pPr>
          </w:p>
        </w:tc>
        <w:tc>
          <w:tcPr>
            <w:tcW w:w="208" w:type="pct"/>
            <w:vAlign w:val="center"/>
          </w:tcPr>
          <w:p w14:paraId="23843ED0">
            <w:pPr>
              <w:pStyle w:val="28"/>
              <w:bidi w:val="0"/>
            </w:pPr>
            <w:r>
              <w:t>51.6</w:t>
            </w:r>
          </w:p>
        </w:tc>
        <w:tc>
          <w:tcPr>
            <w:tcW w:w="211" w:type="pct"/>
            <w:vAlign w:val="center"/>
          </w:tcPr>
          <w:p w14:paraId="16774E24">
            <w:pPr>
              <w:pStyle w:val="28"/>
              <w:bidi w:val="0"/>
            </w:pPr>
            <w:r>
              <w:t>42.8</w:t>
            </w:r>
          </w:p>
        </w:tc>
        <w:tc>
          <w:tcPr>
            <w:tcW w:w="208" w:type="pct"/>
            <w:vAlign w:val="center"/>
          </w:tcPr>
          <w:p w14:paraId="5477C9A6">
            <w:pPr>
              <w:pStyle w:val="28"/>
              <w:bidi w:val="0"/>
            </w:pPr>
            <w:r>
              <w:t>55</w:t>
            </w:r>
          </w:p>
        </w:tc>
        <w:tc>
          <w:tcPr>
            <w:tcW w:w="211" w:type="pct"/>
            <w:vAlign w:val="center"/>
          </w:tcPr>
          <w:p w14:paraId="1C52A6D5">
            <w:pPr>
              <w:pStyle w:val="28"/>
              <w:bidi w:val="0"/>
            </w:pPr>
            <w:r>
              <w:t>45</w:t>
            </w:r>
          </w:p>
        </w:tc>
        <w:tc>
          <w:tcPr>
            <w:tcW w:w="276" w:type="pct"/>
            <w:vAlign w:val="center"/>
          </w:tcPr>
          <w:p w14:paraId="48EE8206">
            <w:pPr>
              <w:pStyle w:val="28"/>
              <w:bidi w:val="0"/>
            </w:pPr>
            <w:r>
              <w:t>48.8</w:t>
            </w:r>
          </w:p>
        </w:tc>
        <w:tc>
          <w:tcPr>
            <w:tcW w:w="257" w:type="pct"/>
            <w:vAlign w:val="center"/>
          </w:tcPr>
          <w:p w14:paraId="5912F05D">
            <w:pPr>
              <w:pStyle w:val="28"/>
              <w:bidi w:val="0"/>
            </w:pPr>
            <w:r>
              <w:t>41.8</w:t>
            </w:r>
          </w:p>
        </w:tc>
        <w:tc>
          <w:tcPr>
            <w:tcW w:w="257" w:type="pct"/>
            <w:vAlign w:val="center"/>
          </w:tcPr>
          <w:p w14:paraId="108D389C">
            <w:pPr>
              <w:pStyle w:val="28"/>
              <w:bidi w:val="0"/>
            </w:pPr>
            <w:r>
              <w:t>52.0</w:t>
            </w:r>
          </w:p>
        </w:tc>
        <w:tc>
          <w:tcPr>
            <w:tcW w:w="257" w:type="pct"/>
            <w:vAlign w:val="center"/>
          </w:tcPr>
          <w:p w14:paraId="7CAB70F9">
            <w:pPr>
              <w:pStyle w:val="28"/>
              <w:bidi w:val="0"/>
            </w:pPr>
            <w:r>
              <w:t>0.4</w:t>
            </w:r>
          </w:p>
        </w:tc>
        <w:tc>
          <w:tcPr>
            <w:tcW w:w="209" w:type="pct"/>
            <w:vAlign w:val="center"/>
          </w:tcPr>
          <w:p w14:paraId="5C413F90">
            <w:pPr>
              <w:pStyle w:val="28"/>
              <w:bidi w:val="0"/>
            </w:pPr>
            <w:r>
              <w:t>达标</w:t>
            </w:r>
          </w:p>
        </w:tc>
      </w:tr>
      <w:tr w14:paraId="1B577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0D3FBB1">
            <w:pPr>
              <w:pStyle w:val="28"/>
              <w:bidi w:val="0"/>
            </w:pPr>
            <w:r>
              <w:rPr>
                <w:rFonts w:hint="eastAsia"/>
              </w:rPr>
              <w:t>双庙镇</w:t>
            </w:r>
          </w:p>
        </w:tc>
        <w:tc>
          <w:tcPr>
            <w:tcW w:w="511" w:type="pct"/>
            <w:vAlign w:val="center"/>
          </w:tcPr>
          <w:p w14:paraId="64511E41">
            <w:pPr>
              <w:pStyle w:val="28"/>
              <w:bidi w:val="0"/>
            </w:pPr>
            <w:r>
              <w:rPr>
                <w:rFonts w:hint="eastAsia"/>
              </w:rPr>
              <w:t>芦店分干渠进水闸</w:t>
            </w:r>
          </w:p>
        </w:tc>
        <w:tc>
          <w:tcPr>
            <w:tcW w:w="366" w:type="pct"/>
            <w:vAlign w:val="center"/>
          </w:tcPr>
          <w:p w14:paraId="68C39716">
            <w:pPr>
              <w:pStyle w:val="28"/>
              <w:bidi w:val="0"/>
            </w:pPr>
            <w:r>
              <w:t>50</w:t>
            </w:r>
          </w:p>
        </w:tc>
        <w:tc>
          <w:tcPr>
            <w:tcW w:w="268" w:type="pct"/>
            <w:vAlign w:val="center"/>
          </w:tcPr>
          <w:p w14:paraId="067AC456">
            <w:pPr>
              <w:pStyle w:val="28"/>
              <w:bidi w:val="0"/>
            </w:pPr>
            <w:r>
              <w:rPr>
                <w:rFonts w:hint="eastAsia"/>
              </w:rPr>
              <w:t>右岸</w:t>
            </w:r>
          </w:p>
        </w:tc>
        <w:tc>
          <w:tcPr>
            <w:tcW w:w="262" w:type="pct"/>
            <w:vAlign w:val="center"/>
          </w:tcPr>
          <w:p w14:paraId="4F70D4C7">
            <w:pPr>
              <w:pStyle w:val="28"/>
              <w:bidi w:val="0"/>
            </w:pPr>
            <w:r>
              <w:t>2</w:t>
            </w:r>
            <w:r>
              <w:rPr>
                <w:rFonts w:hint="eastAsia"/>
              </w:rPr>
              <w:t>类</w:t>
            </w:r>
          </w:p>
        </w:tc>
        <w:tc>
          <w:tcPr>
            <w:tcW w:w="809" w:type="pct"/>
            <w:vMerge w:val="continue"/>
            <w:vAlign w:val="center"/>
          </w:tcPr>
          <w:p w14:paraId="42FBEF66">
            <w:pPr>
              <w:pStyle w:val="28"/>
              <w:bidi w:val="0"/>
            </w:pPr>
          </w:p>
        </w:tc>
        <w:tc>
          <w:tcPr>
            <w:tcW w:w="208" w:type="pct"/>
            <w:vAlign w:val="center"/>
          </w:tcPr>
          <w:p w14:paraId="550BFB6A">
            <w:pPr>
              <w:pStyle w:val="28"/>
              <w:bidi w:val="0"/>
            </w:pPr>
            <w:r>
              <w:t>52.1</w:t>
            </w:r>
          </w:p>
        </w:tc>
        <w:tc>
          <w:tcPr>
            <w:tcW w:w="211" w:type="pct"/>
            <w:vAlign w:val="center"/>
          </w:tcPr>
          <w:p w14:paraId="755A347A">
            <w:pPr>
              <w:pStyle w:val="28"/>
              <w:bidi w:val="0"/>
            </w:pPr>
            <w:r>
              <w:t>41.8</w:t>
            </w:r>
          </w:p>
        </w:tc>
        <w:tc>
          <w:tcPr>
            <w:tcW w:w="208" w:type="pct"/>
            <w:vAlign w:val="center"/>
          </w:tcPr>
          <w:p w14:paraId="3C9237EB">
            <w:pPr>
              <w:pStyle w:val="28"/>
              <w:bidi w:val="0"/>
            </w:pPr>
            <w:r>
              <w:t>60</w:t>
            </w:r>
          </w:p>
        </w:tc>
        <w:tc>
          <w:tcPr>
            <w:tcW w:w="211" w:type="pct"/>
            <w:vAlign w:val="center"/>
          </w:tcPr>
          <w:p w14:paraId="30782DAB">
            <w:pPr>
              <w:pStyle w:val="28"/>
              <w:bidi w:val="0"/>
            </w:pPr>
            <w:r>
              <w:t>50</w:t>
            </w:r>
          </w:p>
        </w:tc>
        <w:tc>
          <w:tcPr>
            <w:tcW w:w="276" w:type="pct"/>
            <w:vAlign w:val="center"/>
          </w:tcPr>
          <w:p w14:paraId="24DD802A">
            <w:pPr>
              <w:pStyle w:val="28"/>
              <w:bidi w:val="0"/>
            </w:pPr>
            <w:r>
              <w:t>59.2</w:t>
            </w:r>
          </w:p>
        </w:tc>
        <w:tc>
          <w:tcPr>
            <w:tcW w:w="257" w:type="pct"/>
            <w:vAlign w:val="center"/>
          </w:tcPr>
          <w:p w14:paraId="4A8C6244">
            <w:pPr>
              <w:pStyle w:val="28"/>
              <w:bidi w:val="0"/>
            </w:pPr>
            <w:r>
              <w:t>51.2</w:t>
            </w:r>
          </w:p>
        </w:tc>
        <w:tc>
          <w:tcPr>
            <w:tcW w:w="257" w:type="pct"/>
            <w:vAlign w:val="center"/>
          </w:tcPr>
          <w:p w14:paraId="1F33839D">
            <w:pPr>
              <w:pStyle w:val="28"/>
              <w:bidi w:val="0"/>
            </w:pPr>
            <w:r>
              <w:t>54.7</w:t>
            </w:r>
          </w:p>
        </w:tc>
        <w:tc>
          <w:tcPr>
            <w:tcW w:w="257" w:type="pct"/>
            <w:vAlign w:val="center"/>
          </w:tcPr>
          <w:p w14:paraId="4E921A3A">
            <w:pPr>
              <w:pStyle w:val="28"/>
              <w:bidi w:val="0"/>
            </w:pPr>
            <w:r>
              <w:t>2.6</w:t>
            </w:r>
          </w:p>
        </w:tc>
        <w:tc>
          <w:tcPr>
            <w:tcW w:w="209" w:type="pct"/>
            <w:vAlign w:val="center"/>
          </w:tcPr>
          <w:p w14:paraId="3BE29FA7">
            <w:pPr>
              <w:pStyle w:val="28"/>
              <w:bidi w:val="0"/>
            </w:pPr>
            <w:r>
              <w:t>达标</w:t>
            </w:r>
          </w:p>
        </w:tc>
      </w:tr>
      <w:tr w14:paraId="68359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FAA932F">
            <w:pPr>
              <w:pStyle w:val="28"/>
              <w:bidi w:val="0"/>
            </w:pPr>
            <w:r>
              <w:rPr>
                <w:rFonts w:hint="eastAsia"/>
              </w:rPr>
              <w:t>南街</w:t>
            </w:r>
          </w:p>
        </w:tc>
        <w:tc>
          <w:tcPr>
            <w:tcW w:w="511" w:type="pct"/>
            <w:vAlign w:val="center"/>
          </w:tcPr>
          <w:p w14:paraId="40B39CA8">
            <w:pPr>
              <w:pStyle w:val="28"/>
              <w:bidi w:val="0"/>
            </w:pPr>
            <w:r>
              <w:rPr>
                <w:rFonts w:hint="eastAsia"/>
              </w:rPr>
              <w:t>双庙进水闸</w:t>
            </w:r>
          </w:p>
        </w:tc>
        <w:tc>
          <w:tcPr>
            <w:tcW w:w="366" w:type="pct"/>
            <w:vAlign w:val="center"/>
          </w:tcPr>
          <w:p w14:paraId="78CC82BF">
            <w:pPr>
              <w:pStyle w:val="28"/>
              <w:bidi w:val="0"/>
            </w:pPr>
            <w:r>
              <w:t>59</w:t>
            </w:r>
          </w:p>
        </w:tc>
        <w:tc>
          <w:tcPr>
            <w:tcW w:w="268" w:type="pct"/>
            <w:vAlign w:val="center"/>
          </w:tcPr>
          <w:p w14:paraId="0C1FB6DA">
            <w:pPr>
              <w:pStyle w:val="28"/>
              <w:bidi w:val="0"/>
            </w:pPr>
            <w:r>
              <w:rPr>
                <w:rFonts w:hint="eastAsia"/>
              </w:rPr>
              <w:t>左岸</w:t>
            </w:r>
          </w:p>
        </w:tc>
        <w:tc>
          <w:tcPr>
            <w:tcW w:w="262" w:type="pct"/>
            <w:vAlign w:val="center"/>
          </w:tcPr>
          <w:p w14:paraId="2869D45F">
            <w:pPr>
              <w:pStyle w:val="28"/>
              <w:bidi w:val="0"/>
            </w:pPr>
            <w:r>
              <w:rPr>
                <w:rFonts w:hint="eastAsia"/>
              </w:rPr>
              <w:t>1类</w:t>
            </w:r>
          </w:p>
        </w:tc>
        <w:tc>
          <w:tcPr>
            <w:tcW w:w="809" w:type="pct"/>
            <w:vMerge w:val="continue"/>
            <w:vAlign w:val="center"/>
          </w:tcPr>
          <w:p w14:paraId="006F1233">
            <w:pPr>
              <w:pStyle w:val="28"/>
              <w:bidi w:val="0"/>
            </w:pPr>
          </w:p>
        </w:tc>
        <w:tc>
          <w:tcPr>
            <w:tcW w:w="208" w:type="pct"/>
            <w:vAlign w:val="center"/>
          </w:tcPr>
          <w:p w14:paraId="0C34C632">
            <w:pPr>
              <w:pStyle w:val="28"/>
              <w:bidi w:val="0"/>
            </w:pPr>
            <w:r>
              <w:t>52.1</w:t>
            </w:r>
          </w:p>
        </w:tc>
        <w:tc>
          <w:tcPr>
            <w:tcW w:w="211" w:type="pct"/>
            <w:vAlign w:val="center"/>
          </w:tcPr>
          <w:p w14:paraId="4689C68E">
            <w:pPr>
              <w:pStyle w:val="28"/>
              <w:bidi w:val="0"/>
            </w:pPr>
            <w:r>
              <w:t>41.8</w:t>
            </w:r>
          </w:p>
        </w:tc>
        <w:tc>
          <w:tcPr>
            <w:tcW w:w="208" w:type="pct"/>
            <w:vAlign w:val="center"/>
          </w:tcPr>
          <w:p w14:paraId="20D0ADD6">
            <w:pPr>
              <w:pStyle w:val="28"/>
              <w:bidi w:val="0"/>
            </w:pPr>
            <w:r>
              <w:t>55</w:t>
            </w:r>
          </w:p>
        </w:tc>
        <w:tc>
          <w:tcPr>
            <w:tcW w:w="211" w:type="pct"/>
            <w:vAlign w:val="center"/>
          </w:tcPr>
          <w:p w14:paraId="3EC769E3">
            <w:pPr>
              <w:pStyle w:val="28"/>
              <w:bidi w:val="0"/>
            </w:pPr>
            <w:r>
              <w:t>45</w:t>
            </w:r>
          </w:p>
        </w:tc>
        <w:tc>
          <w:tcPr>
            <w:tcW w:w="276" w:type="pct"/>
            <w:vAlign w:val="center"/>
          </w:tcPr>
          <w:p w14:paraId="05AD7117">
            <w:pPr>
              <w:pStyle w:val="28"/>
              <w:bidi w:val="0"/>
            </w:pPr>
            <w:r>
              <w:t>57.8</w:t>
            </w:r>
          </w:p>
        </w:tc>
        <w:tc>
          <w:tcPr>
            <w:tcW w:w="257" w:type="pct"/>
            <w:vAlign w:val="center"/>
          </w:tcPr>
          <w:p w14:paraId="19E79CAA">
            <w:pPr>
              <w:pStyle w:val="28"/>
              <w:bidi w:val="0"/>
            </w:pPr>
            <w:r>
              <w:t>50.8</w:t>
            </w:r>
          </w:p>
        </w:tc>
        <w:tc>
          <w:tcPr>
            <w:tcW w:w="257" w:type="pct"/>
            <w:vAlign w:val="center"/>
          </w:tcPr>
          <w:p w14:paraId="6DF44756">
            <w:pPr>
              <w:pStyle w:val="28"/>
              <w:bidi w:val="0"/>
            </w:pPr>
            <w:r>
              <w:t>54.5</w:t>
            </w:r>
          </w:p>
        </w:tc>
        <w:tc>
          <w:tcPr>
            <w:tcW w:w="257" w:type="pct"/>
            <w:vAlign w:val="center"/>
          </w:tcPr>
          <w:p w14:paraId="7B7765D6">
            <w:pPr>
              <w:pStyle w:val="28"/>
              <w:bidi w:val="0"/>
            </w:pPr>
            <w:r>
              <w:t>2.4</w:t>
            </w:r>
          </w:p>
        </w:tc>
        <w:tc>
          <w:tcPr>
            <w:tcW w:w="209" w:type="pct"/>
            <w:vAlign w:val="center"/>
          </w:tcPr>
          <w:p w14:paraId="0CFBEC7C">
            <w:pPr>
              <w:pStyle w:val="28"/>
              <w:bidi w:val="0"/>
            </w:pPr>
            <w:r>
              <w:t>达标</w:t>
            </w:r>
          </w:p>
        </w:tc>
      </w:tr>
      <w:tr w14:paraId="0CB84A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951A563">
            <w:pPr>
              <w:pStyle w:val="28"/>
              <w:bidi w:val="0"/>
            </w:pPr>
            <w:r>
              <w:rPr>
                <w:rFonts w:hint="eastAsia"/>
              </w:rPr>
              <w:t>圩外</w:t>
            </w:r>
          </w:p>
        </w:tc>
        <w:tc>
          <w:tcPr>
            <w:tcW w:w="511" w:type="pct"/>
            <w:vAlign w:val="center"/>
          </w:tcPr>
          <w:p w14:paraId="15AF9468">
            <w:pPr>
              <w:pStyle w:val="28"/>
              <w:bidi w:val="0"/>
            </w:pPr>
            <w:r>
              <w:rPr>
                <w:rFonts w:hint="eastAsia"/>
              </w:rPr>
              <w:t>施工道路</w:t>
            </w:r>
          </w:p>
        </w:tc>
        <w:tc>
          <w:tcPr>
            <w:tcW w:w="366" w:type="pct"/>
            <w:vAlign w:val="center"/>
          </w:tcPr>
          <w:p w14:paraId="6A910505">
            <w:pPr>
              <w:pStyle w:val="28"/>
              <w:bidi w:val="0"/>
            </w:pPr>
            <w:r>
              <w:t>30</w:t>
            </w:r>
          </w:p>
        </w:tc>
        <w:tc>
          <w:tcPr>
            <w:tcW w:w="268" w:type="pct"/>
            <w:vAlign w:val="center"/>
          </w:tcPr>
          <w:p w14:paraId="5D0F66C5">
            <w:pPr>
              <w:pStyle w:val="28"/>
              <w:bidi w:val="0"/>
            </w:pPr>
            <w:r>
              <w:rPr>
                <w:rFonts w:hint="eastAsia"/>
              </w:rPr>
              <w:t>左岸</w:t>
            </w:r>
          </w:p>
        </w:tc>
        <w:tc>
          <w:tcPr>
            <w:tcW w:w="262" w:type="pct"/>
            <w:vAlign w:val="center"/>
          </w:tcPr>
          <w:p w14:paraId="5CC76BDA">
            <w:pPr>
              <w:pStyle w:val="28"/>
              <w:bidi w:val="0"/>
            </w:pPr>
            <w:r>
              <w:t>1</w:t>
            </w:r>
            <w:r>
              <w:rPr>
                <w:rFonts w:hint="eastAsia"/>
              </w:rPr>
              <w:t>类</w:t>
            </w:r>
          </w:p>
        </w:tc>
        <w:tc>
          <w:tcPr>
            <w:tcW w:w="809" w:type="pct"/>
            <w:vMerge w:val="restart"/>
            <w:vAlign w:val="center"/>
          </w:tcPr>
          <w:p w14:paraId="7BA0D4E2">
            <w:pPr>
              <w:pStyle w:val="28"/>
              <w:bidi w:val="0"/>
            </w:pPr>
            <w:r>
              <w:rPr>
                <w:rFonts w:hint="eastAsia"/>
              </w:rPr>
              <w:t>采用低噪声设备，施工机械远离居民住宅，设置双层移动声屏障</w:t>
            </w:r>
          </w:p>
        </w:tc>
        <w:tc>
          <w:tcPr>
            <w:tcW w:w="208" w:type="pct"/>
            <w:vAlign w:val="center"/>
          </w:tcPr>
          <w:p w14:paraId="6D791200">
            <w:pPr>
              <w:pStyle w:val="28"/>
              <w:bidi w:val="0"/>
            </w:pPr>
            <w:r>
              <w:t>52.1</w:t>
            </w:r>
          </w:p>
        </w:tc>
        <w:tc>
          <w:tcPr>
            <w:tcW w:w="211" w:type="pct"/>
            <w:vAlign w:val="center"/>
          </w:tcPr>
          <w:p w14:paraId="2FA57C6F">
            <w:pPr>
              <w:pStyle w:val="28"/>
              <w:bidi w:val="0"/>
            </w:pPr>
            <w:r>
              <w:t>41.8</w:t>
            </w:r>
          </w:p>
        </w:tc>
        <w:tc>
          <w:tcPr>
            <w:tcW w:w="208" w:type="pct"/>
            <w:vAlign w:val="center"/>
          </w:tcPr>
          <w:p w14:paraId="7A426F32">
            <w:pPr>
              <w:pStyle w:val="28"/>
              <w:bidi w:val="0"/>
            </w:pPr>
            <w:r>
              <w:t>55</w:t>
            </w:r>
          </w:p>
        </w:tc>
        <w:tc>
          <w:tcPr>
            <w:tcW w:w="211" w:type="pct"/>
            <w:vAlign w:val="center"/>
          </w:tcPr>
          <w:p w14:paraId="192D0757">
            <w:pPr>
              <w:pStyle w:val="28"/>
              <w:bidi w:val="0"/>
            </w:pPr>
            <w:r>
              <w:t>45</w:t>
            </w:r>
          </w:p>
        </w:tc>
        <w:tc>
          <w:tcPr>
            <w:tcW w:w="276" w:type="pct"/>
            <w:vAlign w:val="center"/>
          </w:tcPr>
          <w:p w14:paraId="358359D1">
            <w:pPr>
              <w:pStyle w:val="28"/>
              <w:bidi w:val="0"/>
            </w:pPr>
            <w:r>
              <w:t>50.6</w:t>
            </w:r>
          </w:p>
        </w:tc>
        <w:tc>
          <w:tcPr>
            <w:tcW w:w="257" w:type="pct"/>
            <w:vAlign w:val="center"/>
          </w:tcPr>
          <w:p w14:paraId="636A1AC2">
            <w:pPr>
              <w:pStyle w:val="28"/>
              <w:bidi w:val="0"/>
            </w:pPr>
            <w:r>
              <w:t>30.6</w:t>
            </w:r>
          </w:p>
        </w:tc>
        <w:tc>
          <w:tcPr>
            <w:tcW w:w="257" w:type="pct"/>
            <w:vAlign w:val="center"/>
          </w:tcPr>
          <w:p w14:paraId="7919E3A1">
            <w:pPr>
              <w:pStyle w:val="28"/>
              <w:bidi w:val="0"/>
            </w:pPr>
            <w:r>
              <w:t>52.1</w:t>
            </w:r>
          </w:p>
        </w:tc>
        <w:tc>
          <w:tcPr>
            <w:tcW w:w="257" w:type="pct"/>
            <w:vAlign w:val="center"/>
          </w:tcPr>
          <w:p w14:paraId="71982C05">
            <w:pPr>
              <w:pStyle w:val="28"/>
              <w:bidi w:val="0"/>
            </w:pPr>
            <w:r>
              <w:t>0.0</w:t>
            </w:r>
          </w:p>
        </w:tc>
        <w:tc>
          <w:tcPr>
            <w:tcW w:w="209" w:type="pct"/>
            <w:vAlign w:val="center"/>
          </w:tcPr>
          <w:p w14:paraId="016EAB89">
            <w:pPr>
              <w:pStyle w:val="28"/>
              <w:bidi w:val="0"/>
            </w:pPr>
            <w:r>
              <w:t>达标</w:t>
            </w:r>
          </w:p>
        </w:tc>
      </w:tr>
      <w:tr w14:paraId="08884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7AFCFCD">
            <w:pPr>
              <w:pStyle w:val="28"/>
              <w:bidi w:val="0"/>
            </w:pPr>
            <w:r>
              <w:rPr>
                <w:rFonts w:hint="eastAsia"/>
              </w:rPr>
              <w:t>陈油坊</w:t>
            </w:r>
          </w:p>
        </w:tc>
        <w:tc>
          <w:tcPr>
            <w:tcW w:w="511" w:type="pct"/>
            <w:vAlign w:val="center"/>
          </w:tcPr>
          <w:p w14:paraId="270C3441">
            <w:pPr>
              <w:pStyle w:val="28"/>
              <w:bidi w:val="0"/>
            </w:pPr>
            <w:r>
              <w:rPr>
                <w:rFonts w:hint="eastAsia"/>
              </w:rPr>
              <w:t>施工道路</w:t>
            </w:r>
          </w:p>
        </w:tc>
        <w:tc>
          <w:tcPr>
            <w:tcW w:w="366" w:type="pct"/>
            <w:vAlign w:val="center"/>
          </w:tcPr>
          <w:p w14:paraId="4F37923D">
            <w:pPr>
              <w:pStyle w:val="28"/>
              <w:bidi w:val="0"/>
            </w:pPr>
            <w:r>
              <w:t>32</w:t>
            </w:r>
          </w:p>
        </w:tc>
        <w:tc>
          <w:tcPr>
            <w:tcW w:w="268" w:type="pct"/>
            <w:vAlign w:val="center"/>
          </w:tcPr>
          <w:p w14:paraId="46C2EF26">
            <w:pPr>
              <w:pStyle w:val="28"/>
              <w:bidi w:val="0"/>
            </w:pPr>
            <w:r>
              <w:rPr>
                <w:rFonts w:hint="eastAsia"/>
              </w:rPr>
              <w:t>右岸</w:t>
            </w:r>
          </w:p>
        </w:tc>
        <w:tc>
          <w:tcPr>
            <w:tcW w:w="262" w:type="pct"/>
            <w:vAlign w:val="center"/>
          </w:tcPr>
          <w:p w14:paraId="78C6578D">
            <w:pPr>
              <w:pStyle w:val="28"/>
              <w:bidi w:val="0"/>
            </w:pPr>
            <w:r>
              <w:t>1</w:t>
            </w:r>
            <w:r>
              <w:rPr>
                <w:rFonts w:hint="eastAsia"/>
              </w:rPr>
              <w:t>类</w:t>
            </w:r>
          </w:p>
        </w:tc>
        <w:tc>
          <w:tcPr>
            <w:tcW w:w="809" w:type="pct"/>
            <w:vMerge w:val="continue"/>
            <w:vAlign w:val="center"/>
          </w:tcPr>
          <w:p w14:paraId="4498CDD8">
            <w:pPr>
              <w:pStyle w:val="28"/>
              <w:bidi w:val="0"/>
            </w:pPr>
          </w:p>
        </w:tc>
        <w:tc>
          <w:tcPr>
            <w:tcW w:w="208" w:type="pct"/>
            <w:vAlign w:val="center"/>
          </w:tcPr>
          <w:p w14:paraId="39CB5D98">
            <w:pPr>
              <w:pStyle w:val="28"/>
              <w:bidi w:val="0"/>
            </w:pPr>
            <w:r>
              <w:t>52.1</w:t>
            </w:r>
          </w:p>
        </w:tc>
        <w:tc>
          <w:tcPr>
            <w:tcW w:w="211" w:type="pct"/>
            <w:vAlign w:val="center"/>
          </w:tcPr>
          <w:p w14:paraId="4C219436">
            <w:pPr>
              <w:pStyle w:val="28"/>
              <w:bidi w:val="0"/>
            </w:pPr>
            <w:r>
              <w:t>41.8</w:t>
            </w:r>
          </w:p>
        </w:tc>
        <w:tc>
          <w:tcPr>
            <w:tcW w:w="208" w:type="pct"/>
            <w:vAlign w:val="center"/>
          </w:tcPr>
          <w:p w14:paraId="0E5350F8">
            <w:pPr>
              <w:pStyle w:val="28"/>
              <w:bidi w:val="0"/>
            </w:pPr>
            <w:r>
              <w:t>55</w:t>
            </w:r>
          </w:p>
        </w:tc>
        <w:tc>
          <w:tcPr>
            <w:tcW w:w="211" w:type="pct"/>
            <w:vAlign w:val="center"/>
          </w:tcPr>
          <w:p w14:paraId="44F281AB">
            <w:pPr>
              <w:pStyle w:val="28"/>
              <w:bidi w:val="0"/>
            </w:pPr>
            <w:r>
              <w:t>45</w:t>
            </w:r>
          </w:p>
        </w:tc>
        <w:tc>
          <w:tcPr>
            <w:tcW w:w="276" w:type="pct"/>
            <w:vAlign w:val="center"/>
          </w:tcPr>
          <w:p w14:paraId="30F545EE">
            <w:pPr>
              <w:pStyle w:val="28"/>
              <w:bidi w:val="0"/>
            </w:pPr>
            <w:r>
              <w:t>50.0</w:t>
            </w:r>
          </w:p>
        </w:tc>
        <w:tc>
          <w:tcPr>
            <w:tcW w:w="257" w:type="pct"/>
            <w:vAlign w:val="center"/>
          </w:tcPr>
          <w:p w14:paraId="03C01EAC">
            <w:pPr>
              <w:pStyle w:val="28"/>
              <w:bidi w:val="0"/>
            </w:pPr>
            <w:r>
              <w:t>30.0</w:t>
            </w:r>
          </w:p>
        </w:tc>
        <w:tc>
          <w:tcPr>
            <w:tcW w:w="257" w:type="pct"/>
            <w:vAlign w:val="center"/>
          </w:tcPr>
          <w:p w14:paraId="7D10DA68">
            <w:pPr>
              <w:pStyle w:val="28"/>
              <w:bidi w:val="0"/>
            </w:pPr>
            <w:r>
              <w:t>52.1</w:t>
            </w:r>
          </w:p>
        </w:tc>
        <w:tc>
          <w:tcPr>
            <w:tcW w:w="257" w:type="pct"/>
            <w:vAlign w:val="center"/>
          </w:tcPr>
          <w:p w14:paraId="766CC123">
            <w:pPr>
              <w:pStyle w:val="28"/>
              <w:bidi w:val="0"/>
            </w:pPr>
            <w:r>
              <w:t>0.0</w:t>
            </w:r>
          </w:p>
        </w:tc>
        <w:tc>
          <w:tcPr>
            <w:tcW w:w="209" w:type="pct"/>
            <w:vAlign w:val="center"/>
          </w:tcPr>
          <w:p w14:paraId="3038EEB4">
            <w:pPr>
              <w:pStyle w:val="28"/>
              <w:bidi w:val="0"/>
            </w:pPr>
            <w:r>
              <w:t>达标</w:t>
            </w:r>
          </w:p>
        </w:tc>
      </w:tr>
      <w:tr w14:paraId="65A90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9B691E5">
            <w:pPr>
              <w:pStyle w:val="28"/>
              <w:bidi w:val="0"/>
            </w:pPr>
            <w:r>
              <w:rPr>
                <w:rFonts w:hint="eastAsia"/>
              </w:rPr>
              <w:t>小葛</w:t>
            </w:r>
          </w:p>
        </w:tc>
        <w:tc>
          <w:tcPr>
            <w:tcW w:w="511" w:type="pct"/>
            <w:vAlign w:val="center"/>
          </w:tcPr>
          <w:p w14:paraId="5469AE6B">
            <w:pPr>
              <w:pStyle w:val="28"/>
              <w:bidi w:val="0"/>
            </w:pPr>
            <w:r>
              <w:rPr>
                <w:rFonts w:hint="eastAsia"/>
              </w:rPr>
              <w:t>施工道路</w:t>
            </w:r>
          </w:p>
        </w:tc>
        <w:tc>
          <w:tcPr>
            <w:tcW w:w="366" w:type="pct"/>
            <w:vAlign w:val="center"/>
          </w:tcPr>
          <w:p w14:paraId="1F081C29">
            <w:pPr>
              <w:pStyle w:val="28"/>
              <w:bidi w:val="0"/>
            </w:pPr>
            <w:r>
              <w:t>20</w:t>
            </w:r>
          </w:p>
        </w:tc>
        <w:tc>
          <w:tcPr>
            <w:tcW w:w="268" w:type="pct"/>
            <w:vAlign w:val="center"/>
          </w:tcPr>
          <w:p w14:paraId="53A0C685">
            <w:pPr>
              <w:pStyle w:val="28"/>
              <w:bidi w:val="0"/>
            </w:pPr>
            <w:r>
              <w:rPr>
                <w:rFonts w:hint="eastAsia"/>
              </w:rPr>
              <w:t>左岸</w:t>
            </w:r>
          </w:p>
        </w:tc>
        <w:tc>
          <w:tcPr>
            <w:tcW w:w="262" w:type="pct"/>
            <w:vAlign w:val="center"/>
          </w:tcPr>
          <w:p w14:paraId="50E489AA">
            <w:pPr>
              <w:pStyle w:val="28"/>
              <w:bidi w:val="0"/>
            </w:pPr>
            <w:r>
              <w:t>1</w:t>
            </w:r>
            <w:r>
              <w:rPr>
                <w:rFonts w:hint="eastAsia"/>
              </w:rPr>
              <w:t>类</w:t>
            </w:r>
          </w:p>
        </w:tc>
        <w:tc>
          <w:tcPr>
            <w:tcW w:w="809" w:type="pct"/>
            <w:vMerge w:val="continue"/>
            <w:vAlign w:val="center"/>
          </w:tcPr>
          <w:p w14:paraId="641A8D2C">
            <w:pPr>
              <w:pStyle w:val="28"/>
              <w:bidi w:val="0"/>
            </w:pPr>
          </w:p>
        </w:tc>
        <w:tc>
          <w:tcPr>
            <w:tcW w:w="208" w:type="pct"/>
            <w:vAlign w:val="center"/>
          </w:tcPr>
          <w:p w14:paraId="787B48DD">
            <w:pPr>
              <w:pStyle w:val="28"/>
              <w:bidi w:val="0"/>
            </w:pPr>
            <w:r>
              <w:t>52.1</w:t>
            </w:r>
          </w:p>
        </w:tc>
        <w:tc>
          <w:tcPr>
            <w:tcW w:w="211" w:type="pct"/>
            <w:vAlign w:val="center"/>
          </w:tcPr>
          <w:p w14:paraId="321CA98A">
            <w:pPr>
              <w:pStyle w:val="28"/>
              <w:bidi w:val="0"/>
            </w:pPr>
            <w:r>
              <w:t>41.8</w:t>
            </w:r>
          </w:p>
        </w:tc>
        <w:tc>
          <w:tcPr>
            <w:tcW w:w="208" w:type="pct"/>
            <w:vAlign w:val="center"/>
          </w:tcPr>
          <w:p w14:paraId="4847A1C9">
            <w:pPr>
              <w:pStyle w:val="28"/>
              <w:bidi w:val="0"/>
            </w:pPr>
            <w:r>
              <w:t>55</w:t>
            </w:r>
          </w:p>
        </w:tc>
        <w:tc>
          <w:tcPr>
            <w:tcW w:w="211" w:type="pct"/>
            <w:vAlign w:val="center"/>
          </w:tcPr>
          <w:p w14:paraId="4814C301">
            <w:pPr>
              <w:pStyle w:val="28"/>
              <w:bidi w:val="0"/>
            </w:pPr>
            <w:r>
              <w:t>45</w:t>
            </w:r>
          </w:p>
        </w:tc>
        <w:tc>
          <w:tcPr>
            <w:tcW w:w="276" w:type="pct"/>
            <w:vAlign w:val="center"/>
          </w:tcPr>
          <w:p w14:paraId="0A9A5D48">
            <w:pPr>
              <w:pStyle w:val="28"/>
              <w:bidi w:val="0"/>
            </w:pPr>
            <w:r>
              <w:t>54.1</w:t>
            </w:r>
          </w:p>
        </w:tc>
        <w:tc>
          <w:tcPr>
            <w:tcW w:w="257" w:type="pct"/>
            <w:vAlign w:val="center"/>
          </w:tcPr>
          <w:p w14:paraId="7902D621">
            <w:pPr>
              <w:pStyle w:val="28"/>
              <w:bidi w:val="0"/>
            </w:pPr>
            <w:r>
              <w:t>34.1</w:t>
            </w:r>
          </w:p>
        </w:tc>
        <w:tc>
          <w:tcPr>
            <w:tcW w:w="257" w:type="pct"/>
            <w:vAlign w:val="center"/>
          </w:tcPr>
          <w:p w14:paraId="187D3F82">
            <w:pPr>
              <w:pStyle w:val="28"/>
              <w:bidi w:val="0"/>
            </w:pPr>
            <w:r>
              <w:t>52.2</w:t>
            </w:r>
          </w:p>
        </w:tc>
        <w:tc>
          <w:tcPr>
            <w:tcW w:w="257" w:type="pct"/>
            <w:vAlign w:val="center"/>
          </w:tcPr>
          <w:p w14:paraId="26362ACF">
            <w:pPr>
              <w:pStyle w:val="28"/>
              <w:bidi w:val="0"/>
            </w:pPr>
            <w:r>
              <w:t>0.1</w:t>
            </w:r>
          </w:p>
        </w:tc>
        <w:tc>
          <w:tcPr>
            <w:tcW w:w="209" w:type="pct"/>
            <w:vAlign w:val="center"/>
          </w:tcPr>
          <w:p w14:paraId="0BAD15B0">
            <w:pPr>
              <w:pStyle w:val="28"/>
              <w:bidi w:val="0"/>
            </w:pPr>
            <w:r>
              <w:t>达标</w:t>
            </w:r>
          </w:p>
        </w:tc>
      </w:tr>
      <w:tr w14:paraId="66DC0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3EBA3C6">
            <w:pPr>
              <w:pStyle w:val="28"/>
              <w:bidi w:val="0"/>
            </w:pPr>
            <w:r>
              <w:rPr>
                <w:rFonts w:hint="eastAsia"/>
              </w:rPr>
              <w:t>袁上户</w:t>
            </w:r>
          </w:p>
        </w:tc>
        <w:tc>
          <w:tcPr>
            <w:tcW w:w="511" w:type="pct"/>
            <w:vAlign w:val="center"/>
          </w:tcPr>
          <w:p w14:paraId="5F9C7604">
            <w:pPr>
              <w:pStyle w:val="28"/>
              <w:bidi w:val="0"/>
            </w:pPr>
            <w:r>
              <w:rPr>
                <w:rFonts w:hint="eastAsia"/>
              </w:rPr>
              <w:t>施工道路</w:t>
            </w:r>
          </w:p>
        </w:tc>
        <w:tc>
          <w:tcPr>
            <w:tcW w:w="366" w:type="pct"/>
            <w:vAlign w:val="center"/>
          </w:tcPr>
          <w:p w14:paraId="0E7DFFCE">
            <w:pPr>
              <w:pStyle w:val="28"/>
              <w:bidi w:val="0"/>
            </w:pPr>
            <w:r>
              <w:t>164</w:t>
            </w:r>
          </w:p>
        </w:tc>
        <w:tc>
          <w:tcPr>
            <w:tcW w:w="268" w:type="pct"/>
            <w:vAlign w:val="center"/>
          </w:tcPr>
          <w:p w14:paraId="07917134">
            <w:pPr>
              <w:pStyle w:val="28"/>
              <w:bidi w:val="0"/>
            </w:pPr>
            <w:r>
              <w:rPr>
                <w:rFonts w:hint="eastAsia"/>
              </w:rPr>
              <w:t>左岸</w:t>
            </w:r>
          </w:p>
        </w:tc>
        <w:tc>
          <w:tcPr>
            <w:tcW w:w="262" w:type="pct"/>
            <w:vAlign w:val="center"/>
          </w:tcPr>
          <w:p w14:paraId="40C79B86">
            <w:pPr>
              <w:pStyle w:val="28"/>
              <w:bidi w:val="0"/>
            </w:pPr>
            <w:r>
              <w:t>1</w:t>
            </w:r>
            <w:r>
              <w:rPr>
                <w:rFonts w:hint="eastAsia"/>
              </w:rPr>
              <w:t>类</w:t>
            </w:r>
          </w:p>
        </w:tc>
        <w:tc>
          <w:tcPr>
            <w:tcW w:w="809" w:type="pct"/>
            <w:vMerge w:val="restart"/>
            <w:vAlign w:val="center"/>
          </w:tcPr>
          <w:p w14:paraId="1C326F3A">
            <w:pPr>
              <w:pStyle w:val="28"/>
              <w:bidi w:val="0"/>
            </w:pPr>
            <w:r>
              <w:rPr>
                <w:rFonts w:hint="eastAsia"/>
              </w:rPr>
              <w:t>采用低噪声设备，施工机械远离居民住宅</w:t>
            </w:r>
          </w:p>
        </w:tc>
        <w:tc>
          <w:tcPr>
            <w:tcW w:w="208" w:type="pct"/>
            <w:vAlign w:val="center"/>
          </w:tcPr>
          <w:p w14:paraId="4D3B2009">
            <w:pPr>
              <w:pStyle w:val="28"/>
              <w:bidi w:val="0"/>
            </w:pPr>
            <w:r>
              <w:t>52.1</w:t>
            </w:r>
          </w:p>
        </w:tc>
        <w:tc>
          <w:tcPr>
            <w:tcW w:w="211" w:type="pct"/>
            <w:vAlign w:val="center"/>
          </w:tcPr>
          <w:p w14:paraId="3D05F677">
            <w:pPr>
              <w:pStyle w:val="28"/>
              <w:bidi w:val="0"/>
            </w:pPr>
            <w:r>
              <w:t>41.8</w:t>
            </w:r>
          </w:p>
        </w:tc>
        <w:tc>
          <w:tcPr>
            <w:tcW w:w="208" w:type="pct"/>
            <w:vAlign w:val="center"/>
          </w:tcPr>
          <w:p w14:paraId="5B33403D">
            <w:pPr>
              <w:pStyle w:val="28"/>
              <w:bidi w:val="0"/>
            </w:pPr>
            <w:r>
              <w:t>55</w:t>
            </w:r>
          </w:p>
        </w:tc>
        <w:tc>
          <w:tcPr>
            <w:tcW w:w="211" w:type="pct"/>
            <w:vAlign w:val="center"/>
          </w:tcPr>
          <w:p w14:paraId="020250C0">
            <w:pPr>
              <w:pStyle w:val="28"/>
              <w:bidi w:val="0"/>
            </w:pPr>
            <w:r>
              <w:t>45</w:t>
            </w:r>
          </w:p>
        </w:tc>
        <w:tc>
          <w:tcPr>
            <w:tcW w:w="276" w:type="pct"/>
            <w:vAlign w:val="center"/>
          </w:tcPr>
          <w:p w14:paraId="6EA720C2">
            <w:pPr>
              <w:pStyle w:val="28"/>
              <w:bidi w:val="0"/>
            </w:pPr>
            <w:r>
              <w:t>35.8</w:t>
            </w:r>
          </w:p>
        </w:tc>
        <w:tc>
          <w:tcPr>
            <w:tcW w:w="257" w:type="pct"/>
            <w:vAlign w:val="center"/>
          </w:tcPr>
          <w:p w14:paraId="0111CA2B">
            <w:pPr>
              <w:pStyle w:val="28"/>
              <w:bidi w:val="0"/>
            </w:pPr>
            <w:r>
              <w:t>28.8</w:t>
            </w:r>
          </w:p>
        </w:tc>
        <w:tc>
          <w:tcPr>
            <w:tcW w:w="257" w:type="pct"/>
            <w:vAlign w:val="center"/>
          </w:tcPr>
          <w:p w14:paraId="20DB1DB1">
            <w:pPr>
              <w:pStyle w:val="28"/>
              <w:bidi w:val="0"/>
            </w:pPr>
            <w:r>
              <w:t>52.1</w:t>
            </w:r>
          </w:p>
        </w:tc>
        <w:tc>
          <w:tcPr>
            <w:tcW w:w="257" w:type="pct"/>
            <w:vAlign w:val="center"/>
          </w:tcPr>
          <w:p w14:paraId="37C60409">
            <w:pPr>
              <w:pStyle w:val="28"/>
              <w:bidi w:val="0"/>
            </w:pPr>
            <w:r>
              <w:t>0.0</w:t>
            </w:r>
          </w:p>
        </w:tc>
        <w:tc>
          <w:tcPr>
            <w:tcW w:w="209" w:type="pct"/>
            <w:vAlign w:val="center"/>
          </w:tcPr>
          <w:p w14:paraId="6356195B">
            <w:pPr>
              <w:pStyle w:val="28"/>
              <w:bidi w:val="0"/>
            </w:pPr>
            <w:r>
              <w:t>达标</w:t>
            </w:r>
          </w:p>
        </w:tc>
      </w:tr>
      <w:tr w14:paraId="75966897">
        <w:tblPrEx>
          <w:tblCellMar>
            <w:top w:w="0" w:type="dxa"/>
            <w:left w:w="108" w:type="dxa"/>
            <w:bottom w:w="0" w:type="dxa"/>
            <w:right w:w="108" w:type="dxa"/>
          </w:tblCellMar>
        </w:tblPrEx>
        <w:trPr>
          <w:trHeight w:val="340" w:hRule="atLeast"/>
          <w:jc w:val="center"/>
        </w:trPr>
        <w:tc>
          <w:tcPr>
            <w:tcW w:w="685" w:type="pct"/>
            <w:vAlign w:val="center"/>
          </w:tcPr>
          <w:p w14:paraId="0DF5B901">
            <w:pPr>
              <w:pStyle w:val="28"/>
              <w:bidi w:val="0"/>
            </w:pPr>
            <w:r>
              <w:rPr>
                <w:rFonts w:hint="eastAsia"/>
              </w:rPr>
              <w:t>陈圩</w:t>
            </w:r>
          </w:p>
        </w:tc>
        <w:tc>
          <w:tcPr>
            <w:tcW w:w="511" w:type="pct"/>
            <w:vAlign w:val="center"/>
          </w:tcPr>
          <w:p w14:paraId="3A0E5D89">
            <w:pPr>
              <w:pStyle w:val="28"/>
              <w:bidi w:val="0"/>
            </w:pPr>
            <w:r>
              <w:rPr>
                <w:rFonts w:hint="eastAsia"/>
              </w:rPr>
              <w:t>施工道路</w:t>
            </w:r>
          </w:p>
        </w:tc>
        <w:tc>
          <w:tcPr>
            <w:tcW w:w="366" w:type="pct"/>
            <w:vAlign w:val="center"/>
          </w:tcPr>
          <w:p w14:paraId="0DC34D3A">
            <w:pPr>
              <w:pStyle w:val="28"/>
              <w:bidi w:val="0"/>
            </w:pPr>
            <w:r>
              <w:t>72</w:t>
            </w:r>
          </w:p>
        </w:tc>
        <w:tc>
          <w:tcPr>
            <w:tcW w:w="268" w:type="pct"/>
            <w:vAlign w:val="center"/>
          </w:tcPr>
          <w:p w14:paraId="5901FDA4">
            <w:pPr>
              <w:pStyle w:val="28"/>
              <w:bidi w:val="0"/>
            </w:pPr>
            <w:r>
              <w:rPr>
                <w:rFonts w:hint="eastAsia"/>
              </w:rPr>
              <w:t>右岸</w:t>
            </w:r>
          </w:p>
        </w:tc>
        <w:tc>
          <w:tcPr>
            <w:tcW w:w="262" w:type="pct"/>
            <w:vAlign w:val="center"/>
          </w:tcPr>
          <w:p w14:paraId="1070F4AF">
            <w:pPr>
              <w:pStyle w:val="28"/>
              <w:bidi w:val="0"/>
            </w:pPr>
            <w:r>
              <w:t>1</w:t>
            </w:r>
            <w:r>
              <w:rPr>
                <w:rFonts w:hint="eastAsia"/>
              </w:rPr>
              <w:t>类</w:t>
            </w:r>
          </w:p>
        </w:tc>
        <w:tc>
          <w:tcPr>
            <w:tcW w:w="809" w:type="pct"/>
            <w:vMerge w:val="continue"/>
            <w:vAlign w:val="center"/>
          </w:tcPr>
          <w:p w14:paraId="230759BC">
            <w:pPr>
              <w:pStyle w:val="28"/>
              <w:bidi w:val="0"/>
            </w:pPr>
          </w:p>
        </w:tc>
        <w:tc>
          <w:tcPr>
            <w:tcW w:w="208" w:type="pct"/>
            <w:vAlign w:val="center"/>
          </w:tcPr>
          <w:p w14:paraId="06BF9457">
            <w:pPr>
              <w:pStyle w:val="28"/>
              <w:bidi w:val="0"/>
            </w:pPr>
            <w:r>
              <w:t>52.1</w:t>
            </w:r>
          </w:p>
        </w:tc>
        <w:tc>
          <w:tcPr>
            <w:tcW w:w="211" w:type="pct"/>
            <w:vAlign w:val="center"/>
          </w:tcPr>
          <w:p w14:paraId="1E0DD930">
            <w:pPr>
              <w:pStyle w:val="28"/>
              <w:bidi w:val="0"/>
            </w:pPr>
            <w:r>
              <w:t>41.8</w:t>
            </w:r>
          </w:p>
        </w:tc>
        <w:tc>
          <w:tcPr>
            <w:tcW w:w="208" w:type="pct"/>
            <w:vAlign w:val="center"/>
          </w:tcPr>
          <w:p w14:paraId="765D922E">
            <w:pPr>
              <w:pStyle w:val="28"/>
              <w:bidi w:val="0"/>
            </w:pPr>
            <w:r>
              <w:t>55</w:t>
            </w:r>
          </w:p>
        </w:tc>
        <w:tc>
          <w:tcPr>
            <w:tcW w:w="211" w:type="pct"/>
            <w:vAlign w:val="center"/>
          </w:tcPr>
          <w:p w14:paraId="5B925101">
            <w:pPr>
              <w:pStyle w:val="28"/>
              <w:bidi w:val="0"/>
            </w:pPr>
            <w:r>
              <w:t>45</w:t>
            </w:r>
          </w:p>
        </w:tc>
        <w:tc>
          <w:tcPr>
            <w:tcW w:w="276" w:type="pct"/>
            <w:vAlign w:val="center"/>
          </w:tcPr>
          <w:p w14:paraId="6B4C6E99">
            <w:pPr>
              <w:pStyle w:val="28"/>
              <w:bidi w:val="0"/>
            </w:pPr>
            <w:r>
              <w:t>43.0</w:t>
            </w:r>
          </w:p>
        </w:tc>
        <w:tc>
          <w:tcPr>
            <w:tcW w:w="257" w:type="pct"/>
            <w:vAlign w:val="center"/>
          </w:tcPr>
          <w:p w14:paraId="5B9AA1B0">
            <w:pPr>
              <w:pStyle w:val="28"/>
              <w:bidi w:val="0"/>
            </w:pPr>
            <w:r>
              <w:t>36.0</w:t>
            </w:r>
          </w:p>
        </w:tc>
        <w:tc>
          <w:tcPr>
            <w:tcW w:w="257" w:type="pct"/>
            <w:vAlign w:val="center"/>
          </w:tcPr>
          <w:p w14:paraId="771642CE">
            <w:pPr>
              <w:pStyle w:val="28"/>
              <w:bidi w:val="0"/>
            </w:pPr>
            <w:r>
              <w:t>52.2</w:t>
            </w:r>
          </w:p>
        </w:tc>
        <w:tc>
          <w:tcPr>
            <w:tcW w:w="257" w:type="pct"/>
            <w:vAlign w:val="center"/>
          </w:tcPr>
          <w:p w14:paraId="19B5BD06">
            <w:pPr>
              <w:pStyle w:val="28"/>
              <w:bidi w:val="0"/>
            </w:pPr>
            <w:r>
              <w:t>0.1</w:t>
            </w:r>
          </w:p>
        </w:tc>
        <w:tc>
          <w:tcPr>
            <w:tcW w:w="209" w:type="pct"/>
            <w:vAlign w:val="center"/>
          </w:tcPr>
          <w:p w14:paraId="6F617237">
            <w:pPr>
              <w:pStyle w:val="28"/>
              <w:bidi w:val="0"/>
            </w:pPr>
            <w:r>
              <w:t>达标</w:t>
            </w:r>
          </w:p>
        </w:tc>
      </w:tr>
      <w:tr w14:paraId="20351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F2137A6">
            <w:pPr>
              <w:pStyle w:val="28"/>
              <w:bidi w:val="0"/>
            </w:pPr>
            <w:r>
              <w:rPr>
                <w:rFonts w:hint="eastAsia"/>
              </w:rPr>
              <w:t>团结村</w:t>
            </w:r>
          </w:p>
        </w:tc>
        <w:tc>
          <w:tcPr>
            <w:tcW w:w="511" w:type="pct"/>
            <w:vAlign w:val="center"/>
          </w:tcPr>
          <w:p w14:paraId="4FB52BD3">
            <w:pPr>
              <w:pStyle w:val="28"/>
              <w:bidi w:val="0"/>
            </w:pPr>
            <w:r>
              <w:rPr>
                <w:rFonts w:hint="eastAsia"/>
              </w:rPr>
              <w:t>施工道路</w:t>
            </w:r>
          </w:p>
        </w:tc>
        <w:tc>
          <w:tcPr>
            <w:tcW w:w="366" w:type="pct"/>
            <w:vAlign w:val="center"/>
          </w:tcPr>
          <w:p w14:paraId="02343FC5">
            <w:pPr>
              <w:pStyle w:val="28"/>
              <w:bidi w:val="0"/>
            </w:pPr>
            <w:r>
              <w:t>145</w:t>
            </w:r>
          </w:p>
        </w:tc>
        <w:tc>
          <w:tcPr>
            <w:tcW w:w="268" w:type="pct"/>
            <w:vAlign w:val="center"/>
          </w:tcPr>
          <w:p w14:paraId="7727281F">
            <w:pPr>
              <w:pStyle w:val="28"/>
              <w:bidi w:val="0"/>
            </w:pPr>
            <w:r>
              <w:rPr>
                <w:rFonts w:hint="eastAsia"/>
              </w:rPr>
              <w:t>左岸</w:t>
            </w:r>
          </w:p>
        </w:tc>
        <w:tc>
          <w:tcPr>
            <w:tcW w:w="262" w:type="pct"/>
            <w:vAlign w:val="center"/>
          </w:tcPr>
          <w:p w14:paraId="62A91DB3">
            <w:pPr>
              <w:pStyle w:val="28"/>
              <w:bidi w:val="0"/>
            </w:pPr>
            <w:r>
              <w:t>1</w:t>
            </w:r>
            <w:r>
              <w:rPr>
                <w:rFonts w:hint="eastAsia"/>
              </w:rPr>
              <w:t>类</w:t>
            </w:r>
          </w:p>
        </w:tc>
        <w:tc>
          <w:tcPr>
            <w:tcW w:w="809" w:type="pct"/>
            <w:vMerge w:val="continue"/>
            <w:vAlign w:val="center"/>
          </w:tcPr>
          <w:p w14:paraId="018DE456">
            <w:pPr>
              <w:pStyle w:val="28"/>
              <w:bidi w:val="0"/>
            </w:pPr>
          </w:p>
        </w:tc>
        <w:tc>
          <w:tcPr>
            <w:tcW w:w="208" w:type="pct"/>
            <w:vAlign w:val="center"/>
          </w:tcPr>
          <w:p w14:paraId="40366941">
            <w:pPr>
              <w:pStyle w:val="28"/>
              <w:bidi w:val="0"/>
            </w:pPr>
            <w:r>
              <w:t>52.1</w:t>
            </w:r>
          </w:p>
        </w:tc>
        <w:tc>
          <w:tcPr>
            <w:tcW w:w="211" w:type="pct"/>
            <w:vAlign w:val="center"/>
          </w:tcPr>
          <w:p w14:paraId="3413D038">
            <w:pPr>
              <w:pStyle w:val="28"/>
              <w:bidi w:val="0"/>
            </w:pPr>
            <w:r>
              <w:t>41.8</w:t>
            </w:r>
          </w:p>
        </w:tc>
        <w:tc>
          <w:tcPr>
            <w:tcW w:w="208" w:type="pct"/>
            <w:vAlign w:val="center"/>
          </w:tcPr>
          <w:p w14:paraId="18189844">
            <w:pPr>
              <w:pStyle w:val="28"/>
              <w:bidi w:val="0"/>
            </w:pPr>
            <w:r>
              <w:t>55</w:t>
            </w:r>
          </w:p>
        </w:tc>
        <w:tc>
          <w:tcPr>
            <w:tcW w:w="211" w:type="pct"/>
            <w:vAlign w:val="center"/>
          </w:tcPr>
          <w:p w14:paraId="6B275EC5">
            <w:pPr>
              <w:pStyle w:val="28"/>
              <w:bidi w:val="0"/>
            </w:pPr>
            <w:r>
              <w:t>45</w:t>
            </w:r>
          </w:p>
        </w:tc>
        <w:tc>
          <w:tcPr>
            <w:tcW w:w="276" w:type="pct"/>
            <w:vAlign w:val="center"/>
          </w:tcPr>
          <w:p w14:paraId="32BA98BD">
            <w:pPr>
              <w:pStyle w:val="28"/>
              <w:bidi w:val="0"/>
            </w:pPr>
            <w:r>
              <w:t>36.9</w:t>
            </w:r>
          </w:p>
        </w:tc>
        <w:tc>
          <w:tcPr>
            <w:tcW w:w="257" w:type="pct"/>
            <w:vAlign w:val="center"/>
          </w:tcPr>
          <w:p w14:paraId="7371E195">
            <w:pPr>
              <w:pStyle w:val="28"/>
              <w:bidi w:val="0"/>
            </w:pPr>
            <w:r>
              <w:t>29.9</w:t>
            </w:r>
          </w:p>
        </w:tc>
        <w:tc>
          <w:tcPr>
            <w:tcW w:w="257" w:type="pct"/>
            <w:vAlign w:val="center"/>
          </w:tcPr>
          <w:p w14:paraId="31D1D5EF">
            <w:pPr>
              <w:pStyle w:val="28"/>
              <w:bidi w:val="0"/>
            </w:pPr>
            <w:r>
              <w:t>52.1</w:t>
            </w:r>
          </w:p>
        </w:tc>
        <w:tc>
          <w:tcPr>
            <w:tcW w:w="257" w:type="pct"/>
            <w:vAlign w:val="center"/>
          </w:tcPr>
          <w:p w14:paraId="11CE13E0">
            <w:pPr>
              <w:pStyle w:val="28"/>
              <w:bidi w:val="0"/>
            </w:pPr>
            <w:r>
              <w:t>0.0</w:t>
            </w:r>
          </w:p>
        </w:tc>
        <w:tc>
          <w:tcPr>
            <w:tcW w:w="209" w:type="pct"/>
            <w:vAlign w:val="center"/>
          </w:tcPr>
          <w:p w14:paraId="59EA7C62">
            <w:pPr>
              <w:pStyle w:val="28"/>
              <w:bidi w:val="0"/>
            </w:pPr>
            <w:r>
              <w:t>达标</w:t>
            </w:r>
          </w:p>
        </w:tc>
      </w:tr>
      <w:tr w14:paraId="4FB18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DB3B2D1">
            <w:pPr>
              <w:pStyle w:val="28"/>
              <w:bidi w:val="0"/>
            </w:pPr>
            <w:r>
              <w:rPr>
                <w:rFonts w:hint="eastAsia"/>
              </w:rPr>
              <w:t>大封洼</w:t>
            </w:r>
          </w:p>
        </w:tc>
        <w:tc>
          <w:tcPr>
            <w:tcW w:w="511" w:type="pct"/>
            <w:vAlign w:val="center"/>
          </w:tcPr>
          <w:p w14:paraId="66B29A75">
            <w:pPr>
              <w:pStyle w:val="28"/>
              <w:bidi w:val="0"/>
            </w:pPr>
            <w:r>
              <w:rPr>
                <w:rFonts w:hint="eastAsia"/>
              </w:rPr>
              <w:t>施工道路</w:t>
            </w:r>
          </w:p>
        </w:tc>
        <w:tc>
          <w:tcPr>
            <w:tcW w:w="366" w:type="pct"/>
            <w:vAlign w:val="center"/>
          </w:tcPr>
          <w:p w14:paraId="7F456C3E">
            <w:pPr>
              <w:pStyle w:val="28"/>
              <w:bidi w:val="0"/>
            </w:pPr>
            <w:r>
              <w:t>15</w:t>
            </w:r>
          </w:p>
        </w:tc>
        <w:tc>
          <w:tcPr>
            <w:tcW w:w="268" w:type="pct"/>
            <w:vAlign w:val="center"/>
          </w:tcPr>
          <w:p w14:paraId="39292176">
            <w:pPr>
              <w:pStyle w:val="28"/>
              <w:bidi w:val="0"/>
            </w:pPr>
            <w:r>
              <w:rPr>
                <w:rFonts w:hint="eastAsia"/>
              </w:rPr>
              <w:t>左岸</w:t>
            </w:r>
          </w:p>
        </w:tc>
        <w:tc>
          <w:tcPr>
            <w:tcW w:w="262" w:type="pct"/>
            <w:vAlign w:val="center"/>
          </w:tcPr>
          <w:p w14:paraId="441F100D">
            <w:pPr>
              <w:pStyle w:val="28"/>
              <w:bidi w:val="0"/>
            </w:pPr>
            <w:r>
              <w:t>1</w:t>
            </w:r>
            <w:r>
              <w:rPr>
                <w:rFonts w:hint="eastAsia"/>
              </w:rPr>
              <w:t>类</w:t>
            </w:r>
          </w:p>
        </w:tc>
        <w:tc>
          <w:tcPr>
            <w:tcW w:w="809" w:type="pct"/>
            <w:vMerge w:val="restart"/>
            <w:vAlign w:val="center"/>
          </w:tcPr>
          <w:p w14:paraId="67BC213D">
            <w:pPr>
              <w:pStyle w:val="28"/>
              <w:bidi w:val="0"/>
            </w:pPr>
            <w:r>
              <w:rPr>
                <w:rFonts w:hint="eastAsia"/>
              </w:rPr>
              <w:t>采用低噪声设备，施工机械远离居民住宅，设置双层移动声屏障</w:t>
            </w:r>
          </w:p>
        </w:tc>
        <w:tc>
          <w:tcPr>
            <w:tcW w:w="208" w:type="pct"/>
            <w:vAlign w:val="center"/>
          </w:tcPr>
          <w:p w14:paraId="52B66FB1">
            <w:pPr>
              <w:pStyle w:val="28"/>
              <w:bidi w:val="0"/>
            </w:pPr>
            <w:r>
              <w:t>52.1</w:t>
            </w:r>
          </w:p>
        </w:tc>
        <w:tc>
          <w:tcPr>
            <w:tcW w:w="211" w:type="pct"/>
            <w:vAlign w:val="center"/>
          </w:tcPr>
          <w:p w14:paraId="4B4CE67A">
            <w:pPr>
              <w:pStyle w:val="28"/>
              <w:bidi w:val="0"/>
            </w:pPr>
            <w:r>
              <w:t>41.8</w:t>
            </w:r>
          </w:p>
        </w:tc>
        <w:tc>
          <w:tcPr>
            <w:tcW w:w="208" w:type="pct"/>
            <w:vAlign w:val="center"/>
          </w:tcPr>
          <w:p w14:paraId="407B73DD">
            <w:pPr>
              <w:pStyle w:val="28"/>
              <w:bidi w:val="0"/>
            </w:pPr>
            <w:r>
              <w:t>55</w:t>
            </w:r>
          </w:p>
        </w:tc>
        <w:tc>
          <w:tcPr>
            <w:tcW w:w="211" w:type="pct"/>
            <w:vAlign w:val="center"/>
          </w:tcPr>
          <w:p w14:paraId="3BD1156D">
            <w:pPr>
              <w:pStyle w:val="28"/>
              <w:bidi w:val="0"/>
            </w:pPr>
            <w:r>
              <w:t>45</w:t>
            </w:r>
          </w:p>
        </w:tc>
        <w:tc>
          <w:tcPr>
            <w:tcW w:w="276" w:type="pct"/>
            <w:vAlign w:val="center"/>
          </w:tcPr>
          <w:p w14:paraId="4350D727">
            <w:pPr>
              <w:pStyle w:val="28"/>
              <w:bidi w:val="0"/>
            </w:pPr>
            <w:r>
              <w:t>56.6</w:t>
            </w:r>
          </w:p>
        </w:tc>
        <w:tc>
          <w:tcPr>
            <w:tcW w:w="257" w:type="pct"/>
            <w:vAlign w:val="center"/>
          </w:tcPr>
          <w:p w14:paraId="7AB3D584">
            <w:pPr>
              <w:pStyle w:val="28"/>
              <w:bidi w:val="0"/>
            </w:pPr>
            <w:r>
              <w:t>36.6</w:t>
            </w:r>
          </w:p>
        </w:tc>
        <w:tc>
          <w:tcPr>
            <w:tcW w:w="257" w:type="pct"/>
            <w:vAlign w:val="center"/>
          </w:tcPr>
          <w:p w14:paraId="7D4D5569">
            <w:pPr>
              <w:pStyle w:val="28"/>
              <w:bidi w:val="0"/>
            </w:pPr>
            <w:r>
              <w:t>52.2</w:t>
            </w:r>
          </w:p>
        </w:tc>
        <w:tc>
          <w:tcPr>
            <w:tcW w:w="257" w:type="pct"/>
            <w:vAlign w:val="center"/>
          </w:tcPr>
          <w:p w14:paraId="39E89A8E">
            <w:pPr>
              <w:pStyle w:val="28"/>
              <w:bidi w:val="0"/>
            </w:pPr>
            <w:r>
              <w:t>0.1</w:t>
            </w:r>
          </w:p>
        </w:tc>
        <w:tc>
          <w:tcPr>
            <w:tcW w:w="209" w:type="pct"/>
            <w:vAlign w:val="center"/>
          </w:tcPr>
          <w:p w14:paraId="20DC2E02">
            <w:pPr>
              <w:pStyle w:val="28"/>
              <w:bidi w:val="0"/>
            </w:pPr>
            <w:r>
              <w:t>达标</w:t>
            </w:r>
          </w:p>
        </w:tc>
      </w:tr>
      <w:tr w14:paraId="0B7B6E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1D6BEAF">
            <w:pPr>
              <w:pStyle w:val="28"/>
              <w:bidi w:val="0"/>
            </w:pPr>
            <w:r>
              <w:rPr>
                <w:rFonts w:hint="eastAsia"/>
              </w:rPr>
              <w:t>殷庄</w:t>
            </w:r>
          </w:p>
        </w:tc>
        <w:tc>
          <w:tcPr>
            <w:tcW w:w="511" w:type="pct"/>
            <w:vAlign w:val="center"/>
          </w:tcPr>
          <w:p w14:paraId="47E0960B">
            <w:pPr>
              <w:pStyle w:val="28"/>
              <w:bidi w:val="0"/>
            </w:pPr>
            <w:r>
              <w:rPr>
                <w:rFonts w:hint="eastAsia"/>
              </w:rPr>
              <w:t>施工道路</w:t>
            </w:r>
          </w:p>
        </w:tc>
        <w:tc>
          <w:tcPr>
            <w:tcW w:w="366" w:type="pct"/>
            <w:vAlign w:val="center"/>
          </w:tcPr>
          <w:p w14:paraId="404A27BB">
            <w:pPr>
              <w:pStyle w:val="28"/>
              <w:bidi w:val="0"/>
            </w:pPr>
            <w:r>
              <w:t>29</w:t>
            </w:r>
          </w:p>
        </w:tc>
        <w:tc>
          <w:tcPr>
            <w:tcW w:w="268" w:type="pct"/>
            <w:vAlign w:val="center"/>
          </w:tcPr>
          <w:p w14:paraId="714F5184">
            <w:pPr>
              <w:pStyle w:val="28"/>
              <w:bidi w:val="0"/>
            </w:pPr>
            <w:r>
              <w:rPr>
                <w:rFonts w:hint="eastAsia"/>
              </w:rPr>
              <w:t>右岸</w:t>
            </w:r>
          </w:p>
        </w:tc>
        <w:tc>
          <w:tcPr>
            <w:tcW w:w="262" w:type="pct"/>
            <w:vAlign w:val="center"/>
          </w:tcPr>
          <w:p w14:paraId="19E346AB">
            <w:pPr>
              <w:pStyle w:val="28"/>
              <w:bidi w:val="0"/>
            </w:pPr>
            <w:r>
              <w:t>1</w:t>
            </w:r>
            <w:r>
              <w:rPr>
                <w:rFonts w:hint="eastAsia"/>
              </w:rPr>
              <w:t>类</w:t>
            </w:r>
          </w:p>
        </w:tc>
        <w:tc>
          <w:tcPr>
            <w:tcW w:w="809" w:type="pct"/>
            <w:vMerge w:val="continue"/>
            <w:vAlign w:val="center"/>
          </w:tcPr>
          <w:p w14:paraId="20F9C2D9">
            <w:pPr>
              <w:pStyle w:val="28"/>
              <w:bidi w:val="0"/>
            </w:pPr>
          </w:p>
        </w:tc>
        <w:tc>
          <w:tcPr>
            <w:tcW w:w="208" w:type="pct"/>
            <w:vAlign w:val="center"/>
          </w:tcPr>
          <w:p w14:paraId="3C448C66">
            <w:pPr>
              <w:pStyle w:val="28"/>
              <w:bidi w:val="0"/>
            </w:pPr>
            <w:r>
              <w:t>53.6</w:t>
            </w:r>
          </w:p>
        </w:tc>
        <w:tc>
          <w:tcPr>
            <w:tcW w:w="211" w:type="pct"/>
            <w:vAlign w:val="center"/>
          </w:tcPr>
          <w:p w14:paraId="04E9C97B">
            <w:pPr>
              <w:pStyle w:val="28"/>
              <w:bidi w:val="0"/>
            </w:pPr>
            <w:r>
              <w:t>41</w:t>
            </w:r>
          </w:p>
        </w:tc>
        <w:tc>
          <w:tcPr>
            <w:tcW w:w="208" w:type="pct"/>
            <w:vAlign w:val="center"/>
          </w:tcPr>
          <w:p w14:paraId="712616E0">
            <w:pPr>
              <w:pStyle w:val="28"/>
              <w:bidi w:val="0"/>
            </w:pPr>
            <w:r>
              <w:t>55</w:t>
            </w:r>
          </w:p>
        </w:tc>
        <w:tc>
          <w:tcPr>
            <w:tcW w:w="211" w:type="pct"/>
            <w:vAlign w:val="center"/>
          </w:tcPr>
          <w:p w14:paraId="3F606B6C">
            <w:pPr>
              <w:pStyle w:val="28"/>
              <w:bidi w:val="0"/>
            </w:pPr>
            <w:r>
              <w:t>45</w:t>
            </w:r>
          </w:p>
        </w:tc>
        <w:tc>
          <w:tcPr>
            <w:tcW w:w="276" w:type="pct"/>
            <w:vAlign w:val="center"/>
          </w:tcPr>
          <w:p w14:paraId="79DCF5E1">
            <w:pPr>
              <w:pStyle w:val="28"/>
              <w:bidi w:val="0"/>
            </w:pPr>
            <w:r>
              <w:t>50.9</w:t>
            </w:r>
          </w:p>
        </w:tc>
        <w:tc>
          <w:tcPr>
            <w:tcW w:w="257" w:type="pct"/>
            <w:vAlign w:val="center"/>
          </w:tcPr>
          <w:p w14:paraId="293DC37B">
            <w:pPr>
              <w:pStyle w:val="28"/>
              <w:bidi w:val="0"/>
            </w:pPr>
            <w:r>
              <w:t>30.9</w:t>
            </w:r>
          </w:p>
        </w:tc>
        <w:tc>
          <w:tcPr>
            <w:tcW w:w="257" w:type="pct"/>
            <w:vAlign w:val="center"/>
          </w:tcPr>
          <w:p w14:paraId="21E7BC2B">
            <w:pPr>
              <w:pStyle w:val="28"/>
              <w:bidi w:val="0"/>
            </w:pPr>
            <w:r>
              <w:t>53.6</w:t>
            </w:r>
          </w:p>
        </w:tc>
        <w:tc>
          <w:tcPr>
            <w:tcW w:w="257" w:type="pct"/>
            <w:vAlign w:val="center"/>
          </w:tcPr>
          <w:p w14:paraId="50233A8C">
            <w:pPr>
              <w:pStyle w:val="28"/>
              <w:bidi w:val="0"/>
            </w:pPr>
            <w:r>
              <w:t>0.0</w:t>
            </w:r>
          </w:p>
        </w:tc>
        <w:tc>
          <w:tcPr>
            <w:tcW w:w="209" w:type="pct"/>
            <w:vAlign w:val="center"/>
          </w:tcPr>
          <w:p w14:paraId="63D83403">
            <w:pPr>
              <w:pStyle w:val="28"/>
              <w:bidi w:val="0"/>
            </w:pPr>
            <w:r>
              <w:t>达标</w:t>
            </w:r>
          </w:p>
        </w:tc>
      </w:tr>
      <w:tr w14:paraId="2B15D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64FC815">
            <w:pPr>
              <w:pStyle w:val="28"/>
              <w:bidi w:val="0"/>
            </w:pPr>
            <w:r>
              <w:rPr>
                <w:rFonts w:hint="eastAsia"/>
              </w:rPr>
              <w:t>明星村</w:t>
            </w:r>
          </w:p>
        </w:tc>
        <w:tc>
          <w:tcPr>
            <w:tcW w:w="511" w:type="pct"/>
            <w:vAlign w:val="center"/>
          </w:tcPr>
          <w:p w14:paraId="5486E62C">
            <w:pPr>
              <w:pStyle w:val="28"/>
              <w:bidi w:val="0"/>
            </w:pPr>
            <w:r>
              <w:rPr>
                <w:rFonts w:hint="eastAsia"/>
              </w:rPr>
              <w:t>渠岸跌水</w:t>
            </w:r>
          </w:p>
        </w:tc>
        <w:tc>
          <w:tcPr>
            <w:tcW w:w="366" w:type="pct"/>
            <w:vAlign w:val="center"/>
          </w:tcPr>
          <w:p w14:paraId="634DD8ED">
            <w:pPr>
              <w:pStyle w:val="28"/>
              <w:bidi w:val="0"/>
            </w:pPr>
            <w:r>
              <w:t>100</w:t>
            </w:r>
          </w:p>
        </w:tc>
        <w:tc>
          <w:tcPr>
            <w:tcW w:w="268" w:type="pct"/>
            <w:vAlign w:val="center"/>
          </w:tcPr>
          <w:p w14:paraId="41236088">
            <w:pPr>
              <w:pStyle w:val="28"/>
              <w:bidi w:val="0"/>
            </w:pPr>
            <w:r>
              <w:rPr>
                <w:rFonts w:hint="eastAsia"/>
              </w:rPr>
              <w:t>右岸</w:t>
            </w:r>
          </w:p>
        </w:tc>
        <w:tc>
          <w:tcPr>
            <w:tcW w:w="262" w:type="pct"/>
            <w:vAlign w:val="center"/>
          </w:tcPr>
          <w:p w14:paraId="404807BD">
            <w:pPr>
              <w:pStyle w:val="28"/>
              <w:bidi w:val="0"/>
            </w:pPr>
            <w:r>
              <w:t>1</w:t>
            </w:r>
            <w:r>
              <w:rPr>
                <w:rFonts w:hint="eastAsia"/>
              </w:rPr>
              <w:t>类</w:t>
            </w:r>
          </w:p>
        </w:tc>
        <w:tc>
          <w:tcPr>
            <w:tcW w:w="809" w:type="pct"/>
            <w:vMerge w:val="restart"/>
            <w:vAlign w:val="center"/>
          </w:tcPr>
          <w:p w14:paraId="1CDF7489">
            <w:pPr>
              <w:pStyle w:val="28"/>
              <w:bidi w:val="0"/>
            </w:pPr>
            <w:r>
              <w:rPr>
                <w:rFonts w:hint="eastAsia"/>
              </w:rPr>
              <w:t>采用低噪声设备，施工机械远离居民住宅</w:t>
            </w:r>
          </w:p>
        </w:tc>
        <w:tc>
          <w:tcPr>
            <w:tcW w:w="208" w:type="pct"/>
            <w:vAlign w:val="center"/>
          </w:tcPr>
          <w:p w14:paraId="07B93C71">
            <w:pPr>
              <w:pStyle w:val="28"/>
              <w:bidi w:val="0"/>
            </w:pPr>
            <w:r>
              <w:t>53.6</w:t>
            </w:r>
          </w:p>
        </w:tc>
        <w:tc>
          <w:tcPr>
            <w:tcW w:w="211" w:type="pct"/>
            <w:vAlign w:val="center"/>
          </w:tcPr>
          <w:p w14:paraId="39DFBA02">
            <w:pPr>
              <w:pStyle w:val="28"/>
              <w:bidi w:val="0"/>
            </w:pPr>
            <w:r>
              <w:t>41</w:t>
            </w:r>
          </w:p>
        </w:tc>
        <w:tc>
          <w:tcPr>
            <w:tcW w:w="208" w:type="pct"/>
            <w:vAlign w:val="center"/>
          </w:tcPr>
          <w:p w14:paraId="012D7240">
            <w:pPr>
              <w:pStyle w:val="28"/>
              <w:bidi w:val="0"/>
            </w:pPr>
            <w:r>
              <w:t>55</w:t>
            </w:r>
          </w:p>
        </w:tc>
        <w:tc>
          <w:tcPr>
            <w:tcW w:w="211" w:type="pct"/>
            <w:vAlign w:val="center"/>
          </w:tcPr>
          <w:p w14:paraId="440A4C06">
            <w:pPr>
              <w:pStyle w:val="28"/>
              <w:bidi w:val="0"/>
            </w:pPr>
            <w:r>
              <w:t>45</w:t>
            </w:r>
          </w:p>
        </w:tc>
        <w:tc>
          <w:tcPr>
            <w:tcW w:w="276" w:type="pct"/>
            <w:vAlign w:val="center"/>
          </w:tcPr>
          <w:p w14:paraId="7064D93A">
            <w:pPr>
              <w:pStyle w:val="28"/>
              <w:bidi w:val="0"/>
            </w:pPr>
            <w:r>
              <w:t>49.4</w:t>
            </w:r>
          </w:p>
        </w:tc>
        <w:tc>
          <w:tcPr>
            <w:tcW w:w="257" w:type="pct"/>
            <w:vAlign w:val="center"/>
          </w:tcPr>
          <w:p w14:paraId="233491F1">
            <w:pPr>
              <w:pStyle w:val="28"/>
              <w:bidi w:val="0"/>
            </w:pPr>
            <w:r>
              <w:t>42.4</w:t>
            </w:r>
          </w:p>
        </w:tc>
        <w:tc>
          <w:tcPr>
            <w:tcW w:w="257" w:type="pct"/>
            <w:vAlign w:val="center"/>
          </w:tcPr>
          <w:p w14:paraId="4B87A0A4">
            <w:pPr>
              <w:pStyle w:val="28"/>
              <w:bidi w:val="0"/>
            </w:pPr>
            <w:r>
              <w:t>53.9</w:t>
            </w:r>
          </w:p>
        </w:tc>
        <w:tc>
          <w:tcPr>
            <w:tcW w:w="257" w:type="pct"/>
            <w:vAlign w:val="center"/>
          </w:tcPr>
          <w:p w14:paraId="30790031">
            <w:pPr>
              <w:pStyle w:val="28"/>
              <w:bidi w:val="0"/>
            </w:pPr>
            <w:r>
              <w:t>0.3</w:t>
            </w:r>
          </w:p>
        </w:tc>
        <w:tc>
          <w:tcPr>
            <w:tcW w:w="209" w:type="pct"/>
            <w:vAlign w:val="center"/>
          </w:tcPr>
          <w:p w14:paraId="5DAAE3F3">
            <w:pPr>
              <w:pStyle w:val="28"/>
              <w:bidi w:val="0"/>
            </w:pPr>
            <w:r>
              <w:t>达标</w:t>
            </w:r>
          </w:p>
        </w:tc>
      </w:tr>
      <w:tr w14:paraId="60C2A535">
        <w:tblPrEx>
          <w:tblCellMar>
            <w:top w:w="0" w:type="dxa"/>
            <w:left w:w="108" w:type="dxa"/>
            <w:bottom w:w="0" w:type="dxa"/>
            <w:right w:w="108" w:type="dxa"/>
          </w:tblCellMar>
        </w:tblPrEx>
        <w:trPr>
          <w:trHeight w:val="340" w:hRule="atLeast"/>
          <w:jc w:val="center"/>
        </w:trPr>
        <w:tc>
          <w:tcPr>
            <w:tcW w:w="685" w:type="pct"/>
            <w:vAlign w:val="center"/>
          </w:tcPr>
          <w:p w14:paraId="2247D0FE">
            <w:pPr>
              <w:pStyle w:val="28"/>
              <w:bidi w:val="0"/>
            </w:pPr>
            <w:r>
              <w:rPr>
                <w:rFonts w:hint="eastAsia"/>
              </w:rPr>
              <w:t>明新村</w:t>
            </w:r>
          </w:p>
        </w:tc>
        <w:tc>
          <w:tcPr>
            <w:tcW w:w="511" w:type="pct"/>
            <w:vAlign w:val="center"/>
          </w:tcPr>
          <w:p w14:paraId="405D866A">
            <w:pPr>
              <w:pStyle w:val="28"/>
              <w:bidi w:val="0"/>
            </w:pPr>
            <w:r>
              <w:rPr>
                <w:rFonts w:hint="eastAsia"/>
              </w:rPr>
              <w:t>滑坡治理</w:t>
            </w:r>
          </w:p>
        </w:tc>
        <w:tc>
          <w:tcPr>
            <w:tcW w:w="366" w:type="pct"/>
            <w:vAlign w:val="center"/>
          </w:tcPr>
          <w:p w14:paraId="711BA27B">
            <w:pPr>
              <w:pStyle w:val="28"/>
              <w:bidi w:val="0"/>
            </w:pPr>
            <w:r>
              <w:t>46</w:t>
            </w:r>
          </w:p>
        </w:tc>
        <w:tc>
          <w:tcPr>
            <w:tcW w:w="268" w:type="pct"/>
            <w:vAlign w:val="center"/>
          </w:tcPr>
          <w:p w14:paraId="6DB3A7B6">
            <w:pPr>
              <w:pStyle w:val="28"/>
              <w:bidi w:val="0"/>
            </w:pPr>
            <w:r>
              <w:rPr>
                <w:rFonts w:hint="eastAsia"/>
              </w:rPr>
              <w:t>右岸</w:t>
            </w:r>
          </w:p>
        </w:tc>
        <w:tc>
          <w:tcPr>
            <w:tcW w:w="262" w:type="pct"/>
            <w:vAlign w:val="center"/>
          </w:tcPr>
          <w:p w14:paraId="34DDB0CD">
            <w:pPr>
              <w:pStyle w:val="28"/>
              <w:bidi w:val="0"/>
            </w:pPr>
            <w:r>
              <w:t>1</w:t>
            </w:r>
            <w:r>
              <w:rPr>
                <w:rFonts w:hint="eastAsia"/>
              </w:rPr>
              <w:t>类</w:t>
            </w:r>
          </w:p>
        </w:tc>
        <w:tc>
          <w:tcPr>
            <w:tcW w:w="809" w:type="pct"/>
            <w:vMerge w:val="continue"/>
            <w:vAlign w:val="center"/>
          </w:tcPr>
          <w:p w14:paraId="503568E0">
            <w:pPr>
              <w:pStyle w:val="28"/>
              <w:bidi w:val="0"/>
            </w:pPr>
          </w:p>
        </w:tc>
        <w:tc>
          <w:tcPr>
            <w:tcW w:w="208" w:type="pct"/>
            <w:vAlign w:val="center"/>
          </w:tcPr>
          <w:p w14:paraId="3636F5D6">
            <w:pPr>
              <w:pStyle w:val="28"/>
              <w:bidi w:val="0"/>
            </w:pPr>
            <w:r>
              <w:t>53.6</w:t>
            </w:r>
          </w:p>
        </w:tc>
        <w:tc>
          <w:tcPr>
            <w:tcW w:w="211" w:type="pct"/>
            <w:vAlign w:val="center"/>
          </w:tcPr>
          <w:p w14:paraId="617CA4A4">
            <w:pPr>
              <w:pStyle w:val="28"/>
              <w:bidi w:val="0"/>
            </w:pPr>
            <w:r>
              <w:t>41</w:t>
            </w:r>
          </w:p>
        </w:tc>
        <w:tc>
          <w:tcPr>
            <w:tcW w:w="208" w:type="pct"/>
            <w:vAlign w:val="center"/>
          </w:tcPr>
          <w:p w14:paraId="444FBF32">
            <w:pPr>
              <w:pStyle w:val="28"/>
              <w:bidi w:val="0"/>
            </w:pPr>
            <w:r>
              <w:t>55</w:t>
            </w:r>
          </w:p>
        </w:tc>
        <w:tc>
          <w:tcPr>
            <w:tcW w:w="211" w:type="pct"/>
            <w:vAlign w:val="center"/>
          </w:tcPr>
          <w:p w14:paraId="5A275893">
            <w:pPr>
              <w:pStyle w:val="28"/>
              <w:bidi w:val="0"/>
            </w:pPr>
            <w:r>
              <w:t>45</w:t>
            </w:r>
          </w:p>
        </w:tc>
        <w:tc>
          <w:tcPr>
            <w:tcW w:w="276" w:type="pct"/>
            <w:vAlign w:val="center"/>
          </w:tcPr>
          <w:p w14:paraId="04A8939C">
            <w:pPr>
              <w:pStyle w:val="28"/>
              <w:bidi w:val="0"/>
            </w:pPr>
            <w:r>
              <w:t>54.3</w:t>
            </w:r>
          </w:p>
        </w:tc>
        <w:tc>
          <w:tcPr>
            <w:tcW w:w="257" w:type="pct"/>
            <w:vAlign w:val="center"/>
          </w:tcPr>
          <w:p w14:paraId="3DA977F6">
            <w:pPr>
              <w:pStyle w:val="28"/>
              <w:bidi w:val="0"/>
            </w:pPr>
            <w:r>
              <w:t>47.3</w:t>
            </w:r>
          </w:p>
        </w:tc>
        <w:tc>
          <w:tcPr>
            <w:tcW w:w="257" w:type="pct"/>
            <w:vAlign w:val="center"/>
          </w:tcPr>
          <w:p w14:paraId="709023E6">
            <w:pPr>
              <w:pStyle w:val="28"/>
              <w:bidi w:val="0"/>
            </w:pPr>
            <w:r>
              <w:t>54.5</w:t>
            </w:r>
          </w:p>
        </w:tc>
        <w:tc>
          <w:tcPr>
            <w:tcW w:w="257" w:type="pct"/>
            <w:vAlign w:val="center"/>
          </w:tcPr>
          <w:p w14:paraId="6503FDE1">
            <w:pPr>
              <w:pStyle w:val="28"/>
              <w:bidi w:val="0"/>
            </w:pPr>
            <w:r>
              <w:t>0.9</w:t>
            </w:r>
          </w:p>
        </w:tc>
        <w:tc>
          <w:tcPr>
            <w:tcW w:w="209" w:type="pct"/>
            <w:vAlign w:val="center"/>
          </w:tcPr>
          <w:p w14:paraId="5DF2B96A">
            <w:pPr>
              <w:pStyle w:val="28"/>
              <w:bidi w:val="0"/>
            </w:pPr>
            <w:r>
              <w:t>达标</w:t>
            </w:r>
          </w:p>
        </w:tc>
      </w:tr>
      <w:tr w14:paraId="7A22C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004F8DF">
            <w:pPr>
              <w:pStyle w:val="28"/>
              <w:bidi w:val="0"/>
            </w:pPr>
            <w:r>
              <w:rPr>
                <w:rFonts w:hint="eastAsia"/>
              </w:rPr>
              <w:t>杨老家</w:t>
            </w:r>
          </w:p>
        </w:tc>
        <w:tc>
          <w:tcPr>
            <w:tcW w:w="511" w:type="pct"/>
            <w:vAlign w:val="center"/>
          </w:tcPr>
          <w:p w14:paraId="4F8FF108">
            <w:pPr>
              <w:pStyle w:val="28"/>
              <w:bidi w:val="0"/>
            </w:pPr>
            <w:r>
              <w:rPr>
                <w:rFonts w:hint="eastAsia"/>
              </w:rPr>
              <w:t>渠道护砌</w:t>
            </w:r>
          </w:p>
        </w:tc>
        <w:tc>
          <w:tcPr>
            <w:tcW w:w="366" w:type="pct"/>
            <w:vAlign w:val="center"/>
          </w:tcPr>
          <w:p w14:paraId="2948F179">
            <w:pPr>
              <w:pStyle w:val="28"/>
              <w:bidi w:val="0"/>
            </w:pPr>
            <w:r>
              <w:t>75</w:t>
            </w:r>
          </w:p>
        </w:tc>
        <w:tc>
          <w:tcPr>
            <w:tcW w:w="268" w:type="pct"/>
            <w:vAlign w:val="center"/>
          </w:tcPr>
          <w:p w14:paraId="5663115A">
            <w:pPr>
              <w:pStyle w:val="28"/>
              <w:bidi w:val="0"/>
            </w:pPr>
            <w:r>
              <w:rPr>
                <w:rFonts w:hint="eastAsia"/>
              </w:rPr>
              <w:t>右岸</w:t>
            </w:r>
          </w:p>
        </w:tc>
        <w:tc>
          <w:tcPr>
            <w:tcW w:w="262" w:type="pct"/>
            <w:vAlign w:val="center"/>
          </w:tcPr>
          <w:p w14:paraId="356E8337">
            <w:pPr>
              <w:pStyle w:val="28"/>
              <w:bidi w:val="0"/>
            </w:pPr>
            <w:r>
              <w:t>1</w:t>
            </w:r>
            <w:r>
              <w:rPr>
                <w:rFonts w:hint="eastAsia"/>
              </w:rPr>
              <w:t>类</w:t>
            </w:r>
          </w:p>
        </w:tc>
        <w:tc>
          <w:tcPr>
            <w:tcW w:w="809" w:type="pct"/>
            <w:vMerge w:val="continue"/>
            <w:vAlign w:val="center"/>
          </w:tcPr>
          <w:p w14:paraId="62FE635E">
            <w:pPr>
              <w:pStyle w:val="28"/>
              <w:bidi w:val="0"/>
            </w:pPr>
          </w:p>
        </w:tc>
        <w:tc>
          <w:tcPr>
            <w:tcW w:w="208" w:type="pct"/>
            <w:vAlign w:val="center"/>
          </w:tcPr>
          <w:p w14:paraId="54CDF536">
            <w:pPr>
              <w:pStyle w:val="28"/>
              <w:bidi w:val="0"/>
            </w:pPr>
            <w:r>
              <w:t>53.6</w:t>
            </w:r>
          </w:p>
        </w:tc>
        <w:tc>
          <w:tcPr>
            <w:tcW w:w="211" w:type="pct"/>
            <w:vAlign w:val="center"/>
          </w:tcPr>
          <w:p w14:paraId="441381C8">
            <w:pPr>
              <w:pStyle w:val="28"/>
              <w:bidi w:val="0"/>
            </w:pPr>
            <w:r>
              <w:t>41</w:t>
            </w:r>
          </w:p>
        </w:tc>
        <w:tc>
          <w:tcPr>
            <w:tcW w:w="208" w:type="pct"/>
            <w:vAlign w:val="center"/>
          </w:tcPr>
          <w:p w14:paraId="42C077A7">
            <w:pPr>
              <w:pStyle w:val="28"/>
              <w:bidi w:val="0"/>
            </w:pPr>
            <w:r>
              <w:t>55</w:t>
            </w:r>
          </w:p>
        </w:tc>
        <w:tc>
          <w:tcPr>
            <w:tcW w:w="211" w:type="pct"/>
            <w:vAlign w:val="center"/>
          </w:tcPr>
          <w:p w14:paraId="7AFB4024">
            <w:pPr>
              <w:pStyle w:val="28"/>
              <w:bidi w:val="0"/>
            </w:pPr>
            <w:r>
              <w:t>45</w:t>
            </w:r>
          </w:p>
        </w:tc>
        <w:tc>
          <w:tcPr>
            <w:tcW w:w="276" w:type="pct"/>
            <w:vAlign w:val="center"/>
          </w:tcPr>
          <w:p w14:paraId="19613323">
            <w:pPr>
              <w:pStyle w:val="28"/>
              <w:bidi w:val="0"/>
            </w:pPr>
            <w:r>
              <w:t>54.4</w:t>
            </w:r>
          </w:p>
        </w:tc>
        <w:tc>
          <w:tcPr>
            <w:tcW w:w="257" w:type="pct"/>
            <w:vAlign w:val="center"/>
          </w:tcPr>
          <w:p w14:paraId="63151372">
            <w:pPr>
              <w:pStyle w:val="28"/>
              <w:bidi w:val="0"/>
            </w:pPr>
            <w:r>
              <w:t>47.4</w:t>
            </w:r>
          </w:p>
        </w:tc>
        <w:tc>
          <w:tcPr>
            <w:tcW w:w="257" w:type="pct"/>
            <w:vAlign w:val="center"/>
          </w:tcPr>
          <w:p w14:paraId="3411048A">
            <w:pPr>
              <w:pStyle w:val="28"/>
              <w:bidi w:val="0"/>
            </w:pPr>
            <w:r>
              <w:t>54.5</w:t>
            </w:r>
          </w:p>
        </w:tc>
        <w:tc>
          <w:tcPr>
            <w:tcW w:w="257" w:type="pct"/>
            <w:vAlign w:val="center"/>
          </w:tcPr>
          <w:p w14:paraId="5042DBFD">
            <w:pPr>
              <w:pStyle w:val="28"/>
              <w:bidi w:val="0"/>
            </w:pPr>
            <w:r>
              <w:t>0.9</w:t>
            </w:r>
          </w:p>
        </w:tc>
        <w:tc>
          <w:tcPr>
            <w:tcW w:w="209" w:type="pct"/>
            <w:vAlign w:val="center"/>
          </w:tcPr>
          <w:p w14:paraId="6C2F94F5">
            <w:pPr>
              <w:pStyle w:val="28"/>
              <w:bidi w:val="0"/>
            </w:pPr>
            <w:r>
              <w:t>达标</w:t>
            </w:r>
          </w:p>
        </w:tc>
      </w:tr>
      <w:tr w14:paraId="556E9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E31FBCB">
            <w:pPr>
              <w:pStyle w:val="28"/>
              <w:bidi w:val="0"/>
            </w:pPr>
            <w:r>
              <w:rPr>
                <w:rFonts w:hint="eastAsia"/>
              </w:rPr>
              <w:t>吴底下</w:t>
            </w:r>
          </w:p>
        </w:tc>
        <w:tc>
          <w:tcPr>
            <w:tcW w:w="511" w:type="pct"/>
            <w:vAlign w:val="center"/>
          </w:tcPr>
          <w:p w14:paraId="60694226">
            <w:pPr>
              <w:pStyle w:val="28"/>
              <w:bidi w:val="0"/>
            </w:pPr>
            <w:r>
              <w:rPr>
                <w:rFonts w:hint="eastAsia"/>
              </w:rPr>
              <w:t>杨老家放水涵</w:t>
            </w:r>
          </w:p>
        </w:tc>
        <w:tc>
          <w:tcPr>
            <w:tcW w:w="366" w:type="pct"/>
            <w:vAlign w:val="center"/>
          </w:tcPr>
          <w:p w14:paraId="39B47973">
            <w:pPr>
              <w:pStyle w:val="28"/>
              <w:bidi w:val="0"/>
            </w:pPr>
            <w:r>
              <w:t>153</w:t>
            </w:r>
          </w:p>
        </w:tc>
        <w:tc>
          <w:tcPr>
            <w:tcW w:w="268" w:type="pct"/>
            <w:vAlign w:val="center"/>
          </w:tcPr>
          <w:p w14:paraId="51EABC2D">
            <w:pPr>
              <w:pStyle w:val="28"/>
              <w:bidi w:val="0"/>
            </w:pPr>
            <w:r>
              <w:rPr>
                <w:rFonts w:hint="eastAsia"/>
              </w:rPr>
              <w:t>右岸</w:t>
            </w:r>
          </w:p>
        </w:tc>
        <w:tc>
          <w:tcPr>
            <w:tcW w:w="262" w:type="pct"/>
            <w:vAlign w:val="center"/>
          </w:tcPr>
          <w:p w14:paraId="55931709">
            <w:pPr>
              <w:pStyle w:val="28"/>
              <w:bidi w:val="0"/>
            </w:pPr>
            <w:r>
              <w:t>1</w:t>
            </w:r>
            <w:r>
              <w:rPr>
                <w:rFonts w:hint="eastAsia"/>
              </w:rPr>
              <w:t>类</w:t>
            </w:r>
          </w:p>
        </w:tc>
        <w:tc>
          <w:tcPr>
            <w:tcW w:w="809" w:type="pct"/>
            <w:vMerge w:val="continue"/>
            <w:vAlign w:val="center"/>
          </w:tcPr>
          <w:p w14:paraId="175839ED">
            <w:pPr>
              <w:pStyle w:val="28"/>
              <w:bidi w:val="0"/>
            </w:pPr>
          </w:p>
        </w:tc>
        <w:tc>
          <w:tcPr>
            <w:tcW w:w="208" w:type="pct"/>
            <w:vAlign w:val="center"/>
          </w:tcPr>
          <w:p w14:paraId="28A822AC">
            <w:pPr>
              <w:pStyle w:val="28"/>
              <w:bidi w:val="0"/>
            </w:pPr>
            <w:r>
              <w:t>53.6</w:t>
            </w:r>
          </w:p>
        </w:tc>
        <w:tc>
          <w:tcPr>
            <w:tcW w:w="211" w:type="pct"/>
            <w:vAlign w:val="center"/>
          </w:tcPr>
          <w:p w14:paraId="4F0FD441">
            <w:pPr>
              <w:pStyle w:val="28"/>
              <w:bidi w:val="0"/>
            </w:pPr>
            <w:r>
              <w:t>41</w:t>
            </w:r>
          </w:p>
        </w:tc>
        <w:tc>
          <w:tcPr>
            <w:tcW w:w="208" w:type="pct"/>
            <w:vAlign w:val="center"/>
          </w:tcPr>
          <w:p w14:paraId="2F5915D3">
            <w:pPr>
              <w:pStyle w:val="28"/>
              <w:bidi w:val="0"/>
            </w:pPr>
            <w:r>
              <w:t>55</w:t>
            </w:r>
          </w:p>
        </w:tc>
        <w:tc>
          <w:tcPr>
            <w:tcW w:w="211" w:type="pct"/>
            <w:vAlign w:val="center"/>
          </w:tcPr>
          <w:p w14:paraId="5BF7C12B">
            <w:pPr>
              <w:pStyle w:val="28"/>
              <w:bidi w:val="0"/>
            </w:pPr>
            <w:r>
              <w:t>45</w:t>
            </w:r>
          </w:p>
        </w:tc>
        <w:tc>
          <w:tcPr>
            <w:tcW w:w="276" w:type="pct"/>
            <w:vAlign w:val="center"/>
          </w:tcPr>
          <w:p w14:paraId="290373B8">
            <w:pPr>
              <w:pStyle w:val="28"/>
              <w:bidi w:val="0"/>
            </w:pPr>
            <w:r>
              <w:t>49.5</w:t>
            </w:r>
          </w:p>
        </w:tc>
        <w:tc>
          <w:tcPr>
            <w:tcW w:w="257" w:type="pct"/>
            <w:vAlign w:val="center"/>
          </w:tcPr>
          <w:p w14:paraId="55862DA8">
            <w:pPr>
              <w:pStyle w:val="28"/>
              <w:bidi w:val="0"/>
            </w:pPr>
            <w:r>
              <w:t>42.5</w:t>
            </w:r>
          </w:p>
        </w:tc>
        <w:tc>
          <w:tcPr>
            <w:tcW w:w="257" w:type="pct"/>
            <w:vAlign w:val="center"/>
          </w:tcPr>
          <w:p w14:paraId="2586C722">
            <w:pPr>
              <w:pStyle w:val="28"/>
              <w:bidi w:val="0"/>
            </w:pPr>
            <w:r>
              <w:t>53.9</w:t>
            </w:r>
          </w:p>
        </w:tc>
        <w:tc>
          <w:tcPr>
            <w:tcW w:w="257" w:type="pct"/>
            <w:vAlign w:val="center"/>
          </w:tcPr>
          <w:p w14:paraId="44A15D88">
            <w:pPr>
              <w:pStyle w:val="28"/>
              <w:bidi w:val="0"/>
            </w:pPr>
            <w:r>
              <w:t>0.3</w:t>
            </w:r>
          </w:p>
        </w:tc>
        <w:tc>
          <w:tcPr>
            <w:tcW w:w="209" w:type="pct"/>
            <w:vAlign w:val="center"/>
          </w:tcPr>
          <w:p w14:paraId="14D58A0B">
            <w:pPr>
              <w:pStyle w:val="28"/>
              <w:bidi w:val="0"/>
            </w:pPr>
            <w:r>
              <w:t>达标</w:t>
            </w:r>
          </w:p>
        </w:tc>
      </w:tr>
      <w:tr w14:paraId="4EE72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D410B51">
            <w:pPr>
              <w:pStyle w:val="28"/>
              <w:bidi w:val="0"/>
            </w:pPr>
            <w:r>
              <w:rPr>
                <w:rFonts w:hint="eastAsia"/>
              </w:rPr>
              <w:t>童坊</w:t>
            </w:r>
          </w:p>
        </w:tc>
        <w:tc>
          <w:tcPr>
            <w:tcW w:w="511" w:type="pct"/>
            <w:vAlign w:val="center"/>
          </w:tcPr>
          <w:p w14:paraId="7E38CE44">
            <w:pPr>
              <w:pStyle w:val="28"/>
              <w:bidi w:val="0"/>
            </w:pPr>
            <w:r>
              <w:rPr>
                <w:rFonts w:hint="eastAsia"/>
              </w:rPr>
              <w:t>放水涵拆建</w:t>
            </w:r>
          </w:p>
        </w:tc>
        <w:tc>
          <w:tcPr>
            <w:tcW w:w="366" w:type="pct"/>
            <w:vAlign w:val="center"/>
          </w:tcPr>
          <w:p w14:paraId="621EE45D">
            <w:pPr>
              <w:pStyle w:val="28"/>
              <w:bidi w:val="0"/>
            </w:pPr>
            <w:r>
              <w:t>52</w:t>
            </w:r>
          </w:p>
        </w:tc>
        <w:tc>
          <w:tcPr>
            <w:tcW w:w="268" w:type="pct"/>
            <w:vAlign w:val="center"/>
          </w:tcPr>
          <w:p w14:paraId="67A117AE">
            <w:pPr>
              <w:pStyle w:val="28"/>
              <w:bidi w:val="0"/>
            </w:pPr>
            <w:r>
              <w:rPr>
                <w:rFonts w:hint="eastAsia"/>
              </w:rPr>
              <w:t>左岸</w:t>
            </w:r>
          </w:p>
        </w:tc>
        <w:tc>
          <w:tcPr>
            <w:tcW w:w="262" w:type="pct"/>
            <w:vAlign w:val="center"/>
          </w:tcPr>
          <w:p w14:paraId="7B6FBE14">
            <w:pPr>
              <w:pStyle w:val="28"/>
              <w:bidi w:val="0"/>
            </w:pPr>
            <w:r>
              <w:t>1</w:t>
            </w:r>
            <w:r>
              <w:rPr>
                <w:rFonts w:hint="eastAsia"/>
              </w:rPr>
              <w:t>类</w:t>
            </w:r>
          </w:p>
        </w:tc>
        <w:tc>
          <w:tcPr>
            <w:tcW w:w="809" w:type="pct"/>
            <w:vAlign w:val="center"/>
          </w:tcPr>
          <w:p w14:paraId="6995E2DA">
            <w:pPr>
              <w:pStyle w:val="28"/>
              <w:bidi w:val="0"/>
            </w:pPr>
            <w:r>
              <w:rPr>
                <w:rFonts w:hint="eastAsia"/>
              </w:rPr>
              <w:t>采用低噪声设备，施工机械远离居民住宅，设置单移动声屏障</w:t>
            </w:r>
          </w:p>
        </w:tc>
        <w:tc>
          <w:tcPr>
            <w:tcW w:w="208" w:type="pct"/>
            <w:vAlign w:val="center"/>
          </w:tcPr>
          <w:p w14:paraId="5F6551C8">
            <w:pPr>
              <w:pStyle w:val="28"/>
              <w:bidi w:val="0"/>
            </w:pPr>
            <w:r>
              <w:t>53.6</w:t>
            </w:r>
          </w:p>
        </w:tc>
        <w:tc>
          <w:tcPr>
            <w:tcW w:w="211" w:type="pct"/>
            <w:vAlign w:val="center"/>
          </w:tcPr>
          <w:p w14:paraId="657536BD">
            <w:pPr>
              <w:pStyle w:val="28"/>
              <w:bidi w:val="0"/>
            </w:pPr>
            <w:r>
              <w:t>41</w:t>
            </w:r>
          </w:p>
        </w:tc>
        <w:tc>
          <w:tcPr>
            <w:tcW w:w="208" w:type="pct"/>
            <w:vAlign w:val="center"/>
          </w:tcPr>
          <w:p w14:paraId="11730FB3">
            <w:pPr>
              <w:pStyle w:val="28"/>
              <w:bidi w:val="0"/>
            </w:pPr>
            <w:r>
              <w:t>55</w:t>
            </w:r>
          </w:p>
        </w:tc>
        <w:tc>
          <w:tcPr>
            <w:tcW w:w="211" w:type="pct"/>
            <w:vAlign w:val="center"/>
          </w:tcPr>
          <w:p w14:paraId="2F3DB26E">
            <w:pPr>
              <w:pStyle w:val="28"/>
              <w:bidi w:val="0"/>
            </w:pPr>
            <w:r>
              <w:t>45</w:t>
            </w:r>
          </w:p>
        </w:tc>
        <w:tc>
          <w:tcPr>
            <w:tcW w:w="276" w:type="pct"/>
            <w:vAlign w:val="center"/>
          </w:tcPr>
          <w:p w14:paraId="0A73CE20">
            <w:pPr>
              <w:pStyle w:val="28"/>
              <w:bidi w:val="0"/>
            </w:pPr>
            <w:r>
              <w:t>58.9</w:t>
            </w:r>
          </w:p>
        </w:tc>
        <w:tc>
          <w:tcPr>
            <w:tcW w:w="257" w:type="pct"/>
            <w:vAlign w:val="center"/>
          </w:tcPr>
          <w:p w14:paraId="29F20075">
            <w:pPr>
              <w:pStyle w:val="28"/>
              <w:bidi w:val="0"/>
            </w:pPr>
            <w:r>
              <w:t>43.9</w:t>
            </w:r>
          </w:p>
        </w:tc>
        <w:tc>
          <w:tcPr>
            <w:tcW w:w="257" w:type="pct"/>
            <w:vAlign w:val="center"/>
          </w:tcPr>
          <w:p w14:paraId="6FA5775C">
            <w:pPr>
              <w:pStyle w:val="28"/>
              <w:bidi w:val="0"/>
            </w:pPr>
            <w:r>
              <w:t>54.0</w:t>
            </w:r>
          </w:p>
        </w:tc>
        <w:tc>
          <w:tcPr>
            <w:tcW w:w="257" w:type="pct"/>
            <w:vAlign w:val="center"/>
          </w:tcPr>
          <w:p w14:paraId="062969A2">
            <w:pPr>
              <w:pStyle w:val="28"/>
              <w:bidi w:val="0"/>
            </w:pPr>
            <w:r>
              <w:t>0.4</w:t>
            </w:r>
          </w:p>
        </w:tc>
        <w:tc>
          <w:tcPr>
            <w:tcW w:w="209" w:type="pct"/>
            <w:vAlign w:val="center"/>
          </w:tcPr>
          <w:p w14:paraId="3D1A7493">
            <w:pPr>
              <w:pStyle w:val="28"/>
              <w:bidi w:val="0"/>
            </w:pPr>
            <w:r>
              <w:t>达标</w:t>
            </w:r>
          </w:p>
        </w:tc>
      </w:tr>
      <w:tr w14:paraId="3CA86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A3E2C99">
            <w:pPr>
              <w:pStyle w:val="28"/>
              <w:bidi w:val="0"/>
            </w:pPr>
            <w:r>
              <w:rPr>
                <w:rFonts w:hint="eastAsia"/>
              </w:rPr>
              <w:t>程大郢</w:t>
            </w:r>
          </w:p>
        </w:tc>
        <w:tc>
          <w:tcPr>
            <w:tcW w:w="511" w:type="pct"/>
            <w:vAlign w:val="center"/>
          </w:tcPr>
          <w:p w14:paraId="34139E75">
            <w:pPr>
              <w:pStyle w:val="28"/>
              <w:bidi w:val="0"/>
            </w:pPr>
            <w:r>
              <w:rPr>
                <w:rFonts w:hint="eastAsia"/>
              </w:rPr>
              <w:t>渠道护砌</w:t>
            </w:r>
          </w:p>
        </w:tc>
        <w:tc>
          <w:tcPr>
            <w:tcW w:w="366" w:type="pct"/>
            <w:vAlign w:val="center"/>
          </w:tcPr>
          <w:p w14:paraId="7373C95A">
            <w:pPr>
              <w:pStyle w:val="28"/>
              <w:bidi w:val="0"/>
            </w:pPr>
            <w:r>
              <w:t>32</w:t>
            </w:r>
          </w:p>
        </w:tc>
        <w:tc>
          <w:tcPr>
            <w:tcW w:w="268" w:type="pct"/>
            <w:vAlign w:val="center"/>
          </w:tcPr>
          <w:p w14:paraId="6559EEEB">
            <w:pPr>
              <w:pStyle w:val="28"/>
              <w:bidi w:val="0"/>
            </w:pPr>
            <w:r>
              <w:rPr>
                <w:rFonts w:hint="eastAsia"/>
              </w:rPr>
              <w:t>右岸</w:t>
            </w:r>
          </w:p>
        </w:tc>
        <w:tc>
          <w:tcPr>
            <w:tcW w:w="262" w:type="pct"/>
            <w:vAlign w:val="center"/>
          </w:tcPr>
          <w:p w14:paraId="2C591A7E">
            <w:pPr>
              <w:pStyle w:val="28"/>
              <w:bidi w:val="0"/>
            </w:pPr>
            <w:r>
              <w:t>1</w:t>
            </w:r>
            <w:r>
              <w:rPr>
                <w:rFonts w:hint="eastAsia"/>
              </w:rPr>
              <w:t>类</w:t>
            </w:r>
          </w:p>
        </w:tc>
        <w:tc>
          <w:tcPr>
            <w:tcW w:w="809" w:type="pct"/>
            <w:vAlign w:val="center"/>
          </w:tcPr>
          <w:p w14:paraId="5591A005">
            <w:pPr>
              <w:pStyle w:val="28"/>
              <w:bidi w:val="0"/>
            </w:pPr>
            <w:r>
              <w:rPr>
                <w:rFonts w:hint="eastAsia"/>
              </w:rPr>
              <w:t>采用低噪声设备，施工机械远离居民住宅，设置双层移动声屏障</w:t>
            </w:r>
          </w:p>
        </w:tc>
        <w:tc>
          <w:tcPr>
            <w:tcW w:w="208" w:type="pct"/>
            <w:vAlign w:val="center"/>
          </w:tcPr>
          <w:p w14:paraId="2FD0878B">
            <w:pPr>
              <w:pStyle w:val="28"/>
              <w:bidi w:val="0"/>
            </w:pPr>
            <w:r>
              <w:t>53.6</w:t>
            </w:r>
          </w:p>
        </w:tc>
        <w:tc>
          <w:tcPr>
            <w:tcW w:w="211" w:type="pct"/>
            <w:vAlign w:val="center"/>
          </w:tcPr>
          <w:p w14:paraId="0D78C865">
            <w:pPr>
              <w:pStyle w:val="28"/>
              <w:bidi w:val="0"/>
            </w:pPr>
            <w:r>
              <w:t>41</w:t>
            </w:r>
          </w:p>
        </w:tc>
        <w:tc>
          <w:tcPr>
            <w:tcW w:w="208" w:type="pct"/>
            <w:vAlign w:val="center"/>
          </w:tcPr>
          <w:p w14:paraId="1E5C0FC0">
            <w:pPr>
              <w:pStyle w:val="28"/>
              <w:bidi w:val="0"/>
            </w:pPr>
            <w:r>
              <w:t>55</w:t>
            </w:r>
          </w:p>
        </w:tc>
        <w:tc>
          <w:tcPr>
            <w:tcW w:w="211" w:type="pct"/>
            <w:vAlign w:val="center"/>
          </w:tcPr>
          <w:p w14:paraId="380FD6A3">
            <w:pPr>
              <w:pStyle w:val="28"/>
              <w:bidi w:val="0"/>
            </w:pPr>
            <w:r>
              <w:t>45</w:t>
            </w:r>
          </w:p>
        </w:tc>
        <w:tc>
          <w:tcPr>
            <w:tcW w:w="276" w:type="pct"/>
            <w:vAlign w:val="center"/>
          </w:tcPr>
          <w:p w14:paraId="2A03F020">
            <w:pPr>
              <w:pStyle w:val="28"/>
              <w:bidi w:val="0"/>
            </w:pPr>
            <w:r>
              <w:t>61.8</w:t>
            </w:r>
          </w:p>
        </w:tc>
        <w:tc>
          <w:tcPr>
            <w:tcW w:w="257" w:type="pct"/>
            <w:vAlign w:val="center"/>
          </w:tcPr>
          <w:p w14:paraId="739F53A2">
            <w:pPr>
              <w:pStyle w:val="28"/>
              <w:bidi w:val="0"/>
            </w:pPr>
            <w:r>
              <w:t>41.8</w:t>
            </w:r>
          </w:p>
        </w:tc>
        <w:tc>
          <w:tcPr>
            <w:tcW w:w="257" w:type="pct"/>
            <w:vAlign w:val="center"/>
          </w:tcPr>
          <w:p w14:paraId="51E7D28E">
            <w:pPr>
              <w:pStyle w:val="28"/>
              <w:bidi w:val="0"/>
            </w:pPr>
            <w:r>
              <w:t>53.9</w:t>
            </w:r>
          </w:p>
        </w:tc>
        <w:tc>
          <w:tcPr>
            <w:tcW w:w="257" w:type="pct"/>
            <w:vAlign w:val="center"/>
          </w:tcPr>
          <w:p w14:paraId="1391B795">
            <w:pPr>
              <w:pStyle w:val="28"/>
              <w:bidi w:val="0"/>
            </w:pPr>
            <w:r>
              <w:t>0.3</w:t>
            </w:r>
          </w:p>
        </w:tc>
        <w:tc>
          <w:tcPr>
            <w:tcW w:w="209" w:type="pct"/>
            <w:vAlign w:val="center"/>
          </w:tcPr>
          <w:p w14:paraId="2BE17B45">
            <w:pPr>
              <w:pStyle w:val="28"/>
              <w:bidi w:val="0"/>
            </w:pPr>
            <w:r>
              <w:t>达标</w:t>
            </w:r>
          </w:p>
        </w:tc>
      </w:tr>
      <w:tr w14:paraId="3EA170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32D3D33">
            <w:pPr>
              <w:pStyle w:val="28"/>
              <w:bidi w:val="0"/>
            </w:pPr>
            <w:r>
              <w:rPr>
                <w:rFonts w:hint="eastAsia"/>
              </w:rPr>
              <w:t>先锋</w:t>
            </w:r>
          </w:p>
        </w:tc>
        <w:tc>
          <w:tcPr>
            <w:tcW w:w="511" w:type="pct"/>
            <w:vAlign w:val="center"/>
          </w:tcPr>
          <w:p w14:paraId="419B8EE0">
            <w:pPr>
              <w:pStyle w:val="28"/>
              <w:bidi w:val="0"/>
            </w:pPr>
            <w:r>
              <w:rPr>
                <w:rFonts w:hint="eastAsia"/>
              </w:rPr>
              <w:t>程段水库进水闸新建</w:t>
            </w:r>
          </w:p>
        </w:tc>
        <w:tc>
          <w:tcPr>
            <w:tcW w:w="366" w:type="pct"/>
            <w:vAlign w:val="center"/>
          </w:tcPr>
          <w:p w14:paraId="1E989689">
            <w:pPr>
              <w:pStyle w:val="28"/>
              <w:bidi w:val="0"/>
            </w:pPr>
            <w:r>
              <w:t>52</w:t>
            </w:r>
          </w:p>
        </w:tc>
        <w:tc>
          <w:tcPr>
            <w:tcW w:w="268" w:type="pct"/>
            <w:vAlign w:val="center"/>
          </w:tcPr>
          <w:p w14:paraId="668A7997">
            <w:pPr>
              <w:pStyle w:val="28"/>
              <w:bidi w:val="0"/>
            </w:pPr>
            <w:r>
              <w:rPr>
                <w:rFonts w:hint="eastAsia"/>
              </w:rPr>
              <w:t>左岸</w:t>
            </w:r>
          </w:p>
        </w:tc>
        <w:tc>
          <w:tcPr>
            <w:tcW w:w="262" w:type="pct"/>
            <w:vAlign w:val="center"/>
          </w:tcPr>
          <w:p w14:paraId="7C9FC616">
            <w:pPr>
              <w:pStyle w:val="28"/>
              <w:bidi w:val="0"/>
            </w:pPr>
            <w:r>
              <w:t>1</w:t>
            </w:r>
            <w:r>
              <w:rPr>
                <w:rFonts w:hint="eastAsia"/>
              </w:rPr>
              <w:t>类</w:t>
            </w:r>
          </w:p>
        </w:tc>
        <w:tc>
          <w:tcPr>
            <w:tcW w:w="809" w:type="pct"/>
            <w:vAlign w:val="center"/>
          </w:tcPr>
          <w:p w14:paraId="49258D57">
            <w:pPr>
              <w:pStyle w:val="28"/>
              <w:bidi w:val="0"/>
            </w:pPr>
            <w:r>
              <w:rPr>
                <w:rFonts w:hint="eastAsia"/>
              </w:rPr>
              <w:t>采用低噪声设备，施工机械远离居民住宅，设置单移动声屏障</w:t>
            </w:r>
          </w:p>
        </w:tc>
        <w:tc>
          <w:tcPr>
            <w:tcW w:w="208" w:type="pct"/>
            <w:vAlign w:val="center"/>
          </w:tcPr>
          <w:p w14:paraId="7DDC3447">
            <w:pPr>
              <w:pStyle w:val="28"/>
              <w:bidi w:val="0"/>
            </w:pPr>
            <w:r>
              <w:t>53.6</w:t>
            </w:r>
          </w:p>
        </w:tc>
        <w:tc>
          <w:tcPr>
            <w:tcW w:w="211" w:type="pct"/>
            <w:vAlign w:val="center"/>
          </w:tcPr>
          <w:p w14:paraId="6BF1A3FF">
            <w:pPr>
              <w:pStyle w:val="28"/>
              <w:bidi w:val="0"/>
            </w:pPr>
            <w:r>
              <w:t>41</w:t>
            </w:r>
          </w:p>
        </w:tc>
        <w:tc>
          <w:tcPr>
            <w:tcW w:w="208" w:type="pct"/>
            <w:vAlign w:val="center"/>
          </w:tcPr>
          <w:p w14:paraId="0273DAD2">
            <w:pPr>
              <w:pStyle w:val="28"/>
              <w:bidi w:val="0"/>
            </w:pPr>
            <w:r>
              <w:t>55</w:t>
            </w:r>
          </w:p>
        </w:tc>
        <w:tc>
          <w:tcPr>
            <w:tcW w:w="211" w:type="pct"/>
            <w:vAlign w:val="center"/>
          </w:tcPr>
          <w:p w14:paraId="31B82652">
            <w:pPr>
              <w:pStyle w:val="28"/>
              <w:bidi w:val="0"/>
            </w:pPr>
            <w:r>
              <w:t>45</w:t>
            </w:r>
          </w:p>
        </w:tc>
        <w:tc>
          <w:tcPr>
            <w:tcW w:w="276" w:type="pct"/>
            <w:vAlign w:val="center"/>
          </w:tcPr>
          <w:p w14:paraId="059F37DC">
            <w:pPr>
              <w:pStyle w:val="28"/>
              <w:bidi w:val="0"/>
            </w:pPr>
            <w:r>
              <w:t>58.9</w:t>
            </w:r>
          </w:p>
        </w:tc>
        <w:tc>
          <w:tcPr>
            <w:tcW w:w="257" w:type="pct"/>
            <w:vAlign w:val="center"/>
          </w:tcPr>
          <w:p w14:paraId="69094DB0">
            <w:pPr>
              <w:pStyle w:val="28"/>
              <w:bidi w:val="0"/>
            </w:pPr>
            <w:r>
              <w:t>43.9</w:t>
            </w:r>
          </w:p>
        </w:tc>
        <w:tc>
          <w:tcPr>
            <w:tcW w:w="257" w:type="pct"/>
            <w:vAlign w:val="center"/>
          </w:tcPr>
          <w:p w14:paraId="1016351B">
            <w:pPr>
              <w:pStyle w:val="28"/>
              <w:bidi w:val="0"/>
            </w:pPr>
            <w:r>
              <w:t>54.0</w:t>
            </w:r>
          </w:p>
        </w:tc>
        <w:tc>
          <w:tcPr>
            <w:tcW w:w="257" w:type="pct"/>
            <w:vAlign w:val="center"/>
          </w:tcPr>
          <w:p w14:paraId="369CCC3E">
            <w:pPr>
              <w:pStyle w:val="28"/>
              <w:bidi w:val="0"/>
            </w:pPr>
            <w:r>
              <w:t>0.4</w:t>
            </w:r>
          </w:p>
        </w:tc>
        <w:tc>
          <w:tcPr>
            <w:tcW w:w="209" w:type="pct"/>
            <w:vAlign w:val="center"/>
          </w:tcPr>
          <w:p w14:paraId="05E5286D">
            <w:pPr>
              <w:pStyle w:val="28"/>
              <w:bidi w:val="0"/>
            </w:pPr>
            <w:r>
              <w:t>达标</w:t>
            </w:r>
          </w:p>
        </w:tc>
      </w:tr>
      <w:tr w14:paraId="6A001BA8">
        <w:tblPrEx>
          <w:tblCellMar>
            <w:top w:w="0" w:type="dxa"/>
            <w:left w:w="108" w:type="dxa"/>
            <w:bottom w:w="0" w:type="dxa"/>
            <w:right w:w="108" w:type="dxa"/>
          </w:tblCellMar>
        </w:tblPrEx>
        <w:trPr>
          <w:trHeight w:val="340" w:hRule="atLeast"/>
          <w:jc w:val="center"/>
        </w:trPr>
        <w:tc>
          <w:tcPr>
            <w:tcW w:w="685" w:type="pct"/>
            <w:vAlign w:val="center"/>
          </w:tcPr>
          <w:p w14:paraId="742423D2">
            <w:pPr>
              <w:pStyle w:val="28"/>
              <w:bidi w:val="0"/>
            </w:pPr>
            <w:r>
              <w:rPr>
                <w:rFonts w:hint="eastAsia"/>
              </w:rPr>
              <w:t>李小郢</w:t>
            </w:r>
          </w:p>
        </w:tc>
        <w:tc>
          <w:tcPr>
            <w:tcW w:w="511" w:type="pct"/>
            <w:vAlign w:val="center"/>
          </w:tcPr>
          <w:p w14:paraId="1F97F82E">
            <w:pPr>
              <w:pStyle w:val="28"/>
              <w:bidi w:val="0"/>
            </w:pPr>
            <w:r>
              <w:rPr>
                <w:rFonts w:hint="eastAsia"/>
              </w:rPr>
              <w:t>先锋机耕桥拆建</w:t>
            </w:r>
          </w:p>
        </w:tc>
        <w:tc>
          <w:tcPr>
            <w:tcW w:w="366" w:type="pct"/>
            <w:vAlign w:val="center"/>
          </w:tcPr>
          <w:p w14:paraId="4EA1D0CA">
            <w:pPr>
              <w:pStyle w:val="28"/>
              <w:bidi w:val="0"/>
            </w:pPr>
            <w:r>
              <w:t>33</w:t>
            </w:r>
          </w:p>
        </w:tc>
        <w:tc>
          <w:tcPr>
            <w:tcW w:w="268" w:type="pct"/>
            <w:vAlign w:val="center"/>
          </w:tcPr>
          <w:p w14:paraId="3B4DE629">
            <w:pPr>
              <w:pStyle w:val="28"/>
              <w:bidi w:val="0"/>
            </w:pPr>
            <w:r>
              <w:rPr>
                <w:rFonts w:hint="eastAsia"/>
              </w:rPr>
              <w:t>左岸</w:t>
            </w:r>
          </w:p>
        </w:tc>
        <w:tc>
          <w:tcPr>
            <w:tcW w:w="262" w:type="pct"/>
            <w:vAlign w:val="center"/>
          </w:tcPr>
          <w:p w14:paraId="03F93245">
            <w:pPr>
              <w:pStyle w:val="28"/>
              <w:bidi w:val="0"/>
            </w:pPr>
            <w:r>
              <w:t>1</w:t>
            </w:r>
            <w:r>
              <w:rPr>
                <w:rFonts w:hint="eastAsia"/>
              </w:rPr>
              <w:t>类</w:t>
            </w:r>
          </w:p>
        </w:tc>
        <w:tc>
          <w:tcPr>
            <w:tcW w:w="809" w:type="pct"/>
            <w:vAlign w:val="center"/>
          </w:tcPr>
          <w:p w14:paraId="08922463">
            <w:pPr>
              <w:pStyle w:val="28"/>
              <w:bidi w:val="0"/>
            </w:pPr>
            <w:r>
              <w:rPr>
                <w:rFonts w:hint="eastAsia"/>
              </w:rPr>
              <w:t>采用低噪声设备，施工机械远离居民住宅，设置双层移动声屏障</w:t>
            </w:r>
          </w:p>
        </w:tc>
        <w:tc>
          <w:tcPr>
            <w:tcW w:w="208" w:type="pct"/>
            <w:vAlign w:val="center"/>
          </w:tcPr>
          <w:p w14:paraId="3A7ED15A">
            <w:pPr>
              <w:pStyle w:val="28"/>
              <w:bidi w:val="0"/>
            </w:pPr>
            <w:r>
              <w:t>52.8</w:t>
            </w:r>
          </w:p>
        </w:tc>
        <w:tc>
          <w:tcPr>
            <w:tcW w:w="211" w:type="pct"/>
            <w:vAlign w:val="center"/>
          </w:tcPr>
          <w:p w14:paraId="263A0B2A">
            <w:pPr>
              <w:pStyle w:val="28"/>
              <w:bidi w:val="0"/>
            </w:pPr>
            <w:r>
              <w:t>41.5</w:t>
            </w:r>
          </w:p>
        </w:tc>
        <w:tc>
          <w:tcPr>
            <w:tcW w:w="208" w:type="pct"/>
            <w:vAlign w:val="center"/>
          </w:tcPr>
          <w:p w14:paraId="51E4F96D">
            <w:pPr>
              <w:pStyle w:val="28"/>
              <w:bidi w:val="0"/>
            </w:pPr>
            <w:r>
              <w:t>55</w:t>
            </w:r>
          </w:p>
        </w:tc>
        <w:tc>
          <w:tcPr>
            <w:tcW w:w="211" w:type="pct"/>
            <w:vAlign w:val="center"/>
          </w:tcPr>
          <w:p w14:paraId="390395C0">
            <w:pPr>
              <w:pStyle w:val="28"/>
              <w:bidi w:val="0"/>
            </w:pPr>
            <w:r>
              <w:t>45</w:t>
            </w:r>
          </w:p>
        </w:tc>
        <w:tc>
          <w:tcPr>
            <w:tcW w:w="276" w:type="pct"/>
            <w:vAlign w:val="center"/>
          </w:tcPr>
          <w:p w14:paraId="21E18705">
            <w:pPr>
              <w:pStyle w:val="28"/>
              <w:bidi w:val="0"/>
            </w:pPr>
            <w:r>
              <w:t>62.8</w:t>
            </w:r>
          </w:p>
        </w:tc>
        <w:tc>
          <w:tcPr>
            <w:tcW w:w="257" w:type="pct"/>
            <w:vAlign w:val="center"/>
          </w:tcPr>
          <w:p w14:paraId="59708239">
            <w:pPr>
              <w:pStyle w:val="28"/>
              <w:bidi w:val="0"/>
            </w:pPr>
            <w:r>
              <w:t>42.8</w:t>
            </w:r>
          </w:p>
        </w:tc>
        <w:tc>
          <w:tcPr>
            <w:tcW w:w="257" w:type="pct"/>
            <w:vAlign w:val="center"/>
          </w:tcPr>
          <w:p w14:paraId="6762C20B">
            <w:pPr>
              <w:pStyle w:val="28"/>
              <w:bidi w:val="0"/>
            </w:pPr>
            <w:r>
              <w:t>53.2</w:t>
            </w:r>
          </w:p>
        </w:tc>
        <w:tc>
          <w:tcPr>
            <w:tcW w:w="257" w:type="pct"/>
            <w:vAlign w:val="center"/>
          </w:tcPr>
          <w:p w14:paraId="6947CB86">
            <w:pPr>
              <w:pStyle w:val="28"/>
              <w:bidi w:val="0"/>
            </w:pPr>
            <w:r>
              <w:t>0.4</w:t>
            </w:r>
          </w:p>
        </w:tc>
        <w:tc>
          <w:tcPr>
            <w:tcW w:w="209" w:type="pct"/>
            <w:vAlign w:val="center"/>
          </w:tcPr>
          <w:p w14:paraId="46AD9882">
            <w:pPr>
              <w:pStyle w:val="28"/>
              <w:bidi w:val="0"/>
            </w:pPr>
            <w:r>
              <w:t>达标</w:t>
            </w:r>
          </w:p>
        </w:tc>
      </w:tr>
      <w:tr w14:paraId="249E3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3200AF0">
            <w:pPr>
              <w:pStyle w:val="28"/>
              <w:bidi w:val="0"/>
            </w:pPr>
            <w:r>
              <w:rPr>
                <w:rFonts w:hint="eastAsia"/>
              </w:rPr>
              <w:t>小郢坊</w:t>
            </w:r>
          </w:p>
        </w:tc>
        <w:tc>
          <w:tcPr>
            <w:tcW w:w="511" w:type="pct"/>
            <w:vAlign w:val="center"/>
          </w:tcPr>
          <w:p w14:paraId="5EC8315A">
            <w:pPr>
              <w:pStyle w:val="28"/>
              <w:bidi w:val="0"/>
            </w:pPr>
            <w:r>
              <w:rPr>
                <w:rFonts w:hint="eastAsia"/>
              </w:rPr>
              <w:t>先锋机耕桥拆建</w:t>
            </w:r>
          </w:p>
        </w:tc>
        <w:tc>
          <w:tcPr>
            <w:tcW w:w="366" w:type="pct"/>
            <w:vAlign w:val="center"/>
          </w:tcPr>
          <w:p w14:paraId="41AAE7E1">
            <w:pPr>
              <w:pStyle w:val="28"/>
              <w:bidi w:val="0"/>
            </w:pPr>
            <w:r>
              <w:t>111</w:t>
            </w:r>
          </w:p>
        </w:tc>
        <w:tc>
          <w:tcPr>
            <w:tcW w:w="268" w:type="pct"/>
            <w:vAlign w:val="center"/>
          </w:tcPr>
          <w:p w14:paraId="4B4876B8">
            <w:pPr>
              <w:pStyle w:val="28"/>
              <w:bidi w:val="0"/>
            </w:pPr>
            <w:r>
              <w:rPr>
                <w:rFonts w:hint="eastAsia"/>
              </w:rPr>
              <w:t>右岸</w:t>
            </w:r>
          </w:p>
        </w:tc>
        <w:tc>
          <w:tcPr>
            <w:tcW w:w="262" w:type="pct"/>
            <w:vAlign w:val="center"/>
          </w:tcPr>
          <w:p w14:paraId="38440316">
            <w:pPr>
              <w:pStyle w:val="28"/>
              <w:bidi w:val="0"/>
            </w:pPr>
            <w:r>
              <w:t>1</w:t>
            </w:r>
            <w:r>
              <w:rPr>
                <w:rFonts w:hint="eastAsia"/>
              </w:rPr>
              <w:t>类</w:t>
            </w:r>
          </w:p>
        </w:tc>
        <w:tc>
          <w:tcPr>
            <w:tcW w:w="809" w:type="pct"/>
            <w:vMerge w:val="restart"/>
            <w:vAlign w:val="center"/>
          </w:tcPr>
          <w:p w14:paraId="6A3C8FD8">
            <w:pPr>
              <w:pStyle w:val="28"/>
              <w:bidi w:val="0"/>
            </w:pPr>
            <w:r>
              <w:rPr>
                <w:rFonts w:hint="eastAsia"/>
              </w:rPr>
              <w:t>采用低噪声设备，施工机械远离居民住宅</w:t>
            </w:r>
          </w:p>
        </w:tc>
        <w:tc>
          <w:tcPr>
            <w:tcW w:w="208" w:type="pct"/>
            <w:vAlign w:val="center"/>
          </w:tcPr>
          <w:p w14:paraId="4F90C61E">
            <w:pPr>
              <w:pStyle w:val="28"/>
              <w:bidi w:val="0"/>
            </w:pPr>
            <w:r>
              <w:t>52.8</w:t>
            </w:r>
          </w:p>
        </w:tc>
        <w:tc>
          <w:tcPr>
            <w:tcW w:w="211" w:type="pct"/>
            <w:vAlign w:val="center"/>
          </w:tcPr>
          <w:p w14:paraId="191EA7E8">
            <w:pPr>
              <w:pStyle w:val="28"/>
              <w:bidi w:val="0"/>
            </w:pPr>
            <w:r>
              <w:t>41.5</w:t>
            </w:r>
          </w:p>
        </w:tc>
        <w:tc>
          <w:tcPr>
            <w:tcW w:w="208" w:type="pct"/>
            <w:vAlign w:val="center"/>
          </w:tcPr>
          <w:p w14:paraId="718763C8">
            <w:pPr>
              <w:pStyle w:val="28"/>
              <w:bidi w:val="0"/>
            </w:pPr>
            <w:r>
              <w:t>55</w:t>
            </w:r>
          </w:p>
        </w:tc>
        <w:tc>
          <w:tcPr>
            <w:tcW w:w="211" w:type="pct"/>
            <w:vAlign w:val="center"/>
          </w:tcPr>
          <w:p w14:paraId="20A7768F">
            <w:pPr>
              <w:pStyle w:val="28"/>
              <w:bidi w:val="0"/>
            </w:pPr>
            <w:r>
              <w:t>45</w:t>
            </w:r>
          </w:p>
        </w:tc>
        <w:tc>
          <w:tcPr>
            <w:tcW w:w="276" w:type="pct"/>
            <w:vAlign w:val="center"/>
          </w:tcPr>
          <w:p w14:paraId="3E4BF9DD">
            <w:pPr>
              <w:pStyle w:val="28"/>
              <w:bidi w:val="0"/>
            </w:pPr>
            <w:r>
              <w:t>52.3</w:t>
            </w:r>
          </w:p>
        </w:tc>
        <w:tc>
          <w:tcPr>
            <w:tcW w:w="257" w:type="pct"/>
            <w:vAlign w:val="center"/>
          </w:tcPr>
          <w:p w14:paraId="31AC474C">
            <w:pPr>
              <w:pStyle w:val="28"/>
              <w:bidi w:val="0"/>
            </w:pPr>
            <w:r>
              <w:t>45.3</w:t>
            </w:r>
          </w:p>
        </w:tc>
        <w:tc>
          <w:tcPr>
            <w:tcW w:w="257" w:type="pct"/>
            <w:vAlign w:val="center"/>
          </w:tcPr>
          <w:p w14:paraId="43867023">
            <w:pPr>
              <w:pStyle w:val="28"/>
              <w:bidi w:val="0"/>
            </w:pPr>
            <w:r>
              <w:t>53.5</w:t>
            </w:r>
          </w:p>
        </w:tc>
        <w:tc>
          <w:tcPr>
            <w:tcW w:w="257" w:type="pct"/>
            <w:vAlign w:val="center"/>
          </w:tcPr>
          <w:p w14:paraId="60042590">
            <w:pPr>
              <w:pStyle w:val="28"/>
              <w:bidi w:val="0"/>
            </w:pPr>
            <w:r>
              <w:t>0.7</w:t>
            </w:r>
          </w:p>
        </w:tc>
        <w:tc>
          <w:tcPr>
            <w:tcW w:w="209" w:type="pct"/>
            <w:vAlign w:val="center"/>
          </w:tcPr>
          <w:p w14:paraId="4DF631A9">
            <w:pPr>
              <w:pStyle w:val="28"/>
              <w:bidi w:val="0"/>
            </w:pPr>
            <w:r>
              <w:t>达标</w:t>
            </w:r>
          </w:p>
        </w:tc>
      </w:tr>
      <w:tr w14:paraId="0D9B7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5D80C83">
            <w:pPr>
              <w:pStyle w:val="28"/>
              <w:bidi w:val="0"/>
            </w:pPr>
            <w:r>
              <w:rPr>
                <w:rFonts w:hint="eastAsia"/>
              </w:rPr>
              <w:t>许户</w:t>
            </w:r>
          </w:p>
        </w:tc>
        <w:tc>
          <w:tcPr>
            <w:tcW w:w="511" w:type="pct"/>
            <w:vAlign w:val="center"/>
          </w:tcPr>
          <w:p w14:paraId="2F5537D7">
            <w:pPr>
              <w:pStyle w:val="28"/>
              <w:bidi w:val="0"/>
            </w:pPr>
            <w:r>
              <w:rPr>
                <w:rFonts w:hint="eastAsia"/>
              </w:rPr>
              <w:t>先锋机耕桥拆建</w:t>
            </w:r>
          </w:p>
        </w:tc>
        <w:tc>
          <w:tcPr>
            <w:tcW w:w="366" w:type="pct"/>
            <w:vAlign w:val="center"/>
          </w:tcPr>
          <w:p w14:paraId="5E6EF413">
            <w:pPr>
              <w:pStyle w:val="28"/>
              <w:bidi w:val="0"/>
            </w:pPr>
            <w:r>
              <w:t>247</w:t>
            </w:r>
          </w:p>
        </w:tc>
        <w:tc>
          <w:tcPr>
            <w:tcW w:w="268" w:type="pct"/>
            <w:vAlign w:val="center"/>
          </w:tcPr>
          <w:p w14:paraId="75F0CDB1">
            <w:pPr>
              <w:pStyle w:val="28"/>
              <w:bidi w:val="0"/>
            </w:pPr>
            <w:r>
              <w:rPr>
                <w:rFonts w:hint="eastAsia"/>
              </w:rPr>
              <w:t>左岸</w:t>
            </w:r>
          </w:p>
        </w:tc>
        <w:tc>
          <w:tcPr>
            <w:tcW w:w="262" w:type="pct"/>
            <w:vAlign w:val="center"/>
          </w:tcPr>
          <w:p w14:paraId="583949CB">
            <w:pPr>
              <w:pStyle w:val="28"/>
              <w:bidi w:val="0"/>
            </w:pPr>
            <w:r>
              <w:t>1</w:t>
            </w:r>
            <w:r>
              <w:rPr>
                <w:rFonts w:hint="eastAsia"/>
              </w:rPr>
              <w:t>类</w:t>
            </w:r>
          </w:p>
        </w:tc>
        <w:tc>
          <w:tcPr>
            <w:tcW w:w="809" w:type="pct"/>
            <w:vMerge w:val="continue"/>
            <w:vAlign w:val="center"/>
          </w:tcPr>
          <w:p w14:paraId="55E63167">
            <w:pPr>
              <w:pStyle w:val="28"/>
              <w:bidi w:val="0"/>
            </w:pPr>
          </w:p>
        </w:tc>
        <w:tc>
          <w:tcPr>
            <w:tcW w:w="208" w:type="pct"/>
            <w:vAlign w:val="center"/>
          </w:tcPr>
          <w:p w14:paraId="657354AB">
            <w:pPr>
              <w:pStyle w:val="28"/>
              <w:bidi w:val="0"/>
            </w:pPr>
            <w:r>
              <w:t>52.8</w:t>
            </w:r>
          </w:p>
        </w:tc>
        <w:tc>
          <w:tcPr>
            <w:tcW w:w="211" w:type="pct"/>
            <w:vAlign w:val="center"/>
          </w:tcPr>
          <w:p w14:paraId="45CF7984">
            <w:pPr>
              <w:pStyle w:val="28"/>
              <w:bidi w:val="0"/>
            </w:pPr>
            <w:r>
              <w:t>41.5</w:t>
            </w:r>
          </w:p>
        </w:tc>
        <w:tc>
          <w:tcPr>
            <w:tcW w:w="208" w:type="pct"/>
            <w:vAlign w:val="center"/>
          </w:tcPr>
          <w:p w14:paraId="1ED71B93">
            <w:pPr>
              <w:pStyle w:val="28"/>
              <w:bidi w:val="0"/>
            </w:pPr>
            <w:r>
              <w:t>55</w:t>
            </w:r>
          </w:p>
        </w:tc>
        <w:tc>
          <w:tcPr>
            <w:tcW w:w="211" w:type="pct"/>
            <w:vAlign w:val="center"/>
          </w:tcPr>
          <w:p w14:paraId="235851A7">
            <w:pPr>
              <w:pStyle w:val="28"/>
              <w:bidi w:val="0"/>
            </w:pPr>
            <w:r>
              <w:t>45</w:t>
            </w:r>
          </w:p>
        </w:tc>
        <w:tc>
          <w:tcPr>
            <w:tcW w:w="276" w:type="pct"/>
            <w:vAlign w:val="center"/>
          </w:tcPr>
          <w:p w14:paraId="34341BE5">
            <w:pPr>
              <w:pStyle w:val="28"/>
              <w:bidi w:val="0"/>
            </w:pPr>
            <w:r>
              <w:t>45.4</w:t>
            </w:r>
          </w:p>
        </w:tc>
        <w:tc>
          <w:tcPr>
            <w:tcW w:w="257" w:type="pct"/>
            <w:vAlign w:val="center"/>
          </w:tcPr>
          <w:p w14:paraId="04896060">
            <w:pPr>
              <w:pStyle w:val="28"/>
              <w:bidi w:val="0"/>
            </w:pPr>
            <w:r>
              <w:t>38.4</w:t>
            </w:r>
          </w:p>
        </w:tc>
        <w:tc>
          <w:tcPr>
            <w:tcW w:w="257" w:type="pct"/>
            <w:vAlign w:val="center"/>
          </w:tcPr>
          <w:p w14:paraId="71C5D59F">
            <w:pPr>
              <w:pStyle w:val="28"/>
              <w:bidi w:val="0"/>
            </w:pPr>
            <w:r>
              <w:t>53.0</w:t>
            </w:r>
          </w:p>
        </w:tc>
        <w:tc>
          <w:tcPr>
            <w:tcW w:w="257" w:type="pct"/>
            <w:vAlign w:val="center"/>
          </w:tcPr>
          <w:p w14:paraId="0C5B517E">
            <w:pPr>
              <w:pStyle w:val="28"/>
              <w:bidi w:val="0"/>
            </w:pPr>
            <w:r>
              <w:t>0.2</w:t>
            </w:r>
          </w:p>
        </w:tc>
        <w:tc>
          <w:tcPr>
            <w:tcW w:w="209" w:type="pct"/>
            <w:vAlign w:val="center"/>
          </w:tcPr>
          <w:p w14:paraId="68C7D0B8">
            <w:pPr>
              <w:pStyle w:val="28"/>
              <w:bidi w:val="0"/>
            </w:pPr>
            <w:r>
              <w:t>达标</w:t>
            </w:r>
          </w:p>
        </w:tc>
      </w:tr>
      <w:tr w14:paraId="50EB0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E1B5055">
            <w:pPr>
              <w:pStyle w:val="28"/>
              <w:bidi w:val="0"/>
            </w:pPr>
            <w:r>
              <w:rPr>
                <w:rFonts w:hint="eastAsia"/>
              </w:rPr>
              <w:t>黄塘井</w:t>
            </w:r>
          </w:p>
        </w:tc>
        <w:tc>
          <w:tcPr>
            <w:tcW w:w="511" w:type="pct"/>
            <w:vAlign w:val="center"/>
          </w:tcPr>
          <w:p w14:paraId="3FFC7421">
            <w:pPr>
              <w:pStyle w:val="28"/>
              <w:bidi w:val="0"/>
            </w:pPr>
            <w:r>
              <w:rPr>
                <w:rFonts w:hint="eastAsia"/>
              </w:rPr>
              <w:t>机耕桥加固</w:t>
            </w:r>
          </w:p>
        </w:tc>
        <w:tc>
          <w:tcPr>
            <w:tcW w:w="366" w:type="pct"/>
            <w:vAlign w:val="center"/>
          </w:tcPr>
          <w:p w14:paraId="65C2E2D6">
            <w:pPr>
              <w:pStyle w:val="28"/>
              <w:bidi w:val="0"/>
            </w:pPr>
            <w:r>
              <w:t>203</w:t>
            </w:r>
          </w:p>
        </w:tc>
        <w:tc>
          <w:tcPr>
            <w:tcW w:w="268" w:type="pct"/>
            <w:vAlign w:val="center"/>
          </w:tcPr>
          <w:p w14:paraId="4A9CBDD4">
            <w:pPr>
              <w:pStyle w:val="28"/>
              <w:bidi w:val="0"/>
            </w:pPr>
            <w:r>
              <w:rPr>
                <w:rFonts w:hint="eastAsia"/>
              </w:rPr>
              <w:t>右岸</w:t>
            </w:r>
          </w:p>
        </w:tc>
        <w:tc>
          <w:tcPr>
            <w:tcW w:w="262" w:type="pct"/>
            <w:vAlign w:val="center"/>
          </w:tcPr>
          <w:p w14:paraId="4E77CB1C">
            <w:pPr>
              <w:pStyle w:val="28"/>
              <w:bidi w:val="0"/>
            </w:pPr>
            <w:r>
              <w:t>1</w:t>
            </w:r>
            <w:r>
              <w:rPr>
                <w:rFonts w:hint="eastAsia"/>
              </w:rPr>
              <w:t>类</w:t>
            </w:r>
          </w:p>
        </w:tc>
        <w:tc>
          <w:tcPr>
            <w:tcW w:w="809" w:type="pct"/>
            <w:vMerge w:val="continue"/>
            <w:vAlign w:val="center"/>
          </w:tcPr>
          <w:p w14:paraId="269A3EBD">
            <w:pPr>
              <w:pStyle w:val="28"/>
              <w:bidi w:val="0"/>
            </w:pPr>
          </w:p>
        </w:tc>
        <w:tc>
          <w:tcPr>
            <w:tcW w:w="208" w:type="pct"/>
            <w:vAlign w:val="center"/>
          </w:tcPr>
          <w:p w14:paraId="39885BB0">
            <w:pPr>
              <w:pStyle w:val="28"/>
              <w:bidi w:val="0"/>
            </w:pPr>
            <w:r>
              <w:t>52.8</w:t>
            </w:r>
          </w:p>
        </w:tc>
        <w:tc>
          <w:tcPr>
            <w:tcW w:w="211" w:type="pct"/>
            <w:vAlign w:val="center"/>
          </w:tcPr>
          <w:p w14:paraId="19358429">
            <w:pPr>
              <w:pStyle w:val="28"/>
              <w:bidi w:val="0"/>
            </w:pPr>
            <w:r>
              <w:t>41.5</w:t>
            </w:r>
          </w:p>
        </w:tc>
        <w:tc>
          <w:tcPr>
            <w:tcW w:w="208" w:type="pct"/>
            <w:vAlign w:val="center"/>
          </w:tcPr>
          <w:p w14:paraId="177CDA5F">
            <w:pPr>
              <w:pStyle w:val="28"/>
              <w:bidi w:val="0"/>
            </w:pPr>
            <w:r>
              <w:t>55</w:t>
            </w:r>
          </w:p>
        </w:tc>
        <w:tc>
          <w:tcPr>
            <w:tcW w:w="211" w:type="pct"/>
            <w:vAlign w:val="center"/>
          </w:tcPr>
          <w:p w14:paraId="3B394C7D">
            <w:pPr>
              <w:pStyle w:val="28"/>
              <w:bidi w:val="0"/>
            </w:pPr>
            <w:r>
              <w:t>45</w:t>
            </w:r>
          </w:p>
        </w:tc>
        <w:tc>
          <w:tcPr>
            <w:tcW w:w="276" w:type="pct"/>
            <w:vAlign w:val="center"/>
          </w:tcPr>
          <w:p w14:paraId="0320514E">
            <w:pPr>
              <w:pStyle w:val="28"/>
              <w:bidi w:val="0"/>
            </w:pPr>
            <w:r>
              <w:t>47.1</w:t>
            </w:r>
          </w:p>
        </w:tc>
        <w:tc>
          <w:tcPr>
            <w:tcW w:w="257" w:type="pct"/>
            <w:vAlign w:val="center"/>
          </w:tcPr>
          <w:p w14:paraId="27F0BB8D">
            <w:pPr>
              <w:pStyle w:val="28"/>
              <w:bidi w:val="0"/>
            </w:pPr>
            <w:r>
              <w:t>40.1</w:t>
            </w:r>
          </w:p>
        </w:tc>
        <w:tc>
          <w:tcPr>
            <w:tcW w:w="257" w:type="pct"/>
            <w:vAlign w:val="center"/>
          </w:tcPr>
          <w:p w14:paraId="36FD783E">
            <w:pPr>
              <w:pStyle w:val="28"/>
              <w:bidi w:val="0"/>
            </w:pPr>
            <w:r>
              <w:t>53.0</w:t>
            </w:r>
          </w:p>
        </w:tc>
        <w:tc>
          <w:tcPr>
            <w:tcW w:w="257" w:type="pct"/>
            <w:vAlign w:val="center"/>
          </w:tcPr>
          <w:p w14:paraId="39A9AE68">
            <w:pPr>
              <w:pStyle w:val="28"/>
              <w:bidi w:val="0"/>
            </w:pPr>
            <w:r>
              <w:t>0.2</w:t>
            </w:r>
          </w:p>
        </w:tc>
        <w:tc>
          <w:tcPr>
            <w:tcW w:w="209" w:type="pct"/>
            <w:vAlign w:val="center"/>
          </w:tcPr>
          <w:p w14:paraId="763EED4A">
            <w:pPr>
              <w:pStyle w:val="28"/>
              <w:bidi w:val="0"/>
            </w:pPr>
            <w:r>
              <w:t>达标</w:t>
            </w:r>
          </w:p>
        </w:tc>
      </w:tr>
      <w:tr w14:paraId="70CD8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2100B9A">
            <w:pPr>
              <w:pStyle w:val="28"/>
              <w:bidi w:val="0"/>
            </w:pPr>
            <w:r>
              <w:rPr>
                <w:rFonts w:hint="eastAsia"/>
              </w:rPr>
              <w:t>杨岗</w:t>
            </w:r>
          </w:p>
        </w:tc>
        <w:tc>
          <w:tcPr>
            <w:tcW w:w="511" w:type="pct"/>
            <w:vAlign w:val="center"/>
          </w:tcPr>
          <w:p w14:paraId="40B00205">
            <w:pPr>
              <w:pStyle w:val="28"/>
              <w:bidi w:val="0"/>
            </w:pPr>
            <w:r>
              <w:rPr>
                <w:rFonts w:hint="eastAsia"/>
              </w:rPr>
              <w:t>机耕桥加固</w:t>
            </w:r>
          </w:p>
        </w:tc>
        <w:tc>
          <w:tcPr>
            <w:tcW w:w="366" w:type="pct"/>
            <w:vAlign w:val="center"/>
          </w:tcPr>
          <w:p w14:paraId="78D2AD98">
            <w:pPr>
              <w:pStyle w:val="28"/>
              <w:bidi w:val="0"/>
            </w:pPr>
            <w:r>
              <w:t>85</w:t>
            </w:r>
          </w:p>
        </w:tc>
        <w:tc>
          <w:tcPr>
            <w:tcW w:w="268" w:type="pct"/>
            <w:vAlign w:val="center"/>
          </w:tcPr>
          <w:p w14:paraId="28B4C606">
            <w:pPr>
              <w:pStyle w:val="28"/>
              <w:bidi w:val="0"/>
            </w:pPr>
            <w:r>
              <w:rPr>
                <w:rFonts w:hint="eastAsia"/>
              </w:rPr>
              <w:t>右岸</w:t>
            </w:r>
          </w:p>
        </w:tc>
        <w:tc>
          <w:tcPr>
            <w:tcW w:w="262" w:type="pct"/>
            <w:vAlign w:val="center"/>
          </w:tcPr>
          <w:p w14:paraId="0DBFF616">
            <w:pPr>
              <w:pStyle w:val="28"/>
              <w:bidi w:val="0"/>
            </w:pPr>
            <w:r>
              <w:t>1</w:t>
            </w:r>
            <w:r>
              <w:rPr>
                <w:rFonts w:hint="eastAsia"/>
              </w:rPr>
              <w:t>类</w:t>
            </w:r>
          </w:p>
        </w:tc>
        <w:tc>
          <w:tcPr>
            <w:tcW w:w="809" w:type="pct"/>
            <w:vMerge w:val="continue"/>
            <w:vAlign w:val="center"/>
          </w:tcPr>
          <w:p w14:paraId="3AA02706">
            <w:pPr>
              <w:pStyle w:val="28"/>
              <w:bidi w:val="0"/>
            </w:pPr>
          </w:p>
        </w:tc>
        <w:tc>
          <w:tcPr>
            <w:tcW w:w="208" w:type="pct"/>
            <w:vAlign w:val="center"/>
          </w:tcPr>
          <w:p w14:paraId="0D734D37">
            <w:pPr>
              <w:pStyle w:val="28"/>
              <w:bidi w:val="0"/>
            </w:pPr>
            <w:r>
              <w:t>52.8</w:t>
            </w:r>
          </w:p>
        </w:tc>
        <w:tc>
          <w:tcPr>
            <w:tcW w:w="211" w:type="pct"/>
            <w:vAlign w:val="center"/>
          </w:tcPr>
          <w:p w14:paraId="19C89BFB">
            <w:pPr>
              <w:pStyle w:val="28"/>
              <w:bidi w:val="0"/>
            </w:pPr>
            <w:r>
              <w:t>41.5</w:t>
            </w:r>
          </w:p>
        </w:tc>
        <w:tc>
          <w:tcPr>
            <w:tcW w:w="208" w:type="pct"/>
            <w:vAlign w:val="center"/>
          </w:tcPr>
          <w:p w14:paraId="02E29710">
            <w:pPr>
              <w:pStyle w:val="28"/>
              <w:bidi w:val="0"/>
            </w:pPr>
            <w:r>
              <w:t>55</w:t>
            </w:r>
          </w:p>
        </w:tc>
        <w:tc>
          <w:tcPr>
            <w:tcW w:w="211" w:type="pct"/>
            <w:vAlign w:val="center"/>
          </w:tcPr>
          <w:p w14:paraId="51DCA947">
            <w:pPr>
              <w:pStyle w:val="28"/>
              <w:bidi w:val="0"/>
            </w:pPr>
            <w:r>
              <w:t>45</w:t>
            </w:r>
          </w:p>
        </w:tc>
        <w:tc>
          <w:tcPr>
            <w:tcW w:w="276" w:type="pct"/>
            <w:vAlign w:val="center"/>
          </w:tcPr>
          <w:p w14:paraId="02FD3A82">
            <w:pPr>
              <w:pStyle w:val="28"/>
              <w:bidi w:val="0"/>
            </w:pPr>
            <w:r>
              <w:t>54.6</w:t>
            </w:r>
          </w:p>
        </w:tc>
        <w:tc>
          <w:tcPr>
            <w:tcW w:w="257" w:type="pct"/>
            <w:vAlign w:val="center"/>
          </w:tcPr>
          <w:p w14:paraId="6B154FD0">
            <w:pPr>
              <w:pStyle w:val="28"/>
              <w:bidi w:val="0"/>
            </w:pPr>
            <w:r>
              <w:t>47.6</w:t>
            </w:r>
          </w:p>
        </w:tc>
        <w:tc>
          <w:tcPr>
            <w:tcW w:w="257" w:type="pct"/>
            <w:vAlign w:val="center"/>
          </w:tcPr>
          <w:p w14:paraId="373F8C7B">
            <w:pPr>
              <w:pStyle w:val="28"/>
              <w:bidi w:val="0"/>
            </w:pPr>
            <w:r>
              <w:t>54.0</w:t>
            </w:r>
          </w:p>
        </w:tc>
        <w:tc>
          <w:tcPr>
            <w:tcW w:w="257" w:type="pct"/>
            <w:vAlign w:val="center"/>
          </w:tcPr>
          <w:p w14:paraId="5C1D0F3C">
            <w:pPr>
              <w:pStyle w:val="28"/>
              <w:bidi w:val="0"/>
            </w:pPr>
            <w:r>
              <w:t>1.2</w:t>
            </w:r>
          </w:p>
        </w:tc>
        <w:tc>
          <w:tcPr>
            <w:tcW w:w="209" w:type="pct"/>
            <w:vAlign w:val="center"/>
          </w:tcPr>
          <w:p w14:paraId="5F6E8699">
            <w:pPr>
              <w:pStyle w:val="28"/>
              <w:bidi w:val="0"/>
            </w:pPr>
            <w:r>
              <w:t>达标</w:t>
            </w:r>
          </w:p>
        </w:tc>
      </w:tr>
      <w:tr w14:paraId="3433128F">
        <w:tblPrEx>
          <w:tblCellMar>
            <w:top w:w="0" w:type="dxa"/>
            <w:left w:w="108" w:type="dxa"/>
            <w:bottom w:w="0" w:type="dxa"/>
            <w:right w:w="108" w:type="dxa"/>
          </w:tblCellMar>
        </w:tblPrEx>
        <w:trPr>
          <w:trHeight w:val="340" w:hRule="atLeast"/>
          <w:jc w:val="center"/>
        </w:trPr>
        <w:tc>
          <w:tcPr>
            <w:tcW w:w="685" w:type="pct"/>
            <w:vAlign w:val="center"/>
          </w:tcPr>
          <w:p w14:paraId="02835551">
            <w:pPr>
              <w:pStyle w:val="28"/>
              <w:bidi w:val="0"/>
            </w:pPr>
            <w:r>
              <w:rPr>
                <w:rFonts w:hint="eastAsia"/>
              </w:rPr>
              <w:t>孙岗社区</w:t>
            </w:r>
          </w:p>
        </w:tc>
        <w:tc>
          <w:tcPr>
            <w:tcW w:w="511" w:type="pct"/>
            <w:vAlign w:val="center"/>
          </w:tcPr>
          <w:p w14:paraId="63E5A67B">
            <w:pPr>
              <w:pStyle w:val="28"/>
              <w:bidi w:val="0"/>
            </w:pPr>
            <w:r>
              <w:rPr>
                <w:rFonts w:hint="eastAsia"/>
              </w:rPr>
              <w:t>机耕桥加固</w:t>
            </w:r>
          </w:p>
        </w:tc>
        <w:tc>
          <w:tcPr>
            <w:tcW w:w="366" w:type="pct"/>
            <w:vAlign w:val="center"/>
          </w:tcPr>
          <w:p w14:paraId="70897D8A">
            <w:pPr>
              <w:pStyle w:val="28"/>
              <w:bidi w:val="0"/>
            </w:pPr>
            <w:r>
              <w:t>19</w:t>
            </w:r>
          </w:p>
        </w:tc>
        <w:tc>
          <w:tcPr>
            <w:tcW w:w="268" w:type="pct"/>
            <w:vAlign w:val="center"/>
          </w:tcPr>
          <w:p w14:paraId="2C7A31EE">
            <w:pPr>
              <w:pStyle w:val="28"/>
              <w:bidi w:val="0"/>
            </w:pPr>
            <w:r>
              <w:rPr>
                <w:rFonts w:hint="eastAsia"/>
              </w:rPr>
              <w:t>左岸</w:t>
            </w:r>
          </w:p>
        </w:tc>
        <w:tc>
          <w:tcPr>
            <w:tcW w:w="262" w:type="pct"/>
            <w:vAlign w:val="center"/>
          </w:tcPr>
          <w:p w14:paraId="602BADB0">
            <w:pPr>
              <w:pStyle w:val="28"/>
              <w:bidi w:val="0"/>
            </w:pPr>
            <w:r>
              <w:t>2</w:t>
            </w:r>
            <w:r>
              <w:rPr>
                <w:rFonts w:hint="eastAsia"/>
              </w:rPr>
              <w:t>类</w:t>
            </w:r>
          </w:p>
        </w:tc>
        <w:tc>
          <w:tcPr>
            <w:tcW w:w="809" w:type="pct"/>
            <w:vMerge w:val="restart"/>
            <w:vAlign w:val="center"/>
          </w:tcPr>
          <w:p w14:paraId="2B8A4740">
            <w:pPr>
              <w:pStyle w:val="28"/>
              <w:bidi w:val="0"/>
            </w:pPr>
            <w:r>
              <w:rPr>
                <w:rFonts w:hint="eastAsia"/>
              </w:rPr>
              <w:t>采用低噪声设备，施工机械远离居民住宅，设置双层移动声屏障</w:t>
            </w:r>
          </w:p>
        </w:tc>
        <w:tc>
          <w:tcPr>
            <w:tcW w:w="208" w:type="pct"/>
            <w:vAlign w:val="center"/>
          </w:tcPr>
          <w:p w14:paraId="1B45D074">
            <w:pPr>
              <w:pStyle w:val="28"/>
              <w:bidi w:val="0"/>
            </w:pPr>
            <w:r>
              <w:t>52.8</w:t>
            </w:r>
          </w:p>
        </w:tc>
        <w:tc>
          <w:tcPr>
            <w:tcW w:w="211" w:type="pct"/>
            <w:vAlign w:val="center"/>
          </w:tcPr>
          <w:p w14:paraId="2BCF1A10">
            <w:pPr>
              <w:pStyle w:val="28"/>
              <w:bidi w:val="0"/>
            </w:pPr>
            <w:r>
              <w:t>41.5</w:t>
            </w:r>
          </w:p>
        </w:tc>
        <w:tc>
          <w:tcPr>
            <w:tcW w:w="208" w:type="pct"/>
            <w:vAlign w:val="center"/>
          </w:tcPr>
          <w:p w14:paraId="5DEEC3F1">
            <w:pPr>
              <w:pStyle w:val="28"/>
              <w:bidi w:val="0"/>
            </w:pPr>
            <w:r>
              <w:t>60</w:t>
            </w:r>
          </w:p>
        </w:tc>
        <w:tc>
          <w:tcPr>
            <w:tcW w:w="211" w:type="pct"/>
            <w:vAlign w:val="center"/>
          </w:tcPr>
          <w:p w14:paraId="4BB28280">
            <w:pPr>
              <w:pStyle w:val="28"/>
              <w:bidi w:val="0"/>
            </w:pPr>
            <w:r>
              <w:t>50</w:t>
            </w:r>
          </w:p>
        </w:tc>
        <w:tc>
          <w:tcPr>
            <w:tcW w:w="276" w:type="pct"/>
            <w:vAlign w:val="center"/>
          </w:tcPr>
          <w:p w14:paraId="394B6804">
            <w:pPr>
              <w:pStyle w:val="28"/>
              <w:bidi w:val="0"/>
            </w:pPr>
            <w:r>
              <w:t>67.6</w:t>
            </w:r>
          </w:p>
        </w:tc>
        <w:tc>
          <w:tcPr>
            <w:tcW w:w="257" w:type="pct"/>
            <w:vAlign w:val="center"/>
          </w:tcPr>
          <w:p w14:paraId="405C01D8">
            <w:pPr>
              <w:pStyle w:val="28"/>
              <w:bidi w:val="0"/>
            </w:pPr>
            <w:r>
              <w:t>47.6</w:t>
            </w:r>
          </w:p>
        </w:tc>
        <w:tc>
          <w:tcPr>
            <w:tcW w:w="257" w:type="pct"/>
            <w:vAlign w:val="center"/>
          </w:tcPr>
          <w:p w14:paraId="2CF18C75">
            <w:pPr>
              <w:pStyle w:val="28"/>
              <w:bidi w:val="0"/>
            </w:pPr>
            <w:r>
              <w:t>54.0</w:t>
            </w:r>
          </w:p>
        </w:tc>
        <w:tc>
          <w:tcPr>
            <w:tcW w:w="257" w:type="pct"/>
            <w:vAlign w:val="center"/>
          </w:tcPr>
          <w:p w14:paraId="65A6CD07">
            <w:pPr>
              <w:pStyle w:val="28"/>
              <w:bidi w:val="0"/>
            </w:pPr>
            <w:r>
              <w:t>1.2</w:t>
            </w:r>
          </w:p>
        </w:tc>
        <w:tc>
          <w:tcPr>
            <w:tcW w:w="209" w:type="pct"/>
            <w:vAlign w:val="center"/>
          </w:tcPr>
          <w:p w14:paraId="49C363B2">
            <w:pPr>
              <w:pStyle w:val="28"/>
              <w:bidi w:val="0"/>
            </w:pPr>
            <w:r>
              <w:t>达标</w:t>
            </w:r>
          </w:p>
        </w:tc>
      </w:tr>
      <w:tr w14:paraId="5CCA3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B892F1F">
            <w:pPr>
              <w:pStyle w:val="28"/>
              <w:bidi w:val="0"/>
            </w:pPr>
            <w:r>
              <w:rPr>
                <w:rFonts w:hint="eastAsia"/>
              </w:rPr>
              <w:t>下糖郢</w:t>
            </w:r>
          </w:p>
        </w:tc>
        <w:tc>
          <w:tcPr>
            <w:tcW w:w="511" w:type="pct"/>
            <w:vAlign w:val="center"/>
          </w:tcPr>
          <w:p w14:paraId="77272EAF">
            <w:pPr>
              <w:pStyle w:val="28"/>
              <w:bidi w:val="0"/>
            </w:pPr>
            <w:r>
              <w:rPr>
                <w:rFonts w:hint="eastAsia"/>
              </w:rPr>
              <w:t>机耕桥拆建</w:t>
            </w:r>
          </w:p>
        </w:tc>
        <w:tc>
          <w:tcPr>
            <w:tcW w:w="366" w:type="pct"/>
            <w:vAlign w:val="center"/>
          </w:tcPr>
          <w:p w14:paraId="1F15D869">
            <w:pPr>
              <w:pStyle w:val="28"/>
              <w:bidi w:val="0"/>
            </w:pPr>
            <w:r>
              <w:t>15</w:t>
            </w:r>
          </w:p>
        </w:tc>
        <w:tc>
          <w:tcPr>
            <w:tcW w:w="268" w:type="pct"/>
            <w:vAlign w:val="center"/>
          </w:tcPr>
          <w:p w14:paraId="5B2844F5">
            <w:pPr>
              <w:pStyle w:val="28"/>
              <w:bidi w:val="0"/>
            </w:pPr>
            <w:r>
              <w:rPr>
                <w:rFonts w:hint="eastAsia"/>
              </w:rPr>
              <w:t>左岸</w:t>
            </w:r>
          </w:p>
        </w:tc>
        <w:tc>
          <w:tcPr>
            <w:tcW w:w="262" w:type="pct"/>
            <w:vAlign w:val="center"/>
          </w:tcPr>
          <w:p w14:paraId="1750279B">
            <w:pPr>
              <w:pStyle w:val="28"/>
              <w:bidi w:val="0"/>
            </w:pPr>
            <w:r>
              <w:t>1</w:t>
            </w:r>
            <w:r>
              <w:rPr>
                <w:rFonts w:hint="eastAsia"/>
              </w:rPr>
              <w:t>类</w:t>
            </w:r>
          </w:p>
        </w:tc>
        <w:tc>
          <w:tcPr>
            <w:tcW w:w="809" w:type="pct"/>
            <w:vMerge w:val="continue"/>
            <w:vAlign w:val="center"/>
          </w:tcPr>
          <w:p w14:paraId="1F5CCF1E">
            <w:pPr>
              <w:pStyle w:val="28"/>
              <w:bidi w:val="0"/>
            </w:pPr>
          </w:p>
        </w:tc>
        <w:tc>
          <w:tcPr>
            <w:tcW w:w="208" w:type="pct"/>
            <w:vAlign w:val="center"/>
          </w:tcPr>
          <w:p w14:paraId="58813EAB">
            <w:pPr>
              <w:pStyle w:val="28"/>
              <w:bidi w:val="0"/>
            </w:pPr>
            <w:r>
              <w:t>52.8</w:t>
            </w:r>
          </w:p>
        </w:tc>
        <w:tc>
          <w:tcPr>
            <w:tcW w:w="211" w:type="pct"/>
            <w:vAlign w:val="center"/>
          </w:tcPr>
          <w:p w14:paraId="5610E017">
            <w:pPr>
              <w:pStyle w:val="28"/>
              <w:bidi w:val="0"/>
            </w:pPr>
            <w:r>
              <w:t>41.5</w:t>
            </w:r>
          </w:p>
        </w:tc>
        <w:tc>
          <w:tcPr>
            <w:tcW w:w="208" w:type="pct"/>
            <w:vAlign w:val="center"/>
          </w:tcPr>
          <w:p w14:paraId="739FEBB9">
            <w:pPr>
              <w:pStyle w:val="28"/>
              <w:bidi w:val="0"/>
            </w:pPr>
            <w:r>
              <w:t>55</w:t>
            </w:r>
          </w:p>
        </w:tc>
        <w:tc>
          <w:tcPr>
            <w:tcW w:w="211" w:type="pct"/>
            <w:vAlign w:val="center"/>
          </w:tcPr>
          <w:p w14:paraId="15F9AADA">
            <w:pPr>
              <w:pStyle w:val="28"/>
              <w:bidi w:val="0"/>
            </w:pPr>
            <w:r>
              <w:t>45</w:t>
            </w:r>
          </w:p>
        </w:tc>
        <w:tc>
          <w:tcPr>
            <w:tcW w:w="276" w:type="pct"/>
            <w:vAlign w:val="center"/>
          </w:tcPr>
          <w:p w14:paraId="68CBCDD4">
            <w:pPr>
              <w:pStyle w:val="28"/>
              <w:bidi w:val="0"/>
            </w:pPr>
            <w:r>
              <w:t>69.7</w:t>
            </w:r>
          </w:p>
        </w:tc>
        <w:tc>
          <w:tcPr>
            <w:tcW w:w="257" w:type="pct"/>
            <w:vAlign w:val="center"/>
          </w:tcPr>
          <w:p w14:paraId="48D27690">
            <w:pPr>
              <w:pStyle w:val="28"/>
              <w:bidi w:val="0"/>
            </w:pPr>
            <w:r>
              <w:t>49.7</w:t>
            </w:r>
          </w:p>
        </w:tc>
        <w:tc>
          <w:tcPr>
            <w:tcW w:w="257" w:type="pct"/>
            <w:vAlign w:val="center"/>
          </w:tcPr>
          <w:p w14:paraId="7C1699AF">
            <w:pPr>
              <w:pStyle w:val="28"/>
              <w:bidi w:val="0"/>
            </w:pPr>
            <w:r>
              <w:t>54.5</w:t>
            </w:r>
          </w:p>
        </w:tc>
        <w:tc>
          <w:tcPr>
            <w:tcW w:w="257" w:type="pct"/>
            <w:vAlign w:val="center"/>
          </w:tcPr>
          <w:p w14:paraId="74CCB6E0">
            <w:pPr>
              <w:pStyle w:val="28"/>
              <w:bidi w:val="0"/>
            </w:pPr>
            <w:r>
              <w:t>1.7</w:t>
            </w:r>
          </w:p>
        </w:tc>
        <w:tc>
          <w:tcPr>
            <w:tcW w:w="209" w:type="pct"/>
            <w:vAlign w:val="center"/>
          </w:tcPr>
          <w:p w14:paraId="218B8C8E">
            <w:pPr>
              <w:pStyle w:val="28"/>
              <w:bidi w:val="0"/>
            </w:pPr>
            <w:r>
              <w:t>达标</w:t>
            </w:r>
          </w:p>
        </w:tc>
      </w:tr>
      <w:tr w14:paraId="21B9C8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67B7251">
            <w:pPr>
              <w:pStyle w:val="28"/>
              <w:bidi w:val="0"/>
            </w:pPr>
            <w:r>
              <w:rPr>
                <w:rFonts w:hint="eastAsia"/>
              </w:rPr>
              <w:t>令喜希望小学</w:t>
            </w:r>
          </w:p>
        </w:tc>
        <w:tc>
          <w:tcPr>
            <w:tcW w:w="511" w:type="pct"/>
            <w:vAlign w:val="center"/>
          </w:tcPr>
          <w:p w14:paraId="3F0E8D0D">
            <w:pPr>
              <w:pStyle w:val="28"/>
              <w:bidi w:val="0"/>
            </w:pPr>
            <w:r>
              <w:rPr>
                <w:rFonts w:hint="eastAsia"/>
              </w:rPr>
              <w:t>泵站拆建</w:t>
            </w:r>
          </w:p>
        </w:tc>
        <w:tc>
          <w:tcPr>
            <w:tcW w:w="366" w:type="pct"/>
            <w:vAlign w:val="center"/>
          </w:tcPr>
          <w:p w14:paraId="1E01A773">
            <w:pPr>
              <w:pStyle w:val="28"/>
              <w:bidi w:val="0"/>
            </w:pPr>
            <w:r>
              <w:t>85</w:t>
            </w:r>
          </w:p>
        </w:tc>
        <w:tc>
          <w:tcPr>
            <w:tcW w:w="268" w:type="pct"/>
            <w:vAlign w:val="center"/>
          </w:tcPr>
          <w:p w14:paraId="20C363DA">
            <w:pPr>
              <w:pStyle w:val="28"/>
              <w:bidi w:val="0"/>
            </w:pPr>
            <w:r>
              <w:rPr>
                <w:rFonts w:hint="eastAsia"/>
              </w:rPr>
              <w:t>左岸</w:t>
            </w:r>
          </w:p>
        </w:tc>
        <w:tc>
          <w:tcPr>
            <w:tcW w:w="262" w:type="pct"/>
            <w:vAlign w:val="center"/>
          </w:tcPr>
          <w:p w14:paraId="5BB3FE1F">
            <w:pPr>
              <w:pStyle w:val="28"/>
              <w:bidi w:val="0"/>
            </w:pPr>
            <w:r>
              <w:t>1</w:t>
            </w:r>
            <w:r>
              <w:rPr>
                <w:rFonts w:hint="eastAsia"/>
              </w:rPr>
              <w:t>类</w:t>
            </w:r>
          </w:p>
        </w:tc>
        <w:tc>
          <w:tcPr>
            <w:tcW w:w="809" w:type="pct"/>
            <w:vMerge w:val="restart"/>
            <w:vAlign w:val="center"/>
          </w:tcPr>
          <w:p w14:paraId="32BDDF9C">
            <w:pPr>
              <w:pStyle w:val="28"/>
              <w:bidi w:val="0"/>
            </w:pPr>
            <w:r>
              <w:rPr>
                <w:rFonts w:hint="eastAsia"/>
              </w:rPr>
              <w:t>采用低噪声设备，施工机械远离居民住宅</w:t>
            </w:r>
          </w:p>
        </w:tc>
        <w:tc>
          <w:tcPr>
            <w:tcW w:w="208" w:type="pct"/>
            <w:vAlign w:val="center"/>
          </w:tcPr>
          <w:p w14:paraId="448B3DDB">
            <w:pPr>
              <w:pStyle w:val="28"/>
              <w:bidi w:val="0"/>
            </w:pPr>
            <w:r>
              <w:t>52.9</w:t>
            </w:r>
          </w:p>
        </w:tc>
        <w:tc>
          <w:tcPr>
            <w:tcW w:w="211" w:type="pct"/>
            <w:vAlign w:val="center"/>
          </w:tcPr>
          <w:p w14:paraId="14DA401D">
            <w:pPr>
              <w:pStyle w:val="28"/>
              <w:bidi w:val="0"/>
            </w:pPr>
            <w:r>
              <w:t>41</w:t>
            </w:r>
          </w:p>
        </w:tc>
        <w:tc>
          <w:tcPr>
            <w:tcW w:w="208" w:type="pct"/>
            <w:vAlign w:val="center"/>
          </w:tcPr>
          <w:p w14:paraId="5E34B6AA">
            <w:pPr>
              <w:pStyle w:val="28"/>
              <w:bidi w:val="0"/>
            </w:pPr>
            <w:r>
              <w:t>55</w:t>
            </w:r>
          </w:p>
        </w:tc>
        <w:tc>
          <w:tcPr>
            <w:tcW w:w="211" w:type="pct"/>
            <w:vAlign w:val="center"/>
          </w:tcPr>
          <w:p w14:paraId="0C5778E3">
            <w:pPr>
              <w:pStyle w:val="28"/>
              <w:bidi w:val="0"/>
            </w:pPr>
            <w:r>
              <w:t>45</w:t>
            </w:r>
          </w:p>
        </w:tc>
        <w:tc>
          <w:tcPr>
            <w:tcW w:w="276" w:type="pct"/>
            <w:vAlign w:val="center"/>
          </w:tcPr>
          <w:p w14:paraId="1F8FF76B">
            <w:pPr>
              <w:pStyle w:val="28"/>
              <w:bidi w:val="0"/>
            </w:pPr>
            <w:r>
              <w:t>54.6</w:t>
            </w:r>
          </w:p>
        </w:tc>
        <w:tc>
          <w:tcPr>
            <w:tcW w:w="257" w:type="pct"/>
            <w:vAlign w:val="center"/>
          </w:tcPr>
          <w:p w14:paraId="1C5A48D4">
            <w:pPr>
              <w:pStyle w:val="28"/>
              <w:bidi w:val="0"/>
            </w:pPr>
            <w:r>
              <w:t>47.6</w:t>
            </w:r>
          </w:p>
        </w:tc>
        <w:tc>
          <w:tcPr>
            <w:tcW w:w="257" w:type="pct"/>
            <w:vAlign w:val="center"/>
          </w:tcPr>
          <w:p w14:paraId="50771EA5">
            <w:pPr>
              <w:pStyle w:val="28"/>
              <w:bidi w:val="0"/>
            </w:pPr>
            <w:r>
              <w:t>54.0</w:t>
            </w:r>
          </w:p>
        </w:tc>
        <w:tc>
          <w:tcPr>
            <w:tcW w:w="257" w:type="pct"/>
            <w:vAlign w:val="center"/>
          </w:tcPr>
          <w:p w14:paraId="265CBDEB">
            <w:pPr>
              <w:pStyle w:val="28"/>
              <w:bidi w:val="0"/>
            </w:pPr>
            <w:r>
              <w:t>1.1</w:t>
            </w:r>
          </w:p>
        </w:tc>
        <w:tc>
          <w:tcPr>
            <w:tcW w:w="209" w:type="pct"/>
            <w:vAlign w:val="center"/>
          </w:tcPr>
          <w:p w14:paraId="66D40E03">
            <w:pPr>
              <w:pStyle w:val="28"/>
              <w:bidi w:val="0"/>
            </w:pPr>
            <w:r>
              <w:t>达标</w:t>
            </w:r>
          </w:p>
        </w:tc>
      </w:tr>
      <w:tr w14:paraId="6A1FA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3CFCA46">
            <w:pPr>
              <w:pStyle w:val="28"/>
              <w:bidi w:val="0"/>
            </w:pPr>
            <w:r>
              <w:rPr>
                <w:rFonts w:hint="eastAsia"/>
              </w:rPr>
              <w:t>罗岗</w:t>
            </w:r>
          </w:p>
        </w:tc>
        <w:tc>
          <w:tcPr>
            <w:tcW w:w="511" w:type="pct"/>
            <w:vAlign w:val="center"/>
          </w:tcPr>
          <w:p w14:paraId="7A4951BD">
            <w:pPr>
              <w:pStyle w:val="28"/>
              <w:bidi w:val="0"/>
            </w:pPr>
            <w:r>
              <w:rPr>
                <w:rFonts w:hint="eastAsia"/>
              </w:rPr>
              <w:t>泵站拆建</w:t>
            </w:r>
          </w:p>
        </w:tc>
        <w:tc>
          <w:tcPr>
            <w:tcW w:w="366" w:type="pct"/>
            <w:vAlign w:val="center"/>
          </w:tcPr>
          <w:p w14:paraId="65F80651">
            <w:pPr>
              <w:pStyle w:val="28"/>
              <w:bidi w:val="0"/>
            </w:pPr>
            <w:r>
              <w:t>170</w:t>
            </w:r>
          </w:p>
        </w:tc>
        <w:tc>
          <w:tcPr>
            <w:tcW w:w="268" w:type="pct"/>
            <w:vAlign w:val="center"/>
          </w:tcPr>
          <w:p w14:paraId="3AD1F7E7">
            <w:pPr>
              <w:pStyle w:val="28"/>
              <w:bidi w:val="0"/>
            </w:pPr>
            <w:r>
              <w:rPr>
                <w:rFonts w:hint="eastAsia"/>
              </w:rPr>
              <w:t>左岸</w:t>
            </w:r>
          </w:p>
        </w:tc>
        <w:tc>
          <w:tcPr>
            <w:tcW w:w="262" w:type="pct"/>
            <w:vAlign w:val="center"/>
          </w:tcPr>
          <w:p w14:paraId="728BA226">
            <w:pPr>
              <w:pStyle w:val="28"/>
              <w:bidi w:val="0"/>
            </w:pPr>
            <w:r>
              <w:t>1</w:t>
            </w:r>
            <w:r>
              <w:rPr>
                <w:rFonts w:hint="eastAsia"/>
              </w:rPr>
              <w:t>类</w:t>
            </w:r>
          </w:p>
        </w:tc>
        <w:tc>
          <w:tcPr>
            <w:tcW w:w="809" w:type="pct"/>
            <w:vMerge w:val="continue"/>
            <w:vAlign w:val="center"/>
          </w:tcPr>
          <w:p w14:paraId="66D6C8E3">
            <w:pPr>
              <w:pStyle w:val="28"/>
              <w:bidi w:val="0"/>
            </w:pPr>
          </w:p>
        </w:tc>
        <w:tc>
          <w:tcPr>
            <w:tcW w:w="208" w:type="pct"/>
            <w:vAlign w:val="center"/>
          </w:tcPr>
          <w:p w14:paraId="6E68C906">
            <w:pPr>
              <w:pStyle w:val="28"/>
              <w:bidi w:val="0"/>
            </w:pPr>
            <w:r>
              <w:t>51.8</w:t>
            </w:r>
          </w:p>
        </w:tc>
        <w:tc>
          <w:tcPr>
            <w:tcW w:w="211" w:type="pct"/>
            <w:vAlign w:val="center"/>
          </w:tcPr>
          <w:p w14:paraId="49BBB8FE">
            <w:pPr>
              <w:pStyle w:val="28"/>
              <w:bidi w:val="0"/>
            </w:pPr>
            <w:r>
              <w:t>42.3</w:t>
            </w:r>
          </w:p>
        </w:tc>
        <w:tc>
          <w:tcPr>
            <w:tcW w:w="208" w:type="pct"/>
            <w:vAlign w:val="center"/>
          </w:tcPr>
          <w:p w14:paraId="0B7527F9">
            <w:pPr>
              <w:pStyle w:val="28"/>
              <w:bidi w:val="0"/>
            </w:pPr>
            <w:r>
              <w:t>55</w:t>
            </w:r>
          </w:p>
        </w:tc>
        <w:tc>
          <w:tcPr>
            <w:tcW w:w="211" w:type="pct"/>
            <w:vAlign w:val="center"/>
          </w:tcPr>
          <w:p w14:paraId="49993297">
            <w:pPr>
              <w:pStyle w:val="28"/>
              <w:bidi w:val="0"/>
            </w:pPr>
            <w:r>
              <w:t>45</w:t>
            </w:r>
          </w:p>
        </w:tc>
        <w:tc>
          <w:tcPr>
            <w:tcW w:w="276" w:type="pct"/>
            <w:vAlign w:val="center"/>
          </w:tcPr>
          <w:p w14:paraId="58103E2B">
            <w:pPr>
              <w:pStyle w:val="28"/>
              <w:bidi w:val="0"/>
            </w:pPr>
            <w:r>
              <w:t>48.6</w:t>
            </w:r>
          </w:p>
        </w:tc>
        <w:tc>
          <w:tcPr>
            <w:tcW w:w="257" w:type="pct"/>
            <w:vAlign w:val="center"/>
          </w:tcPr>
          <w:p w14:paraId="2FE511B3">
            <w:pPr>
              <w:pStyle w:val="28"/>
              <w:bidi w:val="0"/>
            </w:pPr>
            <w:r>
              <w:t>41.6</w:t>
            </w:r>
          </w:p>
        </w:tc>
        <w:tc>
          <w:tcPr>
            <w:tcW w:w="257" w:type="pct"/>
            <w:vAlign w:val="center"/>
          </w:tcPr>
          <w:p w14:paraId="0860448C">
            <w:pPr>
              <w:pStyle w:val="28"/>
              <w:bidi w:val="0"/>
            </w:pPr>
            <w:r>
              <w:t>52.2</w:t>
            </w:r>
          </w:p>
        </w:tc>
        <w:tc>
          <w:tcPr>
            <w:tcW w:w="257" w:type="pct"/>
            <w:vAlign w:val="center"/>
          </w:tcPr>
          <w:p w14:paraId="62B6D924">
            <w:pPr>
              <w:pStyle w:val="28"/>
              <w:bidi w:val="0"/>
            </w:pPr>
            <w:r>
              <w:t>0.4</w:t>
            </w:r>
          </w:p>
        </w:tc>
        <w:tc>
          <w:tcPr>
            <w:tcW w:w="209" w:type="pct"/>
            <w:vAlign w:val="center"/>
          </w:tcPr>
          <w:p w14:paraId="04EB30D5">
            <w:pPr>
              <w:pStyle w:val="28"/>
              <w:bidi w:val="0"/>
            </w:pPr>
            <w:r>
              <w:t>达标</w:t>
            </w:r>
          </w:p>
        </w:tc>
      </w:tr>
      <w:tr w14:paraId="58B7B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5DF41AB">
            <w:pPr>
              <w:pStyle w:val="28"/>
              <w:bidi w:val="0"/>
            </w:pPr>
            <w:r>
              <w:rPr>
                <w:rFonts w:hint="eastAsia"/>
              </w:rPr>
              <w:t>酒坊</w:t>
            </w:r>
          </w:p>
        </w:tc>
        <w:tc>
          <w:tcPr>
            <w:tcW w:w="511" w:type="pct"/>
            <w:vAlign w:val="center"/>
          </w:tcPr>
          <w:p w14:paraId="45AE2925">
            <w:pPr>
              <w:pStyle w:val="28"/>
              <w:bidi w:val="0"/>
            </w:pPr>
            <w:r>
              <w:rPr>
                <w:rFonts w:hint="eastAsia"/>
              </w:rPr>
              <w:t>泵站拆建</w:t>
            </w:r>
          </w:p>
        </w:tc>
        <w:tc>
          <w:tcPr>
            <w:tcW w:w="366" w:type="pct"/>
            <w:vAlign w:val="center"/>
          </w:tcPr>
          <w:p w14:paraId="57D407F0">
            <w:pPr>
              <w:pStyle w:val="28"/>
              <w:bidi w:val="0"/>
            </w:pPr>
            <w:r>
              <w:t>100</w:t>
            </w:r>
          </w:p>
        </w:tc>
        <w:tc>
          <w:tcPr>
            <w:tcW w:w="268" w:type="pct"/>
            <w:vAlign w:val="center"/>
          </w:tcPr>
          <w:p w14:paraId="1480C303">
            <w:pPr>
              <w:pStyle w:val="28"/>
              <w:bidi w:val="0"/>
            </w:pPr>
            <w:r>
              <w:rPr>
                <w:rFonts w:hint="eastAsia"/>
              </w:rPr>
              <w:t>右岸</w:t>
            </w:r>
          </w:p>
        </w:tc>
        <w:tc>
          <w:tcPr>
            <w:tcW w:w="262" w:type="pct"/>
            <w:vAlign w:val="center"/>
          </w:tcPr>
          <w:p w14:paraId="171AB4E7">
            <w:pPr>
              <w:pStyle w:val="28"/>
              <w:bidi w:val="0"/>
            </w:pPr>
            <w:r>
              <w:t>1</w:t>
            </w:r>
            <w:r>
              <w:rPr>
                <w:rFonts w:hint="eastAsia"/>
              </w:rPr>
              <w:t>类</w:t>
            </w:r>
          </w:p>
        </w:tc>
        <w:tc>
          <w:tcPr>
            <w:tcW w:w="809" w:type="pct"/>
            <w:vMerge w:val="continue"/>
            <w:vAlign w:val="center"/>
          </w:tcPr>
          <w:p w14:paraId="4B34170A">
            <w:pPr>
              <w:pStyle w:val="28"/>
              <w:bidi w:val="0"/>
            </w:pPr>
          </w:p>
        </w:tc>
        <w:tc>
          <w:tcPr>
            <w:tcW w:w="208" w:type="pct"/>
            <w:vAlign w:val="center"/>
          </w:tcPr>
          <w:p w14:paraId="7D6407E1">
            <w:pPr>
              <w:pStyle w:val="28"/>
              <w:bidi w:val="0"/>
            </w:pPr>
            <w:r>
              <w:t>51.8</w:t>
            </w:r>
          </w:p>
        </w:tc>
        <w:tc>
          <w:tcPr>
            <w:tcW w:w="211" w:type="pct"/>
            <w:vAlign w:val="center"/>
          </w:tcPr>
          <w:p w14:paraId="21A9E05C">
            <w:pPr>
              <w:pStyle w:val="28"/>
              <w:bidi w:val="0"/>
            </w:pPr>
            <w:r>
              <w:t>42.3</w:t>
            </w:r>
          </w:p>
        </w:tc>
        <w:tc>
          <w:tcPr>
            <w:tcW w:w="208" w:type="pct"/>
            <w:vAlign w:val="center"/>
          </w:tcPr>
          <w:p w14:paraId="577C7ABD">
            <w:pPr>
              <w:pStyle w:val="28"/>
              <w:bidi w:val="0"/>
            </w:pPr>
            <w:r>
              <w:t>55</w:t>
            </w:r>
          </w:p>
        </w:tc>
        <w:tc>
          <w:tcPr>
            <w:tcW w:w="211" w:type="pct"/>
            <w:vAlign w:val="center"/>
          </w:tcPr>
          <w:p w14:paraId="3D250534">
            <w:pPr>
              <w:pStyle w:val="28"/>
              <w:bidi w:val="0"/>
            </w:pPr>
            <w:r>
              <w:t>45</w:t>
            </w:r>
          </w:p>
        </w:tc>
        <w:tc>
          <w:tcPr>
            <w:tcW w:w="276" w:type="pct"/>
            <w:vAlign w:val="center"/>
          </w:tcPr>
          <w:p w14:paraId="09B960BF">
            <w:pPr>
              <w:pStyle w:val="28"/>
              <w:bidi w:val="0"/>
            </w:pPr>
            <w:r>
              <w:t>53.2</w:t>
            </w:r>
          </w:p>
        </w:tc>
        <w:tc>
          <w:tcPr>
            <w:tcW w:w="257" w:type="pct"/>
            <w:vAlign w:val="center"/>
          </w:tcPr>
          <w:p w14:paraId="5A9BBE66">
            <w:pPr>
              <w:pStyle w:val="28"/>
              <w:bidi w:val="0"/>
            </w:pPr>
            <w:r>
              <w:t>46.2</w:t>
            </w:r>
          </w:p>
        </w:tc>
        <w:tc>
          <w:tcPr>
            <w:tcW w:w="257" w:type="pct"/>
            <w:vAlign w:val="center"/>
          </w:tcPr>
          <w:p w14:paraId="177F62C9">
            <w:pPr>
              <w:pStyle w:val="28"/>
              <w:bidi w:val="0"/>
            </w:pPr>
            <w:r>
              <w:t>52.9</w:t>
            </w:r>
          </w:p>
        </w:tc>
        <w:tc>
          <w:tcPr>
            <w:tcW w:w="257" w:type="pct"/>
            <w:vAlign w:val="center"/>
          </w:tcPr>
          <w:p w14:paraId="5BFD5886">
            <w:pPr>
              <w:pStyle w:val="28"/>
              <w:bidi w:val="0"/>
            </w:pPr>
            <w:r>
              <w:t>1.1</w:t>
            </w:r>
          </w:p>
        </w:tc>
        <w:tc>
          <w:tcPr>
            <w:tcW w:w="209" w:type="pct"/>
            <w:vAlign w:val="center"/>
          </w:tcPr>
          <w:p w14:paraId="1E73AE59">
            <w:pPr>
              <w:pStyle w:val="28"/>
              <w:bidi w:val="0"/>
            </w:pPr>
            <w:r>
              <w:t>达标</w:t>
            </w:r>
          </w:p>
        </w:tc>
      </w:tr>
      <w:tr w14:paraId="071818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801B126">
            <w:pPr>
              <w:pStyle w:val="28"/>
              <w:bidi w:val="0"/>
            </w:pPr>
            <w:r>
              <w:rPr>
                <w:rFonts w:hint="eastAsia"/>
              </w:rPr>
              <w:t>新河村</w:t>
            </w:r>
          </w:p>
        </w:tc>
        <w:tc>
          <w:tcPr>
            <w:tcW w:w="511" w:type="pct"/>
            <w:vAlign w:val="center"/>
          </w:tcPr>
          <w:p w14:paraId="31061CE4">
            <w:pPr>
              <w:pStyle w:val="28"/>
              <w:bidi w:val="0"/>
            </w:pPr>
            <w:r>
              <w:rPr>
                <w:rFonts w:hint="eastAsia"/>
              </w:rPr>
              <w:t>新建泵站</w:t>
            </w:r>
          </w:p>
        </w:tc>
        <w:tc>
          <w:tcPr>
            <w:tcW w:w="366" w:type="pct"/>
            <w:vAlign w:val="center"/>
          </w:tcPr>
          <w:p w14:paraId="3C2677F4">
            <w:pPr>
              <w:pStyle w:val="28"/>
              <w:bidi w:val="0"/>
            </w:pPr>
            <w:r>
              <w:t>40</w:t>
            </w:r>
          </w:p>
        </w:tc>
        <w:tc>
          <w:tcPr>
            <w:tcW w:w="268" w:type="pct"/>
            <w:vAlign w:val="center"/>
          </w:tcPr>
          <w:p w14:paraId="0BBB633E">
            <w:pPr>
              <w:pStyle w:val="28"/>
              <w:bidi w:val="0"/>
            </w:pPr>
            <w:r>
              <w:rPr>
                <w:rFonts w:hint="eastAsia"/>
              </w:rPr>
              <w:t>左岸</w:t>
            </w:r>
          </w:p>
        </w:tc>
        <w:tc>
          <w:tcPr>
            <w:tcW w:w="262" w:type="pct"/>
            <w:vAlign w:val="center"/>
          </w:tcPr>
          <w:p w14:paraId="6F5DA2CC">
            <w:pPr>
              <w:pStyle w:val="28"/>
              <w:bidi w:val="0"/>
            </w:pPr>
            <w:r>
              <w:t>1</w:t>
            </w:r>
            <w:r>
              <w:rPr>
                <w:rFonts w:hint="eastAsia"/>
              </w:rPr>
              <w:t>类</w:t>
            </w:r>
          </w:p>
        </w:tc>
        <w:tc>
          <w:tcPr>
            <w:tcW w:w="809" w:type="pct"/>
            <w:vAlign w:val="center"/>
          </w:tcPr>
          <w:p w14:paraId="77C52358">
            <w:pPr>
              <w:pStyle w:val="28"/>
              <w:bidi w:val="0"/>
            </w:pPr>
            <w:r>
              <w:rPr>
                <w:rFonts w:hint="eastAsia"/>
              </w:rPr>
              <w:t>采用低噪声设备，施工机械远离居民住宅，设置双层移动声屏障</w:t>
            </w:r>
          </w:p>
        </w:tc>
        <w:tc>
          <w:tcPr>
            <w:tcW w:w="208" w:type="pct"/>
            <w:vAlign w:val="center"/>
          </w:tcPr>
          <w:p w14:paraId="6D82C904">
            <w:pPr>
              <w:pStyle w:val="28"/>
              <w:bidi w:val="0"/>
            </w:pPr>
            <w:r>
              <w:t>51.8</w:t>
            </w:r>
          </w:p>
        </w:tc>
        <w:tc>
          <w:tcPr>
            <w:tcW w:w="211" w:type="pct"/>
            <w:vAlign w:val="center"/>
          </w:tcPr>
          <w:p w14:paraId="1959CE3E">
            <w:pPr>
              <w:pStyle w:val="28"/>
              <w:bidi w:val="0"/>
            </w:pPr>
            <w:r>
              <w:t>42.3</w:t>
            </w:r>
          </w:p>
        </w:tc>
        <w:tc>
          <w:tcPr>
            <w:tcW w:w="208" w:type="pct"/>
            <w:vAlign w:val="center"/>
          </w:tcPr>
          <w:p w14:paraId="54FD656D">
            <w:pPr>
              <w:pStyle w:val="28"/>
              <w:bidi w:val="0"/>
            </w:pPr>
            <w:r>
              <w:t>55</w:t>
            </w:r>
          </w:p>
        </w:tc>
        <w:tc>
          <w:tcPr>
            <w:tcW w:w="211" w:type="pct"/>
            <w:vAlign w:val="center"/>
          </w:tcPr>
          <w:p w14:paraId="4745D3DE">
            <w:pPr>
              <w:pStyle w:val="28"/>
              <w:bidi w:val="0"/>
            </w:pPr>
            <w:r>
              <w:t>45</w:t>
            </w:r>
          </w:p>
        </w:tc>
        <w:tc>
          <w:tcPr>
            <w:tcW w:w="276" w:type="pct"/>
            <w:vAlign w:val="center"/>
          </w:tcPr>
          <w:p w14:paraId="53B22113">
            <w:pPr>
              <w:pStyle w:val="28"/>
              <w:bidi w:val="0"/>
            </w:pPr>
            <w:r>
              <w:t>61.2</w:t>
            </w:r>
          </w:p>
        </w:tc>
        <w:tc>
          <w:tcPr>
            <w:tcW w:w="257" w:type="pct"/>
            <w:vAlign w:val="center"/>
          </w:tcPr>
          <w:p w14:paraId="37811C11">
            <w:pPr>
              <w:pStyle w:val="28"/>
              <w:bidi w:val="0"/>
            </w:pPr>
            <w:r>
              <w:t>41.2</w:t>
            </w:r>
          </w:p>
        </w:tc>
        <w:tc>
          <w:tcPr>
            <w:tcW w:w="257" w:type="pct"/>
            <w:vAlign w:val="center"/>
          </w:tcPr>
          <w:p w14:paraId="10700B13">
            <w:pPr>
              <w:pStyle w:val="28"/>
              <w:bidi w:val="0"/>
            </w:pPr>
            <w:r>
              <w:t>52.2</w:t>
            </w:r>
          </w:p>
        </w:tc>
        <w:tc>
          <w:tcPr>
            <w:tcW w:w="257" w:type="pct"/>
            <w:vAlign w:val="center"/>
          </w:tcPr>
          <w:p w14:paraId="37D18F67">
            <w:pPr>
              <w:pStyle w:val="28"/>
              <w:bidi w:val="0"/>
            </w:pPr>
            <w:r>
              <w:t>0.4</w:t>
            </w:r>
          </w:p>
        </w:tc>
        <w:tc>
          <w:tcPr>
            <w:tcW w:w="209" w:type="pct"/>
            <w:vAlign w:val="center"/>
          </w:tcPr>
          <w:p w14:paraId="495E713F">
            <w:pPr>
              <w:pStyle w:val="28"/>
              <w:bidi w:val="0"/>
            </w:pPr>
            <w:r>
              <w:t>达标</w:t>
            </w:r>
          </w:p>
        </w:tc>
      </w:tr>
      <w:tr w14:paraId="7E2CF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2074095">
            <w:pPr>
              <w:pStyle w:val="28"/>
              <w:bidi w:val="0"/>
            </w:pPr>
            <w:r>
              <w:rPr>
                <w:rFonts w:hint="eastAsia"/>
              </w:rPr>
              <w:t>小桥</w:t>
            </w:r>
          </w:p>
        </w:tc>
        <w:tc>
          <w:tcPr>
            <w:tcW w:w="511" w:type="pct"/>
            <w:vAlign w:val="center"/>
          </w:tcPr>
          <w:p w14:paraId="76050C69">
            <w:pPr>
              <w:pStyle w:val="28"/>
              <w:bidi w:val="0"/>
            </w:pPr>
            <w:r>
              <w:rPr>
                <w:rFonts w:hint="eastAsia"/>
              </w:rPr>
              <w:t>管理道路</w:t>
            </w:r>
          </w:p>
        </w:tc>
        <w:tc>
          <w:tcPr>
            <w:tcW w:w="366" w:type="pct"/>
            <w:vAlign w:val="center"/>
          </w:tcPr>
          <w:p w14:paraId="13FD78E6">
            <w:pPr>
              <w:pStyle w:val="28"/>
              <w:bidi w:val="0"/>
            </w:pPr>
            <w:r>
              <w:t>59</w:t>
            </w:r>
          </w:p>
        </w:tc>
        <w:tc>
          <w:tcPr>
            <w:tcW w:w="268" w:type="pct"/>
            <w:vAlign w:val="center"/>
          </w:tcPr>
          <w:p w14:paraId="19D51D0F">
            <w:pPr>
              <w:pStyle w:val="28"/>
              <w:bidi w:val="0"/>
            </w:pPr>
            <w:r>
              <w:rPr>
                <w:rFonts w:hint="eastAsia"/>
              </w:rPr>
              <w:t>右岸</w:t>
            </w:r>
          </w:p>
        </w:tc>
        <w:tc>
          <w:tcPr>
            <w:tcW w:w="262" w:type="pct"/>
            <w:vAlign w:val="center"/>
          </w:tcPr>
          <w:p w14:paraId="2DA3F562">
            <w:pPr>
              <w:pStyle w:val="28"/>
              <w:bidi w:val="0"/>
            </w:pPr>
            <w:r>
              <w:t>1</w:t>
            </w:r>
            <w:r>
              <w:rPr>
                <w:rFonts w:hint="eastAsia"/>
              </w:rPr>
              <w:t>类</w:t>
            </w:r>
          </w:p>
        </w:tc>
        <w:tc>
          <w:tcPr>
            <w:tcW w:w="809" w:type="pct"/>
            <w:vMerge w:val="restart"/>
            <w:vAlign w:val="center"/>
          </w:tcPr>
          <w:p w14:paraId="203FC239">
            <w:pPr>
              <w:pStyle w:val="28"/>
              <w:bidi w:val="0"/>
            </w:pPr>
            <w:r>
              <w:rPr>
                <w:rFonts w:hint="eastAsia"/>
              </w:rPr>
              <w:t>采用低噪声设备，施工机械远离居民住宅</w:t>
            </w:r>
          </w:p>
        </w:tc>
        <w:tc>
          <w:tcPr>
            <w:tcW w:w="208" w:type="pct"/>
            <w:vAlign w:val="center"/>
          </w:tcPr>
          <w:p w14:paraId="095E2E0F">
            <w:pPr>
              <w:pStyle w:val="28"/>
              <w:bidi w:val="0"/>
            </w:pPr>
            <w:r>
              <w:t>53.6</w:t>
            </w:r>
          </w:p>
        </w:tc>
        <w:tc>
          <w:tcPr>
            <w:tcW w:w="211" w:type="pct"/>
            <w:vAlign w:val="center"/>
          </w:tcPr>
          <w:p w14:paraId="01EADF7F">
            <w:pPr>
              <w:pStyle w:val="28"/>
              <w:bidi w:val="0"/>
            </w:pPr>
            <w:r>
              <w:t>43.4</w:t>
            </w:r>
          </w:p>
        </w:tc>
        <w:tc>
          <w:tcPr>
            <w:tcW w:w="208" w:type="pct"/>
            <w:vAlign w:val="center"/>
          </w:tcPr>
          <w:p w14:paraId="7A316A72">
            <w:pPr>
              <w:pStyle w:val="28"/>
              <w:bidi w:val="0"/>
            </w:pPr>
            <w:r>
              <w:t>55</w:t>
            </w:r>
          </w:p>
        </w:tc>
        <w:tc>
          <w:tcPr>
            <w:tcW w:w="211" w:type="pct"/>
            <w:vAlign w:val="center"/>
          </w:tcPr>
          <w:p w14:paraId="31B5C875">
            <w:pPr>
              <w:pStyle w:val="28"/>
              <w:bidi w:val="0"/>
            </w:pPr>
            <w:r>
              <w:t>45</w:t>
            </w:r>
          </w:p>
        </w:tc>
        <w:tc>
          <w:tcPr>
            <w:tcW w:w="276" w:type="pct"/>
            <w:vAlign w:val="center"/>
          </w:tcPr>
          <w:p w14:paraId="223413BB">
            <w:pPr>
              <w:pStyle w:val="28"/>
              <w:bidi w:val="0"/>
            </w:pPr>
            <w:r>
              <w:t>57.2</w:t>
            </w:r>
          </w:p>
        </w:tc>
        <w:tc>
          <w:tcPr>
            <w:tcW w:w="257" w:type="pct"/>
            <w:vAlign w:val="center"/>
          </w:tcPr>
          <w:p w14:paraId="2A5039A6">
            <w:pPr>
              <w:pStyle w:val="28"/>
              <w:bidi w:val="0"/>
            </w:pPr>
            <w:r>
              <w:t>49.2</w:t>
            </w:r>
          </w:p>
        </w:tc>
        <w:tc>
          <w:tcPr>
            <w:tcW w:w="257" w:type="pct"/>
            <w:vAlign w:val="center"/>
          </w:tcPr>
          <w:p w14:paraId="7ED7CFCC">
            <w:pPr>
              <w:pStyle w:val="28"/>
              <w:bidi w:val="0"/>
            </w:pPr>
            <w:r>
              <w:t>54.9</w:t>
            </w:r>
          </w:p>
        </w:tc>
        <w:tc>
          <w:tcPr>
            <w:tcW w:w="257" w:type="pct"/>
            <w:vAlign w:val="center"/>
          </w:tcPr>
          <w:p w14:paraId="4062253F">
            <w:pPr>
              <w:pStyle w:val="28"/>
              <w:bidi w:val="0"/>
            </w:pPr>
            <w:r>
              <w:t>1.3</w:t>
            </w:r>
          </w:p>
        </w:tc>
        <w:tc>
          <w:tcPr>
            <w:tcW w:w="209" w:type="pct"/>
            <w:vAlign w:val="center"/>
          </w:tcPr>
          <w:p w14:paraId="42774492">
            <w:pPr>
              <w:pStyle w:val="28"/>
              <w:bidi w:val="0"/>
            </w:pPr>
            <w:r>
              <w:t>达标</w:t>
            </w:r>
          </w:p>
        </w:tc>
      </w:tr>
      <w:tr w14:paraId="7806B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6BAF838">
            <w:pPr>
              <w:pStyle w:val="28"/>
              <w:bidi w:val="0"/>
            </w:pPr>
            <w:r>
              <w:rPr>
                <w:rFonts w:hint="eastAsia"/>
              </w:rPr>
              <w:t>何庄</w:t>
            </w:r>
          </w:p>
        </w:tc>
        <w:tc>
          <w:tcPr>
            <w:tcW w:w="511" w:type="pct"/>
            <w:vAlign w:val="center"/>
          </w:tcPr>
          <w:p w14:paraId="7F1A8D18">
            <w:pPr>
              <w:pStyle w:val="28"/>
              <w:bidi w:val="0"/>
            </w:pPr>
            <w:r>
              <w:rPr>
                <w:rFonts w:hint="eastAsia"/>
              </w:rPr>
              <w:t>新河北放水口拆建</w:t>
            </w:r>
          </w:p>
        </w:tc>
        <w:tc>
          <w:tcPr>
            <w:tcW w:w="366" w:type="pct"/>
            <w:vAlign w:val="center"/>
          </w:tcPr>
          <w:p w14:paraId="52A0BCAF">
            <w:pPr>
              <w:pStyle w:val="28"/>
              <w:bidi w:val="0"/>
            </w:pPr>
            <w:r>
              <w:t>173</w:t>
            </w:r>
          </w:p>
        </w:tc>
        <w:tc>
          <w:tcPr>
            <w:tcW w:w="268" w:type="pct"/>
            <w:vAlign w:val="center"/>
          </w:tcPr>
          <w:p w14:paraId="1CF143DB">
            <w:pPr>
              <w:pStyle w:val="28"/>
              <w:bidi w:val="0"/>
            </w:pPr>
            <w:r>
              <w:rPr>
                <w:rFonts w:hint="eastAsia"/>
              </w:rPr>
              <w:t>右岸</w:t>
            </w:r>
          </w:p>
        </w:tc>
        <w:tc>
          <w:tcPr>
            <w:tcW w:w="262" w:type="pct"/>
            <w:vAlign w:val="center"/>
          </w:tcPr>
          <w:p w14:paraId="7F3BE9E5">
            <w:pPr>
              <w:pStyle w:val="28"/>
              <w:bidi w:val="0"/>
            </w:pPr>
            <w:r>
              <w:t>1</w:t>
            </w:r>
            <w:r>
              <w:rPr>
                <w:rFonts w:hint="eastAsia"/>
              </w:rPr>
              <w:t>类</w:t>
            </w:r>
          </w:p>
        </w:tc>
        <w:tc>
          <w:tcPr>
            <w:tcW w:w="809" w:type="pct"/>
            <w:vMerge w:val="continue"/>
            <w:vAlign w:val="center"/>
          </w:tcPr>
          <w:p w14:paraId="33084DD0">
            <w:pPr>
              <w:pStyle w:val="28"/>
              <w:bidi w:val="0"/>
            </w:pPr>
          </w:p>
        </w:tc>
        <w:tc>
          <w:tcPr>
            <w:tcW w:w="208" w:type="pct"/>
            <w:vAlign w:val="center"/>
          </w:tcPr>
          <w:p w14:paraId="610CC4F1">
            <w:pPr>
              <w:pStyle w:val="28"/>
              <w:bidi w:val="0"/>
            </w:pPr>
            <w:r>
              <w:t>53.6</w:t>
            </w:r>
          </w:p>
        </w:tc>
        <w:tc>
          <w:tcPr>
            <w:tcW w:w="211" w:type="pct"/>
            <w:vAlign w:val="center"/>
          </w:tcPr>
          <w:p w14:paraId="737DD4A7">
            <w:pPr>
              <w:pStyle w:val="28"/>
              <w:bidi w:val="0"/>
            </w:pPr>
            <w:r>
              <w:t>43.4</w:t>
            </w:r>
          </w:p>
        </w:tc>
        <w:tc>
          <w:tcPr>
            <w:tcW w:w="208" w:type="pct"/>
            <w:vAlign w:val="center"/>
          </w:tcPr>
          <w:p w14:paraId="0BCB6DE2">
            <w:pPr>
              <w:pStyle w:val="28"/>
              <w:bidi w:val="0"/>
            </w:pPr>
            <w:r>
              <w:t>55</w:t>
            </w:r>
          </w:p>
        </w:tc>
        <w:tc>
          <w:tcPr>
            <w:tcW w:w="211" w:type="pct"/>
            <w:vAlign w:val="center"/>
          </w:tcPr>
          <w:p w14:paraId="4E4A6800">
            <w:pPr>
              <w:pStyle w:val="28"/>
              <w:bidi w:val="0"/>
            </w:pPr>
            <w:r>
              <w:t>45</w:t>
            </w:r>
          </w:p>
        </w:tc>
        <w:tc>
          <w:tcPr>
            <w:tcW w:w="276" w:type="pct"/>
            <w:vAlign w:val="center"/>
          </w:tcPr>
          <w:p w14:paraId="51FAA854">
            <w:pPr>
              <w:pStyle w:val="28"/>
              <w:bidi w:val="0"/>
            </w:pPr>
            <w:r>
              <w:t>48.4</w:t>
            </w:r>
          </w:p>
        </w:tc>
        <w:tc>
          <w:tcPr>
            <w:tcW w:w="257" w:type="pct"/>
            <w:vAlign w:val="center"/>
          </w:tcPr>
          <w:p w14:paraId="38058062">
            <w:pPr>
              <w:pStyle w:val="28"/>
              <w:bidi w:val="0"/>
            </w:pPr>
            <w:r>
              <w:t>41.4</w:t>
            </w:r>
          </w:p>
        </w:tc>
        <w:tc>
          <w:tcPr>
            <w:tcW w:w="257" w:type="pct"/>
            <w:vAlign w:val="center"/>
          </w:tcPr>
          <w:p w14:paraId="6458DF0E">
            <w:pPr>
              <w:pStyle w:val="28"/>
              <w:bidi w:val="0"/>
            </w:pPr>
            <w:r>
              <w:t>53.9</w:t>
            </w:r>
          </w:p>
        </w:tc>
        <w:tc>
          <w:tcPr>
            <w:tcW w:w="257" w:type="pct"/>
            <w:vAlign w:val="center"/>
          </w:tcPr>
          <w:p w14:paraId="2A005A5C">
            <w:pPr>
              <w:pStyle w:val="28"/>
              <w:bidi w:val="0"/>
            </w:pPr>
            <w:r>
              <w:t>0.3</w:t>
            </w:r>
          </w:p>
        </w:tc>
        <w:tc>
          <w:tcPr>
            <w:tcW w:w="209" w:type="pct"/>
            <w:vAlign w:val="center"/>
          </w:tcPr>
          <w:p w14:paraId="52D1FDC2">
            <w:pPr>
              <w:pStyle w:val="28"/>
              <w:bidi w:val="0"/>
            </w:pPr>
            <w:r>
              <w:t>达标</w:t>
            </w:r>
          </w:p>
        </w:tc>
      </w:tr>
      <w:tr w14:paraId="61F89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3A6AE0C">
            <w:pPr>
              <w:pStyle w:val="28"/>
              <w:bidi w:val="0"/>
            </w:pPr>
            <w:r>
              <w:rPr>
                <w:rFonts w:hint="eastAsia"/>
              </w:rPr>
              <w:t>刘楼</w:t>
            </w:r>
          </w:p>
        </w:tc>
        <w:tc>
          <w:tcPr>
            <w:tcW w:w="511" w:type="pct"/>
            <w:vAlign w:val="center"/>
          </w:tcPr>
          <w:p w14:paraId="07EBD47F">
            <w:pPr>
              <w:pStyle w:val="28"/>
              <w:bidi w:val="0"/>
            </w:pPr>
            <w:r>
              <w:rPr>
                <w:rFonts w:hint="eastAsia"/>
              </w:rPr>
              <w:t>何庄放水口新建</w:t>
            </w:r>
          </w:p>
        </w:tc>
        <w:tc>
          <w:tcPr>
            <w:tcW w:w="366" w:type="pct"/>
            <w:vAlign w:val="center"/>
          </w:tcPr>
          <w:p w14:paraId="513DF421">
            <w:pPr>
              <w:pStyle w:val="28"/>
              <w:bidi w:val="0"/>
            </w:pPr>
            <w:r>
              <w:t>147</w:t>
            </w:r>
          </w:p>
        </w:tc>
        <w:tc>
          <w:tcPr>
            <w:tcW w:w="268" w:type="pct"/>
            <w:vAlign w:val="center"/>
          </w:tcPr>
          <w:p w14:paraId="0D084E08">
            <w:pPr>
              <w:pStyle w:val="28"/>
              <w:bidi w:val="0"/>
            </w:pPr>
            <w:r>
              <w:rPr>
                <w:rFonts w:hint="eastAsia"/>
              </w:rPr>
              <w:t>左岸</w:t>
            </w:r>
          </w:p>
        </w:tc>
        <w:tc>
          <w:tcPr>
            <w:tcW w:w="262" w:type="pct"/>
            <w:vAlign w:val="center"/>
          </w:tcPr>
          <w:p w14:paraId="18A7D2AF">
            <w:pPr>
              <w:pStyle w:val="28"/>
              <w:bidi w:val="0"/>
            </w:pPr>
            <w:r>
              <w:t>1</w:t>
            </w:r>
            <w:r>
              <w:rPr>
                <w:rFonts w:hint="eastAsia"/>
              </w:rPr>
              <w:t>类</w:t>
            </w:r>
          </w:p>
        </w:tc>
        <w:tc>
          <w:tcPr>
            <w:tcW w:w="809" w:type="pct"/>
            <w:vMerge w:val="continue"/>
            <w:vAlign w:val="center"/>
          </w:tcPr>
          <w:p w14:paraId="0B569E40">
            <w:pPr>
              <w:pStyle w:val="28"/>
              <w:bidi w:val="0"/>
            </w:pPr>
          </w:p>
        </w:tc>
        <w:tc>
          <w:tcPr>
            <w:tcW w:w="208" w:type="pct"/>
            <w:vAlign w:val="center"/>
          </w:tcPr>
          <w:p w14:paraId="02DFA880">
            <w:pPr>
              <w:pStyle w:val="28"/>
              <w:bidi w:val="0"/>
            </w:pPr>
            <w:r>
              <w:t>52.8</w:t>
            </w:r>
          </w:p>
        </w:tc>
        <w:tc>
          <w:tcPr>
            <w:tcW w:w="211" w:type="pct"/>
            <w:vAlign w:val="center"/>
          </w:tcPr>
          <w:p w14:paraId="24D2C239">
            <w:pPr>
              <w:pStyle w:val="28"/>
              <w:bidi w:val="0"/>
            </w:pPr>
            <w:r>
              <w:t>41.5</w:t>
            </w:r>
          </w:p>
        </w:tc>
        <w:tc>
          <w:tcPr>
            <w:tcW w:w="208" w:type="pct"/>
            <w:vAlign w:val="center"/>
          </w:tcPr>
          <w:p w14:paraId="332AC603">
            <w:pPr>
              <w:pStyle w:val="28"/>
              <w:bidi w:val="0"/>
            </w:pPr>
            <w:r>
              <w:t>55</w:t>
            </w:r>
          </w:p>
        </w:tc>
        <w:tc>
          <w:tcPr>
            <w:tcW w:w="211" w:type="pct"/>
            <w:vAlign w:val="center"/>
          </w:tcPr>
          <w:p w14:paraId="5DC19364">
            <w:pPr>
              <w:pStyle w:val="28"/>
              <w:bidi w:val="0"/>
            </w:pPr>
            <w:r>
              <w:t>45</w:t>
            </w:r>
          </w:p>
        </w:tc>
        <w:tc>
          <w:tcPr>
            <w:tcW w:w="276" w:type="pct"/>
            <w:vAlign w:val="center"/>
          </w:tcPr>
          <w:p w14:paraId="3C1128AF">
            <w:pPr>
              <w:pStyle w:val="28"/>
              <w:bidi w:val="0"/>
            </w:pPr>
            <w:r>
              <w:t>49.9</w:t>
            </w:r>
          </w:p>
        </w:tc>
        <w:tc>
          <w:tcPr>
            <w:tcW w:w="257" w:type="pct"/>
            <w:vAlign w:val="center"/>
          </w:tcPr>
          <w:p w14:paraId="2C8E6C82">
            <w:pPr>
              <w:pStyle w:val="28"/>
              <w:bidi w:val="0"/>
            </w:pPr>
            <w:r>
              <w:t>42.9</w:t>
            </w:r>
          </w:p>
        </w:tc>
        <w:tc>
          <w:tcPr>
            <w:tcW w:w="257" w:type="pct"/>
            <w:vAlign w:val="center"/>
          </w:tcPr>
          <w:p w14:paraId="1F5B7367">
            <w:pPr>
              <w:pStyle w:val="28"/>
              <w:bidi w:val="0"/>
            </w:pPr>
            <w:r>
              <w:t>53.2</w:t>
            </w:r>
          </w:p>
        </w:tc>
        <w:tc>
          <w:tcPr>
            <w:tcW w:w="257" w:type="pct"/>
            <w:vAlign w:val="center"/>
          </w:tcPr>
          <w:p w14:paraId="26004DE7">
            <w:pPr>
              <w:pStyle w:val="28"/>
              <w:bidi w:val="0"/>
            </w:pPr>
            <w:r>
              <w:t>0.4</w:t>
            </w:r>
          </w:p>
        </w:tc>
        <w:tc>
          <w:tcPr>
            <w:tcW w:w="209" w:type="pct"/>
            <w:vAlign w:val="center"/>
          </w:tcPr>
          <w:p w14:paraId="16E3FA53">
            <w:pPr>
              <w:pStyle w:val="28"/>
              <w:bidi w:val="0"/>
            </w:pPr>
            <w:r>
              <w:t>达标</w:t>
            </w:r>
          </w:p>
        </w:tc>
      </w:tr>
      <w:tr w14:paraId="02040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FB10F2A">
            <w:pPr>
              <w:pStyle w:val="28"/>
              <w:bidi w:val="0"/>
            </w:pPr>
            <w:r>
              <w:rPr>
                <w:rFonts w:hint="eastAsia"/>
              </w:rPr>
              <w:t>双庄子</w:t>
            </w:r>
          </w:p>
        </w:tc>
        <w:tc>
          <w:tcPr>
            <w:tcW w:w="511" w:type="pct"/>
            <w:vAlign w:val="center"/>
          </w:tcPr>
          <w:p w14:paraId="6CF8B910">
            <w:pPr>
              <w:pStyle w:val="28"/>
              <w:bidi w:val="0"/>
            </w:pPr>
            <w:r>
              <w:rPr>
                <w:rFonts w:hint="eastAsia"/>
              </w:rPr>
              <w:t>山洪斗门拆建</w:t>
            </w:r>
          </w:p>
        </w:tc>
        <w:tc>
          <w:tcPr>
            <w:tcW w:w="366" w:type="pct"/>
            <w:vAlign w:val="center"/>
          </w:tcPr>
          <w:p w14:paraId="06FB8F3F">
            <w:pPr>
              <w:pStyle w:val="28"/>
              <w:bidi w:val="0"/>
            </w:pPr>
            <w:r>
              <w:t>161</w:t>
            </w:r>
          </w:p>
        </w:tc>
        <w:tc>
          <w:tcPr>
            <w:tcW w:w="268" w:type="pct"/>
            <w:vAlign w:val="center"/>
          </w:tcPr>
          <w:p w14:paraId="7F2F298C">
            <w:pPr>
              <w:pStyle w:val="28"/>
              <w:bidi w:val="0"/>
            </w:pPr>
            <w:r>
              <w:rPr>
                <w:rFonts w:hint="eastAsia"/>
              </w:rPr>
              <w:t>左岸</w:t>
            </w:r>
          </w:p>
        </w:tc>
        <w:tc>
          <w:tcPr>
            <w:tcW w:w="262" w:type="pct"/>
            <w:vAlign w:val="center"/>
          </w:tcPr>
          <w:p w14:paraId="5DEC9934">
            <w:pPr>
              <w:pStyle w:val="28"/>
              <w:bidi w:val="0"/>
            </w:pPr>
            <w:r>
              <w:t>1</w:t>
            </w:r>
            <w:r>
              <w:rPr>
                <w:rFonts w:hint="eastAsia"/>
              </w:rPr>
              <w:t>类</w:t>
            </w:r>
          </w:p>
        </w:tc>
        <w:tc>
          <w:tcPr>
            <w:tcW w:w="809" w:type="pct"/>
            <w:vMerge w:val="continue"/>
            <w:vAlign w:val="center"/>
          </w:tcPr>
          <w:p w14:paraId="24BEFE96">
            <w:pPr>
              <w:pStyle w:val="28"/>
              <w:bidi w:val="0"/>
            </w:pPr>
          </w:p>
        </w:tc>
        <w:tc>
          <w:tcPr>
            <w:tcW w:w="208" w:type="pct"/>
            <w:vAlign w:val="center"/>
          </w:tcPr>
          <w:p w14:paraId="1E568C7F">
            <w:pPr>
              <w:pStyle w:val="28"/>
              <w:bidi w:val="0"/>
            </w:pPr>
            <w:r>
              <w:t>52.8</w:t>
            </w:r>
          </w:p>
        </w:tc>
        <w:tc>
          <w:tcPr>
            <w:tcW w:w="211" w:type="pct"/>
            <w:vAlign w:val="center"/>
          </w:tcPr>
          <w:p w14:paraId="32736F5B">
            <w:pPr>
              <w:pStyle w:val="28"/>
              <w:bidi w:val="0"/>
            </w:pPr>
            <w:r>
              <w:t>41.5</w:t>
            </w:r>
          </w:p>
        </w:tc>
        <w:tc>
          <w:tcPr>
            <w:tcW w:w="208" w:type="pct"/>
            <w:vAlign w:val="center"/>
          </w:tcPr>
          <w:p w14:paraId="53004B0D">
            <w:pPr>
              <w:pStyle w:val="28"/>
              <w:bidi w:val="0"/>
            </w:pPr>
            <w:r>
              <w:t>55</w:t>
            </w:r>
          </w:p>
        </w:tc>
        <w:tc>
          <w:tcPr>
            <w:tcW w:w="211" w:type="pct"/>
            <w:vAlign w:val="center"/>
          </w:tcPr>
          <w:p w14:paraId="695CDC90">
            <w:pPr>
              <w:pStyle w:val="28"/>
              <w:bidi w:val="0"/>
            </w:pPr>
            <w:r>
              <w:t>45</w:t>
            </w:r>
          </w:p>
        </w:tc>
        <w:tc>
          <w:tcPr>
            <w:tcW w:w="276" w:type="pct"/>
            <w:vAlign w:val="center"/>
          </w:tcPr>
          <w:p w14:paraId="51243262">
            <w:pPr>
              <w:pStyle w:val="28"/>
              <w:bidi w:val="0"/>
            </w:pPr>
            <w:r>
              <w:t>49.1</w:t>
            </w:r>
          </w:p>
        </w:tc>
        <w:tc>
          <w:tcPr>
            <w:tcW w:w="257" w:type="pct"/>
            <w:vAlign w:val="center"/>
          </w:tcPr>
          <w:p w14:paraId="4CA1F6FD">
            <w:pPr>
              <w:pStyle w:val="28"/>
              <w:bidi w:val="0"/>
            </w:pPr>
            <w:r>
              <w:t>42.1</w:t>
            </w:r>
          </w:p>
        </w:tc>
        <w:tc>
          <w:tcPr>
            <w:tcW w:w="257" w:type="pct"/>
            <w:vAlign w:val="center"/>
          </w:tcPr>
          <w:p w14:paraId="6F10331C">
            <w:pPr>
              <w:pStyle w:val="28"/>
              <w:bidi w:val="0"/>
            </w:pPr>
            <w:r>
              <w:t>53.2</w:t>
            </w:r>
          </w:p>
        </w:tc>
        <w:tc>
          <w:tcPr>
            <w:tcW w:w="257" w:type="pct"/>
            <w:vAlign w:val="center"/>
          </w:tcPr>
          <w:p w14:paraId="2E6ACEB6">
            <w:pPr>
              <w:pStyle w:val="28"/>
              <w:bidi w:val="0"/>
            </w:pPr>
            <w:r>
              <w:t>0.4</w:t>
            </w:r>
          </w:p>
        </w:tc>
        <w:tc>
          <w:tcPr>
            <w:tcW w:w="209" w:type="pct"/>
            <w:vAlign w:val="center"/>
          </w:tcPr>
          <w:p w14:paraId="32E874D9">
            <w:pPr>
              <w:pStyle w:val="28"/>
              <w:bidi w:val="0"/>
            </w:pPr>
            <w:r>
              <w:t>达标</w:t>
            </w:r>
          </w:p>
        </w:tc>
      </w:tr>
      <w:tr w14:paraId="3E1CC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FF18EF8">
            <w:pPr>
              <w:pStyle w:val="28"/>
              <w:bidi w:val="0"/>
            </w:pPr>
            <w:r>
              <w:rPr>
                <w:rFonts w:hint="eastAsia"/>
              </w:rPr>
              <w:t>上集子</w:t>
            </w:r>
          </w:p>
        </w:tc>
        <w:tc>
          <w:tcPr>
            <w:tcW w:w="511" w:type="pct"/>
            <w:vAlign w:val="center"/>
          </w:tcPr>
          <w:p w14:paraId="1286F0D9">
            <w:pPr>
              <w:pStyle w:val="28"/>
              <w:bidi w:val="0"/>
            </w:pPr>
            <w:r>
              <w:rPr>
                <w:rFonts w:hint="eastAsia"/>
              </w:rPr>
              <w:t>桥头</w:t>
            </w:r>
            <w:r>
              <w:t>1#</w:t>
            </w:r>
            <w:r>
              <w:rPr>
                <w:rFonts w:hint="eastAsia"/>
              </w:rPr>
              <w:t>放水口拆建</w:t>
            </w:r>
          </w:p>
        </w:tc>
        <w:tc>
          <w:tcPr>
            <w:tcW w:w="366" w:type="pct"/>
            <w:vAlign w:val="center"/>
          </w:tcPr>
          <w:p w14:paraId="185DE662">
            <w:pPr>
              <w:pStyle w:val="28"/>
              <w:bidi w:val="0"/>
            </w:pPr>
            <w:r>
              <w:t>28</w:t>
            </w:r>
          </w:p>
        </w:tc>
        <w:tc>
          <w:tcPr>
            <w:tcW w:w="268" w:type="pct"/>
            <w:vAlign w:val="center"/>
          </w:tcPr>
          <w:p w14:paraId="6EEEDC15">
            <w:pPr>
              <w:pStyle w:val="28"/>
              <w:bidi w:val="0"/>
            </w:pPr>
            <w:r>
              <w:rPr>
                <w:rFonts w:hint="eastAsia"/>
              </w:rPr>
              <w:t>右岸</w:t>
            </w:r>
          </w:p>
        </w:tc>
        <w:tc>
          <w:tcPr>
            <w:tcW w:w="262" w:type="pct"/>
            <w:vAlign w:val="center"/>
          </w:tcPr>
          <w:p w14:paraId="7B6268EC">
            <w:pPr>
              <w:pStyle w:val="28"/>
              <w:bidi w:val="0"/>
            </w:pPr>
            <w:r>
              <w:t>1</w:t>
            </w:r>
            <w:r>
              <w:rPr>
                <w:rFonts w:hint="eastAsia"/>
              </w:rPr>
              <w:t>类</w:t>
            </w:r>
          </w:p>
        </w:tc>
        <w:tc>
          <w:tcPr>
            <w:tcW w:w="809" w:type="pct"/>
            <w:vAlign w:val="center"/>
          </w:tcPr>
          <w:p w14:paraId="14460221">
            <w:pPr>
              <w:pStyle w:val="28"/>
              <w:bidi w:val="0"/>
            </w:pPr>
            <w:r>
              <w:rPr>
                <w:rFonts w:hint="eastAsia"/>
              </w:rPr>
              <w:t>采用低噪声设备，施工机械远离居民住宅，设置双层移动声屏障</w:t>
            </w:r>
          </w:p>
        </w:tc>
        <w:tc>
          <w:tcPr>
            <w:tcW w:w="208" w:type="pct"/>
            <w:vAlign w:val="center"/>
          </w:tcPr>
          <w:p w14:paraId="654D6104">
            <w:pPr>
              <w:pStyle w:val="28"/>
              <w:bidi w:val="0"/>
            </w:pPr>
            <w:r>
              <w:t>52.8</w:t>
            </w:r>
          </w:p>
        </w:tc>
        <w:tc>
          <w:tcPr>
            <w:tcW w:w="211" w:type="pct"/>
            <w:vAlign w:val="center"/>
          </w:tcPr>
          <w:p w14:paraId="7C3CF873">
            <w:pPr>
              <w:pStyle w:val="28"/>
              <w:bidi w:val="0"/>
            </w:pPr>
            <w:r>
              <w:t>41.5</w:t>
            </w:r>
          </w:p>
        </w:tc>
        <w:tc>
          <w:tcPr>
            <w:tcW w:w="208" w:type="pct"/>
            <w:vAlign w:val="center"/>
          </w:tcPr>
          <w:p w14:paraId="4C5ADCF0">
            <w:pPr>
              <w:pStyle w:val="28"/>
              <w:bidi w:val="0"/>
            </w:pPr>
            <w:r>
              <w:t>55</w:t>
            </w:r>
          </w:p>
        </w:tc>
        <w:tc>
          <w:tcPr>
            <w:tcW w:w="211" w:type="pct"/>
            <w:vAlign w:val="center"/>
          </w:tcPr>
          <w:p w14:paraId="263800D5">
            <w:pPr>
              <w:pStyle w:val="28"/>
              <w:bidi w:val="0"/>
            </w:pPr>
            <w:r>
              <w:t>45</w:t>
            </w:r>
          </w:p>
        </w:tc>
        <w:tc>
          <w:tcPr>
            <w:tcW w:w="276" w:type="pct"/>
            <w:vAlign w:val="center"/>
          </w:tcPr>
          <w:p w14:paraId="1E8250DA">
            <w:pPr>
              <w:pStyle w:val="28"/>
              <w:bidi w:val="0"/>
            </w:pPr>
            <w:r>
              <w:t>64.3</w:t>
            </w:r>
          </w:p>
        </w:tc>
        <w:tc>
          <w:tcPr>
            <w:tcW w:w="257" w:type="pct"/>
            <w:vAlign w:val="center"/>
          </w:tcPr>
          <w:p w14:paraId="258B5767">
            <w:pPr>
              <w:pStyle w:val="28"/>
              <w:bidi w:val="0"/>
            </w:pPr>
            <w:r>
              <w:t>44.3</w:t>
            </w:r>
          </w:p>
        </w:tc>
        <w:tc>
          <w:tcPr>
            <w:tcW w:w="257" w:type="pct"/>
            <w:vAlign w:val="center"/>
          </w:tcPr>
          <w:p w14:paraId="035A0546">
            <w:pPr>
              <w:pStyle w:val="28"/>
              <w:bidi w:val="0"/>
            </w:pPr>
            <w:r>
              <w:t>53.4</w:t>
            </w:r>
          </w:p>
        </w:tc>
        <w:tc>
          <w:tcPr>
            <w:tcW w:w="257" w:type="pct"/>
            <w:vAlign w:val="center"/>
          </w:tcPr>
          <w:p w14:paraId="7378F52E">
            <w:pPr>
              <w:pStyle w:val="28"/>
              <w:bidi w:val="0"/>
            </w:pPr>
            <w:r>
              <w:t>0.6</w:t>
            </w:r>
          </w:p>
        </w:tc>
        <w:tc>
          <w:tcPr>
            <w:tcW w:w="209" w:type="pct"/>
            <w:vAlign w:val="center"/>
          </w:tcPr>
          <w:p w14:paraId="0FF6D01C">
            <w:pPr>
              <w:pStyle w:val="28"/>
              <w:bidi w:val="0"/>
            </w:pPr>
            <w:r>
              <w:t>达标</w:t>
            </w:r>
          </w:p>
        </w:tc>
      </w:tr>
      <w:tr w14:paraId="01841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1DE7973">
            <w:pPr>
              <w:pStyle w:val="28"/>
              <w:bidi w:val="0"/>
            </w:pPr>
            <w:r>
              <w:rPr>
                <w:rFonts w:hint="eastAsia"/>
              </w:rPr>
              <w:t>霍邱淮河行蓄洪区安置房</w:t>
            </w:r>
          </w:p>
        </w:tc>
        <w:tc>
          <w:tcPr>
            <w:tcW w:w="511" w:type="pct"/>
            <w:vAlign w:val="center"/>
          </w:tcPr>
          <w:p w14:paraId="1FE10CFD">
            <w:pPr>
              <w:pStyle w:val="28"/>
              <w:bidi w:val="0"/>
            </w:pPr>
            <w:r>
              <w:rPr>
                <w:rFonts w:hint="eastAsia"/>
              </w:rPr>
              <w:t>管理道路</w:t>
            </w:r>
          </w:p>
        </w:tc>
        <w:tc>
          <w:tcPr>
            <w:tcW w:w="366" w:type="pct"/>
            <w:vAlign w:val="center"/>
          </w:tcPr>
          <w:p w14:paraId="0F55EE46">
            <w:pPr>
              <w:pStyle w:val="28"/>
              <w:bidi w:val="0"/>
            </w:pPr>
            <w:r>
              <w:t>51</w:t>
            </w:r>
          </w:p>
        </w:tc>
        <w:tc>
          <w:tcPr>
            <w:tcW w:w="268" w:type="pct"/>
            <w:vAlign w:val="center"/>
          </w:tcPr>
          <w:p w14:paraId="2146483F">
            <w:pPr>
              <w:pStyle w:val="28"/>
              <w:bidi w:val="0"/>
            </w:pPr>
            <w:r>
              <w:rPr>
                <w:rFonts w:hint="eastAsia"/>
              </w:rPr>
              <w:t>右岸</w:t>
            </w:r>
          </w:p>
        </w:tc>
        <w:tc>
          <w:tcPr>
            <w:tcW w:w="262" w:type="pct"/>
            <w:vAlign w:val="center"/>
          </w:tcPr>
          <w:p w14:paraId="29E55187">
            <w:pPr>
              <w:pStyle w:val="28"/>
              <w:bidi w:val="0"/>
            </w:pPr>
            <w:r>
              <w:t>1</w:t>
            </w:r>
            <w:r>
              <w:rPr>
                <w:rFonts w:hint="eastAsia"/>
              </w:rPr>
              <w:t>类</w:t>
            </w:r>
          </w:p>
        </w:tc>
        <w:tc>
          <w:tcPr>
            <w:tcW w:w="809" w:type="pct"/>
            <w:vAlign w:val="center"/>
          </w:tcPr>
          <w:p w14:paraId="7BEBAC36">
            <w:pPr>
              <w:pStyle w:val="28"/>
              <w:bidi w:val="0"/>
            </w:pPr>
            <w:r>
              <w:rPr>
                <w:rFonts w:hint="eastAsia"/>
              </w:rPr>
              <w:t>采用低噪声设备，施工机械远离居民住宅</w:t>
            </w:r>
          </w:p>
        </w:tc>
        <w:tc>
          <w:tcPr>
            <w:tcW w:w="208" w:type="pct"/>
            <w:vAlign w:val="center"/>
          </w:tcPr>
          <w:p w14:paraId="1BBD32CF">
            <w:pPr>
              <w:pStyle w:val="28"/>
              <w:bidi w:val="0"/>
            </w:pPr>
            <w:r>
              <w:t>52.8</w:t>
            </w:r>
          </w:p>
        </w:tc>
        <w:tc>
          <w:tcPr>
            <w:tcW w:w="211" w:type="pct"/>
            <w:vAlign w:val="center"/>
          </w:tcPr>
          <w:p w14:paraId="084ABF0A">
            <w:pPr>
              <w:pStyle w:val="28"/>
              <w:bidi w:val="0"/>
            </w:pPr>
            <w:r>
              <w:t>41.5</w:t>
            </w:r>
          </w:p>
        </w:tc>
        <w:tc>
          <w:tcPr>
            <w:tcW w:w="208" w:type="pct"/>
            <w:vAlign w:val="center"/>
          </w:tcPr>
          <w:p w14:paraId="5BDCDFE4">
            <w:pPr>
              <w:pStyle w:val="28"/>
              <w:bidi w:val="0"/>
            </w:pPr>
            <w:r>
              <w:t>55</w:t>
            </w:r>
          </w:p>
        </w:tc>
        <w:tc>
          <w:tcPr>
            <w:tcW w:w="211" w:type="pct"/>
            <w:vAlign w:val="center"/>
          </w:tcPr>
          <w:p w14:paraId="5A6A87E8">
            <w:pPr>
              <w:pStyle w:val="28"/>
              <w:bidi w:val="0"/>
            </w:pPr>
            <w:r>
              <w:t>45</w:t>
            </w:r>
          </w:p>
        </w:tc>
        <w:tc>
          <w:tcPr>
            <w:tcW w:w="276" w:type="pct"/>
            <w:vAlign w:val="center"/>
          </w:tcPr>
          <w:p w14:paraId="36BB82BB">
            <w:pPr>
              <w:pStyle w:val="28"/>
              <w:bidi w:val="0"/>
            </w:pPr>
            <w:r>
              <w:t>58.5</w:t>
            </w:r>
          </w:p>
        </w:tc>
        <w:tc>
          <w:tcPr>
            <w:tcW w:w="257" w:type="pct"/>
            <w:vAlign w:val="center"/>
          </w:tcPr>
          <w:p w14:paraId="1528F08A">
            <w:pPr>
              <w:pStyle w:val="28"/>
              <w:bidi w:val="0"/>
            </w:pPr>
            <w:r>
              <w:t>50.5</w:t>
            </w:r>
          </w:p>
        </w:tc>
        <w:tc>
          <w:tcPr>
            <w:tcW w:w="257" w:type="pct"/>
            <w:vAlign w:val="center"/>
          </w:tcPr>
          <w:p w14:paraId="28A512B4">
            <w:pPr>
              <w:pStyle w:val="28"/>
              <w:bidi w:val="0"/>
            </w:pPr>
            <w:r>
              <w:t>54.8</w:t>
            </w:r>
          </w:p>
        </w:tc>
        <w:tc>
          <w:tcPr>
            <w:tcW w:w="257" w:type="pct"/>
            <w:vAlign w:val="center"/>
          </w:tcPr>
          <w:p w14:paraId="039B9EA9">
            <w:pPr>
              <w:pStyle w:val="28"/>
              <w:bidi w:val="0"/>
            </w:pPr>
            <w:r>
              <w:t>2.0</w:t>
            </w:r>
          </w:p>
        </w:tc>
        <w:tc>
          <w:tcPr>
            <w:tcW w:w="209" w:type="pct"/>
            <w:vAlign w:val="center"/>
          </w:tcPr>
          <w:p w14:paraId="122A8C7B">
            <w:pPr>
              <w:pStyle w:val="28"/>
              <w:bidi w:val="0"/>
            </w:pPr>
            <w:r>
              <w:t>达标</w:t>
            </w:r>
          </w:p>
        </w:tc>
      </w:tr>
      <w:tr w14:paraId="4C771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CFBBC2D">
            <w:pPr>
              <w:pStyle w:val="28"/>
              <w:bidi w:val="0"/>
            </w:pPr>
            <w:r>
              <w:rPr>
                <w:rFonts w:hint="eastAsia"/>
              </w:rPr>
              <w:t>黄塘埂</w:t>
            </w:r>
          </w:p>
        </w:tc>
        <w:tc>
          <w:tcPr>
            <w:tcW w:w="511" w:type="pct"/>
            <w:vAlign w:val="center"/>
          </w:tcPr>
          <w:p w14:paraId="33C1F502">
            <w:pPr>
              <w:pStyle w:val="28"/>
              <w:bidi w:val="0"/>
            </w:pPr>
            <w:r>
              <w:rPr>
                <w:rFonts w:hint="eastAsia"/>
              </w:rPr>
              <w:t>贾圩斗门加固</w:t>
            </w:r>
          </w:p>
        </w:tc>
        <w:tc>
          <w:tcPr>
            <w:tcW w:w="366" w:type="pct"/>
            <w:vAlign w:val="center"/>
          </w:tcPr>
          <w:p w14:paraId="2587A1AD">
            <w:pPr>
              <w:pStyle w:val="28"/>
              <w:bidi w:val="0"/>
            </w:pPr>
            <w:r>
              <w:t>28</w:t>
            </w:r>
          </w:p>
        </w:tc>
        <w:tc>
          <w:tcPr>
            <w:tcW w:w="268" w:type="pct"/>
            <w:vAlign w:val="center"/>
          </w:tcPr>
          <w:p w14:paraId="6C57A2C6">
            <w:pPr>
              <w:pStyle w:val="28"/>
              <w:bidi w:val="0"/>
            </w:pPr>
            <w:r>
              <w:rPr>
                <w:rFonts w:hint="eastAsia"/>
              </w:rPr>
              <w:t>左岸</w:t>
            </w:r>
          </w:p>
        </w:tc>
        <w:tc>
          <w:tcPr>
            <w:tcW w:w="262" w:type="pct"/>
            <w:vAlign w:val="center"/>
          </w:tcPr>
          <w:p w14:paraId="0D1D42B0">
            <w:pPr>
              <w:pStyle w:val="28"/>
              <w:bidi w:val="0"/>
            </w:pPr>
            <w:r>
              <w:t>1</w:t>
            </w:r>
            <w:r>
              <w:rPr>
                <w:rFonts w:hint="eastAsia"/>
              </w:rPr>
              <w:t>类</w:t>
            </w:r>
          </w:p>
        </w:tc>
        <w:tc>
          <w:tcPr>
            <w:tcW w:w="809" w:type="pct"/>
            <w:vAlign w:val="center"/>
          </w:tcPr>
          <w:p w14:paraId="43022FD9">
            <w:pPr>
              <w:pStyle w:val="28"/>
              <w:bidi w:val="0"/>
            </w:pPr>
            <w:r>
              <w:rPr>
                <w:rFonts w:hint="eastAsia"/>
              </w:rPr>
              <w:t>采用低噪声设备，施工机械远离居民住宅，设置双层移动声屏障</w:t>
            </w:r>
          </w:p>
        </w:tc>
        <w:tc>
          <w:tcPr>
            <w:tcW w:w="208" w:type="pct"/>
            <w:vAlign w:val="center"/>
          </w:tcPr>
          <w:p w14:paraId="2D203C65">
            <w:pPr>
              <w:pStyle w:val="28"/>
              <w:bidi w:val="0"/>
            </w:pPr>
            <w:r>
              <w:t>52.8</w:t>
            </w:r>
          </w:p>
        </w:tc>
        <w:tc>
          <w:tcPr>
            <w:tcW w:w="211" w:type="pct"/>
            <w:vAlign w:val="center"/>
          </w:tcPr>
          <w:p w14:paraId="1E5898CF">
            <w:pPr>
              <w:pStyle w:val="28"/>
              <w:bidi w:val="0"/>
            </w:pPr>
            <w:r>
              <w:t>41.5</w:t>
            </w:r>
          </w:p>
        </w:tc>
        <w:tc>
          <w:tcPr>
            <w:tcW w:w="208" w:type="pct"/>
            <w:vAlign w:val="center"/>
          </w:tcPr>
          <w:p w14:paraId="02FAA8EB">
            <w:pPr>
              <w:pStyle w:val="28"/>
              <w:bidi w:val="0"/>
            </w:pPr>
            <w:r>
              <w:t>55</w:t>
            </w:r>
          </w:p>
        </w:tc>
        <w:tc>
          <w:tcPr>
            <w:tcW w:w="211" w:type="pct"/>
            <w:vAlign w:val="center"/>
          </w:tcPr>
          <w:p w14:paraId="6BCFECD8">
            <w:pPr>
              <w:pStyle w:val="28"/>
              <w:bidi w:val="0"/>
            </w:pPr>
            <w:r>
              <w:t>45</w:t>
            </w:r>
          </w:p>
        </w:tc>
        <w:tc>
          <w:tcPr>
            <w:tcW w:w="276" w:type="pct"/>
            <w:vAlign w:val="center"/>
          </w:tcPr>
          <w:p w14:paraId="3CE172EB">
            <w:pPr>
              <w:pStyle w:val="28"/>
              <w:bidi w:val="0"/>
            </w:pPr>
            <w:r>
              <w:t>64.3</w:t>
            </w:r>
          </w:p>
        </w:tc>
        <w:tc>
          <w:tcPr>
            <w:tcW w:w="257" w:type="pct"/>
            <w:vAlign w:val="center"/>
          </w:tcPr>
          <w:p w14:paraId="27B5DD69">
            <w:pPr>
              <w:pStyle w:val="28"/>
              <w:bidi w:val="0"/>
            </w:pPr>
            <w:r>
              <w:t>44.3</w:t>
            </w:r>
          </w:p>
        </w:tc>
        <w:tc>
          <w:tcPr>
            <w:tcW w:w="257" w:type="pct"/>
            <w:vAlign w:val="center"/>
          </w:tcPr>
          <w:p w14:paraId="7D2A4A44">
            <w:pPr>
              <w:pStyle w:val="28"/>
              <w:bidi w:val="0"/>
            </w:pPr>
            <w:r>
              <w:t>53.4</w:t>
            </w:r>
          </w:p>
        </w:tc>
        <w:tc>
          <w:tcPr>
            <w:tcW w:w="257" w:type="pct"/>
            <w:vAlign w:val="center"/>
          </w:tcPr>
          <w:p w14:paraId="540E915F">
            <w:pPr>
              <w:pStyle w:val="28"/>
              <w:bidi w:val="0"/>
            </w:pPr>
            <w:r>
              <w:t>0.6</w:t>
            </w:r>
          </w:p>
        </w:tc>
        <w:tc>
          <w:tcPr>
            <w:tcW w:w="209" w:type="pct"/>
            <w:vAlign w:val="center"/>
          </w:tcPr>
          <w:p w14:paraId="367A7864">
            <w:pPr>
              <w:pStyle w:val="28"/>
              <w:bidi w:val="0"/>
            </w:pPr>
            <w:r>
              <w:t>达标</w:t>
            </w:r>
          </w:p>
        </w:tc>
      </w:tr>
      <w:tr w14:paraId="02861A67">
        <w:tblPrEx>
          <w:tblCellMar>
            <w:top w:w="0" w:type="dxa"/>
            <w:left w:w="108" w:type="dxa"/>
            <w:bottom w:w="0" w:type="dxa"/>
            <w:right w:w="108" w:type="dxa"/>
          </w:tblCellMar>
        </w:tblPrEx>
        <w:trPr>
          <w:trHeight w:val="340" w:hRule="atLeast"/>
          <w:jc w:val="center"/>
        </w:trPr>
        <w:tc>
          <w:tcPr>
            <w:tcW w:w="685" w:type="pct"/>
            <w:vAlign w:val="center"/>
          </w:tcPr>
          <w:p w14:paraId="5EFF396E">
            <w:pPr>
              <w:pStyle w:val="28"/>
              <w:bidi w:val="0"/>
            </w:pPr>
            <w:r>
              <w:rPr>
                <w:rFonts w:hint="eastAsia"/>
              </w:rPr>
              <w:t>刘井</w:t>
            </w:r>
          </w:p>
        </w:tc>
        <w:tc>
          <w:tcPr>
            <w:tcW w:w="511" w:type="pct"/>
            <w:vAlign w:val="center"/>
          </w:tcPr>
          <w:p w14:paraId="7AFD8AAB">
            <w:pPr>
              <w:pStyle w:val="28"/>
              <w:bidi w:val="0"/>
            </w:pPr>
            <w:r>
              <w:rPr>
                <w:rFonts w:hint="eastAsia"/>
              </w:rPr>
              <w:t>破岗口农门拆建</w:t>
            </w:r>
          </w:p>
        </w:tc>
        <w:tc>
          <w:tcPr>
            <w:tcW w:w="366" w:type="pct"/>
            <w:vAlign w:val="center"/>
          </w:tcPr>
          <w:p w14:paraId="5415D291">
            <w:pPr>
              <w:pStyle w:val="28"/>
              <w:bidi w:val="0"/>
            </w:pPr>
            <w:r>
              <w:t>133</w:t>
            </w:r>
          </w:p>
        </w:tc>
        <w:tc>
          <w:tcPr>
            <w:tcW w:w="268" w:type="pct"/>
            <w:vAlign w:val="center"/>
          </w:tcPr>
          <w:p w14:paraId="3A2FE216">
            <w:pPr>
              <w:pStyle w:val="28"/>
              <w:bidi w:val="0"/>
            </w:pPr>
            <w:r>
              <w:rPr>
                <w:rFonts w:hint="eastAsia"/>
              </w:rPr>
              <w:t>左岸</w:t>
            </w:r>
          </w:p>
        </w:tc>
        <w:tc>
          <w:tcPr>
            <w:tcW w:w="262" w:type="pct"/>
            <w:vAlign w:val="center"/>
          </w:tcPr>
          <w:p w14:paraId="4F7D8A02">
            <w:pPr>
              <w:pStyle w:val="28"/>
              <w:bidi w:val="0"/>
            </w:pPr>
            <w:r>
              <w:t>1</w:t>
            </w:r>
            <w:r>
              <w:rPr>
                <w:rFonts w:hint="eastAsia"/>
              </w:rPr>
              <w:t>类</w:t>
            </w:r>
          </w:p>
        </w:tc>
        <w:tc>
          <w:tcPr>
            <w:tcW w:w="809" w:type="pct"/>
            <w:vMerge w:val="restart"/>
            <w:vAlign w:val="center"/>
          </w:tcPr>
          <w:p w14:paraId="2FC35A47">
            <w:pPr>
              <w:pStyle w:val="28"/>
              <w:bidi w:val="0"/>
            </w:pPr>
            <w:r>
              <w:rPr>
                <w:rFonts w:hint="eastAsia"/>
              </w:rPr>
              <w:t>采用低噪声设备，施工机械远离居民住宅</w:t>
            </w:r>
          </w:p>
        </w:tc>
        <w:tc>
          <w:tcPr>
            <w:tcW w:w="208" w:type="pct"/>
            <w:vAlign w:val="center"/>
          </w:tcPr>
          <w:p w14:paraId="33699751">
            <w:pPr>
              <w:pStyle w:val="28"/>
              <w:bidi w:val="0"/>
            </w:pPr>
            <w:r>
              <w:t>52.8</w:t>
            </w:r>
          </w:p>
        </w:tc>
        <w:tc>
          <w:tcPr>
            <w:tcW w:w="211" w:type="pct"/>
            <w:vAlign w:val="center"/>
          </w:tcPr>
          <w:p w14:paraId="6936C18F">
            <w:pPr>
              <w:pStyle w:val="28"/>
              <w:bidi w:val="0"/>
            </w:pPr>
            <w:r>
              <w:t>41.5</w:t>
            </w:r>
          </w:p>
        </w:tc>
        <w:tc>
          <w:tcPr>
            <w:tcW w:w="208" w:type="pct"/>
            <w:vAlign w:val="center"/>
          </w:tcPr>
          <w:p w14:paraId="23E486A2">
            <w:pPr>
              <w:pStyle w:val="28"/>
              <w:bidi w:val="0"/>
            </w:pPr>
            <w:r>
              <w:t>55</w:t>
            </w:r>
          </w:p>
        </w:tc>
        <w:tc>
          <w:tcPr>
            <w:tcW w:w="211" w:type="pct"/>
            <w:vAlign w:val="center"/>
          </w:tcPr>
          <w:p w14:paraId="47EA2CFD">
            <w:pPr>
              <w:pStyle w:val="28"/>
              <w:bidi w:val="0"/>
            </w:pPr>
            <w:r>
              <w:t>45</w:t>
            </w:r>
          </w:p>
        </w:tc>
        <w:tc>
          <w:tcPr>
            <w:tcW w:w="276" w:type="pct"/>
            <w:vAlign w:val="center"/>
          </w:tcPr>
          <w:p w14:paraId="3C527ABA">
            <w:pPr>
              <w:pStyle w:val="28"/>
              <w:bidi w:val="0"/>
            </w:pPr>
            <w:r>
              <w:t>50.7</w:t>
            </w:r>
          </w:p>
        </w:tc>
        <w:tc>
          <w:tcPr>
            <w:tcW w:w="257" w:type="pct"/>
            <w:vAlign w:val="center"/>
          </w:tcPr>
          <w:p w14:paraId="04A828C3">
            <w:pPr>
              <w:pStyle w:val="28"/>
              <w:bidi w:val="0"/>
            </w:pPr>
            <w:r>
              <w:t>43.7</w:t>
            </w:r>
          </w:p>
        </w:tc>
        <w:tc>
          <w:tcPr>
            <w:tcW w:w="257" w:type="pct"/>
            <w:vAlign w:val="center"/>
          </w:tcPr>
          <w:p w14:paraId="1CF655DF">
            <w:pPr>
              <w:pStyle w:val="28"/>
              <w:bidi w:val="0"/>
            </w:pPr>
            <w:r>
              <w:t>53.3</w:t>
            </w:r>
          </w:p>
        </w:tc>
        <w:tc>
          <w:tcPr>
            <w:tcW w:w="257" w:type="pct"/>
            <w:vAlign w:val="center"/>
          </w:tcPr>
          <w:p w14:paraId="20C09637">
            <w:pPr>
              <w:pStyle w:val="28"/>
              <w:bidi w:val="0"/>
            </w:pPr>
            <w:r>
              <w:t>0.5</w:t>
            </w:r>
          </w:p>
        </w:tc>
        <w:tc>
          <w:tcPr>
            <w:tcW w:w="209" w:type="pct"/>
            <w:vAlign w:val="center"/>
          </w:tcPr>
          <w:p w14:paraId="7E0085FF">
            <w:pPr>
              <w:pStyle w:val="28"/>
              <w:bidi w:val="0"/>
            </w:pPr>
            <w:r>
              <w:t>达标</w:t>
            </w:r>
          </w:p>
        </w:tc>
      </w:tr>
      <w:tr w14:paraId="2864B694">
        <w:tblPrEx>
          <w:tblCellMar>
            <w:top w:w="0" w:type="dxa"/>
            <w:left w:w="108" w:type="dxa"/>
            <w:bottom w:w="0" w:type="dxa"/>
            <w:right w:w="108" w:type="dxa"/>
          </w:tblCellMar>
        </w:tblPrEx>
        <w:trPr>
          <w:trHeight w:val="340" w:hRule="atLeast"/>
          <w:jc w:val="center"/>
        </w:trPr>
        <w:tc>
          <w:tcPr>
            <w:tcW w:w="685" w:type="pct"/>
            <w:vAlign w:val="center"/>
          </w:tcPr>
          <w:p w14:paraId="7B84255D">
            <w:pPr>
              <w:pStyle w:val="28"/>
              <w:bidi w:val="0"/>
            </w:pPr>
            <w:r>
              <w:rPr>
                <w:rFonts w:hint="eastAsia"/>
              </w:rPr>
              <w:t>夹沟坝子</w:t>
            </w:r>
          </w:p>
        </w:tc>
        <w:tc>
          <w:tcPr>
            <w:tcW w:w="511" w:type="pct"/>
            <w:vAlign w:val="center"/>
          </w:tcPr>
          <w:p w14:paraId="3CD18251">
            <w:pPr>
              <w:pStyle w:val="28"/>
              <w:bidi w:val="0"/>
            </w:pPr>
            <w:r>
              <w:rPr>
                <w:rFonts w:hint="eastAsia"/>
              </w:rPr>
              <w:t>管理道路</w:t>
            </w:r>
          </w:p>
        </w:tc>
        <w:tc>
          <w:tcPr>
            <w:tcW w:w="366" w:type="pct"/>
            <w:vAlign w:val="center"/>
          </w:tcPr>
          <w:p w14:paraId="436A4707">
            <w:pPr>
              <w:pStyle w:val="28"/>
              <w:bidi w:val="0"/>
            </w:pPr>
            <w:r>
              <w:t>144</w:t>
            </w:r>
          </w:p>
        </w:tc>
        <w:tc>
          <w:tcPr>
            <w:tcW w:w="268" w:type="pct"/>
            <w:vAlign w:val="center"/>
          </w:tcPr>
          <w:p w14:paraId="3F791039">
            <w:pPr>
              <w:pStyle w:val="28"/>
              <w:bidi w:val="0"/>
            </w:pPr>
            <w:r>
              <w:rPr>
                <w:rFonts w:hint="eastAsia"/>
              </w:rPr>
              <w:t>右岸</w:t>
            </w:r>
          </w:p>
        </w:tc>
        <w:tc>
          <w:tcPr>
            <w:tcW w:w="262" w:type="pct"/>
            <w:vAlign w:val="center"/>
          </w:tcPr>
          <w:p w14:paraId="2D8B07CD">
            <w:pPr>
              <w:pStyle w:val="28"/>
              <w:bidi w:val="0"/>
            </w:pPr>
            <w:r>
              <w:t>1</w:t>
            </w:r>
            <w:r>
              <w:rPr>
                <w:rFonts w:hint="eastAsia"/>
              </w:rPr>
              <w:t>类</w:t>
            </w:r>
          </w:p>
        </w:tc>
        <w:tc>
          <w:tcPr>
            <w:tcW w:w="809" w:type="pct"/>
            <w:vMerge w:val="continue"/>
            <w:vAlign w:val="center"/>
          </w:tcPr>
          <w:p w14:paraId="790163D9">
            <w:pPr>
              <w:pStyle w:val="28"/>
              <w:bidi w:val="0"/>
            </w:pPr>
          </w:p>
        </w:tc>
        <w:tc>
          <w:tcPr>
            <w:tcW w:w="208" w:type="pct"/>
            <w:vAlign w:val="center"/>
          </w:tcPr>
          <w:p w14:paraId="5459B9E2">
            <w:pPr>
              <w:pStyle w:val="28"/>
              <w:bidi w:val="0"/>
            </w:pPr>
            <w:r>
              <w:t>52.8</w:t>
            </w:r>
          </w:p>
        </w:tc>
        <w:tc>
          <w:tcPr>
            <w:tcW w:w="211" w:type="pct"/>
            <w:vAlign w:val="center"/>
          </w:tcPr>
          <w:p w14:paraId="2B2BE8DA">
            <w:pPr>
              <w:pStyle w:val="28"/>
              <w:bidi w:val="0"/>
            </w:pPr>
            <w:r>
              <w:t>41.5</w:t>
            </w:r>
          </w:p>
        </w:tc>
        <w:tc>
          <w:tcPr>
            <w:tcW w:w="208" w:type="pct"/>
            <w:vAlign w:val="center"/>
          </w:tcPr>
          <w:p w14:paraId="7BEA03A4">
            <w:pPr>
              <w:pStyle w:val="28"/>
              <w:bidi w:val="0"/>
            </w:pPr>
            <w:r>
              <w:t>55</w:t>
            </w:r>
          </w:p>
        </w:tc>
        <w:tc>
          <w:tcPr>
            <w:tcW w:w="211" w:type="pct"/>
            <w:vAlign w:val="center"/>
          </w:tcPr>
          <w:p w14:paraId="64FEF289">
            <w:pPr>
              <w:pStyle w:val="28"/>
              <w:bidi w:val="0"/>
            </w:pPr>
            <w:r>
              <w:t>45</w:t>
            </w:r>
          </w:p>
        </w:tc>
        <w:tc>
          <w:tcPr>
            <w:tcW w:w="276" w:type="pct"/>
            <w:vAlign w:val="center"/>
          </w:tcPr>
          <w:p w14:paraId="43B545DB">
            <w:pPr>
              <w:pStyle w:val="28"/>
              <w:bidi w:val="0"/>
            </w:pPr>
            <w:r>
              <w:t>49.4</w:t>
            </w:r>
          </w:p>
        </w:tc>
        <w:tc>
          <w:tcPr>
            <w:tcW w:w="257" w:type="pct"/>
            <w:vAlign w:val="center"/>
          </w:tcPr>
          <w:p w14:paraId="225E3FA9">
            <w:pPr>
              <w:pStyle w:val="28"/>
              <w:bidi w:val="0"/>
            </w:pPr>
            <w:r>
              <w:t>42.4</w:t>
            </w:r>
          </w:p>
        </w:tc>
        <w:tc>
          <w:tcPr>
            <w:tcW w:w="257" w:type="pct"/>
            <w:vAlign w:val="center"/>
          </w:tcPr>
          <w:p w14:paraId="59476842">
            <w:pPr>
              <w:pStyle w:val="28"/>
              <w:bidi w:val="0"/>
            </w:pPr>
            <w:r>
              <w:t>53.2</w:t>
            </w:r>
          </w:p>
        </w:tc>
        <w:tc>
          <w:tcPr>
            <w:tcW w:w="257" w:type="pct"/>
            <w:vAlign w:val="center"/>
          </w:tcPr>
          <w:p w14:paraId="0ABB1F3C">
            <w:pPr>
              <w:pStyle w:val="28"/>
              <w:bidi w:val="0"/>
            </w:pPr>
            <w:r>
              <w:t>0.4</w:t>
            </w:r>
          </w:p>
        </w:tc>
        <w:tc>
          <w:tcPr>
            <w:tcW w:w="209" w:type="pct"/>
            <w:vAlign w:val="center"/>
          </w:tcPr>
          <w:p w14:paraId="7A9850DC">
            <w:pPr>
              <w:pStyle w:val="28"/>
              <w:bidi w:val="0"/>
            </w:pPr>
            <w:r>
              <w:t>达标</w:t>
            </w:r>
          </w:p>
        </w:tc>
      </w:tr>
      <w:tr w14:paraId="25881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146A293">
            <w:pPr>
              <w:pStyle w:val="28"/>
              <w:bidi w:val="0"/>
            </w:pPr>
            <w:r>
              <w:rPr>
                <w:rFonts w:hint="eastAsia"/>
              </w:rPr>
              <w:t>南戎西村</w:t>
            </w:r>
          </w:p>
        </w:tc>
        <w:tc>
          <w:tcPr>
            <w:tcW w:w="511" w:type="pct"/>
            <w:vAlign w:val="center"/>
          </w:tcPr>
          <w:p w14:paraId="2E4BBF9C">
            <w:pPr>
              <w:pStyle w:val="28"/>
              <w:bidi w:val="0"/>
            </w:pPr>
            <w:r>
              <w:rPr>
                <w:rFonts w:hint="eastAsia"/>
              </w:rPr>
              <w:t>十里农门加固</w:t>
            </w:r>
          </w:p>
        </w:tc>
        <w:tc>
          <w:tcPr>
            <w:tcW w:w="366" w:type="pct"/>
            <w:vAlign w:val="center"/>
          </w:tcPr>
          <w:p w14:paraId="2F0550E3">
            <w:pPr>
              <w:pStyle w:val="28"/>
              <w:bidi w:val="0"/>
            </w:pPr>
            <w:r>
              <w:t>156</w:t>
            </w:r>
          </w:p>
        </w:tc>
        <w:tc>
          <w:tcPr>
            <w:tcW w:w="268" w:type="pct"/>
            <w:vAlign w:val="center"/>
          </w:tcPr>
          <w:p w14:paraId="007CED25">
            <w:pPr>
              <w:pStyle w:val="28"/>
              <w:bidi w:val="0"/>
            </w:pPr>
            <w:r>
              <w:rPr>
                <w:rFonts w:hint="eastAsia"/>
              </w:rPr>
              <w:t>右岸</w:t>
            </w:r>
          </w:p>
        </w:tc>
        <w:tc>
          <w:tcPr>
            <w:tcW w:w="262" w:type="pct"/>
            <w:vAlign w:val="center"/>
          </w:tcPr>
          <w:p w14:paraId="21310339">
            <w:pPr>
              <w:pStyle w:val="28"/>
              <w:bidi w:val="0"/>
            </w:pPr>
            <w:r>
              <w:t>1</w:t>
            </w:r>
            <w:r>
              <w:rPr>
                <w:rFonts w:hint="eastAsia"/>
              </w:rPr>
              <w:t>类</w:t>
            </w:r>
          </w:p>
        </w:tc>
        <w:tc>
          <w:tcPr>
            <w:tcW w:w="809" w:type="pct"/>
            <w:vMerge w:val="continue"/>
            <w:vAlign w:val="center"/>
          </w:tcPr>
          <w:p w14:paraId="5DABA417">
            <w:pPr>
              <w:pStyle w:val="28"/>
              <w:bidi w:val="0"/>
            </w:pPr>
          </w:p>
        </w:tc>
        <w:tc>
          <w:tcPr>
            <w:tcW w:w="208" w:type="pct"/>
            <w:vAlign w:val="center"/>
          </w:tcPr>
          <w:p w14:paraId="6BF1072B">
            <w:pPr>
              <w:pStyle w:val="28"/>
              <w:bidi w:val="0"/>
            </w:pPr>
            <w:r>
              <w:t>52.8</w:t>
            </w:r>
          </w:p>
        </w:tc>
        <w:tc>
          <w:tcPr>
            <w:tcW w:w="211" w:type="pct"/>
            <w:vAlign w:val="center"/>
          </w:tcPr>
          <w:p w14:paraId="59D8F70C">
            <w:pPr>
              <w:pStyle w:val="28"/>
              <w:bidi w:val="0"/>
            </w:pPr>
            <w:r>
              <w:t>41.5</w:t>
            </w:r>
          </w:p>
        </w:tc>
        <w:tc>
          <w:tcPr>
            <w:tcW w:w="208" w:type="pct"/>
            <w:vAlign w:val="center"/>
          </w:tcPr>
          <w:p w14:paraId="65ACCE5E">
            <w:pPr>
              <w:pStyle w:val="28"/>
              <w:bidi w:val="0"/>
            </w:pPr>
            <w:r>
              <w:t>55</w:t>
            </w:r>
          </w:p>
        </w:tc>
        <w:tc>
          <w:tcPr>
            <w:tcW w:w="211" w:type="pct"/>
            <w:vAlign w:val="center"/>
          </w:tcPr>
          <w:p w14:paraId="06CEEAB2">
            <w:pPr>
              <w:pStyle w:val="28"/>
              <w:bidi w:val="0"/>
            </w:pPr>
            <w:r>
              <w:t>45</w:t>
            </w:r>
          </w:p>
        </w:tc>
        <w:tc>
          <w:tcPr>
            <w:tcW w:w="276" w:type="pct"/>
            <w:vAlign w:val="center"/>
          </w:tcPr>
          <w:p w14:paraId="523E29EE">
            <w:pPr>
              <w:pStyle w:val="28"/>
              <w:bidi w:val="0"/>
            </w:pPr>
            <w:r>
              <w:t>49.3</w:t>
            </w:r>
          </w:p>
        </w:tc>
        <w:tc>
          <w:tcPr>
            <w:tcW w:w="257" w:type="pct"/>
            <w:vAlign w:val="center"/>
          </w:tcPr>
          <w:p w14:paraId="1E7970E5">
            <w:pPr>
              <w:pStyle w:val="28"/>
              <w:bidi w:val="0"/>
            </w:pPr>
            <w:r>
              <w:t>42.3</w:t>
            </w:r>
          </w:p>
        </w:tc>
        <w:tc>
          <w:tcPr>
            <w:tcW w:w="257" w:type="pct"/>
            <w:vAlign w:val="center"/>
          </w:tcPr>
          <w:p w14:paraId="448BEDD6">
            <w:pPr>
              <w:pStyle w:val="28"/>
              <w:bidi w:val="0"/>
            </w:pPr>
            <w:r>
              <w:t>53.2</w:t>
            </w:r>
          </w:p>
        </w:tc>
        <w:tc>
          <w:tcPr>
            <w:tcW w:w="257" w:type="pct"/>
            <w:vAlign w:val="center"/>
          </w:tcPr>
          <w:p w14:paraId="56161B11">
            <w:pPr>
              <w:pStyle w:val="28"/>
              <w:bidi w:val="0"/>
            </w:pPr>
            <w:r>
              <w:t>0.4</w:t>
            </w:r>
          </w:p>
        </w:tc>
        <w:tc>
          <w:tcPr>
            <w:tcW w:w="209" w:type="pct"/>
            <w:vAlign w:val="center"/>
          </w:tcPr>
          <w:p w14:paraId="750D49D9">
            <w:pPr>
              <w:pStyle w:val="28"/>
              <w:bidi w:val="0"/>
            </w:pPr>
            <w:r>
              <w:t>达标</w:t>
            </w:r>
          </w:p>
        </w:tc>
      </w:tr>
      <w:tr w14:paraId="39C58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CCD80C9">
            <w:pPr>
              <w:pStyle w:val="28"/>
              <w:bidi w:val="0"/>
            </w:pPr>
            <w:r>
              <w:rPr>
                <w:rFonts w:hint="eastAsia"/>
              </w:rPr>
              <w:t>姚老庄</w:t>
            </w:r>
          </w:p>
        </w:tc>
        <w:tc>
          <w:tcPr>
            <w:tcW w:w="511" w:type="pct"/>
            <w:vAlign w:val="center"/>
          </w:tcPr>
          <w:p w14:paraId="207FAF26">
            <w:pPr>
              <w:pStyle w:val="28"/>
              <w:bidi w:val="0"/>
            </w:pPr>
            <w:r>
              <w:rPr>
                <w:rFonts w:hint="eastAsia"/>
              </w:rPr>
              <w:t>八里斗门拆建</w:t>
            </w:r>
          </w:p>
        </w:tc>
        <w:tc>
          <w:tcPr>
            <w:tcW w:w="366" w:type="pct"/>
            <w:vAlign w:val="center"/>
          </w:tcPr>
          <w:p w14:paraId="5B6969C8">
            <w:pPr>
              <w:pStyle w:val="28"/>
              <w:bidi w:val="0"/>
            </w:pPr>
            <w:r>
              <w:t>88</w:t>
            </w:r>
          </w:p>
        </w:tc>
        <w:tc>
          <w:tcPr>
            <w:tcW w:w="268" w:type="pct"/>
            <w:vAlign w:val="center"/>
          </w:tcPr>
          <w:p w14:paraId="7B8C9EDF">
            <w:pPr>
              <w:pStyle w:val="28"/>
              <w:bidi w:val="0"/>
            </w:pPr>
            <w:r>
              <w:rPr>
                <w:rFonts w:hint="eastAsia"/>
              </w:rPr>
              <w:t>右岸</w:t>
            </w:r>
          </w:p>
        </w:tc>
        <w:tc>
          <w:tcPr>
            <w:tcW w:w="262" w:type="pct"/>
            <w:vAlign w:val="center"/>
          </w:tcPr>
          <w:p w14:paraId="3E76C82A">
            <w:pPr>
              <w:pStyle w:val="28"/>
              <w:bidi w:val="0"/>
            </w:pPr>
            <w:r>
              <w:t>1</w:t>
            </w:r>
            <w:r>
              <w:rPr>
                <w:rFonts w:hint="eastAsia"/>
              </w:rPr>
              <w:t>类</w:t>
            </w:r>
          </w:p>
        </w:tc>
        <w:tc>
          <w:tcPr>
            <w:tcW w:w="809" w:type="pct"/>
            <w:vMerge w:val="continue"/>
            <w:vAlign w:val="center"/>
          </w:tcPr>
          <w:p w14:paraId="0F4E0945">
            <w:pPr>
              <w:pStyle w:val="28"/>
              <w:bidi w:val="0"/>
            </w:pPr>
          </w:p>
        </w:tc>
        <w:tc>
          <w:tcPr>
            <w:tcW w:w="208" w:type="pct"/>
            <w:vAlign w:val="center"/>
          </w:tcPr>
          <w:p w14:paraId="5060C27A">
            <w:pPr>
              <w:pStyle w:val="28"/>
              <w:bidi w:val="0"/>
            </w:pPr>
            <w:r>
              <w:t>52.8</w:t>
            </w:r>
          </w:p>
        </w:tc>
        <w:tc>
          <w:tcPr>
            <w:tcW w:w="211" w:type="pct"/>
            <w:vAlign w:val="center"/>
          </w:tcPr>
          <w:p w14:paraId="035D0057">
            <w:pPr>
              <w:pStyle w:val="28"/>
              <w:bidi w:val="0"/>
            </w:pPr>
            <w:r>
              <w:t>41.5</w:t>
            </w:r>
          </w:p>
        </w:tc>
        <w:tc>
          <w:tcPr>
            <w:tcW w:w="208" w:type="pct"/>
            <w:vAlign w:val="center"/>
          </w:tcPr>
          <w:p w14:paraId="7B75347C">
            <w:pPr>
              <w:pStyle w:val="28"/>
              <w:bidi w:val="0"/>
            </w:pPr>
            <w:r>
              <w:t>55</w:t>
            </w:r>
          </w:p>
        </w:tc>
        <w:tc>
          <w:tcPr>
            <w:tcW w:w="211" w:type="pct"/>
            <w:vAlign w:val="center"/>
          </w:tcPr>
          <w:p w14:paraId="5267B995">
            <w:pPr>
              <w:pStyle w:val="28"/>
              <w:bidi w:val="0"/>
            </w:pPr>
            <w:r>
              <w:t>45</w:t>
            </w:r>
          </w:p>
        </w:tc>
        <w:tc>
          <w:tcPr>
            <w:tcW w:w="276" w:type="pct"/>
            <w:vAlign w:val="center"/>
          </w:tcPr>
          <w:p w14:paraId="55A62255">
            <w:pPr>
              <w:pStyle w:val="28"/>
              <w:bidi w:val="0"/>
            </w:pPr>
            <w:r>
              <w:t>54.3</w:t>
            </w:r>
          </w:p>
        </w:tc>
        <w:tc>
          <w:tcPr>
            <w:tcW w:w="257" w:type="pct"/>
            <w:vAlign w:val="center"/>
          </w:tcPr>
          <w:p w14:paraId="08A28010">
            <w:pPr>
              <w:pStyle w:val="28"/>
              <w:bidi w:val="0"/>
            </w:pPr>
            <w:r>
              <w:t>47.3</w:t>
            </w:r>
          </w:p>
        </w:tc>
        <w:tc>
          <w:tcPr>
            <w:tcW w:w="257" w:type="pct"/>
            <w:vAlign w:val="center"/>
          </w:tcPr>
          <w:p w14:paraId="0B0D51C2">
            <w:pPr>
              <w:pStyle w:val="28"/>
              <w:bidi w:val="0"/>
            </w:pPr>
            <w:r>
              <w:t>53.9</w:t>
            </w:r>
          </w:p>
        </w:tc>
        <w:tc>
          <w:tcPr>
            <w:tcW w:w="257" w:type="pct"/>
            <w:vAlign w:val="center"/>
          </w:tcPr>
          <w:p w14:paraId="744F6436">
            <w:pPr>
              <w:pStyle w:val="28"/>
              <w:bidi w:val="0"/>
            </w:pPr>
            <w:r>
              <w:t>1.1</w:t>
            </w:r>
          </w:p>
        </w:tc>
        <w:tc>
          <w:tcPr>
            <w:tcW w:w="209" w:type="pct"/>
            <w:vAlign w:val="center"/>
          </w:tcPr>
          <w:p w14:paraId="1534599F">
            <w:pPr>
              <w:pStyle w:val="28"/>
              <w:bidi w:val="0"/>
            </w:pPr>
            <w:r>
              <w:t>达标</w:t>
            </w:r>
          </w:p>
        </w:tc>
      </w:tr>
      <w:tr w14:paraId="6EE863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A7D73B1">
            <w:pPr>
              <w:pStyle w:val="28"/>
              <w:bidi w:val="0"/>
            </w:pPr>
            <w:r>
              <w:rPr>
                <w:rFonts w:hint="eastAsia"/>
              </w:rPr>
              <w:t>毛小店</w:t>
            </w:r>
          </w:p>
        </w:tc>
        <w:tc>
          <w:tcPr>
            <w:tcW w:w="511" w:type="pct"/>
            <w:vAlign w:val="center"/>
          </w:tcPr>
          <w:p w14:paraId="1A2686C3">
            <w:pPr>
              <w:pStyle w:val="28"/>
              <w:bidi w:val="0"/>
            </w:pPr>
            <w:r>
              <w:rPr>
                <w:rFonts w:hint="eastAsia"/>
              </w:rPr>
              <w:t>夹沟农门加固</w:t>
            </w:r>
          </w:p>
        </w:tc>
        <w:tc>
          <w:tcPr>
            <w:tcW w:w="366" w:type="pct"/>
            <w:vAlign w:val="center"/>
          </w:tcPr>
          <w:p w14:paraId="001C0F76">
            <w:pPr>
              <w:pStyle w:val="28"/>
              <w:bidi w:val="0"/>
            </w:pPr>
            <w:r>
              <w:t>54</w:t>
            </w:r>
          </w:p>
        </w:tc>
        <w:tc>
          <w:tcPr>
            <w:tcW w:w="268" w:type="pct"/>
            <w:vAlign w:val="center"/>
          </w:tcPr>
          <w:p w14:paraId="5E472EB3">
            <w:pPr>
              <w:pStyle w:val="28"/>
              <w:bidi w:val="0"/>
            </w:pPr>
            <w:r>
              <w:rPr>
                <w:rFonts w:hint="eastAsia"/>
              </w:rPr>
              <w:t>右岸</w:t>
            </w:r>
          </w:p>
        </w:tc>
        <w:tc>
          <w:tcPr>
            <w:tcW w:w="262" w:type="pct"/>
            <w:vAlign w:val="center"/>
          </w:tcPr>
          <w:p w14:paraId="43C72994">
            <w:pPr>
              <w:pStyle w:val="28"/>
              <w:bidi w:val="0"/>
            </w:pPr>
            <w:r>
              <w:t>1</w:t>
            </w:r>
            <w:r>
              <w:rPr>
                <w:rFonts w:hint="eastAsia"/>
              </w:rPr>
              <w:t>类</w:t>
            </w:r>
          </w:p>
        </w:tc>
        <w:tc>
          <w:tcPr>
            <w:tcW w:w="809" w:type="pct"/>
            <w:vMerge w:val="continue"/>
            <w:vAlign w:val="center"/>
          </w:tcPr>
          <w:p w14:paraId="28CDAFB8">
            <w:pPr>
              <w:pStyle w:val="28"/>
              <w:bidi w:val="0"/>
            </w:pPr>
          </w:p>
        </w:tc>
        <w:tc>
          <w:tcPr>
            <w:tcW w:w="208" w:type="pct"/>
            <w:vAlign w:val="center"/>
          </w:tcPr>
          <w:p w14:paraId="4408D58D">
            <w:pPr>
              <w:pStyle w:val="28"/>
              <w:bidi w:val="0"/>
            </w:pPr>
            <w:r>
              <w:t>52.8</w:t>
            </w:r>
          </w:p>
        </w:tc>
        <w:tc>
          <w:tcPr>
            <w:tcW w:w="211" w:type="pct"/>
            <w:vAlign w:val="center"/>
          </w:tcPr>
          <w:p w14:paraId="10CBA92C">
            <w:pPr>
              <w:pStyle w:val="28"/>
              <w:bidi w:val="0"/>
            </w:pPr>
            <w:r>
              <w:t>41.5</w:t>
            </w:r>
          </w:p>
        </w:tc>
        <w:tc>
          <w:tcPr>
            <w:tcW w:w="208" w:type="pct"/>
            <w:vAlign w:val="center"/>
          </w:tcPr>
          <w:p w14:paraId="1DBD3C08">
            <w:pPr>
              <w:pStyle w:val="28"/>
              <w:bidi w:val="0"/>
            </w:pPr>
            <w:r>
              <w:t>55</w:t>
            </w:r>
          </w:p>
        </w:tc>
        <w:tc>
          <w:tcPr>
            <w:tcW w:w="211" w:type="pct"/>
            <w:vAlign w:val="center"/>
          </w:tcPr>
          <w:p w14:paraId="628D8B11">
            <w:pPr>
              <w:pStyle w:val="28"/>
              <w:bidi w:val="0"/>
            </w:pPr>
            <w:r>
              <w:t>45</w:t>
            </w:r>
          </w:p>
        </w:tc>
        <w:tc>
          <w:tcPr>
            <w:tcW w:w="276" w:type="pct"/>
            <w:vAlign w:val="center"/>
          </w:tcPr>
          <w:p w14:paraId="072EFBEA">
            <w:pPr>
              <w:pStyle w:val="28"/>
              <w:bidi w:val="0"/>
            </w:pPr>
            <w:r>
              <w:t>58.6</w:t>
            </w:r>
          </w:p>
        </w:tc>
        <w:tc>
          <w:tcPr>
            <w:tcW w:w="257" w:type="pct"/>
            <w:vAlign w:val="center"/>
          </w:tcPr>
          <w:p w14:paraId="5E52EFFD">
            <w:pPr>
              <w:pStyle w:val="28"/>
              <w:bidi w:val="0"/>
            </w:pPr>
            <w:r>
              <w:t>50.6</w:t>
            </w:r>
          </w:p>
        </w:tc>
        <w:tc>
          <w:tcPr>
            <w:tcW w:w="257" w:type="pct"/>
            <w:vAlign w:val="center"/>
          </w:tcPr>
          <w:p w14:paraId="6F1155CC">
            <w:pPr>
              <w:pStyle w:val="28"/>
              <w:bidi w:val="0"/>
            </w:pPr>
            <w:r>
              <w:t>54.8</w:t>
            </w:r>
          </w:p>
        </w:tc>
        <w:tc>
          <w:tcPr>
            <w:tcW w:w="257" w:type="pct"/>
            <w:vAlign w:val="center"/>
          </w:tcPr>
          <w:p w14:paraId="7313C352">
            <w:pPr>
              <w:pStyle w:val="28"/>
              <w:bidi w:val="0"/>
            </w:pPr>
            <w:r>
              <w:t>2.0</w:t>
            </w:r>
          </w:p>
        </w:tc>
        <w:tc>
          <w:tcPr>
            <w:tcW w:w="209" w:type="pct"/>
            <w:vAlign w:val="center"/>
          </w:tcPr>
          <w:p w14:paraId="4E8590BB">
            <w:pPr>
              <w:pStyle w:val="28"/>
              <w:bidi w:val="0"/>
            </w:pPr>
            <w:r>
              <w:t>达标</w:t>
            </w:r>
          </w:p>
        </w:tc>
      </w:tr>
      <w:tr w14:paraId="0A009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6A56368">
            <w:pPr>
              <w:pStyle w:val="28"/>
              <w:bidi w:val="0"/>
            </w:pPr>
            <w:r>
              <w:rPr>
                <w:rFonts w:hint="eastAsia"/>
              </w:rPr>
              <w:t>蔡家楼</w:t>
            </w:r>
          </w:p>
        </w:tc>
        <w:tc>
          <w:tcPr>
            <w:tcW w:w="511" w:type="pct"/>
            <w:vAlign w:val="center"/>
          </w:tcPr>
          <w:p w14:paraId="5634B9CF">
            <w:pPr>
              <w:pStyle w:val="28"/>
              <w:bidi w:val="0"/>
            </w:pPr>
            <w:r>
              <w:rPr>
                <w:rFonts w:hint="eastAsia"/>
              </w:rPr>
              <w:t>渠道护砌</w:t>
            </w:r>
          </w:p>
        </w:tc>
        <w:tc>
          <w:tcPr>
            <w:tcW w:w="366" w:type="pct"/>
            <w:vAlign w:val="center"/>
          </w:tcPr>
          <w:p w14:paraId="0235C9E2">
            <w:pPr>
              <w:pStyle w:val="28"/>
              <w:bidi w:val="0"/>
            </w:pPr>
            <w:r>
              <w:t>336</w:t>
            </w:r>
          </w:p>
        </w:tc>
        <w:tc>
          <w:tcPr>
            <w:tcW w:w="268" w:type="pct"/>
            <w:vAlign w:val="center"/>
          </w:tcPr>
          <w:p w14:paraId="71A84F82">
            <w:pPr>
              <w:pStyle w:val="28"/>
              <w:bidi w:val="0"/>
            </w:pPr>
            <w:r>
              <w:rPr>
                <w:rFonts w:hint="eastAsia"/>
              </w:rPr>
              <w:t>左岸</w:t>
            </w:r>
          </w:p>
        </w:tc>
        <w:tc>
          <w:tcPr>
            <w:tcW w:w="262" w:type="pct"/>
            <w:vAlign w:val="center"/>
          </w:tcPr>
          <w:p w14:paraId="06816A2A">
            <w:pPr>
              <w:pStyle w:val="28"/>
              <w:bidi w:val="0"/>
            </w:pPr>
            <w:r>
              <w:t>1</w:t>
            </w:r>
            <w:r>
              <w:rPr>
                <w:rFonts w:hint="eastAsia"/>
              </w:rPr>
              <w:t>类</w:t>
            </w:r>
          </w:p>
        </w:tc>
        <w:tc>
          <w:tcPr>
            <w:tcW w:w="809" w:type="pct"/>
            <w:vMerge w:val="continue"/>
            <w:vAlign w:val="center"/>
          </w:tcPr>
          <w:p w14:paraId="5ED5078F">
            <w:pPr>
              <w:pStyle w:val="28"/>
              <w:bidi w:val="0"/>
            </w:pPr>
          </w:p>
        </w:tc>
        <w:tc>
          <w:tcPr>
            <w:tcW w:w="208" w:type="pct"/>
            <w:vAlign w:val="center"/>
          </w:tcPr>
          <w:p w14:paraId="0E961C46">
            <w:pPr>
              <w:pStyle w:val="28"/>
              <w:bidi w:val="0"/>
            </w:pPr>
            <w:r>
              <w:t>53.1</w:t>
            </w:r>
          </w:p>
        </w:tc>
        <w:tc>
          <w:tcPr>
            <w:tcW w:w="211" w:type="pct"/>
            <w:vAlign w:val="center"/>
          </w:tcPr>
          <w:p w14:paraId="519E0DD8">
            <w:pPr>
              <w:pStyle w:val="28"/>
              <w:bidi w:val="0"/>
            </w:pPr>
            <w:r>
              <w:t>42.8</w:t>
            </w:r>
          </w:p>
        </w:tc>
        <w:tc>
          <w:tcPr>
            <w:tcW w:w="208" w:type="pct"/>
            <w:vAlign w:val="center"/>
          </w:tcPr>
          <w:p w14:paraId="52736CE9">
            <w:pPr>
              <w:pStyle w:val="28"/>
              <w:bidi w:val="0"/>
            </w:pPr>
            <w:r>
              <w:t>55</w:t>
            </w:r>
          </w:p>
        </w:tc>
        <w:tc>
          <w:tcPr>
            <w:tcW w:w="211" w:type="pct"/>
            <w:vAlign w:val="center"/>
          </w:tcPr>
          <w:p w14:paraId="258E5772">
            <w:pPr>
              <w:pStyle w:val="28"/>
              <w:bidi w:val="0"/>
            </w:pPr>
            <w:r>
              <w:t>45</w:t>
            </w:r>
          </w:p>
        </w:tc>
        <w:tc>
          <w:tcPr>
            <w:tcW w:w="276" w:type="pct"/>
            <w:vAlign w:val="center"/>
          </w:tcPr>
          <w:p w14:paraId="65BBDD50">
            <w:pPr>
              <w:pStyle w:val="28"/>
              <w:bidi w:val="0"/>
            </w:pPr>
            <w:r>
              <w:t>41.3</w:t>
            </w:r>
          </w:p>
        </w:tc>
        <w:tc>
          <w:tcPr>
            <w:tcW w:w="257" w:type="pct"/>
            <w:vAlign w:val="center"/>
          </w:tcPr>
          <w:p w14:paraId="51572A79">
            <w:pPr>
              <w:pStyle w:val="28"/>
              <w:bidi w:val="0"/>
            </w:pPr>
            <w:r>
              <w:t>34.3</w:t>
            </w:r>
          </w:p>
        </w:tc>
        <w:tc>
          <w:tcPr>
            <w:tcW w:w="257" w:type="pct"/>
            <w:vAlign w:val="center"/>
          </w:tcPr>
          <w:p w14:paraId="640DB020">
            <w:pPr>
              <w:pStyle w:val="28"/>
              <w:bidi w:val="0"/>
            </w:pPr>
            <w:r>
              <w:t>53.2</w:t>
            </w:r>
          </w:p>
        </w:tc>
        <w:tc>
          <w:tcPr>
            <w:tcW w:w="257" w:type="pct"/>
            <w:vAlign w:val="center"/>
          </w:tcPr>
          <w:p w14:paraId="4A1D0B12">
            <w:pPr>
              <w:pStyle w:val="28"/>
              <w:bidi w:val="0"/>
            </w:pPr>
            <w:r>
              <w:t>0.1</w:t>
            </w:r>
          </w:p>
        </w:tc>
        <w:tc>
          <w:tcPr>
            <w:tcW w:w="209" w:type="pct"/>
            <w:vAlign w:val="center"/>
          </w:tcPr>
          <w:p w14:paraId="3D5D83D2">
            <w:pPr>
              <w:pStyle w:val="28"/>
              <w:bidi w:val="0"/>
            </w:pPr>
            <w:r>
              <w:t>达标</w:t>
            </w:r>
          </w:p>
        </w:tc>
      </w:tr>
      <w:tr w14:paraId="102518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D1944C6">
            <w:pPr>
              <w:pStyle w:val="28"/>
              <w:bidi w:val="0"/>
            </w:pPr>
            <w:r>
              <w:rPr>
                <w:rFonts w:hint="eastAsia"/>
              </w:rPr>
              <w:t>朱家老楼</w:t>
            </w:r>
          </w:p>
        </w:tc>
        <w:tc>
          <w:tcPr>
            <w:tcW w:w="511" w:type="pct"/>
            <w:vAlign w:val="center"/>
          </w:tcPr>
          <w:p w14:paraId="5FA1BCC9">
            <w:pPr>
              <w:pStyle w:val="28"/>
              <w:bidi w:val="0"/>
            </w:pPr>
            <w:r>
              <w:rPr>
                <w:rFonts w:hint="eastAsia"/>
              </w:rPr>
              <w:t>渠道护砌</w:t>
            </w:r>
          </w:p>
        </w:tc>
        <w:tc>
          <w:tcPr>
            <w:tcW w:w="366" w:type="pct"/>
            <w:vAlign w:val="center"/>
          </w:tcPr>
          <w:p w14:paraId="3287D7DA">
            <w:pPr>
              <w:pStyle w:val="28"/>
              <w:bidi w:val="0"/>
            </w:pPr>
            <w:r>
              <w:t>150</w:t>
            </w:r>
          </w:p>
        </w:tc>
        <w:tc>
          <w:tcPr>
            <w:tcW w:w="268" w:type="pct"/>
            <w:vAlign w:val="center"/>
          </w:tcPr>
          <w:p w14:paraId="14FB0D68">
            <w:pPr>
              <w:pStyle w:val="28"/>
              <w:bidi w:val="0"/>
            </w:pPr>
            <w:r>
              <w:rPr>
                <w:rFonts w:hint="eastAsia"/>
              </w:rPr>
              <w:t>右岸</w:t>
            </w:r>
          </w:p>
        </w:tc>
        <w:tc>
          <w:tcPr>
            <w:tcW w:w="262" w:type="pct"/>
            <w:vAlign w:val="center"/>
          </w:tcPr>
          <w:p w14:paraId="7D8857D7">
            <w:pPr>
              <w:pStyle w:val="28"/>
              <w:bidi w:val="0"/>
            </w:pPr>
            <w:r>
              <w:t>1</w:t>
            </w:r>
            <w:r>
              <w:rPr>
                <w:rFonts w:hint="eastAsia"/>
              </w:rPr>
              <w:t>类</w:t>
            </w:r>
          </w:p>
        </w:tc>
        <w:tc>
          <w:tcPr>
            <w:tcW w:w="809" w:type="pct"/>
            <w:vMerge w:val="continue"/>
            <w:vAlign w:val="center"/>
          </w:tcPr>
          <w:p w14:paraId="1E558B69">
            <w:pPr>
              <w:pStyle w:val="28"/>
              <w:bidi w:val="0"/>
            </w:pPr>
          </w:p>
        </w:tc>
        <w:tc>
          <w:tcPr>
            <w:tcW w:w="208" w:type="pct"/>
            <w:vAlign w:val="center"/>
          </w:tcPr>
          <w:p w14:paraId="6BAC43B7">
            <w:pPr>
              <w:pStyle w:val="28"/>
              <w:bidi w:val="0"/>
            </w:pPr>
            <w:r>
              <w:t>53.1</w:t>
            </w:r>
          </w:p>
        </w:tc>
        <w:tc>
          <w:tcPr>
            <w:tcW w:w="211" w:type="pct"/>
            <w:vAlign w:val="center"/>
          </w:tcPr>
          <w:p w14:paraId="7D07F16B">
            <w:pPr>
              <w:pStyle w:val="28"/>
              <w:bidi w:val="0"/>
            </w:pPr>
            <w:r>
              <w:t>42.8</w:t>
            </w:r>
          </w:p>
        </w:tc>
        <w:tc>
          <w:tcPr>
            <w:tcW w:w="208" w:type="pct"/>
            <w:vAlign w:val="center"/>
          </w:tcPr>
          <w:p w14:paraId="0040AAB6">
            <w:pPr>
              <w:pStyle w:val="28"/>
              <w:bidi w:val="0"/>
            </w:pPr>
            <w:r>
              <w:t>55</w:t>
            </w:r>
          </w:p>
        </w:tc>
        <w:tc>
          <w:tcPr>
            <w:tcW w:w="211" w:type="pct"/>
            <w:vAlign w:val="center"/>
          </w:tcPr>
          <w:p w14:paraId="4D67A49E">
            <w:pPr>
              <w:pStyle w:val="28"/>
              <w:bidi w:val="0"/>
            </w:pPr>
            <w:r>
              <w:t>45</w:t>
            </w:r>
          </w:p>
        </w:tc>
        <w:tc>
          <w:tcPr>
            <w:tcW w:w="276" w:type="pct"/>
            <w:vAlign w:val="center"/>
          </w:tcPr>
          <w:p w14:paraId="68B91893">
            <w:pPr>
              <w:pStyle w:val="28"/>
              <w:bidi w:val="0"/>
            </w:pPr>
            <w:r>
              <w:t>48.3</w:t>
            </w:r>
          </w:p>
        </w:tc>
        <w:tc>
          <w:tcPr>
            <w:tcW w:w="257" w:type="pct"/>
            <w:vAlign w:val="center"/>
          </w:tcPr>
          <w:p w14:paraId="0EA2D9A6">
            <w:pPr>
              <w:pStyle w:val="28"/>
              <w:bidi w:val="0"/>
            </w:pPr>
            <w:r>
              <w:t>41.3</w:t>
            </w:r>
          </w:p>
        </w:tc>
        <w:tc>
          <w:tcPr>
            <w:tcW w:w="257" w:type="pct"/>
            <w:vAlign w:val="center"/>
          </w:tcPr>
          <w:p w14:paraId="05811F47">
            <w:pPr>
              <w:pStyle w:val="28"/>
              <w:bidi w:val="0"/>
            </w:pPr>
            <w:r>
              <w:t>53.4</w:t>
            </w:r>
          </w:p>
        </w:tc>
        <w:tc>
          <w:tcPr>
            <w:tcW w:w="257" w:type="pct"/>
            <w:vAlign w:val="center"/>
          </w:tcPr>
          <w:p w14:paraId="4488B9DA">
            <w:pPr>
              <w:pStyle w:val="28"/>
              <w:bidi w:val="0"/>
            </w:pPr>
            <w:r>
              <w:t>0.3</w:t>
            </w:r>
          </w:p>
        </w:tc>
        <w:tc>
          <w:tcPr>
            <w:tcW w:w="209" w:type="pct"/>
            <w:vAlign w:val="center"/>
          </w:tcPr>
          <w:p w14:paraId="5ADB06FB">
            <w:pPr>
              <w:pStyle w:val="28"/>
              <w:bidi w:val="0"/>
            </w:pPr>
            <w:r>
              <w:t>达标</w:t>
            </w:r>
          </w:p>
        </w:tc>
      </w:tr>
      <w:tr w14:paraId="6512D6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F27F2C7">
            <w:pPr>
              <w:pStyle w:val="28"/>
              <w:bidi w:val="0"/>
            </w:pPr>
            <w:r>
              <w:rPr>
                <w:rFonts w:hint="eastAsia"/>
              </w:rPr>
              <w:t>双楼</w:t>
            </w:r>
          </w:p>
        </w:tc>
        <w:tc>
          <w:tcPr>
            <w:tcW w:w="511" w:type="pct"/>
            <w:vAlign w:val="center"/>
          </w:tcPr>
          <w:p w14:paraId="48D1C106">
            <w:pPr>
              <w:pStyle w:val="28"/>
              <w:bidi w:val="0"/>
            </w:pPr>
            <w:r>
              <w:rPr>
                <w:rFonts w:hint="eastAsia"/>
              </w:rPr>
              <w:t>渠道护砌</w:t>
            </w:r>
          </w:p>
        </w:tc>
        <w:tc>
          <w:tcPr>
            <w:tcW w:w="366" w:type="pct"/>
            <w:vAlign w:val="center"/>
          </w:tcPr>
          <w:p w14:paraId="6AA31F37">
            <w:pPr>
              <w:pStyle w:val="28"/>
              <w:bidi w:val="0"/>
            </w:pPr>
            <w:r>
              <w:t>151</w:t>
            </w:r>
          </w:p>
        </w:tc>
        <w:tc>
          <w:tcPr>
            <w:tcW w:w="268" w:type="pct"/>
            <w:vAlign w:val="center"/>
          </w:tcPr>
          <w:p w14:paraId="4EE5770D">
            <w:pPr>
              <w:pStyle w:val="28"/>
              <w:bidi w:val="0"/>
            </w:pPr>
            <w:r>
              <w:rPr>
                <w:rFonts w:hint="eastAsia"/>
              </w:rPr>
              <w:t>右岸</w:t>
            </w:r>
          </w:p>
        </w:tc>
        <w:tc>
          <w:tcPr>
            <w:tcW w:w="262" w:type="pct"/>
            <w:vAlign w:val="center"/>
          </w:tcPr>
          <w:p w14:paraId="5D65EF23">
            <w:pPr>
              <w:pStyle w:val="28"/>
              <w:bidi w:val="0"/>
            </w:pPr>
            <w:r>
              <w:t>1</w:t>
            </w:r>
            <w:r>
              <w:rPr>
                <w:rFonts w:hint="eastAsia"/>
              </w:rPr>
              <w:t>类</w:t>
            </w:r>
          </w:p>
        </w:tc>
        <w:tc>
          <w:tcPr>
            <w:tcW w:w="809" w:type="pct"/>
            <w:vMerge w:val="continue"/>
            <w:vAlign w:val="center"/>
          </w:tcPr>
          <w:p w14:paraId="22606F53">
            <w:pPr>
              <w:pStyle w:val="28"/>
              <w:bidi w:val="0"/>
            </w:pPr>
          </w:p>
        </w:tc>
        <w:tc>
          <w:tcPr>
            <w:tcW w:w="208" w:type="pct"/>
            <w:vAlign w:val="center"/>
          </w:tcPr>
          <w:p w14:paraId="55A72595">
            <w:pPr>
              <w:pStyle w:val="28"/>
              <w:bidi w:val="0"/>
            </w:pPr>
            <w:r>
              <w:t>53.1</w:t>
            </w:r>
          </w:p>
        </w:tc>
        <w:tc>
          <w:tcPr>
            <w:tcW w:w="211" w:type="pct"/>
            <w:vAlign w:val="center"/>
          </w:tcPr>
          <w:p w14:paraId="4589BC51">
            <w:pPr>
              <w:pStyle w:val="28"/>
              <w:bidi w:val="0"/>
            </w:pPr>
            <w:r>
              <w:t>42.8</w:t>
            </w:r>
          </w:p>
        </w:tc>
        <w:tc>
          <w:tcPr>
            <w:tcW w:w="208" w:type="pct"/>
            <w:vAlign w:val="center"/>
          </w:tcPr>
          <w:p w14:paraId="4E041575">
            <w:pPr>
              <w:pStyle w:val="28"/>
              <w:bidi w:val="0"/>
            </w:pPr>
            <w:r>
              <w:t>55</w:t>
            </w:r>
          </w:p>
        </w:tc>
        <w:tc>
          <w:tcPr>
            <w:tcW w:w="211" w:type="pct"/>
            <w:vAlign w:val="center"/>
          </w:tcPr>
          <w:p w14:paraId="23FD1E98">
            <w:pPr>
              <w:pStyle w:val="28"/>
              <w:bidi w:val="0"/>
            </w:pPr>
            <w:r>
              <w:t>45</w:t>
            </w:r>
          </w:p>
        </w:tc>
        <w:tc>
          <w:tcPr>
            <w:tcW w:w="276" w:type="pct"/>
            <w:vAlign w:val="center"/>
          </w:tcPr>
          <w:p w14:paraId="1A873C63">
            <w:pPr>
              <w:pStyle w:val="28"/>
              <w:bidi w:val="0"/>
            </w:pPr>
            <w:r>
              <w:t>48.3</w:t>
            </w:r>
          </w:p>
        </w:tc>
        <w:tc>
          <w:tcPr>
            <w:tcW w:w="257" w:type="pct"/>
            <w:vAlign w:val="center"/>
          </w:tcPr>
          <w:p w14:paraId="61811EE7">
            <w:pPr>
              <w:pStyle w:val="28"/>
              <w:bidi w:val="0"/>
            </w:pPr>
            <w:r>
              <w:t>41.3</w:t>
            </w:r>
          </w:p>
        </w:tc>
        <w:tc>
          <w:tcPr>
            <w:tcW w:w="257" w:type="pct"/>
            <w:vAlign w:val="center"/>
          </w:tcPr>
          <w:p w14:paraId="5D72516F">
            <w:pPr>
              <w:pStyle w:val="28"/>
              <w:bidi w:val="0"/>
            </w:pPr>
            <w:r>
              <w:t>53.4</w:t>
            </w:r>
          </w:p>
        </w:tc>
        <w:tc>
          <w:tcPr>
            <w:tcW w:w="257" w:type="pct"/>
            <w:vAlign w:val="center"/>
          </w:tcPr>
          <w:p w14:paraId="0DF67753">
            <w:pPr>
              <w:pStyle w:val="28"/>
              <w:bidi w:val="0"/>
            </w:pPr>
            <w:r>
              <w:t>0.3</w:t>
            </w:r>
          </w:p>
        </w:tc>
        <w:tc>
          <w:tcPr>
            <w:tcW w:w="209" w:type="pct"/>
            <w:vAlign w:val="center"/>
          </w:tcPr>
          <w:p w14:paraId="5B52ED80">
            <w:pPr>
              <w:pStyle w:val="28"/>
              <w:bidi w:val="0"/>
            </w:pPr>
            <w:r>
              <w:t>达标</w:t>
            </w:r>
          </w:p>
        </w:tc>
      </w:tr>
      <w:tr w14:paraId="1EDAC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34DCBB8">
            <w:pPr>
              <w:pStyle w:val="28"/>
              <w:bidi w:val="0"/>
            </w:pPr>
            <w:r>
              <w:rPr>
                <w:rFonts w:hint="eastAsia"/>
              </w:rPr>
              <w:t>燕子窝</w:t>
            </w:r>
          </w:p>
        </w:tc>
        <w:tc>
          <w:tcPr>
            <w:tcW w:w="511" w:type="pct"/>
            <w:vAlign w:val="center"/>
          </w:tcPr>
          <w:p w14:paraId="5B01F6B3">
            <w:pPr>
              <w:pStyle w:val="28"/>
              <w:bidi w:val="0"/>
            </w:pPr>
            <w:r>
              <w:rPr>
                <w:rFonts w:hint="eastAsia"/>
              </w:rPr>
              <w:t>进水闸拆建</w:t>
            </w:r>
          </w:p>
        </w:tc>
        <w:tc>
          <w:tcPr>
            <w:tcW w:w="366" w:type="pct"/>
            <w:vAlign w:val="center"/>
          </w:tcPr>
          <w:p w14:paraId="3778E880">
            <w:pPr>
              <w:pStyle w:val="28"/>
              <w:bidi w:val="0"/>
            </w:pPr>
            <w:r>
              <w:t>110</w:t>
            </w:r>
          </w:p>
        </w:tc>
        <w:tc>
          <w:tcPr>
            <w:tcW w:w="268" w:type="pct"/>
            <w:vAlign w:val="center"/>
          </w:tcPr>
          <w:p w14:paraId="03BBB25B">
            <w:pPr>
              <w:pStyle w:val="28"/>
              <w:bidi w:val="0"/>
            </w:pPr>
            <w:r>
              <w:rPr>
                <w:rFonts w:hint="eastAsia"/>
              </w:rPr>
              <w:t>左右岸</w:t>
            </w:r>
          </w:p>
        </w:tc>
        <w:tc>
          <w:tcPr>
            <w:tcW w:w="262" w:type="pct"/>
            <w:vAlign w:val="center"/>
          </w:tcPr>
          <w:p w14:paraId="441246A1">
            <w:pPr>
              <w:pStyle w:val="28"/>
              <w:bidi w:val="0"/>
            </w:pPr>
            <w:r>
              <w:t>2</w:t>
            </w:r>
            <w:r>
              <w:rPr>
                <w:rFonts w:hint="eastAsia"/>
              </w:rPr>
              <w:t>类</w:t>
            </w:r>
          </w:p>
        </w:tc>
        <w:tc>
          <w:tcPr>
            <w:tcW w:w="809" w:type="pct"/>
            <w:vMerge w:val="continue"/>
            <w:vAlign w:val="center"/>
          </w:tcPr>
          <w:p w14:paraId="035C1225">
            <w:pPr>
              <w:pStyle w:val="28"/>
              <w:bidi w:val="0"/>
            </w:pPr>
          </w:p>
        </w:tc>
        <w:tc>
          <w:tcPr>
            <w:tcW w:w="208" w:type="pct"/>
            <w:vAlign w:val="center"/>
          </w:tcPr>
          <w:p w14:paraId="49737860">
            <w:pPr>
              <w:pStyle w:val="28"/>
              <w:bidi w:val="0"/>
            </w:pPr>
            <w:r>
              <w:t>53.1</w:t>
            </w:r>
          </w:p>
        </w:tc>
        <w:tc>
          <w:tcPr>
            <w:tcW w:w="211" w:type="pct"/>
            <w:vAlign w:val="center"/>
          </w:tcPr>
          <w:p w14:paraId="59574304">
            <w:pPr>
              <w:pStyle w:val="28"/>
              <w:bidi w:val="0"/>
            </w:pPr>
            <w:r>
              <w:t>42.8</w:t>
            </w:r>
          </w:p>
        </w:tc>
        <w:tc>
          <w:tcPr>
            <w:tcW w:w="208" w:type="pct"/>
            <w:vAlign w:val="center"/>
          </w:tcPr>
          <w:p w14:paraId="3FCE4DCF">
            <w:pPr>
              <w:pStyle w:val="28"/>
              <w:bidi w:val="0"/>
            </w:pPr>
            <w:r>
              <w:t>60</w:t>
            </w:r>
          </w:p>
        </w:tc>
        <w:tc>
          <w:tcPr>
            <w:tcW w:w="211" w:type="pct"/>
            <w:vAlign w:val="center"/>
          </w:tcPr>
          <w:p w14:paraId="0F1E5693">
            <w:pPr>
              <w:pStyle w:val="28"/>
              <w:bidi w:val="0"/>
            </w:pPr>
            <w:r>
              <w:t>50</w:t>
            </w:r>
          </w:p>
        </w:tc>
        <w:tc>
          <w:tcPr>
            <w:tcW w:w="276" w:type="pct"/>
            <w:vAlign w:val="center"/>
          </w:tcPr>
          <w:p w14:paraId="7C2B6616">
            <w:pPr>
              <w:pStyle w:val="28"/>
              <w:bidi w:val="0"/>
            </w:pPr>
            <w:r>
              <w:t>52.4</w:t>
            </w:r>
          </w:p>
        </w:tc>
        <w:tc>
          <w:tcPr>
            <w:tcW w:w="257" w:type="pct"/>
            <w:vAlign w:val="center"/>
          </w:tcPr>
          <w:p w14:paraId="7BF7253A">
            <w:pPr>
              <w:pStyle w:val="28"/>
              <w:bidi w:val="0"/>
            </w:pPr>
            <w:r>
              <w:t>45.4</w:t>
            </w:r>
          </w:p>
        </w:tc>
        <w:tc>
          <w:tcPr>
            <w:tcW w:w="257" w:type="pct"/>
            <w:vAlign w:val="center"/>
          </w:tcPr>
          <w:p w14:paraId="48594052">
            <w:pPr>
              <w:pStyle w:val="28"/>
              <w:bidi w:val="0"/>
            </w:pPr>
            <w:r>
              <w:t>53.8</w:t>
            </w:r>
          </w:p>
        </w:tc>
        <w:tc>
          <w:tcPr>
            <w:tcW w:w="257" w:type="pct"/>
            <w:vAlign w:val="center"/>
          </w:tcPr>
          <w:p w14:paraId="5E398FEC">
            <w:pPr>
              <w:pStyle w:val="28"/>
              <w:bidi w:val="0"/>
            </w:pPr>
            <w:r>
              <w:t>0.7</w:t>
            </w:r>
          </w:p>
        </w:tc>
        <w:tc>
          <w:tcPr>
            <w:tcW w:w="209" w:type="pct"/>
            <w:vAlign w:val="center"/>
          </w:tcPr>
          <w:p w14:paraId="578F55CA">
            <w:pPr>
              <w:pStyle w:val="28"/>
              <w:bidi w:val="0"/>
            </w:pPr>
            <w:r>
              <w:t>达标</w:t>
            </w:r>
          </w:p>
        </w:tc>
      </w:tr>
      <w:tr w14:paraId="5C148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2CF7CAF">
            <w:pPr>
              <w:pStyle w:val="28"/>
              <w:bidi w:val="0"/>
            </w:pPr>
            <w:r>
              <w:rPr>
                <w:rFonts w:hint="eastAsia"/>
              </w:rPr>
              <w:t>双围子</w:t>
            </w:r>
          </w:p>
        </w:tc>
        <w:tc>
          <w:tcPr>
            <w:tcW w:w="511" w:type="pct"/>
            <w:vAlign w:val="center"/>
          </w:tcPr>
          <w:p w14:paraId="3D20CCAC">
            <w:pPr>
              <w:pStyle w:val="28"/>
              <w:bidi w:val="0"/>
            </w:pPr>
            <w:r>
              <w:rPr>
                <w:rFonts w:hint="eastAsia"/>
              </w:rPr>
              <w:t>渠道护砌</w:t>
            </w:r>
          </w:p>
        </w:tc>
        <w:tc>
          <w:tcPr>
            <w:tcW w:w="366" w:type="pct"/>
            <w:vAlign w:val="center"/>
          </w:tcPr>
          <w:p w14:paraId="2B96D1EF">
            <w:pPr>
              <w:pStyle w:val="28"/>
              <w:bidi w:val="0"/>
            </w:pPr>
            <w:r>
              <w:t>12</w:t>
            </w:r>
          </w:p>
        </w:tc>
        <w:tc>
          <w:tcPr>
            <w:tcW w:w="268" w:type="pct"/>
            <w:vAlign w:val="center"/>
          </w:tcPr>
          <w:p w14:paraId="1930B9B9">
            <w:pPr>
              <w:pStyle w:val="28"/>
              <w:bidi w:val="0"/>
            </w:pPr>
            <w:r>
              <w:rPr>
                <w:rFonts w:hint="eastAsia"/>
              </w:rPr>
              <w:t>左岸</w:t>
            </w:r>
          </w:p>
        </w:tc>
        <w:tc>
          <w:tcPr>
            <w:tcW w:w="262" w:type="pct"/>
            <w:vAlign w:val="center"/>
          </w:tcPr>
          <w:p w14:paraId="38B50772">
            <w:pPr>
              <w:pStyle w:val="28"/>
              <w:bidi w:val="0"/>
            </w:pPr>
            <w:r>
              <w:t>1</w:t>
            </w:r>
            <w:r>
              <w:rPr>
                <w:rFonts w:hint="eastAsia"/>
              </w:rPr>
              <w:t>类</w:t>
            </w:r>
          </w:p>
        </w:tc>
        <w:tc>
          <w:tcPr>
            <w:tcW w:w="809" w:type="pct"/>
            <w:vMerge w:val="restart"/>
            <w:vAlign w:val="center"/>
          </w:tcPr>
          <w:p w14:paraId="06BCB1F7">
            <w:pPr>
              <w:pStyle w:val="28"/>
              <w:bidi w:val="0"/>
            </w:pPr>
            <w:r>
              <w:rPr>
                <w:rFonts w:hint="eastAsia"/>
              </w:rPr>
              <w:t>采用低噪声设备，施工机械远离居民住宅，设置双层移动声屏障</w:t>
            </w:r>
          </w:p>
        </w:tc>
        <w:tc>
          <w:tcPr>
            <w:tcW w:w="208" w:type="pct"/>
            <w:vAlign w:val="center"/>
          </w:tcPr>
          <w:p w14:paraId="1FB60A84">
            <w:pPr>
              <w:pStyle w:val="28"/>
              <w:bidi w:val="0"/>
            </w:pPr>
            <w:r>
              <w:t>53.1</w:t>
            </w:r>
          </w:p>
        </w:tc>
        <w:tc>
          <w:tcPr>
            <w:tcW w:w="211" w:type="pct"/>
            <w:vAlign w:val="center"/>
          </w:tcPr>
          <w:p w14:paraId="3B396A0C">
            <w:pPr>
              <w:pStyle w:val="28"/>
              <w:bidi w:val="0"/>
            </w:pPr>
            <w:r>
              <w:t>42.8</w:t>
            </w:r>
          </w:p>
        </w:tc>
        <w:tc>
          <w:tcPr>
            <w:tcW w:w="208" w:type="pct"/>
            <w:vAlign w:val="center"/>
          </w:tcPr>
          <w:p w14:paraId="2F3F7CE7">
            <w:pPr>
              <w:pStyle w:val="28"/>
              <w:bidi w:val="0"/>
            </w:pPr>
            <w:r>
              <w:t>55</w:t>
            </w:r>
          </w:p>
        </w:tc>
        <w:tc>
          <w:tcPr>
            <w:tcW w:w="211" w:type="pct"/>
            <w:vAlign w:val="center"/>
          </w:tcPr>
          <w:p w14:paraId="7870175A">
            <w:pPr>
              <w:pStyle w:val="28"/>
              <w:bidi w:val="0"/>
            </w:pPr>
            <w:r>
              <w:t>45</w:t>
            </w:r>
          </w:p>
        </w:tc>
        <w:tc>
          <w:tcPr>
            <w:tcW w:w="276" w:type="pct"/>
            <w:vAlign w:val="center"/>
          </w:tcPr>
          <w:p w14:paraId="50484878">
            <w:pPr>
              <w:pStyle w:val="28"/>
              <w:bidi w:val="0"/>
            </w:pPr>
            <w:r>
              <w:t>70.3</w:t>
            </w:r>
          </w:p>
        </w:tc>
        <w:tc>
          <w:tcPr>
            <w:tcW w:w="257" w:type="pct"/>
            <w:vAlign w:val="center"/>
          </w:tcPr>
          <w:p w14:paraId="5C84B4B3">
            <w:pPr>
              <w:pStyle w:val="28"/>
              <w:bidi w:val="0"/>
            </w:pPr>
            <w:r>
              <w:t>50.3</w:t>
            </w:r>
          </w:p>
        </w:tc>
        <w:tc>
          <w:tcPr>
            <w:tcW w:w="257" w:type="pct"/>
            <w:vAlign w:val="center"/>
          </w:tcPr>
          <w:p w14:paraId="61C25A23">
            <w:pPr>
              <w:pStyle w:val="28"/>
              <w:bidi w:val="0"/>
            </w:pPr>
            <w:r>
              <w:t>54.9</w:t>
            </w:r>
          </w:p>
        </w:tc>
        <w:tc>
          <w:tcPr>
            <w:tcW w:w="257" w:type="pct"/>
            <w:vAlign w:val="center"/>
          </w:tcPr>
          <w:p w14:paraId="265F33FC">
            <w:pPr>
              <w:pStyle w:val="28"/>
              <w:bidi w:val="0"/>
            </w:pPr>
            <w:r>
              <w:t>1.8</w:t>
            </w:r>
          </w:p>
        </w:tc>
        <w:tc>
          <w:tcPr>
            <w:tcW w:w="209" w:type="pct"/>
            <w:vAlign w:val="center"/>
          </w:tcPr>
          <w:p w14:paraId="7D1F8D9A">
            <w:pPr>
              <w:pStyle w:val="28"/>
              <w:bidi w:val="0"/>
            </w:pPr>
            <w:r>
              <w:t>达标</w:t>
            </w:r>
          </w:p>
        </w:tc>
      </w:tr>
      <w:tr w14:paraId="6DC22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362A16D">
            <w:pPr>
              <w:pStyle w:val="28"/>
              <w:bidi w:val="0"/>
            </w:pPr>
            <w:r>
              <w:rPr>
                <w:rFonts w:hint="eastAsia"/>
              </w:rPr>
              <w:t>孙北围子</w:t>
            </w:r>
          </w:p>
        </w:tc>
        <w:tc>
          <w:tcPr>
            <w:tcW w:w="511" w:type="pct"/>
            <w:vAlign w:val="center"/>
          </w:tcPr>
          <w:p w14:paraId="101BE7FD">
            <w:pPr>
              <w:pStyle w:val="28"/>
              <w:bidi w:val="0"/>
            </w:pPr>
            <w:r>
              <w:rPr>
                <w:rFonts w:hint="eastAsia"/>
              </w:rPr>
              <w:t>渠道护砌</w:t>
            </w:r>
          </w:p>
        </w:tc>
        <w:tc>
          <w:tcPr>
            <w:tcW w:w="366" w:type="pct"/>
            <w:vAlign w:val="center"/>
          </w:tcPr>
          <w:p w14:paraId="5EC93102">
            <w:pPr>
              <w:pStyle w:val="28"/>
              <w:bidi w:val="0"/>
            </w:pPr>
            <w:r>
              <w:t>20</w:t>
            </w:r>
          </w:p>
        </w:tc>
        <w:tc>
          <w:tcPr>
            <w:tcW w:w="268" w:type="pct"/>
            <w:vAlign w:val="center"/>
          </w:tcPr>
          <w:p w14:paraId="30DD802F">
            <w:pPr>
              <w:pStyle w:val="28"/>
              <w:bidi w:val="0"/>
            </w:pPr>
            <w:r>
              <w:rPr>
                <w:rFonts w:hint="eastAsia"/>
              </w:rPr>
              <w:t>左右岸</w:t>
            </w:r>
          </w:p>
        </w:tc>
        <w:tc>
          <w:tcPr>
            <w:tcW w:w="262" w:type="pct"/>
            <w:vAlign w:val="center"/>
          </w:tcPr>
          <w:p w14:paraId="5857CC06">
            <w:pPr>
              <w:pStyle w:val="28"/>
              <w:bidi w:val="0"/>
            </w:pPr>
            <w:r>
              <w:t>1</w:t>
            </w:r>
            <w:r>
              <w:rPr>
                <w:rFonts w:hint="eastAsia"/>
              </w:rPr>
              <w:t>类</w:t>
            </w:r>
          </w:p>
        </w:tc>
        <w:tc>
          <w:tcPr>
            <w:tcW w:w="809" w:type="pct"/>
            <w:vMerge w:val="continue"/>
            <w:vAlign w:val="center"/>
          </w:tcPr>
          <w:p w14:paraId="2F198681">
            <w:pPr>
              <w:pStyle w:val="28"/>
              <w:bidi w:val="0"/>
            </w:pPr>
          </w:p>
        </w:tc>
        <w:tc>
          <w:tcPr>
            <w:tcW w:w="208" w:type="pct"/>
            <w:vAlign w:val="center"/>
          </w:tcPr>
          <w:p w14:paraId="4B50BDF7">
            <w:pPr>
              <w:pStyle w:val="28"/>
              <w:bidi w:val="0"/>
            </w:pPr>
            <w:r>
              <w:t>53.1</w:t>
            </w:r>
          </w:p>
        </w:tc>
        <w:tc>
          <w:tcPr>
            <w:tcW w:w="211" w:type="pct"/>
            <w:vAlign w:val="center"/>
          </w:tcPr>
          <w:p w14:paraId="090B0F97">
            <w:pPr>
              <w:pStyle w:val="28"/>
              <w:bidi w:val="0"/>
            </w:pPr>
            <w:r>
              <w:t>42.8</w:t>
            </w:r>
          </w:p>
        </w:tc>
        <w:tc>
          <w:tcPr>
            <w:tcW w:w="208" w:type="pct"/>
            <w:vAlign w:val="center"/>
          </w:tcPr>
          <w:p w14:paraId="3F971DC2">
            <w:pPr>
              <w:pStyle w:val="28"/>
              <w:bidi w:val="0"/>
            </w:pPr>
            <w:r>
              <w:t>55</w:t>
            </w:r>
          </w:p>
        </w:tc>
        <w:tc>
          <w:tcPr>
            <w:tcW w:w="211" w:type="pct"/>
            <w:vAlign w:val="center"/>
          </w:tcPr>
          <w:p w14:paraId="38BA2DB6">
            <w:pPr>
              <w:pStyle w:val="28"/>
              <w:bidi w:val="0"/>
            </w:pPr>
            <w:r>
              <w:t>45</w:t>
            </w:r>
          </w:p>
        </w:tc>
        <w:tc>
          <w:tcPr>
            <w:tcW w:w="276" w:type="pct"/>
            <w:vAlign w:val="center"/>
          </w:tcPr>
          <w:p w14:paraId="5D0974F5">
            <w:pPr>
              <w:pStyle w:val="28"/>
              <w:bidi w:val="0"/>
            </w:pPr>
            <w:r>
              <w:t>65.8</w:t>
            </w:r>
          </w:p>
        </w:tc>
        <w:tc>
          <w:tcPr>
            <w:tcW w:w="257" w:type="pct"/>
            <w:vAlign w:val="center"/>
          </w:tcPr>
          <w:p w14:paraId="06ECBF7C">
            <w:pPr>
              <w:pStyle w:val="28"/>
              <w:bidi w:val="0"/>
            </w:pPr>
            <w:r>
              <w:t>45.8</w:t>
            </w:r>
          </w:p>
        </w:tc>
        <w:tc>
          <w:tcPr>
            <w:tcW w:w="257" w:type="pct"/>
            <w:vAlign w:val="center"/>
          </w:tcPr>
          <w:p w14:paraId="7AF19A5C">
            <w:pPr>
              <w:pStyle w:val="28"/>
              <w:bidi w:val="0"/>
            </w:pPr>
            <w:r>
              <w:t>53.8</w:t>
            </w:r>
          </w:p>
        </w:tc>
        <w:tc>
          <w:tcPr>
            <w:tcW w:w="257" w:type="pct"/>
            <w:vAlign w:val="center"/>
          </w:tcPr>
          <w:p w14:paraId="56D20D57">
            <w:pPr>
              <w:pStyle w:val="28"/>
              <w:bidi w:val="0"/>
            </w:pPr>
            <w:r>
              <w:t>0.7</w:t>
            </w:r>
          </w:p>
        </w:tc>
        <w:tc>
          <w:tcPr>
            <w:tcW w:w="209" w:type="pct"/>
            <w:vAlign w:val="center"/>
          </w:tcPr>
          <w:p w14:paraId="65E18FEA">
            <w:pPr>
              <w:pStyle w:val="28"/>
              <w:bidi w:val="0"/>
            </w:pPr>
            <w:r>
              <w:t>达标</w:t>
            </w:r>
          </w:p>
        </w:tc>
      </w:tr>
      <w:tr w14:paraId="14E98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E189E6F">
            <w:pPr>
              <w:pStyle w:val="28"/>
              <w:bidi w:val="0"/>
            </w:pPr>
            <w:r>
              <w:rPr>
                <w:rFonts w:hint="eastAsia"/>
              </w:rPr>
              <w:t>刘大庄</w:t>
            </w:r>
          </w:p>
        </w:tc>
        <w:tc>
          <w:tcPr>
            <w:tcW w:w="511" w:type="pct"/>
            <w:vAlign w:val="center"/>
          </w:tcPr>
          <w:p w14:paraId="1119CFAF">
            <w:pPr>
              <w:pStyle w:val="28"/>
              <w:bidi w:val="0"/>
            </w:pPr>
            <w:r>
              <w:rPr>
                <w:rFonts w:hint="eastAsia"/>
              </w:rPr>
              <w:t>渠道护砌</w:t>
            </w:r>
          </w:p>
        </w:tc>
        <w:tc>
          <w:tcPr>
            <w:tcW w:w="366" w:type="pct"/>
            <w:vAlign w:val="center"/>
          </w:tcPr>
          <w:p w14:paraId="4BB099D0">
            <w:pPr>
              <w:pStyle w:val="28"/>
              <w:bidi w:val="0"/>
            </w:pPr>
            <w:r>
              <w:t>75</w:t>
            </w:r>
          </w:p>
        </w:tc>
        <w:tc>
          <w:tcPr>
            <w:tcW w:w="268" w:type="pct"/>
            <w:vAlign w:val="center"/>
          </w:tcPr>
          <w:p w14:paraId="0831D5A8">
            <w:pPr>
              <w:pStyle w:val="28"/>
              <w:bidi w:val="0"/>
            </w:pPr>
            <w:r>
              <w:rPr>
                <w:rFonts w:hint="eastAsia"/>
              </w:rPr>
              <w:t>左岸</w:t>
            </w:r>
          </w:p>
        </w:tc>
        <w:tc>
          <w:tcPr>
            <w:tcW w:w="262" w:type="pct"/>
            <w:vAlign w:val="center"/>
          </w:tcPr>
          <w:p w14:paraId="42DE455E">
            <w:pPr>
              <w:pStyle w:val="28"/>
              <w:bidi w:val="0"/>
            </w:pPr>
            <w:r>
              <w:t>1</w:t>
            </w:r>
            <w:r>
              <w:rPr>
                <w:rFonts w:hint="eastAsia"/>
              </w:rPr>
              <w:t>类</w:t>
            </w:r>
          </w:p>
        </w:tc>
        <w:tc>
          <w:tcPr>
            <w:tcW w:w="809" w:type="pct"/>
            <w:vAlign w:val="center"/>
          </w:tcPr>
          <w:p w14:paraId="0AF07CA9">
            <w:pPr>
              <w:pStyle w:val="28"/>
              <w:bidi w:val="0"/>
            </w:pPr>
            <w:r>
              <w:rPr>
                <w:rFonts w:hint="eastAsia"/>
              </w:rPr>
              <w:t>采用低噪声设备，施工机械远离居民住宅</w:t>
            </w:r>
          </w:p>
        </w:tc>
        <w:tc>
          <w:tcPr>
            <w:tcW w:w="208" w:type="pct"/>
            <w:vAlign w:val="center"/>
          </w:tcPr>
          <w:p w14:paraId="42CA59F9">
            <w:pPr>
              <w:pStyle w:val="28"/>
              <w:bidi w:val="0"/>
            </w:pPr>
            <w:r>
              <w:t>53.1</w:t>
            </w:r>
          </w:p>
        </w:tc>
        <w:tc>
          <w:tcPr>
            <w:tcW w:w="211" w:type="pct"/>
            <w:vAlign w:val="center"/>
          </w:tcPr>
          <w:p w14:paraId="7C15875E">
            <w:pPr>
              <w:pStyle w:val="28"/>
              <w:bidi w:val="0"/>
            </w:pPr>
            <w:r>
              <w:t>42.8</w:t>
            </w:r>
          </w:p>
        </w:tc>
        <w:tc>
          <w:tcPr>
            <w:tcW w:w="208" w:type="pct"/>
            <w:vAlign w:val="center"/>
          </w:tcPr>
          <w:p w14:paraId="1A2C49EC">
            <w:pPr>
              <w:pStyle w:val="28"/>
              <w:bidi w:val="0"/>
            </w:pPr>
            <w:r>
              <w:t>55</w:t>
            </w:r>
          </w:p>
        </w:tc>
        <w:tc>
          <w:tcPr>
            <w:tcW w:w="211" w:type="pct"/>
            <w:vAlign w:val="center"/>
          </w:tcPr>
          <w:p w14:paraId="6CD9D366">
            <w:pPr>
              <w:pStyle w:val="28"/>
              <w:bidi w:val="0"/>
            </w:pPr>
            <w:r>
              <w:t>45</w:t>
            </w:r>
          </w:p>
        </w:tc>
        <w:tc>
          <w:tcPr>
            <w:tcW w:w="276" w:type="pct"/>
            <w:vAlign w:val="center"/>
          </w:tcPr>
          <w:p w14:paraId="0582B91A">
            <w:pPr>
              <w:pStyle w:val="28"/>
              <w:bidi w:val="0"/>
            </w:pPr>
            <w:r>
              <w:t>54.4</w:t>
            </w:r>
          </w:p>
        </w:tc>
        <w:tc>
          <w:tcPr>
            <w:tcW w:w="257" w:type="pct"/>
            <w:vAlign w:val="center"/>
          </w:tcPr>
          <w:p w14:paraId="7ECA1148">
            <w:pPr>
              <w:pStyle w:val="28"/>
              <w:bidi w:val="0"/>
            </w:pPr>
            <w:r>
              <w:t>47.4</w:t>
            </w:r>
          </w:p>
        </w:tc>
        <w:tc>
          <w:tcPr>
            <w:tcW w:w="257" w:type="pct"/>
            <w:vAlign w:val="center"/>
          </w:tcPr>
          <w:p w14:paraId="6B410813">
            <w:pPr>
              <w:pStyle w:val="28"/>
              <w:bidi w:val="0"/>
            </w:pPr>
            <w:r>
              <w:t>54.1</w:t>
            </w:r>
          </w:p>
        </w:tc>
        <w:tc>
          <w:tcPr>
            <w:tcW w:w="257" w:type="pct"/>
            <w:vAlign w:val="center"/>
          </w:tcPr>
          <w:p w14:paraId="0ED99AD3">
            <w:pPr>
              <w:pStyle w:val="28"/>
              <w:bidi w:val="0"/>
            </w:pPr>
            <w:r>
              <w:t>1.0</w:t>
            </w:r>
          </w:p>
        </w:tc>
        <w:tc>
          <w:tcPr>
            <w:tcW w:w="209" w:type="pct"/>
            <w:vAlign w:val="center"/>
          </w:tcPr>
          <w:p w14:paraId="6758B56D">
            <w:pPr>
              <w:pStyle w:val="28"/>
              <w:bidi w:val="0"/>
            </w:pPr>
            <w:r>
              <w:t>达标</w:t>
            </w:r>
          </w:p>
        </w:tc>
      </w:tr>
      <w:tr w14:paraId="5C0E0EAE">
        <w:tblPrEx>
          <w:tblCellMar>
            <w:top w:w="0" w:type="dxa"/>
            <w:left w:w="108" w:type="dxa"/>
            <w:bottom w:w="0" w:type="dxa"/>
            <w:right w:w="108" w:type="dxa"/>
          </w:tblCellMar>
        </w:tblPrEx>
        <w:trPr>
          <w:trHeight w:val="340" w:hRule="atLeast"/>
          <w:jc w:val="center"/>
        </w:trPr>
        <w:tc>
          <w:tcPr>
            <w:tcW w:w="685" w:type="pct"/>
            <w:vAlign w:val="center"/>
          </w:tcPr>
          <w:p w14:paraId="402BF7AB">
            <w:pPr>
              <w:pStyle w:val="28"/>
              <w:bidi w:val="0"/>
            </w:pPr>
            <w:r>
              <w:rPr>
                <w:rFonts w:hint="eastAsia"/>
              </w:rPr>
              <w:t>高庄</w:t>
            </w:r>
          </w:p>
        </w:tc>
        <w:tc>
          <w:tcPr>
            <w:tcW w:w="511" w:type="pct"/>
            <w:vAlign w:val="center"/>
          </w:tcPr>
          <w:p w14:paraId="2293F9F4">
            <w:pPr>
              <w:pStyle w:val="28"/>
              <w:bidi w:val="0"/>
            </w:pPr>
            <w:r>
              <w:rPr>
                <w:rFonts w:hint="eastAsia"/>
              </w:rPr>
              <w:t>渠道护砌</w:t>
            </w:r>
          </w:p>
        </w:tc>
        <w:tc>
          <w:tcPr>
            <w:tcW w:w="366" w:type="pct"/>
            <w:vAlign w:val="center"/>
          </w:tcPr>
          <w:p w14:paraId="6F6E2B8B">
            <w:pPr>
              <w:pStyle w:val="28"/>
              <w:bidi w:val="0"/>
            </w:pPr>
            <w:r>
              <w:rPr>
                <w:rFonts w:hint="eastAsia"/>
              </w:rPr>
              <w:t>15</w:t>
            </w:r>
          </w:p>
        </w:tc>
        <w:tc>
          <w:tcPr>
            <w:tcW w:w="268" w:type="pct"/>
            <w:vAlign w:val="center"/>
          </w:tcPr>
          <w:p w14:paraId="57283CB5">
            <w:pPr>
              <w:pStyle w:val="28"/>
              <w:bidi w:val="0"/>
            </w:pPr>
            <w:r>
              <w:rPr>
                <w:rFonts w:hint="eastAsia"/>
              </w:rPr>
              <w:t>左右岸</w:t>
            </w:r>
          </w:p>
        </w:tc>
        <w:tc>
          <w:tcPr>
            <w:tcW w:w="262" w:type="pct"/>
            <w:vAlign w:val="center"/>
          </w:tcPr>
          <w:p w14:paraId="14B7C7A2">
            <w:pPr>
              <w:pStyle w:val="28"/>
              <w:bidi w:val="0"/>
            </w:pPr>
            <w:r>
              <w:t>1</w:t>
            </w:r>
            <w:r>
              <w:rPr>
                <w:rFonts w:hint="eastAsia"/>
              </w:rPr>
              <w:t>类</w:t>
            </w:r>
          </w:p>
        </w:tc>
        <w:tc>
          <w:tcPr>
            <w:tcW w:w="809" w:type="pct"/>
            <w:vAlign w:val="center"/>
          </w:tcPr>
          <w:p w14:paraId="7BF12FC3">
            <w:pPr>
              <w:pStyle w:val="28"/>
              <w:bidi w:val="0"/>
            </w:pPr>
            <w:r>
              <w:rPr>
                <w:rFonts w:hint="eastAsia"/>
              </w:rPr>
              <w:t>采用低噪声设备，施工机械远离居民住宅，设置双层移动声屏障</w:t>
            </w:r>
          </w:p>
        </w:tc>
        <w:tc>
          <w:tcPr>
            <w:tcW w:w="208" w:type="pct"/>
            <w:vAlign w:val="center"/>
          </w:tcPr>
          <w:p w14:paraId="58B2F636">
            <w:pPr>
              <w:pStyle w:val="28"/>
              <w:bidi w:val="0"/>
            </w:pPr>
            <w:r>
              <w:t>53.1</w:t>
            </w:r>
          </w:p>
        </w:tc>
        <w:tc>
          <w:tcPr>
            <w:tcW w:w="211" w:type="pct"/>
            <w:vAlign w:val="center"/>
          </w:tcPr>
          <w:p w14:paraId="29BFC615">
            <w:pPr>
              <w:pStyle w:val="28"/>
              <w:bidi w:val="0"/>
            </w:pPr>
            <w:r>
              <w:t>42.8</w:t>
            </w:r>
          </w:p>
        </w:tc>
        <w:tc>
          <w:tcPr>
            <w:tcW w:w="208" w:type="pct"/>
            <w:vAlign w:val="center"/>
          </w:tcPr>
          <w:p w14:paraId="05A01C68">
            <w:pPr>
              <w:pStyle w:val="28"/>
              <w:bidi w:val="0"/>
            </w:pPr>
            <w:r>
              <w:t>55</w:t>
            </w:r>
          </w:p>
        </w:tc>
        <w:tc>
          <w:tcPr>
            <w:tcW w:w="211" w:type="pct"/>
            <w:vAlign w:val="center"/>
          </w:tcPr>
          <w:p w14:paraId="5F708D47">
            <w:pPr>
              <w:pStyle w:val="28"/>
              <w:bidi w:val="0"/>
            </w:pPr>
            <w:r>
              <w:t>45</w:t>
            </w:r>
          </w:p>
        </w:tc>
        <w:tc>
          <w:tcPr>
            <w:tcW w:w="276" w:type="pct"/>
            <w:vAlign w:val="center"/>
          </w:tcPr>
          <w:p w14:paraId="5C6B0FE2">
            <w:pPr>
              <w:pStyle w:val="28"/>
              <w:bidi w:val="0"/>
            </w:pPr>
            <w:r>
              <w:t>7</w:t>
            </w:r>
            <w:r>
              <w:rPr>
                <w:rFonts w:hint="eastAsia"/>
              </w:rPr>
              <w:t>0</w:t>
            </w:r>
            <w:r>
              <w:t>.9</w:t>
            </w:r>
          </w:p>
        </w:tc>
        <w:tc>
          <w:tcPr>
            <w:tcW w:w="257" w:type="pct"/>
            <w:vAlign w:val="center"/>
          </w:tcPr>
          <w:p w14:paraId="303BFE5D">
            <w:pPr>
              <w:pStyle w:val="28"/>
              <w:bidi w:val="0"/>
            </w:pPr>
            <w:r>
              <w:rPr>
                <w:rFonts w:hint="eastAsia"/>
              </w:rPr>
              <w:t>50</w:t>
            </w:r>
            <w:r>
              <w:t>.9</w:t>
            </w:r>
          </w:p>
        </w:tc>
        <w:tc>
          <w:tcPr>
            <w:tcW w:w="257" w:type="pct"/>
            <w:vAlign w:val="center"/>
          </w:tcPr>
          <w:p w14:paraId="1FE92D78">
            <w:pPr>
              <w:pStyle w:val="28"/>
              <w:bidi w:val="0"/>
            </w:pPr>
            <w:r>
              <w:t>5</w:t>
            </w:r>
            <w:r>
              <w:rPr>
                <w:rFonts w:hint="eastAsia"/>
              </w:rPr>
              <w:t>4.9</w:t>
            </w:r>
          </w:p>
        </w:tc>
        <w:tc>
          <w:tcPr>
            <w:tcW w:w="257" w:type="pct"/>
            <w:vAlign w:val="center"/>
          </w:tcPr>
          <w:p w14:paraId="25919536">
            <w:pPr>
              <w:pStyle w:val="28"/>
              <w:bidi w:val="0"/>
            </w:pPr>
            <w:r>
              <w:t>1.7</w:t>
            </w:r>
          </w:p>
        </w:tc>
        <w:tc>
          <w:tcPr>
            <w:tcW w:w="209" w:type="pct"/>
            <w:vAlign w:val="center"/>
          </w:tcPr>
          <w:p w14:paraId="03C1E9F3">
            <w:pPr>
              <w:pStyle w:val="28"/>
              <w:bidi w:val="0"/>
            </w:pPr>
            <w:r>
              <w:t>达标</w:t>
            </w:r>
          </w:p>
        </w:tc>
      </w:tr>
      <w:tr w14:paraId="3BE3F90A">
        <w:tblPrEx>
          <w:tblCellMar>
            <w:top w:w="0" w:type="dxa"/>
            <w:left w:w="108" w:type="dxa"/>
            <w:bottom w:w="0" w:type="dxa"/>
            <w:right w:w="108" w:type="dxa"/>
          </w:tblCellMar>
        </w:tblPrEx>
        <w:trPr>
          <w:trHeight w:val="340" w:hRule="atLeast"/>
          <w:jc w:val="center"/>
        </w:trPr>
        <w:tc>
          <w:tcPr>
            <w:tcW w:w="685" w:type="pct"/>
            <w:vAlign w:val="center"/>
          </w:tcPr>
          <w:p w14:paraId="54ACCF07">
            <w:pPr>
              <w:pStyle w:val="28"/>
              <w:bidi w:val="0"/>
            </w:pPr>
            <w:r>
              <w:rPr>
                <w:rFonts w:hint="eastAsia"/>
              </w:rPr>
              <w:t>高场</w:t>
            </w:r>
          </w:p>
        </w:tc>
        <w:tc>
          <w:tcPr>
            <w:tcW w:w="511" w:type="pct"/>
            <w:vAlign w:val="center"/>
          </w:tcPr>
          <w:p w14:paraId="5B4B88A9">
            <w:pPr>
              <w:pStyle w:val="28"/>
              <w:bidi w:val="0"/>
            </w:pPr>
            <w:r>
              <w:rPr>
                <w:rFonts w:hint="eastAsia"/>
              </w:rPr>
              <w:t>高庄进水闸重建</w:t>
            </w:r>
          </w:p>
        </w:tc>
        <w:tc>
          <w:tcPr>
            <w:tcW w:w="366" w:type="pct"/>
            <w:vAlign w:val="center"/>
          </w:tcPr>
          <w:p w14:paraId="41570B9B">
            <w:pPr>
              <w:pStyle w:val="28"/>
              <w:bidi w:val="0"/>
            </w:pPr>
            <w:r>
              <w:t>135</w:t>
            </w:r>
          </w:p>
        </w:tc>
        <w:tc>
          <w:tcPr>
            <w:tcW w:w="268" w:type="pct"/>
            <w:vAlign w:val="center"/>
          </w:tcPr>
          <w:p w14:paraId="6CBE92A2">
            <w:pPr>
              <w:pStyle w:val="28"/>
              <w:bidi w:val="0"/>
            </w:pPr>
            <w:r>
              <w:rPr>
                <w:rFonts w:hint="eastAsia"/>
              </w:rPr>
              <w:t>左右岸</w:t>
            </w:r>
          </w:p>
        </w:tc>
        <w:tc>
          <w:tcPr>
            <w:tcW w:w="262" w:type="pct"/>
            <w:vAlign w:val="center"/>
          </w:tcPr>
          <w:p w14:paraId="00D68166">
            <w:pPr>
              <w:pStyle w:val="28"/>
              <w:bidi w:val="0"/>
            </w:pPr>
            <w:r>
              <w:t>1</w:t>
            </w:r>
            <w:r>
              <w:rPr>
                <w:rFonts w:hint="eastAsia"/>
              </w:rPr>
              <w:t>类</w:t>
            </w:r>
          </w:p>
        </w:tc>
        <w:tc>
          <w:tcPr>
            <w:tcW w:w="809" w:type="pct"/>
            <w:vMerge w:val="restart"/>
            <w:vAlign w:val="center"/>
          </w:tcPr>
          <w:p w14:paraId="2C489224">
            <w:pPr>
              <w:pStyle w:val="28"/>
              <w:bidi w:val="0"/>
            </w:pPr>
            <w:r>
              <w:rPr>
                <w:rFonts w:hint="eastAsia"/>
              </w:rPr>
              <w:t>采用低噪声设备，施工机械远离居民住宅</w:t>
            </w:r>
          </w:p>
        </w:tc>
        <w:tc>
          <w:tcPr>
            <w:tcW w:w="208" w:type="pct"/>
            <w:vAlign w:val="center"/>
          </w:tcPr>
          <w:p w14:paraId="6EF5C048">
            <w:pPr>
              <w:pStyle w:val="28"/>
              <w:bidi w:val="0"/>
            </w:pPr>
            <w:r>
              <w:t>53.1</w:t>
            </w:r>
          </w:p>
        </w:tc>
        <w:tc>
          <w:tcPr>
            <w:tcW w:w="211" w:type="pct"/>
            <w:vAlign w:val="center"/>
          </w:tcPr>
          <w:p w14:paraId="4D7C498D">
            <w:pPr>
              <w:pStyle w:val="28"/>
              <w:bidi w:val="0"/>
            </w:pPr>
            <w:r>
              <w:t>42.8</w:t>
            </w:r>
          </w:p>
        </w:tc>
        <w:tc>
          <w:tcPr>
            <w:tcW w:w="208" w:type="pct"/>
            <w:vAlign w:val="center"/>
          </w:tcPr>
          <w:p w14:paraId="68A68650">
            <w:pPr>
              <w:pStyle w:val="28"/>
              <w:bidi w:val="0"/>
            </w:pPr>
            <w:r>
              <w:t>55</w:t>
            </w:r>
          </w:p>
        </w:tc>
        <w:tc>
          <w:tcPr>
            <w:tcW w:w="211" w:type="pct"/>
            <w:vAlign w:val="center"/>
          </w:tcPr>
          <w:p w14:paraId="3179D6B0">
            <w:pPr>
              <w:pStyle w:val="28"/>
              <w:bidi w:val="0"/>
            </w:pPr>
            <w:r>
              <w:t>45</w:t>
            </w:r>
          </w:p>
        </w:tc>
        <w:tc>
          <w:tcPr>
            <w:tcW w:w="276" w:type="pct"/>
            <w:vAlign w:val="center"/>
          </w:tcPr>
          <w:p w14:paraId="5A6DDD6B">
            <w:pPr>
              <w:pStyle w:val="28"/>
              <w:bidi w:val="0"/>
            </w:pPr>
            <w:r>
              <w:t>50.6</w:t>
            </w:r>
          </w:p>
        </w:tc>
        <w:tc>
          <w:tcPr>
            <w:tcW w:w="257" w:type="pct"/>
            <w:vAlign w:val="center"/>
          </w:tcPr>
          <w:p w14:paraId="6EF72F65">
            <w:pPr>
              <w:pStyle w:val="28"/>
              <w:bidi w:val="0"/>
            </w:pPr>
            <w:r>
              <w:t>43.6</w:t>
            </w:r>
          </w:p>
        </w:tc>
        <w:tc>
          <w:tcPr>
            <w:tcW w:w="257" w:type="pct"/>
            <w:vAlign w:val="center"/>
          </w:tcPr>
          <w:p w14:paraId="7221B6EE">
            <w:pPr>
              <w:pStyle w:val="28"/>
              <w:bidi w:val="0"/>
            </w:pPr>
            <w:r>
              <w:t>53.6</w:t>
            </w:r>
          </w:p>
        </w:tc>
        <w:tc>
          <w:tcPr>
            <w:tcW w:w="257" w:type="pct"/>
            <w:vAlign w:val="center"/>
          </w:tcPr>
          <w:p w14:paraId="58F0DACF">
            <w:pPr>
              <w:pStyle w:val="28"/>
              <w:bidi w:val="0"/>
            </w:pPr>
            <w:r>
              <w:t>0.5</w:t>
            </w:r>
          </w:p>
        </w:tc>
        <w:tc>
          <w:tcPr>
            <w:tcW w:w="209" w:type="pct"/>
            <w:vAlign w:val="center"/>
          </w:tcPr>
          <w:p w14:paraId="1B1FCD99">
            <w:pPr>
              <w:pStyle w:val="28"/>
              <w:bidi w:val="0"/>
            </w:pPr>
            <w:r>
              <w:t>达标</w:t>
            </w:r>
          </w:p>
        </w:tc>
      </w:tr>
      <w:tr w14:paraId="3268B8CD">
        <w:tblPrEx>
          <w:tblCellMar>
            <w:top w:w="0" w:type="dxa"/>
            <w:left w:w="108" w:type="dxa"/>
            <w:bottom w:w="0" w:type="dxa"/>
            <w:right w:w="108" w:type="dxa"/>
          </w:tblCellMar>
        </w:tblPrEx>
        <w:trPr>
          <w:trHeight w:val="340" w:hRule="atLeast"/>
          <w:jc w:val="center"/>
        </w:trPr>
        <w:tc>
          <w:tcPr>
            <w:tcW w:w="685" w:type="pct"/>
            <w:vAlign w:val="center"/>
          </w:tcPr>
          <w:p w14:paraId="4CE3D51F">
            <w:pPr>
              <w:pStyle w:val="28"/>
              <w:bidi w:val="0"/>
            </w:pPr>
            <w:r>
              <w:rPr>
                <w:rFonts w:hint="eastAsia"/>
              </w:rPr>
              <w:t>王老围子</w:t>
            </w:r>
          </w:p>
        </w:tc>
        <w:tc>
          <w:tcPr>
            <w:tcW w:w="511" w:type="pct"/>
            <w:vAlign w:val="center"/>
          </w:tcPr>
          <w:p w14:paraId="556093DA">
            <w:pPr>
              <w:pStyle w:val="28"/>
              <w:bidi w:val="0"/>
            </w:pPr>
            <w:r>
              <w:rPr>
                <w:rFonts w:hint="eastAsia"/>
              </w:rPr>
              <w:t>高场涵重建</w:t>
            </w:r>
          </w:p>
        </w:tc>
        <w:tc>
          <w:tcPr>
            <w:tcW w:w="366" w:type="pct"/>
            <w:vAlign w:val="center"/>
          </w:tcPr>
          <w:p w14:paraId="3756B06A">
            <w:pPr>
              <w:pStyle w:val="28"/>
              <w:bidi w:val="0"/>
            </w:pPr>
            <w:r>
              <w:t>180</w:t>
            </w:r>
          </w:p>
        </w:tc>
        <w:tc>
          <w:tcPr>
            <w:tcW w:w="268" w:type="pct"/>
            <w:vAlign w:val="center"/>
          </w:tcPr>
          <w:p w14:paraId="09FF8516">
            <w:pPr>
              <w:pStyle w:val="28"/>
              <w:bidi w:val="0"/>
            </w:pPr>
            <w:r>
              <w:rPr>
                <w:rFonts w:hint="eastAsia"/>
              </w:rPr>
              <w:t>左右岸</w:t>
            </w:r>
          </w:p>
        </w:tc>
        <w:tc>
          <w:tcPr>
            <w:tcW w:w="262" w:type="pct"/>
            <w:vAlign w:val="center"/>
          </w:tcPr>
          <w:p w14:paraId="328A0A85">
            <w:pPr>
              <w:pStyle w:val="28"/>
              <w:bidi w:val="0"/>
            </w:pPr>
            <w:r>
              <w:t>1</w:t>
            </w:r>
            <w:r>
              <w:rPr>
                <w:rFonts w:hint="eastAsia"/>
              </w:rPr>
              <w:t>类</w:t>
            </w:r>
          </w:p>
        </w:tc>
        <w:tc>
          <w:tcPr>
            <w:tcW w:w="809" w:type="pct"/>
            <w:vMerge w:val="continue"/>
            <w:vAlign w:val="center"/>
          </w:tcPr>
          <w:p w14:paraId="04000307">
            <w:pPr>
              <w:pStyle w:val="28"/>
              <w:bidi w:val="0"/>
            </w:pPr>
          </w:p>
        </w:tc>
        <w:tc>
          <w:tcPr>
            <w:tcW w:w="208" w:type="pct"/>
            <w:vAlign w:val="center"/>
          </w:tcPr>
          <w:p w14:paraId="20062E26">
            <w:pPr>
              <w:pStyle w:val="28"/>
              <w:bidi w:val="0"/>
            </w:pPr>
            <w:r>
              <w:t>53.1</w:t>
            </w:r>
          </w:p>
        </w:tc>
        <w:tc>
          <w:tcPr>
            <w:tcW w:w="211" w:type="pct"/>
            <w:vAlign w:val="center"/>
          </w:tcPr>
          <w:p w14:paraId="271BDE29">
            <w:pPr>
              <w:pStyle w:val="28"/>
              <w:bidi w:val="0"/>
            </w:pPr>
            <w:r>
              <w:t>42.8</w:t>
            </w:r>
          </w:p>
        </w:tc>
        <w:tc>
          <w:tcPr>
            <w:tcW w:w="208" w:type="pct"/>
            <w:vAlign w:val="center"/>
          </w:tcPr>
          <w:p w14:paraId="3FCEAD97">
            <w:pPr>
              <w:pStyle w:val="28"/>
              <w:bidi w:val="0"/>
            </w:pPr>
            <w:r>
              <w:t>55</w:t>
            </w:r>
          </w:p>
        </w:tc>
        <w:tc>
          <w:tcPr>
            <w:tcW w:w="211" w:type="pct"/>
            <w:vAlign w:val="center"/>
          </w:tcPr>
          <w:p w14:paraId="5D953B7B">
            <w:pPr>
              <w:pStyle w:val="28"/>
              <w:bidi w:val="0"/>
            </w:pPr>
            <w:r>
              <w:t>45</w:t>
            </w:r>
          </w:p>
        </w:tc>
        <w:tc>
          <w:tcPr>
            <w:tcW w:w="276" w:type="pct"/>
            <w:vAlign w:val="center"/>
          </w:tcPr>
          <w:p w14:paraId="01B0AC40">
            <w:pPr>
              <w:pStyle w:val="28"/>
              <w:bidi w:val="0"/>
            </w:pPr>
            <w:r>
              <w:t>48.1</w:t>
            </w:r>
          </w:p>
        </w:tc>
        <w:tc>
          <w:tcPr>
            <w:tcW w:w="257" w:type="pct"/>
            <w:vAlign w:val="center"/>
          </w:tcPr>
          <w:p w14:paraId="592CFE32">
            <w:pPr>
              <w:pStyle w:val="28"/>
              <w:bidi w:val="0"/>
            </w:pPr>
            <w:r>
              <w:t>41.1</w:t>
            </w:r>
          </w:p>
        </w:tc>
        <w:tc>
          <w:tcPr>
            <w:tcW w:w="257" w:type="pct"/>
            <w:vAlign w:val="center"/>
          </w:tcPr>
          <w:p w14:paraId="1F0674FE">
            <w:pPr>
              <w:pStyle w:val="28"/>
              <w:bidi w:val="0"/>
            </w:pPr>
            <w:r>
              <w:t>53.4</w:t>
            </w:r>
          </w:p>
        </w:tc>
        <w:tc>
          <w:tcPr>
            <w:tcW w:w="257" w:type="pct"/>
            <w:vAlign w:val="center"/>
          </w:tcPr>
          <w:p w14:paraId="7E47026D">
            <w:pPr>
              <w:pStyle w:val="28"/>
              <w:bidi w:val="0"/>
            </w:pPr>
            <w:r>
              <w:t>0.3</w:t>
            </w:r>
          </w:p>
        </w:tc>
        <w:tc>
          <w:tcPr>
            <w:tcW w:w="209" w:type="pct"/>
            <w:vAlign w:val="center"/>
          </w:tcPr>
          <w:p w14:paraId="716A8B21">
            <w:pPr>
              <w:pStyle w:val="28"/>
              <w:bidi w:val="0"/>
            </w:pPr>
            <w:r>
              <w:t>达标</w:t>
            </w:r>
          </w:p>
        </w:tc>
      </w:tr>
      <w:tr w14:paraId="356A6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76E1CE1">
            <w:pPr>
              <w:pStyle w:val="28"/>
              <w:bidi w:val="0"/>
            </w:pPr>
            <w:r>
              <w:rPr>
                <w:rFonts w:hint="eastAsia"/>
              </w:rPr>
              <w:t>堰东</w:t>
            </w:r>
          </w:p>
        </w:tc>
        <w:tc>
          <w:tcPr>
            <w:tcW w:w="511" w:type="pct"/>
            <w:vAlign w:val="center"/>
          </w:tcPr>
          <w:p w14:paraId="24768AC1">
            <w:pPr>
              <w:pStyle w:val="28"/>
              <w:bidi w:val="0"/>
            </w:pPr>
            <w:r>
              <w:rPr>
                <w:rFonts w:hint="eastAsia"/>
              </w:rPr>
              <w:t>学塘涵重建</w:t>
            </w:r>
          </w:p>
        </w:tc>
        <w:tc>
          <w:tcPr>
            <w:tcW w:w="366" w:type="pct"/>
            <w:vAlign w:val="center"/>
          </w:tcPr>
          <w:p w14:paraId="66F40405">
            <w:pPr>
              <w:pStyle w:val="28"/>
              <w:bidi w:val="0"/>
            </w:pPr>
            <w:r>
              <w:t>56</w:t>
            </w:r>
          </w:p>
        </w:tc>
        <w:tc>
          <w:tcPr>
            <w:tcW w:w="268" w:type="pct"/>
            <w:vAlign w:val="center"/>
          </w:tcPr>
          <w:p w14:paraId="34CA18E4">
            <w:pPr>
              <w:pStyle w:val="28"/>
              <w:bidi w:val="0"/>
            </w:pPr>
            <w:r>
              <w:rPr>
                <w:rFonts w:hint="eastAsia"/>
              </w:rPr>
              <w:t>左岸</w:t>
            </w:r>
          </w:p>
        </w:tc>
        <w:tc>
          <w:tcPr>
            <w:tcW w:w="262" w:type="pct"/>
            <w:vAlign w:val="center"/>
          </w:tcPr>
          <w:p w14:paraId="018561DA">
            <w:pPr>
              <w:pStyle w:val="28"/>
              <w:bidi w:val="0"/>
            </w:pPr>
            <w:r>
              <w:t>1</w:t>
            </w:r>
            <w:r>
              <w:rPr>
                <w:rFonts w:hint="eastAsia"/>
              </w:rPr>
              <w:t>类</w:t>
            </w:r>
          </w:p>
        </w:tc>
        <w:tc>
          <w:tcPr>
            <w:tcW w:w="809" w:type="pct"/>
            <w:vMerge w:val="continue"/>
            <w:vAlign w:val="center"/>
          </w:tcPr>
          <w:p w14:paraId="12FE6EA8">
            <w:pPr>
              <w:pStyle w:val="28"/>
              <w:bidi w:val="0"/>
            </w:pPr>
          </w:p>
        </w:tc>
        <w:tc>
          <w:tcPr>
            <w:tcW w:w="208" w:type="pct"/>
            <w:vAlign w:val="center"/>
          </w:tcPr>
          <w:p w14:paraId="63C076F9">
            <w:pPr>
              <w:pStyle w:val="28"/>
              <w:bidi w:val="0"/>
            </w:pPr>
            <w:r>
              <w:t>53.1</w:t>
            </w:r>
          </w:p>
        </w:tc>
        <w:tc>
          <w:tcPr>
            <w:tcW w:w="211" w:type="pct"/>
            <w:vAlign w:val="center"/>
          </w:tcPr>
          <w:p w14:paraId="0E168E8D">
            <w:pPr>
              <w:pStyle w:val="28"/>
              <w:bidi w:val="0"/>
            </w:pPr>
            <w:r>
              <w:t>42.8</w:t>
            </w:r>
          </w:p>
        </w:tc>
        <w:tc>
          <w:tcPr>
            <w:tcW w:w="208" w:type="pct"/>
            <w:vAlign w:val="center"/>
          </w:tcPr>
          <w:p w14:paraId="1AE23F47">
            <w:pPr>
              <w:pStyle w:val="28"/>
              <w:bidi w:val="0"/>
            </w:pPr>
            <w:r>
              <w:t>55</w:t>
            </w:r>
          </w:p>
        </w:tc>
        <w:tc>
          <w:tcPr>
            <w:tcW w:w="211" w:type="pct"/>
            <w:vAlign w:val="center"/>
          </w:tcPr>
          <w:p w14:paraId="140E0D4C">
            <w:pPr>
              <w:pStyle w:val="28"/>
              <w:bidi w:val="0"/>
            </w:pPr>
            <w:r>
              <w:t>45</w:t>
            </w:r>
          </w:p>
        </w:tc>
        <w:tc>
          <w:tcPr>
            <w:tcW w:w="276" w:type="pct"/>
            <w:vAlign w:val="center"/>
          </w:tcPr>
          <w:p w14:paraId="3831FEB1">
            <w:pPr>
              <w:pStyle w:val="28"/>
              <w:bidi w:val="0"/>
            </w:pPr>
            <w:r>
              <w:t>58.2</w:t>
            </w:r>
          </w:p>
        </w:tc>
        <w:tc>
          <w:tcPr>
            <w:tcW w:w="257" w:type="pct"/>
            <w:vAlign w:val="center"/>
          </w:tcPr>
          <w:p w14:paraId="63719383">
            <w:pPr>
              <w:pStyle w:val="28"/>
              <w:bidi w:val="0"/>
            </w:pPr>
            <w:r>
              <w:t>50.2</w:t>
            </w:r>
          </w:p>
        </w:tc>
        <w:tc>
          <w:tcPr>
            <w:tcW w:w="257" w:type="pct"/>
            <w:vAlign w:val="center"/>
          </w:tcPr>
          <w:p w14:paraId="30CB180C">
            <w:pPr>
              <w:pStyle w:val="28"/>
              <w:bidi w:val="0"/>
            </w:pPr>
            <w:r>
              <w:t>54.9</w:t>
            </w:r>
          </w:p>
        </w:tc>
        <w:tc>
          <w:tcPr>
            <w:tcW w:w="257" w:type="pct"/>
            <w:vAlign w:val="center"/>
          </w:tcPr>
          <w:p w14:paraId="5D7AC46D">
            <w:pPr>
              <w:pStyle w:val="28"/>
              <w:bidi w:val="0"/>
            </w:pPr>
            <w:r>
              <w:t>1.8</w:t>
            </w:r>
          </w:p>
        </w:tc>
        <w:tc>
          <w:tcPr>
            <w:tcW w:w="209" w:type="pct"/>
            <w:vAlign w:val="center"/>
          </w:tcPr>
          <w:p w14:paraId="30BF6FB9">
            <w:pPr>
              <w:pStyle w:val="28"/>
              <w:bidi w:val="0"/>
            </w:pPr>
            <w:r>
              <w:t>达标</w:t>
            </w:r>
          </w:p>
        </w:tc>
      </w:tr>
      <w:tr w14:paraId="1E22AE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CCA8E28">
            <w:pPr>
              <w:pStyle w:val="28"/>
              <w:bidi w:val="0"/>
            </w:pPr>
            <w:r>
              <w:rPr>
                <w:rFonts w:hint="eastAsia"/>
              </w:rPr>
              <w:t>北庄子</w:t>
            </w:r>
          </w:p>
        </w:tc>
        <w:tc>
          <w:tcPr>
            <w:tcW w:w="511" w:type="pct"/>
            <w:vAlign w:val="center"/>
          </w:tcPr>
          <w:p w14:paraId="110670E1">
            <w:pPr>
              <w:pStyle w:val="28"/>
              <w:bidi w:val="0"/>
            </w:pPr>
            <w:r>
              <w:rPr>
                <w:rFonts w:hint="eastAsia"/>
              </w:rPr>
              <w:t>堰头涵重建</w:t>
            </w:r>
          </w:p>
        </w:tc>
        <w:tc>
          <w:tcPr>
            <w:tcW w:w="366" w:type="pct"/>
            <w:vAlign w:val="center"/>
          </w:tcPr>
          <w:p w14:paraId="2690F4C0">
            <w:pPr>
              <w:pStyle w:val="28"/>
              <w:bidi w:val="0"/>
            </w:pPr>
            <w:r>
              <w:t>26</w:t>
            </w:r>
          </w:p>
        </w:tc>
        <w:tc>
          <w:tcPr>
            <w:tcW w:w="268" w:type="pct"/>
            <w:vAlign w:val="center"/>
          </w:tcPr>
          <w:p w14:paraId="7CDC1779">
            <w:pPr>
              <w:pStyle w:val="28"/>
              <w:bidi w:val="0"/>
            </w:pPr>
            <w:r>
              <w:rPr>
                <w:rFonts w:hint="eastAsia"/>
              </w:rPr>
              <w:t>左岸</w:t>
            </w:r>
          </w:p>
        </w:tc>
        <w:tc>
          <w:tcPr>
            <w:tcW w:w="262" w:type="pct"/>
            <w:vAlign w:val="center"/>
          </w:tcPr>
          <w:p w14:paraId="5EB5AA8F">
            <w:pPr>
              <w:pStyle w:val="28"/>
              <w:bidi w:val="0"/>
            </w:pPr>
            <w:r>
              <w:t>1</w:t>
            </w:r>
            <w:r>
              <w:rPr>
                <w:rFonts w:hint="eastAsia"/>
              </w:rPr>
              <w:t>类</w:t>
            </w:r>
          </w:p>
        </w:tc>
        <w:tc>
          <w:tcPr>
            <w:tcW w:w="809" w:type="pct"/>
            <w:vAlign w:val="center"/>
          </w:tcPr>
          <w:p w14:paraId="7902B45A">
            <w:pPr>
              <w:pStyle w:val="28"/>
              <w:bidi w:val="0"/>
            </w:pPr>
            <w:r>
              <w:rPr>
                <w:rFonts w:hint="eastAsia"/>
              </w:rPr>
              <w:t>采用低噪声设备，施工机械远离居民住宅，设置双层移动声屏障</w:t>
            </w:r>
          </w:p>
        </w:tc>
        <w:tc>
          <w:tcPr>
            <w:tcW w:w="208" w:type="pct"/>
            <w:vAlign w:val="center"/>
          </w:tcPr>
          <w:p w14:paraId="1099A5AC">
            <w:pPr>
              <w:pStyle w:val="28"/>
              <w:bidi w:val="0"/>
            </w:pPr>
            <w:r>
              <w:t>53.1</w:t>
            </w:r>
          </w:p>
        </w:tc>
        <w:tc>
          <w:tcPr>
            <w:tcW w:w="211" w:type="pct"/>
            <w:vAlign w:val="center"/>
          </w:tcPr>
          <w:p w14:paraId="46C0DA9A">
            <w:pPr>
              <w:pStyle w:val="28"/>
              <w:bidi w:val="0"/>
            </w:pPr>
            <w:r>
              <w:t>42.8</w:t>
            </w:r>
          </w:p>
        </w:tc>
        <w:tc>
          <w:tcPr>
            <w:tcW w:w="208" w:type="pct"/>
            <w:vAlign w:val="center"/>
          </w:tcPr>
          <w:p w14:paraId="7F9E6F33">
            <w:pPr>
              <w:pStyle w:val="28"/>
              <w:bidi w:val="0"/>
            </w:pPr>
            <w:r>
              <w:t>55</w:t>
            </w:r>
          </w:p>
        </w:tc>
        <w:tc>
          <w:tcPr>
            <w:tcW w:w="211" w:type="pct"/>
            <w:vAlign w:val="center"/>
          </w:tcPr>
          <w:p w14:paraId="1713A30C">
            <w:pPr>
              <w:pStyle w:val="28"/>
              <w:bidi w:val="0"/>
            </w:pPr>
            <w:r>
              <w:t>45</w:t>
            </w:r>
          </w:p>
        </w:tc>
        <w:tc>
          <w:tcPr>
            <w:tcW w:w="276" w:type="pct"/>
            <w:vAlign w:val="center"/>
          </w:tcPr>
          <w:p w14:paraId="25A58ABD">
            <w:pPr>
              <w:pStyle w:val="28"/>
              <w:bidi w:val="0"/>
            </w:pPr>
            <w:r>
              <w:t>64.9</w:t>
            </w:r>
          </w:p>
        </w:tc>
        <w:tc>
          <w:tcPr>
            <w:tcW w:w="257" w:type="pct"/>
            <w:vAlign w:val="center"/>
          </w:tcPr>
          <w:p w14:paraId="1047BAE2">
            <w:pPr>
              <w:pStyle w:val="28"/>
              <w:bidi w:val="0"/>
            </w:pPr>
            <w:r>
              <w:t>44.9</w:t>
            </w:r>
          </w:p>
        </w:tc>
        <w:tc>
          <w:tcPr>
            <w:tcW w:w="257" w:type="pct"/>
            <w:vAlign w:val="center"/>
          </w:tcPr>
          <w:p w14:paraId="3D2FC128">
            <w:pPr>
              <w:pStyle w:val="28"/>
              <w:bidi w:val="0"/>
            </w:pPr>
            <w:r>
              <w:t>53.7</w:t>
            </w:r>
          </w:p>
        </w:tc>
        <w:tc>
          <w:tcPr>
            <w:tcW w:w="257" w:type="pct"/>
            <w:vAlign w:val="center"/>
          </w:tcPr>
          <w:p w14:paraId="5D2F6FC2">
            <w:pPr>
              <w:pStyle w:val="28"/>
              <w:bidi w:val="0"/>
            </w:pPr>
            <w:r>
              <w:t>0.6</w:t>
            </w:r>
          </w:p>
        </w:tc>
        <w:tc>
          <w:tcPr>
            <w:tcW w:w="209" w:type="pct"/>
            <w:vAlign w:val="center"/>
          </w:tcPr>
          <w:p w14:paraId="78CB91B4">
            <w:pPr>
              <w:pStyle w:val="28"/>
              <w:bidi w:val="0"/>
            </w:pPr>
            <w:r>
              <w:t>达标</w:t>
            </w:r>
          </w:p>
        </w:tc>
      </w:tr>
      <w:tr w14:paraId="3B4CF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A5A6D96">
            <w:pPr>
              <w:pStyle w:val="28"/>
              <w:bidi w:val="0"/>
            </w:pPr>
            <w:r>
              <w:rPr>
                <w:rFonts w:hint="eastAsia"/>
              </w:rPr>
              <w:t>白楼村</w:t>
            </w:r>
          </w:p>
        </w:tc>
        <w:tc>
          <w:tcPr>
            <w:tcW w:w="511" w:type="pct"/>
            <w:vAlign w:val="center"/>
          </w:tcPr>
          <w:p w14:paraId="0964965E">
            <w:pPr>
              <w:pStyle w:val="28"/>
              <w:bidi w:val="0"/>
            </w:pPr>
            <w:r>
              <w:rPr>
                <w:rFonts w:hint="eastAsia"/>
              </w:rPr>
              <w:t>老鼠尾巴交通桥新建</w:t>
            </w:r>
          </w:p>
        </w:tc>
        <w:tc>
          <w:tcPr>
            <w:tcW w:w="366" w:type="pct"/>
            <w:vAlign w:val="center"/>
          </w:tcPr>
          <w:p w14:paraId="42A42E45">
            <w:pPr>
              <w:pStyle w:val="28"/>
              <w:bidi w:val="0"/>
            </w:pPr>
            <w:r>
              <w:t>154</w:t>
            </w:r>
          </w:p>
        </w:tc>
        <w:tc>
          <w:tcPr>
            <w:tcW w:w="268" w:type="pct"/>
            <w:vAlign w:val="center"/>
          </w:tcPr>
          <w:p w14:paraId="2F144300">
            <w:pPr>
              <w:pStyle w:val="28"/>
              <w:bidi w:val="0"/>
            </w:pPr>
            <w:r>
              <w:rPr>
                <w:rFonts w:hint="eastAsia"/>
              </w:rPr>
              <w:t>右岸</w:t>
            </w:r>
          </w:p>
        </w:tc>
        <w:tc>
          <w:tcPr>
            <w:tcW w:w="262" w:type="pct"/>
            <w:vAlign w:val="center"/>
          </w:tcPr>
          <w:p w14:paraId="7BEE98B4">
            <w:pPr>
              <w:pStyle w:val="28"/>
              <w:bidi w:val="0"/>
            </w:pPr>
            <w:r>
              <w:t>1</w:t>
            </w:r>
            <w:r>
              <w:rPr>
                <w:rFonts w:hint="eastAsia"/>
              </w:rPr>
              <w:t>类</w:t>
            </w:r>
          </w:p>
        </w:tc>
        <w:tc>
          <w:tcPr>
            <w:tcW w:w="809" w:type="pct"/>
            <w:vMerge w:val="restart"/>
            <w:vAlign w:val="center"/>
          </w:tcPr>
          <w:p w14:paraId="07F43221">
            <w:pPr>
              <w:pStyle w:val="28"/>
              <w:bidi w:val="0"/>
            </w:pPr>
            <w:r>
              <w:rPr>
                <w:rFonts w:hint="eastAsia"/>
              </w:rPr>
              <w:t>采用低噪声设备，施工机械远离居民住宅</w:t>
            </w:r>
          </w:p>
        </w:tc>
        <w:tc>
          <w:tcPr>
            <w:tcW w:w="208" w:type="pct"/>
            <w:vAlign w:val="center"/>
          </w:tcPr>
          <w:p w14:paraId="27F26DE5">
            <w:pPr>
              <w:pStyle w:val="28"/>
              <w:bidi w:val="0"/>
            </w:pPr>
            <w:r>
              <w:t>53.1</w:t>
            </w:r>
          </w:p>
        </w:tc>
        <w:tc>
          <w:tcPr>
            <w:tcW w:w="211" w:type="pct"/>
            <w:vAlign w:val="center"/>
          </w:tcPr>
          <w:p w14:paraId="351584AA">
            <w:pPr>
              <w:pStyle w:val="28"/>
              <w:bidi w:val="0"/>
            </w:pPr>
            <w:r>
              <w:t>42.8</w:t>
            </w:r>
          </w:p>
        </w:tc>
        <w:tc>
          <w:tcPr>
            <w:tcW w:w="208" w:type="pct"/>
            <w:vAlign w:val="center"/>
          </w:tcPr>
          <w:p w14:paraId="687EE156">
            <w:pPr>
              <w:pStyle w:val="28"/>
              <w:bidi w:val="0"/>
            </w:pPr>
            <w:r>
              <w:t>55</w:t>
            </w:r>
          </w:p>
        </w:tc>
        <w:tc>
          <w:tcPr>
            <w:tcW w:w="211" w:type="pct"/>
            <w:vAlign w:val="center"/>
          </w:tcPr>
          <w:p w14:paraId="6F7B615A">
            <w:pPr>
              <w:pStyle w:val="28"/>
              <w:bidi w:val="0"/>
            </w:pPr>
            <w:r>
              <w:t>45</w:t>
            </w:r>
          </w:p>
        </w:tc>
        <w:tc>
          <w:tcPr>
            <w:tcW w:w="276" w:type="pct"/>
            <w:vAlign w:val="center"/>
          </w:tcPr>
          <w:p w14:paraId="197CEB96">
            <w:pPr>
              <w:pStyle w:val="28"/>
              <w:bidi w:val="0"/>
            </w:pPr>
            <w:r>
              <w:t>49.5</w:t>
            </w:r>
          </w:p>
        </w:tc>
        <w:tc>
          <w:tcPr>
            <w:tcW w:w="257" w:type="pct"/>
            <w:vAlign w:val="center"/>
          </w:tcPr>
          <w:p w14:paraId="4EE65123">
            <w:pPr>
              <w:pStyle w:val="28"/>
              <w:bidi w:val="0"/>
            </w:pPr>
            <w:r>
              <w:t>42.5</w:t>
            </w:r>
          </w:p>
        </w:tc>
        <w:tc>
          <w:tcPr>
            <w:tcW w:w="257" w:type="pct"/>
            <w:vAlign w:val="center"/>
          </w:tcPr>
          <w:p w14:paraId="385C2F0F">
            <w:pPr>
              <w:pStyle w:val="28"/>
              <w:bidi w:val="0"/>
            </w:pPr>
            <w:r>
              <w:t>53.5</w:t>
            </w:r>
          </w:p>
        </w:tc>
        <w:tc>
          <w:tcPr>
            <w:tcW w:w="257" w:type="pct"/>
            <w:vAlign w:val="center"/>
          </w:tcPr>
          <w:p w14:paraId="7F17F435">
            <w:pPr>
              <w:pStyle w:val="28"/>
              <w:bidi w:val="0"/>
            </w:pPr>
            <w:r>
              <w:t>0.4</w:t>
            </w:r>
          </w:p>
        </w:tc>
        <w:tc>
          <w:tcPr>
            <w:tcW w:w="209" w:type="pct"/>
            <w:vAlign w:val="center"/>
          </w:tcPr>
          <w:p w14:paraId="1F0E446B">
            <w:pPr>
              <w:pStyle w:val="28"/>
              <w:bidi w:val="0"/>
            </w:pPr>
            <w:r>
              <w:t>达标</w:t>
            </w:r>
          </w:p>
        </w:tc>
      </w:tr>
      <w:tr w14:paraId="4E75E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83718DB">
            <w:pPr>
              <w:pStyle w:val="28"/>
              <w:bidi w:val="0"/>
            </w:pPr>
            <w:r>
              <w:rPr>
                <w:rFonts w:hint="eastAsia"/>
              </w:rPr>
              <w:t>陈高庄</w:t>
            </w:r>
          </w:p>
        </w:tc>
        <w:tc>
          <w:tcPr>
            <w:tcW w:w="511" w:type="pct"/>
            <w:vAlign w:val="center"/>
          </w:tcPr>
          <w:p w14:paraId="2D138951">
            <w:pPr>
              <w:pStyle w:val="28"/>
              <w:bidi w:val="0"/>
            </w:pPr>
            <w:r>
              <w:rPr>
                <w:rFonts w:hint="eastAsia"/>
              </w:rPr>
              <w:t>滑坡治理</w:t>
            </w:r>
          </w:p>
        </w:tc>
        <w:tc>
          <w:tcPr>
            <w:tcW w:w="366" w:type="pct"/>
            <w:vAlign w:val="center"/>
          </w:tcPr>
          <w:p w14:paraId="41EE048A">
            <w:pPr>
              <w:pStyle w:val="28"/>
              <w:bidi w:val="0"/>
            </w:pPr>
            <w:r>
              <w:t>127</w:t>
            </w:r>
          </w:p>
        </w:tc>
        <w:tc>
          <w:tcPr>
            <w:tcW w:w="268" w:type="pct"/>
            <w:vAlign w:val="center"/>
          </w:tcPr>
          <w:p w14:paraId="4720578B">
            <w:pPr>
              <w:pStyle w:val="28"/>
              <w:bidi w:val="0"/>
            </w:pPr>
            <w:r>
              <w:rPr>
                <w:rFonts w:hint="eastAsia"/>
              </w:rPr>
              <w:t>左岸</w:t>
            </w:r>
          </w:p>
        </w:tc>
        <w:tc>
          <w:tcPr>
            <w:tcW w:w="262" w:type="pct"/>
            <w:vAlign w:val="center"/>
          </w:tcPr>
          <w:p w14:paraId="2C52D21D">
            <w:pPr>
              <w:pStyle w:val="28"/>
              <w:bidi w:val="0"/>
            </w:pPr>
            <w:r>
              <w:t>1</w:t>
            </w:r>
            <w:r>
              <w:rPr>
                <w:rFonts w:hint="eastAsia"/>
              </w:rPr>
              <w:t>类</w:t>
            </w:r>
          </w:p>
        </w:tc>
        <w:tc>
          <w:tcPr>
            <w:tcW w:w="809" w:type="pct"/>
            <w:vMerge w:val="continue"/>
            <w:vAlign w:val="center"/>
          </w:tcPr>
          <w:p w14:paraId="374E9182">
            <w:pPr>
              <w:pStyle w:val="28"/>
              <w:bidi w:val="0"/>
            </w:pPr>
          </w:p>
        </w:tc>
        <w:tc>
          <w:tcPr>
            <w:tcW w:w="208" w:type="pct"/>
            <w:vAlign w:val="center"/>
          </w:tcPr>
          <w:p w14:paraId="30D6CD6E">
            <w:pPr>
              <w:pStyle w:val="28"/>
              <w:bidi w:val="0"/>
            </w:pPr>
            <w:r>
              <w:t>53.1</w:t>
            </w:r>
          </w:p>
        </w:tc>
        <w:tc>
          <w:tcPr>
            <w:tcW w:w="211" w:type="pct"/>
            <w:vAlign w:val="center"/>
          </w:tcPr>
          <w:p w14:paraId="383BC525">
            <w:pPr>
              <w:pStyle w:val="28"/>
              <w:bidi w:val="0"/>
            </w:pPr>
            <w:r>
              <w:t>42.8</w:t>
            </w:r>
          </w:p>
        </w:tc>
        <w:tc>
          <w:tcPr>
            <w:tcW w:w="208" w:type="pct"/>
            <w:vAlign w:val="center"/>
          </w:tcPr>
          <w:p w14:paraId="674E8E8B">
            <w:pPr>
              <w:pStyle w:val="28"/>
              <w:bidi w:val="0"/>
            </w:pPr>
            <w:r>
              <w:t>55</w:t>
            </w:r>
          </w:p>
        </w:tc>
        <w:tc>
          <w:tcPr>
            <w:tcW w:w="211" w:type="pct"/>
            <w:vAlign w:val="center"/>
          </w:tcPr>
          <w:p w14:paraId="58EE4A7B">
            <w:pPr>
              <w:pStyle w:val="28"/>
              <w:bidi w:val="0"/>
            </w:pPr>
            <w:r>
              <w:t>45</w:t>
            </w:r>
          </w:p>
        </w:tc>
        <w:tc>
          <w:tcPr>
            <w:tcW w:w="276" w:type="pct"/>
            <w:vAlign w:val="center"/>
          </w:tcPr>
          <w:p w14:paraId="5FDCEE57">
            <w:pPr>
              <w:pStyle w:val="28"/>
              <w:bidi w:val="0"/>
            </w:pPr>
            <w:r>
              <w:t>45.5</w:t>
            </w:r>
          </w:p>
        </w:tc>
        <w:tc>
          <w:tcPr>
            <w:tcW w:w="257" w:type="pct"/>
            <w:vAlign w:val="center"/>
          </w:tcPr>
          <w:p w14:paraId="1AC8B513">
            <w:pPr>
              <w:pStyle w:val="28"/>
              <w:bidi w:val="0"/>
            </w:pPr>
            <w:r>
              <w:t>38.5</w:t>
            </w:r>
          </w:p>
        </w:tc>
        <w:tc>
          <w:tcPr>
            <w:tcW w:w="257" w:type="pct"/>
            <w:vAlign w:val="center"/>
          </w:tcPr>
          <w:p w14:paraId="3F603E95">
            <w:pPr>
              <w:pStyle w:val="28"/>
              <w:bidi w:val="0"/>
            </w:pPr>
            <w:r>
              <w:t>53.2</w:t>
            </w:r>
          </w:p>
        </w:tc>
        <w:tc>
          <w:tcPr>
            <w:tcW w:w="257" w:type="pct"/>
            <w:vAlign w:val="center"/>
          </w:tcPr>
          <w:p w14:paraId="4067B4FC">
            <w:pPr>
              <w:pStyle w:val="28"/>
              <w:bidi w:val="0"/>
            </w:pPr>
            <w:r>
              <w:t>0.1</w:t>
            </w:r>
          </w:p>
        </w:tc>
        <w:tc>
          <w:tcPr>
            <w:tcW w:w="209" w:type="pct"/>
            <w:vAlign w:val="center"/>
          </w:tcPr>
          <w:p w14:paraId="40DF9716">
            <w:pPr>
              <w:pStyle w:val="28"/>
              <w:bidi w:val="0"/>
            </w:pPr>
            <w:r>
              <w:t>达标</w:t>
            </w:r>
          </w:p>
        </w:tc>
      </w:tr>
      <w:tr w14:paraId="3107A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8649953">
            <w:pPr>
              <w:pStyle w:val="28"/>
              <w:bidi w:val="0"/>
            </w:pPr>
            <w:r>
              <w:rPr>
                <w:rFonts w:hint="eastAsia"/>
              </w:rPr>
              <w:t>贾大庄</w:t>
            </w:r>
          </w:p>
        </w:tc>
        <w:tc>
          <w:tcPr>
            <w:tcW w:w="511" w:type="pct"/>
            <w:vAlign w:val="center"/>
          </w:tcPr>
          <w:p w14:paraId="34AD596C">
            <w:pPr>
              <w:pStyle w:val="28"/>
              <w:bidi w:val="0"/>
            </w:pPr>
            <w:r>
              <w:rPr>
                <w:rFonts w:hint="eastAsia"/>
              </w:rPr>
              <w:t>进水闸重建</w:t>
            </w:r>
          </w:p>
        </w:tc>
        <w:tc>
          <w:tcPr>
            <w:tcW w:w="366" w:type="pct"/>
            <w:vAlign w:val="center"/>
          </w:tcPr>
          <w:p w14:paraId="06678641">
            <w:pPr>
              <w:pStyle w:val="28"/>
              <w:bidi w:val="0"/>
            </w:pPr>
            <w:r>
              <w:t>440</w:t>
            </w:r>
          </w:p>
        </w:tc>
        <w:tc>
          <w:tcPr>
            <w:tcW w:w="268" w:type="pct"/>
            <w:vAlign w:val="center"/>
          </w:tcPr>
          <w:p w14:paraId="69549B03">
            <w:pPr>
              <w:pStyle w:val="28"/>
              <w:bidi w:val="0"/>
            </w:pPr>
            <w:r>
              <w:rPr>
                <w:rFonts w:hint="eastAsia"/>
              </w:rPr>
              <w:t>左岸</w:t>
            </w:r>
          </w:p>
        </w:tc>
        <w:tc>
          <w:tcPr>
            <w:tcW w:w="262" w:type="pct"/>
            <w:vAlign w:val="center"/>
          </w:tcPr>
          <w:p w14:paraId="659B6B96">
            <w:pPr>
              <w:pStyle w:val="28"/>
              <w:bidi w:val="0"/>
            </w:pPr>
            <w:r>
              <w:t>1</w:t>
            </w:r>
            <w:r>
              <w:rPr>
                <w:rFonts w:hint="eastAsia"/>
              </w:rPr>
              <w:t>类</w:t>
            </w:r>
          </w:p>
        </w:tc>
        <w:tc>
          <w:tcPr>
            <w:tcW w:w="809" w:type="pct"/>
            <w:vMerge w:val="continue"/>
            <w:vAlign w:val="center"/>
          </w:tcPr>
          <w:p w14:paraId="10E72FA6">
            <w:pPr>
              <w:pStyle w:val="28"/>
              <w:bidi w:val="0"/>
            </w:pPr>
          </w:p>
        </w:tc>
        <w:tc>
          <w:tcPr>
            <w:tcW w:w="208" w:type="pct"/>
            <w:vAlign w:val="center"/>
          </w:tcPr>
          <w:p w14:paraId="51B67786">
            <w:pPr>
              <w:pStyle w:val="28"/>
              <w:bidi w:val="0"/>
            </w:pPr>
            <w:r>
              <w:t>53.2</w:t>
            </w:r>
          </w:p>
        </w:tc>
        <w:tc>
          <w:tcPr>
            <w:tcW w:w="211" w:type="pct"/>
            <w:vAlign w:val="center"/>
          </w:tcPr>
          <w:p w14:paraId="25DA9EBC">
            <w:pPr>
              <w:pStyle w:val="28"/>
              <w:bidi w:val="0"/>
            </w:pPr>
            <w:r>
              <w:t>42.6</w:t>
            </w:r>
          </w:p>
        </w:tc>
        <w:tc>
          <w:tcPr>
            <w:tcW w:w="208" w:type="pct"/>
            <w:vAlign w:val="center"/>
          </w:tcPr>
          <w:p w14:paraId="60EC71B7">
            <w:pPr>
              <w:pStyle w:val="28"/>
              <w:bidi w:val="0"/>
            </w:pPr>
            <w:r>
              <w:t>55</w:t>
            </w:r>
          </w:p>
        </w:tc>
        <w:tc>
          <w:tcPr>
            <w:tcW w:w="211" w:type="pct"/>
            <w:vAlign w:val="center"/>
          </w:tcPr>
          <w:p w14:paraId="6EA962D3">
            <w:pPr>
              <w:pStyle w:val="28"/>
              <w:bidi w:val="0"/>
            </w:pPr>
            <w:r>
              <w:t>45</w:t>
            </w:r>
          </w:p>
        </w:tc>
        <w:tc>
          <w:tcPr>
            <w:tcW w:w="276" w:type="pct"/>
            <w:vAlign w:val="center"/>
          </w:tcPr>
          <w:p w14:paraId="23CC9826">
            <w:pPr>
              <w:pStyle w:val="28"/>
              <w:bidi w:val="0"/>
            </w:pPr>
            <w:r>
              <w:t>40.3</w:t>
            </w:r>
          </w:p>
        </w:tc>
        <w:tc>
          <w:tcPr>
            <w:tcW w:w="257" w:type="pct"/>
            <w:vAlign w:val="center"/>
          </w:tcPr>
          <w:p w14:paraId="758A398C">
            <w:pPr>
              <w:pStyle w:val="28"/>
              <w:bidi w:val="0"/>
            </w:pPr>
            <w:r>
              <w:t>33.3</w:t>
            </w:r>
          </w:p>
        </w:tc>
        <w:tc>
          <w:tcPr>
            <w:tcW w:w="257" w:type="pct"/>
            <w:vAlign w:val="center"/>
          </w:tcPr>
          <w:p w14:paraId="5A2A8297">
            <w:pPr>
              <w:pStyle w:val="28"/>
              <w:bidi w:val="0"/>
            </w:pPr>
            <w:r>
              <w:t>53.2</w:t>
            </w:r>
          </w:p>
        </w:tc>
        <w:tc>
          <w:tcPr>
            <w:tcW w:w="257" w:type="pct"/>
            <w:vAlign w:val="center"/>
          </w:tcPr>
          <w:p w14:paraId="4292CEB1">
            <w:pPr>
              <w:pStyle w:val="28"/>
              <w:bidi w:val="0"/>
            </w:pPr>
            <w:r>
              <w:t>0.0</w:t>
            </w:r>
          </w:p>
        </w:tc>
        <w:tc>
          <w:tcPr>
            <w:tcW w:w="209" w:type="pct"/>
            <w:vAlign w:val="center"/>
          </w:tcPr>
          <w:p w14:paraId="58D28AC7">
            <w:pPr>
              <w:pStyle w:val="28"/>
              <w:bidi w:val="0"/>
            </w:pPr>
            <w:r>
              <w:t>达标</w:t>
            </w:r>
          </w:p>
        </w:tc>
      </w:tr>
      <w:tr w14:paraId="1A34E2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E317029">
            <w:pPr>
              <w:pStyle w:val="28"/>
              <w:bidi w:val="0"/>
            </w:pPr>
            <w:r>
              <w:rPr>
                <w:rFonts w:hint="eastAsia"/>
              </w:rPr>
              <w:t>杨粉坊</w:t>
            </w:r>
          </w:p>
        </w:tc>
        <w:tc>
          <w:tcPr>
            <w:tcW w:w="511" w:type="pct"/>
            <w:vAlign w:val="center"/>
          </w:tcPr>
          <w:p w14:paraId="73A3A173">
            <w:pPr>
              <w:pStyle w:val="28"/>
              <w:bidi w:val="0"/>
            </w:pPr>
            <w:r>
              <w:rPr>
                <w:rFonts w:hint="eastAsia"/>
              </w:rPr>
              <w:t>放水涵重建</w:t>
            </w:r>
          </w:p>
        </w:tc>
        <w:tc>
          <w:tcPr>
            <w:tcW w:w="366" w:type="pct"/>
            <w:vAlign w:val="center"/>
          </w:tcPr>
          <w:p w14:paraId="4F65FDBB">
            <w:pPr>
              <w:pStyle w:val="28"/>
              <w:bidi w:val="0"/>
            </w:pPr>
            <w:r>
              <w:t>156</w:t>
            </w:r>
          </w:p>
        </w:tc>
        <w:tc>
          <w:tcPr>
            <w:tcW w:w="268" w:type="pct"/>
            <w:vAlign w:val="center"/>
          </w:tcPr>
          <w:p w14:paraId="3119B855">
            <w:pPr>
              <w:pStyle w:val="28"/>
              <w:bidi w:val="0"/>
            </w:pPr>
            <w:r>
              <w:rPr>
                <w:rFonts w:hint="eastAsia"/>
              </w:rPr>
              <w:t>右岸</w:t>
            </w:r>
          </w:p>
        </w:tc>
        <w:tc>
          <w:tcPr>
            <w:tcW w:w="262" w:type="pct"/>
            <w:vAlign w:val="center"/>
          </w:tcPr>
          <w:p w14:paraId="0E58CEA9">
            <w:pPr>
              <w:pStyle w:val="28"/>
              <w:bidi w:val="0"/>
            </w:pPr>
            <w:r>
              <w:t>1</w:t>
            </w:r>
            <w:r>
              <w:rPr>
                <w:rFonts w:hint="eastAsia"/>
              </w:rPr>
              <w:t>类</w:t>
            </w:r>
          </w:p>
        </w:tc>
        <w:tc>
          <w:tcPr>
            <w:tcW w:w="809" w:type="pct"/>
            <w:vMerge w:val="continue"/>
            <w:vAlign w:val="center"/>
          </w:tcPr>
          <w:p w14:paraId="55895BC4">
            <w:pPr>
              <w:pStyle w:val="28"/>
              <w:bidi w:val="0"/>
            </w:pPr>
          </w:p>
        </w:tc>
        <w:tc>
          <w:tcPr>
            <w:tcW w:w="208" w:type="pct"/>
            <w:vAlign w:val="center"/>
          </w:tcPr>
          <w:p w14:paraId="0B76F5C1">
            <w:pPr>
              <w:pStyle w:val="28"/>
              <w:bidi w:val="0"/>
            </w:pPr>
            <w:r>
              <w:t>53.2</w:t>
            </w:r>
          </w:p>
        </w:tc>
        <w:tc>
          <w:tcPr>
            <w:tcW w:w="211" w:type="pct"/>
            <w:vAlign w:val="center"/>
          </w:tcPr>
          <w:p w14:paraId="78836B07">
            <w:pPr>
              <w:pStyle w:val="28"/>
              <w:bidi w:val="0"/>
            </w:pPr>
            <w:r>
              <w:t>42.6</w:t>
            </w:r>
          </w:p>
        </w:tc>
        <w:tc>
          <w:tcPr>
            <w:tcW w:w="208" w:type="pct"/>
            <w:vAlign w:val="center"/>
          </w:tcPr>
          <w:p w14:paraId="1BF72450">
            <w:pPr>
              <w:pStyle w:val="28"/>
              <w:bidi w:val="0"/>
            </w:pPr>
            <w:r>
              <w:t>55</w:t>
            </w:r>
          </w:p>
        </w:tc>
        <w:tc>
          <w:tcPr>
            <w:tcW w:w="211" w:type="pct"/>
            <w:vAlign w:val="center"/>
          </w:tcPr>
          <w:p w14:paraId="7CA84B07">
            <w:pPr>
              <w:pStyle w:val="28"/>
              <w:bidi w:val="0"/>
            </w:pPr>
            <w:r>
              <w:t>45</w:t>
            </w:r>
          </w:p>
        </w:tc>
        <w:tc>
          <w:tcPr>
            <w:tcW w:w="276" w:type="pct"/>
            <w:vAlign w:val="center"/>
          </w:tcPr>
          <w:p w14:paraId="66D49929">
            <w:pPr>
              <w:pStyle w:val="28"/>
              <w:bidi w:val="0"/>
            </w:pPr>
            <w:r>
              <w:t>49.3</w:t>
            </w:r>
          </w:p>
        </w:tc>
        <w:tc>
          <w:tcPr>
            <w:tcW w:w="257" w:type="pct"/>
            <w:vAlign w:val="center"/>
          </w:tcPr>
          <w:p w14:paraId="20826E29">
            <w:pPr>
              <w:pStyle w:val="28"/>
              <w:bidi w:val="0"/>
            </w:pPr>
            <w:r>
              <w:t>42.3</w:t>
            </w:r>
          </w:p>
        </w:tc>
        <w:tc>
          <w:tcPr>
            <w:tcW w:w="257" w:type="pct"/>
            <w:vAlign w:val="center"/>
          </w:tcPr>
          <w:p w14:paraId="13350A78">
            <w:pPr>
              <w:pStyle w:val="28"/>
              <w:bidi w:val="0"/>
            </w:pPr>
            <w:r>
              <w:t>53.5</w:t>
            </w:r>
          </w:p>
        </w:tc>
        <w:tc>
          <w:tcPr>
            <w:tcW w:w="257" w:type="pct"/>
            <w:vAlign w:val="center"/>
          </w:tcPr>
          <w:p w14:paraId="531C9C55">
            <w:pPr>
              <w:pStyle w:val="28"/>
              <w:bidi w:val="0"/>
            </w:pPr>
            <w:r>
              <w:t>0.3</w:t>
            </w:r>
          </w:p>
        </w:tc>
        <w:tc>
          <w:tcPr>
            <w:tcW w:w="209" w:type="pct"/>
            <w:vAlign w:val="center"/>
          </w:tcPr>
          <w:p w14:paraId="6F6977B6">
            <w:pPr>
              <w:pStyle w:val="28"/>
              <w:bidi w:val="0"/>
            </w:pPr>
            <w:r>
              <w:t>达标</w:t>
            </w:r>
          </w:p>
        </w:tc>
      </w:tr>
      <w:tr w14:paraId="4A58E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F36756B">
            <w:pPr>
              <w:pStyle w:val="28"/>
              <w:bidi w:val="0"/>
            </w:pPr>
            <w:r>
              <w:rPr>
                <w:rFonts w:hint="eastAsia"/>
              </w:rPr>
              <w:t>南孙大庄</w:t>
            </w:r>
          </w:p>
        </w:tc>
        <w:tc>
          <w:tcPr>
            <w:tcW w:w="511" w:type="pct"/>
            <w:vAlign w:val="center"/>
          </w:tcPr>
          <w:p w14:paraId="51EB222E">
            <w:pPr>
              <w:pStyle w:val="28"/>
              <w:bidi w:val="0"/>
            </w:pPr>
            <w:r>
              <w:rPr>
                <w:rFonts w:hint="eastAsia"/>
              </w:rPr>
              <w:t>涵闸重建</w:t>
            </w:r>
          </w:p>
        </w:tc>
        <w:tc>
          <w:tcPr>
            <w:tcW w:w="366" w:type="pct"/>
            <w:vAlign w:val="center"/>
          </w:tcPr>
          <w:p w14:paraId="1CD99816">
            <w:pPr>
              <w:pStyle w:val="28"/>
              <w:bidi w:val="0"/>
            </w:pPr>
            <w:r>
              <w:t>99</w:t>
            </w:r>
          </w:p>
        </w:tc>
        <w:tc>
          <w:tcPr>
            <w:tcW w:w="268" w:type="pct"/>
            <w:vAlign w:val="center"/>
          </w:tcPr>
          <w:p w14:paraId="276C80A0">
            <w:pPr>
              <w:pStyle w:val="28"/>
              <w:bidi w:val="0"/>
            </w:pPr>
            <w:r>
              <w:rPr>
                <w:rFonts w:hint="eastAsia"/>
              </w:rPr>
              <w:t>右岸</w:t>
            </w:r>
          </w:p>
        </w:tc>
        <w:tc>
          <w:tcPr>
            <w:tcW w:w="262" w:type="pct"/>
            <w:vAlign w:val="center"/>
          </w:tcPr>
          <w:p w14:paraId="751A8B97">
            <w:pPr>
              <w:pStyle w:val="28"/>
              <w:bidi w:val="0"/>
            </w:pPr>
            <w:r>
              <w:t>1</w:t>
            </w:r>
            <w:r>
              <w:rPr>
                <w:rFonts w:hint="eastAsia"/>
              </w:rPr>
              <w:t>类</w:t>
            </w:r>
          </w:p>
        </w:tc>
        <w:tc>
          <w:tcPr>
            <w:tcW w:w="809" w:type="pct"/>
            <w:vMerge w:val="continue"/>
            <w:vAlign w:val="center"/>
          </w:tcPr>
          <w:p w14:paraId="2ED1ABAC">
            <w:pPr>
              <w:pStyle w:val="28"/>
              <w:bidi w:val="0"/>
            </w:pPr>
          </w:p>
        </w:tc>
        <w:tc>
          <w:tcPr>
            <w:tcW w:w="208" w:type="pct"/>
            <w:vAlign w:val="center"/>
          </w:tcPr>
          <w:p w14:paraId="2664F283">
            <w:pPr>
              <w:pStyle w:val="28"/>
              <w:bidi w:val="0"/>
            </w:pPr>
            <w:r>
              <w:t>53.2</w:t>
            </w:r>
          </w:p>
        </w:tc>
        <w:tc>
          <w:tcPr>
            <w:tcW w:w="211" w:type="pct"/>
            <w:vAlign w:val="center"/>
          </w:tcPr>
          <w:p w14:paraId="4990B7F4">
            <w:pPr>
              <w:pStyle w:val="28"/>
              <w:bidi w:val="0"/>
            </w:pPr>
            <w:r>
              <w:t>42.6</w:t>
            </w:r>
          </w:p>
        </w:tc>
        <w:tc>
          <w:tcPr>
            <w:tcW w:w="208" w:type="pct"/>
            <w:vAlign w:val="center"/>
          </w:tcPr>
          <w:p w14:paraId="72C502C0">
            <w:pPr>
              <w:pStyle w:val="28"/>
              <w:bidi w:val="0"/>
            </w:pPr>
            <w:r>
              <w:t>55</w:t>
            </w:r>
          </w:p>
        </w:tc>
        <w:tc>
          <w:tcPr>
            <w:tcW w:w="211" w:type="pct"/>
            <w:vAlign w:val="center"/>
          </w:tcPr>
          <w:p w14:paraId="25555FC6">
            <w:pPr>
              <w:pStyle w:val="28"/>
              <w:bidi w:val="0"/>
            </w:pPr>
            <w:r>
              <w:t>45</w:t>
            </w:r>
          </w:p>
        </w:tc>
        <w:tc>
          <w:tcPr>
            <w:tcW w:w="276" w:type="pct"/>
            <w:vAlign w:val="center"/>
          </w:tcPr>
          <w:p w14:paraId="1EDF4DB8">
            <w:pPr>
              <w:pStyle w:val="28"/>
              <w:bidi w:val="0"/>
            </w:pPr>
            <w:r>
              <w:t>53.3</w:t>
            </w:r>
          </w:p>
        </w:tc>
        <w:tc>
          <w:tcPr>
            <w:tcW w:w="257" w:type="pct"/>
            <w:vAlign w:val="center"/>
          </w:tcPr>
          <w:p w14:paraId="480E2964">
            <w:pPr>
              <w:pStyle w:val="28"/>
              <w:bidi w:val="0"/>
            </w:pPr>
            <w:r>
              <w:t>46.3</w:t>
            </w:r>
          </w:p>
        </w:tc>
        <w:tc>
          <w:tcPr>
            <w:tcW w:w="257" w:type="pct"/>
            <w:vAlign w:val="center"/>
          </w:tcPr>
          <w:p w14:paraId="539B6618">
            <w:pPr>
              <w:pStyle w:val="28"/>
              <w:bidi w:val="0"/>
            </w:pPr>
            <w:r>
              <w:t>54.0</w:t>
            </w:r>
          </w:p>
        </w:tc>
        <w:tc>
          <w:tcPr>
            <w:tcW w:w="257" w:type="pct"/>
            <w:vAlign w:val="center"/>
          </w:tcPr>
          <w:p w14:paraId="10619C11">
            <w:pPr>
              <w:pStyle w:val="28"/>
              <w:bidi w:val="0"/>
            </w:pPr>
            <w:r>
              <w:t>0.8</w:t>
            </w:r>
          </w:p>
        </w:tc>
        <w:tc>
          <w:tcPr>
            <w:tcW w:w="209" w:type="pct"/>
            <w:vAlign w:val="center"/>
          </w:tcPr>
          <w:p w14:paraId="37D3A372">
            <w:pPr>
              <w:pStyle w:val="28"/>
              <w:bidi w:val="0"/>
            </w:pPr>
            <w:r>
              <w:t>达标</w:t>
            </w:r>
          </w:p>
        </w:tc>
      </w:tr>
      <w:tr w14:paraId="6237A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FB34855">
            <w:pPr>
              <w:pStyle w:val="28"/>
              <w:bidi w:val="0"/>
            </w:pPr>
            <w:r>
              <w:rPr>
                <w:rFonts w:hint="eastAsia"/>
              </w:rPr>
              <w:t>白桥村</w:t>
            </w:r>
          </w:p>
        </w:tc>
        <w:tc>
          <w:tcPr>
            <w:tcW w:w="511" w:type="pct"/>
            <w:vAlign w:val="center"/>
          </w:tcPr>
          <w:p w14:paraId="3687BF14">
            <w:pPr>
              <w:pStyle w:val="28"/>
              <w:bidi w:val="0"/>
            </w:pPr>
            <w:r>
              <w:rPr>
                <w:rFonts w:hint="eastAsia"/>
              </w:rPr>
              <w:t>放水涵重建</w:t>
            </w:r>
          </w:p>
        </w:tc>
        <w:tc>
          <w:tcPr>
            <w:tcW w:w="366" w:type="pct"/>
            <w:vAlign w:val="center"/>
          </w:tcPr>
          <w:p w14:paraId="34813924">
            <w:pPr>
              <w:pStyle w:val="28"/>
              <w:bidi w:val="0"/>
            </w:pPr>
            <w:r>
              <w:t>121</w:t>
            </w:r>
          </w:p>
        </w:tc>
        <w:tc>
          <w:tcPr>
            <w:tcW w:w="268" w:type="pct"/>
            <w:vAlign w:val="center"/>
          </w:tcPr>
          <w:p w14:paraId="7D223429">
            <w:pPr>
              <w:pStyle w:val="28"/>
              <w:bidi w:val="0"/>
            </w:pPr>
            <w:r>
              <w:rPr>
                <w:rFonts w:hint="eastAsia"/>
              </w:rPr>
              <w:t>右岸</w:t>
            </w:r>
          </w:p>
        </w:tc>
        <w:tc>
          <w:tcPr>
            <w:tcW w:w="262" w:type="pct"/>
            <w:vAlign w:val="center"/>
          </w:tcPr>
          <w:p w14:paraId="65C30AA9">
            <w:pPr>
              <w:pStyle w:val="28"/>
              <w:bidi w:val="0"/>
            </w:pPr>
            <w:r>
              <w:t>1</w:t>
            </w:r>
            <w:r>
              <w:rPr>
                <w:rFonts w:hint="eastAsia"/>
              </w:rPr>
              <w:t>类</w:t>
            </w:r>
          </w:p>
        </w:tc>
        <w:tc>
          <w:tcPr>
            <w:tcW w:w="809" w:type="pct"/>
            <w:vMerge w:val="continue"/>
            <w:vAlign w:val="center"/>
          </w:tcPr>
          <w:p w14:paraId="7C776A32">
            <w:pPr>
              <w:pStyle w:val="28"/>
              <w:bidi w:val="0"/>
            </w:pPr>
          </w:p>
        </w:tc>
        <w:tc>
          <w:tcPr>
            <w:tcW w:w="208" w:type="pct"/>
            <w:vAlign w:val="center"/>
          </w:tcPr>
          <w:p w14:paraId="5B43CAE5">
            <w:pPr>
              <w:pStyle w:val="28"/>
              <w:bidi w:val="0"/>
            </w:pPr>
            <w:r>
              <w:t>53.2</w:t>
            </w:r>
          </w:p>
        </w:tc>
        <w:tc>
          <w:tcPr>
            <w:tcW w:w="211" w:type="pct"/>
            <w:vAlign w:val="center"/>
          </w:tcPr>
          <w:p w14:paraId="1C454D5B">
            <w:pPr>
              <w:pStyle w:val="28"/>
              <w:bidi w:val="0"/>
            </w:pPr>
            <w:r>
              <w:t>42.6</w:t>
            </w:r>
          </w:p>
        </w:tc>
        <w:tc>
          <w:tcPr>
            <w:tcW w:w="208" w:type="pct"/>
            <w:vAlign w:val="center"/>
          </w:tcPr>
          <w:p w14:paraId="2ADEA0EC">
            <w:pPr>
              <w:pStyle w:val="28"/>
              <w:bidi w:val="0"/>
            </w:pPr>
            <w:r>
              <w:t>55</w:t>
            </w:r>
          </w:p>
        </w:tc>
        <w:tc>
          <w:tcPr>
            <w:tcW w:w="211" w:type="pct"/>
            <w:vAlign w:val="center"/>
          </w:tcPr>
          <w:p w14:paraId="128D403A">
            <w:pPr>
              <w:pStyle w:val="28"/>
              <w:bidi w:val="0"/>
            </w:pPr>
            <w:r>
              <w:t>45</w:t>
            </w:r>
          </w:p>
        </w:tc>
        <w:tc>
          <w:tcPr>
            <w:tcW w:w="276" w:type="pct"/>
            <w:vAlign w:val="center"/>
          </w:tcPr>
          <w:p w14:paraId="3522BE2A">
            <w:pPr>
              <w:pStyle w:val="28"/>
              <w:bidi w:val="0"/>
            </w:pPr>
            <w:r>
              <w:t>51.6</w:t>
            </w:r>
          </w:p>
        </w:tc>
        <w:tc>
          <w:tcPr>
            <w:tcW w:w="257" w:type="pct"/>
            <w:vAlign w:val="center"/>
          </w:tcPr>
          <w:p w14:paraId="2F0896D4">
            <w:pPr>
              <w:pStyle w:val="28"/>
              <w:bidi w:val="0"/>
            </w:pPr>
            <w:r>
              <w:t>44.6</w:t>
            </w:r>
          </w:p>
        </w:tc>
        <w:tc>
          <w:tcPr>
            <w:tcW w:w="257" w:type="pct"/>
            <w:vAlign w:val="center"/>
          </w:tcPr>
          <w:p w14:paraId="4E5E1F5C">
            <w:pPr>
              <w:pStyle w:val="28"/>
              <w:bidi w:val="0"/>
            </w:pPr>
            <w:r>
              <w:t>53.8</w:t>
            </w:r>
          </w:p>
        </w:tc>
        <w:tc>
          <w:tcPr>
            <w:tcW w:w="257" w:type="pct"/>
            <w:vAlign w:val="center"/>
          </w:tcPr>
          <w:p w14:paraId="3A242EB2">
            <w:pPr>
              <w:pStyle w:val="28"/>
              <w:bidi w:val="0"/>
            </w:pPr>
            <w:r>
              <w:t>0.6</w:t>
            </w:r>
          </w:p>
        </w:tc>
        <w:tc>
          <w:tcPr>
            <w:tcW w:w="209" w:type="pct"/>
            <w:vAlign w:val="center"/>
          </w:tcPr>
          <w:p w14:paraId="6E0518D0">
            <w:pPr>
              <w:pStyle w:val="28"/>
              <w:bidi w:val="0"/>
            </w:pPr>
            <w:r>
              <w:t>达标</w:t>
            </w:r>
          </w:p>
        </w:tc>
      </w:tr>
      <w:tr w14:paraId="4B211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928FA8F">
            <w:pPr>
              <w:pStyle w:val="28"/>
              <w:bidi w:val="0"/>
            </w:pPr>
            <w:r>
              <w:rPr>
                <w:rFonts w:hint="eastAsia"/>
              </w:rPr>
              <w:t>钟老庄</w:t>
            </w:r>
          </w:p>
        </w:tc>
        <w:tc>
          <w:tcPr>
            <w:tcW w:w="511" w:type="pct"/>
            <w:vAlign w:val="center"/>
          </w:tcPr>
          <w:p w14:paraId="36EB774F">
            <w:pPr>
              <w:pStyle w:val="28"/>
              <w:bidi w:val="0"/>
            </w:pPr>
            <w:r>
              <w:rPr>
                <w:rFonts w:hint="eastAsia"/>
              </w:rPr>
              <w:t>泄水闸重建</w:t>
            </w:r>
          </w:p>
        </w:tc>
        <w:tc>
          <w:tcPr>
            <w:tcW w:w="366" w:type="pct"/>
            <w:vAlign w:val="center"/>
          </w:tcPr>
          <w:p w14:paraId="7313CA18">
            <w:pPr>
              <w:pStyle w:val="28"/>
              <w:bidi w:val="0"/>
            </w:pPr>
            <w:r>
              <w:t>50</w:t>
            </w:r>
          </w:p>
        </w:tc>
        <w:tc>
          <w:tcPr>
            <w:tcW w:w="268" w:type="pct"/>
            <w:vAlign w:val="center"/>
          </w:tcPr>
          <w:p w14:paraId="7D691139">
            <w:pPr>
              <w:pStyle w:val="28"/>
              <w:bidi w:val="0"/>
            </w:pPr>
            <w:r>
              <w:rPr>
                <w:rFonts w:hint="eastAsia"/>
              </w:rPr>
              <w:t>左右岸</w:t>
            </w:r>
          </w:p>
        </w:tc>
        <w:tc>
          <w:tcPr>
            <w:tcW w:w="262" w:type="pct"/>
            <w:vAlign w:val="center"/>
          </w:tcPr>
          <w:p w14:paraId="6D86B2D4">
            <w:pPr>
              <w:pStyle w:val="28"/>
              <w:bidi w:val="0"/>
            </w:pPr>
            <w:r>
              <w:t>1</w:t>
            </w:r>
            <w:r>
              <w:rPr>
                <w:rFonts w:hint="eastAsia"/>
              </w:rPr>
              <w:t>类</w:t>
            </w:r>
          </w:p>
        </w:tc>
        <w:tc>
          <w:tcPr>
            <w:tcW w:w="809" w:type="pct"/>
            <w:vAlign w:val="center"/>
          </w:tcPr>
          <w:p w14:paraId="7F8990D3">
            <w:pPr>
              <w:pStyle w:val="28"/>
              <w:bidi w:val="0"/>
            </w:pPr>
            <w:r>
              <w:rPr>
                <w:rFonts w:hint="eastAsia"/>
              </w:rPr>
              <w:t>采用低噪声设备，施工机械远离居民住宅，设置单层移动声屏障</w:t>
            </w:r>
          </w:p>
        </w:tc>
        <w:tc>
          <w:tcPr>
            <w:tcW w:w="208" w:type="pct"/>
            <w:vAlign w:val="center"/>
          </w:tcPr>
          <w:p w14:paraId="3485FE3F">
            <w:pPr>
              <w:pStyle w:val="28"/>
              <w:bidi w:val="0"/>
            </w:pPr>
            <w:r>
              <w:t>53.2</w:t>
            </w:r>
          </w:p>
        </w:tc>
        <w:tc>
          <w:tcPr>
            <w:tcW w:w="211" w:type="pct"/>
            <w:vAlign w:val="center"/>
          </w:tcPr>
          <w:p w14:paraId="102711B9">
            <w:pPr>
              <w:pStyle w:val="28"/>
              <w:bidi w:val="0"/>
            </w:pPr>
            <w:r>
              <w:t>42.6</w:t>
            </w:r>
          </w:p>
        </w:tc>
        <w:tc>
          <w:tcPr>
            <w:tcW w:w="208" w:type="pct"/>
            <w:vAlign w:val="center"/>
          </w:tcPr>
          <w:p w14:paraId="11074A87">
            <w:pPr>
              <w:pStyle w:val="28"/>
              <w:bidi w:val="0"/>
            </w:pPr>
            <w:r>
              <w:t>55</w:t>
            </w:r>
          </w:p>
        </w:tc>
        <w:tc>
          <w:tcPr>
            <w:tcW w:w="211" w:type="pct"/>
            <w:vAlign w:val="center"/>
          </w:tcPr>
          <w:p w14:paraId="304E8ADE">
            <w:pPr>
              <w:pStyle w:val="28"/>
              <w:bidi w:val="0"/>
            </w:pPr>
            <w:r>
              <w:t>45</w:t>
            </w:r>
          </w:p>
        </w:tc>
        <w:tc>
          <w:tcPr>
            <w:tcW w:w="276" w:type="pct"/>
            <w:vAlign w:val="center"/>
          </w:tcPr>
          <w:p w14:paraId="2E2A28D9">
            <w:pPr>
              <w:pStyle w:val="28"/>
              <w:bidi w:val="0"/>
            </w:pPr>
            <w:r>
              <w:t>59.2</w:t>
            </w:r>
          </w:p>
        </w:tc>
        <w:tc>
          <w:tcPr>
            <w:tcW w:w="257" w:type="pct"/>
            <w:vAlign w:val="center"/>
          </w:tcPr>
          <w:p w14:paraId="3538363C">
            <w:pPr>
              <w:pStyle w:val="28"/>
              <w:bidi w:val="0"/>
            </w:pPr>
            <w:r>
              <w:t>44.2</w:t>
            </w:r>
          </w:p>
        </w:tc>
        <w:tc>
          <w:tcPr>
            <w:tcW w:w="257" w:type="pct"/>
            <w:vAlign w:val="center"/>
          </w:tcPr>
          <w:p w14:paraId="1DBED7BB">
            <w:pPr>
              <w:pStyle w:val="28"/>
              <w:bidi w:val="0"/>
            </w:pPr>
            <w:r>
              <w:t>53.7</w:t>
            </w:r>
          </w:p>
        </w:tc>
        <w:tc>
          <w:tcPr>
            <w:tcW w:w="257" w:type="pct"/>
            <w:vAlign w:val="center"/>
          </w:tcPr>
          <w:p w14:paraId="004CDFE4">
            <w:pPr>
              <w:pStyle w:val="28"/>
              <w:bidi w:val="0"/>
            </w:pPr>
            <w:r>
              <w:t>0.5</w:t>
            </w:r>
          </w:p>
        </w:tc>
        <w:tc>
          <w:tcPr>
            <w:tcW w:w="209" w:type="pct"/>
            <w:vAlign w:val="center"/>
          </w:tcPr>
          <w:p w14:paraId="589C15F5">
            <w:pPr>
              <w:pStyle w:val="28"/>
              <w:bidi w:val="0"/>
            </w:pPr>
            <w:r>
              <w:t>达标</w:t>
            </w:r>
          </w:p>
        </w:tc>
      </w:tr>
      <w:tr w14:paraId="418702BF">
        <w:tblPrEx>
          <w:tblCellMar>
            <w:top w:w="0" w:type="dxa"/>
            <w:left w:w="108" w:type="dxa"/>
            <w:bottom w:w="0" w:type="dxa"/>
            <w:right w:w="108" w:type="dxa"/>
          </w:tblCellMar>
        </w:tblPrEx>
        <w:trPr>
          <w:trHeight w:val="340" w:hRule="atLeast"/>
          <w:jc w:val="center"/>
        </w:trPr>
        <w:tc>
          <w:tcPr>
            <w:tcW w:w="685" w:type="pct"/>
            <w:vAlign w:val="center"/>
          </w:tcPr>
          <w:p w14:paraId="5E592E0F">
            <w:pPr>
              <w:pStyle w:val="28"/>
              <w:bidi w:val="0"/>
            </w:pPr>
            <w:r>
              <w:rPr>
                <w:rFonts w:hint="eastAsia"/>
              </w:rPr>
              <w:t>储老庄</w:t>
            </w:r>
          </w:p>
        </w:tc>
        <w:tc>
          <w:tcPr>
            <w:tcW w:w="511" w:type="pct"/>
            <w:vAlign w:val="center"/>
          </w:tcPr>
          <w:p w14:paraId="3F30B4C6">
            <w:pPr>
              <w:pStyle w:val="28"/>
              <w:bidi w:val="0"/>
            </w:pPr>
            <w:r>
              <w:rPr>
                <w:rFonts w:hint="eastAsia"/>
              </w:rPr>
              <w:t>泄水闸重建</w:t>
            </w:r>
          </w:p>
        </w:tc>
        <w:tc>
          <w:tcPr>
            <w:tcW w:w="366" w:type="pct"/>
            <w:vAlign w:val="center"/>
          </w:tcPr>
          <w:p w14:paraId="0290CA32">
            <w:pPr>
              <w:pStyle w:val="28"/>
              <w:bidi w:val="0"/>
            </w:pPr>
            <w:r>
              <w:t>115</w:t>
            </w:r>
          </w:p>
        </w:tc>
        <w:tc>
          <w:tcPr>
            <w:tcW w:w="268" w:type="pct"/>
            <w:vAlign w:val="center"/>
          </w:tcPr>
          <w:p w14:paraId="0D0AA373">
            <w:pPr>
              <w:pStyle w:val="28"/>
              <w:bidi w:val="0"/>
            </w:pPr>
            <w:r>
              <w:rPr>
                <w:rFonts w:hint="eastAsia"/>
              </w:rPr>
              <w:t>右岸</w:t>
            </w:r>
          </w:p>
        </w:tc>
        <w:tc>
          <w:tcPr>
            <w:tcW w:w="262" w:type="pct"/>
            <w:vAlign w:val="center"/>
          </w:tcPr>
          <w:p w14:paraId="3A09DC81">
            <w:pPr>
              <w:pStyle w:val="28"/>
              <w:bidi w:val="0"/>
            </w:pPr>
            <w:r>
              <w:t>1</w:t>
            </w:r>
            <w:r>
              <w:rPr>
                <w:rFonts w:hint="eastAsia"/>
              </w:rPr>
              <w:t>类</w:t>
            </w:r>
          </w:p>
        </w:tc>
        <w:tc>
          <w:tcPr>
            <w:tcW w:w="809" w:type="pct"/>
            <w:vAlign w:val="center"/>
          </w:tcPr>
          <w:p w14:paraId="679254E9">
            <w:pPr>
              <w:pStyle w:val="28"/>
              <w:bidi w:val="0"/>
            </w:pPr>
            <w:r>
              <w:rPr>
                <w:rFonts w:hint="eastAsia"/>
              </w:rPr>
              <w:t>采用低噪声设备，施工机械远离居民住宅</w:t>
            </w:r>
          </w:p>
        </w:tc>
        <w:tc>
          <w:tcPr>
            <w:tcW w:w="208" w:type="pct"/>
            <w:vAlign w:val="center"/>
          </w:tcPr>
          <w:p w14:paraId="6F992EAD">
            <w:pPr>
              <w:pStyle w:val="28"/>
              <w:bidi w:val="0"/>
            </w:pPr>
            <w:r>
              <w:t>53.2</w:t>
            </w:r>
          </w:p>
        </w:tc>
        <w:tc>
          <w:tcPr>
            <w:tcW w:w="211" w:type="pct"/>
            <w:vAlign w:val="center"/>
          </w:tcPr>
          <w:p w14:paraId="71243632">
            <w:pPr>
              <w:pStyle w:val="28"/>
              <w:bidi w:val="0"/>
            </w:pPr>
            <w:r>
              <w:t>42.6</w:t>
            </w:r>
          </w:p>
        </w:tc>
        <w:tc>
          <w:tcPr>
            <w:tcW w:w="208" w:type="pct"/>
            <w:vAlign w:val="center"/>
          </w:tcPr>
          <w:p w14:paraId="0BFC9291">
            <w:pPr>
              <w:pStyle w:val="28"/>
              <w:bidi w:val="0"/>
            </w:pPr>
            <w:r>
              <w:t>55</w:t>
            </w:r>
          </w:p>
        </w:tc>
        <w:tc>
          <w:tcPr>
            <w:tcW w:w="211" w:type="pct"/>
            <w:vAlign w:val="center"/>
          </w:tcPr>
          <w:p w14:paraId="528B455E">
            <w:pPr>
              <w:pStyle w:val="28"/>
              <w:bidi w:val="0"/>
            </w:pPr>
            <w:r>
              <w:t>45</w:t>
            </w:r>
          </w:p>
        </w:tc>
        <w:tc>
          <w:tcPr>
            <w:tcW w:w="276" w:type="pct"/>
            <w:vAlign w:val="center"/>
          </w:tcPr>
          <w:p w14:paraId="29588361">
            <w:pPr>
              <w:pStyle w:val="28"/>
              <w:bidi w:val="0"/>
            </w:pPr>
            <w:r>
              <w:t>52.0</w:t>
            </w:r>
          </w:p>
        </w:tc>
        <w:tc>
          <w:tcPr>
            <w:tcW w:w="257" w:type="pct"/>
            <w:vAlign w:val="center"/>
          </w:tcPr>
          <w:p w14:paraId="0BB65656">
            <w:pPr>
              <w:pStyle w:val="28"/>
              <w:bidi w:val="0"/>
            </w:pPr>
            <w:r>
              <w:t>45.0</w:t>
            </w:r>
          </w:p>
        </w:tc>
        <w:tc>
          <w:tcPr>
            <w:tcW w:w="257" w:type="pct"/>
            <w:vAlign w:val="center"/>
          </w:tcPr>
          <w:p w14:paraId="5D5312C5">
            <w:pPr>
              <w:pStyle w:val="28"/>
              <w:bidi w:val="0"/>
            </w:pPr>
            <w:r>
              <w:t>53.8</w:t>
            </w:r>
          </w:p>
        </w:tc>
        <w:tc>
          <w:tcPr>
            <w:tcW w:w="257" w:type="pct"/>
            <w:vAlign w:val="center"/>
          </w:tcPr>
          <w:p w14:paraId="1EA48DD1">
            <w:pPr>
              <w:pStyle w:val="28"/>
              <w:bidi w:val="0"/>
            </w:pPr>
            <w:r>
              <w:t>0.6</w:t>
            </w:r>
          </w:p>
        </w:tc>
        <w:tc>
          <w:tcPr>
            <w:tcW w:w="209" w:type="pct"/>
            <w:vAlign w:val="center"/>
          </w:tcPr>
          <w:p w14:paraId="0B3BB6EE">
            <w:pPr>
              <w:pStyle w:val="28"/>
              <w:bidi w:val="0"/>
            </w:pPr>
            <w:r>
              <w:t>达标</w:t>
            </w:r>
          </w:p>
        </w:tc>
      </w:tr>
      <w:tr w14:paraId="05622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9CA8AD2">
            <w:pPr>
              <w:pStyle w:val="28"/>
              <w:bidi w:val="0"/>
            </w:pPr>
            <w:r>
              <w:rPr>
                <w:rFonts w:hint="eastAsia"/>
              </w:rPr>
              <w:t>陈家庄</w:t>
            </w:r>
          </w:p>
        </w:tc>
        <w:tc>
          <w:tcPr>
            <w:tcW w:w="511" w:type="pct"/>
            <w:vAlign w:val="center"/>
          </w:tcPr>
          <w:p w14:paraId="2D6BFE0B">
            <w:pPr>
              <w:pStyle w:val="28"/>
              <w:bidi w:val="0"/>
            </w:pPr>
            <w:r>
              <w:rPr>
                <w:rFonts w:hint="eastAsia"/>
              </w:rPr>
              <w:t>渠道清淤</w:t>
            </w:r>
          </w:p>
        </w:tc>
        <w:tc>
          <w:tcPr>
            <w:tcW w:w="366" w:type="pct"/>
            <w:vAlign w:val="center"/>
          </w:tcPr>
          <w:p w14:paraId="15933206">
            <w:pPr>
              <w:pStyle w:val="28"/>
              <w:bidi w:val="0"/>
            </w:pPr>
            <w:r>
              <w:t>30</w:t>
            </w:r>
          </w:p>
        </w:tc>
        <w:tc>
          <w:tcPr>
            <w:tcW w:w="268" w:type="pct"/>
            <w:vAlign w:val="center"/>
          </w:tcPr>
          <w:p w14:paraId="185C5AEF">
            <w:pPr>
              <w:pStyle w:val="28"/>
              <w:bidi w:val="0"/>
            </w:pPr>
            <w:r>
              <w:rPr>
                <w:rFonts w:hint="eastAsia"/>
              </w:rPr>
              <w:t>右岸</w:t>
            </w:r>
          </w:p>
        </w:tc>
        <w:tc>
          <w:tcPr>
            <w:tcW w:w="262" w:type="pct"/>
            <w:vAlign w:val="center"/>
          </w:tcPr>
          <w:p w14:paraId="41CED593">
            <w:pPr>
              <w:pStyle w:val="28"/>
              <w:bidi w:val="0"/>
            </w:pPr>
            <w:r>
              <w:t>1</w:t>
            </w:r>
            <w:r>
              <w:rPr>
                <w:rFonts w:hint="eastAsia"/>
              </w:rPr>
              <w:t>类</w:t>
            </w:r>
          </w:p>
        </w:tc>
        <w:tc>
          <w:tcPr>
            <w:tcW w:w="809" w:type="pct"/>
            <w:vAlign w:val="center"/>
          </w:tcPr>
          <w:p w14:paraId="2C34B9DD">
            <w:pPr>
              <w:pStyle w:val="28"/>
              <w:bidi w:val="0"/>
            </w:pPr>
            <w:r>
              <w:rPr>
                <w:rFonts w:hint="eastAsia"/>
              </w:rPr>
              <w:t>采用低噪声设备，施工机械远离居民住宅，设置双层移动声屏障</w:t>
            </w:r>
          </w:p>
        </w:tc>
        <w:tc>
          <w:tcPr>
            <w:tcW w:w="208" w:type="pct"/>
            <w:vAlign w:val="center"/>
          </w:tcPr>
          <w:p w14:paraId="21947DBB">
            <w:pPr>
              <w:pStyle w:val="28"/>
              <w:bidi w:val="0"/>
            </w:pPr>
            <w:r>
              <w:t>53.2</w:t>
            </w:r>
          </w:p>
        </w:tc>
        <w:tc>
          <w:tcPr>
            <w:tcW w:w="211" w:type="pct"/>
            <w:vAlign w:val="center"/>
          </w:tcPr>
          <w:p w14:paraId="1FF58F69">
            <w:pPr>
              <w:pStyle w:val="28"/>
              <w:bidi w:val="0"/>
            </w:pPr>
            <w:r>
              <w:t>42.6</w:t>
            </w:r>
          </w:p>
        </w:tc>
        <w:tc>
          <w:tcPr>
            <w:tcW w:w="208" w:type="pct"/>
            <w:vAlign w:val="center"/>
          </w:tcPr>
          <w:p w14:paraId="23DFB9AE">
            <w:pPr>
              <w:pStyle w:val="28"/>
              <w:bidi w:val="0"/>
            </w:pPr>
            <w:r>
              <w:t>55</w:t>
            </w:r>
          </w:p>
        </w:tc>
        <w:tc>
          <w:tcPr>
            <w:tcW w:w="211" w:type="pct"/>
            <w:vAlign w:val="center"/>
          </w:tcPr>
          <w:p w14:paraId="1AB8902D">
            <w:pPr>
              <w:pStyle w:val="28"/>
              <w:bidi w:val="0"/>
            </w:pPr>
            <w:r>
              <w:t>45</w:t>
            </w:r>
          </w:p>
        </w:tc>
        <w:tc>
          <w:tcPr>
            <w:tcW w:w="276" w:type="pct"/>
            <w:vAlign w:val="center"/>
          </w:tcPr>
          <w:p w14:paraId="2BAF3390">
            <w:pPr>
              <w:pStyle w:val="28"/>
              <w:bidi w:val="0"/>
            </w:pPr>
            <w:r>
              <w:t>60.7</w:t>
            </w:r>
          </w:p>
        </w:tc>
        <w:tc>
          <w:tcPr>
            <w:tcW w:w="257" w:type="pct"/>
            <w:vAlign w:val="center"/>
          </w:tcPr>
          <w:p w14:paraId="580AE8A2">
            <w:pPr>
              <w:pStyle w:val="28"/>
              <w:bidi w:val="0"/>
            </w:pPr>
            <w:r>
              <w:t>40.7</w:t>
            </w:r>
          </w:p>
        </w:tc>
        <w:tc>
          <w:tcPr>
            <w:tcW w:w="257" w:type="pct"/>
            <w:vAlign w:val="center"/>
          </w:tcPr>
          <w:p w14:paraId="74D2BCB2">
            <w:pPr>
              <w:pStyle w:val="28"/>
              <w:bidi w:val="0"/>
            </w:pPr>
            <w:r>
              <w:t>53.4</w:t>
            </w:r>
          </w:p>
        </w:tc>
        <w:tc>
          <w:tcPr>
            <w:tcW w:w="257" w:type="pct"/>
            <w:vAlign w:val="center"/>
          </w:tcPr>
          <w:p w14:paraId="37D0B335">
            <w:pPr>
              <w:pStyle w:val="28"/>
              <w:bidi w:val="0"/>
            </w:pPr>
            <w:r>
              <w:t>0.2</w:t>
            </w:r>
          </w:p>
        </w:tc>
        <w:tc>
          <w:tcPr>
            <w:tcW w:w="209" w:type="pct"/>
            <w:vAlign w:val="center"/>
          </w:tcPr>
          <w:p w14:paraId="6B6D8B8D">
            <w:pPr>
              <w:pStyle w:val="28"/>
              <w:bidi w:val="0"/>
            </w:pPr>
            <w:r>
              <w:t>达标</w:t>
            </w:r>
          </w:p>
        </w:tc>
      </w:tr>
      <w:tr w14:paraId="700BD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FC04F10">
            <w:pPr>
              <w:pStyle w:val="28"/>
              <w:bidi w:val="0"/>
            </w:pPr>
            <w:r>
              <w:rPr>
                <w:rFonts w:hint="eastAsia"/>
              </w:rPr>
              <w:t>前楼</w:t>
            </w:r>
          </w:p>
        </w:tc>
        <w:tc>
          <w:tcPr>
            <w:tcW w:w="511" w:type="pct"/>
            <w:vAlign w:val="center"/>
          </w:tcPr>
          <w:p w14:paraId="6C54C5F3">
            <w:pPr>
              <w:pStyle w:val="28"/>
              <w:bidi w:val="0"/>
            </w:pPr>
            <w:r>
              <w:rPr>
                <w:rFonts w:hint="eastAsia"/>
              </w:rPr>
              <w:t>放水涵重建</w:t>
            </w:r>
          </w:p>
        </w:tc>
        <w:tc>
          <w:tcPr>
            <w:tcW w:w="366" w:type="pct"/>
            <w:vAlign w:val="center"/>
          </w:tcPr>
          <w:p w14:paraId="53ED3C5F">
            <w:pPr>
              <w:pStyle w:val="28"/>
              <w:bidi w:val="0"/>
            </w:pPr>
            <w:r>
              <w:t>65</w:t>
            </w:r>
          </w:p>
        </w:tc>
        <w:tc>
          <w:tcPr>
            <w:tcW w:w="268" w:type="pct"/>
            <w:vAlign w:val="center"/>
          </w:tcPr>
          <w:p w14:paraId="324AB3B6">
            <w:pPr>
              <w:pStyle w:val="28"/>
              <w:bidi w:val="0"/>
            </w:pPr>
            <w:r>
              <w:rPr>
                <w:rFonts w:hint="eastAsia"/>
              </w:rPr>
              <w:t>右岸</w:t>
            </w:r>
          </w:p>
        </w:tc>
        <w:tc>
          <w:tcPr>
            <w:tcW w:w="262" w:type="pct"/>
            <w:vAlign w:val="center"/>
          </w:tcPr>
          <w:p w14:paraId="62B6FAE7">
            <w:pPr>
              <w:pStyle w:val="28"/>
              <w:bidi w:val="0"/>
            </w:pPr>
            <w:r>
              <w:t>1</w:t>
            </w:r>
            <w:r>
              <w:rPr>
                <w:rFonts w:hint="eastAsia"/>
              </w:rPr>
              <w:t>类</w:t>
            </w:r>
          </w:p>
        </w:tc>
        <w:tc>
          <w:tcPr>
            <w:tcW w:w="809" w:type="pct"/>
            <w:vMerge w:val="restart"/>
            <w:vAlign w:val="center"/>
          </w:tcPr>
          <w:p w14:paraId="2505FE4F">
            <w:pPr>
              <w:pStyle w:val="28"/>
              <w:bidi w:val="0"/>
            </w:pPr>
            <w:r>
              <w:rPr>
                <w:rFonts w:hint="eastAsia"/>
              </w:rPr>
              <w:t>采用低噪声设备，施工机械远离居民住宅</w:t>
            </w:r>
          </w:p>
        </w:tc>
        <w:tc>
          <w:tcPr>
            <w:tcW w:w="208" w:type="pct"/>
            <w:vAlign w:val="center"/>
          </w:tcPr>
          <w:p w14:paraId="3E82377A">
            <w:pPr>
              <w:pStyle w:val="28"/>
              <w:bidi w:val="0"/>
            </w:pPr>
            <w:r>
              <w:t>53.2</w:t>
            </w:r>
          </w:p>
        </w:tc>
        <w:tc>
          <w:tcPr>
            <w:tcW w:w="211" w:type="pct"/>
            <w:vAlign w:val="center"/>
          </w:tcPr>
          <w:p w14:paraId="4472850D">
            <w:pPr>
              <w:pStyle w:val="28"/>
              <w:bidi w:val="0"/>
            </w:pPr>
            <w:r>
              <w:t>42.6</w:t>
            </w:r>
          </w:p>
        </w:tc>
        <w:tc>
          <w:tcPr>
            <w:tcW w:w="208" w:type="pct"/>
            <w:vAlign w:val="center"/>
          </w:tcPr>
          <w:p w14:paraId="758E9576">
            <w:pPr>
              <w:pStyle w:val="28"/>
              <w:bidi w:val="0"/>
            </w:pPr>
            <w:r>
              <w:t>55</w:t>
            </w:r>
          </w:p>
        </w:tc>
        <w:tc>
          <w:tcPr>
            <w:tcW w:w="211" w:type="pct"/>
            <w:vAlign w:val="center"/>
          </w:tcPr>
          <w:p w14:paraId="7A25A4DA">
            <w:pPr>
              <w:pStyle w:val="28"/>
              <w:bidi w:val="0"/>
            </w:pPr>
            <w:r>
              <w:t>45</w:t>
            </w:r>
          </w:p>
        </w:tc>
        <w:tc>
          <w:tcPr>
            <w:tcW w:w="276" w:type="pct"/>
            <w:vAlign w:val="center"/>
          </w:tcPr>
          <w:p w14:paraId="30A2ADB2">
            <w:pPr>
              <w:pStyle w:val="28"/>
              <w:bidi w:val="0"/>
            </w:pPr>
            <w:r>
              <w:t>57.0</w:t>
            </w:r>
          </w:p>
        </w:tc>
        <w:tc>
          <w:tcPr>
            <w:tcW w:w="257" w:type="pct"/>
            <w:vAlign w:val="center"/>
          </w:tcPr>
          <w:p w14:paraId="656C15B7">
            <w:pPr>
              <w:pStyle w:val="28"/>
              <w:bidi w:val="0"/>
            </w:pPr>
            <w:r>
              <w:t>50.0</w:t>
            </w:r>
          </w:p>
        </w:tc>
        <w:tc>
          <w:tcPr>
            <w:tcW w:w="257" w:type="pct"/>
            <w:vAlign w:val="center"/>
          </w:tcPr>
          <w:p w14:paraId="0302E315">
            <w:pPr>
              <w:pStyle w:val="28"/>
              <w:bidi w:val="0"/>
            </w:pPr>
            <w:r>
              <w:t>54.9</w:t>
            </w:r>
          </w:p>
        </w:tc>
        <w:tc>
          <w:tcPr>
            <w:tcW w:w="257" w:type="pct"/>
            <w:vAlign w:val="center"/>
          </w:tcPr>
          <w:p w14:paraId="1AB083B1">
            <w:pPr>
              <w:pStyle w:val="28"/>
              <w:bidi w:val="0"/>
            </w:pPr>
            <w:r>
              <w:t>1.7</w:t>
            </w:r>
          </w:p>
        </w:tc>
        <w:tc>
          <w:tcPr>
            <w:tcW w:w="209" w:type="pct"/>
            <w:vAlign w:val="center"/>
          </w:tcPr>
          <w:p w14:paraId="56040AEF">
            <w:pPr>
              <w:pStyle w:val="28"/>
              <w:bidi w:val="0"/>
            </w:pPr>
            <w:r>
              <w:t>达标</w:t>
            </w:r>
          </w:p>
        </w:tc>
      </w:tr>
      <w:tr w14:paraId="7731D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1979D74">
            <w:pPr>
              <w:pStyle w:val="28"/>
              <w:bidi w:val="0"/>
            </w:pPr>
            <w:r>
              <w:rPr>
                <w:rFonts w:hint="eastAsia"/>
              </w:rPr>
              <w:t>罗家楼</w:t>
            </w:r>
          </w:p>
        </w:tc>
        <w:tc>
          <w:tcPr>
            <w:tcW w:w="511" w:type="pct"/>
            <w:vAlign w:val="center"/>
          </w:tcPr>
          <w:p w14:paraId="758BA616">
            <w:pPr>
              <w:pStyle w:val="28"/>
              <w:bidi w:val="0"/>
            </w:pPr>
            <w:r>
              <w:rPr>
                <w:rFonts w:hint="eastAsia"/>
              </w:rPr>
              <w:t>滑坡治理</w:t>
            </w:r>
          </w:p>
        </w:tc>
        <w:tc>
          <w:tcPr>
            <w:tcW w:w="366" w:type="pct"/>
            <w:vAlign w:val="center"/>
          </w:tcPr>
          <w:p w14:paraId="5A8E4FA5">
            <w:pPr>
              <w:pStyle w:val="28"/>
              <w:bidi w:val="0"/>
            </w:pPr>
            <w:r>
              <w:t>80</w:t>
            </w:r>
          </w:p>
        </w:tc>
        <w:tc>
          <w:tcPr>
            <w:tcW w:w="268" w:type="pct"/>
            <w:vAlign w:val="center"/>
          </w:tcPr>
          <w:p w14:paraId="4C640C79">
            <w:pPr>
              <w:pStyle w:val="28"/>
              <w:bidi w:val="0"/>
            </w:pPr>
            <w:r>
              <w:rPr>
                <w:rFonts w:hint="eastAsia"/>
              </w:rPr>
              <w:t>左岸</w:t>
            </w:r>
          </w:p>
        </w:tc>
        <w:tc>
          <w:tcPr>
            <w:tcW w:w="262" w:type="pct"/>
            <w:vAlign w:val="center"/>
          </w:tcPr>
          <w:p w14:paraId="2C9432E7">
            <w:pPr>
              <w:pStyle w:val="28"/>
              <w:bidi w:val="0"/>
            </w:pPr>
            <w:r>
              <w:t>1</w:t>
            </w:r>
            <w:r>
              <w:rPr>
                <w:rFonts w:hint="eastAsia"/>
              </w:rPr>
              <w:t>类</w:t>
            </w:r>
          </w:p>
        </w:tc>
        <w:tc>
          <w:tcPr>
            <w:tcW w:w="809" w:type="pct"/>
            <w:vMerge w:val="continue"/>
            <w:vAlign w:val="center"/>
          </w:tcPr>
          <w:p w14:paraId="399D3438">
            <w:pPr>
              <w:pStyle w:val="28"/>
              <w:bidi w:val="0"/>
            </w:pPr>
          </w:p>
        </w:tc>
        <w:tc>
          <w:tcPr>
            <w:tcW w:w="208" w:type="pct"/>
            <w:vAlign w:val="center"/>
          </w:tcPr>
          <w:p w14:paraId="57867457">
            <w:pPr>
              <w:pStyle w:val="28"/>
              <w:bidi w:val="0"/>
            </w:pPr>
            <w:r>
              <w:t>53.2</w:t>
            </w:r>
          </w:p>
        </w:tc>
        <w:tc>
          <w:tcPr>
            <w:tcW w:w="211" w:type="pct"/>
            <w:vAlign w:val="center"/>
          </w:tcPr>
          <w:p w14:paraId="7CFA823F">
            <w:pPr>
              <w:pStyle w:val="28"/>
              <w:bidi w:val="0"/>
            </w:pPr>
            <w:r>
              <w:t>42.6</w:t>
            </w:r>
          </w:p>
        </w:tc>
        <w:tc>
          <w:tcPr>
            <w:tcW w:w="208" w:type="pct"/>
            <w:vAlign w:val="center"/>
          </w:tcPr>
          <w:p w14:paraId="5862ED3D">
            <w:pPr>
              <w:pStyle w:val="28"/>
              <w:bidi w:val="0"/>
            </w:pPr>
            <w:r>
              <w:t>55</w:t>
            </w:r>
          </w:p>
        </w:tc>
        <w:tc>
          <w:tcPr>
            <w:tcW w:w="211" w:type="pct"/>
            <w:vAlign w:val="center"/>
          </w:tcPr>
          <w:p w14:paraId="5DAFA4DC">
            <w:pPr>
              <w:pStyle w:val="28"/>
              <w:bidi w:val="0"/>
            </w:pPr>
            <w:r>
              <w:t>45</w:t>
            </w:r>
          </w:p>
        </w:tc>
        <w:tc>
          <w:tcPr>
            <w:tcW w:w="276" w:type="pct"/>
            <w:vAlign w:val="center"/>
          </w:tcPr>
          <w:p w14:paraId="7FE5090F">
            <w:pPr>
              <w:pStyle w:val="28"/>
              <w:bidi w:val="0"/>
            </w:pPr>
            <w:r>
              <w:t>49.5</w:t>
            </w:r>
          </w:p>
        </w:tc>
        <w:tc>
          <w:tcPr>
            <w:tcW w:w="257" w:type="pct"/>
            <w:vAlign w:val="center"/>
          </w:tcPr>
          <w:p w14:paraId="5B31DBFB">
            <w:pPr>
              <w:pStyle w:val="28"/>
              <w:bidi w:val="0"/>
            </w:pPr>
            <w:r>
              <w:t>42.5</w:t>
            </w:r>
          </w:p>
        </w:tc>
        <w:tc>
          <w:tcPr>
            <w:tcW w:w="257" w:type="pct"/>
            <w:vAlign w:val="center"/>
          </w:tcPr>
          <w:p w14:paraId="55771DA9">
            <w:pPr>
              <w:pStyle w:val="28"/>
              <w:bidi w:val="0"/>
            </w:pPr>
            <w:r>
              <w:t>53.6</w:t>
            </w:r>
          </w:p>
        </w:tc>
        <w:tc>
          <w:tcPr>
            <w:tcW w:w="257" w:type="pct"/>
            <w:vAlign w:val="center"/>
          </w:tcPr>
          <w:p w14:paraId="24DA4C38">
            <w:pPr>
              <w:pStyle w:val="28"/>
              <w:bidi w:val="0"/>
            </w:pPr>
            <w:r>
              <w:t>0.4</w:t>
            </w:r>
          </w:p>
        </w:tc>
        <w:tc>
          <w:tcPr>
            <w:tcW w:w="209" w:type="pct"/>
            <w:vAlign w:val="center"/>
          </w:tcPr>
          <w:p w14:paraId="7A9D3D25">
            <w:pPr>
              <w:pStyle w:val="28"/>
              <w:bidi w:val="0"/>
            </w:pPr>
            <w:r>
              <w:t>达标</w:t>
            </w:r>
          </w:p>
        </w:tc>
      </w:tr>
      <w:tr w14:paraId="5FCD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58C1D36">
            <w:pPr>
              <w:pStyle w:val="28"/>
              <w:bidi w:val="0"/>
            </w:pPr>
            <w:r>
              <w:rPr>
                <w:rFonts w:hint="eastAsia"/>
              </w:rPr>
              <w:t>望山村</w:t>
            </w:r>
          </w:p>
        </w:tc>
        <w:tc>
          <w:tcPr>
            <w:tcW w:w="511" w:type="pct"/>
            <w:vAlign w:val="center"/>
          </w:tcPr>
          <w:p w14:paraId="794B22BF">
            <w:pPr>
              <w:pStyle w:val="28"/>
              <w:bidi w:val="0"/>
            </w:pPr>
            <w:r>
              <w:rPr>
                <w:rFonts w:hint="eastAsia"/>
              </w:rPr>
              <w:t>放水涵重建</w:t>
            </w:r>
          </w:p>
        </w:tc>
        <w:tc>
          <w:tcPr>
            <w:tcW w:w="366" w:type="pct"/>
            <w:vAlign w:val="center"/>
          </w:tcPr>
          <w:p w14:paraId="2CE49BE4">
            <w:pPr>
              <w:pStyle w:val="28"/>
              <w:bidi w:val="0"/>
            </w:pPr>
            <w:r>
              <w:t>175</w:t>
            </w:r>
          </w:p>
        </w:tc>
        <w:tc>
          <w:tcPr>
            <w:tcW w:w="268" w:type="pct"/>
            <w:vAlign w:val="center"/>
          </w:tcPr>
          <w:p w14:paraId="20BA5004">
            <w:pPr>
              <w:pStyle w:val="28"/>
              <w:bidi w:val="0"/>
            </w:pPr>
            <w:r>
              <w:rPr>
                <w:rFonts w:hint="eastAsia"/>
              </w:rPr>
              <w:t>右岸</w:t>
            </w:r>
          </w:p>
        </w:tc>
        <w:tc>
          <w:tcPr>
            <w:tcW w:w="262" w:type="pct"/>
            <w:vAlign w:val="center"/>
          </w:tcPr>
          <w:p w14:paraId="071D3C47">
            <w:pPr>
              <w:pStyle w:val="28"/>
              <w:bidi w:val="0"/>
            </w:pPr>
            <w:r>
              <w:t>1</w:t>
            </w:r>
            <w:r>
              <w:rPr>
                <w:rFonts w:hint="eastAsia"/>
              </w:rPr>
              <w:t>类</w:t>
            </w:r>
          </w:p>
        </w:tc>
        <w:tc>
          <w:tcPr>
            <w:tcW w:w="809" w:type="pct"/>
            <w:vMerge w:val="continue"/>
            <w:vAlign w:val="center"/>
          </w:tcPr>
          <w:p w14:paraId="219B8CE1">
            <w:pPr>
              <w:pStyle w:val="28"/>
              <w:bidi w:val="0"/>
            </w:pPr>
          </w:p>
        </w:tc>
        <w:tc>
          <w:tcPr>
            <w:tcW w:w="208" w:type="pct"/>
            <w:vAlign w:val="center"/>
          </w:tcPr>
          <w:p w14:paraId="1A7DAF21">
            <w:pPr>
              <w:pStyle w:val="28"/>
              <w:bidi w:val="0"/>
            </w:pPr>
            <w:r>
              <w:t>53.2</w:t>
            </w:r>
          </w:p>
        </w:tc>
        <w:tc>
          <w:tcPr>
            <w:tcW w:w="211" w:type="pct"/>
            <w:vAlign w:val="center"/>
          </w:tcPr>
          <w:p w14:paraId="07FADA41">
            <w:pPr>
              <w:pStyle w:val="28"/>
              <w:bidi w:val="0"/>
            </w:pPr>
            <w:r>
              <w:t>42.6</w:t>
            </w:r>
          </w:p>
        </w:tc>
        <w:tc>
          <w:tcPr>
            <w:tcW w:w="208" w:type="pct"/>
            <w:vAlign w:val="center"/>
          </w:tcPr>
          <w:p w14:paraId="45C890EB">
            <w:pPr>
              <w:pStyle w:val="28"/>
              <w:bidi w:val="0"/>
            </w:pPr>
            <w:r>
              <w:t>55</w:t>
            </w:r>
          </w:p>
        </w:tc>
        <w:tc>
          <w:tcPr>
            <w:tcW w:w="211" w:type="pct"/>
            <w:vAlign w:val="center"/>
          </w:tcPr>
          <w:p w14:paraId="6D2D0873">
            <w:pPr>
              <w:pStyle w:val="28"/>
              <w:bidi w:val="0"/>
            </w:pPr>
            <w:r>
              <w:t>45</w:t>
            </w:r>
          </w:p>
        </w:tc>
        <w:tc>
          <w:tcPr>
            <w:tcW w:w="276" w:type="pct"/>
            <w:vAlign w:val="center"/>
          </w:tcPr>
          <w:p w14:paraId="75DFCA8D">
            <w:pPr>
              <w:pStyle w:val="28"/>
              <w:bidi w:val="0"/>
            </w:pPr>
            <w:r>
              <w:t>48.3</w:t>
            </w:r>
          </w:p>
        </w:tc>
        <w:tc>
          <w:tcPr>
            <w:tcW w:w="257" w:type="pct"/>
            <w:vAlign w:val="center"/>
          </w:tcPr>
          <w:p w14:paraId="0575D1CA">
            <w:pPr>
              <w:pStyle w:val="28"/>
              <w:bidi w:val="0"/>
            </w:pPr>
            <w:r>
              <w:t>41.3</w:t>
            </w:r>
          </w:p>
        </w:tc>
        <w:tc>
          <w:tcPr>
            <w:tcW w:w="257" w:type="pct"/>
            <w:vAlign w:val="center"/>
          </w:tcPr>
          <w:p w14:paraId="5A0C5E69">
            <w:pPr>
              <w:pStyle w:val="28"/>
              <w:bidi w:val="0"/>
            </w:pPr>
            <w:r>
              <w:t>53.5</w:t>
            </w:r>
          </w:p>
        </w:tc>
        <w:tc>
          <w:tcPr>
            <w:tcW w:w="257" w:type="pct"/>
            <w:vAlign w:val="center"/>
          </w:tcPr>
          <w:p w14:paraId="734350F7">
            <w:pPr>
              <w:pStyle w:val="28"/>
              <w:bidi w:val="0"/>
            </w:pPr>
            <w:r>
              <w:t>0.3</w:t>
            </w:r>
          </w:p>
        </w:tc>
        <w:tc>
          <w:tcPr>
            <w:tcW w:w="209" w:type="pct"/>
            <w:vAlign w:val="center"/>
          </w:tcPr>
          <w:p w14:paraId="74FF86AE">
            <w:pPr>
              <w:pStyle w:val="28"/>
              <w:bidi w:val="0"/>
            </w:pPr>
            <w:r>
              <w:t>达标</w:t>
            </w:r>
          </w:p>
        </w:tc>
      </w:tr>
      <w:tr w14:paraId="5BF02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6421C6B">
            <w:pPr>
              <w:pStyle w:val="28"/>
              <w:bidi w:val="0"/>
            </w:pPr>
            <w:r>
              <w:rPr>
                <w:rFonts w:hint="eastAsia"/>
              </w:rPr>
              <w:t>姚李</w:t>
            </w:r>
          </w:p>
        </w:tc>
        <w:tc>
          <w:tcPr>
            <w:tcW w:w="511" w:type="pct"/>
            <w:vAlign w:val="center"/>
          </w:tcPr>
          <w:p w14:paraId="21E6526F">
            <w:pPr>
              <w:pStyle w:val="28"/>
              <w:bidi w:val="0"/>
            </w:pPr>
            <w:r>
              <w:rPr>
                <w:rFonts w:hint="eastAsia"/>
              </w:rPr>
              <w:t>放水涵重建</w:t>
            </w:r>
          </w:p>
        </w:tc>
        <w:tc>
          <w:tcPr>
            <w:tcW w:w="366" w:type="pct"/>
            <w:vAlign w:val="center"/>
          </w:tcPr>
          <w:p w14:paraId="65057AE1">
            <w:pPr>
              <w:pStyle w:val="28"/>
              <w:bidi w:val="0"/>
            </w:pPr>
            <w:r>
              <w:t>124</w:t>
            </w:r>
          </w:p>
        </w:tc>
        <w:tc>
          <w:tcPr>
            <w:tcW w:w="268" w:type="pct"/>
            <w:vAlign w:val="center"/>
          </w:tcPr>
          <w:p w14:paraId="30A7C60F">
            <w:pPr>
              <w:pStyle w:val="28"/>
              <w:bidi w:val="0"/>
            </w:pPr>
            <w:r>
              <w:rPr>
                <w:rFonts w:hint="eastAsia"/>
              </w:rPr>
              <w:t>左右岸</w:t>
            </w:r>
          </w:p>
        </w:tc>
        <w:tc>
          <w:tcPr>
            <w:tcW w:w="262" w:type="pct"/>
            <w:vAlign w:val="center"/>
          </w:tcPr>
          <w:p w14:paraId="4651ACED">
            <w:pPr>
              <w:pStyle w:val="28"/>
              <w:bidi w:val="0"/>
            </w:pPr>
            <w:r>
              <w:t>1</w:t>
            </w:r>
            <w:r>
              <w:rPr>
                <w:rFonts w:hint="eastAsia"/>
              </w:rPr>
              <w:t>类</w:t>
            </w:r>
          </w:p>
        </w:tc>
        <w:tc>
          <w:tcPr>
            <w:tcW w:w="809" w:type="pct"/>
            <w:vMerge w:val="continue"/>
            <w:vAlign w:val="center"/>
          </w:tcPr>
          <w:p w14:paraId="2BA240C1">
            <w:pPr>
              <w:pStyle w:val="28"/>
              <w:bidi w:val="0"/>
            </w:pPr>
          </w:p>
        </w:tc>
        <w:tc>
          <w:tcPr>
            <w:tcW w:w="208" w:type="pct"/>
            <w:vAlign w:val="center"/>
          </w:tcPr>
          <w:p w14:paraId="375A65C3">
            <w:pPr>
              <w:pStyle w:val="28"/>
              <w:bidi w:val="0"/>
            </w:pPr>
            <w:r>
              <w:t>53.2</w:t>
            </w:r>
          </w:p>
        </w:tc>
        <w:tc>
          <w:tcPr>
            <w:tcW w:w="211" w:type="pct"/>
            <w:vAlign w:val="center"/>
          </w:tcPr>
          <w:p w14:paraId="41E417B0">
            <w:pPr>
              <w:pStyle w:val="28"/>
              <w:bidi w:val="0"/>
            </w:pPr>
            <w:r>
              <w:t>42.6</w:t>
            </w:r>
          </w:p>
        </w:tc>
        <w:tc>
          <w:tcPr>
            <w:tcW w:w="208" w:type="pct"/>
            <w:vAlign w:val="center"/>
          </w:tcPr>
          <w:p w14:paraId="2BF1E873">
            <w:pPr>
              <w:pStyle w:val="28"/>
              <w:bidi w:val="0"/>
            </w:pPr>
            <w:r>
              <w:t>55</w:t>
            </w:r>
          </w:p>
        </w:tc>
        <w:tc>
          <w:tcPr>
            <w:tcW w:w="211" w:type="pct"/>
            <w:vAlign w:val="center"/>
          </w:tcPr>
          <w:p w14:paraId="1244B7A9">
            <w:pPr>
              <w:pStyle w:val="28"/>
              <w:bidi w:val="0"/>
            </w:pPr>
            <w:r>
              <w:t>45</w:t>
            </w:r>
          </w:p>
        </w:tc>
        <w:tc>
          <w:tcPr>
            <w:tcW w:w="276" w:type="pct"/>
            <w:vAlign w:val="center"/>
          </w:tcPr>
          <w:p w14:paraId="5931A539">
            <w:pPr>
              <w:pStyle w:val="28"/>
              <w:bidi w:val="0"/>
            </w:pPr>
            <w:r>
              <w:t>51.3</w:t>
            </w:r>
          </w:p>
        </w:tc>
        <w:tc>
          <w:tcPr>
            <w:tcW w:w="257" w:type="pct"/>
            <w:vAlign w:val="center"/>
          </w:tcPr>
          <w:p w14:paraId="221B4970">
            <w:pPr>
              <w:pStyle w:val="28"/>
              <w:bidi w:val="0"/>
            </w:pPr>
            <w:r>
              <w:t>44.3</w:t>
            </w:r>
          </w:p>
        </w:tc>
        <w:tc>
          <w:tcPr>
            <w:tcW w:w="257" w:type="pct"/>
            <w:vAlign w:val="center"/>
          </w:tcPr>
          <w:p w14:paraId="43D7E423">
            <w:pPr>
              <w:pStyle w:val="28"/>
              <w:bidi w:val="0"/>
            </w:pPr>
            <w:r>
              <w:t>53.7</w:t>
            </w:r>
          </w:p>
        </w:tc>
        <w:tc>
          <w:tcPr>
            <w:tcW w:w="257" w:type="pct"/>
            <w:vAlign w:val="center"/>
          </w:tcPr>
          <w:p w14:paraId="40094B33">
            <w:pPr>
              <w:pStyle w:val="28"/>
              <w:bidi w:val="0"/>
            </w:pPr>
            <w:r>
              <w:t>0.5</w:t>
            </w:r>
          </w:p>
        </w:tc>
        <w:tc>
          <w:tcPr>
            <w:tcW w:w="209" w:type="pct"/>
            <w:vAlign w:val="center"/>
          </w:tcPr>
          <w:p w14:paraId="0DD5BD26">
            <w:pPr>
              <w:pStyle w:val="28"/>
              <w:bidi w:val="0"/>
            </w:pPr>
            <w:r>
              <w:t>达标</w:t>
            </w:r>
          </w:p>
        </w:tc>
      </w:tr>
      <w:tr w14:paraId="377AA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DAA0D9A">
            <w:pPr>
              <w:pStyle w:val="28"/>
              <w:bidi w:val="0"/>
            </w:pPr>
            <w:r>
              <w:rPr>
                <w:rFonts w:hint="eastAsia"/>
              </w:rPr>
              <w:t>陈小圩</w:t>
            </w:r>
          </w:p>
        </w:tc>
        <w:tc>
          <w:tcPr>
            <w:tcW w:w="511" w:type="pct"/>
            <w:vAlign w:val="center"/>
          </w:tcPr>
          <w:p w14:paraId="1DB5A3ED">
            <w:pPr>
              <w:pStyle w:val="28"/>
              <w:bidi w:val="0"/>
            </w:pPr>
            <w:r>
              <w:rPr>
                <w:rFonts w:hint="eastAsia"/>
              </w:rPr>
              <w:t>渠堤加培</w:t>
            </w:r>
          </w:p>
        </w:tc>
        <w:tc>
          <w:tcPr>
            <w:tcW w:w="366" w:type="pct"/>
            <w:vAlign w:val="center"/>
          </w:tcPr>
          <w:p w14:paraId="5E683762">
            <w:pPr>
              <w:pStyle w:val="28"/>
              <w:bidi w:val="0"/>
            </w:pPr>
            <w:r>
              <w:t>50</w:t>
            </w:r>
          </w:p>
        </w:tc>
        <w:tc>
          <w:tcPr>
            <w:tcW w:w="268" w:type="pct"/>
            <w:vAlign w:val="center"/>
          </w:tcPr>
          <w:p w14:paraId="33AB4955">
            <w:pPr>
              <w:pStyle w:val="28"/>
              <w:bidi w:val="0"/>
            </w:pPr>
            <w:r>
              <w:rPr>
                <w:rFonts w:hint="eastAsia"/>
              </w:rPr>
              <w:t>左右岸</w:t>
            </w:r>
          </w:p>
        </w:tc>
        <w:tc>
          <w:tcPr>
            <w:tcW w:w="262" w:type="pct"/>
            <w:vAlign w:val="center"/>
          </w:tcPr>
          <w:p w14:paraId="7556CE6C">
            <w:pPr>
              <w:pStyle w:val="28"/>
              <w:bidi w:val="0"/>
            </w:pPr>
            <w:r>
              <w:t>1</w:t>
            </w:r>
            <w:r>
              <w:rPr>
                <w:rFonts w:hint="eastAsia"/>
              </w:rPr>
              <w:t>类</w:t>
            </w:r>
          </w:p>
        </w:tc>
        <w:tc>
          <w:tcPr>
            <w:tcW w:w="809" w:type="pct"/>
            <w:vMerge w:val="continue"/>
            <w:vAlign w:val="center"/>
          </w:tcPr>
          <w:p w14:paraId="11083A21">
            <w:pPr>
              <w:pStyle w:val="28"/>
              <w:bidi w:val="0"/>
            </w:pPr>
          </w:p>
        </w:tc>
        <w:tc>
          <w:tcPr>
            <w:tcW w:w="208" w:type="pct"/>
            <w:vAlign w:val="center"/>
          </w:tcPr>
          <w:p w14:paraId="27DB0D79">
            <w:pPr>
              <w:pStyle w:val="28"/>
              <w:bidi w:val="0"/>
            </w:pPr>
            <w:r>
              <w:t>53.2</w:t>
            </w:r>
          </w:p>
        </w:tc>
        <w:tc>
          <w:tcPr>
            <w:tcW w:w="211" w:type="pct"/>
            <w:vAlign w:val="center"/>
          </w:tcPr>
          <w:p w14:paraId="34397AB6">
            <w:pPr>
              <w:pStyle w:val="28"/>
              <w:bidi w:val="0"/>
            </w:pPr>
            <w:r>
              <w:t>42.6</w:t>
            </w:r>
          </w:p>
        </w:tc>
        <w:tc>
          <w:tcPr>
            <w:tcW w:w="208" w:type="pct"/>
            <w:vAlign w:val="center"/>
          </w:tcPr>
          <w:p w14:paraId="42B99C20">
            <w:pPr>
              <w:pStyle w:val="28"/>
              <w:bidi w:val="0"/>
            </w:pPr>
            <w:r>
              <w:t>55</w:t>
            </w:r>
          </w:p>
        </w:tc>
        <w:tc>
          <w:tcPr>
            <w:tcW w:w="211" w:type="pct"/>
            <w:vAlign w:val="center"/>
          </w:tcPr>
          <w:p w14:paraId="0ED0E6B2">
            <w:pPr>
              <w:pStyle w:val="28"/>
              <w:bidi w:val="0"/>
            </w:pPr>
            <w:r>
              <w:t>45</w:t>
            </w:r>
          </w:p>
        </w:tc>
        <w:tc>
          <w:tcPr>
            <w:tcW w:w="276" w:type="pct"/>
            <w:vAlign w:val="center"/>
          </w:tcPr>
          <w:p w14:paraId="1A6174B0">
            <w:pPr>
              <w:pStyle w:val="28"/>
              <w:bidi w:val="0"/>
            </w:pPr>
            <w:r>
              <w:t>57.6</w:t>
            </w:r>
          </w:p>
        </w:tc>
        <w:tc>
          <w:tcPr>
            <w:tcW w:w="257" w:type="pct"/>
            <w:vAlign w:val="center"/>
          </w:tcPr>
          <w:p w14:paraId="4EABA01B">
            <w:pPr>
              <w:pStyle w:val="28"/>
              <w:bidi w:val="0"/>
            </w:pPr>
            <w:r>
              <w:t>49.6</w:t>
            </w:r>
          </w:p>
        </w:tc>
        <w:tc>
          <w:tcPr>
            <w:tcW w:w="257" w:type="pct"/>
            <w:vAlign w:val="center"/>
          </w:tcPr>
          <w:p w14:paraId="0DEA4706">
            <w:pPr>
              <w:pStyle w:val="28"/>
              <w:bidi w:val="0"/>
            </w:pPr>
            <w:r>
              <w:t>54.8</w:t>
            </w:r>
          </w:p>
        </w:tc>
        <w:tc>
          <w:tcPr>
            <w:tcW w:w="257" w:type="pct"/>
            <w:vAlign w:val="center"/>
          </w:tcPr>
          <w:p w14:paraId="17615182">
            <w:pPr>
              <w:pStyle w:val="28"/>
              <w:bidi w:val="0"/>
            </w:pPr>
            <w:r>
              <w:t>1.6</w:t>
            </w:r>
          </w:p>
        </w:tc>
        <w:tc>
          <w:tcPr>
            <w:tcW w:w="209" w:type="pct"/>
            <w:vAlign w:val="center"/>
          </w:tcPr>
          <w:p w14:paraId="29E18977">
            <w:pPr>
              <w:pStyle w:val="28"/>
              <w:bidi w:val="0"/>
            </w:pPr>
            <w:r>
              <w:t>达标</w:t>
            </w:r>
          </w:p>
        </w:tc>
      </w:tr>
      <w:tr w14:paraId="2CB1B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8EF10AC">
            <w:pPr>
              <w:pStyle w:val="28"/>
              <w:bidi w:val="0"/>
            </w:pPr>
            <w:r>
              <w:rPr>
                <w:rFonts w:hint="eastAsia"/>
              </w:rPr>
              <w:t>闸口</w:t>
            </w:r>
          </w:p>
        </w:tc>
        <w:tc>
          <w:tcPr>
            <w:tcW w:w="511" w:type="pct"/>
            <w:vAlign w:val="center"/>
          </w:tcPr>
          <w:p w14:paraId="3678BC4A">
            <w:pPr>
              <w:pStyle w:val="28"/>
              <w:bidi w:val="0"/>
            </w:pPr>
            <w:r>
              <w:t>30+700~32+000右岸渠堤加培</w:t>
            </w:r>
          </w:p>
        </w:tc>
        <w:tc>
          <w:tcPr>
            <w:tcW w:w="366" w:type="pct"/>
            <w:vAlign w:val="center"/>
          </w:tcPr>
          <w:p w14:paraId="1308F373">
            <w:pPr>
              <w:pStyle w:val="28"/>
              <w:bidi w:val="0"/>
            </w:pPr>
            <w:r>
              <w:t>180</w:t>
            </w:r>
          </w:p>
        </w:tc>
        <w:tc>
          <w:tcPr>
            <w:tcW w:w="268" w:type="pct"/>
            <w:vAlign w:val="center"/>
          </w:tcPr>
          <w:p w14:paraId="51FC93EB">
            <w:pPr>
              <w:pStyle w:val="28"/>
              <w:bidi w:val="0"/>
            </w:pPr>
            <w:r>
              <w:rPr>
                <w:rFonts w:hint="eastAsia"/>
              </w:rPr>
              <w:t>右岸</w:t>
            </w:r>
          </w:p>
        </w:tc>
        <w:tc>
          <w:tcPr>
            <w:tcW w:w="262" w:type="pct"/>
            <w:vAlign w:val="center"/>
          </w:tcPr>
          <w:p w14:paraId="38DF65CF">
            <w:pPr>
              <w:pStyle w:val="28"/>
              <w:bidi w:val="0"/>
            </w:pPr>
            <w:r>
              <w:t>1</w:t>
            </w:r>
            <w:r>
              <w:rPr>
                <w:rFonts w:hint="eastAsia"/>
              </w:rPr>
              <w:t>类</w:t>
            </w:r>
          </w:p>
        </w:tc>
        <w:tc>
          <w:tcPr>
            <w:tcW w:w="809" w:type="pct"/>
            <w:vMerge w:val="continue"/>
            <w:vAlign w:val="center"/>
          </w:tcPr>
          <w:p w14:paraId="732739FC">
            <w:pPr>
              <w:pStyle w:val="28"/>
              <w:bidi w:val="0"/>
            </w:pPr>
          </w:p>
        </w:tc>
        <w:tc>
          <w:tcPr>
            <w:tcW w:w="208" w:type="pct"/>
            <w:vAlign w:val="center"/>
          </w:tcPr>
          <w:p w14:paraId="66485BCC">
            <w:pPr>
              <w:pStyle w:val="28"/>
              <w:bidi w:val="0"/>
            </w:pPr>
            <w:r>
              <w:t>53.4</w:t>
            </w:r>
          </w:p>
        </w:tc>
        <w:tc>
          <w:tcPr>
            <w:tcW w:w="211" w:type="pct"/>
            <w:vAlign w:val="center"/>
          </w:tcPr>
          <w:p w14:paraId="0B80356B">
            <w:pPr>
              <w:pStyle w:val="28"/>
              <w:bidi w:val="0"/>
            </w:pPr>
            <w:r>
              <w:t>40.6</w:t>
            </w:r>
          </w:p>
        </w:tc>
        <w:tc>
          <w:tcPr>
            <w:tcW w:w="208" w:type="pct"/>
            <w:vAlign w:val="center"/>
          </w:tcPr>
          <w:p w14:paraId="55A8751D">
            <w:pPr>
              <w:pStyle w:val="28"/>
              <w:bidi w:val="0"/>
            </w:pPr>
            <w:r>
              <w:t>55</w:t>
            </w:r>
          </w:p>
        </w:tc>
        <w:tc>
          <w:tcPr>
            <w:tcW w:w="211" w:type="pct"/>
            <w:vAlign w:val="center"/>
          </w:tcPr>
          <w:p w14:paraId="6E6FA574">
            <w:pPr>
              <w:pStyle w:val="28"/>
              <w:bidi w:val="0"/>
            </w:pPr>
            <w:r>
              <w:t>45</w:t>
            </w:r>
          </w:p>
        </w:tc>
        <w:tc>
          <w:tcPr>
            <w:tcW w:w="276" w:type="pct"/>
            <w:vAlign w:val="center"/>
          </w:tcPr>
          <w:p w14:paraId="3CE7B97D">
            <w:pPr>
              <w:pStyle w:val="28"/>
              <w:bidi w:val="0"/>
            </w:pPr>
            <w:r>
              <w:t>46.4</w:t>
            </w:r>
          </w:p>
        </w:tc>
        <w:tc>
          <w:tcPr>
            <w:tcW w:w="257" w:type="pct"/>
            <w:vAlign w:val="center"/>
          </w:tcPr>
          <w:p w14:paraId="6CA38F73">
            <w:pPr>
              <w:pStyle w:val="28"/>
              <w:bidi w:val="0"/>
            </w:pPr>
            <w:r>
              <w:t>39.4</w:t>
            </w:r>
          </w:p>
        </w:tc>
        <w:tc>
          <w:tcPr>
            <w:tcW w:w="257" w:type="pct"/>
            <w:vAlign w:val="center"/>
          </w:tcPr>
          <w:p w14:paraId="02DF00B4">
            <w:pPr>
              <w:pStyle w:val="28"/>
              <w:bidi w:val="0"/>
            </w:pPr>
            <w:r>
              <w:t>53.6</w:t>
            </w:r>
          </w:p>
        </w:tc>
        <w:tc>
          <w:tcPr>
            <w:tcW w:w="257" w:type="pct"/>
            <w:vAlign w:val="center"/>
          </w:tcPr>
          <w:p w14:paraId="6CF451FA">
            <w:pPr>
              <w:pStyle w:val="28"/>
              <w:bidi w:val="0"/>
            </w:pPr>
            <w:r>
              <w:t>0.2</w:t>
            </w:r>
          </w:p>
        </w:tc>
        <w:tc>
          <w:tcPr>
            <w:tcW w:w="209" w:type="pct"/>
            <w:vAlign w:val="center"/>
          </w:tcPr>
          <w:p w14:paraId="63AAEEB7">
            <w:pPr>
              <w:pStyle w:val="28"/>
              <w:bidi w:val="0"/>
            </w:pPr>
            <w:r>
              <w:t>达标</w:t>
            </w:r>
          </w:p>
        </w:tc>
      </w:tr>
      <w:tr w14:paraId="567FE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C32EE0D">
            <w:pPr>
              <w:pStyle w:val="28"/>
              <w:bidi w:val="0"/>
            </w:pPr>
            <w:r>
              <w:rPr>
                <w:rFonts w:hint="eastAsia"/>
              </w:rPr>
              <w:t>大塘</w:t>
            </w:r>
          </w:p>
        </w:tc>
        <w:tc>
          <w:tcPr>
            <w:tcW w:w="511" w:type="pct"/>
            <w:vAlign w:val="center"/>
          </w:tcPr>
          <w:p w14:paraId="1FC3720C">
            <w:pPr>
              <w:pStyle w:val="28"/>
              <w:bidi w:val="0"/>
            </w:pPr>
            <w:r>
              <w:t>37+092~40+318右岸道路</w:t>
            </w:r>
          </w:p>
        </w:tc>
        <w:tc>
          <w:tcPr>
            <w:tcW w:w="366" w:type="pct"/>
            <w:vAlign w:val="center"/>
          </w:tcPr>
          <w:p w14:paraId="690EE562">
            <w:pPr>
              <w:pStyle w:val="28"/>
              <w:bidi w:val="0"/>
            </w:pPr>
            <w:r>
              <w:t>167</w:t>
            </w:r>
          </w:p>
        </w:tc>
        <w:tc>
          <w:tcPr>
            <w:tcW w:w="268" w:type="pct"/>
            <w:vAlign w:val="center"/>
          </w:tcPr>
          <w:p w14:paraId="2DF00DA0">
            <w:pPr>
              <w:pStyle w:val="28"/>
              <w:bidi w:val="0"/>
            </w:pPr>
            <w:r>
              <w:rPr>
                <w:rFonts w:hint="eastAsia"/>
              </w:rPr>
              <w:t>右岸</w:t>
            </w:r>
          </w:p>
        </w:tc>
        <w:tc>
          <w:tcPr>
            <w:tcW w:w="262" w:type="pct"/>
            <w:vAlign w:val="center"/>
          </w:tcPr>
          <w:p w14:paraId="5C9756DA">
            <w:pPr>
              <w:pStyle w:val="28"/>
              <w:bidi w:val="0"/>
            </w:pPr>
            <w:r>
              <w:t>1</w:t>
            </w:r>
            <w:r>
              <w:rPr>
                <w:rFonts w:hint="eastAsia"/>
              </w:rPr>
              <w:t>类</w:t>
            </w:r>
          </w:p>
        </w:tc>
        <w:tc>
          <w:tcPr>
            <w:tcW w:w="809" w:type="pct"/>
            <w:vMerge w:val="continue"/>
            <w:vAlign w:val="center"/>
          </w:tcPr>
          <w:p w14:paraId="34A4BA58">
            <w:pPr>
              <w:pStyle w:val="28"/>
              <w:bidi w:val="0"/>
            </w:pPr>
          </w:p>
        </w:tc>
        <w:tc>
          <w:tcPr>
            <w:tcW w:w="208" w:type="pct"/>
            <w:vAlign w:val="center"/>
          </w:tcPr>
          <w:p w14:paraId="1FEB05E2">
            <w:pPr>
              <w:pStyle w:val="28"/>
              <w:bidi w:val="0"/>
            </w:pPr>
            <w:r>
              <w:t>53.4</w:t>
            </w:r>
          </w:p>
        </w:tc>
        <w:tc>
          <w:tcPr>
            <w:tcW w:w="211" w:type="pct"/>
            <w:vAlign w:val="center"/>
          </w:tcPr>
          <w:p w14:paraId="398D567E">
            <w:pPr>
              <w:pStyle w:val="28"/>
              <w:bidi w:val="0"/>
            </w:pPr>
            <w:r>
              <w:t>40.6</w:t>
            </w:r>
          </w:p>
        </w:tc>
        <w:tc>
          <w:tcPr>
            <w:tcW w:w="208" w:type="pct"/>
            <w:vAlign w:val="center"/>
          </w:tcPr>
          <w:p w14:paraId="515F39F2">
            <w:pPr>
              <w:pStyle w:val="28"/>
              <w:bidi w:val="0"/>
            </w:pPr>
            <w:r>
              <w:t>55</w:t>
            </w:r>
          </w:p>
        </w:tc>
        <w:tc>
          <w:tcPr>
            <w:tcW w:w="211" w:type="pct"/>
            <w:vAlign w:val="center"/>
          </w:tcPr>
          <w:p w14:paraId="2161605F">
            <w:pPr>
              <w:pStyle w:val="28"/>
              <w:bidi w:val="0"/>
            </w:pPr>
            <w:r>
              <w:t>45</w:t>
            </w:r>
          </w:p>
        </w:tc>
        <w:tc>
          <w:tcPr>
            <w:tcW w:w="276" w:type="pct"/>
            <w:vAlign w:val="center"/>
          </w:tcPr>
          <w:p w14:paraId="4A5E034D">
            <w:pPr>
              <w:pStyle w:val="28"/>
              <w:bidi w:val="0"/>
            </w:pPr>
            <w:r>
              <w:t>36.4</w:t>
            </w:r>
          </w:p>
        </w:tc>
        <w:tc>
          <w:tcPr>
            <w:tcW w:w="257" w:type="pct"/>
            <w:vAlign w:val="center"/>
          </w:tcPr>
          <w:p w14:paraId="2C420D48">
            <w:pPr>
              <w:pStyle w:val="28"/>
              <w:bidi w:val="0"/>
            </w:pPr>
            <w:r>
              <w:t>29.4</w:t>
            </w:r>
          </w:p>
        </w:tc>
        <w:tc>
          <w:tcPr>
            <w:tcW w:w="257" w:type="pct"/>
            <w:vAlign w:val="center"/>
          </w:tcPr>
          <w:p w14:paraId="7820899D">
            <w:pPr>
              <w:pStyle w:val="28"/>
              <w:bidi w:val="0"/>
            </w:pPr>
            <w:r>
              <w:t>53.4</w:t>
            </w:r>
          </w:p>
        </w:tc>
        <w:tc>
          <w:tcPr>
            <w:tcW w:w="257" w:type="pct"/>
            <w:vAlign w:val="center"/>
          </w:tcPr>
          <w:p w14:paraId="1AB6C06A">
            <w:pPr>
              <w:pStyle w:val="28"/>
              <w:bidi w:val="0"/>
            </w:pPr>
            <w:r>
              <w:t>0.0</w:t>
            </w:r>
          </w:p>
        </w:tc>
        <w:tc>
          <w:tcPr>
            <w:tcW w:w="209" w:type="pct"/>
            <w:vAlign w:val="center"/>
          </w:tcPr>
          <w:p w14:paraId="5C3A66D8">
            <w:pPr>
              <w:pStyle w:val="28"/>
              <w:bidi w:val="0"/>
            </w:pPr>
            <w:r>
              <w:t>达标</w:t>
            </w:r>
          </w:p>
        </w:tc>
      </w:tr>
      <w:tr w14:paraId="0BA62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9679E95">
            <w:pPr>
              <w:pStyle w:val="28"/>
              <w:bidi w:val="0"/>
            </w:pPr>
            <w:r>
              <w:rPr>
                <w:rFonts w:hint="eastAsia"/>
              </w:rPr>
              <w:t>岗上</w:t>
            </w:r>
          </w:p>
        </w:tc>
        <w:tc>
          <w:tcPr>
            <w:tcW w:w="511" w:type="pct"/>
            <w:vAlign w:val="center"/>
          </w:tcPr>
          <w:p w14:paraId="02FBE390">
            <w:pPr>
              <w:pStyle w:val="28"/>
              <w:bidi w:val="0"/>
            </w:pPr>
            <w:r>
              <w:rPr>
                <w:rFonts w:hint="eastAsia"/>
              </w:rPr>
              <w:t>红星生产桥拆除重建</w:t>
            </w:r>
          </w:p>
        </w:tc>
        <w:tc>
          <w:tcPr>
            <w:tcW w:w="366" w:type="pct"/>
            <w:vAlign w:val="center"/>
          </w:tcPr>
          <w:p w14:paraId="083302F4">
            <w:pPr>
              <w:pStyle w:val="28"/>
              <w:bidi w:val="0"/>
            </w:pPr>
            <w:r>
              <w:t>27</w:t>
            </w:r>
          </w:p>
        </w:tc>
        <w:tc>
          <w:tcPr>
            <w:tcW w:w="268" w:type="pct"/>
            <w:vAlign w:val="center"/>
          </w:tcPr>
          <w:p w14:paraId="6F25C371">
            <w:pPr>
              <w:pStyle w:val="28"/>
              <w:bidi w:val="0"/>
            </w:pPr>
            <w:r>
              <w:rPr>
                <w:rFonts w:hint="eastAsia"/>
              </w:rPr>
              <w:t>右岸</w:t>
            </w:r>
          </w:p>
        </w:tc>
        <w:tc>
          <w:tcPr>
            <w:tcW w:w="262" w:type="pct"/>
            <w:vAlign w:val="center"/>
          </w:tcPr>
          <w:p w14:paraId="71172F1B">
            <w:pPr>
              <w:pStyle w:val="28"/>
              <w:bidi w:val="0"/>
            </w:pPr>
            <w:r>
              <w:t>1</w:t>
            </w:r>
            <w:r>
              <w:rPr>
                <w:rFonts w:hint="eastAsia"/>
              </w:rPr>
              <w:t>类</w:t>
            </w:r>
          </w:p>
        </w:tc>
        <w:tc>
          <w:tcPr>
            <w:tcW w:w="809" w:type="pct"/>
            <w:vAlign w:val="center"/>
          </w:tcPr>
          <w:p w14:paraId="57BAEB21">
            <w:pPr>
              <w:pStyle w:val="28"/>
              <w:bidi w:val="0"/>
            </w:pPr>
            <w:r>
              <w:rPr>
                <w:rFonts w:hint="eastAsia"/>
              </w:rPr>
              <w:t>采用低噪声设备，施工机械远离居民住宅，设置双层移动声屏障</w:t>
            </w:r>
          </w:p>
        </w:tc>
        <w:tc>
          <w:tcPr>
            <w:tcW w:w="208" w:type="pct"/>
            <w:vAlign w:val="center"/>
          </w:tcPr>
          <w:p w14:paraId="6A5CCF18">
            <w:pPr>
              <w:pStyle w:val="28"/>
              <w:bidi w:val="0"/>
            </w:pPr>
            <w:r>
              <w:t>53.4</w:t>
            </w:r>
          </w:p>
        </w:tc>
        <w:tc>
          <w:tcPr>
            <w:tcW w:w="211" w:type="pct"/>
            <w:vAlign w:val="center"/>
          </w:tcPr>
          <w:p w14:paraId="62C48080">
            <w:pPr>
              <w:pStyle w:val="28"/>
              <w:bidi w:val="0"/>
            </w:pPr>
            <w:r>
              <w:t>40.6</w:t>
            </w:r>
          </w:p>
        </w:tc>
        <w:tc>
          <w:tcPr>
            <w:tcW w:w="208" w:type="pct"/>
            <w:vAlign w:val="center"/>
          </w:tcPr>
          <w:p w14:paraId="19A116A5">
            <w:pPr>
              <w:pStyle w:val="28"/>
              <w:bidi w:val="0"/>
            </w:pPr>
            <w:r>
              <w:t>55</w:t>
            </w:r>
          </w:p>
        </w:tc>
        <w:tc>
          <w:tcPr>
            <w:tcW w:w="211" w:type="pct"/>
            <w:vAlign w:val="center"/>
          </w:tcPr>
          <w:p w14:paraId="43C3EDA3">
            <w:pPr>
              <w:pStyle w:val="28"/>
              <w:bidi w:val="0"/>
            </w:pPr>
            <w:r>
              <w:t>45</w:t>
            </w:r>
          </w:p>
        </w:tc>
        <w:tc>
          <w:tcPr>
            <w:tcW w:w="276" w:type="pct"/>
            <w:vAlign w:val="center"/>
          </w:tcPr>
          <w:p w14:paraId="73ADF57E">
            <w:pPr>
              <w:pStyle w:val="28"/>
              <w:bidi w:val="0"/>
            </w:pPr>
            <w:r>
              <w:t>64.6</w:t>
            </w:r>
          </w:p>
        </w:tc>
        <w:tc>
          <w:tcPr>
            <w:tcW w:w="257" w:type="pct"/>
            <w:vAlign w:val="center"/>
          </w:tcPr>
          <w:p w14:paraId="0E546398">
            <w:pPr>
              <w:pStyle w:val="28"/>
              <w:bidi w:val="0"/>
            </w:pPr>
            <w:r>
              <w:t>44.6</w:t>
            </w:r>
          </w:p>
        </w:tc>
        <w:tc>
          <w:tcPr>
            <w:tcW w:w="257" w:type="pct"/>
            <w:vAlign w:val="center"/>
          </w:tcPr>
          <w:p w14:paraId="6C8715E8">
            <w:pPr>
              <w:pStyle w:val="28"/>
              <w:bidi w:val="0"/>
            </w:pPr>
            <w:r>
              <w:t>53.9</w:t>
            </w:r>
          </w:p>
        </w:tc>
        <w:tc>
          <w:tcPr>
            <w:tcW w:w="257" w:type="pct"/>
            <w:vAlign w:val="center"/>
          </w:tcPr>
          <w:p w14:paraId="04062EBC">
            <w:pPr>
              <w:pStyle w:val="28"/>
              <w:bidi w:val="0"/>
            </w:pPr>
            <w:r>
              <w:t>0.5</w:t>
            </w:r>
          </w:p>
        </w:tc>
        <w:tc>
          <w:tcPr>
            <w:tcW w:w="209" w:type="pct"/>
            <w:vAlign w:val="center"/>
          </w:tcPr>
          <w:p w14:paraId="6EFCFB60">
            <w:pPr>
              <w:pStyle w:val="28"/>
              <w:bidi w:val="0"/>
            </w:pPr>
            <w:r>
              <w:t>达标</w:t>
            </w:r>
          </w:p>
        </w:tc>
      </w:tr>
      <w:tr w14:paraId="1D7B7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A1705CC">
            <w:pPr>
              <w:pStyle w:val="28"/>
              <w:bidi w:val="0"/>
            </w:pPr>
            <w:r>
              <w:rPr>
                <w:rFonts w:hint="eastAsia"/>
              </w:rPr>
              <w:t>金华</w:t>
            </w:r>
          </w:p>
        </w:tc>
        <w:tc>
          <w:tcPr>
            <w:tcW w:w="511" w:type="pct"/>
            <w:vAlign w:val="center"/>
          </w:tcPr>
          <w:p w14:paraId="6D0B881E">
            <w:pPr>
              <w:pStyle w:val="28"/>
              <w:bidi w:val="0"/>
            </w:pPr>
            <w:r>
              <w:t>5#左岸加培</w:t>
            </w:r>
          </w:p>
        </w:tc>
        <w:tc>
          <w:tcPr>
            <w:tcW w:w="366" w:type="pct"/>
            <w:vAlign w:val="center"/>
          </w:tcPr>
          <w:p w14:paraId="60EAF470">
            <w:pPr>
              <w:pStyle w:val="28"/>
              <w:bidi w:val="0"/>
            </w:pPr>
            <w:r>
              <w:t>58</w:t>
            </w:r>
          </w:p>
        </w:tc>
        <w:tc>
          <w:tcPr>
            <w:tcW w:w="268" w:type="pct"/>
            <w:vAlign w:val="center"/>
          </w:tcPr>
          <w:p w14:paraId="4F446502">
            <w:pPr>
              <w:pStyle w:val="28"/>
              <w:bidi w:val="0"/>
            </w:pPr>
            <w:r>
              <w:rPr>
                <w:rFonts w:hint="eastAsia"/>
              </w:rPr>
              <w:t>右岸</w:t>
            </w:r>
          </w:p>
        </w:tc>
        <w:tc>
          <w:tcPr>
            <w:tcW w:w="262" w:type="pct"/>
            <w:vAlign w:val="center"/>
          </w:tcPr>
          <w:p w14:paraId="1B12BB75">
            <w:pPr>
              <w:pStyle w:val="28"/>
              <w:bidi w:val="0"/>
            </w:pPr>
            <w:r>
              <w:t>1</w:t>
            </w:r>
            <w:r>
              <w:rPr>
                <w:rFonts w:hint="eastAsia"/>
              </w:rPr>
              <w:t>类</w:t>
            </w:r>
          </w:p>
        </w:tc>
        <w:tc>
          <w:tcPr>
            <w:tcW w:w="809" w:type="pct"/>
            <w:vMerge w:val="restart"/>
            <w:vAlign w:val="center"/>
          </w:tcPr>
          <w:p w14:paraId="643A68A9">
            <w:pPr>
              <w:pStyle w:val="28"/>
              <w:bidi w:val="0"/>
            </w:pPr>
            <w:r>
              <w:rPr>
                <w:rFonts w:hint="eastAsia"/>
              </w:rPr>
              <w:t>采用低噪声设备，施工机械远离居民住宅</w:t>
            </w:r>
          </w:p>
        </w:tc>
        <w:tc>
          <w:tcPr>
            <w:tcW w:w="208" w:type="pct"/>
            <w:vAlign w:val="center"/>
          </w:tcPr>
          <w:p w14:paraId="69B87DAF">
            <w:pPr>
              <w:pStyle w:val="28"/>
              <w:bidi w:val="0"/>
            </w:pPr>
            <w:r>
              <w:t>53.4</w:t>
            </w:r>
          </w:p>
        </w:tc>
        <w:tc>
          <w:tcPr>
            <w:tcW w:w="211" w:type="pct"/>
            <w:vAlign w:val="center"/>
          </w:tcPr>
          <w:p w14:paraId="5DF6EED0">
            <w:pPr>
              <w:pStyle w:val="28"/>
              <w:bidi w:val="0"/>
            </w:pPr>
            <w:r>
              <w:t>40.6</w:t>
            </w:r>
          </w:p>
        </w:tc>
        <w:tc>
          <w:tcPr>
            <w:tcW w:w="208" w:type="pct"/>
            <w:vAlign w:val="center"/>
          </w:tcPr>
          <w:p w14:paraId="2C9E3BF9">
            <w:pPr>
              <w:pStyle w:val="28"/>
              <w:bidi w:val="0"/>
            </w:pPr>
            <w:r>
              <w:t>55</w:t>
            </w:r>
          </w:p>
        </w:tc>
        <w:tc>
          <w:tcPr>
            <w:tcW w:w="211" w:type="pct"/>
            <w:vAlign w:val="center"/>
          </w:tcPr>
          <w:p w14:paraId="77381076">
            <w:pPr>
              <w:pStyle w:val="28"/>
              <w:bidi w:val="0"/>
            </w:pPr>
            <w:r>
              <w:t>45</w:t>
            </w:r>
          </w:p>
        </w:tc>
        <w:tc>
          <w:tcPr>
            <w:tcW w:w="276" w:type="pct"/>
            <w:vAlign w:val="center"/>
          </w:tcPr>
          <w:p w14:paraId="300AAE5A">
            <w:pPr>
              <w:pStyle w:val="28"/>
              <w:bidi w:val="0"/>
            </w:pPr>
            <w:r>
              <w:t>56.6</w:t>
            </w:r>
          </w:p>
        </w:tc>
        <w:tc>
          <w:tcPr>
            <w:tcW w:w="257" w:type="pct"/>
            <w:vAlign w:val="center"/>
          </w:tcPr>
          <w:p w14:paraId="3528911D">
            <w:pPr>
              <w:pStyle w:val="28"/>
              <w:bidi w:val="0"/>
            </w:pPr>
            <w:r>
              <w:t>49.6</w:t>
            </w:r>
          </w:p>
        </w:tc>
        <w:tc>
          <w:tcPr>
            <w:tcW w:w="257" w:type="pct"/>
            <w:vAlign w:val="center"/>
          </w:tcPr>
          <w:p w14:paraId="6BA9059D">
            <w:pPr>
              <w:pStyle w:val="28"/>
              <w:bidi w:val="0"/>
            </w:pPr>
            <w:r>
              <w:t>54.9</w:t>
            </w:r>
          </w:p>
        </w:tc>
        <w:tc>
          <w:tcPr>
            <w:tcW w:w="257" w:type="pct"/>
            <w:vAlign w:val="center"/>
          </w:tcPr>
          <w:p w14:paraId="10DBF9B7">
            <w:pPr>
              <w:pStyle w:val="28"/>
              <w:bidi w:val="0"/>
            </w:pPr>
            <w:r>
              <w:t>1.5</w:t>
            </w:r>
          </w:p>
        </w:tc>
        <w:tc>
          <w:tcPr>
            <w:tcW w:w="209" w:type="pct"/>
            <w:vAlign w:val="center"/>
          </w:tcPr>
          <w:p w14:paraId="6812DE13">
            <w:pPr>
              <w:pStyle w:val="28"/>
              <w:bidi w:val="0"/>
            </w:pPr>
            <w:r>
              <w:t>达标</w:t>
            </w:r>
          </w:p>
        </w:tc>
      </w:tr>
      <w:tr w14:paraId="684F53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41E5596">
            <w:pPr>
              <w:pStyle w:val="28"/>
              <w:bidi w:val="0"/>
            </w:pPr>
            <w:r>
              <w:rPr>
                <w:rFonts w:hint="eastAsia"/>
              </w:rPr>
              <w:t>柳园队</w:t>
            </w:r>
          </w:p>
        </w:tc>
        <w:tc>
          <w:tcPr>
            <w:tcW w:w="511" w:type="pct"/>
            <w:vAlign w:val="center"/>
          </w:tcPr>
          <w:p w14:paraId="23A3E7DE">
            <w:pPr>
              <w:pStyle w:val="28"/>
              <w:bidi w:val="0"/>
            </w:pPr>
            <w:r>
              <w:t>5#左岸管护道路</w:t>
            </w:r>
          </w:p>
        </w:tc>
        <w:tc>
          <w:tcPr>
            <w:tcW w:w="366" w:type="pct"/>
            <w:vAlign w:val="center"/>
          </w:tcPr>
          <w:p w14:paraId="4FA6A07E">
            <w:pPr>
              <w:pStyle w:val="28"/>
              <w:bidi w:val="0"/>
            </w:pPr>
            <w:r>
              <w:t>62</w:t>
            </w:r>
          </w:p>
        </w:tc>
        <w:tc>
          <w:tcPr>
            <w:tcW w:w="268" w:type="pct"/>
            <w:vAlign w:val="center"/>
          </w:tcPr>
          <w:p w14:paraId="56D89615">
            <w:pPr>
              <w:pStyle w:val="28"/>
              <w:bidi w:val="0"/>
            </w:pPr>
            <w:r>
              <w:rPr>
                <w:rFonts w:hint="eastAsia"/>
              </w:rPr>
              <w:t>左岸</w:t>
            </w:r>
          </w:p>
        </w:tc>
        <w:tc>
          <w:tcPr>
            <w:tcW w:w="262" w:type="pct"/>
            <w:vAlign w:val="center"/>
          </w:tcPr>
          <w:p w14:paraId="2788A010">
            <w:pPr>
              <w:pStyle w:val="28"/>
              <w:bidi w:val="0"/>
            </w:pPr>
            <w:r>
              <w:t>1</w:t>
            </w:r>
            <w:r>
              <w:rPr>
                <w:rFonts w:hint="eastAsia"/>
              </w:rPr>
              <w:t>类</w:t>
            </w:r>
          </w:p>
        </w:tc>
        <w:tc>
          <w:tcPr>
            <w:tcW w:w="809" w:type="pct"/>
            <w:vMerge w:val="continue"/>
            <w:vAlign w:val="center"/>
          </w:tcPr>
          <w:p w14:paraId="3C01F880">
            <w:pPr>
              <w:pStyle w:val="28"/>
              <w:bidi w:val="0"/>
            </w:pPr>
          </w:p>
        </w:tc>
        <w:tc>
          <w:tcPr>
            <w:tcW w:w="208" w:type="pct"/>
            <w:vAlign w:val="center"/>
          </w:tcPr>
          <w:p w14:paraId="4F37BA98">
            <w:pPr>
              <w:pStyle w:val="28"/>
              <w:bidi w:val="0"/>
            </w:pPr>
            <w:r>
              <w:t>53.4</w:t>
            </w:r>
          </w:p>
        </w:tc>
        <w:tc>
          <w:tcPr>
            <w:tcW w:w="211" w:type="pct"/>
            <w:vAlign w:val="center"/>
          </w:tcPr>
          <w:p w14:paraId="5B5615A4">
            <w:pPr>
              <w:pStyle w:val="28"/>
              <w:bidi w:val="0"/>
            </w:pPr>
            <w:r>
              <w:t>40.6</w:t>
            </w:r>
          </w:p>
        </w:tc>
        <w:tc>
          <w:tcPr>
            <w:tcW w:w="208" w:type="pct"/>
            <w:vAlign w:val="center"/>
          </w:tcPr>
          <w:p w14:paraId="277C91E2">
            <w:pPr>
              <w:pStyle w:val="28"/>
              <w:bidi w:val="0"/>
            </w:pPr>
            <w:r>
              <w:t>55</w:t>
            </w:r>
          </w:p>
        </w:tc>
        <w:tc>
          <w:tcPr>
            <w:tcW w:w="211" w:type="pct"/>
            <w:vAlign w:val="center"/>
          </w:tcPr>
          <w:p w14:paraId="4D674D7B">
            <w:pPr>
              <w:pStyle w:val="28"/>
              <w:bidi w:val="0"/>
            </w:pPr>
            <w:r>
              <w:t>45</w:t>
            </w:r>
          </w:p>
        </w:tc>
        <w:tc>
          <w:tcPr>
            <w:tcW w:w="276" w:type="pct"/>
            <w:vAlign w:val="center"/>
          </w:tcPr>
          <w:p w14:paraId="1E65314F">
            <w:pPr>
              <w:pStyle w:val="28"/>
              <w:bidi w:val="0"/>
            </w:pPr>
            <w:r>
              <w:t>45.1</w:t>
            </w:r>
          </w:p>
        </w:tc>
        <w:tc>
          <w:tcPr>
            <w:tcW w:w="257" w:type="pct"/>
            <w:vAlign w:val="center"/>
          </w:tcPr>
          <w:p w14:paraId="6E56FD81">
            <w:pPr>
              <w:pStyle w:val="28"/>
              <w:bidi w:val="0"/>
            </w:pPr>
            <w:r>
              <w:t>38.1</w:t>
            </w:r>
          </w:p>
        </w:tc>
        <w:tc>
          <w:tcPr>
            <w:tcW w:w="257" w:type="pct"/>
            <w:vAlign w:val="center"/>
          </w:tcPr>
          <w:p w14:paraId="183E74ED">
            <w:pPr>
              <w:pStyle w:val="28"/>
              <w:bidi w:val="0"/>
            </w:pPr>
            <w:r>
              <w:t>53.5</w:t>
            </w:r>
          </w:p>
        </w:tc>
        <w:tc>
          <w:tcPr>
            <w:tcW w:w="257" w:type="pct"/>
            <w:vAlign w:val="center"/>
          </w:tcPr>
          <w:p w14:paraId="6D104D02">
            <w:pPr>
              <w:pStyle w:val="28"/>
              <w:bidi w:val="0"/>
            </w:pPr>
            <w:r>
              <w:t>0.1</w:t>
            </w:r>
          </w:p>
        </w:tc>
        <w:tc>
          <w:tcPr>
            <w:tcW w:w="209" w:type="pct"/>
            <w:vAlign w:val="center"/>
          </w:tcPr>
          <w:p w14:paraId="5724BC23">
            <w:pPr>
              <w:pStyle w:val="28"/>
              <w:bidi w:val="0"/>
            </w:pPr>
            <w:r>
              <w:t>达标</w:t>
            </w:r>
          </w:p>
        </w:tc>
      </w:tr>
      <w:tr w14:paraId="6210A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E0F0F46">
            <w:pPr>
              <w:pStyle w:val="28"/>
              <w:bidi w:val="0"/>
            </w:pPr>
            <w:r>
              <w:rPr>
                <w:rFonts w:hint="eastAsia"/>
              </w:rPr>
              <w:t>马店派出所</w:t>
            </w:r>
          </w:p>
        </w:tc>
        <w:tc>
          <w:tcPr>
            <w:tcW w:w="511" w:type="pct"/>
            <w:vAlign w:val="center"/>
          </w:tcPr>
          <w:p w14:paraId="6ABF6097">
            <w:pPr>
              <w:pStyle w:val="28"/>
              <w:bidi w:val="0"/>
            </w:pPr>
            <w:r>
              <w:t>2#两岸护砌</w:t>
            </w:r>
          </w:p>
        </w:tc>
        <w:tc>
          <w:tcPr>
            <w:tcW w:w="366" w:type="pct"/>
            <w:vAlign w:val="center"/>
          </w:tcPr>
          <w:p w14:paraId="0C0E9406">
            <w:pPr>
              <w:pStyle w:val="28"/>
              <w:bidi w:val="0"/>
            </w:pPr>
            <w:r>
              <w:t>60</w:t>
            </w:r>
          </w:p>
        </w:tc>
        <w:tc>
          <w:tcPr>
            <w:tcW w:w="268" w:type="pct"/>
            <w:vAlign w:val="center"/>
          </w:tcPr>
          <w:p w14:paraId="647ED3C5">
            <w:pPr>
              <w:pStyle w:val="28"/>
              <w:bidi w:val="0"/>
            </w:pPr>
            <w:r>
              <w:rPr>
                <w:rFonts w:hint="eastAsia"/>
              </w:rPr>
              <w:t>左岸</w:t>
            </w:r>
          </w:p>
        </w:tc>
        <w:tc>
          <w:tcPr>
            <w:tcW w:w="262" w:type="pct"/>
            <w:vAlign w:val="center"/>
          </w:tcPr>
          <w:p w14:paraId="19F0BD89">
            <w:pPr>
              <w:pStyle w:val="28"/>
              <w:bidi w:val="0"/>
            </w:pPr>
            <w:r>
              <w:t>1</w:t>
            </w:r>
            <w:r>
              <w:rPr>
                <w:rFonts w:hint="eastAsia"/>
              </w:rPr>
              <w:t>类</w:t>
            </w:r>
          </w:p>
        </w:tc>
        <w:tc>
          <w:tcPr>
            <w:tcW w:w="809" w:type="pct"/>
            <w:vMerge w:val="continue"/>
            <w:vAlign w:val="center"/>
          </w:tcPr>
          <w:p w14:paraId="3DBC764C">
            <w:pPr>
              <w:pStyle w:val="28"/>
              <w:bidi w:val="0"/>
            </w:pPr>
          </w:p>
        </w:tc>
        <w:tc>
          <w:tcPr>
            <w:tcW w:w="208" w:type="pct"/>
            <w:vAlign w:val="center"/>
          </w:tcPr>
          <w:p w14:paraId="753C57D7">
            <w:pPr>
              <w:pStyle w:val="28"/>
              <w:bidi w:val="0"/>
            </w:pPr>
            <w:r>
              <w:t>53.4</w:t>
            </w:r>
          </w:p>
        </w:tc>
        <w:tc>
          <w:tcPr>
            <w:tcW w:w="211" w:type="pct"/>
            <w:vAlign w:val="center"/>
          </w:tcPr>
          <w:p w14:paraId="5700716C">
            <w:pPr>
              <w:pStyle w:val="28"/>
              <w:bidi w:val="0"/>
            </w:pPr>
            <w:r>
              <w:t>40.6</w:t>
            </w:r>
          </w:p>
        </w:tc>
        <w:tc>
          <w:tcPr>
            <w:tcW w:w="208" w:type="pct"/>
            <w:vAlign w:val="center"/>
          </w:tcPr>
          <w:p w14:paraId="298DFCA6">
            <w:pPr>
              <w:pStyle w:val="28"/>
              <w:bidi w:val="0"/>
            </w:pPr>
            <w:r>
              <w:t>55</w:t>
            </w:r>
          </w:p>
        </w:tc>
        <w:tc>
          <w:tcPr>
            <w:tcW w:w="211" w:type="pct"/>
            <w:vAlign w:val="center"/>
          </w:tcPr>
          <w:p w14:paraId="71A921A3">
            <w:pPr>
              <w:pStyle w:val="28"/>
              <w:bidi w:val="0"/>
            </w:pPr>
            <w:r>
              <w:t>45</w:t>
            </w:r>
          </w:p>
        </w:tc>
        <w:tc>
          <w:tcPr>
            <w:tcW w:w="276" w:type="pct"/>
            <w:vAlign w:val="center"/>
          </w:tcPr>
          <w:p w14:paraId="1306EE4E">
            <w:pPr>
              <w:pStyle w:val="28"/>
              <w:bidi w:val="0"/>
            </w:pPr>
            <w:r>
              <w:t>56.3</w:t>
            </w:r>
          </w:p>
        </w:tc>
        <w:tc>
          <w:tcPr>
            <w:tcW w:w="257" w:type="pct"/>
            <w:vAlign w:val="center"/>
          </w:tcPr>
          <w:p w14:paraId="5280042D">
            <w:pPr>
              <w:pStyle w:val="28"/>
              <w:bidi w:val="0"/>
            </w:pPr>
            <w:r>
              <w:t>49.3</w:t>
            </w:r>
          </w:p>
        </w:tc>
        <w:tc>
          <w:tcPr>
            <w:tcW w:w="257" w:type="pct"/>
            <w:vAlign w:val="center"/>
          </w:tcPr>
          <w:p w14:paraId="00B02E42">
            <w:pPr>
              <w:pStyle w:val="28"/>
              <w:bidi w:val="0"/>
            </w:pPr>
            <w:r>
              <w:t>54.8</w:t>
            </w:r>
          </w:p>
        </w:tc>
        <w:tc>
          <w:tcPr>
            <w:tcW w:w="257" w:type="pct"/>
            <w:vAlign w:val="center"/>
          </w:tcPr>
          <w:p w14:paraId="6EFBDA56">
            <w:pPr>
              <w:pStyle w:val="28"/>
              <w:bidi w:val="0"/>
            </w:pPr>
            <w:r>
              <w:t>1.4</w:t>
            </w:r>
          </w:p>
        </w:tc>
        <w:tc>
          <w:tcPr>
            <w:tcW w:w="209" w:type="pct"/>
            <w:vAlign w:val="center"/>
          </w:tcPr>
          <w:p w14:paraId="491E4FC8">
            <w:pPr>
              <w:pStyle w:val="28"/>
              <w:bidi w:val="0"/>
            </w:pPr>
            <w:r>
              <w:t>达标</w:t>
            </w:r>
          </w:p>
        </w:tc>
      </w:tr>
      <w:tr w14:paraId="64B38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29A5B74">
            <w:pPr>
              <w:pStyle w:val="28"/>
              <w:bidi w:val="0"/>
            </w:pPr>
            <w:r>
              <w:rPr>
                <w:rFonts w:hint="eastAsia"/>
              </w:rPr>
              <w:t>马店镇</w:t>
            </w:r>
          </w:p>
        </w:tc>
        <w:tc>
          <w:tcPr>
            <w:tcW w:w="511" w:type="pct"/>
            <w:vAlign w:val="center"/>
          </w:tcPr>
          <w:p w14:paraId="052C735A">
            <w:pPr>
              <w:pStyle w:val="28"/>
              <w:bidi w:val="0"/>
            </w:pPr>
            <w:r>
              <w:t>4#两岸护砌</w:t>
            </w:r>
          </w:p>
        </w:tc>
        <w:tc>
          <w:tcPr>
            <w:tcW w:w="366" w:type="pct"/>
            <w:vAlign w:val="center"/>
          </w:tcPr>
          <w:p w14:paraId="1B10B216">
            <w:pPr>
              <w:pStyle w:val="28"/>
              <w:bidi w:val="0"/>
            </w:pPr>
            <w:r>
              <w:t>80</w:t>
            </w:r>
          </w:p>
        </w:tc>
        <w:tc>
          <w:tcPr>
            <w:tcW w:w="268" w:type="pct"/>
            <w:vAlign w:val="center"/>
          </w:tcPr>
          <w:p w14:paraId="211DA259">
            <w:pPr>
              <w:pStyle w:val="28"/>
              <w:bidi w:val="0"/>
            </w:pPr>
            <w:r>
              <w:rPr>
                <w:rFonts w:hint="eastAsia"/>
              </w:rPr>
              <w:t>左岸</w:t>
            </w:r>
          </w:p>
        </w:tc>
        <w:tc>
          <w:tcPr>
            <w:tcW w:w="262" w:type="pct"/>
            <w:vAlign w:val="center"/>
          </w:tcPr>
          <w:p w14:paraId="51BCCEFB">
            <w:pPr>
              <w:pStyle w:val="28"/>
              <w:bidi w:val="0"/>
            </w:pPr>
            <w:r>
              <w:rPr>
                <w:rFonts w:hint="eastAsia"/>
              </w:rPr>
              <w:t>2类</w:t>
            </w:r>
          </w:p>
        </w:tc>
        <w:tc>
          <w:tcPr>
            <w:tcW w:w="809" w:type="pct"/>
            <w:vMerge w:val="continue"/>
            <w:vAlign w:val="center"/>
          </w:tcPr>
          <w:p w14:paraId="37D5DF9E">
            <w:pPr>
              <w:pStyle w:val="28"/>
              <w:bidi w:val="0"/>
            </w:pPr>
          </w:p>
        </w:tc>
        <w:tc>
          <w:tcPr>
            <w:tcW w:w="208" w:type="pct"/>
            <w:vAlign w:val="center"/>
          </w:tcPr>
          <w:p w14:paraId="30518CCF">
            <w:pPr>
              <w:pStyle w:val="28"/>
              <w:bidi w:val="0"/>
            </w:pPr>
            <w:r>
              <w:t>53.4</w:t>
            </w:r>
          </w:p>
        </w:tc>
        <w:tc>
          <w:tcPr>
            <w:tcW w:w="211" w:type="pct"/>
            <w:vAlign w:val="center"/>
          </w:tcPr>
          <w:p w14:paraId="7FA7E19B">
            <w:pPr>
              <w:pStyle w:val="28"/>
              <w:bidi w:val="0"/>
            </w:pPr>
            <w:r>
              <w:t>40.6</w:t>
            </w:r>
          </w:p>
        </w:tc>
        <w:tc>
          <w:tcPr>
            <w:tcW w:w="208" w:type="pct"/>
            <w:vAlign w:val="center"/>
          </w:tcPr>
          <w:p w14:paraId="0F9441DC">
            <w:pPr>
              <w:pStyle w:val="28"/>
              <w:bidi w:val="0"/>
            </w:pPr>
            <w:r>
              <w:t>55</w:t>
            </w:r>
          </w:p>
        </w:tc>
        <w:tc>
          <w:tcPr>
            <w:tcW w:w="211" w:type="pct"/>
            <w:vAlign w:val="center"/>
          </w:tcPr>
          <w:p w14:paraId="2CB72B65">
            <w:pPr>
              <w:pStyle w:val="28"/>
              <w:bidi w:val="0"/>
            </w:pPr>
            <w:r>
              <w:t>45</w:t>
            </w:r>
          </w:p>
        </w:tc>
        <w:tc>
          <w:tcPr>
            <w:tcW w:w="276" w:type="pct"/>
            <w:vAlign w:val="center"/>
          </w:tcPr>
          <w:p w14:paraId="61D520F1">
            <w:pPr>
              <w:pStyle w:val="28"/>
              <w:bidi w:val="0"/>
            </w:pPr>
            <w:r>
              <w:t>53.8</w:t>
            </w:r>
          </w:p>
        </w:tc>
        <w:tc>
          <w:tcPr>
            <w:tcW w:w="257" w:type="pct"/>
            <w:vAlign w:val="center"/>
          </w:tcPr>
          <w:p w14:paraId="0160A71D">
            <w:pPr>
              <w:pStyle w:val="28"/>
              <w:bidi w:val="0"/>
            </w:pPr>
            <w:r>
              <w:t>46.8</w:t>
            </w:r>
          </w:p>
        </w:tc>
        <w:tc>
          <w:tcPr>
            <w:tcW w:w="257" w:type="pct"/>
            <w:vAlign w:val="center"/>
          </w:tcPr>
          <w:p w14:paraId="4FEC3409">
            <w:pPr>
              <w:pStyle w:val="28"/>
              <w:bidi w:val="0"/>
            </w:pPr>
            <w:r>
              <w:t>54.3</w:t>
            </w:r>
          </w:p>
        </w:tc>
        <w:tc>
          <w:tcPr>
            <w:tcW w:w="257" w:type="pct"/>
            <w:vAlign w:val="center"/>
          </w:tcPr>
          <w:p w14:paraId="4A0A1D08">
            <w:pPr>
              <w:pStyle w:val="28"/>
              <w:bidi w:val="0"/>
            </w:pPr>
            <w:r>
              <w:t>0.9</w:t>
            </w:r>
          </w:p>
        </w:tc>
        <w:tc>
          <w:tcPr>
            <w:tcW w:w="209" w:type="pct"/>
            <w:vAlign w:val="center"/>
          </w:tcPr>
          <w:p w14:paraId="1984D60C">
            <w:pPr>
              <w:pStyle w:val="28"/>
              <w:bidi w:val="0"/>
            </w:pPr>
            <w:r>
              <w:t>达标</w:t>
            </w:r>
          </w:p>
        </w:tc>
      </w:tr>
      <w:tr w14:paraId="35C1C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ABA02B6">
            <w:pPr>
              <w:pStyle w:val="28"/>
              <w:bidi w:val="0"/>
            </w:pPr>
            <w:r>
              <w:rPr>
                <w:rFonts w:hint="eastAsia"/>
              </w:rPr>
              <w:t>马店镇中心学校</w:t>
            </w:r>
          </w:p>
        </w:tc>
        <w:tc>
          <w:tcPr>
            <w:tcW w:w="511" w:type="pct"/>
            <w:vAlign w:val="center"/>
          </w:tcPr>
          <w:p w14:paraId="1E3CCE64">
            <w:pPr>
              <w:pStyle w:val="28"/>
              <w:bidi w:val="0"/>
            </w:pPr>
            <w:r>
              <w:t>4#两岸护砌</w:t>
            </w:r>
          </w:p>
        </w:tc>
        <w:tc>
          <w:tcPr>
            <w:tcW w:w="366" w:type="pct"/>
            <w:vAlign w:val="center"/>
          </w:tcPr>
          <w:p w14:paraId="5D61F5BA">
            <w:pPr>
              <w:pStyle w:val="28"/>
              <w:bidi w:val="0"/>
            </w:pPr>
            <w:r>
              <w:rPr>
                <w:rFonts w:hint="eastAsia"/>
              </w:rPr>
              <w:t>16</w:t>
            </w:r>
          </w:p>
        </w:tc>
        <w:tc>
          <w:tcPr>
            <w:tcW w:w="268" w:type="pct"/>
            <w:vAlign w:val="center"/>
          </w:tcPr>
          <w:p w14:paraId="66432C81">
            <w:pPr>
              <w:pStyle w:val="28"/>
              <w:bidi w:val="0"/>
            </w:pPr>
            <w:r>
              <w:rPr>
                <w:rFonts w:hint="eastAsia"/>
              </w:rPr>
              <w:t>两岸</w:t>
            </w:r>
          </w:p>
        </w:tc>
        <w:tc>
          <w:tcPr>
            <w:tcW w:w="262" w:type="pct"/>
            <w:vAlign w:val="center"/>
          </w:tcPr>
          <w:p w14:paraId="0C35046E">
            <w:pPr>
              <w:pStyle w:val="28"/>
              <w:bidi w:val="0"/>
            </w:pPr>
            <w:r>
              <w:t>1</w:t>
            </w:r>
            <w:r>
              <w:rPr>
                <w:rFonts w:hint="eastAsia"/>
              </w:rPr>
              <w:t>类</w:t>
            </w:r>
          </w:p>
        </w:tc>
        <w:tc>
          <w:tcPr>
            <w:tcW w:w="809" w:type="pct"/>
            <w:vAlign w:val="center"/>
          </w:tcPr>
          <w:p w14:paraId="5EFF72B7">
            <w:pPr>
              <w:pStyle w:val="28"/>
              <w:bidi w:val="0"/>
            </w:pPr>
            <w:r>
              <w:rPr>
                <w:rFonts w:hint="eastAsia"/>
              </w:rPr>
              <w:t>采用低噪声设备，施工机械远离居民住宅，设置双层移动声屏障</w:t>
            </w:r>
          </w:p>
        </w:tc>
        <w:tc>
          <w:tcPr>
            <w:tcW w:w="208" w:type="pct"/>
            <w:vAlign w:val="center"/>
          </w:tcPr>
          <w:p w14:paraId="233A3C52">
            <w:pPr>
              <w:pStyle w:val="28"/>
              <w:bidi w:val="0"/>
            </w:pPr>
            <w:r>
              <w:t>53.4</w:t>
            </w:r>
          </w:p>
        </w:tc>
        <w:tc>
          <w:tcPr>
            <w:tcW w:w="211" w:type="pct"/>
            <w:vAlign w:val="center"/>
          </w:tcPr>
          <w:p w14:paraId="00113D85">
            <w:pPr>
              <w:pStyle w:val="28"/>
              <w:bidi w:val="0"/>
            </w:pPr>
            <w:r>
              <w:t>40.6</w:t>
            </w:r>
          </w:p>
        </w:tc>
        <w:tc>
          <w:tcPr>
            <w:tcW w:w="208" w:type="pct"/>
            <w:vAlign w:val="center"/>
          </w:tcPr>
          <w:p w14:paraId="547E03E3">
            <w:pPr>
              <w:pStyle w:val="28"/>
              <w:bidi w:val="0"/>
            </w:pPr>
            <w:r>
              <w:t>55</w:t>
            </w:r>
          </w:p>
        </w:tc>
        <w:tc>
          <w:tcPr>
            <w:tcW w:w="211" w:type="pct"/>
            <w:vAlign w:val="center"/>
          </w:tcPr>
          <w:p w14:paraId="6E00C895">
            <w:pPr>
              <w:pStyle w:val="28"/>
              <w:bidi w:val="0"/>
            </w:pPr>
            <w:r>
              <w:t>45</w:t>
            </w:r>
          </w:p>
        </w:tc>
        <w:tc>
          <w:tcPr>
            <w:tcW w:w="276" w:type="pct"/>
            <w:vAlign w:val="center"/>
          </w:tcPr>
          <w:p w14:paraId="521601E1">
            <w:pPr>
              <w:pStyle w:val="28"/>
              <w:bidi w:val="0"/>
            </w:pPr>
            <w:r>
              <w:t>70.3</w:t>
            </w:r>
          </w:p>
        </w:tc>
        <w:tc>
          <w:tcPr>
            <w:tcW w:w="257" w:type="pct"/>
            <w:vAlign w:val="center"/>
          </w:tcPr>
          <w:p w14:paraId="696D5F5B">
            <w:pPr>
              <w:pStyle w:val="28"/>
              <w:bidi w:val="0"/>
            </w:pPr>
            <w:r>
              <w:rPr>
                <w:rFonts w:hint="eastAsia"/>
              </w:rPr>
              <w:t>50</w:t>
            </w:r>
            <w:r>
              <w:t>.3</w:t>
            </w:r>
          </w:p>
        </w:tc>
        <w:tc>
          <w:tcPr>
            <w:tcW w:w="257" w:type="pct"/>
            <w:vAlign w:val="center"/>
          </w:tcPr>
          <w:p w14:paraId="6A7C1226">
            <w:pPr>
              <w:pStyle w:val="28"/>
              <w:bidi w:val="0"/>
            </w:pPr>
            <w:r>
              <w:t>5</w:t>
            </w:r>
            <w:r>
              <w:rPr>
                <w:rFonts w:hint="eastAsia"/>
              </w:rPr>
              <w:t>4.9</w:t>
            </w:r>
          </w:p>
        </w:tc>
        <w:tc>
          <w:tcPr>
            <w:tcW w:w="257" w:type="pct"/>
            <w:vAlign w:val="center"/>
          </w:tcPr>
          <w:p w14:paraId="19025C3B">
            <w:pPr>
              <w:pStyle w:val="28"/>
              <w:bidi w:val="0"/>
            </w:pPr>
            <w:r>
              <w:t>1.2</w:t>
            </w:r>
          </w:p>
        </w:tc>
        <w:tc>
          <w:tcPr>
            <w:tcW w:w="209" w:type="pct"/>
            <w:vAlign w:val="center"/>
          </w:tcPr>
          <w:p w14:paraId="6F7FAC3D">
            <w:pPr>
              <w:pStyle w:val="28"/>
              <w:bidi w:val="0"/>
            </w:pPr>
            <w:r>
              <w:t>达标</w:t>
            </w:r>
          </w:p>
        </w:tc>
      </w:tr>
      <w:tr w14:paraId="4FF235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C53A79C">
            <w:pPr>
              <w:pStyle w:val="28"/>
              <w:bidi w:val="0"/>
            </w:pPr>
            <w:r>
              <w:rPr>
                <w:rFonts w:hint="eastAsia"/>
              </w:rPr>
              <w:t>塘庄</w:t>
            </w:r>
          </w:p>
        </w:tc>
        <w:tc>
          <w:tcPr>
            <w:tcW w:w="511" w:type="pct"/>
            <w:vAlign w:val="center"/>
          </w:tcPr>
          <w:p w14:paraId="2FE6E595">
            <w:pPr>
              <w:pStyle w:val="28"/>
              <w:bidi w:val="0"/>
            </w:pPr>
            <w:r>
              <w:t>5#右岸护砌</w:t>
            </w:r>
          </w:p>
        </w:tc>
        <w:tc>
          <w:tcPr>
            <w:tcW w:w="366" w:type="pct"/>
            <w:vAlign w:val="center"/>
          </w:tcPr>
          <w:p w14:paraId="7D9751D4">
            <w:pPr>
              <w:pStyle w:val="28"/>
              <w:bidi w:val="0"/>
            </w:pPr>
            <w:r>
              <w:t>110</w:t>
            </w:r>
          </w:p>
        </w:tc>
        <w:tc>
          <w:tcPr>
            <w:tcW w:w="268" w:type="pct"/>
            <w:vAlign w:val="center"/>
          </w:tcPr>
          <w:p w14:paraId="1C77C8E1">
            <w:pPr>
              <w:pStyle w:val="28"/>
              <w:bidi w:val="0"/>
            </w:pPr>
            <w:r>
              <w:rPr>
                <w:rFonts w:hint="eastAsia"/>
              </w:rPr>
              <w:t>右岸</w:t>
            </w:r>
          </w:p>
        </w:tc>
        <w:tc>
          <w:tcPr>
            <w:tcW w:w="262" w:type="pct"/>
            <w:vAlign w:val="center"/>
          </w:tcPr>
          <w:p w14:paraId="6B63F624">
            <w:pPr>
              <w:pStyle w:val="28"/>
              <w:bidi w:val="0"/>
            </w:pPr>
            <w:r>
              <w:t>1</w:t>
            </w:r>
            <w:r>
              <w:rPr>
                <w:rFonts w:hint="eastAsia"/>
              </w:rPr>
              <w:t>类</w:t>
            </w:r>
          </w:p>
        </w:tc>
        <w:tc>
          <w:tcPr>
            <w:tcW w:w="809" w:type="pct"/>
            <w:vMerge w:val="restart"/>
            <w:vAlign w:val="center"/>
          </w:tcPr>
          <w:p w14:paraId="2A8C39F1">
            <w:pPr>
              <w:pStyle w:val="28"/>
              <w:bidi w:val="0"/>
            </w:pPr>
            <w:r>
              <w:rPr>
                <w:rFonts w:hint="eastAsia"/>
              </w:rPr>
              <w:t>采用低噪声设备，施工机械远离居民住宅</w:t>
            </w:r>
          </w:p>
        </w:tc>
        <w:tc>
          <w:tcPr>
            <w:tcW w:w="208" w:type="pct"/>
            <w:vAlign w:val="center"/>
          </w:tcPr>
          <w:p w14:paraId="7CF056FC">
            <w:pPr>
              <w:pStyle w:val="28"/>
              <w:bidi w:val="0"/>
            </w:pPr>
            <w:r>
              <w:t>53.4</w:t>
            </w:r>
          </w:p>
        </w:tc>
        <w:tc>
          <w:tcPr>
            <w:tcW w:w="211" w:type="pct"/>
            <w:vAlign w:val="center"/>
          </w:tcPr>
          <w:p w14:paraId="689553E9">
            <w:pPr>
              <w:pStyle w:val="28"/>
              <w:bidi w:val="0"/>
            </w:pPr>
            <w:r>
              <w:t>40.6</w:t>
            </w:r>
          </w:p>
        </w:tc>
        <w:tc>
          <w:tcPr>
            <w:tcW w:w="208" w:type="pct"/>
            <w:vAlign w:val="center"/>
          </w:tcPr>
          <w:p w14:paraId="2DB72085">
            <w:pPr>
              <w:pStyle w:val="28"/>
              <w:bidi w:val="0"/>
            </w:pPr>
            <w:r>
              <w:t>55</w:t>
            </w:r>
          </w:p>
        </w:tc>
        <w:tc>
          <w:tcPr>
            <w:tcW w:w="211" w:type="pct"/>
            <w:vAlign w:val="center"/>
          </w:tcPr>
          <w:p w14:paraId="7CD4ECB4">
            <w:pPr>
              <w:pStyle w:val="28"/>
              <w:bidi w:val="0"/>
            </w:pPr>
            <w:r>
              <w:t>45</w:t>
            </w:r>
          </w:p>
        </w:tc>
        <w:tc>
          <w:tcPr>
            <w:tcW w:w="276" w:type="pct"/>
            <w:vAlign w:val="center"/>
          </w:tcPr>
          <w:p w14:paraId="66A741D0">
            <w:pPr>
              <w:pStyle w:val="28"/>
              <w:bidi w:val="0"/>
            </w:pPr>
            <w:r>
              <w:t>51.0</w:t>
            </w:r>
          </w:p>
        </w:tc>
        <w:tc>
          <w:tcPr>
            <w:tcW w:w="257" w:type="pct"/>
            <w:vAlign w:val="center"/>
          </w:tcPr>
          <w:p w14:paraId="4C15279C">
            <w:pPr>
              <w:pStyle w:val="28"/>
              <w:bidi w:val="0"/>
            </w:pPr>
            <w:r>
              <w:t>44.0</w:t>
            </w:r>
          </w:p>
        </w:tc>
        <w:tc>
          <w:tcPr>
            <w:tcW w:w="257" w:type="pct"/>
            <w:vAlign w:val="center"/>
          </w:tcPr>
          <w:p w14:paraId="4CB0D8B0">
            <w:pPr>
              <w:pStyle w:val="28"/>
              <w:bidi w:val="0"/>
            </w:pPr>
            <w:r>
              <w:t>53.9</w:t>
            </w:r>
          </w:p>
        </w:tc>
        <w:tc>
          <w:tcPr>
            <w:tcW w:w="257" w:type="pct"/>
            <w:vAlign w:val="center"/>
          </w:tcPr>
          <w:p w14:paraId="127AD4CC">
            <w:pPr>
              <w:pStyle w:val="28"/>
              <w:bidi w:val="0"/>
            </w:pPr>
            <w:r>
              <w:t>0.5</w:t>
            </w:r>
          </w:p>
        </w:tc>
        <w:tc>
          <w:tcPr>
            <w:tcW w:w="209" w:type="pct"/>
            <w:vAlign w:val="center"/>
          </w:tcPr>
          <w:p w14:paraId="070D77C8">
            <w:pPr>
              <w:pStyle w:val="28"/>
              <w:bidi w:val="0"/>
            </w:pPr>
            <w:r>
              <w:t>达标</w:t>
            </w:r>
          </w:p>
        </w:tc>
      </w:tr>
      <w:tr w14:paraId="0FA42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9DEB3DC">
            <w:pPr>
              <w:pStyle w:val="28"/>
              <w:bidi w:val="0"/>
            </w:pPr>
            <w:r>
              <w:rPr>
                <w:rFonts w:hint="eastAsia"/>
              </w:rPr>
              <w:t>朱老庄</w:t>
            </w:r>
          </w:p>
        </w:tc>
        <w:tc>
          <w:tcPr>
            <w:tcW w:w="511" w:type="pct"/>
            <w:vAlign w:val="center"/>
          </w:tcPr>
          <w:p w14:paraId="0E5D1E5E">
            <w:pPr>
              <w:pStyle w:val="28"/>
              <w:bidi w:val="0"/>
            </w:pPr>
            <w:r>
              <w:t>7#左岸加培</w:t>
            </w:r>
          </w:p>
        </w:tc>
        <w:tc>
          <w:tcPr>
            <w:tcW w:w="366" w:type="pct"/>
            <w:vAlign w:val="center"/>
          </w:tcPr>
          <w:p w14:paraId="501B447E">
            <w:pPr>
              <w:pStyle w:val="28"/>
              <w:bidi w:val="0"/>
            </w:pPr>
            <w:r>
              <w:t>62</w:t>
            </w:r>
          </w:p>
        </w:tc>
        <w:tc>
          <w:tcPr>
            <w:tcW w:w="268" w:type="pct"/>
            <w:vAlign w:val="center"/>
          </w:tcPr>
          <w:p w14:paraId="77DB6F67">
            <w:pPr>
              <w:pStyle w:val="28"/>
              <w:bidi w:val="0"/>
            </w:pPr>
            <w:r>
              <w:rPr>
                <w:rFonts w:hint="eastAsia"/>
              </w:rPr>
              <w:t>右岸</w:t>
            </w:r>
          </w:p>
        </w:tc>
        <w:tc>
          <w:tcPr>
            <w:tcW w:w="262" w:type="pct"/>
            <w:vAlign w:val="center"/>
          </w:tcPr>
          <w:p w14:paraId="7348F2A0">
            <w:pPr>
              <w:pStyle w:val="28"/>
              <w:bidi w:val="0"/>
            </w:pPr>
            <w:r>
              <w:t>1</w:t>
            </w:r>
            <w:r>
              <w:rPr>
                <w:rFonts w:hint="eastAsia"/>
              </w:rPr>
              <w:t>类</w:t>
            </w:r>
          </w:p>
        </w:tc>
        <w:tc>
          <w:tcPr>
            <w:tcW w:w="809" w:type="pct"/>
            <w:vMerge w:val="continue"/>
            <w:vAlign w:val="center"/>
          </w:tcPr>
          <w:p w14:paraId="7DB67814">
            <w:pPr>
              <w:pStyle w:val="28"/>
              <w:bidi w:val="0"/>
            </w:pPr>
          </w:p>
        </w:tc>
        <w:tc>
          <w:tcPr>
            <w:tcW w:w="208" w:type="pct"/>
            <w:vAlign w:val="center"/>
          </w:tcPr>
          <w:p w14:paraId="61728C71">
            <w:pPr>
              <w:pStyle w:val="28"/>
              <w:bidi w:val="0"/>
            </w:pPr>
            <w:r>
              <w:t>53.4</w:t>
            </w:r>
          </w:p>
        </w:tc>
        <w:tc>
          <w:tcPr>
            <w:tcW w:w="211" w:type="pct"/>
            <w:vAlign w:val="center"/>
          </w:tcPr>
          <w:p w14:paraId="40399ECA">
            <w:pPr>
              <w:pStyle w:val="28"/>
              <w:bidi w:val="0"/>
            </w:pPr>
            <w:r>
              <w:t>40.6</w:t>
            </w:r>
          </w:p>
        </w:tc>
        <w:tc>
          <w:tcPr>
            <w:tcW w:w="208" w:type="pct"/>
            <w:vAlign w:val="center"/>
          </w:tcPr>
          <w:p w14:paraId="5A6E419B">
            <w:pPr>
              <w:pStyle w:val="28"/>
              <w:bidi w:val="0"/>
            </w:pPr>
            <w:r>
              <w:t>55</w:t>
            </w:r>
          </w:p>
        </w:tc>
        <w:tc>
          <w:tcPr>
            <w:tcW w:w="211" w:type="pct"/>
            <w:vAlign w:val="center"/>
          </w:tcPr>
          <w:p w14:paraId="59E55509">
            <w:pPr>
              <w:pStyle w:val="28"/>
              <w:bidi w:val="0"/>
            </w:pPr>
            <w:r>
              <w:t>45</w:t>
            </w:r>
          </w:p>
        </w:tc>
        <w:tc>
          <w:tcPr>
            <w:tcW w:w="276" w:type="pct"/>
            <w:vAlign w:val="center"/>
          </w:tcPr>
          <w:p w14:paraId="2748976A">
            <w:pPr>
              <w:pStyle w:val="28"/>
              <w:bidi w:val="0"/>
            </w:pPr>
            <w:r>
              <w:t>56.0</w:t>
            </w:r>
          </w:p>
        </w:tc>
        <w:tc>
          <w:tcPr>
            <w:tcW w:w="257" w:type="pct"/>
            <w:vAlign w:val="center"/>
          </w:tcPr>
          <w:p w14:paraId="0561D3F6">
            <w:pPr>
              <w:pStyle w:val="28"/>
              <w:bidi w:val="0"/>
            </w:pPr>
            <w:r>
              <w:t>49.0</w:t>
            </w:r>
          </w:p>
        </w:tc>
        <w:tc>
          <w:tcPr>
            <w:tcW w:w="257" w:type="pct"/>
            <w:vAlign w:val="center"/>
          </w:tcPr>
          <w:p w14:paraId="28B287C2">
            <w:pPr>
              <w:pStyle w:val="28"/>
              <w:bidi w:val="0"/>
            </w:pPr>
            <w:r>
              <w:t>54.8</w:t>
            </w:r>
          </w:p>
        </w:tc>
        <w:tc>
          <w:tcPr>
            <w:tcW w:w="257" w:type="pct"/>
            <w:vAlign w:val="center"/>
          </w:tcPr>
          <w:p w14:paraId="3DDD688D">
            <w:pPr>
              <w:pStyle w:val="28"/>
              <w:bidi w:val="0"/>
            </w:pPr>
            <w:r>
              <w:t>1.4</w:t>
            </w:r>
          </w:p>
        </w:tc>
        <w:tc>
          <w:tcPr>
            <w:tcW w:w="209" w:type="pct"/>
            <w:vAlign w:val="center"/>
          </w:tcPr>
          <w:p w14:paraId="7FD4F4B1">
            <w:pPr>
              <w:pStyle w:val="28"/>
              <w:bidi w:val="0"/>
            </w:pPr>
            <w:r>
              <w:t>达标</w:t>
            </w:r>
          </w:p>
        </w:tc>
      </w:tr>
      <w:tr w14:paraId="13457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16822CD">
            <w:pPr>
              <w:pStyle w:val="28"/>
              <w:bidi w:val="0"/>
            </w:pPr>
            <w:r>
              <w:rPr>
                <w:rFonts w:hint="eastAsia"/>
              </w:rPr>
              <w:t>东楼</w:t>
            </w:r>
          </w:p>
        </w:tc>
        <w:tc>
          <w:tcPr>
            <w:tcW w:w="511" w:type="pct"/>
            <w:vAlign w:val="center"/>
          </w:tcPr>
          <w:p w14:paraId="318EECD0">
            <w:pPr>
              <w:pStyle w:val="28"/>
              <w:bidi w:val="0"/>
            </w:pPr>
            <w:r>
              <w:t>7#两岸护砌</w:t>
            </w:r>
          </w:p>
        </w:tc>
        <w:tc>
          <w:tcPr>
            <w:tcW w:w="366" w:type="pct"/>
            <w:vAlign w:val="center"/>
          </w:tcPr>
          <w:p w14:paraId="52FED177">
            <w:pPr>
              <w:pStyle w:val="28"/>
              <w:bidi w:val="0"/>
            </w:pPr>
            <w:r>
              <w:t>38</w:t>
            </w:r>
          </w:p>
        </w:tc>
        <w:tc>
          <w:tcPr>
            <w:tcW w:w="268" w:type="pct"/>
            <w:vAlign w:val="center"/>
          </w:tcPr>
          <w:p w14:paraId="2E0DD732">
            <w:pPr>
              <w:pStyle w:val="28"/>
              <w:bidi w:val="0"/>
            </w:pPr>
            <w:r>
              <w:rPr>
                <w:rFonts w:hint="eastAsia"/>
              </w:rPr>
              <w:t>左岸</w:t>
            </w:r>
          </w:p>
        </w:tc>
        <w:tc>
          <w:tcPr>
            <w:tcW w:w="262" w:type="pct"/>
            <w:vAlign w:val="center"/>
          </w:tcPr>
          <w:p w14:paraId="5E26E670">
            <w:pPr>
              <w:pStyle w:val="28"/>
              <w:bidi w:val="0"/>
            </w:pPr>
            <w:r>
              <w:t>1</w:t>
            </w:r>
            <w:r>
              <w:rPr>
                <w:rFonts w:hint="eastAsia"/>
              </w:rPr>
              <w:t>类</w:t>
            </w:r>
          </w:p>
        </w:tc>
        <w:tc>
          <w:tcPr>
            <w:tcW w:w="809" w:type="pct"/>
            <w:vMerge w:val="restart"/>
            <w:vAlign w:val="center"/>
          </w:tcPr>
          <w:p w14:paraId="67621912">
            <w:pPr>
              <w:pStyle w:val="28"/>
              <w:bidi w:val="0"/>
            </w:pPr>
            <w:r>
              <w:rPr>
                <w:rFonts w:hint="eastAsia"/>
              </w:rPr>
              <w:t>采用低噪声设备，施工机械远离居民住宅，设置双层移动声屏障</w:t>
            </w:r>
          </w:p>
        </w:tc>
        <w:tc>
          <w:tcPr>
            <w:tcW w:w="208" w:type="pct"/>
            <w:vAlign w:val="center"/>
          </w:tcPr>
          <w:p w14:paraId="0B1251C5">
            <w:pPr>
              <w:pStyle w:val="28"/>
              <w:bidi w:val="0"/>
            </w:pPr>
            <w:r>
              <w:t>53.4</w:t>
            </w:r>
          </w:p>
        </w:tc>
        <w:tc>
          <w:tcPr>
            <w:tcW w:w="211" w:type="pct"/>
            <w:vAlign w:val="center"/>
          </w:tcPr>
          <w:p w14:paraId="18FA9C77">
            <w:pPr>
              <w:pStyle w:val="28"/>
              <w:bidi w:val="0"/>
            </w:pPr>
            <w:r>
              <w:t>40.6</w:t>
            </w:r>
          </w:p>
        </w:tc>
        <w:tc>
          <w:tcPr>
            <w:tcW w:w="208" w:type="pct"/>
            <w:vAlign w:val="center"/>
          </w:tcPr>
          <w:p w14:paraId="42D620E7">
            <w:pPr>
              <w:pStyle w:val="28"/>
              <w:bidi w:val="0"/>
            </w:pPr>
            <w:r>
              <w:t>55</w:t>
            </w:r>
          </w:p>
        </w:tc>
        <w:tc>
          <w:tcPr>
            <w:tcW w:w="211" w:type="pct"/>
            <w:vAlign w:val="center"/>
          </w:tcPr>
          <w:p w14:paraId="20F0114E">
            <w:pPr>
              <w:pStyle w:val="28"/>
              <w:bidi w:val="0"/>
            </w:pPr>
            <w:r>
              <w:t>45</w:t>
            </w:r>
          </w:p>
        </w:tc>
        <w:tc>
          <w:tcPr>
            <w:tcW w:w="276" w:type="pct"/>
            <w:vAlign w:val="center"/>
          </w:tcPr>
          <w:p w14:paraId="0877E4A3">
            <w:pPr>
              <w:pStyle w:val="28"/>
              <w:bidi w:val="0"/>
            </w:pPr>
            <w:r>
              <w:t>60.3</w:t>
            </w:r>
          </w:p>
        </w:tc>
        <w:tc>
          <w:tcPr>
            <w:tcW w:w="257" w:type="pct"/>
            <w:vAlign w:val="center"/>
          </w:tcPr>
          <w:p w14:paraId="7FCBEB3B">
            <w:pPr>
              <w:pStyle w:val="28"/>
              <w:bidi w:val="0"/>
            </w:pPr>
            <w:r>
              <w:t>40.3</w:t>
            </w:r>
          </w:p>
        </w:tc>
        <w:tc>
          <w:tcPr>
            <w:tcW w:w="257" w:type="pct"/>
            <w:vAlign w:val="center"/>
          </w:tcPr>
          <w:p w14:paraId="6E67E268">
            <w:pPr>
              <w:pStyle w:val="28"/>
              <w:bidi w:val="0"/>
            </w:pPr>
            <w:r>
              <w:t>53.6</w:t>
            </w:r>
          </w:p>
        </w:tc>
        <w:tc>
          <w:tcPr>
            <w:tcW w:w="257" w:type="pct"/>
            <w:vAlign w:val="center"/>
          </w:tcPr>
          <w:p w14:paraId="5C540D58">
            <w:pPr>
              <w:pStyle w:val="28"/>
              <w:bidi w:val="0"/>
            </w:pPr>
            <w:r>
              <w:t>0.2</w:t>
            </w:r>
          </w:p>
        </w:tc>
        <w:tc>
          <w:tcPr>
            <w:tcW w:w="209" w:type="pct"/>
            <w:vAlign w:val="center"/>
          </w:tcPr>
          <w:p w14:paraId="24F99D3B">
            <w:pPr>
              <w:pStyle w:val="28"/>
              <w:bidi w:val="0"/>
            </w:pPr>
            <w:r>
              <w:t>达标</w:t>
            </w:r>
          </w:p>
        </w:tc>
      </w:tr>
      <w:tr w14:paraId="6A01F2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D39501E">
            <w:pPr>
              <w:pStyle w:val="28"/>
              <w:bidi w:val="0"/>
            </w:pPr>
            <w:r>
              <w:rPr>
                <w:rFonts w:hint="eastAsia"/>
              </w:rPr>
              <w:t>南行</w:t>
            </w:r>
          </w:p>
        </w:tc>
        <w:tc>
          <w:tcPr>
            <w:tcW w:w="511" w:type="pct"/>
            <w:vAlign w:val="center"/>
          </w:tcPr>
          <w:p w14:paraId="69D1F1E0">
            <w:pPr>
              <w:pStyle w:val="28"/>
              <w:bidi w:val="0"/>
            </w:pPr>
            <w:r>
              <w:t>7#两岸护砌</w:t>
            </w:r>
          </w:p>
        </w:tc>
        <w:tc>
          <w:tcPr>
            <w:tcW w:w="366" w:type="pct"/>
            <w:vAlign w:val="center"/>
          </w:tcPr>
          <w:p w14:paraId="43D4FF65">
            <w:pPr>
              <w:pStyle w:val="28"/>
              <w:bidi w:val="0"/>
            </w:pPr>
            <w:r>
              <w:t>28</w:t>
            </w:r>
          </w:p>
        </w:tc>
        <w:tc>
          <w:tcPr>
            <w:tcW w:w="268" w:type="pct"/>
            <w:vAlign w:val="center"/>
          </w:tcPr>
          <w:p w14:paraId="6DDA5477">
            <w:pPr>
              <w:pStyle w:val="28"/>
              <w:bidi w:val="0"/>
            </w:pPr>
            <w:r>
              <w:rPr>
                <w:rFonts w:hint="eastAsia"/>
              </w:rPr>
              <w:t>左岸</w:t>
            </w:r>
          </w:p>
        </w:tc>
        <w:tc>
          <w:tcPr>
            <w:tcW w:w="262" w:type="pct"/>
            <w:vAlign w:val="center"/>
          </w:tcPr>
          <w:p w14:paraId="66D6246C">
            <w:pPr>
              <w:pStyle w:val="28"/>
              <w:bidi w:val="0"/>
            </w:pPr>
            <w:r>
              <w:t>1</w:t>
            </w:r>
            <w:r>
              <w:rPr>
                <w:rFonts w:hint="eastAsia"/>
              </w:rPr>
              <w:t>类</w:t>
            </w:r>
          </w:p>
        </w:tc>
        <w:tc>
          <w:tcPr>
            <w:tcW w:w="809" w:type="pct"/>
            <w:vMerge w:val="continue"/>
            <w:vAlign w:val="center"/>
          </w:tcPr>
          <w:p w14:paraId="020E52FA">
            <w:pPr>
              <w:pStyle w:val="28"/>
              <w:bidi w:val="0"/>
            </w:pPr>
          </w:p>
        </w:tc>
        <w:tc>
          <w:tcPr>
            <w:tcW w:w="208" w:type="pct"/>
            <w:vAlign w:val="center"/>
          </w:tcPr>
          <w:p w14:paraId="7E54E4DC">
            <w:pPr>
              <w:pStyle w:val="28"/>
              <w:bidi w:val="0"/>
            </w:pPr>
            <w:r>
              <w:t>53.4</w:t>
            </w:r>
          </w:p>
        </w:tc>
        <w:tc>
          <w:tcPr>
            <w:tcW w:w="211" w:type="pct"/>
            <w:vAlign w:val="center"/>
          </w:tcPr>
          <w:p w14:paraId="54C22424">
            <w:pPr>
              <w:pStyle w:val="28"/>
              <w:bidi w:val="0"/>
            </w:pPr>
            <w:r>
              <w:t>40.6</w:t>
            </w:r>
          </w:p>
        </w:tc>
        <w:tc>
          <w:tcPr>
            <w:tcW w:w="208" w:type="pct"/>
            <w:vAlign w:val="center"/>
          </w:tcPr>
          <w:p w14:paraId="456E5D92">
            <w:pPr>
              <w:pStyle w:val="28"/>
              <w:bidi w:val="0"/>
            </w:pPr>
            <w:r>
              <w:t>55</w:t>
            </w:r>
          </w:p>
        </w:tc>
        <w:tc>
          <w:tcPr>
            <w:tcW w:w="211" w:type="pct"/>
            <w:vAlign w:val="center"/>
          </w:tcPr>
          <w:p w14:paraId="572799EC">
            <w:pPr>
              <w:pStyle w:val="28"/>
              <w:bidi w:val="0"/>
            </w:pPr>
            <w:r>
              <w:t>45</w:t>
            </w:r>
          </w:p>
        </w:tc>
        <w:tc>
          <w:tcPr>
            <w:tcW w:w="276" w:type="pct"/>
            <w:vAlign w:val="center"/>
          </w:tcPr>
          <w:p w14:paraId="42830EDD">
            <w:pPr>
              <w:pStyle w:val="28"/>
              <w:bidi w:val="0"/>
            </w:pPr>
            <w:r>
              <w:t>62.9</w:t>
            </w:r>
          </w:p>
        </w:tc>
        <w:tc>
          <w:tcPr>
            <w:tcW w:w="257" w:type="pct"/>
            <w:vAlign w:val="center"/>
          </w:tcPr>
          <w:p w14:paraId="38916EB8">
            <w:pPr>
              <w:pStyle w:val="28"/>
              <w:bidi w:val="0"/>
            </w:pPr>
            <w:r>
              <w:t>42.9</w:t>
            </w:r>
          </w:p>
        </w:tc>
        <w:tc>
          <w:tcPr>
            <w:tcW w:w="257" w:type="pct"/>
            <w:vAlign w:val="center"/>
          </w:tcPr>
          <w:p w14:paraId="0A29A982">
            <w:pPr>
              <w:pStyle w:val="28"/>
              <w:bidi w:val="0"/>
            </w:pPr>
            <w:r>
              <w:t>53.8</w:t>
            </w:r>
          </w:p>
        </w:tc>
        <w:tc>
          <w:tcPr>
            <w:tcW w:w="257" w:type="pct"/>
            <w:vAlign w:val="center"/>
          </w:tcPr>
          <w:p w14:paraId="0CAB0379">
            <w:pPr>
              <w:pStyle w:val="28"/>
              <w:bidi w:val="0"/>
            </w:pPr>
            <w:r>
              <w:t>0.4</w:t>
            </w:r>
          </w:p>
        </w:tc>
        <w:tc>
          <w:tcPr>
            <w:tcW w:w="209" w:type="pct"/>
            <w:vAlign w:val="center"/>
          </w:tcPr>
          <w:p w14:paraId="28057CFF">
            <w:pPr>
              <w:pStyle w:val="28"/>
              <w:bidi w:val="0"/>
            </w:pPr>
            <w:r>
              <w:t>达标</w:t>
            </w:r>
          </w:p>
        </w:tc>
      </w:tr>
      <w:tr w14:paraId="1211D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7D7C3FB">
            <w:pPr>
              <w:pStyle w:val="28"/>
              <w:bidi w:val="0"/>
            </w:pPr>
            <w:r>
              <w:rPr>
                <w:rFonts w:hint="eastAsia"/>
              </w:rPr>
              <w:t>王水圩</w:t>
            </w:r>
          </w:p>
        </w:tc>
        <w:tc>
          <w:tcPr>
            <w:tcW w:w="511" w:type="pct"/>
            <w:vAlign w:val="center"/>
          </w:tcPr>
          <w:p w14:paraId="0A288DCA">
            <w:pPr>
              <w:pStyle w:val="28"/>
              <w:bidi w:val="0"/>
            </w:pPr>
            <w:r>
              <w:rPr>
                <w:rFonts w:hint="eastAsia"/>
              </w:rPr>
              <w:t>京北涵拆除重建</w:t>
            </w:r>
          </w:p>
        </w:tc>
        <w:tc>
          <w:tcPr>
            <w:tcW w:w="366" w:type="pct"/>
            <w:vAlign w:val="center"/>
          </w:tcPr>
          <w:p w14:paraId="57B8D9D7">
            <w:pPr>
              <w:pStyle w:val="28"/>
              <w:bidi w:val="0"/>
            </w:pPr>
            <w:r>
              <w:t>55</w:t>
            </w:r>
          </w:p>
        </w:tc>
        <w:tc>
          <w:tcPr>
            <w:tcW w:w="268" w:type="pct"/>
            <w:vAlign w:val="center"/>
          </w:tcPr>
          <w:p w14:paraId="29569B95">
            <w:pPr>
              <w:pStyle w:val="28"/>
              <w:bidi w:val="0"/>
            </w:pPr>
            <w:r>
              <w:rPr>
                <w:rFonts w:hint="eastAsia"/>
              </w:rPr>
              <w:t>右岸</w:t>
            </w:r>
          </w:p>
        </w:tc>
        <w:tc>
          <w:tcPr>
            <w:tcW w:w="262" w:type="pct"/>
            <w:vAlign w:val="center"/>
          </w:tcPr>
          <w:p w14:paraId="55DF5DCD">
            <w:pPr>
              <w:pStyle w:val="28"/>
              <w:bidi w:val="0"/>
            </w:pPr>
            <w:r>
              <w:t>1</w:t>
            </w:r>
            <w:r>
              <w:rPr>
                <w:rFonts w:hint="eastAsia"/>
              </w:rPr>
              <w:t>类</w:t>
            </w:r>
          </w:p>
        </w:tc>
        <w:tc>
          <w:tcPr>
            <w:tcW w:w="809" w:type="pct"/>
            <w:vAlign w:val="center"/>
          </w:tcPr>
          <w:p w14:paraId="7A2D6E07">
            <w:pPr>
              <w:pStyle w:val="28"/>
              <w:bidi w:val="0"/>
            </w:pPr>
            <w:r>
              <w:rPr>
                <w:rFonts w:hint="eastAsia"/>
              </w:rPr>
              <w:t>采用低噪声设备，施工机械远离居民住宅，设置单层移动声屏障</w:t>
            </w:r>
          </w:p>
        </w:tc>
        <w:tc>
          <w:tcPr>
            <w:tcW w:w="208" w:type="pct"/>
            <w:vAlign w:val="center"/>
          </w:tcPr>
          <w:p w14:paraId="297FD1A6">
            <w:pPr>
              <w:pStyle w:val="28"/>
              <w:bidi w:val="0"/>
            </w:pPr>
            <w:r>
              <w:t>53.4</w:t>
            </w:r>
          </w:p>
        </w:tc>
        <w:tc>
          <w:tcPr>
            <w:tcW w:w="211" w:type="pct"/>
            <w:vAlign w:val="center"/>
          </w:tcPr>
          <w:p w14:paraId="6E294963">
            <w:pPr>
              <w:pStyle w:val="28"/>
              <w:bidi w:val="0"/>
            </w:pPr>
            <w:r>
              <w:t>40.6</w:t>
            </w:r>
          </w:p>
        </w:tc>
        <w:tc>
          <w:tcPr>
            <w:tcW w:w="208" w:type="pct"/>
            <w:vAlign w:val="center"/>
          </w:tcPr>
          <w:p w14:paraId="02E788B7">
            <w:pPr>
              <w:pStyle w:val="28"/>
              <w:bidi w:val="0"/>
            </w:pPr>
            <w:r>
              <w:t>55</w:t>
            </w:r>
          </w:p>
        </w:tc>
        <w:tc>
          <w:tcPr>
            <w:tcW w:w="211" w:type="pct"/>
            <w:vAlign w:val="center"/>
          </w:tcPr>
          <w:p w14:paraId="6434A42C">
            <w:pPr>
              <w:pStyle w:val="28"/>
              <w:bidi w:val="0"/>
            </w:pPr>
            <w:r>
              <w:t>45</w:t>
            </w:r>
          </w:p>
        </w:tc>
        <w:tc>
          <w:tcPr>
            <w:tcW w:w="276" w:type="pct"/>
            <w:vAlign w:val="center"/>
          </w:tcPr>
          <w:p w14:paraId="3700CFC6">
            <w:pPr>
              <w:pStyle w:val="28"/>
              <w:bidi w:val="0"/>
            </w:pPr>
            <w:r>
              <w:t>58.4</w:t>
            </w:r>
          </w:p>
        </w:tc>
        <w:tc>
          <w:tcPr>
            <w:tcW w:w="257" w:type="pct"/>
            <w:vAlign w:val="center"/>
          </w:tcPr>
          <w:p w14:paraId="68965178">
            <w:pPr>
              <w:pStyle w:val="28"/>
              <w:bidi w:val="0"/>
            </w:pPr>
            <w:r>
              <w:t>43.4</w:t>
            </w:r>
          </w:p>
        </w:tc>
        <w:tc>
          <w:tcPr>
            <w:tcW w:w="257" w:type="pct"/>
            <w:vAlign w:val="center"/>
          </w:tcPr>
          <w:p w14:paraId="4410501F">
            <w:pPr>
              <w:pStyle w:val="28"/>
              <w:bidi w:val="0"/>
            </w:pPr>
            <w:r>
              <w:t>53.8</w:t>
            </w:r>
          </w:p>
        </w:tc>
        <w:tc>
          <w:tcPr>
            <w:tcW w:w="257" w:type="pct"/>
            <w:vAlign w:val="center"/>
          </w:tcPr>
          <w:p w14:paraId="75A36F43">
            <w:pPr>
              <w:pStyle w:val="28"/>
              <w:bidi w:val="0"/>
            </w:pPr>
            <w:r>
              <w:t>0.4</w:t>
            </w:r>
          </w:p>
        </w:tc>
        <w:tc>
          <w:tcPr>
            <w:tcW w:w="209" w:type="pct"/>
            <w:vAlign w:val="center"/>
          </w:tcPr>
          <w:p w14:paraId="496A3D8F">
            <w:pPr>
              <w:pStyle w:val="28"/>
              <w:bidi w:val="0"/>
            </w:pPr>
            <w:r>
              <w:t>达标</w:t>
            </w:r>
          </w:p>
        </w:tc>
      </w:tr>
      <w:tr w14:paraId="0E81D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82BD73C">
            <w:pPr>
              <w:pStyle w:val="28"/>
              <w:bidi w:val="0"/>
            </w:pPr>
            <w:r>
              <w:rPr>
                <w:rFonts w:hint="eastAsia"/>
              </w:rPr>
              <w:t>椿树井</w:t>
            </w:r>
          </w:p>
        </w:tc>
        <w:tc>
          <w:tcPr>
            <w:tcW w:w="511" w:type="pct"/>
            <w:vAlign w:val="center"/>
          </w:tcPr>
          <w:p w14:paraId="6DD94DC2">
            <w:pPr>
              <w:pStyle w:val="28"/>
              <w:bidi w:val="0"/>
            </w:pPr>
            <w:r>
              <w:rPr>
                <w:rFonts w:hint="eastAsia"/>
              </w:rPr>
              <w:t>王水圩涵拆除重建</w:t>
            </w:r>
          </w:p>
        </w:tc>
        <w:tc>
          <w:tcPr>
            <w:tcW w:w="366" w:type="pct"/>
            <w:vAlign w:val="center"/>
          </w:tcPr>
          <w:p w14:paraId="0F46418C">
            <w:pPr>
              <w:pStyle w:val="28"/>
              <w:bidi w:val="0"/>
            </w:pPr>
            <w:r>
              <w:t>38</w:t>
            </w:r>
          </w:p>
        </w:tc>
        <w:tc>
          <w:tcPr>
            <w:tcW w:w="268" w:type="pct"/>
            <w:vAlign w:val="center"/>
          </w:tcPr>
          <w:p w14:paraId="7FC05A3C">
            <w:pPr>
              <w:pStyle w:val="28"/>
              <w:bidi w:val="0"/>
            </w:pPr>
            <w:r>
              <w:rPr>
                <w:rFonts w:hint="eastAsia"/>
              </w:rPr>
              <w:t>右岸</w:t>
            </w:r>
          </w:p>
        </w:tc>
        <w:tc>
          <w:tcPr>
            <w:tcW w:w="262" w:type="pct"/>
            <w:vAlign w:val="center"/>
          </w:tcPr>
          <w:p w14:paraId="70F5D45B">
            <w:pPr>
              <w:pStyle w:val="28"/>
              <w:bidi w:val="0"/>
            </w:pPr>
            <w:r>
              <w:t>1</w:t>
            </w:r>
            <w:r>
              <w:rPr>
                <w:rFonts w:hint="eastAsia"/>
              </w:rPr>
              <w:t>类</w:t>
            </w:r>
          </w:p>
        </w:tc>
        <w:tc>
          <w:tcPr>
            <w:tcW w:w="809" w:type="pct"/>
            <w:vAlign w:val="center"/>
          </w:tcPr>
          <w:p w14:paraId="4CC1C507">
            <w:pPr>
              <w:pStyle w:val="28"/>
              <w:bidi w:val="0"/>
            </w:pPr>
            <w:r>
              <w:rPr>
                <w:rFonts w:hint="eastAsia"/>
              </w:rPr>
              <w:t>采用低噪声设备，施工机械远离居民住宅，设置双层移动声屏障</w:t>
            </w:r>
          </w:p>
        </w:tc>
        <w:tc>
          <w:tcPr>
            <w:tcW w:w="208" w:type="pct"/>
            <w:vAlign w:val="center"/>
          </w:tcPr>
          <w:p w14:paraId="4A8616FC">
            <w:pPr>
              <w:pStyle w:val="28"/>
              <w:bidi w:val="0"/>
            </w:pPr>
            <w:r>
              <w:t>53.4</w:t>
            </w:r>
          </w:p>
        </w:tc>
        <w:tc>
          <w:tcPr>
            <w:tcW w:w="211" w:type="pct"/>
            <w:vAlign w:val="center"/>
          </w:tcPr>
          <w:p w14:paraId="02F9078A">
            <w:pPr>
              <w:pStyle w:val="28"/>
              <w:bidi w:val="0"/>
            </w:pPr>
            <w:r>
              <w:t>40.6</w:t>
            </w:r>
          </w:p>
        </w:tc>
        <w:tc>
          <w:tcPr>
            <w:tcW w:w="208" w:type="pct"/>
            <w:vAlign w:val="center"/>
          </w:tcPr>
          <w:p w14:paraId="6E916DE7">
            <w:pPr>
              <w:pStyle w:val="28"/>
              <w:bidi w:val="0"/>
            </w:pPr>
            <w:r>
              <w:t>55</w:t>
            </w:r>
          </w:p>
        </w:tc>
        <w:tc>
          <w:tcPr>
            <w:tcW w:w="211" w:type="pct"/>
            <w:vAlign w:val="center"/>
          </w:tcPr>
          <w:p w14:paraId="7730AFE2">
            <w:pPr>
              <w:pStyle w:val="28"/>
              <w:bidi w:val="0"/>
            </w:pPr>
            <w:r>
              <w:t>45</w:t>
            </w:r>
          </w:p>
        </w:tc>
        <w:tc>
          <w:tcPr>
            <w:tcW w:w="276" w:type="pct"/>
            <w:vAlign w:val="center"/>
          </w:tcPr>
          <w:p w14:paraId="3CCE456E">
            <w:pPr>
              <w:pStyle w:val="28"/>
              <w:bidi w:val="0"/>
            </w:pPr>
            <w:r>
              <w:t>61.6</w:t>
            </w:r>
          </w:p>
        </w:tc>
        <w:tc>
          <w:tcPr>
            <w:tcW w:w="257" w:type="pct"/>
            <w:vAlign w:val="center"/>
          </w:tcPr>
          <w:p w14:paraId="5B3B80CF">
            <w:pPr>
              <w:pStyle w:val="28"/>
              <w:bidi w:val="0"/>
            </w:pPr>
            <w:r>
              <w:t>41.6</w:t>
            </w:r>
          </w:p>
        </w:tc>
        <w:tc>
          <w:tcPr>
            <w:tcW w:w="257" w:type="pct"/>
            <w:vAlign w:val="center"/>
          </w:tcPr>
          <w:p w14:paraId="546DED20">
            <w:pPr>
              <w:pStyle w:val="28"/>
              <w:bidi w:val="0"/>
            </w:pPr>
            <w:r>
              <w:t>53.7</w:t>
            </w:r>
          </w:p>
        </w:tc>
        <w:tc>
          <w:tcPr>
            <w:tcW w:w="257" w:type="pct"/>
            <w:vAlign w:val="center"/>
          </w:tcPr>
          <w:p w14:paraId="52438AA5">
            <w:pPr>
              <w:pStyle w:val="28"/>
              <w:bidi w:val="0"/>
            </w:pPr>
            <w:r>
              <w:t>0.3</w:t>
            </w:r>
          </w:p>
        </w:tc>
        <w:tc>
          <w:tcPr>
            <w:tcW w:w="209" w:type="pct"/>
            <w:vAlign w:val="center"/>
          </w:tcPr>
          <w:p w14:paraId="6E3C7578">
            <w:pPr>
              <w:pStyle w:val="28"/>
              <w:bidi w:val="0"/>
            </w:pPr>
            <w:r>
              <w:t>达标</w:t>
            </w:r>
          </w:p>
        </w:tc>
      </w:tr>
      <w:tr w14:paraId="52E83E56">
        <w:tblPrEx>
          <w:tblCellMar>
            <w:top w:w="0" w:type="dxa"/>
            <w:left w:w="108" w:type="dxa"/>
            <w:bottom w:w="0" w:type="dxa"/>
            <w:right w:w="108" w:type="dxa"/>
          </w:tblCellMar>
        </w:tblPrEx>
        <w:trPr>
          <w:trHeight w:val="340" w:hRule="atLeast"/>
          <w:jc w:val="center"/>
        </w:trPr>
        <w:tc>
          <w:tcPr>
            <w:tcW w:w="685" w:type="pct"/>
            <w:vAlign w:val="center"/>
          </w:tcPr>
          <w:p w14:paraId="2E2CB28E">
            <w:pPr>
              <w:pStyle w:val="28"/>
              <w:bidi w:val="0"/>
            </w:pPr>
            <w:r>
              <w:rPr>
                <w:rFonts w:hint="eastAsia"/>
              </w:rPr>
              <w:t>韩老庄</w:t>
            </w:r>
          </w:p>
        </w:tc>
        <w:tc>
          <w:tcPr>
            <w:tcW w:w="511" w:type="pct"/>
            <w:vAlign w:val="center"/>
          </w:tcPr>
          <w:p w14:paraId="6D67A3CA">
            <w:pPr>
              <w:pStyle w:val="28"/>
              <w:bidi w:val="0"/>
            </w:pPr>
            <w:r>
              <w:rPr>
                <w:rFonts w:hint="eastAsia"/>
              </w:rPr>
              <w:t>椿树井涵拆除重建</w:t>
            </w:r>
          </w:p>
        </w:tc>
        <w:tc>
          <w:tcPr>
            <w:tcW w:w="366" w:type="pct"/>
            <w:vAlign w:val="center"/>
          </w:tcPr>
          <w:p w14:paraId="0AEC375E">
            <w:pPr>
              <w:pStyle w:val="28"/>
              <w:bidi w:val="0"/>
            </w:pPr>
            <w:r>
              <w:t>48</w:t>
            </w:r>
          </w:p>
        </w:tc>
        <w:tc>
          <w:tcPr>
            <w:tcW w:w="268" w:type="pct"/>
            <w:vAlign w:val="center"/>
          </w:tcPr>
          <w:p w14:paraId="1B413CF4">
            <w:pPr>
              <w:pStyle w:val="28"/>
              <w:bidi w:val="0"/>
            </w:pPr>
            <w:r>
              <w:rPr>
                <w:rFonts w:hint="eastAsia"/>
              </w:rPr>
              <w:t>右岸</w:t>
            </w:r>
          </w:p>
        </w:tc>
        <w:tc>
          <w:tcPr>
            <w:tcW w:w="262" w:type="pct"/>
            <w:vAlign w:val="center"/>
          </w:tcPr>
          <w:p w14:paraId="781C69FF">
            <w:pPr>
              <w:pStyle w:val="28"/>
              <w:bidi w:val="0"/>
            </w:pPr>
            <w:r>
              <w:t>1</w:t>
            </w:r>
            <w:r>
              <w:rPr>
                <w:rFonts w:hint="eastAsia"/>
              </w:rPr>
              <w:t>类</w:t>
            </w:r>
          </w:p>
        </w:tc>
        <w:tc>
          <w:tcPr>
            <w:tcW w:w="809" w:type="pct"/>
            <w:vAlign w:val="center"/>
          </w:tcPr>
          <w:p w14:paraId="24FC2321">
            <w:pPr>
              <w:pStyle w:val="28"/>
              <w:bidi w:val="0"/>
            </w:pPr>
            <w:r>
              <w:rPr>
                <w:rFonts w:hint="eastAsia"/>
              </w:rPr>
              <w:t>采用低噪声设备，施工机械远离居民住宅，设置单层移动声屏障</w:t>
            </w:r>
          </w:p>
        </w:tc>
        <w:tc>
          <w:tcPr>
            <w:tcW w:w="208" w:type="pct"/>
            <w:vAlign w:val="center"/>
          </w:tcPr>
          <w:p w14:paraId="021FB0C4">
            <w:pPr>
              <w:pStyle w:val="28"/>
              <w:bidi w:val="0"/>
            </w:pPr>
            <w:r>
              <w:t>53.4</w:t>
            </w:r>
          </w:p>
        </w:tc>
        <w:tc>
          <w:tcPr>
            <w:tcW w:w="211" w:type="pct"/>
            <w:vAlign w:val="center"/>
          </w:tcPr>
          <w:p w14:paraId="58554D11">
            <w:pPr>
              <w:pStyle w:val="28"/>
              <w:bidi w:val="0"/>
            </w:pPr>
            <w:r>
              <w:t>40.6</w:t>
            </w:r>
          </w:p>
        </w:tc>
        <w:tc>
          <w:tcPr>
            <w:tcW w:w="208" w:type="pct"/>
            <w:vAlign w:val="center"/>
          </w:tcPr>
          <w:p w14:paraId="68DB1FC1">
            <w:pPr>
              <w:pStyle w:val="28"/>
              <w:bidi w:val="0"/>
            </w:pPr>
            <w:r>
              <w:t>55</w:t>
            </w:r>
          </w:p>
        </w:tc>
        <w:tc>
          <w:tcPr>
            <w:tcW w:w="211" w:type="pct"/>
            <w:vAlign w:val="center"/>
          </w:tcPr>
          <w:p w14:paraId="372CD588">
            <w:pPr>
              <w:pStyle w:val="28"/>
              <w:bidi w:val="0"/>
            </w:pPr>
            <w:r>
              <w:t>45</w:t>
            </w:r>
          </w:p>
        </w:tc>
        <w:tc>
          <w:tcPr>
            <w:tcW w:w="276" w:type="pct"/>
            <w:vAlign w:val="center"/>
          </w:tcPr>
          <w:p w14:paraId="355B6820">
            <w:pPr>
              <w:pStyle w:val="28"/>
              <w:bidi w:val="0"/>
            </w:pPr>
            <w:r>
              <w:t>59.6</w:t>
            </w:r>
          </w:p>
        </w:tc>
        <w:tc>
          <w:tcPr>
            <w:tcW w:w="257" w:type="pct"/>
            <w:vAlign w:val="center"/>
          </w:tcPr>
          <w:p w14:paraId="21E1BA9C">
            <w:pPr>
              <w:pStyle w:val="28"/>
              <w:bidi w:val="0"/>
            </w:pPr>
            <w:r>
              <w:t>44.6</w:t>
            </w:r>
          </w:p>
        </w:tc>
        <w:tc>
          <w:tcPr>
            <w:tcW w:w="257" w:type="pct"/>
            <w:vAlign w:val="center"/>
          </w:tcPr>
          <w:p w14:paraId="1EF5AF83">
            <w:pPr>
              <w:pStyle w:val="28"/>
              <w:bidi w:val="0"/>
            </w:pPr>
            <w:r>
              <w:t>53.9</w:t>
            </w:r>
          </w:p>
        </w:tc>
        <w:tc>
          <w:tcPr>
            <w:tcW w:w="257" w:type="pct"/>
            <w:vAlign w:val="center"/>
          </w:tcPr>
          <w:p w14:paraId="0DF13FC9">
            <w:pPr>
              <w:pStyle w:val="28"/>
              <w:bidi w:val="0"/>
            </w:pPr>
            <w:r>
              <w:t>0.5</w:t>
            </w:r>
          </w:p>
        </w:tc>
        <w:tc>
          <w:tcPr>
            <w:tcW w:w="209" w:type="pct"/>
            <w:vAlign w:val="center"/>
          </w:tcPr>
          <w:p w14:paraId="09921EC6">
            <w:pPr>
              <w:pStyle w:val="28"/>
              <w:bidi w:val="0"/>
            </w:pPr>
            <w:r>
              <w:t>达标</w:t>
            </w:r>
          </w:p>
        </w:tc>
      </w:tr>
      <w:tr w14:paraId="48F7A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C5BE62F">
            <w:pPr>
              <w:pStyle w:val="28"/>
              <w:bidi w:val="0"/>
            </w:pPr>
            <w:r>
              <w:rPr>
                <w:rFonts w:hint="eastAsia"/>
              </w:rPr>
              <w:t>沣西水利中心</w:t>
            </w:r>
          </w:p>
        </w:tc>
        <w:tc>
          <w:tcPr>
            <w:tcW w:w="511" w:type="pct"/>
            <w:vAlign w:val="center"/>
          </w:tcPr>
          <w:p w14:paraId="3D10AE83">
            <w:pPr>
              <w:pStyle w:val="28"/>
              <w:bidi w:val="0"/>
            </w:pPr>
            <w:r>
              <w:t>14#右岸管护道路</w:t>
            </w:r>
          </w:p>
        </w:tc>
        <w:tc>
          <w:tcPr>
            <w:tcW w:w="366" w:type="pct"/>
            <w:vAlign w:val="center"/>
          </w:tcPr>
          <w:p w14:paraId="3D5DB6A0">
            <w:pPr>
              <w:pStyle w:val="28"/>
              <w:bidi w:val="0"/>
            </w:pPr>
            <w:r>
              <w:t>78</w:t>
            </w:r>
          </w:p>
        </w:tc>
        <w:tc>
          <w:tcPr>
            <w:tcW w:w="268" w:type="pct"/>
            <w:vAlign w:val="center"/>
          </w:tcPr>
          <w:p w14:paraId="643ACF8E">
            <w:pPr>
              <w:pStyle w:val="28"/>
              <w:bidi w:val="0"/>
            </w:pPr>
            <w:r>
              <w:rPr>
                <w:rFonts w:hint="eastAsia"/>
              </w:rPr>
              <w:t>右岸</w:t>
            </w:r>
          </w:p>
        </w:tc>
        <w:tc>
          <w:tcPr>
            <w:tcW w:w="262" w:type="pct"/>
            <w:vAlign w:val="center"/>
          </w:tcPr>
          <w:p w14:paraId="71C5C49E">
            <w:pPr>
              <w:pStyle w:val="28"/>
              <w:bidi w:val="0"/>
            </w:pPr>
            <w:r>
              <w:t>1</w:t>
            </w:r>
            <w:r>
              <w:rPr>
                <w:rFonts w:hint="eastAsia"/>
              </w:rPr>
              <w:t>类</w:t>
            </w:r>
          </w:p>
        </w:tc>
        <w:tc>
          <w:tcPr>
            <w:tcW w:w="809" w:type="pct"/>
            <w:vAlign w:val="center"/>
          </w:tcPr>
          <w:p w14:paraId="797666D0">
            <w:pPr>
              <w:pStyle w:val="28"/>
              <w:bidi w:val="0"/>
            </w:pPr>
            <w:r>
              <w:rPr>
                <w:rFonts w:hint="eastAsia"/>
              </w:rPr>
              <w:t>采用低噪声设备，施工机械远离居民住宅</w:t>
            </w:r>
          </w:p>
        </w:tc>
        <w:tc>
          <w:tcPr>
            <w:tcW w:w="208" w:type="pct"/>
            <w:vAlign w:val="center"/>
          </w:tcPr>
          <w:p w14:paraId="2B0EE836">
            <w:pPr>
              <w:pStyle w:val="28"/>
              <w:bidi w:val="0"/>
            </w:pPr>
            <w:r>
              <w:t>53.4</w:t>
            </w:r>
          </w:p>
        </w:tc>
        <w:tc>
          <w:tcPr>
            <w:tcW w:w="211" w:type="pct"/>
            <w:vAlign w:val="center"/>
          </w:tcPr>
          <w:p w14:paraId="01F73CEF">
            <w:pPr>
              <w:pStyle w:val="28"/>
              <w:bidi w:val="0"/>
            </w:pPr>
            <w:r>
              <w:t>40.6</w:t>
            </w:r>
          </w:p>
        </w:tc>
        <w:tc>
          <w:tcPr>
            <w:tcW w:w="208" w:type="pct"/>
            <w:vAlign w:val="center"/>
          </w:tcPr>
          <w:p w14:paraId="357A01B3">
            <w:pPr>
              <w:pStyle w:val="28"/>
              <w:bidi w:val="0"/>
            </w:pPr>
            <w:r>
              <w:t>55</w:t>
            </w:r>
          </w:p>
        </w:tc>
        <w:tc>
          <w:tcPr>
            <w:tcW w:w="211" w:type="pct"/>
            <w:vAlign w:val="center"/>
          </w:tcPr>
          <w:p w14:paraId="2FA6DC5D">
            <w:pPr>
              <w:pStyle w:val="28"/>
              <w:bidi w:val="0"/>
            </w:pPr>
            <w:r>
              <w:t>45</w:t>
            </w:r>
          </w:p>
        </w:tc>
        <w:tc>
          <w:tcPr>
            <w:tcW w:w="276" w:type="pct"/>
            <w:vAlign w:val="center"/>
          </w:tcPr>
          <w:p w14:paraId="567F7C5B">
            <w:pPr>
              <w:pStyle w:val="28"/>
              <w:bidi w:val="0"/>
            </w:pPr>
            <w:r>
              <w:t>54.8</w:t>
            </w:r>
          </w:p>
        </w:tc>
        <w:tc>
          <w:tcPr>
            <w:tcW w:w="257" w:type="pct"/>
            <w:vAlign w:val="center"/>
          </w:tcPr>
          <w:p w14:paraId="61685E48">
            <w:pPr>
              <w:pStyle w:val="28"/>
              <w:bidi w:val="0"/>
            </w:pPr>
            <w:r>
              <w:t>47.8</w:t>
            </w:r>
          </w:p>
        </w:tc>
        <w:tc>
          <w:tcPr>
            <w:tcW w:w="257" w:type="pct"/>
            <w:vAlign w:val="center"/>
          </w:tcPr>
          <w:p w14:paraId="45CE644B">
            <w:pPr>
              <w:pStyle w:val="28"/>
              <w:bidi w:val="0"/>
            </w:pPr>
            <w:r>
              <w:t>54.4</w:t>
            </w:r>
          </w:p>
        </w:tc>
        <w:tc>
          <w:tcPr>
            <w:tcW w:w="257" w:type="pct"/>
            <w:vAlign w:val="center"/>
          </w:tcPr>
          <w:p w14:paraId="3EBB354D">
            <w:pPr>
              <w:pStyle w:val="28"/>
              <w:bidi w:val="0"/>
            </w:pPr>
            <w:r>
              <w:t>1.0</w:t>
            </w:r>
          </w:p>
        </w:tc>
        <w:tc>
          <w:tcPr>
            <w:tcW w:w="209" w:type="pct"/>
            <w:vAlign w:val="center"/>
          </w:tcPr>
          <w:p w14:paraId="08D4F5CF">
            <w:pPr>
              <w:pStyle w:val="28"/>
              <w:bidi w:val="0"/>
            </w:pPr>
            <w:r>
              <w:t>达标</w:t>
            </w:r>
          </w:p>
        </w:tc>
      </w:tr>
      <w:tr w14:paraId="065A7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869D6E8">
            <w:pPr>
              <w:pStyle w:val="28"/>
              <w:bidi w:val="0"/>
            </w:pPr>
            <w:r>
              <w:rPr>
                <w:rFonts w:hint="eastAsia"/>
              </w:rPr>
              <w:t>窑岗</w:t>
            </w:r>
          </w:p>
        </w:tc>
        <w:tc>
          <w:tcPr>
            <w:tcW w:w="511" w:type="pct"/>
            <w:vAlign w:val="center"/>
          </w:tcPr>
          <w:p w14:paraId="4070EEE0">
            <w:pPr>
              <w:pStyle w:val="28"/>
              <w:bidi w:val="0"/>
            </w:pPr>
            <w:r>
              <w:t>11#两岸护砌</w:t>
            </w:r>
          </w:p>
        </w:tc>
        <w:tc>
          <w:tcPr>
            <w:tcW w:w="366" w:type="pct"/>
            <w:vAlign w:val="center"/>
          </w:tcPr>
          <w:p w14:paraId="20873153">
            <w:pPr>
              <w:pStyle w:val="28"/>
              <w:bidi w:val="0"/>
            </w:pPr>
            <w:r>
              <w:t>26</w:t>
            </w:r>
          </w:p>
        </w:tc>
        <w:tc>
          <w:tcPr>
            <w:tcW w:w="268" w:type="pct"/>
            <w:vAlign w:val="center"/>
          </w:tcPr>
          <w:p w14:paraId="114A5005">
            <w:pPr>
              <w:pStyle w:val="28"/>
              <w:bidi w:val="0"/>
            </w:pPr>
            <w:r>
              <w:rPr>
                <w:rFonts w:hint="eastAsia"/>
              </w:rPr>
              <w:t>右岸</w:t>
            </w:r>
          </w:p>
        </w:tc>
        <w:tc>
          <w:tcPr>
            <w:tcW w:w="262" w:type="pct"/>
            <w:vAlign w:val="center"/>
          </w:tcPr>
          <w:p w14:paraId="10275600">
            <w:pPr>
              <w:pStyle w:val="28"/>
              <w:bidi w:val="0"/>
            </w:pPr>
            <w:r>
              <w:t>1</w:t>
            </w:r>
            <w:r>
              <w:rPr>
                <w:rFonts w:hint="eastAsia"/>
              </w:rPr>
              <w:t>类</w:t>
            </w:r>
          </w:p>
        </w:tc>
        <w:tc>
          <w:tcPr>
            <w:tcW w:w="809" w:type="pct"/>
            <w:vAlign w:val="center"/>
          </w:tcPr>
          <w:p w14:paraId="61FF6F2F">
            <w:pPr>
              <w:pStyle w:val="28"/>
              <w:bidi w:val="0"/>
            </w:pPr>
            <w:r>
              <w:rPr>
                <w:rFonts w:hint="eastAsia"/>
              </w:rPr>
              <w:t>采用低噪声设备，施工机械远离居民住宅，设置双层移动声屏障</w:t>
            </w:r>
          </w:p>
        </w:tc>
        <w:tc>
          <w:tcPr>
            <w:tcW w:w="208" w:type="pct"/>
            <w:vAlign w:val="center"/>
          </w:tcPr>
          <w:p w14:paraId="7827A878">
            <w:pPr>
              <w:pStyle w:val="28"/>
              <w:bidi w:val="0"/>
            </w:pPr>
            <w:r>
              <w:t>53.4</w:t>
            </w:r>
          </w:p>
        </w:tc>
        <w:tc>
          <w:tcPr>
            <w:tcW w:w="211" w:type="pct"/>
            <w:vAlign w:val="center"/>
          </w:tcPr>
          <w:p w14:paraId="3C368168">
            <w:pPr>
              <w:pStyle w:val="28"/>
              <w:bidi w:val="0"/>
            </w:pPr>
            <w:r>
              <w:t>40.6</w:t>
            </w:r>
          </w:p>
        </w:tc>
        <w:tc>
          <w:tcPr>
            <w:tcW w:w="208" w:type="pct"/>
            <w:vAlign w:val="center"/>
          </w:tcPr>
          <w:p w14:paraId="640F63C3">
            <w:pPr>
              <w:pStyle w:val="28"/>
              <w:bidi w:val="0"/>
            </w:pPr>
            <w:r>
              <w:t>55</w:t>
            </w:r>
          </w:p>
        </w:tc>
        <w:tc>
          <w:tcPr>
            <w:tcW w:w="211" w:type="pct"/>
            <w:vAlign w:val="center"/>
          </w:tcPr>
          <w:p w14:paraId="2939A4D2">
            <w:pPr>
              <w:pStyle w:val="28"/>
              <w:bidi w:val="0"/>
            </w:pPr>
            <w:r>
              <w:t>45</w:t>
            </w:r>
          </w:p>
        </w:tc>
        <w:tc>
          <w:tcPr>
            <w:tcW w:w="276" w:type="pct"/>
            <w:vAlign w:val="center"/>
          </w:tcPr>
          <w:p w14:paraId="28CB1671">
            <w:pPr>
              <w:pStyle w:val="28"/>
              <w:bidi w:val="0"/>
            </w:pPr>
            <w:r>
              <w:t>63.6</w:t>
            </w:r>
          </w:p>
        </w:tc>
        <w:tc>
          <w:tcPr>
            <w:tcW w:w="257" w:type="pct"/>
            <w:vAlign w:val="center"/>
          </w:tcPr>
          <w:p w14:paraId="266124A8">
            <w:pPr>
              <w:pStyle w:val="28"/>
              <w:bidi w:val="0"/>
            </w:pPr>
            <w:r>
              <w:t>43.6</w:t>
            </w:r>
          </w:p>
        </w:tc>
        <w:tc>
          <w:tcPr>
            <w:tcW w:w="257" w:type="pct"/>
            <w:vAlign w:val="center"/>
          </w:tcPr>
          <w:p w14:paraId="0E0C8622">
            <w:pPr>
              <w:pStyle w:val="28"/>
              <w:bidi w:val="0"/>
            </w:pPr>
            <w:r>
              <w:t>53.8</w:t>
            </w:r>
          </w:p>
        </w:tc>
        <w:tc>
          <w:tcPr>
            <w:tcW w:w="257" w:type="pct"/>
            <w:vAlign w:val="center"/>
          </w:tcPr>
          <w:p w14:paraId="38C0B36D">
            <w:pPr>
              <w:pStyle w:val="28"/>
              <w:bidi w:val="0"/>
            </w:pPr>
            <w:r>
              <w:t>0.4</w:t>
            </w:r>
          </w:p>
        </w:tc>
        <w:tc>
          <w:tcPr>
            <w:tcW w:w="209" w:type="pct"/>
            <w:vAlign w:val="center"/>
          </w:tcPr>
          <w:p w14:paraId="2D681C5E">
            <w:pPr>
              <w:pStyle w:val="28"/>
              <w:bidi w:val="0"/>
            </w:pPr>
            <w:r>
              <w:t>达标</w:t>
            </w:r>
          </w:p>
        </w:tc>
      </w:tr>
      <w:tr w14:paraId="116A6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E63A45A">
            <w:pPr>
              <w:pStyle w:val="28"/>
              <w:bidi w:val="0"/>
            </w:pPr>
            <w:r>
              <w:rPr>
                <w:rFonts w:hint="eastAsia"/>
              </w:rPr>
              <w:t>霍邱县文杰学校</w:t>
            </w:r>
          </w:p>
        </w:tc>
        <w:tc>
          <w:tcPr>
            <w:tcW w:w="511" w:type="pct"/>
            <w:vAlign w:val="center"/>
          </w:tcPr>
          <w:p w14:paraId="1F0B3965">
            <w:pPr>
              <w:pStyle w:val="28"/>
              <w:bidi w:val="0"/>
            </w:pPr>
            <w:r>
              <w:rPr>
                <w:rFonts w:hint="eastAsia"/>
              </w:rPr>
              <w:t>尧岗涵拆除重建</w:t>
            </w:r>
          </w:p>
        </w:tc>
        <w:tc>
          <w:tcPr>
            <w:tcW w:w="366" w:type="pct"/>
            <w:vAlign w:val="center"/>
          </w:tcPr>
          <w:p w14:paraId="056CBE81">
            <w:pPr>
              <w:pStyle w:val="28"/>
              <w:bidi w:val="0"/>
            </w:pPr>
            <w:r>
              <w:t>66</w:t>
            </w:r>
          </w:p>
        </w:tc>
        <w:tc>
          <w:tcPr>
            <w:tcW w:w="268" w:type="pct"/>
            <w:vAlign w:val="center"/>
          </w:tcPr>
          <w:p w14:paraId="3B5C0DEE">
            <w:pPr>
              <w:pStyle w:val="28"/>
              <w:bidi w:val="0"/>
            </w:pPr>
            <w:r>
              <w:rPr>
                <w:rFonts w:hint="eastAsia"/>
              </w:rPr>
              <w:t>右岸</w:t>
            </w:r>
          </w:p>
        </w:tc>
        <w:tc>
          <w:tcPr>
            <w:tcW w:w="262" w:type="pct"/>
            <w:vAlign w:val="center"/>
          </w:tcPr>
          <w:p w14:paraId="7C5ADEC8">
            <w:pPr>
              <w:pStyle w:val="28"/>
              <w:bidi w:val="0"/>
            </w:pPr>
            <w:r>
              <w:t>1</w:t>
            </w:r>
            <w:r>
              <w:rPr>
                <w:rFonts w:hint="eastAsia"/>
              </w:rPr>
              <w:t>类</w:t>
            </w:r>
          </w:p>
        </w:tc>
        <w:tc>
          <w:tcPr>
            <w:tcW w:w="809" w:type="pct"/>
            <w:vMerge w:val="restart"/>
            <w:vAlign w:val="center"/>
          </w:tcPr>
          <w:p w14:paraId="17635860">
            <w:pPr>
              <w:pStyle w:val="28"/>
              <w:bidi w:val="0"/>
            </w:pPr>
            <w:r>
              <w:rPr>
                <w:rFonts w:hint="eastAsia"/>
              </w:rPr>
              <w:t>采用低噪声设备，施工机械远离居民住宅</w:t>
            </w:r>
          </w:p>
        </w:tc>
        <w:tc>
          <w:tcPr>
            <w:tcW w:w="208" w:type="pct"/>
            <w:vAlign w:val="center"/>
          </w:tcPr>
          <w:p w14:paraId="0AC0B594">
            <w:pPr>
              <w:pStyle w:val="28"/>
              <w:bidi w:val="0"/>
            </w:pPr>
            <w:r>
              <w:t>53.4</w:t>
            </w:r>
          </w:p>
        </w:tc>
        <w:tc>
          <w:tcPr>
            <w:tcW w:w="211" w:type="pct"/>
            <w:vAlign w:val="center"/>
          </w:tcPr>
          <w:p w14:paraId="3BCDD5AB">
            <w:pPr>
              <w:pStyle w:val="28"/>
              <w:bidi w:val="0"/>
            </w:pPr>
            <w:r>
              <w:t>40.6</w:t>
            </w:r>
          </w:p>
        </w:tc>
        <w:tc>
          <w:tcPr>
            <w:tcW w:w="208" w:type="pct"/>
            <w:vAlign w:val="center"/>
          </w:tcPr>
          <w:p w14:paraId="3CB812EC">
            <w:pPr>
              <w:pStyle w:val="28"/>
              <w:bidi w:val="0"/>
            </w:pPr>
            <w:r>
              <w:t>55</w:t>
            </w:r>
          </w:p>
        </w:tc>
        <w:tc>
          <w:tcPr>
            <w:tcW w:w="211" w:type="pct"/>
            <w:vAlign w:val="center"/>
          </w:tcPr>
          <w:p w14:paraId="5D60DD46">
            <w:pPr>
              <w:pStyle w:val="28"/>
              <w:bidi w:val="0"/>
            </w:pPr>
            <w:r>
              <w:t>45</w:t>
            </w:r>
          </w:p>
        </w:tc>
        <w:tc>
          <w:tcPr>
            <w:tcW w:w="276" w:type="pct"/>
            <w:vAlign w:val="center"/>
          </w:tcPr>
          <w:p w14:paraId="419D350B">
            <w:pPr>
              <w:pStyle w:val="28"/>
              <w:bidi w:val="0"/>
            </w:pPr>
            <w:r>
              <w:t>56.8</w:t>
            </w:r>
          </w:p>
        </w:tc>
        <w:tc>
          <w:tcPr>
            <w:tcW w:w="257" w:type="pct"/>
            <w:vAlign w:val="center"/>
          </w:tcPr>
          <w:p w14:paraId="11E295C7">
            <w:pPr>
              <w:pStyle w:val="28"/>
              <w:bidi w:val="0"/>
            </w:pPr>
            <w:r>
              <w:t>49.8</w:t>
            </w:r>
          </w:p>
        </w:tc>
        <w:tc>
          <w:tcPr>
            <w:tcW w:w="257" w:type="pct"/>
            <w:vAlign w:val="center"/>
          </w:tcPr>
          <w:p w14:paraId="73B276E3">
            <w:pPr>
              <w:pStyle w:val="28"/>
              <w:bidi w:val="0"/>
            </w:pPr>
            <w:r>
              <w:t>55.0</w:t>
            </w:r>
          </w:p>
        </w:tc>
        <w:tc>
          <w:tcPr>
            <w:tcW w:w="257" w:type="pct"/>
            <w:vAlign w:val="center"/>
          </w:tcPr>
          <w:p w14:paraId="4477B304">
            <w:pPr>
              <w:pStyle w:val="28"/>
              <w:bidi w:val="0"/>
            </w:pPr>
            <w:r>
              <w:t>1.6</w:t>
            </w:r>
          </w:p>
        </w:tc>
        <w:tc>
          <w:tcPr>
            <w:tcW w:w="209" w:type="pct"/>
            <w:vAlign w:val="center"/>
          </w:tcPr>
          <w:p w14:paraId="49E58681">
            <w:pPr>
              <w:pStyle w:val="28"/>
              <w:bidi w:val="0"/>
            </w:pPr>
            <w:r>
              <w:t>达标</w:t>
            </w:r>
          </w:p>
        </w:tc>
      </w:tr>
      <w:tr w14:paraId="0F468C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6C1815E">
            <w:pPr>
              <w:pStyle w:val="28"/>
              <w:bidi w:val="0"/>
            </w:pPr>
            <w:r>
              <w:rPr>
                <w:rFonts w:hint="eastAsia"/>
              </w:rPr>
              <w:t>新庄子</w:t>
            </w:r>
          </w:p>
        </w:tc>
        <w:tc>
          <w:tcPr>
            <w:tcW w:w="511" w:type="pct"/>
            <w:vAlign w:val="center"/>
          </w:tcPr>
          <w:p w14:paraId="4229C6EE">
            <w:pPr>
              <w:pStyle w:val="28"/>
              <w:bidi w:val="0"/>
            </w:pPr>
            <w:r>
              <w:rPr>
                <w:rFonts w:hint="eastAsia"/>
              </w:rPr>
              <w:t>小圩涵拆除重建</w:t>
            </w:r>
          </w:p>
        </w:tc>
        <w:tc>
          <w:tcPr>
            <w:tcW w:w="366" w:type="pct"/>
            <w:vAlign w:val="center"/>
          </w:tcPr>
          <w:p w14:paraId="0C7F5188">
            <w:pPr>
              <w:pStyle w:val="28"/>
              <w:bidi w:val="0"/>
            </w:pPr>
            <w:r>
              <w:t>59</w:t>
            </w:r>
          </w:p>
        </w:tc>
        <w:tc>
          <w:tcPr>
            <w:tcW w:w="268" w:type="pct"/>
            <w:vAlign w:val="center"/>
          </w:tcPr>
          <w:p w14:paraId="6EB090B2">
            <w:pPr>
              <w:pStyle w:val="28"/>
              <w:bidi w:val="0"/>
            </w:pPr>
            <w:r>
              <w:rPr>
                <w:rFonts w:hint="eastAsia"/>
              </w:rPr>
              <w:t>左岸</w:t>
            </w:r>
          </w:p>
        </w:tc>
        <w:tc>
          <w:tcPr>
            <w:tcW w:w="262" w:type="pct"/>
            <w:vAlign w:val="center"/>
          </w:tcPr>
          <w:p w14:paraId="66EA3C5D">
            <w:pPr>
              <w:pStyle w:val="28"/>
              <w:bidi w:val="0"/>
            </w:pPr>
            <w:r>
              <w:t>1</w:t>
            </w:r>
            <w:r>
              <w:rPr>
                <w:rFonts w:hint="eastAsia"/>
              </w:rPr>
              <w:t>类</w:t>
            </w:r>
          </w:p>
        </w:tc>
        <w:tc>
          <w:tcPr>
            <w:tcW w:w="809" w:type="pct"/>
            <w:vMerge w:val="continue"/>
            <w:vAlign w:val="center"/>
          </w:tcPr>
          <w:p w14:paraId="10120527">
            <w:pPr>
              <w:pStyle w:val="28"/>
              <w:bidi w:val="0"/>
            </w:pPr>
          </w:p>
        </w:tc>
        <w:tc>
          <w:tcPr>
            <w:tcW w:w="208" w:type="pct"/>
            <w:vAlign w:val="center"/>
          </w:tcPr>
          <w:p w14:paraId="6C6DD612">
            <w:pPr>
              <w:pStyle w:val="28"/>
              <w:bidi w:val="0"/>
            </w:pPr>
            <w:r>
              <w:t>53.4</w:t>
            </w:r>
          </w:p>
        </w:tc>
        <w:tc>
          <w:tcPr>
            <w:tcW w:w="211" w:type="pct"/>
            <w:vAlign w:val="center"/>
          </w:tcPr>
          <w:p w14:paraId="47812E1B">
            <w:pPr>
              <w:pStyle w:val="28"/>
              <w:bidi w:val="0"/>
            </w:pPr>
            <w:r>
              <w:t>40.6</w:t>
            </w:r>
          </w:p>
        </w:tc>
        <w:tc>
          <w:tcPr>
            <w:tcW w:w="208" w:type="pct"/>
            <w:vAlign w:val="center"/>
          </w:tcPr>
          <w:p w14:paraId="7EEA910A">
            <w:pPr>
              <w:pStyle w:val="28"/>
              <w:bidi w:val="0"/>
            </w:pPr>
            <w:r>
              <w:t>55</w:t>
            </w:r>
          </w:p>
        </w:tc>
        <w:tc>
          <w:tcPr>
            <w:tcW w:w="211" w:type="pct"/>
            <w:vAlign w:val="center"/>
          </w:tcPr>
          <w:p w14:paraId="38B61C41">
            <w:pPr>
              <w:pStyle w:val="28"/>
              <w:bidi w:val="0"/>
            </w:pPr>
            <w:r>
              <w:t>45</w:t>
            </w:r>
          </w:p>
        </w:tc>
        <w:tc>
          <w:tcPr>
            <w:tcW w:w="276" w:type="pct"/>
            <w:vAlign w:val="center"/>
          </w:tcPr>
          <w:p w14:paraId="52205394">
            <w:pPr>
              <w:pStyle w:val="28"/>
              <w:bidi w:val="0"/>
            </w:pPr>
            <w:r>
              <w:t>57.8</w:t>
            </w:r>
          </w:p>
        </w:tc>
        <w:tc>
          <w:tcPr>
            <w:tcW w:w="257" w:type="pct"/>
            <w:vAlign w:val="center"/>
          </w:tcPr>
          <w:p w14:paraId="7922B201">
            <w:pPr>
              <w:pStyle w:val="28"/>
              <w:bidi w:val="0"/>
            </w:pPr>
            <w:r>
              <w:t>49.8</w:t>
            </w:r>
          </w:p>
        </w:tc>
        <w:tc>
          <w:tcPr>
            <w:tcW w:w="257" w:type="pct"/>
            <w:vAlign w:val="center"/>
          </w:tcPr>
          <w:p w14:paraId="7C7CBFE2">
            <w:pPr>
              <w:pStyle w:val="28"/>
              <w:bidi w:val="0"/>
            </w:pPr>
            <w:r>
              <w:t>55.0</w:t>
            </w:r>
          </w:p>
        </w:tc>
        <w:tc>
          <w:tcPr>
            <w:tcW w:w="257" w:type="pct"/>
            <w:vAlign w:val="center"/>
          </w:tcPr>
          <w:p w14:paraId="5DB719A2">
            <w:pPr>
              <w:pStyle w:val="28"/>
              <w:bidi w:val="0"/>
            </w:pPr>
            <w:r>
              <w:t>1.6</w:t>
            </w:r>
          </w:p>
        </w:tc>
        <w:tc>
          <w:tcPr>
            <w:tcW w:w="209" w:type="pct"/>
            <w:vAlign w:val="center"/>
          </w:tcPr>
          <w:p w14:paraId="5A8F4A80">
            <w:pPr>
              <w:pStyle w:val="28"/>
              <w:bidi w:val="0"/>
            </w:pPr>
            <w:r>
              <w:t>达标</w:t>
            </w:r>
          </w:p>
        </w:tc>
      </w:tr>
      <w:tr w14:paraId="59A92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4608C02">
            <w:pPr>
              <w:pStyle w:val="28"/>
              <w:bidi w:val="0"/>
            </w:pPr>
            <w:r>
              <w:rPr>
                <w:rFonts w:hint="eastAsia"/>
              </w:rPr>
              <w:t>周庄</w:t>
            </w:r>
          </w:p>
        </w:tc>
        <w:tc>
          <w:tcPr>
            <w:tcW w:w="511" w:type="pct"/>
            <w:vAlign w:val="center"/>
          </w:tcPr>
          <w:p w14:paraId="5FDED715">
            <w:pPr>
              <w:pStyle w:val="28"/>
              <w:bidi w:val="0"/>
            </w:pPr>
            <w:r>
              <w:rPr>
                <w:rFonts w:hint="eastAsia"/>
              </w:rPr>
              <w:t>黄虎涵拆除重建</w:t>
            </w:r>
          </w:p>
        </w:tc>
        <w:tc>
          <w:tcPr>
            <w:tcW w:w="366" w:type="pct"/>
            <w:vAlign w:val="center"/>
          </w:tcPr>
          <w:p w14:paraId="38A92DED">
            <w:pPr>
              <w:pStyle w:val="28"/>
              <w:bidi w:val="0"/>
            </w:pPr>
            <w:r>
              <w:t>22</w:t>
            </w:r>
          </w:p>
        </w:tc>
        <w:tc>
          <w:tcPr>
            <w:tcW w:w="268" w:type="pct"/>
            <w:vAlign w:val="center"/>
          </w:tcPr>
          <w:p w14:paraId="01427875">
            <w:pPr>
              <w:pStyle w:val="28"/>
              <w:bidi w:val="0"/>
            </w:pPr>
            <w:r>
              <w:rPr>
                <w:rFonts w:hint="eastAsia"/>
              </w:rPr>
              <w:t>右岸</w:t>
            </w:r>
          </w:p>
        </w:tc>
        <w:tc>
          <w:tcPr>
            <w:tcW w:w="262" w:type="pct"/>
            <w:vAlign w:val="center"/>
          </w:tcPr>
          <w:p w14:paraId="6996D85B">
            <w:pPr>
              <w:pStyle w:val="28"/>
              <w:bidi w:val="0"/>
            </w:pPr>
            <w:r>
              <w:t>1</w:t>
            </w:r>
            <w:r>
              <w:rPr>
                <w:rFonts w:hint="eastAsia"/>
              </w:rPr>
              <w:t>类</w:t>
            </w:r>
          </w:p>
        </w:tc>
        <w:tc>
          <w:tcPr>
            <w:tcW w:w="809" w:type="pct"/>
            <w:vMerge w:val="restart"/>
            <w:vAlign w:val="center"/>
          </w:tcPr>
          <w:p w14:paraId="718D1FE8">
            <w:pPr>
              <w:pStyle w:val="28"/>
              <w:bidi w:val="0"/>
            </w:pPr>
            <w:r>
              <w:rPr>
                <w:rFonts w:hint="eastAsia"/>
              </w:rPr>
              <w:t>采用低噪声设备，施工机械远离居民住宅，设置双层移动声屏障</w:t>
            </w:r>
          </w:p>
        </w:tc>
        <w:tc>
          <w:tcPr>
            <w:tcW w:w="208" w:type="pct"/>
            <w:vAlign w:val="center"/>
          </w:tcPr>
          <w:p w14:paraId="0981F7F7">
            <w:pPr>
              <w:pStyle w:val="28"/>
              <w:bidi w:val="0"/>
            </w:pPr>
            <w:r>
              <w:t>53.4</w:t>
            </w:r>
          </w:p>
        </w:tc>
        <w:tc>
          <w:tcPr>
            <w:tcW w:w="211" w:type="pct"/>
            <w:vAlign w:val="center"/>
          </w:tcPr>
          <w:p w14:paraId="4C9F42F6">
            <w:pPr>
              <w:pStyle w:val="28"/>
              <w:bidi w:val="0"/>
            </w:pPr>
            <w:r>
              <w:t>40.6</w:t>
            </w:r>
          </w:p>
        </w:tc>
        <w:tc>
          <w:tcPr>
            <w:tcW w:w="208" w:type="pct"/>
            <w:vAlign w:val="center"/>
          </w:tcPr>
          <w:p w14:paraId="516F7FD1">
            <w:pPr>
              <w:pStyle w:val="28"/>
              <w:bidi w:val="0"/>
            </w:pPr>
            <w:r>
              <w:t>55</w:t>
            </w:r>
          </w:p>
        </w:tc>
        <w:tc>
          <w:tcPr>
            <w:tcW w:w="211" w:type="pct"/>
            <w:vAlign w:val="center"/>
          </w:tcPr>
          <w:p w14:paraId="5156F1E9">
            <w:pPr>
              <w:pStyle w:val="28"/>
              <w:bidi w:val="0"/>
            </w:pPr>
            <w:r>
              <w:t>45</w:t>
            </w:r>
          </w:p>
        </w:tc>
        <w:tc>
          <w:tcPr>
            <w:tcW w:w="276" w:type="pct"/>
            <w:vAlign w:val="center"/>
          </w:tcPr>
          <w:p w14:paraId="0B99A740">
            <w:pPr>
              <w:pStyle w:val="28"/>
              <w:bidi w:val="0"/>
            </w:pPr>
            <w:r>
              <w:t>66.4</w:t>
            </w:r>
          </w:p>
        </w:tc>
        <w:tc>
          <w:tcPr>
            <w:tcW w:w="257" w:type="pct"/>
            <w:vAlign w:val="center"/>
          </w:tcPr>
          <w:p w14:paraId="79C4ACB4">
            <w:pPr>
              <w:pStyle w:val="28"/>
              <w:bidi w:val="0"/>
            </w:pPr>
            <w:r>
              <w:t>46.4</w:t>
            </w:r>
          </w:p>
        </w:tc>
        <w:tc>
          <w:tcPr>
            <w:tcW w:w="257" w:type="pct"/>
            <w:vAlign w:val="center"/>
          </w:tcPr>
          <w:p w14:paraId="5143C59D">
            <w:pPr>
              <w:pStyle w:val="28"/>
              <w:bidi w:val="0"/>
            </w:pPr>
            <w:r>
              <w:t>54.2</w:t>
            </w:r>
          </w:p>
        </w:tc>
        <w:tc>
          <w:tcPr>
            <w:tcW w:w="257" w:type="pct"/>
            <w:vAlign w:val="center"/>
          </w:tcPr>
          <w:p w14:paraId="4A27B831">
            <w:pPr>
              <w:pStyle w:val="28"/>
              <w:bidi w:val="0"/>
            </w:pPr>
            <w:r>
              <w:t>0.8</w:t>
            </w:r>
          </w:p>
        </w:tc>
        <w:tc>
          <w:tcPr>
            <w:tcW w:w="209" w:type="pct"/>
            <w:vAlign w:val="center"/>
          </w:tcPr>
          <w:p w14:paraId="1C7D1D2B">
            <w:pPr>
              <w:pStyle w:val="28"/>
              <w:bidi w:val="0"/>
            </w:pPr>
            <w:r>
              <w:t>达标</w:t>
            </w:r>
          </w:p>
        </w:tc>
      </w:tr>
      <w:tr w14:paraId="69A55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8B0F03D">
            <w:pPr>
              <w:pStyle w:val="28"/>
              <w:bidi w:val="0"/>
            </w:pPr>
            <w:r>
              <w:rPr>
                <w:rFonts w:hint="eastAsia"/>
              </w:rPr>
              <w:t>韩西围</w:t>
            </w:r>
          </w:p>
        </w:tc>
        <w:tc>
          <w:tcPr>
            <w:tcW w:w="511" w:type="pct"/>
            <w:vAlign w:val="center"/>
          </w:tcPr>
          <w:p w14:paraId="77CA4ABD">
            <w:pPr>
              <w:pStyle w:val="28"/>
              <w:bidi w:val="0"/>
            </w:pPr>
            <w:r>
              <w:t>10#右岸管护道路</w:t>
            </w:r>
          </w:p>
        </w:tc>
        <w:tc>
          <w:tcPr>
            <w:tcW w:w="366" w:type="pct"/>
            <w:vAlign w:val="center"/>
          </w:tcPr>
          <w:p w14:paraId="3494B431">
            <w:pPr>
              <w:pStyle w:val="28"/>
              <w:bidi w:val="0"/>
            </w:pPr>
            <w:r>
              <w:t>34</w:t>
            </w:r>
          </w:p>
        </w:tc>
        <w:tc>
          <w:tcPr>
            <w:tcW w:w="268" w:type="pct"/>
            <w:vAlign w:val="center"/>
          </w:tcPr>
          <w:p w14:paraId="6CEBD314">
            <w:pPr>
              <w:pStyle w:val="28"/>
              <w:bidi w:val="0"/>
            </w:pPr>
            <w:r>
              <w:rPr>
                <w:rFonts w:hint="eastAsia"/>
              </w:rPr>
              <w:t>右岸</w:t>
            </w:r>
          </w:p>
        </w:tc>
        <w:tc>
          <w:tcPr>
            <w:tcW w:w="262" w:type="pct"/>
            <w:vAlign w:val="center"/>
          </w:tcPr>
          <w:p w14:paraId="72825B35">
            <w:pPr>
              <w:pStyle w:val="28"/>
              <w:bidi w:val="0"/>
            </w:pPr>
            <w:r>
              <w:t>1</w:t>
            </w:r>
            <w:r>
              <w:rPr>
                <w:rFonts w:hint="eastAsia"/>
              </w:rPr>
              <w:t>类</w:t>
            </w:r>
          </w:p>
        </w:tc>
        <w:tc>
          <w:tcPr>
            <w:tcW w:w="809" w:type="pct"/>
            <w:vMerge w:val="continue"/>
            <w:vAlign w:val="center"/>
          </w:tcPr>
          <w:p w14:paraId="1EF82FEA">
            <w:pPr>
              <w:pStyle w:val="28"/>
              <w:bidi w:val="0"/>
            </w:pPr>
          </w:p>
        </w:tc>
        <w:tc>
          <w:tcPr>
            <w:tcW w:w="208" w:type="pct"/>
            <w:vAlign w:val="center"/>
          </w:tcPr>
          <w:p w14:paraId="17D3DC5F">
            <w:pPr>
              <w:pStyle w:val="28"/>
              <w:bidi w:val="0"/>
            </w:pPr>
            <w:r>
              <w:t>53.4</w:t>
            </w:r>
          </w:p>
        </w:tc>
        <w:tc>
          <w:tcPr>
            <w:tcW w:w="211" w:type="pct"/>
            <w:vAlign w:val="center"/>
          </w:tcPr>
          <w:p w14:paraId="124107F6">
            <w:pPr>
              <w:pStyle w:val="28"/>
              <w:bidi w:val="0"/>
            </w:pPr>
            <w:r>
              <w:t>40.6</w:t>
            </w:r>
          </w:p>
        </w:tc>
        <w:tc>
          <w:tcPr>
            <w:tcW w:w="208" w:type="pct"/>
            <w:vAlign w:val="center"/>
          </w:tcPr>
          <w:p w14:paraId="4AB40604">
            <w:pPr>
              <w:pStyle w:val="28"/>
              <w:bidi w:val="0"/>
            </w:pPr>
            <w:r>
              <w:t>55</w:t>
            </w:r>
          </w:p>
        </w:tc>
        <w:tc>
          <w:tcPr>
            <w:tcW w:w="211" w:type="pct"/>
            <w:vAlign w:val="center"/>
          </w:tcPr>
          <w:p w14:paraId="787FDB01">
            <w:pPr>
              <w:pStyle w:val="28"/>
              <w:bidi w:val="0"/>
            </w:pPr>
            <w:r>
              <w:t>45</w:t>
            </w:r>
          </w:p>
        </w:tc>
        <w:tc>
          <w:tcPr>
            <w:tcW w:w="276" w:type="pct"/>
            <w:vAlign w:val="center"/>
          </w:tcPr>
          <w:p w14:paraId="5A5D5CC8">
            <w:pPr>
              <w:pStyle w:val="28"/>
              <w:bidi w:val="0"/>
            </w:pPr>
            <w:r>
              <w:t>62.6</w:t>
            </w:r>
          </w:p>
        </w:tc>
        <w:tc>
          <w:tcPr>
            <w:tcW w:w="257" w:type="pct"/>
            <w:vAlign w:val="center"/>
          </w:tcPr>
          <w:p w14:paraId="482A7686">
            <w:pPr>
              <w:pStyle w:val="28"/>
              <w:bidi w:val="0"/>
            </w:pPr>
            <w:r>
              <w:t>42.6</w:t>
            </w:r>
          </w:p>
        </w:tc>
        <w:tc>
          <w:tcPr>
            <w:tcW w:w="257" w:type="pct"/>
            <w:vAlign w:val="center"/>
          </w:tcPr>
          <w:p w14:paraId="29BD7F8D">
            <w:pPr>
              <w:pStyle w:val="28"/>
              <w:bidi w:val="0"/>
            </w:pPr>
            <w:r>
              <w:t>53.7</w:t>
            </w:r>
          </w:p>
        </w:tc>
        <w:tc>
          <w:tcPr>
            <w:tcW w:w="257" w:type="pct"/>
            <w:vAlign w:val="center"/>
          </w:tcPr>
          <w:p w14:paraId="65DD82AA">
            <w:pPr>
              <w:pStyle w:val="28"/>
              <w:bidi w:val="0"/>
            </w:pPr>
            <w:r>
              <w:t>0.3</w:t>
            </w:r>
          </w:p>
        </w:tc>
        <w:tc>
          <w:tcPr>
            <w:tcW w:w="209" w:type="pct"/>
            <w:vAlign w:val="center"/>
          </w:tcPr>
          <w:p w14:paraId="1717AFFD">
            <w:pPr>
              <w:pStyle w:val="28"/>
              <w:bidi w:val="0"/>
            </w:pPr>
            <w:r>
              <w:t>达标</w:t>
            </w:r>
          </w:p>
        </w:tc>
      </w:tr>
      <w:tr w14:paraId="087E4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802527C">
            <w:pPr>
              <w:pStyle w:val="28"/>
              <w:bidi w:val="0"/>
            </w:pPr>
            <w:r>
              <w:rPr>
                <w:rFonts w:hint="eastAsia"/>
              </w:rPr>
              <w:t>北河庄</w:t>
            </w:r>
          </w:p>
        </w:tc>
        <w:tc>
          <w:tcPr>
            <w:tcW w:w="511" w:type="pct"/>
            <w:vAlign w:val="center"/>
          </w:tcPr>
          <w:p w14:paraId="651D0865">
            <w:pPr>
              <w:pStyle w:val="28"/>
              <w:bidi w:val="0"/>
            </w:pPr>
            <w:r>
              <w:t>5#右岸加培</w:t>
            </w:r>
          </w:p>
        </w:tc>
        <w:tc>
          <w:tcPr>
            <w:tcW w:w="366" w:type="pct"/>
            <w:vAlign w:val="center"/>
          </w:tcPr>
          <w:p w14:paraId="7111C95A">
            <w:pPr>
              <w:pStyle w:val="28"/>
              <w:bidi w:val="0"/>
            </w:pPr>
            <w:r>
              <w:t>12</w:t>
            </w:r>
          </w:p>
        </w:tc>
        <w:tc>
          <w:tcPr>
            <w:tcW w:w="268" w:type="pct"/>
            <w:vAlign w:val="center"/>
          </w:tcPr>
          <w:p w14:paraId="3E432238">
            <w:pPr>
              <w:pStyle w:val="28"/>
              <w:bidi w:val="0"/>
            </w:pPr>
            <w:r>
              <w:rPr>
                <w:rFonts w:hint="eastAsia"/>
              </w:rPr>
              <w:t>右岸</w:t>
            </w:r>
          </w:p>
        </w:tc>
        <w:tc>
          <w:tcPr>
            <w:tcW w:w="262" w:type="pct"/>
            <w:vAlign w:val="center"/>
          </w:tcPr>
          <w:p w14:paraId="531EF03F">
            <w:pPr>
              <w:pStyle w:val="28"/>
              <w:bidi w:val="0"/>
            </w:pPr>
            <w:r>
              <w:t>1</w:t>
            </w:r>
            <w:r>
              <w:rPr>
                <w:rFonts w:hint="eastAsia"/>
              </w:rPr>
              <w:t>类</w:t>
            </w:r>
          </w:p>
        </w:tc>
        <w:tc>
          <w:tcPr>
            <w:tcW w:w="809" w:type="pct"/>
            <w:vMerge w:val="continue"/>
            <w:vAlign w:val="center"/>
          </w:tcPr>
          <w:p w14:paraId="0BB247E1">
            <w:pPr>
              <w:pStyle w:val="28"/>
              <w:bidi w:val="0"/>
            </w:pPr>
          </w:p>
        </w:tc>
        <w:tc>
          <w:tcPr>
            <w:tcW w:w="208" w:type="pct"/>
            <w:vAlign w:val="center"/>
          </w:tcPr>
          <w:p w14:paraId="0B2F70C8">
            <w:pPr>
              <w:pStyle w:val="28"/>
              <w:bidi w:val="0"/>
            </w:pPr>
            <w:r>
              <w:t>53.4</w:t>
            </w:r>
          </w:p>
        </w:tc>
        <w:tc>
          <w:tcPr>
            <w:tcW w:w="211" w:type="pct"/>
            <w:vAlign w:val="center"/>
          </w:tcPr>
          <w:p w14:paraId="06C0A258">
            <w:pPr>
              <w:pStyle w:val="28"/>
              <w:bidi w:val="0"/>
            </w:pPr>
            <w:r>
              <w:t>40.6</w:t>
            </w:r>
          </w:p>
        </w:tc>
        <w:tc>
          <w:tcPr>
            <w:tcW w:w="208" w:type="pct"/>
            <w:vAlign w:val="center"/>
          </w:tcPr>
          <w:p w14:paraId="16E6C7F5">
            <w:pPr>
              <w:pStyle w:val="28"/>
              <w:bidi w:val="0"/>
            </w:pPr>
            <w:r>
              <w:t>55</w:t>
            </w:r>
          </w:p>
        </w:tc>
        <w:tc>
          <w:tcPr>
            <w:tcW w:w="211" w:type="pct"/>
            <w:vAlign w:val="center"/>
          </w:tcPr>
          <w:p w14:paraId="3F81B374">
            <w:pPr>
              <w:pStyle w:val="28"/>
              <w:bidi w:val="0"/>
            </w:pPr>
            <w:r>
              <w:t>45</w:t>
            </w:r>
          </w:p>
        </w:tc>
        <w:tc>
          <w:tcPr>
            <w:tcW w:w="276" w:type="pct"/>
            <w:vAlign w:val="center"/>
          </w:tcPr>
          <w:p w14:paraId="683DE847">
            <w:pPr>
              <w:pStyle w:val="28"/>
              <w:bidi w:val="0"/>
            </w:pPr>
            <w:r>
              <w:t>69.9</w:t>
            </w:r>
          </w:p>
        </w:tc>
        <w:tc>
          <w:tcPr>
            <w:tcW w:w="257" w:type="pct"/>
            <w:vAlign w:val="center"/>
          </w:tcPr>
          <w:p w14:paraId="353252DA">
            <w:pPr>
              <w:pStyle w:val="28"/>
              <w:bidi w:val="0"/>
            </w:pPr>
            <w:r>
              <w:t>47.9</w:t>
            </w:r>
          </w:p>
        </w:tc>
        <w:tc>
          <w:tcPr>
            <w:tcW w:w="257" w:type="pct"/>
            <w:vAlign w:val="center"/>
          </w:tcPr>
          <w:p w14:paraId="4477AEAF">
            <w:pPr>
              <w:pStyle w:val="28"/>
              <w:bidi w:val="0"/>
            </w:pPr>
            <w:r>
              <w:t>54.5</w:t>
            </w:r>
          </w:p>
        </w:tc>
        <w:tc>
          <w:tcPr>
            <w:tcW w:w="257" w:type="pct"/>
            <w:vAlign w:val="center"/>
          </w:tcPr>
          <w:p w14:paraId="7270C2CE">
            <w:pPr>
              <w:pStyle w:val="28"/>
              <w:bidi w:val="0"/>
            </w:pPr>
            <w:r>
              <w:t>1.1</w:t>
            </w:r>
          </w:p>
        </w:tc>
        <w:tc>
          <w:tcPr>
            <w:tcW w:w="209" w:type="pct"/>
            <w:vAlign w:val="center"/>
          </w:tcPr>
          <w:p w14:paraId="4945EB19">
            <w:pPr>
              <w:pStyle w:val="28"/>
              <w:bidi w:val="0"/>
            </w:pPr>
            <w:r>
              <w:t>达标</w:t>
            </w:r>
          </w:p>
        </w:tc>
      </w:tr>
      <w:tr w14:paraId="61B7450D">
        <w:tblPrEx>
          <w:tblCellMar>
            <w:top w:w="0" w:type="dxa"/>
            <w:left w:w="108" w:type="dxa"/>
            <w:bottom w:w="0" w:type="dxa"/>
            <w:right w:w="108" w:type="dxa"/>
          </w:tblCellMar>
        </w:tblPrEx>
        <w:trPr>
          <w:trHeight w:val="340" w:hRule="atLeast"/>
          <w:jc w:val="center"/>
        </w:trPr>
        <w:tc>
          <w:tcPr>
            <w:tcW w:w="685" w:type="pct"/>
            <w:vAlign w:val="center"/>
          </w:tcPr>
          <w:p w14:paraId="53A168BF">
            <w:pPr>
              <w:pStyle w:val="28"/>
              <w:bidi w:val="0"/>
            </w:pPr>
            <w:r>
              <w:rPr>
                <w:rFonts w:hint="eastAsia"/>
              </w:rPr>
              <w:t>李圩</w:t>
            </w:r>
          </w:p>
        </w:tc>
        <w:tc>
          <w:tcPr>
            <w:tcW w:w="511" w:type="pct"/>
            <w:vAlign w:val="center"/>
          </w:tcPr>
          <w:p w14:paraId="16EFA215">
            <w:pPr>
              <w:pStyle w:val="28"/>
              <w:bidi w:val="0"/>
            </w:pPr>
            <w:r>
              <w:t>11#右岸管护道路</w:t>
            </w:r>
          </w:p>
        </w:tc>
        <w:tc>
          <w:tcPr>
            <w:tcW w:w="366" w:type="pct"/>
            <w:vAlign w:val="center"/>
          </w:tcPr>
          <w:p w14:paraId="7C21C7CA">
            <w:pPr>
              <w:pStyle w:val="28"/>
              <w:bidi w:val="0"/>
            </w:pPr>
            <w:r>
              <w:t>44</w:t>
            </w:r>
          </w:p>
        </w:tc>
        <w:tc>
          <w:tcPr>
            <w:tcW w:w="268" w:type="pct"/>
            <w:vAlign w:val="center"/>
          </w:tcPr>
          <w:p w14:paraId="3424AFC9">
            <w:pPr>
              <w:pStyle w:val="28"/>
              <w:bidi w:val="0"/>
            </w:pPr>
            <w:r>
              <w:rPr>
                <w:rFonts w:hint="eastAsia"/>
              </w:rPr>
              <w:t>右岸</w:t>
            </w:r>
          </w:p>
        </w:tc>
        <w:tc>
          <w:tcPr>
            <w:tcW w:w="262" w:type="pct"/>
            <w:vAlign w:val="center"/>
          </w:tcPr>
          <w:p w14:paraId="69342B3E">
            <w:pPr>
              <w:pStyle w:val="28"/>
              <w:bidi w:val="0"/>
            </w:pPr>
            <w:r>
              <w:t>1</w:t>
            </w:r>
            <w:r>
              <w:rPr>
                <w:rFonts w:hint="eastAsia"/>
              </w:rPr>
              <w:t>类</w:t>
            </w:r>
          </w:p>
        </w:tc>
        <w:tc>
          <w:tcPr>
            <w:tcW w:w="809" w:type="pct"/>
            <w:vAlign w:val="center"/>
          </w:tcPr>
          <w:p w14:paraId="7CF64DF5">
            <w:pPr>
              <w:pStyle w:val="28"/>
              <w:bidi w:val="0"/>
            </w:pPr>
            <w:r>
              <w:rPr>
                <w:rFonts w:hint="eastAsia"/>
              </w:rPr>
              <w:t>采用低噪声设备，施工机械远离居民住宅，设置单层移动声屏障</w:t>
            </w:r>
          </w:p>
        </w:tc>
        <w:tc>
          <w:tcPr>
            <w:tcW w:w="208" w:type="pct"/>
            <w:vAlign w:val="center"/>
          </w:tcPr>
          <w:p w14:paraId="633D06DB">
            <w:pPr>
              <w:pStyle w:val="28"/>
              <w:bidi w:val="0"/>
            </w:pPr>
            <w:r>
              <w:t>53.4</w:t>
            </w:r>
          </w:p>
        </w:tc>
        <w:tc>
          <w:tcPr>
            <w:tcW w:w="211" w:type="pct"/>
            <w:vAlign w:val="center"/>
          </w:tcPr>
          <w:p w14:paraId="6CB32B51">
            <w:pPr>
              <w:pStyle w:val="28"/>
              <w:bidi w:val="0"/>
            </w:pPr>
            <w:r>
              <w:t>40.6</w:t>
            </w:r>
          </w:p>
        </w:tc>
        <w:tc>
          <w:tcPr>
            <w:tcW w:w="208" w:type="pct"/>
            <w:vAlign w:val="center"/>
          </w:tcPr>
          <w:p w14:paraId="0075C16B">
            <w:pPr>
              <w:pStyle w:val="28"/>
              <w:bidi w:val="0"/>
            </w:pPr>
            <w:r>
              <w:t>55</w:t>
            </w:r>
          </w:p>
        </w:tc>
        <w:tc>
          <w:tcPr>
            <w:tcW w:w="211" w:type="pct"/>
            <w:vAlign w:val="center"/>
          </w:tcPr>
          <w:p w14:paraId="511DC15C">
            <w:pPr>
              <w:pStyle w:val="28"/>
              <w:bidi w:val="0"/>
            </w:pPr>
            <w:r>
              <w:t>45</w:t>
            </w:r>
          </w:p>
        </w:tc>
        <w:tc>
          <w:tcPr>
            <w:tcW w:w="276" w:type="pct"/>
            <w:vAlign w:val="center"/>
          </w:tcPr>
          <w:p w14:paraId="499AF82B">
            <w:pPr>
              <w:pStyle w:val="28"/>
              <w:bidi w:val="0"/>
            </w:pPr>
            <w:r>
              <w:t>59.7</w:t>
            </w:r>
          </w:p>
        </w:tc>
        <w:tc>
          <w:tcPr>
            <w:tcW w:w="257" w:type="pct"/>
            <w:vAlign w:val="center"/>
          </w:tcPr>
          <w:p w14:paraId="7AD4C712">
            <w:pPr>
              <w:pStyle w:val="28"/>
              <w:bidi w:val="0"/>
            </w:pPr>
            <w:r>
              <w:t>44.7</w:t>
            </w:r>
          </w:p>
        </w:tc>
        <w:tc>
          <w:tcPr>
            <w:tcW w:w="257" w:type="pct"/>
            <w:vAlign w:val="center"/>
          </w:tcPr>
          <w:p w14:paraId="5B9F84F7">
            <w:pPr>
              <w:pStyle w:val="28"/>
              <w:bidi w:val="0"/>
            </w:pPr>
            <w:r>
              <w:t>54.0</w:t>
            </w:r>
          </w:p>
        </w:tc>
        <w:tc>
          <w:tcPr>
            <w:tcW w:w="257" w:type="pct"/>
            <w:vAlign w:val="center"/>
          </w:tcPr>
          <w:p w14:paraId="71297730">
            <w:pPr>
              <w:pStyle w:val="28"/>
              <w:bidi w:val="0"/>
            </w:pPr>
            <w:r>
              <w:t>0.6</w:t>
            </w:r>
          </w:p>
        </w:tc>
        <w:tc>
          <w:tcPr>
            <w:tcW w:w="209" w:type="pct"/>
            <w:vAlign w:val="center"/>
          </w:tcPr>
          <w:p w14:paraId="695E099B">
            <w:pPr>
              <w:pStyle w:val="28"/>
              <w:bidi w:val="0"/>
            </w:pPr>
            <w:r>
              <w:t>达标</w:t>
            </w:r>
          </w:p>
        </w:tc>
      </w:tr>
      <w:tr w14:paraId="367FE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D7C75FA">
            <w:pPr>
              <w:pStyle w:val="28"/>
              <w:bidi w:val="0"/>
            </w:pPr>
            <w:r>
              <w:rPr>
                <w:rFonts w:hint="eastAsia"/>
              </w:rPr>
              <w:t>河东</w:t>
            </w:r>
          </w:p>
        </w:tc>
        <w:tc>
          <w:tcPr>
            <w:tcW w:w="511" w:type="pct"/>
            <w:vAlign w:val="center"/>
          </w:tcPr>
          <w:p w14:paraId="47A1819C">
            <w:pPr>
              <w:pStyle w:val="28"/>
              <w:bidi w:val="0"/>
            </w:pPr>
            <w:r>
              <w:t>12#右岸管护道路</w:t>
            </w:r>
          </w:p>
        </w:tc>
        <w:tc>
          <w:tcPr>
            <w:tcW w:w="366" w:type="pct"/>
            <w:vAlign w:val="center"/>
          </w:tcPr>
          <w:p w14:paraId="14A3133F">
            <w:pPr>
              <w:pStyle w:val="28"/>
              <w:bidi w:val="0"/>
            </w:pPr>
            <w:r>
              <w:t>110</w:t>
            </w:r>
          </w:p>
        </w:tc>
        <w:tc>
          <w:tcPr>
            <w:tcW w:w="268" w:type="pct"/>
            <w:vAlign w:val="center"/>
          </w:tcPr>
          <w:p w14:paraId="24CB84DE">
            <w:pPr>
              <w:pStyle w:val="28"/>
              <w:bidi w:val="0"/>
            </w:pPr>
            <w:r>
              <w:rPr>
                <w:rFonts w:hint="eastAsia"/>
              </w:rPr>
              <w:t>左岸</w:t>
            </w:r>
          </w:p>
        </w:tc>
        <w:tc>
          <w:tcPr>
            <w:tcW w:w="262" w:type="pct"/>
            <w:vAlign w:val="center"/>
          </w:tcPr>
          <w:p w14:paraId="56F45D5D">
            <w:pPr>
              <w:pStyle w:val="28"/>
              <w:bidi w:val="0"/>
            </w:pPr>
            <w:r>
              <w:t>1</w:t>
            </w:r>
            <w:r>
              <w:rPr>
                <w:rFonts w:hint="eastAsia"/>
              </w:rPr>
              <w:t>类</w:t>
            </w:r>
          </w:p>
        </w:tc>
        <w:tc>
          <w:tcPr>
            <w:tcW w:w="809" w:type="pct"/>
            <w:vAlign w:val="center"/>
          </w:tcPr>
          <w:p w14:paraId="4D1091A9">
            <w:pPr>
              <w:pStyle w:val="28"/>
              <w:bidi w:val="0"/>
            </w:pPr>
            <w:r>
              <w:rPr>
                <w:rFonts w:hint="eastAsia"/>
              </w:rPr>
              <w:t>采用低噪声设备，施工机械远离居民住宅</w:t>
            </w:r>
          </w:p>
        </w:tc>
        <w:tc>
          <w:tcPr>
            <w:tcW w:w="208" w:type="pct"/>
            <w:vAlign w:val="center"/>
          </w:tcPr>
          <w:p w14:paraId="37A56A87">
            <w:pPr>
              <w:pStyle w:val="28"/>
              <w:bidi w:val="0"/>
            </w:pPr>
            <w:r>
              <w:t>53.4</w:t>
            </w:r>
          </w:p>
        </w:tc>
        <w:tc>
          <w:tcPr>
            <w:tcW w:w="211" w:type="pct"/>
            <w:vAlign w:val="center"/>
          </w:tcPr>
          <w:p w14:paraId="62F71A94">
            <w:pPr>
              <w:pStyle w:val="28"/>
              <w:bidi w:val="0"/>
            </w:pPr>
            <w:r>
              <w:t>40.6</w:t>
            </w:r>
          </w:p>
        </w:tc>
        <w:tc>
          <w:tcPr>
            <w:tcW w:w="208" w:type="pct"/>
            <w:vAlign w:val="center"/>
          </w:tcPr>
          <w:p w14:paraId="191FAA65">
            <w:pPr>
              <w:pStyle w:val="28"/>
              <w:bidi w:val="0"/>
            </w:pPr>
            <w:r>
              <w:t>55</w:t>
            </w:r>
          </w:p>
        </w:tc>
        <w:tc>
          <w:tcPr>
            <w:tcW w:w="211" w:type="pct"/>
            <w:vAlign w:val="center"/>
          </w:tcPr>
          <w:p w14:paraId="7CFC56DB">
            <w:pPr>
              <w:pStyle w:val="28"/>
              <w:bidi w:val="0"/>
            </w:pPr>
            <w:r>
              <w:t>45</w:t>
            </w:r>
          </w:p>
        </w:tc>
        <w:tc>
          <w:tcPr>
            <w:tcW w:w="276" w:type="pct"/>
            <w:vAlign w:val="center"/>
          </w:tcPr>
          <w:p w14:paraId="74A66957">
            <w:pPr>
              <w:pStyle w:val="28"/>
              <w:bidi w:val="0"/>
            </w:pPr>
            <w:r>
              <w:t>51.8</w:t>
            </w:r>
          </w:p>
        </w:tc>
        <w:tc>
          <w:tcPr>
            <w:tcW w:w="257" w:type="pct"/>
            <w:vAlign w:val="center"/>
          </w:tcPr>
          <w:p w14:paraId="4598FB4D">
            <w:pPr>
              <w:pStyle w:val="28"/>
              <w:bidi w:val="0"/>
            </w:pPr>
            <w:r>
              <w:t>44.8</w:t>
            </w:r>
          </w:p>
        </w:tc>
        <w:tc>
          <w:tcPr>
            <w:tcW w:w="257" w:type="pct"/>
            <w:vAlign w:val="center"/>
          </w:tcPr>
          <w:p w14:paraId="383D5B44">
            <w:pPr>
              <w:pStyle w:val="28"/>
              <w:bidi w:val="0"/>
            </w:pPr>
            <w:r>
              <w:t>54.0</w:t>
            </w:r>
          </w:p>
        </w:tc>
        <w:tc>
          <w:tcPr>
            <w:tcW w:w="257" w:type="pct"/>
            <w:vAlign w:val="center"/>
          </w:tcPr>
          <w:p w14:paraId="6958CF11">
            <w:pPr>
              <w:pStyle w:val="28"/>
              <w:bidi w:val="0"/>
            </w:pPr>
            <w:r>
              <w:t>0.6</w:t>
            </w:r>
          </w:p>
        </w:tc>
        <w:tc>
          <w:tcPr>
            <w:tcW w:w="209" w:type="pct"/>
            <w:vAlign w:val="center"/>
          </w:tcPr>
          <w:p w14:paraId="68CEF4CD">
            <w:pPr>
              <w:pStyle w:val="28"/>
              <w:bidi w:val="0"/>
            </w:pPr>
            <w:r>
              <w:t>达标</w:t>
            </w:r>
          </w:p>
        </w:tc>
      </w:tr>
      <w:tr w14:paraId="29C0D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F8512A8">
            <w:pPr>
              <w:pStyle w:val="28"/>
              <w:bidi w:val="0"/>
            </w:pPr>
            <w:r>
              <w:rPr>
                <w:rFonts w:hint="eastAsia"/>
              </w:rPr>
              <w:t>杜营子</w:t>
            </w:r>
          </w:p>
        </w:tc>
        <w:tc>
          <w:tcPr>
            <w:tcW w:w="511" w:type="pct"/>
            <w:vAlign w:val="center"/>
          </w:tcPr>
          <w:p w14:paraId="6C899D78">
            <w:pPr>
              <w:pStyle w:val="28"/>
              <w:bidi w:val="0"/>
            </w:pPr>
            <w:r>
              <w:t>12#右岸管护道路</w:t>
            </w:r>
          </w:p>
        </w:tc>
        <w:tc>
          <w:tcPr>
            <w:tcW w:w="366" w:type="pct"/>
            <w:vAlign w:val="center"/>
          </w:tcPr>
          <w:p w14:paraId="216657B3">
            <w:pPr>
              <w:pStyle w:val="28"/>
              <w:bidi w:val="0"/>
            </w:pPr>
            <w:r>
              <w:t>35</w:t>
            </w:r>
          </w:p>
        </w:tc>
        <w:tc>
          <w:tcPr>
            <w:tcW w:w="268" w:type="pct"/>
            <w:vAlign w:val="center"/>
          </w:tcPr>
          <w:p w14:paraId="1AEB05E3">
            <w:pPr>
              <w:pStyle w:val="28"/>
              <w:bidi w:val="0"/>
            </w:pPr>
            <w:r>
              <w:rPr>
                <w:rFonts w:hint="eastAsia"/>
              </w:rPr>
              <w:t>右岸</w:t>
            </w:r>
          </w:p>
        </w:tc>
        <w:tc>
          <w:tcPr>
            <w:tcW w:w="262" w:type="pct"/>
            <w:vAlign w:val="center"/>
          </w:tcPr>
          <w:p w14:paraId="345A57FC">
            <w:pPr>
              <w:pStyle w:val="28"/>
              <w:bidi w:val="0"/>
            </w:pPr>
            <w:r>
              <w:t>1</w:t>
            </w:r>
            <w:r>
              <w:rPr>
                <w:rFonts w:hint="eastAsia"/>
              </w:rPr>
              <w:t>类</w:t>
            </w:r>
          </w:p>
        </w:tc>
        <w:tc>
          <w:tcPr>
            <w:tcW w:w="809" w:type="pct"/>
            <w:vMerge w:val="restart"/>
            <w:vAlign w:val="center"/>
          </w:tcPr>
          <w:p w14:paraId="36120B3E">
            <w:pPr>
              <w:pStyle w:val="28"/>
              <w:bidi w:val="0"/>
            </w:pPr>
            <w:r>
              <w:rPr>
                <w:rFonts w:hint="eastAsia"/>
              </w:rPr>
              <w:t>采用低噪声设备，施工机械远离居民住宅，设置双层移动声屏障</w:t>
            </w:r>
          </w:p>
        </w:tc>
        <w:tc>
          <w:tcPr>
            <w:tcW w:w="208" w:type="pct"/>
            <w:vAlign w:val="center"/>
          </w:tcPr>
          <w:p w14:paraId="3EB30017">
            <w:pPr>
              <w:pStyle w:val="28"/>
              <w:bidi w:val="0"/>
            </w:pPr>
            <w:r>
              <w:t>53.4</w:t>
            </w:r>
          </w:p>
        </w:tc>
        <w:tc>
          <w:tcPr>
            <w:tcW w:w="211" w:type="pct"/>
            <w:vAlign w:val="center"/>
          </w:tcPr>
          <w:p w14:paraId="2F18E382">
            <w:pPr>
              <w:pStyle w:val="28"/>
              <w:bidi w:val="0"/>
            </w:pPr>
            <w:r>
              <w:t>40.6</w:t>
            </w:r>
          </w:p>
        </w:tc>
        <w:tc>
          <w:tcPr>
            <w:tcW w:w="208" w:type="pct"/>
            <w:vAlign w:val="center"/>
          </w:tcPr>
          <w:p w14:paraId="261FC604">
            <w:pPr>
              <w:pStyle w:val="28"/>
              <w:bidi w:val="0"/>
            </w:pPr>
            <w:r>
              <w:t>55</w:t>
            </w:r>
          </w:p>
        </w:tc>
        <w:tc>
          <w:tcPr>
            <w:tcW w:w="211" w:type="pct"/>
            <w:vAlign w:val="center"/>
          </w:tcPr>
          <w:p w14:paraId="4D99FCD8">
            <w:pPr>
              <w:pStyle w:val="28"/>
              <w:bidi w:val="0"/>
            </w:pPr>
            <w:r>
              <w:t>45</w:t>
            </w:r>
          </w:p>
        </w:tc>
        <w:tc>
          <w:tcPr>
            <w:tcW w:w="276" w:type="pct"/>
            <w:vAlign w:val="center"/>
          </w:tcPr>
          <w:p w14:paraId="7912C828">
            <w:pPr>
              <w:pStyle w:val="28"/>
              <w:bidi w:val="0"/>
            </w:pPr>
            <w:r>
              <w:t>61.7</w:t>
            </w:r>
          </w:p>
        </w:tc>
        <w:tc>
          <w:tcPr>
            <w:tcW w:w="257" w:type="pct"/>
            <w:vAlign w:val="center"/>
          </w:tcPr>
          <w:p w14:paraId="2C67DD64">
            <w:pPr>
              <w:pStyle w:val="28"/>
              <w:bidi w:val="0"/>
            </w:pPr>
            <w:r>
              <w:t>41.7</w:t>
            </w:r>
          </w:p>
        </w:tc>
        <w:tc>
          <w:tcPr>
            <w:tcW w:w="257" w:type="pct"/>
            <w:vAlign w:val="center"/>
          </w:tcPr>
          <w:p w14:paraId="6BDC5036">
            <w:pPr>
              <w:pStyle w:val="28"/>
              <w:bidi w:val="0"/>
            </w:pPr>
            <w:r>
              <w:t>53.7</w:t>
            </w:r>
          </w:p>
        </w:tc>
        <w:tc>
          <w:tcPr>
            <w:tcW w:w="257" w:type="pct"/>
            <w:vAlign w:val="center"/>
          </w:tcPr>
          <w:p w14:paraId="469A60AD">
            <w:pPr>
              <w:pStyle w:val="28"/>
              <w:bidi w:val="0"/>
            </w:pPr>
            <w:r>
              <w:t>0.3</w:t>
            </w:r>
          </w:p>
        </w:tc>
        <w:tc>
          <w:tcPr>
            <w:tcW w:w="209" w:type="pct"/>
            <w:vAlign w:val="center"/>
          </w:tcPr>
          <w:p w14:paraId="62D9A4A0">
            <w:pPr>
              <w:pStyle w:val="28"/>
              <w:bidi w:val="0"/>
            </w:pPr>
            <w:r>
              <w:t>达标</w:t>
            </w:r>
          </w:p>
        </w:tc>
      </w:tr>
      <w:tr w14:paraId="1A50A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B11173F">
            <w:pPr>
              <w:pStyle w:val="28"/>
              <w:bidi w:val="0"/>
            </w:pPr>
            <w:r>
              <w:rPr>
                <w:rFonts w:hint="eastAsia"/>
              </w:rPr>
              <w:t>马鞍山村</w:t>
            </w:r>
          </w:p>
        </w:tc>
        <w:tc>
          <w:tcPr>
            <w:tcW w:w="511" w:type="pct"/>
            <w:vAlign w:val="center"/>
          </w:tcPr>
          <w:p w14:paraId="5E250E5B">
            <w:pPr>
              <w:pStyle w:val="28"/>
              <w:bidi w:val="0"/>
            </w:pPr>
            <w:r>
              <w:t>12#右岸管护道路</w:t>
            </w:r>
          </w:p>
        </w:tc>
        <w:tc>
          <w:tcPr>
            <w:tcW w:w="366" w:type="pct"/>
            <w:vAlign w:val="center"/>
          </w:tcPr>
          <w:p w14:paraId="4919A440">
            <w:pPr>
              <w:pStyle w:val="28"/>
              <w:bidi w:val="0"/>
            </w:pPr>
            <w:r>
              <w:t>38</w:t>
            </w:r>
          </w:p>
        </w:tc>
        <w:tc>
          <w:tcPr>
            <w:tcW w:w="268" w:type="pct"/>
            <w:vAlign w:val="center"/>
          </w:tcPr>
          <w:p w14:paraId="5130A74B">
            <w:pPr>
              <w:pStyle w:val="28"/>
              <w:bidi w:val="0"/>
            </w:pPr>
            <w:r>
              <w:rPr>
                <w:rFonts w:hint="eastAsia"/>
              </w:rPr>
              <w:t>左岸</w:t>
            </w:r>
          </w:p>
        </w:tc>
        <w:tc>
          <w:tcPr>
            <w:tcW w:w="262" w:type="pct"/>
            <w:vAlign w:val="center"/>
          </w:tcPr>
          <w:p w14:paraId="0E4107F5">
            <w:pPr>
              <w:pStyle w:val="28"/>
              <w:bidi w:val="0"/>
            </w:pPr>
            <w:r>
              <w:t>1</w:t>
            </w:r>
            <w:r>
              <w:rPr>
                <w:rFonts w:hint="eastAsia"/>
              </w:rPr>
              <w:t>类</w:t>
            </w:r>
          </w:p>
        </w:tc>
        <w:tc>
          <w:tcPr>
            <w:tcW w:w="809" w:type="pct"/>
            <w:vMerge w:val="continue"/>
            <w:vAlign w:val="center"/>
          </w:tcPr>
          <w:p w14:paraId="0C5C71EE">
            <w:pPr>
              <w:pStyle w:val="28"/>
              <w:bidi w:val="0"/>
            </w:pPr>
          </w:p>
        </w:tc>
        <w:tc>
          <w:tcPr>
            <w:tcW w:w="208" w:type="pct"/>
            <w:vAlign w:val="center"/>
          </w:tcPr>
          <w:p w14:paraId="0142DBF7">
            <w:pPr>
              <w:pStyle w:val="28"/>
              <w:bidi w:val="0"/>
            </w:pPr>
            <w:r>
              <w:t>53.4</w:t>
            </w:r>
          </w:p>
        </w:tc>
        <w:tc>
          <w:tcPr>
            <w:tcW w:w="211" w:type="pct"/>
            <w:vAlign w:val="center"/>
          </w:tcPr>
          <w:p w14:paraId="46C446DC">
            <w:pPr>
              <w:pStyle w:val="28"/>
              <w:bidi w:val="0"/>
            </w:pPr>
            <w:r>
              <w:t>40.6</w:t>
            </w:r>
          </w:p>
        </w:tc>
        <w:tc>
          <w:tcPr>
            <w:tcW w:w="208" w:type="pct"/>
            <w:vAlign w:val="center"/>
          </w:tcPr>
          <w:p w14:paraId="223F9DF2">
            <w:pPr>
              <w:pStyle w:val="28"/>
              <w:bidi w:val="0"/>
            </w:pPr>
            <w:r>
              <w:t>55</w:t>
            </w:r>
          </w:p>
        </w:tc>
        <w:tc>
          <w:tcPr>
            <w:tcW w:w="211" w:type="pct"/>
            <w:vAlign w:val="center"/>
          </w:tcPr>
          <w:p w14:paraId="111B6988">
            <w:pPr>
              <w:pStyle w:val="28"/>
              <w:bidi w:val="0"/>
            </w:pPr>
            <w:r>
              <w:t>45</w:t>
            </w:r>
          </w:p>
        </w:tc>
        <w:tc>
          <w:tcPr>
            <w:tcW w:w="276" w:type="pct"/>
            <w:vAlign w:val="center"/>
          </w:tcPr>
          <w:p w14:paraId="75B065BC">
            <w:pPr>
              <w:pStyle w:val="28"/>
              <w:bidi w:val="0"/>
            </w:pPr>
            <w:r>
              <w:t>61.0</w:t>
            </w:r>
          </w:p>
        </w:tc>
        <w:tc>
          <w:tcPr>
            <w:tcW w:w="257" w:type="pct"/>
            <w:vAlign w:val="center"/>
          </w:tcPr>
          <w:p w14:paraId="3523D0A3">
            <w:pPr>
              <w:pStyle w:val="28"/>
              <w:bidi w:val="0"/>
            </w:pPr>
            <w:r>
              <w:t>41.0</w:t>
            </w:r>
          </w:p>
        </w:tc>
        <w:tc>
          <w:tcPr>
            <w:tcW w:w="257" w:type="pct"/>
            <w:vAlign w:val="center"/>
          </w:tcPr>
          <w:p w14:paraId="2EB3D709">
            <w:pPr>
              <w:pStyle w:val="28"/>
              <w:bidi w:val="0"/>
            </w:pPr>
            <w:r>
              <w:t>53.6</w:t>
            </w:r>
          </w:p>
        </w:tc>
        <w:tc>
          <w:tcPr>
            <w:tcW w:w="257" w:type="pct"/>
            <w:vAlign w:val="center"/>
          </w:tcPr>
          <w:p w14:paraId="4EF9E7BD">
            <w:pPr>
              <w:pStyle w:val="28"/>
              <w:bidi w:val="0"/>
            </w:pPr>
            <w:r>
              <w:t>0.2</w:t>
            </w:r>
          </w:p>
        </w:tc>
        <w:tc>
          <w:tcPr>
            <w:tcW w:w="209" w:type="pct"/>
            <w:vAlign w:val="center"/>
          </w:tcPr>
          <w:p w14:paraId="1705ADE1">
            <w:pPr>
              <w:pStyle w:val="28"/>
              <w:bidi w:val="0"/>
            </w:pPr>
            <w:r>
              <w:t>达标</w:t>
            </w:r>
          </w:p>
        </w:tc>
      </w:tr>
      <w:tr w14:paraId="1FC84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8629E3C">
            <w:pPr>
              <w:pStyle w:val="28"/>
              <w:bidi w:val="0"/>
            </w:pPr>
            <w:r>
              <w:rPr>
                <w:rFonts w:hint="eastAsia"/>
              </w:rPr>
              <w:t>黄家圩子</w:t>
            </w:r>
          </w:p>
        </w:tc>
        <w:tc>
          <w:tcPr>
            <w:tcW w:w="511" w:type="pct"/>
            <w:vAlign w:val="center"/>
          </w:tcPr>
          <w:p w14:paraId="5073A219">
            <w:pPr>
              <w:pStyle w:val="28"/>
              <w:bidi w:val="0"/>
            </w:pPr>
            <w:r>
              <w:t>12#右岸管护道路</w:t>
            </w:r>
          </w:p>
        </w:tc>
        <w:tc>
          <w:tcPr>
            <w:tcW w:w="366" w:type="pct"/>
            <w:vAlign w:val="center"/>
          </w:tcPr>
          <w:p w14:paraId="64CA28A3">
            <w:pPr>
              <w:pStyle w:val="28"/>
              <w:bidi w:val="0"/>
            </w:pPr>
            <w:r>
              <w:t>40</w:t>
            </w:r>
          </w:p>
        </w:tc>
        <w:tc>
          <w:tcPr>
            <w:tcW w:w="268" w:type="pct"/>
            <w:vAlign w:val="center"/>
          </w:tcPr>
          <w:p w14:paraId="4475F88D">
            <w:pPr>
              <w:pStyle w:val="28"/>
              <w:bidi w:val="0"/>
            </w:pPr>
            <w:r>
              <w:rPr>
                <w:rFonts w:hint="eastAsia"/>
              </w:rPr>
              <w:t>右岸</w:t>
            </w:r>
          </w:p>
        </w:tc>
        <w:tc>
          <w:tcPr>
            <w:tcW w:w="262" w:type="pct"/>
            <w:vAlign w:val="center"/>
          </w:tcPr>
          <w:p w14:paraId="7476E70D">
            <w:pPr>
              <w:pStyle w:val="28"/>
              <w:bidi w:val="0"/>
            </w:pPr>
            <w:r>
              <w:t>1</w:t>
            </w:r>
            <w:r>
              <w:rPr>
                <w:rFonts w:hint="eastAsia"/>
              </w:rPr>
              <w:t>类</w:t>
            </w:r>
          </w:p>
        </w:tc>
        <w:tc>
          <w:tcPr>
            <w:tcW w:w="809" w:type="pct"/>
            <w:vMerge w:val="continue"/>
            <w:vAlign w:val="center"/>
          </w:tcPr>
          <w:p w14:paraId="6570C1C3">
            <w:pPr>
              <w:pStyle w:val="28"/>
              <w:bidi w:val="0"/>
            </w:pPr>
          </w:p>
        </w:tc>
        <w:tc>
          <w:tcPr>
            <w:tcW w:w="208" w:type="pct"/>
            <w:vAlign w:val="center"/>
          </w:tcPr>
          <w:p w14:paraId="2387EF51">
            <w:pPr>
              <w:pStyle w:val="28"/>
              <w:bidi w:val="0"/>
            </w:pPr>
            <w:r>
              <w:t>53.4</w:t>
            </w:r>
          </w:p>
        </w:tc>
        <w:tc>
          <w:tcPr>
            <w:tcW w:w="211" w:type="pct"/>
            <w:vAlign w:val="center"/>
          </w:tcPr>
          <w:p w14:paraId="634F0810">
            <w:pPr>
              <w:pStyle w:val="28"/>
              <w:bidi w:val="0"/>
            </w:pPr>
            <w:r>
              <w:t>40.6</w:t>
            </w:r>
          </w:p>
        </w:tc>
        <w:tc>
          <w:tcPr>
            <w:tcW w:w="208" w:type="pct"/>
            <w:vAlign w:val="center"/>
          </w:tcPr>
          <w:p w14:paraId="632669D1">
            <w:pPr>
              <w:pStyle w:val="28"/>
              <w:bidi w:val="0"/>
            </w:pPr>
            <w:r>
              <w:t>55</w:t>
            </w:r>
          </w:p>
        </w:tc>
        <w:tc>
          <w:tcPr>
            <w:tcW w:w="211" w:type="pct"/>
            <w:vAlign w:val="center"/>
          </w:tcPr>
          <w:p w14:paraId="63612FA0">
            <w:pPr>
              <w:pStyle w:val="28"/>
              <w:bidi w:val="0"/>
            </w:pPr>
            <w:r>
              <w:t>45</w:t>
            </w:r>
          </w:p>
        </w:tc>
        <w:tc>
          <w:tcPr>
            <w:tcW w:w="276" w:type="pct"/>
            <w:vAlign w:val="center"/>
          </w:tcPr>
          <w:p w14:paraId="5519D121">
            <w:pPr>
              <w:pStyle w:val="28"/>
              <w:bidi w:val="0"/>
            </w:pPr>
            <w:r>
              <w:t>60.6</w:t>
            </w:r>
          </w:p>
        </w:tc>
        <w:tc>
          <w:tcPr>
            <w:tcW w:w="257" w:type="pct"/>
            <w:vAlign w:val="center"/>
          </w:tcPr>
          <w:p w14:paraId="78765051">
            <w:pPr>
              <w:pStyle w:val="28"/>
              <w:bidi w:val="0"/>
            </w:pPr>
            <w:r>
              <w:t>40.6</w:t>
            </w:r>
          </w:p>
        </w:tc>
        <w:tc>
          <w:tcPr>
            <w:tcW w:w="257" w:type="pct"/>
            <w:vAlign w:val="center"/>
          </w:tcPr>
          <w:p w14:paraId="2D9FCDC2">
            <w:pPr>
              <w:pStyle w:val="28"/>
              <w:bidi w:val="0"/>
            </w:pPr>
            <w:r>
              <w:t>53.6</w:t>
            </w:r>
          </w:p>
        </w:tc>
        <w:tc>
          <w:tcPr>
            <w:tcW w:w="257" w:type="pct"/>
            <w:vAlign w:val="center"/>
          </w:tcPr>
          <w:p w14:paraId="644D2105">
            <w:pPr>
              <w:pStyle w:val="28"/>
              <w:bidi w:val="0"/>
            </w:pPr>
            <w:r>
              <w:t>0.2</w:t>
            </w:r>
          </w:p>
        </w:tc>
        <w:tc>
          <w:tcPr>
            <w:tcW w:w="209" w:type="pct"/>
            <w:vAlign w:val="center"/>
          </w:tcPr>
          <w:p w14:paraId="0BECE905">
            <w:pPr>
              <w:pStyle w:val="28"/>
              <w:bidi w:val="0"/>
            </w:pPr>
            <w:r>
              <w:t>达标</w:t>
            </w:r>
          </w:p>
        </w:tc>
      </w:tr>
      <w:tr w14:paraId="292A85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AB88BF0">
            <w:pPr>
              <w:pStyle w:val="28"/>
              <w:bidi w:val="0"/>
            </w:pPr>
            <w:r>
              <w:rPr>
                <w:rFonts w:hint="eastAsia"/>
              </w:rPr>
              <w:t>后围</w:t>
            </w:r>
          </w:p>
        </w:tc>
        <w:tc>
          <w:tcPr>
            <w:tcW w:w="511" w:type="pct"/>
            <w:vAlign w:val="center"/>
          </w:tcPr>
          <w:p w14:paraId="570B4CA9">
            <w:pPr>
              <w:pStyle w:val="28"/>
              <w:bidi w:val="0"/>
            </w:pPr>
            <w:r>
              <w:t>13#左岸管护道路</w:t>
            </w:r>
          </w:p>
        </w:tc>
        <w:tc>
          <w:tcPr>
            <w:tcW w:w="366" w:type="pct"/>
            <w:vAlign w:val="center"/>
          </w:tcPr>
          <w:p w14:paraId="479E0A9B">
            <w:pPr>
              <w:pStyle w:val="28"/>
              <w:bidi w:val="0"/>
            </w:pPr>
            <w:r>
              <w:t>48</w:t>
            </w:r>
          </w:p>
        </w:tc>
        <w:tc>
          <w:tcPr>
            <w:tcW w:w="268" w:type="pct"/>
            <w:vAlign w:val="center"/>
          </w:tcPr>
          <w:p w14:paraId="6B52E7B2">
            <w:pPr>
              <w:pStyle w:val="28"/>
              <w:bidi w:val="0"/>
            </w:pPr>
            <w:r>
              <w:rPr>
                <w:rFonts w:hint="eastAsia"/>
              </w:rPr>
              <w:t>右岸</w:t>
            </w:r>
          </w:p>
        </w:tc>
        <w:tc>
          <w:tcPr>
            <w:tcW w:w="262" w:type="pct"/>
            <w:vAlign w:val="center"/>
          </w:tcPr>
          <w:p w14:paraId="42962F9B">
            <w:pPr>
              <w:pStyle w:val="28"/>
              <w:bidi w:val="0"/>
            </w:pPr>
            <w:r>
              <w:t>1</w:t>
            </w:r>
            <w:r>
              <w:rPr>
                <w:rFonts w:hint="eastAsia"/>
              </w:rPr>
              <w:t>类</w:t>
            </w:r>
          </w:p>
        </w:tc>
        <w:tc>
          <w:tcPr>
            <w:tcW w:w="809" w:type="pct"/>
            <w:vAlign w:val="center"/>
          </w:tcPr>
          <w:p w14:paraId="4E33F63A">
            <w:pPr>
              <w:pStyle w:val="28"/>
              <w:bidi w:val="0"/>
            </w:pPr>
            <w:r>
              <w:rPr>
                <w:rFonts w:hint="eastAsia"/>
              </w:rPr>
              <w:t>采用低噪声设备，施工机械远离居民住宅，设置单层移动声屏障</w:t>
            </w:r>
          </w:p>
        </w:tc>
        <w:tc>
          <w:tcPr>
            <w:tcW w:w="208" w:type="pct"/>
            <w:vAlign w:val="center"/>
          </w:tcPr>
          <w:p w14:paraId="5A362E81">
            <w:pPr>
              <w:pStyle w:val="28"/>
              <w:bidi w:val="0"/>
            </w:pPr>
            <w:r>
              <w:t>53.4</w:t>
            </w:r>
          </w:p>
        </w:tc>
        <w:tc>
          <w:tcPr>
            <w:tcW w:w="211" w:type="pct"/>
            <w:vAlign w:val="center"/>
          </w:tcPr>
          <w:p w14:paraId="395CDFE5">
            <w:pPr>
              <w:pStyle w:val="28"/>
              <w:bidi w:val="0"/>
            </w:pPr>
            <w:r>
              <w:t>40.6</w:t>
            </w:r>
          </w:p>
        </w:tc>
        <w:tc>
          <w:tcPr>
            <w:tcW w:w="208" w:type="pct"/>
            <w:vAlign w:val="center"/>
          </w:tcPr>
          <w:p w14:paraId="5A9A3AA7">
            <w:pPr>
              <w:pStyle w:val="28"/>
              <w:bidi w:val="0"/>
            </w:pPr>
            <w:r>
              <w:t>55</w:t>
            </w:r>
          </w:p>
        </w:tc>
        <w:tc>
          <w:tcPr>
            <w:tcW w:w="211" w:type="pct"/>
            <w:vAlign w:val="center"/>
          </w:tcPr>
          <w:p w14:paraId="43768AF6">
            <w:pPr>
              <w:pStyle w:val="28"/>
              <w:bidi w:val="0"/>
            </w:pPr>
            <w:r>
              <w:t>45</w:t>
            </w:r>
          </w:p>
        </w:tc>
        <w:tc>
          <w:tcPr>
            <w:tcW w:w="276" w:type="pct"/>
            <w:vAlign w:val="center"/>
          </w:tcPr>
          <w:p w14:paraId="60B94AFD">
            <w:pPr>
              <w:pStyle w:val="28"/>
              <w:bidi w:val="0"/>
            </w:pPr>
            <w:r>
              <w:t>59.0</w:t>
            </w:r>
          </w:p>
        </w:tc>
        <w:tc>
          <w:tcPr>
            <w:tcW w:w="257" w:type="pct"/>
            <w:vAlign w:val="center"/>
          </w:tcPr>
          <w:p w14:paraId="65EB7D91">
            <w:pPr>
              <w:pStyle w:val="28"/>
              <w:bidi w:val="0"/>
            </w:pPr>
            <w:r>
              <w:t>44.0</w:t>
            </w:r>
          </w:p>
        </w:tc>
        <w:tc>
          <w:tcPr>
            <w:tcW w:w="257" w:type="pct"/>
            <w:vAlign w:val="center"/>
          </w:tcPr>
          <w:p w14:paraId="6B44E535">
            <w:pPr>
              <w:pStyle w:val="28"/>
              <w:bidi w:val="0"/>
            </w:pPr>
            <w:r>
              <w:t>53.9</w:t>
            </w:r>
          </w:p>
        </w:tc>
        <w:tc>
          <w:tcPr>
            <w:tcW w:w="257" w:type="pct"/>
            <w:vAlign w:val="center"/>
          </w:tcPr>
          <w:p w14:paraId="46B51A6A">
            <w:pPr>
              <w:pStyle w:val="28"/>
              <w:bidi w:val="0"/>
            </w:pPr>
            <w:r>
              <w:t>0.5</w:t>
            </w:r>
          </w:p>
        </w:tc>
        <w:tc>
          <w:tcPr>
            <w:tcW w:w="209" w:type="pct"/>
            <w:vAlign w:val="center"/>
          </w:tcPr>
          <w:p w14:paraId="60107CE2">
            <w:pPr>
              <w:pStyle w:val="28"/>
              <w:bidi w:val="0"/>
            </w:pPr>
            <w:r>
              <w:t>达标</w:t>
            </w:r>
          </w:p>
        </w:tc>
      </w:tr>
      <w:tr w14:paraId="441DA17E">
        <w:tblPrEx>
          <w:tblCellMar>
            <w:top w:w="0" w:type="dxa"/>
            <w:left w:w="108" w:type="dxa"/>
            <w:bottom w:w="0" w:type="dxa"/>
            <w:right w:w="108" w:type="dxa"/>
          </w:tblCellMar>
        </w:tblPrEx>
        <w:trPr>
          <w:trHeight w:val="340" w:hRule="atLeast"/>
          <w:jc w:val="center"/>
        </w:trPr>
        <w:tc>
          <w:tcPr>
            <w:tcW w:w="685" w:type="pct"/>
            <w:vAlign w:val="center"/>
          </w:tcPr>
          <w:p w14:paraId="20DC1A27">
            <w:pPr>
              <w:pStyle w:val="28"/>
              <w:bidi w:val="0"/>
            </w:pPr>
            <w:r>
              <w:rPr>
                <w:rFonts w:hint="eastAsia"/>
              </w:rPr>
              <w:t>高楼</w:t>
            </w:r>
          </w:p>
        </w:tc>
        <w:tc>
          <w:tcPr>
            <w:tcW w:w="511" w:type="pct"/>
            <w:vAlign w:val="center"/>
          </w:tcPr>
          <w:p w14:paraId="0448DBA7">
            <w:pPr>
              <w:pStyle w:val="28"/>
              <w:bidi w:val="0"/>
            </w:pPr>
            <w:r>
              <w:t>13#左岸管护道路</w:t>
            </w:r>
          </w:p>
        </w:tc>
        <w:tc>
          <w:tcPr>
            <w:tcW w:w="366" w:type="pct"/>
            <w:vAlign w:val="center"/>
          </w:tcPr>
          <w:p w14:paraId="5F521E5B">
            <w:pPr>
              <w:pStyle w:val="28"/>
              <w:bidi w:val="0"/>
            </w:pPr>
            <w:r>
              <w:t>120</w:t>
            </w:r>
          </w:p>
        </w:tc>
        <w:tc>
          <w:tcPr>
            <w:tcW w:w="268" w:type="pct"/>
            <w:vAlign w:val="center"/>
          </w:tcPr>
          <w:p w14:paraId="53323492">
            <w:pPr>
              <w:pStyle w:val="28"/>
              <w:bidi w:val="0"/>
            </w:pPr>
            <w:r>
              <w:rPr>
                <w:rFonts w:hint="eastAsia"/>
              </w:rPr>
              <w:t>右岸</w:t>
            </w:r>
          </w:p>
        </w:tc>
        <w:tc>
          <w:tcPr>
            <w:tcW w:w="262" w:type="pct"/>
            <w:vAlign w:val="center"/>
          </w:tcPr>
          <w:p w14:paraId="0C9A54C8">
            <w:pPr>
              <w:pStyle w:val="28"/>
              <w:bidi w:val="0"/>
            </w:pPr>
            <w:r>
              <w:t>1</w:t>
            </w:r>
            <w:r>
              <w:rPr>
                <w:rFonts w:hint="eastAsia"/>
              </w:rPr>
              <w:t>类</w:t>
            </w:r>
          </w:p>
        </w:tc>
        <w:tc>
          <w:tcPr>
            <w:tcW w:w="809" w:type="pct"/>
            <w:vMerge w:val="restart"/>
            <w:vAlign w:val="center"/>
          </w:tcPr>
          <w:p w14:paraId="3B640D44">
            <w:pPr>
              <w:pStyle w:val="28"/>
              <w:bidi w:val="0"/>
            </w:pPr>
            <w:r>
              <w:rPr>
                <w:rFonts w:hint="eastAsia"/>
              </w:rPr>
              <w:t>采用低噪声设备，施工机械远离居民住宅</w:t>
            </w:r>
          </w:p>
        </w:tc>
        <w:tc>
          <w:tcPr>
            <w:tcW w:w="208" w:type="pct"/>
            <w:vAlign w:val="center"/>
          </w:tcPr>
          <w:p w14:paraId="25CE21E5">
            <w:pPr>
              <w:pStyle w:val="28"/>
              <w:bidi w:val="0"/>
            </w:pPr>
            <w:r>
              <w:t>53.4</w:t>
            </w:r>
          </w:p>
        </w:tc>
        <w:tc>
          <w:tcPr>
            <w:tcW w:w="211" w:type="pct"/>
            <w:vAlign w:val="center"/>
          </w:tcPr>
          <w:p w14:paraId="25512B09">
            <w:pPr>
              <w:pStyle w:val="28"/>
              <w:bidi w:val="0"/>
            </w:pPr>
            <w:r>
              <w:t>40.6</w:t>
            </w:r>
          </w:p>
        </w:tc>
        <w:tc>
          <w:tcPr>
            <w:tcW w:w="208" w:type="pct"/>
            <w:vAlign w:val="center"/>
          </w:tcPr>
          <w:p w14:paraId="72F1B37C">
            <w:pPr>
              <w:pStyle w:val="28"/>
              <w:bidi w:val="0"/>
            </w:pPr>
            <w:r>
              <w:t>55</w:t>
            </w:r>
          </w:p>
        </w:tc>
        <w:tc>
          <w:tcPr>
            <w:tcW w:w="211" w:type="pct"/>
            <w:vAlign w:val="center"/>
          </w:tcPr>
          <w:p w14:paraId="124E5AF6">
            <w:pPr>
              <w:pStyle w:val="28"/>
              <w:bidi w:val="0"/>
            </w:pPr>
            <w:r>
              <w:t>45</w:t>
            </w:r>
          </w:p>
        </w:tc>
        <w:tc>
          <w:tcPr>
            <w:tcW w:w="276" w:type="pct"/>
            <w:vAlign w:val="center"/>
          </w:tcPr>
          <w:p w14:paraId="08CB62FA">
            <w:pPr>
              <w:pStyle w:val="28"/>
              <w:bidi w:val="0"/>
            </w:pPr>
            <w:r>
              <w:t>51.0</w:t>
            </w:r>
          </w:p>
        </w:tc>
        <w:tc>
          <w:tcPr>
            <w:tcW w:w="257" w:type="pct"/>
            <w:vAlign w:val="center"/>
          </w:tcPr>
          <w:p w14:paraId="00698D21">
            <w:pPr>
              <w:pStyle w:val="28"/>
              <w:bidi w:val="0"/>
            </w:pPr>
            <w:r>
              <w:t>44.0</w:t>
            </w:r>
          </w:p>
        </w:tc>
        <w:tc>
          <w:tcPr>
            <w:tcW w:w="257" w:type="pct"/>
            <w:vAlign w:val="center"/>
          </w:tcPr>
          <w:p w14:paraId="344A12C2">
            <w:pPr>
              <w:pStyle w:val="28"/>
              <w:bidi w:val="0"/>
            </w:pPr>
            <w:r>
              <w:t>53.9</w:t>
            </w:r>
          </w:p>
        </w:tc>
        <w:tc>
          <w:tcPr>
            <w:tcW w:w="257" w:type="pct"/>
            <w:vAlign w:val="center"/>
          </w:tcPr>
          <w:p w14:paraId="6EF761C3">
            <w:pPr>
              <w:pStyle w:val="28"/>
              <w:bidi w:val="0"/>
            </w:pPr>
            <w:r>
              <w:t>0.5</w:t>
            </w:r>
          </w:p>
        </w:tc>
        <w:tc>
          <w:tcPr>
            <w:tcW w:w="209" w:type="pct"/>
            <w:vAlign w:val="center"/>
          </w:tcPr>
          <w:p w14:paraId="7DDA6249">
            <w:pPr>
              <w:pStyle w:val="28"/>
              <w:bidi w:val="0"/>
            </w:pPr>
            <w:r>
              <w:t>达标</w:t>
            </w:r>
          </w:p>
        </w:tc>
      </w:tr>
      <w:tr w14:paraId="4BA3A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C22FCE0">
            <w:pPr>
              <w:pStyle w:val="28"/>
              <w:bidi w:val="0"/>
            </w:pPr>
            <w:r>
              <w:rPr>
                <w:rFonts w:hint="eastAsia"/>
              </w:rPr>
              <w:t>潘小桥</w:t>
            </w:r>
          </w:p>
        </w:tc>
        <w:tc>
          <w:tcPr>
            <w:tcW w:w="511" w:type="pct"/>
            <w:vAlign w:val="center"/>
          </w:tcPr>
          <w:p w14:paraId="3C5CD304">
            <w:pPr>
              <w:pStyle w:val="28"/>
              <w:bidi w:val="0"/>
            </w:pPr>
            <w:r>
              <w:rPr>
                <w:rFonts w:hint="eastAsia"/>
              </w:rPr>
              <w:t>放水涵重建</w:t>
            </w:r>
          </w:p>
        </w:tc>
        <w:tc>
          <w:tcPr>
            <w:tcW w:w="366" w:type="pct"/>
            <w:vAlign w:val="center"/>
          </w:tcPr>
          <w:p w14:paraId="1CCE4A82">
            <w:pPr>
              <w:pStyle w:val="28"/>
              <w:bidi w:val="0"/>
            </w:pPr>
            <w:r>
              <w:t>52</w:t>
            </w:r>
          </w:p>
        </w:tc>
        <w:tc>
          <w:tcPr>
            <w:tcW w:w="268" w:type="pct"/>
            <w:vAlign w:val="center"/>
          </w:tcPr>
          <w:p w14:paraId="32A81820">
            <w:pPr>
              <w:pStyle w:val="28"/>
              <w:bidi w:val="0"/>
            </w:pPr>
            <w:r>
              <w:rPr>
                <w:rFonts w:hint="eastAsia"/>
              </w:rPr>
              <w:t>右岸</w:t>
            </w:r>
          </w:p>
        </w:tc>
        <w:tc>
          <w:tcPr>
            <w:tcW w:w="262" w:type="pct"/>
            <w:vAlign w:val="center"/>
          </w:tcPr>
          <w:p w14:paraId="7DF8C4B6">
            <w:pPr>
              <w:pStyle w:val="28"/>
              <w:bidi w:val="0"/>
            </w:pPr>
            <w:r>
              <w:t>1</w:t>
            </w:r>
            <w:r>
              <w:rPr>
                <w:rFonts w:hint="eastAsia"/>
              </w:rPr>
              <w:t>类</w:t>
            </w:r>
          </w:p>
        </w:tc>
        <w:tc>
          <w:tcPr>
            <w:tcW w:w="809" w:type="pct"/>
            <w:vMerge w:val="continue"/>
            <w:vAlign w:val="center"/>
          </w:tcPr>
          <w:p w14:paraId="63572EEB">
            <w:pPr>
              <w:pStyle w:val="28"/>
              <w:bidi w:val="0"/>
            </w:pPr>
          </w:p>
        </w:tc>
        <w:tc>
          <w:tcPr>
            <w:tcW w:w="208" w:type="pct"/>
            <w:vAlign w:val="center"/>
          </w:tcPr>
          <w:p w14:paraId="66ADAB02">
            <w:pPr>
              <w:pStyle w:val="28"/>
              <w:bidi w:val="0"/>
            </w:pPr>
            <w:r>
              <w:t>52.3</w:t>
            </w:r>
          </w:p>
        </w:tc>
        <w:tc>
          <w:tcPr>
            <w:tcW w:w="211" w:type="pct"/>
            <w:vAlign w:val="center"/>
          </w:tcPr>
          <w:p w14:paraId="0F06F3F1">
            <w:pPr>
              <w:pStyle w:val="28"/>
              <w:bidi w:val="0"/>
            </w:pPr>
            <w:r>
              <w:t>40.6</w:t>
            </w:r>
          </w:p>
        </w:tc>
        <w:tc>
          <w:tcPr>
            <w:tcW w:w="208" w:type="pct"/>
            <w:vAlign w:val="center"/>
          </w:tcPr>
          <w:p w14:paraId="02979BD0">
            <w:pPr>
              <w:pStyle w:val="28"/>
              <w:bidi w:val="0"/>
            </w:pPr>
            <w:r>
              <w:t>55</w:t>
            </w:r>
          </w:p>
        </w:tc>
        <w:tc>
          <w:tcPr>
            <w:tcW w:w="211" w:type="pct"/>
            <w:vAlign w:val="center"/>
          </w:tcPr>
          <w:p w14:paraId="1697BE2D">
            <w:pPr>
              <w:pStyle w:val="28"/>
              <w:bidi w:val="0"/>
            </w:pPr>
            <w:r>
              <w:t>45</w:t>
            </w:r>
          </w:p>
        </w:tc>
        <w:tc>
          <w:tcPr>
            <w:tcW w:w="276" w:type="pct"/>
            <w:vAlign w:val="center"/>
          </w:tcPr>
          <w:p w14:paraId="33F45B1B">
            <w:pPr>
              <w:pStyle w:val="28"/>
              <w:bidi w:val="0"/>
            </w:pPr>
            <w:r>
              <w:t>58.9</w:t>
            </w:r>
          </w:p>
        </w:tc>
        <w:tc>
          <w:tcPr>
            <w:tcW w:w="257" w:type="pct"/>
            <w:vAlign w:val="center"/>
          </w:tcPr>
          <w:p w14:paraId="4035B3AB">
            <w:pPr>
              <w:pStyle w:val="28"/>
              <w:bidi w:val="0"/>
            </w:pPr>
            <w:r>
              <w:t>50.9</w:t>
            </w:r>
          </w:p>
        </w:tc>
        <w:tc>
          <w:tcPr>
            <w:tcW w:w="257" w:type="pct"/>
            <w:vAlign w:val="center"/>
          </w:tcPr>
          <w:p w14:paraId="73A1B713">
            <w:pPr>
              <w:pStyle w:val="28"/>
              <w:bidi w:val="0"/>
            </w:pPr>
            <w:r>
              <w:t>54.7</w:t>
            </w:r>
          </w:p>
        </w:tc>
        <w:tc>
          <w:tcPr>
            <w:tcW w:w="257" w:type="pct"/>
            <w:vAlign w:val="center"/>
          </w:tcPr>
          <w:p w14:paraId="7C621391">
            <w:pPr>
              <w:pStyle w:val="28"/>
              <w:bidi w:val="0"/>
            </w:pPr>
            <w:r>
              <w:t>2.4</w:t>
            </w:r>
          </w:p>
        </w:tc>
        <w:tc>
          <w:tcPr>
            <w:tcW w:w="209" w:type="pct"/>
            <w:vAlign w:val="center"/>
          </w:tcPr>
          <w:p w14:paraId="6FE21402">
            <w:pPr>
              <w:pStyle w:val="28"/>
              <w:bidi w:val="0"/>
            </w:pPr>
            <w:r>
              <w:t>达标</w:t>
            </w:r>
          </w:p>
        </w:tc>
      </w:tr>
      <w:tr w14:paraId="5A9695FD">
        <w:tblPrEx>
          <w:tblCellMar>
            <w:top w:w="0" w:type="dxa"/>
            <w:left w:w="108" w:type="dxa"/>
            <w:bottom w:w="0" w:type="dxa"/>
            <w:right w:w="108" w:type="dxa"/>
          </w:tblCellMar>
        </w:tblPrEx>
        <w:trPr>
          <w:trHeight w:val="340" w:hRule="atLeast"/>
          <w:jc w:val="center"/>
        </w:trPr>
        <w:tc>
          <w:tcPr>
            <w:tcW w:w="685" w:type="pct"/>
            <w:vAlign w:val="center"/>
          </w:tcPr>
          <w:p w14:paraId="14B2D523">
            <w:pPr>
              <w:pStyle w:val="28"/>
              <w:bidi w:val="0"/>
            </w:pPr>
            <w:r>
              <w:rPr>
                <w:rFonts w:hint="eastAsia"/>
              </w:rPr>
              <w:t>尹老庄</w:t>
            </w:r>
          </w:p>
        </w:tc>
        <w:tc>
          <w:tcPr>
            <w:tcW w:w="511" w:type="pct"/>
            <w:vAlign w:val="center"/>
          </w:tcPr>
          <w:p w14:paraId="3B17A35D">
            <w:pPr>
              <w:pStyle w:val="28"/>
              <w:bidi w:val="0"/>
            </w:pPr>
            <w:r>
              <w:rPr>
                <w:rFonts w:hint="eastAsia"/>
              </w:rPr>
              <w:t>放水涵重建</w:t>
            </w:r>
          </w:p>
        </w:tc>
        <w:tc>
          <w:tcPr>
            <w:tcW w:w="366" w:type="pct"/>
            <w:vAlign w:val="center"/>
          </w:tcPr>
          <w:p w14:paraId="79ED237E">
            <w:pPr>
              <w:pStyle w:val="28"/>
              <w:bidi w:val="0"/>
            </w:pPr>
            <w:r>
              <w:t>65</w:t>
            </w:r>
          </w:p>
        </w:tc>
        <w:tc>
          <w:tcPr>
            <w:tcW w:w="268" w:type="pct"/>
            <w:vAlign w:val="center"/>
          </w:tcPr>
          <w:p w14:paraId="0F766BC8">
            <w:pPr>
              <w:pStyle w:val="28"/>
              <w:bidi w:val="0"/>
            </w:pPr>
            <w:r>
              <w:rPr>
                <w:rFonts w:hint="eastAsia"/>
              </w:rPr>
              <w:t>右岸</w:t>
            </w:r>
          </w:p>
        </w:tc>
        <w:tc>
          <w:tcPr>
            <w:tcW w:w="262" w:type="pct"/>
            <w:vAlign w:val="center"/>
          </w:tcPr>
          <w:p w14:paraId="52776ADC">
            <w:pPr>
              <w:pStyle w:val="28"/>
              <w:bidi w:val="0"/>
            </w:pPr>
            <w:r>
              <w:t>1</w:t>
            </w:r>
            <w:r>
              <w:rPr>
                <w:rFonts w:hint="eastAsia"/>
              </w:rPr>
              <w:t>类</w:t>
            </w:r>
          </w:p>
        </w:tc>
        <w:tc>
          <w:tcPr>
            <w:tcW w:w="809" w:type="pct"/>
            <w:vMerge w:val="continue"/>
            <w:vAlign w:val="center"/>
          </w:tcPr>
          <w:p w14:paraId="68871C7B">
            <w:pPr>
              <w:pStyle w:val="28"/>
              <w:bidi w:val="0"/>
            </w:pPr>
          </w:p>
        </w:tc>
        <w:tc>
          <w:tcPr>
            <w:tcW w:w="208" w:type="pct"/>
            <w:vAlign w:val="center"/>
          </w:tcPr>
          <w:p w14:paraId="4C7CEF31">
            <w:pPr>
              <w:pStyle w:val="28"/>
              <w:bidi w:val="0"/>
            </w:pPr>
            <w:r>
              <w:t>52.3</w:t>
            </w:r>
          </w:p>
        </w:tc>
        <w:tc>
          <w:tcPr>
            <w:tcW w:w="211" w:type="pct"/>
            <w:vAlign w:val="center"/>
          </w:tcPr>
          <w:p w14:paraId="29FD18B9">
            <w:pPr>
              <w:pStyle w:val="28"/>
              <w:bidi w:val="0"/>
            </w:pPr>
            <w:r>
              <w:t>40.6</w:t>
            </w:r>
          </w:p>
        </w:tc>
        <w:tc>
          <w:tcPr>
            <w:tcW w:w="208" w:type="pct"/>
            <w:vAlign w:val="center"/>
          </w:tcPr>
          <w:p w14:paraId="0E16F417">
            <w:pPr>
              <w:pStyle w:val="28"/>
              <w:bidi w:val="0"/>
            </w:pPr>
            <w:r>
              <w:t>55</w:t>
            </w:r>
          </w:p>
        </w:tc>
        <w:tc>
          <w:tcPr>
            <w:tcW w:w="211" w:type="pct"/>
            <w:vAlign w:val="center"/>
          </w:tcPr>
          <w:p w14:paraId="052114AB">
            <w:pPr>
              <w:pStyle w:val="28"/>
              <w:bidi w:val="0"/>
            </w:pPr>
            <w:r>
              <w:t>45</w:t>
            </w:r>
          </w:p>
        </w:tc>
        <w:tc>
          <w:tcPr>
            <w:tcW w:w="276" w:type="pct"/>
            <w:vAlign w:val="center"/>
          </w:tcPr>
          <w:p w14:paraId="4B181E01">
            <w:pPr>
              <w:pStyle w:val="28"/>
              <w:bidi w:val="0"/>
            </w:pPr>
            <w:r>
              <w:t>57.0</w:t>
            </w:r>
          </w:p>
        </w:tc>
        <w:tc>
          <w:tcPr>
            <w:tcW w:w="257" w:type="pct"/>
            <w:vAlign w:val="center"/>
          </w:tcPr>
          <w:p w14:paraId="79ECD1F5">
            <w:pPr>
              <w:pStyle w:val="28"/>
              <w:bidi w:val="0"/>
            </w:pPr>
            <w:r>
              <w:t>50.0</w:t>
            </w:r>
          </w:p>
        </w:tc>
        <w:tc>
          <w:tcPr>
            <w:tcW w:w="257" w:type="pct"/>
            <w:vAlign w:val="center"/>
          </w:tcPr>
          <w:p w14:paraId="739A49A0">
            <w:pPr>
              <w:pStyle w:val="28"/>
              <w:bidi w:val="0"/>
            </w:pPr>
            <w:r>
              <w:t>54.3</w:t>
            </w:r>
          </w:p>
        </w:tc>
        <w:tc>
          <w:tcPr>
            <w:tcW w:w="257" w:type="pct"/>
            <w:vAlign w:val="center"/>
          </w:tcPr>
          <w:p w14:paraId="39D366C7">
            <w:pPr>
              <w:pStyle w:val="28"/>
              <w:bidi w:val="0"/>
            </w:pPr>
            <w:r>
              <w:t>2.0</w:t>
            </w:r>
          </w:p>
        </w:tc>
        <w:tc>
          <w:tcPr>
            <w:tcW w:w="209" w:type="pct"/>
            <w:vAlign w:val="center"/>
          </w:tcPr>
          <w:p w14:paraId="60AE7BA2">
            <w:pPr>
              <w:pStyle w:val="28"/>
              <w:bidi w:val="0"/>
            </w:pPr>
            <w:r>
              <w:t>达标</w:t>
            </w:r>
          </w:p>
        </w:tc>
      </w:tr>
      <w:tr w14:paraId="022F2D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9C2E40F">
            <w:pPr>
              <w:pStyle w:val="28"/>
              <w:bidi w:val="0"/>
            </w:pPr>
            <w:r>
              <w:rPr>
                <w:rFonts w:hint="eastAsia"/>
              </w:rPr>
              <w:t>朱老庄</w:t>
            </w:r>
          </w:p>
        </w:tc>
        <w:tc>
          <w:tcPr>
            <w:tcW w:w="511" w:type="pct"/>
            <w:vAlign w:val="center"/>
          </w:tcPr>
          <w:p w14:paraId="4858B7A6">
            <w:pPr>
              <w:pStyle w:val="28"/>
              <w:bidi w:val="0"/>
            </w:pPr>
            <w:r>
              <w:rPr>
                <w:rFonts w:hint="eastAsia"/>
              </w:rPr>
              <w:t>放水涵重建</w:t>
            </w:r>
          </w:p>
        </w:tc>
        <w:tc>
          <w:tcPr>
            <w:tcW w:w="366" w:type="pct"/>
            <w:vAlign w:val="center"/>
          </w:tcPr>
          <w:p w14:paraId="2189131F">
            <w:pPr>
              <w:pStyle w:val="28"/>
              <w:bidi w:val="0"/>
            </w:pPr>
            <w:r>
              <w:t>150</w:t>
            </w:r>
          </w:p>
        </w:tc>
        <w:tc>
          <w:tcPr>
            <w:tcW w:w="268" w:type="pct"/>
            <w:vAlign w:val="center"/>
          </w:tcPr>
          <w:p w14:paraId="50D5BB52">
            <w:pPr>
              <w:pStyle w:val="28"/>
              <w:bidi w:val="0"/>
            </w:pPr>
            <w:r>
              <w:rPr>
                <w:rFonts w:hint="eastAsia"/>
              </w:rPr>
              <w:t>左右岸</w:t>
            </w:r>
          </w:p>
        </w:tc>
        <w:tc>
          <w:tcPr>
            <w:tcW w:w="262" w:type="pct"/>
            <w:vAlign w:val="center"/>
          </w:tcPr>
          <w:p w14:paraId="7159414D">
            <w:pPr>
              <w:pStyle w:val="28"/>
              <w:bidi w:val="0"/>
            </w:pPr>
            <w:r>
              <w:t>1</w:t>
            </w:r>
            <w:r>
              <w:rPr>
                <w:rFonts w:hint="eastAsia"/>
              </w:rPr>
              <w:t>类</w:t>
            </w:r>
          </w:p>
        </w:tc>
        <w:tc>
          <w:tcPr>
            <w:tcW w:w="809" w:type="pct"/>
            <w:vMerge w:val="continue"/>
            <w:vAlign w:val="center"/>
          </w:tcPr>
          <w:p w14:paraId="5FF142B5">
            <w:pPr>
              <w:pStyle w:val="28"/>
              <w:bidi w:val="0"/>
            </w:pPr>
          </w:p>
        </w:tc>
        <w:tc>
          <w:tcPr>
            <w:tcW w:w="208" w:type="pct"/>
            <w:vAlign w:val="center"/>
          </w:tcPr>
          <w:p w14:paraId="0C935E41">
            <w:pPr>
              <w:pStyle w:val="28"/>
              <w:bidi w:val="0"/>
            </w:pPr>
            <w:r>
              <w:t>52.3</w:t>
            </w:r>
          </w:p>
        </w:tc>
        <w:tc>
          <w:tcPr>
            <w:tcW w:w="211" w:type="pct"/>
            <w:vAlign w:val="center"/>
          </w:tcPr>
          <w:p w14:paraId="02792F09">
            <w:pPr>
              <w:pStyle w:val="28"/>
              <w:bidi w:val="0"/>
            </w:pPr>
            <w:r>
              <w:t>40.6</w:t>
            </w:r>
          </w:p>
        </w:tc>
        <w:tc>
          <w:tcPr>
            <w:tcW w:w="208" w:type="pct"/>
            <w:vAlign w:val="center"/>
          </w:tcPr>
          <w:p w14:paraId="5D047EE0">
            <w:pPr>
              <w:pStyle w:val="28"/>
              <w:bidi w:val="0"/>
            </w:pPr>
            <w:r>
              <w:t>55</w:t>
            </w:r>
          </w:p>
        </w:tc>
        <w:tc>
          <w:tcPr>
            <w:tcW w:w="211" w:type="pct"/>
            <w:vAlign w:val="center"/>
          </w:tcPr>
          <w:p w14:paraId="38A1BB2B">
            <w:pPr>
              <w:pStyle w:val="28"/>
              <w:bidi w:val="0"/>
            </w:pPr>
            <w:r>
              <w:t>45</w:t>
            </w:r>
          </w:p>
        </w:tc>
        <w:tc>
          <w:tcPr>
            <w:tcW w:w="276" w:type="pct"/>
            <w:vAlign w:val="center"/>
          </w:tcPr>
          <w:p w14:paraId="4AA171C0">
            <w:pPr>
              <w:pStyle w:val="28"/>
              <w:bidi w:val="0"/>
            </w:pPr>
            <w:r>
              <w:t>49.7</w:t>
            </w:r>
          </w:p>
        </w:tc>
        <w:tc>
          <w:tcPr>
            <w:tcW w:w="257" w:type="pct"/>
            <w:vAlign w:val="center"/>
          </w:tcPr>
          <w:p w14:paraId="7918882C">
            <w:pPr>
              <w:pStyle w:val="28"/>
              <w:bidi w:val="0"/>
            </w:pPr>
            <w:r>
              <w:t>42.7</w:t>
            </w:r>
          </w:p>
        </w:tc>
        <w:tc>
          <w:tcPr>
            <w:tcW w:w="257" w:type="pct"/>
            <w:vAlign w:val="center"/>
          </w:tcPr>
          <w:p w14:paraId="23C4A42C">
            <w:pPr>
              <w:pStyle w:val="28"/>
              <w:bidi w:val="0"/>
            </w:pPr>
            <w:r>
              <w:t>52.8</w:t>
            </w:r>
          </w:p>
        </w:tc>
        <w:tc>
          <w:tcPr>
            <w:tcW w:w="257" w:type="pct"/>
            <w:vAlign w:val="center"/>
          </w:tcPr>
          <w:p w14:paraId="7D38A286">
            <w:pPr>
              <w:pStyle w:val="28"/>
              <w:bidi w:val="0"/>
            </w:pPr>
            <w:r>
              <w:t>0.5</w:t>
            </w:r>
          </w:p>
        </w:tc>
        <w:tc>
          <w:tcPr>
            <w:tcW w:w="209" w:type="pct"/>
            <w:vAlign w:val="center"/>
          </w:tcPr>
          <w:p w14:paraId="4CC2C1FC">
            <w:pPr>
              <w:pStyle w:val="28"/>
              <w:bidi w:val="0"/>
            </w:pPr>
            <w:r>
              <w:t>达标</w:t>
            </w:r>
          </w:p>
        </w:tc>
      </w:tr>
      <w:tr w14:paraId="31F3E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0A358C1">
            <w:pPr>
              <w:pStyle w:val="28"/>
              <w:bidi w:val="0"/>
            </w:pPr>
            <w:r>
              <w:rPr>
                <w:rFonts w:hint="eastAsia"/>
              </w:rPr>
              <w:t>李油坊</w:t>
            </w:r>
          </w:p>
        </w:tc>
        <w:tc>
          <w:tcPr>
            <w:tcW w:w="511" w:type="pct"/>
            <w:vAlign w:val="center"/>
          </w:tcPr>
          <w:p w14:paraId="0E5B6335">
            <w:pPr>
              <w:pStyle w:val="28"/>
              <w:bidi w:val="0"/>
            </w:pPr>
            <w:r>
              <w:rPr>
                <w:rFonts w:hint="eastAsia"/>
              </w:rPr>
              <w:t>放水涵重建</w:t>
            </w:r>
          </w:p>
        </w:tc>
        <w:tc>
          <w:tcPr>
            <w:tcW w:w="366" w:type="pct"/>
            <w:vAlign w:val="center"/>
          </w:tcPr>
          <w:p w14:paraId="78990342">
            <w:pPr>
              <w:pStyle w:val="28"/>
              <w:bidi w:val="0"/>
            </w:pPr>
            <w:r>
              <w:t>50</w:t>
            </w:r>
          </w:p>
        </w:tc>
        <w:tc>
          <w:tcPr>
            <w:tcW w:w="268" w:type="pct"/>
            <w:vAlign w:val="center"/>
          </w:tcPr>
          <w:p w14:paraId="636CB4A7">
            <w:pPr>
              <w:pStyle w:val="28"/>
              <w:bidi w:val="0"/>
            </w:pPr>
            <w:r>
              <w:rPr>
                <w:rFonts w:hint="eastAsia"/>
              </w:rPr>
              <w:t>右岸</w:t>
            </w:r>
          </w:p>
        </w:tc>
        <w:tc>
          <w:tcPr>
            <w:tcW w:w="262" w:type="pct"/>
            <w:vAlign w:val="center"/>
          </w:tcPr>
          <w:p w14:paraId="6104F431">
            <w:pPr>
              <w:pStyle w:val="28"/>
              <w:bidi w:val="0"/>
            </w:pPr>
            <w:r>
              <w:t>1</w:t>
            </w:r>
            <w:r>
              <w:rPr>
                <w:rFonts w:hint="eastAsia"/>
              </w:rPr>
              <w:t>类</w:t>
            </w:r>
          </w:p>
        </w:tc>
        <w:tc>
          <w:tcPr>
            <w:tcW w:w="809" w:type="pct"/>
            <w:vMerge w:val="continue"/>
            <w:vAlign w:val="center"/>
          </w:tcPr>
          <w:p w14:paraId="00DD3450">
            <w:pPr>
              <w:pStyle w:val="28"/>
              <w:bidi w:val="0"/>
            </w:pPr>
          </w:p>
        </w:tc>
        <w:tc>
          <w:tcPr>
            <w:tcW w:w="208" w:type="pct"/>
            <w:vAlign w:val="center"/>
          </w:tcPr>
          <w:p w14:paraId="204F210C">
            <w:pPr>
              <w:pStyle w:val="28"/>
              <w:bidi w:val="0"/>
            </w:pPr>
            <w:r>
              <w:t>52.3</w:t>
            </w:r>
          </w:p>
        </w:tc>
        <w:tc>
          <w:tcPr>
            <w:tcW w:w="211" w:type="pct"/>
            <w:vAlign w:val="center"/>
          </w:tcPr>
          <w:p w14:paraId="38B3C763">
            <w:pPr>
              <w:pStyle w:val="28"/>
              <w:bidi w:val="0"/>
            </w:pPr>
            <w:r>
              <w:t>40.6</w:t>
            </w:r>
          </w:p>
        </w:tc>
        <w:tc>
          <w:tcPr>
            <w:tcW w:w="208" w:type="pct"/>
            <w:vAlign w:val="center"/>
          </w:tcPr>
          <w:p w14:paraId="6F3F97EB">
            <w:pPr>
              <w:pStyle w:val="28"/>
              <w:bidi w:val="0"/>
            </w:pPr>
            <w:r>
              <w:t>55</w:t>
            </w:r>
          </w:p>
        </w:tc>
        <w:tc>
          <w:tcPr>
            <w:tcW w:w="211" w:type="pct"/>
            <w:vAlign w:val="center"/>
          </w:tcPr>
          <w:p w14:paraId="1616B2EF">
            <w:pPr>
              <w:pStyle w:val="28"/>
              <w:bidi w:val="0"/>
            </w:pPr>
            <w:r>
              <w:t>45</w:t>
            </w:r>
          </w:p>
        </w:tc>
        <w:tc>
          <w:tcPr>
            <w:tcW w:w="276" w:type="pct"/>
            <w:vAlign w:val="center"/>
          </w:tcPr>
          <w:p w14:paraId="1F6DE333">
            <w:pPr>
              <w:pStyle w:val="28"/>
              <w:bidi w:val="0"/>
            </w:pPr>
            <w:r>
              <w:t>59.2</w:t>
            </w:r>
          </w:p>
        </w:tc>
        <w:tc>
          <w:tcPr>
            <w:tcW w:w="257" w:type="pct"/>
            <w:vAlign w:val="center"/>
          </w:tcPr>
          <w:p w14:paraId="68B87C19">
            <w:pPr>
              <w:pStyle w:val="28"/>
              <w:bidi w:val="0"/>
            </w:pPr>
            <w:r>
              <w:t>51.2</w:t>
            </w:r>
          </w:p>
        </w:tc>
        <w:tc>
          <w:tcPr>
            <w:tcW w:w="257" w:type="pct"/>
            <w:vAlign w:val="center"/>
          </w:tcPr>
          <w:p w14:paraId="3EC68317">
            <w:pPr>
              <w:pStyle w:val="28"/>
              <w:bidi w:val="0"/>
            </w:pPr>
            <w:r>
              <w:t>54.8</w:t>
            </w:r>
          </w:p>
        </w:tc>
        <w:tc>
          <w:tcPr>
            <w:tcW w:w="257" w:type="pct"/>
            <w:vAlign w:val="center"/>
          </w:tcPr>
          <w:p w14:paraId="39CAEB3F">
            <w:pPr>
              <w:pStyle w:val="28"/>
              <w:bidi w:val="0"/>
            </w:pPr>
            <w:r>
              <w:t>2.5</w:t>
            </w:r>
          </w:p>
        </w:tc>
        <w:tc>
          <w:tcPr>
            <w:tcW w:w="209" w:type="pct"/>
            <w:vAlign w:val="center"/>
          </w:tcPr>
          <w:p w14:paraId="1A8E812A">
            <w:pPr>
              <w:pStyle w:val="28"/>
              <w:bidi w:val="0"/>
            </w:pPr>
            <w:r>
              <w:t>达标</w:t>
            </w:r>
          </w:p>
        </w:tc>
      </w:tr>
      <w:tr w14:paraId="38BE9E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F0CF645">
            <w:pPr>
              <w:pStyle w:val="28"/>
              <w:bidi w:val="0"/>
            </w:pPr>
            <w:r>
              <w:rPr>
                <w:rFonts w:hint="eastAsia"/>
              </w:rPr>
              <w:t>韩老庄子</w:t>
            </w:r>
          </w:p>
        </w:tc>
        <w:tc>
          <w:tcPr>
            <w:tcW w:w="511" w:type="pct"/>
            <w:vAlign w:val="center"/>
          </w:tcPr>
          <w:p w14:paraId="13EF822E">
            <w:pPr>
              <w:pStyle w:val="28"/>
              <w:bidi w:val="0"/>
            </w:pPr>
            <w:r>
              <w:rPr>
                <w:rFonts w:hint="eastAsia"/>
              </w:rPr>
              <w:t>放水涵重建</w:t>
            </w:r>
          </w:p>
        </w:tc>
        <w:tc>
          <w:tcPr>
            <w:tcW w:w="366" w:type="pct"/>
            <w:vAlign w:val="center"/>
          </w:tcPr>
          <w:p w14:paraId="6F19BBFC">
            <w:pPr>
              <w:pStyle w:val="28"/>
              <w:bidi w:val="0"/>
            </w:pPr>
            <w:r>
              <w:t>35</w:t>
            </w:r>
          </w:p>
        </w:tc>
        <w:tc>
          <w:tcPr>
            <w:tcW w:w="268" w:type="pct"/>
            <w:vAlign w:val="center"/>
          </w:tcPr>
          <w:p w14:paraId="6F597286">
            <w:pPr>
              <w:pStyle w:val="28"/>
              <w:bidi w:val="0"/>
            </w:pPr>
            <w:r>
              <w:rPr>
                <w:rFonts w:hint="eastAsia"/>
              </w:rPr>
              <w:t>左右岸</w:t>
            </w:r>
          </w:p>
        </w:tc>
        <w:tc>
          <w:tcPr>
            <w:tcW w:w="262" w:type="pct"/>
            <w:vAlign w:val="center"/>
          </w:tcPr>
          <w:p w14:paraId="3FF3AD5E">
            <w:pPr>
              <w:pStyle w:val="28"/>
              <w:bidi w:val="0"/>
            </w:pPr>
            <w:r>
              <w:t>1</w:t>
            </w:r>
            <w:r>
              <w:rPr>
                <w:rFonts w:hint="eastAsia"/>
              </w:rPr>
              <w:t>类</w:t>
            </w:r>
          </w:p>
        </w:tc>
        <w:tc>
          <w:tcPr>
            <w:tcW w:w="809" w:type="pct"/>
            <w:vAlign w:val="center"/>
          </w:tcPr>
          <w:p w14:paraId="149B90F1">
            <w:pPr>
              <w:pStyle w:val="28"/>
              <w:bidi w:val="0"/>
            </w:pPr>
            <w:r>
              <w:rPr>
                <w:rFonts w:hint="eastAsia"/>
              </w:rPr>
              <w:t>采用低噪声设备，施工机械远离居民住宅，设置双层移动声屏障</w:t>
            </w:r>
          </w:p>
        </w:tc>
        <w:tc>
          <w:tcPr>
            <w:tcW w:w="208" w:type="pct"/>
            <w:vAlign w:val="center"/>
          </w:tcPr>
          <w:p w14:paraId="5EE3E167">
            <w:pPr>
              <w:pStyle w:val="28"/>
              <w:bidi w:val="0"/>
            </w:pPr>
            <w:r>
              <w:t>52.3</w:t>
            </w:r>
          </w:p>
        </w:tc>
        <w:tc>
          <w:tcPr>
            <w:tcW w:w="211" w:type="pct"/>
            <w:vAlign w:val="center"/>
          </w:tcPr>
          <w:p w14:paraId="3783835B">
            <w:pPr>
              <w:pStyle w:val="28"/>
              <w:bidi w:val="0"/>
            </w:pPr>
            <w:r>
              <w:t>40.6</w:t>
            </w:r>
          </w:p>
        </w:tc>
        <w:tc>
          <w:tcPr>
            <w:tcW w:w="208" w:type="pct"/>
            <w:vAlign w:val="center"/>
          </w:tcPr>
          <w:p w14:paraId="5931EE25">
            <w:pPr>
              <w:pStyle w:val="28"/>
              <w:bidi w:val="0"/>
            </w:pPr>
            <w:r>
              <w:t>55</w:t>
            </w:r>
          </w:p>
        </w:tc>
        <w:tc>
          <w:tcPr>
            <w:tcW w:w="211" w:type="pct"/>
            <w:vAlign w:val="center"/>
          </w:tcPr>
          <w:p w14:paraId="467A9B36">
            <w:pPr>
              <w:pStyle w:val="28"/>
              <w:bidi w:val="0"/>
            </w:pPr>
            <w:r>
              <w:t>45</w:t>
            </w:r>
          </w:p>
        </w:tc>
        <w:tc>
          <w:tcPr>
            <w:tcW w:w="276" w:type="pct"/>
            <w:vAlign w:val="center"/>
          </w:tcPr>
          <w:p w14:paraId="471E502D">
            <w:pPr>
              <w:pStyle w:val="28"/>
              <w:bidi w:val="0"/>
            </w:pPr>
            <w:r>
              <w:t>62.3</w:t>
            </w:r>
          </w:p>
        </w:tc>
        <w:tc>
          <w:tcPr>
            <w:tcW w:w="257" w:type="pct"/>
            <w:vAlign w:val="center"/>
          </w:tcPr>
          <w:p w14:paraId="3503DD00">
            <w:pPr>
              <w:pStyle w:val="28"/>
              <w:bidi w:val="0"/>
            </w:pPr>
            <w:r>
              <w:t>42.3</w:t>
            </w:r>
          </w:p>
        </w:tc>
        <w:tc>
          <w:tcPr>
            <w:tcW w:w="257" w:type="pct"/>
            <w:vAlign w:val="center"/>
          </w:tcPr>
          <w:p w14:paraId="1C828EA1">
            <w:pPr>
              <w:pStyle w:val="28"/>
              <w:bidi w:val="0"/>
            </w:pPr>
            <w:r>
              <w:t>52.7</w:t>
            </w:r>
          </w:p>
        </w:tc>
        <w:tc>
          <w:tcPr>
            <w:tcW w:w="257" w:type="pct"/>
            <w:vAlign w:val="center"/>
          </w:tcPr>
          <w:p w14:paraId="15653556">
            <w:pPr>
              <w:pStyle w:val="28"/>
              <w:bidi w:val="0"/>
            </w:pPr>
            <w:r>
              <w:t>0.4</w:t>
            </w:r>
          </w:p>
        </w:tc>
        <w:tc>
          <w:tcPr>
            <w:tcW w:w="209" w:type="pct"/>
            <w:vAlign w:val="center"/>
          </w:tcPr>
          <w:p w14:paraId="18F5192F">
            <w:pPr>
              <w:pStyle w:val="28"/>
              <w:bidi w:val="0"/>
            </w:pPr>
            <w:r>
              <w:t>达标</w:t>
            </w:r>
          </w:p>
        </w:tc>
      </w:tr>
      <w:tr w14:paraId="10DDA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A38A7DB">
            <w:pPr>
              <w:pStyle w:val="28"/>
              <w:bidi w:val="0"/>
            </w:pPr>
            <w:r>
              <w:rPr>
                <w:rFonts w:hint="eastAsia"/>
              </w:rPr>
              <w:t>烟墩</w:t>
            </w:r>
          </w:p>
        </w:tc>
        <w:tc>
          <w:tcPr>
            <w:tcW w:w="511" w:type="pct"/>
            <w:vAlign w:val="center"/>
          </w:tcPr>
          <w:p w14:paraId="50AA5C9D">
            <w:pPr>
              <w:pStyle w:val="28"/>
              <w:bidi w:val="0"/>
            </w:pPr>
            <w:r>
              <w:rPr>
                <w:rFonts w:hint="eastAsia"/>
              </w:rPr>
              <w:t>放水涵重建</w:t>
            </w:r>
          </w:p>
        </w:tc>
        <w:tc>
          <w:tcPr>
            <w:tcW w:w="366" w:type="pct"/>
            <w:vAlign w:val="center"/>
          </w:tcPr>
          <w:p w14:paraId="21D14F7A">
            <w:pPr>
              <w:pStyle w:val="28"/>
              <w:bidi w:val="0"/>
            </w:pPr>
            <w:r>
              <w:t>160</w:t>
            </w:r>
          </w:p>
        </w:tc>
        <w:tc>
          <w:tcPr>
            <w:tcW w:w="268" w:type="pct"/>
            <w:vAlign w:val="center"/>
          </w:tcPr>
          <w:p w14:paraId="1CCF409B">
            <w:pPr>
              <w:pStyle w:val="28"/>
              <w:bidi w:val="0"/>
            </w:pPr>
            <w:r>
              <w:rPr>
                <w:rFonts w:hint="eastAsia"/>
              </w:rPr>
              <w:t>左右岸</w:t>
            </w:r>
          </w:p>
        </w:tc>
        <w:tc>
          <w:tcPr>
            <w:tcW w:w="262" w:type="pct"/>
            <w:vMerge w:val="restart"/>
            <w:vAlign w:val="center"/>
          </w:tcPr>
          <w:p w14:paraId="30DA67F0">
            <w:pPr>
              <w:pStyle w:val="28"/>
              <w:bidi w:val="0"/>
            </w:pPr>
            <w:r>
              <w:t>1</w:t>
            </w:r>
            <w:r>
              <w:rPr>
                <w:rFonts w:hint="eastAsia"/>
              </w:rPr>
              <w:t>类</w:t>
            </w:r>
          </w:p>
        </w:tc>
        <w:tc>
          <w:tcPr>
            <w:tcW w:w="809" w:type="pct"/>
            <w:vMerge w:val="restart"/>
            <w:vAlign w:val="center"/>
          </w:tcPr>
          <w:p w14:paraId="730C7C29">
            <w:pPr>
              <w:pStyle w:val="28"/>
              <w:bidi w:val="0"/>
            </w:pPr>
            <w:r>
              <w:rPr>
                <w:rFonts w:hint="eastAsia"/>
              </w:rPr>
              <w:t>采用低噪声设备，施工机械远离居民住宅</w:t>
            </w:r>
          </w:p>
        </w:tc>
        <w:tc>
          <w:tcPr>
            <w:tcW w:w="208" w:type="pct"/>
            <w:vAlign w:val="center"/>
          </w:tcPr>
          <w:p w14:paraId="1C1F5187">
            <w:pPr>
              <w:pStyle w:val="28"/>
              <w:bidi w:val="0"/>
            </w:pPr>
            <w:r>
              <w:t>52.3</w:t>
            </w:r>
          </w:p>
        </w:tc>
        <w:tc>
          <w:tcPr>
            <w:tcW w:w="211" w:type="pct"/>
            <w:vAlign w:val="center"/>
          </w:tcPr>
          <w:p w14:paraId="36722729">
            <w:pPr>
              <w:pStyle w:val="28"/>
              <w:bidi w:val="0"/>
            </w:pPr>
            <w:r>
              <w:t>40.6</w:t>
            </w:r>
          </w:p>
        </w:tc>
        <w:tc>
          <w:tcPr>
            <w:tcW w:w="208" w:type="pct"/>
            <w:vAlign w:val="center"/>
          </w:tcPr>
          <w:p w14:paraId="278C6F49">
            <w:pPr>
              <w:pStyle w:val="28"/>
              <w:bidi w:val="0"/>
            </w:pPr>
            <w:r>
              <w:t>55</w:t>
            </w:r>
          </w:p>
        </w:tc>
        <w:tc>
          <w:tcPr>
            <w:tcW w:w="211" w:type="pct"/>
            <w:vAlign w:val="center"/>
          </w:tcPr>
          <w:p w14:paraId="10B283E1">
            <w:pPr>
              <w:pStyle w:val="28"/>
              <w:bidi w:val="0"/>
            </w:pPr>
            <w:r>
              <w:t>45</w:t>
            </w:r>
          </w:p>
        </w:tc>
        <w:tc>
          <w:tcPr>
            <w:tcW w:w="276" w:type="pct"/>
            <w:vAlign w:val="center"/>
          </w:tcPr>
          <w:p w14:paraId="48C82844">
            <w:pPr>
              <w:pStyle w:val="28"/>
              <w:bidi w:val="0"/>
            </w:pPr>
            <w:r>
              <w:t>49.1</w:t>
            </w:r>
          </w:p>
        </w:tc>
        <w:tc>
          <w:tcPr>
            <w:tcW w:w="257" w:type="pct"/>
            <w:vAlign w:val="center"/>
          </w:tcPr>
          <w:p w14:paraId="49592A58">
            <w:pPr>
              <w:pStyle w:val="28"/>
              <w:bidi w:val="0"/>
            </w:pPr>
            <w:r>
              <w:t>42.1</w:t>
            </w:r>
          </w:p>
        </w:tc>
        <w:tc>
          <w:tcPr>
            <w:tcW w:w="257" w:type="pct"/>
            <w:vAlign w:val="center"/>
          </w:tcPr>
          <w:p w14:paraId="5B2945D3">
            <w:pPr>
              <w:pStyle w:val="28"/>
              <w:bidi w:val="0"/>
            </w:pPr>
            <w:r>
              <w:t>52.7</w:t>
            </w:r>
          </w:p>
        </w:tc>
        <w:tc>
          <w:tcPr>
            <w:tcW w:w="257" w:type="pct"/>
            <w:vAlign w:val="center"/>
          </w:tcPr>
          <w:p w14:paraId="5D6C7753">
            <w:pPr>
              <w:pStyle w:val="28"/>
              <w:bidi w:val="0"/>
            </w:pPr>
            <w:r>
              <w:t>0.4</w:t>
            </w:r>
          </w:p>
        </w:tc>
        <w:tc>
          <w:tcPr>
            <w:tcW w:w="209" w:type="pct"/>
            <w:vAlign w:val="center"/>
          </w:tcPr>
          <w:p w14:paraId="4588DC23">
            <w:pPr>
              <w:pStyle w:val="28"/>
              <w:bidi w:val="0"/>
            </w:pPr>
            <w:r>
              <w:t>达标</w:t>
            </w:r>
          </w:p>
        </w:tc>
      </w:tr>
      <w:tr w14:paraId="36D60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5DEBCD4">
            <w:pPr>
              <w:pStyle w:val="28"/>
              <w:bidi w:val="0"/>
            </w:pPr>
            <w:r>
              <w:rPr>
                <w:rFonts w:hint="eastAsia"/>
              </w:rPr>
              <w:t>黄大庄村</w:t>
            </w:r>
          </w:p>
        </w:tc>
        <w:tc>
          <w:tcPr>
            <w:tcW w:w="511" w:type="pct"/>
            <w:vAlign w:val="center"/>
          </w:tcPr>
          <w:p w14:paraId="49607FDD">
            <w:pPr>
              <w:pStyle w:val="28"/>
              <w:bidi w:val="0"/>
            </w:pPr>
            <w:r>
              <w:rPr>
                <w:rFonts w:hint="eastAsia"/>
              </w:rPr>
              <w:t>放水涵重建</w:t>
            </w:r>
          </w:p>
        </w:tc>
        <w:tc>
          <w:tcPr>
            <w:tcW w:w="366" w:type="pct"/>
            <w:vAlign w:val="center"/>
          </w:tcPr>
          <w:p w14:paraId="6061B0BB">
            <w:pPr>
              <w:pStyle w:val="28"/>
              <w:bidi w:val="0"/>
            </w:pPr>
            <w:r>
              <w:t>210</w:t>
            </w:r>
          </w:p>
        </w:tc>
        <w:tc>
          <w:tcPr>
            <w:tcW w:w="268" w:type="pct"/>
            <w:vAlign w:val="center"/>
          </w:tcPr>
          <w:p w14:paraId="0E010C52">
            <w:pPr>
              <w:pStyle w:val="28"/>
              <w:bidi w:val="0"/>
            </w:pPr>
            <w:r>
              <w:rPr>
                <w:rFonts w:hint="eastAsia"/>
              </w:rPr>
              <w:t>右岸</w:t>
            </w:r>
          </w:p>
        </w:tc>
        <w:tc>
          <w:tcPr>
            <w:tcW w:w="262" w:type="pct"/>
            <w:vMerge w:val="continue"/>
            <w:vAlign w:val="center"/>
          </w:tcPr>
          <w:p w14:paraId="716B83EB">
            <w:pPr>
              <w:pStyle w:val="28"/>
              <w:bidi w:val="0"/>
            </w:pPr>
          </w:p>
        </w:tc>
        <w:tc>
          <w:tcPr>
            <w:tcW w:w="809" w:type="pct"/>
            <w:vMerge w:val="continue"/>
            <w:vAlign w:val="center"/>
          </w:tcPr>
          <w:p w14:paraId="23F39575">
            <w:pPr>
              <w:pStyle w:val="28"/>
              <w:bidi w:val="0"/>
            </w:pPr>
          </w:p>
        </w:tc>
        <w:tc>
          <w:tcPr>
            <w:tcW w:w="208" w:type="pct"/>
            <w:vAlign w:val="center"/>
          </w:tcPr>
          <w:p w14:paraId="403F7761">
            <w:pPr>
              <w:pStyle w:val="28"/>
              <w:bidi w:val="0"/>
            </w:pPr>
            <w:r>
              <w:t>52.3</w:t>
            </w:r>
          </w:p>
        </w:tc>
        <w:tc>
          <w:tcPr>
            <w:tcW w:w="211" w:type="pct"/>
            <w:vAlign w:val="center"/>
          </w:tcPr>
          <w:p w14:paraId="15A07D3A">
            <w:pPr>
              <w:pStyle w:val="28"/>
              <w:bidi w:val="0"/>
            </w:pPr>
            <w:r>
              <w:t>40.6</w:t>
            </w:r>
          </w:p>
        </w:tc>
        <w:tc>
          <w:tcPr>
            <w:tcW w:w="208" w:type="pct"/>
            <w:vAlign w:val="center"/>
          </w:tcPr>
          <w:p w14:paraId="023EA677">
            <w:pPr>
              <w:pStyle w:val="28"/>
              <w:bidi w:val="0"/>
            </w:pPr>
            <w:r>
              <w:t>55</w:t>
            </w:r>
          </w:p>
        </w:tc>
        <w:tc>
          <w:tcPr>
            <w:tcW w:w="211" w:type="pct"/>
            <w:vAlign w:val="center"/>
          </w:tcPr>
          <w:p w14:paraId="5226C4E6">
            <w:pPr>
              <w:pStyle w:val="28"/>
              <w:bidi w:val="0"/>
            </w:pPr>
            <w:r>
              <w:t>45</w:t>
            </w:r>
          </w:p>
        </w:tc>
        <w:tc>
          <w:tcPr>
            <w:tcW w:w="276" w:type="pct"/>
            <w:vAlign w:val="center"/>
          </w:tcPr>
          <w:p w14:paraId="48E3D85D">
            <w:pPr>
              <w:pStyle w:val="28"/>
              <w:bidi w:val="0"/>
            </w:pPr>
            <w:r>
              <w:t>46.8</w:t>
            </w:r>
          </w:p>
        </w:tc>
        <w:tc>
          <w:tcPr>
            <w:tcW w:w="257" w:type="pct"/>
            <w:vAlign w:val="center"/>
          </w:tcPr>
          <w:p w14:paraId="4D466C47">
            <w:pPr>
              <w:pStyle w:val="28"/>
              <w:bidi w:val="0"/>
            </w:pPr>
            <w:r>
              <w:t>39.8</w:t>
            </w:r>
          </w:p>
        </w:tc>
        <w:tc>
          <w:tcPr>
            <w:tcW w:w="257" w:type="pct"/>
            <w:vAlign w:val="center"/>
          </w:tcPr>
          <w:p w14:paraId="22C53933">
            <w:pPr>
              <w:pStyle w:val="28"/>
              <w:bidi w:val="0"/>
            </w:pPr>
            <w:r>
              <w:t>52.5</w:t>
            </w:r>
          </w:p>
        </w:tc>
        <w:tc>
          <w:tcPr>
            <w:tcW w:w="257" w:type="pct"/>
            <w:vAlign w:val="center"/>
          </w:tcPr>
          <w:p w14:paraId="6618855A">
            <w:pPr>
              <w:pStyle w:val="28"/>
              <w:bidi w:val="0"/>
            </w:pPr>
            <w:r>
              <w:t>0.2</w:t>
            </w:r>
          </w:p>
        </w:tc>
        <w:tc>
          <w:tcPr>
            <w:tcW w:w="209" w:type="pct"/>
            <w:vAlign w:val="center"/>
          </w:tcPr>
          <w:p w14:paraId="357C61BB">
            <w:pPr>
              <w:pStyle w:val="28"/>
              <w:bidi w:val="0"/>
            </w:pPr>
            <w:r>
              <w:t>达标</w:t>
            </w:r>
          </w:p>
        </w:tc>
      </w:tr>
      <w:tr w14:paraId="4A828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3C0A58B">
            <w:pPr>
              <w:pStyle w:val="28"/>
              <w:bidi w:val="0"/>
            </w:pPr>
            <w:r>
              <w:rPr>
                <w:rFonts w:hint="eastAsia"/>
              </w:rPr>
              <w:t>古堆庄</w:t>
            </w:r>
          </w:p>
        </w:tc>
        <w:tc>
          <w:tcPr>
            <w:tcW w:w="511" w:type="pct"/>
            <w:vAlign w:val="center"/>
          </w:tcPr>
          <w:p w14:paraId="044D5A5F">
            <w:pPr>
              <w:pStyle w:val="28"/>
              <w:bidi w:val="0"/>
            </w:pPr>
            <w:r>
              <w:rPr>
                <w:rFonts w:hint="eastAsia"/>
              </w:rPr>
              <w:t>渠道清淤</w:t>
            </w:r>
          </w:p>
        </w:tc>
        <w:tc>
          <w:tcPr>
            <w:tcW w:w="366" w:type="pct"/>
            <w:vAlign w:val="center"/>
          </w:tcPr>
          <w:p w14:paraId="311329F3">
            <w:pPr>
              <w:pStyle w:val="28"/>
              <w:bidi w:val="0"/>
            </w:pPr>
            <w:r>
              <w:t>20</w:t>
            </w:r>
          </w:p>
        </w:tc>
        <w:tc>
          <w:tcPr>
            <w:tcW w:w="268" w:type="pct"/>
            <w:vAlign w:val="center"/>
          </w:tcPr>
          <w:p w14:paraId="57EE8DA9">
            <w:pPr>
              <w:pStyle w:val="28"/>
              <w:bidi w:val="0"/>
            </w:pPr>
            <w:r>
              <w:rPr>
                <w:rFonts w:hint="eastAsia"/>
              </w:rPr>
              <w:t>左右岸</w:t>
            </w:r>
          </w:p>
        </w:tc>
        <w:tc>
          <w:tcPr>
            <w:tcW w:w="262" w:type="pct"/>
            <w:vAlign w:val="center"/>
          </w:tcPr>
          <w:p w14:paraId="6C8B2AF7">
            <w:pPr>
              <w:pStyle w:val="28"/>
              <w:bidi w:val="0"/>
            </w:pPr>
            <w:r>
              <w:t>1</w:t>
            </w:r>
            <w:r>
              <w:rPr>
                <w:rFonts w:hint="eastAsia"/>
              </w:rPr>
              <w:t>类</w:t>
            </w:r>
          </w:p>
        </w:tc>
        <w:tc>
          <w:tcPr>
            <w:tcW w:w="809" w:type="pct"/>
            <w:vAlign w:val="center"/>
          </w:tcPr>
          <w:p w14:paraId="05176619">
            <w:pPr>
              <w:pStyle w:val="28"/>
              <w:bidi w:val="0"/>
            </w:pPr>
            <w:r>
              <w:rPr>
                <w:rFonts w:hint="eastAsia"/>
              </w:rPr>
              <w:t>采用低噪声设备，施工机械远离居民住宅，设置双层移动声屏障</w:t>
            </w:r>
          </w:p>
        </w:tc>
        <w:tc>
          <w:tcPr>
            <w:tcW w:w="208" w:type="pct"/>
            <w:vAlign w:val="center"/>
          </w:tcPr>
          <w:p w14:paraId="0923F5A0">
            <w:pPr>
              <w:pStyle w:val="28"/>
              <w:bidi w:val="0"/>
            </w:pPr>
            <w:r>
              <w:t>52.3</w:t>
            </w:r>
          </w:p>
        </w:tc>
        <w:tc>
          <w:tcPr>
            <w:tcW w:w="211" w:type="pct"/>
            <w:vAlign w:val="center"/>
          </w:tcPr>
          <w:p w14:paraId="5536E45C">
            <w:pPr>
              <w:pStyle w:val="28"/>
              <w:bidi w:val="0"/>
            </w:pPr>
            <w:r>
              <w:t>40.6</w:t>
            </w:r>
          </w:p>
        </w:tc>
        <w:tc>
          <w:tcPr>
            <w:tcW w:w="208" w:type="pct"/>
            <w:vAlign w:val="center"/>
          </w:tcPr>
          <w:p w14:paraId="3B4DE04E">
            <w:pPr>
              <w:pStyle w:val="28"/>
              <w:bidi w:val="0"/>
            </w:pPr>
            <w:r>
              <w:t>55</w:t>
            </w:r>
          </w:p>
        </w:tc>
        <w:tc>
          <w:tcPr>
            <w:tcW w:w="211" w:type="pct"/>
            <w:vAlign w:val="center"/>
          </w:tcPr>
          <w:p w14:paraId="2E1D0B51">
            <w:pPr>
              <w:pStyle w:val="28"/>
              <w:bidi w:val="0"/>
            </w:pPr>
            <w:r>
              <w:t>45</w:t>
            </w:r>
          </w:p>
        </w:tc>
        <w:tc>
          <w:tcPr>
            <w:tcW w:w="276" w:type="pct"/>
            <w:vAlign w:val="center"/>
          </w:tcPr>
          <w:p w14:paraId="60F7A0A9">
            <w:pPr>
              <w:pStyle w:val="28"/>
              <w:bidi w:val="0"/>
            </w:pPr>
            <w:r>
              <w:t>64.2</w:t>
            </w:r>
          </w:p>
        </w:tc>
        <w:tc>
          <w:tcPr>
            <w:tcW w:w="257" w:type="pct"/>
            <w:vAlign w:val="center"/>
          </w:tcPr>
          <w:p w14:paraId="37FB654D">
            <w:pPr>
              <w:pStyle w:val="28"/>
              <w:bidi w:val="0"/>
            </w:pPr>
            <w:r>
              <w:t>44.2</w:t>
            </w:r>
          </w:p>
        </w:tc>
        <w:tc>
          <w:tcPr>
            <w:tcW w:w="257" w:type="pct"/>
            <w:vAlign w:val="center"/>
          </w:tcPr>
          <w:p w14:paraId="605B51E1">
            <w:pPr>
              <w:pStyle w:val="28"/>
              <w:bidi w:val="0"/>
            </w:pPr>
            <w:r>
              <w:t>52.9</w:t>
            </w:r>
          </w:p>
        </w:tc>
        <w:tc>
          <w:tcPr>
            <w:tcW w:w="257" w:type="pct"/>
            <w:vAlign w:val="center"/>
          </w:tcPr>
          <w:p w14:paraId="40795474">
            <w:pPr>
              <w:pStyle w:val="28"/>
              <w:bidi w:val="0"/>
            </w:pPr>
            <w:r>
              <w:t>0.6</w:t>
            </w:r>
          </w:p>
        </w:tc>
        <w:tc>
          <w:tcPr>
            <w:tcW w:w="209" w:type="pct"/>
            <w:vAlign w:val="center"/>
          </w:tcPr>
          <w:p w14:paraId="74FF2362">
            <w:pPr>
              <w:pStyle w:val="28"/>
              <w:bidi w:val="0"/>
            </w:pPr>
            <w:r>
              <w:t>达标</w:t>
            </w:r>
          </w:p>
        </w:tc>
      </w:tr>
      <w:tr w14:paraId="6C557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5BE529F">
            <w:pPr>
              <w:pStyle w:val="28"/>
              <w:bidi w:val="0"/>
            </w:pPr>
            <w:r>
              <w:rPr>
                <w:rFonts w:hint="eastAsia"/>
              </w:rPr>
              <w:t>枣树队</w:t>
            </w:r>
          </w:p>
        </w:tc>
        <w:tc>
          <w:tcPr>
            <w:tcW w:w="511" w:type="pct"/>
            <w:vAlign w:val="center"/>
          </w:tcPr>
          <w:p w14:paraId="7538671C">
            <w:pPr>
              <w:pStyle w:val="28"/>
              <w:bidi w:val="0"/>
            </w:pPr>
            <w:r>
              <w:rPr>
                <w:rFonts w:hint="eastAsia"/>
              </w:rPr>
              <w:t>渠道清淤</w:t>
            </w:r>
          </w:p>
        </w:tc>
        <w:tc>
          <w:tcPr>
            <w:tcW w:w="366" w:type="pct"/>
            <w:vAlign w:val="center"/>
          </w:tcPr>
          <w:p w14:paraId="0F4E9DC1">
            <w:pPr>
              <w:pStyle w:val="28"/>
              <w:bidi w:val="0"/>
            </w:pPr>
            <w:r>
              <w:t>55</w:t>
            </w:r>
          </w:p>
        </w:tc>
        <w:tc>
          <w:tcPr>
            <w:tcW w:w="268" w:type="pct"/>
            <w:vAlign w:val="center"/>
          </w:tcPr>
          <w:p w14:paraId="4E107C23">
            <w:pPr>
              <w:pStyle w:val="28"/>
              <w:bidi w:val="0"/>
            </w:pPr>
            <w:r>
              <w:rPr>
                <w:rFonts w:hint="eastAsia"/>
              </w:rPr>
              <w:t>左右岸</w:t>
            </w:r>
          </w:p>
        </w:tc>
        <w:tc>
          <w:tcPr>
            <w:tcW w:w="262" w:type="pct"/>
            <w:vAlign w:val="center"/>
          </w:tcPr>
          <w:p w14:paraId="0ACBF4DC">
            <w:pPr>
              <w:pStyle w:val="28"/>
              <w:bidi w:val="0"/>
            </w:pPr>
            <w:r>
              <w:t>1</w:t>
            </w:r>
            <w:r>
              <w:rPr>
                <w:rFonts w:hint="eastAsia"/>
              </w:rPr>
              <w:t>类</w:t>
            </w:r>
          </w:p>
        </w:tc>
        <w:tc>
          <w:tcPr>
            <w:tcW w:w="809" w:type="pct"/>
            <w:vMerge w:val="restart"/>
            <w:vAlign w:val="center"/>
          </w:tcPr>
          <w:p w14:paraId="4B2CF635">
            <w:pPr>
              <w:pStyle w:val="28"/>
              <w:bidi w:val="0"/>
            </w:pPr>
            <w:r>
              <w:rPr>
                <w:rFonts w:hint="eastAsia"/>
              </w:rPr>
              <w:t>采用低噪声设备，施工机械远离居民住宅</w:t>
            </w:r>
          </w:p>
        </w:tc>
        <w:tc>
          <w:tcPr>
            <w:tcW w:w="208" w:type="pct"/>
            <w:vAlign w:val="center"/>
          </w:tcPr>
          <w:p w14:paraId="2F955037">
            <w:pPr>
              <w:pStyle w:val="28"/>
              <w:bidi w:val="0"/>
            </w:pPr>
            <w:r>
              <w:t>52.3</w:t>
            </w:r>
          </w:p>
        </w:tc>
        <w:tc>
          <w:tcPr>
            <w:tcW w:w="211" w:type="pct"/>
            <w:vAlign w:val="center"/>
          </w:tcPr>
          <w:p w14:paraId="2A62B20B">
            <w:pPr>
              <w:pStyle w:val="28"/>
              <w:bidi w:val="0"/>
            </w:pPr>
            <w:r>
              <w:t>40.6</w:t>
            </w:r>
          </w:p>
        </w:tc>
        <w:tc>
          <w:tcPr>
            <w:tcW w:w="208" w:type="pct"/>
            <w:vAlign w:val="center"/>
          </w:tcPr>
          <w:p w14:paraId="79B10499">
            <w:pPr>
              <w:pStyle w:val="28"/>
              <w:bidi w:val="0"/>
            </w:pPr>
            <w:r>
              <w:t>55</w:t>
            </w:r>
          </w:p>
        </w:tc>
        <w:tc>
          <w:tcPr>
            <w:tcW w:w="211" w:type="pct"/>
            <w:vAlign w:val="center"/>
          </w:tcPr>
          <w:p w14:paraId="5673E0CA">
            <w:pPr>
              <w:pStyle w:val="28"/>
              <w:bidi w:val="0"/>
            </w:pPr>
            <w:r>
              <w:t>45</w:t>
            </w:r>
          </w:p>
        </w:tc>
        <w:tc>
          <w:tcPr>
            <w:tcW w:w="276" w:type="pct"/>
            <w:vAlign w:val="center"/>
          </w:tcPr>
          <w:p w14:paraId="21620635">
            <w:pPr>
              <w:pStyle w:val="28"/>
              <w:bidi w:val="0"/>
            </w:pPr>
            <w:r>
              <w:t>55.4</w:t>
            </w:r>
          </w:p>
        </w:tc>
        <w:tc>
          <w:tcPr>
            <w:tcW w:w="257" w:type="pct"/>
            <w:vAlign w:val="center"/>
          </w:tcPr>
          <w:p w14:paraId="276F8FCE">
            <w:pPr>
              <w:pStyle w:val="28"/>
              <w:bidi w:val="0"/>
            </w:pPr>
            <w:r>
              <w:t>48.4</w:t>
            </w:r>
          </w:p>
        </w:tc>
        <w:tc>
          <w:tcPr>
            <w:tcW w:w="257" w:type="pct"/>
            <w:vAlign w:val="center"/>
          </w:tcPr>
          <w:p w14:paraId="5B786A3E">
            <w:pPr>
              <w:pStyle w:val="28"/>
              <w:bidi w:val="0"/>
            </w:pPr>
            <w:r>
              <w:t>53.8</w:t>
            </w:r>
          </w:p>
        </w:tc>
        <w:tc>
          <w:tcPr>
            <w:tcW w:w="257" w:type="pct"/>
            <w:vAlign w:val="center"/>
          </w:tcPr>
          <w:p w14:paraId="4C65A66C">
            <w:pPr>
              <w:pStyle w:val="28"/>
              <w:bidi w:val="0"/>
            </w:pPr>
            <w:r>
              <w:t>1.5</w:t>
            </w:r>
          </w:p>
        </w:tc>
        <w:tc>
          <w:tcPr>
            <w:tcW w:w="209" w:type="pct"/>
            <w:vAlign w:val="center"/>
          </w:tcPr>
          <w:p w14:paraId="46636DED">
            <w:pPr>
              <w:pStyle w:val="28"/>
              <w:bidi w:val="0"/>
            </w:pPr>
            <w:r>
              <w:t>达标</w:t>
            </w:r>
          </w:p>
        </w:tc>
      </w:tr>
      <w:tr w14:paraId="02E89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93207BC">
            <w:pPr>
              <w:pStyle w:val="28"/>
              <w:bidi w:val="0"/>
            </w:pPr>
            <w:r>
              <w:rPr>
                <w:rFonts w:hint="eastAsia"/>
              </w:rPr>
              <w:t>小圩子</w:t>
            </w:r>
          </w:p>
        </w:tc>
        <w:tc>
          <w:tcPr>
            <w:tcW w:w="511" w:type="pct"/>
            <w:vAlign w:val="center"/>
          </w:tcPr>
          <w:p w14:paraId="42DAE1FF">
            <w:pPr>
              <w:pStyle w:val="28"/>
              <w:bidi w:val="0"/>
            </w:pPr>
            <w:r>
              <w:rPr>
                <w:rFonts w:hint="eastAsia"/>
              </w:rPr>
              <w:t>放水涵重建</w:t>
            </w:r>
          </w:p>
        </w:tc>
        <w:tc>
          <w:tcPr>
            <w:tcW w:w="366" w:type="pct"/>
            <w:vAlign w:val="center"/>
          </w:tcPr>
          <w:p w14:paraId="4F37970F">
            <w:pPr>
              <w:pStyle w:val="28"/>
              <w:bidi w:val="0"/>
            </w:pPr>
            <w:r>
              <w:t>115</w:t>
            </w:r>
          </w:p>
        </w:tc>
        <w:tc>
          <w:tcPr>
            <w:tcW w:w="268" w:type="pct"/>
            <w:vAlign w:val="center"/>
          </w:tcPr>
          <w:p w14:paraId="111F0E77">
            <w:pPr>
              <w:pStyle w:val="28"/>
              <w:bidi w:val="0"/>
            </w:pPr>
            <w:r>
              <w:rPr>
                <w:rFonts w:hint="eastAsia"/>
              </w:rPr>
              <w:t>左右岸</w:t>
            </w:r>
          </w:p>
        </w:tc>
        <w:tc>
          <w:tcPr>
            <w:tcW w:w="262" w:type="pct"/>
            <w:vAlign w:val="center"/>
          </w:tcPr>
          <w:p w14:paraId="32027A60">
            <w:pPr>
              <w:pStyle w:val="28"/>
              <w:bidi w:val="0"/>
            </w:pPr>
            <w:r>
              <w:t>1</w:t>
            </w:r>
            <w:r>
              <w:rPr>
                <w:rFonts w:hint="eastAsia"/>
              </w:rPr>
              <w:t>类</w:t>
            </w:r>
          </w:p>
        </w:tc>
        <w:tc>
          <w:tcPr>
            <w:tcW w:w="809" w:type="pct"/>
            <w:vMerge w:val="continue"/>
            <w:vAlign w:val="center"/>
          </w:tcPr>
          <w:p w14:paraId="1E3010D5">
            <w:pPr>
              <w:pStyle w:val="28"/>
              <w:bidi w:val="0"/>
            </w:pPr>
          </w:p>
        </w:tc>
        <w:tc>
          <w:tcPr>
            <w:tcW w:w="208" w:type="pct"/>
            <w:vAlign w:val="center"/>
          </w:tcPr>
          <w:p w14:paraId="0269A474">
            <w:pPr>
              <w:pStyle w:val="28"/>
              <w:bidi w:val="0"/>
            </w:pPr>
            <w:r>
              <w:t>52.3</w:t>
            </w:r>
          </w:p>
        </w:tc>
        <w:tc>
          <w:tcPr>
            <w:tcW w:w="211" w:type="pct"/>
            <w:vAlign w:val="center"/>
          </w:tcPr>
          <w:p w14:paraId="151FA92A">
            <w:pPr>
              <w:pStyle w:val="28"/>
              <w:bidi w:val="0"/>
            </w:pPr>
            <w:r>
              <w:t>40.6</w:t>
            </w:r>
          </w:p>
        </w:tc>
        <w:tc>
          <w:tcPr>
            <w:tcW w:w="208" w:type="pct"/>
            <w:vAlign w:val="center"/>
          </w:tcPr>
          <w:p w14:paraId="608491E5">
            <w:pPr>
              <w:pStyle w:val="28"/>
              <w:bidi w:val="0"/>
            </w:pPr>
            <w:r>
              <w:t>55</w:t>
            </w:r>
          </w:p>
        </w:tc>
        <w:tc>
          <w:tcPr>
            <w:tcW w:w="211" w:type="pct"/>
            <w:vAlign w:val="center"/>
          </w:tcPr>
          <w:p w14:paraId="32760132">
            <w:pPr>
              <w:pStyle w:val="28"/>
              <w:bidi w:val="0"/>
            </w:pPr>
            <w:r>
              <w:t>45</w:t>
            </w:r>
          </w:p>
        </w:tc>
        <w:tc>
          <w:tcPr>
            <w:tcW w:w="276" w:type="pct"/>
            <w:vAlign w:val="center"/>
          </w:tcPr>
          <w:p w14:paraId="1AD19E7B">
            <w:pPr>
              <w:pStyle w:val="28"/>
              <w:bidi w:val="0"/>
            </w:pPr>
            <w:r>
              <w:t>52.0</w:t>
            </w:r>
          </w:p>
        </w:tc>
        <w:tc>
          <w:tcPr>
            <w:tcW w:w="257" w:type="pct"/>
            <w:vAlign w:val="center"/>
          </w:tcPr>
          <w:p w14:paraId="1C0EFB22">
            <w:pPr>
              <w:pStyle w:val="28"/>
              <w:bidi w:val="0"/>
            </w:pPr>
            <w:r>
              <w:t>45.0</w:t>
            </w:r>
          </w:p>
        </w:tc>
        <w:tc>
          <w:tcPr>
            <w:tcW w:w="257" w:type="pct"/>
            <w:vAlign w:val="center"/>
          </w:tcPr>
          <w:p w14:paraId="40BB3985">
            <w:pPr>
              <w:pStyle w:val="28"/>
              <w:bidi w:val="0"/>
            </w:pPr>
            <w:r>
              <w:t>53.0</w:t>
            </w:r>
          </w:p>
        </w:tc>
        <w:tc>
          <w:tcPr>
            <w:tcW w:w="257" w:type="pct"/>
            <w:vAlign w:val="center"/>
          </w:tcPr>
          <w:p w14:paraId="13B4E4CA">
            <w:pPr>
              <w:pStyle w:val="28"/>
              <w:bidi w:val="0"/>
            </w:pPr>
            <w:r>
              <w:t>0.7</w:t>
            </w:r>
          </w:p>
        </w:tc>
        <w:tc>
          <w:tcPr>
            <w:tcW w:w="209" w:type="pct"/>
            <w:vAlign w:val="center"/>
          </w:tcPr>
          <w:p w14:paraId="18CE5507">
            <w:pPr>
              <w:pStyle w:val="28"/>
              <w:bidi w:val="0"/>
            </w:pPr>
            <w:r>
              <w:t>达标</w:t>
            </w:r>
          </w:p>
        </w:tc>
      </w:tr>
      <w:tr w14:paraId="5C918A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8571E84">
            <w:pPr>
              <w:pStyle w:val="28"/>
              <w:bidi w:val="0"/>
            </w:pPr>
            <w:r>
              <w:rPr>
                <w:rFonts w:hint="eastAsia"/>
              </w:rPr>
              <w:t>后圩子</w:t>
            </w:r>
          </w:p>
        </w:tc>
        <w:tc>
          <w:tcPr>
            <w:tcW w:w="511" w:type="pct"/>
            <w:vAlign w:val="center"/>
          </w:tcPr>
          <w:p w14:paraId="2DAF6DD6">
            <w:pPr>
              <w:pStyle w:val="28"/>
              <w:bidi w:val="0"/>
            </w:pPr>
            <w:r>
              <w:rPr>
                <w:rFonts w:hint="eastAsia"/>
              </w:rPr>
              <w:t>放水涵重建</w:t>
            </w:r>
          </w:p>
        </w:tc>
        <w:tc>
          <w:tcPr>
            <w:tcW w:w="366" w:type="pct"/>
            <w:vAlign w:val="center"/>
          </w:tcPr>
          <w:p w14:paraId="414A7E27">
            <w:pPr>
              <w:pStyle w:val="28"/>
              <w:bidi w:val="0"/>
            </w:pPr>
            <w:r>
              <w:t>40</w:t>
            </w:r>
          </w:p>
        </w:tc>
        <w:tc>
          <w:tcPr>
            <w:tcW w:w="268" w:type="pct"/>
            <w:vAlign w:val="center"/>
          </w:tcPr>
          <w:p w14:paraId="1BE8E07A">
            <w:pPr>
              <w:pStyle w:val="28"/>
              <w:bidi w:val="0"/>
            </w:pPr>
            <w:r>
              <w:rPr>
                <w:rFonts w:hint="eastAsia"/>
              </w:rPr>
              <w:t>左右岸</w:t>
            </w:r>
          </w:p>
        </w:tc>
        <w:tc>
          <w:tcPr>
            <w:tcW w:w="262" w:type="pct"/>
            <w:vAlign w:val="center"/>
          </w:tcPr>
          <w:p w14:paraId="40EC38EC">
            <w:pPr>
              <w:pStyle w:val="28"/>
              <w:bidi w:val="0"/>
            </w:pPr>
            <w:r>
              <w:t>1</w:t>
            </w:r>
            <w:r>
              <w:rPr>
                <w:rFonts w:hint="eastAsia"/>
              </w:rPr>
              <w:t>类</w:t>
            </w:r>
          </w:p>
        </w:tc>
        <w:tc>
          <w:tcPr>
            <w:tcW w:w="809" w:type="pct"/>
            <w:vMerge w:val="restart"/>
            <w:vAlign w:val="center"/>
          </w:tcPr>
          <w:p w14:paraId="1E606672">
            <w:pPr>
              <w:pStyle w:val="28"/>
              <w:bidi w:val="0"/>
            </w:pPr>
            <w:r>
              <w:rPr>
                <w:rFonts w:hint="eastAsia"/>
              </w:rPr>
              <w:t>采用低噪声设备，施工机械远离居民住宅，设置双层移动声屏障</w:t>
            </w:r>
          </w:p>
        </w:tc>
        <w:tc>
          <w:tcPr>
            <w:tcW w:w="208" w:type="pct"/>
            <w:vAlign w:val="center"/>
          </w:tcPr>
          <w:p w14:paraId="30F79032">
            <w:pPr>
              <w:pStyle w:val="28"/>
              <w:bidi w:val="0"/>
            </w:pPr>
            <w:r>
              <w:t>52.3</w:t>
            </w:r>
          </w:p>
        </w:tc>
        <w:tc>
          <w:tcPr>
            <w:tcW w:w="211" w:type="pct"/>
            <w:vAlign w:val="center"/>
          </w:tcPr>
          <w:p w14:paraId="7419BC95">
            <w:pPr>
              <w:pStyle w:val="28"/>
              <w:bidi w:val="0"/>
            </w:pPr>
            <w:r>
              <w:t>40.6</w:t>
            </w:r>
          </w:p>
        </w:tc>
        <w:tc>
          <w:tcPr>
            <w:tcW w:w="208" w:type="pct"/>
            <w:vAlign w:val="center"/>
          </w:tcPr>
          <w:p w14:paraId="7D9E647B">
            <w:pPr>
              <w:pStyle w:val="28"/>
              <w:bidi w:val="0"/>
            </w:pPr>
            <w:r>
              <w:t>55</w:t>
            </w:r>
          </w:p>
        </w:tc>
        <w:tc>
          <w:tcPr>
            <w:tcW w:w="211" w:type="pct"/>
            <w:vAlign w:val="center"/>
          </w:tcPr>
          <w:p w14:paraId="4DAB3111">
            <w:pPr>
              <w:pStyle w:val="28"/>
              <w:bidi w:val="0"/>
            </w:pPr>
            <w:r>
              <w:t>45</w:t>
            </w:r>
          </w:p>
        </w:tc>
        <w:tc>
          <w:tcPr>
            <w:tcW w:w="276" w:type="pct"/>
            <w:vAlign w:val="center"/>
          </w:tcPr>
          <w:p w14:paraId="647A25D6">
            <w:pPr>
              <w:pStyle w:val="28"/>
              <w:bidi w:val="0"/>
            </w:pPr>
            <w:r>
              <w:t>61.2</w:t>
            </w:r>
          </w:p>
        </w:tc>
        <w:tc>
          <w:tcPr>
            <w:tcW w:w="257" w:type="pct"/>
            <w:vAlign w:val="center"/>
          </w:tcPr>
          <w:p w14:paraId="469DA601">
            <w:pPr>
              <w:pStyle w:val="28"/>
              <w:bidi w:val="0"/>
            </w:pPr>
            <w:r>
              <w:t>41.2</w:t>
            </w:r>
          </w:p>
        </w:tc>
        <w:tc>
          <w:tcPr>
            <w:tcW w:w="257" w:type="pct"/>
            <w:vAlign w:val="center"/>
          </w:tcPr>
          <w:p w14:paraId="5402BC70">
            <w:pPr>
              <w:pStyle w:val="28"/>
              <w:bidi w:val="0"/>
            </w:pPr>
            <w:r>
              <w:t>52.6</w:t>
            </w:r>
          </w:p>
        </w:tc>
        <w:tc>
          <w:tcPr>
            <w:tcW w:w="257" w:type="pct"/>
            <w:vAlign w:val="center"/>
          </w:tcPr>
          <w:p w14:paraId="0A751543">
            <w:pPr>
              <w:pStyle w:val="28"/>
              <w:bidi w:val="0"/>
            </w:pPr>
            <w:r>
              <w:t>0.3</w:t>
            </w:r>
          </w:p>
        </w:tc>
        <w:tc>
          <w:tcPr>
            <w:tcW w:w="209" w:type="pct"/>
            <w:vAlign w:val="center"/>
          </w:tcPr>
          <w:p w14:paraId="1FD92233">
            <w:pPr>
              <w:pStyle w:val="28"/>
              <w:bidi w:val="0"/>
            </w:pPr>
            <w:r>
              <w:t>达标</w:t>
            </w:r>
          </w:p>
        </w:tc>
      </w:tr>
      <w:tr w14:paraId="45B73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6F92BDC">
            <w:pPr>
              <w:pStyle w:val="28"/>
              <w:bidi w:val="0"/>
            </w:pPr>
            <w:r>
              <w:rPr>
                <w:rFonts w:hint="eastAsia"/>
              </w:rPr>
              <w:t>马庙</w:t>
            </w:r>
          </w:p>
        </w:tc>
        <w:tc>
          <w:tcPr>
            <w:tcW w:w="511" w:type="pct"/>
            <w:vAlign w:val="center"/>
          </w:tcPr>
          <w:p w14:paraId="19787C0A">
            <w:pPr>
              <w:pStyle w:val="28"/>
              <w:bidi w:val="0"/>
            </w:pPr>
            <w:r>
              <w:rPr>
                <w:rFonts w:hint="eastAsia"/>
              </w:rPr>
              <w:t>渠道护砌</w:t>
            </w:r>
          </w:p>
        </w:tc>
        <w:tc>
          <w:tcPr>
            <w:tcW w:w="366" w:type="pct"/>
            <w:vAlign w:val="center"/>
          </w:tcPr>
          <w:p w14:paraId="144F9CC0">
            <w:pPr>
              <w:pStyle w:val="28"/>
              <w:bidi w:val="0"/>
            </w:pPr>
            <w:r>
              <w:t>30</w:t>
            </w:r>
          </w:p>
        </w:tc>
        <w:tc>
          <w:tcPr>
            <w:tcW w:w="268" w:type="pct"/>
            <w:vAlign w:val="center"/>
          </w:tcPr>
          <w:p w14:paraId="3B59CB5B">
            <w:pPr>
              <w:pStyle w:val="28"/>
              <w:bidi w:val="0"/>
            </w:pPr>
            <w:r>
              <w:rPr>
                <w:rFonts w:hint="eastAsia"/>
              </w:rPr>
              <w:t>左右岸</w:t>
            </w:r>
          </w:p>
        </w:tc>
        <w:tc>
          <w:tcPr>
            <w:tcW w:w="262" w:type="pct"/>
            <w:vAlign w:val="center"/>
          </w:tcPr>
          <w:p w14:paraId="70CDC2CB">
            <w:pPr>
              <w:pStyle w:val="28"/>
              <w:bidi w:val="0"/>
            </w:pPr>
            <w:r>
              <w:t>1</w:t>
            </w:r>
            <w:r>
              <w:rPr>
                <w:rFonts w:hint="eastAsia"/>
              </w:rPr>
              <w:t>类</w:t>
            </w:r>
          </w:p>
        </w:tc>
        <w:tc>
          <w:tcPr>
            <w:tcW w:w="809" w:type="pct"/>
            <w:vMerge w:val="continue"/>
            <w:vAlign w:val="center"/>
          </w:tcPr>
          <w:p w14:paraId="6CBA0872">
            <w:pPr>
              <w:pStyle w:val="28"/>
              <w:bidi w:val="0"/>
            </w:pPr>
          </w:p>
        </w:tc>
        <w:tc>
          <w:tcPr>
            <w:tcW w:w="208" w:type="pct"/>
            <w:vAlign w:val="center"/>
          </w:tcPr>
          <w:p w14:paraId="3B82DAAE">
            <w:pPr>
              <w:pStyle w:val="28"/>
              <w:bidi w:val="0"/>
            </w:pPr>
            <w:r>
              <w:t>52.3</w:t>
            </w:r>
          </w:p>
        </w:tc>
        <w:tc>
          <w:tcPr>
            <w:tcW w:w="211" w:type="pct"/>
            <w:vAlign w:val="center"/>
          </w:tcPr>
          <w:p w14:paraId="5C0CCFB0">
            <w:pPr>
              <w:pStyle w:val="28"/>
              <w:bidi w:val="0"/>
            </w:pPr>
            <w:r>
              <w:t>40.6</w:t>
            </w:r>
          </w:p>
        </w:tc>
        <w:tc>
          <w:tcPr>
            <w:tcW w:w="208" w:type="pct"/>
            <w:vAlign w:val="center"/>
          </w:tcPr>
          <w:p w14:paraId="452E744C">
            <w:pPr>
              <w:pStyle w:val="28"/>
              <w:bidi w:val="0"/>
            </w:pPr>
            <w:r>
              <w:t>55</w:t>
            </w:r>
          </w:p>
        </w:tc>
        <w:tc>
          <w:tcPr>
            <w:tcW w:w="211" w:type="pct"/>
            <w:vAlign w:val="center"/>
          </w:tcPr>
          <w:p w14:paraId="2099839A">
            <w:pPr>
              <w:pStyle w:val="28"/>
              <w:bidi w:val="0"/>
            </w:pPr>
            <w:r>
              <w:t>45</w:t>
            </w:r>
          </w:p>
        </w:tc>
        <w:tc>
          <w:tcPr>
            <w:tcW w:w="276" w:type="pct"/>
            <w:vAlign w:val="center"/>
          </w:tcPr>
          <w:p w14:paraId="0ED165F0">
            <w:pPr>
              <w:pStyle w:val="28"/>
              <w:bidi w:val="0"/>
            </w:pPr>
            <w:r>
              <w:t>62.3</w:t>
            </w:r>
          </w:p>
        </w:tc>
        <w:tc>
          <w:tcPr>
            <w:tcW w:w="257" w:type="pct"/>
            <w:vAlign w:val="center"/>
          </w:tcPr>
          <w:p w14:paraId="3695A145">
            <w:pPr>
              <w:pStyle w:val="28"/>
              <w:bidi w:val="0"/>
            </w:pPr>
            <w:r>
              <w:t>42.3</w:t>
            </w:r>
          </w:p>
        </w:tc>
        <w:tc>
          <w:tcPr>
            <w:tcW w:w="257" w:type="pct"/>
            <w:vAlign w:val="center"/>
          </w:tcPr>
          <w:p w14:paraId="129137AF">
            <w:pPr>
              <w:pStyle w:val="28"/>
              <w:bidi w:val="0"/>
            </w:pPr>
            <w:r>
              <w:t>52.7</w:t>
            </w:r>
          </w:p>
        </w:tc>
        <w:tc>
          <w:tcPr>
            <w:tcW w:w="257" w:type="pct"/>
            <w:vAlign w:val="center"/>
          </w:tcPr>
          <w:p w14:paraId="39D33DE0">
            <w:pPr>
              <w:pStyle w:val="28"/>
              <w:bidi w:val="0"/>
            </w:pPr>
            <w:r>
              <w:t>0.4</w:t>
            </w:r>
          </w:p>
        </w:tc>
        <w:tc>
          <w:tcPr>
            <w:tcW w:w="209" w:type="pct"/>
            <w:vAlign w:val="center"/>
          </w:tcPr>
          <w:p w14:paraId="10752164">
            <w:pPr>
              <w:pStyle w:val="28"/>
              <w:bidi w:val="0"/>
            </w:pPr>
            <w:r>
              <w:t>达标</w:t>
            </w:r>
          </w:p>
        </w:tc>
      </w:tr>
      <w:tr w14:paraId="7D8A3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B03E94F">
            <w:pPr>
              <w:pStyle w:val="28"/>
              <w:bidi w:val="0"/>
            </w:pPr>
            <w:r>
              <w:rPr>
                <w:rFonts w:hint="eastAsia"/>
              </w:rPr>
              <w:t>王老庄</w:t>
            </w:r>
          </w:p>
        </w:tc>
        <w:tc>
          <w:tcPr>
            <w:tcW w:w="511" w:type="pct"/>
            <w:vAlign w:val="center"/>
          </w:tcPr>
          <w:p w14:paraId="0D4CDCDE">
            <w:pPr>
              <w:pStyle w:val="28"/>
              <w:bidi w:val="0"/>
            </w:pPr>
            <w:r>
              <w:rPr>
                <w:rFonts w:hint="eastAsia"/>
              </w:rPr>
              <w:t>放水涵重建</w:t>
            </w:r>
          </w:p>
        </w:tc>
        <w:tc>
          <w:tcPr>
            <w:tcW w:w="366" w:type="pct"/>
            <w:vAlign w:val="center"/>
          </w:tcPr>
          <w:p w14:paraId="5297A272">
            <w:pPr>
              <w:pStyle w:val="28"/>
              <w:bidi w:val="0"/>
            </w:pPr>
            <w:r>
              <w:t>25</w:t>
            </w:r>
          </w:p>
        </w:tc>
        <w:tc>
          <w:tcPr>
            <w:tcW w:w="268" w:type="pct"/>
            <w:vAlign w:val="center"/>
          </w:tcPr>
          <w:p w14:paraId="1D580235">
            <w:pPr>
              <w:pStyle w:val="28"/>
              <w:bidi w:val="0"/>
            </w:pPr>
            <w:r>
              <w:rPr>
                <w:rFonts w:hint="eastAsia"/>
              </w:rPr>
              <w:t>右岸</w:t>
            </w:r>
          </w:p>
        </w:tc>
        <w:tc>
          <w:tcPr>
            <w:tcW w:w="262" w:type="pct"/>
            <w:vAlign w:val="center"/>
          </w:tcPr>
          <w:p w14:paraId="2F3D4C18">
            <w:pPr>
              <w:pStyle w:val="28"/>
              <w:bidi w:val="0"/>
            </w:pPr>
            <w:r>
              <w:t>1</w:t>
            </w:r>
            <w:r>
              <w:rPr>
                <w:rFonts w:hint="eastAsia"/>
              </w:rPr>
              <w:t>类</w:t>
            </w:r>
          </w:p>
        </w:tc>
        <w:tc>
          <w:tcPr>
            <w:tcW w:w="809" w:type="pct"/>
            <w:vMerge w:val="continue"/>
            <w:vAlign w:val="center"/>
          </w:tcPr>
          <w:p w14:paraId="2FDAA13C">
            <w:pPr>
              <w:pStyle w:val="28"/>
              <w:bidi w:val="0"/>
            </w:pPr>
          </w:p>
        </w:tc>
        <w:tc>
          <w:tcPr>
            <w:tcW w:w="208" w:type="pct"/>
            <w:vAlign w:val="center"/>
          </w:tcPr>
          <w:p w14:paraId="7F2A18E9">
            <w:pPr>
              <w:pStyle w:val="28"/>
              <w:bidi w:val="0"/>
            </w:pPr>
            <w:r>
              <w:t>52.3</w:t>
            </w:r>
          </w:p>
        </w:tc>
        <w:tc>
          <w:tcPr>
            <w:tcW w:w="211" w:type="pct"/>
            <w:vAlign w:val="center"/>
          </w:tcPr>
          <w:p w14:paraId="6C235E2F">
            <w:pPr>
              <w:pStyle w:val="28"/>
              <w:bidi w:val="0"/>
            </w:pPr>
            <w:r>
              <w:t>40.6</w:t>
            </w:r>
          </w:p>
        </w:tc>
        <w:tc>
          <w:tcPr>
            <w:tcW w:w="208" w:type="pct"/>
            <w:vAlign w:val="center"/>
          </w:tcPr>
          <w:p w14:paraId="5EC7D8B9">
            <w:pPr>
              <w:pStyle w:val="28"/>
              <w:bidi w:val="0"/>
            </w:pPr>
            <w:r>
              <w:t>55</w:t>
            </w:r>
          </w:p>
        </w:tc>
        <w:tc>
          <w:tcPr>
            <w:tcW w:w="211" w:type="pct"/>
            <w:vAlign w:val="center"/>
          </w:tcPr>
          <w:p w14:paraId="2C89E5B4">
            <w:pPr>
              <w:pStyle w:val="28"/>
              <w:bidi w:val="0"/>
            </w:pPr>
            <w:r>
              <w:t>45</w:t>
            </w:r>
          </w:p>
        </w:tc>
        <w:tc>
          <w:tcPr>
            <w:tcW w:w="276" w:type="pct"/>
            <w:vAlign w:val="center"/>
          </w:tcPr>
          <w:p w14:paraId="121E2D3C">
            <w:pPr>
              <w:pStyle w:val="28"/>
              <w:bidi w:val="0"/>
            </w:pPr>
            <w:r>
              <w:t>65.3</w:t>
            </w:r>
          </w:p>
        </w:tc>
        <w:tc>
          <w:tcPr>
            <w:tcW w:w="257" w:type="pct"/>
            <w:vAlign w:val="center"/>
          </w:tcPr>
          <w:p w14:paraId="77872104">
            <w:pPr>
              <w:pStyle w:val="28"/>
              <w:bidi w:val="0"/>
            </w:pPr>
            <w:r>
              <w:t>45.3</w:t>
            </w:r>
          </w:p>
        </w:tc>
        <w:tc>
          <w:tcPr>
            <w:tcW w:w="257" w:type="pct"/>
            <w:vAlign w:val="center"/>
          </w:tcPr>
          <w:p w14:paraId="30AA2916">
            <w:pPr>
              <w:pStyle w:val="28"/>
              <w:bidi w:val="0"/>
            </w:pPr>
            <w:r>
              <w:t>53.1</w:t>
            </w:r>
          </w:p>
        </w:tc>
        <w:tc>
          <w:tcPr>
            <w:tcW w:w="257" w:type="pct"/>
            <w:vAlign w:val="center"/>
          </w:tcPr>
          <w:p w14:paraId="42F1E86B">
            <w:pPr>
              <w:pStyle w:val="28"/>
              <w:bidi w:val="0"/>
            </w:pPr>
            <w:r>
              <w:t>0.8</w:t>
            </w:r>
          </w:p>
        </w:tc>
        <w:tc>
          <w:tcPr>
            <w:tcW w:w="209" w:type="pct"/>
            <w:vAlign w:val="center"/>
          </w:tcPr>
          <w:p w14:paraId="4384B20D">
            <w:pPr>
              <w:pStyle w:val="28"/>
              <w:bidi w:val="0"/>
            </w:pPr>
            <w:r>
              <w:t>达标</w:t>
            </w:r>
          </w:p>
        </w:tc>
      </w:tr>
      <w:tr w14:paraId="67154F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7CC9074">
            <w:pPr>
              <w:pStyle w:val="28"/>
              <w:bidi w:val="0"/>
            </w:pPr>
            <w:r>
              <w:rPr>
                <w:rFonts w:hint="eastAsia"/>
              </w:rPr>
              <w:t>学田</w:t>
            </w:r>
          </w:p>
        </w:tc>
        <w:tc>
          <w:tcPr>
            <w:tcW w:w="511" w:type="pct"/>
            <w:vAlign w:val="center"/>
          </w:tcPr>
          <w:p w14:paraId="24B5B575">
            <w:pPr>
              <w:pStyle w:val="28"/>
              <w:bidi w:val="0"/>
            </w:pPr>
            <w:r>
              <w:rPr>
                <w:rFonts w:hint="eastAsia"/>
              </w:rPr>
              <w:t>节制闸重建</w:t>
            </w:r>
          </w:p>
        </w:tc>
        <w:tc>
          <w:tcPr>
            <w:tcW w:w="366" w:type="pct"/>
            <w:vAlign w:val="center"/>
          </w:tcPr>
          <w:p w14:paraId="66193344">
            <w:pPr>
              <w:pStyle w:val="28"/>
              <w:bidi w:val="0"/>
            </w:pPr>
            <w:r>
              <w:t>60</w:t>
            </w:r>
          </w:p>
        </w:tc>
        <w:tc>
          <w:tcPr>
            <w:tcW w:w="268" w:type="pct"/>
            <w:vAlign w:val="center"/>
          </w:tcPr>
          <w:p w14:paraId="4BE0D38C">
            <w:pPr>
              <w:pStyle w:val="28"/>
              <w:bidi w:val="0"/>
            </w:pPr>
            <w:r>
              <w:rPr>
                <w:rFonts w:hint="eastAsia"/>
              </w:rPr>
              <w:t>右岸</w:t>
            </w:r>
          </w:p>
        </w:tc>
        <w:tc>
          <w:tcPr>
            <w:tcW w:w="262" w:type="pct"/>
            <w:vAlign w:val="center"/>
          </w:tcPr>
          <w:p w14:paraId="0B6C3078">
            <w:pPr>
              <w:pStyle w:val="28"/>
              <w:bidi w:val="0"/>
            </w:pPr>
            <w:r>
              <w:t>1</w:t>
            </w:r>
            <w:r>
              <w:rPr>
                <w:rFonts w:hint="eastAsia"/>
              </w:rPr>
              <w:t>类</w:t>
            </w:r>
          </w:p>
        </w:tc>
        <w:tc>
          <w:tcPr>
            <w:tcW w:w="809" w:type="pct"/>
            <w:vAlign w:val="center"/>
          </w:tcPr>
          <w:p w14:paraId="467F8C38">
            <w:pPr>
              <w:pStyle w:val="28"/>
              <w:bidi w:val="0"/>
            </w:pPr>
            <w:r>
              <w:rPr>
                <w:rFonts w:hint="eastAsia"/>
              </w:rPr>
              <w:t>采用低噪声设备，施工机械远离居民住宅</w:t>
            </w:r>
          </w:p>
        </w:tc>
        <w:tc>
          <w:tcPr>
            <w:tcW w:w="208" w:type="pct"/>
            <w:vAlign w:val="center"/>
          </w:tcPr>
          <w:p w14:paraId="4A4B7E4B">
            <w:pPr>
              <w:pStyle w:val="28"/>
              <w:bidi w:val="0"/>
            </w:pPr>
            <w:r>
              <w:t>52.3</w:t>
            </w:r>
          </w:p>
        </w:tc>
        <w:tc>
          <w:tcPr>
            <w:tcW w:w="211" w:type="pct"/>
            <w:vAlign w:val="center"/>
          </w:tcPr>
          <w:p w14:paraId="36673A87">
            <w:pPr>
              <w:pStyle w:val="28"/>
              <w:bidi w:val="0"/>
            </w:pPr>
            <w:r>
              <w:t>40.6</w:t>
            </w:r>
          </w:p>
        </w:tc>
        <w:tc>
          <w:tcPr>
            <w:tcW w:w="208" w:type="pct"/>
            <w:vAlign w:val="center"/>
          </w:tcPr>
          <w:p w14:paraId="244CD1D2">
            <w:pPr>
              <w:pStyle w:val="28"/>
              <w:bidi w:val="0"/>
            </w:pPr>
            <w:r>
              <w:t>55</w:t>
            </w:r>
          </w:p>
        </w:tc>
        <w:tc>
          <w:tcPr>
            <w:tcW w:w="211" w:type="pct"/>
            <w:vAlign w:val="center"/>
          </w:tcPr>
          <w:p w14:paraId="3C8E70C5">
            <w:pPr>
              <w:pStyle w:val="28"/>
              <w:bidi w:val="0"/>
            </w:pPr>
            <w:r>
              <w:t>45</w:t>
            </w:r>
          </w:p>
        </w:tc>
        <w:tc>
          <w:tcPr>
            <w:tcW w:w="276" w:type="pct"/>
            <w:vAlign w:val="center"/>
          </w:tcPr>
          <w:p w14:paraId="1FDB0E17">
            <w:pPr>
              <w:pStyle w:val="28"/>
              <w:bidi w:val="0"/>
            </w:pPr>
            <w:r>
              <w:t>57.6</w:t>
            </w:r>
          </w:p>
        </w:tc>
        <w:tc>
          <w:tcPr>
            <w:tcW w:w="257" w:type="pct"/>
            <w:vAlign w:val="center"/>
          </w:tcPr>
          <w:p w14:paraId="0BC04D68">
            <w:pPr>
              <w:pStyle w:val="28"/>
              <w:bidi w:val="0"/>
            </w:pPr>
            <w:r>
              <w:t>50.6</w:t>
            </w:r>
          </w:p>
        </w:tc>
        <w:tc>
          <w:tcPr>
            <w:tcW w:w="257" w:type="pct"/>
            <w:vAlign w:val="center"/>
          </w:tcPr>
          <w:p w14:paraId="1C6D8630">
            <w:pPr>
              <w:pStyle w:val="28"/>
              <w:bidi w:val="0"/>
            </w:pPr>
            <w:r>
              <w:t>54.6</w:t>
            </w:r>
          </w:p>
        </w:tc>
        <w:tc>
          <w:tcPr>
            <w:tcW w:w="257" w:type="pct"/>
            <w:vAlign w:val="center"/>
          </w:tcPr>
          <w:p w14:paraId="5990403C">
            <w:pPr>
              <w:pStyle w:val="28"/>
              <w:bidi w:val="0"/>
            </w:pPr>
            <w:r>
              <w:t>2.3</w:t>
            </w:r>
          </w:p>
        </w:tc>
        <w:tc>
          <w:tcPr>
            <w:tcW w:w="209" w:type="pct"/>
            <w:vAlign w:val="center"/>
          </w:tcPr>
          <w:p w14:paraId="03ECF55A">
            <w:pPr>
              <w:pStyle w:val="28"/>
              <w:bidi w:val="0"/>
            </w:pPr>
            <w:r>
              <w:t>达标</w:t>
            </w:r>
          </w:p>
        </w:tc>
      </w:tr>
      <w:tr w14:paraId="057B2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F2E2E9D">
            <w:pPr>
              <w:pStyle w:val="28"/>
              <w:bidi w:val="0"/>
            </w:pPr>
            <w:r>
              <w:rPr>
                <w:rFonts w:hint="eastAsia"/>
              </w:rPr>
              <w:t>跑马村</w:t>
            </w:r>
          </w:p>
        </w:tc>
        <w:tc>
          <w:tcPr>
            <w:tcW w:w="511" w:type="pct"/>
            <w:vAlign w:val="center"/>
          </w:tcPr>
          <w:p w14:paraId="4C48CA73">
            <w:pPr>
              <w:pStyle w:val="28"/>
              <w:bidi w:val="0"/>
            </w:pPr>
            <w:r>
              <w:rPr>
                <w:rFonts w:hint="eastAsia"/>
              </w:rPr>
              <w:t>渠道护砌</w:t>
            </w:r>
          </w:p>
        </w:tc>
        <w:tc>
          <w:tcPr>
            <w:tcW w:w="366" w:type="pct"/>
            <w:vAlign w:val="center"/>
          </w:tcPr>
          <w:p w14:paraId="5C3077FE">
            <w:pPr>
              <w:pStyle w:val="28"/>
              <w:bidi w:val="0"/>
            </w:pPr>
            <w:r>
              <w:t>25</w:t>
            </w:r>
          </w:p>
        </w:tc>
        <w:tc>
          <w:tcPr>
            <w:tcW w:w="268" w:type="pct"/>
            <w:vAlign w:val="center"/>
          </w:tcPr>
          <w:p w14:paraId="2A5205B5">
            <w:pPr>
              <w:pStyle w:val="28"/>
              <w:bidi w:val="0"/>
            </w:pPr>
            <w:r>
              <w:rPr>
                <w:rFonts w:hint="eastAsia"/>
              </w:rPr>
              <w:t>左岸</w:t>
            </w:r>
          </w:p>
        </w:tc>
        <w:tc>
          <w:tcPr>
            <w:tcW w:w="262" w:type="pct"/>
            <w:vAlign w:val="center"/>
          </w:tcPr>
          <w:p w14:paraId="3E5692B8">
            <w:pPr>
              <w:pStyle w:val="28"/>
              <w:bidi w:val="0"/>
            </w:pPr>
            <w:r>
              <w:t>1</w:t>
            </w:r>
            <w:r>
              <w:rPr>
                <w:rFonts w:hint="eastAsia"/>
              </w:rPr>
              <w:t>类</w:t>
            </w:r>
          </w:p>
        </w:tc>
        <w:tc>
          <w:tcPr>
            <w:tcW w:w="809" w:type="pct"/>
            <w:vAlign w:val="center"/>
          </w:tcPr>
          <w:p w14:paraId="7AF534DB">
            <w:pPr>
              <w:pStyle w:val="28"/>
              <w:bidi w:val="0"/>
            </w:pPr>
            <w:r>
              <w:rPr>
                <w:rFonts w:hint="eastAsia"/>
              </w:rPr>
              <w:t>采用低噪声设备，施工机械远离居民住宅，设置双层移动声屏障</w:t>
            </w:r>
          </w:p>
        </w:tc>
        <w:tc>
          <w:tcPr>
            <w:tcW w:w="208" w:type="pct"/>
            <w:vAlign w:val="center"/>
          </w:tcPr>
          <w:p w14:paraId="50039AB0">
            <w:pPr>
              <w:pStyle w:val="28"/>
              <w:bidi w:val="0"/>
            </w:pPr>
            <w:r>
              <w:t>52.3</w:t>
            </w:r>
          </w:p>
        </w:tc>
        <w:tc>
          <w:tcPr>
            <w:tcW w:w="211" w:type="pct"/>
            <w:vAlign w:val="center"/>
          </w:tcPr>
          <w:p w14:paraId="102F5BED">
            <w:pPr>
              <w:pStyle w:val="28"/>
              <w:bidi w:val="0"/>
            </w:pPr>
            <w:r>
              <w:t>40.6</w:t>
            </w:r>
          </w:p>
        </w:tc>
        <w:tc>
          <w:tcPr>
            <w:tcW w:w="208" w:type="pct"/>
            <w:vAlign w:val="center"/>
          </w:tcPr>
          <w:p w14:paraId="16708052">
            <w:pPr>
              <w:pStyle w:val="28"/>
              <w:bidi w:val="0"/>
            </w:pPr>
            <w:r>
              <w:t>55</w:t>
            </w:r>
          </w:p>
        </w:tc>
        <w:tc>
          <w:tcPr>
            <w:tcW w:w="211" w:type="pct"/>
            <w:vAlign w:val="center"/>
          </w:tcPr>
          <w:p w14:paraId="54D74865">
            <w:pPr>
              <w:pStyle w:val="28"/>
              <w:bidi w:val="0"/>
            </w:pPr>
            <w:r>
              <w:t>45</w:t>
            </w:r>
          </w:p>
        </w:tc>
        <w:tc>
          <w:tcPr>
            <w:tcW w:w="276" w:type="pct"/>
            <w:vAlign w:val="center"/>
          </w:tcPr>
          <w:p w14:paraId="76FA173E">
            <w:pPr>
              <w:pStyle w:val="28"/>
              <w:bidi w:val="0"/>
            </w:pPr>
            <w:r>
              <w:t>63.9</w:t>
            </w:r>
          </w:p>
        </w:tc>
        <w:tc>
          <w:tcPr>
            <w:tcW w:w="257" w:type="pct"/>
            <w:vAlign w:val="center"/>
          </w:tcPr>
          <w:p w14:paraId="24380E87">
            <w:pPr>
              <w:pStyle w:val="28"/>
              <w:bidi w:val="0"/>
            </w:pPr>
            <w:r>
              <w:t>43.9</w:t>
            </w:r>
          </w:p>
        </w:tc>
        <w:tc>
          <w:tcPr>
            <w:tcW w:w="257" w:type="pct"/>
            <w:vAlign w:val="center"/>
          </w:tcPr>
          <w:p w14:paraId="3C1DC125">
            <w:pPr>
              <w:pStyle w:val="28"/>
              <w:bidi w:val="0"/>
            </w:pPr>
            <w:r>
              <w:t>52.9</w:t>
            </w:r>
          </w:p>
        </w:tc>
        <w:tc>
          <w:tcPr>
            <w:tcW w:w="257" w:type="pct"/>
            <w:vAlign w:val="center"/>
          </w:tcPr>
          <w:p w14:paraId="76824CA3">
            <w:pPr>
              <w:pStyle w:val="28"/>
              <w:bidi w:val="0"/>
            </w:pPr>
            <w:r>
              <w:t>0.6</w:t>
            </w:r>
          </w:p>
        </w:tc>
        <w:tc>
          <w:tcPr>
            <w:tcW w:w="209" w:type="pct"/>
            <w:vAlign w:val="center"/>
          </w:tcPr>
          <w:p w14:paraId="1E7A3239">
            <w:pPr>
              <w:pStyle w:val="28"/>
              <w:bidi w:val="0"/>
            </w:pPr>
            <w:r>
              <w:t>达标</w:t>
            </w:r>
          </w:p>
        </w:tc>
      </w:tr>
      <w:tr w14:paraId="2CA2BF5D">
        <w:tblPrEx>
          <w:tblCellMar>
            <w:top w:w="0" w:type="dxa"/>
            <w:left w:w="108" w:type="dxa"/>
            <w:bottom w:w="0" w:type="dxa"/>
            <w:right w:w="108" w:type="dxa"/>
          </w:tblCellMar>
        </w:tblPrEx>
        <w:trPr>
          <w:trHeight w:val="340" w:hRule="atLeast"/>
          <w:jc w:val="center"/>
        </w:trPr>
        <w:tc>
          <w:tcPr>
            <w:tcW w:w="685" w:type="pct"/>
            <w:vAlign w:val="center"/>
          </w:tcPr>
          <w:p w14:paraId="652BB405">
            <w:pPr>
              <w:pStyle w:val="28"/>
              <w:bidi w:val="0"/>
            </w:pPr>
            <w:r>
              <w:rPr>
                <w:rFonts w:hint="eastAsia"/>
              </w:rPr>
              <w:t>丁店村</w:t>
            </w:r>
          </w:p>
        </w:tc>
        <w:tc>
          <w:tcPr>
            <w:tcW w:w="511" w:type="pct"/>
            <w:vAlign w:val="center"/>
          </w:tcPr>
          <w:p w14:paraId="65EF91DC">
            <w:pPr>
              <w:pStyle w:val="28"/>
              <w:bidi w:val="0"/>
            </w:pPr>
            <w:r>
              <w:rPr>
                <w:rFonts w:hint="eastAsia"/>
              </w:rPr>
              <w:t>节制闸重建</w:t>
            </w:r>
          </w:p>
        </w:tc>
        <w:tc>
          <w:tcPr>
            <w:tcW w:w="366" w:type="pct"/>
            <w:vAlign w:val="center"/>
          </w:tcPr>
          <w:p w14:paraId="1E59CEA9">
            <w:pPr>
              <w:pStyle w:val="28"/>
              <w:bidi w:val="0"/>
            </w:pPr>
            <w:r>
              <w:t>143</w:t>
            </w:r>
          </w:p>
        </w:tc>
        <w:tc>
          <w:tcPr>
            <w:tcW w:w="268" w:type="pct"/>
            <w:vAlign w:val="center"/>
          </w:tcPr>
          <w:p w14:paraId="65978DD0">
            <w:pPr>
              <w:pStyle w:val="28"/>
              <w:bidi w:val="0"/>
            </w:pPr>
            <w:r>
              <w:rPr>
                <w:rFonts w:hint="eastAsia"/>
              </w:rPr>
              <w:t>左岸</w:t>
            </w:r>
          </w:p>
        </w:tc>
        <w:tc>
          <w:tcPr>
            <w:tcW w:w="262" w:type="pct"/>
            <w:vAlign w:val="center"/>
          </w:tcPr>
          <w:p w14:paraId="23779E4B">
            <w:pPr>
              <w:pStyle w:val="28"/>
              <w:bidi w:val="0"/>
            </w:pPr>
            <w:r>
              <w:t>1</w:t>
            </w:r>
            <w:r>
              <w:rPr>
                <w:rFonts w:hint="eastAsia"/>
              </w:rPr>
              <w:t>类</w:t>
            </w:r>
          </w:p>
        </w:tc>
        <w:tc>
          <w:tcPr>
            <w:tcW w:w="809" w:type="pct"/>
            <w:vAlign w:val="center"/>
          </w:tcPr>
          <w:p w14:paraId="31B51BBA">
            <w:pPr>
              <w:pStyle w:val="28"/>
              <w:bidi w:val="0"/>
            </w:pPr>
            <w:r>
              <w:rPr>
                <w:rFonts w:hint="eastAsia"/>
              </w:rPr>
              <w:t>采用低噪声设备，施工机械远离居民住宅</w:t>
            </w:r>
          </w:p>
        </w:tc>
        <w:tc>
          <w:tcPr>
            <w:tcW w:w="208" w:type="pct"/>
            <w:vAlign w:val="center"/>
          </w:tcPr>
          <w:p w14:paraId="5DF4A87D">
            <w:pPr>
              <w:pStyle w:val="28"/>
              <w:bidi w:val="0"/>
            </w:pPr>
            <w:r>
              <w:t>52.3</w:t>
            </w:r>
          </w:p>
        </w:tc>
        <w:tc>
          <w:tcPr>
            <w:tcW w:w="211" w:type="pct"/>
            <w:vAlign w:val="center"/>
          </w:tcPr>
          <w:p w14:paraId="0B834DFC">
            <w:pPr>
              <w:pStyle w:val="28"/>
              <w:bidi w:val="0"/>
            </w:pPr>
            <w:r>
              <w:t>40.6</w:t>
            </w:r>
          </w:p>
        </w:tc>
        <w:tc>
          <w:tcPr>
            <w:tcW w:w="208" w:type="pct"/>
            <w:vAlign w:val="center"/>
          </w:tcPr>
          <w:p w14:paraId="0DA17990">
            <w:pPr>
              <w:pStyle w:val="28"/>
              <w:bidi w:val="0"/>
            </w:pPr>
            <w:r>
              <w:t>55</w:t>
            </w:r>
          </w:p>
        </w:tc>
        <w:tc>
          <w:tcPr>
            <w:tcW w:w="211" w:type="pct"/>
            <w:vAlign w:val="center"/>
          </w:tcPr>
          <w:p w14:paraId="75171A2B">
            <w:pPr>
              <w:pStyle w:val="28"/>
              <w:bidi w:val="0"/>
            </w:pPr>
            <w:r>
              <w:t>45</w:t>
            </w:r>
          </w:p>
        </w:tc>
        <w:tc>
          <w:tcPr>
            <w:tcW w:w="276" w:type="pct"/>
            <w:vAlign w:val="center"/>
          </w:tcPr>
          <w:p w14:paraId="20F3E036">
            <w:pPr>
              <w:pStyle w:val="28"/>
              <w:bidi w:val="0"/>
            </w:pPr>
            <w:r>
              <w:t>50.1</w:t>
            </w:r>
          </w:p>
        </w:tc>
        <w:tc>
          <w:tcPr>
            <w:tcW w:w="257" w:type="pct"/>
            <w:vAlign w:val="center"/>
          </w:tcPr>
          <w:p w14:paraId="229A906C">
            <w:pPr>
              <w:pStyle w:val="28"/>
              <w:bidi w:val="0"/>
            </w:pPr>
            <w:r>
              <w:t>43.1</w:t>
            </w:r>
          </w:p>
        </w:tc>
        <w:tc>
          <w:tcPr>
            <w:tcW w:w="257" w:type="pct"/>
            <w:vAlign w:val="center"/>
          </w:tcPr>
          <w:p w14:paraId="1CE4144E">
            <w:pPr>
              <w:pStyle w:val="28"/>
              <w:bidi w:val="0"/>
            </w:pPr>
            <w:r>
              <w:t>52.8</w:t>
            </w:r>
          </w:p>
        </w:tc>
        <w:tc>
          <w:tcPr>
            <w:tcW w:w="257" w:type="pct"/>
            <w:vAlign w:val="center"/>
          </w:tcPr>
          <w:p w14:paraId="052D2BB0">
            <w:pPr>
              <w:pStyle w:val="28"/>
              <w:bidi w:val="0"/>
            </w:pPr>
            <w:r>
              <w:t>0.5</w:t>
            </w:r>
          </w:p>
        </w:tc>
        <w:tc>
          <w:tcPr>
            <w:tcW w:w="209" w:type="pct"/>
            <w:vAlign w:val="center"/>
          </w:tcPr>
          <w:p w14:paraId="6C0142A0">
            <w:pPr>
              <w:pStyle w:val="28"/>
              <w:bidi w:val="0"/>
            </w:pPr>
            <w:r>
              <w:t>达标</w:t>
            </w:r>
          </w:p>
        </w:tc>
      </w:tr>
      <w:tr w14:paraId="080B2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A3612F5">
            <w:pPr>
              <w:pStyle w:val="28"/>
              <w:bidi w:val="0"/>
            </w:pPr>
            <w:r>
              <w:rPr>
                <w:rFonts w:hint="eastAsia"/>
              </w:rPr>
              <w:t>井沿村</w:t>
            </w:r>
          </w:p>
        </w:tc>
        <w:tc>
          <w:tcPr>
            <w:tcW w:w="511" w:type="pct"/>
            <w:vAlign w:val="center"/>
          </w:tcPr>
          <w:p w14:paraId="19E37C6B">
            <w:pPr>
              <w:pStyle w:val="28"/>
              <w:bidi w:val="0"/>
            </w:pPr>
            <w:r>
              <w:rPr>
                <w:rFonts w:hint="eastAsia"/>
              </w:rPr>
              <w:t>渠道护砌</w:t>
            </w:r>
          </w:p>
        </w:tc>
        <w:tc>
          <w:tcPr>
            <w:tcW w:w="366" w:type="pct"/>
            <w:vAlign w:val="center"/>
          </w:tcPr>
          <w:p w14:paraId="518FECAE">
            <w:pPr>
              <w:pStyle w:val="28"/>
              <w:bidi w:val="0"/>
            </w:pPr>
            <w:r>
              <w:t>20</w:t>
            </w:r>
          </w:p>
        </w:tc>
        <w:tc>
          <w:tcPr>
            <w:tcW w:w="268" w:type="pct"/>
            <w:vAlign w:val="center"/>
          </w:tcPr>
          <w:p w14:paraId="7E923CEB">
            <w:pPr>
              <w:pStyle w:val="28"/>
              <w:bidi w:val="0"/>
            </w:pPr>
            <w:r>
              <w:rPr>
                <w:rFonts w:hint="eastAsia"/>
              </w:rPr>
              <w:t>左右岸</w:t>
            </w:r>
          </w:p>
        </w:tc>
        <w:tc>
          <w:tcPr>
            <w:tcW w:w="262" w:type="pct"/>
            <w:vAlign w:val="center"/>
          </w:tcPr>
          <w:p w14:paraId="31C71BBF">
            <w:pPr>
              <w:pStyle w:val="28"/>
              <w:bidi w:val="0"/>
            </w:pPr>
            <w:r>
              <w:t>1</w:t>
            </w:r>
            <w:r>
              <w:rPr>
                <w:rFonts w:hint="eastAsia"/>
              </w:rPr>
              <w:t>类</w:t>
            </w:r>
          </w:p>
        </w:tc>
        <w:tc>
          <w:tcPr>
            <w:tcW w:w="809" w:type="pct"/>
            <w:vMerge w:val="restart"/>
            <w:vAlign w:val="center"/>
          </w:tcPr>
          <w:p w14:paraId="0041E171">
            <w:pPr>
              <w:pStyle w:val="28"/>
              <w:bidi w:val="0"/>
            </w:pPr>
            <w:r>
              <w:rPr>
                <w:rFonts w:hint="eastAsia"/>
              </w:rPr>
              <w:t>采用低噪声设备，施工机械远离居民住宅，设置双层移动声屏障</w:t>
            </w:r>
          </w:p>
        </w:tc>
        <w:tc>
          <w:tcPr>
            <w:tcW w:w="208" w:type="pct"/>
            <w:vAlign w:val="center"/>
          </w:tcPr>
          <w:p w14:paraId="35105C0C">
            <w:pPr>
              <w:pStyle w:val="28"/>
              <w:bidi w:val="0"/>
            </w:pPr>
            <w:r>
              <w:t>52.3</w:t>
            </w:r>
          </w:p>
        </w:tc>
        <w:tc>
          <w:tcPr>
            <w:tcW w:w="211" w:type="pct"/>
            <w:vAlign w:val="center"/>
          </w:tcPr>
          <w:p w14:paraId="1EECB5B6">
            <w:pPr>
              <w:pStyle w:val="28"/>
              <w:bidi w:val="0"/>
            </w:pPr>
            <w:r>
              <w:t>40.6</w:t>
            </w:r>
          </w:p>
        </w:tc>
        <w:tc>
          <w:tcPr>
            <w:tcW w:w="208" w:type="pct"/>
            <w:vAlign w:val="center"/>
          </w:tcPr>
          <w:p w14:paraId="6334A49C">
            <w:pPr>
              <w:pStyle w:val="28"/>
              <w:bidi w:val="0"/>
            </w:pPr>
            <w:r>
              <w:t>55</w:t>
            </w:r>
          </w:p>
        </w:tc>
        <w:tc>
          <w:tcPr>
            <w:tcW w:w="211" w:type="pct"/>
            <w:vAlign w:val="center"/>
          </w:tcPr>
          <w:p w14:paraId="147E95C3">
            <w:pPr>
              <w:pStyle w:val="28"/>
              <w:bidi w:val="0"/>
            </w:pPr>
            <w:r>
              <w:t>45</w:t>
            </w:r>
          </w:p>
        </w:tc>
        <w:tc>
          <w:tcPr>
            <w:tcW w:w="276" w:type="pct"/>
            <w:vAlign w:val="center"/>
          </w:tcPr>
          <w:p w14:paraId="64BE33AD">
            <w:pPr>
              <w:pStyle w:val="28"/>
              <w:bidi w:val="0"/>
            </w:pPr>
            <w:r>
              <w:t>65.8</w:t>
            </w:r>
          </w:p>
        </w:tc>
        <w:tc>
          <w:tcPr>
            <w:tcW w:w="257" w:type="pct"/>
            <w:vAlign w:val="center"/>
          </w:tcPr>
          <w:p w14:paraId="150EE670">
            <w:pPr>
              <w:pStyle w:val="28"/>
              <w:bidi w:val="0"/>
            </w:pPr>
            <w:r>
              <w:t>45.8</w:t>
            </w:r>
          </w:p>
        </w:tc>
        <w:tc>
          <w:tcPr>
            <w:tcW w:w="257" w:type="pct"/>
            <w:vAlign w:val="center"/>
          </w:tcPr>
          <w:p w14:paraId="1A5C785A">
            <w:pPr>
              <w:pStyle w:val="28"/>
              <w:bidi w:val="0"/>
            </w:pPr>
            <w:r>
              <w:t>53.2</w:t>
            </w:r>
          </w:p>
        </w:tc>
        <w:tc>
          <w:tcPr>
            <w:tcW w:w="257" w:type="pct"/>
            <w:vAlign w:val="center"/>
          </w:tcPr>
          <w:p w14:paraId="1340398E">
            <w:pPr>
              <w:pStyle w:val="28"/>
              <w:bidi w:val="0"/>
            </w:pPr>
            <w:r>
              <w:t>0.9</w:t>
            </w:r>
          </w:p>
        </w:tc>
        <w:tc>
          <w:tcPr>
            <w:tcW w:w="209" w:type="pct"/>
            <w:vAlign w:val="center"/>
          </w:tcPr>
          <w:p w14:paraId="5FE00C55">
            <w:pPr>
              <w:pStyle w:val="28"/>
              <w:bidi w:val="0"/>
            </w:pPr>
            <w:r>
              <w:t>达标</w:t>
            </w:r>
          </w:p>
        </w:tc>
      </w:tr>
      <w:tr w14:paraId="7F8C9A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F5941D5">
            <w:pPr>
              <w:pStyle w:val="28"/>
              <w:bidi w:val="0"/>
            </w:pPr>
            <w:r>
              <w:rPr>
                <w:rFonts w:hint="eastAsia"/>
              </w:rPr>
              <w:t>陡岗小学</w:t>
            </w:r>
          </w:p>
        </w:tc>
        <w:tc>
          <w:tcPr>
            <w:tcW w:w="511" w:type="pct"/>
            <w:vAlign w:val="center"/>
          </w:tcPr>
          <w:p w14:paraId="588768D1">
            <w:pPr>
              <w:pStyle w:val="28"/>
              <w:bidi w:val="0"/>
            </w:pPr>
            <w:r>
              <w:rPr>
                <w:rFonts w:hint="eastAsia"/>
              </w:rPr>
              <w:t>节制闸重建</w:t>
            </w:r>
          </w:p>
        </w:tc>
        <w:tc>
          <w:tcPr>
            <w:tcW w:w="366" w:type="pct"/>
            <w:vAlign w:val="center"/>
          </w:tcPr>
          <w:p w14:paraId="0AB75571">
            <w:pPr>
              <w:pStyle w:val="28"/>
              <w:bidi w:val="0"/>
            </w:pPr>
            <w:r>
              <w:t>30</w:t>
            </w:r>
          </w:p>
        </w:tc>
        <w:tc>
          <w:tcPr>
            <w:tcW w:w="268" w:type="pct"/>
            <w:vAlign w:val="center"/>
          </w:tcPr>
          <w:p w14:paraId="25FA2894">
            <w:pPr>
              <w:pStyle w:val="28"/>
              <w:bidi w:val="0"/>
            </w:pPr>
            <w:r>
              <w:rPr>
                <w:rFonts w:hint="eastAsia"/>
              </w:rPr>
              <w:t>左右岸</w:t>
            </w:r>
          </w:p>
        </w:tc>
        <w:tc>
          <w:tcPr>
            <w:tcW w:w="262" w:type="pct"/>
            <w:vAlign w:val="center"/>
          </w:tcPr>
          <w:p w14:paraId="04790C0A">
            <w:pPr>
              <w:pStyle w:val="28"/>
              <w:bidi w:val="0"/>
            </w:pPr>
            <w:r>
              <w:t>1</w:t>
            </w:r>
            <w:r>
              <w:rPr>
                <w:rFonts w:hint="eastAsia"/>
              </w:rPr>
              <w:t>类</w:t>
            </w:r>
          </w:p>
        </w:tc>
        <w:tc>
          <w:tcPr>
            <w:tcW w:w="809" w:type="pct"/>
            <w:vMerge w:val="continue"/>
            <w:vAlign w:val="center"/>
          </w:tcPr>
          <w:p w14:paraId="4DF7A262">
            <w:pPr>
              <w:pStyle w:val="28"/>
              <w:bidi w:val="0"/>
            </w:pPr>
          </w:p>
        </w:tc>
        <w:tc>
          <w:tcPr>
            <w:tcW w:w="208" w:type="pct"/>
            <w:vAlign w:val="center"/>
          </w:tcPr>
          <w:p w14:paraId="36DF0DC9">
            <w:pPr>
              <w:pStyle w:val="28"/>
              <w:bidi w:val="0"/>
            </w:pPr>
            <w:r>
              <w:t>52.3</w:t>
            </w:r>
          </w:p>
        </w:tc>
        <w:tc>
          <w:tcPr>
            <w:tcW w:w="211" w:type="pct"/>
            <w:vAlign w:val="center"/>
          </w:tcPr>
          <w:p w14:paraId="3590E58E">
            <w:pPr>
              <w:pStyle w:val="28"/>
              <w:bidi w:val="0"/>
            </w:pPr>
            <w:r>
              <w:t>40.6</w:t>
            </w:r>
          </w:p>
        </w:tc>
        <w:tc>
          <w:tcPr>
            <w:tcW w:w="208" w:type="pct"/>
            <w:vAlign w:val="center"/>
          </w:tcPr>
          <w:p w14:paraId="146AA2A7">
            <w:pPr>
              <w:pStyle w:val="28"/>
              <w:bidi w:val="0"/>
            </w:pPr>
            <w:r>
              <w:t>55</w:t>
            </w:r>
          </w:p>
        </w:tc>
        <w:tc>
          <w:tcPr>
            <w:tcW w:w="211" w:type="pct"/>
            <w:vAlign w:val="center"/>
          </w:tcPr>
          <w:p w14:paraId="227AE861">
            <w:pPr>
              <w:pStyle w:val="28"/>
              <w:bidi w:val="0"/>
            </w:pPr>
            <w:r>
              <w:t>45</w:t>
            </w:r>
          </w:p>
        </w:tc>
        <w:tc>
          <w:tcPr>
            <w:tcW w:w="276" w:type="pct"/>
            <w:vAlign w:val="center"/>
          </w:tcPr>
          <w:p w14:paraId="2611D0A0">
            <w:pPr>
              <w:pStyle w:val="28"/>
              <w:bidi w:val="0"/>
            </w:pPr>
            <w:r>
              <w:t>63.7</w:t>
            </w:r>
          </w:p>
        </w:tc>
        <w:tc>
          <w:tcPr>
            <w:tcW w:w="257" w:type="pct"/>
            <w:vAlign w:val="center"/>
          </w:tcPr>
          <w:p w14:paraId="11E21009">
            <w:pPr>
              <w:pStyle w:val="28"/>
              <w:bidi w:val="0"/>
            </w:pPr>
            <w:r>
              <w:t>43.7</w:t>
            </w:r>
          </w:p>
        </w:tc>
        <w:tc>
          <w:tcPr>
            <w:tcW w:w="257" w:type="pct"/>
            <w:vAlign w:val="center"/>
          </w:tcPr>
          <w:p w14:paraId="559AA27B">
            <w:pPr>
              <w:pStyle w:val="28"/>
              <w:bidi w:val="0"/>
            </w:pPr>
            <w:r>
              <w:t>52.9</w:t>
            </w:r>
          </w:p>
        </w:tc>
        <w:tc>
          <w:tcPr>
            <w:tcW w:w="257" w:type="pct"/>
            <w:vAlign w:val="center"/>
          </w:tcPr>
          <w:p w14:paraId="4C914B84">
            <w:pPr>
              <w:pStyle w:val="28"/>
              <w:bidi w:val="0"/>
            </w:pPr>
            <w:r>
              <w:t>0.6</w:t>
            </w:r>
          </w:p>
        </w:tc>
        <w:tc>
          <w:tcPr>
            <w:tcW w:w="209" w:type="pct"/>
            <w:vAlign w:val="center"/>
          </w:tcPr>
          <w:p w14:paraId="15CA20C4">
            <w:pPr>
              <w:pStyle w:val="28"/>
              <w:bidi w:val="0"/>
            </w:pPr>
            <w:r>
              <w:t>达标</w:t>
            </w:r>
          </w:p>
        </w:tc>
      </w:tr>
      <w:tr w14:paraId="4F944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4581B74">
            <w:pPr>
              <w:pStyle w:val="28"/>
              <w:bidi w:val="0"/>
            </w:pPr>
            <w:r>
              <w:rPr>
                <w:rFonts w:hint="eastAsia"/>
              </w:rPr>
              <w:t>汪圩子</w:t>
            </w:r>
          </w:p>
        </w:tc>
        <w:tc>
          <w:tcPr>
            <w:tcW w:w="511" w:type="pct"/>
            <w:vAlign w:val="center"/>
          </w:tcPr>
          <w:p w14:paraId="46386595">
            <w:pPr>
              <w:pStyle w:val="28"/>
              <w:bidi w:val="0"/>
            </w:pPr>
            <w:r>
              <w:rPr>
                <w:rFonts w:hint="eastAsia"/>
              </w:rPr>
              <w:t>渠道护砌</w:t>
            </w:r>
          </w:p>
        </w:tc>
        <w:tc>
          <w:tcPr>
            <w:tcW w:w="366" w:type="pct"/>
            <w:vAlign w:val="center"/>
          </w:tcPr>
          <w:p w14:paraId="1832C843">
            <w:pPr>
              <w:pStyle w:val="28"/>
              <w:bidi w:val="0"/>
            </w:pPr>
            <w:r>
              <w:t>12</w:t>
            </w:r>
          </w:p>
        </w:tc>
        <w:tc>
          <w:tcPr>
            <w:tcW w:w="268" w:type="pct"/>
            <w:vAlign w:val="center"/>
          </w:tcPr>
          <w:p w14:paraId="02AF8D59">
            <w:pPr>
              <w:pStyle w:val="28"/>
              <w:bidi w:val="0"/>
            </w:pPr>
            <w:r>
              <w:rPr>
                <w:rFonts w:hint="eastAsia"/>
              </w:rPr>
              <w:t>左岸</w:t>
            </w:r>
          </w:p>
        </w:tc>
        <w:tc>
          <w:tcPr>
            <w:tcW w:w="262" w:type="pct"/>
            <w:vAlign w:val="center"/>
          </w:tcPr>
          <w:p w14:paraId="3B34B8B2">
            <w:pPr>
              <w:pStyle w:val="28"/>
              <w:bidi w:val="0"/>
            </w:pPr>
            <w:r>
              <w:t>1</w:t>
            </w:r>
            <w:r>
              <w:rPr>
                <w:rFonts w:hint="eastAsia"/>
              </w:rPr>
              <w:t>类</w:t>
            </w:r>
          </w:p>
        </w:tc>
        <w:tc>
          <w:tcPr>
            <w:tcW w:w="809" w:type="pct"/>
            <w:vMerge w:val="continue"/>
            <w:vAlign w:val="center"/>
          </w:tcPr>
          <w:p w14:paraId="6D111CAD">
            <w:pPr>
              <w:pStyle w:val="28"/>
              <w:bidi w:val="0"/>
            </w:pPr>
          </w:p>
        </w:tc>
        <w:tc>
          <w:tcPr>
            <w:tcW w:w="208" w:type="pct"/>
            <w:vAlign w:val="center"/>
          </w:tcPr>
          <w:p w14:paraId="69AC5FDD">
            <w:pPr>
              <w:pStyle w:val="28"/>
              <w:bidi w:val="0"/>
            </w:pPr>
            <w:r>
              <w:t>52.3</w:t>
            </w:r>
          </w:p>
        </w:tc>
        <w:tc>
          <w:tcPr>
            <w:tcW w:w="211" w:type="pct"/>
            <w:vAlign w:val="center"/>
          </w:tcPr>
          <w:p w14:paraId="106F9E15">
            <w:pPr>
              <w:pStyle w:val="28"/>
              <w:bidi w:val="0"/>
            </w:pPr>
            <w:r>
              <w:t>40.6</w:t>
            </w:r>
          </w:p>
        </w:tc>
        <w:tc>
          <w:tcPr>
            <w:tcW w:w="208" w:type="pct"/>
            <w:vAlign w:val="center"/>
          </w:tcPr>
          <w:p w14:paraId="6E03FA64">
            <w:pPr>
              <w:pStyle w:val="28"/>
              <w:bidi w:val="0"/>
            </w:pPr>
            <w:r>
              <w:t>55</w:t>
            </w:r>
          </w:p>
        </w:tc>
        <w:tc>
          <w:tcPr>
            <w:tcW w:w="211" w:type="pct"/>
            <w:vAlign w:val="center"/>
          </w:tcPr>
          <w:p w14:paraId="0C5E8EBB">
            <w:pPr>
              <w:pStyle w:val="28"/>
              <w:bidi w:val="0"/>
            </w:pPr>
            <w:r>
              <w:t>45</w:t>
            </w:r>
          </w:p>
        </w:tc>
        <w:tc>
          <w:tcPr>
            <w:tcW w:w="276" w:type="pct"/>
            <w:vAlign w:val="center"/>
          </w:tcPr>
          <w:p w14:paraId="273BC999">
            <w:pPr>
              <w:pStyle w:val="28"/>
              <w:bidi w:val="0"/>
            </w:pPr>
            <w:r>
              <w:t>70.3</w:t>
            </w:r>
          </w:p>
        </w:tc>
        <w:tc>
          <w:tcPr>
            <w:tcW w:w="257" w:type="pct"/>
            <w:vAlign w:val="center"/>
          </w:tcPr>
          <w:p w14:paraId="4D724232">
            <w:pPr>
              <w:pStyle w:val="28"/>
              <w:bidi w:val="0"/>
            </w:pPr>
            <w:r>
              <w:t>50.3</w:t>
            </w:r>
          </w:p>
        </w:tc>
        <w:tc>
          <w:tcPr>
            <w:tcW w:w="257" w:type="pct"/>
            <w:vAlign w:val="center"/>
          </w:tcPr>
          <w:p w14:paraId="3241FF44">
            <w:pPr>
              <w:pStyle w:val="28"/>
              <w:bidi w:val="0"/>
            </w:pPr>
            <w:r>
              <w:t>54.4</w:t>
            </w:r>
          </w:p>
        </w:tc>
        <w:tc>
          <w:tcPr>
            <w:tcW w:w="257" w:type="pct"/>
            <w:vAlign w:val="center"/>
          </w:tcPr>
          <w:p w14:paraId="4439D22E">
            <w:pPr>
              <w:pStyle w:val="28"/>
              <w:bidi w:val="0"/>
            </w:pPr>
            <w:r>
              <w:t>2.1</w:t>
            </w:r>
          </w:p>
        </w:tc>
        <w:tc>
          <w:tcPr>
            <w:tcW w:w="209" w:type="pct"/>
            <w:vAlign w:val="center"/>
          </w:tcPr>
          <w:p w14:paraId="6EA3DF02">
            <w:pPr>
              <w:pStyle w:val="28"/>
              <w:bidi w:val="0"/>
            </w:pPr>
            <w:r>
              <w:t>达标</w:t>
            </w:r>
          </w:p>
        </w:tc>
      </w:tr>
      <w:tr w14:paraId="64339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2C2B0A6">
            <w:pPr>
              <w:pStyle w:val="28"/>
              <w:bidi w:val="0"/>
            </w:pPr>
            <w:r>
              <w:rPr>
                <w:rFonts w:hint="eastAsia"/>
              </w:rPr>
              <w:t>陈老屋</w:t>
            </w:r>
          </w:p>
        </w:tc>
        <w:tc>
          <w:tcPr>
            <w:tcW w:w="511" w:type="pct"/>
            <w:vAlign w:val="center"/>
          </w:tcPr>
          <w:p w14:paraId="34AA4E76">
            <w:pPr>
              <w:pStyle w:val="28"/>
              <w:bidi w:val="0"/>
            </w:pPr>
            <w:r>
              <w:rPr>
                <w:rFonts w:hint="eastAsia"/>
              </w:rPr>
              <w:t>施工道路</w:t>
            </w:r>
          </w:p>
        </w:tc>
        <w:tc>
          <w:tcPr>
            <w:tcW w:w="366" w:type="pct"/>
            <w:vAlign w:val="center"/>
          </w:tcPr>
          <w:p w14:paraId="593148BF">
            <w:pPr>
              <w:pStyle w:val="28"/>
              <w:bidi w:val="0"/>
            </w:pPr>
            <w:r>
              <w:t>20</w:t>
            </w:r>
          </w:p>
        </w:tc>
        <w:tc>
          <w:tcPr>
            <w:tcW w:w="268" w:type="pct"/>
            <w:vAlign w:val="center"/>
          </w:tcPr>
          <w:p w14:paraId="6BF10FF8">
            <w:pPr>
              <w:pStyle w:val="28"/>
              <w:bidi w:val="0"/>
            </w:pPr>
            <w:r>
              <w:rPr>
                <w:rFonts w:hint="eastAsia"/>
              </w:rPr>
              <w:t>右岸</w:t>
            </w:r>
          </w:p>
        </w:tc>
        <w:tc>
          <w:tcPr>
            <w:tcW w:w="262" w:type="pct"/>
            <w:vAlign w:val="center"/>
          </w:tcPr>
          <w:p w14:paraId="34313C3B">
            <w:pPr>
              <w:pStyle w:val="28"/>
              <w:bidi w:val="0"/>
            </w:pPr>
            <w:r>
              <w:t>1</w:t>
            </w:r>
            <w:r>
              <w:rPr>
                <w:rFonts w:hint="eastAsia"/>
              </w:rPr>
              <w:t>类</w:t>
            </w:r>
          </w:p>
        </w:tc>
        <w:tc>
          <w:tcPr>
            <w:tcW w:w="809" w:type="pct"/>
            <w:vMerge w:val="continue"/>
            <w:vAlign w:val="center"/>
          </w:tcPr>
          <w:p w14:paraId="5711193B">
            <w:pPr>
              <w:pStyle w:val="28"/>
              <w:bidi w:val="0"/>
            </w:pPr>
          </w:p>
        </w:tc>
        <w:tc>
          <w:tcPr>
            <w:tcW w:w="208" w:type="pct"/>
            <w:vAlign w:val="center"/>
          </w:tcPr>
          <w:p w14:paraId="38FD75EE">
            <w:pPr>
              <w:pStyle w:val="28"/>
              <w:bidi w:val="0"/>
            </w:pPr>
            <w:r>
              <w:t>52.2</w:t>
            </w:r>
          </w:p>
        </w:tc>
        <w:tc>
          <w:tcPr>
            <w:tcW w:w="211" w:type="pct"/>
            <w:vAlign w:val="center"/>
          </w:tcPr>
          <w:p w14:paraId="43EB7F29">
            <w:pPr>
              <w:pStyle w:val="28"/>
              <w:bidi w:val="0"/>
            </w:pPr>
            <w:r>
              <w:t>41.4</w:t>
            </w:r>
          </w:p>
        </w:tc>
        <w:tc>
          <w:tcPr>
            <w:tcW w:w="208" w:type="pct"/>
            <w:vAlign w:val="center"/>
          </w:tcPr>
          <w:p w14:paraId="263CD78D">
            <w:pPr>
              <w:pStyle w:val="28"/>
              <w:bidi w:val="0"/>
            </w:pPr>
            <w:r>
              <w:t>55</w:t>
            </w:r>
          </w:p>
        </w:tc>
        <w:tc>
          <w:tcPr>
            <w:tcW w:w="211" w:type="pct"/>
            <w:vAlign w:val="center"/>
          </w:tcPr>
          <w:p w14:paraId="602E9D23">
            <w:pPr>
              <w:pStyle w:val="28"/>
              <w:bidi w:val="0"/>
            </w:pPr>
            <w:r>
              <w:t>45</w:t>
            </w:r>
          </w:p>
        </w:tc>
        <w:tc>
          <w:tcPr>
            <w:tcW w:w="276" w:type="pct"/>
            <w:vAlign w:val="center"/>
          </w:tcPr>
          <w:p w14:paraId="72116525">
            <w:pPr>
              <w:pStyle w:val="28"/>
              <w:bidi w:val="0"/>
            </w:pPr>
            <w:r>
              <w:t>66.6</w:t>
            </w:r>
          </w:p>
        </w:tc>
        <w:tc>
          <w:tcPr>
            <w:tcW w:w="257" w:type="pct"/>
            <w:vAlign w:val="center"/>
          </w:tcPr>
          <w:p w14:paraId="7CA14824">
            <w:pPr>
              <w:pStyle w:val="28"/>
              <w:bidi w:val="0"/>
            </w:pPr>
            <w:r>
              <w:t>46.6</w:t>
            </w:r>
          </w:p>
        </w:tc>
        <w:tc>
          <w:tcPr>
            <w:tcW w:w="257" w:type="pct"/>
            <w:vAlign w:val="center"/>
          </w:tcPr>
          <w:p w14:paraId="63D68B88">
            <w:pPr>
              <w:pStyle w:val="28"/>
              <w:bidi w:val="0"/>
            </w:pPr>
            <w:r>
              <w:t>53.3</w:t>
            </w:r>
          </w:p>
        </w:tc>
        <w:tc>
          <w:tcPr>
            <w:tcW w:w="257" w:type="pct"/>
            <w:vAlign w:val="center"/>
          </w:tcPr>
          <w:p w14:paraId="10BBF8A4">
            <w:pPr>
              <w:pStyle w:val="28"/>
              <w:bidi w:val="0"/>
            </w:pPr>
            <w:r>
              <w:t>1.1</w:t>
            </w:r>
          </w:p>
        </w:tc>
        <w:tc>
          <w:tcPr>
            <w:tcW w:w="209" w:type="pct"/>
            <w:vAlign w:val="center"/>
          </w:tcPr>
          <w:p w14:paraId="4EBC3DD4">
            <w:pPr>
              <w:pStyle w:val="28"/>
              <w:bidi w:val="0"/>
            </w:pPr>
            <w:r>
              <w:t>达标</w:t>
            </w:r>
          </w:p>
        </w:tc>
      </w:tr>
      <w:tr w14:paraId="3DAF8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F11CF9D">
            <w:pPr>
              <w:pStyle w:val="28"/>
              <w:bidi w:val="0"/>
            </w:pPr>
            <w:r>
              <w:rPr>
                <w:rFonts w:hint="eastAsia"/>
              </w:rPr>
              <w:t>六吨井</w:t>
            </w:r>
          </w:p>
        </w:tc>
        <w:tc>
          <w:tcPr>
            <w:tcW w:w="511" w:type="pct"/>
            <w:vAlign w:val="center"/>
          </w:tcPr>
          <w:p w14:paraId="22C9984C">
            <w:pPr>
              <w:pStyle w:val="28"/>
              <w:bidi w:val="0"/>
            </w:pPr>
            <w:r>
              <w:rPr>
                <w:rFonts w:hint="eastAsia"/>
              </w:rPr>
              <w:t>施工道路</w:t>
            </w:r>
          </w:p>
        </w:tc>
        <w:tc>
          <w:tcPr>
            <w:tcW w:w="366" w:type="pct"/>
            <w:vAlign w:val="center"/>
          </w:tcPr>
          <w:p w14:paraId="265A4F19">
            <w:pPr>
              <w:pStyle w:val="28"/>
              <w:bidi w:val="0"/>
            </w:pPr>
            <w:r>
              <w:t>15</w:t>
            </w:r>
          </w:p>
        </w:tc>
        <w:tc>
          <w:tcPr>
            <w:tcW w:w="268" w:type="pct"/>
            <w:vAlign w:val="center"/>
          </w:tcPr>
          <w:p w14:paraId="453B65C3">
            <w:pPr>
              <w:pStyle w:val="28"/>
              <w:bidi w:val="0"/>
            </w:pPr>
            <w:r>
              <w:rPr>
                <w:rFonts w:hint="eastAsia"/>
              </w:rPr>
              <w:t>左岸</w:t>
            </w:r>
          </w:p>
        </w:tc>
        <w:tc>
          <w:tcPr>
            <w:tcW w:w="262" w:type="pct"/>
            <w:vAlign w:val="center"/>
          </w:tcPr>
          <w:p w14:paraId="791935DB">
            <w:pPr>
              <w:pStyle w:val="28"/>
              <w:bidi w:val="0"/>
            </w:pPr>
            <w:r>
              <w:t>1</w:t>
            </w:r>
            <w:r>
              <w:rPr>
                <w:rFonts w:hint="eastAsia"/>
              </w:rPr>
              <w:t>类</w:t>
            </w:r>
          </w:p>
        </w:tc>
        <w:tc>
          <w:tcPr>
            <w:tcW w:w="809" w:type="pct"/>
            <w:vMerge w:val="continue"/>
            <w:vAlign w:val="center"/>
          </w:tcPr>
          <w:p w14:paraId="0D07723B">
            <w:pPr>
              <w:pStyle w:val="28"/>
              <w:bidi w:val="0"/>
            </w:pPr>
          </w:p>
        </w:tc>
        <w:tc>
          <w:tcPr>
            <w:tcW w:w="208" w:type="pct"/>
            <w:vAlign w:val="center"/>
          </w:tcPr>
          <w:p w14:paraId="05B10B24">
            <w:pPr>
              <w:pStyle w:val="28"/>
              <w:bidi w:val="0"/>
            </w:pPr>
            <w:r>
              <w:t>52.2</w:t>
            </w:r>
          </w:p>
        </w:tc>
        <w:tc>
          <w:tcPr>
            <w:tcW w:w="211" w:type="pct"/>
            <w:vAlign w:val="center"/>
          </w:tcPr>
          <w:p w14:paraId="60634BAA">
            <w:pPr>
              <w:pStyle w:val="28"/>
              <w:bidi w:val="0"/>
            </w:pPr>
            <w:r>
              <w:t>41.4</w:t>
            </w:r>
          </w:p>
        </w:tc>
        <w:tc>
          <w:tcPr>
            <w:tcW w:w="208" w:type="pct"/>
            <w:vAlign w:val="center"/>
          </w:tcPr>
          <w:p w14:paraId="2B328663">
            <w:pPr>
              <w:pStyle w:val="28"/>
              <w:bidi w:val="0"/>
            </w:pPr>
            <w:r>
              <w:t>55</w:t>
            </w:r>
          </w:p>
        </w:tc>
        <w:tc>
          <w:tcPr>
            <w:tcW w:w="211" w:type="pct"/>
            <w:vAlign w:val="center"/>
          </w:tcPr>
          <w:p w14:paraId="6E72987F">
            <w:pPr>
              <w:pStyle w:val="28"/>
              <w:bidi w:val="0"/>
            </w:pPr>
            <w:r>
              <w:t>45</w:t>
            </w:r>
          </w:p>
        </w:tc>
        <w:tc>
          <w:tcPr>
            <w:tcW w:w="276" w:type="pct"/>
            <w:vAlign w:val="center"/>
          </w:tcPr>
          <w:p w14:paraId="03B7475F">
            <w:pPr>
              <w:pStyle w:val="28"/>
              <w:bidi w:val="0"/>
            </w:pPr>
            <w:r>
              <w:t>69.1</w:t>
            </w:r>
          </w:p>
        </w:tc>
        <w:tc>
          <w:tcPr>
            <w:tcW w:w="257" w:type="pct"/>
            <w:vAlign w:val="center"/>
          </w:tcPr>
          <w:p w14:paraId="1922C2A5">
            <w:pPr>
              <w:pStyle w:val="28"/>
              <w:bidi w:val="0"/>
            </w:pPr>
            <w:r>
              <w:t>49.1</w:t>
            </w:r>
          </w:p>
        </w:tc>
        <w:tc>
          <w:tcPr>
            <w:tcW w:w="257" w:type="pct"/>
            <w:vAlign w:val="center"/>
          </w:tcPr>
          <w:p w14:paraId="122F3730">
            <w:pPr>
              <w:pStyle w:val="28"/>
              <w:bidi w:val="0"/>
            </w:pPr>
            <w:r>
              <w:t>53.9</w:t>
            </w:r>
          </w:p>
        </w:tc>
        <w:tc>
          <w:tcPr>
            <w:tcW w:w="257" w:type="pct"/>
            <w:vAlign w:val="center"/>
          </w:tcPr>
          <w:p w14:paraId="403B8355">
            <w:pPr>
              <w:pStyle w:val="28"/>
              <w:bidi w:val="0"/>
            </w:pPr>
            <w:r>
              <w:t>1.7</w:t>
            </w:r>
          </w:p>
        </w:tc>
        <w:tc>
          <w:tcPr>
            <w:tcW w:w="209" w:type="pct"/>
            <w:vAlign w:val="center"/>
          </w:tcPr>
          <w:p w14:paraId="6F263B68">
            <w:pPr>
              <w:pStyle w:val="28"/>
              <w:bidi w:val="0"/>
            </w:pPr>
            <w:r>
              <w:t>达标</w:t>
            </w:r>
          </w:p>
        </w:tc>
      </w:tr>
      <w:tr w14:paraId="27D1B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C024374">
            <w:pPr>
              <w:pStyle w:val="28"/>
              <w:bidi w:val="0"/>
            </w:pPr>
            <w:r>
              <w:rPr>
                <w:rFonts w:hint="eastAsia"/>
              </w:rPr>
              <w:t>庐南</w:t>
            </w:r>
          </w:p>
        </w:tc>
        <w:tc>
          <w:tcPr>
            <w:tcW w:w="511" w:type="pct"/>
            <w:vAlign w:val="center"/>
          </w:tcPr>
          <w:p w14:paraId="43D956CF">
            <w:pPr>
              <w:pStyle w:val="28"/>
              <w:bidi w:val="0"/>
            </w:pPr>
            <w:r>
              <w:rPr>
                <w:rFonts w:hint="eastAsia"/>
              </w:rPr>
              <w:t>施工道路</w:t>
            </w:r>
          </w:p>
        </w:tc>
        <w:tc>
          <w:tcPr>
            <w:tcW w:w="366" w:type="pct"/>
            <w:vAlign w:val="center"/>
          </w:tcPr>
          <w:p w14:paraId="062C2DDB">
            <w:pPr>
              <w:pStyle w:val="28"/>
              <w:bidi w:val="0"/>
            </w:pPr>
            <w:r>
              <w:t>148</w:t>
            </w:r>
          </w:p>
        </w:tc>
        <w:tc>
          <w:tcPr>
            <w:tcW w:w="268" w:type="pct"/>
            <w:vAlign w:val="center"/>
          </w:tcPr>
          <w:p w14:paraId="775DE75E">
            <w:pPr>
              <w:pStyle w:val="28"/>
              <w:bidi w:val="0"/>
            </w:pPr>
            <w:r>
              <w:rPr>
                <w:rFonts w:hint="eastAsia"/>
              </w:rPr>
              <w:t>左岸</w:t>
            </w:r>
          </w:p>
        </w:tc>
        <w:tc>
          <w:tcPr>
            <w:tcW w:w="262" w:type="pct"/>
            <w:vAlign w:val="center"/>
          </w:tcPr>
          <w:p w14:paraId="3B13D8EB">
            <w:pPr>
              <w:pStyle w:val="28"/>
              <w:bidi w:val="0"/>
            </w:pPr>
            <w:r>
              <w:t>1</w:t>
            </w:r>
            <w:r>
              <w:rPr>
                <w:rFonts w:hint="eastAsia"/>
              </w:rPr>
              <w:t>类</w:t>
            </w:r>
          </w:p>
        </w:tc>
        <w:tc>
          <w:tcPr>
            <w:tcW w:w="809" w:type="pct"/>
            <w:vAlign w:val="center"/>
          </w:tcPr>
          <w:p w14:paraId="663F8C05">
            <w:pPr>
              <w:pStyle w:val="28"/>
              <w:bidi w:val="0"/>
            </w:pPr>
            <w:r>
              <w:rPr>
                <w:rFonts w:hint="eastAsia"/>
              </w:rPr>
              <w:t>采用低噪声设备，施工机械远离居民住宅</w:t>
            </w:r>
          </w:p>
        </w:tc>
        <w:tc>
          <w:tcPr>
            <w:tcW w:w="208" w:type="pct"/>
            <w:vAlign w:val="center"/>
          </w:tcPr>
          <w:p w14:paraId="5B1B5888">
            <w:pPr>
              <w:pStyle w:val="28"/>
              <w:bidi w:val="0"/>
            </w:pPr>
            <w:r>
              <w:t>52.2</w:t>
            </w:r>
          </w:p>
        </w:tc>
        <w:tc>
          <w:tcPr>
            <w:tcW w:w="211" w:type="pct"/>
            <w:vAlign w:val="center"/>
          </w:tcPr>
          <w:p w14:paraId="266712BF">
            <w:pPr>
              <w:pStyle w:val="28"/>
              <w:bidi w:val="0"/>
            </w:pPr>
            <w:r>
              <w:t>41.4</w:t>
            </w:r>
          </w:p>
        </w:tc>
        <w:tc>
          <w:tcPr>
            <w:tcW w:w="208" w:type="pct"/>
            <w:vAlign w:val="center"/>
          </w:tcPr>
          <w:p w14:paraId="577B69BF">
            <w:pPr>
              <w:pStyle w:val="28"/>
              <w:bidi w:val="0"/>
            </w:pPr>
            <w:r>
              <w:t>55</w:t>
            </w:r>
          </w:p>
        </w:tc>
        <w:tc>
          <w:tcPr>
            <w:tcW w:w="211" w:type="pct"/>
            <w:vAlign w:val="center"/>
          </w:tcPr>
          <w:p w14:paraId="5CE7FB11">
            <w:pPr>
              <w:pStyle w:val="28"/>
              <w:bidi w:val="0"/>
            </w:pPr>
            <w:r>
              <w:t>45</w:t>
            </w:r>
          </w:p>
        </w:tc>
        <w:tc>
          <w:tcPr>
            <w:tcW w:w="276" w:type="pct"/>
            <w:vAlign w:val="center"/>
          </w:tcPr>
          <w:p w14:paraId="5F7B8ED1">
            <w:pPr>
              <w:pStyle w:val="28"/>
              <w:bidi w:val="0"/>
            </w:pPr>
            <w:r>
              <w:t>49.2</w:t>
            </w:r>
          </w:p>
        </w:tc>
        <w:tc>
          <w:tcPr>
            <w:tcW w:w="257" w:type="pct"/>
            <w:vAlign w:val="center"/>
          </w:tcPr>
          <w:p w14:paraId="2631CA0A">
            <w:pPr>
              <w:pStyle w:val="28"/>
              <w:bidi w:val="0"/>
            </w:pPr>
            <w:r>
              <w:t>42.2</w:t>
            </w:r>
          </w:p>
        </w:tc>
        <w:tc>
          <w:tcPr>
            <w:tcW w:w="257" w:type="pct"/>
            <w:vAlign w:val="center"/>
          </w:tcPr>
          <w:p w14:paraId="2B5641DC">
            <w:pPr>
              <w:pStyle w:val="28"/>
              <w:bidi w:val="0"/>
            </w:pPr>
            <w:r>
              <w:t>52.6</w:t>
            </w:r>
          </w:p>
        </w:tc>
        <w:tc>
          <w:tcPr>
            <w:tcW w:w="257" w:type="pct"/>
            <w:vAlign w:val="center"/>
          </w:tcPr>
          <w:p w14:paraId="0B3C7C0F">
            <w:pPr>
              <w:pStyle w:val="28"/>
              <w:bidi w:val="0"/>
            </w:pPr>
            <w:r>
              <w:t>0.4</w:t>
            </w:r>
          </w:p>
        </w:tc>
        <w:tc>
          <w:tcPr>
            <w:tcW w:w="209" w:type="pct"/>
            <w:vAlign w:val="center"/>
          </w:tcPr>
          <w:p w14:paraId="65FB1E4F">
            <w:pPr>
              <w:pStyle w:val="28"/>
              <w:bidi w:val="0"/>
            </w:pPr>
            <w:r>
              <w:t>达标</w:t>
            </w:r>
          </w:p>
        </w:tc>
      </w:tr>
      <w:tr w14:paraId="562B08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FF3951B">
            <w:pPr>
              <w:pStyle w:val="28"/>
              <w:bidi w:val="0"/>
            </w:pPr>
            <w:r>
              <w:rPr>
                <w:rFonts w:hint="eastAsia"/>
              </w:rPr>
              <w:t>孙家庄</w:t>
            </w:r>
          </w:p>
        </w:tc>
        <w:tc>
          <w:tcPr>
            <w:tcW w:w="511" w:type="pct"/>
            <w:vAlign w:val="center"/>
          </w:tcPr>
          <w:p w14:paraId="30FD3C33">
            <w:pPr>
              <w:pStyle w:val="28"/>
              <w:bidi w:val="0"/>
            </w:pPr>
            <w:r>
              <w:rPr>
                <w:rFonts w:hint="eastAsia"/>
              </w:rPr>
              <w:t>施工道路</w:t>
            </w:r>
          </w:p>
        </w:tc>
        <w:tc>
          <w:tcPr>
            <w:tcW w:w="366" w:type="pct"/>
            <w:vAlign w:val="center"/>
          </w:tcPr>
          <w:p w14:paraId="5613DB09">
            <w:pPr>
              <w:pStyle w:val="28"/>
              <w:bidi w:val="0"/>
            </w:pPr>
            <w:r>
              <w:t>20</w:t>
            </w:r>
          </w:p>
        </w:tc>
        <w:tc>
          <w:tcPr>
            <w:tcW w:w="268" w:type="pct"/>
            <w:vAlign w:val="center"/>
          </w:tcPr>
          <w:p w14:paraId="4643E83A">
            <w:pPr>
              <w:pStyle w:val="28"/>
              <w:bidi w:val="0"/>
            </w:pPr>
            <w:r>
              <w:rPr>
                <w:rFonts w:hint="eastAsia"/>
              </w:rPr>
              <w:t>右岸</w:t>
            </w:r>
          </w:p>
        </w:tc>
        <w:tc>
          <w:tcPr>
            <w:tcW w:w="262" w:type="pct"/>
            <w:vAlign w:val="center"/>
          </w:tcPr>
          <w:p w14:paraId="7FC938BF">
            <w:pPr>
              <w:pStyle w:val="28"/>
              <w:bidi w:val="0"/>
            </w:pPr>
            <w:r>
              <w:t>1</w:t>
            </w:r>
            <w:r>
              <w:rPr>
                <w:rFonts w:hint="eastAsia"/>
              </w:rPr>
              <w:t>类</w:t>
            </w:r>
          </w:p>
        </w:tc>
        <w:tc>
          <w:tcPr>
            <w:tcW w:w="809" w:type="pct"/>
            <w:vMerge w:val="restart"/>
            <w:vAlign w:val="center"/>
          </w:tcPr>
          <w:p w14:paraId="4ED4378B">
            <w:pPr>
              <w:pStyle w:val="28"/>
              <w:bidi w:val="0"/>
            </w:pPr>
            <w:r>
              <w:rPr>
                <w:rFonts w:hint="eastAsia"/>
              </w:rPr>
              <w:t>采用低噪声设备，施工机械远离居民住宅，设置双层移动声屏障</w:t>
            </w:r>
          </w:p>
        </w:tc>
        <w:tc>
          <w:tcPr>
            <w:tcW w:w="208" w:type="pct"/>
            <w:vAlign w:val="center"/>
          </w:tcPr>
          <w:p w14:paraId="3746CC6A">
            <w:pPr>
              <w:pStyle w:val="28"/>
              <w:bidi w:val="0"/>
            </w:pPr>
            <w:r>
              <w:t>52.2</w:t>
            </w:r>
          </w:p>
        </w:tc>
        <w:tc>
          <w:tcPr>
            <w:tcW w:w="211" w:type="pct"/>
            <w:vAlign w:val="center"/>
          </w:tcPr>
          <w:p w14:paraId="5E18A372">
            <w:pPr>
              <w:pStyle w:val="28"/>
              <w:bidi w:val="0"/>
            </w:pPr>
            <w:r>
              <w:t>41.4</w:t>
            </w:r>
          </w:p>
        </w:tc>
        <w:tc>
          <w:tcPr>
            <w:tcW w:w="208" w:type="pct"/>
            <w:vAlign w:val="center"/>
          </w:tcPr>
          <w:p w14:paraId="3E183562">
            <w:pPr>
              <w:pStyle w:val="28"/>
              <w:bidi w:val="0"/>
            </w:pPr>
            <w:r>
              <w:t>55</w:t>
            </w:r>
          </w:p>
        </w:tc>
        <w:tc>
          <w:tcPr>
            <w:tcW w:w="211" w:type="pct"/>
            <w:vAlign w:val="center"/>
          </w:tcPr>
          <w:p w14:paraId="50A2F197">
            <w:pPr>
              <w:pStyle w:val="28"/>
              <w:bidi w:val="0"/>
            </w:pPr>
            <w:r>
              <w:t>45</w:t>
            </w:r>
          </w:p>
        </w:tc>
        <w:tc>
          <w:tcPr>
            <w:tcW w:w="276" w:type="pct"/>
            <w:vAlign w:val="center"/>
          </w:tcPr>
          <w:p w14:paraId="58C2AD3D">
            <w:pPr>
              <w:pStyle w:val="28"/>
              <w:bidi w:val="0"/>
            </w:pPr>
            <w:r>
              <w:t>66.6</w:t>
            </w:r>
          </w:p>
        </w:tc>
        <w:tc>
          <w:tcPr>
            <w:tcW w:w="257" w:type="pct"/>
            <w:vAlign w:val="center"/>
          </w:tcPr>
          <w:p w14:paraId="285F42E9">
            <w:pPr>
              <w:pStyle w:val="28"/>
              <w:bidi w:val="0"/>
            </w:pPr>
            <w:r>
              <w:t>46.6</w:t>
            </w:r>
          </w:p>
        </w:tc>
        <w:tc>
          <w:tcPr>
            <w:tcW w:w="257" w:type="pct"/>
            <w:vAlign w:val="center"/>
          </w:tcPr>
          <w:p w14:paraId="3F00C897">
            <w:pPr>
              <w:pStyle w:val="28"/>
              <w:bidi w:val="0"/>
            </w:pPr>
            <w:r>
              <w:t>53.3</w:t>
            </w:r>
          </w:p>
        </w:tc>
        <w:tc>
          <w:tcPr>
            <w:tcW w:w="257" w:type="pct"/>
            <w:vAlign w:val="center"/>
          </w:tcPr>
          <w:p w14:paraId="3EF48EE2">
            <w:pPr>
              <w:pStyle w:val="28"/>
              <w:bidi w:val="0"/>
            </w:pPr>
            <w:r>
              <w:t>1.1</w:t>
            </w:r>
          </w:p>
        </w:tc>
        <w:tc>
          <w:tcPr>
            <w:tcW w:w="209" w:type="pct"/>
            <w:vAlign w:val="center"/>
          </w:tcPr>
          <w:p w14:paraId="0B4152B3">
            <w:pPr>
              <w:pStyle w:val="28"/>
              <w:bidi w:val="0"/>
            </w:pPr>
            <w:r>
              <w:t>达标</w:t>
            </w:r>
          </w:p>
        </w:tc>
      </w:tr>
      <w:tr w14:paraId="15E08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79ED258">
            <w:pPr>
              <w:pStyle w:val="28"/>
              <w:bidi w:val="0"/>
            </w:pPr>
            <w:r>
              <w:rPr>
                <w:rFonts w:hint="eastAsia"/>
              </w:rPr>
              <w:t>束庄</w:t>
            </w:r>
          </w:p>
        </w:tc>
        <w:tc>
          <w:tcPr>
            <w:tcW w:w="511" w:type="pct"/>
            <w:vAlign w:val="center"/>
          </w:tcPr>
          <w:p w14:paraId="61DA1CE7">
            <w:pPr>
              <w:pStyle w:val="28"/>
              <w:bidi w:val="0"/>
            </w:pPr>
            <w:r>
              <w:rPr>
                <w:rFonts w:hint="eastAsia"/>
              </w:rPr>
              <w:t>渠道护砌</w:t>
            </w:r>
          </w:p>
        </w:tc>
        <w:tc>
          <w:tcPr>
            <w:tcW w:w="366" w:type="pct"/>
            <w:vAlign w:val="center"/>
          </w:tcPr>
          <w:p w14:paraId="22BC674B">
            <w:pPr>
              <w:pStyle w:val="28"/>
              <w:bidi w:val="0"/>
            </w:pPr>
            <w:r>
              <w:t>38</w:t>
            </w:r>
          </w:p>
        </w:tc>
        <w:tc>
          <w:tcPr>
            <w:tcW w:w="268" w:type="pct"/>
            <w:vAlign w:val="center"/>
          </w:tcPr>
          <w:p w14:paraId="46A8E911">
            <w:pPr>
              <w:pStyle w:val="28"/>
              <w:bidi w:val="0"/>
            </w:pPr>
            <w:r>
              <w:rPr>
                <w:rFonts w:hint="eastAsia"/>
              </w:rPr>
              <w:t>右岸</w:t>
            </w:r>
          </w:p>
        </w:tc>
        <w:tc>
          <w:tcPr>
            <w:tcW w:w="262" w:type="pct"/>
            <w:vAlign w:val="center"/>
          </w:tcPr>
          <w:p w14:paraId="75EE9822">
            <w:pPr>
              <w:pStyle w:val="28"/>
              <w:bidi w:val="0"/>
            </w:pPr>
            <w:r>
              <w:t>1</w:t>
            </w:r>
            <w:r>
              <w:rPr>
                <w:rFonts w:hint="eastAsia"/>
              </w:rPr>
              <w:t>类</w:t>
            </w:r>
          </w:p>
        </w:tc>
        <w:tc>
          <w:tcPr>
            <w:tcW w:w="809" w:type="pct"/>
            <w:vMerge w:val="continue"/>
            <w:vAlign w:val="center"/>
          </w:tcPr>
          <w:p w14:paraId="37E0E6B2">
            <w:pPr>
              <w:pStyle w:val="28"/>
              <w:bidi w:val="0"/>
            </w:pPr>
          </w:p>
        </w:tc>
        <w:tc>
          <w:tcPr>
            <w:tcW w:w="208" w:type="pct"/>
            <w:vAlign w:val="center"/>
          </w:tcPr>
          <w:p w14:paraId="1C47D5E3">
            <w:pPr>
              <w:pStyle w:val="28"/>
              <w:bidi w:val="0"/>
            </w:pPr>
            <w:r>
              <w:t>53.1</w:t>
            </w:r>
          </w:p>
        </w:tc>
        <w:tc>
          <w:tcPr>
            <w:tcW w:w="211" w:type="pct"/>
            <w:vAlign w:val="center"/>
          </w:tcPr>
          <w:p w14:paraId="03370FCE">
            <w:pPr>
              <w:pStyle w:val="28"/>
              <w:bidi w:val="0"/>
            </w:pPr>
            <w:r>
              <w:t>41.3</w:t>
            </w:r>
          </w:p>
        </w:tc>
        <w:tc>
          <w:tcPr>
            <w:tcW w:w="208" w:type="pct"/>
            <w:vAlign w:val="center"/>
          </w:tcPr>
          <w:p w14:paraId="7680BF7A">
            <w:pPr>
              <w:pStyle w:val="28"/>
              <w:bidi w:val="0"/>
            </w:pPr>
            <w:r>
              <w:t>55</w:t>
            </w:r>
          </w:p>
        </w:tc>
        <w:tc>
          <w:tcPr>
            <w:tcW w:w="211" w:type="pct"/>
            <w:vAlign w:val="center"/>
          </w:tcPr>
          <w:p w14:paraId="2385D338">
            <w:pPr>
              <w:pStyle w:val="28"/>
              <w:bidi w:val="0"/>
            </w:pPr>
            <w:r>
              <w:t>45</w:t>
            </w:r>
          </w:p>
        </w:tc>
        <w:tc>
          <w:tcPr>
            <w:tcW w:w="276" w:type="pct"/>
            <w:vAlign w:val="center"/>
          </w:tcPr>
          <w:p w14:paraId="66D90289">
            <w:pPr>
              <w:pStyle w:val="28"/>
              <w:bidi w:val="0"/>
            </w:pPr>
            <w:r>
              <w:t>60.3</w:t>
            </w:r>
          </w:p>
        </w:tc>
        <w:tc>
          <w:tcPr>
            <w:tcW w:w="257" w:type="pct"/>
            <w:vAlign w:val="center"/>
          </w:tcPr>
          <w:p w14:paraId="0E017643">
            <w:pPr>
              <w:pStyle w:val="28"/>
              <w:bidi w:val="0"/>
            </w:pPr>
            <w:r>
              <w:t>40.3</w:t>
            </w:r>
          </w:p>
        </w:tc>
        <w:tc>
          <w:tcPr>
            <w:tcW w:w="257" w:type="pct"/>
            <w:vAlign w:val="center"/>
          </w:tcPr>
          <w:p w14:paraId="6E06F88B">
            <w:pPr>
              <w:pStyle w:val="28"/>
              <w:bidi w:val="0"/>
            </w:pPr>
            <w:r>
              <w:t>53.3</w:t>
            </w:r>
          </w:p>
        </w:tc>
        <w:tc>
          <w:tcPr>
            <w:tcW w:w="257" w:type="pct"/>
            <w:vAlign w:val="center"/>
          </w:tcPr>
          <w:p w14:paraId="678F8EEC">
            <w:pPr>
              <w:pStyle w:val="28"/>
              <w:bidi w:val="0"/>
            </w:pPr>
            <w:r>
              <w:t>0.2</w:t>
            </w:r>
          </w:p>
        </w:tc>
        <w:tc>
          <w:tcPr>
            <w:tcW w:w="209" w:type="pct"/>
            <w:vAlign w:val="center"/>
          </w:tcPr>
          <w:p w14:paraId="0AD0CA74">
            <w:pPr>
              <w:pStyle w:val="28"/>
              <w:bidi w:val="0"/>
            </w:pPr>
            <w:r>
              <w:t>达标</w:t>
            </w:r>
          </w:p>
        </w:tc>
      </w:tr>
      <w:tr w14:paraId="7E7CD7A9">
        <w:tblPrEx>
          <w:tblCellMar>
            <w:top w:w="0" w:type="dxa"/>
            <w:left w:w="108" w:type="dxa"/>
            <w:bottom w:w="0" w:type="dxa"/>
            <w:right w:w="108" w:type="dxa"/>
          </w:tblCellMar>
        </w:tblPrEx>
        <w:trPr>
          <w:trHeight w:val="340" w:hRule="atLeast"/>
          <w:jc w:val="center"/>
        </w:trPr>
        <w:tc>
          <w:tcPr>
            <w:tcW w:w="685" w:type="pct"/>
            <w:vAlign w:val="center"/>
          </w:tcPr>
          <w:p w14:paraId="4577A4CD">
            <w:pPr>
              <w:pStyle w:val="28"/>
              <w:bidi w:val="0"/>
            </w:pPr>
            <w:r>
              <w:rPr>
                <w:rFonts w:hint="eastAsia"/>
              </w:rPr>
              <w:t>朱家庄</w:t>
            </w:r>
          </w:p>
        </w:tc>
        <w:tc>
          <w:tcPr>
            <w:tcW w:w="511" w:type="pct"/>
            <w:vAlign w:val="center"/>
          </w:tcPr>
          <w:p w14:paraId="41CE7EF6">
            <w:pPr>
              <w:pStyle w:val="28"/>
              <w:bidi w:val="0"/>
            </w:pPr>
            <w:r>
              <w:rPr>
                <w:rFonts w:hint="eastAsia"/>
              </w:rPr>
              <w:t>渠道护砌</w:t>
            </w:r>
          </w:p>
        </w:tc>
        <w:tc>
          <w:tcPr>
            <w:tcW w:w="366" w:type="pct"/>
            <w:vAlign w:val="center"/>
          </w:tcPr>
          <w:p w14:paraId="084B8997">
            <w:pPr>
              <w:pStyle w:val="28"/>
              <w:bidi w:val="0"/>
            </w:pPr>
            <w:r>
              <w:t>93</w:t>
            </w:r>
          </w:p>
        </w:tc>
        <w:tc>
          <w:tcPr>
            <w:tcW w:w="268" w:type="pct"/>
            <w:vAlign w:val="center"/>
          </w:tcPr>
          <w:p w14:paraId="6129D0D1">
            <w:pPr>
              <w:pStyle w:val="28"/>
              <w:bidi w:val="0"/>
            </w:pPr>
            <w:r>
              <w:rPr>
                <w:rFonts w:hint="eastAsia"/>
              </w:rPr>
              <w:t>右岸</w:t>
            </w:r>
          </w:p>
        </w:tc>
        <w:tc>
          <w:tcPr>
            <w:tcW w:w="262" w:type="pct"/>
            <w:vAlign w:val="center"/>
          </w:tcPr>
          <w:p w14:paraId="1F263E92">
            <w:pPr>
              <w:pStyle w:val="28"/>
              <w:bidi w:val="0"/>
            </w:pPr>
            <w:r>
              <w:t>1</w:t>
            </w:r>
            <w:r>
              <w:rPr>
                <w:rFonts w:hint="eastAsia"/>
              </w:rPr>
              <w:t>类</w:t>
            </w:r>
          </w:p>
        </w:tc>
        <w:tc>
          <w:tcPr>
            <w:tcW w:w="809" w:type="pct"/>
            <w:vMerge w:val="restart"/>
            <w:vAlign w:val="center"/>
          </w:tcPr>
          <w:p w14:paraId="3623B0E8">
            <w:pPr>
              <w:pStyle w:val="28"/>
              <w:bidi w:val="0"/>
            </w:pPr>
            <w:r>
              <w:rPr>
                <w:rFonts w:hint="eastAsia"/>
              </w:rPr>
              <w:t>采用低噪声设备，施工机械远离居民住宅</w:t>
            </w:r>
          </w:p>
        </w:tc>
        <w:tc>
          <w:tcPr>
            <w:tcW w:w="208" w:type="pct"/>
            <w:vAlign w:val="center"/>
          </w:tcPr>
          <w:p w14:paraId="7836469F">
            <w:pPr>
              <w:pStyle w:val="28"/>
              <w:bidi w:val="0"/>
            </w:pPr>
            <w:r>
              <w:t>53.1</w:t>
            </w:r>
          </w:p>
        </w:tc>
        <w:tc>
          <w:tcPr>
            <w:tcW w:w="211" w:type="pct"/>
            <w:vAlign w:val="center"/>
          </w:tcPr>
          <w:p w14:paraId="4B2475C4">
            <w:pPr>
              <w:pStyle w:val="28"/>
              <w:bidi w:val="0"/>
            </w:pPr>
            <w:r>
              <w:t>41.3</w:t>
            </w:r>
          </w:p>
        </w:tc>
        <w:tc>
          <w:tcPr>
            <w:tcW w:w="208" w:type="pct"/>
            <w:vAlign w:val="center"/>
          </w:tcPr>
          <w:p w14:paraId="7807FEB6">
            <w:pPr>
              <w:pStyle w:val="28"/>
              <w:bidi w:val="0"/>
            </w:pPr>
            <w:r>
              <w:t>55</w:t>
            </w:r>
          </w:p>
        </w:tc>
        <w:tc>
          <w:tcPr>
            <w:tcW w:w="211" w:type="pct"/>
            <w:vAlign w:val="center"/>
          </w:tcPr>
          <w:p w14:paraId="6ECEA31B">
            <w:pPr>
              <w:pStyle w:val="28"/>
              <w:bidi w:val="0"/>
            </w:pPr>
            <w:r>
              <w:t>45</w:t>
            </w:r>
          </w:p>
        </w:tc>
        <w:tc>
          <w:tcPr>
            <w:tcW w:w="276" w:type="pct"/>
            <w:vAlign w:val="center"/>
          </w:tcPr>
          <w:p w14:paraId="29F9C4B2">
            <w:pPr>
              <w:pStyle w:val="28"/>
              <w:bidi w:val="0"/>
            </w:pPr>
            <w:r>
              <w:t>52.5</w:t>
            </w:r>
          </w:p>
        </w:tc>
        <w:tc>
          <w:tcPr>
            <w:tcW w:w="257" w:type="pct"/>
            <w:vAlign w:val="center"/>
          </w:tcPr>
          <w:p w14:paraId="20A41020">
            <w:pPr>
              <w:pStyle w:val="28"/>
              <w:bidi w:val="0"/>
            </w:pPr>
            <w:r>
              <w:t>45.5</w:t>
            </w:r>
          </w:p>
        </w:tc>
        <w:tc>
          <w:tcPr>
            <w:tcW w:w="257" w:type="pct"/>
            <w:vAlign w:val="center"/>
          </w:tcPr>
          <w:p w14:paraId="7A505BC9">
            <w:pPr>
              <w:pStyle w:val="28"/>
              <w:bidi w:val="0"/>
            </w:pPr>
            <w:r>
              <w:t>53.8</w:t>
            </w:r>
          </w:p>
        </w:tc>
        <w:tc>
          <w:tcPr>
            <w:tcW w:w="257" w:type="pct"/>
            <w:vAlign w:val="center"/>
          </w:tcPr>
          <w:p w14:paraId="28EA24A8">
            <w:pPr>
              <w:pStyle w:val="28"/>
              <w:bidi w:val="0"/>
            </w:pPr>
            <w:r>
              <w:t>0.7</w:t>
            </w:r>
          </w:p>
        </w:tc>
        <w:tc>
          <w:tcPr>
            <w:tcW w:w="209" w:type="pct"/>
            <w:vAlign w:val="center"/>
          </w:tcPr>
          <w:p w14:paraId="01D1C3DB">
            <w:pPr>
              <w:pStyle w:val="28"/>
              <w:bidi w:val="0"/>
            </w:pPr>
            <w:r>
              <w:t>达标</w:t>
            </w:r>
          </w:p>
        </w:tc>
      </w:tr>
      <w:tr w14:paraId="1D725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19B5A09">
            <w:pPr>
              <w:pStyle w:val="28"/>
              <w:bidi w:val="0"/>
            </w:pPr>
            <w:r>
              <w:rPr>
                <w:rFonts w:hint="eastAsia"/>
              </w:rPr>
              <w:t>河里</w:t>
            </w:r>
          </w:p>
        </w:tc>
        <w:tc>
          <w:tcPr>
            <w:tcW w:w="511" w:type="pct"/>
            <w:vAlign w:val="center"/>
          </w:tcPr>
          <w:p w14:paraId="0ABE84C1">
            <w:pPr>
              <w:pStyle w:val="28"/>
              <w:bidi w:val="0"/>
            </w:pPr>
            <w:r>
              <w:rPr>
                <w:rFonts w:hint="eastAsia"/>
              </w:rPr>
              <w:t>渠道护砌</w:t>
            </w:r>
          </w:p>
        </w:tc>
        <w:tc>
          <w:tcPr>
            <w:tcW w:w="366" w:type="pct"/>
            <w:vAlign w:val="center"/>
          </w:tcPr>
          <w:p w14:paraId="2EC03F18">
            <w:pPr>
              <w:pStyle w:val="28"/>
              <w:bidi w:val="0"/>
            </w:pPr>
            <w:r>
              <w:t>63</w:t>
            </w:r>
          </w:p>
        </w:tc>
        <w:tc>
          <w:tcPr>
            <w:tcW w:w="268" w:type="pct"/>
            <w:vAlign w:val="center"/>
          </w:tcPr>
          <w:p w14:paraId="101E5CB7">
            <w:pPr>
              <w:pStyle w:val="28"/>
              <w:bidi w:val="0"/>
            </w:pPr>
            <w:r>
              <w:rPr>
                <w:rFonts w:hint="eastAsia"/>
              </w:rPr>
              <w:t>左岸</w:t>
            </w:r>
          </w:p>
        </w:tc>
        <w:tc>
          <w:tcPr>
            <w:tcW w:w="262" w:type="pct"/>
            <w:vAlign w:val="center"/>
          </w:tcPr>
          <w:p w14:paraId="42B3B30B">
            <w:pPr>
              <w:pStyle w:val="28"/>
              <w:bidi w:val="0"/>
            </w:pPr>
            <w:r>
              <w:t>1</w:t>
            </w:r>
            <w:r>
              <w:rPr>
                <w:rFonts w:hint="eastAsia"/>
              </w:rPr>
              <w:t>类</w:t>
            </w:r>
          </w:p>
        </w:tc>
        <w:tc>
          <w:tcPr>
            <w:tcW w:w="809" w:type="pct"/>
            <w:vMerge w:val="continue"/>
            <w:vAlign w:val="center"/>
          </w:tcPr>
          <w:p w14:paraId="1D791F87">
            <w:pPr>
              <w:pStyle w:val="28"/>
              <w:bidi w:val="0"/>
            </w:pPr>
          </w:p>
        </w:tc>
        <w:tc>
          <w:tcPr>
            <w:tcW w:w="208" w:type="pct"/>
            <w:vAlign w:val="center"/>
          </w:tcPr>
          <w:p w14:paraId="46DDB373">
            <w:pPr>
              <w:pStyle w:val="28"/>
              <w:bidi w:val="0"/>
            </w:pPr>
            <w:r>
              <w:t>53.1</w:t>
            </w:r>
          </w:p>
        </w:tc>
        <w:tc>
          <w:tcPr>
            <w:tcW w:w="211" w:type="pct"/>
            <w:vAlign w:val="center"/>
          </w:tcPr>
          <w:p w14:paraId="0E2BBEC0">
            <w:pPr>
              <w:pStyle w:val="28"/>
              <w:bidi w:val="0"/>
            </w:pPr>
            <w:r>
              <w:t>41.3</w:t>
            </w:r>
          </w:p>
        </w:tc>
        <w:tc>
          <w:tcPr>
            <w:tcW w:w="208" w:type="pct"/>
            <w:vAlign w:val="center"/>
          </w:tcPr>
          <w:p w14:paraId="6B8A18ED">
            <w:pPr>
              <w:pStyle w:val="28"/>
              <w:bidi w:val="0"/>
            </w:pPr>
            <w:r>
              <w:t>55</w:t>
            </w:r>
          </w:p>
        </w:tc>
        <w:tc>
          <w:tcPr>
            <w:tcW w:w="211" w:type="pct"/>
            <w:vAlign w:val="center"/>
          </w:tcPr>
          <w:p w14:paraId="3AA96260">
            <w:pPr>
              <w:pStyle w:val="28"/>
              <w:bidi w:val="0"/>
            </w:pPr>
            <w:r>
              <w:t>45</w:t>
            </w:r>
          </w:p>
        </w:tc>
        <w:tc>
          <w:tcPr>
            <w:tcW w:w="276" w:type="pct"/>
            <w:vAlign w:val="center"/>
          </w:tcPr>
          <w:p w14:paraId="2D84CD17">
            <w:pPr>
              <w:pStyle w:val="28"/>
              <w:bidi w:val="0"/>
            </w:pPr>
            <w:r>
              <w:t>55.9</w:t>
            </w:r>
          </w:p>
        </w:tc>
        <w:tc>
          <w:tcPr>
            <w:tcW w:w="257" w:type="pct"/>
            <w:vAlign w:val="center"/>
          </w:tcPr>
          <w:p w14:paraId="748570A1">
            <w:pPr>
              <w:pStyle w:val="28"/>
              <w:bidi w:val="0"/>
            </w:pPr>
            <w:r>
              <w:t>48.9</w:t>
            </w:r>
          </w:p>
        </w:tc>
        <w:tc>
          <w:tcPr>
            <w:tcW w:w="257" w:type="pct"/>
            <w:vAlign w:val="center"/>
          </w:tcPr>
          <w:p w14:paraId="7F58F636">
            <w:pPr>
              <w:pStyle w:val="28"/>
              <w:bidi w:val="0"/>
            </w:pPr>
            <w:r>
              <w:t>54.5</w:t>
            </w:r>
          </w:p>
        </w:tc>
        <w:tc>
          <w:tcPr>
            <w:tcW w:w="257" w:type="pct"/>
            <w:vAlign w:val="center"/>
          </w:tcPr>
          <w:p w14:paraId="7EE365CB">
            <w:pPr>
              <w:pStyle w:val="28"/>
              <w:bidi w:val="0"/>
            </w:pPr>
            <w:r>
              <w:t>1.4</w:t>
            </w:r>
          </w:p>
        </w:tc>
        <w:tc>
          <w:tcPr>
            <w:tcW w:w="209" w:type="pct"/>
            <w:vAlign w:val="center"/>
          </w:tcPr>
          <w:p w14:paraId="3FC818BA">
            <w:pPr>
              <w:pStyle w:val="28"/>
              <w:bidi w:val="0"/>
            </w:pPr>
            <w:r>
              <w:t>达标</w:t>
            </w:r>
          </w:p>
        </w:tc>
      </w:tr>
      <w:tr w14:paraId="27084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D0FC702">
            <w:pPr>
              <w:pStyle w:val="28"/>
              <w:bidi w:val="0"/>
            </w:pPr>
            <w:r>
              <w:rPr>
                <w:rFonts w:hint="eastAsia"/>
              </w:rPr>
              <w:t>汪庄</w:t>
            </w:r>
          </w:p>
        </w:tc>
        <w:tc>
          <w:tcPr>
            <w:tcW w:w="511" w:type="pct"/>
            <w:vAlign w:val="center"/>
          </w:tcPr>
          <w:p w14:paraId="2160B9D6">
            <w:pPr>
              <w:pStyle w:val="28"/>
              <w:bidi w:val="0"/>
            </w:pPr>
            <w:r>
              <w:rPr>
                <w:rFonts w:hint="eastAsia"/>
              </w:rPr>
              <w:t>豹子湾泄水闸</w:t>
            </w:r>
          </w:p>
        </w:tc>
        <w:tc>
          <w:tcPr>
            <w:tcW w:w="366" w:type="pct"/>
            <w:vAlign w:val="center"/>
          </w:tcPr>
          <w:p w14:paraId="1D02971F">
            <w:pPr>
              <w:pStyle w:val="28"/>
              <w:bidi w:val="0"/>
            </w:pPr>
            <w:r>
              <w:t>118</w:t>
            </w:r>
          </w:p>
        </w:tc>
        <w:tc>
          <w:tcPr>
            <w:tcW w:w="268" w:type="pct"/>
            <w:vAlign w:val="center"/>
          </w:tcPr>
          <w:p w14:paraId="45BFEF83">
            <w:pPr>
              <w:pStyle w:val="28"/>
              <w:bidi w:val="0"/>
            </w:pPr>
            <w:r>
              <w:rPr>
                <w:rFonts w:hint="eastAsia"/>
              </w:rPr>
              <w:t>右岸</w:t>
            </w:r>
          </w:p>
        </w:tc>
        <w:tc>
          <w:tcPr>
            <w:tcW w:w="262" w:type="pct"/>
            <w:vAlign w:val="center"/>
          </w:tcPr>
          <w:p w14:paraId="733BB7F6">
            <w:pPr>
              <w:pStyle w:val="28"/>
              <w:bidi w:val="0"/>
            </w:pPr>
            <w:r>
              <w:t>1</w:t>
            </w:r>
            <w:r>
              <w:rPr>
                <w:rFonts w:hint="eastAsia"/>
              </w:rPr>
              <w:t>类</w:t>
            </w:r>
          </w:p>
        </w:tc>
        <w:tc>
          <w:tcPr>
            <w:tcW w:w="809" w:type="pct"/>
            <w:vMerge w:val="continue"/>
            <w:vAlign w:val="center"/>
          </w:tcPr>
          <w:p w14:paraId="0C2DF4E7">
            <w:pPr>
              <w:pStyle w:val="28"/>
              <w:bidi w:val="0"/>
            </w:pPr>
          </w:p>
        </w:tc>
        <w:tc>
          <w:tcPr>
            <w:tcW w:w="208" w:type="pct"/>
            <w:vAlign w:val="center"/>
          </w:tcPr>
          <w:p w14:paraId="1C0A67C3">
            <w:pPr>
              <w:pStyle w:val="28"/>
              <w:bidi w:val="0"/>
            </w:pPr>
            <w:r>
              <w:t>53.1</w:t>
            </w:r>
          </w:p>
        </w:tc>
        <w:tc>
          <w:tcPr>
            <w:tcW w:w="211" w:type="pct"/>
            <w:vAlign w:val="center"/>
          </w:tcPr>
          <w:p w14:paraId="17BA7393">
            <w:pPr>
              <w:pStyle w:val="28"/>
              <w:bidi w:val="0"/>
            </w:pPr>
            <w:r>
              <w:t>41.3</w:t>
            </w:r>
          </w:p>
        </w:tc>
        <w:tc>
          <w:tcPr>
            <w:tcW w:w="208" w:type="pct"/>
            <w:vAlign w:val="center"/>
          </w:tcPr>
          <w:p w14:paraId="5223FE6E">
            <w:pPr>
              <w:pStyle w:val="28"/>
              <w:bidi w:val="0"/>
            </w:pPr>
            <w:r>
              <w:t>55</w:t>
            </w:r>
          </w:p>
        </w:tc>
        <w:tc>
          <w:tcPr>
            <w:tcW w:w="211" w:type="pct"/>
            <w:vAlign w:val="center"/>
          </w:tcPr>
          <w:p w14:paraId="41AFA216">
            <w:pPr>
              <w:pStyle w:val="28"/>
              <w:bidi w:val="0"/>
            </w:pPr>
            <w:r>
              <w:t>45</w:t>
            </w:r>
          </w:p>
        </w:tc>
        <w:tc>
          <w:tcPr>
            <w:tcW w:w="276" w:type="pct"/>
            <w:vAlign w:val="center"/>
          </w:tcPr>
          <w:p w14:paraId="1059DE3B">
            <w:pPr>
              <w:pStyle w:val="28"/>
              <w:bidi w:val="0"/>
            </w:pPr>
            <w:r>
              <w:t>51.8</w:t>
            </w:r>
          </w:p>
        </w:tc>
        <w:tc>
          <w:tcPr>
            <w:tcW w:w="257" w:type="pct"/>
            <w:vAlign w:val="center"/>
          </w:tcPr>
          <w:p w14:paraId="5203201E">
            <w:pPr>
              <w:pStyle w:val="28"/>
              <w:bidi w:val="0"/>
            </w:pPr>
            <w:r>
              <w:t>44.8</w:t>
            </w:r>
          </w:p>
        </w:tc>
        <w:tc>
          <w:tcPr>
            <w:tcW w:w="257" w:type="pct"/>
            <w:vAlign w:val="center"/>
          </w:tcPr>
          <w:p w14:paraId="00875499">
            <w:pPr>
              <w:pStyle w:val="28"/>
              <w:bidi w:val="0"/>
            </w:pPr>
            <w:r>
              <w:t>53.7</w:t>
            </w:r>
          </w:p>
        </w:tc>
        <w:tc>
          <w:tcPr>
            <w:tcW w:w="257" w:type="pct"/>
            <w:vAlign w:val="center"/>
          </w:tcPr>
          <w:p w14:paraId="6B689F8B">
            <w:pPr>
              <w:pStyle w:val="28"/>
              <w:bidi w:val="0"/>
            </w:pPr>
            <w:r>
              <w:t>0.6</w:t>
            </w:r>
          </w:p>
        </w:tc>
        <w:tc>
          <w:tcPr>
            <w:tcW w:w="209" w:type="pct"/>
            <w:vAlign w:val="center"/>
          </w:tcPr>
          <w:p w14:paraId="74837A22">
            <w:pPr>
              <w:pStyle w:val="28"/>
              <w:bidi w:val="0"/>
            </w:pPr>
            <w:r>
              <w:t>达标</w:t>
            </w:r>
          </w:p>
        </w:tc>
      </w:tr>
      <w:tr w14:paraId="1ED5CD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DFC8DF9">
            <w:pPr>
              <w:pStyle w:val="28"/>
              <w:bidi w:val="0"/>
            </w:pPr>
            <w:r>
              <w:rPr>
                <w:rFonts w:hint="eastAsia"/>
              </w:rPr>
              <w:t>润丰南湾小区</w:t>
            </w:r>
          </w:p>
        </w:tc>
        <w:tc>
          <w:tcPr>
            <w:tcW w:w="511" w:type="pct"/>
            <w:vAlign w:val="center"/>
          </w:tcPr>
          <w:p w14:paraId="0A1B133C">
            <w:pPr>
              <w:pStyle w:val="28"/>
              <w:bidi w:val="0"/>
            </w:pPr>
            <w:r>
              <w:rPr>
                <w:rFonts w:hint="eastAsia"/>
              </w:rPr>
              <w:t>管理道路</w:t>
            </w:r>
          </w:p>
        </w:tc>
        <w:tc>
          <w:tcPr>
            <w:tcW w:w="366" w:type="pct"/>
            <w:vAlign w:val="center"/>
          </w:tcPr>
          <w:p w14:paraId="4A01ACFB">
            <w:pPr>
              <w:pStyle w:val="28"/>
              <w:bidi w:val="0"/>
            </w:pPr>
            <w:r>
              <w:t>62</w:t>
            </w:r>
          </w:p>
        </w:tc>
        <w:tc>
          <w:tcPr>
            <w:tcW w:w="268" w:type="pct"/>
            <w:vAlign w:val="center"/>
          </w:tcPr>
          <w:p w14:paraId="03E2F74B">
            <w:pPr>
              <w:pStyle w:val="28"/>
              <w:bidi w:val="0"/>
            </w:pPr>
            <w:r>
              <w:rPr>
                <w:rFonts w:hint="eastAsia"/>
              </w:rPr>
              <w:t>左岸</w:t>
            </w:r>
          </w:p>
        </w:tc>
        <w:tc>
          <w:tcPr>
            <w:tcW w:w="262" w:type="pct"/>
            <w:vAlign w:val="center"/>
          </w:tcPr>
          <w:p w14:paraId="6CA5EB4C">
            <w:pPr>
              <w:pStyle w:val="28"/>
              <w:bidi w:val="0"/>
            </w:pPr>
            <w:r>
              <w:t>1</w:t>
            </w:r>
            <w:r>
              <w:rPr>
                <w:rFonts w:hint="eastAsia"/>
              </w:rPr>
              <w:t>类</w:t>
            </w:r>
          </w:p>
        </w:tc>
        <w:tc>
          <w:tcPr>
            <w:tcW w:w="809" w:type="pct"/>
            <w:vMerge w:val="continue"/>
            <w:vAlign w:val="center"/>
          </w:tcPr>
          <w:p w14:paraId="23EACCD8">
            <w:pPr>
              <w:pStyle w:val="28"/>
              <w:bidi w:val="0"/>
            </w:pPr>
          </w:p>
        </w:tc>
        <w:tc>
          <w:tcPr>
            <w:tcW w:w="208" w:type="pct"/>
            <w:vAlign w:val="center"/>
          </w:tcPr>
          <w:p w14:paraId="5E0ED9E5">
            <w:pPr>
              <w:pStyle w:val="28"/>
              <w:bidi w:val="0"/>
            </w:pPr>
            <w:r>
              <w:t>53.1</w:t>
            </w:r>
          </w:p>
        </w:tc>
        <w:tc>
          <w:tcPr>
            <w:tcW w:w="211" w:type="pct"/>
            <w:vAlign w:val="center"/>
          </w:tcPr>
          <w:p w14:paraId="623C509F">
            <w:pPr>
              <w:pStyle w:val="28"/>
              <w:bidi w:val="0"/>
            </w:pPr>
            <w:r>
              <w:t>41.3</w:t>
            </w:r>
          </w:p>
        </w:tc>
        <w:tc>
          <w:tcPr>
            <w:tcW w:w="208" w:type="pct"/>
            <w:vAlign w:val="center"/>
          </w:tcPr>
          <w:p w14:paraId="3B4BCAF7">
            <w:pPr>
              <w:pStyle w:val="28"/>
              <w:bidi w:val="0"/>
            </w:pPr>
            <w:r>
              <w:t>55</w:t>
            </w:r>
          </w:p>
        </w:tc>
        <w:tc>
          <w:tcPr>
            <w:tcW w:w="211" w:type="pct"/>
            <w:vAlign w:val="center"/>
          </w:tcPr>
          <w:p w14:paraId="3BC565D5">
            <w:pPr>
              <w:pStyle w:val="28"/>
              <w:bidi w:val="0"/>
            </w:pPr>
            <w:r>
              <w:t>45</w:t>
            </w:r>
          </w:p>
        </w:tc>
        <w:tc>
          <w:tcPr>
            <w:tcW w:w="276" w:type="pct"/>
            <w:vAlign w:val="center"/>
          </w:tcPr>
          <w:p w14:paraId="73753C60">
            <w:pPr>
              <w:pStyle w:val="28"/>
              <w:bidi w:val="0"/>
            </w:pPr>
            <w:r>
              <w:t>56.8</w:t>
            </w:r>
          </w:p>
        </w:tc>
        <w:tc>
          <w:tcPr>
            <w:tcW w:w="257" w:type="pct"/>
            <w:vAlign w:val="center"/>
          </w:tcPr>
          <w:p w14:paraId="6035C042">
            <w:pPr>
              <w:pStyle w:val="28"/>
              <w:bidi w:val="0"/>
            </w:pPr>
            <w:r>
              <w:t>49.8</w:t>
            </w:r>
          </w:p>
        </w:tc>
        <w:tc>
          <w:tcPr>
            <w:tcW w:w="257" w:type="pct"/>
            <w:vAlign w:val="center"/>
          </w:tcPr>
          <w:p w14:paraId="1D4E864B">
            <w:pPr>
              <w:pStyle w:val="28"/>
              <w:bidi w:val="0"/>
            </w:pPr>
            <w:r>
              <w:t>54.8</w:t>
            </w:r>
          </w:p>
        </w:tc>
        <w:tc>
          <w:tcPr>
            <w:tcW w:w="257" w:type="pct"/>
            <w:vAlign w:val="center"/>
          </w:tcPr>
          <w:p w14:paraId="7986210F">
            <w:pPr>
              <w:pStyle w:val="28"/>
              <w:bidi w:val="0"/>
            </w:pPr>
            <w:r>
              <w:t>1.7</w:t>
            </w:r>
          </w:p>
        </w:tc>
        <w:tc>
          <w:tcPr>
            <w:tcW w:w="209" w:type="pct"/>
            <w:vAlign w:val="center"/>
          </w:tcPr>
          <w:p w14:paraId="0A1DDEEC">
            <w:pPr>
              <w:pStyle w:val="28"/>
              <w:bidi w:val="0"/>
            </w:pPr>
            <w:r>
              <w:t>达标</w:t>
            </w:r>
          </w:p>
        </w:tc>
      </w:tr>
      <w:tr w14:paraId="5CF01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44D3D3C">
            <w:pPr>
              <w:pStyle w:val="28"/>
              <w:bidi w:val="0"/>
            </w:pPr>
            <w:r>
              <w:rPr>
                <w:rFonts w:hint="eastAsia"/>
              </w:rPr>
              <w:t>舒城县城市管理行政执法局</w:t>
            </w:r>
          </w:p>
        </w:tc>
        <w:tc>
          <w:tcPr>
            <w:tcW w:w="511" w:type="pct"/>
            <w:vAlign w:val="center"/>
          </w:tcPr>
          <w:p w14:paraId="2DF301BE">
            <w:pPr>
              <w:pStyle w:val="28"/>
              <w:bidi w:val="0"/>
            </w:pPr>
            <w:r>
              <w:rPr>
                <w:rFonts w:hint="eastAsia"/>
              </w:rPr>
              <w:t>渠道护砌</w:t>
            </w:r>
          </w:p>
        </w:tc>
        <w:tc>
          <w:tcPr>
            <w:tcW w:w="366" w:type="pct"/>
            <w:vAlign w:val="center"/>
          </w:tcPr>
          <w:p w14:paraId="38AB0C4B">
            <w:pPr>
              <w:pStyle w:val="28"/>
              <w:bidi w:val="0"/>
            </w:pPr>
            <w:r>
              <w:t>200</w:t>
            </w:r>
          </w:p>
        </w:tc>
        <w:tc>
          <w:tcPr>
            <w:tcW w:w="268" w:type="pct"/>
            <w:vAlign w:val="center"/>
          </w:tcPr>
          <w:p w14:paraId="2081E871">
            <w:pPr>
              <w:pStyle w:val="28"/>
              <w:bidi w:val="0"/>
            </w:pPr>
            <w:r>
              <w:rPr>
                <w:rFonts w:hint="eastAsia"/>
              </w:rPr>
              <w:t>右岸</w:t>
            </w:r>
          </w:p>
        </w:tc>
        <w:tc>
          <w:tcPr>
            <w:tcW w:w="262" w:type="pct"/>
            <w:vAlign w:val="center"/>
          </w:tcPr>
          <w:p w14:paraId="457DF76E">
            <w:pPr>
              <w:pStyle w:val="28"/>
              <w:bidi w:val="0"/>
            </w:pPr>
            <w:r>
              <w:t>1</w:t>
            </w:r>
            <w:r>
              <w:rPr>
                <w:rFonts w:hint="eastAsia"/>
              </w:rPr>
              <w:t>类</w:t>
            </w:r>
          </w:p>
        </w:tc>
        <w:tc>
          <w:tcPr>
            <w:tcW w:w="809" w:type="pct"/>
            <w:vMerge w:val="continue"/>
            <w:vAlign w:val="center"/>
          </w:tcPr>
          <w:p w14:paraId="220701AD">
            <w:pPr>
              <w:pStyle w:val="28"/>
              <w:bidi w:val="0"/>
            </w:pPr>
          </w:p>
        </w:tc>
        <w:tc>
          <w:tcPr>
            <w:tcW w:w="208" w:type="pct"/>
            <w:vAlign w:val="center"/>
          </w:tcPr>
          <w:p w14:paraId="4C604A0F">
            <w:pPr>
              <w:pStyle w:val="28"/>
              <w:bidi w:val="0"/>
            </w:pPr>
            <w:r>
              <w:t>53.1</w:t>
            </w:r>
          </w:p>
        </w:tc>
        <w:tc>
          <w:tcPr>
            <w:tcW w:w="211" w:type="pct"/>
            <w:vAlign w:val="center"/>
          </w:tcPr>
          <w:p w14:paraId="3D816D05">
            <w:pPr>
              <w:pStyle w:val="28"/>
              <w:bidi w:val="0"/>
            </w:pPr>
            <w:r>
              <w:t>41.3</w:t>
            </w:r>
          </w:p>
        </w:tc>
        <w:tc>
          <w:tcPr>
            <w:tcW w:w="208" w:type="pct"/>
            <w:vAlign w:val="center"/>
          </w:tcPr>
          <w:p w14:paraId="3BF06BB8">
            <w:pPr>
              <w:pStyle w:val="28"/>
              <w:bidi w:val="0"/>
            </w:pPr>
            <w:r>
              <w:t>55</w:t>
            </w:r>
          </w:p>
        </w:tc>
        <w:tc>
          <w:tcPr>
            <w:tcW w:w="211" w:type="pct"/>
            <w:vAlign w:val="center"/>
          </w:tcPr>
          <w:p w14:paraId="2BA52844">
            <w:pPr>
              <w:pStyle w:val="28"/>
              <w:bidi w:val="0"/>
            </w:pPr>
            <w:r>
              <w:t>45</w:t>
            </w:r>
          </w:p>
        </w:tc>
        <w:tc>
          <w:tcPr>
            <w:tcW w:w="276" w:type="pct"/>
            <w:vAlign w:val="center"/>
          </w:tcPr>
          <w:p w14:paraId="753A531A">
            <w:pPr>
              <w:pStyle w:val="28"/>
              <w:bidi w:val="0"/>
            </w:pPr>
            <w:r>
              <w:t>45.8</w:t>
            </w:r>
          </w:p>
        </w:tc>
        <w:tc>
          <w:tcPr>
            <w:tcW w:w="257" w:type="pct"/>
            <w:vAlign w:val="center"/>
          </w:tcPr>
          <w:p w14:paraId="24311933">
            <w:pPr>
              <w:pStyle w:val="28"/>
              <w:bidi w:val="0"/>
            </w:pPr>
            <w:r>
              <w:t>38.8</w:t>
            </w:r>
          </w:p>
        </w:tc>
        <w:tc>
          <w:tcPr>
            <w:tcW w:w="257" w:type="pct"/>
            <w:vAlign w:val="center"/>
          </w:tcPr>
          <w:p w14:paraId="03D243D6">
            <w:pPr>
              <w:pStyle w:val="28"/>
              <w:bidi w:val="0"/>
            </w:pPr>
            <w:r>
              <w:t>53.3</w:t>
            </w:r>
          </w:p>
        </w:tc>
        <w:tc>
          <w:tcPr>
            <w:tcW w:w="257" w:type="pct"/>
            <w:vAlign w:val="center"/>
          </w:tcPr>
          <w:p w14:paraId="3D29BF6B">
            <w:pPr>
              <w:pStyle w:val="28"/>
              <w:bidi w:val="0"/>
            </w:pPr>
            <w:r>
              <w:t>0.2</w:t>
            </w:r>
          </w:p>
        </w:tc>
        <w:tc>
          <w:tcPr>
            <w:tcW w:w="209" w:type="pct"/>
            <w:vAlign w:val="center"/>
          </w:tcPr>
          <w:p w14:paraId="33B043A7">
            <w:pPr>
              <w:pStyle w:val="28"/>
              <w:bidi w:val="0"/>
            </w:pPr>
            <w:r>
              <w:t>达标</w:t>
            </w:r>
          </w:p>
        </w:tc>
      </w:tr>
      <w:tr w14:paraId="7337E6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A08F4DB">
            <w:pPr>
              <w:pStyle w:val="28"/>
              <w:bidi w:val="0"/>
            </w:pPr>
            <w:r>
              <w:rPr>
                <w:rFonts w:hint="eastAsia"/>
              </w:rPr>
              <w:t>临水雅居</w:t>
            </w:r>
          </w:p>
        </w:tc>
        <w:tc>
          <w:tcPr>
            <w:tcW w:w="511" w:type="pct"/>
            <w:vAlign w:val="center"/>
          </w:tcPr>
          <w:p w14:paraId="7EFCB145">
            <w:pPr>
              <w:pStyle w:val="28"/>
              <w:bidi w:val="0"/>
            </w:pPr>
            <w:r>
              <w:rPr>
                <w:rFonts w:hint="eastAsia"/>
              </w:rPr>
              <w:t>古城支渠进水闸维修加固</w:t>
            </w:r>
          </w:p>
        </w:tc>
        <w:tc>
          <w:tcPr>
            <w:tcW w:w="366" w:type="pct"/>
            <w:vAlign w:val="center"/>
          </w:tcPr>
          <w:p w14:paraId="0DA5016C">
            <w:pPr>
              <w:pStyle w:val="28"/>
              <w:bidi w:val="0"/>
            </w:pPr>
            <w:r>
              <w:t>212</w:t>
            </w:r>
          </w:p>
        </w:tc>
        <w:tc>
          <w:tcPr>
            <w:tcW w:w="268" w:type="pct"/>
            <w:vAlign w:val="center"/>
          </w:tcPr>
          <w:p w14:paraId="56E073C9">
            <w:pPr>
              <w:pStyle w:val="28"/>
              <w:bidi w:val="0"/>
            </w:pPr>
            <w:r>
              <w:rPr>
                <w:rFonts w:hint="eastAsia"/>
              </w:rPr>
              <w:t>左岸</w:t>
            </w:r>
          </w:p>
        </w:tc>
        <w:tc>
          <w:tcPr>
            <w:tcW w:w="262" w:type="pct"/>
            <w:vAlign w:val="center"/>
          </w:tcPr>
          <w:p w14:paraId="38C88513">
            <w:pPr>
              <w:pStyle w:val="28"/>
              <w:bidi w:val="0"/>
            </w:pPr>
            <w:r>
              <w:t>1</w:t>
            </w:r>
            <w:r>
              <w:rPr>
                <w:rFonts w:hint="eastAsia"/>
              </w:rPr>
              <w:t>类</w:t>
            </w:r>
          </w:p>
        </w:tc>
        <w:tc>
          <w:tcPr>
            <w:tcW w:w="809" w:type="pct"/>
            <w:vMerge w:val="continue"/>
            <w:vAlign w:val="center"/>
          </w:tcPr>
          <w:p w14:paraId="12803152">
            <w:pPr>
              <w:pStyle w:val="28"/>
              <w:bidi w:val="0"/>
            </w:pPr>
          </w:p>
        </w:tc>
        <w:tc>
          <w:tcPr>
            <w:tcW w:w="208" w:type="pct"/>
            <w:vAlign w:val="center"/>
          </w:tcPr>
          <w:p w14:paraId="6CF57AF5">
            <w:pPr>
              <w:pStyle w:val="28"/>
              <w:bidi w:val="0"/>
            </w:pPr>
            <w:r>
              <w:t>53.1</w:t>
            </w:r>
          </w:p>
        </w:tc>
        <w:tc>
          <w:tcPr>
            <w:tcW w:w="211" w:type="pct"/>
            <w:vAlign w:val="center"/>
          </w:tcPr>
          <w:p w14:paraId="3974FE6A">
            <w:pPr>
              <w:pStyle w:val="28"/>
              <w:bidi w:val="0"/>
            </w:pPr>
            <w:r>
              <w:t>41.3</w:t>
            </w:r>
          </w:p>
        </w:tc>
        <w:tc>
          <w:tcPr>
            <w:tcW w:w="208" w:type="pct"/>
            <w:vAlign w:val="center"/>
          </w:tcPr>
          <w:p w14:paraId="5918D7C9">
            <w:pPr>
              <w:pStyle w:val="28"/>
              <w:bidi w:val="0"/>
            </w:pPr>
            <w:r>
              <w:t>55</w:t>
            </w:r>
          </w:p>
        </w:tc>
        <w:tc>
          <w:tcPr>
            <w:tcW w:w="211" w:type="pct"/>
            <w:vAlign w:val="center"/>
          </w:tcPr>
          <w:p w14:paraId="3778EDF8">
            <w:pPr>
              <w:pStyle w:val="28"/>
              <w:bidi w:val="0"/>
            </w:pPr>
            <w:r>
              <w:t>45</w:t>
            </w:r>
          </w:p>
        </w:tc>
        <w:tc>
          <w:tcPr>
            <w:tcW w:w="276" w:type="pct"/>
            <w:vAlign w:val="center"/>
          </w:tcPr>
          <w:p w14:paraId="0B3E464E">
            <w:pPr>
              <w:pStyle w:val="28"/>
              <w:bidi w:val="0"/>
            </w:pPr>
            <w:r>
              <w:t>46.7</w:t>
            </w:r>
          </w:p>
        </w:tc>
        <w:tc>
          <w:tcPr>
            <w:tcW w:w="257" w:type="pct"/>
            <w:vAlign w:val="center"/>
          </w:tcPr>
          <w:p w14:paraId="7A7724F1">
            <w:pPr>
              <w:pStyle w:val="28"/>
              <w:bidi w:val="0"/>
            </w:pPr>
            <w:r>
              <w:t>39.7</w:t>
            </w:r>
          </w:p>
        </w:tc>
        <w:tc>
          <w:tcPr>
            <w:tcW w:w="257" w:type="pct"/>
            <w:vAlign w:val="center"/>
          </w:tcPr>
          <w:p w14:paraId="451FC73F">
            <w:pPr>
              <w:pStyle w:val="28"/>
              <w:bidi w:val="0"/>
            </w:pPr>
            <w:r>
              <w:t>53.3</w:t>
            </w:r>
          </w:p>
        </w:tc>
        <w:tc>
          <w:tcPr>
            <w:tcW w:w="257" w:type="pct"/>
            <w:vAlign w:val="center"/>
          </w:tcPr>
          <w:p w14:paraId="655A5FA5">
            <w:pPr>
              <w:pStyle w:val="28"/>
              <w:bidi w:val="0"/>
            </w:pPr>
            <w:r>
              <w:t>0.2</w:t>
            </w:r>
          </w:p>
        </w:tc>
        <w:tc>
          <w:tcPr>
            <w:tcW w:w="209" w:type="pct"/>
            <w:vAlign w:val="center"/>
          </w:tcPr>
          <w:p w14:paraId="4948D805">
            <w:pPr>
              <w:pStyle w:val="28"/>
              <w:bidi w:val="0"/>
            </w:pPr>
            <w:r>
              <w:t>达标</w:t>
            </w:r>
          </w:p>
        </w:tc>
      </w:tr>
      <w:tr w14:paraId="6EF13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249EA01">
            <w:pPr>
              <w:pStyle w:val="28"/>
              <w:bidi w:val="0"/>
            </w:pPr>
            <w:r>
              <w:rPr>
                <w:rFonts w:hint="eastAsia"/>
              </w:rPr>
              <w:t>舒城县城镇住房保障办公室</w:t>
            </w:r>
          </w:p>
        </w:tc>
        <w:tc>
          <w:tcPr>
            <w:tcW w:w="511" w:type="pct"/>
            <w:vAlign w:val="center"/>
          </w:tcPr>
          <w:p w14:paraId="25164701">
            <w:pPr>
              <w:pStyle w:val="28"/>
              <w:bidi w:val="0"/>
            </w:pPr>
            <w:r>
              <w:rPr>
                <w:rFonts w:hint="eastAsia"/>
              </w:rPr>
              <w:t>古城支渠进水闸维修加固</w:t>
            </w:r>
          </w:p>
        </w:tc>
        <w:tc>
          <w:tcPr>
            <w:tcW w:w="366" w:type="pct"/>
            <w:vAlign w:val="center"/>
          </w:tcPr>
          <w:p w14:paraId="65A6E136">
            <w:pPr>
              <w:pStyle w:val="28"/>
              <w:bidi w:val="0"/>
            </w:pPr>
            <w:r>
              <w:t>8</w:t>
            </w:r>
          </w:p>
        </w:tc>
        <w:tc>
          <w:tcPr>
            <w:tcW w:w="268" w:type="pct"/>
            <w:vAlign w:val="center"/>
          </w:tcPr>
          <w:p w14:paraId="2806560A">
            <w:pPr>
              <w:pStyle w:val="28"/>
              <w:bidi w:val="0"/>
            </w:pPr>
            <w:r>
              <w:rPr>
                <w:rFonts w:hint="eastAsia"/>
              </w:rPr>
              <w:t>左岸</w:t>
            </w:r>
          </w:p>
        </w:tc>
        <w:tc>
          <w:tcPr>
            <w:tcW w:w="262" w:type="pct"/>
            <w:vAlign w:val="center"/>
          </w:tcPr>
          <w:p w14:paraId="78278409">
            <w:pPr>
              <w:pStyle w:val="28"/>
              <w:bidi w:val="0"/>
            </w:pPr>
            <w:r>
              <w:t>1</w:t>
            </w:r>
            <w:r>
              <w:rPr>
                <w:rFonts w:hint="eastAsia"/>
              </w:rPr>
              <w:t>类</w:t>
            </w:r>
          </w:p>
        </w:tc>
        <w:tc>
          <w:tcPr>
            <w:tcW w:w="809" w:type="pct"/>
            <w:vAlign w:val="center"/>
          </w:tcPr>
          <w:p w14:paraId="7417D7D5">
            <w:pPr>
              <w:pStyle w:val="28"/>
              <w:bidi w:val="0"/>
            </w:pPr>
            <w:r>
              <w:rPr>
                <w:rFonts w:hint="eastAsia"/>
              </w:rPr>
              <w:t>采用低噪声设备，施工机械远离居民住宅，设置双层移动声屏障</w:t>
            </w:r>
          </w:p>
        </w:tc>
        <w:tc>
          <w:tcPr>
            <w:tcW w:w="208" w:type="pct"/>
            <w:vAlign w:val="center"/>
          </w:tcPr>
          <w:p w14:paraId="04F6F518">
            <w:pPr>
              <w:pStyle w:val="28"/>
              <w:bidi w:val="0"/>
            </w:pPr>
            <w:r>
              <w:t>53.1</w:t>
            </w:r>
          </w:p>
        </w:tc>
        <w:tc>
          <w:tcPr>
            <w:tcW w:w="211" w:type="pct"/>
            <w:vAlign w:val="center"/>
          </w:tcPr>
          <w:p w14:paraId="1723B0B7">
            <w:pPr>
              <w:pStyle w:val="28"/>
              <w:bidi w:val="0"/>
            </w:pPr>
            <w:r>
              <w:t>41.3</w:t>
            </w:r>
          </w:p>
        </w:tc>
        <w:tc>
          <w:tcPr>
            <w:tcW w:w="208" w:type="pct"/>
            <w:vAlign w:val="center"/>
          </w:tcPr>
          <w:p w14:paraId="28F808BA">
            <w:pPr>
              <w:pStyle w:val="28"/>
              <w:bidi w:val="0"/>
            </w:pPr>
            <w:r>
              <w:t>55</w:t>
            </w:r>
          </w:p>
        </w:tc>
        <w:tc>
          <w:tcPr>
            <w:tcW w:w="211" w:type="pct"/>
            <w:vAlign w:val="center"/>
          </w:tcPr>
          <w:p w14:paraId="2DFE5AEB">
            <w:pPr>
              <w:pStyle w:val="28"/>
              <w:bidi w:val="0"/>
            </w:pPr>
            <w:r>
              <w:t>45</w:t>
            </w:r>
          </w:p>
        </w:tc>
        <w:tc>
          <w:tcPr>
            <w:tcW w:w="276" w:type="pct"/>
            <w:vAlign w:val="center"/>
          </w:tcPr>
          <w:p w14:paraId="74F6DD2F">
            <w:pPr>
              <w:pStyle w:val="28"/>
              <w:bidi w:val="0"/>
            </w:pPr>
            <w:r>
              <w:t>75.1</w:t>
            </w:r>
          </w:p>
        </w:tc>
        <w:tc>
          <w:tcPr>
            <w:tcW w:w="257" w:type="pct"/>
            <w:vAlign w:val="center"/>
          </w:tcPr>
          <w:p w14:paraId="6495A6C0">
            <w:pPr>
              <w:pStyle w:val="28"/>
              <w:bidi w:val="0"/>
            </w:pPr>
            <w:r>
              <w:t>50.1</w:t>
            </w:r>
          </w:p>
        </w:tc>
        <w:tc>
          <w:tcPr>
            <w:tcW w:w="257" w:type="pct"/>
            <w:vAlign w:val="center"/>
          </w:tcPr>
          <w:p w14:paraId="1B91493A">
            <w:pPr>
              <w:pStyle w:val="28"/>
              <w:bidi w:val="0"/>
            </w:pPr>
            <w:r>
              <w:t>54.9</w:t>
            </w:r>
          </w:p>
        </w:tc>
        <w:tc>
          <w:tcPr>
            <w:tcW w:w="257" w:type="pct"/>
            <w:vAlign w:val="center"/>
          </w:tcPr>
          <w:p w14:paraId="30614A91">
            <w:pPr>
              <w:pStyle w:val="28"/>
              <w:bidi w:val="0"/>
            </w:pPr>
            <w:r>
              <w:t>1.8</w:t>
            </w:r>
          </w:p>
        </w:tc>
        <w:tc>
          <w:tcPr>
            <w:tcW w:w="209" w:type="pct"/>
            <w:vAlign w:val="center"/>
          </w:tcPr>
          <w:p w14:paraId="79CFE3C7">
            <w:pPr>
              <w:pStyle w:val="28"/>
              <w:bidi w:val="0"/>
            </w:pPr>
            <w:r>
              <w:t>达标</w:t>
            </w:r>
          </w:p>
        </w:tc>
      </w:tr>
      <w:tr w14:paraId="069EF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5F6A31F">
            <w:pPr>
              <w:pStyle w:val="28"/>
              <w:bidi w:val="0"/>
            </w:pPr>
            <w:r>
              <w:rPr>
                <w:rFonts w:hint="eastAsia"/>
              </w:rPr>
              <w:t>舒城县市政所</w:t>
            </w:r>
          </w:p>
        </w:tc>
        <w:tc>
          <w:tcPr>
            <w:tcW w:w="511" w:type="pct"/>
            <w:vAlign w:val="center"/>
          </w:tcPr>
          <w:p w14:paraId="40864578">
            <w:pPr>
              <w:pStyle w:val="28"/>
              <w:bidi w:val="0"/>
            </w:pPr>
            <w:r>
              <w:rPr>
                <w:rFonts w:hint="eastAsia"/>
              </w:rPr>
              <w:t>古城支渠进水闸维修加固</w:t>
            </w:r>
          </w:p>
        </w:tc>
        <w:tc>
          <w:tcPr>
            <w:tcW w:w="366" w:type="pct"/>
            <w:vAlign w:val="center"/>
          </w:tcPr>
          <w:p w14:paraId="192EF767">
            <w:pPr>
              <w:pStyle w:val="28"/>
              <w:bidi w:val="0"/>
            </w:pPr>
            <w:r>
              <w:t>99</w:t>
            </w:r>
          </w:p>
        </w:tc>
        <w:tc>
          <w:tcPr>
            <w:tcW w:w="268" w:type="pct"/>
            <w:vAlign w:val="center"/>
          </w:tcPr>
          <w:p w14:paraId="196610B5">
            <w:pPr>
              <w:pStyle w:val="28"/>
              <w:bidi w:val="0"/>
            </w:pPr>
            <w:r>
              <w:rPr>
                <w:rFonts w:hint="eastAsia"/>
              </w:rPr>
              <w:t>右岸</w:t>
            </w:r>
          </w:p>
        </w:tc>
        <w:tc>
          <w:tcPr>
            <w:tcW w:w="262" w:type="pct"/>
            <w:vAlign w:val="center"/>
          </w:tcPr>
          <w:p w14:paraId="48EE30BC">
            <w:pPr>
              <w:pStyle w:val="28"/>
              <w:bidi w:val="0"/>
            </w:pPr>
            <w:r>
              <w:t>1</w:t>
            </w:r>
            <w:r>
              <w:rPr>
                <w:rFonts w:hint="eastAsia"/>
              </w:rPr>
              <w:t>类</w:t>
            </w:r>
          </w:p>
        </w:tc>
        <w:tc>
          <w:tcPr>
            <w:tcW w:w="809" w:type="pct"/>
            <w:vMerge w:val="restart"/>
            <w:vAlign w:val="center"/>
          </w:tcPr>
          <w:p w14:paraId="205CF660">
            <w:pPr>
              <w:pStyle w:val="28"/>
              <w:bidi w:val="0"/>
            </w:pPr>
            <w:r>
              <w:rPr>
                <w:rFonts w:hint="eastAsia"/>
              </w:rPr>
              <w:t>采用低噪声设备，施工机械远离居民住宅</w:t>
            </w:r>
          </w:p>
        </w:tc>
        <w:tc>
          <w:tcPr>
            <w:tcW w:w="208" w:type="pct"/>
            <w:vAlign w:val="center"/>
          </w:tcPr>
          <w:p w14:paraId="6651F2A3">
            <w:pPr>
              <w:pStyle w:val="28"/>
              <w:bidi w:val="0"/>
            </w:pPr>
            <w:r>
              <w:t>53.1</w:t>
            </w:r>
          </w:p>
        </w:tc>
        <w:tc>
          <w:tcPr>
            <w:tcW w:w="211" w:type="pct"/>
            <w:vAlign w:val="center"/>
          </w:tcPr>
          <w:p w14:paraId="7EBFA8C6">
            <w:pPr>
              <w:pStyle w:val="28"/>
              <w:bidi w:val="0"/>
            </w:pPr>
            <w:r>
              <w:t>41.3</w:t>
            </w:r>
          </w:p>
        </w:tc>
        <w:tc>
          <w:tcPr>
            <w:tcW w:w="208" w:type="pct"/>
            <w:vAlign w:val="center"/>
          </w:tcPr>
          <w:p w14:paraId="0CDA1814">
            <w:pPr>
              <w:pStyle w:val="28"/>
              <w:bidi w:val="0"/>
            </w:pPr>
            <w:r>
              <w:t>55</w:t>
            </w:r>
          </w:p>
        </w:tc>
        <w:tc>
          <w:tcPr>
            <w:tcW w:w="211" w:type="pct"/>
            <w:vAlign w:val="center"/>
          </w:tcPr>
          <w:p w14:paraId="42A48AE4">
            <w:pPr>
              <w:pStyle w:val="28"/>
              <w:bidi w:val="0"/>
            </w:pPr>
            <w:r>
              <w:t>45</w:t>
            </w:r>
          </w:p>
        </w:tc>
        <w:tc>
          <w:tcPr>
            <w:tcW w:w="276" w:type="pct"/>
            <w:vAlign w:val="center"/>
          </w:tcPr>
          <w:p w14:paraId="2B9A2663">
            <w:pPr>
              <w:pStyle w:val="28"/>
              <w:bidi w:val="0"/>
            </w:pPr>
            <w:r>
              <w:t>53.3</w:t>
            </w:r>
          </w:p>
        </w:tc>
        <w:tc>
          <w:tcPr>
            <w:tcW w:w="257" w:type="pct"/>
            <w:vAlign w:val="center"/>
          </w:tcPr>
          <w:p w14:paraId="22BE3B08">
            <w:pPr>
              <w:pStyle w:val="28"/>
              <w:bidi w:val="0"/>
            </w:pPr>
            <w:r>
              <w:t>46.3</w:t>
            </w:r>
          </w:p>
        </w:tc>
        <w:tc>
          <w:tcPr>
            <w:tcW w:w="257" w:type="pct"/>
            <w:vAlign w:val="center"/>
          </w:tcPr>
          <w:p w14:paraId="780A7DF7">
            <w:pPr>
              <w:pStyle w:val="28"/>
              <w:bidi w:val="0"/>
            </w:pPr>
            <w:r>
              <w:t>53.9</w:t>
            </w:r>
          </w:p>
        </w:tc>
        <w:tc>
          <w:tcPr>
            <w:tcW w:w="257" w:type="pct"/>
            <w:vAlign w:val="center"/>
          </w:tcPr>
          <w:p w14:paraId="7488D1C5">
            <w:pPr>
              <w:pStyle w:val="28"/>
              <w:bidi w:val="0"/>
            </w:pPr>
            <w:r>
              <w:t>0.8</w:t>
            </w:r>
          </w:p>
        </w:tc>
        <w:tc>
          <w:tcPr>
            <w:tcW w:w="209" w:type="pct"/>
            <w:vAlign w:val="center"/>
          </w:tcPr>
          <w:p w14:paraId="63E89821">
            <w:pPr>
              <w:pStyle w:val="28"/>
              <w:bidi w:val="0"/>
            </w:pPr>
            <w:r>
              <w:t>达标</w:t>
            </w:r>
          </w:p>
        </w:tc>
      </w:tr>
      <w:tr w14:paraId="2BA7D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0B30BA6">
            <w:pPr>
              <w:pStyle w:val="28"/>
              <w:bidi w:val="0"/>
            </w:pPr>
            <w:r>
              <w:rPr>
                <w:rFonts w:hint="eastAsia"/>
              </w:rPr>
              <w:t>大斗门</w:t>
            </w:r>
          </w:p>
        </w:tc>
        <w:tc>
          <w:tcPr>
            <w:tcW w:w="511" w:type="pct"/>
            <w:vAlign w:val="center"/>
          </w:tcPr>
          <w:p w14:paraId="28785381">
            <w:pPr>
              <w:pStyle w:val="28"/>
              <w:bidi w:val="0"/>
            </w:pPr>
            <w:r>
              <w:rPr>
                <w:rFonts w:hint="eastAsia"/>
              </w:rPr>
              <w:t>古城支渠进水闸维修加固</w:t>
            </w:r>
          </w:p>
        </w:tc>
        <w:tc>
          <w:tcPr>
            <w:tcW w:w="366" w:type="pct"/>
            <w:vAlign w:val="center"/>
          </w:tcPr>
          <w:p w14:paraId="709E4E6E">
            <w:pPr>
              <w:pStyle w:val="28"/>
              <w:bidi w:val="0"/>
            </w:pPr>
            <w:r>
              <w:t>169</w:t>
            </w:r>
          </w:p>
        </w:tc>
        <w:tc>
          <w:tcPr>
            <w:tcW w:w="268" w:type="pct"/>
            <w:vAlign w:val="center"/>
          </w:tcPr>
          <w:p w14:paraId="7578203B">
            <w:pPr>
              <w:pStyle w:val="28"/>
              <w:bidi w:val="0"/>
            </w:pPr>
            <w:r>
              <w:rPr>
                <w:rFonts w:hint="eastAsia"/>
              </w:rPr>
              <w:t>左岸</w:t>
            </w:r>
          </w:p>
        </w:tc>
        <w:tc>
          <w:tcPr>
            <w:tcW w:w="262" w:type="pct"/>
            <w:vAlign w:val="center"/>
          </w:tcPr>
          <w:p w14:paraId="56D7FF6B">
            <w:pPr>
              <w:pStyle w:val="28"/>
              <w:bidi w:val="0"/>
            </w:pPr>
            <w:r>
              <w:t>1</w:t>
            </w:r>
            <w:r>
              <w:rPr>
                <w:rFonts w:hint="eastAsia"/>
              </w:rPr>
              <w:t>类</w:t>
            </w:r>
          </w:p>
        </w:tc>
        <w:tc>
          <w:tcPr>
            <w:tcW w:w="809" w:type="pct"/>
            <w:vMerge w:val="continue"/>
            <w:vAlign w:val="center"/>
          </w:tcPr>
          <w:p w14:paraId="3A9AB608">
            <w:pPr>
              <w:pStyle w:val="28"/>
              <w:bidi w:val="0"/>
            </w:pPr>
          </w:p>
        </w:tc>
        <w:tc>
          <w:tcPr>
            <w:tcW w:w="208" w:type="pct"/>
            <w:vAlign w:val="center"/>
          </w:tcPr>
          <w:p w14:paraId="6BEF59E1">
            <w:pPr>
              <w:pStyle w:val="28"/>
              <w:bidi w:val="0"/>
            </w:pPr>
            <w:r>
              <w:t>53.1</w:t>
            </w:r>
          </w:p>
        </w:tc>
        <w:tc>
          <w:tcPr>
            <w:tcW w:w="211" w:type="pct"/>
            <w:vAlign w:val="center"/>
          </w:tcPr>
          <w:p w14:paraId="53917519">
            <w:pPr>
              <w:pStyle w:val="28"/>
              <w:bidi w:val="0"/>
            </w:pPr>
            <w:r>
              <w:t>41.3</w:t>
            </w:r>
          </w:p>
        </w:tc>
        <w:tc>
          <w:tcPr>
            <w:tcW w:w="208" w:type="pct"/>
            <w:vAlign w:val="center"/>
          </w:tcPr>
          <w:p w14:paraId="1409AEE0">
            <w:pPr>
              <w:pStyle w:val="28"/>
              <w:bidi w:val="0"/>
            </w:pPr>
            <w:r>
              <w:t>55</w:t>
            </w:r>
          </w:p>
        </w:tc>
        <w:tc>
          <w:tcPr>
            <w:tcW w:w="211" w:type="pct"/>
            <w:vAlign w:val="center"/>
          </w:tcPr>
          <w:p w14:paraId="2330BE8C">
            <w:pPr>
              <w:pStyle w:val="28"/>
              <w:bidi w:val="0"/>
            </w:pPr>
            <w:r>
              <w:t>45</w:t>
            </w:r>
          </w:p>
        </w:tc>
        <w:tc>
          <w:tcPr>
            <w:tcW w:w="276" w:type="pct"/>
            <w:vAlign w:val="center"/>
          </w:tcPr>
          <w:p w14:paraId="36630CF5">
            <w:pPr>
              <w:pStyle w:val="28"/>
              <w:bidi w:val="0"/>
            </w:pPr>
            <w:r>
              <w:t>48.7</w:t>
            </w:r>
          </w:p>
        </w:tc>
        <w:tc>
          <w:tcPr>
            <w:tcW w:w="257" w:type="pct"/>
            <w:vAlign w:val="center"/>
          </w:tcPr>
          <w:p w14:paraId="769389EF">
            <w:pPr>
              <w:pStyle w:val="28"/>
              <w:bidi w:val="0"/>
            </w:pPr>
            <w:r>
              <w:t>41.7</w:t>
            </w:r>
          </w:p>
        </w:tc>
        <w:tc>
          <w:tcPr>
            <w:tcW w:w="257" w:type="pct"/>
            <w:vAlign w:val="center"/>
          </w:tcPr>
          <w:p w14:paraId="548C9182">
            <w:pPr>
              <w:pStyle w:val="28"/>
              <w:bidi w:val="0"/>
            </w:pPr>
            <w:r>
              <w:t>53.4</w:t>
            </w:r>
          </w:p>
        </w:tc>
        <w:tc>
          <w:tcPr>
            <w:tcW w:w="257" w:type="pct"/>
            <w:vAlign w:val="center"/>
          </w:tcPr>
          <w:p w14:paraId="6F9B8EEA">
            <w:pPr>
              <w:pStyle w:val="28"/>
              <w:bidi w:val="0"/>
            </w:pPr>
            <w:r>
              <w:t>0.3</w:t>
            </w:r>
          </w:p>
        </w:tc>
        <w:tc>
          <w:tcPr>
            <w:tcW w:w="209" w:type="pct"/>
            <w:vAlign w:val="center"/>
          </w:tcPr>
          <w:p w14:paraId="62E0F987">
            <w:pPr>
              <w:pStyle w:val="28"/>
              <w:bidi w:val="0"/>
            </w:pPr>
            <w:r>
              <w:t>达标</w:t>
            </w:r>
          </w:p>
        </w:tc>
      </w:tr>
      <w:tr w14:paraId="3E25AE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25E1345">
            <w:pPr>
              <w:pStyle w:val="28"/>
              <w:bidi w:val="0"/>
            </w:pPr>
            <w:r>
              <w:rPr>
                <w:rFonts w:hint="eastAsia"/>
              </w:rPr>
              <w:t>舒勤村</w:t>
            </w:r>
          </w:p>
        </w:tc>
        <w:tc>
          <w:tcPr>
            <w:tcW w:w="511" w:type="pct"/>
            <w:vAlign w:val="center"/>
          </w:tcPr>
          <w:p w14:paraId="79706CF3">
            <w:pPr>
              <w:pStyle w:val="28"/>
              <w:bidi w:val="0"/>
            </w:pPr>
            <w:r>
              <w:rPr>
                <w:rFonts w:hint="eastAsia"/>
              </w:rPr>
              <w:t>舒东放水口拆建</w:t>
            </w:r>
          </w:p>
        </w:tc>
        <w:tc>
          <w:tcPr>
            <w:tcW w:w="366" w:type="pct"/>
            <w:vAlign w:val="center"/>
          </w:tcPr>
          <w:p w14:paraId="4E849E8B">
            <w:pPr>
              <w:pStyle w:val="28"/>
              <w:bidi w:val="0"/>
            </w:pPr>
            <w:r>
              <w:t>68</w:t>
            </w:r>
          </w:p>
        </w:tc>
        <w:tc>
          <w:tcPr>
            <w:tcW w:w="268" w:type="pct"/>
            <w:vAlign w:val="center"/>
          </w:tcPr>
          <w:p w14:paraId="054268D0">
            <w:pPr>
              <w:pStyle w:val="28"/>
              <w:bidi w:val="0"/>
            </w:pPr>
            <w:r>
              <w:rPr>
                <w:rFonts w:hint="eastAsia"/>
              </w:rPr>
              <w:t>左岸</w:t>
            </w:r>
          </w:p>
        </w:tc>
        <w:tc>
          <w:tcPr>
            <w:tcW w:w="262" w:type="pct"/>
            <w:vAlign w:val="center"/>
          </w:tcPr>
          <w:p w14:paraId="4AFFA819">
            <w:pPr>
              <w:pStyle w:val="28"/>
              <w:bidi w:val="0"/>
            </w:pPr>
            <w:r>
              <w:t>1</w:t>
            </w:r>
            <w:r>
              <w:rPr>
                <w:rFonts w:hint="eastAsia"/>
              </w:rPr>
              <w:t>类</w:t>
            </w:r>
          </w:p>
        </w:tc>
        <w:tc>
          <w:tcPr>
            <w:tcW w:w="809" w:type="pct"/>
            <w:vMerge w:val="continue"/>
            <w:vAlign w:val="center"/>
          </w:tcPr>
          <w:p w14:paraId="4111FEB9">
            <w:pPr>
              <w:pStyle w:val="28"/>
              <w:bidi w:val="0"/>
            </w:pPr>
          </w:p>
        </w:tc>
        <w:tc>
          <w:tcPr>
            <w:tcW w:w="208" w:type="pct"/>
            <w:vAlign w:val="center"/>
          </w:tcPr>
          <w:p w14:paraId="0323CF1D">
            <w:pPr>
              <w:pStyle w:val="28"/>
              <w:bidi w:val="0"/>
            </w:pPr>
            <w:r>
              <w:t>53.1</w:t>
            </w:r>
          </w:p>
        </w:tc>
        <w:tc>
          <w:tcPr>
            <w:tcW w:w="211" w:type="pct"/>
            <w:vAlign w:val="center"/>
          </w:tcPr>
          <w:p w14:paraId="528EFB40">
            <w:pPr>
              <w:pStyle w:val="28"/>
              <w:bidi w:val="0"/>
            </w:pPr>
            <w:r>
              <w:t>41.3</w:t>
            </w:r>
          </w:p>
        </w:tc>
        <w:tc>
          <w:tcPr>
            <w:tcW w:w="208" w:type="pct"/>
            <w:vAlign w:val="center"/>
          </w:tcPr>
          <w:p w14:paraId="0B582434">
            <w:pPr>
              <w:pStyle w:val="28"/>
              <w:bidi w:val="0"/>
            </w:pPr>
            <w:r>
              <w:t>55</w:t>
            </w:r>
          </w:p>
        </w:tc>
        <w:tc>
          <w:tcPr>
            <w:tcW w:w="211" w:type="pct"/>
            <w:vAlign w:val="center"/>
          </w:tcPr>
          <w:p w14:paraId="70A6122A">
            <w:pPr>
              <w:pStyle w:val="28"/>
              <w:bidi w:val="0"/>
            </w:pPr>
            <w:r>
              <w:t>45</w:t>
            </w:r>
          </w:p>
        </w:tc>
        <w:tc>
          <w:tcPr>
            <w:tcW w:w="276" w:type="pct"/>
            <w:vAlign w:val="center"/>
          </w:tcPr>
          <w:p w14:paraId="2D222896">
            <w:pPr>
              <w:pStyle w:val="28"/>
              <w:bidi w:val="0"/>
            </w:pPr>
            <w:r>
              <w:t>56.6</w:t>
            </w:r>
          </w:p>
        </w:tc>
        <w:tc>
          <w:tcPr>
            <w:tcW w:w="257" w:type="pct"/>
            <w:vAlign w:val="center"/>
          </w:tcPr>
          <w:p w14:paraId="1DBB35E6">
            <w:pPr>
              <w:pStyle w:val="28"/>
              <w:bidi w:val="0"/>
            </w:pPr>
            <w:r>
              <w:t>49.6</w:t>
            </w:r>
          </w:p>
        </w:tc>
        <w:tc>
          <w:tcPr>
            <w:tcW w:w="257" w:type="pct"/>
            <w:vAlign w:val="center"/>
          </w:tcPr>
          <w:p w14:paraId="6460C81F">
            <w:pPr>
              <w:pStyle w:val="28"/>
              <w:bidi w:val="0"/>
            </w:pPr>
            <w:r>
              <w:t>54.7</w:t>
            </w:r>
          </w:p>
        </w:tc>
        <w:tc>
          <w:tcPr>
            <w:tcW w:w="257" w:type="pct"/>
            <w:vAlign w:val="center"/>
          </w:tcPr>
          <w:p w14:paraId="60825272">
            <w:pPr>
              <w:pStyle w:val="28"/>
              <w:bidi w:val="0"/>
            </w:pPr>
            <w:r>
              <w:t>1.6</w:t>
            </w:r>
          </w:p>
        </w:tc>
        <w:tc>
          <w:tcPr>
            <w:tcW w:w="209" w:type="pct"/>
            <w:vAlign w:val="center"/>
          </w:tcPr>
          <w:p w14:paraId="1629FB30">
            <w:pPr>
              <w:pStyle w:val="28"/>
              <w:bidi w:val="0"/>
            </w:pPr>
            <w:r>
              <w:t>达标</w:t>
            </w:r>
          </w:p>
        </w:tc>
      </w:tr>
      <w:tr w14:paraId="3765F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4E9C8E3">
            <w:pPr>
              <w:pStyle w:val="28"/>
              <w:bidi w:val="0"/>
            </w:pPr>
            <w:r>
              <w:rPr>
                <w:rFonts w:hint="eastAsia"/>
              </w:rPr>
              <w:t>郭庄</w:t>
            </w:r>
          </w:p>
        </w:tc>
        <w:tc>
          <w:tcPr>
            <w:tcW w:w="511" w:type="pct"/>
            <w:vAlign w:val="center"/>
          </w:tcPr>
          <w:p w14:paraId="5D832CA4">
            <w:pPr>
              <w:pStyle w:val="28"/>
              <w:bidi w:val="0"/>
            </w:pPr>
            <w:r>
              <w:rPr>
                <w:rFonts w:hint="eastAsia"/>
              </w:rPr>
              <w:t>孔集泄水闸拆建</w:t>
            </w:r>
          </w:p>
        </w:tc>
        <w:tc>
          <w:tcPr>
            <w:tcW w:w="366" w:type="pct"/>
            <w:vAlign w:val="center"/>
          </w:tcPr>
          <w:p w14:paraId="63A55A7F">
            <w:pPr>
              <w:pStyle w:val="28"/>
              <w:bidi w:val="0"/>
            </w:pPr>
            <w:r>
              <w:t>81</w:t>
            </w:r>
          </w:p>
        </w:tc>
        <w:tc>
          <w:tcPr>
            <w:tcW w:w="268" w:type="pct"/>
            <w:vAlign w:val="center"/>
          </w:tcPr>
          <w:p w14:paraId="50D11AD7">
            <w:pPr>
              <w:pStyle w:val="28"/>
              <w:bidi w:val="0"/>
            </w:pPr>
            <w:r>
              <w:rPr>
                <w:rFonts w:hint="eastAsia"/>
              </w:rPr>
              <w:t>左岸</w:t>
            </w:r>
          </w:p>
        </w:tc>
        <w:tc>
          <w:tcPr>
            <w:tcW w:w="262" w:type="pct"/>
            <w:vAlign w:val="center"/>
          </w:tcPr>
          <w:p w14:paraId="4F883E5C">
            <w:pPr>
              <w:pStyle w:val="28"/>
              <w:bidi w:val="0"/>
            </w:pPr>
            <w:r>
              <w:t>1</w:t>
            </w:r>
            <w:r>
              <w:rPr>
                <w:rFonts w:hint="eastAsia"/>
              </w:rPr>
              <w:t>类</w:t>
            </w:r>
          </w:p>
        </w:tc>
        <w:tc>
          <w:tcPr>
            <w:tcW w:w="809" w:type="pct"/>
            <w:vMerge w:val="continue"/>
            <w:vAlign w:val="center"/>
          </w:tcPr>
          <w:p w14:paraId="029AD26A">
            <w:pPr>
              <w:pStyle w:val="28"/>
              <w:bidi w:val="0"/>
            </w:pPr>
          </w:p>
        </w:tc>
        <w:tc>
          <w:tcPr>
            <w:tcW w:w="208" w:type="pct"/>
            <w:vAlign w:val="center"/>
          </w:tcPr>
          <w:p w14:paraId="7680A66E">
            <w:pPr>
              <w:pStyle w:val="28"/>
              <w:bidi w:val="0"/>
            </w:pPr>
            <w:r>
              <w:t>53.1</w:t>
            </w:r>
          </w:p>
        </w:tc>
        <w:tc>
          <w:tcPr>
            <w:tcW w:w="211" w:type="pct"/>
            <w:vAlign w:val="center"/>
          </w:tcPr>
          <w:p w14:paraId="5B3B44CA">
            <w:pPr>
              <w:pStyle w:val="28"/>
              <w:bidi w:val="0"/>
            </w:pPr>
            <w:r>
              <w:t>41.3</w:t>
            </w:r>
          </w:p>
        </w:tc>
        <w:tc>
          <w:tcPr>
            <w:tcW w:w="208" w:type="pct"/>
            <w:vAlign w:val="center"/>
          </w:tcPr>
          <w:p w14:paraId="20994377">
            <w:pPr>
              <w:pStyle w:val="28"/>
              <w:bidi w:val="0"/>
            </w:pPr>
            <w:r>
              <w:t>55</w:t>
            </w:r>
          </w:p>
        </w:tc>
        <w:tc>
          <w:tcPr>
            <w:tcW w:w="211" w:type="pct"/>
            <w:vAlign w:val="center"/>
          </w:tcPr>
          <w:p w14:paraId="31606CB6">
            <w:pPr>
              <w:pStyle w:val="28"/>
              <w:bidi w:val="0"/>
            </w:pPr>
            <w:r>
              <w:t>45</w:t>
            </w:r>
          </w:p>
        </w:tc>
        <w:tc>
          <w:tcPr>
            <w:tcW w:w="276" w:type="pct"/>
            <w:vAlign w:val="center"/>
          </w:tcPr>
          <w:p w14:paraId="6FFB8A8C">
            <w:pPr>
              <w:pStyle w:val="28"/>
              <w:bidi w:val="0"/>
            </w:pPr>
            <w:r>
              <w:t>55.0</w:t>
            </w:r>
          </w:p>
        </w:tc>
        <w:tc>
          <w:tcPr>
            <w:tcW w:w="257" w:type="pct"/>
            <w:vAlign w:val="center"/>
          </w:tcPr>
          <w:p w14:paraId="3FCD0154">
            <w:pPr>
              <w:pStyle w:val="28"/>
              <w:bidi w:val="0"/>
            </w:pPr>
            <w:r>
              <w:t>48.0</w:t>
            </w:r>
          </w:p>
        </w:tc>
        <w:tc>
          <w:tcPr>
            <w:tcW w:w="257" w:type="pct"/>
            <w:vAlign w:val="center"/>
          </w:tcPr>
          <w:p w14:paraId="20FCE283">
            <w:pPr>
              <w:pStyle w:val="28"/>
              <w:bidi w:val="0"/>
            </w:pPr>
            <w:r>
              <w:t>54.3</w:t>
            </w:r>
          </w:p>
        </w:tc>
        <w:tc>
          <w:tcPr>
            <w:tcW w:w="257" w:type="pct"/>
            <w:vAlign w:val="center"/>
          </w:tcPr>
          <w:p w14:paraId="3DB772A0">
            <w:pPr>
              <w:pStyle w:val="28"/>
              <w:bidi w:val="0"/>
            </w:pPr>
            <w:r>
              <w:t>1.2</w:t>
            </w:r>
          </w:p>
        </w:tc>
        <w:tc>
          <w:tcPr>
            <w:tcW w:w="209" w:type="pct"/>
            <w:vAlign w:val="center"/>
          </w:tcPr>
          <w:p w14:paraId="316D29B0">
            <w:pPr>
              <w:pStyle w:val="28"/>
              <w:bidi w:val="0"/>
            </w:pPr>
            <w:r>
              <w:t>达标</w:t>
            </w:r>
          </w:p>
        </w:tc>
      </w:tr>
      <w:tr w14:paraId="6332A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F83340E">
            <w:pPr>
              <w:pStyle w:val="28"/>
              <w:bidi w:val="0"/>
            </w:pPr>
            <w:r>
              <w:rPr>
                <w:rFonts w:hint="eastAsia"/>
              </w:rPr>
              <w:t>合兴宕灌区管理所</w:t>
            </w:r>
          </w:p>
        </w:tc>
        <w:tc>
          <w:tcPr>
            <w:tcW w:w="511" w:type="pct"/>
            <w:vAlign w:val="center"/>
          </w:tcPr>
          <w:p w14:paraId="0C31190E">
            <w:pPr>
              <w:pStyle w:val="28"/>
              <w:bidi w:val="0"/>
            </w:pPr>
            <w:r>
              <w:rPr>
                <w:rFonts w:hint="eastAsia"/>
              </w:rPr>
              <w:t>西河支渠进水闸拆建</w:t>
            </w:r>
          </w:p>
        </w:tc>
        <w:tc>
          <w:tcPr>
            <w:tcW w:w="366" w:type="pct"/>
            <w:vAlign w:val="center"/>
          </w:tcPr>
          <w:p w14:paraId="5B970EFE">
            <w:pPr>
              <w:pStyle w:val="28"/>
              <w:bidi w:val="0"/>
            </w:pPr>
            <w:r>
              <w:t>69</w:t>
            </w:r>
          </w:p>
        </w:tc>
        <w:tc>
          <w:tcPr>
            <w:tcW w:w="268" w:type="pct"/>
            <w:vAlign w:val="center"/>
          </w:tcPr>
          <w:p w14:paraId="71A3ACD2">
            <w:pPr>
              <w:pStyle w:val="28"/>
              <w:bidi w:val="0"/>
            </w:pPr>
            <w:r>
              <w:rPr>
                <w:rFonts w:hint="eastAsia"/>
              </w:rPr>
              <w:t>左岸</w:t>
            </w:r>
          </w:p>
        </w:tc>
        <w:tc>
          <w:tcPr>
            <w:tcW w:w="262" w:type="pct"/>
            <w:vAlign w:val="center"/>
          </w:tcPr>
          <w:p w14:paraId="2A370BBC">
            <w:pPr>
              <w:pStyle w:val="28"/>
              <w:bidi w:val="0"/>
            </w:pPr>
            <w:r>
              <w:t>1</w:t>
            </w:r>
            <w:r>
              <w:rPr>
                <w:rFonts w:hint="eastAsia"/>
              </w:rPr>
              <w:t>类</w:t>
            </w:r>
          </w:p>
        </w:tc>
        <w:tc>
          <w:tcPr>
            <w:tcW w:w="809" w:type="pct"/>
            <w:vMerge w:val="continue"/>
            <w:vAlign w:val="center"/>
          </w:tcPr>
          <w:p w14:paraId="0D38E9D8">
            <w:pPr>
              <w:pStyle w:val="28"/>
              <w:bidi w:val="0"/>
            </w:pPr>
          </w:p>
        </w:tc>
        <w:tc>
          <w:tcPr>
            <w:tcW w:w="208" w:type="pct"/>
            <w:vAlign w:val="center"/>
          </w:tcPr>
          <w:p w14:paraId="27281363">
            <w:pPr>
              <w:pStyle w:val="28"/>
              <w:bidi w:val="0"/>
            </w:pPr>
            <w:r>
              <w:t>53.1</w:t>
            </w:r>
          </w:p>
        </w:tc>
        <w:tc>
          <w:tcPr>
            <w:tcW w:w="211" w:type="pct"/>
            <w:vAlign w:val="center"/>
          </w:tcPr>
          <w:p w14:paraId="6F817E1D">
            <w:pPr>
              <w:pStyle w:val="28"/>
              <w:bidi w:val="0"/>
            </w:pPr>
            <w:r>
              <w:t>41.3</w:t>
            </w:r>
          </w:p>
        </w:tc>
        <w:tc>
          <w:tcPr>
            <w:tcW w:w="208" w:type="pct"/>
            <w:vAlign w:val="center"/>
          </w:tcPr>
          <w:p w14:paraId="17A81EC8">
            <w:pPr>
              <w:pStyle w:val="28"/>
              <w:bidi w:val="0"/>
            </w:pPr>
            <w:r>
              <w:t>55</w:t>
            </w:r>
          </w:p>
        </w:tc>
        <w:tc>
          <w:tcPr>
            <w:tcW w:w="211" w:type="pct"/>
            <w:vAlign w:val="center"/>
          </w:tcPr>
          <w:p w14:paraId="4335FA91">
            <w:pPr>
              <w:pStyle w:val="28"/>
              <w:bidi w:val="0"/>
            </w:pPr>
            <w:r>
              <w:t>45</w:t>
            </w:r>
          </w:p>
        </w:tc>
        <w:tc>
          <w:tcPr>
            <w:tcW w:w="276" w:type="pct"/>
            <w:vAlign w:val="center"/>
          </w:tcPr>
          <w:p w14:paraId="625DFE1A">
            <w:pPr>
              <w:pStyle w:val="28"/>
              <w:bidi w:val="0"/>
            </w:pPr>
            <w:r>
              <w:t>56.4</w:t>
            </w:r>
          </w:p>
        </w:tc>
        <w:tc>
          <w:tcPr>
            <w:tcW w:w="257" w:type="pct"/>
            <w:vAlign w:val="center"/>
          </w:tcPr>
          <w:p w14:paraId="761B7374">
            <w:pPr>
              <w:pStyle w:val="28"/>
              <w:bidi w:val="0"/>
            </w:pPr>
            <w:r>
              <w:t>49.4</w:t>
            </w:r>
          </w:p>
        </w:tc>
        <w:tc>
          <w:tcPr>
            <w:tcW w:w="257" w:type="pct"/>
            <w:vAlign w:val="center"/>
          </w:tcPr>
          <w:p w14:paraId="4BF478D5">
            <w:pPr>
              <w:pStyle w:val="28"/>
              <w:bidi w:val="0"/>
            </w:pPr>
            <w:r>
              <w:t>54.7</w:t>
            </w:r>
          </w:p>
        </w:tc>
        <w:tc>
          <w:tcPr>
            <w:tcW w:w="257" w:type="pct"/>
            <w:vAlign w:val="center"/>
          </w:tcPr>
          <w:p w14:paraId="13698651">
            <w:pPr>
              <w:pStyle w:val="28"/>
              <w:bidi w:val="0"/>
            </w:pPr>
            <w:r>
              <w:t>1.6</w:t>
            </w:r>
          </w:p>
        </w:tc>
        <w:tc>
          <w:tcPr>
            <w:tcW w:w="209" w:type="pct"/>
            <w:vAlign w:val="center"/>
          </w:tcPr>
          <w:p w14:paraId="60D5A8FA">
            <w:pPr>
              <w:pStyle w:val="28"/>
              <w:bidi w:val="0"/>
            </w:pPr>
            <w:r>
              <w:t>达标</w:t>
            </w:r>
          </w:p>
        </w:tc>
      </w:tr>
      <w:tr w14:paraId="7D632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219B716">
            <w:pPr>
              <w:pStyle w:val="28"/>
              <w:bidi w:val="0"/>
            </w:pPr>
            <w:r>
              <w:rPr>
                <w:rFonts w:hint="eastAsia"/>
              </w:rPr>
              <w:t>姚庄</w:t>
            </w:r>
          </w:p>
        </w:tc>
        <w:tc>
          <w:tcPr>
            <w:tcW w:w="511" w:type="pct"/>
            <w:vAlign w:val="center"/>
          </w:tcPr>
          <w:p w14:paraId="440B9DC6">
            <w:pPr>
              <w:pStyle w:val="28"/>
              <w:bidi w:val="0"/>
            </w:pPr>
            <w:r>
              <w:rPr>
                <w:rFonts w:hint="eastAsia"/>
              </w:rPr>
              <w:t>西河支渠进水闸拆建</w:t>
            </w:r>
          </w:p>
        </w:tc>
        <w:tc>
          <w:tcPr>
            <w:tcW w:w="366" w:type="pct"/>
            <w:vAlign w:val="center"/>
          </w:tcPr>
          <w:p w14:paraId="0C1DDA08">
            <w:pPr>
              <w:pStyle w:val="28"/>
              <w:bidi w:val="0"/>
            </w:pPr>
            <w:r>
              <w:t>105</w:t>
            </w:r>
          </w:p>
        </w:tc>
        <w:tc>
          <w:tcPr>
            <w:tcW w:w="268" w:type="pct"/>
            <w:vAlign w:val="center"/>
          </w:tcPr>
          <w:p w14:paraId="5D7E7324">
            <w:pPr>
              <w:pStyle w:val="28"/>
              <w:bidi w:val="0"/>
            </w:pPr>
            <w:r>
              <w:rPr>
                <w:rFonts w:hint="eastAsia"/>
              </w:rPr>
              <w:t>左岸</w:t>
            </w:r>
          </w:p>
        </w:tc>
        <w:tc>
          <w:tcPr>
            <w:tcW w:w="262" w:type="pct"/>
            <w:vAlign w:val="center"/>
          </w:tcPr>
          <w:p w14:paraId="31AC2028">
            <w:pPr>
              <w:pStyle w:val="28"/>
              <w:bidi w:val="0"/>
            </w:pPr>
            <w:r>
              <w:t>1</w:t>
            </w:r>
            <w:r>
              <w:rPr>
                <w:rFonts w:hint="eastAsia"/>
              </w:rPr>
              <w:t>类</w:t>
            </w:r>
          </w:p>
        </w:tc>
        <w:tc>
          <w:tcPr>
            <w:tcW w:w="809" w:type="pct"/>
            <w:vMerge w:val="continue"/>
            <w:vAlign w:val="center"/>
          </w:tcPr>
          <w:p w14:paraId="2B0D01A3">
            <w:pPr>
              <w:pStyle w:val="28"/>
              <w:bidi w:val="0"/>
            </w:pPr>
          </w:p>
        </w:tc>
        <w:tc>
          <w:tcPr>
            <w:tcW w:w="208" w:type="pct"/>
            <w:vAlign w:val="center"/>
          </w:tcPr>
          <w:p w14:paraId="0A777FD9">
            <w:pPr>
              <w:pStyle w:val="28"/>
              <w:bidi w:val="0"/>
            </w:pPr>
            <w:r>
              <w:t>53.1</w:t>
            </w:r>
          </w:p>
        </w:tc>
        <w:tc>
          <w:tcPr>
            <w:tcW w:w="211" w:type="pct"/>
            <w:vAlign w:val="center"/>
          </w:tcPr>
          <w:p w14:paraId="5242285D">
            <w:pPr>
              <w:pStyle w:val="28"/>
              <w:bidi w:val="0"/>
            </w:pPr>
            <w:r>
              <w:t>41.3</w:t>
            </w:r>
          </w:p>
        </w:tc>
        <w:tc>
          <w:tcPr>
            <w:tcW w:w="208" w:type="pct"/>
            <w:vAlign w:val="center"/>
          </w:tcPr>
          <w:p w14:paraId="61C0B121">
            <w:pPr>
              <w:pStyle w:val="28"/>
              <w:bidi w:val="0"/>
            </w:pPr>
            <w:r>
              <w:t>55</w:t>
            </w:r>
          </w:p>
        </w:tc>
        <w:tc>
          <w:tcPr>
            <w:tcW w:w="211" w:type="pct"/>
            <w:vAlign w:val="center"/>
          </w:tcPr>
          <w:p w14:paraId="40D59DED">
            <w:pPr>
              <w:pStyle w:val="28"/>
              <w:bidi w:val="0"/>
            </w:pPr>
            <w:r>
              <w:t>45</w:t>
            </w:r>
          </w:p>
        </w:tc>
        <w:tc>
          <w:tcPr>
            <w:tcW w:w="276" w:type="pct"/>
            <w:vAlign w:val="center"/>
          </w:tcPr>
          <w:p w14:paraId="00652BEC">
            <w:pPr>
              <w:pStyle w:val="28"/>
              <w:bidi w:val="0"/>
            </w:pPr>
            <w:r>
              <w:t>52.8</w:t>
            </w:r>
          </w:p>
        </w:tc>
        <w:tc>
          <w:tcPr>
            <w:tcW w:w="257" w:type="pct"/>
            <w:vAlign w:val="center"/>
          </w:tcPr>
          <w:p w14:paraId="4A315D15">
            <w:pPr>
              <w:pStyle w:val="28"/>
              <w:bidi w:val="0"/>
            </w:pPr>
            <w:r>
              <w:t>45.8</w:t>
            </w:r>
          </w:p>
        </w:tc>
        <w:tc>
          <w:tcPr>
            <w:tcW w:w="257" w:type="pct"/>
            <w:vAlign w:val="center"/>
          </w:tcPr>
          <w:p w14:paraId="01E06762">
            <w:pPr>
              <w:pStyle w:val="28"/>
              <w:bidi w:val="0"/>
            </w:pPr>
            <w:r>
              <w:t>53.8</w:t>
            </w:r>
          </w:p>
        </w:tc>
        <w:tc>
          <w:tcPr>
            <w:tcW w:w="257" w:type="pct"/>
            <w:vAlign w:val="center"/>
          </w:tcPr>
          <w:p w14:paraId="55FD0D4B">
            <w:pPr>
              <w:pStyle w:val="28"/>
              <w:bidi w:val="0"/>
            </w:pPr>
            <w:r>
              <w:t>0.7</w:t>
            </w:r>
          </w:p>
        </w:tc>
        <w:tc>
          <w:tcPr>
            <w:tcW w:w="209" w:type="pct"/>
            <w:vAlign w:val="center"/>
          </w:tcPr>
          <w:p w14:paraId="4D9A8619">
            <w:pPr>
              <w:pStyle w:val="28"/>
              <w:bidi w:val="0"/>
            </w:pPr>
            <w:r>
              <w:t>达标</w:t>
            </w:r>
          </w:p>
        </w:tc>
      </w:tr>
      <w:tr w14:paraId="56411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2088B64">
            <w:pPr>
              <w:pStyle w:val="28"/>
              <w:bidi w:val="0"/>
            </w:pPr>
            <w:r>
              <w:rPr>
                <w:rFonts w:hint="eastAsia"/>
              </w:rPr>
              <w:t>吴家郢</w:t>
            </w:r>
          </w:p>
        </w:tc>
        <w:tc>
          <w:tcPr>
            <w:tcW w:w="511" w:type="pct"/>
            <w:vAlign w:val="center"/>
          </w:tcPr>
          <w:p w14:paraId="49C22DE7">
            <w:pPr>
              <w:pStyle w:val="28"/>
              <w:bidi w:val="0"/>
            </w:pPr>
            <w:r>
              <w:rPr>
                <w:rFonts w:hint="eastAsia"/>
              </w:rPr>
              <w:t>张湾支渠节制闸拆建</w:t>
            </w:r>
          </w:p>
        </w:tc>
        <w:tc>
          <w:tcPr>
            <w:tcW w:w="366" w:type="pct"/>
            <w:vAlign w:val="center"/>
          </w:tcPr>
          <w:p w14:paraId="3464D905">
            <w:pPr>
              <w:pStyle w:val="28"/>
              <w:bidi w:val="0"/>
            </w:pPr>
            <w:r>
              <w:t>126</w:t>
            </w:r>
          </w:p>
        </w:tc>
        <w:tc>
          <w:tcPr>
            <w:tcW w:w="268" w:type="pct"/>
            <w:vAlign w:val="center"/>
          </w:tcPr>
          <w:p w14:paraId="3EF48CAC">
            <w:pPr>
              <w:pStyle w:val="28"/>
              <w:bidi w:val="0"/>
            </w:pPr>
            <w:r>
              <w:rPr>
                <w:rFonts w:hint="eastAsia"/>
              </w:rPr>
              <w:t>右岸</w:t>
            </w:r>
          </w:p>
        </w:tc>
        <w:tc>
          <w:tcPr>
            <w:tcW w:w="262" w:type="pct"/>
            <w:vAlign w:val="center"/>
          </w:tcPr>
          <w:p w14:paraId="47D82AEB">
            <w:pPr>
              <w:pStyle w:val="28"/>
              <w:bidi w:val="0"/>
            </w:pPr>
            <w:r>
              <w:t>1</w:t>
            </w:r>
            <w:r>
              <w:rPr>
                <w:rFonts w:hint="eastAsia"/>
              </w:rPr>
              <w:t>类</w:t>
            </w:r>
          </w:p>
        </w:tc>
        <w:tc>
          <w:tcPr>
            <w:tcW w:w="809" w:type="pct"/>
            <w:vMerge w:val="continue"/>
            <w:vAlign w:val="center"/>
          </w:tcPr>
          <w:p w14:paraId="3281C06E">
            <w:pPr>
              <w:pStyle w:val="28"/>
              <w:bidi w:val="0"/>
            </w:pPr>
          </w:p>
        </w:tc>
        <w:tc>
          <w:tcPr>
            <w:tcW w:w="208" w:type="pct"/>
            <w:vAlign w:val="center"/>
          </w:tcPr>
          <w:p w14:paraId="7FDE9F55">
            <w:pPr>
              <w:pStyle w:val="28"/>
              <w:bidi w:val="0"/>
            </w:pPr>
            <w:r>
              <w:t>53.1</w:t>
            </w:r>
          </w:p>
        </w:tc>
        <w:tc>
          <w:tcPr>
            <w:tcW w:w="211" w:type="pct"/>
            <w:vAlign w:val="center"/>
          </w:tcPr>
          <w:p w14:paraId="6DF7A838">
            <w:pPr>
              <w:pStyle w:val="28"/>
              <w:bidi w:val="0"/>
            </w:pPr>
            <w:r>
              <w:t>41.3</w:t>
            </w:r>
          </w:p>
        </w:tc>
        <w:tc>
          <w:tcPr>
            <w:tcW w:w="208" w:type="pct"/>
            <w:vAlign w:val="center"/>
          </w:tcPr>
          <w:p w14:paraId="65ED9F94">
            <w:pPr>
              <w:pStyle w:val="28"/>
              <w:bidi w:val="0"/>
            </w:pPr>
            <w:r>
              <w:t>55</w:t>
            </w:r>
          </w:p>
        </w:tc>
        <w:tc>
          <w:tcPr>
            <w:tcW w:w="211" w:type="pct"/>
            <w:vAlign w:val="center"/>
          </w:tcPr>
          <w:p w14:paraId="32E87D41">
            <w:pPr>
              <w:pStyle w:val="28"/>
              <w:bidi w:val="0"/>
            </w:pPr>
            <w:r>
              <w:t>45</w:t>
            </w:r>
          </w:p>
        </w:tc>
        <w:tc>
          <w:tcPr>
            <w:tcW w:w="276" w:type="pct"/>
            <w:vAlign w:val="center"/>
          </w:tcPr>
          <w:p w14:paraId="61BAC88E">
            <w:pPr>
              <w:pStyle w:val="28"/>
              <w:bidi w:val="0"/>
            </w:pPr>
            <w:r>
              <w:t>51.2</w:t>
            </w:r>
          </w:p>
        </w:tc>
        <w:tc>
          <w:tcPr>
            <w:tcW w:w="257" w:type="pct"/>
            <w:vAlign w:val="center"/>
          </w:tcPr>
          <w:p w14:paraId="15A14810">
            <w:pPr>
              <w:pStyle w:val="28"/>
              <w:bidi w:val="0"/>
            </w:pPr>
            <w:r>
              <w:t>44.2</w:t>
            </w:r>
          </w:p>
        </w:tc>
        <w:tc>
          <w:tcPr>
            <w:tcW w:w="257" w:type="pct"/>
            <w:vAlign w:val="center"/>
          </w:tcPr>
          <w:p w14:paraId="7E3C43AA">
            <w:pPr>
              <w:pStyle w:val="28"/>
              <w:bidi w:val="0"/>
            </w:pPr>
            <w:r>
              <w:t>53.6</w:t>
            </w:r>
          </w:p>
        </w:tc>
        <w:tc>
          <w:tcPr>
            <w:tcW w:w="257" w:type="pct"/>
            <w:vAlign w:val="center"/>
          </w:tcPr>
          <w:p w14:paraId="1DABA7EA">
            <w:pPr>
              <w:pStyle w:val="28"/>
              <w:bidi w:val="0"/>
            </w:pPr>
            <w:r>
              <w:t>0.5</w:t>
            </w:r>
          </w:p>
        </w:tc>
        <w:tc>
          <w:tcPr>
            <w:tcW w:w="209" w:type="pct"/>
            <w:vAlign w:val="center"/>
          </w:tcPr>
          <w:p w14:paraId="0CE13D91">
            <w:pPr>
              <w:pStyle w:val="28"/>
              <w:bidi w:val="0"/>
            </w:pPr>
            <w:r>
              <w:t>达标</w:t>
            </w:r>
          </w:p>
        </w:tc>
      </w:tr>
      <w:tr w14:paraId="7F700AD6">
        <w:tblPrEx>
          <w:tblCellMar>
            <w:top w:w="0" w:type="dxa"/>
            <w:left w:w="108" w:type="dxa"/>
            <w:bottom w:w="0" w:type="dxa"/>
            <w:right w:w="108" w:type="dxa"/>
          </w:tblCellMar>
        </w:tblPrEx>
        <w:trPr>
          <w:trHeight w:val="340" w:hRule="atLeast"/>
          <w:jc w:val="center"/>
        </w:trPr>
        <w:tc>
          <w:tcPr>
            <w:tcW w:w="685" w:type="pct"/>
            <w:vAlign w:val="center"/>
          </w:tcPr>
          <w:p w14:paraId="4DB86A50">
            <w:pPr>
              <w:pStyle w:val="28"/>
              <w:bidi w:val="0"/>
            </w:pPr>
            <w:r>
              <w:rPr>
                <w:rFonts w:hint="eastAsia"/>
              </w:rPr>
              <w:t>姜湾村</w:t>
            </w:r>
          </w:p>
        </w:tc>
        <w:tc>
          <w:tcPr>
            <w:tcW w:w="511" w:type="pct"/>
            <w:vAlign w:val="center"/>
          </w:tcPr>
          <w:p w14:paraId="6BB8DB28">
            <w:pPr>
              <w:pStyle w:val="28"/>
              <w:bidi w:val="0"/>
            </w:pPr>
            <w:r>
              <w:rPr>
                <w:rFonts w:hint="eastAsia"/>
              </w:rPr>
              <w:t>钱大山倒虹吸加固</w:t>
            </w:r>
          </w:p>
        </w:tc>
        <w:tc>
          <w:tcPr>
            <w:tcW w:w="366" w:type="pct"/>
            <w:vAlign w:val="center"/>
          </w:tcPr>
          <w:p w14:paraId="35CC7487">
            <w:pPr>
              <w:pStyle w:val="28"/>
              <w:bidi w:val="0"/>
            </w:pPr>
            <w:r>
              <w:t>38</w:t>
            </w:r>
          </w:p>
        </w:tc>
        <w:tc>
          <w:tcPr>
            <w:tcW w:w="268" w:type="pct"/>
            <w:vAlign w:val="center"/>
          </w:tcPr>
          <w:p w14:paraId="44329B7B">
            <w:pPr>
              <w:pStyle w:val="28"/>
              <w:bidi w:val="0"/>
            </w:pPr>
            <w:r>
              <w:rPr>
                <w:rFonts w:hint="eastAsia"/>
              </w:rPr>
              <w:t>右岸</w:t>
            </w:r>
          </w:p>
        </w:tc>
        <w:tc>
          <w:tcPr>
            <w:tcW w:w="262" w:type="pct"/>
            <w:vAlign w:val="center"/>
          </w:tcPr>
          <w:p w14:paraId="3D506C0B">
            <w:pPr>
              <w:pStyle w:val="28"/>
              <w:bidi w:val="0"/>
            </w:pPr>
            <w:r>
              <w:t>1</w:t>
            </w:r>
            <w:r>
              <w:rPr>
                <w:rFonts w:hint="eastAsia"/>
              </w:rPr>
              <w:t>类</w:t>
            </w:r>
          </w:p>
        </w:tc>
        <w:tc>
          <w:tcPr>
            <w:tcW w:w="809" w:type="pct"/>
            <w:vAlign w:val="center"/>
          </w:tcPr>
          <w:p w14:paraId="3FA8BA4D">
            <w:pPr>
              <w:pStyle w:val="28"/>
              <w:bidi w:val="0"/>
            </w:pPr>
            <w:r>
              <w:rPr>
                <w:rFonts w:hint="eastAsia"/>
              </w:rPr>
              <w:t>采用低噪声设备，施工机械远离居民住宅，设置双层移动声屏障</w:t>
            </w:r>
          </w:p>
        </w:tc>
        <w:tc>
          <w:tcPr>
            <w:tcW w:w="208" w:type="pct"/>
            <w:vAlign w:val="center"/>
          </w:tcPr>
          <w:p w14:paraId="5FF0B59F">
            <w:pPr>
              <w:pStyle w:val="28"/>
              <w:bidi w:val="0"/>
            </w:pPr>
            <w:r>
              <w:t>53.1</w:t>
            </w:r>
          </w:p>
        </w:tc>
        <w:tc>
          <w:tcPr>
            <w:tcW w:w="211" w:type="pct"/>
            <w:vAlign w:val="center"/>
          </w:tcPr>
          <w:p w14:paraId="0BB5FC5E">
            <w:pPr>
              <w:pStyle w:val="28"/>
              <w:bidi w:val="0"/>
            </w:pPr>
            <w:r>
              <w:t>41.3</w:t>
            </w:r>
          </w:p>
        </w:tc>
        <w:tc>
          <w:tcPr>
            <w:tcW w:w="208" w:type="pct"/>
            <w:vAlign w:val="center"/>
          </w:tcPr>
          <w:p w14:paraId="3EE7019D">
            <w:pPr>
              <w:pStyle w:val="28"/>
              <w:bidi w:val="0"/>
            </w:pPr>
            <w:r>
              <w:t>55</w:t>
            </w:r>
          </w:p>
        </w:tc>
        <w:tc>
          <w:tcPr>
            <w:tcW w:w="211" w:type="pct"/>
            <w:vAlign w:val="center"/>
          </w:tcPr>
          <w:p w14:paraId="352A3D5D">
            <w:pPr>
              <w:pStyle w:val="28"/>
              <w:bidi w:val="0"/>
            </w:pPr>
            <w:r>
              <w:t>45</w:t>
            </w:r>
          </w:p>
        </w:tc>
        <w:tc>
          <w:tcPr>
            <w:tcW w:w="276" w:type="pct"/>
            <w:vAlign w:val="center"/>
          </w:tcPr>
          <w:p w14:paraId="58116E78">
            <w:pPr>
              <w:pStyle w:val="28"/>
              <w:bidi w:val="0"/>
            </w:pPr>
            <w:r>
              <w:t>61.6</w:t>
            </w:r>
          </w:p>
        </w:tc>
        <w:tc>
          <w:tcPr>
            <w:tcW w:w="257" w:type="pct"/>
            <w:vAlign w:val="center"/>
          </w:tcPr>
          <w:p w14:paraId="6E2C34E2">
            <w:pPr>
              <w:pStyle w:val="28"/>
              <w:bidi w:val="0"/>
            </w:pPr>
            <w:r>
              <w:t>41.6</w:t>
            </w:r>
          </w:p>
        </w:tc>
        <w:tc>
          <w:tcPr>
            <w:tcW w:w="257" w:type="pct"/>
            <w:vAlign w:val="center"/>
          </w:tcPr>
          <w:p w14:paraId="3448B314">
            <w:pPr>
              <w:pStyle w:val="28"/>
              <w:bidi w:val="0"/>
            </w:pPr>
            <w:r>
              <w:t>53.4</w:t>
            </w:r>
          </w:p>
        </w:tc>
        <w:tc>
          <w:tcPr>
            <w:tcW w:w="257" w:type="pct"/>
            <w:vAlign w:val="center"/>
          </w:tcPr>
          <w:p w14:paraId="4F26663B">
            <w:pPr>
              <w:pStyle w:val="28"/>
              <w:bidi w:val="0"/>
            </w:pPr>
            <w:r>
              <w:t>0.3</w:t>
            </w:r>
          </w:p>
        </w:tc>
        <w:tc>
          <w:tcPr>
            <w:tcW w:w="209" w:type="pct"/>
            <w:vAlign w:val="center"/>
          </w:tcPr>
          <w:p w14:paraId="67625E26">
            <w:pPr>
              <w:pStyle w:val="28"/>
              <w:bidi w:val="0"/>
            </w:pPr>
            <w:r>
              <w:t>达标</w:t>
            </w:r>
          </w:p>
        </w:tc>
      </w:tr>
      <w:tr w14:paraId="0207D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3CF27B5">
            <w:pPr>
              <w:pStyle w:val="28"/>
              <w:bidi w:val="0"/>
            </w:pPr>
            <w:r>
              <w:rPr>
                <w:rFonts w:hint="eastAsia"/>
              </w:rPr>
              <w:t>舒城县杭埠镇姜湾小学</w:t>
            </w:r>
          </w:p>
        </w:tc>
        <w:tc>
          <w:tcPr>
            <w:tcW w:w="511" w:type="pct"/>
            <w:vAlign w:val="center"/>
          </w:tcPr>
          <w:p w14:paraId="37E2865D">
            <w:pPr>
              <w:pStyle w:val="28"/>
              <w:bidi w:val="0"/>
            </w:pPr>
            <w:r>
              <w:rPr>
                <w:rFonts w:hint="eastAsia"/>
              </w:rPr>
              <w:t>渠道清淤</w:t>
            </w:r>
          </w:p>
        </w:tc>
        <w:tc>
          <w:tcPr>
            <w:tcW w:w="366" w:type="pct"/>
            <w:vAlign w:val="center"/>
          </w:tcPr>
          <w:p w14:paraId="64B3AA9F">
            <w:pPr>
              <w:pStyle w:val="28"/>
              <w:bidi w:val="0"/>
            </w:pPr>
            <w:r>
              <w:t>60</w:t>
            </w:r>
          </w:p>
        </w:tc>
        <w:tc>
          <w:tcPr>
            <w:tcW w:w="268" w:type="pct"/>
            <w:vAlign w:val="center"/>
          </w:tcPr>
          <w:p w14:paraId="4E0D0CD5">
            <w:pPr>
              <w:pStyle w:val="28"/>
              <w:bidi w:val="0"/>
            </w:pPr>
            <w:r>
              <w:rPr>
                <w:rFonts w:hint="eastAsia"/>
              </w:rPr>
              <w:t>右岸</w:t>
            </w:r>
          </w:p>
        </w:tc>
        <w:tc>
          <w:tcPr>
            <w:tcW w:w="262" w:type="pct"/>
            <w:vAlign w:val="center"/>
          </w:tcPr>
          <w:p w14:paraId="1FBBDDAC">
            <w:pPr>
              <w:pStyle w:val="28"/>
              <w:bidi w:val="0"/>
            </w:pPr>
            <w:r>
              <w:t>1</w:t>
            </w:r>
            <w:r>
              <w:rPr>
                <w:rFonts w:hint="eastAsia"/>
              </w:rPr>
              <w:t>类</w:t>
            </w:r>
          </w:p>
        </w:tc>
        <w:tc>
          <w:tcPr>
            <w:tcW w:w="809" w:type="pct"/>
            <w:vMerge w:val="restart"/>
            <w:vAlign w:val="center"/>
          </w:tcPr>
          <w:p w14:paraId="6324F94F">
            <w:pPr>
              <w:pStyle w:val="28"/>
              <w:bidi w:val="0"/>
            </w:pPr>
            <w:r>
              <w:rPr>
                <w:rFonts w:hint="eastAsia"/>
              </w:rPr>
              <w:t>采用低噪声设备，施工机械远离居民住宅</w:t>
            </w:r>
          </w:p>
        </w:tc>
        <w:tc>
          <w:tcPr>
            <w:tcW w:w="208" w:type="pct"/>
            <w:vAlign w:val="center"/>
          </w:tcPr>
          <w:p w14:paraId="7D3AC707">
            <w:pPr>
              <w:pStyle w:val="28"/>
              <w:bidi w:val="0"/>
            </w:pPr>
            <w:r>
              <w:t>53.1</w:t>
            </w:r>
          </w:p>
        </w:tc>
        <w:tc>
          <w:tcPr>
            <w:tcW w:w="211" w:type="pct"/>
            <w:vAlign w:val="center"/>
          </w:tcPr>
          <w:p w14:paraId="76ABA315">
            <w:pPr>
              <w:pStyle w:val="28"/>
              <w:bidi w:val="0"/>
            </w:pPr>
            <w:r>
              <w:t>41.3</w:t>
            </w:r>
          </w:p>
        </w:tc>
        <w:tc>
          <w:tcPr>
            <w:tcW w:w="208" w:type="pct"/>
            <w:vAlign w:val="center"/>
          </w:tcPr>
          <w:p w14:paraId="032545D0">
            <w:pPr>
              <w:pStyle w:val="28"/>
              <w:bidi w:val="0"/>
            </w:pPr>
            <w:r>
              <w:t>55</w:t>
            </w:r>
          </w:p>
        </w:tc>
        <w:tc>
          <w:tcPr>
            <w:tcW w:w="211" w:type="pct"/>
            <w:vAlign w:val="center"/>
          </w:tcPr>
          <w:p w14:paraId="7117E40F">
            <w:pPr>
              <w:pStyle w:val="28"/>
              <w:bidi w:val="0"/>
            </w:pPr>
            <w:r>
              <w:t>45</w:t>
            </w:r>
          </w:p>
        </w:tc>
        <w:tc>
          <w:tcPr>
            <w:tcW w:w="276" w:type="pct"/>
            <w:vAlign w:val="center"/>
          </w:tcPr>
          <w:p w14:paraId="70DDA2E2">
            <w:pPr>
              <w:pStyle w:val="28"/>
              <w:bidi w:val="0"/>
            </w:pPr>
            <w:r>
              <w:t>54.6</w:t>
            </w:r>
          </w:p>
        </w:tc>
        <w:tc>
          <w:tcPr>
            <w:tcW w:w="257" w:type="pct"/>
            <w:vAlign w:val="center"/>
          </w:tcPr>
          <w:p w14:paraId="6FE80CD7">
            <w:pPr>
              <w:pStyle w:val="28"/>
              <w:bidi w:val="0"/>
            </w:pPr>
            <w:r>
              <w:t>47.6</w:t>
            </w:r>
          </w:p>
        </w:tc>
        <w:tc>
          <w:tcPr>
            <w:tcW w:w="257" w:type="pct"/>
            <w:vAlign w:val="center"/>
          </w:tcPr>
          <w:p w14:paraId="7EC0025F">
            <w:pPr>
              <w:pStyle w:val="28"/>
              <w:bidi w:val="0"/>
            </w:pPr>
            <w:r>
              <w:t>54.2</w:t>
            </w:r>
          </w:p>
        </w:tc>
        <w:tc>
          <w:tcPr>
            <w:tcW w:w="257" w:type="pct"/>
            <w:vAlign w:val="center"/>
          </w:tcPr>
          <w:p w14:paraId="15C68346">
            <w:pPr>
              <w:pStyle w:val="28"/>
              <w:bidi w:val="0"/>
            </w:pPr>
            <w:r>
              <w:t>1.1</w:t>
            </w:r>
          </w:p>
        </w:tc>
        <w:tc>
          <w:tcPr>
            <w:tcW w:w="209" w:type="pct"/>
            <w:vAlign w:val="center"/>
          </w:tcPr>
          <w:p w14:paraId="6C786819">
            <w:pPr>
              <w:pStyle w:val="28"/>
              <w:bidi w:val="0"/>
            </w:pPr>
            <w:r>
              <w:t>达标</w:t>
            </w:r>
          </w:p>
        </w:tc>
      </w:tr>
      <w:tr w14:paraId="2D155DD3">
        <w:tblPrEx>
          <w:tblCellMar>
            <w:top w:w="0" w:type="dxa"/>
            <w:left w:w="108" w:type="dxa"/>
            <w:bottom w:w="0" w:type="dxa"/>
            <w:right w:w="108" w:type="dxa"/>
          </w:tblCellMar>
        </w:tblPrEx>
        <w:trPr>
          <w:trHeight w:val="340" w:hRule="atLeast"/>
          <w:jc w:val="center"/>
        </w:trPr>
        <w:tc>
          <w:tcPr>
            <w:tcW w:w="685" w:type="pct"/>
            <w:vAlign w:val="center"/>
          </w:tcPr>
          <w:p w14:paraId="269CD6D3">
            <w:pPr>
              <w:pStyle w:val="28"/>
              <w:bidi w:val="0"/>
            </w:pPr>
            <w:r>
              <w:rPr>
                <w:rFonts w:hint="eastAsia"/>
              </w:rPr>
              <w:t>方家墩</w:t>
            </w:r>
          </w:p>
        </w:tc>
        <w:tc>
          <w:tcPr>
            <w:tcW w:w="511" w:type="pct"/>
            <w:vAlign w:val="center"/>
          </w:tcPr>
          <w:p w14:paraId="161FA3BA">
            <w:pPr>
              <w:pStyle w:val="28"/>
              <w:bidi w:val="0"/>
            </w:pPr>
            <w:r>
              <w:rPr>
                <w:rFonts w:hint="eastAsia"/>
              </w:rPr>
              <w:t>渠道清淤</w:t>
            </w:r>
          </w:p>
        </w:tc>
        <w:tc>
          <w:tcPr>
            <w:tcW w:w="366" w:type="pct"/>
            <w:vAlign w:val="center"/>
          </w:tcPr>
          <w:p w14:paraId="7D1A3E25">
            <w:pPr>
              <w:pStyle w:val="28"/>
              <w:bidi w:val="0"/>
            </w:pPr>
            <w:r>
              <w:t>163</w:t>
            </w:r>
          </w:p>
        </w:tc>
        <w:tc>
          <w:tcPr>
            <w:tcW w:w="268" w:type="pct"/>
            <w:vAlign w:val="center"/>
          </w:tcPr>
          <w:p w14:paraId="4F405F64">
            <w:pPr>
              <w:pStyle w:val="28"/>
              <w:bidi w:val="0"/>
            </w:pPr>
            <w:r>
              <w:rPr>
                <w:rFonts w:hint="eastAsia"/>
              </w:rPr>
              <w:t>左岸</w:t>
            </w:r>
          </w:p>
        </w:tc>
        <w:tc>
          <w:tcPr>
            <w:tcW w:w="262" w:type="pct"/>
            <w:vAlign w:val="center"/>
          </w:tcPr>
          <w:p w14:paraId="7755C4FB">
            <w:pPr>
              <w:pStyle w:val="28"/>
              <w:bidi w:val="0"/>
            </w:pPr>
            <w:r>
              <w:t>1</w:t>
            </w:r>
            <w:r>
              <w:rPr>
                <w:rFonts w:hint="eastAsia"/>
              </w:rPr>
              <w:t>类</w:t>
            </w:r>
          </w:p>
        </w:tc>
        <w:tc>
          <w:tcPr>
            <w:tcW w:w="809" w:type="pct"/>
            <w:vMerge w:val="continue"/>
            <w:vAlign w:val="center"/>
          </w:tcPr>
          <w:p w14:paraId="382EB8CA">
            <w:pPr>
              <w:pStyle w:val="28"/>
              <w:bidi w:val="0"/>
            </w:pPr>
          </w:p>
        </w:tc>
        <w:tc>
          <w:tcPr>
            <w:tcW w:w="208" w:type="pct"/>
            <w:vAlign w:val="center"/>
          </w:tcPr>
          <w:p w14:paraId="2261CEF5">
            <w:pPr>
              <w:pStyle w:val="28"/>
              <w:bidi w:val="0"/>
            </w:pPr>
            <w:r>
              <w:t>53.1</w:t>
            </w:r>
          </w:p>
        </w:tc>
        <w:tc>
          <w:tcPr>
            <w:tcW w:w="211" w:type="pct"/>
            <w:vAlign w:val="center"/>
          </w:tcPr>
          <w:p w14:paraId="3C96DC4B">
            <w:pPr>
              <w:pStyle w:val="28"/>
              <w:bidi w:val="0"/>
            </w:pPr>
            <w:r>
              <w:t>41.3</w:t>
            </w:r>
          </w:p>
        </w:tc>
        <w:tc>
          <w:tcPr>
            <w:tcW w:w="208" w:type="pct"/>
            <w:vAlign w:val="center"/>
          </w:tcPr>
          <w:p w14:paraId="022ADE08">
            <w:pPr>
              <w:pStyle w:val="28"/>
              <w:bidi w:val="0"/>
            </w:pPr>
            <w:r>
              <w:t>55</w:t>
            </w:r>
          </w:p>
        </w:tc>
        <w:tc>
          <w:tcPr>
            <w:tcW w:w="211" w:type="pct"/>
            <w:vAlign w:val="center"/>
          </w:tcPr>
          <w:p w14:paraId="4773884C">
            <w:pPr>
              <w:pStyle w:val="28"/>
              <w:bidi w:val="0"/>
            </w:pPr>
            <w:r>
              <w:t>45</w:t>
            </w:r>
          </w:p>
        </w:tc>
        <w:tc>
          <w:tcPr>
            <w:tcW w:w="276" w:type="pct"/>
            <w:vAlign w:val="center"/>
          </w:tcPr>
          <w:p w14:paraId="62272FDC">
            <w:pPr>
              <w:pStyle w:val="28"/>
              <w:bidi w:val="0"/>
            </w:pPr>
            <w:r>
              <w:t>46.0</w:t>
            </w:r>
          </w:p>
        </w:tc>
        <w:tc>
          <w:tcPr>
            <w:tcW w:w="257" w:type="pct"/>
            <w:vAlign w:val="center"/>
          </w:tcPr>
          <w:p w14:paraId="7031C017">
            <w:pPr>
              <w:pStyle w:val="28"/>
              <w:bidi w:val="0"/>
            </w:pPr>
            <w:r>
              <w:t>39.0</w:t>
            </w:r>
          </w:p>
        </w:tc>
        <w:tc>
          <w:tcPr>
            <w:tcW w:w="257" w:type="pct"/>
            <w:vAlign w:val="center"/>
          </w:tcPr>
          <w:p w14:paraId="597EFF8F">
            <w:pPr>
              <w:pStyle w:val="28"/>
              <w:bidi w:val="0"/>
            </w:pPr>
            <w:r>
              <w:t>53.3</w:t>
            </w:r>
          </w:p>
        </w:tc>
        <w:tc>
          <w:tcPr>
            <w:tcW w:w="257" w:type="pct"/>
            <w:vAlign w:val="center"/>
          </w:tcPr>
          <w:p w14:paraId="626D6DF5">
            <w:pPr>
              <w:pStyle w:val="28"/>
              <w:bidi w:val="0"/>
            </w:pPr>
            <w:r>
              <w:t>0.2</w:t>
            </w:r>
          </w:p>
        </w:tc>
        <w:tc>
          <w:tcPr>
            <w:tcW w:w="209" w:type="pct"/>
            <w:vAlign w:val="center"/>
          </w:tcPr>
          <w:p w14:paraId="641FE518">
            <w:pPr>
              <w:pStyle w:val="28"/>
              <w:bidi w:val="0"/>
            </w:pPr>
            <w:r>
              <w:t>达标</w:t>
            </w:r>
          </w:p>
        </w:tc>
      </w:tr>
      <w:tr w14:paraId="086EC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27E4AC3">
            <w:pPr>
              <w:pStyle w:val="28"/>
              <w:bidi w:val="0"/>
            </w:pPr>
            <w:r>
              <w:rPr>
                <w:rFonts w:hint="eastAsia"/>
              </w:rPr>
              <w:t>舒城县杭埠镇中心学校</w:t>
            </w:r>
          </w:p>
        </w:tc>
        <w:tc>
          <w:tcPr>
            <w:tcW w:w="511" w:type="pct"/>
            <w:vAlign w:val="center"/>
          </w:tcPr>
          <w:p w14:paraId="083DA581">
            <w:pPr>
              <w:pStyle w:val="28"/>
              <w:bidi w:val="0"/>
            </w:pPr>
            <w:r>
              <w:rPr>
                <w:rFonts w:hint="eastAsia"/>
              </w:rPr>
              <w:t>渠道清淤</w:t>
            </w:r>
          </w:p>
        </w:tc>
        <w:tc>
          <w:tcPr>
            <w:tcW w:w="366" w:type="pct"/>
            <w:vAlign w:val="center"/>
          </w:tcPr>
          <w:p w14:paraId="42434E29">
            <w:pPr>
              <w:pStyle w:val="28"/>
              <w:bidi w:val="0"/>
            </w:pPr>
            <w:r>
              <w:t>55</w:t>
            </w:r>
          </w:p>
        </w:tc>
        <w:tc>
          <w:tcPr>
            <w:tcW w:w="268" w:type="pct"/>
            <w:vAlign w:val="center"/>
          </w:tcPr>
          <w:p w14:paraId="791A99D1">
            <w:pPr>
              <w:pStyle w:val="28"/>
              <w:bidi w:val="0"/>
            </w:pPr>
            <w:r>
              <w:rPr>
                <w:rFonts w:hint="eastAsia"/>
              </w:rPr>
              <w:t>右岸</w:t>
            </w:r>
          </w:p>
        </w:tc>
        <w:tc>
          <w:tcPr>
            <w:tcW w:w="262" w:type="pct"/>
            <w:vAlign w:val="center"/>
          </w:tcPr>
          <w:p w14:paraId="29E3A798">
            <w:pPr>
              <w:pStyle w:val="28"/>
              <w:bidi w:val="0"/>
            </w:pPr>
            <w:r>
              <w:t>1</w:t>
            </w:r>
            <w:r>
              <w:rPr>
                <w:rFonts w:hint="eastAsia"/>
              </w:rPr>
              <w:t>类</w:t>
            </w:r>
          </w:p>
        </w:tc>
        <w:tc>
          <w:tcPr>
            <w:tcW w:w="809" w:type="pct"/>
            <w:vMerge w:val="continue"/>
            <w:vAlign w:val="center"/>
          </w:tcPr>
          <w:p w14:paraId="464BEB8E">
            <w:pPr>
              <w:pStyle w:val="28"/>
              <w:bidi w:val="0"/>
            </w:pPr>
          </w:p>
        </w:tc>
        <w:tc>
          <w:tcPr>
            <w:tcW w:w="208" w:type="pct"/>
            <w:vAlign w:val="center"/>
          </w:tcPr>
          <w:p w14:paraId="7BF5592B">
            <w:pPr>
              <w:pStyle w:val="28"/>
              <w:bidi w:val="0"/>
            </w:pPr>
            <w:r>
              <w:t>53.1</w:t>
            </w:r>
          </w:p>
        </w:tc>
        <w:tc>
          <w:tcPr>
            <w:tcW w:w="211" w:type="pct"/>
            <w:vAlign w:val="center"/>
          </w:tcPr>
          <w:p w14:paraId="3A81116A">
            <w:pPr>
              <w:pStyle w:val="28"/>
              <w:bidi w:val="0"/>
            </w:pPr>
            <w:r>
              <w:t>41.3</w:t>
            </w:r>
          </w:p>
        </w:tc>
        <w:tc>
          <w:tcPr>
            <w:tcW w:w="208" w:type="pct"/>
            <w:vAlign w:val="center"/>
          </w:tcPr>
          <w:p w14:paraId="7C825A7F">
            <w:pPr>
              <w:pStyle w:val="28"/>
              <w:bidi w:val="0"/>
            </w:pPr>
            <w:r>
              <w:t>55</w:t>
            </w:r>
          </w:p>
        </w:tc>
        <w:tc>
          <w:tcPr>
            <w:tcW w:w="211" w:type="pct"/>
            <w:vAlign w:val="center"/>
          </w:tcPr>
          <w:p w14:paraId="2F535633">
            <w:pPr>
              <w:pStyle w:val="28"/>
              <w:bidi w:val="0"/>
            </w:pPr>
            <w:r>
              <w:t>45</w:t>
            </w:r>
          </w:p>
        </w:tc>
        <w:tc>
          <w:tcPr>
            <w:tcW w:w="276" w:type="pct"/>
            <w:vAlign w:val="center"/>
          </w:tcPr>
          <w:p w14:paraId="608965A3">
            <w:pPr>
              <w:pStyle w:val="28"/>
              <w:bidi w:val="0"/>
            </w:pPr>
            <w:r>
              <w:t>55.4</w:t>
            </w:r>
          </w:p>
        </w:tc>
        <w:tc>
          <w:tcPr>
            <w:tcW w:w="257" w:type="pct"/>
            <w:vAlign w:val="center"/>
          </w:tcPr>
          <w:p w14:paraId="06C9C8A6">
            <w:pPr>
              <w:pStyle w:val="28"/>
              <w:bidi w:val="0"/>
            </w:pPr>
            <w:r>
              <w:t>48.4</w:t>
            </w:r>
          </w:p>
        </w:tc>
        <w:tc>
          <w:tcPr>
            <w:tcW w:w="257" w:type="pct"/>
            <w:vAlign w:val="center"/>
          </w:tcPr>
          <w:p w14:paraId="4CF72635">
            <w:pPr>
              <w:pStyle w:val="28"/>
              <w:bidi w:val="0"/>
            </w:pPr>
            <w:r>
              <w:t>54.4</w:t>
            </w:r>
          </w:p>
        </w:tc>
        <w:tc>
          <w:tcPr>
            <w:tcW w:w="257" w:type="pct"/>
            <w:vAlign w:val="center"/>
          </w:tcPr>
          <w:p w14:paraId="5414E0DE">
            <w:pPr>
              <w:pStyle w:val="28"/>
              <w:bidi w:val="0"/>
            </w:pPr>
            <w:r>
              <w:t>1.3</w:t>
            </w:r>
          </w:p>
        </w:tc>
        <w:tc>
          <w:tcPr>
            <w:tcW w:w="209" w:type="pct"/>
            <w:vAlign w:val="center"/>
          </w:tcPr>
          <w:p w14:paraId="557B8742">
            <w:pPr>
              <w:pStyle w:val="28"/>
              <w:bidi w:val="0"/>
            </w:pPr>
            <w:r>
              <w:t>达标</w:t>
            </w:r>
          </w:p>
        </w:tc>
      </w:tr>
      <w:tr w14:paraId="1393A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A325632">
            <w:pPr>
              <w:pStyle w:val="28"/>
              <w:bidi w:val="0"/>
            </w:pPr>
            <w:r>
              <w:rPr>
                <w:rFonts w:hint="eastAsia"/>
              </w:rPr>
              <w:t>徐圩村村民委员会</w:t>
            </w:r>
          </w:p>
        </w:tc>
        <w:tc>
          <w:tcPr>
            <w:tcW w:w="511" w:type="pct"/>
            <w:vAlign w:val="center"/>
          </w:tcPr>
          <w:p w14:paraId="077C45CA">
            <w:pPr>
              <w:pStyle w:val="28"/>
              <w:bidi w:val="0"/>
            </w:pPr>
            <w:r>
              <w:rPr>
                <w:rFonts w:hint="eastAsia"/>
              </w:rPr>
              <w:t>渠道清淤</w:t>
            </w:r>
          </w:p>
        </w:tc>
        <w:tc>
          <w:tcPr>
            <w:tcW w:w="366" w:type="pct"/>
            <w:vAlign w:val="center"/>
          </w:tcPr>
          <w:p w14:paraId="00DF9E7C">
            <w:pPr>
              <w:pStyle w:val="28"/>
              <w:bidi w:val="0"/>
            </w:pPr>
            <w:r>
              <w:t>42</w:t>
            </w:r>
          </w:p>
        </w:tc>
        <w:tc>
          <w:tcPr>
            <w:tcW w:w="268" w:type="pct"/>
            <w:vAlign w:val="center"/>
          </w:tcPr>
          <w:p w14:paraId="59B265CB">
            <w:pPr>
              <w:pStyle w:val="28"/>
              <w:bidi w:val="0"/>
            </w:pPr>
            <w:r>
              <w:rPr>
                <w:rFonts w:hint="eastAsia"/>
              </w:rPr>
              <w:t>右岸</w:t>
            </w:r>
          </w:p>
        </w:tc>
        <w:tc>
          <w:tcPr>
            <w:tcW w:w="262" w:type="pct"/>
            <w:vAlign w:val="center"/>
          </w:tcPr>
          <w:p w14:paraId="72070F6E">
            <w:pPr>
              <w:pStyle w:val="28"/>
              <w:bidi w:val="0"/>
            </w:pPr>
            <w:r>
              <w:t>1</w:t>
            </w:r>
            <w:r>
              <w:rPr>
                <w:rFonts w:hint="eastAsia"/>
              </w:rPr>
              <w:t>类</w:t>
            </w:r>
          </w:p>
        </w:tc>
        <w:tc>
          <w:tcPr>
            <w:tcW w:w="809" w:type="pct"/>
            <w:vMerge w:val="continue"/>
            <w:vAlign w:val="center"/>
          </w:tcPr>
          <w:p w14:paraId="5962CE80">
            <w:pPr>
              <w:pStyle w:val="28"/>
              <w:bidi w:val="0"/>
            </w:pPr>
          </w:p>
        </w:tc>
        <w:tc>
          <w:tcPr>
            <w:tcW w:w="208" w:type="pct"/>
            <w:vAlign w:val="center"/>
          </w:tcPr>
          <w:p w14:paraId="5FB8E724">
            <w:pPr>
              <w:pStyle w:val="28"/>
              <w:bidi w:val="0"/>
            </w:pPr>
            <w:r>
              <w:t>53.1</w:t>
            </w:r>
          </w:p>
        </w:tc>
        <w:tc>
          <w:tcPr>
            <w:tcW w:w="211" w:type="pct"/>
            <w:vAlign w:val="center"/>
          </w:tcPr>
          <w:p w14:paraId="6AE52581">
            <w:pPr>
              <w:pStyle w:val="28"/>
              <w:bidi w:val="0"/>
            </w:pPr>
            <w:r>
              <w:t>41.3</w:t>
            </w:r>
          </w:p>
        </w:tc>
        <w:tc>
          <w:tcPr>
            <w:tcW w:w="208" w:type="pct"/>
            <w:vAlign w:val="center"/>
          </w:tcPr>
          <w:p w14:paraId="0D3CA35D">
            <w:pPr>
              <w:pStyle w:val="28"/>
              <w:bidi w:val="0"/>
            </w:pPr>
            <w:r>
              <w:t>55</w:t>
            </w:r>
          </w:p>
        </w:tc>
        <w:tc>
          <w:tcPr>
            <w:tcW w:w="211" w:type="pct"/>
            <w:vAlign w:val="center"/>
          </w:tcPr>
          <w:p w14:paraId="5672F6D2">
            <w:pPr>
              <w:pStyle w:val="28"/>
              <w:bidi w:val="0"/>
            </w:pPr>
            <w:r>
              <w:t>45</w:t>
            </w:r>
          </w:p>
        </w:tc>
        <w:tc>
          <w:tcPr>
            <w:tcW w:w="276" w:type="pct"/>
            <w:vAlign w:val="center"/>
          </w:tcPr>
          <w:p w14:paraId="2E692D45">
            <w:pPr>
              <w:pStyle w:val="28"/>
              <w:bidi w:val="0"/>
            </w:pPr>
            <w:r>
              <w:t>57.7</w:t>
            </w:r>
          </w:p>
        </w:tc>
        <w:tc>
          <w:tcPr>
            <w:tcW w:w="257" w:type="pct"/>
            <w:vAlign w:val="center"/>
          </w:tcPr>
          <w:p w14:paraId="5823F9A7">
            <w:pPr>
              <w:pStyle w:val="28"/>
              <w:bidi w:val="0"/>
            </w:pPr>
            <w:r>
              <w:t>49.7</w:t>
            </w:r>
          </w:p>
        </w:tc>
        <w:tc>
          <w:tcPr>
            <w:tcW w:w="257" w:type="pct"/>
            <w:vAlign w:val="center"/>
          </w:tcPr>
          <w:p w14:paraId="3481F84E">
            <w:pPr>
              <w:pStyle w:val="28"/>
              <w:bidi w:val="0"/>
            </w:pPr>
            <w:r>
              <w:t>54.7</w:t>
            </w:r>
          </w:p>
        </w:tc>
        <w:tc>
          <w:tcPr>
            <w:tcW w:w="257" w:type="pct"/>
            <w:vAlign w:val="center"/>
          </w:tcPr>
          <w:p w14:paraId="4CA5CE54">
            <w:pPr>
              <w:pStyle w:val="28"/>
              <w:bidi w:val="0"/>
            </w:pPr>
            <w:r>
              <w:t>1.6</w:t>
            </w:r>
          </w:p>
        </w:tc>
        <w:tc>
          <w:tcPr>
            <w:tcW w:w="209" w:type="pct"/>
            <w:vAlign w:val="center"/>
          </w:tcPr>
          <w:p w14:paraId="1D003A38">
            <w:pPr>
              <w:pStyle w:val="28"/>
              <w:bidi w:val="0"/>
            </w:pPr>
            <w:r>
              <w:t>达标</w:t>
            </w:r>
          </w:p>
        </w:tc>
      </w:tr>
      <w:tr w14:paraId="04549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5F1CB5B">
            <w:pPr>
              <w:pStyle w:val="28"/>
              <w:bidi w:val="0"/>
            </w:pPr>
            <w:r>
              <w:rPr>
                <w:rFonts w:hint="eastAsia"/>
              </w:rPr>
              <w:t>金湾新村</w:t>
            </w:r>
          </w:p>
        </w:tc>
        <w:tc>
          <w:tcPr>
            <w:tcW w:w="511" w:type="pct"/>
            <w:vAlign w:val="center"/>
          </w:tcPr>
          <w:p w14:paraId="47CD4690">
            <w:pPr>
              <w:pStyle w:val="28"/>
              <w:bidi w:val="0"/>
            </w:pPr>
            <w:r>
              <w:rPr>
                <w:rFonts w:hint="eastAsia"/>
              </w:rPr>
              <w:t>渠道清淤</w:t>
            </w:r>
          </w:p>
        </w:tc>
        <w:tc>
          <w:tcPr>
            <w:tcW w:w="366" w:type="pct"/>
            <w:vAlign w:val="center"/>
          </w:tcPr>
          <w:p w14:paraId="4F123AD9">
            <w:pPr>
              <w:pStyle w:val="28"/>
              <w:bidi w:val="0"/>
            </w:pPr>
            <w:r>
              <w:t>40</w:t>
            </w:r>
          </w:p>
        </w:tc>
        <w:tc>
          <w:tcPr>
            <w:tcW w:w="268" w:type="pct"/>
            <w:vAlign w:val="center"/>
          </w:tcPr>
          <w:p w14:paraId="25E3D583">
            <w:pPr>
              <w:pStyle w:val="28"/>
              <w:bidi w:val="0"/>
            </w:pPr>
            <w:r>
              <w:rPr>
                <w:rFonts w:hint="eastAsia"/>
              </w:rPr>
              <w:t>右岸</w:t>
            </w:r>
          </w:p>
        </w:tc>
        <w:tc>
          <w:tcPr>
            <w:tcW w:w="262" w:type="pct"/>
            <w:vAlign w:val="center"/>
          </w:tcPr>
          <w:p w14:paraId="35F28034">
            <w:pPr>
              <w:pStyle w:val="28"/>
              <w:bidi w:val="0"/>
            </w:pPr>
            <w:r>
              <w:t>1</w:t>
            </w:r>
            <w:r>
              <w:rPr>
                <w:rFonts w:hint="eastAsia"/>
              </w:rPr>
              <w:t>类</w:t>
            </w:r>
          </w:p>
        </w:tc>
        <w:tc>
          <w:tcPr>
            <w:tcW w:w="809" w:type="pct"/>
            <w:vAlign w:val="center"/>
          </w:tcPr>
          <w:p w14:paraId="07EC040B">
            <w:pPr>
              <w:pStyle w:val="28"/>
              <w:bidi w:val="0"/>
            </w:pPr>
            <w:r>
              <w:rPr>
                <w:rFonts w:hint="eastAsia"/>
              </w:rPr>
              <w:t>采用低噪声设备，施工机械远离居民住宅，设置双层移动声屏障</w:t>
            </w:r>
          </w:p>
        </w:tc>
        <w:tc>
          <w:tcPr>
            <w:tcW w:w="208" w:type="pct"/>
            <w:vAlign w:val="center"/>
          </w:tcPr>
          <w:p w14:paraId="07D55687">
            <w:pPr>
              <w:pStyle w:val="28"/>
              <w:bidi w:val="0"/>
            </w:pPr>
            <w:r>
              <w:t>53.1</w:t>
            </w:r>
          </w:p>
        </w:tc>
        <w:tc>
          <w:tcPr>
            <w:tcW w:w="211" w:type="pct"/>
            <w:vAlign w:val="center"/>
          </w:tcPr>
          <w:p w14:paraId="5153FFD6">
            <w:pPr>
              <w:pStyle w:val="28"/>
              <w:bidi w:val="0"/>
            </w:pPr>
            <w:r>
              <w:t>41.3</w:t>
            </w:r>
          </w:p>
        </w:tc>
        <w:tc>
          <w:tcPr>
            <w:tcW w:w="208" w:type="pct"/>
            <w:vAlign w:val="center"/>
          </w:tcPr>
          <w:p w14:paraId="2479E377">
            <w:pPr>
              <w:pStyle w:val="28"/>
              <w:bidi w:val="0"/>
            </w:pPr>
            <w:r>
              <w:t>55</w:t>
            </w:r>
          </w:p>
        </w:tc>
        <w:tc>
          <w:tcPr>
            <w:tcW w:w="211" w:type="pct"/>
            <w:vAlign w:val="center"/>
          </w:tcPr>
          <w:p w14:paraId="1EBD18B1">
            <w:pPr>
              <w:pStyle w:val="28"/>
              <w:bidi w:val="0"/>
            </w:pPr>
            <w:r>
              <w:t>45</w:t>
            </w:r>
          </w:p>
        </w:tc>
        <w:tc>
          <w:tcPr>
            <w:tcW w:w="276" w:type="pct"/>
            <w:vAlign w:val="center"/>
          </w:tcPr>
          <w:p w14:paraId="3063CEFA">
            <w:pPr>
              <w:pStyle w:val="28"/>
              <w:bidi w:val="0"/>
            </w:pPr>
            <w:r>
              <w:t>58.2</w:t>
            </w:r>
          </w:p>
        </w:tc>
        <w:tc>
          <w:tcPr>
            <w:tcW w:w="257" w:type="pct"/>
            <w:vAlign w:val="center"/>
          </w:tcPr>
          <w:p w14:paraId="3D339D5E">
            <w:pPr>
              <w:pStyle w:val="28"/>
              <w:bidi w:val="0"/>
            </w:pPr>
            <w:r>
              <w:t>38.2</w:t>
            </w:r>
          </w:p>
        </w:tc>
        <w:tc>
          <w:tcPr>
            <w:tcW w:w="257" w:type="pct"/>
            <w:vAlign w:val="center"/>
          </w:tcPr>
          <w:p w14:paraId="70189D32">
            <w:pPr>
              <w:pStyle w:val="28"/>
              <w:bidi w:val="0"/>
            </w:pPr>
            <w:r>
              <w:t>53.2</w:t>
            </w:r>
          </w:p>
        </w:tc>
        <w:tc>
          <w:tcPr>
            <w:tcW w:w="257" w:type="pct"/>
            <w:vAlign w:val="center"/>
          </w:tcPr>
          <w:p w14:paraId="267544C2">
            <w:pPr>
              <w:pStyle w:val="28"/>
              <w:bidi w:val="0"/>
            </w:pPr>
            <w:r>
              <w:t>0.1</w:t>
            </w:r>
          </w:p>
        </w:tc>
        <w:tc>
          <w:tcPr>
            <w:tcW w:w="209" w:type="pct"/>
            <w:vAlign w:val="center"/>
          </w:tcPr>
          <w:p w14:paraId="6BC5734E">
            <w:pPr>
              <w:pStyle w:val="28"/>
              <w:bidi w:val="0"/>
            </w:pPr>
            <w:r>
              <w:t>达标</w:t>
            </w:r>
          </w:p>
        </w:tc>
      </w:tr>
      <w:tr w14:paraId="5E878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1CAAE21">
            <w:pPr>
              <w:pStyle w:val="28"/>
              <w:bidi w:val="0"/>
            </w:pPr>
            <w:r>
              <w:rPr>
                <w:rFonts w:hint="eastAsia"/>
              </w:rPr>
              <w:t>徐圩村</w:t>
            </w:r>
          </w:p>
        </w:tc>
        <w:tc>
          <w:tcPr>
            <w:tcW w:w="511" w:type="pct"/>
            <w:vAlign w:val="center"/>
          </w:tcPr>
          <w:p w14:paraId="0B4F24E6">
            <w:pPr>
              <w:pStyle w:val="28"/>
              <w:bidi w:val="0"/>
            </w:pPr>
            <w:r>
              <w:rPr>
                <w:rFonts w:hint="eastAsia"/>
              </w:rPr>
              <w:t>渠道清淤</w:t>
            </w:r>
          </w:p>
        </w:tc>
        <w:tc>
          <w:tcPr>
            <w:tcW w:w="366" w:type="pct"/>
            <w:vAlign w:val="center"/>
          </w:tcPr>
          <w:p w14:paraId="5769B2FC">
            <w:pPr>
              <w:pStyle w:val="28"/>
              <w:bidi w:val="0"/>
            </w:pPr>
            <w:r>
              <w:t>110</w:t>
            </w:r>
          </w:p>
        </w:tc>
        <w:tc>
          <w:tcPr>
            <w:tcW w:w="268" w:type="pct"/>
            <w:vAlign w:val="center"/>
          </w:tcPr>
          <w:p w14:paraId="35FB41DD">
            <w:pPr>
              <w:pStyle w:val="28"/>
              <w:bidi w:val="0"/>
            </w:pPr>
            <w:r>
              <w:rPr>
                <w:rFonts w:hint="eastAsia"/>
              </w:rPr>
              <w:t>右岸</w:t>
            </w:r>
          </w:p>
        </w:tc>
        <w:tc>
          <w:tcPr>
            <w:tcW w:w="262" w:type="pct"/>
            <w:vAlign w:val="center"/>
          </w:tcPr>
          <w:p w14:paraId="4F28FE48">
            <w:pPr>
              <w:pStyle w:val="28"/>
              <w:bidi w:val="0"/>
            </w:pPr>
            <w:r>
              <w:t>1</w:t>
            </w:r>
            <w:r>
              <w:rPr>
                <w:rFonts w:hint="eastAsia"/>
              </w:rPr>
              <w:t>类</w:t>
            </w:r>
          </w:p>
        </w:tc>
        <w:tc>
          <w:tcPr>
            <w:tcW w:w="809" w:type="pct"/>
            <w:vAlign w:val="center"/>
          </w:tcPr>
          <w:p w14:paraId="1D1BCA03">
            <w:pPr>
              <w:pStyle w:val="28"/>
              <w:bidi w:val="0"/>
            </w:pPr>
            <w:r>
              <w:rPr>
                <w:rFonts w:hint="eastAsia"/>
              </w:rPr>
              <w:t>采用低噪声设备，施工机械远离居民住宅</w:t>
            </w:r>
          </w:p>
        </w:tc>
        <w:tc>
          <w:tcPr>
            <w:tcW w:w="208" w:type="pct"/>
            <w:vAlign w:val="center"/>
          </w:tcPr>
          <w:p w14:paraId="58D21C54">
            <w:pPr>
              <w:pStyle w:val="28"/>
              <w:bidi w:val="0"/>
            </w:pPr>
            <w:r>
              <w:t>53.1</w:t>
            </w:r>
          </w:p>
        </w:tc>
        <w:tc>
          <w:tcPr>
            <w:tcW w:w="211" w:type="pct"/>
            <w:vAlign w:val="center"/>
          </w:tcPr>
          <w:p w14:paraId="34688A7A">
            <w:pPr>
              <w:pStyle w:val="28"/>
              <w:bidi w:val="0"/>
            </w:pPr>
            <w:r>
              <w:t>41.3</w:t>
            </w:r>
          </w:p>
        </w:tc>
        <w:tc>
          <w:tcPr>
            <w:tcW w:w="208" w:type="pct"/>
            <w:vAlign w:val="center"/>
          </w:tcPr>
          <w:p w14:paraId="1A5C6CBF">
            <w:pPr>
              <w:pStyle w:val="28"/>
              <w:bidi w:val="0"/>
            </w:pPr>
            <w:r>
              <w:t>55</w:t>
            </w:r>
          </w:p>
        </w:tc>
        <w:tc>
          <w:tcPr>
            <w:tcW w:w="211" w:type="pct"/>
            <w:vAlign w:val="center"/>
          </w:tcPr>
          <w:p w14:paraId="40BC2153">
            <w:pPr>
              <w:pStyle w:val="28"/>
              <w:bidi w:val="0"/>
            </w:pPr>
            <w:r>
              <w:t>45</w:t>
            </w:r>
          </w:p>
        </w:tc>
        <w:tc>
          <w:tcPr>
            <w:tcW w:w="276" w:type="pct"/>
            <w:vAlign w:val="center"/>
          </w:tcPr>
          <w:p w14:paraId="436F45B5">
            <w:pPr>
              <w:pStyle w:val="28"/>
              <w:bidi w:val="0"/>
            </w:pPr>
            <w:r>
              <w:t>49.4</w:t>
            </w:r>
          </w:p>
        </w:tc>
        <w:tc>
          <w:tcPr>
            <w:tcW w:w="257" w:type="pct"/>
            <w:vAlign w:val="center"/>
          </w:tcPr>
          <w:p w14:paraId="5D115E17">
            <w:pPr>
              <w:pStyle w:val="28"/>
              <w:bidi w:val="0"/>
            </w:pPr>
            <w:r>
              <w:t>42.4</w:t>
            </w:r>
          </w:p>
        </w:tc>
        <w:tc>
          <w:tcPr>
            <w:tcW w:w="257" w:type="pct"/>
            <w:vAlign w:val="center"/>
          </w:tcPr>
          <w:p w14:paraId="69E188C4">
            <w:pPr>
              <w:pStyle w:val="28"/>
              <w:bidi w:val="0"/>
            </w:pPr>
            <w:r>
              <w:t>53.5</w:t>
            </w:r>
          </w:p>
        </w:tc>
        <w:tc>
          <w:tcPr>
            <w:tcW w:w="257" w:type="pct"/>
            <w:vAlign w:val="center"/>
          </w:tcPr>
          <w:p w14:paraId="6730A671">
            <w:pPr>
              <w:pStyle w:val="28"/>
              <w:bidi w:val="0"/>
            </w:pPr>
            <w:r>
              <w:t>0.4</w:t>
            </w:r>
          </w:p>
        </w:tc>
        <w:tc>
          <w:tcPr>
            <w:tcW w:w="209" w:type="pct"/>
            <w:vAlign w:val="center"/>
          </w:tcPr>
          <w:p w14:paraId="4DEDE17D">
            <w:pPr>
              <w:pStyle w:val="28"/>
              <w:bidi w:val="0"/>
            </w:pPr>
            <w:r>
              <w:t>达标</w:t>
            </w:r>
          </w:p>
        </w:tc>
      </w:tr>
      <w:tr w14:paraId="0DC8B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1AAFCD3">
            <w:pPr>
              <w:pStyle w:val="28"/>
              <w:bidi w:val="0"/>
            </w:pPr>
            <w:r>
              <w:rPr>
                <w:rFonts w:hint="eastAsia"/>
              </w:rPr>
              <w:t>油坊大郢</w:t>
            </w:r>
          </w:p>
        </w:tc>
        <w:tc>
          <w:tcPr>
            <w:tcW w:w="511" w:type="pct"/>
            <w:vAlign w:val="center"/>
          </w:tcPr>
          <w:p w14:paraId="07C28774">
            <w:pPr>
              <w:pStyle w:val="28"/>
              <w:bidi w:val="0"/>
            </w:pPr>
            <w:r>
              <w:rPr>
                <w:rFonts w:hint="eastAsia"/>
              </w:rPr>
              <w:t>渠道清淤</w:t>
            </w:r>
          </w:p>
        </w:tc>
        <w:tc>
          <w:tcPr>
            <w:tcW w:w="366" w:type="pct"/>
            <w:vAlign w:val="center"/>
          </w:tcPr>
          <w:p w14:paraId="2A5BCBDF">
            <w:pPr>
              <w:pStyle w:val="28"/>
              <w:bidi w:val="0"/>
            </w:pPr>
            <w:r>
              <w:t>39</w:t>
            </w:r>
          </w:p>
        </w:tc>
        <w:tc>
          <w:tcPr>
            <w:tcW w:w="268" w:type="pct"/>
            <w:vAlign w:val="center"/>
          </w:tcPr>
          <w:p w14:paraId="6E3D105A">
            <w:pPr>
              <w:pStyle w:val="28"/>
              <w:bidi w:val="0"/>
            </w:pPr>
            <w:r>
              <w:rPr>
                <w:rFonts w:hint="eastAsia"/>
              </w:rPr>
              <w:t>左岸</w:t>
            </w:r>
          </w:p>
        </w:tc>
        <w:tc>
          <w:tcPr>
            <w:tcW w:w="262" w:type="pct"/>
            <w:vAlign w:val="center"/>
          </w:tcPr>
          <w:p w14:paraId="215CA367">
            <w:pPr>
              <w:pStyle w:val="28"/>
              <w:bidi w:val="0"/>
            </w:pPr>
            <w:r>
              <w:t>1</w:t>
            </w:r>
            <w:r>
              <w:rPr>
                <w:rFonts w:hint="eastAsia"/>
              </w:rPr>
              <w:t>类</w:t>
            </w:r>
          </w:p>
        </w:tc>
        <w:tc>
          <w:tcPr>
            <w:tcW w:w="809" w:type="pct"/>
            <w:vMerge w:val="restart"/>
            <w:vAlign w:val="center"/>
          </w:tcPr>
          <w:p w14:paraId="106DFCBB">
            <w:pPr>
              <w:pStyle w:val="28"/>
              <w:bidi w:val="0"/>
            </w:pPr>
            <w:r>
              <w:rPr>
                <w:rFonts w:hint="eastAsia"/>
              </w:rPr>
              <w:t>采用低噪声设备，施工机械远离居民住宅，设置双层移动声屏障</w:t>
            </w:r>
          </w:p>
        </w:tc>
        <w:tc>
          <w:tcPr>
            <w:tcW w:w="208" w:type="pct"/>
            <w:vAlign w:val="center"/>
          </w:tcPr>
          <w:p w14:paraId="22D0D07E">
            <w:pPr>
              <w:pStyle w:val="28"/>
              <w:bidi w:val="0"/>
            </w:pPr>
            <w:r>
              <w:t>53.1</w:t>
            </w:r>
          </w:p>
        </w:tc>
        <w:tc>
          <w:tcPr>
            <w:tcW w:w="211" w:type="pct"/>
            <w:vAlign w:val="center"/>
          </w:tcPr>
          <w:p w14:paraId="7ADC3BD8">
            <w:pPr>
              <w:pStyle w:val="28"/>
              <w:bidi w:val="0"/>
            </w:pPr>
            <w:r>
              <w:t>41.3</w:t>
            </w:r>
          </w:p>
        </w:tc>
        <w:tc>
          <w:tcPr>
            <w:tcW w:w="208" w:type="pct"/>
            <w:vAlign w:val="center"/>
          </w:tcPr>
          <w:p w14:paraId="4C7096A7">
            <w:pPr>
              <w:pStyle w:val="28"/>
              <w:bidi w:val="0"/>
            </w:pPr>
            <w:r>
              <w:t>55</w:t>
            </w:r>
          </w:p>
        </w:tc>
        <w:tc>
          <w:tcPr>
            <w:tcW w:w="211" w:type="pct"/>
            <w:vAlign w:val="center"/>
          </w:tcPr>
          <w:p w14:paraId="3CD958AE">
            <w:pPr>
              <w:pStyle w:val="28"/>
              <w:bidi w:val="0"/>
            </w:pPr>
            <w:r>
              <w:t>45</w:t>
            </w:r>
          </w:p>
        </w:tc>
        <w:tc>
          <w:tcPr>
            <w:tcW w:w="276" w:type="pct"/>
            <w:vAlign w:val="center"/>
          </w:tcPr>
          <w:p w14:paraId="615F2ACB">
            <w:pPr>
              <w:pStyle w:val="28"/>
              <w:bidi w:val="0"/>
            </w:pPr>
            <w:r>
              <w:t>58.4</w:t>
            </w:r>
          </w:p>
        </w:tc>
        <w:tc>
          <w:tcPr>
            <w:tcW w:w="257" w:type="pct"/>
            <w:vAlign w:val="center"/>
          </w:tcPr>
          <w:p w14:paraId="6C06D433">
            <w:pPr>
              <w:pStyle w:val="28"/>
              <w:bidi w:val="0"/>
            </w:pPr>
            <w:r>
              <w:t>38.4</w:t>
            </w:r>
          </w:p>
        </w:tc>
        <w:tc>
          <w:tcPr>
            <w:tcW w:w="257" w:type="pct"/>
            <w:vAlign w:val="center"/>
          </w:tcPr>
          <w:p w14:paraId="1155DCD3">
            <w:pPr>
              <w:pStyle w:val="28"/>
              <w:bidi w:val="0"/>
            </w:pPr>
            <w:r>
              <w:t>53.2</w:t>
            </w:r>
          </w:p>
        </w:tc>
        <w:tc>
          <w:tcPr>
            <w:tcW w:w="257" w:type="pct"/>
            <w:vAlign w:val="center"/>
          </w:tcPr>
          <w:p w14:paraId="517CD6C8">
            <w:pPr>
              <w:pStyle w:val="28"/>
              <w:bidi w:val="0"/>
            </w:pPr>
            <w:r>
              <w:t>0.1</w:t>
            </w:r>
          </w:p>
        </w:tc>
        <w:tc>
          <w:tcPr>
            <w:tcW w:w="209" w:type="pct"/>
            <w:vAlign w:val="center"/>
          </w:tcPr>
          <w:p w14:paraId="0705D76C">
            <w:pPr>
              <w:pStyle w:val="28"/>
              <w:bidi w:val="0"/>
            </w:pPr>
            <w:r>
              <w:t>达标</w:t>
            </w:r>
          </w:p>
        </w:tc>
      </w:tr>
      <w:tr w14:paraId="38AD15CA">
        <w:tblPrEx>
          <w:tblCellMar>
            <w:top w:w="0" w:type="dxa"/>
            <w:left w:w="108" w:type="dxa"/>
            <w:bottom w:w="0" w:type="dxa"/>
            <w:right w:w="108" w:type="dxa"/>
          </w:tblCellMar>
        </w:tblPrEx>
        <w:trPr>
          <w:trHeight w:val="340" w:hRule="atLeast"/>
          <w:jc w:val="center"/>
        </w:trPr>
        <w:tc>
          <w:tcPr>
            <w:tcW w:w="685" w:type="pct"/>
            <w:vAlign w:val="center"/>
          </w:tcPr>
          <w:p w14:paraId="7F7E6E69">
            <w:pPr>
              <w:pStyle w:val="28"/>
              <w:bidi w:val="0"/>
            </w:pPr>
            <w:r>
              <w:rPr>
                <w:rFonts w:hint="eastAsia"/>
              </w:rPr>
              <w:t>阳光花园</w:t>
            </w:r>
          </w:p>
        </w:tc>
        <w:tc>
          <w:tcPr>
            <w:tcW w:w="511" w:type="pct"/>
            <w:vAlign w:val="center"/>
          </w:tcPr>
          <w:p w14:paraId="68E5DCD8">
            <w:pPr>
              <w:pStyle w:val="28"/>
              <w:bidi w:val="0"/>
            </w:pPr>
            <w:r>
              <w:rPr>
                <w:rFonts w:hint="eastAsia"/>
              </w:rPr>
              <w:t>渠道清淤</w:t>
            </w:r>
          </w:p>
        </w:tc>
        <w:tc>
          <w:tcPr>
            <w:tcW w:w="366" w:type="pct"/>
            <w:vAlign w:val="center"/>
          </w:tcPr>
          <w:p w14:paraId="629439A9">
            <w:pPr>
              <w:pStyle w:val="28"/>
              <w:bidi w:val="0"/>
            </w:pPr>
            <w:r>
              <w:t>32</w:t>
            </w:r>
          </w:p>
        </w:tc>
        <w:tc>
          <w:tcPr>
            <w:tcW w:w="268" w:type="pct"/>
            <w:vAlign w:val="center"/>
          </w:tcPr>
          <w:p w14:paraId="07815233">
            <w:pPr>
              <w:pStyle w:val="28"/>
              <w:bidi w:val="0"/>
            </w:pPr>
            <w:r>
              <w:rPr>
                <w:rFonts w:hint="eastAsia"/>
              </w:rPr>
              <w:t>右岸</w:t>
            </w:r>
          </w:p>
        </w:tc>
        <w:tc>
          <w:tcPr>
            <w:tcW w:w="262" w:type="pct"/>
            <w:vAlign w:val="center"/>
          </w:tcPr>
          <w:p w14:paraId="5B382472">
            <w:pPr>
              <w:pStyle w:val="28"/>
              <w:bidi w:val="0"/>
            </w:pPr>
            <w:r>
              <w:t>1</w:t>
            </w:r>
            <w:r>
              <w:rPr>
                <w:rFonts w:hint="eastAsia"/>
              </w:rPr>
              <w:t>类</w:t>
            </w:r>
          </w:p>
        </w:tc>
        <w:tc>
          <w:tcPr>
            <w:tcW w:w="809" w:type="pct"/>
            <w:vMerge w:val="continue"/>
            <w:vAlign w:val="center"/>
          </w:tcPr>
          <w:p w14:paraId="03E4FC57">
            <w:pPr>
              <w:pStyle w:val="28"/>
              <w:bidi w:val="0"/>
            </w:pPr>
          </w:p>
        </w:tc>
        <w:tc>
          <w:tcPr>
            <w:tcW w:w="208" w:type="pct"/>
            <w:vAlign w:val="center"/>
          </w:tcPr>
          <w:p w14:paraId="5967BFA2">
            <w:pPr>
              <w:pStyle w:val="28"/>
              <w:bidi w:val="0"/>
            </w:pPr>
            <w:r>
              <w:t>53.1</w:t>
            </w:r>
          </w:p>
        </w:tc>
        <w:tc>
          <w:tcPr>
            <w:tcW w:w="211" w:type="pct"/>
            <w:vAlign w:val="center"/>
          </w:tcPr>
          <w:p w14:paraId="6E580B38">
            <w:pPr>
              <w:pStyle w:val="28"/>
              <w:bidi w:val="0"/>
            </w:pPr>
            <w:r>
              <w:t>41.3</w:t>
            </w:r>
          </w:p>
        </w:tc>
        <w:tc>
          <w:tcPr>
            <w:tcW w:w="208" w:type="pct"/>
            <w:vAlign w:val="center"/>
          </w:tcPr>
          <w:p w14:paraId="730FEED4">
            <w:pPr>
              <w:pStyle w:val="28"/>
              <w:bidi w:val="0"/>
            </w:pPr>
            <w:r>
              <w:t>55</w:t>
            </w:r>
          </w:p>
        </w:tc>
        <w:tc>
          <w:tcPr>
            <w:tcW w:w="211" w:type="pct"/>
            <w:vAlign w:val="center"/>
          </w:tcPr>
          <w:p w14:paraId="726E42E4">
            <w:pPr>
              <w:pStyle w:val="28"/>
              <w:bidi w:val="0"/>
            </w:pPr>
            <w:r>
              <w:t>45</w:t>
            </w:r>
          </w:p>
        </w:tc>
        <w:tc>
          <w:tcPr>
            <w:tcW w:w="276" w:type="pct"/>
            <w:vAlign w:val="center"/>
          </w:tcPr>
          <w:p w14:paraId="33DD4B17">
            <w:pPr>
              <w:pStyle w:val="28"/>
              <w:bidi w:val="0"/>
            </w:pPr>
            <w:r>
              <w:t>60.1</w:t>
            </w:r>
          </w:p>
        </w:tc>
        <w:tc>
          <w:tcPr>
            <w:tcW w:w="257" w:type="pct"/>
            <w:vAlign w:val="center"/>
          </w:tcPr>
          <w:p w14:paraId="22F2D4A4">
            <w:pPr>
              <w:pStyle w:val="28"/>
              <w:bidi w:val="0"/>
            </w:pPr>
            <w:r>
              <w:t>40.1</w:t>
            </w:r>
          </w:p>
        </w:tc>
        <w:tc>
          <w:tcPr>
            <w:tcW w:w="257" w:type="pct"/>
            <w:vAlign w:val="center"/>
          </w:tcPr>
          <w:p w14:paraId="399FD5B9">
            <w:pPr>
              <w:pStyle w:val="28"/>
              <w:bidi w:val="0"/>
            </w:pPr>
            <w:r>
              <w:t>53.3</w:t>
            </w:r>
          </w:p>
        </w:tc>
        <w:tc>
          <w:tcPr>
            <w:tcW w:w="257" w:type="pct"/>
            <w:vAlign w:val="center"/>
          </w:tcPr>
          <w:p w14:paraId="100B79D6">
            <w:pPr>
              <w:pStyle w:val="28"/>
              <w:bidi w:val="0"/>
            </w:pPr>
            <w:r>
              <w:t>0.2</w:t>
            </w:r>
          </w:p>
        </w:tc>
        <w:tc>
          <w:tcPr>
            <w:tcW w:w="209" w:type="pct"/>
            <w:vAlign w:val="center"/>
          </w:tcPr>
          <w:p w14:paraId="5D89628B">
            <w:pPr>
              <w:pStyle w:val="28"/>
              <w:bidi w:val="0"/>
            </w:pPr>
            <w:r>
              <w:t>达标</w:t>
            </w:r>
          </w:p>
        </w:tc>
      </w:tr>
      <w:tr w14:paraId="054DA9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1F0B113">
            <w:pPr>
              <w:pStyle w:val="28"/>
              <w:bidi w:val="0"/>
            </w:pPr>
            <w:r>
              <w:rPr>
                <w:rFonts w:hint="eastAsia"/>
              </w:rPr>
              <w:t>杭埠镇政府</w:t>
            </w:r>
          </w:p>
        </w:tc>
        <w:tc>
          <w:tcPr>
            <w:tcW w:w="511" w:type="pct"/>
            <w:vAlign w:val="center"/>
          </w:tcPr>
          <w:p w14:paraId="09661F3F">
            <w:pPr>
              <w:pStyle w:val="28"/>
              <w:bidi w:val="0"/>
            </w:pPr>
            <w:r>
              <w:rPr>
                <w:rFonts w:hint="eastAsia"/>
              </w:rPr>
              <w:t>渠道清淤</w:t>
            </w:r>
          </w:p>
        </w:tc>
        <w:tc>
          <w:tcPr>
            <w:tcW w:w="366" w:type="pct"/>
            <w:vAlign w:val="center"/>
          </w:tcPr>
          <w:p w14:paraId="48DC7752">
            <w:pPr>
              <w:pStyle w:val="28"/>
              <w:bidi w:val="0"/>
            </w:pPr>
            <w:r>
              <w:t>22</w:t>
            </w:r>
          </w:p>
        </w:tc>
        <w:tc>
          <w:tcPr>
            <w:tcW w:w="268" w:type="pct"/>
            <w:vAlign w:val="center"/>
          </w:tcPr>
          <w:p w14:paraId="1A2B9193">
            <w:pPr>
              <w:pStyle w:val="28"/>
              <w:bidi w:val="0"/>
            </w:pPr>
            <w:r>
              <w:rPr>
                <w:rFonts w:hint="eastAsia"/>
              </w:rPr>
              <w:t>两岸</w:t>
            </w:r>
          </w:p>
        </w:tc>
        <w:tc>
          <w:tcPr>
            <w:tcW w:w="262" w:type="pct"/>
            <w:vAlign w:val="center"/>
          </w:tcPr>
          <w:p w14:paraId="1E7B40DC">
            <w:pPr>
              <w:pStyle w:val="28"/>
              <w:bidi w:val="0"/>
            </w:pPr>
            <w:r>
              <w:t>1</w:t>
            </w:r>
            <w:r>
              <w:rPr>
                <w:rFonts w:hint="eastAsia"/>
              </w:rPr>
              <w:t>类</w:t>
            </w:r>
          </w:p>
        </w:tc>
        <w:tc>
          <w:tcPr>
            <w:tcW w:w="809" w:type="pct"/>
            <w:vMerge w:val="continue"/>
            <w:vAlign w:val="center"/>
          </w:tcPr>
          <w:p w14:paraId="1061BF68">
            <w:pPr>
              <w:pStyle w:val="28"/>
              <w:bidi w:val="0"/>
            </w:pPr>
          </w:p>
        </w:tc>
        <w:tc>
          <w:tcPr>
            <w:tcW w:w="208" w:type="pct"/>
            <w:vAlign w:val="center"/>
          </w:tcPr>
          <w:p w14:paraId="19A99C1F">
            <w:pPr>
              <w:pStyle w:val="28"/>
              <w:bidi w:val="0"/>
            </w:pPr>
            <w:r>
              <w:t>53.1</w:t>
            </w:r>
          </w:p>
        </w:tc>
        <w:tc>
          <w:tcPr>
            <w:tcW w:w="211" w:type="pct"/>
            <w:vAlign w:val="center"/>
          </w:tcPr>
          <w:p w14:paraId="1A5AE751">
            <w:pPr>
              <w:pStyle w:val="28"/>
              <w:bidi w:val="0"/>
            </w:pPr>
            <w:r>
              <w:t>41.3</w:t>
            </w:r>
          </w:p>
        </w:tc>
        <w:tc>
          <w:tcPr>
            <w:tcW w:w="208" w:type="pct"/>
            <w:vAlign w:val="center"/>
          </w:tcPr>
          <w:p w14:paraId="4030A146">
            <w:pPr>
              <w:pStyle w:val="28"/>
              <w:bidi w:val="0"/>
            </w:pPr>
            <w:r>
              <w:t>55</w:t>
            </w:r>
          </w:p>
        </w:tc>
        <w:tc>
          <w:tcPr>
            <w:tcW w:w="211" w:type="pct"/>
            <w:vAlign w:val="center"/>
          </w:tcPr>
          <w:p w14:paraId="71F4098E">
            <w:pPr>
              <w:pStyle w:val="28"/>
              <w:bidi w:val="0"/>
            </w:pPr>
            <w:r>
              <w:t>45</w:t>
            </w:r>
          </w:p>
        </w:tc>
        <w:tc>
          <w:tcPr>
            <w:tcW w:w="276" w:type="pct"/>
            <w:vAlign w:val="center"/>
          </w:tcPr>
          <w:p w14:paraId="611B1C30">
            <w:pPr>
              <w:pStyle w:val="28"/>
              <w:bidi w:val="0"/>
            </w:pPr>
            <w:r>
              <w:t>63.4</w:t>
            </w:r>
          </w:p>
        </w:tc>
        <w:tc>
          <w:tcPr>
            <w:tcW w:w="257" w:type="pct"/>
            <w:vAlign w:val="center"/>
          </w:tcPr>
          <w:p w14:paraId="7F4637EE">
            <w:pPr>
              <w:pStyle w:val="28"/>
              <w:bidi w:val="0"/>
            </w:pPr>
            <w:r>
              <w:t>43.4</w:t>
            </w:r>
          </w:p>
        </w:tc>
        <w:tc>
          <w:tcPr>
            <w:tcW w:w="257" w:type="pct"/>
            <w:vAlign w:val="center"/>
          </w:tcPr>
          <w:p w14:paraId="41F1504B">
            <w:pPr>
              <w:pStyle w:val="28"/>
              <w:bidi w:val="0"/>
            </w:pPr>
            <w:r>
              <w:t>53.5</w:t>
            </w:r>
          </w:p>
        </w:tc>
        <w:tc>
          <w:tcPr>
            <w:tcW w:w="257" w:type="pct"/>
            <w:vAlign w:val="center"/>
          </w:tcPr>
          <w:p w14:paraId="658C296F">
            <w:pPr>
              <w:pStyle w:val="28"/>
              <w:bidi w:val="0"/>
            </w:pPr>
            <w:r>
              <w:t>0.4</w:t>
            </w:r>
          </w:p>
        </w:tc>
        <w:tc>
          <w:tcPr>
            <w:tcW w:w="209" w:type="pct"/>
            <w:vAlign w:val="center"/>
          </w:tcPr>
          <w:p w14:paraId="7A4EAD59">
            <w:pPr>
              <w:pStyle w:val="28"/>
              <w:bidi w:val="0"/>
            </w:pPr>
            <w:r>
              <w:t>达标</w:t>
            </w:r>
          </w:p>
        </w:tc>
      </w:tr>
      <w:tr w14:paraId="7983C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2792087">
            <w:pPr>
              <w:pStyle w:val="28"/>
              <w:bidi w:val="0"/>
            </w:pPr>
            <w:r>
              <w:rPr>
                <w:rFonts w:hint="eastAsia"/>
              </w:rPr>
              <w:t>舒城县税务局杭埠分局</w:t>
            </w:r>
          </w:p>
        </w:tc>
        <w:tc>
          <w:tcPr>
            <w:tcW w:w="511" w:type="pct"/>
            <w:vAlign w:val="center"/>
          </w:tcPr>
          <w:p w14:paraId="66EE92CE">
            <w:pPr>
              <w:pStyle w:val="28"/>
              <w:bidi w:val="0"/>
            </w:pPr>
            <w:r>
              <w:rPr>
                <w:rFonts w:hint="eastAsia"/>
              </w:rPr>
              <w:t>渠道清淤</w:t>
            </w:r>
          </w:p>
        </w:tc>
        <w:tc>
          <w:tcPr>
            <w:tcW w:w="366" w:type="pct"/>
            <w:vAlign w:val="center"/>
          </w:tcPr>
          <w:p w14:paraId="04EDE032">
            <w:pPr>
              <w:pStyle w:val="28"/>
              <w:bidi w:val="0"/>
            </w:pPr>
            <w:r>
              <w:t>154</w:t>
            </w:r>
          </w:p>
        </w:tc>
        <w:tc>
          <w:tcPr>
            <w:tcW w:w="268" w:type="pct"/>
            <w:vAlign w:val="center"/>
          </w:tcPr>
          <w:p w14:paraId="066619B7">
            <w:pPr>
              <w:pStyle w:val="28"/>
              <w:bidi w:val="0"/>
            </w:pPr>
            <w:r>
              <w:rPr>
                <w:rFonts w:hint="eastAsia"/>
              </w:rPr>
              <w:t>右岸</w:t>
            </w:r>
          </w:p>
        </w:tc>
        <w:tc>
          <w:tcPr>
            <w:tcW w:w="262" w:type="pct"/>
            <w:vAlign w:val="center"/>
          </w:tcPr>
          <w:p w14:paraId="7671B05D">
            <w:pPr>
              <w:pStyle w:val="28"/>
              <w:bidi w:val="0"/>
            </w:pPr>
            <w:r>
              <w:t>1</w:t>
            </w:r>
            <w:r>
              <w:rPr>
                <w:rFonts w:hint="eastAsia"/>
              </w:rPr>
              <w:t>类</w:t>
            </w:r>
          </w:p>
        </w:tc>
        <w:tc>
          <w:tcPr>
            <w:tcW w:w="809" w:type="pct"/>
            <w:vMerge w:val="restart"/>
            <w:vAlign w:val="center"/>
          </w:tcPr>
          <w:p w14:paraId="08803DD5">
            <w:pPr>
              <w:pStyle w:val="28"/>
              <w:bidi w:val="0"/>
            </w:pPr>
            <w:r>
              <w:rPr>
                <w:rFonts w:hint="eastAsia"/>
              </w:rPr>
              <w:t>采用低噪声设备，施工机械远离居民住宅</w:t>
            </w:r>
          </w:p>
        </w:tc>
        <w:tc>
          <w:tcPr>
            <w:tcW w:w="208" w:type="pct"/>
            <w:vAlign w:val="center"/>
          </w:tcPr>
          <w:p w14:paraId="53855177">
            <w:pPr>
              <w:pStyle w:val="28"/>
              <w:bidi w:val="0"/>
            </w:pPr>
            <w:r>
              <w:t>53.1</w:t>
            </w:r>
          </w:p>
        </w:tc>
        <w:tc>
          <w:tcPr>
            <w:tcW w:w="211" w:type="pct"/>
            <w:vAlign w:val="center"/>
          </w:tcPr>
          <w:p w14:paraId="404801D8">
            <w:pPr>
              <w:pStyle w:val="28"/>
              <w:bidi w:val="0"/>
            </w:pPr>
            <w:r>
              <w:t>41.3</w:t>
            </w:r>
          </w:p>
        </w:tc>
        <w:tc>
          <w:tcPr>
            <w:tcW w:w="208" w:type="pct"/>
            <w:vAlign w:val="center"/>
          </w:tcPr>
          <w:p w14:paraId="4CCE7973">
            <w:pPr>
              <w:pStyle w:val="28"/>
              <w:bidi w:val="0"/>
            </w:pPr>
            <w:r>
              <w:t>55</w:t>
            </w:r>
          </w:p>
        </w:tc>
        <w:tc>
          <w:tcPr>
            <w:tcW w:w="211" w:type="pct"/>
            <w:vAlign w:val="center"/>
          </w:tcPr>
          <w:p w14:paraId="224B730E">
            <w:pPr>
              <w:pStyle w:val="28"/>
              <w:bidi w:val="0"/>
            </w:pPr>
            <w:r>
              <w:t>45</w:t>
            </w:r>
          </w:p>
        </w:tc>
        <w:tc>
          <w:tcPr>
            <w:tcW w:w="276" w:type="pct"/>
            <w:vAlign w:val="center"/>
          </w:tcPr>
          <w:p w14:paraId="2734FE6D">
            <w:pPr>
              <w:pStyle w:val="28"/>
              <w:bidi w:val="0"/>
            </w:pPr>
            <w:r>
              <w:t>46.5</w:t>
            </w:r>
          </w:p>
        </w:tc>
        <w:tc>
          <w:tcPr>
            <w:tcW w:w="257" w:type="pct"/>
            <w:vAlign w:val="center"/>
          </w:tcPr>
          <w:p w14:paraId="6AF7C81F">
            <w:pPr>
              <w:pStyle w:val="28"/>
              <w:bidi w:val="0"/>
            </w:pPr>
            <w:r>
              <w:t>39.5</w:t>
            </w:r>
          </w:p>
        </w:tc>
        <w:tc>
          <w:tcPr>
            <w:tcW w:w="257" w:type="pct"/>
            <w:vAlign w:val="center"/>
          </w:tcPr>
          <w:p w14:paraId="4D18B3CF">
            <w:pPr>
              <w:pStyle w:val="28"/>
              <w:bidi w:val="0"/>
            </w:pPr>
            <w:r>
              <w:t>53.3</w:t>
            </w:r>
          </w:p>
        </w:tc>
        <w:tc>
          <w:tcPr>
            <w:tcW w:w="257" w:type="pct"/>
            <w:vAlign w:val="center"/>
          </w:tcPr>
          <w:p w14:paraId="277000E3">
            <w:pPr>
              <w:pStyle w:val="28"/>
              <w:bidi w:val="0"/>
            </w:pPr>
            <w:r>
              <w:t>0.2</w:t>
            </w:r>
          </w:p>
        </w:tc>
        <w:tc>
          <w:tcPr>
            <w:tcW w:w="209" w:type="pct"/>
            <w:vAlign w:val="center"/>
          </w:tcPr>
          <w:p w14:paraId="5FF7AE1F">
            <w:pPr>
              <w:pStyle w:val="28"/>
              <w:bidi w:val="0"/>
            </w:pPr>
            <w:r>
              <w:t>达标</w:t>
            </w:r>
          </w:p>
        </w:tc>
      </w:tr>
      <w:tr w14:paraId="2EEF3E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3D11620">
            <w:pPr>
              <w:pStyle w:val="28"/>
              <w:bidi w:val="0"/>
            </w:pPr>
            <w:r>
              <w:rPr>
                <w:rFonts w:hint="eastAsia"/>
              </w:rPr>
              <w:t>舒城县杭埠派出所</w:t>
            </w:r>
          </w:p>
        </w:tc>
        <w:tc>
          <w:tcPr>
            <w:tcW w:w="511" w:type="pct"/>
            <w:vAlign w:val="center"/>
          </w:tcPr>
          <w:p w14:paraId="52469946">
            <w:pPr>
              <w:pStyle w:val="28"/>
              <w:bidi w:val="0"/>
            </w:pPr>
            <w:r>
              <w:rPr>
                <w:rFonts w:hint="eastAsia"/>
              </w:rPr>
              <w:t>渠道清淤</w:t>
            </w:r>
          </w:p>
        </w:tc>
        <w:tc>
          <w:tcPr>
            <w:tcW w:w="366" w:type="pct"/>
            <w:vAlign w:val="center"/>
          </w:tcPr>
          <w:p w14:paraId="08690873">
            <w:pPr>
              <w:pStyle w:val="28"/>
              <w:bidi w:val="0"/>
            </w:pPr>
            <w:r>
              <w:t>44</w:t>
            </w:r>
          </w:p>
        </w:tc>
        <w:tc>
          <w:tcPr>
            <w:tcW w:w="268" w:type="pct"/>
            <w:vAlign w:val="center"/>
          </w:tcPr>
          <w:p w14:paraId="54A98B58">
            <w:pPr>
              <w:pStyle w:val="28"/>
              <w:bidi w:val="0"/>
            </w:pPr>
            <w:r>
              <w:rPr>
                <w:rFonts w:hint="eastAsia"/>
              </w:rPr>
              <w:t>右岸</w:t>
            </w:r>
          </w:p>
        </w:tc>
        <w:tc>
          <w:tcPr>
            <w:tcW w:w="262" w:type="pct"/>
            <w:vAlign w:val="center"/>
          </w:tcPr>
          <w:p w14:paraId="07A53A0B">
            <w:pPr>
              <w:pStyle w:val="28"/>
              <w:bidi w:val="0"/>
            </w:pPr>
            <w:r>
              <w:t>1</w:t>
            </w:r>
            <w:r>
              <w:rPr>
                <w:rFonts w:hint="eastAsia"/>
              </w:rPr>
              <w:t>类</w:t>
            </w:r>
          </w:p>
        </w:tc>
        <w:tc>
          <w:tcPr>
            <w:tcW w:w="809" w:type="pct"/>
            <w:vMerge w:val="continue"/>
            <w:vAlign w:val="center"/>
          </w:tcPr>
          <w:p w14:paraId="3ED97E92">
            <w:pPr>
              <w:pStyle w:val="28"/>
              <w:bidi w:val="0"/>
            </w:pPr>
          </w:p>
        </w:tc>
        <w:tc>
          <w:tcPr>
            <w:tcW w:w="208" w:type="pct"/>
            <w:vAlign w:val="center"/>
          </w:tcPr>
          <w:p w14:paraId="25BAFF38">
            <w:pPr>
              <w:pStyle w:val="28"/>
              <w:bidi w:val="0"/>
            </w:pPr>
            <w:r>
              <w:t>53.1</w:t>
            </w:r>
          </w:p>
        </w:tc>
        <w:tc>
          <w:tcPr>
            <w:tcW w:w="211" w:type="pct"/>
            <w:vAlign w:val="center"/>
          </w:tcPr>
          <w:p w14:paraId="5A629208">
            <w:pPr>
              <w:pStyle w:val="28"/>
              <w:bidi w:val="0"/>
            </w:pPr>
            <w:r>
              <w:t>41.3</w:t>
            </w:r>
          </w:p>
        </w:tc>
        <w:tc>
          <w:tcPr>
            <w:tcW w:w="208" w:type="pct"/>
            <w:vAlign w:val="center"/>
          </w:tcPr>
          <w:p w14:paraId="0BE564CC">
            <w:pPr>
              <w:pStyle w:val="28"/>
              <w:bidi w:val="0"/>
            </w:pPr>
            <w:r>
              <w:t>55</w:t>
            </w:r>
          </w:p>
        </w:tc>
        <w:tc>
          <w:tcPr>
            <w:tcW w:w="211" w:type="pct"/>
            <w:vAlign w:val="center"/>
          </w:tcPr>
          <w:p w14:paraId="617EB018">
            <w:pPr>
              <w:pStyle w:val="28"/>
              <w:bidi w:val="0"/>
            </w:pPr>
            <w:r>
              <w:t>45</w:t>
            </w:r>
          </w:p>
        </w:tc>
        <w:tc>
          <w:tcPr>
            <w:tcW w:w="276" w:type="pct"/>
            <w:vAlign w:val="center"/>
          </w:tcPr>
          <w:p w14:paraId="024C2F0E">
            <w:pPr>
              <w:pStyle w:val="28"/>
              <w:bidi w:val="0"/>
            </w:pPr>
            <w:r>
              <w:t>57.3</w:t>
            </w:r>
          </w:p>
        </w:tc>
        <w:tc>
          <w:tcPr>
            <w:tcW w:w="257" w:type="pct"/>
            <w:vAlign w:val="center"/>
          </w:tcPr>
          <w:p w14:paraId="6645F5F1">
            <w:pPr>
              <w:pStyle w:val="28"/>
              <w:bidi w:val="0"/>
            </w:pPr>
            <w:r>
              <w:t>50.3</w:t>
            </w:r>
          </w:p>
        </w:tc>
        <w:tc>
          <w:tcPr>
            <w:tcW w:w="257" w:type="pct"/>
            <w:vAlign w:val="center"/>
          </w:tcPr>
          <w:p w14:paraId="43D3A1C2">
            <w:pPr>
              <w:pStyle w:val="28"/>
              <w:bidi w:val="0"/>
            </w:pPr>
            <w:r>
              <w:t>54.9</w:t>
            </w:r>
          </w:p>
        </w:tc>
        <w:tc>
          <w:tcPr>
            <w:tcW w:w="257" w:type="pct"/>
            <w:vAlign w:val="center"/>
          </w:tcPr>
          <w:p w14:paraId="0F477C31">
            <w:pPr>
              <w:pStyle w:val="28"/>
              <w:bidi w:val="0"/>
            </w:pPr>
            <w:r>
              <w:t>1.8</w:t>
            </w:r>
          </w:p>
        </w:tc>
        <w:tc>
          <w:tcPr>
            <w:tcW w:w="209" w:type="pct"/>
            <w:vAlign w:val="center"/>
          </w:tcPr>
          <w:p w14:paraId="2266B934">
            <w:pPr>
              <w:pStyle w:val="28"/>
              <w:bidi w:val="0"/>
            </w:pPr>
            <w:r>
              <w:t>达标</w:t>
            </w:r>
          </w:p>
        </w:tc>
      </w:tr>
      <w:tr w14:paraId="2345D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6CC9574">
            <w:pPr>
              <w:pStyle w:val="28"/>
              <w:bidi w:val="0"/>
            </w:pPr>
            <w:r>
              <w:rPr>
                <w:rFonts w:hint="eastAsia"/>
              </w:rPr>
              <w:t>王老屋</w:t>
            </w:r>
          </w:p>
        </w:tc>
        <w:tc>
          <w:tcPr>
            <w:tcW w:w="511" w:type="pct"/>
            <w:vAlign w:val="center"/>
          </w:tcPr>
          <w:p w14:paraId="6791F35F">
            <w:pPr>
              <w:pStyle w:val="28"/>
              <w:bidi w:val="0"/>
            </w:pPr>
            <w:r>
              <w:rPr>
                <w:rFonts w:hint="eastAsia"/>
              </w:rPr>
              <w:t>渠道清淤</w:t>
            </w:r>
          </w:p>
        </w:tc>
        <w:tc>
          <w:tcPr>
            <w:tcW w:w="366" w:type="pct"/>
            <w:vAlign w:val="center"/>
          </w:tcPr>
          <w:p w14:paraId="1D2389D8">
            <w:pPr>
              <w:pStyle w:val="28"/>
              <w:bidi w:val="0"/>
            </w:pPr>
            <w:r>
              <w:t>108</w:t>
            </w:r>
          </w:p>
        </w:tc>
        <w:tc>
          <w:tcPr>
            <w:tcW w:w="268" w:type="pct"/>
            <w:vAlign w:val="center"/>
          </w:tcPr>
          <w:p w14:paraId="10A714A5">
            <w:pPr>
              <w:pStyle w:val="28"/>
              <w:bidi w:val="0"/>
            </w:pPr>
            <w:r>
              <w:rPr>
                <w:rFonts w:hint="eastAsia"/>
              </w:rPr>
              <w:t>右岸</w:t>
            </w:r>
          </w:p>
        </w:tc>
        <w:tc>
          <w:tcPr>
            <w:tcW w:w="262" w:type="pct"/>
            <w:vAlign w:val="center"/>
          </w:tcPr>
          <w:p w14:paraId="1D669B48">
            <w:pPr>
              <w:pStyle w:val="28"/>
              <w:bidi w:val="0"/>
            </w:pPr>
            <w:r>
              <w:t>1</w:t>
            </w:r>
            <w:r>
              <w:rPr>
                <w:rFonts w:hint="eastAsia"/>
              </w:rPr>
              <w:t>类</w:t>
            </w:r>
          </w:p>
        </w:tc>
        <w:tc>
          <w:tcPr>
            <w:tcW w:w="809" w:type="pct"/>
            <w:vMerge w:val="continue"/>
            <w:vAlign w:val="center"/>
          </w:tcPr>
          <w:p w14:paraId="1E5C7A19">
            <w:pPr>
              <w:pStyle w:val="28"/>
              <w:bidi w:val="0"/>
            </w:pPr>
          </w:p>
        </w:tc>
        <w:tc>
          <w:tcPr>
            <w:tcW w:w="208" w:type="pct"/>
            <w:vAlign w:val="center"/>
          </w:tcPr>
          <w:p w14:paraId="5962E66C">
            <w:pPr>
              <w:pStyle w:val="28"/>
              <w:bidi w:val="0"/>
            </w:pPr>
            <w:r>
              <w:t>53.1</w:t>
            </w:r>
          </w:p>
        </w:tc>
        <w:tc>
          <w:tcPr>
            <w:tcW w:w="211" w:type="pct"/>
            <w:vAlign w:val="center"/>
          </w:tcPr>
          <w:p w14:paraId="72351555">
            <w:pPr>
              <w:pStyle w:val="28"/>
              <w:bidi w:val="0"/>
            </w:pPr>
            <w:r>
              <w:t>41.3</w:t>
            </w:r>
          </w:p>
        </w:tc>
        <w:tc>
          <w:tcPr>
            <w:tcW w:w="208" w:type="pct"/>
            <w:vAlign w:val="center"/>
          </w:tcPr>
          <w:p w14:paraId="22D888DA">
            <w:pPr>
              <w:pStyle w:val="28"/>
              <w:bidi w:val="0"/>
            </w:pPr>
            <w:r>
              <w:t>55</w:t>
            </w:r>
          </w:p>
        </w:tc>
        <w:tc>
          <w:tcPr>
            <w:tcW w:w="211" w:type="pct"/>
            <w:vAlign w:val="center"/>
          </w:tcPr>
          <w:p w14:paraId="277B1186">
            <w:pPr>
              <w:pStyle w:val="28"/>
              <w:bidi w:val="0"/>
            </w:pPr>
            <w:r>
              <w:t>45</w:t>
            </w:r>
          </w:p>
        </w:tc>
        <w:tc>
          <w:tcPr>
            <w:tcW w:w="276" w:type="pct"/>
            <w:vAlign w:val="center"/>
          </w:tcPr>
          <w:p w14:paraId="663E1639">
            <w:pPr>
              <w:pStyle w:val="28"/>
              <w:bidi w:val="0"/>
            </w:pPr>
            <w:r>
              <w:t>49.5</w:t>
            </w:r>
          </w:p>
        </w:tc>
        <w:tc>
          <w:tcPr>
            <w:tcW w:w="257" w:type="pct"/>
            <w:vAlign w:val="center"/>
          </w:tcPr>
          <w:p w14:paraId="4EFB8278">
            <w:pPr>
              <w:pStyle w:val="28"/>
              <w:bidi w:val="0"/>
            </w:pPr>
            <w:r>
              <w:t>42.5</w:t>
            </w:r>
          </w:p>
        </w:tc>
        <w:tc>
          <w:tcPr>
            <w:tcW w:w="257" w:type="pct"/>
            <w:vAlign w:val="center"/>
          </w:tcPr>
          <w:p w14:paraId="71727536">
            <w:pPr>
              <w:pStyle w:val="28"/>
              <w:bidi w:val="0"/>
            </w:pPr>
            <w:r>
              <w:t>53.5</w:t>
            </w:r>
          </w:p>
        </w:tc>
        <w:tc>
          <w:tcPr>
            <w:tcW w:w="257" w:type="pct"/>
            <w:vAlign w:val="center"/>
          </w:tcPr>
          <w:p w14:paraId="50172952">
            <w:pPr>
              <w:pStyle w:val="28"/>
              <w:bidi w:val="0"/>
            </w:pPr>
            <w:r>
              <w:t>0.4</w:t>
            </w:r>
          </w:p>
        </w:tc>
        <w:tc>
          <w:tcPr>
            <w:tcW w:w="209" w:type="pct"/>
            <w:vAlign w:val="center"/>
          </w:tcPr>
          <w:p w14:paraId="607DBD6A">
            <w:pPr>
              <w:pStyle w:val="28"/>
              <w:bidi w:val="0"/>
            </w:pPr>
            <w:r>
              <w:t>达标</w:t>
            </w:r>
          </w:p>
        </w:tc>
      </w:tr>
      <w:tr w14:paraId="519D53DD">
        <w:tblPrEx>
          <w:tblCellMar>
            <w:top w:w="0" w:type="dxa"/>
            <w:left w:w="108" w:type="dxa"/>
            <w:bottom w:w="0" w:type="dxa"/>
            <w:right w:w="108" w:type="dxa"/>
          </w:tblCellMar>
        </w:tblPrEx>
        <w:trPr>
          <w:trHeight w:val="340" w:hRule="atLeast"/>
          <w:jc w:val="center"/>
        </w:trPr>
        <w:tc>
          <w:tcPr>
            <w:tcW w:w="685" w:type="pct"/>
            <w:vAlign w:val="center"/>
          </w:tcPr>
          <w:p w14:paraId="17785021">
            <w:pPr>
              <w:pStyle w:val="28"/>
              <w:bidi w:val="0"/>
            </w:pPr>
            <w:r>
              <w:rPr>
                <w:rFonts w:hint="eastAsia"/>
              </w:rPr>
              <w:t>陈家祠堂</w:t>
            </w:r>
          </w:p>
        </w:tc>
        <w:tc>
          <w:tcPr>
            <w:tcW w:w="511" w:type="pct"/>
            <w:vAlign w:val="center"/>
          </w:tcPr>
          <w:p w14:paraId="65D49081">
            <w:pPr>
              <w:pStyle w:val="28"/>
              <w:bidi w:val="0"/>
            </w:pPr>
            <w:r>
              <w:rPr>
                <w:rFonts w:hint="eastAsia"/>
              </w:rPr>
              <w:t>机耕桥拆建</w:t>
            </w:r>
          </w:p>
        </w:tc>
        <w:tc>
          <w:tcPr>
            <w:tcW w:w="366" w:type="pct"/>
            <w:vAlign w:val="center"/>
          </w:tcPr>
          <w:p w14:paraId="78DEB68D">
            <w:pPr>
              <w:pStyle w:val="28"/>
              <w:bidi w:val="0"/>
            </w:pPr>
            <w:r>
              <w:t>10</w:t>
            </w:r>
          </w:p>
        </w:tc>
        <w:tc>
          <w:tcPr>
            <w:tcW w:w="268" w:type="pct"/>
            <w:vAlign w:val="center"/>
          </w:tcPr>
          <w:p w14:paraId="60CF7FF4">
            <w:pPr>
              <w:pStyle w:val="28"/>
              <w:bidi w:val="0"/>
            </w:pPr>
            <w:r>
              <w:rPr>
                <w:rFonts w:hint="eastAsia"/>
              </w:rPr>
              <w:t>左岸</w:t>
            </w:r>
          </w:p>
        </w:tc>
        <w:tc>
          <w:tcPr>
            <w:tcW w:w="262" w:type="pct"/>
            <w:vAlign w:val="center"/>
          </w:tcPr>
          <w:p w14:paraId="2A5E5A1B">
            <w:pPr>
              <w:pStyle w:val="28"/>
              <w:bidi w:val="0"/>
            </w:pPr>
            <w:r>
              <w:t>1</w:t>
            </w:r>
            <w:r>
              <w:rPr>
                <w:rFonts w:hint="eastAsia"/>
              </w:rPr>
              <w:t>类</w:t>
            </w:r>
          </w:p>
        </w:tc>
        <w:tc>
          <w:tcPr>
            <w:tcW w:w="809" w:type="pct"/>
            <w:vAlign w:val="center"/>
          </w:tcPr>
          <w:p w14:paraId="625A5A6E">
            <w:pPr>
              <w:pStyle w:val="28"/>
              <w:bidi w:val="0"/>
            </w:pPr>
            <w:r>
              <w:rPr>
                <w:rFonts w:hint="eastAsia"/>
              </w:rPr>
              <w:t>采用低噪声设备，施工机械远离居民住宅，设置双层移动声屏障</w:t>
            </w:r>
          </w:p>
        </w:tc>
        <w:tc>
          <w:tcPr>
            <w:tcW w:w="208" w:type="pct"/>
            <w:vAlign w:val="center"/>
          </w:tcPr>
          <w:p w14:paraId="2345BCD0">
            <w:pPr>
              <w:pStyle w:val="28"/>
              <w:bidi w:val="0"/>
            </w:pPr>
            <w:r>
              <w:t>53.7</w:t>
            </w:r>
          </w:p>
        </w:tc>
        <w:tc>
          <w:tcPr>
            <w:tcW w:w="211" w:type="pct"/>
            <w:vAlign w:val="center"/>
          </w:tcPr>
          <w:p w14:paraId="31FAB89C">
            <w:pPr>
              <w:pStyle w:val="28"/>
              <w:bidi w:val="0"/>
            </w:pPr>
            <w:r>
              <w:t>42.1</w:t>
            </w:r>
          </w:p>
        </w:tc>
        <w:tc>
          <w:tcPr>
            <w:tcW w:w="208" w:type="pct"/>
            <w:vAlign w:val="center"/>
          </w:tcPr>
          <w:p w14:paraId="3BE5AB12">
            <w:pPr>
              <w:pStyle w:val="28"/>
              <w:bidi w:val="0"/>
            </w:pPr>
            <w:r>
              <w:t>55</w:t>
            </w:r>
          </w:p>
        </w:tc>
        <w:tc>
          <w:tcPr>
            <w:tcW w:w="211" w:type="pct"/>
            <w:vAlign w:val="center"/>
          </w:tcPr>
          <w:p w14:paraId="45ECE5B4">
            <w:pPr>
              <w:pStyle w:val="28"/>
              <w:bidi w:val="0"/>
            </w:pPr>
            <w:r>
              <w:t>45</w:t>
            </w:r>
          </w:p>
        </w:tc>
        <w:tc>
          <w:tcPr>
            <w:tcW w:w="276" w:type="pct"/>
            <w:vAlign w:val="center"/>
          </w:tcPr>
          <w:p w14:paraId="0E1AE6CB">
            <w:pPr>
              <w:pStyle w:val="28"/>
              <w:bidi w:val="0"/>
            </w:pPr>
            <w:r>
              <w:t>73.2</w:t>
            </w:r>
          </w:p>
        </w:tc>
        <w:tc>
          <w:tcPr>
            <w:tcW w:w="257" w:type="pct"/>
            <w:vAlign w:val="center"/>
          </w:tcPr>
          <w:p w14:paraId="5070B7DE">
            <w:pPr>
              <w:pStyle w:val="28"/>
              <w:bidi w:val="0"/>
            </w:pPr>
            <w:r>
              <w:t>48.2</w:t>
            </w:r>
          </w:p>
        </w:tc>
        <w:tc>
          <w:tcPr>
            <w:tcW w:w="257" w:type="pct"/>
            <w:vAlign w:val="center"/>
          </w:tcPr>
          <w:p w14:paraId="4079C173">
            <w:pPr>
              <w:pStyle w:val="28"/>
              <w:bidi w:val="0"/>
            </w:pPr>
            <w:r>
              <w:t>54.8</w:t>
            </w:r>
          </w:p>
        </w:tc>
        <w:tc>
          <w:tcPr>
            <w:tcW w:w="257" w:type="pct"/>
            <w:vAlign w:val="center"/>
          </w:tcPr>
          <w:p w14:paraId="377566F6">
            <w:pPr>
              <w:pStyle w:val="28"/>
              <w:bidi w:val="0"/>
            </w:pPr>
            <w:r>
              <w:t>1.1</w:t>
            </w:r>
          </w:p>
        </w:tc>
        <w:tc>
          <w:tcPr>
            <w:tcW w:w="209" w:type="pct"/>
            <w:vAlign w:val="center"/>
          </w:tcPr>
          <w:p w14:paraId="2BD4F308">
            <w:pPr>
              <w:pStyle w:val="28"/>
              <w:bidi w:val="0"/>
            </w:pPr>
            <w:r>
              <w:t>达标</w:t>
            </w:r>
          </w:p>
        </w:tc>
      </w:tr>
      <w:tr w14:paraId="296E7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5AB8BB9">
            <w:pPr>
              <w:pStyle w:val="28"/>
              <w:bidi w:val="0"/>
            </w:pPr>
            <w:r>
              <w:rPr>
                <w:rFonts w:hint="eastAsia"/>
              </w:rPr>
              <w:t>茨山</w:t>
            </w:r>
          </w:p>
        </w:tc>
        <w:tc>
          <w:tcPr>
            <w:tcW w:w="511" w:type="pct"/>
            <w:vAlign w:val="center"/>
          </w:tcPr>
          <w:p w14:paraId="7500127D">
            <w:pPr>
              <w:pStyle w:val="28"/>
              <w:bidi w:val="0"/>
            </w:pPr>
            <w:r>
              <w:rPr>
                <w:rFonts w:hint="eastAsia"/>
              </w:rPr>
              <w:t>机耕桥拆建</w:t>
            </w:r>
          </w:p>
        </w:tc>
        <w:tc>
          <w:tcPr>
            <w:tcW w:w="366" w:type="pct"/>
            <w:vAlign w:val="center"/>
          </w:tcPr>
          <w:p w14:paraId="0FC40644">
            <w:pPr>
              <w:pStyle w:val="28"/>
              <w:bidi w:val="0"/>
            </w:pPr>
            <w:r>
              <w:t>80</w:t>
            </w:r>
          </w:p>
        </w:tc>
        <w:tc>
          <w:tcPr>
            <w:tcW w:w="268" w:type="pct"/>
            <w:vAlign w:val="center"/>
          </w:tcPr>
          <w:p w14:paraId="6DEF1DB0">
            <w:pPr>
              <w:pStyle w:val="28"/>
              <w:bidi w:val="0"/>
            </w:pPr>
            <w:r>
              <w:rPr>
                <w:rFonts w:hint="eastAsia"/>
              </w:rPr>
              <w:t>右岸</w:t>
            </w:r>
          </w:p>
        </w:tc>
        <w:tc>
          <w:tcPr>
            <w:tcW w:w="262" w:type="pct"/>
            <w:vAlign w:val="center"/>
          </w:tcPr>
          <w:p w14:paraId="6CF6448E">
            <w:pPr>
              <w:pStyle w:val="28"/>
              <w:bidi w:val="0"/>
            </w:pPr>
            <w:r>
              <w:t>1</w:t>
            </w:r>
            <w:r>
              <w:rPr>
                <w:rFonts w:hint="eastAsia"/>
              </w:rPr>
              <w:t>类</w:t>
            </w:r>
          </w:p>
        </w:tc>
        <w:tc>
          <w:tcPr>
            <w:tcW w:w="809" w:type="pct"/>
            <w:vAlign w:val="center"/>
          </w:tcPr>
          <w:p w14:paraId="7B9D06FA">
            <w:pPr>
              <w:pStyle w:val="28"/>
              <w:bidi w:val="0"/>
            </w:pPr>
            <w:r>
              <w:rPr>
                <w:rFonts w:hint="eastAsia"/>
              </w:rPr>
              <w:t>采用低噪声设备，施工机械远离居民住宅</w:t>
            </w:r>
          </w:p>
        </w:tc>
        <w:tc>
          <w:tcPr>
            <w:tcW w:w="208" w:type="pct"/>
            <w:vAlign w:val="center"/>
          </w:tcPr>
          <w:p w14:paraId="361ABD8E">
            <w:pPr>
              <w:pStyle w:val="28"/>
              <w:bidi w:val="0"/>
            </w:pPr>
            <w:r>
              <w:t>53.7</w:t>
            </w:r>
          </w:p>
        </w:tc>
        <w:tc>
          <w:tcPr>
            <w:tcW w:w="211" w:type="pct"/>
            <w:vAlign w:val="center"/>
          </w:tcPr>
          <w:p w14:paraId="56CD9C56">
            <w:pPr>
              <w:pStyle w:val="28"/>
              <w:bidi w:val="0"/>
            </w:pPr>
            <w:r>
              <w:t>42.1</w:t>
            </w:r>
          </w:p>
        </w:tc>
        <w:tc>
          <w:tcPr>
            <w:tcW w:w="208" w:type="pct"/>
            <w:vAlign w:val="center"/>
          </w:tcPr>
          <w:p w14:paraId="321564EA">
            <w:pPr>
              <w:pStyle w:val="28"/>
              <w:bidi w:val="0"/>
            </w:pPr>
            <w:r>
              <w:t>55</w:t>
            </w:r>
          </w:p>
        </w:tc>
        <w:tc>
          <w:tcPr>
            <w:tcW w:w="211" w:type="pct"/>
            <w:vAlign w:val="center"/>
          </w:tcPr>
          <w:p w14:paraId="0D528AC0">
            <w:pPr>
              <w:pStyle w:val="28"/>
              <w:bidi w:val="0"/>
            </w:pPr>
            <w:r>
              <w:t>45</w:t>
            </w:r>
          </w:p>
        </w:tc>
        <w:tc>
          <w:tcPr>
            <w:tcW w:w="276" w:type="pct"/>
            <w:vAlign w:val="center"/>
          </w:tcPr>
          <w:p w14:paraId="4DF76E88">
            <w:pPr>
              <w:pStyle w:val="28"/>
              <w:bidi w:val="0"/>
            </w:pPr>
            <w:r>
              <w:t>55.1</w:t>
            </w:r>
          </w:p>
        </w:tc>
        <w:tc>
          <w:tcPr>
            <w:tcW w:w="257" w:type="pct"/>
            <w:vAlign w:val="center"/>
          </w:tcPr>
          <w:p w14:paraId="1E2FAA14">
            <w:pPr>
              <w:pStyle w:val="28"/>
              <w:bidi w:val="0"/>
            </w:pPr>
            <w:r>
              <w:t>48.1</w:t>
            </w:r>
          </w:p>
        </w:tc>
        <w:tc>
          <w:tcPr>
            <w:tcW w:w="257" w:type="pct"/>
            <w:vAlign w:val="center"/>
          </w:tcPr>
          <w:p w14:paraId="555853CB">
            <w:pPr>
              <w:pStyle w:val="28"/>
              <w:bidi w:val="0"/>
            </w:pPr>
            <w:r>
              <w:t>54.8</w:t>
            </w:r>
          </w:p>
        </w:tc>
        <w:tc>
          <w:tcPr>
            <w:tcW w:w="257" w:type="pct"/>
            <w:vAlign w:val="center"/>
          </w:tcPr>
          <w:p w14:paraId="33514588">
            <w:pPr>
              <w:pStyle w:val="28"/>
              <w:bidi w:val="0"/>
            </w:pPr>
            <w:r>
              <w:t>1.1</w:t>
            </w:r>
          </w:p>
        </w:tc>
        <w:tc>
          <w:tcPr>
            <w:tcW w:w="209" w:type="pct"/>
            <w:vAlign w:val="center"/>
          </w:tcPr>
          <w:p w14:paraId="08F01D94">
            <w:pPr>
              <w:pStyle w:val="28"/>
              <w:bidi w:val="0"/>
            </w:pPr>
            <w:r>
              <w:t>达标</w:t>
            </w:r>
          </w:p>
        </w:tc>
      </w:tr>
      <w:tr w14:paraId="27C88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7A14023">
            <w:pPr>
              <w:pStyle w:val="28"/>
              <w:bidi w:val="0"/>
            </w:pPr>
            <w:r>
              <w:rPr>
                <w:rFonts w:hint="eastAsia"/>
              </w:rPr>
              <w:t>固家老</w:t>
            </w:r>
          </w:p>
        </w:tc>
        <w:tc>
          <w:tcPr>
            <w:tcW w:w="511" w:type="pct"/>
            <w:vAlign w:val="center"/>
          </w:tcPr>
          <w:p w14:paraId="6F8DAAC5">
            <w:pPr>
              <w:pStyle w:val="28"/>
              <w:bidi w:val="0"/>
            </w:pPr>
            <w:r>
              <w:rPr>
                <w:rFonts w:hint="eastAsia"/>
              </w:rPr>
              <w:t>机耕桥拆建</w:t>
            </w:r>
          </w:p>
        </w:tc>
        <w:tc>
          <w:tcPr>
            <w:tcW w:w="366" w:type="pct"/>
            <w:vAlign w:val="center"/>
          </w:tcPr>
          <w:p w14:paraId="1D27348C">
            <w:pPr>
              <w:pStyle w:val="28"/>
              <w:bidi w:val="0"/>
            </w:pPr>
            <w:r>
              <w:t>25</w:t>
            </w:r>
          </w:p>
        </w:tc>
        <w:tc>
          <w:tcPr>
            <w:tcW w:w="268" w:type="pct"/>
            <w:vAlign w:val="center"/>
          </w:tcPr>
          <w:p w14:paraId="0F6605E1">
            <w:pPr>
              <w:pStyle w:val="28"/>
              <w:bidi w:val="0"/>
            </w:pPr>
            <w:r>
              <w:rPr>
                <w:rFonts w:hint="eastAsia"/>
              </w:rPr>
              <w:t>右岸</w:t>
            </w:r>
          </w:p>
        </w:tc>
        <w:tc>
          <w:tcPr>
            <w:tcW w:w="262" w:type="pct"/>
            <w:vAlign w:val="center"/>
          </w:tcPr>
          <w:p w14:paraId="40ECF086">
            <w:pPr>
              <w:pStyle w:val="28"/>
              <w:bidi w:val="0"/>
            </w:pPr>
            <w:r>
              <w:t>1</w:t>
            </w:r>
            <w:r>
              <w:rPr>
                <w:rFonts w:hint="eastAsia"/>
              </w:rPr>
              <w:t>类</w:t>
            </w:r>
          </w:p>
        </w:tc>
        <w:tc>
          <w:tcPr>
            <w:tcW w:w="809" w:type="pct"/>
            <w:vMerge w:val="restart"/>
            <w:vAlign w:val="center"/>
          </w:tcPr>
          <w:p w14:paraId="4710DA3F">
            <w:pPr>
              <w:pStyle w:val="28"/>
              <w:bidi w:val="0"/>
            </w:pPr>
            <w:r>
              <w:rPr>
                <w:rFonts w:hint="eastAsia"/>
              </w:rPr>
              <w:t>采用低噪声设备，施工机械远离居民住宅，设置双层移动声屏障</w:t>
            </w:r>
          </w:p>
        </w:tc>
        <w:tc>
          <w:tcPr>
            <w:tcW w:w="208" w:type="pct"/>
            <w:vAlign w:val="center"/>
          </w:tcPr>
          <w:p w14:paraId="049667FB">
            <w:pPr>
              <w:pStyle w:val="28"/>
              <w:bidi w:val="0"/>
            </w:pPr>
            <w:r>
              <w:t>53.7</w:t>
            </w:r>
          </w:p>
        </w:tc>
        <w:tc>
          <w:tcPr>
            <w:tcW w:w="211" w:type="pct"/>
            <w:vAlign w:val="center"/>
          </w:tcPr>
          <w:p w14:paraId="6B64D846">
            <w:pPr>
              <w:pStyle w:val="28"/>
              <w:bidi w:val="0"/>
            </w:pPr>
            <w:r>
              <w:t>42.1</w:t>
            </w:r>
          </w:p>
        </w:tc>
        <w:tc>
          <w:tcPr>
            <w:tcW w:w="208" w:type="pct"/>
            <w:vAlign w:val="center"/>
          </w:tcPr>
          <w:p w14:paraId="3AEAF13F">
            <w:pPr>
              <w:pStyle w:val="28"/>
              <w:bidi w:val="0"/>
            </w:pPr>
            <w:r>
              <w:t>55</w:t>
            </w:r>
          </w:p>
        </w:tc>
        <w:tc>
          <w:tcPr>
            <w:tcW w:w="211" w:type="pct"/>
            <w:vAlign w:val="center"/>
          </w:tcPr>
          <w:p w14:paraId="3F9B121F">
            <w:pPr>
              <w:pStyle w:val="28"/>
              <w:bidi w:val="0"/>
            </w:pPr>
            <w:r>
              <w:t>45</w:t>
            </w:r>
          </w:p>
        </w:tc>
        <w:tc>
          <w:tcPr>
            <w:tcW w:w="276" w:type="pct"/>
            <w:vAlign w:val="center"/>
          </w:tcPr>
          <w:p w14:paraId="74662943">
            <w:pPr>
              <w:pStyle w:val="28"/>
              <w:bidi w:val="0"/>
            </w:pPr>
            <w:r>
              <w:t>65.3</w:t>
            </w:r>
          </w:p>
        </w:tc>
        <w:tc>
          <w:tcPr>
            <w:tcW w:w="257" w:type="pct"/>
            <w:vAlign w:val="center"/>
          </w:tcPr>
          <w:p w14:paraId="42E882C9">
            <w:pPr>
              <w:pStyle w:val="28"/>
              <w:bidi w:val="0"/>
            </w:pPr>
            <w:r>
              <w:t>45.3</w:t>
            </w:r>
          </w:p>
        </w:tc>
        <w:tc>
          <w:tcPr>
            <w:tcW w:w="257" w:type="pct"/>
            <w:vAlign w:val="center"/>
          </w:tcPr>
          <w:p w14:paraId="3D25AE1A">
            <w:pPr>
              <w:pStyle w:val="28"/>
              <w:bidi w:val="0"/>
            </w:pPr>
            <w:r>
              <w:t>54.3</w:t>
            </w:r>
          </w:p>
        </w:tc>
        <w:tc>
          <w:tcPr>
            <w:tcW w:w="257" w:type="pct"/>
            <w:vAlign w:val="center"/>
          </w:tcPr>
          <w:p w14:paraId="498412F7">
            <w:pPr>
              <w:pStyle w:val="28"/>
              <w:bidi w:val="0"/>
            </w:pPr>
            <w:r>
              <w:t>0.6</w:t>
            </w:r>
          </w:p>
        </w:tc>
        <w:tc>
          <w:tcPr>
            <w:tcW w:w="209" w:type="pct"/>
            <w:vAlign w:val="center"/>
          </w:tcPr>
          <w:p w14:paraId="3D02BBD1">
            <w:pPr>
              <w:pStyle w:val="28"/>
              <w:bidi w:val="0"/>
            </w:pPr>
            <w:r>
              <w:t>达标</w:t>
            </w:r>
          </w:p>
        </w:tc>
      </w:tr>
      <w:tr w14:paraId="228EC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CAA2A00">
            <w:pPr>
              <w:pStyle w:val="28"/>
              <w:bidi w:val="0"/>
            </w:pPr>
            <w:r>
              <w:rPr>
                <w:rFonts w:hint="eastAsia"/>
              </w:rPr>
              <w:t>左家老</w:t>
            </w:r>
          </w:p>
        </w:tc>
        <w:tc>
          <w:tcPr>
            <w:tcW w:w="511" w:type="pct"/>
            <w:vAlign w:val="center"/>
          </w:tcPr>
          <w:p w14:paraId="39FC2D67">
            <w:pPr>
              <w:pStyle w:val="28"/>
              <w:bidi w:val="0"/>
            </w:pPr>
            <w:r>
              <w:rPr>
                <w:rFonts w:hint="eastAsia"/>
              </w:rPr>
              <w:t>放水涵拆建</w:t>
            </w:r>
          </w:p>
        </w:tc>
        <w:tc>
          <w:tcPr>
            <w:tcW w:w="366" w:type="pct"/>
            <w:vAlign w:val="center"/>
          </w:tcPr>
          <w:p w14:paraId="0647743B">
            <w:pPr>
              <w:pStyle w:val="28"/>
              <w:bidi w:val="0"/>
            </w:pPr>
            <w:r>
              <w:t>40</w:t>
            </w:r>
          </w:p>
        </w:tc>
        <w:tc>
          <w:tcPr>
            <w:tcW w:w="268" w:type="pct"/>
            <w:vAlign w:val="center"/>
          </w:tcPr>
          <w:p w14:paraId="49DB8B0D">
            <w:pPr>
              <w:pStyle w:val="28"/>
              <w:bidi w:val="0"/>
            </w:pPr>
            <w:r>
              <w:rPr>
                <w:rFonts w:hint="eastAsia"/>
              </w:rPr>
              <w:t>左岸</w:t>
            </w:r>
          </w:p>
        </w:tc>
        <w:tc>
          <w:tcPr>
            <w:tcW w:w="262" w:type="pct"/>
            <w:vAlign w:val="center"/>
          </w:tcPr>
          <w:p w14:paraId="67528080">
            <w:pPr>
              <w:pStyle w:val="28"/>
              <w:bidi w:val="0"/>
            </w:pPr>
            <w:r>
              <w:t>1</w:t>
            </w:r>
            <w:r>
              <w:rPr>
                <w:rFonts w:hint="eastAsia"/>
              </w:rPr>
              <w:t>类</w:t>
            </w:r>
          </w:p>
        </w:tc>
        <w:tc>
          <w:tcPr>
            <w:tcW w:w="809" w:type="pct"/>
            <w:vMerge w:val="continue"/>
            <w:vAlign w:val="center"/>
          </w:tcPr>
          <w:p w14:paraId="09B6E610">
            <w:pPr>
              <w:pStyle w:val="28"/>
              <w:bidi w:val="0"/>
            </w:pPr>
          </w:p>
        </w:tc>
        <w:tc>
          <w:tcPr>
            <w:tcW w:w="208" w:type="pct"/>
            <w:vAlign w:val="center"/>
          </w:tcPr>
          <w:p w14:paraId="13BC6213">
            <w:pPr>
              <w:pStyle w:val="28"/>
              <w:bidi w:val="0"/>
            </w:pPr>
            <w:r>
              <w:t>53.7</w:t>
            </w:r>
          </w:p>
        </w:tc>
        <w:tc>
          <w:tcPr>
            <w:tcW w:w="211" w:type="pct"/>
            <w:vAlign w:val="center"/>
          </w:tcPr>
          <w:p w14:paraId="6064B0EE">
            <w:pPr>
              <w:pStyle w:val="28"/>
              <w:bidi w:val="0"/>
            </w:pPr>
            <w:r>
              <w:t>42.1</w:t>
            </w:r>
          </w:p>
        </w:tc>
        <w:tc>
          <w:tcPr>
            <w:tcW w:w="208" w:type="pct"/>
            <w:vAlign w:val="center"/>
          </w:tcPr>
          <w:p w14:paraId="01965E17">
            <w:pPr>
              <w:pStyle w:val="28"/>
              <w:bidi w:val="0"/>
            </w:pPr>
            <w:r>
              <w:t>55</w:t>
            </w:r>
          </w:p>
        </w:tc>
        <w:tc>
          <w:tcPr>
            <w:tcW w:w="211" w:type="pct"/>
            <w:vAlign w:val="center"/>
          </w:tcPr>
          <w:p w14:paraId="2572F2C6">
            <w:pPr>
              <w:pStyle w:val="28"/>
              <w:bidi w:val="0"/>
            </w:pPr>
            <w:r>
              <w:t>45</w:t>
            </w:r>
          </w:p>
        </w:tc>
        <w:tc>
          <w:tcPr>
            <w:tcW w:w="276" w:type="pct"/>
            <w:vAlign w:val="center"/>
          </w:tcPr>
          <w:p w14:paraId="4D27EBD3">
            <w:pPr>
              <w:pStyle w:val="28"/>
              <w:bidi w:val="0"/>
            </w:pPr>
            <w:r>
              <w:t>61.2</w:t>
            </w:r>
          </w:p>
        </w:tc>
        <w:tc>
          <w:tcPr>
            <w:tcW w:w="257" w:type="pct"/>
            <w:vAlign w:val="center"/>
          </w:tcPr>
          <w:p w14:paraId="581677ED">
            <w:pPr>
              <w:pStyle w:val="28"/>
              <w:bidi w:val="0"/>
            </w:pPr>
            <w:r>
              <w:t>41.2</w:t>
            </w:r>
          </w:p>
        </w:tc>
        <w:tc>
          <w:tcPr>
            <w:tcW w:w="257" w:type="pct"/>
            <w:vAlign w:val="center"/>
          </w:tcPr>
          <w:p w14:paraId="62810890">
            <w:pPr>
              <w:pStyle w:val="28"/>
              <w:bidi w:val="0"/>
            </w:pPr>
            <w:r>
              <w:t>53.9</w:t>
            </w:r>
          </w:p>
        </w:tc>
        <w:tc>
          <w:tcPr>
            <w:tcW w:w="257" w:type="pct"/>
            <w:vAlign w:val="center"/>
          </w:tcPr>
          <w:p w14:paraId="3CD75F38">
            <w:pPr>
              <w:pStyle w:val="28"/>
              <w:bidi w:val="0"/>
            </w:pPr>
            <w:r>
              <w:t>0.2</w:t>
            </w:r>
          </w:p>
        </w:tc>
        <w:tc>
          <w:tcPr>
            <w:tcW w:w="209" w:type="pct"/>
            <w:vAlign w:val="center"/>
          </w:tcPr>
          <w:p w14:paraId="4921CB10">
            <w:pPr>
              <w:pStyle w:val="28"/>
              <w:bidi w:val="0"/>
            </w:pPr>
            <w:r>
              <w:t>达标</w:t>
            </w:r>
          </w:p>
        </w:tc>
      </w:tr>
      <w:tr w14:paraId="5F356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8F7BD45">
            <w:pPr>
              <w:pStyle w:val="28"/>
              <w:bidi w:val="0"/>
            </w:pPr>
            <w:r>
              <w:rPr>
                <w:rFonts w:hint="eastAsia"/>
              </w:rPr>
              <w:t>昌瓦</w:t>
            </w:r>
          </w:p>
        </w:tc>
        <w:tc>
          <w:tcPr>
            <w:tcW w:w="511" w:type="pct"/>
            <w:vAlign w:val="center"/>
          </w:tcPr>
          <w:p w14:paraId="76C2BED7">
            <w:pPr>
              <w:pStyle w:val="28"/>
              <w:bidi w:val="0"/>
            </w:pPr>
            <w:r>
              <w:rPr>
                <w:rFonts w:hint="eastAsia"/>
              </w:rPr>
              <w:t>人行桥拆建</w:t>
            </w:r>
          </w:p>
        </w:tc>
        <w:tc>
          <w:tcPr>
            <w:tcW w:w="366" w:type="pct"/>
            <w:vAlign w:val="center"/>
          </w:tcPr>
          <w:p w14:paraId="25DE8C70">
            <w:pPr>
              <w:pStyle w:val="28"/>
              <w:bidi w:val="0"/>
            </w:pPr>
            <w:r>
              <w:t>35</w:t>
            </w:r>
          </w:p>
        </w:tc>
        <w:tc>
          <w:tcPr>
            <w:tcW w:w="268" w:type="pct"/>
            <w:vAlign w:val="center"/>
          </w:tcPr>
          <w:p w14:paraId="125F3B00">
            <w:pPr>
              <w:pStyle w:val="28"/>
              <w:bidi w:val="0"/>
            </w:pPr>
            <w:r>
              <w:rPr>
                <w:rFonts w:hint="eastAsia"/>
              </w:rPr>
              <w:t>左岸</w:t>
            </w:r>
          </w:p>
        </w:tc>
        <w:tc>
          <w:tcPr>
            <w:tcW w:w="262" w:type="pct"/>
            <w:vAlign w:val="center"/>
          </w:tcPr>
          <w:p w14:paraId="2EFC389B">
            <w:pPr>
              <w:pStyle w:val="28"/>
              <w:bidi w:val="0"/>
            </w:pPr>
            <w:r>
              <w:t>1</w:t>
            </w:r>
            <w:r>
              <w:rPr>
                <w:rFonts w:hint="eastAsia"/>
              </w:rPr>
              <w:t>类</w:t>
            </w:r>
          </w:p>
        </w:tc>
        <w:tc>
          <w:tcPr>
            <w:tcW w:w="809" w:type="pct"/>
            <w:vMerge w:val="continue"/>
            <w:vAlign w:val="center"/>
          </w:tcPr>
          <w:p w14:paraId="1947E133">
            <w:pPr>
              <w:pStyle w:val="28"/>
              <w:bidi w:val="0"/>
            </w:pPr>
          </w:p>
        </w:tc>
        <w:tc>
          <w:tcPr>
            <w:tcW w:w="208" w:type="pct"/>
            <w:vAlign w:val="center"/>
          </w:tcPr>
          <w:p w14:paraId="2E2FF782">
            <w:pPr>
              <w:pStyle w:val="28"/>
              <w:bidi w:val="0"/>
            </w:pPr>
            <w:r>
              <w:t>53.7</w:t>
            </w:r>
          </w:p>
        </w:tc>
        <w:tc>
          <w:tcPr>
            <w:tcW w:w="211" w:type="pct"/>
            <w:vAlign w:val="center"/>
          </w:tcPr>
          <w:p w14:paraId="01070BED">
            <w:pPr>
              <w:pStyle w:val="28"/>
              <w:bidi w:val="0"/>
            </w:pPr>
            <w:r>
              <w:t>42.1</w:t>
            </w:r>
          </w:p>
        </w:tc>
        <w:tc>
          <w:tcPr>
            <w:tcW w:w="208" w:type="pct"/>
            <w:vAlign w:val="center"/>
          </w:tcPr>
          <w:p w14:paraId="574C77F1">
            <w:pPr>
              <w:pStyle w:val="28"/>
              <w:bidi w:val="0"/>
            </w:pPr>
            <w:r>
              <w:t>55</w:t>
            </w:r>
          </w:p>
        </w:tc>
        <w:tc>
          <w:tcPr>
            <w:tcW w:w="211" w:type="pct"/>
            <w:vAlign w:val="center"/>
          </w:tcPr>
          <w:p w14:paraId="4DEB9A16">
            <w:pPr>
              <w:pStyle w:val="28"/>
              <w:bidi w:val="0"/>
            </w:pPr>
            <w:r>
              <w:t>45</w:t>
            </w:r>
          </w:p>
        </w:tc>
        <w:tc>
          <w:tcPr>
            <w:tcW w:w="276" w:type="pct"/>
            <w:vAlign w:val="center"/>
          </w:tcPr>
          <w:p w14:paraId="4BBA2201">
            <w:pPr>
              <w:pStyle w:val="28"/>
              <w:bidi w:val="0"/>
            </w:pPr>
            <w:r>
              <w:t>62.3</w:t>
            </w:r>
          </w:p>
        </w:tc>
        <w:tc>
          <w:tcPr>
            <w:tcW w:w="257" w:type="pct"/>
            <w:vAlign w:val="center"/>
          </w:tcPr>
          <w:p w14:paraId="414E6805">
            <w:pPr>
              <w:pStyle w:val="28"/>
              <w:bidi w:val="0"/>
            </w:pPr>
            <w:r>
              <w:t>42.3</w:t>
            </w:r>
          </w:p>
        </w:tc>
        <w:tc>
          <w:tcPr>
            <w:tcW w:w="257" w:type="pct"/>
            <w:vAlign w:val="center"/>
          </w:tcPr>
          <w:p w14:paraId="5BC66CA6">
            <w:pPr>
              <w:pStyle w:val="28"/>
              <w:bidi w:val="0"/>
            </w:pPr>
            <w:r>
              <w:t>54.0</w:t>
            </w:r>
          </w:p>
        </w:tc>
        <w:tc>
          <w:tcPr>
            <w:tcW w:w="257" w:type="pct"/>
            <w:vAlign w:val="center"/>
          </w:tcPr>
          <w:p w14:paraId="73CF81B1">
            <w:pPr>
              <w:pStyle w:val="28"/>
              <w:bidi w:val="0"/>
            </w:pPr>
            <w:r>
              <w:t>0.3</w:t>
            </w:r>
          </w:p>
        </w:tc>
        <w:tc>
          <w:tcPr>
            <w:tcW w:w="209" w:type="pct"/>
            <w:vAlign w:val="center"/>
          </w:tcPr>
          <w:p w14:paraId="0C780C44">
            <w:pPr>
              <w:pStyle w:val="28"/>
              <w:bidi w:val="0"/>
            </w:pPr>
            <w:r>
              <w:t>达标</w:t>
            </w:r>
          </w:p>
        </w:tc>
      </w:tr>
      <w:tr w14:paraId="60BF8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3ACD47B">
            <w:pPr>
              <w:pStyle w:val="28"/>
              <w:bidi w:val="0"/>
            </w:pPr>
            <w:r>
              <w:rPr>
                <w:rFonts w:hint="eastAsia"/>
              </w:rPr>
              <w:t>曹家老</w:t>
            </w:r>
          </w:p>
        </w:tc>
        <w:tc>
          <w:tcPr>
            <w:tcW w:w="511" w:type="pct"/>
            <w:vAlign w:val="center"/>
          </w:tcPr>
          <w:p w14:paraId="516B6E37">
            <w:pPr>
              <w:pStyle w:val="28"/>
              <w:bidi w:val="0"/>
            </w:pPr>
            <w:r>
              <w:rPr>
                <w:rFonts w:hint="eastAsia"/>
              </w:rPr>
              <w:t>放水涵拆建</w:t>
            </w:r>
          </w:p>
        </w:tc>
        <w:tc>
          <w:tcPr>
            <w:tcW w:w="366" w:type="pct"/>
            <w:vAlign w:val="center"/>
          </w:tcPr>
          <w:p w14:paraId="33F53550">
            <w:pPr>
              <w:pStyle w:val="28"/>
              <w:bidi w:val="0"/>
            </w:pPr>
            <w:r>
              <w:t>55</w:t>
            </w:r>
          </w:p>
        </w:tc>
        <w:tc>
          <w:tcPr>
            <w:tcW w:w="268" w:type="pct"/>
            <w:vAlign w:val="center"/>
          </w:tcPr>
          <w:p w14:paraId="59FA2B69">
            <w:pPr>
              <w:pStyle w:val="28"/>
              <w:bidi w:val="0"/>
            </w:pPr>
            <w:r>
              <w:rPr>
                <w:rFonts w:hint="eastAsia"/>
              </w:rPr>
              <w:t>右岸</w:t>
            </w:r>
          </w:p>
        </w:tc>
        <w:tc>
          <w:tcPr>
            <w:tcW w:w="262" w:type="pct"/>
            <w:vAlign w:val="center"/>
          </w:tcPr>
          <w:p w14:paraId="33BCAEB5">
            <w:pPr>
              <w:pStyle w:val="28"/>
              <w:bidi w:val="0"/>
            </w:pPr>
            <w:r>
              <w:t>1</w:t>
            </w:r>
            <w:r>
              <w:rPr>
                <w:rFonts w:hint="eastAsia"/>
              </w:rPr>
              <w:t>类</w:t>
            </w:r>
          </w:p>
        </w:tc>
        <w:tc>
          <w:tcPr>
            <w:tcW w:w="809" w:type="pct"/>
            <w:vAlign w:val="center"/>
          </w:tcPr>
          <w:p w14:paraId="130537B2">
            <w:pPr>
              <w:pStyle w:val="28"/>
              <w:bidi w:val="0"/>
            </w:pPr>
            <w:r>
              <w:rPr>
                <w:rFonts w:hint="eastAsia"/>
              </w:rPr>
              <w:t>采用低噪声设备，施工机械远离居民住宅，设置单层移动声屏障</w:t>
            </w:r>
          </w:p>
        </w:tc>
        <w:tc>
          <w:tcPr>
            <w:tcW w:w="208" w:type="pct"/>
            <w:vAlign w:val="center"/>
          </w:tcPr>
          <w:p w14:paraId="71B2C083">
            <w:pPr>
              <w:pStyle w:val="28"/>
              <w:bidi w:val="0"/>
            </w:pPr>
            <w:r>
              <w:t>53.7</w:t>
            </w:r>
          </w:p>
        </w:tc>
        <w:tc>
          <w:tcPr>
            <w:tcW w:w="211" w:type="pct"/>
            <w:vAlign w:val="center"/>
          </w:tcPr>
          <w:p w14:paraId="6C0DB403">
            <w:pPr>
              <w:pStyle w:val="28"/>
              <w:bidi w:val="0"/>
            </w:pPr>
            <w:r>
              <w:t>42.1</w:t>
            </w:r>
          </w:p>
        </w:tc>
        <w:tc>
          <w:tcPr>
            <w:tcW w:w="208" w:type="pct"/>
            <w:vAlign w:val="center"/>
          </w:tcPr>
          <w:p w14:paraId="54F01389">
            <w:pPr>
              <w:pStyle w:val="28"/>
              <w:bidi w:val="0"/>
            </w:pPr>
            <w:r>
              <w:t>55</w:t>
            </w:r>
          </w:p>
        </w:tc>
        <w:tc>
          <w:tcPr>
            <w:tcW w:w="211" w:type="pct"/>
            <w:vAlign w:val="center"/>
          </w:tcPr>
          <w:p w14:paraId="6DDA7409">
            <w:pPr>
              <w:pStyle w:val="28"/>
              <w:bidi w:val="0"/>
            </w:pPr>
            <w:r>
              <w:t>45</w:t>
            </w:r>
          </w:p>
        </w:tc>
        <w:tc>
          <w:tcPr>
            <w:tcW w:w="276" w:type="pct"/>
            <w:vAlign w:val="center"/>
          </w:tcPr>
          <w:p w14:paraId="1B81D783">
            <w:pPr>
              <w:pStyle w:val="28"/>
              <w:bidi w:val="0"/>
            </w:pPr>
            <w:r>
              <w:t>58.4</w:t>
            </w:r>
          </w:p>
        </w:tc>
        <w:tc>
          <w:tcPr>
            <w:tcW w:w="257" w:type="pct"/>
            <w:vAlign w:val="center"/>
          </w:tcPr>
          <w:p w14:paraId="48126CAE">
            <w:pPr>
              <w:pStyle w:val="28"/>
              <w:bidi w:val="0"/>
            </w:pPr>
            <w:r>
              <w:t>43.4</w:t>
            </w:r>
          </w:p>
        </w:tc>
        <w:tc>
          <w:tcPr>
            <w:tcW w:w="257" w:type="pct"/>
            <w:vAlign w:val="center"/>
          </w:tcPr>
          <w:p w14:paraId="38143D5B">
            <w:pPr>
              <w:pStyle w:val="28"/>
              <w:bidi w:val="0"/>
            </w:pPr>
            <w:r>
              <w:t>54.1</w:t>
            </w:r>
          </w:p>
        </w:tc>
        <w:tc>
          <w:tcPr>
            <w:tcW w:w="257" w:type="pct"/>
            <w:vAlign w:val="center"/>
          </w:tcPr>
          <w:p w14:paraId="2CABEFD8">
            <w:pPr>
              <w:pStyle w:val="28"/>
              <w:bidi w:val="0"/>
            </w:pPr>
            <w:r>
              <w:t>0.4</w:t>
            </w:r>
          </w:p>
        </w:tc>
        <w:tc>
          <w:tcPr>
            <w:tcW w:w="209" w:type="pct"/>
            <w:vAlign w:val="center"/>
          </w:tcPr>
          <w:p w14:paraId="21C58C5D">
            <w:pPr>
              <w:pStyle w:val="28"/>
              <w:bidi w:val="0"/>
            </w:pPr>
            <w:r>
              <w:t>达标</w:t>
            </w:r>
          </w:p>
        </w:tc>
      </w:tr>
      <w:tr w14:paraId="292DA8D8">
        <w:tblPrEx>
          <w:tblCellMar>
            <w:top w:w="0" w:type="dxa"/>
            <w:left w:w="108" w:type="dxa"/>
            <w:bottom w:w="0" w:type="dxa"/>
            <w:right w:w="108" w:type="dxa"/>
          </w:tblCellMar>
        </w:tblPrEx>
        <w:trPr>
          <w:trHeight w:val="340" w:hRule="atLeast"/>
          <w:jc w:val="center"/>
        </w:trPr>
        <w:tc>
          <w:tcPr>
            <w:tcW w:w="685" w:type="pct"/>
            <w:vAlign w:val="center"/>
          </w:tcPr>
          <w:p w14:paraId="357F70B5">
            <w:pPr>
              <w:pStyle w:val="28"/>
              <w:bidi w:val="0"/>
            </w:pPr>
            <w:r>
              <w:rPr>
                <w:rFonts w:hint="eastAsia"/>
              </w:rPr>
              <w:t>孙家院</w:t>
            </w:r>
          </w:p>
        </w:tc>
        <w:tc>
          <w:tcPr>
            <w:tcW w:w="511" w:type="pct"/>
            <w:vAlign w:val="center"/>
          </w:tcPr>
          <w:p w14:paraId="14FE96BA">
            <w:pPr>
              <w:pStyle w:val="28"/>
              <w:bidi w:val="0"/>
            </w:pPr>
            <w:r>
              <w:rPr>
                <w:rFonts w:hint="eastAsia"/>
              </w:rPr>
              <w:t>涵管拆建</w:t>
            </w:r>
          </w:p>
        </w:tc>
        <w:tc>
          <w:tcPr>
            <w:tcW w:w="366" w:type="pct"/>
            <w:vAlign w:val="center"/>
          </w:tcPr>
          <w:p w14:paraId="307E794D">
            <w:pPr>
              <w:pStyle w:val="28"/>
              <w:bidi w:val="0"/>
            </w:pPr>
            <w:r>
              <w:t>167</w:t>
            </w:r>
          </w:p>
        </w:tc>
        <w:tc>
          <w:tcPr>
            <w:tcW w:w="268" w:type="pct"/>
            <w:vAlign w:val="center"/>
          </w:tcPr>
          <w:p w14:paraId="03F56010">
            <w:pPr>
              <w:pStyle w:val="28"/>
              <w:bidi w:val="0"/>
            </w:pPr>
            <w:r>
              <w:rPr>
                <w:rFonts w:hint="eastAsia"/>
              </w:rPr>
              <w:t>右岸</w:t>
            </w:r>
          </w:p>
        </w:tc>
        <w:tc>
          <w:tcPr>
            <w:tcW w:w="262" w:type="pct"/>
            <w:vAlign w:val="center"/>
          </w:tcPr>
          <w:p w14:paraId="3E611860">
            <w:pPr>
              <w:pStyle w:val="28"/>
              <w:bidi w:val="0"/>
            </w:pPr>
            <w:r>
              <w:t>1</w:t>
            </w:r>
            <w:r>
              <w:rPr>
                <w:rFonts w:hint="eastAsia"/>
              </w:rPr>
              <w:t>类</w:t>
            </w:r>
          </w:p>
        </w:tc>
        <w:tc>
          <w:tcPr>
            <w:tcW w:w="809" w:type="pct"/>
            <w:vMerge w:val="restart"/>
            <w:vAlign w:val="center"/>
          </w:tcPr>
          <w:p w14:paraId="6D98A5BD">
            <w:pPr>
              <w:pStyle w:val="28"/>
              <w:bidi w:val="0"/>
            </w:pPr>
            <w:r>
              <w:rPr>
                <w:rFonts w:hint="eastAsia"/>
              </w:rPr>
              <w:t>采用低噪声设备，施工机械远离居民住宅</w:t>
            </w:r>
          </w:p>
        </w:tc>
        <w:tc>
          <w:tcPr>
            <w:tcW w:w="208" w:type="pct"/>
            <w:vAlign w:val="center"/>
          </w:tcPr>
          <w:p w14:paraId="4E90C106">
            <w:pPr>
              <w:pStyle w:val="28"/>
              <w:bidi w:val="0"/>
            </w:pPr>
            <w:r>
              <w:t>53.7</w:t>
            </w:r>
          </w:p>
        </w:tc>
        <w:tc>
          <w:tcPr>
            <w:tcW w:w="211" w:type="pct"/>
            <w:vAlign w:val="center"/>
          </w:tcPr>
          <w:p w14:paraId="031CEC6E">
            <w:pPr>
              <w:pStyle w:val="28"/>
              <w:bidi w:val="0"/>
            </w:pPr>
            <w:r>
              <w:t>42.1</w:t>
            </w:r>
          </w:p>
        </w:tc>
        <w:tc>
          <w:tcPr>
            <w:tcW w:w="208" w:type="pct"/>
            <w:vAlign w:val="center"/>
          </w:tcPr>
          <w:p w14:paraId="4C152047">
            <w:pPr>
              <w:pStyle w:val="28"/>
              <w:bidi w:val="0"/>
            </w:pPr>
            <w:r>
              <w:t>55</w:t>
            </w:r>
          </w:p>
        </w:tc>
        <w:tc>
          <w:tcPr>
            <w:tcW w:w="211" w:type="pct"/>
            <w:vAlign w:val="center"/>
          </w:tcPr>
          <w:p w14:paraId="544EEF68">
            <w:pPr>
              <w:pStyle w:val="28"/>
              <w:bidi w:val="0"/>
            </w:pPr>
            <w:r>
              <w:t>45</w:t>
            </w:r>
          </w:p>
        </w:tc>
        <w:tc>
          <w:tcPr>
            <w:tcW w:w="276" w:type="pct"/>
            <w:vAlign w:val="center"/>
          </w:tcPr>
          <w:p w14:paraId="6BDD713E">
            <w:pPr>
              <w:pStyle w:val="28"/>
              <w:bidi w:val="0"/>
            </w:pPr>
            <w:r>
              <w:t>48.8</w:t>
            </w:r>
          </w:p>
        </w:tc>
        <w:tc>
          <w:tcPr>
            <w:tcW w:w="257" w:type="pct"/>
            <w:vAlign w:val="center"/>
          </w:tcPr>
          <w:p w14:paraId="59E29497">
            <w:pPr>
              <w:pStyle w:val="28"/>
              <w:bidi w:val="0"/>
            </w:pPr>
            <w:r>
              <w:t>41.8</w:t>
            </w:r>
          </w:p>
        </w:tc>
        <w:tc>
          <w:tcPr>
            <w:tcW w:w="257" w:type="pct"/>
            <w:vAlign w:val="center"/>
          </w:tcPr>
          <w:p w14:paraId="3A8A2ED8">
            <w:pPr>
              <w:pStyle w:val="28"/>
              <w:bidi w:val="0"/>
            </w:pPr>
            <w:r>
              <w:t>54.0</w:t>
            </w:r>
          </w:p>
        </w:tc>
        <w:tc>
          <w:tcPr>
            <w:tcW w:w="257" w:type="pct"/>
            <w:vAlign w:val="center"/>
          </w:tcPr>
          <w:p w14:paraId="335747F5">
            <w:pPr>
              <w:pStyle w:val="28"/>
              <w:bidi w:val="0"/>
            </w:pPr>
            <w:r>
              <w:t>0.3</w:t>
            </w:r>
          </w:p>
        </w:tc>
        <w:tc>
          <w:tcPr>
            <w:tcW w:w="209" w:type="pct"/>
            <w:vAlign w:val="center"/>
          </w:tcPr>
          <w:p w14:paraId="400F4ABA">
            <w:pPr>
              <w:pStyle w:val="28"/>
              <w:bidi w:val="0"/>
            </w:pPr>
            <w:r>
              <w:t>达标</w:t>
            </w:r>
          </w:p>
        </w:tc>
      </w:tr>
      <w:tr w14:paraId="7BBC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4D9552E">
            <w:pPr>
              <w:pStyle w:val="28"/>
              <w:bidi w:val="0"/>
            </w:pPr>
            <w:r>
              <w:rPr>
                <w:rFonts w:hint="eastAsia"/>
              </w:rPr>
              <w:t>望湖墩</w:t>
            </w:r>
          </w:p>
        </w:tc>
        <w:tc>
          <w:tcPr>
            <w:tcW w:w="511" w:type="pct"/>
            <w:vAlign w:val="center"/>
          </w:tcPr>
          <w:p w14:paraId="2DCE965A">
            <w:pPr>
              <w:pStyle w:val="28"/>
              <w:bidi w:val="0"/>
            </w:pPr>
            <w:r>
              <w:rPr>
                <w:rFonts w:hint="eastAsia"/>
              </w:rPr>
              <w:t>放水涵拆建</w:t>
            </w:r>
          </w:p>
        </w:tc>
        <w:tc>
          <w:tcPr>
            <w:tcW w:w="366" w:type="pct"/>
            <w:vAlign w:val="center"/>
          </w:tcPr>
          <w:p w14:paraId="57C9FCA6">
            <w:pPr>
              <w:pStyle w:val="28"/>
              <w:bidi w:val="0"/>
            </w:pPr>
            <w:r>
              <w:t>80</w:t>
            </w:r>
          </w:p>
        </w:tc>
        <w:tc>
          <w:tcPr>
            <w:tcW w:w="268" w:type="pct"/>
            <w:vAlign w:val="center"/>
          </w:tcPr>
          <w:p w14:paraId="5C86C9B7">
            <w:pPr>
              <w:pStyle w:val="28"/>
              <w:bidi w:val="0"/>
            </w:pPr>
            <w:r>
              <w:rPr>
                <w:rFonts w:hint="eastAsia"/>
              </w:rPr>
              <w:t>左岸</w:t>
            </w:r>
          </w:p>
        </w:tc>
        <w:tc>
          <w:tcPr>
            <w:tcW w:w="262" w:type="pct"/>
            <w:vAlign w:val="center"/>
          </w:tcPr>
          <w:p w14:paraId="2AFC8851">
            <w:pPr>
              <w:pStyle w:val="28"/>
              <w:bidi w:val="0"/>
            </w:pPr>
            <w:r>
              <w:t>1</w:t>
            </w:r>
            <w:r>
              <w:rPr>
                <w:rFonts w:hint="eastAsia"/>
              </w:rPr>
              <w:t>类</w:t>
            </w:r>
          </w:p>
        </w:tc>
        <w:tc>
          <w:tcPr>
            <w:tcW w:w="809" w:type="pct"/>
            <w:vMerge w:val="continue"/>
            <w:vAlign w:val="center"/>
          </w:tcPr>
          <w:p w14:paraId="19A26570">
            <w:pPr>
              <w:pStyle w:val="28"/>
              <w:bidi w:val="0"/>
            </w:pPr>
          </w:p>
        </w:tc>
        <w:tc>
          <w:tcPr>
            <w:tcW w:w="208" w:type="pct"/>
            <w:vAlign w:val="center"/>
          </w:tcPr>
          <w:p w14:paraId="1E40215C">
            <w:pPr>
              <w:pStyle w:val="28"/>
              <w:bidi w:val="0"/>
            </w:pPr>
            <w:r>
              <w:t>53.7</w:t>
            </w:r>
          </w:p>
        </w:tc>
        <w:tc>
          <w:tcPr>
            <w:tcW w:w="211" w:type="pct"/>
            <w:vAlign w:val="center"/>
          </w:tcPr>
          <w:p w14:paraId="6EB0C3DC">
            <w:pPr>
              <w:pStyle w:val="28"/>
              <w:bidi w:val="0"/>
            </w:pPr>
            <w:r>
              <w:t>42.1</w:t>
            </w:r>
          </w:p>
        </w:tc>
        <w:tc>
          <w:tcPr>
            <w:tcW w:w="208" w:type="pct"/>
            <w:vAlign w:val="center"/>
          </w:tcPr>
          <w:p w14:paraId="2849DF3C">
            <w:pPr>
              <w:pStyle w:val="28"/>
              <w:bidi w:val="0"/>
            </w:pPr>
            <w:r>
              <w:t>55</w:t>
            </w:r>
          </w:p>
        </w:tc>
        <w:tc>
          <w:tcPr>
            <w:tcW w:w="211" w:type="pct"/>
            <w:vAlign w:val="center"/>
          </w:tcPr>
          <w:p w14:paraId="6A12FF53">
            <w:pPr>
              <w:pStyle w:val="28"/>
              <w:bidi w:val="0"/>
            </w:pPr>
            <w:r>
              <w:t>45</w:t>
            </w:r>
          </w:p>
        </w:tc>
        <w:tc>
          <w:tcPr>
            <w:tcW w:w="276" w:type="pct"/>
            <w:vAlign w:val="center"/>
          </w:tcPr>
          <w:p w14:paraId="5ACEE01C">
            <w:pPr>
              <w:pStyle w:val="28"/>
              <w:bidi w:val="0"/>
            </w:pPr>
            <w:r>
              <w:t>55.1</w:t>
            </w:r>
          </w:p>
        </w:tc>
        <w:tc>
          <w:tcPr>
            <w:tcW w:w="257" w:type="pct"/>
            <w:vAlign w:val="center"/>
          </w:tcPr>
          <w:p w14:paraId="4E1BB4C7">
            <w:pPr>
              <w:pStyle w:val="28"/>
              <w:bidi w:val="0"/>
            </w:pPr>
            <w:r>
              <w:t>48.1</w:t>
            </w:r>
          </w:p>
        </w:tc>
        <w:tc>
          <w:tcPr>
            <w:tcW w:w="257" w:type="pct"/>
            <w:vAlign w:val="center"/>
          </w:tcPr>
          <w:p w14:paraId="46AA179F">
            <w:pPr>
              <w:pStyle w:val="28"/>
              <w:bidi w:val="0"/>
            </w:pPr>
            <w:r>
              <w:t>54.8</w:t>
            </w:r>
          </w:p>
        </w:tc>
        <w:tc>
          <w:tcPr>
            <w:tcW w:w="257" w:type="pct"/>
            <w:vAlign w:val="center"/>
          </w:tcPr>
          <w:p w14:paraId="5B6CBA92">
            <w:pPr>
              <w:pStyle w:val="28"/>
              <w:bidi w:val="0"/>
            </w:pPr>
            <w:r>
              <w:t>1.1</w:t>
            </w:r>
          </w:p>
        </w:tc>
        <w:tc>
          <w:tcPr>
            <w:tcW w:w="209" w:type="pct"/>
            <w:vAlign w:val="center"/>
          </w:tcPr>
          <w:p w14:paraId="39D30E18">
            <w:pPr>
              <w:pStyle w:val="28"/>
              <w:bidi w:val="0"/>
            </w:pPr>
            <w:r>
              <w:t>达标</w:t>
            </w:r>
          </w:p>
        </w:tc>
      </w:tr>
      <w:tr w14:paraId="5A652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569200B">
            <w:pPr>
              <w:pStyle w:val="28"/>
              <w:bidi w:val="0"/>
            </w:pPr>
            <w:r>
              <w:rPr>
                <w:rFonts w:hint="eastAsia"/>
              </w:rPr>
              <w:t>霍家老</w:t>
            </w:r>
          </w:p>
        </w:tc>
        <w:tc>
          <w:tcPr>
            <w:tcW w:w="511" w:type="pct"/>
            <w:vAlign w:val="center"/>
          </w:tcPr>
          <w:p w14:paraId="00154302">
            <w:pPr>
              <w:pStyle w:val="28"/>
              <w:bidi w:val="0"/>
            </w:pPr>
            <w:r>
              <w:rPr>
                <w:rFonts w:hint="eastAsia"/>
              </w:rPr>
              <w:t>放水涵拆建</w:t>
            </w:r>
          </w:p>
        </w:tc>
        <w:tc>
          <w:tcPr>
            <w:tcW w:w="366" w:type="pct"/>
            <w:vAlign w:val="center"/>
          </w:tcPr>
          <w:p w14:paraId="57E6A088">
            <w:pPr>
              <w:pStyle w:val="28"/>
              <w:bidi w:val="0"/>
            </w:pPr>
            <w:r>
              <w:t>48</w:t>
            </w:r>
          </w:p>
        </w:tc>
        <w:tc>
          <w:tcPr>
            <w:tcW w:w="268" w:type="pct"/>
            <w:vAlign w:val="center"/>
          </w:tcPr>
          <w:p w14:paraId="0C46A2C0">
            <w:pPr>
              <w:pStyle w:val="28"/>
              <w:bidi w:val="0"/>
            </w:pPr>
            <w:r>
              <w:rPr>
                <w:rFonts w:hint="eastAsia"/>
              </w:rPr>
              <w:t>左岸</w:t>
            </w:r>
          </w:p>
        </w:tc>
        <w:tc>
          <w:tcPr>
            <w:tcW w:w="262" w:type="pct"/>
            <w:vAlign w:val="center"/>
          </w:tcPr>
          <w:p w14:paraId="56A3697D">
            <w:pPr>
              <w:pStyle w:val="28"/>
              <w:bidi w:val="0"/>
            </w:pPr>
            <w:r>
              <w:t>1</w:t>
            </w:r>
            <w:r>
              <w:rPr>
                <w:rFonts w:hint="eastAsia"/>
              </w:rPr>
              <w:t>类</w:t>
            </w:r>
          </w:p>
        </w:tc>
        <w:tc>
          <w:tcPr>
            <w:tcW w:w="809" w:type="pct"/>
            <w:vAlign w:val="center"/>
          </w:tcPr>
          <w:p w14:paraId="308D3C89">
            <w:pPr>
              <w:pStyle w:val="28"/>
              <w:bidi w:val="0"/>
            </w:pPr>
            <w:r>
              <w:rPr>
                <w:rFonts w:hint="eastAsia"/>
              </w:rPr>
              <w:t>采用低噪声设备，施工机械远离居民住宅，设置单层移动声屏障</w:t>
            </w:r>
          </w:p>
        </w:tc>
        <w:tc>
          <w:tcPr>
            <w:tcW w:w="208" w:type="pct"/>
            <w:vAlign w:val="center"/>
          </w:tcPr>
          <w:p w14:paraId="3440AF4E">
            <w:pPr>
              <w:pStyle w:val="28"/>
              <w:bidi w:val="0"/>
            </w:pPr>
            <w:r>
              <w:t>53.7</w:t>
            </w:r>
          </w:p>
        </w:tc>
        <w:tc>
          <w:tcPr>
            <w:tcW w:w="211" w:type="pct"/>
            <w:vAlign w:val="center"/>
          </w:tcPr>
          <w:p w14:paraId="74750885">
            <w:pPr>
              <w:pStyle w:val="28"/>
              <w:bidi w:val="0"/>
            </w:pPr>
            <w:r>
              <w:t>42.1</w:t>
            </w:r>
          </w:p>
        </w:tc>
        <w:tc>
          <w:tcPr>
            <w:tcW w:w="208" w:type="pct"/>
            <w:vAlign w:val="center"/>
          </w:tcPr>
          <w:p w14:paraId="2DFB07B6">
            <w:pPr>
              <w:pStyle w:val="28"/>
              <w:bidi w:val="0"/>
            </w:pPr>
            <w:r>
              <w:t>55</w:t>
            </w:r>
          </w:p>
        </w:tc>
        <w:tc>
          <w:tcPr>
            <w:tcW w:w="211" w:type="pct"/>
            <w:vAlign w:val="center"/>
          </w:tcPr>
          <w:p w14:paraId="74234645">
            <w:pPr>
              <w:pStyle w:val="28"/>
              <w:bidi w:val="0"/>
            </w:pPr>
            <w:r>
              <w:t>45</w:t>
            </w:r>
          </w:p>
        </w:tc>
        <w:tc>
          <w:tcPr>
            <w:tcW w:w="276" w:type="pct"/>
            <w:vAlign w:val="center"/>
          </w:tcPr>
          <w:p w14:paraId="5F8BB6B6">
            <w:pPr>
              <w:pStyle w:val="28"/>
              <w:bidi w:val="0"/>
            </w:pPr>
            <w:r>
              <w:t>59.6</w:t>
            </w:r>
          </w:p>
        </w:tc>
        <w:tc>
          <w:tcPr>
            <w:tcW w:w="257" w:type="pct"/>
            <w:vAlign w:val="center"/>
          </w:tcPr>
          <w:p w14:paraId="68C7E11E">
            <w:pPr>
              <w:pStyle w:val="28"/>
              <w:bidi w:val="0"/>
            </w:pPr>
            <w:r>
              <w:t>44.6</w:t>
            </w:r>
          </w:p>
        </w:tc>
        <w:tc>
          <w:tcPr>
            <w:tcW w:w="257" w:type="pct"/>
            <w:vAlign w:val="center"/>
          </w:tcPr>
          <w:p w14:paraId="2F8FDD8A">
            <w:pPr>
              <w:pStyle w:val="28"/>
              <w:bidi w:val="0"/>
            </w:pPr>
            <w:r>
              <w:t>54.2</w:t>
            </w:r>
          </w:p>
        </w:tc>
        <w:tc>
          <w:tcPr>
            <w:tcW w:w="257" w:type="pct"/>
            <w:vAlign w:val="center"/>
          </w:tcPr>
          <w:p w14:paraId="5957EC4C">
            <w:pPr>
              <w:pStyle w:val="28"/>
              <w:bidi w:val="0"/>
            </w:pPr>
            <w:r>
              <w:t>0.5</w:t>
            </w:r>
          </w:p>
        </w:tc>
        <w:tc>
          <w:tcPr>
            <w:tcW w:w="209" w:type="pct"/>
            <w:vAlign w:val="center"/>
          </w:tcPr>
          <w:p w14:paraId="05331934">
            <w:pPr>
              <w:pStyle w:val="28"/>
              <w:bidi w:val="0"/>
            </w:pPr>
            <w:r>
              <w:t>达标</w:t>
            </w:r>
          </w:p>
        </w:tc>
      </w:tr>
      <w:tr w14:paraId="5EAF4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106E58C">
            <w:pPr>
              <w:pStyle w:val="28"/>
              <w:bidi w:val="0"/>
            </w:pPr>
            <w:r>
              <w:rPr>
                <w:rFonts w:hint="eastAsia"/>
              </w:rPr>
              <w:t>一楼松</w:t>
            </w:r>
          </w:p>
        </w:tc>
        <w:tc>
          <w:tcPr>
            <w:tcW w:w="511" w:type="pct"/>
            <w:vAlign w:val="center"/>
          </w:tcPr>
          <w:p w14:paraId="7B0AD27C">
            <w:pPr>
              <w:pStyle w:val="28"/>
              <w:bidi w:val="0"/>
            </w:pPr>
            <w:r>
              <w:rPr>
                <w:rFonts w:hint="eastAsia"/>
              </w:rPr>
              <w:t>机耕桥拆建</w:t>
            </w:r>
          </w:p>
        </w:tc>
        <w:tc>
          <w:tcPr>
            <w:tcW w:w="366" w:type="pct"/>
            <w:vAlign w:val="center"/>
          </w:tcPr>
          <w:p w14:paraId="22534092">
            <w:pPr>
              <w:pStyle w:val="28"/>
              <w:bidi w:val="0"/>
            </w:pPr>
            <w:r>
              <w:t>35</w:t>
            </w:r>
          </w:p>
        </w:tc>
        <w:tc>
          <w:tcPr>
            <w:tcW w:w="268" w:type="pct"/>
            <w:vAlign w:val="center"/>
          </w:tcPr>
          <w:p w14:paraId="4262BB25">
            <w:pPr>
              <w:pStyle w:val="28"/>
              <w:bidi w:val="0"/>
            </w:pPr>
            <w:r>
              <w:rPr>
                <w:rFonts w:hint="eastAsia"/>
              </w:rPr>
              <w:t>左岸</w:t>
            </w:r>
          </w:p>
        </w:tc>
        <w:tc>
          <w:tcPr>
            <w:tcW w:w="262" w:type="pct"/>
            <w:vAlign w:val="center"/>
          </w:tcPr>
          <w:p w14:paraId="3C753F68">
            <w:pPr>
              <w:pStyle w:val="28"/>
              <w:bidi w:val="0"/>
            </w:pPr>
            <w:r>
              <w:t>1</w:t>
            </w:r>
            <w:r>
              <w:rPr>
                <w:rFonts w:hint="eastAsia"/>
              </w:rPr>
              <w:t>类</w:t>
            </w:r>
          </w:p>
        </w:tc>
        <w:tc>
          <w:tcPr>
            <w:tcW w:w="809" w:type="pct"/>
            <w:vAlign w:val="center"/>
          </w:tcPr>
          <w:p w14:paraId="4B724E23">
            <w:pPr>
              <w:pStyle w:val="28"/>
              <w:bidi w:val="0"/>
            </w:pPr>
            <w:r>
              <w:rPr>
                <w:rFonts w:hint="eastAsia"/>
              </w:rPr>
              <w:t>采用低噪声设备，施工机械远离居民住宅，设置双层移动声屏障</w:t>
            </w:r>
          </w:p>
        </w:tc>
        <w:tc>
          <w:tcPr>
            <w:tcW w:w="208" w:type="pct"/>
            <w:vAlign w:val="center"/>
          </w:tcPr>
          <w:p w14:paraId="3EE8760F">
            <w:pPr>
              <w:pStyle w:val="28"/>
              <w:bidi w:val="0"/>
            </w:pPr>
            <w:r>
              <w:t>53.7</w:t>
            </w:r>
          </w:p>
        </w:tc>
        <w:tc>
          <w:tcPr>
            <w:tcW w:w="211" w:type="pct"/>
            <w:vAlign w:val="center"/>
          </w:tcPr>
          <w:p w14:paraId="0A7FA580">
            <w:pPr>
              <w:pStyle w:val="28"/>
              <w:bidi w:val="0"/>
            </w:pPr>
            <w:r>
              <w:t>42.1</w:t>
            </w:r>
          </w:p>
        </w:tc>
        <w:tc>
          <w:tcPr>
            <w:tcW w:w="208" w:type="pct"/>
            <w:vAlign w:val="center"/>
          </w:tcPr>
          <w:p w14:paraId="64425A60">
            <w:pPr>
              <w:pStyle w:val="28"/>
              <w:bidi w:val="0"/>
            </w:pPr>
            <w:r>
              <w:t>55</w:t>
            </w:r>
          </w:p>
        </w:tc>
        <w:tc>
          <w:tcPr>
            <w:tcW w:w="211" w:type="pct"/>
            <w:vAlign w:val="center"/>
          </w:tcPr>
          <w:p w14:paraId="7D148859">
            <w:pPr>
              <w:pStyle w:val="28"/>
              <w:bidi w:val="0"/>
            </w:pPr>
            <w:r>
              <w:t>45</w:t>
            </w:r>
          </w:p>
        </w:tc>
        <w:tc>
          <w:tcPr>
            <w:tcW w:w="276" w:type="pct"/>
            <w:vAlign w:val="center"/>
          </w:tcPr>
          <w:p w14:paraId="185E3DD8">
            <w:pPr>
              <w:pStyle w:val="28"/>
              <w:bidi w:val="0"/>
            </w:pPr>
            <w:r>
              <w:t>62.3</w:t>
            </w:r>
          </w:p>
        </w:tc>
        <w:tc>
          <w:tcPr>
            <w:tcW w:w="257" w:type="pct"/>
            <w:vAlign w:val="center"/>
          </w:tcPr>
          <w:p w14:paraId="39C253FD">
            <w:pPr>
              <w:pStyle w:val="28"/>
              <w:bidi w:val="0"/>
            </w:pPr>
            <w:r>
              <w:t>42.3</w:t>
            </w:r>
          </w:p>
        </w:tc>
        <w:tc>
          <w:tcPr>
            <w:tcW w:w="257" w:type="pct"/>
            <w:vAlign w:val="center"/>
          </w:tcPr>
          <w:p w14:paraId="5782FF08">
            <w:pPr>
              <w:pStyle w:val="28"/>
              <w:bidi w:val="0"/>
            </w:pPr>
            <w:r>
              <w:t>54.0</w:t>
            </w:r>
          </w:p>
        </w:tc>
        <w:tc>
          <w:tcPr>
            <w:tcW w:w="257" w:type="pct"/>
            <w:vAlign w:val="center"/>
          </w:tcPr>
          <w:p w14:paraId="0D45F17C">
            <w:pPr>
              <w:pStyle w:val="28"/>
              <w:bidi w:val="0"/>
            </w:pPr>
            <w:r>
              <w:t>0.3</w:t>
            </w:r>
          </w:p>
        </w:tc>
        <w:tc>
          <w:tcPr>
            <w:tcW w:w="209" w:type="pct"/>
            <w:vAlign w:val="center"/>
          </w:tcPr>
          <w:p w14:paraId="5504A88E">
            <w:pPr>
              <w:pStyle w:val="28"/>
              <w:bidi w:val="0"/>
            </w:pPr>
            <w:r>
              <w:t>达标</w:t>
            </w:r>
          </w:p>
        </w:tc>
      </w:tr>
      <w:tr w14:paraId="4BCC7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C927B62">
            <w:pPr>
              <w:pStyle w:val="28"/>
              <w:bidi w:val="0"/>
            </w:pPr>
            <w:r>
              <w:rPr>
                <w:rFonts w:hint="eastAsia"/>
              </w:rPr>
              <w:t>老杨庄</w:t>
            </w:r>
          </w:p>
        </w:tc>
        <w:tc>
          <w:tcPr>
            <w:tcW w:w="511" w:type="pct"/>
            <w:vAlign w:val="center"/>
          </w:tcPr>
          <w:p w14:paraId="74D6D3C4">
            <w:pPr>
              <w:pStyle w:val="28"/>
              <w:bidi w:val="0"/>
            </w:pPr>
            <w:r>
              <w:rPr>
                <w:rFonts w:hint="eastAsia"/>
              </w:rPr>
              <w:t>机耕桥拆建</w:t>
            </w:r>
          </w:p>
        </w:tc>
        <w:tc>
          <w:tcPr>
            <w:tcW w:w="366" w:type="pct"/>
            <w:vAlign w:val="center"/>
          </w:tcPr>
          <w:p w14:paraId="3E97EEC4">
            <w:pPr>
              <w:pStyle w:val="28"/>
              <w:bidi w:val="0"/>
            </w:pPr>
            <w:r>
              <w:t>75</w:t>
            </w:r>
          </w:p>
        </w:tc>
        <w:tc>
          <w:tcPr>
            <w:tcW w:w="268" w:type="pct"/>
            <w:vAlign w:val="center"/>
          </w:tcPr>
          <w:p w14:paraId="7E02FC49">
            <w:pPr>
              <w:pStyle w:val="28"/>
              <w:bidi w:val="0"/>
            </w:pPr>
            <w:r>
              <w:rPr>
                <w:rFonts w:hint="eastAsia"/>
              </w:rPr>
              <w:t>右岸</w:t>
            </w:r>
          </w:p>
        </w:tc>
        <w:tc>
          <w:tcPr>
            <w:tcW w:w="262" w:type="pct"/>
            <w:vAlign w:val="center"/>
          </w:tcPr>
          <w:p w14:paraId="36F585FE">
            <w:pPr>
              <w:pStyle w:val="28"/>
              <w:bidi w:val="0"/>
            </w:pPr>
            <w:r>
              <w:t>1</w:t>
            </w:r>
            <w:r>
              <w:rPr>
                <w:rFonts w:hint="eastAsia"/>
              </w:rPr>
              <w:t>类</w:t>
            </w:r>
          </w:p>
        </w:tc>
        <w:tc>
          <w:tcPr>
            <w:tcW w:w="809" w:type="pct"/>
            <w:vAlign w:val="center"/>
          </w:tcPr>
          <w:p w14:paraId="3673E813">
            <w:pPr>
              <w:pStyle w:val="28"/>
              <w:bidi w:val="0"/>
            </w:pPr>
            <w:r>
              <w:rPr>
                <w:rFonts w:hint="eastAsia"/>
              </w:rPr>
              <w:t>采用低噪声设备，施工机械远离居民住宅</w:t>
            </w:r>
          </w:p>
        </w:tc>
        <w:tc>
          <w:tcPr>
            <w:tcW w:w="208" w:type="pct"/>
            <w:vAlign w:val="center"/>
          </w:tcPr>
          <w:p w14:paraId="01B2F304">
            <w:pPr>
              <w:pStyle w:val="28"/>
              <w:bidi w:val="0"/>
            </w:pPr>
            <w:r>
              <w:t>53.7</w:t>
            </w:r>
          </w:p>
        </w:tc>
        <w:tc>
          <w:tcPr>
            <w:tcW w:w="211" w:type="pct"/>
            <w:vAlign w:val="center"/>
          </w:tcPr>
          <w:p w14:paraId="34B7C949">
            <w:pPr>
              <w:pStyle w:val="28"/>
              <w:bidi w:val="0"/>
            </w:pPr>
            <w:r>
              <w:t>42.1</w:t>
            </w:r>
          </w:p>
        </w:tc>
        <w:tc>
          <w:tcPr>
            <w:tcW w:w="208" w:type="pct"/>
            <w:vAlign w:val="center"/>
          </w:tcPr>
          <w:p w14:paraId="4057887C">
            <w:pPr>
              <w:pStyle w:val="28"/>
              <w:bidi w:val="0"/>
            </w:pPr>
            <w:r>
              <w:t>55</w:t>
            </w:r>
          </w:p>
        </w:tc>
        <w:tc>
          <w:tcPr>
            <w:tcW w:w="211" w:type="pct"/>
            <w:vAlign w:val="center"/>
          </w:tcPr>
          <w:p w14:paraId="51BE7E72">
            <w:pPr>
              <w:pStyle w:val="28"/>
              <w:bidi w:val="0"/>
            </w:pPr>
            <w:r>
              <w:t>45</w:t>
            </w:r>
          </w:p>
        </w:tc>
        <w:tc>
          <w:tcPr>
            <w:tcW w:w="276" w:type="pct"/>
            <w:vAlign w:val="center"/>
          </w:tcPr>
          <w:p w14:paraId="1626C903">
            <w:pPr>
              <w:pStyle w:val="28"/>
              <w:bidi w:val="0"/>
            </w:pPr>
            <w:r>
              <w:t>55.7</w:t>
            </w:r>
          </w:p>
        </w:tc>
        <w:tc>
          <w:tcPr>
            <w:tcW w:w="257" w:type="pct"/>
            <w:vAlign w:val="center"/>
          </w:tcPr>
          <w:p w14:paraId="24D3CEED">
            <w:pPr>
              <w:pStyle w:val="28"/>
              <w:bidi w:val="0"/>
            </w:pPr>
            <w:r>
              <w:t>48.7</w:t>
            </w:r>
          </w:p>
        </w:tc>
        <w:tc>
          <w:tcPr>
            <w:tcW w:w="257" w:type="pct"/>
            <w:vAlign w:val="center"/>
          </w:tcPr>
          <w:p w14:paraId="7A96FABA">
            <w:pPr>
              <w:pStyle w:val="28"/>
              <w:bidi w:val="0"/>
            </w:pPr>
            <w:r>
              <w:t>54.9</w:t>
            </w:r>
          </w:p>
        </w:tc>
        <w:tc>
          <w:tcPr>
            <w:tcW w:w="257" w:type="pct"/>
            <w:vAlign w:val="center"/>
          </w:tcPr>
          <w:p w14:paraId="4035DB27">
            <w:pPr>
              <w:pStyle w:val="28"/>
              <w:bidi w:val="0"/>
            </w:pPr>
            <w:r>
              <w:t>1.2</w:t>
            </w:r>
          </w:p>
        </w:tc>
        <w:tc>
          <w:tcPr>
            <w:tcW w:w="209" w:type="pct"/>
            <w:vAlign w:val="center"/>
          </w:tcPr>
          <w:p w14:paraId="291BAF13">
            <w:pPr>
              <w:pStyle w:val="28"/>
              <w:bidi w:val="0"/>
            </w:pPr>
            <w:r>
              <w:t>达标</w:t>
            </w:r>
          </w:p>
        </w:tc>
      </w:tr>
      <w:tr w14:paraId="71848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7EA7C3D">
            <w:pPr>
              <w:pStyle w:val="28"/>
              <w:bidi w:val="0"/>
            </w:pPr>
            <w:r>
              <w:rPr>
                <w:rFonts w:hint="eastAsia"/>
              </w:rPr>
              <w:t>杨老圩</w:t>
            </w:r>
          </w:p>
        </w:tc>
        <w:tc>
          <w:tcPr>
            <w:tcW w:w="511" w:type="pct"/>
            <w:vAlign w:val="center"/>
          </w:tcPr>
          <w:p w14:paraId="78EB5FE3">
            <w:pPr>
              <w:pStyle w:val="28"/>
              <w:bidi w:val="0"/>
            </w:pPr>
            <w:r>
              <w:rPr>
                <w:rFonts w:hint="eastAsia"/>
              </w:rPr>
              <w:t>放水涵拆建</w:t>
            </w:r>
          </w:p>
        </w:tc>
        <w:tc>
          <w:tcPr>
            <w:tcW w:w="366" w:type="pct"/>
            <w:vAlign w:val="center"/>
          </w:tcPr>
          <w:p w14:paraId="66394976">
            <w:pPr>
              <w:pStyle w:val="28"/>
              <w:bidi w:val="0"/>
            </w:pPr>
            <w:r>
              <w:t>40</w:t>
            </w:r>
          </w:p>
        </w:tc>
        <w:tc>
          <w:tcPr>
            <w:tcW w:w="268" w:type="pct"/>
            <w:vAlign w:val="center"/>
          </w:tcPr>
          <w:p w14:paraId="0CC03890">
            <w:pPr>
              <w:pStyle w:val="28"/>
              <w:bidi w:val="0"/>
            </w:pPr>
            <w:r>
              <w:rPr>
                <w:rFonts w:hint="eastAsia"/>
              </w:rPr>
              <w:t>右岸</w:t>
            </w:r>
          </w:p>
        </w:tc>
        <w:tc>
          <w:tcPr>
            <w:tcW w:w="262" w:type="pct"/>
            <w:vAlign w:val="center"/>
          </w:tcPr>
          <w:p w14:paraId="487DDA05">
            <w:pPr>
              <w:pStyle w:val="28"/>
              <w:bidi w:val="0"/>
            </w:pPr>
            <w:r>
              <w:t>1</w:t>
            </w:r>
            <w:r>
              <w:rPr>
                <w:rFonts w:hint="eastAsia"/>
              </w:rPr>
              <w:t>类</w:t>
            </w:r>
          </w:p>
        </w:tc>
        <w:tc>
          <w:tcPr>
            <w:tcW w:w="809" w:type="pct"/>
            <w:vMerge w:val="restart"/>
            <w:vAlign w:val="center"/>
          </w:tcPr>
          <w:p w14:paraId="35D3F7EB">
            <w:pPr>
              <w:pStyle w:val="28"/>
              <w:bidi w:val="0"/>
            </w:pPr>
            <w:r>
              <w:rPr>
                <w:rFonts w:hint="eastAsia"/>
              </w:rPr>
              <w:t>采用低噪声设备，施工机械远离居民住宅，设置双层移动声屏障</w:t>
            </w:r>
          </w:p>
        </w:tc>
        <w:tc>
          <w:tcPr>
            <w:tcW w:w="208" w:type="pct"/>
            <w:vAlign w:val="center"/>
          </w:tcPr>
          <w:p w14:paraId="7B2F7751">
            <w:pPr>
              <w:pStyle w:val="28"/>
              <w:bidi w:val="0"/>
            </w:pPr>
            <w:r>
              <w:t>53.7</w:t>
            </w:r>
          </w:p>
        </w:tc>
        <w:tc>
          <w:tcPr>
            <w:tcW w:w="211" w:type="pct"/>
            <w:vAlign w:val="center"/>
          </w:tcPr>
          <w:p w14:paraId="5B227515">
            <w:pPr>
              <w:pStyle w:val="28"/>
              <w:bidi w:val="0"/>
            </w:pPr>
            <w:r>
              <w:t>42.1</w:t>
            </w:r>
          </w:p>
        </w:tc>
        <w:tc>
          <w:tcPr>
            <w:tcW w:w="208" w:type="pct"/>
            <w:vAlign w:val="center"/>
          </w:tcPr>
          <w:p w14:paraId="766EFCD0">
            <w:pPr>
              <w:pStyle w:val="28"/>
              <w:bidi w:val="0"/>
            </w:pPr>
            <w:r>
              <w:t>55</w:t>
            </w:r>
          </w:p>
        </w:tc>
        <w:tc>
          <w:tcPr>
            <w:tcW w:w="211" w:type="pct"/>
            <w:vAlign w:val="center"/>
          </w:tcPr>
          <w:p w14:paraId="6D80F267">
            <w:pPr>
              <w:pStyle w:val="28"/>
              <w:bidi w:val="0"/>
            </w:pPr>
            <w:r>
              <w:t>45</w:t>
            </w:r>
          </w:p>
        </w:tc>
        <w:tc>
          <w:tcPr>
            <w:tcW w:w="276" w:type="pct"/>
            <w:vAlign w:val="center"/>
          </w:tcPr>
          <w:p w14:paraId="2A4D9FAF">
            <w:pPr>
              <w:pStyle w:val="28"/>
              <w:bidi w:val="0"/>
            </w:pPr>
            <w:r>
              <w:t>61.2</w:t>
            </w:r>
          </w:p>
        </w:tc>
        <w:tc>
          <w:tcPr>
            <w:tcW w:w="257" w:type="pct"/>
            <w:vAlign w:val="center"/>
          </w:tcPr>
          <w:p w14:paraId="078F08C2">
            <w:pPr>
              <w:pStyle w:val="28"/>
              <w:bidi w:val="0"/>
            </w:pPr>
            <w:r>
              <w:t>41.2</w:t>
            </w:r>
          </w:p>
        </w:tc>
        <w:tc>
          <w:tcPr>
            <w:tcW w:w="257" w:type="pct"/>
            <w:vAlign w:val="center"/>
          </w:tcPr>
          <w:p w14:paraId="2BA22405">
            <w:pPr>
              <w:pStyle w:val="28"/>
              <w:bidi w:val="0"/>
            </w:pPr>
            <w:r>
              <w:t>53.9</w:t>
            </w:r>
          </w:p>
        </w:tc>
        <w:tc>
          <w:tcPr>
            <w:tcW w:w="257" w:type="pct"/>
            <w:vAlign w:val="center"/>
          </w:tcPr>
          <w:p w14:paraId="2298A77C">
            <w:pPr>
              <w:pStyle w:val="28"/>
              <w:bidi w:val="0"/>
            </w:pPr>
            <w:r>
              <w:t>0.2</w:t>
            </w:r>
          </w:p>
        </w:tc>
        <w:tc>
          <w:tcPr>
            <w:tcW w:w="209" w:type="pct"/>
            <w:vAlign w:val="center"/>
          </w:tcPr>
          <w:p w14:paraId="2FE982C1">
            <w:pPr>
              <w:pStyle w:val="28"/>
              <w:bidi w:val="0"/>
            </w:pPr>
            <w:r>
              <w:t>达标</w:t>
            </w:r>
          </w:p>
        </w:tc>
      </w:tr>
      <w:tr w14:paraId="6419C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8D0B4AA">
            <w:pPr>
              <w:pStyle w:val="28"/>
              <w:bidi w:val="0"/>
            </w:pPr>
            <w:r>
              <w:rPr>
                <w:rFonts w:hint="eastAsia"/>
              </w:rPr>
              <w:t>下院子</w:t>
            </w:r>
          </w:p>
        </w:tc>
        <w:tc>
          <w:tcPr>
            <w:tcW w:w="511" w:type="pct"/>
            <w:vAlign w:val="center"/>
          </w:tcPr>
          <w:p w14:paraId="0D12A66A">
            <w:pPr>
              <w:pStyle w:val="28"/>
              <w:bidi w:val="0"/>
            </w:pPr>
            <w:r>
              <w:rPr>
                <w:rFonts w:hint="eastAsia"/>
              </w:rPr>
              <w:t>机耕桥拆建</w:t>
            </w:r>
          </w:p>
        </w:tc>
        <w:tc>
          <w:tcPr>
            <w:tcW w:w="366" w:type="pct"/>
            <w:vAlign w:val="center"/>
          </w:tcPr>
          <w:p w14:paraId="08AEB93E">
            <w:pPr>
              <w:pStyle w:val="28"/>
              <w:bidi w:val="0"/>
            </w:pPr>
            <w:r>
              <w:t>40</w:t>
            </w:r>
          </w:p>
        </w:tc>
        <w:tc>
          <w:tcPr>
            <w:tcW w:w="268" w:type="pct"/>
            <w:vAlign w:val="center"/>
          </w:tcPr>
          <w:p w14:paraId="62493FD8">
            <w:pPr>
              <w:pStyle w:val="28"/>
              <w:bidi w:val="0"/>
            </w:pPr>
            <w:r>
              <w:rPr>
                <w:rFonts w:hint="eastAsia"/>
              </w:rPr>
              <w:t>左右岸</w:t>
            </w:r>
          </w:p>
        </w:tc>
        <w:tc>
          <w:tcPr>
            <w:tcW w:w="262" w:type="pct"/>
            <w:vAlign w:val="center"/>
          </w:tcPr>
          <w:p w14:paraId="65141092">
            <w:pPr>
              <w:pStyle w:val="28"/>
              <w:bidi w:val="0"/>
            </w:pPr>
            <w:r>
              <w:t>1</w:t>
            </w:r>
            <w:r>
              <w:rPr>
                <w:rFonts w:hint="eastAsia"/>
              </w:rPr>
              <w:t>类</w:t>
            </w:r>
          </w:p>
        </w:tc>
        <w:tc>
          <w:tcPr>
            <w:tcW w:w="809" w:type="pct"/>
            <w:vMerge w:val="continue"/>
            <w:vAlign w:val="center"/>
          </w:tcPr>
          <w:p w14:paraId="19EF8143">
            <w:pPr>
              <w:pStyle w:val="28"/>
              <w:bidi w:val="0"/>
            </w:pPr>
          </w:p>
        </w:tc>
        <w:tc>
          <w:tcPr>
            <w:tcW w:w="208" w:type="pct"/>
            <w:vAlign w:val="center"/>
          </w:tcPr>
          <w:p w14:paraId="4DD460B1">
            <w:pPr>
              <w:pStyle w:val="28"/>
              <w:bidi w:val="0"/>
            </w:pPr>
            <w:r>
              <w:t>53.7</w:t>
            </w:r>
          </w:p>
        </w:tc>
        <w:tc>
          <w:tcPr>
            <w:tcW w:w="211" w:type="pct"/>
            <w:vAlign w:val="center"/>
          </w:tcPr>
          <w:p w14:paraId="485C677E">
            <w:pPr>
              <w:pStyle w:val="28"/>
              <w:bidi w:val="0"/>
            </w:pPr>
            <w:r>
              <w:t>42.1</w:t>
            </w:r>
          </w:p>
        </w:tc>
        <w:tc>
          <w:tcPr>
            <w:tcW w:w="208" w:type="pct"/>
            <w:vAlign w:val="center"/>
          </w:tcPr>
          <w:p w14:paraId="3BE8665E">
            <w:pPr>
              <w:pStyle w:val="28"/>
              <w:bidi w:val="0"/>
            </w:pPr>
            <w:r>
              <w:t>55</w:t>
            </w:r>
          </w:p>
        </w:tc>
        <w:tc>
          <w:tcPr>
            <w:tcW w:w="211" w:type="pct"/>
            <w:vAlign w:val="center"/>
          </w:tcPr>
          <w:p w14:paraId="0D1A4436">
            <w:pPr>
              <w:pStyle w:val="28"/>
              <w:bidi w:val="0"/>
            </w:pPr>
            <w:r>
              <w:t>45</w:t>
            </w:r>
          </w:p>
        </w:tc>
        <w:tc>
          <w:tcPr>
            <w:tcW w:w="276" w:type="pct"/>
            <w:vAlign w:val="center"/>
          </w:tcPr>
          <w:p w14:paraId="375177E2">
            <w:pPr>
              <w:pStyle w:val="28"/>
              <w:bidi w:val="0"/>
            </w:pPr>
            <w:r>
              <w:t>61.2</w:t>
            </w:r>
          </w:p>
        </w:tc>
        <w:tc>
          <w:tcPr>
            <w:tcW w:w="257" w:type="pct"/>
            <w:vAlign w:val="center"/>
          </w:tcPr>
          <w:p w14:paraId="29284038">
            <w:pPr>
              <w:pStyle w:val="28"/>
              <w:bidi w:val="0"/>
            </w:pPr>
            <w:r>
              <w:t>41.2</w:t>
            </w:r>
          </w:p>
        </w:tc>
        <w:tc>
          <w:tcPr>
            <w:tcW w:w="257" w:type="pct"/>
            <w:vAlign w:val="center"/>
          </w:tcPr>
          <w:p w14:paraId="1956CD7E">
            <w:pPr>
              <w:pStyle w:val="28"/>
              <w:bidi w:val="0"/>
            </w:pPr>
            <w:r>
              <w:t>53.9</w:t>
            </w:r>
          </w:p>
        </w:tc>
        <w:tc>
          <w:tcPr>
            <w:tcW w:w="257" w:type="pct"/>
            <w:vAlign w:val="center"/>
          </w:tcPr>
          <w:p w14:paraId="3705DF2E">
            <w:pPr>
              <w:pStyle w:val="28"/>
              <w:bidi w:val="0"/>
            </w:pPr>
            <w:r>
              <w:t>0.2</w:t>
            </w:r>
          </w:p>
        </w:tc>
        <w:tc>
          <w:tcPr>
            <w:tcW w:w="209" w:type="pct"/>
            <w:vAlign w:val="center"/>
          </w:tcPr>
          <w:p w14:paraId="1B881232">
            <w:pPr>
              <w:pStyle w:val="28"/>
              <w:bidi w:val="0"/>
            </w:pPr>
            <w:r>
              <w:t>达标</w:t>
            </w:r>
          </w:p>
        </w:tc>
      </w:tr>
      <w:tr w14:paraId="7BE9263E">
        <w:tblPrEx>
          <w:tblCellMar>
            <w:top w:w="0" w:type="dxa"/>
            <w:left w:w="108" w:type="dxa"/>
            <w:bottom w:w="0" w:type="dxa"/>
            <w:right w:w="108" w:type="dxa"/>
          </w:tblCellMar>
        </w:tblPrEx>
        <w:trPr>
          <w:trHeight w:val="340" w:hRule="atLeast"/>
          <w:jc w:val="center"/>
        </w:trPr>
        <w:tc>
          <w:tcPr>
            <w:tcW w:w="685" w:type="pct"/>
            <w:vAlign w:val="center"/>
          </w:tcPr>
          <w:p w14:paraId="30E80EEE">
            <w:pPr>
              <w:pStyle w:val="28"/>
              <w:bidi w:val="0"/>
            </w:pPr>
            <w:r>
              <w:rPr>
                <w:rFonts w:hint="eastAsia"/>
              </w:rPr>
              <w:t>小岭</w:t>
            </w:r>
          </w:p>
        </w:tc>
        <w:tc>
          <w:tcPr>
            <w:tcW w:w="511" w:type="pct"/>
            <w:vAlign w:val="center"/>
          </w:tcPr>
          <w:p w14:paraId="61000509">
            <w:pPr>
              <w:pStyle w:val="28"/>
              <w:bidi w:val="0"/>
            </w:pPr>
            <w:r>
              <w:rPr>
                <w:rFonts w:hint="eastAsia"/>
              </w:rPr>
              <w:t>放水涵拆建</w:t>
            </w:r>
          </w:p>
        </w:tc>
        <w:tc>
          <w:tcPr>
            <w:tcW w:w="366" w:type="pct"/>
            <w:vAlign w:val="center"/>
          </w:tcPr>
          <w:p w14:paraId="1D170730">
            <w:pPr>
              <w:pStyle w:val="28"/>
              <w:bidi w:val="0"/>
            </w:pPr>
            <w:r>
              <w:t>50</w:t>
            </w:r>
          </w:p>
        </w:tc>
        <w:tc>
          <w:tcPr>
            <w:tcW w:w="268" w:type="pct"/>
            <w:vAlign w:val="center"/>
          </w:tcPr>
          <w:p w14:paraId="52176617">
            <w:pPr>
              <w:pStyle w:val="28"/>
              <w:bidi w:val="0"/>
            </w:pPr>
            <w:r>
              <w:rPr>
                <w:rFonts w:hint="eastAsia"/>
              </w:rPr>
              <w:t>右岸</w:t>
            </w:r>
          </w:p>
        </w:tc>
        <w:tc>
          <w:tcPr>
            <w:tcW w:w="262" w:type="pct"/>
            <w:vAlign w:val="center"/>
          </w:tcPr>
          <w:p w14:paraId="290057E9">
            <w:pPr>
              <w:pStyle w:val="28"/>
              <w:bidi w:val="0"/>
            </w:pPr>
            <w:r>
              <w:t>1</w:t>
            </w:r>
            <w:r>
              <w:rPr>
                <w:rFonts w:hint="eastAsia"/>
              </w:rPr>
              <w:t>类</w:t>
            </w:r>
          </w:p>
        </w:tc>
        <w:tc>
          <w:tcPr>
            <w:tcW w:w="809" w:type="pct"/>
            <w:vAlign w:val="center"/>
          </w:tcPr>
          <w:p w14:paraId="44AA4E42">
            <w:pPr>
              <w:pStyle w:val="28"/>
              <w:bidi w:val="0"/>
            </w:pPr>
            <w:r>
              <w:rPr>
                <w:rFonts w:hint="eastAsia"/>
              </w:rPr>
              <w:t>采用低噪声设备，施工机械远离居民住宅，设置单层移动声屏障</w:t>
            </w:r>
          </w:p>
        </w:tc>
        <w:tc>
          <w:tcPr>
            <w:tcW w:w="208" w:type="pct"/>
            <w:vAlign w:val="center"/>
          </w:tcPr>
          <w:p w14:paraId="679E7C94">
            <w:pPr>
              <w:pStyle w:val="28"/>
              <w:bidi w:val="0"/>
            </w:pPr>
            <w:r>
              <w:t>53.7</w:t>
            </w:r>
          </w:p>
        </w:tc>
        <w:tc>
          <w:tcPr>
            <w:tcW w:w="211" w:type="pct"/>
            <w:vAlign w:val="center"/>
          </w:tcPr>
          <w:p w14:paraId="5BA0D011">
            <w:pPr>
              <w:pStyle w:val="28"/>
              <w:bidi w:val="0"/>
            </w:pPr>
            <w:r>
              <w:t>42.1</w:t>
            </w:r>
          </w:p>
        </w:tc>
        <w:tc>
          <w:tcPr>
            <w:tcW w:w="208" w:type="pct"/>
            <w:vAlign w:val="center"/>
          </w:tcPr>
          <w:p w14:paraId="35018A6F">
            <w:pPr>
              <w:pStyle w:val="28"/>
              <w:bidi w:val="0"/>
            </w:pPr>
            <w:r>
              <w:t>55</w:t>
            </w:r>
          </w:p>
        </w:tc>
        <w:tc>
          <w:tcPr>
            <w:tcW w:w="211" w:type="pct"/>
            <w:vAlign w:val="center"/>
          </w:tcPr>
          <w:p w14:paraId="4823C26F">
            <w:pPr>
              <w:pStyle w:val="28"/>
              <w:bidi w:val="0"/>
            </w:pPr>
            <w:r>
              <w:t>45</w:t>
            </w:r>
          </w:p>
        </w:tc>
        <w:tc>
          <w:tcPr>
            <w:tcW w:w="276" w:type="pct"/>
            <w:vAlign w:val="center"/>
          </w:tcPr>
          <w:p w14:paraId="77CD439E">
            <w:pPr>
              <w:pStyle w:val="28"/>
              <w:bidi w:val="0"/>
            </w:pPr>
            <w:r>
              <w:t>59.2</w:t>
            </w:r>
          </w:p>
        </w:tc>
        <w:tc>
          <w:tcPr>
            <w:tcW w:w="257" w:type="pct"/>
            <w:vAlign w:val="center"/>
          </w:tcPr>
          <w:p w14:paraId="492A0336">
            <w:pPr>
              <w:pStyle w:val="28"/>
              <w:bidi w:val="0"/>
            </w:pPr>
            <w:r>
              <w:t>44.2</w:t>
            </w:r>
          </w:p>
        </w:tc>
        <w:tc>
          <w:tcPr>
            <w:tcW w:w="257" w:type="pct"/>
            <w:vAlign w:val="center"/>
          </w:tcPr>
          <w:p w14:paraId="65BE8F73">
            <w:pPr>
              <w:pStyle w:val="28"/>
              <w:bidi w:val="0"/>
            </w:pPr>
            <w:r>
              <w:t>54.2</w:t>
            </w:r>
          </w:p>
        </w:tc>
        <w:tc>
          <w:tcPr>
            <w:tcW w:w="257" w:type="pct"/>
            <w:vAlign w:val="center"/>
          </w:tcPr>
          <w:p w14:paraId="425003F0">
            <w:pPr>
              <w:pStyle w:val="28"/>
              <w:bidi w:val="0"/>
            </w:pPr>
            <w:r>
              <w:t>0.5</w:t>
            </w:r>
          </w:p>
        </w:tc>
        <w:tc>
          <w:tcPr>
            <w:tcW w:w="209" w:type="pct"/>
            <w:vAlign w:val="center"/>
          </w:tcPr>
          <w:p w14:paraId="3BE8C66D">
            <w:pPr>
              <w:pStyle w:val="28"/>
              <w:bidi w:val="0"/>
            </w:pPr>
            <w:r>
              <w:t>达标</w:t>
            </w:r>
          </w:p>
        </w:tc>
      </w:tr>
      <w:tr w14:paraId="6A67A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C1EBBF8">
            <w:pPr>
              <w:pStyle w:val="28"/>
              <w:bidi w:val="0"/>
            </w:pPr>
            <w:r>
              <w:rPr>
                <w:rFonts w:hint="eastAsia"/>
              </w:rPr>
              <w:t>上场</w:t>
            </w:r>
          </w:p>
        </w:tc>
        <w:tc>
          <w:tcPr>
            <w:tcW w:w="511" w:type="pct"/>
            <w:vAlign w:val="center"/>
          </w:tcPr>
          <w:p w14:paraId="064F9C9A">
            <w:pPr>
              <w:pStyle w:val="28"/>
              <w:bidi w:val="0"/>
            </w:pPr>
            <w:r>
              <w:rPr>
                <w:rFonts w:hint="eastAsia"/>
              </w:rPr>
              <w:t>机耕桥拆建</w:t>
            </w:r>
          </w:p>
        </w:tc>
        <w:tc>
          <w:tcPr>
            <w:tcW w:w="366" w:type="pct"/>
            <w:vAlign w:val="center"/>
          </w:tcPr>
          <w:p w14:paraId="699338F7">
            <w:pPr>
              <w:pStyle w:val="28"/>
              <w:bidi w:val="0"/>
            </w:pPr>
            <w:r>
              <w:t>20</w:t>
            </w:r>
          </w:p>
        </w:tc>
        <w:tc>
          <w:tcPr>
            <w:tcW w:w="268" w:type="pct"/>
            <w:vAlign w:val="center"/>
          </w:tcPr>
          <w:p w14:paraId="11131A93">
            <w:pPr>
              <w:pStyle w:val="28"/>
              <w:bidi w:val="0"/>
            </w:pPr>
            <w:r>
              <w:rPr>
                <w:rFonts w:hint="eastAsia"/>
              </w:rPr>
              <w:t>右岸</w:t>
            </w:r>
          </w:p>
        </w:tc>
        <w:tc>
          <w:tcPr>
            <w:tcW w:w="262" w:type="pct"/>
            <w:vAlign w:val="center"/>
          </w:tcPr>
          <w:p w14:paraId="4FDA7C5E">
            <w:pPr>
              <w:pStyle w:val="28"/>
              <w:bidi w:val="0"/>
            </w:pPr>
            <w:r>
              <w:t>1</w:t>
            </w:r>
            <w:r>
              <w:rPr>
                <w:rFonts w:hint="eastAsia"/>
              </w:rPr>
              <w:t>类</w:t>
            </w:r>
          </w:p>
        </w:tc>
        <w:tc>
          <w:tcPr>
            <w:tcW w:w="809" w:type="pct"/>
            <w:vAlign w:val="center"/>
          </w:tcPr>
          <w:p w14:paraId="14A8F113">
            <w:pPr>
              <w:pStyle w:val="28"/>
              <w:bidi w:val="0"/>
            </w:pPr>
            <w:r>
              <w:t>采用低噪声设备，施工机械远离居民住宅，设置双层移动声屏障</w:t>
            </w:r>
          </w:p>
        </w:tc>
        <w:tc>
          <w:tcPr>
            <w:tcW w:w="208" w:type="pct"/>
            <w:vAlign w:val="center"/>
          </w:tcPr>
          <w:p w14:paraId="019DC25B">
            <w:pPr>
              <w:pStyle w:val="28"/>
              <w:bidi w:val="0"/>
            </w:pPr>
            <w:r>
              <w:t>53.7</w:t>
            </w:r>
          </w:p>
        </w:tc>
        <w:tc>
          <w:tcPr>
            <w:tcW w:w="211" w:type="pct"/>
            <w:vAlign w:val="center"/>
          </w:tcPr>
          <w:p w14:paraId="016B9F46">
            <w:pPr>
              <w:pStyle w:val="28"/>
              <w:bidi w:val="0"/>
            </w:pPr>
            <w:r>
              <w:t>42.1</w:t>
            </w:r>
          </w:p>
        </w:tc>
        <w:tc>
          <w:tcPr>
            <w:tcW w:w="208" w:type="pct"/>
            <w:vAlign w:val="center"/>
          </w:tcPr>
          <w:p w14:paraId="11798646">
            <w:pPr>
              <w:pStyle w:val="28"/>
              <w:bidi w:val="0"/>
            </w:pPr>
            <w:r>
              <w:t>55</w:t>
            </w:r>
          </w:p>
        </w:tc>
        <w:tc>
          <w:tcPr>
            <w:tcW w:w="211" w:type="pct"/>
            <w:vAlign w:val="center"/>
          </w:tcPr>
          <w:p w14:paraId="5BFBCE68">
            <w:pPr>
              <w:pStyle w:val="28"/>
              <w:bidi w:val="0"/>
            </w:pPr>
            <w:r>
              <w:t>45</w:t>
            </w:r>
          </w:p>
        </w:tc>
        <w:tc>
          <w:tcPr>
            <w:tcW w:w="276" w:type="pct"/>
            <w:vAlign w:val="center"/>
          </w:tcPr>
          <w:p w14:paraId="2E3086D1">
            <w:pPr>
              <w:pStyle w:val="28"/>
              <w:bidi w:val="0"/>
            </w:pPr>
            <w:r>
              <w:t>67.2</w:t>
            </w:r>
          </w:p>
        </w:tc>
        <w:tc>
          <w:tcPr>
            <w:tcW w:w="257" w:type="pct"/>
            <w:vAlign w:val="center"/>
          </w:tcPr>
          <w:p w14:paraId="0F1B981B">
            <w:pPr>
              <w:pStyle w:val="28"/>
              <w:bidi w:val="0"/>
            </w:pPr>
            <w:r>
              <w:t>47.2</w:t>
            </w:r>
          </w:p>
        </w:tc>
        <w:tc>
          <w:tcPr>
            <w:tcW w:w="257" w:type="pct"/>
            <w:vAlign w:val="center"/>
          </w:tcPr>
          <w:p w14:paraId="50350963">
            <w:pPr>
              <w:pStyle w:val="28"/>
              <w:bidi w:val="0"/>
            </w:pPr>
            <w:r>
              <w:t>54.6</w:t>
            </w:r>
          </w:p>
        </w:tc>
        <w:tc>
          <w:tcPr>
            <w:tcW w:w="257" w:type="pct"/>
            <w:vAlign w:val="center"/>
          </w:tcPr>
          <w:p w14:paraId="58DBF32C">
            <w:pPr>
              <w:pStyle w:val="28"/>
              <w:bidi w:val="0"/>
            </w:pPr>
            <w:r>
              <w:t>0.9</w:t>
            </w:r>
          </w:p>
        </w:tc>
        <w:tc>
          <w:tcPr>
            <w:tcW w:w="209" w:type="pct"/>
            <w:vAlign w:val="center"/>
          </w:tcPr>
          <w:p w14:paraId="035450E6">
            <w:pPr>
              <w:pStyle w:val="28"/>
              <w:bidi w:val="0"/>
            </w:pPr>
            <w:r>
              <w:t>达标</w:t>
            </w:r>
          </w:p>
        </w:tc>
      </w:tr>
      <w:tr w14:paraId="6C231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8194805">
            <w:pPr>
              <w:pStyle w:val="28"/>
              <w:bidi w:val="0"/>
            </w:pPr>
            <w:r>
              <w:rPr>
                <w:rFonts w:hint="eastAsia"/>
              </w:rPr>
              <w:t>沙湖山</w:t>
            </w:r>
          </w:p>
        </w:tc>
        <w:tc>
          <w:tcPr>
            <w:tcW w:w="511" w:type="pct"/>
            <w:vAlign w:val="center"/>
          </w:tcPr>
          <w:p w14:paraId="68FC11D9">
            <w:pPr>
              <w:pStyle w:val="28"/>
              <w:bidi w:val="0"/>
            </w:pPr>
            <w:r>
              <w:rPr>
                <w:rFonts w:hint="eastAsia"/>
              </w:rPr>
              <w:t>机耕桥拆建</w:t>
            </w:r>
          </w:p>
        </w:tc>
        <w:tc>
          <w:tcPr>
            <w:tcW w:w="366" w:type="pct"/>
            <w:vAlign w:val="center"/>
          </w:tcPr>
          <w:p w14:paraId="285FE11D">
            <w:pPr>
              <w:pStyle w:val="28"/>
              <w:bidi w:val="0"/>
            </w:pPr>
            <w:r>
              <w:t>45</w:t>
            </w:r>
          </w:p>
        </w:tc>
        <w:tc>
          <w:tcPr>
            <w:tcW w:w="268" w:type="pct"/>
            <w:vAlign w:val="center"/>
          </w:tcPr>
          <w:p w14:paraId="52BF375A">
            <w:pPr>
              <w:pStyle w:val="28"/>
              <w:bidi w:val="0"/>
            </w:pPr>
            <w:r>
              <w:rPr>
                <w:rFonts w:hint="eastAsia"/>
              </w:rPr>
              <w:t>左右岸</w:t>
            </w:r>
          </w:p>
        </w:tc>
        <w:tc>
          <w:tcPr>
            <w:tcW w:w="262" w:type="pct"/>
            <w:vAlign w:val="center"/>
          </w:tcPr>
          <w:p w14:paraId="151A77E6">
            <w:pPr>
              <w:pStyle w:val="28"/>
              <w:bidi w:val="0"/>
            </w:pPr>
            <w:r>
              <w:t>1</w:t>
            </w:r>
            <w:r>
              <w:rPr>
                <w:rFonts w:hint="eastAsia"/>
              </w:rPr>
              <w:t>类</w:t>
            </w:r>
          </w:p>
        </w:tc>
        <w:tc>
          <w:tcPr>
            <w:tcW w:w="809" w:type="pct"/>
            <w:vAlign w:val="center"/>
          </w:tcPr>
          <w:p w14:paraId="009659DF">
            <w:pPr>
              <w:pStyle w:val="28"/>
              <w:bidi w:val="0"/>
            </w:pPr>
            <w:r>
              <w:rPr>
                <w:rFonts w:hint="eastAsia"/>
              </w:rPr>
              <w:t>采用低噪声设备，施工机械远离居民住宅，设置单层移动声屏障</w:t>
            </w:r>
          </w:p>
        </w:tc>
        <w:tc>
          <w:tcPr>
            <w:tcW w:w="208" w:type="pct"/>
            <w:vAlign w:val="center"/>
          </w:tcPr>
          <w:p w14:paraId="2AFD2C7D">
            <w:pPr>
              <w:pStyle w:val="28"/>
              <w:bidi w:val="0"/>
            </w:pPr>
            <w:r>
              <w:t>53.7</w:t>
            </w:r>
          </w:p>
        </w:tc>
        <w:tc>
          <w:tcPr>
            <w:tcW w:w="211" w:type="pct"/>
            <w:vAlign w:val="center"/>
          </w:tcPr>
          <w:p w14:paraId="7DB22298">
            <w:pPr>
              <w:pStyle w:val="28"/>
              <w:bidi w:val="0"/>
            </w:pPr>
            <w:r>
              <w:t>42.1</w:t>
            </w:r>
          </w:p>
        </w:tc>
        <w:tc>
          <w:tcPr>
            <w:tcW w:w="208" w:type="pct"/>
            <w:vAlign w:val="center"/>
          </w:tcPr>
          <w:p w14:paraId="1A10C940">
            <w:pPr>
              <w:pStyle w:val="28"/>
              <w:bidi w:val="0"/>
            </w:pPr>
            <w:r>
              <w:t>55</w:t>
            </w:r>
          </w:p>
        </w:tc>
        <w:tc>
          <w:tcPr>
            <w:tcW w:w="211" w:type="pct"/>
            <w:vAlign w:val="center"/>
          </w:tcPr>
          <w:p w14:paraId="02C9A372">
            <w:pPr>
              <w:pStyle w:val="28"/>
              <w:bidi w:val="0"/>
            </w:pPr>
            <w:r>
              <w:t>45</w:t>
            </w:r>
          </w:p>
        </w:tc>
        <w:tc>
          <w:tcPr>
            <w:tcW w:w="276" w:type="pct"/>
            <w:vAlign w:val="center"/>
          </w:tcPr>
          <w:p w14:paraId="39103D10">
            <w:pPr>
              <w:pStyle w:val="28"/>
              <w:bidi w:val="0"/>
            </w:pPr>
            <w:r>
              <w:t>60.1</w:t>
            </w:r>
          </w:p>
        </w:tc>
        <w:tc>
          <w:tcPr>
            <w:tcW w:w="257" w:type="pct"/>
            <w:vAlign w:val="center"/>
          </w:tcPr>
          <w:p w14:paraId="4FB87DCB">
            <w:pPr>
              <w:pStyle w:val="28"/>
              <w:bidi w:val="0"/>
            </w:pPr>
            <w:r>
              <w:t>45.1</w:t>
            </w:r>
          </w:p>
        </w:tc>
        <w:tc>
          <w:tcPr>
            <w:tcW w:w="257" w:type="pct"/>
            <w:vAlign w:val="center"/>
          </w:tcPr>
          <w:p w14:paraId="582DA166">
            <w:pPr>
              <w:pStyle w:val="28"/>
              <w:bidi w:val="0"/>
            </w:pPr>
            <w:r>
              <w:t>54.3</w:t>
            </w:r>
          </w:p>
        </w:tc>
        <w:tc>
          <w:tcPr>
            <w:tcW w:w="257" w:type="pct"/>
            <w:vAlign w:val="center"/>
          </w:tcPr>
          <w:p w14:paraId="5985AB73">
            <w:pPr>
              <w:pStyle w:val="28"/>
              <w:bidi w:val="0"/>
            </w:pPr>
            <w:r>
              <w:t>0.6</w:t>
            </w:r>
          </w:p>
        </w:tc>
        <w:tc>
          <w:tcPr>
            <w:tcW w:w="209" w:type="pct"/>
            <w:vAlign w:val="center"/>
          </w:tcPr>
          <w:p w14:paraId="691F7BF7">
            <w:pPr>
              <w:pStyle w:val="28"/>
              <w:bidi w:val="0"/>
            </w:pPr>
            <w:r>
              <w:t>达标</w:t>
            </w:r>
          </w:p>
        </w:tc>
      </w:tr>
      <w:tr w14:paraId="10134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B20138B">
            <w:pPr>
              <w:pStyle w:val="28"/>
              <w:bidi w:val="0"/>
            </w:pPr>
            <w:r>
              <w:rPr>
                <w:rFonts w:hint="eastAsia"/>
              </w:rPr>
              <w:t>沙湖村</w:t>
            </w:r>
          </w:p>
        </w:tc>
        <w:tc>
          <w:tcPr>
            <w:tcW w:w="511" w:type="pct"/>
            <w:vAlign w:val="center"/>
          </w:tcPr>
          <w:p w14:paraId="038CB8FD">
            <w:pPr>
              <w:pStyle w:val="28"/>
              <w:bidi w:val="0"/>
            </w:pPr>
            <w:r>
              <w:rPr>
                <w:rFonts w:hint="eastAsia"/>
              </w:rPr>
              <w:t>放水涵拆建</w:t>
            </w:r>
          </w:p>
        </w:tc>
        <w:tc>
          <w:tcPr>
            <w:tcW w:w="366" w:type="pct"/>
            <w:vAlign w:val="center"/>
          </w:tcPr>
          <w:p w14:paraId="4243A68E">
            <w:pPr>
              <w:pStyle w:val="28"/>
              <w:bidi w:val="0"/>
            </w:pPr>
            <w:r>
              <w:t>10</w:t>
            </w:r>
          </w:p>
        </w:tc>
        <w:tc>
          <w:tcPr>
            <w:tcW w:w="268" w:type="pct"/>
            <w:vAlign w:val="center"/>
          </w:tcPr>
          <w:p w14:paraId="39590672">
            <w:pPr>
              <w:pStyle w:val="28"/>
              <w:bidi w:val="0"/>
            </w:pPr>
            <w:r>
              <w:rPr>
                <w:rFonts w:hint="eastAsia"/>
              </w:rPr>
              <w:t>左岸</w:t>
            </w:r>
          </w:p>
        </w:tc>
        <w:tc>
          <w:tcPr>
            <w:tcW w:w="262" w:type="pct"/>
            <w:vAlign w:val="center"/>
          </w:tcPr>
          <w:p w14:paraId="0BAC6701">
            <w:pPr>
              <w:pStyle w:val="28"/>
              <w:bidi w:val="0"/>
            </w:pPr>
            <w:r>
              <w:t>1</w:t>
            </w:r>
            <w:r>
              <w:rPr>
                <w:rFonts w:hint="eastAsia"/>
              </w:rPr>
              <w:t>类</w:t>
            </w:r>
          </w:p>
        </w:tc>
        <w:tc>
          <w:tcPr>
            <w:tcW w:w="809" w:type="pct"/>
            <w:vAlign w:val="center"/>
          </w:tcPr>
          <w:p w14:paraId="6B479410">
            <w:pPr>
              <w:pStyle w:val="28"/>
              <w:bidi w:val="0"/>
            </w:pPr>
            <w:r>
              <w:rPr>
                <w:rFonts w:hint="eastAsia"/>
              </w:rPr>
              <w:t>采用低噪声设备，施工机械远离居民住宅，设置双层移动声屏障</w:t>
            </w:r>
          </w:p>
        </w:tc>
        <w:tc>
          <w:tcPr>
            <w:tcW w:w="208" w:type="pct"/>
            <w:vAlign w:val="center"/>
          </w:tcPr>
          <w:p w14:paraId="7AFB3D6F">
            <w:pPr>
              <w:pStyle w:val="28"/>
              <w:bidi w:val="0"/>
            </w:pPr>
            <w:r>
              <w:t>53.7</w:t>
            </w:r>
          </w:p>
        </w:tc>
        <w:tc>
          <w:tcPr>
            <w:tcW w:w="211" w:type="pct"/>
            <w:vAlign w:val="center"/>
          </w:tcPr>
          <w:p w14:paraId="65E90B61">
            <w:pPr>
              <w:pStyle w:val="28"/>
              <w:bidi w:val="0"/>
            </w:pPr>
            <w:r>
              <w:t>42.1</w:t>
            </w:r>
          </w:p>
        </w:tc>
        <w:tc>
          <w:tcPr>
            <w:tcW w:w="208" w:type="pct"/>
            <w:vAlign w:val="center"/>
          </w:tcPr>
          <w:p w14:paraId="6A46365E">
            <w:pPr>
              <w:pStyle w:val="28"/>
              <w:bidi w:val="0"/>
            </w:pPr>
            <w:r>
              <w:t>55</w:t>
            </w:r>
          </w:p>
        </w:tc>
        <w:tc>
          <w:tcPr>
            <w:tcW w:w="211" w:type="pct"/>
            <w:vAlign w:val="center"/>
          </w:tcPr>
          <w:p w14:paraId="0968AD3F">
            <w:pPr>
              <w:pStyle w:val="28"/>
              <w:bidi w:val="0"/>
            </w:pPr>
            <w:r>
              <w:t>45</w:t>
            </w:r>
          </w:p>
        </w:tc>
        <w:tc>
          <w:tcPr>
            <w:tcW w:w="276" w:type="pct"/>
            <w:vAlign w:val="center"/>
          </w:tcPr>
          <w:p w14:paraId="4310CFBA">
            <w:pPr>
              <w:pStyle w:val="28"/>
              <w:bidi w:val="0"/>
            </w:pPr>
            <w:r>
              <w:t>73.2</w:t>
            </w:r>
          </w:p>
        </w:tc>
        <w:tc>
          <w:tcPr>
            <w:tcW w:w="257" w:type="pct"/>
            <w:vAlign w:val="center"/>
          </w:tcPr>
          <w:p w14:paraId="5EEB06FB">
            <w:pPr>
              <w:pStyle w:val="28"/>
              <w:bidi w:val="0"/>
            </w:pPr>
            <w:r>
              <w:t>48.2</w:t>
            </w:r>
          </w:p>
        </w:tc>
        <w:tc>
          <w:tcPr>
            <w:tcW w:w="257" w:type="pct"/>
            <w:vAlign w:val="center"/>
          </w:tcPr>
          <w:p w14:paraId="77C99FA1">
            <w:pPr>
              <w:pStyle w:val="28"/>
              <w:bidi w:val="0"/>
            </w:pPr>
            <w:r>
              <w:t>54.8</w:t>
            </w:r>
          </w:p>
        </w:tc>
        <w:tc>
          <w:tcPr>
            <w:tcW w:w="257" w:type="pct"/>
            <w:vAlign w:val="center"/>
          </w:tcPr>
          <w:p w14:paraId="0692B35B">
            <w:pPr>
              <w:pStyle w:val="28"/>
              <w:bidi w:val="0"/>
            </w:pPr>
            <w:r>
              <w:t>1.1</w:t>
            </w:r>
          </w:p>
        </w:tc>
        <w:tc>
          <w:tcPr>
            <w:tcW w:w="209" w:type="pct"/>
            <w:vAlign w:val="center"/>
          </w:tcPr>
          <w:p w14:paraId="41B8CF50">
            <w:pPr>
              <w:pStyle w:val="28"/>
              <w:bidi w:val="0"/>
            </w:pPr>
            <w:r>
              <w:t>达标</w:t>
            </w:r>
          </w:p>
        </w:tc>
      </w:tr>
      <w:tr w14:paraId="1502A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9925A2F">
            <w:pPr>
              <w:pStyle w:val="28"/>
              <w:bidi w:val="0"/>
            </w:pPr>
            <w:r>
              <w:rPr>
                <w:rFonts w:hint="eastAsia"/>
              </w:rPr>
              <w:t>赵庄</w:t>
            </w:r>
          </w:p>
        </w:tc>
        <w:tc>
          <w:tcPr>
            <w:tcW w:w="511" w:type="pct"/>
            <w:vAlign w:val="center"/>
          </w:tcPr>
          <w:p w14:paraId="30241DF3">
            <w:pPr>
              <w:pStyle w:val="28"/>
              <w:bidi w:val="0"/>
            </w:pPr>
            <w:r>
              <w:rPr>
                <w:rFonts w:hint="eastAsia"/>
              </w:rPr>
              <w:t>过路涵拆建</w:t>
            </w:r>
          </w:p>
        </w:tc>
        <w:tc>
          <w:tcPr>
            <w:tcW w:w="366" w:type="pct"/>
            <w:vAlign w:val="center"/>
          </w:tcPr>
          <w:p w14:paraId="2518A732">
            <w:pPr>
              <w:pStyle w:val="28"/>
              <w:bidi w:val="0"/>
            </w:pPr>
            <w:r>
              <w:t>55</w:t>
            </w:r>
          </w:p>
        </w:tc>
        <w:tc>
          <w:tcPr>
            <w:tcW w:w="268" w:type="pct"/>
            <w:vAlign w:val="center"/>
          </w:tcPr>
          <w:p w14:paraId="47D02CFD">
            <w:pPr>
              <w:pStyle w:val="28"/>
              <w:bidi w:val="0"/>
            </w:pPr>
            <w:r>
              <w:rPr>
                <w:rFonts w:hint="eastAsia"/>
              </w:rPr>
              <w:t>左岸</w:t>
            </w:r>
          </w:p>
        </w:tc>
        <w:tc>
          <w:tcPr>
            <w:tcW w:w="262" w:type="pct"/>
            <w:vAlign w:val="center"/>
          </w:tcPr>
          <w:p w14:paraId="77074D4A">
            <w:pPr>
              <w:pStyle w:val="28"/>
              <w:bidi w:val="0"/>
            </w:pPr>
            <w:r>
              <w:t>1</w:t>
            </w:r>
            <w:r>
              <w:rPr>
                <w:rFonts w:hint="eastAsia"/>
              </w:rPr>
              <w:t>类</w:t>
            </w:r>
          </w:p>
        </w:tc>
        <w:tc>
          <w:tcPr>
            <w:tcW w:w="809" w:type="pct"/>
            <w:vAlign w:val="center"/>
          </w:tcPr>
          <w:p w14:paraId="41871CCB">
            <w:pPr>
              <w:pStyle w:val="28"/>
              <w:bidi w:val="0"/>
            </w:pPr>
            <w:r>
              <w:rPr>
                <w:rFonts w:hint="eastAsia"/>
              </w:rPr>
              <w:t>采用低噪声设备，施工机械远离居民住宅，设置单层移动声屏障</w:t>
            </w:r>
          </w:p>
        </w:tc>
        <w:tc>
          <w:tcPr>
            <w:tcW w:w="208" w:type="pct"/>
            <w:vAlign w:val="center"/>
          </w:tcPr>
          <w:p w14:paraId="60285779">
            <w:pPr>
              <w:pStyle w:val="28"/>
              <w:bidi w:val="0"/>
            </w:pPr>
            <w:r>
              <w:t>53.7</w:t>
            </w:r>
          </w:p>
        </w:tc>
        <w:tc>
          <w:tcPr>
            <w:tcW w:w="211" w:type="pct"/>
            <w:vAlign w:val="center"/>
          </w:tcPr>
          <w:p w14:paraId="72378A48">
            <w:pPr>
              <w:pStyle w:val="28"/>
              <w:bidi w:val="0"/>
            </w:pPr>
            <w:r>
              <w:t>42.1</w:t>
            </w:r>
          </w:p>
        </w:tc>
        <w:tc>
          <w:tcPr>
            <w:tcW w:w="208" w:type="pct"/>
            <w:vAlign w:val="center"/>
          </w:tcPr>
          <w:p w14:paraId="05B75BA2">
            <w:pPr>
              <w:pStyle w:val="28"/>
              <w:bidi w:val="0"/>
            </w:pPr>
            <w:r>
              <w:t>55</w:t>
            </w:r>
          </w:p>
        </w:tc>
        <w:tc>
          <w:tcPr>
            <w:tcW w:w="211" w:type="pct"/>
            <w:vAlign w:val="center"/>
          </w:tcPr>
          <w:p w14:paraId="21D04B80">
            <w:pPr>
              <w:pStyle w:val="28"/>
              <w:bidi w:val="0"/>
            </w:pPr>
            <w:r>
              <w:t>45</w:t>
            </w:r>
          </w:p>
        </w:tc>
        <w:tc>
          <w:tcPr>
            <w:tcW w:w="276" w:type="pct"/>
            <w:vAlign w:val="center"/>
          </w:tcPr>
          <w:p w14:paraId="43F94D96">
            <w:pPr>
              <w:pStyle w:val="28"/>
              <w:bidi w:val="0"/>
            </w:pPr>
            <w:r>
              <w:t>58.4</w:t>
            </w:r>
          </w:p>
        </w:tc>
        <w:tc>
          <w:tcPr>
            <w:tcW w:w="257" w:type="pct"/>
            <w:vAlign w:val="center"/>
          </w:tcPr>
          <w:p w14:paraId="5B857DCD">
            <w:pPr>
              <w:pStyle w:val="28"/>
              <w:bidi w:val="0"/>
            </w:pPr>
            <w:r>
              <w:t>43.4</w:t>
            </w:r>
          </w:p>
        </w:tc>
        <w:tc>
          <w:tcPr>
            <w:tcW w:w="257" w:type="pct"/>
            <w:vAlign w:val="center"/>
          </w:tcPr>
          <w:p w14:paraId="3635B3CF">
            <w:pPr>
              <w:pStyle w:val="28"/>
              <w:bidi w:val="0"/>
            </w:pPr>
            <w:r>
              <w:t>54.1</w:t>
            </w:r>
          </w:p>
        </w:tc>
        <w:tc>
          <w:tcPr>
            <w:tcW w:w="257" w:type="pct"/>
            <w:vAlign w:val="center"/>
          </w:tcPr>
          <w:p w14:paraId="31C2F8E3">
            <w:pPr>
              <w:pStyle w:val="28"/>
              <w:bidi w:val="0"/>
            </w:pPr>
            <w:r>
              <w:t>0.4</w:t>
            </w:r>
          </w:p>
        </w:tc>
        <w:tc>
          <w:tcPr>
            <w:tcW w:w="209" w:type="pct"/>
            <w:vAlign w:val="center"/>
          </w:tcPr>
          <w:p w14:paraId="5AE80C3D">
            <w:pPr>
              <w:pStyle w:val="28"/>
              <w:bidi w:val="0"/>
            </w:pPr>
            <w:r>
              <w:t>达标</w:t>
            </w:r>
          </w:p>
        </w:tc>
      </w:tr>
      <w:tr w14:paraId="64D5F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A3B0939">
            <w:pPr>
              <w:pStyle w:val="28"/>
              <w:bidi w:val="0"/>
            </w:pPr>
            <w:r>
              <w:rPr>
                <w:rFonts w:hint="eastAsia"/>
              </w:rPr>
              <w:t>四方院子</w:t>
            </w:r>
          </w:p>
        </w:tc>
        <w:tc>
          <w:tcPr>
            <w:tcW w:w="511" w:type="pct"/>
            <w:vAlign w:val="center"/>
          </w:tcPr>
          <w:p w14:paraId="3BE70AC8">
            <w:pPr>
              <w:pStyle w:val="28"/>
              <w:bidi w:val="0"/>
            </w:pPr>
            <w:r>
              <w:rPr>
                <w:rFonts w:hint="eastAsia"/>
              </w:rPr>
              <w:t>过路涵拆建</w:t>
            </w:r>
          </w:p>
        </w:tc>
        <w:tc>
          <w:tcPr>
            <w:tcW w:w="366" w:type="pct"/>
            <w:vAlign w:val="center"/>
          </w:tcPr>
          <w:p w14:paraId="5398E654">
            <w:pPr>
              <w:pStyle w:val="28"/>
              <w:bidi w:val="0"/>
            </w:pPr>
            <w:r>
              <w:t>20</w:t>
            </w:r>
          </w:p>
        </w:tc>
        <w:tc>
          <w:tcPr>
            <w:tcW w:w="268" w:type="pct"/>
            <w:vAlign w:val="center"/>
          </w:tcPr>
          <w:p w14:paraId="6048B7EB">
            <w:pPr>
              <w:pStyle w:val="28"/>
              <w:bidi w:val="0"/>
            </w:pPr>
            <w:r>
              <w:rPr>
                <w:rFonts w:hint="eastAsia"/>
              </w:rPr>
              <w:t>左岸</w:t>
            </w:r>
          </w:p>
        </w:tc>
        <w:tc>
          <w:tcPr>
            <w:tcW w:w="262" w:type="pct"/>
            <w:vAlign w:val="center"/>
          </w:tcPr>
          <w:p w14:paraId="749E4A86">
            <w:pPr>
              <w:pStyle w:val="28"/>
              <w:bidi w:val="0"/>
            </w:pPr>
            <w:r>
              <w:t>1</w:t>
            </w:r>
            <w:r>
              <w:rPr>
                <w:rFonts w:hint="eastAsia"/>
              </w:rPr>
              <w:t>类</w:t>
            </w:r>
          </w:p>
        </w:tc>
        <w:tc>
          <w:tcPr>
            <w:tcW w:w="809" w:type="pct"/>
            <w:vAlign w:val="center"/>
          </w:tcPr>
          <w:p w14:paraId="6ED5A041">
            <w:pPr>
              <w:pStyle w:val="28"/>
              <w:bidi w:val="0"/>
            </w:pPr>
            <w:r>
              <w:rPr>
                <w:rFonts w:hint="eastAsia"/>
              </w:rPr>
              <w:t>采用低噪声设备，施工机械远离居民住宅，设置双层移动声屏障</w:t>
            </w:r>
          </w:p>
        </w:tc>
        <w:tc>
          <w:tcPr>
            <w:tcW w:w="208" w:type="pct"/>
            <w:vAlign w:val="center"/>
          </w:tcPr>
          <w:p w14:paraId="5596C21D">
            <w:pPr>
              <w:pStyle w:val="28"/>
              <w:bidi w:val="0"/>
            </w:pPr>
            <w:r>
              <w:t>53.7</w:t>
            </w:r>
          </w:p>
        </w:tc>
        <w:tc>
          <w:tcPr>
            <w:tcW w:w="211" w:type="pct"/>
            <w:vAlign w:val="center"/>
          </w:tcPr>
          <w:p w14:paraId="345CA2C8">
            <w:pPr>
              <w:pStyle w:val="28"/>
              <w:bidi w:val="0"/>
            </w:pPr>
            <w:r>
              <w:t>42.1</w:t>
            </w:r>
          </w:p>
        </w:tc>
        <w:tc>
          <w:tcPr>
            <w:tcW w:w="208" w:type="pct"/>
            <w:vAlign w:val="center"/>
          </w:tcPr>
          <w:p w14:paraId="3CFD4F82">
            <w:pPr>
              <w:pStyle w:val="28"/>
              <w:bidi w:val="0"/>
            </w:pPr>
            <w:r>
              <w:t>55</w:t>
            </w:r>
          </w:p>
        </w:tc>
        <w:tc>
          <w:tcPr>
            <w:tcW w:w="211" w:type="pct"/>
            <w:vAlign w:val="center"/>
          </w:tcPr>
          <w:p w14:paraId="4658A3F4">
            <w:pPr>
              <w:pStyle w:val="28"/>
              <w:bidi w:val="0"/>
            </w:pPr>
            <w:r>
              <w:t>45</w:t>
            </w:r>
          </w:p>
        </w:tc>
        <w:tc>
          <w:tcPr>
            <w:tcW w:w="276" w:type="pct"/>
            <w:vAlign w:val="center"/>
          </w:tcPr>
          <w:p w14:paraId="567849FD">
            <w:pPr>
              <w:pStyle w:val="28"/>
              <w:bidi w:val="0"/>
            </w:pPr>
            <w:r>
              <w:t>67.2</w:t>
            </w:r>
          </w:p>
        </w:tc>
        <w:tc>
          <w:tcPr>
            <w:tcW w:w="257" w:type="pct"/>
            <w:vAlign w:val="center"/>
          </w:tcPr>
          <w:p w14:paraId="2F4D5E89">
            <w:pPr>
              <w:pStyle w:val="28"/>
              <w:bidi w:val="0"/>
            </w:pPr>
            <w:r>
              <w:t>47.2</w:t>
            </w:r>
          </w:p>
        </w:tc>
        <w:tc>
          <w:tcPr>
            <w:tcW w:w="257" w:type="pct"/>
            <w:vAlign w:val="center"/>
          </w:tcPr>
          <w:p w14:paraId="50DB1349">
            <w:pPr>
              <w:pStyle w:val="28"/>
              <w:bidi w:val="0"/>
            </w:pPr>
            <w:r>
              <w:t>54.6</w:t>
            </w:r>
          </w:p>
        </w:tc>
        <w:tc>
          <w:tcPr>
            <w:tcW w:w="257" w:type="pct"/>
            <w:vAlign w:val="center"/>
          </w:tcPr>
          <w:p w14:paraId="6BEF328C">
            <w:pPr>
              <w:pStyle w:val="28"/>
              <w:bidi w:val="0"/>
            </w:pPr>
            <w:r>
              <w:t>0.9</w:t>
            </w:r>
          </w:p>
        </w:tc>
        <w:tc>
          <w:tcPr>
            <w:tcW w:w="209" w:type="pct"/>
            <w:vAlign w:val="center"/>
          </w:tcPr>
          <w:p w14:paraId="03F8EF97">
            <w:pPr>
              <w:pStyle w:val="28"/>
              <w:bidi w:val="0"/>
            </w:pPr>
            <w:r>
              <w:t>达标</w:t>
            </w:r>
          </w:p>
        </w:tc>
      </w:tr>
      <w:tr w14:paraId="1064E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1C44030">
            <w:pPr>
              <w:pStyle w:val="28"/>
              <w:bidi w:val="0"/>
            </w:pPr>
            <w:r>
              <w:rPr>
                <w:rFonts w:hint="eastAsia"/>
              </w:rPr>
              <w:t>浮槐村</w:t>
            </w:r>
          </w:p>
        </w:tc>
        <w:tc>
          <w:tcPr>
            <w:tcW w:w="511" w:type="pct"/>
            <w:vAlign w:val="center"/>
          </w:tcPr>
          <w:p w14:paraId="7C4FF8D9">
            <w:pPr>
              <w:pStyle w:val="28"/>
              <w:bidi w:val="0"/>
            </w:pPr>
            <w:r>
              <w:rPr>
                <w:rFonts w:hint="eastAsia"/>
              </w:rPr>
              <w:t>渠道渠岸衬砌</w:t>
            </w:r>
          </w:p>
        </w:tc>
        <w:tc>
          <w:tcPr>
            <w:tcW w:w="366" w:type="pct"/>
            <w:vAlign w:val="center"/>
          </w:tcPr>
          <w:p w14:paraId="49011D65">
            <w:pPr>
              <w:pStyle w:val="28"/>
              <w:bidi w:val="0"/>
            </w:pPr>
            <w:r>
              <w:t>185</w:t>
            </w:r>
          </w:p>
        </w:tc>
        <w:tc>
          <w:tcPr>
            <w:tcW w:w="268" w:type="pct"/>
            <w:vAlign w:val="center"/>
          </w:tcPr>
          <w:p w14:paraId="7490DFF6">
            <w:pPr>
              <w:pStyle w:val="28"/>
              <w:bidi w:val="0"/>
            </w:pPr>
            <w:r>
              <w:rPr>
                <w:rFonts w:hint="eastAsia"/>
              </w:rPr>
              <w:t>左岸</w:t>
            </w:r>
          </w:p>
        </w:tc>
        <w:tc>
          <w:tcPr>
            <w:tcW w:w="262" w:type="pct"/>
            <w:vAlign w:val="center"/>
          </w:tcPr>
          <w:p w14:paraId="2C7D8FEE">
            <w:pPr>
              <w:pStyle w:val="28"/>
              <w:bidi w:val="0"/>
            </w:pPr>
            <w:r>
              <w:t>1</w:t>
            </w:r>
            <w:r>
              <w:rPr>
                <w:rFonts w:hint="eastAsia"/>
              </w:rPr>
              <w:t>类</w:t>
            </w:r>
          </w:p>
        </w:tc>
        <w:tc>
          <w:tcPr>
            <w:tcW w:w="809" w:type="pct"/>
            <w:vAlign w:val="center"/>
          </w:tcPr>
          <w:p w14:paraId="021F974E">
            <w:pPr>
              <w:pStyle w:val="28"/>
              <w:bidi w:val="0"/>
            </w:pPr>
            <w:r>
              <w:rPr>
                <w:rFonts w:hint="eastAsia"/>
              </w:rPr>
              <w:t>采用低噪声设备，施工机械远离居民住宅</w:t>
            </w:r>
          </w:p>
        </w:tc>
        <w:tc>
          <w:tcPr>
            <w:tcW w:w="208" w:type="pct"/>
            <w:vAlign w:val="center"/>
          </w:tcPr>
          <w:p w14:paraId="3C517B5C">
            <w:pPr>
              <w:pStyle w:val="28"/>
              <w:bidi w:val="0"/>
            </w:pPr>
            <w:r>
              <w:t>53.1</w:t>
            </w:r>
          </w:p>
        </w:tc>
        <w:tc>
          <w:tcPr>
            <w:tcW w:w="211" w:type="pct"/>
            <w:vAlign w:val="center"/>
          </w:tcPr>
          <w:p w14:paraId="11B9177B">
            <w:pPr>
              <w:pStyle w:val="28"/>
              <w:bidi w:val="0"/>
            </w:pPr>
            <w:r>
              <w:t>43</w:t>
            </w:r>
          </w:p>
        </w:tc>
        <w:tc>
          <w:tcPr>
            <w:tcW w:w="208" w:type="pct"/>
            <w:vAlign w:val="center"/>
          </w:tcPr>
          <w:p w14:paraId="0F438FB1">
            <w:pPr>
              <w:pStyle w:val="28"/>
              <w:bidi w:val="0"/>
            </w:pPr>
            <w:r>
              <w:t>55</w:t>
            </w:r>
          </w:p>
        </w:tc>
        <w:tc>
          <w:tcPr>
            <w:tcW w:w="211" w:type="pct"/>
            <w:vAlign w:val="center"/>
          </w:tcPr>
          <w:p w14:paraId="2A303103">
            <w:pPr>
              <w:pStyle w:val="28"/>
              <w:bidi w:val="0"/>
            </w:pPr>
            <w:r>
              <w:t>45</w:t>
            </w:r>
          </w:p>
        </w:tc>
        <w:tc>
          <w:tcPr>
            <w:tcW w:w="276" w:type="pct"/>
            <w:vAlign w:val="center"/>
          </w:tcPr>
          <w:p w14:paraId="2DEF2C64">
            <w:pPr>
              <w:pStyle w:val="28"/>
              <w:bidi w:val="0"/>
            </w:pPr>
            <w:r>
              <w:t>46.5</w:t>
            </w:r>
          </w:p>
        </w:tc>
        <w:tc>
          <w:tcPr>
            <w:tcW w:w="257" w:type="pct"/>
            <w:vAlign w:val="center"/>
          </w:tcPr>
          <w:p w14:paraId="25D01AA0">
            <w:pPr>
              <w:pStyle w:val="28"/>
              <w:bidi w:val="0"/>
            </w:pPr>
            <w:r>
              <w:t>39.5</w:t>
            </w:r>
          </w:p>
        </w:tc>
        <w:tc>
          <w:tcPr>
            <w:tcW w:w="257" w:type="pct"/>
            <w:vAlign w:val="center"/>
          </w:tcPr>
          <w:p w14:paraId="71AF549F">
            <w:pPr>
              <w:pStyle w:val="28"/>
              <w:bidi w:val="0"/>
            </w:pPr>
            <w:r>
              <w:t>53.3</w:t>
            </w:r>
          </w:p>
        </w:tc>
        <w:tc>
          <w:tcPr>
            <w:tcW w:w="257" w:type="pct"/>
            <w:vAlign w:val="center"/>
          </w:tcPr>
          <w:p w14:paraId="78C77ED6">
            <w:pPr>
              <w:pStyle w:val="28"/>
              <w:bidi w:val="0"/>
            </w:pPr>
            <w:r>
              <w:t>0.2</w:t>
            </w:r>
          </w:p>
        </w:tc>
        <w:tc>
          <w:tcPr>
            <w:tcW w:w="209" w:type="pct"/>
            <w:vAlign w:val="center"/>
          </w:tcPr>
          <w:p w14:paraId="792B75BD">
            <w:pPr>
              <w:pStyle w:val="28"/>
              <w:bidi w:val="0"/>
            </w:pPr>
            <w:r>
              <w:t>达标</w:t>
            </w:r>
          </w:p>
        </w:tc>
      </w:tr>
      <w:tr w14:paraId="25F81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EA87B62">
            <w:pPr>
              <w:pStyle w:val="28"/>
              <w:bidi w:val="0"/>
            </w:pPr>
            <w:r>
              <w:rPr>
                <w:rFonts w:hint="eastAsia"/>
              </w:rPr>
              <w:t>许家窑</w:t>
            </w:r>
          </w:p>
        </w:tc>
        <w:tc>
          <w:tcPr>
            <w:tcW w:w="511" w:type="pct"/>
            <w:vAlign w:val="center"/>
          </w:tcPr>
          <w:p w14:paraId="35C235B6">
            <w:pPr>
              <w:pStyle w:val="28"/>
              <w:bidi w:val="0"/>
            </w:pPr>
            <w:r>
              <w:rPr>
                <w:rFonts w:hint="eastAsia"/>
              </w:rPr>
              <w:t>渠道渠岸衬砌</w:t>
            </w:r>
          </w:p>
        </w:tc>
        <w:tc>
          <w:tcPr>
            <w:tcW w:w="366" w:type="pct"/>
            <w:vAlign w:val="center"/>
          </w:tcPr>
          <w:p w14:paraId="6A1B1C58">
            <w:pPr>
              <w:pStyle w:val="28"/>
              <w:bidi w:val="0"/>
            </w:pPr>
            <w:r>
              <w:t>15</w:t>
            </w:r>
          </w:p>
        </w:tc>
        <w:tc>
          <w:tcPr>
            <w:tcW w:w="268" w:type="pct"/>
            <w:vAlign w:val="center"/>
          </w:tcPr>
          <w:p w14:paraId="196028C6">
            <w:pPr>
              <w:pStyle w:val="28"/>
              <w:bidi w:val="0"/>
            </w:pPr>
            <w:r>
              <w:rPr>
                <w:rFonts w:hint="eastAsia"/>
              </w:rPr>
              <w:t>右岸</w:t>
            </w:r>
          </w:p>
        </w:tc>
        <w:tc>
          <w:tcPr>
            <w:tcW w:w="262" w:type="pct"/>
            <w:vAlign w:val="center"/>
          </w:tcPr>
          <w:p w14:paraId="53EC9645">
            <w:pPr>
              <w:pStyle w:val="28"/>
              <w:bidi w:val="0"/>
            </w:pPr>
            <w:r>
              <w:t>1</w:t>
            </w:r>
            <w:r>
              <w:rPr>
                <w:rFonts w:hint="eastAsia"/>
              </w:rPr>
              <w:t>类</w:t>
            </w:r>
          </w:p>
        </w:tc>
        <w:tc>
          <w:tcPr>
            <w:tcW w:w="809" w:type="pct"/>
            <w:vAlign w:val="center"/>
          </w:tcPr>
          <w:p w14:paraId="40121134">
            <w:pPr>
              <w:pStyle w:val="28"/>
              <w:bidi w:val="0"/>
            </w:pPr>
            <w:r>
              <w:rPr>
                <w:rFonts w:hint="eastAsia"/>
              </w:rPr>
              <w:t>采用低噪声设备，施工机械远离居民住宅，设置双层移动声屏障</w:t>
            </w:r>
          </w:p>
        </w:tc>
        <w:tc>
          <w:tcPr>
            <w:tcW w:w="208" w:type="pct"/>
            <w:vAlign w:val="center"/>
          </w:tcPr>
          <w:p w14:paraId="1D71FB9A">
            <w:pPr>
              <w:pStyle w:val="28"/>
              <w:bidi w:val="0"/>
            </w:pPr>
            <w:r>
              <w:t>53.1</w:t>
            </w:r>
          </w:p>
        </w:tc>
        <w:tc>
          <w:tcPr>
            <w:tcW w:w="211" w:type="pct"/>
            <w:vAlign w:val="center"/>
          </w:tcPr>
          <w:p w14:paraId="1A489FC0">
            <w:pPr>
              <w:pStyle w:val="28"/>
              <w:bidi w:val="0"/>
            </w:pPr>
            <w:r>
              <w:t>43</w:t>
            </w:r>
          </w:p>
        </w:tc>
        <w:tc>
          <w:tcPr>
            <w:tcW w:w="208" w:type="pct"/>
            <w:vAlign w:val="center"/>
          </w:tcPr>
          <w:p w14:paraId="662A6594">
            <w:pPr>
              <w:pStyle w:val="28"/>
              <w:bidi w:val="0"/>
            </w:pPr>
            <w:r>
              <w:t>55</w:t>
            </w:r>
          </w:p>
        </w:tc>
        <w:tc>
          <w:tcPr>
            <w:tcW w:w="211" w:type="pct"/>
            <w:vAlign w:val="center"/>
          </w:tcPr>
          <w:p w14:paraId="155415D0">
            <w:pPr>
              <w:pStyle w:val="28"/>
              <w:bidi w:val="0"/>
            </w:pPr>
            <w:r>
              <w:t>45</w:t>
            </w:r>
          </w:p>
        </w:tc>
        <w:tc>
          <w:tcPr>
            <w:tcW w:w="276" w:type="pct"/>
            <w:vAlign w:val="center"/>
          </w:tcPr>
          <w:p w14:paraId="7D09CDD9">
            <w:pPr>
              <w:pStyle w:val="28"/>
              <w:bidi w:val="0"/>
            </w:pPr>
            <w:r>
              <w:t>68.3</w:t>
            </w:r>
          </w:p>
        </w:tc>
        <w:tc>
          <w:tcPr>
            <w:tcW w:w="257" w:type="pct"/>
            <w:vAlign w:val="center"/>
          </w:tcPr>
          <w:p w14:paraId="2CF833EC">
            <w:pPr>
              <w:pStyle w:val="28"/>
              <w:bidi w:val="0"/>
            </w:pPr>
            <w:r>
              <w:t>48.3</w:t>
            </w:r>
          </w:p>
        </w:tc>
        <w:tc>
          <w:tcPr>
            <w:tcW w:w="257" w:type="pct"/>
            <w:vAlign w:val="center"/>
          </w:tcPr>
          <w:p w14:paraId="4922673F">
            <w:pPr>
              <w:pStyle w:val="28"/>
              <w:bidi w:val="0"/>
            </w:pPr>
            <w:r>
              <w:t>54.4</w:t>
            </w:r>
          </w:p>
        </w:tc>
        <w:tc>
          <w:tcPr>
            <w:tcW w:w="257" w:type="pct"/>
            <w:vAlign w:val="center"/>
          </w:tcPr>
          <w:p w14:paraId="0445EF3D">
            <w:pPr>
              <w:pStyle w:val="28"/>
              <w:bidi w:val="0"/>
            </w:pPr>
            <w:r>
              <w:t>1.3</w:t>
            </w:r>
          </w:p>
        </w:tc>
        <w:tc>
          <w:tcPr>
            <w:tcW w:w="209" w:type="pct"/>
            <w:vAlign w:val="center"/>
          </w:tcPr>
          <w:p w14:paraId="5E6738CD">
            <w:pPr>
              <w:pStyle w:val="28"/>
              <w:bidi w:val="0"/>
            </w:pPr>
            <w:r>
              <w:t>达标</w:t>
            </w:r>
          </w:p>
        </w:tc>
      </w:tr>
      <w:tr w14:paraId="52251728">
        <w:tblPrEx>
          <w:tblCellMar>
            <w:top w:w="0" w:type="dxa"/>
            <w:left w:w="108" w:type="dxa"/>
            <w:bottom w:w="0" w:type="dxa"/>
            <w:right w:w="108" w:type="dxa"/>
          </w:tblCellMar>
        </w:tblPrEx>
        <w:trPr>
          <w:trHeight w:val="340" w:hRule="atLeast"/>
          <w:jc w:val="center"/>
        </w:trPr>
        <w:tc>
          <w:tcPr>
            <w:tcW w:w="685" w:type="pct"/>
            <w:vAlign w:val="center"/>
          </w:tcPr>
          <w:p w14:paraId="78E84C1A">
            <w:pPr>
              <w:pStyle w:val="28"/>
              <w:bidi w:val="0"/>
            </w:pPr>
            <w:r>
              <w:rPr>
                <w:rFonts w:hint="eastAsia"/>
              </w:rPr>
              <w:t>徐院</w:t>
            </w:r>
          </w:p>
        </w:tc>
        <w:tc>
          <w:tcPr>
            <w:tcW w:w="511" w:type="pct"/>
            <w:vAlign w:val="center"/>
          </w:tcPr>
          <w:p w14:paraId="5FBBA02C">
            <w:pPr>
              <w:pStyle w:val="28"/>
              <w:bidi w:val="0"/>
            </w:pPr>
            <w:r>
              <w:rPr>
                <w:rFonts w:hint="eastAsia"/>
              </w:rPr>
              <w:t>渠道渠岸衬砌</w:t>
            </w:r>
          </w:p>
        </w:tc>
        <w:tc>
          <w:tcPr>
            <w:tcW w:w="366" w:type="pct"/>
            <w:vAlign w:val="center"/>
          </w:tcPr>
          <w:p w14:paraId="30F9BFC8">
            <w:pPr>
              <w:pStyle w:val="28"/>
              <w:bidi w:val="0"/>
            </w:pPr>
            <w:r>
              <w:t>80</w:t>
            </w:r>
          </w:p>
        </w:tc>
        <w:tc>
          <w:tcPr>
            <w:tcW w:w="268" w:type="pct"/>
            <w:vAlign w:val="center"/>
          </w:tcPr>
          <w:p w14:paraId="6265A189">
            <w:pPr>
              <w:pStyle w:val="28"/>
              <w:bidi w:val="0"/>
            </w:pPr>
            <w:r>
              <w:rPr>
                <w:rFonts w:hint="eastAsia"/>
              </w:rPr>
              <w:t>左岸</w:t>
            </w:r>
          </w:p>
        </w:tc>
        <w:tc>
          <w:tcPr>
            <w:tcW w:w="262" w:type="pct"/>
            <w:vAlign w:val="center"/>
          </w:tcPr>
          <w:p w14:paraId="7BDDCC34">
            <w:pPr>
              <w:pStyle w:val="28"/>
              <w:bidi w:val="0"/>
            </w:pPr>
            <w:r>
              <w:t>1</w:t>
            </w:r>
            <w:r>
              <w:rPr>
                <w:rFonts w:hint="eastAsia"/>
              </w:rPr>
              <w:t>类</w:t>
            </w:r>
          </w:p>
        </w:tc>
        <w:tc>
          <w:tcPr>
            <w:tcW w:w="809" w:type="pct"/>
            <w:vAlign w:val="center"/>
          </w:tcPr>
          <w:p w14:paraId="49629983">
            <w:pPr>
              <w:pStyle w:val="28"/>
              <w:bidi w:val="0"/>
            </w:pPr>
            <w:r>
              <w:rPr>
                <w:rFonts w:hint="eastAsia"/>
              </w:rPr>
              <w:t>采用低噪声设备，施工机械远离居民住宅</w:t>
            </w:r>
          </w:p>
        </w:tc>
        <w:tc>
          <w:tcPr>
            <w:tcW w:w="208" w:type="pct"/>
            <w:vAlign w:val="center"/>
          </w:tcPr>
          <w:p w14:paraId="754F0851">
            <w:pPr>
              <w:pStyle w:val="28"/>
              <w:bidi w:val="0"/>
            </w:pPr>
            <w:r>
              <w:t>53.1</w:t>
            </w:r>
          </w:p>
        </w:tc>
        <w:tc>
          <w:tcPr>
            <w:tcW w:w="211" w:type="pct"/>
            <w:vAlign w:val="center"/>
          </w:tcPr>
          <w:p w14:paraId="0C9BE00A">
            <w:pPr>
              <w:pStyle w:val="28"/>
              <w:bidi w:val="0"/>
            </w:pPr>
            <w:r>
              <w:t>43</w:t>
            </w:r>
          </w:p>
        </w:tc>
        <w:tc>
          <w:tcPr>
            <w:tcW w:w="208" w:type="pct"/>
            <w:vAlign w:val="center"/>
          </w:tcPr>
          <w:p w14:paraId="57BB6E40">
            <w:pPr>
              <w:pStyle w:val="28"/>
              <w:bidi w:val="0"/>
            </w:pPr>
            <w:r>
              <w:t>55</w:t>
            </w:r>
          </w:p>
        </w:tc>
        <w:tc>
          <w:tcPr>
            <w:tcW w:w="211" w:type="pct"/>
            <w:vAlign w:val="center"/>
          </w:tcPr>
          <w:p w14:paraId="5845766E">
            <w:pPr>
              <w:pStyle w:val="28"/>
              <w:bidi w:val="0"/>
            </w:pPr>
            <w:r>
              <w:t>45</w:t>
            </w:r>
          </w:p>
        </w:tc>
        <w:tc>
          <w:tcPr>
            <w:tcW w:w="276" w:type="pct"/>
            <w:vAlign w:val="center"/>
          </w:tcPr>
          <w:p w14:paraId="5F2772F2">
            <w:pPr>
              <w:pStyle w:val="28"/>
              <w:bidi w:val="0"/>
            </w:pPr>
            <w:r>
              <w:t>53.8</w:t>
            </w:r>
          </w:p>
        </w:tc>
        <w:tc>
          <w:tcPr>
            <w:tcW w:w="257" w:type="pct"/>
            <w:vAlign w:val="center"/>
          </w:tcPr>
          <w:p w14:paraId="1ECEA80A">
            <w:pPr>
              <w:pStyle w:val="28"/>
              <w:bidi w:val="0"/>
            </w:pPr>
            <w:r>
              <w:t>46.8</w:t>
            </w:r>
          </w:p>
        </w:tc>
        <w:tc>
          <w:tcPr>
            <w:tcW w:w="257" w:type="pct"/>
            <w:vAlign w:val="center"/>
          </w:tcPr>
          <w:p w14:paraId="650EC00F">
            <w:pPr>
              <w:pStyle w:val="28"/>
              <w:bidi w:val="0"/>
            </w:pPr>
            <w:r>
              <w:t>54.0</w:t>
            </w:r>
          </w:p>
        </w:tc>
        <w:tc>
          <w:tcPr>
            <w:tcW w:w="257" w:type="pct"/>
            <w:vAlign w:val="center"/>
          </w:tcPr>
          <w:p w14:paraId="5AC20376">
            <w:pPr>
              <w:pStyle w:val="28"/>
              <w:bidi w:val="0"/>
            </w:pPr>
            <w:r>
              <w:t>0.9</w:t>
            </w:r>
          </w:p>
        </w:tc>
        <w:tc>
          <w:tcPr>
            <w:tcW w:w="209" w:type="pct"/>
            <w:vAlign w:val="center"/>
          </w:tcPr>
          <w:p w14:paraId="4ED19349">
            <w:pPr>
              <w:pStyle w:val="28"/>
              <w:bidi w:val="0"/>
            </w:pPr>
            <w:r>
              <w:t>达标</w:t>
            </w:r>
          </w:p>
        </w:tc>
      </w:tr>
      <w:tr w14:paraId="795DEC1E">
        <w:tblPrEx>
          <w:tblCellMar>
            <w:top w:w="0" w:type="dxa"/>
            <w:left w:w="108" w:type="dxa"/>
            <w:bottom w:w="0" w:type="dxa"/>
            <w:right w:w="108" w:type="dxa"/>
          </w:tblCellMar>
        </w:tblPrEx>
        <w:trPr>
          <w:trHeight w:val="340" w:hRule="atLeast"/>
          <w:jc w:val="center"/>
        </w:trPr>
        <w:tc>
          <w:tcPr>
            <w:tcW w:w="685" w:type="pct"/>
            <w:vAlign w:val="center"/>
          </w:tcPr>
          <w:p w14:paraId="0C777FA3">
            <w:pPr>
              <w:pStyle w:val="28"/>
              <w:bidi w:val="0"/>
            </w:pPr>
            <w:r>
              <w:rPr>
                <w:rFonts w:hint="eastAsia"/>
              </w:rPr>
              <w:t>竹园棵</w:t>
            </w:r>
          </w:p>
        </w:tc>
        <w:tc>
          <w:tcPr>
            <w:tcW w:w="511" w:type="pct"/>
            <w:vAlign w:val="center"/>
          </w:tcPr>
          <w:p w14:paraId="49192796">
            <w:pPr>
              <w:pStyle w:val="28"/>
              <w:bidi w:val="0"/>
            </w:pPr>
            <w:r>
              <w:rPr>
                <w:rFonts w:hint="eastAsia"/>
              </w:rPr>
              <w:t>渠道渠岸衬砌</w:t>
            </w:r>
          </w:p>
        </w:tc>
        <w:tc>
          <w:tcPr>
            <w:tcW w:w="366" w:type="pct"/>
            <w:vAlign w:val="center"/>
          </w:tcPr>
          <w:p w14:paraId="7DB170A2">
            <w:pPr>
              <w:pStyle w:val="28"/>
              <w:bidi w:val="0"/>
            </w:pPr>
            <w:r>
              <w:t>15</w:t>
            </w:r>
          </w:p>
        </w:tc>
        <w:tc>
          <w:tcPr>
            <w:tcW w:w="268" w:type="pct"/>
            <w:vAlign w:val="center"/>
          </w:tcPr>
          <w:p w14:paraId="68DF1772">
            <w:pPr>
              <w:pStyle w:val="28"/>
              <w:bidi w:val="0"/>
            </w:pPr>
            <w:r>
              <w:rPr>
                <w:rFonts w:hint="eastAsia"/>
              </w:rPr>
              <w:t>左岸</w:t>
            </w:r>
          </w:p>
        </w:tc>
        <w:tc>
          <w:tcPr>
            <w:tcW w:w="262" w:type="pct"/>
            <w:vAlign w:val="center"/>
          </w:tcPr>
          <w:p w14:paraId="42EB45E8">
            <w:pPr>
              <w:pStyle w:val="28"/>
              <w:bidi w:val="0"/>
            </w:pPr>
            <w:r>
              <w:t>1</w:t>
            </w:r>
            <w:r>
              <w:rPr>
                <w:rFonts w:hint="eastAsia"/>
              </w:rPr>
              <w:t>类</w:t>
            </w:r>
          </w:p>
        </w:tc>
        <w:tc>
          <w:tcPr>
            <w:tcW w:w="809" w:type="pct"/>
            <w:vAlign w:val="center"/>
          </w:tcPr>
          <w:p w14:paraId="35E6396C">
            <w:pPr>
              <w:pStyle w:val="28"/>
              <w:bidi w:val="0"/>
            </w:pPr>
            <w:r>
              <w:rPr>
                <w:rFonts w:hint="eastAsia"/>
              </w:rPr>
              <w:t>采用低噪声设备，施工机械远离居民住宅，设置双层移动声屏障</w:t>
            </w:r>
          </w:p>
        </w:tc>
        <w:tc>
          <w:tcPr>
            <w:tcW w:w="208" w:type="pct"/>
            <w:vAlign w:val="center"/>
          </w:tcPr>
          <w:p w14:paraId="3F3EC79E">
            <w:pPr>
              <w:pStyle w:val="28"/>
              <w:bidi w:val="0"/>
            </w:pPr>
            <w:r>
              <w:t>53.1</w:t>
            </w:r>
          </w:p>
        </w:tc>
        <w:tc>
          <w:tcPr>
            <w:tcW w:w="211" w:type="pct"/>
            <w:vAlign w:val="center"/>
          </w:tcPr>
          <w:p w14:paraId="72E4A248">
            <w:pPr>
              <w:pStyle w:val="28"/>
              <w:bidi w:val="0"/>
            </w:pPr>
            <w:r>
              <w:t>43</w:t>
            </w:r>
          </w:p>
        </w:tc>
        <w:tc>
          <w:tcPr>
            <w:tcW w:w="208" w:type="pct"/>
            <w:vAlign w:val="center"/>
          </w:tcPr>
          <w:p w14:paraId="474A2BBD">
            <w:pPr>
              <w:pStyle w:val="28"/>
              <w:bidi w:val="0"/>
            </w:pPr>
            <w:r>
              <w:t>55</w:t>
            </w:r>
          </w:p>
        </w:tc>
        <w:tc>
          <w:tcPr>
            <w:tcW w:w="211" w:type="pct"/>
            <w:vAlign w:val="center"/>
          </w:tcPr>
          <w:p w14:paraId="2F2E0E6D">
            <w:pPr>
              <w:pStyle w:val="28"/>
              <w:bidi w:val="0"/>
            </w:pPr>
            <w:r>
              <w:t>45</w:t>
            </w:r>
          </w:p>
        </w:tc>
        <w:tc>
          <w:tcPr>
            <w:tcW w:w="276" w:type="pct"/>
            <w:vAlign w:val="center"/>
          </w:tcPr>
          <w:p w14:paraId="009B39B0">
            <w:pPr>
              <w:pStyle w:val="28"/>
              <w:bidi w:val="0"/>
            </w:pPr>
            <w:r>
              <w:t>68.3</w:t>
            </w:r>
          </w:p>
        </w:tc>
        <w:tc>
          <w:tcPr>
            <w:tcW w:w="257" w:type="pct"/>
            <w:vAlign w:val="center"/>
          </w:tcPr>
          <w:p w14:paraId="3ACD4058">
            <w:pPr>
              <w:pStyle w:val="28"/>
              <w:bidi w:val="0"/>
            </w:pPr>
            <w:r>
              <w:t>48.3</w:t>
            </w:r>
          </w:p>
        </w:tc>
        <w:tc>
          <w:tcPr>
            <w:tcW w:w="257" w:type="pct"/>
            <w:vAlign w:val="center"/>
          </w:tcPr>
          <w:p w14:paraId="77ED3097">
            <w:pPr>
              <w:pStyle w:val="28"/>
              <w:bidi w:val="0"/>
            </w:pPr>
            <w:r>
              <w:t>54.4</w:t>
            </w:r>
          </w:p>
        </w:tc>
        <w:tc>
          <w:tcPr>
            <w:tcW w:w="257" w:type="pct"/>
            <w:vAlign w:val="center"/>
          </w:tcPr>
          <w:p w14:paraId="216CD113">
            <w:pPr>
              <w:pStyle w:val="28"/>
              <w:bidi w:val="0"/>
            </w:pPr>
            <w:r>
              <w:t>1.3</w:t>
            </w:r>
          </w:p>
        </w:tc>
        <w:tc>
          <w:tcPr>
            <w:tcW w:w="209" w:type="pct"/>
            <w:vAlign w:val="center"/>
          </w:tcPr>
          <w:p w14:paraId="79072EEC">
            <w:pPr>
              <w:pStyle w:val="28"/>
              <w:bidi w:val="0"/>
            </w:pPr>
            <w:r>
              <w:t>达标</w:t>
            </w:r>
          </w:p>
        </w:tc>
      </w:tr>
      <w:tr w14:paraId="06AD5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CD3658D">
            <w:pPr>
              <w:pStyle w:val="28"/>
              <w:bidi w:val="0"/>
            </w:pPr>
            <w:r>
              <w:rPr>
                <w:rFonts w:hint="eastAsia"/>
              </w:rPr>
              <w:t>邢老屋</w:t>
            </w:r>
          </w:p>
        </w:tc>
        <w:tc>
          <w:tcPr>
            <w:tcW w:w="511" w:type="pct"/>
            <w:vAlign w:val="center"/>
          </w:tcPr>
          <w:p w14:paraId="05D32A39">
            <w:pPr>
              <w:pStyle w:val="28"/>
              <w:bidi w:val="0"/>
            </w:pPr>
            <w:r>
              <w:rPr>
                <w:rFonts w:hint="eastAsia"/>
              </w:rPr>
              <w:t>渠道渠岸衬砌</w:t>
            </w:r>
          </w:p>
        </w:tc>
        <w:tc>
          <w:tcPr>
            <w:tcW w:w="366" w:type="pct"/>
            <w:vAlign w:val="center"/>
          </w:tcPr>
          <w:p w14:paraId="36F9D4E7">
            <w:pPr>
              <w:pStyle w:val="28"/>
              <w:bidi w:val="0"/>
            </w:pPr>
            <w:r>
              <w:t>75</w:t>
            </w:r>
          </w:p>
        </w:tc>
        <w:tc>
          <w:tcPr>
            <w:tcW w:w="268" w:type="pct"/>
            <w:vAlign w:val="center"/>
          </w:tcPr>
          <w:p w14:paraId="064727A2">
            <w:pPr>
              <w:pStyle w:val="28"/>
              <w:bidi w:val="0"/>
            </w:pPr>
            <w:r>
              <w:rPr>
                <w:rFonts w:hint="eastAsia"/>
              </w:rPr>
              <w:t>左岸</w:t>
            </w:r>
          </w:p>
        </w:tc>
        <w:tc>
          <w:tcPr>
            <w:tcW w:w="262" w:type="pct"/>
            <w:vAlign w:val="center"/>
          </w:tcPr>
          <w:p w14:paraId="6FBA6985">
            <w:pPr>
              <w:pStyle w:val="28"/>
              <w:bidi w:val="0"/>
            </w:pPr>
            <w:r>
              <w:t>1</w:t>
            </w:r>
            <w:r>
              <w:rPr>
                <w:rFonts w:hint="eastAsia"/>
              </w:rPr>
              <w:t>类</w:t>
            </w:r>
          </w:p>
        </w:tc>
        <w:tc>
          <w:tcPr>
            <w:tcW w:w="809" w:type="pct"/>
            <w:vAlign w:val="center"/>
          </w:tcPr>
          <w:p w14:paraId="09D69C63">
            <w:pPr>
              <w:pStyle w:val="28"/>
              <w:bidi w:val="0"/>
            </w:pPr>
            <w:r>
              <w:rPr>
                <w:rFonts w:hint="eastAsia"/>
              </w:rPr>
              <w:t>采用低噪声设备，施工机械远离居民住宅</w:t>
            </w:r>
          </w:p>
        </w:tc>
        <w:tc>
          <w:tcPr>
            <w:tcW w:w="208" w:type="pct"/>
            <w:vAlign w:val="center"/>
          </w:tcPr>
          <w:p w14:paraId="699E0891">
            <w:pPr>
              <w:pStyle w:val="28"/>
              <w:bidi w:val="0"/>
            </w:pPr>
            <w:r>
              <w:t>53.1</w:t>
            </w:r>
          </w:p>
        </w:tc>
        <w:tc>
          <w:tcPr>
            <w:tcW w:w="211" w:type="pct"/>
            <w:vAlign w:val="center"/>
          </w:tcPr>
          <w:p w14:paraId="3CE4B1BF">
            <w:pPr>
              <w:pStyle w:val="28"/>
              <w:bidi w:val="0"/>
            </w:pPr>
            <w:r>
              <w:t>43</w:t>
            </w:r>
          </w:p>
        </w:tc>
        <w:tc>
          <w:tcPr>
            <w:tcW w:w="208" w:type="pct"/>
            <w:vAlign w:val="center"/>
          </w:tcPr>
          <w:p w14:paraId="5424D9A2">
            <w:pPr>
              <w:pStyle w:val="28"/>
              <w:bidi w:val="0"/>
            </w:pPr>
            <w:r>
              <w:t>55</w:t>
            </w:r>
          </w:p>
        </w:tc>
        <w:tc>
          <w:tcPr>
            <w:tcW w:w="211" w:type="pct"/>
            <w:vAlign w:val="center"/>
          </w:tcPr>
          <w:p w14:paraId="6BF4D7DB">
            <w:pPr>
              <w:pStyle w:val="28"/>
              <w:bidi w:val="0"/>
            </w:pPr>
            <w:r>
              <w:t>45</w:t>
            </w:r>
          </w:p>
        </w:tc>
        <w:tc>
          <w:tcPr>
            <w:tcW w:w="276" w:type="pct"/>
            <w:vAlign w:val="center"/>
          </w:tcPr>
          <w:p w14:paraId="4D0E9E20">
            <w:pPr>
              <w:pStyle w:val="28"/>
              <w:bidi w:val="0"/>
            </w:pPr>
            <w:r>
              <w:t>54.4</w:t>
            </w:r>
          </w:p>
        </w:tc>
        <w:tc>
          <w:tcPr>
            <w:tcW w:w="257" w:type="pct"/>
            <w:vAlign w:val="center"/>
          </w:tcPr>
          <w:p w14:paraId="6E91EBD5">
            <w:pPr>
              <w:pStyle w:val="28"/>
              <w:bidi w:val="0"/>
            </w:pPr>
            <w:r>
              <w:t>47.4</w:t>
            </w:r>
          </w:p>
        </w:tc>
        <w:tc>
          <w:tcPr>
            <w:tcW w:w="257" w:type="pct"/>
            <w:vAlign w:val="center"/>
          </w:tcPr>
          <w:p w14:paraId="6D723FC6">
            <w:pPr>
              <w:pStyle w:val="28"/>
              <w:bidi w:val="0"/>
            </w:pPr>
            <w:r>
              <w:t>54.1</w:t>
            </w:r>
          </w:p>
        </w:tc>
        <w:tc>
          <w:tcPr>
            <w:tcW w:w="257" w:type="pct"/>
            <w:vAlign w:val="center"/>
          </w:tcPr>
          <w:p w14:paraId="0BDF650C">
            <w:pPr>
              <w:pStyle w:val="28"/>
              <w:bidi w:val="0"/>
            </w:pPr>
            <w:r>
              <w:t>1.0</w:t>
            </w:r>
          </w:p>
        </w:tc>
        <w:tc>
          <w:tcPr>
            <w:tcW w:w="209" w:type="pct"/>
            <w:vAlign w:val="center"/>
          </w:tcPr>
          <w:p w14:paraId="734D676B">
            <w:pPr>
              <w:pStyle w:val="28"/>
              <w:bidi w:val="0"/>
            </w:pPr>
            <w:r>
              <w:t>达标</w:t>
            </w:r>
          </w:p>
        </w:tc>
      </w:tr>
      <w:tr w14:paraId="30430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1BCB58C1">
            <w:pPr>
              <w:pStyle w:val="28"/>
              <w:bidi w:val="0"/>
            </w:pPr>
            <w:r>
              <w:rPr>
                <w:rFonts w:hint="eastAsia"/>
              </w:rPr>
              <w:t>山岗</w:t>
            </w:r>
          </w:p>
        </w:tc>
        <w:tc>
          <w:tcPr>
            <w:tcW w:w="511" w:type="pct"/>
            <w:vAlign w:val="center"/>
          </w:tcPr>
          <w:p w14:paraId="3D3B97A0">
            <w:pPr>
              <w:pStyle w:val="28"/>
              <w:bidi w:val="0"/>
            </w:pPr>
            <w:r>
              <w:rPr>
                <w:rFonts w:hint="eastAsia"/>
              </w:rPr>
              <w:t>渠道渠岸衬砌</w:t>
            </w:r>
          </w:p>
        </w:tc>
        <w:tc>
          <w:tcPr>
            <w:tcW w:w="366" w:type="pct"/>
            <w:vAlign w:val="center"/>
          </w:tcPr>
          <w:p w14:paraId="05FFCBD7">
            <w:pPr>
              <w:pStyle w:val="28"/>
              <w:bidi w:val="0"/>
            </w:pPr>
            <w:r>
              <w:t>20</w:t>
            </w:r>
          </w:p>
        </w:tc>
        <w:tc>
          <w:tcPr>
            <w:tcW w:w="268" w:type="pct"/>
            <w:vAlign w:val="center"/>
          </w:tcPr>
          <w:p w14:paraId="2182C9A3">
            <w:pPr>
              <w:pStyle w:val="28"/>
              <w:bidi w:val="0"/>
            </w:pPr>
            <w:r>
              <w:rPr>
                <w:rFonts w:hint="eastAsia"/>
              </w:rPr>
              <w:t>左岸</w:t>
            </w:r>
          </w:p>
        </w:tc>
        <w:tc>
          <w:tcPr>
            <w:tcW w:w="262" w:type="pct"/>
            <w:vAlign w:val="center"/>
          </w:tcPr>
          <w:p w14:paraId="3BAAF556">
            <w:pPr>
              <w:pStyle w:val="28"/>
              <w:bidi w:val="0"/>
            </w:pPr>
            <w:r>
              <w:t>1</w:t>
            </w:r>
            <w:r>
              <w:rPr>
                <w:rFonts w:hint="eastAsia"/>
              </w:rPr>
              <w:t>类</w:t>
            </w:r>
          </w:p>
        </w:tc>
        <w:tc>
          <w:tcPr>
            <w:tcW w:w="809" w:type="pct"/>
            <w:vMerge w:val="restart"/>
            <w:vAlign w:val="center"/>
          </w:tcPr>
          <w:p w14:paraId="0AC39DDE">
            <w:pPr>
              <w:pStyle w:val="28"/>
              <w:bidi w:val="0"/>
            </w:pPr>
            <w:r>
              <w:rPr>
                <w:rFonts w:hint="eastAsia"/>
              </w:rPr>
              <w:t>采用低噪声设备，施工机械远离居民住宅，设置双层移动声屏障</w:t>
            </w:r>
          </w:p>
        </w:tc>
        <w:tc>
          <w:tcPr>
            <w:tcW w:w="208" w:type="pct"/>
            <w:vAlign w:val="center"/>
          </w:tcPr>
          <w:p w14:paraId="4677BA19">
            <w:pPr>
              <w:pStyle w:val="28"/>
              <w:bidi w:val="0"/>
            </w:pPr>
            <w:r>
              <w:t>53.1</w:t>
            </w:r>
          </w:p>
        </w:tc>
        <w:tc>
          <w:tcPr>
            <w:tcW w:w="211" w:type="pct"/>
            <w:vAlign w:val="center"/>
          </w:tcPr>
          <w:p w14:paraId="149E1524">
            <w:pPr>
              <w:pStyle w:val="28"/>
              <w:bidi w:val="0"/>
            </w:pPr>
            <w:r>
              <w:t>43</w:t>
            </w:r>
          </w:p>
        </w:tc>
        <w:tc>
          <w:tcPr>
            <w:tcW w:w="208" w:type="pct"/>
            <w:vAlign w:val="center"/>
          </w:tcPr>
          <w:p w14:paraId="678DB6D0">
            <w:pPr>
              <w:pStyle w:val="28"/>
              <w:bidi w:val="0"/>
            </w:pPr>
            <w:r>
              <w:t>55</w:t>
            </w:r>
          </w:p>
        </w:tc>
        <w:tc>
          <w:tcPr>
            <w:tcW w:w="211" w:type="pct"/>
            <w:vAlign w:val="center"/>
          </w:tcPr>
          <w:p w14:paraId="773DBCFA">
            <w:pPr>
              <w:pStyle w:val="28"/>
              <w:bidi w:val="0"/>
            </w:pPr>
            <w:r>
              <w:t>45</w:t>
            </w:r>
          </w:p>
        </w:tc>
        <w:tc>
          <w:tcPr>
            <w:tcW w:w="276" w:type="pct"/>
            <w:vAlign w:val="center"/>
          </w:tcPr>
          <w:p w14:paraId="7405AA5B">
            <w:pPr>
              <w:pStyle w:val="28"/>
              <w:bidi w:val="0"/>
            </w:pPr>
            <w:r>
              <w:t>65.8</w:t>
            </w:r>
          </w:p>
        </w:tc>
        <w:tc>
          <w:tcPr>
            <w:tcW w:w="257" w:type="pct"/>
            <w:vAlign w:val="center"/>
          </w:tcPr>
          <w:p w14:paraId="7E9E9110">
            <w:pPr>
              <w:pStyle w:val="28"/>
              <w:bidi w:val="0"/>
            </w:pPr>
            <w:r>
              <w:t>45.8</w:t>
            </w:r>
          </w:p>
        </w:tc>
        <w:tc>
          <w:tcPr>
            <w:tcW w:w="257" w:type="pct"/>
            <w:vAlign w:val="center"/>
          </w:tcPr>
          <w:p w14:paraId="5715881A">
            <w:pPr>
              <w:pStyle w:val="28"/>
              <w:bidi w:val="0"/>
            </w:pPr>
            <w:r>
              <w:t>53.8</w:t>
            </w:r>
          </w:p>
        </w:tc>
        <w:tc>
          <w:tcPr>
            <w:tcW w:w="257" w:type="pct"/>
            <w:vAlign w:val="center"/>
          </w:tcPr>
          <w:p w14:paraId="5265ADDB">
            <w:pPr>
              <w:pStyle w:val="28"/>
              <w:bidi w:val="0"/>
            </w:pPr>
            <w:r>
              <w:t>0.7</w:t>
            </w:r>
          </w:p>
        </w:tc>
        <w:tc>
          <w:tcPr>
            <w:tcW w:w="209" w:type="pct"/>
            <w:vAlign w:val="center"/>
          </w:tcPr>
          <w:p w14:paraId="43333132">
            <w:pPr>
              <w:pStyle w:val="28"/>
              <w:bidi w:val="0"/>
            </w:pPr>
            <w:r>
              <w:t>达标</w:t>
            </w:r>
          </w:p>
        </w:tc>
      </w:tr>
      <w:tr w14:paraId="5D4CE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347EEDA">
            <w:pPr>
              <w:pStyle w:val="28"/>
              <w:bidi w:val="0"/>
            </w:pPr>
            <w:r>
              <w:rPr>
                <w:rFonts w:hint="eastAsia"/>
              </w:rPr>
              <w:t>张湾</w:t>
            </w:r>
          </w:p>
        </w:tc>
        <w:tc>
          <w:tcPr>
            <w:tcW w:w="511" w:type="pct"/>
            <w:vAlign w:val="center"/>
          </w:tcPr>
          <w:p w14:paraId="6AC78497">
            <w:pPr>
              <w:pStyle w:val="28"/>
              <w:bidi w:val="0"/>
            </w:pPr>
            <w:r>
              <w:rPr>
                <w:rFonts w:hint="eastAsia"/>
              </w:rPr>
              <w:t>渠道渠岸衬砌</w:t>
            </w:r>
          </w:p>
        </w:tc>
        <w:tc>
          <w:tcPr>
            <w:tcW w:w="366" w:type="pct"/>
            <w:vAlign w:val="center"/>
          </w:tcPr>
          <w:p w14:paraId="70FCDCB9">
            <w:pPr>
              <w:pStyle w:val="28"/>
              <w:bidi w:val="0"/>
            </w:pPr>
            <w:r>
              <w:t>10</w:t>
            </w:r>
          </w:p>
        </w:tc>
        <w:tc>
          <w:tcPr>
            <w:tcW w:w="268" w:type="pct"/>
            <w:vAlign w:val="center"/>
          </w:tcPr>
          <w:p w14:paraId="1BE108FB">
            <w:pPr>
              <w:pStyle w:val="28"/>
              <w:bidi w:val="0"/>
            </w:pPr>
            <w:r>
              <w:rPr>
                <w:rFonts w:hint="eastAsia"/>
              </w:rPr>
              <w:t>右岸</w:t>
            </w:r>
          </w:p>
        </w:tc>
        <w:tc>
          <w:tcPr>
            <w:tcW w:w="262" w:type="pct"/>
            <w:vAlign w:val="center"/>
          </w:tcPr>
          <w:p w14:paraId="4484482E">
            <w:pPr>
              <w:pStyle w:val="28"/>
              <w:bidi w:val="0"/>
            </w:pPr>
            <w:r>
              <w:t>1</w:t>
            </w:r>
            <w:r>
              <w:rPr>
                <w:rFonts w:hint="eastAsia"/>
              </w:rPr>
              <w:t>类</w:t>
            </w:r>
          </w:p>
        </w:tc>
        <w:tc>
          <w:tcPr>
            <w:tcW w:w="809" w:type="pct"/>
            <w:vMerge w:val="continue"/>
            <w:vAlign w:val="center"/>
          </w:tcPr>
          <w:p w14:paraId="55D620E0">
            <w:pPr>
              <w:pStyle w:val="28"/>
              <w:bidi w:val="0"/>
            </w:pPr>
          </w:p>
        </w:tc>
        <w:tc>
          <w:tcPr>
            <w:tcW w:w="208" w:type="pct"/>
            <w:vAlign w:val="center"/>
          </w:tcPr>
          <w:p w14:paraId="74B363A0">
            <w:pPr>
              <w:pStyle w:val="28"/>
              <w:bidi w:val="0"/>
            </w:pPr>
            <w:r>
              <w:t>53.1</w:t>
            </w:r>
          </w:p>
        </w:tc>
        <w:tc>
          <w:tcPr>
            <w:tcW w:w="211" w:type="pct"/>
            <w:vAlign w:val="center"/>
          </w:tcPr>
          <w:p w14:paraId="1686DACC">
            <w:pPr>
              <w:pStyle w:val="28"/>
              <w:bidi w:val="0"/>
            </w:pPr>
            <w:r>
              <w:t>43</w:t>
            </w:r>
          </w:p>
        </w:tc>
        <w:tc>
          <w:tcPr>
            <w:tcW w:w="208" w:type="pct"/>
            <w:vAlign w:val="center"/>
          </w:tcPr>
          <w:p w14:paraId="2FCA82A8">
            <w:pPr>
              <w:pStyle w:val="28"/>
              <w:bidi w:val="0"/>
            </w:pPr>
            <w:r>
              <w:t>55</w:t>
            </w:r>
          </w:p>
        </w:tc>
        <w:tc>
          <w:tcPr>
            <w:tcW w:w="211" w:type="pct"/>
            <w:vAlign w:val="center"/>
          </w:tcPr>
          <w:p w14:paraId="576C7786">
            <w:pPr>
              <w:pStyle w:val="28"/>
              <w:bidi w:val="0"/>
            </w:pPr>
            <w:r>
              <w:t>45</w:t>
            </w:r>
          </w:p>
        </w:tc>
        <w:tc>
          <w:tcPr>
            <w:tcW w:w="276" w:type="pct"/>
            <w:vAlign w:val="center"/>
          </w:tcPr>
          <w:p w14:paraId="1C44141B">
            <w:pPr>
              <w:pStyle w:val="28"/>
              <w:bidi w:val="0"/>
            </w:pPr>
            <w:r>
              <w:t>71.9</w:t>
            </w:r>
          </w:p>
        </w:tc>
        <w:tc>
          <w:tcPr>
            <w:tcW w:w="257" w:type="pct"/>
            <w:vAlign w:val="center"/>
          </w:tcPr>
          <w:p w14:paraId="723D6226">
            <w:pPr>
              <w:pStyle w:val="28"/>
              <w:bidi w:val="0"/>
            </w:pPr>
            <w:r>
              <w:t>46.9</w:t>
            </w:r>
          </w:p>
        </w:tc>
        <w:tc>
          <w:tcPr>
            <w:tcW w:w="257" w:type="pct"/>
            <w:vAlign w:val="center"/>
          </w:tcPr>
          <w:p w14:paraId="736C3CE5">
            <w:pPr>
              <w:pStyle w:val="28"/>
              <w:bidi w:val="0"/>
            </w:pPr>
            <w:r>
              <w:t>54.0</w:t>
            </w:r>
          </w:p>
        </w:tc>
        <w:tc>
          <w:tcPr>
            <w:tcW w:w="257" w:type="pct"/>
            <w:vAlign w:val="center"/>
          </w:tcPr>
          <w:p w14:paraId="10602FCA">
            <w:pPr>
              <w:pStyle w:val="28"/>
              <w:bidi w:val="0"/>
            </w:pPr>
            <w:r>
              <w:t>0.9</w:t>
            </w:r>
          </w:p>
        </w:tc>
        <w:tc>
          <w:tcPr>
            <w:tcW w:w="209" w:type="pct"/>
            <w:vAlign w:val="center"/>
          </w:tcPr>
          <w:p w14:paraId="5D70E01E">
            <w:pPr>
              <w:pStyle w:val="28"/>
              <w:bidi w:val="0"/>
            </w:pPr>
            <w:r>
              <w:t>达标</w:t>
            </w:r>
          </w:p>
        </w:tc>
      </w:tr>
      <w:tr w14:paraId="448B7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74CE55E">
            <w:pPr>
              <w:pStyle w:val="28"/>
              <w:bidi w:val="0"/>
            </w:pPr>
            <w:r>
              <w:rPr>
                <w:rFonts w:hint="eastAsia"/>
              </w:rPr>
              <w:t>朱庄</w:t>
            </w:r>
          </w:p>
        </w:tc>
        <w:tc>
          <w:tcPr>
            <w:tcW w:w="511" w:type="pct"/>
            <w:vAlign w:val="center"/>
          </w:tcPr>
          <w:p w14:paraId="59E62FDB">
            <w:pPr>
              <w:pStyle w:val="28"/>
              <w:bidi w:val="0"/>
            </w:pPr>
            <w:r>
              <w:rPr>
                <w:rFonts w:hint="eastAsia"/>
              </w:rPr>
              <w:t>节制闸</w:t>
            </w:r>
          </w:p>
        </w:tc>
        <w:tc>
          <w:tcPr>
            <w:tcW w:w="366" w:type="pct"/>
            <w:vAlign w:val="center"/>
          </w:tcPr>
          <w:p w14:paraId="5533EAC9">
            <w:pPr>
              <w:pStyle w:val="28"/>
              <w:bidi w:val="0"/>
            </w:pPr>
            <w:r>
              <w:t>25</w:t>
            </w:r>
          </w:p>
        </w:tc>
        <w:tc>
          <w:tcPr>
            <w:tcW w:w="268" w:type="pct"/>
            <w:vAlign w:val="center"/>
          </w:tcPr>
          <w:p w14:paraId="1DA8929A">
            <w:pPr>
              <w:pStyle w:val="28"/>
              <w:bidi w:val="0"/>
            </w:pPr>
            <w:r>
              <w:rPr>
                <w:rFonts w:hint="eastAsia"/>
              </w:rPr>
              <w:t>左岸</w:t>
            </w:r>
          </w:p>
        </w:tc>
        <w:tc>
          <w:tcPr>
            <w:tcW w:w="262" w:type="pct"/>
            <w:vAlign w:val="center"/>
          </w:tcPr>
          <w:p w14:paraId="00144004">
            <w:pPr>
              <w:pStyle w:val="28"/>
              <w:bidi w:val="0"/>
            </w:pPr>
            <w:r>
              <w:t>1</w:t>
            </w:r>
            <w:r>
              <w:rPr>
                <w:rFonts w:hint="eastAsia"/>
              </w:rPr>
              <w:t>类</w:t>
            </w:r>
          </w:p>
        </w:tc>
        <w:tc>
          <w:tcPr>
            <w:tcW w:w="809" w:type="pct"/>
            <w:vMerge w:val="continue"/>
            <w:vAlign w:val="center"/>
          </w:tcPr>
          <w:p w14:paraId="3C6977A1">
            <w:pPr>
              <w:pStyle w:val="28"/>
              <w:bidi w:val="0"/>
            </w:pPr>
          </w:p>
        </w:tc>
        <w:tc>
          <w:tcPr>
            <w:tcW w:w="208" w:type="pct"/>
            <w:vAlign w:val="center"/>
          </w:tcPr>
          <w:p w14:paraId="448F60CA">
            <w:pPr>
              <w:pStyle w:val="28"/>
              <w:bidi w:val="0"/>
            </w:pPr>
            <w:r>
              <w:t>53.1</w:t>
            </w:r>
          </w:p>
        </w:tc>
        <w:tc>
          <w:tcPr>
            <w:tcW w:w="211" w:type="pct"/>
            <w:vAlign w:val="center"/>
          </w:tcPr>
          <w:p w14:paraId="0075F62D">
            <w:pPr>
              <w:pStyle w:val="28"/>
              <w:bidi w:val="0"/>
            </w:pPr>
            <w:r>
              <w:t>43</w:t>
            </w:r>
          </w:p>
        </w:tc>
        <w:tc>
          <w:tcPr>
            <w:tcW w:w="208" w:type="pct"/>
            <w:vAlign w:val="center"/>
          </w:tcPr>
          <w:p w14:paraId="6F404F91">
            <w:pPr>
              <w:pStyle w:val="28"/>
              <w:bidi w:val="0"/>
            </w:pPr>
            <w:r>
              <w:t>55</w:t>
            </w:r>
          </w:p>
        </w:tc>
        <w:tc>
          <w:tcPr>
            <w:tcW w:w="211" w:type="pct"/>
            <w:vAlign w:val="center"/>
          </w:tcPr>
          <w:p w14:paraId="0F1D1B51">
            <w:pPr>
              <w:pStyle w:val="28"/>
              <w:bidi w:val="0"/>
            </w:pPr>
            <w:r>
              <w:t>45</w:t>
            </w:r>
          </w:p>
        </w:tc>
        <w:tc>
          <w:tcPr>
            <w:tcW w:w="276" w:type="pct"/>
            <w:vAlign w:val="center"/>
          </w:tcPr>
          <w:p w14:paraId="7CF64364">
            <w:pPr>
              <w:pStyle w:val="28"/>
              <w:bidi w:val="0"/>
            </w:pPr>
            <w:r>
              <w:t>65.3</w:t>
            </w:r>
          </w:p>
        </w:tc>
        <w:tc>
          <w:tcPr>
            <w:tcW w:w="257" w:type="pct"/>
            <w:vAlign w:val="center"/>
          </w:tcPr>
          <w:p w14:paraId="6C0771D8">
            <w:pPr>
              <w:pStyle w:val="28"/>
              <w:bidi w:val="0"/>
            </w:pPr>
            <w:r>
              <w:t>45.3</w:t>
            </w:r>
          </w:p>
        </w:tc>
        <w:tc>
          <w:tcPr>
            <w:tcW w:w="257" w:type="pct"/>
            <w:vAlign w:val="center"/>
          </w:tcPr>
          <w:p w14:paraId="6D3A8C1A">
            <w:pPr>
              <w:pStyle w:val="28"/>
              <w:bidi w:val="0"/>
            </w:pPr>
            <w:r>
              <w:t>53.8</w:t>
            </w:r>
          </w:p>
        </w:tc>
        <w:tc>
          <w:tcPr>
            <w:tcW w:w="257" w:type="pct"/>
            <w:vAlign w:val="center"/>
          </w:tcPr>
          <w:p w14:paraId="1A5FE43E">
            <w:pPr>
              <w:pStyle w:val="28"/>
              <w:bidi w:val="0"/>
            </w:pPr>
            <w:r>
              <w:t>0.7</w:t>
            </w:r>
          </w:p>
        </w:tc>
        <w:tc>
          <w:tcPr>
            <w:tcW w:w="209" w:type="pct"/>
            <w:vAlign w:val="center"/>
          </w:tcPr>
          <w:p w14:paraId="39751B98">
            <w:pPr>
              <w:pStyle w:val="28"/>
              <w:bidi w:val="0"/>
            </w:pPr>
            <w:r>
              <w:t>达标</w:t>
            </w:r>
          </w:p>
        </w:tc>
      </w:tr>
      <w:tr w14:paraId="1CE40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1EBEF23">
            <w:pPr>
              <w:pStyle w:val="28"/>
              <w:bidi w:val="0"/>
            </w:pPr>
            <w:r>
              <w:rPr>
                <w:rFonts w:hint="eastAsia"/>
              </w:rPr>
              <w:t>三十六石</w:t>
            </w:r>
          </w:p>
        </w:tc>
        <w:tc>
          <w:tcPr>
            <w:tcW w:w="511" w:type="pct"/>
            <w:vAlign w:val="center"/>
          </w:tcPr>
          <w:p w14:paraId="7BA04158">
            <w:pPr>
              <w:pStyle w:val="28"/>
              <w:bidi w:val="0"/>
            </w:pPr>
            <w:r>
              <w:rPr>
                <w:rFonts w:hint="eastAsia"/>
              </w:rPr>
              <w:t>渠道整治</w:t>
            </w:r>
          </w:p>
        </w:tc>
        <w:tc>
          <w:tcPr>
            <w:tcW w:w="366" w:type="pct"/>
            <w:vAlign w:val="center"/>
          </w:tcPr>
          <w:p w14:paraId="3B7EF343">
            <w:pPr>
              <w:pStyle w:val="28"/>
              <w:bidi w:val="0"/>
            </w:pPr>
            <w:r>
              <w:t>15</w:t>
            </w:r>
          </w:p>
        </w:tc>
        <w:tc>
          <w:tcPr>
            <w:tcW w:w="268" w:type="pct"/>
            <w:vAlign w:val="center"/>
          </w:tcPr>
          <w:p w14:paraId="229EECF7">
            <w:pPr>
              <w:pStyle w:val="28"/>
              <w:bidi w:val="0"/>
            </w:pPr>
            <w:r>
              <w:rPr>
                <w:rFonts w:hint="eastAsia"/>
              </w:rPr>
              <w:t>右岸</w:t>
            </w:r>
          </w:p>
        </w:tc>
        <w:tc>
          <w:tcPr>
            <w:tcW w:w="262" w:type="pct"/>
            <w:vAlign w:val="center"/>
          </w:tcPr>
          <w:p w14:paraId="6C051C1A">
            <w:pPr>
              <w:pStyle w:val="28"/>
              <w:bidi w:val="0"/>
            </w:pPr>
            <w:r>
              <w:t>1</w:t>
            </w:r>
            <w:r>
              <w:rPr>
                <w:rFonts w:hint="eastAsia"/>
              </w:rPr>
              <w:t>类</w:t>
            </w:r>
          </w:p>
        </w:tc>
        <w:tc>
          <w:tcPr>
            <w:tcW w:w="809" w:type="pct"/>
            <w:vMerge w:val="continue"/>
            <w:vAlign w:val="center"/>
          </w:tcPr>
          <w:p w14:paraId="721E584B">
            <w:pPr>
              <w:pStyle w:val="28"/>
              <w:bidi w:val="0"/>
            </w:pPr>
          </w:p>
        </w:tc>
        <w:tc>
          <w:tcPr>
            <w:tcW w:w="208" w:type="pct"/>
            <w:vAlign w:val="center"/>
          </w:tcPr>
          <w:p w14:paraId="65F06662">
            <w:pPr>
              <w:pStyle w:val="28"/>
              <w:bidi w:val="0"/>
            </w:pPr>
            <w:r>
              <w:t>53.1</w:t>
            </w:r>
          </w:p>
        </w:tc>
        <w:tc>
          <w:tcPr>
            <w:tcW w:w="211" w:type="pct"/>
            <w:vAlign w:val="center"/>
          </w:tcPr>
          <w:p w14:paraId="76913FB5">
            <w:pPr>
              <w:pStyle w:val="28"/>
              <w:bidi w:val="0"/>
            </w:pPr>
            <w:r>
              <w:t>43</w:t>
            </w:r>
          </w:p>
        </w:tc>
        <w:tc>
          <w:tcPr>
            <w:tcW w:w="208" w:type="pct"/>
            <w:vAlign w:val="center"/>
          </w:tcPr>
          <w:p w14:paraId="3DD5D4FE">
            <w:pPr>
              <w:pStyle w:val="28"/>
              <w:bidi w:val="0"/>
            </w:pPr>
            <w:r>
              <w:t>55</w:t>
            </w:r>
          </w:p>
        </w:tc>
        <w:tc>
          <w:tcPr>
            <w:tcW w:w="211" w:type="pct"/>
            <w:vAlign w:val="center"/>
          </w:tcPr>
          <w:p w14:paraId="29B4269D">
            <w:pPr>
              <w:pStyle w:val="28"/>
              <w:bidi w:val="0"/>
            </w:pPr>
            <w:r>
              <w:t>45</w:t>
            </w:r>
          </w:p>
        </w:tc>
        <w:tc>
          <w:tcPr>
            <w:tcW w:w="276" w:type="pct"/>
            <w:vAlign w:val="center"/>
          </w:tcPr>
          <w:p w14:paraId="521F8503">
            <w:pPr>
              <w:pStyle w:val="28"/>
              <w:bidi w:val="0"/>
            </w:pPr>
            <w:r>
              <w:t>68.3</w:t>
            </w:r>
          </w:p>
        </w:tc>
        <w:tc>
          <w:tcPr>
            <w:tcW w:w="257" w:type="pct"/>
            <w:vAlign w:val="center"/>
          </w:tcPr>
          <w:p w14:paraId="4E0F5285">
            <w:pPr>
              <w:pStyle w:val="28"/>
              <w:bidi w:val="0"/>
            </w:pPr>
            <w:r>
              <w:t>48.3</w:t>
            </w:r>
          </w:p>
        </w:tc>
        <w:tc>
          <w:tcPr>
            <w:tcW w:w="257" w:type="pct"/>
            <w:vAlign w:val="center"/>
          </w:tcPr>
          <w:p w14:paraId="7E948D3C">
            <w:pPr>
              <w:pStyle w:val="28"/>
              <w:bidi w:val="0"/>
            </w:pPr>
            <w:r>
              <w:t>54.4</w:t>
            </w:r>
          </w:p>
        </w:tc>
        <w:tc>
          <w:tcPr>
            <w:tcW w:w="257" w:type="pct"/>
            <w:vAlign w:val="center"/>
          </w:tcPr>
          <w:p w14:paraId="7464BB92">
            <w:pPr>
              <w:pStyle w:val="28"/>
              <w:bidi w:val="0"/>
            </w:pPr>
            <w:r>
              <w:t>1.3</w:t>
            </w:r>
          </w:p>
        </w:tc>
        <w:tc>
          <w:tcPr>
            <w:tcW w:w="209" w:type="pct"/>
            <w:vAlign w:val="center"/>
          </w:tcPr>
          <w:p w14:paraId="73297A7B">
            <w:pPr>
              <w:pStyle w:val="28"/>
              <w:bidi w:val="0"/>
            </w:pPr>
            <w:r>
              <w:t>达标</w:t>
            </w:r>
          </w:p>
        </w:tc>
      </w:tr>
      <w:tr w14:paraId="27E35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0F03A22">
            <w:pPr>
              <w:pStyle w:val="28"/>
              <w:bidi w:val="0"/>
            </w:pPr>
            <w:r>
              <w:rPr>
                <w:rFonts w:hint="eastAsia"/>
              </w:rPr>
              <w:t>皂岭村</w:t>
            </w:r>
          </w:p>
        </w:tc>
        <w:tc>
          <w:tcPr>
            <w:tcW w:w="511" w:type="pct"/>
            <w:vAlign w:val="center"/>
          </w:tcPr>
          <w:p w14:paraId="7F501E5C">
            <w:pPr>
              <w:pStyle w:val="28"/>
              <w:bidi w:val="0"/>
            </w:pPr>
            <w:r>
              <w:rPr>
                <w:rFonts w:hint="eastAsia"/>
              </w:rPr>
              <w:t>节制闸拆除重建</w:t>
            </w:r>
          </w:p>
        </w:tc>
        <w:tc>
          <w:tcPr>
            <w:tcW w:w="366" w:type="pct"/>
            <w:vAlign w:val="center"/>
          </w:tcPr>
          <w:p w14:paraId="393082D6">
            <w:pPr>
              <w:pStyle w:val="28"/>
              <w:bidi w:val="0"/>
            </w:pPr>
            <w:r>
              <w:t>15</w:t>
            </w:r>
          </w:p>
        </w:tc>
        <w:tc>
          <w:tcPr>
            <w:tcW w:w="268" w:type="pct"/>
            <w:vAlign w:val="center"/>
          </w:tcPr>
          <w:p w14:paraId="70309FDB">
            <w:pPr>
              <w:pStyle w:val="28"/>
              <w:bidi w:val="0"/>
            </w:pPr>
            <w:r>
              <w:rPr>
                <w:rFonts w:hint="eastAsia"/>
              </w:rPr>
              <w:t>右岸</w:t>
            </w:r>
          </w:p>
        </w:tc>
        <w:tc>
          <w:tcPr>
            <w:tcW w:w="262" w:type="pct"/>
            <w:vAlign w:val="center"/>
          </w:tcPr>
          <w:p w14:paraId="4DC35676">
            <w:pPr>
              <w:pStyle w:val="28"/>
              <w:bidi w:val="0"/>
            </w:pPr>
            <w:r>
              <w:t>1</w:t>
            </w:r>
            <w:r>
              <w:rPr>
                <w:rFonts w:hint="eastAsia"/>
              </w:rPr>
              <w:t>类</w:t>
            </w:r>
          </w:p>
        </w:tc>
        <w:tc>
          <w:tcPr>
            <w:tcW w:w="809" w:type="pct"/>
            <w:vMerge w:val="continue"/>
            <w:vAlign w:val="center"/>
          </w:tcPr>
          <w:p w14:paraId="4FC265C8">
            <w:pPr>
              <w:pStyle w:val="28"/>
              <w:bidi w:val="0"/>
            </w:pPr>
          </w:p>
        </w:tc>
        <w:tc>
          <w:tcPr>
            <w:tcW w:w="208" w:type="pct"/>
            <w:vAlign w:val="center"/>
          </w:tcPr>
          <w:p w14:paraId="73C4FB0A">
            <w:pPr>
              <w:pStyle w:val="28"/>
              <w:bidi w:val="0"/>
            </w:pPr>
            <w:r>
              <w:t>53.1</w:t>
            </w:r>
          </w:p>
        </w:tc>
        <w:tc>
          <w:tcPr>
            <w:tcW w:w="211" w:type="pct"/>
            <w:vAlign w:val="center"/>
          </w:tcPr>
          <w:p w14:paraId="23CA57CC">
            <w:pPr>
              <w:pStyle w:val="28"/>
              <w:bidi w:val="0"/>
            </w:pPr>
            <w:r>
              <w:t>43</w:t>
            </w:r>
          </w:p>
        </w:tc>
        <w:tc>
          <w:tcPr>
            <w:tcW w:w="208" w:type="pct"/>
            <w:vAlign w:val="center"/>
          </w:tcPr>
          <w:p w14:paraId="404ED48A">
            <w:pPr>
              <w:pStyle w:val="28"/>
              <w:bidi w:val="0"/>
            </w:pPr>
            <w:r>
              <w:t>55</w:t>
            </w:r>
          </w:p>
        </w:tc>
        <w:tc>
          <w:tcPr>
            <w:tcW w:w="211" w:type="pct"/>
            <w:vAlign w:val="center"/>
          </w:tcPr>
          <w:p w14:paraId="55DA13C9">
            <w:pPr>
              <w:pStyle w:val="28"/>
              <w:bidi w:val="0"/>
            </w:pPr>
            <w:r>
              <w:t>45</w:t>
            </w:r>
          </w:p>
        </w:tc>
        <w:tc>
          <w:tcPr>
            <w:tcW w:w="276" w:type="pct"/>
            <w:vAlign w:val="center"/>
          </w:tcPr>
          <w:p w14:paraId="26579FFD">
            <w:pPr>
              <w:pStyle w:val="28"/>
              <w:bidi w:val="0"/>
            </w:pPr>
            <w:r>
              <w:t>69.7</w:t>
            </w:r>
          </w:p>
        </w:tc>
        <w:tc>
          <w:tcPr>
            <w:tcW w:w="257" w:type="pct"/>
            <w:vAlign w:val="center"/>
          </w:tcPr>
          <w:p w14:paraId="2CB82A98">
            <w:pPr>
              <w:pStyle w:val="28"/>
              <w:bidi w:val="0"/>
            </w:pPr>
            <w:r>
              <w:t>49.7</w:t>
            </w:r>
          </w:p>
        </w:tc>
        <w:tc>
          <w:tcPr>
            <w:tcW w:w="257" w:type="pct"/>
            <w:vAlign w:val="center"/>
          </w:tcPr>
          <w:p w14:paraId="24986608">
            <w:pPr>
              <w:pStyle w:val="28"/>
              <w:bidi w:val="0"/>
            </w:pPr>
            <w:r>
              <w:t>54.7</w:t>
            </w:r>
          </w:p>
        </w:tc>
        <w:tc>
          <w:tcPr>
            <w:tcW w:w="257" w:type="pct"/>
            <w:vAlign w:val="center"/>
          </w:tcPr>
          <w:p w14:paraId="375BFA97">
            <w:pPr>
              <w:pStyle w:val="28"/>
              <w:bidi w:val="0"/>
            </w:pPr>
            <w:r>
              <w:t>1.6</w:t>
            </w:r>
          </w:p>
        </w:tc>
        <w:tc>
          <w:tcPr>
            <w:tcW w:w="209" w:type="pct"/>
            <w:vAlign w:val="center"/>
          </w:tcPr>
          <w:p w14:paraId="0398A00C">
            <w:pPr>
              <w:pStyle w:val="28"/>
              <w:bidi w:val="0"/>
            </w:pPr>
            <w:r>
              <w:t>达标</w:t>
            </w:r>
          </w:p>
        </w:tc>
      </w:tr>
      <w:tr w14:paraId="07BF921C">
        <w:tblPrEx>
          <w:tblCellMar>
            <w:top w:w="0" w:type="dxa"/>
            <w:left w:w="108" w:type="dxa"/>
            <w:bottom w:w="0" w:type="dxa"/>
            <w:right w:w="108" w:type="dxa"/>
          </w:tblCellMar>
        </w:tblPrEx>
        <w:trPr>
          <w:trHeight w:val="340" w:hRule="atLeast"/>
          <w:jc w:val="center"/>
        </w:trPr>
        <w:tc>
          <w:tcPr>
            <w:tcW w:w="685" w:type="pct"/>
            <w:vAlign w:val="center"/>
          </w:tcPr>
          <w:p w14:paraId="2E91F4E3">
            <w:pPr>
              <w:pStyle w:val="28"/>
              <w:bidi w:val="0"/>
            </w:pPr>
            <w:r>
              <w:rPr>
                <w:rFonts w:hint="eastAsia"/>
              </w:rPr>
              <w:t>茶园</w:t>
            </w:r>
          </w:p>
        </w:tc>
        <w:tc>
          <w:tcPr>
            <w:tcW w:w="511" w:type="pct"/>
            <w:vAlign w:val="center"/>
          </w:tcPr>
          <w:p w14:paraId="4B16560B">
            <w:pPr>
              <w:pStyle w:val="28"/>
              <w:bidi w:val="0"/>
            </w:pPr>
            <w:r>
              <w:rPr>
                <w:rFonts w:hint="eastAsia"/>
              </w:rPr>
              <w:t>节制闸拆除重建</w:t>
            </w:r>
          </w:p>
        </w:tc>
        <w:tc>
          <w:tcPr>
            <w:tcW w:w="366" w:type="pct"/>
            <w:vAlign w:val="center"/>
          </w:tcPr>
          <w:p w14:paraId="3358E425">
            <w:pPr>
              <w:pStyle w:val="28"/>
              <w:bidi w:val="0"/>
            </w:pPr>
            <w:r>
              <w:t>20</w:t>
            </w:r>
          </w:p>
        </w:tc>
        <w:tc>
          <w:tcPr>
            <w:tcW w:w="268" w:type="pct"/>
            <w:vAlign w:val="center"/>
          </w:tcPr>
          <w:p w14:paraId="3CE4BDC9">
            <w:pPr>
              <w:pStyle w:val="28"/>
              <w:bidi w:val="0"/>
            </w:pPr>
            <w:r>
              <w:rPr>
                <w:rFonts w:hint="eastAsia"/>
              </w:rPr>
              <w:t>右岸</w:t>
            </w:r>
          </w:p>
        </w:tc>
        <w:tc>
          <w:tcPr>
            <w:tcW w:w="262" w:type="pct"/>
            <w:vAlign w:val="center"/>
          </w:tcPr>
          <w:p w14:paraId="55EC2FA8">
            <w:pPr>
              <w:pStyle w:val="28"/>
              <w:bidi w:val="0"/>
            </w:pPr>
            <w:r>
              <w:t>1</w:t>
            </w:r>
            <w:r>
              <w:rPr>
                <w:rFonts w:hint="eastAsia"/>
              </w:rPr>
              <w:t>类</w:t>
            </w:r>
          </w:p>
        </w:tc>
        <w:tc>
          <w:tcPr>
            <w:tcW w:w="809" w:type="pct"/>
            <w:vMerge w:val="continue"/>
            <w:vAlign w:val="center"/>
          </w:tcPr>
          <w:p w14:paraId="0B4A8DBA">
            <w:pPr>
              <w:pStyle w:val="28"/>
              <w:bidi w:val="0"/>
            </w:pPr>
          </w:p>
        </w:tc>
        <w:tc>
          <w:tcPr>
            <w:tcW w:w="208" w:type="pct"/>
            <w:vAlign w:val="center"/>
          </w:tcPr>
          <w:p w14:paraId="6F904DE0">
            <w:pPr>
              <w:pStyle w:val="28"/>
              <w:bidi w:val="0"/>
            </w:pPr>
            <w:r>
              <w:t>53.1</w:t>
            </w:r>
          </w:p>
        </w:tc>
        <w:tc>
          <w:tcPr>
            <w:tcW w:w="211" w:type="pct"/>
            <w:vAlign w:val="center"/>
          </w:tcPr>
          <w:p w14:paraId="16621C99">
            <w:pPr>
              <w:pStyle w:val="28"/>
              <w:bidi w:val="0"/>
            </w:pPr>
            <w:r>
              <w:t>43</w:t>
            </w:r>
          </w:p>
        </w:tc>
        <w:tc>
          <w:tcPr>
            <w:tcW w:w="208" w:type="pct"/>
            <w:vAlign w:val="center"/>
          </w:tcPr>
          <w:p w14:paraId="5333C5F6">
            <w:pPr>
              <w:pStyle w:val="28"/>
              <w:bidi w:val="0"/>
            </w:pPr>
            <w:r>
              <w:t>55</w:t>
            </w:r>
          </w:p>
        </w:tc>
        <w:tc>
          <w:tcPr>
            <w:tcW w:w="211" w:type="pct"/>
            <w:vAlign w:val="center"/>
          </w:tcPr>
          <w:p w14:paraId="5527ECCA">
            <w:pPr>
              <w:pStyle w:val="28"/>
              <w:bidi w:val="0"/>
            </w:pPr>
            <w:r>
              <w:t>45</w:t>
            </w:r>
          </w:p>
        </w:tc>
        <w:tc>
          <w:tcPr>
            <w:tcW w:w="276" w:type="pct"/>
            <w:vAlign w:val="center"/>
          </w:tcPr>
          <w:p w14:paraId="24671D7C">
            <w:pPr>
              <w:pStyle w:val="28"/>
              <w:bidi w:val="0"/>
            </w:pPr>
            <w:r>
              <w:t>67.2</w:t>
            </w:r>
          </w:p>
        </w:tc>
        <w:tc>
          <w:tcPr>
            <w:tcW w:w="257" w:type="pct"/>
            <w:vAlign w:val="center"/>
          </w:tcPr>
          <w:p w14:paraId="3038D063">
            <w:pPr>
              <w:pStyle w:val="28"/>
              <w:bidi w:val="0"/>
            </w:pPr>
            <w:r>
              <w:t>47.2</w:t>
            </w:r>
          </w:p>
        </w:tc>
        <w:tc>
          <w:tcPr>
            <w:tcW w:w="257" w:type="pct"/>
            <w:vAlign w:val="center"/>
          </w:tcPr>
          <w:p w14:paraId="465911BE">
            <w:pPr>
              <w:pStyle w:val="28"/>
              <w:bidi w:val="0"/>
            </w:pPr>
            <w:r>
              <w:t>54.1</w:t>
            </w:r>
          </w:p>
        </w:tc>
        <w:tc>
          <w:tcPr>
            <w:tcW w:w="257" w:type="pct"/>
            <w:vAlign w:val="center"/>
          </w:tcPr>
          <w:p w14:paraId="47FE159B">
            <w:pPr>
              <w:pStyle w:val="28"/>
              <w:bidi w:val="0"/>
            </w:pPr>
            <w:r>
              <w:t>1.0</w:t>
            </w:r>
          </w:p>
        </w:tc>
        <w:tc>
          <w:tcPr>
            <w:tcW w:w="209" w:type="pct"/>
            <w:vAlign w:val="center"/>
          </w:tcPr>
          <w:p w14:paraId="4C66E78A">
            <w:pPr>
              <w:pStyle w:val="28"/>
              <w:bidi w:val="0"/>
            </w:pPr>
            <w:r>
              <w:t>达标</w:t>
            </w:r>
          </w:p>
        </w:tc>
      </w:tr>
      <w:tr w14:paraId="0DFDE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F6FAE91">
            <w:pPr>
              <w:pStyle w:val="28"/>
              <w:bidi w:val="0"/>
            </w:pPr>
            <w:r>
              <w:rPr>
                <w:rFonts w:hint="eastAsia"/>
              </w:rPr>
              <w:t>圣家老庄</w:t>
            </w:r>
          </w:p>
        </w:tc>
        <w:tc>
          <w:tcPr>
            <w:tcW w:w="511" w:type="pct"/>
            <w:vAlign w:val="center"/>
          </w:tcPr>
          <w:p w14:paraId="6EBDE0D9">
            <w:pPr>
              <w:pStyle w:val="28"/>
              <w:bidi w:val="0"/>
            </w:pPr>
            <w:r>
              <w:rPr>
                <w:rFonts w:hint="eastAsia"/>
              </w:rPr>
              <w:t>节制闸拆除重建</w:t>
            </w:r>
          </w:p>
        </w:tc>
        <w:tc>
          <w:tcPr>
            <w:tcW w:w="366" w:type="pct"/>
            <w:vAlign w:val="center"/>
          </w:tcPr>
          <w:p w14:paraId="09085C05">
            <w:pPr>
              <w:pStyle w:val="28"/>
              <w:bidi w:val="0"/>
            </w:pPr>
            <w:r>
              <w:t>50</w:t>
            </w:r>
          </w:p>
        </w:tc>
        <w:tc>
          <w:tcPr>
            <w:tcW w:w="268" w:type="pct"/>
            <w:vAlign w:val="center"/>
          </w:tcPr>
          <w:p w14:paraId="52CED46C">
            <w:pPr>
              <w:pStyle w:val="28"/>
              <w:bidi w:val="0"/>
            </w:pPr>
            <w:r>
              <w:rPr>
                <w:rFonts w:hint="eastAsia"/>
              </w:rPr>
              <w:t>左岸</w:t>
            </w:r>
          </w:p>
        </w:tc>
        <w:tc>
          <w:tcPr>
            <w:tcW w:w="262" w:type="pct"/>
            <w:vAlign w:val="center"/>
          </w:tcPr>
          <w:p w14:paraId="0A357144">
            <w:pPr>
              <w:pStyle w:val="28"/>
              <w:bidi w:val="0"/>
            </w:pPr>
            <w:r>
              <w:t>1</w:t>
            </w:r>
            <w:r>
              <w:rPr>
                <w:rFonts w:hint="eastAsia"/>
              </w:rPr>
              <w:t>类</w:t>
            </w:r>
          </w:p>
        </w:tc>
        <w:tc>
          <w:tcPr>
            <w:tcW w:w="809" w:type="pct"/>
            <w:vMerge w:val="continue"/>
            <w:vAlign w:val="center"/>
          </w:tcPr>
          <w:p w14:paraId="4A76F90A">
            <w:pPr>
              <w:pStyle w:val="28"/>
              <w:bidi w:val="0"/>
            </w:pPr>
          </w:p>
        </w:tc>
        <w:tc>
          <w:tcPr>
            <w:tcW w:w="208" w:type="pct"/>
            <w:vAlign w:val="center"/>
          </w:tcPr>
          <w:p w14:paraId="0B7F01B6">
            <w:pPr>
              <w:pStyle w:val="28"/>
              <w:bidi w:val="0"/>
            </w:pPr>
            <w:r>
              <w:t>53.1</w:t>
            </w:r>
          </w:p>
        </w:tc>
        <w:tc>
          <w:tcPr>
            <w:tcW w:w="211" w:type="pct"/>
            <w:vAlign w:val="center"/>
          </w:tcPr>
          <w:p w14:paraId="197ACFB2">
            <w:pPr>
              <w:pStyle w:val="28"/>
              <w:bidi w:val="0"/>
            </w:pPr>
            <w:r>
              <w:t>43</w:t>
            </w:r>
          </w:p>
        </w:tc>
        <w:tc>
          <w:tcPr>
            <w:tcW w:w="208" w:type="pct"/>
            <w:vAlign w:val="center"/>
          </w:tcPr>
          <w:p w14:paraId="202D46BE">
            <w:pPr>
              <w:pStyle w:val="28"/>
              <w:bidi w:val="0"/>
            </w:pPr>
            <w:r>
              <w:t>55</w:t>
            </w:r>
          </w:p>
        </w:tc>
        <w:tc>
          <w:tcPr>
            <w:tcW w:w="211" w:type="pct"/>
            <w:vAlign w:val="center"/>
          </w:tcPr>
          <w:p w14:paraId="30CA4902">
            <w:pPr>
              <w:pStyle w:val="28"/>
              <w:bidi w:val="0"/>
            </w:pPr>
            <w:r>
              <w:t>45</w:t>
            </w:r>
          </w:p>
        </w:tc>
        <w:tc>
          <w:tcPr>
            <w:tcW w:w="276" w:type="pct"/>
            <w:vAlign w:val="center"/>
          </w:tcPr>
          <w:p w14:paraId="40B849A6">
            <w:pPr>
              <w:pStyle w:val="28"/>
              <w:bidi w:val="0"/>
            </w:pPr>
            <w:r>
              <w:t>59.2</w:t>
            </w:r>
          </w:p>
        </w:tc>
        <w:tc>
          <w:tcPr>
            <w:tcW w:w="257" w:type="pct"/>
            <w:vAlign w:val="center"/>
          </w:tcPr>
          <w:p w14:paraId="53BAA377">
            <w:pPr>
              <w:pStyle w:val="28"/>
              <w:bidi w:val="0"/>
            </w:pPr>
            <w:r>
              <w:t>39.2</w:t>
            </w:r>
          </w:p>
        </w:tc>
        <w:tc>
          <w:tcPr>
            <w:tcW w:w="257" w:type="pct"/>
            <w:vAlign w:val="center"/>
          </w:tcPr>
          <w:p w14:paraId="36A6D18B">
            <w:pPr>
              <w:pStyle w:val="28"/>
              <w:bidi w:val="0"/>
            </w:pPr>
            <w:r>
              <w:t>53.3</w:t>
            </w:r>
          </w:p>
        </w:tc>
        <w:tc>
          <w:tcPr>
            <w:tcW w:w="257" w:type="pct"/>
            <w:vAlign w:val="center"/>
          </w:tcPr>
          <w:p w14:paraId="6D4F7F96">
            <w:pPr>
              <w:pStyle w:val="28"/>
              <w:bidi w:val="0"/>
            </w:pPr>
            <w:r>
              <w:t>0.2</w:t>
            </w:r>
          </w:p>
        </w:tc>
        <w:tc>
          <w:tcPr>
            <w:tcW w:w="209" w:type="pct"/>
            <w:vAlign w:val="center"/>
          </w:tcPr>
          <w:p w14:paraId="4A7A392B">
            <w:pPr>
              <w:pStyle w:val="28"/>
              <w:bidi w:val="0"/>
            </w:pPr>
            <w:r>
              <w:t>达标</w:t>
            </w:r>
          </w:p>
        </w:tc>
      </w:tr>
      <w:tr w14:paraId="1C902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2928BE6">
            <w:pPr>
              <w:pStyle w:val="28"/>
              <w:bidi w:val="0"/>
            </w:pPr>
            <w:r>
              <w:rPr>
                <w:rFonts w:hint="eastAsia"/>
              </w:rPr>
              <w:t>马小院</w:t>
            </w:r>
          </w:p>
        </w:tc>
        <w:tc>
          <w:tcPr>
            <w:tcW w:w="511" w:type="pct"/>
            <w:vAlign w:val="center"/>
          </w:tcPr>
          <w:p w14:paraId="0CB7F524">
            <w:pPr>
              <w:pStyle w:val="28"/>
              <w:bidi w:val="0"/>
            </w:pPr>
            <w:r>
              <w:rPr>
                <w:rFonts w:hint="eastAsia"/>
              </w:rPr>
              <w:t>渠道渠岸衬砌</w:t>
            </w:r>
          </w:p>
        </w:tc>
        <w:tc>
          <w:tcPr>
            <w:tcW w:w="366" w:type="pct"/>
            <w:vAlign w:val="center"/>
          </w:tcPr>
          <w:p w14:paraId="75B9DF83">
            <w:pPr>
              <w:pStyle w:val="28"/>
              <w:bidi w:val="0"/>
            </w:pPr>
            <w:r>
              <w:t>35</w:t>
            </w:r>
          </w:p>
        </w:tc>
        <w:tc>
          <w:tcPr>
            <w:tcW w:w="268" w:type="pct"/>
            <w:vAlign w:val="center"/>
          </w:tcPr>
          <w:p w14:paraId="01C1B1B4">
            <w:pPr>
              <w:pStyle w:val="28"/>
              <w:bidi w:val="0"/>
            </w:pPr>
            <w:r>
              <w:rPr>
                <w:rFonts w:hint="eastAsia"/>
              </w:rPr>
              <w:t>左岸</w:t>
            </w:r>
          </w:p>
        </w:tc>
        <w:tc>
          <w:tcPr>
            <w:tcW w:w="262" w:type="pct"/>
            <w:vAlign w:val="center"/>
          </w:tcPr>
          <w:p w14:paraId="3F35F32A">
            <w:pPr>
              <w:pStyle w:val="28"/>
              <w:bidi w:val="0"/>
            </w:pPr>
            <w:r>
              <w:t>1</w:t>
            </w:r>
            <w:r>
              <w:rPr>
                <w:rFonts w:hint="eastAsia"/>
              </w:rPr>
              <w:t>类</w:t>
            </w:r>
          </w:p>
        </w:tc>
        <w:tc>
          <w:tcPr>
            <w:tcW w:w="809" w:type="pct"/>
            <w:vMerge w:val="continue"/>
            <w:vAlign w:val="center"/>
          </w:tcPr>
          <w:p w14:paraId="52798683">
            <w:pPr>
              <w:pStyle w:val="28"/>
              <w:bidi w:val="0"/>
            </w:pPr>
          </w:p>
        </w:tc>
        <w:tc>
          <w:tcPr>
            <w:tcW w:w="208" w:type="pct"/>
            <w:vAlign w:val="center"/>
          </w:tcPr>
          <w:p w14:paraId="66948A47">
            <w:pPr>
              <w:pStyle w:val="28"/>
              <w:bidi w:val="0"/>
            </w:pPr>
            <w:r>
              <w:t>53.1</w:t>
            </w:r>
          </w:p>
        </w:tc>
        <w:tc>
          <w:tcPr>
            <w:tcW w:w="211" w:type="pct"/>
            <w:vAlign w:val="center"/>
          </w:tcPr>
          <w:p w14:paraId="213B8465">
            <w:pPr>
              <w:pStyle w:val="28"/>
              <w:bidi w:val="0"/>
            </w:pPr>
            <w:r>
              <w:t>43</w:t>
            </w:r>
          </w:p>
        </w:tc>
        <w:tc>
          <w:tcPr>
            <w:tcW w:w="208" w:type="pct"/>
            <w:vAlign w:val="center"/>
          </w:tcPr>
          <w:p w14:paraId="512CD6F2">
            <w:pPr>
              <w:pStyle w:val="28"/>
              <w:bidi w:val="0"/>
            </w:pPr>
            <w:r>
              <w:t>55</w:t>
            </w:r>
          </w:p>
        </w:tc>
        <w:tc>
          <w:tcPr>
            <w:tcW w:w="211" w:type="pct"/>
            <w:vAlign w:val="center"/>
          </w:tcPr>
          <w:p w14:paraId="757D6061">
            <w:pPr>
              <w:pStyle w:val="28"/>
              <w:bidi w:val="0"/>
            </w:pPr>
            <w:r>
              <w:t>45</w:t>
            </w:r>
          </w:p>
        </w:tc>
        <w:tc>
          <w:tcPr>
            <w:tcW w:w="276" w:type="pct"/>
            <w:vAlign w:val="center"/>
          </w:tcPr>
          <w:p w14:paraId="17FD0062">
            <w:pPr>
              <w:pStyle w:val="28"/>
              <w:bidi w:val="0"/>
            </w:pPr>
            <w:r>
              <w:t>61.0</w:t>
            </w:r>
          </w:p>
        </w:tc>
        <w:tc>
          <w:tcPr>
            <w:tcW w:w="257" w:type="pct"/>
            <w:vAlign w:val="center"/>
          </w:tcPr>
          <w:p w14:paraId="7C5410DE">
            <w:pPr>
              <w:pStyle w:val="28"/>
              <w:bidi w:val="0"/>
            </w:pPr>
            <w:r>
              <w:t>41.0</w:t>
            </w:r>
          </w:p>
        </w:tc>
        <w:tc>
          <w:tcPr>
            <w:tcW w:w="257" w:type="pct"/>
            <w:vAlign w:val="center"/>
          </w:tcPr>
          <w:p w14:paraId="6D63C205">
            <w:pPr>
              <w:pStyle w:val="28"/>
              <w:bidi w:val="0"/>
            </w:pPr>
            <w:r>
              <w:t>53.4</w:t>
            </w:r>
          </w:p>
        </w:tc>
        <w:tc>
          <w:tcPr>
            <w:tcW w:w="257" w:type="pct"/>
            <w:vAlign w:val="center"/>
          </w:tcPr>
          <w:p w14:paraId="4C79EA8C">
            <w:pPr>
              <w:pStyle w:val="28"/>
              <w:bidi w:val="0"/>
            </w:pPr>
            <w:r>
              <w:t>0.3</w:t>
            </w:r>
          </w:p>
        </w:tc>
        <w:tc>
          <w:tcPr>
            <w:tcW w:w="209" w:type="pct"/>
            <w:vAlign w:val="center"/>
          </w:tcPr>
          <w:p w14:paraId="41DD2F35">
            <w:pPr>
              <w:pStyle w:val="28"/>
              <w:bidi w:val="0"/>
            </w:pPr>
            <w:r>
              <w:t>达标</w:t>
            </w:r>
          </w:p>
        </w:tc>
      </w:tr>
      <w:tr w14:paraId="2BD2E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874F805">
            <w:pPr>
              <w:pStyle w:val="28"/>
              <w:bidi w:val="0"/>
            </w:pPr>
            <w:r>
              <w:rPr>
                <w:rFonts w:hint="eastAsia"/>
              </w:rPr>
              <w:t>赵老</w:t>
            </w:r>
          </w:p>
        </w:tc>
        <w:tc>
          <w:tcPr>
            <w:tcW w:w="511" w:type="pct"/>
            <w:vAlign w:val="center"/>
          </w:tcPr>
          <w:p w14:paraId="00094A1D">
            <w:pPr>
              <w:pStyle w:val="28"/>
              <w:bidi w:val="0"/>
            </w:pPr>
            <w:r>
              <w:rPr>
                <w:rFonts w:hint="eastAsia"/>
              </w:rPr>
              <w:t>渠道渠岸衬砌</w:t>
            </w:r>
          </w:p>
        </w:tc>
        <w:tc>
          <w:tcPr>
            <w:tcW w:w="366" w:type="pct"/>
            <w:vAlign w:val="center"/>
          </w:tcPr>
          <w:p w14:paraId="3E0E2D50">
            <w:pPr>
              <w:pStyle w:val="28"/>
              <w:bidi w:val="0"/>
            </w:pPr>
            <w:r>
              <w:t>100</w:t>
            </w:r>
          </w:p>
        </w:tc>
        <w:tc>
          <w:tcPr>
            <w:tcW w:w="268" w:type="pct"/>
            <w:vAlign w:val="center"/>
          </w:tcPr>
          <w:p w14:paraId="0892BB41">
            <w:pPr>
              <w:pStyle w:val="28"/>
              <w:bidi w:val="0"/>
            </w:pPr>
            <w:r>
              <w:rPr>
                <w:rFonts w:hint="eastAsia"/>
              </w:rPr>
              <w:t>右岸</w:t>
            </w:r>
          </w:p>
        </w:tc>
        <w:tc>
          <w:tcPr>
            <w:tcW w:w="262" w:type="pct"/>
            <w:vAlign w:val="center"/>
          </w:tcPr>
          <w:p w14:paraId="0014AE5F">
            <w:pPr>
              <w:pStyle w:val="28"/>
              <w:bidi w:val="0"/>
            </w:pPr>
            <w:r>
              <w:t>1</w:t>
            </w:r>
            <w:r>
              <w:rPr>
                <w:rFonts w:hint="eastAsia"/>
              </w:rPr>
              <w:t>类</w:t>
            </w:r>
          </w:p>
        </w:tc>
        <w:tc>
          <w:tcPr>
            <w:tcW w:w="809" w:type="pct"/>
            <w:vMerge w:val="restart"/>
            <w:vAlign w:val="center"/>
          </w:tcPr>
          <w:p w14:paraId="7C733427">
            <w:pPr>
              <w:pStyle w:val="28"/>
              <w:bidi w:val="0"/>
            </w:pPr>
            <w:r>
              <w:rPr>
                <w:rFonts w:hint="eastAsia"/>
              </w:rPr>
              <w:t>采用低噪声设备，施工机械远离居民住宅</w:t>
            </w:r>
          </w:p>
        </w:tc>
        <w:tc>
          <w:tcPr>
            <w:tcW w:w="208" w:type="pct"/>
            <w:vAlign w:val="center"/>
          </w:tcPr>
          <w:p w14:paraId="257A378F">
            <w:pPr>
              <w:pStyle w:val="28"/>
              <w:bidi w:val="0"/>
            </w:pPr>
            <w:r>
              <w:t>53.1</w:t>
            </w:r>
          </w:p>
        </w:tc>
        <w:tc>
          <w:tcPr>
            <w:tcW w:w="211" w:type="pct"/>
            <w:vAlign w:val="center"/>
          </w:tcPr>
          <w:p w14:paraId="7A129C8E">
            <w:pPr>
              <w:pStyle w:val="28"/>
              <w:bidi w:val="0"/>
            </w:pPr>
            <w:r>
              <w:t>43</w:t>
            </w:r>
          </w:p>
        </w:tc>
        <w:tc>
          <w:tcPr>
            <w:tcW w:w="208" w:type="pct"/>
            <w:vAlign w:val="center"/>
          </w:tcPr>
          <w:p w14:paraId="6516A643">
            <w:pPr>
              <w:pStyle w:val="28"/>
              <w:bidi w:val="0"/>
            </w:pPr>
            <w:r>
              <w:t>55</w:t>
            </w:r>
          </w:p>
        </w:tc>
        <w:tc>
          <w:tcPr>
            <w:tcW w:w="211" w:type="pct"/>
            <w:vAlign w:val="center"/>
          </w:tcPr>
          <w:p w14:paraId="63C94156">
            <w:pPr>
              <w:pStyle w:val="28"/>
              <w:bidi w:val="0"/>
            </w:pPr>
            <w:r>
              <w:t>45</w:t>
            </w:r>
          </w:p>
        </w:tc>
        <w:tc>
          <w:tcPr>
            <w:tcW w:w="276" w:type="pct"/>
            <w:vAlign w:val="center"/>
          </w:tcPr>
          <w:p w14:paraId="410858AC">
            <w:pPr>
              <w:pStyle w:val="28"/>
              <w:bidi w:val="0"/>
            </w:pPr>
            <w:r>
              <w:t>51.9</w:t>
            </w:r>
          </w:p>
        </w:tc>
        <w:tc>
          <w:tcPr>
            <w:tcW w:w="257" w:type="pct"/>
            <w:vAlign w:val="center"/>
          </w:tcPr>
          <w:p w14:paraId="4E9C2F32">
            <w:pPr>
              <w:pStyle w:val="28"/>
              <w:bidi w:val="0"/>
            </w:pPr>
            <w:r>
              <w:t>44.9</w:t>
            </w:r>
          </w:p>
        </w:tc>
        <w:tc>
          <w:tcPr>
            <w:tcW w:w="257" w:type="pct"/>
            <w:vAlign w:val="center"/>
          </w:tcPr>
          <w:p w14:paraId="5A59AB9D">
            <w:pPr>
              <w:pStyle w:val="28"/>
              <w:bidi w:val="0"/>
            </w:pPr>
            <w:r>
              <w:t>53.7</w:t>
            </w:r>
          </w:p>
        </w:tc>
        <w:tc>
          <w:tcPr>
            <w:tcW w:w="257" w:type="pct"/>
            <w:vAlign w:val="center"/>
          </w:tcPr>
          <w:p w14:paraId="7FE89247">
            <w:pPr>
              <w:pStyle w:val="28"/>
              <w:bidi w:val="0"/>
            </w:pPr>
            <w:r>
              <w:t>0.6</w:t>
            </w:r>
          </w:p>
        </w:tc>
        <w:tc>
          <w:tcPr>
            <w:tcW w:w="209" w:type="pct"/>
            <w:vAlign w:val="center"/>
          </w:tcPr>
          <w:p w14:paraId="048F0FA0">
            <w:pPr>
              <w:pStyle w:val="28"/>
              <w:bidi w:val="0"/>
            </w:pPr>
            <w:r>
              <w:t>达标</w:t>
            </w:r>
          </w:p>
        </w:tc>
      </w:tr>
      <w:tr w14:paraId="56D03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3C6EF42">
            <w:pPr>
              <w:pStyle w:val="28"/>
              <w:bidi w:val="0"/>
            </w:pPr>
            <w:r>
              <w:rPr>
                <w:rFonts w:hint="eastAsia"/>
              </w:rPr>
              <w:t>堰匡</w:t>
            </w:r>
          </w:p>
        </w:tc>
        <w:tc>
          <w:tcPr>
            <w:tcW w:w="511" w:type="pct"/>
            <w:vAlign w:val="center"/>
          </w:tcPr>
          <w:p w14:paraId="45C1204D">
            <w:pPr>
              <w:pStyle w:val="28"/>
              <w:bidi w:val="0"/>
            </w:pPr>
            <w:r>
              <w:rPr>
                <w:rFonts w:hint="eastAsia"/>
              </w:rPr>
              <w:t>渠道清淤</w:t>
            </w:r>
          </w:p>
        </w:tc>
        <w:tc>
          <w:tcPr>
            <w:tcW w:w="366" w:type="pct"/>
            <w:vAlign w:val="center"/>
          </w:tcPr>
          <w:p w14:paraId="47AA30AD">
            <w:pPr>
              <w:pStyle w:val="28"/>
              <w:bidi w:val="0"/>
            </w:pPr>
            <w:r>
              <w:t>65</w:t>
            </w:r>
          </w:p>
        </w:tc>
        <w:tc>
          <w:tcPr>
            <w:tcW w:w="268" w:type="pct"/>
            <w:vAlign w:val="center"/>
          </w:tcPr>
          <w:p w14:paraId="4B07B5CF">
            <w:pPr>
              <w:pStyle w:val="28"/>
              <w:bidi w:val="0"/>
            </w:pPr>
            <w:r>
              <w:rPr>
                <w:rFonts w:hint="eastAsia"/>
              </w:rPr>
              <w:t>左岸</w:t>
            </w:r>
          </w:p>
        </w:tc>
        <w:tc>
          <w:tcPr>
            <w:tcW w:w="262" w:type="pct"/>
            <w:vAlign w:val="center"/>
          </w:tcPr>
          <w:p w14:paraId="0723F9AE">
            <w:pPr>
              <w:pStyle w:val="28"/>
              <w:bidi w:val="0"/>
            </w:pPr>
            <w:r>
              <w:t>1</w:t>
            </w:r>
            <w:r>
              <w:rPr>
                <w:rFonts w:hint="eastAsia"/>
              </w:rPr>
              <w:t>类</w:t>
            </w:r>
          </w:p>
        </w:tc>
        <w:tc>
          <w:tcPr>
            <w:tcW w:w="809" w:type="pct"/>
            <w:vMerge w:val="continue"/>
            <w:vAlign w:val="center"/>
          </w:tcPr>
          <w:p w14:paraId="29C41056">
            <w:pPr>
              <w:pStyle w:val="28"/>
              <w:bidi w:val="0"/>
            </w:pPr>
          </w:p>
        </w:tc>
        <w:tc>
          <w:tcPr>
            <w:tcW w:w="208" w:type="pct"/>
            <w:vAlign w:val="center"/>
          </w:tcPr>
          <w:p w14:paraId="0B1AF378">
            <w:pPr>
              <w:pStyle w:val="28"/>
              <w:bidi w:val="0"/>
            </w:pPr>
            <w:r>
              <w:t>53</w:t>
            </w:r>
          </w:p>
        </w:tc>
        <w:tc>
          <w:tcPr>
            <w:tcW w:w="211" w:type="pct"/>
            <w:vAlign w:val="center"/>
          </w:tcPr>
          <w:p w14:paraId="21D4460B">
            <w:pPr>
              <w:pStyle w:val="28"/>
              <w:bidi w:val="0"/>
            </w:pPr>
            <w:r>
              <w:t>42.7</w:t>
            </w:r>
          </w:p>
        </w:tc>
        <w:tc>
          <w:tcPr>
            <w:tcW w:w="208" w:type="pct"/>
            <w:vAlign w:val="center"/>
          </w:tcPr>
          <w:p w14:paraId="52606248">
            <w:pPr>
              <w:pStyle w:val="28"/>
              <w:bidi w:val="0"/>
            </w:pPr>
            <w:r>
              <w:t>55</w:t>
            </w:r>
          </w:p>
        </w:tc>
        <w:tc>
          <w:tcPr>
            <w:tcW w:w="211" w:type="pct"/>
            <w:vAlign w:val="center"/>
          </w:tcPr>
          <w:p w14:paraId="32BA1777">
            <w:pPr>
              <w:pStyle w:val="28"/>
              <w:bidi w:val="0"/>
            </w:pPr>
            <w:r>
              <w:t>45</w:t>
            </w:r>
          </w:p>
        </w:tc>
        <w:tc>
          <w:tcPr>
            <w:tcW w:w="276" w:type="pct"/>
            <w:vAlign w:val="center"/>
          </w:tcPr>
          <w:p w14:paraId="6F094711">
            <w:pPr>
              <w:pStyle w:val="28"/>
              <w:bidi w:val="0"/>
            </w:pPr>
            <w:r>
              <w:t>54.0</w:t>
            </w:r>
          </w:p>
        </w:tc>
        <w:tc>
          <w:tcPr>
            <w:tcW w:w="257" w:type="pct"/>
            <w:vAlign w:val="center"/>
          </w:tcPr>
          <w:p w14:paraId="6F50CB60">
            <w:pPr>
              <w:pStyle w:val="28"/>
              <w:bidi w:val="0"/>
            </w:pPr>
            <w:r>
              <w:t>47.0</w:t>
            </w:r>
          </w:p>
        </w:tc>
        <w:tc>
          <w:tcPr>
            <w:tcW w:w="257" w:type="pct"/>
            <w:vAlign w:val="center"/>
          </w:tcPr>
          <w:p w14:paraId="5C3E0D77">
            <w:pPr>
              <w:pStyle w:val="28"/>
              <w:bidi w:val="0"/>
            </w:pPr>
            <w:r>
              <w:t>54.0</w:t>
            </w:r>
          </w:p>
        </w:tc>
        <w:tc>
          <w:tcPr>
            <w:tcW w:w="257" w:type="pct"/>
            <w:vAlign w:val="center"/>
          </w:tcPr>
          <w:p w14:paraId="1C638AF5">
            <w:pPr>
              <w:pStyle w:val="28"/>
              <w:bidi w:val="0"/>
            </w:pPr>
            <w:r>
              <w:t>1.0</w:t>
            </w:r>
          </w:p>
        </w:tc>
        <w:tc>
          <w:tcPr>
            <w:tcW w:w="209" w:type="pct"/>
            <w:vAlign w:val="center"/>
          </w:tcPr>
          <w:p w14:paraId="50373211">
            <w:pPr>
              <w:pStyle w:val="28"/>
              <w:bidi w:val="0"/>
            </w:pPr>
            <w:r>
              <w:t>达标</w:t>
            </w:r>
          </w:p>
        </w:tc>
      </w:tr>
      <w:tr w14:paraId="456F4A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AC68E38">
            <w:pPr>
              <w:pStyle w:val="28"/>
              <w:bidi w:val="0"/>
            </w:pPr>
            <w:r>
              <w:rPr>
                <w:rFonts w:hint="eastAsia"/>
              </w:rPr>
              <w:t>卅铺</w:t>
            </w:r>
          </w:p>
        </w:tc>
        <w:tc>
          <w:tcPr>
            <w:tcW w:w="511" w:type="pct"/>
            <w:vAlign w:val="center"/>
          </w:tcPr>
          <w:p w14:paraId="7EB43050">
            <w:pPr>
              <w:pStyle w:val="28"/>
              <w:bidi w:val="0"/>
            </w:pPr>
            <w:r>
              <w:rPr>
                <w:rFonts w:hint="eastAsia"/>
              </w:rPr>
              <w:t>渠道清淤</w:t>
            </w:r>
          </w:p>
        </w:tc>
        <w:tc>
          <w:tcPr>
            <w:tcW w:w="366" w:type="pct"/>
            <w:vAlign w:val="center"/>
          </w:tcPr>
          <w:p w14:paraId="1F1C2923">
            <w:pPr>
              <w:pStyle w:val="28"/>
              <w:bidi w:val="0"/>
            </w:pPr>
            <w:r>
              <w:t>190</w:t>
            </w:r>
          </w:p>
        </w:tc>
        <w:tc>
          <w:tcPr>
            <w:tcW w:w="268" w:type="pct"/>
            <w:vAlign w:val="center"/>
          </w:tcPr>
          <w:p w14:paraId="15035A3E">
            <w:pPr>
              <w:pStyle w:val="28"/>
              <w:bidi w:val="0"/>
            </w:pPr>
            <w:r>
              <w:rPr>
                <w:rFonts w:hint="eastAsia"/>
              </w:rPr>
              <w:t>右岸</w:t>
            </w:r>
          </w:p>
        </w:tc>
        <w:tc>
          <w:tcPr>
            <w:tcW w:w="262" w:type="pct"/>
            <w:vAlign w:val="center"/>
          </w:tcPr>
          <w:p w14:paraId="637B0501">
            <w:pPr>
              <w:pStyle w:val="28"/>
              <w:bidi w:val="0"/>
            </w:pPr>
            <w:r>
              <w:t>1</w:t>
            </w:r>
            <w:r>
              <w:rPr>
                <w:rFonts w:hint="eastAsia"/>
              </w:rPr>
              <w:t>类</w:t>
            </w:r>
          </w:p>
        </w:tc>
        <w:tc>
          <w:tcPr>
            <w:tcW w:w="809" w:type="pct"/>
            <w:vMerge w:val="continue"/>
            <w:vAlign w:val="center"/>
          </w:tcPr>
          <w:p w14:paraId="5A9964DA">
            <w:pPr>
              <w:pStyle w:val="28"/>
              <w:bidi w:val="0"/>
            </w:pPr>
          </w:p>
        </w:tc>
        <w:tc>
          <w:tcPr>
            <w:tcW w:w="208" w:type="pct"/>
            <w:vAlign w:val="center"/>
          </w:tcPr>
          <w:p w14:paraId="1D3B0ECD">
            <w:pPr>
              <w:pStyle w:val="28"/>
              <w:bidi w:val="0"/>
            </w:pPr>
            <w:r>
              <w:t>53</w:t>
            </w:r>
          </w:p>
        </w:tc>
        <w:tc>
          <w:tcPr>
            <w:tcW w:w="211" w:type="pct"/>
            <w:vAlign w:val="center"/>
          </w:tcPr>
          <w:p w14:paraId="49F57E93">
            <w:pPr>
              <w:pStyle w:val="28"/>
              <w:bidi w:val="0"/>
            </w:pPr>
            <w:r>
              <w:t>42.7</w:t>
            </w:r>
          </w:p>
        </w:tc>
        <w:tc>
          <w:tcPr>
            <w:tcW w:w="208" w:type="pct"/>
            <w:vAlign w:val="center"/>
          </w:tcPr>
          <w:p w14:paraId="0F22C815">
            <w:pPr>
              <w:pStyle w:val="28"/>
              <w:bidi w:val="0"/>
            </w:pPr>
            <w:r>
              <w:t>55</w:t>
            </w:r>
          </w:p>
        </w:tc>
        <w:tc>
          <w:tcPr>
            <w:tcW w:w="211" w:type="pct"/>
            <w:vAlign w:val="center"/>
          </w:tcPr>
          <w:p w14:paraId="0D73418C">
            <w:pPr>
              <w:pStyle w:val="28"/>
              <w:bidi w:val="0"/>
            </w:pPr>
            <w:r>
              <w:t>45</w:t>
            </w:r>
          </w:p>
        </w:tc>
        <w:tc>
          <w:tcPr>
            <w:tcW w:w="276" w:type="pct"/>
            <w:vAlign w:val="center"/>
          </w:tcPr>
          <w:p w14:paraId="7D356822">
            <w:pPr>
              <w:pStyle w:val="28"/>
              <w:bidi w:val="0"/>
            </w:pPr>
            <w:r>
              <w:t>44.6</w:t>
            </w:r>
          </w:p>
        </w:tc>
        <w:tc>
          <w:tcPr>
            <w:tcW w:w="257" w:type="pct"/>
            <w:vAlign w:val="center"/>
          </w:tcPr>
          <w:p w14:paraId="6B835B9C">
            <w:pPr>
              <w:pStyle w:val="28"/>
              <w:bidi w:val="0"/>
            </w:pPr>
            <w:r>
              <w:t>37.6</w:t>
            </w:r>
          </w:p>
        </w:tc>
        <w:tc>
          <w:tcPr>
            <w:tcW w:w="257" w:type="pct"/>
            <w:vAlign w:val="center"/>
          </w:tcPr>
          <w:p w14:paraId="19035AC1">
            <w:pPr>
              <w:pStyle w:val="28"/>
              <w:bidi w:val="0"/>
            </w:pPr>
            <w:r>
              <w:t>53.1</w:t>
            </w:r>
          </w:p>
        </w:tc>
        <w:tc>
          <w:tcPr>
            <w:tcW w:w="257" w:type="pct"/>
            <w:vAlign w:val="center"/>
          </w:tcPr>
          <w:p w14:paraId="5A60C960">
            <w:pPr>
              <w:pStyle w:val="28"/>
              <w:bidi w:val="0"/>
            </w:pPr>
            <w:r>
              <w:t>0.1</w:t>
            </w:r>
          </w:p>
        </w:tc>
        <w:tc>
          <w:tcPr>
            <w:tcW w:w="209" w:type="pct"/>
            <w:vAlign w:val="center"/>
          </w:tcPr>
          <w:p w14:paraId="70226E8C">
            <w:pPr>
              <w:pStyle w:val="28"/>
              <w:bidi w:val="0"/>
            </w:pPr>
            <w:r>
              <w:t>达标</w:t>
            </w:r>
          </w:p>
        </w:tc>
      </w:tr>
      <w:tr w14:paraId="31393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B149AA6">
            <w:pPr>
              <w:pStyle w:val="28"/>
              <w:bidi w:val="0"/>
            </w:pPr>
            <w:r>
              <w:rPr>
                <w:rFonts w:hint="eastAsia"/>
              </w:rPr>
              <w:t>三十里铺村</w:t>
            </w:r>
          </w:p>
        </w:tc>
        <w:tc>
          <w:tcPr>
            <w:tcW w:w="511" w:type="pct"/>
            <w:vAlign w:val="center"/>
          </w:tcPr>
          <w:p w14:paraId="435F8522">
            <w:pPr>
              <w:pStyle w:val="28"/>
              <w:bidi w:val="0"/>
            </w:pPr>
            <w:r>
              <w:rPr>
                <w:rFonts w:hint="eastAsia"/>
              </w:rPr>
              <w:t>渠道清淤</w:t>
            </w:r>
          </w:p>
        </w:tc>
        <w:tc>
          <w:tcPr>
            <w:tcW w:w="366" w:type="pct"/>
            <w:vAlign w:val="center"/>
          </w:tcPr>
          <w:p w14:paraId="4AD9CA94">
            <w:pPr>
              <w:pStyle w:val="28"/>
              <w:bidi w:val="0"/>
            </w:pPr>
            <w:r>
              <w:t>5</w:t>
            </w:r>
          </w:p>
        </w:tc>
        <w:tc>
          <w:tcPr>
            <w:tcW w:w="268" w:type="pct"/>
            <w:vAlign w:val="center"/>
          </w:tcPr>
          <w:p w14:paraId="3E9B3165">
            <w:pPr>
              <w:pStyle w:val="28"/>
              <w:bidi w:val="0"/>
            </w:pPr>
            <w:r>
              <w:rPr>
                <w:rFonts w:hint="eastAsia"/>
              </w:rPr>
              <w:t>左岸</w:t>
            </w:r>
          </w:p>
        </w:tc>
        <w:tc>
          <w:tcPr>
            <w:tcW w:w="262" w:type="pct"/>
            <w:vAlign w:val="center"/>
          </w:tcPr>
          <w:p w14:paraId="3AE5F4F6">
            <w:pPr>
              <w:pStyle w:val="28"/>
              <w:bidi w:val="0"/>
            </w:pPr>
            <w:r>
              <w:t>1</w:t>
            </w:r>
            <w:r>
              <w:rPr>
                <w:rFonts w:hint="eastAsia"/>
              </w:rPr>
              <w:t>类</w:t>
            </w:r>
          </w:p>
        </w:tc>
        <w:tc>
          <w:tcPr>
            <w:tcW w:w="809" w:type="pct"/>
            <w:vMerge w:val="restart"/>
            <w:vAlign w:val="center"/>
          </w:tcPr>
          <w:p w14:paraId="6B739D9A">
            <w:pPr>
              <w:pStyle w:val="28"/>
              <w:bidi w:val="0"/>
            </w:pPr>
            <w:r>
              <w:rPr>
                <w:rFonts w:hint="eastAsia"/>
              </w:rPr>
              <w:t>采用低噪声设备，施工机械远离居民住宅，设置双层移动声屏障</w:t>
            </w:r>
          </w:p>
        </w:tc>
        <w:tc>
          <w:tcPr>
            <w:tcW w:w="208" w:type="pct"/>
            <w:vAlign w:val="center"/>
          </w:tcPr>
          <w:p w14:paraId="42377560">
            <w:pPr>
              <w:pStyle w:val="28"/>
              <w:bidi w:val="0"/>
            </w:pPr>
            <w:r>
              <w:t>52.1</w:t>
            </w:r>
          </w:p>
        </w:tc>
        <w:tc>
          <w:tcPr>
            <w:tcW w:w="211" w:type="pct"/>
            <w:vAlign w:val="center"/>
          </w:tcPr>
          <w:p w14:paraId="29B81D97">
            <w:pPr>
              <w:pStyle w:val="28"/>
              <w:bidi w:val="0"/>
            </w:pPr>
            <w:r>
              <w:t>42.7</w:t>
            </w:r>
          </w:p>
        </w:tc>
        <w:tc>
          <w:tcPr>
            <w:tcW w:w="208" w:type="pct"/>
            <w:vAlign w:val="center"/>
          </w:tcPr>
          <w:p w14:paraId="4EF90070">
            <w:pPr>
              <w:pStyle w:val="28"/>
              <w:bidi w:val="0"/>
            </w:pPr>
            <w:r>
              <w:t>55</w:t>
            </w:r>
          </w:p>
        </w:tc>
        <w:tc>
          <w:tcPr>
            <w:tcW w:w="211" w:type="pct"/>
            <w:vAlign w:val="center"/>
          </w:tcPr>
          <w:p w14:paraId="21F1E15F">
            <w:pPr>
              <w:pStyle w:val="28"/>
              <w:bidi w:val="0"/>
            </w:pPr>
            <w:r>
              <w:t>45</w:t>
            </w:r>
          </w:p>
        </w:tc>
        <w:tc>
          <w:tcPr>
            <w:tcW w:w="276" w:type="pct"/>
            <w:vAlign w:val="center"/>
          </w:tcPr>
          <w:p w14:paraId="46FDDA71">
            <w:pPr>
              <w:pStyle w:val="28"/>
              <w:bidi w:val="0"/>
            </w:pPr>
            <w:r>
              <w:t>76.2</w:t>
            </w:r>
          </w:p>
        </w:tc>
        <w:tc>
          <w:tcPr>
            <w:tcW w:w="257" w:type="pct"/>
            <w:vAlign w:val="center"/>
          </w:tcPr>
          <w:p w14:paraId="050E92C5">
            <w:pPr>
              <w:pStyle w:val="28"/>
              <w:bidi w:val="0"/>
            </w:pPr>
            <w:r>
              <w:t>48.2</w:t>
            </w:r>
          </w:p>
        </w:tc>
        <w:tc>
          <w:tcPr>
            <w:tcW w:w="257" w:type="pct"/>
            <w:vAlign w:val="center"/>
          </w:tcPr>
          <w:p w14:paraId="798FEF47">
            <w:pPr>
              <w:pStyle w:val="28"/>
              <w:bidi w:val="0"/>
            </w:pPr>
            <w:r>
              <w:t>53.6</w:t>
            </w:r>
          </w:p>
        </w:tc>
        <w:tc>
          <w:tcPr>
            <w:tcW w:w="257" w:type="pct"/>
            <w:vAlign w:val="center"/>
          </w:tcPr>
          <w:p w14:paraId="27A7C61C">
            <w:pPr>
              <w:pStyle w:val="28"/>
              <w:bidi w:val="0"/>
            </w:pPr>
            <w:r>
              <w:t>1.5</w:t>
            </w:r>
          </w:p>
        </w:tc>
        <w:tc>
          <w:tcPr>
            <w:tcW w:w="209" w:type="pct"/>
            <w:vAlign w:val="center"/>
          </w:tcPr>
          <w:p w14:paraId="3809F1E6">
            <w:pPr>
              <w:pStyle w:val="28"/>
              <w:bidi w:val="0"/>
            </w:pPr>
            <w:r>
              <w:t>达标</w:t>
            </w:r>
          </w:p>
        </w:tc>
      </w:tr>
      <w:tr w14:paraId="5DC19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027CA09C">
            <w:pPr>
              <w:pStyle w:val="28"/>
              <w:bidi w:val="0"/>
            </w:pPr>
            <w:r>
              <w:rPr>
                <w:rFonts w:hint="eastAsia"/>
              </w:rPr>
              <w:t>卅埠村</w:t>
            </w:r>
          </w:p>
        </w:tc>
        <w:tc>
          <w:tcPr>
            <w:tcW w:w="511" w:type="pct"/>
            <w:vAlign w:val="center"/>
          </w:tcPr>
          <w:p w14:paraId="76619C87">
            <w:pPr>
              <w:pStyle w:val="28"/>
              <w:bidi w:val="0"/>
            </w:pPr>
            <w:r>
              <w:rPr>
                <w:rFonts w:hint="eastAsia"/>
              </w:rPr>
              <w:t>渠道清淤</w:t>
            </w:r>
          </w:p>
        </w:tc>
        <w:tc>
          <w:tcPr>
            <w:tcW w:w="366" w:type="pct"/>
            <w:vAlign w:val="center"/>
          </w:tcPr>
          <w:p w14:paraId="621BF701">
            <w:pPr>
              <w:pStyle w:val="28"/>
              <w:bidi w:val="0"/>
            </w:pPr>
            <w:r>
              <w:t>20</w:t>
            </w:r>
          </w:p>
        </w:tc>
        <w:tc>
          <w:tcPr>
            <w:tcW w:w="268" w:type="pct"/>
            <w:vAlign w:val="center"/>
          </w:tcPr>
          <w:p w14:paraId="27C3BDBC">
            <w:pPr>
              <w:pStyle w:val="28"/>
              <w:bidi w:val="0"/>
            </w:pPr>
            <w:r>
              <w:rPr>
                <w:rFonts w:hint="eastAsia"/>
              </w:rPr>
              <w:t>左岸</w:t>
            </w:r>
          </w:p>
        </w:tc>
        <w:tc>
          <w:tcPr>
            <w:tcW w:w="262" w:type="pct"/>
            <w:vAlign w:val="center"/>
          </w:tcPr>
          <w:p w14:paraId="06CFBBEE">
            <w:pPr>
              <w:pStyle w:val="28"/>
              <w:bidi w:val="0"/>
            </w:pPr>
            <w:r>
              <w:t>1</w:t>
            </w:r>
            <w:r>
              <w:rPr>
                <w:rFonts w:hint="eastAsia"/>
              </w:rPr>
              <w:t>类</w:t>
            </w:r>
          </w:p>
        </w:tc>
        <w:tc>
          <w:tcPr>
            <w:tcW w:w="809" w:type="pct"/>
            <w:vMerge w:val="continue"/>
            <w:vAlign w:val="center"/>
          </w:tcPr>
          <w:p w14:paraId="4D68A31A">
            <w:pPr>
              <w:pStyle w:val="28"/>
              <w:bidi w:val="0"/>
            </w:pPr>
          </w:p>
        </w:tc>
        <w:tc>
          <w:tcPr>
            <w:tcW w:w="208" w:type="pct"/>
            <w:vAlign w:val="center"/>
          </w:tcPr>
          <w:p w14:paraId="093F5A2E">
            <w:pPr>
              <w:pStyle w:val="28"/>
              <w:bidi w:val="0"/>
            </w:pPr>
            <w:r>
              <w:t>52.1</w:t>
            </w:r>
          </w:p>
        </w:tc>
        <w:tc>
          <w:tcPr>
            <w:tcW w:w="211" w:type="pct"/>
            <w:vAlign w:val="center"/>
          </w:tcPr>
          <w:p w14:paraId="7133863B">
            <w:pPr>
              <w:pStyle w:val="28"/>
              <w:bidi w:val="0"/>
            </w:pPr>
            <w:r>
              <w:t>42.7</w:t>
            </w:r>
          </w:p>
        </w:tc>
        <w:tc>
          <w:tcPr>
            <w:tcW w:w="208" w:type="pct"/>
            <w:vAlign w:val="center"/>
          </w:tcPr>
          <w:p w14:paraId="452E0053">
            <w:pPr>
              <w:pStyle w:val="28"/>
              <w:bidi w:val="0"/>
            </w:pPr>
            <w:r>
              <w:t>55</w:t>
            </w:r>
          </w:p>
        </w:tc>
        <w:tc>
          <w:tcPr>
            <w:tcW w:w="211" w:type="pct"/>
            <w:vAlign w:val="center"/>
          </w:tcPr>
          <w:p w14:paraId="20E138D2">
            <w:pPr>
              <w:pStyle w:val="28"/>
              <w:bidi w:val="0"/>
            </w:pPr>
            <w:r>
              <w:t>45</w:t>
            </w:r>
          </w:p>
        </w:tc>
        <w:tc>
          <w:tcPr>
            <w:tcW w:w="276" w:type="pct"/>
            <w:vAlign w:val="center"/>
          </w:tcPr>
          <w:p w14:paraId="62FA735F">
            <w:pPr>
              <w:pStyle w:val="28"/>
              <w:bidi w:val="0"/>
            </w:pPr>
            <w:r>
              <w:t>64.2</w:t>
            </w:r>
          </w:p>
        </w:tc>
        <w:tc>
          <w:tcPr>
            <w:tcW w:w="257" w:type="pct"/>
            <w:vAlign w:val="center"/>
          </w:tcPr>
          <w:p w14:paraId="0C7B2E75">
            <w:pPr>
              <w:pStyle w:val="28"/>
              <w:bidi w:val="0"/>
            </w:pPr>
            <w:r>
              <w:t>44.2</w:t>
            </w:r>
          </w:p>
        </w:tc>
        <w:tc>
          <w:tcPr>
            <w:tcW w:w="257" w:type="pct"/>
            <w:vAlign w:val="center"/>
          </w:tcPr>
          <w:p w14:paraId="551BBBCB">
            <w:pPr>
              <w:pStyle w:val="28"/>
              <w:bidi w:val="0"/>
            </w:pPr>
            <w:r>
              <w:t>52.8</w:t>
            </w:r>
          </w:p>
        </w:tc>
        <w:tc>
          <w:tcPr>
            <w:tcW w:w="257" w:type="pct"/>
            <w:vAlign w:val="center"/>
          </w:tcPr>
          <w:p w14:paraId="1C42646F">
            <w:pPr>
              <w:pStyle w:val="28"/>
              <w:bidi w:val="0"/>
            </w:pPr>
            <w:r>
              <w:t>0.7</w:t>
            </w:r>
          </w:p>
        </w:tc>
        <w:tc>
          <w:tcPr>
            <w:tcW w:w="209" w:type="pct"/>
            <w:vAlign w:val="center"/>
          </w:tcPr>
          <w:p w14:paraId="32F0B47A">
            <w:pPr>
              <w:pStyle w:val="28"/>
              <w:bidi w:val="0"/>
            </w:pPr>
            <w:r>
              <w:t>达标</w:t>
            </w:r>
          </w:p>
        </w:tc>
      </w:tr>
      <w:tr w14:paraId="357F8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9ADAB71">
            <w:pPr>
              <w:pStyle w:val="28"/>
              <w:bidi w:val="0"/>
            </w:pPr>
            <w:r>
              <w:rPr>
                <w:rFonts w:hint="eastAsia"/>
              </w:rPr>
              <w:t>柿树</w:t>
            </w:r>
          </w:p>
        </w:tc>
        <w:tc>
          <w:tcPr>
            <w:tcW w:w="511" w:type="pct"/>
            <w:vAlign w:val="center"/>
          </w:tcPr>
          <w:p w14:paraId="18593DA7">
            <w:pPr>
              <w:pStyle w:val="28"/>
              <w:bidi w:val="0"/>
            </w:pPr>
            <w:r>
              <w:rPr>
                <w:rFonts w:hint="eastAsia"/>
              </w:rPr>
              <w:t>渠道清淤</w:t>
            </w:r>
          </w:p>
        </w:tc>
        <w:tc>
          <w:tcPr>
            <w:tcW w:w="366" w:type="pct"/>
            <w:vAlign w:val="center"/>
          </w:tcPr>
          <w:p w14:paraId="0FB3F7C5">
            <w:pPr>
              <w:pStyle w:val="28"/>
              <w:bidi w:val="0"/>
            </w:pPr>
            <w:r>
              <w:t>5</w:t>
            </w:r>
          </w:p>
        </w:tc>
        <w:tc>
          <w:tcPr>
            <w:tcW w:w="268" w:type="pct"/>
            <w:vAlign w:val="center"/>
          </w:tcPr>
          <w:p w14:paraId="71573885">
            <w:pPr>
              <w:pStyle w:val="28"/>
              <w:bidi w:val="0"/>
            </w:pPr>
            <w:r>
              <w:rPr>
                <w:rFonts w:hint="eastAsia"/>
              </w:rPr>
              <w:t>左岸</w:t>
            </w:r>
          </w:p>
        </w:tc>
        <w:tc>
          <w:tcPr>
            <w:tcW w:w="262" w:type="pct"/>
            <w:vAlign w:val="center"/>
          </w:tcPr>
          <w:p w14:paraId="17988387">
            <w:pPr>
              <w:pStyle w:val="28"/>
              <w:bidi w:val="0"/>
            </w:pPr>
            <w:r>
              <w:t>1</w:t>
            </w:r>
            <w:r>
              <w:rPr>
                <w:rFonts w:hint="eastAsia"/>
              </w:rPr>
              <w:t>类</w:t>
            </w:r>
          </w:p>
        </w:tc>
        <w:tc>
          <w:tcPr>
            <w:tcW w:w="809" w:type="pct"/>
            <w:vMerge w:val="continue"/>
            <w:vAlign w:val="center"/>
          </w:tcPr>
          <w:p w14:paraId="15B29449">
            <w:pPr>
              <w:pStyle w:val="28"/>
              <w:bidi w:val="0"/>
            </w:pPr>
          </w:p>
        </w:tc>
        <w:tc>
          <w:tcPr>
            <w:tcW w:w="208" w:type="pct"/>
            <w:vAlign w:val="center"/>
          </w:tcPr>
          <w:p w14:paraId="2683D1ED">
            <w:pPr>
              <w:pStyle w:val="28"/>
              <w:bidi w:val="0"/>
            </w:pPr>
            <w:r>
              <w:t>52.1</w:t>
            </w:r>
          </w:p>
        </w:tc>
        <w:tc>
          <w:tcPr>
            <w:tcW w:w="211" w:type="pct"/>
            <w:vAlign w:val="center"/>
          </w:tcPr>
          <w:p w14:paraId="0375E4A5">
            <w:pPr>
              <w:pStyle w:val="28"/>
              <w:bidi w:val="0"/>
            </w:pPr>
            <w:r>
              <w:t>42.7</w:t>
            </w:r>
          </w:p>
        </w:tc>
        <w:tc>
          <w:tcPr>
            <w:tcW w:w="208" w:type="pct"/>
            <w:vAlign w:val="center"/>
          </w:tcPr>
          <w:p w14:paraId="421AD4CD">
            <w:pPr>
              <w:pStyle w:val="28"/>
              <w:bidi w:val="0"/>
            </w:pPr>
            <w:r>
              <w:t>55</w:t>
            </w:r>
          </w:p>
        </w:tc>
        <w:tc>
          <w:tcPr>
            <w:tcW w:w="211" w:type="pct"/>
            <w:vAlign w:val="center"/>
          </w:tcPr>
          <w:p w14:paraId="5B40A9E8">
            <w:pPr>
              <w:pStyle w:val="28"/>
              <w:bidi w:val="0"/>
            </w:pPr>
            <w:r>
              <w:t>45</w:t>
            </w:r>
          </w:p>
        </w:tc>
        <w:tc>
          <w:tcPr>
            <w:tcW w:w="276" w:type="pct"/>
            <w:vAlign w:val="center"/>
          </w:tcPr>
          <w:p w14:paraId="5D166840">
            <w:pPr>
              <w:pStyle w:val="28"/>
              <w:bidi w:val="0"/>
            </w:pPr>
            <w:r>
              <w:t>76.2</w:t>
            </w:r>
          </w:p>
        </w:tc>
        <w:tc>
          <w:tcPr>
            <w:tcW w:w="257" w:type="pct"/>
            <w:vAlign w:val="center"/>
          </w:tcPr>
          <w:p w14:paraId="5550347E">
            <w:pPr>
              <w:pStyle w:val="28"/>
              <w:bidi w:val="0"/>
            </w:pPr>
            <w:r>
              <w:t>51.2</w:t>
            </w:r>
          </w:p>
        </w:tc>
        <w:tc>
          <w:tcPr>
            <w:tcW w:w="257" w:type="pct"/>
            <w:vAlign w:val="center"/>
          </w:tcPr>
          <w:p w14:paraId="6931FD58">
            <w:pPr>
              <w:pStyle w:val="28"/>
              <w:bidi w:val="0"/>
            </w:pPr>
            <w:r>
              <w:t>54.7</w:t>
            </w:r>
          </w:p>
        </w:tc>
        <w:tc>
          <w:tcPr>
            <w:tcW w:w="257" w:type="pct"/>
            <w:vAlign w:val="center"/>
          </w:tcPr>
          <w:p w14:paraId="3D2F07AF">
            <w:pPr>
              <w:pStyle w:val="28"/>
              <w:bidi w:val="0"/>
            </w:pPr>
            <w:r>
              <w:t>2.6</w:t>
            </w:r>
          </w:p>
        </w:tc>
        <w:tc>
          <w:tcPr>
            <w:tcW w:w="209" w:type="pct"/>
            <w:vAlign w:val="center"/>
          </w:tcPr>
          <w:p w14:paraId="2BB4CFEE">
            <w:pPr>
              <w:pStyle w:val="28"/>
              <w:bidi w:val="0"/>
            </w:pPr>
            <w:r>
              <w:t>达标</w:t>
            </w:r>
          </w:p>
        </w:tc>
      </w:tr>
      <w:tr w14:paraId="427F4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6F5FFC5">
            <w:pPr>
              <w:pStyle w:val="28"/>
              <w:bidi w:val="0"/>
            </w:pPr>
            <w:r>
              <w:rPr>
                <w:rFonts w:hint="eastAsia"/>
              </w:rPr>
              <w:t>马田村</w:t>
            </w:r>
          </w:p>
        </w:tc>
        <w:tc>
          <w:tcPr>
            <w:tcW w:w="511" w:type="pct"/>
            <w:vAlign w:val="center"/>
          </w:tcPr>
          <w:p w14:paraId="02BFC06E">
            <w:pPr>
              <w:pStyle w:val="28"/>
              <w:bidi w:val="0"/>
            </w:pPr>
            <w:r>
              <w:rPr>
                <w:rFonts w:hint="eastAsia"/>
              </w:rPr>
              <w:t>渠道清淤</w:t>
            </w:r>
          </w:p>
        </w:tc>
        <w:tc>
          <w:tcPr>
            <w:tcW w:w="366" w:type="pct"/>
            <w:vAlign w:val="center"/>
          </w:tcPr>
          <w:p w14:paraId="4709FA7E">
            <w:pPr>
              <w:pStyle w:val="28"/>
              <w:bidi w:val="0"/>
            </w:pPr>
            <w:r>
              <w:t>5</w:t>
            </w:r>
          </w:p>
        </w:tc>
        <w:tc>
          <w:tcPr>
            <w:tcW w:w="268" w:type="pct"/>
            <w:vAlign w:val="center"/>
          </w:tcPr>
          <w:p w14:paraId="7CB969A9">
            <w:pPr>
              <w:pStyle w:val="28"/>
              <w:bidi w:val="0"/>
            </w:pPr>
            <w:r>
              <w:rPr>
                <w:rFonts w:hint="eastAsia"/>
              </w:rPr>
              <w:t>左岸</w:t>
            </w:r>
          </w:p>
        </w:tc>
        <w:tc>
          <w:tcPr>
            <w:tcW w:w="262" w:type="pct"/>
            <w:vAlign w:val="center"/>
          </w:tcPr>
          <w:p w14:paraId="6F1DE841">
            <w:pPr>
              <w:pStyle w:val="28"/>
              <w:bidi w:val="0"/>
            </w:pPr>
            <w:r>
              <w:t>1</w:t>
            </w:r>
            <w:r>
              <w:rPr>
                <w:rFonts w:hint="eastAsia"/>
              </w:rPr>
              <w:t>类</w:t>
            </w:r>
          </w:p>
        </w:tc>
        <w:tc>
          <w:tcPr>
            <w:tcW w:w="809" w:type="pct"/>
            <w:vMerge w:val="continue"/>
            <w:vAlign w:val="center"/>
          </w:tcPr>
          <w:p w14:paraId="62227BC1">
            <w:pPr>
              <w:pStyle w:val="28"/>
              <w:bidi w:val="0"/>
            </w:pPr>
          </w:p>
        </w:tc>
        <w:tc>
          <w:tcPr>
            <w:tcW w:w="208" w:type="pct"/>
            <w:vAlign w:val="center"/>
          </w:tcPr>
          <w:p w14:paraId="1B040639">
            <w:pPr>
              <w:pStyle w:val="28"/>
              <w:bidi w:val="0"/>
            </w:pPr>
            <w:r>
              <w:t>52.1</w:t>
            </w:r>
          </w:p>
        </w:tc>
        <w:tc>
          <w:tcPr>
            <w:tcW w:w="211" w:type="pct"/>
            <w:vAlign w:val="center"/>
          </w:tcPr>
          <w:p w14:paraId="72A53C8E">
            <w:pPr>
              <w:pStyle w:val="28"/>
              <w:bidi w:val="0"/>
            </w:pPr>
            <w:r>
              <w:t>42.7</w:t>
            </w:r>
          </w:p>
        </w:tc>
        <w:tc>
          <w:tcPr>
            <w:tcW w:w="208" w:type="pct"/>
            <w:vAlign w:val="center"/>
          </w:tcPr>
          <w:p w14:paraId="4BF3F3B5">
            <w:pPr>
              <w:pStyle w:val="28"/>
              <w:bidi w:val="0"/>
            </w:pPr>
            <w:r>
              <w:t>55</w:t>
            </w:r>
          </w:p>
        </w:tc>
        <w:tc>
          <w:tcPr>
            <w:tcW w:w="211" w:type="pct"/>
            <w:vAlign w:val="center"/>
          </w:tcPr>
          <w:p w14:paraId="464576A9">
            <w:pPr>
              <w:pStyle w:val="28"/>
              <w:bidi w:val="0"/>
            </w:pPr>
            <w:r>
              <w:t>45</w:t>
            </w:r>
          </w:p>
        </w:tc>
        <w:tc>
          <w:tcPr>
            <w:tcW w:w="276" w:type="pct"/>
            <w:vAlign w:val="center"/>
          </w:tcPr>
          <w:p w14:paraId="54FB6187">
            <w:pPr>
              <w:pStyle w:val="28"/>
              <w:bidi w:val="0"/>
            </w:pPr>
            <w:r>
              <w:t>76.2</w:t>
            </w:r>
          </w:p>
        </w:tc>
        <w:tc>
          <w:tcPr>
            <w:tcW w:w="257" w:type="pct"/>
            <w:vAlign w:val="center"/>
          </w:tcPr>
          <w:p w14:paraId="3F9A1357">
            <w:pPr>
              <w:pStyle w:val="28"/>
              <w:bidi w:val="0"/>
            </w:pPr>
            <w:r>
              <w:t>51.2</w:t>
            </w:r>
          </w:p>
        </w:tc>
        <w:tc>
          <w:tcPr>
            <w:tcW w:w="257" w:type="pct"/>
            <w:vAlign w:val="center"/>
          </w:tcPr>
          <w:p w14:paraId="35297A47">
            <w:pPr>
              <w:pStyle w:val="28"/>
              <w:bidi w:val="0"/>
            </w:pPr>
            <w:r>
              <w:t>54.7</w:t>
            </w:r>
          </w:p>
        </w:tc>
        <w:tc>
          <w:tcPr>
            <w:tcW w:w="257" w:type="pct"/>
            <w:vAlign w:val="center"/>
          </w:tcPr>
          <w:p w14:paraId="25A1D2DB">
            <w:pPr>
              <w:pStyle w:val="28"/>
              <w:bidi w:val="0"/>
            </w:pPr>
            <w:r>
              <w:t>2.6</w:t>
            </w:r>
          </w:p>
        </w:tc>
        <w:tc>
          <w:tcPr>
            <w:tcW w:w="209" w:type="pct"/>
            <w:vAlign w:val="center"/>
          </w:tcPr>
          <w:p w14:paraId="2EF75F05">
            <w:pPr>
              <w:pStyle w:val="28"/>
              <w:bidi w:val="0"/>
            </w:pPr>
            <w:r>
              <w:t>达标</w:t>
            </w:r>
          </w:p>
        </w:tc>
      </w:tr>
      <w:tr w14:paraId="7D5A650E">
        <w:tblPrEx>
          <w:tblCellMar>
            <w:top w:w="0" w:type="dxa"/>
            <w:left w:w="108" w:type="dxa"/>
            <w:bottom w:w="0" w:type="dxa"/>
            <w:right w:w="108" w:type="dxa"/>
          </w:tblCellMar>
        </w:tblPrEx>
        <w:trPr>
          <w:trHeight w:val="340" w:hRule="atLeast"/>
          <w:jc w:val="center"/>
        </w:trPr>
        <w:tc>
          <w:tcPr>
            <w:tcW w:w="685" w:type="pct"/>
            <w:vAlign w:val="center"/>
          </w:tcPr>
          <w:p w14:paraId="3A74BB1B">
            <w:pPr>
              <w:pStyle w:val="28"/>
              <w:bidi w:val="0"/>
            </w:pPr>
            <w:r>
              <w:rPr>
                <w:rFonts w:hint="eastAsia"/>
              </w:rPr>
              <w:t>左庄</w:t>
            </w:r>
          </w:p>
        </w:tc>
        <w:tc>
          <w:tcPr>
            <w:tcW w:w="511" w:type="pct"/>
            <w:vAlign w:val="center"/>
          </w:tcPr>
          <w:p w14:paraId="6E5B4F7D">
            <w:pPr>
              <w:pStyle w:val="28"/>
              <w:bidi w:val="0"/>
            </w:pPr>
            <w:r>
              <w:rPr>
                <w:rFonts w:hint="eastAsia"/>
              </w:rPr>
              <w:t>渠道清淤</w:t>
            </w:r>
          </w:p>
        </w:tc>
        <w:tc>
          <w:tcPr>
            <w:tcW w:w="366" w:type="pct"/>
            <w:vAlign w:val="center"/>
          </w:tcPr>
          <w:p w14:paraId="7C63B873">
            <w:pPr>
              <w:pStyle w:val="28"/>
              <w:bidi w:val="0"/>
            </w:pPr>
            <w:r>
              <w:t>5</w:t>
            </w:r>
          </w:p>
        </w:tc>
        <w:tc>
          <w:tcPr>
            <w:tcW w:w="268" w:type="pct"/>
            <w:vAlign w:val="center"/>
          </w:tcPr>
          <w:p w14:paraId="7AE94388">
            <w:pPr>
              <w:pStyle w:val="28"/>
              <w:bidi w:val="0"/>
            </w:pPr>
            <w:r>
              <w:rPr>
                <w:rFonts w:hint="eastAsia"/>
              </w:rPr>
              <w:t>左岸</w:t>
            </w:r>
          </w:p>
        </w:tc>
        <w:tc>
          <w:tcPr>
            <w:tcW w:w="262" w:type="pct"/>
            <w:vAlign w:val="center"/>
          </w:tcPr>
          <w:p w14:paraId="31F0821F">
            <w:pPr>
              <w:pStyle w:val="28"/>
              <w:bidi w:val="0"/>
            </w:pPr>
            <w:r>
              <w:t>1</w:t>
            </w:r>
            <w:r>
              <w:rPr>
                <w:rFonts w:hint="eastAsia"/>
              </w:rPr>
              <w:t>类</w:t>
            </w:r>
          </w:p>
        </w:tc>
        <w:tc>
          <w:tcPr>
            <w:tcW w:w="809" w:type="pct"/>
            <w:vMerge w:val="continue"/>
            <w:vAlign w:val="center"/>
          </w:tcPr>
          <w:p w14:paraId="6E0D4065">
            <w:pPr>
              <w:pStyle w:val="28"/>
              <w:bidi w:val="0"/>
            </w:pPr>
          </w:p>
        </w:tc>
        <w:tc>
          <w:tcPr>
            <w:tcW w:w="208" w:type="pct"/>
            <w:vAlign w:val="center"/>
          </w:tcPr>
          <w:p w14:paraId="3E5DC70D">
            <w:pPr>
              <w:pStyle w:val="28"/>
              <w:bidi w:val="0"/>
            </w:pPr>
            <w:r>
              <w:t>52.1</w:t>
            </w:r>
          </w:p>
        </w:tc>
        <w:tc>
          <w:tcPr>
            <w:tcW w:w="211" w:type="pct"/>
            <w:vAlign w:val="center"/>
          </w:tcPr>
          <w:p w14:paraId="10E04149">
            <w:pPr>
              <w:pStyle w:val="28"/>
              <w:bidi w:val="0"/>
            </w:pPr>
            <w:r>
              <w:t>42.7</w:t>
            </w:r>
          </w:p>
        </w:tc>
        <w:tc>
          <w:tcPr>
            <w:tcW w:w="208" w:type="pct"/>
            <w:vAlign w:val="center"/>
          </w:tcPr>
          <w:p w14:paraId="44CE85C9">
            <w:pPr>
              <w:pStyle w:val="28"/>
              <w:bidi w:val="0"/>
            </w:pPr>
            <w:r>
              <w:t>55</w:t>
            </w:r>
          </w:p>
        </w:tc>
        <w:tc>
          <w:tcPr>
            <w:tcW w:w="211" w:type="pct"/>
            <w:vAlign w:val="center"/>
          </w:tcPr>
          <w:p w14:paraId="0917A321">
            <w:pPr>
              <w:pStyle w:val="28"/>
              <w:bidi w:val="0"/>
            </w:pPr>
            <w:r>
              <w:t>45</w:t>
            </w:r>
          </w:p>
        </w:tc>
        <w:tc>
          <w:tcPr>
            <w:tcW w:w="276" w:type="pct"/>
            <w:vAlign w:val="center"/>
          </w:tcPr>
          <w:p w14:paraId="5967CD74">
            <w:pPr>
              <w:pStyle w:val="28"/>
              <w:bidi w:val="0"/>
            </w:pPr>
            <w:r>
              <w:t>76.2</w:t>
            </w:r>
          </w:p>
        </w:tc>
        <w:tc>
          <w:tcPr>
            <w:tcW w:w="257" w:type="pct"/>
            <w:vAlign w:val="center"/>
          </w:tcPr>
          <w:p w14:paraId="1B3635CE">
            <w:pPr>
              <w:pStyle w:val="28"/>
              <w:bidi w:val="0"/>
            </w:pPr>
            <w:r>
              <w:t>51.2</w:t>
            </w:r>
          </w:p>
        </w:tc>
        <w:tc>
          <w:tcPr>
            <w:tcW w:w="257" w:type="pct"/>
            <w:vAlign w:val="center"/>
          </w:tcPr>
          <w:p w14:paraId="098E2037">
            <w:pPr>
              <w:pStyle w:val="28"/>
              <w:bidi w:val="0"/>
            </w:pPr>
            <w:r>
              <w:t>54.7</w:t>
            </w:r>
          </w:p>
        </w:tc>
        <w:tc>
          <w:tcPr>
            <w:tcW w:w="257" w:type="pct"/>
            <w:vAlign w:val="center"/>
          </w:tcPr>
          <w:p w14:paraId="0DC8DFD0">
            <w:pPr>
              <w:pStyle w:val="28"/>
              <w:bidi w:val="0"/>
            </w:pPr>
            <w:r>
              <w:t>2.6</w:t>
            </w:r>
          </w:p>
        </w:tc>
        <w:tc>
          <w:tcPr>
            <w:tcW w:w="209" w:type="pct"/>
            <w:vAlign w:val="center"/>
          </w:tcPr>
          <w:p w14:paraId="3A6539C1">
            <w:pPr>
              <w:pStyle w:val="28"/>
              <w:bidi w:val="0"/>
            </w:pPr>
            <w:r>
              <w:t>达标</w:t>
            </w:r>
          </w:p>
        </w:tc>
      </w:tr>
      <w:tr w14:paraId="39D18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1707402">
            <w:pPr>
              <w:pStyle w:val="28"/>
              <w:bidi w:val="0"/>
            </w:pPr>
            <w:r>
              <w:rPr>
                <w:rFonts w:hint="eastAsia"/>
              </w:rPr>
              <w:t>管岗</w:t>
            </w:r>
          </w:p>
        </w:tc>
        <w:tc>
          <w:tcPr>
            <w:tcW w:w="511" w:type="pct"/>
            <w:vAlign w:val="center"/>
          </w:tcPr>
          <w:p w14:paraId="16BF3181">
            <w:pPr>
              <w:pStyle w:val="28"/>
              <w:bidi w:val="0"/>
            </w:pPr>
            <w:r>
              <w:rPr>
                <w:rFonts w:hint="eastAsia"/>
              </w:rPr>
              <w:t>渠道清淤</w:t>
            </w:r>
          </w:p>
        </w:tc>
        <w:tc>
          <w:tcPr>
            <w:tcW w:w="366" w:type="pct"/>
            <w:vAlign w:val="center"/>
          </w:tcPr>
          <w:p w14:paraId="33ED96E5">
            <w:pPr>
              <w:pStyle w:val="28"/>
              <w:bidi w:val="0"/>
            </w:pPr>
            <w:r>
              <w:t>5</w:t>
            </w:r>
          </w:p>
        </w:tc>
        <w:tc>
          <w:tcPr>
            <w:tcW w:w="268" w:type="pct"/>
            <w:vAlign w:val="center"/>
          </w:tcPr>
          <w:p w14:paraId="68378721">
            <w:pPr>
              <w:pStyle w:val="28"/>
              <w:bidi w:val="0"/>
            </w:pPr>
            <w:r>
              <w:rPr>
                <w:rFonts w:hint="eastAsia"/>
              </w:rPr>
              <w:t>右岸</w:t>
            </w:r>
          </w:p>
        </w:tc>
        <w:tc>
          <w:tcPr>
            <w:tcW w:w="262" w:type="pct"/>
            <w:vAlign w:val="center"/>
          </w:tcPr>
          <w:p w14:paraId="4F1DAEFA">
            <w:pPr>
              <w:pStyle w:val="28"/>
              <w:bidi w:val="0"/>
            </w:pPr>
            <w:r>
              <w:t>1</w:t>
            </w:r>
            <w:r>
              <w:rPr>
                <w:rFonts w:hint="eastAsia"/>
              </w:rPr>
              <w:t>类</w:t>
            </w:r>
          </w:p>
        </w:tc>
        <w:tc>
          <w:tcPr>
            <w:tcW w:w="809" w:type="pct"/>
            <w:vMerge w:val="continue"/>
            <w:vAlign w:val="center"/>
          </w:tcPr>
          <w:p w14:paraId="72D19F0D">
            <w:pPr>
              <w:pStyle w:val="28"/>
              <w:bidi w:val="0"/>
            </w:pPr>
          </w:p>
        </w:tc>
        <w:tc>
          <w:tcPr>
            <w:tcW w:w="208" w:type="pct"/>
            <w:vAlign w:val="center"/>
          </w:tcPr>
          <w:p w14:paraId="09736BC0">
            <w:pPr>
              <w:pStyle w:val="28"/>
              <w:bidi w:val="0"/>
            </w:pPr>
            <w:r>
              <w:t>52.1</w:t>
            </w:r>
          </w:p>
        </w:tc>
        <w:tc>
          <w:tcPr>
            <w:tcW w:w="211" w:type="pct"/>
            <w:vAlign w:val="center"/>
          </w:tcPr>
          <w:p w14:paraId="730E6BBC">
            <w:pPr>
              <w:pStyle w:val="28"/>
              <w:bidi w:val="0"/>
            </w:pPr>
            <w:r>
              <w:t>42.7</w:t>
            </w:r>
          </w:p>
        </w:tc>
        <w:tc>
          <w:tcPr>
            <w:tcW w:w="208" w:type="pct"/>
            <w:vAlign w:val="center"/>
          </w:tcPr>
          <w:p w14:paraId="409F12C2">
            <w:pPr>
              <w:pStyle w:val="28"/>
              <w:bidi w:val="0"/>
            </w:pPr>
            <w:r>
              <w:t>55</w:t>
            </w:r>
          </w:p>
        </w:tc>
        <w:tc>
          <w:tcPr>
            <w:tcW w:w="211" w:type="pct"/>
            <w:vAlign w:val="center"/>
          </w:tcPr>
          <w:p w14:paraId="2D9BCE9E">
            <w:pPr>
              <w:pStyle w:val="28"/>
              <w:bidi w:val="0"/>
            </w:pPr>
            <w:r>
              <w:t>45</w:t>
            </w:r>
          </w:p>
        </w:tc>
        <w:tc>
          <w:tcPr>
            <w:tcW w:w="276" w:type="pct"/>
            <w:vAlign w:val="center"/>
          </w:tcPr>
          <w:p w14:paraId="5AAAC1B6">
            <w:pPr>
              <w:pStyle w:val="28"/>
              <w:bidi w:val="0"/>
            </w:pPr>
            <w:r>
              <w:t>76.2</w:t>
            </w:r>
          </w:p>
        </w:tc>
        <w:tc>
          <w:tcPr>
            <w:tcW w:w="257" w:type="pct"/>
            <w:vAlign w:val="center"/>
          </w:tcPr>
          <w:p w14:paraId="56513C9D">
            <w:pPr>
              <w:pStyle w:val="28"/>
              <w:bidi w:val="0"/>
            </w:pPr>
            <w:r>
              <w:t>51.2</w:t>
            </w:r>
          </w:p>
        </w:tc>
        <w:tc>
          <w:tcPr>
            <w:tcW w:w="257" w:type="pct"/>
            <w:vAlign w:val="center"/>
          </w:tcPr>
          <w:p w14:paraId="23D3B322">
            <w:pPr>
              <w:pStyle w:val="28"/>
              <w:bidi w:val="0"/>
            </w:pPr>
            <w:r>
              <w:t>54.7</w:t>
            </w:r>
          </w:p>
        </w:tc>
        <w:tc>
          <w:tcPr>
            <w:tcW w:w="257" w:type="pct"/>
            <w:vAlign w:val="center"/>
          </w:tcPr>
          <w:p w14:paraId="17A995E3">
            <w:pPr>
              <w:pStyle w:val="28"/>
              <w:bidi w:val="0"/>
            </w:pPr>
            <w:r>
              <w:t>2.6</w:t>
            </w:r>
          </w:p>
        </w:tc>
        <w:tc>
          <w:tcPr>
            <w:tcW w:w="209" w:type="pct"/>
            <w:vAlign w:val="center"/>
          </w:tcPr>
          <w:p w14:paraId="3097E433">
            <w:pPr>
              <w:pStyle w:val="28"/>
              <w:bidi w:val="0"/>
            </w:pPr>
            <w:r>
              <w:t>达标</w:t>
            </w:r>
          </w:p>
        </w:tc>
      </w:tr>
      <w:tr w14:paraId="51B6C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685" w:type="pct"/>
            <w:vAlign w:val="center"/>
          </w:tcPr>
          <w:p w14:paraId="465E1FA1">
            <w:pPr>
              <w:pStyle w:val="28"/>
              <w:bidi w:val="0"/>
            </w:pPr>
            <w:r>
              <w:rPr>
                <w:rFonts w:hint="eastAsia"/>
              </w:rPr>
              <w:t>张草原</w:t>
            </w:r>
          </w:p>
        </w:tc>
        <w:tc>
          <w:tcPr>
            <w:tcW w:w="511" w:type="pct"/>
            <w:vAlign w:val="center"/>
          </w:tcPr>
          <w:p w14:paraId="22B36C34">
            <w:pPr>
              <w:pStyle w:val="28"/>
              <w:bidi w:val="0"/>
            </w:pPr>
            <w:r>
              <w:rPr>
                <w:rFonts w:hint="eastAsia"/>
              </w:rPr>
              <w:t>渠道清淤</w:t>
            </w:r>
          </w:p>
        </w:tc>
        <w:tc>
          <w:tcPr>
            <w:tcW w:w="366" w:type="pct"/>
            <w:vAlign w:val="center"/>
          </w:tcPr>
          <w:p w14:paraId="12288738">
            <w:pPr>
              <w:pStyle w:val="28"/>
              <w:bidi w:val="0"/>
            </w:pPr>
            <w:r>
              <w:t>5</w:t>
            </w:r>
          </w:p>
        </w:tc>
        <w:tc>
          <w:tcPr>
            <w:tcW w:w="268" w:type="pct"/>
            <w:vAlign w:val="center"/>
          </w:tcPr>
          <w:p w14:paraId="1C0A5498">
            <w:pPr>
              <w:pStyle w:val="28"/>
              <w:bidi w:val="0"/>
            </w:pPr>
            <w:r>
              <w:rPr>
                <w:rFonts w:hint="eastAsia"/>
              </w:rPr>
              <w:t>左岸</w:t>
            </w:r>
          </w:p>
        </w:tc>
        <w:tc>
          <w:tcPr>
            <w:tcW w:w="262" w:type="pct"/>
            <w:vAlign w:val="center"/>
          </w:tcPr>
          <w:p w14:paraId="58312470">
            <w:pPr>
              <w:pStyle w:val="28"/>
              <w:bidi w:val="0"/>
            </w:pPr>
            <w:r>
              <w:t>1</w:t>
            </w:r>
            <w:r>
              <w:rPr>
                <w:rFonts w:hint="eastAsia"/>
              </w:rPr>
              <w:t>类</w:t>
            </w:r>
          </w:p>
        </w:tc>
        <w:tc>
          <w:tcPr>
            <w:tcW w:w="809" w:type="pct"/>
            <w:vMerge w:val="continue"/>
            <w:vAlign w:val="center"/>
          </w:tcPr>
          <w:p w14:paraId="7B18B6BE">
            <w:pPr>
              <w:pStyle w:val="28"/>
              <w:bidi w:val="0"/>
            </w:pPr>
          </w:p>
        </w:tc>
        <w:tc>
          <w:tcPr>
            <w:tcW w:w="208" w:type="pct"/>
            <w:vAlign w:val="center"/>
          </w:tcPr>
          <w:p w14:paraId="4ABD73D7">
            <w:pPr>
              <w:pStyle w:val="28"/>
              <w:bidi w:val="0"/>
            </w:pPr>
            <w:r>
              <w:t>52.1</w:t>
            </w:r>
          </w:p>
        </w:tc>
        <w:tc>
          <w:tcPr>
            <w:tcW w:w="211" w:type="pct"/>
            <w:vAlign w:val="center"/>
          </w:tcPr>
          <w:p w14:paraId="56E67869">
            <w:pPr>
              <w:pStyle w:val="28"/>
              <w:bidi w:val="0"/>
            </w:pPr>
            <w:r>
              <w:t>42.7</w:t>
            </w:r>
          </w:p>
        </w:tc>
        <w:tc>
          <w:tcPr>
            <w:tcW w:w="208" w:type="pct"/>
            <w:vAlign w:val="center"/>
          </w:tcPr>
          <w:p w14:paraId="16CEB67A">
            <w:pPr>
              <w:pStyle w:val="28"/>
              <w:bidi w:val="0"/>
            </w:pPr>
            <w:r>
              <w:t>55</w:t>
            </w:r>
          </w:p>
        </w:tc>
        <w:tc>
          <w:tcPr>
            <w:tcW w:w="211" w:type="pct"/>
            <w:vAlign w:val="center"/>
          </w:tcPr>
          <w:p w14:paraId="2CAF9D70">
            <w:pPr>
              <w:pStyle w:val="28"/>
              <w:bidi w:val="0"/>
            </w:pPr>
            <w:r>
              <w:t>45</w:t>
            </w:r>
          </w:p>
        </w:tc>
        <w:tc>
          <w:tcPr>
            <w:tcW w:w="276" w:type="pct"/>
            <w:vAlign w:val="center"/>
          </w:tcPr>
          <w:p w14:paraId="5BF62F89">
            <w:pPr>
              <w:pStyle w:val="28"/>
              <w:bidi w:val="0"/>
            </w:pPr>
            <w:r>
              <w:t>76.2</w:t>
            </w:r>
          </w:p>
        </w:tc>
        <w:tc>
          <w:tcPr>
            <w:tcW w:w="257" w:type="pct"/>
            <w:vAlign w:val="center"/>
          </w:tcPr>
          <w:p w14:paraId="6225677B">
            <w:pPr>
              <w:pStyle w:val="28"/>
              <w:bidi w:val="0"/>
            </w:pPr>
            <w:r>
              <w:t>51.2</w:t>
            </w:r>
          </w:p>
        </w:tc>
        <w:tc>
          <w:tcPr>
            <w:tcW w:w="257" w:type="pct"/>
            <w:vAlign w:val="center"/>
          </w:tcPr>
          <w:p w14:paraId="6C89DD8F">
            <w:pPr>
              <w:pStyle w:val="28"/>
              <w:bidi w:val="0"/>
            </w:pPr>
            <w:r>
              <w:t>54.7</w:t>
            </w:r>
          </w:p>
        </w:tc>
        <w:tc>
          <w:tcPr>
            <w:tcW w:w="257" w:type="pct"/>
            <w:vAlign w:val="center"/>
          </w:tcPr>
          <w:p w14:paraId="033CFAD6">
            <w:pPr>
              <w:pStyle w:val="28"/>
              <w:bidi w:val="0"/>
            </w:pPr>
            <w:r>
              <w:t>2.6</w:t>
            </w:r>
          </w:p>
        </w:tc>
        <w:tc>
          <w:tcPr>
            <w:tcW w:w="209" w:type="pct"/>
            <w:vAlign w:val="center"/>
          </w:tcPr>
          <w:p w14:paraId="4929D4ED">
            <w:pPr>
              <w:pStyle w:val="28"/>
              <w:bidi w:val="0"/>
            </w:pPr>
            <w:r>
              <w:t>达标</w:t>
            </w:r>
          </w:p>
        </w:tc>
      </w:tr>
      <w:tr w14:paraId="2DB0D946">
        <w:tblPrEx>
          <w:tblCellMar>
            <w:top w:w="0" w:type="dxa"/>
            <w:left w:w="108" w:type="dxa"/>
            <w:bottom w:w="0" w:type="dxa"/>
            <w:right w:w="108" w:type="dxa"/>
          </w:tblCellMar>
        </w:tblPrEx>
        <w:trPr>
          <w:trHeight w:val="340" w:hRule="atLeast"/>
          <w:jc w:val="center"/>
        </w:trPr>
        <w:tc>
          <w:tcPr>
            <w:tcW w:w="685" w:type="pct"/>
            <w:vAlign w:val="center"/>
          </w:tcPr>
          <w:p w14:paraId="5B89EB48">
            <w:pPr>
              <w:pStyle w:val="28"/>
              <w:bidi w:val="0"/>
            </w:pPr>
            <w:r>
              <w:rPr>
                <w:rFonts w:hint="eastAsia"/>
              </w:rPr>
              <w:t>石山岗</w:t>
            </w:r>
          </w:p>
        </w:tc>
        <w:tc>
          <w:tcPr>
            <w:tcW w:w="511" w:type="pct"/>
            <w:vAlign w:val="center"/>
          </w:tcPr>
          <w:p w14:paraId="275773B7">
            <w:pPr>
              <w:pStyle w:val="28"/>
              <w:bidi w:val="0"/>
            </w:pPr>
            <w:r>
              <w:rPr>
                <w:rFonts w:hint="eastAsia"/>
              </w:rPr>
              <w:t>渠道清淤</w:t>
            </w:r>
          </w:p>
        </w:tc>
        <w:tc>
          <w:tcPr>
            <w:tcW w:w="366" w:type="pct"/>
            <w:vAlign w:val="center"/>
          </w:tcPr>
          <w:p w14:paraId="0FF7B13D">
            <w:pPr>
              <w:pStyle w:val="28"/>
              <w:bidi w:val="0"/>
            </w:pPr>
            <w:r>
              <w:t>5</w:t>
            </w:r>
          </w:p>
        </w:tc>
        <w:tc>
          <w:tcPr>
            <w:tcW w:w="268" w:type="pct"/>
            <w:vAlign w:val="center"/>
          </w:tcPr>
          <w:p w14:paraId="7626DBEC">
            <w:pPr>
              <w:pStyle w:val="28"/>
              <w:bidi w:val="0"/>
            </w:pPr>
            <w:r>
              <w:rPr>
                <w:rFonts w:hint="eastAsia"/>
              </w:rPr>
              <w:t>右岸</w:t>
            </w:r>
          </w:p>
        </w:tc>
        <w:tc>
          <w:tcPr>
            <w:tcW w:w="262" w:type="pct"/>
            <w:vAlign w:val="center"/>
          </w:tcPr>
          <w:p w14:paraId="65E58D9C">
            <w:pPr>
              <w:pStyle w:val="28"/>
              <w:bidi w:val="0"/>
            </w:pPr>
            <w:r>
              <w:t>1</w:t>
            </w:r>
            <w:r>
              <w:rPr>
                <w:rFonts w:hint="eastAsia"/>
              </w:rPr>
              <w:t>类</w:t>
            </w:r>
          </w:p>
        </w:tc>
        <w:tc>
          <w:tcPr>
            <w:tcW w:w="809" w:type="pct"/>
            <w:vMerge w:val="continue"/>
            <w:vAlign w:val="center"/>
          </w:tcPr>
          <w:p w14:paraId="24B67CC4">
            <w:pPr>
              <w:pStyle w:val="28"/>
              <w:bidi w:val="0"/>
            </w:pPr>
          </w:p>
        </w:tc>
        <w:tc>
          <w:tcPr>
            <w:tcW w:w="208" w:type="pct"/>
            <w:vAlign w:val="center"/>
          </w:tcPr>
          <w:p w14:paraId="1A559ECF">
            <w:pPr>
              <w:pStyle w:val="28"/>
              <w:bidi w:val="0"/>
            </w:pPr>
            <w:r>
              <w:t>52.1</w:t>
            </w:r>
          </w:p>
        </w:tc>
        <w:tc>
          <w:tcPr>
            <w:tcW w:w="211" w:type="pct"/>
            <w:vAlign w:val="center"/>
          </w:tcPr>
          <w:p w14:paraId="1268F1B0">
            <w:pPr>
              <w:pStyle w:val="28"/>
              <w:bidi w:val="0"/>
            </w:pPr>
            <w:r>
              <w:t>42.7</w:t>
            </w:r>
          </w:p>
        </w:tc>
        <w:tc>
          <w:tcPr>
            <w:tcW w:w="208" w:type="pct"/>
            <w:vAlign w:val="center"/>
          </w:tcPr>
          <w:p w14:paraId="6D377DC4">
            <w:pPr>
              <w:pStyle w:val="28"/>
              <w:bidi w:val="0"/>
            </w:pPr>
            <w:r>
              <w:t>55</w:t>
            </w:r>
          </w:p>
        </w:tc>
        <w:tc>
          <w:tcPr>
            <w:tcW w:w="211" w:type="pct"/>
            <w:vAlign w:val="center"/>
          </w:tcPr>
          <w:p w14:paraId="2E7591D4">
            <w:pPr>
              <w:pStyle w:val="28"/>
              <w:bidi w:val="0"/>
            </w:pPr>
            <w:r>
              <w:t>45</w:t>
            </w:r>
          </w:p>
        </w:tc>
        <w:tc>
          <w:tcPr>
            <w:tcW w:w="276" w:type="pct"/>
            <w:vAlign w:val="center"/>
          </w:tcPr>
          <w:p w14:paraId="7F581981">
            <w:pPr>
              <w:pStyle w:val="28"/>
              <w:bidi w:val="0"/>
            </w:pPr>
            <w:r>
              <w:t>76.2</w:t>
            </w:r>
          </w:p>
        </w:tc>
        <w:tc>
          <w:tcPr>
            <w:tcW w:w="257" w:type="pct"/>
            <w:vAlign w:val="center"/>
          </w:tcPr>
          <w:p w14:paraId="435A71C3">
            <w:pPr>
              <w:pStyle w:val="28"/>
              <w:bidi w:val="0"/>
            </w:pPr>
            <w:r>
              <w:t>51.2</w:t>
            </w:r>
          </w:p>
        </w:tc>
        <w:tc>
          <w:tcPr>
            <w:tcW w:w="257" w:type="pct"/>
            <w:vAlign w:val="center"/>
          </w:tcPr>
          <w:p w14:paraId="18387158">
            <w:pPr>
              <w:pStyle w:val="28"/>
              <w:bidi w:val="0"/>
            </w:pPr>
            <w:r>
              <w:t>54.7</w:t>
            </w:r>
          </w:p>
        </w:tc>
        <w:tc>
          <w:tcPr>
            <w:tcW w:w="257" w:type="pct"/>
            <w:vAlign w:val="center"/>
          </w:tcPr>
          <w:p w14:paraId="512B0024">
            <w:pPr>
              <w:pStyle w:val="28"/>
              <w:bidi w:val="0"/>
            </w:pPr>
            <w:r>
              <w:t>2.6</w:t>
            </w:r>
          </w:p>
        </w:tc>
        <w:tc>
          <w:tcPr>
            <w:tcW w:w="209" w:type="pct"/>
            <w:vAlign w:val="center"/>
          </w:tcPr>
          <w:p w14:paraId="3889CABE">
            <w:pPr>
              <w:pStyle w:val="28"/>
              <w:bidi w:val="0"/>
            </w:pPr>
            <w:r>
              <w:t>达标</w:t>
            </w:r>
          </w:p>
        </w:tc>
      </w:tr>
      <w:tr w14:paraId="321B9696">
        <w:tblPrEx>
          <w:tblCellMar>
            <w:top w:w="0" w:type="dxa"/>
            <w:left w:w="108" w:type="dxa"/>
            <w:bottom w:w="0" w:type="dxa"/>
            <w:right w:w="108" w:type="dxa"/>
          </w:tblCellMar>
        </w:tblPrEx>
        <w:trPr>
          <w:trHeight w:val="340" w:hRule="atLeast"/>
          <w:jc w:val="center"/>
        </w:trPr>
        <w:tc>
          <w:tcPr>
            <w:tcW w:w="685" w:type="pct"/>
            <w:vAlign w:val="center"/>
          </w:tcPr>
          <w:p w14:paraId="116CE2AC">
            <w:pPr>
              <w:pStyle w:val="28"/>
              <w:bidi w:val="0"/>
            </w:pPr>
            <w:r>
              <w:rPr>
                <w:rFonts w:hint="eastAsia"/>
              </w:rPr>
              <w:t>黄庄</w:t>
            </w:r>
          </w:p>
        </w:tc>
        <w:tc>
          <w:tcPr>
            <w:tcW w:w="511" w:type="pct"/>
            <w:vAlign w:val="center"/>
          </w:tcPr>
          <w:p w14:paraId="0655EFF3">
            <w:pPr>
              <w:pStyle w:val="28"/>
              <w:bidi w:val="0"/>
            </w:pPr>
            <w:r>
              <w:rPr>
                <w:rFonts w:hint="eastAsia"/>
              </w:rPr>
              <w:t>新建节制闸</w:t>
            </w:r>
          </w:p>
        </w:tc>
        <w:tc>
          <w:tcPr>
            <w:tcW w:w="366" w:type="pct"/>
            <w:vAlign w:val="center"/>
          </w:tcPr>
          <w:p w14:paraId="02E82FE1">
            <w:pPr>
              <w:pStyle w:val="28"/>
              <w:bidi w:val="0"/>
            </w:pPr>
            <w:r>
              <w:t>5</w:t>
            </w:r>
          </w:p>
        </w:tc>
        <w:tc>
          <w:tcPr>
            <w:tcW w:w="268" w:type="pct"/>
            <w:vAlign w:val="center"/>
          </w:tcPr>
          <w:p w14:paraId="798395C7">
            <w:pPr>
              <w:pStyle w:val="28"/>
              <w:bidi w:val="0"/>
            </w:pPr>
            <w:r>
              <w:rPr>
                <w:rFonts w:hint="eastAsia"/>
              </w:rPr>
              <w:t>左岸</w:t>
            </w:r>
          </w:p>
        </w:tc>
        <w:tc>
          <w:tcPr>
            <w:tcW w:w="262" w:type="pct"/>
            <w:vAlign w:val="center"/>
          </w:tcPr>
          <w:p w14:paraId="0CEACC0B">
            <w:pPr>
              <w:pStyle w:val="28"/>
              <w:bidi w:val="0"/>
            </w:pPr>
            <w:r>
              <w:t>1</w:t>
            </w:r>
            <w:r>
              <w:rPr>
                <w:rFonts w:hint="eastAsia"/>
              </w:rPr>
              <w:t>类</w:t>
            </w:r>
          </w:p>
        </w:tc>
        <w:tc>
          <w:tcPr>
            <w:tcW w:w="809" w:type="pct"/>
            <w:vMerge w:val="continue"/>
            <w:vAlign w:val="center"/>
          </w:tcPr>
          <w:p w14:paraId="023F7923">
            <w:pPr>
              <w:pStyle w:val="28"/>
              <w:bidi w:val="0"/>
            </w:pPr>
          </w:p>
        </w:tc>
        <w:tc>
          <w:tcPr>
            <w:tcW w:w="208" w:type="pct"/>
            <w:vAlign w:val="center"/>
          </w:tcPr>
          <w:p w14:paraId="3D327577">
            <w:pPr>
              <w:pStyle w:val="28"/>
              <w:bidi w:val="0"/>
            </w:pPr>
            <w:r>
              <w:t>52.1</w:t>
            </w:r>
          </w:p>
        </w:tc>
        <w:tc>
          <w:tcPr>
            <w:tcW w:w="211" w:type="pct"/>
            <w:vAlign w:val="center"/>
          </w:tcPr>
          <w:p w14:paraId="277A2BA0">
            <w:pPr>
              <w:pStyle w:val="28"/>
              <w:bidi w:val="0"/>
            </w:pPr>
            <w:r>
              <w:t>42.7</w:t>
            </w:r>
          </w:p>
        </w:tc>
        <w:tc>
          <w:tcPr>
            <w:tcW w:w="208" w:type="pct"/>
            <w:vAlign w:val="center"/>
          </w:tcPr>
          <w:p w14:paraId="2174A063">
            <w:pPr>
              <w:pStyle w:val="28"/>
              <w:bidi w:val="0"/>
            </w:pPr>
            <w:r>
              <w:t>55</w:t>
            </w:r>
          </w:p>
        </w:tc>
        <w:tc>
          <w:tcPr>
            <w:tcW w:w="211" w:type="pct"/>
            <w:vAlign w:val="center"/>
          </w:tcPr>
          <w:p w14:paraId="612740AD">
            <w:pPr>
              <w:pStyle w:val="28"/>
              <w:bidi w:val="0"/>
            </w:pPr>
            <w:r>
              <w:t>45</w:t>
            </w:r>
          </w:p>
        </w:tc>
        <w:tc>
          <w:tcPr>
            <w:tcW w:w="276" w:type="pct"/>
            <w:vAlign w:val="center"/>
          </w:tcPr>
          <w:p w14:paraId="196865A5">
            <w:pPr>
              <w:pStyle w:val="28"/>
              <w:bidi w:val="0"/>
            </w:pPr>
            <w:r>
              <w:t>79.2</w:t>
            </w:r>
          </w:p>
        </w:tc>
        <w:tc>
          <w:tcPr>
            <w:tcW w:w="257" w:type="pct"/>
            <w:vAlign w:val="center"/>
          </w:tcPr>
          <w:p w14:paraId="6907D457">
            <w:pPr>
              <w:pStyle w:val="28"/>
              <w:bidi w:val="0"/>
            </w:pPr>
            <w:r>
              <w:t>51.2</w:t>
            </w:r>
          </w:p>
        </w:tc>
        <w:tc>
          <w:tcPr>
            <w:tcW w:w="257" w:type="pct"/>
            <w:vAlign w:val="center"/>
          </w:tcPr>
          <w:p w14:paraId="2D7DE314">
            <w:pPr>
              <w:pStyle w:val="28"/>
              <w:bidi w:val="0"/>
            </w:pPr>
            <w:r>
              <w:t>54.7</w:t>
            </w:r>
          </w:p>
        </w:tc>
        <w:tc>
          <w:tcPr>
            <w:tcW w:w="257" w:type="pct"/>
            <w:vAlign w:val="center"/>
          </w:tcPr>
          <w:p w14:paraId="047D6119">
            <w:pPr>
              <w:pStyle w:val="28"/>
              <w:bidi w:val="0"/>
            </w:pPr>
            <w:r>
              <w:t>2.6</w:t>
            </w:r>
          </w:p>
        </w:tc>
        <w:tc>
          <w:tcPr>
            <w:tcW w:w="209" w:type="pct"/>
            <w:vAlign w:val="center"/>
          </w:tcPr>
          <w:p w14:paraId="6061C9F6">
            <w:pPr>
              <w:pStyle w:val="28"/>
              <w:bidi w:val="0"/>
            </w:pPr>
            <w:r>
              <w:t>达标</w:t>
            </w:r>
          </w:p>
        </w:tc>
      </w:tr>
      <w:tr w14:paraId="518F8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3B0D874E">
            <w:pPr>
              <w:pStyle w:val="28"/>
              <w:bidi w:val="0"/>
            </w:pPr>
            <w:r>
              <w:rPr>
                <w:rFonts w:hint="eastAsia"/>
              </w:rPr>
              <w:t>店门口</w:t>
            </w:r>
          </w:p>
        </w:tc>
        <w:tc>
          <w:tcPr>
            <w:tcW w:w="511" w:type="pct"/>
            <w:vAlign w:val="center"/>
          </w:tcPr>
          <w:p w14:paraId="378A20FA">
            <w:pPr>
              <w:pStyle w:val="28"/>
              <w:bidi w:val="0"/>
            </w:pPr>
            <w:r>
              <w:rPr>
                <w:rFonts w:hint="eastAsia"/>
              </w:rPr>
              <w:t>新建节制闸</w:t>
            </w:r>
          </w:p>
        </w:tc>
        <w:tc>
          <w:tcPr>
            <w:tcW w:w="366" w:type="pct"/>
            <w:vAlign w:val="center"/>
          </w:tcPr>
          <w:p w14:paraId="5A02E7D3">
            <w:pPr>
              <w:pStyle w:val="28"/>
              <w:bidi w:val="0"/>
            </w:pPr>
            <w:r>
              <w:t>50</w:t>
            </w:r>
          </w:p>
        </w:tc>
        <w:tc>
          <w:tcPr>
            <w:tcW w:w="268" w:type="pct"/>
            <w:vAlign w:val="center"/>
          </w:tcPr>
          <w:p w14:paraId="3F58240A">
            <w:pPr>
              <w:pStyle w:val="28"/>
              <w:bidi w:val="0"/>
            </w:pPr>
            <w:r>
              <w:rPr>
                <w:rFonts w:hint="eastAsia"/>
              </w:rPr>
              <w:t>右岸</w:t>
            </w:r>
          </w:p>
        </w:tc>
        <w:tc>
          <w:tcPr>
            <w:tcW w:w="262" w:type="pct"/>
            <w:vAlign w:val="center"/>
          </w:tcPr>
          <w:p w14:paraId="7848EDA4">
            <w:pPr>
              <w:pStyle w:val="28"/>
              <w:bidi w:val="0"/>
            </w:pPr>
            <w:r>
              <w:t>1</w:t>
            </w:r>
            <w:r>
              <w:rPr>
                <w:rFonts w:hint="eastAsia"/>
              </w:rPr>
              <w:t>类</w:t>
            </w:r>
          </w:p>
        </w:tc>
        <w:tc>
          <w:tcPr>
            <w:tcW w:w="809" w:type="pct"/>
            <w:vAlign w:val="center"/>
          </w:tcPr>
          <w:p w14:paraId="404A5B5D">
            <w:pPr>
              <w:pStyle w:val="28"/>
              <w:bidi w:val="0"/>
            </w:pPr>
            <w:r>
              <w:rPr>
                <w:rFonts w:hint="eastAsia"/>
              </w:rPr>
              <w:t>采用低噪声设备，施工机械远离居民住宅，设置单层移动声屏障</w:t>
            </w:r>
          </w:p>
        </w:tc>
        <w:tc>
          <w:tcPr>
            <w:tcW w:w="208" w:type="pct"/>
            <w:vAlign w:val="center"/>
          </w:tcPr>
          <w:p w14:paraId="752A8398">
            <w:pPr>
              <w:pStyle w:val="28"/>
              <w:bidi w:val="0"/>
            </w:pPr>
            <w:r>
              <w:t>53</w:t>
            </w:r>
          </w:p>
        </w:tc>
        <w:tc>
          <w:tcPr>
            <w:tcW w:w="211" w:type="pct"/>
            <w:vAlign w:val="center"/>
          </w:tcPr>
          <w:p w14:paraId="37C13330">
            <w:pPr>
              <w:pStyle w:val="28"/>
              <w:bidi w:val="0"/>
            </w:pPr>
            <w:r>
              <w:t>42.7</w:t>
            </w:r>
          </w:p>
        </w:tc>
        <w:tc>
          <w:tcPr>
            <w:tcW w:w="208" w:type="pct"/>
            <w:vAlign w:val="center"/>
          </w:tcPr>
          <w:p w14:paraId="0BE5D41A">
            <w:pPr>
              <w:pStyle w:val="28"/>
              <w:bidi w:val="0"/>
            </w:pPr>
            <w:r>
              <w:t>55</w:t>
            </w:r>
          </w:p>
        </w:tc>
        <w:tc>
          <w:tcPr>
            <w:tcW w:w="211" w:type="pct"/>
            <w:vAlign w:val="center"/>
          </w:tcPr>
          <w:p w14:paraId="2C03709C">
            <w:pPr>
              <w:pStyle w:val="28"/>
              <w:bidi w:val="0"/>
            </w:pPr>
            <w:r>
              <w:t>45</w:t>
            </w:r>
          </w:p>
        </w:tc>
        <w:tc>
          <w:tcPr>
            <w:tcW w:w="276" w:type="pct"/>
            <w:vAlign w:val="center"/>
          </w:tcPr>
          <w:p w14:paraId="62948BE2">
            <w:pPr>
              <w:pStyle w:val="28"/>
              <w:bidi w:val="0"/>
            </w:pPr>
            <w:r>
              <w:t>59.2</w:t>
            </w:r>
          </w:p>
        </w:tc>
        <w:tc>
          <w:tcPr>
            <w:tcW w:w="257" w:type="pct"/>
            <w:vAlign w:val="center"/>
          </w:tcPr>
          <w:p w14:paraId="50308690">
            <w:pPr>
              <w:pStyle w:val="28"/>
              <w:bidi w:val="0"/>
            </w:pPr>
            <w:r>
              <w:t>44.2</w:t>
            </w:r>
          </w:p>
        </w:tc>
        <w:tc>
          <w:tcPr>
            <w:tcW w:w="257" w:type="pct"/>
            <w:vAlign w:val="center"/>
          </w:tcPr>
          <w:p w14:paraId="248A9EC1">
            <w:pPr>
              <w:pStyle w:val="28"/>
              <w:bidi w:val="0"/>
            </w:pPr>
            <w:r>
              <w:t>53.5</w:t>
            </w:r>
          </w:p>
        </w:tc>
        <w:tc>
          <w:tcPr>
            <w:tcW w:w="257" w:type="pct"/>
            <w:vAlign w:val="center"/>
          </w:tcPr>
          <w:p w14:paraId="55684E5E">
            <w:pPr>
              <w:pStyle w:val="28"/>
              <w:bidi w:val="0"/>
            </w:pPr>
            <w:r>
              <w:t>0.5</w:t>
            </w:r>
          </w:p>
        </w:tc>
        <w:tc>
          <w:tcPr>
            <w:tcW w:w="209" w:type="pct"/>
            <w:vAlign w:val="center"/>
          </w:tcPr>
          <w:p w14:paraId="2F904F67">
            <w:pPr>
              <w:pStyle w:val="28"/>
              <w:bidi w:val="0"/>
            </w:pPr>
            <w:r>
              <w:t>达标</w:t>
            </w:r>
          </w:p>
        </w:tc>
      </w:tr>
      <w:tr w14:paraId="333C2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542D71EC">
            <w:pPr>
              <w:pStyle w:val="28"/>
              <w:bidi w:val="0"/>
            </w:pPr>
            <w:r>
              <w:rPr>
                <w:rFonts w:hint="eastAsia"/>
              </w:rPr>
              <w:t>冯楼村</w:t>
            </w:r>
          </w:p>
        </w:tc>
        <w:tc>
          <w:tcPr>
            <w:tcW w:w="511" w:type="pct"/>
            <w:vAlign w:val="center"/>
          </w:tcPr>
          <w:p w14:paraId="195BCEB0">
            <w:pPr>
              <w:pStyle w:val="28"/>
              <w:bidi w:val="0"/>
            </w:pPr>
            <w:r>
              <w:rPr>
                <w:rFonts w:hint="eastAsia"/>
              </w:rPr>
              <w:t>新建节制闸</w:t>
            </w:r>
          </w:p>
        </w:tc>
        <w:tc>
          <w:tcPr>
            <w:tcW w:w="366" w:type="pct"/>
            <w:vAlign w:val="center"/>
          </w:tcPr>
          <w:p w14:paraId="2D85B60D">
            <w:pPr>
              <w:pStyle w:val="28"/>
              <w:bidi w:val="0"/>
            </w:pPr>
            <w:r>
              <w:t>5</w:t>
            </w:r>
          </w:p>
        </w:tc>
        <w:tc>
          <w:tcPr>
            <w:tcW w:w="268" w:type="pct"/>
            <w:vAlign w:val="center"/>
          </w:tcPr>
          <w:p w14:paraId="17FCB2F2">
            <w:pPr>
              <w:pStyle w:val="28"/>
              <w:bidi w:val="0"/>
            </w:pPr>
            <w:r>
              <w:rPr>
                <w:rFonts w:hint="eastAsia"/>
              </w:rPr>
              <w:t>左岸</w:t>
            </w:r>
          </w:p>
        </w:tc>
        <w:tc>
          <w:tcPr>
            <w:tcW w:w="262" w:type="pct"/>
            <w:vAlign w:val="center"/>
          </w:tcPr>
          <w:p w14:paraId="48E20BD0">
            <w:pPr>
              <w:pStyle w:val="28"/>
              <w:bidi w:val="0"/>
            </w:pPr>
            <w:r>
              <w:t>1</w:t>
            </w:r>
            <w:r>
              <w:rPr>
                <w:rFonts w:hint="eastAsia"/>
              </w:rPr>
              <w:t>类</w:t>
            </w:r>
          </w:p>
        </w:tc>
        <w:tc>
          <w:tcPr>
            <w:tcW w:w="809" w:type="pct"/>
            <w:vMerge w:val="restart"/>
            <w:vAlign w:val="center"/>
          </w:tcPr>
          <w:p w14:paraId="4BAA830F">
            <w:pPr>
              <w:pStyle w:val="28"/>
              <w:bidi w:val="0"/>
            </w:pPr>
            <w:r>
              <w:rPr>
                <w:rFonts w:hint="eastAsia"/>
              </w:rPr>
              <w:t>采用低噪声设备，施工机械远离居民住宅，设置双层移动声屏障</w:t>
            </w:r>
          </w:p>
        </w:tc>
        <w:tc>
          <w:tcPr>
            <w:tcW w:w="208" w:type="pct"/>
            <w:vAlign w:val="center"/>
          </w:tcPr>
          <w:p w14:paraId="75CBAFCC">
            <w:pPr>
              <w:pStyle w:val="28"/>
              <w:bidi w:val="0"/>
            </w:pPr>
            <w:r>
              <w:t>52.3</w:t>
            </w:r>
          </w:p>
        </w:tc>
        <w:tc>
          <w:tcPr>
            <w:tcW w:w="211" w:type="pct"/>
            <w:vAlign w:val="center"/>
          </w:tcPr>
          <w:p w14:paraId="1B58ED7D">
            <w:pPr>
              <w:pStyle w:val="28"/>
              <w:bidi w:val="0"/>
            </w:pPr>
            <w:r>
              <w:t>43.1</w:t>
            </w:r>
          </w:p>
        </w:tc>
        <w:tc>
          <w:tcPr>
            <w:tcW w:w="208" w:type="pct"/>
            <w:vAlign w:val="center"/>
          </w:tcPr>
          <w:p w14:paraId="7EC7D9E7">
            <w:pPr>
              <w:pStyle w:val="28"/>
              <w:bidi w:val="0"/>
            </w:pPr>
            <w:r>
              <w:t>55</w:t>
            </w:r>
          </w:p>
        </w:tc>
        <w:tc>
          <w:tcPr>
            <w:tcW w:w="211" w:type="pct"/>
            <w:vAlign w:val="center"/>
          </w:tcPr>
          <w:p w14:paraId="49802B3E">
            <w:pPr>
              <w:pStyle w:val="28"/>
              <w:bidi w:val="0"/>
            </w:pPr>
            <w:r>
              <w:t>45</w:t>
            </w:r>
          </w:p>
        </w:tc>
        <w:tc>
          <w:tcPr>
            <w:tcW w:w="276" w:type="pct"/>
            <w:vAlign w:val="center"/>
          </w:tcPr>
          <w:p w14:paraId="5D3500B4">
            <w:pPr>
              <w:pStyle w:val="28"/>
              <w:bidi w:val="0"/>
            </w:pPr>
            <w:r>
              <w:t>79.2</w:t>
            </w:r>
          </w:p>
        </w:tc>
        <w:tc>
          <w:tcPr>
            <w:tcW w:w="257" w:type="pct"/>
            <w:vAlign w:val="center"/>
          </w:tcPr>
          <w:p w14:paraId="505DB56E">
            <w:pPr>
              <w:pStyle w:val="28"/>
              <w:bidi w:val="0"/>
            </w:pPr>
            <w:r>
              <w:t>51.2</w:t>
            </w:r>
          </w:p>
        </w:tc>
        <w:tc>
          <w:tcPr>
            <w:tcW w:w="257" w:type="pct"/>
            <w:vAlign w:val="center"/>
          </w:tcPr>
          <w:p w14:paraId="59C77A17">
            <w:pPr>
              <w:pStyle w:val="28"/>
              <w:bidi w:val="0"/>
            </w:pPr>
            <w:r>
              <w:t>54.8</w:t>
            </w:r>
          </w:p>
        </w:tc>
        <w:tc>
          <w:tcPr>
            <w:tcW w:w="257" w:type="pct"/>
            <w:vAlign w:val="center"/>
          </w:tcPr>
          <w:p w14:paraId="408AE27C">
            <w:pPr>
              <w:pStyle w:val="28"/>
              <w:bidi w:val="0"/>
            </w:pPr>
            <w:r>
              <w:t>2.5</w:t>
            </w:r>
          </w:p>
        </w:tc>
        <w:tc>
          <w:tcPr>
            <w:tcW w:w="209" w:type="pct"/>
            <w:vAlign w:val="center"/>
          </w:tcPr>
          <w:p w14:paraId="783ACB46">
            <w:pPr>
              <w:pStyle w:val="28"/>
              <w:bidi w:val="0"/>
            </w:pPr>
            <w:r>
              <w:t>达标</w:t>
            </w:r>
          </w:p>
        </w:tc>
      </w:tr>
      <w:tr w14:paraId="6A9278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7849DB5A">
            <w:pPr>
              <w:pStyle w:val="28"/>
              <w:bidi w:val="0"/>
            </w:pPr>
            <w:r>
              <w:rPr>
                <w:rFonts w:hint="eastAsia"/>
              </w:rPr>
              <w:t>毕小圩</w:t>
            </w:r>
          </w:p>
        </w:tc>
        <w:tc>
          <w:tcPr>
            <w:tcW w:w="511" w:type="pct"/>
            <w:vAlign w:val="center"/>
          </w:tcPr>
          <w:p w14:paraId="3A1ED12C">
            <w:pPr>
              <w:pStyle w:val="28"/>
              <w:bidi w:val="0"/>
            </w:pPr>
            <w:r>
              <w:rPr>
                <w:rFonts w:hint="eastAsia"/>
              </w:rPr>
              <w:t>新建节制闸</w:t>
            </w:r>
          </w:p>
        </w:tc>
        <w:tc>
          <w:tcPr>
            <w:tcW w:w="366" w:type="pct"/>
            <w:vAlign w:val="center"/>
          </w:tcPr>
          <w:p w14:paraId="4A439399">
            <w:pPr>
              <w:pStyle w:val="28"/>
              <w:bidi w:val="0"/>
            </w:pPr>
            <w:r>
              <w:t>20</w:t>
            </w:r>
          </w:p>
        </w:tc>
        <w:tc>
          <w:tcPr>
            <w:tcW w:w="268" w:type="pct"/>
            <w:vAlign w:val="center"/>
          </w:tcPr>
          <w:p w14:paraId="4A9D326E">
            <w:pPr>
              <w:pStyle w:val="28"/>
              <w:bidi w:val="0"/>
            </w:pPr>
            <w:r>
              <w:rPr>
                <w:rFonts w:hint="eastAsia"/>
              </w:rPr>
              <w:t>右岸</w:t>
            </w:r>
          </w:p>
        </w:tc>
        <w:tc>
          <w:tcPr>
            <w:tcW w:w="262" w:type="pct"/>
            <w:vAlign w:val="center"/>
          </w:tcPr>
          <w:p w14:paraId="5D733733">
            <w:pPr>
              <w:pStyle w:val="28"/>
              <w:bidi w:val="0"/>
            </w:pPr>
            <w:r>
              <w:t>1</w:t>
            </w:r>
            <w:r>
              <w:rPr>
                <w:rFonts w:hint="eastAsia"/>
              </w:rPr>
              <w:t>类</w:t>
            </w:r>
          </w:p>
        </w:tc>
        <w:tc>
          <w:tcPr>
            <w:tcW w:w="809" w:type="pct"/>
            <w:vMerge w:val="continue"/>
            <w:vAlign w:val="center"/>
          </w:tcPr>
          <w:p w14:paraId="7C6D4E59">
            <w:pPr>
              <w:pStyle w:val="28"/>
              <w:bidi w:val="0"/>
            </w:pPr>
          </w:p>
        </w:tc>
        <w:tc>
          <w:tcPr>
            <w:tcW w:w="208" w:type="pct"/>
            <w:vAlign w:val="center"/>
          </w:tcPr>
          <w:p w14:paraId="70E06C87">
            <w:pPr>
              <w:pStyle w:val="28"/>
              <w:bidi w:val="0"/>
            </w:pPr>
            <w:r>
              <w:t>52.3</w:t>
            </w:r>
          </w:p>
        </w:tc>
        <w:tc>
          <w:tcPr>
            <w:tcW w:w="211" w:type="pct"/>
            <w:vAlign w:val="center"/>
          </w:tcPr>
          <w:p w14:paraId="4D7B6BF3">
            <w:pPr>
              <w:pStyle w:val="28"/>
              <w:bidi w:val="0"/>
            </w:pPr>
            <w:r>
              <w:t>43.1</w:t>
            </w:r>
          </w:p>
        </w:tc>
        <w:tc>
          <w:tcPr>
            <w:tcW w:w="208" w:type="pct"/>
            <w:vAlign w:val="center"/>
          </w:tcPr>
          <w:p w14:paraId="2449E195">
            <w:pPr>
              <w:pStyle w:val="28"/>
              <w:bidi w:val="0"/>
            </w:pPr>
            <w:r>
              <w:t>55</w:t>
            </w:r>
          </w:p>
        </w:tc>
        <w:tc>
          <w:tcPr>
            <w:tcW w:w="211" w:type="pct"/>
            <w:vAlign w:val="center"/>
          </w:tcPr>
          <w:p w14:paraId="413DF845">
            <w:pPr>
              <w:pStyle w:val="28"/>
              <w:bidi w:val="0"/>
            </w:pPr>
            <w:r>
              <w:t>45</w:t>
            </w:r>
          </w:p>
        </w:tc>
        <w:tc>
          <w:tcPr>
            <w:tcW w:w="276" w:type="pct"/>
            <w:vAlign w:val="center"/>
          </w:tcPr>
          <w:p w14:paraId="1EBC8618">
            <w:pPr>
              <w:pStyle w:val="28"/>
              <w:bidi w:val="0"/>
            </w:pPr>
            <w:r>
              <w:t>67.2</w:t>
            </w:r>
          </w:p>
        </w:tc>
        <w:tc>
          <w:tcPr>
            <w:tcW w:w="257" w:type="pct"/>
            <w:vAlign w:val="center"/>
          </w:tcPr>
          <w:p w14:paraId="6A99DE83">
            <w:pPr>
              <w:pStyle w:val="28"/>
              <w:bidi w:val="0"/>
            </w:pPr>
            <w:r>
              <w:t>47.2</w:t>
            </w:r>
          </w:p>
        </w:tc>
        <w:tc>
          <w:tcPr>
            <w:tcW w:w="257" w:type="pct"/>
            <w:vAlign w:val="center"/>
          </w:tcPr>
          <w:p w14:paraId="1767DF15">
            <w:pPr>
              <w:pStyle w:val="28"/>
              <w:bidi w:val="0"/>
            </w:pPr>
            <w:r>
              <w:t>53.5</w:t>
            </w:r>
          </w:p>
        </w:tc>
        <w:tc>
          <w:tcPr>
            <w:tcW w:w="257" w:type="pct"/>
            <w:vAlign w:val="center"/>
          </w:tcPr>
          <w:p w14:paraId="6A3282E3">
            <w:pPr>
              <w:pStyle w:val="28"/>
              <w:bidi w:val="0"/>
            </w:pPr>
            <w:r>
              <w:t>1.2</w:t>
            </w:r>
          </w:p>
        </w:tc>
        <w:tc>
          <w:tcPr>
            <w:tcW w:w="209" w:type="pct"/>
            <w:vAlign w:val="center"/>
          </w:tcPr>
          <w:p w14:paraId="586176E5">
            <w:pPr>
              <w:pStyle w:val="28"/>
              <w:bidi w:val="0"/>
            </w:pPr>
            <w:r>
              <w:t>达标</w:t>
            </w:r>
          </w:p>
        </w:tc>
      </w:tr>
      <w:tr w14:paraId="3A5E9E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4DC7E989">
            <w:pPr>
              <w:pStyle w:val="28"/>
              <w:bidi w:val="0"/>
            </w:pPr>
            <w:r>
              <w:rPr>
                <w:rFonts w:hint="eastAsia"/>
              </w:rPr>
              <w:t>张墩</w:t>
            </w:r>
          </w:p>
        </w:tc>
        <w:tc>
          <w:tcPr>
            <w:tcW w:w="511" w:type="pct"/>
            <w:vAlign w:val="center"/>
          </w:tcPr>
          <w:p w14:paraId="39016C34">
            <w:pPr>
              <w:pStyle w:val="28"/>
              <w:bidi w:val="0"/>
            </w:pPr>
            <w:r>
              <w:rPr>
                <w:rFonts w:hint="eastAsia"/>
              </w:rPr>
              <w:t>渠道清淤</w:t>
            </w:r>
          </w:p>
        </w:tc>
        <w:tc>
          <w:tcPr>
            <w:tcW w:w="366" w:type="pct"/>
            <w:vAlign w:val="center"/>
          </w:tcPr>
          <w:p w14:paraId="49098CAA">
            <w:pPr>
              <w:pStyle w:val="28"/>
              <w:bidi w:val="0"/>
            </w:pPr>
            <w:r>
              <w:t>5</w:t>
            </w:r>
          </w:p>
        </w:tc>
        <w:tc>
          <w:tcPr>
            <w:tcW w:w="268" w:type="pct"/>
            <w:vAlign w:val="center"/>
          </w:tcPr>
          <w:p w14:paraId="08E226A7">
            <w:pPr>
              <w:pStyle w:val="28"/>
              <w:bidi w:val="0"/>
            </w:pPr>
            <w:r>
              <w:rPr>
                <w:rFonts w:hint="eastAsia"/>
              </w:rPr>
              <w:t>左岸</w:t>
            </w:r>
          </w:p>
        </w:tc>
        <w:tc>
          <w:tcPr>
            <w:tcW w:w="262" w:type="pct"/>
            <w:vAlign w:val="center"/>
          </w:tcPr>
          <w:p w14:paraId="1DF1F884">
            <w:pPr>
              <w:pStyle w:val="28"/>
              <w:bidi w:val="0"/>
            </w:pPr>
            <w:r>
              <w:t>1</w:t>
            </w:r>
            <w:r>
              <w:rPr>
                <w:rFonts w:hint="eastAsia"/>
              </w:rPr>
              <w:t>类</w:t>
            </w:r>
          </w:p>
        </w:tc>
        <w:tc>
          <w:tcPr>
            <w:tcW w:w="809" w:type="pct"/>
            <w:vMerge w:val="continue"/>
            <w:vAlign w:val="center"/>
          </w:tcPr>
          <w:p w14:paraId="7E72E4E8">
            <w:pPr>
              <w:pStyle w:val="28"/>
              <w:bidi w:val="0"/>
            </w:pPr>
          </w:p>
        </w:tc>
        <w:tc>
          <w:tcPr>
            <w:tcW w:w="208" w:type="pct"/>
            <w:vAlign w:val="center"/>
          </w:tcPr>
          <w:p w14:paraId="17D1AA4D">
            <w:pPr>
              <w:pStyle w:val="28"/>
              <w:bidi w:val="0"/>
            </w:pPr>
            <w:r>
              <w:t>52.3</w:t>
            </w:r>
          </w:p>
        </w:tc>
        <w:tc>
          <w:tcPr>
            <w:tcW w:w="211" w:type="pct"/>
            <w:vAlign w:val="center"/>
          </w:tcPr>
          <w:p w14:paraId="72A63E90">
            <w:pPr>
              <w:pStyle w:val="28"/>
              <w:bidi w:val="0"/>
            </w:pPr>
            <w:r>
              <w:t>43.1</w:t>
            </w:r>
          </w:p>
        </w:tc>
        <w:tc>
          <w:tcPr>
            <w:tcW w:w="208" w:type="pct"/>
            <w:vAlign w:val="center"/>
          </w:tcPr>
          <w:p w14:paraId="4D28ECEB">
            <w:pPr>
              <w:pStyle w:val="28"/>
              <w:bidi w:val="0"/>
            </w:pPr>
            <w:r>
              <w:t>55</w:t>
            </w:r>
          </w:p>
        </w:tc>
        <w:tc>
          <w:tcPr>
            <w:tcW w:w="211" w:type="pct"/>
            <w:vAlign w:val="center"/>
          </w:tcPr>
          <w:p w14:paraId="03A8AD1F">
            <w:pPr>
              <w:pStyle w:val="28"/>
              <w:bidi w:val="0"/>
            </w:pPr>
            <w:r>
              <w:t>45</w:t>
            </w:r>
          </w:p>
        </w:tc>
        <w:tc>
          <w:tcPr>
            <w:tcW w:w="276" w:type="pct"/>
            <w:vAlign w:val="center"/>
          </w:tcPr>
          <w:p w14:paraId="62E0B27D">
            <w:pPr>
              <w:pStyle w:val="28"/>
              <w:bidi w:val="0"/>
            </w:pPr>
            <w:r>
              <w:t>76.2</w:t>
            </w:r>
          </w:p>
        </w:tc>
        <w:tc>
          <w:tcPr>
            <w:tcW w:w="257" w:type="pct"/>
            <w:vAlign w:val="center"/>
          </w:tcPr>
          <w:p w14:paraId="5039D49F">
            <w:pPr>
              <w:pStyle w:val="28"/>
              <w:bidi w:val="0"/>
            </w:pPr>
            <w:r>
              <w:t>51.2</w:t>
            </w:r>
          </w:p>
        </w:tc>
        <w:tc>
          <w:tcPr>
            <w:tcW w:w="257" w:type="pct"/>
            <w:vAlign w:val="center"/>
          </w:tcPr>
          <w:p w14:paraId="59943DAF">
            <w:pPr>
              <w:pStyle w:val="28"/>
              <w:bidi w:val="0"/>
            </w:pPr>
            <w:r>
              <w:t>54.8</w:t>
            </w:r>
          </w:p>
        </w:tc>
        <w:tc>
          <w:tcPr>
            <w:tcW w:w="257" w:type="pct"/>
            <w:vAlign w:val="center"/>
          </w:tcPr>
          <w:p w14:paraId="2ADAD9EF">
            <w:pPr>
              <w:pStyle w:val="28"/>
              <w:bidi w:val="0"/>
            </w:pPr>
            <w:r>
              <w:t>2.5</w:t>
            </w:r>
          </w:p>
        </w:tc>
        <w:tc>
          <w:tcPr>
            <w:tcW w:w="209" w:type="pct"/>
            <w:vAlign w:val="center"/>
          </w:tcPr>
          <w:p w14:paraId="03CBFE3A">
            <w:pPr>
              <w:pStyle w:val="28"/>
              <w:bidi w:val="0"/>
            </w:pPr>
            <w:r>
              <w:t>达标</w:t>
            </w:r>
          </w:p>
        </w:tc>
      </w:tr>
      <w:tr w14:paraId="00E8E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2DE5561A">
            <w:pPr>
              <w:pStyle w:val="28"/>
              <w:bidi w:val="0"/>
            </w:pPr>
            <w:r>
              <w:rPr>
                <w:rFonts w:hint="eastAsia"/>
              </w:rPr>
              <w:t>枣树湾</w:t>
            </w:r>
          </w:p>
        </w:tc>
        <w:tc>
          <w:tcPr>
            <w:tcW w:w="511" w:type="pct"/>
            <w:vAlign w:val="center"/>
          </w:tcPr>
          <w:p w14:paraId="14181BD4">
            <w:pPr>
              <w:pStyle w:val="28"/>
              <w:bidi w:val="0"/>
            </w:pPr>
            <w:r>
              <w:rPr>
                <w:rFonts w:hint="eastAsia"/>
              </w:rPr>
              <w:t>渠道清淤</w:t>
            </w:r>
          </w:p>
        </w:tc>
        <w:tc>
          <w:tcPr>
            <w:tcW w:w="366" w:type="pct"/>
            <w:vAlign w:val="center"/>
          </w:tcPr>
          <w:p w14:paraId="790BD2B3">
            <w:pPr>
              <w:pStyle w:val="28"/>
              <w:bidi w:val="0"/>
            </w:pPr>
            <w:r>
              <w:t>95</w:t>
            </w:r>
          </w:p>
        </w:tc>
        <w:tc>
          <w:tcPr>
            <w:tcW w:w="268" w:type="pct"/>
            <w:vAlign w:val="center"/>
          </w:tcPr>
          <w:p w14:paraId="642515B9">
            <w:pPr>
              <w:pStyle w:val="28"/>
              <w:bidi w:val="0"/>
            </w:pPr>
            <w:r>
              <w:rPr>
                <w:rFonts w:hint="eastAsia"/>
              </w:rPr>
              <w:t>左岸</w:t>
            </w:r>
          </w:p>
        </w:tc>
        <w:tc>
          <w:tcPr>
            <w:tcW w:w="262" w:type="pct"/>
            <w:vAlign w:val="center"/>
          </w:tcPr>
          <w:p w14:paraId="4650ACA8">
            <w:pPr>
              <w:pStyle w:val="28"/>
              <w:bidi w:val="0"/>
            </w:pPr>
            <w:r>
              <w:t>1</w:t>
            </w:r>
            <w:r>
              <w:rPr>
                <w:rFonts w:hint="eastAsia"/>
              </w:rPr>
              <w:t>类</w:t>
            </w:r>
          </w:p>
        </w:tc>
        <w:tc>
          <w:tcPr>
            <w:tcW w:w="809" w:type="pct"/>
            <w:vAlign w:val="center"/>
          </w:tcPr>
          <w:p w14:paraId="4A84CC97">
            <w:pPr>
              <w:pStyle w:val="28"/>
              <w:bidi w:val="0"/>
            </w:pPr>
            <w:r>
              <w:rPr>
                <w:rFonts w:hint="eastAsia"/>
              </w:rPr>
              <w:t>采用低噪声设备，施工机械远离居民住宅</w:t>
            </w:r>
          </w:p>
        </w:tc>
        <w:tc>
          <w:tcPr>
            <w:tcW w:w="208" w:type="pct"/>
            <w:vAlign w:val="center"/>
          </w:tcPr>
          <w:p w14:paraId="003EA31E">
            <w:pPr>
              <w:pStyle w:val="28"/>
              <w:bidi w:val="0"/>
            </w:pPr>
            <w:r>
              <w:t>52.3</w:t>
            </w:r>
          </w:p>
        </w:tc>
        <w:tc>
          <w:tcPr>
            <w:tcW w:w="211" w:type="pct"/>
            <w:vAlign w:val="center"/>
          </w:tcPr>
          <w:p w14:paraId="7029FCBD">
            <w:pPr>
              <w:pStyle w:val="28"/>
              <w:bidi w:val="0"/>
            </w:pPr>
            <w:r>
              <w:t>43.1</w:t>
            </w:r>
          </w:p>
        </w:tc>
        <w:tc>
          <w:tcPr>
            <w:tcW w:w="208" w:type="pct"/>
            <w:vAlign w:val="center"/>
          </w:tcPr>
          <w:p w14:paraId="16D5EA31">
            <w:pPr>
              <w:pStyle w:val="28"/>
              <w:bidi w:val="0"/>
            </w:pPr>
            <w:r>
              <w:t>55</w:t>
            </w:r>
          </w:p>
        </w:tc>
        <w:tc>
          <w:tcPr>
            <w:tcW w:w="211" w:type="pct"/>
            <w:vAlign w:val="center"/>
          </w:tcPr>
          <w:p w14:paraId="336334BB">
            <w:pPr>
              <w:pStyle w:val="28"/>
              <w:bidi w:val="0"/>
            </w:pPr>
            <w:r>
              <w:t>45</w:t>
            </w:r>
          </w:p>
        </w:tc>
        <w:tc>
          <w:tcPr>
            <w:tcW w:w="276" w:type="pct"/>
            <w:vAlign w:val="center"/>
          </w:tcPr>
          <w:p w14:paraId="42ED9906">
            <w:pPr>
              <w:pStyle w:val="28"/>
              <w:bidi w:val="0"/>
            </w:pPr>
            <w:r>
              <w:t>50.7</w:t>
            </w:r>
          </w:p>
        </w:tc>
        <w:tc>
          <w:tcPr>
            <w:tcW w:w="257" w:type="pct"/>
            <w:vAlign w:val="center"/>
          </w:tcPr>
          <w:p w14:paraId="336F12E8">
            <w:pPr>
              <w:pStyle w:val="28"/>
              <w:bidi w:val="0"/>
            </w:pPr>
            <w:r>
              <w:t>43.7</w:t>
            </w:r>
          </w:p>
        </w:tc>
        <w:tc>
          <w:tcPr>
            <w:tcW w:w="257" w:type="pct"/>
            <w:vAlign w:val="center"/>
          </w:tcPr>
          <w:p w14:paraId="4EB35B2D">
            <w:pPr>
              <w:pStyle w:val="28"/>
              <w:bidi w:val="0"/>
            </w:pPr>
            <w:r>
              <w:t>52.9</w:t>
            </w:r>
          </w:p>
        </w:tc>
        <w:tc>
          <w:tcPr>
            <w:tcW w:w="257" w:type="pct"/>
            <w:vAlign w:val="center"/>
          </w:tcPr>
          <w:p w14:paraId="00C7DA82">
            <w:pPr>
              <w:pStyle w:val="28"/>
              <w:bidi w:val="0"/>
            </w:pPr>
            <w:r>
              <w:t>0.6</w:t>
            </w:r>
          </w:p>
        </w:tc>
        <w:tc>
          <w:tcPr>
            <w:tcW w:w="209" w:type="pct"/>
            <w:vAlign w:val="center"/>
          </w:tcPr>
          <w:p w14:paraId="481471F4">
            <w:pPr>
              <w:pStyle w:val="28"/>
              <w:bidi w:val="0"/>
            </w:pPr>
            <w:r>
              <w:t>达标</w:t>
            </w:r>
          </w:p>
        </w:tc>
      </w:tr>
      <w:tr w14:paraId="70C399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85" w:type="pct"/>
            <w:vAlign w:val="center"/>
          </w:tcPr>
          <w:p w14:paraId="6F4D0CF9">
            <w:pPr>
              <w:pStyle w:val="28"/>
              <w:bidi w:val="0"/>
            </w:pPr>
            <w:r>
              <w:rPr>
                <w:rFonts w:hint="eastAsia"/>
              </w:rPr>
              <w:t>声环境保护目标名称</w:t>
            </w:r>
          </w:p>
        </w:tc>
        <w:tc>
          <w:tcPr>
            <w:tcW w:w="511" w:type="pct"/>
            <w:vAlign w:val="center"/>
          </w:tcPr>
          <w:p w14:paraId="17A074B9">
            <w:pPr>
              <w:pStyle w:val="28"/>
              <w:bidi w:val="0"/>
            </w:pPr>
            <w:r>
              <w:rPr>
                <w:rFonts w:hint="eastAsia"/>
              </w:rPr>
              <w:t>渠道清淤</w:t>
            </w:r>
          </w:p>
        </w:tc>
        <w:tc>
          <w:tcPr>
            <w:tcW w:w="366" w:type="pct"/>
            <w:vAlign w:val="center"/>
          </w:tcPr>
          <w:p w14:paraId="5696C465">
            <w:pPr>
              <w:pStyle w:val="28"/>
              <w:bidi w:val="0"/>
            </w:pPr>
            <w:r>
              <w:t>5</w:t>
            </w:r>
          </w:p>
        </w:tc>
        <w:tc>
          <w:tcPr>
            <w:tcW w:w="268" w:type="pct"/>
            <w:vAlign w:val="center"/>
          </w:tcPr>
          <w:p w14:paraId="7B41742C">
            <w:pPr>
              <w:pStyle w:val="28"/>
              <w:bidi w:val="0"/>
            </w:pPr>
            <w:r>
              <w:rPr>
                <w:rFonts w:hint="eastAsia"/>
              </w:rPr>
              <w:t>左岸</w:t>
            </w:r>
          </w:p>
        </w:tc>
        <w:tc>
          <w:tcPr>
            <w:tcW w:w="262" w:type="pct"/>
            <w:vAlign w:val="center"/>
          </w:tcPr>
          <w:p w14:paraId="7DB1CA61">
            <w:pPr>
              <w:pStyle w:val="28"/>
              <w:bidi w:val="0"/>
            </w:pPr>
            <w:r>
              <w:t>1</w:t>
            </w:r>
            <w:r>
              <w:rPr>
                <w:rFonts w:hint="eastAsia"/>
              </w:rPr>
              <w:t>类</w:t>
            </w:r>
          </w:p>
        </w:tc>
        <w:tc>
          <w:tcPr>
            <w:tcW w:w="809" w:type="pct"/>
            <w:vAlign w:val="center"/>
          </w:tcPr>
          <w:p w14:paraId="2534F6C7">
            <w:pPr>
              <w:pStyle w:val="28"/>
              <w:bidi w:val="0"/>
            </w:pPr>
            <w:r>
              <w:rPr>
                <w:rFonts w:hint="eastAsia"/>
              </w:rPr>
              <w:t>采用低噪声设备，施工机械远离居民住宅，设置双层移动声屏障</w:t>
            </w:r>
          </w:p>
        </w:tc>
        <w:tc>
          <w:tcPr>
            <w:tcW w:w="208" w:type="pct"/>
            <w:vAlign w:val="center"/>
          </w:tcPr>
          <w:p w14:paraId="0CCE7D8E">
            <w:pPr>
              <w:pStyle w:val="28"/>
              <w:bidi w:val="0"/>
            </w:pPr>
            <w:r>
              <w:t>52.3</w:t>
            </w:r>
          </w:p>
        </w:tc>
        <w:tc>
          <w:tcPr>
            <w:tcW w:w="211" w:type="pct"/>
            <w:vAlign w:val="center"/>
          </w:tcPr>
          <w:p w14:paraId="2B088381">
            <w:pPr>
              <w:pStyle w:val="28"/>
              <w:bidi w:val="0"/>
            </w:pPr>
            <w:r>
              <w:t>43.1</w:t>
            </w:r>
          </w:p>
        </w:tc>
        <w:tc>
          <w:tcPr>
            <w:tcW w:w="208" w:type="pct"/>
            <w:vAlign w:val="center"/>
          </w:tcPr>
          <w:p w14:paraId="1291FB96">
            <w:pPr>
              <w:pStyle w:val="28"/>
              <w:bidi w:val="0"/>
            </w:pPr>
            <w:r>
              <w:t>55</w:t>
            </w:r>
          </w:p>
        </w:tc>
        <w:tc>
          <w:tcPr>
            <w:tcW w:w="211" w:type="pct"/>
            <w:vAlign w:val="center"/>
          </w:tcPr>
          <w:p w14:paraId="1C68D451">
            <w:pPr>
              <w:pStyle w:val="28"/>
              <w:bidi w:val="0"/>
            </w:pPr>
            <w:r>
              <w:t>45</w:t>
            </w:r>
          </w:p>
        </w:tc>
        <w:tc>
          <w:tcPr>
            <w:tcW w:w="276" w:type="pct"/>
            <w:vAlign w:val="center"/>
          </w:tcPr>
          <w:p w14:paraId="399C5AF1">
            <w:pPr>
              <w:pStyle w:val="28"/>
              <w:bidi w:val="0"/>
            </w:pPr>
            <w:r>
              <w:t>76.2</w:t>
            </w:r>
          </w:p>
        </w:tc>
        <w:tc>
          <w:tcPr>
            <w:tcW w:w="257" w:type="pct"/>
            <w:vAlign w:val="center"/>
          </w:tcPr>
          <w:p w14:paraId="1CB4BCA9">
            <w:pPr>
              <w:pStyle w:val="28"/>
              <w:bidi w:val="0"/>
            </w:pPr>
            <w:r>
              <w:t>51.2</w:t>
            </w:r>
          </w:p>
        </w:tc>
        <w:tc>
          <w:tcPr>
            <w:tcW w:w="257" w:type="pct"/>
            <w:vAlign w:val="center"/>
          </w:tcPr>
          <w:p w14:paraId="0E9A2D28">
            <w:pPr>
              <w:pStyle w:val="28"/>
              <w:bidi w:val="0"/>
            </w:pPr>
            <w:r>
              <w:t>54.8</w:t>
            </w:r>
          </w:p>
        </w:tc>
        <w:tc>
          <w:tcPr>
            <w:tcW w:w="257" w:type="pct"/>
            <w:vAlign w:val="center"/>
          </w:tcPr>
          <w:p w14:paraId="2E96EDCD">
            <w:pPr>
              <w:pStyle w:val="28"/>
              <w:bidi w:val="0"/>
            </w:pPr>
            <w:r>
              <w:t>2.5</w:t>
            </w:r>
          </w:p>
        </w:tc>
        <w:tc>
          <w:tcPr>
            <w:tcW w:w="209" w:type="pct"/>
            <w:vAlign w:val="center"/>
          </w:tcPr>
          <w:p w14:paraId="0CED35FB">
            <w:pPr>
              <w:pStyle w:val="28"/>
              <w:bidi w:val="0"/>
            </w:pPr>
            <w:r>
              <w:t>达标</w:t>
            </w:r>
          </w:p>
        </w:tc>
      </w:tr>
    </w:tbl>
    <w:p w14:paraId="5006F363">
      <w:pPr>
        <w:jc w:val="center"/>
        <w:rPr>
          <w:rFonts w:cs="Times New Roman"/>
          <w:color w:val="0000FF"/>
        </w:rPr>
      </w:pPr>
    </w:p>
    <w:p w14:paraId="24535964">
      <w:pPr>
        <w:rPr>
          <w:rFonts w:cs="Times New Roman"/>
          <w:color w:val="0000FF"/>
          <w:sz w:val="18"/>
          <w:szCs w:val="18"/>
        </w:rPr>
        <w:sectPr>
          <w:pgSz w:w="11905" w:h="16838"/>
          <w:pgMar w:top="1417" w:right="1417" w:bottom="1417" w:left="1417" w:header="850" w:footer="850" w:gutter="0"/>
          <w:pgNumType w:fmt="decimal"/>
          <w:cols w:space="0" w:num="1"/>
          <w:rtlGutter w:val="0"/>
          <w:docGrid w:linePitch="312" w:charSpace="0"/>
        </w:sectPr>
      </w:pPr>
    </w:p>
    <w:p w14:paraId="1F99E9ED">
      <w:pPr>
        <w:pStyle w:val="5"/>
        <w:rPr>
          <w:rFonts w:cs="Times New Roman"/>
          <w:color w:val="0000FF"/>
        </w:rPr>
      </w:pPr>
      <w:r>
        <w:rPr>
          <w:rFonts w:hint="eastAsia" w:cs="Times New Roman"/>
          <w:color w:val="0000FF"/>
        </w:rPr>
        <w:t>5.4</w:t>
      </w:r>
      <w:r>
        <w:rPr>
          <w:rFonts w:cs="Times New Roman"/>
          <w:color w:val="0000FF"/>
        </w:rPr>
        <w:t>.2.4 流动声源预测模式</w:t>
      </w:r>
    </w:p>
    <w:p w14:paraId="21A697D6">
      <w:pPr>
        <w:ind w:firstLine="560"/>
        <w:rPr>
          <w:rFonts w:cs="Times New Roman"/>
          <w:color w:val="0000FF"/>
          <w:kern w:val="2"/>
        </w:rPr>
      </w:pPr>
      <w:r>
        <w:rPr>
          <w:rFonts w:cs="Times New Roman"/>
          <w:color w:val="0000FF"/>
          <w:kern w:val="2"/>
        </w:rPr>
        <w:t>各种自卸汽车和载重汽车的交通运输产生的噪声均可视为流动声源，其噪声的大小与车流量、车型、车速及路况等因素有关，拟采用下列模型计算其衰减量。</w:t>
      </w:r>
    </w:p>
    <w:p w14:paraId="1F0D1B08">
      <w:pPr>
        <w:ind w:firstLine="480" w:firstLineChars="200"/>
        <w:rPr>
          <w:rFonts w:cs="Times New Roman"/>
          <w:color w:val="0000FF"/>
          <w:kern w:val="2"/>
        </w:rPr>
      </w:pPr>
      <w:r>
        <w:rPr>
          <w:rFonts w:cs="Times New Roman"/>
          <w:color w:val="0000FF"/>
          <w:kern w:val="2"/>
        </w:rPr>
        <w:t>1）交通噪声预测模式</w:t>
      </w:r>
    </w:p>
    <w:p w14:paraId="63C9B552">
      <w:pPr>
        <w:ind w:firstLine="480" w:firstLineChars="200"/>
        <w:rPr>
          <w:rFonts w:cs="Times New Roman"/>
          <w:color w:val="0000FF"/>
          <w:kern w:val="2"/>
        </w:rPr>
      </w:pPr>
      <w:r>
        <w:rPr>
          <w:rFonts w:cs="Times New Roman"/>
          <w:color w:val="0000FF"/>
          <w:kern w:val="2"/>
        </w:rPr>
        <w:t>各种自卸汽车和载重汽车的交通运输产生的噪声均可视为流动声源，其噪声的大小与车流量、车型、车速及路况等因素有关，拟采用下列模型计算其衰减量。</w:t>
      </w:r>
    </w:p>
    <w:p w14:paraId="01F201DD">
      <w:pPr>
        <w:ind w:firstLine="480" w:firstLineChars="200"/>
        <w:rPr>
          <w:rFonts w:cs="Times New Roman"/>
          <w:color w:val="0000FF"/>
          <w:kern w:val="2"/>
        </w:rPr>
      </w:pPr>
      <w:r>
        <w:rPr>
          <w:rFonts w:cs="Times New Roman"/>
          <w:color w:val="0000FF"/>
          <w:kern w:val="2"/>
          <w:vertAlign w:val="subscript"/>
        </w:rPr>
        <w:t>i</w:t>
      </w:r>
      <w:r>
        <w:rPr>
          <w:rFonts w:cs="Times New Roman"/>
          <w:color w:val="0000FF"/>
          <w:kern w:val="2"/>
        </w:rPr>
        <w:t>型车辆行驶时，预测点接收到的小时交通噪声值计算模式：</w:t>
      </w:r>
    </w:p>
    <w:p w14:paraId="0065B4F1">
      <w:pPr>
        <w:tabs>
          <w:tab w:val="left" w:pos="277"/>
          <w:tab w:val="left" w:pos="600"/>
          <w:tab w:val="left" w:pos="780"/>
          <w:tab w:val="left" w:pos="2517"/>
        </w:tabs>
        <w:jc w:val="center"/>
        <w:rPr>
          <w:rFonts w:cs="Times New Roman"/>
          <w:color w:val="0000FF"/>
          <w:kern w:val="2"/>
        </w:rPr>
      </w:pPr>
      <w:r>
        <w:rPr>
          <w:rFonts w:cs="Times New Roman"/>
          <w:color w:val="0000FF"/>
        </w:rPr>
        <w:drawing>
          <wp:inline distT="0" distB="0" distL="114300" distR="114300">
            <wp:extent cx="3625215" cy="485140"/>
            <wp:effectExtent l="0" t="0" r="6985" b="10160"/>
            <wp:docPr id="106" name="图片 2144" descr="wp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2144" descr="wps1"/>
                    <pic:cNvPicPr>
                      <a:picLocks noChangeAspect="1"/>
                    </pic:cNvPicPr>
                  </pic:nvPicPr>
                  <pic:blipFill>
                    <a:blip r:embed="rId154"/>
                    <a:stretch>
                      <a:fillRect/>
                    </a:stretch>
                  </pic:blipFill>
                  <pic:spPr>
                    <a:xfrm>
                      <a:off x="0" y="0"/>
                      <a:ext cx="3625215" cy="485140"/>
                    </a:xfrm>
                    <a:prstGeom prst="rect">
                      <a:avLst/>
                    </a:prstGeom>
                    <a:noFill/>
                    <a:ln>
                      <a:noFill/>
                    </a:ln>
                  </pic:spPr>
                </pic:pic>
              </a:graphicData>
            </a:graphic>
          </wp:inline>
        </w:drawing>
      </w:r>
    </w:p>
    <w:p w14:paraId="7315625B">
      <w:pPr>
        <w:rPr>
          <w:rFonts w:cs="Times New Roman"/>
          <w:color w:val="0000FF"/>
        </w:rPr>
      </w:pPr>
      <w:r>
        <w:rPr>
          <w:rFonts w:cs="Times New Roman"/>
          <w:color w:val="0000FF"/>
        </w:rPr>
        <w:t>式中：</w:t>
      </w:r>
      <w:r>
        <w:rPr>
          <w:rFonts w:cs="Times New Roman"/>
          <w:i/>
          <w:iCs/>
          <w:color w:val="0000FF"/>
        </w:rPr>
        <w:t>Leq（h）i</w:t>
      </w:r>
      <w:r>
        <w:rPr>
          <w:rFonts w:cs="Times New Roman"/>
          <w:color w:val="0000FF"/>
        </w:rPr>
        <w:t>--第I类车的小时等效声级，dB（A）；</w:t>
      </w:r>
    </w:p>
    <w:p w14:paraId="6299ABD4">
      <w:pPr>
        <w:autoSpaceDE w:val="0"/>
        <w:ind w:firstLine="480" w:firstLineChars="200"/>
        <w:rPr>
          <w:rFonts w:cs="Times New Roman"/>
          <w:color w:val="0000FF"/>
        </w:rPr>
      </w:pPr>
      <w:r>
        <w:rPr>
          <w:rFonts w:cs="Times New Roman"/>
          <w:i/>
          <w:iCs/>
          <w:color w:val="0000FF"/>
        </w:rPr>
        <w:t>（LoE）i</w:t>
      </w:r>
      <w:r>
        <w:rPr>
          <w:rFonts w:cs="Times New Roman"/>
          <w:color w:val="0000FF"/>
        </w:rPr>
        <w:t>--第I类车在速度为Vi（km/h）；水平距离为7.5m处的能量平均A声级，dB（A）；</w:t>
      </w:r>
    </w:p>
    <w:p w14:paraId="2341F7EB">
      <w:pPr>
        <w:autoSpaceDE w:val="0"/>
        <w:ind w:firstLine="480" w:firstLineChars="200"/>
        <w:rPr>
          <w:rFonts w:cs="Times New Roman"/>
          <w:color w:val="0000FF"/>
        </w:rPr>
      </w:pPr>
      <w:r>
        <w:rPr>
          <w:rFonts w:cs="Times New Roman"/>
          <w:color w:val="0000FF"/>
        </w:rPr>
        <w:t>Ni--昼间、夜间通过某个预测点的第I类车平均小时车流量，辆/h；</w:t>
      </w:r>
    </w:p>
    <w:p w14:paraId="7FACF99A">
      <w:pPr>
        <w:autoSpaceDE w:val="0"/>
        <w:ind w:firstLine="480" w:firstLineChars="200"/>
        <w:rPr>
          <w:rFonts w:cs="Times New Roman"/>
          <w:color w:val="0000FF"/>
        </w:rPr>
      </w:pPr>
      <w:r>
        <w:rPr>
          <w:rFonts w:cs="Times New Roman"/>
          <w:color w:val="0000FF"/>
        </w:rPr>
        <w:t>r--从车道中心线到预测点的距离，m；r&gt;7.5m；</w:t>
      </w:r>
    </w:p>
    <w:p w14:paraId="74A37962">
      <w:pPr>
        <w:autoSpaceDE w:val="0"/>
        <w:ind w:firstLine="480" w:firstLineChars="200"/>
        <w:rPr>
          <w:rFonts w:cs="Times New Roman"/>
          <w:color w:val="0000FF"/>
        </w:rPr>
      </w:pPr>
      <w:r>
        <w:rPr>
          <w:rFonts w:cs="Times New Roman"/>
          <w:color w:val="0000FF"/>
        </w:rPr>
        <w:t>Vi--第I类车平均车速，km/h；</w:t>
      </w:r>
    </w:p>
    <w:p w14:paraId="35F4FA6C">
      <w:pPr>
        <w:autoSpaceDE w:val="0"/>
        <w:ind w:firstLine="480" w:firstLineChars="200"/>
        <w:rPr>
          <w:rFonts w:cs="Times New Roman"/>
          <w:color w:val="0000FF"/>
        </w:rPr>
      </w:pPr>
      <w:r>
        <w:rPr>
          <w:rFonts w:cs="Times New Roman"/>
          <w:color w:val="0000FF"/>
        </w:rPr>
        <w:t>T--计算等效声级的时间，1h；</w:t>
      </w:r>
    </w:p>
    <w:p w14:paraId="573215E2">
      <w:pPr>
        <w:autoSpaceDE w:val="0"/>
        <w:ind w:firstLine="480" w:firstLineChars="200"/>
        <w:rPr>
          <w:rFonts w:cs="Times New Roman"/>
          <w:color w:val="0000FF"/>
        </w:rPr>
      </w:pPr>
      <w:r>
        <w:rPr>
          <w:rFonts w:cs="Times New Roman"/>
          <w:color w:val="0000FF"/>
        </w:rPr>
        <w:t>ψ</w:t>
      </w:r>
      <w:r>
        <w:rPr>
          <w:rFonts w:cs="Times New Roman"/>
          <w:color w:val="0000FF"/>
          <w:vertAlign w:val="subscript"/>
        </w:rPr>
        <w:t>1</w:t>
      </w:r>
      <w:r>
        <w:rPr>
          <w:rFonts w:cs="Times New Roman"/>
          <w:color w:val="0000FF"/>
        </w:rPr>
        <w:t>、ψ</w:t>
      </w:r>
      <w:r>
        <w:rPr>
          <w:rFonts w:cs="Times New Roman"/>
          <w:color w:val="0000FF"/>
          <w:vertAlign w:val="subscript"/>
        </w:rPr>
        <w:t>2</w:t>
      </w:r>
      <w:r>
        <w:rPr>
          <w:rFonts w:cs="Times New Roman"/>
          <w:color w:val="0000FF"/>
        </w:rPr>
        <w:t>--预测点到有限长路段两端的张角，弧度。</w:t>
      </w:r>
    </w:p>
    <w:p w14:paraId="1AF75781">
      <w:pPr>
        <w:autoSpaceDE w:val="0"/>
        <w:ind w:firstLine="480" w:firstLineChars="200"/>
        <w:rPr>
          <w:rFonts w:cs="Times New Roman"/>
          <w:color w:val="0000FF"/>
        </w:rPr>
      </w:pPr>
      <w:r>
        <w:rPr>
          <w:rFonts w:cs="Times New Roman"/>
          <w:color w:val="0000FF"/>
        </w:rPr>
        <w:drawing>
          <wp:inline distT="0" distB="0" distL="114300" distR="114300">
            <wp:extent cx="285115" cy="208280"/>
            <wp:effectExtent l="0" t="0" r="0" b="8890"/>
            <wp:docPr id="107" name="图片 2145"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2145"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--由其它因素引起的修正量，dB（A），</w:t>
      </w:r>
    </w:p>
    <w:p w14:paraId="48A377AD">
      <w:pPr>
        <w:autoSpaceDE w:val="0"/>
        <w:ind w:firstLine="480" w:firstLineChars="200"/>
        <w:rPr>
          <w:rFonts w:cs="Times New Roman"/>
          <w:color w:val="0000FF"/>
        </w:rPr>
      </w:pPr>
      <w:r>
        <w:rPr>
          <w:rFonts w:cs="Times New Roman"/>
          <w:color w:val="0000FF"/>
        </w:rPr>
        <w:drawing>
          <wp:inline distT="0" distB="0" distL="114300" distR="114300">
            <wp:extent cx="285115" cy="208280"/>
            <wp:effectExtent l="0" t="0" r="0" b="8890"/>
            <wp:docPr id="108" name="图片 2146"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146"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w:t>
      </w:r>
      <w:r>
        <w:rPr>
          <w:rFonts w:cs="Times New Roman"/>
          <w:color w:val="0000FF"/>
        </w:rPr>
        <w:drawing>
          <wp:inline distT="0" distB="0" distL="114300" distR="114300">
            <wp:extent cx="285115" cy="208280"/>
            <wp:effectExtent l="0" t="0" r="0" b="8890"/>
            <wp:docPr id="109" name="图片 2147"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2147"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1-</w:t>
      </w:r>
      <w:r>
        <w:rPr>
          <w:rFonts w:cs="Times New Roman"/>
          <w:color w:val="0000FF"/>
        </w:rPr>
        <w:drawing>
          <wp:inline distT="0" distB="0" distL="114300" distR="114300">
            <wp:extent cx="285115" cy="208280"/>
            <wp:effectExtent l="0" t="0" r="0" b="8890"/>
            <wp:docPr id="110" name="图片 2148"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2148"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2+</w:t>
      </w:r>
      <w:r>
        <w:rPr>
          <w:rFonts w:cs="Times New Roman"/>
          <w:color w:val="0000FF"/>
        </w:rPr>
        <w:drawing>
          <wp:inline distT="0" distB="0" distL="114300" distR="114300">
            <wp:extent cx="285115" cy="208280"/>
            <wp:effectExtent l="0" t="0" r="0" b="8890"/>
            <wp:docPr id="111" name="图片 2149"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149"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3</w:t>
      </w:r>
    </w:p>
    <w:p w14:paraId="626C5957">
      <w:pPr>
        <w:autoSpaceDE w:val="0"/>
        <w:ind w:firstLine="480" w:firstLineChars="200"/>
        <w:rPr>
          <w:rFonts w:cs="Times New Roman"/>
          <w:color w:val="0000FF"/>
        </w:rPr>
      </w:pPr>
      <w:r>
        <w:rPr>
          <w:rFonts w:cs="Times New Roman"/>
          <w:color w:val="0000FF"/>
        </w:rPr>
        <w:drawing>
          <wp:inline distT="0" distB="0" distL="114300" distR="114300">
            <wp:extent cx="285115" cy="208280"/>
            <wp:effectExtent l="0" t="0" r="0" b="8890"/>
            <wp:docPr id="112" name="图片 2150"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2150"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1=</w:t>
      </w:r>
      <w:r>
        <w:rPr>
          <w:rFonts w:cs="Times New Roman"/>
          <w:color w:val="0000FF"/>
        </w:rPr>
        <w:drawing>
          <wp:inline distT="0" distB="0" distL="114300" distR="114300">
            <wp:extent cx="285115" cy="208280"/>
            <wp:effectExtent l="0" t="0" r="0" b="8890"/>
            <wp:docPr id="113" name="图片 2151"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2151"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坡度+</w:t>
      </w:r>
      <w:r>
        <w:rPr>
          <w:rFonts w:cs="Times New Roman"/>
          <w:color w:val="0000FF"/>
        </w:rPr>
        <w:drawing>
          <wp:inline distT="0" distB="0" distL="114300" distR="114300">
            <wp:extent cx="285115" cy="208280"/>
            <wp:effectExtent l="0" t="0" r="0" b="8890"/>
            <wp:docPr id="114" name="图片 2152"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152"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路面</w:t>
      </w:r>
    </w:p>
    <w:p w14:paraId="2D86E5C2">
      <w:pPr>
        <w:autoSpaceDE w:val="0"/>
        <w:ind w:firstLine="480" w:firstLineChars="200"/>
        <w:rPr>
          <w:rFonts w:cs="Times New Roman"/>
          <w:color w:val="0000FF"/>
        </w:rPr>
      </w:pPr>
      <w:r>
        <w:rPr>
          <w:rFonts w:cs="Times New Roman"/>
          <w:color w:val="0000FF"/>
        </w:rPr>
        <w:drawing>
          <wp:inline distT="0" distB="0" distL="114300" distR="114300">
            <wp:extent cx="285115" cy="208280"/>
            <wp:effectExtent l="0" t="0" r="0" b="8890"/>
            <wp:docPr id="115" name="图片 2153"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153"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2=Aatm+Agr+Abar+Amisc</w:t>
      </w:r>
    </w:p>
    <w:p w14:paraId="4E0C6F10">
      <w:pPr>
        <w:autoSpaceDE w:val="0"/>
        <w:ind w:firstLine="480" w:firstLineChars="200"/>
        <w:rPr>
          <w:rFonts w:cs="Times New Roman"/>
          <w:color w:val="0000FF"/>
        </w:rPr>
      </w:pPr>
      <w:r>
        <w:rPr>
          <w:rFonts w:cs="Times New Roman"/>
          <w:color w:val="0000FF"/>
        </w:rPr>
        <w:drawing>
          <wp:inline distT="0" distB="0" distL="114300" distR="114300">
            <wp:extent cx="285115" cy="208280"/>
            <wp:effectExtent l="0" t="0" r="0" b="8890"/>
            <wp:docPr id="116" name="图片 2154"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2154"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1--线路因素引起的修正量，dB（A）；</w:t>
      </w:r>
    </w:p>
    <w:p w14:paraId="7E1905BD">
      <w:pPr>
        <w:autoSpaceDE w:val="0"/>
        <w:ind w:firstLine="480" w:firstLineChars="200"/>
        <w:rPr>
          <w:rFonts w:cs="Times New Roman"/>
          <w:color w:val="0000FF"/>
        </w:rPr>
      </w:pPr>
      <w:r>
        <w:rPr>
          <w:rFonts w:cs="Times New Roman"/>
          <w:color w:val="0000FF"/>
        </w:rPr>
        <w:drawing>
          <wp:inline distT="0" distB="0" distL="114300" distR="114300">
            <wp:extent cx="285115" cy="208280"/>
            <wp:effectExtent l="0" t="0" r="0" b="8890"/>
            <wp:docPr id="117" name="图片 2155"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2155"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坡度--公路纵坡修正量，dB（A）；</w:t>
      </w:r>
    </w:p>
    <w:p w14:paraId="13895299">
      <w:pPr>
        <w:autoSpaceDE w:val="0"/>
        <w:ind w:firstLine="480" w:firstLineChars="200"/>
        <w:rPr>
          <w:rFonts w:cs="Times New Roman"/>
          <w:color w:val="0000FF"/>
        </w:rPr>
      </w:pPr>
      <w:r>
        <w:rPr>
          <w:rFonts w:cs="Times New Roman"/>
          <w:color w:val="0000FF"/>
        </w:rPr>
        <w:drawing>
          <wp:inline distT="0" distB="0" distL="114300" distR="114300">
            <wp:extent cx="285115" cy="208280"/>
            <wp:effectExtent l="0" t="0" r="0" b="8890"/>
            <wp:docPr id="118" name="图片 2156"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2156"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路面--公路路面材料引起的修正量，dB（A）；</w:t>
      </w:r>
    </w:p>
    <w:p w14:paraId="40268AB2">
      <w:pPr>
        <w:autoSpaceDE w:val="0"/>
        <w:ind w:firstLine="480" w:firstLineChars="200"/>
        <w:rPr>
          <w:rFonts w:cs="Times New Roman"/>
          <w:color w:val="0000FF"/>
        </w:rPr>
      </w:pPr>
      <w:r>
        <w:rPr>
          <w:rFonts w:cs="Times New Roman"/>
          <w:color w:val="0000FF"/>
        </w:rPr>
        <w:drawing>
          <wp:inline distT="0" distB="0" distL="114300" distR="114300">
            <wp:extent cx="285115" cy="208280"/>
            <wp:effectExtent l="0" t="0" r="0" b="8890"/>
            <wp:docPr id="119" name="图片 2157"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2157"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2--声波传播途径引起的衰减量，dB（A）；</w:t>
      </w:r>
    </w:p>
    <w:p w14:paraId="62F2B6CF">
      <w:pPr>
        <w:autoSpaceDE w:val="0"/>
        <w:ind w:firstLine="480" w:firstLineChars="200"/>
        <w:rPr>
          <w:rFonts w:cs="Times New Roman"/>
          <w:color w:val="0000FF"/>
        </w:rPr>
      </w:pPr>
      <w:r>
        <w:rPr>
          <w:rFonts w:cs="Times New Roman"/>
          <w:color w:val="0000FF"/>
        </w:rPr>
        <w:drawing>
          <wp:inline distT="0" distB="0" distL="114300" distR="114300">
            <wp:extent cx="285115" cy="208280"/>
            <wp:effectExtent l="0" t="0" r="0" b="8890"/>
            <wp:docPr id="120" name="图片 2158" descr="wps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2158" descr="wps17"/>
                    <pic:cNvPicPr>
                      <a:picLocks noChangeAspect="1"/>
                    </pic:cNvPicPr>
                  </pic:nvPicPr>
                  <pic:blipFill>
                    <a:blip r:embed="rId155"/>
                    <a:stretch>
                      <a:fillRect/>
                    </a:stretch>
                  </pic:blipFill>
                  <pic:spPr>
                    <a:xfrm>
                      <a:off x="0" y="0"/>
                      <a:ext cx="285115" cy="208280"/>
                    </a:xfrm>
                    <a:prstGeom prst="rect">
                      <a:avLst/>
                    </a:prstGeom>
                    <a:noFill/>
                    <a:ln>
                      <a:noFill/>
                    </a:ln>
                  </pic:spPr>
                </pic:pic>
              </a:graphicData>
            </a:graphic>
          </wp:inline>
        </w:drawing>
      </w:r>
      <w:r>
        <w:rPr>
          <w:rFonts w:cs="Times New Roman"/>
          <w:color w:val="0000FF"/>
        </w:rPr>
        <w:t>3--由反射等引起的修正量，dB（A）。</w:t>
      </w:r>
    </w:p>
    <w:p w14:paraId="189BFEC3">
      <w:pPr>
        <w:ind w:firstLine="480"/>
        <w:rPr>
          <w:rFonts w:cs="Times New Roman"/>
          <w:color w:val="0000FF"/>
        </w:rPr>
      </w:pPr>
      <w:r>
        <w:rPr>
          <w:rFonts w:cs="Times New Roman"/>
          <w:color w:val="0000FF"/>
        </w:rPr>
        <w:t>（2）各类型车辆行驶时在预测点处昼间或夜间接收到的交通噪声值计算模式：</w:t>
      </w:r>
    </w:p>
    <w:p w14:paraId="1A0AA232">
      <w:pPr>
        <w:tabs>
          <w:tab w:val="left" w:pos="277"/>
          <w:tab w:val="left" w:pos="600"/>
          <w:tab w:val="left" w:pos="780"/>
          <w:tab w:val="left" w:pos="2517"/>
        </w:tabs>
        <w:jc w:val="center"/>
        <w:rPr>
          <w:rFonts w:cs="Times New Roman"/>
          <w:color w:val="0000FF"/>
          <w:spacing w:val="6"/>
        </w:rPr>
      </w:pPr>
      <w:r>
        <w:rPr>
          <w:rFonts w:cs="Times New Roman"/>
          <w:color w:val="0000FF"/>
        </w:rPr>
        <w:drawing>
          <wp:inline distT="0" distB="0" distL="114300" distR="114300">
            <wp:extent cx="3733800" cy="296545"/>
            <wp:effectExtent l="0" t="0" r="0" b="8890"/>
            <wp:docPr id="121" name="图片 2159" descr="wps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159" descr="wps18"/>
                    <pic:cNvPicPr>
                      <a:picLocks noChangeAspect="1"/>
                    </pic:cNvPicPr>
                  </pic:nvPicPr>
                  <pic:blipFill>
                    <a:blip r:embed="rId156"/>
                    <a:stretch>
                      <a:fillRect/>
                    </a:stretch>
                  </pic:blipFill>
                  <pic:spPr>
                    <a:xfrm>
                      <a:off x="0" y="0"/>
                      <a:ext cx="3733800" cy="296545"/>
                    </a:xfrm>
                    <a:prstGeom prst="rect">
                      <a:avLst/>
                    </a:prstGeom>
                    <a:noFill/>
                    <a:ln>
                      <a:noFill/>
                    </a:ln>
                  </pic:spPr>
                </pic:pic>
              </a:graphicData>
            </a:graphic>
          </wp:inline>
        </w:drawing>
      </w:r>
    </w:p>
    <w:p w14:paraId="36681336">
      <w:pPr>
        <w:ind w:firstLine="480"/>
        <w:rPr>
          <w:rFonts w:cs="Times New Roman"/>
          <w:color w:val="0000FF"/>
        </w:rPr>
      </w:pPr>
      <w:r>
        <w:rPr>
          <w:rFonts w:cs="Times New Roman"/>
          <w:color w:val="0000FF"/>
        </w:rPr>
        <w:t>式中：</w:t>
      </w:r>
      <w:r>
        <w:rPr>
          <w:rFonts w:cs="Times New Roman"/>
          <w:color w:val="0000FF"/>
        </w:rPr>
        <w:drawing>
          <wp:inline distT="0" distB="0" distL="114300" distR="114300">
            <wp:extent cx="647700" cy="304800"/>
            <wp:effectExtent l="0" t="0" r="0" b="0"/>
            <wp:docPr id="122" name="图片 2160" descr="wps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2160" descr="wps19"/>
                    <pic:cNvPicPr>
                      <a:picLocks noChangeAspect="1"/>
                    </pic:cNvPicPr>
                  </pic:nvPicPr>
                  <pic:blipFill>
                    <a:blip r:embed="rId157"/>
                    <a:stretch>
                      <a:fillRect/>
                    </a:stretch>
                  </pic:blipFill>
                  <pic:spPr>
                    <a:xfrm>
                      <a:off x="0" y="0"/>
                      <a:ext cx="647700" cy="304800"/>
                    </a:xfrm>
                    <a:prstGeom prst="rect">
                      <a:avLst/>
                    </a:prstGeom>
                    <a:noFill/>
                    <a:ln>
                      <a:noFill/>
                    </a:ln>
                  </pic:spPr>
                </pic:pic>
              </a:graphicData>
            </a:graphic>
          </wp:inline>
        </w:drawing>
      </w:r>
      <w:r>
        <w:rPr>
          <w:rFonts w:cs="Times New Roman"/>
          <w:color w:val="0000FF"/>
        </w:rPr>
        <w:t>——预测点接收到的昼间或夜间的交通噪声值，dB（A）；</w:t>
      </w:r>
    </w:p>
    <w:p w14:paraId="7C0158FF">
      <w:pPr>
        <w:ind w:firstLine="480"/>
        <w:rPr>
          <w:rFonts w:cs="Times New Roman"/>
          <w:color w:val="0000FF"/>
        </w:rPr>
      </w:pPr>
      <w:r>
        <w:rPr>
          <w:rFonts w:cs="Times New Roman"/>
          <w:color w:val="0000FF"/>
        </w:rPr>
        <w:t>（L</w:t>
      </w:r>
      <w:r>
        <w:rPr>
          <w:rFonts w:cs="Times New Roman"/>
          <w:color w:val="0000FF"/>
          <w:vertAlign w:val="subscript"/>
        </w:rPr>
        <w:t>Aeq</w:t>
      </w:r>
      <w:r>
        <w:rPr>
          <w:rFonts w:cs="Times New Roman"/>
          <w:color w:val="0000FF"/>
        </w:rPr>
        <w:t>）</w:t>
      </w:r>
      <w:r>
        <w:rPr>
          <w:rFonts w:cs="Times New Roman"/>
          <w:color w:val="0000FF"/>
          <w:vertAlign w:val="subscript"/>
        </w:rPr>
        <w:t>大</w:t>
      </w:r>
      <w:r>
        <w:rPr>
          <w:rFonts w:cs="Times New Roman"/>
          <w:color w:val="0000FF"/>
        </w:rPr>
        <w:t>——大型车昼间或夜间，预测点接收到交通噪声值，dB（A）；</w:t>
      </w:r>
    </w:p>
    <w:p w14:paraId="6AC5F1BF">
      <w:pPr>
        <w:ind w:firstLine="480"/>
        <w:rPr>
          <w:rFonts w:cs="Times New Roman"/>
          <w:color w:val="0000FF"/>
          <w:vertAlign w:val="subscript"/>
        </w:rPr>
      </w:pPr>
      <w:r>
        <w:rPr>
          <w:rFonts w:cs="Times New Roman"/>
          <w:color w:val="0000FF"/>
        </w:rPr>
        <w:t>（L</w:t>
      </w:r>
      <w:r>
        <w:rPr>
          <w:rFonts w:cs="Times New Roman"/>
          <w:color w:val="0000FF"/>
          <w:vertAlign w:val="subscript"/>
        </w:rPr>
        <w:t>Aeq</w:t>
      </w:r>
      <w:r>
        <w:rPr>
          <w:rFonts w:cs="Times New Roman"/>
          <w:color w:val="0000FF"/>
        </w:rPr>
        <w:t>）</w:t>
      </w:r>
      <w:r>
        <w:rPr>
          <w:rFonts w:cs="Times New Roman"/>
          <w:color w:val="0000FF"/>
          <w:vertAlign w:val="subscript"/>
        </w:rPr>
        <w:t>中</w:t>
      </w:r>
      <w:r>
        <w:rPr>
          <w:rFonts w:cs="Times New Roman"/>
          <w:color w:val="0000FF"/>
        </w:rPr>
        <w:t>——中型车昼间或夜间，预测点接收到交通噪声值，dB（A）；</w:t>
      </w:r>
    </w:p>
    <w:p w14:paraId="09A50B26">
      <w:pPr>
        <w:ind w:firstLine="480"/>
        <w:rPr>
          <w:rFonts w:cs="Times New Roman"/>
          <w:color w:val="0000FF"/>
          <w:vertAlign w:val="subscript"/>
        </w:rPr>
      </w:pPr>
      <w:r>
        <w:rPr>
          <w:rFonts w:cs="Times New Roman"/>
          <w:color w:val="0000FF"/>
        </w:rPr>
        <w:t>（L</w:t>
      </w:r>
      <w:r>
        <w:rPr>
          <w:rFonts w:cs="Times New Roman"/>
          <w:color w:val="0000FF"/>
          <w:vertAlign w:val="subscript"/>
        </w:rPr>
        <w:t>Aeq</w:t>
      </w:r>
      <w:r>
        <w:rPr>
          <w:rFonts w:cs="Times New Roman"/>
          <w:color w:val="0000FF"/>
        </w:rPr>
        <w:t>）</w:t>
      </w:r>
      <w:r>
        <w:rPr>
          <w:rFonts w:cs="Times New Roman"/>
          <w:color w:val="0000FF"/>
          <w:vertAlign w:val="subscript"/>
        </w:rPr>
        <w:t>小</w:t>
      </w:r>
      <w:r>
        <w:rPr>
          <w:rFonts w:cs="Times New Roman"/>
          <w:color w:val="0000FF"/>
        </w:rPr>
        <w:t>——小型车昼间或夜间，预测点接收到交通噪声值，dB（A）；</w:t>
      </w:r>
    </w:p>
    <w:p w14:paraId="70D5BFFB">
      <w:pPr>
        <w:ind w:firstLine="480"/>
        <w:rPr>
          <w:rFonts w:cs="Times New Roman"/>
          <w:color w:val="0000FF"/>
        </w:rPr>
      </w:pPr>
      <w:r>
        <w:rPr>
          <w:rFonts w:cs="Times New Roman"/>
          <w:color w:val="0000FF"/>
        </w:rPr>
        <w:t>若预测点受多条道路影响，应叠加。</w:t>
      </w:r>
    </w:p>
    <w:p w14:paraId="0013EB0E">
      <w:pPr>
        <w:pStyle w:val="5"/>
        <w:rPr>
          <w:rFonts w:cs="Times New Roman"/>
          <w:color w:val="0000FF"/>
        </w:rPr>
      </w:pPr>
      <w:r>
        <w:rPr>
          <w:rFonts w:hint="eastAsia" w:cs="Times New Roman"/>
          <w:color w:val="0000FF"/>
        </w:rPr>
        <w:t>5.4</w:t>
      </w:r>
      <w:r>
        <w:rPr>
          <w:rFonts w:cs="Times New Roman"/>
          <w:color w:val="0000FF"/>
        </w:rPr>
        <w:t>.2.5 流动声源影响预测</w:t>
      </w:r>
    </w:p>
    <w:p w14:paraId="377FC556">
      <w:pPr>
        <w:ind w:firstLine="560"/>
        <w:rPr>
          <w:rFonts w:cs="Times New Roman"/>
          <w:color w:val="0000FF"/>
          <w:kern w:val="2"/>
        </w:rPr>
      </w:pPr>
      <w:r>
        <w:rPr>
          <w:rFonts w:cs="Times New Roman"/>
          <w:color w:val="0000FF"/>
          <w:kern w:val="2"/>
        </w:rPr>
        <w:t>根据对工程建设区的实地调查，工程施工期间施工道路（主要是进场乡间道路）施工机械及日常运营车流量预计为30辆/h（小型车10辆、中型车20辆），且本项目仅昼间施工。故本项目道路噪声源强调查清单如下。</w:t>
      </w:r>
    </w:p>
    <w:p w14:paraId="49871A6B">
      <w:pPr>
        <w:rPr>
          <w:color w:val="0000FF"/>
        </w:rPr>
      </w:pPr>
      <w:r>
        <w:rPr>
          <w:color w:val="0000FF"/>
        </w:rPr>
        <w:t>表</w:t>
      </w:r>
      <w:r>
        <w:rPr>
          <w:rFonts w:hint="eastAsia"/>
          <w:color w:val="0000FF"/>
        </w:rPr>
        <w:t>5-4</w:t>
      </w:r>
      <w:r>
        <w:rPr>
          <w:color w:val="0000FF"/>
        </w:rPr>
        <w:t>-4  施工交通干线道路噪声调查清单</w:t>
      </w:r>
    </w:p>
    <w:tbl>
      <w:tblPr>
        <w:tblStyle w:val="16"/>
        <w:tblW w:w="4990" w:type="pct"/>
        <w:jc w:val="center"/>
        <w:tblLayout w:type="fixed"/>
        <w:tblCellMar>
          <w:top w:w="0" w:type="dxa"/>
          <w:left w:w="108" w:type="dxa"/>
          <w:bottom w:w="0" w:type="dxa"/>
          <w:right w:w="108" w:type="dxa"/>
        </w:tblCellMar>
      </w:tblPr>
      <w:tblGrid>
        <w:gridCol w:w="1017"/>
        <w:gridCol w:w="778"/>
        <w:gridCol w:w="627"/>
        <w:gridCol w:w="625"/>
        <w:gridCol w:w="617"/>
        <w:gridCol w:w="599"/>
        <w:gridCol w:w="742"/>
        <w:gridCol w:w="777"/>
        <w:gridCol w:w="771"/>
        <w:gridCol w:w="910"/>
        <w:gridCol w:w="899"/>
        <w:gridCol w:w="906"/>
      </w:tblGrid>
      <w:tr w14:paraId="716BBD28">
        <w:tblPrEx>
          <w:tblCellMar>
            <w:top w:w="0" w:type="dxa"/>
            <w:left w:w="108" w:type="dxa"/>
            <w:bottom w:w="0" w:type="dxa"/>
            <w:right w:w="108" w:type="dxa"/>
          </w:tblCellMar>
        </w:tblPrEx>
        <w:trPr>
          <w:trHeight w:val="340" w:hRule="atLeast"/>
          <w:jc w:val="center"/>
        </w:trPr>
        <w:tc>
          <w:tcPr>
            <w:tcW w:w="548" w:type="pct"/>
            <w:vMerge w:val="restart"/>
            <w:vAlign w:val="center"/>
          </w:tcPr>
          <w:p w14:paraId="2C20E90E">
            <w:pPr>
              <w:pStyle w:val="28"/>
              <w:bidi w:val="0"/>
            </w:pPr>
            <w:r>
              <w:t>路段</w:t>
            </w:r>
          </w:p>
        </w:tc>
        <w:tc>
          <w:tcPr>
            <w:tcW w:w="419" w:type="pct"/>
            <w:vMerge w:val="restart"/>
            <w:vAlign w:val="center"/>
          </w:tcPr>
          <w:p w14:paraId="72BA7962">
            <w:pPr>
              <w:pStyle w:val="28"/>
              <w:bidi w:val="0"/>
            </w:pPr>
            <w:r>
              <w:t>时期</w:t>
            </w:r>
          </w:p>
        </w:tc>
        <w:tc>
          <w:tcPr>
            <w:tcW w:w="1330" w:type="pct"/>
            <w:gridSpan w:val="4"/>
            <w:vAlign w:val="center"/>
          </w:tcPr>
          <w:p w14:paraId="6841AE2C">
            <w:pPr>
              <w:pStyle w:val="28"/>
              <w:bidi w:val="0"/>
            </w:pPr>
            <w:r>
              <w:t>车流量/（辆/h）</w:t>
            </w:r>
          </w:p>
        </w:tc>
        <w:tc>
          <w:tcPr>
            <w:tcW w:w="1235" w:type="pct"/>
            <w:gridSpan w:val="3"/>
            <w:vAlign w:val="center"/>
          </w:tcPr>
          <w:p w14:paraId="285C86B8">
            <w:pPr>
              <w:pStyle w:val="28"/>
              <w:bidi w:val="0"/>
            </w:pPr>
            <w:r>
              <w:t>车速/（km/h）</w:t>
            </w:r>
          </w:p>
        </w:tc>
        <w:tc>
          <w:tcPr>
            <w:tcW w:w="1465" w:type="pct"/>
            <w:gridSpan w:val="3"/>
            <w:vAlign w:val="center"/>
          </w:tcPr>
          <w:p w14:paraId="367DDA48">
            <w:pPr>
              <w:pStyle w:val="28"/>
              <w:bidi w:val="0"/>
            </w:pPr>
            <w:r>
              <w:t>源强/dB</w:t>
            </w:r>
          </w:p>
        </w:tc>
      </w:tr>
      <w:tr w14:paraId="28969898">
        <w:tblPrEx>
          <w:tblCellMar>
            <w:top w:w="0" w:type="dxa"/>
            <w:left w:w="108" w:type="dxa"/>
            <w:bottom w:w="0" w:type="dxa"/>
            <w:right w:w="108" w:type="dxa"/>
          </w:tblCellMar>
        </w:tblPrEx>
        <w:trPr>
          <w:trHeight w:val="340" w:hRule="atLeast"/>
          <w:jc w:val="center"/>
        </w:trPr>
        <w:tc>
          <w:tcPr>
            <w:tcW w:w="548" w:type="pct"/>
            <w:vMerge w:val="continue"/>
            <w:vAlign w:val="center"/>
          </w:tcPr>
          <w:p w14:paraId="3ACDEC45">
            <w:pPr>
              <w:pStyle w:val="28"/>
              <w:bidi w:val="0"/>
            </w:pPr>
          </w:p>
        </w:tc>
        <w:tc>
          <w:tcPr>
            <w:tcW w:w="419" w:type="pct"/>
            <w:vMerge w:val="continue"/>
            <w:vAlign w:val="center"/>
          </w:tcPr>
          <w:p w14:paraId="567CD3D5">
            <w:pPr>
              <w:pStyle w:val="28"/>
              <w:bidi w:val="0"/>
            </w:pPr>
          </w:p>
        </w:tc>
        <w:tc>
          <w:tcPr>
            <w:tcW w:w="338" w:type="pct"/>
            <w:vAlign w:val="center"/>
          </w:tcPr>
          <w:p w14:paraId="3383A8B3">
            <w:pPr>
              <w:pStyle w:val="28"/>
              <w:bidi w:val="0"/>
            </w:pPr>
            <w:r>
              <w:t>小型车</w:t>
            </w:r>
          </w:p>
        </w:tc>
        <w:tc>
          <w:tcPr>
            <w:tcW w:w="337" w:type="pct"/>
            <w:vAlign w:val="center"/>
          </w:tcPr>
          <w:p w14:paraId="71F142BF">
            <w:pPr>
              <w:pStyle w:val="28"/>
              <w:bidi w:val="0"/>
            </w:pPr>
            <w:r>
              <w:t>中型车</w:t>
            </w:r>
          </w:p>
        </w:tc>
        <w:tc>
          <w:tcPr>
            <w:tcW w:w="332" w:type="pct"/>
            <w:vAlign w:val="center"/>
          </w:tcPr>
          <w:p w14:paraId="3322FE15">
            <w:pPr>
              <w:pStyle w:val="28"/>
              <w:bidi w:val="0"/>
            </w:pPr>
            <w:r>
              <w:t>大型车</w:t>
            </w:r>
          </w:p>
        </w:tc>
        <w:tc>
          <w:tcPr>
            <w:tcW w:w="322" w:type="pct"/>
            <w:vAlign w:val="center"/>
          </w:tcPr>
          <w:p w14:paraId="4C535D1C">
            <w:pPr>
              <w:pStyle w:val="28"/>
              <w:bidi w:val="0"/>
            </w:pPr>
            <w:r>
              <w:t>合计</w:t>
            </w:r>
          </w:p>
        </w:tc>
        <w:tc>
          <w:tcPr>
            <w:tcW w:w="400" w:type="pct"/>
            <w:vAlign w:val="center"/>
          </w:tcPr>
          <w:p w14:paraId="26A807F2">
            <w:pPr>
              <w:pStyle w:val="28"/>
              <w:bidi w:val="0"/>
            </w:pPr>
            <w:r>
              <w:t>小型车</w:t>
            </w:r>
          </w:p>
        </w:tc>
        <w:tc>
          <w:tcPr>
            <w:tcW w:w="419" w:type="pct"/>
            <w:vAlign w:val="center"/>
          </w:tcPr>
          <w:p w14:paraId="1A0C8F0E">
            <w:pPr>
              <w:pStyle w:val="28"/>
              <w:bidi w:val="0"/>
            </w:pPr>
            <w:r>
              <w:t>中型车</w:t>
            </w:r>
          </w:p>
        </w:tc>
        <w:tc>
          <w:tcPr>
            <w:tcW w:w="416" w:type="pct"/>
            <w:vAlign w:val="center"/>
          </w:tcPr>
          <w:p w14:paraId="7C1F94F3">
            <w:pPr>
              <w:pStyle w:val="28"/>
              <w:bidi w:val="0"/>
            </w:pPr>
            <w:r>
              <w:t>大型车</w:t>
            </w:r>
          </w:p>
        </w:tc>
        <w:tc>
          <w:tcPr>
            <w:tcW w:w="491" w:type="pct"/>
            <w:vAlign w:val="center"/>
          </w:tcPr>
          <w:p w14:paraId="14B2EE53">
            <w:pPr>
              <w:pStyle w:val="28"/>
              <w:bidi w:val="0"/>
            </w:pPr>
            <w:r>
              <w:t>小型车</w:t>
            </w:r>
          </w:p>
        </w:tc>
        <w:tc>
          <w:tcPr>
            <w:tcW w:w="485" w:type="pct"/>
            <w:vAlign w:val="center"/>
          </w:tcPr>
          <w:p w14:paraId="434C8887">
            <w:pPr>
              <w:pStyle w:val="28"/>
              <w:bidi w:val="0"/>
            </w:pPr>
            <w:r>
              <w:t>中型车</w:t>
            </w:r>
          </w:p>
        </w:tc>
        <w:tc>
          <w:tcPr>
            <w:tcW w:w="489" w:type="pct"/>
            <w:vAlign w:val="center"/>
          </w:tcPr>
          <w:p w14:paraId="13420E42">
            <w:pPr>
              <w:pStyle w:val="28"/>
              <w:bidi w:val="0"/>
            </w:pPr>
            <w:r>
              <w:t>大型车</w:t>
            </w:r>
          </w:p>
        </w:tc>
      </w:tr>
      <w:tr w14:paraId="5F8DF9A9">
        <w:tblPrEx>
          <w:tblCellMar>
            <w:top w:w="0" w:type="dxa"/>
            <w:left w:w="108" w:type="dxa"/>
            <w:bottom w:w="0" w:type="dxa"/>
            <w:right w:w="108" w:type="dxa"/>
          </w:tblCellMar>
        </w:tblPrEx>
        <w:trPr>
          <w:trHeight w:val="340" w:hRule="atLeast"/>
          <w:jc w:val="center"/>
        </w:trPr>
        <w:tc>
          <w:tcPr>
            <w:tcW w:w="548" w:type="pct"/>
            <w:vMerge w:val="continue"/>
            <w:vAlign w:val="center"/>
          </w:tcPr>
          <w:p w14:paraId="259A2D05">
            <w:pPr>
              <w:pStyle w:val="28"/>
              <w:bidi w:val="0"/>
            </w:pPr>
          </w:p>
        </w:tc>
        <w:tc>
          <w:tcPr>
            <w:tcW w:w="419" w:type="pct"/>
            <w:vMerge w:val="continue"/>
            <w:vAlign w:val="center"/>
          </w:tcPr>
          <w:p w14:paraId="129FEFEE">
            <w:pPr>
              <w:pStyle w:val="28"/>
              <w:bidi w:val="0"/>
            </w:pPr>
          </w:p>
        </w:tc>
        <w:tc>
          <w:tcPr>
            <w:tcW w:w="338" w:type="pct"/>
            <w:vAlign w:val="center"/>
          </w:tcPr>
          <w:p w14:paraId="2383985E">
            <w:pPr>
              <w:pStyle w:val="28"/>
              <w:bidi w:val="0"/>
            </w:pPr>
            <w:r>
              <w:t>昼间</w:t>
            </w:r>
          </w:p>
        </w:tc>
        <w:tc>
          <w:tcPr>
            <w:tcW w:w="337" w:type="pct"/>
            <w:vAlign w:val="center"/>
          </w:tcPr>
          <w:p w14:paraId="4F8D7563">
            <w:pPr>
              <w:pStyle w:val="28"/>
              <w:bidi w:val="0"/>
            </w:pPr>
            <w:r>
              <w:t>昼间</w:t>
            </w:r>
          </w:p>
        </w:tc>
        <w:tc>
          <w:tcPr>
            <w:tcW w:w="332" w:type="pct"/>
            <w:vAlign w:val="center"/>
          </w:tcPr>
          <w:p w14:paraId="06F72C57">
            <w:pPr>
              <w:pStyle w:val="28"/>
              <w:bidi w:val="0"/>
            </w:pPr>
            <w:r>
              <w:t>昼间</w:t>
            </w:r>
          </w:p>
        </w:tc>
        <w:tc>
          <w:tcPr>
            <w:tcW w:w="322" w:type="pct"/>
            <w:vAlign w:val="center"/>
          </w:tcPr>
          <w:p w14:paraId="5E8F15D3">
            <w:pPr>
              <w:pStyle w:val="28"/>
              <w:bidi w:val="0"/>
            </w:pPr>
            <w:r>
              <w:t>昼间</w:t>
            </w:r>
          </w:p>
        </w:tc>
        <w:tc>
          <w:tcPr>
            <w:tcW w:w="400" w:type="pct"/>
            <w:vAlign w:val="center"/>
          </w:tcPr>
          <w:p w14:paraId="36BBE8E8">
            <w:pPr>
              <w:pStyle w:val="28"/>
              <w:bidi w:val="0"/>
            </w:pPr>
            <w:r>
              <w:t>昼间</w:t>
            </w:r>
          </w:p>
        </w:tc>
        <w:tc>
          <w:tcPr>
            <w:tcW w:w="419" w:type="pct"/>
            <w:vAlign w:val="center"/>
          </w:tcPr>
          <w:p w14:paraId="6F66E0A9">
            <w:pPr>
              <w:pStyle w:val="28"/>
              <w:bidi w:val="0"/>
            </w:pPr>
            <w:r>
              <w:t>昼间</w:t>
            </w:r>
          </w:p>
        </w:tc>
        <w:tc>
          <w:tcPr>
            <w:tcW w:w="416" w:type="pct"/>
            <w:vAlign w:val="center"/>
          </w:tcPr>
          <w:p w14:paraId="62053BAF">
            <w:pPr>
              <w:pStyle w:val="28"/>
              <w:bidi w:val="0"/>
            </w:pPr>
            <w:r>
              <w:t>昼间</w:t>
            </w:r>
          </w:p>
        </w:tc>
        <w:tc>
          <w:tcPr>
            <w:tcW w:w="491" w:type="pct"/>
            <w:vAlign w:val="center"/>
          </w:tcPr>
          <w:p w14:paraId="38EA633E">
            <w:pPr>
              <w:pStyle w:val="28"/>
              <w:bidi w:val="0"/>
            </w:pPr>
            <w:r>
              <w:t>昼间</w:t>
            </w:r>
          </w:p>
        </w:tc>
        <w:tc>
          <w:tcPr>
            <w:tcW w:w="485" w:type="pct"/>
            <w:vAlign w:val="center"/>
          </w:tcPr>
          <w:p w14:paraId="6BA46D49">
            <w:pPr>
              <w:pStyle w:val="28"/>
              <w:bidi w:val="0"/>
            </w:pPr>
            <w:r>
              <w:t>昼间</w:t>
            </w:r>
          </w:p>
        </w:tc>
        <w:tc>
          <w:tcPr>
            <w:tcW w:w="489" w:type="pct"/>
            <w:vAlign w:val="center"/>
          </w:tcPr>
          <w:p w14:paraId="35C69A60">
            <w:pPr>
              <w:pStyle w:val="28"/>
              <w:bidi w:val="0"/>
            </w:pPr>
            <w:r>
              <w:t>昼间</w:t>
            </w:r>
          </w:p>
        </w:tc>
      </w:tr>
      <w:tr w14:paraId="4FFF6393">
        <w:tblPrEx>
          <w:tblCellMar>
            <w:top w:w="0" w:type="dxa"/>
            <w:left w:w="108" w:type="dxa"/>
            <w:bottom w:w="0" w:type="dxa"/>
            <w:right w:w="108" w:type="dxa"/>
          </w:tblCellMar>
        </w:tblPrEx>
        <w:trPr>
          <w:trHeight w:val="340" w:hRule="atLeast"/>
          <w:jc w:val="center"/>
        </w:trPr>
        <w:tc>
          <w:tcPr>
            <w:tcW w:w="548" w:type="pct"/>
            <w:vAlign w:val="center"/>
          </w:tcPr>
          <w:p w14:paraId="2B7F8092">
            <w:pPr>
              <w:pStyle w:val="28"/>
              <w:bidi w:val="0"/>
            </w:pPr>
            <w:r>
              <w:t>施工道路</w:t>
            </w:r>
          </w:p>
        </w:tc>
        <w:tc>
          <w:tcPr>
            <w:tcW w:w="419" w:type="pct"/>
            <w:vAlign w:val="center"/>
          </w:tcPr>
          <w:p w14:paraId="6EC11F0B">
            <w:pPr>
              <w:pStyle w:val="28"/>
              <w:bidi w:val="0"/>
            </w:pPr>
            <w:r>
              <w:t>施工期</w:t>
            </w:r>
          </w:p>
        </w:tc>
        <w:tc>
          <w:tcPr>
            <w:tcW w:w="338" w:type="pct"/>
            <w:vAlign w:val="center"/>
          </w:tcPr>
          <w:p w14:paraId="17452547">
            <w:pPr>
              <w:pStyle w:val="28"/>
              <w:bidi w:val="0"/>
            </w:pPr>
            <w:r>
              <w:t>10</w:t>
            </w:r>
          </w:p>
        </w:tc>
        <w:tc>
          <w:tcPr>
            <w:tcW w:w="337" w:type="pct"/>
            <w:vAlign w:val="center"/>
          </w:tcPr>
          <w:p w14:paraId="762493C7">
            <w:pPr>
              <w:pStyle w:val="28"/>
              <w:bidi w:val="0"/>
            </w:pPr>
            <w:r>
              <w:t>20</w:t>
            </w:r>
          </w:p>
        </w:tc>
        <w:tc>
          <w:tcPr>
            <w:tcW w:w="332" w:type="pct"/>
            <w:vAlign w:val="center"/>
          </w:tcPr>
          <w:p w14:paraId="6F259071">
            <w:pPr>
              <w:pStyle w:val="28"/>
              <w:bidi w:val="0"/>
            </w:pPr>
            <w:r>
              <w:t>/</w:t>
            </w:r>
          </w:p>
        </w:tc>
        <w:tc>
          <w:tcPr>
            <w:tcW w:w="322" w:type="pct"/>
            <w:vAlign w:val="center"/>
          </w:tcPr>
          <w:p w14:paraId="7B2E97C3">
            <w:pPr>
              <w:pStyle w:val="28"/>
              <w:bidi w:val="0"/>
            </w:pPr>
            <w:r>
              <w:t>30</w:t>
            </w:r>
          </w:p>
        </w:tc>
        <w:tc>
          <w:tcPr>
            <w:tcW w:w="400" w:type="pct"/>
            <w:vAlign w:val="center"/>
          </w:tcPr>
          <w:p w14:paraId="6217AC42">
            <w:pPr>
              <w:pStyle w:val="28"/>
              <w:bidi w:val="0"/>
            </w:pPr>
            <w:r>
              <w:t>30</w:t>
            </w:r>
          </w:p>
        </w:tc>
        <w:tc>
          <w:tcPr>
            <w:tcW w:w="419" w:type="pct"/>
            <w:vAlign w:val="center"/>
          </w:tcPr>
          <w:p w14:paraId="3D80EAE8">
            <w:pPr>
              <w:pStyle w:val="28"/>
              <w:bidi w:val="0"/>
            </w:pPr>
            <w:r>
              <w:t>25</w:t>
            </w:r>
          </w:p>
        </w:tc>
        <w:tc>
          <w:tcPr>
            <w:tcW w:w="416" w:type="pct"/>
            <w:vAlign w:val="center"/>
          </w:tcPr>
          <w:p w14:paraId="1EFE4665">
            <w:pPr>
              <w:pStyle w:val="28"/>
              <w:bidi w:val="0"/>
            </w:pPr>
            <w:r>
              <w:t>/</w:t>
            </w:r>
          </w:p>
        </w:tc>
        <w:tc>
          <w:tcPr>
            <w:tcW w:w="491" w:type="pct"/>
            <w:vAlign w:val="center"/>
          </w:tcPr>
          <w:p w14:paraId="73D0118F">
            <w:pPr>
              <w:pStyle w:val="28"/>
              <w:bidi w:val="0"/>
            </w:pPr>
            <w:r>
              <w:t>72.15~83.1</w:t>
            </w:r>
          </w:p>
        </w:tc>
        <w:tc>
          <w:tcPr>
            <w:tcW w:w="485" w:type="pct"/>
            <w:vAlign w:val="center"/>
          </w:tcPr>
          <w:p w14:paraId="70393677">
            <w:pPr>
              <w:pStyle w:val="28"/>
              <w:bidi w:val="0"/>
            </w:pPr>
            <w:r>
              <w:t>75.1~87.1</w:t>
            </w:r>
          </w:p>
        </w:tc>
        <w:tc>
          <w:tcPr>
            <w:tcW w:w="489" w:type="pct"/>
            <w:vAlign w:val="center"/>
          </w:tcPr>
          <w:p w14:paraId="0FC71CCE">
            <w:pPr>
              <w:pStyle w:val="28"/>
              <w:bidi w:val="0"/>
            </w:pPr>
            <w:r>
              <w:t>78.1~93.1</w:t>
            </w:r>
          </w:p>
        </w:tc>
      </w:tr>
    </w:tbl>
    <w:p w14:paraId="22CA4A92">
      <w:pPr>
        <w:spacing w:line="240" w:lineRule="auto"/>
        <w:rPr>
          <w:color w:val="0000FF"/>
        </w:rPr>
      </w:pPr>
    </w:p>
    <w:p w14:paraId="10AFF183">
      <w:pPr>
        <w:rPr>
          <w:color w:val="0000FF"/>
        </w:rPr>
      </w:pPr>
      <w:r>
        <w:rPr>
          <w:color w:val="0000FF"/>
        </w:rPr>
        <w:t>表</w:t>
      </w:r>
      <w:r>
        <w:rPr>
          <w:rFonts w:hint="eastAsia"/>
          <w:color w:val="0000FF"/>
        </w:rPr>
        <w:t>5-4</w:t>
      </w:r>
      <w:r>
        <w:rPr>
          <w:color w:val="0000FF"/>
        </w:rPr>
        <w:t>-</w:t>
      </w:r>
      <w:r>
        <w:rPr>
          <w:rFonts w:hint="eastAsia"/>
          <w:color w:val="0000FF"/>
        </w:rPr>
        <w:t>5</w:t>
      </w:r>
      <w:r>
        <w:rPr>
          <w:color w:val="0000FF"/>
        </w:rPr>
        <w:t xml:space="preserve">  常见路面噪声修正量一览表</w:t>
      </w:r>
    </w:p>
    <w:tbl>
      <w:tblPr>
        <w:tblStyle w:val="16"/>
        <w:tblW w:w="0" w:type="auto"/>
        <w:jc w:val="center"/>
        <w:tblLayout w:type="autofit"/>
        <w:tblCellMar>
          <w:top w:w="0" w:type="dxa"/>
          <w:left w:w="108" w:type="dxa"/>
          <w:bottom w:w="0" w:type="dxa"/>
          <w:right w:w="108" w:type="dxa"/>
        </w:tblCellMar>
      </w:tblPr>
      <w:tblGrid>
        <w:gridCol w:w="2337"/>
        <w:gridCol w:w="2315"/>
        <w:gridCol w:w="2319"/>
        <w:gridCol w:w="2316"/>
      </w:tblGrid>
      <w:tr w14:paraId="61C23014">
        <w:tblPrEx>
          <w:tblCellMar>
            <w:top w:w="0" w:type="dxa"/>
            <w:left w:w="108" w:type="dxa"/>
            <w:bottom w:w="0" w:type="dxa"/>
            <w:right w:w="108" w:type="dxa"/>
          </w:tblCellMar>
        </w:tblPrEx>
        <w:trPr>
          <w:trHeight w:val="340" w:hRule="atLeast"/>
          <w:jc w:val="center"/>
        </w:trPr>
        <w:tc>
          <w:tcPr>
            <w:tcW w:w="2435" w:type="dxa"/>
            <w:vMerge w:val="restart"/>
            <w:vAlign w:val="center"/>
          </w:tcPr>
          <w:p w14:paraId="459B1B24">
            <w:pPr>
              <w:pStyle w:val="28"/>
              <w:bidi w:val="0"/>
            </w:pPr>
            <w:r>
              <w:t>路面类型</w:t>
            </w:r>
          </w:p>
        </w:tc>
        <w:tc>
          <w:tcPr>
            <w:tcW w:w="7307" w:type="dxa"/>
            <w:gridSpan w:val="3"/>
            <w:vAlign w:val="center"/>
          </w:tcPr>
          <w:p w14:paraId="436F525F">
            <w:pPr>
              <w:pStyle w:val="28"/>
              <w:bidi w:val="0"/>
            </w:pPr>
            <w:r>
              <w:t>不同行驶速度修正量/（km/h）</w:t>
            </w:r>
          </w:p>
        </w:tc>
      </w:tr>
      <w:tr w14:paraId="0EF33F8D">
        <w:tblPrEx>
          <w:tblCellMar>
            <w:top w:w="0" w:type="dxa"/>
            <w:left w:w="108" w:type="dxa"/>
            <w:bottom w:w="0" w:type="dxa"/>
            <w:right w:w="108" w:type="dxa"/>
          </w:tblCellMar>
        </w:tblPrEx>
        <w:trPr>
          <w:trHeight w:val="340" w:hRule="atLeast"/>
          <w:jc w:val="center"/>
        </w:trPr>
        <w:tc>
          <w:tcPr>
            <w:tcW w:w="2435" w:type="dxa"/>
            <w:vMerge w:val="continue"/>
            <w:vAlign w:val="center"/>
          </w:tcPr>
          <w:p w14:paraId="3FBEFC66">
            <w:pPr>
              <w:pStyle w:val="28"/>
              <w:bidi w:val="0"/>
            </w:pPr>
          </w:p>
        </w:tc>
        <w:tc>
          <w:tcPr>
            <w:tcW w:w="2435" w:type="dxa"/>
            <w:vAlign w:val="center"/>
          </w:tcPr>
          <w:p w14:paraId="6ADFDA61">
            <w:pPr>
              <w:pStyle w:val="28"/>
              <w:bidi w:val="0"/>
            </w:pPr>
            <w:r>
              <w:t>30</w:t>
            </w:r>
          </w:p>
        </w:tc>
        <w:tc>
          <w:tcPr>
            <w:tcW w:w="2436" w:type="dxa"/>
            <w:vAlign w:val="center"/>
          </w:tcPr>
          <w:p w14:paraId="6D96DE76">
            <w:pPr>
              <w:pStyle w:val="28"/>
              <w:bidi w:val="0"/>
            </w:pPr>
            <w:r>
              <w:t>40</w:t>
            </w:r>
          </w:p>
        </w:tc>
        <w:tc>
          <w:tcPr>
            <w:tcW w:w="2436" w:type="dxa"/>
            <w:vAlign w:val="center"/>
          </w:tcPr>
          <w:p w14:paraId="4B50B933">
            <w:pPr>
              <w:pStyle w:val="28"/>
              <w:bidi w:val="0"/>
            </w:pPr>
            <w:r>
              <w:t>＞50</w:t>
            </w:r>
          </w:p>
        </w:tc>
      </w:tr>
      <w:tr w14:paraId="1014B1D9">
        <w:tblPrEx>
          <w:tblCellMar>
            <w:top w:w="0" w:type="dxa"/>
            <w:left w:w="108" w:type="dxa"/>
            <w:bottom w:w="0" w:type="dxa"/>
            <w:right w:w="108" w:type="dxa"/>
          </w:tblCellMar>
        </w:tblPrEx>
        <w:trPr>
          <w:trHeight w:val="340" w:hRule="atLeast"/>
          <w:jc w:val="center"/>
        </w:trPr>
        <w:tc>
          <w:tcPr>
            <w:tcW w:w="2435" w:type="dxa"/>
            <w:vAlign w:val="center"/>
          </w:tcPr>
          <w:p w14:paraId="59967CAD">
            <w:pPr>
              <w:pStyle w:val="28"/>
              <w:bidi w:val="0"/>
            </w:pPr>
            <w:r>
              <w:t>沥青混凝土/dB（A）</w:t>
            </w:r>
          </w:p>
        </w:tc>
        <w:tc>
          <w:tcPr>
            <w:tcW w:w="2435" w:type="dxa"/>
            <w:vAlign w:val="center"/>
          </w:tcPr>
          <w:p w14:paraId="6C1F46FA">
            <w:pPr>
              <w:pStyle w:val="28"/>
              <w:bidi w:val="0"/>
            </w:pPr>
            <w:r>
              <w:t>0</w:t>
            </w:r>
          </w:p>
        </w:tc>
        <w:tc>
          <w:tcPr>
            <w:tcW w:w="2436" w:type="dxa"/>
            <w:vAlign w:val="center"/>
          </w:tcPr>
          <w:p w14:paraId="6D61BA07">
            <w:pPr>
              <w:pStyle w:val="28"/>
              <w:bidi w:val="0"/>
            </w:pPr>
            <w:r>
              <w:t>0</w:t>
            </w:r>
          </w:p>
        </w:tc>
        <w:tc>
          <w:tcPr>
            <w:tcW w:w="2436" w:type="dxa"/>
            <w:vAlign w:val="center"/>
          </w:tcPr>
          <w:p w14:paraId="357F6A8E">
            <w:pPr>
              <w:pStyle w:val="28"/>
              <w:bidi w:val="0"/>
            </w:pPr>
            <w:r>
              <w:t>0</w:t>
            </w:r>
          </w:p>
        </w:tc>
      </w:tr>
      <w:tr w14:paraId="5CC25B77">
        <w:tblPrEx>
          <w:tblCellMar>
            <w:top w:w="0" w:type="dxa"/>
            <w:left w:w="108" w:type="dxa"/>
            <w:bottom w:w="0" w:type="dxa"/>
            <w:right w:w="108" w:type="dxa"/>
          </w:tblCellMar>
        </w:tblPrEx>
        <w:trPr>
          <w:trHeight w:val="340" w:hRule="atLeast"/>
          <w:jc w:val="center"/>
        </w:trPr>
        <w:tc>
          <w:tcPr>
            <w:tcW w:w="2435" w:type="dxa"/>
            <w:vAlign w:val="center"/>
          </w:tcPr>
          <w:p w14:paraId="5D8D738B">
            <w:pPr>
              <w:pStyle w:val="28"/>
              <w:bidi w:val="0"/>
            </w:pPr>
            <w:r>
              <w:t>水泥混凝土/dB（A）</w:t>
            </w:r>
          </w:p>
        </w:tc>
        <w:tc>
          <w:tcPr>
            <w:tcW w:w="2435" w:type="dxa"/>
            <w:vAlign w:val="center"/>
          </w:tcPr>
          <w:p w14:paraId="5F247A7B">
            <w:pPr>
              <w:pStyle w:val="28"/>
              <w:bidi w:val="0"/>
            </w:pPr>
            <w:r>
              <w:t>1</w:t>
            </w:r>
          </w:p>
        </w:tc>
        <w:tc>
          <w:tcPr>
            <w:tcW w:w="2436" w:type="dxa"/>
            <w:vAlign w:val="center"/>
          </w:tcPr>
          <w:p w14:paraId="56BAC735">
            <w:pPr>
              <w:pStyle w:val="28"/>
              <w:bidi w:val="0"/>
            </w:pPr>
            <w:r>
              <w:t>1.5</w:t>
            </w:r>
          </w:p>
        </w:tc>
        <w:tc>
          <w:tcPr>
            <w:tcW w:w="2436" w:type="dxa"/>
            <w:vAlign w:val="center"/>
          </w:tcPr>
          <w:p w14:paraId="5FA57FDB">
            <w:pPr>
              <w:pStyle w:val="28"/>
              <w:bidi w:val="0"/>
            </w:pPr>
            <w:r>
              <w:t>2</w:t>
            </w:r>
          </w:p>
        </w:tc>
      </w:tr>
    </w:tbl>
    <w:p w14:paraId="19CAA40A">
      <w:pPr>
        <w:spacing w:line="240" w:lineRule="auto"/>
        <w:ind w:firstLine="560"/>
        <w:rPr>
          <w:rFonts w:cs="Times New Roman"/>
          <w:color w:val="0000FF"/>
          <w:kern w:val="2"/>
        </w:rPr>
      </w:pPr>
    </w:p>
    <w:p w14:paraId="4A4EAA3E">
      <w:pPr>
        <w:ind w:firstLine="560"/>
        <w:rPr>
          <w:rFonts w:cs="Times New Roman"/>
          <w:color w:val="0000FF"/>
          <w:kern w:val="2"/>
        </w:rPr>
      </w:pPr>
      <w:r>
        <w:rPr>
          <w:rFonts w:cs="Times New Roman"/>
          <w:color w:val="0000FF"/>
          <w:kern w:val="2"/>
        </w:rPr>
        <w:t>交通噪声影响范围预测结果见下表。</w:t>
      </w:r>
    </w:p>
    <w:p w14:paraId="796B8585">
      <w:pPr>
        <w:numPr>
          <w:ilvl w:val="4"/>
          <w:numId w:val="0"/>
        </w:numPr>
        <w:rPr>
          <w:rFonts w:cs="Times New Roman"/>
          <w:color w:val="0000FF"/>
        </w:rPr>
      </w:pPr>
      <w:r>
        <w:rPr>
          <w:rFonts w:cs="Times New Roman"/>
          <w:bCs/>
          <w:color w:val="0000FF"/>
        </w:rPr>
        <w:t>表</w:t>
      </w:r>
      <w:r>
        <w:rPr>
          <w:rFonts w:hint="eastAsia" w:cs="Times New Roman"/>
          <w:bCs/>
          <w:color w:val="0000FF"/>
        </w:rPr>
        <w:t>5-4</w:t>
      </w:r>
      <w:r>
        <w:rPr>
          <w:rFonts w:cs="Times New Roman"/>
          <w:bCs/>
          <w:color w:val="0000FF"/>
        </w:rPr>
        <w:t>-</w:t>
      </w:r>
      <w:r>
        <w:rPr>
          <w:rFonts w:hint="eastAsia" w:cs="Times New Roman"/>
          <w:bCs/>
          <w:color w:val="0000FF"/>
        </w:rPr>
        <w:t>6</w:t>
      </w:r>
      <w:r>
        <w:rPr>
          <w:rFonts w:cs="Times New Roman"/>
          <w:bCs/>
          <w:color w:val="0000FF"/>
        </w:rPr>
        <w:t xml:space="preserve">  施工交通干线两侧噪声影响范围预测表</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0"/>
        <w:gridCol w:w="795"/>
        <w:gridCol w:w="793"/>
        <w:gridCol w:w="791"/>
        <w:gridCol w:w="793"/>
        <w:gridCol w:w="791"/>
        <w:gridCol w:w="793"/>
        <w:gridCol w:w="791"/>
        <w:gridCol w:w="793"/>
        <w:gridCol w:w="791"/>
        <w:gridCol w:w="796"/>
      </w:tblGrid>
      <w:tr w14:paraId="661BF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32" w:type="pct"/>
            <w:vMerge w:val="restart"/>
            <w:tcBorders>
              <w:top w:val="single" w:color="auto" w:sz="4" w:space="0"/>
              <w:left w:val="single" w:color="auto" w:sz="4" w:space="0"/>
              <w:bottom w:val="single" w:color="auto" w:sz="4" w:space="0"/>
              <w:right w:val="single" w:color="auto" w:sz="4" w:space="0"/>
            </w:tcBorders>
            <w:vAlign w:val="center"/>
          </w:tcPr>
          <w:p w14:paraId="382BC708">
            <w:pPr>
              <w:pStyle w:val="28"/>
              <w:bidi w:val="0"/>
            </w:pPr>
            <w:r>
              <w:t>噪声</w:t>
            </w:r>
          </w:p>
          <w:p w14:paraId="3D1FC708">
            <w:pPr>
              <w:pStyle w:val="28"/>
              <w:bidi w:val="0"/>
            </w:pPr>
            <w:r>
              <w:t>发生时间</w:t>
            </w:r>
          </w:p>
        </w:tc>
        <w:tc>
          <w:tcPr>
            <w:tcW w:w="4268" w:type="pct"/>
            <w:gridSpan w:val="10"/>
            <w:tcBorders>
              <w:top w:val="single" w:color="auto" w:sz="4" w:space="0"/>
              <w:left w:val="nil"/>
              <w:bottom w:val="single" w:color="auto" w:sz="4" w:space="0"/>
              <w:right w:val="single" w:color="auto" w:sz="4" w:space="0"/>
            </w:tcBorders>
            <w:vAlign w:val="center"/>
          </w:tcPr>
          <w:p w14:paraId="117FA423">
            <w:pPr>
              <w:pStyle w:val="28"/>
              <w:bidi w:val="0"/>
            </w:pPr>
            <w:r>
              <w:t>离声源不同距离的噪声预测值（dB）</w:t>
            </w:r>
          </w:p>
        </w:tc>
      </w:tr>
      <w:tr w14:paraId="0025A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431C4E48">
            <w:pPr>
              <w:pStyle w:val="28"/>
              <w:bidi w:val="0"/>
            </w:pPr>
          </w:p>
        </w:tc>
        <w:tc>
          <w:tcPr>
            <w:tcW w:w="428" w:type="pct"/>
            <w:tcBorders>
              <w:top w:val="single" w:color="auto" w:sz="4" w:space="0"/>
              <w:left w:val="nil"/>
              <w:bottom w:val="single" w:color="auto" w:sz="4" w:space="0"/>
              <w:right w:val="single" w:color="auto" w:sz="4" w:space="0"/>
            </w:tcBorders>
            <w:vAlign w:val="center"/>
          </w:tcPr>
          <w:p w14:paraId="63DCB5EB">
            <w:pPr>
              <w:pStyle w:val="28"/>
              <w:bidi w:val="0"/>
            </w:pPr>
            <w:r>
              <w:t>10m</w:t>
            </w:r>
          </w:p>
        </w:tc>
        <w:tc>
          <w:tcPr>
            <w:tcW w:w="427" w:type="pct"/>
            <w:tcBorders>
              <w:top w:val="single" w:color="auto" w:sz="4" w:space="0"/>
              <w:left w:val="nil"/>
              <w:bottom w:val="single" w:color="auto" w:sz="4" w:space="0"/>
              <w:right w:val="single" w:color="auto" w:sz="4" w:space="0"/>
            </w:tcBorders>
            <w:vAlign w:val="center"/>
          </w:tcPr>
          <w:p w14:paraId="2CC91C16">
            <w:pPr>
              <w:pStyle w:val="28"/>
              <w:bidi w:val="0"/>
            </w:pPr>
            <w:r>
              <w:t>20m</w:t>
            </w:r>
          </w:p>
        </w:tc>
        <w:tc>
          <w:tcPr>
            <w:tcW w:w="426" w:type="pct"/>
            <w:tcBorders>
              <w:top w:val="single" w:color="auto" w:sz="4" w:space="0"/>
              <w:left w:val="nil"/>
              <w:bottom w:val="single" w:color="auto" w:sz="4" w:space="0"/>
              <w:right w:val="single" w:color="auto" w:sz="4" w:space="0"/>
            </w:tcBorders>
            <w:vAlign w:val="center"/>
          </w:tcPr>
          <w:p w14:paraId="47FC7C44">
            <w:pPr>
              <w:pStyle w:val="28"/>
              <w:bidi w:val="0"/>
            </w:pPr>
            <w:r>
              <w:t>50m</w:t>
            </w:r>
          </w:p>
        </w:tc>
        <w:tc>
          <w:tcPr>
            <w:tcW w:w="427" w:type="pct"/>
            <w:tcBorders>
              <w:top w:val="single" w:color="auto" w:sz="4" w:space="0"/>
              <w:left w:val="nil"/>
              <w:bottom w:val="single" w:color="auto" w:sz="4" w:space="0"/>
              <w:right w:val="single" w:color="auto" w:sz="4" w:space="0"/>
            </w:tcBorders>
            <w:vAlign w:val="center"/>
          </w:tcPr>
          <w:p w14:paraId="3CF4858C">
            <w:pPr>
              <w:pStyle w:val="28"/>
              <w:bidi w:val="0"/>
            </w:pPr>
            <w:r>
              <w:t>100m</w:t>
            </w:r>
          </w:p>
        </w:tc>
        <w:tc>
          <w:tcPr>
            <w:tcW w:w="426" w:type="pct"/>
            <w:tcBorders>
              <w:top w:val="single" w:color="auto" w:sz="4" w:space="0"/>
              <w:left w:val="nil"/>
              <w:bottom w:val="single" w:color="auto" w:sz="4" w:space="0"/>
              <w:right w:val="single" w:color="auto" w:sz="4" w:space="0"/>
            </w:tcBorders>
            <w:vAlign w:val="center"/>
          </w:tcPr>
          <w:p w14:paraId="174468B0">
            <w:pPr>
              <w:pStyle w:val="28"/>
              <w:bidi w:val="0"/>
            </w:pPr>
            <w:r>
              <w:t>150m</w:t>
            </w:r>
          </w:p>
        </w:tc>
        <w:tc>
          <w:tcPr>
            <w:tcW w:w="427" w:type="pct"/>
            <w:tcBorders>
              <w:top w:val="single" w:color="auto" w:sz="4" w:space="0"/>
              <w:left w:val="nil"/>
              <w:bottom w:val="single" w:color="auto" w:sz="4" w:space="0"/>
              <w:right w:val="single" w:color="auto" w:sz="4" w:space="0"/>
            </w:tcBorders>
            <w:vAlign w:val="center"/>
          </w:tcPr>
          <w:p w14:paraId="36391D9B">
            <w:pPr>
              <w:pStyle w:val="28"/>
              <w:bidi w:val="0"/>
            </w:pPr>
            <w:r>
              <w:t>200m</w:t>
            </w:r>
          </w:p>
        </w:tc>
        <w:tc>
          <w:tcPr>
            <w:tcW w:w="426" w:type="pct"/>
            <w:tcBorders>
              <w:top w:val="single" w:color="auto" w:sz="4" w:space="0"/>
              <w:left w:val="nil"/>
              <w:bottom w:val="single" w:color="auto" w:sz="4" w:space="0"/>
              <w:right w:val="single" w:color="auto" w:sz="4" w:space="0"/>
            </w:tcBorders>
            <w:vAlign w:val="center"/>
          </w:tcPr>
          <w:p w14:paraId="6E2F6C6B">
            <w:pPr>
              <w:pStyle w:val="28"/>
              <w:bidi w:val="0"/>
            </w:pPr>
            <w:r>
              <w:t>300m</w:t>
            </w:r>
          </w:p>
        </w:tc>
        <w:tc>
          <w:tcPr>
            <w:tcW w:w="427" w:type="pct"/>
            <w:tcBorders>
              <w:top w:val="single" w:color="auto" w:sz="4" w:space="0"/>
              <w:left w:val="nil"/>
              <w:bottom w:val="single" w:color="auto" w:sz="4" w:space="0"/>
              <w:right w:val="single" w:color="auto" w:sz="4" w:space="0"/>
            </w:tcBorders>
            <w:vAlign w:val="center"/>
          </w:tcPr>
          <w:p w14:paraId="0D3DD391">
            <w:pPr>
              <w:pStyle w:val="28"/>
              <w:bidi w:val="0"/>
            </w:pPr>
            <w:r>
              <w:t>400m</w:t>
            </w:r>
          </w:p>
        </w:tc>
        <w:tc>
          <w:tcPr>
            <w:tcW w:w="426" w:type="pct"/>
            <w:tcBorders>
              <w:top w:val="single" w:color="auto" w:sz="4" w:space="0"/>
              <w:left w:val="nil"/>
              <w:bottom w:val="single" w:color="auto" w:sz="4" w:space="0"/>
              <w:right w:val="single" w:color="auto" w:sz="4" w:space="0"/>
            </w:tcBorders>
            <w:vAlign w:val="center"/>
          </w:tcPr>
          <w:p w14:paraId="1B6680A2">
            <w:pPr>
              <w:pStyle w:val="28"/>
              <w:bidi w:val="0"/>
            </w:pPr>
            <w:r>
              <w:t>600m</w:t>
            </w:r>
          </w:p>
        </w:tc>
        <w:tc>
          <w:tcPr>
            <w:tcW w:w="428" w:type="pct"/>
            <w:tcBorders>
              <w:top w:val="single" w:color="auto" w:sz="4" w:space="0"/>
              <w:left w:val="nil"/>
              <w:bottom w:val="single" w:color="auto" w:sz="4" w:space="0"/>
              <w:right w:val="single" w:color="auto" w:sz="4" w:space="0"/>
            </w:tcBorders>
            <w:vAlign w:val="center"/>
          </w:tcPr>
          <w:p w14:paraId="6729F989">
            <w:pPr>
              <w:pStyle w:val="28"/>
              <w:bidi w:val="0"/>
            </w:pPr>
            <w:r>
              <w:t>800m</w:t>
            </w:r>
          </w:p>
        </w:tc>
      </w:tr>
      <w:tr w14:paraId="21ADA4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32" w:type="pct"/>
            <w:tcBorders>
              <w:top w:val="single" w:color="auto" w:sz="4" w:space="0"/>
              <w:left w:val="single" w:color="auto" w:sz="4" w:space="0"/>
              <w:bottom w:val="single" w:color="auto" w:sz="4" w:space="0"/>
              <w:right w:val="single" w:color="auto" w:sz="4" w:space="0"/>
            </w:tcBorders>
            <w:vAlign w:val="center"/>
          </w:tcPr>
          <w:p w14:paraId="31B962C7">
            <w:pPr>
              <w:pStyle w:val="28"/>
              <w:bidi w:val="0"/>
            </w:pPr>
            <w:r>
              <w:t>昼间</w:t>
            </w:r>
          </w:p>
        </w:tc>
        <w:tc>
          <w:tcPr>
            <w:tcW w:w="834" w:type="dxa"/>
            <w:tcBorders>
              <w:top w:val="single" w:color="auto" w:sz="4" w:space="0"/>
              <w:left w:val="nil"/>
              <w:bottom w:val="single" w:color="auto" w:sz="4" w:space="0"/>
              <w:right w:val="single" w:color="auto" w:sz="4" w:space="0"/>
            </w:tcBorders>
            <w:vAlign w:val="center"/>
          </w:tcPr>
          <w:p w14:paraId="4E286974">
            <w:pPr>
              <w:pStyle w:val="28"/>
              <w:bidi w:val="0"/>
            </w:pPr>
            <w:r>
              <w:t>54.0</w:t>
            </w:r>
          </w:p>
        </w:tc>
        <w:tc>
          <w:tcPr>
            <w:tcW w:w="832" w:type="dxa"/>
            <w:tcBorders>
              <w:top w:val="single" w:color="auto" w:sz="4" w:space="0"/>
              <w:left w:val="nil"/>
              <w:bottom w:val="single" w:color="auto" w:sz="4" w:space="0"/>
              <w:right w:val="single" w:color="auto" w:sz="4" w:space="0"/>
            </w:tcBorders>
            <w:vAlign w:val="center"/>
          </w:tcPr>
          <w:p w14:paraId="1CC5F26E">
            <w:pPr>
              <w:pStyle w:val="28"/>
              <w:bidi w:val="0"/>
            </w:pPr>
            <w:r>
              <w:t>53.8</w:t>
            </w:r>
          </w:p>
        </w:tc>
        <w:tc>
          <w:tcPr>
            <w:tcW w:w="830" w:type="dxa"/>
            <w:tcBorders>
              <w:top w:val="single" w:color="auto" w:sz="4" w:space="0"/>
              <w:left w:val="nil"/>
              <w:bottom w:val="single" w:color="auto" w:sz="4" w:space="0"/>
              <w:right w:val="single" w:color="auto" w:sz="4" w:space="0"/>
            </w:tcBorders>
            <w:vAlign w:val="center"/>
          </w:tcPr>
          <w:p w14:paraId="24849093">
            <w:pPr>
              <w:pStyle w:val="28"/>
              <w:bidi w:val="0"/>
            </w:pPr>
            <w:r>
              <w:t>51.1</w:t>
            </w:r>
          </w:p>
        </w:tc>
        <w:tc>
          <w:tcPr>
            <w:tcW w:w="832" w:type="dxa"/>
            <w:tcBorders>
              <w:top w:val="single" w:color="auto" w:sz="4" w:space="0"/>
              <w:left w:val="nil"/>
              <w:bottom w:val="single" w:color="auto" w:sz="4" w:space="0"/>
              <w:right w:val="single" w:color="auto" w:sz="4" w:space="0"/>
            </w:tcBorders>
            <w:vAlign w:val="center"/>
          </w:tcPr>
          <w:p w14:paraId="293E1B1D">
            <w:pPr>
              <w:pStyle w:val="28"/>
              <w:bidi w:val="0"/>
            </w:pPr>
            <w:r>
              <w:t>47.8</w:t>
            </w:r>
          </w:p>
        </w:tc>
        <w:tc>
          <w:tcPr>
            <w:tcW w:w="830" w:type="dxa"/>
            <w:tcBorders>
              <w:top w:val="single" w:color="auto" w:sz="4" w:space="0"/>
              <w:left w:val="nil"/>
              <w:bottom w:val="single" w:color="auto" w:sz="4" w:space="0"/>
              <w:right w:val="single" w:color="auto" w:sz="4" w:space="0"/>
            </w:tcBorders>
            <w:vAlign w:val="center"/>
          </w:tcPr>
          <w:p w14:paraId="22849497">
            <w:pPr>
              <w:pStyle w:val="28"/>
              <w:bidi w:val="0"/>
            </w:pPr>
            <w:r>
              <w:t>46.3</w:t>
            </w:r>
          </w:p>
        </w:tc>
        <w:tc>
          <w:tcPr>
            <w:tcW w:w="832" w:type="dxa"/>
            <w:tcBorders>
              <w:top w:val="single" w:color="auto" w:sz="4" w:space="0"/>
              <w:left w:val="nil"/>
              <w:bottom w:val="single" w:color="auto" w:sz="4" w:space="0"/>
              <w:right w:val="single" w:color="auto" w:sz="4" w:space="0"/>
            </w:tcBorders>
            <w:vAlign w:val="center"/>
          </w:tcPr>
          <w:p w14:paraId="483E9545">
            <w:pPr>
              <w:pStyle w:val="28"/>
              <w:bidi w:val="0"/>
            </w:pPr>
            <w:r>
              <w:t>45.0</w:t>
            </w:r>
          </w:p>
        </w:tc>
        <w:tc>
          <w:tcPr>
            <w:tcW w:w="830" w:type="dxa"/>
            <w:tcBorders>
              <w:top w:val="single" w:color="auto" w:sz="4" w:space="0"/>
              <w:left w:val="nil"/>
              <w:bottom w:val="single" w:color="auto" w:sz="4" w:space="0"/>
              <w:right w:val="single" w:color="auto" w:sz="4" w:space="0"/>
            </w:tcBorders>
            <w:vAlign w:val="center"/>
          </w:tcPr>
          <w:p w14:paraId="16830771">
            <w:pPr>
              <w:pStyle w:val="28"/>
              <w:bidi w:val="0"/>
            </w:pPr>
            <w:r>
              <w:t>43.3</w:t>
            </w:r>
          </w:p>
        </w:tc>
        <w:tc>
          <w:tcPr>
            <w:tcW w:w="832" w:type="dxa"/>
            <w:tcBorders>
              <w:top w:val="single" w:color="auto" w:sz="4" w:space="0"/>
              <w:left w:val="nil"/>
              <w:bottom w:val="single" w:color="auto" w:sz="4" w:space="0"/>
              <w:right w:val="single" w:color="auto" w:sz="4" w:space="0"/>
            </w:tcBorders>
            <w:vAlign w:val="center"/>
          </w:tcPr>
          <w:p w14:paraId="13EC51D1">
            <w:pPr>
              <w:pStyle w:val="28"/>
              <w:bidi w:val="0"/>
            </w:pPr>
            <w:r>
              <w:t>42.0</w:t>
            </w:r>
          </w:p>
        </w:tc>
        <w:tc>
          <w:tcPr>
            <w:tcW w:w="830" w:type="dxa"/>
            <w:tcBorders>
              <w:top w:val="single" w:color="auto" w:sz="4" w:space="0"/>
              <w:left w:val="nil"/>
              <w:bottom w:val="single" w:color="auto" w:sz="4" w:space="0"/>
              <w:right w:val="single" w:color="auto" w:sz="4" w:space="0"/>
            </w:tcBorders>
            <w:vAlign w:val="center"/>
          </w:tcPr>
          <w:p w14:paraId="18084760">
            <w:pPr>
              <w:pStyle w:val="28"/>
              <w:bidi w:val="0"/>
            </w:pPr>
            <w:r>
              <w:t>40.3</w:t>
            </w:r>
          </w:p>
        </w:tc>
        <w:tc>
          <w:tcPr>
            <w:tcW w:w="834" w:type="dxa"/>
            <w:tcBorders>
              <w:top w:val="single" w:color="auto" w:sz="4" w:space="0"/>
              <w:left w:val="nil"/>
              <w:bottom w:val="single" w:color="auto" w:sz="4" w:space="0"/>
              <w:right w:val="single" w:color="auto" w:sz="4" w:space="0"/>
            </w:tcBorders>
            <w:vAlign w:val="center"/>
          </w:tcPr>
          <w:p w14:paraId="3ED86739">
            <w:pPr>
              <w:pStyle w:val="28"/>
              <w:bidi w:val="0"/>
            </w:pPr>
            <w:r>
              <w:t>39.0</w:t>
            </w:r>
          </w:p>
        </w:tc>
      </w:tr>
    </w:tbl>
    <w:p w14:paraId="32DCF82A">
      <w:pPr>
        <w:widowControl w:val="0"/>
        <w:spacing w:line="240" w:lineRule="auto"/>
        <w:ind w:firstLine="480" w:firstLineChars="200"/>
        <w:rPr>
          <w:rFonts w:cs="Times New Roman"/>
          <w:color w:val="0000FF"/>
        </w:rPr>
      </w:pPr>
    </w:p>
    <w:p w14:paraId="0C502ABE">
      <w:pPr>
        <w:widowControl w:val="0"/>
        <w:ind w:firstLine="480" w:firstLineChars="200"/>
        <w:rPr>
          <w:rFonts w:cs="Times New Roman"/>
          <w:color w:val="0000FF"/>
        </w:rPr>
      </w:pPr>
      <w:r>
        <w:rPr>
          <w:rFonts w:cs="Times New Roman"/>
          <w:color w:val="0000FF"/>
        </w:rPr>
        <w:t>由表可见，若按1类标准，施工机械及日常运营车分别对道路两侧20m范围内的敏感点都造成影响。但这些乡间道路及新建的临时道路距离附近居民点的范围一般都大于20m，且本工程施工所用机械车辆相对日常车辆较少，分布在整个堤防，则单位长度车辆相对于日常道路车流量来说较小，所贡献的噪声值小，对周边敏感点的影响非常有限。</w:t>
      </w:r>
    </w:p>
    <w:p w14:paraId="324583B1">
      <w:pPr>
        <w:ind w:firstLine="480" w:firstLineChars="200"/>
        <w:rPr>
          <w:rFonts w:cs="Times New Roman"/>
          <w:color w:val="0000FF"/>
        </w:rPr>
      </w:pPr>
      <w:r>
        <w:rPr>
          <w:rFonts w:cs="Times New Roman"/>
          <w:color w:val="0000FF"/>
        </w:rPr>
        <w:t>总体上工程施工活动使用高</w:t>
      </w:r>
      <w:r>
        <w:rPr>
          <w:rFonts w:hint="eastAsia" w:cs="Times New Roman"/>
          <w:color w:val="0000FF"/>
        </w:rPr>
        <w:t>噪声</w:t>
      </w:r>
      <w:r>
        <w:rPr>
          <w:rFonts w:cs="Times New Roman"/>
          <w:color w:val="0000FF"/>
        </w:rPr>
        <w:t>设备较少，且分期分段实施，对居民点影响相对较小。由于工程均在枯水期施工，影响集中在每年的11月～次年5月，施工活动结束后，影响消失。</w:t>
      </w:r>
    </w:p>
    <w:p w14:paraId="4D493159">
      <w:pPr>
        <w:pStyle w:val="4"/>
        <w:rPr>
          <w:rFonts w:cs="Times New Roman"/>
          <w:color w:val="0000FF"/>
        </w:rPr>
      </w:pPr>
      <w:r>
        <w:rPr>
          <w:rFonts w:hint="eastAsia" w:cs="Times New Roman"/>
          <w:color w:val="0000FF"/>
        </w:rPr>
        <w:t>5.4</w:t>
      </w:r>
      <w:r>
        <w:rPr>
          <w:rFonts w:cs="Times New Roman"/>
          <w:color w:val="0000FF"/>
        </w:rPr>
        <w:t>.2 运行期声环境影响分析</w:t>
      </w:r>
    </w:p>
    <w:p w14:paraId="0C327AAC">
      <w:pPr>
        <w:pStyle w:val="5"/>
        <w:rPr>
          <w:rFonts w:cs="Times New Roman"/>
          <w:color w:val="0000FF"/>
        </w:rPr>
      </w:pPr>
      <w:r>
        <w:rPr>
          <w:rFonts w:hint="eastAsia" w:cs="Times New Roman"/>
          <w:color w:val="0000FF"/>
        </w:rPr>
        <w:t>5.4</w:t>
      </w:r>
      <w:r>
        <w:rPr>
          <w:rFonts w:cs="Times New Roman"/>
          <w:color w:val="0000FF"/>
        </w:rPr>
        <w:t>.2.1 泵站概况</w:t>
      </w:r>
    </w:p>
    <w:p w14:paraId="49834E63">
      <w:pPr>
        <w:ind w:firstLine="480" w:firstLineChars="200"/>
        <w:rPr>
          <w:rFonts w:cs="Times New Roman"/>
          <w:color w:val="0000FF"/>
        </w:rPr>
      </w:pPr>
      <w:r>
        <w:rPr>
          <w:rFonts w:cs="Times New Roman"/>
          <w:color w:val="0000FF"/>
        </w:rPr>
        <w:t>本项目中郑岗泵站拆除重建工程对现有长期停用的郑岗泵站进行</w:t>
      </w:r>
      <w:r>
        <w:rPr>
          <w:rFonts w:hint="eastAsia" w:cs="Times New Roman"/>
          <w:color w:val="0000FF"/>
        </w:rPr>
        <w:t>拆除</w:t>
      </w:r>
      <w:r>
        <w:rPr>
          <w:rFonts w:cs="Times New Roman"/>
          <w:color w:val="0000FF"/>
        </w:rPr>
        <w:t>重建，同时对潜水泵设备改造。泵站运行时产生的产生泵机噪声，会给周边声环境敏感点造成不利影响。</w:t>
      </w:r>
    </w:p>
    <w:p w14:paraId="5BC5F209">
      <w:pPr>
        <w:ind w:firstLine="480" w:firstLineChars="200"/>
        <w:rPr>
          <w:rFonts w:cs="Times New Roman"/>
          <w:color w:val="0000FF"/>
        </w:rPr>
      </w:pPr>
      <w:r>
        <w:rPr>
          <w:rFonts w:cs="Times New Roman"/>
          <w:color w:val="0000FF"/>
        </w:rPr>
        <w:t>郑岗泵站涉及参数见下表：</w:t>
      </w:r>
    </w:p>
    <w:p w14:paraId="2F03920D">
      <w:pPr>
        <w:rPr>
          <w:color w:val="0000FF"/>
        </w:rPr>
      </w:pPr>
      <w:r>
        <w:rPr>
          <w:rFonts w:hint="eastAsia"/>
          <w:color w:val="0000FF"/>
        </w:rPr>
        <w:t>表5-4-7</w:t>
      </w:r>
      <w:r>
        <w:rPr>
          <w:color w:val="0000FF"/>
        </w:rPr>
        <w:t xml:space="preserve">  郑岗泵站灌溉范围情况调查表</w:t>
      </w:r>
    </w:p>
    <w:tbl>
      <w:tblPr>
        <w:tblStyle w:val="16"/>
        <w:tblW w:w="4995" w:type="pct"/>
        <w:tblInd w:w="0" w:type="dxa"/>
        <w:tblLayout w:type="autofit"/>
        <w:tblCellMar>
          <w:top w:w="0" w:type="dxa"/>
          <w:left w:w="108" w:type="dxa"/>
          <w:bottom w:w="0" w:type="dxa"/>
          <w:right w:w="108" w:type="dxa"/>
        </w:tblCellMar>
      </w:tblPr>
      <w:tblGrid>
        <w:gridCol w:w="1471"/>
        <w:gridCol w:w="1235"/>
        <w:gridCol w:w="1844"/>
        <w:gridCol w:w="1181"/>
        <w:gridCol w:w="1352"/>
        <w:gridCol w:w="1012"/>
        <w:gridCol w:w="1183"/>
      </w:tblGrid>
      <w:tr w14:paraId="399F2223">
        <w:tblPrEx>
          <w:tblCellMar>
            <w:top w:w="0" w:type="dxa"/>
            <w:left w:w="108" w:type="dxa"/>
            <w:bottom w:w="0" w:type="dxa"/>
            <w:right w:w="108" w:type="dxa"/>
          </w:tblCellMar>
        </w:tblPrEx>
        <w:trPr>
          <w:trHeight w:val="340" w:hRule="atLeast"/>
        </w:trPr>
        <w:tc>
          <w:tcPr>
            <w:tcW w:w="793" w:type="pct"/>
            <w:tcBorders>
              <w:top w:val="single" w:color="000000" w:sz="4" w:space="0"/>
              <w:left w:val="single" w:color="000000" w:sz="4" w:space="0"/>
              <w:bottom w:val="single" w:color="000000" w:sz="4" w:space="0"/>
              <w:right w:val="single" w:color="000000" w:sz="4" w:space="0"/>
            </w:tcBorders>
            <w:vAlign w:val="center"/>
          </w:tcPr>
          <w:p w14:paraId="7EEED2CB">
            <w:pPr>
              <w:pStyle w:val="28"/>
              <w:bidi w:val="0"/>
            </w:pPr>
            <w:r>
              <w:t>泵站名称</w:t>
            </w:r>
          </w:p>
        </w:tc>
        <w:tc>
          <w:tcPr>
            <w:tcW w:w="665" w:type="pct"/>
            <w:tcBorders>
              <w:top w:val="single" w:color="000000" w:sz="4" w:space="0"/>
              <w:left w:val="single" w:color="000000" w:sz="4" w:space="0"/>
              <w:bottom w:val="single" w:color="000000" w:sz="4" w:space="0"/>
              <w:right w:val="single" w:color="000000" w:sz="4" w:space="0"/>
            </w:tcBorders>
            <w:vAlign w:val="center"/>
          </w:tcPr>
          <w:p w14:paraId="07A639BF">
            <w:pPr>
              <w:pStyle w:val="28"/>
              <w:bidi w:val="0"/>
            </w:pPr>
            <w:r>
              <w:t>流量（m3/s）</w:t>
            </w:r>
          </w:p>
        </w:tc>
        <w:tc>
          <w:tcPr>
            <w:tcW w:w="993" w:type="pct"/>
            <w:tcBorders>
              <w:top w:val="single" w:color="000000" w:sz="4" w:space="0"/>
              <w:left w:val="single" w:color="000000" w:sz="4" w:space="0"/>
              <w:bottom w:val="single" w:color="000000" w:sz="4" w:space="0"/>
              <w:right w:val="single" w:color="000000" w:sz="4" w:space="0"/>
            </w:tcBorders>
            <w:vAlign w:val="center"/>
          </w:tcPr>
          <w:p w14:paraId="6FAFDE90">
            <w:pPr>
              <w:pStyle w:val="28"/>
              <w:bidi w:val="0"/>
            </w:pPr>
            <w:r>
              <w:t>水泵型号</w:t>
            </w:r>
          </w:p>
        </w:tc>
        <w:tc>
          <w:tcPr>
            <w:tcW w:w="636" w:type="pct"/>
            <w:tcBorders>
              <w:top w:val="single" w:color="000000" w:sz="4" w:space="0"/>
              <w:left w:val="single" w:color="000000" w:sz="4" w:space="0"/>
              <w:bottom w:val="single" w:color="000000" w:sz="4" w:space="0"/>
              <w:right w:val="single" w:color="000000" w:sz="4" w:space="0"/>
            </w:tcBorders>
            <w:vAlign w:val="center"/>
          </w:tcPr>
          <w:p w14:paraId="2D5635AC">
            <w:pPr>
              <w:pStyle w:val="28"/>
              <w:bidi w:val="0"/>
            </w:pPr>
            <w:r>
              <w:t>台数（台）</w:t>
            </w:r>
          </w:p>
        </w:tc>
        <w:tc>
          <w:tcPr>
            <w:tcW w:w="728" w:type="pct"/>
            <w:tcBorders>
              <w:top w:val="single" w:color="000000" w:sz="4" w:space="0"/>
              <w:left w:val="single" w:color="000000" w:sz="4" w:space="0"/>
              <w:bottom w:val="single" w:color="000000" w:sz="4" w:space="0"/>
              <w:right w:val="single" w:color="000000" w:sz="4" w:space="0"/>
            </w:tcBorders>
            <w:vAlign w:val="center"/>
          </w:tcPr>
          <w:p w14:paraId="7C8D96CF">
            <w:pPr>
              <w:pStyle w:val="28"/>
              <w:bidi w:val="0"/>
            </w:pPr>
            <w:r>
              <w:t>电机功率（kW）</w:t>
            </w:r>
          </w:p>
        </w:tc>
        <w:tc>
          <w:tcPr>
            <w:tcW w:w="545" w:type="pct"/>
            <w:tcBorders>
              <w:top w:val="single" w:color="000000" w:sz="4" w:space="0"/>
              <w:left w:val="single" w:color="000000" w:sz="4" w:space="0"/>
              <w:bottom w:val="single" w:color="000000" w:sz="4" w:space="0"/>
              <w:right w:val="single" w:color="000000" w:sz="4" w:space="0"/>
            </w:tcBorders>
            <w:vAlign w:val="center"/>
          </w:tcPr>
          <w:p w14:paraId="56A250D1">
            <w:pPr>
              <w:pStyle w:val="28"/>
              <w:bidi w:val="0"/>
            </w:pPr>
            <w:r>
              <w:t>泵效率%</w:t>
            </w:r>
          </w:p>
        </w:tc>
        <w:tc>
          <w:tcPr>
            <w:tcW w:w="637" w:type="pct"/>
            <w:tcBorders>
              <w:top w:val="single" w:color="000000" w:sz="4" w:space="0"/>
              <w:left w:val="single" w:color="000000" w:sz="4" w:space="0"/>
              <w:bottom w:val="single" w:color="000000" w:sz="4" w:space="0"/>
              <w:right w:val="single" w:color="000000" w:sz="4" w:space="0"/>
            </w:tcBorders>
            <w:vAlign w:val="center"/>
          </w:tcPr>
          <w:p w14:paraId="1C667AA9">
            <w:pPr>
              <w:pStyle w:val="28"/>
              <w:bidi w:val="0"/>
            </w:pPr>
            <w:r>
              <w:t>转速（转/分）</w:t>
            </w:r>
          </w:p>
        </w:tc>
      </w:tr>
      <w:tr w14:paraId="0587F491">
        <w:tblPrEx>
          <w:tblCellMar>
            <w:top w:w="0" w:type="dxa"/>
            <w:left w:w="108" w:type="dxa"/>
            <w:bottom w:w="0" w:type="dxa"/>
            <w:right w:w="108" w:type="dxa"/>
          </w:tblCellMar>
        </w:tblPrEx>
        <w:trPr>
          <w:trHeight w:val="340" w:hRule="atLeast"/>
        </w:trPr>
        <w:tc>
          <w:tcPr>
            <w:tcW w:w="793" w:type="pct"/>
            <w:tcBorders>
              <w:top w:val="single" w:color="000000" w:sz="4" w:space="0"/>
              <w:left w:val="single" w:color="000000" w:sz="4" w:space="0"/>
              <w:bottom w:val="single" w:color="000000" w:sz="4" w:space="0"/>
              <w:right w:val="single" w:color="000000" w:sz="4" w:space="0"/>
            </w:tcBorders>
            <w:vAlign w:val="center"/>
          </w:tcPr>
          <w:p w14:paraId="4ED1B533">
            <w:pPr>
              <w:pStyle w:val="28"/>
              <w:bidi w:val="0"/>
            </w:pPr>
            <w:r>
              <w:t>郑岗一级站</w:t>
            </w:r>
          </w:p>
        </w:tc>
        <w:tc>
          <w:tcPr>
            <w:tcW w:w="665" w:type="pct"/>
            <w:tcBorders>
              <w:top w:val="single" w:color="000000" w:sz="4" w:space="0"/>
              <w:left w:val="single" w:color="000000" w:sz="4" w:space="0"/>
              <w:bottom w:val="single" w:color="000000" w:sz="4" w:space="0"/>
              <w:right w:val="single" w:color="000000" w:sz="4" w:space="0"/>
            </w:tcBorders>
            <w:vAlign w:val="center"/>
          </w:tcPr>
          <w:p w14:paraId="56A5AD91">
            <w:pPr>
              <w:pStyle w:val="28"/>
              <w:bidi w:val="0"/>
            </w:pPr>
            <w:r>
              <w:t>2.5</w:t>
            </w:r>
          </w:p>
        </w:tc>
        <w:tc>
          <w:tcPr>
            <w:tcW w:w="993" w:type="pct"/>
            <w:tcBorders>
              <w:top w:val="single" w:color="000000" w:sz="4" w:space="0"/>
              <w:left w:val="single" w:color="000000" w:sz="4" w:space="0"/>
              <w:bottom w:val="single" w:color="000000" w:sz="4" w:space="0"/>
              <w:right w:val="single" w:color="000000" w:sz="4" w:space="0"/>
            </w:tcBorders>
            <w:vAlign w:val="center"/>
          </w:tcPr>
          <w:p w14:paraId="06D1F37C">
            <w:pPr>
              <w:pStyle w:val="28"/>
              <w:bidi w:val="0"/>
            </w:pPr>
            <w:r>
              <w:t>600QH—50</w:t>
            </w:r>
          </w:p>
        </w:tc>
        <w:tc>
          <w:tcPr>
            <w:tcW w:w="636" w:type="pct"/>
            <w:tcBorders>
              <w:top w:val="single" w:color="000000" w:sz="4" w:space="0"/>
              <w:left w:val="single" w:color="000000" w:sz="4" w:space="0"/>
              <w:bottom w:val="single" w:color="000000" w:sz="4" w:space="0"/>
              <w:right w:val="single" w:color="000000" w:sz="4" w:space="0"/>
            </w:tcBorders>
            <w:vAlign w:val="center"/>
          </w:tcPr>
          <w:p w14:paraId="4046874F">
            <w:pPr>
              <w:pStyle w:val="28"/>
              <w:bidi w:val="0"/>
            </w:pPr>
            <w:r>
              <w:t>3</w:t>
            </w:r>
          </w:p>
        </w:tc>
        <w:tc>
          <w:tcPr>
            <w:tcW w:w="728" w:type="pct"/>
            <w:tcBorders>
              <w:top w:val="single" w:color="000000" w:sz="4" w:space="0"/>
              <w:left w:val="single" w:color="000000" w:sz="4" w:space="0"/>
              <w:bottom w:val="single" w:color="000000" w:sz="4" w:space="0"/>
              <w:right w:val="single" w:color="000000" w:sz="4" w:space="0"/>
            </w:tcBorders>
            <w:vAlign w:val="center"/>
          </w:tcPr>
          <w:p w14:paraId="4C55AE92">
            <w:pPr>
              <w:pStyle w:val="28"/>
              <w:bidi w:val="0"/>
            </w:pPr>
            <w:r>
              <w:t>132KW</w:t>
            </w:r>
          </w:p>
        </w:tc>
        <w:tc>
          <w:tcPr>
            <w:tcW w:w="545" w:type="pct"/>
            <w:tcBorders>
              <w:top w:val="single" w:color="000000" w:sz="4" w:space="0"/>
              <w:left w:val="single" w:color="000000" w:sz="4" w:space="0"/>
              <w:bottom w:val="single" w:color="000000" w:sz="4" w:space="0"/>
              <w:right w:val="single" w:color="000000" w:sz="4" w:space="0"/>
            </w:tcBorders>
            <w:vAlign w:val="center"/>
          </w:tcPr>
          <w:p w14:paraId="739F8B62">
            <w:pPr>
              <w:pStyle w:val="28"/>
              <w:bidi w:val="0"/>
            </w:pPr>
            <w:r>
              <w:t>83.3</w:t>
            </w:r>
          </w:p>
        </w:tc>
        <w:tc>
          <w:tcPr>
            <w:tcW w:w="637" w:type="pct"/>
            <w:tcBorders>
              <w:top w:val="single" w:color="000000" w:sz="4" w:space="0"/>
              <w:left w:val="single" w:color="000000" w:sz="4" w:space="0"/>
              <w:bottom w:val="single" w:color="000000" w:sz="4" w:space="0"/>
              <w:right w:val="single" w:color="000000" w:sz="4" w:space="0"/>
            </w:tcBorders>
            <w:vAlign w:val="center"/>
          </w:tcPr>
          <w:p w14:paraId="5EDB3709">
            <w:pPr>
              <w:pStyle w:val="28"/>
              <w:bidi w:val="0"/>
            </w:pPr>
            <w:r>
              <w:t>980</w:t>
            </w:r>
          </w:p>
        </w:tc>
      </w:tr>
      <w:tr w14:paraId="2A3C6A26">
        <w:tblPrEx>
          <w:tblCellMar>
            <w:top w:w="0" w:type="dxa"/>
            <w:left w:w="108" w:type="dxa"/>
            <w:bottom w:w="0" w:type="dxa"/>
            <w:right w:w="108" w:type="dxa"/>
          </w:tblCellMar>
        </w:tblPrEx>
        <w:trPr>
          <w:trHeight w:val="340" w:hRule="atLeast"/>
        </w:trPr>
        <w:tc>
          <w:tcPr>
            <w:tcW w:w="793" w:type="pct"/>
            <w:tcBorders>
              <w:top w:val="single" w:color="000000" w:sz="4" w:space="0"/>
              <w:left w:val="single" w:color="000000" w:sz="4" w:space="0"/>
              <w:bottom w:val="single" w:color="000000" w:sz="4" w:space="0"/>
              <w:right w:val="single" w:color="000000" w:sz="4" w:space="0"/>
            </w:tcBorders>
            <w:vAlign w:val="center"/>
          </w:tcPr>
          <w:p w14:paraId="5C7AD883">
            <w:pPr>
              <w:pStyle w:val="28"/>
              <w:bidi w:val="0"/>
            </w:pPr>
            <w:r>
              <w:t>郑岗二级站</w:t>
            </w:r>
          </w:p>
        </w:tc>
        <w:tc>
          <w:tcPr>
            <w:tcW w:w="665" w:type="pct"/>
            <w:tcBorders>
              <w:top w:val="single" w:color="000000" w:sz="4" w:space="0"/>
              <w:left w:val="single" w:color="000000" w:sz="4" w:space="0"/>
              <w:bottom w:val="single" w:color="000000" w:sz="4" w:space="0"/>
              <w:right w:val="single" w:color="000000" w:sz="4" w:space="0"/>
            </w:tcBorders>
            <w:vAlign w:val="center"/>
          </w:tcPr>
          <w:p w14:paraId="7BAB911C">
            <w:pPr>
              <w:pStyle w:val="28"/>
              <w:bidi w:val="0"/>
            </w:pPr>
            <w:r>
              <w:t>1.9</w:t>
            </w:r>
          </w:p>
        </w:tc>
        <w:tc>
          <w:tcPr>
            <w:tcW w:w="993" w:type="pct"/>
            <w:tcBorders>
              <w:top w:val="single" w:color="000000" w:sz="4" w:space="0"/>
              <w:left w:val="single" w:color="000000" w:sz="4" w:space="0"/>
              <w:bottom w:val="single" w:color="000000" w:sz="4" w:space="0"/>
              <w:right w:val="single" w:color="000000" w:sz="4" w:space="0"/>
            </w:tcBorders>
            <w:vAlign w:val="center"/>
          </w:tcPr>
          <w:p w14:paraId="7308F2BF">
            <w:pPr>
              <w:pStyle w:val="28"/>
              <w:bidi w:val="0"/>
            </w:pPr>
            <w:r>
              <w:t>600QH—40</w:t>
            </w:r>
          </w:p>
        </w:tc>
        <w:tc>
          <w:tcPr>
            <w:tcW w:w="636" w:type="pct"/>
            <w:tcBorders>
              <w:top w:val="single" w:color="000000" w:sz="4" w:space="0"/>
              <w:left w:val="single" w:color="000000" w:sz="4" w:space="0"/>
              <w:bottom w:val="single" w:color="000000" w:sz="4" w:space="0"/>
              <w:right w:val="single" w:color="000000" w:sz="4" w:space="0"/>
            </w:tcBorders>
            <w:vAlign w:val="center"/>
          </w:tcPr>
          <w:p w14:paraId="1012DA7C">
            <w:pPr>
              <w:pStyle w:val="28"/>
              <w:bidi w:val="0"/>
            </w:pPr>
            <w:r>
              <w:t>2</w:t>
            </w:r>
          </w:p>
        </w:tc>
        <w:tc>
          <w:tcPr>
            <w:tcW w:w="728" w:type="pct"/>
            <w:tcBorders>
              <w:top w:val="single" w:color="000000" w:sz="4" w:space="0"/>
              <w:left w:val="single" w:color="000000" w:sz="4" w:space="0"/>
              <w:bottom w:val="single" w:color="000000" w:sz="4" w:space="0"/>
              <w:right w:val="single" w:color="000000" w:sz="4" w:space="0"/>
            </w:tcBorders>
            <w:vAlign w:val="center"/>
          </w:tcPr>
          <w:p w14:paraId="1D933A5D">
            <w:pPr>
              <w:pStyle w:val="28"/>
              <w:bidi w:val="0"/>
            </w:pPr>
            <w:r>
              <w:t>250KW</w:t>
            </w:r>
          </w:p>
        </w:tc>
        <w:tc>
          <w:tcPr>
            <w:tcW w:w="545" w:type="pct"/>
            <w:tcBorders>
              <w:top w:val="single" w:color="000000" w:sz="4" w:space="0"/>
              <w:left w:val="single" w:color="000000" w:sz="4" w:space="0"/>
              <w:bottom w:val="single" w:color="000000" w:sz="4" w:space="0"/>
              <w:right w:val="single" w:color="000000" w:sz="4" w:space="0"/>
            </w:tcBorders>
            <w:vAlign w:val="center"/>
          </w:tcPr>
          <w:p w14:paraId="08E8B458">
            <w:pPr>
              <w:pStyle w:val="28"/>
              <w:bidi w:val="0"/>
            </w:pPr>
            <w:r>
              <w:t>82.4</w:t>
            </w:r>
          </w:p>
        </w:tc>
        <w:tc>
          <w:tcPr>
            <w:tcW w:w="637" w:type="pct"/>
            <w:tcBorders>
              <w:top w:val="single" w:color="000000" w:sz="4" w:space="0"/>
              <w:left w:val="single" w:color="000000" w:sz="4" w:space="0"/>
              <w:bottom w:val="single" w:color="000000" w:sz="4" w:space="0"/>
              <w:right w:val="single" w:color="000000" w:sz="4" w:space="0"/>
            </w:tcBorders>
            <w:vAlign w:val="center"/>
          </w:tcPr>
          <w:p w14:paraId="1C60B42D">
            <w:pPr>
              <w:pStyle w:val="28"/>
              <w:bidi w:val="0"/>
            </w:pPr>
            <w:r>
              <w:t>980</w:t>
            </w:r>
          </w:p>
        </w:tc>
      </w:tr>
      <w:tr w14:paraId="36BB6179">
        <w:tblPrEx>
          <w:tblCellMar>
            <w:top w:w="0" w:type="dxa"/>
            <w:left w:w="108" w:type="dxa"/>
            <w:bottom w:w="0" w:type="dxa"/>
            <w:right w:w="108" w:type="dxa"/>
          </w:tblCellMar>
        </w:tblPrEx>
        <w:trPr>
          <w:trHeight w:val="340" w:hRule="atLeast"/>
        </w:trPr>
        <w:tc>
          <w:tcPr>
            <w:tcW w:w="793" w:type="pct"/>
            <w:tcBorders>
              <w:top w:val="single" w:color="000000" w:sz="4" w:space="0"/>
              <w:left w:val="single" w:color="000000" w:sz="4" w:space="0"/>
              <w:bottom w:val="single" w:color="000000" w:sz="4" w:space="0"/>
              <w:right w:val="single" w:color="000000" w:sz="4" w:space="0"/>
            </w:tcBorders>
            <w:vAlign w:val="center"/>
          </w:tcPr>
          <w:p w14:paraId="0A280563">
            <w:pPr>
              <w:pStyle w:val="28"/>
              <w:bidi w:val="0"/>
            </w:pPr>
            <w:r>
              <w:t>合计</w:t>
            </w:r>
          </w:p>
        </w:tc>
        <w:tc>
          <w:tcPr>
            <w:tcW w:w="665" w:type="pct"/>
            <w:tcBorders>
              <w:top w:val="single" w:color="000000" w:sz="4" w:space="0"/>
              <w:left w:val="single" w:color="000000" w:sz="4" w:space="0"/>
              <w:bottom w:val="single" w:color="000000" w:sz="4" w:space="0"/>
              <w:right w:val="single" w:color="000000" w:sz="4" w:space="0"/>
            </w:tcBorders>
            <w:vAlign w:val="center"/>
          </w:tcPr>
          <w:p w14:paraId="5D61DAB0">
            <w:pPr>
              <w:pStyle w:val="28"/>
              <w:bidi w:val="0"/>
            </w:pPr>
            <w:r>
              <w:t>4.4</w:t>
            </w:r>
          </w:p>
        </w:tc>
        <w:tc>
          <w:tcPr>
            <w:tcW w:w="993" w:type="pct"/>
            <w:tcBorders>
              <w:top w:val="single" w:color="000000" w:sz="4" w:space="0"/>
              <w:left w:val="single" w:color="000000" w:sz="4" w:space="0"/>
              <w:bottom w:val="single" w:color="000000" w:sz="4" w:space="0"/>
              <w:right w:val="single" w:color="000000" w:sz="4" w:space="0"/>
            </w:tcBorders>
            <w:vAlign w:val="center"/>
          </w:tcPr>
          <w:p w14:paraId="7F6BCA06">
            <w:pPr>
              <w:pStyle w:val="28"/>
              <w:bidi w:val="0"/>
            </w:pPr>
            <w:r>
              <w:t>/</w:t>
            </w:r>
          </w:p>
        </w:tc>
        <w:tc>
          <w:tcPr>
            <w:tcW w:w="636" w:type="pct"/>
            <w:tcBorders>
              <w:top w:val="single" w:color="000000" w:sz="4" w:space="0"/>
              <w:left w:val="single" w:color="000000" w:sz="4" w:space="0"/>
              <w:bottom w:val="single" w:color="000000" w:sz="4" w:space="0"/>
              <w:right w:val="single" w:color="000000" w:sz="4" w:space="0"/>
            </w:tcBorders>
            <w:vAlign w:val="center"/>
          </w:tcPr>
          <w:p w14:paraId="52BCE82F">
            <w:pPr>
              <w:pStyle w:val="28"/>
              <w:bidi w:val="0"/>
            </w:pPr>
            <w:r>
              <w:t>5</w:t>
            </w:r>
          </w:p>
        </w:tc>
        <w:tc>
          <w:tcPr>
            <w:tcW w:w="728" w:type="pct"/>
            <w:tcBorders>
              <w:top w:val="single" w:color="000000" w:sz="4" w:space="0"/>
              <w:left w:val="single" w:color="000000" w:sz="4" w:space="0"/>
              <w:bottom w:val="single" w:color="000000" w:sz="4" w:space="0"/>
              <w:right w:val="single" w:color="000000" w:sz="4" w:space="0"/>
            </w:tcBorders>
            <w:vAlign w:val="center"/>
          </w:tcPr>
          <w:p w14:paraId="02AE34B1">
            <w:pPr>
              <w:pStyle w:val="28"/>
              <w:bidi w:val="0"/>
            </w:pPr>
            <w:r>
              <w:t>382</w:t>
            </w:r>
          </w:p>
        </w:tc>
        <w:tc>
          <w:tcPr>
            <w:tcW w:w="545" w:type="pct"/>
            <w:tcBorders>
              <w:top w:val="single" w:color="000000" w:sz="4" w:space="0"/>
              <w:left w:val="single" w:color="000000" w:sz="4" w:space="0"/>
              <w:bottom w:val="single" w:color="000000" w:sz="4" w:space="0"/>
              <w:right w:val="single" w:color="000000" w:sz="4" w:space="0"/>
            </w:tcBorders>
            <w:vAlign w:val="center"/>
          </w:tcPr>
          <w:p w14:paraId="40F6A1AB">
            <w:pPr>
              <w:pStyle w:val="28"/>
              <w:bidi w:val="0"/>
            </w:pPr>
            <w:r>
              <w:t>/</w:t>
            </w:r>
          </w:p>
        </w:tc>
        <w:tc>
          <w:tcPr>
            <w:tcW w:w="637" w:type="pct"/>
            <w:tcBorders>
              <w:top w:val="single" w:color="000000" w:sz="4" w:space="0"/>
              <w:left w:val="single" w:color="000000" w:sz="4" w:space="0"/>
              <w:bottom w:val="single" w:color="000000" w:sz="4" w:space="0"/>
              <w:right w:val="single" w:color="000000" w:sz="4" w:space="0"/>
            </w:tcBorders>
            <w:vAlign w:val="center"/>
          </w:tcPr>
          <w:p w14:paraId="5CB19472">
            <w:pPr>
              <w:pStyle w:val="28"/>
              <w:bidi w:val="0"/>
            </w:pPr>
            <w:r>
              <w:t>/</w:t>
            </w:r>
          </w:p>
        </w:tc>
      </w:tr>
    </w:tbl>
    <w:p w14:paraId="6B0B5D57">
      <w:pPr>
        <w:spacing w:line="240" w:lineRule="auto"/>
        <w:jc w:val="center"/>
        <w:rPr>
          <w:rFonts w:cs="Times New Roman"/>
          <w:color w:val="0000FF"/>
        </w:rPr>
      </w:pPr>
    </w:p>
    <w:p w14:paraId="4C7DCFEE">
      <w:pPr>
        <w:pStyle w:val="5"/>
        <w:rPr>
          <w:rFonts w:cs="Times New Roman"/>
          <w:color w:val="0000FF"/>
        </w:rPr>
      </w:pPr>
      <w:r>
        <w:rPr>
          <w:rFonts w:hint="eastAsia" w:cs="Times New Roman"/>
          <w:color w:val="0000FF"/>
        </w:rPr>
        <w:t>5.4</w:t>
      </w:r>
      <w:r>
        <w:rPr>
          <w:rFonts w:cs="Times New Roman"/>
          <w:color w:val="0000FF"/>
        </w:rPr>
        <w:t>.2.2 泵站运行噪声预测</w:t>
      </w:r>
    </w:p>
    <w:p w14:paraId="4C567329">
      <w:pPr>
        <w:ind w:firstLine="480" w:firstLineChars="200"/>
        <w:rPr>
          <w:rFonts w:cs="Times New Roman"/>
          <w:color w:val="0000FF"/>
        </w:rPr>
      </w:pPr>
      <w:r>
        <w:rPr>
          <w:rFonts w:cs="Times New Roman"/>
          <w:color w:val="0000FF"/>
        </w:rPr>
        <w:t>1、评价范围及敏感目标</w:t>
      </w:r>
    </w:p>
    <w:p w14:paraId="1F905EEB">
      <w:pPr>
        <w:ind w:firstLine="480" w:firstLineChars="200"/>
        <w:rPr>
          <w:rFonts w:cs="Times New Roman"/>
          <w:color w:val="0000FF"/>
        </w:rPr>
      </w:pPr>
      <w:r>
        <w:rPr>
          <w:rFonts w:cs="Times New Roman"/>
          <w:color w:val="0000FF"/>
        </w:rPr>
        <w:t>本项目噪声的评价范围为郑岗一级、二级泵站站房厂界及厂界外200m范围内，保护目标为郑岗泵一级泵站厂界及厂界外东南侧160m下糖郢村，二级泵站厂界及厂界外东侧70m令喜希望小学、155m的土楼村。</w:t>
      </w:r>
    </w:p>
    <w:p w14:paraId="4975E8A2">
      <w:pPr>
        <w:ind w:firstLine="480" w:firstLineChars="200"/>
        <w:rPr>
          <w:rFonts w:cs="Times New Roman"/>
          <w:color w:val="0000FF"/>
        </w:rPr>
      </w:pPr>
      <w:r>
        <w:rPr>
          <w:rFonts w:cs="Times New Roman"/>
          <w:color w:val="0000FF"/>
        </w:rPr>
        <w:t>2、源强参数</w:t>
      </w:r>
    </w:p>
    <w:p w14:paraId="7C103481">
      <w:pPr>
        <w:ind w:firstLine="480" w:firstLineChars="200"/>
        <w:rPr>
          <w:rFonts w:cs="Times New Roman"/>
          <w:color w:val="0000FF"/>
        </w:rPr>
      </w:pPr>
      <w:r>
        <w:rPr>
          <w:rFonts w:cs="Times New Roman"/>
          <w:color w:val="0000FF"/>
        </w:rPr>
        <w:t>泵噪声来源于流体湍流和机械摩擦两部分，如气穴、液压波动、机械零件的冲击、不平衡、共振、偏心等。</w:t>
      </w:r>
    </w:p>
    <w:p w14:paraId="6C5D660A">
      <w:pPr>
        <w:ind w:firstLine="480" w:firstLineChars="200"/>
        <w:rPr>
          <w:rFonts w:cs="Times New Roman"/>
          <w:color w:val="0000FF"/>
        </w:rPr>
      </w:pPr>
      <w:r>
        <w:rPr>
          <w:rFonts w:cs="Times New Roman"/>
          <w:color w:val="0000FF"/>
        </w:rPr>
        <w:t>《环境工程设计手册》泵的声功率级推荐用下式估算：</w:t>
      </w:r>
    </w:p>
    <w:p w14:paraId="49C29BFD">
      <w:pPr>
        <w:ind w:firstLine="480" w:firstLineChars="200"/>
        <w:rPr>
          <w:rFonts w:cs="Times New Roman"/>
          <w:color w:val="0000FF"/>
        </w:rPr>
      </w:pPr>
      <w:r>
        <w:rPr>
          <w:rFonts w:cs="Times New Roman"/>
          <w:color w:val="0000FF"/>
        </w:rPr>
        <w:t>泵用电机驱动时，泵机的声级用下式确定：</w:t>
      </w:r>
    </w:p>
    <w:p w14:paraId="598DDE26">
      <w:pPr>
        <w:jc w:val="center"/>
        <w:rPr>
          <w:rFonts w:cs="Times New Roman"/>
          <w:color w:val="0000FF"/>
        </w:rPr>
      </w:pPr>
      <w:r>
        <w:rPr>
          <w:rFonts w:cs="Times New Roman"/>
          <w:color w:val="0000FF"/>
        </w:rPr>
        <w:t>LR=10lg（Nn</w:t>
      </w:r>
      <w:r>
        <w:rPr>
          <w:rFonts w:cs="Times New Roman"/>
          <w:color w:val="0000FF"/>
          <w:vertAlign w:val="superscript"/>
        </w:rPr>
        <w:t>2</w:t>
      </w:r>
      <w:r>
        <w:rPr>
          <w:rFonts w:cs="Times New Roman"/>
          <w:color w:val="0000FF"/>
        </w:rPr>
        <w:t>/R</w:t>
      </w:r>
      <w:r>
        <w:rPr>
          <w:rFonts w:cs="Times New Roman"/>
          <w:color w:val="0000FF"/>
          <w:vertAlign w:val="superscript"/>
        </w:rPr>
        <w:t>2</w:t>
      </w:r>
      <w:r>
        <w:rPr>
          <w:rFonts w:cs="Times New Roman"/>
          <w:color w:val="0000FF"/>
        </w:rPr>
        <w:t>）+（8~10）</w:t>
      </w:r>
    </w:p>
    <w:p w14:paraId="69451310">
      <w:pPr>
        <w:ind w:firstLine="480" w:firstLineChars="200"/>
        <w:rPr>
          <w:rFonts w:cs="Times New Roman"/>
          <w:color w:val="0000FF"/>
        </w:rPr>
      </w:pPr>
      <w:r>
        <w:rPr>
          <w:rFonts w:cs="Times New Roman"/>
          <w:color w:val="0000FF"/>
        </w:rPr>
        <w:t>式中：LR——离电机Rm处的声级，dB；</w:t>
      </w:r>
    </w:p>
    <w:p w14:paraId="0914C159">
      <w:pPr>
        <w:ind w:firstLine="1200" w:firstLineChars="500"/>
        <w:rPr>
          <w:rFonts w:cs="Times New Roman"/>
          <w:color w:val="0000FF"/>
        </w:rPr>
      </w:pPr>
      <w:r>
        <w:rPr>
          <w:rFonts w:cs="Times New Roman"/>
          <w:color w:val="0000FF"/>
        </w:rPr>
        <w:t>N——电动机功率，kW；</w:t>
      </w:r>
    </w:p>
    <w:p w14:paraId="15212012">
      <w:pPr>
        <w:ind w:firstLine="1200" w:firstLineChars="500"/>
        <w:rPr>
          <w:rFonts w:cs="Times New Roman"/>
          <w:color w:val="0000FF"/>
        </w:rPr>
      </w:pPr>
      <w:r>
        <w:rPr>
          <w:rFonts w:cs="Times New Roman"/>
          <w:color w:val="0000FF"/>
        </w:rPr>
        <w:t>n——转速，r/min；</w:t>
      </w:r>
    </w:p>
    <w:p w14:paraId="76E2C67C">
      <w:pPr>
        <w:ind w:firstLine="1200" w:firstLineChars="500"/>
        <w:rPr>
          <w:rFonts w:cs="Times New Roman"/>
          <w:color w:val="0000FF"/>
        </w:rPr>
      </w:pPr>
      <w:r>
        <w:rPr>
          <w:rFonts w:cs="Times New Roman"/>
          <w:color w:val="0000FF"/>
        </w:rPr>
        <w:t>R——测点距电机中心距离，一般为1m。</w:t>
      </w:r>
    </w:p>
    <w:p w14:paraId="75EB88FB">
      <w:pPr>
        <w:ind w:firstLine="480" w:firstLineChars="200"/>
        <w:rPr>
          <w:rFonts w:cs="Times New Roman"/>
          <w:color w:val="0000FF"/>
        </w:rPr>
      </w:pPr>
      <w:r>
        <w:rPr>
          <w:rFonts w:cs="Times New Roman"/>
          <w:color w:val="0000FF"/>
        </w:rPr>
        <w:t>声能迭加公式：</w:t>
      </w:r>
    </w:p>
    <w:p w14:paraId="7D3F320D">
      <w:pPr>
        <w:jc w:val="center"/>
        <w:rPr>
          <w:rFonts w:cs="Times New Roman"/>
          <w:color w:val="0000FF"/>
        </w:rPr>
      </w:pPr>
      <w:r>
        <w:rPr>
          <w:rFonts w:cs="Times New Roman"/>
          <w:color w:val="0000FF"/>
        </w:rPr>
        <w:drawing>
          <wp:inline distT="0" distB="0" distL="114300" distR="114300">
            <wp:extent cx="1509395" cy="278765"/>
            <wp:effectExtent l="0" t="0" r="1905" b="635"/>
            <wp:docPr id="123" name="图片 2161" descr="168682287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161" descr="1686822872636"/>
                    <pic:cNvPicPr>
                      <a:picLocks noChangeAspect="1"/>
                    </pic:cNvPicPr>
                  </pic:nvPicPr>
                  <pic:blipFill>
                    <a:blip r:embed="rId158"/>
                    <a:stretch>
                      <a:fillRect/>
                    </a:stretch>
                  </pic:blipFill>
                  <pic:spPr>
                    <a:xfrm>
                      <a:off x="0" y="0"/>
                      <a:ext cx="1509395" cy="278765"/>
                    </a:xfrm>
                    <a:prstGeom prst="rect">
                      <a:avLst/>
                    </a:prstGeom>
                    <a:noFill/>
                    <a:ln>
                      <a:noFill/>
                    </a:ln>
                  </pic:spPr>
                </pic:pic>
              </a:graphicData>
            </a:graphic>
          </wp:inline>
        </w:drawing>
      </w:r>
    </w:p>
    <w:p w14:paraId="20E47A84">
      <w:pPr>
        <w:ind w:firstLine="480" w:firstLineChars="200"/>
        <w:rPr>
          <w:rFonts w:cs="Times New Roman"/>
          <w:color w:val="0000FF"/>
        </w:rPr>
      </w:pPr>
      <w:r>
        <w:rPr>
          <w:rFonts w:cs="Times New Roman"/>
          <w:color w:val="0000FF"/>
        </w:rPr>
        <w:t>式中：L总——预测点总声级，dB；</w:t>
      </w:r>
    </w:p>
    <w:p w14:paraId="38FC493B">
      <w:pPr>
        <w:ind w:firstLine="1200" w:firstLineChars="500"/>
        <w:rPr>
          <w:rFonts w:cs="Times New Roman"/>
          <w:color w:val="0000FF"/>
        </w:rPr>
      </w:pPr>
      <w:r>
        <w:rPr>
          <w:rFonts w:cs="Times New Roman"/>
          <w:color w:val="0000FF"/>
        </w:rPr>
        <w:t>Li——各迭加声级，dB；</w:t>
      </w:r>
    </w:p>
    <w:p w14:paraId="1B63ECB3">
      <w:pPr>
        <w:ind w:firstLine="1200" w:firstLineChars="500"/>
        <w:rPr>
          <w:rFonts w:cs="Times New Roman"/>
          <w:color w:val="0000FF"/>
        </w:rPr>
      </w:pPr>
      <w:r>
        <w:rPr>
          <w:rFonts w:cs="Times New Roman"/>
          <w:color w:val="0000FF"/>
        </w:rPr>
        <w:t>n——n个声压级。</w:t>
      </w:r>
    </w:p>
    <w:p w14:paraId="0F5ACD4D">
      <w:pPr>
        <w:ind w:firstLine="480" w:firstLineChars="200"/>
        <w:rPr>
          <w:rFonts w:cs="Times New Roman"/>
          <w:color w:val="0000FF"/>
        </w:rPr>
      </w:pPr>
      <w:r>
        <w:rPr>
          <w:rFonts w:cs="Times New Roman"/>
          <w:color w:val="0000FF"/>
        </w:rPr>
        <w:t>3、泵机噪声估算结果</w:t>
      </w:r>
    </w:p>
    <w:p w14:paraId="3975C08E">
      <w:pPr>
        <w:ind w:firstLine="480" w:firstLineChars="200"/>
        <w:rPr>
          <w:rFonts w:cs="Times New Roman"/>
          <w:color w:val="0000FF"/>
        </w:rPr>
      </w:pPr>
      <w:r>
        <w:rPr>
          <w:rFonts w:cs="Times New Roman"/>
          <w:color w:val="0000FF"/>
        </w:rPr>
        <w:t>运行期泵房内距泵1m进行泵房内噪声叠加，计算得到加压泵站内噪声值详见表</w:t>
      </w:r>
      <w:r>
        <w:rPr>
          <w:rFonts w:hint="eastAsia" w:cs="Times New Roman"/>
          <w:color w:val="0000FF"/>
        </w:rPr>
        <w:t>5-4-8</w:t>
      </w:r>
      <w:r>
        <w:rPr>
          <w:rFonts w:cs="Times New Roman"/>
          <w:color w:val="0000FF"/>
        </w:rPr>
        <w:t>。</w:t>
      </w:r>
    </w:p>
    <w:p w14:paraId="269D4324">
      <w:pPr>
        <w:rPr>
          <w:color w:val="0000FF"/>
        </w:rPr>
      </w:pPr>
      <w:r>
        <w:rPr>
          <w:color w:val="0000FF"/>
        </w:rPr>
        <w:t>表</w:t>
      </w:r>
      <w:r>
        <w:rPr>
          <w:rFonts w:hint="eastAsia"/>
          <w:color w:val="0000FF"/>
        </w:rPr>
        <w:t xml:space="preserve">5-4-8 </w:t>
      </w:r>
      <w:r>
        <w:rPr>
          <w:color w:val="0000FF"/>
        </w:rPr>
        <w:t xml:space="preserve"> 泵房内水泵运行噪声计算结果 单位：dB（A）</w:t>
      </w:r>
    </w:p>
    <w:tbl>
      <w:tblPr>
        <w:tblStyle w:val="16"/>
        <w:tblW w:w="4997" w:type="pct"/>
        <w:tblInd w:w="0" w:type="dxa"/>
        <w:tblLayout w:type="autofit"/>
        <w:tblCellMar>
          <w:top w:w="0" w:type="dxa"/>
          <w:left w:w="108" w:type="dxa"/>
          <w:bottom w:w="0" w:type="dxa"/>
          <w:right w:w="108" w:type="dxa"/>
        </w:tblCellMar>
      </w:tblPr>
      <w:tblGrid>
        <w:gridCol w:w="1807"/>
        <w:gridCol w:w="1451"/>
        <w:gridCol w:w="1661"/>
        <w:gridCol w:w="1454"/>
        <w:gridCol w:w="1454"/>
        <w:gridCol w:w="1454"/>
      </w:tblGrid>
      <w:tr w14:paraId="7D8C3C93">
        <w:tblPrEx>
          <w:tblCellMar>
            <w:top w:w="0" w:type="dxa"/>
            <w:left w:w="108" w:type="dxa"/>
            <w:bottom w:w="0" w:type="dxa"/>
            <w:right w:w="108" w:type="dxa"/>
          </w:tblCellMar>
        </w:tblPrEx>
        <w:trPr>
          <w:trHeight w:val="340" w:hRule="atLeast"/>
        </w:trPr>
        <w:tc>
          <w:tcPr>
            <w:tcW w:w="973" w:type="pct"/>
            <w:tcBorders>
              <w:top w:val="single" w:color="000000" w:sz="4" w:space="0"/>
              <w:left w:val="single" w:color="000000" w:sz="4" w:space="0"/>
              <w:bottom w:val="single" w:color="000000" w:sz="4" w:space="0"/>
              <w:right w:val="single" w:color="000000" w:sz="4" w:space="0"/>
            </w:tcBorders>
            <w:vAlign w:val="center"/>
          </w:tcPr>
          <w:p w14:paraId="2BF5FC46">
            <w:pPr>
              <w:pStyle w:val="28"/>
              <w:bidi w:val="0"/>
            </w:pPr>
            <w:r>
              <w:t>泵站名称</w:t>
            </w:r>
          </w:p>
        </w:tc>
        <w:tc>
          <w:tcPr>
            <w:tcW w:w="781" w:type="pct"/>
            <w:tcBorders>
              <w:top w:val="single" w:color="000000" w:sz="4" w:space="0"/>
              <w:left w:val="single" w:color="000000" w:sz="4" w:space="0"/>
              <w:bottom w:val="single" w:color="000000" w:sz="4" w:space="0"/>
              <w:right w:val="single" w:color="000000" w:sz="4" w:space="0"/>
            </w:tcBorders>
            <w:vAlign w:val="center"/>
          </w:tcPr>
          <w:p w14:paraId="6621A9E7">
            <w:pPr>
              <w:pStyle w:val="28"/>
              <w:bidi w:val="0"/>
            </w:pPr>
            <w:r>
              <w:t>台数（台）</w:t>
            </w:r>
          </w:p>
        </w:tc>
        <w:tc>
          <w:tcPr>
            <w:tcW w:w="894" w:type="pct"/>
            <w:tcBorders>
              <w:top w:val="single" w:color="000000" w:sz="4" w:space="0"/>
              <w:left w:val="single" w:color="000000" w:sz="4" w:space="0"/>
              <w:bottom w:val="single" w:color="000000" w:sz="4" w:space="0"/>
              <w:right w:val="single" w:color="000000" w:sz="4" w:space="0"/>
            </w:tcBorders>
            <w:vAlign w:val="center"/>
          </w:tcPr>
          <w:p w14:paraId="4FF15750">
            <w:pPr>
              <w:pStyle w:val="28"/>
              <w:bidi w:val="0"/>
            </w:pPr>
            <w:r>
              <w:t>电机功率（kW）</w:t>
            </w:r>
          </w:p>
        </w:tc>
        <w:tc>
          <w:tcPr>
            <w:tcW w:w="783" w:type="pct"/>
            <w:tcBorders>
              <w:top w:val="single" w:color="000000" w:sz="4" w:space="0"/>
              <w:left w:val="single" w:color="000000" w:sz="4" w:space="0"/>
              <w:bottom w:val="single" w:color="000000" w:sz="4" w:space="0"/>
              <w:right w:val="single" w:color="000000" w:sz="4" w:space="0"/>
            </w:tcBorders>
            <w:vAlign w:val="center"/>
          </w:tcPr>
          <w:p w14:paraId="256AC342">
            <w:pPr>
              <w:pStyle w:val="28"/>
              <w:bidi w:val="0"/>
            </w:pPr>
            <w:r>
              <w:t>转速（转/分）</w:t>
            </w:r>
          </w:p>
        </w:tc>
        <w:tc>
          <w:tcPr>
            <w:tcW w:w="783" w:type="pct"/>
            <w:tcBorders>
              <w:top w:val="single" w:color="000000" w:sz="4" w:space="0"/>
              <w:left w:val="single" w:color="000000" w:sz="4" w:space="0"/>
              <w:bottom w:val="single" w:color="000000" w:sz="4" w:space="0"/>
              <w:right w:val="single" w:color="000000" w:sz="4" w:space="0"/>
            </w:tcBorders>
            <w:vAlign w:val="center"/>
          </w:tcPr>
          <w:p w14:paraId="6A403F25">
            <w:pPr>
              <w:pStyle w:val="28"/>
              <w:bidi w:val="0"/>
            </w:pPr>
            <w:r>
              <w:t>单台机噪声源强（1m）</w:t>
            </w:r>
          </w:p>
        </w:tc>
        <w:tc>
          <w:tcPr>
            <w:tcW w:w="783" w:type="pct"/>
            <w:tcBorders>
              <w:top w:val="single" w:color="000000" w:sz="4" w:space="0"/>
              <w:left w:val="single" w:color="000000" w:sz="4" w:space="0"/>
              <w:bottom w:val="single" w:color="000000" w:sz="4" w:space="0"/>
              <w:right w:val="single" w:color="000000" w:sz="4" w:space="0"/>
            </w:tcBorders>
            <w:vAlign w:val="center"/>
          </w:tcPr>
          <w:p w14:paraId="489C60DA">
            <w:pPr>
              <w:pStyle w:val="28"/>
              <w:bidi w:val="0"/>
            </w:pPr>
            <w:r>
              <w:t>泵房内叠加噪声值</w:t>
            </w:r>
          </w:p>
        </w:tc>
      </w:tr>
      <w:tr w14:paraId="0D55900F">
        <w:tblPrEx>
          <w:tblCellMar>
            <w:top w:w="0" w:type="dxa"/>
            <w:left w:w="108" w:type="dxa"/>
            <w:bottom w:w="0" w:type="dxa"/>
            <w:right w:w="108" w:type="dxa"/>
          </w:tblCellMar>
        </w:tblPrEx>
        <w:trPr>
          <w:trHeight w:val="340" w:hRule="atLeast"/>
        </w:trPr>
        <w:tc>
          <w:tcPr>
            <w:tcW w:w="973" w:type="pct"/>
            <w:tcBorders>
              <w:top w:val="single" w:color="000000" w:sz="4" w:space="0"/>
              <w:left w:val="single" w:color="000000" w:sz="4" w:space="0"/>
              <w:bottom w:val="single" w:color="000000" w:sz="4" w:space="0"/>
              <w:right w:val="single" w:color="000000" w:sz="4" w:space="0"/>
            </w:tcBorders>
            <w:vAlign w:val="center"/>
          </w:tcPr>
          <w:p w14:paraId="6C0125F9">
            <w:pPr>
              <w:pStyle w:val="28"/>
              <w:bidi w:val="0"/>
            </w:pPr>
            <w:r>
              <w:t>郑岗一级站</w:t>
            </w:r>
          </w:p>
        </w:tc>
        <w:tc>
          <w:tcPr>
            <w:tcW w:w="781" w:type="pct"/>
            <w:tcBorders>
              <w:top w:val="single" w:color="000000" w:sz="4" w:space="0"/>
              <w:left w:val="single" w:color="000000" w:sz="4" w:space="0"/>
              <w:bottom w:val="single" w:color="000000" w:sz="4" w:space="0"/>
              <w:right w:val="single" w:color="000000" w:sz="4" w:space="0"/>
            </w:tcBorders>
            <w:vAlign w:val="center"/>
          </w:tcPr>
          <w:p w14:paraId="76D5B7B6">
            <w:pPr>
              <w:pStyle w:val="28"/>
              <w:bidi w:val="0"/>
            </w:pPr>
            <w:r>
              <w:t>3</w:t>
            </w:r>
          </w:p>
        </w:tc>
        <w:tc>
          <w:tcPr>
            <w:tcW w:w="894" w:type="pct"/>
            <w:tcBorders>
              <w:top w:val="single" w:color="000000" w:sz="4" w:space="0"/>
              <w:left w:val="single" w:color="000000" w:sz="4" w:space="0"/>
              <w:bottom w:val="single" w:color="000000" w:sz="4" w:space="0"/>
              <w:right w:val="single" w:color="000000" w:sz="4" w:space="0"/>
            </w:tcBorders>
            <w:vAlign w:val="center"/>
          </w:tcPr>
          <w:p w14:paraId="1451627A">
            <w:pPr>
              <w:pStyle w:val="28"/>
              <w:bidi w:val="0"/>
            </w:pPr>
            <w:r>
              <w:t>132KW</w:t>
            </w:r>
          </w:p>
        </w:tc>
        <w:tc>
          <w:tcPr>
            <w:tcW w:w="783" w:type="pct"/>
            <w:tcBorders>
              <w:top w:val="single" w:color="000000" w:sz="4" w:space="0"/>
              <w:left w:val="single" w:color="000000" w:sz="4" w:space="0"/>
              <w:bottom w:val="single" w:color="000000" w:sz="4" w:space="0"/>
              <w:right w:val="single" w:color="000000" w:sz="4" w:space="0"/>
            </w:tcBorders>
            <w:vAlign w:val="center"/>
          </w:tcPr>
          <w:p w14:paraId="1F4A2E0D">
            <w:pPr>
              <w:pStyle w:val="28"/>
              <w:bidi w:val="0"/>
            </w:pPr>
            <w:r>
              <w:t>980</w:t>
            </w:r>
          </w:p>
        </w:tc>
        <w:tc>
          <w:tcPr>
            <w:tcW w:w="783" w:type="pct"/>
            <w:tcBorders>
              <w:top w:val="single" w:color="000000" w:sz="4" w:space="0"/>
              <w:left w:val="single" w:color="000000" w:sz="4" w:space="0"/>
              <w:bottom w:val="single" w:color="000000" w:sz="4" w:space="0"/>
              <w:right w:val="single" w:color="000000" w:sz="4" w:space="0"/>
            </w:tcBorders>
            <w:vAlign w:val="center"/>
          </w:tcPr>
          <w:p w14:paraId="221285BF">
            <w:pPr>
              <w:pStyle w:val="28"/>
              <w:bidi w:val="0"/>
            </w:pPr>
            <w:r>
              <w:rPr>
                <w:rFonts w:hint="eastAsia"/>
              </w:rPr>
              <w:t>80</w:t>
            </w:r>
          </w:p>
        </w:tc>
        <w:tc>
          <w:tcPr>
            <w:tcW w:w="783" w:type="pct"/>
            <w:tcBorders>
              <w:top w:val="single" w:color="000000" w:sz="4" w:space="0"/>
              <w:left w:val="single" w:color="000000" w:sz="4" w:space="0"/>
              <w:bottom w:val="single" w:color="000000" w:sz="4" w:space="0"/>
              <w:right w:val="single" w:color="000000" w:sz="4" w:space="0"/>
            </w:tcBorders>
            <w:vAlign w:val="center"/>
          </w:tcPr>
          <w:p w14:paraId="4E2AFAD0">
            <w:pPr>
              <w:pStyle w:val="28"/>
              <w:bidi w:val="0"/>
            </w:pPr>
            <w:r>
              <w:rPr>
                <w:rFonts w:hint="eastAsia"/>
              </w:rPr>
              <w:t>84.77</w:t>
            </w:r>
          </w:p>
        </w:tc>
      </w:tr>
      <w:tr w14:paraId="40EA52C6">
        <w:tblPrEx>
          <w:tblCellMar>
            <w:top w:w="0" w:type="dxa"/>
            <w:left w:w="108" w:type="dxa"/>
            <w:bottom w:w="0" w:type="dxa"/>
            <w:right w:w="108" w:type="dxa"/>
          </w:tblCellMar>
        </w:tblPrEx>
        <w:trPr>
          <w:trHeight w:val="340" w:hRule="atLeast"/>
        </w:trPr>
        <w:tc>
          <w:tcPr>
            <w:tcW w:w="973" w:type="pct"/>
            <w:tcBorders>
              <w:top w:val="single" w:color="000000" w:sz="4" w:space="0"/>
              <w:left w:val="single" w:color="000000" w:sz="4" w:space="0"/>
              <w:bottom w:val="single" w:color="000000" w:sz="4" w:space="0"/>
              <w:right w:val="single" w:color="000000" w:sz="4" w:space="0"/>
            </w:tcBorders>
            <w:vAlign w:val="center"/>
          </w:tcPr>
          <w:p w14:paraId="2466A769">
            <w:pPr>
              <w:pStyle w:val="28"/>
              <w:bidi w:val="0"/>
            </w:pPr>
            <w:r>
              <w:t>郑岗二级站</w:t>
            </w:r>
          </w:p>
        </w:tc>
        <w:tc>
          <w:tcPr>
            <w:tcW w:w="781" w:type="pct"/>
            <w:tcBorders>
              <w:top w:val="single" w:color="000000" w:sz="4" w:space="0"/>
              <w:left w:val="single" w:color="000000" w:sz="4" w:space="0"/>
              <w:bottom w:val="single" w:color="000000" w:sz="4" w:space="0"/>
              <w:right w:val="single" w:color="000000" w:sz="4" w:space="0"/>
            </w:tcBorders>
            <w:vAlign w:val="center"/>
          </w:tcPr>
          <w:p w14:paraId="2B45B39D">
            <w:pPr>
              <w:pStyle w:val="28"/>
              <w:bidi w:val="0"/>
            </w:pPr>
            <w:r>
              <w:t>2</w:t>
            </w:r>
          </w:p>
        </w:tc>
        <w:tc>
          <w:tcPr>
            <w:tcW w:w="894" w:type="pct"/>
            <w:tcBorders>
              <w:top w:val="single" w:color="000000" w:sz="4" w:space="0"/>
              <w:left w:val="single" w:color="000000" w:sz="4" w:space="0"/>
              <w:bottom w:val="single" w:color="000000" w:sz="4" w:space="0"/>
              <w:right w:val="single" w:color="000000" w:sz="4" w:space="0"/>
            </w:tcBorders>
            <w:vAlign w:val="center"/>
          </w:tcPr>
          <w:p w14:paraId="42B2B5E2">
            <w:pPr>
              <w:pStyle w:val="28"/>
              <w:bidi w:val="0"/>
            </w:pPr>
            <w:r>
              <w:t>250KW</w:t>
            </w:r>
          </w:p>
        </w:tc>
        <w:tc>
          <w:tcPr>
            <w:tcW w:w="783" w:type="pct"/>
            <w:tcBorders>
              <w:top w:val="single" w:color="000000" w:sz="4" w:space="0"/>
              <w:left w:val="single" w:color="000000" w:sz="4" w:space="0"/>
              <w:bottom w:val="single" w:color="000000" w:sz="4" w:space="0"/>
              <w:right w:val="single" w:color="000000" w:sz="4" w:space="0"/>
            </w:tcBorders>
            <w:vAlign w:val="center"/>
          </w:tcPr>
          <w:p w14:paraId="7BBF4534">
            <w:pPr>
              <w:pStyle w:val="28"/>
              <w:bidi w:val="0"/>
            </w:pPr>
            <w:r>
              <w:t>980</w:t>
            </w:r>
          </w:p>
        </w:tc>
        <w:tc>
          <w:tcPr>
            <w:tcW w:w="783" w:type="pct"/>
            <w:tcBorders>
              <w:top w:val="single" w:color="000000" w:sz="4" w:space="0"/>
              <w:left w:val="single" w:color="000000" w:sz="4" w:space="0"/>
              <w:bottom w:val="single" w:color="000000" w:sz="4" w:space="0"/>
              <w:right w:val="single" w:color="000000" w:sz="4" w:space="0"/>
            </w:tcBorders>
            <w:vAlign w:val="center"/>
          </w:tcPr>
          <w:p w14:paraId="0F87ABA0">
            <w:pPr>
              <w:pStyle w:val="28"/>
              <w:bidi w:val="0"/>
            </w:pPr>
            <w:r>
              <w:rPr>
                <w:rFonts w:hint="eastAsia"/>
              </w:rPr>
              <w:t>80</w:t>
            </w:r>
          </w:p>
        </w:tc>
        <w:tc>
          <w:tcPr>
            <w:tcW w:w="783" w:type="pct"/>
            <w:tcBorders>
              <w:top w:val="single" w:color="000000" w:sz="4" w:space="0"/>
              <w:left w:val="single" w:color="000000" w:sz="4" w:space="0"/>
              <w:bottom w:val="single" w:color="000000" w:sz="4" w:space="0"/>
              <w:right w:val="single" w:color="000000" w:sz="4" w:space="0"/>
            </w:tcBorders>
            <w:vAlign w:val="center"/>
          </w:tcPr>
          <w:p w14:paraId="04423BBE">
            <w:pPr>
              <w:pStyle w:val="28"/>
              <w:bidi w:val="0"/>
            </w:pPr>
            <w:r>
              <w:rPr>
                <w:rFonts w:hint="eastAsia"/>
              </w:rPr>
              <w:t>83.01</w:t>
            </w:r>
          </w:p>
        </w:tc>
      </w:tr>
      <w:tr w14:paraId="2EA6B84B">
        <w:tblPrEx>
          <w:tblCellMar>
            <w:top w:w="0" w:type="dxa"/>
            <w:left w:w="108" w:type="dxa"/>
            <w:bottom w:w="0" w:type="dxa"/>
            <w:right w:w="108" w:type="dxa"/>
          </w:tblCellMar>
        </w:tblPrEx>
        <w:trPr>
          <w:trHeight w:val="340" w:hRule="atLeast"/>
        </w:trPr>
        <w:tc>
          <w:tcPr>
            <w:tcW w:w="973" w:type="pct"/>
            <w:tcBorders>
              <w:top w:val="single" w:color="000000" w:sz="4" w:space="0"/>
              <w:left w:val="single" w:color="000000" w:sz="4" w:space="0"/>
              <w:bottom w:val="single" w:color="000000" w:sz="4" w:space="0"/>
              <w:right w:val="single" w:color="000000" w:sz="4" w:space="0"/>
            </w:tcBorders>
            <w:vAlign w:val="center"/>
          </w:tcPr>
          <w:p w14:paraId="2A0BAC12">
            <w:pPr>
              <w:pStyle w:val="28"/>
              <w:bidi w:val="0"/>
            </w:pPr>
            <w:r>
              <w:t>合计</w:t>
            </w:r>
          </w:p>
        </w:tc>
        <w:tc>
          <w:tcPr>
            <w:tcW w:w="781" w:type="pct"/>
            <w:tcBorders>
              <w:top w:val="single" w:color="000000" w:sz="4" w:space="0"/>
              <w:left w:val="single" w:color="000000" w:sz="4" w:space="0"/>
              <w:bottom w:val="single" w:color="000000" w:sz="4" w:space="0"/>
              <w:right w:val="single" w:color="000000" w:sz="4" w:space="0"/>
            </w:tcBorders>
            <w:vAlign w:val="center"/>
          </w:tcPr>
          <w:p w14:paraId="1E7B2EF3">
            <w:pPr>
              <w:pStyle w:val="28"/>
              <w:bidi w:val="0"/>
            </w:pPr>
            <w:r>
              <w:t>5</w:t>
            </w:r>
          </w:p>
        </w:tc>
        <w:tc>
          <w:tcPr>
            <w:tcW w:w="894" w:type="pct"/>
            <w:tcBorders>
              <w:top w:val="single" w:color="000000" w:sz="4" w:space="0"/>
              <w:left w:val="single" w:color="000000" w:sz="4" w:space="0"/>
              <w:bottom w:val="single" w:color="000000" w:sz="4" w:space="0"/>
              <w:right w:val="single" w:color="000000" w:sz="4" w:space="0"/>
            </w:tcBorders>
            <w:vAlign w:val="center"/>
          </w:tcPr>
          <w:p w14:paraId="26F67C63">
            <w:pPr>
              <w:pStyle w:val="28"/>
              <w:bidi w:val="0"/>
            </w:pPr>
            <w:r>
              <w:t>382</w:t>
            </w:r>
          </w:p>
        </w:tc>
        <w:tc>
          <w:tcPr>
            <w:tcW w:w="783" w:type="pct"/>
            <w:tcBorders>
              <w:top w:val="single" w:color="000000" w:sz="4" w:space="0"/>
              <w:left w:val="single" w:color="000000" w:sz="4" w:space="0"/>
              <w:bottom w:val="single" w:color="000000" w:sz="4" w:space="0"/>
              <w:right w:val="single" w:color="000000" w:sz="4" w:space="0"/>
            </w:tcBorders>
            <w:vAlign w:val="center"/>
          </w:tcPr>
          <w:p w14:paraId="69DE8E55">
            <w:pPr>
              <w:pStyle w:val="28"/>
              <w:bidi w:val="0"/>
            </w:pPr>
            <w:r>
              <w:t>/</w:t>
            </w:r>
          </w:p>
        </w:tc>
        <w:tc>
          <w:tcPr>
            <w:tcW w:w="783" w:type="pct"/>
            <w:tcBorders>
              <w:top w:val="single" w:color="000000" w:sz="4" w:space="0"/>
              <w:left w:val="single" w:color="000000" w:sz="4" w:space="0"/>
              <w:bottom w:val="single" w:color="000000" w:sz="4" w:space="0"/>
              <w:right w:val="single" w:color="000000" w:sz="4" w:space="0"/>
            </w:tcBorders>
            <w:vAlign w:val="center"/>
          </w:tcPr>
          <w:p w14:paraId="3EFC8372">
            <w:pPr>
              <w:pStyle w:val="28"/>
              <w:bidi w:val="0"/>
            </w:pPr>
            <w:r>
              <w:t>/</w:t>
            </w:r>
          </w:p>
        </w:tc>
        <w:tc>
          <w:tcPr>
            <w:tcW w:w="783" w:type="pct"/>
            <w:tcBorders>
              <w:top w:val="single" w:color="000000" w:sz="4" w:space="0"/>
              <w:left w:val="single" w:color="000000" w:sz="4" w:space="0"/>
              <w:bottom w:val="single" w:color="000000" w:sz="4" w:space="0"/>
              <w:right w:val="single" w:color="000000" w:sz="4" w:space="0"/>
            </w:tcBorders>
            <w:vAlign w:val="center"/>
          </w:tcPr>
          <w:p w14:paraId="13E7D134">
            <w:pPr>
              <w:pStyle w:val="28"/>
              <w:bidi w:val="0"/>
            </w:pPr>
            <w:r>
              <w:t>/</w:t>
            </w:r>
          </w:p>
        </w:tc>
      </w:tr>
    </w:tbl>
    <w:p w14:paraId="3BE8AF90">
      <w:pPr>
        <w:jc w:val="center"/>
        <w:rPr>
          <w:rFonts w:cs="Times New Roman"/>
          <w:color w:val="0000FF"/>
        </w:rPr>
      </w:pPr>
    </w:p>
    <w:p w14:paraId="6CA8324D">
      <w:pPr>
        <w:ind w:firstLine="480" w:firstLineChars="200"/>
        <w:rPr>
          <w:rFonts w:cs="Times New Roman"/>
          <w:color w:val="0000FF"/>
        </w:rPr>
      </w:pPr>
      <w:r>
        <w:rPr>
          <w:rFonts w:cs="Times New Roman"/>
          <w:color w:val="0000FF"/>
        </w:rPr>
        <w:t>具体的声源源强参数详见表3-2-16。</w:t>
      </w:r>
    </w:p>
    <w:p w14:paraId="723A7014">
      <w:pPr>
        <w:jc w:val="center"/>
        <w:rPr>
          <w:rFonts w:cs="Times New Roman"/>
          <w:color w:val="0000FF"/>
        </w:rPr>
      </w:pPr>
      <w:r>
        <w:rPr>
          <w:rFonts w:cs="Times New Roman"/>
          <w:color w:val="0000FF"/>
        </w:rPr>
        <w:drawing>
          <wp:inline distT="0" distB="0" distL="114300" distR="114300">
            <wp:extent cx="6049010" cy="4197350"/>
            <wp:effectExtent l="9525" t="9525" r="12065" b="9525"/>
            <wp:docPr id="124" name="图片 2162" descr="28-一级泵站声源分布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2162" descr="28-一级泵站声源分布图"/>
                    <pic:cNvPicPr>
                      <a:picLocks noChangeAspect="1"/>
                    </pic:cNvPicPr>
                  </pic:nvPicPr>
                  <pic:blipFill>
                    <a:blip r:embed="rId159"/>
                    <a:stretch>
                      <a:fillRect/>
                    </a:stretch>
                  </pic:blipFill>
                  <pic:spPr>
                    <a:xfrm>
                      <a:off x="0" y="0"/>
                      <a:ext cx="6049010" cy="4197350"/>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4B438ABA">
      <w:pPr>
        <w:ind w:left="-240" w:right="-240"/>
        <w:rPr>
          <w:rFonts w:cs="Times New Roman"/>
          <w:color w:val="0000FF"/>
        </w:rPr>
      </w:pPr>
      <w:r>
        <w:rPr>
          <w:rFonts w:cs="Times New Roman"/>
          <w:color w:val="0000FF"/>
        </w:rPr>
        <w:t>图</w:t>
      </w:r>
      <w:r>
        <w:rPr>
          <w:rFonts w:hint="eastAsia" w:cs="Times New Roman"/>
          <w:color w:val="0000FF"/>
        </w:rPr>
        <w:t>5-4</w:t>
      </w:r>
      <w:r>
        <w:rPr>
          <w:rFonts w:cs="Times New Roman"/>
          <w:color w:val="0000FF"/>
        </w:rPr>
        <w:t>-1  噪声源分布图</w:t>
      </w:r>
    </w:p>
    <w:p w14:paraId="30FAFD2C">
      <w:pPr>
        <w:jc w:val="center"/>
        <w:rPr>
          <w:rFonts w:cs="Times New Roman"/>
          <w:color w:val="0000FF"/>
        </w:rPr>
      </w:pPr>
      <w:r>
        <w:rPr>
          <w:rFonts w:cs="Times New Roman"/>
          <w:color w:val="0000FF"/>
        </w:rPr>
        <w:drawing>
          <wp:inline distT="0" distB="0" distL="114300" distR="114300">
            <wp:extent cx="6047105" cy="3959860"/>
            <wp:effectExtent l="9525" t="9525" r="13970" b="18415"/>
            <wp:docPr id="125" name="图片 2163" descr="29-二级泵站声源分布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163" descr="29-二级泵站声源分布图"/>
                    <pic:cNvPicPr>
                      <a:picLocks noChangeAspect="1"/>
                    </pic:cNvPicPr>
                  </pic:nvPicPr>
                  <pic:blipFill>
                    <a:blip r:embed="rId160"/>
                    <a:stretch>
                      <a:fillRect/>
                    </a:stretch>
                  </pic:blipFill>
                  <pic:spPr>
                    <a:xfrm>
                      <a:off x="0" y="0"/>
                      <a:ext cx="6047105" cy="3959860"/>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73658C79">
      <w:pPr>
        <w:rPr>
          <w:color w:val="0000FF"/>
        </w:rPr>
      </w:pPr>
      <w:r>
        <w:rPr>
          <w:color w:val="0000FF"/>
        </w:rPr>
        <w:t>图</w:t>
      </w:r>
      <w:r>
        <w:rPr>
          <w:rFonts w:hint="eastAsia"/>
          <w:color w:val="0000FF"/>
        </w:rPr>
        <w:t>5-4</w:t>
      </w:r>
      <w:r>
        <w:rPr>
          <w:color w:val="0000FF"/>
        </w:rPr>
        <w:t>-2  噪声源分布图</w:t>
      </w:r>
    </w:p>
    <w:p w14:paraId="465D16A6">
      <w:pPr>
        <w:pStyle w:val="5"/>
        <w:rPr>
          <w:rFonts w:cs="Times New Roman"/>
          <w:color w:val="0000FF"/>
        </w:rPr>
      </w:pPr>
      <w:r>
        <w:rPr>
          <w:rFonts w:hint="eastAsia" w:cs="Times New Roman"/>
          <w:color w:val="0000FF"/>
        </w:rPr>
        <w:t>5.4</w:t>
      </w:r>
      <w:r>
        <w:rPr>
          <w:rFonts w:cs="Times New Roman"/>
          <w:color w:val="0000FF"/>
        </w:rPr>
        <w:t>.2.3 预测模式</w:t>
      </w:r>
    </w:p>
    <w:p w14:paraId="4974F36D">
      <w:pPr>
        <w:ind w:firstLine="480" w:firstLineChars="200"/>
        <w:rPr>
          <w:rFonts w:cs="Times New Roman"/>
          <w:color w:val="0000FF"/>
        </w:rPr>
      </w:pPr>
      <w:r>
        <w:rPr>
          <w:rFonts w:cs="Times New Roman"/>
          <w:color w:val="0000FF"/>
        </w:rPr>
        <w:t>根据建设单位提供资料，本项目的潜水泵均设置在厂房内，根据《环境影响评价技术导则 声环境》（HJ 2.4-2021）对室内声源的预测方法，声源位于室内，室内声源可采用等效室外声源声功率级法进行计算，即泵房采用等效室外声源声功率级法进行计算。</w:t>
      </w:r>
    </w:p>
    <w:p w14:paraId="2A5EF2AC">
      <w:pPr>
        <w:ind w:firstLine="480" w:firstLineChars="200"/>
        <w:rPr>
          <w:rFonts w:cs="Times New Roman"/>
          <w:color w:val="0000FF"/>
        </w:rPr>
      </w:pPr>
      <w:r>
        <w:rPr>
          <w:rFonts w:cs="Times New Roman"/>
          <w:color w:val="0000FF"/>
        </w:rPr>
        <w:t>1、等效室外声源声功率级法预测模式</w:t>
      </w:r>
    </w:p>
    <w:p w14:paraId="685ADA92">
      <w:pPr>
        <w:ind w:firstLine="480" w:firstLineChars="200"/>
        <w:rPr>
          <w:rFonts w:cs="Times New Roman"/>
          <w:color w:val="0000FF"/>
        </w:rPr>
      </w:pPr>
      <w:r>
        <w:rPr>
          <w:rFonts w:cs="Times New Roman"/>
          <w:color w:val="0000FF"/>
        </w:rPr>
        <w:t>（1）计算某一室内声源靠近围护结构处产生的倍频带声压级：</w:t>
      </w:r>
    </w:p>
    <w:p w14:paraId="0C00A0F9">
      <w:pPr>
        <w:jc w:val="center"/>
        <w:rPr>
          <w:rFonts w:cs="Times New Roman"/>
          <w:color w:val="0000FF"/>
        </w:rPr>
      </w:pPr>
      <w:r>
        <w:rPr>
          <w:rFonts w:cs="Times New Roman"/>
          <w:color w:val="0000FF"/>
        </w:rPr>
        <w:drawing>
          <wp:inline distT="0" distB="0" distL="114300" distR="114300">
            <wp:extent cx="1708150" cy="412750"/>
            <wp:effectExtent l="0" t="0" r="6350" b="6350"/>
            <wp:docPr id="126" name="图片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164"/>
                    <pic:cNvPicPr>
                      <a:picLocks noChangeAspect="1"/>
                    </pic:cNvPicPr>
                  </pic:nvPicPr>
                  <pic:blipFill>
                    <a:blip r:embed="rId161"/>
                    <a:stretch>
                      <a:fillRect/>
                    </a:stretch>
                  </pic:blipFill>
                  <pic:spPr>
                    <a:xfrm>
                      <a:off x="0" y="0"/>
                      <a:ext cx="1708150" cy="412750"/>
                    </a:xfrm>
                    <a:prstGeom prst="rect">
                      <a:avLst/>
                    </a:prstGeom>
                    <a:noFill/>
                    <a:ln>
                      <a:noFill/>
                    </a:ln>
                  </pic:spPr>
                </pic:pic>
              </a:graphicData>
            </a:graphic>
          </wp:inline>
        </w:drawing>
      </w:r>
    </w:p>
    <w:p w14:paraId="15E3ED91">
      <w:pPr>
        <w:ind w:firstLine="480" w:firstLineChars="200"/>
        <w:rPr>
          <w:rFonts w:cs="Times New Roman"/>
          <w:color w:val="0000FF"/>
        </w:rPr>
      </w:pPr>
      <w:r>
        <w:rPr>
          <w:rFonts w:cs="Times New Roman"/>
          <w:color w:val="0000FF"/>
        </w:rPr>
        <w:t>式中：Lp1——某个室内声源在靠近维护结构处产生的声压级，dB；</w:t>
      </w:r>
    </w:p>
    <w:p w14:paraId="30B67F33">
      <w:pPr>
        <w:ind w:firstLine="1200" w:firstLineChars="500"/>
        <w:rPr>
          <w:rFonts w:cs="Times New Roman"/>
          <w:color w:val="0000FF"/>
        </w:rPr>
      </w:pPr>
      <w:r>
        <w:rPr>
          <w:rFonts w:cs="Times New Roman"/>
          <w:color w:val="0000FF"/>
        </w:rPr>
        <w:t>LW——某个声源的声功率级，dB；</w:t>
      </w:r>
    </w:p>
    <w:p w14:paraId="3EF39C6A">
      <w:pPr>
        <w:ind w:firstLine="1200" w:firstLineChars="500"/>
        <w:rPr>
          <w:rFonts w:cs="Times New Roman"/>
          <w:color w:val="0000FF"/>
        </w:rPr>
      </w:pPr>
      <w:r>
        <w:rPr>
          <w:rFonts w:cs="Times New Roman"/>
          <w:color w:val="0000FF"/>
        </w:rPr>
        <w:t>Q——指向性因数：通常对无指向性声源，当声源放在房间中心时，Q=1；当放在一面墙的中心时，Q=2；当放在两面墙夹角时，Q=4；当放在三面墙夹角处时，Q=8。</w:t>
      </w:r>
    </w:p>
    <w:p w14:paraId="0DD96274">
      <w:pPr>
        <w:ind w:firstLine="1200" w:firstLineChars="500"/>
        <w:rPr>
          <w:rFonts w:cs="Times New Roman"/>
          <w:color w:val="0000FF"/>
        </w:rPr>
      </w:pPr>
      <w:r>
        <w:rPr>
          <w:rFonts w:cs="Times New Roman"/>
          <w:color w:val="0000FF"/>
        </w:rPr>
        <w:t>R——房间常数：R=Sa/（1-a），S为房间内表面面积，m2；a为平均吸声系数。</w:t>
      </w:r>
    </w:p>
    <w:p w14:paraId="004BDCB8">
      <w:pPr>
        <w:ind w:firstLine="1200" w:firstLineChars="500"/>
        <w:rPr>
          <w:rFonts w:cs="Times New Roman"/>
          <w:color w:val="0000FF"/>
        </w:rPr>
      </w:pPr>
      <w:r>
        <w:rPr>
          <w:rFonts w:cs="Times New Roman"/>
          <w:color w:val="0000FF"/>
        </w:rPr>
        <w:t>r——声源到靠近围护结构某点处的距离，m。</w:t>
      </w:r>
    </w:p>
    <w:p w14:paraId="1A9487EF">
      <w:pPr>
        <w:ind w:firstLine="480" w:firstLineChars="200"/>
        <w:rPr>
          <w:rFonts w:cs="Times New Roman"/>
          <w:color w:val="0000FF"/>
        </w:rPr>
      </w:pPr>
      <w:r>
        <w:rPr>
          <w:rFonts w:cs="Times New Roman"/>
          <w:color w:val="0000FF"/>
        </w:rPr>
        <w:t>（2）所有室内声源在靠近围护结构处产生的叠加声压级计算式为：</w:t>
      </w:r>
    </w:p>
    <w:p w14:paraId="64D5C386">
      <w:pPr>
        <w:jc w:val="center"/>
        <w:rPr>
          <w:rFonts w:cs="Times New Roman"/>
          <w:color w:val="0000FF"/>
        </w:rPr>
      </w:pPr>
      <w:r>
        <w:rPr>
          <w:rFonts w:cs="Times New Roman"/>
          <w:color w:val="0000FF"/>
        </w:rPr>
        <w:drawing>
          <wp:inline distT="0" distB="0" distL="114300" distR="114300">
            <wp:extent cx="1689100" cy="463550"/>
            <wp:effectExtent l="0" t="0" r="0" b="6350"/>
            <wp:docPr id="127" name="图片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2165"/>
                    <pic:cNvPicPr>
                      <a:picLocks noChangeAspect="1"/>
                    </pic:cNvPicPr>
                  </pic:nvPicPr>
                  <pic:blipFill>
                    <a:blip r:embed="rId162"/>
                    <a:stretch>
                      <a:fillRect/>
                    </a:stretch>
                  </pic:blipFill>
                  <pic:spPr>
                    <a:xfrm>
                      <a:off x="0" y="0"/>
                      <a:ext cx="1689100" cy="463550"/>
                    </a:xfrm>
                    <a:prstGeom prst="rect">
                      <a:avLst/>
                    </a:prstGeom>
                    <a:noFill/>
                    <a:ln>
                      <a:noFill/>
                    </a:ln>
                  </pic:spPr>
                </pic:pic>
              </a:graphicData>
            </a:graphic>
          </wp:inline>
        </w:drawing>
      </w:r>
    </w:p>
    <w:p w14:paraId="473B98C6">
      <w:pPr>
        <w:ind w:firstLine="480" w:firstLineChars="200"/>
        <w:rPr>
          <w:rFonts w:cs="Times New Roman"/>
          <w:color w:val="0000FF"/>
        </w:rPr>
      </w:pPr>
      <w:r>
        <w:rPr>
          <w:rFonts w:cs="Times New Roman"/>
          <w:color w:val="0000FF"/>
        </w:rPr>
        <w:t>式中：Lp1i（T）——靠近围护结构处室内N个声源i倍频带的叠加声压级，dB；</w:t>
      </w:r>
    </w:p>
    <w:p w14:paraId="0590B9B6">
      <w:pPr>
        <w:ind w:firstLine="1200" w:firstLineChars="500"/>
        <w:rPr>
          <w:rFonts w:cs="Times New Roman"/>
          <w:color w:val="0000FF"/>
        </w:rPr>
      </w:pPr>
      <w:r>
        <w:rPr>
          <w:rFonts w:cs="Times New Roman"/>
          <w:color w:val="0000FF"/>
        </w:rPr>
        <w:t>Lp1ij——室内j声源i倍频带的声压级，dB；</w:t>
      </w:r>
    </w:p>
    <w:p w14:paraId="675E0E90">
      <w:pPr>
        <w:ind w:firstLine="1200" w:firstLineChars="500"/>
        <w:rPr>
          <w:rFonts w:cs="Times New Roman"/>
          <w:color w:val="0000FF"/>
        </w:rPr>
      </w:pPr>
      <w:r>
        <w:rPr>
          <w:rFonts w:cs="Times New Roman"/>
          <w:color w:val="0000FF"/>
        </w:rPr>
        <w:t>N——室内声源总数。</w:t>
      </w:r>
    </w:p>
    <w:p w14:paraId="4EAC5973">
      <w:pPr>
        <w:ind w:firstLine="480" w:firstLineChars="200"/>
        <w:rPr>
          <w:rFonts w:cs="Times New Roman"/>
          <w:color w:val="0000FF"/>
        </w:rPr>
      </w:pPr>
      <w:r>
        <w:rPr>
          <w:rFonts w:cs="Times New Roman"/>
          <w:color w:val="0000FF"/>
        </w:rPr>
        <w:t>（3）将室内声级透过面积换算成等效的室外声源，计算出中心位置位于透声面积（S）处的等效声源的声功率级计算式为：</w:t>
      </w:r>
    </w:p>
    <w:p w14:paraId="0AAD783C">
      <w:pPr>
        <w:jc w:val="center"/>
        <w:rPr>
          <w:rFonts w:cs="Times New Roman"/>
          <w:color w:val="0000FF"/>
        </w:rPr>
      </w:pPr>
      <w:r>
        <w:rPr>
          <w:rFonts w:cs="Times New Roman"/>
          <w:color w:val="0000FF"/>
        </w:rPr>
        <w:drawing>
          <wp:inline distT="0" distB="0" distL="114300" distR="114300">
            <wp:extent cx="1390650" cy="323850"/>
            <wp:effectExtent l="0" t="0" r="6350" b="6350"/>
            <wp:docPr id="128" name="图片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166"/>
                    <pic:cNvPicPr>
                      <a:picLocks noChangeAspect="1"/>
                    </pic:cNvPicPr>
                  </pic:nvPicPr>
                  <pic:blipFill>
                    <a:blip r:embed="rId163"/>
                    <a:stretch>
                      <a:fillRect/>
                    </a:stretch>
                  </pic:blipFill>
                  <pic:spPr>
                    <a:xfrm>
                      <a:off x="0" y="0"/>
                      <a:ext cx="1390650" cy="323850"/>
                    </a:xfrm>
                    <a:prstGeom prst="rect">
                      <a:avLst/>
                    </a:prstGeom>
                    <a:noFill/>
                    <a:ln>
                      <a:noFill/>
                    </a:ln>
                  </pic:spPr>
                </pic:pic>
              </a:graphicData>
            </a:graphic>
          </wp:inline>
        </w:drawing>
      </w:r>
    </w:p>
    <w:p w14:paraId="52964EB6">
      <w:pPr>
        <w:ind w:firstLine="480" w:firstLineChars="200"/>
        <w:rPr>
          <w:rFonts w:cs="Times New Roman"/>
          <w:color w:val="0000FF"/>
        </w:rPr>
      </w:pPr>
      <w:r>
        <w:rPr>
          <w:rFonts w:cs="Times New Roman"/>
          <w:color w:val="0000FF"/>
        </w:rPr>
        <w:t>（4）室外靠近围护结构处产生的声压级计算式为：</w:t>
      </w:r>
    </w:p>
    <w:p w14:paraId="0CA64517">
      <w:pPr>
        <w:jc w:val="center"/>
        <w:rPr>
          <w:rFonts w:cs="Times New Roman"/>
          <w:color w:val="0000FF"/>
        </w:rPr>
      </w:pPr>
      <w:r>
        <w:rPr>
          <w:rFonts w:cs="Times New Roman"/>
          <w:color w:val="0000FF"/>
        </w:rPr>
        <w:drawing>
          <wp:inline distT="0" distB="0" distL="114300" distR="114300">
            <wp:extent cx="2317750" cy="336550"/>
            <wp:effectExtent l="0" t="0" r="6350" b="6350"/>
            <wp:docPr id="129" name="图片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167"/>
                    <pic:cNvPicPr>
                      <a:picLocks noChangeAspect="1"/>
                    </pic:cNvPicPr>
                  </pic:nvPicPr>
                  <pic:blipFill>
                    <a:blip r:embed="rId164"/>
                    <a:stretch>
                      <a:fillRect/>
                    </a:stretch>
                  </pic:blipFill>
                  <pic:spPr>
                    <a:xfrm>
                      <a:off x="0" y="0"/>
                      <a:ext cx="2317750" cy="336550"/>
                    </a:xfrm>
                    <a:prstGeom prst="rect">
                      <a:avLst/>
                    </a:prstGeom>
                    <a:noFill/>
                    <a:ln>
                      <a:noFill/>
                    </a:ln>
                  </pic:spPr>
                </pic:pic>
              </a:graphicData>
            </a:graphic>
          </wp:inline>
        </w:drawing>
      </w:r>
    </w:p>
    <w:p w14:paraId="21518072">
      <w:pPr>
        <w:ind w:firstLine="480" w:firstLineChars="200"/>
        <w:rPr>
          <w:rFonts w:cs="Times New Roman"/>
          <w:color w:val="0000FF"/>
        </w:rPr>
      </w:pPr>
      <w:r>
        <w:rPr>
          <w:rFonts w:cs="Times New Roman"/>
          <w:color w:val="0000FF"/>
        </w:rPr>
        <w:t>式中：</w:t>
      </w:r>
    </w:p>
    <w:p w14:paraId="7DA2B603">
      <w:pPr>
        <w:ind w:firstLine="960" w:firstLineChars="400"/>
        <w:rPr>
          <w:rFonts w:cs="Times New Roman"/>
          <w:color w:val="0000FF"/>
        </w:rPr>
      </w:pPr>
      <w:r>
        <w:rPr>
          <w:rFonts w:cs="Times New Roman"/>
          <w:color w:val="0000FF"/>
        </w:rPr>
        <w:t>Lp2i（T）——靠近围护结构处室外N个声源i倍频带的叠加声压级，dB；</w:t>
      </w:r>
    </w:p>
    <w:p w14:paraId="20F9B75E">
      <w:pPr>
        <w:ind w:firstLine="960" w:firstLineChars="400"/>
        <w:rPr>
          <w:rFonts w:cs="Times New Roman"/>
          <w:color w:val="0000FF"/>
        </w:rPr>
      </w:pPr>
      <w:r>
        <w:rPr>
          <w:rFonts w:cs="Times New Roman"/>
          <w:color w:val="0000FF"/>
        </w:rPr>
        <w:t>TLi——围护结构i倍频带的隔声量，dB；</w:t>
      </w:r>
    </w:p>
    <w:p w14:paraId="251CFA8D">
      <w:pPr>
        <w:jc w:val="center"/>
        <w:rPr>
          <w:rFonts w:cs="Times New Roman"/>
          <w:color w:val="0000FF"/>
        </w:rPr>
      </w:pPr>
      <w:r>
        <w:rPr>
          <w:rFonts w:cs="Times New Roman"/>
          <w:color w:val="0000FF"/>
        </w:rPr>
        <w:drawing>
          <wp:inline distT="0" distB="0" distL="114300" distR="114300">
            <wp:extent cx="2406015" cy="1269365"/>
            <wp:effectExtent l="0" t="0" r="6985" b="635"/>
            <wp:docPr id="130" name="图片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2168"/>
                    <pic:cNvPicPr>
                      <a:picLocks noChangeAspect="1"/>
                    </pic:cNvPicPr>
                  </pic:nvPicPr>
                  <pic:blipFill>
                    <a:blip r:embed="rId165"/>
                    <a:stretch>
                      <a:fillRect/>
                    </a:stretch>
                  </pic:blipFill>
                  <pic:spPr>
                    <a:xfrm>
                      <a:off x="0" y="0"/>
                      <a:ext cx="2406015" cy="1269365"/>
                    </a:xfrm>
                    <a:prstGeom prst="rect">
                      <a:avLst/>
                    </a:prstGeom>
                    <a:noFill/>
                    <a:ln>
                      <a:noFill/>
                    </a:ln>
                  </pic:spPr>
                </pic:pic>
              </a:graphicData>
            </a:graphic>
          </wp:inline>
        </w:drawing>
      </w:r>
    </w:p>
    <w:p w14:paraId="27FFCB55">
      <w:pPr>
        <w:rPr>
          <w:color w:val="0000FF"/>
        </w:rPr>
      </w:pPr>
      <w:r>
        <w:rPr>
          <w:color w:val="0000FF"/>
        </w:rPr>
        <w:t>图</w:t>
      </w:r>
      <w:r>
        <w:rPr>
          <w:rFonts w:hint="eastAsia"/>
          <w:color w:val="0000FF"/>
        </w:rPr>
        <w:t>5-4</w:t>
      </w:r>
      <w:r>
        <w:rPr>
          <w:color w:val="0000FF"/>
        </w:rPr>
        <w:t>-</w:t>
      </w:r>
      <w:r>
        <w:rPr>
          <w:rFonts w:hint="eastAsia"/>
          <w:color w:val="0000FF"/>
        </w:rPr>
        <w:t>3</w:t>
      </w:r>
      <w:r>
        <w:rPr>
          <w:color w:val="0000FF"/>
        </w:rPr>
        <w:t xml:space="preserve">  室内声源等效为室外声源示意图</w:t>
      </w:r>
    </w:p>
    <w:p w14:paraId="1C2582D9">
      <w:pPr>
        <w:ind w:firstLine="480" w:firstLineChars="200"/>
        <w:rPr>
          <w:rFonts w:cs="Times New Roman"/>
          <w:color w:val="0000FF"/>
        </w:rPr>
      </w:pPr>
      <w:r>
        <w:rPr>
          <w:rFonts w:cs="Times New Roman"/>
          <w:color w:val="0000FF"/>
        </w:rPr>
        <w:t>（5）倍频带声压级和A声级转换</w:t>
      </w:r>
    </w:p>
    <w:p w14:paraId="552A26CA">
      <w:pPr>
        <w:ind w:firstLine="480" w:firstLineChars="200"/>
        <w:rPr>
          <w:rFonts w:cs="Times New Roman"/>
          <w:color w:val="0000FF"/>
        </w:rPr>
      </w:pPr>
      <w:r>
        <w:rPr>
          <w:rFonts w:cs="Times New Roman"/>
          <w:color w:val="0000FF"/>
        </w:rPr>
        <w:t>计算出的中心频率为500Hz倍频带声压级L（r）p，再根据导则倍频带声压级和A声级转换公式计算式如下：</w:t>
      </w:r>
    </w:p>
    <w:p w14:paraId="2DA96422">
      <w:pPr>
        <w:jc w:val="center"/>
        <w:rPr>
          <w:rFonts w:cs="Times New Roman"/>
          <w:color w:val="0000FF"/>
        </w:rPr>
      </w:pPr>
      <w:r>
        <w:rPr>
          <w:rFonts w:cs="Times New Roman"/>
          <w:color w:val="0000FF"/>
        </w:rPr>
        <w:drawing>
          <wp:inline distT="0" distB="0" distL="114300" distR="114300">
            <wp:extent cx="1720850" cy="552450"/>
            <wp:effectExtent l="0" t="0" r="6350" b="6350"/>
            <wp:docPr id="131" name="图片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169"/>
                    <pic:cNvPicPr>
                      <a:picLocks noChangeAspect="1"/>
                    </pic:cNvPicPr>
                  </pic:nvPicPr>
                  <pic:blipFill>
                    <a:blip r:embed="rId166"/>
                    <a:stretch>
                      <a:fillRect/>
                    </a:stretch>
                  </pic:blipFill>
                  <pic:spPr>
                    <a:xfrm>
                      <a:off x="0" y="0"/>
                      <a:ext cx="1720850" cy="552450"/>
                    </a:xfrm>
                    <a:prstGeom prst="rect">
                      <a:avLst/>
                    </a:prstGeom>
                    <a:noFill/>
                    <a:ln>
                      <a:noFill/>
                    </a:ln>
                  </pic:spPr>
                </pic:pic>
              </a:graphicData>
            </a:graphic>
          </wp:inline>
        </w:drawing>
      </w:r>
    </w:p>
    <w:p w14:paraId="2A150417">
      <w:pPr>
        <w:ind w:firstLine="480" w:firstLineChars="200"/>
        <w:rPr>
          <w:rFonts w:cs="Times New Roman"/>
          <w:color w:val="0000FF"/>
        </w:rPr>
      </w:pPr>
      <w:r>
        <w:rPr>
          <w:rFonts w:cs="Times New Roman"/>
          <w:color w:val="0000FF"/>
        </w:rPr>
        <w:t>式中：△Li——为第i倍频带的A计权网络修正值，dB；</w:t>
      </w:r>
    </w:p>
    <w:p w14:paraId="210A5797">
      <w:pPr>
        <w:ind w:firstLine="1200" w:firstLineChars="500"/>
        <w:rPr>
          <w:rFonts w:cs="Times New Roman"/>
          <w:color w:val="0000FF"/>
        </w:rPr>
      </w:pPr>
      <w:r>
        <w:rPr>
          <w:rFonts w:cs="Times New Roman"/>
          <w:color w:val="0000FF"/>
        </w:rPr>
        <w:t>N——总倍频带数。</w:t>
      </w:r>
    </w:p>
    <w:p w14:paraId="2F038139">
      <w:pPr>
        <w:ind w:firstLine="480" w:firstLineChars="200"/>
        <w:rPr>
          <w:rFonts w:cs="Times New Roman"/>
          <w:color w:val="0000FF"/>
        </w:rPr>
      </w:pPr>
      <w:r>
        <w:rPr>
          <w:rFonts w:cs="Times New Roman"/>
          <w:color w:val="0000FF"/>
        </w:rPr>
        <w:t>查导则附录B表B1，500Hz对应的△Li为-3.2dB。</w:t>
      </w:r>
    </w:p>
    <w:p w14:paraId="2D194BC6">
      <w:pPr>
        <w:ind w:firstLine="480" w:firstLineChars="200"/>
        <w:rPr>
          <w:rFonts w:cs="Times New Roman"/>
          <w:color w:val="0000FF"/>
        </w:rPr>
      </w:pPr>
      <w:r>
        <w:rPr>
          <w:rFonts w:cs="Times New Roman"/>
          <w:color w:val="0000FF"/>
        </w:rPr>
        <w:t>预测中声功率级、声压级均按照中心频率为500Hz的倍频带做估算。</w:t>
      </w:r>
    </w:p>
    <w:p w14:paraId="4459A7B4">
      <w:pPr>
        <w:ind w:firstLine="480" w:firstLineChars="200"/>
        <w:rPr>
          <w:rFonts w:cs="Times New Roman"/>
          <w:color w:val="0000FF"/>
        </w:rPr>
      </w:pPr>
      <w:r>
        <w:rPr>
          <w:rFonts w:cs="Times New Roman"/>
          <w:color w:val="0000FF"/>
        </w:rPr>
        <w:t>2、噪声至预测点贡献值计算</w:t>
      </w:r>
    </w:p>
    <w:p w14:paraId="047F80AC">
      <w:pPr>
        <w:ind w:firstLine="480" w:firstLineChars="200"/>
        <w:rPr>
          <w:rFonts w:cs="Times New Roman"/>
          <w:color w:val="0000FF"/>
        </w:rPr>
      </w:pPr>
      <w:r>
        <w:rPr>
          <w:rFonts w:cs="Times New Roman"/>
          <w:color w:val="0000FF"/>
        </w:rPr>
        <w:t>（1）几何发散衰减divA</w:t>
      </w:r>
    </w:p>
    <w:p w14:paraId="06FF637B">
      <w:pPr>
        <w:ind w:firstLine="480" w:firstLineChars="200"/>
        <w:rPr>
          <w:rFonts w:cs="Times New Roman"/>
          <w:color w:val="0000FF"/>
        </w:rPr>
      </w:pPr>
      <w:r>
        <w:rPr>
          <w:rFonts w:cs="Times New Roman"/>
          <w:color w:val="0000FF"/>
        </w:rPr>
        <w:t>当预测点和面声源中心距离r处于以下条件时，可按下述方法近似计算：r&lt;a/π时，几乎不衰减（Adiv≈0）；当a/π&lt;r&lt;b/π，距离加倍衰减3dB（A）左右，类似线声源衰减特性（Adiv≈10lg（r/r0））；当r&gt;b/π时，距离加倍衰减趋近于6dB（A），类似点声源衰减特性（Adiv≈20lg（r/r0））。其中面声源的b&gt;a。图中虚线为实际衰减量。</w:t>
      </w:r>
    </w:p>
    <w:p w14:paraId="1F5B23B1">
      <w:pPr>
        <w:jc w:val="center"/>
        <w:rPr>
          <w:rFonts w:cs="Times New Roman"/>
          <w:color w:val="0000FF"/>
        </w:rPr>
      </w:pPr>
      <w:r>
        <w:rPr>
          <w:rFonts w:cs="Times New Roman"/>
          <w:color w:val="0000FF"/>
        </w:rPr>
        <w:drawing>
          <wp:inline distT="0" distB="0" distL="114300" distR="114300">
            <wp:extent cx="3429000" cy="2457450"/>
            <wp:effectExtent l="0" t="0" r="0" b="6350"/>
            <wp:docPr id="132" name="图片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2170"/>
                    <pic:cNvPicPr>
                      <a:picLocks noChangeAspect="1"/>
                    </pic:cNvPicPr>
                  </pic:nvPicPr>
                  <pic:blipFill>
                    <a:blip r:embed="rId167"/>
                    <a:stretch>
                      <a:fillRect/>
                    </a:stretch>
                  </pic:blipFill>
                  <pic:spPr>
                    <a:xfrm>
                      <a:off x="0" y="0"/>
                      <a:ext cx="3429000" cy="2457450"/>
                    </a:xfrm>
                    <a:prstGeom prst="rect">
                      <a:avLst/>
                    </a:prstGeom>
                    <a:noFill/>
                    <a:ln>
                      <a:noFill/>
                    </a:ln>
                  </pic:spPr>
                </pic:pic>
              </a:graphicData>
            </a:graphic>
          </wp:inline>
        </w:drawing>
      </w:r>
    </w:p>
    <w:p w14:paraId="42C9F312">
      <w:pPr>
        <w:rPr>
          <w:color w:val="0000FF"/>
        </w:rPr>
      </w:pPr>
      <w:r>
        <w:rPr>
          <w:color w:val="0000FF"/>
        </w:rPr>
        <w:t>图</w:t>
      </w:r>
      <w:r>
        <w:rPr>
          <w:rFonts w:hint="eastAsia"/>
          <w:color w:val="0000FF"/>
        </w:rPr>
        <w:t>5-4</w:t>
      </w:r>
      <w:r>
        <w:rPr>
          <w:color w:val="0000FF"/>
        </w:rPr>
        <w:t>-</w:t>
      </w:r>
      <w:r>
        <w:rPr>
          <w:rFonts w:hint="eastAsia"/>
          <w:color w:val="0000FF"/>
        </w:rPr>
        <w:t>4</w:t>
      </w:r>
      <w:r>
        <w:rPr>
          <w:color w:val="0000FF"/>
        </w:rPr>
        <w:t xml:space="preserve">  长方形面声源中心轴线上的衰减特性</w:t>
      </w:r>
    </w:p>
    <w:p w14:paraId="5C79ED10">
      <w:pPr>
        <w:ind w:firstLine="480" w:firstLineChars="200"/>
        <w:rPr>
          <w:rFonts w:cs="Times New Roman"/>
          <w:color w:val="0000FF"/>
        </w:rPr>
      </w:pPr>
      <w:r>
        <w:rPr>
          <w:rFonts w:cs="Times New Roman"/>
          <w:color w:val="0000FF"/>
        </w:rPr>
        <w:t>（2）几何发散衰减</w:t>
      </w:r>
    </w:p>
    <w:p w14:paraId="1C84D1FD">
      <w:pPr>
        <w:ind w:firstLine="480" w:firstLineChars="200"/>
        <w:rPr>
          <w:rFonts w:cs="Times New Roman"/>
          <w:color w:val="0000FF"/>
        </w:rPr>
      </w:pPr>
      <w:r>
        <w:rPr>
          <w:rFonts w:cs="Times New Roman"/>
          <w:color w:val="0000FF"/>
        </w:rPr>
        <w:t>按照《环境影响评价导则 声环境》（HJ 2.4-2021）中户外声传播衰减计算式计算预测点的声级，只考虑几何发散衰减模式计算预测点处的A声级，计算式如下：</w:t>
      </w:r>
    </w:p>
    <w:p w14:paraId="1390FA9D">
      <w:pPr>
        <w:jc w:val="center"/>
        <w:rPr>
          <w:rFonts w:cs="Times New Roman"/>
          <w:color w:val="0000FF"/>
        </w:rPr>
      </w:pPr>
      <w:r>
        <w:rPr>
          <w:rFonts w:cs="Times New Roman"/>
          <w:color w:val="0000FF"/>
        </w:rPr>
        <w:drawing>
          <wp:inline distT="0" distB="0" distL="114300" distR="114300">
            <wp:extent cx="1466850" cy="304800"/>
            <wp:effectExtent l="0" t="0" r="6350" b="0"/>
            <wp:docPr id="133" name="图片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171"/>
                    <pic:cNvPicPr>
                      <a:picLocks noChangeAspect="1"/>
                    </pic:cNvPicPr>
                  </pic:nvPicPr>
                  <pic:blipFill>
                    <a:blip r:embed="rId168"/>
                    <a:stretch>
                      <a:fillRect/>
                    </a:stretch>
                  </pic:blipFill>
                  <pic:spPr>
                    <a:xfrm>
                      <a:off x="0" y="0"/>
                      <a:ext cx="1466850" cy="304800"/>
                    </a:xfrm>
                    <a:prstGeom prst="rect">
                      <a:avLst/>
                    </a:prstGeom>
                    <a:noFill/>
                    <a:ln>
                      <a:noFill/>
                    </a:ln>
                  </pic:spPr>
                </pic:pic>
              </a:graphicData>
            </a:graphic>
          </wp:inline>
        </w:drawing>
      </w:r>
    </w:p>
    <w:p w14:paraId="7FA02424">
      <w:pPr>
        <w:ind w:firstLine="480" w:firstLineChars="200"/>
        <w:rPr>
          <w:rFonts w:cs="Times New Roman"/>
          <w:color w:val="0000FF"/>
        </w:rPr>
      </w:pPr>
      <w:r>
        <w:rPr>
          <w:rFonts w:cs="Times New Roman"/>
          <w:color w:val="0000FF"/>
        </w:rPr>
        <w:t>（3）预测点贡献值计算</w:t>
      </w:r>
    </w:p>
    <w:p w14:paraId="180E5601">
      <w:pPr>
        <w:ind w:firstLine="480" w:firstLineChars="200"/>
        <w:rPr>
          <w:rFonts w:cs="Times New Roman"/>
          <w:color w:val="0000FF"/>
        </w:rPr>
      </w:pPr>
      <w:r>
        <w:rPr>
          <w:rFonts w:cs="Times New Roman"/>
          <w:color w:val="0000FF"/>
        </w:rPr>
        <w:t>设第i个室外声源在预测点产生的A声级为LAi，在T时间内该声源工作时间为i；第j个等效室外声源在预测点产生的A声级为LAj，在T时间内该声源工作时间为tj，则拟建工程声源对预测点产生的贡献值（Leqg）为：</w:t>
      </w:r>
    </w:p>
    <w:p w14:paraId="4E17F513">
      <w:pPr>
        <w:jc w:val="center"/>
        <w:rPr>
          <w:rFonts w:cs="Times New Roman"/>
          <w:color w:val="0000FF"/>
        </w:rPr>
      </w:pPr>
      <w:r>
        <w:rPr>
          <w:rFonts w:cs="Times New Roman"/>
          <w:color w:val="0000FF"/>
        </w:rPr>
        <w:drawing>
          <wp:inline distT="0" distB="0" distL="114300" distR="114300">
            <wp:extent cx="2470150" cy="495300"/>
            <wp:effectExtent l="0" t="0" r="6350" b="0"/>
            <wp:docPr id="134" name="图片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172"/>
                    <pic:cNvPicPr>
                      <a:picLocks noChangeAspect="1"/>
                    </pic:cNvPicPr>
                  </pic:nvPicPr>
                  <pic:blipFill>
                    <a:blip r:embed="rId169"/>
                    <a:stretch>
                      <a:fillRect/>
                    </a:stretch>
                  </pic:blipFill>
                  <pic:spPr>
                    <a:xfrm>
                      <a:off x="0" y="0"/>
                      <a:ext cx="2470150" cy="495300"/>
                    </a:xfrm>
                    <a:prstGeom prst="rect">
                      <a:avLst/>
                    </a:prstGeom>
                    <a:noFill/>
                    <a:ln>
                      <a:noFill/>
                    </a:ln>
                  </pic:spPr>
                </pic:pic>
              </a:graphicData>
            </a:graphic>
          </wp:inline>
        </w:drawing>
      </w:r>
    </w:p>
    <w:p w14:paraId="7B445BC6">
      <w:pPr>
        <w:ind w:firstLine="480" w:firstLineChars="200"/>
        <w:rPr>
          <w:rFonts w:cs="Times New Roman"/>
          <w:color w:val="0000FF"/>
        </w:rPr>
      </w:pPr>
      <w:r>
        <w:rPr>
          <w:rFonts w:cs="Times New Roman"/>
          <w:color w:val="0000FF"/>
        </w:rPr>
        <w:t>式中：tj——在T时间内j声源工作时间，s；</w:t>
      </w:r>
    </w:p>
    <w:p w14:paraId="30363FE8">
      <w:pPr>
        <w:ind w:firstLine="1200" w:firstLineChars="500"/>
        <w:rPr>
          <w:rFonts w:cs="Times New Roman"/>
          <w:color w:val="0000FF"/>
        </w:rPr>
      </w:pPr>
      <w:r>
        <w:rPr>
          <w:rFonts w:cs="Times New Roman"/>
          <w:color w:val="0000FF"/>
        </w:rPr>
        <w:t>ti——在T时间内i声源工作时间，s；</w:t>
      </w:r>
    </w:p>
    <w:p w14:paraId="6B5E094A">
      <w:pPr>
        <w:ind w:firstLine="1200" w:firstLineChars="500"/>
        <w:rPr>
          <w:rFonts w:cs="Times New Roman"/>
          <w:color w:val="0000FF"/>
        </w:rPr>
      </w:pPr>
      <w:r>
        <w:rPr>
          <w:rFonts w:cs="Times New Roman"/>
          <w:color w:val="0000FF"/>
        </w:rPr>
        <w:t>T——用于计算等效声级的时间，s；</w:t>
      </w:r>
    </w:p>
    <w:p w14:paraId="30A4B0BE">
      <w:pPr>
        <w:ind w:firstLine="1200" w:firstLineChars="500"/>
        <w:rPr>
          <w:rFonts w:cs="Times New Roman"/>
          <w:color w:val="0000FF"/>
        </w:rPr>
      </w:pPr>
      <w:r>
        <w:rPr>
          <w:rFonts w:cs="Times New Roman"/>
          <w:color w:val="0000FF"/>
        </w:rPr>
        <w:t>N——室外声源个数；</w:t>
      </w:r>
    </w:p>
    <w:p w14:paraId="6E3BE82A">
      <w:pPr>
        <w:ind w:firstLine="1200" w:firstLineChars="500"/>
        <w:rPr>
          <w:rFonts w:cs="Times New Roman"/>
          <w:color w:val="0000FF"/>
        </w:rPr>
      </w:pPr>
      <w:r>
        <w:rPr>
          <w:rFonts w:cs="Times New Roman"/>
          <w:color w:val="0000FF"/>
        </w:rPr>
        <w:t>M——等效室外声源个数；</w:t>
      </w:r>
    </w:p>
    <w:p w14:paraId="436BA39D">
      <w:pPr>
        <w:ind w:firstLine="480" w:firstLineChars="200"/>
        <w:rPr>
          <w:rFonts w:cs="Times New Roman"/>
          <w:color w:val="0000FF"/>
        </w:rPr>
      </w:pPr>
      <w:r>
        <w:rPr>
          <w:rFonts w:cs="Times New Roman"/>
          <w:color w:val="0000FF"/>
        </w:rPr>
        <w:t>3、预测点的预测等效声级（Leq）计算</w:t>
      </w:r>
    </w:p>
    <w:p w14:paraId="3741D503">
      <w:pPr>
        <w:jc w:val="center"/>
        <w:rPr>
          <w:rFonts w:cs="Times New Roman"/>
          <w:color w:val="0000FF"/>
        </w:rPr>
      </w:pPr>
      <w:r>
        <w:rPr>
          <w:rFonts w:cs="Times New Roman"/>
          <w:color w:val="0000FF"/>
        </w:rPr>
        <w:drawing>
          <wp:inline distT="0" distB="0" distL="114300" distR="114300">
            <wp:extent cx="1993900" cy="285750"/>
            <wp:effectExtent l="0" t="0" r="0" b="6350"/>
            <wp:docPr id="135" name="图片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2173"/>
                    <pic:cNvPicPr>
                      <a:picLocks noChangeAspect="1"/>
                    </pic:cNvPicPr>
                  </pic:nvPicPr>
                  <pic:blipFill>
                    <a:blip r:embed="rId170"/>
                    <a:stretch>
                      <a:fillRect/>
                    </a:stretch>
                  </pic:blipFill>
                  <pic:spPr>
                    <a:xfrm>
                      <a:off x="0" y="0"/>
                      <a:ext cx="1993900" cy="285750"/>
                    </a:xfrm>
                    <a:prstGeom prst="rect">
                      <a:avLst/>
                    </a:prstGeom>
                    <a:noFill/>
                    <a:ln>
                      <a:noFill/>
                    </a:ln>
                  </pic:spPr>
                </pic:pic>
              </a:graphicData>
            </a:graphic>
          </wp:inline>
        </w:drawing>
      </w:r>
    </w:p>
    <w:p w14:paraId="22E09C95">
      <w:pPr>
        <w:ind w:firstLine="480" w:firstLineChars="200"/>
        <w:rPr>
          <w:rFonts w:cs="Times New Roman"/>
          <w:color w:val="0000FF"/>
        </w:rPr>
      </w:pPr>
      <w:r>
        <w:rPr>
          <w:rFonts w:cs="Times New Roman"/>
          <w:color w:val="0000FF"/>
        </w:rPr>
        <w:t>式中：Leq——建设项目声源在预测点的等效声级贡献量，dB（A）；</w:t>
      </w:r>
    </w:p>
    <w:p w14:paraId="06B267F2">
      <w:pPr>
        <w:ind w:firstLine="1200" w:firstLineChars="500"/>
        <w:rPr>
          <w:rFonts w:cs="Times New Roman"/>
          <w:color w:val="0000FF"/>
        </w:rPr>
      </w:pPr>
      <w:r>
        <w:rPr>
          <w:rFonts w:cs="Times New Roman"/>
          <w:color w:val="0000FF"/>
        </w:rPr>
        <w:t>Leqb——预测点背景值，dB（A）。</w:t>
      </w:r>
    </w:p>
    <w:p w14:paraId="2DDBD451">
      <w:pPr>
        <w:pStyle w:val="5"/>
        <w:rPr>
          <w:rFonts w:cs="Times New Roman"/>
          <w:color w:val="0000FF"/>
        </w:rPr>
      </w:pPr>
      <w:r>
        <w:rPr>
          <w:rFonts w:hint="eastAsia" w:cs="Times New Roman"/>
          <w:color w:val="0000FF"/>
        </w:rPr>
        <w:t>5.4</w:t>
      </w:r>
      <w:r>
        <w:rPr>
          <w:rFonts w:cs="Times New Roman"/>
          <w:color w:val="0000FF"/>
        </w:rPr>
        <w:t>.2.4 预测结果</w:t>
      </w:r>
    </w:p>
    <w:p w14:paraId="338E07C2">
      <w:pPr>
        <w:ind w:firstLine="480" w:firstLineChars="200"/>
        <w:rPr>
          <w:rFonts w:cs="Times New Roman"/>
          <w:color w:val="0000FF"/>
        </w:rPr>
      </w:pPr>
      <w:r>
        <w:rPr>
          <w:rFonts w:cs="Times New Roman"/>
          <w:color w:val="0000FF"/>
        </w:rPr>
        <w:t>根据上述预测模式，结合项目工业场区总平面布局，估算出本项目建成运行后，厂界噪声变化情况汇总见表5-4-3，工程噪声等值线图见图5-4-4</w:t>
      </w:r>
      <w:r>
        <w:rPr>
          <w:rFonts w:hint="eastAsia" w:cs="Times New Roman"/>
          <w:color w:val="0000FF"/>
        </w:rPr>
        <w:t>～</w:t>
      </w:r>
      <w:r>
        <w:rPr>
          <w:rFonts w:cs="Times New Roman"/>
          <w:color w:val="0000FF"/>
        </w:rPr>
        <w:t>图5-4-5。</w:t>
      </w:r>
    </w:p>
    <w:p w14:paraId="338958B2">
      <w:pPr>
        <w:ind w:firstLine="480" w:firstLineChars="200"/>
        <w:rPr>
          <w:rFonts w:cs="Times New Roman"/>
          <w:color w:val="0000FF"/>
        </w:rPr>
      </w:pPr>
      <w:r>
        <w:rPr>
          <w:rFonts w:hint="eastAsia" w:cs="Times New Roman"/>
          <w:color w:val="0000FF"/>
        </w:rPr>
        <w:t>泵站</w:t>
      </w:r>
      <w:r>
        <w:rPr>
          <w:rFonts w:cs="Times New Roman"/>
          <w:color w:val="0000FF"/>
        </w:rPr>
        <w:t>设备均布置在</w:t>
      </w:r>
      <w:r>
        <w:rPr>
          <w:rFonts w:hint="eastAsia" w:cs="Times New Roman"/>
          <w:color w:val="0000FF"/>
        </w:rPr>
        <w:t>泵房</w:t>
      </w:r>
      <w:r>
        <w:rPr>
          <w:rFonts w:cs="Times New Roman"/>
          <w:color w:val="0000FF"/>
        </w:rPr>
        <w:t>内，经过</w:t>
      </w:r>
      <w:r>
        <w:rPr>
          <w:rFonts w:hint="eastAsia" w:cs="Times New Roman"/>
          <w:color w:val="0000FF"/>
        </w:rPr>
        <w:t>泵房</w:t>
      </w:r>
      <w:r>
        <w:rPr>
          <w:rFonts w:cs="Times New Roman"/>
          <w:color w:val="0000FF"/>
        </w:rPr>
        <w:t>隔声、设备自身的减振降噪</w:t>
      </w:r>
      <w:r>
        <w:rPr>
          <w:rFonts w:hint="eastAsia" w:cs="Times New Roman"/>
          <w:color w:val="0000FF"/>
        </w:rPr>
        <w:t>以及泵站周边围墙</w:t>
      </w:r>
      <w:r>
        <w:rPr>
          <w:rFonts w:cs="Times New Roman"/>
          <w:color w:val="0000FF"/>
        </w:rPr>
        <w:t>等，大大削弱了设备噪声。根据预测结果，</w:t>
      </w:r>
      <w:r>
        <w:rPr>
          <w:rFonts w:hint="eastAsia" w:cs="Times New Roman"/>
          <w:color w:val="0000FF"/>
        </w:rPr>
        <w:t>采取上述措施后，泵站</w:t>
      </w:r>
      <w:r>
        <w:rPr>
          <w:rFonts w:cs="Times New Roman"/>
          <w:color w:val="0000FF"/>
        </w:rPr>
        <w:t>设备运转产生的噪声对厂界噪声贡献值可以满足《工业企业厂界环境噪声排放标准》（GB12348-2008）中</w:t>
      </w:r>
      <w:r>
        <w:rPr>
          <w:rFonts w:hint="eastAsia" w:cs="Times New Roman"/>
          <w:color w:val="0000FF"/>
        </w:rPr>
        <w:t>1</w:t>
      </w:r>
      <w:r>
        <w:rPr>
          <w:rFonts w:cs="Times New Roman"/>
          <w:color w:val="0000FF"/>
        </w:rPr>
        <w:t>类标准的要求</w:t>
      </w:r>
      <w:r>
        <w:rPr>
          <w:rFonts w:hint="eastAsia" w:cs="Times New Roman"/>
          <w:color w:val="0000FF"/>
        </w:rPr>
        <w:t>，考虑二级泵站东侧存在小学，建议</w:t>
      </w:r>
      <w:r>
        <w:rPr>
          <w:rFonts w:cs="Times New Roman"/>
          <w:color w:val="0000FF"/>
        </w:rPr>
        <w:t>种植一定量的绿化树木。</w:t>
      </w:r>
    </w:p>
    <w:p w14:paraId="05FBC5E6">
      <w:pPr>
        <w:ind w:firstLine="480" w:firstLineChars="200"/>
        <w:rPr>
          <w:rFonts w:cs="Times New Roman"/>
          <w:color w:val="0000FF"/>
        </w:rPr>
      </w:pPr>
      <w:r>
        <w:rPr>
          <w:rFonts w:cs="Times New Roman"/>
          <w:color w:val="0000FF"/>
        </w:rPr>
        <w:t>预测结果表明，在采取相应的隔声降噪措施处理后，</w:t>
      </w:r>
      <w:r>
        <w:rPr>
          <w:rFonts w:hint="eastAsia" w:cs="Times New Roman"/>
          <w:color w:val="0000FF"/>
        </w:rPr>
        <w:t>泵站</w:t>
      </w:r>
      <w:r>
        <w:rPr>
          <w:rFonts w:cs="Times New Roman"/>
          <w:color w:val="0000FF"/>
        </w:rPr>
        <w:t>设备运转产生的噪声对厂界噪声贡献值可以满足《工业企业厂界环境噪声排放标准》（GB12348-2008）中</w:t>
      </w:r>
      <w:r>
        <w:rPr>
          <w:rFonts w:hint="eastAsia" w:cs="Times New Roman"/>
          <w:color w:val="0000FF"/>
        </w:rPr>
        <w:t>1</w:t>
      </w:r>
      <w:r>
        <w:rPr>
          <w:rFonts w:cs="Times New Roman"/>
          <w:color w:val="0000FF"/>
        </w:rPr>
        <w:t>类标准的要求。周边声环境保护目标处噪声预测值能够满足《声环境质量标准》（GB3096-2008）</w:t>
      </w:r>
      <w:r>
        <w:rPr>
          <w:rFonts w:hint="eastAsia" w:cs="Times New Roman"/>
          <w:color w:val="0000FF"/>
        </w:rPr>
        <w:t>1</w:t>
      </w:r>
      <w:r>
        <w:rPr>
          <w:rFonts w:cs="Times New Roman"/>
          <w:color w:val="0000FF"/>
        </w:rPr>
        <w:t>类标准要求。</w:t>
      </w:r>
    </w:p>
    <w:p w14:paraId="558B043D">
      <w:pPr>
        <w:ind w:firstLine="480" w:firstLineChars="200"/>
        <w:rPr>
          <w:rFonts w:cs="Times New Roman"/>
          <w:color w:val="0000FF"/>
        </w:rPr>
      </w:pPr>
      <w:r>
        <w:rPr>
          <w:rFonts w:cs="Times New Roman"/>
          <w:color w:val="0000FF"/>
        </w:rPr>
        <w:t>综上所述，评价认为在采取有效的降噪措施后，项目生产过程中的噪声对区域声环境影响较小。</w:t>
      </w:r>
    </w:p>
    <w:p w14:paraId="10ECF49D">
      <w:pPr>
        <w:ind w:left="-240" w:right="-240"/>
        <w:rPr>
          <w:rFonts w:cs="Times New Roman"/>
          <w:color w:val="0000FF"/>
        </w:rPr>
      </w:pPr>
      <w:r>
        <w:rPr>
          <w:rFonts w:cs="Times New Roman"/>
          <w:color w:val="0000FF"/>
        </w:rPr>
        <w:t>表</w:t>
      </w:r>
      <w:r>
        <w:rPr>
          <w:rFonts w:hint="eastAsia" w:cs="Times New Roman"/>
          <w:color w:val="0000FF"/>
        </w:rPr>
        <w:t>5-4-9</w:t>
      </w:r>
      <w:r>
        <w:rPr>
          <w:rFonts w:cs="Times New Roman"/>
          <w:color w:val="0000FF"/>
        </w:rPr>
        <w:t xml:space="preserve">  厂界贡献值预测    单位：dB（A）</w:t>
      </w:r>
    </w:p>
    <w:tbl>
      <w:tblPr>
        <w:tblStyle w:val="1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4"/>
        <w:gridCol w:w="1209"/>
        <w:gridCol w:w="936"/>
        <w:gridCol w:w="936"/>
        <w:gridCol w:w="791"/>
        <w:gridCol w:w="893"/>
        <w:gridCol w:w="1936"/>
        <w:gridCol w:w="1376"/>
      </w:tblGrid>
      <w:tr w14:paraId="2031C3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restart"/>
            <w:vAlign w:val="center"/>
          </w:tcPr>
          <w:p w14:paraId="003DC810">
            <w:pPr>
              <w:pStyle w:val="28"/>
              <w:bidi w:val="0"/>
            </w:pPr>
            <w:r>
              <w:t>泵站</w:t>
            </w:r>
          </w:p>
        </w:tc>
        <w:tc>
          <w:tcPr>
            <w:tcW w:w="651" w:type="pct"/>
            <w:vMerge w:val="restart"/>
            <w:vAlign w:val="center"/>
          </w:tcPr>
          <w:p w14:paraId="007A6132">
            <w:pPr>
              <w:pStyle w:val="28"/>
              <w:bidi w:val="0"/>
            </w:pPr>
            <w:r>
              <w:t>预测方位</w:t>
            </w:r>
          </w:p>
        </w:tc>
        <w:tc>
          <w:tcPr>
            <w:tcW w:w="1434" w:type="pct"/>
            <w:gridSpan w:val="3"/>
            <w:vAlign w:val="center"/>
          </w:tcPr>
          <w:p w14:paraId="7DD985B9">
            <w:pPr>
              <w:pStyle w:val="28"/>
              <w:bidi w:val="0"/>
            </w:pPr>
            <w:r>
              <w:t>空间相对位置/m</w:t>
            </w:r>
          </w:p>
        </w:tc>
        <w:tc>
          <w:tcPr>
            <w:tcW w:w="481" w:type="pct"/>
            <w:vMerge w:val="restart"/>
            <w:vAlign w:val="center"/>
          </w:tcPr>
          <w:p w14:paraId="00C93083">
            <w:pPr>
              <w:pStyle w:val="28"/>
              <w:bidi w:val="0"/>
            </w:pPr>
            <w:r>
              <w:t>时段</w:t>
            </w:r>
          </w:p>
        </w:tc>
        <w:tc>
          <w:tcPr>
            <w:tcW w:w="2031" w:type="dxa"/>
            <w:vMerge w:val="restart"/>
            <w:vAlign w:val="center"/>
          </w:tcPr>
          <w:p w14:paraId="5116BFE4">
            <w:pPr>
              <w:pStyle w:val="28"/>
              <w:bidi w:val="0"/>
            </w:pPr>
            <w:r>
              <w:t>预测值</w:t>
            </w:r>
          </w:p>
        </w:tc>
        <w:tc>
          <w:tcPr>
            <w:tcW w:w="1443" w:type="dxa"/>
            <w:vMerge w:val="restart"/>
            <w:vAlign w:val="center"/>
          </w:tcPr>
          <w:p w14:paraId="3350E107">
            <w:pPr>
              <w:pStyle w:val="28"/>
              <w:bidi w:val="0"/>
            </w:pPr>
            <w:r>
              <w:rPr>
                <w:rFonts w:hint="eastAsia"/>
              </w:rPr>
              <w:t>执行标准</w:t>
            </w:r>
          </w:p>
        </w:tc>
      </w:tr>
      <w:tr w14:paraId="444DE1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5E758CDA">
            <w:pPr>
              <w:pStyle w:val="28"/>
              <w:bidi w:val="0"/>
            </w:pPr>
          </w:p>
        </w:tc>
        <w:tc>
          <w:tcPr>
            <w:tcW w:w="651" w:type="pct"/>
            <w:vMerge w:val="continue"/>
            <w:shd w:val="clear" w:color="auto" w:fill="FFFFFF"/>
            <w:vAlign w:val="center"/>
          </w:tcPr>
          <w:p w14:paraId="728DE035">
            <w:pPr>
              <w:pStyle w:val="28"/>
              <w:bidi w:val="0"/>
            </w:pPr>
          </w:p>
        </w:tc>
        <w:tc>
          <w:tcPr>
            <w:tcW w:w="504" w:type="pct"/>
            <w:shd w:val="clear" w:color="auto" w:fill="FFFFFF"/>
            <w:vAlign w:val="center"/>
          </w:tcPr>
          <w:p w14:paraId="786D31BD">
            <w:pPr>
              <w:pStyle w:val="28"/>
              <w:bidi w:val="0"/>
            </w:pPr>
            <w:r>
              <w:t>X</w:t>
            </w:r>
          </w:p>
        </w:tc>
        <w:tc>
          <w:tcPr>
            <w:tcW w:w="504" w:type="pct"/>
            <w:shd w:val="clear" w:color="auto" w:fill="FFFFFF"/>
            <w:vAlign w:val="center"/>
          </w:tcPr>
          <w:p w14:paraId="578C64E0">
            <w:pPr>
              <w:pStyle w:val="28"/>
              <w:bidi w:val="0"/>
            </w:pPr>
            <w:r>
              <w:t>Y</w:t>
            </w:r>
          </w:p>
        </w:tc>
        <w:tc>
          <w:tcPr>
            <w:tcW w:w="424" w:type="pct"/>
            <w:shd w:val="clear" w:color="auto" w:fill="FFFFFF"/>
            <w:vAlign w:val="center"/>
          </w:tcPr>
          <w:p w14:paraId="55972509">
            <w:pPr>
              <w:pStyle w:val="28"/>
              <w:bidi w:val="0"/>
            </w:pPr>
            <w:r>
              <w:t>Z</w:t>
            </w:r>
          </w:p>
        </w:tc>
        <w:tc>
          <w:tcPr>
            <w:tcW w:w="481" w:type="pct"/>
            <w:vMerge w:val="continue"/>
            <w:shd w:val="clear" w:color="auto" w:fill="FFFFFF"/>
            <w:vAlign w:val="center"/>
          </w:tcPr>
          <w:p w14:paraId="1E347CAF">
            <w:pPr>
              <w:pStyle w:val="28"/>
              <w:bidi w:val="0"/>
            </w:pPr>
          </w:p>
        </w:tc>
        <w:tc>
          <w:tcPr>
            <w:tcW w:w="1043" w:type="pct"/>
            <w:vMerge w:val="continue"/>
            <w:shd w:val="clear" w:color="auto" w:fill="FFFFFF"/>
            <w:vAlign w:val="center"/>
          </w:tcPr>
          <w:p w14:paraId="1D28FFDC">
            <w:pPr>
              <w:pStyle w:val="28"/>
              <w:bidi w:val="0"/>
            </w:pPr>
          </w:p>
        </w:tc>
        <w:tc>
          <w:tcPr>
            <w:tcW w:w="741" w:type="pct"/>
            <w:vMerge w:val="continue"/>
            <w:shd w:val="clear" w:color="auto" w:fill="FFFFFF"/>
            <w:vAlign w:val="center"/>
          </w:tcPr>
          <w:p w14:paraId="6C1E534C">
            <w:pPr>
              <w:pStyle w:val="28"/>
              <w:bidi w:val="0"/>
            </w:pPr>
          </w:p>
        </w:tc>
      </w:tr>
      <w:tr w14:paraId="0774B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restart"/>
            <w:shd w:val="clear" w:color="auto" w:fill="FFFFFF"/>
            <w:vAlign w:val="center"/>
          </w:tcPr>
          <w:p w14:paraId="74BE84EF">
            <w:pPr>
              <w:pStyle w:val="28"/>
              <w:bidi w:val="0"/>
            </w:pPr>
            <w:r>
              <w:t>一级泵站</w:t>
            </w:r>
          </w:p>
        </w:tc>
        <w:tc>
          <w:tcPr>
            <w:tcW w:w="651" w:type="pct"/>
            <w:vMerge w:val="restart"/>
            <w:shd w:val="clear" w:color="auto" w:fill="FFFFFF"/>
            <w:vAlign w:val="center"/>
          </w:tcPr>
          <w:p w14:paraId="679273E0">
            <w:pPr>
              <w:pStyle w:val="28"/>
              <w:bidi w:val="0"/>
            </w:pPr>
            <w:r>
              <w:t>东侧</w:t>
            </w:r>
          </w:p>
        </w:tc>
        <w:tc>
          <w:tcPr>
            <w:tcW w:w="504" w:type="pct"/>
            <w:shd w:val="clear" w:color="auto" w:fill="FFFFFF"/>
            <w:vAlign w:val="center"/>
          </w:tcPr>
          <w:p w14:paraId="02AB6072">
            <w:pPr>
              <w:pStyle w:val="28"/>
              <w:bidi w:val="0"/>
            </w:pPr>
            <w:r>
              <w:rPr>
                <w:rFonts w:hint="eastAsia"/>
              </w:rPr>
              <w:t>76</w:t>
            </w:r>
          </w:p>
        </w:tc>
        <w:tc>
          <w:tcPr>
            <w:tcW w:w="504" w:type="pct"/>
            <w:shd w:val="clear" w:color="auto" w:fill="FFFFFF"/>
            <w:vAlign w:val="center"/>
          </w:tcPr>
          <w:p w14:paraId="38C35E55">
            <w:pPr>
              <w:pStyle w:val="28"/>
              <w:bidi w:val="0"/>
            </w:pPr>
            <w:r>
              <w:rPr>
                <w:rFonts w:hint="eastAsia"/>
              </w:rPr>
              <w:t>23</w:t>
            </w:r>
          </w:p>
        </w:tc>
        <w:tc>
          <w:tcPr>
            <w:tcW w:w="424" w:type="pct"/>
            <w:shd w:val="clear" w:color="auto" w:fill="FFFFFF"/>
            <w:vAlign w:val="center"/>
          </w:tcPr>
          <w:p w14:paraId="392B6E54">
            <w:pPr>
              <w:pStyle w:val="28"/>
              <w:bidi w:val="0"/>
            </w:pPr>
            <w:r>
              <w:rPr>
                <w:rFonts w:hint="eastAsia"/>
              </w:rPr>
              <w:t>1.2</w:t>
            </w:r>
          </w:p>
        </w:tc>
        <w:tc>
          <w:tcPr>
            <w:tcW w:w="481" w:type="pct"/>
            <w:shd w:val="clear" w:color="auto" w:fill="FFFFFF"/>
            <w:vAlign w:val="center"/>
          </w:tcPr>
          <w:p w14:paraId="73E9FFF3">
            <w:pPr>
              <w:pStyle w:val="28"/>
              <w:bidi w:val="0"/>
            </w:pPr>
            <w:r>
              <w:t>昼间</w:t>
            </w:r>
          </w:p>
        </w:tc>
        <w:tc>
          <w:tcPr>
            <w:tcW w:w="1043" w:type="pct"/>
            <w:shd w:val="clear" w:color="auto" w:fill="FFFFFF"/>
            <w:vAlign w:val="center"/>
          </w:tcPr>
          <w:p w14:paraId="02B34C71">
            <w:pPr>
              <w:pStyle w:val="28"/>
              <w:bidi w:val="0"/>
            </w:pPr>
            <w:r>
              <w:t>4</w:t>
            </w:r>
            <w:r>
              <w:rPr>
                <w:rFonts w:hint="eastAsia"/>
              </w:rPr>
              <w:t>2</w:t>
            </w:r>
            <w:r>
              <w:t>.6</w:t>
            </w:r>
          </w:p>
        </w:tc>
        <w:tc>
          <w:tcPr>
            <w:tcW w:w="741" w:type="pct"/>
            <w:shd w:val="clear" w:color="auto" w:fill="FFFFFF"/>
            <w:vAlign w:val="center"/>
          </w:tcPr>
          <w:p w14:paraId="5173A7CE">
            <w:pPr>
              <w:pStyle w:val="28"/>
              <w:bidi w:val="0"/>
            </w:pPr>
            <w:r>
              <w:rPr>
                <w:rFonts w:hint="eastAsia"/>
              </w:rPr>
              <w:t>55</w:t>
            </w:r>
          </w:p>
        </w:tc>
      </w:tr>
      <w:tr w14:paraId="15900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32B37B2E">
            <w:pPr>
              <w:pStyle w:val="28"/>
              <w:bidi w:val="0"/>
            </w:pPr>
          </w:p>
        </w:tc>
        <w:tc>
          <w:tcPr>
            <w:tcW w:w="651" w:type="pct"/>
            <w:vMerge w:val="continue"/>
            <w:shd w:val="clear" w:color="auto" w:fill="FFFFFF"/>
            <w:vAlign w:val="center"/>
          </w:tcPr>
          <w:p w14:paraId="15851662">
            <w:pPr>
              <w:pStyle w:val="28"/>
              <w:bidi w:val="0"/>
            </w:pPr>
          </w:p>
        </w:tc>
        <w:tc>
          <w:tcPr>
            <w:tcW w:w="504" w:type="pct"/>
            <w:shd w:val="clear" w:color="auto" w:fill="FFFFFF"/>
            <w:vAlign w:val="center"/>
          </w:tcPr>
          <w:p w14:paraId="4206DCFB">
            <w:pPr>
              <w:pStyle w:val="28"/>
              <w:bidi w:val="0"/>
            </w:pPr>
            <w:r>
              <w:rPr>
                <w:rFonts w:hint="eastAsia"/>
              </w:rPr>
              <w:t>76</w:t>
            </w:r>
          </w:p>
        </w:tc>
        <w:tc>
          <w:tcPr>
            <w:tcW w:w="504" w:type="pct"/>
            <w:shd w:val="clear" w:color="auto" w:fill="FFFFFF"/>
            <w:vAlign w:val="center"/>
          </w:tcPr>
          <w:p w14:paraId="72A7A650">
            <w:pPr>
              <w:pStyle w:val="28"/>
              <w:bidi w:val="0"/>
            </w:pPr>
            <w:r>
              <w:rPr>
                <w:rFonts w:hint="eastAsia"/>
              </w:rPr>
              <w:t>23</w:t>
            </w:r>
          </w:p>
        </w:tc>
        <w:tc>
          <w:tcPr>
            <w:tcW w:w="424" w:type="pct"/>
            <w:shd w:val="clear" w:color="auto" w:fill="FFFFFF"/>
            <w:vAlign w:val="center"/>
          </w:tcPr>
          <w:p w14:paraId="17F68C97">
            <w:pPr>
              <w:pStyle w:val="28"/>
              <w:bidi w:val="0"/>
            </w:pPr>
            <w:r>
              <w:rPr>
                <w:rFonts w:hint="eastAsia"/>
              </w:rPr>
              <w:t>1.2</w:t>
            </w:r>
          </w:p>
        </w:tc>
        <w:tc>
          <w:tcPr>
            <w:tcW w:w="481" w:type="pct"/>
            <w:shd w:val="clear" w:color="auto" w:fill="FFFFFF"/>
            <w:vAlign w:val="center"/>
          </w:tcPr>
          <w:p w14:paraId="67431A45">
            <w:pPr>
              <w:pStyle w:val="28"/>
              <w:bidi w:val="0"/>
            </w:pPr>
            <w:r>
              <w:t>夜间</w:t>
            </w:r>
          </w:p>
        </w:tc>
        <w:tc>
          <w:tcPr>
            <w:tcW w:w="1043" w:type="pct"/>
            <w:shd w:val="clear" w:color="auto" w:fill="FFFFFF"/>
            <w:vAlign w:val="center"/>
          </w:tcPr>
          <w:p w14:paraId="654872AF">
            <w:pPr>
              <w:pStyle w:val="28"/>
              <w:bidi w:val="0"/>
            </w:pPr>
            <w:r>
              <w:t>4</w:t>
            </w:r>
            <w:r>
              <w:rPr>
                <w:rFonts w:hint="eastAsia"/>
              </w:rPr>
              <w:t>2</w:t>
            </w:r>
            <w:r>
              <w:t>.6</w:t>
            </w:r>
          </w:p>
        </w:tc>
        <w:tc>
          <w:tcPr>
            <w:tcW w:w="741" w:type="pct"/>
            <w:shd w:val="clear" w:color="auto" w:fill="FFFFFF"/>
            <w:vAlign w:val="center"/>
          </w:tcPr>
          <w:p w14:paraId="05C74E70">
            <w:pPr>
              <w:pStyle w:val="28"/>
              <w:bidi w:val="0"/>
            </w:pPr>
            <w:r>
              <w:rPr>
                <w:rFonts w:hint="eastAsia"/>
              </w:rPr>
              <w:t>45</w:t>
            </w:r>
          </w:p>
        </w:tc>
      </w:tr>
      <w:tr w14:paraId="64AA8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7520A08E">
            <w:pPr>
              <w:pStyle w:val="28"/>
              <w:bidi w:val="0"/>
            </w:pPr>
          </w:p>
        </w:tc>
        <w:tc>
          <w:tcPr>
            <w:tcW w:w="651" w:type="pct"/>
            <w:vMerge w:val="restart"/>
            <w:shd w:val="clear" w:color="auto" w:fill="FFFFFF"/>
            <w:vAlign w:val="center"/>
          </w:tcPr>
          <w:p w14:paraId="25AF26A5">
            <w:pPr>
              <w:pStyle w:val="28"/>
              <w:bidi w:val="0"/>
            </w:pPr>
            <w:r>
              <w:t>南侧</w:t>
            </w:r>
          </w:p>
        </w:tc>
        <w:tc>
          <w:tcPr>
            <w:tcW w:w="504" w:type="pct"/>
            <w:shd w:val="clear" w:color="auto" w:fill="FFFFFF"/>
            <w:vAlign w:val="center"/>
          </w:tcPr>
          <w:p w14:paraId="6BAF5A90">
            <w:pPr>
              <w:pStyle w:val="28"/>
              <w:bidi w:val="0"/>
            </w:pPr>
            <w:r>
              <w:rPr>
                <w:rFonts w:hint="eastAsia"/>
              </w:rPr>
              <w:t>38</w:t>
            </w:r>
          </w:p>
        </w:tc>
        <w:tc>
          <w:tcPr>
            <w:tcW w:w="504" w:type="pct"/>
            <w:shd w:val="clear" w:color="auto" w:fill="FFFFFF"/>
            <w:vAlign w:val="center"/>
          </w:tcPr>
          <w:p w14:paraId="6EFD1968">
            <w:pPr>
              <w:pStyle w:val="28"/>
              <w:bidi w:val="0"/>
            </w:pPr>
            <w:r>
              <w:rPr>
                <w:rFonts w:hint="eastAsia"/>
              </w:rPr>
              <w:t>0</w:t>
            </w:r>
          </w:p>
        </w:tc>
        <w:tc>
          <w:tcPr>
            <w:tcW w:w="424" w:type="pct"/>
            <w:shd w:val="clear" w:color="auto" w:fill="FFFFFF"/>
            <w:vAlign w:val="center"/>
          </w:tcPr>
          <w:p w14:paraId="6D84979A">
            <w:pPr>
              <w:pStyle w:val="28"/>
              <w:bidi w:val="0"/>
            </w:pPr>
            <w:r>
              <w:rPr>
                <w:rFonts w:hint="eastAsia"/>
              </w:rPr>
              <w:t>1.2</w:t>
            </w:r>
          </w:p>
        </w:tc>
        <w:tc>
          <w:tcPr>
            <w:tcW w:w="481" w:type="pct"/>
            <w:shd w:val="clear" w:color="auto" w:fill="FFFFFF"/>
            <w:vAlign w:val="center"/>
          </w:tcPr>
          <w:p w14:paraId="7F63EF0B">
            <w:pPr>
              <w:pStyle w:val="28"/>
              <w:bidi w:val="0"/>
            </w:pPr>
            <w:r>
              <w:t>昼间</w:t>
            </w:r>
          </w:p>
        </w:tc>
        <w:tc>
          <w:tcPr>
            <w:tcW w:w="1043" w:type="pct"/>
            <w:shd w:val="clear" w:color="auto" w:fill="FFFFFF"/>
            <w:vAlign w:val="center"/>
          </w:tcPr>
          <w:p w14:paraId="3E88D030">
            <w:pPr>
              <w:pStyle w:val="28"/>
              <w:bidi w:val="0"/>
            </w:pPr>
            <w:r>
              <w:t>4</w:t>
            </w:r>
            <w:r>
              <w:rPr>
                <w:rFonts w:hint="eastAsia"/>
              </w:rPr>
              <w:t>3</w:t>
            </w:r>
            <w:r>
              <w:t>.0</w:t>
            </w:r>
          </w:p>
        </w:tc>
        <w:tc>
          <w:tcPr>
            <w:tcW w:w="1443" w:type="dxa"/>
            <w:shd w:val="clear" w:color="auto" w:fill="FFFFFF"/>
            <w:vAlign w:val="center"/>
          </w:tcPr>
          <w:p w14:paraId="559BA6DF">
            <w:pPr>
              <w:pStyle w:val="28"/>
              <w:bidi w:val="0"/>
            </w:pPr>
            <w:r>
              <w:rPr>
                <w:rFonts w:hint="eastAsia"/>
              </w:rPr>
              <w:t>55</w:t>
            </w:r>
          </w:p>
        </w:tc>
      </w:tr>
      <w:tr w14:paraId="18E0B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196CF12A">
            <w:pPr>
              <w:pStyle w:val="28"/>
              <w:bidi w:val="0"/>
            </w:pPr>
          </w:p>
        </w:tc>
        <w:tc>
          <w:tcPr>
            <w:tcW w:w="651" w:type="pct"/>
            <w:vMerge w:val="continue"/>
            <w:shd w:val="clear" w:color="auto" w:fill="FFFFFF"/>
            <w:vAlign w:val="center"/>
          </w:tcPr>
          <w:p w14:paraId="7F9FD4AB">
            <w:pPr>
              <w:pStyle w:val="28"/>
              <w:bidi w:val="0"/>
            </w:pPr>
          </w:p>
        </w:tc>
        <w:tc>
          <w:tcPr>
            <w:tcW w:w="504" w:type="pct"/>
            <w:shd w:val="clear" w:color="auto" w:fill="FFFFFF"/>
            <w:vAlign w:val="center"/>
          </w:tcPr>
          <w:p w14:paraId="706F394C">
            <w:pPr>
              <w:pStyle w:val="28"/>
              <w:bidi w:val="0"/>
            </w:pPr>
            <w:r>
              <w:rPr>
                <w:rFonts w:hint="eastAsia"/>
              </w:rPr>
              <w:t>38</w:t>
            </w:r>
          </w:p>
        </w:tc>
        <w:tc>
          <w:tcPr>
            <w:tcW w:w="504" w:type="pct"/>
            <w:shd w:val="clear" w:color="auto" w:fill="FFFFFF"/>
            <w:vAlign w:val="center"/>
          </w:tcPr>
          <w:p w14:paraId="441F4FC9">
            <w:pPr>
              <w:pStyle w:val="28"/>
              <w:bidi w:val="0"/>
            </w:pPr>
            <w:r>
              <w:rPr>
                <w:rFonts w:hint="eastAsia"/>
              </w:rPr>
              <w:t>0</w:t>
            </w:r>
          </w:p>
        </w:tc>
        <w:tc>
          <w:tcPr>
            <w:tcW w:w="424" w:type="pct"/>
            <w:shd w:val="clear" w:color="auto" w:fill="FFFFFF"/>
            <w:vAlign w:val="center"/>
          </w:tcPr>
          <w:p w14:paraId="48EC7805">
            <w:pPr>
              <w:pStyle w:val="28"/>
              <w:bidi w:val="0"/>
            </w:pPr>
            <w:r>
              <w:rPr>
                <w:rFonts w:hint="eastAsia"/>
              </w:rPr>
              <w:t>1.2</w:t>
            </w:r>
          </w:p>
        </w:tc>
        <w:tc>
          <w:tcPr>
            <w:tcW w:w="481" w:type="pct"/>
            <w:shd w:val="clear" w:color="auto" w:fill="FFFFFF"/>
            <w:vAlign w:val="center"/>
          </w:tcPr>
          <w:p w14:paraId="520AB641">
            <w:pPr>
              <w:pStyle w:val="28"/>
              <w:bidi w:val="0"/>
            </w:pPr>
            <w:r>
              <w:t>夜间</w:t>
            </w:r>
          </w:p>
        </w:tc>
        <w:tc>
          <w:tcPr>
            <w:tcW w:w="1043" w:type="pct"/>
            <w:shd w:val="clear" w:color="auto" w:fill="FFFFFF"/>
            <w:vAlign w:val="center"/>
          </w:tcPr>
          <w:p w14:paraId="1F836AF6">
            <w:pPr>
              <w:pStyle w:val="28"/>
              <w:bidi w:val="0"/>
            </w:pPr>
            <w:r>
              <w:t>4</w:t>
            </w:r>
            <w:r>
              <w:rPr>
                <w:rFonts w:hint="eastAsia"/>
              </w:rPr>
              <w:t>3</w:t>
            </w:r>
            <w:r>
              <w:t>.0</w:t>
            </w:r>
          </w:p>
        </w:tc>
        <w:tc>
          <w:tcPr>
            <w:tcW w:w="1443" w:type="dxa"/>
            <w:shd w:val="clear" w:color="auto" w:fill="FFFFFF"/>
            <w:vAlign w:val="center"/>
          </w:tcPr>
          <w:p w14:paraId="22CF6423">
            <w:pPr>
              <w:pStyle w:val="28"/>
              <w:bidi w:val="0"/>
            </w:pPr>
            <w:r>
              <w:rPr>
                <w:rFonts w:hint="eastAsia"/>
              </w:rPr>
              <w:t>45</w:t>
            </w:r>
          </w:p>
        </w:tc>
      </w:tr>
      <w:tr w14:paraId="41B88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4CE75680">
            <w:pPr>
              <w:pStyle w:val="28"/>
              <w:bidi w:val="0"/>
            </w:pPr>
          </w:p>
        </w:tc>
        <w:tc>
          <w:tcPr>
            <w:tcW w:w="651" w:type="pct"/>
            <w:vMerge w:val="restart"/>
            <w:shd w:val="clear" w:color="auto" w:fill="FFFFFF"/>
            <w:vAlign w:val="center"/>
          </w:tcPr>
          <w:p w14:paraId="6BC9EF83">
            <w:pPr>
              <w:pStyle w:val="28"/>
              <w:bidi w:val="0"/>
            </w:pPr>
            <w:r>
              <w:t>西侧</w:t>
            </w:r>
          </w:p>
        </w:tc>
        <w:tc>
          <w:tcPr>
            <w:tcW w:w="504" w:type="pct"/>
            <w:shd w:val="clear" w:color="auto" w:fill="FFFFFF"/>
            <w:vAlign w:val="center"/>
          </w:tcPr>
          <w:p w14:paraId="397DABE7">
            <w:pPr>
              <w:pStyle w:val="28"/>
              <w:bidi w:val="0"/>
            </w:pPr>
            <w:r>
              <w:rPr>
                <w:rFonts w:hint="eastAsia"/>
              </w:rPr>
              <w:t>-1</w:t>
            </w:r>
          </w:p>
        </w:tc>
        <w:tc>
          <w:tcPr>
            <w:tcW w:w="504" w:type="pct"/>
            <w:shd w:val="clear" w:color="auto" w:fill="FFFFFF"/>
            <w:vAlign w:val="center"/>
          </w:tcPr>
          <w:p w14:paraId="4163A8F5">
            <w:pPr>
              <w:pStyle w:val="28"/>
              <w:bidi w:val="0"/>
            </w:pPr>
            <w:r>
              <w:rPr>
                <w:rFonts w:hint="eastAsia"/>
              </w:rPr>
              <w:t>23</w:t>
            </w:r>
          </w:p>
        </w:tc>
        <w:tc>
          <w:tcPr>
            <w:tcW w:w="424" w:type="pct"/>
            <w:shd w:val="clear" w:color="auto" w:fill="FFFFFF"/>
            <w:vAlign w:val="center"/>
          </w:tcPr>
          <w:p w14:paraId="7D08E536">
            <w:pPr>
              <w:pStyle w:val="28"/>
              <w:bidi w:val="0"/>
            </w:pPr>
            <w:r>
              <w:rPr>
                <w:rFonts w:hint="eastAsia"/>
              </w:rPr>
              <w:t>1.2</w:t>
            </w:r>
          </w:p>
        </w:tc>
        <w:tc>
          <w:tcPr>
            <w:tcW w:w="481" w:type="pct"/>
            <w:shd w:val="clear" w:color="auto" w:fill="FFFFFF"/>
            <w:vAlign w:val="center"/>
          </w:tcPr>
          <w:p w14:paraId="1F243397">
            <w:pPr>
              <w:pStyle w:val="28"/>
              <w:bidi w:val="0"/>
            </w:pPr>
            <w:r>
              <w:t>昼间</w:t>
            </w:r>
          </w:p>
        </w:tc>
        <w:tc>
          <w:tcPr>
            <w:tcW w:w="1043" w:type="pct"/>
            <w:shd w:val="clear" w:color="auto" w:fill="FFFFFF"/>
            <w:vAlign w:val="center"/>
          </w:tcPr>
          <w:p w14:paraId="78609D1E">
            <w:pPr>
              <w:pStyle w:val="28"/>
              <w:bidi w:val="0"/>
            </w:pPr>
            <w:r>
              <w:t>4</w:t>
            </w:r>
            <w:r>
              <w:rPr>
                <w:rFonts w:hint="eastAsia"/>
              </w:rPr>
              <w:t>0</w:t>
            </w:r>
            <w:r>
              <w:t>.7</w:t>
            </w:r>
          </w:p>
        </w:tc>
        <w:tc>
          <w:tcPr>
            <w:tcW w:w="1443" w:type="dxa"/>
            <w:shd w:val="clear" w:color="auto" w:fill="FFFFFF"/>
            <w:vAlign w:val="center"/>
          </w:tcPr>
          <w:p w14:paraId="37188B04">
            <w:pPr>
              <w:pStyle w:val="28"/>
              <w:bidi w:val="0"/>
            </w:pPr>
            <w:r>
              <w:rPr>
                <w:rFonts w:hint="eastAsia"/>
              </w:rPr>
              <w:t>55</w:t>
            </w:r>
          </w:p>
        </w:tc>
      </w:tr>
      <w:tr w14:paraId="01786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7C958DB4">
            <w:pPr>
              <w:pStyle w:val="28"/>
              <w:bidi w:val="0"/>
            </w:pPr>
          </w:p>
        </w:tc>
        <w:tc>
          <w:tcPr>
            <w:tcW w:w="651" w:type="pct"/>
            <w:vMerge w:val="continue"/>
            <w:shd w:val="clear" w:color="auto" w:fill="FFFFFF"/>
            <w:vAlign w:val="center"/>
          </w:tcPr>
          <w:p w14:paraId="77CCD2D5">
            <w:pPr>
              <w:pStyle w:val="28"/>
              <w:bidi w:val="0"/>
            </w:pPr>
          </w:p>
        </w:tc>
        <w:tc>
          <w:tcPr>
            <w:tcW w:w="504" w:type="pct"/>
            <w:shd w:val="clear" w:color="auto" w:fill="FFFFFF"/>
            <w:vAlign w:val="center"/>
          </w:tcPr>
          <w:p w14:paraId="5DB6ED24">
            <w:pPr>
              <w:pStyle w:val="28"/>
              <w:bidi w:val="0"/>
            </w:pPr>
            <w:r>
              <w:rPr>
                <w:rFonts w:hint="eastAsia"/>
              </w:rPr>
              <w:t>-1</w:t>
            </w:r>
          </w:p>
        </w:tc>
        <w:tc>
          <w:tcPr>
            <w:tcW w:w="504" w:type="pct"/>
            <w:shd w:val="clear" w:color="auto" w:fill="FFFFFF"/>
            <w:vAlign w:val="center"/>
          </w:tcPr>
          <w:p w14:paraId="0B21C38D">
            <w:pPr>
              <w:pStyle w:val="28"/>
              <w:bidi w:val="0"/>
            </w:pPr>
            <w:r>
              <w:rPr>
                <w:rFonts w:hint="eastAsia"/>
              </w:rPr>
              <w:t>23</w:t>
            </w:r>
          </w:p>
        </w:tc>
        <w:tc>
          <w:tcPr>
            <w:tcW w:w="424" w:type="pct"/>
            <w:shd w:val="clear" w:color="auto" w:fill="FFFFFF"/>
            <w:vAlign w:val="center"/>
          </w:tcPr>
          <w:p w14:paraId="6C3C66E2">
            <w:pPr>
              <w:pStyle w:val="28"/>
              <w:bidi w:val="0"/>
            </w:pPr>
            <w:r>
              <w:rPr>
                <w:rFonts w:hint="eastAsia"/>
              </w:rPr>
              <w:t>1.2</w:t>
            </w:r>
          </w:p>
        </w:tc>
        <w:tc>
          <w:tcPr>
            <w:tcW w:w="481" w:type="pct"/>
            <w:shd w:val="clear" w:color="auto" w:fill="FFFFFF"/>
            <w:vAlign w:val="center"/>
          </w:tcPr>
          <w:p w14:paraId="234DD23F">
            <w:pPr>
              <w:pStyle w:val="28"/>
              <w:bidi w:val="0"/>
            </w:pPr>
            <w:r>
              <w:t>夜间</w:t>
            </w:r>
          </w:p>
        </w:tc>
        <w:tc>
          <w:tcPr>
            <w:tcW w:w="1043" w:type="pct"/>
            <w:shd w:val="clear" w:color="auto" w:fill="FFFFFF"/>
            <w:vAlign w:val="center"/>
          </w:tcPr>
          <w:p w14:paraId="448548D9">
            <w:pPr>
              <w:pStyle w:val="28"/>
              <w:bidi w:val="0"/>
            </w:pPr>
            <w:r>
              <w:t>4</w:t>
            </w:r>
            <w:r>
              <w:rPr>
                <w:rFonts w:hint="eastAsia"/>
              </w:rPr>
              <w:t>0</w:t>
            </w:r>
            <w:r>
              <w:t>.7</w:t>
            </w:r>
          </w:p>
        </w:tc>
        <w:tc>
          <w:tcPr>
            <w:tcW w:w="1443" w:type="dxa"/>
            <w:shd w:val="clear" w:color="auto" w:fill="FFFFFF"/>
            <w:vAlign w:val="center"/>
          </w:tcPr>
          <w:p w14:paraId="34DCF593">
            <w:pPr>
              <w:pStyle w:val="28"/>
              <w:bidi w:val="0"/>
            </w:pPr>
            <w:r>
              <w:rPr>
                <w:rFonts w:hint="eastAsia"/>
              </w:rPr>
              <w:t>45</w:t>
            </w:r>
          </w:p>
        </w:tc>
      </w:tr>
      <w:tr w14:paraId="126AD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52DFD95C">
            <w:pPr>
              <w:pStyle w:val="28"/>
              <w:bidi w:val="0"/>
            </w:pPr>
          </w:p>
        </w:tc>
        <w:tc>
          <w:tcPr>
            <w:tcW w:w="651" w:type="pct"/>
            <w:vMerge w:val="restart"/>
            <w:shd w:val="clear" w:color="auto" w:fill="FFFFFF"/>
            <w:vAlign w:val="center"/>
          </w:tcPr>
          <w:p w14:paraId="7090E730">
            <w:pPr>
              <w:pStyle w:val="28"/>
              <w:bidi w:val="0"/>
            </w:pPr>
            <w:r>
              <w:t>北侧</w:t>
            </w:r>
          </w:p>
        </w:tc>
        <w:tc>
          <w:tcPr>
            <w:tcW w:w="504" w:type="pct"/>
            <w:shd w:val="clear" w:color="auto" w:fill="FFFFFF"/>
            <w:vAlign w:val="center"/>
          </w:tcPr>
          <w:p w14:paraId="696CAB18">
            <w:pPr>
              <w:pStyle w:val="28"/>
              <w:bidi w:val="0"/>
            </w:pPr>
            <w:r>
              <w:rPr>
                <w:rFonts w:hint="eastAsia"/>
              </w:rPr>
              <w:t>38</w:t>
            </w:r>
          </w:p>
        </w:tc>
        <w:tc>
          <w:tcPr>
            <w:tcW w:w="504" w:type="pct"/>
            <w:shd w:val="clear" w:color="auto" w:fill="FFFFFF"/>
            <w:vAlign w:val="center"/>
          </w:tcPr>
          <w:p w14:paraId="1942BA91">
            <w:pPr>
              <w:pStyle w:val="28"/>
              <w:bidi w:val="0"/>
            </w:pPr>
            <w:r>
              <w:rPr>
                <w:rFonts w:hint="eastAsia"/>
              </w:rPr>
              <w:t>56</w:t>
            </w:r>
          </w:p>
        </w:tc>
        <w:tc>
          <w:tcPr>
            <w:tcW w:w="424" w:type="pct"/>
            <w:shd w:val="clear" w:color="auto" w:fill="FFFFFF"/>
            <w:vAlign w:val="center"/>
          </w:tcPr>
          <w:p w14:paraId="5E4BDD10">
            <w:pPr>
              <w:pStyle w:val="28"/>
              <w:bidi w:val="0"/>
            </w:pPr>
            <w:r>
              <w:rPr>
                <w:rFonts w:hint="eastAsia"/>
              </w:rPr>
              <w:t>1.2</w:t>
            </w:r>
          </w:p>
        </w:tc>
        <w:tc>
          <w:tcPr>
            <w:tcW w:w="481" w:type="pct"/>
            <w:shd w:val="clear" w:color="auto" w:fill="FFFFFF"/>
            <w:vAlign w:val="center"/>
          </w:tcPr>
          <w:p w14:paraId="144FF831">
            <w:pPr>
              <w:pStyle w:val="28"/>
              <w:bidi w:val="0"/>
            </w:pPr>
            <w:r>
              <w:t>昼间</w:t>
            </w:r>
          </w:p>
        </w:tc>
        <w:tc>
          <w:tcPr>
            <w:tcW w:w="1043" w:type="pct"/>
            <w:shd w:val="clear" w:color="auto" w:fill="FFFFFF"/>
            <w:vAlign w:val="center"/>
          </w:tcPr>
          <w:p w14:paraId="62D00AE5">
            <w:pPr>
              <w:pStyle w:val="28"/>
              <w:bidi w:val="0"/>
            </w:pPr>
            <w:r>
              <w:t>4</w:t>
            </w:r>
            <w:r>
              <w:rPr>
                <w:rFonts w:hint="eastAsia"/>
              </w:rPr>
              <w:t>4</w:t>
            </w:r>
            <w:r>
              <w:t>.0</w:t>
            </w:r>
          </w:p>
        </w:tc>
        <w:tc>
          <w:tcPr>
            <w:tcW w:w="1443" w:type="dxa"/>
            <w:shd w:val="clear" w:color="auto" w:fill="FFFFFF"/>
            <w:vAlign w:val="center"/>
          </w:tcPr>
          <w:p w14:paraId="1EC5A847">
            <w:pPr>
              <w:pStyle w:val="28"/>
              <w:bidi w:val="0"/>
            </w:pPr>
            <w:r>
              <w:rPr>
                <w:rFonts w:hint="eastAsia"/>
              </w:rPr>
              <w:t>55</w:t>
            </w:r>
          </w:p>
        </w:tc>
      </w:tr>
      <w:tr w14:paraId="62C05B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1A0EF5A0">
            <w:pPr>
              <w:pStyle w:val="28"/>
              <w:bidi w:val="0"/>
            </w:pPr>
          </w:p>
        </w:tc>
        <w:tc>
          <w:tcPr>
            <w:tcW w:w="651" w:type="pct"/>
            <w:vMerge w:val="continue"/>
            <w:shd w:val="clear" w:color="auto" w:fill="FFFFFF"/>
            <w:vAlign w:val="center"/>
          </w:tcPr>
          <w:p w14:paraId="4E2124BA">
            <w:pPr>
              <w:pStyle w:val="28"/>
              <w:bidi w:val="0"/>
            </w:pPr>
          </w:p>
        </w:tc>
        <w:tc>
          <w:tcPr>
            <w:tcW w:w="504" w:type="pct"/>
            <w:shd w:val="clear" w:color="auto" w:fill="FFFFFF"/>
            <w:vAlign w:val="center"/>
          </w:tcPr>
          <w:p w14:paraId="1E8BC657">
            <w:pPr>
              <w:pStyle w:val="28"/>
              <w:bidi w:val="0"/>
            </w:pPr>
            <w:r>
              <w:rPr>
                <w:rFonts w:hint="eastAsia"/>
              </w:rPr>
              <w:t>38</w:t>
            </w:r>
          </w:p>
        </w:tc>
        <w:tc>
          <w:tcPr>
            <w:tcW w:w="504" w:type="pct"/>
            <w:shd w:val="clear" w:color="auto" w:fill="FFFFFF"/>
            <w:vAlign w:val="center"/>
          </w:tcPr>
          <w:p w14:paraId="7D9009B5">
            <w:pPr>
              <w:pStyle w:val="28"/>
              <w:bidi w:val="0"/>
            </w:pPr>
            <w:r>
              <w:rPr>
                <w:rFonts w:hint="eastAsia"/>
              </w:rPr>
              <w:t>56</w:t>
            </w:r>
          </w:p>
        </w:tc>
        <w:tc>
          <w:tcPr>
            <w:tcW w:w="424" w:type="pct"/>
            <w:shd w:val="clear" w:color="auto" w:fill="FFFFFF"/>
            <w:vAlign w:val="center"/>
          </w:tcPr>
          <w:p w14:paraId="0508F547">
            <w:pPr>
              <w:pStyle w:val="28"/>
              <w:bidi w:val="0"/>
            </w:pPr>
            <w:r>
              <w:rPr>
                <w:rFonts w:hint="eastAsia"/>
              </w:rPr>
              <w:t>1.2</w:t>
            </w:r>
          </w:p>
        </w:tc>
        <w:tc>
          <w:tcPr>
            <w:tcW w:w="481" w:type="pct"/>
            <w:shd w:val="clear" w:color="auto" w:fill="FFFFFF"/>
            <w:vAlign w:val="center"/>
          </w:tcPr>
          <w:p w14:paraId="7AF5E978">
            <w:pPr>
              <w:pStyle w:val="28"/>
              <w:bidi w:val="0"/>
            </w:pPr>
            <w:r>
              <w:t>夜间</w:t>
            </w:r>
          </w:p>
        </w:tc>
        <w:tc>
          <w:tcPr>
            <w:tcW w:w="1043" w:type="pct"/>
            <w:shd w:val="clear" w:color="auto" w:fill="FFFFFF"/>
            <w:vAlign w:val="center"/>
          </w:tcPr>
          <w:p w14:paraId="0E8EF5F8">
            <w:pPr>
              <w:pStyle w:val="28"/>
              <w:bidi w:val="0"/>
            </w:pPr>
            <w:r>
              <w:t>4</w:t>
            </w:r>
            <w:r>
              <w:rPr>
                <w:rFonts w:hint="eastAsia"/>
              </w:rPr>
              <w:t>4</w:t>
            </w:r>
            <w:r>
              <w:t>.0</w:t>
            </w:r>
          </w:p>
        </w:tc>
        <w:tc>
          <w:tcPr>
            <w:tcW w:w="1443" w:type="dxa"/>
            <w:shd w:val="clear" w:color="auto" w:fill="FFFFFF"/>
            <w:vAlign w:val="center"/>
          </w:tcPr>
          <w:p w14:paraId="3F86904B">
            <w:pPr>
              <w:pStyle w:val="28"/>
              <w:bidi w:val="0"/>
            </w:pPr>
            <w:r>
              <w:rPr>
                <w:rFonts w:hint="eastAsia"/>
              </w:rPr>
              <w:t>45</w:t>
            </w:r>
          </w:p>
        </w:tc>
      </w:tr>
      <w:tr w14:paraId="23BB5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restart"/>
            <w:shd w:val="clear" w:color="auto" w:fill="FFFFFF"/>
            <w:vAlign w:val="center"/>
          </w:tcPr>
          <w:p w14:paraId="1D29A3DC">
            <w:pPr>
              <w:pStyle w:val="28"/>
              <w:bidi w:val="0"/>
            </w:pPr>
            <w:r>
              <w:t>二级泵站</w:t>
            </w:r>
          </w:p>
        </w:tc>
        <w:tc>
          <w:tcPr>
            <w:tcW w:w="651" w:type="pct"/>
            <w:vMerge w:val="restart"/>
            <w:shd w:val="clear" w:color="auto" w:fill="FFFFFF"/>
            <w:vAlign w:val="center"/>
          </w:tcPr>
          <w:p w14:paraId="5789F3DC">
            <w:pPr>
              <w:pStyle w:val="28"/>
              <w:bidi w:val="0"/>
            </w:pPr>
            <w:r>
              <w:t>东侧</w:t>
            </w:r>
          </w:p>
        </w:tc>
        <w:tc>
          <w:tcPr>
            <w:tcW w:w="504" w:type="pct"/>
            <w:shd w:val="clear" w:color="auto" w:fill="FFFFFF"/>
            <w:vAlign w:val="center"/>
          </w:tcPr>
          <w:p w14:paraId="3B207E95">
            <w:pPr>
              <w:pStyle w:val="28"/>
              <w:bidi w:val="0"/>
            </w:pPr>
            <w:r>
              <w:rPr>
                <w:rFonts w:hint="eastAsia"/>
              </w:rPr>
              <w:t>482</w:t>
            </w:r>
          </w:p>
        </w:tc>
        <w:tc>
          <w:tcPr>
            <w:tcW w:w="504" w:type="pct"/>
            <w:shd w:val="clear" w:color="auto" w:fill="FFFFFF"/>
            <w:vAlign w:val="center"/>
          </w:tcPr>
          <w:p w14:paraId="3369E058">
            <w:pPr>
              <w:pStyle w:val="28"/>
              <w:bidi w:val="0"/>
            </w:pPr>
            <w:r>
              <w:rPr>
                <w:rFonts w:hint="eastAsia"/>
              </w:rPr>
              <w:t>-1460</w:t>
            </w:r>
          </w:p>
        </w:tc>
        <w:tc>
          <w:tcPr>
            <w:tcW w:w="424" w:type="pct"/>
            <w:shd w:val="clear" w:color="auto" w:fill="FFFFFF"/>
            <w:vAlign w:val="center"/>
          </w:tcPr>
          <w:p w14:paraId="1970081D">
            <w:pPr>
              <w:pStyle w:val="28"/>
              <w:bidi w:val="0"/>
            </w:pPr>
            <w:r>
              <w:rPr>
                <w:rFonts w:hint="eastAsia"/>
              </w:rPr>
              <w:t>1.2</w:t>
            </w:r>
          </w:p>
        </w:tc>
        <w:tc>
          <w:tcPr>
            <w:tcW w:w="481" w:type="pct"/>
            <w:shd w:val="clear" w:color="auto" w:fill="FFFFFF"/>
            <w:vAlign w:val="center"/>
          </w:tcPr>
          <w:p w14:paraId="2B66F845">
            <w:pPr>
              <w:pStyle w:val="28"/>
              <w:bidi w:val="0"/>
            </w:pPr>
            <w:r>
              <w:t>昼间</w:t>
            </w:r>
          </w:p>
        </w:tc>
        <w:tc>
          <w:tcPr>
            <w:tcW w:w="1043" w:type="pct"/>
            <w:shd w:val="clear" w:color="auto" w:fill="FFFFFF"/>
            <w:vAlign w:val="center"/>
          </w:tcPr>
          <w:p w14:paraId="16629153">
            <w:pPr>
              <w:pStyle w:val="28"/>
              <w:bidi w:val="0"/>
            </w:pPr>
            <w:r>
              <w:t>4</w:t>
            </w:r>
            <w:r>
              <w:rPr>
                <w:rFonts w:hint="eastAsia"/>
              </w:rPr>
              <w:t>3</w:t>
            </w:r>
            <w:r>
              <w:t>.1</w:t>
            </w:r>
          </w:p>
        </w:tc>
        <w:tc>
          <w:tcPr>
            <w:tcW w:w="1443" w:type="dxa"/>
            <w:shd w:val="clear" w:color="auto" w:fill="FFFFFF"/>
            <w:vAlign w:val="center"/>
          </w:tcPr>
          <w:p w14:paraId="7E8E263D">
            <w:pPr>
              <w:pStyle w:val="28"/>
              <w:bidi w:val="0"/>
            </w:pPr>
            <w:r>
              <w:rPr>
                <w:rFonts w:hint="eastAsia"/>
              </w:rPr>
              <w:t>55</w:t>
            </w:r>
          </w:p>
        </w:tc>
      </w:tr>
      <w:tr w14:paraId="66BFB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13A79B5E">
            <w:pPr>
              <w:pStyle w:val="28"/>
              <w:bidi w:val="0"/>
            </w:pPr>
          </w:p>
        </w:tc>
        <w:tc>
          <w:tcPr>
            <w:tcW w:w="651" w:type="pct"/>
            <w:vMerge w:val="continue"/>
            <w:shd w:val="clear" w:color="auto" w:fill="FFFFFF"/>
            <w:vAlign w:val="center"/>
          </w:tcPr>
          <w:p w14:paraId="1768B2E0">
            <w:pPr>
              <w:pStyle w:val="28"/>
              <w:bidi w:val="0"/>
            </w:pPr>
          </w:p>
        </w:tc>
        <w:tc>
          <w:tcPr>
            <w:tcW w:w="504" w:type="pct"/>
            <w:shd w:val="clear" w:color="auto" w:fill="FFFFFF"/>
            <w:vAlign w:val="center"/>
          </w:tcPr>
          <w:p w14:paraId="5A42C517">
            <w:pPr>
              <w:pStyle w:val="28"/>
              <w:bidi w:val="0"/>
            </w:pPr>
            <w:r>
              <w:rPr>
                <w:rFonts w:hint="eastAsia"/>
              </w:rPr>
              <w:t>482</w:t>
            </w:r>
          </w:p>
        </w:tc>
        <w:tc>
          <w:tcPr>
            <w:tcW w:w="504" w:type="pct"/>
            <w:shd w:val="clear" w:color="auto" w:fill="FFFFFF"/>
            <w:vAlign w:val="center"/>
          </w:tcPr>
          <w:p w14:paraId="02B143A3">
            <w:pPr>
              <w:pStyle w:val="28"/>
              <w:bidi w:val="0"/>
            </w:pPr>
            <w:r>
              <w:rPr>
                <w:rFonts w:hint="eastAsia"/>
              </w:rPr>
              <w:t>-1460</w:t>
            </w:r>
          </w:p>
        </w:tc>
        <w:tc>
          <w:tcPr>
            <w:tcW w:w="424" w:type="pct"/>
            <w:shd w:val="clear" w:color="auto" w:fill="FFFFFF"/>
            <w:vAlign w:val="center"/>
          </w:tcPr>
          <w:p w14:paraId="419AD65E">
            <w:pPr>
              <w:pStyle w:val="28"/>
              <w:bidi w:val="0"/>
            </w:pPr>
            <w:r>
              <w:rPr>
                <w:rFonts w:hint="eastAsia"/>
              </w:rPr>
              <w:t>1.2</w:t>
            </w:r>
          </w:p>
        </w:tc>
        <w:tc>
          <w:tcPr>
            <w:tcW w:w="481" w:type="pct"/>
            <w:shd w:val="clear" w:color="auto" w:fill="FFFFFF"/>
            <w:vAlign w:val="center"/>
          </w:tcPr>
          <w:p w14:paraId="6A967C97">
            <w:pPr>
              <w:pStyle w:val="28"/>
              <w:bidi w:val="0"/>
            </w:pPr>
            <w:r>
              <w:t>夜间</w:t>
            </w:r>
          </w:p>
        </w:tc>
        <w:tc>
          <w:tcPr>
            <w:tcW w:w="1043" w:type="pct"/>
            <w:shd w:val="clear" w:color="auto" w:fill="FFFFFF"/>
            <w:vAlign w:val="center"/>
          </w:tcPr>
          <w:p w14:paraId="1F17A625">
            <w:pPr>
              <w:pStyle w:val="28"/>
              <w:bidi w:val="0"/>
            </w:pPr>
            <w:r>
              <w:t>4</w:t>
            </w:r>
            <w:r>
              <w:rPr>
                <w:rFonts w:hint="eastAsia"/>
              </w:rPr>
              <w:t>3</w:t>
            </w:r>
            <w:r>
              <w:t>.1</w:t>
            </w:r>
          </w:p>
        </w:tc>
        <w:tc>
          <w:tcPr>
            <w:tcW w:w="1443" w:type="dxa"/>
            <w:shd w:val="clear" w:color="auto" w:fill="FFFFFF"/>
            <w:vAlign w:val="center"/>
          </w:tcPr>
          <w:p w14:paraId="4476BEBF">
            <w:pPr>
              <w:pStyle w:val="28"/>
              <w:bidi w:val="0"/>
            </w:pPr>
            <w:r>
              <w:rPr>
                <w:rFonts w:hint="eastAsia"/>
              </w:rPr>
              <w:t>45</w:t>
            </w:r>
          </w:p>
        </w:tc>
      </w:tr>
      <w:tr w14:paraId="7BE43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06C6D7A3">
            <w:pPr>
              <w:pStyle w:val="28"/>
              <w:bidi w:val="0"/>
            </w:pPr>
          </w:p>
        </w:tc>
        <w:tc>
          <w:tcPr>
            <w:tcW w:w="651" w:type="pct"/>
            <w:vMerge w:val="restart"/>
            <w:shd w:val="clear" w:color="auto" w:fill="FFFFFF"/>
            <w:vAlign w:val="center"/>
          </w:tcPr>
          <w:p w14:paraId="1E6F4303">
            <w:pPr>
              <w:pStyle w:val="28"/>
              <w:bidi w:val="0"/>
            </w:pPr>
            <w:r>
              <w:t>南侧</w:t>
            </w:r>
          </w:p>
        </w:tc>
        <w:tc>
          <w:tcPr>
            <w:tcW w:w="504" w:type="pct"/>
            <w:shd w:val="clear" w:color="auto" w:fill="FFFFFF"/>
            <w:vAlign w:val="center"/>
          </w:tcPr>
          <w:p w14:paraId="2F12E8E3">
            <w:pPr>
              <w:pStyle w:val="28"/>
              <w:bidi w:val="0"/>
            </w:pPr>
            <w:r>
              <w:rPr>
                <w:rFonts w:hint="eastAsia"/>
              </w:rPr>
              <w:t>488</w:t>
            </w:r>
          </w:p>
        </w:tc>
        <w:tc>
          <w:tcPr>
            <w:tcW w:w="504" w:type="pct"/>
            <w:shd w:val="clear" w:color="auto" w:fill="FFFFFF"/>
            <w:vAlign w:val="center"/>
          </w:tcPr>
          <w:p w14:paraId="190BE939">
            <w:pPr>
              <w:pStyle w:val="28"/>
              <w:bidi w:val="0"/>
            </w:pPr>
            <w:r>
              <w:rPr>
                <w:rFonts w:hint="eastAsia"/>
              </w:rPr>
              <w:t>-1465</w:t>
            </w:r>
          </w:p>
        </w:tc>
        <w:tc>
          <w:tcPr>
            <w:tcW w:w="424" w:type="pct"/>
            <w:shd w:val="clear" w:color="auto" w:fill="FFFFFF"/>
            <w:vAlign w:val="center"/>
          </w:tcPr>
          <w:p w14:paraId="7D7B3FD9">
            <w:pPr>
              <w:pStyle w:val="28"/>
              <w:bidi w:val="0"/>
            </w:pPr>
            <w:r>
              <w:rPr>
                <w:rFonts w:hint="eastAsia"/>
              </w:rPr>
              <w:t>1.2</w:t>
            </w:r>
          </w:p>
        </w:tc>
        <w:tc>
          <w:tcPr>
            <w:tcW w:w="481" w:type="pct"/>
            <w:shd w:val="clear" w:color="auto" w:fill="FFFFFF"/>
            <w:vAlign w:val="center"/>
          </w:tcPr>
          <w:p w14:paraId="7965CFBF">
            <w:pPr>
              <w:pStyle w:val="28"/>
              <w:bidi w:val="0"/>
            </w:pPr>
            <w:r>
              <w:t>昼间</w:t>
            </w:r>
          </w:p>
        </w:tc>
        <w:tc>
          <w:tcPr>
            <w:tcW w:w="1043" w:type="pct"/>
            <w:shd w:val="clear" w:color="auto" w:fill="FFFFFF"/>
            <w:vAlign w:val="center"/>
          </w:tcPr>
          <w:p w14:paraId="52492DE6">
            <w:pPr>
              <w:pStyle w:val="28"/>
              <w:bidi w:val="0"/>
            </w:pPr>
            <w:r>
              <w:t>4</w:t>
            </w:r>
            <w:r>
              <w:rPr>
                <w:rFonts w:hint="eastAsia"/>
              </w:rPr>
              <w:t>3</w:t>
            </w:r>
            <w:r>
              <w:t>.</w:t>
            </w:r>
            <w:r>
              <w:rPr>
                <w:rFonts w:hint="eastAsia"/>
              </w:rPr>
              <w:t>7</w:t>
            </w:r>
          </w:p>
        </w:tc>
        <w:tc>
          <w:tcPr>
            <w:tcW w:w="1443" w:type="dxa"/>
            <w:shd w:val="clear" w:color="auto" w:fill="FFFFFF"/>
            <w:vAlign w:val="center"/>
          </w:tcPr>
          <w:p w14:paraId="6D491C2F">
            <w:pPr>
              <w:pStyle w:val="28"/>
              <w:bidi w:val="0"/>
            </w:pPr>
            <w:r>
              <w:rPr>
                <w:rFonts w:hint="eastAsia"/>
              </w:rPr>
              <w:t>55</w:t>
            </w:r>
          </w:p>
        </w:tc>
      </w:tr>
      <w:tr w14:paraId="32A501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35312089">
            <w:pPr>
              <w:pStyle w:val="28"/>
              <w:bidi w:val="0"/>
            </w:pPr>
          </w:p>
        </w:tc>
        <w:tc>
          <w:tcPr>
            <w:tcW w:w="651" w:type="pct"/>
            <w:vMerge w:val="continue"/>
            <w:shd w:val="clear" w:color="auto" w:fill="FFFFFF"/>
            <w:vAlign w:val="center"/>
          </w:tcPr>
          <w:p w14:paraId="04B97AB8">
            <w:pPr>
              <w:pStyle w:val="28"/>
              <w:bidi w:val="0"/>
            </w:pPr>
          </w:p>
        </w:tc>
        <w:tc>
          <w:tcPr>
            <w:tcW w:w="504" w:type="pct"/>
            <w:shd w:val="clear" w:color="auto" w:fill="FFFFFF"/>
            <w:vAlign w:val="center"/>
          </w:tcPr>
          <w:p w14:paraId="65028A0A">
            <w:pPr>
              <w:pStyle w:val="28"/>
              <w:bidi w:val="0"/>
            </w:pPr>
            <w:r>
              <w:rPr>
                <w:rFonts w:hint="eastAsia"/>
              </w:rPr>
              <w:t>488</w:t>
            </w:r>
          </w:p>
        </w:tc>
        <w:tc>
          <w:tcPr>
            <w:tcW w:w="504" w:type="pct"/>
            <w:shd w:val="clear" w:color="auto" w:fill="FFFFFF"/>
            <w:vAlign w:val="center"/>
          </w:tcPr>
          <w:p w14:paraId="39E29295">
            <w:pPr>
              <w:pStyle w:val="28"/>
              <w:bidi w:val="0"/>
            </w:pPr>
            <w:r>
              <w:rPr>
                <w:rFonts w:hint="eastAsia"/>
              </w:rPr>
              <w:t>-1465</w:t>
            </w:r>
          </w:p>
        </w:tc>
        <w:tc>
          <w:tcPr>
            <w:tcW w:w="424" w:type="pct"/>
            <w:shd w:val="clear" w:color="auto" w:fill="FFFFFF"/>
            <w:vAlign w:val="center"/>
          </w:tcPr>
          <w:p w14:paraId="7D429463">
            <w:pPr>
              <w:pStyle w:val="28"/>
              <w:bidi w:val="0"/>
            </w:pPr>
            <w:r>
              <w:rPr>
                <w:rFonts w:hint="eastAsia"/>
              </w:rPr>
              <w:t>1.2</w:t>
            </w:r>
          </w:p>
        </w:tc>
        <w:tc>
          <w:tcPr>
            <w:tcW w:w="481" w:type="pct"/>
            <w:shd w:val="clear" w:color="auto" w:fill="FFFFFF"/>
            <w:vAlign w:val="center"/>
          </w:tcPr>
          <w:p w14:paraId="63E5426B">
            <w:pPr>
              <w:pStyle w:val="28"/>
              <w:bidi w:val="0"/>
            </w:pPr>
            <w:r>
              <w:t>夜间</w:t>
            </w:r>
          </w:p>
        </w:tc>
        <w:tc>
          <w:tcPr>
            <w:tcW w:w="1043" w:type="pct"/>
            <w:shd w:val="clear" w:color="auto" w:fill="FFFFFF"/>
            <w:vAlign w:val="center"/>
          </w:tcPr>
          <w:p w14:paraId="01A47939">
            <w:pPr>
              <w:pStyle w:val="28"/>
              <w:bidi w:val="0"/>
            </w:pPr>
            <w:r>
              <w:t>4</w:t>
            </w:r>
            <w:r>
              <w:rPr>
                <w:rFonts w:hint="eastAsia"/>
              </w:rPr>
              <w:t>3</w:t>
            </w:r>
            <w:r>
              <w:t>.</w:t>
            </w:r>
            <w:r>
              <w:rPr>
                <w:rFonts w:hint="eastAsia"/>
              </w:rPr>
              <w:t>7</w:t>
            </w:r>
          </w:p>
        </w:tc>
        <w:tc>
          <w:tcPr>
            <w:tcW w:w="1443" w:type="dxa"/>
            <w:shd w:val="clear" w:color="auto" w:fill="FFFFFF"/>
            <w:vAlign w:val="center"/>
          </w:tcPr>
          <w:p w14:paraId="75D95698">
            <w:pPr>
              <w:pStyle w:val="28"/>
              <w:bidi w:val="0"/>
            </w:pPr>
            <w:r>
              <w:rPr>
                <w:rFonts w:hint="eastAsia"/>
              </w:rPr>
              <w:t>45</w:t>
            </w:r>
          </w:p>
        </w:tc>
      </w:tr>
      <w:tr w14:paraId="009A1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79A3BE0D">
            <w:pPr>
              <w:pStyle w:val="28"/>
              <w:bidi w:val="0"/>
            </w:pPr>
          </w:p>
        </w:tc>
        <w:tc>
          <w:tcPr>
            <w:tcW w:w="651" w:type="pct"/>
            <w:vMerge w:val="restart"/>
            <w:shd w:val="clear" w:color="auto" w:fill="FFFFFF"/>
            <w:vAlign w:val="center"/>
          </w:tcPr>
          <w:p w14:paraId="740658B2">
            <w:pPr>
              <w:pStyle w:val="28"/>
              <w:bidi w:val="0"/>
            </w:pPr>
            <w:r>
              <w:t>西侧</w:t>
            </w:r>
          </w:p>
        </w:tc>
        <w:tc>
          <w:tcPr>
            <w:tcW w:w="504" w:type="pct"/>
            <w:shd w:val="clear" w:color="auto" w:fill="FFFFFF"/>
            <w:vAlign w:val="center"/>
          </w:tcPr>
          <w:p w14:paraId="78F8ACFC">
            <w:pPr>
              <w:pStyle w:val="28"/>
              <w:bidi w:val="0"/>
            </w:pPr>
            <w:r>
              <w:rPr>
                <w:rFonts w:hint="eastAsia"/>
              </w:rPr>
              <w:t>482</w:t>
            </w:r>
          </w:p>
        </w:tc>
        <w:tc>
          <w:tcPr>
            <w:tcW w:w="504" w:type="pct"/>
            <w:shd w:val="clear" w:color="auto" w:fill="FFFFFF"/>
            <w:vAlign w:val="center"/>
          </w:tcPr>
          <w:p w14:paraId="6B4978E6">
            <w:pPr>
              <w:pStyle w:val="28"/>
              <w:bidi w:val="0"/>
            </w:pPr>
            <w:r>
              <w:rPr>
                <w:rFonts w:hint="eastAsia"/>
              </w:rPr>
              <w:t>-1460</w:t>
            </w:r>
          </w:p>
        </w:tc>
        <w:tc>
          <w:tcPr>
            <w:tcW w:w="424" w:type="pct"/>
            <w:shd w:val="clear" w:color="auto" w:fill="FFFFFF"/>
            <w:vAlign w:val="center"/>
          </w:tcPr>
          <w:p w14:paraId="7EEE0056">
            <w:pPr>
              <w:pStyle w:val="28"/>
              <w:bidi w:val="0"/>
            </w:pPr>
            <w:r>
              <w:rPr>
                <w:rFonts w:hint="eastAsia"/>
              </w:rPr>
              <w:t>1.2</w:t>
            </w:r>
          </w:p>
        </w:tc>
        <w:tc>
          <w:tcPr>
            <w:tcW w:w="481" w:type="pct"/>
            <w:shd w:val="clear" w:color="auto" w:fill="FFFFFF"/>
            <w:vAlign w:val="center"/>
          </w:tcPr>
          <w:p w14:paraId="2E536C87">
            <w:pPr>
              <w:pStyle w:val="28"/>
              <w:bidi w:val="0"/>
            </w:pPr>
            <w:r>
              <w:t>昼间</w:t>
            </w:r>
          </w:p>
        </w:tc>
        <w:tc>
          <w:tcPr>
            <w:tcW w:w="1043" w:type="pct"/>
            <w:shd w:val="clear" w:color="auto" w:fill="FFFFFF"/>
            <w:vAlign w:val="center"/>
          </w:tcPr>
          <w:p w14:paraId="447439FB">
            <w:pPr>
              <w:pStyle w:val="28"/>
              <w:bidi w:val="0"/>
            </w:pPr>
            <w:r>
              <w:t>4</w:t>
            </w:r>
            <w:r>
              <w:rPr>
                <w:rFonts w:hint="eastAsia"/>
              </w:rPr>
              <w:t>1</w:t>
            </w:r>
            <w:r>
              <w:t>.0</w:t>
            </w:r>
          </w:p>
        </w:tc>
        <w:tc>
          <w:tcPr>
            <w:tcW w:w="1443" w:type="dxa"/>
            <w:shd w:val="clear" w:color="auto" w:fill="FFFFFF"/>
            <w:vAlign w:val="center"/>
          </w:tcPr>
          <w:p w14:paraId="2E0167F9">
            <w:pPr>
              <w:pStyle w:val="28"/>
              <w:bidi w:val="0"/>
            </w:pPr>
            <w:r>
              <w:rPr>
                <w:rFonts w:hint="eastAsia"/>
              </w:rPr>
              <w:t>55</w:t>
            </w:r>
          </w:p>
        </w:tc>
      </w:tr>
      <w:tr w14:paraId="584F19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089BE9F2">
            <w:pPr>
              <w:pStyle w:val="28"/>
              <w:bidi w:val="0"/>
            </w:pPr>
          </w:p>
        </w:tc>
        <w:tc>
          <w:tcPr>
            <w:tcW w:w="651" w:type="pct"/>
            <w:vMerge w:val="continue"/>
            <w:shd w:val="clear" w:color="auto" w:fill="FFFFFF"/>
            <w:vAlign w:val="center"/>
          </w:tcPr>
          <w:p w14:paraId="3938F750">
            <w:pPr>
              <w:pStyle w:val="28"/>
              <w:bidi w:val="0"/>
            </w:pPr>
          </w:p>
        </w:tc>
        <w:tc>
          <w:tcPr>
            <w:tcW w:w="504" w:type="pct"/>
            <w:shd w:val="clear" w:color="auto" w:fill="FFFFFF"/>
            <w:vAlign w:val="center"/>
          </w:tcPr>
          <w:p w14:paraId="5F5FC1E7">
            <w:pPr>
              <w:pStyle w:val="28"/>
              <w:bidi w:val="0"/>
            </w:pPr>
            <w:r>
              <w:rPr>
                <w:rFonts w:hint="eastAsia"/>
              </w:rPr>
              <w:t>482</w:t>
            </w:r>
          </w:p>
        </w:tc>
        <w:tc>
          <w:tcPr>
            <w:tcW w:w="504" w:type="pct"/>
            <w:shd w:val="clear" w:color="auto" w:fill="FFFFFF"/>
            <w:vAlign w:val="center"/>
          </w:tcPr>
          <w:p w14:paraId="6D18592F">
            <w:pPr>
              <w:pStyle w:val="28"/>
              <w:bidi w:val="0"/>
            </w:pPr>
            <w:r>
              <w:rPr>
                <w:rFonts w:hint="eastAsia"/>
              </w:rPr>
              <w:t>-1460</w:t>
            </w:r>
          </w:p>
        </w:tc>
        <w:tc>
          <w:tcPr>
            <w:tcW w:w="424" w:type="pct"/>
            <w:shd w:val="clear" w:color="auto" w:fill="FFFFFF"/>
            <w:vAlign w:val="center"/>
          </w:tcPr>
          <w:p w14:paraId="5202E837">
            <w:pPr>
              <w:pStyle w:val="28"/>
              <w:bidi w:val="0"/>
            </w:pPr>
            <w:r>
              <w:rPr>
                <w:rFonts w:hint="eastAsia"/>
              </w:rPr>
              <w:t>1.2</w:t>
            </w:r>
          </w:p>
        </w:tc>
        <w:tc>
          <w:tcPr>
            <w:tcW w:w="481" w:type="pct"/>
            <w:shd w:val="clear" w:color="auto" w:fill="FFFFFF"/>
            <w:vAlign w:val="center"/>
          </w:tcPr>
          <w:p w14:paraId="416E1235">
            <w:pPr>
              <w:pStyle w:val="28"/>
              <w:bidi w:val="0"/>
            </w:pPr>
            <w:r>
              <w:t>夜间</w:t>
            </w:r>
          </w:p>
        </w:tc>
        <w:tc>
          <w:tcPr>
            <w:tcW w:w="1043" w:type="pct"/>
            <w:shd w:val="clear" w:color="auto" w:fill="FFFFFF"/>
            <w:vAlign w:val="center"/>
          </w:tcPr>
          <w:p w14:paraId="72BEE2E0">
            <w:pPr>
              <w:pStyle w:val="28"/>
              <w:bidi w:val="0"/>
            </w:pPr>
            <w:r>
              <w:t>4</w:t>
            </w:r>
            <w:r>
              <w:rPr>
                <w:rFonts w:hint="eastAsia"/>
              </w:rPr>
              <w:t>1</w:t>
            </w:r>
            <w:r>
              <w:t>.0</w:t>
            </w:r>
          </w:p>
        </w:tc>
        <w:tc>
          <w:tcPr>
            <w:tcW w:w="1443" w:type="dxa"/>
            <w:shd w:val="clear" w:color="auto" w:fill="FFFFFF"/>
            <w:vAlign w:val="center"/>
          </w:tcPr>
          <w:p w14:paraId="369C607A">
            <w:pPr>
              <w:pStyle w:val="28"/>
              <w:bidi w:val="0"/>
            </w:pPr>
            <w:r>
              <w:rPr>
                <w:rFonts w:hint="eastAsia"/>
              </w:rPr>
              <w:t>45</w:t>
            </w:r>
          </w:p>
        </w:tc>
      </w:tr>
      <w:tr w14:paraId="13D1D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4194A945">
            <w:pPr>
              <w:pStyle w:val="28"/>
              <w:bidi w:val="0"/>
            </w:pPr>
          </w:p>
        </w:tc>
        <w:tc>
          <w:tcPr>
            <w:tcW w:w="651" w:type="pct"/>
            <w:vMerge w:val="restart"/>
            <w:shd w:val="clear" w:color="auto" w:fill="FFFFFF"/>
            <w:vAlign w:val="center"/>
          </w:tcPr>
          <w:p w14:paraId="332E489F">
            <w:pPr>
              <w:pStyle w:val="28"/>
              <w:bidi w:val="0"/>
            </w:pPr>
            <w:r>
              <w:t>北侧</w:t>
            </w:r>
          </w:p>
        </w:tc>
        <w:tc>
          <w:tcPr>
            <w:tcW w:w="504" w:type="pct"/>
            <w:shd w:val="clear" w:color="auto" w:fill="FFFFFF"/>
            <w:vAlign w:val="center"/>
          </w:tcPr>
          <w:p w14:paraId="55CBDADE">
            <w:pPr>
              <w:pStyle w:val="28"/>
              <w:bidi w:val="0"/>
            </w:pPr>
            <w:r>
              <w:rPr>
                <w:rFonts w:hint="eastAsia"/>
              </w:rPr>
              <w:t>480</w:t>
            </w:r>
          </w:p>
        </w:tc>
        <w:tc>
          <w:tcPr>
            <w:tcW w:w="504" w:type="pct"/>
            <w:shd w:val="clear" w:color="auto" w:fill="FFFFFF"/>
            <w:vAlign w:val="center"/>
          </w:tcPr>
          <w:p w14:paraId="79FB5C3A">
            <w:pPr>
              <w:pStyle w:val="28"/>
              <w:bidi w:val="0"/>
            </w:pPr>
            <w:r>
              <w:rPr>
                <w:rFonts w:hint="eastAsia"/>
              </w:rPr>
              <w:t>-1465</w:t>
            </w:r>
          </w:p>
        </w:tc>
        <w:tc>
          <w:tcPr>
            <w:tcW w:w="424" w:type="pct"/>
            <w:shd w:val="clear" w:color="auto" w:fill="FFFFFF"/>
            <w:vAlign w:val="center"/>
          </w:tcPr>
          <w:p w14:paraId="27919368">
            <w:pPr>
              <w:pStyle w:val="28"/>
              <w:bidi w:val="0"/>
            </w:pPr>
            <w:r>
              <w:rPr>
                <w:rFonts w:hint="eastAsia"/>
              </w:rPr>
              <w:t>1.2</w:t>
            </w:r>
          </w:p>
        </w:tc>
        <w:tc>
          <w:tcPr>
            <w:tcW w:w="481" w:type="pct"/>
            <w:shd w:val="clear" w:color="auto" w:fill="FFFFFF"/>
            <w:vAlign w:val="center"/>
          </w:tcPr>
          <w:p w14:paraId="1950A8F8">
            <w:pPr>
              <w:pStyle w:val="28"/>
              <w:bidi w:val="0"/>
            </w:pPr>
            <w:r>
              <w:t>昼间</w:t>
            </w:r>
          </w:p>
        </w:tc>
        <w:tc>
          <w:tcPr>
            <w:tcW w:w="1043" w:type="pct"/>
            <w:shd w:val="clear" w:color="auto" w:fill="FFFFFF"/>
            <w:vAlign w:val="center"/>
          </w:tcPr>
          <w:p w14:paraId="15030894">
            <w:pPr>
              <w:pStyle w:val="28"/>
              <w:bidi w:val="0"/>
            </w:pPr>
            <w:r>
              <w:t>4</w:t>
            </w:r>
            <w:r>
              <w:rPr>
                <w:rFonts w:hint="eastAsia"/>
              </w:rPr>
              <w:t>4</w:t>
            </w:r>
            <w:r>
              <w:t>.0</w:t>
            </w:r>
          </w:p>
        </w:tc>
        <w:tc>
          <w:tcPr>
            <w:tcW w:w="1443" w:type="dxa"/>
            <w:shd w:val="clear" w:color="auto" w:fill="FFFFFF"/>
            <w:vAlign w:val="center"/>
          </w:tcPr>
          <w:p w14:paraId="5B185E6E">
            <w:pPr>
              <w:pStyle w:val="28"/>
              <w:bidi w:val="0"/>
            </w:pPr>
            <w:r>
              <w:rPr>
                <w:rFonts w:hint="eastAsia"/>
              </w:rPr>
              <w:t>55</w:t>
            </w:r>
          </w:p>
        </w:tc>
      </w:tr>
      <w:tr w14:paraId="4DD9B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shd w:val="clear" w:color="auto" w:fill="FFFFFF"/>
            <w:vAlign w:val="center"/>
          </w:tcPr>
          <w:p w14:paraId="0F948909">
            <w:pPr>
              <w:pStyle w:val="28"/>
              <w:bidi w:val="0"/>
            </w:pPr>
          </w:p>
        </w:tc>
        <w:tc>
          <w:tcPr>
            <w:tcW w:w="651" w:type="pct"/>
            <w:vMerge w:val="continue"/>
            <w:shd w:val="clear" w:color="auto" w:fill="FFFFFF"/>
            <w:vAlign w:val="center"/>
          </w:tcPr>
          <w:p w14:paraId="43432626">
            <w:pPr>
              <w:pStyle w:val="28"/>
              <w:bidi w:val="0"/>
            </w:pPr>
          </w:p>
        </w:tc>
        <w:tc>
          <w:tcPr>
            <w:tcW w:w="504" w:type="pct"/>
            <w:shd w:val="clear" w:color="auto" w:fill="FFFFFF"/>
            <w:vAlign w:val="center"/>
          </w:tcPr>
          <w:p w14:paraId="37194884">
            <w:pPr>
              <w:pStyle w:val="28"/>
              <w:bidi w:val="0"/>
            </w:pPr>
            <w:r>
              <w:rPr>
                <w:rFonts w:hint="eastAsia"/>
              </w:rPr>
              <w:t>480</w:t>
            </w:r>
          </w:p>
        </w:tc>
        <w:tc>
          <w:tcPr>
            <w:tcW w:w="504" w:type="pct"/>
            <w:shd w:val="clear" w:color="auto" w:fill="FFFFFF"/>
            <w:vAlign w:val="center"/>
          </w:tcPr>
          <w:p w14:paraId="6F51F3F4">
            <w:pPr>
              <w:pStyle w:val="28"/>
              <w:bidi w:val="0"/>
            </w:pPr>
            <w:r>
              <w:rPr>
                <w:rFonts w:hint="eastAsia"/>
              </w:rPr>
              <w:t>-1465</w:t>
            </w:r>
          </w:p>
        </w:tc>
        <w:tc>
          <w:tcPr>
            <w:tcW w:w="424" w:type="pct"/>
            <w:shd w:val="clear" w:color="auto" w:fill="FFFFFF"/>
            <w:vAlign w:val="center"/>
          </w:tcPr>
          <w:p w14:paraId="72AA8382">
            <w:pPr>
              <w:pStyle w:val="28"/>
              <w:bidi w:val="0"/>
            </w:pPr>
            <w:r>
              <w:rPr>
                <w:rFonts w:hint="eastAsia"/>
              </w:rPr>
              <w:t>1.2</w:t>
            </w:r>
          </w:p>
        </w:tc>
        <w:tc>
          <w:tcPr>
            <w:tcW w:w="481" w:type="pct"/>
            <w:shd w:val="clear" w:color="auto" w:fill="FFFFFF"/>
            <w:vAlign w:val="center"/>
          </w:tcPr>
          <w:p w14:paraId="6C409F5B">
            <w:pPr>
              <w:pStyle w:val="28"/>
              <w:bidi w:val="0"/>
            </w:pPr>
            <w:r>
              <w:t>夜间</w:t>
            </w:r>
          </w:p>
        </w:tc>
        <w:tc>
          <w:tcPr>
            <w:tcW w:w="1043" w:type="pct"/>
            <w:shd w:val="clear" w:color="auto" w:fill="FFFFFF"/>
            <w:vAlign w:val="center"/>
          </w:tcPr>
          <w:p w14:paraId="34AE0333">
            <w:pPr>
              <w:pStyle w:val="28"/>
              <w:bidi w:val="0"/>
            </w:pPr>
            <w:r>
              <w:t>4</w:t>
            </w:r>
            <w:r>
              <w:rPr>
                <w:rFonts w:hint="eastAsia"/>
              </w:rPr>
              <w:t>4</w:t>
            </w:r>
            <w:r>
              <w:t>.0</w:t>
            </w:r>
          </w:p>
        </w:tc>
        <w:tc>
          <w:tcPr>
            <w:tcW w:w="1443" w:type="dxa"/>
            <w:shd w:val="clear" w:color="auto" w:fill="FFFFFF"/>
            <w:vAlign w:val="center"/>
          </w:tcPr>
          <w:p w14:paraId="3FA14EEA">
            <w:pPr>
              <w:pStyle w:val="28"/>
              <w:bidi w:val="0"/>
            </w:pPr>
            <w:r>
              <w:rPr>
                <w:rFonts w:hint="eastAsia"/>
              </w:rPr>
              <w:t>45</w:t>
            </w:r>
          </w:p>
        </w:tc>
      </w:tr>
    </w:tbl>
    <w:p w14:paraId="53998A00">
      <w:pPr>
        <w:ind w:firstLine="480" w:firstLineChars="200"/>
        <w:rPr>
          <w:rFonts w:cs="Times New Roman"/>
          <w:color w:val="0000FF"/>
        </w:rPr>
      </w:pPr>
    </w:p>
    <w:p w14:paraId="38BFA49E">
      <w:pPr>
        <w:ind w:firstLine="480" w:firstLineChars="200"/>
        <w:rPr>
          <w:rFonts w:cs="Times New Roman"/>
          <w:color w:val="0000FF"/>
        </w:rPr>
      </w:pPr>
      <w:r>
        <w:rPr>
          <w:rFonts w:cs="Times New Roman"/>
          <w:color w:val="0000FF"/>
        </w:rPr>
        <w:t>考虑到厂区附近声环境敏感点的分布情况以及</w:t>
      </w:r>
      <w:r>
        <w:rPr>
          <w:rFonts w:hint="eastAsia" w:cs="Times New Roman"/>
          <w:color w:val="0000FF"/>
        </w:rPr>
        <w:t>泵站内</w:t>
      </w:r>
      <w:r>
        <w:rPr>
          <w:rFonts w:cs="Times New Roman"/>
          <w:color w:val="0000FF"/>
        </w:rPr>
        <w:t>的声源分布情况，项目拟采取以下噪声消减措施：</w:t>
      </w:r>
    </w:p>
    <w:p w14:paraId="279C9D43">
      <w:pPr>
        <w:ind w:firstLine="480" w:firstLineChars="200"/>
        <w:rPr>
          <w:rFonts w:cs="Times New Roman"/>
          <w:color w:val="0000FF"/>
        </w:rPr>
      </w:pPr>
      <w:r>
        <w:rPr>
          <w:rFonts w:cs="Times New Roman"/>
          <w:color w:val="0000FF"/>
        </w:rPr>
        <w:t>①考虑项目</w:t>
      </w:r>
      <w:r>
        <w:rPr>
          <w:rFonts w:hint="eastAsia" w:cs="Times New Roman"/>
          <w:color w:val="0000FF"/>
        </w:rPr>
        <w:t>东</w:t>
      </w:r>
      <w:r>
        <w:rPr>
          <w:rFonts w:cs="Times New Roman"/>
          <w:color w:val="0000FF"/>
        </w:rPr>
        <w:t>侧</w:t>
      </w:r>
      <w:r>
        <w:rPr>
          <w:rFonts w:hint="eastAsia" w:cs="Times New Roman"/>
          <w:color w:val="0000FF"/>
        </w:rPr>
        <w:t>存在小学和土楼村</w:t>
      </w:r>
      <w:r>
        <w:rPr>
          <w:rFonts w:cs="Times New Roman"/>
          <w:color w:val="0000FF"/>
        </w:rPr>
        <w:t>居民，保守考虑在项目</w:t>
      </w:r>
      <w:r>
        <w:rPr>
          <w:rFonts w:hint="eastAsia" w:cs="Times New Roman"/>
          <w:color w:val="0000FF"/>
        </w:rPr>
        <w:t>东</w:t>
      </w:r>
      <w:r>
        <w:rPr>
          <w:rFonts w:cs="Times New Roman"/>
          <w:color w:val="0000FF"/>
        </w:rPr>
        <w:t>侧靠近居民的</w:t>
      </w:r>
      <w:r>
        <w:rPr>
          <w:rFonts w:hint="eastAsia" w:cs="Times New Roman"/>
          <w:color w:val="0000FF"/>
        </w:rPr>
        <w:t>设置</w:t>
      </w:r>
      <w:r>
        <w:rPr>
          <w:rFonts w:cs="Times New Roman"/>
          <w:color w:val="0000FF"/>
        </w:rPr>
        <w:t>围墙，种植一定数量的绿化树木；</w:t>
      </w:r>
    </w:p>
    <w:p w14:paraId="4B29A57C">
      <w:pPr>
        <w:ind w:firstLine="480" w:firstLineChars="200"/>
        <w:rPr>
          <w:color w:val="0000FF"/>
        </w:rPr>
      </w:pPr>
      <w:r>
        <w:rPr>
          <w:color w:val="0000FF"/>
        </w:rPr>
        <w:t>②考虑</w:t>
      </w:r>
      <w:r>
        <w:rPr>
          <w:rFonts w:hint="eastAsia"/>
          <w:color w:val="0000FF"/>
        </w:rPr>
        <w:t>泵站</w:t>
      </w:r>
      <w:r>
        <w:rPr>
          <w:color w:val="0000FF"/>
        </w:rPr>
        <w:t>较小，</w:t>
      </w:r>
      <w:r>
        <w:rPr>
          <w:rFonts w:hint="eastAsia"/>
          <w:color w:val="0000FF"/>
        </w:rPr>
        <w:t>工程潜水</w:t>
      </w:r>
      <w:r>
        <w:rPr>
          <w:color w:val="0000FF"/>
        </w:rPr>
        <w:t>泵</w:t>
      </w:r>
      <w:r>
        <w:rPr>
          <w:rFonts w:hint="eastAsia"/>
          <w:color w:val="0000FF"/>
        </w:rPr>
        <w:t>位于水下，必要时安装</w:t>
      </w:r>
      <w:r>
        <w:rPr>
          <w:color w:val="0000FF"/>
        </w:rPr>
        <w:t>隔声罩</w:t>
      </w:r>
      <w:r>
        <w:rPr>
          <w:rFonts w:hint="eastAsia"/>
          <w:color w:val="0000FF"/>
        </w:rPr>
        <w:t>、</w:t>
      </w:r>
      <w:r>
        <w:rPr>
          <w:color w:val="0000FF"/>
        </w:rPr>
        <w:t>消声器；厂房墙面必要时安装吸声措施。</w:t>
      </w:r>
    </w:p>
    <w:p w14:paraId="3FDA35C7">
      <w:pPr>
        <w:ind w:left="-240" w:right="-240"/>
        <w:rPr>
          <w:rFonts w:cs="Times New Roman"/>
          <w:color w:val="0000FF"/>
        </w:rPr>
      </w:pPr>
      <w:r>
        <w:rPr>
          <w:rFonts w:cs="Times New Roman"/>
          <w:color w:val="0000FF"/>
        </w:rPr>
        <w:t>表</w:t>
      </w:r>
      <w:r>
        <w:rPr>
          <w:rFonts w:hint="eastAsia" w:cs="Times New Roman"/>
          <w:color w:val="0000FF"/>
        </w:rPr>
        <w:t>5-4-10</w:t>
      </w:r>
      <w:r>
        <w:rPr>
          <w:rFonts w:cs="Times New Roman"/>
          <w:color w:val="0000FF"/>
        </w:rPr>
        <w:t xml:space="preserve">  声环境保护目标噪声预测结果统计表    单位：dB（A）</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1237"/>
        <w:gridCol w:w="584"/>
        <w:gridCol w:w="584"/>
        <w:gridCol w:w="584"/>
        <w:gridCol w:w="584"/>
        <w:gridCol w:w="465"/>
        <w:gridCol w:w="469"/>
        <w:gridCol w:w="584"/>
        <w:gridCol w:w="584"/>
        <w:gridCol w:w="584"/>
        <w:gridCol w:w="584"/>
        <w:gridCol w:w="530"/>
        <w:gridCol w:w="530"/>
        <w:gridCol w:w="479"/>
        <w:gridCol w:w="479"/>
      </w:tblGrid>
      <w:tr w14:paraId="41CEA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3" w:type="pct"/>
            <w:vMerge w:val="restart"/>
            <w:vAlign w:val="center"/>
          </w:tcPr>
          <w:p w14:paraId="2DFDAC55">
            <w:pPr>
              <w:pStyle w:val="28"/>
              <w:bidi w:val="0"/>
            </w:pPr>
            <w:r>
              <w:t>序号</w:t>
            </w:r>
          </w:p>
        </w:tc>
        <w:tc>
          <w:tcPr>
            <w:tcW w:w="682" w:type="pct"/>
            <w:vMerge w:val="restart"/>
            <w:vAlign w:val="center"/>
          </w:tcPr>
          <w:p w14:paraId="6C9CABCB">
            <w:pPr>
              <w:pStyle w:val="28"/>
              <w:bidi w:val="0"/>
            </w:pPr>
            <w:r>
              <w:t>声环境保护目标名称</w:t>
            </w:r>
          </w:p>
        </w:tc>
        <w:tc>
          <w:tcPr>
            <w:tcW w:w="603" w:type="pct"/>
            <w:gridSpan w:val="2"/>
            <w:vAlign w:val="center"/>
          </w:tcPr>
          <w:p w14:paraId="1A31F0B2">
            <w:pPr>
              <w:pStyle w:val="28"/>
              <w:bidi w:val="0"/>
            </w:pPr>
            <w:r>
              <w:t>噪声背景值/dB（A）</w:t>
            </w:r>
          </w:p>
        </w:tc>
        <w:tc>
          <w:tcPr>
            <w:tcW w:w="603" w:type="pct"/>
            <w:gridSpan w:val="2"/>
            <w:vAlign w:val="center"/>
          </w:tcPr>
          <w:p w14:paraId="71A026B1">
            <w:pPr>
              <w:pStyle w:val="28"/>
              <w:bidi w:val="0"/>
            </w:pPr>
            <w:r>
              <w:t>噪声现状值/dB（A）</w:t>
            </w:r>
          </w:p>
        </w:tc>
        <w:tc>
          <w:tcPr>
            <w:tcW w:w="536" w:type="pct"/>
            <w:gridSpan w:val="2"/>
            <w:vAlign w:val="center"/>
          </w:tcPr>
          <w:p w14:paraId="1A4FFC3B">
            <w:pPr>
              <w:pStyle w:val="28"/>
              <w:bidi w:val="0"/>
            </w:pPr>
            <w:r>
              <w:t>噪声标准/dB（A）</w:t>
            </w:r>
          </w:p>
        </w:tc>
        <w:tc>
          <w:tcPr>
            <w:tcW w:w="603" w:type="pct"/>
            <w:gridSpan w:val="2"/>
            <w:vAlign w:val="center"/>
          </w:tcPr>
          <w:p w14:paraId="37AF878D">
            <w:pPr>
              <w:pStyle w:val="28"/>
              <w:bidi w:val="0"/>
            </w:pPr>
            <w:r>
              <w:t>噪声贡献值/dB（A）</w:t>
            </w:r>
          </w:p>
        </w:tc>
        <w:tc>
          <w:tcPr>
            <w:tcW w:w="604" w:type="pct"/>
            <w:gridSpan w:val="2"/>
            <w:vAlign w:val="center"/>
          </w:tcPr>
          <w:p w14:paraId="71B0F362">
            <w:pPr>
              <w:pStyle w:val="28"/>
              <w:bidi w:val="0"/>
            </w:pPr>
            <w:r>
              <w:t>噪声预测值/dB（A）</w:t>
            </w:r>
          </w:p>
        </w:tc>
        <w:tc>
          <w:tcPr>
            <w:tcW w:w="604" w:type="pct"/>
            <w:gridSpan w:val="2"/>
            <w:vAlign w:val="center"/>
          </w:tcPr>
          <w:p w14:paraId="7CFD316B">
            <w:pPr>
              <w:pStyle w:val="28"/>
              <w:bidi w:val="0"/>
            </w:pPr>
            <w:r>
              <w:t>较现状增量/dB（A）</w:t>
            </w:r>
          </w:p>
        </w:tc>
        <w:tc>
          <w:tcPr>
            <w:tcW w:w="548" w:type="pct"/>
            <w:gridSpan w:val="2"/>
            <w:vAlign w:val="center"/>
          </w:tcPr>
          <w:p w14:paraId="411E165E">
            <w:pPr>
              <w:pStyle w:val="28"/>
              <w:bidi w:val="0"/>
            </w:pPr>
            <w:r>
              <w:t>超标和达标情况</w:t>
            </w:r>
          </w:p>
        </w:tc>
      </w:tr>
      <w:tr w14:paraId="7B429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3" w:type="pct"/>
            <w:vMerge w:val="continue"/>
            <w:shd w:val="clear" w:color="auto" w:fill="FFFFFF"/>
            <w:vAlign w:val="center"/>
          </w:tcPr>
          <w:p w14:paraId="4AED8288">
            <w:pPr>
              <w:pStyle w:val="28"/>
              <w:bidi w:val="0"/>
            </w:pPr>
          </w:p>
        </w:tc>
        <w:tc>
          <w:tcPr>
            <w:tcW w:w="682" w:type="pct"/>
            <w:vMerge w:val="continue"/>
            <w:shd w:val="clear" w:color="auto" w:fill="FFFFFF"/>
            <w:vAlign w:val="center"/>
          </w:tcPr>
          <w:p w14:paraId="7A615FA0">
            <w:pPr>
              <w:pStyle w:val="28"/>
              <w:bidi w:val="0"/>
            </w:pPr>
          </w:p>
        </w:tc>
        <w:tc>
          <w:tcPr>
            <w:tcW w:w="301" w:type="pct"/>
            <w:shd w:val="clear" w:color="auto" w:fill="FFFFFF"/>
            <w:vAlign w:val="center"/>
          </w:tcPr>
          <w:p w14:paraId="57FD92FF">
            <w:pPr>
              <w:pStyle w:val="28"/>
              <w:bidi w:val="0"/>
            </w:pPr>
            <w:r>
              <w:t>昼间</w:t>
            </w:r>
          </w:p>
        </w:tc>
        <w:tc>
          <w:tcPr>
            <w:tcW w:w="302" w:type="pct"/>
            <w:shd w:val="clear" w:color="auto" w:fill="FFFFFF"/>
            <w:vAlign w:val="center"/>
          </w:tcPr>
          <w:p w14:paraId="64C35647">
            <w:pPr>
              <w:pStyle w:val="28"/>
              <w:bidi w:val="0"/>
            </w:pPr>
            <w:r>
              <w:t>夜间</w:t>
            </w:r>
          </w:p>
        </w:tc>
        <w:tc>
          <w:tcPr>
            <w:tcW w:w="301" w:type="pct"/>
            <w:shd w:val="clear" w:color="auto" w:fill="FFFFFF"/>
            <w:vAlign w:val="center"/>
          </w:tcPr>
          <w:p w14:paraId="10E3A577">
            <w:pPr>
              <w:pStyle w:val="28"/>
              <w:bidi w:val="0"/>
            </w:pPr>
            <w:r>
              <w:t>昼间</w:t>
            </w:r>
          </w:p>
        </w:tc>
        <w:tc>
          <w:tcPr>
            <w:tcW w:w="302" w:type="pct"/>
            <w:shd w:val="clear" w:color="auto" w:fill="FFFFFF"/>
            <w:vAlign w:val="center"/>
          </w:tcPr>
          <w:p w14:paraId="2F662627">
            <w:pPr>
              <w:pStyle w:val="28"/>
              <w:bidi w:val="0"/>
            </w:pPr>
            <w:r>
              <w:t>夜间</w:t>
            </w:r>
          </w:p>
        </w:tc>
        <w:tc>
          <w:tcPr>
            <w:tcW w:w="267" w:type="pct"/>
            <w:shd w:val="clear" w:color="auto" w:fill="FFFFFF"/>
            <w:vAlign w:val="center"/>
          </w:tcPr>
          <w:p w14:paraId="26EA6172">
            <w:pPr>
              <w:pStyle w:val="28"/>
              <w:bidi w:val="0"/>
            </w:pPr>
            <w:r>
              <w:t>昼间</w:t>
            </w:r>
          </w:p>
        </w:tc>
        <w:tc>
          <w:tcPr>
            <w:tcW w:w="269" w:type="pct"/>
            <w:shd w:val="clear" w:color="auto" w:fill="FFFFFF"/>
            <w:vAlign w:val="center"/>
          </w:tcPr>
          <w:p w14:paraId="59E4BC59">
            <w:pPr>
              <w:pStyle w:val="28"/>
              <w:bidi w:val="0"/>
            </w:pPr>
            <w:r>
              <w:t>夜间</w:t>
            </w:r>
          </w:p>
        </w:tc>
        <w:tc>
          <w:tcPr>
            <w:tcW w:w="301" w:type="pct"/>
            <w:shd w:val="clear" w:color="auto" w:fill="FFFFFF"/>
            <w:vAlign w:val="center"/>
          </w:tcPr>
          <w:p w14:paraId="7F194127">
            <w:pPr>
              <w:pStyle w:val="28"/>
              <w:bidi w:val="0"/>
            </w:pPr>
            <w:r>
              <w:t>昼间</w:t>
            </w:r>
          </w:p>
        </w:tc>
        <w:tc>
          <w:tcPr>
            <w:tcW w:w="302" w:type="pct"/>
            <w:shd w:val="clear" w:color="auto" w:fill="FFFFFF"/>
            <w:vAlign w:val="center"/>
          </w:tcPr>
          <w:p w14:paraId="482A0298">
            <w:pPr>
              <w:pStyle w:val="28"/>
              <w:bidi w:val="0"/>
            </w:pPr>
            <w:r>
              <w:t>夜间</w:t>
            </w:r>
          </w:p>
        </w:tc>
        <w:tc>
          <w:tcPr>
            <w:tcW w:w="301" w:type="pct"/>
            <w:shd w:val="clear" w:color="auto" w:fill="FFFFFF"/>
            <w:vAlign w:val="center"/>
          </w:tcPr>
          <w:p w14:paraId="09726064">
            <w:pPr>
              <w:pStyle w:val="28"/>
              <w:bidi w:val="0"/>
            </w:pPr>
            <w:r>
              <w:t>昼间</w:t>
            </w:r>
          </w:p>
        </w:tc>
        <w:tc>
          <w:tcPr>
            <w:tcW w:w="303" w:type="pct"/>
            <w:shd w:val="clear" w:color="auto" w:fill="FFFFFF"/>
            <w:vAlign w:val="center"/>
          </w:tcPr>
          <w:p w14:paraId="4A8D8E4E">
            <w:pPr>
              <w:pStyle w:val="28"/>
              <w:bidi w:val="0"/>
            </w:pPr>
            <w:r>
              <w:t>夜间</w:t>
            </w:r>
          </w:p>
        </w:tc>
        <w:tc>
          <w:tcPr>
            <w:tcW w:w="302" w:type="pct"/>
            <w:tcBorders>
              <w:bottom w:val="single" w:color="auto" w:sz="4" w:space="0"/>
            </w:tcBorders>
            <w:shd w:val="clear" w:color="auto" w:fill="FFFFFF"/>
            <w:vAlign w:val="center"/>
          </w:tcPr>
          <w:p w14:paraId="16E9EF17">
            <w:pPr>
              <w:pStyle w:val="28"/>
              <w:bidi w:val="0"/>
            </w:pPr>
            <w:r>
              <w:t>昼间</w:t>
            </w:r>
          </w:p>
        </w:tc>
        <w:tc>
          <w:tcPr>
            <w:tcW w:w="302" w:type="pct"/>
            <w:tcBorders>
              <w:bottom w:val="single" w:color="auto" w:sz="4" w:space="0"/>
            </w:tcBorders>
            <w:shd w:val="clear" w:color="auto" w:fill="FFFFFF"/>
            <w:vAlign w:val="center"/>
          </w:tcPr>
          <w:p w14:paraId="38B35A8B">
            <w:pPr>
              <w:pStyle w:val="28"/>
              <w:bidi w:val="0"/>
            </w:pPr>
            <w:r>
              <w:t>夜间</w:t>
            </w:r>
          </w:p>
        </w:tc>
        <w:tc>
          <w:tcPr>
            <w:tcW w:w="274" w:type="pct"/>
            <w:shd w:val="clear" w:color="auto" w:fill="FFFFFF"/>
            <w:vAlign w:val="center"/>
          </w:tcPr>
          <w:p w14:paraId="07C28C43">
            <w:pPr>
              <w:pStyle w:val="28"/>
              <w:bidi w:val="0"/>
            </w:pPr>
            <w:r>
              <w:t>昼间</w:t>
            </w:r>
          </w:p>
        </w:tc>
        <w:tc>
          <w:tcPr>
            <w:tcW w:w="273" w:type="pct"/>
            <w:shd w:val="clear" w:color="auto" w:fill="FFFFFF"/>
            <w:vAlign w:val="center"/>
          </w:tcPr>
          <w:p w14:paraId="4AB41561">
            <w:pPr>
              <w:pStyle w:val="28"/>
              <w:bidi w:val="0"/>
            </w:pPr>
            <w:r>
              <w:t>夜间</w:t>
            </w:r>
          </w:p>
        </w:tc>
      </w:tr>
      <w:tr w14:paraId="5B774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3" w:type="pct"/>
            <w:shd w:val="clear" w:color="auto" w:fill="FFFFFF"/>
            <w:vAlign w:val="center"/>
          </w:tcPr>
          <w:p w14:paraId="4650F854">
            <w:pPr>
              <w:pStyle w:val="28"/>
              <w:bidi w:val="0"/>
            </w:pPr>
            <w:r>
              <w:t>1</w:t>
            </w:r>
          </w:p>
        </w:tc>
        <w:tc>
          <w:tcPr>
            <w:tcW w:w="682" w:type="pct"/>
            <w:shd w:val="clear" w:color="auto" w:fill="FFFFFF"/>
            <w:vAlign w:val="center"/>
          </w:tcPr>
          <w:p w14:paraId="50803F5B">
            <w:pPr>
              <w:pStyle w:val="28"/>
              <w:bidi w:val="0"/>
            </w:pPr>
            <w:r>
              <w:t>下糖郢</w:t>
            </w:r>
          </w:p>
        </w:tc>
        <w:tc>
          <w:tcPr>
            <w:tcW w:w="301" w:type="pct"/>
            <w:shd w:val="clear" w:color="auto" w:fill="FFFFFF"/>
            <w:vAlign w:val="center"/>
          </w:tcPr>
          <w:p w14:paraId="315ED21F">
            <w:pPr>
              <w:pStyle w:val="28"/>
              <w:bidi w:val="0"/>
            </w:pPr>
            <w:r>
              <w:rPr>
                <w:rFonts w:hint="eastAsia"/>
              </w:rPr>
              <w:t>52.9</w:t>
            </w:r>
          </w:p>
        </w:tc>
        <w:tc>
          <w:tcPr>
            <w:tcW w:w="302" w:type="pct"/>
            <w:shd w:val="clear" w:color="auto" w:fill="FFFFFF"/>
            <w:vAlign w:val="center"/>
          </w:tcPr>
          <w:p w14:paraId="27D80C69">
            <w:pPr>
              <w:pStyle w:val="28"/>
              <w:bidi w:val="0"/>
            </w:pPr>
            <w:r>
              <w:rPr>
                <w:rFonts w:hint="eastAsia"/>
              </w:rPr>
              <w:t>43.5</w:t>
            </w:r>
          </w:p>
        </w:tc>
        <w:tc>
          <w:tcPr>
            <w:tcW w:w="884" w:type="dxa"/>
            <w:shd w:val="clear" w:color="auto" w:fill="FFFFFF"/>
            <w:vAlign w:val="center"/>
          </w:tcPr>
          <w:p w14:paraId="4C4AF282">
            <w:pPr>
              <w:pStyle w:val="28"/>
              <w:bidi w:val="0"/>
            </w:pPr>
            <w:r>
              <w:rPr>
                <w:rFonts w:hint="eastAsia"/>
              </w:rPr>
              <w:t>52.9</w:t>
            </w:r>
          </w:p>
        </w:tc>
        <w:tc>
          <w:tcPr>
            <w:tcW w:w="887" w:type="dxa"/>
            <w:shd w:val="clear" w:color="auto" w:fill="FFFFFF"/>
            <w:vAlign w:val="center"/>
          </w:tcPr>
          <w:p w14:paraId="0B2E5A3B">
            <w:pPr>
              <w:pStyle w:val="28"/>
              <w:bidi w:val="0"/>
            </w:pPr>
            <w:r>
              <w:rPr>
                <w:rFonts w:hint="eastAsia"/>
              </w:rPr>
              <w:t>43.5</w:t>
            </w:r>
          </w:p>
        </w:tc>
        <w:tc>
          <w:tcPr>
            <w:tcW w:w="267" w:type="pct"/>
            <w:shd w:val="clear" w:color="auto" w:fill="FFFFFF"/>
            <w:vAlign w:val="center"/>
          </w:tcPr>
          <w:p w14:paraId="60C0FBAD">
            <w:pPr>
              <w:pStyle w:val="28"/>
              <w:bidi w:val="0"/>
            </w:pPr>
            <w:r>
              <w:t>55</w:t>
            </w:r>
          </w:p>
        </w:tc>
        <w:tc>
          <w:tcPr>
            <w:tcW w:w="269" w:type="pct"/>
            <w:shd w:val="clear" w:color="auto" w:fill="FFFFFF"/>
            <w:vAlign w:val="center"/>
          </w:tcPr>
          <w:p w14:paraId="69F1D0AC">
            <w:pPr>
              <w:pStyle w:val="28"/>
              <w:bidi w:val="0"/>
            </w:pPr>
            <w:r>
              <w:t>45</w:t>
            </w:r>
          </w:p>
        </w:tc>
        <w:tc>
          <w:tcPr>
            <w:tcW w:w="301" w:type="pct"/>
            <w:shd w:val="clear" w:color="auto" w:fill="FFFFFF"/>
            <w:vAlign w:val="center"/>
          </w:tcPr>
          <w:p w14:paraId="395BD3B3">
            <w:pPr>
              <w:pStyle w:val="28"/>
              <w:bidi w:val="0"/>
            </w:pPr>
            <w:r>
              <w:t>28.2</w:t>
            </w:r>
          </w:p>
        </w:tc>
        <w:tc>
          <w:tcPr>
            <w:tcW w:w="302" w:type="pct"/>
            <w:shd w:val="clear" w:color="auto" w:fill="FFFFFF"/>
            <w:vAlign w:val="center"/>
          </w:tcPr>
          <w:p w14:paraId="43668283">
            <w:pPr>
              <w:pStyle w:val="28"/>
              <w:bidi w:val="0"/>
            </w:pPr>
            <w:r>
              <w:t>28.2</w:t>
            </w:r>
          </w:p>
        </w:tc>
        <w:tc>
          <w:tcPr>
            <w:tcW w:w="301" w:type="pct"/>
            <w:shd w:val="clear" w:color="auto" w:fill="FFFFFF"/>
            <w:vAlign w:val="center"/>
          </w:tcPr>
          <w:p w14:paraId="756962BF">
            <w:pPr>
              <w:pStyle w:val="28"/>
              <w:bidi w:val="0"/>
            </w:pPr>
            <w:r>
              <w:rPr>
                <w:rFonts w:hint="eastAsia"/>
              </w:rPr>
              <w:t>52.9</w:t>
            </w:r>
          </w:p>
        </w:tc>
        <w:tc>
          <w:tcPr>
            <w:tcW w:w="303" w:type="pct"/>
            <w:tcBorders>
              <w:right w:val="single" w:color="auto" w:sz="4" w:space="0"/>
            </w:tcBorders>
            <w:shd w:val="clear" w:color="auto" w:fill="FFFFFF"/>
            <w:vAlign w:val="center"/>
          </w:tcPr>
          <w:p w14:paraId="4232FE8F">
            <w:pPr>
              <w:pStyle w:val="28"/>
              <w:bidi w:val="0"/>
            </w:pPr>
            <w:r>
              <w:rPr>
                <w:rFonts w:hint="eastAsia"/>
              </w:rPr>
              <w:t>43.6</w:t>
            </w:r>
          </w:p>
        </w:tc>
        <w:tc>
          <w:tcPr>
            <w:tcW w:w="880" w:type="dxa"/>
            <w:tcBorders>
              <w:top w:val="single" w:color="auto" w:sz="4" w:space="0"/>
              <w:left w:val="single" w:color="auto" w:sz="4" w:space="0"/>
            </w:tcBorders>
            <w:shd w:val="clear" w:color="auto" w:fill="FFFFFF"/>
            <w:vAlign w:val="center"/>
          </w:tcPr>
          <w:p w14:paraId="7DEE5EF1">
            <w:pPr>
              <w:pStyle w:val="28"/>
              <w:bidi w:val="0"/>
            </w:pPr>
            <w:r>
              <w:rPr>
                <w:rFonts w:hint="eastAsia"/>
              </w:rPr>
              <w:t>0</w:t>
            </w:r>
          </w:p>
        </w:tc>
        <w:tc>
          <w:tcPr>
            <w:tcW w:w="880" w:type="dxa"/>
            <w:tcBorders>
              <w:top w:val="single" w:color="auto" w:sz="4" w:space="0"/>
              <w:right w:val="single" w:color="auto" w:sz="4" w:space="0"/>
            </w:tcBorders>
            <w:shd w:val="clear" w:color="auto" w:fill="FFFFFF"/>
            <w:vAlign w:val="center"/>
          </w:tcPr>
          <w:p w14:paraId="32023414">
            <w:pPr>
              <w:pStyle w:val="28"/>
              <w:bidi w:val="0"/>
            </w:pPr>
            <w:r>
              <w:rPr>
                <w:rFonts w:hint="eastAsia"/>
              </w:rPr>
              <w:t>0.1</w:t>
            </w:r>
          </w:p>
        </w:tc>
        <w:tc>
          <w:tcPr>
            <w:tcW w:w="274" w:type="pct"/>
            <w:tcBorders>
              <w:left w:val="single" w:color="auto" w:sz="4" w:space="0"/>
            </w:tcBorders>
            <w:shd w:val="clear" w:color="auto" w:fill="FFFFFF"/>
            <w:vAlign w:val="center"/>
          </w:tcPr>
          <w:p w14:paraId="2A074C6C">
            <w:pPr>
              <w:pStyle w:val="28"/>
              <w:bidi w:val="0"/>
            </w:pPr>
            <w:r>
              <w:t>达标</w:t>
            </w:r>
          </w:p>
        </w:tc>
        <w:tc>
          <w:tcPr>
            <w:tcW w:w="273" w:type="pct"/>
            <w:shd w:val="clear" w:color="auto" w:fill="FFFFFF"/>
            <w:vAlign w:val="center"/>
          </w:tcPr>
          <w:p w14:paraId="0E951C10">
            <w:pPr>
              <w:pStyle w:val="28"/>
              <w:bidi w:val="0"/>
            </w:pPr>
            <w:r>
              <w:t>达标</w:t>
            </w:r>
          </w:p>
        </w:tc>
      </w:tr>
      <w:tr w14:paraId="708F9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3" w:type="pct"/>
            <w:shd w:val="clear" w:color="auto" w:fill="FFFFFF"/>
            <w:vAlign w:val="center"/>
          </w:tcPr>
          <w:p w14:paraId="2F069B43">
            <w:pPr>
              <w:pStyle w:val="28"/>
              <w:bidi w:val="0"/>
            </w:pPr>
            <w:r>
              <w:t>2</w:t>
            </w:r>
          </w:p>
        </w:tc>
        <w:tc>
          <w:tcPr>
            <w:tcW w:w="682" w:type="pct"/>
            <w:shd w:val="clear" w:color="auto" w:fill="FFFFFF"/>
            <w:vAlign w:val="center"/>
          </w:tcPr>
          <w:p w14:paraId="2AB35155">
            <w:pPr>
              <w:pStyle w:val="28"/>
              <w:bidi w:val="0"/>
            </w:pPr>
            <w:r>
              <w:t>令喜希望小学</w:t>
            </w:r>
          </w:p>
        </w:tc>
        <w:tc>
          <w:tcPr>
            <w:tcW w:w="301" w:type="pct"/>
            <w:shd w:val="clear" w:color="auto" w:fill="FFFFFF"/>
            <w:vAlign w:val="center"/>
          </w:tcPr>
          <w:p w14:paraId="709AB820">
            <w:pPr>
              <w:pStyle w:val="28"/>
              <w:bidi w:val="0"/>
            </w:pPr>
            <w:r>
              <w:rPr>
                <w:rFonts w:hint="eastAsia"/>
              </w:rPr>
              <w:t>53.4</w:t>
            </w:r>
          </w:p>
        </w:tc>
        <w:tc>
          <w:tcPr>
            <w:tcW w:w="302" w:type="pct"/>
            <w:shd w:val="clear" w:color="auto" w:fill="FFFFFF"/>
            <w:vAlign w:val="center"/>
          </w:tcPr>
          <w:p w14:paraId="7F567E72">
            <w:pPr>
              <w:pStyle w:val="28"/>
              <w:bidi w:val="0"/>
            </w:pPr>
            <w:r>
              <w:rPr>
                <w:rFonts w:hint="eastAsia"/>
              </w:rPr>
              <w:t>42.1</w:t>
            </w:r>
          </w:p>
        </w:tc>
        <w:tc>
          <w:tcPr>
            <w:tcW w:w="884" w:type="dxa"/>
            <w:shd w:val="clear" w:color="auto" w:fill="FFFFFF"/>
            <w:vAlign w:val="center"/>
          </w:tcPr>
          <w:p w14:paraId="090EE89A">
            <w:pPr>
              <w:pStyle w:val="28"/>
              <w:bidi w:val="0"/>
            </w:pPr>
            <w:r>
              <w:rPr>
                <w:rFonts w:hint="eastAsia"/>
              </w:rPr>
              <w:t>53.4</w:t>
            </w:r>
          </w:p>
        </w:tc>
        <w:tc>
          <w:tcPr>
            <w:tcW w:w="887" w:type="dxa"/>
            <w:shd w:val="clear" w:color="auto" w:fill="FFFFFF"/>
            <w:vAlign w:val="center"/>
          </w:tcPr>
          <w:p w14:paraId="0A23E115">
            <w:pPr>
              <w:pStyle w:val="28"/>
              <w:bidi w:val="0"/>
            </w:pPr>
            <w:r>
              <w:rPr>
                <w:rFonts w:hint="eastAsia"/>
              </w:rPr>
              <w:t>42.1</w:t>
            </w:r>
          </w:p>
        </w:tc>
        <w:tc>
          <w:tcPr>
            <w:tcW w:w="784" w:type="dxa"/>
            <w:shd w:val="clear" w:color="auto" w:fill="FFFFFF"/>
            <w:vAlign w:val="center"/>
          </w:tcPr>
          <w:p w14:paraId="7E104323">
            <w:pPr>
              <w:pStyle w:val="28"/>
              <w:bidi w:val="0"/>
            </w:pPr>
            <w:r>
              <w:t>55</w:t>
            </w:r>
          </w:p>
        </w:tc>
        <w:tc>
          <w:tcPr>
            <w:tcW w:w="790" w:type="dxa"/>
            <w:shd w:val="clear" w:color="auto" w:fill="FFFFFF"/>
            <w:vAlign w:val="center"/>
          </w:tcPr>
          <w:p w14:paraId="5F3DFAEB">
            <w:pPr>
              <w:pStyle w:val="28"/>
              <w:bidi w:val="0"/>
            </w:pPr>
            <w:r>
              <w:t>45</w:t>
            </w:r>
          </w:p>
        </w:tc>
        <w:tc>
          <w:tcPr>
            <w:tcW w:w="301" w:type="pct"/>
            <w:shd w:val="clear" w:color="auto" w:fill="FFFFFF"/>
            <w:vAlign w:val="center"/>
          </w:tcPr>
          <w:p w14:paraId="1B5861A1">
            <w:pPr>
              <w:pStyle w:val="28"/>
              <w:bidi w:val="0"/>
            </w:pPr>
            <w:r>
              <w:t>36.8</w:t>
            </w:r>
          </w:p>
        </w:tc>
        <w:tc>
          <w:tcPr>
            <w:tcW w:w="302" w:type="pct"/>
            <w:shd w:val="clear" w:color="auto" w:fill="FFFFFF"/>
            <w:vAlign w:val="center"/>
          </w:tcPr>
          <w:p w14:paraId="2B5EF6BE">
            <w:pPr>
              <w:pStyle w:val="28"/>
              <w:bidi w:val="0"/>
            </w:pPr>
            <w:r>
              <w:t>36.7</w:t>
            </w:r>
          </w:p>
        </w:tc>
        <w:tc>
          <w:tcPr>
            <w:tcW w:w="884" w:type="dxa"/>
            <w:shd w:val="clear" w:color="auto" w:fill="FFFFFF"/>
            <w:vAlign w:val="center"/>
          </w:tcPr>
          <w:p w14:paraId="4B44DAE1">
            <w:pPr>
              <w:pStyle w:val="28"/>
              <w:bidi w:val="0"/>
            </w:pPr>
            <w:r>
              <w:rPr>
                <w:rFonts w:hint="eastAsia"/>
              </w:rPr>
              <w:t>53.4</w:t>
            </w:r>
          </w:p>
        </w:tc>
        <w:tc>
          <w:tcPr>
            <w:tcW w:w="890" w:type="dxa"/>
            <w:tcBorders>
              <w:right w:val="single" w:color="auto" w:sz="4" w:space="0"/>
            </w:tcBorders>
            <w:shd w:val="clear" w:color="auto" w:fill="FFFFFF"/>
            <w:vAlign w:val="center"/>
          </w:tcPr>
          <w:p w14:paraId="425430DF">
            <w:pPr>
              <w:pStyle w:val="28"/>
              <w:bidi w:val="0"/>
            </w:pPr>
            <w:r>
              <w:rPr>
                <w:rFonts w:hint="eastAsia"/>
              </w:rPr>
              <w:t>42.1</w:t>
            </w:r>
          </w:p>
        </w:tc>
        <w:tc>
          <w:tcPr>
            <w:tcW w:w="880" w:type="dxa"/>
            <w:tcBorders>
              <w:left w:val="single" w:color="auto" w:sz="4" w:space="0"/>
            </w:tcBorders>
            <w:shd w:val="clear" w:color="auto" w:fill="FFFFFF"/>
            <w:vAlign w:val="center"/>
          </w:tcPr>
          <w:p w14:paraId="5B006728">
            <w:pPr>
              <w:pStyle w:val="28"/>
              <w:bidi w:val="0"/>
            </w:pPr>
            <w:r>
              <w:t>0</w:t>
            </w:r>
          </w:p>
        </w:tc>
        <w:tc>
          <w:tcPr>
            <w:tcW w:w="880" w:type="dxa"/>
            <w:tcBorders>
              <w:right w:val="single" w:color="auto" w:sz="4" w:space="0"/>
            </w:tcBorders>
            <w:shd w:val="clear" w:color="auto" w:fill="FFFFFF"/>
            <w:vAlign w:val="center"/>
          </w:tcPr>
          <w:p w14:paraId="7B408EA9">
            <w:pPr>
              <w:pStyle w:val="28"/>
              <w:bidi w:val="0"/>
            </w:pPr>
            <w:r>
              <w:rPr>
                <w:rFonts w:hint="eastAsia"/>
              </w:rPr>
              <w:t>0</w:t>
            </w:r>
          </w:p>
        </w:tc>
        <w:tc>
          <w:tcPr>
            <w:tcW w:w="274" w:type="pct"/>
            <w:tcBorders>
              <w:left w:val="single" w:color="auto" w:sz="4" w:space="0"/>
            </w:tcBorders>
            <w:shd w:val="clear" w:color="auto" w:fill="FFFFFF"/>
            <w:vAlign w:val="center"/>
          </w:tcPr>
          <w:p w14:paraId="797D3C12">
            <w:pPr>
              <w:pStyle w:val="28"/>
              <w:bidi w:val="0"/>
            </w:pPr>
            <w:r>
              <w:t>达标</w:t>
            </w:r>
          </w:p>
        </w:tc>
        <w:tc>
          <w:tcPr>
            <w:tcW w:w="273" w:type="pct"/>
            <w:shd w:val="clear" w:color="auto" w:fill="FFFFFF"/>
            <w:vAlign w:val="center"/>
          </w:tcPr>
          <w:p w14:paraId="5206BCCC">
            <w:pPr>
              <w:pStyle w:val="28"/>
              <w:bidi w:val="0"/>
            </w:pPr>
            <w:r>
              <w:t>达标</w:t>
            </w:r>
          </w:p>
        </w:tc>
      </w:tr>
      <w:tr w14:paraId="17863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13" w:type="pct"/>
            <w:shd w:val="clear" w:color="auto" w:fill="FFFFFF"/>
            <w:vAlign w:val="center"/>
          </w:tcPr>
          <w:p w14:paraId="7D420561">
            <w:pPr>
              <w:pStyle w:val="28"/>
              <w:bidi w:val="0"/>
            </w:pPr>
            <w:r>
              <w:t>3</w:t>
            </w:r>
          </w:p>
        </w:tc>
        <w:tc>
          <w:tcPr>
            <w:tcW w:w="682" w:type="pct"/>
            <w:shd w:val="clear" w:color="auto" w:fill="FFFFFF"/>
            <w:vAlign w:val="center"/>
          </w:tcPr>
          <w:p w14:paraId="0C2AE74A">
            <w:pPr>
              <w:pStyle w:val="28"/>
              <w:bidi w:val="0"/>
            </w:pPr>
            <w:r>
              <w:t>土楼村</w:t>
            </w:r>
          </w:p>
        </w:tc>
        <w:tc>
          <w:tcPr>
            <w:tcW w:w="301" w:type="pct"/>
            <w:shd w:val="clear" w:color="auto" w:fill="FFFFFF"/>
            <w:vAlign w:val="center"/>
          </w:tcPr>
          <w:p w14:paraId="69418AB3">
            <w:pPr>
              <w:pStyle w:val="28"/>
              <w:bidi w:val="0"/>
            </w:pPr>
            <w:r>
              <w:rPr>
                <w:rFonts w:hint="eastAsia"/>
              </w:rPr>
              <w:t>53.4</w:t>
            </w:r>
          </w:p>
        </w:tc>
        <w:tc>
          <w:tcPr>
            <w:tcW w:w="302" w:type="pct"/>
            <w:shd w:val="clear" w:color="auto" w:fill="FFFFFF"/>
            <w:vAlign w:val="center"/>
          </w:tcPr>
          <w:p w14:paraId="101F154A">
            <w:pPr>
              <w:pStyle w:val="28"/>
              <w:bidi w:val="0"/>
            </w:pPr>
            <w:r>
              <w:rPr>
                <w:rFonts w:hint="eastAsia"/>
              </w:rPr>
              <w:t>42.1</w:t>
            </w:r>
          </w:p>
        </w:tc>
        <w:tc>
          <w:tcPr>
            <w:tcW w:w="884" w:type="dxa"/>
            <w:shd w:val="clear" w:color="auto" w:fill="FFFFFF"/>
            <w:vAlign w:val="center"/>
          </w:tcPr>
          <w:p w14:paraId="6CE83DC1">
            <w:pPr>
              <w:pStyle w:val="28"/>
              <w:bidi w:val="0"/>
            </w:pPr>
            <w:r>
              <w:rPr>
                <w:rFonts w:hint="eastAsia"/>
              </w:rPr>
              <w:t>53.4</w:t>
            </w:r>
          </w:p>
        </w:tc>
        <w:tc>
          <w:tcPr>
            <w:tcW w:w="887" w:type="dxa"/>
            <w:shd w:val="clear" w:color="auto" w:fill="FFFFFF"/>
            <w:vAlign w:val="center"/>
          </w:tcPr>
          <w:p w14:paraId="3AF9530B">
            <w:pPr>
              <w:pStyle w:val="28"/>
              <w:bidi w:val="0"/>
            </w:pPr>
            <w:r>
              <w:rPr>
                <w:rFonts w:hint="eastAsia"/>
              </w:rPr>
              <w:t>42.1</w:t>
            </w:r>
          </w:p>
        </w:tc>
        <w:tc>
          <w:tcPr>
            <w:tcW w:w="784" w:type="dxa"/>
            <w:shd w:val="clear" w:color="auto" w:fill="FFFFFF"/>
            <w:vAlign w:val="center"/>
          </w:tcPr>
          <w:p w14:paraId="78D8A7B7">
            <w:pPr>
              <w:pStyle w:val="28"/>
              <w:bidi w:val="0"/>
            </w:pPr>
            <w:r>
              <w:t>55</w:t>
            </w:r>
          </w:p>
        </w:tc>
        <w:tc>
          <w:tcPr>
            <w:tcW w:w="790" w:type="dxa"/>
            <w:shd w:val="clear" w:color="auto" w:fill="FFFFFF"/>
            <w:vAlign w:val="center"/>
          </w:tcPr>
          <w:p w14:paraId="4BA193FC">
            <w:pPr>
              <w:pStyle w:val="28"/>
              <w:bidi w:val="0"/>
            </w:pPr>
            <w:r>
              <w:t>45</w:t>
            </w:r>
          </w:p>
        </w:tc>
        <w:tc>
          <w:tcPr>
            <w:tcW w:w="301" w:type="pct"/>
            <w:shd w:val="clear" w:color="auto" w:fill="FFFFFF"/>
            <w:vAlign w:val="center"/>
          </w:tcPr>
          <w:p w14:paraId="5D768428">
            <w:pPr>
              <w:pStyle w:val="28"/>
              <w:bidi w:val="0"/>
            </w:pPr>
            <w:r>
              <w:rPr>
                <w:rFonts w:hint="eastAsia"/>
              </w:rPr>
              <w:t>29.0</w:t>
            </w:r>
          </w:p>
        </w:tc>
        <w:tc>
          <w:tcPr>
            <w:tcW w:w="302" w:type="pct"/>
            <w:shd w:val="clear" w:color="auto" w:fill="FFFFFF"/>
            <w:vAlign w:val="center"/>
          </w:tcPr>
          <w:p w14:paraId="70565CFF">
            <w:pPr>
              <w:pStyle w:val="28"/>
              <w:bidi w:val="0"/>
            </w:pPr>
            <w:r>
              <w:rPr>
                <w:rFonts w:hint="eastAsia"/>
              </w:rPr>
              <w:t>29.0</w:t>
            </w:r>
          </w:p>
        </w:tc>
        <w:tc>
          <w:tcPr>
            <w:tcW w:w="301" w:type="pct"/>
            <w:shd w:val="clear" w:color="auto" w:fill="FFFFFF"/>
            <w:vAlign w:val="center"/>
          </w:tcPr>
          <w:p w14:paraId="211F36C1">
            <w:pPr>
              <w:pStyle w:val="28"/>
              <w:bidi w:val="0"/>
            </w:pPr>
            <w:r>
              <w:rPr>
                <w:rFonts w:hint="eastAsia"/>
              </w:rPr>
              <w:t>53.4</w:t>
            </w:r>
          </w:p>
        </w:tc>
        <w:tc>
          <w:tcPr>
            <w:tcW w:w="303" w:type="pct"/>
            <w:tcBorders>
              <w:right w:val="single" w:color="auto" w:sz="4" w:space="0"/>
            </w:tcBorders>
            <w:shd w:val="clear" w:color="auto" w:fill="FFFFFF"/>
            <w:vAlign w:val="center"/>
          </w:tcPr>
          <w:p w14:paraId="298CA4F2">
            <w:pPr>
              <w:pStyle w:val="28"/>
              <w:bidi w:val="0"/>
            </w:pPr>
            <w:r>
              <w:rPr>
                <w:rFonts w:hint="eastAsia"/>
              </w:rPr>
              <w:t>42.1</w:t>
            </w:r>
          </w:p>
        </w:tc>
        <w:tc>
          <w:tcPr>
            <w:tcW w:w="880" w:type="dxa"/>
            <w:tcBorders>
              <w:left w:val="single" w:color="auto" w:sz="4" w:space="0"/>
              <w:bottom w:val="single" w:color="auto" w:sz="4" w:space="0"/>
            </w:tcBorders>
            <w:shd w:val="clear" w:color="auto" w:fill="FFFFFF"/>
            <w:vAlign w:val="center"/>
          </w:tcPr>
          <w:p w14:paraId="6BCE7C0D">
            <w:pPr>
              <w:pStyle w:val="28"/>
              <w:bidi w:val="0"/>
            </w:pPr>
            <w:r>
              <w:rPr>
                <w:rFonts w:hint="eastAsia"/>
              </w:rPr>
              <w:t>0</w:t>
            </w:r>
          </w:p>
        </w:tc>
        <w:tc>
          <w:tcPr>
            <w:tcW w:w="880" w:type="dxa"/>
            <w:tcBorders>
              <w:bottom w:val="single" w:color="auto" w:sz="4" w:space="0"/>
              <w:right w:val="single" w:color="auto" w:sz="4" w:space="0"/>
            </w:tcBorders>
            <w:shd w:val="clear" w:color="auto" w:fill="FFFFFF"/>
            <w:vAlign w:val="center"/>
          </w:tcPr>
          <w:p w14:paraId="2697800F">
            <w:pPr>
              <w:pStyle w:val="28"/>
              <w:bidi w:val="0"/>
            </w:pPr>
            <w:r>
              <w:rPr>
                <w:rFonts w:hint="eastAsia"/>
              </w:rPr>
              <w:t>0</w:t>
            </w:r>
          </w:p>
        </w:tc>
        <w:tc>
          <w:tcPr>
            <w:tcW w:w="274" w:type="pct"/>
            <w:tcBorders>
              <w:left w:val="single" w:color="auto" w:sz="4" w:space="0"/>
            </w:tcBorders>
            <w:shd w:val="clear" w:color="auto" w:fill="FFFFFF"/>
            <w:vAlign w:val="center"/>
          </w:tcPr>
          <w:p w14:paraId="448E0856">
            <w:pPr>
              <w:pStyle w:val="28"/>
              <w:bidi w:val="0"/>
            </w:pPr>
            <w:r>
              <w:t>达标</w:t>
            </w:r>
          </w:p>
        </w:tc>
        <w:tc>
          <w:tcPr>
            <w:tcW w:w="273" w:type="pct"/>
            <w:shd w:val="clear" w:color="auto" w:fill="FFFFFF"/>
            <w:vAlign w:val="center"/>
          </w:tcPr>
          <w:p w14:paraId="0D0DEF61">
            <w:pPr>
              <w:pStyle w:val="28"/>
              <w:bidi w:val="0"/>
            </w:pPr>
            <w:r>
              <w:t>达标</w:t>
            </w:r>
          </w:p>
        </w:tc>
      </w:tr>
    </w:tbl>
    <w:p w14:paraId="5DDC45D4">
      <w:pPr>
        <w:spacing w:line="240" w:lineRule="auto"/>
        <w:ind w:left="-240" w:right="-240"/>
        <w:rPr>
          <w:rFonts w:cs="Times New Roman"/>
          <w:color w:val="0000FF"/>
        </w:rPr>
      </w:pPr>
    </w:p>
    <w:p w14:paraId="538182C9">
      <w:pPr>
        <w:ind w:left="-240" w:right="-240"/>
        <w:rPr>
          <w:rFonts w:cs="Times New Roman"/>
          <w:color w:val="0000FF"/>
        </w:rPr>
      </w:pPr>
      <w:r>
        <w:rPr>
          <w:rFonts w:cs="Times New Roman"/>
          <w:color w:val="0000FF"/>
        </w:rPr>
        <w:drawing>
          <wp:inline distT="0" distB="0" distL="114300" distR="114300">
            <wp:extent cx="3089910" cy="1890395"/>
            <wp:effectExtent l="9525" t="9525" r="12065" b="17780"/>
            <wp:docPr id="136" name="图片 2454" descr="168692796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2454" descr="1686927961805"/>
                    <pic:cNvPicPr>
                      <a:picLocks noChangeAspect="1"/>
                    </pic:cNvPicPr>
                  </pic:nvPicPr>
                  <pic:blipFill>
                    <a:blip r:embed="rId171"/>
                    <a:stretch>
                      <a:fillRect/>
                    </a:stretch>
                  </pic:blipFill>
                  <pic:spPr>
                    <a:xfrm>
                      <a:off x="0" y="0"/>
                      <a:ext cx="3089910" cy="1890395"/>
                    </a:xfrm>
                    <a:prstGeom prst="rect">
                      <a:avLst/>
                    </a:prstGeom>
                    <a:noFill/>
                    <a:ln w="9525" cap="flat" cmpd="sng">
                      <a:solidFill>
                        <a:srgbClr val="000000"/>
                      </a:solidFill>
                      <a:prstDash val="solid"/>
                      <a:miter/>
                      <a:headEnd type="none" w="med" len="med"/>
                      <a:tailEnd type="none" w="med" len="med"/>
                    </a:ln>
                  </pic:spPr>
                </pic:pic>
              </a:graphicData>
            </a:graphic>
          </wp:inline>
        </w:drawing>
      </w:r>
      <w:r>
        <w:rPr>
          <w:rFonts w:hint="eastAsia" w:cs="Times New Roman"/>
          <w:color w:val="0000FF"/>
        </w:rPr>
        <w:t xml:space="preserve"> </w:t>
      </w:r>
      <w:r>
        <w:rPr>
          <w:rFonts w:eastAsia="黑体" w:cs="Times New Roman"/>
          <w:color w:val="0000FF"/>
        </w:rPr>
        <w:drawing>
          <wp:inline distT="0" distB="0" distL="114300" distR="114300">
            <wp:extent cx="3055620" cy="1878965"/>
            <wp:effectExtent l="9525" t="9525" r="20955" b="16510"/>
            <wp:docPr id="137" name="图片 2455" descr="168690989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455" descr="1686909893745"/>
                    <pic:cNvPicPr>
                      <a:picLocks noChangeAspect="1"/>
                    </pic:cNvPicPr>
                  </pic:nvPicPr>
                  <pic:blipFill>
                    <a:blip r:embed="rId172"/>
                    <a:srcRect/>
                    <a:stretch>
                      <a:fillRect/>
                    </a:stretch>
                  </pic:blipFill>
                  <pic:spPr>
                    <a:xfrm>
                      <a:off x="0" y="0"/>
                      <a:ext cx="3055620" cy="1878965"/>
                    </a:xfrm>
                    <a:prstGeom prst="rect">
                      <a:avLst/>
                    </a:prstGeom>
                    <a:noFill/>
                    <a:ln w="9525" cap="flat" cmpd="sng">
                      <a:solidFill>
                        <a:srgbClr val="000000"/>
                      </a:solidFill>
                      <a:prstDash val="solid"/>
                      <a:miter/>
                      <a:headEnd type="none" w="med" len="med"/>
                      <a:tailEnd type="none" w="med" len="med"/>
                    </a:ln>
                  </pic:spPr>
                </pic:pic>
              </a:graphicData>
            </a:graphic>
          </wp:inline>
        </w:drawing>
      </w:r>
    </w:p>
    <w:p w14:paraId="21DB3ADA">
      <w:pPr>
        <w:rPr>
          <w:color w:val="0000FF"/>
          <w:sz w:val="20"/>
          <w:szCs w:val="20"/>
        </w:rPr>
      </w:pPr>
      <w:r>
        <w:rPr>
          <w:color w:val="0000FF"/>
          <w:sz w:val="20"/>
          <w:szCs w:val="20"/>
        </w:rPr>
        <w:t>图</w:t>
      </w:r>
      <w:r>
        <w:rPr>
          <w:rFonts w:hint="eastAsia"/>
          <w:color w:val="0000FF"/>
          <w:sz w:val="20"/>
          <w:szCs w:val="20"/>
        </w:rPr>
        <w:t>5-4</w:t>
      </w:r>
      <w:r>
        <w:rPr>
          <w:color w:val="0000FF"/>
          <w:sz w:val="20"/>
          <w:szCs w:val="20"/>
        </w:rPr>
        <w:t>-</w:t>
      </w:r>
      <w:r>
        <w:rPr>
          <w:rFonts w:hint="eastAsia"/>
          <w:color w:val="0000FF"/>
          <w:sz w:val="20"/>
          <w:szCs w:val="20"/>
        </w:rPr>
        <w:t>5</w:t>
      </w:r>
      <w:r>
        <w:rPr>
          <w:color w:val="0000FF"/>
          <w:sz w:val="20"/>
          <w:szCs w:val="20"/>
        </w:rPr>
        <w:t xml:space="preserve">  一级泵站噪声等值线图    单位：dB（A）</w:t>
      </w:r>
      <w:r>
        <w:rPr>
          <w:rFonts w:hint="eastAsia"/>
          <w:color w:val="0000FF"/>
          <w:sz w:val="20"/>
          <w:szCs w:val="20"/>
        </w:rPr>
        <w:t xml:space="preserve">  </w:t>
      </w:r>
      <w:r>
        <w:rPr>
          <w:color w:val="0000FF"/>
          <w:sz w:val="20"/>
          <w:szCs w:val="20"/>
        </w:rPr>
        <w:t>图</w:t>
      </w:r>
      <w:r>
        <w:rPr>
          <w:rFonts w:hint="eastAsia"/>
          <w:color w:val="0000FF"/>
          <w:sz w:val="20"/>
          <w:szCs w:val="20"/>
        </w:rPr>
        <w:t>5-4</w:t>
      </w:r>
      <w:r>
        <w:rPr>
          <w:color w:val="0000FF"/>
          <w:sz w:val="20"/>
          <w:szCs w:val="20"/>
        </w:rPr>
        <w:t>-</w:t>
      </w:r>
      <w:r>
        <w:rPr>
          <w:rFonts w:hint="eastAsia"/>
          <w:color w:val="0000FF"/>
          <w:sz w:val="20"/>
          <w:szCs w:val="20"/>
        </w:rPr>
        <w:t>6</w:t>
      </w:r>
      <w:r>
        <w:rPr>
          <w:color w:val="0000FF"/>
          <w:sz w:val="20"/>
          <w:szCs w:val="20"/>
        </w:rPr>
        <w:t xml:space="preserve">  二级泵站噪声等值线图    单位：dB（A）</w:t>
      </w:r>
    </w:p>
    <w:p w14:paraId="622586C6">
      <w:pPr>
        <w:ind w:firstLine="480" w:firstLineChars="200"/>
        <w:rPr>
          <w:rFonts w:cs="Times New Roman"/>
          <w:color w:val="0000FF"/>
        </w:rPr>
      </w:pPr>
      <w:r>
        <w:rPr>
          <w:rFonts w:cs="Times New Roman"/>
          <w:color w:val="0000FF"/>
        </w:rPr>
        <w:t>拟建项目声环境影响评价自查表如下。</w:t>
      </w:r>
    </w:p>
    <w:p w14:paraId="3D092E58">
      <w:pPr>
        <w:ind w:left="-240" w:right="-240"/>
        <w:rPr>
          <w:rFonts w:cs="Times New Roman"/>
          <w:color w:val="0000FF"/>
        </w:rPr>
      </w:pPr>
      <w:r>
        <w:rPr>
          <w:rFonts w:cs="Times New Roman"/>
          <w:color w:val="0000FF"/>
        </w:rPr>
        <w:t>表</w:t>
      </w:r>
      <w:r>
        <w:rPr>
          <w:rFonts w:hint="eastAsia" w:cs="Times New Roman"/>
          <w:color w:val="0000FF"/>
        </w:rPr>
        <w:t>5-4-11</w:t>
      </w:r>
      <w:r>
        <w:rPr>
          <w:rFonts w:cs="Times New Roman"/>
          <w:color w:val="0000FF"/>
        </w:rPr>
        <w:t xml:space="preserve">  声环境影响评价自查表</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1"/>
        <w:gridCol w:w="1639"/>
        <w:gridCol w:w="957"/>
        <w:gridCol w:w="487"/>
        <w:gridCol w:w="303"/>
        <w:gridCol w:w="225"/>
        <w:gridCol w:w="1031"/>
        <w:gridCol w:w="654"/>
        <w:gridCol w:w="429"/>
        <w:gridCol w:w="528"/>
        <w:gridCol w:w="490"/>
        <w:gridCol w:w="227"/>
        <w:gridCol w:w="1226"/>
      </w:tblGrid>
      <w:tr w14:paraId="09580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471" w:type="pct"/>
            <w:gridSpan w:val="2"/>
            <w:vAlign w:val="center"/>
          </w:tcPr>
          <w:p w14:paraId="39C2B41F">
            <w:pPr>
              <w:pStyle w:val="28"/>
              <w:bidi w:val="0"/>
              <w:rPr>
                <w:lang w:val="zh-CN"/>
              </w:rPr>
            </w:pPr>
            <w:r>
              <w:t>工作内容</w:t>
            </w:r>
          </w:p>
        </w:tc>
        <w:tc>
          <w:tcPr>
            <w:tcW w:w="3529" w:type="pct"/>
            <w:gridSpan w:val="11"/>
            <w:vAlign w:val="center"/>
          </w:tcPr>
          <w:p w14:paraId="3366F04E">
            <w:pPr>
              <w:pStyle w:val="28"/>
              <w:bidi w:val="0"/>
              <w:rPr>
                <w:lang w:val="zh-CN"/>
              </w:rPr>
            </w:pPr>
            <w:r>
              <w:t>自查项目</w:t>
            </w:r>
          </w:p>
        </w:tc>
      </w:tr>
      <w:tr w14:paraId="2DC43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Merge w:val="restart"/>
            <w:vAlign w:val="center"/>
          </w:tcPr>
          <w:p w14:paraId="14725E0D">
            <w:pPr>
              <w:pStyle w:val="28"/>
              <w:bidi w:val="0"/>
              <w:rPr>
                <w:lang w:val="zh-CN"/>
              </w:rPr>
            </w:pPr>
            <w:r>
              <w:t>评价等级与范围</w:t>
            </w:r>
          </w:p>
        </w:tc>
        <w:tc>
          <w:tcPr>
            <w:tcW w:w="882" w:type="pct"/>
            <w:vAlign w:val="center"/>
          </w:tcPr>
          <w:p w14:paraId="67A1B1CE">
            <w:pPr>
              <w:pStyle w:val="28"/>
              <w:bidi w:val="0"/>
              <w:rPr>
                <w:lang w:val="zh-CN"/>
              </w:rPr>
            </w:pPr>
            <w:r>
              <w:t>评价等级</w:t>
            </w:r>
          </w:p>
        </w:tc>
        <w:tc>
          <w:tcPr>
            <w:tcW w:w="3529" w:type="pct"/>
            <w:gridSpan w:val="11"/>
            <w:vAlign w:val="center"/>
          </w:tcPr>
          <w:p w14:paraId="6ABC89F5">
            <w:pPr>
              <w:pStyle w:val="28"/>
              <w:bidi w:val="0"/>
              <w:rPr>
                <w:lang w:val="zh-CN"/>
              </w:rPr>
            </w:pPr>
            <w:r>
              <w:t>一级□</w:t>
            </w:r>
            <w:r>
              <w:rPr>
                <w:rFonts w:hint="eastAsia"/>
              </w:rPr>
              <w:t xml:space="preserve">     </w:t>
            </w:r>
            <w:r>
              <w:t>二级</w:t>
            </w:r>
            <w:r>
              <w:rPr/>
              <w:sym w:font="Wingdings 2" w:char="0052"/>
            </w:r>
            <w:r>
              <w:rPr>
                <w:rFonts w:hint="eastAsia"/>
              </w:rPr>
              <w:t xml:space="preserve">     </w:t>
            </w:r>
            <w:r>
              <w:t>三级□</w:t>
            </w:r>
          </w:p>
        </w:tc>
      </w:tr>
      <w:tr w14:paraId="73341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Merge w:val="continue"/>
            <w:vAlign w:val="center"/>
          </w:tcPr>
          <w:p w14:paraId="5C69E554">
            <w:pPr>
              <w:pStyle w:val="28"/>
              <w:bidi w:val="0"/>
              <w:rPr>
                <w:lang w:val="zh-CN"/>
              </w:rPr>
            </w:pPr>
          </w:p>
        </w:tc>
        <w:tc>
          <w:tcPr>
            <w:tcW w:w="882" w:type="pct"/>
            <w:vAlign w:val="center"/>
          </w:tcPr>
          <w:p w14:paraId="380E7719">
            <w:pPr>
              <w:pStyle w:val="28"/>
              <w:bidi w:val="0"/>
              <w:rPr>
                <w:lang w:val="zh-CN"/>
              </w:rPr>
            </w:pPr>
            <w:r>
              <w:t>评价范围</w:t>
            </w:r>
          </w:p>
        </w:tc>
        <w:tc>
          <w:tcPr>
            <w:tcW w:w="3529" w:type="pct"/>
            <w:gridSpan w:val="11"/>
            <w:vAlign w:val="center"/>
          </w:tcPr>
          <w:p w14:paraId="6F3F4AAF">
            <w:pPr>
              <w:pStyle w:val="28"/>
              <w:bidi w:val="0"/>
              <w:rPr>
                <w:lang w:val="zh-CN"/>
              </w:rPr>
            </w:pPr>
            <w:r>
              <w:t>200m</w:t>
            </w:r>
            <w:r>
              <w:rPr/>
              <w:sym w:font="Wingdings 2" w:char="0052"/>
            </w:r>
            <w:r>
              <w:rPr>
                <w:rFonts w:hint="eastAsia"/>
              </w:rPr>
              <w:t xml:space="preserve">     </w:t>
            </w:r>
            <w:r>
              <w:t>大于 200m□</w:t>
            </w:r>
            <w:r>
              <w:rPr>
                <w:rFonts w:hint="eastAsia"/>
              </w:rPr>
              <w:t xml:space="preserve">     </w:t>
            </w:r>
            <w:r>
              <w:t>小于 200m□</w:t>
            </w:r>
          </w:p>
        </w:tc>
      </w:tr>
      <w:tr w14:paraId="5B6EB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Align w:val="center"/>
          </w:tcPr>
          <w:p w14:paraId="44AF4772">
            <w:pPr>
              <w:pStyle w:val="28"/>
              <w:bidi w:val="0"/>
              <w:rPr>
                <w:lang w:val="zh-CN"/>
              </w:rPr>
            </w:pPr>
            <w:r>
              <w:t>评价因子</w:t>
            </w:r>
          </w:p>
        </w:tc>
        <w:tc>
          <w:tcPr>
            <w:tcW w:w="882" w:type="pct"/>
            <w:vAlign w:val="center"/>
          </w:tcPr>
          <w:p w14:paraId="716B7323">
            <w:pPr>
              <w:pStyle w:val="28"/>
              <w:bidi w:val="0"/>
              <w:rPr>
                <w:lang w:val="zh-CN"/>
              </w:rPr>
            </w:pPr>
            <w:r>
              <w:t>评价因子</w:t>
            </w:r>
          </w:p>
        </w:tc>
        <w:tc>
          <w:tcPr>
            <w:tcW w:w="3529" w:type="pct"/>
            <w:gridSpan w:val="11"/>
            <w:vAlign w:val="center"/>
          </w:tcPr>
          <w:p w14:paraId="20F05DFE">
            <w:pPr>
              <w:pStyle w:val="28"/>
              <w:bidi w:val="0"/>
              <w:rPr>
                <w:lang w:val="zh-CN"/>
              </w:rPr>
            </w:pPr>
            <w:r>
              <w:t>等效连续A声级</w:t>
            </w:r>
            <w:r>
              <w:rPr/>
              <w:sym w:font="Wingdings 2" w:char="0052"/>
            </w:r>
            <w:r>
              <w:t xml:space="preserve">      最大A声级□    计权等效连续感觉噪声级□</w:t>
            </w:r>
          </w:p>
        </w:tc>
      </w:tr>
      <w:tr w14:paraId="4B1A6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Align w:val="center"/>
          </w:tcPr>
          <w:p w14:paraId="02515EEC">
            <w:pPr>
              <w:pStyle w:val="28"/>
              <w:bidi w:val="0"/>
              <w:rPr>
                <w:lang w:val="zh-CN"/>
              </w:rPr>
            </w:pPr>
            <w:r>
              <w:t>评价标准</w:t>
            </w:r>
          </w:p>
        </w:tc>
        <w:tc>
          <w:tcPr>
            <w:tcW w:w="882" w:type="pct"/>
            <w:vAlign w:val="center"/>
          </w:tcPr>
          <w:p w14:paraId="4BA01301">
            <w:pPr>
              <w:pStyle w:val="28"/>
              <w:bidi w:val="0"/>
              <w:rPr>
                <w:lang w:val="zh-CN"/>
              </w:rPr>
            </w:pPr>
            <w:r>
              <w:t>评价标准</w:t>
            </w:r>
          </w:p>
        </w:tc>
        <w:tc>
          <w:tcPr>
            <w:tcW w:w="3529" w:type="pct"/>
            <w:gridSpan w:val="11"/>
            <w:vAlign w:val="center"/>
          </w:tcPr>
          <w:p w14:paraId="64B1E208">
            <w:pPr>
              <w:pStyle w:val="28"/>
              <w:bidi w:val="0"/>
              <w:rPr>
                <w:lang w:val="zh-CN"/>
              </w:rPr>
            </w:pPr>
            <w:r>
              <w:t>国家标准</w:t>
            </w:r>
            <w:r>
              <w:rPr/>
              <w:sym w:font="Wingdings 2" w:char="0052"/>
            </w:r>
            <w:r>
              <w:t xml:space="preserve">                地方标准□               国外标准□</w:t>
            </w:r>
          </w:p>
        </w:tc>
      </w:tr>
      <w:tr w14:paraId="6D26C8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Merge w:val="restart"/>
            <w:vAlign w:val="center"/>
          </w:tcPr>
          <w:p w14:paraId="5BDE163D">
            <w:pPr>
              <w:pStyle w:val="28"/>
              <w:bidi w:val="0"/>
              <w:rPr>
                <w:lang w:val="zh-CN"/>
              </w:rPr>
            </w:pPr>
            <w:r>
              <w:t>现状评价</w:t>
            </w:r>
          </w:p>
        </w:tc>
        <w:tc>
          <w:tcPr>
            <w:tcW w:w="882" w:type="pct"/>
            <w:vAlign w:val="center"/>
          </w:tcPr>
          <w:p w14:paraId="66554ABF">
            <w:pPr>
              <w:pStyle w:val="28"/>
              <w:bidi w:val="0"/>
              <w:rPr>
                <w:lang w:val="zh-CN"/>
              </w:rPr>
            </w:pPr>
            <w:r>
              <w:t>环境功能区</w:t>
            </w:r>
          </w:p>
        </w:tc>
        <w:tc>
          <w:tcPr>
            <w:tcW w:w="515" w:type="pct"/>
            <w:vAlign w:val="center"/>
          </w:tcPr>
          <w:p w14:paraId="04CAD22C">
            <w:pPr>
              <w:pStyle w:val="28"/>
              <w:bidi w:val="0"/>
              <w:rPr>
                <w:lang w:val="zh-CN"/>
              </w:rPr>
            </w:pPr>
            <w:r>
              <w:t>0 类区□</w:t>
            </w:r>
          </w:p>
        </w:tc>
        <w:tc>
          <w:tcPr>
            <w:tcW w:w="546" w:type="pct"/>
            <w:gridSpan w:val="3"/>
            <w:vAlign w:val="center"/>
          </w:tcPr>
          <w:p w14:paraId="51EEA9EB">
            <w:pPr>
              <w:pStyle w:val="28"/>
              <w:bidi w:val="0"/>
              <w:rPr>
                <w:lang w:val="zh-CN"/>
              </w:rPr>
            </w:pPr>
            <w:r>
              <w:t>1 类区</w:t>
            </w:r>
            <w:r>
              <w:rPr/>
              <w:sym w:font="Wingdings 2" w:char="0052"/>
            </w:r>
          </w:p>
        </w:tc>
        <w:tc>
          <w:tcPr>
            <w:tcW w:w="555" w:type="pct"/>
            <w:vAlign w:val="center"/>
          </w:tcPr>
          <w:p w14:paraId="0D4F336F">
            <w:pPr>
              <w:pStyle w:val="28"/>
              <w:bidi w:val="0"/>
              <w:rPr>
                <w:lang w:val="zh-CN"/>
              </w:rPr>
            </w:pPr>
            <w:r>
              <w:t>2 类区</w:t>
            </w:r>
            <w:r>
              <w:rPr/>
              <w:sym w:font="Wingdings 2" w:char="0052"/>
            </w:r>
          </w:p>
        </w:tc>
        <w:tc>
          <w:tcPr>
            <w:tcW w:w="583" w:type="pct"/>
            <w:gridSpan w:val="2"/>
            <w:vAlign w:val="center"/>
          </w:tcPr>
          <w:p w14:paraId="5DA245B2">
            <w:pPr>
              <w:pStyle w:val="28"/>
              <w:bidi w:val="0"/>
              <w:rPr>
                <w:lang w:val="zh-CN"/>
              </w:rPr>
            </w:pPr>
            <w:r>
              <w:t>3 类区□</w:t>
            </w:r>
          </w:p>
        </w:tc>
        <w:tc>
          <w:tcPr>
            <w:tcW w:w="670" w:type="pct"/>
            <w:gridSpan w:val="3"/>
            <w:vAlign w:val="center"/>
          </w:tcPr>
          <w:p w14:paraId="7D4AC434">
            <w:pPr>
              <w:pStyle w:val="28"/>
              <w:bidi w:val="0"/>
              <w:rPr>
                <w:lang w:val="zh-CN"/>
              </w:rPr>
            </w:pPr>
            <w:r>
              <w:t>4a 类区□</w:t>
            </w:r>
          </w:p>
        </w:tc>
        <w:tc>
          <w:tcPr>
            <w:tcW w:w="661" w:type="pct"/>
            <w:vAlign w:val="center"/>
          </w:tcPr>
          <w:p w14:paraId="20637FAC">
            <w:pPr>
              <w:pStyle w:val="28"/>
              <w:bidi w:val="0"/>
              <w:rPr>
                <w:lang w:val="zh-CN"/>
              </w:rPr>
            </w:pPr>
            <w:r>
              <w:t>4b 类区□</w:t>
            </w:r>
          </w:p>
        </w:tc>
      </w:tr>
      <w:tr w14:paraId="0B5D3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Merge w:val="continue"/>
            <w:vAlign w:val="center"/>
          </w:tcPr>
          <w:p w14:paraId="45C7D6B7">
            <w:pPr>
              <w:pStyle w:val="28"/>
              <w:bidi w:val="0"/>
              <w:rPr>
                <w:lang w:val="zh-CN"/>
              </w:rPr>
            </w:pPr>
          </w:p>
        </w:tc>
        <w:tc>
          <w:tcPr>
            <w:tcW w:w="882" w:type="pct"/>
            <w:vAlign w:val="center"/>
          </w:tcPr>
          <w:p w14:paraId="10C446B6">
            <w:pPr>
              <w:pStyle w:val="28"/>
              <w:bidi w:val="0"/>
              <w:rPr>
                <w:lang w:val="zh-CN"/>
              </w:rPr>
            </w:pPr>
            <w:r>
              <w:t>评价年度</w:t>
            </w:r>
          </w:p>
        </w:tc>
        <w:tc>
          <w:tcPr>
            <w:tcW w:w="777" w:type="pct"/>
            <w:gridSpan w:val="2"/>
            <w:vAlign w:val="center"/>
          </w:tcPr>
          <w:p w14:paraId="7BE92796">
            <w:pPr>
              <w:pStyle w:val="28"/>
              <w:bidi w:val="0"/>
              <w:rPr>
                <w:lang w:val="zh-CN"/>
              </w:rPr>
            </w:pPr>
            <w:r>
              <w:t>初期</w:t>
            </w:r>
            <w:r>
              <w:rPr/>
              <w:sym w:font="Wingdings 2" w:char="0052"/>
            </w:r>
          </w:p>
        </w:tc>
        <w:tc>
          <w:tcPr>
            <w:tcW w:w="839" w:type="pct"/>
            <w:gridSpan w:val="3"/>
            <w:vAlign w:val="center"/>
          </w:tcPr>
          <w:p w14:paraId="1139B418">
            <w:pPr>
              <w:pStyle w:val="28"/>
              <w:bidi w:val="0"/>
              <w:rPr>
                <w:lang w:val="zh-CN"/>
              </w:rPr>
            </w:pPr>
            <w:r>
              <w:t>近期□</w:t>
            </w:r>
          </w:p>
        </w:tc>
        <w:tc>
          <w:tcPr>
            <w:tcW w:w="867" w:type="pct"/>
            <w:gridSpan w:val="3"/>
            <w:vAlign w:val="center"/>
          </w:tcPr>
          <w:p w14:paraId="5EEA4F9D">
            <w:pPr>
              <w:pStyle w:val="28"/>
              <w:bidi w:val="0"/>
              <w:rPr>
                <w:lang w:val="zh-CN"/>
              </w:rPr>
            </w:pPr>
            <w:r>
              <w:t>中期□</w:t>
            </w:r>
          </w:p>
        </w:tc>
        <w:tc>
          <w:tcPr>
            <w:tcW w:w="1046" w:type="pct"/>
            <w:gridSpan w:val="3"/>
            <w:vAlign w:val="center"/>
          </w:tcPr>
          <w:p w14:paraId="356479E9">
            <w:pPr>
              <w:pStyle w:val="28"/>
              <w:bidi w:val="0"/>
              <w:rPr>
                <w:lang w:val="zh-CN"/>
              </w:rPr>
            </w:pPr>
            <w:r>
              <w:t>远期□</w:t>
            </w:r>
          </w:p>
        </w:tc>
      </w:tr>
      <w:tr w14:paraId="11C27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Merge w:val="continue"/>
            <w:vAlign w:val="center"/>
          </w:tcPr>
          <w:p w14:paraId="3028A340">
            <w:pPr>
              <w:pStyle w:val="28"/>
              <w:bidi w:val="0"/>
              <w:rPr>
                <w:lang w:val="zh-CN"/>
              </w:rPr>
            </w:pPr>
          </w:p>
        </w:tc>
        <w:tc>
          <w:tcPr>
            <w:tcW w:w="882" w:type="pct"/>
            <w:vAlign w:val="center"/>
          </w:tcPr>
          <w:p w14:paraId="2F5F498B">
            <w:pPr>
              <w:pStyle w:val="28"/>
              <w:bidi w:val="0"/>
              <w:rPr>
                <w:lang w:val="zh-CN"/>
              </w:rPr>
            </w:pPr>
            <w:r>
              <w:t>现状调查方法</w:t>
            </w:r>
          </w:p>
        </w:tc>
        <w:tc>
          <w:tcPr>
            <w:tcW w:w="3529" w:type="pct"/>
            <w:gridSpan w:val="11"/>
            <w:vAlign w:val="center"/>
          </w:tcPr>
          <w:p w14:paraId="57D1538F">
            <w:pPr>
              <w:pStyle w:val="28"/>
              <w:bidi w:val="0"/>
              <w:rPr>
                <w:lang w:val="zh-CN"/>
              </w:rPr>
            </w:pPr>
            <w:r>
              <w:t>现场实测法</w:t>
            </w:r>
            <w:r>
              <w:rPr/>
              <w:sym w:font="Wingdings 2" w:char="0052"/>
            </w:r>
            <w:r>
              <w:t xml:space="preserve">     现场实测加模型计算法</w:t>
            </w:r>
            <w:r>
              <w:rPr/>
              <w:sym w:font="Wingdings 2" w:char="0052"/>
            </w:r>
            <w:r>
              <w:t xml:space="preserve">    收集资料□</w:t>
            </w:r>
          </w:p>
        </w:tc>
      </w:tr>
      <w:tr w14:paraId="512F2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Merge w:val="continue"/>
            <w:vAlign w:val="center"/>
          </w:tcPr>
          <w:p w14:paraId="292C1A19">
            <w:pPr>
              <w:pStyle w:val="28"/>
              <w:bidi w:val="0"/>
              <w:rPr>
                <w:lang w:val="zh-CN"/>
              </w:rPr>
            </w:pPr>
          </w:p>
        </w:tc>
        <w:tc>
          <w:tcPr>
            <w:tcW w:w="882" w:type="pct"/>
            <w:vAlign w:val="center"/>
          </w:tcPr>
          <w:p w14:paraId="190D9766">
            <w:pPr>
              <w:pStyle w:val="28"/>
              <w:bidi w:val="0"/>
              <w:rPr>
                <w:lang w:val="zh-CN"/>
              </w:rPr>
            </w:pPr>
            <w:r>
              <w:t>现状评价</w:t>
            </w:r>
          </w:p>
        </w:tc>
        <w:tc>
          <w:tcPr>
            <w:tcW w:w="940" w:type="pct"/>
            <w:gridSpan w:val="3"/>
            <w:vAlign w:val="center"/>
          </w:tcPr>
          <w:p w14:paraId="7F48EEEA">
            <w:pPr>
              <w:pStyle w:val="28"/>
              <w:bidi w:val="0"/>
              <w:rPr>
                <w:lang w:val="zh-CN"/>
              </w:rPr>
            </w:pPr>
            <w:r>
              <w:t>达标百分比</w:t>
            </w:r>
          </w:p>
        </w:tc>
        <w:tc>
          <w:tcPr>
            <w:tcW w:w="2589" w:type="pct"/>
            <w:gridSpan w:val="8"/>
            <w:vAlign w:val="center"/>
          </w:tcPr>
          <w:p w14:paraId="7EE580C2">
            <w:pPr>
              <w:pStyle w:val="28"/>
              <w:bidi w:val="0"/>
              <w:rPr>
                <w:lang w:val="zh-CN"/>
              </w:rPr>
            </w:pPr>
            <w:r>
              <w:rPr>
                <w:lang w:val="zh-CN"/>
              </w:rPr>
              <w:t>100%</w:t>
            </w:r>
          </w:p>
        </w:tc>
      </w:tr>
      <w:tr w14:paraId="03E2C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Align w:val="center"/>
          </w:tcPr>
          <w:p w14:paraId="58DBE8DD">
            <w:pPr>
              <w:pStyle w:val="28"/>
              <w:bidi w:val="0"/>
              <w:rPr>
                <w:lang w:val="zh-CN"/>
              </w:rPr>
            </w:pPr>
            <w:r>
              <w:t>噪声源调查</w:t>
            </w:r>
          </w:p>
        </w:tc>
        <w:tc>
          <w:tcPr>
            <w:tcW w:w="882" w:type="pct"/>
            <w:vAlign w:val="center"/>
          </w:tcPr>
          <w:p w14:paraId="36F34287">
            <w:pPr>
              <w:pStyle w:val="28"/>
              <w:bidi w:val="0"/>
              <w:rPr>
                <w:lang w:val="zh-CN"/>
              </w:rPr>
            </w:pPr>
            <w:r>
              <w:t>噪声源调查方法</w:t>
            </w:r>
          </w:p>
        </w:tc>
        <w:tc>
          <w:tcPr>
            <w:tcW w:w="3529" w:type="pct"/>
            <w:gridSpan w:val="11"/>
            <w:vAlign w:val="center"/>
          </w:tcPr>
          <w:p w14:paraId="4AF4A3C5">
            <w:pPr>
              <w:pStyle w:val="28"/>
              <w:bidi w:val="0"/>
              <w:rPr>
                <w:lang w:val="zh-CN"/>
              </w:rPr>
            </w:pPr>
            <w:r>
              <w:t>现场实测□                 已有资料</w:t>
            </w:r>
            <w:r>
              <w:rPr/>
              <w:sym w:font="Wingdings 2" w:char="0052"/>
            </w:r>
            <w:r>
              <w:t xml:space="preserve">               研究成果□</w:t>
            </w:r>
          </w:p>
        </w:tc>
      </w:tr>
      <w:tr w14:paraId="65E9A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Merge w:val="restart"/>
            <w:vAlign w:val="center"/>
          </w:tcPr>
          <w:p w14:paraId="04BBB9B6">
            <w:pPr>
              <w:pStyle w:val="28"/>
              <w:bidi w:val="0"/>
              <w:rPr>
                <w:lang w:val="zh-CN"/>
              </w:rPr>
            </w:pPr>
            <w:r>
              <w:t>声环境影响预测与评价</w:t>
            </w:r>
          </w:p>
        </w:tc>
        <w:tc>
          <w:tcPr>
            <w:tcW w:w="882" w:type="pct"/>
            <w:vAlign w:val="center"/>
          </w:tcPr>
          <w:p w14:paraId="5B3546A6">
            <w:pPr>
              <w:pStyle w:val="28"/>
              <w:bidi w:val="0"/>
              <w:rPr>
                <w:lang w:val="zh-CN"/>
              </w:rPr>
            </w:pPr>
            <w:r>
              <w:t>预测模型</w:t>
            </w:r>
          </w:p>
        </w:tc>
        <w:tc>
          <w:tcPr>
            <w:tcW w:w="1968" w:type="pct"/>
            <w:gridSpan w:val="6"/>
            <w:vAlign w:val="center"/>
          </w:tcPr>
          <w:p w14:paraId="5ACB8D52">
            <w:pPr>
              <w:pStyle w:val="28"/>
              <w:bidi w:val="0"/>
              <w:rPr>
                <w:lang w:val="zh-CN"/>
              </w:rPr>
            </w:pPr>
            <w:r>
              <w:t>导则推荐模型</w:t>
            </w:r>
            <w:r>
              <w:rPr/>
              <w:sym w:font="Wingdings 2" w:char="0052"/>
            </w:r>
          </w:p>
        </w:tc>
        <w:tc>
          <w:tcPr>
            <w:tcW w:w="1562" w:type="pct"/>
            <w:gridSpan w:val="5"/>
            <w:vAlign w:val="center"/>
          </w:tcPr>
          <w:p w14:paraId="4F883E27">
            <w:pPr>
              <w:pStyle w:val="28"/>
              <w:bidi w:val="0"/>
              <w:rPr>
                <w:lang w:val="zh-CN"/>
              </w:rPr>
            </w:pPr>
            <w:r>
              <w:t>其他□</w:t>
            </w:r>
          </w:p>
        </w:tc>
      </w:tr>
      <w:tr w14:paraId="1C69E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Merge w:val="continue"/>
            <w:vAlign w:val="center"/>
          </w:tcPr>
          <w:p w14:paraId="046B7FF5">
            <w:pPr>
              <w:pStyle w:val="28"/>
              <w:bidi w:val="0"/>
              <w:rPr>
                <w:lang w:val="zh-CN"/>
              </w:rPr>
            </w:pPr>
          </w:p>
        </w:tc>
        <w:tc>
          <w:tcPr>
            <w:tcW w:w="882" w:type="pct"/>
            <w:vAlign w:val="center"/>
          </w:tcPr>
          <w:p w14:paraId="7739114C">
            <w:pPr>
              <w:pStyle w:val="28"/>
              <w:bidi w:val="0"/>
              <w:rPr>
                <w:lang w:val="zh-CN"/>
              </w:rPr>
            </w:pPr>
            <w:r>
              <w:t>预测范围</w:t>
            </w:r>
          </w:p>
        </w:tc>
        <w:tc>
          <w:tcPr>
            <w:tcW w:w="3529" w:type="pct"/>
            <w:gridSpan w:val="11"/>
            <w:vAlign w:val="center"/>
          </w:tcPr>
          <w:p w14:paraId="2787F08A">
            <w:pPr>
              <w:pStyle w:val="28"/>
              <w:bidi w:val="0"/>
              <w:rPr>
                <w:lang w:val="zh-CN"/>
              </w:rPr>
            </w:pPr>
            <w:r>
              <w:t>200 m</w:t>
            </w:r>
            <w:r>
              <w:rPr/>
              <w:sym w:font="Wingdings 2" w:char="0052"/>
            </w:r>
            <w:r>
              <w:t xml:space="preserve">          大于200 m□           小于200 m□</w:t>
            </w:r>
          </w:p>
        </w:tc>
      </w:tr>
      <w:tr w14:paraId="7B4B9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Merge w:val="continue"/>
            <w:vAlign w:val="center"/>
          </w:tcPr>
          <w:p w14:paraId="37EAE5C9">
            <w:pPr>
              <w:pStyle w:val="28"/>
              <w:bidi w:val="0"/>
              <w:rPr>
                <w:lang w:val="zh-CN"/>
              </w:rPr>
            </w:pPr>
          </w:p>
        </w:tc>
        <w:tc>
          <w:tcPr>
            <w:tcW w:w="882" w:type="pct"/>
            <w:vAlign w:val="center"/>
          </w:tcPr>
          <w:p w14:paraId="08AA3A09">
            <w:pPr>
              <w:pStyle w:val="28"/>
              <w:bidi w:val="0"/>
              <w:rPr>
                <w:lang w:val="zh-CN"/>
              </w:rPr>
            </w:pPr>
            <w:r>
              <w:t>预测因子</w:t>
            </w:r>
          </w:p>
        </w:tc>
        <w:tc>
          <w:tcPr>
            <w:tcW w:w="940" w:type="pct"/>
            <w:gridSpan w:val="3"/>
            <w:vAlign w:val="center"/>
          </w:tcPr>
          <w:p w14:paraId="06436170">
            <w:pPr>
              <w:pStyle w:val="28"/>
              <w:bidi w:val="0"/>
              <w:rPr>
                <w:lang w:val="zh-CN"/>
              </w:rPr>
            </w:pPr>
            <w:r>
              <w:t>等效连续A声级□</w:t>
            </w:r>
          </w:p>
        </w:tc>
        <w:tc>
          <w:tcPr>
            <w:tcW w:w="1028" w:type="pct"/>
            <w:gridSpan w:val="3"/>
            <w:vAlign w:val="center"/>
          </w:tcPr>
          <w:p w14:paraId="56A42645">
            <w:pPr>
              <w:pStyle w:val="28"/>
              <w:bidi w:val="0"/>
              <w:rPr>
                <w:lang w:val="zh-CN"/>
              </w:rPr>
            </w:pPr>
            <w:r>
              <w:t>最大A声级□</w:t>
            </w:r>
          </w:p>
        </w:tc>
        <w:tc>
          <w:tcPr>
            <w:tcW w:w="1562" w:type="pct"/>
            <w:gridSpan w:val="5"/>
            <w:vAlign w:val="center"/>
          </w:tcPr>
          <w:p w14:paraId="54C904B1">
            <w:pPr>
              <w:pStyle w:val="28"/>
              <w:bidi w:val="0"/>
              <w:rPr>
                <w:lang w:val="zh-CN"/>
              </w:rPr>
            </w:pPr>
            <w:r>
              <w:t>计权等效连续感觉噪声级□</w:t>
            </w:r>
          </w:p>
        </w:tc>
      </w:tr>
      <w:tr w14:paraId="0ABDC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Merge w:val="continue"/>
            <w:vAlign w:val="center"/>
          </w:tcPr>
          <w:p w14:paraId="14575D71">
            <w:pPr>
              <w:pStyle w:val="28"/>
              <w:bidi w:val="0"/>
              <w:rPr>
                <w:lang w:val="zh-CN"/>
              </w:rPr>
            </w:pPr>
          </w:p>
        </w:tc>
        <w:tc>
          <w:tcPr>
            <w:tcW w:w="882" w:type="pct"/>
            <w:vAlign w:val="center"/>
          </w:tcPr>
          <w:p w14:paraId="257C5330">
            <w:pPr>
              <w:pStyle w:val="28"/>
              <w:bidi w:val="0"/>
              <w:rPr>
                <w:lang w:val="zh-CN"/>
              </w:rPr>
            </w:pPr>
            <w:r>
              <w:t>厂界噪声贡献值</w:t>
            </w:r>
          </w:p>
        </w:tc>
        <w:tc>
          <w:tcPr>
            <w:tcW w:w="3529" w:type="pct"/>
            <w:gridSpan w:val="11"/>
            <w:vAlign w:val="center"/>
          </w:tcPr>
          <w:p w14:paraId="0B72FF7A">
            <w:pPr>
              <w:pStyle w:val="28"/>
              <w:bidi w:val="0"/>
              <w:rPr>
                <w:lang w:val="zh-CN"/>
              </w:rPr>
            </w:pPr>
            <w:r>
              <w:t>达标</w:t>
            </w:r>
            <w:r>
              <w:rPr/>
              <w:sym w:font="Wingdings 2" w:char="0052"/>
            </w:r>
            <w:r>
              <w:t xml:space="preserve">                           不达标□</w:t>
            </w:r>
          </w:p>
        </w:tc>
      </w:tr>
      <w:tr w14:paraId="69B9B3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Merge w:val="continue"/>
            <w:vAlign w:val="center"/>
          </w:tcPr>
          <w:p w14:paraId="5F02C8A2">
            <w:pPr>
              <w:pStyle w:val="28"/>
              <w:bidi w:val="0"/>
              <w:rPr>
                <w:lang w:val="zh-CN"/>
              </w:rPr>
            </w:pPr>
          </w:p>
        </w:tc>
        <w:tc>
          <w:tcPr>
            <w:tcW w:w="882" w:type="pct"/>
            <w:vAlign w:val="center"/>
          </w:tcPr>
          <w:p w14:paraId="472D0EA6">
            <w:pPr>
              <w:pStyle w:val="28"/>
              <w:bidi w:val="0"/>
              <w:rPr>
                <w:lang w:val="zh-CN"/>
              </w:rPr>
            </w:pPr>
            <w:r>
              <w:t>声环境保护目标处噪声值</w:t>
            </w:r>
          </w:p>
        </w:tc>
        <w:tc>
          <w:tcPr>
            <w:tcW w:w="3529" w:type="pct"/>
            <w:gridSpan w:val="11"/>
            <w:vAlign w:val="center"/>
          </w:tcPr>
          <w:p w14:paraId="17A84C72">
            <w:pPr>
              <w:pStyle w:val="28"/>
              <w:bidi w:val="0"/>
              <w:rPr>
                <w:lang w:val="zh-CN"/>
              </w:rPr>
            </w:pPr>
            <w:r>
              <w:t>达标</w:t>
            </w:r>
            <w:r>
              <w:rPr/>
              <w:sym w:font="Wingdings 2" w:char="0052"/>
            </w:r>
            <w:r>
              <w:t xml:space="preserve">                            不达标□</w:t>
            </w:r>
          </w:p>
        </w:tc>
      </w:tr>
      <w:tr w14:paraId="56790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Merge w:val="restart"/>
            <w:vAlign w:val="center"/>
          </w:tcPr>
          <w:p w14:paraId="0E69CBD4">
            <w:pPr>
              <w:pStyle w:val="28"/>
              <w:bidi w:val="0"/>
              <w:rPr>
                <w:lang w:val="zh-CN"/>
              </w:rPr>
            </w:pPr>
            <w:r>
              <w:t>环境监测计划</w:t>
            </w:r>
          </w:p>
        </w:tc>
        <w:tc>
          <w:tcPr>
            <w:tcW w:w="882" w:type="pct"/>
            <w:vAlign w:val="center"/>
          </w:tcPr>
          <w:p w14:paraId="022F2E95">
            <w:pPr>
              <w:pStyle w:val="28"/>
              <w:bidi w:val="0"/>
              <w:rPr>
                <w:lang w:val="zh-CN"/>
              </w:rPr>
            </w:pPr>
            <w:r>
              <w:t>排放监测</w:t>
            </w:r>
          </w:p>
        </w:tc>
        <w:tc>
          <w:tcPr>
            <w:tcW w:w="3529" w:type="pct"/>
            <w:gridSpan w:val="11"/>
            <w:vAlign w:val="center"/>
          </w:tcPr>
          <w:p w14:paraId="4212300D">
            <w:pPr>
              <w:pStyle w:val="28"/>
              <w:bidi w:val="0"/>
              <w:rPr>
                <w:lang w:val="zh-CN"/>
              </w:rPr>
            </w:pPr>
            <w:r>
              <w:t>厂界监测</w:t>
            </w:r>
            <w:r>
              <w:tab/>
            </w:r>
            <w:r>
              <w:t>固定位置监测□    自动监测□   手动监测□   无监测□</w:t>
            </w:r>
          </w:p>
        </w:tc>
      </w:tr>
      <w:tr w14:paraId="6741E3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Merge w:val="continue"/>
            <w:vAlign w:val="center"/>
          </w:tcPr>
          <w:p w14:paraId="0A89A7CF">
            <w:pPr>
              <w:pStyle w:val="28"/>
              <w:bidi w:val="0"/>
              <w:rPr>
                <w:lang w:val="zh-CN"/>
              </w:rPr>
            </w:pPr>
          </w:p>
        </w:tc>
        <w:tc>
          <w:tcPr>
            <w:tcW w:w="882" w:type="pct"/>
            <w:vAlign w:val="center"/>
          </w:tcPr>
          <w:p w14:paraId="4C3078D7">
            <w:pPr>
              <w:pStyle w:val="28"/>
              <w:bidi w:val="0"/>
              <w:rPr>
                <w:lang w:val="zh-CN"/>
              </w:rPr>
            </w:pPr>
            <w:r>
              <w:t>声环境保护目标处噪声监测</w:t>
            </w:r>
          </w:p>
        </w:tc>
        <w:tc>
          <w:tcPr>
            <w:tcW w:w="1616" w:type="pct"/>
            <w:gridSpan w:val="5"/>
            <w:vAlign w:val="center"/>
          </w:tcPr>
          <w:p w14:paraId="43E88BCE">
            <w:pPr>
              <w:pStyle w:val="28"/>
              <w:bidi w:val="0"/>
              <w:rPr>
                <w:lang w:val="zh-CN"/>
              </w:rPr>
            </w:pPr>
            <w:r>
              <w:t>监测因子：（等效连续A声级）</w:t>
            </w:r>
          </w:p>
        </w:tc>
        <w:tc>
          <w:tcPr>
            <w:tcW w:w="1131" w:type="pct"/>
            <w:gridSpan w:val="4"/>
            <w:vAlign w:val="center"/>
          </w:tcPr>
          <w:p w14:paraId="06740410">
            <w:pPr>
              <w:pStyle w:val="28"/>
              <w:bidi w:val="0"/>
              <w:rPr>
                <w:lang w:val="zh-CN"/>
              </w:rPr>
            </w:pPr>
            <w:r>
              <w:t>监测点位数（）</w:t>
            </w:r>
          </w:p>
        </w:tc>
        <w:tc>
          <w:tcPr>
            <w:tcW w:w="783" w:type="pct"/>
            <w:gridSpan w:val="2"/>
            <w:vAlign w:val="center"/>
          </w:tcPr>
          <w:p w14:paraId="418D84CC">
            <w:pPr>
              <w:pStyle w:val="28"/>
              <w:bidi w:val="0"/>
              <w:rPr>
                <w:lang w:val="zh-CN"/>
              </w:rPr>
            </w:pPr>
            <w:r>
              <w:t>无监测□</w:t>
            </w:r>
          </w:p>
        </w:tc>
      </w:tr>
      <w:tr w14:paraId="4E213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88" w:type="pct"/>
            <w:vAlign w:val="center"/>
          </w:tcPr>
          <w:p w14:paraId="748D5033">
            <w:pPr>
              <w:pStyle w:val="28"/>
              <w:bidi w:val="0"/>
              <w:rPr>
                <w:lang w:val="zh-CN"/>
              </w:rPr>
            </w:pPr>
            <w:r>
              <w:t>评价结论</w:t>
            </w:r>
          </w:p>
        </w:tc>
        <w:tc>
          <w:tcPr>
            <w:tcW w:w="882" w:type="pct"/>
            <w:vAlign w:val="center"/>
          </w:tcPr>
          <w:p w14:paraId="184C4974">
            <w:pPr>
              <w:pStyle w:val="28"/>
              <w:bidi w:val="0"/>
              <w:rPr>
                <w:lang w:val="zh-CN"/>
              </w:rPr>
            </w:pPr>
            <w:r>
              <w:t>环境影响</w:t>
            </w:r>
          </w:p>
        </w:tc>
        <w:tc>
          <w:tcPr>
            <w:tcW w:w="3529" w:type="pct"/>
            <w:gridSpan w:val="11"/>
            <w:vAlign w:val="center"/>
          </w:tcPr>
          <w:p w14:paraId="5E2AF225">
            <w:pPr>
              <w:pStyle w:val="28"/>
              <w:bidi w:val="0"/>
              <w:rPr>
                <w:lang w:val="zh-CN"/>
              </w:rPr>
            </w:pPr>
            <w:r>
              <w:t>可行</w:t>
            </w:r>
            <w:r>
              <w:rPr/>
              <w:sym w:font="Wingdings 2" w:char="0052"/>
            </w:r>
            <w:r>
              <w:tab/>
            </w:r>
            <w:r>
              <w:t>不可行□</w:t>
            </w:r>
          </w:p>
        </w:tc>
      </w:tr>
      <w:tr w14:paraId="17522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13"/>
            <w:vAlign w:val="center"/>
          </w:tcPr>
          <w:p w14:paraId="34BDBEF6">
            <w:pPr>
              <w:pStyle w:val="28"/>
              <w:bidi w:val="0"/>
              <w:rPr>
                <w:lang w:val="zh-CN"/>
              </w:rPr>
            </w:pPr>
            <w:r>
              <w:t>注</w:t>
            </w:r>
            <w:r>
              <w:rPr>
                <w:rFonts w:hint="eastAsia"/>
              </w:rPr>
              <w:t>“</w:t>
            </w:r>
            <w:r>
              <w:t>□</w:t>
            </w:r>
            <w:r>
              <w:rPr>
                <w:rFonts w:hint="eastAsia"/>
              </w:rPr>
              <w:t>”</w:t>
            </w:r>
            <w:r>
              <w:t>为勾选项 ，可√；</w:t>
            </w:r>
            <w:r>
              <w:rPr>
                <w:rFonts w:hint="eastAsia"/>
              </w:rPr>
              <w:t>“</w:t>
            </w:r>
            <w:r>
              <w:t>（  ）</w:t>
            </w:r>
            <w:r>
              <w:rPr>
                <w:rFonts w:hint="eastAsia"/>
              </w:rPr>
              <w:t>”</w:t>
            </w:r>
            <w:r>
              <w:t>为内容填写项。</w:t>
            </w:r>
          </w:p>
        </w:tc>
      </w:tr>
    </w:tbl>
    <w:p w14:paraId="35054656">
      <w:pPr>
        <w:pStyle w:val="3"/>
        <w:rPr>
          <w:rFonts w:cs="Times New Roman"/>
          <w:color w:val="0000FF"/>
        </w:rPr>
        <w:sectPr>
          <w:pgSz w:w="11905" w:h="16838"/>
          <w:pgMar w:top="1417" w:right="1417" w:bottom="1417" w:left="1417" w:header="850" w:footer="850" w:gutter="0"/>
          <w:pgNumType w:fmt="decimal"/>
          <w:cols w:space="0" w:num="1"/>
          <w:rtlGutter w:val="0"/>
          <w:docGrid w:linePitch="312" w:charSpace="0"/>
        </w:sectPr>
      </w:pPr>
    </w:p>
    <w:p w14:paraId="4A72BD07">
      <w:pPr>
        <w:pStyle w:val="3"/>
        <w:rPr>
          <w:rFonts w:cs="Times New Roman"/>
          <w:color w:val="0000FF"/>
        </w:rPr>
      </w:pPr>
      <w:bookmarkStart w:id="64" w:name="_Toc9234"/>
      <w:r>
        <w:rPr>
          <w:rFonts w:hint="eastAsia" w:cs="Times New Roman"/>
          <w:color w:val="0000FF"/>
        </w:rPr>
        <w:t>5.5</w:t>
      </w:r>
      <w:r>
        <w:rPr>
          <w:rFonts w:cs="Times New Roman"/>
          <w:color w:val="0000FF"/>
        </w:rPr>
        <w:t xml:space="preserve"> 固体废物影响分析与评价</w:t>
      </w:r>
      <w:bookmarkEnd w:id="64"/>
    </w:p>
    <w:p w14:paraId="35AAFD17">
      <w:pPr>
        <w:pStyle w:val="4"/>
        <w:rPr>
          <w:rFonts w:cs="Times New Roman"/>
          <w:color w:val="0000FF"/>
        </w:rPr>
      </w:pPr>
      <w:r>
        <w:rPr>
          <w:rFonts w:hint="eastAsia" w:cs="Times New Roman"/>
          <w:color w:val="0000FF"/>
        </w:rPr>
        <w:t>5.5</w:t>
      </w:r>
      <w:r>
        <w:rPr>
          <w:rFonts w:cs="Times New Roman"/>
          <w:color w:val="0000FF"/>
        </w:rPr>
        <w:t>.1 施工期固废影响分析</w:t>
      </w:r>
    </w:p>
    <w:p w14:paraId="40A60983">
      <w:pPr>
        <w:ind w:firstLine="480"/>
        <w:rPr>
          <w:rFonts w:cs="Times New Roman"/>
          <w:color w:val="0000FF"/>
        </w:rPr>
      </w:pPr>
      <w:r>
        <w:rPr>
          <w:rFonts w:cs="Times New Roman"/>
          <w:color w:val="0000FF"/>
          <w:kern w:val="2"/>
        </w:rPr>
        <w:t>本工程固体废物的主要来源于施工期产生的生活垃圾、施工弃土、</w:t>
      </w:r>
      <w:r>
        <w:rPr>
          <w:rFonts w:cs="Times New Roman"/>
          <w:color w:val="0000FF"/>
        </w:rPr>
        <w:t>混凝土养护废渣、建筑垃圾</w:t>
      </w:r>
      <w:r>
        <w:rPr>
          <w:rFonts w:cs="Times New Roman"/>
          <w:color w:val="0000FF"/>
          <w:kern w:val="2"/>
        </w:rPr>
        <w:t>以及车间维修间产生的</w:t>
      </w:r>
      <w:r>
        <w:rPr>
          <w:rFonts w:cs="Times New Roman"/>
          <w:color w:val="0000FF"/>
        </w:rPr>
        <w:t>废机油及其包装容器</w:t>
      </w:r>
      <w:r>
        <w:rPr>
          <w:rFonts w:cs="Times New Roman"/>
          <w:color w:val="0000FF"/>
          <w:kern w:val="2"/>
        </w:rPr>
        <w:t>（属于危险废物）、</w:t>
      </w:r>
      <w:r>
        <w:rPr>
          <w:rFonts w:cs="Times New Roman"/>
          <w:color w:val="0000FF"/>
        </w:rPr>
        <w:t>渡槽工程使用产生的废涂料及包装容器</w:t>
      </w:r>
      <w:r>
        <w:rPr>
          <w:rFonts w:cs="Times New Roman"/>
          <w:color w:val="0000FF"/>
          <w:kern w:val="2"/>
        </w:rPr>
        <w:t>。</w:t>
      </w:r>
    </w:p>
    <w:p w14:paraId="3A4743BE">
      <w:pPr>
        <w:ind w:firstLine="482"/>
        <w:rPr>
          <w:rFonts w:cs="Times New Roman"/>
          <w:color w:val="0000FF"/>
          <w:kern w:val="2"/>
        </w:rPr>
      </w:pPr>
      <w:r>
        <w:rPr>
          <w:rFonts w:cs="Times New Roman"/>
          <w:color w:val="0000FF"/>
          <w:kern w:val="2"/>
        </w:rPr>
        <w:t>（1）生活垃圾</w:t>
      </w:r>
    </w:p>
    <w:p w14:paraId="547B3AA4">
      <w:pPr>
        <w:ind w:firstLine="480"/>
        <w:rPr>
          <w:rFonts w:cs="Times New Roman"/>
          <w:color w:val="0000FF"/>
        </w:rPr>
      </w:pPr>
      <w:r>
        <w:rPr>
          <w:rFonts w:cs="Times New Roman"/>
          <w:color w:val="0000FF"/>
          <w:kern w:val="2"/>
        </w:rPr>
        <w:t>根据污染源强核算，施工期工程共产生生活垃圾</w:t>
      </w:r>
      <w:r>
        <w:rPr>
          <w:rFonts w:cs="Times New Roman"/>
          <w:color w:val="0000FF"/>
        </w:rPr>
        <w:t>906t，高峰期每天产生生活垃圾5.3t。因此，各施工区应设置垃圾桶，并设专人定时进行卫生清理工作，生活垃圾每天集中收集，委托当地环境卫生部门进行统一清运。在采取以上措施后，工程产生的生活垃圾应不会对周边环境造成污染。</w:t>
      </w:r>
    </w:p>
    <w:p w14:paraId="376A0C0C">
      <w:pPr>
        <w:ind w:firstLine="482"/>
        <w:rPr>
          <w:rFonts w:cs="Times New Roman"/>
          <w:color w:val="0000FF"/>
          <w:kern w:val="2"/>
        </w:rPr>
      </w:pPr>
      <w:r>
        <w:rPr>
          <w:rFonts w:cs="Times New Roman"/>
          <w:color w:val="0000FF"/>
          <w:kern w:val="2"/>
        </w:rPr>
        <w:t>（2）施工弃土</w:t>
      </w:r>
    </w:p>
    <w:p w14:paraId="086BA457">
      <w:pPr>
        <w:ind w:firstLine="480"/>
        <w:rPr>
          <w:rFonts w:cs="Times New Roman"/>
          <w:color w:val="0000FF"/>
          <w:kern w:val="2"/>
          <w:szCs w:val="20"/>
        </w:rPr>
      </w:pPr>
      <w:r>
        <w:rPr>
          <w:rFonts w:cs="Times New Roman"/>
          <w:color w:val="0000FF"/>
          <w:kern w:val="2"/>
        </w:rPr>
        <w:t>本工程开挖土方</w:t>
      </w:r>
      <w:r>
        <w:rPr>
          <w:rFonts w:cs="Times New Roman"/>
          <w:color w:val="0000FF"/>
        </w:rPr>
        <w:t>272.7</w:t>
      </w:r>
      <w:r>
        <w:rPr>
          <w:rFonts w:cs="Times New Roman"/>
          <w:color w:val="0000FF"/>
          <w:kern w:val="2"/>
        </w:rPr>
        <w:t>万m</w:t>
      </w:r>
      <w:r>
        <w:rPr>
          <w:rFonts w:cs="Times New Roman"/>
          <w:color w:val="0000FF"/>
          <w:kern w:val="2"/>
          <w:vertAlign w:val="superscript"/>
        </w:rPr>
        <w:t>3</w:t>
      </w:r>
      <w:r>
        <w:rPr>
          <w:rFonts w:cs="Times New Roman"/>
          <w:color w:val="0000FF"/>
          <w:kern w:val="2"/>
        </w:rPr>
        <w:t>，土方回填总量179.41万m</w:t>
      </w:r>
      <w:r>
        <w:rPr>
          <w:rFonts w:cs="Times New Roman"/>
          <w:color w:val="0000FF"/>
          <w:kern w:val="2"/>
          <w:vertAlign w:val="superscript"/>
        </w:rPr>
        <w:t>3</w:t>
      </w:r>
      <w:r>
        <w:rPr>
          <w:rFonts w:cs="Times New Roman"/>
          <w:color w:val="0000FF"/>
          <w:kern w:val="2"/>
        </w:rPr>
        <w:t>，弃土量174.54万m</w:t>
      </w:r>
      <w:r>
        <w:rPr>
          <w:rFonts w:cs="Times New Roman"/>
          <w:color w:val="0000FF"/>
          <w:kern w:val="2"/>
          <w:vertAlign w:val="superscript"/>
        </w:rPr>
        <w:t>3</w:t>
      </w:r>
      <w:r>
        <w:rPr>
          <w:rFonts w:cs="Times New Roman"/>
          <w:color w:val="0000FF"/>
          <w:kern w:val="2"/>
        </w:rPr>
        <w:t>，弃土弃于弃土区</w:t>
      </w:r>
      <w:r>
        <w:rPr>
          <w:rFonts w:cs="Times New Roman"/>
          <w:color w:val="0000FF"/>
          <w:kern w:val="2"/>
          <w:szCs w:val="20"/>
        </w:rPr>
        <w:t>。</w:t>
      </w:r>
    </w:p>
    <w:p w14:paraId="1EE6D8C9">
      <w:pPr>
        <w:ind w:firstLine="480"/>
        <w:rPr>
          <w:rFonts w:cs="Times New Roman"/>
          <w:color w:val="0000FF"/>
          <w:kern w:val="2"/>
        </w:rPr>
      </w:pPr>
      <w:r>
        <w:rPr>
          <w:rFonts w:cs="Times New Roman"/>
          <w:color w:val="0000FF"/>
          <w:kern w:val="2"/>
          <w:szCs w:val="20"/>
        </w:rPr>
        <w:t>施工弃土主要来源为拆除工程弃方以及渠道清淤底泥。根据底泥监测结果，渠道底泥各项监测因子</w:t>
      </w:r>
      <w:r>
        <w:rPr>
          <w:rFonts w:cs="Times New Roman"/>
          <w:color w:val="0000FF"/>
        </w:rPr>
        <w:t>均符合《土壤环境质量农用地土壤污染风险管控标准（试行）》（GB15618-2018）农用地土壤污染风险筛选值，为一般固废，不需按照危险废物采取特殊措施进行处置，且本次清淤方式均为干地施工，施工期均在枯水期进行，清淤出的淤泥</w:t>
      </w:r>
      <w:r>
        <w:rPr>
          <w:rFonts w:hint="eastAsia" w:cs="Times New Roman"/>
          <w:color w:val="0000FF"/>
        </w:rPr>
        <w:t>及时转运</w:t>
      </w:r>
      <w:r>
        <w:rPr>
          <w:rFonts w:cs="Times New Roman"/>
          <w:color w:val="0000FF"/>
        </w:rPr>
        <w:t>至弃土区</w:t>
      </w:r>
      <w:r>
        <w:rPr>
          <w:rFonts w:hint="eastAsia" w:cs="Times New Roman"/>
          <w:color w:val="0000FF"/>
        </w:rPr>
        <w:t>，弃土</w:t>
      </w:r>
      <w:r>
        <w:rPr>
          <w:rFonts w:cs="Times New Roman"/>
          <w:color w:val="0000FF"/>
        </w:rPr>
        <w:t>前将弃土区表土剥离后堆放至设计容量，而后将剥离的表土覆盖进行</w:t>
      </w:r>
      <w:r>
        <w:rPr>
          <w:rFonts w:cs="Times New Roman"/>
          <w:color w:val="0000FF"/>
          <w:kern w:val="2"/>
        </w:rPr>
        <w:t>土地复垦或植被恢复</w:t>
      </w:r>
      <w:r>
        <w:rPr>
          <w:rFonts w:cs="Times New Roman"/>
          <w:color w:val="0000FF"/>
        </w:rPr>
        <w:t>。</w:t>
      </w:r>
      <w:r>
        <w:rPr>
          <w:rFonts w:cs="Times New Roman"/>
          <w:color w:val="0000FF"/>
          <w:kern w:val="2"/>
        </w:rPr>
        <w:t>其它工程开挖弃土一部分用于回填，未被利用的部分堆填于工程规划的弃土区内，不可随意堆放，同时对弃土堆放区进行定期洒水，防止风吹扬尘，或者使用薄膜覆盖防风和降雨；堆放过程中要严格按照设计控制堆放高度，并采取建设挡栏等措施防止其被冲刷流失，后期进行土地复垦或植被恢复。通过采取以上措施后，施工弃土对环境影响较小。</w:t>
      </w:r>
    </w:p>
    <w:p w14:paraId="3B2E7E8C">
      <w:pPr>
        <w:ind w:firstLine="482"/>
        <w:rPr>
          <w:rFonts w:cs="Times New Roman"/>
          <w:bCs/>
          <w:color w:val="0000FF"/>
        </w:rPr>
      </w:pPr>
      <w:r>
        <w:rPr>
          <w:rFonts w:cs="Times New Roman"/>
          <w:bCs/>
          <w:color w:val="0000FF"/>
          <w:kern w:val="2"/>
        </w:rPr>
        <w:t>（3）</w:t>
      </w:r>
      <w:r>
        <w:rPr>
          <w:rFonts w:cs="Times New Roman"/>
          <w:bCs/>
          <w:color w:val="0000FF"/>
        </w:rPr>
        <w:t>混凝土养护废渣</w:t>
      </w:r>
    </w:p>
    <w:p w14:paraId="562F2B63">
      <w:pPr>
        <w:ind w:firstLine="480"/>
        <w:rPr>
          <w:rFonts w:cs="Times New Roman"/>
          <w:bCs/>
          <w:color w:val="0000FF"/>
          <w:kern w:val="2"/>
        </w:rPr>
      </w:pPr>
      <w:r>
        <w:rPr>
          <w:rFonts w:cs="Times New Roman"/>
          <w:bCs/>
          <w:color w:val="0000FF"/>
        </w:rPr>
        <w:t>混凝土养护过程会产生一些混凝土边角料，养护废渣产生量为41.23t，送至当地建筑垃圾综合利用厂进行回收利用。</w:t>
      </w:r>
    </w:p>
    <w:p w14:paraId="4E91F67C">
      <w:pPr>
        <w:ind w:firstLine="482"/>
        <w:rPr>
          <w:rFonts w:cs="Times New Roman"/>
          <w:bCs/>
          <w:color w:val="0000FF"/>
          <w:kern w:val="2"/>
        </w:rPr>
      </w:pPr>
      <w:r>
        <w:rPr>
          <w:rFonts w:cs="Times New Roman"/>
          <w:bCs/>
          <w:color w:val="0000FF"/>
          <w:kern w:val="2"/>
        </w:rPr>
        <w:t>（4）建筑垃圾及涵闸拆迁垃圾</w:t>
      </w:r>
    </w:p>
    <w:p w14:paraId="20521EE3">
      <w:pPr>
        <w:ind w:firstLine="480"/>
        <w:rPr>
          <w:rFonts w:cs="Times New Roman"/>
          <w:color w:val="0000FF"/>
          <w:kern w:val="2"/>
        </w:rPr>
      </w:pPr>
      <w:r>
        <w:rPr>
          <w:rFonts w:cs="Times New Roman"/>
          <w:color w:val="0000FF"/>
        </w:rPr>
        <w:t>工程中建筑物垃圾主要来源于建筑物、道路工程中的拆除建筑产生的建筑垃圾。主体工程中1530座渠系建筑物拆除重建或维修加固以及渠道工程与管理道路等原砼拆除，共计约产生建筑物垃圾9000m</w:t>
      </w:r>
      <w:r>
        <w:rPr>
          <w:rFonts w:cs="Times New Roman"/>
          <w:color w:val="0000FF"/>
          <w:vertAlign w:val="superscript"/>
        </w:rPr>
        <w:t>3</w:t>
      </w:r>
      <w:r>
        <w:rPr>
          <w:rFonts w:cs="Times New Roman"/>
          <w:color w:val="0000FF"/>
        </w:rPr>
        <w:t>（207000t）。拆除重建1309.11m</w:t>
      </w:r>
      <w:r>
        <w:rPr>
          <w:rFonts w:cs="Times New Roman"/>
          <w:color w:val="0000FF"/>
          <w:vertAlign w:val="superscript"/>
        </w:rPr>
        <w:t>2</w:t>
      </w:r>
      <w:r>
        <w:rPr>
          <w:rFonts w:cs="Times New Roman"/>
          <w:color w:val="0000FF"/>
        </w:rPr>
        <w:t>管理房，拆迁过程将产生一定的建筑垃圾，按5000t/万m</w:t>
      </w:r>
      <w:r>
        <w:rPr>
          <w:rFonts w:cs="Times New Roman"/>
          <w:color w:val="0000FF"/>
          <w:vertAlign w:val="superscript"/>
        </w:rPr>
        <w:t>2</w:t>
      </w:r>
      <w:r>
        <w:rPr>
          <w:rFonts w:cs="Times New Roman"/>
          <w:color w:val="0000FF"/>
        </w:rPr>
        <w:t>计，则产生建筑垃圾654.6t，共计产生建筑垃圾207654.6t。</w:t>
      </w:r>
    </w:p>
    <w:p w14:paraId="3B95A762">
      <w:pPr>
        <w:ind w:firstLine="480"/>
        <w:rPr>
          <w:rFonts w:cs="Times New Roman"/>
          <w:color w:val="0000FF"/>
          <w:kern w:val="2"/>
        </w:rPr>
      </w:pPr>
      <w:r>
        <w:rPr>
          <w:rFonts w:cs="Times New Roman"/>
          <w:color w:val="0000FF"/>
          <w:kern w:val="2"/>
        </w:rPr>
        <w:t>建筑垃圾和涵闸拆迁垃圾主要为碎砖块、废石料、废钢筋、水泥块及混凝土残渣等，这些废弃物多为无机物，其中大部分对水、大气环境质量的直接影响不大，但具有占地和造成二次污染的特点，若不及时清运将对周边区域景观、环境空气质量等产生影响。因此，建筑垃圾应分类堆放，其中产生的建筑垃圾</w:t>
      </w:r>
      <w:r>
        <w:rPr>
          <w:rFonts w:cs="Times New Roman"/>
          <w:color w:val="0000FF"/>
        </w:rPr>
        <w:t>一部分（约10%的产生量）用于施工道路垫层填筑，其他能回收利用的和建筑物拆除过程产生的建筑垃圾送至当地建筑垃圾综合利用厂进行回收利用。项目不设置</w:t>
      </w:r>
      <w:r>
        <w:rPr>
          <w:rFonts w:hint="eastAsia" w:cs="Times New Roman"/>
          <w:color w:val="0000FF"/>
        </w:rPr>
        <w:t>弃土场</w:t>
      </w:r>
      <w:r>
        <w:rPr>
          <w:rFonts w:cs="Times New Roman"/>
          <w:color w:val="0000FF"/>
        </w:rPr>
        <w:t>，剩余少量工程不能再利用的建筑垃圾，如含木料、塑料的垃圾，应严格执行《城市建筑垃圾管理规定》，服从当地城市市容环境卫生行政主管部门统一管理，优先运往建筑垃圾填埋场进行处置，没有条件进行填埋处置的地区，综合考虑周边区域远距离填埋或外售综合利用</w:t>
      </w:r>
      <w:r>
        <w:rPr>
          <w:rFonts w:cs="Times New Roman"/>
          <w:color w:val="0000FF"/>
          <w:kern w:val="2"/>
        </w:rPr>
        <w:t>。</w:t>
      </w:r>
    </w:p>
    <w:p w14:paraId="5C605FBA">
      <w:pPr>
        <w:ind w:firstLine="482"/>
        <w:rPr>
          <w:rFonts w:cs="Times New Roman"/>
          <w:bCs/>
          <w:color w:val="0000FF"/>
          <w:kern w:val="2"/>
        </w:rPr>
      </w:pPr>
      <w:r>
        <w:rPr>
          <w:rFonts w:cs="Times New Roman"/>
          <w:bCs/>
          <w:color w:val="0000FF"/>
          <w:kern w:val="2"/>
        </w:rPr>
        <w:t>（4）危险废物</w:t>
      </w:r>
    </w:p>
    <w:p w14:paraId="6E4FE5B3">
      <w:pPr>
        <w:ind w:firstLine="480"/>
        <w:rPr>
          <w:rFonts w:cs="Times New Roman"/>
          <w:bCs/>
          <w:color w:val="0000FF"/>
          <w:kern w:val="2"/>
        </w:rPr>
      </w:pPr>
      <w:r>
        <w:rPr>
          <w:rFonts w:cs="Times New Roman"/>
          <w:bCs/>
          <w:color w:val="0000FF"/>
          <w:kern w:val="2"/>
        </w:rPr>
        <w:t>本工程施工布置区配置的机械修配间会产生一定的废机油及其包装容器，属于危险废物，如不采取措施，废机油会对土壤产生污染，</w:t>
      </w:r>
      <w:r>
        <w:rPr>
          <w:rFonts w:cs="Times New Roman"/>
          <w:bCs/>
          <w:color w:val="0000FF"/>
        </w:rPr>
        <w:t>废机油及其包装容器属于危险废物，危废类别为HW08，900-249-08，由各施工区用专用危险废物储存容器集中收集</w:t>
      </w:r>
      <w:r>
        <w:rPr>
          <w:rFonts w:cs="Times New Roman"/>
          <w:bCs/>
          <w:color w:val="0000FF"/>
          <w:kern w:val="2"/>
        </w:rPr>
        <w:t>，并交由有危险废物处置资质的专门机构进行安全处置。</w:t>
      </w:r>
    </w:p>
    <w:p w14:paraId="6AC9A84E">
      <w:pPr>
        <w:ind w:firstLine="480"/>
        <w:rPr>
          <w:rFonts w:cs="Times New Roman"/>
          <w:bCs/>
          <w:color w:val="0000FF"/>
          <w:kern w:val="2"/>
        </w:rPr>
      </w:pPr>
      <w:r>
        <w:rPr>
          <w:rFonts w:cs="Times New Roman"/>
          <w:bCs/>
          <w:color w:val="0000FF"/>
          <w:kern w:val="2"/>
        </w:rPr>
        <w:t>樊通桥渠下涵</w:t>
      </w:r>
      <w:r>
        <w:rPr>
          <w:rFonts w:cs="Times New Roman"/>
          <w:bCs/>
          <w:color w:val="0000FF"/>
        </w:rPr>
        <w:t>施工过程会产生废弃涂料，属于危险废物，危废类别为HW12，900-299-12，需采用专用危险废物储存容器集中收集</w:t>
      </w:r>
      <w:r>
        <w:rPr>
          <w:rFonts w:cs="Times New Roman"/>
          <w:bCs/>
          <w:color w:val="0000FF"/>
          <w:kern w:val="2"/>
        </w:rPr>
        <w:t>，并交由有危险废物处置资质的专门机构进行安全处置。</w:t>
      </w:r>
    </w:p>
    <w:p w14:paraId="13F5AC24">
      <w:pPr>
        <w:ind w:firstLine="480"/>
        <w:rPr>
          <w:rFonts w:cs="Times New Roman"/>
          <w:bCs/>
          <w:color w:val="0000FF"/>
          <w:kern w:val="2"/>
        </w:rPr>
      </w:pPr>
      <w:r>
        <w:rPr>
          <w:rFonts w:cs="Times New Roman"/>
          <w:bCs/>
          <w:color w:val="0000FF"/>
        </w:rPr>
        <w:t>其中废机油及其包装容器产生量约为1.8t/a，</w:t>
      </w:r>
      <w:r>
        <w:rPr>
          <w:rFonts w:cs="Times New Roman"/>
          <w:color w:val="0000FF"/>
        </w:rPr>
        <w:t>含油抹布产生量约为1t/a；</w:t>
      </w:r>
      <w:r>
        <w:rPr>
          <w:rFonts w:cs="Times New Roman"/>
          <w:bCs/>
          <w:color w:val="0000FF"/>
        </w:rPr>
        <w:t>废弃涂料量约为1.0t/a，废包装容器产生量为4t/a。</w:t>
      </w:r>
      <w:r>
        <w:rPr>
          <w:rFonts w:cs="Times New Roman"/>
          <w:bCs/>
          <w:color w:val="0000FF"/>
          <w:kern w:val="2"/>
        </w:rPr>
        <w:t>通过采取以上措施后，施工期产生的危险废物不会对环境产生影响。</w:t>
      </w:r>
    </w:p>
    <w:p w14:paraId="68A9E4B4">
      <w:pPr>
        <w:pStyle w:val="4"/>
        <w:rPr>
          <w:rFonts w:cs="Times New Roman"/>
          <w:color w:val="0000FF"/>
        </w:rPr>
      </w:pPr>
      <w:r>
        <w:rPr>
          <w:rFonts w:hint="eastAsia" w:cs="Times New Roman"/>
          <w:color w:val="0000FF"/>
        </w:rPr>
        <w:t>5.5</w:t>
      </w:r>
      <w:r>
        <w:rPr>
          <w:rFonts w:cs="Times New Roman"/>
          <w:color w:val="0000FF"/>
        </w:rPr>
        <w:t>.2 营运期固废影响分析</w:t>
      </w:r>
    </w:p>
    <w:p w14:paraId="6364FCDE">
      <w:pPr>
        <w:ind w:firstLine="482"/>
        <w:rPr>
          <w:rFonts w:cs="Times New Roman"/>
          <w:color w:val="0000FF"/>
          <w:kern w:val="2"/>
        </w:rPr>
      </w:pPr>
      <w:r>
        <w:rPr>
          <w:rFonts w:cs="Times New Roman"/>
          <w:color w:val="0000FF"/>
          <w:kern w:val="2"/>
        </w:rPr>
        <w:t>（1）生活垃圾</w:t>
      </w:r>
    </w:p>
    <w:p w14:paraId="5C3D3DF3">
      <w:pPr>
        <w:ind w:firstLine="482"/>
        <w:rPr>
          <w:rFonts w:cs="Times New Roman"/>
          <w:color w:val="0000FF"/>
        </w:rPr>
      </w:pPr>
      <w:r>
        <w:rPr>
          <w:rFonts w:cs="Times New Roman"/>
          <w:color w:val="0000FF"/>
        </w:rPr>
        <w:t>本项目不新增人员，不新增生活垃圾。</w:t>
      </w:r>
    </w:p>
    <w:p w14:paraId="28ACF71A">
      <w:pPr>
        <w:ind w:firstLine="482"/>
        <w:rPr>
          <w:rFonts w:cs="Times New Roman"/>
          <w:color w:val="0000FF"/>
          <w:kern w:val="2"/>
        </w:rPr>
      </w:pPr>
      <w:r>
        <w:rPr>
          <w:rFonts w:cs="Times New Roman"/>
          <w:color w:val="0000FF"/>
          <w:kern w:val="2"/>
        </w:rPr>
        <w:t>（2）危险废物</w:t>
      </w:r>
    </w:p>
    <w:p w14:paraId="32901ABF">
      <w:pPr>
        <w:ind w:firstLine="482"/>
        <w:rPr>
          <w:rFonts w:cs="Times New Roman"/>
          <w:color w:val="0000FF"/>
          <w:kern w:val="2"/>
        </w:rPr>
      </w:pPr>
      <w:r>
        <w:rPr>
          <w:rFonts w:cs="Times New Roman"/>
          <w:color w:val="0000FF"/>
          <w:kern w:val="2"/>
        </w:rPr>
        <w:t>项目运营期各类涵闸等渠系建筑物运行检修会产生的危废包括设备日常检修</w:t>
      </w:r>
      <w:r>
        <w:rPr>
          <w:rFonts w:cs="Times New Roman"/>
          <w:color w:val="0000FF"/>
        </w:rPr>
        <w:t>产生的废机油</w:t>
      </w:r>
      <w:r>
        <w:rPr>
          <w:rFonts w:cs="Times New Roman"/>
          <w:color w:val="0000FF"/>
          <w:kern w:val="2"/>
        </w:rPr>
        <w:t>及其包装容器。废机油及其包装容器属于危险废物，危废类别为HW08，900-249-08。各管理处集中收集，在管理处设置危废暂存设施，废机油采用桶装，底部放置托盘，并交由有危险废物处置资质的专门机构进行安全处置。其中废机油及其包装容器总产生量约为0.5t/a。</w:t>
      </w:r>
    </w:p>
    <w:p w14:paraId="0A2948C5">
      <w:pPr>
        <w:ind w:firstLine="482"/>
        <w:rPr>
          <w:rFonts w:cs="Times New Roman"/>
          <w:color w:val="0000FF"/>
        </w:rPr>
      </w:pPr>
      <w:r>
        <w:rPr>
          <w:rFonts w:hint="eastAsia" w:cs="Times New Roman"/>
          <w:color w:val="0000FF"/>
        </w:rPr>
        <w:t>运营期危险废物经危废仓库贮存后定期委托有资质的单位处置，危险废物</w:t>
      </w:r>
      <w:r>
        <w:rPr>
          <w:rFonts w:cs="Times New Roman"/>
          <w:color w:val="0000FF"/>
        </w:rPr>
        <w:t>均得到了有效的处理及处置，不会产生二次污染，对周围环境不会造成不良影响。</w:t>
      </w:r>
    </w:p>
    <w:p w14:paraId="415E2027">
      <w:pPr>
        <w:pStyle w:val="3"/>
        <w:rPr>
          <w:rFonts w:cs="Times New Roman"/>
          <w:color w:val="0000FF"/>
        </w:rPr>
        <w:sectPr>
          <w:pgSz w:w="11905" w:h="16838"/>
          <w:pgMar w:top="1417" w:right="1417" w:bottom="1417" w:left="1417" w:header="850" w:footer="850" w:gutter="0"/>
          <w:pgNumType w:fmt="decimal"/>
          <w:cols w:space="0" w:num="1"/>
          <w:rtlGutter w:val="0"/>
          <w:docGrid w:linePitch="312" w:charSpace="0"/>
        </w:sectPr>
      </w:pPr>
    </w:p>
    <w:p w14:paraId="3B52AF20">
      <w:pPr>
        <w:pStyle w:val="3"/>
        <w:rPr>
          <w:rFonts w:cs="Times New Roman"/>
          <w:color w:val="0000FF"/>
        </w:rPr>
      </w:pPr>
      <w:bookmarkStart w:id="65" w:name="_Toc21885"/>
      <w:r>
        <w:rPr>
          <w:rFonts w:hint="eastAsia" w:cs="Times New Roman"/>
          <w:color w:val="0000FF"/>
        </w:rPr>
        <w:t>5.6</w:t>
      </w:r>
      <w:r>
        <w:rPr>
          <w:rFonts w:cs="Times New Roman"/>
          <w:color w:val="0000FF"/>
        </w:rPr>
        <w:t xml:space="preserve"> 土壤环境影响分析</w:t>
      </w:r>
      <w:bookmarkEnd w:id="65"/>
    </w:p>
    <w:p w14:paraId="3B6228DE">
      <w:pPr>
        <w:pStyle w:val="4"/>
        <w:rPr>
          <w:rFonts w:cs="Times New Roman"/>
          <w:color w:val="0000FF"/>
        </w:rPr>
      </w:pPr>
      <w:r>
        <w:rPr>
          <w:rFonts w:hint="eastAsia" w:cs="Times New Roman"/>
          <w:color w:val="0000FF"/>
        </w:rPr>
        <w:t>5.6</w:t>
      </w:r>
      <w:r>
        <w:rPr>
          <w:rFonts w:cs="Times New Roman"/>
          <w:color w:val="0000FF"/>
        </w:rPr>
        <w:t>.1 土壤环境现状评价</w:t>
      </w:r>
    </w:p>
    <w:p w14:paraId="060F30DA">
      <w:pPr>
        <w:rPr>
          <w:rFonts w:cs="Times New Roman"/>
          <w:color w:val="0000FF"/>
        </w:rPr>
      </w:pPr>
      <w:r>
        <w:rPr>
          <w:rFonts w:cs="Times New Roman"/>
          <w:color w:val="0000FF"/>
        </w:rPr>
        <w:t>根据《环境影响评价技术导则 土壤环境（试行）》（HJ 964-2018）要求，可能造成土壤盐化、酸化、碱化影响的建设项目，分别选取土壤盐分含量、pH值等作为预测因子。</w:t>
      </w:r>
    </w:p>
    <w:p w14:paraId="6D3C8565">
      <w:pPr>
        <w:rPr>
          <w:rFonts w:cs="Times New Roman"/>
          <w:color w:val="0000FF"/>
        </w:rPr>
      </w:pPr>
      <w:r>
        <w:rPr>
          <w:rFonts w:cs="Times New Roman"/>
          <w:color w:val="0000FF"/>
        </w:rPr>
        <w:t>土壤盐化影响因素主要有地下水位埋深、干燥度、土壤本底含盐量、地下水溶解性总固体和土壤质地，各因素赋值情况见表：</w:t>
      </w:r>
    </w:p>
    <w:p w14:paraId="0BB76A0E">
      <w:pPr>
        <w:rPr>
          <w:rFonts w:cs="Times New Roman"/>
          <w:color w:val="0000FF"/>
        </w:rPr>
      </w:pPr>
      <w:r>
        <w:rPr>
          <w:rFonts w:cs="Times New Roman"/>
          <w:color w:val="0000FF"/>
        </w:rPr>
        <w:t>表5-</w:t>
      </w:r>
      <w:r>
        <w:rPr>
          <w:rFonts w:hint="eastAsia" w:cs="Times New Roman"/>
          <w:color w:val="0000FF"/>
        </w:rPr>
        <w:t>6</w:t>
      </w:r>
      <w:r>
        <w:rPr>
          <w:rFonts w:cs="Times New Roman"/>
          <w:color w:val="0000FF"/>
        </w:rPr>
        <w:t>-1  土壤盐化影响因素赋值表</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34"/>
        <w:gridCol w:w="1558"/>
        <w:gridCol w:w="1656"/>
        <w:gridCol w:w="1477"/>
        <w:gridCol w:w="1274"/>
        <w:gridCol w:w="1084"/>
      </w:tblGrid>
      <w:tr w14:paraId="6E2B6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03" w:type="pct"/>
            <w:vMerge w:val="restart"/>
            <w:vAlign w:val="center"/>
          </w:tcPr>
          <w:p w14:paraId="1954206B">
            <w:pPr>
              <w:pStyle w:val="28"/>
              <w:bidi w:val="0"/>
            </w:pPr>
            <w:r>
              <w:t>影响因素</w:t>
            </w:r>
          </w:p>
        </w:tc>
        <w:tc>
          <w:tcPr>
            <w:tcW w:w="3212" w:type="pct"/>
            <w:gridSpan w:val="4"/>
            <w:vAlign w:val="center"/>
          </w:tcPr>
          <w:p w14:paraId="3DD97842">
            <w:pPr>
              <w:pStyle w:val="28"/>
              <w:bidi w:val="0"/>
            </w:pPr>
            <w:r>
              <w:t>分值</w:t>
            </w:r>
          </w:p>
        </w:tc>
        <w:tc>
          <w:tcPr>
            <w:tcW w:w="584" w:type="pct"/>
            <w:vMerge w:val="restart"/>
            <w:vAlign w:val="center"/>
          </w:tcPr>
          <w:p w14:paraId="19C05E84">
            <w:pPr>
              <w:pStyle w:val="28"/>
              <w:bidi w:val="0"/>
            </w:pPr>
            <w:r>
              <w:t>权重</w:t>
            </w:r>
          </w:p>
        </w:tc>
      </w:tr>
      <w:tr w14:paraId="75032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03" w:type="pct"/>
            <w:vMerge w:val="continue"/>
            <w:vAlign w:val="center"/>
          </w:tcPr>
          <w:p w14:paraId="65E5E275">
            <w:pPr>
              <w:pStyle w:val="28"/>
              <w:bidi w:val="0"/>
            </w:pPr>
          </w:p>
        </w:tc>
        <w:tc>
          <w:tcPr>
            <w:tcW w:w="839" w:type="pct"/>
            <w:vAlign w:val="center"/>
          </w:tcPr>
          <w:p w14:paraId="7FDDEF39">
            <w:pPr>
              <w:pStyle w:val="28"/>
              <w:bidi w:val="0"/>
            </w:pPr>
            <w:r>
              <w:t>0分</w:t>
            </w:r>
          </w:p>
        </w:tc>
        <w:tc>
          <w:tcPr>
            <w:tcW w:w="892" w:type="pct"/>
            <w:vAlign w:val="center"/>
          </w:tcPr>
          <w:p w14:paraId="019013B4">
            <w:pPr>
              <w:pStyle w:val="28"/>
              <w:bidi w:val="0"/>
            </w:pPr>
            <w:r>
              <w:t>2分</w:t>
            </w:r>
          </w:p>
        </w:tc>
        <w:tc>
          <w:tcPr>
            <w:tcW w:w="795" w:type="pct"/>
            <w:vAlign w:val="center"/>
          </w:tcPr>
          <w:p w14:paraId="4759F7F7">
            <w:pPr>
              <w:pStyle w:val="28"/>
              <w:bidi w:val="0"/>
            </w:pPr>
            <w:r>
              <w:t>4分</w:t>
            </w:r>
          </w:p>
        </w:tc>
        <w:tc>
          <w:tcPr>
            <w:tcW w:w="685" w:type="pct"/>
            <w:vAlign w:val="center"/>
          </w:tcPr>
          <w:p w14:paraId="5FB0E521">
            <w:pPr>
              <w:pStyle w:val="28"/>
              <w:bidi w:val="0"/>
            </w:pPr>
            <w:r>
              <w:t>6分</w:t>
            </w:r>
          </w:p>
        </w:tc>
        <w:tc>
          <w:tcPr>
            <w:tcW w:w="584" w:type="pct"/>
            <w:vMerge w:val="continue"/>
            <w:vAlign w:val="center"/>
          </w:tcPr>
          <w:p w14:paraId="0DFC988C">
            <w:pPr>
              <w:pStyle w:val="28"/>
              <w:bidi w:val="0"/>
            </w:pPr>
          </w:p>
        </w:tc>
      </w:tr>
      <w:tr w14:paraId="1D5EE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03" w:type="pct"/>
            <w:vAlign w:val="center"/>
          </w:tcPr>
          <w:p w14:paraId="571C0408">
            <w:pPr>
              <w:pStyle w:val="28"/>
              <w:bidi w:val="0"/>
            </w:pPr>
            <w:r>
              <w:t>地下水位埋深（GWD）/（m）</w:t>
            </w:r>
          </w:p>
        </w:tc>
        <w:tc>
          <w:tcPr>
            <w:tcW w:w="839" w:type="pct"/>
            <w:vAlign w:val="center"/>
          </w:tcPr>
          <w:p w14:paraId="60D8AB90">
            <w:pPr>
              <w:pStyle w:val="28"/>
              <w:bidi w:val="0"/>
            </w:pPr>
            <w:r>
              <w:t>GWD≥2.5</w:t>
            </w:r>
          </w:p>
        </w:tc>
        <w:tc>
          <w:tcPr>
            <w:tcW w:w="892" w:type="pct"/>
            <w:vAlign w:val="center"/>
          </w:tcPr>
          <w:p w14:paraId="7887DFA5">
            <w:pPr>
              <w:pStyle w:val="28"/>
              <w:bidi w:val="0"/>
            </w:pPr>
            <w:r>
              <w:t>1.5≤GWD&lt;2.5</w:t>
            </w:r>
          </w:p>
        </w:tc>
        <w:tc>
          <w:tcPr>
            <w:tcW w:w="795" w:type="pct"/>
            <w:vAlign w:val="center"/>
          </w:tcPr>
          <w:p w14:paraId="28F987C6">
            <w:pPr>
              <w:pStyle w:val="28"/>
              <w:bidi w:val="0"/>
            </w:pPr>
            <w:r>
              <w:t>1.0≤GWD&lt;1.5</w:t>
            </w:r>
          </w:p>
        </w:tc>
        <w:tc>
          <w:tcPr>
            <w:tcW w:w="685" w:type="pct"/>
            <w:vAlign w:val="center"/>
          </w:tcPr>
          <w:p w14:paraId="50520F0B">
            <w:pPr>
              <w:pStyle w:val="28"/>
              <w:bidi w:val="0"/>
            </w:pPr>
            <w:r>
              <w:t>GWD&lt;1.0</w:t>
            </w:r>
          </w:p>
        </w:tc>
        <w:tc>
          <w:tcPr>
            <w:tcW w:w="584" w:type="pct"/>
            <w:vAlign w:val="center"/>
          </w:tcPr>
          <w:p w14:paraId="5A6F9F93">
            <w:pPr>
              <w:pStyle w:val="28"/>
              <w:bidi w:val="0"/>
            </w:pPr>
            <w:r>
              <w:t>0.35</w:t>
            </w:r>
          </w:p>
        </w:tc>
      </w:tr>
      <w:tr w14:paraId="7CAB2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03" w:type="pct"/>
            <w:vAlign w:val="center"/>
          </w:tcPr>
          <w:p w14:paraId="0B6C4AA2">
            <w:pPr>
              <w:pStyle w:val="28"/>
              <w:bidi w:val="0"/>
            </w:pPr>
            <w:r>
              <w:t>干燥度（蒸降比值）（EPR）</w:t>
            </w:r>
          </w:p>
        </w:tc>
        <w:tc>
          <w:tcPr>
            <w:tcW w:w="839" w:type="pct"/>
            <w:vAlign w:val="center"/>
          </w:tcPr>
          <w:p w14:paraId="36B9C678">
            <w:pPr>
              <w:pStyle w:val="28"/>
              <w:bidi w:val="0"/>
            </w:pPr>
            <w:r>
              <w:t>EPR&lt;1.2</w:t>
            </w:r>
          </w:p>
        </w:tc>
        <w:tc>
          <w:tcPr>
            <w:tcW w:w="892" w:type="pct"/>
            <w:vAlign w:val="center"/>
          </w:tcPr>
          <w:p w14:paraId="4E862197">
            <w:pPr>
              <w:pStyle w:val="28"/>
              <w:bidi w:val="0"/>
            </w:pPr>
            <w:r>
              <w:t>1.2≤EPR&lt;2.5</w:t>
            </w:r>
          </w:p>
        </w:tc>
        <w:tc>
          <w:tcPr>
            <w:tcW w:w="795" w:type="pct"/>
            <w:vAlign w:val="center"/>
          </w:tcPr>
          <w:p w14:paraId="174BB942">
            <w:pPr>
              <w:pStyle w:val="28"/>
              <w:bidi w:val="0"/>
            </w:pPr>
            <w:r>
              <w:t>2.5≤EPR&lt;6</w:t>
            </w:r>
          </w:p>
        </w:tc>
        <w:tc>
          <w:tcPr>
            <w:tcW w:w="685" w:type="pct"/>
            <w:vAlign w:val="center"/>
          </w:tcPr>
          <w:p w14:paraId="56AE560F">
            <w:pPr>
              <w:pStyle w:val="28"/>
              <w:bidi w:val="0"/>
            </w:pPr>
            <w:r>
              <w:t>EPR≥6</w:t>
            </w:r>
          </w:p>
        </w:tc>
        <w:tc>
          <w:tcPr>
            <w:tcW w:w="584" w:type="pct"/>
            <w:vAlign w:val="center"/>
          </w:tcPr>
          <w:p w14:paraId="4779AAF4">
            <w:pPr>
              <w:pStyle w:val="28"/>
              <w:bidi w:val="0"/>
            </w:pPr>
            <w:r>
              <w:t>0.25</w:t>
            </w:r>
          </w:p>
        </w:tc>
      </w:tr>
      <w:tr w14:paraId="68368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03" w:type="pct"/>
            <w:vAlign w:val="center"/>
          </w:tcPr>
          <w:p w14:paraId="66D23BF2">
            <w:pPr>
              <w:pStyle w:val="28"/>
              <w:bidi w:val="0"/>
            </w:pPr>
            <w:r>
              <w:t>土壤本底含盐量（SSC）/（g/kg）</w:t>
            </w:r>
          </w:p>
        </w:tc>
        <w:tc>
          <w:tcPr>
            <w:tcW w:w="839" w:type="pct"/>
            <w:vAlign w:val="center"/>
          </w:tcPr>
          <w:p w14:paraId="4D231161">
            <w:pPr>
              <w:pStyle w:val="28"/>
              <w:bidi w:val="0"/>
            </w:pPr>
            <w:r>
              <w:t>SSC&lt;1.2</w:t>
            </w:r>
          </w:p>
        </w:tc>
        <w:tc>
          <w:tcPr>
            <w:tcW w:w="892" w:type="pct"/>
            <w:vAlign w:val="center"/>
          </w:tcPr>
          <w:p w14:paraId="0A55A14E">
            <w:pPr>
              <w:pStyle w:val="28"/>
              <w:bidi w:val="0"/>
            </w:pPr>
            <w:r>
              <w:t>1≤SSC&lt;2</w:t>
            </w:r>
          </w:p>
        </w:tc>
        <w:tc>
          <w:tcPr>
            <w:tcW w:w="795" w:type="pct"/>
            <w:vAlign w:val="center"/>
          </w:tcPr>
          <w:p w14:paraId="46E8B501">
            <w:pPr>
              <w:pStyle w:val="28"/>
              <w:bidi w:val="0"/>
            </w:pPr>
            <w:r>
              <w:t>2≤SSC&lt;4</w:t>
            </w:r>
          </w:p>
        </w:tc>
        <w:tc>
          <w:tcPr>
            <w:tcW w:w="685" w:type="pct"/>
            <w:vAlign w:val="center"/>
          </w:tcPr>
          <w:p w14:paraId="38B21C63">
            <w:pPr>
              <w:pStyle w:val="28"/>
              <w:bidi w:val="0"/>
            </w:pPr>
            <w:r>
              <w:t>SSC≥6</w:t>
            </w:r>
          </w:p>
        </w:tc>
        <w:tc>
          <w:tcPr>
            <w:tcW w:w="584" w:type="pct"/>
            <w:vAlign w:val="center"/>
          </w:tcPr>
          <w:p w14:paraId="39F6B233">
            <w:pPr>
              <w:pStyle w:val="28"/>
              <w:bidi w:val="0"/>
            </w:pPr>
            <w:r>
              <w:t>0.15</w:t>
            </w:r>
          </w:p>
        </w:tc>
      </w:tr>
      <w:tr w14:paraId="01D3B2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03" w:type="pct"/>
            <w:vAlign w:val="center"/>
          </w:tcPr>
          <w:p w14:paraId="236C5634">
            <w:pPr>
              <w:pStyle w:val="28"/>
              <w:bidi w:val="0"/>
            </w:pPr>
            <w:r>
              <w:t>地下水溶解性总固体（TDS）/（g/L）</w:t>
            </w:r>
          </w:p>
        </w:tc>
        <w:tc>
          <w:tcPr>
            <w:tcW w:w="839" w:type="pct"/>
            <w:vAlign w:val="center"/>
          </w:tcPr>
          <w:p w14:paraId="074D4681">
            <w:pPr>
              <w:pStyle w:val="28"/>
              <w:bidi w:val="0"/>
            </w:pPr>
            <w:r>
              <w:t>TDS&lt;1</w:t>
            </w:r>
          </w:p>
        </w:tc>
        <w:tc>
          <w:tcPr>
            <w:tcW w:w="892" w:type="pct"/>
            <w:vAlign w:val="center"/>
          </w:tcPr>
          <w:p w14:paraId="79A4F12B">
            <w:pPr>
              <w:pStyle w:val="28"/>
              <w:bidi w:val="0"/>
            </w:pPr>
            <w:r>
              <w:t>1≤TDS&lt;2</w:t>
            </w:r>
          </w:p>
        </w:tc>
        <w:tc>
          <w:tcPr>
            <w:tcW w:w="795" w:type="pct"/>
            <w:vAlign w:val="center"/>
          </w:tcPr>
          <w:p w14:paraId="7D9573E6">
            <w:pPr>
              <w:pStyle w:val="28"/>
              <w:bidi w:val="0"/>
            </w:pPr>
            <w:r>
              <w:t>2≤TDS&lt;5</w:t>
            </w:r>
          </w:p>
        </w:tc>
        <w:tc>
          <w:tcPr>
            <w:tcW w:w="685" w:type="pct"/>
            <w:vAlign w:val="center"/>
          </w:tcPr>
          <w:p w14:paraId="48719B7E">
            <w:pPr>
              <w:pStyle w:val="28"/>
              <w:bidi w:val="0"/>
            </w:pPr>
            <w:r>
              <w:t>TDS≥5</w:t>
            </w:r>
          </w:p>
        </w:tc>
        <w:tc>
          <w:tcPr>
            <w:tcW w:w="584" w:type="pct"/>
            <w:vAlign w:val="center"/>
          </w:tcPr>
          <w:p w14:paraId="2F91CFC4">
            <w:pPr>
              <w:pStyle w:val="28"/>
              <w:bidi w:val="0"/>
            </w:pPr>
            <w:r>
              <w:t>0.15</w:t>
            </w:r>
          </w:p>
        </w:tc>
      </w:tr>
      <w:tr w14:paraId="0C42D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03" w:type="pct"/>
            <w:vAlign w:val="center"/>
          </w:tcPr>
          <w:p w14:paraId="1216E83E">
            <w:pPr>
              <w:pStyle w:val="28"/>
              <w:bidi w:val="0"/>
            </w:pPr>
            <w:r>
              <w:t>土壤质地</w:t>
            </w:r>
          </w:p>
        </w:tc>
        <w:tc>
          <w:tcPr>
            <w:tcW w:w="839" w:type="pct"/>
            <w:vAlign w:val="center"/>
          </w:tcPr>
          <w:p w14:paraId="24E095B5">
            <w:pPr>
              <w:pStyle w:val="28"/>
              <w:bidi w:val="0"/>
            </w:pPr>
            <w:r>
              <w:t>黏土</w:t>
            </w:r>
          </w:p>
        </w:tc>
        <w:tc>
          <w:tcPr>
            <w:tcW w:w="892" w:type="pct"/>
            <w:vAlign w:val="center"/>
          </w:tcPr>
          <w:p w14:paraId="438E3A28">
            <w:pPr>
              <w:pStyle w:val="28"/>
              <w:bidi w:val="0"/>
            </w:pPr>
            <w:r>
              <w:t>砂土</w:t>
            </w:r>
          </w:p>
        </w:tc>
        <w:tc>
          <w:tcPr>
            <w:tcW w:w="795" w:type="pct"/>
            <w:vAlign w:val="center"/>
          </w:tcPr>
          <w:p w14:paraId="3166DD92">
            <w:pPr>
              <w:pStyle w:val="28"/>
              <w:bidi w:val="0"/>
            </w:pPr>
            <w:r>
              <w:t>壤土</w:t>
            </w:r>
          </w:p>
        </w:tc>
        <w:tc>
          <w:tcPr>
            <w:tcW w:w="685" w:type="pct"/>
            <w:vAlign w:val="center"/>
          </w:tcPr>
          <w:p w14:paraId="3601A887">
            <w:pPr>
              <w:pStyle w:val="28"/>
              <w:bidi w:val="0"/>
            </w:pPr>
            <w:r>
              <w:t>砂壤、粉土、砂粉土</w:t>
            </w:r>
          </w:p>
        </w:tc>
        <w:tc>
          <w:tcPr>
            <w:tcW w:w="584" w:type="pct"/>
            <w:vAlign w:val="center"/>
          </w:tcPr>
          <w:p w14:paraId="4A6F0D8C">
            <w:pPr>
              <w:pStyle w:val="28"/>
              <w:bidi w:val="0"/>
            </w:pPr>
            <w:r>
              <w:t>0.1</w:t>
            </w:r>
          </w:p>
        </w:tc>
      </w:tr>
    </w:tbl>
    <w:p w14:paraId="7002A25B">
      <w:pPr>
        <w:spacing w:line="240" w:lineRule="auto"/>
        <w:rPr>
          <w:rFonts w:cs="Times New Roman"/>
          <w:color w:val="0000FF"/>
        </w:rPr>
      </w:pPr>
    </w:p>
    <w:p w14:paraId="43C56BE6">
      <w:pPr>
        <w:numPr>
          <w:ilvl w:val="4"/>
          <w:numId w:val="0"/>
        </w:numPr>
        <w:ind w:firstLine="480" w:firstLineChars="200"/>
        <w:jc w:val="both"/>
        <w:rPr>
          <w:rFonts w:cs="Times New Roman"/>
          <w:bCs/>
          <w:color w:val="0000FF"/>
        </w:rPr>
      </w:pPr>
      <w:r>
        <w:rPr>
          <w:rFonts w:hint="eastAsia" w:cs="Times New Roman"/>
          <w:bCs/>
          <w:color w:val="0000FF"/>
        </w:rPr>
        <w:t>根据项目特点，本次评价选取郑岗泵站进行分析，项目监测土壤和地下水质量现状引用《</w:t>
      </w:r>
      <w:r>
        <w:rPr>
          <w:rFonts w:hint="eastAsia" w:cs="Times New Roman"/>
          <w:bCs/>
          <w:color w:val="0000FF"/>
          <w:lang w:eastAsia="zh-CN"/>
        </w:rPr>
        <w:t>淮南市谢家集区朱集中型灌区续建配套与节水改造项目</w:t>
      </w:r>
      <w:r>
        <w:rPr>
          <w:rFonts w:hint="eastAsia" w:cs="Times New Roman"/>
          <w:bCs/>
          <w:color w:val="0000FF"/>
        </w:rPr>
        <w:t>一期工程环境影响报告书》中淠东干渠监测点的土壤理化特性数据，该监测点位与本项目均位于淮南市寿县瓦埠湖周边，土壤性状较为相似。其中地下水水位埋深为2.6m；土壤含盐量0.4g/kg；溶解性总固体（TDS）212mg/L。项目选取的郑岗泵站位于淮南市寿县，根据淮南气象站气象资料可知项目所在地多年平均降水量1140.6mm，区域内多年水面平均蒸发量920mm，则区域干燥度为0.81&lt;1.2。</w:t>
      </w:r>
    </w:p>
    <w:p w14:paraId="72DE718D">
      <w:pPr>
        <w:jc w:val="center"/>
        <w:rPr>
          <w:rFonts w:cs="Times New Roman"/>
          <w:color w:val="0000FF"/>
        </w:rPr>
      </w:pPr>
      <w:r>
        <w:rPr>
          <w:rFonts w:cs="Times New Roman"/>
          <w:color w:val="0000FF"/>
        </w:rPr>
        <w:t>表5-</w:t>
      </w:r>
      <w:r>
        <w:rPr>
          <w:rFonts w:hint="eastAsia" w:cs="Times New Roman"/>
          <w:color w:val="0000FF"/>
        </w:rPr>
        <w:t>6</w:t>
      </w:r>
      <w:r>
        <w:rPr>
          <w:rFonts w:cs="Times New Roman"/>
          <w:color w:val="0000FF"/>
        </w:rPr>
        <w:t>-2  项目区域土壤盐化影响因素赋分表</w:t>
      </w:r>
    </w:p>
    <w:tbl>
      <w:tblPr>
        <w:tblStyle w:val="1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4"/>
        <w:gridCol w:w="3430"/>
        <w:gridCol w:w="1879"/>
        <w:gridCol w:w="1562"/>
        <w:gridCol w:w="1205"/>
      </w:tblGrid>
      <w:tr w14:paraId="07A8A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Align w:val="center"/>
          </w:tcPr>
          <w:p w14:paraId="107F0BE6">
            <w:pPr>
              <w:pStyle w:val="28"/>
              <w:bidi w:val="0"/>
            </w:pPr>
            <w:r>
              <w:t>项目</w:t>
            </w:r>
          </w:p>
        </w:tc>
        <w:tc>
          <w:tcPr>
            <w:tcW w:w="1847" w:type="pct"/>
            <w:vAlign w:val="center"/>
          </w:tcPr>
          <w:p w14:paraId="5508C406">
            <w:pPr>
              <w:pStyle w:val="28"/>
              <w:bidi w:val="0"/>
            </w:pPr>
            <w:r>
              <w:t>影响因素</w:t>
            </w:r>
          </w:p>
        </w:tc>
        <w:tc>
          <w:tcPr>
            <w:tcW w:w="1012" w:type="pct"/>
            <w:vAlign w:val="center"/>
          </w:tcPr>
          <w:p w14:paraId="744CB406">
            <w:pPr>
              <w:pStyle w:val="28"/>
              <w:bidi w:val="0"/>
            </w:pPr>
            <w:r>
              <w:rPr>
                <w:rFonts w:hint="eastAsia"/>
              </w:rPr>
              <w:t>数值</w:t>
            </w:r>
          </w:p>
        </w:tc>
        <w:tc>
          <w:tcPr>
            <w:tcW w:w="841" w:type="pct"/>
            <w:vAlign w:val="center"/>
          </w:tcPr>
          <w:p w14:paraId="3391735A">
            <w:pPr>
              <w:pStyle w:val="28"/>
              <w:bidi w:val="0"/>
            </w:pPr>
            <w:r>
              <w:t>分值</w:t>
            </w:r>
          </w:p>
        </w:tc>
        <w:tc>
          <w:tcPr>
            <w:tcW w:w="649" w:type="pct"/>
            <w:vAlign w:val="center"/>
          </w:tcPr>
          <w:p w14:paraId="21BC96B3">
            <w:pPr>
              <w:pStyle w:val="28"/>
              <w:bidi w:val="0"/>
            </w:pPr>
            <w:r>
              <w:t>权重</w:t>
            </w:r>
          </w:p>
        </w:tc>
      </w:tr>
      <w:tr w14:paraId="61F1CD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restart"/>
            <w:vAlign w:val="center"/>
          </w:tcPr>
          <w:p w14:paraId="6F3BFBC3">
            <w:pPr>
              <w:pStyle w:val="28"/>
              <w:bidi w:val="0"/>
            </w:pPr>
            <w:r>
              <w:t>淠东干渠工程</w:t>
            </w:r>
          </w:p>
        </w:tc>
        <w:tc>
          <w:tcPr>
            <w:tcW w:w="1847" w:type="pct"/>
            <w:vAlign w:val="center"/>
          </w:tcPr>
          <w:p w14:paraId="008CB0A4">
            <w:pPr>
              <w:pStyle w:val="28"/>
              <w:bidi w:val="0"/>
            </w:pPr>
            <w:r>
              <w:t>地下水位埋深（GWD）/（m）</w:t>
            </w:r>
          </w:p>
        </w:tc>
        <w:tc>
          <w:tcPr>
            <w:tcW w:w="1012" w:type="pct"/>
            <w:vAlign w:val="center"/>
          </w:tcPr>
          <w:p w14:paraId="1ECD58E8">
            <w:pPr>
              <w:pStyle w:val="28"/>
              <w:bidi w:val="0"/>
            </w:pPr>
            <w:r>
              <w:rPr>
                <w:rFonts w:hint="eastAsia"/>
              </w:rPr>
              <w:t>2.6</w:t>
            </w:r>
          </w:p>
        </w:tc>
        <w:tc>
          <w:tcPr>
            <w:tcW w:w="841" w:type="pct"/>
            <w:vAlign w:val="center"/>
          </w:tcPr>
          <w:p w14:paraId="5475E781">
            <w:pPr>
              <w:pStyle w:val="28"/>
              <w:bidi w:val="0"/>
            </w:pPr>
            <w:r>
              <w:t>0</w:t>
            </w:r>
          </w:p>
        </w:tc>
        <w:tc>
          <w:tcPr>
            <w:tcW w:w="649" w:type="pct"/>
            <w:vAlign w:val="center"/>
          </w:tcPr>
          <w:p w14:paraId="404F7B51">
            <w:pPr>
              <w:pStyle w:val="28"/>
              <w:bidi w:val="0"/>
            </w:pPr>
            <w:r>
              <w:t>0.35</w:t>
            </w:r>
          </w:p>
        </w:tc>
      </w:tr>
      <w:tr w14:paraId="3BC34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vAlign w:val="center"/>
          </w:tcPr>
          <w:p w14:paraId="21D9A0DF">
            <w:pPr>
              <w:pStyle w:val="28"/>
              <w:bidi w:val="0"/>
            </w:pPr>
          </w:p>
        </w:tc>
        <w:tc>
          <w:tcPr>
            <w:tcW w:w="1847" w:type="pct"/>
            <w:vAlign w:val="center"/>
          </w:tcPr>
          <w:p w14:paraId="11028360">
            <w:pPr>
              <w:pStyle w:val="28"/>
              <w:bidi w:val="0"/>
            </w:pPr>
            <w:r>
              <w:t>干燥度（蒸降比值）（EPR）</w:t>
            </w:r>
          </w:p>
        </w:tc>
        <w:tc>
          <w:tcPr>
            <w:tcW w:w="1012" w:type="pct"/>
            <w:vAlign w:val="center"/>
          </w:tcPr>
          <w:p w14:paraId="33C1C971">
            <w:pPr>
              <w:pStyle w:val="28"/>
              <w:bidi w:val="0"/>
            </w:pPr>
            <w:r>
              <w:rPr>
                <w:rFonts w:hint="eastAsia"/>
              </w:rPr>
              <w:t>0.81</w:t>
            </w:r>
          </w:p>
        </w:tc>
        <w:tc>
          <w:tcPr>
            <w:tcW w:w="841" w:type="pct"/>
            <w:vAlign w:val="center"/>
          </w:tcPr>
          <w:p w14:paraId="2C8514CF">
            <w:pPr>
              <w:pStyle w:val="28"/>
              <w:bidi w:val="0"/>
            </w:pPr>
            <w:r>
              <w:t>0</w:t>
            </w:r>
          </w:p>
        </w:tc>
        <w:tc>
          <w:tcPr>
            <w:tcW w:w="649" w:type="pct"/>
            <w:vAlign w:val="center"/>
          </w:tcPr>
          <w:p w14:paraId="307279D7">
            <w:pPr>
              <w:pStyle w:val="28"/>
              <w:bidi w:val="0"/>
            </w:pPr>
            <w:r>
              <w:t>0.25</w:t>
            </w:r>
          </w:p>
        </w:tc>
      </w:tr>
      <w:tr w14:paraId="4BDA7A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vAlign w:val="center"/>
          </w:tcPr>
          <w:p w14:paraId="0D134DE1">
            <w:pPr>
              <w:pStyle w:val="28"/>
              <w:bidi w:val="0"/>
            </w:pPr>
          </w:p>
        </w:tc>
        <w:tc>
          <w:tcPr>
            <w:tcW w:w="1847" w:type="pct"/>
            <w:vAlign w:val="center"/>
          </w:tcPr>
          <w:p w14:paraId="58568FCA">
            <w:pPr>
              <w:pStyle w:val="28"/>
              <w:bidi w:val="0"/>
            </w:pPr>
            <w:r>
              <w:t>土壤本底含盐量（SSC）/（g/kg）</w:t>
            </w:r>
          </w:p>
        </w:tc>
        <w:tc>
          <w:tcPr>
            <w:tcW w:w="1012" w:type="pct"/>
            <w:vAlign w:val="center"/>
          </w:tcPr>
          <w:p w14:paraId="0E23FC98">
            <w:pPr>
              <w:pStyle w:val="28"/>
              <w:bidi w:val="0"/>
            </w:pPr>
            <w:r>
              <w:rPr>
                <w:rFonts w:hint="eastAsia"/>
              </w:rPr>
              <w:t>0.4</w:t>
            </w:r>
          </w:p>
        </w:tc>
        <w:tc>
          <w:tcPr>
            <w:tcW w:w="841" w:type="pct"/>
            <w:vAlign w:val="center"/>
          </w:tcPr>
          <w:p w14:paraId="66F3F686">
            <w:pPr>
              <w:pStyle w:val="28"/>
              <w:bidi w:val="0"/>
            </w:pPr>
            <w:r>
              <w:t>0</w:t>
            </w:r>
          </w:p>
        </w:tc>
        <w:tc>
          <w:tcPr>
            <w:tcW w:w="649" w:type="pct"/>
            <w:vAlign w:val="center"/>
          </w:tcPr>
          <w:p w14:paraId="44D9AE49">
            <w:pPr>
              <w:pStyle w:val="28"/>
              <w:bidi w:val="0"/>
            </w:pPr>
            <w:r>
              <w:t>0.15</w:t>
            </w:r>
          </w:p>
        </w:tc>
      </w:tr>
      <w:tr w14:paraId="056C5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vAlign w:val="center"/>
          </w:tcPr>
          <w:p w14:paraId="4A5676EC">
            <w:pPr>
              <w:pStyle w:val="28"/>
              <w:bidi w:val="0"/>
            </w:pPr>
          </w:p>
        </w:tc>
        <w:tc>
          <w:tcPr>
            <w:tcW w:w="1847" w:type="pct"/>
            <w:vAlign w:val="center"/>
          </w:tcPr>
          <w:p w14:paraId="3CCDF62E">
            <w:pPr>
              <w:pStyle w:val="28"/>
              <w:bidi w:val="0"/>
            </w:pPr>
            <w:r>
              <w:t>地下水溶解性总固体（TDS）（g/L）</w:t>
            </w:r>
          </w:p>
        </w:tc>
        <w:tc>
          <w:tcPr>
            <w:tcW w:w="1012" w:type="pct"/>
            <w:vAlign w:val="center"/>
          </w:tcPr>
          <w:p w14:paraId="2BE03ED0">
            <w:pPr>
              <w:pStyle w:val="28"/>
              <w:bidi w:val="0"/>
            </w:pPr>
            <w:r>
              <w:rPr>
                <w:rFonts w:hint="eastAsia"/>
              </w:rPr>
              <w:t>0.212</w:t>
            </w:r>
          </w:p>
        </w:tc>
        <w:tc>
          <w:tcPr>
            <w:tcW w:w="841" w:type="pct"/>
            <w:vAlign w:val="center"/>
          </w:tcPr>
          <w:p w14:paraId="417D4780">
            <w:pPr>
              <w:pStyle w:val="28"/>
              <w:bidi w:val="0"/>
            </w:pPr>
            <w:r>
              <w:t>0</w:t>
            </w:r>
          </w:p>
        </w:tc>
        <w:tc>
          <w:tcPr>
            <w:tcW w:w="649" w:type="pct"/>
            <w:vAlign w:val="center"/>
          </w:tcPr>
          <w:p w14:paraId="489DB41E">
            <w:pPr>
              <w:pStyle w:val="28"/>
              <w:bidi w:val="0"/>
            </w:pPr>
            <w:r>
              <w:t>0.15</w:t>
            </w:r>
          </w:p>
        </w:tc>
      </w:tr>
      <w:tr w14:paraId="5906B6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49" w:type="pct"/>
            <w:vMerge w:val="continue"/>
            <w:vAlign w:val="center"/>
          </w:tcPr>
          <w:p w14:paraId="6403A5A8">
            <w:pPr>
              <w:pStyle w:val="28"/>
              <w:bidi w:val="0"/>
            </w:pPr>
          </w:p>
        </w:tc>
        <w:tc>
          <w:tcPr>
            <w:tcW w:w="1847" w:type="pct"/>
            <w:vAlign w:val="center"/>
          </w:tcPr>
          <w:p w14:paraId="3C2B9B02">
            <w:pPr>
              <w:pStyle w:val="28"/>
              <w:bidi w:val="0"/>
            </w:pPr>
            <w:r>
              <w:t>土壤质地</w:t>
            </w:r>
          </w:p>
        </w:tc>
        <w:tc>
          <w:tcPr>
            <w:tcW w:w="1012" w:type="pct"/>
            <w:vAlign w:val="center"/>
          </w:tcPr>
          <w:p w14:paraId="3C3EDEDF">
            <w:pPr>
              <w:pStyle w:val="28"/>
              <w:bidi w:val="0"/>
            </w:pPr>
            <w:r>
              <w:rPr>
                <w:rFonts w:hint="eastAsia"/>
              </w:rPr>
              <w:t>壤土</w:t>
            </w:r>
          </w:p>
        </w:tc>
        <w:tc>
          <w:tcPr>
            <w:tcW w:w="841" w:type="pct"/>
            <w:vAlign w:val="center"/>
          </w:tcPr>
          <w:p w14:paraId="73AEF25E">
            <w:pPr>
              <w:pStyle w:val="28"/>
              <w:bidi w:val="0"/>
            </w:pPr>
            <w:r>
              <w:t>4</w:t>
            </w:r>
          </w:p>
        </w:tc>
        <w:tc>
          <w:tcPr>
            <w:tcW w:w="649" w:type="pct"/>
            <w:vAlign w:val="center"/>
          </w:tcPr>
          <w:p w14:paraId="11B92295">
            <w:pPr>
              <w:pStyle w:val="28"/>
              <w:bidi w:val="0"/>
            </w:pPr>
            <w:r>
              <w:t>0.1</w:t>
            </w:r>
          </w:p>
        </w:tc>
      </w:tr>
    </w:tbl>
    <w:p w14:paraId="47F878D0">
      <w:pPr>
        <w:spacing w:line="240" w:lineRule="auto"/>
        <w:rPr>
          <w:rFonts w:cs="Times New Roman"/>
          <w:color w:val="0000FF"/>
        </w:rPr>
      </w:pPr>
    </w:p>
    <w:p w14:paraId="478F0C76">
      <w:pPr>
        <w:numPr>
          <w:ilvl w:val="4"/>
          <w:numId w:val="0"/>
        </w:numPr>
        <w:ind w:left="480" w:leftChars="200"/>
        <w:jc w:val="both"/>
        <w:rPr>
          <w:rFonts w:cs="Times New Roman"/>
          <w:bCs/>
          <w:color w:val="0000FF"/>
        </w:rPr>
      </w:pPr>
      <w:r>
        <w:rPr>
          <w:rFonts w:cs="Times New Roman"/>
          <w:bCs/>
          <w:color w:val="0000FF"/>
        </w:rPr>
        <w:t>（1）土壤盐化综合评分预测方法</w:t>
      </w:r>
    </w:p>
    <w:p w14:paraId="43655BA3">
      <w:pPr>
        <w:ind w:firstLine="480" w:firstLineChars="200"/>
        <w:rPr>
          <w:rFonts w:cs="Times New Roman"/>
          <w:bCs/>
          <w:color w:val="0000FF"/>
        </w:rPr>
      </w:pPr>
      <w:r>
        <w:rPr>
          <w:rFonts w:cs="Times New Roman"/>
          <w:bCs/>
          <w:color w:val="0000FF"/>
        </w:rPr>
        <w:t>根据表5-</w:t>
      </w:r>
      <w:r>
        <w:rPr>
          <w:rFonts w:hint="eastAsia" w:cs="Times New Roman"/>
          <w:bCs/>
          <w:color w:val="0000FF"/>
        </w:rPr>
        <w:t>6</w:t>
      </w:r>
      <w:r>
        <w:rPr>
          <w:rFonts w:cs="Times New Roman"/>
          <w:bCs/>
          <w:color w:val="0000FF"/>
        </w:rPr>
        <w:t>-2选取各项影响因素的分值与权重，采用以下公式计算土壤盐化综合评分值（Sa），对照表5-</w:t>
      </w:r>
      <w:r>
        <w:rPr>
          <w:rFonts w:hint="eastAsia" w:cs="Times New Roman"/>
          <w:bCs/>
          <w:color w:val="0000FF"/>
        </w:rPr>
        <w:t>6</w:t>
      </w:r>
      <w:r>
        <w:rPr>
          <w:rFonts w:cs="Times New Roman"/>
          <w:bCs/>
          <w:color w:val="0000FF"/>
        </w:rPr>
        <w:t>-1得出土壤盐化综合评分预测结果。</w:t>
      </w:r>
    </w:p>
    <w:p w14:paraId="1D00BE55">
      <w:pPr>
        <w:rPr>
          <w:rFonts w:cs="Times New Roman"/>
          <w:bCs/>
          <w:color w:val="0000FF"/>
        </w:rPr>
      </w:pPr>
      <w:r>
        <w:rPr>
          <w:rFonts w:cs="Times New Roman"/>
          <w:bCs/>
          <w:color w:val="0000FF"/>
          <w:position w:val="-14"/>
        </w:rPr>
        <w:object>
          <v:shape id="_x0000_i1036" o:spt="75" type="#_x0000_t75" style="height:28.35pt;width:128.65pt;" o:ole="t" filled="f" o:preferrelative="t" stroked="f" coordsize="21600,21600">
            <v:path/>
            <v:fill on="f" focussize="0,0"/>
            <v:stroke on="f" joinstyle="miter"/>
            <v:imagedata r:id="rId174" o:title=""/>
            <o:lock v:ext="edit" aspectratio="t"/>
            <w10:wrap type="none"/>
            <w10:anchorlock/>
          </v:shape>
          <o:OLEObject Type="Embed" ProgID="Equation.KSEE3" ShapeID="_x0000_i1036" DrawAspect="Content" ObjectID="_1468075736" r:id="rId173">
            <o:LockedField>false</o:LockedField>
          </o:OLEObject>
        </w:object>
      </w:r>
    </w:p>
    <w:p w14:paraId="71F17F2D">
      <w:pPr>
        <w:ind w:firstLine="480" w:firstLineChars="200"/>
        <w:rPr>
          <w:rFonts w:cs="Times New Roman"/>
          <w:bCs/>
          <w:color w:val="0000FF"/>
        </w:rPr>
      </w:pPr>
      <w:r>
        <w:rPr>
          <w:rFonts w:cs="Times New Roman"/>
          <w:bCs/>
          <w:color w:val="0000FF"/>
        </w:rPr>
        <w:t>式中：n—影响因素指标数目；</w:t>
      </w:r>
    </w:p>
    <w:p w14:paraId="4A251CC2">
      <w:pPr>
        <w:ind w:firstLine="1200" w:firstLineChars="500"/>
        <w:rPr>
          <w:rFonts w:cs="Times New Roman"/>
          <w:bCs/>
          <w:color w:val="0000FF"/>
        </w:rPr>
      </w:pPr>
      <w:r>
        <w:rPr>
          <w:rFonts w:cs="Times New Roman"/>
          <w:bCs/>
          <w:color w:val="0000FF"/>
        </w:rPr>
        <w:t>Ix</w:t>
      </w:r>
      <w:r>
        <w:rPr>
          <w:rFonts w:cs="Times New Roman"/>
          <w:bCs/>
          <w:color w:val="0000FF"/>
          <w:vertAlign w:val="subscript"/>
        </w:rPr>
        <w:t>i</w:t>
      </w:r>
      <w:r>
        <w:rPr>
          <w:rFonts w:cs="Times New Roman"/>
          <w:bCs/>
          <w:color w:val="0000FF"/>
        </w:rPr>
        <w:t>—影响因素i指标评分；</w:t>
      </w:r>
    </w:p>
    <w:p w14:paraId="3D30809A">
      <w:pPr>
        <w:ind w:firstLine="1200" w:firstLineChars="500"/>
        <w:rPr>
          <w:rFonts w:cs="Times New Roman"/>
          <w:bCs/>
          <w:color w:val="0000FF"/>
        </w:rPr>
      </w:pPr>
      <w:r>
        <w:rPr>
          <w:rFonts w:cs="Times New Roman"/>
          <w:bCs/>
          <w:color w:val="0000FF"/>
        </w:rPr>
        <w:t>Wx</w:t>
      </w:r>
      <w:r>
        <w:rPr>
          <w:rFonts w:cs="Times New Roman"/>
          <w:bCs/>
          <w:color w:val="0000FF"/>
          <w:vertAlign w:val="subscript"/>
        </w:rPr>
        <w:t>i</w:t>
      </w:r>
      <w:r>
        <w:rPr>
          <w:rFonts w:cs="Times New Roman"/>
          <w:bCs/>
          <w:color w:val="0000FF"/>
        </w:rPr>
        <w:t>-—影响因素i指标权重。</w:t>
      </w:r>
    </w:p>
    <w:p w14:paraId="3CC8E7DF">
      <w:pPr>
        <w:jc w:val="center"/>
        <w:rPr>
          <w:rFonts w:cs="Times New Roman"/>
          <w:bCs/>
          <w:color w:val="0000FF"/>
        </w:rPr>
      </w:pPr>
      <w:r>
        <w:rPr>
          <w:rFonts w:cs="Times New Roman"/>
          <w:color w:val="0000FF"/>
        </w:rPr>
        <w:t>表5-</w:t>
      </w:r>
      <w:r>
        <w:rPr>
          <w:rFonts w:hint="eastAsia" w:cs="Times New Roman"/>
          <w:color w:val="0000FF"/>
        </w:rPr>
        <w:t>6</w:t>
      </w:r>
      <w:r>
        <w:rPr>
          <w:rFonts w:cs="Times New Roman"/>
          <w:color w:val="0000FF"/>
        </w:rPr>
        <w:t>-</w:t>
      </w:r>
      <w:r>
        <w:rPr>
          <w:rFonts w:hint="eastAsia" w:cs="Times New Roman"/>
          <w:color w:val="0000FF"/>
        </w:rPr>
        <w:t>3</w:t>
      </w:r>
      <w:r>
        <w:rPr>
          <w:rFonts w:cs="Times New Roman"/>
          <w:color w:val="0000FF"/>
        </w:rPr>
        <w:t xml:space="preserve">  项目区域土壤盐化影响因素赋分表</w:t>
      </w:r>
    </w:p>
    <w:tbl>
      <w:tblPr>
        <w:tblStyle w:val="16"/>
        <w:tblW w:w="0" w:type="auto"/>
        <w:jc w:val="center"/>
        <w:tblLayout w:type="autofit"/>
        <w:tblCellMar>
          <w:top w:w="0" w:type="dxa"/>
          <w:left w:w="108" w:type="dxa"/>
          <w:bottom w:w="0" w:type="dxa"/>
          <w:right w:w="108" w:type="dxa"/>
        </w:tblCellMar>
      </w:tblPr>
      <w:tblGrid>
        <w:gridCol w:w="1568"/>
        <w:gridCol w:w="1538"/>
        <w:gridCol w:w="1546"/>
        <w:gridCol w:w="1546"/>
        <w:gridCol w:w="1546"/>
        <w:gridCol w:w="1543"/>
      </w:tblGrid>
      <w:tr w14:paraId="34E5B4AE">
        <w:tblPrEx>
          <w:tblCellMar>
            <w:top w:w="0" w:type="dxa"/>
            <w:left w:w="108" w:type="dxa"/>
            <w:bottom w:w="0" w:type="dxa"/>
            <w:right w:w="108" w:type="dxa"/>
          </w:tblCellMar>
        </w:tblPrEx>
        <w:trPr>
          <w:trHeight w:val="340" w:hRule="atLeast"/>
          <w:jc w:val="center"/>
        </w:trPr>
        <w:tc>
          <w:tcPr>
            <w:tcW w:w="1623" w:type="dxa"/>
            <w:vAlign w:val="center"/>
          </w:tcPr>
          <w:p w14:paraId="37681B29">
            <w:pPr>
              <w:pStyle w:val="28"/>
              <w:bidi w:val="0"/>
            </w:pPr>
            <w:r>
              <w:rPr>
                <w:rFonts w:hint="eastAsia"/>
              </w:rPr>
              <w:t>土壤盐化综合</w:t>
            </w:r>
          </w:p>
          <w:p w14:paraId="64CCE62A">
            <w:pPr>
              <w:pStyle w:val="28"/>
              <w:bidi w:val="0"/>
            </w:pPr>
            <w:r>
              <w:rPr>
                <w:rFonts w:hint="eastAsia"/>
              </w:rPr>
              <w:t>评分值（Sa）</w:t>
            </w:r>
          </w:p>
        </w:tc>
        <w:tc>
          <w:tcPr>
            <w:tcW w:w="1623" w:type="dxa"/>
            <w:vAlign w:val="center"/>
          </w:tcPr>
          <w:p w14:paraId="32E11AB7">
            <w:pPr>
              <w:pStyle w:val="28"/>
              <w:bidi w:val="0"/>
            </w:pPr>
            <w:r>
              <w:rPr>
                <w:rFonts w:hint="eastAsia"/>
              </w:rPr>
              <w:t>Sa＜1</w:t>
            </w:r>
          </w:p>
        </w:tc>
        <w:tc>
          <w:tcPr>
            <w:tcW w:w="1624" w:type="dxa"/>
            <w:vAlign w:val="center"/>
          </w:tcPr>
          <w:p w14:paraId="2C0A9787">
            <w:pPr>
              <w:pStyle w:val="28"/>
              <w:bidi w:val="0"/>
            </w:pPr>
            <w:r>
              <w:rPr>
                <w:rFonts w:hint="eastAsia"/>
              </w:rPr>
              <w:t>1≤1Sa＜2</w:t>
            </w:r>
          </w:p>
        </w:tc>
        <w:tc>
          <w:tcPr>
            <w:tcW w:w="1624" w:type="dxa"/>
            <w:vAlign w:val="center"/>
          </w:tcPr>
          <w:p w14:paraId="3E9B71D1">
            <w:pPr>
              <w:pStyle w:val="28"/>
              <w:bidi w:val="0"/>
            </w:pPr>
            <w:r>
              <w:rPr>
                <w:rFonts w:hint="eastAsia"/>
              </w:rPr>
              <w:t>2≤1Sa＜3</w:t>
            </w:r>
          </w:p>
        </w:tc>
        <w:tc>
          <w:tcPr>
            <w:tcW w:w="1624" w:type="dxa"/>
            <w:vAlign w:val="center"/>
          </w:tcPr>
          <w:p w14:paraId="0241800C">
            <w:pPr>
              <w:pStyle w:val="28"/>
              <w:bidi w:val="0"/>
            </w:pPr>
            <w:r>
              <w:rPr>
                <w:rFonts w:hint="eastAsia"/>
              </w:rPr>
              <w:t>3≤1Sa＜4.5</w:t>
            </w:r>
          </w:p>
        </w:tc>
        <w:tc>
          <w:tcPr>
            <w:tcW w:w="1624" w:type="dxa"/>
            <w:vAlign w:val="center"/>
          </w:tcPr>
          <w:p w14:paraId="23F8E788">
            <w:pPr>
              <w:pStyle w:val="28"/>
              <w:bidi w:val="0"/>
            </w:pPr>
            <w:r>
              <w:rPr>
                <w:rFonts w:hint="eastAsia"/>
              </w:rPr>
              <w:t>Sa≥4.5</w:t>
            </w:r>
          </w:p>
        </w:tc>
      </w:tr>
      <w:tr w14:paraId="6FAA2B9E">
        <w:tblPrEx>
          <w:tblCellMar>
            <w:top w:w="0" w:type="dxa"/>
            <w:left w:w="108" w:type="dxa"/>
            <w:bottom w:w="0" w:type="dxa"/>
            <w:right w:w="108" w:type="dxa"/>
          </w:tblCellMar>
        </w:tblPrEx>
        <w:trPr>
          <w:trHeight w:val="340" w:hRule="atLeast"/>
          <w:jc w:val="center"/>
        </w:trPr>
        <w:tc>
          <w:tcPr>
            <w:tcW w:w="1623" w:type="dxa"/>
            <w:vAlign w:val="center"/>
          </w:tcPr>
          <w:p w14:paraId="4E27B119">
            <w:pPr>
              <w:pStyle w:val="28"/>
              <w:bidi w:val="0"/>
            </w:pPr>
            <w:r>
              <w:rPr>
                <w:rFonts w:hint="eastAsia"/>
              </w:rPr>
              <w:t>土壤盐化综合</w:t>
            </w:r>
          </w:p>
          <w:p w14:paraId="557C39C3">
            <w:pPr>
              <w:pStyle w:val="28"/>
              <w:bidi w:val="0"/>
            </w:pPr>
            <w:r>
              <w:rPr>
                <w:rFonts w:hint="eastAsia"/>
              </w:rPr>
              <w:t>评分预测结果</w:t>
            </w:r>
          </w:p>
        </w:tc>
        <w:tc>
          <w:tcPr>
            <w:tcW w:w="1623" w:type="dxa"/>
            <w:vAlign w:val="center"/>
          </w:tcPr>
          <w:p w14:paraId="26A9B617">
            <w:pPr>
              <w:pStyle w:val="28"/>
              <w:bidi w:val="0"/>
            </w:pPr>
            <w:r>
              <w:rPr>
                <w:rFonts w:hint="eastAsia"/>
              </w:rPr>
              <w:t>未盐化</w:t>
            </w:r>
          </w:p>
        </w:tc>
        <w:tc>
          <w:tcPr>
            <w:tcW w:w="1624" w:type="dxa"/>
            <w:vAlign w:val="center"/>
          </w:tcPr>
          <w:p w14:paraId="7892D468">
            <w:pPr>
              <w:pStyle w:val="28"/>
              <w:bidi w:val="0"/>
            </w:pPr>
            <w:r>
              <w:rPr>
                <w:rFonts w:hint="eastAsia"/>
              </w:rPr>
              <w:t>轻度盐化</w:t>
            </w:r>
          </w:p>
        </w:tc>
        <w:tc>
          <w:tcPr>
            <w:tcW w:w="1624" w:type="dxa"/>
            <w:vAlign w:val="center"/>
          </w:tcPr>
          <w:p w14:paraId="6E99A1CF">
            <w:pPr>
              <w:pStyle w:val="28"/>
              <w:bidi w:val="0"/>
            </w:pPr>
            <w:r>
              <w:rPr>
                <w:rFonts w:hint="eastAsia"/>
              </w:rPr>
              <w:t>中度盐化</w:t>
            </w:r>
          </w:p>
        </w:tc>
        <w:tc>
          <w:tcPr>
            <w:tcW w:w="1624" w:type="dxa"/>
            <w:vAlign w:val="center"/>
          </w:tcPr>
          <w:p w14:paraId="1342A7EC">
            <w:pPr>
              <w:pStyle w:val="28"/>
              <w:bidi w:val="0"/>
            </w:pPr>
            <w:r>
              <w:rPr>
                <w:rFonts w:hint="eastAsia"/>
              </w:rPr>
              <w:t>重度盐化</w:t>
            </w:r>
          </w:p>
        </w:tc>
        <w:tc>
          <w:tcPr>
            <w:tcW w:w="1624" w:type="dxa"/>
            <w:vAlign w:val="center"/>
          </w:tcPr>
          <w:p w14:paraId="00896BA6">
            <w:pPr>
              <w:pStyle w:val="28"/>
              <w:bidi w:val="0"/>
            </w:pPr>
            <w:r>
              <w:rPr>
                <w:rFonts w:hint="eastAsia"/>
              </w:rPr>
              <w:t>极重度盐化</w:t>
            </w:r>
          </w:p>
        </w:tc>
      </w:tr>
    </w:tbl>
    <w:p w14:paraId="68BAF3F5">
      <w:pPr>
        <w:numPr>
          <w:ilvl w:val="4"/>
          <w:numId w:val="0"/>
        </w:numPr>
        <w:spacing w:line="240" w:lineRule="auto"/>
        <w:ind w:left="480" w:leftChars="200"/>
        <w:rPr>
          <w:rFonts w:cs="Times New Roman"/>
          <w:bCs/>
          <w:color w:val="0000FF"/>
        </w:rPr>
      </w:pPr>
    </w:p>
    <w:p w14:paraId="53E03143">
      <w:pPr>
        <w:numPr>
          <w:ilvl w:val="4"/>
          <w:numId w:val="0"/>
        </w:numPr>
        <w:ind w:left="480" w:leftChars="200"/>
        <w:rPr>
          <w:rFonts w:cs="Times New Roman"/>
          <w:bCs/>
          <w:color w:val="0000FF"/>
        </w:rPr>
      </w:pPr>
      <w:r>
        <w:rPr>
          <w:rFonts w:hint="eastAsia" w:cs="Times New Roman"/>
          <w:bCs/>
          <w:color w:val="0000FF"/>
        </w:rPr>
        <w:t>（2）</w:t>
      </w:r>
      <w:r>
        <w:rPr>
          <w:rFonts w:cs="Times New Roman"/>
          <w:bCs/>
          <w:color w:val="0000FF"/>
        </w:rPr>
        <w:t>土壤盐化预测</w:t>
      </w:r>
    </w:p>
    <w:p w14:paraId="19DCAB9C">
      <w:pPr>
        <w:ind w:firstLine="480" w:firstLineChars="200"/>
        <w:rPr>
          <w:rFonts w:cs="Times New Roman"/>
          <w:bCs/>
          <w:color w:val="0000FF"/>
        </w:rPr>
      </w:pPr>
      <w:r>
        <w:rPr>
          <w:rFonts w:cs="Times New Roman"/>
          <w:bCs/>
          <w:color w:val="0000FF"/>
        </w:rPr>
        <w:t>根据公式计算，</w:t>
      </w:r>
      <w:r>
        <w:rPr>
          <w:rFonts w:hint="eastAsia" w:cs="Times New Roman"/>
          <w:bCs/>
          <w:color w:val="0000FF"/>
        </w:rPr>
        <w:t>郑岗泵站</w:t>
      </w:r>
      <w:r>
        <w:rPr>
          <w:rFonts w:cs="Times New Roman"/>
          <w:bCs/>
          <w:color w:val="0000FF"/>
        </w:rPr>
        <w:t>区域土壤盐化综合评分值（Sa）为0.4，对照土壤盐化预测表，土壤盐化综合评分预测结果为未盐化。本工程建设不会使项目区域出现盐化影响。</w:t>
      </w:r>
    </w:p>
    <w:p w14:paraId="0B7030CB">
      <w:pPr>
        <w:ind w:firstLine="480" w:firstLineChars="200"/>
        <w:rPr>
          <w:rFonts w:cs="Times New Roman"/>
          <w:bCs/>
          <w:color w:val="0000FF"/>
        </w:rPr>
      </w:pPr>
      <w:r>
        <w:rPr>
          <w:rFonts w:cs="Times New Roman"/>
          <w:bCs/>
          <w:color w:val="0000FF"/>
        </w:rPr>
        <w:t>工程所在区域无盐碱化问题，工程建设后不改变区域地下水位，也不会对区域土壤的pH值和含盐量产生影响。</w:t>
      </w:r>
    </w:p>
    <w:p w14:paraId="77982965">
      <w:pPr>
        <w:pStyle w:val="4"/>
        <w:rPr>
          <w:rFonts w:cs="Times New Roman"/>
          <w:color w:val="0000FF"/>
        </w:rPr>
      </w:pPr>
      <w:r>
        <w:rPr>
          <w:rFonts w:hint="eastAsia" w:cs="Times New Roman"/>
          <w:color w:val="0000FF"/>
        </w:rPr>
        <w:t>5.6</w:t>
      </w:r>
      <w:r>
        <w:rPr>
          <w:rFonts w:cs="Times New Roman"/>
          <w:color w:val="0000FF"/>
        </w:rPr>
        <w:t>.2 土壤环境影响分析</w:t>
      </w:r>
    </w:p>
    <w:p w14:paraId="7649BEB9">
      <w:pPr>
        <w:rPr>
          <w:rFonts w:cs="Times New Roman"/>
          <w:bCs/>
          <w:color w:val="0000FF"/>
        </w:rPr>
      </w:pPr>
      <w:r>
        <w:rPr>
          <w:rFonts w:cs="Times New Roman"/>
          <w:bCs/>
          <w:color w:val="0000FF"/>
        </w:rPr>
        <w:t>项目主要为施工期对土壤的影响，主要是表土扰动，施工期间的污废水排放，固体废物堆存，施工设备漏油等，造成污染物进入土壤环境。</w:t>
      </w:r>
    </w:p>
    <w:p w14:paraId="53433942">
      <w:pPr>
        <w:rPr>
          <w:rFonts w:cs="Times New Roman"/>
          <w:bCs/>
          <w:color w:val="0000FF"/>
        </w:rPr>
      </w:pPr>
      <w:r>
        <w:rPr>
          <w:rFonts w:cs="Times New Roman"/>
          <w:bCs/>
          <w:color w:val="0000FF"/>
        </w:rPr>
        <w:t>表土层对土地的复垦或复绿作用明显。因此本环评要求对临时占地进行表土剥离，单独存放。施工过程中要做好表土堆存场的水土保持措施，施工结束后用于临时占地的恢复；施工人员集中生活区设一体化生活污水处理装置，对生活污水集中处理，处理后</w:t>
      </w:r>
      <w:r>
        <w:rPr>
          <w:rFonts w:hint="eastAsia" w:cs="Times New Roman"/>
          <w:bCs/>
          <w:color w:val="0000FF"/>
        </w:rPr>
        <w:t>达到《农田灌溉水质标准》（GB5084-2021）中“水田作物”标准，用作周边农田灌溉</w:t>
      </w:r>
      <w:r>
        <w:rPr>
          <w:rFonts w:cs="Times New Roman"/>
          <w:bCs/>
          <w:color w:val="0000FF"/>
        </w:rPr>
        <w:t>。固体废物分类安全处置；施工机械要勤加保养，防止漏油。</w:t>
      </w:r>
    </w:p>
    <w:p w14:paraId="0B18F563">
      <w:pPr>
        <w:rPr>
          <w:rFonts w:cs="Times New Roman"/>
          <w:bCs/>
          <w:color w:val="0000FF"/>
        </w:rPr>
      </w:pPr>
      <w:r>
        <w:rPr>
          <w:rFonts w:cs="Times New Roman"/>
          <w:bCs/>
          <w:color w:val="0000FF"/>
        </w:rPr>
        <w:t>采取上述措施后，施工期基本不会对项目区土壤环境造成影响。</w:t>
      </w:r>
    </w:p>
    <w:p w14:paraId="3D83D63C">
      <w:pPr>
        <w:rPr>
          <w:rFonts w:cs="Times New Roman"/>
          <w:color w:val="0000FF"/>
        </w:rPr>
      </w:pPr>
      <w:r>
        <w:rPr>
          <w:rFonts w:cs="Times New Roman"/>
          <w:color w:val="0000FF"/>
        </w:rPr>
        <w:t>表5-</w:t>
      </w:r>
      <w:r>
        <w:rPr>
          <w:rFonts w:hint="eastAsia" w:cs="Times New Roman"/>
          <w:color w:val="0000FF"/>
        </w:rPr>
        <w:t>6</w:t>
      </w:r>
      <w:r>
        <w:rPr>
          <w:rFonts w:cs="Times New Roman"/>
          <w:color w:val="0000FF"/>
        </w:rPr>
        <w:t>-</w:t>
      </w:r>
      <w:r>
        <w:rPr>
          <w:rFonts w:hint="eastAsia" w:cs="Times New Roman"/>
          <w:color w:val="0000FF"/>
        </w:rPr>
        <w:t>4</w:t>
      </w:r>
      <w:r>
        <w:rPr>
          <w:rFonts w:cs="Times New Roman"/>
          <w:color w:val="0000FF"/>
        </w:rPr>
        <w:t xml:space="preserve">  土壤环境影响评价自查表</w:t>
      </w:r>
    </w:p>
    <w:tbl>
      <w:tblPr>
        <w:tblStyle w:val="16"/>
        <w:tblW w:w="511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0"/>
        <w:gridCol w:w="1699"/>
        <w:gridCol w:w="1238"/>
        <w:gridCol w:w="152"/>
        <w:gridCol w:w="1489"/>
        <w:gridCol w:w="1929"/>
        <w:gridCol w:w="1213"/>
        <w:gridCol w:w="1033"/>
      </w:tblGrid>
      <w:tr w14:paraId="5E14F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5" w:type="pct"/>
            <w:gridSpan w:val="2"/>
            <w:vAlign w:val="center"/>
          </w:tcPr>
          <w:p w14:paraId="4CA6C3C6">
            <w:pPr>
              <w:pStyle w:val="28"/>
              <w:bidi w:val="0"/>
            </w:pPr>
            <w:r>
              <w:t>工作内容</w:t>
            </w:r>
          </w:p>
        </w:tc>
        <w:tc>
          <w:tcPr>
            <w:tcW w:w="3169" w:type="pct"/>
            <w:gridSpan w:val="5"/>
            <w:vAlign w:val="center"/>
          </w:tcPr>
          <w:p w14:paraId="39752B13">
            <w:pPr>
              <w:pStyle w:val="28"/>
              <w:bidi w:val="0"/>
            </w:pPr>
            <w:r>
              <w:t>完成情况</w:t>
            </w:r>
          </w:p>
        </w:tc>
        <w:tc>
          <w:tcPr>
            <w:tcW w:w="545" w:type="pct"/>
            <w:vAlign w:val="center"/>
          </w:tcPr>
          <w:p w14:paraId="1F534CB9">
            <w:pPr>
              <w:pStyle w:val="28"/>
              <w:bidi w:val="0"/>
            </w:pPr>
            <w:r>
              <w:t>备注</w:t>
            </w:r>
          </w:p>
        </w:tc>
      </w:tr>
      <w:tr w14:paraId="2DF6E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restart"/>
            <w:vAlign w:val="center"/>
          </w:tcPr>
          <w:p w14:paraId="2253ED86">
            <w:pPr>
              <w:pStyle w:val="28"/>
              <w:bidi w:val="0"/>
            </w:pPr>
            <w:r>
              <w:t>影响识别</w:t>
            </w:r>
          </w:p>
        </w:tc>
        <w:tc>
          <w:tcPr>
            <w:tcW w:w="894" w:type="pct"/>
            <w:vAlign w:val="center"/>
          </w:tcPr>
          <w:p w14:paraId="01044086">
            <w:pPr>
              <w:pStyle w:val="28"/>
              <w:bidi w:val="0"/>
            </w:pPr>
            <w:r>
              <w:t>影响类型</w:t>
            </w:r>
          </w:p>
        </w:tc>
        <w:tc>
          <w:tcPr>
            <w:tcW w:w="3169" w:type="pct"/>
            <w:gridSpan w:val="5"/>
            <w:vAlign w:val="center"/>
          </w:tcPr>
          <w:p w14:paraId="32767ECA">
            <w:pPr>
              <w:pStyle w:val="28"/>
              <w:bidi w:val="0"/>
            </w:pPr>
            <w:r>
              <w:t>污染影响型</w:t>
            </w:r>
            <w:r>
              <w:rPr/>
              <w:sym w:font="Wingdings 2" w:char="00A3"/>
            </w:r>
            <w:r>
              <w:t>；生态影响型</w:t>
            </w:r>
            <w:r>
              <w:rPr/>
              <w:sym w:font="Wingdings 2" w:char="00A3"/>
            </w:r>
            <w:r>
              <w:t>；两种兼有</w:t>
            </w:r>
            <w:r>
              <w:rPr/>
              <w:sym w:font="Wingdings 2" w:char="0052"/>
            </w:r>
          </w:p>
        </w:tc>
        <w:tc>
          <w:tcPr>
            <w:tcW w:w="545" w:type="pct"/>
            <w:vAlign w:val="center"/>
          </w:tcPr>
          <w:p w14:paraId="1C38194F">
            <w:pPr>
              <w:pStyle w:val="28"/>
              <w:bidi w:val="0"/>
            </w:pPr>
          </w:p>
        </w:tc>
      </w:tr>
      <w:tr w14:paraId="41C77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6F3BF574">
            <w:pPr>
              <w:pStyle w:val="28"/>
              <w:bidi w:val="0"/>
            </w:pPr>
          </w:p>
        </w:tc>
        <w:tc>
          <w:tcPr>
            <w:tcW w:w="894" w:type="pct"/>
            <w:vAlign w:val="center"/>
          </w:tcPr>
          <w:p w14:paraId="2BFB5229">
            <w:pPr>
              <w:pStyle w:val="28"/>
              <w:bidi w:val="0"/>
            </w:pPr>
            <w:r>
              <w:t>土地利用类型</w:t>
            </w:r>
          </w:p>
        </w:tc>
        <w:tc>
          <w:tcPr>
            <w:tcW w:w="3169" w:type="pct"/>
            <w:gridSpan w:val="5"/>
            <w:vAlign w:val="center"/>
          </w:tcPr>
          <w:p w14:paraId="7B6F96B7">
            <w:pPr>
              <w:pStyle w:val="28"/>
              <w:bidi w:val="0"/>
            </w:pPr>
            <w:r>
              <w:t>建设用地</w:t>
            </w:r>
            <w:r>
              <w:rPr/>
              <w:sym w:font="Wingdings 2" w:char="0052"/>
            </w:r>
            <w:r>
              <w:t>；农用地</w:t>
            </w:r>
            <w:r>
              <w:rPr/>
              <w:sym w:font="Wingdings 2" w:char="0052"/>
            </w:r>
            <w:r>
              <w:t>；未利用地□</w:t>
            </w:r>
          </w:p>
        </w:tc>
        <w:tc>
          <w:tcPr>
            <w:tcW w:w="545" w:type="pct"/>
            <w:vAlign w:val="center"/>
          </w:tcPr>
          <w:p w14:paraId="3AB14EF4">
            <w:pPr>
              <w:pStyle w:val="28"/>
              <w:bidi w:val="0"/>
            </w:pPr>
            <w:r>
              <w:t>土地利用类型图</w:t>
            </w:r>
          </w:p>
        </w:tc>
      </w:tr>
      <w:tr w14:paraId="14144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0F476A94">
            <w:pPr>
              <w:pStyle w:val="28"/>
              <w:bidi w:val="0"/>
            </w:pPr>
          </w:p>
        </w:tc>
        <w:tc>
          <w:tcPr>
            <w:tcW w:w="894" w:type="pct"/>
            <w:vAlign w:val="center"/>
          </w:tcPr>
          <w:p w14:paraId="0FF8A49D">
            <w:pPr>
              <w:pStyle w:val="28"/>
              <w:bidi w:val="0"/>
            </w:pPr>
            <w:r>
              <w:t>占地规模</w:t>
            </w:r>
          </w:p>
        </w:tc>
        <w:tc>
          <w:tcPr>
            <w:tcW w:w="3169" w:type="pct"/>
            <w:gridSpan w:val="5"/>
            <w:vAlign w:val="center"/>
          </w:tcPr>
          <w:p w14:paraId="445B8899">
            <w:pPr>
              <w:pStyle w:val="28"/>
              <w:bidi w:val="0"/>
            </w:pPr>
            <w:r>
              <w:t>（  ）hm2</w:t>
            </w:r>
          </w:p>
        </w:tc>
        <w:tc>
          <w:tcPr>
            <w:tcW w:w="545" w:type="pct"/>
            <w:vAlign w:val="center"/>
          </w:tcPr>
          <w:p w14:paraId="194DDB74">
            <w:pPr>
              <w:pStyle w:val="28"/>
              <w:bidi w:val="0"/>
            </w:pPr>
          </w:p>
        </w:tc>
      </w:tr>
      <w:tr w14:paraId="6478DE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57D437BC">
            <w:pPr>
              <w:pStyle w:val="28"/>
              <w:bidi w:val="0"/>
            </w:pPr>
          </w:p>
        </w:tc>
        <w:tc>
          <w:tcPr>
            <w:tcW w:w="894" w:type="pct"/>
            <w:vAlign w:val="center"/>
          </w:tcPr>
          <w:p w14:paraId="10A47EA9">
            <w:pPr>
              <w:pStyle w:val="28"/>
              <w:bidi w:val="0"/>
            </w:pPr>
            <w:r>
              <w:t>敏感目标信息</w:t>
            </w:r>
          </w:p>
        </w:tc>
        <w:tc>
          <w:tcPr>
            <w:tcW w:w="3169" w:type="pct"/>
            <w:gridSpan w:val="5"/>
            <w:vAlign w:val="center"/>
          </w:tcPr>
          <w:p w14:paraId="401EEABD">
            <w:pPr>
              <w:pStyle w:val="28"/>
              <w:bidi w:val="0"/>
            </w:pPr>
            <w:r>
              <w:t>敏感目标（/）、方位（/）、距离（/）</w:t>
            </w:r>
          </w:p>
        </w:tc>
        <w:tc>
          <w:tcPr>
            <w:tcW w:w="545" w:type="pct"/>
            <w:vAlign w:val="center"/>
          </w:tcPr>
          <w:p w14:paraId="0E374E09">
            <w:pPr>
              <w:pStyle w:val="28"/>
              <w:bidi w:val="0"/>
            </w:pPr>
          </w:p>
        </w:tc>
      </w:tr>
      <w:tr w14:paraId="1AD96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733DF6ED">
            <w:pPr>
              <w:pStyle w:val="28"/>
              <w:bidi w:val="0"/>
            </w:pPr>
          </w:p>
        </w:tc>
        <w:tc>
          <w:tcPr>
            <w:tcW w:w="894" w:type="pct"/>
            <w:vAlign w:val="center"/>
          </w:tcPr>
          <w:p w14:paraId="08992764">
            <w:pPr>
              <w:pStyle w:val="28"/>
              <w:bidi w:val="0"/>
            </w:pPr>
            <w:r>
              <w:t>影响途径</w:t>
            </w:r>
          </w:p>
        </w:tc>
        <w:tc>
          <w:tcPr>
            <w:tcW w:w="3169" w:type="pct"/>
            <w:gridSpan w:val="5"/>
            <w:vAlign w:val="center"/>
          </w:tcPr>
          <w:p w14:paraId="27CF6AD3">
            <w:pPr>
              <w:pStyle w:val="28"/>
              <w:bidi w:val="0"/>
            </w:pPr>
            <w:r>
              <w:t>大气沉降</w:t>
            </w:r>
            <w:r>
              <w:rPr/>
              <w:sym w:font="Wingdings 2" w:char="0052"/>
            </w:r>
            <w:r>
              <w:t>；地面漫流</w:t>
            </w:r>
            <w:r>
              <w:rPr/>
              <w:sym w:font="Wingdings 2" w:char="0052"/>
            </w:r>
            <w:r>
              <w:t>；垂直入渗□；地下水位</w:t>
            </w:r>
            <w:r>
              <w:rPr/>
              <w:sym w:font="Wingdings 2" w:char="0052"/>
            </w:r>
            <w:r>
              <w:t>；其他（）</w:t>
            </w:r>
          </w:p>
        </w:tc>
        <w:tc>
          <w:tcPr>
            <w:tcW w:w="545" w:type="pct"/>
            <w:vAlign w:val="center"/>
          </w:tcPr>
          <w:p w14:paraId="4421D6DB">
            <w:pPr>
              <w:pStyle w:val="28"/>
              <w:bidi w:val="0"/>
            </w:pPr>
          </w:p>
        </w:tc>
      </w:tr>
      <w:tr w14:paraId="1B5E5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4F705E6B">
            <w:pPr>
              <w:pStyle w:val="28"/>
              <w:bidi w:val="0"/>
            </w:pPr>
          </w:p>
        </w:tc>
        <w:tc>
          <w:tcPr>
            <w:tcW w:w="894" w:type="pct"/>
            <w:vAlign w:val="center"/>
          </w:tcPr>
          <w:p w14:paraId="57BD408C">
            <w:pPr>
              <w:pStyle w:val="28"/>
              <w:bidi w:val="0"/>
            </w:pPr>
            <w:r>
              <w:t>全部污染物</w:t>
            </w:r>
          </w:p>
        </w:tc>
        <w:tc>
          <w:tcPr>
            <w:tcW w:w="3169" w:type="pct"/>
            <w:gridSpan w:val="5"/>
            <w:vAlign w:val="center"/>
          </w:tcPr>
          <w:p w14:paraId="055F0AC8">
            <w:pPr>
              <w:pStyle w:val="28"/>
              <w:bidi w:val="0"/>
            </w:pPr>
            <w:r>
              <w:t>酸化、碱化、盐化</w:t>
            </w:r>
          </w:p>
        </w:tc>
        <w:tc>
          <w:tcPr>
            <w:tcW w:w="545" w:type="pct"/>
            <w:vAlign w:val="center"/>
          </w:tcPr>
          <w:p w14:paraId="4043F826">
            <w:pPr>
              <w:pStyle w:val="28"/>
              <w:bidi w:val="0"/>
            </w:pPr>
          </w:p>
        </w:tc>
      </w:tr>
      <w:tr w14:paraId="1B5530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7B5C1003">
            <w:pPr>
              <w:pStyle w:val="28"/>
              <w:bidi w:val="0"/>
            </w:pPr>
          </w:p>
        </w:tc>
        <w:tc>
          <w:tcPr>
            <w:tcW w:w="894" w:type="pct"/>
            <w:vAlign w:val="center"/>
          </w:tcPr>
          <w:p w14:paraId="31783BE9">
            <w:pPr>
              <w:pStyle w:val="28"/>
              <w:bidi w:val="0"/>
            </w:pPr>
            <w:r>
              <w:t>特征因子</w:t>
            </w:r>
          </w:p>
        </w:tc>
        <w:tc>
          <w:tcPr>
            <w:tcW w:w="3169" w:type="pct"/>
            <w:gridSpan w:val="5"/>
            <w:vAlign w:val="center"/>
          </w:tcPr>
          <w:p w14:paraId="06D30686">
            <w:pPr>
              <w:pStyle w:val="28"/>
              <w:bidi w:val="0"/>
            </w:pPr>
            <w:r>
              <w:t>酸化、碱化、盐化</w:t>
            </w:r>
          </w:p>
        </w:tc>
        <w:tc>
          <w:tcPr>
            <w:tcW w:w="545" w:type="pct"/>
            <w:vAlign w:val="center"/>
          </w:tcPr>
          <w:p w14:paraId="79975F1C">
            <w:pPr>
              <w:pStyle w:val="28"/>
              <w:bidi w:val="0"/>
            </w:pPr>
          </w:p>
        </w:tc>
      </w:tr>
      <w:tr w14:paraId="20131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443493F9">
            <w:pPr>
              <w:pStyle w:val="28"/>
              <w:bidi w:val="0"/>
            </w:pPr>
          </w:p>
        </w:tc>
        <w:tc>
          <w:tcPr>
            <w:tcW w:w="894" w:type="pct"/>
            <w:vAlign w:val="center"/>
          </w:tcPr>
          <w:p w14:paraId="32165E43">
            <w:pPr>
              <w:pStyle w:val="28"/>
              <w:bidi w:val="0"/>
            </w:pPr>
            <w:r>
              <w:t>所属土壤环境影响评价项目类别</w:t>
            </w:r>
          </w:p>
        </w:tc>
        <w:tc>
          <w:tcPr>
            <w:tcW w:w="3169" w:type="pct"/>
            <w:gridSpan w:val="5"/>
            <w:vAlign w:val="center"/>
          </w:tcPr>
          <w:p w14:paraId="5DAEFC8C">
            <w:pPr>
              <w:pStyle w:val="28"/>
              <w:bidi w:val="0"/>
            </w:pPr>
            <w:r>
              <w:t>Ⅰ类□；Ⅱ类</w:t>
            </w:r>
            <w:r>
              <w:rPr/>
              <w:sym w:font="Wingdings 2" w:char="0052"/>
            </w:r>
            <w:r>
              <w:t>；Ⅲ类□；Ⅳ类□</w:t>
            </w:r>
          </w:p>
        </w:tc>
        <w:tc>
          <w:tcPr>
            <w:tcW w:w="545" w:type="pct"/>
            <w:vAlign w:val="center"/>
          </w:tcPr>
          <w:p w14:paraId="2BC78659">
            <w:pPr>
              <w:pStyle w:val="28"/>
              <w:bidi w:val="0"/>
            </w:pPr>
          </w:p>
        </w:tc>
      </w:tr>
      <w:tr w14:paraId="3B6D1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2EF104D1">
            <w:pPr>
              <w:pStyle w:val="28"/>
              <w:bidi w:val="0"/>
            </w:pPr>
          </w:p>
        </w:tc>
        <w:tc>
          <w:tcPr>
            <w:tcW w:w="894" w:type="pct"/>
            <w:vAlign w:val="center"/>
          </w:tcPr>
          <w:p w14:paraId="5673BB00">
            <w:pPr>
              <w:pStyle w:val="28"/>
              <w:bidi w:val="0"/>
            </w:pPr>
            <w:r>
              <w:t>敏感程度</w:t>
            </w:r>
          </w:p>
        </w:tc>
        <w:tc>
          <w:tcPr>
            <w:tcW w:w="3169" w:type="pct"/>
            <w:gridSpan w:val="5"/>
            <w:vAlign w:val="center"/>
          </w:tcPr>
          <w:p w14:paraId="60F09E78">
            <w:pPr>
              <w:pStyle w:val="28"/>
              <w:bidi w:val="0"/>
            </w:pPr>
            <w:r>
              <w:t>敏感□；较敏感□；不敏感</w:t>
            </w:r>
            <w:r>
              <w:rPr/>
              <w:sym w:font="Wingdings 2" w:char="0052"/>
            </w:r>
          </w:p>
        </w:tc>
        <w:tc>
          <w:tcPr>
            <w:tcW w:w="545" w:type="pct"/>
            <w:vAlign w:val="center"/>
          </w:tcPr>
          <w:p w14:paraId="295DDCD9">
            <w:pPr>
              <w:pStyle w:val="28"/>
              <w:bidi w:val="0"/>
            </w:pPr>
          </w:p>
        </w:tc>
      </w:tr>
      <w:tr w14:paraId="1E50FB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5" w:type="pct"/>
            <w:gridSpan w:val="2"/>
            <w:vAlign w:val="center"/>
          </w:tcPr>
          <w:p w14:paraId="45E879C2">
            <w:pPr>
              <w:pStyle w:val="28"/>
              <w:bidi w:val="0"/>
            </w:pPr>
            <w:r>
              <w:t>评价工作等级</w:t>
            </w:r>
          </w:p>
        </w:tc>
        <w:tc>
          <w:tcPr>
            <w:tcW w:w="3169" w:type="pct"/>
            <w:gridSpan w:val="5"/>
            <w:vAlign w:val="center"/>
          </w:tcPr>
          <w:p w14:paraId="206E0E8F">
            <w:pPr>
              <w:pStyle w:val="28"/>
              <w:bidi w:val="0"/>
            </w:pPr>
            <w:r>
              <w:t>一级；二级；三级（</w:t>
            </w:r>
          </w:p>
        </w:tc>
        <w:tc>
          <w:tcPr>
            <w:tcW w:w="545" w:type="pct"/>
            <w:vAlign w:val="center"/>
          </w:tcPr>
          <w:p w14:paraId="37A06F9E">
            <w:pPr>
              <w:pStyle w:val="28"/>
              <w:bidi w:val="0"/>
            </w:pPr>
          </w:p>
        </w:tc>
      </w:tr>
      <w:tr w14:paraId="3974B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restart"/>
            <w:vAlign w:val="center"/>
          </w:tcPr>
          <w:p w14:paraId="3DDA899E">
            <w:pPr>
              <w:pStyle w:val="28"/>
              <w:bidi w:val="0"/>
            </w:pPr>
            <w:r>
              <w:t>现状调查内容</w:t>
            </w:r>
          </w:p>
        </w:tc>
        <w:tc>
          <w:tcPr>
            <w:tcW w:w="894" w:type="pct"/>
            <w:vAlign w:val="center"/>
          </w:tcPr>
          <w:p w14:paraId="7041BF42">
            <w:pPr>
              <w:pStyle w:val="28"/>
              <w:bidi w:val="0"/>
            </w:pPr>
            <w:r>
              <w:t>资料收集</w:t>
            </w:r>
          </w:p>
        </w:tc>
        <w:tc>
          <w:tcPr>
            <w:tcW w:w="3169" w:type="pct"/>
            <w:gridSpan w:val="5"/>
            <w:vAlign w:val="center"/>
          </w:tcPr>
          <w:p w14:paraId="0A1E4DF9">
            <w:pPr>
              <w:pStyle w:val="28"/>
              <w:bidi w:val="0"/>
            </w:pPr>
            <w:r>
              <w:t>a）</w:t>
            </w:r>
            <w:r>
              <w:rPr/>
              <w:sym w:font="Wingdings 2" w:char="0052"/>
            </w:r>
            <w:r>
              <w:t>；b）</w:t>
            </w:r>
            <w:r>
              <w:rPr/>
              <w:sym w:font="Wingdings 2" w:char="0052"/>
            </w:r>
            <w:r>
              <w:t>；c）</w:t>
            </w:r>
            <w:r>
              <w:rPr/>
              <w:sym w:font="Wingdings 2" w:char="0052"/>
            </w:r>
            <w:r>
              <w:t>；d）</w:t>
            </w:r>
            <w:r>
              <w:rPr/>
              <w:sym w:font="Wingdings 2" w:char="0052"/>
            </w:r>
          </w:p>
        </w:tc>
        <w:tc>
          <w:tcPr>
            <w:tcW w:w="545" w:type="pct"/>
            <w:vAlign w:val="center"/>
          </w:tcPr>
          <w:p w14:paraId="3C0D8782">
            <w:pPr>
              <w:pStyle w:val="28"/>
              <w:bidi w:val="0"/>
            </w:pPr>
          </w:p>
        </w:tc>
      </w:tr>
      <w:tr w14:paraId="2F899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05CD70B6">
            <w:pPr>
              <w:pStyle w:val="28"/>
              <w:bidi w:val="0"/>
            </w:pPr>
          </w:p>
        </w:tc>
        <w:tc>
          <w:tcPr>
            <w:tcW w:w="894" w:type="pct"/>
            <w:vAlign w:val="center"/>
          </w:tcPr>
          <w:p w14:paraId="57532286">
            <w:pPr>
              <w:pStyle w:val="28"/>
              <w:bidi w:val="0"/>
            </w:pPr>
            <w:r>
              <w:t>理化特性</w:t>
            </w:r>
          </w:p>
        </w:tc>
        <w:tc>
          <w:tcPr>
            <w:tcW w:w="3169" w:type="pct"/>
            <w:gridSpan w:val="5"/>
            <w:vAlign w:val="center"/>
          </w:tcPr>
          <w:p w14:paraId="26F78B8B">
            <w:pPr>
              <w:pStyle w:val="28"/>
              <w:bidi w:val="0"/>
            </w:pPr>
            <w:r>
              <w:t>土壤含盐量（g/kg）</w:t>
            </w:r>
            <w:r>
              <w:rPr>
                <w:rFonts w:hint="eastAsia"/>
              </w:rPr>
              <w:t>：</w:t>
            </w:r>
            <w:r>
              <w:t>0.6</w:t>
            </w:r>
            <w:r>
              <w:rPr>
                <w:rFonts w:hint="eastAsia"/>
              </w:rPr>
              <w:t>；</w:t>
            </w:r>
            <w:r>
              <w:t>阳离子交换量</w:t>
            </w:r>
            <w:r>
              <w:rPr>
                <w:rFonts w:hint="eastAsia"/>
              </w:rPr>
              <w:t>：</w:t>
            </w:r>
            <w:r>
              <w:t>14.4</w:t>
            </w:r>
            <w:r>
              <w:rPr>
                <w:rFonts w:hint="eastAsia"/>
              </w:rPr>
              <w:t>；</w:t>
            </w:r>
            <w:r>
              <w:t>氧化还原电位</w:t>
            </w:r>
            <w:r>
              <w:rPr>
                <w:rFonts w:hint="eastAsia"/>
              </w:rPr>
              <w:t>：</w:t>
            </w:r>
            <w:r>
              <w:t>206</w:t>
            </w:r>
            <w:r>
              <w:rPr>
                <w:rFonts w:hint="eastAsia"/>
              </w:rPr>
              <w:t>；</w:t>
            </w:r>
            <w:r>
              <w:t>饱和导水率/（cm/s）</w:t>
            </w:r>
            <w:r>
              <w:rPr>
                <w:rFonts w:hint="eastAsia"/>
              </w:rPr>
              <w:t>：</w:t>
            </w:r>
            <w:r>
              <w:t>4.10</w:t>
            </w:r>
            <w:r>
              <w:rPr>
                <w:rFonts w:hint="eastAsia"/>
              </w:rPr>
              <w:t>；</w:t>
            </w:r>
            <w:r>
              <w:t>土壤容重/（kg/m3）</w:t>
            </w:r>
            <w:r>
              <w:rPr>
                <w:rFonts w:hint="eastAsia"/>
              </w:rPr>
              <w:t>：</w:t>
            </w:r>
            <w:r>
              <w:t>1.12</w:t>
            </w:r>
            <w:r>
              <w:rPr>
                <w:rFonts w:hint="eastAsia"/>
              </w:rPr>
              <w:t>；</w:t>
            </w:r>
            <w:r>
              <w:t>孔隙度</w:t>
            </w:r>
            <w:r>
              <w:rPr>
                <w:rFonts w:hint="eastAsia"/>
              </w:rPr>
              <w:t>：</w:t>
            </w:r>
            <w:r>
              <w:t>47</w:t>
            </w:r>
            <w:r>
              <w:rPr>
                <w:rFonts w:hint="eastAsia"/>
              </w:rPr>
              <w:t>；</w:t>
            </w:r>
          </w:p>
        </w:tc>
        <w:tc>
          <w:tcPr>
            <w:tcW w:w="545" w:type="pct"/>
            <w:vAlign w:val="center"/>
          </w:tcPr>
          <w:p w14:paraId="36FD2147">
            <w:pPr>
              <w:pStyle w:val="28"/>
              <w:bidi w:val="0"/>
            </w:pPr>
            <w:r>
              <w:t>同附录C</w:t>
            </w:r>
          </w:p>
        </w:tc>
      </w:tr>
      <w:tr w14:paraId="238791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58E4FDE9">
            <w:pPr>
              <w:pStyle w:val="28"/>
              <w:bidi w:val="0"/>
            </w:pPr>
          </w:p>
        </w:tc>
        <w:tc>
          <w:tcPr>
            <w:tcW w:w="894" w:type="pct"/>
            <w:vMerge w:val="restart"/>
            <w:vAlign w:val="center"/>
          </w:tcPr>
          <w:p w14:paraId="3ACB82E9">
            <w:pPr>
              <w:pStyle w:val="28"/>
              <w:bidi w:val="0"/>
            </w:pPr>
            <w:r>
              <w:t>现状监测点位</w:t>
            </w:r>
          </w:p>
        </w:tc>
        <w:tc>
          <w:tcPr>
            <w:tcW w:w="732" w:type="pct"/>
            <w:gridSpan w:val="2"/>
            <w:vAlign w:val="center"/>
          </w:tcPr>
          <w:p w14:paraId="25D82582">
            <w:pPr>
              <w:pStyle w:val="28"/>
              <w:bidi w:val="0"/>
            </w:pPr>
          </w:p>
        </w:tc>
        <w:tc>
          <w:tcPr>
            <w:tcW w:w="784" w:type="pct"/>
            <w:vAlign w:val="center"/>
          </w:tcPr>
          <w:p w14:paraId="2CBCF1BB">
            <w:pPr>
              <w:pStyle w:val="28"/>
              <w:bidi w:val="0"/>
            </w:pPr>
            <w:r>
              <w:t>占地范围内</w:t>
            </w:r>
          </w:p>
        </w:tc>
        <w:tc>
          <w:tcPr>
            <w:tcW w:w="1014" w:type="pct"/>
            <w:vAlign w:val="center"/>
          </w:tcPr>
          <w:p w14:paraId="74779D24">
            <w:pPr>
              <w:pStyle w:val="28"/>
              <w:bidi w:val="0"/>
            </w:pPr>
            <w:r>
              <w:t>占地范围外</w:t>
            </w:r>
          </w:p>
        </w:tc>
        <w:tc>
          <w:tcPr>
            <w:tcW w:w="637" w:type="pct"/>
            <w:vAlign w:val="center"/>
          </w:tcPr>
          <w:p w14:paraId="62071AEA">
            <w:pPr>
              <w:pStyle w:val="28"/>
              <w:bidi w:val="0"/>
            </w:pPr>
            <w:r>
              <w:t>深度</w:t>
            </w:r>
          </w:p>
        </w:tc>
        <w:tc>
          <w:tcPr>
            <w:tcW w:w="545" w:type="pct"/>
            <w:vMerge w:val="restart"/>
            <w:vAlign w:val="center"/>
          </w:tcPr>
          <w:p w14:paraId="111F0419">
            <w:pPr>
              <w:pStyle w:val="28"/>
              <w:bidi w:val="0"/>
            </w:pPr>
            <w:r>
              <w:t>点位布置图</w:t>
            </w:r>
          </w:p>
        </w:tc>
      </w:tr>
      <w:tr w14:paraId="2BD0F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61A6E25D">
            <w:pPr>
              <w:pStyle w:val="28"/>
              <w:bidi w:val="0"/>
            </w:pPr>
          </w:p>
        </w:tc>
        <w:tc>
          <w:tcPr>
            <w:tcW w:w="894" w:type="pct"/>
            <w:vMerge w:val="continue"/>
            <w:vAlign w:val="center"/>
          </w:tcPr>
          <w:p w14:paraId="64C85D4B">
            <w:pPr>
              <w:pStyle w:val="28"/>
              <w:bidi w:val="0"/>
            </w:pPr>
          </w:p>
        </w:tc>
        <w:tc>
          <w:tcPr>
            <w:tcW w:w="732" w:type="pct"/>
            <w:gridSpan w:val="2"/>
            <w:vAlign w:val="center"/>
          </w:tcPr>
          <w:p w14:paraId="1BAD35F1">
            <w:pPr>
              <w:pStyle w:val="28"/>
              <w:bidi w:val="0"/>
            </w:pPr>
            <w:r>
              <w:t>表层样点数</w:t>
            </w:r>
          </w:p>
        </w:tc>
        <w:tc>
          <w:tcPr>
            <w:tcW w:w="784" w:type="pct"/>
            <w:vAlign w:val="center"/>
          </w:tcPr>
          <w:p w14:paraId="33BCB99A">
            <w:pPr>
              <w:pStyle w:val="28"/>
              <w:bidi w:val="0"/>
            </w:pPr>
            <w:r>
              <w:rPr>
                <w:rFonts w:hint="eastAsia"/>
              </w:rPr>
              <w:t>6</w:t>
            </w:r>
          </w:p>
        </w:tc>
        <w:tc>
          <w:tcPr>
            <w:tcW w:w="1014" w:type="pct"/>
            <w:vAlign w:val="center"/>
          </w:tcPr>
          <w:p w14:paraId="170E99FC">
            <w:pPr>
              <w:pStyle w:val="28"/>
              <w:bidi w:val="0"/>
            </w:pPr>
            <w:r>
              <w:rPr>
                <w:rFonts w:hint="eastAsia"/>
              </w:rPr>
              <w:t>4</w:t>
            </w:r>
          </w:p>
        </w:tc>
        <w:tc>
          <w:tcPr>
            <w:tcW w:w="637" w:type="pct"/>
            <w:vAlign w:val="center"/>
          </w:tcPr>
          <w:p w14:paraId="457C96C1">
            <w:pPr>
              <w:pStyle w:val="28"/>
              <w:bidi w:val="0"/>
            </w:pPr>
            <w:r>
              <w:t>/</w:t>
            </w:r>
          </w:p>
        </w:tc>
        <w:tc>
          <w:tcPr>
            <w:tcW w:w="545" w:type="pct"/>
            <w:vMerge w:val="continue"/>
            <w:vAlign w:val="center"/>
          </w:tcPr>
          <w:p w14:paraId="5231415F">
            <w:pPr>
              <w:pStyle w:val="28"/>
              <w:bidi w:val="0"/>
            </w:pPr>
          </w:p>
        </w:tc>
      </w:tr>
      <w:tr w14:paraId="6328E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45D08EFB">
            <w:pPr>
              <w:pStyle w:val="28"/>
              <w:bidi w:val="0"/>
            </w:pPr>
          </w:p>
        </w:tc>
        <w:tc>
          <w:tcPr>
            <w:tcW w:w="894" w:type="pct"/>
            <w:vMerge w:val="continue"/>
            <w:vAlign w:val="center"/>
          </w:tcPr>
          <w:p w14:paraId="1FBE6372">
            <w:pPr>
              <w:pStyle w:val="28"/>
              <w:bidi w:val="0"/>
            </w:pPr>
          </w:p>
        </w:tc>
        <w:tc>
          <w:tcPr>
            <w:tcW w:w="732" w:type="pct"/>
            <w:gridSpan w:val="2"/>
            <w:vAlign w:val="center"/>
          </w:tcPr>
          <w:p w14:paraId="6AA408BD">
            <w:pPr>
              <w:pStyle w:val="28"/>
              <w:bidi w:val="0"/>
            </w:pPr>
            <w:r>
              <w:t>柱状样点数</w:t>
            </w:r>
          </w:p>
        </w:tc>
        <w:tc>
          <w:tcPr>
            <w:tcW w:w="784" w:type="pct"/>
            <w:vAlign w:val="center"/>
          </w:tcPr>
          <w:p w14:paraId="13FAEBBB">
            <w:pPr>
              <w:pStyle w:val="28"/>
              <w:bidi w:val="0"/>
            </w:pPr>
            <w:r>
              <w:t>/</w:t>
            </w:r>
          </w:p>
        </w:tc>
        <w:tc>
          <w:tcPr>
            <w:tcW w:w="1014" w:type="pct"/>
            <w:vAlign w:val="center"/>
          </w:tcPr>
          <w:p w14:paraId="37CAAD46">
            <w:pPr>
              <w:pStyle w:val="28"/>
              <w:bidi w:val="0"/>
            </w:pPr>
            <w:r>
              <w:t>/</w:t>
            </w:r>
          </w:p>
        </w:tc>
        <w:tc>
          <w:tcPr>
            <w:tcW w:w="637" w:type="pct"/>
            <w:vAlign w:val="center"/>
          </w:tcPr>
          <w:p w14:paraId="1656BDAB">
            <w:pPr>
              <w:pStyle w:val="28"/>
              <w:bidi w:val="0"/>
            </w:pPr>
            <w:r>
              <w:t>/</w:t>
            </w:r>
          </w:p>
        </w:tc>
        <w:tc>
          <w:tcPr>
            <w:tcW w:w="545" w:type="pct"/>
            <w:vMerge w:val="continue"/>
            <w:vAlign w:val="center"/>
          </w:tcPr>
          <w:p w14:paraId="6A248A32">
            <w:pPr>
              <w:pStyle w:val="28"/>
              <w:bidi w:val="0"/>
            </w:pPr>
          </w:p>
        </w:tc>
      </w:tr>
      <w:tr w14:paraId="4E30AB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5E47A03F">
            <w:pPr>
              <w:pStyle w:val="28"/>
              <w:bidi w:val="0"/>
            </w:pPr>
          </w:p>
        </w:tc>
        <w:tc>
          <w:tcPr>
            <w:tcW w:w="894" w:type="pct"/>
            <w:vAlign w:val="center"/>
          </w:tcPr>
          <w:p w14:paraId="6F8C0BDD">
            <w:pPr>
              <w:pStyle w:val="28"/>
              <w:bidi w:val="0"/>
            </w:pPr>
            <w:r>
              <w:t>现状监测因子</w:t>
            </w:r>
          </w:p>
        </w:tc>
        <w:tc>
          <w:tcPr>
            <w:tcW w:w="3169" w:type="pct"/>
            <w:gridSpan w:val="5"/>
            <w:vAlign w:val="center"/>
          </w:tcPr>
          <w:p w14:paraId="606725DD">
            <w:pPr>
              <w:pStyle w:val="28"/>
              <w:bidi w:val="0"/>
            </w:pPr>
            <w:r>
              <w:t>pH、铅、铜、铬、锌、镍、镉、汞、砷、土壤含盐量、阳离子交换量、氧化还原电位、饱和导水率、土壤容重、孔隙度</w:t>
            </w:r>
          </w:p>
        </w:tc>
        <w:tc>
          <w:tcPr>
            <w:tcW w:w="545" w:type="pct"/>
            <w:vAlign w:val="center"/>
          </w:tcPr>
          <w:p w14:paraId="7BB4F7CB">
            <w:pPr>
              <w:pStyle w:val="28"/>
              <w:bidi w:val="0"/>
            </w:pPr>
          </w:p>
        </w:tc>
      </w:tr>
      <w:tr w14:paraId="1A1D85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restart"/>
            <w:vAlign w:val="center"/>
          </w:tcPr>
          <w:p w14:paraId="33EB6EC5">
            <w:pPr>
              <w:pStyle w:val="28"/>
              <w:bidi w:val="0"/>
            </w:pPr>
            <w:r>
              <w:t>现状评价</w:t>
            </w:r>
          </w:p>
        </w:tc>
        <w:tc>
          <w:tcPr>
            <w:tcW w:w="894" w:type="pct"/>
            <w:vAlign w:val="center"/>
          </w:tcPr>
          <w:p w14:paraId="6F1C4E5B">
            <w:pPr>
              <w:pStyle w:val="28"/>
              <w:bidi w:val="0"/>
            </w:pPr>
            <w:r>
              <w:t>评价因子</w:t>
            </w:r>
          </w:p>
        </w:tc>
        <w:tc>
          <w:tcPr>
            <w:tcW w:w="3169" w:type="pct"/>
            <w:gridSpan w:val="5"/>
            <w:vAlign w:val="center"/>
          </w:tcPr>
          <w:p w14:paraId="06B7A801">
            <w:pPr>
              <w:pStyle w:val="28"/>
              <w:bidi w:val="0"/>
            </w:pPr>
            <w:r>
              <w:t>pH、铅、铜、铬、锌、镍、镉、汞、砷、土壤含盐量、阳离子交换量、氧化还原电位、饱和导水率、土壤容重、孔隙度</w:t>
            </w:r>
          </w:p>
        </w:tc>
        <w:tc>
          <w:tcPr>
            <w:tcW w:w="545" w:type="pct"/>
            <w:vAlign w:val="center"/>
          </w:tcPr>
          <w:p w14:paraId="23A1BCD7">
            <w:pPr>
              <w:pStyle w:val="28"/>
              <w:bidi w:val="0"/>
            </w:pPr>
          </w:p>
        </w:tc>
      </w:tr>
      <w:tr w14:paraId="63CDF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33374FE8">
            <w:pPr>
              <w:pStyle w:val="28"/>
              <w:bidi w:val="0"/>
            </w:pPr>
          </w:p>
        </w:tc>
        <w:tc>
          <w:tcPr>
            <w:tcW w:w="894" w:type="pct"/>
            <w:vAlign w:val="center"/>
          </w:tcPr>
          <w:p w14:paraId="4AD44C65">
            <w:pPr>
              <w:pStyle w:val="28"/>
              <w:bidi w:val="0"/>
            </w:pPr>
            <w:r>
              <w:t>评价标准</w:t>
            </w:r>
          </w:p>
        </w:tc>
        <w:tc>
          <w:tcPr>
            <w:tcW w:w="3169" w:type="pct"/>
            <w:gridSpan w:val="5"/>
            <w:vAlign w:val="center"/>
          </w:tcPr>
          <w:p w14:paraId="1A67B618">
            <w:pPr>
              <w:pStyle w:val="28"/>
              <w:bidi w:val="0"/>
            </w:pPr>
            <w:r>
              <w:t>GB 15618□；GB 36600</w:t>
            </w:r>
            <w:r>
              <w:rPr/>
              <w:sym w:font="Wingdings 2" w:char="0052"/>
            </w:r>
            <w:r>
              <w:t>；表D.1□；表D.2□；其他（）</w:t>
            </w:r>
          </w:p>
        </w:tc>
        <w:tc>
          <w:tcPr>
            <w:tcW w:w="545" w:type="pct"/>
            <w:vAlign w:val="center"/>
          </w:tcPr>
          <w:p w14:paraId="0FDF3A54">
            <w:pPr>
              <w:pStyle w:val="28"/>
              <w:bidi w:val="0"/>
            </w:pPr>
          </w:p>
        </w:tc>
      </w:tr>
      <w:tr w14:paraId="7D956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6F6B5C8D">
            <w:pPr>
              <w:pStyle w:val="28"/>
              <w:bidi w:val="0"/>
            </w:pPr>
          </w:p>
        </w:tc>
        <w:tc>
          <w:tcPr>
            <w:tcW w:w="894" w:type="pct"/>
            <w:vAlign w:val="center"/>
          </w:tcPr>
          <w:p w14:paraId="678CCABB">
            <w:pPr>
              <w:pStyle w:val="28"/>
              <w:bidi w:val="0"/>
            </w:pPr>
            <w:r>
              <w:t>现状评价结论</w:t>
            </w:r>
          </w:p>
        </w:tc>
        <w:tc>
          <w:tcPr>
            <w:tcW w:w="3169" w:type="pct"/>
            <w:gridSpan w:val="5"/>
            <w:vAlign w:val="center"/>
          </w:tcPr>
          <w:p w14:paraId="70F8DA74">
            <w:pPr>
              <w:pStyle w:val="28"/>
              <w:bidi w:val="0"/>
            </w:pPr>
            <w:r>
              <w:t>由表可知，监测期间，各监测指标均满足《土壤环境质量 农用地土壤污染风险管控标准（试行）》（GB 15618-2018）中标准限值。</w:t>
            </w:r>
          </w:p>
        </w:tc>
        <w:tc>
          <w:tcPr>
            <w:tcW w:w="545" w:type="pct"/>
            <w:vAlign w:val="center"/>
          </w:tcPr>
          <w:p w14:paraId="03112595">
            <w:pPr>
              <w:pStyle w:val="28"/>
              <w:bidi w:val="0"/>
            </w:pPr>
          </w:p>
        </w:tc>
      </w:tr>
      <w:tr w14:paraId="6BA4F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restart"/>
            <w:vAlign w:val="center"/>
          </w:tcPr>
          <w:p w14:paraId="228FBFA1">
            <w:pPr>
              <w:pStyle w:val="28"/>
              <w:bidi w:val="0"/>
            </w:pPr>
            <w:r>
              <w:t>影响预测</w:t>
            </w:r>
          </w:p>
        </w:tc>
        <w:tc>
          <w:tcPr>
            <w:tcW w:w="894" w:type="pct"/>
            <w:vAlign w:val="center"/>
          </w:tcPr>
          <w:p w14:paraId="43FE178E">
            <w:pPr>
              <w:pStyle w:val="28"/>
              <w:bidi w:val="0"/>
            </w:pPr>
            <w:r>
              <w:t>预测因子</w:t>
            </w:r>
          </w:p>
        </w:tc>
        <w:tc>
          <w:tcPr>
            <w:tcW w:w="3169" w:type="pct"/>
            <w:gridSpan w:val="5"/>
            <w:vAlign w:val="center"/>
          </w:tcPr>
          <w:p w14:paraId="3D031AB9">
            <w:pPr>
              <w:pStyle w:val="28"/>
              <w:bidi w:val="0"/>
            </w:pPr>
            <w:r>
              <w:t>/</w:t>
            </w:r>
          </w:p>
        </w:tc>
        <w:tc>
          <w:tcPr>
            <w:tcW w:w="545" w:type="pct"/>
            <w:vAlign w:val="center"/>
          </w:tcPr>
          <w:p w14:paraId="1E44C0EF">
            <w:pPr>
              <w:pStyle w:val="28"/>
              <w:bidi w:val="0"/>
            </w:pPr>
          </w:p>
        </w:tc>
      </w:tr>
      <w:tr w14:paraId="1D797B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7FC821C9">
            <w:pPr>
              <w:pStyle w:val="28"/>
              <w:bidi w:val="0"/>
            </w:pPr>
          </w:p>
        </w:tc>
        <w:tc>
          <w:tcPr>
            <w:tcW w:w="894" w:type="pct"/>
            <w:vAlign w:val="center"/>
          </w:tcPr>
          <w:p w14:paraId="65E23951">
            <w:pPr>
              <w:pStyle w:val="28"/>
              <w:bidi w:val="0"/>
            </w:pPr>
            <w:r>
              <w:t>预测方法</w:t>
            </w:r>
          </w:p>
        </w:tc>
        <w:tc>
          <w:tcPr>
            <w:tcW w:w="3169" w:type="pct"/>
            <w:gridSpan w:val="5"/>
            <w:vAlign w:val="center"/>
          </w:tcPr>
          <w:p w14:paraId="3FCA8E77">
            <w:pPr>
              <w:pStyle w:val="28"/>
              <w:bidi w:val="0"/>
            </w:pPr>
            <w:r>
              <w:t>附录E</w:t>
            </w:r>
            <w:r>
              <w:rPr/>
              <w:sym w:font="Wingdings 2" w:char="0052"/>
            </w:r>
            <w:r>
              <w:t>；附录F□；其他</w:t>
            </w:r>
          </w:p>
        </w:tc>
        <w:tc>
          <w:tcPr>
            <w:tcW w:w="545" w:type="pct"/>
            <w:vAlign w:val="center"/>
          </w:tcPr>
          <w:p w14:paraId="2533EE97">
            <w:pPr>
              <w:pStyle w:val="28"/>
              <w:bidi w:val="0"/>
            </w:pPr>
          </w:p>
        </w:tc>
      </w:tr>
      <w:tr w14:paraId="36A5F0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18AEA3C0">
            <w:pPr>
              <w:pStyle w:val="28"/>
              <w:bidi w:val="0"/>
            </w:pPr>
          </w:p>
        </w:tc>
        <w:tc>
          <w:tcPr>
            <w:tcW w:w="894" w:type="pct"/>
            <w:vAlign w:val="center"/>
          </w:tcPr>
          <w:p w14:paraId="7DAE518D">
            <w:pPr>
              <w:pStyle w:val="28"/>
              <w:bidi w:val="0"/>
            </w:pPr>
            <w:r>
              <w:t>预测分析内容</w:t>
            </w:r>
          </w:p>
        </w:tc>
        <w:tc>
          <w:tcPr>
            <w:tcW w:w="3169" w:type="pct"/>
            <w:gridSpan w:val="5"/>
            <w:vAlign w:val="center"/>
          </w:tcPr>
          <w:p w14:paraId="1366478E">
            <w:pPr>
              <w:pStyle w:val="28"/>
              <w:bidi w:val="0"/>
            </w:pPr>
            <w:r>
              <w:t>影响范围（占地范围外1000m）</w:t>
            </w:r>
          </w:p>
          <w:p w14:paraId="30EEDB89">
            <w:pPr>
              <w:pStyle w:val="28"/>
              <w:bidi w:val="0"/>
            </w:pPr>
            <w:r>
              <w:t>影响程度（酸化、碱化、盐化）</w:t>
            </w:r>
          </w:p>
        </w:tc>
        <w:tc>
          <w:tcPr>
            <w:tcW w:w="545" w:type="pct"/>
            <w:vAlign w:val="center"/>
          </w:tcPr>
          <w:p w14:paraId="3F5B9DA5">
            <w:pPr>
              <w:pStyle w:val="28"/>
              <w:bidi w:val="0"/>
            </w:pPr>
          </w:p>
        </w:tc>
      </w:tr>
      <w:tr w14:paraId="14279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387950DB">
            <w:pPr>
              <w:pStyle w:val="28"/>
              <w:bidi w:val="0"/>
            </w:pPr>
          </w:p>
        </w:tc>
        <w:tc>
          <w:tcPr>
            <w:tcW w:w="894" w:type="pct"/>
            <w:vMerge w:val="restart"/>
            <w:vAlign w:val="center"/>
          </w:tcPr>
          <w:p w14:paraId="2364DE57">
            <w:pPr>
              <w:pStyle w:val="28"/>
              <w:bidi w:val="0"/>
            </w:pPr>
            <w:r>
              <w:t>预测结论</w:t>
            </w:r>
          </w:p>
        </w:tc>
        <w:tc>
          <w:tcPr>
            <w:tcW w:w="3169" w:type="pct"/>
            <w:gridSpan w:val="5"/>
            <w:vMerge w:val="restart"/>
            <w:vAlign w:val="center"/>
          </w:tcPr>
          <w:p w14:paraId="078E3920">
            <w:pPr>
              <w:pStyle w:val="28"/>
              <w:bidi w:val="0"/>
            </w:pPr>
            <w:r>
              <w:t>达标结论：a）</w:t>
            </w:r>
            <w:r>
              <w:rPr/>
              <w:sym w:font="Wingdings 2" w:char="0052"/>
            </w:r>
            <w:r>
              <w:t>；b）□；c）□</w:t>
            </w:r>
          </w:p>
          <w:p w14:paraId="5AD1D660">
            <w:pPr>
              <w:pStyle w:val="28"/>
              <w:bidi w:val="0"/>
            </w:pPr>
            <w:r>
              <w:t>不达标结论：a）□；b）□</w:t>
            </w:r>
          </w:p>
        </w:tc>
        <w:tc>
          <w:tcPr>
            <w:tcW w:w="545" w:type="pct"/>
            <w:vAlign w:val="center"/>
          </w:tcPr>
          <w:p w14:paraId="450DA3F3">
            <w:pPr>
              <w:pStyle w:val="28"/>
              <w:bidi w:val="0"/>
            </w:pPr>
          </w:p>
        </w:tc>
      </w:tr>
      <w:tr w14:paraId="1D129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60E490B4">
            <w:pPr>
              <w:pStyle w:val="28"/>
              <w:bidi w:val="0"/>
            </w:pPr>
          </w:p>
        </w:tc>
        <w:tc>
          <w:tcPr>
            <w:tcW w:w="894" w:type="pct"/>
            <w:vMerge w:val="continue"/>
            <w:vAlign w:val="center"/>
          </w:tcPr>
          <w:p w14:paraId="2539AA71">
            <w:pPr>
              <w:pStyle w:val="28"/>
              <w:bidi w:val="0"/>
            </w:pPr>
          </w:p>
        </w:tc>
        <w:tc>
          <w:tcPr>
            <w:tcW w:w="3169" w:type="pct"/>
            <w:gridSpan w:val="5"/>
            <w:vMerge w:val="continue"/>
            <w:vAlign w:val="center"/>
          </w:tcPr>
          <w:p w14:paraId="24AB5A68">
            <w:pPr>
              <w:pStyle w:val="28"/>
              <w:bidi w:val="0"/>
            </w:pPr>
          </w:p>
        </w:tc>
        <w:tc>
          <w:tcPr>
            <w:tcW w:w="545" w:type="pct"/>
            <w:vAlign w:val="center"/>
          </w:tcPr>
          <w:p w14:paraId="28011C45">
            <w:pPr>
              <w:pStyle w:val="28"/>
              <w:bidi w:val="0"/>
            </w:pPr>
          </w:p>
        </w:tc>
      </w:tr>
      <w:tr w14:paraId="42895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restart"/>
            <w:vAlign w:val="center"/>
          </w:tcPr>
          <w:p w14:paraId="3E8FE344">
            <w:pPr>
              <w:pStyle w:val="28"/>
              <w:bidi w:val="0"/>
            </w:pPr>
            <w:r>
              <w:t>防治措施</w:t>
            </w:r>
          </w:p>
        </w:tc>
        <w:tc>
          <w:tcPr>
            <w:tcW w:w="894" w:type="pct"/>
            <w:vAlign w:val="center"/>
          </w:tcPr>
          <w:p w14:paraId="421B8590">
            <w:pPr>
              <w:pStyle w:val="28"/>
              <w:bidi w:val="0"/>
            </w:pPr>
            <w:r>
              <w:t>防控措施</w:t>
            </w:r>
          </w:p>
        </w:tc>
        <w:tc>
          <w:tcPr>
            <w:tcW w:w="3169" w:type="pct"/>
            <w:gridSpan w:val="5"/>
            <w:vAlign w:val="center"/>
          </w:tcPr>
          <w:p w14:paraId="333D3AAA">
            <w:pPr>
              <w:pStyle w:val="28"/>
              <w:bidi w:val="0"/>
            </w:pPr>
            <w:r>
              <w:t>土壤环境质量现状保障□；源头控制；过程防控；其他（）</w:t>
            </w:r>
          </w:p>
        </w:tc>
        <w:tc>
          <w:tcPr>
            <w:tcW w:w="545" w:type="pct"/>
            <w:vAlign w:val="center"/>
          </w:tcPr>
          <w:p w14:paraId="7D807878">
            <w:pPr>
              <w:pStyle w:val="28"/>
              <w:bidi w:val="0"/>
            </w:pPr>
          </w:p>
        </w:tc>
      </w:tr>
      <w:tr w14:paraId="3441B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75D7E6DF">
            <w:pPr>
              <w:pStyle w:val="28"/>
              <w:bidi w:val="0"/>
            </w:pPr>
          </w:p>
        </w:tc>
        <w:tc>
          <w:tcPr>
            <w:tcW w:w="894" w:type="pct"/>
            <w:vMerge w:val="restart"/>
            <w:vAlign w:val="center"/>
          </w:tcPr>
          <w:p w14:paraId="299E72DF">
            <w:pPr>
              <w:pStyle w:val="28"/>
              <w:bidi w:val="0"/>
            </w:pPr>
            <w:r>
              <w:t>跟踪监测</w:t>
            </w:r>
          </w:p>
        </w:tc>
        <w:tc>
          <w:tcPr>
            <w:tcW w:w="652" w:type="pct"/>
            <w:vAlign w:val="center"/>
          </w:tcPr>
          <w:p w14:paraId="13549E87">
            <w:pPr>
              <w:pStyle w:val="28"/>
              <w:bidi w:val="0"/>
            </w:pPr>
            <w:r>
              <w:t>监测点数</w:t>
            </w:r>
          </w:p>
        </w:tc>
        <w:tc>
          <w:tcPr>
            <w:tcW w:w="1880" w:type="pct"/>
            <w:gridSpan w:val="3"/>
            <w:vAlign w:val="center"/>
          </w:tcPr>
          <w:p w14:paraId="2FD2447A">
            <w:pPr>
              <w:pStyle w:val="28"/>
              <w:bidi w:val="0"/>
            </w:pPr>
            <w:r>
              <w:t>监测指标</w:t>
            </w:r>
          </w:p>
        </w:tc>
        <w:tc>
          <w:tcPr>
            <w:tcW w:w="637" w:type="pct"/>
            <w:vAlign w:val="center"/>
          </w:tcPr>
          <w:p w14:paraId="1E2EB4DA">
            <w:pPr>
              <w:pStyle w:val="28"/>
              <w:bidi w:val="0"/>
            </w:pPr>
            <w:r>
              <w:t>监测频次</w:t>
            </w:r>
          </w:p>
        </w:tc>
        <w:tc>
          <w:tcPr>
            <w:tcW w:w="545" w:type="pct"/>
            <w:vMerge w:val="restart"/>
            <w:vAlign w:val="center"/>
          </w:tcPr>
          <w:p w14:paraId="34FCAE22">
            <w:pPr>
              <w:pStyle w:val="28"/>
              <w:bidi w:val="0"/>
            </w:pPr>
          </w:p>
        </w:tc>
      </w:tr>
      <w:tr w14:paraId="3EAD59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6BF3C9A5">
            <w:pPr>
              <w:pStyle w:val="28"/>
              <w:bidi w:val="0"/>
            </w:pPr>
          </w:p>
        </w:tc>
        <w:tc>
          <w:tcPr>
            <w:tcW w:w="894" w:type="pct"/>
            <w:vMerge w:val="continue"/>
            <w:vAlign w:val="center"/>
          </w:tcPr>
          <w:p w14:paraId="532E5AF0">
            <w:pPr>
              <w:pStyle w:val="28"/>
              <w:bidi w:val="0"/>
            </w:pPr>
          </w:p>
        </w:tc>
        <w:tc>
          <w:tcPr>
            <w:tcW w:w="652" w:type="pct"/>
            <w:vAlign w:val="center"/>
          </w:tcPr>
          <w:p w14:paraId="0B63BB41">
            <w:pPr>
              <w:pStyle w:val="28"/>
              <w:bidi w:val="0"/>
            </w:pPr>
            <w:r>
              <w:t>/</w:t>
            </w:r>
          </w:p>
        </w:tc>
        <w:tc>
          <w:tcPr>
            <w:tcW w:w="1880" w:type="pct"/>
            <w:gridSpan w:val="3"/>
            <w:vAlign w:val="center"/>
          </w:tcPr>
          <w:p w14:paraId="5D758CB5">
            <w:pPr>
              <w:pStyle w:val="28"/>
              <w:bidi w:val="0"/>
            </w:pPr>
            <w:r>
              <w:t>/</w:t>
            </w:r>
          </w:p>
        </w:tc>
        <w:tc>
          <w:tcPr>
            <w:tcW w:w="637" w:type="pct"/>
            <w:vAlign w:val="center"/>
          </w:tcPr>
          <w:p w14:paraId="6CE1FC39">
            <w:pPr>
              <w:pStyle w:val="28"/>
              <w:bidi w:val="0"/>
            </w:pPr>
            <w:r>
              <w:t>/</w:t>
            </w:r>
          </w:p>
        </w:tc>
        <w:tc>
          <w:tcPr>
            <w:tcW w:w="545" w:type="pct"/>
            <w:vMerge w:val="continue"/>
            <w:vAlign w:val="center"/>
          </w:tcPr>
          <w:p w14:paraId="1307C997">
            <w:pPr>
              <w:pStyle w:val="28"/>
              <w:bidi w:val="0"/>
            </w:pPr>
          </w:p>
        </w:tc>
      </w:tr>
      <w:tr w14:paraId="13F5E4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0" w:type="pct"/>
            <w:vMerge w:val="continue"/>
            <w:vAlign w:val="center"/>
          </w:tcPr>
          <w:p w14:paraId="4EE1D930">
            <w:pPr>
              <w:pStyle w:val="28"/>
              <w:bidi w:val="0"/>
            </w:pPr>
          </w:p>
        </w:tc>
        <w:tc>
          <w:tcPr>
            <w:tcW w:w="894" w:type="pct"/>
            <w:vAlign w:val="center"/>
          </w:tcPr>
          <w:p w14:paraId="514BEB5A">
            <w:pPr>
              <w:pStyle w:val="28"/>
              <w:bidi w:val="0"/>
            </w:pPr>
            <w:r>
              <w:t>信息公开指标</w:t>
            </w:r>
          </w:p>
        </w:tc>
        <w:tc>
          <w:tcPr>
            <w:tcW w:w="3169" w:type="pct"/>
            <w:gridSpan w:val="5"/>
            <w:vAlign w:val="center"/>
          </w:tcPr>
          <w:p w14:paraId="253120F5">
            <w:pPr>
              <w:pStyle w:val="28"/>
              <w:bidi w:val="0"/>
            </w:pPr>
          </w:p>
        </w:tc>
        <w:tc>
          <w:tcPr>
            <w:tcW w:w="545" w:type="pct"/>
            <w:vMerge w:val="continue"/>
            <w:vAlign w:val="center"/>
          </w:tcPr>
          <w:p w14:paraId="61586CAA">
            <w:pPr>
              <w:pStyle w:val="28"/>
              <w:bidi w:val="0"/>
            </w:pPr>
          </w:p>
        </w:tc>
      </w:tr>
      <w:tr w14:paraId="0622E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285" w:type="pct"/>
            <w:gridSpan w:val="2"/>
            <w:vAlign w:val="center"/>
          </w:tcPr>
          <w:p w14:paraId="03A81B0F">
            <w:pPr>
              <w:pStyle w:val="28"/>
              <w:bidi w:val="0"/>
            </w:pPr>
            <w:r>
              <w:t>评价结论</w:t>
            </w:r>
          </w:p>
        </w:tc>
        <w:tc>
          <w:tcPr>
            <w:tcW w:w="3169" w:type="pct"/>
            <w:gridSpan w:val="5"/>
            <w:vAlign w:val="center"/>
          </w:tcPr>
          <w:p w14:paraId="5686CDD0">
            <w:pPr>
              <w:pStyle w:val="28"/>
              <w:bidi w:val="0"/>
            </w:pPr>
            <w:r>
              <w:t>从土壤环境影响的角度，项目建设是可行的</w:t>
            </w:r>
          </w:p>
        </w:tc>
        <w:tc>
          <w:tcPr>
            <w:tcW w:w="545" w:type="pct"/>
            <w:vAlign w:val="center"/>
          </w:tcPr>
          <w:p w14:paraId="764619A7">
            <w:pPr>
              <w:pStyle w:val="28"/>
              <w:bidi w:val="0"/>
            </w:pPr>
          </w:p>
        </w:tc>
      </w:tr>
      <w:tr w14:paraId="5CAA39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8"/>
            <w:vAlign w:val="center"/>
          </w:tcPr>
          <w:p w14:paraId="3BE22A0B">
            <w:pPr>
              <w:pStyle w:val="28"/>
              <w:bidi w:val="0"/>
            </w:pPr>
            <w:r>
              <w:t>注1：</w:t>
            </w:r>
            <w:r>
              <w:rPr>
                <w:rFonts w:hint="eastAsia"/>
              </w:rPr>
              <w:t>“</w:t>
            </w:r>
            <w:r>
              <w:t>□</w:t>
            </w:r>
            <w:r>
              <w:rPr>
                <w:rFonts w:hint="eastAsia"/>
              </w:rPr>
              <w:t>”</w:t>
            </w:r>
            <w:r>
              <w:t>为勾选项，可√；</w:t>
            </w:r>
            <w:r>
              <w:rPr>
                <w:rFonts w:hint="eastAsia"/>
              </w:rPr>
              <w:t>“</w:t>
            </w:r>
            <w:r>
              <w:t>（）</w:t>
            </w:r>
            <w:r>
              <w:rPr>
                <w:rFonts w:hint="eastAsia"/>
              </w:rPr>
              <w:t>”</w:t>
            </w:r>
            <w:r>
              <w:t>为内容填写项，</w:t>
            </w:r>
            <w:r>
              <w:rPr>
                <w:rFonts w:hint="eastAsia"/>
              </w:rPr>
              <w:t>“</w:t>
            </w:r>
            <w:r>
              <w:t>备注</w:t>
            </w:r>
            <w:r>
              <w:rPr>
                <w:rFonts w:hint="eastAsia"/>
              </w:rPr>
              <w:t>”</w:t>
            </w:r>
            <w:r>
              <w:t>为其他补充内容。</w:t>
            </w:r>
          </w:p>
          <w:p w14:paraId="1B8C2EE6">
            <w:pPr>
              <w:pStyle w:val="28"/>
              <w:bidi w:val="0"/>
            </w:pPr>
            <w:r>
              <w:t>注2：需要分别开展土壤环境影响评价工作的，分别填写自查表。</w:t>
            </w:r>
          </w:p>
        </w:tc>
      </w:tr>
    </w:tbl>
    <w:p w14:paraId="53EC36D0">
      <w:pPr>
        <w:pStyle w:val="3"/>
        <w:rPr>
          <w:rFonts w:cs="Times New Roman"/>
          <w:color w:val="0000FF"/>
        </w:rPr>
        <w:sectPr>
          <w:pgSz w:w="11905" w:h="16838"/>
          <w:pgMar w:top="1417" w:right="1417" w:bottom="1417" w:left="1417" w:header="850" w:footer="850" w:gutter="0"/>
          <w:pgNumType w:fmt="decimal"/>
          <w:cols w:space="0" w:num="1"/>
          <w:rtlGutter w:val="0"/>
          <w:docGrid w:linePitch="312" w:charSpace="0"/>
        </w:sectPr>
      </w:pPr>
    </w:p>
    <w:p w14:paraId="21506CF2">
      <w:pPr>
        <w:pStyle w:val="3"/>
        <w:rPr>
          <w:rFonts w:cs="Times New Roman"/>
          <w:color w:val="0000FF"/>
        </w:rPr>
      </w:pPr>
      <w:bookmarkStart w:id="66" w:name="_Toc11819"/>
      <w:r>
        <w:rPr>
          <w:rFonts w:hint="eastAsia" w:cs="Times New Roman"/>
          <w:color w:val="0000FF"/>
        </w:rPr>
        <w:t>5.7</w:t>
      </w:r>
      <w:r>
        <w:rPr>
          <w:rFonts w:cs="Times New Roman"/>
          <w:color w:val="0000FF"/>
        </w:rPr>
        <w:t xml:space="preserve"> 生态环境影响分析与评价</w:t>
      </w:r>
      <w:bookmarkEnd w:id="66"/>
    </w:p>
    <w:p w14:paraId="293B3252">
      <w:pPr>
        <w:pStyle w:val="4"/>
        <w:rPr>
          <w:rFonts w:cs="Times New Roman"/>
          <w:color w:val="0000FF"/>
        </w:rPr>
      </w:pPr>
      <w:r>
        <w:rPr>
          <w:rFonts w:hint="eastAsia" w:cs="Times New Roman"/>
          <w:color w:val="0000FF"/>
        </w:rPr>
        <w:t>5.7</w:t>
      </w:r>
      <w:r>
        <w:rPr>
          <w:rFonts w:cs="Times New Roman"/>
          <w:color w:val="0000FF"/>
        </w:rPr>
        <w:t>.1 景观生态影响分析</w:t>
      </w:r>
    </w:p>
    <w:p w14:paraId="2CB7BCF4">
      <w:pPr>
        <w:rPr>
          <w:rFonts w:cs="Times New Roman"/>
          <w:color w:val="0000FF"/>
        </w:rPr>
      </w:pPr>
      <w:r>
        <w:rPr>
          <w:rFonts w:hint="eastAsia" w:cs="Times New Roman"/>
          <w:color w:val="0000FF"/>
          <w:lang w:eastAsia="zh-CN"/>
        </w:rPr>
        <w:t>朱集灌区</w:t>
      </w:r>
      <w:r>
        <w:rPr>
          <w:rFonts w:cs="Times New Roman"/>
          <w:color w:val="0000FF"/>
        </w:rPr>
        <w:t>是我国特大型灌区之一，各渠道主要功能为农业灌溉，兼顾防洪、城市供水等。</w:t>
      </w:r>
    </w:p>
    <w:p w14:paraId="20A6DC44">
      <w:pPr>
        <w:ind w:firstLine="480"/>
        <w:rPr>
          <w:rFonts w:cs="Times New Roman"/>
          <w:color w:val="0000FF"/>
        </w:rPr>
      </w:pPr>
      <w:r>
        <w:rPr>
          <w:rFonts w:cs="Times New Roman"/>
          <w:color w:val="0000FF"/>
        </w:rPr>
        <w:t>工程建设对景观生态的影响表现在施工引起的地表景观变化上，包括作业带内地表现有的水系、植被、地形变化，以及永久性建筑特别是内聚星渡槽拆建等引起的景观变化。对景观的影响主要为</w:t>
      </w:r>
      <w:r>
        <w:rPr>
          <w:rFonts w:cs="Times New Roman"/>
          <w:b/>
          <w:bCs/>
          <w:color w:val="0000FF"/>
        </w:rPr>
        <w:t>工程占地</w:t>
      </w:r>
      <w:r>
        <w:rPr>
          <w:rFonts w:cs="Times New Roman"/>
          <w:color w:val="0000FF"/>
        </w:rPr>
        <w:t>和</w:t>
      </w:r>
      <w:r>
        <w:rPr>
          <w:rFonts w:cs="Times New Roman"/>
          <w:b/>
          <w:bCs/>
          <w:color w:val="0000FF"/>
        </w:rPr>
        <w:t>弃土的堆放</w:t>
      </w:r>
      <w:r>
        <w:rPr>
          <w:rFonts w:cs="Times New Roman"/>
          <w:color w:val="0000FF"/>
        </w:rPr>
        <w:t>对陆域生态环境的影响、渠道工程对水域生态环境的影响、占地施工和工程设计对风景名胜区景点和建筑物的影响。</w:t>
      </w:r>
    </w:p>
    <w:p w14:paraId="67A53748">
      <w:pPr>
        <w:ind w:firstLine="480"/>
        <w:rPr>
          <w:rFonts w:cs="Times New Roman"/>
          <w:color w:val="0000FF"/>
        </w:rPr>
      </w:pPr>
      <w:r>
        <w:rPr>
          <w:rFonts w:cs="Times New Roman"/>
          <w:color w:val="0000FF"/>
        </w:rPr>
        <w:t>根据对沿线生态环境现状调查和评价结果，可看出由于工程施工而导致地表植被破坏，以植被生物量为表征的自然系统生产力遭受一定的损失。</w:t>
      </w:r>
    </w:p>
    <w:p w14:paraId="16C10AAD">
      <w:pPr>
        <w:ind w:firstLine="480"/>
        <w:rPr>
          <w:rFonts w:cs="Times New Roman"/>
          <w:color w:val="0000FF"/>
        </w:rPr>
      </w:pPr>
      <w:r>
        <w:rPr>
          <w:rFonts w:cs="Times New Roman"/>
          <w:color w:val="0000FF"/>
        </w:rPr>
        <w:t>工程沿线景观影响分析：通过对现有渠道的整治，部分渠道的景观比之前有所改善，渠道的清淤对渠道的水质有积极的作用。因此，工程的建设能够促进评价区原有水域景观生态朝着良性方向发展。</w:t>
      </w:r>
    </w:p>
    <w:p w14:paraId="3F7514EE">
      <w:pPr>
        <w:ind w:firstLine="480"/>
        <w:rPr>
          <w:rFonts w:cs="Times New Roman"/>
          <w:color w:val="0000FF"/>
        </w:rPr>
      </w:pPr>
      <w:r>
        <w:rPr>
          <w:rFonts w:cs="Times New Roman"/>
          <w:color w:val="0000FF"/>
        </w:rPr>
        <w:t>建筑物景观影响分析：本工程渠系建筑物工程主要为在原有建筑上的拆除重建，原有渠系建筑物由于年久失修，已无法满足现有的水利灌溉要求，因此，通过本工程的实施，不仅能够提高渠系的灌溉能力，而且在使原有破损的建筑物得到新建，景观上能够得到改善。</w:t>
      </w:r>
    </w:p>
    <w:p w14:paraId="6082A728">
      <w:pPr>
        <w:pStyle w:val="4"/>
        <w:rPr>
          <w:rFonts w:cs="Times New Roman"/>
          <w:color w:val="0000FF"/>
        </w:rPr>
      </w:pPr>
      <w:r>
        <w:rPr>
          <w:rFonts w:hint="eastAsia" w:cs="Times New Roman"/>
          <w:color w:val="0000FF"/>
        </w:rPr>
        <w:t>5.7</w:t>
      </w:r>
      <w:r>
        <w:rPr>
          <w:rFonts w:cs="Times New Roman"/>
          <w:color w:val="0000FF"/>
        </w:rPr>
        <w:t>.2 陆生生态环境影响预测与评价</w:t>
      </w:r>
    </w:p>
    <w:p w14:paraId="48ABD8C4">
      <w:pPr>
        <w:widowControl w:val="0"/>
        <w:autoSpaceDE w:val="0"/>
        <w:autoSpaceDN w:val="0"/>
        <w:ind w:firstLine="480" w:firstLineChars="200"/>
        <w:rPr>
          <w:rFonts w:cs="Times New Roman"/>
          <w:color w:val="0000FF"/>
        </w:rPr>
      </w:pPr>
      <w:r>
        <w:rPr>
          <w:rFonts w:cs="Times New Roman"/>
          <w:color w:val="0000FF"/>
          <w:lang w:bidi="ar"/>
        </w:rPr>
        <w:t>由于工程绝大部分内容为改建，工程对陆生生态的影响主要集中在施工期，因此重点分析施工期工程对陆生生态的影响。</w:t>
      </w:r>
    </w:p>
    <w:p w14:paraId="43BA193E">
      <w:pPr>
        <w:pStyle w:val="5"/>
        <w:rPr>
          <w:rFonts w:cs="Times New Roman"/>
          <w:color w:val="0000FF"/>
        </w:rPr>
      </w:pPr>
      <w:r>
        <w:rPr>
          <w:rFonts w:hint="eastAsia" w:cs="Times New Roman"/>
          <w:color w:val="0000FF"/>
        </w:rPr>
        <w:t>5.7</w:t>
      </w:r>
      <w:r>
        <w:rPr>
          <w:rFonts w:cs="Times New Roman"/>
          <w:color w:val="0000FF"/>
        </w:rPr>
        <w:t>.2.1 施工对植被的影响</w:t>
      </w:r>
    </w:p>
    <w:p w14:paraId="2CB759D1">
      <w:pPr>
        <w:widowControl w:val="0"/>
        <w:autoSpaceDE w:val="0"/>
        <w:autoSpaceDN w:val="0"/>
        <w:adjustRightInd w:val="0"/>
        <w:ind w:firstLine="480" w:firstLineChars="200"/>
        <w:textAlignment w:val="center"/>
        <w:rPr>
          <w:rFonts w:cs="Times New Roman"/>
          <w:color w:val="0000FF"/>
        </w:rPr>
      </w:pPr>
      <w:r>
        <w:rPr>
          <w:rFonts w:eastAsia="Times New Roman" w:cs="Times New Roman"/>
          <w:color w:val="0000FF"/>
          <w:lang w:bidi="ar"/>
        </w:rPr>
        <w:t>工程实施对植被和植物多样性的影响主要表现在施工过程中的土石方开挖、取土、弃渣（土）、临时堆土及其他施工临时设施等会造成植被破坏和损失。本工程涉及区属长江中下游平原圩区，地势低平，农业生产力水平较高。受人类活动长期频繁干扰，工程涉及河道两岸城镇、村庄密布，土地开发利用程度高，土地利用类型以农田和水域及水利设施用地为主，工程为线状施工，不会造成大面积片状植被破坏。但对工程沿线的表土搅动较大，将不同程度的破坏原有植被，造成水土流失；施工过程中机械碾压、人员践踏等又会带来植被幼苗损失等。工程对耕地的占用，使得局部地区农作物减产，农业生产受到影响，因此，要求设计单位在初设阶段优化工程布局，减少占用耕地和林地。</w:t>
      </w:r>
    </w:p>
    <w:p w14:paraId="29F5941C">
      <w:pPr>
        <w:widowControl w:val="0"/>
        <w:autoSpaceDE w:val="0"/>
        <w:autoSpaceDN w:val="0"/>
        <w:adjustRightInd w:val="0"/>
        <w:ind w:firstLine="480" w:firstLineChars="200"/>
        <w:textAlignment w:val="center"/>
        <w:rPr>
          <w:rFonts w:cs="Times New Roman"/>
          <w:color w:val="0000FF"/>
        </w:rPr>
      </w:pPr>
      <w:r>
        <w:rPr>
          <w:rFonts w:eastAsia="Times New Roman" w:cs="Times New Roman"/>
          <w:color w:val="0000FF"/>
          <w:lang w:bidi="ar"/>
        </w:rPr>
        <w:t>工程施工期间，将同步实施水土保持工程，在施工区内植树种草；工程完工后，并将对料场、弃土区等施工临时占地进行耕地复垦。由于评价区域地处长江中下游，雨量充沛、光照充足，适合各种植物生长，在采取以上措施后，预计工程涉及区内的植被在较短时间内可以得到较好的恢复。因此，总体上，本工程对陆生植物种类和数量的影响有限，也不会造成陆生植物种类的消失，不会对当地的植被多样性造成明显的影响。</w:t>
      </w:r>
    </w:p>
    <w:p w14:paraId="3579384C">
      <w:pPr>
        <w:rPr>
          <w:rFonts w:cs="Times New Roman"/>
          <w:color w:val="0000FF"/>
        </w:rPr>
      </w:pPr>
      <w:r>
        <w:rPr>
          <w:rFonts w:cs="Times New Roman"/>
          <w:color w:val="0000FF"/>
        </w:rPr>
        <w:t>项目施工阶段占用了土地</w:t>
      </w:r>
      <w:r>
        <w:rPr>
          <w:rFonts w:hint="eastAsia" w:cs="Times New Roman"/>
          <w:color w:val="0000FF"/>
        </w:rPr>
        <w:t>，其中包括临时占地和永久占地</w:t>
      </w:r>
      <w:r>
        <w:rPr>
          <w:rFonts w:cs="Times New Roman"/>
          <w:color w:val="0000FF"/>
        </w:rPr>
        <w:t>，必然会降低该区域生态系统的生产力水平，减少生态系统的生物量，具体减少量详见下表。</w:t>
      </w:r>
    </w:p>
    <w:p w14:paraId="28C03F0E">
      <w:pPr>
        <w:widowControl w:val="0"/>
        <w:adjustRightInd w:val="0"/>
        <w:textAlignment w:val="center"/>
        <w:rPr>
          <w:rFonts w:cs="Times New Roman"/>
          <w:color w:val="0000FF"/>
          <w:lang w:val="zh-CN"/>
        </w:rPr>
      </w:pPr>
      <w:r>
        <w:rPr>
          <w:rFonts w:cs="Times New Roman"/>
          <w:color w:val="0000FF"/>
        </w:rPr>
        <w:t>表5-</w:t>
      </w:r>
      <w:r>
        <w:rPr>
          <w:rFonts w:hint="eastAsia" w:cs="Times New Roman"/>
          <w:color w:val="0000FF"/>
        </w:rPr>
        <w:t>7</w:t>
      </w:r>
      <w:r>
        <w:rPr>
          <w:rFonts w:cs="Times New Roman"/>
          <w:color w:val="0000FF"/>
        </w:rPr>
        <w:t>-1  工程占地生态系统生物量减少情况</w:t>
      </w:r>
    </w:p>
    <w:tbl>
      <w:tblPr>
        <w:tblStyle w:val="1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43"/>
        <w:gridCol w:w="2559"/>
        <w:gridCol w:w="1970"/>
        <w:gridCol w:w="1908"/>
      </w:tblGrid>
      <w:tr w14:paraId="4448F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5" w:type="dxa"/>
            <w:vAlign w:val="center"/>
          </w:tcPr>
          <w:p w14:paraId="3921953C">
            <w:pPr>
              <w:pStyle w:val="28"/>
              <w:bidi w:val="0"/>
            </w:pPr>
            <w:r>
              <w:t>地类</w:t>
            </w:r>
          </w:p>
        </w:tc>
        <w:tc>
          <w:tcPr>
            <w:tcW w:w="2660" w:type="dxa"/>
            <w:vAlign w:val="center"/>
          </w:tcPr>
          <w:p w14:paraId="1FFE3637">
            <w:pPr>
              <w:pStyle w:val="28"/>
              <w:bidi w:val="0"/>
            </w:pPr>
            <w:r>
              <w:t>平均净生产力〔g/（m2·a）〕</w:t>
            </w:r>
          </w:p>
        </w:tc>
        <w:tc>
          <w:tcPr>
            <w:tcW w:w="2046" w:type="dxa"/>
            <w:vAlign w:val="center"/>
          </w:tcPr>
          <w:p w14:paraId="3DF379F7">
            <w:pPr>
              <w:pStyle w:val="28"/>
              <w:bidi w:val="0"/>
            </w:pPr>
            <w:r>
              <w:t>占地面积（hm2）</w:t>
            </w:r>
          </w:p>
        </w:tc>
        <w:tc>
          <w:tcPr>
            <w:tcW w:w="1992" w:type="dxa"/>
            <w:vAlign w:val="center"/>
          </w:tcPr>
          <w:p w14:paraId="0E7E452C">
            <w:pPr>
              <w:pStyle w:val="28"/>
              <w:bidi w:val="0"/>
            </w:pPr>
            <w:r>
              <w:t>生物量变化（t/a）</w:t>
            </w:r>
          </w:p>
        </w:tc>
      </w:tr>
      <w:tr w14:paraId="51FE6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5" w:type="dxa"/>
            <w:vAlign w:val="center"/>
          </w:tcPr>
          <w:p w14:paraId="121DCE57">
            <w:pPr>
              <w:pStyle w:val="28"/>
              <w:bidi w:val="0"/>
            </w:pPr>
            <w:r>
              <w:t>耕地</w:t>
            </w:r>
          </w:p>
        </w:tc>
        <w:tc>
          <w:tcPr>
            <w:tcW w:w="2660" w:type="dxa"/>
            <w:vAlign w:val="center"/>
          </w:tcPr>
          <w:p w14:paraId="76396A4E">
            <w:pPr>
              <w:pStyle w:val="28"/>
              <w:bidi w:val="0"/>
            </w:pPr>
            <w:r>
              <w:t>806</w:t>
            </w:r>
          </w:p>
        </w:tc>
        <w:tc>
          <w:tcPr>
            <w:tcW w:w="2046" w:type="dxa"/>
            <w:vAlign w:val="center"/>
          </w:tcPr>
          <w:p w14:paraId="022BBE46">
            <w:pPr>
              <w:pStyle w:val="28"/>
              <w:bidi w:val="0"/>
            </w:pPr>
            <w:r>
              <w:t>109.83</w:t>
            </w:r>
          </w:p>
        </w:tc>
        <w:tc>
          <w:tcPr>
            <w:tcW w:w="1992" w:type="dxa"/>
            <w:vAlign w:val="center"/>
          </w:tcPr>
          <w:p w14:paraId="3F15F5BF">
            <w:pPr>
              <w:pStyle w:val="28"/>
              <w:bidi w:val="0"/>
            </w:pPr>
            <w:r>
              <w:t>885.2</w:t>
            </w:r>
          </w:p>
        </w:tc>
      </w:tr>
      <w:tr w14:paraId="161111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5" w:type="dxa"/>
            <w:vAlign w:val="center"/>
          </w:tcPr>
          <w:p w14:paraId="049F6C5C">
            <w:pPr>
              <w:pStyle w:val="28"/>
              <w:bidi w:val="0"/>
            </w:pPr>
            <w:r>
              <w:t>林地</w:t>
            </w:r>
          </w:p>
        </w:tc>
        <w:tc>
          <w:tcPr>
            <w:tcW w:w="2660" w:type="dxa"/>
            <w:vAlign w:val="center"/>
          </w:tcPr>
          <w:p w14:paraId="1619A016">
            <w:pPr>
              <w:pStyle w:val="28"/>
              <w:bidi w:val="0"/>
            </w:pPr>
            <w:r>
              <w:t>852</w:t>
            </w:r>
          </w:p>
        </w:tc>
        <w:tc>
          <w:tcPr>
            <w:tcW w:w="2046" w:type="dxa"/>
            <w:vAlign w:val="center"/>
          </w:tcPr>
          <w:p w14:paraId="3934E972">
            <w:pPr>
              <w:pStyle w:val="28"/>
              <w:bidi w:val="0"/>
            </w:pPr>
            <w:r>
              <w:t>0.00</w:t>
            </w:r>
          </w:p>
        </w:tc>
        <w:tc>
          <w:tcPr>
            <w:tcW w:w="1992" w:type="dxa"/>
            <w:vAlign w:val="center"/>
          </w:tcPr>
          <w:p w14:paraId="5D56D4DD">
            <w:pPr>
              <w:pStyle w:val="28"/>
              <w:bidi w:val="0"/>
            </w:pPr>
            <w:r>
              <w:t>0.0</w:t>
            </w:r>
          </w:p>
        </w:tc>
      </w:tr>
      <w:tr w14:paraId="77DBC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 w:hRule="atLeast"/>
          <w:jc w:val="center"/>
        </w:trPr>
        <w:tc>
          <w:tcPr>
            <w:tcW w:w="3035" w:type="dxa"/>
            <w:vAlign w:val="center"/>
          </w:tcPr>
          <w:p w14:paraId="5CEA87B6">
            <w:pPr>
              <w:pStyle w:val="28"/>
              <w:bidi w:val="0"/>
            </w:pPr>
            <w:r>
              <w:t>草地</w:t>
            </w:r>
          </w:p>
        </w:tc>
        <w:tc>
          <w:tcPr>
            <w:tcW w:w="2660" w:type="dxa"/>
            <w:vAlign w:val="center"/>
          </w:tcPr>
          <w:p w14:paraId="53AA22CF">
            <w:pPr>
              <w:pStyle w:val="28"/>
              <w:bidi w:val="0"/>
            </w:pPr>
            <w:r>
              <w:t>412</w:t>
            </w:r>
          </w:p>
        </w:tc>
        <w:tc>
          <w:tcPr>
            <w:tcW w:w="2046" w:type="dxa"/>
            <w:vAlign w:val="center"/>
          </w:tcPr>
          <w:p w14:paraId="07A4BDE0">
            <w:pPr>
              <w:pStyle w:val="28"/>
              <w:bidi w:val="0"/>
            </w:pPr>
            <w:r>
              <w:t>0.00</w:t>
            </w:r>
          </w:p>
        </w:tc>
        <w:tc>
          <w:tcPr>
            <w:tcW w:w="1992" w:type="dxa"/>
            <w:vAlign w:val="center"/>
          </w:tcPr>
          <w:p w14:paraId="502AA282">
            <w:pPr>
              <w:pStyle w:val="28"/>
              <w:bidi w:val="0"/>
            </w:pPr>
            <w:r>
              <w:t>0.0</w:t>
            </w:r>
          </w:p>
        </w:tc>
      </w:tr>
      <w:tr w14:paraId="7C2B3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3035" w:type="dxa"/>
            <w:vAlign w:val="center"/>
          </w:tcPr>
          <w:p w14:paraId="45DBF5D4">
            <w:pPr>
              <w:pStyle w:val="28"/>
              <w:bidi w:val="0"/>
            </w:pPr>
            <w:r>
              <w:t>水域</w:t>
            </w:r>
          </w:p>
        </w:tc>
        <w:tc>
          <w:tcPr>
            <w:tcW w:w="2660" w:type="dxa"/>
            <w:vAlign w:val="center"/>
          </w:tcPr>
          <w:p w14:paraId="57B48EE4">
            <w:pPr>
              <w:pStyle w:val="28"/>
              <w:bidi w:val="0"/>
            </w:pPr>
            <w:r>
              <w:t>145</w:t>
            </w:r>
          </w:p>
        </w:tc>
        <w:tc>
          <w:tcPr>
            <w:tcW w:w="2046" w:type="dxa"/>
            <w:vAlign w:val="center"/>
          </w:tcPr>
          <w:p w14:paraId="3C90074A">
            <w:pPr>
              <w:pStyle w:val="28"/>
              <w:bidi w:val="0"/>
            </w:pPr>
            <w:r>
              <w:t>503.15</w:t>
            </w:r>
          </w:p>
        </w:tc>
        <w:tc>
          <w:tcPr>
            <w:tcW w:w="1992" w:type="dxa"/>
            <w:vAlign w:val="center"/>
          </w:tcPr>
          <w:p w14:paraId="4AEDB1E6">
            <w:pPr>
              <w:pStyle w:val="28"/>
              <w:bidi w:val="0"/>
            </w:pPr>
            <w:r>
              <w:t>729.6</w:t>
            </w:r>
          </w:p>
        </w:tc>
      </w:tr>
      <w:tr w14:paraId="700D2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741" w:type="dxa"/>
            <w:gridSpan w:val="3"/>
            <w:vAlign w:val="center"/>
          </w:tcPr>
          <w:p w14:paraId="7D63E696">
            <w:pPr>
              <w:pStyle w:val="28"/>
              <w:bidi w:val="0"/>
            </w:pPr>
            <w:r>
              <w:t>合计</w:t>
            </w:r>
          </w:p>
        </w:tc>
        <w:tc>
          <w:tcPr>
            <w:tcW w:w="1992" w:type="dxa"/>
            <w:vAlign w:val="center"/>
          </w:tcPr>
          <w:p w14:paraId="777862E6">
            <w:pPr>
              <w:pStyle w:val="28"/>
              <w:bidi w:val="0"/>
            </w:pPr>
            <w:r>
              <w:rPr>
                <w:rFonts w:hint="eastAsia"/>
              </w:rPr>
              <w:t>1614.8</w:t>
            </w:r>
          </w:p>
        </w:tc>
      </w:tr>
    </w:tbl>
    <w:p w14:paraId="51D65D18">
      <w:pPr>
        <w:widowControl w:val="0"/>
        <w:adjustRightInd w:val="0"/>
        <w:spacing w:line="240" w:lineRule="auto"/>
        <w:ind w:firstLine="480" w:firstLineChars="200"/>
        <w:jc w:val="both"/>
        <w:textAlignment w:val="center"/>
        <w:rPr>
          <w:rFonts w:cs="Times New Roman"/>
          <w:color w:val="0000FF"/>
        </w:rPr>
      </w:pPr>
    </w:p>
    <w:p w14:paraId="5D9675B7">
      <w:pPr>
        <w:widowControl w:val="0"/>
        <w:adjustRightInd w:val="0"/>
        <w:ind w:firstLine="480" w:firstLineChars="200"/>
        <w:jc w:val="both"/>
        <w:textAlignment w:val="center"/>
        <w:rPr>
          <w:rFonts w:cs="Times New Roman"/>
          <w:color w:val="0000FF"/>
        </w:rPr>
      </w:pPr>
      <w:r>
        <w:rPr>
          <w:rFonts w:cs="Times New Roman"/>
          <w:color w:val="0000FF"/>
        </w:rPr>
        <w:t>本工程永久占地和临时占地将使评价区内的植被类型面积和生物量发生一定变化，具体变化情况见上表。可见，在不考虑任何绿化和植被恢复措施的情况下，工程临时占地</w:t>
      </w:r>
      <w:r>
        <w:rPr>
          <w:rFonts w:hint="eastAsia" w:cs="Times New Roman"/>
          <w:color w:val="0000FF"/>
        </w:rPr>
        <w:t>和永占地</w:t>
      </w:r>
      <w:r>
        <w:rPr>
          <w:rFonts w:cs="Times New Roman"/>
          <w:color w:val="0000FF"/>
        </w:rPr>
        <w:t>共造成</w:t>
      </w:r>
      <w:r>
        <w:rPr>
          <w:rFonts w:hint="eastAsia" w:cs="Times New Roman"/>
          <w:color w:val="0000FF"/>
        </w:rPr>
        <w:t>1614.8</w:t>
      </w:r>
      <w:r>
        <w:rPr>
          <w:rFonts w:cs="Times New Roman"/>
          <w:color w:val="0000FF"/>
        </w:rPr>
        <w:t>t的生物量损失，这些生物量损失在工程投入运营后将逐渐恢复。</w:t>
      </w:r>
    </w:p>
    <w:p w14:paraId="5360348D">
      <w:pPr>
        <w:widowControl w:val="0"/>
        <w:adjustRightInd w:val="0"/>
        <w:ind w:firstLine="480" w:firstLineChars="200"/>
        <w:jc w:val="both"/>
        <w:textAlignment w:val="center"/>
        <w:rPr>
          <w:rFonts w:cs="Times New Roman"/>
          <w:color w:val="0000FF"/>
          <w:highlight w:val="yellow"/>
        </w:rPr>
      </w:pPr>
      <w:r>
        <w:rPr>
          <w:rFonts w:cs="Times New Roman"/>
          <w:color w:val="0000FF"/>
        </w:rPr>
        <w:t>因此，本工程对评价区内自然体系生产力的影响较小，影响是可以承受的。</w:t>
      </w:r>
      <w:r>
        <w:rPr>
          <w:rFonts w:cs="Times New Roman"/>
          <w:bCs/>
          <w:color w:val="0000FF"/>
        </w:rPr>
        <w:t>施工结束后，项目区的复垦及植被的恢复，可逐渐弥补植物的损失。</w:t>
      </w:r>
    </w:p>
    <w:p w14:paraId="15C6F831">
      <w:pPr>
        <w:pStyle w:val="5"/>
        <w:rPr>
          <w:rFonts w:cs="Times New Roman"/>
          <w:color w:val="0000FF"/>
        </w:rPr>
      </w:pPr>
      <w:r>
        <w:rPr>
          <w:rFonts w:hint="eastAsia" w:cs="Times New Roman"/>
          <w:color w:val="0000FF"/>
        </w:rPr>
        <w:t>5.7</w:t>
      </w:r>
      <w:r>
        <w:rPr>
          <w:rFonts w:cs="Times New Roman"/>
          <w:color w:val="0000FF"/>
        </w:rPr>
        <w:t>.2.2 施工对动物的影响</w:t>
      </w:r>
    </w:p>
    <w:p w14:paraId="4C543E30">
      <w:pPr>
        <w:widowControl w:val="0"/>
        <w:autoSpaceDE w:val="0"/>
        <w:autoSpaceDN w:val="0"/>
        <w:ind w:firstLine="480" w:firstLineChars="200"/>
        <w:rPr>
          <w:rFonts w:cs="Times New Roman"/>
          <w:color w:val="0000FF"/>
        </w:rPr>
      </w:pPr>
      <w:r>
        <w:rPr>
          <w:rFonts w:eastAsia="Times New Roman" w:cs="Times New Roman"/>
          <w:color w:val="0000FF"/>
          <w:lang w:bidi="ar"/>
        </w:rPr>
        <w:t>根据施工和运行方式，本工程对陆生动物的主要影响在施工期。本工程在施工期对陆生动物的影响主要有以下几个方面：</w:t>
      </w:r>
    </w:p>
    <w:p w14:paraId="2F2CEAFF">
      <w:pPr>
        <w:widowControl w:val="0"/>
        <w:autoSpaceDE w:val="0"/>
        <w:autoSpaceDN w:val="0"/>
        <w:ind w:firstLine="480" w:firstLineChars="200"/>
        <w:rPr>
          <w:rFonts w:cs="Times New Roman"/>
          <w:color w:val="0000FF"/>
        </w:rPr>
      </w:pPr>
      <w:r>
        <w:rPr>
          <w:rFonts w:cs="Times New Roman"/>
          <w:color w:val="0000FF"/>
        </w:rPr>
        <w:t>工程占地对动物栖息地的影响；施工噪声和振动对动物的影响；施工人员对动物的干扰影响。</w:t>
      </w:r>
    </w:p>
    <w:p w14:paraId="3B35B3A9">
      <w:pPr>
        <w:widowControl w:val="0"/>
        <w:autoSpaceDE w:val="0"/>
        <w:autoSpaceDN w:val="0"/>
        <w:ind w:firstLine="480" w:firstLineChars="200"/>
        <w:rPr>
          <w:rFonts w:cs="Times New Roman"/>
          <w:color w:val="0000FF"/>
        </w:rPr>
      </w:pPr>
      <w:r>
        <w:rPr>
          <w:rFonts w:cs="Times New Roman"/>
          <w:color w:val="0000FF"/>
        </w:rPr>
        <w:t>（1）工程占地对栖息地的影响</w:t>
      </w:r>
    </w:p>
    <w:p w14:paraId="7E93C1C0">
      <w:pPr>
        <w:widowControl w:val="0"/>
        <w:autoSpaceDE w:val="0"/>
        <w:autoSpaceDN w:val="0"/>
        <w:ind w:firstLine="480" w:firstLineChars="200"/>
        <w:rPr>
          <w:rFonts w:cs="Times New Roman"/>
          <w:color w:val="0000FF"/>
        </w:rPr>
      </w:pPr>
      <w:r>
        <w:rPr>
          <w:rFonts w:cs="Times New Roman"/>
          <w:color w:val="0000FF"/>
          <w:lang w:bidi="ar"/>
        </w:rPr>
        <w:t>项目</w:t>
      </w:r>
      <w:r>
        <w:rPr>
          <w:rFonts w:eastAsia="Times New Roman" w:cs="Times New Roman"/>
          <w:color w:val="0000FF"/>
          <w:lang w:bidi="ar"/>
        </w:rPr>
        <w:t>弃土场和施工临时设施等占地均会占用部分陆生动物的栖息地，对于不同类群的动物，其影响程度不同。</w:t>
      </w:r>
      <w:r>
        <w:rPr>
          <w:rFonts w:cs="Times New Roman"/>
          <w:color w:val="0000FF"/>
          <w:lang w:bidi="ar"/>
        </w:rPr>
        <w:t>本次以两栖类、爬行类和鸟类进行分析。</w:t>
      </w:r>
    </w:p>
    <w:p w14:paraId="5104350C">
      <w:pPr>
        <w:widowControl w:val="0"/>
        <w:autoSpaceDE w:val="0"/>
        <w:autoSpaceDN w:val="0"/>
        <w:ind w:firstLine="480" w:firstLineChars="200"/>
        <w:rPr>
          <w:rFonts w:cs="Times New Roman"/>
          <w:color w:val="0000FF"/>
        </w:rPr>
      </w:pPr>
      <w:r>
        <w:rPr>
          <w:rFonts w:eastAsia="Times New Roman" w:cs="Times New Roman"/>
          <w:color w:val="0000FF"/>
          <w:lang w:bidi="ar"/>
        </w:rPr>
        <w:t>两栖类主要栖息于评价范围内的坑塘、河湖周边等区域，工程施工占地将导致其部分生境的损失，影响区域呈线状和点状干扰。在施工结束后，随着干扰的消失，部分生境将得以恢复。</w:t>
      </w:r>
    </w:p>
    <w:p w14:paraId="7A626C80">
      <w:pPr>
        <w:widowControl w:val="0"/>
        <w:autoSpaceDE w:val="0"/>
        <w:autoSpaceDN w:val="0"/>
        <w:ind w:firstLine="480" w:firstLineChars="200"/>
        <w:rPr>
          <w:rFonts w:cs="Times New Roman"/>
          <w:color w:val="0000FF"/>
        </w:rPr>
      </w:pPr>
      <w:r>
        <w:rPr>
          <w:rFonts w:eastAsia="Times New Roman" w:cs="Times New Roman"/>
          <w:color w:val="0000FF"/>
          <w:lang w:bidi="ar"/>
        </w:rPr>
        <w:t>爬行类以及小型哺乳类的栖息地相对稳定。在施工期，工程施工占用其栖息地，将迫使其向周边生境迁移。评价区内爬行类和小型哺乳类动物，大多为常见种类，大多广泛分布于评价区内，工程占地对其种群大小影响十分有限。大型哺乳类主要分布于丘陵山地区域内，受工程占地影响较小。</w:t>
      </w:r>
    </w:p>
    <w:p w14:paraId="5ABA957A">
      <w:pPr>
        <w:widowControl w:val="0"/>
        <w:autoSpaceDE w:val="0"/>
        <w:autoSpaceDN w:val="0"/>
        <w:ind w:firstLine="480" w:firstLineChars="200"/>
        <w:rPr>
          <w:rFonts w:cs="Times New Roman"/>
          <w:color w:val="0000FF"/>
        </w:rPr>
      </w:pPr>
      <w:r>
        <w:rPr>
          <w:rFonts w:eastAsia="Times New Roman" w:cs="Times New Roman"/>
          <w:color w:val="0000FF"/>
          <w:lang w:bidi="ar"/>
        </w:rPr>
        <w:t>鸟类具有较强的迁移能力，且生境广泛，工程临时和永久占地将占用部分</w:t>
      </w:r>
      <w:r>
        <w:rPr>
          <w:rFonts w:cs="Times New Roman"/>
          <w:color w:val="0000FF"/>
          <w:lang w:bidi="ar"/>
        </w:rPr>
        <w:t>鸟类</w:t>
      </w:r>
      <w:r>
        <w:rPr>
          <w:rFonts w:eastAsia="Times New Roman" w:cs="Times New Roman"/>
          <w:color w:val="0000FF"/>
          <w:lang w:bidi="ar"/>
        </w:rPr>
        <w:t>的生境，但干扰呈线状，且在工程施工结束后，部分生境（如临时占地区域）将逐渐恢复。因此，工程施工占地对评价区内鸟类的栖息的影响较为有限。</w:t>
      </w:r>
    </w:p>
    <w:p w14:paraId="7C1B6189">
      <w:pPr>
        <w:widowControl w:val="0"/>
        <w:autoSpaceDE w:val="0"/>
        <w:autoSpaceDN w:val="0"/>
        <w:ind w:firstLine="480" w:firstLineChars="200"/>
        <w:rPr>
          <w:rFonts w:cs="Times New Roman"/>
          <w:color w:val="0000FF"/>
        </w:rPr>
      </w:pPr>
      <w:r>
        <w:rPr>
          <w:rFonts w:cs="Times New Roman"/>
          <w:color w:val="0000FF"/>
        </w:rPr>
        <w:t>（2）施工噪声和振动对动物的影响</w:t>
      </w:r>
    </w:p>
    <w:p w14:paraId="36CACD1C">
      <w:pPr>
        <w:widowControl w:val="0"/>
        <w:autoSpaceDE w:val="0"/>
        <w:autoSpaceDN w:val="0"/>
        <w:ind w:firstLine="480" w:firstLineChars="200"/>
        <w:rPr>
          <w:rFonts w:cs="Times New Roman"/>
          <w:color w:val="0000FF"/>
        </w:rPr>
      </w:pPr>
      <w:r>
        <w:rPr>
          <w:rFonts w:eastAsia="Times New Roman" w:cs="Times New Roman"/>
          <w:color w:val="0000FF"/>
          <w:lang w:bidi="ar"/>
        </w:rPr>
        <w:t>两栖类和爬行类动物的听觉相对不敏感，施工噪声对其影响不大，而施工活动所产生的振动将对其产生一定的驱赶，特别是对振动相对敏感的蛇类，施工活动产生的振动将驱赶其向周边区域迁移。但相对于整个评价区而言，工程施工为线状，影响区域有限。在施工结束后，随着干扰源的消失，不利影响将逐渐消失。</w:t>
      </w:r>
    </w:p>
    <w:p w14:paraId="6115FA33">
      <w:pPr>
        <w:widowControl w:val="0"/>
        <w:autoSpaceDE w:val="0"/>
        <w:autoSpaceDN w:val="0"/>
        <w:ind w:firstLine="480" w:firstLineChars="200"/>
        <w:rPr>
          <w:rFonts w:cs="Times New Roman"/>
          <w:color w:val="0000FF"/>
        </w:rPr>
      </w:pPr>
      <w:r>
        <w:rPr>
          <w:rFonts w:eastAsia="Times New Roman" w:cs="Times New Roman"/>
          <w:color w:val="0000FF"/>
          <w:lang w:bidi="ar"/>
        </w:rPr>
        <w:t>对于鸟类，施工噪声以及施工活动产生的振动对其均会产生一定的驱赶影响。鸟类的活动范围较为广泛，避趋能力也较强，施工噪声以及振动的影响为短期影响，且影响范围局限于施工区域附近，对鸟类的干扰影响十分有限。在施工活动的结束后，随着干扰源的消失，不利影响也将逐渐消失。</w:t>
      </w:r>
    </w:p>
    <w:p w14:paraId="26650D88">
      <w:pPr>
        <w:widowControl w:val="0"/>
        <w:autoSpaceDE w:val="0"/>
        <w:autoSpaceDN w:val="0"/>
        <w:ind w:firstLine="480" w:firstLineChars="200"/>
        <w:rPr>
          <w:rFonts w:cs="Times New Roman"/>
          <w:color w:val="0000FF"/>
        </w:rPr>
      </w:pPr>
      <w:r>
        <w:rPr>
          <w:rFonts w:eastAsia="Times New Roman" w:cs="Times New Roman"/>
          <w:color w:val="0000FF"/>
          <w:lang w:bidi="ar"/>
        </w:rPr>
        <w:t>评价区内的哺乳类主要为草兔、啮齿目鼠类以及部分刺猬等类型，生态幅较宽，适应能力和抗干扰能力较强，工程施工噪声和振动等对其影响较小。评价区内可能存在的大型哺乳动物大多分布于山地丘陵内，距离施工区域较远，受施工噪声和振动等的影响较小。</w:t>
      </w:r>
    </w:p>
    <w:p w14:paraId="66299A8E">
      <w:pPr>
        <w:widowControl w:val="0"/>
        <w:autoSpaceDE w:val="0"/>
        <w:autoSpaceDN w:val="0"/>
        <w:ind w:firstLine="480" w:firstLineChars="200"/>
        <w:rPr>
          <w:rFonts w:cs="Times New Roman"/>
          <w:color w:val="0000FF"/>
        </w:rPr>
      </w:pPr>
      <w:r>
        <w:rPr>
          <w:rFonts w:cs="Times New Roman"/>
          <w:color w:val="0000FF"/>
        </w:rPr>
        <w:t>（3）施工人员活动对动物的干扰影响</w:t>
      </w:r>
    </w:p>
    <w:p w14:paraId="7436FE99">
      <w:pPr>
        <w:widowControl w:val="0"/>
        <w:autoSpaceDE w:val="0"/>
        <w:autoSpaceDN w:val="0"/>
        <w:ind w:firstLine="480" w:firstLineChars="200"/>
        <w:rPr>
          <w:rFonts w:cs="Times New Roman"/>
          <w:color w:val="0000FF"/>
        </w:rPr>
      </w:pPr>
      <w:r>
        <w:rPr>
          <w:rFonts w:eastAsia="Times New Roman" w:cs="Times New Roman"/>
          <w:color w:val="0000FF"/>
          <w:lang w:bidi="ar"/>
        </w:rPr>
        <w:t>施工活动中，人为干扰不可避免。部分具有一定食用价值以及经济价值的蛙类、蛇类、鸟类等，有可能因为施工人员的捕杀，而造成其种群中个体数量的下降，影响其种群大小。根据现状调查结果，评价区总体上开发程度较高，城镇和村庄密布，有经济和食用价值的动物大多集中分布于保护区、山地丘陵内，受施工人员活动干扰的可能性较低。但为最大限度保护评价区内的动物多样性，应严格约束施工人员对动物的捕杀行为。</w:t>
      </w:r>
    </w:p>
    <w:p w14:paraId="4916E373">
      <w:pPr>
        <w:widowControl w:val="0"/>
        <w:autoSpaceDE w:val="0"/>
        <w:autoSpaceDN w:val="0"/>
        <w:ind w:firstLine="480" w:firstLineChars="200"/>
        <w:rPr>
          <w:rFonts w:cs="Times New Roman"/>
          <w:color w:val="0000FF"/>
        </w:rPr>
      </w:pPr>
      <w:r>
        <w:rPr>
          <w:rFonts w:eastAsia="Times New Roman" w:cs="Times New Roman"/>
          <w:color w:val="0000FF"/>
          <w:lang w:bidi="ar"/>
        </w:rPr>
        <w:t>总体分析，工程对陆生动物的影响较小，为短暂、局部影响，工程结束后影响消除，不会对当地动物多样性明显的影响。</w:t>
      </w:r>
    </w:p>
    <w:p w14:paraId="771201FD">
      <w:pPr>
        <w:pStyle w:val="5"/>
        <w:rPr>
          <w:rFonts w:cs="Times New Roman"/>
          <w:color w:val="0000FF"/>
        </w:rPr>
      </w:pPr>
      <w:r>
        <w:rPr>
          <w:rFonts w:hint="eastAsia" w:cs="Times New Roman"/>
          <w:color w:val="0000FF"/>
        </w:rPr>
        <w:t>5.7</w:t>
      </w:r>
      <w:r>
        <w:rPr>
          <w:rFonts w:cs="Times New Roman"/>
          <w:color w:val="0000FF"/>
        </w:rPr>
        <w:t>.2.3 对生态系统的影响分析</w:t>
      </w:r>
    </w:p>
    <w:p w14:paraId="2832C9DB">
      <w:pPr>
        <w:ind w:firstLine="480" w:firstLineChars="200"/>
        <w:rPr>
          <w:rFonts w:cs="Times New Roman"/>
          <w:color w:val="0000FF"/>
          <w:lang w:bidi="ar"/>
        </w:rPr>
      </w:pPr>
      <w:r>
        <w:rPr>
          <w:rFonts w:cs="Times New Roman"/>
          <w:color w:val="0000FF"/>
        </w:rPr>
        <w:t>（1）对生态系统类型的影响</w:t>
      </w:r>
    </w:p>
    <w:p w14:paraId="7D33FC56">
      <w:pPr>
        <w:widowControl w:val="0"/>
        <w:autoSpaceDE w:val="0"/>
        <w:autoSpaceDN w:val="0"/>
        <w:ind w:firstLine="480" w:firstLineChars="200"/>
        <w:rPr>
          <w:rFonts w:cs="Times New Roman"/>
          <w:color w:val="0000FF"/>
        </w:rPr>
      </w:pPr>
      <w:r>
        <w:rPr>
          <w:rFonts w:cs="Times New Roman"/>
          <w:color w:val="0000FF"/>
          <w:lang w:bidi="ar"/>
        </w:rPr>
        <w:t>工程施工期有</w:t>
      </w:r>
      <w:r>
        <w:rPr>
          <w:rFonts w:hint="eastAsia" w:cs="Times New Roman"/>
          <w:color w:val="0000FF"/>
          <w:lang w:bidi="ar"/>
        </w:rPr>
        <w:t>167.15</w:t>
      </w:r>
      <w:r>
        <w:rPr>
          <w:rFonts w:cs="Times New Roman"/>
          <w:color w:val="0000FF"/>
          <w:lang w:bidi="ar"/>
        </w:rPr>
        <w:t>hm</w:t>
      </w:r>
      <w:r>
        <w:rPr>
          <w:rFonts w:cs="Times New Roman"/>
          <w:color w:val="0000FF"/>
          <w:vertAlign w:val="superscript"/>
          <w:lang w:bidi="ar"/>
        </w:rPr>
        <w:t>2</w:t>
      </w:r>
      <w:r>
        <w:rPr>
          <w:rFonts w:cs="Times New Roman"/>
          <w:color w:val="0000FF"/>
          <w:lang w:bidi="ar"/>
        </w:rPr>
        <w:t>的临时占地，涉及湿地生态系统、村镇生态系统、森林生态系统和农田生态系统四种生态系统类型。其中村镇生态系统、森林生态系统和农田生态系统的占地主要是临时堆土场。这些生态系统属人为活动非常频繁、与人类生产生活密切相关的生态系统类型，在工程结束后即可恢复至施工前的状态。有约605.2亩的沟渠因加固、疏浚、水流通常导致原有的过量生长以至堵塞沟渠的湿生和水生植被在短期内无法恢复到施工前的状况。</w:t>
      </w:r>
    </w:p>
    <w:p w14:paraId="76C0E1EB">
      <w:pPr>
        <w:ind w:firstLine="480" w:firstLineChars="200"/>
        <w:rPr>
          <w:rFonts w:cs="Times New Roman"/>
          <w:color w:val="0000FF"/>
        </w:rPr>
      </w:pPr>
      <w:r>
        <w:rPr>
          <w:rFonts w:cs="Times New Roman"/>
          <w:color w:val="0000FF"/>
        </w:rPr>
        <w:t>（2）对生态系统特有程度的影响</w:t>
      </w:r>
    </w:p>
    <w:p w14:paraId="6140EA19">
      <w:pPr>
        <w:widowControl w:val="0"/>
        <w:autoSpaceDE w:val="0"/>
        <w:autoSpaceDN w:val="0"/>
        <w:ind w:firstLine="480" w:firstLineChars="200"/>
        <w:jc w:val="both"/>
        <w:rPr>
          <w:rFonts w:cs="Times New Roman"/>
          <w:color w:val="0000FF"/>
        </w:rPr>
      </w:pPr>
      <w:r>
        <w:rPr>
          <w:rFonts w:cs="Times New Roman"/>
          <w:color w:val="0000FF"/>
          <w:lang w:bidi="ar"/>
        </w:rPr>
        <w:t>淠河灌区总体为农垦区，生态系统调查结果表明，农田生态系统占评价区总面积的</w:t>
      </w:r>
      <w:r>
        <w:rPr>
          <w:rFonts w:hint="eastAsia" w:cs="Times New Roman"/>
          <w:color w:val="0000FF"/>
          <w:lang w:bidi="ar"/>
        </w:rPr>
        <w:t>55.96</w:t>
      </w:r>
      <w:r>
        <w:rPr>
          <w:rFonts w:cs="Times New Roman"/>
          <w:color w:val="0000FF"/>
          <w:lang w:bidi="ar"/>
        </w:rPr>
        <w:t>%。与农业生产活动相关的生态系统占评价区总面积的</w:t>
      </w:r>
      <w:r>
        <w:rPr>
          <w:rFonts w:hint="eastAsia" w:cs="Times New Roman"/>
          <w:color w:val="0000FF"/>
          <w:lang w:bidi="ar"/>
        </w:rPr>
        <w:t>55.96</w:t>
      </w:r>
      <w:r>
        <w:rPr>
          <w:rFonts w:cs="Times New Roman"/>
          <w:color w:val="0000FF"/>
          <w:lang w:bidi="ar"/>
        </w:rPr>
        <w:t>%。除无法耕种的丘陵岗地之外，评价区几乎全部与农业生产有关。评价区内无特有的生态系统。因此，工程对生态系统特有程度影响总体不大。</w:t>
      </w:r>
    </w:p>
    <w:p w14:paraId="08DC1874">
      <w:pPr>
        <w:ind w:firstLine="480" w:firstLineChars="200"/>
        <w:rPr>
          <w:rFonts w:cs="Times New Roman"/>
          <w:color w:val="0000FF"/>
        </w:rPr>
      </w:pPr>
      <w:r>
        <w:rPr>
          <w:rFonts w:cs="Times New Roman"/>
          <w:color w:val="0000FF"/>
        </w:rPr>
        <w:t>（3）生态系统类型数量</w:t>
      </w:r>
    </w:p>
    <w:p w14:paraId="7754D6C1">
      <w:pPr>
        <w:ind w:firstLine="480" w:firstLineChars="200"/>
        <w:rPr>
          <w:rFonts w:cs="Times New Roman"/>
          <w:color w:val="0000FF"/>
        </w:rPr>
      </w:pPr>
      <w:r>
        <w:rPr>
          <w:rFonts w:cs="Times New Roman"/>
          <w:color w:val="0000FF"/>
        </w:rPr>
        <w:t>本工程无新增永久占地，不涉及生态系统类型面积的改变。</w:t>
      </w:r>
    </w:p>
    <w:p w14:paraId="17499A42">
      <w:pPr>
        <w:ind w:firstLine="480" w:firstLineChars="200"/>
        <w:rPr>
          <w:rFonts w:cs="Times New Roman"/>
          <w:color w:val="0000FF"/>
        </w:rPr>
      </w:pPr>
      <w:r>
        <w:rPr>
          <w:rFonts w:cs="Times New Roman"/>
          <w:color w:val="0000FF"/>
        </w:rPr>
        <w:t>（4）生态系统斑块数量</w:t>
      </w:r>
    </w:p>
    <w:p w14:paraId="26AFD7AB">
      <w:pPr>
        <w:ind w:firstLine="480" w:firstLineChars="200"/>
        <w:rPr>
          <w:rFonts w:cs="Times New Roman"/>
          <w:color w:val="0000FF"/>
        </w:rPr>
      </w:pPr>
      <w:r>
        <w:rPr>
          <w:rFonts w:cs="Times New Roman"/>
          <w:color w:val="0000FF"/>
        </w:rPr>
        <w:t>本工程无新增永久占地，不造成生态系统类型及斑块数量的减少。</w:t>
      </w:r>
    </w:p>
    <w:p w14:paraId="6B52DEE1">
      <w:pPr>
        <w:ind w:firstLine="480" w:firstLineChars="200"/>
        <w:rPr>
          <w:rFonts w:cs="Times New Roman"/>
          <w:color w:val="0000FF"/>
        </w:rPr>
      </w:pPr>
      <w:r>
        <w:rPr>
          <w:rFonts w:cs="Times New Roman"/>
          <w:color w:val="0000FF"/>
        </w:rPr>
        <w:t>（5）对生态系统连通性的影响</w:t>
      </w:r>
    </w:p>
    <w:p w14:paraId="75224282">
      <w:pPr>
        <w:widowControl w:val="0"/>
        <w:autoSpaceDE w:val="0"/>
        <w:autoSpaceDN w:val="0"/>
        <w:ind w:firstLine="480" w:firstLineChars="200"/>
        <w:rPr>
          <w:rFonts w:cs="Times New Roman"/>
          <w:color w:val="0000FF"/>
        </w:rPr>
      </w:pPr>
      <w:r>
        <w:rPr>
          <w:rFonts w:cs="Times New Roman"/>
          <w:color w:val="0000FF"/>
          <w:lang w:bidi="ar"/>
        </w:rPr>
        <w:t>迁徙鸟类多从本工程的施工区空中飞过，但如果存在夜间施工，则灯光可能会对其迁徙造成一定负面影响。</w:t>
      </w:r>
    </w:p>
    <w:p w14:paraId="2CCACF73">
      <w:pPr>
        <w:tabs>
          <w:tab w:val="left" w:pos="0"/>
        </w:tabs>
        <w:ind w:firstLine="480" w:firstLineChars="200"/>
        <w:rPr>
          <w:rFonts w:cs="Times New Roman"/>
          <w:color w:val="0000FF"/>
        </w:rPr>
      </w:pPr>
      <w:r>
        <w:rPr>
          <w:rFonts w:cs="Times New Roman"/>
          <w:color w:val="0000FF"/>
        </w:rPr>
        <w:t>（6）对重要物种的影响</w:t>
      </w:r>
    </w:p>
    <w:p w14:paraId="7424C782">
      <w:pPr>
        <w:widowControl w:val="0"/>
        <w:autoSpaceDE w:val="0"/>
        <w:autoSpaceDN w:val="0"/>
        <w:ind w:firstLine="480" w:firstLineChars="200"/>
        <w:rPr>
          <w:rFonts w:eastAsia="Times New Roman" w:cs="Times New Roman"/>
          <w:color w:val="0000FF"/>
          <w:szCs w:val="22"/>
          <w:lang w:bidi="ar"/>
        </w:rPr>
      </w:pPr>
      <w:r>
        <w:rPr>
          <w:rFonts w:cs="Times New Roman"/>
          <w:color w:val="0000FF"/>
          <w:szCs w:val="22"/>
          <w:lang w:bidi="ar"/>
        </w:rPr>
        <w:t>①</w:t>
      </w:r>
      <w:r>
        <w:rPr>
          <w:rFonts w:eastAsia="Times New Roman" w:cs="Times New Roman"/>
          <w:color w:val="0000FF"/>
          <w:szCs w:val="22"/>
          <w:lang w:bidi="ar"/>
        </w:rPr>
        <w:t>对保护植物影响分析</w:t>
      </w:r>
    </w:p>
    <w:p w14:paraId="3AD341FA">
      <w:pPr>
        <w:widowControl w:val="0"/>
        <w:autoSpaceDE w:val="0"/>
        <w:autoSpaceDN w:val="0"/>
        <w:ind w:firstLine="480" w:firstLineChars="200"/>
        <w:rPr>
          <w:rFonts w:eastAsia="Times New Roman" w:cs="Times New Roman"/>
          <w:color w:val="0000FF"/>
          <w:szCs w:val="22"/>
          <w:lang w:bidi="ar"/>
        </w:rPr>
      </w:pPr>
      <w:r>
        <w:rPr>
          <w:rFonts w:eastAsia="Times New Roman" w:cs="Times New Roman"/>
          <w:color w:val="0000FF"/>
          <w:szCs w:val="22"/>
          <w:lang w:bidi="ar"/>
        </w:rPr>
        <w:t>工程区范围仅涉及野大豆的栖息地，对其他保护植物无影响。野大豆在长江流域分布极其广泛，对其栖息地的占用是不可避免的。我国将野大豆列为重点保护野生植物，旨在保留其野生种质资源的多态性。因此，在施工前收集工程区野大豆种子，待施工后播撒回工程区可有效缓解对该种的负面影响。</w:t>
      </w:r>
    </w:p>
    <w:p w14:paraId="4196AB70">
      <w:pPr>
        <w:widowControl w:val="0"/>
        <w:autoSpaceDE w:val="0"/>
        <w:autoSpaceDN w:val="0"/>
        <w:ind w:firstLine="480" w:firstLineChars="200"/>
        <w:rPr>
          <w:rFonts w:eastAsia="Times New Roman" w:cs="Times New Roman"/>
          <w:color w:val="0000FF"/>
          <w:szCs w:val="22"/>
          <w:lang w:bidi="ar"/>
        </w:rPr>
      </w:pPr>
      <w:r>
        <w:rPr>
          <w:rFonts w:cs="Times New Roman"/>
          <w:color w:val="0000FF"/>
          <w:szCs w:val="22"/>
          <w:lang w:bidi="ar"/>
        </w:rPr>
        <w:t>②</w:t>
      </w:r>
      <w:r>
        <w:rPr>
          <w:rFonts w:eastAsia="Times New Roman" w:cs="Times New Roman"/>
          <w:color w:val="0000FF"/>
          <w:szCs w:val="22"/>
          <w:lang w:bidi="ar"/>
        </w:rPr>
        <w:t>对古树名木的影响分析</w:t>
      </w:r>
    </w:p>
    <w:p w14:paraId="1E6D0B41">
      <w:pPr>
        <w:widowControl w:val="0"/>
        <w:autoSpaceDE w:val="0"/>
        <w:autoSpaceDN w:val="0"/>
        <w:ind w:firstLine="480" w:firstLineChars="200"/>
        <w:rPr>
          <w:rFonts w:eastAsia="Times New Roman" w:cs="Times New Roman"/>
          <w:color w:val="0000FF"/>
          <w:szCs w:val="22"/>
          <w:lang w:bidi="ar"/>
        </w:rPr>
      </w:pPr>
      <w:r>
        <w:rPr>
          <w:rFonts w:eastAsia="Times New Roman" w:cs="Times New Roman"/>
          <w:color w:val="0000FF"/>
          <w:szCs w:val="22"/>
          <w:lang w:bidi="ar"/>
        </w:rPr>
        <w:t>评价范围内有挂牌古树1株，</w:t>
      </w:r>
      <w:r>
        <w:rPr>
          <w:rFonts w:cs="Times New Roman"/>
          <w:color w:val="0000FF"/>
          <w:szCs w:val="22"/>
          <w:lang w:bidi="ar"/>
        </w:rPr>
        <w:t>位于寿县安丰塘税务分局内，</w:t>
      </w:r>
      <w:r>
        <w:rPr>
          <w:rFonts w:eastAsia="Times New Roman" w:cs="Times New Roman"/>
          <w:color w:val="0000FF"/>
          <w:szCs w:val="22"/>
          <w:lang w:bidi="ar"/>
        </w:rPr>
        <w:t>不在永久占地范围内。</w:t>
      </w:r>
    </w:p>
    <w:p w14:paraId="42E94A41">
      <w:pPr>
        <w:widowControl w:val="0"/>
        <w:autoSpaceDE w:val="0"/>
        <w:autoSpaceDN w:val="0"/>
        <w:ind w:firstLine="480" w:firstLineChars="200"/>
        <w:rPr>
          <w:rFonts w:cs="Times New Roman"/>
          <w:color w:val="0000FF"/>
          <w:szCs w:val="22"/>
          <w:lang w:bidi="ar"/>
        </w:rPr>
      </w:pPr>
      <w:r>
        <w:rPr>
          <w:rFonts w:cs="Times New Roman"/>
          <w:color w:val="0000FF"/>
          <w:szCs w:val="22"/>
          <w:lang w:bidi="ar"/>
        </w:rPr>
        <w:t>施工过程中，车辆行驶及人为活动造成一定的扬尘和振动，扬尘容易</w:t>
      </w:r>
      <w:r>
        <w:rPr>
          <w:rFonts w:eastAsia="Times New Roman" w:cs="Times New Roman"/>
          <w:color w:val="0000FF"/>
          <w:szCs w:val="22"/>
          <w:lang w:bidi="ar"/>
        </w:rPr>
        <w:t>覆盖在古树叶片表面</w:t>
      </w:r>
      <w:r>
        <w:rPr>
          <w:rFonts w:cs="Times New Roman"/>
          <w:color w:val="0000FF"/>
          <w:szCs w:val="22"/>
          <w:lang w:bidi="ar"/>
        </w:rPr>
        <w:t>，施工期为枯水期，区域降雨量较少，</w:t>
      </w:r>
      <w:r>
        <w:rPr>
          <w:rFonts w:eastAsia="Times New Roman" w:cs="Times New Roman"/>
          <w:color w:val="0000FF"/>
          <w:szCs w:val="22"/>
          <w:lang w:bidi="ar"/>
        </w:rPr>
        <w:t>扬尘无法从叶片上冲洗下来，会影响古树的光合作用效率，对古树的生命活动产生一定的影响</w:t>
      </w:r>
      <w:r>
        <w:rPr>
          <w:rFonts w:cs="Times New Roman"/>
          <w:color w:val="0000FF"/>
          <w:szCs w:val="22"/>
          <w:lang w:bidi="ar"/>
        </w:rPr>
        <w:t>；车辆和施工过程的振动可能造成古树的根基松动以及树叶掉落等。</w:t>
      </w:r>
    </w:p>
    <w:p w14:paraId="56737116">
      <w:pPr>
        <w:widowControl w:val="0"/>
        <w:autoSpaceDE w:val="0"/>
        <w:autoSpaceDN w:val="0"/>
        <w:ind w:firstLine="480" w:firstLineChars="200"/>
        <w:rPr>
          <w:rFonts w:cs="Times New Roman"/>
          <w:color w:val="0000FF"/>
          <w:szCs w:val="22"/>
          <w:lang w:bidi="ar"/>
        </w:rPr>
      </w:pPr>
      <w:r>
        <w:rPr>
          <w:rFonts w:cs="Times New Roman"/>
          <w:color w:val="0000FF"/>
          <w:szCs w:val="22"/>
          <w:lang w:bidi="ar"/>
        </w:rPr>
        <w:t>挂牌古树为1棵260左右的皂荚树，位于寿县安丰塘税务分局内，分局四周均设有约3.5m高的围墙，距离最近的施工工程为戈店节制闸出口翼墙的维修加固，距离约为</w:t>
      </w:r>
      <w:r>
        <w:rPr>
          <w:rFonts w:hint="eastAsia" w:cs="Times New Roman"/>
          <w:color w:val="0000FF"/>
          <w:szCs w:val="22"/>
          <w:lang w:bidi="ar"/>
        </w:rPr>
        <w:t>270</w:t>
      </w:r>
      <w:r>
        <w:rPr>
          <w:rFonts w:cs="Times New Roman"/>
          <w:color w:val="0000FF"/>
          <w:szCs w:val="22"/>
          <w:lang w:bidi="ar"/>
        </w:rPr>
        <w:t>m，施工车辆行驶路线距离古树最近距离约为90m，考虑工程施工以及车辆行驶距离古树较远，扬尘在产生点50m范围内已沉降，振动能量大部分已衰减，且水务分局四周设有围墙，工程施工产生的扬尘和振动对古树的生产影响较小。考虑古树树龄较高，生长情况一般，建议</w:t>
      </w:r>
      <w:r>
        <w:rPr>
          <w:rFonts w:eastAsia="Times New Roman" w:cs="Times New Roman"/>
          <w:color w:val="0000FF"/>
          <w:szCs w:val="22"/>
          <w:lang w:bidi="ar"/>
        </w:rPr>
        <w:t>施工前划定施工范围，严禁越界施工，对施工人员进行宣传教育，</w:t>
      </w:r>
      <w:r>
        <w:rPr>
          <w:rFonts w:hint="eastAsia" w:cs="Times New Roman"/>
          <w:color w:val="0000FF"/>
          <w:szCs w:val="22"/>
          <w:lang w:bidi="ar"/>
        </w:rPr>
        <w:t>车辆行驶</w:t>
      </w:r>
      <w:r>
        <w:rPr>
          <w:rFonts w:cs="Times New Roman"/>
          <w:color w:val="0000FF"/>
          <w:szCs w:val="22"/>
          <w:lang w:bidi="ar"/>
        </w:rPr>
        <w:t>路过安丰塘水务分局旁时降低车辆，定期对道路区和车辆进行洒水抑尘。</w:t>
      </w:r>
    </w:p>
    <w:p w14:paraId="7C19BB0E">
      <w:pPr>
        <w:widowControl w:val="0"/>
        <w:autoSpaceDE w:val="0"/>
        <w:autoSpaceDN w:val="0"/>
        <w:ind w:firstLine="480" w:firstLineChars="200"/>
        <w:rPr>
          <w:rFonts w:eastAsia="Times New Roman" w:cs="Times New Roman"/>
          <w:color w:val="0000FF"/>
          <w:szCs w:val="22"/>
          <w:lang w:bidi="ar"/>
        </w:rPr>
      </w:pPr>
      <w:r>
        <w:rPr>
          <w:rFonts w:cs="Times New Roman"/>
          <w:color w:val="0000FF"/>
          <w:szCs w:val="22"/>
          <w:lang w:bidi="ar"/>
        </w:rPr>
        <w:t>工程施工以及</w:t>
      </w:r>
      <w:r>
        <w:rPr>
          <w:rFonts w:hint="eastAsia" w:cs="Times New Roman"/>
          <w:color w:val="0000FF"/>
          <w:szCs w:val="22"/>
          <w:lang w:bidi="ar"/>
        </w:rPr>
        <w:t>车辆行驶</w:t>
      </w:r>
      <w:r>
        <w:rPr>
          <w:rFonts w:cs="Times New Roman"/>
          <w:color w:val="0000FF"/>
          <w:szCs w:val="22"/>
          <w:lang w:bidi="ar"/>
        </w:rPr>
        <w:t>距离古树较远，施工期做好以上相关措施，对260年的皂荚树影响较小。</w:t>
      </w:r>
    </w:p>
    <w:p w14:paraId="2E0F6B7A">
      <w:pPr>
        <w:widowControl w:val="0"/>
        <w:autoSpaceDE w:val="0"/>
        <w:autoSpaceDN w:val="0"/>
        <w:adjustRightInd w:val="0"/>
        <w:jc w:val="center"/>
        <w:textAlignment w:val="center"/>
        <w:rPr>
          <w:rFonts w:eastAsia="Times New Roman" w:cs="Times New Roman"/>
          <w:color w:val="0000FF"/>
          <w:szCs w:val="22"/>
          <w:lang w:bidi="ar"/>
        </w:rPr>
      </w:pPr>
      <w:r>
        <w:rPr>
          <w:rFonts w:eastAsia="黑体" w:cs="Times New Roman"/>
          <w:color w:val="0000FF"/>
          <w:szCs w:val="22"/>
          <w:lang w:bidi="ar"/>
        </w:rPr>
        <w:t>表5-</w:t>
      </w:r>
      <w:r>
        <w:rPr>
          <w:rFonts w:hint="eastAsia" w:eastAsia="黑体" w:cs="Times New Roman"/>
          <w:color w:val="0000FF"/>
          <w:szCs w:val="22"/>
          <w:lang w:bidi="ar"/>
        </w:rPr>
        <w:t>7</w:t>
      </w:r>
      <w:r>
        <w:rPr>
          <w:rFonts w:eastAsia="黑体" w:cs="Times New Roman"/>
          <w:color w:val="0000FF"/>
          <w:szCs w:val="22"/>
          <w:lang w:bidi="ar"/>
        </w:rPr>
        <w:t>-</w:t>
      </w:r>
      <w:r>
        <w:rPr>
          <w:rFonts w:hint="eastAsia" w:eastAsia="黑体" w:cs="Times New Roman"/>
          <w:color w:val="0000FF"/>
          <w:szCs w:val="22"/>
          <w:lang w:bidi="ar"/>
        </w:rPr>
        <w:t>2</w:t>
      </w:r>
      <w:r>
        <w:rPr>
          <w:rFonts w:eastAsia="黑体" w:cs="Times New Roman"/>
          <w:color w:val="0000FF"/>
          <w:szCs w:val="22"/>
          <w:lang w:bidi="ar"/>
        </w:rPr>
        <w:t xml:space="preserve">  工程对评价区内古树的主要影响分析表</w:t>
      </w:r>
    </w:p>
    <w:tbl>
      <w:tblPr>
        <w:tblStyle w:val="16"/>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9"/>
        <w:gridCol w:w="1549"/>
        <w:gridCol w:w="3480"/>
        <w:gridCol w:w="1377"/>
        <w:gridCol w:w="1858"/>
      </w:tblGrid>
      <w:tr w14:paraId="3381B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9" w:type="pct"/>
            <w:vAlign w:val="center"/>
          </w:tcPr>
          <w:p w14:paraId="7F73F75A">
            <w:pPr>
              <w:pStyle w:val="28"/>
              <w:bidi w:val="0"/>
            </w:pPr>
            <w:r>
              <w:t>中文名</w:t>
            </w:r>
          </w:p>
        </w:tc>
        <w:tc>
          <w:tcPr>
            <w:tcW w:w="834" w:type="pct"/>
            <w:vAlign w:val="center"/>
          </w:tcPr>
          <w:p w14:paraId="08D53286">
            <w:pPr>
              <w:pStyle w:val="28"/>
              <w:bidi w:val="0"/>
            </w:pPr>
            <w:r>
              <w:t>树种拉丁名</w:t>
            </w:r>
          </w:p>
        </w:tc>
        <w:tc>
          <w:tcPr>
            <w:tcW w:w="1873" w:type="pct"/>
            <w:vAlign w:val="center"/>
          </w:tcPr>
          <w:p w14:paraId="46975C73">
            <w:pPr>
              <w:pStyle w:val="28"/>
              <w:bidi w:val="0"/>
            </w:pPr>
            <w:r>
              <w:t>与工程区位置关系</w:t>
            </w:r>
          </w:p>
        </w:tc>
        <w:tc>
          <w:tcPr>
            <w:tcW w:w="741" w:type="pct"/>
            <w:vAlign w:val="center"/>
          </w:tcPr>
          <w:p w14:paraId="2F7474F0">
            <w:pPr>
              <w:pStyle w:val="28"/>
              <w:bidi w:val="0"/>
            </w:pPr>
            <w:r>
              <w:t>主要影响</w:t>
            </w:r>
          </w:p>
        </w:tc>
        <w:tc>
          <w:tcPr>
            <w:tcW w:w="1000" w:type="pct"/>
            <w:vAlign w:val="center"/>
          </w:tcPr>
          <w:p w14:paraId="1AA3C802">
            <w:pPr>
              <w:pStyle w:val="28"/>
              <w:bidi w:val="0"/>
            </w:pPr>
            <w:r>
              <w:t>保护措施</w:t>
            </w:r>
          </w:p>
        </w:tc>
      </w:tr>
      <w:tr w14:paraId="01505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9" w:type="pct"/>
            <w:vAlign w:val="center"/>
          </w:tcPr>
          <w:p w14:paraId="2565575E">
            <w:pPr>
              <w:pStyle w:val="28"/>
              <w:bidi w:val="0"/>
            </w:pPr>
            <w:r>
              <w:t>皂荚</w:t>
            </w:r>
          </w:p>
        </w:tc>
        <w:tc>
          <w:tcPr>
            <w:tcW w:w="834" w:type="pct"/>
            <w:vAlign w:val="center"/>
          </w:tcPr>
          <w:p w14:paraId="0080B7CB">
            <w:pPr>
              <w:pStyle w:val="28"/>
              <w:bidi w:val="0"/>
            </w:pPr>
            <w:r>
              <w:t>Gleditsia sinensis Lam.</w:t>
            </w:r>
          </w:p>
        </w:tc>
        <w:tc>
          <w:tcPr>
            <w:tcW w:w="1873" w:type="pct"/>
            <w:vAlign w:val="center"/>
          </w:tcPr>
          <w:p w14:paraId="055C70AB">
            <w:pPr>
              <w:pStyle w:val="28"/>
              <w:bidi w:val="0"/>
            </w:pPr>
            <w:r>
              <w:t>位于安丰塘西北侧寿县安丰塘水务分局内，距离淠东干渠下段工程戈店节制闸出口翼墙维修加固距离约</w:t>
            </w:r>
            <w:r>
              <w:rPr>
                <w:rFonts w:hint="eastAsia"/>
              </w:rPr>
              <w:t>270</w:t>
            </w:r>
            <w:r>
              <w:t>m</w:t>
            </w:r>
          </w:p>
        </w:tc>
        <w:tc>
          <w:tcPr>
            <w:tcW w:w="741" w:type="pct"/>
            <w:vAlign w:val="center"/>
          </w:tcPr>
          <w:p w14:paraId="5CBDE7BC">
            <w:pPr>
              <w:pStyle w:val="28"/>
              <w:bidi w:val="0"/>
            </w:pPr>
            <w:r>
              <w:t>施工活动、</w:t>
            </w:r>
            <w:r>
              <w:rPr>
                <w:rFonts w:hint="eastAsia"/>
              </w:rPr>
              <w:t>车辆行驶</w:t>
            </w:r>
          </w:p>
        </w:tc>
        <w:tc>
          <w:tcPr>
            <w:tcW w:w="1000" w:type="pct"/>
            <w:vAlign w:val="center"/>
          </w:tcPr>
          <w:p w14:paraId="11554794">
            <w:pPr>
              <w:pStyle w:val="28"/>
              <w:bidi w:val="0"/>
            </w:pPr>
            <w:r>
              <w:t>就地保护</w:t>
            </w:r>
          </w:p>
        </w:tc>
      </w:tr>
    </w:tbl>
    <w:p w14:paraId="5E7A0A0A">
      <w:pPr>
        <w:widowControl w:val="0"/>
        <w:autoSpaceDE w:val="0"/>
        <w:autoSpaceDN w:val="0"/>
        <w:spacing w:line="240" w:lineRule="auto"/>
        <w:ind w:firstLine="480" w:firstLineChars="200"/>
        <w:rPr>
          <w:rFonts w:cs="Times New Roman"/>
          <w:color w:val="0000FF"/>
          <w:szCs w:val="22"/>
          <w:lang w:bidi="ar"/>
        </w:rPr>
      </w:pPr>
    </w:p>
    <w:p w14:paraId="02E70122">
      <w:pPr>
        <w:widowControl w:val="0"/>
        <w:autoSpaceDE w:val="0"/>
        <w:autoSpaceDN w:val="0"/>
        <w:ind w:firstLine="480" w:firstLineChars="200"/>
        <w:rPr>
          <w:rFonts w:eastAsia="Times New Roman" w:cs="Times New Roman"/>
          <w:color w:val="0000FF"/>
          <w:szCs w:val="22"/>
          <w:lang w:bidi="ar"/>
        </w:rPr>
      </w:pPr>
      <w:r>
        <w:rPr>
          <w:rFonts w:cs="Times New Roman"/>
          <w:color w:val="0000FF"/>
          <w:szCs w:val="22"/>
          <w:lang w:bidi="ar"/>
        </w:rPr>
        <w:t>③</w:t>
      </w:r>
      <w:r>
        <w:rPr>
          <w:rFonts w:eastAsia="Times New Roman" w:cs="Times New Roman"/>
          <w:color w:val="0000FF"/>
          <w:szCs w:val="22"/>
          <w:lang w:bidi="ar"/>
        </w:rPr>
        <w:t>对保护动物的影响分析</w:t>
      </w:r>
    </w:p>
    <w:p w14:paraId="5C30DA38">
      <w:pPr>
        <w:jc w:val="both"/>
        <w:rPr>
          <w:rFonts w:cs="Times New Roman"/>
          <w:color w:val="0000FF"/>
        </w:rPr>
      </w:pPr>
      <w:r>
        <w:rPr>
          <w:rFonts w:cs="Times New Roman"/>
          <w:color w:val="0000FF"/>
        </w:rPr>
        <w:t>根据现场调查，本工程调查范围内国家Ⅱ级保护动物有红隼、黑鸢、白胸翡翠、画眉。记录于滁河干渠、杭北干渠周边，工程不占用其栖息地，为本区域的留鸟，数量较少，为评价区鸟类群落中的稀有种。其中国家Ⅱ级重点保护野生动物及生活习性如下表。</w:t>
      </w:r>
    </w:p>
    <w:p w14:paraId="14C546A5">
      <w:pPr>
        <w:widowControl w:val="0"/>
        <w:adjustRightInd w:val="0"/>
        <w:textAlignment w:val="center"/>
        <w:rPr>
          <w:rFonts w:cs="Times New Roman"/>
          <w:color w:val="0000FF"/>
        </w:rPr>
      </w:pPr>
      <w:r>
        <w:rPr>
          <w:rFonts w:cs="Times New Roman"/>
          <w:color w:val="0000FF"/>
        </w:rPr>
        <w:t>表5-</w:t>
      </w:r>
      <w:r>
        <w:rPr>
          <w:rFonts w:hint="eastAsia" w:cs="Times New Roman"/>
          <w:color w:val="0000FF"/>
        </w:rPr>
        <w:t>7</w:t>
      </w:r>
      <w:r>
        <w:rPr>
          <w:rFonts w:cs="Times New Roman"/>
          <w:color w:val="0000FF"/>
        </w:rPr>
        <w:t>-</w:t>
      </w:r>
      <w:r>
        <w:rPr>
          <w:rFonts w:hint="eastAsia" w:cs="Times New Roman"/>
          <w:color w:val="0000FF"/>
        </w:rPr>
        <w:t>3</w:t>
      </w:r>
      <w:r>
        <w:rPr>
          <w:rFonts w:cs="Times New Roman"/>
          <w:color w:val="0000FF"/>
        </w:rPr>
        <w:t xml:space="preserve">  国家Ⅱ级重点保护野生动物及生活习性</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6"/>
        <w:gridCol w:w="7881"/>
      </w:tblGrid>
      <w:tr w14:paraId="65CFB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57" w:type="pct"/>
            <w:vAlign w:val="center"/>
          </w:tcPr>
          <w:p w14:paraId="0CA6EE70">
            <w:pPr>
              <w:pStyle w:val="28"/>
              <w:bidi w:val="0"/>
            </w:pPr>
            <w:r>
              <w:t>名称</w:t>
            </w:r>
          </w:p>
        </w:tc>
        <w:tc>
          <w:tcPr>
            <w:tcW w:w="4242" w:type="pct"/>
            <w:vAlign w:val="center"/>
          </w:tcPr>
          <w:p w14:paraId="1FC3AC92">
            <w:pPr>
              <w:pStyle w:val="28"/>
              <w:bidi w:val="0"/>
            </w:pPr>
            <w:r>
              <w:t>生活习性</w:t>
            </w:r>
          </w:p>
        </w:tc>
      </w:tr>
      <w:tr w14:paraId="47DCC2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57" w:type="pct"/>
            <w:vAlign w:val="center"/>
          </w:tcPr>
          <w:p w14:paraId="0A803659">
            <w:pPr>
              <w:pStyle w:val="28"/>
              <w:bidi w:val="0"/>
            </w:pPr>
            <w:r>
              <w:t>红隼（Falco tinnunculus）</w:t>
            </w:r>
          </w:p>
        </w:tc>
        <w:tc>
          <w:tcPr>
            <w:tcW w:w="4242" w:type="pct"/>
            <w:vAlign w:val="center"/>
          </w:tcPr>
          <w:p w14:paraId="022073D0">
            <w:pPr>
              <w:pStyle w:val="28"/>
              <w:bidi w:val="0"/>
            </w:pPr>
            <w:r>
              <w:t>中国北部繁殖的种群为夏候鸟，南部繁殖种群为留鸟。春季3月中旬至4月中旬陆续迁到北方繁殖地，10月初至10月末迁离繁殖地。迁徙时常集成小群，特别是秋季。飞翔时两翅快速地扇动，偶尔进行短暂的滑翔。栖息时多栖于空旷地区孤立的高树梢上或电线杆上。平常喜欢单独活动，尤以傍晚时最为活跃。飞翔力强，喜逆风飞翔，可快速振翅停于空中。视力敏捷，取食迅速，见地面有食物时便迅速俯冲捕捉，也可在空中捕取小型鸟类和蜻蜓等。</w:t>
            </w:r>
          </w:p>
          <w:p w14:paraId="27F1B5D7">
            <w:pPr>
              <w:pStyle w:val="28"/>
              <w:bidi w:val="0"/>
            </w:pPr>
            <w:r>
              <w:t>红隼经常在空中盘旋，搜寻地面上的老鼠、雀形目鸟类、蛙、蜥蜴、松鼠、蛇等小型脊椎动物，也吃蝗虫、蚱蜢、蟋蟀等昆虫。红隼猎食在白天，主要在空中搜寻，或在空中迎风飞翔，或低空飞行搜寻猎物，经常扇动两翅在空中作短暂停留观察猎物，一旦锁定目标，则收拢双翅俯冲而下直扑猎物，然后再从地面上突然飞起，迅速升上高空。有时则站立于悬崖岩石的高处，或旋站在树顶和电线杆上等候，等猎物出现时猛扑而食。</w:t>
            </w:r>
          </w:p>
        </w:tc>
      </w:tr>
      <w:tr w14:paraId="3D51C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57" w:type="pct"/>
            <w:vAlign w:val="center"/>
          </w:tcPr>
          <w:p w14:paraId="2AA52C43">
            <w:pPr>
              <w:pStyle w:val="28"/>
              <w:bidi w:val="0"/>
            </w:pPr>
            <w:r>
              <w:t>黑鸢</w:t>
            </w:r>
          </w:p>
          <w:p w14:paraId="5A95EA0E">
            <w:pPr>
              <w:pStyle w:val="28"/>
              <w:bidi w:val="0"/>
            </w:pPr>
            <w:r>
              <w:t>Milvus migrans</w:t>
            </w:r>
          </w:p>
        </w:tc>
        <w:tc>
          <w:tcPr>
            <w:tcW w:w="4242" w:type="pct"/>
            <w:vAlign w:val="center"/>
          </w:tcPr>
          <w:p w14:paraId="745C5E20">
            <w:pPr>
              <w:pStyle w:val="28"/>
              <w:bidi w:val="0"/>
            </w:pPr>
            <w:r>
              <w:t>是鹰科、鸢属的一种中型猛禽，共有5个亚种。体长54-69厘米。上体暗褐色，下体棕褐色，均具黑褐色羽干纹，尾较长，呈叉状，具宽度相等的黑色和褐色相间排列的横斑；飞翔时翼下左右各有一块大的白斑。雌鸟显著大于雄鸟。栖息于开阔平原、草地、荒原和低山丘陵地带。白天活动，常单独在高空飞翔，秋季有时亦呈2-3只的小群。主要以小鸟、鼠类、蛇、蛙、鱼、野兔、蜥蜴和昆虫等动物性食物为食。一般通过在空中盘旋来观察和觅找食物。分布于欧亚大陆、非洲、印度，一直到澳大利亚。</w:t>
            </w:r>
          </w:p>
        </w:tc>
      </w:tr>
      <w:tr w14:paraId="5B973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57" w:type="pct"/>
            <w:vAlign w:val="center"/>
          </w:tcPr>
          <w:p w14:paraId="64C1C946">
            <w:pPr>
              <w:pStyle w:val="28"/>
              <w:bidi w:val="0"/>
            </w:pPr>
            <w:r>
              <w:t>白胸翡翠Halcyon smyrnensis</w:t>
            </w:r>
          </w:p>
        </w:tc>
        <w:tc>
          <w:tcPr>
            <w:tcW w:w="4242" w:type="pct"/>
            <w:vAlign w:val="center"/>
          </w:tcPr>
          <w:p w14:paraId="269C8C7E">
            <w:pPr>
              <w:pStyle w:val="28"/>
              <w:bidi w:val="0"/>
            </w:pPr>
            <w:r>
              <w:t>白胸翡翠常单独活动，多站在水边树木枯枝上或石头上，有时亦站在电线上，常长时间地望着水面，以待猎食。飞行时</w:t>
            </w:r>
            <w:r>
              <w:rPr>
                <w:rFonts w:hint="eastAsia"/>
              </w:rPr>
              <w:t>呈</w:t>
            </w:r>
            <w:r>
              <w:t>直线，速度较快，常边飞边叫，叫声尖锐而响亮。白胸翡翠营巢于河岸、沟谷田坎土岩洞中，掘洞为巢，巢呈隧道状，末端扩大为巢室，巢室大小直径多为15-20厘米。巢洞深至0.5-1.2米，随土崖土质松软、打洞困难与否而有较大变化。白胸翡翠主要以鱼、蟹、软体动物和水生昆虫为食，也吃蚱蜢、蝗虫、甲虫、鳞翅目、直翅目、鞘翅目和膜翅目昆虫及幼虫等陆栖昆虫和蛙、蛇、鼠类等小型陆栖脊椎动物。</w:t>
            </w:r>
          </w:p>
        </w:tc>
      </w:tr>
      <w:tr w14:paraId="1E940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57" w:type="pct"/>
            <w:vAlign w:val="center"/>
          </w:tcPr>
          <w:p w14:paraId="1D3FEC17">
            <w:pPr>
              <w:pStyle w:val="28"/>
              <w:bidi w:val="0"/>
            </w:pPr>
            <w:r>
              <w:t>画眉</w:t>
            </w:r>
          </w:p>
          <w:p w14:paraId="40826BDA">
            <w:pPr>
              <w:pStyle w:val="28"/>
              <w:bidi w:val="0"/>
            </w:pPr>
            <w:r>
              <w:t>Garrulax canorus</w:t>
            </w:r>
          </w:p>
        </w:tc>
        <w:tc>
          <w:tcPr>
            <w:tcW w:w="4242" w:type="pct"/>
            <w:vAlign w:val="center"/>
          </w:tcPr>
          <w:p w14:paraId="1382EC6F">
            <w:pPr>
              <w:pStyle w:val="28"/>
              <w:bidi w:val="0"/>
            </w:pPr>
            <w:r>
              <w:t>留鸟，生活在山林地区，常单独或成对活动，偶尔也结成小群。性胆怯而机敏，平时多隐匿于茂密的灌木丛和杂草丛中，喜在灌丛中穿飞和栖息，不时地上到树枝间跳跃、飞翔。如遇惊扰，立刻下到灌丛下，然后再沿地面逃至他处，紧迫时也直接起飞，而且飞行迅速，但飞不多远又落下，飞行不持久，一般也不远飞。常在林下的草丛中觅食，不善作远距离飞翔。声音善鸣唱，从早到晚几乎唱个不停，鸣声婉转动听，特别是繁殖季节，雄鸟尤为善唱，鸣声亦更加悠扬婉转，悦耳动听和富有变化，尾音略似</w:t>
            </w:r>
            <w:r>
              <w:rPr>
                <w:rFonts w:hint="eastAsia"/>
              </w:rPr>
              <w:t>“</w:t>
            </w:r>
            <w:r>
              <w:t>mo-gi-yiu-</w:t>
            </w:r>
            <w:r>
              <w:rPr>
                <w:rFonts w:hint="eastAsia"/>
              </w:rPr>
              <w:t>”</w:t>
            </w:r>
            <w:r>
              <w:t>，因而古人称其叫声为</w:t>
            </w:r>
            <w:r>
              <w:rPr>
                <w:rFonts w:hint="eastAsia"/>
              </w:rPr>
              <w:t>“</w:t>
            </w:r>
            <w:r>
              <w:t>如意如意</w:t>
            </w:r>
            <w:r>
              <w:rPr>
                <w:rFonts w:hint="eastAsia"/>
              </w:rPr>
              <w:t>”</w:t>
            </w:r>
            <w:r>
              <w:t>。食性杂食性，但全年食物以昆虫为主，尤其在繁殖季节，其中大部分是农林害虫，包括蝗虫、椿象、松毛虫、金龟甲、鳞翅目的天社蛾幼虫和其他蛾类的幼虫等，都是它的捕捉对象。植物性食物主要为种子、果实、草籽、野果、草莓等。在繁殖季节，亲鸟为了喂养雏鸟，大量捕捉昆虫。在非繁殖季节，</w:t>
            </w:r>
            <w:r>
              <w:rPr>
                <w:rFonts w:hint="eastAsia"/>
              </w:rPr>
              <w:t>“</w:t>
            </w:r>
            <w:r>
              <w:t>立秋</w:t>
            </w:r>
            <w:r>
              <w:rPr>
                <w:rFonts w:hint="eastAsia"/>
              </w:rPr>
              <w:t>”</w:t>
            </w:r>
            <w:r>
              <w:t>之后，昆虫渐少，就以各种植物果实、杂草种子或嫩菜为食。在山区，霜雪天气来临之前，画眉还将采集来的果实、种子，收藏于地洞或山石岩边的地下，作为越冬的粮食。所以山区农民有谚语说：</w:t>
            </w:r>
            <w:r>
              <w:rPr>
                <w:rFonts w:hint="eastAsia"/>
              </w:rPr>
              <w:t>“</w:t>
            </w:r>
            <w:r>
              <w:t>画眉多藏粮，大雪下得长。</w:t>
            </w:r>
            <w:r>
              <w:rPr>
                <w:rFonts w:hint="eastAsia"/>
              </w:rPr>
              <w:t>”</w:t>
            </w:r>
            <w:r>
              <w:t>在早春季节，也偶啄食豆类作物及玉米的幼苗。</w:t>
            </w:r>
          </w:p>
        </w:tc>
      </w:tr>
    </w:tbl>
    <w:p w14:paraId="5A4B8450">
      <w:pPr>
        <w:spacing w:line="240" w:lineRule="auto"/>
        <w:ind w:left="-13" w:right="4" w:firstLine="480"/>
        <w:rPr>
          <w:rFonts w:cs="Times New Roman"/>
          <w:color w:val="0000FF"/>
        </w:rPr>
      </w:pPr>
    </w:p>
    <w:p w14:paraId="5A380ACD">
      <w:pPr>
        <w:spacing w:line="367" w:lineRule="auto"/>
        <w:ind w:left="-13" w:right="4" w:firstLine="480"/>
        <w:rPr>
          <w:rFonts w:cs="Times New Roman"/>
          <w:color w:val="0000FF"/>
        </w:rPr>
      </w:pPr>
      <w:r>
        <w:rPr>
          <w:rFonts w:hint="eastAsia" w:cs="Times New Roman"/>
          <w:color w:val="0000FF"/>
          <w:lang w:eastAsia="zh-CN"/>
        </w:rPr>
        <w:t>朱集灌区</w:t>
      </w:r>
      <w:r>
        <w:rPr>
          <w:rFonts w:cs="Times New Roman"/>
          <w:color w:val="0000FF"/>
        </w:rPr>
        <w:t>环境良好，其生态环境和适宜的夏季气候，对鸟类到很大的保护作用，为众多留鸟和夏候鸟的生存和繁殖提供理想的栖息地。</w:t>
      </w:r>
    </w:p>
    <w:p w14:paraId="374CA54C">
      <w:pPr>
        <w:spacing w:line="367" w:lineRule="auto"/>
        <w:ind w:left="-13" w:right="4" w:firstLine="480"/>
        <w:rPr>
          <w:rFonts w:cs="Times New Roman"/>
          <w:bCs/>
          <w:snapToGrid w:val="0"/>
          <w:color w:val="0000FF"/>
          <w:lang w:val="zh-CN"/>
        </w:rPr>
      </w:pPr>
      <w:r>
        <w:rPr>
          <w:rFonts w:cs="Times New Roman"/>
          <w:color w:val="0000FF"/>
        </w:rPr>
        <w:t>在调查过程发现，渠道治理工程临时占地多集中在渠道沿岸，这会导致渠道边农田环境发生改变，因此会对生活在农田区的鸟类产生一定影响，导致其栖息地面积减少，可能会使其种类和数量造成短暂性减少；而该工程对林地、居民区等地域造成影响较小，即林鸟和周边居民区等地的鸟类所受影响较小。工程占地和施工活动可能导致其生境范围缩小，对其产生干扰影响。由于鸟类机警性较高，活动、觅食范围较广，适应能力和规避危险能力较强，在受到不利影响后，一般会主动向周边适宜生境中迁移，因此工程施工建设活动不会对其生存和觅食产生明显影响</w:t>
      </w:r>
      <w:r>
        <w:rPr>
          <w:rFonts w:cs="Times New Roman"/>
          <w:bCs/>
          <w:snapToGrid w:val="0"/>
          <w:color w:val="0000FF"/>
          <w:lang w:val="zh-CN"/>
        </w:rPr>
        <w:t>。</w:t>
      </w:r>
    </w:p>
    <w:p w14:paraId="0167AA35">
      <w:pPr>
        <w:pStyle w:val="4"/>
        <w:rPr>
          <w:rFonts w:cs="Times New Roman"/>
          <w:color w:val="0000FF"/>
        </w:rPr>
      </w:pPr>
      <w:r>
        <w:rPr>
          <w:rFonts w:hint="eastAsia" w:cs="Times New Roman"/>
          <w:color w:val="0000FF"/>
        </w:rPr>
        <w:t>5.7</w:t>
      </w:r>
      <w:r>
        <w:rPr>
          <w:rFonts w:cs="Times New Roman"/>
          <w:color w:val="0000FF"/>
        </w:rPr>
        <w:t>.3 水生生态环境影响预测与评价</w:t>
      </w:r>
    </w:p>
    <w:p w14:paraId="42AE621E">
      <w:pPr>
        <w:pStyle w:val="5"/>
        <w:rPr>
          <w:rFonts w:cs="Times New Roman"/>
          <w:color w:val="0000FF"/>
        </w:rPr>
      </w:pPr>
      <w:r>
        <w:rPr>
          <w:rFonts w:hint="eastAsia" w:cs="Times New Roman"/>
          <w:color w:val="0000FF"/>
        </w:rPr>
        <w:t>5.7</w:t>
      </w:r>
      <w:r>
        <w:rPr>
          <w:rFonts w:cs="Times New Roman"/>
          <w:color w:val="0000FF"/>
        </w:rPr>
        <w:t>.3.1 施工期水生生态影响</w:t>
      </w:r>
    </w:p>
    <w:p w14:paraId="195995B3">
      <w:pPr>
        <w:widowControl w:val="0"/>
        <w:autoSpaceDE w:val="0"/>
        <w:autoSpaceDN w:val="0"/>
        <w:ind w:firstLine="480" w:firstLineChars="200"/>
        <w:rPr>
          <w:rFonts w:cs="Times New Roman"/>
          <w:color w:val="0000FF"/>
        </w:rPr>
      </w:pPr>
      <w:r>
        <w:rPr>
          <w:rFonts w:cs="Times New Roman"/>
          <w:color w:val="0000FF"/>
        </w:rPr>
        <w:t>（1）主要涉水工程施工方式</w:t>
      </w:r>
    </w:p>
    <w:p w14:paraId="4724D3A1">
      <w:pPr>
        <w:widowControl w:val="0"/>
        <w:autoSpaceDE w:val="0"/>
        <w:autoSpaceDN w:val="0"/>
        <w:ind w:firstLine="480" w:firstLineChars="200"/>
        <w:rPr>
          <w:rFonts w:cs="Times New Roman"/>
          <w:color w:val="0000FF"/>
        </w:rPr>
      </w:pPr>
      <w:r>
        <w:rPr>
          <w:rFonts w:eastAsia="Times New Roman" w:cs="Times New Roman"/>
          <w:color w:val="0000FF"/>
          <w:lang w:bidi="ar"/>
        </w:rPr>
        <w:t>本工程</w:t>
      </w:r>
      <w:r>
        <w:rPr>
          <w:rFonts w:cs="Times New Roman"/>
          <w:color w:val="0000FF"/>
          <w:lang w:bidi="ar"/>
        </w:rPr>
        <w:t>涉水工程主要是需</w:t>
      </w:r>
      <w:r>
        <w:rPr>
          <w:rFonts w:eastAsia="Times New Roman" w:cs="Times New Roman"/>
          <w:color w:val="0000FF"/>
          <w:lang w:bidi="ar"/>
        </w:rPr>
        <w:t>施工导流的项目</w:t>
      </w:r>
      <w:r>
        <w:rPr>
          <w:rFonts w:cs="Times New Roman"/>
          <w:color w:val="0000FF"/>
          <w:lang w:bidi="ar"/>
        </w:rPr>
        <w:t>，</w:t>
      </w:r>
      <w:r>
        <w:rPr>
          <w:rFonts w:eastAsia="Times New Roman" w:cs="Times New Roman"/>
          <w:color w:val="0000FF"/>
          <w:lang w:bidi="ar"/>
        </w:rPr>
        <w:t>主要有：渠道治理、水闸、渡槽、渠下涵、放水涵等渠系建筑物</w:t>
      </w:r>
      <w:r>
        <w:rPr>
          <w:rFonts w:cs="Times New Roman"/>
          <w:color w:val="0000FF"/>
          <w:lang w:bidi="ar"/>
        </w:rPr>
        <w:t>，除渠下涵及渡槽部分采用导流涵管外，其余均采用</w:t>
      </w:r>
      <w:r>
        <w:rPr>
          <w:rFonts w:eastAsia="Times New Roman" w:cs="Times New Roman"/>
          <w:color w:val="0000FF"/>
          <w:lang w:bidi="ar"/>
        </w:rPr>
        <w:t>构筑围堰的方式施工导流</w:t>
      </w:r>
      <w:r>
        <w:rPr>
          <w:rFonts w:cs="Times New Roman"/>
          <w:color w:val="0000FF"/>
          <w:lang w:bidi="ar"/>
        </w:rPr>
        <w:t>。</w:t>
      </w:r>
    </w:p>
    <w:p w14:paraId="089738E6">
      <w:pPr>
        <w:widowControl w:val="0"/>
        <w:autoSpaceDE w:val="0"/>
        <w:autoSpaceDN w:val="0"/>
        <w:ind w:firstLine="480" w:firstLineChars="200"/>
        <w:rPr>
          <w:rFonts w:cs="Times New Roman"/>
          <w:color w:val="0000FF"/>
        </w:rPr>
      </w:pPr>
      <w:r>
        <w:rPr>
          <w:rFonts w:cs="Times New Roman"/>
          <w:color w:val="0000FF"/>
          <w:lang w:bidi="ar"/>
        </w:rPr>
        <w:t>1</w:t>
      </w:r>
      <w:r>
        <w:rPr>
          <w:rFonts w:eastAsia="Times New Roman" w:cs="Times New Roman"/>
          <w:color w:val="0000FF"/>
          <w:lang w:bidi="ar"/>
        </w:rPr>
        <w:t>）渡槽、渠下涵工程</w:t>
      </w:r>
    </w:p>
    <w:p w14:paraId="47FD58F6">
      <w:pPr>
        <w:widowControl w:val="0"/>
        <w:autoSpaceDE w:val="0"/>
        <w:autoSpaceDN w:val="0"/>
        <w:ind w:firstLine="480"/>
        <w:rPr>
          <w:rFonts w:cs="Times New Roman"/>
          <w:color w:val="0000FF"/>
        </w:rPr>
      </w:pPr>
      <w:r>
        <w:rPr>
          <w:rFonts w:eastAsia="Times New Roman" w:cs="Times New Roman"/>
          <w:color w:val="0000FF"/>
          <w:szCs w:val="22"/>
          <w:lang w:bidi="ar"/>
        </w:rPr>
        <w:t>渡槽跨越的均为小支流或一些季节性河流，枯水期流量较小，拟结合施工临时道路填筑围堰并埋设涵管导流。其中渡槽位于河槽内槽墩采用筑岛法施工。</w:t>
      </w:r>
    </w:p>
    <w:p w14:paraId="62DA7579">
      <w:pPr>
        <w:widowControl w:val="0"/>
        <w:autoSpaceDE w:val="0"/>
        <w:autoSpaceDN w:val="0"/>
        <w:ind w:firstLine="480" w:firstLineChars="200"/>
        <w:rPr>
          <w:rFonts w:cs="Times New Roman"/>
          <w:color w:val="0000FF"/>
        </w:rPr>
      </w:pPr>
      <w:r>
        <w:rPr>
          <w:rFonts w:eastAsia="Times New Roman" w:cs="Times New Roman"/>
          <w:color w:val="0000FF"/>
          <w:szCs w:val="22"/>
          <w:lang w:bidi="ar"/>
        </w:rPr>
        <w:t>渠下涵一般布置在较小的河、沟、山冲等处，施工期间流量很小，拟采用在基坑一侧埋设涵管的方式导流</w:t>
      </w:r>
      <w:r>
        <w:rPr>
          <w:rFonts w:cs="Times New Roman"/>
          <w:color w:val="0000FF"/>
          <w:szCs w:val="22"/>
          <w:lang w:bidi="ar"/>
        </w:rPr>
        <w:t>，樊通桥渠下涵考虑淠河总干渠穿越难度较大，采用铺设导流管的方式导流</w:t>
      </w:r>
      <w:r>
        <w:rPr>
          <w:rFonts w:eastAsia="Times New Roman" w:cs="Times New Roman"/>
          <w:color w:val="0000FF"/>
          <w:szCs w:val="22"/>
          <w:lang w:bidi="ar"/>
        </w:rPr>
        <w:t>。</w:t>
      </w:r>
    </w:p>
    <w:p w14:paraId="3E5301A3">
      <w:pPr>
        <w:widowControl w:val="0"/>
        <w:autoSpaceDE w:val="0"/>
        <w:autoSpaceDN w:val="0"/>
        <w:adjustRightInd w:val="0"/>
        <w:snapToGrid w:val="0"/>
        <w:ind w:firstLine="482"/>
        <w:rPr>
          <w:color w:val="0000FF"/>
        </w:rPr>
      </w:pPr>
      <w:r>
        <w:rPr>
          <w:color w:val="0000FF"/>
          <w:szCs w:val="22"/>
          <w:lang w:bidi="ar"/>
        </w:rPr>
        <w:t>2</w:t>
      </w:r>
      <w:r>
        <w:rPr>
          <w:rFonts w:eastAsia="Times New Roman"/>
          <w:color w:val="0000FF"/>
          <w:szCs w:val="22"/>
          <w:lang w:bidi="ar"/>
        </w:rPr>
        <w:t>）渠道治理</w:t>
      </w:r>
    </w:p>
    <w:p w14:paraId="59DD2FBD">
      <w:pPr>
        <w:widowControl w:val="0"/>
        <w:autoSpaceDE w:val="0"/>
        <w:autoSpaceDN w:val="0"/>
        <w:adjustRightInd w:val="0"/>
        <w:snapToGrid w:val="0"/>
        <w:ind w:firstLine="482"/>
        <w:rPr>
          <w:color w:val="0000FF"/>
        </w:rPr>
      </w:pPr>
      <w:r>
        <w:rPr>
          <w:rFonts w:eastAsia="Times New Roman"/>
          <w:color w:val="0000FF"/>
          <w:szCs w:val="22"/>
          <w:lang w:bidi="ar"/>
        </w:rPr>
        <w:t>渠道治理水下工程施工时，关闭渠道上游进水闸、节制闸拦挡上游来水，区间来水通过现有或新建的泄水建筑物下泄，少量积水通过水泵排干或利用护坡基槽开挖的土方就近堆放在外侧形成挡水土埂，为水下工程创造旱地施工的条件。</w:t>
      </w:r>
    </w:p>
    <w:p w14:paraId="7FDF1260">
      <w:pPr>
        <w:widowControl w:val="0"/>
        <w:autoSpaceDE w:val="0"/>
        <w:autoSpaceDN w:val="0"/>
        <w:adjustRightInd w:val="0"/>
        <w:snapToGrid w:val="0"/>
        <w:ind w:firstLine="482"/>
        <w:rPr>
          <w:color w:val="0000FF"/>
        </w:rPr>
      </w:pPr>
      <w:r>
        <w:rPr>
          <w:color w:val="0000FF"/>
          <w:szCs w:val="22"/>
          <w:lang w:bidi="ar"/>
        </w:rPr>
        <w:t>3</w:t>
      </w:r>
      <w:r>
        <w:rPr>
          <w:rFonts w:eastAsia="Times New Roman"/>
          <w:color w:val="0000FF"/>
          <w:szCs w:val="22"/>
          <w:lang w:bidi="ar"/>
        </w:rPr>
        <w:t>）水闸</w:t>
      </w:r>
    </w:p>
    <w:p w14:paraId="4C9A7066">
      <w:pPr>
        <w:widowControl w:val="0"/>
        <w:autoSpaceDE w:val="0"/>
        <w:autoSpaceDN w:val="0"/>
        <w:ind w:firstLine="480" w:firstLineChars="200"/>
        <w:rPr>
          <w:color w:val="0000FF"/>
        </w:rPr>
      </w:pPr>
      <w:r>
        <w:rPr>
          <w:rFonts w:eastAsia="Times New Roman"/>
          <w:color w:val="0000FF"/>
          <w:lang w:bidi="ar"/>
        </w:rPr>
        <w:t>对于更新改造渠段上的水闸工程，施工期主要防止上下游降雨汇水等进入基坑。总干渠上</w:t>
      </w:r>
      <w:r>
        <w:rPr>
          <w:color w:val="0000FF"/>
          <w:lang w:bidi="ar"/>
        </w:rPr>
        <w:t>水闸翼墙</w:t>
      </w:r>
      <w:r>
        <w:rPr>
          <w:rFonts w:eastAsia="Times New Roman"/>
          <w:color w:val="0000FF"/>
          <w:lang w:bidi="ar"/>
        </w:rPr>
        <w:t>施工前通过填筑进口侧半包围型式围堰挡水，上游来水经原渠道导流至下游；其他渠道上进水闸、泄洪闸施工前通过填筑上游跨渠围堰挡水，节制闸施工前通过填筑上下游跨渠围堰挡水，上游来水通过渠道调蓄或沿渠的泄洪闸、放水涵、支渠进水闸等下泄。各渠段上的泄水建筑物应错开时段施工，确保施工时每个排水区上游降雨汇水等能通过围堰拦蓄或泄排水通道下泄。</w:t>
      </w:r>
    </w:p>
    <w:p w14:paraId="104A0E99">
      <w:pPr>
        <w:widowControl w:val="0"/>
        <w:autoSpaceDE w:val="0"/>
        <w:autoSpaceDN w:val="0"/>
        <w:adjustRightInd w:val="0"/>
        <w:snapToGrid w:val="0"/>
        <w:ind w:firstLine="482"/>
        <w:rPr>
          <w:color w:val="0000FF"/>
        </w:rPr>
      </w:pPr>
      <w:r>
        <w:rPr>
          <w:color w:val="0000FF"/>
          <w:lang w:bidi="ar"/>
        </w:rPr>
        <w:t>4</w:t>
      </w:r>
      <w:r>
        <w:rPr>
          <w:rFonts w:eastAsia="Times New Roman"/>
          <w:color w:val="0000FF"/>
          <w:lang w:bidi="ar"/>
        </w:rPr>
        <w:t>）其它建筑物</w:t>
      </w:r>
    </w:p>
    <w:p w14:paraId="3DF33AEB">
      <w:pPr>
        <w:widowControl w:val="0"/>
        <w:autoSpaceDE w:val="0"/>
        <w:autoSpaceDN w:val="0"/>
        <w:adjustRightInd w:val="0"/>
        <w:snapToGrid w:val="0"/>
        <w:ind w:firstLine="482"/>
        <w:rPr>
          <w:color w:val="0000FF"/>
        </w:rPr>
      </w:pPr>
      <w:r>
        <w:rPr>
          <w:rFonts w:eastAsia="Times New Roman"/>
          <w:color w:val="0000FF"/>
          <w:szCs w:val="22"/>
          <w:lang w:bidi="ar"/>
        </w:rPr>
        <w:t>其它建筑物包括提水泵站、放水涵、各类桥梁（机耕桥、人行桥等）和过路涵等。</w:t>
      </w:r>
      <w:r>
        <w:rPr>
          <w:color w:val="0000FF"/>
          <w:szCs w:val="22"/>
          <w:lang w:bidi="ar"/>
        </w:rPr>
        <w:t>部分干渠上的放水涵工程采用围堰在涵口挡水，其他渠道</w:t>
      </w:r>
      <w:r>
        <w:rPr>
          <w:rFonts w:eastAsia="Times New Roman"/>
          <w:color w:val="0000FF"/>
          <w:szCs w:val="22"/>
          <w:lang w:bidi="ar"/>
        </w:rPr>
        <w:t>考虑到建筑物水下工程量均较小，施工期很短，施工时主要利用基坑开挖临时堆放于渠道内的土料拦挡少量上游来水，区间来水通过上游渠道拦蓄或区间泄水建筑物（如放水涵、泄（退）水闸、支渠进水闸等）下泄。施工时每条渠道的泄水建筑物应错开时段施工，遇来水较大时可暂停施工，退水后复工。</w:t>
      </w:r>
    </w:p>
    <w:p w14:paraId="768EC6C9">
      <w:pPr>
        <w:widowControl w:val="0"/>
        <w:autoSpaceDE w:val="0"/>
        <w:autoSpaceDN w:val="0"/>
        <w:ind w:firstLine="480" w:firstLineChars="200"/>
        <w:rPr>
          <w:color w:val="0000FF"/>
        </w:rPr>
      </w:pPr>
      <w:r>
        <w:rPr>
          <w:rFonts w:eastAsia="Times New Roman"/>
          <w:color w:val="0000FF"/>
          <w:szCs w:val="22"/>
          <w:lang w:bidi="ar"/>
        </w:rPr>
        <w:t>本工程需要导流的项目主要集中在总干渠</w:t>
      </w:r>
      <w:r>
        <w:rPr>
          <w:color w:val="0000FF"/>
          <w:szCs w:val="22"/>
          <w:lang w:bidi="ar"/>
        </w:rPr>
        <w:t>和干渠上</w:t>
      </w:r>
      <w:r>
        <w:rPr>
          <w:rFonts w:eastAsia="Times New Roman"/>
          <w:color w:val="0000FF"/>
          <w:szCs w:val="22"/>
          <w:lang w:bidi="ar"/>
        </w:rPr>
        <w:t>，合理安排施工顺序可以满足施工导流，其他渠道通过关闭进水闸可以满足干地施工</w:t>
      </w:r>
      <w:r>
        <w:rPr>
          <w:color w:val="0000FF"/>
          <w:szCs w:val="22"/>
          <w:lang w:bidi="ar"/>
        </w:rPr>
        <w:t>，对水生生态系统影响较小。</w:t>
      </w:r>
    </w:p>
    <w:p w14:paraId="5792FB6C">
      <w:pPr>
        <w:widowControl w:val="0"/>
        <w:autoSpaceDE w:val="0"/>
        <w:autoSpaceDN w:val="0"/>
        <w:ind w:firstLine="480" w:firstLineChars="200"/>
        <w:rPr>
          <w:rFonts w:cs="Times New Roman"/>
          <w:color w:val="0000FF"/>
        </w:rPr>
      </w:pPr>
      <w:r>
        <w:rPr>
          <w:rFonts w:cs="Times New Roman"/>
          <w:color w:val="0000FF"/>
        </w:rPr>
        <w:t>（2）浮游植物的影响</w:t>
      </w:r>
    </w:p>
    <w:p w14:paraId="1CEAB16B">
      <w:pPr>
        <w:widowControl w:val="0"/>
        <w:autoSpaceDE w:val="0"/>
        <w:autoSpaceDN w:val="0"/>
        <w:ind w:firstLine="480" w:firstLineChars="200"/>
        <w:rPr>
          <w:rFonts w:cs="Times New Roman"/>
          <w:color w:val="0000FF"/>
          <w:lang w:bidi="ar"/>
        </w:rPr>
      </w:pPr>
      <w:r>
        <w:rPr>
          <w:rFonts w:eastAsia="Times New Roman" w:cs="Times New Roman"/>
          <w:color w:val="0000FF"/>
          <w:lang w:bidi="ar"/>
        </w:rPr>
        <w:t>工程建设施工期对评价区域河段浮游植物的影响主要是来自工程建设中围堰施工</w:t>
      </w:r>
      <w:r>
        <w:rPr>
          <w:rFonts w:cs="Times New Roman"/>
          <w:color w:val="0000FF"/>
          <w:lang w:bidi="ar"/>
        </w:rPr>
        <w:t>及渡槽场内施工道路施工</w:t>
      </w:r>
      <w:r>
        <w:rPr>
          <w:rFonts w:eastAsia="Times New Roman" w:cs="Times New Roman"/>
          <w:color w:val="0000FF"/>
          <w:lang w:bidi="ar"/>
        </w:rPr>
        <w:t>所引起的水质污染</w:t>
      </w:r>
      <w:r>
        <w:rPr>
          <w:rFonts w:cs="Times New Roman"/>
          <w:color w:val="0000FF"/>
          <w:lang w:bidi="ar"/>
        </w:rPr>
        <w:t>，</w:t>
      </w:r>
      <w:r>
        <w:rPr>
          <w:rFonts w:eastAsia="Times New Roman" w:cs="Times New Roman"/>
          <w:color w:val="0000FF"/>
          <w:lang w:bidi="ar"/>
        </w:rPr>
        <w:t>改变了原有水环境</w:t>
      </w:r>
      <w:r>
        <w:rPr>
          <w:rFonts w:cs="Times New Roman"/>
          <w:color w:val="0000FF"/>
          <w:lang w:bidi="ar"/>
        </w:rPr>
        <w:t>。</w:t>
      </w:r>
    </w:p>
    <w:p w14:paraId="7E31E629">
      <w:pPr>
        <w:widowControl w:val="0"/>
        <w:autoSpaceDE w:val="0"/>
        <w:autoSpaceDN w:val="0"/>
        <w:ind w:firstLine="480" w:firstLineChars="200"/>
        <w:rPr>
          <w:rFonts w:cs="Times New Roman"/>
          <w:color w:val="0000FF"/>
        </w:rPr>
      </w:pPr>
      <w:r>
        <w:rPr>
          <w:rFonts w:eastAsia="Times New Roman" w:cs="Times New Roman"/>
          <w:color w:val="0000FF"/>
          <w:lang w:bidi="ar"/>
        </w:rPr>
        <w:t>围堰的填筑、</w:t>
      </w:r>
      <w:r>
        <w:rPr>
          <w:rFonts w:cs="Times New Roman"/>
          <w:color w:val="0000FF"/>
          <w:lang w:bidi="ar"/>
        </w:rPr>
        <w:t>拆除及施工道路的修建、拆除</w:t>
      </w:r>
      <w:r>
        <w:rPr>
          <w:rFonts w:eastAsia="Times New Roman" w:cs="Times New Roman"/>
          <w:color w:val="0000FF"/>
          <w:lang w:bidi="ar"/>
        </w:rPr>
        <w:t>使得局部水域中悬浮物浓度短时间内升高，短时间内会造成部分浮游生物因水体理化性质恶化而出现减少；同时，水中悬浮物浓度升高降低了水体的透光率，光强的减少阻碍了部分藻类等浮游植物的光合作用，降低了浮游植物等初级生产者的生产力，使得浮游植物等初级生产者生物总量出现下降。</w:t>
      </w:r>
    </w:p>
    <w:p w14:paraId="6E7980E6">
      <w:pPr>
        <w:widowControl w:val="0"/>
        <w:autoSpaceDE w:val="0"/>
        <w:autoSpaceDN w:val="0"/>
        <w:ind w:firstLine="480" w:firstLineChars="200"/>
        <w:rPr>
          <w:rFonts w:cs="Times New Roman"/>
          <w:color w:val="0000FF"/>
        </w:rPr>
      </w:pPr>
      <w:r>
        <w:rPr>
          <w:rFonts w:eastAsia="Times New Roman" w:cs="Times New Roman"/>
          <w:color w:val="0000FF"/>
          <w:lang w:bidi="ar"/>
        </w:rPr>
        <w:t>本工程施工期涉水水域范围较小，影响时段较短，工程施工期对浮游植物的影响是局部的、暂时的影响，浮游植物适应环境的能力很强，施工建设可能会降低施工区域小范围内浮游植物的生物量，不会对整个评价区域浮游植物的整体种类、结构组成造成影响，只是对局部的数量有一定的影响，且这种影响是暂时的。随着施工的结束浮游植物的资源量等会逐渐得到恢复。</w:t>
      </w:r>
    </w:p>
    <w:p w14:paraId="0A5917B0">
      <w:pPr>
        <w:widowControl w:val="0"/>
        <w:autoSpaceDE w:val="0"/>
        <w:autoSpaceDN w:val="0"/>
        <w:ind w:firstLine="480" w:firstLineChars="200"/>
        <w:rPr>
          <w:rFonts w:cs="Times New Roman"/>
          <w:color w:val="0000FF"/>
        </w:rPr>
      </w:pPr>
      <w:r>
        <w:rPr>
          <w:rFonts w:cs="Times New Roman"/>
          <w:color w:val="0000FF"/>
        </w:rPr>
        <w:t>（3）浮游动物的影响</w:t>
      </w:r>
    </w:p>
    <w:p w14:paraId="2B18E567">
      <w:pPr>
        <w:widowControl w:val="0"/>
        <w:autoSpaceDE w:val="0"/>
        <w:autoSpaceDN w:val="0"/>
        <w:ind w:firstLine="480" w:firstLineChars="200"/>
        <w:rPr>
          <w:rFonts w:cs="Times New Roman"/>
          <w:color w:val="0000FF"/>
        </w:rPr>
      </w:pPr>
      <w:r>
        <w:rPr>
          <w:rFonts w:eastAsia="Times New Roman" w:cs="Times New Roman"/>
          <w:color w:val="0000FF"/>
          <w:lang w:bidi="ar"/>
        </w:rPr>
        <w:t>工程施工期对浮游动物最主要的影响是施工活动产生的悬浮物增加了水体的浑浊度，悬浮物浓度的增加会影响到浮游动物的摄食率、生长率、存活率和群落结构等方面。根据有关实验结论，水中过量的悬浮物会堵塞桡足类等浮游动物的食物过滤系统和消化器官，尤以悬浮物浓度达到300mg/L以上、悬浮物为粘性淤泥时为甚，如只能分辨颗粒大小的滤食性浮游动物，可能会摄入大量的泥砂，造成其内部系统紊乱而亡；水中悬浮物浓度的增加会对桡足类等浮游动物的繁殖和存活存在显著的抑制，可能会因为水体的透明度降低，造成其生活习性的混乱，</w:t>
      </w:r>
      <w:r>
        <w:rPr>
          <w:rFonts w:hint="eastAsia" w:cs="Times New Roman"/>
          <w:color w:val="0000FF"/>
          <w:lang w:bidi="ar"/>
        </w:rPr>
        <w:t>继而</w:t>
      </w:r>
      <w:r>
        <w:rPr>
          <w:rFonts w:eastAsia="Times New Roman" w:cs="Times New Roman"/>
          <w:color w:val="0000FF"/>
          <w:lang w:bidi="ar"/>
        </w:rPr>
        <w:t>破坏其生理功能而亡。</w:t>
      </w:r>
    </w:p>
    <w:p w14:paraId="4C8618C5">
      <w:pPr>
        <w:ind w:firstLine="480"/>
        <w:rPr>
          <w:rFonts w:cs="Times New Roman"/>
          <w:color w:val="0000FF"/>
        </w:rPr>
      </w:pPr>
      <w:r>
        <w:rPr>
          <w:rFonts w:cs="Times New Roman"/>
          <w:color w:val="0000FF"/>
          <w:szCs w:val="28"/>
        </w:rPr>
        <w:t>研究表明，离施工作业点越近，水体中悬浮物（SS）越高，同时由于底泥</w:t>
      </w:r>
      <w:r>
        <w:rPr>
          <w:rFonts w:cs="Times New Roman"/>
          <w:color w:val="0000FF"/>
        </w:rPr>
        <w:t>悬浮</w:t>
      </w:r>
      <w:r>
        <w:rPr>
          <w:rFonts w:cs="Times New Roman"/>
          <w:color w:val="0000FF"/>
          <w:szCs w:val="28"/>
        </w:rPr>
        <w:t>后边扩散边沉降，水体交换速率很大，水体中悬浮物含量随离源距离的增加而迅速下降，一般在施工作业停止后0.5～2h悬浮物含量可恢复到本底。</w:t>
      </w:r>
      <w:r>
        <w:rPr>
          <w:rFonts w:cs="Times New Roman"/>
          <w:color w:val="0000FF"/>
        </w:rPr>
        <w:t>由于浮游动植物个体小，繁殖速度快，当悬浮物质沉淀，水质恢复后，浮游生物的数量将会逐步恢复，同时由于水流的流动，上游河段的浮游生物会随水流对施工河段进行补充，</w:t>
      </w:r>
      <w:r>
        <w:rPr>
          <w:rFonts w:cs="Times New Roman"/>
          <w:color w:val="0000FF"/>
          <w:szCs w:val="28"/>
        </w:rPr>
        <w:t>因此，工程施工对浮游植物和水体透明度造成的影响是暂时的、局部的、可逆的，随着工程施工的结束，影响随即消除，且清淤影响在空间上具有区域性，</w:t>
      </w:r>
      <w:r>
        <w:rPr>
          <w:rFonts w:cs="Times New Roman"/>
          <w:color w:val="0000FF"/>
        </w:rPr>
        <w:t>且</w:t>
      </w:r>
      <w:r>
        <w:rPr>
          <w:rFonts w:eastAsia="Times New Roman" w:cs="Times New Roman"/>
          <w:color w:val="0000FF"/>
          <w:lang w:bidi="ar"/>
        </w:rPr>
        <w:t>涉水建筑施工对浮游动物的影响也是局部的、暂时的影响，施工建设可能会降低施工区域浮游动物的生物量，但不会对整个评价区域浮游动物的多样性造成影响。而且，这种影响、随着施工的结束浮游动物资源量等会逐渐恢复。</w:t>
      </w:r>
    </w:p>
    <w:p w14:paraId="6F5669D0">
      <w:pPr>
        <w:widowControl w:val="0"/>
        <w:autoSpaceDE w:val="0"/>
        <w:autoSpaceDN w:val="0"/>
        <w:ind w:firstLine="480" w:firstLineChars="200"/>
        <w:rPr>
          <w:rFonts w:cs="Times New Roman"/>
          <w:color w:val="0000FF"/>
        </w:rPr>
      </w:pPr>
      <w:r>
        <w:rPr>
          <w:rFonts w:cs="Times New Roman"/>
          <w:color w:val="0000FF"/>
        </w:rPr>
        <w:t>（4）底栖动物的影响</w:t>
      </w:r>
    </w:p>
    <w:p w14:paraId="61CE911B">
      <w:pPr>
        <w:widowControl w:val="0"/>
        <w:autoSpaceDE w:val="0"/>
        <w:autoSpaceDN w:val="0"/>
        <w:ind w:firstLine="480" w:firstLineChars="200"/>
        <w:rPr>
          <w:rFonts w:eastAsia="Times New Roman" w:cs="Times New Roman"/>
          <w:color w:val="0000FF"/>
          <w:lang w:bidi="ar"/>
        </w:rPr>
      </w:pPr>
      <w:r>
        <w:rPr>
          <w:rFonts w:eastAsia="Times New Roman" w:cs="Times New Roman"/>
          <w:color w:val="0000FF"/>
          <w:lang w:bidi="ar"/>
        </w:rPr>
        <w:t>河流生态系统中的底栖动物，或长期生活在底泥中，或依附在石砾或水生植物上，具有区域性强，迁移能力弱等特点，对于环境污染或环境的突然变化通常少有回避能力，而且其群落的破坏和重建需要相对较长的时间。</w:t>
      </w:r>
    </w:p>
    <w:p w14:paraId="2789E07D">
      <w:pPr>
        <w:ind w:firstLine="480"/>
        <w:rPr>
          <w:rFonts w:cs="Times New Roman"/>
          <w:color w:val="0000FF"/>
          <w:kern w:val="2"/>
        </w:rPr>
      </w:pPr>
      <w:r>
        <w:rPr>
          <w:rFonts w:cs="Times New Roman"/>
          <w:color w:val="0000FF"/>
          <w:kern w:val="2"/>
        </w:rPr>
        <w:t>根据工程特点，</w:t>
      </w:r>
      <w:r>
        <w:rPr>
          <w:rFonts w:cs="Times New Roman"/>
          <w:color w:val="0000FF"/>
        </w:rPr>
        <w:t>渠道清淤采用陆上机械施工，</w:t>
      </w:r>
      <w:r>
        <w:rPr>
          <w:rFonts w:cs="Times New Roman"/>
          <w:color w:val="0000FF"/>
          <w:kern w:val="2"/>
        </w:rPr>
        <w:t>将直接挖取河床底泥中的底栖生物，同时也直接改变了其栖息环境，</w:t>
      </w:r>
      <w:r>
        <w:rPr>
          <w:rFonts w:cs="Times New Roman"/>
          <w:color w:val="0000FF"/>
        </w:rPr>
        <w:t>对其生活环境造成毁灭性破坏。</w:t>
      </w:r>
      <w:r>
        <w:rPr>
          <w:rFonts w:cs="Times New Roman"/>
          <w:color w:val="0000FF"/>
          <w:kern w:val="2"/>
        </w:rPr>
        <w:t>由于底栖动物移动缓慢，多营定居生活，因此，在施工期，施工区域的底栖动物部分会死亡，从而对该渠道底栖动物的种类和数量产生影响，底栖动物是鱼类等经济水生生物的重要天然食料，通常底栖动物资源破坏后恢复较困难，并会导致以底栖动物为食的鱼类数量减少。</w:t>
      </w:r>
    </w:p>
    <w:p w14:paraId="53CAB55E">
      <w:pPr>
        <w:ind w:firstLine="480"/>
        <w:rPr>
          <w:rFonts w:cs="Times New Roman"/>
          <w:color w:val="0000FF"/>
          <w:kern w:val="2"/>
        </w:rPr>
      </w:pPr>
      <w:r>
        <w:rPr>
          <w:rFonts w:cs="Times New Roman"/>
          <w:color w:val="0000FF"/>
          <w:kern w:val="2"/>
        </w:rPr>
        <w:t>研究表明，底栖无脊椎动物在悬浮物浓度达到8mg/L时，底栖生物漂移率增加，悬浮物浓度达到8-177mg/L时，无脊椎动物下降到26%。本次工程施工不仅会造成施工临时占地区域的底栖生物直接死亡，也会使施工渠道内底栖生物漂移率增加。</w:t>
      </w:r>
    </w:p>
    <w:p w14:paraId="59B4876A">
      <w:pPr>
        <w:ind w:firstLine="480"/>
        <w:rPr>
          <w:rFonts w:cs="Times New Roman"/>
          <w:color w:val="0000FF"/>
          <w:kern w:val="2"/>
        </w:rPr>
      </w:pPr>
      <w:r>
        <w:rPr>
          <w:rFonts w:cs="Times New Roman"/>
          <w:color w:val="0000FF"/>
          <w:kern w:val="2"/>
        </w:rPr>
        <w:t>因工程建设需要，占用渔业水域，使渔业水域功能被破坏或生物资源栖息地丧失，其损失参照</w:t>
      </w:r>
      <w:r>
        <w:rPr>
          <w:rFonts w:hint="eastAsia"/>
          <w:color w:val="0000FF"/>
        </w:rPr>
        <w:t>技术规范</w:t>
      </w:r>
      <w:r>
        <w:rPr>
          <w:rFonts w:cs="Times New Roman"/>
          <w:color w:val="0000FF"/>
          <w:kern w:val="2"/>
        </w:rPr>
        <w:t>。各种类生物资源损害量评估按以下公式计算：</w:t>
      </w:r>
    </w:p>
    <w:p w14:paraId="610BAFCE">
      <w:pPr>
        <w:ind w:firstLine="480"/>
        <w:jc w:val="center"/>
        <w:rPr>
          <w:rFonts w:cs="Times New Roman"/>
          <w:color w:val="0000FF"/>
          <w:kern w:val="2"/>
        </w:rPr>
      </w:pPr>
      <w:r>
        <w:rPr>
          <w:rFonts w:cs="Times New Roman"/>
          <w:color w:val="0000FF"/>
          <w:kern w:val="2"/>
        </w:rPr>
        <w:t>W</w:t>
      </w:r>
      <w:r>
        <w:rPr>
          <w:rFonts w:cs="Times New Roman"/>
          <w:color w:val="0000FF"/>
          <w:kern w:val="2"/>
          <w:vertAlign w:val="subscript"/>
        </w:rPr>
        <w:t>i</w:t>
      </w:r>
      <w:r>
        <w:rPr>
          <w:rFonts w:cs="Times New Roman"/>
          <w:color w:val="0000FF"/>
          <w:kern w:val="2"/>
        </w:rPr>
        <w:t>=D</w:t>
      </w:r>
      <w:r>
        <w:rPr>
          <w:rFonts w:cs="Times New Roman"/>
          <w:color w:val="0000FF"/>
          <w:kern w:val="2"/>
          <w:vertAlign w:val="subscript"/>
        </w:rPr>
        <w:t>i</w:t>
      </w:r>
      <w:r>
        <w:rPr>
          <w:rFonts w:cs="Times New Roman"/>
          <w:color w:val="0000FF"/>
          <w:kern w:val="2"/>
        </w:rPr>
        <w:t>×S</w:t>
      </w:r>
      <w:r>
        <w:rPr>
          <w:rFonts w:cs="Times New Roman"/>
          <w:color w:val="0000FF"/>
          <w:kern w:val="2"/>
          <w:vertAlign w:val="subscript"/>
        </w:rPr>
        <w:t>i</w:t>
      </w:r>
    </w:p>
    <w:p w14:paraId="03BED4ED">
      <w:pPr>
        <w:ind w:firstLine="480"/>
        <w:rPr>
          <w:rFonts w:cs="Times New Roman"/>
          <w:color w:val="0000FF"/>
          <w:kern w:val="2"/>
        </w:rPr>
      </w:pPr>
      <w:r>
        <w:rPr>
          <w:rFonts w:cs="Times New Roman"/>
          <w:color w:val="0000FF"/>
          <w:kern w:val="2"/>
        </w:rPr>
        <w:t>式中：</w:t>
      </w:r>
    </w:p>
    <w:p w14:paraId="723FF4BF">
      <w:pPr>
        <w:ind w:firstLine="480"/>
        <w:rPr>
          <w:rFonts w:cs="Times New Roman"/>
          <w:color w:val="0000FF"/>
          <w:kern w:val="2"/>
        </w:rPr>
      </w:pPr>
      <w:r>
        <w:rPr>
          <w:rFonts w:cs="Times New Roman"/>
          <w:color w:val="0000FF"/>
          <w:kern w:val="2"/>
        </w:rPr>
        <w:t>W</w:t>
      </w:r>
      <w:r>
        <w:rPr>
          <w:rFonts w:cs="Times New Roman"/>
          <w:color w:val="0000FF"/>
          <w:kern w:val="2"/>
          <w:vertAlign w:val="subscript"/>
        </w:rPr>
        <w:t>i</w:t>
      </w:r>
      <w:r>
        <w:rPr>
          <w:rFonts w:cs="Times New Roman"/>
          <w:color w:val="0000FF"/>
          <w:kern w:val="2"/>
        </w:rPr>
        <w:t>——第i种类生物资源受损量，单位为尾、个、千克（kg）；</w:t>
      </w:r>
    </w:p>
    <w:p w14:paraId="663844BA">
      <w:pPr>
        <w:ind w:firstLine="480"/>
        <w:rPr>
          <w:rFonts w:cs="Times New Roman"/>
          <w:color w:val="0000FF"/>
          <w:kern w:val="2"/>
        </w:rPr>
      </w:pPr>
      <w:r>
        <w:rPr>
          <w:rFonts w:cs="Times New Roman"/>
          <w:color w:val="0000FF"/>
          <w:kern w:val="2"/>
        </w:rPr>
        <w:t>D</w:t>
      </w:r>
      <w:r>
        <w:rPr>
          <w:rFonts w:cs="Times New Roman"/>
          <w:color w:val="0000FF"/>
          <w:kern w:val="2"/>
          <w:vertAlign w:val="subscript"/>
        </w:rPr>
        <w:t>i</w:t>
      </w:r>
      <w:r>
        <w:rPr>
          <w:rFonts w:cs="Times New Roman"/>
          <w:color w:val="0000FF"/>
          <w:kern w:val="2"/>
        </w:rPr>
        <w:t>——评估区域内第i种类生物资源密度，单位为尾（个）每平方千米〔尾（个）/km</w:t>
      </w:r>
      <w:r>
        <w:rPr>
          <w:rFonts w:cs="Times New Roman"/>
          <w:color w:val="0000FF"/>
          <w:kern w:val="2"/>
          <w:vertAlign w:val="superscript"/>
        </w:rPr>
        <w:t>2〕</w:t>
      </w:r>
      <w:r>
        <w:rPr>
          <w:rFonts w:cs="Times New Roman"/>
          <w:color w:val="0000FF"/>
          <w:kern w:val="2"/>
        </w:rPr>
        <w:t>、尾（个）每立方千米〔尾（个）/km</w:t>
      </w:r>
      <w:r>
        <w:rPr>
          <w:rFonts w:cs="Times New Roman"/>
          <w:color w:val="0000FF"/>
          <w:kern w:val="2"/>
          <w:vertAlign w:val="superscript"/>
        </w:rPr>
        <w:t>3</w:t>
      </w:r>
      <w:r>
        <w:rPr>
          <w:rFonts w:cs="Times New Roman"/>
          <w:color w:val="0000FF"/>
          <w:kern w:val="2"/>
        </w:rPr>
        <w:t>〕、千克每平方千米（kg/km</w:t>
      </w:r>
      <w:r>
        <w:rPr>
          <w:rFonts w:cs="Times New Roman"/>
          <w:color w:val="0000FF"/>
          <w:kern w:val="2"/>
          <w:vertAlign w:val="superscript"/>
        </w:rPr>
        <w:t>2</w:t>
      </w:r>
      <w:r>
        <w:rPr>
          <w:rFonts w:cs="Times New Roman"/>
          <w:color w:val="0000FF"/>
          <w:kern w:val="2"/>
        </w:rPr>
        <w:t>）；</w:t>
      </w:r>
    </w:p>
    <w:p w14:paraId="596F8C40">
      <w:pPr>
        <w:ind w:firstLine="480"/>
        <w:rPr>
          <w:rFonts w:cs="Times New Roman"/>
          <w:color w:val="0000FF"/>
          <w:kern w:val="2"/>
        </w:rPr>
      </w:pPr>
      <w:r>
        <w:rPr>
          <w:rFonts w:cs="Times New Roman"/>
          <w:color w:val="0000FF"/>
          <w:kern w:val="2"/>
        </w:rPr>
        <w:t>S</w:t>
      </w:r>
      <w:r>
        <w:rPr>
          <w:rFonts w:cs="Times New Roman"/>
          <w:color w:val="0000FF"/>
          <w:kern w:val="2"/>
          <w:vertAlign w:val="subscript"/>
        </w:rPr>
        <w:t>i</w:t>
      </w:r>
      <w:r>
        <w:rPr>
          <w:rFonts w:cs="Times New Roman"/>
          <w:color w:val="0000FF"/>
          <w:kern w:val="2"/>
        </w:rPr>
        <w:t>——第i种类生物占用的渔业水域面积或体积，单位为平方千米（km</w:t>
      </w:r>
      <w:r>
        <w:rPr>
          <w:rFonts w:cs="Times New Roman"/>
          <w:color w:val="0000FF"/>
          <w:kern w:val="2"/>
          <w:vertAlign w:val="superscript"/>
        </w:rPr>
        <w:t>2</w:t>
      </w:r>
      <w:r>
        <w:rPr>
          <w:rFonts w:cs="Times New Roman"/>
          <w:color w:val="0000FF"/>
          <w:kern w:val="2"/>
        </w:rPr>
        <w:t>）或立方千米（km</w:t>
      </w:r>
      <w:r>
        <w:rPr>
          <w:rFonts w:cs="Times New Roman"/>
          <w:color w:val="0000FF"/>
          <w:kern w:val="2"/>
          <w:vertAlign w:val="superscript"/>
        </w:rPr>
        <w:t>3</w:t>
      </w:r>
      <w:r>
        <w:rPr>
          <w:rFonts w:cs="Times New Roman"/>
          <w:color w:val="0000FF"/>
          <w:kern w:val="2"/>
        </w:rPr>
        <w:t>）。</w:t>
      </w:r>
    </w:p>
    <w:p w14:paraId="2F41C1D4">
      <w:pPr>
        <w:ind w:firstLine="480"/>
        <w:rPr>
          <w:rFonts w:cs="Times New Roman"/>
          <w:color w:val="0000FF"/>
          <w:kern w:val="2"/>
        </w:rPr>
      </w:pPr>
      <w:r>
        <w:rPr>
          <w:rFonts w:cs="Times New Roman"/>
          <w:color w:val="0000FF"/>
          <w:kern w:val="2"/>
        </w:rPr>
        <w:t>根据区域生态调查相关资料可知工程区域底栖动物平均生物量为25.06g/m</w:t>
      </w:r>
      <w:r>
        <w:rPr>
          <w:rFonts w:cs="Times New Roman"/>
          <w:color w:val="0000FF"/>
          <w:kern w:val="2"/>
          <w:vertAlign w:val="superscript"/>
        </w:rPr>
        <w:t>2</w:t>
      </w:r>
      <w:r>
        <w:rPr>
          <w:rFonts w:cs="Times New Roman"/>
          <w:color w:val="0000FF"/>
          <w:kern w:val="2"/>
        </w:rPr>
        <w:t>；工程清淤涉及水泥面积约为0.89km</w:t>
      </w:r>
      <w:r>
        <w:rPr>
          <w:rFonts w:cs="Times New Roman"/>
          <w:color w:val="0000FF"/>
          <w:kern w:val="2"/>
          <w:vertAlign w:val="superscript"/>
        </w:rPr>
        <w:t>2</w:t>
      </w:r>
      <w:r>
        <w:rPr>
          <w:rFonts w:cs="Times New Roman"/>
          <w:color w:val="0000FF"/>
          <w:kern w:val="2"/>
        </w:rPr>
        <w:t>，临时占用水域面积约为0.44km</w:t>
      </w:r>
      <w:r>
        <w:rPr>
          <w:rFonts w:cs="Times New Roman"/>
          <w:color w:val="0000FF"/>
          <w:kern w:val="2"/>
          <w:vertAlign w:val="superscript"/>
        </w:rPr>
        <w:t>2</w:t>
      </w:r>
      <w:r>
        <w:rPr>
          <w:rFonts w:cs="Times New Roman"/>
          <w:color w:val="0000FF"/>
          <w:kern w:val="2"/>
        </w:rPr>
        <w:t>，则底栖生物生物损失量约为33.46t。</w:t>
      </w:r>
    </w:p>
    <w:p w14:paraId="2128F771">
      <w:pPr>
        <w:widowControl w:val="0"/>
        <w:adjustRightInd w:val="0"/>
        <w:jc w:val="center"/>
        <w:textAlignment w:val="center"/>
        <w:rPr>
          <w:rFonts w:cs="Times New Roman"/>
          <w:color w:val="0000FF"/>
        </w:rPr>
      </w:pPr>
      <w:r>
        <w:rPr>
          <w:rFonts w:eastAsia="黑体" w:cs="Times New Roman"/>
          <w:color w:val="0000FF"/>
        </w:rPr>
        <w:t>表5-</w:t>
      </w:r>
      <w:r>
        <w:rPr>
          <w:rFonts w:hint="eastAsia" w:eastAsia="黑体" w:cs="Times New Roman"/>
          <w:color w:val="0000FF"/>
        </w:rPr>
        <w:t>7</w:t>
      </w:r>
      <w:r>
        <w:rPr>
          <w:rFonts w:eastAsia="黑体" w:cs="Times New Roman"/>
          <w:color w:val="0000FF"/>
        </w:rPr>
        <w:t>-</w:t>
      </w:r>
      <w:r>
        <w:rPr>
          <w:rFonts w:hint="eastAsia" w:eastAsia="黑体" w:cs="Times New Roman"/>
          <w:color w:val="0000FF"/>
        </w:rPr>
        <w:t>4</w:t>
      </w:r>
      <w:r>
        <w:rPr>
          <w:rFonts w:eastAsia="黑体" w:cs="Times New Roman"/>
          <w:color w:val="0000FF"/>
        </w:rPr>
        <w:t xml:space="preserve">  工程施工期底栖生物损失量估算表</w:t>
      </w:r>
    </w:p>
    <w:tbl>
      <w:tblPr>
        <w:tblStyle w:val="16"/>
        <w:tblW w:w="5000" w:type="pct"/>
        <w:jc w:val="center"/>
        <w:tblLayout w:type="autofit"/>
        <w:tblCellMar>
          <w:top w:w="0" w:type="dxa"/>
          <w:left w:w="108" w:type="dxa"/>
          <w:bottom w:w="0" w:type="dxa"/>
          <w:right w:w="108" w:type="dxa"/>
        </w:tblCellMar>
      </w:tblPr>
      <w:tblGrid>
        <w:gridCol w:w="464"/>
        <w:gridCol w:w="4282"/>
        <w:gridCol w:w="1026"/>
        <w:gridCol w:w="964"/>
        <w:gridCol w:w="1430"/>
        <w:gridCol w:w="1121"/>
      </w:tblGrid>
      <w:tr w14:paraId="20C9EE76">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6A745AF1">
            <w:pPr>
              <w:pStyle w:val="28"/>
              <w:bidi w:val="0"/>
            </w:pPr>
            <w:r>
              <w:t>序号</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1E2016A1">
            <w:pPr>
              <w:pStyle w:val="28"/>
              <w:bidi w:val="0"/>
            </w:pPr>
            <w:r>
              <w:t>工程名称</w:t>
            </w:r>
          </w:p>
        </w:tc>
        <w:tc>
          <w:tcPr>
            <w:tcW w:w="551" w:type="pct"/>
            <w:tcBorders>
              <w:top w:val="single" w:color="000000" w:sz="4" w:space="0"/>
              <w:left w:val="single" w:color="000000" w:sz="4" w:space="0"/>
              <w:bottom w:val="single" w:color="000000" w:sz="4" w:space="0"/>
              <w:right w:val="single" w:color="000000" w:sz="4" w:space="0"/>
            </w:tcBorders>
            <w:noWrap/>
            <w:vAlign w:val="center"/>
          </w:tcPr>
          <w:p w14:paraId="6C69425D">
            <w:pPr>
              <w:pStyle w:val="28"/>
              <w:bidi w:val="0"/>
            </w:pPr>
            <w:r>
              <w:t>清淤段长度km</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55A3D18E">
            <w:pPr>
              <w:pStyle w:val="28"/>
              <w:bidi w:val="0"/>
            </w:pPr>
            <w:r>
              <w:t>设计河底宽m</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45FAAE03">
            <w:pPr>
              <w:pStyle w:val="28"/>
              <w:bidi w:val="0"/>
            </w:pPr>
            <w:r>
              <w:t>施工扰动面积（km2）</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407D883A">
            <w:pPr>
              <w:pStyle w:val="28"/>
              <w:bidi w:val="0"/>
            </w:pPr>
            <w:r>
              <w:t>损失生物量（t）</w:t>
            </w:r>
          </w:p>
        </w:tc>
      </w:tr>
      <w:tr w14:paraId="472680A9">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6280C854">
            <w:pPr>
              <w:pStyle w:val="28"/>
              <w:bidi w:val="0"/>
            </w:pPr>
            <w:r>
              <w:t>1</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3CEE5BA5">
            <w:pPr>
              <w:pStyle w:val="28"/>
              <w:bidi w:val="0"/>
            </w:pPr>
            <w:r>
              <w:t>淠东干渠30+400～43+000、69+908～99+300续建配套与现代化改造工程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4CF95578">
            <w:pPr>
              <w:pStyle w:val="28"/>
              <w:bidi w:val="0"/>
            </w:pPr>
            <w:r>
              <w:t>8.25</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7E9A0D63">
            <w:pPr>
              <w:pStyle w:val="28"/>
              <w:bidi w:val="0"/>
            </w:pPr>
            <w:r>
              <w:t>50</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3938F840">
            <w:pPr>
              <w:pStyle w:val="28"/>
              <w:bidi w:val="0"/>
            </w:pPr>
            <w:r>
              <w:t>0.41</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45722F70">
            <w:pPr>
              <w:pStyle w:val="28"/>
              <w:bidi w:val="0"/>
            </w:pPr>
            <w:r>
              <w:t>10.34</w:t>
            </w:r>
          </w:p>
        </w:tc>
      </w:tr>
      <w:tr w14:paraId="6E6E28E8">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78F2B8EF">
            <w:pPr>
              <w:pStyle w:val="28"/>
              <w:bidi w:val="0"/>
            </w:pPr>
            <w:r>
              <w:t>2</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0479DEEB">
            <w:pPr>
              <w:pStyle w:val="28"/>
              <w:bidi w:val="0"/>
            </w:pPr>
            <w:r>
              <w:t>瓦东干渠双庙支渠0+000～24+200续建配套与现代化改造工程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12F87833">
            <w:pPr>
              <w:pStyle w:val="28"/>
              <w:bidi w:val="0"/>
            </w:pPr>
            <w:r>
              <w:t>14.1</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6D706FFF">
            <w:pPr>
              <w:pStyle w:val="28"/>
              <w:bidi w:val="0"/>
            </w:pPr>
            <w:r>
              <w:t>5</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458467EF">
            <w:pPr>
              <w:pStyle w:val="28"/>
              <w:bidi w:val="0"/>
            </w:pPr>
            <w:r>
              <w:t>0.07</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315529B5">
            <w:pPr>
              <w:pStyle w:val="28"/>
              <w:bidi w:val="0"/>
            </w:pPr>
            <w:r>
              <w:t>1.77</w:t>
            </w:r>
          </w:p>
        </w:tc>
      </w:tr>
      <w:tr w14:paraId="4972E0CB">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6DE89027">
            <w:pPr>
              <w:pStyle w:val="28"/>
              <w:bidi w:val="0"/>
            </w:pPr>
            <w:r>
              <w:t>3</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54091E6D">
            <w:pPr>
              <w:pStyle w:val="28"/>
              <w:bidi w:val="0"/>
            </w:pPr>
            <w:r>
              <w:t>杨西分干渠东风支渠0+700～10+200续建配套与现代化改造工程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71D0865F">
            <w:pPr>
              <w:pStyle w:val="28"/>
              <w:bidi w:val="0"/>
            </w:pPr>
            <w:r>
              <w:t>6.18</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625442E0">
            <w:pPr>
              <w:pStyle w:val="28"/>
              <w:bidi w:val="0"/>
            </w:pPr>
            <w:r>
              <w:t>4</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66E93DDB">
            <w:pPr>
              <w:pStyle w:val="28"/>
              <w:bidi w:val="0"/>
            </w:pPr>
            <w:r>
              <w:t>0.02</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2709AC49">
            <w:pPr>
              <w:pStyle w:val="28"/>
              <w:bidi w:val="0"/>
            </w:pPr>
            <w:r>
              <w:t>0.62</w:t>
            </w:r>
          </w:p>
        </w:tc>
      </w:tr>
      <w:tr w14:paraId="3666A0A9">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04E6A4D8">
            <w:pPr>
              <w:pStyle w:val="28"/>
              <w:bidi w:val="0"/>
            </w:pPr>
            <w:r>
              <w:t>4</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5D133A99">
            <w:pPr>
              <w:pStyle w:val="28"/>
              <w:bidi w:val="0"/>
            </w:pPr>
            <w:r>
              <w:t>潜南干渠界河支渠0+000～7+780段续建配套与现代化改造工程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7A3A46E2">
            <w:pPr>
              <w:pStyle w:val="28"/>
              <w:bidi w:val="0"/>
            </w:pPr>
            <w:r>
              <w:t>3.64</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30D9E33D">
            <w:pPr>
              <w:pStyle w:val="28"/>
              <w:bidi w:val="0"/>
            </w:pPr>
            <w:r>
              <w:t>3</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61028A62">
            <w:pPr>
              <w:pStyle w:val="28"/>
              <w:bidi w:val="0"/>
            </w:pPr>
            <w:r>
              <w:t>0.01</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36EB02E3">
            <w:pPr>
              <w:pStyle w:val="28"/>
              <w:bidi w:val="0"/>
            </w:pPr>
            <w:r>
              <w:t>0.27</w:t>
            </w:r>
          </w:p>
        </w:tc>
      </w:tr>
      <w:tr w14:paraId="5A01DBFE">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5A3693C9">
            <w:pPr>
              <w:pStyle w:val="28"/>
              <w:bidi w:val="0"/>
            </w:pPr>
            <w:r>
              <w:t>5</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1498AB04">
            <w:pPr>
              <w:pStyle w:val="28"/>
              <w:bidi w:val="0"/>
            </w:pPr>
            <w:r>
              <w:t>潜南干渠义河支渠0+000～5+750段续建配套与现代化改造工程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1784F08C">
            <w:pPr>
              <w:pStyle w:val="28"/>
              <w:bidi w:val="0"/>
            </w:pPr>
            <w:r>
              <w:t>0.93</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3DFFBD65">
            <w:pPr>
              <w:pStyle w:val="28"/>
              <w:bidi w:val="0"/>
            </w:pPr>
            <w:r>
              <w:t>2</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2B60059A">
            <w:pPr>
              <w:pStyle w:val="28"/>
              <w:bidi w:val="0"/>
            </w:pPr>
            <w:r>
              <w:t>0.00</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167B2528">
            <w:pPr>
              <w:pStyle w:val="28"/>
              <w:bidi w:val="0"/>
            </w:pPr>
            <w:r>
              <w:t>0.05</w:t>
            </w:r>
          </w:p>
        </w:tc>
      </w:tr>
      <w:tr w14:paraId="4F26993D">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7534BE1C">
            <w:pPr>
              <w:pStyle w:val="28"/>
              <w:bidi w:val="0"/>
            </w:pPr>
            <w:r>
              <w:t>6</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32A94F72">
            <w:pPr>
              <w:pStyle w:val="28"/>
              <w:bidi w:val="0"/>
            </w:pPr>
            <w:r>
              <w:t>潜南干渠袁店支渠0+000～6+000段续建配套与现代化改造工程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7E5DF21A">
            <w:pPr>
              <w:pStyle w:val="28"/>
              <w:bidi w:val="0"/>
            </w:pPr>
            <w:r>
              <w:t>2.08</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79330FB5">
            <w:pPr>
              <w:pStyle w:val="28"/>
              <w:bidi w:val="0"/>
            </w:pPr>
            <w:r>
              <w:t>2</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1E989EB3">
            <w:pPr>
              <w:pStyle w:val="28"/>
              <w:bidi w:val="0"/>
            </w:pPr>
            <w:r>
              <w:t>0.00</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50686770">
            <w:pPr>
              <w:pStyle w:val="28"/>
              <w:bidi w:val="0"/>
            </w:pPr>
            <w:r>
              <w:t>0.10</w:t>
            </w:r>
          </w:p>
        </w:tc>
      </w:tr>
      <w:tr w14:paraId="235D9830">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26892D31">
            <w:pPr>
              <w:pStyle w:val="28"/>
              <w:bidi w:val="0"/>
            </w:pPr>
            <w:r>
              <w:t>7</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1DC3D6D1">
            <w:pPr>
              <w:pStyle w:val="28"/>
              <w:bidi w:val="0"/>
            </w:pPr>
            <w:r>
              <w:t>众兴分干渠双庙支渠（0+650～5+135）续建配套与现代化改造工程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762B232C">
            <w:pPr>
              <w:pStyle w:val="28"/>
              <w:bidi w:val="0"/>
            </w:pPr>
            <w:r>
              <w:t>4.485</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409BD073">
            <w:pPr>
              <w:pStyle w:val="28"/>
              <w:bidi w:val="0"/>
            </w:pPr>
            <w:r>
              <w:t>3</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232EBFFA">
            <w:pPr>
              <w:pStyle w:val="28"/>
              <w:bidi w:val="0"/>
            </w:pPr>
            <w:r>
              <w:t>0.01</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4FA9F7FC">
            <w:pPr>
              <w:pStyle w:val="28"/>
              <w:bidi w:val="0"/>
            </w:pPr>
            <w:r>
              <w:t>0.34</w:t>
            </w:r>
          </w:p>
        </w:tc>
      </w:tr>
      <w:tr w14:paraId="7B6ABA1A">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2AA2AB7E">
            <w:pPr>
              <w:pStyle w:val="28"/>
              <w:bidi w:val="0"/>
            </w:pPr>
            <w:r>
              <w:t>8</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30416D7C">
            <w:pPr>
              <w:pStyle w:val="28"/>
              <w:bidi w:val="0"/>
            </w:pPr>
            <w:r>
              <w:t>沣西干渠30+000～107+000续建配套与现代化改造工程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3486B95E">
            <w:pPr>
              <w:pStyle w:val="28"/>
              <w:bidi w:val="0"/>
            </w:pPr>
            <w:r>
              <w:t>13.66</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685CF54F">
            <w:pPr>
              <w:pStyle w:val="28"/>
              <w:bidi w:val="0"/>
            </w:pPr>
            <w:r>
              <w:t>20</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664E239C">
            <w:pPr>
              <w:pStyle w:val="28"/>
              <w:bidi w:val="0"/>
            </w:pPr>
            <w:r>
              <w:t>0.27</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5FA78E32">
            <w:pPr>
              <w:pStyle w:val="28"/>
              <w:bidi w:val="0"/>
            </w:pPr>
            <w:r>
              <w:t>6.85</w:t>
            </w:r>
          </w:p>
        </w:tc>
      </w:tr>
      <w:tr w14:paraId="2CCA58B5">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08A1B8DE">
            <w:pPr>
              <w:pStyle w:val="28"/>
              <w:bidi w:val="0"/>
            </w:pPr>
            <w:r>
              <w:t>9</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485A9F64">
            <w:pPr>
              <w:pStyle w:val="28"/>
              <w:bidi w:val="0"/>
            </w:pPr>
            <w:r>
              <w:t>汲东干渠姚李支渠0+000～17+700续建配套与现代化改造工程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56306D69">
            <w:pPr>
              <w:pStyle w:val="28"/>
              <w:bidi w:val="0"/>
            </w:pPr>
            <w:r>
              <w:t>7.4</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74FC1EC7">
            <w:pPr>
              <w:pStyle w:val="28"/>
              <w:bidi w:val="0"/>
            </w:pPr>
            <w:r>
              <w:t>3</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765184A0">
            <w:pPr>
              <w:pStyle w:val="28"/>
              <w:bidi w:val="0"/>
            </w:pPr>
            <w:r>
              <w:t>0.02</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029DF864">
            <w:pPr>
              <w:pStyle w:val="28"/>
              <w:bidi w:val="0"/>
            </w:pPr>
            <w:r>
              <w:t>0.56</w:t>
            </w:r>
          </w:p>
        </w:tc>
      </w:tr>
      <w:tr w14:paraId="5DADFF2F">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6CB0C4C3">
            <w:pPr>
              <w:pStyle w:val="28"/>
              <w:bidi w:val="0"/>
            </w:pPr>
            <w:r>
              <w:t>10</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48FA4AD7">
            <w:pPr>
              <w:pStyle w:val="28"/>
              <w:bidi w:val="0"/>
            </w:pPr>
            <w:r>
              <w:t>乌斗支渠0+000～27+500续建配套与现代化改造工程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7B275217">
            <w:pPr>
              <w:pStyle w:val="28"/>
              <w:bidi w:val="0"/>
            </w:pPr>
            <w:r>
              <w:t>3</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5F577EC3">
            <w:pPr>
              <w:pStyle w:val="28"/>
              <w:bidi w:val="0"/>
            </w:pPr>
            <w:r>
              <w:t>3.5</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709F10BC">
            <w:pPr>
              <w:pStyle w:val="28"/>
              <w:bidi w:val="0"/>
            </w:pPr>
            <w:r>
              <w:t>0.01</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53531AB0">
            <w:pPr>
              <w:pStyle w:val="28"/>
              <w:bidi w:val="0"/>
            </w:pPr>
            <w:r>
              <w:t>0.26</w:t>
            </w:r>
          </w:p>
        </w:tc>
      </w:tr>
      <w:tr w14:paraId="5A8DB9DF">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3986B1A5">
            <w:pPr>
              <w:pStyle w:val="28"/>
              <w:bidi w:val="0"/>
            </w:pPr>
            <w:r>
              <w:t>11</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31042F61">
            <w:pPr>
              <w:pStyle w:val="28"/>
              <w:bidi w:val="0"/>
            </w:pPr>
            <w:r>
              <w:t>杭北干渠25+430～34+580、49+500～68+890段续建配套与现代化改造工程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56B2B127">
            <w:pPr>
              <w:pStyle w:val="28"/>
              <w:bidi w:val="0"/>
            </w:pPr>
            <w:r>
              <w:t>3.1</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2401EA79">
            <w:pPr>
              <w:pStyle w:val="28"/>
              <w:bidi w:val="0"/>
            </w:pPr>
            <w:r>
              <w:t>10</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415A9251">
            <w:pPr>
              <w:pStyle w:val="28"/>
              <w:bidi w:val="0"/>
            </w:pPr>
            <w:r>
              <w:t>0.03</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105217C7">
            <w:pPr>
              <w:pStyle w:val="28"/>
              <w:bidi w:val="0"/>
            </w:pPr>
            <w:r>
              <w:t>0.78</w:t>
            </w:r>
          </w:p>
        </w:tc>
      </w:tr>
      <w:tr w14:paraId="7F446B0B">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5F8FA9DD">
            <w:pPr>
              <w:pStyle w:val="28"/>
              <w:bidi w:val="0"/>
            </w:pPr>
            <w:r>
              <w:t>12</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1565EA15">
            <w:pPr>
              <w:pStyle w:val="28"/>
              <w:bidi w:val="0"/>
            </w:pPr>
            <w:r>
              <w:t>庐南分干渠沙胜支渠0+000～24+000续建配套与现代化改造工程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20F55F4A">
            <w:pPr>
              <w:pStyle w:val="28"/>
              <w:bidi w:val="0"/>
            </w:pPr>
            <w:r>
              <w:t>0.81</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26676552">
            <w:pPr>
              <w:pStyle w:val="28"/>
              <w:bidi w:val="0"/>
            </w:pPr>
            <w:r>
              <w:t>1.5</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0724D700">
            <w:pPr>
              <w:pStyle w:val="28"/>
              <w:bidi w:val="0"/>
            </w:pPr>
            <w:r>
              <w:t>0.00</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0B62983E">
            <w:pPr>
              <w:pStyle w:val="28"/>
              <w:bidi w:val="0"/>
            </w:pPr>
            <w:r>
              <w:t>0.03</w:t>
            </w:r>
          </w:p>
        </w:tc>
      </w:tr>
      <w:tr w14:paraId="70AE711A">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4A0FA817">
            <w:pPr>
              <w:pStyle w:val="28"/>
              <w:bidi w:val="0"/>
            </w:pPr>
            <w:r>
              <w:t>13</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10494BE7">
            <w:pPr>
              <w:pStyle w:val="28"/>
              <w:bidi w:val="0"/>
            </w:pPr>
            <w:r>
              <w:t>庐南分干渠乐桥支渠0+000～10+200段续建配套与现代化改造工程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03ACF4B1">
            <w:pPr>
              <w:pStyle w:val="28"/>
              <w:bidi w:val="0"/>
            </w:pPr>
            <w:r>
              <w:t>0.5</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3B954A93">
            <w:pPr>
              <w:pStyle w:val="28"/>
              <w:bidi w:val="0"/>
            </w:pPr>
            <w:r>
              <w:t>12</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4C49352A">
            <w:pPr>
              <w:pStyle w:val="28"/>
              <w:bidi w:val="0"/>
            </w:pPr>
            <w:r>
              <w:t>0.01</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1A9750AF">
            <w:pPr>
              <w:pStyle w:val="28"/>
              <w:bidi w:val="0"/>
            </w:pPr>
            <w:r>
              <w:t>0.15</w:t>
            </w:r>
          </w:p>
        </w:tc>
      </w:tr>
      <w:tr w14:paraId="5D3B8C13">
        <w:tblPrEx>
          <w:tblCellMar>
            <w:top w:w="0" w:type="dxa"/>
            <w:left w:w="108" w:type="dxa"/>
            <w:bottom w:w="0" w:type="dxa"/>
            <w:right w:w="108" w:type="dxa"/>
          </w:tblCellMar>
        </w:tblPrEx>
        <w:trPr>
          <w:trHeight w:val="340" w:hRule="atLeast"/>
          <w:jc w:val="center"/>
        </w:trPr>
        <w:tc>
          <w:tcPr>
            <w:tcW w:w="245" w:type="pct"/>
            <w:tcBorders>
              <w:top w:val="single" w:color="000000" w:sz="4" w:space="0"/>
              <w:left w:val="single" w:color="000000" w:sz="4" w:space="0"/>
              <w:bottom w:val="single" w:color="000000" w:sz="4" w:space="0"/>
              <w:right w:val="single" w:color="000000" w:sz="4" w:space="0"/>
            </w:tcBorders>
            <w:noWrap/>
            <w:vAlign w:val="center"/>
          </w:tcPr>
          <w:p w14:paraId="617B6F66">
            <w:pPr>
              <w:pStyle w:val="28"/>
              <w:bidi w:val="0"/>
            </w:pPr>
            <w:r>
              <w:t>14</w:t>
            </w:r>
          </w:p>
        </w:tc>
        <w:tc>
          <w:tcPr>
            <w:tcW w:w="2322" w:type="pct"/>
            <w:tcBorders>
              <w:top w:val="single" w:color="000000" w:sz="4" w:space="0"/>
              <w:left w:val="single" w:color="000000" w:sz="4" w:space="0"/>
              <w:bottom w:val="single" w:color="000000" w:sz="4" w:space="0"/>
              <w:right w:val="single" w:color="000000" w:sz="4" w:space="0"/>
            </w:tcBorders>
            <w:noWrap/>
            <w:vAlign w:val="center"/>
          </w:tcPr>
          <w:p w14:paraId="2744DD9F">
            <w:pPr>
              <w:pStyle w:val="28"/>
              <w:bidi w:val="0"/>
            </w:pPr>
            <w:r>
              <w:t>舒庐干渠马田支渠0+000～5+000段续建配套与现代化改造工程</w:t>
            </w:r>
          </w:p>
        </w:tc>
        <w:tc>
          <w:tcPr>
            <w:tcW w:w="551" w:type="pct"/>
            <w:tcBorders>
              <w:top w:val="single" w:color="000000" w:sz="4" w:space="0"/>
              <w:left w:val="single" w:color="000000" w:sz="4" w:space="0"/>
              <w:bottom w:val="single" w:color="000000" w:sz="4" w:space="0"/>
              <w:right w:val="single" w:color="000000" w:sz="4" w:space="0"/>
            </w:tcBorders>
            <w:vAlign w:val="center"/>
          </w:tcPr>
          <w:p w14:paraId="57C3579B">
            <w:pPr>
              <w:pStyle w:val="28"/>
              <w:bidi w:val="0"/>
            </w:pPr>
            <w:r>
              <w:t>4.25</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0DA1591F">
            <w:pPr>
              <w:pStyle w:val="28"/>
              <w:bidi w:val="0"/>
            </w:pPr>
            <w:r>
              <w:t>3</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636E7303">
            <w:pPr>
              <w:pStyle w:val="28"/>
              <w:bidi w:val="0"/>
            </w:pPr>
            <w:r>
              <w:t>0.01</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0A7B68BE">
            <w:pPr>
              <w:pStyle w:val="28"/>
              <w:bidi w:val="0"/>
            </w:pPr>
            <w:r>
              <w:t>0.32</w:t>
            </w:r>
          </w:p>
        </w:tc>
      </w:tr>
      <w:tr w14:paraId="685E8E20">
        <w:tblPrEx>
          <w:tblCellMar>
            <w:top w:w="0" w:type="dxa"/>
            <w:left w:w="108" w:type="dxa"/>
            <w:bottom w:w="0" w:type="dxa"/>
            <w:right w:w="108" w:type="dxa"/>
          </w:tblCellMar>
        </w:tblPrEx>
        <w:trPr>
          <w:trHeight w:val="340" w:hRule="atLeast"/>
          <w:jc w:val="center"/>
        </w:trPr>
        <w:tc>
          <w:tcPr>
            <w:tcW w:w="2568" w:type="pct"/>
            <w:gridSpan w:val="2"/>
            <w:tcBorders>
              <w:top w:val="single" w:color="000000" w:sz="4" w:space="0"/>
              <w:left w:val="single" w:color="000000" w:sz="4" w:space="0"/>
              <w:bottom w:val="single" w:color="000000" w:sz="4" w:space="0"/>
              <w:right w:val="single" w:color="000000" w:sz="4" w:space="0"/>
            </w:tcBorders>
            <w:noWrap/>
            <w:vAlign w:val="center"/>
          </w:tcPr>
          <w:p w14:paraId="3F0C03E1">
            <w:pPr>
              <w:pStyle w:val="28"/>
              <w:bidi w:val="0"/>
            </w:pPr>
            <w:r>
              <w:t>小计</w:t>
            </w:r>
          </w:p>
        </w:tc>
        <w:tc>
          <w:tcPr>
            <w:tcW w:w="551" w:type="pct"/>
            <w:tcBorders>
              <w:top w:val="single" w:color="000000" w:sz="4" w:space="0"/>
              <w:left w:val="single" w:color="000000" w:sz="4" w:space="0"/>
              <w:bottom w:val="single" w:color="000000" w:sz="4" w:space="0"/>
              <w:right w:val="single" w:color="000000" w:sz="4" w:space="0"/>
            </w:tcBorders>
            <w:vAlign w:val="center"/>
          </w:tcPr>
          <w:p w14:paraId="78D5B195">
            <w:pPr>
              <w:pStyle w:val="28"/>
              <w:bidi w:val="0"/>
            </w:pPr>
            <w:r>
              <w:rPr>
                <w:rFonts w:hint="eastAsia"/>
              </w:rPr>
              <w:t>72.39</w:t>
            </w:r>
          </w:p>
        </w:tc>
        <w:tc>
          <w:tcPr>
            <w:tcW w:w="517" w:type="pct"/>
            <w:tcBorders>
              <w:top w:val="single" w:color="000000" w:sz="4" w:space="0"/>
              <w:left w:val="single" w:color="000000" w:sz="4" w:space="0"/>
              <w:bottom w:val="single" w:color="000000" w:sz="4" w:space="0"/>
              <w:right w:val="single" w:color="000000" w:sz="4" w:space="0"/>
            </w:tcBorders>
            <w:noWrap/>
            <w:vAlign w:val="center"/>
          </w:tcPr>
          <w:p w14:paraId="319B01D2">
            <w:pPr>
              <w:pStyle w:val="28"/>
              <w:bidi w:val="0"/>
            </w:pPr>
            <w:r>
              <w:t>/</w:t>
            </w:r>
          </w:p>
        </w:tc>
        <w:tc>
          <w:tcPr>
            <w:tcW w:w="759" w:type="pct"/>
            <w:tcBorders>
              <w:top w:val="single" w:color="000000" w:sz="4" w:space="0"/>
              <w:left w:val="single" w:color="000000" w:sz="4" w:space="0"/>
              <w:bottom w:val="single" w:color="000000" w:sz="4" w:space="0"/>
              <w:right w:val="single" w:color="000000" w:sz="4" w:space="0"/>
            </w:tcBorders>
            <w:noWrap/>
            <w:vAlign w:val="center"/>
          </w:tcPr>
          <w:p w14:paraId="24F31BA2">
            <w:pPr>
              <w:pStyle w:val="28"/>
              <w:bidi w:val="0"/>
            </w:pPr>
            <w:r>
              <w:t>0.89</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5DBA73CB">
            <w:pPr>
              <w:pStyle w:val="28"/>
              <w:bidi w:val="0"/>
            </w:pPr>
            <w:r>
              <w:t>22.43</w:t>
            </w:r>
          </w:p>
        </w:tc>
      </w:tr>
      <w:tr w14:paraId="186CA284">
        <w:tblPrEx>
          <w:tblCellMar>
            <w:top w:w="0" w:type="dxa"/>
            <w:left w:w="108" w:type="dxa"/>
            <w:bottom w:w="0" w:type="dxa"/>
            <w:right w:w="108" w:type="dxa"/>
          </w:tblCellMar>
        </w:tblPrEx>
        <w:trPr>
          <w:trHeight w:val="340" w:hRule="atLeast"/>
          <w:jc w:val="center"/>
        </w:trPr>
        <w:tc>
          <w:tcPr>
            <w:tcW w:w="2568" w:type="pct"/>
            <w:gridSpan w:val="2"/>
            <w:tcBorders>
              <w:top w:val="single" w:color="000000" w:sz="4" w:space="0"/>
              <w:left w:val="single" w:color="000000" w:sz="4" w:space="0"/>
              <w:bottom w:val="single" w:color="000000" w:sz="4" w:space="0"/>
              <w:right w:val="single" w:color="000000" w:sz="4" w:space="0"/>
            </w:tcBorders>
            <w:noWrap/>
            <w:vAlign w:val="center"/>
          </w:tcPr>
          <w:p w14:paraId="62895E4B">
            <w:pPr>
              <w:pStyle w:val="28"/>
              <w:bidi w:val="0"/>
            </w:pPr>
            <w:r>
              <w:t>工程名称</w:t>
            </w:r>
          </w:p>
        </w:tc>
        <w:tc>
          <w:tcPr>
            <w:tcW w:w="1828" w:type="pct"/>
            <w:gridSpan w:val="3"/>
            <w:tcBorders>
              <w:top w:val="single" w:color="000000" w:sz="4" w:space="0"/>
              <w:left w:val="single" w:color="000000" w:sz="4" w:space="0"/>
              <w:bottom w:val="single" w:color="000000" w:sz="4" w:space="0"/>
              <w:right w:val="single" w:color="000000" w:sz="4" w:space="0"/>
            </w:tcBorders>
            <w:vAlign w:val="center"/>
          </w:tcPr>
          <w:p w14:paraId="0F90180D">
            <w:pPr>
              <w:pStyle w:val="28"/>
              <w:bidi w:val="0"/>
            </w:pPr>
            <w:r>
              <w:t>占用水域面积km2</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13BEB077">
            <w:pPr>
              <w:pStyle w:val="28"/>
              <w:bidi w:val="0"/>
            </w:pPr>
            <w:r>
              <w:t>损失生物量（t）</w:t>
            </w:r>
          </w:p>
        </w:tc>
      </w:tr>
      <w:tr w14:paraId="1FA5FC87">
        <w:tblPrEx>
          <w:tblCellMar>
            <w:top w:w="0" w:type="dxa"/>
            <w:left w:w="108" w:type="dxa"/>
            <w:bottom w:w="0" w:type="dxa"/>
            <w:right w:w="108" w:type="dxa"/>
          </w:tblCellMar>
        </w:tblPrEx>
        <w:trPr>
          <w:trHeight w:val="340" w:hRule="atLeast"/>
          <w:jc w:val="center"/>
        </w:trPr>
        <w:tc>
          <w:tcPr>
            <w:tcW w:w="2568" w:type="pct"/>
            <w:gridSpan w:val="2"/>
            <w:tcBorders>
              <w:top w:val="single" w:color="000000" w:sz="4" w:space="0"/>
              <w:left w:val="single" w:color="000000" w:sz="4" w:space="0"/>
              <w:bottom w:val="single" w:color="000000" w:sz="4" w:space="0"/>
              <w:right w:val="single" w:color="000000" w:sz="4" w:space="0"/>
            </w:tcBorders>
            <w:noWrap/>
            <w:vAlign w:val="center"/>
          </w:tcPr>
          <w:p w14:paraId="5C560A7F">
            <w:pPr>
              <w:pStyle w:val="28"/>
              <w:bidi w:val="0"/>
            </w:pPr>
            <w:r>
              <w:t>临时占用</w:t>
            </w:r>
          </w:p>
        </w:tc>
        <w:tc>
          <w:tcPr>
            <w:tcW w:w="1828" w:type="pct"/>
            <w:gridSpan w:val="3"/>
            <w:tcBorders>
              <w:top w:val="single" w:color="000000" w:sz="4" w:space="0"/>
              <w:left w:val="single" w:color="000000" w:sz="4" w:space="0"/>
              <w:bottom w:val="single" w:color="000000" w:sz="4" w:space="0"/>
              <w:right w:val="single" w:color="000000" w:sz="4" w:space="0"/>
            </w:tcBorders>
            <w:vAlign w:val="center"/>
          </w:tcPr>
          <w:p w14:paraId="5E9C85BC">
            <w:pPr>
              <w:pStyle w:val="28"/>
              <w:bidi w:val="0"/>
            </w:pPr>
            <w:r>
              <w:t>0.44</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45B56E0F">
            <w:pPr>
              <w:pStyle w:val="28"/>
              <w:bidi w:val="0"/>
            </w:pPr>
            <w:r>
              <w:t>11.03</w:t>
            </w:r>
          </w:p>
        </w:tc>
      </w:tr>
      <w:tr w14:paraId="6C5AB846">
        <w:tblPrEx>
          <w:tblCellMar>
            <w:top w:w="0" w:type="dxa"/>
            <w:left w:w="108" w:type="dxa"/>
            <w:bottom w:w="0" w:type="dxa"/>
            <w:right w:w="108" w:type="dxa"/>
          </w:tblCellMar>
        </w:tblPrEx>
        <w:trPr>
          <w:trHeight w:val="340" w:hRule="atLeast"/>
          <w:jc w:val="center"/>
        </w:trPr>
        <w:tc>
          <w:tcPr>
            <w:tcW w:w="5003" w:type="dxa"/>
            <w:gridSpan w:val="2"/>
            <w:tcBorders>
              <w:top w:val="single" w:color="000000" w:sz="4" w:space="0"/>
              <w:left w:val="single" w:color="000000" w:sz="4" w:space="0"/>
              <w:bottom w:val="single" w:color="000000" w:sz="4" w:space="0"/>
              <w:right w:val="single" w:color="000000" w:sz="4" w:space="0"/>
            </w:tcBorders>
            <w:noWrap/>
            <w:vAlign w:val="center"/>
          </w:tcPr>
          <w:p w14:paraId="563D697F">
            <w:pPr>
              <w:pStyle w:val="28"/>
              <w:bidi w:val="0"/>
            </w:pPr>
            <w:r>
              <w:t>小计</w:t>
            </w:r>
          </w:p>
        </w:tc>
        <w:tc>
          <w:tcPr>
            <w:tcW w:w="3563" w:type="dxa"/>
            <w:gridSpan w:val="3"/>
            <w:tcBorders>
              <w:top w:val="single" w:color="000000" w:sz="4" w:space="0"/>
              <w:left w:val="single" w:color="000000" w:sz="4" w:space="0"/>
              <w:bottom w:val="single" w:color="000000" w:sz="4" w:space="0"/>
              <w:right w:val="single" w:color="000000" w:sz="4" w:space="0"/>
            </w:tcBorders>
            <w:vAlign w:val="center"/>
          </w:tcPr>
          <w:p w14:paraId="29F1AFFD">
            <w:pPr>
              <w:pStyle w:val="28"/>
              <w:bidi w:val="0"/>
            </w:pPr>
            <w:r>
              <w:t>0.44</w:t>
            </w:r>
          </w:p>
        </w:tc>
        <w:tc>
          <w:tcPr>
            <w:tcW w:w="1175" w:type="dxa"/>
            <w:tcBorders>
              <w:top w:val="single" w:color="000000" w:sz="4" w:space="0"/>
              <w:left w:val="single" w:color="000000" w:sz="4" w:space="0"/>
              <w:bottom w:val="single" w:color="000000" w:sz="4" w:space="0"/>
              <w:right w:val="single" w:color="000000" w:sz="4" w:space="0"/>
            </w:tcBorders>
            <w:noWrap/>
            <w:vAlign w:val="center"/>
          </w:tcPr>
          <w:p w14:paraId="11AC086E">
            <w:pPr>
              <w:pStyle w:val="28"/>
              <w:bidi w:val="0"/>
            </w:pPr>
            <w:r>
              <w:t>11.03</w:t>
            </w:r>
          </w:p>
        </w:tc>
      </w:tr>
      <w:tr w14:paraId="2DD18EF7">
        <w:tblPrEx>
          <w:tblCellMar>
            <w:top w:w="0" w:type="dxa"/>
            <w:left w:w="108" w:type="dxa"/>
            <w:bottom w:w="0" w:type="dxa"/>
            <w:right w:w="108" w:type="dxa"/>
          </w:tblCellMar>
        </w:tblPrEx>
        <w:trPr>
          <w:trHeight w:val="340" w:hRule="atLeast"/>
          <w:jc w:val="center"/>
        </w:trPr>
        <w:tc>
          <w:tcPr>
            <w:tcW w:w="2568" w:type="pct"/>
            <w:gridSpan w:val="2"/>
            <w:tcBorders>
              <w:top w:val="single" w:color="000000" w:sz="4" w:space="0"/>
              <w:left w:val="single" w:color="000000" w:sz="4" w:space="0"/>
              <w:bottom w:val="single" w:color="000000" w:sz="4" w:space="0"/>
              <w:right w:val="single" w:color="000000" w:sz="4" w:space="0"/>
            </w:tcBorders>
            <w:noWrap/>
            <w:vAlign w:val="center"/>
          </w:tcPr>
          <w:p w14:paraId="7F6A9222">
            <w:pPr>
              <w:pStyle w:val="28"/>
              <w:bidi w:val="0"/>
            </w:pPr>
            <w:r>
              <w:t>合计</w:t>
            </w:r>
          </w:p>
        </w:tc>
        <w:tc>
          <w:tcPr>
            <w:tcW w:w="1828" w:type="pct"/>
            <w:gridSpan w:val="3"/>
            <w:tcBorders>
              <w:top w:val="single" w:color="000000" w:sz="4" w:space="0"/>
              <w:left w:val="single" w:color="000000" w:sz="4" w:space="0"/>
              <w:bottom w:val="single" w:color="000000" w:sz="4" w:space="0"/>
              <w:right w:val="single" w:color="000000" w:sz="4" w:space="0"/>
            </w:tcBorders>
            <w:vAlign w:val="center"/>
          </w:tcPr>
          <w:p w14:paraId="3CB0DA6F">
            <w:pPr>
              <w:pStyle w:val="28"/>
              <w:bidi w:val="0"/>
            </w:pPr>
            <w:r>
              <w:t>1.33</w:t>
            </w:r>
          </w:p>
        </w:tc>
        <w:tc>
          <w:tcPr>
            <w:tcW w:w="603" w:type="pct"/>
            <w:tcBorders>
              <w:top w:val="single" w:color="000000" w:sz="4" w:space="0"/>
              <w:left w:val="single" w:color="000000" w:sz="4" w:space="0"/>
              <w:bottom w:val="single" w:color="000000" w:sz="4" w:space="0"/>
              <w:right w:val="single" w:color="000000" w:sz="4" w:space="0"/>
            </w:tcBorders>
            <w:noWrap/>
            <w:vAlign w:val="center"/>
          </w:tcPr>
          <w:p w14:paraId="45C7C098">
            <w:pPr>
              <w:pStyle w:val="28"/>
              <w:bidi w:val="0"/>
            </w:pPr>
            <w:r>
              <w:t>33.46</w:t>
            </w:r>
          </w:p>
        </w:tc>
      </w:tr>
    </w:tbl>
    <w:p w14:paraId="40DCDE6E">
      <w:pPr>
        <w:widowControl w:val="0"/>
        <w:autoSpaceDE w:val="0"/>
        <w:autoSpaceDN w:val="0"/>
        <w:spacing w:line="240" w:lineRule="auto"/>
        <w:ind w:firstLine="480" w:firstLineChars="200"/>
        <w:rPr>
          <w:rFonts w:eastAsia="Times New Roman" w:cs="Times New Roman"/>
          <w:color w:val="0000FF"/>
          <w:lang w:bidi="ar"/>
        </w:rPr>
      </w:pPr>
    </w:p>
    <w:p w14:paraId="228F3C90">
      <w:pPr>
        <w:widowControl w:val="0"/>
        <w:autoSpaceDE w:val="0"/>
        <w:autoSpaceDN w:val="0"/>
        <w:ind w:firstLine="480" w:firstLineChars="200"/>
        <w:rPr>
          <w:rFonts w:cs="Times New Roman"/>
          <w:color w:val="0000FF"/>
        </w:rPr>
      </w:pPr>
      <w:r>
        <w:rPr>
          <w:rFonts w:eastAsia="Times New Roman" w:cs="Times New Roman"/>
          <w:color w:val="0000FF"/>
          <w:lang w:bidi="ar"/>
        </w:rPr>
        <w:t>围堰区间内、渡槽所在河流施工道路至导流涵管区间内的底栖动物将遭受较大损失，但这种影响也是局部的、暂时的，工程施工结束后，施工区域水体的底质物理条件逐步恢复，水质得到改善，底栖动物的生存环境将逐步恢复，底栖动物的数量、生物量将得到逐步恢复。</w:t>
      </w:r>
    </w:p>
    <w:p w14:paraId="7CD42C28">
      <w:pPr>
        <w:widowControl w:val="0"/>
        <w:autoSpaceDE w:val="0"/>
        <w:autoSpaceDN w:val="0"/>
        <w:ind w:firstLine="480" w:firstLineChars="200"/>
        <w:rPr>
          <w:rFonts w:cs="Times New Roman"/>
          <w:color w:val="0000FF"/>
        </w:rPr>
      </w:pPr>
      <w:r>
        <w:rPr>
          <w:rFonts w:cs="Times New Roman"/>
          <w:color w:val="0000FF"/>
        </w:rPr>
        <w:t>（5）鱼类的影响</w:t>
      </w:r>
    </w:p>
    <w:p w14:paraId="70EBDA6F">
      <w:pPr>
        <w:widowControl w:val="0"/>
        <w:autoSpaceDE w:val="0"/>
        <w:autoSpaceDN w:val="0"/>
        <w:ind w:firstLine="480" w:firstLineChars="200"/>
        <w:jc w:val="both"/>
        <w:rPr>
          <w:rFonts w:cs="Times New Roman"/>
          <w:color w:val="0000FF"/>
          <w:lang w:bidi="ar"/>
        </w:rPr>
      </w:pPr>
      <w:r>
        <w:rPr>
          <w:rFonts w:cs="Times New Roman"/>
          <w:color w:val="0000FF"/>
          <w:lang w:bidi="ar"/>
        </w:rPr>
        <w:t>①对鱼类区系组成的影响</w:t>
      </w:r>
    </w:p>
    <w:p w14:paraId="144C8CA0">
      <w:pPr>
        <w:widowControl w:val="0"/>
        <w:autoSpaceDE w:val="0"/>
        <w:autoSpaceDN w:val="0"/>
        <w:ind w:firstLine="480" w:firstLineChars="200"/>
        <w:jc w:val="both"/>
        <w:rPr>
          <w:rFonts w:eastAsia="Times New Roman" w:cs="Times New Roman"/>
          <w:color w:val="0000FF"/>
          <w:lang w:bidi="ar"/>
        </w:rPr>
      </w:pPr>
      <w:r>
        <w:rPr>
          <w:rFonts w:eastAsia="Times New Roman" w:cs="Times New Roman"/>
          <w:color w:val="0000FF"/>
          <w:lang w:bidi="ar"/>
        </w:rPr>
        <w:t>在评价区域内，工程围堰施工、施工道路施工等，将对施工区域内的水体鱼类产生影响，涉水工程施工小范围内的鱼类受到惊扰后逃避，仅影响施工点及周边局部小范围内鱼类生存状态及破坏其生境，造成鱼类生物量损失有限，因此工程施工对评价区的鱼类等水生生物区系组成影响很小。此外，</w:t>
      </w:r>
      <w:r>
        <w:rPr>
          <w:rFonts w:cs="Times New Roman"/>
          <w:color w:val="0000FF"/>
          <w:lang w:bidi="ar"/>
        </w:rPr>
        <w:t>渡槽</w:t>
      </w:r>
      <w:r>
        <w:rPr>
          <w:rFonts w:eastAsia="Times New Roman" w:cs="Times New Roman"/>
          <w:color w:val="0000FF"/>
          <w:lang w:bidi="ar"/>
        </w:rPr>
        <w:t>等场地施工道路将阻断河流水体，导致河流内鱼类被阻隔在工区两侧，但工程施工结束后，施工对鱼类的影响消除，不会影响鱼类的区系组成，受影响避让的鱼类将逐步</w:t>
      </w:r>
      <w:r>
        <w:rPr>
          <w:rFonts w:hint="eastAsia" w:cs="Times New Roman"/>
          <w:color w:val="0000FF"/>
          <w:lang w:bidi="ar"/>
        </w:rPr>
        <w:t>洄游</w:t>
      </w:r>
      <w:r>
        <w:rPr>
          <w:rFonts w:eastAsia="Times New Roman" w:cs="Times New Roman"/>
          <w:color w:val="0000FF"/>
          <w:lang w:bidi="ar"/>
        </w:rPr>
        <w:t>到建设点并适应新的</w:t>
      </w:r>
    </w:p>
    <w:p w14:paraId="492F698E">
      <w:pPr>
        <w:widowControl w:val="0"/>
        <w:autoSpaceDE w:val="0"/>
        <w:autoSpaceDN w:val="0"/>
        <w:ind w:firstLine="480" w:firstLineChars="200"/>
        <w:jc w:val="both"/>
        <w:rPr>
          <w:rFonts w:cs="Times New Roman"/>
          <w:color w:val="0000FF"/>
          <w:lang w:bidi="ar"/>
        </w:rPr>
      </w:pPr>
      <w:r>
        <w:rPr>
          <w:rFonts w:cs="Times New Roman"/>
          <w:color w:val="0000FF"/>
          <w:lang w:bidi="ar"/>
        </w:rPr>
        <w:t>②对鱼类种群结构的影响</w:t>
      </w:r>
    </w:p>
    <w:p w14:paraId="23E8775B">
      <w:pPr>
        <w:widowControl w:val="0"/>
        <w:autoSpaceDE w:val="0"/>
        <w:autoSpaceDN w:val="0"/>
        <w:ind w:firstLine="480" w:firstLineChars="200"/>
        <w:jc w:val="both"/>
        <w:rPr>
          <w:rFonts w:eastAsia="Times New Roman" w:cs="Times New Roman"/>
          <w:color w:val="0000FF"/>
          <w:lang w:bidi="ar"/>
        </w:rPr>
      </w:pPr>
      <w:r>
        <w:rPr>
          <w:rFonts w:eastAsia="Times New Roman" w:cs="Times New Roman"/>
          <w:color w:val="0000FF"/>
          <w:lang w:bidi="ar"/>
        </w:rPr>
        <w:t>通过鱼类调查的结果，实地调查记录到鱼类4目15种，即鲤形目、合鳃鱼目、鲇形目、鲈形目，鱼类群落结构中，鲤形目种类数最多，为10种，占总种类的66.66%，是评价区水域鱼类群落中的绝对优势类群。</w:t>
      </w:r>
    </w:p>
    <w:p w14:paraId="61A16B18">
      <w:pPr>
        <w:widowControl w:val="0"/>
        <w:autoSpaceDE w:val="0"/>
        <w:autoSpaceDN w:val="0"/>
        <w:ind w:firstLine="480" w:firstLineChars="200"/>
        <w:jc w:val="both"/>
        <w:rPr>
          <w:rFonts w:eastAsia="Times New Roman" w:cs="Times New Roman"/>
          <w:color w:val="0000FF"/>
          <w:lang w:bidi="ar"/>
        </w:rPr>
      </w:pPr>
      <w:r>
        <w:rPr>
          <w:rFonts w:eastAsia="Times New Roman" w:cs="Times New Roman"/>
          <w:color w:val="0000FF"/>
          <w:lang w:bidi="ar"/>
        </w:rPr>
        <w:t>工程不涉及特定鱼类栖息地的破坏，不会造成特定鱼类物种的丧失，不会造成鱼类群落结构的变化。</w:t>
      </w:r>
    </w:p>
    <w:p w14:paraId="147F5A3F">
      <w:pPr>
        <w:widowControl w:val="0"/>
        <w:autoSpaceDE w:val="0"/>
        <w:autoSpaceDN w:val="0"/>
        <w:ind w:firstLine="480" w:firstLineChars="200"/>
        <w:jc w:val="both"/>
        <w:rPr>
          <w:rFonts w:cs="Times New Roman"/>
          <w:color w:val="0000FF"/>
          <w:lang w:bidi="ar"/>
        </w:rPr>
      </w:pPr>
      <w:r>
        <w:rPr>
          <w:rFonts w:cs="Times New Roman"/>
          <w:color w:val="0000FF"/>
          <w:lang w:bidi="ar"/>
        </w:rPr>
        <w:t>③对鱼类资源的影响</w:t>
      </w:r>
    </w:p>
    <w:p w14:paraId="7E8331BC">
      <w:pPr>
        <w:widowControl w:val="0"/>
        <w:autoSpaceDE w:val="0"/>
        <w:autoSpaceDN w:val="0"/>
        <w:ind w:firstLine="480" w:firstLineChars="200"/>
        <w:jc w:val="both"/>
        <w:rPr>
          <w:rFonts w:eastAsia="Times New Roman" w:cs="Times New Roman"/>
          <w:color w:val="0000FF"/>
          <w:lang w:bidi="ar"/>
        </w:rPr>
      </w:pPr>
      <w:r>
        <w:rPr>
          <w:rFonts w:eastAsia="Times New Roman" w:cs="Times New Roman"/>
          <w:color w:val="0000FF"/>
          <w:lang w:bidi="ar"/>
        </w:rPr>
        <w:t>施工期持续性的机械噪声以及振动等通过水体的传导，将在一定程度上导致过往鱼群受到惊吓或逃避，致使施工水域周边小范围内鱼类资源量有所降低，但对整个评价区内河段的鱼类资源基本没有影响。</w:t>
      </w:r>
    </w:p>
    <w:p w14:paraId="62BC1744">
      <w:pPr>
        <w:widowControl w:val="0"/>
        <w:autoSpaceDE w:val="0"/>
        <w:autoSpaceDN w:val="0"/>
        <w:ind w:firstLine="480" w:firstLineChars="200"/>
        <w:jc w:val="both"/>
        <w:rPr>
          <w:rFonts w:cs="Times New Roman"/>
          <w:color w:val="0000FF"/>
          <w:lang w:bidi="ar"/>
        </w:rPr>
      </w:pPr>
      <w:r>
        <w:rPr>
          <w:rFonts w:cs="Times New Roman"/>
          <w:color w:val="0000FF"/>
          <w:lang w:bidi="ar"/>
        </w:rPr>
        <w:t>④对鱼类繁殖的影响</w:t>
      </w:r>
    </w:p>
    <w:p w14:paraId="469970D3">
      <w:pPr>
        <w:widowControl w:val="0"/>
        <w:autoSpaceDE w:val="0"/>
        <w:autoSpaceDN w:val="0"/>
        <w:ind w:firstLine="480" w:firstLineChars="200"/>
        <w:jc w:val="both"/>
        <w:rPr>
          <w:rFonts w:eastAsia="Times New Roman" w:cs="Times New Roman"/>
          <w:color w:val="0000FF"/>
          <w:lang w:bidi="ar"/>
        </w:rPr>
      </w:pPr>
      <w:r>
        <w:rPr>
          <w:rFonts w:cs="Times New Roman"/>
          <w:color w:val="0000FF"/>
          <w:lang w:bidi="ar"/>
        </w:rPr>
        <w:t>本次工程主体工程以及临时工程的影响范围主要集中在总干渠、干渠以及其他支渠中，渠道跨越的河流均为小型河流或者泄洪河道，根据调查，水体中未发现珍稀鱼类的</w:t>
      </w:r>
      <w:r>
        <w:rPr>
          <w:rFonts w:eastAsia="Times New Roman" w:cs="Times New Roman"/>
          <w:color w:val="0000FF"/>
          <w:lang w:bidi="ar"/>
        </w:rPr>
        <w:t>产卵场、索饵场、越冬场等保护目标</w:t>
      </w:r>
      <w:r>
        <w:rPr>
          <w:rFonts w:cs="Times New Roman"/>
          <w:color w:val="0000FF"/>
          <w:lang w:bidi="ar"/>
        </w:rPr>
        <w:t>。区域</w:t>
      </w:r>
      <w:r>
        <w:rPr>
          <w:rFonts w:eastAsia="Times New Roman" w:cs="Times New Roman"/>
          <w:color w:val="0000FF"/>
          <w:lang w:bidi="ar"/>
        </w:rPr>
        <w:t>主要鱼类为青鱼、草鱼、鲢鱼、鳙鱼</w:t>
      </w:r>
      <w:r>
        <w:rPr>
          <w:rFonts w:cs="Times New Roman"/>
          <w:color w:val="0000FF"/>
          <w:lang w:bidi="ar"/>
        </w:rPr>
        <w:t>、</w:t>
      </w:r>
      <w:r>
        <w:rPr>
          <w:rFonts w:eastAsia="Times New Roman" w:cs="Times New Roman"/>
          <w:color w:val="0000FF"/>
          <w:lang w:bidi="ar"/>
        </w:rPr>
        <w:t>鲫鱼</w:t>
      </w:r>
      <w:r>
        <w:rPr>
          <w:rFonts w:cs="Times New Roman"/>
          <w:color w:val="0000FF"/>
          <w:lang w:bidi="ar"/>
        </w:rPr>
        <w:t>和</w:t>
      </w:r>
      <w:r>
        <w:rPr>
          <w:rFonts w:cs="Times New Roman"/>
          <w:color w:val="0000FF"/>
          <w:kern w:val="2"/>
        </w:rPr>
        <w:t>短颌鲚</w:t>
      </w:r>
      <w:r>
        <w:rPr>
          <w:rFonts w:eastAsia="Times New Roman" w:cs="Times New Roman"/>
          <w:color w:val="0000FF"/>
          <w:lang w:bidi="ar"/>
        </w:rPr>
        <w:t>等，在该地区较常见，青鱼、草鱼、鲢鱼、鳙鱼</w:t>
      </w:r>
      <w:r>
        <w:rPr>
          <w:rFonts w:cs="Times New Roman"/>
          <w:color w:val="0000FF"/>
          <w:lang w:bidi="ar"/>
        </w:rPr>
        <w:t>、</w:t>
      </w:r>
      <w:r>
        <w:rPr>
          <w:rFonts w:eastAsia="Times New Roman" w:cs="Times New Roman"/>
          <w:color w:val="0000FF"/>
          <w:lang w:bidi="ar"/>
        </w:rPr>
        <w:t>鲫鱼</w:t>
      </w:r>
      <w:r>
        <w:rPr>
          <w:rFonts w:cs="Times New Roman"/>
          <w:color w:val="0000FF"/>
          <w:lang w:bidi="ar"/>
        </w:rPr>
        <w:t>和</w:t>
      </w:r>
      <w:r>
        <w:rPr>
          <w:rFonts w:cs="Times New Roman"/>
          <w:color w:val="0000FF"/>
          <w:kern w:val="2"/>
        </w:rPr>
        <w:t>短颌鲚</w:t>
      </w:r>
      <w:r>
        <w:rPr>
          <w:rFonts w:cs="Times New Roman"/>
          <w:color w:val="0000FF"/>
          <w:lang w:bidi="ar"/>
        </w:rPr>
        <w:t>等</w:t>
      </w:r>
      <w:r>
        <w:rPr>
          <w:rFonts w:eastAsia="Times New Roman" w:cs="Times New Roman"/>
          <w:color w:val="0000FF"/>
          <w:lang w:bidi="ar"/>
        </w:rPr>
        <w:t>为洄游性鱼类，洄游期在4~7月，由于项目</w:t>
      </w:r>
      <w:r>
        <w:rPr>
          <w:rFonts w:cs="Times New Roman"/>
          <w:color w:val="0000FF"/>
          <w:lang w:bidi="ar"/>
        </w:rPr>
        <w:t>在非灌溉期、停水期干地</w:t>
      </w:r>
      <w:r>
        <w:rPr>
          <w:rFonts w:eastAsia="Times New Roman" w:cs="Times New Roman"/>
          <w:color w:val="0000FF"/>
          <w:lang w:bidi="ar"/>
        </w:rPr>
        <w:t>施工</w:t>
      </w:r>
      <w:r>
        <w:rPr>
          <w:rFonts w:cs="Times New Roman"/>
          <w:color w:val="0000FF"/>
          <w:lang w:bidi="ar"/>
        </w:rPr>
        <w:t>，总干渠上不设置截断性围堰，保持总干渠在洄游期畅通，滁河干渠围堰时间控制在10月</w:t>
      </w:r>
      <w:r>
        <w:rPr>
          <w:rFonts w:hint="eastAsia" w:cs="Times New Roman"/>
          <w:color w:val="0000FF"/>
          <w:lang w:bidi="ar"/>
        </w:rPr>
        <w:t>～</w:t>
      </w:r>
      <w:r>
        <w:rPr>
          <w:rFonts w:cs="Times New Roman"/>
          <w:color w:val="0000FF"/>
          <w:lang w:bidi="ar"/>
        </w:rPr>
        <w:t>次年3月</w:t>
      </w:r>
      <w:r>
        <w:rPr>
          <w:rFonts w:eastAsia="Times New Roman" w:cs="Times New Roman"/>
          <w:color w:val="0000FF"/>
          <w:lang w:bidi="ar"/>
        </w:rPr>
        <w:t>，避开了洄游时期，故对常见鱼类的洄游影响较小。</w:t>
      </w:r>
      <w:r>
        <w:rPr>
          <w:rFonts w:cs="Times New Roman"/>
          <w:color w:val="0000FF"/>
          <w:lang w:bidi="ar"/>
        </w:rPr>
        <w:t>其他施工期有供水需求的渠道均采用</w:t>
      </w:r>
      <w:r>
        <w:rPr>
          <w:rFonts w:eastAsia="Times New Roman" w:cs="Times New Roman"/>
          <w:color w:val="0000FF"/>
          <w:lang w:bidi="ar"/>
        </w:rPr>
        <w:t>局部河段建围堰施工，水流从导流渠</w:t>
      </w:r>
      <w:r>
        <w:rPr>
          <w:rFonts w:hint="eastAsia" w:cs="Times New Roman"/>
          <w:color w:val="0000FF"/>
          <w:lang w:bidi="ar"/>
        </w:rPr>
        <w:t>或</w:t>
      </w:r>
      <w:r>
        <w:rPr>
          <w:rFonts w:cs="Times New Roman"/>
          <w:color w:val="0000FF"/>
          <w:lang w:bidi="ar"/>
        </w:rPr>
        <w:t>放水涵等</w:t>
      </w:r>
      <w:r>
        <w:rPr>
          <w:rFonts w:eastAsia="Times New Roman" w:cs="Times New Roman"/>
          <w:color w:val="0000FF"/>
          <w:lang w:bidi="ar"/>
        </w:rPr>
        <w:t>通过，对鱼类的生境有一定影响，但由于围堰施工段较短，施工期也短暂，施工结束后即可恢复，对鱼类的生境影响较小。</w:t>
      </w:r>
    </w:p>
    <w:p w14:paraId="75040AF3">
      <w:pPr>
        <w:pStyle w:val="5"/>
        <w:rPr>
          <w:rFonts w:cs="Times New Roman"/>
          <w:color w:val="0000FF"/>
        </w:rPr>
      </w:pPr>
      <w:r>
        <w:rPr>
          <w:rFonts w:hint="eastAsia" w:cs="Times New Roman"/>
          <w:color w:val="0000FF"/>
        </w:rPr>
        <w:t>5.7</w:t>
      </w:r>
      <w:r>
        <w:rPr>
          <w:rFonts w:cs="Times New Roman"/>
          <w:color w:val="0000FF"/>
        </w:rPr>
        <w:t>.3.2 运行期水生生态影响</w:t>
      </w:r>
    </w:p>
    <w:p w14:paraId="06A74B03">
      <w:pPr>
        <w:widowControl w:val="0"/>
        <w:autoSpaceDE w:val="0"/>
        <w:autoSpaceDN w:val="0"/>
        <w:ind w:firstLine="480" w:firstLineChars="200"/>
        <w:rPr>
          <w:rFonts w:cs="Times New Roman"/>
          <w:color w:val="0000FF"/>
        </w:rPr>
      </w:pPr>
      <w:r>
        <w:rPr>
          <w:rFonts w:cs="Times New Roman"/>
          <w:color w:val="0000FF"/>
        </w:rPr>
        <w:t>本工程建设完工后，由于渠道清淤工程的作用，渠道清除了底泥中污染物，同时渠道水域面积比清淤之前略大，有利用水体复氧，加强水体的自净能力，水质将有改善的趋势。生存环境的优化将有利于水生生物的生长和繁殖。</w:t>
      </w:r>
    </w:p>
    <w:p w14:paraId="073CDC2C">
      <w:pPr>
        <w:widowControl w:val="0"/>
        <w:autoSpaceDE w:val="0"/>
        <w:autoSpaceDN w:val="0"/>
        <w:ind w:firstLine="480" w:firstLineChars="200"/>
        <w:rPr>
          <w:rFonts w:cs="Times New Roman"/>
          <w:color w:val="0000FF"/>
        </w:rPr>
      </w:pPr>
      <w:r>
        <w:rPr>
          <w:rFonts w:cs="Times New Roman"/>
          <w:color w:val="0000FF"/>
        </w:rPr>
        <w:t>工程竣工后，运行初期由于渠道底质的改变，产沉性卵和黏性卵鱼类自然繁殖受到较大影响，因此需采取诸如增殖放流等措施加以补偿。运行后期由于渠道疏浚后，水面变宽，水深增加，对水质改善有促进作用，促进了鱼类饵料生物的生长繁殖，为鱼类提供了充足的食物，对鱼类的生长有利。</w:t>
      </w:r>
    </w:p>
    <w:p w14:paraId="10E2BDFB">
      <w:pPr>
        <w:widowControl w:val="0"/>
        <w:autoSpaceDE w:val="0"/>
        <w:autoSpaceDN w:val="0"/>
        <w:ind w:firstLine="480" w:firstLineChars="200"/>
        <w:rPr>
          <w:rFonts w:cs="Times New Roman"/>
          <w:color w:val="0000FF"/>
        </w:rPr>
      </w:pPr>
      <w:r>
        <w:rPr>
          <w:rFonts w:cs="Times New Roman"/>
          <w:color w:val="0000FF"/>
        </w:rPr>
        <w:t>随着生物多样性的提高，渠道内水生生态系统的物种结构将更完善，食物链的断链环节重新恢复，食物网复杂化。而生境异质性的恢复也使生态系统的水平和垂直结构更完整。从而使整个水生生态系统发育更成熟，其质量、稳定性和服务功能将得到提高，有利阻止或减缓生态环境的恶化。</w:t>
      </w:r>
    </w:p>
    <w:p w14:paraId="3EFBDBAB">
      <w:pPr>
        <w:widowControl w:val="0"/>
        <w:autoSpaceDE w:val="0"/>
        <w:autoSpaceDN w:val="0"/>
        <w:ind w:firstLine="480" w:firstLineChars="200"/>
        <w:rPr>
          <w:rFonts w:cs="Times New Roman"/>
          <w:color w:val="0000FF"/>
        </w:rPr>
      </w:pPr>
      <w:r>
        <w:rPr>
          <w:rFonts w:cs="Times New Roman"/>
          <w:color w:val="0000FF"/>
        </w:rPr>
        <w:t>总体而言，项目的完工将使工程区的水生生态环境得到改善，生物量和净生产量会有所提高，生物多样性和异质性增加，生态系统结构更完整。但受堤防和防汛道路建设的影响，区域渠道与两岸水、陆域间生物往来、物质流通会受到一定阻碍。</w:t>
      </w:r>
    </w:p>
    <w:p w14:paraId="63B5724A">
      <w:pPr>
        <w:widowControl w:val="0"/>
        <w:autoSpaceDE w:val="0"/>
        <w:autoSpaceDN w:val="0"/>
        <w:ind w:firstLine="480" w:firstLineChars="200"/>
        <w:rPr>
          <w:rFonts w:cs="Times New Roman"/>
          <w:color w:val="0000FF"/>
        </w:rPr>
      </w:pPr>
      <w:r>
        <w:rPr>
          <w:rFonts w:cs="Times New Roman"/>
          <w:color w:val="0000FF"/>
        </w:rPr>
        <w:t>本工程运行期，堤防沿岸的绿化已经建设完成，可使施工对沿线生态环境的影响得以恢复，保持生态稳定性。堤防沿岸的绿化建设还能在一定程度上改善工程渠段景观</w:t>
      </w:r>
      <w:r>
        <w:rPr>
          <w:rFonts w:cs="Times New Roman"/>
          <w:color w:val="0000FF"/>
          <w:lang w:bidi="ar"/>
        </w:rPr>
        <w:t>。</w:t>
      </w:r>
    </w:p>
    <w:p w14:paraId="338FD2D2">
      <w:pPr>
        <w:pStyle w:val="4"/>
        <w:rPr>
          <w:rFonts w:cs="Times New Roman"/>
          <w:color w:val="0000FF"/>
        </w:rPr>
      </w:pPr>
      <w:r>
        <w:rPr>
          <w:rFonts w:hint="eastAsia" w:cs="Times New Roman"/>
          <w:color w:val="0000FF"/>
        </w:rPr>
        <w:t>5.7</w:t>
      </w:r>
      <w:r>
        <w:rPr>
          <w:rFonts w:cs="Times New Roman"/>
          <w:color w:val="0000FF"/>
        </w:rPr>
        <w:t>.4 对生态保护红线的影响</w:t>
      </w:r>
    </w:p>
    <w:p w14:paraId="145842AE">
      <w:pPr>
        <w:ind w:firstLine="480" w:firstLineChars="200"/>
        <w:rPr>
          <w:rFonts w:cs="Times New Roman"/>
          <w:color w:val="0000FF"/>
        </w:rPr>
      </w:pPr>
      <w:r>
        <w:rPr>
          <w:rFonts w:hint="eastAsia" w:cs="Times New Roman"/>
          <w:color w:val="0000FF"/>
        </w:rPr>
        <w:t>1、</w:t>
      </w:r>
      <w:r>
        <w:rPr>
          <w:rFonts w:cs="Times New Roman"/>
          <w:color w:val="0000FF"/>
        </w:rPr>
        <w:t>项目涉及生态保护红线不可避论证</w:t>
      </w:r>
    </w:p>
    <w:p w14:paraId="7BE5A5E1">
      <w:pPr>
        <w:ind w:firstLine="480" w:firstLineChars="200"/>
        <w:rPr>
          <w:rFonts w:cs="Times New Roman"/>
          <w:color w:val="0000FF"/>
        </w:rPr>
      </w:pPr>
      <w:r>
        <w:rPr>
          <w:rFonts w:cs="Times New Roman"/>
          <w:color w:val="0000FF"/>
        </w:rPr>
        <w:t>灌区续建配套和现代化改造工程设计总体思路，维持原有工程体系，在原有灌排体系等工程设施的基础上，对制约灌区发展的关键工程进行改造；在实施方案的的基础上，针对实施方案提出的问题，进一步补充和优化工程场址和线路的比较。本次</w:t>
      </w:r>
      <w:r>
        <w:rPr>
          <w:rFonts w:hint="eastAsia" w:cs="Times New Roman"/>
          <w:color w:val="0000FF"/>
        </w:rPr>
        <w:t>是</w:t>
      </w:r>
      <w:r>
        <w:rPr>
          <w:rFonts w:cs="Times New Roman"/>
          <w:color w:val="0000FF"/>
        </w:rPr>
        <w:t>涉及生态保护红线的改造项目</w:t>
      </w:r>
      <w:r>
        <w:rPr>
          <w:rFonts w:hint="eastAsia" w:cs="Times New Roman"/>
          <w:color w:val="0000FF"/>
        </w:rPr>
        <w:t>，</w:t>
      </w:r>
      <w:r>
        <w:rPr>
          <w:rFonts w:cs="Times New Roman"/>
          <w:color w:val="0000FF"/>
        </w:rPr>
        <w:t>其对应的原有项目已在生态保护红线范围内，</w:t>
      </w:r>
      <w:r>
        <w:rPr>
          <w:rFonts w:cs="Times New Roman"/>
          <w:color w:val="0000FF"/>
          <w:lang w:bidi="ar"/>
        </w:rPr>
        <w:t>现有工程的</w:t>
      </w:r>
      <w:r>
        <w:rPr>
          <w:rFonts w:hint="eastAsia" w:cs="Times New Roman"/>
          <w:color w:val="0000FF"/>
          <w:lang w:bidi="ar"/>
        </w:rPr>
        <w:t>问题出在哪里</w:t>
      </w:r>
      <w:r>
        <w:rPr>
          <w:rFonts w:cs="Times New Roman"/>
          <w:color w:val="0000FF"/>
          <w:lang w:bidi="ar"/>
        </w:rPr>
        <w:t>，本次工程建设地点就只能在哪里</w:t>
      </w:r>
      <w:r>
        <w:rPr>
          <w:rFonts w:cs="Times New Roman"/>
          <w:color w:val="0000FF"/>
        </w:rPr>
        <w:t>，因此，部分改造确实无法避免涉及生态保护红线。</w:t>
      </w:r>
    </w:p>
    <w:p w14:paraId="13226B90">
      <w:pPr>
        <w:ind w:firstLine="480" w:firstLineChars="200"/>
        <w:rPr>
          <w:color w:val="0000FF"/>
        </w:rPr>
      </w:pPr>
      <w:r>
        <w:rPr>
          <w:rFonts w:hint="eastAsia"/>
          <w:color w:val="0000FF"/>
        </w:rPr>
        <w:t>2、</w:t>
      </w:r>
      <w:r>
        <w:rPr>
          <w:color w:val="0000FF"/>
        </w:rPr>
        <w:t>项目涉及生态保护红线影响分析</w:t>
      </w:r>
    </w:p>
    <w:p w14:paraId="1D5897F5">
      <w:pPr>
        <w:ind w:firstLine="480" w:firstLineChars="200"/>
        <w:rPr>
          <w:rFonts w:cs="Times New Roman"/>
          <w:color w:val="0000FF"/>
        </w:rPr>
      </w:pPr>
      <w:r>
        <w:rPr>
          <w:rFonts w:cs="Times New Roman"/>
          <w:color w:val="0000FF"/>
        </w:rPr>
        <w:t>（1）对涉及生态保护红线数量的影响分析</w:t>
      </w:r>
    </w:p>
    <w:p w14:paraId="35959771">
      <w:pPr>
        <w:ind w:firstLine="480" w:firstLineChars="200"/>
        <w:rPr>
          <w:rFonts w:cs="Times New Roman"/>
          <w:color w:val="0000FF"/>
        </w:rPr>
      </w:pPr>
      <w:r>
        <w:rPr>
          <w:rFonts w:cs="Times New Roman"/>
          <w:color w:val="0000FF"/>
        </w:rPr>
        <w:t>本项目涉及占用2018年生态保护红线面积为21.54公顷，本项目是</w:t>
      </w:r>
      <w:r>
        <w:rPr>
          <w:rFonts w:hint="eastAsia" w:cs="Times New Roman"/>
          <w:color w:val="0000FF"/>
          <w:lang w:eastAsia="zh-CN"/>
        </w:rPr>
        <w:t>朱集灌区</w:t>
      </w:r>
      <w:r>
        <w:rPr>
          <w:rFonts w:cs="Times New Roman"/>
          <w:color w:val="0000FF"/>
        </w:rPr>
        <w:t>的续建配套与现代化改造工程，属于典型的生态类项目，不对外排放污染物，基本不会对生态保护红线区域产生影响。同时涉及生态保护红线仅占六安市和合肥市生态保护红线0.0047%，对项目区总体生态保护红线面积影响很小，也不会对沿线乡镇及周边区域的生态保护红线区域面积产生明显的影响。</w:t>
      </w:r>
    </w:p>
    <w:p w14:paraId="748D338F">
      <w:pPr>
        <w:ind w:firstLine="480" w:firstLineChars="200"/>
        <w:rPr>
          <w:rFonts w:cs="Times New Roman"/>
          <w:color w:val="0000FF"/>
        </w:rPr>
      </w:pPr>
      <w:r>
        <w:rPr>
          <w:rFonts w:cs="Times New Roman"/>
          <w:color w:val="0000FF"/>
        </w:rPr>
        <w:t>（2）对生态保护红线生态功能的影响分析</w:t>
      </w:r>
    </w:p>
    <w:p w14:paraId="71F67964">
      <w:pPr>
        <w:ind w:firstLine="480" w:firstLineChars="200"/>
        <w:rPr>
          <w:rFonts w:cs="Times New Roman"/>
          <w:color w:val="0000FF"/>
        </w:rPr>
      </w:pPr>
      <w:r>
        <w:rPr>
          <w:rFonts w:cs="Times New Roman"/>
          <w:color w:val="0000FF"/>
        </w:rPr>
        <w:t>项目涉及的土地与六安市、合肥市生态保护红线数据库核对，本项目涉及Ⅱ-4大别山北麓山前丘陵岗地水土保持生态保护红线和Ⅱ-3江淮分水岭丘岗水土保持生态保护红线，其生态功能主要为水土保持。</w:t>
      </w:r>
    </w:p>
    <w:p w14:paraId="54671F47">
      <w:pPr>
        <w:ind w:firstLine="480" w:firstLineChars="200"/>
        <w:rPr>
          <w:rFonts w:cs="Times New Roman"/>
          <w:color w:val="0000FF"/>
        </w:rPr>
      </w:pPr>
      <w:r>
        <w:rPr>
          <w:rFonts w:cs="Times New Roman"/>
          <w:color w:val="0000FF"/>
        </w:rPr>
        <w:t>其中，Ⅱ-4大别山北麓山前丘陵岗地水土保持生态保护红线的</w:t>
      </w:r>
      <w:r>
        <w:rPr>
          <w:rFonts w:cs="Times New Roman"/>
          <w:color w:val="0000FF"/>
          <w:lang w:bidi="ar"/>
        </w:rPr>
        <w:t>保护重点是加强水资源保护，合理调整优化农业结构，发展生态农业。在丘岗地区应提高植被覆盖率，适度发展林果业，控制水土流失，防止生态系统退化。</w:t>
      </w:r>
    </w:p>
    <w:p w14:paraId="09C24392">
      <w:pPr>
        <w:ind w:firstLine="480" w:firstLineChars="200"/>
        <w:rPr>
          <w:rFonts w:cs="Times New Roman"/>
          <w:color w:val="0000FF"/>
        </w:rPr>
      </w:pPr>
      <w:r>
        <w:rPr>
          <w:rFonts w:cs="Times New Roman"/>
          <w:color w:val="0000FF"/>
        </w:rPr>
        <w:t>Ⅱ-3江淮分水岭丘岗水土保持生态保护红线的保护重点是突出</w:t>
      </w:r>
      <w:r>
        <w:rPr>
          <w:rFonts w:hint="eastAsia" w:cs="Times New Roman"/>
          <w:color w:val="0000FF"/>
        </w:rPr>
        <w:t>“</w:t>
      </w:r>
      <w:r>
        <w:rPr>
          <w:rFonts w:cs="Times New Roman"/>
          <w:color w:val="0000FF"/>
        </w:rPr>
        <w:t>把水留住</w:t>
      </w:r>
      <w:r>
        <w:rPr>
          <w:rFonts w:hint="eastAsia" w:cs="Times New Roman"/>
          <w:color w:val="0000FF"/>
        </w:rPr>
        <w:t>”</w:t>
      </w:r>
      <w:r>
        <w:rPr>
          <w:rFonts w:cs="Times New Roman"/>
          <w:color w:val="0000FF"/>
        </w:rPr>
        <w:t>，加强水利工程建设，遏制旱灾频繁发生，发展节水农业，提高水资源综合利用率；</w:t>
      </w:r>
      <w:r>
        <w:rPr>
          <w:rFonts w:hint="eastAsia" w:cs="Times New Roman"/>
          <w:color w:val="0000FF"/>
        </w:rPr>
        <w:t>“</w:t>
      </w:r>
      <w:r>
        <w:rPr>
          <w:rFonts w:cs="Times New Roman"/>
          <w:color w:val="0000FF"/>
        </w:rPr>
        <w:t>把树栽上</w:t>
      </w:r>
      <w:r>
        <w:rPr>
          <w:rFonts w:hint="eastAsia" w:cs="Times New Roman"/>
          <w:color w:val="0000FF"/>
        </w:rPr>
        <w:t>”</w:t>
      </w:r>
      <w:r>
        <w:rPr>
          <w:rFonts w:cs="Times New Roman"/>
          <w:color w:val="0000FF"/>
        </w:rPr>
        <w:t>，提高植被覆盖率，加强农田基本建设，通过工程措施与生物措施相结合等方式，控制水土流失，改善区域生产条件。注重项目区的生态恢复，保护区域脆弱生态系统</w:t>
      </w:r>
      <w:r>
        <w:rPr>
          <w:rFonts w:cs="Times New Roman"/>
          <w:color w:val="0000FF"/>
          <w:lang w:bidi="ar"/>
        </w:rPr>
        <w:t>。</w:t>
      </w:r>
    </w:p>
    <w:p w14:paraId="24979099">
      <w:pPr>
        <w:ind w:firstLine="480" w:firstLineChars="200"/>
        <w:rPr>
          <w:rFonts w:cs="Times New Roman"/>
          <w:color w:val="0000FF"/>
        </w:rPr>
      </w:pPr>
      <w:r>
        <w:rPr>
          <w:rFonts w:hint="eastAsia" w:cs="Times New Roman"/>
          <w:color w:val="0000FF"/>
          <w:lang w:eastAsia="zh-CN"/>
        </w:rPr>
        <w:t>朱集灌区</w:t>
      </w:r>
      <w:r>
        <w:rPr>
          <w:rFonts w:cs="Times New Roman"/>
          <w:color w:val="0000FF"/>
        </w:rPr>
        <w:t>位于安徽省中西部和河南省东南部，1958年开工建设，1972年基本建成通水，经过60多年的持续建设和改造，</w:t>
      </w:r>
      <w:r>
        <w:rPr>
          <w:rFonts w:hint="eastAsia" w:cs="Times New Roman"/>
          <w:color w:val="0000FF"/>
          <w:lang w:eastAsia="zh-CN"/>
        </w:rPr>
        <w:t>朱集灌区</w:t>
      </w:r>
      <w:r>
        <w:rPr>
          <w:rFonts w:cs="Times New Roman"/>
          <w:color w:val="0000FF"/>
        </w:rPr>
        <w:t>已发展成为灌溉、供水、防洪、发电、生态保护等多目标的特大型综合利用水利工程，为皖豫两地千万亩农田灌溉用水和千万人口的用水安全提供了重要保障，也是千里大别山的防洪屏障和千里淮河的生态屏障。</w:t>
      </w:r>
    </w:p>
    <w:p w14:paraId="3E1C0C50">
      <w:pPr>
        <w:ind w:firstLine="480" w:firstLineChars="200"/>
        <w:rPr>
          <w:rFonts w:cs="Times New Roman"/>
          <w:color w:val="0000FF"/>
        </w:rPr>
      </w:pPr>
      <w:r>
        <w:rPr>
          <w:rFonts w:cs="Times New Roman"/>
          <w:color w:val="0000FF"/>
        </w:rPr>
        <w:t>通过对</w:t>
      </w:r>
      <w:r>
        <w:rPr>
          <w:rFonts w:hint="eastAsia" w:cs="Times New Roman"/>
          <w:color w:val="0000FF"/>
          <w:lang w:eastAsia="zh-CN"/>
        </w:rPr>
        <w:t>朱集灌区</w:t>
      </w:r>
      <w:r>
        <w:rPr>
          <w:rFonts w:cs="Times New Roman"/>
          <w:color w:val="0000FF"/>
        </w:rPr>
        <w:t>的不断续建和升级改造，可以解决灌区供水保障程度不足、工程老损不配套，灌排体系仍不完善的问题。对于遏制旱灾、保护水资源、</w:t>
      </w:r>
      <w:r>
        <w:rPr>
          <w:rFonts w:cs="Times New Roman"/>
          <w:color w:val="0000FF"/>
          <w:lang w:bidi="ar"/>
        </w:rPr>
        <w:t>发展生态农业</w:t>
      </w:r>
      <w:r>
        <w:rPr>
          <w:rFonts w:cs="Times New Roman"/>
          <w:color w:val="0000FF"/>
        </w:rPr>
        <w:t>、提高区域植被覆盖率，控制水土流失，改善生态环境有重要意义。因此，本项目建设符合该区域生态保护红线的保护重点要求。对区域生态保护红线生态功能有积极的正效益。</w:t>
      </w:r>
    </w:p>
    <w:p w14:paraId="3353A20F">
      <w:pPr>
        <w:ind w:firstLine="480" w:firstLineChars="200"/>
        <w:rPr>
          <w:rFonts w:cs="Times New Roman"/>
          <w:color w:val="0000FF"/>
        </w:rPr>
      </w:pPr>
      <w:r>
        <w:rPr>
          <w:rFonts w:cs="Times New Roman"/>
          <w:color w:val="0000FF"/>
        </w:rPr>
        <w:t>在项目实施时，将进行土石方开挖和填筑等，同时会清除施工出入口道路及线路周边的植物，会对生态功能造成影响，因此在项目建设时，做好相应的水土保持措施，待项目完工后，及时进行复绿，能对生态保护红线生态功能的影响降到最小。</w:t>
      </w:r>
    </w:p>
    <w:p w14:paraId="78EDB45B">
      <w:pPr>
        <w:ind w:firstLine="480" w:firstLineChars="200"/>
        <w:rPr>
          <w:rFonts w:cs="Times New Roman"/>
          <w:color w:val="0000FF"/>
        </w:rPr>
      </w:pPr>
      <w:r>
        <w:rPr>
          <w:rFonts w:cs="Times New Roman"/>
          <w:color w:val="0000FF"/>
        </w:rPr>
        <w:t>综上，本项目施工期会对区域生态环境产生少量不利影响，但施工结束后，通过及时进行复绿，能对生态保护红线生态功能的影响降到最小。且项目运行期对于遏制旱灾、保护水资源、</w:t>
      </w:r>
      <w:r>
        <w:rPr>
          <w:rFonts w:cs="Times New Roman"/>
          <w:color w:val="0000FF"/>
          <w:lang w:bidi="ar"/>
        </w:rPr>
        <w:t>发展生态农业</w:t>
      </w:r>
      <w:r>
        <w:rPr>
          <w:rFonts w:cs="Times New Roman"/>
          <w:color w:val="0000FF"/>
        </w:rPr>
        <w:t>、提高区域植被覆盖率，控制水土流失，改善生态环境有重要意义。对区域生态保护红线生态功能有积极的正效益。</w:t>
      </w:r>
    </w:p>
    <w:p w14:paraId="171A8831">
      <w:pPr>
        <w:ind w:firstLine="480" w:firstLineChars="200"/>
        <w:rPr>
          <w:rFonts w:cs="Times New Roman"/>
          <w:color w:val="0000FF"/>
        </w:rPr>
      </w:pPr>
      <w:r>
        <w:rPr>
          <w:rFonts w:cs="Times New Roman"/>
          <w:color w:val="0000FF"/>
        </w:rPr>
        <w:t>（3）对生态保护红线完整性分析</w:t>
      </w:r>
    </w:p>
    <w:p w14:paraId="29D43418">
      <w:pPr>
        <w:ind w:firstLine="480" w:firstLineChars="200"/>
        <w:rPr>
          <w:rFonts w:cs="Times New Roman"/>
          <w:color w:val="0000FF"/>
          <w:highlight w:val="yellow"/>
        </w:rPr>
      </w:pPr>
      <w:r>
        <w:rPr>
          <w:rFonts w:cs="Times New Roman"/>
          <w:color w:val="0000FF"/>
        </w:rPr>
        <w:t>灌区续建配套和现代化改造工程设计总体思路，维持原有工程体系，在原有灌排体系等工程设施的基础上，对制约灌区发展的关键工程进行改造。本次涉及生态保护红线的的改造项目。其对应的原有项目已在生态保护红线范围内。改造工程基本在原工程占地范围内实施，不会新增大量占地，不会切割生态保护红线板块，对生态保护红线的斑块基本不造成影响，因此，该项目对生态保护红线完整性不存在实质性影响。</w:t>
      </w:r>
    </w:p>
    <w:p w14:paraId="757862DE">
      <w:pPr>
        <w:jc w:val="center"/>
        <w:textAlignment w:val="center"/>
        <w:rPr>
          <w:rFonts w:eastAsia="黑体" w:cs="Times New Roman"/>
          <w:color w:val="0000FF"/>
          <w:lang w:bidi="ar"/>
        </w:rPr>
      </w:pPr>
      <w:r>
        <w:rPr>
          <w:rFonts w:eastAsia="黑体" w:cs="Times New Roman"/>
          <w:color w:val="0000FF"/>
          <w:lang w:bidi="ar"/>
        </w:rPr>
        <w:t>表</w:t>
      </w:r>
      <w:r>
        <w:rPr>
          <w:rFonts w:hint="eastAsia" w:eastAsia="黑体" w:cs="Times New Roman"/>
          <w:color w:val="0000FF"/>
          <w:lang w:bidi="ar"/>
        </w:rPr>
        <w:t>5-7</w:t>
      </w:r>
      <w:r>
        <w:rPr>
          <w:rFonts w:eastAsia="黑体" w:cs="Times New Roman"/>
          <w:color w:val="0000FF"/>
          <w:lang w:bidi="ar"/>
        </w:rPr>
        <w:t>-</w:t>
      </w:r>
      <w:r>
        <w:rPr>
          <w:rFonts w:hint="eastAsia" w:eastAsia="黑体" w:cs="Times New Roman"/>
          <w:color w:val="0000FF"/>
          <w:lang w:bidi="ar"/>
        </w:rPr>
        <w:t>5</w:t>
      </w:r>
      <w:r>
        <w:rPr>
          <w:rFonts w:eastAsia="黑体" w:cs="Times New Roman"/>
          <w:color w:val="0000FF"/>
          <w:lang w:bidi="ar"/>
        </w:rPr>
        <w:t xml:space="preserve">  生态影响评价自查表</w:t>
      </w:r>
    </w:p>
    <w:tbl>
      <w:tblPr>
        <w:tblStyle w:val="16"/>
        <w:tblW w:w="500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78"/>
        <w:gridCol w:w="1258"/>
        <w:gridCol w:w="6852"/>
      </w:tblGrid>
      <w:tr w14:paraId="727DC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30" w:type="pct"/>
            <w:gridSpan w:val="2"/>
            <w:vAlign w:val="center"/>
          </w:tcPr>
          <w:p w14:paraId="5C4F41F4">
            <w:pPr>
              <w:pStyle w:val="28"/>
              <w:bidi w:val="0"/>
            </w:pPr>
            <w:r>
              <w:t>工作内容</w:t>
            </w:r>
          </w:p>
        </w:tc>
        <w:tc>
          <w:tcPr>
            <w:tcW w:w="3769" w:type="pct"/>
            <w:vAlign w:val="center"/>
          </w:tcPr>
          <w:p w14:paraId="3751F245">
            <w:pPr>
              <w:pStyle w:val="28"/>
              <w:bidi w:val="0"/>
            </w:pPr>
            <w:r>
              <w:t>自查项目</w:t>
            </w:r>
          </w:p>
        </w:tc>
      </w:tr>
      <w:tr w14:paraId="37711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38" w:type="pct"/>
            <w:vMerge w:val="restart"/>
            <w:vAlign w:val="center"/>
          </w:tcPr>
          <w:p w14:paraId="2A98AC91">
            <w:pPr>
              <w:pStyle w:val="28"/>
              <w:bidi w:val="0"/>
            </w:pPr>
            <w:r>
              <w:t>生态影响识别</w:t>
            </w:r>
          </w:p>
        </w:tc>
        <w:tc>
          <w:tcPr>
            <w:tcW w:w="692" w:type="pct"/>
            <w:vAlign w:val="center"/>
          </w:tcPr>
          <w:p w14:paraId="0B29989F">
            <w:pPr>
              <w:pStyle w:val="28"/>
              <w:bidi w:val="0"/>
            </w:pPr>
            <w:r>
              <w:t>生态保护目标</w:t>
            </w:r>
          </w:p>
        </w:tc>
        <w:tc>
          <w:tcPr>
            <w:tcW w:w="3769" w:type="pct"/>
            <w:vAlign w:val="center"/>
          </w:tcPr>
          <w:p w14:paraId="60AB782C">
            <w:pPr>
              <w:pStyle w:val="28"/>
              <w:bidi w:val="0"/>
            </w:pPr>
            <w:r>
              <w:t>重要物种；国家公园□；自然保护区□；自然公园□；世界自然遗产□；生态保护红线；重要生境□；其他具有重要生态功能、对保护生物多样性具有重要意义的区域□；其他□</w:t>
            </w:r>
          </w:p>
        </w:tc>
      </w:tr>
      <w:tr w14:paraId="2CCCD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38" w:type="pct"/>
            <w:vMerge w:val="continue"/>
            <w:vAlign w:val="center"/>
          </w:tcPr>
          <w:p w14:paraId="79406804">
            <w:pPr>
              <w:pStyle w:val="28"/>
              <w:bidi w:val="0"/>
            </w:pPr>
          </w:p>
        </w:tc>
        <w:tc>
          <w:tcPr>
            <w:tcW w:w="692" w:type="pct"/>
            <w:vAlign w:val="center"/>
          </w:tcPr>
          <w:p w14:paraId="71427A74">
            <w:pPr>
              <w:pStyle w:val="28"/>
              <w:bidi w:val="0"/>
            </w:pPr>
            <w:r>
              <w:t>影响方式</w:t>
            </w:r>
          </w:p>
        </w:tc>
        <w:tc>
          <w:tcPr>
            <w:tcW w:w="3769" w:type="pct"/>
            <w:vAlign w:val="center"/>
          </w:tcPr>
          <w:p w14:paraId="7BA8099C">
            <w:pPr>
              <w:pStyle w:val="28"/>
              <w:bidi w:val="0"/>
            </w:pPr>
            <w:r>
              <w:t>工程占用；施工活动干扰；改变环境条件□；其他□</w:t>
            </w:r>
          </w:p>
        </w:tc>
      </w:tr>
      <w:tr w14:paraId="1C513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38" w:type="pct"/>
            <w:vMerge w:val="continue"/>
            <w:vAlign w:val="center"/>
          </w:tcPr>
          <w:p w14:paraId="198B5184">
            <w:pPr>
              <w:pStyle w:val="28"/>
              <w:bidi w:val="0"/>
            </w:pPr>
          </w:p>
        </w:tc>
        <w:tc>
          <w:tcPr>
            <w:tcW w:w="692" w:type="pct"/>
            <w:vAlign w:val="center"/>
          </w:tcPr>
          <w:p w14:paraId="06F51A27">
            <w:pPr>
              <w:pStyle w:val="28"/>
              <w:bidi w:val="0"/>
            </w:pPr>
            <w:r>
              <w:t>评价因子</w:t>
            </w:r>
          </w:p>
        </w:tc>
        <w:tc>
          <w:tcPr>
            <w:tcW w:w="3769" w:type="pct"/>
            <w:vAlign w:val="center"/>
          </w:tcPr>
          <w:p w14:paraId="66B26DE1">
            <w:pPr>
              <w:pStyle w:val="28"/>
              <w:bidi w:val="0"/>
            </w:pPr>
            <w:r>
              <w:t>物种（分布范围、种群数量、种群结构、行为等）</w:t>
            </w:r>
          </w:p>
          <w:p w14:paraId="6D42FAC1">
            <w:pPr>
              <w:pStyle w:val="28"/>
              <w:bidi w:val="0"/>
            </w:pPr>
            <w:r>
              <w:t>生境（生境面积、质量、连通性等）</w:t>
            </w:r>
          </w:p>
          <w:p w14:paraId="735032D4">
            <w:pPr>
              <w:pStyle w:val="28"/>
              <w:bidi w:val="0"/>
            </w:pPr>
            <w:r>
              <w:t>生物群落（ 物种组成、群落结构等）</w:t>
            </w:r>
          </w:p>
          <w:p w14:paraId="450C7BB3">
            <w:pPr>
              <w:pStyle w:val="28"/>
              <w:bidi w:val="0"/>
            </w:pPr>
            <w:r>
              <w:t>生态系统（植被覆盖度、生产力、生物量、生态系统功能等）</w:t>
            </w:r>
          </w:p>
          <w:p w14:paraId="320ACA9F">
            <w:pPr>
              <w:pStyle w:val="28"/>
              <w:bidi w:val="0"/>
            </w:pPr>
            <w:r>
              <w:t>生物多样性（物种丰富度、均匀度、优势度等）</w:t>
            </w:r>
          </w:p>
          <w:p w14:paraId="6D13853A">
            <w:pPr>
              <w:pStyle w:val="28"/>
              <w:bidi w:val="0"/>
            </w:pPr>
            <w:r>
              <w:t>生态敏感区（主要保护对象、生态功能等）</w:t>
            </w:r>
          </w:p>
          <w:p w14:paraId="17489440">
            <w:pPr>
              <w:pStyle w:val="28"/>
              <w:bidi w:val="0"/>
            </w:pPr>
            <w:r>
              <w:t>自然景观□（                     ）</w:t>
            </w:r>
          </w:p>
          <w:p w14:paraId="7CBBE689">
            <w:pPr>
              <w:pStyle w:val="28"/>
              <w:bidi w:val="0"/>
            </w:pPr>
            <w:r>
              <w:t>自然遗迹□（                     ）</w:t>
            </w:r>
          </w:p>
          <w:p w14:paraId="1C898C03">
            <w:pPr>
              <w:pStyle w:val="28"/>
              <w:bidi w:val="0"/>
            </w:pPr>
            <w:r>
              <w:t>其他□（                         ）</w:t>
            </w:r>
          </w:p>
        </w:tc>
      </w:tr>
      <w:tr w14:paraId="31285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30" w:type="pct"/>
            <w:gridSpan w:val="2"/>
            <w:vAlign w:val="center"/>
          </w:tcPr>
          <w:p w14:paraId="1AD43F8B">
            <w:pPr>
              <w:pStyle w:val="28"/>
              <w:bidi w:val="0"/>
            </w:pPr>
            <w:r>
              <w:t>评价等级</w:t>
            </w:r>
          </w:p>
        </w:tc>
        <w:tc>
          <w:tcPr>
            <w:tcW w:w="3769" w:type="pct"/>
            <w:vAlign w:val="center"/>
          </w:tcPr>
          <w:p w14:paraId="67BB4A3F">
            <w:pPr>
              <w:pStyle w:val="28"/>
              <w:bidi w:val="0"/>
            </w:pPr>
            <w:r>
              <w:t>一级         二级         三级□         生态影响简单分析□</w:t>
            </w:r>
          </w:p>
        </w:tc>
      </w:tr>
      <w:tr w14:paraId="3EE6A5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230" w:type="pct"/>
            <w:gridSpan w:val="2"/>
            <w:vAlign w:val="center"/>
          </w:tcPr>
          <w:p w14:paraId="2C081E55">
            <w:pPr>
              <w:pStyle w:val="28"/>
              <w:bidi w:val="0"/>
            </w:pPr>
            <w:r>
              <w:t>评价范围</w:t>
            </w:r>
          </w:p>
        </w:tc>
        <w:tc>
          <w:tcPr>
            <w:tcW w:w="3769" w:type="pct"/>
            <w:vAlign w:val="center"/>
          </w:tcPr>
          <w:p w14:paraId="79FA393C">
            <w:pPr>
              <w:pStyle w:val="28"/>
              <w:bidi w:val="0"/>
            </w:pPr>
            <w:r>
              <w:t>陆域面积：（     ） km2 ；水域面积：（     ） km2</w:t>
            </w:r>
          </w:p>
        </w:tc>
      </w:tr>
      <w:tr w14:paraId="4B92C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38" w:type="pct"/>
            <w:vMerge w:val="restart"/>
            <w:vAlign w:val="center"/>
          </w:tcPr>
          <w:p w14:paraId="33F72CA3">
            <w:pPr>
              <w:pStyle w:val="28"/>
              <w:bidi w:val="0"/>
            </w:pPr>
            <w:r>
              <w:t>生态现状</w:t>
            </w:r>
          </w:p>
          <w:p w14:paraId="5079A36F">
            <w:pPr>
              <w:pStyle w:val="28"/>
              <w:bidi w:val="0"/>
            </w:pPr>
            <w:r>
              <w:t>调查与</w:t>
            </w:r>
          </w:p>
          <w:p w14:paraId="209D990B">
            <w:pPr>
              <w:pStyle w:val="28"/>
              <w:bidi w:val="0"/>
            </w:pPr>
            <w:r>
              <w:t>评价</w:t>
            </w:r>
          </w:p>
        </w:tc>
        <w:tc>
          <w:tcPr>
            <w:tcW w:w="692" w:type="pct"/>
            <w:vAlign w:val="center"/>
          </w:tcPr>
          <w:p w14:paraId="79CBCBC4">
            <w:pPr>
              <w:pStyle w:val="28"/>
              <w:bidi w:val="0"/>
            </w:pPr>
            <w:r>
              <w:t>调查方法</w:t>
            </w:r>
          </w:p>
        </w:tc>
        <w:tc>
          <w:tcPr>
            <w:tcW w:w="3769" w:type="pct"/>
            <w:vAlign w:val="center"/>
          </w:tcPr>
          <w:p w14:paraId="6F5E1A04">
            <w:pPr>
              <w:pStyle w:val="28"/>
              <w:bidi w:val="0"/>
            </w:pPr>
            <w:r>
              <w:t>资料收集；遥感调查；调查样方、样线；调查点位、断面；专家和公众咨询 法□；其他□</w:t>
            </w:r>
          </w:p>
        </w:tc>
      </w:tr>
      <w:tr w14:paraId="04FB6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38" w:type="pct"/>
            <w:vMerge w:val="continue"/>
            <w:vAlign w:val="center"/>
          </w:tcPr>
          <w:p w14:paraId="52898DD8">
            <w:pPr>
              <w:pStyle w:val="28"/>
              <w:bidi w:val="0"/>
            </w:pPr>
          </w:p>
        </w:tc>
        <w:tc>
          <w:tcPr>
            <w:tcW w:w="692" w:type="pct"/>
            <w:vAlign w:val="center"/>
          </w:tcPr>
          <w:p w14:paraId="3EE2AA43">
            <w:pPr>
              <w:pStyle w:val="28"/>
              <w:bidi w:val="0"/>
            </w:pPr>
            <w:r>
              <w:t>调查时间</w:t>
            </w:r>
          </w:p>
        </w:tc>
        <w:tc>
          <w:tcPr>
            <w:tcW w:w="3769" w:type="pct"/>
            <w:vAlign w:val="center"/>
          </w:tcPr>
          <w:p w14:paraId="6194784E">
            <w:pPr>
              <w:pStyle w:val="28"/>
              <w:bidi w:val="0"/>
            </w:pPr>
            <w:r>
              <w:t>春季□；夏季□；秋季□；冬季□</w:t>
            </w:r>
          </w:p>
          <w:p w14:paraId="140EFBC2">
            <w:pPr>
              <w:pStyle w:val="28"/>
              <w:bidi w:val="0"/>
            </w:pPr>
            <w:r>
              <w:t>丰水期；枯水期；平水期□</w:t>
            </w:r>
          </w:p>
        </w:tc>
      </w:tr>
      <w:tr w14:paraId="0FDB8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38" w:type="pct"/>
            <w:vMerge w:val="continue"/>
            <w:vAlign w:val="center"/>
          </w:tcPr>
          <w:p w14:paraId="17874BEC">
            <w:pPr>
              <w:pStyle w:val="28"/>
              <w:bidi w:val="0"/>
            </w:pPr>
          </w:p>
        </w:tc>
        <w:tc>
          <w:tcPr>
            <w:tcW w:w="692" w:type="pct"/>
            <w:vAlign w:val="center"/>
          </w:tcPr>
          <w:p w14:paraId="1CCE57D0">
            <w:pPr>
              <w:pStyle w:val="28"/>
              <w:bidi w:val="0"/>
            </w:pPr>
            <w:r>
              <w:t>所在区域的 生态问题</w:t>
            </w:r>
          </w:p>
        </w:tc>
        <w:tc>
          <w:tcPr>
            <w:tcW w:w="3769" w:type="pct"/>
            <w:vAlign w:val="center"/>
          </w:tcPr>
          <w:p w14:paraId="4E38BCB3">
            <w:pPr>
              <w:pStyle w:val="28"/>
              <w:bidi w:val="0"/>
            </w:pPr>
            <w:r>
              <w:t>水土流失；沙漠化□；石漠化□；盐渍化□；生物入侵□；污染危害□；其他□</w:t>
            </w:r>
          </w:p>
        </w:tc>
      </w:tr>
      <w:tr w14:paraId="655C64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38" w:type="pct"/>
            <w:vMerge w:val="continue"/>
            <w:vAlign w:val="center"/>
          </w:tcPr>
          <w:p w14:paraId="5FB2C9AF">
            <w:pPr>
              <w:pStyle w:val="28"/>
              <w:bidi w:val="0"/>
            </w:pPr>
          </w:p>
        </w:tc>
        <w:tc>
          <w:tcPr>
            <w:tcW w:w="692" w:type="pct"/>
            <w:vAlign w:val="center"/>
          </w:tcPr>
          <w:p w14:paraId="6C052E1E">
            <w:pPr>
              <w:pStyle w:val="28"/>
              <w:bidi w:val="0"/>
            </w:pPr>
            <w:r>
              <w:t>评价内容</w:t>
            </w:r>
          </w:p>
        </w:tc>
        <w:tc>
          <w:tcPr>
            <w:tcW w:w="3769" w:type="pct"/>
            <w:vAlign w:val="center"/>
          </w:tcPr>
          <w:p w14:paraId="0D3CBE76">
            <w:pPr>
              <w:pStyle w:val="28"/>
              <w:bidi w:val="0"/>
            </w:pPr>
            <w:r>
              <w:t>植被/植物群落；土地利用；生态系统；生物多样性；重要物种□；生态敏感 区；其他□</w:t>
            </w:r>
          </w:p>
        </w:tc>
      </w:tr>
      <w:tr w14:paraId="1C12A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38" w:type="pct"/>
            <w:vMerge w:val="restart"/>
            <w:vAlign w:val="center"/>
          </w:tcPr>
          <w:p w14:paraId="0FB1B056">
            <w:pPr>
              <w:pStyle w:val="28"/>
              <w:bidi w:val="0"/>
            </w:pPr>
            <w:r>
              <w:t>生态影响</w:t>
            </w:r>
          </w:p>
          <w:p w14:paraId="5260C02E">
            <w:pPr>
              <w:pStyle w:val="28"/>
              <w:bidi w:val="0"/>
            </w:pPr>
            <w:r>
              <w:t>预测与</w:t>
            </w:r>
          </w:p>
          <w:p w14:paraId="604B7FDF">
            <w:pPr>
              <w:pStyle w:val="28"/>
              <w:bidi w:val="0"/>
            </w:pPr>
            <w:r>
              <w:t>评价</w:t>
            </w:r>
          </w:p>
        </w:tc>
        <w:tc>
          <w:tcPr>
            <w:tcW w:w="692" w:type="pct"/>
            <w:vAlign w:val="center"/>
          </w:tcPr>
          <w:p w14:paraId="226B1BF0">
            <w:pPr>
              <w:pStyle w:val="28"/>
              <w:bidi w:val="0"/>
            </w:pPr>
            <w:r>
              <w:t>评价方法</w:t>
            </w:r>
          </w:p>
        </w:tc>
        <w:tc>
          <w:tcPr>
            <w:tcW w:w="3769" w:type="pct"/>
            <w:vAlign w:val="center"/>
          </w:tcPr>
          <w:p w14:paraId="22846143">
            <w:pPr>
              <w:pStyle w:val="28"/>
              <w:bidi w:val="0"/>
            </w:pPr>
            <w:r>
              <w:t>定性□；定性和定量</w:t>
            </w:r>
          </w:p>
        </w:tc>
      </w:tr>
      <w:tr w14:paraId="3F31D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38" w:type="pct"/>
            <w:vMerge w:val="continue"/>
            <w:vAlign w:val="center"/>
          </w:tcPr>
          <w:p w14:paraId="40EDAB0F">
            <w:pPr>
              <w:pStyle w:val="28"/>
              <w:bidi w:val="0"/>
            </w:pPr>
          </w:p>
        </w:tc>
        <w:tc>
          <w:tcPr>
            <w:tcW w:w="692" w:type="pct"/>
            <w:vAlign w:val="center"/>
          </w:tcPr>
          <w:p w14:paraId="67CAC75B">
            <w:pPr>
              <w:pStyle w:val="28"/>
              <w:bidi w:val="0"/>
            </w:pPr>
            <w:r>
              <w:t>评价内容</w:t>
            </w:r>
          </w:p>
        </w:tc>
        <w:tc>
          <w:tcPr>
            <w:tcW w:w="3769" w:type="pct"/>
            <w:vAlign w:val="center"/>
          </w:tcPr>
          <w:p w14:paraId="1AF12E6A">
            <w:pPr>
              <w:pStyle w:val="28"/>
              <w:bidi w:val="0"/>
            </w:pPr>
            <w:r>
              <w:t>植被/植物群落；土地利用；生态系统；生物多样性；重要物种；生态敏感 区；生物入侵风险□； 其他□</w:t>
            </w:r>
          </w:p>
        </w:tc>
      </w:tr>
      <w:tr w14:paraId="16AFC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38" w:type="pct"/>
            <w:vMerge w:val="restart"/>
            <w:vAlign w:val="center"/>
          </w:tcPr>
          <w:p w14:paraId="23BE8DEB">
            <w:pPr>
              <w:pStyle w:val="28"/>
              <w:bidi w:val="0"/>
            </w:pPr>
            <w:r>
              <w:t>生态保护 对策措施</w:t>
            </w:r>
          </w:p>
        </w:tc>
        <w:tc>
          <w:tcPr>
            <w:tcW w:w="692" w:type="pct"/>
            <w:vAlign w:val="center"/>
          </w:tcPr>
          <w:p w14:paraId="20C0A609">
            <w:pPr>
              <w:pStyle w:val="28"/>
              <w:bidi w:val="0"/>
            </w:pPr>
            <w:r>
              <w:t>对策措施</w:t>
            </w:r>
          </w:p>
        </w:tc>
        <w:tc>
          <w:tcPr>
            <w:tcW w:w="3769" w:type="pct"/>
            <w:vAlign w:val="center"/>
          </w:tcPr>
          <w:p w14:paraId="5D5AE6F8">
            <w:pPr>
              <w:pStyle w:val="28"/>
              <w:bidi w:val="0"/>
            </w:pPr>
            <w:r>
              <w:t>避让□；减缓；生态修复；生态补偿；科研□；其他□</w:t>
            </w:r>
          </w:p>
        </w:tc>
      </w:tr>
      <w:tr w14:paraId="194A3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38" w:type="pct"/>
            <w:vMerge w:val="continue"/>
            <w:vAlign w:val="center"/>
          </w:tcPr>
          <w:p w14:paraId="65835FBC">
            <w:pPr>
              <w:pStyle w:val="28"/>
              <w:bidi w:val="0"/>
            </w:pPr>
          </w:p>
        </w:tc>
        <w:tc>
          <w:tcPr>
            <w:tcW w:w="692" w:type="pct"/>
            <w:vAlign w:val="center"/>
          </w:tcPr>
          <w:p w14:paraId="30E6E3F9">
            <w:pPr>
              <w:pStyle w:val="28"/>
              <w:bidi w:val="0"/>
            </w:pPr>
            <w:r>
              <w:t>生态监测计划</w:t>
            </w:r>
          </w:p>
        </w:tc>
        <w:tc>
          <w:tcPr>
            <w:tcW w:w="3769" w:type="pct"/>
            <w:vAlign w:val="center"/>
          </w:tcPr>
          <w:p w14:paraId="467451C4">
            <w:pPr>
              <w:pStyle w:val="28"/>
              <w:bidi w:val="0"/>
            </w:pPr>
            <w:r>
              <w:t>全生命周期；长期跟踪□；常规□；无□</w:t>
            </w:r>
          </w:p>
        </w:tc>
      </w:tr>
      <w:tr w14:paraId="53EAF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38" w:type="pct"/>
            <w:vMerge w:val="continue"/>
            <w:vAlign w:val="center"/>
          </w:tcPr>
          <w:p w14:paraId="1F7E4FF7">
            <w:pPr>
              <w:pStyle w:val="28"/>
              <w:bidi w:val="0"/>
            </w:pPr>
          </w:p>
        </w:tc>
        <w:tc>
          <w:tcPr>
            <w:tcW w:w="692" w:type="pct"/>
            <w:vAlign w:val="center"/>
          </w:tcPr>
          <w:p w14:paraId="1BAD5F86">
            <w:pPr>
              <w:pStyle w:val="28"/>
              <w:bidi w:val="0"/>
            </w:pPr>
            <w:r>
              <w:t>环境管理</w:t>
            </w:r>
          </w:p>
        </w:tc>
        <w:tc>
          <w:tcPr>
            <w:tcW w:w="3769" w:type="pct"/>
            <w:vAlign w:val="center"/>
          </w:tcPr>
          <w:p w14:paraId="2F378AE7">
            <w:pPr>
              <w:pStyle w:val="28"/>
              <w:bidi w:val="0"/>
            </w:pPr>
            <w:r>
              <w:t>环境监理；环境影响后评价□；其他□</w:t>
            </w:r>
          </w:p>
        </w:tc>
      </w:tr>
      <w:tr w14:paraId="76992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38" w:type="pct"/>
            <w:vAlign w:val="center"/>
          </w:tcPr>
          <w:p w14:paraId="7DCE6122">
            <w:pPr>
              <w:pStyle w:val="28"/>
              <w:bidi w:val="0"/>
            </w:pPr>
            <w:r>
              <w:t>评价结论</w:t>
            </w:r>
          </w:p>
        </w:tc>
        <w:tc>
          <w:tcPr>
            <w:tcW w:w="692" w:type="pct"/>
            <w:vAlign w:val="center"/>
          </w:tcPr>
          <w:p w14:paraId="36994199">
            <w:pPr>
              <w:pStyle w:val="28"/>
              <w:bidi w:val="0"/>
            </w:pPr>
            <w:r>
              <w:t>生态影响</w:t>
            </w:r>
          </w:p>
        </w:tc>
        <w:tc>
          <w:tcPr>
            <w:tcW w:w="3769" w:type="pct"/>
            <w:vAlign w:val="center"/>
          </w:tcPr>
          <w:p w14:paraId="3A4466B7">
            <w:pPr>
              <w:pStyle w:val="28"/>
              <w:bidi w:val="0"/>
            </w:pPr>
            <w:r>
              <w:t>可行；不可行□</w:t>
            </w:r>
          </w:p>
        </w:tc>
      </w:tr>
      <w:tr w14:paraId="4AE37E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0" w:type="pct"/>
            <w:gridSpan w:val="3"/>
            <w:vAlign w:val="center"/>
          </w:tcPr>
          <w:p w14:paraId="603C6122">
            <w:pPr>
              <w:pStyle w:val="28"/>
              <w:bidi w:val="0"/>
            </w:pPr>
            <w:r>
              <w:t xml:space="preserve">注：   </w:t>
            </w:r>
            <w:r>
              <w:rPr>
                <w:rFonts w:hint="eastAsia"/>
              </w:rPr>
              <w:t>“</w:t>
            </w:r>
            <w:r>
              <w:t>□</w:t>
            </w:r>
            <w:r>
              <w:rPr>
                <w:rFonts w:hint="eastAsia"/>
              </w:rPr>
              <w:t>”</w:t>
            </w:r>
            <w:r>
              <w:t xml:space="preserve"> 为勾选项 ，可 √ ；</w:t>
            </w:r>
            <w:r>
              <w:rPr>
                <w:rFonts w:hint="eastAsia"/>
              </w:rPr>
              <w:t>“</w:t>
            </w:r>
            <w:r>
              <w:t>（   ）</w:t>
            </w:r>
            <w:r>
              <w:rPr>
                <w:rFonts w:hint="eastAsia"/>
              </w:rPr>
              <w:t>”</w:t>
            </w:r>
            <w:r>
              <w:t xml:space="preserve">  为内容填写项。</w:t>
            </w:r>
          </w:p>
        </w:tc>
      </w:tr>
    </w:tbl>
    <w:p w14:paraId="17497726">
      <w:pPr>
        <w:spacing w:line="240" w:lineRule="auto"/>
        <w:rPr>
          <w:rFonts w:cs="Times New Roman"/>
          <w:color w:val="0000FF"/>
        </w:rPr>
      </w:pPr>
    </w:p>
    <w:p w14:paraId="0938710D">
      <w:pPr>
        <w:pStyle w:val="4"/>
        <w:rPr>
          <w:rFonts w:cs="Times New Roman"/>
          <w:color w:val="0000FF"/>
        </w:rPr>
      </w:pPr>
      <w:r>
        <w:rPr>
          <w:rFonts w:hint="eastAsia" w:cs="Times New Roman"/>
          <w:color w:val="0000FF"/>
        </w:rPr>
        <w:t>5.7</w:t>
      </w:r>
      <w:r>
        <w:rPr>
          <w:rFonts w:cs="Times New Roman"/>
          <w:color w:val="0000FF"/>
        </w:rPr>
        <w:t>.5 对的影响</w:t>
      </w:r>
    </w:p>
    <w:p w14:paraId="4ADFD4BB">
      <w:pPr>
        <w:ind w:firstLine="480" w:firstLineChars="200"/>
        <w:rPr>
          <w:rFonts w:cs="Times New Roman"/>
          <w:color w:val="0000FF"/>
        </w:rPr>
      </w:pPr>
      <w:r>
        <w:rPr>
          <w:rFonts w:cs="Times New Roman"/>
          <w:color w:val="0000FF"/>
        </w:rPr>
        <w:t>安徽六安主要保护对象为湿地生态系统和生物多样性、国际公约全球受胁和国家重点保护的水禽、自然生态环境和自然资源以及自然、人文景观，护区总面积为4560.91hm</w:t>
      </w:r>
      <w:r>
        <w:rPr>
          <w:rFonts w:cs="Times New Roman"/>
          <w:color w:val="0000FF"/>
          <w:vertAlign w:val="superscript"/>
        </w:rPr>
        <w:t>2</w:t>
      </w:r>
      <w:r>
        <w:rPr>
          <w:rFonts w:cs="Times New Roman"/>
          <w:color w:val="0000FF"/>
        </w:rPr>
        <w:t>，划分为湿地保育区、恢复重建区、合理利用区3部分，其中该保育区湿地生态系统较为完整、人为干扰较小、生物多样性丰富，有大量的湿地鸟类在此栖息，为安徽的重要湿地。主要开展湿地鸟类保护与科研监测等工作。</w:t>
      </w:r>
    </w:p>
    <w:p w14:paraId="2DA05FE1">
      <w:pPr>
        <w:ind w:firstLine="480" w:firstLineChars="200"/>
        <w:rPr>
          <w:rFonts w:cs="Times New Roman"/>
          <w:color w:val="0000FF"/>
        </w:rPr>
      </w:pPr>
      <w:r>
        <w:rPr>
          <w:rFonts w:cs="Times New Roman"/>
          <w:color w:val="0000FF"/>
        </w:rPr>
        <w:t>保育区以保持良好的水质、消除各种污染和人为破坏对淠河水质影响、保护现有湿地为主要目标。同时，在该区规划进行适度的科研与监测活动。为淠河湿地保育提供基础支撑，为湿地保护、恢复和管理提供数据支持。保育区内只允许开展湿地保护、科学研究与观察工作。可根据需要设置一些小型设施，所有人工设施应以确保原有生态系统完整性和最小干扰为前提。</w:t>
      </w:r>
    </w:p>
    <w:p w14:paraId="1E406A2B">
      <w:pPr>
        <w:ind w:firstLine="480" w:firstLineChars="200"/>
        <w:rPr>
          <w:rFonts w:cs="Times New Roman"/>
          <w:color w:val="0000FF"/>
        </w:rPr>
      </w:pPr>
      <w:r>
        <w:rPr>
          <w:rFonts w:cs="Times New Roman"/>
          <w:color w:val="0000FF"/>
        </w:rPr>
        <w:t>本工程建设范围均不占用，无直接不利影响，工程对</w:t>
      </w:r>
      <w:r>
        <w:rPr>
          <w:rFonts w:hint="eastAsia" w:cs="Times New Roman"/>
          <w:color w:val="0000FF"/>
        </w:rPr>
        <w:t>73</w:t>
      </w:r>
      <w:r>
        <w:rPr>
          <w:rFonts w:cs="Times New Roman"/>
          <w:color w:val="0000FF"/>
        </w:rPr>
        <w:t>m</w:t>
      </w:r>
      <w:r>
        <w:rPr>
          <w:rFonts w:hint="eastAsia" w:cs="Times New Roman"/>
          <w:color w:val="0000FF"/>
        </w:rPr>
        <w:t>处</w:t>
      </w:r>
      <w:r>
        <w:rPr>
          <w:rFonts w:cs="Times New Roman"/>
          <w:color w:val="0000FF"/>
        </w:rPr>
        <w:t>的影响主要集中于施工期噪声干扰。</w:t>
      </w:r>
    </w:p>
    <w:p w14:paraId="6D6473EA">
      <w:pPr>
        <w:ind w:firstLine="480" w:firstLineChars="200"/>
        <w:rPr>
          <w:rFonts w:cs="Times New Roman"/>
          <w:color w:val="0000FF"/>
        </w:rPr>
      </w:pPr>
      <w:r>
        <w:rPr>
          <w:rFonts w:cs="Times New Roman"/>
          <w:color w:val="0000FF"/>
        </w:rPr>
        <w:t>根据工程和敏感区的位置关系可知，施工期噪声干扰主要是对距离较近的（横排口进水闸出口翼墙维修加固距公园最近距离</w:t>
      </w:r>
      <w:r>
        <w:rPr>
          <w:rFonts w:hint="eastAsia" w:cs="Times New Roman"/>
          <w:color w:val="0000FF"/>
        </w:rPr>
        <w:t>73</w:t>
      </w:r>
      <w:r>
        <w:rPr>
          <w:rFonts w:cs="Times New Roman"/>
          <w:color w:val="0000FF"/>
        </w:rPr>
        <w:t>m，总干渠挡水墙、护坡工程距公园最近距离135m）鸟类的干扰影响，工程施工会对鸟类产生一定的驱赶影响，由于鸟类的活动范围较为广泛，避趋能力也较强，且影响范围局限于施工区域附近，对鸟类的干扰影响十分有限。在施工活动的结束后，随着干扰源的消失，不利影响也将逐渐消失。因此施工期噪声干扰对安徽六安的影响较小。</w:t>
      </w:r>
    </w:p>
    <w:p w14:paraId="4CE258A2">
      <w:pPr>
        <w:pStyle w:val="4"/>
        <w:rPr>
          <w:rFonts w:cs="Times New Roman"/>
          <w:color w:val="0000FF"/>
        </w:rPr>
      </w:pPr>
      <w:r>
        <w:rPr>
          <w:rFonts w:hint="eastAsia" w:cs="Times New Roman"/>
          <w:color w:val="0000FF"/>
        </w:rPr>
        <w:t>5.7</w:t>
      </w:r>
      <w:r>
        <w:rPr>
          <w:rFonts w:cs="Times New Roman"/>
          <w:color w:val="0000FF"/>
        </w:rPr>
        <w:t>.</w:t>
      </w:r>
      <w:r>
        <w:rPr>
          <w:rFonts w:hint="eastAsia" w:cs="Times New Roman"/>
          <w:color w:val="0000FF"/>
        </w:rPr>
        <w:t>6</w:t>
      </w:r>
      <w:r>
        <w:rPr>
          <w:rFonts w:cs="Times New Roman"/>
          <w:color w:val="0000FF"/>
        </w:rPr>
        <w:t xml:space="preserve"> 农业生态系统影响分析</w:t>
      </w:r>
    </w:p>
    <w:p w14:paraId="147984F5">
      <w:pPr>
        <w:ind w:firstLine="420"/>
        <w:rPr>
          <w:rFonts w:cs="Times New Roman"/>
          <w:snapToGrid w:val="0"/>
          <w:color w:val="0000FF"/>
        </w:rPr>
      </w:pPr>
      <w:r>
        <w:rPr>
          <w:rFonts w:cs="Times New Roman"/>
          <w:snapToGrid w:val="0"/>
          <w:color w:val="0000FF"/>
        </w:rPr>
        <w:t>本工程属于水利基础设施，工程建设后将改善沿河两岸农业生产条件，可提高防洪能力，具有直接的经济效益和广泛的社会效益。</w:t>
      </w:r>
    </w:p>
    <w:p w14:paraId="6D676497">
      <w:pPr>
        <w:tabs>
          <w:tab w:val="left" w:pos="6300"/>
        </w:tabs>
        <w:ind w:firstLine="480"/>
        <w:rPr>
          <w:rFonts w:cs="Times New Roman"/>
          <w:bCs/>
          <w:snapToGrid w:val="0"/>
          <w:color w:val="0000FF"/>
        </w:rPr>
      </w:pPr>
      <w:r>
        <w:rPr>
          <w:rFonts w:cs="Times New Roman"/>
          <w:bCs/>
          <w:snapToGrid w:val="0"/>
          <w:color w:val="0000FF"/>
          <w:lang w:val="zh-CN"/>
        </w:rPr>
        <w:t>土地是一种无法再生的资源，土地的农业利用价值是其它用地无法替代的，</w:t>
      </w:r>
      <w:r>
        <w:rPr>
          <w:rFonts w:cs="Times New Roman"/>
          <w:bCs/>
          <w:color w:val="0000FF"/>
        </w:rPr>
        <w:t>保护</w:t>
      </w:r>
      <w:r>
        <w:rPr>
          <w:rFonts w:hint="eastAsia" w:cs="Times New Roman"/>
          <w:color w:val="0000FF"/>
        </w:rPr>
        <w:t>淮南市谢家集区朱集中型灌区续建配套与节水改造项目</w:t>
      </w:r>
      <w:r>
        <w:rPr>
          <w:rFonts w:cs="Times New Roman"/>
          <w:color w:val="0000FF"/>
        </w:rPr>
        <w:t>三期</w:t>
      </w:r>
      <w:r>
        <w:rPr>
          <w:rFonts w:cs="Times New Roman"/>
          <w:bCs/>
          <w:snapToGrid w:val="0"/>
          <w:color w:val="0000FF"/>
          <w:lang w:val="zh-CN"/>
        </w:rPr>
        <w:t>被占用的土地将丧失所有农业生产功能，必然会对农业生产带来一定负面影响，对工程沿线局部地区土地利用格局、人均土地占有量及居民生活等造成一定的影响。工程建设给当地农业生产带来的影响是客观存在且无法避免的，但根据现场调查，占用的耕地主要沿渠道沿线分布，其中临时占用的耕地在施工结束后可进行复垦，同时工程占用的耕地占工程所在区域的耕地总量较小，对于施工占地导致农业生产的损失，可通过工程建设的补充资源用于对项目所在区域的农业技能培训和产业扶持等政策，从而弥补工程占用耕地造成的农业损失。</w:t>
      </w:r>
      <w:r>
        <w:rPr>
          <w:rFonts w:cs="Times New Roman"/>
          <w:bCs/>
          <w:snapToGrid w:val="0"/>
          <w:color w:val="0000FF"/>
        </w:rPr>
        <w:t>项目临时占地共</w:t>
      </w:r>
      <w:r>
        <w:rPr>
          <w:rFonts w:cs="Times New Roman"/>
          <w:color w:val="0000FF"/>
        </w:rPr>
        <w:t>计2482.91亩，</w:t>
      </w:r>
      <w:r>
        <w:rPr>
          <w:rFonts w:cs="Times New Roman"/>
          <w:bCs/>
          <w:snapToGrid w:val="0"/>
          <w:color w:val="0000FF"/>
        </w:rPr>
        <w:t>临时工程占用耕地使被占用的耕地上的现有农作物受到破坏，并且使被占用耕地短时期内失去种植功能。项目临时占地会对当地的农业经济造成一定损失，但工程临时占地对沿线植被的影响是暂时的，工程结束后临时用地拟大部分进行复耕，因此会随着施工的结束而消减。在采取了表土回填的措施后，一般能够复耕。施工场地复耕较困难，主要是土壤理化结构遭到一定破坏，可以首先通过整地措施和种植一些浅根性草本植物先期绿化，待土壤结构缓慢恢复和改善后再种植农作物。临时占地恢复最困难的是临时料场和预制构件工地，由于土壤表面多覆盖水泥和石料等坚硬物体，加之重型车辆来往运输，对土壤破坏最大，一般直接复耕无法实现，可以考虑变为林地，也可以清除硬化表层，复填其它疏松土壤，然后再复耕。</w:t>
      </w:r>
    </w:p>
    <w:p w14:paraId="06E52594">
      <w:pPr>
        <w:rPr>
          <w:rFonts w:cs="Times New Roman"/>
          <w:color w:val="0000FF"/>
        </w:rPr>
      </w:pPr>
      <w:r>
        <w:rPr>
          <w:rFonts w:cs="Times New Roman"/>
          <w:bCs/>
          <w:color w:val="0000FF"/>
        </w:rPr>
        <w:t>综上所述，临时用地对农业生产的影响是暂时的，但必须通过有效的措施才能保证临时占地尽快恢复农业生产。因此，本工程建设占地对土地资源的影响不大，对农业生产带来的负面影响较小。</w:t>
      </w:r>
    </w:p>
    <w:p w14:paraId="40038BCA">
      <w:pPr>
        <w:rPr>
          <w:rFonts w:cs="Times New Roman"/>
          <w:color w:val="0000FF"/>
        </w:rPr>
      </w:pPr>
    </w:p>
    <w:p w14:paraId="0C77B7DE">
      <w:pPr>
        <w:pStyle w:val="3"/>
        <w:rPr>
          <w:rFonts w:cs="Times New Roman"/>
          <w:color w:val="0000FF"/>
        </w:rPr>
      </w:pPr>
      <w:bookmarkStart w:id="67" w:name="_Toc13506"/>
      <w:r>
        <w:rPr>
          <w:rFonts w:cs="Times New Roman"/>
          <w:color w:val="0000FF"/>
        </w:rPr>
        <w:t>5.1</w:t>
      </w:r>
      <w:r>
        <w:rPr>
          <w:rFonts w:hint="eastAsia" w:cs="Times New Roman"/>
          <w:color w:val="0000FF"/>
        </w:rPr>
        <w:t>1</w:t>
      </w:r>
      <w:r>
        <w:rPr>
          <w:rFonts w:cs="Times New Roman"/>
          <w:color w:val="0000FF"/>
        </w:rPr>
        <w:t>占地和移民安置对环境的影响</w:t>
      </w:r>
      <w:bookmarkEnd w:id="67"/>
    </w:p>
    <w:p w14:paraId="376674AC">
      <w:pPr>
        <w:pStyle w:val="4"/>
        <w:rPr>
          <w:rFonts w:cs="Times New Roman"/>
          <w:color w:val="0000FF"/>
        </w:rPr>
      </w:pPr>
      <w:r>
        <w:rPr>
          <w:rFonts w:cs="Times New Roman"/>
          <w:color w:val="0000FF"/>
        </w:rPr>
        <w:t>5.1</w:t>
      </w:r>
      <w:r>
        <w:rPr>
          <w:rFonts w:hint="eastAsia" w:cs="Times New Roman"/>
          <w:color w:val="0000FF"/>
        </w:rPr>
        <w:t>1</w:t>
      </w:r>
      <w:r>
        <w:rPr>
          <w:rFonts w:cs="Times New Roman"/>
          <w:color w:val="0000FF"/>
        </w:rPr>
        <w:t>.1 移民安置对环境的影响</w:t>
      </w:r>
    </w:p>
    <w:p w14:paraId="1457B161">
      <w:pPr>
        <w:ind w:firstLine="480" w:firstLineChars="200"/>
        <w:rPr>
          <w:rFonts w:cs="Times New Roman"/>
          <w:color w:val="0000FF"/>
        </w:rPr>
      </w:pPr>
      <w:r>
        <w:rPr>
          <w:rFonts w:cs="Times New Roman"/>
          <w:color w:val="0000FF"/>
        </w:rPr>
        <w:t>本工程不涉及移民安置，移民安置对区域生态环境无影响。</w:t>
      </w:r>
    </w:p>
    <w:p w14:paraId="327A39DC">
      <w:pPr>
        <w:pStyle w:val="4"/>
        <w:rPr>
          <w:rFonts w:cs="Times New Roman"/>
          <w:color w:val="0000FF"/>
        </w:rPr>
      </w:pPr>
      <w:r>
        <w:rPr>
          <w:rFonts w:eastAsia="宋体" w:cs="Times New Roman"/>
          <w:color w:val="0000FF"/>
        </w:rPr>
        <w:t>5.1</w:t>
      </w:r>
      <w:r>
        <w:rPr>
          <w:rFonts w:hint="eastAsia" w:eastAsia="宋体" w:cs="Times New Roman"/>
          <w:color w:val="0000FF"/>
        </w:rPr>
        <w:t>1</w:t>
      </w:r>
      <w:r>
        <w:rPr>
          <w:rFonts w:eastAsia="宋体" w:cs="Times New Roman"/>
          <w:color w:val="0000FF"/>
        </w:rPr>
        <w:t>.2 专项设施迁建对环境的影响</w:t>
      </w:r>
    </w:p>
    <w:p w14:paraId="29A43AC1">
      <w:pPr>
        <w:ind w:firstLine="480"/>
        <w:rPr>
          <w:rFonts w:cs="Times New Roman"/>
          <w:color w:val="0000FF"/>
        </w:rPr>
      </w:pPr>
      <w:r>
        <w:rPr>
          <w:rFonts w:cs="Times New Roman"/>
          <w:color w:val="0000FF"/>
        </w:rPr>
        <w:t>本工程影响到的专项设施主要包括电信线路、移动线路、联通线路、国防电缆、高低压线路等，专项设施需获得相关部门准许后才可实施迁建，且专项设施迁建过程中，开挖和填筑施工将扰动地表，可能造成短期内水土流失。迁建需占用安置区土地资源，改变土地利用方式，迁建过程中还会造成施工期水、气、声、渣的环境影响。</w:t>
      </w:r>
    </w:p>
    <w:p w14:paraId="3CFE9654">
      <w:pPr>
        <w:ind w:firstLine="480"/>
        <w:rPr>
          <w:rFonts w:cs="Times New Roman"/>
          <w:color w:val="0000FF"/>
        </w:rPr>
      </w:pPr>
      <w:r>
        <w:rPr>
          <w:rFonts w:cs="Times New Roman"/>
          <w:color w:val="0000FF"/>
        </w:rPr>
        <w:t>鉴于本工程涉及的专项设施工程量较小，在采取相应保护措施后，迁建对周边环境的影响是可以接受的。</w:t>
      </w:r>
    </w:p>
    <w:p w14:paraId="73D9CF73">
      <w:pPr>
        <w:rPr>
          <w:rFonts w:cs="Times New Roman"/>
          <w:color w:val="0000FF"/>
        </w:rPr>
      </w:pPr>
    </w:p>
    <w:p w14:paraId="674772AB">
      <w:pPr>
        <w:pStyle w:val="2"/>
        <w:rPr>
          <w:color w:val="0000FF"/>
        </w:rPr>
        <w:sectPr>
          <w:headerReference r:id="rId42" w:type="default"/>
          <w:footerReference r:id="rId43" w:type="default"/>
          <w:pgSz w:w="11905" w:h="16838"/>
          <w:pgMar w:top="1417" w:right="1417" w:bottom="1417" w:left="1417" w:header="850" w:footer="850" w:gutter="0"/>
          <w:pgNumType w:fmt="decimal"/>
          <w:cols w:space="0" w:num="1"/>
          <w:rtlGutter w:val="0"/>
          <w:docGrid w:linePitch="326" w:charSpace="0"/>
        </w:sectPr>
      </w:pPr>
    </w:p>
    <w:bookmarkEnd w:id="49"/>
    <w:p w14:paraId="4DA18EFF">
      <w:pPr>
        <w:pStyle w:val="2"/>
        <w:bidi w:val="0"/>
      </w:pPr>
      <w:bookmarkStart w:id="68" w:name="_Toc10437"/>
      <w:bookmarkStart w:id="69" w:name="_Toc85309326"/>
      <w:r>
        <w:t>6 环境风险评价</w:t>
      </w:r>
      <w:bookmarkEnd w:id="68"/>
    </w:p>
    <w:p w14:paraId="65104824">
      <w:pPr>
        <w:pStyle w:val="3"/>
        <w:bidi w:val="0"/>
      </w:pPr>
      <w:bookmarkStart w:id="70" w:name="_Toc18516"/>
      <w:r>
        <w:t>6.1 评价目的</w:t>
      </w:r>
      <w:bookmarkEnd w:id="70"/>
    </w:p>
    <w:p w14:paraId="368F37BD">
      <w:pPr>
        <w:bidi w:val="0"/>
      </w:pPr>
      <w:r>
        <w:t>根据原国家环保总局（90）环管字057号《关于对重大环境污染事故隐患进行风险评价的通知》和《建设项目环境风险评价技术导则》（HJ169-2018）、原环境保护部环发〔2012〕77号《关于进一步加强环境影响评价管理防范环境风险的通知》及原环境保护部环发〔2012〕98号《关于切实加强风险防范严格环境影响评价管理的通知》的要求。</w:t>
      </w:r>
    </w:p>
    <w:p w14:paraId="74AFA294">
      <w:pPr>
        <w:bidi w:val="0"/>
      </w:pPr>
      <w:r>
        <w:t>环境风险评价应以突发性事故导致的危险物质环境急性损害防控为目标，对建设项目的环境风险进行分析、预测和评估，提出环境风险预防、控制、减缓措施，明确环境风险监控及应急建议要求，为建设项目环境风险防控提供科学依据。</w:t>
      </w:r>
    </w:p>
    <w:p w14:paraId="121BC72A">
      <w:pPr>
        <w:pStyle w:val="3"/>
        <w:bidi w:val="0"/>
      </w:pPr>
      <w:bookmarkStart w:id="71" w:name="_Toc32271"/>
      <w:r>
        <w:t>6.2 风险调查</w:t>
      </w:r>
      <w:bookmarkEnd w:id="71"/>
    </w:p>
    <w:p w14:paraId="7498898D">
      <w:pPr>
        <w:pStyle w:val="4"/>
        <w:bidi w:val="0"/>
      </w:pPr>
      <w:r>
        <w:t>6.2.1 风险源</w:t>
      </w:r>
    </w:p>
    <w:p w14:paraId="18A3310A">
      <w:pPr>
        <w:ind w:firstLine="480" w:firstLineChars="200"/>
        <w:jc w:val="both"/>
        <w:rPr>
          <w:rFonts w:cs="Times New Roman"/>
        </w:rPr>
      </w:pPr>
      <w:r>
        <w:rPr>
          <w:rFonts w:hint="eastAsia" w:cs="Times New Roman"/>
        </w:rPr>
        <w:t>本项目涉及朱集</w:t>
      </w:r>
      <w:r>
        <w:rPr>
          <w:rFonts w:cs="Times New Roman"/>
        </w:rPr>
        <w:t>灌区内</w:t>
      </w:r>
      <w:r>
        <w:rPr>
          <w:rFonts w:hint="eastAsia" w:cs="Times New Roman"/>
        </w:rPr>
        <w:t>18</w:t>
      </w:r>
      <w:r>
        <w:rPr>
          <w:rFonts w:cs="Times New Roman"/>
        </w:rPr>
        <w:t>个子项目，主要包括渠道清淤、渠道岸坡护砌、续建配套各类渠系建筑物，维修、翻新以及新建管理房屋等建设内容。</w:t>
      </w:r>
    </w:p>
    <w:p w14:paraId="76EDBD27">
      <w:pPr>
        <w:ind w:firstLine="480" w:firstLineChars="200"/>
        <w:jc w:val="both"/>
        <w:rPr>
          <w:rFonts w:cs="Times New Roman"/>
        </w:rPr>
      </w:pPr>
      <w:r>
        <w:rPr>
          <w:rFonts w:cs="Times New Roman"/>
        </w:rPr>
        <w:t>各单项工程施工过程主要建筑材料为水泥、钢筋、汽油、柴油、块石、碎石和黄砂。</w:t>
      </w:r>
    </w:p>
    <w:p w14:paraId="3F8F0335">
      <w:pPr>
        <w:ind w:firstLine="480"/>
        <w:jc w:val="both"/>
        <w:rPr>
          <w:rFonts w:cs="Times New Roman"/>
          <w:color w:val="0000FF"/>
        </w:rPr>
      </w:pPr>
      <w:r>
        <w:rPr>
          <w:rFonts w:cs="Times New Roman"/>
        </w:rPr>
        <w:t>项目施工期地表水污染源主要来自施工人员产生的生活污水、施工机械设备冲洗产生的含油废水、混凝土施工废水和穿堤建筑物开挖清基产生的基坑废水；大气污染物主要为施工扬尘、运输车辆及机械产生的尾气、渠道底泥产生的恶臭气体；施工过程产生的生活垃圾定期运往工程</w:t>
      </w:r>
      <w:r>
        <w:rPr>
          <w:rFonts w:hint="eastAsia" w:cs="Times New Roman"/>
        </w:rPr>
        <w:t>附近</w:t>
      </w:r>
      <w:r>
        <w:rPr>
          <w:rFonts w:cs="Times New Roman"/>
        </w:rPr>
        <w:t>城镇垃圾站处理</w:t>
      </w:r>
      <w:r>
        <w:rPr>
          <w:rFonts w:cs="Times New Roman"/>
          <w:color w:val="0000FF"/>
        </w:rPr>
        <w:t>，本工程弃土量共174.54万m</w:t>
      </w:r>
      <w:r>
        <w:rPr>
          <w:rFonts w:cs="Times New Roman"/>
          <w:color w:val="0000FF"/>
          <w:vertAlign w:val="superscript"/>
        </w:rPr>
        <w:t>3</w:t>
      </w:r>
      <w:r>
        <w:rPr>
          <w:rFonts w:cs="Times New Roman"/>
          <w:color w:val="0000FF"/>
        </w:rPr>
        <w:t>，运送到指定弃土区</w:t>
      </w:r>
      <w:r>
        <w:rPr>
          <w:rFonts w:hint="eastAsia" w:cs="Times New Roman"/>
          <w:color w:val="0000FF"/>
        </w:rPr>
        <w:t>；拆除重建项目在拆除过程可能会产生一定的废机油。</w:t>
      </w:r>
      <w:r>
        <w:rPr>
          <w:rFonts w:cs="Times New Roman"/>
          <w:color w:val="0000FF"/>
        </w:rPr>
        <w:t>废机油、废涂料及包装容器暂存于各施工区危废库。</w:t>
      </w:r>
    </w:p>
    <w:p w14:paraId="6CD1D387">
      <w:pPr>
        <w:ind w:firstLine="480"/>
        <w:jc w:val="both"/>
        <w:rPr>
          <w:rFonts w:cs="Times New Roman"/>
          <w:color w:val="0000FF"/>
        </w:rPr>
      </w:pPr>
      <w:r>
        <w:rPr>
          <w:rFonts w:cs="Times New Roman"/>
          <w:color w:val="0000FF"/>
        </w:rPr>
        <w:t>本工程建设征（用）地范围包括堤防除险加固征地、建筑物征地、取土区用地、弃土区用地、临时堆土用地、施工布置区用地、施工道路占地和围堰占地等，会占用土地资源，破坏植被；本项目新建涵闸、桥梁选址不涉及生态保护红线、基本农田、重要野生动植物生境、洄游鱼类重要生境等生态敏感区。</w:t>
      </w:r>
    </w:p>
    <w:p w14:paraId="6C1A2A22">
      <w:pPr>
        <w:ind w:firstLine="480" w:firstLineChars="200"/>
        <w:rPr>
          <w:rFonts w:cs="Times New Roman"/>
        </w:rPr>
      </w:pPr>
      <w:r>
        <w:rPr>
          <w:rFonts w:cs="Times New Roman"/>
        </w:rPr>
        <w:t>综上所述，对照HJ169-2018中附录B，本项目涉及到的危险物质主要为油类物质（柴油、汽油）。</w:t>
      </w:r>
    </w:p>
    <w:p w14:paraId="7C281A5A">
      <w:pPr>
        <w:pStyle w:val="4"/>
        <w:rPr>
          <w:rFonts w:cs="Times New Roman"/>
        </w:rPr>
      </w:pPr>
      <w:r>
        <w:rPr>
          <w:rFonts w:cs="Times New Roman"/>
        </w:rPr>
        <w:t>6.2.2 环境敏感目标</w:t>
      </w:r>
    </w:p>
    <w:p w14:paraId="06049CCB">
      <w:pPr>
        <w:widowControl w:val="0"/>
        <w:ind w:firstLine="480" w:firstLineChars="200"/>
        <w:rPr>
          <w:rFonts w:cs="Times New Roman"/>
        </w:rPr>
      </w:pPr>
      <w:r>
        <w:rPr>
          <w:rFonts w:cs="Times New Roman"/>
        </w:rPr>
        <w:t>根据对项目施工影响区域调查，本项目环境风险敏感目标为项目涉及渠道水体及周边200m范围声和环境空气保护目标、</w:t>
      </w:r>
      <w:r>
        <w:rPr>
          <w:rFonts w:hint="eastAsia" w:cs="Times New Roman"/>
        </w:rPr>
        <w:t>瓦埠湖省级</w:t>
      </w:r>
      <w:r>
        <w:rPr>
          <w:rFonts w:cs="Times New Roman"/>
        </w:rPr>
        <w:t>湿地</w:t>
      </w:r>
      <w:r>
        <w:rPr>
          <w:rFonts w:hint="eastAsia" w:cs="Times New Roman"/>
        </w:rPr>
        <w:t>自然</w:t>
      </w:r>
      <w:r>
        <w:rPr>
          <w:rFonts w:cs="Times New Roman"/>
        </w:rPr>
        <w:t>公园。</w:t>
      </w:r>
    </w:p>
    <w:p w14:paraId="2E18FFCF">
      <w:pPr>
        <w:widowControl w:val="0"/>
        <w:adjustRightInd w:val="0"/>
        <w:jc w:val="both"/>
        <w:textAlignment w:val="center"/>
        <w:outlineLvl w:val="1"/>
        <w:rPr>
          <w:rFonts w:cs="Times New Roman"/>
          <w:bCs/>
        </w:rPr>
      </w:pPr>
      <w:bookmarkStart w:id="72" w:name="_Toc18966"/>
      <w:r>
        <w:rPr>
          <w:rFonts w:eastAsia="黑体" w:cs="Times New Roman"/>
          <w:bCs/>
        </w:rPr>
        <w:t>6.</w:t>
      </w:r>
      <w:r>
        <w:rPr>
          <w:rFonts w:cs="Times New Roman"/>
          <w:bCs/>
        </w:rPr>
        <w:t>3</w:t>
      </w:r>
      <w:r>
        <w:rPr>
          <w:rFonts w:eastAsia="黑体" w:cs="Times New Roman"/>
          <w:bCs/>
        </w:rPr>
        <w:t xml:space="preserve"> 评价等级</w:t>
      </w:r>
      <w:r>
        <w:rPr>
          <w:rFonts w:cs="Times New Roman"/>
          <w:bCs/>
        </w:rPr>
        <w:t>与范围</w:t>
      </w:r>
      <w:bookmarkEnd w:id="72"/>
    </w:p>
    <w:p w14:paraId="173D3920">
      <w:pPr>
        <w:pStyle w:val="4"/>
        <w:rPr>
          <w:rFonts w:cs="Times New Roman"/>
        </w:rPr>
      </w:pPr>
      <w:r>
        <w:rPr>
          <w:rFonts w:cs="Times New Roman"/>
        </w:rPr>
        <w:t>6.3.1 评价等级</w:t>
      </w:r>
    </w:p>
    <w:p w14:paraId="3E9CB0FF">
      <w:pPr>
        <w:widowControl w:val="0"/>
        <w:ind w:firstLine="480" w:firstLineChars="200"/>
        <w:jc w:val="both"/>
        <w:rPr>
          <w:rFonts w:cs="Times New Roman"/>
          <w:color w:val="0000FF"/>
        </w:rPr>
      </w:pPr>
      <w:r>
        <w:rPr>
          <w:rFonts w:cs="Times New Roman"/>
        </w:rPr>
        <w:t>根据《建设项目环境风险评价技术导则》（HJ169-2018），进行风险潜势初判，全过程涉及到的风险物质为柴油、汽油。施工现场不设置柴油和汽油储存设施，由于消耗的柴油和汽油为施工机械消耗，其可通过周边加油站补充。</w:t>
      </w:r>
      <w:r>
        <w:rPr>
          <w:rFonts w:cs="Times New Roman"/>
          <w:color w:val="0000FF"/>
        </w:rPr>
        <w:t>根据施工</w:t>
      </w:r>
      <w:r>
        <w:rPr>
          <w:rFonts w:hint="eastAsia" w:cs="Times New Roman"/>
          <w:color w:val="0000FF"/>
        </w:rPr>
        <w:t>方案，</w:t>
      </w:r>
      <w:r>
        <w:rPr>
          <w:rFonts w:cs="Times New Roman"/>
          <w:color w:val="0000FF"/>
        </w:rPr>
        <w:t>本项目共需汽油810t，柴油6161t。油料根据施工需要及时运送，油罐车容积为2t。</w:t>
      </w:r>
    </w:p>
    <w:p w14:paraId="3B75EC71">
      <w:pPr>
        <w:widowControl w:val="0"/>
        <w:ind w:firstLine="480" w:firstLineChars="200"/>
        <w:rPr>
          <w:rFonts w:cs="Times New Roman"/>
        </w:rPr>
      </w:pPr>
      <w:r>
        <w:rPr>
          <w:rFonts w:cs="Times New Roman"/>
        </w:rPr>
        <w:t>根据《建设项目环境风险评价技术导则》（HJ169-2018）附录C，Q按下式进行计算：</w:t>
      </w:r>
    </w:p>
    <w:p w14:paraId="64178B01">
      <w:pPr>
        <w:jc w:val="center"/>
        <w:rPr>
          <w:rFonts w:cs="Times New Roman"/>
        </w:rPr>
      </w:pPr>
      <w:r>
        <w:rPr>
          <w:rFonts w:cs="Times New Roman"/>
        </w:rPr>
        <w:t>Q=q1/Q1+q2/Q2+…+qn/Qn</w:t>
      </w:r>
    </w:p>
    <w:p w14:paraId="7ACEADBF">
      <w:pPr>
        <w:widowControl w:val="0"/>
        <w:ind w:firstLine="480" w:firstLineChars="200"/>
        <w:rPr>
          <w:rFonts w:cs="Times New Roman"/>
        </w:rPr>
      </w:pPr>
      <w:r>
        <w:rPr>
          <w:rFonts w:cs="Times New Roman"/>
        </w:rPr>
        <w:t>式中：q1，q2……qn——每种危险物质的最大存在量，t；</w:t>
      </w:r>
    </w:p>
    <w:p w14:paraId="02C3E2F6">
      <w:pPr>
        <w:widowControl w:val="0"/>
        <w:ind w:firstLine="1200" w:firstLineChars="500"/>
        <w:rPr>
          <w:rFonts w:cs="Times New Roman"/>
        </w:rPr>
      </w:pPr>
      <w:r>
        <w:rPr>
          <w:rFonts w:cs="Times New Roman"/>
        </w:rPr>
        <w:t>Q1，Q2…Qn—每种危险物质的临界量，t。</w:t>
      </w:r>
    </w:p>
    <w:p w14:paraId="60A5B083">
      <w:pPr>
        <w:widowControl w:val="0"/>
        <w:ind w:firstLine="480" w:firstLineChars="200"/>
        <w:rPr>
          <w:rFonts w:cs="Times New Roman"/>
        </w:rPr>
      </w:pPr>
      <w:r>
        <w:rPr>
          <w:rFonts w:cs="Times New Roman"/>
        </w:rPr>
        <w:t>当Q＜1时，该项目环境风险潜势为I。</w:t>
      </w:r>
    </w:p>
    <w:p w14:paraId="204F4F30">
      <w:pPr>
        <w:widowControl w:val="0"/>
        <w:ind w:firstLine="480" w:firstLineChars="200"/>
        <w:rPr>
          <w:rFonts w:cs="Times New Roman"/>
        </w:rPr>
      </w:pPr>
      <w:r>
        <w:rPr>
          <w:rFonts w:cs="Times New Roman"/>
        </w:rPr>
        <w:t>当Q≥1时，将Q值划分为：（1）1≤Q＜10；（2）10≤Q＜100；（3）Q≥100。</w:t>
      </w:r>
    </w:p>
    <w:p w14:paraId="5337FB1C">
      <w:pPr>
        <w:widowControl w:val="0"/>
        <w:ind w:firstLine="480" w:firstLineChars="200"/>
        <w:rPr>
          <w:rFonts w:cs="Times New Roman"/>
        </w:rPr>
      </w:pPr>
      <w:r>
        <w:rPr>
          <w:rFonts w:cs="Times New Roman"/>
        </w:rPr>
        <w:t>对照附录B，结合风险识别结果，具体判定结果见下表。</w:t>
      </w:r>
    </w:p>
    <w:p w14:paraId="4EE2BE50">
      <w:pPr>
        <w:jc w:val="center"/>
        <w:rPr>
          <w:rFonts w:eastAsia="黑体" w:cs="Times New Roman"/>
          <w:color w:val="0000FF"/>
        </w:rPr>
      </w:pPr>
      <w:r>
        <w:rPr>
          <w:rFonts w:eastAsia="黑体" w:cs="Times New Roman"/>
          <w:color w:val="0000FF"/>
        </w:rPr>
        <w:t>表6-</w:t>
      </w:r>
      <w:r>
        <w:rPr>
          <w:rFonts w:hint="eastAsia" w:eastAsia="黑体" w:cs="Times New Roman"/>
          <w:color w:val="0000FF"/>
        </w:rPr>
        <w:t>3</w:t>
      </w:r>
      <w:r>
        <w:rPr>
          <w:rFonts w:eastAsia="黑体" w:cs="Times New Roman"/>
          <w:color w:val="0000FF"/>
        </w:rPr>
        <w:t>-1  建设项目Q值确定表</w:t>
      </w:r>
    </w:p>
    <w:tbl>
      <w:tblPr>
        <w:tblStyle w:val="16"/>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0"/>
        <w:gridCol w:w="2172"/>
        <w:gridCol w:w="1249"/>
        <w:gridCol w:w="1881"/>
        <w:gridCol w:w="1292"/>
        <w:gridCol w:w="2007"/>
      </w:tblGrid>
      <w:tr w14:paraId="5F4E8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6" w:type="pct"/>
            <w:vAlign w:val="center"/>
          </w:tcPr>
          <w:p w14:paraId="73349B11">
            <w:pPr>
              <w:pStyle w:val="28"/>
              <w:bidi w:val="0"/>
            </w:pPr>
            <w:r>
              <w:t>序号</w:t>
            </w:r>
          </w:p>
        </w:tc>
        <w:tc>
          <w:tcPr>
            <w:tcW w:w="1170" w:type="pct"/>
            <w:vAlign w:val="center"/>
          </w:tcPr>
          <w:p w14:paraId="743ED4B4">
            <w:pPr>
              <w:pStyle w:val="28"/>
              <w:bidi w:val="0"/>
            </w:pPr>
            <w:r>
              <w:t>危险物质名称</w:t>
            </w:r>
          </w:p>
        </w:tc>
        <w:tc>
          <w:tcPr>
            <w:tcW w:w="673" w:type="pct"/>
            <w:vAlign w:val="center"/>
          </w:tcPr>
          <w:p w14:paraId="21EFFF4F">
            <w:pPr>
              <w:pStyle w:val="28"/>
              <w:bidi w:val="0"/>
            </w:pPr>
            <w:r>
              <w:t>CAS号</w:t>
            </w:r>
          </w:p>
        </w:tc>
        <w:tc>
          <w:tcPr>
            <w:tcW w:w="1013" w:type="pct"/>
            <w:vAlign w:val="center"/>
          </w:tcPr>
          <w:p w14:paraId="7819F990">
            <w:pPr>
              <w:pStyle w:val="28"/>
              <w:bidi w:val="0"/>
            </w:pPr>
            <w:r>
              <w:t>最大存在总量qn/t</w:t>
            </w:r>
          </w:p>
        </w:tc>
        <w:tc>
          <w:tcPr>
            <w:tcW w:w="695" w:type="pct"/>
            <w:vAlign w:val="center"/>
          </w:tcPr>
          <w:p w14:paraId="0247008A">
            <w:pPr>
              <w:pStyle w:val="28"/>
              <w:bidi w:val="0"/>
            </w:pPr>
            <w:r>
              <w:t>临界量Qn/t</w:t>
            </w:r>
          </w:p>
        </w:tc>
        <w:tc>
          <w:tcPr>
            <w:tcW w:w="1081" w:type="pct"/>
            <w:vAlign w:val="center"/>
          </w:tcPr>
          <w:p w14:paraId="790383E4">
            <w:pPr>
              <w:pStyle w:val="28"/>
              <w:bidi w:val="0"/>
            </w:pPr>
            <w:r>
              <w:t>该种危险物质Q值</w:t>
            </w:r>
          </w:p>
        </w:tc>
      </w:tr>
      <w:tr w14:paraId="41979D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6" w:type="pct"/>
            <w:vAlign w:val="center"/>
          </w:tcPr>
          <w:p w14:paraId="6A6291DF">
            <w:pPr>
              <w:pStyle w:val="28"/>
              <w:bidi w:val="0"/>
            </w:pPr>
            <w:r>
              <w:t>1</w:t>
            </w:r>
          </w:p>
        </w:tc>
        <w:tc>
          <w:tcPr>
            <w:tcW w:w="1170" w:type="pct"/>
            <w:vAlign w:val="center"/>
          </w:tcPr>
          <w:p w14:paraId="6E9D39E3">
            <w:pPr>
              <w:pStyle w:val="28"/>
              <w:bidi w:val="0"/>
            </w:pPr>
            <w:r>
              <w:t>柴油</w:t>
            </w:r>
          </w:p>
        </w:tc>
        <w:tc>
          <w:tcPr>
            <w:tcW w:w="673" w:type="pct"/>
            <w:vAlign w:val="center"/>
          </w:tcPr>
          <w:p w14:paraId="38453C46">
            <w:pPr>
              <w:pStyle w:val="28"/>
              <w:bidi w:val="0"/>
            </w:pPr>
            <w:r>
              <w:t>68334-30-5</w:t>
            </w:r>
          </w:p>
        </w:tc>
        <w:tc>
          <w:tcPr>
            <w:tcW w:w="1013" w:type="pct"/>
            <w:vAlign w:val="center"/>
          </w:tcPr>
          <w:p w14:paraId="23E4AA37">
            <w:pPr>
              <w:pStyle w:val="28"/>
              <w:bidi w:val="0"/>
            </w:pPr>
            <w:r>
              <w:t>2</w:t>
            </w:r>
          </w:p>
        </w:tc>
        <w:tc>
          <w:tcPr>
            <w:tcW w:w="695" w:type="pct"/>
            <w:vAlign w:val="center"/>
          </w:tcPr>
          <w:p w14:paraId="3130F732">
            <w:pPr>
              <w:pStyle w:val="28"/>
              <w:bidi w:val="0"/>
            </w:pPr>
            <w:r>
              <w:t>2500</w:t>
            </w:r>
          </w:p>
        </w:tc>
        <w:tc>
          <w:tcPr>
            <w:tcW w:w="1081" w:type="pct"/>
            <w:vAlign w:val="center"/>
          </w:tcPr>
          <w:p w14:paraId="40057702">
            <w:pPr>
              <w:pStyle w:val="28"/>
              <w:bidi w:val="0"/>
            </w:pPr>
            <w:r>
              <w:t>0.0008</w:t>
            </w:r>
          </w:p>
        </w:tc>
      </w:tr>
      <w:tr w14:paraId="2ADFC3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66" w:type="pct"/>
            <w:vAlign w:val="center"/>
          </w:tcPr>
          <w:p w14:paraId="56775C8E">
            <w:pPr>
              <w:pStyle w:val="28"/>
              <w:bidi w:val="0"/>
            </w:pPr>
            <w:r>
              <w:t>2</w:t>
            </w:r>
          </w:p>
        </w:tc>
        <w:tc>
          <w:tcPr>
            <w:tcW w:w="1170" w:type="pct"/>
            <w:vAlign w:val="center"/>
          </w:tcPr>
          <w:p w14:paraId="2C38C86B">
            <w:pPr>
              <w:pStyle w:val="28"/>
              <w:bidi w:val="0"/>
            </w:pPr>
            <w:r>
              <w:t>汽油</w:t>
            </w:r>
          </w:p>
        </w:tc>
        <w:tc>
          <w:tcPr>
            <w:tcW w:w="673" w:type="pct"/>
            <w:vAlign w:val="center"/>
          </w:tcPr>
          <w:p w14:paraId="1E5355DA">
            <w:pPr>
              <w:pStyle w:val="28"/>
              <w:bidi w:val="0"/>
            </w:pPr>
            <w:r>
              <w:t>8006-61-9</w:t>
            </w:r>
          </w:p>
        </w:tc>
        <w:tc>
          <w:tcPr>
            <w:tcW w:w="1013" w:type="pct"/>
            <w:vAlign w:val="center"/>
          </w:tcPr>
          <w:p w14:paraId="15E29399">
            <w:pPr>
              <w:pStyle w:val="28"/>
              <w:bidi w:val="0"/>
            </w:pPr>
            <w:r>
              <w:t>2</w:t>
            </w:r>
          </w:p>
        </w:tc>
        <w:tc>
          <w:tcPr>
            <w:tcW w:w="695" w:type="pct"/>
            <w:vAlign w:val="center"/>
          </w:tcPr>
          <w:p w14:paraId="56D87B3F">
            <w:pPr>
              <w:pStyle w:val="28"/>
              <w:bidi w:val="0"/>
            </w:pPr>
            <w:r>
              <w:t>2500</w:t>
            </w:r>
          </w:p>
        </w:tc>
        <w:tc>
          <w:tcPr>
            <w:tcW w:w="1081" w:type="pct"/>
            <w:vAlign w:val="center"/>
          </w:tcPr>
          <w:p w14:paraId="70F1AF32">
            <w:pPr>
              <w:pStyle w:val="28"/>
              <w:bidi w:val="0"/>
            </w:pPr>
            <w:r>
              <w:t>0.0008</w:t>
            </w:r>
          </w:p>
        </w:tc>
      </w:tr>
      <w:tr w14:paraId="0559DA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3918" w:type="pct"/>
            <w:gridSpan w:val="5"/>
            <w:vAlign w:val="bottom"/>
          </w:tcPr>
          <w:p w14:paraId="1DCAB258">
            <w:pPr>
              <w:pStyle w:val="28"/>
              <w:bidi w:val="0"/>
            </w:pPr>
            <w:r>
              <w:t>项目 Q 值Σ</w:t>
            </w:r>
          </w:p>
        </w:tc>
        <w:tc>
          <w:tcPr>
            <w:tcW w:w="1081" w:type="pct"/>
            <w:vAlign w:val="center"/>
          </w:tcPr>
          <w:p w14:paraId="435DFDD8">
            <w:pPr>
              <w:pStyle w:val="28"/>
              <w:bidi w:val="0"/>
            </w:pPr>
            <w:r>
              <w:t>0.00</w:t>
            </w:r>
            <w:r>
              <w:rPr>
                <w:rFonts w:hint="eastAsia"/>
              </w:rPr>
              <w:t>239</w:t>
            </w:r>
          </w:p>
        </w:tc>
      </w:tr>
    </w:tbl>
    <w:p w14:paraId="78EBFBE8">
      <w:pPr>
        <w:widowControl w:val="0"/>
        <w:spacing w:line="240" w:lineRule="auto"/>
        <w:ind w:firstLine="480" w:firstLineChars="200"/>
        <w:rPr>
          <w:rFonts w:cs="Times New Roman"/>
          <w:color w:val="0000FF"/>
        </w:rPr>
      </w:pPr>
    </w:p>
    <w:p w14:paraId="667F1132">
      <w:pPr>
        <w:widowControl w:val="0"/>
        <w:ind w:firstLine="480" w:firstLineChars="200"/>
        <w:rPr>
          <w:rFonts w:cs="Times New Roman"/>
          <w:color w:val="0000FF"/>
        </w:rPr>
      </w:pPr>
      <w:r>
        <w:rPr>
          <w:rFonts w:cs="Times New Roman"/>
          <w:color w:val="0000FF"/>
        </w:rPr>
        <w:t>根据计算结果，施工现场危险物质总量与其临界值的比值Q为0.00</w:t>
      </w:r>
      <w:r>
        <w:rPr>
          <w:rFonts w:hint="eastAsia" w:cs="Times New Roman"/>
          <w:color w:val="0000FF"/>
        </w:rPr>
        <w:t>239</w:t>
      </w:r>
      <w:r>
        <w:rPr>
          <w:rFonts w:cs="Times New Roman"/>
          <w:color w:val="0000FF"/>
        </w:rPr>
        <w:t>，Q＜1，因此，该项目风险潜势为Ⅰ，开展简单分析。</w:t>
      </w:r>
    </w:p>
    <w:p w14:paraId="4EFA0D6D">
      <w:pPr>
        <w:widowControl w:val="0"/>
        <w:ind w:firstLine="480" w:firstLineChars="200"/>
        <w:rPr>
          <w:rFonts w:cs="Times New Roman"/>
          <w:color w:val="0000FF"/>
        </w:rPr>
      </w:pPr>
      <w:r>
        <w:rPr>
          <w:rFonts w:hint="eastAsia" w:cs="Times New Roman"/>
          <w:color w:val="0000FF"/>
        </w:rPr>
        <w:t>本次评价根据</w:t>
      </w:r>
      <w:r>
        <w:rPr>
          <w:rFonts w:cs="Times New Roman"/>
          <w:color w:val="0000FF"/>
        </w:rPr>
        <w:t>HJ169-2018进行相关风险评价</w:t>
      </w:r>
      <w:r>
        <w:rPr>
          <w:rFonts w:hint="eastAsia" w:cs="Times New Roman"/>
          <w:color w:val="0000FF"/>
        </w:rPr>
        <w:t>，</w:t>
      </w:r>
      <w:r>
        <w:rPr>
          <w:rFonts w:cs="Times New Roman"/>
          <w:color w:val="0000FF"/>
        </w:rPr>
        <w:t>为了更加全面的评价本项目的环境风险，按照三级评价的相关要求，进行环境风险评价。</w:t>
      </w:r>
    </w:p>
    <w:p w14:paraId="1758A677">
      <w:pPr>
        <w:pStyle w:val="4"/>
        <w:rPr>
          <w:rFonts w:cs="Times New Roman"/>
        </w:rPr>
      </w:pPr>
      <w:r>
        <w:rPr>
          <w:rFonts w:cs="Times New Roman"/>
        </w:rPr>
        <w:t>6.3.2 评价范围</w:t>
      </w:r>
    </w:p>
    <w:p w14:paraId="044140CC">
      <w:pPr>
        <w:widowControl w:val="0"/>
        <w:ind w:firstLine="480" w:firstLineChars="200"/>
        <w:rPr>
          <w:rFonts w:cs="Times New Roman"/>
        </w:rPr>
      </w:pPr>
      <w:r>
        <w:rPr>
          <w:rFonts w:cs="Times New Roman"/>
        </w:rPr>
        <w:t>为了更加全面的分析环境风险，主要以涉及渠道工程为评价范围，重点评价</w:t>
      </w:r>
      <w:r>
        <w:rPr>
          <w:rFonts w:hint="eastAsia" w:cs="Times New Roman"/>
        </w:rPr>
        <w:t>施工活动对生态敏感区的影响。</w:t>
      </w:r>
    </w:p>
    <w:p w14:paraId="36CDF955">
      <w:pPr>
        <w:widowControl w:val="0"/>
        <w:adjustRightInd w:val="0"/>
        <w:jc w:val="both"/>
        <w:textAlignment w:val="center"/>
        <w:outlineLvl w:val="1"/>
        <w:rPr>
          <w:rFonts w:cs="Times New Roman"/>
        </w:rPr>
      </w:pPr>
      <w:bookmarkStart w:id="73" w:name="_Toc24329"/>
      <w:r>
        <w:rPr>
          <w:rFonts w:eastAsia="黑体" w:cs="Times New Roman"/>
          <w:bCs/>
        </w:rPr>
        <w:t>6.</w:t>
      </w:r>
      <w:r>
        <w:rPr>
          <w:rFonts w:cs="Times New Roman"/>
          <w:bCs/>
        </w:rPr>
        <w:t>4</w:t>
      </w:r>
      <w:r>
        <w:rPr>
          <w:rFonts w:eastAsia="黑体" w:cs="Times New Roman"/>
          <w:bCs/>
        </w:rPr>
        <w:t xml:space="preserve"> </w:t>
      </w:r>
      <w:r>
        <w:rPr>
          <w:rFonts w:cs="Times New Roman"/>
          <w:bCs/>
        </w:rPr>
        <w:t>风险识别</w:t>
      </w:r>
      <w:bookmarkEnd w:id="73"/>
    </w:p>
    <w:p w14:paraId="2F46EE83">
      <w:pPr>
        <w:widowControl w:val="0"/>
        <w:ind w:firstLine="480" w:firstLineChars="200"/>
        <w:jc w:val="both"/>
        <w:rPr>
          <w:rFonts w:cs="Times New Roman"/>
        </w:rPr>
      </w:pPr>
      <w:r>
        <w:rPr>
          <w:rFonts w:cs="Times New Roman"/>
        </w:rPr>
        <w:t>本工程为非污染生态影响类工程，工程产生的环境影响主要集中在施工期的废水、废气、</w:t>
      </w:r>
      <w:r>
        <w:rPr>
          <w:rFonts w:hint="eastAsia" w:cs="Times New Roman"/>
        </w:rPr>
        <w:t>固废</w:t>
      </w:r>
      <w:r>
        <w:rPr>
          <w:rFonts w:cs="Times New Roman"/>
        </w:rPr>
        <w:t>和噪声污染，工程施工的生产和生活污水的产生点多而分散，配备了相应的污水处理设施，经处理后回用，对河道的水质总体上影响微小。施工所在地大都位于空旷扩散条件好的农村地区，而且施工污染物排放形势及分布较分散，大气污染物扩散稀释条件较好，各施工区的大气环境质量不会明显降低。距居民点较近的施工区，避免夜间施工，并在居民点一侧安装隔音屏，可以减少对居民生活的影响。施工废弃物绝大部分为无毒无害的土、石废弃物，运行产生的环境影响小。渠道自身不向环境排放污染物，不涉及航道以及不涉及渠道裁弯取直、围湖造地。从本工程组成及施工过程分析，本次工程建设产生突发或非突发的环境风险</w:t>
      </w:r>
      <w:r>
        <w:rPr>
          <w:rFonts w:hint="eastAsia" w:cs="Times New Roman"/>
        </w:rPr>
        <w:t>几率</w:t>
      </w:r>
      <w:r>
        <w:rPr>
          <w:rFonts w:cs="Times New Roman"/>
        </w:rPr>
        <w:t xml:space="preserve">极低。 </w:t>
      </w:r>
    </w:p>
    <w:p w14:paraId="6167CD09">
      <w:pPr>
        <w:widowControl w:val="0"/>
        <w:ind w:firstLine="480" w:firstLineChars="200"/>
        <w:rPr>
          <w:rFonts w:cs="Times New Roman"/>
        </w:rPr>
      </w:pPr>
      <w:r>
        <w:rPr>
          <w:rFonts w:cs="Times New Roman"/>
        </w:rPr>
        <w:t>考虑到项目所在区域特殊的自然地理以及社会经济条件，经分析，本工程主要的潜在环境风险在于施工期</w:t>
      </w:r>
      <w:r>
        <w:rPr>
          <w:rFonts w:hint="eastAsia" w:cs="Times New Roman"/>
        </w:rPr>
        <w:t>泄漏事故风险、对生态敏感区污染风险和生态风险。</w:t>
      </w:r>
    </w:p>
    <w:p w14:paraId="720088AD">
      <w:pPr>
        <w:widowControl w:val="0"/>
        <w:adjustRightInd w:val="0"/>
        <w:jc w:val="both"/>
        <w:textAlignment w:val="center"/>
        <w:outlineLvl w:val="1"/>
        <w:rPr>
          <w:rFonts w:eastAsia="黑体" w:cs="Times New Roman"/>
          <w:bCs/>
        </w:rPr>
      </w:pPr>
      <w:bookmarkStart w:id="74" w:name="_Toc13069"/>
      <w:r>
        <w:rPr>
          <w:rFonts w:eastAsia="黑体" w:cs="Times New Roman"/>
          <w:bCs/>
        </w:rPr>
        <w:t>6.</w:t>
      </w:r>
      <w:r>
        <w:rPr>
          <w:rFonts w:cs="Times New Roman"/>
          <w:bCs/>
        </w:rPr>
        <w:t>5</w:t>
      </w:r>
      <w:r>
        <w:rPr>
          <w:rFonts w:eastAsia="黑体" w:cs="Times New Roman"/>
          <w:bCs/>
        </w:rPr>
        <w:t xml:space="preserve"> </w:t>
      </w:r>
      <w:r>
        <w:rPr>
          <w:rFonts w:cs="Times New Roman"/>
          <w:bCs/>
        </w:rPr>
        <w:t>风险事故情形分析</w:t>
      </w:r>
      <w:bookmarkEnd w:id="74"/>
    </w:p>
    <w:p w14:paraId="49D624BB">
      <w:pPr>
        <w:pStyle w:val="4"/>
        <w:rPr>
          <w:rFonts w:cs="Times New Roman"/>
        </w:rPr>
      </w:pPr>
      <w:r>
        <w:rPr>
          <w:rFonts w:cs="Times New Roman"/>
        </w:rPr>
        <w:t>6.5.1 风险事故情形</w:t>
      </w:r>
    </w:p>
    <w:p w14:paraId="44858B4E">
      <w:pPr>
        <w:widowControl w:val="0"/>
        <w:ind w:firstLine="480" w:firstLineChars="200"/>
        <w:rPr>
          <w:rFonts w:cs="Times New Roman"/>
        </w:rPr>
      </w:pPr>
      <w:r>
        <w:rPr>
          <w:rFonts w:cs="Times New Roman"/>
        </w:rPr>
        <w:t>1、</w:t>
      </w:r>
      <w:r>
        <w:rPr>
          <w:rFonts w:hint="eastAsia" w:cs="Times New Roman"/>
        </w:rPr>
        <w:t>泄漏风险</w:t>
      </w:r>
    </w:p>
    <w:p w14:paraId="277DAB8C">
      <w:pPr>
        <w:widowControl w:val="0"/>
        <w:ind w:firstLine="480" w:firstLineChars="200"/>
        <w:rPr>
          <w:rFonts w:cs="Times New Roman"/>
        </w:rPr>
      </w:pPr>
      <w:r>
        <w:rPr>
          <w:rFonts w:cs="Times New Roman"/>
        </w:rPr>
        <w:t>施工机械漏油</w:t>
      </w:r>
      <w:r>
        <w:rPr>
          <w:rFonts w:hint="eastAsia" w:cs="Times New Roman"/>
        </w:rPr>
        <w:t>：</w:t>
      </w:r>
      <w:r>
        <w:rPr>
          <w:rFonts w:cs="Times New Roman"/>
        </w:rPr>
        <w:t>大部分的漏油事故都是因为橡胶密封圈长时间受冷暖温度交替变化，导致密封圈丢失了大量的增塑剂以及软化剂，出现了腐蚀老化变硬的问题，由最初的渗油，</w:t>
      </w:r>
      <w:r>
        <w:rPr>
          <w:rFonts w:hint="eastAsia" w:cs="Times New Roman"/>
        </w:rPr>
        <w:t>逐渐</w:t>
      </w:r>
      <w:r>
        <w:rPr>
          <w:rFonts w:cs="Times New Roman"/>
        </w:rPr>
        <w:t>出现滴油现象，时间久了密封圈出现断裂导致漏油事故。还有小部分漏油事故由于外力引起的，如施工机械间的相互碰撞、机械侧翻导致油箱泄露。</w:t>
      </w:r>
    </w:p>
    <w:p w14:paraId="29B387E5">
      <w:pPr>
        <w:ind w:firstLine="480"/>
        <w:rPr>
          <w:rFonts w:cs="Times New Roman"/>
        </w:rPr>
      </w:pPr>
      <w:r>
        <w:rPr>
          <w:rFonts w:hint="eastAsia" w:cs="Times New Roman"/>
        </w:rPr>
        <w:t>2、其他生态敏感区污染风险</w:t>
      </w:r>
    </w:p>
    <w:p w14:paraId="07FEE207">
      <w:pPr>
        <w:ind w:left="480"/>
        <w:rPr>
          <w:rFonts w:cs="Times New Roman"/>
        </w:rPr>
      </w:pPr>
      <w:r>
        <w:rPr>
          <w:rFonts w:hint="eastAsia" w:cs="Times New Roman"/>
        </w:rPr>
        <w:t>非正常工况下，造成自然公园内水体、土壤环境污染。</w:t>
      </w:r>
    </w:p>
    <w:p w14:paraId="0B03E266">
      <w:pPr>
        <w:ind w:firstLine="480"/>
        <w:rPr>
          <w:rFonts w:cs="Times New Roman"/>
        </w:rPr>
      </w:pPr>
      <w:r>
        <w:rPr>
          <w:rFonts w:hint="eastAsia" w:cs="Times New Roman"/>
        </w:rPr>
        <w:t>3、生态风险</w:t>
      </w:r>
    </w:p>
    <w:p w14:paraId="33500008">
      <w:pPr>
        <w:widowControl w:val="0"/>
        <w:ind w:firstLine="480" w:firstLineChars="200"/>
        <w:rPr>
          <w:rFonts w:cs="Times New Roman"/>
        </w:rPr>
      </w:pPr>
      <w:r>
        <w:rPr>
          <w:rFonts w:hint="eastAsia"/>
        </w:rPr>
        <w:t>本项目施工时可能会导致外来物种入侵风险；土地硬底化导致渠道沉积物增多的风险；渠道工程施工和新建闸工程等破坏渠道动态平衡风险；植被减少造成水体温度升高，从而导致水质变化风险；工程施工造成生物多样性降低风险、水土流失风险。</w:t>
      </w:r>
    </w:p>
    <w:p w14:paraId="46128B7D">
      <w:pPr>
        <w:pStyle w:val="4"/>
        <w:rPr>
          <w:rFonts w:cs="Times New Roman"/>
        </w:rPr>
      </w:pPr>
      <w:r>
        <w:rPr>
          <w:rFonts w:cs="Times New Roman"/>
        </w:rPr>
        <w:t xml:space="preserve">6.5.2 </w:t>
      </w:r>
      <w:r>
        <w:rPr>
          <w:rFonts w:hint="eastAsia" w:cs="Times New Roman"/>
        </w:rPr>
        <w:t>泄漏事故</w:t>
      </w:r>
      <w:r>
        <w:rPr>
          <w:rFonts w:cs="Times New Roman"/>
        </w:rPr>
        <w:t>风险分析</w:t>
      </w:r>
    </w:p>
    <w:p w14:paraId="0A4823B5">
      <w:pPr>
        <w:pStyle w:val="5"/>
        <w:rPr>
          <w:rFonts w:cs="Times New Roman"/>
          <w:b/>
          <w:bCs/>
        </w:rPr>
      </w:pPr>
      <w:r>
        <w:rPr>
          <w:rFonts w:hint="eastAsia"/>
        </w:rPr>
        <w:t xml:space="preserve">6.5.2.1 </w:t>
      </w:r>
      <w:r>
        <w:t>施工期油料泄漏事故风险分析</w:t>
      </w:r>
    </w:p>
    <w:p w14:paraId="00303B46">
      <w:pPr>
        <w:widowControl w:val="0"/>
        <w:ind w:firstLine="480" w:firstLineChars="200"/>
        <w:rPr>
          <w:rFonts w:cs="Times New Roman"/>
        </w:rPr>
      </w:pPr>
      <w:r>
        <w:rPr>
          <w:rFonts w:cs="Times New Roman"/>
        </w:rPr>
        <w:t>施工过程中由于车辆侧翻或者施工机械老化导致漏油事故发生。项目工程均在枯水期进行施工，且为干地施工，渠道中无水。施工机械或车辆出现溢油情况</w:t>
      </w:r>
      <w:r>
        <w:rPr>
          <w:rFonts w:hint="eastAsia" w:cs="Times New Roman"/>
        </w:rPr>
        <w:t>时</w:t>
      </w:r>
      <w:r>
        <w:rPr>
          <w:rFonts w:cs="Times New Roman"/>
        </w:rPr>
        <w:t>主要是</w:t>
      </w:r>
      <w:r>
        <w:rPr>
          <w:rFonts w:hint="eastAsia" w:cs="Times New Roman"/>
        </w:rPr>
        <w:t>对</w:t>
      </w:r>
      <w:r>
        <w:rPr>
          <w:rFonts w:cs="Times New Roman"/>
        </w:rPr>
        <w:t>水生生态环境</w:t>
      </w:r>
      <w:r>
        <w:rPr>
          <w:rFonts w:hint="eastAsia" w:cs="Times New Roman"/>
        </w:rPr>
        <w:t>产生</w:t>
      </w:r>
      <w:r>
        <w:rPr>
          <w:rFonts w:cs="Times New Roman"/>
        </w:rPr>
        <w:t>影响，</w:t>
      </w:r>
      <w:r>
        <w:rPr>
          <w:rFonts w:hint="eastAsia" w:cs="Times New Roman"/>
        </w:rPr>
        <w:t>体现</w:t>
      </w:r>
      <w:r>
        <w:rPr>
          <w:rFonts w:cs="Times New Roman"/>
        </w:rPr>
        <w:t>在以下方面：</w:t>
      </w:r>
    </w:p>
    <w:p w14:paraId="52BA5391">
      <w:pPr>
        <w:widowControl w:val="0"/>
        <w:ind w:firstLine="480" w:firstLineChars="200"/>
        <w:rPr>
          <w:rFonts w:cs="Times New Roman"/>
        </w:rPr>
      </w:pPr>
      <w:r>
        <w:rPr>
          <w:rFonts w:cs="Times New Roman"/>
        </w:rPr>
        <w:t>1、急性中毒效应</w:t>
      </w:r>
    </w:p>
    <w:p w14:paraId="4ADAC135">
      <w:pPr>
        <w:widowControl w:val="0"/>
        <w:ind w:firstLine="480" w:firstLineChars="200"/>
        <w:rPr>
          <w:rFonts w:cs="Times New Roman"/>
        </w:rPr>
      </w:pPr>
      <w:r>
        <w:rPr>
          <w:rFonts w:cs="Times New Roman"/>
        </w:rPr>
        <w:t>施工期油料一旦泄露，将造成一定范围内的水域污染现象，对水域中的生物、鱼类影响较大。柴油、汽油等主要成分是烷烃类化合物，低沸点的烷烃类对一切生物均存在毒性，而高沸点的则是长效毒性，对水生生物生命构成威胁和危害直至死亡。</w:t>
      </w:r>
    </w:p>
    <w:p w14:paraId="424AD7DB">
      <w:pPr>
        <w:widowControl w:val="0"/>
        <w:ind w:firstLine="480" w:firstLineChars="200"/>
        <w:rPr>
          <w:rFonts w:cs="Times New Roman"/>
        </w:rPr>
      </w:pPr>
      <w:r>
        <w:rPr>
          <w:rFonts w:cs="Times New Roman"/>
        </w:rPr>
        <w:t>2、对鱼类的影响</w:t>
      </w:r>
    </w:p>
    <w:p w14:paraId="2323EF64">
      <w:pPr>
        <w:widowControl w:val="0"/>
        <w:ind w:firstLine="480" w:firstLineChars="200"/>
        <w:rPr>
          <w:rFonts w:cs="Times New Roman"/>
        </w:rPr>
      </w:pPr>
      <w:r>
        <w:rPr>
          <w:rFonts w:cs="Times New Roman"/>
        </w:rPr>
        <w:t>国内外许多的研究表明高浓度的石油会使鱼卵、仔幼鱼短时间内中毒死亡，低浓度的长期亚急性毒性可干扰鱼类摄食和繁殖，其毒性随石油组分的不同而有差异。</w:t>
      </w:r>
    </w:p>
    <w:p w14:paraId="5882CD60">
      <w:pPr>
        <w:widowControl w:val="0"/>
        <w:ind w:firstLine="480" w:firstLineChars="200"/>
        <w:rPr>
          <w:rFonts w:cs="Times New Roman"/>
        </w:rPr>
      </w:pPr>
      <w:r>
        <w:rPr>
          <w:rFonts w:cs="Times New Roman"/>
        </w:rPr>
        <w:t>（1）对鱼类的急性毒性测试</w:t>
      </w:r>
    </w:p>
    <w:p w14:paraId="03470763">
      <w:pPr>
        <w:widowControl w:val="0"/>
        <w:ind w:firstLine="480" w:firstLineChars="200"/>
        <w:rPr>
          <w:rFonts w:cs="Times New Roman"/>
        </w:rPr>
      </w:pPr>
      <w:r>
        <w:rPr>
          <w:rFonts w:cs="Times New Roman"/>
        </w:rPr>
        <w:t>根据相关资料，石油类对鲤鱼仔鱼96h的LC</w:t>
      </w:r>
      <w:r>
        <w:rPr>
          <w:rFonts w:cs="Times New Roman"/>
          <w:vertAlign w:val="subscript"/>
        </w:rPr>
        <w:t>50</w:t>
      </w:r>
      <w:r>
        <w:rPr>
          <w:rFonts w:cs="Times New Roman"/>
        </w:rPr>
        <w:t>值为0.5～3.0mg/L，因此污染带瞬时高浓度排放（即事故性排放）可导致急性中毒死鱼事故，故必须对油料运输车辆进行严格管控。</w:t>
      </w:r>
    </w:p>
    <w:p w14:paraId="0A0558B3">
      <w:pPr>
        <w:widowControl w:val="0"/>
        <w:ind w:firstLine="480" w:firstLineChars="200"/>
        <w:rPr>
          <w:rFonts w:cs="Times New Roman"/>
        </w:rPr>
      </w:pPr>
      <w:r>
        <w:rPr>
          <w:rFonts w:cs="Times New Roman"/>
        </w:rPr>
        <w:t>（2）石油类在鱼体内的蓄积残留分析</w:t>
      </w:r>
    </w:p>
    <w:p w14:paraId="31DDF10E">
      <w:pPr>
        <w:widowControl w:val="0"/>
        <w:ind w:firstLine="480" w:firstLineChars="200"/>
        <w:rPr>
          <w:rFonts w:cs="Times New Roman"/>
        </w:rPr>
      </w:pPr>
      <w:r>
        <w:rPr>
          <w:rFonts w:cs="Times New Roman"/>
        </w:rPr>
        <w:t>污染因子石油类在鱼体内的积累和残留可引起鱼类慢性中毒而带来</w:t>
      </w:r>
      <w:r>
        <w:rPr>
          <w:rFonts w:hint="eastAsia" w:cs="Times New Roman"/>
        </w:rPr>
        <w:t>长期</w:t>
      </w:r>
      <w:r>
        <w:rPr>
          <w:rFonts w:cs="Times New Roman"/>
        </w:rPr>
        <w:t>效应的污染影响，这种影响不仅可引起鱼类资源的变动，甚至会引起鱼类种质的变异。鱼类一旦与油分子接触就会在短时间内发生油臭，从而影响其食用价值。以20号燃料油为例，当石油类浓度为0.01mg/L时，7天之内就能对大部分的鱼、虾产生油味，30天内会使绝大多数鱼类产生异味。</w:t>
      </w:r>
    </w:p>
    <w:p w14:paraId="182C9A68">
      <w:pPr>
        <w:widowControl w:val="0"/>
        <w:ind w:firstLine="480" w:firstLineChars="200"/>
        <w:rPr>
          <w:rFonts w:cs="Times New Roman"/>
        </w:rPr>
      </w:pPr>
      <w:r>
        <w:rPr>
          <w:rFonts w:cs="Times New Roman"/>
        </w:rPr>
        <w:t>3、对浮游植物的影响</w:t>
      </w:r>
    </w:p>
    <w:p w14:paraId="70558CCA">
      <w:pPr>
        <w:widowControl w:val="0"/>
        <w:ind w:firstLine="480" w:firstLineChars="200"/>
        <w:rPr>
          <w:rFonts w:cs="Times New Roman"/>
        </w:rPr>
      </w:pPr>
      <w:r>
        <w:rPr>
          <w:rFonts w:cs="Times New Roman"/>
        </w:rPr>
        <w:t>实验证明石油会破坏浮游植物细胞，损坏叶绿素及干扰气体交换，从而妨碍它们的光合作用。这种破坏作用程度取决于石油的类型、浓度及浮游植物的种类。国内外许多毒性实验结果表明，作为鱼、虾类饵料基础的浮游植物，对各类油类的耐受能力都很低。一般浮游植物石油急性中毒致死浓度为0.1</w:t>
      </w:r>
      <w:r>
        <w:rPr>
          <w:rFonts w:hint="eastAsia" w:cs="Times New Roman"/>
        </w:rPr>
        <w:t>～</w:t>
      </w:r>
      <w:r>
        <w:rPr>
          <w:rFonts w:cs="Times New Roman"/>
        </w:rPr>
        <w:t>10.0mg/L，对于更敏感的种类，油浓度低于0.1mgL时，也会妨碍细胞的分裂和生长的速率。</w:t>
      </w:r>
    </w:p>
    <w:p w14:paraId="46E46429">
      <w:pPr>
        <w:widowControl w:val="0"/>
        <w:ind w:firstLine="480" w:firstLineChars="200"/>
        <w:rPr>
          <w:rFonts w:cs="Times New Roman"/>
        </w:rPr>
      </w:pPr>
      <w:r>
        <w:rPr>
          <w:rFonts w:hint="eastAsia" w:cs="Times New Roman"/>
        </w:rPr>
        <w:t>4、燃烧爆炸风险</w:t>
      </w:r>
    </w:p>
    <w:p w14:paraId="5062DCDC">
      <w:pPr>
        <w:widowControl w:val="0"/>
        <w:ind w:firstLine="480" w:firstLineChars="200"/>
        <w:rPr>
          <w:rFonts w:cs="Times New Roman"/>
        </w:rPr>
      </w:pPr>
      <w:r>
        <w:rPr>
          <w:rFonts w:cs="Times New Roman"/>
        </w:rPr>
        <w:t>工程</w:t>
      </w:r>
      <w:r>
        <w:rPr>
          <w:rFonts w:hint="eastAsia" w:cs="Times New Roman"/>
        </w:rPr>
        <w:t>施工</w:t>
      </w:r>
      <w:r>
        <w:rPr>
          <w:rFonts w:cs="Times New Roman"/>
        </w:rPr>
        <w:t>机械所用的柴油、汽油等，由于雷电、静电、电气火花、燃油罐车翻车等造成燃烧爆炸事故，引起火灾。</w:t>
      </w:r>
    </w:p>
    <w:p w14:paraId="2F4186BA">
      <w:pPr>
        <w:widowControl w:val="0"/>
        <w:ind w:firstLine="480" w:firstLineChars="200"/>
        <w:rPr>
          <w:rFonts w:cs="Times New Roman"/>
          <w:color w:val="0000FF"/>
        </w:rPr>
      </w:pPr>
      <w:r>
        <w:rPr>
          <w:rFonts w:cs="Times New Roman"/>
        </w:rPr>
        <w:t>燃油管理是工程施工期的安全、消防重点</w:t>
      </w:r>
      <w:r>
        <w:rPr>
          <w:rFonts w:hint="eastAsia" w:cs="Times New Roman"/>
        </w:rPr>
        <w:t>内容</w:t>
      </w:r>
      <w:r>
        <w:rPr>
          <w:rFonts w:cs="Times New Roman"/>
        </w:rPr>
        <w:t>，建立有严格的安全管理制度，从已有灌区改造工程施工情况，发生燃油事故的案例极少，特别是爆炸或重大泄漏的可能性很小。</w:t>
      </w:r>
    </w:p>
    <w:p w14:paraId="6401ED47">
      <w:pPr>
        <w:pStyle w:val="4"/>
        <w:rPr>
          <w:color w:val="0000FF"/>
        </w:rPr>
      </w:pPr>
      <w:r>
        <w:rPr>
          <w:rFonts w:cs="Times New Roman"/>
          <w:color w:val="0000FF"/>
        </w:rPr>
        <w:t>6.5.</w:t>
      </w:r>
      <w:r>
        <w:rPr>
          <w:rFonts w:hint="eastAsia" w:cs="Times New Roman"/>
          <w:color w:val="0000FF"/>
        </w:rPr>
        <w:t>5</w:t>
      </w:r>
      <w:r>
        <w:rPr>
          <w:rFonts w:cs="Times New Roman"/>
          <w:color w:val="0000FF"/>
        </w:rPr>
        <w:t xml:space="preserve"> </w:t>
      </w:r>
      <w:r>
        <w:rPr>
          <w:rFonts w:hint="eastAsia" w:cs="Times New Roman"/>
          <w:color w:val="0000FF"/>
        </w:rPr>
        <w:t>生态</w:t>
      </w:r>
      <w:r>
        <w:rPr>
          <w:rFonts w:cs="Times New Roman"/>
          <w:color w:val="0000FF"/>
        </w:rPr>
        <w:t>风险分析</w:t>
      </w:r>
    </w:p>
    <w:p w14:paraId="57FF2167">
      <w:pPr>
        <w:ind w:firstLine="480" w:firstLineChars="200"/>
        <w:rPr>
          <w:color w:val="0000FF"/>
        </w:rPr>
      </w:pPr>
      <w:r>
        <w:rPr>
          <w:rFonts w:hint="eastAsia"/>
          <w:color w:val="0000FF"/>
        </w:rPr>
        <w:t>1、外来物种入侵风险</w:t>
      </w:r>
    </w:p>
    <w:p w14:paraId="5D7B05A8">
      <w:pPr>
        <w:ind w:firstLine="480" w:firstLineChars="200"/>
        <w:rPr>
          <w:color w:val="0000FF"/>
        </w:rPr>
      </w:pPr>
      <w:r>
        <w:rPr>
          <w:rFonts w:cs="Times New Roman"/>
          <w:bCs/>
          <w:color w:val="0000FF"/>
        </w:rPr>
        <w:t>通过现场调查结合中国外来入侵物种名单，判定评价区分布的入侵物种种类有14种，均为植物，其中入侵危害等级为1级（恶性入侵类）的有小蓬草、加拿大一枝黄花、一年蓬</w:t>
      </w:r>
      <w:r>
        <w:rPr>
          <w:rFonts w:hint="eastAsia" w:cs="Times New Roman"/>
          <w:bCs/>
          <w:color w:val="0000FF"/>
        </w:rPr>
        <w:t>、喜旱莲子草</w:t>
      </w:r>
      <w:r>
        <w:rPr>
          <w:rFonts w:cs="Times New Roman"/>
          <w:bCs/>
          <w:color w:val="0000FF"/>
        </w:rPr>
        <w:t>，</w:t>
      </w:r>
      <w:r>
        <w:rPr>
          <w:rFonts w:hint="eastAsia" w:cs="Times New Roman"/>
          <w:bCs/>
          <w:color w:val="0000FF"/>
        </w:rPr>
        <w:t>主要分布于淠河总干渠、潜南干渠、滁河干渠、众兴分干渠、庐南干渠和舒庐干渠，</w:t>
      </w:r>
      <w:r>
        <w:rPr>
          <w:rFonts w:cs="Times New Roman"/>
          <w:bCs/>
          <w:color w:val="0000FF"/>
        </w:rPr>
        <w:t>对评价区生态现状质量影响较大</w:t>
      </w:r>
      <w:r>
        <w:rPr>
          <w:rFonts w:hint="eastAsia" w:cs="Times New Roman"/>
          <w:bCs/>
          <w:color w:val="0000FF"/>
        </w:rPr>
        <w:t>。在施工过程，如若通过人为传播，致使外来物种入侵，其种群密度会迅速增加并蔓延成灾，导致区域群落物种单一化、覆盖水面，可能会导致渠道堵塞，影响水利灌溉效率。</w:t>
      </w:r>
    </w:p>
    <w:p w14:paraId="6ADECED2">
      <w:pPr>
        <w:ind w:firstLine="480" w:firstLineChars="200"/>
        <w:rPr>
          <w:color w:val="0000FF"/>
        </w:rPr>
      </w:pPr>
      <w:r>
        <w:rPr>
          <w:rFonts w:hint="eastAsia"/>
          <w:color w:val="0000FF"/>
        </w:rPr>
        <w:t>2、土地硬底化风险</w:t>
      </w:r>
    </w:p>
    <w:p w14:paraId="64E10CE0">
      <w:pPr>
        <w:ind w:firstLine="480" w:firstLineChars="200"/>
        <w:rPr>
          <w:color w:val="0000FF"/>
        </w:rPr>
      </w:pPr>
      <w:r>
        <w:rPr>
          <w:rFonts w:hint="eastAsia"/>
          <w:color w:val="0000FF"/>
        </w:rPr>
        <w:t>本项目新建防汛道路62.08km，使土地硬底化，不能渗水的表面使得雨水不能渗入泥土和地下水，而增加了通过地表径流直接流入河流的水量，导致下游沉积物增多。渠道工程材料的硬质化可能也会导致渠道水量增加，从而增多下游沉积物。当渠道现状为土渠时沉积物增多会导致河道变浅，当沉积物在河床上积聚时，它们会降低水位，使得河床变浅，从而限制水流的速度和量。此外，沉积物也会影响渠道的形态，如改变渠道的弯曲度、减少渠道的宽度等。</w:t>
      </w:r>
    </w:p>
    <w:p w14:paraId="7BDD17E1">
      <w:pPr>
        <w:ind w:firstLine="480" w:firstLineChars="200"/>
        <w:rPr>
          <w:color w:val="0000FF"/>
        </w:rPr>
      </w:pPr>
      <w:r>
        <w:rPr>
          <w:rFonts w:hint="eastAsia"/>
          <w:color w:val="0000FF"/>
        </w:rPr>
        <w:t>3、渠道动态平衡改变风险</w:t>
      </w:r>
    </w:p>
    <w:p w14:paraId="67CC15A5">
      <w:pPr>
        <w:ind w:firstLine="480" w:firstLineChars="200"/>
        <w:rPr>
          <w:color w:val="0000FF"/>
        </w:rPr>
      </w:pPr>
      <w:r>
        <w:rPr>
          <w:rFonts w:hint="eastAsia"/>
          <w:color w:val="0000FF"/>
        </w:rPr>
        <w:t>本项目渠道形态学的改变主要包括渠道工程施工以及新建节制闸、进水闸等的建设。在整个工程运转时，由于渠道的防渗衬砌范围广，渠道输水损水量可以大大降低，但使得水流变得巨大，在坡度比较大的情形下，很容易就会对下游的没有衬砌的地方以及渠道河岸进行冲刷的腐蚀。一旦渠道发生改变，需要长时间来恢复以达到新的动态平衡状态。</w:t>
      </w:r>
    </w:p>
    <w:p w14:paraId="21783774">
      <w:pPr>
        <w:ind w:firstLine="480" w:firstLineChars="200"/>
      </w:pPr>
      <w:r>
        <w:rPr>
          <w:rFonts w:hint="eastAsia"/>
        </w:rPr>
        <w:t>4、水温变化风险</w:t>
      </w:r>
    </w:p>
    <w:p w14:paraId="1BDEF6B1">
      <w:pPr>
        <w:ind w:firstLine="480" w:firstLineChars="200"/>
      </w:pPr>
      <w:r>
        <w:rPr>
          <w:rFonts w:hint="eastAsia"/>
        </w:rPr>
        <w:t>渠道水温除受太阳辐射和支流水温的影响，岸边植被也会影响水温，水温升高导致水体自净能力下降，对水体中动植物产生一定的风险。岸边植被对渠道水体的遮荫作用主要是影响水温和入射光的强度，较低温度可以增加水中溶解氧的含量和降低水生生物活性，从而降低水中氧气被耗尽的风险，增强水体自净能力。当进行渠道施工时，无法避免对其周边原有植被造成一定破坏，导致水温升高，影响水体的化学过程和物理过程，降低渠道水体自净的能力，降低普通鱼类和无脊椎动物的多样性，使浮游性藻类增加，从而影响渠道水质。</w:t>
      </w:r>
    </w:p>
    <w:p w14:paraId="674D959A">
      <w:pPr>
        <w:ind w:firstLine="480" w:firstLineChars="200"/>
        <w:rPr>
          <w:color w:val="0000FF"/>
        </w:rPr>
      </w:pPr>
      <w:r>
        <w:rPr>
          <w:rFonts w:hint="eastAsia"/>
          <w:color w:val="0000FF"/>
        </w:rPr>
        <w:t>5、生物多样性降低风险</w:t>
      </w:r>
    </w:p>
    <w:p w14:paraId="7B3FB2BD">
      <w:pPr>
        <w:ind w:firstLine="480" w:firstLineChars="200"/>
        <w:rPr>
          <w:color w:val="0000FF"/>
        </w:rPr>
      </w:pPr>
      <w:r>
        <w:rPr>
          <w:rFonts w:hint="eastAsia"/>
          <w:color w:val="0000FF"/>
        </w:rPr>
        <w:t>工程实施对植被和植物多样性的影响主要表现在施工过程中的土石方开挖、取土、弃渣（土）、临时堆土及其他施工临时设施等会造成植被破坏和损失，影响当地植被多样性。</w:t>
      </w:r>
    </w:p>
    <w:p w14:paraId="563832B6">
      <w:pPr>
        <w:ind w:firstLine="480" w:firstLineChars="200"/>
        <w:rPr>
          <w:color w:val="0000FF"/>
        </w:rPr>
      </w:pPr>
      <w:r>
        <w:rPr>
          <w:rFonts w:hint="eastAsia"/>
          <w:color w:val="0000FF"/>
        </w:rPr>
        <w:t>本项目渠道治理工程临时占地多集中在渠道沿岸，这会导致渠道边农田环境发生改变，因此会对生活在农田区的鸟类产生一定影响，导致其栖息地面积减少，可能会使其种类和数量造成短暂性减少。</w:t>
      </w:r>
    </w:p>
    <w:p w14:paraId="4C9B2317">
      <w:pPr>
        <w:ind w:firstLine="480" w:firstLineChars="200"/>
        <w:rPr>
          <w:color w:val="0000FF"/>
        </w:rPr>
      </w:pPr>
      <w:r>
        <w:rPr>
          <w:rFonts w:hint="eastAsia"/>
          <w:color w:val="0000FF"/>
        </w:rPr>
        <w:t>项目进行渠道清淤工程时，局部小范围使底栖动物和鱼类栖息环境遭到破坏，浮游植物、浮游动物、底栖动物及部分小型鱼类被吸入岸上死亡，使水生生物量产生一定的损失。根据食物链的传递关系，施工时对生产者藻类等影响的同时，也会给浮游动物等造成影响，从而影响鱼类生存，降低生物多样性。</w:t>
      </w:r>
    </w:p>
    <w:p w14:paraId="546F4ACD">
      <w:pPr>
        <w:ind w:left="480"/>
        <w:rPr>
          <w:color w:val="0000FF"/>
        </w:rPr>
      </w:pPr>
      <w:r>
        <w:rPr>
          <w:rFonts w:hint="eastAsia"/>
          <w:color w:val="0000FF"/>
        </w:rPr>
        <w:t>6、水土保持风险</w:t>
      </w:r>
    </w:p>
    <w:p w14:paraId="088CDFBC">
      <w:pPr>
        <w:ind w:firstLine="480" w:firstLineChars="200"/>
        <w:rPr>
          <w:rFonts w:cs="Times New Roman"/>
          <w:color w:val="0000FF"/>
          <w:szCs w:val="28"/>
        </w:rPr>
      </w:pPr>
      <w:r>
        <w:rPr>
          <w:rFonts w:hint="eastAsia" w:cs="Times New Roman"/>
          <w:color w:val="0000FF"/>
          <w:szCs w:val="28"/>
        </w:rPr>
        <w:t>水土流失是包括降雨、土壤、地形和植被在内的自然因素和人为因素综合作用的结果。施工过程中，拆除重建、土地整理、土方和道路等施工都将不同程度地改变、损坏地表覆盖，使之降低或丧失水土保持功能。</w:t>
      </w:r>
    </w:p>
    <w:p w14:paraId="0493093C">
      <w:pPr>
        <w:widowControl w:val="0"/>
        <w:adjustRightInd w:val="0"/>
        <w:jc w:val="both"/>
        <w:textAlignment w:val="center"/>
        <w:outlineLvl w:val="1"/>
        <w:rPr>
          <w:rFonts w:cs="Times New Roman"/>
          <w:b/>
          <w:bCs/>
          <w:color w:val="0000FF"/>
        </w:rPr>
      </w:pPr>
      <w:bookmarkStart w:id="75" w:name="_Toc17565"/>
      <w:r>
        <w:rPr>
          <w:rFonts w:eastAsia="黑体" w:cs="Times New Roman"/>
          <w:bCs/>
          <w:color w:val="0000FF"/>
        </w:rPr>
        <w:t>6.</w:t>
      </w:r>
      <w:r>
        <w:rPr>
          <w:rFonts w:cs="Times New Roman"/>
          <w:bCs/>
          <w:color w:val="0000FF"/>
        </w:rPr>
        <w:t>6</w:t>
      </w:r>
      <w:r>
        <w:rPr>
          <w:rFonts w:eastAsia="黑体" w:cs="Times New Roman"/>
          <w:bCs/>
          <w:color w:val="0000FF"/>
        </w:rPr>
        <w:t xml:space="preserve"> 风险防范措施</w:t>
      </w:r>
      <w:bookmarkEnd w:id="75"/>
    </w:p>
    <w:p w14:paraId="124AE043">
      <w:pPr>
        <w:pStyle w:val="4"/>
        <w:rPr>
          <w:rFonts w:cs="Times New Roman"/>
          <w:color w:val="0000FF"/>
        </w:rPr>
      </w:pPr>
      <w:r>
        <w:rPr>
          <w:rFonts w:hint="eastAsia"/>
          <w:color w:val="0000FF"/>
        </w:rPr>
        <w:t xml:space="preserve">6.6.1 </w:t>
      </w:r>
      <w:r>
        <w:rPr>
          <w:color w:val="0000FF"/>
        </w:rPr>
        <w:t>科学施工和管理</w:t>
      </w:r>
    </w:p>
    <w:p w14:paraId="647BDF2A">
      <w:pPr>
        <w:widowControl w:val="0"/>
        <w:ind w:firstLine="480" w:firstLineChars="200"/>
        <w:rPr>
          <w:rFonts w:cs="Times New Roman"/>
          <w:color w:val="0000FF"/>
        </w:rPr>
      </w:pPr>
      <w:r>
        <w:rPr>
          <w:rFonts w:cs="Times New Roman"/>
          <w:color w:val="0000FF"/>
        </w:rPr>
        <w:t>安徽省</w:t>
      </w:r>
      <w:r>
        <w:rPr>
          <w:rFonts w:hint="eastAsia" w:cs="Times New Roman"/>
          <w:color w:val="0000FF"/>
          <w:lang w:eastAsia="zh-CN"/>
        </w:rPr>
        <w:t>朱集灌区</w:t>
      </w:r>
      <w:r>
        <w:rPr>
          <w:rFonts w:hint="eastAsia" w:cs="Times New Roman"/>
          <w:color w:val="0000FF"/>
        </w:rPr>
        <w:t>“</w:t>
      </w:r>
      <w:r>
        <w:rPr>
          <w:rFonts w:cs="Times New Roman"/>
          <w:color w:val="0000FF"/>
        </w:rPr>
        <w:t>十四五</w:t>
      </w:r>
      <w:r>
        <w:rPr>
          <w:rFonts w:hint="eastAsia" w:cs="Times New Roman"/>
          <w:color w:val="0000FF"/>
        </w:rPr>
        <w:t>”</w:t>
      </w:r>
      <w:r>
        <w:rPr>
          <w:rFonts w:cs="Times New Roman"/>
          <w:color w:val="0000FF"/>
        </w:rPr>
        <w:t>续建配套与现代化改造项目三期工程建设管理单位届时应设立工程施工环境保护专业领导和工作岗位，开展专业施工期水利工程环境保护监理工作，监督和管理本工程的环保措施的落实、进展情况和质量控制，切实发挥本工程的环保措施的环境保护效益。</w:t>
      </w:r>
    </w:p>
    <w:p w14:paraId="69574E83">
      <w:pPr>
        <w:widowControl w:val="0"/>
        <w:ind w:firstLine="480" w:firstLineChars="200"/>
        <w:rPr>
          <w:rFonts w:cs="Times New Roman"/>
          <w:color w:val="0000FF"/>
        </w:rPr>
      </w:pPr>
      <w:r>
        <w:rPr>
          <w:rFonts w:cs="Times New Roman"/>
          <w:color w:val="0000FF"/>
        </w:rPr>
        <w:t>本工程招标和施工期间，要依据本次环评提出环境风险源以及其他可能的环境风险，落实到工程建设相关合同条款中，确实相关风险防范主体；并根据实际需要制定针对性的可行的风险应急预案，落实到本项目施工期环境保护管理制度中，由环境保护专业工作人员专门负责管理和实施。严格落实各项环保措施，预防项目环境风险的发生，环境风险</w:t>
      </w:r>
      <w:r>
        <w:rPr>
          <w:rFonts w:hint="eastAsia" w:cs="Times New Roman"/>
          <w:color w:val="0000FF"/>
        </w:rPr>
        <w:t>发生概率</w:t>
      </w:r>
      <w:r>
        <w:rPr>
          <w:rFonts w:cs="Times New Roman"/>
          <w:color w:val="0000FF"/>
        </w:rPr>
        <w:t>最小化。</w:t>
      </w:r>
    </w:p>
    <w:p w14:paraId="15CA69E0">
      <w:pPr>
        <w:ind w:firstLine="480" w:firstLineChars="200"/>
        <w:rPr>
          <w:color w:val="0000FF"/>
        </w:rPr>
      </w:pPr>
      <w:r>
        <w:rPr>
          <w:rFonts w:hint="eastAsia" w:cs="Times New Roman"/>
          <w:color w:val="0000FF"/>
        </w:rPr>
        <w:t>严格围堰施工管理，防止围堰崩塌，污染水体：首先</w:t>
      </w:r>
      <w:r>
        <w:rPr>
          <w:rFonts w:hint="eastAsia" w:cs="Times New Roman"/>
          <w:color w:val="0000FF"/>
          <w:szCs w:val="28"/>
        </w:rPr>
        <w:t>保证围堰的搭建质量，合理安排围堰弯折和绑扎，按照规范要求进行操作；其次在围堰内部增加隔离带以避免围堰外水源渗入，并选用合适的水泵以保证水位在规定范围内；最后可建立实时监测系统以监控围堰的倾斜状态，及时发现问题。</w:t>
      </w:r>
    </w:p>
    <w:p w14:paraId="583B1FE8">
      <w:pPr>
        <w:pStyle w:val="4"/>
      </w:pPr>
      <w:r>
        <w:rPr>
          <w:rFonts w:hint="eastAsia"/>
        </w:rPr>
        <w:t>6.6.2 泄漏事故风险防范</w:t>
      </w:r>
    </w:p>
    <w:p w14:paraId="3E6E1DF8">
      <w:pPr>
        <w:widowControl w:val="0"/>
        <w:ind w:firstLine="482" w:firstLineChars="200"/>
        <w:rPr>
          <w:rFonts w:cs="Times New Roman"/>
          <w:b/>
          <w:bCs/>
        </w:rPr>
      </w:pPr>
      <w:r>
        <w:rPr>
          <w:rFonts w:hint="eastAsia" w:cs="Times New Roman"/>
          <w:b/>
          <w:bCs/>
        </w:rPr>
        <w:t>1、</w:t>
      </w:r>
      <w:r>
        <w:rPr>
          <w:rFonts w:cs="Times New Roman"/>
          <w:b/>
          <w:bCs/>
        </w:rPr>
        <w:t>油料</w:t>
      </w:r>
      <w:r>
        <w:rPr>
          <w:rFonts w:hint="eastAsia" w:cs="Times New Roman"/>
          <w:b/>
          <w:bCs/>
        </w:rPr>
        <w:t>泄漏爆炸</w:t>
      </w:r>
      <w:r>
        <w:rPr>
          <w:rFonts w:cs="Times New Roman"/>
          <w:b/>
          <w:bCs/>
        </w:rPr>
        <w:t>事故风险防范对策和措施</w:t>
      </w:r>
    </w:p>
    <w:p w14:paraId="6A1278C0">
      <w:pPr>
        <w:widowControl w:val="0"/>
        <w:ind w:firstLine="480" w:firstLineChars="200"/>
        <w:rPr>
          <w:rFonts w:cs="Times New Roman"/>
        </w:rPr>
      </w:pPr>
      <w:r>
        <w:rPr>
          <w:rFonts w:cs="Times New Roman"/>
        </w:rPr>
        <w:t>油料在运输过程中须严格遵守危险货物运输的有关规定，运输车辆须采用密闭性能优越的储油罐，确保不造成环境危害，并配备押运人员，车辆不得超装、超载；在运输车辆明显位置贴示</w:t>
      </w:r>
      <w:r>
        <w:rPr>
          <w:rFonts w:hint="eastAsia" w:cs="Times New Roman"/>
        </w:rPr>
        <w:t>“</w:t>
      </w:r>
      <w:r>
        <w:rPr>
          <w:rFonts w:cs="Times New Roman"/>
        </w:rPr>
        <w:t>危险</w:t>
      </w:r>
      <w:r>
        <w:rPr>
          <w:rFonts w:hint="eastAsia" w:cs="Times New Roman"/>
        </w:rPr>
        <w:t>”</w:t>
      </w:r>
      <w:r>
        <w:rPr>
          <w:rFonts w:cs="Times New Roman"/>
        </w:rPr>
        <w:t>警示标记；不断加强对运输人员及押运人员的技能培训；在施工区内建立防火及火灾警报系统，对施工人员进行防火宣传教育，严格规范和限制施工人员的野外活动，作好吸烟和生活用火等火源管理；加强装卸作业管理，装卸作业人员必须具备合格的专业技能，装卸作业机械设备的性能必须符合要求，在装卸作业场所的明显位置贴示</w:t>
      </w:r>
      <w:r>
        <w:rPr>
          <w:rFonts w:hint="eastAsia" w:cs="Times New Roman"/>
        </w:rPr>
        <w:t>“</w:t>
      </w:r>
      <w:r>
        <w:rPr>
          <w:rFonts w:cs="Times New Roman"/>
        </w:rPr>
        <w:t>危险</w:t>
      </w:r>
      <w:r>
        <w:rPr>
          <w:rFonts w:hint="eastAsia" w:cs="Times New Roman"/>
        </w:rPr>
        <w:t>”</w:t>
      </w:r>
      <w:r>
        <w:rPr>
          <w:rFonts w:cs="Times New Roman"/>
        </w:rPr>
        <w:t>警示标记，不断加强对装卸作业人员的技能培训。</w:t>
      </w:r>
    </w:p>
    <w:p w14:paraId="2ED382C3">
      <w:pPr>
        <w:widowControl w:val="0"/>
        <w:ind w:firstLine="480" w:firstLineChars="200"/>
        <w:rPr>
          <w:rFonts w:cs="Times New Roman"/>
        </w:rPr>
      </w:pPr>
      <w:r>
        <w:rPr>
          <w:rFonts w:cs="Times New Roman"/>
        </w:rPr>
        <w:t>油料</w:t>
      </w:r>
      <w:r>
        <w:rPr>
          <w:rFonts w:hint="eastAsia" w:cs="Times New Roman"/>
        </w:rPr>
        <w:t>泄漏爆炸</w:t>
      </w:r>
      <w:r>
        <w:rPr>
          <w:rFonts w:cs="Times New Roman"/>
        </w:rPr>
        <w:t>事故应急预案：</w:t>
      </w:r>
    </w:p>
    <w:p w14:paraId="31B800F1">
      <w:pPr>
        <w:widowControl w:val="0"/>
        <w:ind w:firstLine="480" w:firstLineChars="200"/>
        <w:rPr>
          <w:rFonts w:cs="Times New Roman"/>
        </w:rPr>
      </w:pPr>
      <w:r>
        <w:rPr>
          <w:rFonts w:cs="Times New Roman"/>
        </w:rPr>
        <w:t>①成立应急领导小组，统一应急行动，明确应急责任人和有关部门的职责，确保在最短的时间将事故控制，以减少对环境的影响。</w:t>
      </w:r>
    </w:p>
    <w:p w14:paraId="1F932D9B">
      <w:pPr>
        <w:widowControl w:val="0"/>
        <w:ind w:firstLine="480" w:firstLineChars="200"/>
        <w:rPr>
          <w:rFonts w:cs="Times New Roman"/>
        </w:rPr>
      </w:pPr>
      <w:r>
        <w:rPr>
          <w:rFonts w:cs="Times New Roman"/>
        </w:rPr>
        <w:t>②及时对事故的通报，建立快速报警系统和通讯指挥联络系统。</w:t>
      </w:r>
    </w:p>
    <w:p w14:paraId="47A4B039">
      <w:pPr>
        <w:widowControl w:val="0"/>
        <w:ind w:firstLine="480" w:firstLineChars="200"/>
        <w:rPr>
          <w:rFonts w:cs="Times New Roman"/>
        </w:rPr>
      </w:pPr>
      <w:r>
        <w:rPr>
          <w:rFonts w:cs="Times New Roman"/>
        </w:rPr>
        <w:t>③应急响应时间参照《突发环境事件信息报告办法》对于重大（Ⅱ级）或者特别重大（I级）突发环境事件</w:t>
      </w:r>
      <w:r>
        <w:rPr>
          <w:rFonts w:hint="eastAsia" w:cs="Times New Roman"/>
        </w:rPr>
        <w:t>“</w:t>
      </w:r>
      <w:r>
        <w:rPr>
          <w:rFonts w:cs="Times New Roman"/>
        </w:rPr>
        <w:t>事件发生地设区的市级或者县级人民政府环境保护主管部门应当在两小时内向本级人民政府和省级人民政府环境保护主管部门报告，同时上报环境保护部</w:t>
      </w:r>
      <w:r>
        <w:rPr>
          <w:rFonts w:hint="eastAsia" w:cs="Times New Roman"/>
        </w:rPr>
        <w:t>”</w:t>
      </w:r>
      <w:r>
        <w:rPr>
          <w:rFonts w:cs="Times New Roman"/>
        </w:rPr>
        <w:t>的要求。</w:t>
      </w:r>
    </w:p>
    <w:p w14:paraId="582A7B16">
      <w:pPr>
        <w:widowControl w:val="0"/>
        <w:ind w:firstLine="480" w:firstLineChars="200"/>
        <w:rPr>
          <w:rFonts w:cs="Times New Roman"/>
        </w:rPr>
      </w:pPr>
      <w:r>
        <w:rPr>
          <w:rFonts w:cs="Times New Roman"/>
        </w:rPr>
        <w:t>④积极配合专业事故处理人员减少或者消除环境污染。</w:t>
      </w:r>
    </w:p>
    <w:p w14:paraId="3C8BBFBE">
      <w:pPr>
        <w:pStyle w:val="4"/>
      </w:pPr>
      <w:r>
        <w:rPr>
          <w:rFonts w:hint="eastAsia"/>
        </w:rPr>
        <w:t>6.6.3 对其他生态敏感区污染防控措施</w:t>
      </w:r>
    </w:p>
    <w:p w14:paraId="138FD8AA">
      <w:pPr>
        <w:ind w:firstLine="480" w:firstLineChars="200"/>
        <w:jc w:val="both"/>
      </w:pPr>
      <w:r>
        <w:t>（1）对施工人员进行教育，宣传相关的环境和安全法律法规，并进行有关的应急知识的培训。</w:t>
      </w:r>
    </w:p>
    <w:p w14:paraId="69DEB92D">
      <w:pPr>
        <w:ind w:firstLine="480" w:firstLineChars="200"/>
        <w:jc w:val="both"/>
      </w:pPr>
      <w:r>
        <w:t>（2）对施工用油机械进行定期检查，对于出现渗油现象的机械采取检修再施工；对于出现滴油现象的机械，停止施工，排查清楚滴油原因并检修完毕后再允许施工。</w:t>
      </w:r>
    </w:p>
    <w:p w14:paraId="55CA7112">
      <w:pPr>
        <w:ind w:firstLine="480" w:firstLineChars="200"/>
        <w:jc w:val="both"/>
      </w:pPr>
      <w:r>
        <w:t>（3）不在风景名胜区、森林公园、湿地公园内停放施工车辆；</w:t>
      </w:r>
    </w:p>
    <w:p w14:paraId="11C472B3">
      <w:pPr>
        <w:ind w:firstLine="480" w:firstLineChars="200"/>
        <w:jc w:val="both"/>
      </w:pPr>
      <w:r>
        <w:t>（4）施工运输车辆应慢速行驶。</w:t>
      </w:r>
    </w:p>
    <w:p w14:paraId="79791BCD">
      <w:pPr>
        <w:pStyle w:val="4"/>
        <w:rPr>
          <w:rFonts w:cs="Times New Roman"/>
          <w:color w:val="0000FF"/>
        </w:rPr>
      </w:pPr>
      <w:r>
        <w:rPr>
          <w:rFonts w:hint="eastAsia"/>
          <w:color w:val="0000FF"/>
        </w:rPr>
        <w:t>6.6.4 生态风险防范</w:t>
      </w:r>
    </w:p>
    <w:p w14:paraId="09FE8600">
      <w:pPr>
        <w:ind w:firstLine="480" w:firstLineChars="200"/>
        <w:rPr>
          <w:color w:val="0000FF"/>
        </w:rPr>
      </w:pPr>
      <w:r>
        <w:rPr>
          <w:rFonts w:hint="eastAsia"/>
          <w:color w:val="0000FF"/>
        </w:rPr>
        <w:t>1、外来入侵物种防范</w:t>
      </w:r>
    </w:p>
    <w:p w14:paraId="2CF0B8CE">
      <w:pPr>
        <w:ind w:firstLine="480" w:firstLineChars="200"/>
        <w:rPr>
          <w:color w:val="0000FF"/>
        </w:rPr>
      </w:pPr>
      <w:r>
        <w:rPr>
          <w:rFonts w:hint="eastAsia"/>
          <w:color w:val="0000FF"/>
        </w:rPr>
        <w:t>施工前</w:t>
      </w:r>
      <w:r>
        <w:rPr>
          <w:color w:val="0000FF"/>
        </w:rPr>
        <w:t>对施工人员进行</w:t>
      </w:r>
      <w:r>
        <w:rPr>
          <w:rFonts w:hint="eastAsia"/>
          <w:color w:val="0000FF"/>
        </w:rPr>
        <w:t>培训，了解有关</w:t>
      </w:r>
      <w:r>
        <w:rPr>
          <w:color w:val="0000FF"/>
        </w:rPr>
        <w:t>小蓬草、加拿大一枝黄花、一年蓬</w:t>
      </w:r>
      <w:r>
        <w:rPr>
          <w:rFonts w:hint="eastAsia"/>
          <w:color w:val="0000FF"/>
        </w:rPr>
        <w:t>、</w:t>
      </w:r>
      <w:r>
        <w:rPr>
          <w:color w:val="0000FF"/>
        </w:rPr>
        <w:t>喜旱莲子草</w:t>
      </w:r>
      <w:r>
        <w:rPr>
          <w:rFonts w:hint="eastAsia"/>
          <w:color w:val="0000FF"/>
        </w:rPr>
        <w:t>等本次项目涉及区域典型入侵物种的形态及习性，一旦在施工区域发现，应立即拔除其根茎，并结合除草剂，防止其进一步扩散或传播到其他区域。例如</w:t>
      </w:r>
      <w:r>
        <w:rPr>
          <w:color w:val="0000FF"/>
        </w:rPr>
        <w:t>一年蓬</w:t>
      </w:r>
      <w:r>
        <w:rPr>
          <w:rFonts w:hint="eastAsia"/>
          <w:color w:val="0000FF"/>
        </w:rPr>
        <w:t>主要分布于聚星渡槽周边，其</w:t>
      </w:r>
      <w:r>
        <w:rPr>
          <w:color w:val="0000FF"/>
        </w:rPr>
        <w:t>产生的大量瘦果借冠毛随风扩散，蔓延极快</w:t>
      </w:r>
      <w:r>
        <w:rPr>
          <w:rFonts w:hint="eastAsia"/>
          <w:color w:val="0000FF"/>
        </w:rPr>
        <w:t>，</w:t>
      </w:r>
      <w:r>
        <w:rPr>
          <w:color w:val="0000FF"/>
        </w:rPr>
        <w:t>可在开花前拔除或化学防治，先人工去除其果实，用袋子包好，再拔除，或结合化学防治。</w:t>
      </w:r>
    </w:p>
    <w:p w14:paraId="54C2596D">
      <w:pPr>
        <w:ind w:firstLine="480" w:firstLineChars="200"/>
        <w:rPr>
          <w:color w:val="0000FF"/>
        </w:rPr>
      </w:pPr>
      <w:r>
        <w:rPr>
          <w:rFonts w:hint="eastAsia"/>
          <w:color w:val="0000FF"/>
        </w:rPr>
        <w:t>2、预防沉积物增多措施</w:t>
      </w:r>
    </w:p>
    <w:p w14:paraId="003812E1">
      <w:pPr>
        <w:ind w:firstLine="480" w:firstLineChars="200"/>
        <w:rPr>
          <w:color w:val="0000FF"/>
        </w:rPr>
      </w:pPr>
      <w:r>
        <w:rPr>
          <w:rFonts w:hint="eastAsia"/>
          <w:color w:val="0000FF"/>
        </w:rPr>
        <w:t>对于渠道治理工程区，采取表土回覆、排水措施、边坡防护、播撒草籽等措施，扩大地表植被覆盖的面积，提高地表土层的抗侵蚀能力，减少水土流失。施工完成后，应加强渠道管理，控制水位，避免因大流量冲刷下游渠道两岸，造成下游渠道损坏。</w:t>
      </w:r>
    </w:p>
    <w:p w14:paraId="6257D8BD">
      <w:pPr>
        <w:ind w:firstLine="480" w:firstLineChars="200"/>
        <w:rPr>
          <w:color w:val="0000FF"/>
        </w:rPr>
      </w:pPr>
      <w:r>
        <w:rPr>
          <w:rFonts w:hint="eastAsia"/>
          <w:color w:val="0000FF"/>
        </w:rPr>
        <w:t>3、生物多样性防范措施</w:t>
      </w:r>
    </w:p>
    <w:p w14:paraId="1ACBC222">
      <w:pPr>
        <w:ind w:firstLine="480" w:firstLineChars="200"/>
        <w:rPr>
          <w:color w:val="0000FF"/>
        </w:rPr>
      </w:pPr>
      <w:r>
        <w:rPr>
          <w:rFonts w:eastAsia="Times New Roman" w:cs="Times New Roman"/>
          <w:color w:val="0000FF"/>
          <w:lang w:bidi="ar"/>
        </w:rPr>
        <w:t>工程施工期间，将同步实施水土保持工程，在施工区内</w:t>
      </w:r>
      <w:r>
        <w:rPr>
          <w:rFonts w:hint="eastAsia" w:cs="Times New Roman"/>
          <w:color w:val="0000FF"/>
          <w:lang w:bidi="ar"/>
        </w:rPr>
        <w:t>种植当地原有植物，避免因施工区域水体温度变化而影响水质和当地生物多样性</w:t>
      </w:r>
      <w:r>
        <w:rPr>
          <w:rFonts w:eastAsia="Times New Roman" w:cs="Times New Roman"/>
          <w:color w:val="0000FF"/>
          <w:lang w:bidi="ar"/>
        </w:rPr>
        <w:t>；工程完工后，并将对料场、弃土区等施工临时占地进行耕地复垦</w:t>
      </w:r>
      <w:r>
        <w:rPr>
          <w:rFonts w:hint="eastAsia" w:cs="Times New Roman"/>
          <w:color w:val="0000FF"/>
          <w:lang w:bidi="ar"/>
        </w:rPr>
        <w:t>。</w:t>
      </w:r>
    </w:p>
    <w:p w14:paraId="1BEE7802">
      <w:pPr>
        <w:ind w:firstLine="480" w:firstLineChars="200"/>
        <w:rPr>
          <w:color w:val="0000FF"/>
        </w:rPr>
      </w:pPr>
      <w:r>
        <w:rPr>
          <w:rFonts w:hint="eastAsia"/>
          <w:color w:val="0000FF"/>
        </w:rPr>
        <w:t>施工前，可采取驱鱼措施，最大限度的保护鱼类资源不受清淤工程破坏，并且施工期尽量避开产粘沉卵鱼类的主要繁殖时间。</w:t>
      </w:r>
    </w:p>
    <w:p w14:paraId="7A944029">
      <w:pPr>
        <w:widowControl w:val="0"/>
        <w:adjustRightInd w:val="0"/>
        <w:jc w:val="both"/>
        <w:textAlignment w:val="center"/>
        <w:outlineLvl w:val="1"/>
        <w:rPr>
          <w:rFonts w:eastAsia="黑体" w:cs="Times New Roman"/>
          <w:bCs/>
        </w:rPr>
      </w:pPr>
      <w:bookmarkStart w:id="76" w:name="_Toc21639"/>
      <w:r>
        <w:rPr>
          <w:rFonts w:eastAsia="黑体" w:cs="Times New Roman"/>
          <w:bCs/>
        </w:rPr>
        <w:t>6.</w:t>
      </w:r>
      <w:r>
        <w:rPr>
          <w:rFonts w:cs="Times New Roman"/>
          <w:bCs/>
        </w:rPr>
        <w:t>7</w:t>
      </w:r>
      <w:r>
        <w:rPr>
          <w:rFonts w:eastAsia="黑体" w:cs="Times New Roman"/>
          <w:bCs/>
        </w:rPr>
        <w:t xml:space="preserve"> 环境风险应急预案</w:t>
      </w:r>
      <w:bookmarkEnd w:id="76"/>
    </w:p>
    <w:p w14:paraId="1B8DB480">
      <w:pPr>
        <w:ind w:firstLine="480" w:firstLineChars="200"/>
        <w:rPr>
          <w:rFonts w:cs="Times New Roman"/>
        </w:rPr>
      </w:pPr>
      <w:r>
        <w:rPr>
          <w:rFonts w:cs="Times New Roman"/>
        </w:rPr>
        <w:t>工程建设和施工单位在施工准备期间，要安排环境监理单位获取工程所在地淮南市生态环境部门批复的水质污染事故和水源地污染应急预案。施工期一旦发生油料、涂料等泄漏事故，需要按计划立即启动风险应急预案。具体环境风险应急预案如下：</w:t>
      </w:r>
    </w:p>
    <w:p w14:paraId="5921D240">
      <w:pPr>
        <w:ind w:firstLine="480" w:firstLineChars="200"/>
        <w:rPr>
          <w:rFonts w:cs="Times New Roman"/>
        </w:rPr>
      </w:pPr>
      <w:r>
        <w:rPr>
          <w:rFonts w:cs="Times New Roman"/>
          <w:lang w:bidi="ar"/>
        </w:rPr>
        <w:t>（1）应急计划区</w:t>
      </w:r>
    </w:p>
    <w:p w14:paraId="330F18AF">
      <w:pPr>
        <w:ind w:firstLine="480" w:firstLineChars="200"/>
        <w:rPr>
          <w:rFonts w:cs="Times New Roman"/>
        </w:rPr>
      </w:pPr>
      <w:r>
        <w:rPr>
          <w:rFonts w:cs="Times New Roman"/>
          <w:lang w:bidi="ar"/>
        </w:rPr>
        <w:t>针对本工程可能出现的各类环境风险的特点，以及周边环境条件，其应急计划区包括施工区及施工河道，施工区应急计划区主要为饮用水水源保护区、风景名胜区、森林公园以及湿地公园。</w:t>
      </w:r>
      <w:r>
        <w:rPr>
          <w:rFonts w:cs="Times New Roman"/>
        </w:rPr>
        <w:t>应急事件为火灾、爆炸、油料泄</w:t>
      </w:r>
      <w:r>
        <w:rPr>
          <w:rFonts w:hint="eastAsia" w:cs="Times New Roman"/>
        </w:rPr>
        <w:t>漏</w:t>
      </w:r>
      <w:r>
        <w:rPr>
          <w:rFonts w:cs="Times New Roman"/>
        </w:rPr>
        <w:t>、污水事故排放等有毒有害物质的扩散等。</w:t>
      </w:r>
    </w:p>
    <w:p w14:paraId="78F741D4">
      <w:pPr>
        <w:ind w:firstLine="480" w:firstLineChars="200"/>
        <w:rPr>
          <w:rFonts w:cs="Times New Roman"/>
        </w:rPr>
      </w:pPr>
      <w:r>
        <w:rPr>
          <w:rFonts w:cs="Times New Roman"/>
          <w:lang w:bidi="ar"/>
        </w:rPr>
        <w:t>（2）应急组织机构</w:t>
      </w:r>
    </w:p>
    <w:p w14:paraId="69B6DAFE">
      <w:pPr>
        <w:ind w:firstLine="480" w:firstLineChars="200"/>
        <w:rPr>
          <w:rFonts w:cs="Times New Roman"/>
        </w:rPr>
      </w:pPr>
      <w:r>
        <w:rPr>
          <w:rFonts w:cs="Times New Roman"/>
          <w:lang w:bidi="ar"/>
        </w:rPr>
        <w:t>在施工所在地市水利局、市生态环境局、市应急管理局等有关部门的统一领导下，建设单位成立突发环境污染事件应急领导小组，统一领导协调突发环境事件的应急处置工作。突发环境污染事件应急领导小组的相关部门和单位，需在应急预案计划中明确具体的协调领导责任人、响应应急预案的责任人等。</w:t>
      </w:r>
    </w:p>
    <w:p w14:paraId="0B2D5905">
      <w:pPr>
        <w:ind w:firstLine="480" w:firstLineChars="200"/>
        <w:jc w:val="both"/>
        <w:rPr>
          <w:rFonts w:cs="Times New Roman"/>
        </w:rPr>
      </w:pPr>
      <w:r>
        <w:rPr>
          <w:rFonts w:cs="Times New Roman"/>
          <w:lang w:bidi="ar"/>
        </w:rPr>
        <w:t>（3）应急预案响应条件</w:t>
      </w:r>
    </w:p>
    <w:p w14:paraId="32E6422E">
      <w:pPr>
        <w:ind w:firstLine="480" w:firstLineChars="200"/>
        <w:jc w:val="both"/>
        <w:rPr>
          <w:rFonts w:cs="Times New Roman"/>
        </w:rPr>
      </w:pPr>
      <w:r>
        <w:rPr>
          <w:rFonts w:cs="Times New Roman"/>
          <w:lang w:bidi="ar"/>
        </w:rPr>
        <w:t>在应急预案计划中，由市政府办公室按照城市正常运行风险分级的要求，明确本工程环境风险应急预案的响应条件。</w:t>
      </w:r>
    </w:p>
    <w:p w14:paraId="2981AE15">
      <w:pPr>
        <w:ind w:firstLine="480" w:firstLineChars="200"/>
        <w:jc w:val="both"/>
        <w:rPr>
          <w:rFonts w:cs="Times New Roman"/>
        </w:rPr>
      </w:pPr>
      <w:r>
        <w:rPr>
          <w:rFonts w:cs="Times New Roman"/>
          <w:lang w:bidi="ar"/>
        </w:rPr>
        <w:t>（4）应急救援保障措施</w:t>
      </w:r>
    </w:p>
    <w:p w14:paraId="6BAF69C9">
      <w:pPr>
        <w:ind w:firstLine="480" w:firstLineChars="200"/>
        <w:jc w:val="both"/>
        <w:rPr>
          <w:rFonts w:cs="Times New Roman"/>
        </w:rPr>
      </w:pPr>
      <w:r>
        <w:rPr>
          <w:rFonts w:cs="Times New Roman"/>
          <w:lang w:bidi="ar"/>
        </w:rPr>
        <w:t>当施工期发生油料泄漏突发事故，应及时组织消防部门和卫生部门对事故现场进行救援，对受伤人员进行救护。当发生交通事故等造成有毒有害物质泄漏，应及时组织消防、卫生、环保、水利等部门对事故现场进行救援，采取清除、设置浮栏、投药、水质监测等措施，防止有毒有害物质的进一步扩散，降低对水质的污染和可能带来的不利影响。</w:t>
      </w:r>
    </w:p>
    <w:p w14:paraId="19E61179">
      <w:pPr>
        <w:ind w:firstLine="480" w:firstLineChars="200"/>
        <w:jc w:val="both"/>
        <w:rPr>
          <w:rFonts w:cs="Times New Roman"/>
        </w:rPr>
      </w:pPr>
      <w:r>
        <w:rPr>
          <w:rFonts w:cs="Times New Roman"/>
          <w:lang w:bidi="ar"/>
        </w:rPr>
        <w:t>（5）报警、通讯联络方式</w:t>
      </w:r>
    </w:p>
    <w:p w14:paraId="63EC4EBC">
      <w:pPr>
        <w:ind w:firstLine="480" w:firstLineChars="200"/>
        <w:jc w:val="both"/>
        <w:rPr>
          <w:rFonts w:cs="Times New Roman"/>
        </w:rPr>
      </w:pPr>
      <w:r>
        <w:rPr>
          <w:rFonts w:cs="Times New Roman"/>
          <w:lang w:bidi="ar"/>
        </w:rPr>
        <w:t>采用城市应急状态下的报警通讯方式。</w:t>
      </w:r>
    </w:p>
    <w:p w14:paraId="66C7E456">
      <w:pPr>
        <w:ind w:firstLine="480" w:firstLineChars="200"/>
        <w:jc w:val="both"/>
        <w:rPr>
          <w:rFonts w:cs="Times New Roman"/>
        </w:rPr>
      </w:pPr>
      <w:r>
        <w:rPr>
          <w:rFonts w:cs="Times New Roman"/>
          <w:lang w:bidi="ar"/>
        </w:rPr>
        <w:t>（6）应急环境监测、救援及控制措施</w:t>
      </w:r>
    </w:p>
    <w:p w14:paraId="7F800F5E">
      <w:pPr>
        <w:ind w:firstLine="480" w:firstLineChars="200"/>
        <w:jc w:val="both"/>
        <w:rPr>
          <w:rFonts w:cs="Times New Roman"/>
        </w:rPr>
      </w:pPr>
      <w:r>
        <w:rPr>
          <w:rFonts w:cs="Times New Roman"/>
          <w:lang w:bidi="ar"/>
        </w:rPr>
        <w:t>应急环境监测由所在地市环境监测站负责，且依据环境风险事故可能影响的范围，请求</w:t>
      </w:r>
    </w:p>
    <w:p w14:paraId="4EB18408">
      <w:pPr>
        <w:jc w:val="both"/>
        <w:rPr>
          <w:rFonts w:cs="Times New Roman"/>
        </w:rPr>
      </w:pPr>
      <w:r>
        <w:rPr>
          <w:rFonts w:cs="Times New Roman"/>
          <w:lang w:bidi="ar"/>
        </w:rPr>
        <w:t>应急组织领导机构协调相关的监测机构，开展相应的环境监测，以便对事故性质、参数与后果进行评估，为指挥部门提供决策依据，以便及时采取救援、控制措施。</w:t>
      </w:r>
    </w:p>
    <w:p w14:paraId="79EBBF12">
      <w:pPr>
        <w:ind w:firstLine="480" w:firstLineChars="200"/>
        <w:jc w:val="both"/>
        <w:rPr>
          <w:rFonts w:cs="Times New Roman"/>
        </w:rPr>
      </w:pPr>
      <w:r>
        <w:rPr>
          <w:rFonts w:cs="Times New Roman"/>
          <w:lang w:bidi="ar"/>
        </w:rPr>
        <w:t>（7）人员紧急撤离、疏散，撤离组织计划</w:t>
      </w:r>
    </w:p>
    <w:p w14:paraId="30C7BCB0">
      <w:pPr>
        <w:ind w:firstLine="480" w:firstLineChars="200"/>
        <w:jc w:val="both"/>
        <w:rPr>
          <w:rFonts w:cs="Times New Roman"/>
        </w:rPr>
      </w:pPr>
      <w:r>
        <w:rPr>
          <w:rFonts w:cs="Times New Roman"/>
          <w:lang w:bidi="ar"/>
        </w:rPr>
        <w:t>危及施工区及附近居民生命安全的事故发生时，立即组织附近居民紧急撤离。撤离时由施工期安全保护处置组协同村民委员会组织村民紧急撤离，设备保障人员准备紧急撤离车辆。医疗救护人员对事故现场受伤人员实施抢救撤离。</w:t>
      </w:r>
    </w:p>
    <w:p w14:paraId="483B60D8">
      <w:pPr>
        <w:ind w:firstLine="480" w:firstLineChars="200"/>
        <w:jc w:val="both"/>
        <w:rPr>
          <w:rFonts w:cs="Times New Roman"/>
        </w:rPr>
      </w:pPr>
      <w:r>
        <w:rPr>
          <w:rFonts w:cs="Times New Roman"/>
          <w:lang w:bidi="ar"/>
        </w:rPr>
        <w:t>（8）事故应急救援关闭程序与恢复措施</w:t>
      </w:r>
    </w:p>
    <w:p w14:paraId="0198D50C">
      <w:pPr>
        <w:ind w:firstLine="480" w:firstLineChars="200"/>
        <w:jc w:val="both"/>
        <w:rPr>
          <w:rFonts w:cs="Times New Roman"/>
          <w:lang w:bidi="ar"/>
        </w:rPr>
      </w:pPr>
      <w:r>
        <w:rPr>
          <w:rFonts w:cs="Times New Roman"/>
          <w:lang w:bidi="ar"/>
        </w:rPr>
        <w:t>事故应急救援关闭程序由市政府办公室依据城市应急体系的启动程序，在应急预案计划中明确具体的事故应急救援关闭程序。同时，根据事故可能造成的影响和特点，启动事故影响的恢复措施。</w:t>
      </w:r>
    </w:p>
    <w:p w14:paraId="6724B9C6">
      <w:pPr>
        <w:ind w:firstLine="480" w:firstLineChars="200"/>
        <w:jc w:val="both"/>
        <w:rPr>
          <w:rFonts w:cs="Times New Roman"/>
          <w:lang w:bidi="ar"/>
        </w:rPr>
      </w:pPr>
      <w:r>
        <w:rPr>
          <w:rFonts w:cs="Times New Roman"/>
          <w:lang w:bidi="ar"/>
        </w:rPr>
        <w:t>（9）应急培训计划</w:t>
      </w:r>
    </w:p>
    <w:p w14:paraId="0134FC59">
      <w:pPr>
        <w:ind w:firstLine="480" w:firstLineChars="200"/>
        <w:jc w:val="both"/>
        <w:rPr>
          <w:rFonts w:cs="Times New Roman"/>
          <w:lang w:bidi="ar"/>
        </w:rPr>
      </w:pPr>
      <w:r>
        <w:rPr>
          <w:rFonts w:cs="Times New Roman"/>
          <w:lang w:bidi="ar"/>
        </w:rPr>
        <w:t>主要包括应急预案相关责任部门和单位的领导及相关责任人。应急培训可采取集中培训、应急演练等多途径的方式。</w:t>
      </w:r>
    </w:p>
    <w:p w14:paraId="32D0A34B">
      <w:pPr>
        <w:ind w:firstLine="480" w:firstLineChars="200"/>
        <w:jc w:val="both"/>
        <w:rPr>
          <w:rFonts w:cs="Times New Roman"/>
          <w:lang w:bidi="ar"/>
        </w:rPr>
      </w:pPr>
      <w:r>
        <w:rPr>
          <w:rFonts w:cs="Times New Roman"/>
          <w:lang w:bidi="ar"/>
        </w:rPr>
        <w:t>（10）公众教育和信息</w:t>
      </w:r>
    </w:p>
    <w:p w14:paraId="0481B0C2">
      <w:pPr>
        <w:ind w:firstLine="480" w:firstLineChars="200"/>
        <w:jc w:val="both"/>
        <w:rPr>
          <w:rFonts w:cs="Times New Roman"/>
        </w:rPr>
      </w:pPr>
      <w:r>
        <w:rPr>
          <w:rFonts w:cs="Times New Roman"/>
          <w:lang w:bidi="ar"/>
        </w:rPr>
        <w:t>对施工人员进行公众教育，宣传相关的环境和安全法律法规，并进行有关的应急知识的培训。在施工区发布关于施工期安全管理、施工区下游用水安全等注意事项的信息。</w:t>
      </w:r>
    </w:p>
    <w:p w14:paraId="425E8345">
      <w:pPr>
        <w:ind w:firstLine="480" w:firstLineChars="200"/>
        <w:rPr>
          <w:rFonts w:cs="Times New Roman"/>
          <w:color w:val="0000FF"/>
        </w:rPr>
      </w:pPr>
    </w:p>
    <w:p w14:paraId="2DF5B622">
      <w:pPr>
        <w:jc w:val="center"/>
        <w:rPr>
          <w:rFonts w:cs="Times New Roman"/>
          <w:color w:val="0000FF"/>
        </w:rPr>
      </w:pPr>
    </w:p>
    <w:p w14:paraId="3BA81602">
      <w:pPr>
        <w:pStyle w:val="31"/>
        <w:bidi w:val="0"/>
      </w:pPr>
      <w:r>
        <w:drawing>
          <wp:inline distT="0" distB="0" distL="114300" distR="114300">
            <wp:extent cx="5090160" cy="7723505"/>
            <wp:effectExtent l="0" t="0" r="2540" b="10795"/>
            <wp:docPr id="213"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61"/>
                    <pic:cNvPicPr>
                      <a:picLocks noChangeAspect="1"/>
                    </pic:cNvPicPr>
                  </pic:nvPicPr>
                  <pic:blipFill>
                    <a:blip r:embed="rId175"/>
                    <a:stretch>
                      <a:fillRect/>
                    </a:stretch>
                  </pic:blipFill>
                  <pic:spPr>
                    <a:xfrm>
                      <a:off x="0" y="0"/>
                      <a:ext cx="5090160" cy="7723505"/>
                    </a:xfrm>
                    <a:prstGeom prst="rect">
                      <a:avLst/>
                    </a:prstGeom>
                    <a:noFill/>
                    <a:ln>
                      <a:noFill/>
                    </a:ln>
                  </pic:spPr>
                </pic:pic>
              </a:graphicData>
            </a:graphic>
          </wp:inline>
        </w:drawing>
      </w:r>
    </w:p>
    <w:p w14:paraId="3A4ECAE8">
      <w:pPr>
        <w:ind w:firstLine="480"/>
        <w:rPr>
          <w:color w:val="0000FF"/>
        </w:rPr>
      </w:pPr>
    </w:p>
    <w:p w14:paraId="647FE1CC">
      <w:pPr>
        <w:pStyle w:val="30"/>
        <w:bidi w:val="0"/>
      </w:pPr>
      <w:r>
        <w:t>图6</w:t>
      </w:r>
      <w:r>
        <w:rPr>
          <w:rFonts w:hint="eastAsia"/>
          <w:lang w:val="en-US" w:eastAsia="zh-CN"/>
        </w:rPr>
        <w:t>.</w:t>
      </w:r>
      <w:r>
        <w:t>7-1  环境风险应急预案流程图</w:t>
      </w:r>
    </w:p>
    <w:p w14:paraId="22629B14">
      <w:pPr>
        <w:pStyle w:val="2"/>
        <w:sectPr>
          <w:headerReference r:id="rId44" w:type="default"/>
          <w:footerReference r:id="rId45" w:type="default"/>
          <w:pgSz w:w="11905" w:h="16838"/>
          <w:pgMar w:top="1417" w:right="1417" w:bottom="1417" w:left="1417" w:header="850" w:footer="850" w:gutter="0"/>
          <w:pgNumType w:fmt="decimal"/>
          <w:cols w:space="0" w:num="1"/>
          <w:rtlGutter w:val="0"/>
          <w:docGrid w:linePitch="312" w:charSpace="0"/>
        </w:sectPr>
      </w:pPr>
    </w:p>
    <w:bookmarkEnd w:id="69"/>
    <w:p w14:paraId="21E20C77">
      <w:pPr>
        <w:pStyle w:val="2"/>
        <w:bidi w:val="0"/>
      </w:pPr>
      <w:bookmarkStart w:id="77" w:name="_Toc20139"/>
      <w:r>
        <w:t>7 环境保护措施及其可行性论证</w:t>
      </w:r>
      <w:bookmarkEnd w:id="77"/>
    </w:p>
    <w:p w14:paraId="04267AAC">
      <w:pPr>
        <w:pStyle w:val="3"/>
        <w:bidi w:val="0"/>
        <w:rPr>
          <w:color w:val="0000FF"/>
        </w:rPr>
      </w:pPr>
      <w:bookmarkStart w:id="78" w:name="_Toc15241"/>
      <w:r>
        <w:t>7.1 工程方案的环保优化措施</w:t>
      </w:r>
      <w:bookmarkEnd w:id="78"/>
    </w:p>
    <w:p w14:paraId="570A91C5">
      <w:pPr>
        <w:pStyle w:val="4"/>
        <w:bidi w:val="0"/>
      </w:pPr>
      <w:r>
        <w:rPr>
          <w:rFonts w:hint="eastAsia"/>
        </w:rPr>
        <w:t>7.1.</w:t>
      </w:r>
      <w:r>
        <w:rPr>
          <w:rFonts w:hint="eastAsia"/>
          <w:lang w:val="en-US" w:eastAsia="zh-CN"/>
        </w:rPr>
        <w:t>1</w:t>
      </w:r>
      <w:r>
        <w:rPr>
          <w:rFonts w:hint="eastAsia"/>
        </w:rPr>
        <w:t xml:space="preserve"> 施工布置优化调整</w:t>
      </w:r>
    </w:p>
    <w:p w14:paraId="085958E5">
      <w:pPr>
        <w:bidi w:val="0"/>
      </w:pPr>
      <w:r>
        <w:rPr>
          <w:rFonts w:hint="eastAsia"/>
          <w:lang w:val="en-US" w:eastAsia="zh-CN"/>
        </w:rPr>
        <w:t>本项目不设置取土场、弃土场，不设置施工生产生活区，生活办公依托租用附近民房，</w:t>
      </w:r>
      <w:r>
        <w:t>施工</w:t>
      </w:r>
      <w:r>
        <w:rPr>
          <w:rFonts w:hint="eastAsia"/>
          <w:lang w:val="en-US" w:eastAsia="zh-CN"/>
        </w:rPr>
        <w:t>主要</w:t>
      </w:r>
      <w:r>
        <w:t>布置</w:t>
      </w:r>
      <w:r>
        <w:rPr>
          <w:rFonts w:hint="eastAsia"/>
          <w:lang w:val="en-US" w:eastAsia="zh-CN"/>
        </w:rPr>
        <w:t>临时</w:t>
      </w:r>
      <w:r>
        <w:t>施工场地、</w:t>
      </w:r>
      <w:r>
        <w:rPr>
          <w:rFonts w:hint="eastAsia"/>
          <w:lang w:val="en-US" w:eastAsia="zh-CN"/>
        </w:rPr>
        <w:t>临时施工道路、临时堆土</w:t>
      </w:r>
      <w:r>
        <w:t>等。</w:t>
      </w:r>
    </w:p>
    <w:p w14:paraId="48D7641E">
      <w:pPr>
        <w:bidi w:val="0"/>
      </w:pPr>
      <w:r>
        <w:rPr>
          <w:rFonts w:hint="eastAsia"/>
          <w:lang w:eastAsia="zh-CN"/>
        </w:rPr>
        <w:t>（</w:t>
      </w:r>
      <w:r>
        <w:rPr>
          <w:rFonts w:hint="eastAsia"/>
          <w:lang w:val="en-US" w:eastAsia="zh-CN"/>
        </w:rPr>
        <w:t>1</w:t>
      </w:r>
      <w:r>
        <w:rPr>
          <w:rFonts w:hint="eastAsia"/>
          <w:lang w:eastAsia="zh-CN"/>
        </w:rPr>
        <w:t>）</w:t>
      </w:r>
      <w:r>
        <w:rPr>
          <w:rFonts w:hint="eastAsia"/>
        </w:rPr>
        <w:t>根据现状资料，</w:t>
      </w:r>
      <w:r>
        <w:rPr>
          <w:rFonts w:hint="eastAsia"/>
          <w:lang w:val="en-US" w:eastAsia="zh-CN"/>
        </w:rPr>
        <w:t>夏秋</w:t>
      </w:r>
      <w:r>
        <w:rPr>
          <w:rFonts w:hint="eastAsia"/>
        </w:rPr>
        <w:t>季</w:t>
      </w:r>
      <w:r>
        <w:rPr>
          <w:rFonts w:hint="eastAsia"/>
          <w:lang w:val="en-US" w:eastAsia="zh-CN"/>
        </w:rPr>
        <w:t>瓦埠湖</w:t>
      </w:r>
      <w:r>
        <w:rPr>
          <w:rFonts w:hint="eastAsia"/>
        </w:rPr>
        <w:t>湿地公园内鸟类活动较少，</w:t>
      </w:r>
      <w:r>
        <w:rPr>
          <w:rFonts w:hint="eastAsia"/>
          <w:lang w:val="en-US" w:eastAsia="zh-CN"/>
        </w:rPr>
        <w:t>进入冬季瓦埠湖湿地公园内鸟类活动逐渐增多</w:t>
      </w:r>
      <w:r>
        <w:rPr>
          <w:rFonts w:hint="eastAsia"/>
          <w:lang w:eastAsia="zh-CN"/>
        </w:rPr>
        <w:t>，</w:t>
      </w:r>
      <w:r>
        <w:rPr>
          <w:rFonts w:hint="eastAsia"/>
          <w:lang w:val="en-US" w:eastAsia="zh-CN"/>
        </w:rPr>
        <w:t>朱集一站引水渠施工</w:t>
      </w:r>
      <w:r>
        <w:rPr>
          <w:rFonts w:hint="eastAsia"/>
        </w:rPr>
        <w:t>高噪声工程施工时间调整至10月。</w:t>
      </w:r>
    </w:p>
    <w:p w14:paraId="0141340C">
      <w:pPr>
        <w:bidi w:val="0"/>
      </w:pPr>
      <w:r>
        <w:t>（</w:t>
      </w:r>
      <w:r>
        <w:rPr>
          <w:rFonts w:hint="eastAsia"/>
          <w:lang w:val="en-US" w:eastAsia="zh-CN"/>
        </w:rPr>
        <w:t>2</w:t>
      </w:r>
      <w:r>
        <w:t>）选址遵循“少占压耕地，少破坏水土保持设施”的原则，优先考虑渠道两岸的洼地、裸地、空闲地、平摊地等，但不能影响河流的行洪安全，不得影响水利工程取水建筑物、泄水建筑物、灌排干渠沟功能。</w:t>
      </w:r>
    </w:p>
    <w:p w14:paraId="6CC08868">
      <w:pPr>
        <w:bidi w:val="0"/>
      </w:pPr>
      <w:r>
        <w:t>（</w:t>
      </w:r>
      <w:r>
        <w:rPr>
          <w:rFonts w:hint="eastAsia"/>
          <w:lang w:val="en-US" w:eastAsia="zh-CN"/>
        </w:rPr>
        <w:t>3</w:t>
      </w:r>
      <w:r>
        <w:t>）</w:t>
      </w:r>
      <w:r>
        <w:rPr>
          <w:rFonts w:hint="eastAsia"/>
          <w:lang w:val="en-US" w:eastAsia="zh-CN"/>
        </w:rPr>
        <w:t>临时施工场地</w:t>
      </w:r>
      <w:r>
        <w:t>优先租用在已征地的工程范围内布设或就近租用附近村庄房屋。</w:t>
      </w:r>
    </w:p>
    <w:p w14:paraId="7D2EB3B7">
      <w:pPr>
        <w:bidi w:val="0"/>
      </w:pPr>
      <w:r>
        <w:rPr>
          <w:rFonts w:hint="eastAsia"/>
        </w:rPr>
        <w:t>（</w:t>
      </w:r>
      <w:r>
        <w:rPr>
          <w:rFonts w:hint="eastAsia"/>
          <w:lang w:val="en-US" w:eastAsia="zh-CN"/>
        </w:rPr>
        <w:t>4</w:t>
      </w:r>
      <w:r>
        <w:rPr>
          <w:rFonts w:hint="eastAsia"/>
        </w:rPr>
        <w:t>）</w:t>
      </w:r>
      <w:r>
        <w:t>不宜设置在</w:t>
      </w:r>
      <w:r>
        <w:rPr>
          <w:rFonts w:hint="eastAsia"/>
          <w:lang w:val="en-US" w:eastAsia="zh-CN"/>
        </w:rPr>
        <w:t>渠道</w:t>
      </w:r>
      <w:r>
        <w:t>管理范围内，确需设置的，应符合河道管理和防洪行洪的要求，并采取措施保障行洪安全，减少由此可能产生的不利影响；</w:t>
      </w:r>
    </w:p>
    <w:p w14:paraId="6621BC9A">
      <w:pPr>
        <w:pStyle w:val="4"/>
        <w:bidi w:val="0"/>
      </w:pPr>
      <w:r>
        <w:rPr>
          <w:rFonts w:hint="eastAsia"/>
        </w:rPr>
        <w:t>7.1.</w:t>
      </w:r>
      <w:r>
        <w:rPr>
          <w:rFonts w:hint="eastAsia"/>
          <w:lang w:val="en-US" w:eastAsia="zh-CN"/>
        </w:rPr>
        <w:t>2</w:t>
      </w:r>
      <w:r>
        <w:rPr>
          <w:rFonts w:hint="eastAsia"/>
        </w:rPr>
        <w:t xml:space="preserve"> 临时工程恢复措施</w:t>
      </w:r>
    </w:p>
    <w:p w14:paraId="65C28443">
      <w:pPr>
        <w:bidi w:val="0"/>
      </w:pPr>
      <w:r>
        <w:t>植物措施根据本工程自然条件，因地制宜、适地适树、适地适草，营造水土保持植物措施。根据前述章节，本项目</w:t>
      </w:r>
      <w:r>
        <w:rPr>
          <w:rFonts w:hint="eastAsia"/>
          <w:lang w:val="en-US" w:eastAsia="zh-CN"/>
        </w:rPr>
        <w:t>临时</w:t>
      </w:r>
      <w:r>
        <w:t>工程占用的主要为耕地，后期将恢复为耕地；对于水域及水利设施用地，优先选择乡土树、草种及当地使用过的树、草种，采取乔、灌、草相结合进行布设，加强抚育管理，提高植被成活率，防治水土流失，改善项目周边生态环境。</w:t>
      </w:r>
    </w:p>
    <w:p w14:paraId="7171EDFF">
      <w:pPr>
        <w:pStyle w:val="4"/>
        <w:bidi w:val="0"/>
      </w:pPr>
      <w:r>
        <w:rPr>
          <w:rFonts w:hint="eastAsia"/>
        </w:rPr>
        <w:t>7.1.</w:t>
      </w:r>
      <w:r>
        <w:rPr>
          <w:rFonts w:hint="eastAsia"/>
          <w:lang w:val="en-US" w:eastAsia="zh-CN"/>
        </w:rPr>
        <w:t>3</w:t>
      </w:r>
      <w:r>
        <w:rPr>
          <w:rFonts w:hint="eastAsia"/>
        </w:rPr>
        <w:t xml:space="preserve"> </w:t>
      </w:r>
      <w:r>
        <w:t>土地复垦</w:t>
      </w:r>
    </w:p>
    <w:p w14:paraId="0D99607A">
      <w:pPr>
        <w:bidi w:val="0"/>
      </w:pPr>
      <w:r>
        <w:t>本工程临时用地包括：临时堆土区、临时</w:t>
      </w:r>
      <w:r>
        <w:rPr>
          <w:rFonts w:hint="eastAsia"/>
          <w:lang w:val="en-US" w:eastAsia="zh-CN"/>
        </w:rPr>
        <w:t>施工</w:t>
      </w:r>
      <w:r>
        <w:t>道路、施工布置用地等。</w:t>
      </w:r>
    </w:p>
    <w:p w14:paraId="68AA6D01">
      <w:pPr>
        <w:bidi w:val="0"/>
      </w:pPr>
      <w:r>
        <w:t>根据《土地复垦条例》，本报告设计对工程临时用地进行复垦，针对临时占地的不同情况，采取不同的复垦措施。</w:t>
      </w:r>
    </w:p>
    <w:p w14:paraId="09BC99CE">
      <w:pPr>
        <w:bidi w:val="0"/>
      </w:pPr>
      <w:r>
        <w:t>临时堆土区、</w:t>
      </w:r>
      <w:r>
        <w:rPr>
          <w:rFonts w:hint="eastAsia"/>
          <w:lang w:val="en-US" w:eastAsia="zh-CN"/>
        </w:rPr>
        <w:t>临时</w:t>
      </w:r>
      <w:r>
        <w:t>施工道路、施工布置用地</w:t>
      </w:r>
      <w:r>
        <w:rPr>
          <w:rFonts w:hint="eastAsia"/>
        </w:rPr>
        <w:t>基本为耕地、水域及水利设施用地。</w:t>
      </w:r>
      <w:r>
        <w:t>临时堆土区、</w:t>
      </w:r>
      <w:r>
        <w:rPr>
          <w:rFonts w:hint="eastAsia"/>
          <w:lang w:val="en-US" w:eastAsia="zh-CN"/>
        </w:rPr>
        <w:t>临时</w:t>
      </w:r>
      <w:r>
        <w:t>施工道路、施工布置用地对土地耕作层及农田水利设施有一定的破坏，在工程完成后要采取复垦措施，恢复耕用条件。复垦措施为：</w:t>
      </w:r>
    </w:p>
    <w:p w14:paraId="622F29DE">
      <w:pPr>
        <w:bidi w:val="0"/>
      </w:pPr>
      <w:r>
        <w:t>①清除地面遗留不利于作物生长的的杂物；</w:t>
      </w:r>
    </w:p>
    <w:p w14:paraId="47F3742A">
      <w:pPr>
        <w:bidi w:val="0"/>
      </w:pPr>
      <w:r>
        <w:t>②表层土翻松和田间灌排沟渠的配套恢复；</w:t>
      </w:r>
    </w:p>
    <w:p w14:paraId="533EE34A">
      <w:pPr>
        <w:bidi w:val="0"/>
      </w:pPr>
      <w:r>
        <w:t>③场地平整过程中</w:t>
      </w:r>
      <w:r>
        <w:rPr>
          <w:rFonts w:hint="eastAsia"/>
        </w:rPr>
        <w:t>掺入</w:t>
      </w:r>
      <w:r>
        <w:t>适量的作物秸秆或者农家肥增加土壤的有机质含量；</w:t>
      </w:r>
    </w:p>
    <w:p w14:paraId="1186FA1B">
      <w:pPr>
        <w:bidi w:val="0"/>
      </w:pPr>
      <w:r>
        <w:t>④配套相应的农用地排、灌设施和耕作道路恢复等。</w:t>
      </w:r>
    </w:p>
    <w:p w14:paraId="4A93D462">
      <w:pPr>
        <w:bidi w:val="0"/>
      </w:pPr>
      <w:r>
        <w:rPr>
          <w:rFonts w:hint="eastAsia"/>
        </w:rPr>
        <w:t>水域及水利设施用地复垦为林地或者草地。</w:t>
      </w:r>
    </w:p>
    <w:p w14:paraId="7D1AA648">
      <w:pPr>
        <w:pStyle w:val="3"/>
        <w:bidi w:val="0"/>
      </w:pPr>
      <w:bookmarkStart w:id="79" w:name="_Toc6204"/>
      <w:r>
        <w:t>7.2 水环境保护措施</w:t>
      </w:r>
      <w:bookmarkEnd w:id="79"/>
    </w:p>
    <w:p w14:paraId="7B178CA1">
      <w:pPr>
        <w:pStyle w:val="4"/>
        <w:bidi w:val="0"/>
      </w:pPr>
      <w:r>
        <w:t>7.2.1 地表水环境保护措施</w:t>
      </w:r>
    </w:p>
    <w:p w14:paraId="7BB888D3">
      <w:pPr>
        <w:ind w:firstLine="480" w:firstLineChars="200"/>
        <w:rPr>
          <w:rFonts w:cs="Times New Roman"/>
          <w:color w:val="0000FF"/>
        </w:rPr>
      </w:pPr>
      <w:r>
        <w:rPr>
          <w:rFonts w:cs="Times New Roman"/>
          <w:color w:val="0000FF"/>
        </w:rPr>
        <w:t>一、施工期地表水环境保护措施</w:t>
      </w:r>
    </w:p>
    <w:p w14:paraId="136DFB27">
      <w:pPr>
        <w:widowControl w:val="0"/>
        <w:ind w:firstLine="480" w:firstLineChars="200"/>
        <w:rPr>
          <w:rFonts w:cs="Times New Roman"/>
          <w:color w:val="0000FF"/>
        </w:rPr>
      </w:pPr>
      <w:r>
        <w:rPr>
          <w:rFonts w:cs="Times New Roman"/>
          <w:color w:val="0000FF"/>
        </w:rPr>
        <w:t>1、含油废水</w:t>
      </w:r>
    </w:p>
    <w:p w14:paraId="10EE4839">
      <w:pPr>
        <w:widowControl w:val="0"/>
        <w:ind w:firstLine="480" w:firstLineChars="200"/>
        <w:rPr>
          <w:rFonts w:cs="Times New Roman"/>
          <w:color w:val="0000FF"/>
        </w:rPr>
      </w:pPr>
      <w:r>
        <w:rPr>
          <w:rFonts w:cs="Times New Roman"/>
          <w:color w:val="0000FF"/>
        </w:rPr>
        <w:t>在工程施工中，施工机械主要以柴油和汽油为动力，机械车辆冲洗维修排放的污水中悬浮物和石油类浓度较高，含油废水直接排入水体，在水体表面形成油膜，造成水中溶解氧不易恢复，影响水质。本次工程每个施工布置区配套建设隔油、沉淀装置，含油废水经油水分离装置和沉淀池沉淀处理后的循环使用于施工机械维护清洗和施工场地洒水抑尘用水等不外排，含油污泥定期清捞采用容器收集后送有处理能力的单位进行处理，禁止自行处置</w:t>
      </w:r>
      <w:r>
        <w:rPr>
          <w:rFonts w:hint="eastAsia" w:cs="Times New Roman"/>
          <w:color w:val="0000FF"/>
        </w:rPr>
        <w:t>。</w:t>
      </w:r>
    </w:p>
    <w:p w14:paraId="3A00B01C">
      <w:pPr>
        <w:widowControl w:val="0"/>
        <w:ind w:firstLine="480" w:firstLineChars="200"/>
        <w:rPr>
          <w:rFonts w:cs="Times New Roman"/>
          <w:color w:val="0000FF"/>
        </w:rPr>
      </w:pPr>
      <w:r>
        <w:rPr>
          <w:rFonts w:cs="Times New Roman"/>
          <w:color w:val="0000FF"/>
        </w:rPr>
        <w:t>2、生活废水</w:t>
      </w:r>
    </w:p>
    <w:p w14:paraId="4DA2C7FA">
      <w:pPr>
        <w:widowControl w:val="0"/>
        <w:ind w:firstLine="480" w:firstLineChars="200"/>
        <w:rPr>
          <w:rFonts w:cs="Times New Roman"/>
          <w:color w:val="0000FF"/>
        </w:rPr>
      </w:pPr>
      <w:r>
        <w:rPr>
          <w:rFonts w:hint="eastAsia" w:cs="Times New Roman"/>
          <w:color w:val="0000FF"/>
        </w:rPr>
        <w:t>工程设置30个施工生活区，</w:t>
      </w:r>
      <w:r>
        <w:rPr>
          <w:rFonts w:cs="Times New Roman"/>
          <w:color w:val="0000FF"/>
        </w:rPr>
        <w:t>施工人员生活污水中主要污染物有COD、BOD、氨氮等，COD、BOD和氨氮浓度分别可达400mg/L、200mg/L和30mg/L左右</w:t>
      </w:r>
      <w:r>
        <w:rPr>
          <w:rFonts w:hint="eastAsia" w:cs="Times New Roman"/>
          <w:color w:val="0000FF"/>
        </w:rPr>
        <w:t>，</w:t>
      </w:r>
      <w:r>
        <w:rPr>
          <w:rFonts w:cs="Times New Roman"/>
          <w:color w:val="0000FF"/>
        </w:rPr>
        <w:t>为防止污染水质，施工营地需设置一体化生活污水处理装置，生活污水须经处理</w:t>
      </w:r>
      <w:r>
        <w:rPr>
          <w:rFonts w:hint="eastAsia" w:cs="Times New Roman"/>
          <w:color w:val="0000FF"/>
        </w:rPr>
        <w:t>达标</w:t>
      </w:r>
      <w:r>
        <w:rPr>
          <w:rFonts w:cs="Times New Roman"/>
          <w:color w:val="0000FF"/>
        </w:rPr>
        <w:t>后用于</w:t>
      </w:r>
      <w:r>
        <w:rPr>
          <w:rFonts w:hint="eastAsia" w:cs="Times New Roman"/>
          <w:color w:val="0000FF"/>
        </w:rPr>
        <w:t>农田灌溉</w:t>
      </w:r>
      <w:r>
        <w:rPr>
          <w:rFonts w:cs="Times New Roman"/>
          <w:color w:val="0000FF"/>
        </w:rPr>
        <w:t>。</w:t>
      </w:r>
    </w:p>
    <w:p w14:paraId="492A2A8D">
      <w:pPr>
        <w:widowControl w:val="0"/>
        <w:ind w:firstLine="480" w:firstLineChars="200"/>
        <w:rPr>
          <w:rFonts w:cs="Times New Roman"/>
          <w:color w:val="0000FF"/>
        </w:rPr>
      </w:pPr>
      <w:r>
        <w:rPr>
          <w:rFonts w:cs="Times New Roman"/>
          <w:color w:val="0000FF"/>
        </w:rPr>
        <w:t>3、混凝土施工废水</w:t>
      </w:r>
    </w:p>
    <w:p w14:paraId="0108E552">
      <w:pPr>
        <w:ind w:firstLine="480"/>
        <w:rPr>
          <w:rFonts w:cs="Times New Roman"/>
          <w:color w:val="0000FF"/>
        </w:rPr>
      </w:pPr>
      <w:r>
        <w:rPr>
          <w:rFonts w:cs="Times New Roman"/>
          <w:color w:val="0000FF"/>
        </w:rPr>
        <w:t>1）混凝土搅拌系统废水</w:t>
      </w:r>
    </w:p>
    <w:p w14:paraId="20E1BA7C">
      <w:pPr>
        <w:ind w:firstLine="480"/>
        <w:rPr>
          <w:rFonts w:cs="Times New Roman"/>
          <w:color w:val="0000FF"/>
        </w:rPr>
      </w:pPr>
      <w:r>
        <w:rPr>
          <w:rFonts w:cs="Times New Roman"/>
          <w:color w:val="0000FF"/>
        </w:rPr>
        <w:t>混凝土搅拌系统废水来源于商品混凝土临时搅拌机和地面冲洗废水。混凝土搅拌系统冲洗废水中含有较高的悬浮物且含粉率较高，废水呈碱性，pH值为11～12，并含有较高的SS，浓度一般为2000mg/L，本工程各施工段共使用商品混凝土搅拌机共44台。根据类比，每台搅拌机每班冲一次，用水量为每台0.5m</w:t>
      </w:r>
      <w:r>
        <w:rPr>
          <w:rFonts w:cs="Times New Roman"/>
          <w:color w:val="0000FF"/>
          <w:vertAlign w:val="superscript"/>
        </w:rPr>
        <w:t>3</w:t>
      </w:r>
      <w:r>
        <w:rPr>
          <w:rFonts w:cs="Times New Roman"/>
          <w:color w:val="0000FF"/>
        </w:rPr>
        <w:t>/次，产污系数按0.9计算，废水产生量为19.8m</w:t>
      </w:r>
      <w:r>
        <w:rPr>
          <w:rFonts w:cs="Times New Roman"/>
          <w:color w:val="0000FF"/>
          <w:vertAlign w:val="superscript"/>
        </w:rPr>
        <w:t>3</w:t>
      </w:r>
      <w:r>
        <w:rPr>
          <w:rFonts w:cs="Times New Roman"/>
          <w:color w:val="0000FF"/>
        </w:rPr>
        <w:t>/d。根据经验数据类比，经中和沉淀处理后，SS浓度降至100mg/L以下，回用于施工场地洒水，不外排。</w:t>
      </w:r>
    </w:p>
    <w:p w14:paraId="1F0AA201">
      <w:pPr>
        <w:ind w:firstLine="480"/>
        <w:rPr>
          <w:rFonts w:cs="Times New Roman"/>
          <w:color w:val="0000FF"/>
        </w:rPr>
      </w:pPr>
      <w:r>
        <w:rPr>
          <w:rFonts w:cs="Times New Roman"/>
          <w:color w:val="0000FF"/>
        </w:rPr>
        <w:t>2）混凝土养护废水</w:t>
      </w:r>
    </w:p>
    <w:p w14:paraId="36798B1C">
      <w:pPr>
        <w:ind w:firstLine="480"/>
        <w:rPr>
          <w:rFonts w:cs="Times New Roman"/>
          <w:color w:val="0000FF"/>
        </w:rPr>
      </w:pPr>
      <w:r>
        <w:rPr>
          <w:rFonts w:cs="Times New Roman"/>
          <w:color w:val="0000FF"/>
        </w:rPr>
        <w:t>根据施工主体工程量，本工程共需混凝土总量</w:t>
      </w:r>
      <w:r>
        <w:rPr>
          <w:rFonts w:hint="eastAsia" w:cs="Times New Roman"/>
          <w:color w:val="0000FF"/>
        </w:rPr>
        <w:t>39.84</w:t>
      </w:r>
      <w:r>
        <w:rPr>
          <w:rFonts w:cs="Times New Roman"/>
          <w:color w:val="0000FF"/>
        </w:rPr>
        <w:t>万m</w:t>
      </w:r>
      <w:r>
        <w:rPr>
          <w:rFonts w:cs="Times New Roman"/>
          <w:color w:val="0000FF"/>
          <w:vertAlign w:val="superscript"/>
        </w:rPr>
        <w:t>3</w:t>
      </w:r>
      <w:r>
        <w:rPr>
          <w:rFonts w:cs="Times New Roman"/>
          <w:color w:val="0000FF"/>
        </w:rPr>
        <w:t>，根据工程量类比相似工程等同类工程分析，平均养护1m</w:t>
      </w:r>
      <w:r>
        <w:rPr>
          <w:rFonts w:cs="Times New Roman"/>
          <w:color w:val="0000FF"/>
          <w:vertAlign w:val="superscript"/>
        </w:rPr>
        <w:t>3</w:t>
      </w:r>
      <w:r>
        <w:rPr>
          <w:rFonts w:cs="Times New Roman"/>
          <w:color w:val="0000FF"/>
        </w:rPr>
        <w:t>混凝土约产生0.32m</w:t>
      </w:r>
      <w:r>
        <w:rPr>
          <w:rFonts w:cs="Times New Roman"/>
          <w:color w:val="0000FF"/>
          <w:vertAlign w:val="superscript"/>
        </w:rPr>
        <w:t>3</w:t>
      </w:r>
      <w:r>
        <w:rPr>
          <w:rFonts w:cs="Times New Roman"/>
          <w:color w:val="0000FF"/>
        </w:rPr>
        <w:t>养护废水，工程施工过程中共产生碱性废水约12.75万m</w:t>
      </w:r>
      <w:r>
        <w:rPr>
          <w:rFonts w:cs="Times New Roman"/>
          <w:color w:val="0000FF"/>
          <w:vertAlign w:val="superscript"/>
        </w:rPr>
        <w:t>3</w:t>
      </w:r>
      <w:r>
        <w:rPr>
          <w:rFonts w:cs="Times New Roman"/>
          <w:color w:val="0000FF"/>
        </w:rPr>
        <w:t>。</w:t>
      </w:r>
    </w:p>
    <w:p w14:paraId="4320B4E1">
      <w:pPr>
        <w:ind w:firstLine="480"/>
        <w:rPr>
          <w:rFonts w:cs="Times New Roman"/>
          <w:color w:val="0000FF"/>
        </w:rPr>
      </w:pPr>
      <w:r>
        <w:rPr>
          <w:rFonts w:cs="Times New Roman"/>
          <w:color w:val="0000FF"/>
        </w:rPr>
        <w:t>混凝土养护过程中产生的废水pH值可达到9～10，如不采取处理措施而排入附近水域，会使局部水域pH值升高。本工程工期共24个月，混凝土施工按20个月考虑，月施工25天，则平均废水量255m</w:t>
      </w:r>
      <w:r>
        <w:rPr>
          <w:rFonts w:cs="Times New Roman"/>
          <w:color w:val="0000FF"/>
          <w:vertAlign w:val="superscript"/>
        </w:rPr>
        <w:t>3</w:t>
      </w:r>
      <w:r>
        <w:rPr>
          <w:rFonts w:cs="Times New Roman"/>
          <w:color w:val="0000FF"/>
        </w:rPr>
        <w:t>/d。这些废水分布在32个子工程，单个施工点的水量较小。</w:t>
      </w:r>
    </w:p>
    <w:p w14:paraId="790B0D63">
      <w:pPr>
        <w:ind w:firstLine="480"/>
        <w:rPr>
          <w:rFonts w:cs="Times New Roman"/>
          <w:color w:val="0000FF"/>
        </w:rPr>
      </w:pPr>
      <w:r>
        <w:rPr>
          <w:rFonts w:cs="Times New Roman"/>
          <w:color w:val="0000FF"/>
        </w:rPr>
        <w:t>混凝土养护废水进入基坑，经中和+三级沉淀后回用路面洒水，不对外排放。</w:t>
      </w:r>
    </w:p>
    <w:p w14:paraId="784B9A92">
      <w:pPr>
        <w:widowControl w:val="0"/>
        <w:ind w:firstLine="480" w:firstLineChars="200"/>
        <w:rPr>
          <w:rFonts w:cs="Times New Roman"/>
          <w:color w:val="0000FF"/>
        </w:rPr>
      </w:pPr>
      <w:r>
        <w:rPr>
          <w:rFonts w:cs="Times New Roman"/>
          <w:color w:val="0000FF"/>
        </w:rPr>
        <w:t>4、基坑排水</w:t>
      </w:r>
    </w:p>
    <w:p w14:paraId="2AB7ECE4">
      <w:pPr>
        <w:widowControl w:val="0"/>
        <w:ind w:firstLine="480" w:firstLineChars="200"/>
        <w:rPr>
          <w:rFonts w:cs="Times New Roman"/>
          <w:color w:val="0000FF"/>
        </w:rPr>
      </w:pPr>
      <w:r>
        <w:rPr>
          <w:rFonts w:cs="Times New Roman"/>
          <w:color w:val="0000FF"/>
        </w:rPr>
        <w:t>基坑排水分初期排水、经常性排水和围堰过水时的基坑排水。初期排水是排入围堰内的基坑存水；经常性排水是由降水、渗水等，可使基坑水的悬浮物和pH值增加。要求本工程产生的基坑废水经集水井沉淀后回用于车辆洒水等。根据渠道实际情况，工程施工均处在枯水期，基坑排水主要来自于降水。考虑</w:t>
      </w:r>
      <w:r>
        <w:rPr>
          <w:rFonts w:hint="eastAsia" w:cs="Times New Roman"/>
          <w:color w:val="0000FF"/>
          <w:lang w:eastAsia="zh-CN"/>
        </w:rPr>
        <w:t>朱集灌区</w:t>
      </w:r>
      <w:r>
        <w:rPr>
          <w:rFonts w:cs="Times New Roman"/>
          <w:color w:val="0000FF"/>
        </w:rPr>
        <w:t>多年平均降雨量为1010mm，此次工程渠道总长度</w:t>
      </w:r>
      <w:r>
        <w:rPr>
          <w:rFonts w:hint="eastAsia" w:cs="Times New Roman"/>
          <w:color w:val="0000FF"/>
        </w:rPr>
        <w:t>432.29</w:t>
      </w:r>
      <w:r>
        <w:rPr>
          <w:rFonts w:cs="Times New Roman"/>
          <w:color w:val="0000FF"/>
        </w:rPr>
        <w:t>km，根据估算总产生雨水量约</w:t>
      </w:r>
      <w:r>
        <w:rPr>
          <w:rFonts w:hint="eastAsia" w:cs="Times New Roman"/>
          <w:color w:val="0000FF"/>
        </w:rPr>
        <w:t>21614.5</w:t>
      </w:r>
      <w:r>
        <w:rPr>
          <w:rFonts w:cs="Times New Roman"/>
          <w:color w:val="0000FF"/>
        </w:rPr>
        <w:t>m</w:t>
      </w:r>
      <w:r>
        <w:rPr>
          <w:rFonts w:cs="Times New Roman"/>
          <w:color w:val="0000FF"/>
          <w:vertAlign w:val="superscript"/>
        </w:rPr>
        <w:t>3</w:t>
      </w:r>
      <w:r>
        <w:rPr>
          <w:rFonts w:cs="Times New Roman"/>
          <w:color w:val="0000FF"/>
        </w:rPr>
        <w:t>，日产生基坑废水约</w:t>
      </w:r>
      <w:r>
        <w:rPr>
          <w:rFonts w:hint="eastAsia" w:cs="Times New Roman"/>
          <w:color w:val="0000FF"/>
        </w:rPr>
        <w:t>43.23</w:t>
      </w:r>
      <w:r>
        <w:rPr>
          <w:rFonts w:cs="Times New Roman"/>
          <w:color w:val="0000FF"/>
        </w:rPr>
        <w:t>m</w:t>
      </w:r>
      <w:r>
        <w:rPr>
          <w:rFonts w:cs="Times New Roman"/>
          <w:color w:val="0000FF"/>
          <w:vertAlign w:val="superscript"/>
        </w:rPr>
        <w:t>3</w:t>
      </w:r>
      <w:r>
        <w:rPr>
          <w:rFonts w:cs="Times New Roman"/>
          <w:color w:val="0000FF"/>
        </w:rPr>
        <w:t>/d。要求本工程产生的基坑废水经集水井沉淀后回用于车辆洒水等。</w:t>
      </w:r>
    </w:p>
    <w:p w14:paraId="70B9C1F6">
      <w:pPr>
        <w:widowControl w:val="0"/>
        <w:ind w:firstLine="480" w:firstLineChars="200"/>
        <w:rPr>
          <w:rFonts w:cs="Times New Roman"/>
          <w:color w:val="0000FF"/>
        </w:rPr>
      </w:pPr>
      <w:r>
        <w:rPr>
          <w:rFonts w:cs="Times New Roman"/>
          <w:color w:val="0000FF"/>
        </w:rPr>
        <w:t>5、施工导流</w:t>
      </w:r>
    </w:p>
    <w:p w14:paraId="07444953">
      <w:pPr>
        <w:ind w:firstLine="480"/>
        <w:rPr>
          <w:rFonts w:cs="Times New Roman"/>
          <w:color w:val="0000FF"/>
        </w:rPr>
      </w:pPr>
      <w:r>
        <w:rPr>
          <w:rFonts w:cs="Times New Roman"/>
          <w:color w:val="0000FF"/>
        </w:rPr>
        <w:t>部分涵闸、机耕桥等新建或改建需要进行施工导流，导流形式较为简单，本工程导流方式主要</w:t>
      </w:r>
      <w:r>
        <w:rPr>
          <w:rFonts w:hint="eastAsia" w:cs="Times New Roman"/>
          <w:color w:val="0000FF"/>
        </w:rPr>
        <w:t>采用</w:t>
      </w:r>
      <w:r>
        <w:rPr>
          <w:rFonts w:cs="Times New Roman"/>
          <w:color w:val="0000FF"/>
        </w:rPr>
        <w:t>土围堰形式。施工导流施工期选择在降雨量较小进行，此时段内渠道水量较小，需导流水量也较小。施工导流在导流建筑物的建设过程中，即在围堰填筑、涵管铺设、围堰拆除过程中将使水中SS浓度</w:t>
      </w:r>
      <w:r>
        <w:rPr>
          <w:rFonts w:hint="eastAsia" w:cs="Times New Roman"/>
          <w:color w:val="0000FF"/>
        </w:rPr>
        <w:t>增加</w:t>
      </w:r>
      <w:r>
        <w:rPr>
          <w:rFonts w:cs="Times New Roman"/>
          <w:color w:val="0000FF"/>
        </w:rPr>
        <w:t>，根据类似工程，导流建筑物的建设对水质影响小，且本工程导流建筑物分布在各个施工段，施工时间短，工程量相对较小。因此，施工导流对地表水环境的影响</w:t>
      </w:r>
      <w:r>
        <w:rPr>
          <w:rFonts w:hint="eastAsia" w:cs="Times New Roman"/>
          <w:color w:val="0000FF"/>
        </w:rPr>
        <w:t>可接受</w:t>
      </w:r>
      <w:r>
        <w:rPr>
          <w:rFonts w:cs="Times New Roman"/>
          <w:color w:val="0000FF"/>
        </w:rPr>
        <w:t>。</w:t>
      </w:r>
    </w:p>
    <w:p w14:paraId="590379F1">
      <w:pPr>
        <w:ind w:firstLine="480" w:firstLineChars="200"/>
        <w:rPr>
          <w:rFonts w:cs="Times New Roman"/>
          <w:color w:val="0000FF"/>
        </w:rPr>
      </w:pPr>
      <w:r>
        <w:rPr>
          <w:rFonts w:cs="Times New Roman"/>
          <w:color w:val="0000FF"/>
        </w:rPr>
        <w:t>二、运营期地表水环境保护措施</w:t>
      </w:r>
    </w:p>
    <w:p w14:paraId="296B0795">
      <w:pPr>
        <w:widowControl w:val="0"/>
        <w:ind w:firstLine="480" w:firstLineChars="200"/>
        <w:rPr>
          <w:rFonts w:cs="Times New Roman"/>
          <w:color w:val="0000FF"/>
          <w:highlight w:val="yellow"/>
        </w:rPr>
      </w:pPr>
      <w:r>
        <w:rPr>
          <w:rFonts w:cs="Times New Roman"/>
          <w:color w:val="0000FF"/>
        </w:rPr>
        <w:t>本项目工程不新增管理房，不新增人员，故本项目无废水产生，对周边的地表水环境影响较小。</w:t>
      </w:r>
    </w:p>
    <w:p w14:paraId="36E5F5F3">
      <w:pPr>
        <w:widowControl w:val="0"/>
        <w:ind w:firstLine="480" w:firstLineChars="200"/>
        <w:rPr>
          <w:rFonts w:cs="Times New Roman"/>
          <w:color w:val="0000FF"/>
        </w:rPr>
      </w:pPr>
      <w:r>
        <w:rPr>
          <w:rFonts w:cs="Times New Roman"/>
          <w:color w:val="0000FF"/>
        </w:rPr>
        <w:t>由于工程周边以农田为主，灌区农药化肥施用以及灌溉退水可能会对水环境造成污染，本次工程已针对渠道部分未护砌段建设渠道护砌工程，并在部分渠道建设防渗治理工程，能有效避免灌区农药化肥施用以及灌溉退水对渠道内水质的影响。同时建议发展有机农业，通过精准施肥、调整化肥使用结构、改进施肥方式、有机肥替代化肥等路径，逐步控制化肥使用量。推进高效低毒低残留农药替代高毒高残留农药，推行精准科学施药和病虫害统防统治。选用低毒农药和缓释肥，推广测土配方施肥技术，</w:t>
      </w:r>
      <w:r>
        <w:rPr>
          <w:rFonts w:hint="eastAsia" w:cs="Times New Roman"/>
          <w:color w:val="0000FF"/>
        </w:rPr>
        <w:t>对周边水环境影响可接受</w:t>
      </w:r>
      <w:r>
        <w:rPr>
          <w:rFonts w:cs="Times New Roman"/>
          <w:color w:val="0000FF"/>
        </w:rPr>
        <w:t>。</w:t>
      </w:r>
    </w:p>
    <w:p w14:paraId="4F30F943">
      <w:pPr>
        <w:pStyle w:val="4"/>
        <w:rPr>
          <w:rFonts w:cs="Times New Roman"/>
          <w:color w:val="0000FF"/>
        </w:rPr>
      </w:pPr>
      <w:r>
        <w:rPr>
          <w:rFonts w:hint="eastAsia" w:cs="Times New Roman"/>
          <w:color w:val="0000FF"/>
        </w:rPr>
        <w:t xml:space="preserve">7.2.2 </w:t>
      </w:r>
      <w:r>
        <w:rPr>
          <w:rFonts w:cs="Times New Roman"/>
          <w:color w:val="0000FF"/>
        </w:rPr>
        <w:t>对沿线饮用水源的保护措施</w:t>
      </w:r>
    </w:p>
    <w:p w14:paraId="55E97AE3">
      <w:pPr>
        <w:widowControl w:val="0"/>
        <w:ind w:firstLine="480" w:firstLineChars="200"/>
        <w:rPr>
          <w:rFonts w:cs="Times New Roman"/>
          <w:color w:val="0000FF"/>
        </w:rPr>
      </w:pPr>
      <w:r>
        <w:rPr>
          <w:rFonts w:hint="eastAsia" w:cs="Times New Roman"/>
          <w:color w:val="0000FF"/>
        </w:rPr>
        <w:t>本项目工程范围内涉及12处饮用水水源保护区。其中樊通桥拆除重建工程、木南进水闸拆除重建、淠河总干渠上段工程等涉及六安市城区饮用水水源地保护区一级保护区；横排口进水闸翼墙加固、挡水墙加固以及淠河总干渠渠道护砌80m涉及苏埠镇饮用水水源保护区一级保护区；灯笼店涵、淠河1号涵、范大郢涵拆除重建涉及青山乡饮用水水源保护区一级保护区；果园山水库进水闸拆除重建涉及果园山水库饮用水水源一级保护区；淠东干渠70m防渗治理、新集放水涵涉及众兴、茶庵镇饮用水水源保护区一级保护区。</w:t>
      </w:r>
    </w:p>
    <w:p w14:paraId="1E842E78">
      <w:pPr>
        <w:widowControl w:val="0"/>
        <w:ind w:firstLine="480" w:firstLineChars="200"/>
        <w:rPr>
          <w:rFonts w:cs="Times New Roman"/>
          <w:color w:val="0000FF"/>
        </w:rPr>
      </w:pPr>
      <w:r>
        <w:rPr>
          <w:rFonts w:hint="eastAsia" w:cs="Times New Roman"/>
          <w:color w:val="0000FF"/>
        </w:rPr>
        <w:t>淠河总干渠上段工程渠道护砌10.753km、8座放水涵工程等涉及六安市城区饮用水水源地保护区二级保护区；淠河总干渠渠道护砌280m工程涉及苏埠镇饮用水水源保护区二级保护区；南楼涵、孙院涵、六合涵拆除重建涉及青山乡饮用水水源保护区二级保护区；滁河干渠总局直管段护砌、陆大郢渠下涵、吴大郢渠下涵、王大塘渠下涵、瞿岗渠下涵拆除重建涉及董铺水库、大房郢水库饮用水水源地保护区二级保护区；工程中沣西干渠渠道右岸护砌820m涉及乌龙镇陈楼水厂饮用水水源保护区二级保护区；唐墩涵、周圩涵、薛圩涵、小店涵、高庄农门、防渗治理涉及众兴、茶庵镇饮用水水源保护区二级保护区；郑岗一级泵站的拆除重建涉及小甸镇饮用水水源保护区二级保护区；张湾支渠进水闸、红旗节制闸、西河支渠进水闸涉及千人桥自来水厂饮用水水源保护区、千人桥上阳自来水厂饮用水水源保护区二级保护区。</w:t>
      </w:r>
    </w:p>
    <w:p w14:paraId="53741674">
      <w:pPr>
        <w:widowControl w:val="0"/>
        <w:ind w:firstLine="482" w:firstLineChars="200"/>
        <w:rPr>
          <w:rFonts w:cs="Times New Roman"/>
          <w:color w:val="0000FF"/>
        </w:rPr>
      </w:pPr>
      <w:r>
        <w:rPr>
          <w:rFonts w:hint="eastAsia" w:cs="Times New Roman"/>
          <w:b/>
          <w:bCs/>
          <w:color w:val="0000FF"/>
        </w:rPr>
        <w:t>对于涉及各饮用水水源地二级保护区的工程，采取的措施如下：</w:t>
      </w:r>
    </w:p>
    <w:p w14:paraId="041802A5">
      <w:pPr>
        <w:widowControl w:val="0"/>
        <w:ind w:firstLine="480" w:firstLineChars="200"/>
        <w:rPr>
          <w:rFonts w:cs="Times New Roman"/>
          <w:color w:val="0000FF"/>
        </w:rPr>
      </w:pPr>
      <w:r>
        <w:rPr>
          <w:rFonts w:hint="eastAsia" w:cs="Times New Roman"/>
          <w:color w:val="0000FF"/>
        </w:rPr>
        <w:t>1、不在饮用水水源保护区内设置施工生产区、生活区、取土场、弃土场，禁止在水源保护区范围内设置污染物处理设施、设备仓库和场地，施工场地、生活区的设置应与水源地保护区保持一定距离。</w:t>
      </w:r>
    </w:p>
    <w:p w14:paraId="27C9B94B">
      <w:pPr>
        <w:widowControl w:val="0"/>
        <w:ind w:firstLine="480" w:firstLineChars="200"/>
        <w:rPr>
          <w:rFonts w:cs="Times New Roman"/>
          <w:color w:val="0000FF"/>
        </w:rPr>
      </w:pPr>
      <w:r>
        <w:rPr>
          <w:rFonts w:hint="eastAsia" w:cs="Times New Roman"/>
          <w:color w:val="0000FF"/>
        </w:rPr>
        <w:t>2、建筑物工程施工围堰选用袋装土围堰，尽量减少围堰占地面积以及围堰填筑、拆除过程中悬浮物的产生。在水源保护区陆域内施工，施工期要严格控制施工作业范围，设置临时挡板，收集滑落的泥土、腐烂植物茎叶和杂物等，防止进入到水体中。</w:t>
      </w:r>
    </w:p>
    <w:p w14:paraId="36FBB2FC">
      <w:pPr>
        <w:widowControl w:val="0"/>
        <w:ind w:firstLine="480" w:firstLineChars="200"/>
        <w:rPr>
          <w:rFonts w:cs="Times New Roman"/>
          <w:color w:val="0000FF"/>
        </w:rPr>
      </w:pPr>
      <w:r>
        <w:rPr>
          <w:rFonts w:hint="eastAsia" w:cs="Times New Roman"/>
          <w:color w:val="0000FF"/>
        </w:rPr>
        <w:t>3、在涉及的饮用水水源地保护区设立明显的施工标志牌，标明保护区级别、范围以及主要的管理规定，同时应对施工人员加强水源地保护意识教育，禁止生产垃圾、施工人员生活垃圾等抛洒进入饮用水水源保护区。</w:t>
      </w:r>
    </w:p>
    <w:p w14:paraId="766CA47A">
      <w:pPr>
        <w:widowControl w:val="0"/>
        <w:ind w:firstLine="480" w:firstLineChars="200"/>
        <w:rPr>
          <w:rFonts w:cs="Times New Roman"/>
          <w:color w:val="0000FF"/>
        </w:rPr>
      </w:pPr>
      <w:r>
        <w:rPr>
          <w:rFonts w:hint="eastAsia" w:cs="Times New Roman"/>
          <w:color w:val="0000FF"/>
        </w:rPr>
        <w:t>4、在陆地与淠河总干渠交界处设置施工挡板，减少杂物掉落和水体扰动。</w:t>
      </w:r>
    </w:p>
    <w:p w14:paraId="067ADD69">
      <w:pPr>
        <w:widowControl w:val="0"/>
        <w:ind w:firstLine="480" w:firstLineChars="200"/>
        <w:rPr>
          <w:rFonts w:cs="Times New Roman"/>
          <w:color w:val="0000FF"/>
        </w:rPr>
      </w:pPr>
      <w:r>
        <w:rPr>
          <w:rFonts w:hint="eastAsia" w:cs="Times New Roman"/>
          <w:color w:val="0000FF"/>
        </w:rPr>
        <w:t>5、加强堤顶道路车辆的管理，严格限制社会车辆的通行，对于通行的渠道管护、水源保护车辆设置限宽、限高、限速以及限重等措施，限宽、限速以及限重采取设置标识标牌的形式，限高设置限高杆。</w:t>
      </w:r>
    </w:p>
    <w:p w14:paraId="45823C47">
      <w:pPr>
        <w:widowControl w:val="0"/>
        <w:ind w:firstLine="480" w:firstLineChars="200"/>
        <w:rPr>
          <w:rFonts w:cs="Times New Roman"/>
          <w:b/>
          <w:bCs/>
          <w:color w:val="0000FF"/>
        </w:rPr>
      </w:pPr>
      <w:r>
        <w:rPr>
          <w:rFonts w:hint="eastAsia" w:cs="Times New Roman"/>
          <w:color w:val="0000FF"/>
        </w:rPr>
        <w:t>6、不在施工区域进行机械维修，车辆冲洗等活动，避免含油废水进入渠道水体。</w:t>
      </w:r>
    </w:p>
    <w:p w14:paraId="00BCE52F">
      <w:pPr>
        <w:widowControl w:val="0"/>
        <w:ind w:firstLine="480" w:firstLineChars="200"/>
        <w:rPr>
          <w:rFonts w:cs="Times New Roman"/>
          <w:b/>
          <w:bCs/>
          <w:color w:val="0000FF"/>
        </w:rPr>
      </w:pPr>
      <w:r>
        <w:rPr>
          <w:rFonts w:hint="eastAsia" w:cs="Times New Roman"/>
          <w:color w:val="0000FF"/>
        </w:rPr>
        <w:t>7、施工前，工程施工单位需严格按照《安徽省饮用水水源地保护条例》《安徽省农村饮水安全工程管理办法》《农村饮用水水源地环境保护技术指南》（HJ2032-2013）等相关法律法规和技术规划进行，落实对饮用水水源地的水环境保护措施。</w:t>
      </w:r>
    </w:p>
    <w:p w14:paraId="151FFB8E">
      <w:pPr>
        <w:widowControl w:val="0"/>
        <w:ind w:firstLine="480" w:firstLineChars="200"/>
        <w:rPr>
          <w:rFonts w:cs="Times New Roman"/>
          <w:b/>
          <w:bCs/>
          <w:color w:val="0000FF"/>
        </w:rPr>
      </w:pPr>
      <w:r>
        <w:rPr>
          <w:rFonts w:hint="eastAsia" w:cs="Times New Roman"/>
          <w:color w:val="0000FF"/>
        </w:rPr>
        <w:t>8、严格落实水土保持措施以及合理安排工期以避开雨季，及时撒播草籽进行绿化恢复。</w:t>
      </w:r>
    </w:p>
    <w:p w14:paraId="734610B6">
      <w:pPr>
        <w:widowControl w:val="0"/>
        <w:ind w:firstLine="482" w:firstLineChars="200"/>
        <w:rPr>
          <w:rFonts w:cs="Times New Roman"/>
          <w:color w:val="0000FF"/>
        </w:rPr>
      </w:pPr>
      <w:r>
        <w:rPr>
          <w:rFonts w:hint="eastAsia" w:cs="Times New Roman"/>
          <w:b/>
          <w:bCs/>
          <w:color w:val="0000FF"/>
        </w:rPr>
        <w:t>对于涉及各饮用水水源地一级保护区的工程，在落实二级保护区保护措施下，还应采取的措施如下：</w:t>
      </w:r>
    </w:p>
    <w:p w14:paraId="11616040">
      <w:pPr>
        <w:widowControl w:val="0"/>
        <w:ind w:firstLine="480" w:firstLineChars="200"/>
        <w:rPr>
          <w:rFonts w:cs="Times New Roman"/>
          <w:color w:val="0000FF"/>
        </w:rPr>
      </w:pPr>
      <w:r>
        <w:rPr>
          <w:rFonts w:hint="eastAsia" w:cs="Times New Roman"/>
          <w:color w:val="0000FF"/>
        </w:rPr>
        <w:t>1、根据《关于&lt;水污染防治法&gt;中饮用水水源保护有关规定进行法律解释有关意见的复函》，应当在施工前编制饮用水水源地突发事件应急处理方案。</w:t>
      </w:r>
    </w:p>
    <w:p w14:paraId="09A9FFDC">
      <w:pPr>
        <w:widowControl w:val="0"/>
        <w:ind w:firstLine="480" w:firstLineChars="200"/>
        <w:rPr>
          <w:rFonts w:cs="Times New Roman"/>
          <w:color w:val="0000FF"/>
        </w:rPr>
      </w:pPr>
      <w:r>
        <w:rPr>
          <w:rFonts w:hint="eastAsia" w:cs="Times New Roman"/>
          <w:color w:val="0000FF"/>
        </w:rPr>
        <w:t>2、淠河总干渠上段滑坡治理工程位于六安市一水厂取水口下游5m，果园山进水闸拆除重建工程位于果园山水库取水口北侧，距离约为30m，距离较近。建设单位需分别与果园山水厂、六安市一水厂沟通，双方协商确定在水源地保护区范围内施工时间，尽量错开水厂取水时段，减免对取水水质的影响；布设防污屏以减缓和避免对果园山水库水质的影响。</w:t>
      </w:r>
    </w:p>
    <w:p w14:paraId="338FB296">
      <w:pPr>
        <w:widowControl w:val="0"/>
        <w:ind w:firstLine="480" w:firstLineChars="200"/>
        <w:rPr>
          <w:rFonts w:cs="Times New Roman"/>
          <w:color w:val="0000FF"/>
        </w:rPr>
      </w:pPr>
      <w:r>
        <w:rPr>
          <w:rFonts w:hint="eastAsia" w:cs="Times New Roman"/>
          <w:color w:val="0000FF"/>
        </w:rPr>
        <w:t>3、严格落实施工过程中的废水处理措施：混凝土养护废水沉淀处理后回用、车辆和机械保养冲洗废水隔油沉淀处理后回用、基坑排水静置沉淀后回用，不外排。</w:t>
      </w:r>
    </w:p>
    <w:p w14:paraId="41A83C43">
      <w:pPr>
        <w:widowControl w:val="0"/>
        <w:ind w:firstLine="480" w:firstLineChars="200"/>
        <w:rPr>
          <w:rFonts w:cs="Times New Roman"/>
          <w:color w:val="0000FF"/>
        </w:rPr>
      </w:pPr>
      <w:r>
        <w:rPr>
          <w:rFonts w:hint="eastAsia" w:cs="Times New Roman"/>
          <w:color w:val="0000FF"/>
        </w:rPr>
        <w:t>4、施工材料按照要求存放在施工仓库，远离各饮用水水源地，并用塑料薄膜进行苫盖，以防止粉尘等随雨水进入饮用水区域，影响水质。</w:t>
      </w:r>
    </w:p>
    <w:p w14:paraId="021B2ECA">
      <w:pPr>
        <w:widowControl w:val="0"/>
        <w:ind w:firstLine="480" w:firstLineChars="200"/>
        <w:rPr>
          <w:rFonts w:cs="Times New Roman"/>
          <w:b/>
          <w:bCs/>
          <w:color w:val="0000FF"/>
        </w:rPr>
      </w:pPr>
      <w:r>
        <w:rPr>
          <w:rFonts w:hint="eastAsia" w:cs="Times New Roman"/>
          <w:color w:val="0000FF"/>
        </w:rPr>
        <w:t>5、建设单位要制定工程施工期水污染风险预案，加强水源地取水口水质监测，出现水厂水质因工程施工不符合卫生标准的情况，工程施工应立即停工，等当地环保部门复工通知后方可继续施工。</w:t>
      </w:r>
    </w:p>
    <w:p w14:paraId="5A223583">
      <w:pPr>
        <w:pStyle w:val="4"/>
        <w:rPr>
          <w:rFonts w:cs="Times New Roman"/>
          <w:color w:val="0000FF"/>
        </w:rPr>
      </w:pPr>
      <w:r>
        <w:rPr>
          <w:rFonts w:cs="Times New Roman"/>
          <w:color w:val="0000FF"/>
        </w:rPr>
        <w:t>7.2.</w:t>
      </w:r>
      <w:r>
        <w:rPr>
          <w:rFonts w:hint="eastAsia" w:cs="Times New Roman"/>
          <w:color w:val="0000FF"/>
        </w:rPr>
        <w:t>3</w:t>
      </w:r>
      <w:r>
        <w:rPr>
          <w:rFonts w:cs="Times New Roman"/>
          <w:color w:val="0000FF"/>
        </w:rPr>
        <w:t xml:space="preserve"> </w:t>
      </w:r>
      <w:r>
        <w:rPr>
          <w:rFonts w:hint="eastAsia" w:cs="Times New Roman"/>
          <w:color w:val="0000FF"/>
        </w:rPr>
        <w:t>对国控、省控断面的保护措施</w:t>
      </w:r>
    </w:p>
    <w:p w14:paraId="57FCADE3">
      <w:pPr>
        <w:widowControl w:val="0"/>
        <w:ind w:firstLine="480" w:firstLineChars="200"/>
        <w:rPr>
          <w:rFonts w:cs="Times New Roman"/>
          <w:b/>
          <w:bCs/>
          <w:color w:val="0000FF"/>
        </w:rPr>
      </w:pPr>
      <w:r>
        <w:rPr>
          <w:rFonts w:hint="eastAsia" w:cs="Times New Roman"/>
          <w:color w:val="0000FF"/>
        </w:rPr>
        <w:t>本项目涉及的省控断面包括六安市横排头、六安市一水厂取水口、六安市东城水厂水源地；国考断面主要是淠东干渠六淮界；市级考核断面主要是果园山水库。</w:t>
      </w:r>
    </w:p>
    <w:p w14:paraId="4C3785A7">
      <w:pPr>
        <w:widowControl w:val="0"/>
        <w:ind w:firstLine="480" w:firstLineChars="200"/>
        <w:rPr>
          <w:rFonts w:cs="Times New Roman"/>
          <w:color w:val="0000FF"/>
        </w:rPr>
      </w:pPr>
      <w:r>
        <w:rPr>
          <w:rFonts w:hint="eastAsia" w:cs="Times New Roman"/>
          <w:color w:val="0000FF"/>
        </w:rPr>
        <w:t>针对以上涉及的省控断面、国考断面以及市级考核断面，将采取以下措施：</w:t>
      </w:r>
    </w:p>
    <w:p w14:paraId="262AA23D">
      <w:pPr>
        <w:widowControl w:val="0"/>
        <w:ind w:firstLine="480" w:firstLineChars="200"/>
        <w:rPr>
          <w:rFonts w:cs="Times New Roman"/>
          <w:color w:val="0000FF"/>
        </w:rPr>
      </w:pPr>
      <w:r>
        <w:rPr>
          <w:rFonts w:hint="eastAsia" w:cs="Times New Roman"/>
          <w:color w:val="0000FF"/>
        </w:rPr>
        <w:t>1、施工期中施工围堰、施工导流等必要工程的临时占地上游选址要求距离监测断面至少1000m，下游选址至少500m；</w:t>
      </w:r>
    </w:p>
    <w:p w14:paraId="3E97722B">
      <w:pPr>
        <w:widowControl w:val="0"/>
        <w:ind w:firstLine="480" w:firstLineChars="200"/>
        <w:rPr>
          <w:rFonts w:cs="Times New Roman"/>
          <w:color w:val="0000FF"/>
        </w:rPr>
      </w:pPr>
      <w:r>
        <w:rPr>
          <w:rFonts w:hint="eastAsia" w:cs="Times New Roman"/>
          <w:color w:val="0000FF"/>
        </w:rPr>
        <w:t>2、在省控、国控等断面范围附近的工程，施工期要严格控制施工作业范围，设置临时挡板收集滑落的泥土、腐烂植物茎叶和杂物等，防止进入到水体中；</w:t>
      </w:r>
    </w:p>
    <w:p w14:paraId="29391EDF">
      <w:pPr>
        <w:widowControl w:val="0"/>
        <w:ind w:firstLine="480" w:firstLineChars="200"/>
        <w:rPr>
          <w:rFonts w:cs="Times New Roman"/>
          <w:color w:val="0000FF"/>
        </w:rPr>
      </w:pPr>
      <w:r>
        <w:rPr>
          <w:rFonts w:hint="eastAsia" w:cs="Times New Roman"/>
          <w:color w:val="0000FF"/>
        </w:rPr>
        <w:t>3、在涉及的省控、国控断面等设立明显的施工标志牌，标明保护范围以及主要的管理规定。对施工人员加强水源地保护意识教育，禁止生产垃圾、施工人员生活垃圾等抛洒进入省控、国控断面；</w:t>
      </w:r>
    </w:p>
    <w:p w14:paraId="532A1305">
      <w:pPr>
        <w:widowControl w:val="0"/>
        <w:ind w:firstLine="480" w:firstLineChars="200"/>
        <w:rPr>
          <w:rFonts w:cs="Times New Roman"/>
          <w:color w:val="0000FF"/>
        </w:rPr>
      </w:pPr>
      <w:r>
        <w:rPr>
          <w:rFonts w:hint="eastAsia" w:cs="Times New Roman"/>
          <w:color w:val="0000FF"/>
        </w:rPr>
        <w:t>4、严格落实施工期水污染防治措施，错峰施工，最大程度减少断面附近水体扰动；</w:t>
      </w:r>
    </w:p>
    <w:p w14:paraId="04CAF55F">
      <w:pPr>
        <w:widowControl w:val="0"/>
        <w:ind w:firstLine="480" w:firstLineChars="200"/>
        <w:rPr>
          <w:rFonts w:cs="Times New Roman"/>
          <w:color w:val="0000FF"/>
        </w:rPr>
      </w:pPr>
      <w:r>
        <w:rPr>
          <w:rFonts w:hint="eastAsia" w:cs="Times New Roman"/>
          <w:color w:val="0000FF"/>
        </w:rPr>
        <w:t>5、建设单位要制定工程施工期水污染风险预案，出现断面水质因工程施工不符合相应标准的情况，工程施工应立即停工，等当地生态环境部门复工通知后方可继续施工。</w:t>
      </w:r>
    </w:p>
    <w:p w14:paraId="60FDE8CE">
      <w:pPr>
        <w:widowControl w:val="0"/>
        <w:ind w:firstLine="480" w:firstLineChars="200"/>
        <w:rPr>
          <w:rFonts w:cs="Times New Roman"/>
          <w:b/>
          <w:bCs/>
          <w:color w:val="0000FF"/>
        </w:rPr>
      </w:pPr>
      <w:r>
        <w:rPr>
          <w:rFonts w:hint="eastAsia" w:cs="Times New Roman"/>
          <w:color w:val="0000FF"/>
        </w:rPr>
        <w:t>6、施工前，建设单位根据国家对国控断面的管控要求，安徽省对省控断面影响范围内水利工程建设，合肥市对市级考核断面影响范围内的水利工程建设要求，完善相关手续。</w:t>
      </w:r>
    </w:p>
    <w:p w14:paraId="6AA39AC6">
      <w:pPr>
        <w:widowControl w:val="0"/>
        <w:adjustRightInd w:val="0"/>
        <w:jc w:val="both"/>
        <w:textAlignment w:val="center"/>
        <w:outlineLvl w:val="1"/>
        <w:rPr>
          <w:rFonts w:eastAsia="黑体" w:cs="Times New Roman"/>
          <w:bCs/>
          <w:color w:val="0000FF"/>
        </w:rPr>
      </w:pPr>
      <w:bookmarkStart w:id="80" w:name="_Toc14509"/>
      <w:r>
        <w:rPr>
          <w:rFonts w:eastAsia="黑体" w:cs="Times New Roman"/>
          <w:bCs/>
          <w:color w:val="0000FF"/>
        </w:rPr>
        <w:t>7.3 声环境保护措施</w:t>
      </w:r>
      <w:bookmarkEnd w:id="80"/>
    </w:p>
    <w:p w14:paraId="4AD533AC">
      <w:pPr>
        <w:pStyle w:val="4"/>
        <w:rPr>
          <w:rFonts w:cs="Times New Roman"/>
          <w:color w:val="0000FF"/>
        </w:rPr>
      </w:pPr>
      <w:r>
        <w:rPr>
          <w:rFonts w:cs="Times New Roman"/>
          <w:color w:val="0000FF"/>
        </w:rPr>
        <w:t>7.3.1噪声源控制</w:t>
      </w:r>
    </w:p>
    <w:p w14:paraId="2DDCC8D0">
      <w:pPr>
        <w:widowControl w:val="0"/>
        <w:numPr>
          <w:ilvl w:val="0"/>
          <w:numId w:val="2"/>
        </w:numPr>
        <w:ind w:firstLine="480"/>
        <w:rPr>
          <w:rFonts w:cs="Times New Roman"/>
          <w:color w:val="0000FF"/>
        </w:rPr>
      </w:pPr>
      <w:r>
        <w:rPr>
          <w:rFonts w:cs="Times New Roman"/>
          <w:color w:val="0000FF"/>
        </w:rPr>
        <w:t>施工机械噪声应符合噪声控制标准要求，改进施工技术，选用低噪声的设备和工艺，对振动大的机械设备使用减振机座或减振垫，可从根本上降低噪声源强；加强机械设备的维修和保养，保持机械润滑，减少运行噪声；</w:t>
      </w:r>
    </w:p>
    <w:p w14:paraId="261B13BB">
      <w:pPr>
        <w:widowControl w:val="0"/>
        <w:numPr>
          <w:ilvl w:val="0"/>
          <w:numId w:val="2"/>
        </w:numPr>
        <w:ind w:firstLine="480"/>
        <w:rPr>
          <w:rFonts w:cs="Times New Roman"/>
          <w:color w:val="0000FF"/>
        </w:rPr>
      </w:pPr>
      <w:r>
        <w:rPr>
          <w:rFonts w:cs="Times New Roman"/>
          <w:color w:val="0000FF"/>
        </w:rPr>
        <w:t>在居民稠密区需要进行强噪声作业的，严格控制作业时间，晚间作业</w:t>
      </w:r>
      <w:r>
        <w:rPr>
          <w:rFonts w:hint="eastAsia" w:cs="Times New Roman"/>
          <w:color w:val="0000FF"/>
        </w:rPr>
        <w:t>不</w:t>
      </w:r>
      <w:r>
        <w:rPr>
          <w:rFonts w:cs="Times New Roman"/>
          <w:color w:val="0000FF"/>
        </w:rPr>
        <w:t>超过22点，早晨作业不早于6时，特殊情况需连续作业（或夜间作业）的，优先采取降噪措施，事先做好周边群众的工作，并向有关部门备案后方可施工。</w:t>
      </w:r>
    </w:p>
    <w:p w14:paraId="3EC4368E">
      <w:pPr>
        <w:widowControl w:val="0"/>
        <w:numPr>
          <w:ilvl w:val="0"/>
          <w:numId w:val="2"/>
        </w:numPr>
        <w:ind w:firstLine="480"/>
        <w:rPr>
          <w:rFonts w:cs="Times New Roman"/>
          <w:color w:val="0000FF"/>
        </w:rPr>
      </w:pPr>
      <w:r>
        <w:rPr>
          <w:rFonts w:cs="Times New Roman"/>
          <w:color w:val="0000FF"/>
        </w:rPr>
        <w:t>限速牌主要设置在各居民点出入口处及学校附近，每个敏感点两端各设置一块；</w:t>
      </w:r>
    </w:p>
    <w:p w14:paraId="4BF980D3">
      <w:pPr>
        <w:widowControl w:val="0"/>
        <w:numPr>
          <w:ilvl w:val="0"/>
          <w:numId w:val="2"/>
        </w:numPr>
        <w:ind w:firstLine="480"/>
        <w:rPr>
          <w:rFonts w:cs="Times New Roman"/>
          <w:color w:val="0000FF"/>
        </w:rPr>
      </w:pPr>
      <w:r>
        <w:rPr>
          <w:rFonts w:cs="Times New Roman"/>
          <w:color w:val="0000FF"/>
        </w:rPr>
        <w:t>封闭施工应在施工场界设置围挡，郊区围挡高度不低于1.8m，城市围挡高度不低于2.5m。</w:t>
      </w:r>
    </w:p>
    <w:p w14:paraId="22309625">
      <w:pPr>
        <w:widowControl w:val="0"/>
        <w:ind w:firstLine="480" w:firstLineChars="200"/>
        <w:rPr>
          <w:rFonts w:cs="Times New Roman"/>
          <w:color w:val="0000FF"/>
          <w:highlight w:val="yellow"/>
        </w:rPr>
      </w:pPr>
      <w:r>
        <w:rPr>
          <w:rFonts w:hint="eastAsia" w:cs="Times New Roman"/>
          <w:color w:val="0000FF"/>
        </w:rPr>
        <w:t>5、</w:t>
      </w:r>
      <w:r>
        <w:rPr>
          <w:rFonts w:cs="Times New Roman"/>
          <w:color w:val="0000FF"/>
        </w:rPr>
        <w:t>郑岗泵站重建工程在施工期应加强施工设备的保养修护，在主要噪音音源部位采用吸音材料进行半封闭隔音，减轻噪音，夜间禁止施工；运营期间在水泵下方设置隔声垫，周边设置隔声屏障，在靠近小学的一侧设置隔声装置，减少噪声对希望小学的影响。</w:t>
      </w:r>
    </w:p>
    <w:p w14:paraId="20E87690">
      <w:pPr>
        <w:pStyle w:val="4"/>
        <w:rPr>
          <w:rFonts w:cs="Times New Roman"/>
          <w:color w:val="0000FF"/>
        </w:rPr>
      </w:pPr>
      <w:r>
        <w:rPr>
          <w:rFonts w:cs="Times New Roman"/>
          <w:color w:val="0000FF"/>
        </w:rPr>
        <w:t>7.3.2噪声传播途径控制</w:t>
      </w:r>
    </w:p>
    <w:p w14:paraId="11110D61">
      <w:pPr>
        <w:widowControl w:val="0"/>
        <w:numPr>
          <w:ilvl w:val="0"/>
          <w:numId w:val="3"/>
        </w:numPr>
        <w:ind w:firstLine="480" w:firstLineChars="200"/>
        <w:rPr>
          <w:rFonts w:cs="Times New Roman"/>
          <w:color w:val="0000FF"/>
        </w:rPr>
      </w:pPr>
      <w:r>
        <w:rPr>
          <w:rFonts w:cs="Times New Roman"/>
          <w:color w:val="0000FF"/>
        </w:rPr>
        <w:t>合理安排施工区和办公生活区位置，噪声大的施工机械应尽可能远离办公生活区和居民区；</w:t>
      </w:r>
    </w:p>
    <w:p w14:paraId="794D9CE0">
      <w:pPr>
        <w:widowControl w:val="0"/>
        <w:numPr>
          <w:ilvl w:val="0"/>
          <w:numId w:val="3"/>
        </w:numPr>
        <w:ind w:firstLine="480" w:firstLineChars="200"/>
        <w:rPr>
          <w:rFonts w:cs="Times New Roman"/>
          <w:color w:val="0000FF"/>
        </w:rPr>
      </w:pPr>
      <w:r>
        <w:rPr>
          <w:rFonts w:cs="Times New Roman"/>
          <w:color w:val="0000FF"/>
        </w:rPr>
        <w:t>合理布局施工场地，对建筑物施工区附近，受施工噪声污染较为严重的集中居民点设简易隔声墙进行噪声防护，保证厂界噪声值满足《建筑施工场界环境噪声排放标准》中相应标准限值。</w:t>
      </w:r>
    </w:p>
    <w:p w14:paraId="65E12785">
      <w:pPr>
        <w:pStyle w:val="4"/>
        <w:rPr>
          <w:rFonts w:cs="Times New Roman"/>
          <w:color w:val="0000FF"/>
        </w:rPr>
      </w:pPr>
      <w:r>
        <w:rPr>
          <w:rFonts w:cs="Times New Roman"/>
          <w:color w:val="0000FF"/>
        </w:rPr>
        <w:t>7.3.3施工管理</w:t>
      </w:r>
    </w:p>
    <w:p w14:paraId="30FC7DB9">
      <w:pPr>
        <w:widowControl w:val="0"/>
        <w:ind w:firstLine="480" w:firstLineChars="200"/>
        <w:rPr>
          <w:rFonts w:cs="Times New Roman"/>
          <w:color w:val="0000FF"/>
        </w:rPr>
      </w:pPr>
      <w:r>
        <w:rPr>
          <w:rFonts w:cs="Times New Roman"/>
          <w:color w:val="0000FF"/>
        </w:rPr>
        <w:t>根据声环境敏感目标调查结果，工程沿线200m以内的声敏感点分布较多，已统计</w:t>
      </w:r>
      <w:r>
        <w:rPr>
          <w:rFonts w:hint="eastAsia" w:cs="Times New Roman"/>
          <w:color w:val="0000FF"/>
        </w:rPr>
        <w:t>389</w:t>
      </w:r>
      <w:r>
        <w:rPr>
          <w:rFonts w:cs="Times New Roman"/>
          <w:color w:val="0000FF"/>
        </w:rPr>
        <w:t>个，考虑20%合并统计</w:t>
      </w:r>
      <w:r>
        <w:rPr>
          <w:rFonts w:hint="eastAsia" w:cs="Times New Roman"/>
          <w:color w:val="0000FF"/>
        </w:rPr>
        <w:t>，则为486个</w:t>
      </w:r>
      <w:r>
        <w:rPr>
          <w:rFonts w:cs="Times New Roman"/>
          <w:color w:val="0000FF"/>
        </w:rPr>
        <w:t>；根据声环境影响预测与评价，在采取禁止夜间施工，采用低噪声设备，施工机械远离居民住宅，设置移动声屏障等措施的前提下，沿线居民点声环境质量均能达到相应的标准。</w:t>
      </w:r>
    </w:p>
    <w:p w14:paraId="77FD059B">
      <w:pPr>
        <w:widowControl w:val="0"/>
        <w:ind w:firstLine="480" w:firstLineChars="200"/>
        <w:rPr>
          <w:rFonts w:cs="Times New Roman"/>
          <w:color w:val="0000FF"/>
        </w:rPr>
      </w:pPr>
      <w:r>
        <w:rPr>
          <w:rFonts w:cs="Times New Roman"/>
          <w:color w:val="0000FF"/>
        </w:rPr>
        <w:t>根据现场地理条件和敏感点分布情况，结合敏感点噪声预测，沿线居民点声环境质量均能达到相应的标准。因此，本工程产生的噪声对居民点产生影响的主要分布在各渠道沿线，需加强其施工管理，从而减缓噪声对居民的影响。</w:t>
      </w:r>
    </w:p>
    <w:p w14:paraId="496D7312">
      <w:pPr>
        <w:widowControl w:val="0"/>
        <w:ind w:firstLine="480" w:firstLineChars="200"/>
        <w:rPr>
          <w:rFonts w:cs="Times New Roman"/>
          <w:color w:val="0000FF"/>
        </w:rPr>
      </w:pPr>
      <w:r>
        <w:rPr>
          <w:rFonts w:cs="Times New Roman"/>
          <w:color w:val="0000FF"/>
        </w:rPr>
        <w:t>结合工程实际情况，从以下几个方面加强施工管理：</w:t>
      </w:r>
    </w:p>
    <w:p w14:paraId="05BCE0AC">
      <w:pPr>
        <w:widowControl w:val="0"/>
        <w:ind w:firstLine="480" w:firstLineChars="200"/>
        <w:rPr>
          <w:rFonts w:cs="Times New Roman"/>
          <w:color w:val="0000FF"/>
        </w:rPr>
      </w:pPr>
      <w:r>
        <w:rPr>
          <w:rFonts w:cs="Times New Roman"/>
          <w:color w:val="0000FF"/>
        </w:rPr>
        <w:t>（1）合理安排施工时间，禁止夜间施工；在居民集中的施工段，在人们睡眠休息时间午间12：00～14：00禁止施工；合理安排施工工序，对同一施工段涉及多项施工内容时，避开同步施工，分项施工，避免增加噪声贡献值。</w:t>
      </w:r>
    </w:p>
    <w:p w14:paraId="40BBAF44">
      <w:pPr>
        <w:widowControl w:val="0"/>
        <w:ind w:firstLine="480" w:firstLineChars="200"/>
        <w:rPr>
          <w:rFonts w:cs="Times New Roman"/>
          <w:color w:val="0000FF"/>
        </w:rPr>
      </w:pPr>
      <w:r>
        <w:rPr>
          <w:rFonts w:cs="Times New Roman"/>
          <w:color w:val="0000FF"/>
        </w:rPr>
        <w:t>（2）施工单位应加强对施工队伍的管理，倡导文明施工；避免多种大型机械设备同时施工，干扰附近居民休息；同时，结合施工区所列的环境敏感目标设置警示牌限速牌。</w:t>
      </w:r>
    </w:p>
    <w:p w14:paraId="114283B3">
      <w:pPr>
        <w:widowControl w:val="0"/>
        <w:ind w:firstLine="480" w:firstLineChars="200"/>
        <w:rPr>
          <w:rFonts w:cs="Times New Roman"/>
          <w:color w:val="0000FF"/>
        </w:rPr>
      </w:pPr>
      <w:r>
        <w:rPr>
          <w:rFonts w:cs="Times New Roman"/>
          <w:color w:val="0000FF"/>
        </w:rPr>
        <w:t>（3）优化施工布置，控制施工时间安排，降低噪声影响，保证施工区周边居民点的声环境质量达到《声环境质量标准》（GB3096-2008）1、2类标准。</w:t>
      </w:r>
    </w:p>
    <w:p w14:paraId="210743F9">
      <w:pPr>
        <w:widowControl w:val="0"/>
        <w:ind w:firstLine="480" w:firstLineChars="200"/>
        <w:rPr>
          <w:rFonts w:cs="Times New Roman"/>
          <w:color w:val="0000FF"/>
        </w:rPr>
      </w:pPr>
      <w:r>
        <w:rPr>
          <w:rFonts w:cs="Times New Roman"/>
          <w:color w:val="0000FF"/>
        </w:rPr>
        <w:t>（4）加强施工期噪声监测，项目所在区域地势平坦，噪声影响范围大；施工期环境监测单位应加强对声环境敏感点的噪声监测，尤其是建筑物工程上游附近的敏感点的噪声监测，对于噪声超标的区域，及时反馈建设单位，督促施工单位加以规范，确保敏感点声环境功能区达标。</w:t>
      </w:r>
    </w:p>
    <w:p w14:paraId="72B5095A">
      <w:pPr>
        <w:widowControl w:val="0"/>
        <w:ind w:firstLine="480" w:firstLineChars="200"/>
        <w:rPr>
          <w:rFonts w:cs="Times New Roman"/>
          <w:color w:val="0000FF"/>
        </w:rPr>
      </w:pPr>
      <w:r>
        <w:rPr>
          <w:rFonts w:cs="Times New Roman"/>
          <w:color w:val="0000FF"/>
        </w:rPr>
        <w:t>（5）因工程需要，确需夜间施工或多种大型机械设备同时施工，会导致工程所在区域居民点声环境功能区不达标的，建设单位应向当地政府部门环境保护主管申请，并在可能受影响的区域张贴公告，经生态环境主管部门批准后方可施工。</w:t>
      </w:r>
    </w:p>
    <w:p w14:paraId="4920786C">
      <w:pPr>
        <w:pStyle w:val="4"/>
        <w:rPr>
          <w:rFonts w:cs="Times New Roman"/>
          <w:color w:val="0000FF"/>
        </w:rPr>
      </w:pPr>
      <w:r>
        <w:rPr>
          <w:rFonts w:cs="Times New Roman"/>
          <w:color w:val="0000FF"/>
        </w:rPr>
        <w:t>7.3.4受体保护措施</w:t>
      </w:r>
    </w:p>
    <w:p w14:paraId="167D0CDD">
      <w:pPr>
        <w:widowControl w:val="0"/>
        <w:ind w:firstLine="482" w:firstLineChars="200"/>
        <w:rPr>
          <w:rFonts w:cs="Times New Roman"/>
          <w:b/>
          <w:bCs/>
          <w:color w:val="0000FF"/>
        </w:rPr>
      </w:pPr>
      <w:r>
        <w:rPr>
          <w:rFonts w:cs="Times New Roman"/>
          <w:b/>
          <w:bCs/>
          <w:color w:val="0000FF"/>
        </w:rPr>
        <w:t>一、居民敏感点保护措施</w:t>
      </w:r>
    </w:p>
    <w:p w14:paraId="0F12ABC9">
      <w:pPr>
        <w:widowControl w:val="0"/>
        <w:ind w:firstLine="480" w:firstLineChars="200"/>
        <w:rPr>
          <w:rFonts w:cs="Times New Roman"/>
          <w:color w:val="0000FF"/>
        </w:rPr>
      </w:pPr>
      <w:r>
        <w:rPr>
          <w:rFonts w:cs="Times New Roman"/>
          <w:color w:val="0000FF"/>
        </w:rPr>
        <w:t>（1）交通运行噪声影响居民点保护措施：施工运输道路经过村庄及集中居民点时，在居民区前50m处设置限速标志，控制车速在20km/h以下，并禁止鸣笛，同时避免在居民午休时间及夜间进行运输活动。</w:t>
      </w:r>
    </w:p>
    <w:p w14:paraId="53627604">
      <w:pPr>
        <w:widowControl w:val="0"/>
        <w:ind w:firstLine="480" w:firstLineChars="200"/>
        <w:rPr>
          <w:rFonts w:cs="Times New Roman"/>
          <w:color w:val="0000FF"/>
        </w:rPr>
      </w:pPr>
      <w:r>
        <w:rPr>
          <w:rFonts w:cs="Times New Roman"/>
          <w:color w:val="0000FF"/>
        </w:rPr>
        <w:t>（2）防汛道路施工影响居民点保护措施：对防汛道路从现有村庄内部穿过或经村边穿过的，应在靠近居民点的一侧设置移动隔声屏障。隔声屏障选用当地常用的金属或者合成材料结构，根据各工程施工进度安排，隔声屏障可采用可拆卸式结构以便重复利用，高度应不小于2m。</w:t>
      </w:r>
    </w:p>
    <w:p w14:paraId="725C6B07">
      <w:pPr>
        <w:widowControl w:val="0"/>
        <w:ind w:firstLine="480" w:firstLineChars="200"/>
        <w:rPr>
          <w:rFonts w:cs="Times New Roman"/>
          <w:color w:val="0000FF"/>
        </w:rPr>
      </w:pPr>
      <w:r>
        <w:rPr>
          <w:rFonts w:cs="Times New Roman"/>
          <w:color w:val="0000FF"/>
        </w:rPr>
        <w:t>（3）渠道工程施工影响居民点保护措施：本环评要求建筑物工程施工时必须设置施工围挡，郊区围挡高度不低于1.8m，城市围挡高度不低于2.5m。同时在建筑物附近的敏感点设置移动隔声屏障，以进一步消减噪声。移动声屏障考虑重复利用，</w:t>
      </w:r>
      <w:r>
        <w:rPr>
          <w:rFonts w:hint="eastAsia" w:cs="Times New Roman"/>
          <w:color w:val="0000FF"/>
        </w:rPr>
        <w:t>不再</w:t>
      </w:r>
      <w:r>
        <w:rPr>
          <w:rFonts w:cs="Times New Roman"/>
          <w:color w:val="0000FF"/>
        </w:rPr>
        <w:t>另计。</w:t>
      </w:r>
    </w:p>
    <w:p w14:paraId="7FCBDAC7">
      <w:pPr>
        <w:widowControl w:val="0"/>
        <w:ind w:firstLine="480" w:firstLineChars="200"/>
        <w:rPr>
          <w:rFonts w:cs="Times New Roman"/>
          <w:color w:val="0000FF"/>
        </w:rPr>
      </w:pPr>
      <w:r>
        <w:rPr>
          <w:rFonts w:cs="Times New Roman"/>
          <w:color w:val="0000FF"/>
        </w:rPr>
        <w:t>（4）可根据郑岗泵站实际运行对周边居民点、希望学校的噪声</w:t>
      </w:r>
      <w:r>
        <w:rPr>
          <w:rFonts w:hint="eastAsia" w:cs="Times New Roman"/>
          <w:color w:val="0000FF"/>
        </w:rPr>
        <w:t>监测数据</w:t>
      </w:r>
      <w:r>
        <w:rPr>
          <w:rFonts w:cs="Times New Roman"/>
          <w:color w:val="0000FF"/>
        </w:rPr>
        <w:t>，在居民点、学校附近靠近泵站侧设置隔声屏障。</w:t>
      </w:r>
    </w:p>
    <w:p w14:paraId="37B4D642">
      <w:pPr>
        <w:widowControl w:val="0"/>
        <w:ind w:firstLine="482" w:firstLineChars="200"/>
        <w:rPr>
          <w:rFonts w:cs="Times New Roman"/>
          <w:b/>
          <w:bCs/>
          <w:color w:val="0000FF"/>
        </w:rPr>
      </w:pPr>
      <w:r>
        <w:rPr>
          <w:rFonts w:cs="Times New Roman"/>
          <w:b/>
          <w:bCs/>
          <w:color w:val="0000FF"/>
        </w:rPr>
        <w:t>二、施工人员保护措施</w:t>
      </w:r>
    </w:p>
    <w:p w14:paraId="541DDE94">
      <w:pPr>
        <w:widowControl w:val="0"/>
        <w:ind w:firstLine="480" w:firstLineChars="200"/>
        <w:rPr>
          <w:rFonts w:cs="Times New Roman"/>
          <w:color w:val="0000FF"/>
        </w:rPr>
      </w:pPr>
      <w:r>
        <w:rPr>
          <w:rFonts w:cs="Times New Roman"/>
          <w:color w:val="0000FF"/>
        </w:rPr>
        <w:t>高噪声环境下的施工作业人员、每人每天的工作时间不超过6h。给受噪声影响大的施工人员配发噪声防护用具，常用的个人防护用具有耳塞、防声棉、耳罩和头盔等。如柱状耳塞，重量3～5g，噪声衰减可达20～30dB（A）；棉花，重量1～5g，噪声衰减可达5～10dB（A）。</w:t>
      </w:r>
    </w:p>
    <w:p w14:paraId="127230C6">
      <w:pPr>
        <w:widowControl w:val="0"/>
        <w:adjustRightInd w:val="0"/>
        <w:jc w:val="both"/>
        <w:textAlignment w:val="center"/>
        <w:outlineLvl w:val="1"/>
        <w:rPr>
          <w:rFonts w:eastAsia="黑体" w:cs="Times New Roman"/>
          <w:bCs/>
          <w:color w:val="0000FF"/>
        </w:rPr>
      </w:pPr>
      <w:bookmarkStart w:id="81" w:name="_Toc4722"/>
      <w:r>
        <w:rPr>
          <w:rFonts w:eastAsia="黑体" w:cs="Times New Roman"/>
          <w:bCs/>
          <w:color w:val="0000FF"/>
        </w:rPr>
        <w:t>7.4 大气环境保护措施</w:t>
      </w:r>
      <w:bookmarkEnd w:id="81"/>
    </w:p>
    <w:p w14:paraId="320D1B06">
      <w:pPr>
        <w:widowControl w:val="0"/>
        <w:ind w:firstLine="480" w:firstLineChars="200"/>
        <w:rPr>
          <w:rFonts w:cs="Times New Roman"/>
          <w:color w:val="0000FF"/>
        </w:rPr>
      </w:pPr>
      <w:r>
        <w:rPr>
          <w:rFonts w:cs="Times New Roman"/>
          <w:color w:val="0000FF"/>
        </w:rPr>
        <w:t>工程施工期间，对环境空气产生影响的污染源主要有：交通扬尘、施工粉尘、燃油机械设备、运输车辆产生的废气和施工营地生活废气等。</w:t>
      </w:r>
    </w:p>
    <w:p w14:paraId="536ECC76">
      <w:pPr>
        <w:widowControl w:val="0"/>
        <w:ind w:firstLine="480" w:firstLineChars="200"/>
        <w:rPr>
          <w:rFonts w:cs="Times New Roman"/>
          <w:color w:val="0000FF"/>
        </w:rPr>
      </w:pPr>
      <w:r>
        <w:rPr>
          <w:rFonts w:cs="Times New Roman"/>
          <w:color w:val="0000FF"/>
        </w:rPr>
        <w:t>（1）扬尘防护措施</w:t>
      </w:r>
    </w:p>
    <w:p w14:paraId="0A7A5401">
      <w:pPr>
        <w:widowControl w:val="0"/>
        <w:ind w:firstLine="480" w:firstLineChars="200"/>
        <w:rPr>
          <w:rFonts w:cs="Times New Roman"/>
          <w:color w:val="0000FF"/>
        </w:rPr>
      </w:pPr>
      <w:r>
        <w:rPr>
          <w:rFonts w:cs="Times New Roman"/>
          <w:color w:val="0000FF"/>
        </w:rPr>
        <w:t>①土方工程尽可能采取湿法作业，大风天气禁止装卸、搅拌和其他易产生扬尘的作业；</w:t>
      </w:r>
    </w:p>
    <w:p w14:paraId="08936CE5">
      <w:pPr>
        <w:widowControl w:val="0"/>
        <w:ind w:firstLine="480" w:firstLineChars="200"/>
        <w:rPr>
          <w:rFonts w:cs="Times New Roman"/>
          <w:color w:val="0000FF"/>
        </w:rPr>
      </w:pPr>
      <w:r>
        <w:rPr>
          <w:rFonts w:cs="Times New Roman"/>
          <w:color w:val="0000FF"/>
        </w:rPr>
        <w:t>②混凝土拌和系统等产尘浓度高的施工点及时洒水降尘；水泥、石灰、砂土等堆放场尽可能不露天堆放，如不得不敞开堆放，应对其在临时存放场所采取防风遮盖措施。</w:t>
      </w:r>
    </w:p>
    <w:p w14:paraId="58112B17">
      <w:pPr>
        <w:widowControl w:val="0"/>
        <w:ind w:firstLine="480" w:firstLineChars="200"/>
        <w:rPr>
          <w:rFonts w:cs="Times New Roman"/>
          <w:color w:val="0000FF"/>
        </w:rPr>
      </w:pPr>
      <w:r>
        <w:rPr>
          <w:rFonts w:cs="Times New Roman"/>
          <w:color w:val="0000FF"/>
        </w:rPr>
        <w:t>③在无雨天情况下对经过村庄的施工道路和场内施工区等扬尘区域每天至少洒水2次，大风天气要增加1至2次，以达到空气质量标准为准。</w:t>
      </w:r>
    </w:p>
    <w:p w14:paraId="70B790E5">
      <w:pPr>
        <w:widowControl w:val="0"/>
        <w:ind w:firstLine="480" w:firstLineChars="200"/>
        <w:rPr>
          <w:rFonts w:cs="Times New Roman"/>
          <w:color w:val="0000FF"/>
        </w:rPr>
      </w:pPr>
      <w:r>
        <w:rPr>
          <w:rFonts w:cs="Times New Roman"/>
          <w:color w:val="0000FF"/>
        </w:rPr>
        <w:t>④拆除重建工程老建构筑物拆除的过程产生一定量的扬尘，拆除扬尘主要为钻孔、挖掘等过程产生的扬尘，扬尘产生情况为间歇性短时间产生量低，可采取如下措施：</w:t>
      </w:r>
    </w:p>
    <w:p w14:paraId="042E2BFA">
      <w:pPr>
        <w:widowControl w:val="0"/>
        <w:ind w:firstLine="480" w:firstLineChars="200"/>
        <w:rPr>
          <w:rFonts w:cs="Times New Roman"/>
          <w:color w:val="0000FF"/>
        </w:rPr>
      </w:pPr>
      <w:r>
        <w:rPr>
          <w:rFonts w:cs="Times New Roman"/>
          <w:color w:val="0000FF"/>
        </w:rPr>
        <w:t>施工场地作业严格执行城市施工过程</w:t>
      </w:r>
      <w:r>
        <w:rPr>
          <w:rFonts w:hint="eastAsia" w:cs="Times New Roman"/>
          <w:color w:val="0000FF"/>
        </w:rPr>
        <w:t>“</w:t>
      </w:r>
      <w:r>
        <w:rPr>
          <w:rFonts w:cs="Times New Roman"/>
          <w:color w:val="0000FF"/>
        </w:rPr>
        <w:t>六个百分之百</w:t>
      </w:r>
      <w:r>
        <w:rPr>
          <w:rFonts w:hint="eastAsia" w:cs="Times New Roman"/>
          <w:color w:val="0000FF"/>
        </w:rPr>
        <w:t>”</w:t>
      </w:r>
      <w:r>
        <w:rPr>
          <w:rFonts w:cs="Times New Roman"/>
          <w:color w:val="0000FF"/>
        </w:rPr>
        <w:t>。工地周边围挡、物料堆放覆盖、土方开挖湿法作业、路面硬化、出入车辆清洗、渣土车辆密闭运输</w:t>
      </w:r>
      <w:r>
        <w:rPr>
          <w:rFonts w:hint="eastAsia" w:cs="Times New Roman"/>
          <w:color w:val="0000FF"/>
        </w:rPr>
        <w:t>“</w:t>
      </w:r>
      <w:r>
        <w:rPr>
          <w:rFonts w:cs="Times New Roman"/>
          <w:color w:val="0000FF"/>
        </w:rPr>
        <w:t>六个百分之百</w:t>
      </w:r>
      <w:r>
        <w:rPr>
          <w:rFonts w:hint="eastAsia" w:cs="Times New Roman"/>
          <w:color w:val="0000FF"/>
        </w:rPr>
        <w:t>”</w:t>
      </w:r>
      <w:r>
        <w:rPr>
          <w:rFonts w:cs="Times New Roman"/>
          <w:color w:val="0000FF"/>
        </w:rPr>
        <w:t>，强化道路扬尘管控，提高城市道路水洗机扫作业比例，加大施工工地、物料堆场、渣土消纳场等出入口道路清扫保洁力度，做好施工工地扬尘治理工作。具体如下：</w:t>
      </w:r>
    </w:p>
    <w:p w14:paraId="44987D59">
      <w:pPr>
        <w:widowControl w:val="0"/>
        <w:ind w:firstLine="480" w:firstLineChars="200"/>
        <w:rPr>
          <w:rFonts w:cs="Times New Roman"/>
          <w:color w:val="0000FF"/>
        </w:rPr>
      </w:pPr>
      <w:r>
        <w:rPr>
          <w:rFonts w:cs="Times New Roman"/>
          <w:color w:val="0000FF"/>
        </w:rPr>
        <w:t>A</w:t>
      </w:r>
      <w:r>
        <w:rPr>
          <w:rFonts w:hint="eastAsia" w:cs="Times New Roman"/>
          <w:color w:val="0000FF"/>
        </w:rPr>
        <w:t>.</w:t>
      </w:r>
      <w:r>
        <w:rPr>
          <w:rFonts w:cs="Times New Roman"/>
          <w:color w:val="0000FF"/>
        </w:rPr>
        <w:t>施工现场扬尘污染防治应做到</w:t>
      </w:r>
      <w:r>
        <w:rPr>
          <w:rFonts w:hint="eastAsia" w:cs="Times New Roman"/>
          <w:color w:val="0000FF"/>
        </w:rPr>
        <w:t>“</w:t>
      </w:r>
      <w:r>
        <w:rPr>
          <w:rFonts w:cs="Times New Roman"/>
          <w:color w:val="0000FF"/>
        </w:rPr>
        <w:t>六个百分之百</w:t>
      </w:r>
      <w:r>
        <w:rPr>
          <w:rFonts w:hint="eastAsia" w:cs="Times New Roman"/>
          <w:color w:val="0000FF"/>
        </w:rPr>
        <w:t>”</w:t>
      </w:r>
      <w:r>
        <w:rPr>
          <w:rFonts w:cs="Times New Roman"/>
          <w:color w:val="0000FF"/>
        </w:rPr>
        <w:t>：施工工地周边100%围挡、物料堆放100%覆盖、施工现场地面100%硬化、土方开挖100%湿法作业、出入车辆100%清洗、渣土车辆100%密闭运输。</w:t>
      </w:r>
    </w:p>
    <w:p w14:paraId="64BF5ABD">
      <w:pPr>
        <w:widowControl w:val="0"/>
        <w:ind w:firstLine="480" w:firstLineChars="200"/>
        <w:rPr>
          <w:rFonts w:cs="Times New Roman"/>
          <w:color w:val="0000FF"/>
        </w:rPr>
      </w:pPr>
      <w:r>
        <w:rPr>
          <w:rFonts w:cs="Times New Roman"/>
          <w:color w:val="0000FF"/>
        </w:rPr>
        <w:t>B</w:t>
      </w:r>
      <w:r>
        <w:rPr>
          <w:rFonts w:hint="eastAsia" w:cs="Times New Roman"/>
          <w:color w:val="0000FF"/>
        </w:rPr>
        <w:t>.</w:t>
      </w:r>
      <w:r>
        <w:rPr>
          <w:rFonts w:cs="Times New Roman"/>
          <w:color w:val="0000FF"/>
        </w:rPr>
        <w:t>对施工场地区域周围设置连续、密闭的硬质围挡，郊区围挡高度不低于1.8m，城市围挡高度不低于2.5m，并设置不低于0.2m的防溢座；施工场地出入口应当设置车辆清洗专用场地，配备车辆冲洗设施，并保持出入口通道以及道路两侧各50m范围内的清洁。</w:t>
      </w:r>
    </w:p>
    <w:p w14:paraId="1AAD9E4E">
      <w:pPr>
        <w:widowControl w:val="0"/>
        <w:ind w:firstLine="480" w:firstLineChars="200"/>
        <w:rPr>
          <w:rFonts w:cs="Times New Roman"/>
          <w:color w:val="0000FF"/>
        </w:rPr>
      </w:pPr>
      <w:r>
        <w:rPr>
          <w:rFonts w:cs="Times New Roman"/>
          <w:color w:val="0000FF"/>
        </w:rPr>
        <w:t>C</w:t>
      </w:r>
      <w:r>
        <w:rPr>
          <w:rFonts w:hint="eastAsia" w:cs="Times New Roman"/>
          <w:color w:val="0000FF"/>
        </w:rPr>
        <w:t>.</w:t>
      </w:r>
      <w:r>
        <w:rPr>
          <w:rFonts w:cs="Times New Roman"/>
          <w:color w:val="0000FF"/>
        </w:rPr>
        <w:t>施工场地采取</w:t>
      </w:r>
      <w:r>
        <w:rPr>
          <w:rFonts w:hint="eastAsia" w:cs="Times New Roman"/>
          <w:color w:val="0000FF"/>
        </w:rPr>
        <w:t>“</w:t>
      </w:r>
      <w:r>
        <w:rPr>
          <w:rFonts w:cs="Times New Roman"/>
          <w:color w:val="0000FF"/>
        </w:rPr>
        <w:t>围、盖、洒、洗</w:t>
      </w:r>
      <w:r>
        <w:rPr>
          <w:rFonts w:hint="eastAsia" w:cs="Times New Roman"/>
          <w:color w:val="0000FF"/>
        </w:rPr>
        <w:t>”</w:t>
      </w:r>
      <w:r>
        <w:rPr>
          <w:rFonts w:cs="Times New Roman"/>
          <w:color w:val="0000FF"/>
        </w:rPr>
        <w:t>等措施，严禁敞开式作业；施工现场土方开挖后应尽快回填，不能及时回填的裸露场地，应采取洒水、覆盖等防尘措施；在场地内堆放作回填使用的土石方应集中堆放，同时，在未干化之前，经表面整平压实后，采取覆盖措施，并定时洒水维持湿润；土料堆积过程中，堆积边坡角度不宜过大，弃土及时夯实。</w:t>
      </w:r>
    </w:p>
    <w:p w14:paraId="7C9DBCB6">
      <w:pPr>
        <w:widowControl w:val="0"/>
        <w:ind w:firstLine="480" w:firstLineChars="200"/>
        <w:rPr>
          <w:rFonts w:cs="Times New Roman"/>
          <w:color w:val="0000FF"/>
        </w:rPr>
      </w:pPr>
      <w:r>
        <w:rPr>
          <w:rFonts w:cs="Times New Roman"/>
          <w:color w:val="0000FF"/>
        </w:rPr>
        <w:t>D</w:t>
      </w:r>
      <w:r>
        <w:rPr>
          <w:rFonts w:hint="eastAsia" w:cs="Times New Roman"/>
          <w:color w:val="0000FF"/>
        </w:rPr>
        <w:t>.</w:t>
      </w:r>
      <w:r>
        <w:rPr>
          <w:rFonts w:cs="Times New Roman"/>
          <w:color w:val="0000FF"/>
        </w:rPr>
        <w:t>建筑物拆除作业实行湿法作业，缩短起尘操作时间，气象预报风速达到5级以上时，应当停止拆除作业。建筑物拆除后应当及时清运，不能及时清运的，应当采取有效覆盖措施。房屋拆除现场除了大件的钢筋、门窗等不易飘散的物品外，所有的堆放区要求防尘网覆盖。房屋拆除产生的建筑垃圾应集中、分类堆放，及时清运。拆除工程完成后，不能立即施工的，对拆除后的裸露地面应采取覆盖、洒水等措施防止扬尘。房屋拆迁完毕3个月以后才能施工的，应当在工地适当种草或采取其他简易绿化措施；因气候条件等确实不宜进行绿化的，应当采取铺装、遮盖等相应的防尘措施。</w:t>
      </w:r>
    </w:p>
    <w:p w14:paraId="4C457B73">
      <w:pPr>
        <w:widowControl w:val="0"/>
        <w:ind w:firstLine="480" w:firstLineChars="200"/>
        <w:rPr>
          <w:rFonts w:cs="Times New Roman"/>
          <w:color w:val="0000FF"/>
        </w:rPr>
      </w:pPr>
      <w:r>
        <w:rPr>
          <w:rFonts w:cs="Times New Roman"/>
          <w:color w:val="0000FF"/>
        </w:rPr>
        <w:t>（2）机械设备排气净化措施</w:t>
      </w:r>
    </w:p>
    <w:p w14:paraId="56CA7BEE">
      <w:pPr>
        <w:widowControl w:val="0"/>
        <w:ind w:firstLine="480" w:firstLineChars="200"/>
        <w:rPr>
          <w:rFonts w:cs="Times New Roman"/>
          <w:color w:val="0000FF"/>
        </w:rPr>
      </w:pPr>
      <w:r>
        <w:rPr>
          <w:rFonts w:cs="Times New Roman"/>
          <w:color w:val="0000FF"/>
        </w:rPr>
        <w:t>选用废气排放符合国家有关标准的施工机械和运输工具；加强对燃油机械设备的维护保养，定期检查维修，发动机应在正常、良好状态下工作；柴油机械应安装尾气净化装置，禁止超载和使用劣质燃料。</w:t>
      </w:r>
    </w:p>
    <w:p w14:paraId="7778FAA5">
      <w:pPr>
        <w:widowControl w:val="0"/>
        <w:ind w:firstLine="480" w:firstLineChars="200"/>
        <w:rPr>
          <w:rFonts w:cs="Times New Roman"/>
          <w:color w:val="0000FF"/>
        </w:rPr>
      </w:pPr>
      <w:r>
        <w:rPr>
          <w:rFonts w:cs="Times New Roman"/>
          <w:color w:val="0000FF"/>
        </w:rPr>
        <w:t>（3）</w:t>
      </w:r>
      <w:r>
        <w:rPr>
          <w:rFonts w:hint="eastAsia" w:cs="Times New Roman"/>
          <w:color w:val="0000FF"/>
        </w:rPr>
        <w:t>混凝土拌合废气处理措施</w:t>
      </w:r>
    </w:p>
    <w:p w14:paraId="7EDFFA12">
      <w:pPr>
        <w:widowControl w:val="0"/>
        <w:ind w:firstLine="480" w:firstLineChars="200"/>
        <w:rPr>
          <w:rFonts w:cs="Times New Roman"/>
          <w:color w:val="0000FF"/>
        </w:rPr>
      </w:pPr>
      <w:r>
        <w:rPr>
          <w:rFonts w:hint="eastAsia" w:cs="Times New Roman"/>
          <w:color w:val="0000FF"/>
        </w:rPr>
        <w:t>本项目不设置混凝土拌合站，</w:t>
      </w:r>
      <w:r>
        <w:rPr>
          <w:rFonts w:cs="Times New Roman"/>
          <w:snapToGrid w:val="0"/>
          <w:color w:val="0000FF"/>
        </w:rPr>
        <w:t>所需混凝土采用商品混凝土</w:t>
      </w:r>
      <w:r>
        <w:rPr>
          <w:rFonts w:hint="eastAsia" w:cs="Times New Roman"/>
          <w:snapToGrid w:val="0"/>
          <w:color w:val="0000FF"/>
        </w:rPr>
        <w:t>，</w:t>
      </w:r>
      <w:r>
        <w:rPr>
          <w:rFonts w:hint="eastAsia" w:cs="Times New Roman"/>
          <w:color w:val="0000FF"/>
        </w:rPr>
        <w:t>部分工程仅设置0.4m</w:t>
      </w:r>
      <w:r>
        <w:rPr>
          <w:rFonts w:hint="eastAsia" w:cs="Times New Roman"/>
          <w:color w:val="0000FF"/>
          <w:vertAlign w:val="superscript"/>
        </w:rPr>
        <w:t>3</w:t>
      </w:r>
      <w:r>
        <w:rPr>
          <w:rFonts w:hint="eastAsia" w:cs="Times New Roman"/>
          <w:color w:val="0000FF"/>
        </w:rPr>
        <w:t>搅拌机提供零星混凝土熟料。搅拌机运行过程会有少量粉尘产生，及时进行洒水抑尘，并清扫地面，防止二次扬尘产生。</w:t>
      </w:r>
    </w:p>
    <w:p w14:paraId="4FCC2789">
      <w:pPr>
        <w:widowControl w:val="0"/>
        <w:ind w:firstLine="480" w:firstLineChars="200"/>
        <w:rPr>
          <w:rFonts w:cs="Times New Roman"/>
          <w:color w:val="0000FF"/>
        </w:rPr>
      </w:pPr>
      <w:r>
        <w:rPr>
          <w:rFonts w:cs="Times New Roman"/>
          <w:color w:val="0000FF"/>
        </w:rPr>
        <w:t>（4）</w:t>
      </w:r>
      <w:r>
        <w:rPr>
          <w:rFonts w:hint="eastAsia" w:cs="Times New Roman"/>
          <w:color w:val="0000FF"/>
        </w:rPr>
        <w:t>交通</w:t>
      </w:r>
      <w:r>
        <w:rPr>
          <w:rFonts w:cs="Times New Roman"/>
          <w:color w:val="0000FF"/>
        </w:rPr>
        <w:t>运输防护措施</w:t>
      </w:r>
    </w:p>
    <w:p w14:paraId="3AAC9846">
      <w:pPr>
        <w:widowControl w:val="0"/>
        <w:ind w:firstLine="480" w:firstLineChars="200"/>
        <w:rPr>
          <w:rFonts w:cs="Times New Roman"/>
          <w:color w:val="0000FF"/>
        </w:rPr>
      </w:pPr>
      <w:r>
        <w:rPr>
          <w:rFonts w:hint="eastAsia" w:ascii="宋体" w:hAnsi="宋体"/>
          <w:color w:val="0000FF"/>
        </w:rPr>
        <w:t>①</w:t>
      </w:r>
      <w:r>
        <w:rPr>
          <w:rFonts w:cs="Times New Roman"/>
          <w:color w:val="0000FF"/>
        </w:rPr>
        <w:t>加强“三车”管理，土方运输车、物料运输车辆上路前必须进行车身、轮胎冲洗，物料遮盖，确保无抛撒滴漏。</w:t>
      </w:r>
    </w:p>
    <w:p w14:paraId="01686F1F">
      <w:pPr>
        <w:widowControl w:val="0"/>
        <w:ind w:firstLine="480" w:firstLineChars="200"/>
        <w:rPr>
          <w:rFonts w:cs="Times New Roman"/>
          <w:color w:val="0000FF"/>
        </w:rPr>
      </w:pPr>
      <w:r>
        <w:rPr>
          <w:rFonts w:hint="eastAsia" w:ascii="宋体" w:hAnsi="宋体"/>
          <w:color w:val="0000FF"/>
        </w:rPr>
        <w:t>②</w:t>
      </w:r>
      <w:r>
        <w:rPr>
          <w:rFonts w:cs="Times New Roman"/>
          <w:color w:val="0000FF"/>
        </w:rPr>
        <w:t>加强各类道路施工扬尘污染防治，全面落实围挡、洒水、冲洗、裸土覆盖、土方运输密闭等措施，切实减轻扬尘污染。将道路施工中吹灰等易导致扬尘的操作改为吸尘、冲洗等操作。</w:t>
      </w:r>
    </w:p>
    <w:p w14:paraId="1D12F31B">
      <w:pPr>
        <w:widowControl w:val="0"/>
        <w:ind w:firstLine="480" w:firstLineChars="200"/>
        <w:rPr>
          <w:rFonts w:cs="Times New Roman"/>
          <w:color w:val="0000FF"/>
        </w:rPr>
      </w:pPr>
      <w:r>
        <w:rPr>
          <w:rFonts w:hint="eastAsia" w:ascii="宋体" w:hAnsi="宋体"/>
          <w:color w:val="0000FF"/>
        </w:rPr>
        <w:t>③</w:t>
      </w:r>
      <w:r>
        <w:rPr>
          <w:rFonts w:cs="Times New Roman"/>
          <w:color w:val="0000FF"/>
        </w:rPr>
        <w:t>渣土、建筑垃圾、散装物料等在运输过程中要用挡板和蓬布严格密闭运输，车辆不应装载过满，以免在运输途中震动洒落。并在无雨天气时对施工道路每日进行洒水4～6次，有风天气应适当增加洒水频次。</w:t>
      </w:r>
    </w:p>
    <w:p w14:paraId="184779F6">
      <w:pPr>
        <w:widowControl w:val="0"/>
        <w:ind w:firstLine="480" w:firstLineChars="200"/>
        <w:rPr>
          <w:rFonts w:cs="Times New Roman"/>
          <w:color w:val="0000FF"/>
        </w:rPr>
      </w:pPr>
      <w:r>
        <w:rPr>
          <w:rFonts w:hint="eastAsia" w:ascii="宋体" w:hAnsi="宋体"/>
          <w:color w:val="0000FF"/>
        </w:rPr>
        <w:t>④</w:t>
      </w:r>
      <w:r>
        <w:rPr>
          <w:rFonts w:cs="Times New Roman"/>
          <w:color w:val="0000FF"/>
        </w:rPr>
        <w:t>渣土运输车辆严格实施密闭运输，车辆要及时冲洗。</w:t>
      </w:r>
    </w:p>
    <w:p w14:paraId="044564A6">
      <w:pPr>
        <w:widowControl w:val="0"/>
        <w:ind w:firstLine="480" w:firstLineChars="200"/>
        <w:rPr>
          <w:rFonts w:cs="Times New Roman"/>
          <w:color w:val="0000FF"/>
        </w:rPr>
      </w:pPr>
      <w:r>
        <w:rPr>
          <w:rFonts w:cs="Times New Roman"/>
          <w:color w:val="0000FF"/>
        </w:rPr>
        <w:t>（5）</w:t>
      </w:r>
      <w:r>
        <w:rPr>
          <w:rFonts w:hint="eastAsia" w:cs="Times New Roman"/>
          <w:color w:val="0000FF"/>
        </w:rPr>
        <w:t>清淤废气</w:t>
      </w:r>
      <w:r>
        <w:rPr>
          <w:rFonts w:cs="Times New Roman"/>
          <w:color w:val="0000FF"/>
        </w:rPr>
        <w:t>防护措施</w:t>
      </w:r>
    </w:p>
    <w:p w14:paraId="6B19CC65">
      <w:pPr>
        <w:widowControl w:val="0"/>
        <w:ind w:firstLine="480" w:firstLineChars="200"/>
        <w:rPr>
          <w:rFonts w:cs="Times New Roman"/>
          <w:color w:val="0000FF"/>
        </w:rPr>
      </w:pPr>
      <w:r>
        <w:rPr>
          <w:rFonts w:cs="Times New Roman"/>
          <w:color w:val="0000FF"/>
        </w:rPr>
        <w:t>因渠道清淤过程中，渠道底泥厌氧分解会产生一些具有臭味的物质（如H</w:t>
      </w:r>
      <w:r>
        <w:rPr>
          <w:rFonts w:cs="Times New Roman"/>
          <w:color w:val="0000FF"/>
          <w:vertAlign w:val="subscript"/>
        </w:rPr>
        <w:t>2</w:t>
      </w:r>
      <w:r>
        <w:rPr>
          <w:rFonts w:cs="Times New Roman"/>
          <w:color w:val="0000FF"/>
        </w:rPr>
        <w:t>S、NH</w:t>
      </w:r>
      <w:r>
        <w:rPr>
          <w:rFonts w:cs="Times New Roman"/>
          <w:color w:val="0000FF"/>
          <w:vertAlign w:val="subscript"/>
        </w:rPr>
        <w:t>3</w:t>
      </w:r>
      <w:r>
        <w:rPr>
          <w:rFonts w:cs="Times New Roman"/>
          <w:color w:val="0000FF"/>
        </w:rPr>
        <w:t>等），这些具有臭味的物质会挥发进入大气，影响周围的环境空气质量。本项目施工期安排在枯水期，渠道内基本处于无水状态，主要采用反铲挖掘机进行操作施工。</w:t>
      </w:r>
    </w:p>
    <w:p w14:paraId="2F447756">
      <w:pPr>
        <w:widowControl w:val="0"/>
        <w:ind w:firstLine="480" w:firstLineChars="200"/>
        <w:rPr>
          <w:rFonts w:cs="Times New Roman"/>
          <w:color w:val="0000FF"/>
        </w:rPr>
      </w:pPr>
      <w:r>
        <w:rPr>
          <w:rFonts w:cs="Times New Roman"/>
          <w:color w:val="0000FF"/>
        </w:rPr>
        <w:t>①加强弃土场管理，严禁在指定区域以外的区域进行底泥的临时堆土场；</w:t>
      </w:r>
    </w:p>
    <w:p w14:paraId="2CF512FE">
      <w:pPr>
        <w:widowControl w:val="0"/>
        <w:ind w:firstLine="480" w:firstLineChars="200"/>
        <w:rPr>
          <w:rFonts w:cs="Times New Roman"/>
          <w:color w:val="0000FF"/>
        </w:rPr>
      </w:pPr>
      <w:r>
        <w:rPr>
          <w:rFonts w:cs="Times New Roman"/>
          <w:color w:val="0000FF"/>
        </w:rPr>
        <w:t>②</w:t>
      </w:r>
      <w:r>
        <w:rPr>
          <w:rFonts w:hint="eastAsia" w:cs="Times New Roman"/>
          <w:color w:val="0000FF"/>
        </w:rPr>
        <w:t>涉及清淤的</w:t>
      </w:r>
      <w:r>
        <w:rPr>
          <w:rFonts w:cs="Times New Roman"/>
          <w:color w:val="0000FF"/>
        </w:rPr>
        <w:t>弃土场</w:t>
      </w:r>
      <w:r>
        <w:rPr>
          <w:rFonts w:hint="eastAsia" w:cs="Times New Roman"/>
          <w:color w:val="0000FF"/>
        </w:rPr>
        <w:t>选址距离</w:t>
      </w:r>
      <w:r>
        <w:rPr>
          <w:rFonts w:cs="Times New Roman"/>
          <w:color w:val="0000FF"/>
        </w:rPr>
        <w:t>居民点50m以上，</w:t>
      </w:r>
      <w:r>
        <w:rPr>
          <w:rFonts w:hint="eastAsia" w:cs="Times New Roman"/>
          <w:color w:val="0000FF"/>
        </w:rPr>
        <w:t>马田支渠（涉及清淤）16#弃土场距离最近的敏感点管岗约42m，考虑淤泥可能产生臭气，淤泥堆放在16#弃土场远离居民点一侧，</w:t>
      </w:r>
      <w:r>
        <w:rPr>
          <w:rFonts w:cs="Times New Roman"/>
          <w:color w:val="0000FF"/>
        </w:rPr>
        <w:t>并且做好除臭措施，喷洒除臭剂，及时覆盖，减少臭气的暴露时间；</w:t>
      </w:r>
    </w:p>
    <w:p w14:paraId="45CC3E11">
      <w:pPr>
        <w:widowControl w:val="0"/>
        <w:ind w:firstLine="480" w:firstLineChars="200"/>
        <w:rPr>
          <w:rFonts w:cs="Times New Roman"/>
          <w:color w:val="0000FF"/>
        </w:rPr>
      </w:pPr>
      <w:r>
        <w:rPr>
          <w:rFonts w:cs="Times New Roman"/>
          <w:color w:val="0000FF"/>
        </w:rPr>
        <w:t>③应在枯水季节进行渠道清淤工作，由于温度较低，污泥中恶臭挥发影响范围减小；</w:t>
      </w:r>
    </w:p>
    <w:p w14:paraId="4D8F513E">
      <w:pPr>
        <w:widowControl w:val="0"/>
        <w:ind w:firstLine="480" w:firstLineChars="200"/>
        <w:rPr>
          <w:rFonts w:cs="Times New Roman"/>
          <w:color w:val="0000FF"/>
        </w:rPr>
      </w:pPr>
      <w:r>
        <w:rPr>
          <w:rFonts w:cs="Times New Roman"/>
          <w:color w:val="0000FF"/>
        </w:rPr>
        <w:t>④渠道清淤和除臭工作应同时开展，减少底泥在空气中的暴露时间，减少对周边环境的影响，应同时及时进行复垦；</w:t>
      </w:r>
    </w:p>
    <w:p w14:paraId="13D29AC1">
      <w:pPr>
        <w:widowControl w:val="0"/>
        <w:ind w:firstLine="480" w:firstLineChars="200"/>
        <w:rPr>
          <w:rFonts w:cs="Times New Roman"/>
          <w:color w:val="0000FF"/>
        </w:rPr>
      </w:pPr>
      <w:r>
        <w:rPr>
          <w:rFonts w:cs="Times New Roman"/>
          <w:color w:val="0000FF"/>
        </w:rPr>
        <w:t>⑤清淤工作对施工人员有一定影响，施工人员应做好防护。</w:t>
      </w:r>
    </w:p>
    <w:p w14:paraId="47C7C334">
      <w:pPr>
        <w:widowControl w:val="0"/>
        <w:ind w:firstLine="480" w:firstLineChars="200"/>
        <w:rPr>
          <w:rFonts w:cs="Times New Roman"/>
          <w:color w:val="0000FF"/>
        </w:rPr>
      </w:pPr>
      <w:r>
        <w:rPr>
          <w:rFonts w:cs="Times New Roman"/>
          <w:color w:val="0000FF"/>
        </w:rPr>
        <w:t>（6）有机废气防护措施</w:t>
      </w:r>
    </w:p>
    <w:p w14:paraId="1717F41E">
      <w:pPr>
        <w:widowControl w:val="0"/>
        <w:ind w:firstLine="480" w:firstLineChars="200"/>
        <w:rPr>
          <w:rFonts w:cs="Times New Roman"/>
          <w:color w:val="0000FF"/>
        </w:rPr>
      </w:pPr>
      <w:r>
        <w:rPr>
          <w:rFonts w:cs="Times New Roman"/>
          <w:color w:val="0000FF"/>
        </w:rPr>
        <w:t>子项目樊通桥渠下涵除险加固工程、沙胜支渠工程需要采用单组分聚脲防水涂料，为高固分材料，其在施工过程中产生的非甲烷总烃量较少。本工程中选用的单组分聚脲防水涂料不需现场进行计量和调配，只进行简单混合搅拌，涂料在施工过程产生的有机废气量很少，对大气的环境影响较小。主要防护措施有：</w:t>
      </w:r>
    </w:p>
    <w:p w14:paraId="319F0040">
      <w:pPr>
        <w:widowControl w:val="0"/>
        <w:ind w:firstLine="480" w:firstLineChars="200"/>
        <w:rPr>
          <w:rFonts w:cs="Times New Roman"/>
          <w:color w:val="0000FF"/>
        </w:rPr>
      </w:pPr>
      <w:r>
        <w:rPr>
          <w:rFonts w:cs="Times New Roman"/>
          <w:color w:val="0000FF"/>
        </w:rPr>
        <w:t>为防止涂料对周边环境的影响，应选用粉末涂料、水性涂料、无溶剂涂料等环节友好型涂料和符合要求（高固分）溶剂型涂料，禁止使用</w:t>
      </w:r>
      <w:r>
        <w:rPr>
          <w:rFonts w:hint="eastAsia" w:cs="Times New Roman"/>
          <w:color w:val="0000FF"/>
        </w:rPr>
        <w:t>非甲烷总烃</w:t>
      </w:r>
      <w:r>
        <w:rPr>
          <w:rFonts w:cs="Times New Roman"/>
          <w:color w:val="0000FF"/>
        </w:rPr>
        <w:t>含量不符合国家标准的涂料等，施工人员做好防护工作，佩戴口罩等防护用品。</w:t>
      </w:r>
    </w:p>
    <w:p w14:paraId="6082FCE5">
      <w:pPr>
        <w:widowControl w:val="0"/>
        <w:ind w:firstLine="480" w:firstLineChars="200"/>
        <w:rPr>
          <w:rFonts w:cs="Times New Roman"/>
          <w:color w:val="0000FF"/>
        </w:rPr>
      </w:pPr>
      <w:r>
        <w:rPr>
          <w:rFonts w:cs="Times New Roman"/>
          <w:color w:val="0000FF"/>
        </w:rPr>
        <w:t>（7）沥青烟气防护措施</w:t>
      </w:r>
    </w:p>
    <w:p w14:paraId="0C2A1BDB">
      <w:pPr>
        <w:widowControl w:val="0"/>
        <w:ind w:firstLine="480" w:firstLineChars="200"/>
        <w:rPr>
          <w:rFonts w:cs="Times New Roman"/>
          <w:color w:val="0000FF"/>
        </w:rPr>
      </w:pPr>
      <w:r>
        <w:rPr>
          <w:rFonts w:cs="Times New Roman"/>
          <w:color w:val="0000FF"/>
        </w:rPr>
        <w:t>工程项目全部采用商品沥青。沥青的摊铺过程中产生的沥青烟气中含有THC、TSP等有毒有害物质，有损于操作人员和周围居民的身体健康。根据相关类比监测数据，污染物浓度一般在下风向50m外苯并</w:t>
      </w:r>
      <w:r>
        <w:rPr>
          <w:rFonts w:hint="eastAsia" w:cs="Times New Roman"/>
          <w:color w:val="0000FF"/>
        </w:rPr>
        <w:t>〔</w:t>
      </w:r>
      <w:r>
        <w:rPr>
          <w:rFonts w:cs="Times New Roman"/>
          <w:color w:val="0000FF"/>
        </w:rPr>
        <w:t>a</w:t>
      </w:r>
      <w:r>
        <w:rPr>
          <w:rFonts w:hint="eastAsia" w:cs="Times New Roman"/>
          <w:color w:val="0000FF"/>
        </w:rPr>
        <w:t>〕</w:t>
      </w:r>
      <w:r>
        <w:rPr>
          <w:rFonts w:cs="Times New Roman"/>
          <w:color w:val="0000FF"/>
        </w:rPr>
        <w:t>芘低于0.00001mg/m</w:t>
      </w:r>
      <w:r>
        <w:rPr>
          <w:rFonts w:cs="Times New Roman"/>
          <w:color w:val="0000FF"/>
          <w:vertAlign w:val="superscript"/>
        </w:rPr>
        <w:t>3</w:t>
      </w:r>
      <w:r>
        <w:rPr>
          <w:rFonts w:cs="Times New Roman"/>
          <w:color w:val="0000FF"/>
        </w:rPr>
        <w:t>，酚在下风向60m左右≤0.01mg/m³，THC在60m左右≤0.16mg/m³。因此，在路面工程施工期间的沥青搅拌等作业过程中，应注意相关设备的选型、设备的完好率和操作规范，保证沥青烟浓度符合排放限值要求。</w:t>
      </w:r>
    </w:p>
    <w:p w14:paraId="2CCDA0E1">
      <w:pPr>
        <w:widowControl w:val="0"/>
        <w:adjustRightInd w:val="0"/>
        <w:jc w:val="both"/>
        <w:textAlignment w:val="center"/>
        <w:outlineLvl w:val="1"/>
        <w:rPr>
          <w:rFonts w:eastAsia="黑体" w:cs="Times New Roman"/>
          <w:bCs/>
          <w:color w:val="0000FF"/>
        </w:rPr>
      </w:pPr>
      <w:bookmarkStart w:id="82" w:name="_Toc30666"/>
      <w:r>
        <w:rPr>
          <w:rFonts w:eastAsia="黑体" w:cs="Times New Roman"/>
          <w:bCs/>
          <w:color w:val="0000FF"/>
        </w:rPr>
        <w:t>7.5 固体废物处置措施</w:t>
      </w:r>
      <w:bookmarkEnd w:id="82"/>
    </w:p>
    <w:p w14:paraId="552B8A7C">
      <w:pPr>
        <w:widowControl w:val="0"/>
        <w:ind w:firstLine="482" w:firstLineChars="200"/>
        <w:rPr>
          <w:rFonts w:cs="Times New Roman"/>
          <w:b/>
          <w:bCs/>
          <w:color w:val="0000FF"/>
        </w:rPr>
      </w:pPr>
      <w:r>
        <w:rPr>
          <w:rFonts w:cs="Times New Roman"/>
          <w:b/>
          <w:bCs/>
          <w:color w:val="0000FF"/>
        </w:rPr>
        <w:t>一、施工期固体废物处置措施</w:t>
      </w:r>
    </w:p>
    <w:p w14:paraId="258F5EE2">
      <w:pPr>
        <w:widowControl w:val="0"/>
        <w:ind w:firstLine="480" w:firstLineChars="200"/>
        <w:rPr>
          <w:rFonts w:cs="Times New Roman"/>
          <w:color w:val="0000FF"/>
        </w:rPr>
      </w:pPr>
      <w:r>
        <w:rPr>
          <w:rFonts w:cs="Times New Roman"/>
          <w:color w:val="0000FF"/>
        </w:rPr>
        <w:t>本工程固体废物产生情况主要发生在施工期间，主要有施工弃土（渣）、生活垃圾等。</w:t>
      </w:r>
    </w:p>
    <w:p w14:paraId="6C36AEB9">
      <w:pPr>
        <w:widowControl w:val="0"/>
        <w:ind w:firstLine="480" w:firstLineChars="200"/>
        <w:rPr>
          <w:rFonts w:cs="Times New Roman"/>
          <w:color w:val="0000FF"/>
        </w:rPr>
      </w:pPr>
      <w:r>
        <w:rPr>
          <w:rFonts w:cs="Times New Roman"/>
          <w:color w:val="0000FF"/>
        </w:rPr>
        <w:t>①施工弃土（渣）</w:t>
      </w:r>
    </w:p>
    <w:p w14:paraId="5FA02C33">
      <w:pPr>
        <w:widowControl w:val="0"/>
        <w:ind w:firstLine="480" w:firstLineChars="200"/>
        <w:rPr>
          <w:rFonts w:cs="Times New Roman"/>
          <w:color w:val="0000FF"/>
        </w:rPr>
      </w:pPr>
      <w:r>
        <w:rPr>
          <w:rFonts w:cs="Times New Roman"/>
          <w:color w:val="0000FF"/>
        </w:rPr>
        <w:t>建筑垃圾：项目现有渠系建筑物拆除、现有管理房拆除等过程产生一定量的建筑垃圾，</w:t>
      </w:r>
      <w:r>
        <w:rPr>
          <w:rFonts w:hint="eastAsia" w:cs="Times New Roman"/>
          <w:color w:val="0000FF"/>
        </w:rPr>
        <w:t>应分类堆放，</w:t>
      </w:r>
      <w:r>
        <w:rPr>
          <w:rFonts w:cs="Times New Roman"/>
          <w:color w:val="0000FF"/>
        </w:rPr>
        <w:t>优先回</w:t>
      </w:r>
      <w:r>
        <w:rPr>
          <w:rFonts w:hint="eastAsia" w:cs="Times New Roman"/>
          <w:color w:val="0000FF"/>
        </w:rPr>
        <w:t>用于</w:t>
      </w:r>
      <w:r>
        <w:rPr>
          <w:rFonts w:cs="Times New Roman"/>
          <w:color w:val="0000FF"/>
        </w:rPr>
        <w:t>项目自身临时道路的铺筑以及其他工程的建设，其余建筑垃圾优先外售至建筑垃圾回收公司资源化利用处置</w:t>
      </w:r>
      <w:r>
        <w:rPr>
          <w:rFonts w:hint="eastAsia" w:cs="Times New Roman"/>
          <w:color w:val="0000FF"/>
        </w:rPr>
        <w:t>；对不能再利用的垃圾如含木料、塑料的垃圾，应严格执行《城市建筑垃圾管理规范》，服从当地城市市容环境卫生行政主管部门统一管理，优先运往建筑垃圾填埋场进行处置。禁止建设和施工单位将建筑施工活动中产生的工程生产垃圾堆放在滩地或倾倒入河。</w:t>
      </w:r>
    </w:p>
    <w:p w14:paraId="49C7A51E">
      <w:pPr>
        <w:widowControl w:val="0"/>
        <w:ind w:firstLine="480" w:firstLineChars="200"/>
        <w:rPr>
          <w:rFonts w:cs="Times New Roman"/>
          <w:color w:val="0000FF"/>
        </w:rPr>
      </w:pPr>
      <w:r>
        <w:rPr>
          <w:rFonts w:cs="Times New Roman"/>
          <w:color w:val="0000FF"/>
        </w:rPr>
        <w:t>弃土送至指定弃土场堆置，不可随意堆放；对临时堆放区进行定期洒水，防止风吹扬尘，或者使用薄膜覆盖防风和降雨；堆放过程中要严格按照设计控制堆放高度，并采取建设挡栏等措施防止其被冲刷流失；建筑物拆除产生的弃渣尽可能回用，不能利用的填在弃土场的底部。施工期应严格按照设计将弃方运送至指定弃土区，不可随意堆放，同时对弃土堆放区进行定期洒水，防止风吹扬尘，或者使用薄膜覆盖防风和降雨；堆放过程中要严格按照设计控制堆放高度，并采取建设围挡等措施防止其被冲刷流失，后期进行土地复垦或植被恢复。</w:t>
      </w:r>
    </w:p>
    <w:p w14:paraId="6F650FD6">
      <w:pPr>
        <w:widowControl w:val="0"/>
        <w:ind w:firstLine="480" w:firstLineChars="200"/>
        <w:rPr>
          <w:rFonts w:cs="Times New Roman"/>
          <w:color w:val="0000FF"/>
        </w:rPr>
      </w:pPr>
      <w:r>
        <w:rPr>
          <w:rFonts w:cs="Times New Roman"/>
          <w:color w:val="0000FF"/>
        </w:rPr>
        <w:t>②施工人员生活垃圾</w:t>
      </w:r>
    </w:p>
    <w:p w14:paraId="4F5D6B0A">
      <w:pPr>
        <w:widowControl w:val="0"/>
        <w:ind w:firstLine="480" w:firstLineChars="200"/>
        <w:rPr>
          <w:rFonts w:cs="Times New Roman"/>
          <w:color w:val="0000FF"/>
        </w:rPr>
      </w:pPr>
      <w:r>
        <w:rPr>
          <w:rFonts w:cs="Times New Roman"/>
          <w:color w:val="0000FF"/>
        </w:rPr>
        <w:t>在施工区和施工营地设置垃圾箱、垃圾堆放池，并经常喷洒灭害灵等药水，防止苍蝇等传染媒介滋生；设专人定时进行卫生清理工作，委托当地环卫部门进行定期清运，集中将施工生活垃圾就近运往各工程区附近的垃圾填埋场进行填埋处理。</w:t>
      </w:r>
    </w:p>
    <w:p w14:paraId="578EDB58">
      <w:pPr>
        <w:widowControl w:val="0"/>
        <w:ind w:firstLine="480" w:firstLineChars="200"/>
        <w:rPr>
          <w:rFonts w:cs="Times New Roman"/>
          <w:color w:val="0000FF"/>
        </w:rPr>
      </w:pPr>
      <w:r>
        <w:rPr>
          <w:rFonts w:cs="Times New Roman"/>
          <w:color w:val="0000FF"/>
        </w:rPr>
        <w:t>工程结束后，拆除施工区的临建设施，对施工机械停放场、综合仓库等施工用地，及时进行场地清理，清理建筑垃圾及各种杂物，对其周围的生活垃圾、厕所、污水坑进行场地清理，并用生石灰、石炭酸进行消毒，做好施工迹地恢复工作。</w:t>
      </w:r>
    </w:p>
    <w:p w14:paraId="48D1DA8B">
      <w:pPr>
        <w:widowControl w:val="0"/>
        <w:ind w:firstLine="480" w:firstLineChars="200"/>
        <w:rPr>
          <w:rFonts w:ascii="宋体" w:hAnsi="宋体"/>
          <w:color w:val="0000FF"/>
        </w:rPr>
      </w:pPr>
      <w:r>
        <w:rPr>
          <w:rFonts w:hint="eastAsia" w:ascii="宋体" w:hAnsi="宋体"/>
          <w:color w:val="0000FF"/>
        </w:rPr>
        <w:t>③清淤污泥</w:t>
      </w:r>
    </w:p>
    <w:p w14:paraId="3434EF5E">
      <w:pPr>
        <w:widowControl w:val="0"/>
        <w:ind w:firstLine="480" w:firstLineChars="200"/>
        <w:rPr>
          <w:rFonts w:ascii="宋体" w:hAnsi="宋体"/>
          <w:color w:val="0000FF"/>
        </w:rPr>
      </w:pPr>
      <w:r>
        <w:rPr>
          <w:rFonts w:hint="eastAsia" w:ascii="宋体" w:hAnsi="宋体"/>
          <w:color w:val="0000FF"/>
        </w:rPr>
        <w:t>清淤的污泥转移至远离居民点的弃土场，及时喷洒除臭剂，弃土场做好定期洒水抑尘、除臭以及防风防雨措施，工程结束后进行表土覆盖并及时开展弃土区的复绿和复垦工作。</w:t>
      </w:r>
    </w:p>
    <w:p w14:paraId="33E1F28F">
      <w:pPr>
        <w:widowControl w:val="0"/>
        <w:ind w:firstLine="480" w:firstLineChars="200"/>
        <w:rPr>
          <w:rFonts w:cs="Times New Roman"/>
          <w:color w:val="0000FF"/>
        </w:rPr>
      </w:pPr>
      <w:r>
        <w:rPr>
          <w:rFonts w:hint="eastAsia" w:ascii="宋体" w:hAnsi="宋体"/>
          <w:color w:val="0000FF"/>
        </w:rPr>
        <w:t>④</w:t>
      </w:r>
      <w:r>
        <w:rPr>
          <w:rFonts w:cs="Times New Roman"/>
          <w:color w:val="0000FF"/>
        </w:rPr>
        <w:t>危险废物</w:t>
      </w:r>
    </w:p>
    <w:p w14:paraId="4EFAAA82">
      <w:pPr>
        <w:widowControl w:val="0"/>
        <w:ind w:firstLine="480" w:firstLineChars="200"/>
        <w:rPr>
          <w:rFonts w:cs="Times New Roman"/>
          <w:color w:val="0000FF"/>
        </w:rPr>
      </w:pPr>
      <w:r>
        <w:rPr>
          <w:rFonts w:cs="Times New Roman"/>
          <w:color w:val="0000FF"/>
        </w:rPr>
        <w:t>施工机械和车辆日常检修和维护由施工单位委托有资质的单位进行，其维修保养产生的废机油由受托单位统一收集后交由有危险废物处置资质的专门机构进行安全处置；汽车冲洗废水处理工艺中产生的含油污泥统一收集后交由有资质单位处理。</w:t>
      </w:r>
      <w:r>
        <w:rPr>
          <w:rFonts w:hint="eastAsia" w:cs="Times New Roman"/>
          <w:color w:val="0000FF"/>
        </w:rPr>
        <w:t>樊通桥渠下涵</w:t>
      </w:r>
      <w:r>
        <w:rPr>
          <w:rFonts w:cs="Times New Roman"/>
          <w:color w:val="0000FF"/>
        </w:rPr>
        <w:t>工程使用少量的有机涂料，涂料及其包装物收集后暂存于管理房危险废物仓库，定期委托有资质的范围处置。根据《国家危险废物名录（2021年版）》中危险废物豁免管理清单，本项目保守要求废弃含油抹布及手套纳入危险废物管理，收集后委托有资质单位处理处置。</w:t>
      </w:r>
    </w:p>
    <w:p w14:paraId="65ED89B6">
      <w:pPr>
        <w:widowControl w:val="0"/>
        <w:ind w:firstLine="482" w:firstLineChars="200"/>
        <w:rPr>
          <w:rFonts w:cs="Times New Roman"/>
          <w:b/>
          <w:bCs/>
          <w:color w:val="0000FF"/>
        </w:rPr>
      </w:pPr>
      <w:r>
        <w:rPr>
          <w:rFonts w:cs="Times New Roman"/>
          <w:b/>
          <w:bCs/>
          <w:color w:val="0000FF"/>
        </w:rPr>
        <w:t>二、运营期固体废物处置措施</w:t>
      </w:r>
    </w:p>
    <w:p w14:paraId="588B5B68">
      <w:pPr>
        <w:ind w:firstLine="480" w:firstLineChars="200"/>
        <w:rPr>
          <w:rFonts w:cs="Times New Roman"/>
          <w:color w:val="0000FF"/>
        </w:rPr>
      </w:pPr>
      <w:r>
        <w:rPr>
          <w:rFonts w:cs="Times New Roman"/>
          <w:color w:val="0000FF"/>
        </w:rPr>
        <w:t>1、生活垃圾</w:t>
      </w:r>
    </w:p>
    <w:p w14:paraId="4687BF2C">
      <w:pPr>
        <w:ind w:firstLine="480" w:firstLineChars="200"/>
        <w:rPr>
          <w:rFonts w:cs="Times New Roman"/>
          <w:color w:val="0000FF"/>
        </w:rPr>
      </w:pPr>
      <w:r>
        <w:rPr>
          <w:rFonts w:cs="Times New Roman"/>
          <w:color w:val="0000FF"/>
        </w:rPr>
        <w:t>运营期不新增人员，故无生活垃圾产生，主要是各类涵闸等渠系建筑物运行检修会产生的危废，包括设备日常检修产生的废机油及其包装容器。</w:t>
      </w:r>
    </w:p>
    <w:p w14:paraId="1B7014D3">
      <w:pPr>
        <w:ind w:firstLine="482" w:firstLineChars="200"/>
        <w:rPr>
          <w:rFonts w:cs="Times New Roman"/>
          <w:color w:val="0000FF"/>
        </w:rPr>
      </w:pPr>
      <w:r>
        <w:rPr>
          <w:rFonts w:cs="Times New Roman"/>
          <w:b/>
          <w:bCs/>
          <w:color w:val="0000FF"/>
        </w:rPr>
        <w:t>2、危险废物</w:t>
      </w:r>
    </w:p>
    <w:p w14:paraId="49180996">
      <w:pPr>
        <w:widowControl w:val="0"/>
        <w:ind w:firstLine="480" w:firstLineChars="200"/>
        <w:rPr>
          <w:rFonts w:cs="Times New Roman"/>
          <w:color w:val="0000FF"/>
        </w:rPr>
      </w:pPr>
      <w:r>
        <w:rPr>
          <w:rFonts w:cs="Times New Roman"/>
          <w:color w:val="0000FF"/>
        </w:rPr>
        <w:t>项目运营期各类涵闸等渠系建筑物运行检修会产生的危废包括设备日常检修和维护产生少量废机油及其包装容器，废机油及其包装容器属于危险废物，危废类别为HW08，900-249-08。各管理处集中收集，在管理处设置危废暂存设施，废机油采用桶装，底部放置托盘，并交由有危险废物处置资质的专门机构进行安全处置。</w:t>
      </w:r>
    </w:p>
    <w:p w14:paraId="46E5C61E">
      <w:pPr>
        <w:widowControl w:val="0"/>
        <w:ind w:firstLine="480" w:firstLineChars="200"/>
        <w:rPr>
          <w:rFonts w:cs="Times New Roman"/>
          <w:color w:val="0000FF"/>
        </w:rPr>
      </w:pPr>
      <w:r>
        <w:rPr>
          <w:rFonts w:hint="eastAsia" w:cs="Times New Roman"/>
          <w:color w:val="0000FF"/>
        </w:rPr>
        <w:t>（</w:t>
      </w:r>
      <w:r>
        <w:rPr>
          <w:rFonts w:cs="Times New Roman"/>
          <w:color w:val="0000FF"/>
        </w:rPr>
        <w:t>1）贮存物质相容性要求：在常温常压下不水解、不挥发的固体危险废物可在贮存场所内分别堆放，除此之外的其他危险废物必须存放于容器中，存放用容器也</w:t>
      </w:r>
      <w:r>
        <w:rPr>
          <w:rFonts w:hint="eastAsia" w:cs="Times New Roman"/>
          <w:color w:val="0000FF"/>
        </w:rPr>
        <w:t>须</w:t>
      </w:r>
      <w:r>
        <w:rPr>
          <w:rFonts w:cs="Times New Roman"/>
          <w:color w:val="0000FF"/>
        </w:rPr>
        <w:t>符合（GB18597-2023）标准的相关规定；禁止将不相容（相互反应）的危险废物在同一容器中存放；无法装入常用容器的危险废物可用防漏胶袋等盛装；装载液体、半固体危险废物的容器内须留有足够空间，容器顶部与液体表面之间保留100mm以上的空间。</w:t>
      </w:r>
    </w:p>
    <w:p w14:paraId="57B415E0">
      <w:pPr>
        <w:widowControl w:val="0"/>
        <w:ind w:firstLine="480" w:firstLineChars="200"/>
        <w:rPr>
          <w:rFonts w:cs="Times New Roman"/>
          <w:color w:val="0000FF"/>
        </w:rPr>
      </w:pPr>
      <w:r>
        <w:rPr>
          <w:rFonts w:hint="eastAsia" w:cs="Times New Roman"/>
          <w:color w:val="0000FF"/>
        </w:rPr>
        <w:t>（</w:t>
      </w:r>
      <w:r>
        <w:rPr>
          <w:rFonts w:cs="Times New Roman"/>
          <w:color w:val="0000FF"/>
        </w:rPr>
        <w:t>2）包装容器要求：危险废物贮存容器应当使用符合标准的容器盛装危险废物，装载危险废物的容器及材质要满足相应的强度要求，完好无损，盛装危险废物的容器材质和衬里要与危险废物相容。</w:t>
      </w:r>
    </w:p>
    <w:p w14:paraId="4E0B3B2F">
      <w:pPr>
        <w:widowControl w:val="0"/>
        <w:ind w:firstLine="480" w:firstLineChars="200"/>
        <w:rPr>
          <w:rFonts w:cs="Times New Roman"/>
          <w:color w:val="0000FF"/>
        </w:rPr>
      </w:pPr>
      <w:r>
        <w:rPr>
          <w:rFonts w:hint="eastAsia" w:cs="Times New Roman"/>
          <w:color w:val="0000FF"/>
        </w:rPr>
        <w:t>（</w:t>
      </w:r>
      <w:r>
        <w:rPr>
          <w:rFonts w:cs="Times New Roman"/>
          <w:color w:val="0000FF"/>
        </w:rPr>
        <w:t>3）危险废物贮存场所要求：对于危险废物暂存区域应严格按照《危险废物贮存污染控制标准》（GB18597-2023），地面进行耐腐蚀硬化处理，地基须防渗，地面表面无裂缝；不相容的危险废物需分类存放，并设置隔离间隔断；危险废物堆要防风、防雨、防晒、防渗。</w:t>
      </w:r>
    </w:p>
    <w:p w14:paraId="6147A1A0">
      <w:pPr>
        <w:widowControl w:val="0"/>
        <w:ind w:firstLine="480" w:firstLineChars="200"/>
        <w:rPr>
          <w:rFonts w:cs="Times New Roman"/>
          <w:color w:val="0000FF"/>
        </w:rPr>
      </w:pPr>
      <w:r>
        <w:rPr>
          <w:rFonts w:hint="eastAsia" w:cs="Times New Roman"/>
          <w:color w:val="0000FF"/>
        </w:rPr>
        <w:t>（</w:t>
      </w:r>
      <w:r>
        <w:rPr>
          <w:rFonts w:cs="Times New Roman"/>
          <w:color w:val="0000FF"/>
        </w:rPr>
        <w:t>4）危险废物暂存管理要求</w:t>
      </w:r>
    </w:p>
    <w:p w14:paraId="007BCB18">
      <w:pPr>
        <w:widowControl w:val="0"/>
        <w:ind w:firstLine="480" w:firstLineChars="200"/>
        <w:rPr>
          <w:rFonts w:cs="Times New Roman"/>
          <w:color w:val="0000FF"/>
        </w:rPr>
      </w:pPr>
      <w:r>
        <w:rPr>
          <w:rFonts w:hint="eastAsia" w:ascii="宋体" w:hAnsi="宋体"/>
          <w:color w:val="0000FF"/>
        </w:rPr>
        <w:t>①</w:t>
      </w:r>
      <w:r>
        <w:rPr>
          <w:rFonts w:cs="Times New Roman"/>
          <w:color w:val="0000FF"/>
        </w:rPr>
        <w:t>危废暂存间设立危险废物进出入台账登记管理制度，记录每次运送流程和处置去向，严格执行危险废物电子联单制度，实行对危险废物从源头到终端处理的全过程监管，确保危险废物100%得到安全处置。</w:t>
      </w:r>
    </w:p>
    <w:p w14:paraId="1B3960AB">
      <w:pPr>
        <w:widowControl w:val="0"/>
        <w:ind w:firstLine="480" w:firstLineChars="200"/>
        <w:rPr>
          <w:rFonts w:ascii="宋体" w:hAnsi="宋体"/>
          <w:color w:val="0000FF"/>
        </w:rPr>
      </w:pPr>
      <w:r>
        <w:rPr>
          <w:rFonts w:hint="eastAsia" w:ascii="宋体" w:hAnsi="宋体"/>
          <w:color w:val="0000FF"/>
        </w:rPr>
        <w:t>②</w:t>
      </w:r>
      <w:r>
        <w:rPr>
          <w:rFonts w:cs="Times New Roman"/>
          <w:color w:val="0000FF"/>
        </w:rPr>
        <w:t>建设单位应根据《危险废物收集、贮存、运输技术规范》（HJ 2025-2012）的要求，严格落实各项环保措施，将各类危险废物委托具有资质的单位安全处理，并至当地生态环境部门备案。</w:t>
      </w:r>
    </w:p>
    <w:p w14:paraId="2A492A02">
      <w:pPr>
        <w:widowControl w:val="0"/>
        <w:ind w:firstLine="480" w:firstLineChars="200"/>
        <w:rPr>
          <w:rFonts w:ascii="宋体" w:hAnsi="宋体"/>
          <w:color w:val="0000FF"/>
        </w:rPr>
      </w:pPr>
      <w:r>
        <w:rPr>
          <w:rFonts w:hint="eastAsia" w:ascii="宋体" w:hAnsi="宋体"/>
          <w:color w:val="0000FF"/>
        </w:rPr>
        <w:t>③危废暂存间由专人负责管理，其他人未经允许不得进入；应定期进行检查,防止泄露事故发生。</w:t>
      </w:r>
    </w:p>
    <w:p w14:paraId="58960BE9">
      <w:pPr>
        <w:widowControl w:val="0"/>
        <w:ind w:firstLine="480" w:firstLineChars="200"/>
        <w:rPr>
          <w:rFonts w:ascii="宋体" w:hAnsi="宋体"/>
          <w:color w:val="0000FF"/>
        </w:rPr>
      </w:pPr>
      <w:r>
        <w:rPr>
          <w:rFonts w:hint="eastAsia" w:ascii="宋体" w:hAnsi="宋体"/>
          <w:color w:val="0000FF"/>
        </w:rPr>
        <w:t>④作业设备及车辆等结束作业离开危废暂存间时，应对其残留的危险废物进行清理，清理的废物或清洗废水应进行收集处理。</w:t>
      </w:r>
    </w:p>
    <w:p w14:paraId="40B25405">
      <w:pPr>
        <w:widowControl w:val="0"/>
        <w:ind w:firstLine="480" w:firstLineChars="200"/>
        <w:rPr>
          <w:rFonts w:cs="Times New Roman"/>
          <w:color w:val="0000FF"/>
        </w:rPr>
      </w:pPr>
      <w:r>
        <w:rPr>
          <w:rFonts w:hint="eastAsia" w:ascii="宋体" w:hAnsi="宋体"/>
          <w:color w:val="0000FF"/>
        </w:rPr>
        <w:t>⑤根据国家土壤和地下水污染防治的有关规定，定期开展隐患排查；发现隐患应及时采取措施消除隐患，并建立档案。</w:t>
      </w:r>
    </w:p>
    <w:p w14:paraId="4E26734E">
      <w:pPr>
        <w:pStyle w:val="3"/>
        <w:bidi w:val="0"/>
      </w:pPr>
      <w:bookmarkStart w:id="83" w:name="_Toc17404"/>
      <w:r>
        <w:t>7.6 土壤环境保护措施</w:t>
      </w:r>
      <w:bookmarkEnd w:id="83"/>
    </w:p>
    <w:p w14:paraId="129509C7">
      <w:pPr>
        <w:pStyle w:val="4"/>
        <w:bidi w:val="0"/>
      </w:pPr>
      <w:r>
        <w:rPr>
          <w:rFonts w:hint="eastAsia"/>
          <w:lang w:val="en-US" w:eastAsia="zh-CN"/>
        </w:rPr>
        <w:t xml:space="preserve">7.6.1 </w:t>
      </w:r>
      <w:r>
        <w:t>施工期土壤环境保护措施</w:t>
      </w:r>
    </w:p>
    <w:p w14:paraId="59A8896B">
      <w:pPr>
        <w:bidi w:val="0"/>
      </w:pPr>
      <w:r>
        <w:t>（1）施工期及运行期各类污废水、固体废物应按</w:t>
      </w:r>
      <w:r>
        <w:rPr>
          <w:rFonts w:hint="eastAsia"/>
        </w:rPr>
        <w:t>“</w:t>
      </w:r>
      <w:r>
        <w:t>7.2.1地表水环境保护措施</w:t>
      </w:r>
      <w:r>
        <w:rPr>
          <w:rFonts w:hint="eastAsia"/>
        </w:rPr>
        <w:t>”</w:t>
      </w:r>
      <w:r>
        <w:t>和</w:t>
      </w:r>
      <w:r>
        <w:rPr>
          <w:rFonts w:hint="eastAsia"/>
        </w:rPr>
        <w:t>“</w:t>
      </w:r>
      <w:r>
        <w:t>7.5固体废物处置措施</w:t>
      </w:r>
      <w:r>
        <w:rPr>
          <w:rFonts w:hint="eastAsia"/>
        </w:rPr>
        <w:t>”</w:t>
      </w:r>
      <w:r>
        <w:t>进行处理和处置，避免污染工程周边土壤环境。</w:t>
      </w:r>
    </w:p>
    <w:p w14:paraId="244521C6">
      <w:pPr>
        <w:bidi w:val="0"/>
      </w:pPr>
      <w:r>
        <w:t>（2）对工程区内耕地、园地地块进行表土剥离，并运往表土堆存场集中堆置防护，用于后期植被恢复。</w:t>
      </w:r>
    </w:p>
    <w:p w14:paraId="5A87DE22">
      <w:pPr>
        <w:bidi w:val="0"/>
      </w:pPr>
      <w:r>
        <w:t>（3）应加强施工期污水处理设施防渗和地面硬化，防止污水跑、冒、滴、漏，避免对土壤环境产生污染。</w:t>
      </w:r>
    </w:p>
    <w:p w14:paraId="1D827EE0">
      <w:pPr>
        <w:bidi w:val="0"/>
      </w:pPr>
      <w:r>
        <w:t>（4）加强对化学品和危险废物的管理，防止区域地下水和土壤受到污染。</w:t>
      </w:r>
    </w:p>
    <w:p w14:paraId="6DD6D0D2">
      <w:pPr>
        <w:bidi w:val="0"/>
        <w:rPr>
          <w:color w:val="0000FF"/>
        </w:rPr>
      </w:pPr>
      <w:r>
        <w:rPr>
          <w:color w:val="0000FF"/>
        </w:rPr>
        <w:t xml:space="preserve">（5）疏浚底泥满足《土壤环境质量 </w:t>
      </w:r>
      <w:r>
        <w:rPr>
          <w:rFonts w:hint="eastAsia"/>
          <w:color w:val="0000FF"/>
          <w:lang w:val="en-US" w:eastAsia="zh-CN"/>
        </w:rPr>
        <w:t xml:space="preserve"> </w:t>
      </w:r>
      <w:r>
        <w:rPr>
          <w:color w:val="0000FF"/>
        </w:rPr>
        <w:t>农用地土壤污染风险管控标准（试行）》（GB15618-2018）的要求，弃土不会造成施工期土壤环境污染。</w:t>
      </w:r>
    </w:p>
    <w:p w14:paraId="62FCEC33">
      <w:pPr>
        <w:bidi w:val="0"/>
      </w:pPr>
      <w:r>
        <w:rPr>
          <w:color w:val="0000FF"/>
        </w:rPr>
        <w:t>弃土过程应该严格按照《土壤污染防治行动计划》、《安徽省土壤污染防治工作方案》等相关文件要求进行，做到弃土规范化，确保不产生二次污染。</w:t>
      </w:r>
    </w:p>
    <w:p w14:paraId="17A88E34">
      <w:pPr>
        <w:pStyle w:val="4"/>
        <w:bidi w:val="0"/>
      </w:pPr>
      <w:r>
        <w:rPr>
          <w:rFonts w:hint="eastAsia"/>
          <w:lang w:val="en-US" w:eastAsia="zh-CN"/>
        </w:rPr>
        <w:t xml:space="preserve">7.6.2 </w:t>
      </w:r>
      <w:r>
        <w:t>运营期土壤环境保护措施</w:t>
      </w:r>
    </w:p>
    <w:p w14:paraId="2F5DC13F">
      <w:pPr>
        <w:bidi w:val="0"/>
      </w:pPr>
      <w:r>
        <w:t>加强运营期灌区周边土壤含盐量和地下水水位的监测，若出现因本项目建设造成的土壤盐化现象（SSC≥1）时，应采取排水排盐或降低地下水位的措施。对于排水排盐措施，可通过设置暗管进行排水排盐，配合种植盐分吸收植物改良土壤；对于降低地下水位措施，可适当抽取地下水降低地下水水位。</w:t>
      </w:r>
    </w:p>
    <w:p w14:paraId="59AF4B2F">
      <w:pPr>
        <w:pStyle w:val="3"/>
        <w:bidi w:val="0"/>
      </w:pPr>
      <w:bookmarkStart w:id="84" w:name="_Toc11817"/>
      <w:r>
        <w:t>7.7 生态环境保护措施</w:t>
      </w:r>
      <w:bookmarkEnd w:id="84"/>
    </w:p>
    <w:p w14:paraId="718CB0EC">
      <w:pPr>
        <w:pStyle w:val="4"/>
        <w:bidi w:val="0"/>
      </w:pPr>
      <w:r>
        <w:rPr>
          <w:rFonts w:hint="eastAsia"/>
          <w:lang w:val="en-US" w:eastAsia="zh-CN"/>
        </w:rPr>
        <w:t xml:space="preserve">7.7.1 </w:t>
      </w:r>
      <w:r>
        <w:t>施工期生态环境保护措施</w:t>
      </w:r>
    </w:p>
    <w:p w14:paraId="0D81BD56">
      <w:pPr>
        <w:bidi w:val="0"/>
      </w:pPr>
      <w:r>
        <w:t>工程监理人员、管理人员和施工人员应熟悉各施工点及其周边的主要植物种类及分布，以便在施工过程中进行严格的监理和管理，减少不必要的破坏。施工前对施工人员进行环境</w:t>
      </w:r>
      <w:r>
        <w:rPr>
          <w:rFonts w:hint="eastAsia"/>
          <w:lang w:val="en-US" w:eastAsia="zh-CN"/>
        </w:rPr>
        <w:t>宣传</w:t>
      </w:r>
      <w:r>
        <w:t>、生物多样性保护教育及有关</w:t>
      </w:r>
      <w:r>
        <w:rPr>
          <w:rFonts w:hint="eastAsia"/>
        </w:rPr>
        <w:t>法律法规</w:t>
      </w:r>
      <w:r>
        <w:t>的宣传教育，施工人员必须遵守《中华人民共和国野生动物保护法》，破坏生物多样性将要承担相应的法律责任。虽然在现状调查期间工程施工区内未发现珍稀保护植物，一旦发现，应及时采取措施，并及时上报，管理部门应遵循就地保护优先、迁地保护其次的原则，确保保护植物不受或少受工程影响。</w:t>
      </w:r>
    </w:p>
    <w:p w14:paraId="354350E2">
      <w:pPr>
        <w:bidi w:val="0"/>
      </w:pPr>
      <w:r>
        <w:t>施工期间，以公告等形式，在施工单位及施工人员中加强野生动物保护法宣传教育，保护野生动物的栖息地。鉴于鸟类对噪音、振动和光线的特殊要求，施工尽可能在白天进行，晚上不施工，减少鸣笛等声音。严禁施工人员非法猎捕施工区的鸟类、蛙类、蛇类和哺乳动物等。对进入施工区的野生动物应进行有目的的驱赶，使其能够转移至相邻的生境，因爬行类和两栖类的活动能力差，必要时应进行人工捕捉，放生到适宜的环境中。</w:t>
      </w:r>
    </w:p>
    <w:p w14:paraId="18AF2AA3">
      <w:pPr>
        <w:pStyle w:val="4"/>
        <w:bidi w:val="0"/>
      </w:pPr>
      <w:r>
        <w:rPr>
          <w:rFonts w:hint="eastAsia"/>
          <w:lang w:val="en-US" w:eastAsia="zh-CN"/>
        </w:rPr>
        <w:t xml:space="preserve">7.7.2 </w:t>
      </w:r>
      <w:r>
        <w:t>运营期生态环境保护措施</w:t>
      </w:r>
    </w:p>
    <w:p w14:paraId="5D32C722">
      <w:pPr>
        <w:bidi w:val="0"/>
      </w:pPr>
      <w:r>
        <w:t>项目运营期对生态环境影响较小，应做好运营期植被恢复和水土保护工作。</w:t>
      </w:r>
    </w:p>
    <w:p w14:paraId="02F544C0">
      <w:pPr>
        <w:bidi w:val="0"/>
      </w:pPr>
      <w:r>
        <w:rPr>
          <w:rFonts w:hint="eastAsia"/>
          <w:lang w:eastAsia="zh-CN"/>
        </w:rPr>
        <w:t>（</w:t>
      </w:r>
      <w:r>
        <w:rPr>
          <w:rFonts w:hint="eastAsia"/>
          <w:lang w:val="en-US" w:eastAsia="zh-CN"/>
        </w:rPr>
        <w:t>1</w:t>
      </w:r>
      <w:r>
        <w:rPr>
          <w:rFonts w:hint="eastAsia"/>
          <w:lang w:eastAsia="zh-CN"/>
        </w:rPr>
        <w:t>）</w:t>
      </w:r>
      <w:r>
        <w:t>干渠护坡工程生态防护</w:t>
      </w:r>
    </w:p>
    <w:p w14:paraId="6A36C06D">
      <w:pPr>
        <w:bidi w:val="0"/>
      </w:pPr>
      <w:r>
        <w:t>种植草本植物防护：结合水土保持工程设计，做好植被恢复工作。主要是进行植草</w:t>
      </w:r>
      <w:r>
        <w:rPr>
          <w:rFonts w:hint="eastAsia"/>
          <w:lang w:val="en-US" w:eastAsia="zh-CN"/>
        </w:rPr>
        <w:t>绿化</w:t>
      </w:r>
      <w:r>
        <w:t>、植被等通过植物的茎叶截留并暂时贮存其中，通过植物的降雨截留，降低了落到坡面的有效雨量对边坡坡面的冲刷作用，从而也就减弱了雨水对边坡坡面土体的侵蚀。依照乔灌木相结合，采用本地化植物，是防护边坡生态退化的重要措施。应以当地普遍性植被、乡土植物为基调选择及配置植物的种子，对适于本地生长的外地植物为基调选择及配置植物的种子，对适于本地生长的外地植物应加以科学的由选择性的引进。</w:t>
      </w:r>
    </w:p>
    <w:p w14:paraId="03379BA5">
      <w:pPr>
        <w:bidi w:val="0"/>
      </w:pPr>
      <w:r>
        <w:rPr>
          <w:rFonts w:hint="eastAsia"/>
          <w:lang w:eastAsia="zh-CN"/>
        </w:rPr>
        <w:t>（</w:t>
      </w:r>
      <w:r>
        <w:rPr>
          <w:rFonts w:hint="eastAsia"/>
          <w:lang w:val="en-US" w:eastAsia="zh-CN"/>
        </w:rPr>
        <w:t>2</w:t>
      </w:r>
      <w:r>
        <w:rPr>
          <w:rFonts w:hint="eastAsia"/>
          <w:lang w:eastAsia="zh-CN"/>
        </w:rPr>
        <w:t>）</w:t>
      </w:r>
      <w:r>
        <w:t>闸</w:t>
      </w:r>
      <w:r>
        <w:rPr>
          <w:rFonts w:hint="eastAsia"/>
          <w:lang w:eastAsia="zh-CN"/>
        </w:rPr>
        <w:t>、</w:t>
      </w:r>
      <w:r>
        <w:t>桥等建筑物工程生态防护</w:t>
      </w:r>
    </w:p>
    <w:p w14:paraId="0050E772">
      <w:pPr>
        <w:bidi w:val="0"/>
      </w:pPr>
      <w:r>
        <w:t>涵</w:t>
      </w:r>
      <w:r>
        <w:rPr>
          <w:rFonts w:hint="eastAsia"/>
          <w:lang w:eastAsia="zh-CN"/>
        </w:rPr>
        <w:t>、</w:t>
      </w:r>
      <w:r>
        <w:t>闸应建立规范的运行管理和操作责任制度，搞好设备维护，并建立健全涵闸的联合调度机制，通过对过闸流量的合理调控，维持河道水质。</w:t>
      </w:r>
    </w:p>
    <w:p w14:paraId="0123E5BC">
      <w:pPr>
        <w:bidi w:val="0"/>
      </w:pPr>
      <w:r>
        <w:rPr>
          <w:rFonts w:hint="eastAsia"/>
          <w:lang w:eastAsia="zh-CN"/>
        </w:rPr>
        <w:t>（</w:t>
      </w:r>
      <w:r>
        <w:rPr>
          <w:rFonts w:hint="eastAsia"/>
          <w:lang w:val="en-US" w:eastAsia="zh-CN"/>
        </w:rPr>
        <w:t>3</w:t>
      </w:r>
      <w:r>
        <w:rPr>
          <w:rFonts w:hint="eastAsia"/>
          <w:lang w:eastAsia="zh-CN"/>
        </w:rPr>
        <w:t>）</w:t>
      </w:r>
      <w:r>
        <w:t>渠道工程生态防护</w:t>
      </w:r>
    </w:p>
    <w:p w14:paraId="25BFFA04">
      <w:pPr>
        <w:bidi w:val="0"/>
        <w:rPr>
          <w:color w:val="0000FF"/>
        </w:rPr>
      </w:pPr>
      <w:r>
        <w:rPr>
          <w:color w:val="0000FF"/>
        </w:rPr>
        <w:t>针对工程实施造成项取土场区域森林面积减少的状况，项目建设单位</w:t>
      </w:r>
      <w:r>
        <w:rPr>
          <w:rFonts w:hint="eastAsia"/>
          <w:color w:val="0000FF"/>
        </w:rPr>
        <w:t>按照</w:t>
      </w:r>
      <w:r>
        <w:rPr>
          <w:color w:val="0000FF"/>
        </w:rPr>
        <w:t>国家规定标准足额缴纳森林植被恢复费，当地林业主管部门利用项目建设征收的该专项资金，提出相应的植被恢复措施。在被占用征收林地乡（镇、场）范围内选择适宜人工造林地块进行植被恢复。树种尽可能选择项目区域乡土树种，明确具体的植被恢复措施，恢复和扩大森林资源、做到林种、树种多样化，确保森林资源数量质量不下降。</w:t>
      </w:r>
    </w:p>
    <w:p w14:paraId="4AB999BC">
      <w:pPr>
        <w:bidi w:val="0"/>
      </w:pPr>
      <w:r>
        <w:t>在工程周边设立爱护野生动物和自然植被的宣传牌。灌区管理人员进场前需进行生态保护教育，严禁偷猎和破坏野生动物生境的行为。并采取适当的奖惩制度，奖励保护生态环境的积极人员，惩罚破坏生态环境的人员。</w:t>
      </w:r>
    </w:p>
    <w:p w14:paraId="30E77801">
      <w:pPr>
        <w:pStyle w:val="4"/>
        <w:bidi w:val="0"/>
      </w:pPr>
      <w:r>
        <w:t>7.7.</w:t>
      </w:r>
      <w:r>
        <w:rPr>
          <w:rFonts w:hint="eastAsia"/>
          <w:lang w:val="en-US" w:eastAsia="zh-CN"/>
        </w:rPr>
        <w:t>3</w:t>
      </w:r>
      <w:r>
        <w:t xml:space="preserve"> </w:t>
      </w:r>
      <w:r>
        <w:rPr>
          <w:rFonts w:hint="eastAsia"/>
        </w:rPr>
        <w:t>水生生态保护措施</w:t>
      </w:r>
    </w:p>
    <w:p w14:paraId="631E7F2C">
      <w:pPr>
        <w:bidi w:val="0"/>
      </w:pPr>
      <w:r>
        <w:rPr>
          <w:rFonts w:hint="eastAsia"/>
        </w:rPr>
        <w:t>（</w:t>
      </w:r>
      <w:r>
        <w:rPr>
          <w:rFonts w:hint="eastAsia"/>
          <w:lang w:val="en-US" w:eastAsia="zh-CN"/>
        </w:rPr>
        <w:t>1</w:t>
      </w:r>
      <w:r>
        <w:rPr>
          <w:rFonts w:hint="eastAsia"/>
        </w:rPr>
        <w:t>）</w:t>
      </w:r>
      <w:r>
        <w:t>水生生态避让措施：</w:t>
      </w:r>
    </w:p>
    <w:p w14:paraId="36EF1BB4">
      <w:pPr>
        <w:bidi w:val="0"/>
      </w:pPr>
      <w:r>
        <w:t>施工期避开鲫鱼等鱼类，</w:t>
      </w:r>
      <w:r>
        <w:rPr>
          <w:color w:val="0000FF"/>
        </w:rPr>
        <w:t>加强横排头进水闸、总干渠、干渠施工区水生生物的监测，</w:t>
      </w:r>
      <w:r>
        <w:t>发现洄游性鱼类集中洄游活动时，暂停施工。</w:t>
      </w:r>
    </w:p>
    <w:p w14:paraId="3D4907FA">
      <w:pPr>
        <w:bidi w:val="0"/>
      </w:pPr>
      <w:r>
        <w:rPr>
          <w:rFonts w:hint="eastAsia"/>
        </w:rPr>
        <w:t>（</w:t>
      </w:r>
      <w:r>
        <w:rPr>
          <w:rFonts w:hint="eastAsia"/>
          <w:lang w:val="en-US" w:eastAsia="zh-CN"/>
        </w:rPr>
        <w:t>2</w:t>
      </w:r>
      <w:r>
        <w:rPr>
          <w:rFonts w:hint="eastAsia"/>
        </w:rPr>
        <w:t>）</w:t>
      </w:r>
      <w:r>
        <w:t>水生生态减缓措施</w:t>
      </w:r>
    </w:p>
    <w:p w14:paraId="160FE88D">
      <w:pPr>
        <w:bidi w:val="0"/>
      </w:pPr>
      <w:r>
        <w:rPr>
          <w:rFonts w:hint="default"/>
        </w:rPr>
        <w:t>①</w:t>
      </w:r>
      <w:r>
        <w:t>水生生态环境保护机制建立</w:t>
      </w:r>
    </w:p>
    <w:p w14:paraId="7DA4E6FD">
      <w:pPr>
        <w:bidi w:val="0"/>
      </w:pPr>
      <w:r>
        <w:t>建立风险事故应急预案和响应机制，进行环境风险事故应急响应培训和演练，将可能发生的环境风险事故对水生生物及鱼类资源的损害减小到最低。</w:t>
      </w:r>
    </w:p>
    <w:p w14:paraId="3718CA1B">
      <w:pPr>
        <w:bidi w:val="0"/>
      </w:pPr>
      <w:r>
        <w:t>加强施工人员保护意识教育，杜绝捕食水生生物，尤其是保护对象；施工人员生活区管理规范，生活废弃物严格按规定处理。</w:t>
      </w:r>
    </w:p>
    <w:p w14:paraId="04706677">
      <w:pPr>
        <w:bidi w:val="0"/>
      </w:pPr>
      <w:r>
        <w:rPr>
          <w:rFonts w:hint="default"/>
        </w:rPr>
        <w:t>②</w:t>
      </w:r>
      <w:r>
        <w:t>施工期禁止向评价区内河流、沟渠和湖泊等水体排放生产和生活污水，</w:t>
      </w:r>
      <w:r>
        <w:rPr>
          <w:rFonts w:hint="eastAsia"/>
        </w:rPr>
        <w:t>生产</w:t>
      </w:r>
      <w:r>
        <w:t>废水经处理后全部回用</w:t>
      </w:r>
      <w:r>
        <w:rPr>
          <w:rFonts w:hint="eastAsia"/>
        </w:rPr>
        <w:t>，生活污水经一体化生活污水处理设施处理后达标用于农田灌溉</w:t>
      </w:r>
      <w:r>
        <w:t>；运行期管理人员生活污水依托现有生活污水处理设施进行处理，有污水管网分布的，产生的生活污水将经办公区</w:t>
      </w:r>
      <w:r>
        <w:rPr>
          <w:rFonts w:hint="eastAsia"/>
        </w:rPr>
        <w:t>污水处理设施</w:t>
      </w:r>
      <w:r>
        <w:t>收集预处理后有条件的排入所在街区污水管网，尚未接入污水处理管网的</w:t>
      </w:r>
      <w:r>
        <w:rPr>
          <w:rFonts w:hint="eastAsia"/>
        </w:rPr>
        <w:t>经污水处理设施</w:t>
      </w:r>
      <w:r>
        <w:t>进行处理后定期清掏</w:t>
      </w:r>
      <w:r>
        <w:rPr>
          <w:rFonts w:hint="eastAsia"/>
        </w:rPr>
        <w:t>送至污水处理厂处理或者达到《农田灌溉水质标准》（GB5084-2021）中“水田作物”标准就农利用</w:t>
      </w:r>
      <w:r>
        <w:t>，不外排。</w:t>
      </w:r>
    </w:p>
    <w:p w14:paraId="60EE7B5C">
      <w:pPr>
        <w:bidi w:val="0"/>
      </w:pPr>
      <w:r>
        <w:rPr>
          <w:rFonts w:hint="default"/>
        </w:rPr>
        <w:t>③</w:t>
      </w:r>
      <w:r>
        <w:t>运营期应加强退水水质监测，结合地表水环境保护措施，</w:t>
      </w:r>
      <w:r>
        <w:rPr>
          <w:color w:val="0000FF"/>
        </w:rPr>
        <w:t>严格控制汇入安徽省生态保护红线区域内水体水质，减少对水体的不利影响。</w:t>
      </w:r>
    </w:p>
    <w:p w14:paraId="752F96DC">
      <w:pPr>
        <w:bidi w:val="0"/>
      </w:pPr>
      <w:r>
        <w:rPr>
          <w:rFonts w:hint="eastAsia"/>
          <w:lang w:eastAsia="zh-CN"/>
        </w:rPr>
        <w:t>（</w:t>
      </w:r>
      <w:r>
        <w:rPr>
          <w:rFonts w:hint="eastAsia"/>
          <w:lang w:val="en-US" w:eastAsia="zh-CN"/>
        </w:rPr>
        <w:t>3</w:t>
      </w:r>
      <w:r>
        <w:rPr>
          <w:rFonts w:hint="eastAsia"/>
          <w:lang w:eastAsia="zh-CN"/>
        </w:rPr>
        <w:t>）</w:t>
      </w:r>
      <w:r>
        <w:t>水生生态恢复措施</w:t>
      </w:r>
    </w:p>
    <w:p w14:paraId="4A5375B7">
      <w:pPr>
        <w:bidi w:val="0"/>
      </w:pPr>
      <w:r>
        <w:t>根据调查并查阅相关文献，项目施工区域不直接涉及自然保护区和水产种质资源保护区等生态环境敏感区，工程所在渠段不存在珍稀水生生物。</w:t>
      </w:r>
    </w:p>
    <w:p w14:paraId="4C96BDD5">
      <w:pPr>
        <w:bidi w:val="0"/>
      </w:pPr>
      <w:r>
        <w:t>工程区域存在洄游性鱼类主要包括青鱼、草鱼、鲢鱼、鳙鱼、鲫鱼等，不涉及珍稀濒危鱼类，广泛分布在灌区区域内自然水体中，渠道内考虑除</w:t>
      </w:r>
      <w:r>
        <w:rPr>
          <w:rFonts w:hint="eastAsia"/>
          <w:lang w:val="en-US" w:eastAsia="zh-CN"/>
        </w:rPr>
        <w:t>三东干渠</w:t>
      </w:r>
      <w:r>
        <w:t>等干渠常年有水外大部分渠道非灌溉期无水。结合本工程环境背景与影响特点、确定本阶段水生生态恢复措施如下：</w:t>
      </w:r>
    </w:p>
    <w:p w14:paraId="58A18D2A">
      <w:pPr>
        <w:bidi w:val="0"/>
      </w:pPr>
      <w:r>
        <w:rPr>
          <w:rFonts w:hint="default"/>
        </w:rPr>
        <w:t>①</w:t>
      </w:r>
      <w:r>
        <w:t>收集、投放种类：底栖动物收集、投放种类以项目区常见的种类为主。</w:t>
      </w:r>
    </w:p>
    <w:p w14:paraId="430B72EE">
      <w:pPr>
        <w:bidi w:val="0"/>
      </w:pPr>
      <w:r>
        <w:rPr>
          <w:rFonts w:hint="default"/>
        </w:rPr>
        <w:t>②</w:t>
      </w:r>
      <w:r>
        <w:t>投放区域与时间：投放区域为涉及渠底扰动的渠段，收集、投放时段为工程实施后3～5个月内，连续投放3年，一般在春季和秋季实施，汛期不实施。</w:t>
      </w:r>
    </w:p>
    <w:p w14:paraId="64843DE6">
      <w:pPr>
        <w:bidi w:val="0"/>
      </w:pPr>
      <w:r>
        <w:rPr>
          <w:rFonts w:hint="default"/>
        </w:rPr>
        <w:t>③</w:t>
      </w:r>
      <w:r>
        <w:t>投放量：根据渠底宽度、长度和底栖生物现状调查结果，投放底栖动物。</w:t>
      </w:r>
    </w:p>
    <w:p w14:paraId="391DE259">
      <w:pPr>
        <w:bidi w:val="0"/>
      </w:pPr>
      <w:r>
        <w:rPr>
          <w:rFonts w:hint="eastAsia"/>
        </w:rPr>
        <w:t>④</w:t>
      </w:r>
      <w:r>
        <w:rPr>
          <w:rFonts w:hint="eastAsia"/>
          <w:lang w:val="en-US" w:eastAsia="zh-CN"/>
        </w:rPr>
        <w:t>三东干渠李岗放水渠</w:t>
      </w:r>
      <w:r>
        <w:t>新建1座节制闸，考虑灌溉期大高支渠、程段水库之间的鱼类种质交流需要，在进水闸上下游设置水生生态监测点位，发现有种质交流需要，打开进水闸。</w:t>
      </w:r>
    </w:p>
    <w:p w14:paraId="22C2788E">
      <w:pPr>
        <w:bidi w:val="0"/>
      </w:pPr>
      <w:r>
        <w:rPr>
          <w:rFonts w:hint="eastAsia"/>
        </w:rPr>
        <w:t>3、</w:t>
      </w:r>
      <w:r>
        <w:t>保证生态流量</w:t>
      </w:r>
    </w:p>
    <w:p w14:paraId="5CD1D043">
      <w:pPr>
        <w:bidi w:val="0"/>
      </w:pPr>
      <w:r>
        <w:t>本工程在现有灌区基础上进行改建，不新增渠道流量，根据淠河、史河、杭埠河的流域水量现状生态流量需水要求下泄生态流量，已纳入数字灌区工程</w:t>
      </w:r>
      <w:r>
        <w:rPr>
          <w:rFonts w:hint="eastAsia"/>
        </w:rPr>
        <w:t>，进行数字化控制</w:t>
      </w:r>
      <w:r>
        <w:t>。</w:t>
      </w:r>
    </w:p>
    <w:p w14:paraId="1A008E46">
      <w:pPr>
        <w:pStyle w:val="4"/>
        <w:rPr>
          <w:rFonts w:cs="Times New Roman"/>
          <w:color w:val="0000FF"/>
        </w:rPr>
      </w:pPr>
      <w:r>
        <w:rPr>
          <w:rFonts w:cs="Times New Roman"/>
          <w:color w:val="0000FF"/>
        </w:rPr>
        <w:t xml:space="preserve">7.7.2 </w:t>
      </w:r>
      <w:r>
        <w:rPr>
          <w:rFonts w:hint="eastAsia" w:cs="Times New Roman"/>
          <w:color w:val="0000FF"/>
        </w:rPr>
        <w:t>陆生生态保护措施</w:t>
      </w:r>
    </w:p>
    <w:p w14:paraId="02E0836F">
      <w:pPr>
        <w:ind w:firstLine="480" w:firstLineChars="200"/>
        <w:rPr>
          <w:rFonts w:cs="Times New Roman"/>
          <w:color w:val="0000FF"/>
        </w:rPr>
      </w:pPr>
      <w:r>
        <w:rPr>
          <w:rFonts w:cs="Times New Roman"/>
          <w:color w:val="0000FF"/>
        </w:rPr>
        <w:t>（一）陆生生态避让措施</w:t>
      </w:r>
    </w:p>
    <w:p w14:paraId="71DC57D5">
      <w:pPr>
        <w:ind w:firstLine="480" w:firstLineChars="200"/>
        <w:rPr>
          <w:rFonts w:cs="Times New Roman"/>
          <w:color w:val="0000FF"/>
        </w:rPr>
      </w:pPr>
      <w:r>
        <w:rPr>
          <w:rFonts w:cs="Times New Roman"/>
          <w:color w:val="0000FF"/>
        </w:rPr>
        <w:t>1、鉴于鸟类对噪音、振动和光线的特殊要求，施工尽可能在白天进行，</w:t>
      </w:r>
      <w:r>
        <w:rPr>
          <w:rFonts w:hint="eastAsia" w:cs="Times New Roman"/>
          <w:color w:val="0000FF"/>
        </w:rPr>
        <w:t>夜间禁止</w:t>
      </w:r>
      <w:r>
        <w:rPr>
          <w:rFonts w:cs="Times New Roman"/>
          <w:color w:val="0000FF"/>
        </w:rPr>
        <w:t>不施工，减少鸣笛、放炮等声音。</w:t>
      </w:r>
    </w:p>
    <w:p w14:paraId="20A9C252">
      <w:pPr>
        <w:ind w:firstLine="480" w:firstLineChars="200"/>
        <w:rPr>
          <w:rFonts w:cs="Times New Roman"/>
          <w:color w:val="0000FF"/>
        </w:rPr>
      </w:pPr>
      <w:r>
        <w:rPr>
          <w:rFonts w:cs="Times New Roman"/>
          <w:color w:val="0000FF"/>
        </w:rPr>
        <w:t>2、优化施工占地和布局，减少临时占地面积，严格控制施工边界，严禁在生态保护红线内施工或布设施工场地。</w:t>
      </w:r>
    </w:p>
    <w:p w14:paraId="11213637">
      <w:pPr>
        <w:ind w:firstLine="480" w:firstLineChars="200"/>
        <w:rPr>
          <w:rFonts w:cs="Times New Roman"/>
          <w:color w:val="0000FF"/>
        </w:rPr>
      </w:pPr>
      <w:r>
        <w:rPr>
          <w:rFonts w:cs="Times New Roman"/>
          <w:color w:val="0000FF"/>
        </w:rPr>
        <w:t>3、施工前对相关施工人员广泛宣传野生动植物保护的法律法规与政策，增强他们对野生动植物的保护意识。在工程施工周边区域增加宣传牌，强调对评价区内野生动植物保护的重要性宣传。加强对施工人员的管理，通过制度化严禁施工人员猎捕蛙类、蛇类、兽类、鸟类（包括鸟蛋）等野生动物和从事其他有碍生态保护的活动，保护野生动物及生境。</w:t>
      </w:r>
    </w:p>
    <w:p w14:paraId="30BBA41E">
      <w:pPr>
        <w:ind w:firstLine="480" w:firstLineChars="200"/>
        <w:rPr>
          <w:rFonts w:cs="Times New Roman"/>
          <w:color w:val="0000FF"/>
        </w:rPr>
      </w:pPr>
      <w:r>
        <w:rPr>
          <w:rFonts w:cs="Times New Roman"/>
          <w:color w:val="0000FF"/>
        </w:rPr>
        <w:t>（二）陆生生态减缓措施</w:t>
      </w:r>
    </w:p>
    <w:p w14:paraId="4FA46E6F">
      <w:pPr>
        <w:ind w:firstLine="480" w:firstLineChars="200"/>
        <w:rPr>
          <w:rFonts w:cs="Times New Roman"/>
          <w:color w:val="0000FF"/>
        </w:rPr>
      </w:pPr>
      <w:r>
        <w:rPr>
          <w:rFonts w:cs="Times New Roman"/>
          <w:color w:val="0000FF"/>
        </w:rPr>
        <w:t>1、施工前对施工人员宣讲有关国家有关环境保护和保护区、风景名胜区及湿地公园等的法律、法规、条例、政策，建立敏感区的目的及重要意义。</w:t>
      </w:r>
    </w:p>
    <w:p w14:paraId="4F795058">
      <w:pPr>
        <w:ind w:firstLine="480" w:firstLineChars="200"/>
        <w:rPr>
          <w:rFonts w:cs="Times New Roman"/>
          <w:color w:val="0000FF"/>
        </w:rPr>
      </w:pPr>
      <w:r>
        <w:rPr>
          <w:rFonts w:cs="Times New Roman"/>
          <w:color w:val="0000FF"/>
        </w:rPr>
        <w:t>2、施工前对施工临时设施进行细致规划，减少施工时对地表植被的破坏。严格控制施工临时用地，及时进行植被恢复。工程施工中的临时便道，应首先考虑利用已有道路以及农用道路，减少施工中临时便道的占地面积；施工营地等应先剥离表土30cm的耕作层，等施工结束后及时回填进行恢复。同时，在施工过程中，应注意加强对本区优势植物群落的保护工作。工程完工后及时清理临时占地，对于临时占地，要求在结束后及时清理剩余材料，并采取有效措施迅速恢复植被。</w:t>
      </w:r>
    </w:p>
    <w:p w14:paraId="5E7FBFBD">
      <w:pPr>
        <w:ind w:firstLine="480" w:firstLineChars="200"/>
        <w:rPr>
          <w:rFonts w:cs="Times New Roman"/>
          <w:color w:val="0000FF"/>
        </w:rPr>
      </w:pPr>
      <w:r>
        <w:rPr>
          <w:rFonts w:cs="Times New Roman"/>
          <w:color w:val="0000FF"/>
        </w:rPr>
        <w:t>3、减少环境干扰，爱护野生动植物。在敏感区附近施工应安排在白天进行，夜间（晚上22：00～次日6：00）禁止施工；在保护区周边施工时，要使用低噪音设备，并采取临时隔音措施。在动物活动附近进行施工活动时，应保留一定的施工保护地带，减少对动物的影响；针对动物的不同习性，在施工地界周围布置必要的设施：如栅栏，围墙，避免动物误入工地自伤其身。工程建设设置的路灯，应使用特殊装置避免灯光射出工地之外，以减少对野生动物的干扰。</w:t>
      </w:r>
    </w:p>
    <w:p w14:paraId="2249750D">
      <w:pPr>
        <w:ind w:firstLine="480" w:firstLineChars="200"/>
        <w:rPr>
          <w:rFonts w:cs="Times New Roman"/>
          <w:color w:val="0000FF"/>
        </w:rPr>
      </w:pPr>
      <w:r>
        <w:rPr>
          <w:rFonts w:cs="Times New Roman"/>
          <w:color w:val="0000FF"/>
        </w:rPr>
        <w:t>4、保护动物的保护措施：施工过程中，在施工区域内禁止猎捕野生动物；禁止在禁猎区毁巢、取卵、射猎，排放污水、废气，制造噪音以及实施其他破坏野生动植物生存环境的行为；在施工区域内发现受伤、受困、迷途的保护动物，及时采取救护措施，并报告当地林业行政主管部门或其授权单位。</w:t>
      </w:r>
    </w:p>
    <w:p w14:paraId="461958CB">
      <w:pPr>
        <w:ind w:firstLine="480" w:firstLineChars="200"/>
        <w:rPr>
          <w:rFonts w:cs="Times New Roman"/>
          <w:color w:val="0000FF"/>
        </w:rPr>
      </w:pPr>
      <w:r>
        <w:rPr>
          <w:rFonts w:hint="eastAsia" w:cs="Times New Roman"/>
          <w:color w:val="0000FF"/>
        </w:rPr>
        <w:t>5</w:t>
      </w:r>
      <w:r>
        <w:rPr>
          <w:rFonts w:cs="Times New Roman"/>
          <w:color w:val="0000FF"/>
        </w:rPr>
        <w:t>、在施工结束施工人员撤离时，应及时拆除临时设施，清除碎石、砖块、施工废物等影响植物生存和影响区域景观美学的施工杂物，恢复景观斑块的连通性，以利于植物生长。此外，应对临时施工区进行绿化，尽可能恢复已被破坏的植被，绿化树种应选择当地种类，若选择外地种需慎重，要进行充分的论证，以免造成新的外来物种生态入侵。</w:t>
      </w:r>
    </w:p>
    <w:p w14:paraId="42959987">
      <w:pPr>
        <w:ind w:firstLine="480" w:firstLineChars="200"/>
        <w:rPr>
          <w:rFonts w:cs="Times New Roman"/>
          <w:color w:val="0000FF"/>
        </w:rPr>
      </w:pPr>
      <w:r>
        <w:rPr>
          <w:rFonts w:cs="Times New Roman"/>
          <w:color w:val="0000FF"/>
        </w:rPr>
        <w:t>（三）陆生生态恢复措施</w:t>
      </w:r>
    </w:p>
    <w:p w14:paraId="0D0F426D">
      <w:pPr>
        <w:ind w:firstLine="480" w:firstLineChars="200"/>
        <w:rPr>
          <w:rFonts w:cs="Times New Roman"/>
          <w:color w:val="0000FF"/>
        </w:rPr>
      </w:pPr>
      <w:r>
        <w:rPr>
          <w:rFonts w:cs="Times New Roman"/>
          <w:color w:val="0000FF"/>
        </w:rPr>
        <w:t>1、对陆生植被的保护措施</w:t>
      </w:r>
    </w:p>
    <w:p w14:paraId="2372E921">
      <w:pPr>
        <w:ind w:firstLine="480" w:firstLineChars="200"/>
        <w:rPr>
          <w:rFonts w:cs="Times New Roman"/>
          <w:color w:val="0000FF"/>
        </w:rPr>
      </w:pPr>
      <w:r>
        <w:rPr>
          <w:rFonts w:cs="Times New Roman"/>
          <w:color w:val="0000FF"/>
        </w:rPr>
        <w:t>根据生态监测调查结果，本项目存在野生植物野大豆，对在施工区域的野大豆优先进行选址布局优化，上报至相关林业部门；如考虑周边基本农田密度较大或分布生态红线等其他敏感区域，确实无法避让，应对野大豆进行移栽保护。</w:t>
      </w:r>
    </w:p>
    <w:p w14:paraId="29106A51">
      <w:pPr>
        <w:ind w:firstLine="480" w:firstLineChars="200"/>
        <w:rPr>
          <w:rFonts w:cs="Times New Roman"/>
          <w:color w:val="0000FF"/>
        </w:rPr>
      </w:pPr>
      <w:r>
        <w:rPr>
          <w:rFonts w:cs="Times New Roman"/>
          <w:color w:val="0000FF"/>
        </w:rPr>
        <w:t>工程范围内存在安徽省三级古树皂荚树，建议对工程布置和施工布置进行优化，尽可能对该株古树进行避让，避让后的古树就地建围栏进行保护。其他陆生植被的保护措施如下：</w:t>
      </w:r>
    </w:p>
    <w:p w14:paraId="204ECA48">
      <w:pPr>
        <w:ind w:firstLine="480" w:firstLineChars="200"/>
        <w:rPr>
          <w:rFonts w:cs="Times New Roman"/>
          <w:color w:val="0000FF"/>
        </w:rPr>
      </w:pPr>
      <w:r>
        <w:rPr>
          <w:rFonts w:cs="Times New Roman"/>
          <w:color w:val="0000FF"/>
        </w:rPr>
        <w:t>（1）表层土壤营养成分较多，是植物生长的活力来源。一般为植物根系发育所能伸展到的区域，土壤最为松软、肥沃，对植物的生长发育至关重要；其中，耕作层是土壤表层经过耕作熟化的土层，农作物的最佳耕作层厚度一般为20～25cm。施工过程中，工程施工单位必须按照“先剥离、收集耕作层土壤，再施工”的原则进行施工，避免耕作层土壤资源的浪费。本工程动工之初，应注意保护表层土壤，可将上表0～30cm表土铲取后，集中堆置，以后可分配在需要绿化的边坡、护坡道、隔离带和需要移植大树的植穴中，有利于植被的生长。</w:t>
      </w:r>
    </w:p>
    <w:p w14:paraId="715ED23A">
      <w:pPr>
        <w:ind w:firstLine="480" w:firstLineChars="200"/>
        <w:rPr>
          <w:rFonts w:cs="Times New Roman"/>
          <w:color w:val="0000FF"/>
        </w:rPr>
      </w:pPr>
      <w:r>
        <w:rPr>
          <w:rFonts w:cs="Times New Roman"/>
          <w:color w:val="0000FF"/>
        </w:rPr>
        <w:t>耕作层土壤堆放过程中，施工单位应选择地势比较平缓的地面集中堆放剥离的表土；表土堆置高度不超过5m，堆置边坡比控制在1：1.5以内。为防止水土流失和土壤风化，堆放场应压实，土堆周围加设土袋等临时拦护措施，并播撒草籽、种植青草。</w:t>
      </w:r>
    </w:p>
    <w:p w14:paraId="2C5BE12C">
      <w:pPr>
        <w:ind w:firstLine="480" w:firstLineChars="200"/>
        <w:rPr>
          <w:rFonts w:cs="Times New Roman"/>
          <w:color w:val="0000FF"/>
        </w:rPr>
      </w:pPr>
      <w:r>
        <w:rPr>
          <w:rFonts w:cs="Times New Roman"/>
          <w:color w:val="0000FF"/>
        </w:rPr>
        <w:t>（2）根据项目水土保持方案，水土保持措施按工程范围和施工区类型进行水土流失防治分区，新增水土保持措施主要工程量如下：</w:t>
      </w:r>
    </w:p>
    <w:p w14:paraId="1DD17D7C">
      <w:pPr>
        <w:ind w:firstLine="480" w:firstLineChars="200"/>
        <w:rPr>
          <w:rFonts w:cs="Times New Roman"/>
          <w:color w:val="0000FF"/>
        </w:rPr>
      </w:pPr>
      <w:r>
        <w:rPr>
          <w:rFonts w:cs="Times New Roman"/>
          <w:color w:val="0000FF"/>
        </w:rPr>
        <w:t>1）工程措施</w:t>
      </w:r>
    </w:p>
    <w:p w14:paraId="76E230D6">
      <w:pPr>
        <w:ind w:firstLine="480" w:firstLineChars="200"/>
        <w:rPr>
          <w:rFonts w:cs="Times New Roman"/>
          <w:color w:val="0000FF"/>
        </w:rPr>
      </w:pPr>
      <w:r>
        <w:rPr>
          <w:rFonts w:cs="Times New Roman"/>
          <w:color w:val="0000FF"/>
        </w:rPr>
        <w:t>①表土剥离与回覆</w:t>
      </w:r>
    </w:p>
    <w:p w14:paraId="4901B796">
      <w:pPr>
        <w:ind w:firstLine="480" w:firstLineChars="200"/>
        <w:rPr>
          <w:rFonts w:cs="Times New Roman"/>
          <w:color w:val="0000FF"/>
        </w:rPr>
      </w:pPr>
      <w:r>
        <w:rPr>
          <w:rFonts w:cs="Times New Roman"/>
          <w:color w:val="0000FF"/>
        </w:rPr>
        <w:t>工程表土剥离主要采用机械辅以人工开挖方式进行。剥离表土沿线堆置于临时堆土场，施工结束后用于复垦或恢复植被。表土剥离宜采用推土机结合液压反铲挖掘机开挖，局部机械难以施工部位辅以人工挖掘。先清理土壤层上部植被，对于根系较深的林木应清至新鲜土层下。然后根据土壤厚度分布情况及所需覆土量进行掘取，为防止水土流失，需采取防护措施。</w:t>
      </w:r>
    </w:p>
    <w:p w14:paraId="74C283BE">
      <w:pPr>
        <w:ind w:firstLine="480" w:firstLineChars="200"/>
        <w:rPr>
          <w:rFonts w:cs="Times New Roman"/>
          <w:color w:val="0000FF"/>
        </w:rPr>
      </w:pPr>
      <w:r>
        <w:rPr>
          <w:rFonts w:cs="Times New Roman"/>
          <w:color w:val="0000FF"/>
        </w:rPr>
        <w:t>②土地整治</w:t>
      </w:r>
    </w:p>
    <w:p w14:paraId="770DB179">
      <w:pPr>
        <w:ind w:firstLine="480" w:firstLineChars="200"/>
        <w:rPr>
          <w:rFonts w:cs="Times New Roman"/>
          <w:color w:val="0000FF"/>
        </w:rPr>
      </w:pPr>
      <w:r>
        <w:rPr>
          <w:rFonts w:cs="Times New Roman"/>
          <w:color w:val="0000FF"/>
        </w:rPr>
        <w:t>本工程土地整治是指项目施工完成后，对本期建设扰动的施工迹地及时进行清理，清除地表垃圾，进行坑洼回填，主要采用74kw推土机平整土地表面，范围较窄的区域可采用人工平整。平整后的场地可布置植物措施，复耕区还需布置排水、道路等配套设施。</w:t>
      </w:r>
    </w:p>
    <w:p w14:paraId="75726414">
      <w:pPr>
        <w:ind w:firstLine="480" w:firstLineChars="200"/>
        <w:rPr>
          <w:rFonts w:cs="Times New Roman"/>
          <w:color w:val="0000FF"/>
        </w:rPr>
      </w:pPr>
      <w:r>
        <w:rPr>
          <w:rFonts w:cs="Times New Roman"/>
          <w:color w:val="0000FF"/>
        </w:rPr>
        <w:t>③砼预制块护坡施工</w:t>
      </w:r>
    </w:p>
    <w:p w14:paraId="2D489FDC">
      <w:pPr>
        <w:ind w:firstLine="480" w:firstLineChars="200"/>
        <w:rPr>
          <w:rFonts w:cs="Times New Roman"/>
          <w:color w:val="0000FF"/>
        </w:rPr>
      </w:pPr>
      <w:r>
        <w:rPr>
          <w:rFonts w:cs="Times New Roman"/>
          <w:color w:val="0000FF"/>
        </w:rPr>
        <w:t>混凝土预制块厚度为0.12m，下垫0.1m厚碎石垫层，底部及顶部设M10浆砌石勒脚及压顶。</w:t>
      </w:r>
    </w:p>
    <w:p w14:paraId="6A8A5879">
      <w:pPr>
        <w:ind w:firstLine="480" w:firstLineChars="200"/>
        <w:rPr>
          <w:rFonts w:cs="Times New Roman"/>
          <w:color w:val="0000FF"/>
        </w:rPr>
      </w:pPr>
      <w:r>
        <w:rPr>
          <w:rFonts w:cs="Times New Roman"/>
          <w:color w:val="0000FF"/>
        </w:rPr>
        <w:t>施工程序按坡、岸平整→碎石垫层铺垫→砼预制块安砌的顺序进行。</w:t>
      </w:r>
    </w:p>
    <w:p w14:paraId="688D46FD">
      <w:pPr>
        <w:ind w:firstLine="480" w:firstLineChars="200"/>
        <w:rPr>
          <w:rFonts w:cs="Times New Roman"/>
          <w:color w:val="0000FF"/>
        </w:rPr>
      </w:pPr>
      <w:r>
        <w:rPr>
          <w:rFonts w:cs="Times New Roman"/>
          <w:color w:val="0000FF"/>
        </w:rPr>
        <w:t>场地杂物清除及平整：铺设垫层前将护坡开挖面内的杂草、枯叶、乱石、废渣等进行人工清理。清除完杂物后，要将该段护岸岸坡修规、整平，将低洼处用与地基表面相同的土料填平。</w:t>
      </w:r>
    </w:p>
    <w:p w14:paraId="4B209566">
      <w:pPr>
        <w:ind w:firstLine="480" w:firstLineChars="200"/>
        <w:rPr>
          <w:rFonts w:cs="Times New Roman"/>
          <w:color w:val="0000FF"/>
        </w:rPr>
      </w:pPr>
      <w:r>
        <w:rPr>
          <w:rFonts w:cs="Times New Roman"/>
          <w:color w:val="0000FF"/>
        </w:rPr>
        <w:t>测量放样：样桩以4m×4m的间距打放，并标明刻度，以此控制砂卵石垫层的厚度，样桩打放时应垂直于地面。</w:t>
      </w:r>
    </w:p>
    <w:p w14:paraId="177CABD2">
      <w:pPr>
        <w:ind w:firstLine="480" w:firstLineChars="200"/>
        <w:rPr>
          <w:rFonts w:cs="Times New Roman"/>
          <w:color w:val="0000FF"/>
        </w:rPr>
      </w:pPr>
      <w:r>
        <w:rPr>
          <w:rFonts w:cs="Times New Roman"/>
          <w:color w:val="0000FF"/>
        </w:rPr>
        <w:t>碎石垫层铺设：垫层的铺设以20m为一纵向单位，2～3m为一横向（垂直于水流方向）单位，铺设由坡脚向坡顶逐步施工，其填料由人工从堆料场挑抬至施工地点均匀铺设，并加以平整，确保垫层完全符合设计要求。</w:t>
      </w:r>
    </w:p>
    <w:p w14:paraId="0F475A86">
      <w:pPr>
        <w:ind w:firstLine="480" w:firstLineChars="200"/>
        <w:rPr>
          <w:rFonts w:cs="Times New Roman"/>
          <w:color w:val="0000FF"/>
        </w:rPr>
      </w:pPr>
      <w:r>
        <w:rPr>
          <w:rFonts w:cs="Times New Roman"/>
          <w:color w:val="0000FF"/>
        </w:rPr>
        <w:t>预制块砌筑：砼预制块尺寸及强度应满足设计要求，砌筑时，应根据设计要求布排丁、顺砌块，砌缝应横平竖直，上下层竖缝错开距离不应小于10cm，丁石的上下方不得有竖缝。砌筑时应控制好护坡的上口线、底脚线及铺砌面，保证护坡走向顺畅和护砌面的平整。</w:t>
      </w:r>
    </w:p>
    <w:p w14:paraId="3A941DD9">
      <w:pPr>
        <w:ind w:firstLine="480" w:firstLineChars="200"/>
        <w:rPr>
          <w:rFonts w:cs="Times New Roman"/>
          <w:color w:val="0000FF"/>
        </w:rPr>
      </w:pPr>
      <w:r>
        <w:rPr>
          <w:rFonts w:cs="Times New Roman"/>
          <w:color w:val="0000FF"/>
        </w:rPr>
        <w:t>2）植物措施</w:t>
      </w:r>
    </w:p>
    <w:p w14:paraId="592174A0">
      <w:pPr>
        <w:ind w:firstLine="480" w:firstLineChars="200"/>
        <w:rPr>
          <w:rFonts w:cs="Times New Roman"/>
          <w:color w:val="0000FF"/>
        </w:rPr>
      </w:pPr>
      <w:r>
        <w:rPr>
          <w:rFonts w:cs="Times New Roman"/>
          <w:color w:val="0000FF"/>
        </w:rPr>
        <w:t>①施工准备</w:t>
      </w:r>
    </w:p>
    <w:p w14:paraId="1AE15244">
      <w:pPr>
        <w:ind w:firstLine="480" w:firstLineChars="200"/>
        <w:rPr>
          <w:rFonts w:cs="Times New Roman"/>
          <w:color w:val="0000FF"/>
        </w:rPr>
      </w:pPr>
      <w:r>
        <w:rPr>
          <w:rFonts w:cs="Times New Roman"/>
          <w:color w:val="0000FF"/>
        </w:rPr>
        <w:t>现场踏勘，了解施工部位或现场环境条件，包括土壤、水源、运输和天然肥源等，熟悉各施工场地施工状况，按部就班进入施工作业面。对工程中使用的各类苗木，应进行实地考察，了解苗木数量、质量和运输条件，做好挖掘、包装和运输的最佳方案。落实苗木种植过程中所需的土基、绑扎材料以及劳动力、设备和材料的工作。</w:t>
      </w:r>
    </w:p>
    <w:p w14:paraId="198B109E">
      <w:pPr>
        <w:ind w:firstLine="480" w:firstLineChars="200"/>
        <w:rPr>
          <w:rFonts w:cs="Times New Roman"/>
          <w:color w:val="0000FF"/>
        </w:rPr>
      </w:pPr>
      <w:r>
        <w:rPr>
          <w:rFonts w:cs="Times New Roman"/>
          <w:color w:val="0000FF"/>
        </w:rPr>
        <w:t>种植前，对土壤肥力、pH值等指标进行检测，以指导土壤改良，确保植物生长。</w:t>
      </w:r>
    </w:p>
    <w:p w14:paraId="05C65669">
      <w:pPr>
        <w:ind w:firstLine="480" w:firstLineChars="200"/>
        <w:rPr>
          <w:rFonts w:cs="Times New Roman"/>
          <w:color w:val="0000FF"/>
        </w:rPr>
      </w:pPr>
      <w:r>
        <w:rPr>
          <w:rFonts w:cs="Times New Roman"/>
          <w:color w:val="0000FF"/>
        </w:rPr>
        <w:t>②整地</w:t>
      </w:r>
    </w:p>
    <w:p w14:paraId="5D29EE2F">
      <w:pPr>
        <w:ind w:firstLine="480" w:firstLineChars="200"/>
        <w:rPr>
          <w:rFonts w:cs="Times New Roman"/>
          <w:color w:val="0000FF"/>
        </w:rPr>
      </w:pPr>
      <w:r>
        <w:rPr>
          <w:rFonts w:cs="Times New Roman"/>
          <w:color w:val="0000FF"/>
        </w:rPr>
        <w:t>整地前进行杂物清理，捡除石块、石砾和建筑垃圾，并进行粗平，填平坑洼，然后将剥离的表土进行覆土回填以改善立地条件、增强土地肥力，对取（弃）土（渣）场及施工道路绿化区进行土壤翻松、碎土，再进行细平，形成种植面。整平后，按设计要求人工用石灰标出单棵树的位置和片状分布的不同树草的区域分界线，对乔木和带土球的灌大，采用挖穴方式种植，根据树种的类型、根系的大小，确定挖穴的尺寸及间距，穴状采用圆形，乔木穴径一般0.4～0.5m，穴深50cm以上，灌木（如冠幅0.5m左右带土球的红继木球等）穴径一般在0.3～0.4m，穴深25cm以上。</w:t>
      </w:r>
    </w:p>
    <w:p w14:paraId="15DE355A">
      <w:pPr>
        <w:ind w:firstLine="480" w:firstLineChars="200"/>
        <w:rPr>
          <w:rFonts w:cs="Times New Roman"/>
          <w:color w:val="0000FF"/>
        </w:rPr>
      </w:pPr>
      <w:r>
        <w:rPr>
          <w:rFonts w:cs="Times New Roman"/>
          <w:color w:val="0000FF"/>
        </w:rPr>
        <w:t>③种苗选择</w:t>
      </w:r>
    </w:p>
    <w:p w14:paraId="5F11187E">
      <w:pPr>
        <w:ind w:firstLine="480" w:firstLineChars="200"/>
        <w:rPr>
          <w:rFonts w:cs="Times New Roman"/>
          <w:color w:val="0000FF"/>
        </w:rPr>
      </w:pPr>
      <w:r>
        <w:rPr>
          <w:rFonts w:cs="Times New Roman"/>
          <w:color w:val="0000FF"/>
        </w:rPr>
        <w:t>乔木采用达2级以上标准2年生壮苗；灌木采用2年生壮苗；草籽要求种子的纯净度达90%以上，发芽率达70%以上，草皮要求生长状态良好，无病虫害。</w:t>
      </w:r>
    </w:p>
    <w:p w14:paraId="6E6FDA31">
      <w:pPr>
        <w:ind w:firstLine="480" w:firstLineChars="200"/>
        <w:rPr>
          <w:rFonts w:cs="Times New Roman"/>
          <w:color w:val="0000FF"/>
        </w:rPr>
      </w:pPr>
      <w:r>
        <w:rPr>
          <w:rFonts w:cs="Times New Roman"/>
          <w:color w:val="0000FF"/>
        </w:rPr>
        <w:t>④栽植方法</w:t>
      </w:r>
    </w:p>
    <w:p w14:paraId="4E0D420F">
      <w:pPr>
        <w:ind w:firstLine="480" w:firstLineChars="200"/>
        <w:rPr>
          <w:rFonts w:cs="Times New Roman"/>
          <w:color w:val="0000FF"/>
        </w:rPr>
      </w:pPr>
      <w:r>
        <w:rPr>
          <w:rFonts w:cs="Times New Roman"/>
          <w:color w:val="0000FF"/>
        </w:rPr>
        <w:t>乔木、灌木采用穴植方法，在栽植时应注意其栽植的技术要点，即“三填、两踩、一提苗”，栽植深度一般以超过原根系5～10cm为准。种植工序为：放线定位-挖坑-树坑消毒-回填种植土-栽植-回填-浇水-踩实；苗木定植时苗干要竖直，根系要舒展，深浅要适当；填土一半后需提苗踩实，最后覆上表土。</w:t>
      </w:r>
    </w:p>
    <w:p w14:paraId="2770B3FF">
      <w:pPr>
        <w:ind w:firstLine="480" w:firstLineChars="200"/>
        <w:rPr>
          <w:rFonts w:cs="Times New Roman"/>
          <w:color w:val="0000FF"/>
        </w:rPr>
      </w:pPr>
      <w:r>
        <w:rPr>
          <w:rFonts w:cs="Times New Roman"/>
          <w:color w:val="0000FF"/>
        </w:rPr>
        <w:t>草本采用人工撒播或植草皮的方法。撒播方法即将草籽按设计的撒播密度均匀撒在整好的地上，然后用耙或耱等方法覆土埋压，覆土厚度一般为0.5～1.0cm，撒播后喷水湿润种植区。草皮运输过程中，遇晴天应直接向草皮洒水，避免根系脱水，草皮采用满膛或满坡铺设，边铺设边压实，确保草皮附着土壤，铺设完毕后浇水、踏实。</w:t>
      </w:r>
    </w:p>
    <w:p w14:paraId="1F085781">
      <w:pPr>
        <w:ind w:firstLine="480" w:firstLineChars="200"/>
        <w:rPr>
          <w:rFonts w:cs="Times New Roman"/>
          <w:color w:val="0000FF"/>
        </w:rPr>
      </w:pPr>
      <w:r>
        <w:rPr>
          <w:rFonts w:cs="Times New Roman"/>
          <w:color w:val="0000FF"/>
        </w:rPr>
        <w:t>⑤种植季节</w:t>
      </w:r>
    </w:p>
    <w:p w14:paraId="62F12011">
      <w:pPr>
        <w:ind w:firstLine="480" w:firstLineChars="200"/>
        <w:rPr>
          <w:rFonts w:cs="Times New Roman"/>
          <w:color w:val="0000FF"/>
        </w:rPr>
      </w:pPr>
      <w:r>
        <w:rPr>
          <w:rFonts w:cs="Times New Roman"/>
          <w:color w:val="0000FF"/>
        </w:rPr>
        <w:t>造林季节尽量选在春季或秋季以提高成活率，草籽撒播一般在雨季或墒情较好时进行，不能避免时应考虑高温遮阳。</w:t>
      </w:r>
    </w:p>
    <w:p w14:paraId="30354B03">
      <w:pPr>
        <w:ind w:firstLine="480" w:firstLineChars="200"/>
        <w:rPr>
          <w:rFonts w:cs="Times New Roman"/>
          <w:color w:val="0000FF"/>
        </w:rPr>
      </w:pPr>
      <w:r>
        <w:rPr>
          <w:rFonts w:cs="Times New Roman"/>
          <w:color w:val="0000FF"/>
        </w:rPr>
        <w:t>⑥抚育管理</w:t>
      </w:r>
    </w:p>
    <w:p w14:paraId="3C2F5903">
      <w:pPr>
        <w:ind w:firstLine="480" w:firstLineChars="200"/>
        <w:rPr>
          <w:rFonts w:cs="Times New Roman"/>
          <w:color w:val="0000FF"/>
        </w:rPr>
      </w:pPr>
      <w:r>
        <w:rPr>
          <w:rFonts w:cs="Times New Roman"/>
          <w:color w:val="0000FF"/>
        </w:rPr>
        <w:t>抚育采用人工进行，抚育内容包括：松土、培土、浇水、施肥、补植树苗及必要的修枝和病虫害防治等，抚育时间一般在杂草丛生、枝叶生长旺盛的6月份进行，8月下旬至9月上旬进行第二次抚育。抚育管理分2年进行，第一年抚育2次，第二年抚育1次。第一年定植后应及时浇水，保证苗木成活及正常生长，对缺苗、稀疏或成活率没有达到要求的地方，应在第二年春季及时进行补植或补播，成活率低于40%的需重新栽植，以后根据其生长情况应及时浇水、松土、除草、追肥、修枝、防治病虫害等。植物建植后，应落实好林地的管理和抚育责任。</w:t>
      </w:r>
    </w:p>
    <w:p w14:paraId="2E3811DD">
      <w:pPr>
        <w:ind w:firstLine="480" w:firstLineChars="200"/>
        <w:rPr>
          <w:rFonts w:cs="Times New Roman"/>
          <w:color w:val="0000FF"/>
        </w:rPr>
      </w:pPr>
      <w:r>
        <w:rPr>
          <w:rFonts w:cs="Times New Roman"/>
          <w:color w:val="0000FF"/>
        </w:rPr>
        <w:t>3）临时措施</w:t>
      </w:r>
    </w:p>
    <w:p w14:paraId="2E9EDB79">
      <w:pPr>
        <w:ind w:firstLine="480" w:firstLineChars="200"/>
        <w:rPr>
          <w:rFonts w:cs="Times New Roman"/>
          <w:color w:val="0000FF"/>
        </w:rPr>
      </w:pPr>
      <w:r>
        <w:rPr>
          <w:rFonts w:cs="Times New Roman"/>
          <w:color w:val="0000FF"/>
        </w:rPr>
        <w:t>临时排水沟和沉沙池施工与永久排水设施施工方法基本相同。排水沟、沉沙池施工前，要由测量人员进行放线，施工材料及机具准备完毕后，才可进行沟槽开挖。临时排水设施应尽可能结合永久排水进行布置，能通过加工改造成永久排水设施的不予拆除，减少二次扰动影响；不能利用的进行拆除或填埋。其余的临时措施在施工完毕后均应拆除，拆除的土石方应运至临时堆土场堆放。</w:t>
      </w:r>
    </w:p>
    <w:p w14:paraId="59558502">
      <w:pPr>
        <w:ind w:firstLine="480" w:firstLineChars="200"/>
        <w:rPr>
          <w:rFonts w:cs="Times New Roman"/>
          <w:color w:val="0000FF"/>
        </w:rPr>
      </w:pPr>
      <w:r>
        <w:rPr>
          <w:rFonts w:cs="Times New Roman"/>
          <w:color w:val="0000FF"/>
        </w:rPr>
        <w:t>袋装土拦挡主要为临时堆土防护，采用编织袋装料防护的方法。人工装料，封包并堆筑，料源为现有的堆料；防护结束之后，拆除袋装土并清理场地。袋装土拦挡，码成梯形断面，用于临时堆土四周拦挡。临时覆盖措施需特别注意在施工期雨季边坡的临时苫盖。</w:t>
      </w:r>
    </w:p>
    <w:p w14:paraId="6064683E">
      <w:pPr>
        <w:ind w:firstLine="480" w:firstLineChars="200"/>
        <w:rPr>
          <w:rFonts w:cs="Times New Roman"/>
          <w:color w:val="0000FF"/>
        </w:rPr>
      </w:pPr>
      <w:r>
        <w:rPr>
          <w:rFonts w:cs="Times New Roman"/>
          <w:color w:val="0000FF"/>
        </w:rPr>
        <w:t>2、对陆生动物的保护措施</w:t>
      </w:r>
    </w:p>
    <w:p w14:paraId="2804CE75">
      <w:pPr>
        <w:ind w:firstLine="480" w:firstLineChars="200"/>
        <w:rPr>
          <w:rFonts w:cs="Times New Roman"/>
          <w:color w:val="0000FF"/>
        </w:rPr>
      </w:pPr>
      <w:r>
        <w:rPr>
          <w:rFonts w:cs="Times New Roman"/>
          <w:color w:val="0000FF"/>
        </w:rPr>
        <w:t>根据生态监测调查结果，本项目各工程范围内存在黑鸢、白胸翡翠、小鸦鹊、画眉、红隼等国家二级保护动物，八哥、黑脸噪鹛、白头鹎、珠颈斑鸠等其他野生动物，对项目周边的陆生动物采取的保护措施如下：</w:t>
      </w:r>
    </w:p>
    <w:p w14:paraId="714BFB84">
      <w:pPr>
        <w:ind w:firstLine="480" w:firstLineChars="200"/>
        <w:rPr>
          <w:rFonts w:cs="Times New Roman"/>
          <w:color w:val="0000FF"/>
        </w:rPr>
      </w:pPr>
      <w:r>
        <w:rPr>
          <w:rFonts w:cs="Times New Roman"/>
          <w:color w:val="0000FF"/>
        </w:rPr>
        <w:t>①建立河道管理和生物多样性保护网络系统，形成保护管理网络，加强基础设施建设，尤其是渠道生物多样性保护方面的有关设施、设备。</w:t>
      </w:r>
    </w:p>
    <w:p w14:paraId="1CFB3CC6">
      <w:pPr>
        <w:ind w:firstLine="480" w:firstLineChars="200"/>
        <w:rPr>
          <w:color w:val="0000FF"/>
        </w:rPr>
      </w:pPr>
      <w:r>
        <w:rPr>
          <w:rFonts w:cs="Times New Roman"/>
          <w:color w:val="0000FF"/>
        </w:rPr>
        <w:t>②生物多样性的保护很大程度上取决公众和管理者对生物多样性重要性的认识和观念的转变。一是加强保护野生动物的宣传教育，严禁捕杀野生动物。保护野生动物的栖息地，施工后及时进行生态恢复，进入施工区的野生动物应进行有目的驱赶，使其转移至相邻的生境；二是要提高群众和各级领导干部对生物多样性重要性的认识，增强全社会法制观念和生物多样性保护意识；三是宣传要与提高河道沿岸群众素质、技术培训相结合，真正把宣传做到位。</w:t>
      </w:r>
    </w:p>
    <w:p w14:paraId="374C2E6B">
      <w:pPr>
        <w:pStyle w:val="4"/>
        <w:rPr>
          <w:rFonts w:cs="Times New Roman"/>
          <w:color w:val="0000FF"/>
        </w:rPr>
      </w:pPr>
      <w:r>
        <w:rPr>
          <w:rFonts w:cs="Times New Roman"/>
          <w:color w:val="0000FF"/>
        </w:rPr>
        <w:t>7.7.</w:t>
      </w:r>
      <w:r>
        <w:rPr>
          <w:rFonts w:hint="eastAsia" w:cs="Times New Roman"/>
          <w:color w:val="0000FF"/>
        </w:rPr>
        <w:t>3</w:t>
      </w:r>
      <w:r>
        <w:rPr>
          <w:rFonts w:cs="Times New Roman"/>
          <w:color w:val="0000FF"/>
        </w:rPr>
        <w:t xml:space="preserve"> 生态敏感区保护措施</w:t>
      </w:r>
    </w:p>
    <w:p w14:paraId="56C626FB">
      <w:pPr>
        <w:pStyle w:val="5"/>
        <w:rPr>
          <w:rFonts w:cs="Times New Roman"/>
          <w:bCs/>
          <w:color w:val="0000FF"/>
        </w:rPr>
      </w:pPr>
      <w:r>
        <w:rPr>
          <w:rFonts w:cs="Times New Roman"/>
          <w:bCs/>
          <w:color w:val="0000FF"/>
        </w:rPr>
        <w:t>7.7.</w:t>
      </w:r>
      <w:r>
        <w:rPr>
          <w:rFonts w:hint="eastAsia" w:cs="Times New Roman"/>
          <w:bCs/>
          <w:color w:val="0000FF"/>
        </w:rPr>
        <w:t>3</w:t>
      </w:r>
      <w:r>
        <w:rPr>
          <w:rFonts w:cs="Times New Roman"/>
          <w:bCs/>
          <w:color w:val="0000FF"/>
        </w:rPr>
        <w:t>.1 生态保护红线措施</w:t>
      </w:r>
    </w:p>
    <w:p w14:paraId="7DD85FFC">
      <w:pPr>
        <w:widowControl w:val="0"/>
        <w:ind w:firstLine="480" w:firstLineChars="200"/>
        <w:rPr>
          <w:rFonts w:cs="Times New Roman"/>
          <w:color w:val="0000FF"/>
        </w:rPr>
      </w:pPr>
      <w:r>
        <w:rPr>
          <w:rFonts w:cs="Times New Roman"/>
          <w:color w:val="0000FF"/>
        </w:rPr>
        <w:t>本项目淠河总干渠上段续建配套与现代改造工程、淠河总干渠樊通桥渠下涵拆除重建工程、淠河总干渠下段切岭整治工程、滁河干渠总局直管段续建配套与现代化改造工程和滁河干渠瞿岗等6座渠下涵拆除重建工程</w:t>
      </w:r>
      <w:r>
        <w:rPr>
          <w:rFonts w:hint="eastAsia" w:cs="Times New Roman"/>
          <w:color w:val="0000FF"/>
        </w:rPr>
        <w:t>6个工程</w:t>
      </w:r>
      <w:r>
        <w:rPr>
          <w:rFonts w:cs="Times New Roman"/>
          <w:color w:val="0000FF"/>
        </w:rPr>
        <w:t>涉及生态保护红线，主要是Ⅱ-4大别山北麓山前丘陵岗地水土保持生态保护红线、Ⅱ-3江淮分水岭丘岗水土保持生态保护红线。生态敏感区保护措施如下：</w:t>
      </w:r>
    </w:p>
    <w:p w14:paraId="5F64C110">
      <w:pPr>
        <w:widowControl w:val="0"/>
        <w:ind w:firstLine="480" w:firstLineChars="200"/>
        <w:rPr>
          <w:rFonts w:cs="Times New Roman"/>
          <w:color w:val="0000FF"/>
        </w:rPr>
      </w:pPr>
      <w:r>
        <w:rPr>
          <w:rFonts w:cs="Times New Roman"/>
          <w:color w:val="0000FF"/>
        </w:rPr>
        <w:t>（1）工程保护措施。</w:t>
      </w:r>
    </w:p>
    <w:p w14:paraId="2EAE7FF3">
      <w:pPr>
        <w:widowControl w:val="0"/>
        <w:ind w:firstLine="480" w:firstLineChars="200"/>
        <w:rPr>
          <w:rFonts w:cs="Times New Roman"/>
          <w:color w:val="0000FF"/>
        </w:rPr>
      </w:pPr>
      <w:r>
        <w:rPr>
          <w:rFonts w:cs="Times New Roman"/>
          <w:color w:val="0000FF"/>
        </w:rPr>
        <w:t>①优化施工组织，严格工程管理，设置醒目的标识牌、边界线，严格</w:t>
      </w:r>
      <w:r>
        <w:rPr>
          <w:rFonts w:hint="eastAsia" w:cs="Times New Roman"/>
          <w:color w:val="0000FF"/>
        </w:rPr>
        <w:t>限制</w:t>
      </w:r>
      <w:r>
        <w:rPr>
          <w:rFonts w:cs="Times New Roman"/>
          <w:color w:val="0000FF"/>
        </w:rPr>
        <w:t>施工人员活动范围、机械作业的范围以及行走线路，规范施工行为；</w:t>
      </w:r>
    </w:p>
    <w:p w14:paraId="09B78A47">
      <w:pPr>
        <w:widowControl w:val="0"/>
        <w:ind w:firstLine="480" w:firstLineChars="200"/>
        <w:rPr>
          <w:rFonts w:cs="Times New Roman"/>
          <w:color w:val="0000FF"/>
        </w:rPr>
      </w:pPr>
      <w:r>
        <w:rPr>
          <w:rFonts w:cs="Times New Roman"/>
          <w:color w:val="0000FF"/>
        </w:rPr>
        <w:t>②严禁在生态保护红线范围内设置取弃土场、施工营地等临时用地。施工场地设置挡墙或隔板，不得随意扩大施工范围、越界施工、滥采滥伐，减轻对植被的影响。施工前进行表土剥离，单独堆存并回用。</w:t>
      </w:r>
    </w:p>
    <w:p w14:paraId="4FB6A96F">
      <w:pPr>
        <w:widowControl w:val="0"/>
        <w:ind w:firstLine="480" w:firstLineChars="200"/>
        <w:rPr>
          <w:rFonts w:cs="Times New Roman"/>
          <w:color w:val="0000FF"/>
        </w:rPr>
      </w:pPr>
      <w:r>
        <w:rPr>
          <w:rFonts w:cs="Times New Roman"/>
          <w:color w:val="0000FF"/>
        </w:rPr>
        <w:t>③严禁在生态保护红线范围内排放废水、废渣等污染物，减少对生态保护红线生态环境的扰动；</w:t>
      </w:r>
    </w:p>
    <w:p w14:paraId="44891AA5">
      <w:pPr>
        <w:widowControl w:val="0"/>
        <w:ind w:firstLine="480" w:firstLineChars="200"/>
        <w:rPr>
          <w:rFonts w:cs="Times New Roman"/>
          <w:color w:val="0000FF"/>
        </w:rPr>
      </w:pPr>
      <w:r>
        <w:rPr>
          <w:rFonts w:cs="Times New Roman"/>
          <w:color w:val="0000FF"/>
        </w:rPr>
        <w:t>④严禁猎捕野生动物（含鱼类）和采摘、践踏及随意铲除地表植被和林木；禁止施工人员下湖（河）捕鱼或毒杀鱼类等行为。施工过程中如发现建设区域沿线涉及其他重点保护植物应尽快报告省、市林业部门，并采取必要措施组织挽救，移栽他处。严禁擅自毁坏重点保护植物。</w:t>
      </w:r>
    </w:p>
    <w:p w14:paraId="3D22D577">
      <w:pPr>
        <w:widowControl w:val="0"/>
        <w:ind w:firstLine="480" w:firstLineChars="200"/>
        <w:rPr>
          <w:rFonts w:cs="Times New Roman"/>
          <w:color w:val="0000FF"/>
        </w:rPr>
      </w:pPr>
      <w:r>
        <w:rPr>
          <w:rFonts w:cs="Times New Roman"/>
          <w:color w:val="0000FF"/>
        </w:rPr>
        <w:t>（2）水土保持措施。</w:t>
      </w:r>
      <w:r>
        <w:rPr>
          <w:rFonts w:hint="eastAsia" w:cs="Times New Roman"/>
          <w:color w:val="0000FF"/>
        </w:rPr>
        <w:t>本项目涉及</w:t>
      </w:r>
      <w:r>
        <w:rPr>
          <w:rFonts w:cs="Times New Roman"/>
          <w:color w:val="0000FF"/>
        </w:rPr>
        <w:t>Ⅱ-4大别山北麓山前丘陵岗地水土保持生态保护红线、Ⅱ-3江淮分水岭丘岗水土保持生态保护红线</w:t>
      </w:r>
      <w:r>
        <w:rPr>
          <w:rFonts w:hint="eastAsia" w:cs="Times New Roman"/>
          <w:color w:val="0000FF"/>
        </w:rPr>
        <w:t>，主要的保护措施就是水土措施，评价要求</w:t>
      </w:r>
      <w:r>
        <w:rPr>
          <w:rFonts w:cs="Times New Roman"/>
          <w:color w:val="0000FF"/>
        </w:rPr>
        <w:t>落实生产建设项目水土保持</w:t>
      </w:r>
      <w:r>
        <w:rPr>
          <w:rFonts w:hint="eastAsia" w:cs="Times New Roman"/>
          <w:color w:val="0000FF"/>
        </w:rPr>
        <w:t>“</w:t>
      </w:r>
      <w:r>
        <w:rPr>
          <w:rFonts w:cs="Times New Roman"/>
          <w:color w:val="0000FF"/>
        </w:rPr>
        <w:t>三同时</w:t>
      </w:r>
      <w:r>
        <w:rPr>
          <w:rFonts w:hint="eastAsia" w:cs="Times New Roman"/>
          <w:color w:val="0000FF"/>
        </w:rPr>
        <w:t>”</w:t>
      </w:r>
      <w:r>
        <w:rPr>
          <w:rFonts w:cs="Times New Roman"/>
          <w:color w:val="0000FF"/>
        </w:rPr>
        <w:t>制度，减轻项目建设对生态保护红线生态环境的影响</w:t>
      </w:r>
      <w:r>
        <w:rPr>
          <w:rFonts w:hint="eastAsia" w:cs="Times New Roman"/>
          <w:color w:val="0000FF"/>
        </w:rPr>
        <w:t>。</w:t>
      </w:r>
    </w:p>
    <w:p w14:paraId="41A5FFCA">
      <w:pPr>
        <w:widowControl w:val="0"/>
        <w:ind w:firstLine="480" w:firstLineChars="200"/>
        <w:rPr>
          <w:rFonts w:cs="Times New Roman"/>
          <w:color w:val="0000FF"/>
        </w:rPr>
      </w:pPr>
      <w:r>
        <w:rPr>
          <w:rFonts w:cs="Times New Roman"/>
          <w:color w:val="0000FF"/>
        </w:rPr>
        <w:t>（3）生态补偿措施。施工完成后，及时清理施工场地，对堤防边坡、建筑物运行管理区域进行有效防护和绿化修复，最大程度减轻项目建设对生态保护红线生态环境造成的影响。</w:t>
      </w:r>
    </w:p>
    <w:p w14:paraId="58ABD918">
      <w:pPr>
        <w:pStyle w:val="5"/>
        <w:rPr>
          <w:rFonts w:cs="Times New Roman"/>
          <w:bCs/>
          <w:color w:val="0000FF"/>
        </w:rPr>
      </w:pPr>
      <w:r>
        <w:rPr>
          <w:rFonts w:cs="Times New Roman"/>
          <w:bCs/>
          <w:color w:val="0000FF"/>
        </w:rPr>
        <w:t>7.7.</w:t>
      </w:r>
      <w:r>
        <w:rPr>
          <w:rFonts w:hint="eastAsia" w:cs="Times New Roman"/>
          <w:bCs/>
          <w:color w:val="0000FF"/>
        </w:rPr>
        <w:t>3</w:t>
      </w:r>
      <w:r>
        <w:rPr>
          <w:rFonts w:cs="Times New Roman"/>
          <w:bCs/>
          <w:color w:val="0000FF"/>
        </w:rPr>
        <w:t>.2 湿地公园保护措施</w:t>
      </w:r>
    </w:p>
    <w:p w14:paraId="15BCCBAE">
      <w:pPr>
        <w:widowControl w:val="0"/>
        <w:ind w:firstLine="480" w:firstLineChars="200"/>
        <w:rPr>
          <w:rFonts w:cs="Times New Roman"/>
          <w:color w:val="0000FF"/>
        </w:rPr>
      </w:pPr>
      <w:r>
        <w:rPr>
          <w:rFonts w:cs="Times New Roman"/>
          <w:bCs/>
          <w:color w:val="0000FF"/>
        </w:rPr>
        <w:t>湿地公园</w:t>
      </w:r>
      <w:r>
        <w:rPr>
          <w:rFonts w:cs="Times New Roman"/>
          <w:color w:val="0000FF"/>
        </w:rPr>
        <w:t>保护措施如下：</w:t>
      </w:r>
    </w:p>
    <w:p w14:paraId="6DEFDA6D">
      <w:pPr>
        <w:widowControl w:val="0"/>
        <w:ind w:firstLine="480" w:firstLineChars="200"/>
        <w:rPr>
          <w:rFonts w:cs="Times New Roman"/>
          <w:color w:val="0000FF"/>
        </w:rPr>
      </w:pPr>
      <w:r>
        <w:rPr>
          <w:rFonts w:cs="Times New Roman"/>
          <w:color w:val="0000FF"/>
        </w:rPr>
        <w:t>（1）工程</w:t>
      </w:r>
      <w:r>
        <w:rPr>
          <w:rFonts w:hint="eastAsia" w:cs="Times New Roman"/>
          <w:color w:val="0000FF"/>
        </w:rPr>
        <w:t>在施工前应优化施工方案，</w:t>
      </w:r>
      <w:r>
        <w:rPr>
          <w:rFonts w:cs="Times New Roman"/>
          <w:color w:val="0000FF"/>
        </w:rPr>
        <w:t>严格控制施工范围，尤其是临时占地区域，用明显标志标明工程施工活动范围，并进行严格管理，施工人员不可随意扩大施工活动区域，禁止无故进入保护区范围</w:t>
      </w:r>
      <w:r>
        <w:rPr>
          <w:rFonts w:hint="eastAsia" w:cs="Times New Roman"/>
          <w:color w:val="0000FF"/>
        </w:rPr>
        <w:t>；</w:t>
      </w:r>
    </w:p>
    <w:p w14:paraId="5F1CB4BA">
      <w:pPr>
        <w:widowControl w:val="0"/>
        <w:ind w:firstLine="480" w:firstLineChars="200"/>
        <w:rPr>
          <w:rFonts w:cs="Times New Roman"/>
          <w:color w:val="0000FF"/>
        </w:rPr>
      </w:pPr>
      <w:r>
        <w:rPr>
          <w:rFonts w:hint="eastAsia" w:cs="Times New Roman"/>
          <w:color w:val="0000FF"/>
        </w:rPr>
        <w:t>（2）根据《林业局关于印发&lt;国家湿地公园管理办法&gt;的通知》、《六安市人民政府办公室关于印发&lt;安徽管理办法&gt;的通知》，不在湿地公园内设置取土场、弃土场和施工场区；</w:t>
      </w:r>
    </w:p>
    <w:p w14:paraId="3AE5F682">
      <w:pPr>
        <w:widowControl w:val="0"/>
        <w:ind w:firstLine="480" w:firstLineChars="200"/>
        <w:rPr>
          <w:rFonts w:cs="Times New Roman"/>
          <w:color w:val="0000FF"/>
          <w:highlight w:val="yellow"/>
        </w:rPr>
      </w:pPr>
      <w:r>
        <w:rPr>
          <w:rFonts w:hint="eastAsia" w:cs="Times New Roman"/>
          <w:color w:val="0000FF"/>
        </w:rPr>
        <w:t>（3）工程施工期间，不得向湿地公园、及内排放生产、生活垃圾及污水；</w:t>
      </w:r>
    </w:p>
    <w:p w14:paraId="0D0CA23E">
      <w:pPr>
        <w:widowControl w:val="0"/>
        <w:ind w:firstLine="480" w:firstLineChars="200"/>
        <w:rPr>
          <w:rFonts w:cs="Times New Roman"/>
          <w:color w:val="0000FF"/>
          <w:highlight w:val="yellow"/>
        </w:rPr>
      </w:pPr>
      <w:r>
        <w:rPr>
          <w:rFonts w:hint="eastAsia" w:cs="Times New Roman"/>
          <w:color w:val="0000FF"/>
        </w:rPr>
        <w:t>（4）加强施工区的鸟类保护，根据资料收集，、及有鸟类出没，对于自然保护区的鸟类保护，应采取以下措施：</w:t>
      </w:r>
    </w:p>
    <w:p w14:paraId="086EDA76">
      <w:pPr>
        <w:widowControl w:val="0"/>
        <w:ind w:firstLine="480" w:firstLineChars="200"/>
        <w:rPr>
          <w:rFonts w:cs="Times New Roman"/>
          <w:color w:val="0000FF"/>
        </w:rPr>
      </w:pPr>
      <w:r>
        <w:rPr>
          <w:rFonts w:hint="eastAsia" w:ascii="宋体" w:hAnsi="宋体"/>
          <w:color w:val="0000FF"/>
        </w:rPr>
        <w:t>①</w:t>
      </w:r>
      <w:r>
        <w:rPr>
          <w:rFonts w:hint="eastAsia" w:cs="Times New Roman"/>
          <w:color w:val="0000FF"/>
        </w:rPr>
        <w:t>施工单位在进场前，必须制定严格的施工组织和管理细则，作好有关自然保护区知识和法律宣传工作，在施工区、生活区设置宣传牌，增强施工人员环境保护意识，设专人负责施工期的管理工作，严禁施工人员猎捕鸟类。</w:t>
      </w:r>
    </w:p>
    <w:p w14:paraId="5E15E2E2">
      <w:pPr>
        <w:widowControl w:val="0"/>
        <w:ind w:firstLine="480" w:firstLineChars="200"/>
        <w:rPr>
          <w:rFonts w:cs="Times New Roman"/>
          <w:color w:val="0000FF"/>
        </w:rPr>
      </w:pPr>
      <w:r>
        <w:rPr>
          <w:rFonts w:hint="eastAsia" w:ascii="宋体" w:hAnsi="宋体"/>
          <w:color w:val="0000FF"/>
        </w:rPr>
        <w:t>②</w:t>
      </w:r>
      <w:r>
        <w:rPr>
          <w:rFonts w:hint="eastAsia" w:cs="Times New Roman"/>
          <w:color w:val="0000FF"/>
        </w:rPr>
        <w:t>根据该区域鸟类繁殖的特点，它们多营湿地、河滩、树林等。因此，临时施工便道和相关设施的施工应尽力缩小施工作业带宽度，对施工方案进行优化，严禁随意破坏周围植被、扩大扰动范围、侵占湿地。保护鸟类的繁殖地，保证鸟类仍有食源不受太大影响。</w:t>
      </w:r>
    </w:p>
    <w:p w14:paraId="2DAE9C73">
      <w:pPr>
        <w:widowControl w:val="0"/>
        <w:ind w:firstLine="480" w:firstLineChars="200"/>
        <w:rPr>
          <w:rFonts w:cs="Times New Roman"/>
          <w:color w:val="0000FF"/>
        </w:rPr>
      </w:pPr>
      <w:r>
        <w:rPr>
          <w:rFonts w:hint="eastAsia" w:ascii="宋体" w:hAnsi="宋体"/>
          <w:color w:val="0000FF"/>
        </w:rPr>
        <w:t>③</w:t>
      </w:r>
      <w:r>
        <w:rPr>
          <w:rFonts w:hint="eastAsia" w:cs="Times New Roman"/>
          <w:color w:val="0000FF"/>
        </w:rPr>
        <w:t>在不影响施工质量的前提下，尽量缩短施工时间。尽量采用低噪声设备，降低噪声对鸟类的影响。</w:t>
      </w:r>
    </w:p>
    <w:p w14:paraId="4D2194E5">
      <w:pPr>
        <w:widowControl w:val="0"/>
        <w:ind w:firstLine="480" w:firstLineChars="200"/>
        <w:rPr>
          <w:rFonts w:cs="Times New Roman"/>
          <w:color w:val="0000FF"/>
        </w:rPr>
      </w:pPr>
      <w:r>
        <w:rPr>
          <w:rFonts w:hint="eastAsia" w:ascii="宋体" w:hAnsi="宋体"/>
          <w:color w:val="0000FF"/>
        </w:rPr>
        <w:t>④</w:t>
      </w:r>
      <w:r>
        <w:rPr>
          <w:rFonts w:hint="eastAsia" w:cs="Times New Roman"/>
          <w:color w:val="0000FF"/>
        </w:rPr>
        <w:t>合理安排施工时间，在候鸟迁徙季节如遇候鸟大量迁徙经过场址应适当停工等待，同时合理布置施工运输路线，减小施工期对鸟类影响。</w:t>
      </w:r>
    </w:p>
    <w:p w14:paraId="10F8E641">
      <w:pPr>
        <w:widowControl w:val="0"/>
        <w:ind w:firstLine="480" w:firstLineChars="200"/>
        <w:rPr>
          <w:rFonts w:cs="Times New Roman"/>
          <w:color w:val="0000FF"/>
        </w:rPr>
      </w:pPr>
      <w:r>
        <w:rPr>
          <w:rFonts w:hint="eastAsia" w:ascii="宋体" w:hAnsi="宋体"/>
          <w:color w:val="0000FF"/>
        </w:rPr>
        <w:t>⑤</w:t>
      </w:r>
      <w:r>
        <w:rPr>
          <w:rFonts w:hint="eastAsia" w:cs="Times New Roman"/>
          <w:color w:val="0000FF"/>
        </w:rPr>
        <w:t>在候鸟迁徙高峰的时候，及时观测鸟类动向。在候鸟大规模迁徙期间，如遇大群候鸟停歇施工场址内及附近，可以采取驱赶措施，必要时应当停机驱赶。如发现鸟类伤亡，应及时救治受伤鸟只。鸟类观察救助站人员应当接受专业鸟类知识培训，并将伤亡记录及时向有关单位汇报。</w:t>
      </w:r>
    </w:p>
    <w:p w14:paraId="71DE9887">
      <w:pPr>
        <w:pStyle w:val="4"/>
        <w:rPr>
          <w:rFonts w:cs="Times New Roman"/>
          <w:color w:val="0000FF"/>
        </w:rPr>
      </w:pPr>
      <w:r>
        <w:rPr>
          <w:rFonts w:hint="eastAsia" w:cs="Times New Roman"/>
          <w:color w:val="0000FF"/>
        </w:rPr>
        <w:t>7.7.4 文物保护措施</w:t>
      </w:r>
    </w:p>
    <w:p w14:paraId="1458DEE3">
      <w:pPr>
        <w:widowControl w:val="0"/>
        <w:ind w:firstLine="480" w:firstLineChars="200"/>
        <w:rPr>
          <w:rFonts w:cs="Times New Roman"/>
          <w:color w:val="0000FF"/>
        </w:rPr>
      </w:pPr>
      <w:r>
        <w:rPr>
          <w:rFonts w:hint="eastAsia" w:cs="Times New Roman"/>
          <w:color w:val="0000FF"/>
        </w:rPr>
        <w:t>本项目各工程涉及寿县安丰塘和。在施工期间应加强对、的保护。根据文物保护主管部门的要求，划定文物保护范围，在该段的施工单位应提前告知施工人员，禁止在文物保护范围内设置取土、弃土区；禁止破坏文物。在施工期间发现其它文物，应禁止继续施工，并对文物进行就地保护，同时上报文物保护主管部门，待商定方案后方可继续施工。</w:t>
      </w:r>
    </w:p>
    <w:p w14:paraId="15A67984">
      <w:pPr>
        <w:widowControl w:val="0"/>
        <w:jc w:val="center"/>
        <w:rPr>
          <w:rFonts w:cs="Times New Roman"/>
          <w:color w:val="0000FF"/>
        </w:rPr>
      </w:pPr>
    </w:p>
    <w:p w14:paraId="31375625">
      <w:pPr>
        <w:widowControl w:val="0"/>
        <w:ind w:firstLine="480" w:firstLineChars="200"/>
        <w:jc w:val="center"/>
        <w:rPr>
          <w:rFonts w:cs="Times New Roman"/>
          <w:color w:val="0000FF"/>
        </w:rPr>
      </w:pPr>
      <w:r>
        <w:rPr>
          <w:rFonts w:eastAsia="黑体" w:cs="Times New Roman"/>
          <w:color w:val="0000FF"/>
        </w:rPr>
        <w:t>图7-7-1  本工程生态保护措施示意图</w:t>
      </w:r>
    </w:p>
    <w:p w14:paraId="6E491434">
      <w:pPr>
        <w:tabs>
          <w:tab w:val="left" w:pos="0"/>
        </w:tabs>
        <w:outlineLvl w:val="2"/>
        <w:rPr>
          <w:rFonts w:cs="Times New Roman"/>
          <w:color w:val="0000FF"/>
        </w:rPr>
        <w:sectPr>
          <w:headerReference r:id="rId46" w:type="default"/>
          <w:footerReference r:id="rId47" w:type="default"/>
          <w:pgSz w:w="11905" w:h="16838"/>
          <w:pgMar w:top="1417" w:right="1417" w:bottom="1417" w:left="1417" w:header="850" w:footer="850" w:gutter="0"/>
          <w:pgNumType w:fmt="decimal"/>
          <w:cols w:space="0" w:num="1"/>
          <w:rtlGutter w:val="0"/>
          <w:docGrid w:linePitch="312" w:charSpace="0"/>
        </w:sectPr>
      </w:pPr>
    </w:p>
    <w:p w14:paraId="4E9181B0">
      <w:pPr>
        <w:widowControl w:val="0"/>
        <w:adjustRightInd w:val="0"/>
        <w:jc w:val="both"/>
        <w:textAlignment w:val="center"/>
        <w:outlineLvl w:val="1"/>
        <w:rPr>
          <w:rFonts w:eastAsia="黑体" w:cs="Times New Roman"/>
          <w:bCs/>
          <w:color w:val="0000FF"/>
        </w:rPr>
      </w:pPr>
      <w:bookmarkStart w:id="85" w:name="_Toc30988"/>
      <w:r>
        <w:rPr>
          <w:rFonts w:eastAsia="黑体" w:cs="Times New Roman"/>
          <w:bCs/>
          <w:color w:val="0000FF"/>
        </w:rPr>
        <w:t>7.8 水土保持措施</w:t>
      </w:r>
      <w:bookmarkEnd w:id="85"/>
    </w:p>
    <w:p w14:paraId="20AAE2EF">
      <w:pPr>
        <w:ind w:firstLine="480" w:firstLineChars="200"/>
        <w:rPr>
          <w:color w:val="0000FF"/>
        </w:rPr>
      </w:pPr>
      <w:r>
        <w:rPr>
          <w:color w:val="0000FF"/>
        </w:rPr>
        <w:t>在对主体工程中具有水土保持功能的防护措施进行分析评价的基础上，结合防治分区的划分、不同单项工程建设的特点和界定已有水土保持措施，合理、全面、系统地规划，提出各分区新增水土保持措施，使之形成一个完整的以工程措施为先导，以土地整治、植物措施和临时措施相结合的水土流失防治体系。水土保持措施总体布局见表7-8-</w:t>
      </w:r>
      <w:r>
        <w:rPr>
          <w:rFonts w:hint="eastAsia"/>
          <w:color w:val="0000FF"/>
        </w:rPr>
        <w:t>1</w:t>
      </w:r>
      <w:r>
        <w:rPr>
          <w:color w:val="0000FF"/>
        </w:rPr>
        <w:t>。</w:t>
      </w:r>
    </w:p>
    <w:p w14:paraId="52A6CF2B">
      <w:pPr>
        <w:widowControl w:val="0"/>
        <w:jc w:val="center"/>
        <w:rPr>
          <w:rFonts w:cs="Times New Roman"/>
          <w:color w:val="0000FF"/>
        </w:rPr>
      </w:pPr>
      <w:r>
        <w:rPr>
          <w:rFonts w:eastAsia="黑体" w:cs="Times New Roman"/>
          <w:color w:val="0000FF"/>
        </w:rPr>
        <w:t>表7-8-</w:t>
      </w:r>
      <w:r>
        <w:rPr>
          <w:rFonts w:hint="eastAsia" w:eastAsia="黑体" w:cs="Times New Roman"/>
          <w:color w:val="0000FF"/>
        </w:rPr>
        <w:t xml:space="preserve">1  </w:t>
      </w:r>
      <w:r>
        <w:rPr>
          <w:rFonts w:eastAsia="黑体" w:cs="Times New Roman"/>
          <w:color w:val="0000FF"/>
        </w:rPr>
        <w:t>水土保持措施总体布局</w:t>
      </w:r>
    </w:p>
    <w:tbl>
      <w:tblPr>
        <w:tblStyle w:val="16"/>
        <w:tblW w:w="499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4"/>
        <w:gridCol w:w="1739"/>
        <w:gridCol w:w="1731"/>
        <w:gridCol w:w="2150"/>
        <w:gridCol w:w="1946"/>
      </w:tblGrid>
      <w:tr w14:paraId="041F69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19" w:type="pct"/>
            <w:vMerge w:val="restart"/>
            <w:vAlign w:val="center"/>
          </w:tcPr>
          <w:p w14:paraId="219FB5A6">
            <w:pPr>
              <w:pStyle w:val="28"/>
              <w:bidi w:val="0"/>
            </w:pPr>
            <w:r>
              <w:t>防治</w:t>
            </w:r>
          </w:p>
          <w:p w14:paraId="66285F4D">
            <w:pPr>
              <w:pStyle w:val="28"/>
              <w:bidi w:val="0"/>
            </w:pPr>
            <w:r>
              <w:t>分区</w:t>
            </w:r>
          </w:p>
        </w:tc>
        <w:tc>
          <w:tcPr>
            <w:tcW w:w="938" w:type="pct"/>
            <w:vMerge w:val="restart"/>
            <w:vAlign w:val="center"/>
          </w:tcPr>
          <w:p w14:paraId="7B1C464F">
            <w:pPr>
              <w:pStyle w:val="28"/>
              <w:bidi w:val="0"/>
            </w:pPr>
            <w:r>
              <w:t>原有措施</w:t>
            </w:r>
          </w:p>
        </w:tc>
        <w:tc>
          <w:tcPr>
            <w:tcW w:w="3141" w:type="pct"/>
            <w:gridSpan w:val="3"/>
            <w:vAlign w:val="center"/>
          </w:tcPr>
          <w:p w14:paraId="479A4FAF">
            <w:pPr>
              <w:pStyle w:val="28"/>
              <w:bidi w:val="0"/>
            </w:pPr>
            <w:r>
              <w:t>本方案新增措施</w:t>
            </w:r>
          </w:p>
        </w:tc>
      </w:tr>
      <w:tr w14:paraId="25D3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19" w:type="pct"/>
            <w:vMerge w:val="continue"/>
            <w:vAlign w:val="center"/>
          </w:tcPr>
          <w:p w14:paraId="5BBB4B6D">
            <w:pPr>
              <w:pStyle w:val="28"/>
              <w:bidi w:val="0"/>
            </w:pPr>
          </w:p>
        </w:tc>
        <w:tc>
          <w:tcPr>
            <w:tcW w:w="938" w:type="pct"/>
            <w:vMerge w:val="continue"/>
            <w:vAlign w:val="center"/>
          </w:tcPr>
          <w:p w14:paraId="07FA068F">
            <w:pPr>
              <w:pStyle w:val="28"/>
              <w:bidi w:val="0"/>
            </w:pPr>
          </w:p>
        </w:tc>
        <w:tc>
          <w:tcPr>
            <w:tcW w:w="933" w:type="pct"/>
            <w:vAlign w:val="center"/>
          </w:tcPr>
          <w:p w14:paraId="79054D5D">
            <w:pPr>
              <w:pStyle w:val="28"/>
              <w:bidi w:val="0"/>
            </w:pPr>
            <w:r>
              <w:t>工程措施</w:t>
            </w:r>
          </w:p>
        </w:tc>
        <w:tc>
          <w:tcPr>
            <w:tcW w:w="1159" w:type="pct"/>
            <w:vAlign w:val="center"/>
          </w:tcPr>
          <w:p w14:paraId="42A8A634">
            <w:pPr>
              <w:pStyle w:val="28"/>
              <w:bidi w:val="0"/>
            </w:pPr>
            <w:r>
              <w:t>植物措施</w:t>
            </w:r>
          </w:p>
        </w:tc>
        <w:tc>
          <w:tcPr>
            <w:tcW w:w="1049" w:type="pct"/>
            <w:vAlign w:val="center"/>
          </w:tcPr>
          <w:p w14:paraId="35D9C340">
            <w:pPr>
              <w:pStyle w:val="28"/>
              <w:bidi w:val="0"/>
            </w:pPr>
            <w:r>
              <w:t>临时措施</w:t>
            </w:r>
          </w:p>
        </w:tc>
      </w:tr>
      <w:tr w14:paraId="79382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19" w:type="pct"/>
            <w:vAlign w:val="center"/>
          </w:tcPr>
          <w:p w14:paraId="1FF2D6C8">
            <w:pPr>
              <w:pStyle w:val="28"/>
              <w:bidi w:val="0"/>
            </w:pPr>
            <w:r>
              <w:t>渠道治理工程区</w:t>
            </w:r>
          </w:p>
        </w:tc>
        <w:tc>
          <w:tcPr>
            <w:tcW w:w="938" w:type="pct"/>
            <w:vAlign w:val="center"/>
          </w:tcPr>
          <w:p w14:paraId="42E42E82">
            <w:pPr>
              <w:pStyle w:val="28"/>
              <w:bidi w:val="0"/>
            </w:pPr>
            <w:r>
              <w:t>表土</w:t>
            </w:r>
            <w:r>
              <w:rPr>
                <w:rFonts w:hint="eastAsia"/>
              </w:rPr>
              <w:t>回覆</w:t>
            </w:r>
            <w:r>
              <w:t>、排水措施、边坡防护、播撒草籽等</w:t>
            </w:r>
          </w:p>
        </w:tc>
        <w:tc>
          <w:tcPr>
            <w:tcW w:w="933" w:type="pct"/>
            <w:vAlign w:val="center"/>
          </w:tcPr>
          <w:p w14:paraId="41E770BB">
            <w:pPr>
              <w:pStyle w:val="28"/>
              <w:bidi w:val="0"/>
            </w:pPr>
            <w:r>
              <w:t>/</w:t>
            </w:r>
          </w:p>
        </w:tc>
        <w:tc>
          <w:tcPr>
            <w:tcW w:w="1159" w:type="pct"/>
            <w:vAlign w:val="center"/>
          </w:tcPr>
          <w:p w14:paraId="07BFD1C8">
            <w:pPr>
              <w:pStyle w:val="28"/>
              <w:bidi w:val="0"/>
            </w:pPr>
            <w:r>
              <w:t>/</w:t>
            </w:r>
          </w:p>
        </w:tc>
        <w:tc>
          <w:tcPr>
            <w:tcW w:w="1049" w:type="pct"/>
            <w:vAlign w:val="center"/>
          </w:tcPr>
          <w:p w14:paraId="16B90230">
            <w:pPr>
              <w:pStyle w:val="28"/>
              <w:bidi w:val="0"/>
            </w:pPr>
            <w:r>
              <w:t>密目网苫盖、排水沉沙措施</w:t>
            </w:r>
          </w:p>
        </w:tc>
      </w:tr>
      <w:tr w14:paraId="0671C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19" w:type="pct"/>
            <w:vAlign w:val="center"/>
          </w:tcPr>
          <w:p w14:paraId="52B2CDD2">
            <w:pPr>
              <w:pStyle w:val="28"/>
              <w:bidi w:val="0"/>
            </w:pPr>
            <w:r>
              <w:t>建筑物工程区</w:t>
            </w:r>
          </w:p>
        </w:tc>
        <w:tc>
          <w:tcPr>
            <w:tcW w:w="938" w:type="pct"/>
            <w:vAlign w:val="center"/>
          </w:tcPr>
          <w:p w14:paraId="7CD2F380">
            <w:pPr>
              <w:pStyle w:val="28"/>
              <w:bidi w:val="0"/>
            </w:pPr>
            <w:r>
              <w:t>表土剥离、土地整治、布设草皮或撒播草籽</w:t>
            </w:r>
          </w:p>
        </w:tc>
        <w:tc>
          <w:tcPr>
            <w:tcW w:w="933" w:type="pct"/>
            <w:vAlign w:val="center"/>
          </w:tcPr>
          <w:p w14:paraId="75FCB556">
            <w:pPr>
              <w:pStyle w:val="28"/>
              <w:bidi w:val="0"/>
            </w:pPr>
            <w:r>
              <w:t>部分区域的表土剥离、回覆及整治</w:t>
            </w:r>
          </w:p>
        </w:tc>
        <w:tc>
          <w:tcPr>
            <w:tcW w:w="1159" w:type="pct"/>
            <w:vAlign w:val="center"/>
          </w:tcPr>
          <w:p w14:paraId="33128541">
            <w:pPr>
              <w:pStyle w:val="28"/>
              <w:bidi w:val="0"/>
            </w:pPr>
            <w:r>
              <w:t>/</w:t>
            </w:r>
          </w:p>
        </w:tc>
        <w:tc>
          <w:tcPr>
            <w:tcW w:w="1049" w:type="pct"/>
            <w:vAlign w:val="center"/>
          </w:tcPr>
          <w:p w14:paraId="53DE0590">
            <w:pPr>
              <w:pStyle w:val="28"/>
              <w:bidi w:val="0"/>
            </w:pPr>
            <w:r>
              <w:t>密目网苫盖</w:t>
            </w:r>
          </w:p>
        </w:tc>
      </w:tr>
      <w:tr w14:paraId="639D39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19" w:type="pct"/>
            <w:vAlign w:val="center"/>
          </w:tcPr>
          <w:p w14:paraId="51C8C135">
            <w:pPr>
              <w:pStyle w:val="28"/>
              <w:bidi w:val="0"/>
            </w:pPr>
            <w:r>
              <w:t>交通道路区</w:t>
            </w:r>
          </w:p>
        </w:tc>
        <w:tc>
          <w:tcPr>
            <w:tcW w:w="938" w:type="pct"/>
            <w:vAlign w:val="center"/>
          </w:tcPr>
          <w:p w14:paraId="558032C6">
            <w:pPr>
              <w:pStyle w:val="28"/>
              <w:bidi w:val="0"/>
            </w:pPr>
            <w:r>
              <w:t>表土剥离、土地整治、布设草皮或撒播草籽</w:t>
            </w:r>
          </w:p>
        </w:tc>
        <w:tc>
          <w:tcPr>
            <w:tcW w:w="933" w:type="pct"/>
            <w:vAlign w:val="center"/>
          </w:tcPr>
          <w:p w14:paraId="27950BA3">
            <w:pPr>
              <w:pStyle w:val="28"/>
              <w:bidi w:val="0"/>
            </w:pPr>
            <w:r>
              <w:t>部分区域的表土剥离、回覆及整治</w:t>
            </w:r>
          </w:p>
        </w:tc>
        <w:tc>
          <w:tcPr>
            <w:tcW w:w="1159" w:type="pct"/>
            <w:vAlign w:val="center"/>
          </w:tcPr>
          <w:p w14:paraId="2A1FFE6B">
            <w:pPr>
              <w:pStyle w:val="28"/>
              <w:bidi w:val="0"/>
            </w:pPr>
            <w:r>
              <w:t>撒播草籽</w:t>
            </w:r>
          </w:p>
        </w:tc>
        <w:tc>
          <w:tcPr>
            <w:tcW w:w="1049" w:type="pct"/>
            <w:vAlign w:val="center"/>
          </w:tcPr>
          <w:p w14:paraId="4A96B3BB">
            <w:pPr>
              <w:pStyle w:val="28"/>
              <w:bidi w:val="0"/>
            </w:pPr>
            <w:r>
              <w:t>密目网苫盖、排水沟、沉沙池措施</w:t>
            </w:r>
          </w:p>
        </w:tc>
      </w:tr>
      <w:tr w14:paraId="13819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19" w:type="pct"/>
            <w:vAlign w:val="center"/>
          </w:tcPr>
          <w:p w14:paraId="342B187C">
            <w:pPr>
              <w:pStyle w:val="28"/>
              <w:bidi w:val="0"/>
            </w:pPr>
            <w:r>
              <w:t>工程永久办公生活区</w:t>
            </w:r>
          </w:p>
        </w:tc>
        <w:tc>
          <w:tcPr>
            <w:tcW w:w="938" w:type="pct"/>
            <w:vAlign w:val="center"/>
          </w:tcPr>
          <w:p w14:paraId="07B7AA12">
            <w:pPr>
              <w:pStyle w:val="28"/>
              <w:bidi w:val="0"/>
            </w:pPr>
            <w:r>
              <w:t>表土剥离、土地整治、撒播草籽</w:t>
            </w:r>
          </w:p>
        </w:tc>
        <w:tc>
          <w:tcPr>
            <w:tcW w:w="933" w:type="pct"/>
            <w:vAlign w:val="center"/>
          </w:tcPr>
          <w:p w14:paraId="6E9F4316">
            <w:pPr>
              <w:pStyle w:val="28"/>
              <w:bidi w:val="0"/>
            </w:pPr>
            <w:r>
              <w:t>/</w:t>
            </w:r>
          </w:p>
        </w:tc>
        <w:tc>
          <w:tcPr>
            <w:tcW w:w="1159" w:type="pct"/>
            <w:vAlign w:val="center"/>
          </w:tcPr>
          <w:p w14:paraId="4A874842">
            <w:pPr>
              <w:pStyle w:val="28"/>
              <w:bidi w:val="0"/>
            </w:pPr>
            <w:r>
              <w:t>/</w:t>
            </w:r>
          </w:p>
        </w:tc>
        <w:tc>
          <w:tcPr>
            <w:tcW w:w="1049" w:type="pct"/>
            <w:vAlign w:val="center"/>
          </w:tcPr>
          <w:p w14:paraId="6A45E780">
            <w:pPr>
              <w:pStyle w:val="28"/>
              <w:bidi w:val="0"/>
            </w:pPr>
            <w:r>
              <w:t>密目网苫盖、排水沟、沉沙池措施</w:t>
            </w:r>
          </w:p>
        </w:tc>
      </w:tr>
      <w:tr w14:paraId="731A33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19" w:type="pct"/>
            <w:vAlign w:val="center"/>
          </w:tcPr>
          <w:p w14:paraId="2A974DBA">
            <w:pPr>
              <w:pStyle w:val="28"/>
              <w:bidi w:val="0"/>
            </w:pPr>
            <w:r>
              <w:t>取土场区</w:t>
            </w:r>
          </w:p>
        </w:tc>
        <w:tc>
          <w:tcPr>
            <w:tcW w:w="938" w:type="pct"/>
            <w:vAlign w:val="center"/>
          </w:tcPr>
          <w:p w14:paraId="45941087">
            <w:pPr>
              <w:pStyle w:val="28"/>
              <w:bidi w:val="0"/>
            </w:pPr>
            <w:r>
              <w:t>表土剥离、土地整治</w:t>
            </w:r>
          </w:p>
        </w:tc>
        <w:tc>
          <w:tcPr>
            <w:tcW w:w="933" w:type="pct"/>
            <w:vAlign w:val="center"/>
          </w:tcPr>
          <w:p w14:paraId="7D20BBE8">
            <w:pPr>
              <w:pStyle w:val="28"/>
              <w:bidi w:val="0"/>
            </w:pPr>
            <w:r>
              <w:t>排水沉沙措施</w:t>
            </w:r>
          </w:p>
        </w:tc>
        <w:tc>
          <w:tcPr>
            <w:tcW w:w="1159" w:type="pct"/>
            <w:vAlign w:val="center"/>
          </w:tcPr>
          <w:p w14:paraId="4B8CED6D">
            <w:pPr>
              <w:pStyle w:val="28"/>
              <w:bidi w:val="0"/>
            </w:pPr>
            <w:r>
              <w:t>植物防护</w:t>
            </w:r>
          </w:p>
        </w:tc>
        <w:tc>
          <w:tcPr>
            <w:tcW w:w="1049" w:type="pct"/>
            <w:vAlign w:val="center"/>
          </w:tcPr>
          <w:p w14:paraId="02C2562F">
            <w:pPr>
              <w:pStyle w:val="28"/>
              <w:bidi w:val="0"/>
            </w:pPr>
            <w:r>
              <w:t>表土堆场临时苫盖、临时排水沉沙拦挡措施</w:t>
            </w:r>
          </w:p>
        </w:tc>
      </w:tr>
      <w:tr w14:paraId="1A8CD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19" w:type="pct"/>
            <w:vAlign w:val="center"/>
          </w:tcPr>
          <w:p w14:paraId="371C5171">
            <w:pPr>
              <w:pStyle w:val="28"/>
              <w:bidi w:val="0"/>
            </w:pPr>
            <w:r>
              <w:rPr>
                <w:rFonts w:hint="eastAsia"/>
              </w:rPr>
              <w:t>弃土场</w:t>
            </w:r>
            <w:r>
              <w:t>区</w:t>
            </w:r>
          </w:p>
        </w:tc>
        <w:tc>
          <w:tcPr>
            <w:tcW w:w="938" w:type="pct"/>
            <w:vAlign w:val="center"/>
          </w:tcPr>
          <w:p w14:paraId="5DBB5663">
            <w:pPr>
              <w:pStyle w:val="28"/>
              <w:bidi w:val="0"/>
            </w:pPr>
            <w:r>
              <w:t>表土剥离、土地整治</w:t>
            </w:r>
          </w:p>
        </w:tc>
        <w:tc>
          <w:tcPr>
            <w:tcW w:w="933" w:type="pct"/>
            <w:vAlign w:val="center"/>
          </w:tcPr>
          <w:p w14:paraId="68FD9B9B">
            <w:pPr>
              <w:pStyle w:val="28"/>
              <w:bidi w:val="0"/>
            </w:pPr>
            <w:r>
              <w:t>永久排水沉沙措施</w:t>
            </w:r>
          </w:p>
        </w:tc>
        <w:tc>
          <w:tcPr>
            <w:tcW w:w="1159" w:type="pct"/>
            <w:vAlign w:val="center"/>
          </w:tcPr>
          <w:p w14:paraId="252C1409">
            <w:pPr>
              <w:pStyle w:val="28"/>
              <w:bidi w:val="0"/>
            </w:pPr>
            <w:r>
              <w:t>覆绿区域的植物防护</w:t>
            </w:r>
          </w:p>
        </w:tc>
        <w:tc>
          <w:tcPr>
            <w:tcW w:w="1049" w:type="pct"/>
            <w:vAlign w:val="center"/>
          </w:tcPr>
          <w:p w14:paraId="54EFB8E2">
            <w:pPr>
              <w:pStyle w:val="28"/>
              <w:bidi w:val="0"/>
            </w:pPr>
            <w:r>
              <w:t>表土堆场临时苫盖、临时排水沉沙拦挡措施</w:t>
            </w:r>
          </w:p>
        </w:tc>
      </w:tr>
      <w:tr w14:paraId="471D1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19" w:type="pct"/>
            <w:vAlign w:val="center"/>
          </w:tcPr>
          <w:p w14:paraId="1FB9F1BB">
            <w:pPr>
              <w:pStyle w:val="28"/>
              <w:bidi w:val="0"/>
            </w:pPr>
            <w:r>
              <w:t>临时堆土区</w:t>
            </w:r>
          </w:p>
        </w:tc>
        <w:tc>
          <w:tcPr>
            <w:tcW w:w="938" w:type="pct"/>
            <w:vAlign w:val="center"/>
          </w:tcPr>
          <w:p w14:paraId="70B44BBE">
            <w:pPr>
              <w:pStyle w:val="28"/>
              <w:bidi w:val="0"/>
            </w:pPr>
            <w:r>
              <w:t>表土剥离</w:t>
            </w:r>
          </w:p>
        </w:tc>
        <w:tc>
          <w:tcPr>
            <w:tcW w:w="933" w:type="pct"/>
            <w:vAlign w:val="center"/>
          </w:tcPr>
          <w:p w14:paraId="610CA7D3">
            <w:pPr>
              <w:pStyle w:val="28"/>
              <w:bidi w:val="0"/>
            </w:pPr>
            <w:r>
              <w:t>永久排水沉沙措施</w:t>
            </w:r>
          </w:p>
        </w:tc>
        <w:tc>
          <w:tcPr>
            <w:tcW w:w="1159" w:type="pct"/>
            <w:vAlign w:val="center"/>
          </w:tcPr>
          <w:p w14:paraId="119680BD">
            <w:pPr>
              <w:pStyle w:val="28"/>
              <w:bidi w:val="0"/>
            </w:pPr>
            <w:r>
              <w:t>撒播草籽</w:t>
            </w:r>
          </w:p>
        </w:tc>
        <w:tc>
          <w:tcPr>
            <w:tcW w:w="1049" w:type="pct"/>
            <w:vAlign w:val="center"/>
          </w:tcPr>
          <w:p w14:paraId="667D1452">
            <w:pPr>
              <w:pStyle w:val="28"/>
              <w:bidi w:val="0"/>
            </w:pPr>
            <w:r>
              <w:t>袋装土拦挡、排水沟沉沙、密目网苫盖</w:t>
            </w:r>
          </w:p>
        </w:tc>
      </w:tr>
      <w:tr w14:paraId="15B62C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19" w:type="pct"/>
            <w:vAlign w:val="center"/>
          </w:tcPr>
          <w:p w14:paraId="5A0886BA">
            <w:pPr>
              <w:pStyle w:val="28"/>
              <w:bidi w:val="0"/>
            </w:pPr>
            <w:r>
              <w:t>施工道路区</w:t>
            </w:r>
          </w:p>
        </w:tc>
        <w:tc>
          <w:tcPr>
            <w:tcW w:w="938" w:type="pct"/>
            <w:vAlign w:val="center"/>
          </w:tcPr>
          <w:p w14:paraId="6C9D02CA">
            <w:pPr>
              <w:pStyle w:val="28"/>
              <w:bidi w:val="0"/>
            </w:pPr>
            <w:r>
              <w:t>/</w:t>
            </w:r>
          </w:p>
        </w:tc>
        <w:tc>
          <w:tcPr>
            <w:tcW w:w="933" w:type="pct"/>
            <w:vAlign w:val="center"/>
          </w:tcPr>
          <w:p w14:paraId="5F52314F">
            <w:pPr>
              <w:pStyle w:val="28"/>
              <w:bidi w:val="0"/>
            </w:pPr>
            <w:r>
              <w:t>表土剥离、土地整治</w:t>
            </w:r>
          </w:p>
        </w:tc>
        <w:tc>
          <w:tcPr>
            <w:tcW w:w="1159" w:type="pct"/>
            <w:vAlign w:val="center"/>
          </w:tcPr>
          <w:p w14:paraId="24B192F1">
            <w:pPr>
              <w:pStyle w:val="28"/>
              <w:bidi w:val="0"/>
            </w:pPr>
            <w:r>
              <w:t>占用林地区域恢复绿化</w:t>
            </w:r>
          </w:p>
        </w:tc>
        <w:tc>
          <w:tcPr>
            <w:tcW w:w="1049" w:type="pct"/>
            <w:vAlign w:val="center"/>
          </w:tcPr>
          <w:p w14:paraId="46D8C065">
            <w:pPr>
              <w:pStyle w:val="28"/>
              <w:bidi w:val="0"/>
            </w:pPr>
            <w:r>
              <w:t>排水沟、沉沙措施、密目网苫盖</w:t>
            </w:r>
          </w:p>
        </w:tc>
      </w:tr>
      <w:tr w14:paraId="44F9A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919" w:type="pct"/>
            <w:vAlign w:val="center"/>
          </w:tcPr>
          <w:p w14:paraId="534F03D1">
            <w:pPr>
              <w:pStyle w:val="28"/>
              <w:bidi w:val="0"/>
            </w:pPr>
            <w:r>
              <w:t>施工生产生活区</w:t>
            </w:r>
          </w:p>
        </w:tc>
        <w:tc>
          <w:tcPr>
            <w:tcW w:w="938" w:type="pct"/>
            <w:vAlign w:val="center"/>
          </w:tcPr>
          <w:p w14:paraId="5CC1979F">
            <w:pPr>
              <w:pStyle w:val="28"/>
              <w:bidi w:val="0"/>
            </w:pPr>
            <w:r>
              <w:t>/</w:t>
            </w:r>
          </w:p>
        </w:tc>
        <w:tc>
          <w:tcPr>
            <w:tcW w:w="933" w:type="pct"/>
            <w:vAlign w:val="center"/>
          </w:tcPr>
          <w:p w14:paraId="3F3276A8">
            <w:pPr>
              <w:pStyle w:val="28"/>
              <w:bidi w:val="0"/>
            </w:pPr>
            <w:r>
              <w:t>表土剥离、土地整治</w:t>
            </w:r>
          </w:p>
        </w:tc>
        <w:tc>
          <w:tcPr>
            <w:tcW w:w="1159" w:type="pct"/>
            <w:vAlign w:val="center"/>
          </w:tcPr>
          <w:p w14:paraId="03DD6A55">
            <w:pPr>
              <w:pStyle w:val="28"/>
              <w:bidi w:val="0"/>
            </w:pPr>
            <w:r>
              <w:t>占用林地区域恢复绿化</w:t>
            </w:r>
          </w:p>
        </w:tc>
        <w:tc>
          <w:tcPr>
            <w:tcW w:w="1049" w:type="pct"/>
            <w:vAlign w:val="center"/>
          </w:tcPr>
          <w:p w14:paraId="2138733B">
            <w:pPr>
              <w:pStyle w:val="28"/>
              <w:bidi w:val="0"/>
            </w:pPr>
            <w:r>
              <w:t>临时排水及沉沙、拦挡，表土堆场的临时苫盖</w:t>
            </w:r>
          </w:p>
        </w:tc>
      </w:tr>
    </w:tbl>
    <w:p w14:paraId="52CE630C">
      <w:pPr>
        <w:widowControl w:val="0"/>
        <w:rPr>
          <w:rFonts w:cs="Times New Roman"/>
          <w:color w:val="0000FF"/>
          <w:sz w:val="18"/>
          <w:szCs w:val="18"/>
        </w:rPr>
      </w:pPr>
    </w:p>
    <w:p w14:paraId="6E8112EF">
      <w:pPr>
        <w:widowControl w:val="0"/>
        <w:ind w:firstLine="480" w:firstLineChars="200"/>
        <w:rPr>
          <w:rFonts w:cs="Times New Roman"/>
          <w:color w:val="0000FF"/>
        </w:rPr>
      </w:pPr>
    </w:p>
    <w:p w14:paraId="1C04199F">
      <w:pPr>
        <w:pStyle w:val="2"/>
        <w:rPr>
          <w:color w:val="0000FF"/>
        </w:rPr>
        <w:sectPr>
          <w:type w:val="nextColumn"/>
          <w:pgSz w:w="11905" w:h="16838"/>
          <w:pgMar w:top="1417" w:right="1417" w:bottom="1417" w:left="1417" w:header="850" w:footer="850" w:gutter="0"/>
          <w:pgNumType w:fmt="decimal"/>
          <w:cols w:space="0" w:num="1"/>
          <w:rtlGutter w:val="0"/>
          <w:docGrid w:linePitch="326" w:charSpace="0"/>
        </w:sectPr>
      </w:pPr>
    </w:p>
    <w:p w14:paraId="7AEAB852">
      <w:pPr>
        <w:pStyle w:val="2"/>
      </w:pPr>
      <w:bookmarkStart w:id="86" w:name="_Toc23312"/>
      <w:r>
        <w:rPr>
          <w:rFonts w:hint="eastAsia"/>
        </w:rPr>
        <w:t>8</w:t>
      </w:r>
      <w:r>
        <w:t xml:space="preserve"> 环境影响经济损益分析与环境保护投资</w:t>
      </w:r>
      <w:bookmarkEnd w:id="86"/>
    </w:p>
    <w:p w14:paraId="7E7E0D85">
      <w:pPr>
        <w:pStyle w:val="3"/>
        <w:rPr>
          <w:rFonts w:cs="Times New Roman"/>
        </w:rPr>
      </w:pPr>
      <w:bookmarkStart w:id="87" w:name="_Toc85309327"/>
      <w:bookmarkStart w:id="88" w:name="_Toc4137"/>
      <w:r>
        <w:rPr>
          <w:rFonts w:hint="eastAsia" w:cs="Times New Roman"/>
        </w:rPr>
        <w:t>8</w:t>
      </w:r>
      <w:r>
        <w:rPr>
          <w:rFonts w:cs="Times New Roman"/>
        </w:rPr>
        <w:t>.1 环境影响经济损益分析</w:t>
      </w:r>
      <w:bookmarkEnd w:id="87"/>
      <w:bookmarkEnd w:id="88"/>
    </w:p>
    <w:p w14:paraId="6D39FA42">
      <w:pPr>
        <w:pStyle w:val="4"/>
        <w:rPr>
          <w:rFonts w:cs="Times New Roman"/>
        </w:rPr>
      </w:pPr>
      <w:r>
        <w:rPr>
          <w:rFonts w:hint="eastAsia" w:cs="Times New Roman"/>
        </w:rPr>
        <w:t>8</w:t>
      </w:r>
      <w:r>
        <w:rPr>
          <w:rFonts w:cs="Times New Roman"/>
        </w:rPr>
        <w:t>.1.1 环境影响经济损益分析依据</w:t>
      </w:r>
    </w:p>
    <w:p w14:paraId="30FE7377">
      <w:pPr>
        <w:ind w:firstLine="480" w:firstLineChars="200"/>
        <w:rPr>
          <w:rFonts w:cs="Times New Roman"/>
        </w:rPr>
      </w:pPr>
      <w:r>
        <w:rPr>
          <w:rFonts w:cs="Times New Roman"/>
        </w:rPr>
        <w:t>1、分析目的与遵循原则</w:t>
      </w:r>
    </w:p>
    <w:p w14:paraId="26DAEBD9">
      <w:pPr>
        <w:ind w:firstLine="480"/>
        <w:rPr>
          <w:rFonts w:cs="Times New Roman"/>
          <w:kern w:val="2"/>
        </w:rPr>
      </w:pPr>
      <w:r>
        <w:rPr>
          <w:rFonts w:cs="Times New Roman"/>
          <w:kern w:val="2"/>
        </w:rPr>
        <w:t>（1）分析目的</w:t>
      </w:r>
    </w:p>
    <w:p w14:paraId="1BFCB634">
      <w:pPr>
        <w:ind w:firstLine="480"/>
        <w:rPr>
          <w:rFonts w:cs="Times New Roman"/>
          <w:kern w:val="2"/>
        </w:rPr>
      </w:pPr>
      <w:r>
        <w:rPr>
          <w:rFonts w:cs="Times New Roman"/>
          <w:kern w:val="2"/>
        </w:rPr>
        <w:t>环境影响经济损益分析目的是运用生态学和经济学原理，在考虑工程建设与区域生态建设、社会经济持续、稳定、协调发展的前提下，运用费用—效益分析法对工程的环境效益和损失进行全面的分析，对减免工程引起的不利影响所采取对策措施的投资进行综合的经济评价，为工程论证提供科学依据。</w:t>
      </w:r>
    </w:p>
    <w:p w14:paraId="2E5D6E8B">
      <w:pPr>
        <w:ind w:firstLine="480"/>
        <w:rPr>
          <w:rFonts w:cs="Times New Roman"/>
          <w:kern w:val="2"/>
        </w:rPr>
      </w:pPr>
      <w:r>
        <w:rPr>
          <w:rFonts w:cs="Times New Roman"/>
          <w:kern w:val="2"/>
        </w:rPr>
        <w:t>（2）遵循原则</w:t>
      </w:r>
    </w:p>
    <w:p w14:paraId="222F8EB6">
      <w:pPr>
        <w:ind w:firstLine="480"/>
        <w:rPr>
          <w:rFonts w:cs="Times New Roman"/>
        </w:rPr>
      </w:pPr>
      <w:r>
        <w:rPr>
          <w:rFonts w:cs="Times New Roman"/>
          <w:kern w:val="2"/>
        </w:rPr>
        <w:t>水利工程的环境经济损益分析，国内目前尚缺乏相应的规范和相关成熟的理论，一些环境影响难以准确量化和货币化。参照国内外现有水利工程环境经济损</w:t>
      </w:r>
      <w:r>
        <w:rPr>
          <w:rFonts w:cs="Times New Roman"/>
        </w:rPr>
        <w:t>益分析的成果，结合本项目环境影响特点，确定主要遵循的原则：</w:t>
      </w:r>
    </w:p>
    <w:p w14:paraId="19C60C77">
      <w:pPr>
        <w:ind w:firstLine="480"/>
        <w:rPr>
          <w:rFonts w:cs="Times New Roman"/>
          <w:kern w:val="2"/>
        </w:rPr>
      </w:pPr>
      <w:r>
        <w:rPr>
          <w:rFonts w:cs="Times New Roman"/>
          <w:kern w:val="2"/>
        </w:rPr>
        <w:t>1）直接影响原则。水利工程涉及范围广，建设周期长，受其影响的生态系统是一个复杂的大系统，系统内部环境因子之间的关系复杂，工程对生态与环境的影响往往出现一系列连锁反应，因此在进行工程的环境经济损益分析时，只考虑对生态环境或人类经济活动直接影响的结果。</w:t>
      </w:r>
    </w:p>
    <w:p w14:paraId="75C43D8F">
      <w:pPr>
        <w:ind w:firstLine="480"/>
        <w:rPr>
          <w:rFonts w:cs="Times New Roman"/>
          <w:kern w:val="2"/>
        </w:rPr>
      </w:pPr>
      <w:r>
        <w:rPr>
          <w:rFonts w:cs="Times New Roman"/>
          <w:kern w:val="2"/>
        </w:rPr>
        <w:t>2）功能恢复原则。在分析工程可能产生的环境影响时，应突出预防、保护和挽救，以保持和恢复生态环境原有的功能，因此在环境经济损益分析中确定防护措施或补救措施的费用，作为反映工程影响效应大小的尺度，并规定这些防护、补救措施的投资规模，只以保持和恢复工程建设前的生态环境功能为限。</w:t>
      </w:r>
    </w:p>
    <w:p w14:paraId="3770AF7D">
      <w:pPr>
        <w:ind w:firstLine="480"/>
        <w:rPr>
          <w:rFonts w:cs="Times New Roman"/>
          <w:kern w:val="2"/>
        </w:rPr>
      </w:pPr>
      <w:r>
        <w:rPr>
          <w:rFonts w:cs="Times New Roman"/>
          <w:kern w:val="2"/>
        </w:rPr>
        <w:t>3）一次性估价原则。由于工程造成的环境损失和产生的环境效益时间各异，这些损益之间没有可比性。因此在分析过程中，将按有关规定</w:t>
      </w:r>
      <w:r>
        <w:rPr>
          <w:rFonts w:hint="eastAsia" w:cs="Times New Roman"/>
          <w:kern w:val="2"/>
        </w:rPr>
        <w:t>以</w:t>
      </w:r>
      <w:r>
        <w:rPr>
          <w:rFonts w:cs="Times New Roman"/>
          <w:kern w:val="2"/>
        </w:rPr>
        <w:t>适当的年限将工程的环境损失和环境效益分别折算为现值，做出一次性估价，以便进行分析计算。对无法估价的环境影响，不作定量经济分析，只定性说明。</w:t>
      </w:r>
    </w:p>
    <w:p w14:paraId="5EAB37CA">
      <w:pPr>
        <w:ind w:firstLine="480" w:firstLineChars="200"/>
        <w:rPr>
          <w:rFonts w:cs="Times New Roman"/>
        </w:rPr>
      </w:pPr>
      <w:r>
        <w:rPr>
          <w:rFonts w:cs="Times New Roman"/>
        </w:rPr>
        <w:t>2、分析程序与方法</w:t>
      </w:r>
    </w:p>
    <w:p w14:paraId="47C5CBA7">
      <w:pPr>
        <w:ind w:firstLine="480"/>
        <w:rPr>
          <w:rFonts w:cs="Times New Roman"/>
          <w:kern w:val="2"/>
        </w:rPr>
      </w:pPr>
      <w:r>
        <w:rPr>
          <w:rFonts w:cs="Times New Roman"/>
          <w:kern w:val="2"/>
        </w:rPr>
        <w:t>（1）分析程序</w:t>
      </w:r>
    </w:p>
    <w:p w14:paraId="5AF8415C">
      <w:pPr>
        <w:ind w:firstLine="480"/>
        <w:rPr>
          <w:rFonts w:cs="Times New Roman"/>
          <w:kern w:val="2"/>
        </w:rPr>
      </w:pPr>
      <w:r>
        <w:rPr>
          <w:rFonts w:cs="Times New Roman"/>
          <w:kern w:val="2"/>
        </w:rPr>
        <w:t>①确定工程的环境影响，包括有利影响（效益）和不利影响（损失）；</w:t>
      </w:r>
    </w:p>
    <w:p w14:paraId="67ECEC93">
      <w:pPr>
        <w:ind w:firstLine="480"/>
        <w:rPr>
          <w:rFonts w:cs="Times New Roman"/>
          <w:kern w:val="2"/>
        </w:rPr>
      </w:pPr>
      <w:r>
        <w:rPr>
          <w:rFonts w:cs="Times New Roman"/>
          <w:kern w:val="2"/>
        </w:rPr>
        <w:t>②将环境影响进行量化；</w:t>
      </w:r>
    </w:p>
    <w:p w14:paraId="44AE90D4">
      <w:pPr>
        <w:ind w:firstLine="480"/>
        <w:rPr>
          <w:rFonts w:cs="Times New Roman"/>
          <w:kern w:val="2"/>
        </w:rPr>
      </w:pPr>
      <w:r>
        <w:rPr>
          <w:rFonts w:cs="Times New Roman"/>
          <w:kern w:val="2"/>
        </w:rPr>
        <w:t>③对量化的环境影响进行估价，以货币量值表现；</w:t>
      </w:r>
    </w:p>
    <w:p w14:paraId="48A71692">
      <w:pPr>
        <w:ind w:firstLine="480"/>
        <w:rPr>
          <w:rFonts w:cs="Times New Roman"/>
          <w:kern w:val="2"/>
        </w:rPr>
      </w:pPr>
      <w:r>
        <w:rPr>
          <w:rFonts w:cs="Times New Roman"/>
          <w:kern w:val="2"/>
        </w:rPr>
        <w:t>④对环境效益和环境损失进行经济分析。</w:t>
      </w:r>
    </w:p>
    <w:p w14:paraId="0390E52F">
      <w:pPr>
        <w:ind w:firstLine="480"/>
        <w:rPr>
          <w:rFonts w:cs="Times New Roman"/>
          <w:kern w:val="2"/>
        </w:rPr>
      </w:pPr>
      <w:r>
        <w:rPr>
          <w:rFonts w:cs="Times New Roman"/>
          <w:kern w:val="2"/>
        </w:rPr>
        <w:t>（2）分析方法</w:t>
      </w:r>
    </w:p>
    <w:p w14:paraId="1A062E03">
      <w:pPr>
        <w:ind w:firstLine="480"/>
        <w:rPr>
          <w:rFonts w:cs="Times New Roman"/>
          <w:kern w:val="2"/>
        </w:rPr>
      </w:pPr>
      <w:r>
        <w:rPr>
          <w:rFonts w:cs="Times New Roman"/>
          <w:kern w:val="2"/>
        </w:rPr>
        <w:t>根据上述基本原则和受影响的主要生态与环境因子的特点，分别采用市场价值法、防护费用法、恢复费用法、影子项目法等主要方法进行环境效益和损失的估算，然后采用现值和损益比进行评价。</w:t>
      </w:r>
    </w:p>
    <w:p w14:paraId="1887997E">
      <w:pPr>
        <w:ind w:firstLine="480" w:firstLineChars="200"/>
        <w:rPr>
          <w:rFonts w:cs="Times New Roman"/>
        </w:rPr>
      </w:pPr>
      <w:r>
        <w:rPr>
          <w:rFonts w:cs="Times New Roman"/>
        </w:rPr>
        <w:t>3、计算参数和条件</w:t>
      </w:r>
    </w:p>
    <w:p w14:paraId="418EB284">
      <w:pPr>
        <w:rPr>
          <w:rFonts w:cs="Times New Roman"/>
        </w:rPr>
      </w:pPr>
      <w:r>
        <w:rPr>
          <w:rFonts w:cs="Times New Roman"/>
        </w:rPr>
        <w:t>本项目经济评价主要依据国家发改委、建设部发改投资〔2006〕1325号文颁布的《建设项目经济评价方法与参数（第三版）》、水利部发布的《水利建设项目经济评价规范》（SL72-2013）。根据规范中有关规定，改、扩建水利建设项目经济评价可以采用有无该项目的增量费用和增量效益进行。</w:t>
      </w:r>
    </w:p>
    <w:p w14:paraId="030C6A1D">
      <w:pPr>
        <w:ind w:firstLine="480" w:firstLineChars="200"/>
        <w:rPr>
          <w:rFonts w:cs="Times New Roman"/>
        </w:rPr>
      </w:pPr>
      <w:r>
        <w:rPr>
          <w:rFonts w:cs="Times New Roman"/>
        </w:rPr>
        <w:t>评价中采用的有关数据和计算条件主要有：</w:t>
      </w:r>
    </w:p>
    <w:p w14:paraId="505DC049">
      <w:pPr>
        <w:ind w:firstLine="480" w:firstLineChars="200"/>
        <w:rPr>
          <w:rFonts w:cs="Times New Roman"/>
        </w:rPr>
      </w:pPr>
      <w:r>
        <w:rPr>
          <w:rFonts w:cs="Times New Roman"/>
        </w:rPr>
        <w:t>（1）本估算以2023年第一季度价格水平编制。</w:t>
      </w:r>
    </w:p>
    <w:p w14:paraId="6A4E20A8">
      <w:pPr>
        <w:ind w:firstLine="480" w:firstLineChars="200"/>
        <w:rPr>
          <w:rFonts w:cs="Times New Roman"/>
        </w:rPr>
      </w:pPr>
      <w:r>
        <w:rPr>
          <w:rFonts w:cs="Times New Roman"/>
        </w:rPr>
        <w:t>（2）计算基准点：计算基准点选在建设期第一年年初，项目的投入和产出均按现行价格和年末发生计算。</w:t>
      </w:r>
    </w:p>
    <w:p w14:paraId="3DCBA626">
      <w:pPr>
        <w:ind w:firstLine="480" w:firstLineChars="200"/>
        <w:rPr>
          <w:rFonts w:cs="Times New Roman"/>
          <w:color w:val="0000FF"/>
        </w:rPr>
      </w:pPr>
      <w:r>
        <w:rPr>
          <w:rFonts w:cs="Times New Roman"/>
          <w:color w:val="0000FF"/>
        </w:rPr>
        <w:t>（3）计算期包括建设期和运行期，根据本工程施工组织计划，项目建设工期为24个月。正常运行期根据《水利建设项目经济评价规范》规定采用30年。社会折现率取8%。</w:t>
      </w:r>
    </w:p>
    <w:p w14:paraId="13156F6B">
      <w:pPr>
        <w:pStyle w:val="4"/>
        <w:rPr>
          <w:rFonts w:cs="Times New Roman"/>
          <w:color w:val="0000FF"/>
        </w:rPr>
      </w:pPr>
      <w:r>
        <w:rPr>
          <w:rFonts w:hint="eastAsia" w:cs="Times New Roman"/>
          <w:color w:val="0000FF"/>
        </w:rPr>
        <w:t>8</w:t>
      </w:r>
      <w:r>
        <w:rPr>
          <w:rFonts w:cs="Times New Roman"/>
          <w:color w:val="0000FF"/>
        </w:rPr>
        <w:t>.1.2 环境经济效益</w:t>
      </w:r>
    </w:p>
    <w:p w14:paraId="0050BCA0">
      <w:pPr>
        <w:pStyle w:val="5"/>
        <w:rPr>
          <w:rFonts w:cs="Times New Roman"/>
          <w:color w:val="0000FF"/>
        </w:rPr>
      </w:pPr>
      <w:r>
        <w:rPr>
          <w:rFonts w:hint="eastAsia" w:cs="Times New Roman"/>
          <w:color w:val="0000FF"/>
        </w:rPr>
        <w:t>8</w:t>
      </w:r>
      <w:r>
        <w:rPr>
          <w:rFonts w:cs="Times New Roman"/>
          <w:color w:val="0000FF"/>
        </w:rPr>
        <w:t>.1.2.1 工程效益</w:t>
      </w:r>
    </w:p>
    <w:p w14:paraId="5FA7B5EA">
      <w:pPr>
        <w:ind w:firstLine="480" w:firstLineChars="200"/>
        <w:rPr>
          <w:rFonts w:cs="Times New Roman"/>
          <w:color w:val="0000FF"/>
        </w:rPr>
      </w:pPr>
      <w:r>
        <w:rPr>
          <w:rFonts w:cs="Times New Roman"/>
          <w:color w:val="0000FF"/>
        </w:rPr>
        <w:t>1、增产效益</w:t>
      </w:r>
    </w:p>
    <w:p w14:paraId="102D00C3">
      <w:pPr>
        <w:ind w:firstLine="480"/>
        <w:rPr>
          <w:rFonts w:cs="Times New Roman"/>
          <w:color w:val="0000FF"/>
          <w:kern w:val="2"/>
        </w:rPr>
      </w:pPr>
      <w:r>
        <w:rPr>
          <w:rFonts w:cs="Times New Roman"/>
          <w:color w:val="0000FF"/>
        </w:rPr>
        <w:t>根据调查资料统计，本工程实施后可以改善灌溉面积350万亩，其改善灌溉面积粮食增产量为40kg/亩，则改善灌溉面积可增加粮食产量为14000万kg。根据安徽省淠史杭总局灌溉试验总站1995年经过认证的灌溉试验研究成果《</w:t>
      </w:r>
      <w:r>
        <w:rPr>
          <w:rFonts w:hint="eastAsia" w:cs="Times New Roman"/>
          <w:color w:val="0000FF"/>
          <w:lang w:eastAsia="zh-CN"/>
        </w:rPr>
        <w:t>朱集灌区</w:t>
      </w:r>
      <w:r>
        <w:rPr>
          <w:rFonts w:cs="Times New Roman"/>
          <w:color w:val="0000FF"/>
        </w:rPr>
        <w:t>水稻灌溉效益、分摊系数试验研究》及淠史杭总局灌溉调度处多年的水雨情资料分析，</w:t>
      </w:r>
      <w:r>
        <w:rPr>
          <w:rFonts w:hint="eastAsia" w:cs="Times New Roman"/>
          <w:color w:val="0000FF"/>
          <w:lang w:eastAsia="zh-CN"/>
        </w:rPr>
        <w:t>朱集灌区</w:t>
      </w:r>
      <w:r>
        <w:rPr>
          <w:rFonts w:cs="Times New Roman"/>
          <w:color w:val="0000FF"/>
        </w:rPr>
        <w:t>正常年份属50%降雨年型，灌溉效益分摊系数取0.332，则分摊之后灌溉增产效益为11155万元。</w:t>
      </w:r>
    </w:p>
    <w:p w14:paraId="24E09F2C">
      <w:pPr>
        <w:ind w:firstLine="480" w:firstLineChars="200"/>
        <w:rPr>
          <w:rFonts w:cs="Times New Roman"/>
          <w:color w:val="0000FF"/>
        </w:rPr>
      </w:pPr>
      <w:r>
        <w:rPr>
          <w:rFonts w:cs="Times New Roman"/>
          <w:color w:val="0000FF"/>
        </w:rPr>
        <w:t>2、供水、节水效益</w:t>
      </w:r>
    </w:p>
    <w:p w14:paraId="2EE8B919">
      <w:pPr>
        <w:ind w:firstLine="480"/>
        <w:rPr>
          <w:rFonts w:cs="Times New Roman"/>
          <w:color w:val="0000FF"/>
        </w:rPr>
      </w:pPr>
      <w:r>
        <w:rPr>
          <w:rFonts w:cs="Times New Roman"/>
          <w:color w:val="0000FF"/>
        </w:rPr>
        <w:t>根据近3年的灌溉资料统计显示，本年度工程实施后每年可节约用水约1.03亿m</w:t>
      </w:r>
      <w:r>
        <w:rPr>
          <w:rFonts w:cs="Times New Roman"/>
          <w:color w:val="0000FF"/>
          <w:vertAlign w:val="superscript"/>
        </w:rPr>
        <w:t>3</w:t>
      </w:r>
      <w:r>
        <w:rPr>
          <w:rFonts w:cs="Times New Roman"/>
          <w:color w:val="0000FF"/>
        </w:rPr>
        <w:t>，查《</w:t>
      </w:r>
      <w:r>
        <w:rPr>
          <w:rFonts w:hint="eastAsia" w:cs="Times New Roman"/>
          <w:color w:val="0000FF"/>
          <w:lang w:eastAsia="zh-CN"/>
        </w:rPr>
        <w:t>朱集灌区</w:t>
      </w:r>
      <w:r>
        <w:rPr>
          <w:rFonts w:cs="Times New Roman"/>
          <w:color w:val="0000FF"/>
        </w:rPr>
        <w:t>水稻灌溉效益、分摊系数试验研究》，50%降雨年型灌水效益为1.303kg/m</w:t>
      </w:r>
      <w:r>
        <w:rPr>
          <w:rFonts w:cs="Times New Roman"/>
          <w:color w:val="0000FF"/>
          <w:vertAlign w:val="superscript"/>
        </w:rPr>
        <w:t>3</w:t>
      </w:r>
      <w:r>
        <w:rPr>
          <w:rFonts w:cs="Times New Roman"/>
          <w:color w:val="0000FF"/>
        </w:rPr>
        <w:t>，考虑灌溉效益分摊系数0.332，再计算各项目粮食增产量，换算为增产效益，粮食单价按2.4元/kg，节水效益为10693万元。</w:t>
      </w:r>
    </w:p>
    <w:p w14:paraId="5020EEA2">
      <w:pPr>
        <w:ind w:firstLine="480"/>
        <w:rPr>
          <w:rFonts w:cs="Times New Roman"/>
          <w:color w:val="0000FF"/>
          <w:kern w:val="2"/>
        </w:rPr>
      </w:pPr>
      <w:r>
        <w:rPr>
          <w:rFonts w:cs="Times New Roman"/>
          <w:color w:val="0000FF"/>
        </w:rPr>
        <w:t>综上所述，工程实施后年均效益为21848万元，对促进该区增产增收，推动区域经济建设，减少区域洪水灾害具有重要意义。</w:t>
      </w:r>
    </w:p>
    <w:p w14:paraId="4329DE1E">
      <w:pPr>
        <w:pStyle w:val="5"/>
        <w:rPr>
          <w:rFonts w:cs="Times New Roman"/>
          <w:color w:val="0000FF"/>
        </w:rPr>
      </w:pPr>
      <w:r>
        <w:rPr>
          <w:rFonts w:hint="eastAsia" w:cs="Times New Roman"/>
          <w:color w:val="0000FF"/>
        </w:rPr>
        <w:t>8</w:t>
      </w:r>
      <w:r>
        <w:rPr>
          <w:rFonts w:cs="Times New Roman"/>
          <w:color w:val="0000FF"/>
        </w:rPr>
        <w:t>.1.2.2 社会效益</w:t>
      </w:r>
    </w:p>
    <w:p w14:paraId="2B971BCC">
      <w:pPr>
        <w:ind w:firstLine="480"/>
        <w:rPr>
          <w:rFonts w:cs="Times New Roman"/>
          <w:color w:val="0000FF"/>
        </w:rPr>
      </w:pPr>
      <w:r>
        <w:rPr>
          <w:rFonts w:cs="Times New Roman"/>
          <w:color w:val="0000FF"/>
        </w:rPr>
        <w:t>工程建成后将有效提高灌区灌溉保证率，保证灌区功能的正常发挥，有利于改善当地人民的生产、生活条件，促进地区经济的可持续发展，有利于下游城镇防洪保安。</w:t>
      </w:r>
    </w:p>
    <w:p w14:paraId="5E01F50A">
      <w:pPr>
        <w:pStyle w:val="4"/>
        <w:rPr>
          <w:rFonts w:cs="Times New Roman"/>
          <w:color w:val="0000FF"/>
        </w:rPr>
      </w:pPr>
      <w:r>
        <w:rPr>
          <w:rFonts w:hint="eastAsia" w:cs="Times New Roman"/>
          <w:color w:val="0000FF"/>
        </w:rPr>
        <w:t>8</w:t>
      </w:r>
      <w:r>
        <w:rPr>
          <w:rFonts w:cs="Times New Roman"/>
          <w:color w:val="0000FF"/>
        </w:rPr>
        <w:t>.1.3 环境经济损失</w:t>
      </w:r>
    </w:p>
    <w:p w14:paraId="4F8DB18C">
      <w:pPr>
        <w:ind w:firstLine="480"/>
        <w:rPr>
          <w:rFonts w:cs="Times New Roman"/>
          <w:color w:val="0000FF"/>
          <w:kern w:val="2"/>
        </w:rPr>
      </w:pPr>
      <w:r>
        <w:rPr>
          <w:rFonts w:cs="Times New Roman"/>
          <w:color w:val="0000FF"/>
          <w:kern w:val="2"/>
        </w:rPr>
        <w:t>以减免工程对环境的不利影响或恢复、补偿环境效益所采取的保护和补偿措施费用作为反映工程影响损失大小的尺度，计算其损失值。在本工程环境损失中，可以货币化体现的主要包括工程永久占地投资、环境保护措施及补偿费用。</w:t>
      </w:r>
    </w:p>
    <w:p w14:paraId="51C7E636">
      <w:pPr>
        <w:ind w:firstLine="480"/>
        <w:rPr>
          <w:rFonts w:cs="Times New Roman"/>
          <w:color w:val="0000FF"/>
          <w:kern w:val="2"/>
        </w:rPr>
      </w:pPr>
      <w:r>
        <w:rPr>
          <w:rFonts w:cs="Times New Roman"/>
          <w:color w:val="0000FF"/>
          <w:kern w:val="2"/>
        </w:rPr>
        <w:t>（1）工程永久占地投资</w:t>
      </w:r>
    </w:p>
    <w:p w14:paraId="4A073150">
      <w:pPr>
        <w:ind w:firstLine="480"/>
        <w:rPr>
          <w:rFonts w:cs="Times New Roman"/>
          <w:color w:val="0000FF"/>
          <w:kern w:val="2"/>
        </w:rPr>
      </w:pPr>
      <w:r>
        <w:rPr>
          <w:rFonts w:cs="Times New Roman"/>
          <w:color w:val="0000FF"/>
          <w:kern w:val="2"/>
        </w:rPr>
        <w:t>采用</w:t>
      </w:r>
      <w:r>
        <w:rPr>
          <w:rFonts w:hint="eastAsia" w:cs="Times New Roman"/>
          <w:color w:val="0000FF"/>
          <w:kern w:val="2"/>
        </w:rPr>
        <w:t>“</w:t>
      </w:r>
      <w:r>
        <w:rPr>
          <w:rFonts w:cs="Times New Roman"/>
          <w:color w:val="0000FF"/>
          <w:kern w:val="2"/>
        </w:rPr>
        <w:t>恢复费用法</w:t>
      </w:r>
      <w:r>
        <w:rPr>
          <w:rFonts w:hint="eastAsia" w:cs="Times New Roman"/>
          <w:color w:val="0000FF"/>
          <w:kern w:val="2"/>
        </w:rPr>
        <w:t>”</w:t>
      </w:r>
      <w:r>
        <w:rPr>
          <w:rFonts w:cs="Times New Roman"/>
          <w:color w:val="0000FF"/>
          <w:kern w:val="2"/>
        </w:rPr>
        <w:t>，以恢复或适当改善、提高征用土地、财产资源等生产生活设施，恢复原有经济所采取的措施费用进行计算。</w:t>
      </w:r>
    </w:p>
    <w:p w14:paraId="6532FE1A">
      <w:pPr>
        <w:ind w:firstLine="480"/>
        <w:rPr>
          <w:rFonts w:cs="Times New Roman"/>
          <w:color w:val="0000FF"/>
          <w:kern w:val="2"/>
        </w:rPr>
      </w:pPr>
      <w:r>
        <w:rPr>
          <w:rFonts w:cs="Times New Roman"/>
          <w:color w:val="0000FF"/>
          <w:kern w:val="2"/>
        </w:rPr>
        <w:t>按照工程占地实物指标，根据国家有关政策、法规及技术规范要求，经计算，本工程占地处理补偿投资总费用为2763.60万元。</w:t>
      </w:r>
    </w:p>
    <w:p w14:paraId="531BDC55">
      <w:pPr>
        <w:ind w:firstLine="480"/>
        <w:rPr>
          <w:rFonts w:cs="Times New Roman"/>
          <w:color w:val="0000FF"/>
          <w:kern w:val="2"/>
        </w:rPr>
      </w:pPr>
      <w:r>
        <w:rPr>
          <w:rFonts w:cs="Times New Roman"/>
          <w:color w:val="0000FF"/>
          <w:kern w:val="2"/>
        </w:rPr>
        <w:t>（2）环境影响损失</w:t>
      </w:r>
    </w:p>
    <w:p w14:paraId="404EE5D0">
      <w:pPr>
        <w:ind w:firstLine="480"/>
        <w:rPr>
          <w:rFonts w:cs="Times New Roman"/>
          <w:color w:val="0000FF"/>
          <w:kern w:val="2"/>
        </w:rPr>
      </w:pPr>
      <w:r>
        <w:rPr>
          <w:rFonts w:cs="Times New Roman"/>
          <w:color w:val="0000FF"/>
          <w:kern w:val="2"/>
        </w:rPr>
        <w:t>采用</w:t>
      </w:r>
      <w:r>
        <w:rPr>
          <w:rFonts w:hint="eastAsia" w:cs="Times New Roman"/>
          <w:color w:val="0000FF"/>
          <w:kern w:val="2"/>
        </w:rPr>
        <w:t>“</w:t>
      </w:r>
      <w:r>
        <w:rPr>
          <w:rFonts w:cs="Times New Roman"/>
          <w:color w:val="0000FF"/>
          <w:kern w:val="2"/>
        </w:rPr>
        <w:t>恢复费用法</w:t>
      </w:r>
      <w:r>
        <w:rPr>
          <w:rFonts w:hint="eastAsia" w:cs="Times New Roman"/>
          <w:color w:val="0000FF"/>
          <w:kern w:val="2"/>
        </w:rPr>
        <w:t>”</w:t>
      </w:r>
      <w:r>
        <w:rPr>
          <w:rFonts w:cs="Times New Roman"/>
          <w:color w:val="0000FF"/>
          <w:kern w:val="2"/>
        </w:rPr>
        <w:t>，以减免不利环境影响或达到恢复、补偿效果所需费用进行计算。根据工程区域环境特点，为减免、恢复或补偿不利环境影响所采取的环境保护措施主要包括以下内容：生态环境保护；施工生产废水及生活污水处理、大气污染</w:t>
      </w:r>
      <w:r>
        <w:rPr>
          <w:rFonts w:hint="eastAsia" w:cs="Times New Roman"/>
          <w:color w:val="0000FF"/>
          <w:kern w:val="2"/>
        </w:rPr>
        <w:t>防控</w:t>
      </w:r>
      <w:r>
        <w:rPr>
          <w:rFonts w:cs="Times New Roman"/>
          <w:color w:val="0000FF"/>
          <w:kern w:val="2"/>
        </w:rPr>
        <w:t>措施、固体废弃物处置、噪声及粉尘控制、清淤工程环境保护；建设期环境监测、环境管理及环境监理；人群健康保护等，在进行技术经济分析或多方案比选基础上，提出了各项措施推荐方案及相应费用概算。工程环境保护措施总投资约</w:t>
      </w:r>
      <w:r>
        <w:rPr>
          <w:rFonts w:cs="Times New Roman"/>
          <w:color w:val="0000FF"/>
        </w:rPr>
        <w:t>865.15</w:t>
      </w:r>
      <w:r>
        <w:rPr>
          <w:rFonts w:cs="Times New Roman"/>
          <w:color w:val="0000FF"/>
          <w:kern w:val="2"/>
        </w:rPr>
        <w:t>万元（不含水土保持工程投资）。</w:t>
      </w:r>
    </w:p>
    <w:p w14:paraId="05630DAC">
      <w:pPr>
        <w:pStyle w:val="4"/>
        <w:rPr>
          <w:rFonts w:cs="Times New Roman"/>
          <w:color w:val="0000FF"/>
        </w:rPr>
      </w:pPr>
      <w:r>
        <w:rPr>
          <w:rFonts w:hint="eastAsia" w:cs="Times New Roman"/>
          <w:color w:val="0000FF"/>
        </w:rPr>
        <w:t>8</w:t>
      </w:r>
      <w:r>
        <w:rPr>
          <w:rFonts w:cs="Times New Roman"/>
          <w:color w:val="0000FF"/>
        </w:rPr>
        <w:t>.1.4 环境损益分析结论</w:t>
      </w:r>
    </w:p>
    <w:p w14:paraId="1859BEF9">
      <w:pPr>
        <w:ind w:firstLine="480"/>
        <w:rPr>
          <w:rFonts w:cs="Times New Roman"/>
          <w:color w:val="0000FF"/>
          <w:kern w:val="2"/>
        </w:rPr>
      </w:pPr>
      <w:r>
        <w:rPr>
          <w:rFonts w:cs="Times New Roman"/>
          <w:color w:val="0000FF"/>
          <w:kern w:val="2"/>
        </w:rPr>
        <w:t>根据工程对各环境因子的影响性质，采用前述计算方法和标准，进行环境经济损益分析，工程的多年平均环境效益现值为5783万元，年均环境损失的现值为52.57万元。环境效益明显大于环境损失，净现值大于零，效益费用比为110，大于1。说明工程建设从环境经济损益方面考虑是可行的。</w:t>
      </w:r>
    </w:p>
    <w:p w14:paraId="74A41AD0">
      <w:pPr>
        <w:ind w:firstLine="480"/>
        <w:rPr>
          <w:rFonts w:cs="Times New Roman"/>
          <w:color w:val="0000FF"/>
          <w:kern w:val="2"/>
        </w:rPr>
      </w:pPr>
      <w:r>
        <w:rPr>
          <w:rFonts w:cs="Times New Roman"/>
          <w:color w:val="0000FF"/>
          <w:kern w:val="2"/>
        </w:rPr>
        <w:t>上述计算结果没有考虑难以定量的环境影响，但难以定量的环境影响对效益损失比不会产生根本的改变，因此可以认为，在考虑难以定量的环境影响情况下，仍符合以上结论。</w:t>
      </w:r>
    </w:p>
    <w:p w14:paraId="096BA984">
      <w:pPr>
        <w:pStyle w:val="3"/>
        <w:rPr>
          <w:rFonts w:cs="Times New Roman"/>
          <w:color w:val="0000FF"/>
        </w:rPr>
      </w:pPr>
      <w:bookmarkStart w:id="89" w:name="_Toc85309328"/>
      <w:bookmarkStart w:id="90" w:name="_Toc13797"/>
      <w:r>
        <w:rPr>
          <w:rFonts w:hint="eastAsia" w:cs="Times New Roman"/>
          <w:color w:val="0000FF"/>
        </w:rPr>
        <w:t>8</w:t>
      </w:r>
      <w:r>
        <w:rPr>
          <w:rFonts w:cs="Times New Roman"/>
          <w:color w:val="0000FF"/>
        </w:rPr>
        <w:t>.2环境保护投资估算</w:t>
      </w:r>
      <w:bookmarkEnd w:id="89"/>
      <w:bookmarkEnd w:id="90"/>
    </w:p>
    <w:p w14:paraId="2FBC7D62">
      <w:pPr>
        <w:autoSpaceDE w:val="0"/>
        <w:autoSpaceDN w:val="0"/>
        <w:ind w:firstLine="480"/>
        <w:rPr>
          <w:rFonts w:cs="Times New Roman"/>
          <w:color w:val="0000FF"/>
        </w:rPr>
      </w:pPr>
      <w:r>
        <w:rPr>
          <w:rFonts w:cs="Times New Roman"/>
          <w:color w:val="0000FF"/>
        </w:rPr>
        <w:t>根据《水利水电工程环境保护设计概（估）算编制规程》（DL359-2006）及各省物价局、财政厅、环保厅颁发的有关环境监测及咨询收费管理规定，并根据现行的工程人员价格、市场材料价格，估算本工程环境保护专项投资，环境影响评价费用参考原《国家计委、国家环境保护总局关于规范环境影响咨询有关问题的通知》（计价格〔2002〕125号）收费标准文件，以市场价格为标准进行估算。</w:t>
      </w:r>
    </w:p>
    <w:p w14:paraId="08405F5A">
      <w:pPr>
        <w:autoSpaceDE w:val="0"/>
        <w:autoSpaceDN w:val="0"/>
        <w:ind w:firstLine="480"/>
        <w:rPr>
          <w:rFonts w:cs="Times New Roman"/>
          <w:color w:val="0000FF"/>
          <w:sz w:val="20"/>
          <w:szCs w:val="20"/>
        </w:rPr>
      </w:pPr>
      <w:r>
        <w:rPr>
          <w:rFonts w:cs="Times New Roman"/>
          <w:color w:val="0000FF"/>
        </w:rPr>
        <w:t>本工程专项环境保护投资包括施工期环境监测、环境保护临时措施、环境保护工程措施投资、独立费用和基本预备费用五部分。因本工程</w:t>
      </w:r>
      <w:r>
        <w:rPr>
          <w:rFonts w:hint="eastAsia" w:cs="Times New Roman"/>
          <w:color w:val="0000FF"/>
        </w:rPr>
        <w:t>水土流失防治</w:t>
      </w:r>
      <w:r>
        <w:rPr>
          <w:rFonts w:cs="Times New Roman"/>
          <w:color w:val="0000FF"/>
        </w:rPr>
        <w:t>措施投资已列入主体工程中，不再列入重复计算。</w:t>
      </w:r>
    </w:p>
    <w:p w14:paraId="12C8443C">
      <w:pPr>
        <w:pStyle w:val="4"/>
        <w:rPr>
          <w:rFonts w:cs="Times New Roman"/>
          <w:color w:val="0000FF"/>
        </w:rPr>
      </w:pPr>
      <w:r>
        <w:rPr>
          <w:rFonts w:hint="eastAsia" w:cs="Times New Roman"/>
          <w:color w:val="0000FF"/>
        </w:rPr>
        <w:t>8</w:t>
      </w:r>
      <w:r>
        <w:rPr>
          <w:rFonts w:cs="Times New Roman"/>
          <w:color w:val="0000FF"/>
        </w:rPr>
        <w:t>.2.1 环境保护工程措施投资</w:t>
      </w:r>
    </w:p>
    <w:p w14:paraId="04BEE349">
      <w:pPr>
        <w:ind w:firstLine="480"/>
        <w:rPr>
          <w:rFonts w:cs="Times New Roman"/>
          <w:color w:val="0000FF"/>
          <w:kern w:val="2"/>
        </w:rPr>
      </w:pPr>
      <w:r>
        <w:rPr>
          <w:rFonts w:cs="Times New Roman"/>
          <w:color w:val="0000FF"/>
          <w:kern w:val="2"/>
        </w:rPr>
        <w:t>主要包括生态恢复措施和环境敏感目标保护费用等。</w:t>
      </w:r>
    </w:p>
    <w:p w14:paraId="6C9943FB">
      <w:pPr>
        <w:ind w:firstLine="480" w:firstLineChars="200"/>
        <w:rPr>
          <w:rFonts w:cs="Times New Roman"/>
          <w:color w:val="0000FF"/>
        </w:rPr>
      </w:pPr>
      <w:r>
        <w:rPr>
          <w:rFonts w:cs="Times New Roman"/>
          <w:color w:val="0000FF"/>
        </w:rPr>
        <w:t>1、环境监测措施投资</w:t>
      </w:r>
    </w:p>
    <w:p w14:paraId="2B5DC3BA">
      <w:pPr>
        <w:ind w:firstLine="480" w:firstLineChars="200"/>
        <w:rPr>
          <w:rFonts w:cs="Times New Roman"/>
          <w:color w:val="0000FF"/>
          <w:kern w:val="2"/>
        </w:rPr>
      </w:pPr>
      <w:r>
        <w:rPr>
          <w:rFonts w:cs="Times New Roman"/>
          <w:color w:val="0000FF"/>
          <w:kern w:val="2"/>
        </w:rPr>
        <w:t>（1）水质监测投资：主要包括施工期生施工废水、施工影响区域地表水监测，以监测计划所列的监测点次计算，不同监测项目及监测点位费用根据有关环境监测收费标准及当地有关规定估算；</w:t>
      </w:r>
    </w:p>
    <w:p w14:paraId="62740418">
      <w:pPr>
        <w:ind w:firstLine="480" w:firstLineChars="200"/>
        <w:rPr>
          <w:rFonts w:cs="Times New Roman"/>
          <w:color w:val="0000FF"/>
          <w:kern w:val="2"/>
        </w:rPr>
      </w:pPr>
      <w:r>
        <w:rPr>
          <w:rFonts w:cs="Times New Roman"/>
          <w:color w:val="0000FF"/>
          <w:kern w:val="2"/>
        </w:rPr>
        <w:t>（2）底泥环境监测投资：施工期的清淤底泥监测点次依据监测计划计算。</w:t>
      </w:r>
    </w:p>
    <w:p w14:paraId="1CD218E5">
      <w:pPr>
        <w:ind w:firstLine="480" w:firstLineChars="200"/>
        <w:rPr>
          <w:rFonts w:cs="Times New Roman"/>
          <w:color w:val="0000FF"/>
          <w:kern w:val="2"/>
        </w:rPr>
      </w:pPr>
      <w:r>
        <w:rPr>
          <w:rFonts w:cs="Times New Roman"/>
          <w:color w:val="0000FF"/>
          <w:kern w:val="2"/>
        </w:rPr>
        <w:t>（3）大气环境监测投资：主要为施工期环境空气质量监测，以监测计划所列的监测点次计算；</w:t>
      </w:r>
    </w:p>
    <w:p w14:paraId="2A427624">
      <w:pPr>
        <w:ind w:firstLine="480" w:firstLineChars="200"/>
        <w:rPr>
          <w:rFonts w:cs="Times New Roman"/>
          <w:color w:val="0000FF"/>
          <w:kern w:val="2"/>
        </w:rPr>
      </w:pPr>
      <w:r>
        <w:rPr>
          <w:rFonts w:cs="Times New Roman"/>
          <w:color w:val="0000FF"/>
          <w:kern w:val="2"/>
        </w:rPr>
        <w:t>（4）噪声环境监测投资：施工期的噪声监测点次依据监测计划计算。</w:t>
      </w:r>
    </w:p>
    <w:p w14:paraId="7624DAEC">
      <w:pPr>
        <w:ind w:firstLine="480" w:firstLineChars="200"/>
        <w:rPr>
          <w:rFonts w:cs="Times New Roman"/>
          <w:color w:val="0000FF"/>
          <w:kern w:val="2"/>
        </w:rPr>
      </w:pPr>
      <w:r>
        <w:rPr>
          <w:rFonts w:cs="Times New Roman"/>
          <w:color w:val="0000FF"/>
          <w:kern w:val="2"/>
        </w:rPr>
        <w:t>（5）生态环境监测投资：施工期的生态监测点次、项目依据监测计划计算。</w:t>
      </w:r>
    </w:p>
    <w:p w14:paraId="7C9BEE8C">
      <w:pPr>
        <w:ind w:firstLine="480" w:firstLineChars="200"/>
        <w:rPr>
          <w:rFonts w:cs="Times New Roman"/>
          <w:color w:val="0000FF"/>
        </w:rPr>
      </w:pPr>
      <w:r>
        <w:rPr>
          <w:rFonts w:cs="Times New Roman"/>
          <w:color w:val="0000FF"/>
        </w:rPr>
        <w:t>2、环境保护临时措施投资</w:t>
      </w:r>
    </w:p>
    <w:p w14:paraId="10D2B6E7">
      <w:pPr>
        <w:ind w:firstLine="480" w:firstLineChars="200"/>
        <w:rPr>
          <w:rFonts w:cs="Times New Roman"/>
          <w:color w:val="0000FF"/>
          <w:kern w:val="2"/>
        </w:rPr>
      </w:pPr>
      <w:r>
        <w:rPr>
          <w:rFonts w:cs="Times New Roman"/>
          <w:color w:val="0000FF"/>
          <w:kern w:val="2"/>
        </w:rPr>
        <w:t>主要包括施工期废水处理设施（沉淀池、隔油池、一体式污水处理设施等）、环境空气保护措施（洒水设备及使用费用等）、固体废物处理（垃圾池、垃圾清运费用等）、噪声控制（临时隔声墙、噪声补偿及警示牌）及人群健康（场地消毒、卫生防疫），均依照国家有关收费标准、地方规定和地方物价水平及水利工程经验进行估算。</w:t>
      </w:r>
    </w:p>
    <w:p w14:paraId="6179ACED">
      <w:pPr>
        <w:ind w:firstLine="480" w:firstLineChars="200"/>
        <w:rPr>
          <w:rFonts w:cs="Times New Roman"/>
          <w:color w:val="0000FF"/>
        </w:rPr>
      </w:pPr>
      <w:r>
        <w:rPr>
          <w:rFonts w:cs="Times New Roman"/>
          <w:color w:val="0000FF"/>
        </w:rPr>
        <w:t>3、独立费用</w:t>
      </w:r>
    </w:p>
    <w:p w14:paraId="16937B21">
      <w:pPr>
        <w:ind w:firstLine="480" w:firstLineChars="200"/>
        <w:rPr>
          <w:rFonts w:cs="Times New Roman"/>
          <w:color w:val="0000FF"/>
          <w:kern w:val="2"/>
        </w:rPr>
      </w:pPr>
      <w:r>
        <w:rPr>
          <w:rFonts w:cs="Times New Roman"/>
          <w:color w:val="0000FF"/>
          <w:kern w:val="2"/>
        </w:rPr>
        <w:t>主要包括环境工程建设管理费、环境监理费等。</w:t>
      </w:r>
    </w:p>
    <w:p w14:paraId="086D0578">
      <w:pPr>
        <w:ind w:firstLine="480" w:firstLineChars="200"/>
        <w:rPr>
          <w:rFonts w:cs="Times New Roman"/>
          <w:color w:val="0000FF"/>
          <w:kern w:val="2"/>
        </w:rPr>
      </w:pPr>
      <w:r>
        <w:rPr>
          <w:rFonts w:cs="Times New Roman"/>
          <w:color w:val="0000FF"/>
          <w:kern w:val="2"/>
        </w:rPr>
        <w:t>（1）环境工程建设管理费</w:t>
      </w:r>
    </w:p>
    <w:p w14:paraId="7C59E9F1">
      <w:pPr>
        <w:ind w:firstLine="480"/>
        <w:rPr>
          <w:rFonts w:cs="Times New Roman"/>
          <w:color w:val="0000FF"/>
        </w:rPr>
      </w:pPr>
      <w:r>
        <w:rPr>
          <w:rFonts w:cs="Times New Roman"/>
          <w:color w:val="0000FF"/>
        </w:rPr>
        <w:t>环境管理人员日常费用按第一～第三部分合计的4%计。宣传教育及技术培训费按3%计。</w:t>
      </w:r>
    </w:p>
    <w:p w14:paraId="754688EB">
      <w:pPr>
        <w:ind w:firstLine="480"/>
        <w:rPr>
          <w:rFonts w:cs="Times New Roman"/>
          <w:color w:val="0000FF"/>
          <w:kern w:val="2"/>
        </w:rPr>
      </w:pPr>
      <w:r>
        <w:rPr>
          <w:rFonts w:cs="Times New Roman"/>
          <w:color w:val="0000FF"/>
          <w:kern w:val="2"/>
        </w:rPr>
        <w:t>（2）环境监理费</w:t>
      </w:r>
    </w:p>
    <w:p w14:paraId="52D30C9C">
      <w:pPr>
        <w:ind w:firstLine="480"/>
        <w:rPr>
          <w:rFonts w:cs="Times New Roman"/>
          <w:color w:val="0000FF"/>
          <w:kern w:val="2"/>
        </w:rPr>
      </w:pPr>
      <w:r>
        <w:rPr>
          <w:rFonts w:cs="Times New Roman"/>
          <w:color w:val="0000FF"/>
          <w:kern w:val="2"/>
        </w:rPr>
        <w:t>按实际工作所需监理人数、工作时间及劳动力价格估算。</w:t>
      </w:r>
    </w:p>
    <w:p w14:paraId="6232EAA8">
      <w:pPr>
        <w:ind w:firstLine="480" w:firstLineChars="200"/>
        <w:rPr>
          <w:rFonts w:cs="Times New Roman"/>
          <w:color w:val="0000FF"/>
        </w:rPr>
      </w:pPr>
      <w:r>
        <w:rPr>
          <w:rFonts w:cs="Times New Roman"/>
          <w:color w:val="0000FF"/>
        </w:rPr>
        <w:t>4、基本预备费</w:t>
      </w:r>
    </w:p>
    <w:p w14:paraId="47C6E12E">
      <w:pPr>
        <w:autoSpaceDE w:val="0"/>
        <w:autoSpaceDN w:val="0"/>
        <w:ind w:firstLine="480"/>
        <w:rPr>
          <w:rFonts w:cs="Times New Roman"/>
          <w:color w:val="0000FF"/>
          <w:sz w:val="20"/>
          <w:szCs w:val="20"/>
        </w:rPr>
      </w:pPr>
      <w:r>
        <w:rPr>
          <w:rFonts w:cs="Times New Roman"/>
          <w:color w:val="0000FF"/>
        </w:rPr>
        <w:t>本工程环保专项投资估算基本预备费费率按3%计。</w:t>
      </w:r>
    </w:p>
    <w:p w14:paraId="5C6EA028">
      <w:pPr>
        <w:pStyle w:val="4"/>
        <w:rPr>
          <w:rFonts w:cs="Times New Roman"/>
          <w:color w:val="0000FF"/>
        </w:rPr>
      </w:pPr>
      <w:r>
        <w:rPr>
          <w:rFonts w:hint="eastAsia" w:cs="Times New Roman"/>
          <w:color w:val="0000FF"/>
        </w:rPr>
        <w:t>8</w:t>
      </w:r>
      <w:r>
        <w:rPr>
          <w:rFonts w:cs="Times New Roman"/>
          <w:color w:val="0000FF"/>
        </w:rPr>
        <w:t>.2.2 环保投资总额</w:t>
      </w:r>
    </w:p>
    <w:p w14:paraId="39942224">
      <w:pPr>
        <w:rPr>
          <w:rFonts w:cs="Times New Roman"/>
          <w:color w:val="0000FF"/>
        </w:rPr>
      </w:pPr>
      <w:r>
        <w:rPr>
          <w:rFonts w:cs="Times New Roman"/>
          <w:color w:val="0000FF"/>
        </w:rPr>
        <w:t>根据环境保护措施结论和上述环境保护投资项目，</w:t>
      </w:r>
      <w:r>
        <w:rPr>
          <w:rFonts w:hint="eastAsia" w:cs="Times New Roman"/>
          <w:color w:val="0000FF"/>
          <w:lang w:eastAsia="zh-CN"/>
        </w:rPr>
        <w:t>淮南市谢家集区朱集中型灌区续建配套与节水改造项目</w:t>
      </w:r>
      <w:r>
        <w:rPr>
          <w:rFonts w:cs="Times New Roman"/>
          <w:color w:val="0000FF"/>
        </w:rPr>
        <w:t>三期工程总投资</w:t>
      </w:r>
      <w:r>
        <w:rPr>
          <w:rFonts w:hint="eastAsia" w:cs="Times New Roman"/>
          <w:color w:val="0000FF"/>
        </w:rPr>
        <w:t>10.87</w:t>
      </w:r>
      <w:r>
        <w:rPr>
          <w:rFonts w:cs="Times New Roman"/>
          <w:color w:val="0000FF"/>
        </w:rPr>
        <w:t>亿元，本报告计算环境保护工程专项投资865.15万元，详见表</w:t>
      </w:r>
      <w:r>
        <w:rPr>
          <w:rFonts w:hint="eastAsia" w:cs="Times New Roman"/>
          <w:color w:val="0000FF"/>
        </w:rPr>
        <w:t>8</w:t>
      </w:r>
      <w:r>
        <w:rPr>
          <w:rFonts w:cs="Times New Roman"/>
          <w:color w:val="0000FF"/>
        </w:rPr>
        <w:t>.2-1，环境保护总投资共占工程总投资的0.</w:t>
      </w:r>
      <w:r>
        <w:rPr>
          <w:rFonts w:hint="eastAsia" w:cs="Times New Roman"/>
          <w:color w:val="0000FF"/>
        </w:rPr>
        <w:t>8</w:t>
      </w:r>
      <w:r>
        <w:rPr>
          <w:rFonts w:cs="Times New Roman"/>
          <w:color w:val="0000FF"/>
        </w:rPr>
        <w:t>%。</w:t>
      </w:r>
    </w:p>
    <w:p w14:paraId="697B50DF">
      <w:pPr>
        <w:rPr>
          <w:rFonts w:cs="Times New Roman"/>
          <w:color w:val="0000FF"/>
        </w:rPr>
      </w:pPr>
      <w:r>
        <w:rPr>
          <w:rFonts w:hint="eastAsia" w:cs="Times New Roman"/>
          <w:color w:val="0000FF"/>
        </w:rPr>
        <w:t>8</w:t>
      </w:r>
      <w:r>
        <w:rPr>
          <w:rFonts w:cs="Times New Roman"/>
          <w:color w:val="0000FF"/>
        </w:rPr>
        <w:t>-2-1  环保投资估算一览表</w:t>
      </w:r>
    </w:p>
    <w:tbl>
      <w:tblPr>
        <w:tblStyle w:val="16"/>
        <w:tblW w:w="9770" w:type="dxa"/>
        <w:tblInd w:w="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0"/>
        <w:gridCol w:w="960"/>
        <w:gridCol w:w="1800"/>
        <w:gridCol w:w="3424"/>
        <w:gridCol w:w="836"/>
        <w:gridCol w:w="1790"/>
      </w:tblGrid>
      <w:tr w14:paraId="33598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960" w:type="dxa"/>
            <w:shd w:val="clear" w:color="auto" w:fill="auto"/>
            <w:vAlign w:val="center"/>
          </w:tcPr>
          <w:p w14:paraId="170E9321">
            <w:pPr>
              <w:pStyle w:val="28"/>
              <w:bidi w:val="0"/>
            </w:pPr>
            <w:r>
              <w:t>环境影响及保护类型</w:t>
            </w:r>
          </w:p>
        </w:tc>
        <w:tc>
          <w:tcPr>
            <w:tcW w:w="2760" w:type="dxa"/>
            <w:gridSpan w:val="2"/>
            <w:shd w:val="clear" w:color="auto" w:fill="auto"/>
            <w:vAlign w:val="center"/>
          </w:tcPr>
          <w:p w14:paraId="09A17C0C">
            <w:pPr>
              <w:pStyle w:val="28"/>
              <w:bidi w:val="0"/>
            </w:pPr>
            <w:r>
              <w:t>环保措施</w:t>
            </w:r>
          </w:p>
        </w:tc>
        <w:tc>
          <w:tcPr>
            <w:tcW w:w="3424" w:type="dxa"/>
            <w:shd w:val="clear" w:color="auto" w:fill="auto"/>
            <w:vAlign w:val="center"/>
          </w:tcPr>
          <w:p w14:paraId="523BE7B4">
            <w:pPr>
              <w:pStyle w:val="28"/>
              <w:bidi w:val="0"/>
            </w:pPr>
            <w:r>
              <w:t>规模及措施</w:t>
            </w:r>
          </w:p>
        </w:tc>
        <w:tc>
          <w:tcPr>
            <w:tcW w:w="836" w:type="dxa"/>
            <w:shd w:val="clear" w:color="auto" w:fill="auto"/>
            <w:vAlign w:val="center"/>
          </w:tcPr>
          <w:p w14:paraId="4A520BD7">
            <w:pPr>
              <w:pStyle w:val="28"/>
              <w:bidi w:val="0"/>
            </w:pPr>
            <w:r>
              <w:t>投资估算（万元）</w:t>
            </w:r>
          </w:p>
        </w:tc>
        <w:tc>
          <w:tcPr>
            <w:tcW w:w="1790" w:type="dxa"/>
            <w:shd w:val="clear" w:color="auto" w:fill="auto"/>
            <w:vAlign w:val="center"/>
          </w:tcPr>
          <w:p w14:paraId="0D7BD1BD">
            <w:pPr>
              <w:pStyle w:val="28"/>
              <w:bidi w:val="0"/>
            </w:pPr>
            <w:r>
              <w:t>备注</w:t>
            </w:r>
          </w:p>
        </w:tc>
      </w:tr>
      <w:tr w14:paraId="434ED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960" w:type="dxa"/>
            <w:vMerge w:val="restart"/>
            <w:shd w:val="clear" w:color="auto" w:fill="auto"/>
            <w:vAlign w:val="center"/>
          </w:tcPr>
          <w:p w14:paraId="22BF9C0D">
            <w:pPr>
              <w:pStyle w:val="28"/>
              <w:bidi w:val="0"/>
            </w:pPr>
            <w:r>
              <w:t>水环境</w:t>
            </w:r>
          </w:p>
        </w:tc>
        <w:tc>
          <w:tcPr>
            <w:tcW w:w="960" w:type="dxa"/>
            <w:vMerge w:val="restart"/>
            <w:shd w:val="clear" w:color="auto" w:fill="auto"/>
            <w:vAlign w:val="center"/>
          </w:tcPr>
          <w:p w14:paraId="3B0A8AC1">
            <w:pPr>
              <w:pStyle w:val="28"/>
              <w:bidi w:val="0"/>
            </w:pPr>
            <w:r>
              <w:t>施工期</w:t>
            </w:r>
          </w:p>
        </w:tc>
        <w:tc>
          <w:tcPr>
            <w:tcW w:w="1800" w:type="dxa"/>
            <w:shd w:val="clear" w:color="auto" w:fill="auto"/>
            <w:vAlign w:val="center"/>
          </w:tcPr>
          <w:p w14:paraId="36B0CB8C">
            <w:pPr>
              <w:pStyle w:val="28"/>
              <w:bidi w:val="0"/>
            </w:pPr>
            <w:r>
              <w:t>施工人员生活污水处理</w:t>
            </w:r>
          </w:p>
        </w:tc>
        <w:tc>
          <w:tcPr>
            <w:tcW w:w="3424" w:type="dxa"/>
            <w:shd w:val="clear" w:color="auto" w:fill="auto"/>
            <w:vAlign w:val="center"/>
          </w:tcPr>
          <w:p w14:paraId="232AB66B">
            <w:pPr>
              <w:pStyle w:val="28"/>
              <w:bidi w:val="0"/>
            </w:pPr>
            <w:r>
              <w:t>根据实际情况租用或者购买30个一体化污水处理设施，设于临时施工场地内，生活污水收集后经处理</w:t>
            </w:r>
            <w:r>
              <w:rPr>
                <w:rFonts w:hint="eastAsia"/>
              </w:rPr>
              <w:t>达标</w:t>
            </w:r>
            <w:r>
              <w:t>后</w:t>
            </w:r>
            <w:r>
              <w:rPr>
                <w:rFonts w:hint="eastAsia"/>
              </w:rPr>
              <w:t>用于农田灌溉</w:t>
            </w:r>
          </w:p>
        </w:tc>
        <w:tc>
          <w:tcPr>
            <w:tcW w:w="836" w:type="dxa"/>
            <w:shd w:val="clear" w:color="auto" w:fill="auto"/>
            <w:vAlign w:val="center"/>
          </w:tcPr>
          <w:p w14:paraId="28B65496">
            <w:pPr>
              <w:pStyle w:val="28"/>
              <w:bidi w:val="0"/>
            </w:pPr>
            <w:r>
              <w:t>80</w:t>
            </w:r>
          </w:p>
        </w:tc>
        <w:tc>
          <w:tcPr>
            <w:tcW w:w="1790" w:type="dxa"/>
            <w:shd w:val="clear" w:color="auto" w:fill="auto"/>
            <w:vAlign w:val="center"/>
          </w:tcPr>
          <w:p w14:paraId="5405A8F0">
            <w:pPr>
              <w:pStyle w:val="28"/>
              <w:bidi w:val="0"/>
            </w:pPr>
            <w:r>
              <w:t>禁止排入渠道</w:t>
            </w:r>
          </w:p>
        </w:tc>
      </w:tr>
      <w:tr w14:paraId="7274C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continue"/>
            <w:shd w:val="clear" w:color="auto" w:fill="auto"/>
            <w:vAlign w:val="center"/>
          </w:tcPr>
          <w:p w14:paraId="1440A138">
            <w:pPr>
              <w:pStyle w:val="28"/>
              <w:bidi w:val="0"/>
            </w:pPr>
          </w:p>
        </w:tc>
        <w:tc>
          <w:tcPr>
            <w:tcW w:w="960" w:type="dxa"/>
            <w:vMerge w:val="continue"/>
            <w:shd w:val="clear" w:color="auto" w:fill="auto"/>
            <w:vAlign w:val="center"/>
          </w:tcPr>
          <w:p w14:paraId="5938B20D">
            <w:pPr>
              <w:pStyle w:val="28"/>
              <w:bidi w:val="0"/>
            </w:pPr>
          </w:p>
        </w:tc>
        <w:tc>
          <w:tcPr>
            <w:tcW w:w="1800" w:type="dxa"/>
            <w:shd w:val="clear" w:color="auto" w:fill="auto"/>
            <w:vAlign w:val="center"/>
          </w:tcPr>
          <w:p w14:paraId="37182888">
            <w:pPr>
              <w:pStyle w:val="28"/>
              <w:bidi w:val="0"/>
            </w:pPr>
            <w:r>
              <w:t>施工含油废水收集处理</w:t>
            </w:r>
          </w:p>
        </w:tc>
        <w:tc>
          <w:tcPr>
            <w:tcW w:w="3424" w:type="dxa"/>
            <w:shd w:val="clear" w:color="auto" w:fill="auto"/>
            <w:vAlign w:val="center"/>
          </w:tcPr>
          <w:p w14:paraId="6EBFBB97">
            <w:pPr>
              <w:pStyle w:val="28"/>
              <w:bidi w:val="0"/>
            </w:pPr>
            <w:r>
              <w:t>含油废水经32个隔油池+沉淀池处理后回用于道路抑尘和车辆抑尘等</w:t>
            </w:r>
          </w:p>
        </w:tc>
        <w:tc>
          <w:tcPr>
            <w:tcW w:w="836" w:type="dxa"/>
            <w:shd w:val="clear" w:color="auto" w:fill="auto"/>
            <w:vAlign w:val="center"/>
          </w:tcPr>
          <w:p w14:paraId="3F99455C">
            <w:pPr>
              <w:pStyle w:val="28"/>
              <w:bidi w:val="0"/>
            </w:pPr>
            <w:r>
              <w:t>56.2</w:t>
            </w:r>
          </w:p>
        </w:tc>
        <w:tc>
          <w:tcPr>
            <w:tcW w:w="1790" w:type="dxa"/>
            <w:shd w:val="clear" w:color="auto" w:fill="auto"/>
            <w:vAlign w:val="center"/>
          </w:tcPr>
          <w:p w14:paraId="0F8B7A6E">
            <w:pPr>
              <w:pStyle w:val="28"/>
              <w:bidi w:val="0"/>
            </w:pPr>
            <w:r>
              <w:t>禁止排入渠道</w:t>
            </w:r>
          </w:p>
        </w:tc>
      </w:tr>
      <w:tr w14:paraId="0AF0E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960" w:type="dxa"/>
            <w:vMerge w:val="continue"/>
            <w:shd w:val="clear" w:color="auto" w:fill="auto"/>
            <w:vAlign w:val="center"/>
          </w:tcPr>
          <w:p w14:paraId="7286E05F">
            <w:pPr>
              <w:pStyle w:val="28"/>
              <w:bidi w:val="0"/>
            </w:pPr>
          </w:p>
        </w:tc>
        <w:tc>
          <w:tcPr>
            <w:tcW w:w="960" w:type="dxa"/>
            <w:vMerge w:val="continue"/>
            <w:shd w:val="clear" w:color="auto" w:fill="auto"/>
            <w:vAlign w:val="center"/>
          </w:tcPr>
          <w:p w14:paraId="4056E301">
            <w:pPr>
              <w:pStyle w:val="28"/>
              <w:bidi w:val="0"/>
            </w:pPr>
          </w:p>
        </w:tc>
        <w:tc>
          <w:tcPr>
            <w:tcW w:w="1800" w:type="dxa"/>
            <w:shd w:val="clear" w:color="auto" w:fill="auto"/>
            <w:vAlign w:val="center"/>
          </w:tcPr>
          <w:p w14:paraId="6584A173">
            <w:pPr>
              <w:pStyle w:val="28"/>
              <w:bidi w:val="0"/>
            </w:pPr>
            <w:r>
              <w:t>施工场地废水收集处理</w:t>
            </w:r>
          </w:p>
        </w:tc>
        <w:tc>
          <w:tcPr>
            <w:tcW w:w="3424" w:type="dxa"/>
            <w:shd w:val="clear" w:color="auto" w:fill="auto"/>
            <w:vAlign w:val="center"/>
          </w:tcPr>
          <w:p w14:paraId="31B7B9DD">
            <w:pPr>
              <w:pStyle w:val="28"/>
              <w:bidi w:val="0"/>
            </w:pPr>
            <w:r>
              <w:t>施工场地内分别布置88个中和沉淀池（30m3），池体及进出水口采用砖衬砌</w:t>
            </w:r>
          </w:p>
        </w:tc>
        <w:tc>
          <w:tcPr>
            <w:tcW w:w="836" w:type="dxa"/>
            <w:shd w:val="clear" w:color="auto" w:fill="auto"/>
            <w:vAlign w:val="center"/>
          </w:tcPr>
          <w:p w14:paraId="1CF757FF">
            <w:pPr>
              <w:pStyle w:val="28"/>
              <w:bidi w:val="0"/>
            </w:pPr>
            <w:r>
              <w:t>22.53</w:t>
            </w:r>
          </w:p>
        </w:tc>
        <w:tc>
          <w:tcPr>
            <w:tcW w:w="1790" w:type="dxa"/>
            <w:shd w:val="clear" w:color="auto" w:fill="auto"/>
            <w:vAlign w:val="center"/>
          </w:tcPr>
          <w:p w14:paraId="2C182321">
            <w:pPr>
              <w:pStyle w:val="28"/>
              <w:bidi w:val="0"/>
            </w:pPr>
            <w:r>
              <w:t>处理后回用于施工，不得向地表水体排放</w:t>
            </w:r>
          </w:p>
        </w:tc>
      </w:tr>
      <w:tr w14:paraId="13C31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960" w:type="dxa"/>
            <w:vMerge w:val="continue"/>
            <w:shd w:val="clear" w:color="auto" w:fill="auto"/>
            <w:vAlign w:val="center"/>
          </w:tcPr>
          <w:p w14:paraId="4CA240F2">
            <w:pPr>
              <w:pStyle w:val="28"/>
              <w:bidi w:val="0"/>
            </w:pPr>
          </w:p>
        </w:tc>
        <w:tc>
          <w:tcPr>
            <w:tcW w:w="960" w:type="dxa"/>
            <w:vMerge w:val="continue"/>
            <w:shd w:val="clear" w:color="auto" w:fill="auto"/>
            <w:vAlign w:val="center"/>
          </w:tcPr>
          <w:p w14:paraId="783BF090">
            <w:pPr>
              <w:pStyle w:val="28"/>
              <w:bidi w:val="0"/>
            </w:pPr>
          </w:p>
        </w:tc>
        <w:tc>
          <w:tcPr>
            <w:tcW w:w="1800" w:type="dxa"/>
            <w:shd w:val="clear" w:color="auto" w:fill="auto"/>
            <w:vAlign w:val="center"/>
          </w:tcPr>
          <w:p w14:paraId="266A92D6">
            <w:pPr>
              <w:pStyle w:val="28"/>
              <w:bidi w:val="0"/>
            </w:pPr>
            <w:r>
              <w:t>环保宣传</w:t>
            </w:r>
          </w:p>
        </w:tc>
        <w:tc>
          <w:tcPr>
            <w:tcW w:w="3424" w:type="dxa"/>
            <w:shd w:val="clear" w:color="auto" w:fill="auto"/>
            <w:vAlign w:val="center"/>
          </w:tcPr>
          <w:p w14:paraId="37CC8306">
            <w:pPr>
              <w:pStyle w:val="28"/>
              <w:bidi w:val="0"/>
            </w:pPr>
            <w:r>
              <w:t>设置饮用水水源保护区警示牌、进行水源保护区宣传教育、设置防倾倒维护装置</w:t>
            </w:r>
          </w:p>
        </w:tc>
        <w:tc>
          <w:tcPr>
            <w:tcW w:w="836" w:type="dxa"/>
            <w:shd w:val="clear" w:color="auto" w:fill="auto"/>
            <w:vAlign w:val="center"/>
          </w:tcPr>
          <w:p w14:paraId="3BCA881A">
            <w:pPr>
              <w:pStyle w:val="28"/>
              <w:bidi w:val="0"/>
            </w:pPr>
            <w:r>
              <w:t>10.5</w:t>
            </w:r>
          </w:p>
        </w:tc>
        <w:tc>
          <w:tcPr>
            <w:tcW w:w="1790" w:type="dxa"/>
            <w:shd w:val="clear" w:color="auto" w:fill="auto"/>
            <w:vAlign w:val="center"/>
          </w:tcPr>
          <w:p w14:paraId="61EA0624">
            <w:pPr>
              <w:pStyle w:val="28"/>
              <w:bidi w:val="0"/>
            </w:pPr>
            <w:r>
              <w:t>/</w:t>
            </w:r>
          </w:p>
        </w:tc>
      </w:tr>
      <w:tr w14:paraId="7B63C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continue"/>
            <w:shd w:val="clear" w:color="auto" w:fill="auto"/>
            <w:vAlign w:val="center"/>
          </w:tcPr>
          <w:p w14:paraId="60F03BEA">
            <w:pPr>
              <w:pStyle w:val="28"/>
              <w:bidi w:val="0"/>
            </w:pPr>
          </w:p>
        </w:tc>
        <w:tc>
          <w:tcPr>
            <w:tcW w:w="960" w:type="dxa"/>
            <w:shd w:val="clear" w:color="auto" w:fill="auto"/>
            <w:vAlign w:val="center"/>
          </w:tcPr>
          <w:p w14:paraId="43EB23FE">
            <w:pPr>
              <w:pStyle w:val="28"/>
              <w:bidi w:val="0"/>
            </w:pPr>
            <w:r>
              <w:t>营运期</w:t>
            </w:r>
          </w:p>
        </w:tc>
        <w:tc>
          <w:tcPr>
            <w:tcW w:w="1800" w:type="dxa"/>
            <w:shd w:val="clear" w:color="auto" w:fill="auto"/>
            <w:vAlign w:val="center"/>
          </w:tcPr>
          <w:p w14:paraId="0330F1AF">
            <w:pPr>
              <w:pStyle w:val="28"/>
              <w:bidi w:val="0"/>
            </w:pPr>
            <w:r>
              <w:t>废水收集、处理装置</w:t>
            </w:r>
          </w:p>
        </w:tc>
        <w:tc>
          <w:tcPr>
            <w:tcW w:w="3424" w:type="dxa"/>
            <w:shd w:val="clear" w:color="auto" w:fill="auto"/>
            <w:vAlign w:val="center"/>
          </w:tcPr>
          <w:p w14:paraId="3FF67579">
            <w:pPr>
              <w:pStyle w:val="28"/>
              <w:bidi w:val="0"/>
            </w:pPr>
            <w:r>
              <w:t>依托现有生活污水处理设施</w:t>
            </w:r>
            <w:r>
              <w:rPr>
                <w:rFonts w:hint="eastAsia"/>
              </w:rPr>
              <w:t>，生活污水接入管网，没有条件接入管网的，经污水处理设施收集预处理后定期送至污水处理厂处理或者达《农田灌溉水质标准》（GB5084-2021）就农利用</w:t>
            </w:r>
          </w:p>
          <w:p w14:paraId="00AA4C0C">
            <w:pPr>
              <w:pStyle w:val="28"/>
              <w:bidi w:val="0"/>
            </w:pPr>
            <w:r>
              <w:rPr>
                <w:rFonts w:hint="eastAsia"/>
              </w:rPr>
              <w:t>老庙管理段、杨岗管理段等8个管理段配套建设污水处理措施</w:t>
            </w:r>
          </w:p>
        </w:tc>
        <w:tc>
          <w:tcPr>
            <w:tcW w:w="836" w:type="dxa"/>
            <w:shd w:val="clear" w:color="auto" w:fill="auto"/>
            <w:vAlign w:val="center"/>
          </w:tcPr>
          <w:p w14:paraId="59C9FE3B">
            <w:pPr>
              <w:pStyle w:val="28"/>
              <w:bidi w:val="0"/>
            </w:pPr>
            <w:r>
              <w:rPr>
                <w:rFonts w:hint="eastAsia"/>
              </w:rPr>
              <w:t>16</w:t>
            </w:r>
          </w:p>
        </w:tc>
        <w:tc>
          <w:tcPr>
            <w:tcW w:w="1790" w:type="dxa"/>
            <w:shd w:val="clear" w:color="auto" w:fill="auto"/>
            <w:vAlign w:val="center"/>
          </w:tcPr>
          <w:p w14:paraId="734FE5A9">
            <w:pPr>
              <w:pStyle w:val="28"/>
              <w:bidi w:val="0"/>
            </w:pPr>
            <w:r>
              <w:t>/</w:t>
            </w:r>
          </w:p>
        </w:tc>
      </w:tr>
      <w:tr w14:paraId="6A57D1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960" w:type="dxa"/>
            <w:vMerge w:val="restart"/>
            <w:shd w:val="clear" w:color="auto" w:fill="auto"/>
            <w:vAlign w:val="center"/>
          </w:tcPr>
          <w:p w14:paraId="69EC854D">
            <w:pPr>
              <w:pStyle w:val="28"/>
              <w:bidi w:val="0"/>
            </w:pPr>
            <w:r>
              <w:t>大气环境</w:t>
            </w:r>
          </w:p>
        </w:tc>
        <w:tc>
          <w:tcPr>
            <w:tcW w:w="960" w:type="dxa"/>
            <w:vMerge w:val="restart"/>
            <w:shd w:val="clear" w:color="auto" w:fill="auto"/>
            <w:vAlign w:val="center"/>
          </w:tcPr>
          <w:p w14:paraId="2BDC5ED7">
            <w:pPr>
              <w:pStyle w:val="28"/>
              <w:bidi w:val="0"/>
            </w:pPr>
            <w:r>
              <w:t>施工期</w:t>
            </w:r>
          </w:p>
        </w:tc>
        <w:tc>
          <w:tcPr>
            <w:tcW w:w="1800" w:type="dxa"/>
            <w:shd w:val="clear" w:color="auto" w:fill="auto"/>
            <w:vAlign w:val="center"/>
          </w:tcPr>
          <w:p w14:paraId="084C3576">
            <w:pPr>
              <w:pStyle w:val="28"/>
              <w:bidi w:val="0"/>
            </w:pPr>
            <w:r>
              <w:t>洒水降尘费</w:t>
            </w:r>
          </w:p>
        </w:tc>
        <w:tc>
          <w:tcPr>
            <w:tcW w:w="3424" w:type="dxa"/>
            <w:shd w:val="clear" w:color="auto" w:fill="auto"/>
            <w:vAlign w:val="center"/>
          </w:tcPr>
          <w:p w14:paraId="552BD690">
            <w:pPr>
              <w:pStyle w:val="28"/>
              <w:bidi w:val="0"/>
            </w:pPr>
            <w:r>
              <w:t>施工场地设置喷淋洒水措施88个</w:t>
            </w:r>
          </w:p>
        </w:tc>
        <w:tc>
          <w:tcPr>
            <w:tcW w:w="836" w:type="dxa"/>
            <w:shd w:val="clear" w:color="auto" w:fill="auto"/>
            <w:vAlign w:val="center"/>
          </w:tcPr>
          <w:p w14:paraId="3A2BB7D8">
            <w:pPr>
              <w:pStyle w:val="28"/>
              <w:bidi w:val="0"/>
            </w:pPr>
            <w:r>
              <w:t>46.1</w:t>
            </w:r>
          </w:p>
        </w:tc>
        <w:tc>
          <w:tcPr>
            <w:tcW w:w="1790" w:type="dxa"/>
            <w:shd w:val="clear" w:color="auto" w:fill="auto"/>
            <w:vAlign w:val="center"/>
          </w:tcPr>
          <w:p w14:paraId="3184C907">
            <w:pPr>
              <w:pStyle w:val="28"/>
              <w:bidi w:val="0"/>
            </w:pPr>
            <w:r>
              <w:t>/</w:t>
            </w:r>
          </w:p>
        </w:tc>
      </w:tr>
      <w:tr w14:paraId="65A48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continue"/>
            <w:shd w:val="clear" w:color="auto" w:fill="auto"/>
            <w:vAlign w:val="center"/>
          </w:tcPr>
          <w:p w14:paraId="31FAFA9B">
            <w:pPr>
              <w:pStyle w:val="28"/>
              <w:bidi w:val="0"/>
            </w:pPr>
          </w:p>
        </w:tc>
        <w:tc>
          <w:tcPr>
            <w:tcW w:w="960" w:type="dxa"/>
            <w:vMerge w:val="continue"/>
            <w:shd w:val="clear" w:color="auto" w:fill="auto"/>
            <w:vAlign w:val="center"/>
          </w:tcPr>
          <w:p w14:paraId="0A2E1403">
            <w:pPr>
              <w:pStyle w:val="28"/>
              <w:bidi w:val="0"/>
            </w:pPr>
          </w:p>
        </w:tc>
        <w:tc>
          <w:tcPr>
            <w:tcW w:w="1800" w:type="dxa"/>
            <w:shd w:val="clear" w:color="auto" w:fill="auto"/>
            <w:vAlign w:val="center"/>
          </w:tcPr>
          <w:p w14:paraId="6DA802BB">
            <w:pPr>
              <w:pStyle w:val="28"/>
              <w:bidi w:val="0"/>
            </w:pPr>
            <w:r>
              <w:t>施工防尘网、防护网、口罩</w:t>
            </w:r>
          </w:p>
        </w:tc>
        <w:tc>
          <w:tcPr>
            <w:tcW w:w="3424" w:type="dxa"/>
            <w:shd w:val="clear" w:color="auto" w:fill="auto"/>
            <w:vAlign w:val="center"/>
          </w:tcPr>
          <w:p w14:paraId="3448340C">
            <w:pPr>
              <w:pStyle w:val="28"/>
              <w:bidi w:val="0"/>
            </w:pPr>
            <w:r>
              <w:t>弃土场、临时堆土场等设置防尘覆膜约20t，50个口罩</w:t>
            </w:r>
          </w:p>
        </w:tc>
        <w:tc>
          <w:tcPr>
            <w:tcW w:w="836" w:type="dxa"/>
            <w:shd w:val="clear" w:color="auto" w:fill="auto"/>
            <w:vAlign w:val="center"/>
          </w:tcPr>
          <w:p w14:paraId="73D5F73A">
            <w:pPr>
              <w:pStyle w:val="28"/>
              <w:bidi w:val="0"/>
            </w:pPr>
            <w:r>
              <w:t>6.2</w:t>
            </w:r>
          </w:p>
        </w:tc>
        <w:tc>
          <w:tcPr>
            <w:tcW w:w="1790" w:type="dxa"/>
            <w:shd w:val="clear" w:color="auto" w:fill="auto"/>
            <w:vAlign w:val="center"/>
          </w:tcPr>
          <w:p w14:paraId="599DB9E8">
            <w:pPr>
              <w:pStyle w:val="28"/>
              <w:bidi w:val="0"/>
            </w:pPr>
            <w:r>
              <w:t>/</w:t>
            </w:r>
          </w:p>
        </w:tc>
      </w:tr>
      <w:tr w14:paraId="261E7F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960" w:type="dxa"/>
            <w:vMerge w:val="continue"/>
            <w:shd w:val="clear" w:color="auto" w:fill="auto"/>
            <w:vAlign w:val="center"/>
          </w:tcPr>
          <w:p w14:paraId="1D22C7A6">
            <w:pPr>
              <w:pStyle w:val="28"/>
              <w:bidi w:val="0"/>
            </w:pPr>
          </w:p>
        </w:tc>
        <w:tc>
          <w:tcPr>
            <w:tcW w:w="960" w:type="dxa"/>
            <w:vMerge w:val="continue"/>
            <w:shd w:val="clear" w:color="auto" w:fill="auto"/>
            <w:vAlign w:val="center"/>
          </w:tcPr>
          <w:p w14:paraId="344C0EF5">
            <w:pPr>
              <w:pStyle w:val="28"/>
              <w:bidi w:val="0"/>
            </w:pPr>
          </w:p>
        </w:tc>
        <w:tc>
          <w:tcPr>
            <w:tcW w:w="1800" w:type="dxa"/>
            <w:shd w:val="clear" w:color="auto" w:fill="auto"/>
            <w:vAlign w:val="center"/>
          </w:tcPr>
          <w:p w14:paraId="0D439344">
            <w:pPr>
              <w:pStyle w:val="28"/>
              <w:bidi w:val="0"/>
            </w:pPr>
            <w:r>
              <w:t>通风</w:t>
            </w:r>
          </w:p>
        </w:tc>
        <w:tc>
          <w:tcPr>
            <w:tcW w:w="3424" w:type="dxa"/>
            <w:shd w:val="clear" w:color="auto" w:fill="auto"/>
            <w:vAlign w:val="center"/>
          </w:tcPr>
          <w:p w14:paraId="729D7346">
            <w:pPr>
              <w:pStyle w:val="28"/>
              <w:bidi w:val="0"/>
            </w:pPr>
            <w:r>
              <w:t>施工场地设置通风装置约88个</w:t>
            </w:r>
          </w:p>
        </w:tc>
        <w:tc>
          <w:tcPr>
            <w:tcW w:w="836" w:type="dxa"/>
            <w:shd w:val="clear" w:color="auto" w:fill="auto"/>
            <w:vAlign w:val="center"/>
          </w:tcPr>
          <w:p w14:paraId="592AACC1">
            <w:pPr>
              <w:pStyle w:val="28"/>
              <w:bidi w:val="0"/>
            </w:pPr>
            <w:r>
              <w:t>32</w:t>
            </w:r>
          </w:p>
        </w:tc>
        <w:tc>
          <w:tcPr>
            <w:tcW w:w="1790" w:type="dxa"/>
            <w:shd w:val="clear" w:color="auto" w:fill="auto"/>
            <w:vAlign w:val="center"/>
          </w:tcPr>
          <w:p w14:paraId="049E6BAA">
            <w:pPr>
              <w:pStyle w:val="28"/>
              <w:bidi w:val="0"/>
            </w:pPr>
            <w:r>
              <w:t>/</w:t>
            </w:r>
          </w:p>
        </w:tc>
      </w:tr>
      <w:tr w14:paraId="28E07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960" w:type="dxa"/>
            <w:vMerge w:val="restart"/>
            <w:shd w:val="clear" w:color="auto" w:fill="auto"/>
            <w:vAlign w:val="center"/>
          </w:tcPr>
          <w:p w14:paraId="4EA1A4D8">
            <w:pPr>
              <w:pStyle w:val="28"/>
              <w:bidi w:val="0"/>
            </w:pPr>
            <w:r>
              <w:t>声环境</w:t>
            </w:r>
          </w:p>
        </w:tc>
        <w:tc>
          <w:tcPr>
            <w:tcW w:w="960" w:type="dxa"/>
            <w:vMerge w:val="restart"/>
            <w:shd w:val="clear" w:color="auto" w:fill="auto"/>
            <w:vAlign w:val="center"/>
          </w:tcPr>
          <w:p w14:paraId="1FE302DB">
            <w:pPr>
              <w:pStyle w:val="28"/>
              <w:bidi w:val="0"/>
            </w:pPr>
            <w:r>
              <w:t>施工期</w:t>
            </w:r>
          </w:p>
        </w:tc>
        <w:tc>
          <w:tcPr>
            <w:tcW w:w="1800" w:type="dxa"/>
            <w:shd w:val="clear" w:color="auto" w:fill="auto"/>
            <w:vAlign w:val="center"/>
          </w:tcPr>
          <w:p w14:paraId="284B658E">
            <w:pPr>
              <w:pStyle w:val="28"/>
              <w:bidi w:val="0"/>
            </w:pPr>
            <w:r>
              <w:t>移动隔声屏障</w:t>
            </w:r>
          </w:p>
        </w:tc>
        <w:tc>
          <w:tcPr>
            <w:tcW w:w="3424" w:type="dxa"/>
            <w:shd w:val="clear" w:color="auto" w:fill="auto"/>
            <w:vAlign w:val="center"/>
          </w:tcPr>
          <w:p w14:paraId="58230BA8">
            <w:pPr>
              <w:pStyle w:val="28"/>
              <w:bidi w:val="0"/>
            </w:pPr>
            <w:r>
              <w:t>159个</w:t>
            </w:r>
          </w:p>
        </w:tc>
        <w:tc>
          <w:tcPr>
            <w:tcW w:w="836" w:type="dxa"/>
            <w:shd w:val="clear" w:color="auto" w:fill="auto"/>
            <w:vAlign w:val="center"/>
          </w:tcPr>
          <w:p w14:paraId="7A52278A">
            <w:pPr>
              <w:pStyle w:val="28"/>
              <w:bidi w:val="0"/>
            </w:pPr>
            <w:r>
              <w:rPr>
                <w:rFonts w:hint="eastAsia"/>
              </w:rPr>
              <w:t>64</w:t>
            </w:r>
          </w:p>
        </w:tc>
        <w:tc>
          <w:tcPr>
            <w:tcW w:w="1790" w:type="dxa"/>
            <w:shd w:val="clear" w:color="auto" w:fill="auto"/>
            <w:vAlign w:val="center"/>
          </w:tcPr>
          <w:p w14:paraId="3264E821">
            <w:pPr>
              <w:pStyle w:val="28"/>
              <w:bidi w:val="0"/>
            </w:pPr>
            <w:r>
              <w:t>/</w:t>
            </w:r>
          </w:p>
        </w:tc>
      </w:tr>
      <w:tr w14:paraId="5D4BA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60" w:type="dxa"/>
            <w:vMerge w:val="continue"/>
            <w:shd w:val="clear" w:color="auto" w:fill="auto"/>
            <w:vAlign w:val="center"/>
          </w:tcPr>
          <w:p w14:paraId="235192B5">
            <w:pPr>
              <w:pStyle w:val="28"/>
              <w:bidi w:val="0"/>
            </w:pPr>
          </w:p>
        </w:tc>
        <w:tc>
          <w:tcPr>
            <w:tcW w:w="960" w:type="dxa"/>
            <w:vMerge w:val="continue"/>
            <w:shd w:val="clear" w:color="auto" w:fill="auto"/>
            <w:vAlign w:val="center"/>
          </w:tcPr>
          <w:p w14:paraId="1F1D530E">
            <w:pPr>
              <w:pStyle w:val="28"/>
              <w:bidi w:val="0"/>
            </w:pPr>
          </w:p>
        </w:tc>
        <w:tc>
          <w:tcPr>
            <w:tcW w:w="1800" w:type="dxa"/>
            <w:shd w:val="clear" w:color="auto" w:fill="auto"/>
            <w:vAlign w:val="center"/>
          </w:tcPr>
          <w:p w14:paraId="2F716682">
            <w:pPr>
              <w:pStyle w:val="28"/>
              <w:bidi w:val="0"/>
            </w:pPr>
            <w:r>
              <w:t>施工设备隔声</w:t>
            </w:r>
          </w:p>
        </w:tc>
        <w:tc>
          <w:tcPr>
            <w:tcW w:w="3424" w:type="dxa"/>
            <w:shd w:val="clear" w:color="auto" w:fill="auto"/>
            <w:vAlign w:val="center"/>
          </w:tcPr>
          <w:p w14:paraId="37A485A5">
            <w:pPr>
              <w:pStyle w:val="28"/>
              <w:bidi w:val="0"/>
            </w:pPr>
            <w:r>
              <w:t>设置减震垫100个、隔声罩40个</w:t>
            </w:r>
          </w:p>
        </w:tc>
        <w:tc>
          <w:tcPr>
            <w:tcW w:w="836" w:type="dxa"/>
            <w:shd w:val="clear" w:color="auto" w:fill="auto"/>
            <w:vAlign w:val="center"/>
          </w:tcPr>
          <w:p w14:paraId="4305A678">
            <w:pPr>
              <w:pStyle w:val="28"/>
              <w:bidi w:val="0"/>
            </w:pPr>
            <w:r>
              <w:t>24.78</w:t>
            </w:r>
          </w:p>
        </w:tc>
        <w:tc>
          <w:tcPr>
            <w:tcW w:w="1790" w:type="dxa"/>
            <w:shd w:val="clear" w:color="auto" w:fill="auto"/>
            <w:vAlign w:val="center"/>
          </w:tcPr>
          <w:p w14:paraId="5A028653">
            <w:pPr>
              <w:pStyle w:val="28"/>
              <w:bidi w:val="0"/>
            </w:pPr>
            <w:r>
              <w:t>/</w:t>
            </w:r>
          </w:p>
        </w:tc>
      </w:tr>
      <w:tr w14:paraId="72F0A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60" w:type="dxa"/>
            <w:vMerge w:val="continue"/>
            <w:shd w:val="clear" w:color="auto" w:fill="auto"/>
            <w:vAlign w:val="center"/>
          </w:tcPr>
          <w:p w14:paraId="46BB31BE">
            <w:pPr>
              <w:pStyle w:val="28"/>
              <w:bidi w:val="0"/>
            </w:pPr>
          </w:p>
        </w:tc>
        <w:tc>
          <w:tcPr>
            <w:tcW w:w="960" w:type="dxa"/>
            <w:vMerge w:val="restart"/>
            <w:shd w:val="clear" w:color="auto" w:fill="auto"/>
            <w:vAlign w:val="center"/>
          </w:tcPr>
          <w:p w14:paraId="3B6190AA">
            <w:pPr>
              <w:pStyle w:val="28"/>
              <w:bidi w:val="0"/>
            </w:pPr>
            <w:r>
              <w:t>运营期</w:t>
            </w:r>
          </w:p>
        </w:tc>
        <w:tc>
          <w:tcPr>
            <w:tcW w:w="1800" w:type="dxa"/>
            <w:shd w:val="clear" w:color="auto" w:fill="auto"/>
            <w:vAlign w:val="center"/>
          </w:tcPr>
          <w:p w14:paraId="4AD64B63">
            <w:pPr>
              <w:pStyle w:val="28"/>
              <w:bidi w:val="0"/>
            </w:pPr>
            <w:r>
              <w:t>减震垫、隔声罩</w:t>
            </w:r>
          </w:p>
        </w:tc>
        <w:tc>
          <w:tcPr>
            <w:tcW w:w="3424" w:type="dxa"/>
            <w:shd w:val="clear" w:color="auto" w:fill="auto"/>
            <w:vAlign w:val="center"/>
          </w:tcPr>
          <w:p w14:paraId="31A67A24">
            <w:pPr>
              <w:pStyle w:val="28"/>
              <w:bidi w:val="0"/>
            </w:pPr>
            <w:r>
              <w:t>减震垫5个、隔声罩5个</w:t>
            </w:r>
          </w:p>
        </w:tc>
        <w:tc>
          <w:tcPr>
            <w:tcW w:w="836" w:type="dxa"/>
            <w:shd w:val="clear" w:color="auto" w:fill="auto"/>
            <w:vAlign w:val="center"/>
          </w:tcPr>
          <w:p w14:paraId="35F47B3F">
            <w:pPr>
              <w:pStyle w:val="28"/>
              <w:bidi w:val="0"/>
            </w:pPr>
            <w:r>
              <w:t>1.5</w:t>
            </w:r>
          </w:p>
        </w:tc>
        <w:tc>
          <w:tcPr>
            <w:tcW w:w="1790" w:type="dxa"/>
            <w:shd w:val="clear" w:color="auto" w:fill="auto"/>
            <w:vAlign w:val="center"/>
          </w:tcPr>
          <w:p w14:paraId="2D72B571">
            <w:pPr>
              <w:pStyle w:val="28"/>
              <w:bidi w:val="0"/>
            </w:pPr>
            <w:r>
              <w:t>/</w:t>
            </w:r>
          </w:p>
        </w:tc>
      </w:tr>
      <w:tr w14:paraId="77865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60" w:type="dxa"/>
            <w:vMerge w:val="continue"/>
            <w:shd w:val="clear" w:color="auto" w:fill="auto"/>
            <w:vAlign w:val="center"/>
          </w:tcPr>
          <w:p w14:paraId="5780CA20">
            <w:pPr>
              <w:pStyle w:val="28"/>
              <w:bidi w:val="0"/>
            </w:pPr>
          </w:p>
        </w:tc>
        <w:tc>
          <w:tcPr>
            <w:tcW w:w="960" w:type="dxa"/>
            <w:vMerge w:val="continue"/>
            <w:shd w:val="clear" w:color="auto" w:fill="auto"/>
            <w:vAlign w:val="center"/>
          </w:tcPr>
          <w:p w14:paraId="696D447A">
            <w:pPr>
              <w:pStyle w:val="28"/>
              <w:bidi w:val="0"/>
            </w:pPr>
          </w:p>
        </w:tc>
        <w:tc>
          <w:tcPr>
            <w:tcW w:w="1800" w:type="dxa"/>
            <w:shd w:val="clear" w:color="auto" w:fill="auto"/>
            <w:vAlign w:val="center"/>
          </w:tcPr>
          <w:p w14:paraId="70DAA285">
            <w:pPr>
              <w:pStyle w:val="28"/>
              <w:bidi w:val="0"/>
            </w:pPr>
            <w:r>
              <w:t>乔木树木</w:t>
            </w:r>
          </w:p>
        </w:tc>
        <w:tc>
          <w:tcPr>
            <w:tcW w:w="3424" w:type="dxa"/>
            <w:shd w:val="clear" w:color="auto" w:fill="auto"/>
            <w:vAlign w:val="center"/>
          </w:tcPr>
          <w:p w14:paraId="5691DEA5">
            <w:pPr>
              <w:pStyle w:val="28"/>
              <w:bidi w:val="0"/>
            </w:pPr>
            <w:r>
              <w:t>20棵</w:t>
            </w:r>
          </w:p>
        </w:tc>
        <w:tc>
          <w:tcPr>
            <w:tcW w:w="836" w:type="dxa"/>
            <w:shd w:val="clear" w:color="auto" w:fill="auto"/>
            <w:vAlign w:val="center"/>
          </w:tcPr>
          <w:p w14:paraId="55742A25">
            <w:pPr>
              <w:pStyle w:val="28"/>
              <w:bidi w:val="0"/>
            </w:pPr>
            <w:r>
              <w:t>4</w:t>
            </w:r>
          </w:p>
        </w:tc>
        <w:tc>
          <w:tcPr>
            <w:tcW w:w="1790" w:type="dxa"/>
            <w:shd w:val="clear" w:color="auto" w:fill="auto"/>
            <w:vAlign w:val="center"/>
          </w:tcPr>
          <w:p w14:paraId="663E8CB4">
            <w:pPr>
              <w:pStyle w:val="28"/>
              <w:bidi w:val="0"/>
            </w:pPr>
            <w:r>
              <w:t>/</w:t>
            </w:r>
          </w:p>
        </w:tc>
      </w:tr>
      <w:tr w14:paraId="37600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restart"/>
            <w:shd w:val="clear" w:color="auto" w:fill="auto"/>
            <w:vAlign w:val="center"/>
          </w:tcPr>
          <w:p w14:paraId="19CDCC47">
            <w:pPr>
              <w:pStyle w:val="28"/>
              <w:bidi w:val="0"/>
            </w:pPr>
            <w:r>
              <w:t>固体废物处理处置</w:t>
            </w:r>
          </w:p>
        </w:tc>
        <w:tc>
          <w:tcPr>
            <w:tcW w:w="960" w:type="dxa"/>
            <w:vMerge w:val="restart"/>
            <w:shd w:val="clear" w:color="auto" w:fill="auto"/>
            <w:vAlign w:val="center"/>
          </w:tcPr>
          <w:p w14:paraId="1E393C90">
            <w:pPr>
              <w:pStyle w:val="28"/>
              <w:bidi w:val="0"/>
            </w:pPr>
            <w:r>
              <w:t>施工期</w:t>
            </w:r>
          </w:p>
        </w:tc>
        <w:tc>
          <w:tcPr>
            <w:tcW w:w="1800" w:type="dxa"/>
            <w:shd w:val="clear" w:color="auto" w:fill="auto"/>
            <w:vAlign w:val="center"/>
          </w:tcPr>
          <w:p w14:paraId="214D46F2">
            <w:pPr>
              <w:pStyle w:val="28"/>
              <w:bidi w:val="0"/>
            </w:pPr>
            <w:r>
              <w:t>施工场地垃圾桶</w:t>
            </w:r>
          </w:p>
        </w:tc>
        <w:tc>
          <w:tcPr>
            <w:tcW w:w="3424" w:type="dxa"/>
            <w:shd w:val="clear" w:color="auto" w:fill="auto"/>
            <w:vAlign w:val="center"/>
          </w:tcPr>
          <w:p w14:paraId="6173ABE1">
            <w:pPr>
              <w:pStyle w:val="28"/>
              <w:bidi w:val="0"/>
            </w:pPr>
            <w:r>
              <w:t>施工场地共设置92个垃圾桶，固体废物统一收集后委托当地环卫部门统一处理</w:t>
            </w:r>
          </w:p>
        </w:tc>
        <w:tc>
          <w:tcPr>
            <w:tcW w:w="836" w:type="dxa"/>
            <w:shd w:val="clear" w:color="auto" w:fill="auto"/>
            <w:vAlign w:val="center"/>
          </w:tcPr>
          <w:p w14:paraId="2D892A9E">
            <w:pPr>
              <w:pStyle w:val="28"/>
              <w:bidi w:val="0"/>
            </w:pPr>
            <w:r>
              <w:t>12.55</w:t>
            </w:r>
          </w:p>
        </w:tc>
        <w:tc>
          <w:tcPr>
            <w:tcW w:w="1790" w:type="dxa"/>
            <w:shd w:val="clear" w:color="auto" w:fill="auto"/>
            <w:vAlign w:val="center"/>
          </w:tcPr>
          <w:p w14:paraId="48AF24E6">
            <w:pPr>
              <w:pStyle w:val="28"/>
              <w:bidi w:val="0"/>
            </w:pPr>
            <w:r>
              <w:t>/</w:t>
            </w:r>
          </w:p>
        </w:tc>
      </w:tr>
      <w:tr w14:paraId="0D9E0CDF">
        <w:tblPrEx>
          <w:tblCellMar>
            <w:top w:w="0" w:type="dxa"/>
            <w:left w:w="108" w:type="dxa"/>
            <w:bottom w:w="0" w:type="dxa"/>
            <w:right w:w="108" w:type="dxa"/>
          </w:tblCellMar>
        </w:tblPrEx>
        <w:trPr>
          <w:trHeight w:val="280" w:hRule="atLeast"/>
        </w:trPr>
        <w:tc>
          <w:tcPr>
            <w:tcW w:w="960" w:type="dxa"/>
            <w:vMerge w:val="continue"/>
            <w:shd w:val="clear" w:color="auto" w:fill="auto"/>
            <w:vAlign w:val="center"/>
          </w:tcPr>
          <w:p w14:paraId="28F63CDA">
            <w:pPr>
              <w:pStyle w:val="28"/>
              <w:bidi w:val="0"/>
            </w:pPr>
          </w:p>
        </w:tc>
        <w:tc>
          <w:tcPr>
            <w:tcW w:w="960" w:type="dxa"/>
            <w:vMerge w:val="continue"/>
            <w:shd w:val="clear" w:color="auto" w:fill="auto"/>
            <w:vAlign w:val="center"/>
          </w:tcPr>
          <w:p w14:paraId="7D425647">
            <w:pPr>
              <w:pStyle w:val="28"/>
              <w:bidi w:val="0"/>
            </w:pPr>
          </w:p>
        </w:tc>
        <w:tc>
          <w:tcPr>
            <w:tcW w:w="1800" w:type="dxa"/>
            <w:shd w:val="clear" w:color="auto" w:fill="auto"/>
            <w:vAlign w:val="center"/>
          </w:tcPr>
          <w:p w14:paraId="181EE8B8">
            <w:pPr>
              <w:pStyle w:val="28"/>
              <w:bidi w:val="0"/>
            </w:pPr>
            <w:r>
              <w:t>施工场地垃圾清运</w:t>
            </w:r>
          </w:p>
        </w:tc>
        <w:tc>
          <w:tcPr>
            <w:tcW w:w="3424" w:type="dxa"/>
            <w:shd w:val="clear" w:color="auto" w:fill="auto"/>
            <w:vAlign w:val="center"/>
          </w:tcPr>
          <w:p w14:paraId="0819701B">
            <w:pPr>
              <w:pStyle w:val="28"/>
              <w:bidi w:val="0"/>
            </w:pPr>
            <w:r>
              <w:t>委托环卫部门清运</w:t>
            </w:r>
          </w:p>
        </w:tc>
        <w:tc>
          <w:tcPr>
            <w:tcW w:w="836" w:type="dxa"/>
            <w:shd w:val="clear" w:color="auto" w:fill="auto"/>
            <w:vAlign w:val="center"/>
          </w:tcPr>
          <w:p w14:paraId="11A4B776">
            <w:pPr>
              <w:pStyle w:val="28"/>
              <w:bidi w:val="0"/>
            </w:pPr>
            <w:r>
              <w:t>31</w:t>
            </w:r>
          </w:p>
        </w:tc>
        <w:tc>
          <w:tcPr>
            <w:tcW w:w="1790" w:type="dxa"/>
            <w:shd w:val="clear" w:color="auto" w:fill="auto"/>
            <w:vAlign w:val="center"/>
          </w:tcPr>
          <w:p w14:paraId="1C9E1BB7">
            <w:pPr>
              <w:pStyle w:val="28"/>
              <w:bidi w:val="0"/>
            </w:pPr>
            <w:r>
              <w:t>/</w:t>
            </w:r>
          </w:p>
        </w:tc>
      </w:tr>
      <w:tr w14:paraId="2991A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continue"/>
            <w:shd w:val="clear" w:color="auto" w:fill="auto"/>
            <w:vAlign w:val="center"/>
          </w:tcPr>
          <w:p w14:paraId="63EB7D8D">
            <w:pPr>
              <w:pStyle w:val="28"/>
              <w:bidi w:val="0"/>
            </w:pPr>
          </w:p>
        </w:tc>
        <w:tc>
          <w:tcPr>
            <w:tcW w:w="960" w:type="dxa"/>
            <w:vMerge w:val="continue"/>
            <w:shd w:val="clear" w:color="auto" w:fill="auto"/>
            <w:vAlign w:val="center"/>
          </w:tcPr>
          <w:p w14:paraId="763C66EB">
            <w:pPr>
              <w:pStyle w:val="28"/>
              <w:bidi w:val="0"/>
            </w:pPr>
          </w:p>
        </w:tc>
        <w:tc>
          <w:tcPr>
            <w:tcW w:w="1800" w:type="dxa"/>
            <w:shd w:val="clear" w:color="auto" w:fill="auto"/>
            <w:vAlign w:val="center"/>
          </w:tcPr>
          <w:p w14:paraId="4144BFBC">
            <w:pPr>
              <w:pStyle w:val="28"/>
              <w:bidi w:val="0"/>
            </w:pPr>
            <w:r>
              <w:t>施工场地一般固体废物</w:t>
            </w:r>
          </w:p>
        </w:tc>
        <w:tc>
          <w:tcPr>
            <w:tcW w:w="3424" w:type="dxa"/>
            <w:shd w:val="clear" w:color="auto" w:fill="auto"/>
            <w:vAlign w:val="center"/>
          </w:tcPr>
          <w:p w14:paraId="63DCF7B1">
            <w:pPr>
              <w:pStyle w:val="28"/>
              <w:bidi w:val="0"/>
            </w:pPr>
            <w:r>
              <w:t>88个一般固废仓库及建筑垃圾处置</w:t>
            </w:r>
          </w:p>
        </w:tc>
        <w:tc>
          <w:tcPr>
            <w:tcW w:w="836" w:type="dxa"/>
            <w:shd w:val="clear" w:color="auto" w:fill="auto"/>
            <w:vAlign w:val="center"/>
          </w:tcPr>
          <w:p w14:paraId="2D9354B7">
            <w:pPr>
              <w:pStyle w:val="28"/>
              <w:bidi w:val="0"/>
            </w:pPr>
            <w:r>
              <w:rPr>
                <w:rFonts w:hint="eastAsia"/>
              </w:rPr>
              <w:t>92</w:t>
            </w:r>
          </w:p>
        </w:tc>
        <w:tc>
          <w:tcPr>
            <w:tcW w:w="1790" w:type="dxa"/>
            <w:shd w:val="clear" w:color="auto" w:fill="auto"/>
            <w:vAlign w:val="center"/>
          </w:tcPr>
          <w:p w14:paraId="06AE84F6">
            <w:pPr>
              <w:pStyle w:val="28"/>
              <w:bidi w:val="0"/>
            </w:pPr>
            <w:r>
              <w:t>/</w:t>
            </w:r>
          </w:p>
        </w:tc>
      </w:tr>
      <w:tr w14:paraId="0BFCA19E">
        <w:tblPrEx>
          <w:tblCellMar>
            <w:top w:w="0" w:type="dxa"/>
            <w:left w:w="108" w:type="dxa"/>
            <w:bottom w:w="0" w:type="dxa"/>
            <w:right w:w="108" w:type="dxa"/>
          </w:tblCellMar>
        </w:tblPrEx>
        <w:trPr>
          <w:trHeight w:val="495" w:hRule="atLeast"/>
        </w:trPr>
        <w:tc>
          <w:tcPr>
            <w:tcW w:w="960" w:type="dxa"/>
            <w:vMerge w:val="continue"/>
            <w:shd w:val="clear" w:color="auto" w:fill="auto"/>
            <w:vAlign w:val="center"/>
          </w:tcPr>
          <w:p w14:paraId="5574E236">
            <w:pPr>
              <w:pStyle w:val="28"/>
              <w:bidi w:val="0"/>
            </w:pPr>
          </w:p>
        </w:tc>
        <w:tc>
          <w:tcPr>
            <w:tcW w:w="960" w:type="dxa"/>
            <w:vMerge w:val="continue"/>
            <w:shd w:val="clear" w:color="auto" w:fill="auto"/>
            <w:vAlign w:val="center"/>
          </w:tcPr>
          <w:p w14:paraId="04AC4249">
            <w:pPr>
              <w:pStyle w:val="28"/>
              <w:bidi w:val="0"/>
            </w:pPr>
          </w:p>
        </w:tc>
        <w:tc>
          <w:tcPr>
            <w:tcW w:w="1800" w:type="dxa"/>
            <w:shd w:val="clear" w:color="auto" w:fill="auto"/>
            <w:vAlign w:val="center"/>
          </w:tcPr>
          <w:p w14:paraId="69340BB1">
            <w:pPr>
              <w:pStyle w:val="28"/>
              <w:bidi w:val="0"/>
            </w:pPr>
            <w:r>
              <w:t>危险废物临时暂存设施</w:t>
            </w:r>
          </w:p>
        </w:tc>
        <w:tc>
          <w:tcPr>
            <w:tcW w:w="3424" w:type="dxa"/>
            <w:shd w:val="clear" w:color="auto" w:fill="auto"/>
            <w:vAlign w:val="center"/>
          </w:tcPr>
          <w:p w14:paraId="0F23461E">
            <w:pPr>
              <w:pStyle w:val="28"/>
              <w:bidi w:val="0"/>
            </w:pPr>
            <w:r>
              <w:t>依托管理房设置危险废物暂存设施，施工场地设置专用危险废物储存容器32个</w:t>
            </w:r>
          </w:p>
        </w:tc>
        <w:tc>
          <w:tcPr>
            <w:tcW w:w="836" w:type="dxa"/>
            <w:shd w:val="clear" w:color="auto" w:fill="auto"/>
            <w:vAlign w:val="center"/>
          </w:tcPr>
          <w:p w14:paraId="72A81ADF">
            <w:pPr>
              <w:pStyle w:val="28"/>
              <w:bidi w:val="0"/>
            </w:pPr>
            <w:r>
              <w:t>40</w:t>
            </w:r>
          </w:p>
        </w:tc>
        <w:tc>
          <w:tcPr>
            <w:tcW w:w="1790" w:type="dxa"/>
            <w:shd w:val="clear" w:color="auto" w:fill="auto"/>
            <w:vAlign w:val="center"/>
          </w:tcPr>
          <w:p w14:paraId="7D6B5CBB">
            <w:pPr>
              <w:pStyle w:val="28"/>
              <w:bidi w:val="0"/>
            </w:pPr>
            <w:r>
              <w:t>/</w:t>
            </w:r>
          </w:p>
        </w:tc>
      </w:tr>
      <w:tr w14:paraId="7EC1A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continue"/>
            <w:shd w:val="clear" w:color="auto" w:fill="auto"/>
            <w:vAlign w:val="center"/>
          </w:tcPr>
          <w:p w14:paraId="116F8964">
            <w:pPr>
              <w:pStyle w:val="28"/>
              <w:bidi w:val="0"/>
            </w:pPr>
          </w:p>
        </w:tc>
        <w:tc>
          <w:tcPr>
            <w:tcW w:w="960" w:type="dxa"/>
            <w:vMerge w:val="continue"/>
            <w:shd w:val="clear" w:color="auto" w:fill="auto"/>
            <w:vAlign w:val="center"/>
          </w:tcPr>
          <w:p w14:paraId="32CFD80F">
            <w:pPr>
              <w:pStyle w:val="28"/>
              <w:bidi w:val="0"/>
            </w:pPr>
          </w:p>
        </w:tc>
        <w:tc>
          <w:tcPr>
            <w:tcW w:w="1800" w:type="dxa"/>
            <w:shd w:val="clear" w:color="auto" w:fill="auto"/>
            <w:vAlign w:val="center"/>
          </w:tcPr>
          <w:p w14:paraId="048E1A50">
            <w:pPr>
              <w:pStyle w:val="28"/>
              <w:bidi w:val="0"/>
            </w:pPr>
            <w:r>
              <w:t>危废委托处理</w:t>
            </w:r>
          </w:p>
        </w:tc>
        <w:tc>
          <w:tcPr>
            <w:tcW w:w="3424" w:type="dxa"/>
            <w:shd w:val="clear" w:color="auto" w:fill="auto"/>
            <w:vAlign w:val="center"/>
          </w:tcPr>
          <w:p w14:paraId="0F8CF716">
            <w:pPr>
              <w:pStyle w:val="28"/>
              <w:bidi w:val="0"/>
            </w:pPr>
            <w:r>
              <w:t>施工场地内危险废物委托有危废处理资质单位处理</w:t>
            </w:r>
          </w:p>
        </w:tc>
        <w:tc>
          <w:tcPr>
            <w:tcW w:w="836" w:type="dxa"/>
            <w:shd w:val="clear" w:color="auto" w:fill="auto"/>
            <w:vAlign w:val="center"/>
          </w:tcPr>
          <w:p w14:paraId="409A83FE">
            <w:pPr>
              <w:pStyle w:val="28"/>
              <w:bidi w:val="0"/>
            </w:pPr>
            <w:r>
              <w:t>32</w:t>
            </w:r>
          </w:p>
        </w:tc>
        <w:tc>
          <w:tcPr>
            <w:tcW w:w="1790" w:type="dxa"/>
            <w:shd w:val="clear" w:color="auto" w:fill="auto"/>
            <w:vAlign w:val="center"/>
          </w:tcPr>
          <w:p w14:paraId="2C832156">
            <w:pPr>
              <w:pStyle w:val="28"/>
              <w:bidi w:val="0"/>
            </w:pPr>
            <w:r>
              <w:t>/</w:t>
            </w:r>
          </w:p>
        </w:tc>
      </w:tr>
      <w:tr w14:paraId="101CB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continue"/>
            <w:shd w:val="clear" w:color="auto" w:fill="auto"/>
            <w:vAlign w:val="center"/>
          </w:tcPr>
          <w:p w14:paraId="25CDBDA3">
            <w:pPr>
              <w:pStyle w:val="28"/>
              <w:bidi w:val="0"/>
            </w:pPr>
          </w:p>
        </w:tc>
        <w:tc>
          <w:tcPr>
            <w:tcW w:w="960" w:type="dxa"/>
            <w:vMerge w:val="restart"/>
            <w:shd w:val="clear" w:color="auto" w:fill="auto"/>
            <w:vAlign w:val="center"/>
          </w:tcPr>
          <w:p w14:paraId="6E799501">
            <w:pPr>
              <w:pStyle w:val="28"/>
              <w:bidi w:val="0"/>
            </w:pPr>
            <w:r>
              <w:t>营运期</w:t>
            </w:r>
          </w:p>
        </w:tc>
        <w:tc>
          <w:tcPr>
            <w:tcW w:w="1800" w:type="dxa"/>
            <w:shd w:val="clear" w:color="auto" w:fill="auto"/>
            <w:vAlign w:val="center"/>
          </w:tcPr>
          <w:p w14:paraId="6A101309">
            <w:pPr>
              <w:pStyle w:val="28"/>
              <w:bidi w:val="0"/>
            </w:pPr>
            <w:r>
              <w:t>生活垃圾暂存设施</w:t>
            </w:r>
          </w:p>
        </w:tc>
        <w:tc>
          <w:tcPr>
            <w:tcW w:w="3424" w:type="dxa"/>
            <w:shd w:val="clear" w:color="auto" w:fill="auto"/>
            <w:vAlign w:val="center"/>
          </w:tcPr>
          <w:p w14:paraId="7CB3E676">
            <w:pPr>
              <w:pStyle w:val="28"/>
              <w:bidi w:val="0"/>
            </w:pPr>
            <w:r>
              <w:t>依托原有</w:t>
            </w:r>
          </w:p>
        </w:tc>
        <w:tc>
          <w:tcPr>
            <w:tcW w:w="836" w:type="dxa"/>
            <w:shd w:val="clear" w:color="auto" w:fill="auto"/>
            <w:vAlign w:val="center"/>
          </w:tcPr>
          <w:p w14:paraId="40EE3475">
            <w:pPr>
              <w:pStyle w:val="28"/>
              <w:bidi w:val="0"/>
            </w:pPr>
            <w:r>
              <w:t>0</w:t>
            </w:r>
          </w:p>
        </w:tc>
        <w:tc>
          <w:tcPr>
            <w:tcW w:w="1790" w:type="dxa"/>
            <w:shd w:val="clear" w:color="auto" w:fill="auto"/>
            <w:vAlign w:val="center"/>
          </w:tcPr>
          <w:p w14:paraId="2E189D43">
            <w:pPr>
              <w:pStyle w:val="28"/>
              <w:bidi w:val="0"/>
            </w:pPr>
            <w:r>
              <w:t>/</w:t>
            </w:r>
          </w:p>
        </w:tc>
      </w:tr>
      <w:tr w14:paraId="0E69A7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continue"/>
            <w:shd w:val="clear" w:color="auto" w:fill="auto"/>
            <w:vAlign w:val="center"/>
          </w:tcPr>
          <w:p w14:paraId="74FC97A3">
            <w:pPr>
              <w:pStyle w:val="28"/>
              <w:bidi w:val="0"/>
            </w:pPr>
          </w:p>
        </w:tc>
        <w:tc>
          <w:tcPr>
            <w:tcW w:w="960" w:type="dxa"/>
            <w:vMerge w:val="continue"/>
            <w:shd w:val="clear" w:color="auto" w:fill="auto"/>
            <w:vAlign w:val="center"/>
          </w:tcPr>
          <w:p w14:paraId="7DC9951E">
            <w:pPr>
              <w:pStyle w:val="28"/>
              <w:bidi w:val="0"/>
            </w:pPr>
          </w:p>
        </w:tc>
        <w:tc>
          <w:tcPr>
            <w:tcW w:w="1800" w:type="dxa"/>
            <w:shd w:val="clear" w:color="auto" w:fill="auto"/>
            <w:vAlign w:val="center"/>
          </w:tcPr>
          <w:p w14:paraId="0E5DA6AD">
            <w:pPr>
              <w:pStyle w:val="28"/>
              <w:bidi w:val="0"/>
            </w:pPr>
            <w:r>
              <w:t>危险废物暂存设施</w:t>
            </w:r>
          </w:p>
        </w:tc>
        <w:tc>
          <w:tcPr>
            <w:tcW w:w="3424" w:type="dxa"/>
            <w:shd w:val="clear" w:color="auto" w:fill="auto"/>
            <w:vAlign w:val="center"/>
          </w:tcPr>
          <w:p w14:paraId="13B0B590">
            <w:pPr>
              <w:pStyle w:val="28"/>
              <w:bidi w:val="0"/>
            </w:pPr>
            <w:r>
              <w:t>渠道各管理处设置危险废物暂存设施改造完善</w:t>
            </w:r>
          </w:p>
        </w:tc>
        <w:tc>
          <w:tcPr>
            <w:tcW w:w="836" w:type="dxa"/>
            <w:shd w:val="clear" w:color="auto" w:fill="auto"/>
            <w:vAlign w:val="center"/>
          </w:tcPr>
          <w:p w14:paraId="39E88510">
            <w:pPr>
              <w:pStyle w:val="28"/>
              <w:bidi w:val="0"/>
            </w:pPr>
            <w:r>
              <w:t>3.8</w:t>
            </w:r>
          </w:p>
        </w:tc>
        <w:tc>
          <w:tcPr>
            <w:tcW w:w="1790" w:type="dxa"/>
            <w:shd w:val="clear" w:color="auto" w:fill="auto"/>
            <w:vAlign w:val="center"/>
          </w:tcPr>
          <w:p w14:paraId="7844459A">
            <w:pPr>
              <w:pStyle w:val="28"/>
              <w:bidi w:val="0"/>
            </w:pPr>
            <w:r>
              <w:t>/</w:t>
            </w:r>
          </w:p>
        </w:tc>
      </w:tr>
      <w:tr w14:paraId="21838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restart"/>
            <w:shd w:val="clear" w:color="auto" w:fill="auto"/>
            <w:vAlign w:val="center"/>
          </w:tcPr>
          <w:p w14:paraId="63354DC8">
            <w:pPr>
              <w:pStyle w:val="28"/>
              <w:bidi w:val="0"/>
            </w:pPr>
            <w:r>
              <w:t>生态环境</w:t>
            </w:r>
          </w:p>
        </w:tc>
        <w:tc>
          <w:tcPr>
            <w:tcW w:w="960" w:type="dxa"/>
            <w:vMerge w:val="restart"/>
            <w:shd w:val="clear" w:color="auto" w:fill="auto"/>
            <w:vAlign w:val="center"/>
          </w:tcPr>
          <w:p w14:paraId="0DBEE963">
            <w:pPr>
              <w:pStyle w:val="28"/>
              <w:bidi w:val="0"/>
            </w:pPr>
            <w:r>
              <w:t>水生生态</w:t>
            </w:r>
          </w:p>
        </w:tc>
        <w:tc>
          <w:tcPr>
            <w:tcW w:w="1800" w:type="dxa"/>
            <w:shd w:val="clear" w:color="auto" w:fill="auto"/>
            <w:vAlign w:val="center"/>
          </w:tcPr>
          <w:p w14:paraId="3D5D4C02">
            <w:pPr>
              <w:pStyle w:val="28"/>
              <w:bidi w:val="0"/>
            </w:pPr>
            <w:r>
              <w:t>生物减缓措施</w:t>
            </w:r>
          </w:p>
        </w:tc>
        <w:tc>
          <w:tcPr>
            <w:tcW w:w="3424" w:type="dxa"/>
            <w:shd w:val="clear" w:color="auto" w:fill="auto"/>
            <w:vAlign w:val="center"/>
          </w:tcPr>
          <w:p w14:paraId="240DCAED">
            <w:pPr>
              <w:pStyle w:val="28"/>
              <w:bidi w:val="0"/>
            </w:pPr>
            <w:r>
              <w:t>程段水库进水闸上下游分别设置2个鱼类生物量监测点位。</w:t>
            </w:r>
          </w:p>
          <w:p w14:paraId="00EA0389">
            <w:pPr>
              <w:pStyle w:val="28"/>
              <w:bidi w:val="0"/>
            </w:pPr>
            <w:r>
              <w:t>横排头进水闸、潜南干渠进水闸、舒庐</w:t>
            </w:r>
            <w:r>
              <w:rPr>
                <w:rFonts w:hint="eastAsia"/>
              </w:rPr>
              <w:t>干渠</w:t>
            </w:r>
            <w:r>
              <w:t>进水闸设置驱鱼装置。</w:t>
            </w:r>
          </w:p>
        </w:tc>
        <w:tc>
          <w:tcPr>
            <w:tcW w:w="836" w:type="dxa"/>
            <w:shd w:val="clear" w:color="auto" w:fill="auto"/>
            <w:vAlign w:val="center"/>
          </w:tcPr>
          <w:p w14:paraId="17E176A8">
            <w:pPr>
              <w:pStyle w:val="28"/>
              <w:bidi w:val="0"/>
            </w:pPr>
            <w:r>
              <w:t>55</w:t>
            </w:r>
          </w:p>
        </w:tc>
        <w:tc>
          <w:tcPr>
            <w:tcW w:w="1790" w:type="dxa"/>
            <w:shd w:val="clear" w:color="auto" w:fill="auto"/>
            <w:vAlign w:val="center"/>
          </w:tcPr>
          <w:p w14:paraId="1E3F322F">
            <w:pPr>
              <w:pStyle w:val="28"/>
              <w:bidi w:val="0"/>
            </w:pPr>
          </w:p>
        </w:tc>
      </w:tr>
      <w:tr w14:paraId="3CB1D4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continue"/>
            <w:shd w:val="clear" w:color="auto" w:fill="auto"/>
            <w:vAlign w:val="center"/>
          </w:tcPr>
          <w:p w14:paraId="5A8654F2">
            <w:pPr>
              <w:pStyle w:val="28"/>
              <w:bidi w:val="0"/>
            </w:pPr>
          </w:p>
        </w:tc>
        <w:tc>
          <w:tcPr>
            <w:tcW w:w="960" w:type="dxa"/>
            <w:vMerge w:val="continue"/>
            <w:shd w:val="clear" w:color="auto" w:fill="auto"/>
            <w:vAlign w:val="center"/>
          </w:tcPr>
          <w:p w14:paraId="63158FE5">
            <w:pPr>
              <w:pStyle w:val="28"/>
              <w:bidi w:val="0"/>
            </w:pPr>
          </w:p>
        </w:tc>
        <w:tc>
          <w:tcPr>
            <w:tcW w:w="1800" w:type="dxa"/>
            <w:shd w:val="clear" w:color="auto" w:fill="auto"/>
            <w:vAlign w:val="center"/>
          </w:tcPr>
          <w:p w14:paraId="43C29D27">
            <w:pPr>
              <w:pStyle w:val="28"/>
              <w:bidi w:val="0"/>
            </w:pPr>
            <w:r>
              <w:t>生物恢复措施</w:t>
            </w:r>
          </w:p>
        </w:tc>
        <w:tc>
          <w:tcPr>
            <w:tcW w:w="3424" w:type="dxa"/>
            <w:shd w:val="clear" w:color="auto" w:fill="auto"/>
            <w:vAlign w:val="center"/>
          </w:tcPr>
          <w:p w14:paraId="6557C865">
            <w:pPr>
              <w:pStyle w:val="28"/>
              <w:bidi w:val="0"/>
            </w:pPr>
            <w:r>
              <w:t>水生动植物恢复</w:t>
            </w:r>
          </w:p>
        </w:tc>
        <w:tc>
          <w:tcPr>
            <w:tcW w:w="836" w:type="dxa"/>
            <w:shd w:val="clear" w:color="auto" w:fill="auto"/>
            <w:vAlign w:val="center"/>
          </w:tcPr>
          <w:p w14:paraId="37553ACB">
            <w:pPr>
              <w:pStyle w:val="28"/>
              <w:bidi w:val="0"/>
            </w:pPr>
            <w:r>
              <w:t>5</w:t>
            </w:r>
          </w:p>
        </w:tc>
        <w:tc>
          <w:tcPr>
            <w:tcW w:w="1790" w:type="dxa"/>
            <w:shd w:val="clear" w:color="auto" w:fill="auto"/>
            <w:vAlign w:val="center"/>
          </w:tcPr>
          <w:p w14:paraId="1A7E5368">
            <w:pPr>
              <w:pStyle w:val="28"/>
              <w:bidi w:val="0"/>
            </w:pPr>
          </w:p>
        </w:tc>
      </w:tr>
      <w:tr w14:paraId="644DD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continue"/>
            <w:shd w:val="clear" w:color="auto" w:fill="auto"/>
            <w:vAlign w:val="center"/>
          </w:tcPr>
          <w:p w14:paraId="4AAB06CF">
            <w:pPr>
              <w:pStyle w:val="28"/>
              <w:bidi w:val="0"/>
            </w:pPr>
          </w:p>
        </w:tc>
        <w:tc>
          <w:tcPr>
            <w:tcW w:w="960" w:type="dxa"/>
            <w:vMerge w:val="continue"/>
            <w:shd w:val="clear" w:color="auto" w:fill="auto"/>
            <w:vAlign w:val="center"/>
          </w:tcPr>
          <w:p w14:paraId="32F3098B">
            <w:pPr>
              <w:pStyle w:val="28"/>
              <w:bidi w:val="0"/>
            </w:pPr>
          </w:p>
        </w:tc>
        <w:tc>
          <w:tcPr>
            <w:tcW w:w="1800" w:type="dxa"/>
            <w:shd w:val="clear" w:color="auto" w:fill="auto"/>
            <w:vAlign w:val="center"/>
          </w:tcPr>
          <w:p w14:paraId="12A0EDF7">
            <w:pPr>
              <w:pStyle w:val="28"/>
              <w:bidi w:val="0"/>
            </w:pPr>
            <w:r>
              <w:t>水生生态环境保护意识宣传教育措施</w:t>
            </w:r>
          </w:p>
        </w:tc>
        <w:tc>
          <w:tcPr>
            <w:tcW w:w="3424" w:type="dxa"/>
            <w:shd w:val="clear" w:color="auto" w:fill="auto"/>
            <w:vAlign w:val="center"/>
          </w:tcPr>
          <w:p w14:paraId="162EA350">
            <w:pPr>
              <w:pStyle w:val="28"/>
              <w:bidi w:val="0"/>
            </w:pPr>
            <w:r>
              <w:t>-</w:t>
            </w:r>
          </w:p>
        </w:tc>
        <w:tc>
          <w:tcPr>
            <w:tcW w:w="836" w:type="dxa"/>
            <w:shd w:val="clear" w:color="auto" w:fill="auto"/>
            <w:vAlign w:val="center"/>
          </w:tcPr>
          <w:p w14:paraId="703FF0E1">
            <w:pPr>
              <w:pStyle w:val="28"/>
              <w:bidi w:val="0"/>
            </w:pPr>
            <w:r>
              <w:t>4.3</w:t>
            </w:r>
          </w:p>
        </w:tc>
        <w:tc>
          <w:tcPr>
            <w:tcW w:w="1790" w:type="dxa"/>
            <w:shd w:val="clear" w:color="auto" w:fill="auto"/>
            <w:vAlign w:val="center"/>
          </w:tcPr>
          <w:p w14:paraId="60C1A4A3">
            <w:pPr>
              <w:pStyle w:val="28"/>
              <w:bidi w:val="0"/>
            </w:pPr>
            <w:r>
              <w:t>/</w:t>
            </w:r>
          </w:p>
        </w:tc>
      </w:tr>
      <w:tr w14:paraId="56293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continue"/>
            <w:shd w:val="clear" w:color="auto" w:fill="auto"/>
            <w:vAlign w:val="center"/>
          </w:tcPr>
          <w:p w14:paraId="520ED7B6">
            <w:pPr>
              <w:pStyle w:val="28"/>
              <w:bidi w:val="0"/>
            </w:pPr>
          </w:p>
        </w:tc>
        <w:tc>
          <w:tcPr>
            <w:tcW w:w="960" w:type="dxa"/>
            <w:vMerge w:val="restart"/>
            <w:shd w:val="clear" w:color="auto" w:fill="auto"/>
            <w:vAlign w:val="center"/>
          </w:tcPr>
          <w:p w14:paraId="4E8218E6">
            <w:pPr>
              <w:pStyle w:val="28"/>
              <w:bidi w:val="0"/>
            </w:pPr>
            <w:r>
              <w:t>陆生生态</w:t>
            </w:r>
          </w:p>
        </w:tc>
        <w:tc>
          <w:tcPr>
            <w:tcW w:w="1800" w:type="dxa"/>
            <w:shd w:val="clear" w:color="auto" w:fill="auto"/>
            <w:vAlign w:val="center"/>
          </w:tcPr>
          <w:p w14:paraId="2445105C">
            <w:pPr>
              <w:pStyle w:val="28"/>
              <w:bidi w:val="0"/>
            </w:pPr>
            <w:r>
              <w:t>取弃土区复耕措施</w:t>
            </w:r>
          </w:p>
        </w:tc>
        <w:tc>
          <w:tcPr>
            <w:tcW w:w="3424" w:type="dxa"/>
            <w:shd w:val="clear" w:color="auto" w:fill="auto"/>
            <w:vAlign w:val="center"/>
          </w:tcPr>
          <w:p w14:paraId="56F9070E">
            <w:pPr>
              <w:pStyle w:val="28"/>
              <w:bidi w:val="0"/>
            </w:pPr>
            <w:r>
              <w:t>弃土区、取土区复垦，表土剥离、恢复原有用途等</w:t>
            </w:r>
          </w:p>
        </w:tc>
        <w:tc>
          <w:tcPr>
            <w:tcW w:w="836" w:type="dxa"/>
            <w:shd w:val="clear" w:color="auto" w:fill="auto"/>
            <w:vAlign w:val="center"/>
          </w:tcPr>
          <w:p w14:paraId="350F7700">
            <w:pPr>
              <w:pStyle w:val="28"/>
              <w:bidi w:val="0"/>
            </w:pPr>
            <w:r>
              <w:t>0</w:t>
            </w:r>
          </w:p>
        </w:tc>
        <w:tc>
          <w:tcPr>
            <w:tcW w:w="1790" w:type="dxa"/>
            <w:shd w:val="clear" w:color="auto" w:fill="auto"/>
            <w:vAlign w:val="center"/>
          </w:tcPr>
          <w:p w14:paraId="6692D23A">
            <w:pPr>
              <w:pStyle w:val="28"/>
              <w:bidi w:val="0"/>
            </w:pPr>
            <w:r>
              <w:t>已纳入水保投资</w:t>
            </w:r>
          </w:p>
        </w:tc>
      </w:tr>
      <w:tr w14:paraId="785B4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continue"/>
            <w:shd w:val="clear" w:color="auto" w:fill="auto"/>
            <w:vAlign w:val="center"/>
          </w:tcPr>
          <w:p w14:paraId="4EC16D3A">
            <w:pPr>
              <w:pStyle w:val="28"/>
              <w:bidi w:val="0"/>
            </w:pPr>
          </w:p>
        </w:tc>
        <w:tc>
          <w:tcPr>
            <w:tcW w:w="960" w:type="dxa"/>
            <w:vMerge w:val="continue"/>
            <w:shd w:val="clear" w:color="auto" w:fill="auto"/>
            <w:vAlign w:val="center"/>
          </w:tcPr>
          <w:p w14:paraId="50FCF3AB">
            <w:pPr>
              <w:pStyle w:val="28"/>
              <w:bidi w:val="0"/>
            </w:pPr>
          </w:p>
        </w:tc>
        <w:tc>
          <w:tcPr>
            <w:tcW w:w="1800" w:type="dxa"/>
            <w:shd w:val="clear" w:color="auto" w:fill="auto"/>
            <w:vAlign w:val="center"/>
          </w:tcPr>
          <w:p w14:paraId="7DD9F103">
            <w:pPr>
              <w:pStyle w:val="28"/>
              <w:bidi w:val="0"/>
            </w:pPr>
            <w:r>
              <w:t>施工场地复耕措施</w:t>
            </w:r>
          </w:p>
        </w:tc>
        <w:tc>
          <w:tcPr>
            <w:tcW w:w="3424" w:type="dxa"/>
            <w:shd w:val="clear" w:color="auto" w:fill="auto"/>
            <w:vAlign w:val="center"/>
          </w:tcPr>
          <w:p w14:paraId="5AA988CC">
            <w:pPr>
              <w:pStyle w:val="28"/>
              <w:bidi w:val="0"/>
            </w:pPr>
            <w:r>
              <w:t>施工场地复垦，表土剥离、恢复原有用途等</w:t>
            </w:r>
          </w:p>
        </w:tc>
        <w:tc>
          <w:tcPr>
            <w:tcW w:w="836" w:type="dxa"/>
            <w:shd w:val="clear" w:color="auto" w:fill="auto"/>
            <w:vAlign w:val="center"/>
          </w:tcPr>
          <w:p w14:paraId="7EE349A8">
            <w:pPr>
              <w:pStyle w:val="28"/>
              <w:bidi w:val="0"/>
            </w:pPr>
            <w:r>
              <w:t>0</w:t>
            </w:r>
          </w:p>
        </w:tc>
        <w:tc>
          <w:tcPr>
            <w:tcW w:w="1790" w:type="dxa"/>
            <w:shd w:val="clear" w:color="auto" w:fill="auto"/>
            <w:vAlign w:val="center"/>
          </w:tcPr>
          <w:p w14:paraId="65611C9C">
            <w:pPr>
              <w:pStyle w:val="28"/>
              <w:bidi w:val="0"/>
            </w:pPr>
            <w:r>
              <w:t>已纳入水保投资</w:t>
            </w:r>
          </w:p>
        </w:tc>
      </w:tr>
      <w:tr w14:paraId="4F826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continue"/>
            <w:shd w:val="clear" w:color="auto" w:fill="auto"/>
            <w:vAlign w:val="center"/>
          </w:tcPr>
          <w:p w14:paraId="6D9787FB">
            <w:pPr>
              <w:pStyle w:val="28"/>
              <w:bidi w:val="0"/>
            </w:pPr>
          </w:p>
        </w:tc>
        <w:tc>
          <w:tcPr>
            <w:tcW w:w="960" w:type="dxa"/>
            <w:vMerge w:val="continue"/>
            <w:shd w:val="clear" w:color="auto" w:fill="auto"/>
            <w:vAlign w:val="center"/>
          </w:tcPr>
          <w:p w14:paraId="230A4893">
            <w:pPr>
              <w:pStyle w:val="28"/>
              <w:bidi w:val="0"/>
            </w:pPr>
          </w:p>
        </w:tc>
        <w:tc>
          <w:tcPr>
            <w:tcW w:w="1800" w:type="dxa"/>
            <w:shd w:val="clear" w:color="auto" w:fill="auto"/>
            <w:vAlign w:val="center"/>
          </w:tcPr>
          <w:p w14:paraId="216690AD">
            <w:pPr>
              <w:pStyle w:val="28"/>
              <w:bidi w:val="0"/>
            </w:pPr>
            <w:r>
              <w:t>陆生生态环境保护意识宣传教育措施</w:t>
            </w:r>
          </w:p>
        </w:tc>
        <w:tc>
          <w:tcPr>
            <w:tcW w:w="3424" w:type="dxa"/>
            <w:shd w:val="clear" w:color="auto" w:fill="auto"/>
            <w:vAlign w:val="center"/>
          </w:tcPr>
          <w:p w14:paraId="5B80BE23">
            <w:pPr>
              <w:pStyle w:val="28"/>
              <w:bidi w:val="0"/>
            </w:pPr>
            <w:r>
              <w:t>张贴公告、设置宣传牌等</w:t>
            </w:r>
          </w:p>
        </w:tc>
        <w:tc>
          <w:tcPr>
            <w:tcW w:w="836" w:type="dxa"/>
            <w:shd w:val="clear" w:color="auto" w:fill="auto"/>
            <w:vAlign w:val="center"/>
          </w:tcPr>
          <w:p w14:paraId="61E8307B">
            <w:pPr>
              <w:pStyle w:val="28"/>
              <w:bidi w:val="0"/>
            </w:pPr>
            <w:r>
              <w:t>0.5</w:t>
            </w:r>
          </w:p>
        </w:tc>
        <w:tc>
          <w:tcPr>
            <w:tcW w:w="1790" w:type="dxa"/>
            <w:shd w:val="clear" w:color="auto" w:fill="auto"/>
            <w:vAlign w:val="center"/>
          </w:tcPr>
          <w:p w14:paraId="2E75F489">
            <w:pPr>
              <w:pStyle w:val="28"/>
              <w:bidi w:val="0"/>
            </w:pPr>
          </w:p>
        </w:tc>
      </w:tr>
      <w:tr w14:paraId="2546E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960" w:type="dxa"/>
            <w:vMerge w:val="continue"/>
            <w:shd w:val="clear" w:color="auto" w:fill="auto"/>
            <w:vAlign w:val="center"/>
          </w:tcPr>
          <w:p w14:paraId="7FCDA8E6">
            <w:pPr>
              <w:pStyle w:val="28"/>
              <w:bidi w:val="0"/>
            </w:pPr>
          </w:p>
        </w:tc>
        <w:tc>
          <w:tcPr>
            <w:tcW w:w="960" w:type="dxa"/>
            <w:vMerge w:val="continue"/>
            <w:shd w:val="clear" w:color="auto" w:fill="auto"/>
            <w:vAlign w:val="center"/>
          </w:tcPr>
          <w:p w14:paraId="7957D176">
            <w:pPr>
              <w:pStyle w:val="28"/>
              <w:bidi w:val="0"/>
            </w:pPr>
          </w:p>
        </w:tc>
        <w:tc>
          <w:tcPr>
            <w:tcW w:w="1800" w:type="dxa"/>
            <w:shd w:val="clear" w:color="auto" w:fill="auto"/>
            <w:vAlign w:val="center"/>
          </w:tcPr>
          <w:p w14:paraId="77084DA1">
            <w:pPr>
              <w:pStyle w:val="28"/>
              <w:bidi w:val="0"/>
            </w:pPr>
            <w:r>
              <w:t>工程保护措施</w:t>
            </w:r>
          </w:p>
        </w:tc>
        <w:tc>
          <w:tcPr>
            <w:tcW w:w="3424" w:type="dxa"/>
            <w:shd w:val="clear" w:color="auto" w:fill="auto"/>
            <w:vAlign w:val="center"/>
          </w:tcPr>
          <w:p w14:paraId="578AF07F">
            <w:pPr>
              <w:pStyle w:val="28"/>
              <w:bidi w:val="0"/>
            </w:pPr>
            <w:r>
              <w:t>施工场地设置挡墙或隔板</w:t>
            </w:r>
          </w:p>
        </w:tc>
        <w:tc>
          <w:tcPr>
            <w:tcW w:w="836" w:type="dxa"/>
            <w:shd w:val="clear" w:color="auto" w:fill="auto"/>
            <w:vAlign w:val="center"/>
          </w:tcPr>
          <w:p w14:paraId="35ACFB70">
            <w:pPr>
              <w:pStyle w:val="28"/>
              <w:bidi w:val="0"/>
            </w:pPr>
            <w:r>
              <w:t>1.5</w:t>
            </w:r>
          </w:p>
        </w:tc>
        <w:tc>
          <w:tcPr>
            <w:tcW w:w="1790" w:type="dxa"/>
            <w:shd w:val="clear" w:color="auto" w:fill="auto"/>
            <w:vAlign w:val="center"/>
          </w:tcPr>
          <w:p w14:paraId="0D3F3C99">
            <w:pPr>
              <w:pStyle w:val="28"/>
              <w:bidi w:val="0"/>
            </w:pPr>
          </w:p>
        </w:tc>
      </w:tr>
      <w:tr w14:paraId="3CD5E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shd w:val="clear" w:color="auto" w:fill="auto"/>
            <w:vAlign w:val="center"/>
          </w:tcPr>
          <w:p w14:paraId="0B4EB3F9">
            <w:pPr>
              <w:pStyle w:val="28"/>
              <w:bidi w:val="0"/>
            </w:pPr>
            <w:r>
              <w:t>环境防范风险</w:t>
            </w:r>
          </w:p>
        </w:tc>
        <w:tc>
          <w:tcPr>
            <w:tcW w:w="2760" w:type="dxa"/>
            <w:gridSpan w:val="2"/>
            <w:shd w:val="clear" w:color="auto" w:fill="auto"/>
            <w:vAlign w:val="center"/>
          </w:tcPr>
          <w:p w14:paraId="65A56C81">
            <w:pPr>
              <w:pStyle w:val="28"/>
              <w:bidi w:val="0"/>
            </w:pPr>
            <w:r>
              <w:t>危废暂存库和樊通桥渠下涵涂料施工现场布置应急物资</w:t>
            </w:r>
          </w:p>
        </w:tc>
        <w:tc>
          <w:tcPr>
            <w:tcW w:w="3424" w:type="dxa"/>
            <w:shd w:val="clear" w:color="auto" w:fill="auto"/>
            <w:vAlign w:val="center"/>
          </w:tcPr>
          <w:p w14:paraId="1C7A1922">
            <w:pPr>
              <w:pStyle w:val="28"/>
              <w:bidi w:val="0"/>
            </w:pPr>
            <w:r>
              <w:t>应急物资</w:t>
            </w:r>
          </w:p>
        </w:tc>
        <w:tc>
          <w:tcPr>
            <w:tcW w:w="836" w:type="dxa"/>
            <w:shd w:val="clear" w:color="auto" w:fill="auto"/>
            <w:vAlign w:val="center"/>
          </w:tcPr>
          <w:p w14:paraId="47312BEB">
            <w:pPr>
              <w:pStyle w:val="28"/>
              <w:bidi w:val="0"/>
            </w:pPr>
            <w:r>
              <w:t>10</w:t>
            </w:r>
          </w:p>
        </w:tc>
        <w:tc>
          <w:tcPr>
            <w:tcW w:w="1790" w:type="dxa"/>
            <w:shd w:val="clear" w:color="auto" w:fill="auto"/>
            <w:vAlign w:val="center"/>
          </w:tcPr>
          <w:p w14:paraId="21032C65">
            <w:pPr>
              <w:pStyle w:val="28"/>
              <w:bidi w:val="0"/>
            </w:pPr>
            <w:r>
              <w:t>/</w:t>
            </w:r>
          </w:p>
        </w:tc>
      </w:tr>
      <w:tr w14:paraId="2DFFE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vMerge w:val="restart"/>
            <w:shd w:val="clear" w:color="auto" w:fill="auto"/>
            <w:vAlign w:val="center"/>
          </w:tcPr>
          <w:p w14:paraId="4D1499CE">
            <w:pPr>
              <w:pStyle w:val="28"/>
              <w:bidi w:val="0"/>
            </w:pPr>
            <w:r>
              <w:t>环境监测及管理</w:t>
            </w:r>
          </w:p>
        </w:tc>
        <w:tc>
          <w:tcPr>
            <w:tcW w:w="2760" w:type="dxa"/>
            <w:gridSpan w:val="2"/>
            <w:shd w:val="clear" w:color="auto" w:fill="auto"/>
            <w:vAlign w:val="center"/>
          </w:tcPr>
          <w:p w14:paraId="5F1B643C">
            <w:pPr>
              <w:pStyle w:val="28"/>
              <w:bidi w:val="0"/>
            </w:pPr>
            <w:r>
              <w:t>施工期环境监测</w:t>
            </w:r>
          </w:p>
        </w:tc>
        <w:tc>
          <w:tcPr>
            <w:tcW w:w="3424" w:type="dxa"/>
            <w:shd w:val="clear" w:color="auto" w:fill="auto"/>
            <w:vAlign w:val="center"/>
          </w:tcPr>
          <w:p w14:paraId="695B433E">
            <w:pPr>
              <w:pStyle w:val="28"/>
              <w:bidi w:val="0"/>
            </w:pPr>
            <w:r>
              <w:t>为各项环保措施提供依据</w:t>
            </w:r>
          </w:p>
        </w:tc>
        <w:tc>
          <w:tcPr>
            <w:tcW w:w="836" w:type="dxa"/>
            <w:shd w:val="clear" w:color="auto" w:fill="auto"/>
            <w:vAlign w:val="center"/>
          </w:tcPr>
          <w:p w14:paraId="7B859B2D">
            <w:pPr>
              <w:pStyle w:val="28"/>
              <w:bidi w:val="0"/>
            </w:pPr>
            <w:r>
              <w:t>65.</w:t>
            </w:r>
            <w:r>
              <w:rPr>
                <w:rFonts w:hint="eastAsia"/>
              </w:rPr>
              <w:t>3</w:t>
            </w:r>
            <w:r>
              <w:t>1</w:t>
            </w:r>
          </w:p>
        </w:tc>
        <w:tc>
          <w:tcPr>
            <w:tcW w:w="1790" w:type="dxa"/>
            <w:shd w:val="clear" w:color="auto" w:fill="auto"/>
            <w:vAlign w:val="center"/>
          </w:tcPr>
          <w:p w14:paraId="23130854">
            <w:pPr>
              <w:pStyle w:val="28"/>
              <w:bidi w:val="0"/>
            </w:pPr>
            <w:r>
              <w:t>/</w:t>
            </w:r>
          </w:p>
        </w:tc>
      </w:tr>
      <w:tr w14:paraId="234E3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960" w:type="dxa"/>
            <w:vMerge w:val="continue"/>
            <w:shd w:val="clear" w:color="auto" w:fill="auto"/>
            <w:vAlign w:val="center"/>
          </w:tcPr>
          <w:p w14:paraId="62555F64">
            <w:pPr>
              <w:pStyle w:val="28"/>
              <w:bidi w:val="0"/>
            </w:pPr>
          </w:p>
        </w:tc>
        <w:tc>
          <w:tcPr>
            <w:tcW w:w="2760" w:type="dxa"/>
            <w:gridSpan w:val="2"/>
            <w:shd w:val="clear" w:color="auto" w:fill="auto"/>
            <w:vAlign w:val="center"/>
          </w:tcPr>
          <w:p w14:paraId="26883044">
            <w:pPr>
              <w:pStyle w:val="28"/>
              <w:bidi w:val="0"/>
            </w:pPr>
            <w:r>
              <w:t>施工期环境监理</w:t>
            </w:r>
          </w:p>
        </w:tc>
        <w:tc>
          <w:tcPr>
            <w:tcW w:w="3424" w:type="dxa"/>
            <w:shd w:val="clear" w:color="auto" w:fill="auto"/>
            <w:vAlign w:val="center"/>
          </w:tcPr>
          <w:p w14:paraId="62E53EE4">
            <w:pPr>
              <w:pStyle w:val="28"/>
              <w:bidi w:val="0"/>
            </w:pPr>
            <w:r>
              <w:t>保证各项环保措施落实到位</w:t>
            </w:r>
          </w:p>
        </w:tc>
        <w:tc>
          <w:tcPr>
            <w:tcW w:w="836" w:type="dxa"/>
            <w:shd w:val="clear" w:color="auto" w:fill="auto"/>
            <w:vAlign w:val="center"/>
          </w:tcPr>
          <w:p w14:paraId="4C9AF5F6">
            <w:pPr>
              <w:pStyle w:val="28"/>
              <w:bidi w:val="0"/>
            </w:pPr>
            <w:r>
              <w:rPr>
                <w:rFonts w:hint="eastAsia"/>
              </w:rPr>
              <w:t>5</w:t>
            </w:r>
          </w:p>
        </w:tc>
        <w:tc>
          <w:tcPr>
            <w:tcW w:w="1790" w:type="dxa"/>
            <w:shd w:val="clear" w:color="auto" w:fill="auto"/>
            <w:vAlign w:val="center"/>
          </w:tcPr>
          <w:p w14:paraId="3F696AB0">
            <w:pPr>
              <w:pStyle w:val="28"/>
              <w:bidi w:val="0"/>
            </w:pPr>
            <w:r>
              <w:t>/</w:t>
            </w:r>
          </w:p>
        </w:tc>
      </w:tr>
      <w:tr w14:paraId="7012F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960" w:type="dxa"/>
            <w:vMerge w:val="continue"/>
            <w:shd w:val="clear" w:color="auto" w:fill="auto"/>
            <w:vAlign w:val="center"/>
          </w:tcPr>
          <w:p w14:paraId="68722E21">
            <w:pPr>
              <w:pStyle w:val="28"/>
              <w:bidi w:val="0"/>
            </w:pPr>
          </w:p>
        </w:tc>
        <w:tc>
          <w:tcPr>
            <w:tcW w:w="2760" w:type="dxa"/>
            <w:gridSpan w:val="2"/>
            <w:shd w:val="clear" w:color="auto" w:fill="auto"/>
            <w:vAlign w:val="center"/>
          </w:tcPr>
          <w:p w14:paraId="4A1B066B">
            <w:pPr>
              <w:pStyle w:val="28"/>
              <w:bidi w:val="0"/>
            </w:pPr>
            <w:r>
              <w:t>环境建设管理费</w:t>
            </w:r>
          </w:p>
        </w:tc>
        <w:tc>
          <w:tcPr>
            <w:tcW w:w="3424" w:type="dxa"/>
            <w:shd w:val="clear" w:color="auto" w:fill="auto"/>
            <w:vAlign w:val="center"/>
          </w:tcPr>
          <w:p w14:paraId="048CF955">
            <w:pPr>
              <w:pStyle w:val="28"/>
              <w:bidi w:val="0"/>
            </w:pPr>
            <w:r>
              <w:t>环保竣工验收、环境管理人员费用</w:t>
            </w:r>
          </w:p>
        </w:tc>
        <w:tc>
          <w:tcPr>
            <w:tcW w:w="836" w:type="dxa"/>
            <w:shd w:val="clear" w:color="auto" w:fill="auto"/>
            <w:vAlign w:val="center"/>
          </w:tcPr>
          <w:p w14:paraId="46AF2770">
            <w:pPr>
              <w:pStyle w:val="28"/>
              <w:bidi w:val="0"/>
            </w:pPr>
            <w:r>
              <w:t>32</w:t>
            </w:r>
          </w:p>
        </w:tc>
        <w:tc>
          <w:tcPr>
            <w:tcW w:w="1790" w:type="dxa"/>
            <w:shd w:val="clear" w:color="auto" w:fill="auto"/>
            <w:vAlign w:val="center"/>
          </w:tcPr>
          <w:p w14:paraId="5DF95415">
            <w:pPr>
              <w:pStyle w:val="28"/>
              <w:bidi w:val="0"/>
            </w:pPr>
            <w:r>
              <w:t>/</w:t>
            </w:r>
          </w:p>
        </w:tc>
      </w:tr>
      <w:tr w14:paraId="24F0C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trPr>
        <w:tc>
          <w:tcPr>
            <w:tcW w:w="960" w:type="dxa"/>
            <w:shd w:val="clear" w:color="auto" w:fill="auto"/>
            <w:vAlign w:val="center"/>
          </w:tcPr>
          <w:p w14:paraId="0B80CD1E">
            <w:pPr>
              <w:pStyle w:val="28"/>
              <w:bidi w:val="0"/>
            </w:pPr>
            <w:r>
              <w:t>环境保护独立费用</w:t>
            </w:r>
          </w:p>
        </w:tc>
        <w:tc>
          <w:tcPr>
            <w:tcW w:w="2760" w:type="dxa"/>
            <w:gridSpan w:val="2"/>
            <w:shd w:val="clear" w:color="auto" w:fill="auto"/>
            <w:vAlign w:val="center"/>
          </w:tcPr>
          <w:p w14:paraId="1836788B">
            <w:pPr>
              <w:pStyle w:val="28"/>
              <w:bidi w:val="0"/>
            </w:pPr>
            <w:r>
              <w:t>相关专题报告</w:t>
            </w:r>
          </w:p>
        </w:tc>
        <w:tc>
          <w:tcPr>
            <w:tcW w:w="3424" w:type="dxa"/>
            <w:shd w:val="clear" w:color="auto" w:fill="auto"/>
            <w:vAlign w:val="center"/>
          </w:tcPr>
          <w:p w14:paraId="26704370">
            <w:pPr>
              <w:pStyle w:val="28"/>
              <w:bidi w:val="0"/>
            </w:pPr>
            <w:r>
              <w:t>环境影响评价费、环境保护勘察设计</w:t>
            </w:r>
          </w:p>
        </w:tc>
        <w:tc>
          <w:tcPr>
            <w:tcW w:w="836" w:type="dxa"/>
            <w:shd w:val="clear" w:color="auto" w:fill="auto"/>
            <w:vAlign w:val="center"/>
          </w:tcPr>
          <w:p w14:paraId="20C57B8D">
            <w:pPr>
              <w:pStyle w:val="28"/>
              <w:bidi w:val="0"/>
            </w:pPr>
            <w:r>
              <w:t>103.38</w:t>
            </w:r>
          </w:p>
        </w:tc>
        <w:tc>
          <w:tcPr>
            <w:tcW w:w="1790" w:type="dxa"/>
            <w:shd w:val="clear" w:color="auto" w:fill="auto"/>
            <w:vAlign w:val="center"/>
          </w:tcPr>
          <w:p w14:paraId="7C52494B">
            <w:pPr>
              <w:pStyle w:val="28"/>
              <w:bidi w:val="0"/>
            </w:pPr>
            <w:r>
              <w:t>/</w:t>
            </w:r>
          </w:p>
        </w:tc>
      </w:tr>
      <w:tr w14:paraId="07E28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7144" w:type="dxa"/>
            <w:gridSpan w:val="4"/>
            <w:shd w:val="clear" w:color="auto" w:fill="auto"/>
            <w:vAlign w:val="center"/>
          </w:tcPr>
          <w:p w14:paraId="4E98E152">
            <w:pPr>
              <w:pStyle w:val="28"/>
              <w:bidi w:val="0"/>
            </w:pPr>
            <w:r>
              <w:t>总计</w:t>
            </w:r>
          </w:p>
        </w:tc>
        <w:tc>
          <w:tcPr>
            <w:tcW w:w="836" w:type="dxa"/>
            <w:shd w:val="clear" w:color="auto" w:fill="auto"/>
            <w:vAlign w:val="center"/>
          </w:tcPr>
          <w:p w14:paraId="0E6484C7">
            <w:pPr>
              <w:pStyle w:val="28"/>
              <w:bidi w:val="0"/>
            </w:pPr>
            <w:r>
              <w:t>865.15</w:t>
            </w:r>
          </w:p>
        </w:tc>
        <w:tc>
          <w:tcPr>
            <w:tcW w:w="1790" w:type="dxa"/>
            <w:shd w:val="clear" w:color="auto" w:fill="auto"/>
            <w:noWrap/>
            <w:vAlign w:val="center"/>
          </w:tcPr>
          <w:p w14:paraId="607E3155">
            <w:pPr>
              <w:pStyle w:val="28"/>
              <w:bidi w:val="0"/>
            </w:pPr>
            <w:r>
              <w:t>/</w:t>
            </w:r>
          </w:p>
        </w:tc>
      </w:tr>
    </w:tbl>
    <w:p w14:paraId="3DE2BB1B">
      <w:pPr>
        <w:numPr>
          <w:ilvl w:val="1"/>
          <w:numId w:val="0"/>
        </w:numPr>
        <w:tabs>
          <w:tab w:val="left" w:pos="0"/>
        </w:tabs>
        <w:rPr>
          <w:rFonts w:cs="Times New Roman"/>
          <w:color w:val="0000FF"/>
        </w:rPr>
      </w:pPr>
    </w:p>
    <w:p w14:paraId="143F06A0">
      <w:pPr>
        <w:pStyle w:val="2"/>
        <w:rPr>
          <w:color w:val="0000FF"/>
        </w:rPr>
        <w:sectPr>
          <w:headerReference r:id="rId50" w:type="first"/>
          <w:footerReference r:id="rId53" w:type="first"/>
          <w:headerReference r:id="rId48" w:type="default"/>
          <w:footerReference r:id="rId51" w:type="default"/>
          <w:headerReference r:id="rId49" w:type="even"/>
          <w:footerReference r:id="rId52" w:type="even"/>
          <w:pgSz w:w="11905" w:h="16838"/>
          <w:pgMar w:top="1417" w:right="1417" w:bottom="1417" w:left="1417" w:header="850" w:footer="850" w:gutter="0"/>
          <w:pgNumType w:fmt="decimal"/>
          <w:cols w:space="0" w:num="1"/>
          <w:rtlGutter w:val="0"/>
          <w:docGrid w:linePitch="326" w:charSpace="0"/>
        </w:sectPr>
      </w:pPr>
    </w:p>
    <w:p w14:paraId="661D5364">
      <w:pPr>
        <w:pStyle w:val="2"/>
        <w:rPr>
          <w:color w:val="0000FF"/>
        </w:rPr>
      </w:pPr>
      <w:bookmarkStart w:id="91" w:name="_Toc12873"/>
      <w:r>
        <w:rPr>
          <w:rFonts w:hint="eastAsia"/>
          <w:color w:val="0000FF"/>
        </w:rPr>
        <w:t xml:space="preserve">9 </w:t>
      </w:r>
      <w:r>
        <w:rPr>
          <w:color w:val="0000FF"/>
        </w:rPr>
        <w:t>环境管理与监测计划</w:t>
      </w:r>
      <w:bookmarkEnd w:id="91"/>
    </w:p>
    <w:p w14:paraId="5CC66804">
      <w:pPr>
        <w:pStyle w:val="3"/>
        <w:rPr>
          <w:rFonts w:cs="Times New Roman"/>
          <w:color w:val="0000FF"/>
        </w:rPr>
      </w:pPr>
      <w:bookmarkStart w:id="92" w:name="_Toc32321"/>
      <w:r>
        <w:rPr>
          <w:rFonts w:hint="eastAsia" w:cs="Times New Roman"/>
          <w:color w:val="0000FF"/>
        </w:rPr>
        <w:t>9</w:t>
      </w:r>
      <w:r>
        <w:rPr>
          <w:rFonts w:cs="Times New Roman"/>
          <w:color w:val="0000FF"/>
        </w:rPr>
        <w:t>.1环境保护管理计划</w:t>
      </w:r>
      <w:bookmarkEnd w:id="92"/>
    </w:p>
    <w:p w14:paraId="0EC3DD44">
      <w:pPr>
        <w:pStyle w:val="4"/>
        <w:rPr>
          <w:rFonts w:cs="Times New Roman"/>
          <w:color w:val="0000FF"/>
        </w:rPr>
      </w:pPr>
      <w:r>
        <w:rPr>
          <w:rFonts w:hint="eastAsia" w:cs="Times New Roman"/>
          <w:color w:val="0000FF"/>
        </w:rPr>
        <w:t>9</w:t>
      </w:r>
      <w:r>
        <w:rPr>
          <w:rFonts w:cs="Times New Roman"/>
          <w:color w:val="0000FF"/>
        </w:rPr>
        <w:t>.1.1环境管理目的</w:t>
      </w:r>
    </w:p>
    <w:p w14:paraId="6C4FB9A3">
      <w:pPr>
        <w:ind w:firstLine="480"/>
        <w:rPr>
          <w:rFonts w:cs="Times New Roman"/>
          <w:color w:val="0000FF"/>
          <w:kern w:val="2"/>
        </w:rPr>
      </w:pPr>
      <w:r>
        <w:rPr>
          <w:rFonts w:cs="Times New Roman"/>
          <w:color w:val="0000FF"/>
          <w:kern w:val="2"/>
        </w:rPr>
        <w:t>环境管理是工程管理的一部分，是工程环境保护工作有效实施的重要环节。本项目环境管理目的在于保证工程各项环境保护措施的顺利实施，使工程施工和运行产生的不利环境影响得到减免，以实现工程建设与生态环境保护、经济发展相协调。</w:t>
      </w:r>
    </w:p>
    <w:p w14:paraId="145FE94D">
      <w:pPr>
        <w:pStyle w:val="4"/>
        <w:rPr>
          <w:rFonts w:cs="Times New Roman"/>
          <w:color w:val="0000FF"/>
        </w:rPr>
      </w:pPr>
      <w:r>
        <w:rPr>
          <w:rFonts w:hint="eastAsia" w:cs="Times New Roman"/>
          <w:color w:val="0000FF"/>
        </w:rPr>
        <w:t>9</w:t>
      </w:r>
      <w:r>
        <w:rPr>
          <w:rFonts w:cs="Times New Roman"/>
          <w:color w:val="0000FF"/>
        </w:rPr>
        <w:t>.1.2环境管理原则</w:t>
      </w:r>
    </w:p>
    <w:p w14:paraId="33A945BF">
      <w:pPr>
        <w:ind w:firstLine="480"/>
        <w:rPr>
          <w:rFonts w:cs="Times New Roman"/>
          <w:color w:val="0000FF"/>
          <w:kern w:val="2"/>
        </w:rPr>
      </w:pPr>
      <w:r>
        <w:rPr>
          <w:rFonts w:cs="Times New Roman"/>
          <w:color w:val="0000FF"/>
          <w:kern w:val="2"/>
        </w:rPr>
        <w:t>（1）预防为主、防治结合的原则 本工程在施工和运行过程中，环境管理要预先采取防范措施，防止环境污染和生态破坏的现象发生，并把预防作为环境管理的重要原则。</w:t>
      </w:r>
    </w:p>
    <w:p w14:paraId="172D6CDE">
      <w:pPr>
        <w:ind w:firstLine="480"/>
        <w:rPr>
          <w:rFonts w:cs="Times New Roman"/>
          <w:color w:val="0000FF"/>
          <w:kern w:val="2"/>
        </w:rPr>
      </w:pPr>
      <w:r>
        <w:rPr>
          <w:rFonts w:cs="Times New Roman"/>
          <w:color w:val="0000FF"/>
          <w:kern w:val="2"/>
        </w:rPr>
        <w:t>（2）分级管理原则 工程建设和运行应接受各级环境保护行政主管部门的监督，而在内部则实行分级管理制，层层负责，责任明确。</w:t>
      </w:r>
    </w:p>
    <w:p w14:paraId="471286C2">
      <w:pPr>
        <w:ind w:firstLine="480"/>
        <w:rPr>
          <w:rFonts w:cs="Times New Roman"/>
          <w:color w:val="0000FF"/>
          <w:kern w:val="2"/>
        </w:rPr>
      </w:pPr>
      <w:r>
        <w:rPr>
          <w:rFonts w:cs="Times New Roman"/>
          <w:color w:val="0000FF"/>
          <w:kern w:val="2"/>
        </w:rPr>
        <w:t>（3）相对独立性原则 环境管理是工程管理的一部分，需要满足整个工程管理的要求。但同时环境管理 又具有一定的独立性，必须依据我国的环境保护法律法规体系，从环境保护的角度对工程进行监督管理，协调工程建设与环境保护的关系。</w:t>
      </w:r>
    </w:p>
    <w:p w14:paraId="211D2663">
      <w:pPr>
        <w:ind w:firstLine="480"/>
        <w:rPr>
          <w:rFonts w:cs="Times New Roman"/>
          <w:color w:val="0000FF"/>
          <w:kern w:val="2"/>
        </w:rPr>
      </w:pPr>
      <w:r>
        <w:rPr>
          <w:rFonts w:cs="Times New Roman"/>
          <w:color w:val="0000FF"/>
          <w:kern w:val="2"/>
        </w:rPr>
        <w:t>（4）针对性原则 工程建设的不同时期和不同区域可能会出现不同的环境问题，应通过建立合理的环境管理结构和管理制度，针对性地解决出现的问题.</w:t>
      </w:r>
    </w:p>
    <w:p w14:paraId="36D83F15">
      <w:pPr>
        <w:pStyle w:val="4"/>
        <w:rPr>
          <w:rFonts w:cs="Times New Roman"/>
          <w:color w:val="0000FF"/>
        </w:rPr>
      </w:pPr>
      <w:r>
        <w:rPr>
          <w:rFonts w:hint="eastAsia" w:cs="Times New Roman"/>
          <w:color w:val="0000FF"/>
        </w:rPr>
        <w:t>9</w:t>
      </w:r>
      <w:r>
        <w:rPr>
          <w:rFonts w:cs="Times New Roman"/>
          <w:color w:val="0000FF"/>
        </w:rPr>
        <w:t>.1.3环境管理目标</w:t>
      </w:r>
    </w:p>
    <w:p w14:paraId="4A2136B2">
      <w:pPr>
        <w:autoSpaceDE w:val="0"/>
        <w:autoSpaceDN w:val="0"/>
        <w:ind w:firstLine="480"/>
        <w:rPr>
          <w:rFonts w:cs="Times New Roman"/>
          <w:color w:val="0000FF"/>
        </w:rPr>
      </w:pPr>
      <w:r>
        <w:rPr>
          <w:rFonts w:cs="Times New Roman"/>
          <w:color w:val="0000FF"/>
        </w:rPr>
        <w:t>（1）保证各项环境保护措施按照环境影响报告书及其批复、环境保护设计的要求实施，使各项环境保护设施正常、有效运行。</w:t>
      </w:r>
    </w:p>
    <w:p w14:paraId="4C2B1390">
      <w:pPr>
        <w:autoSpaceDE w:val="0"/>
        <w:autoSpaceDN w:val="0"/>
        <w:ind w:firstLine="480"/>
        <w:rPr>
          <w:rFonts w:cs="Times New Roman"/>
          <w:color w:val="0000FF"/>
        </w:rPr>
      </w:pPr>
      <w:r>
        <w:rPr>
          <w:rFonts w:cs="Times New Roman"/>
          <w:color w:val="0000FF"/>
        </w:rPr>
        <w:t>（2）预防污染事故的发生，保证各类污染物合理回用，使工程区及其附近的水环境、环境空气和声环境质量达到环境功能区划要求的标准。</w:t>
      </w:r>
    </w:p>
    <w:p w14:paraId="4620784F">
      <w:pPr>
        <w:ind w:firstLine="480"/>
        <w:rPr>
          <w:rFonts w:cs="Times New Roman"/>
          <w:color w:val="0000FF"/>
        </w:rPr>
      </w:pPr>
      <w:r>
        <w:rPr>
          <w:rFonts w:cs="Times New Roman"/>
          <w:color w:val="0000FF"/>
        </w:rPr>
        <w:t>（3）水土流失和生态破坏得到有效控制，并通过采取措施恢复原有的水土保持功能和生态环境质量。</w:t>
      </w:r>
    </w:p>
    <w:p w14:paraId="5836879D">
      <w:pPr>
        <w:ind w:firstLine="480"/>
        <w:rPr>
          <w:rFonts w:cs="Times New Roman"/>
          <w:color w:val="0000FF"/>
        </w:rPr>
      </w:pPr>
      <w:r>
        <w:rPr>
          <w:rFonts w:cs="Times New Roman"/>
          <w:color w:val="0000FF"/>
        </w:rPr>
        <w:t>（4）做好施工区卫生防疫工作，完善疫情管理体系，控制施工人群传染病发病率，避免传染病爆发和蔓延。</w:t>
      </w:r>
    </w:p>
    <w:p w14:paraId="0F9B364D">
      <w:pPr>
        <w:ind w:firstLine="480"/>
        <w:rPr>
          <w:rFonts w:cs="Times New Roman"/>
          <w:b/>
          <w:color w:val="0000FF"/>
          <w:kern w:val="2"/>
        </w:rPr>
      </w:pPr>
      <w:r>
        <w:rPr>
          <w:rFonts w:cs="Times New Roman"/>
          <w:color w:val="0000FF"/>
        </w:rPr>
        <w:t>（5）理清工程建设与环境保护的关系，保障工程建设的顺利进行，促进工区环境美化，争创环保优秀工程。</w:t>
      </w:r>
    </w:p>
    <w:p w14:paraId="33788252">
      <w:pPr>
        <w:pStyle w:val="4"/>
        <w:rPr>
          <w:rFonts w:cs="Times New Roman"/>
          <w:color w:val="0000FF"/>
        </w:rPr>
      </w:pPr>
      <w:r>
        <w:rPr>
          <w:rFonts w:hint="eastAsia" w:cs="Times New Roman"/>
          <w:color w:val="0000FF"/>
        </w:rPr>
        <w:t>9</w:t>
      </w:r>
      <w:r>
        <w:rPr>
          <w:rFonts w:cs="Times New Roman"/>
          <w:color w:val="0000FF"/>
        </w:rPr>
        <w:t>.1.4环境管理体系</w:t>
      </w:r>
    </w:p>
    <w:p w14:paraId="0B99C3F1">
      <w:pPr>
        <w:ind w:firstLine="480"/>
        <w:rPr>
          <w:rFonts w:cs="Times New Roman"/>
          <w:color w:val="0000FF"/>
          <w:kern w:val="2"/>
        </w:rPr>
      </w:pPr>
      <w:r>
        <w:rPr>
          <w:rFonts w:cs="Times New Roman"/>
          <w:color w:val="0000FF"/>
          <w:kern w:val="2"/>
        </w:rPr>
        <w:t>本工程环境管理分为外部管理和内部管理两部分：</w:t>
      </w:r>
    </w:p>
    <w:p w14:paraId="43153688">
      <w:pPr>
        <w:ind w:firstLine="480"/>
        <w:rPr>
          <w:rFonts w:cs="Times New Roman"/>
          <w:color w:val="0000FF"/>
          <w:kern w:val="2"/>
        </w:rPr>
      </w:pPr>
      <w:r>
        <w:rPr>
          <w:rFonts w:cs="Times New Roman"/>
          <w:color w:val="0000FF"/>
          <w:kern w:val="2"/>
        </w:rPr>
        <w:t>外部管理是指省级及地方环境保护行政主管部门，依据国家相关法律、法规和政策，按照工程需达到的环境标准与要求，依法对各工程建设阶段进行不定期监督、检查及环境保护竣工验收等活动。</w:t>
      </w:r>
    </w:p>
    <w:p w14:paraId="2B45DA90">
      <w:pPr>
        <w:ind w:firstLine="480"/>
        <w:rPr>
          <w:rFonts w:cs="Times New Roman"/>
          <w:color w:val="0000FF"/>
          <w:kern w:val="2"/>
        </w:rPr>
      </w:pPr>
      <w:r>
        <w:rPr>
          <w:rFonts w:cs="Times New Roman"/>
          <w:color w:val="0000FF"/>
          <w:kern w:val="2"/>
        </w:rPr>
        <w:t>内部管理是指建设单位执行国家和地方有关环境保护的法律、法规、政策，贯彻环境保护标准，落实环境保护措施，并对工程的过程和活动按环保要求进行管理。内部管理分施工期和运行期两个阶段。</w:t>
      </w:r>
    </w:p>
    <w:p w14:paraId="19086B51">
      <w:pPr>
        <w:ind w:firstLine="480"/>
        <w:rPr>
          <w:rFonts w:cs="Times New Roman"/>
          <w:color w:val="0000FF"/>
          <w:kern w:val="2"/>
        </w:rPr>
      </w:pPr>
      <w:r>
        <w:rPr>
          <w:rFonts w:cs="Times New Roman"/>
          <w:color w:val="0000FF"/>
          <w:kern w:val="2"/>
        </w:rPr>
        <w:t>施工期内部管理由建设单位负责，对工程施工期环境保护措施进行优化、组织和实施，保证达到国家建设项目环境保护要求与地方环保部门要求。施工期内部环境管理体系由建设单位、施工单位、设计单位和监理单位共同组成，通过各自成立的相应机构对工程建设的环保负责。</w:t>
      </w:r>
    </w:p>
    <w:p w14:paraId="3F90FCF5">
      <w:pPr>
        <w:ind w:firstLine="480"/>
        <w:rPr>
          <w:rFonts w:cs="Times New Roman"/>
          <w:color w:val="0000FF"/>
          <w:kern w:val="2"/>
        </w:rPr>
      </w:pPr>
      <w:r>
        <w:rPr>
          <w:rFonts w:cs="Times New Roman"/>
          <w:color w:val="0000FF"/>
          <w:kern w:val="2"/>
        </w:rPr>
        <w:t>运行期由工程运行管理单位负责，对环境保护措施进行优化、组织和实施。</w:t>
      </w:r>
    </w:p>
    <w:p w14:paraId="7129A1C5">
      <w:pPr>
        <w:pStyle w:val="4"/>
        <w:rPr>
          <w:rFonts w:cs="Times New Roman"/>
          <w:color w:val="0000FF"/>
        </w:rPr>
      </w:pPr>
      <w:r>
        <w:rPr>
          <w:rFonts w:hint="eastAsia" w:cs="Times New Roman"/>
          <w:color w:val="0000FF"/>
        </w:rPr>
        <w:t>9</w:t>
      </w:r>
      <w:r>
        <w:rPr>
          <w:rFonts w:cs="Times New Roman"/>
          <w:color w:val="0000FF"/>
        </w:rPr>
        <w:t>.1.4环境管理机构设置及其职能</w:t>
      </w:r>
    </w:p>
    <w:p w14:paraId="6CD17F10">
      <w:pPr>
        <w:ind w:firstLine="480"/>
        <w:rPr>
          <w:rFonts w:cs="Times New Roman"/>
          <w:color w:val="0000FF"/>
          <w:kern w:val="2"/>
        </w:rPr>
      </w:pPr>
      <w:r>
        <w:rPr>
          <w:rFonts w:cs="Times New Roman"/>
          <w:color w:val="0000FF"/>
          <w:kern w:val="2"/>
        </w:rPr>
        <w:t>考虑施工期和运行期管理性质、范围要求的不同，环境管理机构按施工期和运行期分别设置。</w:t>
      </w:r>
    </w:p>
    <w:p w14:paraId="58E8C873">
      <w:pPr>
        <w:ind w:firstLine="480" w:firstLineChars="200"/>
        <w:rPr>
          <w:rFonts w:cs="Times New Roman"/>
          <w:color w:val="0000FF"/>
        </w:rPr>
      </w:pPr>
      <w:r>
        <w:rPr>
          <w:rFonts w:cs="Times New Roman"/>
          <w:color w:val="0000FF"/>
        </w:rPr>
        <w:t>1施工期</w:t>
      </w:r>
    </w:p>
    <w:p w14:paraId="7348F5E1">
      <w:pPr>
        <w:ind w:firstLine="480" w:firstLineChars="200"/>
        <w:rPr>
          <w:rFonts w:cs="Times New Roman"/>
          <w:color w:val="0000FF"/>
        </w:rPr>
      </w:pPr>
      <w:r>
        <w:rPr>
          <w:rFonts w:cs="Times New Roman"/>
          <w:color w:val="0000FF"/>
        </w:rPr>
        <w:t>（1）建设单位</w:t>
      </w:r>
    </w:p>
    <w:p w14:paraId="3F31EB95">
      <w:pPr>
        <w:ind w:firstLine="480"/>
        <w:rPr>
          <w:rFonts w:cs="Times New Roman"/>
          <w:color w:val="0000FF"/>
          <w:kern w:val="2"/>
        </w:rPr>
      </w:pPr>
      <w:r>
        <w:rPr>
          <w:rFonts w:cs="Times New Roman"/>
          <w:color w:val="0000FF"/>
          <w:kern w:val="2"/>
        </w:rPr>
        <w:t>工程开工前建设单位应设置</w:t>
      </w:r>
      <w:r>
        <w:rPr>
          <w:rFonts w:hint="eastAsia" w:cs="Times New Roman"/>
          <w:color w:val="0000FF"/>
          <w:kern w:val="2"/>
        </w:rPr>
        <w:t>“</w:t>
      </w:r>
      <w:r>
        <w:rPr>
          <w:rFonts w:hint="eastAsia" w:cs="Times New Roman"/>
          <w:color w:val="0000FF"/>
          <w:kern w:val="2"/>
          <w:lang w:eastAsia="zh-CN"/>
        </w:rPr>
        <w:t>淮南市谢家集区朱集中型灌区续建配套与节水改造项目</w:t>
      </w:r>
      <w:r>
        <w:rPr>
          <w:rFonts w:cs="Times New Roman"/>
          <w:color w:val="0000FF"/>
          <w:kern w:val="2"/>
        </w:rPr>
        <w:t>三期工程环境保护领导小组</w:t>
      </w:r>
      <w:r>
        <w:rPr>
          <w:rFonts w:hint="eastAsia" w:cs="Times New Roman"/>
          <w:color w:val="0000FF"/>
          <w:kern w:val="2"/>
        </w:rPr>
        <w:t>”</w:t>
      </w:r>
      <w:r>
        <w:rPr>
          <w:rFonts w:cs="Times New Roman"/>
          <w:color w:val="0000FF"/>
          <w:kern w:val="2"/>
        </w:rPr>
        <w:t>与</w:t>
      </w:r>
      <w:r>
        <w:rPr>
          <w:rFonts w:hint="eastAsia" w:cs="Times New Roman"/>
          <w:color w:val="0000FF"/>
          <w:kern w:val="2"/>
        </w:rPr>
        <w:t>“</w:t>
      </w:r>
      <w:r>
        <w:rPr>
          <w:rFonts w:cs="Times New Roman"/>
          <w:color w:val="0000FF"/>
          <w:kern w:val="2"/>
        </w:rPr>
        <w:t>施工期工程环境保护办公室</w:t>
      </w:r>
      <w:r>
        <w:rPr>
          <w:rFonts w:hint="eastAsia" w:cs="Times New Roman"/>
          <w:color w:val="0000FF"/>
          <w:kern w:val="2"/>
        </w:rPr>
        <w:t>”</w:t>
      </w:r>
      <w:r>
        <w:rPr>
          <w:rFonts w:cs="Times New Roman"/>
          <w:color w:val="0000FF"/>
          <w:kern w:val="2"/>
        </w:rPr>
        <w:t>。</w:t>
      </w:r>
    </w:p>
    <w:p w14:paraId="48769273">
      <w:pPr>
        <w:ind w:firstLine="480"/>
        <w:rPr>
          <w:rFonts w:cs="Times New Roman"/>
          <w:color w:val="0000FF"/>
          <w:kern w:val="2"/>
        </w:rPr>
      </w:pPr>
      <w:r>
        <w:rPr>
          <w:rFonts w:hint="eastAsia" w:cs="Times New Roman"/>
          <w:color w:val="0000FF"/>
          <w:kern w:val="2"/>
        </w:rPr>
        <w:t>“</w:t>
      </w:r>
      <w:r>
        <w:rPr>
          <w:rFonts w:cs="Times New Roman"/>
          <w:color w:val="0000FF"/>
          <w:kern w:val="2"/>
        </w:rPr>
        <w:t>环境保护领导小组</w:t>
      </w:r>
      <w:r>
        <w:rPr>
          <w:rFonts w:hint="eastAsia" w:cs="Times New Roman"/>
          <w:color w:val="0000FF"/>
          <w:kern w:val="2"/>
        </w:rPr>
        <w:t>”</w:t>
      </w:r>
      <w:r>
        <w:rPr>
          <w:rFonts w:cs="Times New Roman"/>
          <w:color w:val="0000FF"/>
          <w:kern w:val="2"/>
        </w:rPr>
        <w:t>成员由建设单位、监理单位、设计单位及施工单位等各有关单位的主要领导组成，其中建设单位主要领导任主要负责人，负责确定工程环保方针、审查项目环境目标和指标、审批环保项目立项和投资投入报告、审批环保项目实施方案和管理方案、检查环境管理业绩、培养职工环境保护意识等工作。</w:t>
      </w:r>
    </w:p>
    <w:p w14:paraId="32D56084">
      <w:pPr>
        <w:ind w:firstLine="480"/>
        <w:rPr>
          <w:rFonts w:cs="Times New Roman"/>
          <w:color w:val="0000FF"/>
          <w:kern w:val="2"/>
        </w:rPr>
      </w:pPr>
      <w:r>
        <w:rPr>
          <w:rFonts w:hint="eastAsia" w:cs="Times New Roman"/>
          <w:color w:val="0000FF"/>
          <w:kern w:val="2"/>
        </w:rPr>
        <w:t>“</w:t>
      </w:r>
      <w:r>
        <w:rPr>
          <w:rFonts w:cs="Times New Roman"/>
          <w:color w:val="0000FF"/>
          <w:kern w:val="2"/>
        </w:rPr>
        <w:t>施工期工程环境保护办公室</w:t>
      </w:r>
      <w:r>
        <w:rPr>
          <w:rFonts w:hint="eastAsia" w:cs="Times New Roman"/>
          <w:color w:val="0000FF"/>
          <w:kern w:val="2"/>
        </w:rPr>
        <w:t>”</w:t>
      </w:r>
      <w:r>
        <w:rPr>
          <w:rFonts w:cs="Times New Roman"/>
          <w:color w:val="0000FF"/>
          <w:kern w:val="2"/>
        </w:rPr>
        <w:t>为工程施工期</w:t>
      </w:r>
      <w:r>
        <w:rPr>
          <w:rFonts w:hint="eastAsia" w:cs="Times New Roman"/>
          <w:color w:val="0000FF"/>
          <w:kern w:val="2"/>
        </w:rPr>
        <w:t>“</w:t>
      </w:r>
      <w:r>
        <w:rPr>
          <w:rFonts w:cs="Times New Roman"/>
          <w:color w:val="0000FF"/>
          <w:kern w:val="2"/>
        </w:rPr>
        <w:t>环境保护领导小组</w:t>
      </w:r>
      <w:r>
        <w:rPr>
          <w:rFonts w:hint="eastAsia" w:cs="Times New Roman"/>
          <w:color w:val="0000FF"/>
          <w:kern w:val="2"/>
        </w:rPr>
        <w:t>”</w:t>
      </w:r>
      <w:r>
        <w:rPr>
          <w:rFonts w:cs="Times New Roman"/>
          <w:color w:val="0000FF"/>
          <w:kern w:val="2"/>
        </w:rPr>
        <w:t>的常设办事机构，设专职人员2-4人。具体负责和落实工程建设过程中环境保护管理工作，其主要职责包括：</w:t>
      </w:r>
    </w:p>
    <w:p w14:paraId="0B253DE7">
      <w:pPr>
        <w:ind w:firstLine="480"/>
        <w:rPr>
          <w:rFonts w:cs="Times New Roman"/>
          <w:color w:val="0000FF"/>
          <w:kern w:val="2"/>
        </w:rPr>
      </w:pPr>
      <w:r>
        <w:rPr>
          <w:rFonts w:cs="Times New Roman"/>
          <w:color w:val="0000FF"/>
          <w:kern w:val="2"/>
        </w:rPr>
        <w:t>①通过开展调查研究，确定适合本工程的环境保护方针和经济技术政策，确立环境保护目标，并结合工程施工方案予以分解；</w:t>
      </w:r>
    </w:p>
    <w:p w14:paraId="55BB0B84">
      <w:pPr>
        <w:ind w:firstLine="480"/>
        <w:rPr>
          <w:rFonts w:cs="Times New Roman"/>
          <w:color w:val="0000FF"/>
          <w:kern w:val="2"/>
        </w:rPr>
      </w:pPr>
      <w:r>
        <w:rPr>
          <w:rFonts w:cs="Times New Roman"/>
          <w:color w:val="0000FF"/>
          <w:kern w:val="2"/>
        </w:rPr>
        <w:t>②制定、贯彻工程环境保护的有关规定、办法、细则，并处理执行过程中的有关事宜；</w:t>
      </w:r>
    </w:p>
    <w:p w14:paraId="5A7AA7DF">
      <w:pPr>
        <w:ind w:firstLine="480"/>
        <w:rPr>
          <w:rFonts w:cs="Times New Roman"/>
          <w:color w:val="0000FF"/>
          <w:kern w:val="2"/>
        </w:rPr>
      </w:pPr>
      <w:r>
        <w:rPr>
          <w:rFonts w:cs="Times New Roman"/>
          <w:color w:val="0000FF"/>
          <w:kern w:val="2"/>
        </w:rPr>
        <w:t>③组织编制工程环境保护总体规划和年度计划，组织规划和计划的全面实施，做好环境保护年度预决算，配合财务部门对环境保护资金进行计划管理；</w:t>
      </w:r>
    </w:p>
    <w:p w14:paraId="145536F5">
      <w:pPr>
        <w:ind w:firstLine="480"/>
        <w:rPr>
          <w:rFonts w:cs="Times New Roman"/>
          <w:color w:val="0000FF"/>
          <w:kern w:val="2"/>
        </w:rPr>
      </w:pPr>
      <w:r>
        <w:rPr>
          <w:rFonts w:cs="Times New Roman"/>
          <w:color w:val="0000FF"/>
          <w:kern w:val="2"/>
        </w:rPr>
        <w:t>④委托进行环保专项设计，检查设计进度，组织设计成果的验收和审查，并保证各项环境保护措施的有效实施；</w:t>
      </w:r>
    </w:p>
    <w:p w14:paraId="7FE398C0">
      <w:pPr>
        <w:ind w:firstLine="480"/>
        <w:rPr>
          <w:rFonts w:cs="Times New Roman"/>
          <w:color w:val="0000FF"/>
          <w:kern w:val="2"/>
        </w:rPr>
      </w:pPr>
      <w:r>
        <w:rPr>
          <w:rFonts w:cs="Times New Roman"/>
          <w:color w:val="0000FF"/>
          <w:kern w:val="2"/>
        </w:rPr>
        <w:t>⑤依照法律、规定和方法，对整个工程各项环境保护措施的实施情况进行监督和管理，实施环境质量一票否决制；</w:t>
      </w:r>
    </w:p>
    <w:p w14:paraId="68706E36">
      <w:pPr>
        <w:ind w:firstLine="480"/>
        <w:rPr>
          <w:rFonts w:cs="Times New Roman"/>
          <w:color w:val="0000FF"/>
          <w:kern w:val="2"/>
        </w:rPr>
      </w:pPr>
      <w:r>
        <w:rPr>
          <w:rFonts w:cs="Times New Roman"/>
          <w:color w:val="0000FF"/>
          <w:kern w:val="2"/>
        </w:rPr>
        <w:t>⑥协调各有关部门之间的关系，听取和处理各环境管理机构提交的有关事宜和汇报，不定期向上级环境保护行政主管部门汇报工作；</w:t>
      </w:r>
    </w:p>
    <w:p w14:paraId="692A9AE5">
      <w:pPr>
        <w:ind w:firstLine="480"/>
        <w:rPr>
          <w:rFonts w:cs="Times New Roman"/>
          <w:color w:val="0000FF"/>
          <w:kern w:val="2"/>
        </w:rPr>
      </w:pPr>
      <w:r>
        <w:rPr>
          <w:rFonts w:cs="Times New Roman"/>
          <w:color w:val="0000FF"/>
          <w:kern w:val="2"/>
        </w:rPr>
        <w:t>⑦督促承包商环境管理机构的工作，内部处理环境违法、违规行为，表彰先进事迹；</w:t>
      </w:r>
    </w:p>
    <w:p w14:paraId="2A0C0D4A">
      <w:pPr>
        <w:ind w:firstLine="480"/>
        <w:rPr>
          <w:rFonts w:cs="Times New Roman"/>
          <w:color w:val="0000FF"/>
          <w:kern w:val="2"/>
        </w:rPr>
      </w:pPr>
      <w:r>
        <w:rPr>
          <w:rFonts w:cs="Times New Roman"/>
          <w:color w:val="0000FF"/>
          <w:kern w:val="2"/>
        </w:rPr>
        <w:t>⑧检查督促接受委托的环境监测部门监测工作的正常实施，加强环境信息统计，建立环境资料数据库；</w:t>
      </w:r>
    </w:p>
    <w:p w14:paraId="449C361F">
      <w:pPr>
        <w:ind w:firstLine="480"/>
        <w:rPr>
          <w:rFonts w:cs="Times New Roman"/>
          <w:color w:val="0000FF"/>
          <w:kern w:val="2"/>
        </w:rPr>
      </w:pPr>
      <w:r>
        <w:rPr>
          <w:rFonts w:cs="Times New Roman"/>
          <w:color w:val="0000FF"/>
          <w:kern w:val="2"/>
        </w:rPr>
        <w:t>⑨组织编写工程环境保护月报、季及年度报告，并向有关主管部门汇报。定期编写环境保护简报，及时公布环境保护动态和环境监测结果；</w:t>
      </w:r>
    </w:p>
    <w:p w14:paraId="2C599A89">
      <w:pPr>
        <w:ind w:firstLine="480"/>
        <w:rPr>
          <w:rFonts w:cs="Times New Roman"/>
          <w:color w:val="0000FF"/>
          <w:kern w:val="2"/>
        </w:rPr>
      </w:pPr>
      <w:r>
        <w:rPr>
          <w:rFonts w:cs="Times New Roman"/>
          <w:color w:val="0000FF"/>
          <w:kern w:val="2"/>
        </w:rPr>
        <w:t>⑩组织鉴定和推广环境保护先进技术和经验，开展技术交流和研讨；</w:t>
      </w:r>
    </w:p>
    <w:p w14:paraId="476CEFA9">
      <w:pPr>
        <w:ind w:firstLine="480"/>
        <w:rPr>
          <w:rFonts w:cs="Times New Roman"/>
          <w:color w:val="0000FF"/>
          <w:kern w:val="2"/>
        </w:rPr>
      </w:pPr>
      <w:r>
        <w:rPr>
          <w:rFonts w:cs="Times New Roman"/>
          <w:color w:val="0000FF"/>
          <w:kern w:val="2"/>
        </w:rPr>
        <w:t>a.环境保护宣传工作，组织必要的普及教育，</w:t>
      </w:r>
      <w:r>
        <w:rPr>
          <w:rFonts w:hint="eastAsia" w:cs="Times New Roman"/>
          <w:color w:val="0000FF"/>
          <w:kern w:val="2"/>
        </w:rPr>
        <w:t>增强</w:t>
      </w:r>
      <w:r>
        <w:rPr>
          <w:rFonts w:cs="Times New Roman"/>
          <w:color w:val="0000FF"/>
          <w:kern w:val="2"/>
        </w:rPr>
        <w:t>有关人员的环境保护意识；</w:t>
      </w:r>
    </w:p>
    <w:p w14:paraId="13B57A4D">
      <w:pPr>
        <w:ind w:firstLine="480"/>
        <w:rPr>
          <w:rFonts w:cs="Times New Roman"/>
          <w:color w:val="0000FF"/>
          <w:kern w:val="2"/>
        </w:rPr>
      </w:pPr>
      <w:r>
        <w:rPr>
          <w:rFonts w:cs="Times New Roman"/>
          <w:color w:val="0000FF"/>
          <w:kern w:val="2"/>
        </w:rPr>
        <w:t>b.内部规章制度，搞好环境管理的日常工作，作好档案、资料收集、整理等工作；</w:t>
      </w:r>
    </w:p>
    <w:p w14:paraId="36E5369A">
      <w:pPr>
        <w:ind w:firstLine="480"/>
        <w:rPr>
          <w:rFonts w:cs="Times New Roman"/>
          <w:color w:val="0000FF"/>
          <w:kern w:val="2"/>
        </w:rPr>
      </w:pPr>
      <w:r>
        <w:rPr>
          <w:rFonts w:cs="Times New Roman"/>
          <w:color w:val="0000FF"/>
          <w:kern w:val="2"/>
        </w:rPr>
        <w:t>c.开展工程竣工验收环境保护调查，提交环境保护验收申请。</w:t>
      </w:r>
    </w:p>
    <w:p w14:paraId="49B3A784">
      <w:pPr>
        <w:ind w:firstLine="482"/>
        <w:rPr>
          <w:rFonts w:cs="Times New Roman"/>
          <w:b/>
          <w:color w:val="0000FF"/>
          <w:kern w:val="2"/>
        </w:rPr>
      </w:pPr>
      <w:r>
        <w:rPr>
          <w:rFonts w:cs="Times New Roman"/>
          <w:color w:val="0000FF"/>
        </w:rPr>
        <w:t>（</w:t>
      </w:r>
      <w:r>
        <w:rPr>
          <w:rFonts w:hint="eastAsia" w:cs="Times New Roman"/>
          <w:color w:val="0000FF"/>
        </w:rPr>
        <w:t>2</w:t>
      </w:r>
      <w:r>
        <w:rPr>
          <w:rFonts w:cs="Times New Roman"/>
          <w:color w:val="0000FF"/>
        </w:rPr>
        <w:t>）施工单位</w:t>
      </w:r>
    </w:p>
    <w:p w14:paraId="3826489B">
      <w:pPr>
        <w:ind w:firstLine="480"/>
        <w:rPr>
          <w:rFonts w:cs="Times New Roman"/>
          <w:color w:val="0000FF"/>
        </w:rPr>
      </w:pPr>
      <w:r>
        <w:rPr>
          <w:rFonts w:cs="Times New Roman"/>
          <w:color w:val="0000FF"/>
        </w:rPr>
        <w:t>各施工承包单位在进场后均应设置</w:t>
      </w:r>
      <w:r>
        <w:rPr>
          <w:rFonts w:hint="eastAsia" w:cs="Times New Roman"/>
          <w:color w:val="0000FF"/>
        </w:rPr>
        <w:t>“</w:t>
      </w:r>
      <w:r>
        <w:rPr>
          <w:rFonts w:cs="Times New Roman"/>
          <w:color w:val="0000FF"/>
        </w:rPr>
        <w:t>环境保护办公室</w:t>
      </w:r>
      <w:r>
        <w:rPr>
          <w:rFonts w:hint="eastAsia" w:cs="Times New Roman"/>
          <w:color w:val="0000FF"/>
        </w:rPr>
        <w:t>”</w:t>
      </w:r>
      <w:r>
        <w:rPr>
          <w:rFonts w:cs="Times New Roman"/>
          <w:color w:val="0000FF"/>
        </w:rPr>
        <w:t>，设专职或兼职人员1-2人，负责企业和所从事的建设生产活动中的环境保护管理工作，包括以下内容：</w:t>
      </w:r>
    </w:p>
    <w:p w14:paraId="688B4551">
      <w:pPr>
        <w:ind w:firstLine="480"/>
        <w:rPr>
          <w:rFonts w:cs="Times New Roman"/>
          <w:color w:val="0000FF"/>
        </w:rPr>
      </w:pPr>
      <w:r>
        <w:rPr>
          <w:rFonts w:cs="Times New Roman"/>
          <w:color w:val="0000FF"/>
        </w:rPr>
        <w:t>①制定环境保护年度工作计划和编写环境保护工作月、季及年度工作报告；</w:t>
      </w:r>
    </w:p>
    <w:p w14:paraId="3A5FA0A6">
      <w:pPr>
        <w:ind w:firstLine="480"/>
        <w:rPr>
          <w:rFonts w:cs="Times New Roman"/>
          <w:color w:val="0000FF"/>
        </w:rPr>
      </w:pPr>
      <w:r>
        <w:rPr>
          <w:rFonts w:cs="Times New Roman"/>
          <w:color w:val="0000FF"/>
        </w:rPr>
        <w:t>②检查所承担的环保设施的建设进度、质量及运行、检测情况，处理实施过程中的有关问题；</w:t>
      </w:r>
    </w:p>
    <w:p w14:paraId="715C2A20">
      <w:pPr>
        <w:ind w:firstLine="480"/>
        <w:rPr>
          <w:rFonts w:cs="Times New Roman"/>
          <w:color w:val="0000FF"/>
        </w:rPr>
      </w:pPr>
      <w:r>
        <w:rPr>
          <w:rFonts w:cs="Times New Roman"/>
          <w:color w:val="0000FF"/>
        </w:rPr>
        <w:t>③核算年度环境保护经费的使用情况；</w:t>
      </w:r>
    </w:p>
    <w:p w14:paraId="3BFA9F91">
      <w:pPr>
        <w:ind w:firstLine="480"/>
        <w:rPr>
          <w:rFonts w:cs="Times New Roman"/>
          <w:color w:val="0000FF"/>
        </w:rPr>
      </w:pPr>
      <w:r>
        <w:rPr>
          <w:rFonts w:cs="Times New Roman"/>
          <w:color w:val="0000FF"/>
        </w:rPr>
        <w:t>④接受建设单位环保部门和环境监理单位的监督，报告承包合同中环保条款的执行情况。</w:t>
      </w:r>
    </w:p>
    <w:p w14:paraId="4A27BF43">
      <w:pPr>
        <w:ind w:firstLine="480"/>
        <w:rPr>
          <w:rFonts w:cs="Times New Roman"/>
          <w:color w:val="0000FF"/>
        </w:rPr>
      </w:pPr>
      <w:r>
        <w:rPr>
          <w:rFonts w:cs="Times New Roman"/>
          <w:color w:val="0000FF"/>
        </w:rPr>
        <w:t>⑤设计单位根据国家法律法规、环境保护主管部门要求、环境影响报告书和批复等有关文件，从环境影响角度优化工程设计，选用对环境影响小的设计方案，反馈于建设单位和施工单位。</w:t>
      </w:r>
    </w:p>
    <w:p w14:paraId="6929E825">
      <w:pPr>
        <w:ind w:firstLine="480" w:firstLineChars="200"/>
        <w:rPr>
          <w:rFonts w:cs="Times New Roman"/>
          <w:color w:val="0000FF"/>
        </w:rPr>
      </w:pPr>
      <w:r>
        <w:rPr>
          <w:rFonts w:cs="Times New Roman"/>
          <w:color w:val="0000FF"/>
        </w:rPr>
        <w:t>2、运行期</w:t>
      </w:r>
    </w:p>
    <w:p w14:paraId="2D1DD73D">
      <w:pPr>
        <w:ind w:firstLine="480"/>
        <w:rPr>
          <w:rFonts w:cs="Times New Roman"/>
          <w:color w:val="0000FF"/>
        </w:rPr>
      </w:pPr>
      <w:r>
        <w:rPr>
          <w:rFonts w:cs="Times New Roman"/>
          <w:color w:val="0000FF"/>
        </w:rPr>
        <w:t>工程建成运行后，运行管理单位应该设立</w:t>
      </w:r>
      <w:r>
        <w:rPr>
          <w:rFonts w:hint="eastAsia" w:cs="Times New Roman"/>
          <w:color w:val="0000FF"/>
        </w:rPr>
        <w:t>“</w:t>
      </w:r>
      <w:r>
        <w:rPr>
          <w:rFonts w:cs="Times New Roman"/>
          <w:color w:val="0000FF"/>
        </w:rPr>
        <w:t>环境保护管理办公室</w:t>
      </w:r>
      <w:r>
        <w:rPr>
          <w:rFonts w:hint="eastAsia" w:cs="Times New Roman"/>
          <w:color w:val="0000FF"/>
        </w:rPr>
        <w:t>”</w:t>
      </w:r>
      <w:r>
        <w:rPr>
          <w:rFonts w:cs="Times New Roman"/>
          <w:color w:val="0000FF"/>
        </w:rPr>
        <w:t>，设专职人员1</w:t>
      </w:r>
      <w:r>
        <w:rPr>
          <w:rFonts w:hint="eastAsia" w:cs="Times New Roman"/>
          <w:color w:val="0000FF"/>
        </w:rPr>
        <w:t>～</w:t>
      </w:r>
      <w:r>
        <w:rPr>
          <w:rFonts w:cs="Times New Roman"/>
          <w:color w:val="0000FF"/>
        </w:rPr>
        <w:t>3人，具体负责和落实工程建成运行后的环境保护管理工作，其主要职责包括：</w:t>
      </w:r>
    </w:p>
    <w:p w14:paraId="44E69583">
      <w:pPr>
        <w:ind w:firstLine="480"/>
        <w:rPr>
          <w:rFonts w:cs="Times New Roman"/>
          <w:color w:val="0000FF"/>
        </w:rPr>
      </w:pPr>
      <w:r>
        <w:rPr>
          <w:rFonts w:cs="Times New Roman"/>
          <w:color w:val="0000FF"/>
        </w:rPr>
        <w:t>（1）根据相关的环境保护法律、法规及技术标准，确定工程运行期环境保护方针和环境保护目标，制定运行期环境保护管理办法；</w:t>
      </w:r>
    </w:p>
    <w:p w14:paraId="45A92FF2">
      <w:pPr>
        <w:ind w:firstLine="480"/>
        <w:rPr>
          <w:rFonts w:cs="Times New Roman"/>
          <w:color w:val="0000FF"/>
        </w:rPr>
      </w:pPr>
      <w:r>
        <w:rPr>
          <w:rFonts w:cs="Times New Roman"/>
          <w:color w:val="0000FF"/>
        </w:rPr>
        <w:t>（2）负责落实环保经费及环境监测工作的正常实施，做好环境信息统计和数据管理；</w:t>
      </w:r>
    </w:p>
    <w:p w14:paraId="299B1D97">
      <w:pPr>
        <w:ind w:firstLine="480"/>
        <w:rPr>
          <w:rFonts w:cs="Times New Roman"/>
          <w:color w:val="0000FF"/>
        </w:rPr>
      </w:pPr>
      <w:r>
        <w:rPr>
          <w:rFonts w:cs="Times New Roman"/>
          <w:color w:val="0000FF"/>
        </w:rPr>
        <w:t>（3）监控运行环保措施，协调处理运行期工程影响区出现的各项环境问题。</w:t>
      </w:r>
    </w:p>
    <w:p w14:paraId="6123F913">
      <w:pPr>
        <w:pStyle w:val="4"/>
        <w:rPr>
          <w:rFonts w:cs="Times New Roman"/>
          <w:color w:val="0000FF"/>
        </w:rPr>
      </w:pPr>
      <w:r>
        <w:rPr>
          <w:rFonts w:hint="eastAsia" w:cs="Times New Roman"/>
          <w:color w:val="0000FF"/>
        </w:rPr>
        <w:t>9</w:t>
      </w:r>
      <w:r>
        <w:rPr>
          <w:rFonts w:cs="Times New Roman"/>
          <w:color w:val="0000FF"/>
        </w:rPr>
        <w:t>.1.5项目各阶段环境管理要求</w:t>
      </w:r>
    </w:p>
    <w:p w14:paraId="348185D7">
      <w:pPr>
        <w:ind w:firstLine="480"/>
        <w:rPr>
          <w:rFonts w:cs="Times New Roman"/>
          <w:color w:val="0000FF"/>
        </w:rPr>
      </w:pPr>
      <w:r>
        <w:rPr>
          <w:rFonts w:cs="Times New Roman"/>
          <w:color w:val="0000FF"/>
          <w:kern w:val="2"/>
        </w:rPr>
        <w:t>（一）</w:t>
      </w:r>
      <w:r>
        <w:rPr>
          <w:rFonts w:cs="Times New Roman"/>
          <w:color w:val="0000FF"/>
        </w:rPr>
        <w:t>筹建期环境管理要求</w:t>
      </w:r>
    </w:p>
    <w:p w14:paraId="18D35C32">
      <w:pPr>
        <w:ind w:firstLine="480"/>
        <w:rPr>
          <w:rFonts w:cs="Times New Roman"/>
          <w:color w:val="0000FF"/>
          <w:kern w:val="2"/>
        </w:rPr>
      </w:pPr>
      <w:r>
        <w:rPr>
          <w:rFonts w:cs="Times New Roman"/>
          <w:color w:val="0000FF"/>
          <w:kern w:val="2"/>
        </w:rPr>
        <w:t>（1）完成机构设置；</w:t>
      </w:r>
    </w:p>
    <w:p w14:paraId="3B25F723">
      <w:pPr>
        <w:ind w:firstLine="480"/>
        <w:rPr>
          <w:rFonts w:cs="Times New Roman"/>
          <w:color w:val="0000FF"/>
          <w:kern w:val="2"/>
        </w:rPr>
      </w:pPr>
      <w:r>
        <w:rPr>
          <w:rFonts w:cs="Times New Roman"/>
          <w:color w:val="0000FF"/>
          <w:kern w:val="2"/>
        </w:rPr>
        <w:t>（2）参与设计阶段的环境保护设计审查，对工程施工准备阶段环境保护问题进行研究；</w:t>
      </w:r>
    </w:p>
    <w:p w14:paraId="52B75065">
      <w:pPr>
        <w:ind w:firstLine="480"/>
        <w:rPr>
          <w:rFonts w:cs="Times New Roman"/>
          <w:color w:val="0000FF"/>
          <w:kern w:val="2"/>
        </w:rPr>
      </w:pPr>
      <w:r>
        <w:rPr>
          <w:rFonts w:cs="Times New Roman"/>
          <w:color w:val="0000FF"/>
          <w:kern w:val="2"/>
        </w:rPr>
        <w:t>（3）为工程招标文件准备有关的环保条文，并确保环评工作的结果被包括在设计文件中，环保条文应包括由施工单位遵循的环保制约条款；</w:t>
      </w:r>
    </w:p>
    <w:p w14:paraId="7C0555C1">
      <w:pPr>
        <w:ind w:firstLine="480"/>
        <w:rPr>
          <w:rFonts w:cs="Times New Roman"/>
          <w:color w:val="0000FF"/>
          <w:kern w:val="2"/>
        </w:rPr>
      </w:pPr>
      <w:r>
        <w:rPr>
          <w:rFonts w:cs="Times New Roman"/>
          <w:color w:val="0000FF"/>
          <w:kern w:val="2"/>
        </w:rPr>
        <w:t>（4）准备实施环境监测方案；</w:t>
      </w:r>
    </w:p>
    <w:p w14:paraId="5E66686A">
      <w:pPr>
        <w:ind w:firstLine="480"/>
        <w:rPr>
          <w:rFonts w:cs="Times New Roman"/>
          <w:color w:val="0000FF"/>
          <w:kern w:val="2"/>
        </w:rPr>
      </w:pPr>
      <w:r>
        <w:rPr>
          <w:rFonts w:cs="Times New Roman"/>
          <w:color w:val="0000FF"/>
          <w:kern w:val="2"/>
        </w:rPr>
        <w:t>（5）对所有负责实施环境保护措施的各部门和单位进行动员。</w:t>
      </w:r>
    </w:p>
    <w:p w14:paraId="26FD0E31">
      <w:pPr>
        <w:ind w:firstLine="480"/>
        <w:rPr>
          <w:rFonts w:cs="Times New Roman"/>
          <w:color w:val="0000FF"/>
          <w:kern w:val="2"/>
        </w:rPr>
      </w:pPr>
      <w:r>
        <w:rPr>
          <w:rFonts w:cs="Times New Roman"/>
          <w:color w:val="0000FF"/>
          <w:kern w:val="2"/>
        </w:rPr>
        <w:t>（二）施工期环境管理要求</w:t>
      </w:r>
    </w:p>
    <w:p w14:paraId="2B482F8F">
      <w:pPr>
        <w:ind w:firstLine="480"/>
        <w:rPr>
          <w:rFonts w:cs="Times New Roman"/>
          <w:color w:val="0000FF"/>
          <w:kern w:val="2"/>
        </w:rPr>
      </w:pPr>
      <w:r>
        <w:rPr>
          <w:rFonts w:cs="Times New Roman"/>
          <w:color w:val="0000FF"/>
          <w:kern w:val="2"/>
        </w:rPr>
        <w:t>为减轻施工活动造成的环境污染，保障施工人员的身体健康，保证工程顺利进行，应特别加强施工期环境管理工作。按照国家有关环保法规和工程的环保规定，统一管理施工区环境保护工作。</w:t>
      </w:r>
    </w:p>
    <w:p w14:paraId="1289F5C0">
      <w:pPr>
        <w:ind w:firstLine="480"/>
        <w:rPr>
          <w:rFonts w:cs="Times New Roman"/>
          <w:color w:val="0000FF"/>
          <w:kern w:val="2"/>
        </w:rPr>
      </w:pPr>
      <w:r>
        <w:rPr>
          <w:rFonts w:cs="Times New Roman"/>
          <w:color w:val="0000FF"/>
          <w:kern w:val="2"/>
        </w:rPr>
        <w:t>监督承包商对于环保合同条款的执行情况，并负责解释环保条款。对重大环境问题提出自理意见和报告，通过工程总监理工程师责成有关单位限期纠正。</w:t>
      </w:r>
    </w:p>
    <w:p w14:paraId="0A85FA6D">
      <w:pPr>
        <w:ind w:firstLine="480"/>
        <w:rPr>
          <w:rFonts w:cs="Times New Roman"/>
          <w:color w:val="0000FF"/>
          <w:kern w:val="2"/>
        </w:rPr>
      </w:pPr>
      <w:r>
        <w:rPr>
          <w:rFonts w:cs="Times New Roman"/>
          <w:color w:val="0000FF"/>
          <w:kern w:val="2"/>
        </w:rPr>
        <w:t>施工期主要环境管理要求如下：</w:t>
      </w:r>
    </w:p>
    <w:p w14:paraId="447A0996">
      <w:pPr>
        <w:ind w:firstLine="480"/>
        <w:rPr>
          <w:rFonts w:cs="Times New Roman"/>
          <w:color w:val="0000FF"/>
          <w:kern w:val="2"/>
        </w:rPr>
      </w:pPr>
      <w:r>
        <w:rPr>
          <w:rFonts w:cs="Times New Roman"/>
          <w:color w:val="0000FF"/>
          <w:kern w:val="2"/>
        </w:rPr>
        <w:t>（1）对施工活动进行监控，严格控制施工作业带；</w:t>
      </w:r>
    </w:p>
    <w:p w14:paraId="50168A23">
      <w:pPr>
        <w:ind w:firstLine="480"/>
        <w:rPr>
          <w:rFonts w:cs="Times New Roman"/>
          <w:color w:val="0000FF"/>
          <w:kern w:val="2"/>
        </w:rPr>
      </w:pPr>
      <w:r>
        <w:rPr>
          <w:rFonts w:cs="Times New Roman"/>
          <w:color w:val="0000FF"/>
          <w:kern w:val="2"/>
        </w:rPr>
        <w:t>（2）与合肥市、六安市、淮南市等地方生态环境局共同工作，实施各项环保措施；</w:t>
      </w:r>
    </w:p>
    <w:p w14:paraId="60B10CC7">
      <w:pPr>
        <w:ind w:firstLine="480"/>
        <w:rPr>
          <w:rFonts w:cs="Times New Roman"/>
          <w:color w:val="0000FF"/>
          <w:kern w:val="2"/>
        </w:rPr>
      </w:pPr>
      <w:r>
        <w:rPr>
          <w:rFonts w:cs="Times New Roman"/>
          <w:color w:val="0000FF"/>
          <w:kern w:val="2"/>
        </w:rPr>
        <w:t>（3）严格执行环境监测方案；</w:t>
      </w:r>
    </w:p>
    <w:p w14:paraId="58F00491">
      <w:pPr>
        <w:ind w:firstLine="480"/>
        <w:rPr>
          <w:rFonts w:cs="Times New Roman"/>
          <w:color w:val="0000FF"/>
          <w:kern w:val="2"/>
        </w:rPr>
      </w:pPr>
      <w:r>
        <w:rPr>
          <w:rFonts w:cs="Times New Roman"/>
          <w:color w:val="0000FF"/>
          <w:kern w:val="2"/>
        </w:rPr>
        <w:t>（4）贯彻环境控制检查措施及控制施工单位施工行为；</w:t>
      </w:r>
    </w:p>
    <w:p w14:paraId="64EC2B4E">
      <w:pPr>
        <w:ind w:firstLine="480"/>
        <w:rPr>
          <w:rFonts w:cs="Times New Roman"/>
          <w:color w:val="0000FF"/>
          <w:kern w:val="2"/>
        </w:rPr>
      </w:pPr>
      <w:r>
        <w:rPr>
          <w:rFonts w:cs="Times New Roman"/>
          <w:color w:val="0000FF"/>
          <w:kern w:val="2"/>
        </w:rPr>
        <w:t>（5）检查工作人员住地卫生防疫措施；</w:t>
      </w:r>
    </w:p>
    <w:p w14:paraId="47B07C35">
      <w:pPr>
        <w:ind w:firstLine="480"/>
        <w:rPr>
          <w:rFonts w:cs="Times New Roman"/>
          <w:color w:val="0000FF"/>
          <w:kern w:val="2"/>
        </w:rPr>
      </w:pPr>
      <w:r>
        <w:rPr>
          <w:rFonts w:cs="Times New Roman"/>
          <w:color w:val="0000FF"/>
          <w:kern w:val="2"/>
        </w:rPr>
        <w:t>（6）检查保证移民安置计划中的环保措施的实施；</w:t>
      </w:r>
    </w:p>
    <w:p w14:paraId="526EBDAA">
      <w:pPr>
        <w:ind w:firstLine="480"/>
        <w:rPr>
          <w:rFonts w:cs="Times New Roman"/>
          <w:color w:val="0000FF"/>
          <w:kern w:val="2"/>
        </w:rPr>
      </w:pPr>
      <w:r>
        <w:rPr>
          <w:rFonts w:cs="Times New Roman"/>
          <w:color w:val="0000FF"/>
          <w:kern w:val="2"/>
        </w:rPr>
        <w:t>（7）检查施工取土、弃渣、清淤底泥等处理方式及过程是否合适；</w:t>
      </w:r>
    </w:p>
    <w:p w14:paraId="4FC6310C">
      <w:pPr>
        <w:ind w:firstLine="480"/>
        <w:rPr>
          <w:rFonts w:cs="Times New Roman"/>
          <w:color w:val="0000FF"/>
          <w:kern w:val="2"/>
        </w:rPr>
      </w:pPr>
      <w:r>
        <w:rPr>
          <w:rFonts w:cs="Times New Roman"/>
          <w:color w:val="0000FF"/>
          <w:kern w:val="2"/>
        </w:rPr>
        <w:t>（8）制订施工阶段中施工单位必须遵守的协约；</w:t>
      </w:r>
    </w:p>
    <w:p w14:paraId="248514AB">
      <w:pPr>
        <w:ind w:firstLine="480"/>
        <w:rPr>
          <w:rFonts w:cs="Times New Roman"/>
          <w:color w:val="0000FF"/>
          <w:kern w:val="2"/>
        </w:rPr>
      </w:pPr>
      <w:r>
        <w:rPr>
          <w:rFonts w:cs="Times New Roman"/>
          <w:color w:val="0000FF"/>
          <w:kern w:val="2"/>
        </w:rPr>
        <w:t>（9）把环境保护措施包括在各种施工承包合同中，以便施工单位知道这些要求，并在投标书中提出这些措施的预算；</w:t>
      </w:r>
    </w:p>
    <w:p w14:paraId="6C369250">
      <w:pPr>
        <w:ind w:firstLine="480"/>
        <w:rPr>
          <w:rFonts w:cs="Times New Roman"/>
          <w:color w:val="0000FF"/>
          <w:kern w:val="2"/>
        </w:rPr>
      </w:pPr>
      <w:r>
        <w:rPr>
          <w:rFonts w:cs="Times New Roman"/>
          <w:color w:val="0000FF"/>
          <w:kern w:val="2"/>
        </w:rPr>
        <w:t>（10）设环境施工监理员，同施工监理员一起工作。监理员将例行监督施工单位的工作，以保证施工单位遵守所规定的环保措施；</w:t>
      </w:r>
    </w:p>
    <w:p w14:paraId="5B14B55C">
      <w:pPr>
        <w:ind w:firstLine="480"/>
        <w:rPr>
          <w:rFonts w:cs="Times New Roman"/>
          <w:color w:val="0000FF"/>
          <w:kern w:val="2"/>
        </w:rPr>
      </w:pPr>
      <w:r>
        <w:rPr>
          <w:rFonts w:cs="Times New Roman"/>
          <w:color w:val="0000FF"/>
          <w:kern w:val="2"/>
        </w:rPr>
        <w:t>（11）定期检查及上报施工期间进行的监测项目。</w:t>
      </w:r>
    </w:p>
    <w:p w14:paraId="69EE76CC">
      <w:pPr>
        <w:ind w:firstLine="480"/>
        <w:rPr>
          <w:rFonts w:cs="Times New Roman"/>
          <w:color w:val="0000FF"/>
          <w:kern w:val="2"/>
        </w:rPr>
      </w:pPr>
      <w:r>
        <w:rPr>
          <w:rFonts w:cs="Times New Roman"/>
          <w:color w:val="0000FF"/>
          <w:kern w:val="2"/>
        </w:rPr>
        <w:t>环境管理人员应发现并掌握工程施工中的环境问题。对某些环境指标，下达监测指令。对监测结果进行分析研究，并提出环境保护改善方案。</w:t>
      </w:r>
    </w:p>
    <w:p w14:paraId="6F1104B3">
      <w:pPr>
        <w:ind w:firstLine="480"/>
        <w:rPr>
          <w:rFonts w:cs="Times New Roman"/>
          <w:color w:val="0000FF"/>
          <w:kern w:val="2"/>
        </w:rPr>
      </w:pPr>
      <w:r>
        <w:rPr>
          <w:rFonts w:cs="Times New Roman"/>
          <w:color w:val="0000FF"/>
          <w:kern w:val="2"/>
        </w:rPr>
        <w:t>参加施工技术方案和施工进度计划的审查会议，就环保方面提出改进意见。审查承包商提出的可能造成污染的施工材料、设备清单及其所列环保指标。对现场出现的环境问题及处理结果</w:t>
      </w:r>
      <w:r>
        <w:rPr>
          <w:rFonts w:hint="eastAsia" w:cs="Times New Roman"/>
          <w:color w:val="0000FF"/>
          <w:kern w:val="2"/>
        </w:rPr>
        <w:t>作出</w:t>
      </w:r>
      <w:r>
        <w:rPr>
          <w:rFonts w:cs="Times New Roman"/>
          <w:color w:val="0000FF"/>
          <w:kern w:val="2"/>
        </w:rPr>
        <w:t>记录，每月由环境管理办公室提交月报表，并根据积累的有关资料整理环境管理档案。</w:t>
      </w:r>
    </w:p>
    <w:p w14:paraId="385E4878">
      <w:pPr>
        <w:pStyle w:val="4"/>
        <w:rPr>
          <w:rFonts w:cs="Times New Roman"/>
          <w:color w:val="0000FF"/>
        </w:rPr>
      </w:pPr>
      <w:r>
        <w:rPr>
          <w:rFonts w:hint="eastAsia" w:cs="Times New Roman"/>
          <w:color w:val="0000FF"/>
        </w:rPr>
        <w:t>9</w:t>
      </w:r>
      <w:r>
        <w:rPr>
          <w:rFonts w:cs="Times New Roman"/>
          <w:color w:val="0000FF"/>
        </w:rPr>
        <w:t>.1.6环境管理制度</w:t>
      </w:r>
    </w:p>
    <w:p w14:paraId="5537E636">
      <w:pPr>
        <w:ind w:firstLine="480"/>
        <w:rPr>
          <w:rFonts w:cs="Times New Roman"/>
          <w:color w:val="0000FF"/>
          <w:kern w:val="2"/>
        </w:rPr>
      </w:pPr>
      <w:r>
        <w:rPr>
          <w:rFonts w:cs="Times New Roman"/>
          <w:color w:val="0000FF"/>
          <w:kern w:val="2"/>
        </w:rPr>
        <w:t>（1）环境保护责任制</w:t>
      </w:r>
    </w:p>
    <w:p w14:paraId="1C36D459">
      <w:pPr>
        <w:ind w:firstLine="480"/>
        <w:rPr>
          <w:rFonts w:cs="Times New Roman"/>
          <w:color w:val="0000FF"/>
          <w:kern w:val="2"/>
        </w:rPr>
      </w:pPr>
      <w:r>
        <w:rPr>
          <w:rFonts w:cs="Times New Roman"/>
          <w:color w:val="0000FF"/>
          <w:kern w:val="2"/>
        </w:rPr>
        <w:t>在环境保护管理体系中，建立环境保护责任制，明确各环境管理机构的环境保护责任。</w:t>
      </w:r>
    </w:p>
    <w:p w14:paraId="4FEA96F7">
      <w:pPr>
        <w:ind w:firstLine="480"/>
        <w:rPr>
          <w:rFonts w:cs="Times New Roman"/>
          <w:color w:val="0000FF"/>
          <w:kern w:val="2"/>
        </w:rPr>
      </w:pPr>
      <w:r>
        <w:rPr>
          <w:rFonts w:cs="Times New Roman"/>
          <w:color w:val="0000FF"/>
          <w:kern w:val="2"/>
        </w:rPr>
        <w:t>（2）分级管理制度</w:t>
      </w:r>
    </w:p>
    <w:p w14:paraId="1268C338">
      <w:pPr>
        <w:ind w:firstLine="480"/>
        <w:rPr>
          <w:rFonts w:cs="Times New Roman"/>
          <w:color w:val="0000FF"/>
          <w:kern w:val="2"/>
        </w:rPr>
      </w:pPr>
      <w:r>
        <w:rPr>
          <w:rFonts w:cs="Times New Roman"/>
          <w:color w:val="0000FF"/>
          <w:kern w:val="2"/>
        </w:rPr>
        <w:t>建立环境保护责任制，将环境保护列入施工招标，在施工招标文件、承包合同中，明确污染防治设施与环境保护措施条款，由各施工承包单位负责组织实施，由环境监理部门负责定期检查，并将检查结果上报建设单位环境保护办公室及环境保护领导小组，并对检查中所发现的问题督促施工单位整改。</w:t>
      </w:r>
    </w:p>
    <w:p w14:paraId="28378E90">
      <w:pPr>
        <w:ind w:firstLine="480"/>
        <w:rPr>
          <w:rFonts w:cs="Times New Roman"/>
          <w:color w:val="0000FF"/>
          <w:kern w:val="2"/>
        </w:rPr>
      </w:pPr>
      <w:r>
        <w:rPr>
          <w:rFonts w:cs="Times New Roman"/>
          <w:color w:val="0000FF"/>
          <w:kern w:val="2"/>
        </w:rPr>
        <w:t>（3）监测和报告制度</w:t>
      </w:r>
    </w:p>
    <w:p w14:paraId="4776DBA1">
      <w:pPr>
        <w:ind w:firstLine="480"/>
        <w:rPr>
          <w:rFonts w:cs="Times New Roman"/>
          <w:color w:val="0000FF"/>
          <w:kern w:val="2"/>
        </w:rPr>
      </w:pPr>
      <w:r>
        <w:rPr>
          <w:rFonts w:cs="Times New Roman"/>
          <w:color w:val="0000FF"/>
          <w:kern w:val="2"/>
        </w:rPr>
        <w:t>环境监测是环境管理部门获取施工区环境质量信息的重要手段，是进行环境管理的主要依据。从节约经费开支和保证成果质量的角度出发，采用合同管理的方式，委托当地具备相应监测资质的单位，对工程施工区及周围的环境质量按环境监控计划要求进行定期监测。并对监测成果实行月报、年报和定期编制环境质量报告书以及年审的制度。同时，应根据环境质量监测成果，对环保措施进行相应调整，以确保环境质量符合国家所确定的标准和省、地市确定的功能区划要求。</w:t>
      </w:r>
    </w:p>
    <w:p w14:paraId="0B9E1F3F">
      <w:pPr>
        <w:ind w:firstLine="480"/>
        <w:rPr>
          <w:rFonts w:cs="Times New Roman"/>
          <w:color w:val="0000FF"/>
          <w:kern w:val="2"/>
        </w:rPr>
      </w:pPr>
      <w:r>
        <w:rPr>
          <w:rFonts w:cs="Times New Roman"/>
          <w:color w:val="0000FF"/>
          <w:kern w:val="2"/>
        </w:rPr>
        <w:t>（4）</w:t>
      </w:r>
      <w:r>
        <w:rPr>
          <w:rFonts w:hint="eastAsia" w:cs="Times New Roman"/>
          <w:color w:val="0000FF"/>
          <w:kern w:val="2"/>
        </w:rPr>
        <w:t>“</w:t>
      </w:r>
      <w:r>
        <w:rPr>
          <w:rFonts w:cs="Times New Roman"/>
          <w:color w:val="0000FF"/>
          <w:kern w:val="2"/>
        </w:rPr>
        <w:t>三同时</w:t>
      </w:r>
      <w:r>
        <w:rPr>
          <w:rFonts w:hint="eastAsia" w:cs="Times New Roman"/>
          <w:color w:val="0000FF"/>
          <w:kern w:val="2"/>
        </w:rPr>
        <w:t>”</w:t>
      </w:r>
      <w:r>
        <w:rPr>
          <w:rFonts w:cs="Times New Roman"/>
          <w:color w:val="0000FF"/>
          <w:kern w:val="2"/>
        </w:rPr>
        <w:t>验收制度</w:t>
      </w:r>
    </w:p>
    <w:p w14:paraId="644D42C8">
      <w:pPr>
        <w:ind w:firstLine="480"/>
        <w:rPr>
          <w:rFonts w:cs="Times New Roman"/>
          <w:color w:val="0000FF"/>
          <w:kern w:val="2"/>
        </w:rPr>
      </w:pPr>
      <w:r>
        <w:rPr>
          <w:rFonts w:cs="Times New Roman"/>
          <w:color w:val="0000FF"/>
          <w:kern w:val="2"/>
        </w:rPr>
        <w:t>根据《建设项目环境保护管理条例》，工程建设过程中的污染防治措施必须与主体工程同时设计、同时施工、同时投入运行。有关</w:t>
      </w:r>
      <w:r>
        <w:rPr>
          <w:rFonts w:hint="eastAsia" w:cs="Times New Roman"/>
          <w:color w:val="0000FF"/>
          <w:kern w:val="2"/>
        </w:rPr>
        <w:t>“</w:t>
      </w:r>
      <w:r>
        <w:rPr>
          <w:rFonts w:cs="Times New Roman"/>
          <w:color w:val="0000FF"/>
          <w:kern w:val="2"/>
        </w:rPr>
        <w:t>三同时</w:t>
      </w:r>
      <w:r>
        <w:rPr>
          <w:rFonts w:hint="eastAsia" w:cs="Times New Roman"/>
          <w:color w:val="0000FF"/>
          <w:kern w:val="2"/>
        </w:rPr>
        <w:t>”</w:t>
      </w:r>
      <w:r>
        <w:rPr>
          <w:rFonts w:cs="Times New Roman"/>
          <w:color w:val="0000FF"/>
          <w:kern w:val="2"/>
        </w:rPr>
        <w:t>项目必须按合同规定经有关部门验收合格后才能正式投入运行。防治污染的设施不得擅自拆除或闲置。</w:t>
      </w:r>
    </w:p>
    <w:p w14:paraId="68F37702">
      <w:pPr>
        <w:ind w:firstLine="480"/>
        <w:rPr>
          <w:rFonts w:cs="Times New Roman"/>
          <w:color w:val="0000FF"/>
          <w:kern w:val="2"/>
        </w:rPr>
      </w:pPr>
      <w:r>
        <w:rPr>
          <w:rFonts w:cs="Times New Roman"/>
          <w:color w:val="0000FF"/>
          <w:kern w:val="2"/>
        </w:rPr>
        <w:t>（5）制定对突发事故的处理措施</w:t>
      </w:r>
    </w:p>
    <w:p w14:paraId="786AD6C3">
      <w:pPr>
        <w:ind w:firstLine="480"/>
        <w:rPr>
          <w:rFonts w:cs="Times New Roman"/>
          <w:color w:val="0000FF"/>
          <w:kern w:val="2"/>
        </w:rPr>
      </w:pPr>
      <w:r>
        <w:rPr>
          <w:rFonts w:cs="Times New Roman"/>
          <w:color w:val="0000FF"/>
          <w:kern w:val="2"/>
        </w:rPr>
        <w:t>工程施工期间，如发生污染事故</w:t>
      </w:r>
      <w:r>
        <w:rPr>
          <w:rFonts w:hint="eastAsia" w:cs="Times New Roman"/>
          <w:color w:val="0000FF"/>
          <w:kern w:val="2"/>
        </w:rPr>
        <w:t>及其他</w:t>
      </w:r>
      <w:r>
        <w:rPr>
          <w:rFonts w:cs="Times New Roman"/>
          <w:color w:val="0000FF"/>
          <w:kern w:val="2"/>
        </w:rPr>
        <w:t>突发性环境事件，除应立即采取补救措施外，施工单位还要及时通报可能受到影响的地区和居民，并报建设单位环保部门与地方环境保护行政主管部门，接受调查处理。同时，要调查事故原因、责任单位和责任人，对有关单位和个人给予行政或经济处罚，触犯国家有关法律者，移交司法部门处理。并防止以后类似事故的发生。</w:t>
      </w:r>
    </w:p>
    <w:p w14:paraId="5EA2824B">
      <w:pPr>
        <w:ind w:firstLine="480"/>
        <w:rPr>
          <w:rFonts w:cs="Times New Roman"/>
          <w:color w:val="0000FF"/>
          <w:kern w:val="2"/>
        </w:rPr>
      </w:pPr>
      <w:r>
        <w:rPr>
          <w:rFonts w:cs="Times New Roman"/>
          <w:color w:val="0000FF"/>
          <w:kern w:val="2"/>
        </w:rPr>
        <w:t>（6）报告制度</w:t>
      </w:r>
    </w:p>
    <w:p w14:paraId="28800E1E">
      <w:pPr>
        <w:ind w:firstLine="480"/>
        <w:rPr>
          <w:rFonts w:cs="Times New Roman"/>
          <w:color w:val="0000FF"/>
          <w:kern w:val="2"/>
        </w:rPr>
      </w:pPr>
      <w:r>
        <w:rPr>
          <w:rFonts w:cs="Times New Roman"/>
          <w:color w:val="0000FF"/>
          <w:kern w:val="2"/>
        </w:rPr>
        <w:t>日常环境管理中所有要求、通报、整改通知及评议等，均采取书面文件或函件形式来往。施工承包商定期向工程建设环保管理办公室和环境监理部提交环境月、半年及年报，涉及环境保护各项内容的实施执行情况及所发生问题的改正方案和处理结果，阶段性总结。环境监理部定期向工程建设环保管理办公室报告施工区环境保护状况和监理工作进展，提交监理月、半年及年报。环境监测单位定期向工程建设环保管理办公室提交环境监测报告，环保管理办公室应委托有关技术单位对工程施工期进行环境评估，提出评估季报和年报。</w:t>
      </w:r>
    </w:p>
    <w:p w14:paraId="3BE104F9">
      <w:pPr>
        <w:pStyle w:val="4"/>
        <w:rPr>
          <w:rFonts w:cs="Times New Roman"/>
          <w:color w:val="0000FF"/>
        </w:rPr>
      </w:pPr>
      <w:r>
        <w:rPr>
          <w:rFonts w:hint="eastAsia" w:cs="Times New Roman"/>
          <w:color w:val="0000FF"/>
        </w:rPr>
        <w:t>9</w:t>
      </w:r>
      <w:r>
        <w:rPr>
          <w:rFonts w:cs="Times New Roman"/>
          <w:color w:val="0000FF"/>
        </w:rPr>
        <w:t>.1.7环保宣传和培训计划</w:t>
      </w:r>
    </w:p>
    <w:p w14:paraId="2F73BD46">
      <w:pPr>
        <w:ind w:firstLine="480"/>
        <w:rPr>
          <w:rFonts w:cs="Times New Roman"/>
          <w:color w:val="0000FF"/>
          <w:kern w:val="2"/>
        </w:rPr>
      </w:pPr>
      <w:r>
        <w:rPr>
          <w:rFonts w:cs="Times New Roman"/>
          <w:color w:val="0000FF"/>
          <w:kern w:val="2"/>
        </w:rPr>
        <w:t>为增强工程建设者（包括管理人员和施工人员）的环境保护意识，施工区环境保护办公室应经常采取广播、宣传栏、专题讲座等方法对工程建设者进行环境保护宣传，</w:t>
      </w:r>
      <w:r>
        <w:rPr>
          <w:rFonts w:hint="eastAsia" w:cs="Times New Roman"/>
          <w:color w:val="0000FF"/>
          <w:kern w:val="2"/>
        </w:rPr>
        <w:t>增强</w:t>
      </w:r>
      <w:r>
        <w:rPr>
          <w:rFonts w:cs="Times New Roman"/>
          <w:color w:val="0000FF"/>
          <w:kern w:val="2"/>
        </w:rPr>
        <w:t>环保意识，使每一个工程建设者都能自觉地参与环境保护工作，让环境保护从单纯的行政干预和法律约束变成人们的自觉行为。</w:t>
      </w:r>
    </w:p>
    <w:p w14:paraId="1F8D6BDF">
      <w:pPr>
        <w:ind w:firstLine="480"/>
        <w:rPr>
          <w:rFonts w:cs="Times New Roman"/>
          <w:color w:val="0000FF"/>
          <w:kern w:val="2"/>
        </w:rPr>
      </w:pPr>
      <w:r>
        <w:rPr>
          <w:rFonts w:cs="Times New Roman"/>
          <w:color w:val="0000FF"/>
          <w:kern w:val="2"/>
        </w:rPr>
        <w:t>对环境保护专业技术人员应定期邀请环保专家进行讲学、培训，同时组织考察学习，以提高其业务水平。</w:t>
      </w:r>
    </w:p>
    <w:p w14:paraId="6CBD8373">
      <w:pPr>
        <w:pStyle w:val="3"/>
        <w:rPr>
          <w:rFonts w:cs="Times New Roman"/>
          <w:color w:val="0000FF"/>
        </w:rPr>
      </w:pPr>
      <w:bookmarkStart w:id="93" w:name="_Toc31008"/>
      <w:r>
        <w:rPr>
          <w:rFonts w:hint="eastAsia" w:cs="Times New Roman"/>
          <w:color w:val="0000FF"/>
        </w:rPr>
        <w:t>9</w:t>
      </w:r>
      <w:r>
        <w:rPr>
          <w:rFonts w:cs="Times New Roman"/>
          <w:color w:val="0000FF"/>
        </w:rPr>
        <w:t>.2环境监测计划</w:t>
      </w:r>
      <w:bookmarkEnd w:id="93"/>
    </w:p>
    <w:p w14:paraId="40301B29">
      <w:pPr>
        <w:pStyle w:val="4"/>
        <w:rPr>
          <w:rFonts w:cs="Times New Roman"/>
          <w:color w:val="0000FF"/>
        </w:rPr>
      </w:pPr>
      <w:r>
        <w:rPr>
          <w:rFonts w:hint="eastAsia" w:cs="Times New Roman"/>
          <w:color w:val="0000FF"/>
        </w:rPr>
        <w:t>9</w:t>
      </w:r>
      <w:r>
        <w:rPr>
          <w:rFonts w:cs="Times New Roman"/>
          <w:color w:val="0000FF"/>
        </w:rPr>
        <w:t>.2.1环境监测的目的</w:t>
      </w:r>
    </w:p>
    <w:p w14:paraId="132DFE87">
      <w:pPr>
        <w:ind w:firstLine="480"/>
        <w:rPr>
          <w:rFonts w:cs="Times New Roman"/>
          <w:snapToGrid w:val="0"/>
          <w:color w:val="0000FF"/>
          <w:sz w:val="21"/>
        </w:rPr>
      </w:pPr>
      <w:r>
        <w:rPr>
          <w:rFonts w:cs="Times New Roman"/>
          <w:snapToGrid w:val="0"/>
          <w:color w:val="0000FF"/>
        </w:rPr>
        <w:t>为保证本评价提出的环保措施在施工期和营运期能有效减少污染物的排放，使整个受工程建设影响的区域符合本报告提出的环境质量标准，工程施工期和营运期必须执行本监测计划。通过实施环境监测计划，全面及时地掌握工程施工期和营运期环境状况，对可能发生的污染进行监测，为制定必要的污染控制措施提供依据。</w:t>
      </w:r>
    </w:p>
    <w:p w14:paraId="0F41F3A3">
      <w:pPr>
        <w:pStyle w:val="4"/>
        <w:rPr>
          <w:rFonts w:cs="Times New Roman"/>
          <w:color w:val="0000FF"/>
        </w:rPr>
      </w:pPr>
      <w:r>
        <w:rPr>
          <w:rFonts w:hint="eastAsia" w:cs="Times New Roman"/>
          <w:color w:val="0000FF"/>
        </w:rPr>
        <w:t>9</w:t>
      </w:r>
      <w:r>
        <w:rPr>
          <w:rFonts w:cs="Times New Roman"/>
          <w:color w:val="0000FF"/>
        </w:rPr>
        <w:t>.2.2环境监测计划</w:t>
      </w:r>
    </w:p>
    <w:p w14:paraId="27EA2D50">
      <w:pPr>
        <w:ind w:firstLine="480"/>
        <w:rPr>
          <w:rFonts w:cs="Times New Roman"/>
          <w:snapToGrid w:val="0"/>
          <w:color w:val="0000FF"/>
        </w:rPr>
      </w:pPr>
      <w:r>
        <w:rPr>
          <w:rFonts w:cs="Times New Roman"/>
          <w:snapToGrid w:val="0"/>
          <w:color w:val="0000FF"/>
        </w:rPr>
        <w:t>采取定时和不定时抽检相结合的方式进行定点和流动监测，监测重点为生态、水、大气、声环境，监测计划见表</w:t>
      </w:r>
      <w:r>
        <w:rPr>
          <w:rFonts w:hint="eastAsia" w:cs="Times New Roman"/>
          <w:snapToGrid w:val="0"/>
          <w:color w:val="0000FF"/>
        </w:rPr>
        <w:t>9-</w:t>
      </w:r>
      <w:r>
        <w:rPr>
          <w:rFonts w:cs="Times New Roman"/>
          <w:snapToGrid w:val="0"/>
          <w:color w:val="0000FF"/>
        </w:rPr>
        <w:t>2-1。监测计划由符合国家环境质量监测认证资质的单位承担。</w:t>
      </w:r>
    </w:p>
    <w:p w14:paraId="0B513772">
      <w:pPr>
        <w:ind w:firstLine="480"/>
        <w:rPr>
          <w:rFonts w:cs="Times New Roman"/>
          <w:color w:val="0000FF"/>
        </w:rPr>
        <w:sectPr>
          <w:pgSz w:w="11905" w:h="16838"/>
          <w:pgMar w:top="1417" w:right="1417" w:bottom="1417" w:left="1417" w:header="850" w:footer="850" w:gutter="0"/>
          <w:pgNumType w:fmt="decimal"/>
          <w:cols w:space="0" w:num="1"/>
          <w:rtlGutter w:val="0"/>
          <w:docGrid w:linePitch="326" w:charSpace="0"/>
        </w:sectPr>
      </w:pPr>
    </w:p>
    <w:p w14:paraId="6F3197EA">
      <w:pPr>
        <w:rPr>
          <w:rFonts w:cs="Times New Roman"/>
          <w:color w:val="0000FF"/>
        </w:rPr>
      </w:pPr>
      <w:r>
        <w:rPr>
          <w:rFonts w:cs="Times New Roman"/>
          <w:color w:val="0000FF"/>
        </w:rPr>
        <w:t>表</w:t>
      </w:r>
      <w:r>
        <w:rPr>
          <w:rFonts w:hint="eastAsia" w:cs="Times New Roman"/>
          <w:color w:val="0000FF"/>
        </w:rPr>
        <w:t>9</w:t>
      </w:r>
      <w:r>
        <w:rPr>
          <w:rFonts w:cs="Times New Roman"/>
          <w:color w:val="0000FF"/>
        </w:rPr>
        <w:t>-2-1环境监测计划</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636"/>
        <w:gridCol w:w="5685"/>
        <w:gridCol w:w="1337"/>
        <w:gridCol w:w="1203"/>
      </w:tblGrid>
      <w:tr w14:paraId="256AD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Align w:val="center"/>
          </w:tcPr>
          <w:p w14:paraId="10BAA743">
            <w:pPr>
              <w:pStyle w:val="28"/>
              <w:bidi w:val="0"/>
            </w:pPr>
            <w:r>
              <w:t>时段</w:t>
            </w:r>
          </w:p>
        </w:tc>
        <w:tc>
          <w:tcPr>
            <w:tcW w:w="330" w:type="pct"/>
            <w:vAlign w:val="center"/>
          </w:tcPr>
          <w:p w14:paraId="178BED00">
            <w:pPr>
              <w:pStyle w:val="28"/>
              <w:bidi w:val="0"/>
            </w:pPr>
            <w:r>
              <w:t>类别</w:t>
            </w:r>
          </w:p>
        </w:tc>
        <w:tc>
          <w:tcPr>
            <w:tcW w:w="3064" w:type="pct"/>
            <w:vAlign w:val="center"/>
          </w:tcPr>
          <w:p w14:paraId="289CC028">
            <w:pPr>
              <w:pStyle w:val="28"/>
              <w:bidi w:val="0"/>
            </w:pPr>
            <w:r>
              <w:t>监测点位置</w:t>
            </w:r>
          </w:p>
        </w:tc>
        <w:tc>
          <w:tcPr>
            <w:tcW w:w="723" w:type="pct"/>
            <w:vAlign w:val="center"/>
          </w:tcPr>
          <w:p w14:paraId="3D5DA6BB">
            <w:pPr>
              <w:pStyle w:val="28"/>
              <w:bidi w:val="0"/>
            </w:pPr>
            <w:r>
              <w:t>监测项目</w:t>
            </w:r>
          </w:p>
        </w:tc>
        <w:tc>
          <w:tcPr>
            <w:tcW w:w="650" w:type="pct"/>
            <w:vAlign w:val="center"/>
          </w:tcPr>
          <w:p w14:paraId="7655D9B3">
            <w:pPr>
              <w:pStyle w:val="28"/>
              <w:bidi w:val="0"/>
            </w:pPr>
            <w:r>
              <w:t>监测频次及历时</w:t>
            </w:r>
          </w:p>
        </w:tc>
      </w:tr>
      <w:tr w14:paraId="3AD44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restart"/>
            <w:vAlign w:val="center"/>
          </w:tcPr>
          <w:p w14:paraId="579A24D4">
            <w:pPr>
              <w:pStyle w:val="28"/>
              <w:bidi w:val="0"/>
            </w:pPr>
            <w:r>
              <w:t>施</w:t>
            </w:r>
          </w:p>
          <w:p w14:paraId="56B50B6E">
            <w:pPr>
              <w:pStyle w:val="28"/>
              <w:bidi w:val="0"/>
            </w:pPr>
            <w:r>
              <w:t>工</w:t>
            </w:r>
          </w:p>
          <w:p w14:paraId="69BCDF44">
            <w:pPr>
              <w:pStyle w:val="28"/>
              <w:bidi w:val="0"/>
            </w:pPr>
            <w:r>
              <w:t>期</w:t>
            </w:r>
          </w:p>
          <w:p w14:paraId="4A44CF33">
            <w:pPr>
              <w:pStyle w:val="28"/>
              <w:bidi w:val="0"/>
            </w:pPr>
          </w:p>
        </w:tc>
        <w:tc>
          <w:tcPr>
            <w:tcW w:w="330" w:type="pct"/>
            <w:vMerge w:val="restart"/>
            <w:vAlign w:val="center"/>
          </w:tcPr>
          <w:p w14:paraId="5D452282">
            <w:pPr>
              <w:pStyle w:val="28"/>
              <w:bidi w:val="0"/>
            </w:pPr>
            <w:r>
              <w:t>地表水环境</w:t>
            </w:r>
          </w:p>
        </w:tc>
        <w:tc>
          <w:tcPr>
            <w:tcW w:w="3064" w:type="pct"/>
            <w:vAlign w:val="center"/>
          </w:tcPr>
          <w:p w14:paraId="7E9F64B7">
            <w:pPr>
              <w:pStyle w:val="28"/>
              <w:bidi w:val="0"/>
            </w:pPr>
            <w:r>
              <w:t>苏埠镇饮用水水源取水口、裕安青山乡饮用水水源取水口、六安市一水厂饮用水水源取水口、东城水厂饮用水水源取水口、千人桥上阳自来水厂取水口、千人桥自来水厂取水口、高塘镇自来水厂饮用水水源取水口、马店镇自来水厂饮用水水源取水口、乌龙镇陈楼自来水厂饮用水水源取水口、董铺水库合肥市饮用水水源取水口、大房郢水库合肥市饮用水水源取水口、肥东县众兴水库饮用水水源保护区取水口、果园山水库饮用水水源取水口、众兴、茶庵镇饮用水水源取水口、安丰塘饮用水水源取水口、安丰塘备用饮用水水源取水口、小甸镇饮用水水源取水口，共18个监测点</w:t>
            </w:r>
          </w:p>
        </w:tc>
        <w:tc>
          <w:tcPr>
            <w:tcW w:w="723" w:type="pct"/>
            <w:vMerge w:val="restart"/>
            <w:vAlign w:val="center"/>
          </w:tcPr>
          <w:p w14:paraId="4436E146">
            <w:pPr>
              <w:pStyle w:val="28"/>
              <w:bidi w:val="0"/>
            </w:pPr>
            <w:r>
              <w:t>水温、pH、DO、高锰酸盐指数、SS、CODCr、BOD5、NH3-N、TP、石油类，共监测11项</w:t>
            </w:r>
          </w:p>
        </w:tc>
        <w:tc>
          <w:tcPr>
            <w:tcW w:w="650" w:type="pct"/>
            <w:vMerge w:val="restart"/>
            <w:vAlign w:val="center"/>
          </w:tcPr>
          <w:p w14:paraId="0C74AD3D">
            <w:pPr>
              <w:pStyle w:val="28"/>
              <w:bidi w:val="0"/>
            </w:pPr>
            <w:r>
              <w:t>春、秋、冬季度监测1次，连续监测2天，每天1次，夏季汛期不监测；连续监测1年，施工期总计监测86点•次</w:t>
            </w:r>
          </w:p>
        </w:tc>
      </w:tr>
      <w:tr w14:paraId="44103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4CFB54A5">
            <w:pPr>
              <w:pStyle w:val="28"/>
              <w:bidi w:val="0"/>
            </w:pPr>
          </w:p>
        </w:tc>
        <w:tc>
          <w:tcPr>
            <w:tcW w:w="330" w:type="pct"/>
            <w:vMerge w:val="continue"/>
            <w:vAlign w:val="center"/>
          </w:tcPr>
          <w:p w14:paraId="0187198D">
            <w:pPr>
              <w:pStyle w:val="28"/>
              <w:bidi w:val="0"/>
            </w:pPr>
          </w:p>
        </w:tc>
        <w:tc>
          <w:tcPr>
            <w:tcW w:w="3064" w:type="pct"/>
            <w:vAlign w:val="center"/>
          </w:tcPr>
          <w:p w14:paraId="67ACCA1C">
            <w:pPr>
              <w:pStyle w:val="28"/>
              <w:bidi w:val="0"/>
            </w:pPr>
            <w:r>
              <w:t>油坊水库、刘井水库、溜山水库、孙大姥水库、红遍水库、王大塘水库、高场水库、九里冲水库、东店水库、蔡楼水库、霍湾水库、泉河、龙潭河，共13个监测点</w:t>
            </w:r>
          </w:p>
        </w:tc>
        <w:tc>
          <w:tcPr>
            <w:tcW w:w="723" w:type="pct"/>
            <w:vMerge w:val="continue"/>
            <w:vAlign w:val="center"/>
          </w:tcPr>
          <w:p w14:paraId="7A694543">
            <w:pPr>
              <w:pStyle w:val="28"/>
              <w:bidi w:val="0"/>
            </w:pPr>
          </w:p>
        </w:tc>
        <w:tc>
          <w:tcPr>
            <w:tcW w:w="650" w:type="pct"/>
            <w:vMerge w:val="continue"/>
            <w:vAlign w:val="center"/>
          </w:tcPr>
          <w:p w14:paraId="6DE87AE2">
            <w:pPr>
              <w:pStyle w:val="28"/>
              <w:bidi w:val="0"/>
            </w:pPr>
          </w:p>
        </w:tc>
      </w:tr>
      <w:tr w14:paraId="27186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08760274">
            <w:pPr>
              <w:pStyle w:val="28"/>
              <w:bidi w:val="0"/>
            </w:pPr>
          </w:p>
        </w:tc>
        <w:tc>
          <w:tcPr>
            <w:tcW w:w="330" w:type="pct"/>
            <w:vMerge w:val="continue"/>
            <w:vAlign w:val="center"/>
          </w:tcPr>
          <w:p w14:paraId="177AE768">
            <w:pPr>
              <w:pStyle w:val="28"/>
              <w:bidi w:val="0"/>
            </w:pPr>
          </w:p>
        </w:tc>
        <w:tc>
          <w:tcPr>
            <w:tcW w:w="3064" w:type="pct"/>
            <w:vAlign w:val="center"/>
          </w:tcPr>
          <w:p w14:paraId="14EC570C">
            <w:pPr>
              <w:pStyle w:val="28"/>
              <w:bidi w:val="0"/>
            </w:pPr>
            <w:r>
              <w:t>乌斗支渠与沣西干渠交汇点、乌斗支渠与福星支渠交汇点、</w:t>
            </w:r>
          </w:p>
          <w:p w14:paraId="3BD9EB32">
            <w:pPr>
              <w:pStyle w:val="28"/>
              <w:bidi w:val="0"/>
            </w:pPr>
            <w:r>
              <w:t>姚李支渠与红星支渠交汇点、胜天支渠与沣西干渠交汇点、义和支渠与庐南分干渠交汇点、袁店支渠与庐南分干渠交汇点、马田支渠与舒庐干渠交汇点、淠东干渠与正阳分干渠交汇点（老龙头节制闸加固工程）、双庙支渠与瓦东干渠交汇点、东风支渠与杨西分干渠交汇点，共10个监测点</w:t>
            </w:r>
          </w:p>
        </w:tc>
        <w:tc>
          <w:tcPr>
            <w:tcW w:w="723" w:type="pct"/>
            <w:vMerge w:val="continue"/>
            <w:vAlign w:val="center"/>
          </w:tcPr>
          <w:p w14:paraId="57A7CA5B">
            <w:pPr>
              <w:pStyle w:val="28"/>
              <w:bidi w:val="0"/>
            </w:pPr>
          </w:p>
        </w:tc>
        <w:tc>
          <w:tcPr>
            <w:tcW w:w="650" w:type="pct"/>
            <w:vMerge w:val="continue"/>
            <w:vAlign w:val="center"/>
          </w:tcPr>
          <w:p w14:paraId="632DFAAB">
            <w:pPr>
              <w:pStyle w:val="28"/>
              <w:bidi w:val="0"/>
            </w:pPr>
          </w:p>
        </w:tc>
      </w:tr>
      <w:tr w14:paraId="35B64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7754D54F">
            <w:pPr>
              <w:pStyle w:val="28"/>
              <w:bidi w:val="0"/>
            </w:pPr>
          </w:p>
        </w:tc>
        <w:tc>
          <w:tcPr>
            <w:tcW w:w="330" w:type="pct"/>
            <w:vMerge w:val="continue"/>
            <w:vAlign w:val="center"/>
          </w:tcPr>
          <w:p w14:paraId="20D1A558">
            <w:pPr>
              <w:pStyle w:val="28"/>
              <w:bidi w:val="0"/>
            </w:pPr>
          </w:p>
        </w:tc>
        <w:tc>
          <w:tcPr>
            <w:tcW w:w="3064" w:type="pct"/>
            <w:vAlign w:val="center"/>
          </w:tcPr>
          <w:p w14:paraId="65DAF82F">
            <w:pPr>
              <w:pStyle w:val="28"/>
              <w:bidi w:val="0"/>
            </w:pPr>
            <w:r>
              <w:t>淠河总干渠上段工程：桩号21+391~21+624滑坡治理段设置1个监测点</w:t>
            </w:r>
          </w:p>
        </w:tc>
        <w:tc>
          <w:tcPr>
            <w:tcW w:w="723" w:type="pct"/>
            <w:vMerge w:val="continue"/>
            <w:vAlign w:val="center"/>
          </w:tcPr>
          <w:p w14:paraId="6E248FFD">
            <w:pPr>
              <w:pStyle w:val="28"/>
              <w:bidi w:val="0"/>
            </w:pPr>
          </w:p>
        </w:tc>
        <w:tc>
          <w:tcPr>
            <w:tcW w:w="650" w:type="pct"/>
            <w:vMerge w:val="continue"/>
            <w:vAlign w:val="center"/>
          </w:tcPr>
          <w:p w14:paraId="5C34902D">
            <w:pPr>
              <w:pStyle w:val="28"/>
              <w:bidi w:val="0"/>
            </w:pPr>
          </w:p>
        </w:tc>
      </w:tr>
      <w:tr w14:paraId="55AA09BB">
        <w:tblPrEx>
          <w:tblCellMar>
            <w:top w:w="0" w:type="dxa"/>
            <w:left w:w="108" w:type="dxa"/>
            <w:bottom w:w="0" w:type="dxa"/>
            <w:right w:w="108" w:type="dxa"/>
          </w:tblCellMar>
        </w:tblPrEx>
        <w:trPr>
          <w:trHeight w:val="340" w:hRule="atLeast"/>
        </w:trPr>
        <w:tc>
          <w:tcPr>
            <w:tcW w:w="231" w:type="pct"/>
            <w:vMerge w:val="continue"/>
            <w:vAlign w:val="center"/>
          </w:tcPr>
          <w:p w14:paraId="794366D9">
            <w:pPr>
              <w:pStyle w:val="28"/>
              <w:bidi w:val="0"/>
            </w:pPr>
          </w:p>
        </w:tc>
        <w:tc>
          <w:tcPr>
            <w:tcW w:w="330" w:type="pct"/>
            <w:vMerge w:val="continue"/>
            <w:vAlign w:val="center"/>
          </w:tcPr>
          <w:p w14:paraId="45F63640">
            <w:pPr>
              <w:pStyle w:val="28"/>
              <w:bidi w:val="0"/>
            </w:pPr>
          </w:p>
        </w:tc>
        <w:tc>
          <w:tcPr>
            <w:tcW w:w="3064" w:type="pct"/>
            <w:vAlign w:val="center"/>
          </w:tcPr>
          <w:p w14:paraId="5FE3A095">
            <w:pPr>
              <w:pStyle w:val="28"/>
              <w:bidi w:val="0"/>
            </w:pPr>
            <w:r>
              <w:t>樊通桥渠下涵工程：樊通桥渠下涵上游500m处、下游500m处，共2个监测点</w:t>
            </w:r>
          </w:p>
        </w:tc>
        <w:tc>
          <w:tcPr>
            <w:tcW w:w="723" w:type="pct"/>
            <w:vMerge w:val="continue"/>
            <w:vAlign w:val="center"/>
          </w:tcPr>
          <w:p w14:paraId="1F32E81E">
            <w:pPr>
              <w:pStyle w:val="28"/>
              <w:bidi w:val="0"/>
            </w:pPr>
          </w:p>
        </w:tc>
        <w:tc>
          <w:tcPr>
            <w:tcW w:w="650" w:type="pct"/>
            <w:vMerge w:val="continue"/>
            <w:vAlign w:val="center"/>
          </w:tcPr>
          <w:p w14:paraId="39D6F0AA">
            <w:pPr>
              <w:pStyle w:val="28"/>
              <w:bidi w:val="0"/>
            </w:pPr>
          </w:p>
        </w:tc>
      </w:tr>
      <w:tr w14:paraId="097E7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0E544746">
            <w:pPr>
              <w:pStyle w:val="28"/>
              <w:bidi w:val="0"/>
            </w:pPr>
          </w:p>
        </w:tc>
        <w:tc>
          <w:tcPr>
            <w:tcW w:w="330" w:type="pct"/>
            <w:vMerge w:val="continue"/>
            <w:vAlign w:val="center"/>
          </w:tcPr>
          <w:p w14:paraId="5F90565C">
            <w:pPr>
              <w:pStyle w:val="28"/>
              <w:bidi w:val="0"/>
            </w:pPr>
          </w:p>
        </w:tc>
        <w:tc>
          <w:tcPr>
            <w:tcW w:w="3064" w:type="pct"/>
            <w:vAlign w:val="center"/>
          </w:tcPr>
          <w:p w14:paraId="37C358C6">
            <w:pPr>
              <w:pStyle w:val="28"/>
              <w:bidi w:val="0"/>
            </w:pPr>
            <w:r>
              <w:t>淠河总干渠下段工程：桩号（94+489～94+695）右岸切岭段整治设置1个监测点、三叉冲泄水闸下游500米处设置1个监测点，共2个监测点</w:t>
            </w:r>
          </w:p>
        </w:tc>
        <w:tc>
          <w:tcPr>
            <w:tcW w:w="723" w:type="pct"/>
            <w:vMerge w:val="continue"/>
            <w:vAlign w:val="center"/>
          </w:tcPr>
          <w:p w14:paraId="5F204C37">
            <w:pPr>
              <w:pStyle w:val="28"/>
              <w:bidi w:val="0"/>
            </w:pPr>
          </w:p>
        </w:tc>
        <w:tc>
          <w:tcPr>
            <w:tcW w:w="650" w:type="pct"/>
            <w:vMerge w:val="continue"/>
            <w:vAlign w:val="center"/>
          </w:tcPr>
          <w:p w14:paraId="7FFAD423">
            <w:pPr>
              <w:pStyle w:val="28"/>
              <w:bidi w:val="0"/>
            </w:pPr>
          </w:p>
        </w:tc>
      </w:tr>
      <w:tr w14:paraId="752A1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31BA4A94">
            <w:pPr>
              <w:pStyle w:val="28"/>
              <w:bidi w:val="0"/>
            </w:pPr>
          </w:p>
        </w:tc>
        <w:tc>
          <w:tcPr>
            <w:tcW w:w="330" w:type="pct"/>
            <w:vMerge w:val="continue"/>
            <w:vAlign w:val="center"/>
          </w:tcPr>
          <w:p w14:paraId="20CD70B7">
            <w:pPr>
              <w:pStyle w:val="28"/>
              <w:bidi w:val="0"/>
            </w:pPr>
          </w:p>
        </w:tc>
        <w:tc>
          <w:tcPr>
            <w:tcW w:w="3064" w:type="pct"/>
            <w:vAlign w:val="center"/>
          </w:tcPr>
          <w:p w14:paraId="357B0FB4">
            <w:pPr>
              <w:pStyle w:val="28"/>
              <w:bidi w:val="0"/>
            </w:pPr>
            <w:r>
              <w:t>聚星渡槽工程：聚星渡槽上、下游500m处各设置1个监测点</w:t>
            </w:r>
          </w:p>
        </w:tc>
        <w:tc>
          <w:tcPr>
            <w:tcW w:w="723" w:type="pct"/>
            <w:vMerge w:val="continue"/>
            <w:vAlign w:val="center"/>
          </w:tcPr>
          <w:p w14:paraId="1218A43E">
            <w:pPr>
              <w:pStyle w:val="28"/>
              <w:bidi w:val="0"/>
            </w:pPr>
          </w:p>
        </w:tc>
        <w:tc>
          <w:tcPr>
            <w:tcW w:w="650" w:type="pct"/>
            <w:vMerge w:val="continue"/>
            <w:vAlign w:val="center"/>
          </w:tcPr>
          <w:p w14:paraId="091EB669">
            <w:pPr>
              <w:pStyle w:val="28"/>
              <w:bidi w:val="0"/>
            </w:pPr>
          </w:p>
        </w:tc>
      </w:tr>
      <w:tr w14:paraId="7299A6C3">
        <w:tblPrEx>
          <w:tblCellMar>
            <w:top w:w="0" w:type="dxa"/>
            <w:left w:w="108" w:type="dxa"/>
            <w:bottom w:w="0" w:type="dxa"/>
            <w:right w:w="108" w:type="dxa"/>
          </w:tblCellMar>
        </w:tblPrEx>
        <w:trPr>
          <w:trHeight w:val="340" w:hRule="atLeast"/>
        </w:trPr>
        <w:tc>
          <w:tcPr>
            <w:tcW w:w="231" w:type="pct"/>
            <w:vMerge w:val="continue"/>
            <w:vAlign w:val="center"/>
          </w:tcPr>
          <w:p w14:paraId="3FFB80FC">
            <w:pPr>
              <w:pStyle w:val="28"/>
              <w:bidi w:val="0"/>
            </w:pPr>
          </w:p>
        </w:tc>
        <w:tc>
          <w:tcPr>
            <w:tcW w:w="330" w:type="pct"/>
            <w:vMerge w:val="continue"/>
            <w:vAlign w:val="center"/>
          </w:tcPr>
          <w:p w14:paraId="73112DF4">
            <w:pPr>
              <w:pStyle w:val="28"/>
              <w:bidi w:val="0"/>
            </w:pPr>
          </w:p>
        </w:tc>
        <w:tc>
          <w:tcPr>
            <w:tcW w:w="3064" w:type="pct"/>
            <w:vAlign w:val="center"/>
          </w:tcPr>
          <w:p w14:paraId="63B93D16">
            <w:pPr>
              <w:pStyle w:val="28"/>
              <w:bidi w:val="0"/>
            </w:pPr>
            <w:r>
              <w:t>滁河干渠总局直管段工程：桩号6+232～6+242右岸滑坡治理段设置1个监测点</w:t>
            </w:r>
          </w:p>
        </w:tc>
        <w:tc>
          <w:tcPr>
            <w:tcW w:w="723" w:type="pct"/>
            <w:vMerge w:val="continue"/>
            <w:vAlign w:val="center"/>
          </w:tcPr>
          <w:p w14:paraId="111DCEB3">
            <w:pPr>
              <w:pStyle w:val="28"/>
              <w:bidi w:val="0"/>
            </w:pPr>
          </w:p>
        </w:tc>
        <w:tc>
          <w:tcPr>
            <w:tcW w:w="650" w:type="pct"/>
            <w:vMerge w:val="continue"/>
            <w:vAlign w:val="center"/>
          </w:tcPr>
          <w:p w14:paraId="072A9678">
            <w:pPr>
              <w:pStyle w:val="28"/>
              <w:bidi w:val="0"/>
            </w:pPr>
          </w:p>
        </w:tc>
      </w:tr>
      <w:tr w14:paraId="0E18D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2E47BF5D">
            <w:pPr>
              <w:pStyle w:val="28"/>
              <w:bidi w:val="0"/>
            </w:pPr>
          </w:p>
        </w:tc>
        <w:tc>
          <w:tcPr>
            <w:tcW w:w="330" w:type="pct"/>
            <w:vMerge w:val="continue"/>
            <w:vAlign w:val="center"/>
          </w:tcPr>
          <w:p w14:paraId="3EA6AC3A">
            <w:pPr>
              <w:pStyle w:val="28"/>
              <w:bidi w:val="0"/>
            </w:pPr>
          </w:p>
        </w:tc>
        <w:tc>
          <w:tcPr>
            <w:tcW w:w="3064" w:type="pct"/>
            <w:vAlign w:val="center"/>
          </w:tcPr>
          <w:p w14:paraId="5687A15B">
            <w:pPr>
              <w:pStyle w:val="28"/>
              <w:bidi w:val="0"/>
            </w:pPr>
            <w:r>
              <w:t>滁河干渠6座渠下涵工程：王大塘渠下涵下游500米处设置1个监测点、谭岗渠下涵下游500米处设置1个监测点，共设置2个监测点</w:t>
            </w:r>
          </w:p>
        </w:tc>
        <w:tc>
          <w:tcPr>
            <w:tcW w:w="723" w:type="pct"/>
            <w:vMerge w:val="continue"/>
            <w:vAlign w:val="center"/>
          </w:tcPr>
          <w:p w14:paraId="0E03A228">
            <w:pPr>
              <w:pStyle w:val="28"/>
              <w:bidi w:val="0"/>
            </w:pPr>
          </w:p>
        </w:tc>
        <w:tc>
          <w:tcPr>
            <w:tcW w:w="650" w:type="pct"/>
            <w:vMerge w:val="continue"/>
            <w:vAlign w:val="center"/>
          </w:tcPr>
          <w:p w14:paraId="20360099">
            <w:pPr>
              <w:pStyle w:val="28"/>
              <w:bidi w:val="0"/>
            </w:pPr>
          </w:p>
        </w:tc>
      </w:tr>
      <w:tr w14:paraId="54C00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7EF6E5E0">
            <w:pPr>
              <w:pStyle w:val="28"/>
              <w:bidi w:val="0"/>
            </w:pPr>
          </w:p>
        </w:tc>
        <w:tc>
          <w:tcPr>
            <w:tcW w:w="330" w:type="pct"/>
            <w:vMerge w:val="continue"/>
            <w:vAlign w:val="center"/>
          </w:tcPr>
          <w:p w14:paraId="1C475FC4">
            <w:pPr>
              <w:pStyle w:val="28"/>
              <w:bidi w:val="0"/>
            </w:pPr>
          </w:p>
        </w:tc>
        <w:tc>
          <w:tcPr>
            <w:tcW w:w="3064" w:type="pct"/>
            <w:vAlign w:val="center"/>
          </w:tcPr>
          <w:p w14:paraId="466B6FB0">
            <w:pPr>
              <w:pStyle w:val="28"/>
              <w:bidi w:val="0"/>
            </w:pPr>
            <w:r>
              <w:t>淠杭干渠渠系建筑物工程：右岸12+492-12+784滑坡治理段设置1个监测点</w:t>
            </w:r>
          </w:p>
        </w:tc>
        <w:tc>
          <w:tcPr>
            <w:tcW w:w="723" w:type="pct"/>
            <w:vMerge w:val="continue"/>
            <w:vAlign w:val="center"/>
          </w:tcPr>
          <w:p w14:paraId="1F67D0D7">
            <w:pPr>
              <w:pStyle w:val="28"/>
              <w:bidi w:val="0"/>
            </w:pPr>
          </w:p>
        </w:tc>
        <w:tc>
          <w:tcPr>
            <w:tcW w:w="650" w:type="pct"/>
            <w:vMerge w:val="continue"/>
            <w:vAlign w:val="center"/>
          </w:tcPr>
          <w:p w14:paraId="275CDF44">
            <w:pPr>
              <w:pStyle w:val="28"/>
              <w:bidi w:val="0"/>
            </w:pPr>
          </w:p>
        </w:tc>
      </w:tr>
      <w:tr w14:paraId="385C7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18DE0D9F">
            <w:pPr>
              <w:pStyle w:val="28"/>
              <w:bidi w:val="0"/>
            </w:pPr>
          </w:p>
        </w:tc>
        <w:tc>
          <w:tcPr>
            <w:tcW w:w="330" w:type="pct"/>
            <w:vMerge w:val="continue"/>
            <w:vAlign w:val="center"/>
          </w:tcPr>
          <w:p w14:paraId="099A9A07">
            <w:pPr>
              <w:pStyle w:val="28"/>
              <w:bidi w:val="0"/>
            </w:pPr>
          </w:p>
        </w:tc>
        <w:tc>
          <w:tcPr>
            <w:tcW w:w="3064" w:type="pct"/>
            <w:vAlign w:val="center"/>
          </w:tcPr>
          <w:p w14:paraId="1D8D5381">
            <w:pPr>
              <w:pStyle w:val="28"/>
              <w:bidi w:val="0"/>
            </w:pPr>
            <w:r>
              <w:t>淠东干渠工程：桩号78+640～86+890渠道清淤段设置1个监测点、桩号36+445～36+550填塘固基工程段设置1个监测点，共设置2个监测点</w:t>
            </w:r>
          </w:p>
        </w:tc>
        <w:tc>
          <w:tcPr>
            <w:tcW w:w="723" w:type="pct"/>
            <w:vMerge w:val="continue"/>
            <w:vAlign w:val="center"/>
          </w:tcPr>
          <w:p w14:paraId="1E9F080C">
            <w:pPr>
              <w:pStyle w:val="28"/>
              <w:bidi w:val="0"/>
            </w:pPr>
          </w:p>
        </w:tc>
        <w:tc>
          <w:tcPr>
            <w:tcW w:w="650" w:type="pct"/>
            <w:vMerge w:val="continue"/>
            <w:vAlign w:val="center"/>
          </w:tcPr>
          <w:p w14:paraId="32E72D30">
            <w:pPr>
              <w:pStyle w:val="28"/>
              <w:bidi w:val="0"/>
            </w:pPr>
          </w:p>
        </w:tc>
      </w:tr>
      <w:tr w14:paraId="62A2C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20A58142">
            <w:pPr>
              <w:pStyle w:val="28"/>
              <w:bidi w:val="0"/>
            </w:pPr>
          </w:p>
        </w:tc>
        <w:tc>
          <w:tcPr>
            <w:tcW w:w="330" w:type="pct"/>
            <w:vMerge w:val="continue"/>
            <w:vAlign w:val="center"/>
          </w:tcPr>
          <w:p w14:paraId="7696829A">
            <w:pPr>
              <w:pStyle w:val="28"/>
              <w:bidi w:val="0"/>
            </w:pPr>
          </w:p>
        </w:tc>
        <w:tc>
          <w:tcPr>
            <w:tcW w:w="3064" w:type="pct"/>
            <w:vAlign w:val="center"/>
          </w:tcPr>
          <w:p w14:paraId="78CED7EB">
            <w:pPr>
              <w:pStyle w:val="28"/>
              <w:bidi w:val="0"/>
            </w:pPr>
            <w:r>
              <w:t>瓦西干渠工程：15+000~16+000渠底衬砌段设置1个监测点</w:t>
            </w:r>
          </w:p>
        </w:tc>
        <w:tc>
          <w:tcPr>
            <w:tcW w:w="723" w:type="pct"/>
            <w:vMerge w:val="continue"/>
            <w:vAlign w:val="center"/>
          </w:tcPr>
          <w:p w14:paraId="53370770">
            <w:pPr>
              <w:pStyle w:val="28"/>
              <w:bidi w:val="0"/>
            </w:pPr>
          </w:p>
        </w:tc>
        <w:tc>
          <w:tcPr>
            <w:tcW w:w="650" w:type="pct"/>
            <w:vMerge w:val="continue"/>
            <w:vAlign w:val="center"/>
          </w:tcPr>
          <w:p w14:paraId="783A9CCF">
            <w:pPr>
              <w:pStyle w:val="28"/>
              <w:bidi w:val="0"/>
            </w:pPr>
          </w:p>
        </w:tc>
      </w:tr>
      <w:tr w14:paraId="0F01F54B">
        <w:tblPrEx>
          <w:tblCellMar>
            <w:top w:w="0" w:type="dxa"/>
            <w:left w:w="108" w:type="dxa"/>
            <w:bottom w:w="0" w:type="dxa"/>
            <w:right w:w="108" w:type="dxa"/>
          </w:tblCellMar>
        </w:tblPrEx>
        <w:trPr>
          <w:trHeight w:val="340" w:hRule="atLeast"/>
        </w:trPr>
        <w:tc>
          <w:tcPr>
            <w:tcW w:w="231" w:type="pct"/>
            <w:vMerge w:val="continue"/>
            <w:vAlign w:val="center"/>
          </w:tcPr>
          <w:p w14:paraId="555A2CF5">
            <w:pPr>
              <w:pStyle w:val="28"/>
              <w:bidi w:val="0"/>
            </w:pPr>
          </w:p>
        </w:tc>
        <w:tc>
          <w:tcPr>
            <w:tcW w:w="330" w:type="pct"/>
            <w:vMerge w:val="continue"/>
            <w:vAlign w:val="center"/>
          </w:tcPr>
          <w:p w14:paraId="3DE95DFC">
            <w:pPr>
              <w:pStyle w:val="28"/>
              <w:bidi w:val="0"/>
            </w:pPr>
          </w:p>
        </w:tc>
        <w:tc>
          <w:tcPr>
            <w:tcW w:w="3064" w:type="pct"/>
            <w:vAlign w:val="center"/>
          </w:tcPr>
          <w:p w14:paraId="6959DF35">
            <w:pPr>
              <w:pStyle w:val="28"/>
              <w:bidi w:val="0"/>
            </w:pPr>
            <w:r>
              <w:t>堰口分干渠工程：老庙倒虹吸下游500m处设置1个监测点</w:t>
            </w:r>
          </w:p>
        </w:tc>
        <w:tc>
          <w:tcPr>
            <w:tcW w:w="723" w:type="pct"/>
            <w:vMerge w:val="continue"/>
            <w:vAlign w:val="center"/>
          </w:tcPr>
          <w:p w14:paraId="706EDF4A">
            <w:pPr>
              <w:pStyle w:val="28"/>
              <w:bidi w:val="0"/>
            </w:pPr>
          </w:p>
        </w:tc>
        <w:tc>
          <w:tcPr>
            <w:tcW w:w="650" w:type="pct"/>
            <w:vMerge w:val="continue"/>
            <w:vAlign w:val="center"/>
          </w:tcPr>
          <w:p w14:paraId="5DDFFA09">
            <w:pPr>
              <w:pStyle w:val="28"/>
              <w:bidi w:val="0"/>
            </w:pPr>
          </w:p>
        </w:tc>
      </w:tr>
      <w:tr w14:paraId="6095F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3334E467">
            <w:pPr>
              <w:pStyle w:val="28"/>
              <w:bidi w:val="0"/>
            </w:pPr>
          </w:p>
        </w:tc>
        <w:tc>
          <w:tcPr>
            <w:tcW w:w="330" w:type="pct"/>
            <w:vMerge w:val="continue"/>
            <w:vAlign w:val="center"/>
          </w:tcPr>
          <w:p w14:paraId="0E6DF146">
            <w:pPr>
              <w:pStyle w:val="28"/>
              <w:bidi w:val="0"/>
            </w:pPr>
          </w:p>
        </w:tc>
        <w:tc>
          <w:tcPr>
            <w:tcW w:w="3064" w:type="pct"/>
            <w:vAlign w:val="center"/>
          </w:tcPr>
          <w:p w14:paraId="79EE2BBD">
            <w:pPr>
              <w:pStyle w:val="28"/>
              <w:bidi w:val="0"/>
            </w:pPr>
            <w:r>
              <w:t>淠源分干渠工程：单冲渡槽下游500m处设置1个监测点</w:t>
            </w:r>
          </w:p>
        </w:tc>
        <w:tc>
          <w:tcPr>
            <w:tcW w:w="723" w:type="pct"/>
            <w:vMerge w:val="continue"/>
            <w:vAlign w:val="center"/>
          </w:tcPr>
          <w:p w14:paraId="73CF9C6D">
            <w:pPr>
              <w:pStyle w:val="28"/>
              <w:bidi w:val="0"/>
            </w:pPr>
          </w:p>
        </w:tc>
        <w:tc>
          <w:tcPr>
            <w:tcW w:w="650" w:type="pct"/>
            <w:vMerge w:val="continue"/>
            <w:vAlign w:val="center"/>
          </w:tcPr>
          <w:p w14:paraId="7DBD668F">
            <w:pPr>
              <w:pStyle w:val="28"/>
              <w:bidi w:val="0"/>
            </w:pPr>
          </w:p>
        </w:tc>
      </w:tr>
      <w:tr w14:paraId="10598B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31" w:type="pct"/>
            <w:vMerge w:val="continue"/>
            <w:vAlign w:val="center"/>
          </w:tcPr>
          <w:p w14:paraId="5B5AFCF5">
            <w:pPr>
              <w:pStyle w:val="28"/>
              <w:bidi w:val="0"/>
            </w:pPr>
          </w:p>
        </w:tc>
        <w:tc>
          <w:tcPr>
            <w:tcW w:w="330" w:type="pct"/>
            <w:vMerge w:val="continue"/>
            <w:vAlign w:val="center"/>
          </w:tcPr>
          <w:p w14:paraId="7DE7609A">
            <w:pPr>
              <w:pStyle w:val="28"/>
              <w:bidi w:val="0"/>
            </w:pPr>
          </w:p>
        </w:tc>
        <w:tc>
          <w:tcPr>
            <w:tcW w:w="3064" w:type="pct"/>
            <w:vAlign w:val="center"/>
          </w:tcPr>
          <w:p w14:paraId="3281FED5">
            <w:pPr>
              <w:pStyle w:val="28"/>
              <w:bidi w:val="0"/>
            </w:pPr>
            <w:r>
              <w:t>小蜀山分干渠工程：渠道左岸9+048～9+848防渗治理段设置1个监测点</w:t>
            </w:r>
          </w:p>
        </w:tc>
        <w:tc>
          <w:tcPr>
            <w:tcW w:w="723" w:type="pct"/>
            <w:vMerge w:val="continue"/>
            <w:vAlign w:val="center"/>
          </w:tcPr>
          <w:p w14:paraId="412AD000">
            <w:pPr>
              <w:pStyle w:val="28"/>
              <w:bidi w:val="0"/>
            </w:pPr>
          </w:p>
        </w:tc>
        <w:tc>
          <w:tcPr>
            <w:tcW w:w="650" w:type="pct"/>
            <w:vMerge w:val="continue"/>
            <w:vAlign w:val="center"/>
          </w:tcPr>
          <w:p w14:paraId="2CA1AB35">
            <w:pPr>
              <w:pStyle w:val="28"/>
              <w:bidi w:val="0"/>
            </w:pPr>
          </w:p>
        </w:tc>
      </w:tr>
      <w:tr w14:paraId="606FC5C2">
        <w:tblPrEx>
          <w:tblCellMar>
            <w:top w:w="0" w:type="dxa"/>
            <w:left w:w="108" w:type="dxa"/>
            <w:bottom w:w="0" w:type="dxa"/>
            <w:right w:w="108" w:type="dxa"/>
          </w:tblCellMar>
        </w:tblPrEx>
        <w:trPr>
          <w:trHeight w:val="340" w:hRule="atLeast"/>
        </w:trPr>
        <w:tc>
          <w:tcPr>
            <w:tcW w:w="231" w:type="pct"/>
            <w:vMerge w:val="continue"/>
            <w:vAlign w:val="center"/>
          </w:tcPr>
          <w:p w14:paraId="31E83A0B">
            <w:pPr>
              <w:pStyle w:val="28"/>
              <w:bidi w:val="0"/>
            </w:pPr>
          </w:p>
        </w:tc>
        <w:tc>
          <w:tcPr>
            <w:tcW w:w="330" w:type="pct"/>
            <w:vMerge w:val="continue"/>
            <w:vAlign w:val="center"/>
          </w:tcPr>
          <w:p w14:paraId="7B6C9919">
            <w:pPr>
              <w:pStyle w:val="28"/>
              <w:bidi w:val="0"/>
            </w:pPr>
          </w:p>
        </w:tc>
        <w:tc>
          <w:tcPr>
            <w:tcW w:w="3064" w:type="pct"/>
            <w:vAlign w:val="center"/>
          </w:tcPr>
          <w:p w14:paraId="7D4CC26A">
            <w:pPr>
              <w:pStyle w:val="28"/>
              <w:bidi w:val="0"/>
            </w:pPr>
            <w:r>
              <w:t>瓦东干渠双庙支渠工程：桩号0+000~14+100渠道清淤段设置1个监测点</w:t>
            </w:r>
          </w:p>
        </w:tc>
        <w:tc>
          <w:tcPr>
            <w:tcW w:w="723" w:type="pct"/>
            <w:vMerge w:val="continue"/>
            <w:vAlign w:val="center"/>
          </w:tcPr>
          <w:p w14:paraId="27153180">
            <w:pPr>
              <w:pStyle w:val="28"/>
              <w:bidi w:val="0"/>
            </w:pPr>
          </w:p>
        </w:tc>
        <w:tc>
          <w:tcPr>
            <w:tcW w:w="650" w:type="pct"/>
            <w:vMerge w:val="continue"/>
            <w:vAlign w:val="center"/>
          </w:tcPr>
          <w:p w14:paraId="1DD45C20">
            <w:pPr>
              <w:pStyle w:val="28"/>
              <w:bidi w:val="0"/>
            </w:pPr>
          </w:p>
        </w:tc>
      </w:tr>
      <w:tr w14:paraId="06B1E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6A0CAE68">
            <w:pPr>
              <w:pStyle w:val="28"/>
              <w:bidi w:val="0"/>
            </w:pPr>
          </w:p>
        </w:tc>
        <w:tc>
          <w:tcPr>
            <w:tcW w:w="330" w:type="pct"/>
            <w:vMerge w:val="continue"/>
            <w:vAlign w:val="center"/>
          </w:tcPr>
          <w:p w14:paraId="50353318">
            <w:pPr>
              <w:pStyle w:val="28"/>
              <w:bidi w:val="0"/>
            </w:pPr>
          </w:p>
        </w:tc>
        <w:tc>
          <w:tcPr>
            <w:tcW w:w="3064" w:type="pct"/>
            <w:vAlign w:val="center"/>
          </w:tcPr>
          <w:p w14:paraId="5C3D5764">
            <w:pPr>
              <w:pStyle w:val="28"/>
              <w:bidi w:val="0"/>
            </w:pPr>
            <w:r>
              <w:t>杨西分干渠东风支渠工程：渠道清淤段设置1个监测点</w:t>
            </w:r>
          </w:p>
        </w:tc>
        <w:tc>
          <w:tcPr>
            <w:tcW w:w="723" w:type="pct"/>
            <w:vMerge w:val="continue"/>
            <w:vAlign w:val="center"/>
          </w:tcPr>
          <w:p w14:paraId="4E89EBD8">
            <w:pPr>
              <w:pStyle w:val="28"/>
              <w:bidi w:val="0"/>
            </w:pPr>
          </w:p>
        </w:tc>
        <w:tc>
          <w:tcPr>
            <w:tcW w:w="650" w:type="pct"/>
            <w:vMerge w:val="continue"/>
            <w:vAlign w:val="center"/>
          </w:tcPr>
          <w:p w14:paraId="172ED933">
            <w:pPr>
              <w:pStyle w:val="28"/>
              <w:bidi w:val="0"/>
            </w:pPr>
          </w:p>
        </w:tc>
      </w:tr>
      <w:tr w14:paraId="4788C4C9">
        <w:tblPrEx>
          <w:tblCellMar>
            <w:top w:w="0" w:type="dxa"/>
            <w:left w:w="108" w:type="dxa"/>
            <w:bottom w:w="0" w:type="dxa"/>
            <w:right w:w="108" w:type="dxa"/>
          </w:tblCellMar>
        </w:tblPrEx>
        <w:trPr>
          <w:trHeight w:val="340" w:hRule="atLeast"/>
        </w:trPr>
        <w:tc>
          <w:tcPr>
            <w:tcW w:w="231" w:type="pct"/>
            <w:vMerge w:val="continue"/>
            <w:vAlign w:val="center"/>
          </w:tcPr>
          <w:p w14:paraId="246ECF1E">
            <w:pPr>
              <w:pStyle w:val="28"/>
              <w:bidi w:val="0"/>
            </w:pPr>
          </w:p>
        </w:tc>
        <w:tc>
          <w:tcPr>
            <w:tcW w:w="330" w:type="pct"/>
            <w:vMerge w:val="continue"/>
            <w:vAlign w:val="center"/>
          </w:tcPr>
          <w:p w14:paraId="54898902">
            <w:pPr>
              <w:pStyle w:val="28"/>
              <w:bidi w:val="0"/>
            </w:pPr>
          </w:p>
        </w:tc>
        <w:tc>
          <w:tcPr>
            <w:tcW w:w="3064" w:type="pct"/>
            <w:vAlign w:val="center"/>
          </w:tcPr>
          <w:p w14:paraId="728B8A3D">
            <w:pPr>
              <w:pStyle w:val="28"/>
              <w:bidi w:val="0"/>
            </w:pPr>
            <w:r>
              <w:t>界河支渠工程：桩号1+807～5+450渠道清淤段设置1个监测点、4+650新建节制闸下游500米处设置1个监测点</w:t>
            </w:r>
          </w:p>
        </w:tc>
        <w:tc>
          <w:tcPr>
            <w:tcW w:w="723" w:type="pct"/>
            <w:vMerge w:val="continue"/>
            <w:vAlign w:val="center"/>
          </w:tcPr>
          <w:p w14:paraId="436976FD">
            <w:pPr>
              <w:pStyle w:val="28"/>
              <w:bidi w:val="0"/>
            </w:pPr>
          </w:p>
        </w:tc>
        <w:tc>
          <w:tcPr>
            <w:tcW w:w="650" w:type="pct"/>
            <w:vMerge w:val="continue"/>
            <w:vAlign w:val="center"/>
          </w:tcPr>
          <w:p w14:paraId="0C85A65E">
            <w:pPr>
              <w:pStyle w:val="28"/>
              <w:bidi w:val="0"/>
            </w:pPr>
          </w:p>
        </w:tc>
      </w:tr>
      <w:tr w14:paraId="56E4D8F0">
        <w:tblPrEx>
          <w:tblCellMar>
            <w:top w:w="0" w:type="dxa"/>
            <w:left w:w="108" w:type="dxa"/>
            <w:bottom w:w="0" w:type="dxa"/>
            <w:right w:w="108" w:type="dxa"/>
          </w:tblCellMar>
        </w:tblPrEx>
        <w:trPr>
          <w:trHeight w:val="340" w:hRule="atLeast"/>
        </w:trPr>
        <w:tc>
          <w:tcPr>
            <w:tcW w:w="231" w:type="pct"/>
            <w:vMerge w:val="continue"/>
            <w:vAlign w:val="center"/>
          </w:tcPr>
          <w:p w14:paraId="3C95F6B8">
            <w:pPr>
              <w:pStyle w:val="28"/>
              <w:bidi w:val="0"/>
            </w:pPr>
          </w:p>
        </w:tc>
        <w:tc>
          <w:tcPr>
            <w:tcW w:w="330" w:type="pct"/>
            <w:vMerge w:val="continue"/>
            <w:vAlign w:val="center"/>
          </w:tcPr>
          <w:p w14:paraId="3A2D4788">
            <w:pPr>
              <w:pStyle w:val="28"/>
              <w:bidi w:val="0"/>
            </w:pPr>
          </w:p>
        </w:tc>
        <w:tc>
          <w:tcPr>
            <w:tcW w:w="3064" w:type="pct"/>
            <w:vAlign w:val="center"/>
          </w:tcPr>
          <w:p w14:paraId="72FE26FA">
            <w:pPr>
              <w:pStyle w:val="28"/>
              <w:bidi w:val="0"/>
            </w:pPr>
            <w:r>
              <w:t>义河支渠工程：桩号2+650～3+000渠道清淤段设置1个监测点、桩号0+645新建渠岸跌水下游500米处设置1个监测点，共设置2个监测点</w:t>
            </w:r>
          </w:p>
        </w:tc>
        <w:tc>
          <w:tcPr>
            <w:tcW w:w="723" w:type="pct"/>
            <w:vMerge w:val="continue"/>
            <w:vAlign w:val="center"/>
          </w:tcPr>
          <w:p w14:paraId="188B9669">
            <w:pPr>
              <w:pStyle w:val="28"/>
              <w:bidi w:val="0"/>
            </w:pPr>
          </w:p>
        </w:tc>
        <w:tc>
          <w:tcPr>
            <w:tcW w:w="650" w:type="pct"/>
            <w:vMerge w:val="continue"/>
            <w:vAlign w:val="center"/>
          </w:tcPr>
          <w:p w14:paraId="6B41A805">
            <w:pPr>
              <w:pStyle w:val="28"/>
              <w:bidi w:val="0"/>
            </w:pPr>
          </w:p>
        </w:tc>
      </w:tr>
      <w:tr w14:paraId="4253C61C">
        <w:tblPrEx>
          <w:tblCellMar>
            <w:top w:w="0" w:type="dxa"/>
            <w:left w:w="108" w:type="dxa"/>
            <w:bottom w:w="0" w:type="dxa"/>
            <w:right w:w="108" w:type="dxa"/>
          </w:tblCellMar>
        </w:tblPrEx>
        <w:trPr>
          <w:trHeight w:val="340" w:hRule="atLeast"/>
        </w:trPr>
        <w:tc>
          <w:tcPr>
            <w:tcW w:w="231" w:type="pct"/>
            <w:vMerge w:val="continue"/>
            <w:vAlign w:val="center"/>
          </w:tcPr>
          <w:p w14:paraId="09467B78">
            <w:pPr>
              <w:pStyle w:val="28"/>
              <w:bidi w:val="0"/>
            </w:pPr>
          </w:p>
        </w:tc>
        <w:tc>
          <w:tcPr>
            <w:tcW w:w="330" w:type="pct"/>
            <w:vMerge w:val="continue"/>
            <w:vAlign w:val="center"/>
          </w:tcPr>
          <w:p w14:paraId="49EA9A96">
            <w:pPr>
              <w:pStyle w:val="28"/>
              <w:bidi w:val="0"/>
            </w:pPr>
          </w:p>
        </w:tc>
        <w:tc>
          <w:tcPr>
            <w:tcW w:w="3064" w:type="pct"/>
            <w:vAlign w:val="center"/>
          </w:tcPr>
          <w:p w14:paraId="3DD87CF7">
            <w:pPr>
              <w:pStyle w:val="28"/>
              <w:bidi w:val="0"/>
            </w:pPr>
            <w:r>
              <w:t>袁店支渠工程：桩号3+410新建节制闸下游500米设置1个监测点</w:t>
            </w:r>
          </w:p>
        </w:tc>
        <w:tc>
          <w:tcPr>
            <w:tcW w:w="723" w:type="pct"/>
            <w:vMerge w:val="continue"/>
            <w:vAlign w:val="center"/>
          </w:tcPr>
          <w:p w14:paraId="67C71943">
            <w:pPr>
              <w:pStyle w:val="28"/>
              <w:bidi w:val="0"/>
            </w:pPr>
          </w:p>
        </w:tc>
        <w:tc>
          <w:tcPr>
            <w:tcW w:w="650" w:type="pct"/>
            <w:vMerge w:val="continue"/>
            <w:vAlign w:val="center"/>
          </w:tcPr>
          <w:p w14:paraId="6B28FE96">
            <w:pPr>
              <w:pStyle w:val="28"/>
              <w:bidi w:val="0"/>
            </w:pPr>
          </w:p>
        </w:tc>
      </w:tr>
      <w:tr w14:paraId="17F4CD79">
        <w:tblPrEx>
          <w:tblCellMar>
            <w:top w:w="0" w:type="dxa"/>
            <w:left w:w="108" w:type="dxa"/>
            <w:bottom w:w="0" w:type="dxa"/>
            <w:right w:w="108" w:type="dxa"/>
          </w:tblCellMar>
        </w:tblPrEx>
        <w:trPr>
          <w:trHeight w:val="340" w:hRule="atLeast"/>
        </w:trPr>
        <w:tc>
          <w:tcPr>
            <w:tcW w:w="231" w:type="pct"/>
            <w:vMerge w:val="continue"/>
            <w:vAlign w:val="center"/>
          </w:tcPr>
          <w:p w14:paraId="22770085">
            <w:pPr>
              <w:pStyle w:val="28"/>
              <w:bidi w:val="0"/>
            </w:pPr>
          </w:p>
        </w:tc>
        <w:tc>
          <w:tcPr>
            <w:tcW w:w="330" w:type="pct"/>
            <w:vMerge w:val="continue"/>
            <w:vAlign w:val="center"/>
          </w:tcPr>
          <w:p w14:paraId="0B0BEC85">
            <w:pPr>
              <w:pStyle w:val="28"/>
              <w:bidi w:val="0"/>
            </w:pPr>
          </w:p>
        </w:tc>
        <w:tc>
          <w:tcPr>
            <w:tcW w:w="3064" w:type="pct"/>
            <w:vAlign w:val="center"/>
          </w:tcPr>
          <w:p w14:paraId="2C7C73D2">
            <w:pPr>
              <w:pStyle w:val="28"/>
              <w:bidi w:val="0"/>
            </w:pPr>
            <w:r>
              <w:t>堰西支渠工程：桩号10+800～11+930渠道护砌段设置1个监测点</w:t>
            </w:r>
          </w:p>
        </w:tc>
        <w:tc>
          <w:tcPr>
            <w:tcW w:w="723" w:type="pct"/>
            <w:vMerge w:val="continue"/>
            <w:vAlign w:val="center"/>
          </w:tcPr>
          <w:p w14:paraId="5D45FD2B">
            <w:pPr>
              <w:pStyle w:val="28"/>
              <w:bidi w:val="0"/>
            </w:pPr>
          </w:p>
        </w:tc>
        <w:tc>
          <w:tcPr>
            <w:tcW w:w="650" w:type="pct"/>
            <w:vMerge w:val="continue"/>
            <w:vAlign w:val="center"/>
          </w:tcPr>
          <w:p w14:paraId="0FB250A9">
            <w:pPr>
              <w:pStyle w:val="28"/>
              <w:bidi w:val="0"/>
            </w:pPr>
          </w:p>
        </w:tc>
      </w:tr>
      <w:tr w14:paraId="48476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7C3CD6E1">
            <w:pPr>
              <w:pStyle w:val="28"/>
              <w:bidi w:val="0"/>
            </w:pPr>
          </w:p>
        </w:tc>
        <w:tc>
          <w:tcPr>
            <w:tcW w:w="330" w:type="pct"/>
            <w:vMerge w:val="continue"/>
            <w:vAlign w:val="center"/>
          </w:tcPr>
          <w:p w14:paraId="55362FED">
            <w:pPr>
              <w:pStyle w:val="28"/>
              <w:bidi w:val="0"/>
            </w:pPr>
          </w:p>
        </w:tc>
        <w:tc>
          <w:tcPr>
            <w:tcW w:w="3064" w:type="pct"/>
            <w:vAlign w:val="center"/>
          </w:tcPr>
          <w:p w14:paraId="6908AFF8">
            <w:pPr>
              <w:pStyle w:val="28"/>
              <w:bidi w:val="0"/>
            </w:pPr>
            <w:r>
              <w:t>众兴分干渠双庙支渠工程：桩号4+296~4+415渠道清淤段设置1个监测点</w:t>
            </w:r>
          </w:p>
        </w:tc>
        <w:tc>
          <w:tcPr>
            <w:tcW w:w="723" w:type="pct"/>
            <w:vMerge w:val="continue"/>
            <w:vAlign w:val="center"/>
          </w:tcPr>
          <w:p w14:paraId="2AC151AC">
            <w:pPr>
              <w:pStyle w:val="28"/>
              <w:bidi w:val="0"/>
            </w:pPr>
          </w:p>
        </w:tc>
        <w:tc>
          <w:tcPr>
            <w:tcW w:w="650" w:type="pct"/>
            <w:vMerge w:val="continue"/>
            <w:vAlign w:val="center"/>
          </w:tcPr>
          <w:p w14:paraId="4D9E3319">
            <w:pPr>
              <w:pStyle w:val="28"/>
              <w:bidi w:val="0"/>
            </w:pPr>
          </w:p>
        </w:tc>
      </w:tr>
      <w:tr w14:paraId="61093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15C93DC1">
            <w:pPr>
              <w:pStyle w:val="28"/>
              <w:bidi w:val="0"/>
            </w:pPr>
          </w:p>
        </w:tc>
        <w:tc>
          <w:tcPr>
            <w:tcW w:w="330" w:type="pct"/>
            <w:vMerge w:val="continue"/>
            <w:vAlign w:val="center"/>
          </w:tcPr>
          <w:p w14:paraId="0401A071">
            <w:pPr>
              <w:pStyle w:val="28"/>
              <w:bidi w:val="0"/>
            </w:pPr>
          </w:p>
        </w:tc>
        <w:tc>
          <w:tcPr>
            <w:tcW w:w="3064" w:type="pct"/>
            <w:vAlign w:val="center"/>
          </w:tcPr>
          <w:p w14:paraId="0B854FB8">
            <w:pPr>
              <w:pStyle w:val="28"/>
              <w:bidi w:val="0"/>
            </w:pPr>
            <w:r>
              <w:t>大高支渠工程：渠道1+320～1+445滑坡治理段设置1个监测点</w:t>
            </w:r>
          </w:p>
        </w:tc>
        <w:tc>
          <w:tcPr>
            <w:tcW w:w="723" w:type="pct"/>
            <w:vMerge w:val="continue"/>
            <w:vAlign w:val="center"/>
          </w:tcPr>
          <w:p w14:paraId="3C69E108">
            <w:pPr>
              <w:pStyle w:val="28"/>
              <w:bidi w:val="0"/>
            </w:pPr>
          </w:p>
        </w:tc>
        <w:tc>
          <w:tcPr>
            <w:tcW w:w="650" w:type="pct"/>
            <w:vMerge w:val="continue"/>
            <w:vAlign w:val="center"/>
          </w:tcPr>
          <w:p w14:paraId="5F1556B7">
            <w:pPr>
              <w:pStyle w:val="28"/>
              <w:bidi w:val="0"/>
            </w:pPr>
          </w:p>
        </w:tc>
      </w:tr>
      <w:tr w14:paraId="449FB9BB">
        <w:tblPrEx>
          <w:tblCellMar>
            <w:top w:w="0" w:type="dxa"/>
            <w:left w:w="108" w:type="dxa"/>
            <w:bottom w:w="0" w:type="dxa"/>
            <w:right w:w="108" w:type="dxa"/>
          </w:tblCellMar>
        </w:tblPrEx>
        <w:trPr>
          <w:trHeight w:val="340" w:hRule="atLeast"/>
        </w:trPr>
        <w:tc>
          <w:tcPr>
            <w:tcW w:w="231" w:type="pct"/>
            <w:vMerge w:val="continue"/>
            <w:vAlign w:val="center"/>
          </w:tcPr>
          <w:p w14:paraId="7074EB0A">
            <w:pPr>
              <w:pStyle w:val="28"/>
              <w:bidi w:val="0"/>
            </w:pPr>
          </w:p>
        </w:tc>
        <w:tc>
          <w:tcPr>
            <w:tcW w:w="330" w:type="pct"/>
            <w:vMerge w:val="continue"/>
            <w:vAlign w:val="center"/>
          </w:tcPr>
          <w:p w14:paraId="5D496CF6">
            <w:pPr>
              <w:pStyle w:val="28"/>
              <w:bidi w:val="0"/>
            </w:pPr>
          </w:p>
        </w:tc>
        <w:tc>
          <w:tcPr>
            <w:tcW w:w="3064" w:type="pct"/>
            <w:vAlign w:val="center"/>
          </w:tcPr>
          <w:p w14:paraId="5D3D2532">
            <w:pPr>
              <w:pStyle w:val="28"/>
              <w:bidi w:val="0"/>
            </w:pPr>
            <w:r>
              <w:t>白龙支渠工程：桩号4+600～5+100渠道护砌段设置1个监测点</w:t>
            </w:r>
          </w:p>
        </w:tc>
        <w:tc>
          <w:tcPr>
            <w:tcW w:w="723" w:type="pct"/>
            <w:vMerge w:val="continue"/>
            <w:vAlign w:val="center"/>
          </w:tcPr>
          <w:p w14:paraId="2EB9C521">
            <w:pPr>
              <w:pStyle w:val="28"/>
              <w:bidi w:val="0"/>
            </w:pPr>
          </w:p>
        </w:tc>
        <w:tc>
          <w:tcPr>
            <w:tcW w:w="650" w:type="pct"/>
            <w:vMerge w:val="continue"/>
            <w:vAlign w:val="center"/>
          </w:tcPr>
          <w:p w14:paraId="25BDA062">
            <w:pPr>
              <w:pStyle w:val="28"/>
              <w:bidi w:val="0"/>
            </w:pPr>
          </w:p>
        </w:tc>
      </w:tr>
      <w:tr w14:paraId="0DFE2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3A8903FB">
            <w:pPr>
              <w:pStyle w:val="28"/>
              <w:bidi w:val="0"/>
            </w:pPr>
          </w:p>
        </w:tc>
        <w:tc>
          <w:tcPr>
            <w:tcW w:w="330" w:type="pct"/>
            <w:vMerge w:val="continue"/>
            <w:vAlign w:val="center"/>
          </w:tcPr>
          <w:p w14:paraId="16736093">
            <w:pPr>
              <w:pStyle w:val="28"/>
              <w:bidi w:val="0"/>
            </w:pPr>
          </w:p>
        </w:tc>
        <w:tc>
          <w:tcPr>
            <w:tcW w:w="3064" w:type="pct"/>
            <w:vAlign w:val="center"/>
          </w:tcPr>
          <w:p w14:paraId="1FF9E490">
            <w:pPr>
              <w:pStyle w:val="28"/>
              <w:bidi w:val="0"/>
            </w:pPr>
            <w:r>
              <w:t>郑岗泵站工程：郑岗一级站下游500米，郑岗二级站枢纽下游500m，共设置2个监测点</w:t>
            </w:r>
          </w:p>
        </w:tc>
        <w:tc>
          <w:tcPr>
            <w:tcW w:w="723" w:type="pct"/>
            <w:vMerge w:val="continue"/>
            <w:vAlign w:val="center"/>
          </w:tcPr>
          <w:p w14:paraId="3A397B03">
            <w:pPr>
              <w:pStyle w:val="28"/>
              <w:bidi w:val="0"/>
            </w:pPr>
          </w:p>
        </w:tc>
        <w:tc>
          <w:tcPr>
            <w:tcW w:w="650" w:type="pct"/>
            <w:vMerge w:val="continue"/>
            <w:vAlign w:val="center"/>
          </w:tcPr>
          <w:p w14:paraId="766C952A">
            <w:pPr>
              <w:pStyle w:val="28"/>
              <w:bidi w:val="0"/>
            </w:pPr>
          </w:p>
        </w:tc>
      </w:tr>
      <w:tr w14:paraId="1A1F036D">
        <w:tblPrEx>
          <w:tblCellMar>
            <w:top w:w="0" w:type="dxa"/>
            <w:left w:w="108" w:type="dxa"/>
            <w:bottom w:w="0" w:type="dxa"/>
            <w:right w:w="108" w:type="dxa"/>
          </w:tblCellMar>
        </w:tblPrEx>
        <w:trPr>
          <w:trHeight w:val="340" w:hRule="atLeast"/>
        </w:trPr>
        <w:tc>
          <w:tcPr>
            <w:tcW w:w="231" w:type="pct"/>
            <w:vMerge w:val="continue"/>
            <w:vAlign w:val="center"/>
          </w:tcPr>
          <w:p w14:paraId="5D48410A">
            <w:pPr>
              <w:pStyle w:val="28"/>
              <w:bidi w:val="0"/>
            </w:pPr>
          </w:p>
        </w:tc>
        <w:tc>
          <w:tcPr>
            <w:tcW w:w="330" w:type="pct"/>
            <w:vMerge w:val="continue"/>
            <w:vAlign w:val="center"/>
          </w:tcPr>
          <w:p w14:paraId="65828193">
            <w:pPr>
              <w:pStyle w:val="28"/>
              <w:bidi w:val="0"/>
            </w:pPr>
          </w:p>
        </w:tc>
        <w:tc>
          <w:tcPr>
            <w:tcW w:w="3064" w:type="pct"/>
            <w:vAlign w:val="center"/>
          </w:tcPr>
          <w:p w14:paraId="11F9BB26">
            <w:pPr>
              <w:pStyle w:val="28"/>
              <w:bidi w:val="0"/>
            </w:pPr>
            <w:r>
              <w:t>沣东干渠工程：渠道护砌段设置1个监测点、桩号42+240新建何庄放水口下游500米处设置1个监测点，共设置2个监测点</w:t>
            </w:r>
          </w:p>
        </w:tc>
        <w:tc>
          <w:tcPr>
            <w:tcW w:w="723" w:type="pct"/>
            <w:vMerge w:val="continue"/>
            <w:vAlign w:val="center"/>
          </w:tcPr>
          <w:p w14:paraId="1DE761CB">
            <w:pPr>
              <w:pStyle w:val="28"/>
              <w:bidi w:val="0"/>
            </w:pPr>
          </w:p>
        </w:tc>
        <w:tc>
          <w:tcPr>
            <w:tcW w:w="650" w:type="pct"/>
            <w:vMerge w:val="continue"/>
            <w:vAlign w:val="center"/>
          </w:tcPr>
          <w:p w14:paraId="74558F8E">
            <w:pPr>
              <w:pStyle w:val="28"/>
              <w:bidi w:val="0"/>
            </w:pPr>
          </w:p>
        </w:tc>
      </w:tr>
      <w:tr w14:paraId="6FEA9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430EED53">
            <w:pPr>
              <w:pStyle w:val="28"/>
              <w:bidi w:val="0"/>
            </w:pPr>
          </w:p>
        </w:tc>
        <w:tc>
          <w:tcPr>
            <w:tcW w:w="330" w:type="pct"/>
            <w:vMerge w:val="continue"/>
            <w:vAlign w:val="center"/>
          </w:tcPr>
          <w:p w14:paraId="462AA9D9">
            <w:pPr>
              <w:pStyle w:val="28"/>
              <w:bidi w:val="0"/>
            </w:pPr>
          </w:p>
        </w:tc>
        <w:tc>
          <w:tcPr>
            <w:tcW w:w="3064" w:type="pct"/>
            <w:vAlign w:val="center"/>
          </w:tcPr>
          <w:p w14:paraId="7F088E2D">
            <w:pPr>
              <w:pStyle w:val="28"/>
              <w:bidi w:val="0"/>
            </w:pPr>
            <w:r>
              <w:t>沣西干渠工程：桩号69+410~69+510防渗治理段设置1个监测点、桩号48+875~49+685渠道清淤段设置1个监测点，共设置2个监测点</w:t>
            </w:r>
          </w:p>
        </w:tc>
        <w:tc>
          <w:tcPr>
            <w:tcW w:w="723" w:type="pct"/>
            <w:vMerge w:val="continue"/>
            <w:vAlign w:val="center"/>
          </w:tcPr>
          <w:p w14:paraId="317691E4">
            <w:pPr>
              <w:pStyle w:val="28"/>
              <w:bidi w:val="0"/>
            </w:pPr>
          </w:p>
        </w:tc>
        <w:tc>
          <w:tcPr>
            <w:tcW w:w="650" w:type="pct"/>
            <w:vMerge w:val="continue"/>
            <w:vAlign w:val="center"/>
          </w:tcPr>
          <w:p w14:paraId="2EE30D38">
            <w:pPr>
              <w:pStyle w:val="28"/>
              <w:bidi w:val="0"/>
            </w:pPr>
          </w:p>
        </w:tc>
      </w:tr>
      <w:tr w14:paraId="383AD4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650695BF">
            <w:pPr>
              <w:pStyle w:val="28"/>
              <w:bidi w:val="0"/>
            </w:pPr>
          </w:p>
        </w:tc>
        <w:tc>
          <w:tcPr>
            <w:tcW w:w="330" w:type="pct"/>
            <w:vMerge w:val="continue"/>
            <w:vAlign w:val="center"/>
          </w:tcPr>
          <w:p w14:paraId="18F5DA7F">
            <w:pPr>
              <w:pStyle w:val="28"/>
              <w:bidi w:val="0"/>
            </w:pPr>
          </w:p>
        </w:tc>
        <w:tc>
          <w:tcPr>
            <w:tcW w:w="3064" w:type="pct"/>
            <w:vAlign w:val="center"/>
          </w:tcPr>
          <w:p w14:paraId="5553EA88">
            <w:pPr>
              <w:pStyle w:val="28"/>
              <w:bidi w:val="0"/>
            </w:pPr>
            <w:r>
              <w:t>姚李支渠工程：桩号6+986~9+386渠道清淤段设置1个监测点、桩号1+010~1+410防渗治理段设置1个监测点，共设置2个监测点</w:t>
            </w:r>
          </w:p>
        </w:tc>
        <w:tc>
          <w:tcPr>
            <w:tcW w:w="723" w:type="pct"/>
            <w:vMerge w:val="continue"/>
            <w:vAlign w:val="center"/>
          </w:tcPr>
          <w:p w14:paraId="5B9A8611">
            <w:pPr>
              <w:pStyle w:val="28"/>
              <w:bidi w:val="0"/>
            </w:pPr>
          </w:p>
        </w:tc>
        <w:tc>
          <w:tcPr>
            <w:tcW w:w="650" w:type="pct"/>
            <w:vMerge w:val="continue"/>
            <w:vAlign w:val="center"/>
          </w:tcPr>
          <w:p w14:paraId="158C98D1">
            <w:pPr>
              <w:pStyle w:val="28"/>
              <w:bidi w:val="0"/>
            </w:pPr>
          </w:p>
        </w:tc>
      </w:tr>
      <w:tr w14:paraId="3DD41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105A235E">
            <w:pPr>
              <w:pStyle w:val="28"/>
              <w:bidi w:val="0"/>
            </w:pPr>
          </w:p>
        </w:tc>
        <w:tc>
          <w:tcPr>
            <w:tcW w:w="330" w:type="pct"/>
            <w:vMerge w:val="continue"/>
            <w:vAlign w:val="center"/>
          </w:tcPr>
          <w:p w14:paraId="6B8C9991">
            <w:pPr>
              <w:pStyle w:val="28"/>
              <w:bidi w:val="0"/>
            </w:pPr>
          </w:p>
        </w:tc>
        <w:tc>
          <w:tcPr>
            <w:tcW w:w="3064" w:type="pct"/>
            <w:vAlign w:val="center"/>
          </w:tcPr>
          <w:p w14:paraId="5331552F">
            <w:pPr>
              <w:pStyle w:val="28"/>
              <w:bidi w:val="0"/>
            </w:pPr>
            <w:r>
              <w:t>胜天支渠工程：老鼠尾巴交通桥下游500米设置1个监测点、桩号0+380~0+630滑坡治理段设置1个监测点，共设置2个监测点</w:t>
            </w:r>
          </w:p>
        </w:tc>
        <w:tc>
          <w:tcPr>
            <w:tcW w:w="723" w:type="pct"/>
            <w:vMerge w:val="continue"/>
            <w:vAlign w:val="center"/>
          </w:tcPr>
          <w:p w14:paraId="5FF34930">
            <w:pPr>
              <w:pStyle w:val="28"/>
              <w:bidi w:val="0"/>
            </w:pPr>
          </w:p>
        </w:tc>
        <w:tc>
          <w:tcPr>
            <w:tcW w:w="650" w:type="pct"/>
            <w:vMerge w:val="continue"/>
            <w:vAlign w:val="center"/>
          </w:tcPr>
          <w:p w14:paraId="5ACFB872">
            <w:pPr>
              <w:pStyle w:val="28"/>
              <w:bidi w:val="0"/>
            </w:pPr>
          </w:p>
        </w:tc>
      </w:tr>
      <w:tr w14:paraId="70D29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3C796EA0">
            <w:pPr>
              <w:pStyle w:val="28"/>
              <w:bidi w:val="0"/>
            </w:pPr>
          </w:p>
        </w:tc>
        <w:tc>
          <w:tcPr>
            <w:tcW w:w="330" w:type="pct"/>
            <w:vMerge w:val="continue"/>
            <w:vAlign w:val="center"/>
          </w:tcPr>
          <w:p w14:paraId="0AD96B3A">
            <w:pPr>
              <w:pStyle w:val="28"/>
              <w:bidi w:val="0"/>
            </w:pPr>
          </w:p>
        </w:tc>
        <w:tc>
          <w:tcPr>
            <w:tcW w:w="3064" w:type="pct"/>
            <w:vAlign w:val="center"/>
          </w:tcPr>
          <w:p w14:paraId="3116266E">
            <w:pPr>
              <w:pStyle w:val="28"/>
              <w:bidi w:val="0"/>
            </w:pPr>
            <w:r>
              <w:t>乌斗支渠工程：桩号13+100~16+100渠道清淤段设置1个监测点</w:t>
            </w:r>
          </w:p>
        </w:tc>
        <w:tc>
          <w:tcPr>
            <w:tcW w:w="723" w:type="pct"/>
            <w:vMerge w:val="continue"/>
            <w:vAlign w:val="center"/>
          </w:tcPr>
          <w:p w14:paraId="51D1EB22">
            <w:pPr>
              <w:pStyle w:val="28"/>
              <w:bidi w:val="0"/>
            </w:pPr>
          </w:p>
        </w:tc>
        <w:tc>
          <w:tcPr>
            <w:tcW w:w="650" w:type="pct"/>
            <w:vMerge w:val="continue"/>
            <w:vAlign w:val="center"/>
          </w:tcPr>
          <w:p w14:paraId="4D4A273A">
            <w:pPr>
              <w:pStyle w:val="28"/>
              <w:bidi w:val="0"/>
            </w:pPr>
          </w:p>
        </w:tc>
      </w:tr>
      <w:tr w14:paraId="10BE0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0F1ED266">
            <w:pPr>
              <w:pStyle w:val="28"/>
              <w:bidi w:val="0"/>
            </w:pPr>
          </w:p>
        </w:tc>
        <w:tc>
          <w:tcPr>
            <w:tcW w:w="330" w:type="pct"/>
            <w:vMerge w:val="continue"/>
            <w:vAlign w:val="center"/>
          </w:tcPr>
          <w:p w14:paraId="6B016412">
            <w:pPr>
              <w:pStyle w:val="28"/>
              <w:bidi w:val="0"/>
            </w:pPr>
          </w:p>
        </w:tc>
        <w:tc>
          <w:tcPr>
            <w:tcW w:w="3064" w:type="pct"/>
            <w:vAlign w:val="center"/>
          </w:tcPr>
          <w:p w14:paraId="68FB3F3D">
            <w:pPr>
              <w:pStyle w:val="28"/>
              <w:bidi w:val="0"/>
            </w:pPr>
            <w:r>
              <w:t>舒庐干渠7座水闸工程：果园山进水闸下游500米设置1个监测点、果园山节制闸下游500米设置1个监测点，共设置2个监测点</w:t>
            </w:r>
          </w:p>
        </w:tc>
        <w:tc>
          <w:tcPr>
            <w:tcW w:w="723" w:type="pct"/>
            <w:vMerge w:val="continue"/>
            <w:vAlign w:val="center"/>
          </w:tcPr>
          <w:p w14:paraId="366FF643">
            <w:pPr>
              <w:pStyle w:val="28"/>
              <w:bidi w:val="0"/>
            </w:pPr>
          </w:p>
        </w:tc>
        <w:tc>
          <w:tcPr>
            <w:tcW w:w="650" w:type="pct"/>
            <w:vMerge w:val="continue"/>
            <w:vAlign w:val="center"/>
          </w:tcPr>
          <w:p w14:paraId="08B58DDB">
            <w:pPr>
              <w:pStyle w:val="28"/>
              <w:bidi w:val="0"/>
            </w:pPr>
          </w:p>
        </w:tc>
      </w:tr>
      <w:tr w14:paraId="5100411B">
        <w:tblPrEx>
          <w:tblCellMar>
            <w:top w:w="0" w:type="dxa"/>
            <w:left w:w="108" w:type="dxa"/>
            <w:bottom w:w="0" w:type="dxa"/>
            <w:right w:w="108" w:type="dxa"/>
          </w:tblCellMar>
        </w:tblPrEx>
        <w:trPr>
          <w:trHeight w:val="340" w:hRule="atLeast"/>
        </w:trPr>
        <w:tc>
          <w:tcPr>
            <w:tcW w:w="231" w:type="pct"/>
            <w:vMerge w:val="continue"/>
            <w:vAlign w:val="center"/>
          </w:tcPr>
          <w:p w14:paraId="1E92A69B">
            <w:pPr>
              <w:pStyle w:val="28"/>
              <w:bidi w:val="0"/>
            </w:pPr>
          </w:p>
        </w:tc>
        <w:tc>
          <w:tcPr>
            <w:tcW w:w="330" w:type="pct"/>
            <w:vMerge w:val="continue"/>
            <w:vAlign w:val="center"/>
          </w:tcPr>
          <w:p w14:paraId="13478430">
            <w:pPr>
              <w:pStyle w:val="28"/>
              <w:bidi w:val="0"/>
            </w:pPr>
          </w:p>
        </w:tc>
        <w:tc>
          <w:tcPr>
            <w:tcW w:w="3064" w:type="pct"/>
            <w:vAlign w:val="center"/>
          </w:tcPr>
          <w:p w14:paraId="280A55AC">
            <w:pPr>
              <w:pStyle w:val="28"/>
              <w:bidi w:val="0"/>
            </w:pPr>
            <w:r>
              <w:t>杭北干渠工程：杭北干渠与老杭埠河交汇处钱大山倒虹吸、千人桥自来水厂取水口下游500m处，共2个监测点</w:t>
            </w:r>
          </w:p>
        </w:tc>
        <w:tc>
          <w:tcPr>
            <w:tcW w:w="723" w:type="pct"/>
            <w:vMerge w:val="continue"/>
            <w:vAlign w:val="center"/>
          </w:tcPr>
          <w:p w14:paraId="6E4CC4BB">
            <w:pPr>
              <w:pStyle w:val="28"/>
              <w:bidi w:val="0"/>
            </w:pPr>
          </w:p>
        </w:tc>
        <w:tc>
          <w:tcPr>
            <w:tcW w:w="650" w:type="pct"/>
            <w:vMerge w:val="continue"/>
            <w:vAlign w:val="center"/>
          </w:tcPr>
          <w:p w14:paraId="5115467D">
            <w:pPr>
              <w:pStyle w:val="28"/>
              <w:bidi w:val="0"/>
            </w:pPr>
          </w:p>
        </w:tc>
      </w:tr>
      <w:tr w14:paraId="78C8F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5A41DA0F">
            <w:pPr>
              <w:pStyle w:val="28"/>
              <w:bidi w:val="0"/>
            </w:pPr>
          </w:p>
        </w:tc>
        <w:tc>
          <w:tcPr>
            <w:tcW w:w="330" w:type="pct"/>
            <w:vMerge w:val="continue"/>
            <w:vAlign w:val="center"/>
          </w:tcPr>
          <w:p w14:paraId="4B426EF3">
            <w:pPr>
              <w:pStyle w:val="28"/>
              <w:bidi w:val="0"/>
            </w:pPr>
          </w:p>
        </w:tc>
        <w:tc>
          <w:tcPr>
            <w:tcW w:w="3064" w:type="pct"/>
            <w:vAlign w:val="center"/>
          </w:tcPr>
          <w:p w14:paraId="16FA61BB">
            <w:pPr>
              <w:pStyle w:val="28"/>
              <w:bidi w:val="0"/>
            </w:pPr>
            <w:r>
              <w:t>沙胜支渠工程：桩号SS12+910~SS12+950渠道清淤段设置1个监测点、桩号SS6+392～SS6+499防渗治理段设置1个监测点，共2个监测点</w:t>
            </w:r>
          </w:p>
        </w:tc>
        <w:tc>
          <w:tcPr>
            <w:tcW w:w="723" w:type="pct"/>
            <w:vMerge w:val="continue"/>
            <w:vAlign w:val="center"/>
          </w:tcPr>
          <w:p w14:paraId="55E99668">
            <w:pPr>
              <w:pStyle w:val="28"/>
              <w:bidi w:val="0"/>
            </w:pPr>
          </w:p>
        </w:tc>
        <w:tc>
          <w:tcPr>
            <w:tcW w:w="650" w:type="pct"/>
            <w:vMerge w:val="continue"/>
            <w:vAlign w:val="center"/>
          </w:tcPr>
          <w:p w14:paraId="1488F435">
            <w:pPr>
              <w:pStyle w:val="28"/>
              <w:bidi w:val="0"/>
            </w:pPr>
          </w:p>
        </w:tc>
      </w:tr>
      <w:tr w14:paraId="7C4B79D3">
        <w:tblPrEx>
          <w:tblCellMar>
            <w:top w:w="0" w:type="dxa"/>
            <w:left w:w="108" w:type="dxa"/>
            <w:bottom w:w="0" w:type="dxa"/>
            <w:right w:w="108" w:type="dxa"/>
          </w:tblCellMar>
        </w:tblPrEx>
        <w:trPr>
          <w:trHeight w:val="340" w:hRule="atLeast"/>
        </w:trPr>
        <w:tc>
          <w:tcPr>
            <w:tcW w:w="231" w:type="pct"/>
            <w:vMerge w:val="continue"/>
            <w:vAlign w:val="center"/>
          </w:tcPr>
          <w:p w14:paraId="483C7D94">
            <w:pPr>
              <w:pStyle w:val="28"/>
              <w:bidi w:val="0"/>
            </w:pPr>
          </w:p>
        </w:tc>
        <w:tc>
          <w:tcPr>
            <w:tcW w:w="330" w:type="pct"/>
            <w:vMerge w:val="continue"/>
            <w:vAlign w:val="center"/>
          </w:tcPr>
          <w:p w14:paraId="4589319F">
            <w:pPr>
              <w:pStyle w:val="28"/>
              <w:bidi w:val="0"/>
            </w:pPr>
          </w:p>
        </w:tc>
        <w:tc>
          <w:tcPr>
            <w:tcW w:w="3064" w:type="pct"/>
            <w:vAlign w:val="center"/>
          </w:tcPr>
          <w:p w14:paraId="4942BCE7">
            <w:pPr>
              <w:pStyle w:val="28"/>
              <w:bidi w:val="0"/>
            </w:pPr>
            <w:r>
              <w:t>乐桥支渠工程：渠道清淤段设置1个监测点、桩号LQ6+600～LQ6+737防渗治理段设置1个监测点</w:t>
            </w:r>
          </w:p>
        </w:tc>
        <w:tc>
          <w:tcPr>
            <w:tcW w:w="723" w:type="pct"/>
            <w:vMerge w:val="continue"/>
            <w:vAlign w:val="center"/>
          </w:tcPr>
          <w:p w14:paraId="225CAEFE">
            <w:pPr>
              <w:pStyle w:val="28"/>
              <w:bidi w:val="0"/>
            </w:pPr>
          </w:p>
        </w:tc>
        <w:tc>
          <w:tcPr>
            <w:tcW w:w="650" w:type="pct"/>
            <w:vMerge w:val="continue"/>
            <w:vAlign w:val="center"/>
          </w:tcPr>
          <w:p w14:paraId="6CA66D9D">
            <w:pPr>
              <w:pStyle w:val="28"/>
              <w:bidi w:val="0"/>
            </w:pPr>
          </w:p>
        </w:tc>
      </w:tr>
      <w:tr w14:paraId="34BE4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76159D45">
            <w:pPr>
              <w:pStyle w:val="28"/>
              <w:bidi w:val="0"/>
            </w:pPr>
          </w:p>
        </w:tc>
        <w:tc>
          <w:tcPr>
            <w:tcW w:w="330" w:type="pct"/>
            <w:vMerge w:val="continue"/>
            <w:vAlign w:val="center"/>
          </w:tcPr>
          <w:p w14:paraId="38A32362">
            <w:pPr>
              <w:pStyle w:val="28"/>
              <w:bidi w:val="0"/>
            </w:pPr>
          </w:p>
        </w:tc>
        <w:tc>
          <w:tcPr>
            <w:tcW w:w="3064" w:type="pct"/>
            <w:vAlign w:val="center"/>
          </w:tcPr>
          <w:p w14:paraId="48276057">
            <w:pPr>
              <w:pStyle w:val="28"/>
              <w:bidi w:val="0"/>
            </w:pPr>
            <w:r>
              <w:t>马田支渠工程：桩号DMT3+427~DMT3+457渠道清淤段设置1个监测点、桩号MT0+345～MT1+067防渗治理段设置1个监测点，共设置2个监测点</w:t>
            </w:r>
          </w:p>
        </w:tc>
        <w:tc>
          <w:tcPr>
            <w:tcW w:w="723" w:type="pct"/>
            <w:vMerge w:val="continue"/>
            <w:vAlign w:val="center"/>
          </w:tcPr>
          <w:p w14:paraId="4FBAF541">
            <w:pPr>
              <w:pStyle w:val="28"/>
              <w:bidi w:val="0"/>
            </w:pPr>
          </w:p>
        </w:tc>
        <w:tc>
          <w:tcPr>
            <w:tcW w:w="650" w:type="pct"/>
            <w:vMerge w:val="continue"/>
            <w:vAlign w:val="center"/>
          </w:tcPr>
          <w:p w14:paraId="5E10CBFE">
            <w:pPr>
              <w:pStyle w:val="28"/>
              <w:bidi w:val="0"/>
            </w:pPr>
          </w:p>
        </w:tc>
      </w:tr>
      <w:tr w14:paraId="7A3725A1">
        <w:tblPrEx>
          <w:tblCellMar>
            <w:top w:w="0" w:type="dxa"/>
            <w:left w:w="108" w:type="dxa"/>
            <w:bottom w:w="0" w:type="dxa"/>
            <w:right w:w="108" w:type="dxa"/>
          </w:tblCellMar>
        </w:tblPrEx>
        <w:trPr>
          <w:trHeight w:val="340" w:hRule="atLeast"/>
        </w:trPr>
        <w:tc>
          <w:tcPr>
            <w:tcW w:w="231" w:type="pct"/>
            <w:vMerge w:val="continue"/>
            <w:vAlign w:val="center"/>
          </w:tcPr>
          <w:p w14:paraId="5D6C84DC">
            <w:pPr>
              <w:pStyle w:val="28"/>
              <w:bidi w:val="0"/>
            </w:pPr>
          </w:p>
        </w:tc>
        <w:tc>
          <w:tcPr>
            <w:tcW w:w="330" w:type="pct"/>
            <w:vAlign w:val="center"/>
          </w:tcPr>
          <w:p w14:paraId="0E1A71F5">
            <w:pPr>
              <w:pStyle w:val="28"/>
              <w:bidi w:val="0"/>
            </w:pPr>
            <w:r>
              <w:t>施工</w:t>
            </w:r>
          </w:p>
          <w:p w14:paraId="66575A9D">
            <w:pPr>
              <w:pStyle w:val="28"/>
              <w:bidi w:val="0"/>
            </w:pPr>
            <w:r>
              <w:t>废水</w:t>
            </w:r>
          </w:p>
        </w:tc>
        <w:tc>
          <w:tcPr>
            <w:tcW w:w="3064" w:type="pct"/>
            <w:vAlign w:val="center"/>
          </w:tcPr>
          <w:p w14:paraId="4AFF8DE4">
            <w:pPr>
              <w:pStyle w:val="28"/>
              <w:bidi w:val="0"/>
            </w:pPr>
            <w:r>
              <w:t>生产废水出水口；生活污水出水口，本项目共计88个工区</w:t>
            </w:r>
          </w:p>
        </w:tc>
        <w:tc>
          <w:tcPr>
            <w:tcW w:w="723" w:type="pct"/>
            <w:vAlign w:val="center"/>
          </w:tcPr>
          <w:p w14:paraId="473BCD72">
            <w:pPr>
              <w:pStyle w:val="28"/>
              <w:bidi w:val="0"/>
            </w:pPr>
            <w:r>
              <w:t>生产废水：pH、SS、石油类；生活污水：CODCr、BOD5、NH3-N、TP</w:t>
            </w:r>
          </w:p>
        </w:tc>
        <w:tc>
          <w:tcPr>
            <w:tcW w:w="650" w:type="pct"/>
            <w:vAlign w:val="center"/>
          </w:tcPr>
          <w:p w14:paraId="2F42F625">
            <w:pPr>
              <w:pStyle w:val="28"/>
              <w:bidi w:val="0"/>
            </w:pPr>
            <w:r>
              <w:t>春季、冬季、秋季各监测一次，监测1天，每天一次；根据施工进度安排，施工废水共计88次</w:t>
            </w:r>
          </w:p>
        </w:tc>
      </w:tr>
      <w:tr w14:paraId="2B1AE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4352BE5D">
            <w:pPr>
              <w:pStyle w:val="28"/>
              <w:bidi w:val="0"/>
            </w:pPr>
          </w:p>
        </w:tc>
        <w:tc>
          <w:tcPr>
            <w:tcW w:w="330" w:type="pct"/>
            <w:vAlign w:val="center"/>
          </w:tcPr>
          <w:p w14:paraId="094B2FE2">
            <w:pPr>
              <w:pStyle w:val="28"/>
              <w:bidi w:val="0"/>
            </w:pPr>
            <w:r>
              <w:t>大气</w:t>
            </w:r>
          </w:p>
          <w:p w14:paraId="603945CA">
            <w:pPr>
              <w:pStyle w:val="28"/>
              <w:bidi w:val="0"/>
            </w:pPr>
            <w:r>
              <w:t>环境</w:t>
            </w:r>
          </w:p>
        </w:tc>
        <w:tc>
          <w:tcPr>
            <w:tcW w:w="3064" w:type="pct"/>
            <w:vAlign w:val="center"/>
          </w:tcPr>
          <w:p w14:paraId="1953EAD5">
            <w:pPr>
              <w:pStyle w:val="28"/>
              <w:bidi w:val="0"/>
            </w:pPr>
            <w:r>
              <w:t>防汛道路工程、堤防加固工程、建筑物工程附近居民点</w:t>
            </w:r>
          </w:p>
        </w:tc>
        <w:tc>
          <w:tcPr>
            <w:tcW w:w="723" w:type="pct"/>
            <w:vAlign w:val="center"/>
          </w:tcPr>
          <w:p w14:paraId="10177DCA">
            <w:pPr>
              <w:pStyle w:val="28"/>
              <w:bidi w:val="0"/>
            </w:pPr>
            <w:r>
              <w:t>颗粒物</w:t>
            </w:r>
          </w:p>
        </w:tc>
        <w:tc>
          <w:tcPr>
            <w:tcW w:w="650" w:type="pct"/>
            <w:vAlign w:val="center"/>
          </w:tcPr>
          <w:p w14:paraId="05DE51C8">
            <w:pPr>
              <w:pStyle w:val="28"/>
              <w:bidi w:val="0"/>
            </w:pPr>
            <w:r>
              <w:t>施工进场前抽查监测1次，施工高峰期抽查监测1次；根据施工安排，拟总计监测12点•次</w:t>
            </w:r>
          </w:p>
        </w:tc>
      </w:tr>
      <w:tr w14:paraId="79804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17FF16D0">
            <w:pPr>
              <w:pStyle w:val="28"/>
              <w:bidi w:val="0"/>
            </w:pPr>
          </w:p>
        </w:tc>
        <w:tc>
          <w:tcPr>
            <w:tcW w:w="330" w:type="pct"/>
            <w:vAlign w:val="center"/>
          </w:tcPr>
          <w:p w14:paraId="4B0AE171">
            <w:pPr>
              <w:pStyle w:val="28"/>
              <w:bidi w:val="0"/>
            </w:pPr>
            <w:r>
              <w:t>噪声</w:t>
            </w:r>
          </w:p>
          <w:p w14:paraId="42E8A660">
            <w:pPr>
              <w:pStyle w:val="28"/>
              <w:bidi w:val="0"/>
            </w:pPr>
            <w:r>
              <w:t>监测</w:t>
            </w:r>
          </w:p>
        </w:tc>
        <w:tc>
          <w:tcPr>
            <w:tcW w:w="3064" w:type="pct"/>
            <w:vAlign w:val="center"/>
          </w:tcPr>
          <w:p w14:paraId="67D32418">
            <w:pPr>
              <w:pStyle w:val="28"/>
              <w:bidi w:val="0"/>
            </w:pPr>
            <w:r>
              <w:t>建筑物工程、防汛路工程、堤防加固工程、渠道陆上机械疏挖工程附近居民点</w:t>
            </w:r>
          </w:p>
        </w:tc>
        <w:tc>
          <w:tcPr>
            <w:tcW w:w="723" w:type="pct"/>
            <w:vAlign w:val="center"/>
          </w:tcPr>
          <w:p w14:paraId="56EBB312">
            <w:pPr>
              <w:pStyle w:val="28"/>
              <w:bidi w:val="0"/>
            </w:pPr>
            <w:r>
              <w:t>Leq</w:t>
            </w:r>
          </w:p>
        </w:tc>
        <w:tc>
          <w:tcPr>
            <w:tcW w:w="650" w:type="pct"/>
            <w:vAlign w:val="center"/>
          </w:tcPr>
          <w:p w14:paraId="0B05BB90">
            <w:pPr>
              <w:pStyle w:val="28"/>
              <w:bidi w:val="0"/>
            </w:pPr>
            <w:r>
              <w:t>施工期间每点位监测1天，昼间、夜间各一次；根据敏感点分布，拟总计监测72点•次</w:t>
            </w:r>
          </w:p>
        </w:tc>
      </w:tr>
      <w:tr w14:paraId="108C2778">
        <w:tblPrEx>
          <w:tblCellMar>
            <w:top w:w="0" w:type="dxa"/>
            <w:left w:w="108" w:type="dxa"/>
            <w:bottom w:w="0" w:type="dxa"/>
            <w:right w:w="108" w:type="dxa"/>
          </w:tblCellMar>
        </w:tblPrEx>
        <w:trPr>
          <w:trHeight w:val="340" w:hRule="atLeast"/>
        </w:trPr>
        <w:tc>
          <w:tcPr>
            <w:tcW w:w="231" w:type="pct"/>
            <w:vMerge w:val="continue"/>
            <w:vAlign w:val="center"/>
          </w:tcPr>
          <w:p w14:paraId="3A16F00B">
            <w:pPr>
              <w:pStyle w:val="28"/>
              <w:bidi w:val="0"/>
            </w:pPr>
          </w:p>
        </w:tc>
        <w:tc>
          <w:tcPr>
            <w:tcW w:w="330" w:type="pct"/>
            <w:vAlign w:val="center"/>
          </w:tcPr>
          <w:p w14:paraId="778B9582">
            <w:pPr>
              <w:pStyle w:val="28"/>
              <w:bidi w:val="0"/>
            </w:pPr>
            <w:r>
              <w:t>土壤</w:t>
            </w:r>
          </w:p>
          <w:p w14:paraId="434EC5C4">
            <w:pPr>
              <w:pStyle w:val="28"/>
              <w:bidi w:val="0"/>
            </w:pPr>
            <w:r>
              <w:t>监测（底泥监测）</w:t>
            </w:r>
          </w:p>
        </w:tc>
        <w:tc>
          <w:tcPr>
            <w:tcW w:w="3064" w:type="pct"/>
            <w:vAlign w:val="center"/>
          </w:tcPr>
          <w:p w14:paraId="10DA6D91">
            <w:pPr>
              <w:pStyle w:val="28"/>
              <w:bidi w:val="0"/>
            </w:pPr>
            <w:r>
              <w:rPr>
                <w:rFonts w:hint="eastAsia"/>
              </w:rPr>
              <w:t>各</w:t>
            </w:r>
            <w:r>
              <w:t>工程中心点位</w:t>
            </w:r>
          </w:p>
        </w:tc>
        <w:tc>
          <w:tcPr>
            <w:tcW w:w="723" w:type="pct"/>
            <w:vAlign w:val="center"/>
          </w:tcPr>
          <w:p w14:paraId="32B3A3A0">
            <w:pPr>
              <w:pStyle w:val="28"/>
              <w:bidi w:val="0"/>
            </w:pPr>
            <w:r>
              <w:t>pH、铜、镉、汞、砷、铅、铬、锌、镍共9项目指标</w:t>
            </w:r>
          </w:p>
        </w:tc>
        <w:tc>
          <w:tcPr>
            <w:tcW w:w="650" w:type="pct"/>
            <w:vAlign w:val="center"/>
          </w:tcPr>
          <w:p w14:paraId="34EDC7E8">
            <w:pPr>
              <w:pStyle w:val="28"/>
              <w:bidi w:val="0"/>
            </w:pPr>
            <w:r>
              <w:rPr>
                <w:rFonts w:hint="eastAsia"/>
              </w:rPr>
              <w:t>施工前监测1次，</w:t>
            </w:r>
            <w:r>
              <w:t>拟总计监测32点•次</w:t>
            </w:r>
          </w:p>
        </w:tc>
      </w:tr>
      <w:tr w14:paraId="1E5B43EB">
        <w:tblPrEx>
          <w:tblCellMar>
            <w:top w:w="0" w:type="dxa"/>
            <w:left w:w="108" w:type="dxa"/>
            <w:bottom w:w="0" w:type="dxa"/>
            <w:right w:w="108" w:type="dxa"/>
          </w:tblCellMar>
        </w:tblPrEx>
        <w:trPr>
          <w:trHeight w:val="340" w:hRule="atLeast"/>
        </w:trPr>
        <w:tc>
          <w:tcPr>
            <w:tcW w:w="231" w:type="pct"/>
            <w:vMerge w:val="continue"/>
            <w:vAlign w:val="center"/>
          </w:tcPr>
          <w:p w14:paraId="4A0EAA62">
            <w:pPr>
              <w:pStyle w:val="28"/>
              <w:bidi w:val="0"/>
            </w:pPr>
          </w:p>
        </w:tc>
        <w:tc>
          <w:tcPr>
            <w:tcW w:w="330" w:type="pct"/>
            <w:vMerge w:val="restart"/>
            <w:vAlign w:val="center"/>
          </w:tcPr>
          <w:p w14:paraId="3A5D86D6">
            <w:pPr>
              <w:pStyle w:val="28"/>
              <w:bidi w:val="0"/>
            </w:pPr>
            <w:r>
              <w:t>陆生生态</w:t>
            </w:r>
          </w:p>
        </w:tc>
        <w:tc>
          <w:tcPr>
            <w:tcW w:w="3064" w:type="pct"/>
            <w:vAlign w:val="center"/>
          </w:tcPr>
          <w:p w14:paraId="5F39AC1E">
            <w:pPr>
              <w:pStyle w:val="28"/>
              <w:bidi w:val="0"/>
            </w:pPr>
            <w:r>
              <w:t>施工区、弃土场、生态保护红线</w:t>
            </w:r>
          </w:p>
        </w:tc>
        <w:tc>
          <w:tcPr>
            <w:tcW w:w="723" w:type="pct"/>
            <w:vMerge w:val="restart"/>
            <w:vAlign w:val="center"/>
          </w:tcPr>
          <w:p w14:paraId="26888C21">
            <w:pPr>
              <w:pStyle w:val="28"/>
              <w:bidi w:val="0"/>
            </w:pPr>
            <w:r>
              <w:t>植物种类和植被覆盖率、保护动物</w:t>
            </w:r>
          </w:p>
        </w:tc>
        <w:tc>
          <w:tcPr>
            <w:tcW w:w="650" w:type="pct"/>
            <w:vMerge w:val="restart"/>
            <w:vAlign w:val="center"/>
          </w:tcPr>
          <w:p w14:paraId="1FE12FA9">
            <w:pPr>
              <w:pStyle w:val="28"/>
              <w:bidi w:val="0"/>
            </w:pPr>
            <w:r>
              <w:t>施工期监测</w:t>
            </w:r>
            <w:r>
              <w:rPr>
                <w:rFonts w:hint="eastAsia"/>
              </w:rPr>
              <w:t>3</w:t>
            </w:r>
            <w:r>
              <w:t>次</w:t>
            </w:r>
          </w:p>
        </w:tc>
      </w:tr>
      <w:tr w14:paraId="19CAAD56">
        <w:tblPrEx>
          <w:tblCellMar>
            <w:top w:w="0" w:type="dxa"/>
            <w:left w:w="108" w:type="dxa"/>
            <w:bottom w:w="0" w:type="dxa"/>
            <w:right w:w="108" w:type="dxa"/>
          </w:tblCellMar>
        </w:tblPrEx>
        <w:trPr>
          <w:trHeight w:val="340" w:hRule="atLeast"/>
        </w:trPr>
        <w:tc>
          <w:tcPr>
            <w:tcW w:w="231" w:type="pct"/>
            <w:vMerge w:val="continue"/>
            <w:vAlign w:val="center"/>
          </w:tcPr>
          <w:p w14:paraId="2B1406A1">
            <w:pPr>
              <w:pStyle w:val="28"/>
              <w:bidi w:val="0"/>
            </w:pPr>
          </w:p>
        </w:tc>
        <w:tc>
          <w:tcPr>
            <w:tcW w:w="330" w:type="pct"/>
            <w:vMerge w:val="continue"/>
            <w:vAlign w:val="center"/>
          </w:tcPr>
          <w:p w14:paraId="5A8544FA">
            <w:pPr>
              <w:pStyle w:val="28"/>
              <w:bidi w:val="0"/>
            </w:pPr>
          </w:p>
        </w:tc>
        <w:tc>
          <w:tcPr>
            <w:tcW w:w="3064" w:type="pct"/>
            <w:vAlign w:val="center"/>
          </w:tcPr>
          <w:p w14:paraId="574F01EA">
            <w:pPr>
              <w:pStyle w:val="28"/>
              <w:bidi w:val="0"/>
            </w:pPr>
            <w:r>
              <w:t>淠河总干渠、滁河干渠、潜南干渠聚星渡槽：Ⅱ-4大别山北麓山前丘陵岗地水土保持生态保护红线、Ⅱ-3江淮分水岭丘岗水土保持生态保护红线</w:t>
            </w:r>
          </w:p>
        </w:tc>
        <w:tc>
          <w:tcPr>
            <w:tcW w:w="723" w:type="pct"/>
            <w:vMerge w:val="continue"/>
            <w:vAlign w:val="center"/>
          </w:tcPr>
          <w:p w14:paraId="76D3F5A0">
            <w:pPr>
              <w:pStyle w:val="28"/>
              <w:bidi w:val="0"/>
            </w:pPr>
          </w:p>
        </w:tc>
        <w:tc>
          <w:tcPr>
            <w:tcW w:w="650" w:type="pct"/>
            <w:vMerge w:val="continue"/>
            <w:vAlign w:val="center"/>
          </w:tcPr>
          <w:p w14:paraId="2C905406">
            <w:pPr>
              <w:pStyle w:val="28"/>
              <w:bidi w:val="0"/>
            </w:pPr>
          </w:p>
        </w:tc>
      </w:tr>
      <w:tr w14:paraId="3A33DF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4B5584E7">
            <w:pPr>
              <w:pStyle w:val="28"/>
              <w:bidi w:val="0"/>
            </w:pPr>
          </w:p>
        </w:tc>
        <w:tc>
          <w:tcPr>
            <w:tcW w:w="330" w:type="pct"/>
            <w:vMerge w:val="continue"/>
            <w:vAlign w:val="center"/>
          </w:tcPr>
          <w:p w14:paraId="5A5A67BD">
            <w:pPr>
              <w:pStyle w:val="28"/>
              <w:bidi w:val="0"/>
            </w:pPr>
          </w:p>
        </w:tc>
        <w:tc>
          <w:tcPr>
            <w:tcW w:w="3064" w:type="pct"/>
            <w:vAlign w:val="center"/>
          </w:tcPr>
          <w:p w14:paraId="582DF99B">
            <w:pPr>
              <w:pStyle w:val="28"/>
              <w:bidi w:val="0"/>
              <w:rPr>
                <w:rFonts w:hint="eastAsia" w:eastAsia="宋体"/>
                <w:lang w:eastAsia="zh-CN"/>
              </w:rPr>
            </w:pPr>
            <w:r>
              <w:t>安徽六安</w:t>
            </w:r>
          </w:p>
        </w:tc>
        <w:tc>
          <w:tcPr>
            <w:tcW w:w="723" w:type="pct"/>
            <w:vMerge w:val="continue"/>
            <w:vAlign w:val="center"/>
          </w:tcPr>
          <w:p w14:paraId="3E0A27FA">
            <w:pPr>
              <w:pStyle w:val="28"/>
              <w:bidi w:val="0"/>
            </w:pPr>
          </w:p>
        </w:tc>
        <w:tc>
          <w:tcPr>
            <w:tcW w:w="650" w:type="pct"/>
            <w:vMerge w:val="continue"/>
            <w:vAlign w:val="center"/>
          </w:tcPr>
          <w:p w14:paraId="26B93747">
            <w:pPr>
              <w:pStyle w:val="28"/>
              <w:bidi w:val="0"/>
            </w:pPr>
          </w:p>
        </w:tc>
      </w:tr>
      <w:tr w14:paraId="0EAD67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3A8AB08A">
            <w:pPr>
              <w:pStyle w:val="28"/>
              <w:bidi w:val="0"/>
            </w:pPr>
          </w:p>
        </w:tc>
        <w:tc>
          <w:tcPr>
            <w:tcW w:w="330" w:type="pct"/>
            <w:vMerge w:val="continue"/>
            <w:vAlign w:val="center"/>
          </w:tcPr>
          <w:p w14:paraId="4E852DC1">
            <w:pPr>
              <w:pStyle w:val="28"/>
              <w:bidi w:val="0"/>
            </w:pPr>
          </w:p>
        </w:tc>
        <w:tc>
          <w:tcPr>
            <w:tcW w:w="3064" w:type="pct"/>
            <w:vAlign w:val="center"/>
          </w:tcPr>
          <w:p w14:paraId="7F85280B">
            <w:pPr>
              <w:pStyle w:val="28"/>
              <w:bidi w:val="0"/>
            </w:pPr>
            <w:r>
              <w:t>安徽紫蓬山国家森林公园</w:t>
            </w:r>
          </w:p>
        </w:tc>
        <w:tc>
          <w:tcPr>
            <w:tcW w:w="723" w:type="pct"/>
            <w:vMerge w:val="continue"/>
            <w:vAlign w:val="center"/>
          </w:tcPr>
          <w:p w14:paraId="63B6CAC2">
            <w:pPr>
              <w:pStyle w:val="28"/>
              <w:bidi w:val="0"/>
            </w:pPr>
          </w:p>
        </w:tc>
        <w:tc>
          <w:tcPr>
            <w:tcW w:w="650" w:type="pct"/>
            <w:vMerge w:val="continue"/>
            <w:vAlign w:val="center"/>
          </w:tcPr>
          <w:p w14:paraId="636E45D2">
            <w:pPr>
              <w:pStyle w:val="28"/>
              <w:bidi w:val="0"/>
            </w:pPr>
          </w:p>
        </w:tc>
      </w:tr>
      <w:tr w14:paraId="7A6D9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221E9EB3">
            <w:pPr>
              <w:pStyle w:val="28"/>
              <w:bidi w:val="0"/>
            </w:pPr>
          </w:p>
        </w:tc>
        <w:tc>
          <w:tcPr>
            <w:tcW w:w="330" w:type="pct"/>
            <w:vMerge w:val="restart"/>
            <w:vAlign w:val="center"/>
          </w:tcPr>
          <w:p w14:paraId="1F889441">
            <w:pPr>
              <w:pStyle w:val="28"/>
              <w:bidi w:val="0"/>
            </w:pPr>
            <w:r>
              <w:t>水生生态</w:t>
            </w:r>
          </w:p>
        </w:tc>
        <w:tc>
          <w:tcPr>
            <w:tcW w:w="3064" w:type="pct"/>
            <w:vAlign w:val="center"/>
          </w:tcPr>
          <w:p w14:paraId="03738F07">
            <w:pPr>
              <w:pStyle w:val="28"/>
              <w:bidi w:val="0"/>
            </w:pPr>
            <w:r>
              <w:t>马田支渠：新建节制闸（桩号MT3+978）上下游50m</w:t>
            </w:r>
          </w:p>
        </w:tc>
        <w:tc>
          <w:tcPr>
            <w:tcW w:w="723" w:type="pct"/>
            <w:vMerge w:val="restart"/>
            <w:vAlign w:val="center"/>
          </w:tcPr>
          <w:p w14:paraId="1C1195DB">
            <w:pPr>
              <w:pStyle w:val="28"/>
              <w:bidi w:val="0"/>
            </w:pPr>
            <w:r>
              <w:t>鱼类繁殖、产卵情况、种群密度调查；浮游动植物种类、数量、密度等调查</w:t>
            </w:r>
          </w:p>
        </w:tc>
        <w:tc>
          <w:tcPr>
            <w:tcW w:w="650" w:type="pct"/>
            <w:vMerge w:val="restart"/>
            <w:vAlign w:val="center"/>
          </w:tcPr>
          <w:p w14:paraId="1F6736AA">
            <w:pPr>
              <w:pStyle w:val="28"/>
              <w:bidi w:val="0"/>
            </w:pPr>
            <w:r>
              <w:t>施工期监测</w:t>
            </w:r>
            <w:r>
              <w:rPr>
                <w:rFonts w:hint="eastAsia"/>
              </w:rPr>
              <w:t>2</w:t>
            </w:r>
            <w:r>
              <w:t>次</w:t>
            </w:r>
          </w:p>
        </w:tc>
      </w:tr>
      <w:tr w14:paraId="6678E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277451FA">
            <w:pPr>
              <w:pStyle w:val="28"/>
              <w:bidi w:val="0"/>
            </w:pPr>
          </w:p>
        </w:tc>
        <w:tc>
          <w:tcPr>
            <w:tcW w:w="330" w:type="pct"/>
            <w:vMerge w:val="continue"/>
            <w:vAlign w:val="center"/>
          </w:tcPr>
          <w:p w14:paraId="2166F2AE">
            <w:pPr>
              <w:pStyle w:val="28"/>
              <w:bidi w:val="0"/>
            </w:pPr>
          </w:p>
        </w:tc>
        <w:tc>
          <w:tcPr>
            <w:tcW w:w="3064" w:type="pct"/>
            <w:vAlign w:val="center"/>
          </w:tcPr>
          <w:p w14:paraId="209E2CD0">
            <w:pPr>
              <w:pStyle w:val="28"/>
              <w:bidi w:val="0"/>
            </w:pPr>
            <w:r>
              <w:t>大高支渠：新建程段水库进水闸（桩号1+660）上下游50m</w:t>
            </w:r>
          </w:p>
        </w:tc>
        <w:tc>
          <w:tcPr>
            <w:tcW w:w="723" w:type="pct"/>
            <w:vMerge w:val="continue"/>
            <w:vAlign w:val="center"/>
          </w:tcPr>
          <w:p w14:paraId="510120A8">
            <w:pPr>
              <w:pStyle w:val="28"/>
              <w:bidi w:val="0"/>
            </w:pPr>
          </w:p>
        </w:tc>
        <w:tc>
          <w:tcPr>
            <w:tcW w:w="650" w:type="pct"/>
            <w:vMerge w:val="continue"/>
            <w:vAlign w:val="center"/>
          </w:tcPr>
          <w:p w14:paraId="0CEE6F37">
            <w:pPr>
              <w:pStyle w:val="28"/>
              <w:bidi w:val="0"/>
            </w:pPr>
          </w:p>
        </w:tc>
      </w:tr>
      <w:tr w14:paraId="61A7A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7BDC7FCE">
            <w:pPr>
              <w:pStyle w:val="28"/>
              <w:bidi w:val="0"/>
            </w:pPr>
          </w:p>
        </w:tc>
        <w:tc>
          <w:tcPr>
            <w:tcW w:w="330" w:type="pct"/>
            <w:vMerge w:val="continue"/>
            <w:vAlign w:val="center"/>
          </w:tcPr>
          <w:p w14:paraId="6C3AD61A">
            <w:pPr>
              <w:pStyle w:val="28"/>
              <w:bidi w:val="0"/>
            </w:pPr>
          </w:p>
        </w:tc>
        <w:tc>
          <w:tcPr>
            <w:tcW w:w="3064" w:type="pct"/>
            <w:vAlign w:val="center"/>
          </w:tcPr>
          <w:p w14:paraId="7D416481">
            <w:pPr>
              <w:pStyle w:val="28"/>
              <w:bidi w:val="0"/>
            </w:pPr>
            <w:r>
              <w:t>与项目相关的水库（如董铺水库、果园山水库、大房郢水库、龙潭水库）</w:t>
            </w:r>
          </w:p>
        </w:tc>
        <w:tc>
          <w:tcPr>
            <w:tcW w:w="723" w:type="pct"/>
            <w:vMerge w:val="continue"/>
            <w:vAlign w:val="center"/>
          </w:tcPr>
          <w:p w14:paraId="25B68133">
            <w:pPr>
              <w:pStyle w:val="28"/>
              <w:bidi w:val="0"/>
            </w:pPr>
          </w:p>
        </w:tc>
        <w:tc>
          <w:tcPr>
            <w:tcW w:w="650" w:type="pct"/>
            <w:vMerge w:val="continue"/>
            <w:vAlign w:val="center"/>
          </w:tcPr>
          <w:p w14:paraId="67A7C548">
            <w:pPr>
              <w:pStyle w:val="28"/>
              <w:bidi w:val="0"/>
            </w:pPr>
          </w:p>
        </w:tc>
      </w:tr>
      <w:tr w14:paraId="4FB23977">
        <w:tblPrEx>
          <w:tblCellMar>
            <w:top w:w="0" w:type="dxa"/>
            <w:left w:w="108" w:type="dxa"/>
            <w:bottom w:w="0" w:type="dxa"/>
            <w:right w:w="108" w:type="dxa"/>
          </w:tblCellMar>
        </w:tblPrEx>
        <w:trPr>
          <w:trHeight w:val="340" w:hRule="atLeast"/>
        </w:trPr>
        <w:tc>
          <w:tcPr>
            <w:tcW w:w="231" w:type="pct"/>
            <w:vMerge w:val="restart"/>
            <w:vAlign w:val="center"/>
          </w:tcPr>
          <w:p w14:paraId="01AD279C">
            <w:pPr>
              <w:pStyle w:val="28"/>
              <w:bidi w:val="0"/>
            </w:pPr>
            <w:r>
              <w:rPr>
                <w:rFonts w:hint="eastAsia"/>
              </w:rPr>
              <w:t>运营期</w:t>
            </w:r>
          </w:p>
        </w:tc>
        <w:tc>
          <w:tcPr>
            <w:tcW w:w="330" w:type="pct"/>
            <w:vAlign w:val="center"/>
          </w:tcPr>
          <w:p w14:paraId="2805E177">
            <w:pPr>
              <w:pStyle w:val="28"/>
              <w:bidi w:val="0"/>
            </w:pPr>
            <w:r>
              <w:rPr>
                <w:rFonts w:hint="eastAsia"/>
              </w:rPr>
              <w:t>噪声监测</w:t>
            </w:r>
          </w:p>
        </w:tc>
        <w:tc>
          <w:tcPr>
            <w:tcW w:w="3064" w:type="pct"/>
            <w:vAlign w:val="center"/>
          </w:tcPr>
          <w:p w14:paraId="102473D7">
            <w:pPr>
              <w:pStyle w:val="28"/>
              <w:bidi w:val="0"/>
            </w:pPr>
            <w:r>
              <w:rPr>
                <w:rFonts w:hint="eastAsia"/>
              </w:rPr>
              <w:t>郑岗泵站四周、令喜希望小学、土楼村、下糖郢合计设置7个运行期噪声监测点位</w:t>
            </w:r>
          </w:p>
        </w:tc>
        <w:tc>
          <w:tcPr>
            <w:tcW w:w="723" w:type="pct"/>
            <w:vAlign w:val="center"/>
          </w:tcPr>
          <w:p w14:paraId="6827A597">
            <w:pPr>
              <w:pStyle w:val="28"/>
              <w:bidi w:val="0"/>
            </w:pPr>
            <w:r>
              <w:t>Leq</w:t>
            </w:r>
          </w:p>
        </w:tc>
        <w:tc>
          <w:tcPr>
            <w:tcW w:w="650" w:type="pct"/>
            <w:vAlign w:val="center"/>
          </w:tcPr>
          <w:p w14:paraId="09AE694E">
            <w:pPr>
              <w:pStyle w:val="28"/>
              <w:bidi w:val="0"/>
            </w:pPr>
            <w:r>
              <w:rPr>
                <w:rFonts w:hint="eastAsia"/>
              </w:rPr>
              <w:t>1次/季度</w:t>
            </w:r>
          </w:p>
        </w:tc>
      </w:tr>
      <w:tr w14:paraId="4DA65A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31" w:type="pct"/>
            <w:vMerge w:val="continue"/>
            <w:vAlign w:val="center"/>
          </w:tcPr>
          <w:p w14:paraId="1DABC996">
            <w:pPr>
              <w:pStyle w:val="28"/>
              <w:bidi w:val="0"/>
            </w:pPr>
          </w:p>
        </w:tc>
        <w:tc>
          <w:tcPr>
            <w:tcW w:w="330" w:type="pct"/>
            <w:vAlign w:val="center"/>
          </w:tcPr>
          <w:p w14:paraId="1C356A11">
            <w:pPr>
              <w:pStyle w:val="28"/>
              <w:bidi w:val="0"/>
            </w:pPr>
            <w:r>
              <w:rPr>
                <w:rFonts w:hint="eastAsia"/>
              </w:rPr>
              <w:t>水生生态</w:t>
            </w:r>
          </w:p>
        </w:tc>
        <w:tc>
          <w:tcPr>
            <w:tcW w:w="3064" w:type="pct"/>
            <w:vAlign w:val="center"/>
          </w:tcPr>
          <w:p w14:paraId="193CFEE2">
            <w:pPr>
              <w:pStyle w:val="28"/>
              <w:bidi w:val="0"/>
            </w:pPr>
            <w:r>
              <w:rPr>
                <w:rFonts w:hint="eastAsia"/>
              </w:rPr>
              <w:t>大高支渠、程段水库靠近进水闸处合计设置2个水生生物监测点</w:t>
            </w:r>
          </w:p>
        </w:tc>
        <w:tc>
          <w:tcPr>
            <w:tcW w:w="723" w:type="pct"/>
            <w:vAlign w:val="center"/>
          </w:tcPr>
          <w:p w14:paraId="285A7048">
            <w:pPr>
              <w:pStyle w:val="28"/>
              <w:bidi w:val="0"/>
            </w:pPr>
            <w:r>
              <w:rPr>
                <w:rFonts w:hint="eastAsia"/>
              </w:rPr>
              <w:t>鲫鱼等鱼类生物量</w:t>
            </w:r>
          </w:p>
        </w:tc>
        <w:tc>
          <w:tcPr>
            <w:tcW w:w="650" w:type="pct"/>
            <w:vAlign w:val="center"/>
          </w:tcPr>
          <w:p w14:paraId="3249CDB2">
            <w:pPr>
              <w:pStyle w:val="28"/>
              <w:bidi w:val="0"/>
            </w:pPr>
            <w:r>
              <w:rPr>
                <w:rFonts w:hint="eastAsia"/>
              </w:rPr>
              <w:t>6~9月，每月监测2次</w:t>
            </w:r>
          </w:p>
        </w:tc>
      </w:tr>
    </w:tbl>
    <w:p w14:paraId="3A98E8A2">
      <w:pPr>
        <w:rPr>
          <w:rFonts w:cs="Times New Roman"/>
          <w:color w:val="0000FF"/>
        </w:rPr>
      </w:pPr>
    </w:p>
    <w:p w14:paraId="66909FFB">
      <w:pPr>
        <w:ind w:firstLine="480"/>
        <w:rPr>
          <w:rFonts w:cs="Times New Roman"/>
          <w:color w:val="0000FF"/>
        </w:rPr>
        <w:sectPr>
          <w:pgSz w:w="11905" w:h="16838"/>
          <w:pgMar w:top="1417" w:right="1417" w:bottom="1417" w:left="1417" w:header="850" w:footer="850" w:gutter="0"/>
          <w:pgNumType w:fmt="decimal"/>
          <w:cols w:space="0" w:num="1"/>
          <w:rtlGutter w:val="0"/>
          <w:docGrid w:linePitch="326" w:charSpace="0"/>
        </w:sectPr>
      </w:pPr>
    </w:p>
    <w:p w14:paraId="48A4E8EF">
      <w:pPr>
        <w:pStyle w:val="3"/>
        <w:rPr>
          <w:color w:val="0000FF"/>
        </w:rPr>
      </w:pPr>
      <w:bookmarkStart w:id="94" w:name="_Toc28928"/>
      <w:bookmarkEnd w:id="94"/>
      <w:bookmarkStart w:id="95" w:name="_Toc17822"/>
      <w:r>
        <w:rPr>
          <w:rFonts w:hint="eastAsia"/>
          <w:color w:val="0000FF"/>
        </w:rPr>
        <w:t>9</w:t>
      </w:r>
      <w:r>
        <w:rPr>
          <w:color w:val="0000FF"/>
        </w:rPr>
        <w:t>.</w:t>
      </w:r>
      <w:r>
        <w:rPr>
          <w:rFonts w:hint="eastAsia"/>
          <w:color w:val="0000FF"/>
        </w:rPr>
        <w:t>3</w:t>
      </w:r>
      <w:r>
        <w:rPr>
          <w:color w:val="0000FF"/>
        </w:rPr>
        <w:t>三同时环保验收</w:t>
      </w:r>
      <w:bookmarkEnd w:id="95"/>
    </w:p>
    <w:p w14:paraId="2429D7BB">
      <w:pPr>
        <w:ind w:firstLine="480"/>
        <w:rPr>
          <w:rFonts w:cs="Times New Roman"/>
          <w:snapToGrid w:val="0"/>
          <w:color w:val="0000FF"/>
        </w:rPr>
      </w:pPr>
      <w:r>
        <w:rPr>
          <w:rFonts w:cs="Times New Roman"/>
          <w:color w:val="0000FF"/>
          <w:kern w:val="2"/>
        </w:rPr>
        <w:t>根据《建设项目竣工环境保护验收暂行办法》，建设单位是建设项目竣工环境保护验收的责任主体。</w:t>
      </w:r>
      <w:r>
        <w:rPr>
          <w:rFonts w:cs="Times New Roman"/>
          <w:snapToGrid w:val="0"/>
          <w:color w:val="0000FF"/>
        </w:rPr>
        <w:t>建设项目竣工后，建设单位应当如实查验、监测、记载建设项目环境保护设施的建设情况，编制验收监测报告。根据《建设项目环境保护管理条例》项目建设与环境保护应实行</w:t>
      </w:r>
      <w:r>
        <w:rPr>
          <w:rFonts w:hint="eastAsia" w:cs="Times New Roman"/>
          <w:snapToGrid w:val="0"/>
          <w:color w:val="0000FF"/>
        </w:rPr>
        <w:t>“</w:t>
      </w:r>
      <w:r>
        <w:rPr>
          <w:rFonts w:cs="Times New Roman"/>
          <w:snapToGrid w:val="0"/>
          <w:color w:val="0000FF"/>
        </w:rPr>
        <w:t>三同时</w:t>
      </w:r>
      <w:r>
        <w:rPr>
          <w:rFonts w:hint="eastAsia" w:cs="Times New Roman"/>
          <w:snapToGrid w:val="0"/>
          <w:color w:val="0000FF"/>
        </w:rPr>
        <w:t>”</w:t>
      </w:r>
      <w:r>
        <w:rPr>
          <w:rFonts w:cs="Times New Roman"/>
          <w:snapToGrid w:val="0"/>
          <w:color w:val="0000FF"/>
        </w:rPr>
        <w:t>制度，</w:t>
      </w:r>
      <w:r>
        <w:rPr>
          <w:rFonts w:hint="eastAsia" w:cs="Times New Roman"/>
          <w:snapToGrid w:val="0"/>
          <w:color w:val="0000FF"/>
          <w:lang w:eastAsia="zh-CN"/>
        </w:rPr>
        <w:t>淮南市谢家集区朱集中型灌区续建配套与节水改造项目</w:t>
      </w:r>
      <w:r>
        <w:rPr>
          <w:rFonts w:cs="Times New Roman"/>
          <w:snapToGrid w:val="0"/>
          <w:color w:val="0000FF"/>
        </w:rPr>
        <w:t>三期工程环境保护</w:t>
      </w:r>
      <w:r>
        <w:rPr>
          <w:rFonts w:hint="eastAsia" w:cs="Times New Roman"/>
          <w:snapToGrid w:val="0"/>
          <w:color w:val="0000FF"/>
        </w:rPr>
        <w:t>“</w:t>
      </w:r>
      <w:r>
        <w:rPr>
          <w:rFonts w:cs="Times New Roman"/>
          <w:snapToGrid w:val="0"/>
          <w:color w:val="0000FF"/>
        </w:rPr>
        <w:t>三同时</w:t>
      </w:r>
      <w:r>
        <w:rPr>
          <w:rFonts w:hint="eastAsia" w:cs="Times New Roman"/>
          <w:snapToGrid w:val="0"/>
          <w:color w:val="0000FF"/>
        </w:rPr>
        <w:t>”</w:t>
      </w:r>
      <w:r>
        <w:rPr>
          <w:rFonts w:cs="Times New Roman"/>
          <w:snapToGrid w:val="0"/>
          <w:color w:val="0000FF"/>
        </w:rPr>
        <w:t>验收表见表</w:t>
      </w:r>
      <w:r>
        <w:rPr>
          <w:rFonts w:hint="eastAsia" w:cs="Times New Roman"/>
          <w:snapToGrid w:val="0"/>
          <w:color w:val="0000FF"/>
        </w:rPr>
        <w:t>9</w:t>
      </w:r>
      <w:r>
        <w:rPr>
          <w:rFonts w:cs="Times New Roman"/>
          <w:snapToGrid w:val="0"/>
          <w:color w:val="0000FF"/>
        </w:rPr>
        <w:t>-</w:t>
      </w:r>
      <w:r>
        <w:rPr>
          <w:rFonts w:hint="eastAsia" w:cs="Times New Roman"/>
          <w:snapToGrid w:val="0"/>
          <w:color w:val="0000FF"/>
        </w:rPr>
        <w:t>3</w:t>
      </w:r>
      <w:r>
        <w:rPr>
          <w:rFonts w:cs="Times New Roman"/>
          <w:snapToGrid w:val="0"/>
          <w:color w:val="0000FF"/>
        </w:rPr>
        <w:t>-1。</w:t>
      </w:r>
    </w:p>
    <w:p w14:paraId="040AC27A">
      <w:pPr>
        <w:rPr>
          <w:rFonts w:cs="Times New Roman"/>
          <w:color w:val="0000FF"/>
        </w:rPr>
      </w:pPr>
      <w:r>
        <w:rPr>
          <w:rFonts w:cs="Times New Roman"/>
          <w:color w:val="0000FF"/>
        </w:rPr>
        <w:t>表</w:t>
      </w:r>
      <w:r>
        <w:rPr>
          <w:rFonts w:hint="eastAsia" w:cs="Times New Roman"/>
          <w:color w:val="0000FF"/>
        </w:rPr>
        <w:t>9</w:t>
      </w:r>
      <w:r>
        <w:rPr>
          <w:rFonts w:cs="Times New Roman"/>
          <w:color w:val="0000FF"/>
        </w:rPr>
        <w:t>-</w:t>
      </w:r>
      <w:r>
        <w:rPr>
          <w:rFonts w:hint="eastAsia" w:cs="Times New Roman"/>
          <w:color w:val="0000FF"/>
        </w:rPr>
        <w:t>3</w:t>
      </w:r>
      <w:r>
        <w:rPr>
          <w:rFonts w:cs="Times New Roman"/>
          <w:color w:val="0000FF"/>
        </w:rPr>
        <w:t xml:space="preserve">-1 </w:t>
      </w:r>
      <w:r>
        <w:rPr>
          <w:rFonts w:hint="eastAsia" w:cs="Times New Roman"/>
          <w:color w:val="0000FF"/>
          <w:lang w:eastAsia="zh-CN"/>
        </w:rPr>
        <w:t>淮南市谢家集区朱集中型灌区续建配套与节水改造项目</w:t>
      </w:r>
      <w:r>
        <w:rPr>
          <w:rFonts w:cs="Times New Roman"/>
          <w:snapToGrid w:val="0"/>
          <w:color w:val="0000FF"/>
        </w:rPr>
        <w:t>三期工程</w:t>
      </w:r>
      <w:r>
        <w:rPr>
          <w:rFonts w:cs="Times New Roman"/>
          <w:color w:val="0000FF"/>
        </w:rPr>
        <w:t>工程环境保护</w:t>
      </w:r>
      <w:r>
        <w:rPr>
          <w:rFonts w:hint="eastAsia" w:cs="Times New Roman"/>
          <w:color w:val="0000FF"/>
        </w:rPr>
        <w:t>“</w:t>
      </w:r>
      <w:r>
        <w:rPr>
          <w:rFonts w:cs="Times New Roman"/>
          <w:color w:val="0000FF"/>
        </w:rPr>
        <w:t>三同时</w:t>
      </w:r>
      <w:r>
        <w:rPr>
          <w:rFonts w:hint="eastAsia" w:cs="Times New Roman"/>
          <w:color w:val="0000FF"/>
        </w:rPr>
        <w:t>”</w:t>
      </w:r>
      <w:r>
        <w:rPr>
          <w:rFonts w:cs="Times New Roman"/>
          <w:color w:val="0000FF"/>
        </w:rPr>
        <w:t>验收一览表</w:t>
      </w:r>
    </w:p>
    <w:tbl>
      <w:tblPr>
        <w:tblStyle w:val="16"/>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6"/>
        <w:gridCol w:w="689"/>
        <w:gridCol w:w="749"/>
        <w:gridCol w:w="1391"/>
        <w:gridCol w:w="1496"/>
        <w:gridCol w:w="4526"/>
      </w:tblGrid>
      <w:tr w14:paraId="28CD4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Align w:val="center"/>
          </w:tcPr>
          <w:p w14:paraId="56625299">
            <w:pPr>
              <w:pStyle w:val="28"/>
              <w:bidi w:val="0"/>
            </w:pPr>
            <w:r>
              <w:t>时期</w:t>
            </w:r>
          </w:p>
        </w:tc>
        <w:tc>
          <w:tcPr>
            <w:tcW w:w="773" w:type="pct"/>
            <w:gridSpan w:val="2"/>
            <w:vAlign w:val="center"/>
          </w:tcPr>
          <w:p w14:paraId="2119A49D">
            <w:pPr>
              <w:pStyle w:val="28"/>
              <w:bidi w:val="0"/>
            </w:pPr>
            <w:r>
              <w:t>污染物</w:t>
            </w:r>
          </w:p>
        </w:tc>
        <w:tc>
          <w:tcPr>
            <w:tcW w:w="3991" w:type="pct"/>
            <w:gridSpan w:val="3"/>
            <w:vAlign w:val="center"/>
          </w:tcPr>
          <w:p w14:paraId="48450EF8">
            <w:pPr>
              <w:pStyle w:val="28"/>
              <w:bidi w:val="0"/>
            </w:pPr>
            <w:r>
              <w:t>环保措施</w:t>
            </w:r>
          </w:p>
        </w:tc>
      </w:tr>
      <w:tr w14:paraId="2B72F0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restart"/>
            <w:vAlign w:val="center"/>
          </w:tcPr>
          <w:p w14:paraId="4A002035">
            <w:pPr>
              <w:pStyle w:val="28"/>
              <w:bidi w:val="0"/>
            </w:pPr>
            <w:r>
              <w:t>施工期</w:t>
            </w:r>
          </w:p>
        </w:tc>
        <w:tc>
          <w:tcPr>
            <w:tcW w:w="370" w:type="pct"/>
            <w:vMerge w:val="restart"/>
            <w:vAlign w:val="center"/>
          </w:tcPr>
          <w:p w14:paraId="1EBC688F">
            <w:pPr>
              <w:pStyle w:val="28"/>
              <w:bidi w:val="0"/>
            </w:pPr>
            <w:r>
              <w:t>水环境</w:t>
            </w:r>
          </w:p>
        </w:tc>
        <w:tc>
          <w:tcPr>
            <w:tcW w:w="403" w:type="pct"/>
            <w:vAlign w:val="center"/>
          </w:tcPr>
          <w:p w14:paraId="4F1F0584">
            <w:pPr>
              <w:pStyle w:val="28"/>
              <w:bidi w:val="0"/>
            </w:pPr>
            <w:r>
              <w:t>生活污水</w:t>
            </w:r>
          </w:p>
        </w:tc>
        <w:tc>
          <w:tcPr>
            <w:tcW w:w="3991" w:type="pct"/>
            <w:gridSpan w:val="3"/>
            <w:vAlign w:val="center"/>
          </w:tcPr>
          <w:p w14:paraId="3D328AB2">
            <w:pPr>
              <w:pStyle w:val="28"/>
              <w:bidi w:val="0"/>
            </w:pPr>
            <w:r>
              <w:t>优先租用民房，依托民房现状生活污水处理设施，施工生活区建设分别设置</w:t>
            </w:r>
            <w:r>
              <w:rPr>
                <w:rFonts w:hint="eastAsia"/>
              </w:rPr>
              <w:t>1个</w:t>
            </w:r>
            <w:r>
              <w:t>一体化污水处理设备</w:t>
            </w:r>
            <w:r>
              <w:rPr>
                <w:rFonts w:hint="eastAsia"/>
              </w:rPr>
              <w:t>。生活污水依托周边村庄或者经一体化生活污水处理设施处理达到行《农田灌溉水质标准》（GB5084-2021）中“水田作物”标准，用作周边农田灌溉</w:t>
            </w:r>
          </w:p>
        </w:tc>
      </w:tr>
      <w:tr w14:paraId="77663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4B2FC878">
            <w:pPr>
              <w:pStyle w:val="28"/>
              <w:bidi w:val="0"/>
            </w:pPr>
          </w:p>
        </w:tc>
        <w:tc>
          <w:tcPr>
            <w:tcW w:w="370" w:type="pct"/>
            <w:vMerge w:val="continue"/>
            <w:vAlign w:val="center"/>
          </w:tcPr>
          <w:p w14:paraId="027A4953">
            <w:pPr>
              <w:pStyle w:val="28"/>
              <w:bidi w:val="0"/>
            </w:pPr>
          </w:p>
        </w:tc>
        <w:tc>
          <w:tcPr>
            <w:tcW w:w="403" w:type="pct"/>
            <w:vAlign w:val="center"/>
          </w:tcPr>
          <w:p w14:paraId="575E487D">
            <w:pPr>
              <w:pStyle w:val="28"/>
              <w:bidi w:val="0"/>
            </w:pPr>
            <w:r>
              <w:t>含油废水</w:t>
            </w:r>
          </w:p>
        </w:tc>
        <w:tc>
          <w:tcPr>
            <w:tcW w:w="3991" w:type="pct"/>
            <w:gridSpan w:val="3"/>
            <w:vMerge w:val="restart"/>
            <w:vAlign w:val="center"/>
          </w:tcPr>
          <w:p w14:paraId="34B6632B">
            <w:pPr>
              <w:pStyle w:val="28"/>
              <w:bidi w:val="0"/>
            </w:pPr>
            <w:r>
              <w:t>商品混凝土搅拌废水、混凝土养护废水、基坑排水、施工机械清洗废水等经施工布置区设置的中和沉淀池、沉淀池、隔油沉淀池等处理，回用于道路降尘、施工场地洒水等，不外排。</w:t>
            </w:r>
          </w:p>
        </w:tc>
      </w:tr>
      <w:tr w14:paraId="78335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0EDB02FA">
            <w:pPr>
              <w:pStyle w:val="28"/>
              <w:bidi w:val="0"/>
            </w:pPr>
          </w:p>
        </w:tc>
        <w:tc>
          <w:tcPr>
            <w:tcW w:w="370" w:type="pct"/>
            <w:vMerge w:val="continue"/>
            <w:vAlign w:val="center"/>
          </w:tcPr>
          <w:p w14:paraId="092A887D">
            <w:pPr>
              <w:pStyle w:val="28"/>
              <w:bidi w:val="0"/>
            </w:pPr>
          </w:p>
        </w:tc>
        <w:tc>
          <w:tcPr>
            <w:tcW w:w="403" w:type="pct"/>
            <w:vAlign w:val="center"/>
          </w:tcPr>
          <w:p w14:paraId="278E2A3B">
            <w:pPr>
              <w:pStyle w:val="28"/>
              <w:bidi w:val="0"/>
            </w:pPr>
            <w:r>
              <w:t>混凝土施工废水</w:t>
            </w:r>
          </w:p>
        </w:tc>
        <w:tc>
          <w:tcPr>
            <w:tcW w:w="3991" w:type="pct"/>
            <w:gridSpan w:val="3"/>
            <w:vMerge w:val="continue"/>
            <w:vAlign w:val="center"/>
          </w:tcPr>
          <w:p w14:paraId="6EE04B98">
            <w:pPr>
              <w:pStyle w:val="28"/>
              <w:bidi w:val="0"/>
            </w:pPr>
          </w:p>
        </w:tc>
      </w:tr>
      <w:tr w14:paraId="5D5CD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072C7471">
            <w:pPr>
              <w:pStyle w:val="28"/>
              <w:bidi w:val="0"/>
            </w:pPr>
          </w:p>
        </w:tc>
        <w:tc>
          <w:tcPr>
            <w:tcW w:w="370" w:type="pct"/>
            <w:vMerge w:val="continue"/>
            <w:vAlign w:val="center"/>
          </w:tcPr>
          <w:p w14:paraId="75A6AC99">
            <w:pPr>
              <w:pStyle w:val="28"/>
              <w:bidi w:val="0"/>
            </w:pPr>
          </w:p>
        </w:tc>
        <w:tc>
          <w:tcPr>
            <w:tcW w:w="403" w:type="pct"/>
            <w:vAlign w:val="center"/>
          </w:tcPr>
          <w:p w14:paraId="293304D2">
            <w:pPr>
              <w:pStyle w:val="28"/>
              <w:bidi w:val="0"/>
            </w:pPr>
            <w:r>
              <w:t>基坑排水</w:t>
            </w:r>
          </w:p>
        </w:tc>
        <w:tc>
          <w:tcPr>
            <w:tcW w:w="3991" w:type="pct"/>
            <w:gridSpan w:val="3"/>
            <w:vMerge w:val="continue"/>
            <w:vAlign w:val="center"/>
          </w:tcPr>
          <w:p w14:paraId="136E05BB">
            <w:pPr>
              <w:pStyle w:val="28"/>
              <w:bidi w:val="0"/>
            </w:pPr>
          </w:p>
        </w:tc>
      </w:tr>
      <w:tr w14:paraId="79F3A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234" w:type="pct"/>
            <w:vMerge w:val="continue"/>
            <w:vAlign w:val="center"/>
          </w:tcPr>
          <w:p w14:paraId="43B09FF9">
            <w:pPr>
              <w:pStyle w:val="28"/>
              <w:bidi w:val="0"/>
            </w:pPr>
          </w:p>
        </w:tc>
        <w:tc>
          <w:tcPr>
            <w:tcW w:w="370" w:type="pct"/>
            <w:vMerge w:val="restart"/>
            <w:vAlign w:val="center"/>
          </w:tcPr>
          <w:p w14:paraId="35F1DBAE">
            <w:pPr>
              <w:pStyle w:val="28"/>
              <w:bidi w:val="0"/>
            </w:pPr>
            <w:r>
              <w:t>环境空气</w:t>
            </w:r>
          </w:p>
        </w:tc>
        <w:tc>
          <w:tcPr>
            <w:tcW w:w="403" w:type="pct"/>
            <w:vAlign w:val="center"/>
          </w:tcPr>
          <w:p w14:paraId="4847D47F">
            <w:pPr>
              <w:pStyle w:val="28"/>
              <w:bidi w:val="0"/>
            </w:pPr>
            <w:r>
              <w:t>开挖扬尘</w:t>
            </w:r>
          </w:p>
        </w:tc>
        <w:tc>
          <w:tcPr>
            <w:tcW w:w="3991" w:type="pct"/>
            <w:gridSpan w:val="3"/>
            <w:vAlign w:val="center"/>
          </w:tcPr>
          <w:p w14:paraId="12D145BD">
            <w:pPr>
              <w:pStyle w:val="28"/>
              <w:bidi w:val="0"/>
            </w:pPr>
            <w:r>
              <w:t>配备洒水车，在无雨天每日对施工区进行洒水4～6次；靠近居民点的西侧设置防尘围栏；在大风天和重污染天气停止土方开挖。</w:t>
            </w:r>
          </w:p>
        </w:tc>
      </w:tr>
      <w:tr w14:paraId="31CF7F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3EED74F6">
            <w:pPr>
              <w:pStyle w:val="28"/>
              <w:bidi w:val="0"/>
            </w:pPr>
          </w:p>
        </w:tc>
        <w:tc>
          <w:tcPr>
            <w:tcW w:w="370" w:type="pct"/>
            <w:vMerge w:val="continue"/>
            <w:vAlign w:val="center"/>
          </w:tcPr>
          <w:p w14:paraId="13867F17">
            <w:pPr>
              <w:pStyle w:val="28"/>
              <w:bidi w:val="0"/>
            </w:pPr>
          </w:p>
        </w:tc>
        <w:tc>
          <w:tcPr>
            <w:tcW w:w="403" w:type="pct"/>
            <w:vAlign w:val="center"/>
          </w:tcPr>
          <w:p w14:paraId="4B54308A">
            <w:pPr>
              <w:pStyle w:val="28"/>
              <w:bidi w:val="0"/>
            </w:pPr>
            <w:r>
              <w:t>施工和交通扬尘</w:t>
            </w:r>
          </w:p>
        </w:tc>
        <w:tc>
          <w:tcPr>
            <w:tcW w:w="3991" w:type="pct"/>
            <w:gridSpan w:val="3"/>
            <w:vAlign w:val="center"/>
          </w:tcPr>
          <w:p w14:paraId="51ED9AA8">
            <w:pPr>
              <w:pStyle w:val="28"/>
              <w:bidi w:val="0"/>
            </w:pPr>
            <w:r>
              <w:t>运送袋装水泥必须覆盖封闭；土方和水泥等易产生扬尘的材料在运输过程中要用挡板和篷布封闭；保持车辆进出施工场地路面清洁，运输车辆应当在除泥、冲洗干净后，方可驶出施工</w:t>
            </w:r>
            <w:r>
              <w:rPr>
                <w:rFonts w:hint="eastAsia"/>
              </w:rPr>
              <w:t>场地</w:t>
            </w:r>
            <w:r>
              <w:t>；加强车辆保养减少燃油废气污染物排放。</w:t>
            </w:r>
          </w:p>
        </w:tc>
      </w:tr>
      <w:tr w14:paraId="6BB89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38F10780">
            <w:pPr>
              <w:pStyle w:val="28"/>
              <w:bidi w:val="0"/>
            </w:pPr>
          </w:p>
        </w:tc>
        <w:tc>
          <w:tcPr>
            <w:tcW w:w="370" w:type="pct"/>
            <w:vMerge w:val="continue"/>
            <w:vAlign w:val="center"/>
          </w:tcPr>
          <w:p w14:paraId="58B631CE">
            <w:pPr>
              <w:pStyle w:val="28"/>
              <w:bidi w:val="0"/>
            </w:pPr>
          </w:p>
        </w:tc>
        <w:tc>
          <w:tcPr>
            <w:tcW w:w="403" w:type="pct"/>
            <w:vAlign w:val="center"/>
          </w:tcPr>
          <w:p w14:paraId="6E56E936">
            <w:pPr>
              <w:pStyle w:val="28"/>
              <w:bidi w:val="0"/>
            </w:pPr>
            <w:r>
              <w:t>建筑物拆除扬尘</w:t>
            </w:r>
          </w:p>
        </w:tc>
        <w:tc>
          <w:tcPr>
            <w:tcW w:w="3991" w:type="pct"/>
            <w:gridSpan w:val="3"/>
            <w:vAlign w:val="center"/>
          </w:tcPr>
          <w:p w14:paraId="2277DE3D">
            <w:pPr>
              <w:pStyle w:val="28"/>
              <w:bidi w:val="0"/>
            </w:pPr>
            <w:r>
              <w:t>建筑物拆除时，注意洒水降尘；拆除的废渣及时清运。</w:t>
            </w:r>
          </w:p>
        </w:tc>
      </w:tr>
      <w:tr w14:paraId="45BDD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4649D18E">
            <w:pPr>
              <w:pStyle w:val="28"/>
              <w:bidi w:val="0"/>
            </w:pPr>
          </w:p>
        </w:tc>
        <w:tc>
          <w:tcPr>
            <w:tcW w:w="370" w:type="pct"/>
            <w:vMerge w:val="continue"/>
            <w:vAlign w:val="center"/>
          </w:tcPr>
          <w:p w14:paraId="765BC2AB">
            <w:pPr>
              <w:pStyle w:val="28"/>
              <w:bidi w:val="0"/>
            </w:pPr>
          </w:p>
        </w:tc>
        <w:tc>
          <w:tcPr>
            <w:tcW w:w="403" w:type="pct"/>
            <w:vAlign w:val="center"/>
          </w:tcPr>
          <w:p w14:paraId="118CC1EF">
            <w:pPr>
              <w:pStyle w:val="28"/>
              <w:bidi w:val="0"/>
            </w:pPr>
            <w:r>
              <w:t>建筑材料堆放</w:t>
            </w:r>
          </w:p>
        </w:tc>
        <w:tc>
          <w:tcPr>
            <w:tcW w:w="3991" w:type="pct"/>
            <w:gridSpan w:val="3"/>
            <w:vAlign w:val="center"/>
          </w:tcPr>
          <w:p w14:paraId="0D05F1A7">
            <w:pPr>
              <w:pStyle w:val="28"/>
              <w:bidi w:val="0"/>
            </w:pPr>
            <w:r>
              <w:t>水泥等易产尘物质室内堆放或筒仓暂存，不得露天堆放。</w:t>
            </w:r>
          </w:p>
        </w:tc>
      </w:tr>
      <w:tr w14:paraId="393E0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325EE53">
            <w:pPr>
              <w:pStyle w:val="28"/>
              <w:bidi w:val="0"/>
            </w:pPr>
          </w:p>
        </w:tc>
        <w:tc>
          <w:tcPr>
            <w:tcW w:w="370" w:type="pct"/>
            <w:vMerge w:val="restart"/>
            <w:vAlign w:val="center"/>
          </w:tcPr>
          <w:p w14:paraId="0194F140">
            <w:pPr>
              <w:pStyle w:val="28"/>
              <w:bidi w:val="0"/>
            </w:pPr>
            <w:r>
              <w:t>声环境</w:t>
            </w:r>
          </w:p>
        </w:tc>
        <w:tc>
          <w:tcPr>
            <w:tcW w:w="403" w:type="pct"/>
            <w:vAlign w:val="center"/>
          </w:tcPr>
          <w:p w14:paraId="235947B7">
            <w:pPr>
              <w:pStyle w:val="28"/>
              <w:bidi w:val="0"/>
            </w:pPr>
            <w:r>
              <w:t>交通运行</w:t>
            </w:r>
          </w:p>
        </w:tc>
        <w:tc>
          <w:tcPr>
            <w:tcW w:w="3991" w:type="pct"/>
            <w:gridSpan w:val="3"/>
            <w:vAlign w:val="center"/>
          </w:tcPr>
          <w:p w14:paraId="70D62FEA">
            <w:pPr>
              <w:pStyle w:val="28"/>
              <w:bidi w:val="0"/>
            </w:pPr>
            <w:r>
              <w:t>施工运输道路经过学校路段时，在学校路段前50m处设置限速标志，控制车速，并禁止鸣笛，同时避免在师生午休时间及夜间进行运输活动。</w:t>
            </w:r>
          </w:p>
        </w:tc>
      </w:tr>
      <w:tr w14:paraId="4A6D0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3E63A7CD">
            <w:pPr>
              <w:pStyle w:val="28"/>
              <w:bidi w:val="0"/>
            </w:pPr>
          </w:p>
        </w:tc>
        <w:tc>
          <w:tcPr>
            <w:tcW w:w="370" w:type="pct"/>
            <w:vMerge w:val="continue"/>
            <w:vAlign w:val="center"/>
          </w:tcPr>
          <w:p w14:paraId="33F60E12">
            <w:pPr>
              <w:pStyle w:val="28"/>
              <w:bidi w:val="0"/>
            </w:pPr>
          </w:p>
        </w:tc>
        <w:tc>
          <w:tcPr>
            <w:tcW w:w="403" w:type="pct"/>
            <w:vAlign w:val="center"/>
          </w:tcPr>
          <w:p w14:paraId="6E2CD3EB">
            <w:pPr>
              <w:pStyle w:val="28"/>
              <w:bidi w:val="0"/>
            </w:pPr>
            <w:r>
              <w:t>施工机械</w:t>
            </w:r>
          </w:p>
        </w:tc>
        <w:tc>
          <w:tcPr>
            <w:tcW w:w="3991" w:type="pct"/>
            <w:gridSpan w:val="3"/>
            <w:vAlign w:val="center"/>
          </w:tcPr>
          <w:p w14:paraId="108238EE">
            <w:pPr>
              <w:pStyle w:val="28"/>
              <w:bidi w:val="0"/>
            </w:pPr>
            <w:r>
              <w:t>采用低噪声施工机械；禁止高噪声设备夜间施工；在敏感地段设置声屏障。</w:t>
            </w:r>
          </w:p>
        </w:tc>
      </w:tr>
      <w:tr w14:paraId="0D55B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E42DCD0">
            <w:pPr>
              <w:pStyle w:val="28"/>
              <w:bidi w:val="0"/>
            </w:pPr>
          </w:p>
        </w:tc>
        <w:tc>
          <w:tcPr>
            <w:tcW w:w="370" w:type="pct"/>
            <w:vMerge w:val="continue"/>
            <w:vAlign w:val="center"/>
          </w:tcPr>
          <w:p w14:paraId="739F0D32">
            <w:pPr>
              <w:pStyle w:val="28"/>
              <w:bidi w:val="0"/>
            </w:pPr>
          </w:p>
        </w:tc>
        <w:tc>
          <w:tcPr>
            <w:tcW w:w="403" w:type="pct"/>
            <w:vMerge w:val="restart"/>
            <w:vAlign w:val="center"/>
          </w:tcPr>
          <w:p w14:paraId="601CF3CB">
            <w:pPr>
              <w:pStyle w:val="28"/>
              <w:bidi w:val="0"/>
            </w:pPr>
            <w:r>
              <w:t>居民点和学校</w:t>
            </w:r>
          </w:p>
        </w:tc>
        <w:tc>
          <w:tcPr>
            <w:tcW w:w="749" w:type="pct"/>
            <w:vAlign w:val="center"/>
          </w:tcPr>
          <w:p w14:paraId="4382139F">
            <w:pPr>
              <w:pStyle w:val="28"/>
              <w:bidi w:val="0"/>
            </w:pPr>
            <w:r>
              <w:t>淠河总干渠上段工程</w:t>
            </w:r>
          </w:p>
        </w:tc>
        <w:tc>
          <w:tcPr>
            <w:tcW w:w="3242" w:type="pct"/>
            <w:gridSpan w:val="2"/>
            <w:vAlign w:val="center"/>
          </w:tcPr>
          <w:p w14:paraId="253C3D7C">
            <w:pPr>
              <w:pStyle w:val="28"/>
              <w:bidi w:val="0"/>
            </w:pPr>
            <w:r>
              <w:t>选用低噪声设备，施工机械远离居民住宅，在施工边界靠近方冲、张家院、方岗等距离较近的敏感点侧设置隔声屏障</w:t>
            </w:r>
            <w:r>
              <w:rPr>
                <w:rFonts w:hint="eastAsia"/>
              </w:rPr>
              <w:t>、种植树木、减缓施工车辆行驶速度</w:t>
            </w:r>
            <w:r>
              <w:t>措施，保证敏感点声环境质量符合质量标准。</w:t>
            </w:r>
          </w:p>
        </w:tc>
      </w:tr>
      <w:tr w14:paraId="10F3C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1AE56FA2">
            <w:pPr>
              <w:pStyle w:val="28"/>
              <w:bidi w:val="0"/>
            </w:pPr>
          </w:p>
        </w:tc>
        <w:tc>
          <w:tcPr>
            <w:tcW w:w="370" w:type="pct"/>
            <w:vMerge w:val="continue"/>
            <w:vAlign w:val="center"/>
          </w:tcPr>
          <w:p w14:paraId="3947BCCB">
            <w:pPr>
              <w:pStyle w:val="28"/>
              <w:bidi w:val="0"/>
            </w:pPr>
          </w:p>
        </w:tc>
        <w:tc>
          <w:tcPr>
            <w:tcW w:w="403" w:type="pct"/>
            <w:vMerge w:val="continue"/>
            <w:vAlign w:val="center"/>
          </w:tcPr>
          <w:p w14:paraId="51904354">
            <w:pPr>
              <w:pStyle w:val="28"/>
              <w:bidi w:val="0"/>
            </w:pPr>
          </w:p>
        </w:tc>
        <w:tc>
          <w:tcPr>
            <w:tcW w:w="749" w:type="pct"/>
            <w:vAlign w:val="center"/>
          </w:tcPr>
          <w:p w14:paraId="457912BF">
            <w:pPr>
              <w:pStyle w:val="28"/>
              <w:bidi w:val="0"/>
            </w:pPr>
            <w:r>
              <w:t>樊通桥渠下涵工程</w:t>
            </w:r>
          </w:p>
        </w:tc>
        <w:tc>
          <w:tcPr>
            <w:tcW w:w="3242" w:type="pct"/>
            <w:gridSpan w:val="2"/>
            <w:vAlign w:val="center"/>
          </w:tcPr>
          <w:p w14:paraId="2C80B94B">
            <w:pPr>
              <w:pStyle w:val="28"/>
              <w:bidi w:val="0"/>
            </w:pPr>
            <w:r>
              <w:t>选用低噪声设备，施工机械远离裕安小学，保证敏感点裕安小学声环境质量符合质量标准。</w:t>
            </w:r>
          </w:p>
        </w:tc>
      </w:tr>
      <w:tr w14:paraId="10FE94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1145F30B">
            <w:pPr>
              <w:pStyle w:val="28"/>
              <w:bidi w:val="0"/>
            </w:pPr>
          </w:p>
        </w:tc>
        <w:tc>
          <w:tcPr>
            <w:tcW w:w="370" w:type="pct"/>
            <w:vMerge w:val="continue"/>
            <w:vAlign w:val="center"/>
          </w:tcPr>
          <w:p w14:paraId="4F66C7E7">
            <w:pPr>
              <w:pStyle w:val="28"/>
              <w:bidi w:val="0"/>
            </w:pPr>
          </w:p>
        </w:tc>
        <w:tc>
          <w:tcPr>
            <w:tcW w:w="403" w:type="pct"/>
            <w:vMerge w:val="continue"/>
            <w:vAlign w:val="center"/>
          </w:tcPr>
          <w:p w14:paraId="32ECCB99">
            <w:pPr>
              <w:pStyle w:val="28"/>
              <w:bidi w:val="0"/>
            </w:pPr>
          </w:p>
        </w:tc>
        <w:tc>
          <w:tcPr>
            <w:tcW w:w="749" w:type="pct"/>
            <w:vAlign w:val="center"/>
          </w:tcPr>
          <w:p w14:paraId="6A4FED5E">
            <w:pPr>
              <w:pStyle w:val="28"/>
              <w:bidi w:val="0"/>
            </w:pPr>
            <w:r>
              <w:t>淠河总干渠下段工程</w:t>
            </w:r>
          </w:p>
        </w:tc>
        <w:tc>
          <w:tcPr>
            <w:tcW w:w="3242" w:type="pct"/>
            <w:gridSpan w:val="2"/>
            <w:vAlign w:val="center"/>
          </w:tcPr>
          <w:p w14:paraId="5F8BDAAB">
            <w:pPr>
              <w:pStyle w:val="28"/>
              <w:bidi w:val="0"/>
            </w:pPr>
            <w:r>
              <w:t>选用低噪声设备，施工机械远离居民住宅，保证松楼郢、大塘拐、中塘郢等敏感点声环境符合质量标准。</w:t>
            </w:r>
          </w:p>
        </w:tc>
      </w:tr>
      <w:tr w14:paraId="15A52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5F0001A5">
            <w:pPr>
              <w:pStyle w:val="28"/>
              <w:bidi w:val="0"/>
            </w:pPr>
          </w:p>
        </w:tc>
        <w:tc>
          <w:tcPr>
            <w:tcW w:w="370" w:type="pct"/>
            <w:vMerge w:val="continue"/>
            <w:vAlign w:val="center"/>
          </w:tcPr>
          <w:p w14:paraId="1B36DB3A">
            <w:pPr>
              <w:pStyle w:val="28"/>
              <w:bidi w:val="0"/>
            </w:pPr>
          </w:p>
        </w:tc>
        <w:tc>
          <w:tcPr>
            <w:tcW w:w="403" w:type="pct"/>
            <w:vMerge w:val="continue"/>
            <w:vAlign w:val="center"/>
          </w:tcPr>
          <w:p w14:paraId="1A392E55">
            <w:pPr>
              <w:pStyle w:val="28"/>
              <w:bidi w:val="0"/>
            </w:pPr>
          </w:p>
        </w:tc>
        <w:tc>
          <w:tcPr>
            <w:tcW w:w="749" w:type="pct"/>
            <w:vAlign w:val="center"/>
          </w:tcPr>
          <w:p w14:paraId="5209D0D0">
            <w:pPr>
              <w:pStyle w:val="28"/>
              <w:bidi w:val="0"/>
            </w:pPr>
            <w:r>
              <w:t>聚星渡槽工程</w:t>
            </w:r>
          </w:p>
        </w:tc>
        <w:tc>
          <w:tcPr>
            <w:tcW w:w="3242" w:type="pct"/>
            <w:gridSpan w:val="2"/>
            <w:vAlign w:val="center"/>
          </w:tcPr>
          <w:p w14:paraId="013895E2">
            <w:pPr>
              <w:pStyle w:val="28"/>
              <w:bidi w:val="0"/>
            </w:pPr>
            <w:r>
              <w:t>选用低噪声设备，施工机械远离居民住宅，在施工边界靠近聚星社区、聚星金色童年幼儿园等距离较近的敏感点侧设置隔声屏障</w:t>
            </w:r>
            <w:r>
              <w:rPr>
                <w:rFonts w:hint="eastAsia"/>
              </w:rPr>
              <w:t>、种植树木、减缓施工车辆行驶速度</w:t>
            </w:r>
            <w:r>
              <w:t>措施，保证敏感点声环境质量符合质量标准。</w:t>
            </w:r>
          </w:p>
        </w:tc>
      </w:tr>
      <w:tr w14:paraId="18DF6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44A47E73">
            <w:pPr>
              <w:pStyle w:val="28"/>
              <w:bidi w:val="0"/>
            </w:pPr>
          </w:p>
        </w:tc>
        <w:tc>
          <w:tcPr>
            <w:tcW w:w="370" w:type="pct"/>
            <w:vMerge w:val="continue"/>
            <w:vAlign w:val="center"/>
          </w:tcPr>
          <w:p w14:paraId="42A739FE">
            <w:pPr>
              <w:pStyle w:val="28"/>
              <w:bidi w:val="0"/>
            </w:pPr>
          </w:p>
        </w:tc>
        <w:tc>
          <w:tcPr>
            <w:tcW w:w="403" w:type="pct"/>
            <w:vMerge w:val="continue"/>
            <w:vAlign w:val="center"/>
          </w:tcPr>
          <w:p w14:paraId="4E89A794">
            <w:pPr>
              <w:pStyle w:val="28"/>
              <w:bidi w:val="0"/>
            </w:pPr>
          </w:p>
        </w:tc>
        <w:tc>
          <w:tcPr>
            <w:tcW w:w="749" w:type="pct"/>
            <w:vAlign w:val="center"/>
          </w:tcPr>
          <w:p w14:paraId="48AEB1CF">
            <w:pPr>
              <w:pStyle w:val="28"/>
              <w:bidi w:val="0"/>
            </w:pPr>
            <w:r>
              <w:t>滁河干渠总局直管段工程</w:t>
            </w:r>
          </w:p>
        </w:tc>
        <w:tc>
          <w:tcPr>
            <w:tcW w:w="3242" w:type="pct"/>
            <w:gridSpan w:val="2"/>
            <w:vAlign w:val="center"/>
          </w:tcPr>
          <w:p w14:paraId="60C187A5">
            <w:pPr>
              <w:pStyle w:val="28"/>
              <w:bidi w:val="0"/>
            </w:pPr>
            <w:r>
              <w:t>选用低噪声设备，施工机械远离居民住宅，在施工边界靠近将军岭等距离较近的敏感点侧设置隔声屏障</w:t>
            </w:r>
            <w:r>
              <w:rPr>
                <w:rFonts w:hint="eastAsia"/>
              </w:rPr>
              <w:t>、种植树木、减缓施工车辆行驶速度</w:t>
            </w:r>
            <w:r>
              <w:t>措施，保证敏感点声环境质量符合质量标准。</w:t>
            </w:r>
          </w:p>
        </w:tc>
      </w:tr>
      <w:tr w14:paraId="08C24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597A4207">
            <w:pPr>
              <w:pStyle w:val="28"/>
              <w:bidi w:val="0"/>
            </w:pPr>
          </w:p>
        </w:tc>
        <w:tc>
          <w:tcPr>
            <w:tcW w:w="370" w:type="pct"/>
            <w:vMerge w:val="continue"/>
            <w:vAlign w:val="center"/>
          </w:tcPr>
          <w:p w14:paraId="552DC603">
            <w:pPr>
              <w:pStyle w:val="28"/>
              <w:bidi w:val="0"/>
            </w:pPr>
          </w:p>
        </w:tc>
        <w:tc>
          <w:tcPr>
            <w:tcW w:w="403" w:type="pct"/>
            <w:vMerge w:val="continue"/>
            <w:vAlign w:val="center"/>
          </w:tcPr>
          <w:p w14:paraId="061C08BF">
            <w:pPr>
              <w:pStyle w:val="28"/>
              <w:bidi w:val="0"/>
            </w:pPr>
          </w:p>
        </w:tc>
        <w:tc>
          <w:tcPr>
            <w:tcW w:w="749" w:type="pct"/>
            <w:vAlign w:val="center"/>
          </w:tcPr>
          <w:p w14:paraId="06A22E41">
            <w:pPr>
              <w:pStyle w:val="28"/>
              <w:bidi w:val="0"/>
            </w:pPr>
            <w:r>
              <w:t>滁河干渠6座渠下涵工程</w:t>
            </w:r>
          </w:p>
        </w:tc>
        <w:tc>
          <w:tcPr>
            <w:tcW w:w="3242" w:type="pct"/>
            <w:gridSpan w:val="2"/>
            <w:vAlign w:val="center"/>
          </w:tcPr>
          <w:p w14:paraId="488CF39B">
            <w:pPr>
              <w:pStyle w:val="28"/>
              <w:bidi w:val="0"/>
            </w:pPr>
            <w:r>
              <w:t>选用低噪声设备，施工机械远离居民住宅，在施工边界靠近合肥四十二中等距离较近的敏感点侧设置隔声屏障</w:t>
            </w:r>
            <w:r>
              <w:rPr>
                <w:rFonts w:hint="eastAsia"/>
              </w:rPr>
              <w:t>、种植树木、减缓施工车辆行驶速度</w:t>
            </w:r>
            <w:r>
              <w:t>措施，保证敏感点声环境质量符合质量标准。</w:t>
            </w:r>
          </w:p>
        </w:tc>
      </w:tr>
      <w:tr w14:paraId="3C25BD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B8A30DB">
            <w:pPr>
              <w:pStyle w:val="28"/>
              <w:bidi w:val="0"/>
            </w:pPr>
          </w:p>
        </w:tc>
        <w:tc>
          <w:tcPr>
            <w:tcW w:w="370" w:type="pct"/>
            <w:vMerge w:val="continue"/>
            <w:vAlign w:val="center"/>
          </w:tcPr>
          <w:p w14:paraId="570EF134">
            <w:pPr>
              <w:pStyle w:val="28"/>
              <w:bidi w:val="0"/>
            </w:pPr>
          </w:p>
        </w:tc>
        <w:tc>
          <w:tcPr>
            <w:tcW w:w="403" w:type="pct"/>
            <w:vMerge w:val="continue"/>
            <w:vAlign w:val="center"/>
          </w:tcPr>
          <w:p w14:paraId="56821662">
            <w:pPr>
              <w:pStyle w:val="28"/>
              <w:bidi w:val="0"/>
            </w:pPr>
          </w:p>
        </w:tc>
        <w:tc>
          <w:tcPr>
            <w:tcW w:w="749" w:type="pct"/>
            <w:vAlign w:val="center"/>
          </w:tcPr>
          <w:p w14:paraId="38CB2926">
            <w:pPr>
              <w:pStyle w:val="28"/>
              <w:bidi w:val="0"/>
            </w:pPr>
            <w:r>
              <w:t>淠杭干渠渠系建筑物工程</w:t>
            </w:r>
          </w:p>
        </w:tc>
        <w:tc>
          <w:tcPr>
            <w:tcW w:w="3242" w:type="pct"/>
            <w:gridSpan w:val="2"/>
            <w:vAlign w:val="center"/>
          </w:tcPr>
          <w:p w14:paraId="33FF1772">
            <w:pPr>
              <w:pStyle w:val="28"/>
              <w:bidi w:val="0"/>
            </w:pPr>
            <w:r>
              <w:t>选用低噪声设备，施工机械远离居民住宅，在施工边界靠近宋庄、张老庄、月牙山村、胡小庄等距离较近的敏感点侧设置隔声屏障</w:t>
            </w:r>
            <w:r>
              <w:rPr>
                <w:rFonts w:hint="eastAsia"/>
              </w:rPr>
              <w:t>、种植树木、减缓施工车辆行驶速度</w:t>
            </w:r>
            <w:r>
              <w:t>措施，保证敏感点声环境质量符合质量标准。</w:t>
            </w:r>
          </w:p>
        </w:tc>
      </w:tr>
      <w:tr w14:paraId="6B29EA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10D59237">
            <w:pPr>
              <w:pStyle w:val="28"/>
              <w:bidi w:val="0"/>
            </w:pPr>
          </w:p>
        </w:tc>
        <w:tc>
          <w:tcPr>
            <w:tcW w:w="370" w:type="pct"/>
            <w:vMerge w:val="continue"/>
            <w:vAlign w:val="center"/>
          </w:tcPr>
          <w:p w14:paraId="5F6E4230">
            <w:pPr>
              <w:pStyle w:val="28"/>
              <w:bidi w:val="0"/>
            </w:pPr>
          </w:p>
        </w:tc>
        <w:tc>
          <w:tcPr>
            <w:tcW w:w="403" w:type="pct"/>
            <w:vMerge w:val="continue"/>
            <w:vAlign w:val="center"/>
          </w:tcPr>
          <w:p w14:paraId="07147D29">
            <w:pPr>
              <w:pStyle w:val="28"/>
              <w:bidi w:val="0"/>
            </w:pPr>
          </w:p>
        </w:tc>
        <w:tc>
          <w:tcPr>
            <w:tcW w:w="749" w:type="pct"/>
            <w:vAlign w:val="center"/>
          </w:tcPr>
          <w:p w14:paraId="32A00CF9">
            <w:pPr>
              <w:pStyle w:val="28"/>
              <w:bidi w:val="0"/>
            </w:pPr>
            <w:r>
              <w:t>淠东干渠工程</w:t>
            </w:r>
          </w:p>
        </w:tc>
        <w:tc>
          <w:tcPr>
            <w:tcW w:w="3242" w:type="pct"/>
            <w:gridSpan w:val="2"/>
            <w:vAlign w:val="center"/>
          </w:tcPr>
          <w:p w14:paraId="525D280B">
            <w:pPr>
              <w:pStyle w:val="28"/>
              <w:bidi w:val="0"/>
            </w:pPr>
            <w:r>
              <w:t>选用低噪声设备，施工机械远离居民住宅，在施工边界靠近郢村、众兴镇、王安村、安丰塘镇等距离较近的敏感点侧设置隔声屏障</w:t>
            </w:r>
            <w:r>
              <w:rPr>
                <w:rFonts w:hint="eastAsia"/>
              </w:rPr>
              <w:t>、种植树木、减缓施工车辆行驶速度</w:t>
            </w:r>
            <w:r>
              <w:t>措施，保证敏感点声环境质量符合质量标准。</w:t>
            </w:r>
          </w:p>
        </w:tc>
      </w:tr>
      <w:tr w14:paraId="6BCB8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3C2BE5CF">
            <w:pPr>
              <w:pStyle w:val="28"/>
              <w:bidi w:val="0"/>
            </w:pPr>
          </w:p>
        </w:tc>
        <w:tc>
          <w:tcPr>
            <w:tcW w:w="370" w:type="pct"/>
            <w:vMerge w:val="continue"/>
            <w:vAlign w:val="center"/>
          </w:tcPr>
          <w:p w14:paraId="5E70B511">
            <w:pPr>
              <w:pStyle w:val="28"/>
              <w:bidi w:val="0"/>
            </w:pPr>
          </w:p>
        </w:tc>
        <w:tc>
          <w:tcPr>
            <w:tcW w:w="403" w:type="pct"/>
            <w:vMerge w:val="continue"/>
            <w:vAlign w:val="center"/>
          </w:tcPr>
          <w:p w14:paraId="75346C83">
            <w:pPr>
              <w:pStyle w:val="28"/>
              <w:bidi w:val="0"/>
            </w:pPr>
          </w:p>
        </w:tc>
        <w:tc>
          <w:tcPr>
            <w:tcW w:w="749" w:type="pct"/>
            <w:vAlign w:val="center"/>
          </w:tcPr>
          <w:p w14:paraId="749E3D19">
            <w:pPr>
              <w:pStyle w:val="28"/>
              <w:bidi w:val="0"/>
            </w:pPr>
            <w:r>
              <w:t>瓦西干渠工程</w:t>
            </w:r>
          </w:p>
        </w:tc>
        <w:tc>
          <w:tcPr>
            <w:tcW w:w="3242" w:type="pct"/>
            <w:gridSpan w:val="2"/>
            <w:vAlign w:val="center"/>
          </w:tcPr>
          <w:p w14:paraId="758D5BBD">
            <w:pPr>
              <w:pStyle w:val="28"/>
              <w:bidi w:val="0"/>
            </w:pPr>
            <w:r>
              <w:t>选用低噪声设备，施工机械远离居民住宅，在施工边界靠近翁店子等距离较近的敏感点侧设置隔声屏障</w:t>
            </w:r>
            <w:r>
              <w:rPr>
                <w:rFonts w:hint="eastAsia"/>
              </w:rPr>
              <w:t>、种植树木、减缓施工车辆行驶速度</w:t>
            </w:r>
            <w:r>
              <w:t>措施，保证敏感点声环境质量符合质量标准。</w:t>
            </w:r>
          </w:p>
        </w:tc>
      </w:tr>
      <w:tr w14:paraId="03CF1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6F3CEAC2">
            <w:pPr>
              <w:pStyle w:val="28"/>
              <w:bidi w:val="0"/>
            </w:pPr>
          </w:p>
        </w:tc>
        <w:tc>
          <w:tcPr>
            <w:tcW w:w="370" w:type="pct"/>
            <w:vMerge w:val="continue"/>
            <w:vAlign w:val="center"/>
          </w:tcPr>
          <w:p w14:paraId="5ECC8079">
            <w:pPr>
              <w:pStyle w:val="28"/>
              <w:bidi w:val="0"/>
            </w:pPr>
          </w:p>
        </w:tc>
        <w:tc>
          <w:tcPr>
            <w:tcW w:w="403" w:type="pct"/>
            <w:vMerge w:val="continue"/>
            <w:vAlign w:val="center"/>
          </w:tcPr>
          <w:p w14:paraId="6BE323B7">
            <w:pPr>
              <w:pStyle w:val="28"/>
              <w:bidi w:val="0"/>
            </w:pPr>
          </w:p>
        </w:tc>
        <w:tc>
          <w:tcPr>
            <w:tcW w:w="749" w:type="pct"/>
            <w:vAlign w:val="center"/>
          </w:tcPr>
          <w:p w14:paraId="07DD9C96">
            <w:pPr>
              <w:pStyle w:val="28"/>
              <w:bidi w:val="0"/>
            </w:pPr>
            <w:r>
              <w:t>堰口分干渠工程</w:t>
            </w:r>
          </w:p>
        </w:tc>
        <w:tc>
          <w:tcPr>
            <w:tcW w:w="3242" w:type="pct"/>
            <w:gridSpan w:val="2"/>
            <w:vAlign w:val="center"/>
          </w:tcPr>
          <w:p w14:paraId="443D8EFD">
            <w:pPr>
              <w:pStyle w:val="28"/>
              <w:bidi w:val="0"/>
            </w:pPr>
            <w:r>
              <w:t>选用低噪声设备，施工机械远离居民住宅，在施工边界靠近徐家盐行、新东、程家老郢等距离较近的敏感点侧设置隔声屏障</w:t>
            </w:r>
            <w:r>
              <w:rPr>
                <w:rFonts w:hint="eastAsia"/>
              </w:rPr>
              <w:t>、种植树木、减缓施工车辆行驶速度</w:t>
            </w:r>
            <w:r>
              <w:t>措施，保证敏感点声环境质量符合质量标准。</w:t>
            </w:r>
          </w:p>
        </w:tc>
      </w:tr>
      <w:tr w14:paraId="6E845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59830E5F">
            <w:pPr>
              <w:pStyle w:val="28"/>
              <w:bidi w:val="0"/>
            </w:pPr>
          </w:p>
        </w:tc>
        <w:tc>
          <w:tcPr>
            <w:tcW w:w="370" w:type="pct"/>
            <w:vMerge w:val="continue"/>
            <w:vAlign w:val="center"/>
          </w:tcPr>
          <w:p w14:paraId="68AD88F4">
            <w:pPr>
              <w:pStyle w:val="28"/>
              <w:bidi w:val="0"/>
            </w:pPr>
          </w:p>
        </w:tc>
        <w:tc>
          <w:tcPr>
            <w:tcW w:w="403" w:type="pct"/>
            <w:vMerge w:val="continue"/>
            <w:vAlign w:val="center"/>
          </w:tcPr>
          <w:p w14:paraId="2F15438A">
            <w:pPr>
              <w:pStyle w:val="28"/>
              <w:bidi w:val="0"/>
            </w:pPr>
          </w:p>
        </w:tc>
        <w:tc>
          <w:tcPr>
            <w:tcW w:w="749" w:type="pct"/>
            <w:vAlign w:val="center"/>
          </w:tcPr>
          <w:p w14:paraId="64186125">
            <w:pPr>
              <w:pStyle w:val="28"/>
              <w:bidi w:val="0"/>
            </w:pPr>
            <w:r>
              <w:t>淠源分干渠工程</w:t>
            </w:r>
          </w:p>
        </w:tc>
        <w:tc>
          <w:tcPr>
            <w:tcW w:w="3242" w:type="pct"/>
            <w:gridSpan w:val="2"/>
            <w:vAlign w:val="center"/>
          </w:tcPr>
          <w:p w14:paraId="275ED9AD">
            <w:pPr>
              <w:pStyle w:val="28"/>
              <w:bidi w:val="0"/>
            </w:pPr>
            <w:r>
              <w:t>选用低噪声设备，施工机械远离霍山迎宾府、文家畈、旱龙头、戴家院等居民住宅，保证敏感点声环境质量符合质量标准。</w:t>
            </w:r>
          </w:p>
        </w:tc>
      </w:tr>
      <w:tr w14:paraId="51179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498AE26E">
            <w:pPr>
              <w:pStyle w:val="28"/>
              <w:bidi w:val="0"/>
            </w:pPr>
          </w:p>
        </w:tc>
        <w:tc>
          <w:tcPr>
            <w:tcW w:w="370" w:type="pct"/>
            <w:vMerge w:val="continue"/>
            <w:vAlign w:val="center"/>
          </w:tcPr>
          <w:p w14:paraId="442D80DF">
            <w:pPr>
              <w:pStyle w:val="28"/>
              <w:bidi w:val="0"/>
            </w:pPr>
          </w:p>
        </w:tc>
        <w:tc>
          <w:tcPr>
            <w:tcW w:w="403" w:type="pct"/>
            <w:vMerge w:val="continue"/>
            <w:vAlign w:val="center"/>
          </w:tcPr>
          <w:p w14:paraId="7C266FB2">
            <w:pPr>
              <w:pStyle w:val="28"/>
              <w:bidi w:val="0"/>
            </w:pPr>
          </w:p>
        </w:tc>
        <w:tc>
          <w:tcPr>
            <w:tcW w:w="749" w:type="pct"/>
            <w:vAlign w:val="center"/>
          </w:tcPr>
          <w:p w14:paraId="15BCBC9D">
            <w:pPr>
              <w:pStyle w:val="28"/>
              <w:bidi w:val="0"/>
            </w:pPr>
            <w:r>
              <w:t>小蜀山分干渠工程</w:t>
            </w:r>
          </w:p>
        </w:tc>
        <w:tc>
          <w:tcPr>
            <w:tcW w:w="3242" w:type="pct"/>
            <w:gridSpan w:val="2"/>
            <w:vAlign w:val="center"/>
          </w:tcPr>
          <w:p w14:paraId="7662F82E">
            <w:pPr>
              <w:pStyle w:val="28"/>
              <w:bidi w:val="0"/>
            </w:pPr>
            <w:r>
              <w:t>选用低噪声设备，施工机械远离居民住宅，在施工边界靠近方坊郢等距离较近的敏感点侧设置隔声屏障</w:t>
            </w:r>
            <w:r>
              <w:rPr>
                <w:rFonts w:hint="eastAsia"/>
              </w:rPr>
              <w:t>、种植树木、减缓施工车辆行驶速度</w:t>
            </w:r>
            <w:r>
              <w:t>措施，保证敏感点声环境质量符合质量标准。</w:t>
            </w:r>
          </w:p>
        </w:tc>
      </w:tr>
      <w:tr w14:paraId="6E323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3F1247C">
            <w:pPr>
              <w:pStyle w:val="28"/>
              <w:bidi w:val="0"/>
            </w:pPr>
          </w:p>
        </w:tc>
        <w:tc>
          <w:tcPr>
            <w:tcW w:w="370" w:type="pct"/>
            <w:vMerge w:val="continue"/>
            <w:vAlign w:val="center"/>
          </w:tcPr>
          <w:p w14:paraId="579A33F4">
            <w:pPr>
              <w:pStyle w:val="28"/>
              <w:bidi w:val="0"/>
            </w:pPr>
          </w:p>
        </w:tc>
        <w:tc>
          <w:tcPr>
            <w:tcW w:w="403" w:type="pct"/>
            <w:vMerge w:val="continue"/>
            <w:vAlign w:val="center"/>
          </w:tcPr>
          <w:p w14:paraId="7CCE9487">
            <w:pPr>
              <w:pStyle w:val="28"/>
              <w:bidi w:val="0"/>
            </w:pPr>
          </w:p>
        </w:tc>
        <w:tc>
          <w:tcPr>
            <w:tcW w:w="749" w:type="pct"/>
            <w:vAlign w:val="center"/>
          </w:tcPr>
          <w:p w14:paraId="3D12C3FC">
            <w:pPr>
              <w:pStyle w:val="28"/>
              <w:bidi w:val="0"/>
            </w:pPr>
            <w:r>
              <w:t>瓦东干渠双庙支渠工程</w:t>
            </w:r>
          </w:p>
        </w:tc>
        <w:tc>
          <w:tcPr>
            <w:tcW w:w="3242" w:type="pct"/>
            <w:gridSpan w:val="2"/>
            <w:vAlign w:val="center"/>
          </w:tcPr>
          <w:p w14:paraId="05CB88C4">
            <w:pPr>
              <w:pStyle w:val="28"/>
              <w:bidi w:val="0"/>
            </w:pPr>
            <w:r>
              <w:t>选用低噪声设备，施工机械远离居民住宅，在施工边界靠近大路塘、王大郢等距离较近的敏感点侧设置隔声屏障</w:t>
            </w:r>
            <w:r>
              <w:rPr>
                <w:rFonts w:hint="eastAsia"/>
              </w:rPr>
              <w:t>、种植树木、减缓施工车辆行驶速度</w:t>
            </w:r>
            <w:r>
              <w:t>措施，保证敏感点声环境质量符合质量标准。</w:t>
            </w:r>
          </w:p>
        </w:tc>
      </w:tr>
      <w:tr w14:paraId="3DA98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0F1EC4B">
            <w:pPr>
              <w:pStyle w:val="28"/>
              <w:bidi w:val="0"/>
            </w:pPr>
          </w:p>
        </w:tc>
        <w:tc>
          <w:tcPr>
            <w:tcW w:w="370" w:type="pct"/>
            <w:vMerge w:val="continue"/>
            <w:vAlign w:val="center"/>
          </w:tcPr>
          <w:p w14:paraId="4C398ABC">
            <w:pPr>
              <w:pStyle w:val="28"/>
              <w:bidi w:val="0"/>
            </w:pPr>
          </w:p>
        </w:tc>
        <w:tc>
          <w:tcPr>
            <w:tcW w:w="403" w:type="pct"/>
            <w:vMerge w:val="continue"/>
            <w:vAlign w:val="center"/>
          </w:tcPr>
          <w:p w14:paraId="11A396F2">
            <w:pPr>
              <w:pStyle w:val="28"/>
              <w:bidi w:val="0"/>
            </w:pPr>
          </w:p>
        </w:tc>
        <w:tc>
          <w:tcPr>
            <w:tcW w:w="749" w:type="pct"/>
            <w:vAlign w:val="center"/>
          </w:tcPr>
          <w:p w14:paraId="22CD47A5">
            <w:pPr>
              <w:pStyle w:val="28"/>
              <w:bidi w:val="0"/>
            </w:pPr>
            <w:r>
              <w:t>杨西分干渠东风支渠工程</w:t>
            </w:r>
          </w:p>
        </w:tc>
        <w:tc>
          <w:tcPr>
            <w:tcW w:w="3242" w:type="pct"/>
            <w:gridSpan w:val="2"/>
            <w:vAlign w:val="center"/>
          </w:tcPr>
          <w:p w14:paraId="640B1B2E">
            <w:pPr>
              <w:pStyle w:val="28"/>
              <w:bidi w:val="0"/>
            </w:pPr>
            <w:r>
              <w:t>选用低噪声设备，施工机械远离居民住宅，在施工边界靠近徐套、徐岗小学等距离较近的敏感点侧设置隔声屏障</w:t>
            </w:r>
            <w:r>
              <w:rPr>
                <w:rFonts w:hint="eastAsia"/>
              </w:rPr>
              <w:t>、种植树木、减缓施工车辆行驶速度</w:t>
            </w:r>
            <w:r>
              <w:t>措施，保证敏感点声环境质量符合质量标准。</w:t>
            </w:r>
          </w:p>
        </w:tc>
      </w:tr>
      <w:tr w14:paraId="06FA4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42EEA31C">
            <w:pPr>
              <w:pStyle w:val="28"/>
              <w:bidi w:val="0"/>
            </w:pPr>
          </w:p>
        </w:tc>
        <w:tc>
          <w:tcPr>
            <w:tcW w:w="370" w:type="pct"/>
            <w:vMerge w:val="continue"/>
            <w:vAlign w:val="center"/>
          </w:tcPr>
          <w:p w14:paraId="7EDE0E6E">
            <w:pPr>
              <w:pStyle w:val="28"/>
              <w:bidi w:val="0"/>
            </w:pPr>
          </w:p>
        </w:tc>
        <w:tc>
          <w:tcPr>
            <w:tcW w:w="403" w:type="pct"/>
            <w:vMerge w:val="continue"/>
            <w:vAlign w:val="center"/>
          </w:tcPr>
          <w:p w14:paraId="7A13E7D0">
            <w:pPr>
              <w:pStyle w:val="28"/>
              <w:bidi w:val="0"/>
            </w:pPr>
          </w:p>
        </w:tc>
        <w:tc>
          <w:tcPr>
            <w:tcW w:w="749" w:type="pct"/>
            <w:vAlign w:val="center"/>
          </w:tcPr>
          <w:p w14:paraId="29F7C8E5">
            <w:pPr>
              <w:pStyle w:val="28"/>
              <w:bidi w:val="0"/>
            </w:pPr>
            <w:r>
              <w:t>界河支渠工程</w:t>
            </w:r>
          </w:p>
        </w:tc>
        <w:tc>
          <w:tcPr>
            <w:tcW w:w="3242" w:type="pct"/>
            <w:gridSpan w:val="2"/>
            <w:vAlign w:val="center"/>
          </w:tcPr>
          <w:p w14:paraId="375DC375">
            <w:pPr>
              <w:pStyle w:val="28"/>
              <w:bidi w:val="0"/>
            </w:pPr>
            <w:r>
              <w:t>选用低噪声设备，施工机械远离居民住宅，在施工边界靠近新庄、马堰村距离较近的敏感点侧设置隔声屏障</w:t>
            </w:r>
            <w:r>
              <w:rPr>
                <w:rFonts w:hint="eastAsia"/>
              </w:rPr>
              <w:t>、种植树木、减缓施工车辆行驶速度</w:t>
            </w:r>
            <w:r>
              <w:t>措施，保证敏感点声环境质量符合质量标准。</w:t>
            </w:r>
          </w:p>
        </w:tc>
      </w:tr>
      <w:tr w14:paraId="1745F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663A6AE7">
            <w:pPr>
              <w:pStyle w:val="28"/>
              <w:bidi w:val="0"/>
            </w:pPr>
          </w:p>
        </w:tc>
        <w:tc>
          <w:tcPr>
            <w:tcW w:w="370" w:type="pct"/>
            <w:vMerge w:val="continue"/>
            <w:vAlign w:val="center"/>
          </w:tcPr>
          <w:p w14:paraId="59E626B6">
            <w:pPr>
              <w:pStyle w:val="28"/>
              <w:bidi w:val="0"/>
            </w:pPr>
          </w:p>
        </w:tc>
        <w:tc>
          <w:tcPr>
            <w:tcW w:w="403" w:type="pct"/>
            <w:vMerge w:val="continue"/>
            <w:vAlign w:val="center"/>
          </w:tcPr>
          <w:p w14:paraId="6C16376D">
            <w:pPr>
              <w:pStyle w:val="28"/>
              <w:bidi w:val="0"/>
            </w:pPr>
          </w:p>
        </w:tc>
        <w:tc>
          <w:tcPr>
            <w:tcW w:w="749" w:type="pct"/>
            <w:vAlign w:val="center"/>
          </w:tcPr>
          <w:p w14:paraId="1EC54E8A">
            <w:pPr>
              <w:pStyle w:val="28"/>
              <w:bidi w:val="0"/>
            </w:pPr>
            <w:r>
              <w:t>义河支渠工程</w:t>
            </w:r>
          </w:p>
        </w:tc>
        <w:tc>
          <w:tcPr>
            <w:tcW w:w="3242" w:type="pct"/>
            <w:gridSpan w:val="2"/>
            <w:vAlign w:val="center"/>
          </w:tcPr>
          <w:p w14:paraId="554A9024">
            <w:pPr>
              <w:pStyle w:val="28"/>
              <w:bidi w:val="0"/>
            </w:pPr>
            <w:r>
              <w:t>选用低噪声设备，施工机械远离居民住宅，在施工边界靠近唐夹街、郭小庄等距离较近的敏感点侧设置隔声屏障</w:t>
            </w:r>
            <w:r>
              <w:rPr>
                <w:rFonts w:hint="eastAsia"/>
              </w:rPr>
              <w:t>、种植树木、减缓施工车辆行驶速度</w:t>
            </w:r>
            <w:r>
              <w:t>措施，保证敏感点声环境质量符合质量标准。</w:t>
            </w:r>
          </w:p>
        </w:tc>
      </w:tr>
      <w:tr w14:paraId="13848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617F2B84">
            <w:pPr>
              <w:pStyle w:val="28"/>
              <w:bidi w:val="0"/>
            </w:pPr>
          </w:p>
        </w:tc>
        <w:tc>
          <w:tcPr>
            <w:tcW w:w="370" w:type="pct"/>
            <w:vMerge w:val="continue"/>
            <w:vAlign w:val="center"/>
          </w:tcPr>
          <w:p w14:paraId="06DB3D12">
            <w:pPr>
              <w:pStyle w:val="28"/>
              <w:bidi w:val="0"/>
            </w:pPr>
          </w:p>
        </w:tc>
        <w:tc>
          <w:tcPr>
            <w:tcW w:w="403" w:type="pct"/>
            <w:vMerge w:val="continue"/>
            <w:vAlign w:val="center"/>
          </w:tcPr>
          <w:p w14:paraId="632BCA9C">
            <w:pPr>
              <w:pStyle w:val="28"/>
              <w:bidi w:val="0"/>
            </w:pPr>
          </w:p>
        </w:tc>
        <w:tc>
          <w:tcPr>
            <w:tcW w:w="749" w:type="pct"/>
            <w:vAlign w:val="center"/>
          </w:tcPr>
          <w:p w14:paraId="5AF889BE">
            <w:pPr>
              <w:pStyle w:val="28"/>
              <w:bidi w:val="0"/>
            </w:pPr>
            <w:r>
              <w:t>袁店支渠工程</w:t>
            </w:r>
          </w:p>
        </w:tc>
        <w:tc>
          <w:tcPr>
            <w:tcW w:w="3242" w:type="pct"/>
            <w:gridSpan w:val="2"/>
            <w:vAlign w:val="center"/>
          </w:tcPr>
          <w:p w14:paraId="0E5C925D">
            <w:pPr>
              <w:pStyle w:val="28"/>
              <w:bidi w:val="0"/>
            </w:pPr>
            <w:r>
              <w:t>选用低噪声设备，施工机械远离居民住宅，在施工边界靠近西庄、张大郢等距离较近的敏感点侧设置隔声屏障</w:t>
            </w:r>
            <w:r>
              <w:rPr>
                <w:rFonts w:hint="eastAsia"/>
              </w:rPr>
              <w:t>、种植树木、减缓施工车辆行驶速度</w:t>
            </w:r>
            <w:r>
              <w:t>措施，保证敏感点声环境质量符合质量标准。</w:t>
            </w:r>
          </w:p>
        </w:tc>
      </w:tr>
      <w:tr w14:paraId="44311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55F755A7">
            <w:pPr>
              <w:pStyle w:val="28"/>
              <w:bidi w:val="0"/>
            </w:pPr>
          </w:p>
        </w:tc>
        <w:tc>
          <w:tcPr>
            <w:tcW w:w="370" w:type="pct"/>
            <w:vMerge w:val="continue"/>
            <w:vAlign w:val="center"/>
          </w:tcPr>
          <w:p w14:paraId="3D9194CC">
            <w:pPr>
              <w:pStyle w:val="28"/>
              <w:bidi w:val="0"/>
            </w:pPr>
          </w:p>
        </w:tc>
        <w:tc>
          <w:tcPr>
            <w:tcW w:w="403" w:type="pct"/>
            <w:vMerge w:val="continue"/>
            <w:vAlign w:val="center"/>
          </w:tcPr>
          <w:p w14:paraId="74B74868">
            <w:pPr>
              <w:pStyle w:val="28"/>
              <w:bidi w:val="0"/>
            </w:pPr>
          </w:p>
        </w:tc>
        <w:tc>
          <w:tcPr>
            <w:tcW w:w="749" w:type="pct"/>
            <w:vAlign w:val="center"/>
          </w:tcPr>
          <w:p w14:paraId="4ACF3779">
            <w:pPr>
              <w:pStyle w:val="28"/>
              <w:bidi w:val="0"/>
            </w:pPr>
            <w:r>
              <w:t>堰西支渠工程</w:t>
            </w:r>
          </w:p>
        </w:tc>
        <w:tc>
          <w:tcPr>
            <w:tcW w:w="3242" w:type="pct"/>
            <w:gridSpan w:val="2"/>
            <w:vAlign w:val="center"/>
          </w:tcPr>
          <w:p w14:paraId="7783FBF7">
            <w:pPr>
              <w:pStyle w:val="28"/>
              <w:bidi w:val="0"/>
            </w:pPr>
            <w:r>
              <w:t>选用低噪声设备，施工机械远离毛墩村，保证敏感点毛墩村声环境质量符合质量标准。</w:t>
            </w:r>
          </w:p>
        </w:tc>
      </w:tr>
      <w:tr w14:paraId="25A88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B799D4D">
            <w:pPr>
              <w:pStyle w:val="28"/>
              <w:bidi w:val="0"/>
            </w:pPr>
          </w:p>
        </w:tc>
        <w:tc>
          <w:tcPr>
            <w:tcW w:w="370" w:type="pct"/>
            <w:vMerge w:val="continue"/>
            <w:vAlign w:val="center"/>
          </w:tcPr>
          <w:p w14:paraId="3BAE2E78">
            <w:pPr>
              <w:pStyle w:val="28"/>
              <w:bidi w:val="0"/>
            </w:pPr>
          </w:p>
        </w:tc>
        <w:tc>
          <w:tcPr>
            <w:tcW w:w="403" w:type="pct"/>
            <w:vMerge w:val="continue"/>
            <w:vAlign w:val="center"/>
          </w:tcPr>
          <w:p w14:paraId="004BC8DD">
            <w:pPr>
              <w:pStyle w:val="28"/>
              <w:bidi w:val="0"/>
            </w:pPr>
          </w:p>
        </w:tc>
        <w:tc>
          <w:tcPr>
            <w:tcW w:w="749" w:type="pct"/>
            <w:vAlign w:val="center"/>
          </w:tcPr>
          <w:p w14:paraId="5A24735C">
            <w:pPr>
              <w:pStyle w:val="28"/>
              <w:bidi w:val="0"/>
            </w:pPr>
            <w:r>
              <w:t>众兴分干渠双庙支渠工程</w:t>
            </w:r>
          </w:p>
        </w:tc>
        <w:tc>
          <w:tcPr>
            <w:tcW w:w="3242" w:type="pct"/>
            <w:gridSpan w:val="2"/>
            <w:vAlign w:val="center"/>
          </w:tcPr>
          <w:p w14:paraId="22D6BBA1">
            <w:pPr>
              <w:pStyle w:val="28"/>
              <w:bidi w:val="0"/>
            </w:pPr>
            <w:r>
              <w:t>选用低噪声设备，施工机械远离居民住宅，在施工边界靠近南街、陈油坊、小葛等距离较近的敏感点侧设置隔声屏障</w:t>
            </w:r>
            <w:r>
              <w:rPr>
                <w:rFonts w:hint="eastAsia"/>
              </w:rPr>
              <w:t>、种植树木、减缓施工车辆行驶速度</w:t>
            </w:r>
            <w:r>
              <w:t>措施，保证敏感点声环境质量符合质量标准。</w:t>
            </w:r>
          </w:p>
        </w:tc>
      </w:tr>
      <w:tr w14:paraId="4BF3D3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61B23F79">
            <w:pPr>
              <w:pStyle w:val="28"/>
              <w:bidi w:val="0"/>
            </w:pPr>
          </w:p>
        </w:tc>
        <w:tc>
          <w:tcPr>
            <w:tcW w:w="370" w:type="pct"/>
            <w:vMerge w:val="continue"/>
            <w:vAlign w:val="center"/>
          </w:tcPr>
          <w:p w14:paraId="788D941B">
            <w:pPr>
              <w:pStyle w:val="28"/>
              <w:bidi w:val="0"/>
            </w:pPr>
          </w:p>
        </w:tc>
        <w:tc>
          <w:tcPr>
            <w:tcW w:w="403" w:type="pct"/>
            <w:vMerge w:val="continue"/>
            <w:vAlign w:val="center"/>
          </w:tcPr>
          <w:p w14:paraId="1E3ADA53">
            <w:pPr>
              <w:pStyle w:val="28"/>
              <w:bidi w:val="0"/>
            </w:pPr>
          </w:p>
        </w:tc>
        <w:tc>
          <w:tcPr>
            <w:tcW w:w="749" w:type="pct"/>
            <w:vAlign w:val="center"/>
          </w:tcPr>
          <w:p w14:paraId="45AEB4B9">
            <w:pPr>
              <w:pStyle w:val="28"/>
              <w:bidi w:val="0"/>
            </w:pPr>
            <w:r>
              <w:t>大高支渠工程</w:t>
            </w:r>
          </w:p>
        </w:tc>
        <w:tc>
          <w:tcPr>
            <w:tcW w:w="3242" w:type="pct"/>
            <w:gridSpan w:val="2"/>
            <w:vAlign w:val="center"/>
          </w:tcPr>
          <w:p w14:paraId="09964086">
            <w:pPr>
              <w:pStyle w:val="28"/>
              <w:bidi w:val="0"/>
            </w:pPr>
            <w:r>
              <w:t>选用低噪声设备，施工机械远离居民住宅，在施工边界靠近吴底下、程大郢等距离较近的敏感点侧设置隔声屏障</w:t>
            </w:r>
            <w:r>
              <w:rPr>
                <w:rFonts w:hint="eastAsia"/>
              </w:rPr>
              <w:t>、种植树木、减缓施工车辆行驶速度</w:t>
            </w:r>
            <w:r>
              <w:t>措施，保证敏感点声环境质量符合质量标准。</w:t>
            </w:r>
          </w:p>
        </w:tc>
      </w:tr>
      <w:tr w14:paraId="17BDC6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4A304595">
            <w:pPr>
              <w:pStyle w:val="28"/>
              <w:bidi w:val="0"/>
            </w:pPr>
          </w:p>
        </w:tc>
        <w:tc>
          <w:tcPr>
            <w:tcW w:w="370" w:type="pct"/>
            <w:vMerge w:val="continue"/>
            <w:vAlign w:val="center"/>
          </w:tcPr>
          <w:p w14:paraId="38650DA6">
            <w:pPr>
              <w:pStyle w:val="28"/>
              <w:bidi w:val="0"/>
            </w:pPr>
          </w:p>
        </w:tc>
        <w:tc>
          <w:tcPr>
            <w:tcW w:w="403" w:type="pct"/>
            <w:vMerge w:val="continue"/>
            <w:vAlign w:val="center"/>
          </w:tcPr>
          <w:p w14:paraId="40AAA949">
            <w:pPr>
              <w:pStyle w:val="28"/>
              <w:bidi w:val="0"/>
            </w:pPr>
          </w:p>
        </w:tc>
        <w:tc>
          <w:tcPr>
            <w:tcW w:w="749" w:type="pct"/>
            <w:vAlign w:val="center"/>
          </w:tcPr>
          <w:p w14:paraId="671446BC">
            <w:pPr>
              <w:pStyle w:val="28"/>
              <w:bidi w:val="0"/>
            </w:pPr>
            <w:r>
              <w:t>白龙支渠工程</w:t>
            </w:r>
          </w:p>
        </w:tc>
        <w:tc>
          <w:tcPr>
            <w:tcW w:w="3242" w:type="pct"/>
            <w:gridSpan w:val="2"/>
            <w:vAlign w:val="center"/>
          </w:tcPr>
          <w:p w14:paraId="3F7FA141">
            <w:pPr>
              <w:pStyle w:val="28"/>
              <w:bidi w:val="0"/>
            </w:pPr>
            <w:r>
              <w:t>选用低噪声设备，施工机械远离居民住宅，在施工边界靠近先锋村等距离较近的敏感点侧设置隔声屏障</w:t>
            </w:r>
            <w:r>
              <w:rPr>
                <w:rFonts w:hint="eastAsia"/>
              </w:rPr>
              <w:t>、种植树木、减缓施工车辆行驶速度</w:t>
            </w:r>
            <w:r>
              <w:t>措施，保证敏感点声环境质量符合质量标准。</w:t>
            </w:r>
          </w:p>
        </w:tc>
      </w:tr>
      <w:tr w14:paraId="5681DD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7A95A38">
            <w:pPr>
              <w:pStyle w:val="28"/>
              <w:bidi w:val="0"/>
            </w:pPr>
          </w:p>
        </w:tc>
        <w:tc>
          <w:tcPr>
            <w:tcW w:w="370" w:type="pct"/>
            <w:vMerge w:val="continue"/>
            <w:vAlign w:val="center"/>
          </w:tcPr>
          <w:p w14:paraId="59D43C8B">
            <w:pPr>
              <w:pStyle w:val="28"/>
              <w:bidi w:val="0"/>
            </w:pPr>
          </w:p>
        </w:tc>
        <w:tc>
          <w:tcPr>
            <w:tcW w:w="403" w:type="pct"/>
            <w:vMerge w:val="continue"/>
            <w:vAlign w:val="center"/>
          </w:tcPr>
          <w:p w14:paraId="04E8DEAF">
            <w:pPr>
              <w:pStyle w:val="28"/>
              <w:bidi w:val="0"/>
            </w:pPr>
          </w:p>
        </w:tc>
        <w:tc>
          <w:tcPr>
            <w:tcW w:w="749" w:type="pct"/>
            <w:vAlign w:val="center"/>
          </w:tcPr>
          <w:p w14:paraId="14D387AF">
            <w:pPr>
              <w:pStyle w:val="28"/>
              <w:bidi w:val="0"/>
            </w:pPr>
            <w:r>
              <w:t>郑岗泵站工程</w:t>
            </w:r>
          </w:p>
        </w:tc>
        <w:tc>
          <w:tcPr>
            <w:tcW w:w="3242" w:type="pct"/>
            <w:gridSpan w:val="2"/>
            <w:vAlign w:val="center"/>
          </w:tcPr>
          <w:p w14:paraId="35FFD4E9">
            <w:pPr>
              <w:pStyle w:val="28"/>
              <w:bidi w:val="0"/>
            </w:pPr>
            <w:r>
              <w:t>选用低噪声设备，施工机械远离下糖郢、令喜希望小学等居民住宅和学校；在施工边界靠近酒坊村等距离较近的敏感点侧采取设置双层移动声屏障等措施，保证敏感点声环境质量符合质量标准。</w:t>
            </w:r>
          </w:p>
        </w:tc>
      </w:tr>
      <w:tr w14:paraId="7E274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26232BC">
            <w:pPr>
              <w:pStyle w:val="28"/>
              <w:bidi w:val="0"/>
            </w:pPr>
          </w:p>
        </w:tc>
        <w:tc>
          <w:tcPr>
            <w:tcW w:w="370" w:type="pct"/>
            <w:vMerge w:val="continue"/>
            <w:vAlign w:val="center"/>
          </w:tcPr>
          <w:p w14:paraId="1ADD8E84">
            <w:pPr>
              <w:pStyle w:val="28"/>
              <w:bidi w:val="0"/>
            </w:pPr>
          </w:p>
        </w:tc>
        <w:tc>
          <w:tcPr>
            <w:tcW w:w="403" w:type="pct"/>
            <w:vMerge w:val="continue"/>
            <w:vAlign w:val="center"/>
          </w:tcPr>
          <w:p w14:paraId="09979F29">
            <w:pPr>
              <w:pStyle w:val="28"/>
              <w:bidi w:val="0"/>
            </w:pPr>
          </w:p>
        </w:tc>
        <w:tc>
          <w:tcPr>
            <w:tcW w:w="749" w:type="pct"/>
            <w:vAlign w:val="center"/>
          </w:tcPr>
          <w:p w14:paraId="09FC8384">
            <w:pPr>
              <w:pStyle w:val="28"/>
              <w:bidi w:val="0"/>
            </w:pPr>
            <w:r>
              <w:t>沣东干渠工程</w:t>
            </w:r>
          </w:p>
        </w:tc>
        <w:tc>
          <w:tcPr>
            <w:tcW w:w="3242" w:type="pct"/>
            <w:gridSpan w:val="2"/>
            <w:vAlign w:val="center"/>
          </w:tcPr>
          <w:p w14:paraId="64F84DE3">
            <w:pPr>
              <w:pStyle w:val="28"/>
              <w:bidi w:val="0"/>
            </w:pPr>
            <w:r>
              <w:t>选用低噪声设备，施工机械远离居民住宅，在施工边界靠近双庄子、霍邱淮河行蓄洪区安置房等距离较近的敏感点侧设置隔声屏障</w:t>
            </w:r>
            <w:r>
              <w:rPr>
                <w:rFonts w:hint="eastAsia"/>
              </w:rPr>
              <w:t>、种植树木、减缓施工车辆行驶速度</w:t>
            </w:r>
            <w:r>
              <w:t>措施，保证敏感点声环境质量符合质量标准。</w:t>
            </w:r>
          </w:p>
        </w:tc>
      </w:tr>
      <w:tr w14:paraId="4F5D4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469F6C19">
            <w:pPr>
              <w:pStyle w:val="28"/>
              <w:bidi w:val="0"/>
            </w:pPr>
          </w:p>
        </w:tc>
        <w:tc>
          <w:tcPr>
            <w:tcW w:w="370" w:type="pct"/>
            <w:vMerge w:val="continue"/>
            <w:vAlign w:val="center"/>
          </w:tcPr>
          <w:p w14:paraId="2AF45414">
            <w:pPr>
              <w:pStyle w:val="28"/>
              <w:bidi w:val="0"/>
            </w:pPr>
          </w:p>
        </w:tc>
        <w:tc>
          <w:tcPr>
            <w:tcW w:w="403" w:type="pct"/>
            <w:vMerge w:val="continue"/>
            <w:vAlign w:val="center"/>
          </w:tcPr>
          <w:p w14:paraId="16BCF08E">
            <w:pPr>
              <w:pStyle w:val="28"/>
              <w:bidi w:val="0"/>
            </w:pPr>
          </w:p>
        </w:tc>
        <w:tc>
          <w:tcPr>
            <w:tcW w:w="749" w:type="pct"/>
            <w:vAlign w:val="center"/>
          </w:tcPr>
          <w:p w14:paraId="10FD996B">
            <w:pPr>
              <w:pStyle w:val="28"/>
              <w:bidi w:val="0"/>
            </w:pPr>
            <w:r>
              <w:t>沣西干渠工程</w:t>
            </w:r>
          </w:p>
        </w:tc>
        <w:tc>
          <w:tcPr>
            <w:tcW w:w="3242" w:type="pct"/>
            <w:gridSpan w:val="2"/>
            <w:vAlign w:val="center"/>
          </w:tcPr>
          <w:p w14:paraId="027CD384">
            <w:pPr>
              <w:pStyle w:val="28"/>
              <w:bidi w:val="0"/>
            </w:pPr>
            <w:r>
              <w:t>选用低噪声设备，施工机械远离居民住宅，在施工边界靠近大塘、马店镇等距离较近的敏感点侧设置隔声屏障</w:t>
            </w:r>
            <w:r>
              <w:rPr>
                <w:rFonts w:hint="eastAsia"/>
              </w:rPr>
              <w:t>、种植树木、减缓施工车辆行驶速度</w:t>
            </w:r>
            <w:r>
              <w:t>措施，保证敏感点声环境质量符合质量标准。</w:t>
            </w:r>
          </w:p>
        </w:tc>
      </w:tr>
      <w:tr w14:paraId="4BB486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4AD24F0A">
            <w:pPr>
              <w:pStyle w:val="28"/>
              <w:bidi w:val="0"/>
            </w:pPr>
          </w:p>
        </w:tc>
        <w:tc>
          <w:tcPr>
            <w:tcW w:w="370" w:type="pct"/>
            <w:vMerge w:val="continue"/>
            <w:vAlign w:val="center"/>
          </w:tcPr>
          <w:p w14:paraId="5A1AE38F">
            <w:pPr>
              <w:pStyle w:val="28"/>
              <w:bidi w:val="0"/>
            </w:pPr>
          </w:p>
        </w:tc>
        <w:tc>
          <w:tcPr>
            <w:tcW w:w="403" w:type="pct"/>
            <w:vMerge w:val="continue"/>
            <w:vAlign w:val="center"/>
          </w:tcPr>
          <w:p w14:paraId="335F8FA0">
            <w:pPr>
              <w:pStyle w:val="28"/>
              <w:bidi w:val="0"/>
            </w:pPr>
          </w:p>
        </w:tc>
        <w:tc>
          <w:tcPr>
            <w:tcW w:w="749" w:type="pct"/>
            <w:vAlign w:val="center"/>
          </w:tcPr>
          <w:p w14:paraId="33F2D9D1">
            <w:pPr>
              <w:pStyle w:val="28"/>
              <w:bidi w:val="0"/>
            </w:pPr>
            <w:r>
              <w:t>姚李支渠工程</w:t>
            </w:r>
          </w:p>
        </w:tc>
        <w:tc>
          <w:tcPr>
            <w:tcW w:w="3242" w:type="pct"/>
            <w:gridSpan w:val="2"/>
            <w:vAlign w:val="center"/>
          </w:tcPr>
          <w:p w14:paraId="7B3C0081">
            <w:pPr>
              <w:pStyle w:val="28"/>
              <w:bidi w:val="0"/>
            </w:pPr>
            <w:r>
              <w:t>选用低噪声设备，施工机械远离居民住宅，在施工边界靠近白桥村、储老庄等距离较近的敏感点侧设置隔声屏障</w:t>
            </w:r>
            <w:r>
              <w:rPr>
                <w:rFonts w:hint="eastAsia"/>
              </w:rPr>
              <w:t>、种植树木、减缓施工车辆行驶速度</w:t>
            </w:r>
            <w:r>
              <w:t>措施，保证敏感点声环境质量符合质量标准。</w:t>
            </w:r>
          </w:p>
        </w:tc>
      </w:tr>
      <w:tr w14:paraId="2259A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4361FFEC">
            <w:pPr>
              <w:pStyle w:val="28"/>
              <w:bidi w:val="0"/>
            </w:pPr>
          </w:p>
        </w:tc>
        <w:tc>
          <w:tcPr>
            <w:tcW w:w="370" w:type="pct"/>
            <w:vMerge w:val="continue"/>
            <w:vAlign w:val="center"/>
          </w:tcPr>
          <w:p w14:paraId="74CA277E">
            <w:pPr>
              <w:pStyle w:val="28"/>
              <w:bidi w:val="0"/>
            </w:pPr>
          </w:p>
        </w:tc>
        <w:tc>
          <w:tcPr>
            <w:tcW w:w="403" w:type="pct"/>
            <w:vMerge w:val="continue"/>
            <w:vAlign w:val="center"/>
          </w:tcPr>
          <w:p w14:paraId="5D7A5EF5">
            <w:pPr>
              <w:pStyle w:val="28"/>
              <w:bidi w:val="0"/>
            </w:pPr>
          </w:p>
        </w:tc>
        <w:tc>
          <w:tcPr>
            <w:tcW w:w="749" w:type="pct"/>
            <w:vAlign w:val="center"/>
          </w:tcPr>
          <w:p w14:paraId="10E24A28">
            <w:pPr>
              <w:pStyle w:val="28"/>
              <w:bidi w:val="0"/>
            </w:pPr>
            <w:r>
              <w:t>胜天支渠工程</w:t>
            </w:r>
          </w:p>
        </w:tc>
        <w:tc>
          <w:tcPr>
            <w:tcW w:w="3242" w:type="pct"/>
            <w:gridSpan w:val="2"/>
            <w:vAlign w:val="center"/>
          </w:tcPr>
          <w:p w14:paraId="24DC6F3C">
            <w:pPr>
              <w:pStyle w:val="28"/>
              <w:bidi w:val="0"/>
            </w:pPr>
            <w:r>
              <w:t>选用低噪声设备，施工机械远离居民住宅，在施工边界靠近刘大庄、堰东等距离较近的敏感点侧设置隔声屏障</w:t>
            </w:r>
            <w:r>
              <w:rPr>
                <w:rFonts w:hint="eastAsia"/>
              </w:rPr>
              <w:t>、种植树木、减缓施工车辆行驶速度</w:t>
            </w:r>
            <w:r>
              <w:t>措施，保证敏感点声环境质量符合质量标准。</w:t>
            </w:r>
          </w:p>
        </w:tc>
      </w:tr>
      <w:tr w14:paraId="4808B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916F70E">
            <w:pPr>
              <w:pStyle w:val="28"/>
              <w:bidi w:val="0"/>
            </w:pPr>
          </w:p>
        </w:tc>
        <w:tc>
          <w:tcPr>
            <w:tcW w:w="370" w:type="pct"/>
            <w:vMerge w:val="continue"/>
            <w:vAlign w:val="center"/>
          </w:tcPr>
          <w:p w14:paraId="469D7719">
            <w:pPr>
              <w:pStyle w:val="28"/>
              <w:bidi w:val="0"/>
            </w:pPr>
          </w:p>
        </w:tc>
        <w:tc>
          <w:tcPr>
            <w:tcW w:w="403" w:type="pct"/>
            <w:vMerge w:val="continue"/>
            <w:vAlign w:val="center"/>
          </w:tcPr>
          <w:p w14:paraId="72D398FD">
            <w:pPr>
              <w:pStyle w:val="28"/>
              <w:bidi w:val="0"/>
            </w:pPr>
          </w:p>
        </w:tc>
        <w:tc>
          <w:tcPr>
            <w:tcW w:w="749" w:type="pct"/>
            <w:vAlign w:val="center"/>
          </w:tcPr>
          <w:p w14:paraId="6913D257">
            <w:pPr>
              <w:pStyle w:val="28"/>
              <w:bidi w:val="0"/>
            </w:pPr>
            <w:r>
              <w:t>乌斗支渠工程</w:t>
            </w:r>
          </w:p>
        </w:tc>
        <w:tc>
          <w:tcPr>
            <w:tcW w:w="3242" w:type="pct"/>
            <w:gridSpan w:val="2"/>
            <w:vAlign w:val="center"/>
          </w:tcPr>
          <w:p w14:paraId="401D2C6F">
            <w:pPr>
              <w:pStyle w:val="28"/>
              <w:bidi w:val="0"/>
            </w:pPr>
            <w:r>
              <w:t>选用低噪声设备，施工机械远离居民住宅，在施工边界靠近李油坊、黄大庄村、陡岗小学等距离较近的敏感点侧设置隔声屏障</w:t>
            </w:r>
            <w:r>
              <w:rPr>
                <w:rFonts w:hint="eastAsia"/>
              </w:rPr>
              <w:t>、种植树木、减缓施工车辆行驶速度</w:t>
            </w:r>
            <w:r>
              <w:t>措施，保证敏感点声环境质量符合质量标准。</w:t>
            </w:r>
          </w:p>
        </w:tc>
      </w:tr>
      <w:tr w14:paraId="181CA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01DF2A7D">
            <w:pPr>
              <w:pStyle w:val="28"/>
              <w:bidi w:val="0"/>
            </w:pPr>
          </w:p>
        </w:tc>
        <w:tc>
          <w:tcPr>
            <w:tcW w:w="370" w:type="pct"/>
            <w:vMerge w:val="continue"/>
            <w:vAlign w:val="center"/>
          </w:tcPr>
          <w:p w14:paraId="35D4DD92">
            <w:pPr>
              <w:pStyle w:val="28"/>
              <w:bidi w:val="0"/>
            </w:pPr>
          </w:p>
        </w:tc>
        <w:tc>
          <w:tcPr>
            <w:tcW w:w="403" w:type="pct"/>
            <w:vMerge w:val="continue"/>
            <w:vAlign w:val="center"/>
          </w:tcPr>
          <w:p w14:paraId="249844E6">
            <w:pPr>
              <w:pStyle w:val="28"/>
              <w:bidi w:val="0"/>
            </w:pPr>
          </w:p>
        </w:tc>
        <w:tc>
          <w:tcPr>
            <w:tcW w:w="749" w:type="pct"/>
            <w:vAlign w:val="center"/>
          </w:tcPr>
          <w:p w14:paraId="2A042714">
            <w:pPr>
              <w:pStyle w:val="28"/>
              <w:bidi w:val="0"/>
            </w:pPr>
            <w:r>
              <w:t>舒庐干渠七座水闸工程</w:t>
            </w:r>
          </w:p>
        </w:tc>
        <w:tc>
          <w:tcPr>
            <w:tcW w:w="3242" w:type="pct"/>
            <w:gridSpan w:val="2"/>
            <w:vAlign w:val="center"/>
          </w:tcPr>
          <w:p w14:paraId="4FAF6F96">
            <w:pPr>
              <w:pStyle w:val="28"/>
              <w:bidi w:val="0"/>
            </w:pPr>
            <w:r>
              <w:t>选用低噪声设备，施工机械远离居民住宅，在施工边界靠近汪圩子、陈老屋等距离较近的敏感点侧设置隔声屏障</w:t>
            </w:r>
            <w:r>
              <w:rPr>
                <w:rFonts w:hint="eastAsia"/>
              </w:rPr>
              <w:t>、种植树木、减缓施工车辆行驶速度</w:t>
            </w:r>
            <w:r>
              <w:t>措施，保证敏感点声环境质量符合质量标准。</w:t>
            </w:r>
          </w:p>
        </w:tc>
      </w:tr>
      <w:tr w14:paraId="2A2E2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6144823">
            <w:pPr>
              <w:pStyle w:val="28"/>
              <w:bidi w:val="0"/>
            </w:pPr>
          </w:p>
        </w:tc>
        <w:tc>
          <w:tcPr>
            <w:tcW w:w="370" w:type="pct"/>
            <w:vMerge w:val="continue"/>
            <w:vAlign w:val="center"/>
          </w:tcPr>
          <w:p w14:paraId="5BA177BB">
            <w:pPr>
              <w:pStyle w:val="28"/>
              <w:bidi w:val="0"/>
            </w:pPr>
          </w:p>
        </w:tc>
        <w:tc>
          <w:tcPr>
            <w:tcW w:w="403" w:type="pct"/>
            <w:vMerge w:val="continue"/>
            <w:vAlign w:val="center"/>
          </w:tcPr>
          <w:p w14:paraId="260553F6">
            <w:pPr>
              <w:pStyle w:val="28"/>
              <w:bidi w:val="0"/>
            </w:pPr>
          </w:p>
        </w:tc>
        <w:tc>
          <w:tcPr>
            <w:tcW w:w="749" w:type="pct"/>
            <w:vAlign w:val="center"/>
          </w:tcPr>
          <w:p w14:paraId="2956D266">
            <w:pPr>
              <w:pStyle w:val="28"/>
              <w:bidi w:val="0"/>
            </w:pPr>
            <w:r>
              <w:t>杭北干渠工程</w:t>
            </w:r>
          </w:p>
        </w:tc>
        <w:tc>
          <w:tcPr>
            <w:tcW w:w="3242" w:type="pct"/>
            <w:gridSpan w:val="2"/>
            <w:vAlign w:val="center"/>
          </w:tcPr>
          <w:p w14:paraId="33F1D9B1">
            <w:pPr>
              <w:pStyle w:val="28"/>
              <w:bidi w:val="0"/>
            </w:pPr>
            <w:r>
              <w:t>选用低噪声设备，施工机械远离居民住宅，在施工边界靠近孙家庄、临水雅居等距离较近的敏感点侧设置隔声屏障</w:t>
            </w:r>
            <w:r>
              <w:rPr>
                <w:rFonts w:hint="eastAsia"/>
              </w:rPr>
              <w:t>、种植树木、减缓施工车辆行驶速度</w:t>
            </w:r>
            <w:r>
              <w:t>措施，保证敏感点声环境质量符合质量标准。</w:t>
            </w:r>
          </w:p>
        </w:tc>
      </w:tr>
      <w:tr w14:paraId="63CBF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11835B8E">
            <w:pPr>
              <w:pStyle w:val="28"/>
              <w:bidi w:val="0"/>
            </w:pPr>
          </w:p>
        </w:tc>
        <w:tc>
          <w:tcPr>
            <w:tcW w:w="370" w:type="pct"/>
            <w:vMerge w:val="continue"/>
            <w:vAlign w:val="center"/>
          </w:tcPr>
          <w:p w14:paraId="52B620F8">
            <w:pPr>
              <w:pStyle w:val="28"/>
              <w:bidi w:val="0"/>
            </w:pPr>
          </w:p>
        </w:tc>
        <w:tc>
          <w:tcPr>
            <w:tcW w:w="403" w:type="pct"/>
            <w:vMerge w:val="continue"/>
            <w:vAlign w:val="center"/>
          </w:tcPr>
          <w:p w14:paraId="32CE0BEA">
            <w:pPr>
              <w:pStyle w:val="28"/>
              <w:bidi w:val="0"/>
            </w:pPr>
          </w:p>
        </w:tc>
        <w:tc>
          <w:tcPr>
            <w:tcW w:w="749" w:type="pct"/>
            <w:vAlign w:val="center"/>
          </w:tcPr>
          <w:p w14:paraId="77032E2E">
            <w:pPr>
              <w:pStyle w:val="28"/>
              <w:bidi w:val="0"/>
            </w:pPr>
            <w:r>
              <w:t>沙胜支渠工程</w:t>
            </w:r>
          </w:p>
        </w:tc>
        <w:tc>
          <w:tcPr>
            <w:tcW w:w="3242" w:type="pct"/>
            <w:gridSpan w:val="2"/>
            <w:vAlign w:val="center"/>
          </w:tcPr>
          <w:p w14:paraId="15E98259">
            <w:pPr>
              <w:pStyle w:val="28"/>
              <w:bidi w:val="0"/>
            </w:pPr>
            <w:r>
              <w:t>选用低噪声设备，施工机械远离居民住宅，在施工边界靠近王老屋、茨山等距离较近的敏感点侧设置隔声屏障</w:t>
            </w:r>
            <w:r>
              <w:rPr>
                <w:rFonts w:hint="eastAsia"/>
              </w:rPr>
              <w:t>、种植树木、减缓施工车辆行驶速度</w:t>
            </w:r>
            <w:r>
              <w:t>措施，保证敏感点声环境质量符合质量标准。</w:t>
            </w:r>
          </w:p>
        </w:tc>
      </w:tr>
      <w:tr w14:paraId="077E8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59A79BB4">
            <w:pPr>
              <w:pStyle w:val="28"/>
              <w:bidi w:val="0"/>
            </w:pPr>
          </w:p>
        </w:tc>
        <w:tc>
          <w:tcPr>
            <w:tcW w:w="370" w:type="pct"/>
            <w:vMerge w:val="continue"/>
            <w:vAlign w:val="center"/>
          </w:tcPr>
          <w:p w14:paraId="5D07EAF3">
            <w:pPr>
              <w:pStyle w:val="28"/>
              <w:bidi w:val="0"/>
            </w:pPr>
          </w:p>
        </w:tc>
        <w:tc>
          <w:tcPr>
            <w:tcW w:w="403" w:type="pct"/>
            <w:vMerge w:val="continue"/>
            <w:vAlign w:val="center"/>
          </w:tcPr>
          <w:p w14:paraId="08885B29">
            <w:pPr>
              <w:pStyle w:val="28"/>
              <w:bidi w:val="0"/>
            </w:pPr>
          </w:p>
        </w:tc>
        <w:tc>
          <w:tcPr>
            <w:tcW w:w="749" w:type="pct"/>
            <w:vAlign w:val="center"/>
          </w:tcPr>
          <w:p w14:paraId="63DC859E">
            <w:pPr>
              <w:pStyle w:val="28"/>
              <w:bidi w:val="0"/>
            </w:pPr>
            <w:r>
              <w:t>乐桥支渠工程</w:t>
            </w:r>
          </w:p>
        </w:tc>
        <w:tc>
          <w:tcPr>
            <w:tcW w:w="3242" w:type="pct"/>
            <w:gridSpan w:val="2"/>
            <w:vAlign w:val="center"/>
          </w:tcPr>
          <w:p w14:paraId="5F60E2FE">
            <w:pPr>
              <w:pStyle w:val="28"/>
              <w:bidi w:val="0"/>
            </w:pPr>
            <w:r>
              <w:t>选用低噪声设备，施工机械远离居民住宅，在施工边界靠近邢老屋、张港等距离较近的敏感点侧设置隔声屏障</w:t>
            </w:r>
            <w:r>
              <w:rPr>
                <w:rFonts w:hint="eastAsia"/>
              </w:rPr>
              <w:t>、种植树木、减缓施工车辆行驶速度</w:t>
            </w:r>
            <w:r>
              <w:t>措施，保证敏感点声环境质量符合质量标准。</w:t>
            </w:r>
          </w:p>
        </w:tc>
      </w:tr>
      <w:tr w14:paraId="7D1C2A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4AC3A320">
            <w:pPr>
              <w:pStyle w:val="28"/>
              <w:bidi w:val="0"/>
            </w:pPr>
          </w:p>
        </w:tc>
        <w:tc>
          <w:tcPr>
            <w:tcW w:w="370" w:type="pct"/>
            <w:vMerge w:val="continue"/>
            <w:vAlign w:val="center"/>
          </w:tcPr>
          <w:p w14:paraId="0258EDE0">
            <w:pPr>
              <w:pStyle w:val="28"/>
              <w:bidi w:val="0"/>
            </w:pPr>
          </w:p>
        </w:tc>
        <w:tc>
          <w:tcPr>
            <w:tcW w:w="403" w:type="pct"/>
            <w:vMerge w:val="continue"/>
            <w:vAlign w:val="center"/>
          </w:tcPr>
          <w:p w14:paraId="012E2E8D">
            <w:pPr>
              <w:pStyle w:val="28"/>
              <w:bidi w:val="0"/>
            </w:pPr>
          </w:p>
        </w:tc>
        <w:tc>
          <w:tcPr>
            <w:tcW w:w="749" w:type="pct"/>
            <w:vAlign w:val="center"/>
          </w:tcPr>
          <w:p w14:paraId="1BBCFC68">
            <w:pPr>
              <w:pStyle w:val="28"/>
              <w:bidi w:val="0"/>
            </w:pPr>
            <w:r>
              <w:t>马田支渠工程</w:t>
            </w:r>
          </w:p>
        </w:tc>
        <w:tc>
          <w:tcPr>
            <w:tcW w:w="3242" w:type="pct"/>
            <w:gridSpan w:val="2"/>
            <w:vAlign w:val="center"/>
          </w:tcPr>
          <w:p w14:paraId="419D88A2">
            <w:pPr>
              <w:pStyle w:val="28"/>
              <w:bidi w:val="0"/>
            </w:pPr>
            <w:r>
              <w:t>选用低噪声设备，施工机械远离居民住宅，在施工边界靠近三十里铺村、马田村等距离较近的敏感点侧设置隔声屏障</w:t>
            </w:r>
            <w:r>
              <w:rPr>
                <w:rFonts w:hint="eastAsia"/>
              </w:rPr>
              <w:t>、种植树木、减缓施工车辆行驶速度</w:t>
            </w:r>
            <w:r>
              <w:t>措施，保证敏感点声环境质量符合质量标准。</w:t>
            </w:r>
          </w:p>
        </w:tc>
      </w:tr>
      <w:tr w14:paraId="04723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76B8226">
            <w:pPr>
              <w:pStyle w:val="28"/>
              <w:bidi w:val="0"/>
            </w:pPr>
          </w:p>
        </w:tc>
        <w:tc>
          <w:tcPr>
            <w:tcW w:w="370" w:type="pct"/>
            <w:vMerge w:val="continue"/>
            <w:vAlign w:val="center"/>
          </w:tcPr>
          <w:p w14:paraId="1CEF4902">
            <w:pPr>
              <w:pStyle w:val="28"/>
              <w:bidi w:val="0"/>
            </w:pPr>
          </w:p>
        </w:tc>
        <w:tc>
          <w:tcPr>
            <w:tcW w:w="403" w:type="pct"/>
            <w:vAlign w:val="center"/>
          </w:tcPr>
          <w:p w14:paraId="269E0A24">
            <w:pPr>
              <w:pStyle w:val="28"/>
              <w:bidi w:val="0"/>
            </w:pPr>
            <w:r>
              <w:t>施工人员</w:t>
            </w:r>
          </w:p>
        </w:tc>
        <w:tc>
          <w:tcPr>
            <w:tcW w:w="3991" w:type="pct"/>
            <w:gridSpan w:val="3"/>
            <w:vAlign w:val="center"/>
          </w:tcPr>
          <w:p w14:paraId="4C480D9E">
            <w:pPr>
              <w:pStyle w:val="28"/>
              <w:bidi w:val="0"/>
            </w:pPr>
            <w:r>
              <w:t>高噪声环境下的施工作业人员、每人每天的工作时间不超过6h。给受噪声影响大的施工人员配发噪声防护用具，常用的个人防护用具有耳塞、防声棉、耳罩和头盔等。</w:t>
            </w:r>
          </w:p>
        </w:tc>
      </w:tr>
      <w:tr w14:paraId="18995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6FCD25A4">
            <w:pPr>
              <w:pStyle w:val="28"/>
              <w:bidi w:val="0"/>
            </w:pPr>
          </w:p>
        </w:tc>
        <w:tc>
          <w:tcPr>
            <w:tcW w:w="370" w:type="pct"/>
            <w:vMerge w:val="restart"/>
            <w:vAlign w:val="center"/>
          </w:tcPr>
          <w:p w14:paraId="673E4895">
            <w:pPr>
              <w:pStyle w:val="28"/>
              <w:bidi w:val="0"/>
            </w:pPr>
            <w:r>
              <w:t>固废</w:t>
            </w:r>
          </w:p>
        </w:tc>
        <w:tc>
          <w:tcPr>
            <w:tcW w:w="403" w:type="pct"/>
            <w:vAlign w:val="center"/>
          </w:tcPr>
          <w:p w14:paraId="46966D1C">
            <w:pPr>
              <w:pStyle w:val="28"/>
              <w:bidi w:val="0"/>
            </w:pPr>
            <w:r>
              <w:t>生活垃圾</w:t>
            </w:r>
          </w:p>
        </w:tc>
        <w:tc>
          <w:tcPr>
            <w:tcW w:w="3991" w:type="pct"/>
            <w:gridSpan w:val="3"/>
            <w:vAlign w:val="center"/>
          </w:tcPr>
          <w:p w14:paraId="7BDB55DA">
            <w:pPr>
              <w:pStyle w:val="28"/>
              <w:bidi w:val="0"/>
            </w:pPr>
            <w:r>
              <w:t>在施工营地设置垃圾箱、垃圾堆放池，并经常喷洒灭害灵等药水；设专人定时进行卫生清理工作，委托当地环卫部门进行定期清运，集中将施工生活垃圾就近运往各工程区附近的垃圾填埋场进行填埋处理。</w:t>
            </w:r>
          </w:p>
        </w:tc>
      </w:tr>
      <w:tr w14:paraId="7B3D4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5DA77A74">
            <w:pPr>
              <w:pStyle w:val="28"/>
              <w:bidi w:val="0"/>
            </w:pPr>
          </w:p>
        </w:tc>
        <w:tc>
          <w:tcPr>
            <w:tcW w:w="370" w:type="pct"/>
            <w:vMerge w:val="continue"/>
            <w:vAlign w:val="center"/>
          </w:tcPr>
          <w:p w14:paraId="49762474">
            <w:pPr>
              <w:pStyle w:val="28"/>
              <w:bidi w:val="0"/>
            </w:pPr>
          </w:p>
        </w:tc>
        <w:tc>
          <w:tcPr>
            <w:tcW w:w="403" w:type="pct"/>
            <w:vAlign w:val="center"/>
          </w:tcPr>
          <w:p w14:paraId="3E14C76A">
            <w:pPr>
              <w:pStyle w:val="28"/>
              <w:bidi w:val="0"/>
            </w:pPr>
            <w:r>
              <w:t>弃土、建筑垃圾等</w:t>
            </w:r>
          </w:p>
        </w:tc>
        <w:tc>
          <w:tcPr>
            <w:tcW w:w="3991" w:type="pct"/>
            <w:gridSpan w:val="3"/>
            <w:vAlign w:val="center"/>
          </w:tcPr>
          <w:p w14:paraId="5EA7EC55">
            <w:pPr>
              <w:pStyle w:val="28"/>
              <w:bidi w:val="0"/>
            </w:pPr>
            <w:r>
              <w:t>建筑垃圾应分类堆放，优先回用于工程建设，剩余外售综合利用或委托建筑垃圾填埋场填埋；弃土送至指定弃土场堆置，挖方临时堆存后优先回用于项目建设，剩余弃土运送至取土场，施工结束后及时复绿复垦或复耕；对临时堆放区进行定期洒水，或者使用薄膜覆盖防风和降雨，防止风吹扬尘；堆放过程中要严格按照设计控制堆放高度，并采取建设挡栏等措施防止其被冲刷流失。</w:t>
            </w:r>
          </w:p>
        </w:tc>
      </w:tr>
      <w:tr w14:paraId="777F7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32100CFE">
            <w:pPr>
              <w:pStyle w:val="28"/>
              <w:bidi w:val="0"/>
            </w:pPr>
          </w:p>
        </w:tc>
        <w:tc>
          <w:tcPr>
            <w:tcW w:w="370" w:type="pct"/>
            <w:vMerge w:val="continue"/>
            <w:vAlign w:val="center"/>
          </w:tcPr>
          <w:p w14:paraId="6BDB9942">
            <w:pPr>
              <w:pStyle w:val="28"/>
              <w:bidi w:val="0"/>
            </w:pPr>
          </w:p>
        </w:tc>
        <w:tc>
          <w:tcPr>
            <w:tcW w:w="403" w:type="pct"/>
            <w:vAlign w:val="center"/>
          </w:tcPr>
          <w:p w14:paraId="02CB0FA2">
            <w:pPr>
              <w:pStyle w:val="28"/>
              <w:bidi w:val="0"/>
            </w:pPr>
            <w:r>
              <w:rPr>
                <w:rFonts w:hint="eastAsia"/>
              </w:rPr>
              <w:t>清淤污泥</w:t>
            </w:r>
          </w:p>
        </w:tc>
        <w:tc>
          <w:tcPr>
            <w:tcW w:w="3991" w:type="pct"/>
            <w:gridSpan w:val="3"/>
            <w:vAlign w:val="center"/>
          </w:tcPr>
          <w:p w14:paraId="37D67292">
            <w:pPr>
              <w:pStyle w:val="28"/>
              <w:bidi w:val="0"/>
            </w:pPr>
            <w:r>
              <w:rPr>
                <w:rFonts w:hint="eastAsia"/>
              </w:rPr>
              <w:t>清淤的污泥转移至远离居民点的弃土场，及时喷洒除臭剂，弃土场做好定期洒水抑尘、除臭以及防风防雨措施，工程结束后进行表土覆盖并及时开展弃土区的复绿和复垦工作。</w:t>
            </w:r>
          </w:p>
        </w:tc>
      </w:tr>
      <w:tr w14:paraId="46304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19D5003">
            <w:pPr>
              <w:pStyle w:val="28"/>
              <w:bidi w:val="0"/>
            </w:pPr>
          </w:p>
        </w:tc>
        <w:tc>
          <w:tcPr>
            <w:tcW w:w="370" w:type="pct"/>
            <w:vMerge w:val="continue"/>
            <w:vAlign w:val="center"/>
          </w:tcPr>
          <w:p w14:paraId="7745DBA7">
            <w:pPr>
              <w:pStyle w:val="28"/>
              <w:bidi w:val="0"/>
            </w:pPr>
          </w:p>
        </w:tc>
        <w:tc>
          <w:tcPr>
            <w:tcW w:w="403" w:type="pct"/>
            <w:vAlign w:val="center"/>
          </w:tcPr>
          <w:p w14:paraId="288B06D2">
            <w:pPr>
              <w:pStyle w:val="28"/>
              <w:bidi w:val="0"/>
            </w:pPr>
            <w:r>
              <w:t>废机油及其包装容器、含油污泥、废涂料、含油抹布</w:t>
            </w:r>
          </w:p>
        </w:tc>
        <w:tc>
          <w:tcPr>
            <w:tcW w:w="3991" w:type="pct"/>
            <w:gridSpan w:val="3"/>
            <w:vAlign w:val="center"/>
          </w:tcPr>
          <w:p w14:paraId="3E1022B6">
            <w:pPr>
              <w:pStyle w:val="28"/>
              <w:bidi w:val="0"/>
            </w:pPr>
            <w:r>
              <w:t>每个工程各设置1个5m2危废暂存</w:t>
            </w:r>
            <w:r>
              <w:rPr>
                <w:rFonts w:hint="eastAsia"/>
              </w:rPr>
              <w:t>设施</w:t>
            </w:r>
            <w:r>
              <w:t>，施工机械维修产生的少量废机油及其包装容器、汽车冲洗废水处理工艺中产生的含油污泥，废涂料及其包装物、含油抹布等应收集后作为危险废物送有资质的单位统一处理，严禁随意丢弃和排放。</w:t>
            </w:r>
          </w:p>
        </w:tc>
      </w:tr>
      <w:tr w14:paraId="6BD7A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3E598B1">
            <w:pPr>
              <w:pStyle w:val="28"/>
              <w:bidi w:val="0"/>
            </w:pPr>
          </w:p>
        </w:tc>
        <w:tc>
          <w:tcPr>
            <w:tcW w:w="370" w:type="pct"/>
            <w:vAlign w:val="center"/>
          </w:tcPr>
          <w:p w14:paraId="3FFC3D9B">
            <w:pPr>
              <w:pStyle w:val="28"/>
              <w:bidi w:val="0"/>
            </w:pPr>
            <w:r>
              <w:t>环境风险</w:t>
            </w:r>
          </w:p>
        </w:tc>
        <w:tc>
          <w:tcPr>
            <w:tcW w:w="403" w:type="pct"/>
            <w:vAlign w:val="center"/>
          </w:tcPr>
          <w:p w14:paraId="71A4F3AA">
            <w:pPr>
              <w:pStyle w:val="28"/>
              <w:bidi w:val="0"/>
            </w:pPr>
            <w:r>
              <w:t>危废暂存库防渗措施</w:t>
            </w:r>
          </w:p>
        </w:tc>
        <w:tc>
          <w:tcPr>
            <w:tcW w:w="3991" w:type="pct"/>
            <w:gridSpan w:val="3"/>
            <w:vAlign w:val="center"/>
          </w:tcPr>
          <w:p w14:paraId="0B2F6A57">
            <w:pPr>
              <w:pStyle w:val="28"/>
              <w:bidi w:val="0"/>
            </w:pPr>
            <w:r>
              <w:t>重点防渗，等效黏土防渗层Mb≧6.0m，K≦1×10-7cm/s。</w:t>
            </w:r>
          </w:p>
        </w:tc>
      </w:tr>
      <w:tr w14:paraId="20752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0432FE24">
            <w:pPr>
              <w:pStyle w:val="28"/>
              <w:bidi w:val="0"/>
            </w:pPr>
          </w:p>
        </w:tc>
        <w:tc>
          <w:tcPr>
            <w:tcW w:w="370" w:type="pct"/>
            <w:vMerge w:val="restart"/>
            <w:vAlign w:val="center"/>
          </w:tcPr>
          <w:p w14:paraId="77F3EBF2">
            <w:pPr>
              <w:pStyle w:val="28"/>
              <w:bidi w:val="0"/>
            </w:pPr>
            <w:r>
              <w:t>生态环境</w:t>
            </w:r>
          </w:p>
        </w:tc>
        <w:tc>
          <w:tcPr>
            <w:tcW w:w="403" w:type="pct"/>
            <w:vMerge w:val="restart"/>
            <w:vAlign w:val="center"/>
          </w:tcPr>
          <w:p w14:paraId="279FF4C0">
            <w:pPr>
              <w:pStyle w:val="28"/>
              <w:bidi w:val="0"/>
            </w:pPr>
            <w:r>
              <w:t>临时占地</w:t>
            </w:r>
          </w:p>
        </w:tc>
        <w:tc>
          <w:tcPr>
            <w:tcW w:w="749" w:type="pct"/>
            <w:vAlign w:val="center"/>
          </w:tcPr>
          <w:p w14:paraId="349577ED">
            <w:pPr>
              <w:pStyle w:val="28"/>
              <w:bidi w:val="0"/>
            </w:pPr>
            <w:r>
              <w:t>淠河总干渠上段工程</w:t>
            </w:r>
          </w:p>
        </w:tc>
        <w:tc>
          <w:tcPr>
            <w:tcW w:w="3242" w:type="pct"/>
            <w:gridSpan w:val="2"/>
            <w:vAlign w:val="center"/>
          </w:tcPr>
          <w:p w14:paraId="65CA9909">
            <w:pPr>
              <w:pStyle w:val="28"/>
              <w:bidi w:val="0"/>
            </w:pPr>
            <w:r>
              <w:t>减少临时占地，取弃土场、施工营地等大临工程选址避让、六安市城区饮用水水源保护区、苏埠镇饮用水水源保护区、青山乡饮用水水源保护区、基本农田、生态红线；优化临时占地布置，减少对生态环境的影响：项目设置10个施工生产区，1处弃土场，临时用地表土单独收集堆放，施工结束后及时进行有效的复绿、复垦、复耕。</w:t>
            </w:r>
          </w:p>
        </w:tc>
      </w:tr>
      <w:tr w14:paraId="0431E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4B090EE6">
            <w:pPr>
              <w:pStyle w:val="28"/>
              <w:bidi w:val="0"/>
            </w:pPr>
          </w:p>
        </w:tc>
        <w:tc>
          <w:tcPr>
            <w:tcW w:w="370" w:type="pct"/>
            <w:vMerge w:val="continue"/>
            <w:vAlign w:val="center"/>
          </w:tcPr>
          <w:p w14:paraId="5C9BA8F6">
            <w:pPr>
              <w:pStyle w:val="28"/>
              <w:bidi w:val="0"/>
            </w:pPr>
          </w:p>
        </w:tc>
        <w:tc>
          <w:tcPr>
            <w:tcW w:w="403" w:type="pct"/>
            <w:vMerge w:val="continue"/>
            <w:vAlign w:val="center"/>
          </w:tcPr>
          <w:p w14:paraId="5B9AB3D8">
            <w:pPr>
              <w:pStyle w:val="28"/>
              <w:bidi w:val="0"/>
            </w:pPr>
          </w:p>
        </w:tc>
        <w:tc>
          <w:tcPr>
            <w:tcW w:w="749" w:type="pct"/>
            <w:vAlign w:val="center"/>
          </w:tcPr>
          <w:p w14:paraId="5DCCCFA0">
            <w:pPr>
              <w:pStyle w:val="28"/>
              <w:bidi w:val="0"/>
            </w:pPr>
            <w:r>
              <w:t>樊通桥渠下涵工程</w:t>
            </w:r>
          </w:p>
        </w:tc>
        <w:tc>
          <w:tcPr>
            <w:tcW w:w="3242" w:type="pct"/>
            <w:gridSpan w:val="2"/>
            <w:vAlign w:val="center"/>
          </w:tcPr>
          <w:p w14:paraId="3204D692">
            <w:pPr>
              <w:pStyle w:val="28"/>
              <w:bidi w:val="0"/>
            </w:pPr>
            <w:r>
              <w:t>减少临时占地，取弃土场、施工营地等大临工程选址避让Ⅱ-4大别山北麓山前丘陵岗地水土保持生态保护红线、六安市一水厂饮用水水源保护地、基本农田；优化临时占地布置，减少对生态环境的影响：项目设置1个施工生产区，1处弃土场，临时用地表土单独收集堆放，施工结束后及时进行有效的复绿、复垦、复耕。</w:t>
            </w:r>
          </w:p>
        </w:tc>
      </w:tr>
      <w:tr w14:paraId="1E777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56843920">
            <w:pPr>
              <w:pStyle w:val="28"/>
              <w:bidi w:val="0"/>
            </w:pPr>
          </w:p>
        </w:tc>
        <w:tc>
          <w:tcPr>
            <w:tcW w:w="370" w:type="pct"/>
            <w:vMerge w:val="continue"/>
            <w:vAlign w:val="center"/>
          </w:tcPr>
          <w:p w14:paraId="142FC2A2">
            <w:pPr>
              <w:pStyle w:val="28"/>
              <w:bidi w:val="0"/>
            </w:pPr>
          </w:p>
        </w:tc>
        <w:tc>
          <w:tcPr>
            <w:tcW w:w="403" w:type="pct"/>
            <w:vMerge w:val="continue"/>
            <w:vAlign w:val="center"/>
          </w:tcPr>
          <w:p w14:paraId="777F14C6">
            <w:pPr>
              <w:pStyle w:val="28"/>
              <w:bidi w:val="0"/>
            </w:pPr>
          </w:p>
        </w:tc>
        <w:tc>
          <w:tcPr>
            <w:tcW w:w="749" w:type="pct"/>
            <w:vAlign w:val="center"/>
          </w:tcPr>
          <w:p w14:paraId="6F2C9AE6">
            <w:pPr>
              <w:pStyle w:val="28"/>
              <w:bidi w:val="0"/>
            </w:pPr>
            <w:r>
              <w:t>淠河总干渠下段工程</w:t>
            </w:r>
          </w:p>
        </w:tc>
        <w:tc>
          <w:tcPr>
            <w:tcW w:w="3242" w:type="pct"/>
            <w:gridSpan w:val="2"/>
            <w:vAlign w:val="center"/>
          </w:tcPr>
          <w:p w14:paraId="6679B9F4">
            <w:pPr>
              <w:pStyle w:val="28"/>
              <w:bidi w:val="0"/>
            </w:pPr>
            <w:r>
              <w:t>减少临时占地，取弃土场、施工营地等大临工程选址避让Ⅱ-3江淮分水岭丘岗水土保持生态保护红线、基本农田；优化临时占地布置，减少对生态环境的影响：项目设置3个施工生产区，1处弃土场，临时用地表土单独收集堆放，施工结束后及时进行有效的复绿、复垦、复耕。</w:t>
            </w:r>
          </w:p>
        </w:tc>
      </w:tr>
      <w:tr w14:paraId="68F150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04680399">
            <w:pPr>
              <w:pStyle w:val="28"/>
              <w:bidi w:val="0"/>
            </w:pPr>
          </w:p>
        </w:tc>
        <w:tc>
          <w:tcPr>
            <w:tcW w:w="370" w:type="pct"/>
            <w:vMerge w:val="continue"/>
            <w:vAlign w:val="center"/>
          </w:tcPr>
          <w:p w14:paraId="5CA533CD">
            <w:pPr>
              <w:pStyle w:val="28"/>
              <w:bidi w:val="0"/>
            </w:pPr>
          </w:p>
        </w:tc>
        <w:tc>
          <w:tcPr>
            <w:tcW w:w="403" w:type="pct"/>
            <w:vMerge w:val="continue"/>
            <w:vAlign w:val="center"/>
          </w:tcPr>
          <w:p w14:paraId="11EDAA99">
            <w:pPr>
              <w:pStyle w:val="28"/>
              <w:bidi w:val="0"/>
            </w:pPr>
          </w:p>
        </w:tc>
        <w:tc>
          <w:tcPr>
            <w:tcW w:w="749" w:type="pct"/>
            <w:vAlign w:val="center"/>
          </w:tcPr>
          <w:p w14:paraId="6C3BB5A0">
            <w:pPr>
              <w:pStyle w:val="28"/>
              <w:bidi w:val="0"/>
            </w:pPr>
            <w:r>
              <w:t>聚星渡槽工程</w:t>
            </w:r>
          </w:p>
        </w:tc>
        <w:tc>
          <w:tcPr>
            <w:tcW w:w="3242" w:type="pct"/>
            <w:gridSpan w:val="2"/>
            <w:vAlign w:val="center"/>
          </w:tcPr>
          <w:p w14:paraId="5DCE82D0">
            <w:pPr>
              <w:pStyle w:val="28"/>
              <w:bidi w:val="0"/>
            </w:pPr>
            <w:r>
              <w:t>减少临时占地，取弃土场、施工营地等大临工程选址避让紫蓬山国家森林公园缓冲区、Ⅱ-3江淮分水岭丘岗水土保持生态保护红线、基本农田；优化临时占地布置，减少对生态环境的影响：项目设置1个施工生产区，1处弃土场，临时用地表土单独收集堆放，施工结束后及时进行有效的复绿、复垦、复耕。</w:t>
            </w:r>
          </w:p>
        </w:tc>
      </w:tr>
      <w:tr w14:paraId="2C94B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0A0D960D">
            <w:pPr>
              <w:pStyle w:val="28"/>
              <w:bidi w:val="0"/>
            </w:pPr>
          </w:p>
        </w:tc>
        <w:tc>
          <w:tcPr>
            <w:tcW w:w="370" w:type="pct"/>
            <w:vMerge w:val="continue"/>
            <w:vAlign w:val="center"/>
          </w:tcPr>
          <w:p w14:paraId="4A3BA517">
            <w:pPr>
              <w:pStyle w:val="28"/>
              <w:bidi w:val="0"/>
            </w:pPr>
          </w:p>
        </w:tc>
        <w:tc>
          <w:tcPr>
            <w:tcW w:w="403" w:type="pct"/>
            <w:vMerge w:val="continue"/>
            <w:vAlign w:val="center"/>
          </w:tcPr>
          <w:p w14:paraId="3E620288">
            <w:pPr>
              <w:pStyle w:val="28"/>
              <w:bidi w:val="0"/>
            </w:pPr>
          </w:p>
        </w:tc>
        <w:tc>
          <w:tcPr>
            <w:tcW w:w="749" w:type="pct"/>
            <w:vAlign w:val="center"/>
          </w:tcPr>
          <w:p w14:paraId="1389CACB">
            <w:pPr>
              <w:pStyle w:val="28"/>
              <w:bidi w:val="0"/>
            </w:pPr>
            <w:r>
              <w:t>滁河干渠总局直管段工程</w:t>
            </w:r>
          </w:p>
        </w:tc>
        <w:tc>
          <w:tcPr>
            <w:tcW w:w="3242" w:type="pct"/>
            <w:gridSpan w:val="2"/>
            <w:vAlign w:val="center"/>
          </w:tcPr>
          <w:p w14:paraId="3E8E758D">
            <w:pPr>
              <w:pStyle w:val="28"/>
              <w:bidi w:val="0"/>
            </w:pPr>
            <w:r>
              <w:t>减少临时占地，取弃土场、施工营地等大临工程选址避让Ⅱ-3江淮分水岭丘岗水土保持生态保护红线、董铺水库合肥市饮用水水源保护区、基本农田；优化临时占地布置，减少对生态环境的影响：项目设置2个施工生产区，1处弃土场，临时用地表土单独收集堆放，施工结束后及时进行有效的复绿、复垦、复耕。</w:t>
            </w:r>
          </w:p>
        </w:tc>
      </w:tr>
      <w:tr w14:paraId="3F598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64D4EE99">
            <w:pPr>
              <w:pStyle w:val="28"/>
              <w:bidi w:val="0"/>
            </w:pPr>
          </w:p>
        </w:tc>
        <w:tc>
          <w:tcPr>
            <w:tcW w:w="370" w:type="pct"/>
            <w:vMerge w:val="continue"/>
            <w:vAlign w:val="center"/>
          </w:tcPr>
          <w:p w14:paraId="5EA19A23">
            <w:pPr>
              <w:pStyle w:val="28"/>
              <w:bidi w:val="0"/>
            </w:pPr>
          </w:p>
        </w:tc>
        <w:tc>
          <w:tcPr>
            <w:tcW w:w="403" w:type="pct"/>
            <w:vMerge w:val="continue"/>
            <w:vAlign w:val="center"/>
          </w:tcPr>
          <w:p w14:paraId="2FF8B50C">
            <w:pPr>
              <w:pStyle w:val="28"/>
              <w:bidi w:val="0"/>
            </w:pPr>
          </w:p>
        </w:tc>
        <w:tc>
          <w:tcPr>
            <w:tcW w:w="749" w:type="pct"/>
            <w:vAlign w:val="center"/>
          </w:tcPr>
          <w:p w14:paraId="4A982C60">
            <w:pPr>
              <w:pStyle w:val="28"/>
              <w:bidi w:val="0"/>
            </w:pPr>
            <w:r>
              <w:t>滁河干渠6座渠下涵工程</w:t>
            </w:r>
          </w:p>
        </w:tc>
        <w:tc>
          <w:tcPr>
            <w:tcW w:w="3242" w:type="pct"/>
            <w:gridSpan w:val="2"/>
            <w:vAlign w:val="center"/>
          </w:tcPr>
          <w:p w14:paraId="1DADC434">
            <w:pPr>
              <w:pStyle w:val="28"/>
              <w:bidi w:val="0"/>
            </w:pPr>
            <w:r>
              <w:t>减少临时占地，取弃土场、施工营地等大临工程选址避让Ⅱ-3江淮分水岭丘岗水土保持生态保护红线、董铺水库合肥市饮用水水源保护区、大房郢水库合肥市饮用水水源保护区、基本农田；优化临时占地布置，减少对生态环境的影响：项目设置3个施工生产区，1处弃土场，临时用地表土单独收集堆放，施工结束后及时进行有效的复绿、复垦、复耕。</w:t>
            </w:r>
          </w:p>
        </w:tc>
      </w:tr>
      <w:tr w14:paraId="4E1CF0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4165D40D">
            <w:pPr>
              <w:pStyle w:val="28"/>
              <w:bidi w:val="0"/>
            </w:pPr>
          </w:p>
        </w:tc>
        <w:tc>
          <w:tcPr>
            <w:tcW w:w="370" w:type="pct"/>
            <w:vMerge w:val="continue"/>
            <w:vAlign w:val="center"/>
          </w:tcPr>
          <w:p w14:paraId="135BA494">
            <w:pPr>
              <w:pStyle w:val="28"/>
              <w:bidi w:val="0"/>
            </w:pPr>
          </w:p>
        </w:tc>
        <w:tc>
          <w:tcPr>
            <w:tcW w:w="403" w:type="pct"/>
            <w:vMerge w:val="continue"/>
            <w:vAlign w:val="center"/>
          </w:tcPr>
          <w:p w14:paraId="2BDC8277">
            <w:pPr>
              <w:pStyle w:val="28"/>
              <w:bidi w:val="0"/>
            </w:pPr>
          </w:p>
        </w:tc>
        <w:tc>
          <w:tcPr>
            <w:tcW w:w="749" w:type="pct"/>
            <w:vAlign w:val="center"/>
          </w:tcPr>
          <w:p w14:paraId="193E5B41">
            <w:pPr>
              <w:pStyle w:val="28"/>
              <w:bidi w:val="0"/>
            </w:pPr>
            <w:r>
              <w:t>淠东干渠工程</w:t>
            </w:r>
          </w:p>
        </w:tc>
        <w:tc>
          <w:tcPr>
            <w:tcW w:w="3242" w:type="pct"/>
            <w:gridSpan w:val="2"/>
            <w:vAlign w:val="center"/>
          </w:tcPr>
          <w:p w14:paraId="00875455">
            <w:pPr>
              <w:pStyle w:val="28"/>
              <w:bidi w:val="0"/>
            </w:pPr>
            <w:r>
              <w:t>减少临时占地，取弃土场、施工营地等大临工程选址避让众兴、茶庵镇饮用水水源保护区、安丰塘饮用水水源保护区、安丰塘备用饮用水水源保护区、基本农田、生态红线；优化临时占地布置，减少对生态环境的影响：项目设置4个施工生产区，1处弃土场，临时用地表土单独收集堆放，施工结束后及时进行有效的复绿、复垦、复耕。</w:t>
            </w:r>
          </w:p>
        </w:tc>
      </w:tr>
      <w:tr w14:paraId="26EB2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EFC6BD9">
            <w:pPr>
              <w:pStyle w:val="28"/>
              <w:bidi w:val="0"/>
            </w:pPr>
          </w:p>
        </w:tc>
        <w:tc>
          <w:tcPr>
            <w:tcW w:w="370" w:type="pct"/>
            <w:vMerge w:val="continue"/>
            <w:vAlign w:val="center"/>
          </w:tcPr>
          <w:p w14:paraId="1EAB39CE">
            <w:pPr>
              <w:pStyle w:val="28"/>
              <w:bidi w:val="0"/>
            </w:pPr>
          </w:p>
        </w:tc>
        <w:tc>
          <w:tcPr>
            <w:tcW w:w="403" w:type="pct"/>
            <w:vMerge w:val="continue"/>
            <w:vAlign w:val="center"/>
          </w:tcPr>
          <w:p w14:paraId="25F08141">
            <w:pPr>
              <w:pStyle w:val="28"/>
              <w:bidi w:val="0"/>
            </w:pPr>
          </w:p>
        </w:tc>
        <w:tc>
          <w:tcPr>
            <w:tcW w:w="749" w:type="pct"/>
            <w:vAlign w:val="center"/>
          </w:tcPr>
          <w:p w14:paraId="1674D6BC">
            <w:pPr>
              <w:pStyle w:val="28"/>
              <w:bidi w:val="0"/>
            </w:pPr>
            <w:r>
              <w:t>堰口分干渠工程</w:t>
            </w:r>
          </w:p>
        </w:tc>
        <w:tc>
          <w:tcPr>
            <w:tcW w:w="3242" w:type="pct"/>
            <w:gridSpan w:val="2"/>
            <w:vAlign w:val="center"/>
          </w:tcPr>
          <w:p w14:paraId="0BFB4A14">
            <w:pPr>
              <w:pStyle w:val="28"/>
              <w:bidi w:val="0"/>
            </w:pPr>
            <w:r>
              <w:t>减少临时占地，取弃土场、施工营地等大临工程选址避让安丰塘备用饮用水水源保护区、基本农田、生态红线；优化临时占地布置，减少对生态环境的影响：项目设置1个施工生产区，1处弃土场，临时用地表土单独收集堆放，施工结束后及时进行有效的复绿、复垦、复耕。</w:t>
            </w:r>
          </w:p>
        </w:tc>
      </w:tr>
      <w:tr w14:paraId="1430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7302790">
            <w:pPr>
              <w:pStyle w:val="28"/>
              <w:bidi w:val="0"/>
            </w:pPr>
          </w:p>
        </w:tc>
        <w:tc>
          <w:tcPr>
            <w:tcW w:w="370" w:type="pct"/>
            <w:vMerge w:val="continue"/>
            <w:vAlign w:val="center"/>
          </w:tcPr>
          <w:p w14:paraId="000BB26C">
            <w:pPr>
              <w:pStyle w:val="28"/>
              <w:bidi w:val="0"/>
            </w:pPr>
          </w:p>
        </w:tc>
        <w:tc>
          <w:tcPr>
            <w:tcW w:w="403" w:type="pct"/>
            <w:vMerge w:val="continue"/>
            <w:vAlign w:val="center"/>
          </w:tcPr>
          <w:p w14:paraId="2C94671A">
            <w:pPr>
              <w:pStyle w:val="28"/>
              <w:bidi w:val="0"/>
            </w:pPr>
          </w:p>
        </w:tc>
        <w:tc>
          <w:tcPr>
            <w:tcW w:w="749" w:type="pct"/>
            <w:vAlign w:val="center"/>
          </w:tcPr>
          <w:p w14:paraId="28D32D5D">
            <w:pPr>
              <w:pStyle w:val="28"/>
              <w:bidi w:val="0"/>
            </w:pPr>
            <w:r>
              <w:t>众兴分干渠双庙支渠工程</w:t>
            </w:r>
          </w:p>
        </w:tc>
        <w:tc>
          <w:tcPr>
            <w:tcW w:w="3242" w:type="pct"/>
            <w:gridSpan w:val="2"/>
            <w:vAlign w:val="center"/>
          </w:tcPr>
          <w:p w14:paraId="02CF06F2">
            <w:pPr>
              <w:pStyle w:val="28"/>
              <w:bidi w:val="0"/>
            </w:pPr>
            <w:r>
              <w:t>减少临时占地，取弃土场、施工营地等大临工程选址避让肥东县众兴水库饮用水水源保护区、基本农田、生态红线；优化临时占地布置，减少对生态环境的影响：项目设置2个施工生产区，1处弃土场，临时用地表土单独收集堆放，施工结束后及时进行有效的复绿、复垦、复耕。</w:t>
            </w:r>
          </w:p>
        </w:tc>
      </w:tr>
      <w:tr w14:paraId="783F87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1E5FC8C0">
            <w:pPr>
              <w:pStyle w:val="28"/>
              <w:bidi w:val="0"/>
            </w:pPr>
          </w:p>
        </w:tc>
        <w:tc>
          <w:tcPr>
            <w:tcW w:w="370" w:type="pct"/>
            <w:vMerge w:val="continue"/>
            <w:vAlign w:val="center"/>
          </w:tcPr>
          <w:p w14:paraId="410EE86E">
            <w:pPr>
              <w:pStyle w:val="28"/>
              <w:bidi w:val="0"/>
            </w:pPr>
          </w:p>
        </w:tc>
        <w:tc>
          <w:tcPr>
            <w:tcW w:w="403" w:type="pct"/>
            <w:vMerge w:val="continue"/>
            <w:vAlign w:val="center"/>
          </w:tcPr>
          <w:p w14:paraId="50B2575A">
            <w:pPr>
              <w:pStyle w:val="28"/>
              <w:bidi w:val="0"/>
            </w:pPr>
          </w:p>
        </w:tc>
        <w:tc>
          <w:tcPr>
            <w:tcW w:w="749" w:type="pct"/>
            <w:vAlign w:val="center"/>
          </w:tcPr>
          <w:p w14:paraId="442C7825">
            <w:pPr>
              <w:pStyle w:val="28"/>
              <w:bidi w:val="0"/>
            </w:pPr>
            <w:r>
              <w:t>大高支渠工程</w:t>
            </w:r>
          </w:p>
        </w:tc>
        <w:tc>
          <w:tcPr>
            <w:tcW w:w="3242" w:type="pct"/>
            <w:gridSpan w:val="2"/>
            <w:vAlign w:val="center"/>
          </w:tcPr>
          <w:p w14:paraId="7E3778E0">
            <w:pPr>
              <w:pStyle w:val="28"/>
              <w:bidi w:val="0"/>
            </w:pPr>
            <w:r>
              <w:t>减少临时占地，取弃土场、施工营地等大临工程选址避让肥东县众兴水库饮用水水源保护区、基本农田、生态红线；优化临时占地布置，减少对生态环境的影响：项目设置1个施工生产区，1处弃土场，临时用地表土单独收集堆放，施工结束后及时进行有效的复绿、复垦、复耕。</w:t>
            </w:r>
          </w:p>
        </w:tc>
      </w:tr>
      <w:tr w14:paraId="5B925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C57C601">
            <w:pPr>
              <w:pStyle w:val="28"/>
              <w:bidi w:val="0"/>
            </w:pPr>
          </w:p>
        </w:tc>
        <w:tc>
          <w:tcPr>
            <w:tcW w:w="370" w:type="pct"/>
            <w:vMerge w:val="continue"/>
            <w:vAlign w:val="center"/>
          </w:tcPr>
          <w:p w14:paraId="6AC0219A">
            <w:pPr>
              <w:pStyle w:val="28"/>
              <w:bidi w:val="0"/>
            </w:pPr>
          </w:p>
        </w:tc>
        <w:tc>
          <w:tcPr>
            <w:tcW w:w="403" w:type="pct"/>
            <w:vMerge w:val="continue"/>
            <w:vAlign w:val="center"/>
          </w:tcPr>
          <w:p w14:paraId="05FC7C42">
            <w:pPr>
              <w:pStyle w:val="28"/>
              <w:bidi w:val="0"/>
            </w:pPr>
          </w:p>
        </w:tc>
        <w:tc>
          <w:tcPr>
            <w:tcW w:w="749" w:type="pct"/>
            <w:vAlign w:val="center"/>
          </w:tcPr>
          <w:p w14:paraId="29C9041B">
            <w:pPr>
              <w:pStyle w:val="28"/>
              <w:bidi w:val="0"/>
            </w:pPr>
            <w:r>
              <w:t>白龙支渠工程</w:t>
            </w:r>
          </w:p>
        </w:tc>
        <w:tc>
          <w:tcPr>
            <w:tcW w:w="3242" w:type="pct"/>
            <w:gridSpan w:val="2"/>
            <w:vAlign w:val="center"/>
          </w:tcPr>
          <w:p w14:paraId="3DE79389">
            <w:pPr>
              <w:pStyle w:val="28"/>
              <w:bidi w:val="0"/>
            </w:pPr>
            <w:r>
              <w:t>减少临时占地，取弃土场、施工营地等大临工程选址避让肥东县众兴水库饮用水水源保护区、基本农田、生态红线；优化临时占地布置，减少对生态环境的影响：项目设置1个施工生产区，1处弃土场，临时用地表土单独收集堆放，施工结束后及时进行有效的复绿、复垦、复耕。</w:t>
            </w:r>
          </w:p>
        </w:tc>
      </w:tr>
      <w:tr w14:paraId="025BA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234" w:type="pct"/>
            <w:vMerge w:val="continue"/>
            <w:vAlign w:val="center"/>
          </w:tcPr>
          <w:p w14:paraId="3315C20B">
            <w:pPr>
              <w:pStyle w:val="28"/>
              <w:bidi w:val="0"/>
            </w:pPr>
          </w:p>
        </w:tc>
        <w:tc>
          <w:tcPr>
            <w:tcW w:w="370" w:type="pct"/>
            <w:vMerge w:val="continue"/>
            <w:vAlign w:val="center"/>
          </w:tcPr>
          <w:p w14:paraId="28F18128">
            <w:pPr>
              <w:pStyle w:val="28"/>
              <w:bidi w:val="0"/>
            </w:pPr>
          </w:p>
        </w:tc>
        <w:tc>
          <w:tcPr>
            <w:tcW w:w="403" w:type="pct"/>
            <w:vMerge w:val="continue"/>
            <w:vAlign w:val="center"/>
          </w:tcPr>
          <w:p w14:paraId="2CF84B4A">
            <w:pPr>
              <w:pStyle w:val="28"/>
              <w:bidi w:val="0"/>
            </w:pPr>
          </w:p>
        </w:tc>
        <w:tc>
          <w:tcPr>
            <w:tcW w:w="749" w:type="pct"/>
            <w:vAlign w:val="center"/>
          </w:tcPr>
          <w:p w14:paraId="1C8599B9">
            <w:pPr>
              <w:pStyle w:val="28"/>
              <w:bidi w:val="0"/>
            </w:pPr>
            <w:r>
              <w:t>郑岗泵站工程</w:t>
            </w:r>
          </w:p>
        </w:tc>
        <w:tc>
          <w:tcPr>
            <w:tcW w:w="3242" w:type="pct"/>
            <w:gridSpan w:val="2"/>
            <w:vAlign w:val="center"/>
          </w:tcPr>
          <w:p w14:paraId="39E279EB">
            <w:pPr>
              <w:pStyle w:val="28"/>
              <w:bidi w:val="0"/>
            </w:pPr>
            <w:r>
              <w:t>减少临时占地，取弃土场、施工营地等大临工程选址避让小甸镇饮用水水源保护区、基本农田、生态红线；优化临时占地布置，减少对生态环境的影响：项目设置1个施工生产区，1处弃土场，临时用地表土单独收集堆放，施工结束后及时进行有效的复绿、复垦、复耕。</w:t>
            </w:r>
          </w:p>
        </w:tc>
      </w:tr>
      <w:tr w14:paraId="6B9A2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6B2E0B68">
            <w:pPr>
              <w:pStyle w:val="28"/>
              <w:bidi w:val="0"/>
            </w:pPr>
          </w:p>
        </w:tc>
        <w:tc>
          <w:tcPr>
            <w:tcW w:w="370" w:type="pct"/>
            <w:vMerge w:val="continue"/>
            <w:vAlign w:val="center"/>
          </w:tcPr>
          <w:p w14:paraId="0927BCBA">
            <w:pPr>
              <w:pStyle w:val="28"/>
              <w:bidi w:val="0"/>
            </w:pPr>
          </w:p>
        </w:tc>
        <w:tc>
          <w:tcPr>
            <w:tcW w:w="403" w:type="pct"/>
            <w:vMerge w:val="continue"/>
            <w:vAlign w:val="center"/>
          </w:tcPr>
          <w:p w14:paraId="30C09FCD">
            <w:pPr>
              <w:pStyle w:val="28"/>
              <w:bidi w:val="0"/>
            </w:pPr>
          </w:p>
        </w:tc>
        <w:tc>
          <w:tcPr>
            <w:tcW w:w="749" w:type="pct"/>
            <w:vAlign w:val="center"/>
          </w:tcPr>
          <w:p w14:paraId="24D0C00A">
            <w:pPr>
              <w:pStyle w:val="28"/>
              <w:bidi w:val="0"/>
            </w:pPr>
            <w:r>
              <w:t>沣西干渠工程</w:t>
            </w:r>
          </w:p>
        </w:tc>
        <w:tc>
          <w:tcPr>
            <w:tcW w:w="3242" w:type="pct"/>
            <w:gridSpan w:val="2"/>
            <w:vAlign w:val="center"/>
          </w:tcPr>
          <w:p w14:paraId="75C2D194">
            <w:pPr>
              <w:pStyle w:val="28"/>
              <w:bidi w:val="0"/>
            </w:pPr>
            <w:r>
              <w:t>减少临时占地，取弃土场、施工营地等大临工程选址避让龙潭水库饮用水水源保护区、溜山水库、基本农田、生态保护红线；优化临时占地布置，减少对生态环境的影响：项目设置11个施工生产区，1处弃土场，临时用地表土单独收集堆放，施工结束后及时进行有效的复绿、复垦、复耕。</w:t>
            </w:r>
          </w:p>
        </w:tc>
      </w:tr>
      <w:tr w14:paraId="1B764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22A9C59">
            <w:pPr>
              <w:pStyle w:val="28"/>
              <w:bidi w:val="0"/>
            </w:pPr>
          </w:p>
        </w:tc>
        <w:tc>
          <w:tcPr>
            <w:tcW w:w="370" w:type="pct"/>
            <w:vMerge w:val="continue"/>
            <w:vAlign w:val="center"/>
          </w:tcPr>
          <w:p w14:paraId="171BB2DF">
            <w:pPr>
              <w:pStyle w:val="28"/>
              <w:bidi w:val="0"/>
            </w:pPr>
          </w:p>
        </w:tc>
        <w:tc>
          <w:tcPr>
            <w:tcW w:w="403" w:type="pct"/>
            <w:vMerge w:val="continue"/>
            <w:vAlign w:val="center"/>
          </w:tcPr>
          <w:p w14:paraId="5388F589">
            <w:pPr>
              <w:pStyle w:val="28"/>
              <w:bidi w:val="0"/>
            </w:pPr>
          </w:p>
        </w:tc>
        <w:tc>
          <w:tcPr>
            <w:tcW w:w="749" w:type="pct"/>
            <w:vAlign w:val="center"/>
          </w:tcPr>
          <w:p w14:paraId="7119DF87">
            <w:pPr>
              <w:pStyle w:val="28"/>
              <w:bidi w:val="0"/>
            </w:pPr>
            <w:r>
              <w:t>乌斗支渠工程</w:t>
            </w:r>
          </w:p>
        </w:tc>
        <w:tc>
          <w:tcPr>
            <w:tcW w:w="3242" w:type="pct"/>
            <w:gridSpan w:val="2"/>
            <w:vAlign w:val="center"/>
          </w:tcPr>
          <w:p w14:paraId="3EBA4E4D">
            <w:pPr>
              <w:pStyle w:val="28"/>
              <w:bidi w:val="0"/>
            </w:pPr>
            <w:r>
              <w:t>减少临时占地，取弃土场、施工营地等大临工程选址避让乌龙镇陈楼水厂饮用水水源保护区、基本农田、生态保护红线；优化临时占地布置，减少对生态环境的影响：项目设置3个施工生产区，1处弃土场，临时用地表土单独收集堆放，施工结束后及时进行有效的复绿、复垦、复耕。</w:t>
            </w:r>
          </w:p>
        </w:tc>
      </w:tr>
      <w:tr w14:paraId="4BADE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0FCD2357">
            <w:pPr>
              <w:pStyle w:val="28"/>
              <w:bidi w:val="0"/>
            </w:pPr>
          </w:p>
        </w:tc>
        <w:tc>
          <w:tcPr>
            <w:tcW w:w="370" w:type="pct"/>
            <w:vMerge w:val="continue"/>
            <w:vAlign w:val="center"/>
          </w:tcPr>
          <w:p w14:paraId="3088FD04">
            <w:pPr>
              <w:pStyle w:val="28"/>
              <w:bidi w:val="0"/>
            </w:pPr>
          </w:p>
        </w:tc>
        <w:tc>
          <w:tcPr>
            <w:tcW w:w="403" w:type="pct"/>
            <w:vMerge w:val="continue"/>
            <w:vAlign w:val="center"/>
          </w:tcPr>
          <w:p w14:paraId="25F705F0">
            <w:pPr>
              <w:pStyle w:val="28"/>
              <w:bidi w:val="0"/>
            </w:pPr>
          </w:p>
        </w:tc>
        <w:tc>
          <w:tcPr>
            <w:tcW w:w="749" w:type="pct"/>
            <w:vAlign w:val="center"/>
          </w:tcPr>
          <w:p w14:paraId="40381BEA">
            <w:pPr>
              <w:pStyle w:val="28"/>
              <w:bidi w:val="0"/>
            </w:pPr>
            <w:r>
              <w:t>舒庐干渠七座水闸工程</w:t>
            </w:r>
          </w:p>
        </w:tc>
        <w:tc>
          <w:tcPr>
            <w:tcW w:w="3242" w:type="pct"/>
            <w:gridSpan w:val="2"/>
            <w:vAlign w:val="center"/>
          </w:tcPr>
          <w:p w14:paraId="021F03CB">
            <w:pPr>
              <w:pStyle w:val="28"/>
              <w:bidi w:val="0"/>
            </w:pPr>
            <w:r>
              <w:t>减少临时占地，取弃土场、施工营地等大临工程选址避让果园山水库饮用水水源保护区、基本农田、生态保护红线；优化临时占地布置，减少对生态环境的影响：项目设置3个施工生产区，1处弃土场，临时用地表土单独收集堆放，施工结束后及时进行有效的复绿、复垦、复耕。</w:t>
            </w:r>
          </w:p>
        </w:tc>
      </w:tr>
      <w:tr w14:paraId="0AA1A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9B085CC">
            <w:pPr>
              <w:pStyle w:val="28"/>
              <w:bidi w:val="0"/>
            </w:pPr>
          </w:p>
        </w:tc>
        <w:tc>
          <w:tcPr>
            <w:tcW w:w="370" w:type="pct"/>
            <w:vMerge w:val="continue"/>
            <w:vAlign w:val="center"/>
          </w:tcPr>
          <w:p w14:paraId="783DFC2C">
            <w:pPr>
              <w:pStyle w:val="28"/>
              <w:bidi w:val="0"/>
            </w:pPr>
          </w:p>
        </w:tc>
        <w:tc>
          <w:tcPr>
            <w:tcW w:w="403" w:type="pct"/>
            <w:vMerge w:val="continue"/>
            <w:vAlign w:val="center"/>
          </w:tcPr>
          <w:p w14:paraId="61695E6E">
            <w:pPr>
              <w:pStyle w:val="28"/>
              <w:bidi w:val="0"/>
            </w:pPr>
          </w:p>
        </w:tc>
        <w:tc>
          <w:tcPr>
            <w:tcW w:w="749" w:type="pct"/>
            <w:vAlign w:val="center"/>
          </w:tcPr>
          <w:p w14:paraId="2EC8D9B4">
            <w:pPr>
              <w:pStyle w:val="28"/>
              <w:bidi w:val="0"/>
            </w:pPr>
            <w:r>
              <w:t>杭北干渠工程</w:t>
            </w:r>
          </w:p>
        </w:tc>
        <w:tc>
          <w:tcPr>
            <w:tcW w:w="3242" w:type="pct"/>
            <w:gridSpan w:val="2"/>
            <w:vAlign w:val="center"/>
          </w:tcPr>
          <w:p w14:paraId="431A994C">
            <w:pPr>
              <w:pStyle w:val="28"/>
              <w:bidi w:val="0"/>
            </w:pPr>
            <w:r>
              <w:t>减少临时占地，取弃土场、施工营地等大临工程选址避让杭埠河饮用水水源保护区、基本农田、生态红线；优化临时占地布置，减少对生态环境的影响：项目设置6个施工生产区，1处弃土场，临时用地表土单独收集堆放，施工结束后及时进行有效的复绿、复垦、复耕。</w:t>
            </w:r>
          </w:p>
        </w:tc>
      </w:tr>
      <w:tr w14:paraId="23185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34D777EC">
            <w:pPr>
              <w:pStyle w:val="28"/>
              <w:bidi w:val="0"/>
            </w:pPr>
          </w:p>
        </w:tc>
        <w:tc>
          <w:tcPr>
            <w:tcW w:w="370" w:type="pct"/>
            <w:vMerge w:val="continue"/>
            <w:vAlign w:val="center"/>
          </w:tcPr>
          <w:p w14:paraId="2013C473">
            <w:pPr>
              <w:pStyle w:val="28"/>
              <w:bidi w:val="0"/>
            </w:pPr>
          </w:p>
        </w:tc>
        <w:tc>
          <w:tcPr>
            <w:tcW w:w="403" w:type="pct"/>
            <w:vMerge w:val="continue"/>
            <w:vAlign w:val="center"/>
          </w:tcPr>
          <w:p w14:paraId="69C65AA9">
            <w:pPr>
              <w:pStyle w:val="28"/>
              <w:bidi w:val="0"/>
            </w:pPr>
          </w:p>
        </w:tc>
        <w:tc>
          <w:tcPr>
            <w:tcW w:w="749" w:type="pct"/>
            <w:vAlign w:val="center"/>
          </w:tcPr>
          <w:p w14:paraId="73BB75B9">
            <w:pPr>
              <w:pStyle w:val="28"/>
              <w:bidi w:val="0"/>
            </w:pPr>
            <w:r>
              <w:t>其他</w:t>
            </w:r>
          </w:p>
        </w:tc>
        <w:tc>
          <w:tcPr>
            <w:tcW w:w="3242" w:type="pct"/>
            <w:gridSpan w:val="2"/>
            <w:vAlign w:val="center"/>
          </w:tcPr>
          <w:p w14:paraId="470A1D74">
            <w:pPr>
              <w:pStyle w:val="28"/>
              <w:bidi w:val="0"/>
            </w:pPr>
            <w:r>
              <w:t>减少临时占地，取弃土场、施工营地等大临工程选址避让基本农田、生态红线；优化临时占地布置，减少对生态环境的影响：其他16个项目共设置项目设置36个施工生产区，16处弃土场，临时用地表土单独收集堆放，施工结束后及时进行有效的复绿、复垦、复耕。</w:t>
            </w:r>
          </w:p>
        </w:tc>
      </w:tr>
      <w:tr w14:paraId="4A0C8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394CEB2D">
            <w:pPr>
              <w:pStyle w:val="28"/>
              <w:bidi w:val="0"/>
            </w:pPr>
          </w:p>
        </w:tc>
        <w:tc>
          <w:tcPr>
            <w:tcW w:w="370" w:type="pct"/>
            <w:vMerge w:val="continue"/>
            <w:vAlign w:val="center"/>
          </w:tcPr>
          <w:p w14:paraId="45D93EB1">
            <w:pPr>
              <w:pStyle w:val="28"/>
              <w:bidi w:val="0"/>
            </w:pPr>
          </w:p>
        </w:tc>
        <w:tc>
          <w:tcPr>
            <w:tcW w:w="403" w:type="pct"/>
            <w:vAlign w:val="center"/>
          </w:tcPr>
          <w:p w14:paraId="312BC130">
            <w:pPr>
              <w:pStyle w:val="28"/>
              <w:bidi w:val="0"/>
            </w:pPr>
            <w:r>
              <w:t>工程施工</w:t>
            </w:r>
          </w:p>
        </w:tc>
        <w:tc>
          <w:tcPr>
            <w:tcW w:w="3991" w:type="pct"/>
            <w:gridSpan w:val="3"/>
            <w:vAlign w:val="center"/>
          </w:tcPr>
          <w:p w14:paraId="1A349540">
            <w:pPr>
              <w:pStyle w:val="28"/>
              <w:bidi w:val="0"/>
            </w:pPr>
            <w:r>
              <w:t>在枯水期施工；优化施工道路，减少临时占地；合理安排施工进度，减少施工工期；施工期间不得向水体直接排放生产、生活垃圾及污水；加强施工区的动植物保护，对施工人员加强生态教育。</w:t>
            </w:r>
          </w:p>
        </w:tc>
      </w:tr>
      <w:tr w14:paraId="0DB04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57E3D5BE">
            <w:pPr>
              <w:pStyle w:val="28"/>
              <w:bidi w:val="0"/>
            </w:pPr>
          </w:p>
        </w:tc>
        <w:tc>
          <w:tcPr>
            <w:tcW w:w="370" w:type="pct"/>
            <w:vMerge w:val="continue"/>
            <w:vAlign w:val="center"/>
          </w:tcPr>
          <w:p w14:paraId="77CD1CD0">
            <w:pPr>
              <w:pStyle w:val="28"/>
              <w:bidi w:val="0"/>
            </w:pPr>
          </w:p>
        </w:tc>
        <w:tc>
          <w:tcPr>
            <w:tcW w:w="403" w:type="pct"/>
            <w:vMerge w:val="restart"/>
            <w:vAlign w:val="center"/>
          </w:tcPr>
          <w:p w14:paraId="2814FAFD">
            <w:pPr>
              <w:pStyle w:val="28"/>
              <w:bidi w:val="0"/>
            </w:pPr>
            <w:r>
              <w:t>陆生生物</w:t>
            </w:r>
          </w:p>
        </w:tc>
        <w:tc>
          <w:tcPr>
            <w:tcW w:w="749" w:type="pct"/>
            <w:vAlign w:val="center"/>
          </w:tcPr>
          <w:p w14:paraId="695C8DAF">
            <w:pPr>
              <w:pStyle w:val="28"/>
              <w:bidi w:val="0"/>
            </w:pPr>
            <w:r>
              <w:t>淠河总干渠上段工程</w:t>
            </w:r>
          </w:p>
        </w:tc>
        <w:tc>
          <w:tcPr>
            <w:tcW w:w="3242" w:type="pct"/>
            <w:gridSpan w:val="2"/>
            <w:vAlign w:val="center"/>
          </w:tcPr>
          <w:p w14:paraId="33BA787A">
            <w:pPr>
              <w:pStyle w:val="28"/>
              <w:bidi w:val="0"/>
            </w:pPr>
            <w:r>
              <w:t>减少施工临时占地，避让生态敏感区，施工期采取生态环境保护措施，加强施工人员教育，保护工程区域丝光椋鸟、乌鸫、山鹡鸰、加杨、水杉、黄山栾树、苦楝、垂柳等动植物不受影响。</w:t>
            </w:r>
          </w:p>
        </w:tc>
      </w:tr>
      <w:tr w14:paraId="65A16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46A02053">
            <w:pPr>
              <w:pStyle w:val="28"/>
              <w:bidi w:val="0"/>
            </w:pPr>
          </w:p>
        </w:tc>
        <w:tc>
          <w:tcPr>
            <w:tcW w:w="370" w:type="pct"/>
            <w:vMerge w:val="continue"/>
            <w:vAlign w:val="center"/>
          </w:tcPr>
          <w:p w14:paraId="12BF1F69">
            <w:pPr>
              <w:pStyle w:val="28"/>
              <w:bidi w:val="0"/>
            </w:pPr>
          </w:p>
        </w:tc>
        <w:tc>
          <w:tcPr>
            <w:tcW w:w="403" w:type="pct"/>
            <w:vMerge w:val="continue"/>
            <w:vAlign w:val="center"/>
          </w:tcPr>
          <w:p w14:paraId="3B654435">
            <w:pPr>
              <w:pStyle w:val="28"/>
              <w:bidi w:val="0"/>
            </w:pPr>
          </w:p>
        </w:tc>
        <w:tc>
          <w:tcPr>
            <w:tcW w:w="749" w:type="pct"/>
            <w:vAlign w:val="center"/>
          </w:tcPr>
          <w:p w14:paraId="48B6B4AC">
            <w:pPr>
              <w:pStyle w:val="28"/>
              <w:bidi w:val="0"/>
            </w:pPr>
            <w:r>
              <w:t>樊通桥渠下涵工程</w:t>
            </w:r>
          </w:p>
        </w:tc>
        <w:tc>
          <w:tcPr>
            <w:tcW w:w="3242" w:type="pct"/>
            <w:gridSpan w:val="2"/>
            <w:vAlign w:val="center"/>
          </w:tcPr>
          <w:p w14:paraId="4249E6BC">
            <w:pPr>
              <w:pStyle w:val="28"/>
              <w:bidi w:val="0"/>
            </w:pPr>
            <w:r>
              <w:t>减少施工临时占地，避让生态敏感区，施工期采取生态环境保护措施，加强施工人员教育，保护工程区域灰椋鸟、喜鹊、垂柳、桑树、构树、野艾蒿、黑麦草、野豌豆等动植物不受影响。</w:t>
            </w:r>
          </w:p>
        </w:tc>
      </w:tr>
      <w:tr w14:paraId="01438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004E34D0">
            <w:pPr>
              <w:pStyle w:val="28"/>
              <w:bidi w:val="0"/>
            </w:pPr>
          </w:p>
        </w:tc>
        <w:tc>
          <w:tcPr>
            <w:tcW w:w="370" w:type="pct"/>
            <w:vMerge w:val="continue"/>
            <w:vAlign w:val="center"/>
          </w:tcPr>
          <w:p w14:paraId="1F2B5458">
            <w:pPr>
              <w:pStyle w:val="28"/>
              <w:bidi w:val="0"/>
            </w:pPr>
          </w:p>
        </w:tc>
        <w:tc>
          <w:tcPr>
            <w:tcW w:w="403" w:type="pct"/>
            <w:vMerge w:val="continue"/>
            <w:vAlign w:val="center"/>
          </w:tcPr>
          <w:p w14:paraId="6A634A09">
            <w:pPr>
              <w:pStyle w:val="28"/>
              <w:bidi w:val="0"/>
            </w:pPr>
          </w:p>
        </w:tc>
        <w:tc>
          <w:tcPr>
            <w:tcW w:w="749" w:type="pct"/>
            <w:vAlign w:val="center"/>
          </w:tcPr>
          <w:p w14:paraId="6453243C">
            <w:pPr>
              <w:pStyle w:val="28"/>
              <w:bidi w:val="0"/>
            </w:pPr>
            <w:r>
              <w:t>淠河总干渠下段工程</w:t>
            </w:r>
          </w:p>
        </w:tc>
        <w:tc>
          <w:tcPr>
            <w:tcW w:w="3242" w:type="pct"/>
            <w:gridSpan w:val="2"/>
            <w:vAlign w:val="center"/>
          </w:tcPr>
          <w:p w14:paraId="7A357094">
            <w:pPr>
              <w:pStyle w:val="28"/>
              <w:bidi w:val="0"/>
            </w:pPr>
            <w:r>
              <w:t>减少施工临时占地，避让生态敏感区，施工期采取生态环境保护措施，加强施工人员教育，保护工程区域白头鹎、灰椋鸟、灰喜鹊、加杨、构树、野蔷薇、桑树等动植物不受影响。</w:t>
            </w:r>
          </w:p>
        </w:tc>
      </w:tr>
      <w:tr w14:paraId="2B614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58EA1061">
            <w:pPr>
              <w:pStyle w:val="28"/>
              <w:bidi w:val="0"/>
            </w:pPr>
          </w:p>
        </w:tc>
        <w:tc>
          <w:tcPr>
            <w:tcW w:w="370" w:type="pct"/>
            <w:vMerge w:val="continue"/>
            <w:vAlign w:val="center"/>
          </w:tcPr>
          <w:p w14:paraId="5DEE4E34">
            <w:pPr>
              <w:pStyle w:val="28"/>
              <w:bidi w:val="0"/>
            </w:pPr>
          </w:p>
        </w:tc>
        <w:tc>
          <w:tcPr>
            <w:tcW w:w="403" w:type="pct"/>
            <w:vMerge w:val="continue"/>
            <w:vAlign w:val="center"/>
          </w:tcPr>
          <w:p w14:paraId="5696C4A9">
            <w:pPr>
              <w:pStyle w:val="28"/>
              <w:bidi w:val="0"/>
            </w:pPr>
          </w:p>
        </w:tc>
        <w:tc>
          <w:tcPr>
            <w:tcW w:w="749" w:type="pct"/>
            <w:vAlign w:val="center"/>
          </w:tcPr>
          <w:p w14:paraId="4FC0798F">
            <w:pPr>
              <w:pStyle w:val="28"/>
              <w:bidi w:val="0"/>
            </w:pPr>
            <w:r>
              <w:t>聚星渡槽工程</w:t>
            </w:r>
          </w:p>
        </w:tc>
        <w:tc>
          <w:tcPr>
            <w:tcW w:w="3242" w:type="pct"/>
            <w:gridSpan w:val="2"/>
            <w:vAlign w:val="center"/>
          </w:tcPr>
          <w:p w14:paraId="533CAEBE">
            <w:pPr>
              <w:pStyle w:val="28"/>
              <w:bidi w:val="0"/>
            </w:pPr>
            <w:r>
              <w:t>减少施工临时占地，避让生态敏感区，施工期采取生态环境保护措施，加强施工人员教育，保护工程区域白头鹎、喜鹊、池杉、侧柏、梧桐、朴树、圆叶牵牛等动植物不受影响。</w:t>
            </w:r>
          </w:p>
        </w:tc>
      </w:tr>
      <w:tr w14:paraId="509B3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19280888">
            <w:pPr>
              <w:pStyle w:val="28"/>
              <w:bidi w:val="0"/>
            </w:pPr>
          </w:p>
        </w:tc>
        <w:tc>
          <w:tcPr>
            <w:tcW w:w="370" w:type="pct"/>
            <w:vMerge w:val="continue"/>
            <w:vAlign w:val="center"/>
          </w:tcPr>
          <w:p w14:paraId="0D0F79D5">
            <w:pPr>
              <w:pStyle w:val="28"/>
              <w:bidi w:val="0"/>
            </w:pPr>
          </w:p>
        </w:tc>
        <w:tc>
          <w:tcPr>
            <w:tcW w:w="403" w:type="pct"/>
            <w:vMerge w:val="continue"/>
            <w:vAlign w:val="center"/>
          </w:tcPr>
          <w:p w14:paraId="68C55FAF">
            <w:pPr>
              <w:pStyle w:val="28"/>
              <w:bidi w:val="0"/>
            </w:pPr>
          </w:p>
        </w:tc>
        <w:tc>
          <w:tcPr>
            <w:tcW w:w="749" w:type="pct"/>
            <w:vAlign w:val="center"/>
          </w:tcPr>
          <w:p w14:paraId="089E0F8A">
            <w:pPr>
              <w:pStyle w:val="28"/>
              <w:bidi w:val="0"/>
            </w:pPr>
            <w:r>
              <w:t>滁河干渠总局直管段工程</w:t>
            </w:r>
          </w:p>
        </w:tc>
        <w:tc>
          <w:tcPr>
            <w:tcW w:w="3242" w:type="pct"/>
            <w:gridSpan w:val="2"/>
            <w:vAlign w:val="center"/>
          </w:tcPr>
          <w:p w14:paraId="4C93FA04">
            <w:pPr>
              <w:pStyle w:val="28"/>
              <w:bidi w:val="0"/>
            </w:pPr>
            <w:r>
              <w:t>减少施工临时占地，避让生态敏感区，施工期采取生态环境保护措施，加强施工人员教育，保护工程区域八哥、山斑鸠、香樟、广玉兰、棕榈、刺槐、枸杞、蛇莓等动植物不受影响。</w:t>
            </w:r>
          </w:p>
        </w:tc>
      </w:tr>
      <w:tr w14:paraId="1D421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67354C88">
            <w:pPr>
              <w:pStyle w:val="28"/>
              <w:bidi w:val="0"/>
            </w:pPr>
          </w:p>
        </w:tc>
        <w:tc>
          <w:tcPr>
            <w:tcW w:w="370" w:type="pct"/>
            <w:vMerge w:val="continue"/>
            <w:vAlign w:val="center"/>
          </w:tcPr>
          <w:p w14:paraId="11F818CD">
            <w:pPr>
              <w:pStyle w:val="28"/>
              <w:bidi w:val="0"/>
            </w:pPr>
          </w:p>
        </w:tc>
        <w:tc>
          <w:tcPr>
            <w:tcW w:w="403" w:type="pct"/>
            <w:vMerge w:val="continue"/>
            <w:vAlign w:val="center"/>
          </w:tcPr>
          <w:p w14:paraId="425BA1A1">
            <w:pPr>
              <w:pStyle w:val="28"/>
              <w:bidi w:val="0"/>
            </w:pPr>
          </w:p>
        </w:tc>
        <w:tc>
          <w:tcPr>
            <w:tcW w:w="749" w:type="pct"/>
            <w:vAlign w:val="center"/>
          </w:tcPr>
          <w:p w14:paraId="032DA793">
            <w:pPr>
              <w:pStyle w:val="28"/>
              <w:bidi w:val="0"/>
            </w:pPr>
            <w:r>
              <w:t>滁河干渠6座渠下涵工程</w:t>
            </w:r>
          </w:p>
        </w:tc>
        <w:tc>
          <w:tcPr>
            <w:tcW w:w="3242" w:type="pct"/>
            <w:gridSpan w:val="2"/>
            <w:vAlign w:val="center"/>
          </w:tcPr>
          <w:p w14:paraId="2E33D6B3">
            <w:pPr>
              <w:pStyle w:val="28"/>
              <w:bidi w:val="0"/>
            </w:pPr>
            <w:r>
              <w:t>减少施工临时占地，避让生态敏感区，施工期采取生态环境保护措施，加强施工人员教育，保护工程区域麻雀、喜鹊、丝光椋鸟、构树、枫杨、加杨、野艾蒿、冬青等动植物不受影响。</w:t>
            </w:r>
          </w:p>
        </w:tc>
      </w:tr>
      <w:tr w14:paraId="351825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113F7206">
            <w:pPr>
              <w:pStyle w:val="28"/>
              <w:bidi w:val="0"/>
            </w:pPr>
          </w:p>
        </w:tc>
        <w:tc>
          <w:tcPr>
            <w:tcW w:w="370" w:type="pct"/>
            <w:vMerge w:val="continue"/>
            <w:vAlign w:val="center"/>
          </w:tcPr>
          <w:p w14:paraId="295A2353">
            <w:pPr>
              <w:pStyle w:val="28"/>
              <w:bidi w:val="0"/>
            </w:pPr>
          </w:p>
        </w:tc>
        <w:tc>
          <w:tcPr>
            <w:tcW w:w="403" w:type="pct"/>
            <w:vMerge w:val="continue"/>
            <w:vAlign w:val="center"/>
          </w:tcPr>
          <w:p w14:paraId="0559162D">
            <w:pPr>
              <w:pStyle w:val="28"/>
              <w:bidi w:val="0"/>
            </w:pPr>
          </w:p>
        </w:tc>
        <w:tc>
          <w:tcPr>
            <w:tcW w:w="749" w:type="pct"/>
            <w:vAlign w:val="center"/>
          </w:tcPr>
          <w:p w14:paraId="0D40CE15">
            <w:pPr>
              <w:pStyle w:val="28"/>
              <w:bidi w:val="0"/>
            </w:pPr>
            <w:r>
              <w:t>界河支渠工程</w:t>
            </w:r>
          </w:p>
        </w:tc>
        <w:tc>
          <w:tcPr>
            <w:tcW w:w="3242" w:type="pct"/>
            <w:gridSpan w:val="2"/>
            <w:vAlign w:val="center"/>
          </w:tcPr>
          <w:p w14:paraId="4241AD10">
            <w:pPr>
              <w:pStyle w:val="28"/>
              <w:bidi w:val="0"/>
            </w:pPr>
            <w:r>
              <w:t>减少施工临时占地，避让生态敏感区，施工期采取生态环境保护措施，加强施工人员教育，保护工程区域喜鹊、丝光椋鸟、珠颈斑鸠、构树、野蔷薇、野豌豆、香樟等动植物不受影响。</w:t>
            </w:r>
          </w:p>
        </w:tc>
      </w:tr>
      <w:tr w14:paraId="26D8CE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32D3BE3E">
            <w:pPr>
              <w:pStyle w:val="28"/>
              <w:bidi w:val="0"/>
            </w:pPr>
          </w:p>
        </w:tc>
        <w:tc>
          <w:tcPr>
            <w:tcW w:w="370" w:type="pct"/>
            <w:vMerge w:val="continue"/>
            <w:vAlign w:val="center"/>
          </w:tcPr>
          <w:p w14:paraId="7235F24A">
            <w:pPr>
              <w:pStyle w:val="28"/>
              <w:bidi w:val="0"/>
            </w:pPr>
          </w:p>
        </w:tc>
        <w:tc>
          <w:tcPr>
            <w:tcW w:w="403" w:type="pct"/>
            <w:vMerge w:val="continue"/>
            <w:vAlign w:val="center"/>
          </w:tcPr>
          <w:p w14:paraId="424CD4A9">
            <w:pPr>
              <w:pStyle w:val="28"/>
              <w:bidi w:val="0"/>
            </w:pPr>
          </w:p>
        </w:tc>
        <w:tc>
          <w:tcPr>
            <w:tcW w:w="749" w:type="pct"/>
            <w:vAlign w:val="center"/>
          </w:tcPr>
          <w:p w14:paraId="179094F4">
            <w:pPr>
              <w:pStyle w:val="28"/>
              <w:bidi w:val="0"/>
            </w:pPr>
            <w:r>
              <w:t>袁店支渠工程</w:t>
            </w:r>
          </w:p>
        </w:tc>
        <w:tc>
          <w:tcPr>
            <w:tcW w:w="3242" w:type="pct"/>
            <w:gridSpan w:val="2"/>
            <w:vAlign w:val="center"/>
          </w:tcPr>
          <w:p w14:paraId="44672706">
            <w:pPr>
              <w:pStyle w:val="28"/>
              <w:bidi w:val="0"/>
            </w:pPr>
            <w:r>
              <w:t>减少施工临时占地，避让生态敏感区，施工期采取生态环境保护措施，加强施工人员教育，保护工程区域珠颈斑鸠、白头鹎、喜鹊、枫杨、构树、野艾蒿、枸杞、悬铃木、慈孝竹等动植物不受影响。</w:t>
            </w:r>
          </w:p>
        </w:tc>
      </w:tr>
      <w:tr w14:paraId="228BA4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69D8418">
            <w:pPr>
              <w:pStyle w:val="28"/>
              <w:bidi w:val="0"/>
            </w:pPr>
          </w:p>
        </w:tc>
        <w:tc>
          <w:tcPr>
            <w:tcW w:w="370" w:type="pct"/>
            <w:vMerge w:val="continue"/>
            <w:vAlign w:val="center"/>
          </w:tcPr>
          <w:p w14:paraId="5502CFD6">
            <w:pPr>
              <w:pStyle w:val="28"/>
              <w:bidi w:val="0"/>
            </w:pPr>
          </w:p>
        </w:tc>
        <w:tc>
          <w:tcPr>
            <w:tcW w:w="403" w:type="pct"/>
            <w:vMerge w:val="continue"/>
            <w:vAlign w:val="center"/>
          </w:tcPr>
          <w:p w14:paraId="230B882B">
            <w:pPr>
              <w:pStyle w:val="28"/>
              <w:bidi w:val="0"/>
            </w:pPr>
          </w:p>
        </w:tc>
        <w:tc>
          <w:tcPr>
            <w:tcW w:w="749" w:type="pct"/>
            <w:vAlign w:val="center"/>
          </w:tcPr>
          <w:p w14:paraId="3687168C">
            <w:pPr>
              <w:pStyle w:val="28"/>
              <w:bidi w:val="0"/>
            </w:pPr>
            <w:r>
              <w:t>众兴分干渠双庙支渠工程</w:t>
            </w:r>
          </w:p>
        </w:tc>
        <w:tc>
          <w:tcPr>
            <w:tcW w:w="3242" w:type="pct"/>
            <w:gridSpan w:val="2"/>
            <w:vAlign w:val="center"/>
          </w:tcPr>
          <w:p w14:paraId="2B2C7214">
            <w:pPr>
              <w:pStyle w:val="28"/>
              <w:bidi w:val="0"/>
            </w:pPr>
            <w:r>
              <w:t>减少施工临时占地，避让生态敏感区，施工期采取生态环境保护措施，加强施工人员教育，保护工程区域黑水鸡、白鹭、棕头鸦雀、加杨、黄山栾树、香樟、野燕麦、野艾蒿等动植物不受影响。</w:t>
            </w:r>
          </w:p>
        </w:tc>
      </w:tr>
      <w:tr w14:paraId="042D21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6E61B3B7">
            <w:pPr>
              <w:pStyle w:val="28"/>
              <w:bidi w:val="0"/>
            </w:pPr>
          </w:p>
        </w:tc>
        <w:tc>
          <w:tcPr>
            <w:tcW w:w="370" w:type="pct"/>
            <w:vMerge w:val="continue"/>
            <w:vAlign w:val="center"/>
          </w:tcPr>
          <w:p w14:paraId="3BBAC3F9">
            <w:pPr>
              <w:pStyle w:val="28"/>
              <w:bidi w:val="0"/>
            </w:pPr>
          </w:p>
        </w:tc>
        <w:tc>
          <w:tcPr>
            <w:tcW w:w="403" w:type="pct"/>
            <w:vMerge w:val="continue"/>
            <w:vAlign w:val="center"/>
          </w:tcPr>
          <w:p w14:paraId="6E53A383">
            <w:pPr>
              <w:pStyle w:val="28"/>
              <w:bidi w:val="0"/>
            </w:pPr>
          </w:p>
        </w:tc>
        <w:tc>
          <w:tcPr>
            <w:tcW w:w="749" w:type="pct"/>
            <w:vAlign w:val="center"/>
          </w:tcPr>
          <w:p w14:paraId="3DDD57D1">
            <w:pPr>
              <w:pStyle w:val="28"/>
              <w:bidi w:val="0"/>
            </w:pPr>
            <w:r>
              <w:t>大高支渠工程</w:t>
            </w:r>
          </w:p>
        </w:tc>
        <w:tc>
          <w:tcPr>
            <w:tcW w:w="3242" w:type="pct"/>
            <w:gridSpan w:val="2"/>
            <w:vAlign w:val="center"/>
          </w:tcPr>
          <w:p w14:paraId="5AA7DCE1">
            <w:pPr>
              <w:pStyle w:val="28"/>
              <w:bidi w:val="0"/>
            </w:pPr>
            <w:r>
              <w:t>减少施工临时占地，避让生态敏感区，施工期采取生态环境保护措施，加强施工人员教育，保护工程区域山斑鸠、白鹡鸰、加杨、构树、白杜、桑、香樟、野蔷薇、野艾蒿等动植物不受影响。</w:t>
            </w:r>
          </w:p>
        </w:tc>
      </w:tr>
      <w:tr w14:paraId="65C32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5405A26C">
            <w:pPr>
              <w:pStyle w:val="28"/>
              <w:bidi w:val="0"/>
            </w:pPr>
          </w:p>
        </w:tc>
        <w:tc>
          <w:tcPr>
            <w:tcW w:w="370" w:type="pct"/>
            <w:vMerge w:val="continue"/>
            <w:vAlign w:val="center"/>
          </w:tcPr>
          <w:p w14:paraId="13B1276C">
            <w:pPr>
              <w:pStyle w:val="28"/>
              <w:bidi w:val="0"/>
            </w:pPr>
          </w:p>
        </w:tc>
        <w:tc>
          <w:tcPr>
            <w:tcW w:w="403" w:type="pct"/>
            <w:vMerge w:val="continue"/>
            <w:vAlign w:val="center"/>
          </w:tcPr>
          <w:p w14:paraId="2EA34966">
            <w:pPr>
              <w:pStyle w:val="28"/>
              <w:bidi w:val="0"/>
            </w:pPr>
          </w:p>
        </w:tc>
        <w:tc>
          <w:tcPr>
            <w:tcW w:w="749" w:type="pct"/>
            <w:vAlign w:val="center"/>
          </w:tcPr>
          <w:p w14:paraId="29A5596E">
            <w:pPr>
              <w:pStyle w:val="28"/>
              <w:bidi w:val="0"/>
            </w:pPr>
            <w:r>
              <w:t>白龙支渠工程</w:t>
            </w:r>
          </w:p>
        </w:tc>
        <w:tc>
          <w:tcPr>
            <w:tcW w:w="3242" w:type="pct"/>
            <w:gridSpan w:val="2"/>
            <w:vAlign w:val="center"/>
          </w:tcPr>
          <w:p w14:paraId="4882955A">
            <w:pPr>
              <w:pStyle w:val="28"/>
              <w:bidi w:val="0"/>
            </w:pPr>
            <w:r>
              <w:t>减少施工临时占地，避让生态敏感区，施工期采取生态环境保护措施，加强施工人员教育，保护工程区域山斑鸠、珠颈斑鸠、加杨、桑、刺槐、构树、垂柳、麦冬等动植物不受影响。</w:t>
            </w:r>
          </w:p>
        </w:tc>
      </w:tr>
      <w:tr w14:paraId="765407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44EB730">
            <w:pPr>
              <w:pStyle w:val="28"/>
              <w:bidi w:val="0"/>
            </w:pPr>
          </w:p>
        </w:tc>
        <w:tc>
          <w:tcPr>
            <w:tcW w:w="370" w:type="pct"/>
            <w:vMerge w:val="continue"/>
            <w:vAlign w:val="center"/>
          </w:tcPr>
          <w:p w14:paraId="2411585B">
            <w:pPr>
              <w:pStyle w:val="28"/>
              <w:bidi w:val="0"/>
            </w:pPr>
          </w:p>
        </w:tc>
        <w:tc>
          <w:tcPr>
            <w:tcW w:w="403" w:type="pct"/>
            <w:vMerge w:val="continue"/>
            <w:vAlign w:val="center"/>
          </w:tcPr>
          <w:p w14:paraId="32979080">
            <w:pPr>
              <w:pStyle w:val="28"/>
              <w:bidi w:val="0"/>
            </w:pPr>
          </w:p>
        </w:tc>
        <w:tc>
          <w:tcPr>
            <w:tcW w:w="749" w:type="pct"/>
            <w:vAlign w:val="center"/>
          </w:tcPr>
          <w:p w14:paraId="31AF14A0">
            <w:pPr>
              <w:pStyle w:val="28"/>
              <w:bidi w:val="0"/>
            </w:pPr>
            <w:r>
              <w:t>沙胜支渠工程</w:t>
            </w:r>
          </w:p>
        </w:tc>
        <w:tc>
          <w:tcPr>
            <w:tcW w:w="3242" w:type="pct"/>
            <w:gridSpan w:val="2"/>
            <w:vAlign w:val="center"/>
          </w:tcPr>
          <w:p w14:paraId="279A789E">
            <w:pPr>
              <w:pStyle w:val="28"/>
              <w:bidi w:val="0"/>
            </w:pPr>
            <w:r>
              <w:t>减少施工临时占地，避让生态敏感区，施工期采取生态环境保护措施，加强施工人员教育，保护工程区域白鹡鸰、黑脸噪鹛、七叶杨、构树、白杜、香樟、野蔷薇、野燕麦、野豌豆等动植物不受影响。</w:t>
            </w:r>
          </w:p>
        </w:tc>
      </w:tr>
      <w:tr w14:paraId="285A05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A718B1A">
            <w:pPr>
              <w:pStyle w:val="28"/>
              <w:bidi w:val="0"/>
            </w:pPr>
          </w:p>
        </w:tc>
        <w:tc>
          <w:tcPr>
            <w:tcW w:w="370" w:type="pct"/>
            <w:vMerge w:val="continue"/>
            <w:vAlign w:val="center"/>
          </w:tcPr>
          <w:p w14:paraId="40B2AAE6">
            <w:pPr>
              <w:pStyle w:val="28"/>
              <w:bidi w:val="0"/>
            </w:pPr>
          </w:p>
        </w:tc>
        <w:tc>
          <w:tcPr>
            <w:tcW w:w="403" w:type="pct"/>
            <w:vMerge w:val="continue"/>
            <w:vAlign w:val="center"/>
          </w:tcPr>
          <w:p w14:paraId="202CA3C1">
            <w:pPr>
              <w:pStyle w:val="28"/>
              <w:bidi w:val="0"/>
            </w:pPr>
          </w:p>
        </w:tc>
        <w:tc>
          <w:tcPr>
            <w:tcW w:w="749" w:type="pct"/>
            <w:vAlign w:val="center"/>
          </w:tcPr>
          <w:p w14:paraId="7D972E2E">
            <w:pPr>
              <w:pStyle w:val="28"/>
              <w:bidi w:val="0"/>
            </w:pPr>
            <w:r>
              <w:t>马田支渠工程</w:t>
            </w:r>
          </w:p>
        </w:tc>
        <w:tc>
          <w:tcPr>
            <w:tcW w:w="3242" w:type="pct"/>
            <w:gridSpan w:val="2"/>
            <w:vAlign w:val="center"/>
          </w:tcPr>
          <w:p w14:paraId="3A603E3F">
            <w:pPr>
              <w:pStyle w:val="28"/>
              <w:bidi w:val="0"/>
            </w:pPr>
            <w:r>
              <w:t>减少施工临时占地，避让生态敏感区，施工期采取生态环境保护措施，加强施工人员教育，保护工程区域山斑鸠、棕背伯劳、加杨、刺槐、朴树、构树、黄山栾树、野燕麦、野艾蒿等动植物不受影响。</w:t>
            </w:r>
          </w:p>
        </w:tc>
      </w:tr>
      <w:tr w14:paraId="632544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FD98ED5">
            <w:pPr>
              <w:pStyle w:val="28"/>
              <w:bidi w:val="0"/>
            </w:pPr>
          </w:p>
        </w:tc>
        <w:tc>
          <w:tcPr>
            <w:tcW w:w="370" w:type="pct"/>
            <w:vMerge w:val="continue"/>
            <w:vAlign w:val="center"/>
          </w:tcPr>
          <w:p w14:paraId="0A308497">
            <w:pPr>
              <w:pStyle w:val="28"/>
              <w:bidi w:val="0"/>
            </w:pPr>
          </w:p>
        </w:tc>
        <w:tc>
          <w:tcPr>
            <w:tcW w:w="403" w:type="pct"/>
            <w:vMerge w:val="continue"/>
            <w:vAlign w:val="center"/>
          </w:tcPr>
          <w:p w14:paraId="180721E9">
            <w:pPr>
              <w:pStyle w:val="28"/>
              <w:bidi w:val="0"/>
            </w:pPr>
          </w:p>
        </w:tc>
        <w:tc>
          <w:tcPr>
            <w:tcW w:w="749" w:type="pct"/>
            <w:vAlign w:val="center"/>
          </w:tcPr>
          <w:p w14:paraId="3B53F9A4">
            <w:pPr>
              <w:pStyle w:val="28"/>
              <w:bidi w:val="0"/>
            </w:pPr>
            <w:r>
              <w:t>其他</w:t>
            </w:r>
          </w:p>
        </w:tc>
        <w:tc>
          <w:tcPr>
            <w:tcW w:w="3242" w:type="pct"/>
            <w:gridSpan w:val="2"/>
            <w:vAlign w:val="center"/>
          </w:tcPr>
          <w:p w14:paraId="4D2033F6">
            <w:pPr>
              <w:pStyle w:val="28"/>
              <w:bidi w:val="0"/>
            </w:pPr>
            <w:r>
              <w:t>减少施工临时占地，避让生态敏感区，施工期采取生态环境保护措施，加强施工人员教育，保护区域内动植物不受影响</w:t>
            </w:r>
          </w:p>
        </w:tc>
      </w:tr>
      <w:tr w14:paraId="3192EA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122E26DA">
            <w:pPr>
              <w:pStyle w:val="28"/>
              <w:bidi w:val="0"/>
            </w:pPr>
          </w:p>
        </w:tc>
        <w:tc>
          <w:tcPr>
            <w:tcW w:w="370" w:type="pct"/>
            <w:vMerge w:val="continue"/>
            <w:vAlign w:val="center"/>
          </w:tcPr>
          <w:p w14:paraId="11FC55A7">
            <w:pPr>
              <w:pStyle w:val="28"/>
              <w:bidi w:val="0"/>
            </w:pPr>
          </w:p>
        </w:tc>
        <w:tc>
          <w:tcPr>
            <w:tcW w:w="403" w:type="pct"/>
            <w:vAlign w:val="center"/>
          </w:tcPr>
          <w:p w14:paraId="4010D480">
            <w:pPr>
              <w:pStyle w:val="28"/>
              <w:bidi w:val="0"/>
            </w:pPr>
            <w:r>
              <w:t>水生生物</w:t>
            </w:r>
          </w:p>
        </w:tc>
        <w:tc>
          <w:tcPr>
            <w:tcW w:w="3991" w:type="pct"/>
            <w:gridSpan w:val="3"/>
            <w:vAlign w:val="center"/>
          </w:tcPr>
          <w:p w14:paraId="4A643682">
            <w:pPr>
              <w:pStyle w:val="28"/>
              <w:bidi w:val="0"/>
            </w:pPr>
            <w:r>
              <w:t>在各个工程渠首进水闸建设电子脉冲拦鱼器</w:t>
            </w:r>
            <w:r>
              <w:rPr>
                <w:rFonts w:hint="eastAsia"/>
              </w:rPr>
              <w:t>，</w:t>
            </w:r>
            <w:r>
              <w:t>发现洄游性鱼类集中洄游活动时，暂停施工。</w:t>
            </w:r>
          </w:p>
        </w:tc>
      </w:tr>
      <w:tr w14:paraId="504E63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B7C77F7">
            <w:pPr>
              <w:pStyle w:val="28"/>
              <w:bidi w:val="0"/>
            </w:pPr>
          </w:p>
        </w:tc>
        <w:tc>
          <w:tcPr>
            <w:tcW w:w="370" w:type="pct"/>
            <w:vMerge w:val="continue"/>
            <w:vAlign w:val="center"/>
          </w:tcPr>
          <w:p w14:paraId="63F153C9">
            <w:pPr>
              <w:pStyle w:val="28"/>
              <w:bidi w:val="0"/>
            </w:pPr>
          </w:p>
        </w:tc>
        <w:tc>
          <w:tcPr>
            <w:tcW w:w="403" w:type="pct"/>
            <w:vMerge w:val="restart"/>
            <w:vAlign w:val="center"/>
          </w:tcPr>
          <w:p w14:paraId="258D4852">
            <w:pPr>
              <w:pStyle w:val="28"/>
              <w:bidi w:val="0"/>
            </w:pPr>
            <w:r>
              <w:t>保护动植物</w:t>
            </w:r>
          </w:p>
        </w:tc>
        <w:tc>
          <w:tcPr>
            <w:tcW w:w="749" w:type="pct"/>
            <w:vMerge w:val="restart"/>
            <w:vAlign w:val="center"/>
          </w:tcPr>
          <w:p w14:paraId="799991AE">
            <w:pPr>
              <w:pStyle w:val="28"/>
              <w:bidi w:val="0"/>
            </w:pPr>
            <w:r>
              <w:t>淠河总干渠上段工程</w:t>
            </w:r>
          </w:p>
        </w:tc>
        <w:tc>
          <w:tcPr>
            <w:tcW w:w="3242" w:type="pct"/>
            <w:gridSpan w:val="2"/>
            <w:vMerge w:val="restart"/>
            <w:vAlign w:val="center"/>
          </w:tcPr>
          <w:p w14:paraId="403A664D">
            <w:pPr>
              <w:pStyle w:val="28"/>
              <w:bidi w:val="0"/>
            </w:pPr>
            <w:r>
              <w:t>项目所在区域周边安徽六安内存在红隼等重点保护野生动物，施工期间，采取降噪、减少灯光污染等措施，并对施工人员和管理人员普及、讲解生态环境保护的相关知识，增强生态环境保护意识，以公告、宣传册等形式，对施工人员普及评价范围内保护动物的相关知识，加强野生动物救护知识培训。</w:t>
            </w:r>
          </w:p>
        </w:tc>
      </w:tr>
      <w:tr w14:paraId="6EB8D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3DE8F463">
            <w:pPr>
              <w:pStyle w:val="28"/>
              <w:bidi w:val="0"/>
            </w:pPr>
          </w:p>
        </w:tc>
        <w:tc>
          <w:tcPr>
            <w:tcW w:w="370" w:type="pct"/>
            <w:vMerge w:val="continue"/>
            <w:vAlign w:val="center"/>
          </w:tcPr>
          <w:p w14:paraId="7BBA5B18">
            <w:pPr>
              <w:pStyle w:val="28"/>
              <w:bidi w:val="0"/>
            </w:pPr>
          </w:p>
        </w:tc>
        <w:tc>
          <w:tcPr>
            <w:tcW w:w="403" w:type="pct"/>
            <w:vMerge w:val="continue"/>
            <w:vAlign w:val="center"/>
          </w:tcPr>
          <w:p w14:paraId="428DDBF4">
            <w:pPr>
              <w:pStyle w:val="28"/>
              <w:bidi w:val="0"/>
            </w:pPr>
          </w:p>
        </w:tc>
        <w:tc>
          <w:tcPr>
            <w:tcW w:w="749" w:type="pct"/>
            <w:vMerge w:val="continue"/>
            <w:vAlign w:val="center"/>
          </w:tcPr>
          <w:p w14:paraId="5B3E75A4">
            <w:pPr>
              <w:pStyle w:val="28"/>
              <w:bidi w:val="0"/>
            </w:pPr>
          </w:p>
        </w:tc>
        <w:tc>
          <w:tcPr>
            <w:tcW w:w="3242" w:type="pct"/>
            <w:gridSpan w:val="2"/>
            <w:vMerge w:val="continue"/>
            <w:vAlign w:val="center"/>
          </w:tcPr>
          <w:p w14:paraId="664A9A61">
            <w:pPr>
              <w:pStyle w:val="28"/>
              <w:bidi w:val="0"/>
            </w:pPr>
          </w:p>
        </w:tc>
      </w:tr>
      <w:tr w14:paraId="1055C2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0" w:hRule="atLeast"/>
          <w:jc w:val="center"/>
        </w:trPr>
        <w:tc>
          <w:tcPr>
            <w:tcW w:w="234" w:type="pct"/>
            <w:vMerge w:val="continue"/>
            <w:vAlign w:val="center"/>
          </w:tcPr>
          <w:p w14:paraId="1A3581AB">
            <w:pPr>
              <w:pStyle w:val="28"/>
              <w:bidi w:val="0"/>
            </w:pPr>
          </w:p>
        </w:tc>
        <w:tc>
          <w:tcPr>
            <w:tcW w:w="370" w:type="pct"/>
            <w:vMerge w:val="continue"/>
            <w:vAlign w:val="center"/>
          </w:tcPr>
          <w:p w14:paraId="4D539751">
            <w:pPr>
              <w:pStyle w:val="28"/>
              <w:bidi w:val="0"/>
            </w:pPr>
          </w:p>
        </w:tc>
        <w:tc>
          <w:tcPr>
            <w:tcW w:w="403" w:type="pct"/>
            <w:vMerge w:val="continue"/>
            <w:vAlign w:val="center"/>
          </w:tcPr>
          <w:p w14:paraId="3902B95F">
            <w:pPr>
              <w:pStyle w:val="28"/>
              <w:bidi w:val="0"/>
            </w:pPr>
          </w:p>
        </w:tc>
        <w:tc>
          <w:tcPr>
            <w:tcW w:w="749" w:type="pct"/>
            <w:vAlign w:val="center"/>
          </w:tcPr>
          <w:p w14:paraId="58483D90">
            <w:pPr>
              <w:pStyle w:val="28"/>
              <w:bidi w:val="0"/>
            </w:pPr>
            <w:r>
              <w:t>其他</w:t>
            </w:r>
          </w:p>
        </w:tc>
        <w:tc>
          <w:tcPr>
            <w:tcW w:w="3242" w:type="pct"/>
            <w:gridSpan w:val="2"/>
            <w:vAlign w:val="center"/>
          </w:tcPr>
          <w:p w14:paraId="561C945F">
            <w:pPr>
              <w:pStyle w:val="28"/>
              <w:bidi w:val="0"/>
            </w:pPr>
            <w:r>
              <w:rPr>
                <w:rFonts w:hint="eastAsia"/>
              </w:rPr>
              <w:t>野生保护动物：根据资料收集，就野生保护动物的栖息地而言，红隼栖息时多栖于空旷地区孤立的高树梢上或电线杆上，尤以晚上时最为活跃；黑鸢主要活动在低海拔山区、溪谷、村落的交汇地区和水库附近湿地环境；白胸翡翠单独活动于田野、河流、湖泊、池塘附近，施工营地禁止设置在这类区域附近，车辆在运输过程中禁止鸣笛、开远光灯等避免刺激红隼、黑鸢等野生保护动物。</w:t>
            </w:r>
          </w:p>
          <w:p w14:paraId="7F449A50">
            <w:pPr>
              <w:pStyle w:val="28"/>
              <w:bidi w:val="0"/>
            </w:pPr>
            <w:r>
              <w:rPr>
                <w:rFonts w:hint="eastAsia"/>
              </w:rPr>
              <w:t>野生保护植物：</w:t>
            </w:r>
            <w:r>
              <w:t>本项目工程施工范围内广泛存在国家二级保护植物野大豆，对在施工区域的野大豆优先进行选址布局优化，上报至相关林业部门；如考虑周边基本农田密度较大或分布生态红线等其他敏感区域，确实无法避让，应对野大豆</w:t>
            </w:r>
            <w:r>
              <w:rPr>
                <w:rFonts w:hint="eastAsia"/>
              </w:rPr>
              <w:t>进行</w:t>
            </w:r>
            <w:r>
              <w:t>移栽保护。</w:t>
            </w:r>
          </w:p>
          <w:p w14:paraId="3BBBBBED">
            <w:pPr>
              <w:pStyle w:val="28"/>
              <w:bidi w:val="0"/>
            </w:pPr>
            <w:r>
              <w:t>施工期间，对施工人员和管理人员普及、讲解生态环境保护的相关知识，增强生态环境保护意识，以公告、宣传册等形式，对施工人员普及评价范围内保护动物的相关知识。加强野生动物救护知识培训。</w:t>
            </w:r>
          </w:p>
        </w:tc>
      </w:tr>
      <w:tr w14:paraId="78A84C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10CD1B9A">
            <w:pPr>
              <w:pStyle w:val="28"/>
              <w:bidi w:val="0"/>
            </w:pPr>
          </w:p>
        </w:tc>
        <w:tc>
          <w:tcPr>
            <w:tcW w:w="370" w:type="pct"/>
            <w:vMerge w:val="continue"/>
            <w:vAlign w:val="center"/>
          </w:tcPr>
          <w:p w14:paraId="48BFC05B">
            <w:pPr>
              <w:pStyle w:val="28"/>
              <w:bidi w:val="0"/>
            </w:pPr>
          </w:p>
        </w:tc>
        <w:tc>
          <w:tcPr>
            <w:tcW w:w="403" w:type="pct"/>
            <w:vAlign w:val="center"/>
          </w:tcPr>
          <w:p w14:paraId="4CDA01F0">
            <w:pPr>
              <w:pStyle w:val="28"/>
              <w:bidi w:val="0"/>
            </w:pPr>
            <w:r>
              <w:t>水土保持</w:t>
            </w:r>
          </w:p>
        </w:tc>
        <w:tc>
          <w:tcPr>
            <w:tcW w:w="3991" w:type="pct"/>
            <w:gridSpan w:val="3"/>
            <w:vAlign w:val="center"/>
          </w:tcPr>
          <w:p w14:paraId="4B3D0393">
            <w:pPr>
              <w:pStyle w:val="28"/>
              <w:bidi w:val="0"/>
            </w:pPr>
            <w:r>
              <w:rPr>
                <w:rFonts w:hint="eastAsia"/>
              </w:rPr>
              <w:t>在施工时落实</w:t>
            </w:r>
            <w:r>
              <w:t>各分区新增水土保持措施，使之形成一个完整的以工程措施为先导，以土地整治、植物措施和临时措施相结合的水土流失防治体系</w:t>
            </w:r>
            <w:r>
              <w:rPr>
                <w:rFonts w:hint="eastAsia"/>
              </w:rPr>
              <w:t>，</w:t>
            </w:r>
            <w:r>
              <w:t>临时工程选址避让水土保持生态红线，减少红线范围内临时用地扰动面积，护坡方式优先采用生态护坡，施工后，采取绿化，水土保持占补平衡，表土分层取土、分层堆放、分层回填等措施，减少水土流失。</w:t>
            </w:r>
          </w:p>
        </w:tc>
      </w:tr>
      <w:tr w14:paraId="5CE7E2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restart"/>
            <w:vAlign w:val="center"/>
          </w:tcPr>
          <w:p w14:paraId="66A051ED">
            <w:pPr>
              <w:pStyle w:val="28"/>
              <w:bidi w:val="0"/>
            </w:pPr>
            <w:r>
              <w:t>运营期</w:t>
            </w:r>
          </w:p>
        </w:tc>
        <w:tc>
          <w:tcPr>
            <w:tcW w:w="370" w:type="pct"/>
            <w:vAlign w:val="center"/>
          </w:tcPr>
          <w:p w14:paraId="5DBD96FA">
            <w:pPr>
              <w:pStyle w:val="28"/>
              <w:bidi w:val="0"/>
            </w:pPr>
            <w:r>
              <w:t>水环境</w:t>
            </w:r>
          </w:p>
        </w:tc>
        <w:tc>
          <w:tcPr>
            <w:tcW w:w="4395" w:type="pct"/>
            <w:gridSpan w:val="4"/>
            <w:vAlign w:val="center"/>
          </w:tcPr>
          <w:p w14:paraId="3AC733FB">
            <w:pPr>
              <w:pStyle w:val="28"/>
              <w:bidi w:val="0"/>
            </w:pPr>
            <w:r>
              <w:t>依托现有生活污水处理措施，</w:t>
            </w:r>
            <w:r>
              <w:rPr>
                <w:rFonts w:hint="eastAsia"/>
              </w:rPr>
              <w:t>废水经污水处理设施预处理后通过管网进入城镇污水处理厂，没有条件接入市政污水管网的，生活污水经污水处理设施收集预处理后定期送至周边城镇污水处理厂或达到《农田灌溉水质标准》（GB5084-2021）就农利用。</w:t>
            </w:r>
          </w:p>
        </w:tc>
      </w:tr>
      <w:tr w14:paraId="33D7DE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6234FA72">
            <w:pPr>
              <w:pStyle w:val="28"/>
              <w:bidi w:val="0"/>
            </w:pPr>
          </w:p>
        </w:tc>
        <w:tc>
          <w:tcPr>
            <w:tcW w:w="370" w:type="pct"/>
            <w:vAlign w:val="center"/>
          </w:tcPr>
          <w:p w14:paraId="323C5850">
            <w:pPr>
              <w:pStyle w:val="28"/>
              <w:bidi w:val="0"/>
            </w:pPr>
            <w:r>
              <w:t>固体废物</w:t>
            </w:r>
          </w:p>
        </w:tc>
        <w:tc>
          <w:tcPr>
            <w:tcW w:w="4395" w:type="pct"/>
            <w:gridSpan w:val="4"/>
            <w:vAlign w:val="center"/>
          </w:tcPr>
          <w:p w14:paraId="7196AA2A">
            <w:pPr>
              <w:pStyle w:val="28"/>
              <w:bidi w:val="0"/>
            </w:pPr>
            <w:r>
              <w:t>依托现有生活垃圾处置措施，不外排；</w:t>
            </w:r>
          </w:p>
          <w:p w14:paraId="1E3F2F6F">
            <w:pPr>
              <w:pStyle w:val="28"/>
              <w:bidi w:val="0"/>
            </w:pPr>
            <w:r>
              <w:rPr>
                <w:rFonts w:hint="eastAsia"/>
              </w:rPr>
              <w:t>运营期设备维护产生的少量机油、机油桶、含油抹布，现状每条渠道集中设置一个危险废物仓库，基本位于每条渠道中段管理房，本项目建成后依托现有管理房中集中设置的危险废物仓库，单个占地面积5m2</w:t>
            </w:r>
            <w:r>
              <w:t>。</w:t>
            </w:r>
          </w:p>
        </w:tc>
      </w:tr>
      <w:tr w14:paraId="3890D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335BFA91">
            <w:pPr>
              <w:pStyle w:val="28"/>
              <w:bidi w:val="0"/>
            </w:pPr>
          </w:p>
        </w:tc>
        <w:tc>
          <w:tcPr>
            <w:tcW w:w="370" w:type="pct"/>
            <w:vAlign w:val="center"/>
          </w:tcPr>
          <w:p w14:paraId="32A9F3BB">
            <w:pPr>
              <w:pStyle w:val="28"/>
              <w:bidi w:val="0"/>
            </w:pPr>
            <w:r>
              <w:rPr>
                <w:rFonts w:hint="eastAsia"/>
              </w:rPr>
              <w:t>噪声</w:t>
            </w:r>
          </w:p>
        </w:tc>
        <w:tc>
          <w:tcPr>
            <w:tcW w:w="4395" w:type="pct"/>
            <w:gridSpan w:val="4"/>
            <w:vAlign w:val="center"/>
          </w:tcPr>
          <w:p w14:paraId="2E43180E">
            <w:pPr>
              <w:pStyle w:val="28"/>
              <w:bidi w:val="0"/>
            </w:pPr>
            <w:r>
              <w:rPr>
                <w:rFonts w:hint="eastAsia"/>
              </w:rPr>
              <w:t>郑岗泵站四周、令喜希望小学、土楼村、下糖郢合计设置7个运行期噪声监测点位，监测频次为1次/季度；</w:t>
            </w:r>
          </w:p>
          <w:p w14:paraId="3AD2CD55">
            <w:pPr>
              <w:pStyle w:val="28"/>
              <w:bidi w:val="0"/>
            </w:pPr>
            <w:r>
              <w:rPr>
                <w:rFonts w:hint="eastAsia"/>
              </w:rPr>
              <w:t>站房隔声、设置减震垫和隔声罩，靠近令喜希望小学一侧种植一定量的树木。</w:t>
            </w:r>
          </w:p>
        </w:tc>
      </w:tr>
      <w:tr w14:paraId="31DC6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3FFE6E2">
            <w:pPr>
              <w:pStyle w:val="28"/>
              <w:bidi w:val="0"/>
            </w:pPr>
          </w:p>
        </w:tc>
        <w:tc>
          <w:tcPr>
            <w:tcW w:w="773" w:type="pct"/>
            <w:gridSpan w:val="2"/>
            <w:vAlign w:val="center"/>
          </w:tcPr>
          <w:p w14:paraId="4C95E077">
            <w:pPr>
              <w:pStyle w:val="28"/>
              <w:bidi w:val="0"/>
            </w:pPr>
            <w:r>
              <w:rPr>
                <w:rFonts w:hint="eastAsia"/>
              </w:rPr>
              <w:t>淠河总干渠上段工程</w:t>
            </w:r>
          </w:p>
        </w:tc>
        <w:tc>
          <w:tcPr>
            <w:tcW w:w="1555" w:type="pct"/>
            <w:gridSpan w:val="2"/>
            <w:noWrap/>
            <w:vAlign w:val="center"/>
          </w:tcPr>
          <w:p w14:paraId="09D3CE58">
            <w:pPr>
              <w:pStyle w:val="28"/>
              <w:bidi w:val="0"/>
            </w:pPr>
            <w:r>
              <w:rPr>
                <w:rFonts w:hint="eastAsia"/>
              </w:rPr>
              <w:t>本项目涉及六安市城区饮用水水源地保护区二级保护区、苏埠镇饮用水水源保护区二级保护区、青山乡饮用水水源保护区二级保护区</w:t>
            </w:r>
          </w:p>
        </w:tc>
        <w:tc>
          <w:tcPr>
            <w:tcW w:w="2436" w:type="pct"/>
            <w:vMerge w:val="restart"/>
            <w:vAlign w:val="center"/>
          </w:tcPr>
          <w:p w14:paraId="16FB58C9">
            <w:pPr>
              <w:pStyle w:val="28"/>
              <w:bidi w:val="0"/>
            </w:pPr>
            <w:r>
              <w:rPr>
                <w:rFonts w:hint="eastAsia"/>
              </w:rPr>
              <w:t>①</w:t>
            </w:r>
            <w:r>
              <w:t>不在饮用水水源保护区内设置施工生产区、生活区、取土场、弃土场，禁止在水源保护区范围内设置污染物处理设施、设备仓库和场地，施工场地、生活区的设置应与水源地保护区保持一定距离。</w:t>
            </w:r>
          </w:p>
          <w:p w14:paraId="00FCECF4">
            <w:pPr>
              <w:pStyle w:val="28"/>
              <w:bidi w:val="0"/>
            </w:pPr>
            <w:r>
              <w:rPr>
                <w:rFonts w:hint="eastAsia"/>
              </w:rPr>
              <w:t>②</w:t>
            </w:r>
            <w:r>
              <w:t>建筑物工程施工围堰选用袋装土围堰，尽量减少围堰占地面积以及围堰填筑、拆除过程中悬浮物的产生。在水源保护区陆域内施工，施工期要严格控制施工作业范围，设置临时挡板，收集滑落的泥土、腐烂植物茎叶和杂物等，防止进入到水体中。</w:t>
            </w:r>
          </w:p>
          <w:p w14:paraId="302BCB74">
            <w:pPr>
              <w:pStyle w:val="28"/>
              <w:bidi w:val="0"/>
            </w:pPr>
            <w:r>
              <w:rPr>
                <w:rFonts w:hint="eastAsia"/>
              </w:rPr>
              <w:t>③</w:t>
            </w:r>
            <w:r>
              <w:t>在涉及的饮用水水源地保护区设立明显的施工标志牌，标明保护区级别、范围以及主要的管理规定，同时应对施工人员加强水源地保护意识教育，禁止生产垃圾、施工人员生活垃圾等抛洒进入饮用水水源保护区。</w:t>
            </w:r>
          </w:p>
          <w:p w14:paraId="2FB789BF">
            <w:pPr>
              <w:pStyle w:val="28"/>
              <w:bidi w:val="0"/>
            </w:pPr>
            <w:r>
              <w:rPr>
                <w:rFonts w:hint="eastAsia"/>
              </w:rPr>
              <w:t>④</w:t>
            </w:r>
            <w:r>
              <w:t>在陆地与淠河总干渠交界处设置施工挡板，减少杂物掉落和水体扰动。</w:t>
            </w:r>
          </w:p>
          <w:p w14:paraId="35BED661">
            <w:pPr>
              <w:pStyle w:val="28"/>
              <w:bidi w:val="0"/>
            </w:pPr>
            <w:r>
              <w:rPr>
                <w:rFonts w:hint="eastAsia"/>
              </w:rPr>
              <w:t>⑤</w:t>
            </w:r>
            <w:r>
              <w:t>加强堤顶道路车辆的管理，严格限制社会车辆的通行，对于通行的渠道管护、水源保护车辆设置限宽、限高、限速以及限重等措施，限宽、限速以及限重采取设置标识标牌的形式，限高设置限高杆。</w:t>
            </w:r>
          </w:p>
          <w:p w14:paraId="18910C58">
            <w:pPr>
              <w:pStyle w:val="28"/>
              <w:bidi w:val="0"/>
            </w:pPr>
            <w:r>
              <w:rPr>
                <w:rFonts w:hint="eastAsia"/>
              </w:rPr>
              <w:t>⑥</w:t>
            </w:r>
            <w:r>
              <w:t>不在施工区域进行机械维修，车辆冲洗等活动，避免含油废水进入渠道水体。</w:t>
            </w:r>
          </w:p>
          <w:p w14:paraId="49319500">
            <w:pPr>
              <w:pStyle w:val="28"/>
              <w:bidi w:val="0"/>
            </w:pPr>
            <w:r>
              <w:rPr>
                <w:rFonts w:hint="eastAsia"/>
              </w:rPr>
              <w:t>⑦</w:t>
            </w:r>
            <w:r>
              <w:t>施工前，工程施工单位需严格按照《安徽省饮用水水源地保护条例》《安徽省农村饮水安全工程管理办法》《农村饮用水水源地环境保护技术指南》（HJ2032-2013）等相关法律法规和技术规划进行，落实对饮用水水源地的水环境保护措施。</w:t>
            </w:r>
          </w:p>
          <w:p w14:paraId="6772599E">
            <w:pPr>
              <w:pStyle w:val="28"/>
              <w:bidi w:val="0"/>
            </w:pPr>
            <w:r>
              <w:rPr>
                <w:rFonts w:hint="eastAsia"/>
              </w:rPr>
              <w:t>⑧</w:t>
            </w:r>
            <w:r>
              <w:t>严格落实水土保持措施以及合理安排工期以避开雨季，及时撒播草籽进行绿化恢复。</w:t>
            </w:r>
          </w:p>
          <w:p w14:paraId="6D078EF8">
            <w:pPr>
              <w:pStyle w:val="28"/>
              <w:bidi w:val="0"/>
            </w:pPr>
          </w:p>
        </w:tc>
      </w:tr>
      <w:tr w14:paraId="75EC7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109AED2">
            <w:pPr>
              <w:pStyle w:val="28"/>
              <w:bidi w:val="0"/>
            </w:pPr>
          </w:p>
        </w:tc>
        <w:tc>
          <w:tcPr>
            <w:tcW w:w="773" w:type="pct"/>
            <w:gridSpan w:val="2"/>
            <w:vAlign w:val="center"/>
          </w:tcPr>
          <w:p w14:paraId="06E47371">
            <w:pPr>
              <w:pStyle w:val="28"/>
              <w:bidi w:val="0"/>
            </w:pPr>
            <w:r>
              <w:t>滁河干渠总局直管段工程</w:t>
            </w:r>
          </w:p>
        </w:tc>
        <w:tc>
          <w:tcPr>
            <w:tcW w:w="1555" w:type="pct"/>
            <w:gridSpan w:val="2"/>
            <w:noWrap/>
            <w:vAlign w:val="center"/>
          </w:tcPr>
          <w:p w14:paraId="71A1EB13">
            <w:pPr>
              <w:pStyle w:val="28"/>
              <w:bidi w:val="0"/>
            </w:pPr>
            <w:r>
              <w:t>本项目涉及董铺水库饮用水水源地二级保护区</w:t>
            </w:r>
          </w:p>
        </w:tc>
        <w:tc>
          <w:tcPr>
            <w:tcW w:w="2436" w:type="pct"/>
            <w:vMerge w:val="continue"/>
            <w:vAlign w:val="center"/>
          </w:tcPr>
          <w:p w14:paraId="2E3278FD">
            <w:pPr>
              <w:pStyle w:val="28"/>
              <w:bidi w:val="0"/>
            </w:pPr>
          </w:p>
        </w:tc>
      </w:tr>
      <w:tr w14:paraId="71AD36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9890A39">
            <w:pPr>
              <w:pStyle w:val="28"/>
              <w:bidi w:val="0"/>
            </w:pPr>
          </w:p>
        </w:tc>
        <w:tc>
          <w:tcPr>
            <w:tcW w:w="773" w:type="pct"/>
            <w:gridSpan w:val="2"/>
            <w:vAlign w:val="center"/>
          </w:tcPr>
          <w:p w14:paraId="5BD99842">
            <w:pPr>
              <w:pStyle w:val="28"/>
              <w:bidi w:val="0"/>
            </w:pPr>
            <w:r>
              <w:t>滁河干渠6座渠下涵工程</w:t>
            </w:r>
          </w:p>
        </w:tc>
        <w:tc>
          <w:tcPr>
            <w:tcW w:w="1555" w:type="pct"/>
            <w:gridSpan w:val="2"/>
            <w:noWrap/>
            <w:vAlign w:val="center"/>
          </w:tcPr>
          <w:p w14:paraId="6CD9345D">
            <w:pPr>
              <w:pStyle w:val="28"/>
              <w:bidi w:val="0"/>
            </w:pPr>
            <w:r>
              <w:t>本项目涉及董铺水库、大房郢水库饮用水水源地二级保护区</w:t>
            </w:r>
          </w:p>
        </w:tc>
        <w:tc>
          <w:tcPr>
            <w:tcW w:w="2436" w:type="pct"/>
            <w:vMerge w:val="continue"/>
            <w:vAlign w:val="center"/>
          </w:tcPr>
          <w:p w14:paraId="687923AF">
            <w:pPr>
              <w:pStyle w:val="28"/>
              <w:bidi w:val="0"/>
            </w:pPr>
          </w:p>
        </w:tc>
      </w:tr>
      <w:tr w14:paraId="226DFC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AD67F4A">
            <w:pPr>
              <w:pStyle w:val="28"/>
              <w:bidi w:val="0"/>
            </w:pPr>
          </w:p>
        </w:tc>
        <w:tc>
          <w:tcPr>
            <w:tcW w:w="773" w:type="pct"/>
            <w:gridSpan w:val="2"/>
            <w:vAlign w:val="center"/>
          </w:tcPr>
          <w:p w14:paraId="23FD2E42">
            <w:pPr>
              <w:pStyle w:val="28"/>
              <w:bidi w:val="0"/>
            </w:pPr>
            <w:r>
              <w:t>堰口分干渠工程</w:t>
            </w:r>
          </w:p>
        </w:tc>
        <w:tc>
          <w:tcPr>
            <w:tcW w:w="1555" w:type="pct"/>
            <w:gridSpan w:val="2"/>
            <w:noWrap/>
            <w:vAlign w:val="center"/>
          </w:tcPr>
          <w:p w14:paraId="4D996412">
            <w:pPr>
              <w:pStyle w:val="28"/>
              <w:bidi w:val="0"/>
            </w:pPr>
            <w:r>
              <w:t>本项目涉及小甸镇饮用水水源地二级保护区，影响范围涉及安丰塘饮用水水源保护区、安丰塘备用饮用水水源保护区</w:t>
            </w:r>
          </w:p>
        </w:tc>
        <w:tc>
          <w:tcPr>
            <w:tcW w:w="2436" w:type="pct"/>
            <w:vMerge w:val="continue"/>
            <w:vAlign w:val="center"/>
          </w:tcPr>
          <w:p w14:paraId="7EEF9AEB">
            <w:pPr>
              <w:pStyle w:val="28"/>
              <w:bidi w:val="0"/>
            </w:pPr>
          </w:p>
        </w:tc>
      </w:tr>
      <w:tr w14:paraId="385B3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35BDBA2F">
            <w:pPr>
              <w:pStyle w:val="28"/>
              <w:bidi w:val="0"/>
            </w:pPr>
          </w:p>
        </w:tc>
        <w:tc>
          <w:tcPr>
            <w:tcW w:w="773" w:type="pct"/>
            <w:gridSpan w:val="2"/>
            <w:noWrap/>
            <w:vAlign w:val="center"/>
          </w:tcPr>
          <w:p w14:paraId="53F0F47E">
            <w:pPr>
              <w:pStyle w:val="28"/>
              <w:bidi w:val="0"/>
            </w:pPr>
            <w:r>
              <w:t>郑岗泵站工程</w:t>
            </w:r>
          </w:p>
        </w:tc>
        <w:tc>
          <w:tcPr>
            <w:tcW w:w="1555" w:type="pct"/>
            <w:gridSpan w:val="2"/>
            <w:noWrap/>
            <w:vAlign w:val="center"/>
          </w:tcPr>
          <w:p w14:paraId="08CDA07C">
            <w:pPr>
              <w:pStyle w:val="28"/>
              <w:bidi w:val="0"/>
            </w:pPr>
            <w:r>
              <w:t>本项目涉及小甸镇饮用水水源地二级保护区</w:t>
            </w:r>
          </w:p>
        </w:tc>
        <w:tc>
          <w:tcPr>
            <w:tcW w:w="2436" w:type="pct"/>
            <w:vMerge w:val="continue"/>
            <w:vAlign w:val="center"/>
          </w:tcPr>
          <w:p w14:paraId="1F9FB523">
            <w:pPr>
              <w:pStyle w:val="28"/>
              <w:bidi w:val="0"/>
            </w:pPr>
          </w:p>
        </w:tc>
      </w:tr>
      <w:tr w14:paraId="346C4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6E9D4B1">
            <w:pPr>
              <w:pStyle w:val="28"/>
              <w:bidi w:val="0"/>
            </w:pPr>
          </w:p>
        </w:tc>
        <w:tc>
          <w:tcPr>
            <w:tcW w:w="773" w:type="pct"/>
            <w:gridSpan w:val="2"/>
            <w:noWrap/>
            <w:vAlign w:val="center"/>
          </w:tcPr>
          <w:p w14:paraId="77CA2D80">
            <w:pPr>
              <w:pStyle w:val="28"/>
              <w:bidi w:val="0"/>
            </w:pPr>
            <w:r>
              <w:t>乌斗支渠工程</w:t>
            </w:r>
          </w:p>
        </w:tc>
        <w:tc>
          <w:tcPr>
            <w:tcW w:w="1555" w:type="pct"/>
            <w:gridSpan w:val="2"/>
            <w:noWrap/>
            <w:vAlign w:val="center"/>
          </w:tcPr>
          <w:p w14:paraId="5DBF2639">
            <w:pPr>
              <w:pStyle w:val="28"/>
              <w:bidi w:val="0"/>
            </w:pPr>
            <w:r>
              <w:t>本项目涉及乌龙镇陈楼水厂饮用水水源地二级保护区</w:t>
            </w:r>
          </w:p>
        </w:tc>
        <w:tc>
          <w:tcPr>
            <w:tcW w:w="2436" w:type="pct"/>
            <w:vMerge w:val="continue"/>
            <w:vAlign w:val="center"/>
          </w:tcPr>
          <w:p w14:paraId="41C165E0">
            <w:pPr>
              <w:pStyle w:val="28"/>
              <w:bidi w:val="0"/>
            </w:pPr>
          </w:p>
        </w:tc>
      </w:tr>
      <w:tr w14:paraId="673A8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1987BD4">
            <w:pPr>
              <w:pStyle w:val="28"/>
              <w:bidi w:val="0"/>
            </w:pPr>
          </w:p>
        </w:tc>
        <w:tc>
          <w:tcPr>
            <w:tcW w:w="773" w:type="pct"/>
            <w:gridSpan w:val="2"/>
            <w:noWrap/>
            <w:vAlign w:val="center"/>
          </w:tcPr>
          <w:p w14:paraId="533A8D01">
            <w:pPr>
              <w:pStyle w:val="28"/>
              <w:bidi w:val="0"/>
            </w:pPr>
            <w:r>
              <w:t>杭北干渠工程</w:t>
            </w:r>
          </w:p>
        </w:tc>
        <w:tc>
          <w:tcPr>
            <w:tcW w:w="1555" w:type="pct"/>
            <w:gridSpan w:val="2"/>
            <w:noWrap/>
            <w:vAlign w:val="center"/>
          </w:tcPr>
          <w:p w14:paraId="4B242CC6">
            <w:pPr>
              <w:pStyle w:val="28"/>
              <w:bidi w:val="0"/>
            </w:pPr>
            <w:r>
              <w:t>本项目涉及千人桥自来水厂、千人桥上阳自来水厂饮用水水源地二级保护区</w:t>
            </w:r>
          </w:p>
        </w:tc>
        <w:tc>
          <w:tcPr>
            <w:tcW w:w="2436" w:type="pct"/>
            <w:vMerge w:val="continue"/>
            <w:vAlign w:val="center"/>
          </w:tcPr>
          <w:p w14:paraId="0906D2E2">
            <w:pPr>
              <w:pStyle w:val="28"/>
              <w:bidi w:val="0"/>
            </w:pPr>
          </w:p>
        </w:tc>
      </w:tr>
      <w:tr w14:paraId="28F3D1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28E16F9E">
            <w:pPr>
              <w:pStyle w:val="28"/>
              <w:bidi w:val="0"/>
            </w:pPr>
          </w:p>
        </w:tc>
        <w:tc>
          <w:tcPr>
            <w:tcW w:w="773" w:type="pct"/>
            <w:gridSpan w:val="2"/>
            <w:noWrap/>
            <w:vAlign w:val="center"/>
          </w:tcPr>
          <w:p w14:paraId="1A6BA384">
            <w:pPr>
              <w:pStyle w:val="28"/>
              <w:bidi w:val="0"/>
            </w:pPr>
            <w:r>
              <w:t>众兴分干渠双庙支渠工程</w:t>
            </w:r>
          </w:p>
        </w:tc>
        <w:tc>
          <w:tcPr>
            <w:tcW w:w="1555" w:type="pct"/>
            <w:gridSpan w:val="2"/>
            <w:noWrap/>
            <w:vAlign w:val="center"/>
          </w:tcPr>
          <w:p w14:paraId="3EB76157">
            <w:pPr>
              <w:pStyle w:val="28"/>
              <w:bidi w:val="0"/>
            </w:pPr>
            <w:r>
              <w:t>本项目涉及肥东县众兴水库饮用水水源地准保护区</w:t>
            </w:r>
          </w:p>
        </w:tc>
        <w:tc>
          <w:tcPr>
            <w:tcW w:w="2436" w:type="pct"/>
            <w:vMerge w:val="continue"/>
            <w:vAlign w:val="center"/>
          </w:tcPr>
          <w:p w14:paraId="467B7080">
            <w:pPr>
              <w:pStyle w:val="28"/>
              <w:bidi w:val="0"/>
            </w:pPr>
          </w:p>
        </w:tc>
      </w:tr>
      <w:tr w14:paraId="60DAD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6D6EC513">
            <w:pPr>
              <w:pStyle w:val="28"/>
              <w:bidi w:val="0"/>
            </w:pPr>
          </w:p>
        </w:tc>
        <w:tc>
          <w:tcPr>
            <w:tcW w:w="773" w:type="pct"/>
            <w:gridSpan w:val="2"/>
            <w:noWrap/>
            <w:vAlign w:val="center"/>
          </w:tcPr>
          <w:p w14:paraId="308641B5">
            <w:pPr>
              <w:pStyle w:val="28"/>
              <w:bidi w:val="0"/>
            </w:pPr>
            <w:r>
              <w:t>大高支渠工程</w:t>
            </w:r>
          </w:p>
        </w:tc>
        <w:tc>
          <w:tcPr>
            <w:tcW w:w="1555" w:type="pct"/>
            <w:gridSpan w:val="2"/>
            <w:noWrap/>
            <w:vAlign w:val="center"/>
          </w:tcPr>
          <w:p w14:paraId="2F066C28">
            <w:pPr>
              <w:pStyle w:val="28"/>
              <w:bidi w:val="0"/>
            </w:pPr>
            <w:r>
              <w:t>本项目涉及肥东县众兴水库饮用水水源地准保护区</w:t>
            </w:r>
          </w:p>
        </w:tc>
        <w:tc>
          <w:tcPr>
            <w:tcW w:w="2436" w:type="pct"/>
            <w:vMerge w:val="continue"/>
            <w:vAlign w:val="center"/>
          </w:tcPr>
          <w:p w14:paraId="13007E8C">
            <w:pPr>
              <w:pStyle w:val="28"/>
              <w:bidi w:val="0"/>
            </w:pPr>
          </w:p>
        </w:tc>
      </w:tr>
      <w:tr w14:paraId="6BBD0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0F2C84C">
            <w:pPr>
              <w:pStyle w:val="28"/>
              <w:bidi w:val="0"/>
            </w:pPr>
          </w:p>
        </w:tc>
        <w:tc>
          <w:tcPr>
            <w:tcW w:w="773" w:type="pct"/>
            <w:gridSpan w:val="2"/>
            <w:noWrap/>
            <w:vAlign w:val="center"/>
          </w:tcPr>
          <w:p w14:paraId="38131543">
            <w:pPr>
              <w:pStyle w:val="28"/>
              <w:bidi w:val="0"/>
            </w:pPr>
            <w:r>
              <w:t>沣西干渠工程</w:t>
            </w:r>
          </w:p>
        </w:tc>
        <w:tc>
          <w:tcPr>
            <w:tcW w:w="1555" w:type="pct"/>
            <w:gridSpan w:val="2"/>
            <w:noWrap/>
            <w:vAlign w:val="center"/>
          </w:tcPr>
          <w:p w14:paraId="6D93AD34">
            <w:pPr>
              <w:pStyle w:val="28"/>
              <w:bidi w:val="0"/>
            </w:pPr>
            <w:r>
              <w:t>本项目</w:t>
            </w:r>
            <w:r>
              <w:rPr>
                <w:rFonts w:hint="eastAsia"/>
              </w:rPr>
              <w:t>涉及乌龙镇陈楼水厂饮用水水源保护区二级保护区、</w:t>
            </w:r>
            <w:r>
              <w:t>影响范围涉及龙潭水库饮用水水源保护地</w:t>
            </w:r>
          </w:p>
        </w:tc>
        <w:tc>
          <w:tcPr>
            <w:tcW w:w="2436" w:type="pct"/>
            <w:vMerge w:val="continue"/>
            <w:vAlign w:val="center"/>
          </w:tcPr>
          <w:p w14:paraId="1C278FA9">
            <w:pPr>
              <w:pStyle w:val="28"/>
              <w:bidi w:val="0"/>
            </w:pPr>
          </w:p>
        </w:tc>
      </w:tr>
      <w:tr w14:paraId="26300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57308E0F">
            <w:pPr>
              <w:pStyle w:val="28"/>
              <w:bidi w:val="0"/>
            </w:pPr>
          </w:p>
        </w:tc>
        <w:tc>
          <w:tcPr>
            <w:tcW w:w="773" w:type="pct"/>
            <w:gridSpan w:val="2"/>
            <w:noWrap/>
            <w:vAlign w:val="center"/>
          </w:tcPr>
          <w:p w14:paraId="194BD59C">
            <w:pPr>
              <w:pStyle w:val="28"/>
              <w:bidi w:val="0"/>
            </w:pPr>
            <w:r>
              <w:t>淠河总干渠上段工程</w:t>
            </w:r>
          </w:p>
        </w:tc>
        <w:tc>
          <w:tcPr>
            <w:tcW w:w="1555" w:type="pct"/>
            <w:gridSpan w:val="2"/>
            <w:noWrap/>
            <w:vAlign w:val="center"/>
          </w:tcPr>
          <w:p w14:paraId="03D0D44A">
            <w:pPr>
              <w:pStyle w:val="28"/>
              <w:bidi w:val="0"/>
            </w:pPr>
            <w:r>
              <w:t>本项目涉及六安市城区饮用水水源一级保护区、苏埠镇饮用水水源一级保护区、青山乡饮用水水源一级保护区</w:t>
            </w:r>
          </w:p>
        </w:tc>
        <w:tc>
          <w:tcPr>
            <w:tcW w:w="2436" w:type="pct"/>
            <w:vMerge w:val="restart"/>
            <w:vAlign w:val="center"/>
          </w:tcPr>
          <w:p w14:paraId="51474FF4">
            <w:pPr>
              <w:pStyle w:val="28"/>
              <w:bidi w:val="0"/>
            </w:pPr>
            <w:r>
              <w:rPr>
                <w:rFonts w:hint="eastAsia"/>
              </w:rPr>
              <w:t>对于涉及各饮用水水源地一级保护区的工程，在落实二级保护区保护措施下，还应采取的措施如下：</w:t>
            </w:r>
          </w:p>
          <w:p w14:paraId="57B22FD7">
            <w:pPr>
              <w:pStyle w:val="28"/>
              <w:bidi w:val="0"/>
            </w:pPr>
            <w:r>
              <w:rPr>
                <w:rFonts w:hint="eastAsia"/>
              </w:rPr>
              <w:t>①根据《关于&lt;水污染防治法&gt;中饮用水水源保护有关规定进行法律解释有关意见的复函》，应当在施工前编制饮用水水源地突发事件应急处理方案。</w:t>
            </w:r>
          </w:p>
          <w:p w14:paraId="048D52F6">
            <w:pPr>
              <w:pStyle w:val="28"/>
              <w:bidi w:val="0"/>
            </w:pPr>
            <w:r>
              <w:rPr>
                <w:rFonts w:hint="eastAsia"/>
              </w:rPr>
              <w:t>②淠河总干渠上段滑坡治理工程位于六安市一水厂取水口下游5m，果园山进水闸拆除重建工程位于果园山水库取水口北侧，距离约为30m，距离较近。建设单位需分别与果园山水厂、六安市一水厂沟通，双方协商确定在水源地保护区范围内施工时间，尽量错开水厂取水时段，减免对取水水质的影响；布设防污屏以减缓和避免对果园山水库水质的影响。</w:t>
            </w:r>
          </w:p>
          <w:p w14:paraId="075C5637">
            <w:pPr>
              <w:pStyle w:val="28"/>
              <w:bidi w:val="0"/>
            </w:pPr>
            <w:r>
              <w:rPr>
                <w:rFonts w:hint="eastAsia"/>
              </w:rPr>
              <w:t>③严格落实施工过程中的废水处理措施：混凝土养护废水沉淀处理后回用、车辆和机械保养冲洗废水隔油沉淀处理后回用、基坑排水静置沉淀后回用，不外排。</w:t>
            </w:r>
          </w:p>
          <w:p w14:paraId="73EBA0B3">
            <w:pPr>
              <w:pStyle w:val="28"/>
              <w:bidi w:val="0"/>
            </w:pPr>
            <w:r>
              <w:rPr>
                <w:rFonts w:hint="eastAsia"/>
              </w:rPr>
              <w:t>④施工材料按照要求存放在施工仓库，远离各饮用水水源地，并用塑料薄膜进行苫盖，以防止粉尘等随雨水进入饮用水区域，影响水质。</w:t>
            </w:r>
          </w:p>
          <w:p w14:paraId="11AAC493">
            <w:pPr>
              <w:pStyle w:val="28"/>
              <w:bidi w:val="0"/>
            </w:pPr>
            <w:r>
              <w:rPr>
                <w:rFonts w:hint="eastAsia"/>
              </w:rPr>
              <w:t>⑤建设单位要制定工程施工期水污染风险预案，加强水源地取水口水质监测，出现水厂水质因工程施工不符合卫生标准的情况，工程施工应立即停工，等当地环保部门复工通知后方可继续施工。</w:t>
            </w:r>
          </w:p>
        </w:tc>
      </w:tr>
      <w:tr w14:paraId="173BC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71BCCE9E">
            <w:pPr>
              <w:pStyle w:val="28"/>
              <w:bidi w:val="0"/>
            </w:pPr>
          </w:p>
        </w:tc>
        <w:tc>
          <w:tcPr>
            <w:tcW w:w="773" w:type="pct"/>
            <w:gridSpan w:val="2"/>
            <w:noWrap/>
            <w:vAlign w:val="center"/>
          </w:tcPr>
          <w:p w14:paraId="223DF763">
            <w:pPr>
              <w:pStyle w:val="28"/>
              <w:bidi w:val="0"/>
            </w:pPr>
            <w:r>
              <w:t>樊通桥渠下涵工程</w:t>
            </w:r>
          </w:p>
        </w:tc>
        <w:tc>
          <w:tcPr>
            <w:tcW w:w="1555" w:type="pct"/>
            <w:gridSpan w:val="2"/>
            <w:noWrap/>
            <w:vAlign w:val="center"/>
          </w:tcPr>
          <w:p w14:paraId="09435308">
            <w:pPr>
              <w:pStyle w:val="28"/>
              <w:bidi w:val="0"/>
            </w:pPr>
            <w:r>
              <w:t>本项目涉及六安市城区饮用水水源一级保护区</w:t>
            </w:r>
          </w:p>
        </w:tc>
        <w:tc>
          <w:tcPr>
            <w:tcW w:w="2436" w:type="pct"/>
            <w:vMerge w:val="continue"/>
            <w:vAlign w:val="center"/>
          </w:tcPr>
          <w:p w14:paraId="1C0A47D6">
            <w:pPr>
              <w:pStyle w:val="28"/>
              <w:bidi w:val="0"/>
            </w:pPr>
          </w:p>
        </w:tc>
      </w:tr>
      <w:tr w14:paraId="00B11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30AAB5D0">
            <w:pPr>
              <w:pStyle w:val="28"/>
              <w:bidi w:val="0"/>
            </w:pPr>
          </w:p>
        </w:tc>
        <w:tc>
          <w:tcPr>
            <w:tcW w:w="773" w:type="pct"/>
            <w:gridSpan w:val="2"/>
            <w:noWrap/>
            <w:vAlign w:val="center"/>
          </w:tcPr>
          <w:p w14:paraId="074C960F">
            <w:pPr>
              <w:pStyle w:val="28"/>
              <w:bidi w:val="0"/>
            </w:pPr>
            <w:r>
              <w:t>淠东干渠工程</w:t>
            </w:r>
          </w:p>
        </w:tc>
        <w:tc>
          <w:tcPr>
            <w:tcW w:w="1555" w:type="pct"/>
            <w:gridSpan w:val="2"/>
            <w:noWrap/>
            <w:vAlign w:val="center"/>
          </w:tcPr>
          <w:p w14:paraId="4B54F1BD">
            <w:pPr>
              <w:pStyle w:val="28"/>
              <w:bidi w:val="0"/>
            </w:pPr>
            <w:r>
              <w:t>本项目涉及众兴、茶庵镇饮用水水源地一级保护区</w:t>
            </w:r>
          </w:p>
        </w:tc>
        <w:tc>
          <w:tcPr>
            <w:tcW w:w="2436" w:type="pct"/>
            <w:vMerge w:val="continue"/>
            <w:vAlign w:val="center"/>
          </w:tcPr>
          <w:p w14:paraId="0530FF06">
            <w:pPr>
              <w:pStyle w:val="28"/>
              <w:bidi w:val="0"/>
            </w:pPr>
          </w:p>
        </w:tc>
      </w:tr>
      <w:tr w14:paraId="1B56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4" w:type="pct"/>
            <w:vMerge w:val="continue"/>
            <w:vAlign w:val="center"/>
          </w:tcPr>
          <w:p w14:paraId="676DD577">
            <w:pPr>
              <w:pStyle w:val="28"/>
              <w:bidi w:val="0"/>
            </w:pPr>
          </w:p>
        </w:tc>
        <w:tc>
          <w:tcPr>
            <w:tcW w:w="773" w:type="pct"/>
            <w:gridSpan w:val="2"/>
            <w:noWrap/>
            <w:vAlign w:val="center"/>
          </w:tcPr>
          <w:p w14:paraId="3CFE440E">
            <w:pPr>
              <w:pStyle w:val="28"/>
              <w:bidi w:val="0"/>
            </w:pPr>
            <w:r>
              <w:t>舒庐干渠七座水闸工程</w:t>
            </w:r>
          </w:p>
        </w:tc>
        <w:tc>
          <w:tcPr>
            <w:tcW w:w="1555" w:type="pct"/>
            <w:gridSpan w:val="2"/>
            <w:noWrap/>
            <w:vAlign w:val="center"/>
          </w:tcPr>
          <w:p w14:paraId="202531D3">
            <w:pPr>
              <w:pStyle w:val="28"/>
              <w:bidi w:val="0"/>
            </w:pPr>
            <w:r>
              <w:t>本项目涉及果园山水库一级保护区</w:t>
            </w:r>
          </w:p>
        </w:tc>
        <w:tc>
          <w:tcPr>
            <w:tcW w:w="2436" w:type="pct"/>
            <w:vMerge w:val="continue"/>
            <w:vAlign w:val="center"/>
          </w:tcPr>
          <w:p w14:paraId="5C6C97E5">
            <w:pPr>
              <w:pStyle w:val="28"/>
              <w:bidi w:val="0"/>
            </w:pPr>
          </w:p>
        </w:tc>
      </w:tr>
    </w:tbl>
    <w:p w14:paraId="0F67D808">
      <w:pPr>
        <w:rPr>
          <w:color w:val="0000FF"/>
        </w:rPr>
      </w:pPr>
    </w:p>
    <w:p w14:paraId="1C84CEA6">
      <w:pPr>
        <w:pStyle w:val="2"/>
        <w:rPr>
          <w:color w:val="0000FF"/>
        </w:rPr>
        <w:sectPr>
          <w:headerReference r:id="rId54" w:type="default"/>
          <w:footerReference r:id="rId55" w:type="default"/>
          <w:pgSz w:w="11905" w:h="16838"/>
          <w:pgMar w:top="1417" w:right="1417" w:bottom="1417" w:left="1417" w:header="850" w:footer="850" w:gutter="0"/>
          <w:pgNumType w:fmt="decimal"/>
          <w:cols w:space="0" w:num="1"/>
          <w:rtlGutter w:val="0"/>
          <w:docGrid w:linePitch="312" w:charSpace="0"/>
        </w:sectPr>
      </w:pPr>
    </w:p>
    <w:p w14:paraId="4902E4AD">
      <w:pPr>
        <w:pStyle w:val="2"/>
      </w:pPr>
      <w:bookmarkStart w:id="96" w:name="_Toc23687"/>
      <w:r>
        <w:t>10 环境影响评价结论</w:t>
      </w:r>
      <w:bookmarkEnd w:id="96"/>
    </w:p>
    <w:p w14:paraId="0F7C48BB">
      <w:pPr>
        <w:pStyle w:val="3"/>
        <w:rPr>
          <w:rFonts w:cs="Times New Roman"/>
        </w:rPr>
      </w:pPr>
      <w:bookmarkStart w:id="97" w:name="_Toc18318"/>
      <w:r>
        <w:rPr>
          <w:rFonts w:cs="Times New Roman"/>
        </w:rPr>
        <w:t>10.1 项目概况</w:t>
      </w:r>
      <w:bookmarkEnd w:id="97"/>
    </w:p>
    <w:p w14:paraId="35E91A88">
      <w:pPr>
        <w:ind w:firstLine="480"/>
        <w:rPr>
          <w:rFonts w:cs="Times New Roman"/>
          <w:kern w:val="2"/>
        </w:rPr>
      </w:pPr>
      <w:r>
        <w:rPr>
          <w:rFonts w:hint="eastAsia" w:cs="Times New Roman"/>
          <w:kern w:val="2"/>
        </w:rPr>
        <w:t>淮南市谢家集区朱集中型灌区续建配套与节水改造项目</w:t>
      </w:r>
      <w:r>
        <w:rPr>
          <w:rFonts w:cs="Times New Roman"/>
        </w:rPr>
        <w:t>位于</w:t>
      </w:r>
      <w:r>
        <w:rPr>
          <w:rFonts w:hint="eastAsia" w:cs="Times New Roman"/>
        </w:rPr>
        <w:t>淮南市谢家集区</w:t>
      </w:r>
      <w:r>
        <w:rPr>
          <w:rFonts w:cs="Times New Roman"/>
          <w:kern w:val="2"/>
        </w:rPr>
        <w:t>。</w:t>
      </w:r>
    </w:p>
    <w:p w14:paraId="535D6441">
      <w:pPr>
        <w:ind w:firstLine="480"/>
        <w:rPr>
          <w:rFonts w:cs="Times New Roman"/>
        </w:rPr>
      </w:pPr>
      <w:r>
        <w:rPr>
          <w:rFonts w:cs="Times New Roman"/>
          <w:kern w:val="2"/>
        </w:rPr>
        <w:t>工程规模：骨干输配水工程49.395km（衬砌37085m和清淤12310m）；</w:t>
      </w:r>
      <w:r>
        <w:rPr>
          <w:rFonts w:hint="eastAsia" w:cs="Times New Roman"/>
        </w:rPr>
        <w:t>骨干渠（沟）系建筑物及配套设施137座；用水量测工程（泵站监测点10座、干渠渠道监测点9座和放水涵闸监测点67座）；信息化工程（灌区信息化平台建设1套）</w:t>
      </w:r>
      <w:r>
        <w:rPr>
          <w:rFonts w:cs="Times New Roman"/>
        </w:rPr>
        <w:t>。</w:t>
      </w:r>
    </w:p>
    <w:p w14:paraId="3F9E2E44">
      <w:pPr>
        <w:ind w:firstLine="480"/>
        <w:rPr>
          <w:rFonts w:cs="Times New Roman"/>
          <w:color w:val="0000FF"/>
        </w:rPr>
      </w:pPr>
      <w:r>
        <w:rPr>
          <w:rFonts w:cs="Times New Roman"/>
          <w:color w:val="0000FF"/>
        </w:rPr>
        <w:t>工程占地：根据工程建设征地性质、用途与是否复垦，将工程建设征地分为永久占地和临时占地。永久占地385.86hm</w:t>
      </w:r>
      <w:r>
        <w:rPr>
          <w:rFonts w:cs="Times New Roman"/>
          <w:color w:val="0000FF"/>
          <w:vertAlign w:val="superscript"/>
        </w:rPr>
        <w:t>2</w:t>
      </w:r>
      <w:r>
        <w:rPr>
          <w:rFonts w:cs="Times New Roman"/>
          <w:color w:val="0000FF"/>
        </w:rPr>
        <w:t>，均在灌区管理范围内。取土区占地，弃土占地，临时堆土占地，施工布置占地和临时施工道路占地等，工程临时占地面积</w:t>
      </w:r>
      <w:r>
        <w:rPr>
          <w:rFonts w:hint="eastAsia" w:cs="Times New Roman"/>
          <w:color w:val="0000FF"/>
        </w:rPr>
        <w:t>167.15</w:t>
      </w:r>
      <w:r>
        <w:rPr>
          <w:rFonts w:cs="Times New Roman"/>
          <w:color w:val="0000FF"/>
        </w:rPr>
        <w:t>hm</w:t>
      </w:r>
      <w:r>
        <w:rPr>
          <w:rFonts w:cs="Times New Roman"/>
          <w:color w:val="0000FF"/>
          <w:vertAlign w:val="superscript"/>
        </w:rPr>
        <w:t>2</w:t>
      </w:r>
      <w:r>
        <w:rPr>
          <w:rFonts w:cs="Times New Roman"/>
          <w:color w:val="0000FF"/>
        </w:rPr>
        <w:t>。本工程建设征地总面积</w:t>
      </w:r>
      <w:r>
        <w:rPr>
          <w:rFonts w:hint="eastAsia" w:cs="Times New Roman"/>
          <w:color w:val="0000FF"/>
        </w:rPr>
        <w:t>167.15</w:t>
      </w:r>
      <w:r>
        <w:rPr>
          <w:rFonts w:cs="Times New Roman"/>
          <w:color w:val="0000FF"/>
        </w:rPr>
        <w:t>hm</w:t>
      </w:r>
      <w:r>
        <w:rPr>
          <w:rFonts w:cs="Times New Roman"/>
          <w:color w:val="0000FF"/>
          <w:vertAlign w:val="superscript"/>
        </w:rPr>
        <w:t>2</w:t>
      </w:r>
      <w:r>
        <w:rPr>
          <w:rFonts w:cs="Times New Roman"/>
          <w:color w:val="0000FF"/>
        </w:rPr>
        <w:t>，均为临时占地。</w:t>
      </w:r>
    </w:p>
    <w:p w14:paraId="243C9A8D">
      <w:pPr>
        <w:autoSpaceDE w:val="0"/>
        <w:autoSpaceDN w:val="0"/>
        <w:ind w:firstLine="480"/>
        <w:rPr>
          <w:rFonts w:cs="Times New Roman"/>
          <w:color w:val="0000FF"/>
        </w:rPr>
      </w:pPr>
      <w:r>
        <w:rPr>
          <w:rFonts w:cs="Times New Roman"/>
        </w:rPr>
        <w:t>工程投资：总投资约</w:t>
      </w:r>
      <w:r>
        <w:rPr>
          <w:rFonts w:hint="eastAsia" w:cs="Times New Roman"/>
        </w:rPr>
        <w:t>13365.57万</w:t>
      </w:r>
      <w:r>
        <w:rPr>
          <w:rFonts w:cs="Times New Roman"/>
        </w:rPr>
        <w:t>元，本报告计算环境保护工程专项投资</w:t>
      </w:r>
      <w:r>
        <w:rPr>
          <w:rFonts w:hint="eastAsia" w:cs="Times New Roman"/>
        </w:rPr>
        <w:t>36.59</w:t>
      </w:r>
      <w:r>
        <w:rPr>
          <w:rFonts w:cs="Times New Roman"/>
        </w:rPr>
        <w:t>万元环境保护总投资共占工程总投资的0.</w:t>
      </w:r>
      <w:r>
        <w:rPr>
          <w:rFonts w:hint="eastAsia" w:cs="Times New Roman"/>
        </w:rPr>
        <w:t>27</w:t>
      </w:r>
      <w:r>
        <w:rPr>
          <w:rFonts w:cs="Times New Roman"/>
        </w:rPr>
        <w:t>%。</w:t>
      </w:r>
    </w:p>
    <w:p w14:paraId="1A6D33B7">
      <w:pPr>
        <w:pStyle w:val="3"/>
        <w:rPr>
          <w:rFonts w:cs="Times New Roman"/>
          <w:color w:val="0000FF"/>
        </w:rPr>
      </w:pPr>
      <w:bookmarkStart w:id="98" w:name="_Toc18529"/>
      <w:r>
        <w:rPr>
          <w:rFonts w:cs="Times New Roman"/>
          <w:color w:val="0000FF"/>
        </w:rPr>
        <w:t>10.2 环境准入评价</w:t>
      </w:r>
      <w:bookmarkEnd w:id="98"/>
    </w:p>
    <w:p w14:paraId="3EA8D967">
      <w:pPr>
        <w:pStyle w:val="4"/>
        <w:rPr>
          <w:rFonts w:cs="Times New Roman"/>
          <w:color w:val="0000FF"/>
        </w:rPr>
      </w:pPr>
      <w:r>
        <w:rPr>
          <w:rFonts w:cs="Times New Roman"/>
          <w:color w:val="0000FF"/>
        </w:rPr>
        <w:t>10.2.2 与流域相关规划的符合性分析</w:t>
      </w:r>
    </w:p>
    <w:p w14:paraId="0290202F">
      <w:pPr>
        <w:ind w:firstLine="480"/>
        <w:rPr>
          <w:rFonts w:cs="Times New Roman"/>
          <w:color w:val="0000FF"/>
          <w:kern w:val="2"/>
        </w:rPr>
      </w:pPr>
      <w:r>
        <w:rPr>
          <w:rFonts w:hint="eastAsia" w:cs="Times New Roman"/>
          <w:color w:val="0000FF"/>
          <w:kern w:val="2"/>
          <w:lang w:eastAsia="zh-CN"/>
        </w:rPr>
        <w:t>淮南市谢家集区朱集中型灌区续建配套与节水改造项目</w:t>
      </w:r>
      <w:r>
        <w:rPr>
          <w:rFonts w:cs="Times New Roman"/>
          <w:color w:val="0000FF"/>
        </w:rPr>
        <w:t>属于</w:t>
      </w:r>
      <w:r>
        <w:rPr>
          <w:rFonts w:hint="eastAsia" w:cs="Times New Roman"/>
          <w:color w:val="0000FF"/>
        </w:rPr>
        <w:t>“</w:t>
      </w:r>
      <w:r>
        <w:rPr>
          <w:rFonts w:cs="Times New Roman"/>
          <w:color w:val="0000FF"/>
        </w:rPr>
        <w:t>大中型灌区续建配套与节水改造</w:t>
      </w:r>
      <w:r>
        <w:rPr>
          <w:rFonts w:hint="eastAsia" w:cs="Times New Roman"/>
          <w:color w:val="0000FF"/>
        </w:rPr>
        <w:t>”</w:t>
      </w:r>
      <w:r>
        <w:rPr>
          <w:rFonts w:cs="Times New Roman"/>
          <w:color w:val="0000FF"/>
        </w:rPr>
        <w:t>。因此，本工程建设与</w:t>
      </w:r>
      <w:r>
        <w:rPr>
          <w:rFonts w:cs="Times New Roman"/>
          <w:color w:val="0000FF"/>
          <w:kern w:val="2"/>
        </w:rPr>
        <w:t>《淮河流域综合规划》相符合。</w:t>
      </w:r>
    </w:p>
    <w:p w14:paraId="216225B8">
      <w:pPr>
        <w:ind w:firstLine="480"/>
        <w:rPr>
          <w:rFonts w:cs="Times New Roman"/>
          <w:color w:val="0000FF"/>
          <w:kern w:val="2"/>
        </w:rPr>
      </w:pPr>
      <w:r>
        <w:rPr>
          <w:rFonts w:hint="eastAsia" w:cs="Times New Roman"/>
          <w:color w:val="0000FF"/>
          <w:kern w:val="2"/>
        </w:rPr>
        <w:t>淮南市谢家集区朱集中型灌区续建配套与节水改造项目</w:t>
      </w:r>
      <w:r>
        <w:rPr>
          <w:rFonts w:cs="Times New Roman"/>
          <w:color w:val="0000FF"/>
          <w:kern w:val="2"/>
        </w:rPr>
        <w:t>三期</w:t>
      </w:r>
      <w:r>
        <w:rPr>
          <w:rFonts w:cs="Times New Roman"/>
          <w:color w:val="0000FF"/>
        </w:rPr>
        <w:t>符合</w:t>
      </w:r>
      <w:r>
        <w:rPr>
          <w:rFonts w:hint="eastAsia" w:cs="Times New Roman"/>
          <w:color w:val="0000FF"/>
        </w:rPr>
        <w:t>“</w:t>
      </w:r>
      <w:r>
        <w:rPr>
          <w:rFonts w:cs="Times New Roman"/>
          <w:color w:val="0000FF"/>
        </w:rPr>
        <w:t>将史灌河、淠河纳入防洪工程体系规划中淮南主要支流河道治理规划，规划要求‘按防洪20年一遇、除涝3～5年一遇标准’</w:t>
      </w:r>
      <w:r>
        <w:rPr>
          <w:rFonts w:hint="eastAsia" w:cs="Times New Roman"/>
          <w:color w:val="0000FF"/>
        </w:rPr>
        <w:t>”</w:t>
      </w:r>
      <w:r>
        <w:rPr>
          <w:rFonts w:cs="Times New Roman"/>
          <w:color w:val="0000FF"/>
        </w:rPr>
        <w:t>，与《淮河流域防洪规划》相符。</w:t>
      </w:r>
    </w:p>
    <w:p w14:paraId="5DFD0D2F">
      <w:pPr>
        <w:ind w:firstLine="480"/>
        <w:rPr>
          <w:rFonts w:cs="Times New Roman"/>
          <w:color w:val="0000FF"/>
        </w:rPr>
      </w:pPr>
      <w:r>
        <w:rPr>
          <w:rFonts w:cs="Times New Roman"/>
          <w:color w:val="0000FF"/>
        </w:rPr>
        <w:t>项目与《淮河生态经济带发展规划》（2018年）、《长江流域综合规划》、《淮河流域防洪规划》、《巢湖流域防洪规划》、《安徽省中西部重点区域及</w:t>
      </w:r>
      <w:r>
        <w:rPr>
          <w:rFonts w:hint="eastAsia" w:cs="Times New Roman"/>
          <w:color w:val="0000FF"/>
          <w:lang w:eastAsia="zh-CN"/>
        </w:rPr>
        <w:t>朱集灌区</w:t>
      </w:r>
      <w:r>
        <w:rPr>
          <w:rFonts w:cs="Times New Roman"/>
          <w:color w:val="0000FF"/>
        </w:rPr>
        <w:t>水量分配方案》、《安徽省国民经济和社会发展第十四个五年规划和2035年远景目标纲要》、《</w:t>
      </w:r>
      <w:r>
        <w:rPr>
          <w:rFonts w:hint="eastAsia" w:cs="Times New Roman"/>
          <w:color w:val="0000FF"/>
        </w:rPr>
        <w:t>“</w:t>
      </w:r>
      <w:r>
        <w:rPr>
          <w:rFonts w:cs="Times New Roman"/>
          <w:color w:val="0000FF"/>
        </w:rPr>
        <w:t>十四五</w:t>
      </w:r>
      <w:r>
        <w:rPr>
          <w:rFonts w:hint="eastAsia" w:cs="Times New Roman"/>
          <w:color w:val="0000FF"/>
        </w:rPr>
        <w:t>”</w:t>
      </w:r>
      <w:r>
        <w:rPr>
          <w:rFonts w:cs="Times New Roman"/>
          <w:color w:val="0000FF"/>
        </w:rPr>
        <w:t>重大农业节水供水工程实施方案》等有关规定相符合。</w:t>
      </w:r>
    </w:p>
    <w:p w14:paraId="6D691225">
      <w:pPr>
        <w:pStyle w:val="4"/>
        <w:rPr>
          <w:rFonts w:cs="Times New Roman"/>
          <w:color w:val="0000FF"/>
        </w:rPr>
      </w:pPr>
      <w:r>
        <w:rPr>
          <w:rFonts w:cs="Times New Roman"/>
          <w:color w:val="0000FF"/>
        </w:rPr>
        <w:t>10.2.3 与</w:t>
      </w:r>
      <w:r>
        <w:rPr>
          <w:rFonts w:hint="eastAsia" w:cs="Times New Roman"/>
          <w:color w:val="0000FF"/>
        </w:rPr>
        <w:t>“</w:t>
      </w:r>
      <w:r>
        <w:rPr>
          <w:rFonts w:cs="Times New Roman"/>
          <w:color w:val="0000FF"/>
        </w:rPr>
        <w:t>三线一单</w:t>
      </w:r>
      <w:r>
        <w:rPr>
          <w:rFonts w:hint="eastAsia" w:cs="Times New Roman"/>
          <w:color w:val="0000FF"/>
        </w:rPr>
        <w:t>”</w:t>
      </w:r>
      <w:r>
        <w:rPr>
          <w:rFonts w:cs="Times New Roman"/>
          <w:color w:val="0000FF"/>
        </w:rPr>
        <w:t>的符合性分析</w:t>
      </w:r>
    </w:p>
    <w:p w14:paraId="5E6917A4">
      <w:pPr>
        <w:ind w:firstLine="480"/>
        <w:rPr>
          <w:rFonts w:cs="Times New Roman"/>
          <w:color w:val="0000FF"/>
        </w:rPr>
      </w:pPr>
      <w:r>
        <w:rPr>
          <w:rFonts w:cs="Times New Roman"/>
          <w:snapToGrid w:val="0"/>
          <w:color w:val="0000FF"/>
        </w:rPr>
        <w:t>根据安徽省人民政府发布《安徽省生态保护红线》，</w:t>
      </w:r>
      <w:r>
        <w:rPr>
          <w:rFonts w:cs="Times New Roman"/>
          <w:color w:val="0000FF"/>
        </w:rPr>
        <w:t>本项目淠河总干渠上段续建配套与现代化改造工程、淠河总干渠樊通桥渠下涵拆除重建工程、淠河总干渠下段切岭段整治工程、潜南干渠聚星渡槽改造工程、滁河干渠总局直管段续建配套与现代化改造工程、滁河干渠瞿岗等6座渠下涵拆除重建工程合计6个工程涉及水土保持生态红线，淠河总干渠、滁河干渠以及潜南干渠本身位于红线范围内，由于原有工程的建设位置已经固定，出现问题的工程区段不具有人为选择性，这就决定了本项目涉及的单项工程的位置基本固定，不具有选择性。本项目单项工程在实施方案的的基础上，针对实施方案提出的问题，进一步补充和优化工程场址和线路的比较。对于原有工程已位于生态保护红线内的单项工程，涉及占用生态保护红线确实难以避让，且本次项目建设不涉及新增永久占地，不新增占用生态保护红线面积。项目建设对生态保护红线的影响主要在施工期，通过加强施工管理及采取相关保护措施后可将本项目对生态保护红线的影响降至最低。</w:t>
      </w:r>
    </w:p>
    <w:p w14:paraId="3F29DEE6">
      <w:pPr>
        <w:ind w:firstLine="480"/>
        <w:rPr>
          <w:rFonts w:cs="Times New Roman"/>
          <w:color w:val="0000FF"/>
        </w:rPr>
      </w:pPr>
      <w:r>
        <w:rPr>
          <w:rFonts w:cs="Times New Roman"/>
          <w:color w:val="0000FF"/>
        </w:rPr>
        <w:t>项目所在区域地表水环境、地下水环境、大气环境、声环境、底泥环境和土壤环境均满足相应标准，本项目建设不会导致区域环境质量降低，与环境质量底线相符合。</w:t>
      </w:r>
    </w:p>
    <w:p w14:paraId="2D556587">
      <w:pPr>
        <w:ind w:firstLine="480"/>
        <w:rPr>
          <w:rFonts w:cs="Times New Roman"/>
          <w:color w:val="0000FF"/>
        </w:rPr>
      </w:pPr>
      <w:r>
        <w:rPr>
          <w:rFonts w:cs="Times New Roman"/>
          <w:color w:val="0000FF"/>
        </w:rPr>
        <w:t>项目建设不会突破资源利用上限，同时项目建设与相关的法律法规相符合，不在环境准入负面清单范围内。</w:t>
      </w:r>
    </w:p>
    <w:p w14:paraId="12DCE66F">
      <w:pPr>
        <w:ind w:firstLine="480"/>
        <w:rPr>
          <w:rFonts w:cs="Times New Roman"/>
          <w:color w:val="0000FF"/>
        </w:rPr>
      </w:pPr>
      <w:r>
        <w:rPr>
          <w:rFonts w:cs="Times New Roman"/>
          <w:color w:val="0000FF"/>
        </w:rPr>
        <w:t>综上分析，本工程项目建设与</w:t>
      </w:r>
      <w:r>
        <w:rPr>
          <w:rFonts w:hint="eastAsia" w:cs="Times New Roman"/>
          <w:color w:val="0000FF"/>
        </w:rPr>
        <w:t>“</w:t>
      </w:r>
      <w:r>
        <w:rPr>
          <w:rFonts w:cs="Times New Roman"/>
          <w:color w:val="0000FF"/>
        </w:rPr>
        <w:t>三线一单</w:t>
      </w:r>
      <w:r>
        <w:rPr>
          <w:rFonts w:hint="eastAsia" w:cs="Times New Roman"/>
          <w:color w:val="0000FF"/>
        </w:rPr>
        <w:t>”</w:t>
      </w:r>
      <w:r>
        <w:rPr>
          <w:rFonts w:cs="Times New Roman"/>
          <w:color w:val="0000FF"/>
        </w:rPr>
        <w:t>相符合。</w:t>
      </w:r>
    </w:p>
    <w:p w14:paraId="6D60C1FA">
      <w:pPr>
        <w:pStyle w:val="3"/>
        <w:rPr>
          <w:rFonts w:cs="Times New Roman"/>
          <w:color w:val="0000FF"/>
        </w:rPr>
      </w:pPr>
      <w:bookmarkStart w:id="99" w:name="_Toc19616"/>
      <w:r>
        <w:rPr>
          <w:rFonts w:cs="Times New Roman"/>
          <w:color w:val="0000FF"/>
        </w:rPr>
        <w:t>10.3 环境质量现状评价</w:t>
      </w:r>
      <w:bookmarkEnd w:id="99"/>
    </w:p>
    <w:p w14:paraId="100CF341">
      <w:pPr>
        <w:ind w:firstLine="480"/>
        <w:rPr>
          <w:rFonts w:cs="Times New Roman"/>
          <w:color w:val="0000FF"/>
          <w:kern w:val="2"/>
        </w:rPr>
      </w:pPr>
      <w:r>
        <w:rPr>
          <w:rFonts w:cs="Times New Roman"/>
          <w:color w:val="0000FF"/>
          <w:kern w:val="2"/>
        </w:rPr>
        <w:t>根据</w:t>
      </w:r>
      <w:r>
        <w:rPr>
          <w:rFonts w:cs="Times New Roman"/>
          <w:color w:val="0000FF"/>
        </w:rPr>
        <w:t>合肥市生态环境局《2022年合肥市环境状况公报》、六安市生态环境局《2022年六安市环境质量公报》和淮南市生态环境局《2022年淮南市环境质量状况公报》</w:t>
      </w:r>
      <w:r>
        <w:rPr>
          <w:rFonts w:cs="Times New Roman"/>
          <w:color w:val="0000FF"/>
          <w:kern w:val="2"/>
        </w:rPr>
        <w:t>，以及</w:t>
      </w:r>
      <w:r>
        <w:rPr>
          <w:rFonts w:cs="Times New Roman"/>
          <w:color w:val="0000FF"/>
        </w:rPr>
        <w:t>六安市生态环境局提供的龙河口水库、梅山水库、淠河总干渠近三年的监测数据，</w:t>
      </w:r>
      <w:r>
        <w:rPr>
          <w:rFonts w:cs="Times New Roman"/>
          <w:color w:val="0000FF"/>
          <w:kern w:val="2"/>
        </w:rPr>
        <w:t>项目所在区域地表水环境</w:t>
      </w:r>
      <w:r>
        <w:rPr>
          <w:rFonts w:cs="Times New Roman"/>
          <w:color w:val="0000FF"/>
        </w:rPr>
        <w:t>均满足相应功能目标要求，补充地表水环境质量现状监测表明大部分监测点地表水均满足</w:t>
      </w:r>
      <w:r>
        <w:rPr>
          <w:rFonts w:cs="Times New Roman"/>
          <w:color w:val="0000FF"/>
          <w:kern w:val="2"/>
        </w:rPr>
        <w:t>《地表水环境质量标准》（GB 3838-2002）中相应质量标准。</w:t>
      </w:r>
    </w:p>
    <w:p w14:paraId="7E2FF6CB">
      <w:pPr>
        <w:ind w:firstLine="480"/>
        <w:rPr>
          <w:rFonts w:cs="Times New Roman"/>
          <w:color w:val="0000FF"/>
        </w:rPr>
      </w:pPr>
      <w:r>
        <w:rPr>
          <w:rFonts w:cs="Times New Roman"/>
          <w:color w:val="0000FF"/>
          <w:kern w:val="2"/>
        </w:rPr>
        <w:t>根据区域环境空气质量达标情况调查，各工程所在区域基本因子二氧化硫、二氧化氮、一氧化碳、臭氧满足《环境空气质量标准》（GB3095-2012）中的二级标准；合肥市、淮南市、六安市基本因子PM</w:t>
      </w:r>
      <w:r>
        <w:rPr>
          <w:rFonts w:cs="Times New Roman"/>
          <w:color w:val="0000FF"/>
          <w:kern w:val="2"/>
          <w:vertAlign w:val="subscript"/>
        </w:rPr>
        <w:t>2.5</w:t>
      </w:r>
      <w:r>
        <w:rPr>
          <w:rFonts w:cs="Times New Roman"/>
          <w:color w:val="0000FF"/>
          <w:kern w:val="2"/>
        </w:rPr>
        <w:t>年均值不满足《环境空气质量标准》（GB3095-2012）中的二级标准，淮南市PM</w:t>
      </w:r>
      <w:r>
        <w:rPr>
          <w:rFonts w:cs="Times New Roman"/>
          <w:color w:val="0000FF"/>
          <w:kern w:val="2"/>
          <w:vertAlign w:val="subscript"/>
        </w:rPr>
        <w:t>10</w:t>
      </w:r>
      <w:r>
        <w:rPr>
          <w:rFonts w:cs="Times New Roman"/>
          <w:color w:val="0000FF"/>
          <w:kern w:val="2"/>
        </w:rPr>
        <w:t>年均值不满足《环境空气质量标准》（GB3095-2012）中的二级标准。因此合肥市、六安市、淮南市环境空气质量为不达标区</w:t>
      </w:r>
      <w:r>
        <w:rPr>
          <w:rFonts w:cs="Times New Roman"/>
          <w:snapToGrid w:val="0"/>
          <w:color w:val="0000FF"/>
        </w:rPr>
        <w:t>；根据项目特征因子</w:t>
      </w:r>
      <w:r>
        <w:rPr>
          <w:rFonts w:cs="Times New Roman"/>
          <w:color w:val="0000FF"/>
        </w:rPr>
        <w:t>TSP、氨和硫化氢的现状监测结果，TSP满足《环境空气质量标准》（GB3095-2012）中二级标准、氨和硫化氢满足《环境影响评价大气导则大气环境》HJ2.2-2018附录D相应标准限值要求，非甲烷总烃现状监测结果满足《大气污染物综合排放标准详解》中的标准相关标准限值（2.0mg/m</w:t>
      </w:r>
      <w:r>
        <w:rPr>
          <w:rFonts w:cs="Times New Roman"/>
          <w:color w:val="0000FF"/>
          <w:vertAlign w:val="superscript"/>
        </w:rPr>
        <w:t>3</w:t>
      </w:r>
      <w:r>
        <w:rPr>
          <w:rFonts w:cs="Times New Roman"/>
          <w:color w:val="0000FF"/>
        </w:rPr>
        <w:t>）。</w:t>
      </w:r>
    </w:p>
    <w:p w14:paraId="45263F72">
      <w:pPr>
        <w:ind w:firstLine="480"/>
        <w:rPr>
          <w:rFonts w:cs="Times New Roman"/>
          <w:color w:val="0000FF"/>
          <w:kern w:val="2"/>
        </w:rPr>
      </w:pPr>
      <w:r>
        <w:rPr>
          <w:rFonts w:cs="Times New Roman"/>
          <w:color w:val="0000FF"/>
          <w:kern w:val="2"/>
        </w:rPr>
        <w:t>项目所在区域</w:t>
      </w:r>
      <w:r>
        <w:rPr>
          <w:rFonts w:cs="Times New Roman"/>
          <w:snapToGrid w:val="0"/>
          <w:color w:val="0000FF"/>
        </w:rPr>
        <w:t>各个声环境监测点昼、夜间噪声值均满足</w:t>
      </w:r>
      <w:r>
        <w:rPr>
          <w:rFonts w:cs="Times New Roman"/>
          <w:color w:val="0000FF"/>
          <w:kern w:val="2"/>
        </w:rPr>
        <w:t>《声环境质量标准》（GB3096-2008）</w:t>
      </w:r>
      <w:r>
        <w:rPr>
          <w:rFonts w:cs="Times New Roman"/>
          <w:snapToGrid w:val="0"/>
          <w:color w:val="0000FF"/>
        </w:rPr>
        <w:t>中相应标准要求，区域声环境质量良好。</w:t>
      </w:r>
    </w:p>
    <w:p w14:paraId="36B25AB2">
      <w:pPr>
        <w:ind w:firstLine="480"/>
        <w:rPr>
          <w:rFonts w:cs="Times New Roman"/>
          <w:snapToGrid w:val="0"/>
          <w:color w:val="0000FF"/>
        </w:rPr>
      </w:pPr>
      <w:r>
        <w:rPr>
          <w:rFonts w:cs="Times New Roman"/>
          <w:color w:val="0000FF"/>
          <w:kern w:val="2"/>
        </w:rPr>
        <w:t>项目区底泥监测点的底质Cu、Pb、Zn、Hg、Cr、Cd、As及Ni共8个监测因子均满足</w:t>
      </w:r>
      <w:r>
        <w:rPr>
          <w:rFonts w:cs="Times New Roman"/>
          <w:snapToGrid w:val="0"/>
          <w:color w:val="0000FF"/>
        </w:rPr>
        <w:t>《土壤环境质量标准农用地土壤污染风险管控标准（试行）》（GB15618-2018）相应限值要求，表明渠道底泥环境质量良好。</w:t>
      </w:r>
    </w:p>
    <w:p w14:paraId="5932E60D">
      <w:pPr>
        <w:ind w:firstLine="480"/>
        <w:rPr>
          <w:rFonts w:cs="Times New Roman"/>
          <w:color w:val="0000FF"/>
          <w:kern w:val="2"/>
          <w:szCs w:val="20"/>
        </w:rPr>
      </w:pPr>
      <w:r>
        <w:rPr>
          <w:rFonts w:cs="Times New Roman"/>
          <w:color w:val="0000FF"/>
          <w:kern w:val="2"/>
          <w:szCs w:val="20"/>
        </w:rPr>
        <w:t>生态环境系统现状调查分析表明，工程涉及的区域为平原地貌，主要有以农田生态系统、湿地生态系统、灌草地生态系统、以阔叶林为主的林地生态系统和城市生态系统。</w:t>
      </w:r>
    </w:p>
    <w:p w14:paraId="10A81648">
      <w:pPr>
        <w:pStyle w:val="3"/>
        <w:rPr>
          <w:rFonts w:cs="Times New Roman"/>
          <w:color w:val="0000FF"/>
        </w:rPr>
      </w:pPr>
      <w:bookmarkStart w:id="100" w:name="_Toc1646"/>
      <w:r>
        <w:rPr>
          <w:rFonts w:cs="Times New Roman"/>
          <w:color w:val="0000FF"/>
        </w:rPr>
        <w:t>10.4 环境影响评价与环境保护措施</w:t>
      </w:r>
      <w:bookmarkEnd w:id="100"/>
    </w:p>
    <w:p w14:paraId="53C343A0">
      <w:pPr>
        <w:pStyle w:val="4"/>
        <w:rPr>
          <w:rFonts w:cs="Times New Roman"/>
          <w:color w:val="0000FF"/>
        </w:rPr>
      </w:pPr>
      <w:r>
        <w:rPr>
          <w:rFonts w:cs="Times New Roman"/>
          <w:color w:val="0000FF"/>
        </w:rPr>
        <w:t>10.2.1 与相关法律、法规、规章及产业政策的符合性分析</w:t>
      </w:r>
    </w:p>
    <w:p w14:paraId="1A580BB4">
      <w:pPr>
        <w:ind w:firstLine="480"/>
        <w:rPr>
          <w:rFonts w:cs="Times New Roman"/>
          <w:color w:val="0000FF"/>
          <w:kern w:val="2"/>
        </w:rPr>
      </w:pPr>
      <w:r>
        <w:rPr>
          <w:rFonts w:hint="eastAsia" w:cs="Times New Roman"/>
          <w:color w:val="0000FF"/>
          <w:kern w:val="2"/>
        </w:rPr>
        <w:t>淮南市谢家集区朱集中型灌区续建配套与节水改造项目</w:t>
      </w:r>
      <w:r>
        <w:rPr>
          <w:rFonts w:cs="Times New Roman"/>
          <w:color w:val="0000FF"/>
          <w:kern w:val="2"/>
        </w:rPr>
        <w:t>三期属于水利基础设施建设项目，与《中华人民共和国水法》相符合；</w:t>
      </w:r>
    </w:p>
    <w:p w14:paraId="008AC6E2">
      <w:pPr>
        <w:ind w:firstLine="480"/>
        <w:rPr>
          <w:rFonts w:cs="Times New Roman"/>
          <w:color w:val="0000FF"/>
          <w:kern w:val="2"/>
        </w:rPr>
      </w:pPr>
      <w:r>
        <w:rPr>
          <w:rFonts w:cs="Times New Roman"/>
          <w:color w:val="0000FF"/>
        </w:rPr>
        <w:t>项目淠东干渠等属于淮河冲积平原，</w:t>
      </w:r>
      <w:r>
        <w:rPr>
          <w:rFonts w:cs="Times New Roman"/>
          <w:color w:val="0000FF"/>
          <w:kern w:val="2"/>
        </w:rPr>
        <w:t>本工程建设有利于提高项目所在区域的防洪能力，故与《中华人民共和国防洪法》相符合；</w:t>
      </w:r>
    </w:p>
    <w:p w14:paraId="0BB1E5FC">
      <w:pPr>
        <w:ind w:firstLine="480"/>
        <w:rPr>
          <w:rFonts w:cs="Times New Roman"/>
          <w:color w:val="0000FF"/>
          <w:kern w:val="2"/>
        </w:rPr>
      </w:pPr>
      <w:r>
        <w:rPr>
          <w:rFonts w:cs="Times New Roman"/>
          <w:color w:val="0000FF"/>
          <w:kern w:val="2"/>
        </w:rPr>
        <w:t>工程建设有利于保护安丰塘、，施工期采取有效的保护措施，与</w:t>
      </w:r>
      <w:r>
        <w:rPr>
          <w:rFonts w:cs="Times New Roman"/>
          <w:color w:val="0000FF"/>
        </w:rPr>
        <w:t>《中华人民共和国文物保护法》</w:t>
      </w:r>
      <w:r>
        <w:rPr>
          <w:rFonts w:cs="Times New Roman"/>
          <w:color w:val="0000FF"/>
          <w:kern w:val="2"/>
        </w:rPr>
        <w:t>相符合；</w:t>
      </w:r>
    </w:p>
    <w:p w14:paraId="73039841">
      <w:pPr>
        <w:ind w:firstLine="480"/>
        <w:rPr>
          <w:rFonts w:cs="Times New Roman"/>
          <w:color w:val="0000FF"/>
        </w:rPr>
      </w:pPr>
      <w:r>
        <w:rPr>
          <w:rFonts w:cs="Times New Roman"/>
          <w:color w:val="0000FF"/>
          <w:kern w:val="2"/>
        </w:rPr>
        <w:t>聚星渡槽工程建设符合三级保护区要求，符合</w:t>
      </w:r>
      <w:r>
        <w:rPr>
          <w:rFonts w:cs="Times New Roman"/>
          <w:color w:val="0000FF"/>
        </w:rPr>
        <w:t>《总体规划》</w:t>
      </w:r>
      <w:r>
        <w:rPr>
          <w:rFonts w:cs="Times New Roman"/>
          <w:color w:val="0000FF"/>
          <w:kern w:val="2"/>
        </w:rPr>
        <w:t>，工程主体</w:t>
      </w:r>
      <w:r>
        <w:rPr>
          <w:rFonts w:hint="eastAsia" w:cs="Times New Roman"/>
          <w:color w:val="0000FF"/>
          <w:kern w:val="2"/>
        </w:rPr>
        <w:t>与</w:t>
      </w:r>
      <w:r>
        <w:rPr>
          <w:rFonts w:cs="Times New Roman"/>
          <w:color w:val="0000FF"/>
        </w:rPr>
        <w:t>周边景观相协调，施工期不涉及开山、采石等活动，肥西县紫蓬山旅游开发区管理委员已</w:t>
      </w:r>
      <w:r>
        <w:rPr>
          <w:rFonts w:hint="eastAsia" w:cs="Times New Roman"/>
          <w:color w:val="0000FF"/>
        </w:rPr>
        <w:t>出具</w:t>
      </w:r>
      <w:r>
        <w:rPr>
          <w:rFonts w:cs="Times New Roman"/>
          <w:color w:val="0000FF"/>
        </w:rPr>
        <w:t>《肥西县紫蓬山旅游开发区管理委员会关于潜南干渠聚星渡槽改造工程涉及占用回复意见》，同意项目建设，工程符合《风景名胜区条例》；</w:t>
      </w:r>
    </w:p>
    <w:p w14:paraId="24817034">
      <w:pPr>
        <w:ind w:firstLine="480"/>
        <w:rPr>
          <w:rFonts w:cs="Times New Roman"/>
          <w:color w:val="0000FF"/>
        </w:rPr>
      </w:pPr>
      <w:r>
        <w:rPr>
          <w:rFonts w:cs="Times New Roman"/>
          <w:color w:val="0000FF"/>
        </w:rPr>
        <w:t>工程不直接占用安徽紫蓬山国家森林公园、安徽六安，工程施工期采取临时占地选址避让生态敏感区、不在区内挖砂、取土、弃置固废等措施后，符合《安徽省森林公园管理条例》、《中华人民共和国湿地保护法》、《安徽管理办法》；</w:t>
      </w:r>
    </w:p>
    <w:p w14:paraId="6CE43AE2">
      <w:pPr>
        <w:ind w:firstLine="480"/>
        <w:rPr>
          <w:rFonts w:cs="Times New Roman"/>
          <w:color w:val="0000FF"/>
        </w:rPr>
      </w:pPr>
      <w:r>
        <w:rPr>
          <w:rFonts w:cs="Times New Roman"/>
          <w:color w:val="0000FF"/>
        </w:rPr>
        <w:t>本次位于饮用水水源一级保护区内的工程均为保护水源的工程，其他工程均不设置排污口，不新增污染物排放，施工期废水回用，工程符合《中华人民共和国水污染防治法》、《安徽省饮用水水源环境保护条例》、《关于&lt;水污染防治法&gt;中饮用水水源保护有关规定进行法律解释有关意见的复函》；</w:t>
      </w:r>
    </w:p>
    <w:p w14:paraId="50C653AB">
      <w:pPr>
        <w:ind w:firstLine="480"/>
        <w:rPr>
          <w:rFonts w:cs="Times New Roman"/>
          <w:kern w:val="2"/>
        </w:rPr>
      </w:pPr>
      <w:r>
        <w:rPr>
          <w:rFonts w:cs="Times New Roman"/>
        </w:rPr>
        <w:t>工程</w:t>
      </w:r>
      <w:r>
        <w:rPr>
          <w:rFonts w:cs="Times New Roman"/>
          <w:kern w:val="2"/>
        </w:rPr>
        <w:t>本工程为《产业结构调整指导目录》（20</w:t>
      </w:r>
      <w:r>
        <w:rPr>
          <w:rFonts w:hint="eastAsia" w:cs="Times New Roman"/>
          <w:kern w:val="2"/>
        </w:rPr>
        <w:t>24</w:t>
      </w:r>
      <w:r>
        <w:rPr>
          <w:rFonts w:cs="Times New Roman"/>
          <w:kern w:val="2"/>
        </w:rPr>
        <w:t>年本）中</w:t>
      </w:r>
      <w:r>
        <w:rPr>
          <w:rFonts w:hint="eastAsia" w:cs="Times New Roman"/>
          <w:kern w:val="2"/>
        </w:rPr>
        <w:t>“</w:t>
      </w:r>
      <w:r>
        <w:rPr>
          <w:rFonts w:cs="Times New Roman"/>
        </w:rPr>
        <w:t>鼓励类 二、水利—</w:t>
      </w:r>
      <w:r>
        <w:rPr>
          <w:rFonts w:hint="eastAsia" w:cs="Times New Roman"/>
        </w:rPr>
        <w:t>2</w:t>
      </w:r>
      <w:r>
        <w:rPr>
          <w:rFonts w:cs="Times New Roman"/>
        </w:rPr>
        <w:t>、</w:t>
      </w:r>
      <w:r>
        <w:rPr>
          <w:rFonts w:hint="eastAsia" w:cs="Times New Roman"/>
        </w:rPr>
        <w:t>节水供水工程”</w:t>
      </w:r>
      <w:r>
        <w:rPr>
          <w:rFonts w:cs="Times New Roman"/>
          <w:kern w:val="2"/>
        </w:rPr>
        <w:t>，属</w:t>
      </w:r>
      <w:r>
        <w:rPr>
          <w:rFonts w:hint="eastAsia" w:cs="Times New Roman"/>
          <w:kern w:val="2"/>
        </w:rPr>
        <w:t>“</w:t>
      </w:r>
      <w:r>
        <w:rPr>
          <w:rFonts w:cs="Times New Roman"/>
          <w:kern w:val="2"/>
        </w:rPr>
        <w:t>鼓励类</w:t>
      </w:r>
      <w:r>
        <w:rPr>
          <w:rFonts w:hint="eastAsia" w:cs="Times New Roman"/>
          <w:kern w:val="2"/>
        </w:rPr>
        <w:t>”</w:t>
      </w:r>
      <w:r>
        <w:rPr>
          <w:rFonts w:cs="Times New Roman"/>
          <w:kern w:val="2"/>
        </w:rPr>
        <w:t>项目。</w:t>
      </w:r>
    </w:p>
    <w:p w14:paraId="003A3284">
      <w:pPr>
        <w:pStyle w:val="4"/>
        <w:rPr>
          <w:rFonts w:cs="Times New Roman"/>
          <w:color w:val="0000FF"/>
        </w:rPr>
      </w:pPr>
      <w:r>
        <w:rPr>
          <w:rFonts w:cs="Times New Roman"/>
          <w:color w:val="0000FF"/>
        </w:rPr>
        <w:t>10.4.1 水文情势</w:t>
      </w:r>
    </w:p>
    <w:p w14:paraId="381FCA6C">
      <w:pPr>
        <w:rPr>
          <w:rFonts w:cs="Times New Roman"/>
          <w:color w:val="0000FF"/>
        </w:rPr>
      </w:pPr>
      <w:r>
        <w:rPr>
          <w:rFonts w:cs="Times New Roman"/>
          <w:color w:val="0000FF"/>
        </w:rPr>
        <w:t>施工期围堰截断的水体基本为灌溉渠道，施工期现状无水或有水无流，施工时间较短，施工完成后即恢复连通；天然水体基本通过涵管，不断流。遇来水较大时暂停施工，退水后复工，施工期对灌区地表水水文情势影响较小；</w:t>
      </w:r>
    </w:p>
    <w:p w14:paraId="7F74C531">
      <w:pPr>
        <w:rPr>
          <w:rFonts w:cs="Times New Roman"/>
          <w:color w:val="0000FF"/>
        </w:rPr>
      </w:pPr>
      <w:r>
        <w:rPr>
          <w:rFonts w:cs="Times New Roman"/>
          <w:color w:val="0000FF"/>
        </w:rPr>
        <w:t>运行期渠道工程改善的灌区的输水条件，输水能力有所增加，但是不改变渠道的走势，渠道断面变化较小，与设计断面一致，保障了干支渠合理流量、水位、流速、坡降和边坡，使干支渠水体具有了流动性，渠道水文情势均达到原设计要求，复核过流能力均大于设计流量，对</w:t>
      </w:r>
      <w:r>
        <w:rPr>
          <w:rFonts w:hint="eastAsia" w:cs="Times New Roman"/>
          <w:color w:val="0000FF"/>
          <w:lang w:eastAsia="zh-CN"/>
        </w:rPr>
        <w:t>朱集灌区</w:t>
      </w:r>
      <w:r>
        <w:rPr>
          <w:rFonts w:cs="Times New Roman"/>
          <w:color w:val="0000FF"/>
        </w:rPr>
        <w:t>干支渠水文情势影响较小；</w:t>
      </w:r>
    </w:p>
    <w:p w14:paraId="2CFC7DA6">
      <w:pPr>
        <w:rPr>
          <w:rFonts w:cs="Times New Roman"/>
          <w:color w:val="0000FF"/>
        </w:rPr>
      </w:pPr>
      <w:r>
        <w:rPr>
          <w:rFonts w:cs="Times New Roman"/>
          <w:color w:val="0000FF"/>
        </w:rPr>
        <w:t>运行期建筑物工程主要在原址上进行，工程涉及的建筑物复核过流能力均大于或等于建筑物的设计流量，不会造成雍水现象，本项目的实施对灌区渠道的水文情势有利；</w:t>
      </w:r>
    </w:p>
    <w:p w14:paraId="41A9E719">
      <w:pPr>
        <w:rPr>
          <w:rFonts w:cs="Times New Roman"/>
          <w:color w:val="0000FF"/>
        </w:rPr>
      </w:pPr>
      <w:r>
        <w:rPr>
          <w:rFonts w:cs="Times New Roman"/>
          <w:color w:val="0000FF"/>
        </w:rPr>
        <w:t>新建节制闸工程所在支渠流量较小，主要功能为灌溉，无特殊生态需水要求，且节制闸水闸过流能力满足设计要求，节制闸正常运行期间，上下游水位变化较小，对渠道水文</w:t>
      </w:r>
      <w:r>
        <w:rPr>
          <w:rFonts w:hint="eastAsia" w:cs="Times New Roman"/>
          <w:color w:val="0000FF"/>
        </w:rPr>
        <w:t>情势</w:t>
      </w:r>
      <w:r>
        <w:rPr>
          <w:rFonts w:cs="Times New Roman"/>
          <w:color w:val="0000FF"/>
        </w:rPr>
        <w:t>影响较小。</w:t>
      </w:r>
    </w:p>
    <w:p w14:paraId="696C7A5D">
      <w:pPr>
        <w:rPr>
          <w:rFonts w:cs="Times New Roman"/>
          <w:color w:val="0000FF"/>
        </w:rPr>
      </w:pPr>
      <w:r>
        <w:rPr>
          <w:rFonts w:cs="Times New Roman"/>
          <w:color w:val="0000FF"/>
        </w:rPr>
        <w:t>新建进水闸所在支渠流量较小，新建进水闸可以更好的调控水资源，提高用水效率，支渠、水库主要功能均为灌溉，无特殊生态需水要求，进水闸根据灌溉需求启闭，关闭时间较短，渠道非灌溉期常年无水，整体对程段水库、大高支渠水文情势影响不大；</w:t>
      </w:r>
    </w:p>
    <w:p w14:paraId="05776628">
      <w:pPr>
        <w:rPr>
          <w:rFonts w:cs="Times New Roman"/>
          <w:color w:val="0000FF"/>
        </w:rPr>
      </w:pPr>
      <w:r>
        <w:rPr>
          <w:rFonts w:cs="Times New Roman"/>
          <w:color w:val="0000FF"/>
        </w:rPr>
        <w:t>新建交通桥渠岸两侧桥墩与坡面的接触点接近最高设计水位，正常运行状态下，对渠道运行时流速、流量以及水位影响较小；</w:t>
      </w:r>
    </w:p>
    <w:p w14:paraId="4C7F41D8">
      <w:pPr>
        <w:rPr>
          <w:rFonts w:cs="Times New Roman"/>
          <w:color w:val="0000FF"/>
        </w:rPr>
      </w:pPr>
      <w:r>
        <w:rPr>
          <w:rFonts w:cs="Times New Roman"/>
          <w:color w:val="0000FF"/>
        </w:rPr>
        <w:t>新建放水涵放水量相对于沣东干渠渠道流量极小，对沣东干渠灌溉用水流速、流量以及水位影响较小；</w:t>
      </w:r>
    </w:p>
    <w:p w14:paraId="5EE2750A">
      <w:pPr>
        <w:autoSpaceDE w:val="0"/>
        <w:autoSpaceDN w:val="0"/>
        <w:ind w:firstLine="480"/>
        <w:rPr>
          <w:rFonts w:cs="Times New Roman"/>
          <w:color w:val="0000FF"/>
          <w:sz w:val="20"/>
          <w:szCs w:val="20"/>
        </w:rPr>
      </w:pPr>
      <w:r>
        <w:rPr>
          <w:rFonts w:cs="Times New Roman"/>
          <w:color w:val="0000FF"/>
        </w:rPr>
        <w:t>本次治理工程后，</w:t>
      </w:r>
      <w:r>
        <w:rPr>
          <w:rFonts w:hint="eastAsia" w:cs="Times New Roman"/>
          <w:color w:val="0000FF"/>
          <w:lang w:eastAsia="zh-CN"/>
        </w:rPr>
        <w:t>朱集灌区</w:t>
      </w:r>
      <w:r>
        <w:rPr>
          <w:rFonts w:cs="Times New Roman"/>
          <w:color w:val="0000FF"/>
        </w:rPr>
        <w:t>防洪</w:t>
      </w:r>
      <w:r>
        <w:rPr>
          <w:rFonts w:cs="Times New Roman"/>
          <w:color w:val="0000FF"/>
          <w:kern w:val="2"/>
        </w:rPr>
        <w:t>能力</w:t>
      </w:r>
      <w:r>
        <w:rPr>
          <w:rFonts w:cs="Times New Roman"/>
          <w:color w:val="0000FF"/>
        </w:rPr>
        <w:t>较工程实施前有所提升；不进行渠道拓宽，渠道过流断面扩大，汛期流速略有增加，渠道过流能力提高，水位较工程实施前有所降低。总体上，本次渠道治理工程实施对</w:t>
      </w:r>
      <w:r>
        <w:rPr>
          <w:rFonts w:hint="eastAsia" w:cs="Times New Roman"/>
          <w:color w:val="0000FF"/>
          <w:lang w:eastAsia="zh-CN"/>
        </w:rPr>
        <w:t>朱集灌区</w:t>
      </w:r>
      <w:r>
        <w:rPr>
          <w:rFonts w:cs="Times New Roman"/>
          <w:color w:val="0000FF"/>
        </w:rPr>
        <w:t>的水文情势影响较小，非汛期对渠道水文情势基本无影响，汛期提高了</w:t>
      </w:r>
      <w:r>
        <w:rPr>
          <w:rFonts w:hint="eastAsia" w:cs="Times New Roman"/>
          <w:color w:val="0000FF"/>
          <w:lang w:eastAsia="zh-CN"/>
        </w:rPr>
        <w:t>朱集灌区</w:t>
      </w:r>
      <w:r>
        <w:rPr>
          <w:rFonts w:cs="Times New Roman"/>
          <w:color w:val="0000FF"/>
        </w:rPr>
        <w:t>的安全行洪能力，使工程实施段达到防洪规划标准。</w:t>
      </w:r>
    </w:p>
    <w:p w14:paraId="4636F637">
      <w:pPr>
        <w:pStyle w:val="4"/>
        <w:rPr>
          <w:rFonts w:cs="Times New Roman"/>
          <w:color w:val="0000FF"/>
        </w:rPr>
      </w:pPr>
      <w:r>
        <w:rPr>
          <w:rFonts w:cs="Times New Roman"/>
          <w:color w:val="0000FF"/>
        </w:rPr>
        <w:t>10.4.2 地表水环境</w:t>
      </w:r>
    </w:p>
    <w:p w14:paraId="7B91EA8C">
      <w:pPr>
        <w:ind w:firstLine="480"/>
        <w:rPr>
          <w:rFonts w:cs="Times New Roman"/>
          <w:color w:val="0000FF"/>
        </w:rPr>
      </w:pPr>
      <w:r>
        <w:rPr>
          <w:rFonts w:cs="Times New Roman"/>
          <w:color w:val="0000FF"/>
        </w:rPr>
        <w:t>工程建设符合</w:t>
      </w:r>
      <w:r>
        <w:rPr>
          <w:rFonts w:cs="Times New Roman"/>
          <w:color w:val="0000FF"/>
          <w:kern w:val="2"/>
        </w:rPr>
        <w:t>《中华人民共和国水法》、</w:t>
      </w:r>
      <w:r>
        <w:rPr>
          <w:rFonts w:cs="Times New Roman"/>
          <w:color w:val="0000FF"/>
        </w:rPr>
        <w:t>《中华人民共和国水污染防治法》、《安徽省饮用水水源环境保护条例》、《关于&lt;水污染防治法&gt;中饮用水水源保护有关规定进行法律解释有关意见的复函》；</w:t>
      </w:r>
    </w:p>
    <w:p w14:paraId="3F1F62E2">
      <w:pPr>
        <w:ind w:firstLine="480"/>
        <w:rPr>
          <w:rFonts w:cs="Times New Roman"/>
          <w:b/>
          <w:bCs/>
          <w:color w:val="0000FF"/>
        </w:rPr>
      </w:pPr>
      <w:r>
        <w:rPr>
          <w:rFonts w:cs="Times New Roman"/>
          <w:b/>
          <w:bCs/>
          <w:color w:val="0000FF"/>
        </w:rPr>
        <w:t>工程</w:t>
      </w:r>
      <w:r>
        <w:rPr>
          <w:rFonts w:hint="eastAsia" w:cs="Times New Roman"/>
          <w:b/>
          <w:bCs/>
          <w:color w:val="0000FF"/>
        </w:rPr>
        <w:t>在淠河总干渠、舒庐干渠以及淠东干渠向六安市、合肥市、寿县众兴镇等地供水的停水间歇期填筑围堰，围堰填筑包围面积仅需保持少量人员施工活动，涉及渠道均较宽，围堰填筑占用渠道过水断面量极小，且施工期为枯水期，灌溉等其他供水需求较小。围堰填筑后供水期对渠道沿线取水口取水供水无影响。</w:t>
      </w:r>
    </w:p>
    <w:p w14:paraId="7602A05F">
      <w:pPr>
        <w:ind w:firstLine="480"/>
        <w:rPr>
          <w:rFonts w:cs="Times New Roman"/>
          <w:color w:val="0000FF"/>
        </w:rPr>
      </w:pPr>
      <w:r>
        <w:rPr>
          <w:rFonts w:cs="Times New Roman"/>
          <w:color w:val="0000FF"/>
        </w:rPr>
        <w:t>工程施工期废水来源主要包括生产废水和生活污水。按照本工程施工废水性质，污染物主要以悬浮物和有机质为主；</w:t>
      </w:r>
    </w:p>
    <w:p w14:paraId="71938FDF">
      <w:pPr>
        <w:ind w:firstLine="480"/>
        <w:rPr>
          <w:rFonts w:cs="Times New Roman"/>
          <w:color w:val="0000FF"/>
          <w:kern w:val="2"/>
        </w:rPr>
      </w:pPr>
      <w:r>
        <w:rPr>
          <w:rFonts w:cs="Times New Roman"/>
          <w:color w:val="0000FF"/>
        </w:rPr>
        <w:t>生活污水依托</w:t>
      </w:r>
      <w:r>
        <w:rPr>
          <w:rFonts w:hint="eastAsia" w:cs="Times New Roman"/>
          <w:color w:val="0000FF"/>
        </w:rPr>
        <w:t>周边</w:t>
      </w:r>
      <w:r>
        <w:rPr>
          <w:rFonts w:cs="Times New Roman"/>
          <w:color w:val="0000FF"/>
        </w:rPr>
        <w:t>村庄或者经一体化污水处理设施处理</w:t>
      </w:r>
      <w:r>
        <w:rPr>
          <w:rFonts w:hint="eastAsia" w:cs="Times New Roman"/>
          <w:color w:val="0000FF"/>
        </w:rPr>
        <w:t>达标</w:t>
      </w:r>
      <w:r>
        <w:rPr>
          <w:rFonts w:cs="Times New Roman"/>
          <w:color w:val="0000FF"/>
        </w:rPr>
        <w:t>后用于</w:t>
      </w:r>
      <w:r>
        <w:rPr>
          <w:rFonts w:hint="eastAsia" w:cs="Times New Roman"/>
          <w:color w:val="0000FF"/>
        </w:rPr>
        <w:t>农田灌溉</w:t>
      </w:r>
      <w:r>
        <w:rPr>
          <w:rFonts w:cs="Times New Roman"/>
          <w:color w:val="0000FF"/>
        </w:rPr>
        <w:t>，不外排，对周边地表水环境无影响；含油废水经收集采用隔油沉淀池处理后回用于道路洒水等工序，不外排，对区域地表水环境影响较小；</w:t>
      </w:r>
      <w:r>
        <w:rPr>
          <w:rFonts w:cs="Times New Roman"/>
          <w:color w:val="0000FF"/>
          <w:kern w:val="2"/>
        </w:rPr>
        <w:t>基坑废水以及清淤扰动水体，产生的主要污染物为SS，经收集后采用沉淀池处理后回用于道路、车辆的洒水抑尘，不外排，对</w:t>
      </w:r>
      <w:r>
        <w:rPr>
          <w:rFonts w:cs="Times New Roman"/>
          <w:color w:val="0000FF"/>
        </w:rPr>
        <w:t>区域地表水环境影响较小</w:t>
      </w:r>
      <w:r>
        <w:rPr>
          <w:rFonts w:cs="Times New Roman"/>
          <w:color w:val="0000FF"/>
          <w:kern w:val="2"/>
        </w:rPr>
        <w:t>；</w:t>
      </w:r>
      <w:r>
        <w:rPr>
          <w:rFonts w:cs="Times New Roman"/>
          <w:color w:val="0000FF"/>
        </w:rPr>
        <w:t>混凝土搅拌系统废水来源于商品混凝土临时搅拌机和地面冲洗废水，废水经处理后全部回用，不外排。混凝土搅拌系统冲洗废水经中和沉淀处理后，SS浓度降至100mg/L以下，回用于施工场地洒水，不外排；混凝土养护废水进入基坑，经中和+三级沉淀后回用路面洒水，不对外排放，对区域地表水环境影响较小；</w:t>
      </w:r>
      <w:r>
        <w:rPr>
          <w:rFonts w:cs="Times New Roman"/>
          <w:bCs/>
          <w:color w:val="0000FF"/>
        </w:rPr>
        <w:t>项目不新增人员，运行期不新增生活污水，现有人员生活污水</w:t>
      </w:r>
      <w:r>
        <w:rPr>
          <w:rFonts w:hint="eastAsia" w:cs="Times New Roman"/>
          <w:color w:val="0000FF"/>
        </w:rPr>
        <w:t>经污水处理设施预处理后经市政污水管网排至生活污水处理厂，没有条件接入市政污水管网的经污水处理设施预处理后定期清捞送至周边城镇生活污水处理厂处理或达到《农田灌溉水质标准》（GB5084-2021）后就农利用</w:t>
      </w:r>
      <w:r>
        <w:rPr>
          <w:rFonts w:cs="Times New Roman"/>
          <w:bCs/>
          <w:color w:val="0000FF"/>
        </w:rPr>
        <w:t>。</w:t>
      </w:r>
      <w:r>
        <w:rPr>
          <w:rFonts w:cs="Times New Roman"/>
          <w:color w:val="0000FF"/>
        </w:rPr>
        <w:t>综上，运营期产生的生活污水不会对地表水环境产生影响。</w:t>
      </w:r>
    </w:p>
    <w:p w14:paraId="26C2579A">
      <w:pPr>
        <w:pStyle w:val="4"/>
        <w:rPr>
          <w:rFonts w:cs="Times New Roman"/>
          <w:color w:val="0000FF"/>
        </w:rPr>
      </w:pPr>
      <w:r>
        <w:rPr>
          <w:rFonts w:cs="Times New Roman"/>
          <w:color w:val="0000FF"/>
        </w:rPr>
        <w:t>10.4.</w:t>
      </w:r>
      <w:r>
        <w:rPr>
          <w:rFonts w:hint="eastAsia" w:cs="Times New Roman"/>
          <w:color w:val="0000FF"/>
        </w:rPr>
        <w:t>3</w:t>
      </w:r>
      <w:r>
        <w:rPr>
          <w:rFonts w:cs="Times New Roman"/>
          <w:color w:val="0000FF"/>
        </w:rPr>
        <w:t xml:space="preserve"> 声环境</w:t>
      </w:r>
    </w:p>
    <w:p w14:paraId="53AD3EC3">
      <w:pPr>
        <w:ind w:firstLine="480"/>
        <w:rPr>
          <w:rFonts w:cs="Times New Roman"/>
          <w:color w:val="0000FF"/>
        </w:rPr>
      </w:pPr>
      <w:r>
        <w:rPr>
          <w:rFonts w:cs="Times New Roman"/>
          <w:color w:val="0000FF"/>
        </w:rPr>
        <w:t>声环境影响主要来自于施工期机械噪声和运行期泵站噪声。</w:t>
      </w:r>
    </w:p>
    <w:p w14:paraId="04CA98EE">
      <w:pPr>
        <w:ind w:firstLine="480"/>
        <w:rPr>
          <w:rFonts w:cs="Times New Roman"/>
          <w:color w:val="0000FF"/>
        </w:rPr>
      </w:pPr>
      <w:r>
        <w:rPr>
          <w:rFonts w:cs="Times New Roman"/>
          <w:color w:val="0000FF"/>
        </w:rPr>
        <w:t>施工期的噪声源包括施工机械施工、建筑物拆除等产生的点源噪声和自卸汽车运行产生的流动噪声。根据噪声预测分析，施工期产生噪声较大的工程内容主要建筑物工程和防汛工程，对工程沿线居民点会产生一定的影响，需要落实好本环境提出的声环境保护措施。</w:t>
      </w:r>
    </w:p>
    <w:p w14:paraId="7E8C6D33">
      <w:pPr>
        <w:ind w:firstLine="480"/>
        <w:rPr>
          <w:rFonts w:cs="Times New Roman"/>
          <w:color w:val="0000FF"/>
          <w:kern w:val="2"/>
        </w:rPr>
      </w:pPr>
      <w:r>
        <w:rPr>
          <w:rFonts w:cs="Times New Roman"/>
          <w:color w:val="0000FF"/>
        </w:rPr>
        <w:t>（1）噪声源控制：</w:t>
      </w:r>
      <w:r>
        <w:rPr>
          <w:rFonts w:cs="Times New Roman"/>
          <w:color w:val="0000FF"/>
          <w:kern w:val="2"/>
        </w:rPr>
        <w:t>选用低噪声的设备和工艺，对振动大的机械设备使用减振机座或减振垫；加强机械设备的维修和保养，保持机械润滑，减少运行噪声；施工运输车辆在通过居民点等时，应减缓车速，禁止鸣放高音喇叭，并设置警示牌和限速牌，以减轻交通噪声的干扰；限速牌主要设置在各居民点入出口处及学校附近，每个敏感点两端各设置一块；封闭施工应在施工场界设置围挡，城市围挡高度不低于2.5m，郊区围挡高度不低于1.8m。</w:t>
      </w:r>
    </w:p>
    <w:p w14:paraId="4888C5B8">
      <w:pPr>
        <w:ind w:firstLine="480"/>
        <w:rPr>
          <w:rFonts w:cs="Times New Roman"/>
          <w:color w:val="0000FF"/>
          <w:kern w:val="2"/>
        </w:rPr>
      </w:pPr>
      <w:r>
        <w:rPr>
          <w:rFonts w:cs="Times New Roman"/>
          <w:color w:val="0000FF"/>
          <w:kern w:val="2"/>
        </w:rPr>
        <w:t>（2）噪声传播途径：优化布局，合理布局施工场地。</w:t>
      </w:r>
    </w:p>
    <w:p w14:paraId="231AE85D">
      <w:pPr>
        <w:ind w:firstLine="480"/>
        <w:rPr>
          <w:rFonts w:cs="Times New Roman"/>
          <w:color w:val="0000FF"/>
          <w:kern w:val="2"/>
        </w:rPr>
      </w:pPr>
      <w:r>
        <w:rPr>
          <w:rFonts w:cs="Times New Roman"/>
          <w:color w:val="0000FF"/>
          <w:kern w:val="2"/>
        </w:rPr>
        <w:t>（3）加强施工管理：禁止夜间施工，合理控制施工时间。</w:t>
      </w:r>
    </w:p>
    <w:p w14:paraId="7348A8D7">
      <w:pPr>
        <w:ind w:firstLine="480"/>
        <w:rPr>
          <w:rFonts w:cs="Times New Roman"/>
          <w:color w:val="0000FF"/>
        </w:rPr>
      </w:pPr>
      <w:r>
        <w:rPr>
          <w:rFonts w:cs="Times New Roman"/>
          <w:color w:val="0000FF"/>
          <w:kern w:val="2"/>
        </w:rPr>
        <w:t>（4）加强敏感点保护，对噪声敏感区点采取移动声屏障防护</w:t>
      </w:r>
      <w:r>
        <w:rPr>
          <w:rFonts w:hint="eastAsia" w:cs="Times New Roman"/>
          <w:color w:val="0000FF"/>
          <w:kern w:val="2"/>
        </w:rPr>
        <w:t>，必要时种植一定数量的树木</w:t>
      </w:r>
      <w:r>
        <w:rPr>
          <w:rFonts w:cs="Times New Roman"/>
          <w:color w:val="0000FF"/>
          <w:kern w:val="2"/>
        </w:rPr>
        <w:t>，对施工人员配发劳保用品。</w:t>
      </w:r>
    </w:p>
    <w:p w14:paraId="0A98933F">
      <w:pPr>
        <w:ind w:firstLine="480"/>
        <w:rPr>
          <w:rFonts w:cs="Times New Roman"/>
          <w:color w:val="0000FF"/>
        </w:rPr>
      </w:pPr>
      <w:r>
        <w:rPr>
          <w:rFonts w:cs="Times New Roman"/>
          <w:color w:val="0000FF"/>
        </w:rPr>
        <w:t>运行期采取购置低噪声泵机，设置</w:t>
      </w:r>
      <w:r>
        <w:rPr>
          <w:rFonts w:hint="eastAsia" w:cs="Times New Roman"/>
          <w:color w:val="0000FF"/>
        </w:rPr>
        <w:t>减振</w:t>
      </w:r>
      <w:r>
        <w:rPr>
          <w:rFonts w:cs="Times New Roman"/>
          <w:color w:val="0000FF"/>
        </w:rPr>
        <w:t>垫等源头控制措施，在郑岗泵站令喜希望小学一侧设置5m高的隔声屏障，由于小学距离泵站较近的一侧为操场，泵站重建对小学和周边敏感点的影响较小。</w:t>
      </w:r>
    </w:p>
    <w:p w14:paraId="531EF79C">
      <w:pPr>
        <w:pStyle w:val="4"/>
        <w:rPr>
          <w:rFonts w:cs="Times New Roman"/>
          <w:color w:val="0000FF"/>
        </w:rPr>
      </w:pPr>
      <w:r>
        <w:rPr>
          <w:rFonts w:cs="Times New Roman"/>
          <w:color w:val="0000FF"/>
        </w:rPr>
        <w:t>10.4.</w:t>
      </w:r>
      <w:r>
        <w:rPr>
          <w:rFonts w:hint="eastAsia" w:cs="Times New Roman"/>
          <w:color w:val="0000FF"/>
        </w:rPr>
        <w:t>4</w:t>
      </w:r>
      <w:r>
        <w:rPr>
          <w:rFonts w:cs="Times New Roman"/>
          <w:color w:val="0000FF"/>
        </w:rPr>
        <w:t xml:space="preserve"> 大气环境</w:t>
      </w:r>
    </w:p>
    <w:p w14:paraId="05145663">
      <w:pPr>
        <w:ind w:firstLine="480"/>
        <w:rPr>
          <w:rFonts w:cs="Times New Roman"/>
          <w:color w:val="0000FF"/>
        </w:rPr>
      </w:pPr>
      <w:r>
        <w:rPr>
          <w:rFonts w:cs="Times New Roman"/>
          <w:color w:val="0000FF"/>
        </w:rPr>
        <w:t>本工程对大气环境的影响主要发生在施工期，且为无组织排放；运行期无废气污染源排放，不会对项目区大气环境产生影响。根据大气污染源分析，施工大气污染源主要包括扬尘、燃油废气和施工废气，主要污染物为TSP、SO</w:t>
      </w:r>
      <w:r>
        <w:rPr>
          <w:rFonts w:cs="Times New Roman"/>
          <w:color w:val="0000FF"/>
          <w:vertAlign w:val="subscript"/>
        </w:rPr>
        <w:t>2</w:t>
      </w:r>
      <w:r>
        <w:rPr>
          <w:rFonts w:cs="Times New Roman"/>
          <w:color w:val="0000FF"/>
        </w:rPr>
        <w:t>、NO</w:t>
      </w:r>
      <w:r>
        <w:rPr>
          <w:rFonts w:cs="Times New Roman"/>
          <w:color w:val="0000FF"/>
          <w:vertAlign w:val="subscript"/>
        </w:rPr>
        <w:t>X</w:t>
      </w:r>
      <w:r>
        <w:rPr>
          <w:rFonts w:cs="Times New Roman"/>
          <w:color w:val="0000FF"/>
        </w:rPr>
        <w:t>、非甲烷总烃等。主要发生在以下施工环节：（1）渠道清淤以及底泥晾晒过程中产生的底泥臭气；（2）推土机、挖掘机、装载车等机械作业处扬尘；（3）汽车在运送土方过程中，振动和自然风力等因素引起的物料洒落起尘；（4）施工机械、运输车辆</w:t>
      </w:r>
      <w:r>
        <w:rPr>
          <w:rFonts w:hint="eastAsia" w:cs="Times New Roman"/>
          <w:color w:val="0000FF"/>
        </w:rPr>
        <w:t>及其他</w:t>
      </w:r>
      <w:r>
        <w:rPr>
          <w:rFonts w:cs="Times New Roman"/>
          <w:color w:val="0000FF"/>
        </w:rPr>
        <w:t>施工机械运行过程中排放的燃油废气；（5）樊通桥渠下涵施工有机废气。</w:t>
      </w:r>
    </w:p>
    <w:p w14:paraId="3443AA4A">
      <w:pPr>
        <w:ind w:firstLine="480" w:firstLineChars="200"/>
        <w:rPr>
          <w:rFonts w:cs="Times New Roman"/>
          <w:color w:val="0000FF"/>
        </w:rPr>
      </w:pPr>
      <w:r>
        <w:rPr>
          <w:rFonts w:cs="Times New Roman"/>
          <w:color w:val="0000FF"/>
        </w:rPr>
        <w:t>（1）施工扬尘：建设单位应将防治扬尘污染的费用列入工程造价，并在施工合同中明确施工单位扬尘污染防治责任，施工单位在施工前应向当地负责监督管理扬尘污染防治的主管部门备案。采取扬尘防治公示、洒水降尘、施工场地采取</w:t>
      </w:r>
      <w:r>
        <w:rPr>
          <w:rFonts w:hint="eastAsia" w:cs="Times New Roman"/>
          <w:color w:val="0000FF"/>
        </w:rPr>
        <w:t>“</w:t>
      </w:r>
      <w:r>
        <w:rPr>
          <w:rFonts w:cs="Times New Roman"/>
          <w:color w:val="0000FF"/>
        </w:rPr>
        <w:t>围、盖、洒、洗</w:t>
      </w:r>
      <w:r>
        <w:rPr>
          <w:rFonts w:hint="eastAsia" w:cs="Times New Roman"/>
          <w:color w:val="0000FF"/>
        </w:rPr>
        <w:t>”</w:t>
      </w:r>
      <w:r>
        <w:rPr>
          <w:rFonts w:cs="Times New Roman"/>
          <w:color w:val="0000FF"/>
        </w:rPr>
        <w:t>等措施，优化施工布局等。</w:t>
      </w:r>
    </w:p>
    <w:p w14:paraId="58FB4896">
      <w:pPr>
        <w:ind w:firstLine="480" w:firstLineChars="200"/>
        <w:rPr>
          <w:rFonts w:cs="Times New Roman"/>
          <w:color w:val="0000FF"/>
        </w:rPr>
      </w:pPr>
      <w:r>
        <w:rPr>
          <w:rFonts w:cs="Times New Roman"/>
          <w:color w:val="0000FF"/>
        </w:rPr>
        <w:t>（2）混凝土工程：项目主要使用商品混凝土，少量修补混凝土制备用各类水泥，骨料堆场，均应分类加装控制扬尘的封闭式库房。所有物料入库或筒仓，不得露天堆放。</w:t>
      </w:r>
    </w:p>
    <w:p w14:paraId="744DA3BE">
      <w:pPr>
        <w:ind w:firstLine="480"/>
        <w:rPr>
          <w:rFonts w:cs="Times New Roman"/>
          <w:color w:val="0000FF"/>
          <w:kern w:val="2"/>
        </w:rPr>
      </w:pPr>
      <w:r>
        <w:rPr>
          <w:rFonts w:cs="Times New Roman"/>
          <w:color w:val="0000FF"/>
        </w:rPr>
        <w:t>（3）交通扬尘：</w:t>
      </w:r>
      <w:r>
        <w:rPr>
          <w:rFonts w:cs="Times New Roman"/>
          <w:color w:val="0000FF"/>
          <w:kern w:val="2"/>
        </w:rPr>
        <w:t>加强</w:t>
      </w:r>
      <w:r>
        <w:rPr>
          <w:rFonts w:hint="eastAsia" w:cs="Times New Roman"/>
          <w:color w:val="0000FF"/>
          <w:kern w:val="2"/>
        </w:rPr>
        <w:t>“</w:t>
      </w:r>
      <w:r>
        <w:rPr>
          <w:rFonts w:cs="Times New Roman"/>
          <w:color w:val="0000FF"/>
          <w:kern w:val="2"/>
        </w:rPr>
        <w:t>三车</w:t>
      </w:r>
      <w:r>
        <w:rPr>
          <w:rFonts w:hint="eastAsia" w:cs="Times New Roman"/>
          <w:color w:val="0000FF"/>
          <w:kern w:val="2"/>
        </w:rPr>
        <w:t>”</w:t>
      </w:r>
      <w:r>
        <w:rPr>
          <w:rFonts w:cs="Times New Roman"/>
          <w:color w:val="0000FF"/>
          <w:kern w:val="2"/>
        </w:rPr>
        <w:t>管理，土方运输车、混凝土搅拌车、物料运输车辆上路前必须进行车身、轮胎冲洗，物料遮盖，确保无抛撒滴漏。</w:t>
      </w:r>
    </w:p>
    <w:p w14:paraId="41A33870">
      <w:pPr>
        <w:ind w:firstLine="480"/>
        <w:rPr>
          <w:rFonts w:cs="Times New Roman"/>
          <w:color w:val="0000FF"/>
          <w:kern w:val="2"/>
        </w:rPr>
      </w:pPr>
      <w:r>
        <w:rPr>
          <w:rFonts w:cs="Times New Roman"/>
          <w:color w:val="0000FF"/>
        </w:rPr>
        <w:t>（4）燃油废气：</w:t>
      </w:r>
      <w:r>
        <w:rPr>
          <w:rFonts w:cs="Times New Roman"/>
          <w:color w:val="0000FF"/>
          <w:kern w:val="2"/>
        </w:rPr>
        <w:t>施工机械及运输车辆应定期检修与保养，及时清洗，确保施工机械及运输车辆始终处于良好的工作状态。加强大型车辆和施工机械的管理，执行定期检查维护制度。</w:t>
      </w:r>
    </w:p>
    <w:p w14:paraId="1233A725">
      <w:pPr>
        <w:autoSpaceDE w:val="0"/>
        <w:autoSpaceDN w:val="0"/>
        <w:ind w:firstLine="480"/>
        <w:rPr>
          <w:rFonts w:cs="Times New Roman"/>
          <w:color w:val="0000FF"/>
          <w:kern w:val="2"/>
        </w:rPr>
      </w:pPr>
      <w:r>
        <w:rPr>
          <w:rFonts w:cs="Times New Roman"/>
          <w:color w:val="0000FF"/>
          <w:kern w:val="2"/>
        </w:rPr>
        <w:t>（5）底泥臭气：根据居民点分布，调整清淤淤泥位置，远离居民点；加强弃土区的位置布局，远离居民区。</w:t>
      </w:r>
      <w:r>
        <w:rPr>
          <w:rFonts w:cs="Times New Roman"/>
          <w:color w:val="0000FF"/>
        </w:rPr>
        <w:t>选择枯水季节（冬春季）进行渠道清淤工作，由于温度较低，污泥中恶臭挥发影响范围较小。</w:t>
      </w:r>
      <w:r>
        <w:rPr>
          <w:rFonts w:cs="Times New Roman"/>
          <w:color w:val="0000FF"/>
          <w:kern w:val="2"/>
        </w:rPr>
        <w:t>同时做好弃土区的围挡以及除臭措施，喷洒除臭剂，减少底泥在空气中暴露时间，降低对周边的环境影响。</w:t>
      </w:r>
    </w:p>
    <w:p w14:paraId="49438842">
      <w:pPr>
        <w:rPr>
          <w:rFonts w:cs="Times New Roman"/>
          <w:color w:val="0000FF"/>
        </w:rPr>
      </w:pPr>
      <w:r>
        <w:rPr>
          <w:rFonts w:cs="Times New Roman"/>
          <w:color w:val="0000FF"/>
        </w:rPr>
        <w:t>（6）涂料废气：为防止涂料对周边环境的影响，应选用粉末涂料、水性涂料、无溶剂涂料等环节友好型涂料和符合低挥发性有机物涂料，禁止使用</w:t>
      </w:r>
      <w:r>
        <w:rPr>
          <w:rFonts w:hint="eastAsia" w:cs="Times New Roman"/>
          <w:color w:val="0000FF"/>
        </w:rPr>
        <w:t>非甲烷总烃</w:t>
      </w:r>
      <w:r>
        <w:rPr>
          <w:rFonts w:cs="Times New Roman"/>
          <w:color w:val="0000FF"/>
        </w:rPr>
        <w:t>含量不符合国家标准的涂料等，施工人员做好防护工作，佩戴口罩等防护用品。</w:t>
      </w:r>
    </w:p>
    <w:p w14:paraId="7977D893">
      <w:pPr>
        <w:pStyle w:val="4"/>
        <w:rPr>
          <w:rFonts w:cs="Times New Roman"/>
          <w:color w:val="0000FF"/>
        </w:rPr>
      </w:pPr>
      <w:r>
        <w:rPr>
          <w:rFonts w:cs="Times New Roman"/>
          <w:color w:val="0000FF"/>
        </w:rPr>
        <w:t>10.4.</w:t>
      </w:r>
      <w:r>
        <w:rPr>
          <w:rFonts w:hint="eastAsia" w:cs="Times New Roman"/>
          <w:color w:val="0000FF"/>
        </w:rPr>
        <w:t>5</w:t>
      </w:r>
      <w:r>
        <w:rPr>
          <w:rFonts w:cs="Times New Roman"/>
          <w:color w:val="0000FF"/>
        </w:rPr>
        <w:t xml:space="preserve"> 固体废物</w:t>
      </w:r>
    </w:p>
    <w:p w14:paraId="05F7EFB0">
      <w:pPr>
        <w:autoSpaceDE w:val="0"/>
        <w:autoSpaceDN w:val="0"/>
        <w:ind w:firstLine="480"/>
        <w:rPr>
          <w:rFonts w:cs="Times New Roman"/>
          <w:color w:val="0000FF"/>
          <w:kern w:val="2"/>
          <w:szCs w:val="20"/>
        </w:rPr>
      </w:pPr>
      <w:r>
        <w:rPr>
          <w:rFonts w:cs="Times New Roman"/>
          <w:color w:val="0000FF"/>
          <w:kern w:val="2"/>
          <w:szCs w:val="20"/>
        </w:rPr>
        <w:t>施工期固体废物主要为生活垃圾、弃土、混凝土养护废渣、建筑垃圾、废机油及包装容器和废涂料及包装容器等。</w:t>
      </w:r>
    </w:p>
    <w:p w14:paraId="378B4A89">
      <w:pPr>
        <w:ind w:firstLine="480"/>
        <w:rPr>
          <w:rFonts w:cs="Times New Roman"/>
          <w:color w:val="0000FF"/>
        </w:rPr>
      </w:pPr>
      <w:r>
        <w:rPr>
          <w:rFonts w:cs="Times New Roman"/>
          <w:color w:val="0000FF"/>
          <w:kern w:val="2"/>
        </w:rPr>
        <w:t>（1）施工期工程共产生生活垃圾</w:t>
      </w:r>
      <w:r>
        <w:rPr>
          <w:rFonts w:cs="Times New Roman"/>
          <w:color w:val="0000FF"/>
        </w:rPr>
        <w:t>2.56t/d</w:t>
      </w:r>
      <w:r>
        <w:rPr>
          <w:rFonts w:cs="Times New Roman"/>
          <w:color w:val="0000FF"/>
          <w:kern w:val="2"/>
        </w:rPr>
        <w:t>，营运期不新增生活垃圾产生量。</w:t>
      </w:r>
      <w:r>
        <w:rPr>
          <w:rFonts w:cs="Times New Roman"/>
          <w:color w:val="0000FF"/>
        </w:rPr>
        <w:t>委托环境卫生管理部门进行处理，工程产生的生活垃圾应不会对周边环境造成污染。</w:t>
      </w:r>
    </w:p>
    <w:p w14:paraId="17164539">
      <w:pPr>
        <w:ind w:firstLine="480"/>
        <w:rPr>
          <w:rFonts w:cs="Times New Roman"/>
          <w:color w:val="0000FF"/>
          <w:kern w:val="2"/>
          <w:szCs w:val="20"/>
        </w:rPr>
      </w:pPr>
      <w:r>
        <w:rPr>
          <w:rFonts w:cs="Times New Roman"/>
          <w:color w:val="0000FF"/>
        </w:rPr>
        <w:t>（2）工程土方开挖总量272.7万m</w:t>
      </w:r>
      <w:r>
        <w:rPr>
          <w:rFonts w:cs="Times New Roman"/>
          <w:color w:val="0000FF"/>
          <w:vertAlign w:val="superscript"/>
        </w:rPr>
        <w:t>3</w:t>
      </w:r>
      <w:r>
        <w:rPr>
          <w:rFonts w:cs="Times New Roman"/>
          <w:color w:val="0000FF"/>
        </w:rPr>
        <w:t>，土方开挖中用于回填179.41万m</w:t>
      </w:r>
      <w:r>
        <w:rPr>
          <w:rFonts w:cs="Times New Roman"/>
          <w:color w:val="0000FF"/>
          <w:vertAlign w:val="superscript"/>
        </w:rPr>
        <w:t>3</w:t>
      </w:r>
      <w:r>
        <w:rPr>
          <w:rFonts w:cs="Times New Roman"/>
          <w:color w:val="0000FF"/>
        </w:rPr>
        <w:t>，弃土量174.54万m</w:t>
      </w:r>
      <w:r>
        <w:rPr>
          <w:rFonts w:cs="Times New Roman"/>
          <w:color w:val="0000FF"/>
          <w:vertAlign w:val="superscript"/>
        </w:rPr>
        <w:t>3</w:t>
      </w:r>
      <w:r>
        <w:rPr>
          <w:rFonts w:cs="Times New Roman"/>
          <w:color w:val="0000FF"/>
          <w:kern w:val="2"/>
          <w:szCs w:val="20"/>
        </w:rPr>
        <w:t>。施工弃土置于弃土区，后期进行复垦，</w:t>
      </w:r>
      <w:r>
        <w:rPr>
          <w:rFonts w:cs="Times New Roman"/>
          <w:color w:val="0000FF"/>
        </w:rPr>
        <w:t>本环评要求禁止将弃土区和取土区设置于饮用水水源保护区和生态保护红线范围内。施工期对弃土区采取水土保持措施，进一步减缓弃土堆置对环境的影响</w:t>
      </w:r>
      <w:r>
        <w:rPr>
          <w:rFonts w:cs="Times New Roman"/>
          <w:color w:val="0000FF"/>
          <w:kern w:val="2"/>
          <w:szCs w:val="20"/>
        </w:rPr>
        <w:t>。</w:t>
      </w:r>
    </w:p>
    <w:p w14:paraId="4A8AE6CB">
      <w:pPr>
        <w:ind w:firstLine="480"/>
        <w:rPr>
          <w:rFonts w:cs="Times New Roman"/>
          <w:color w:val="0000FF"/>
          <w:kern w:val="2"/>
          <w:szCs w:val="20"/>
        </w:rPr>
      </w:pPr>
      <w:r>
        <w:rPr>
          <w:rFonts w:cs="Times New Roman"/>
          <w:color w:val="0000FF"/>
          <w:kern w:val="2"/>
          <w:szCs w:val="20"/>
        </w:rPr>
        <w:t>（3）混凝土养护废渣</w:t>
      </w:r>
      <w:r>
        <w:rPr>
          <w:rFonts w:cs="Times New Roman"/>
          <w:color w:val="0000FF"/>
        </w:rPr>
        <w:t>产生量为41.23t，收集后</w:t>
      </w:r>
      <w:r>
        <w:rPr>
          <w:rFonts w:cs="Times New Roman"/>
          <w:color w:val="0000FF"/>
          <w:kern w:val="2"/>
          <w:szCs w:val="20"/>
        </w:rPr>
        <w:t>送至当地建筑垃圾综合利用厂进行回收利用。</w:t>
      </w:r>
    </w:p>
    <w:p w14:paraId="5D01CBD8">
      <w:pPr>
        <w:ind w:firstLine="480"/>
        <w:rPr>
          <w:rFonts w:cs="Times New Roman"/>
          <w:color w:val="0000FF"/>
          <w:kern w:val="2"/>
        </w:rPr>
      </w:pPr>
      <w:r>
        <w:rPr>
          <w:rFonts w:cs="Times New Roman"/>
          <w:color w:val="0000FF"/>
          <w:kern w:val="2"/>
        </w:rPr>
        <w:t>（4）涵闸及建筑物拆迁过程将产生一定的建筑垃圾，约产生建筑垃圾207654.6t。建筑垃圾主要为碎砖块、废石料、废钢筋、水泥块及混凝土残渣等，这些废弃物多为无机物，其中大部分对水、大气环境质量的直接影响不大，但具有占地和造成二次污染的特点，若不及时清运将对周边区域景观、环境空气质量等产生影响。建筑垃圾应分类堆放，其中建筑垃圾一部分用于施工道路垫层填筑（约10%的量），其他能回收利用的和建筑物拆除过程产生的建筑垃圾送至当地建筑垃圾综合利用厂进行回收利用。剩余少量工程不能再利用的建筑垃圾，如含木料、塑料的垃圾，应严格执行《城市建筑垃圾管理规定》，服从当地城市市容环境卫生行政主管部门统一管理，优先运往建筑垃圾填埋场进行处置。</w:t>
      </w:r>
    </w:p>
    <w:p w14:paraId="003CCCEF">
      <w:pPr>
        <w:autoSpaceDE w:val="0"/>
        <w:autoSpaceDN w:val="0"/>
        <w:ind w:firstLine="480"/>
        <w:rPr>
          <w:rFonts w:cs="Times New Roman"/>
          <w:color w:val="0000FF"/>
          <w:kern w:val="2"/>
        </w:rPr>
      </w:pPr>
      <w:r>
        <w:rPr>
          <w:rFonts w:cs="Times New Roman"/>
          <w:color w:val="0000FF"/>
          <w:kern w:val="2"/>
        </w:rPr>
        <w:t>（5）本工程施工布置区配置的机械修配间会产生一定的</w:t>
      </w:r>
      <w:r>
        <w:rPr>
          <w:rFonts w:cs="Times New Roman"/>
          <w:color w:val="0000FF"/>
        </w:rPr>
        <w:t>废机油及其包装容器</w:t>
      </w:r>
      <w:r>
        <w:rPr>
          <w:rFonts w:cs="Times New Roman"/>
          <w:color w:val="0000FF"/>
          <w:kern w:val="2"/>
        </w:rPr>
        <w:t>、车辆设备冲洗废水沉淀池定期产生一定量的含油污泥，属于危险废物，如不采取措施，会对土壤产生污染，由各施工区用专用危险废物储存容器集中收集，并交由有危险废物处置资质的专门机构进行安全处置。</w:t>
      </w:r>
    </w:p>
    <w:p w14:paraId="305A8211">
      <w:pPr>
        <w:autoSpaceDE w:val="0"/>
        <w:autoSpaceDN w:val="0"/>
        <w:ind w:firstLine="480"/>
        <w:rPr>
          <w:rFonts w:cs="Times New Roman"/>
          <w:color w:val="0000FF"/>
          <w:kern w:val="2"/>
        </w:rPr>
      </w:pPr>
      <w:r>
        <w:rPr>
          <w:rFonts w:cs="Times New Roman"/>
          <w:color w:val="0000FF"/>
          <w:kern w:val="2"/>
        </w:rPr>
        <w:t>运营期</w:t>
      </w:r>
      <w:r>
        <w:rPr>
          <w:rFonts w:cs="Times New Roman"/>
          <w:color w:val="0000FF"/>
          <w:kern w:val="2"/>
          <w:szCs w:val="20"/>
        </w:rPr>
        <w:t>固体废物</w:t>
      </w:r>
      <w:r>
        <w:rPr>
          <w:rFonts w:cs="Times New Roman"/>
          <w:color w:val="0000FF"/>
          <w:kern w:val="2"/>
        </w:rPr>
        <w:t>主要是各管理处人员产生的生活垃圾以及各类涵闸等渠系建筑物运行检修会产生的危废包括设备日常检修产生的废机油及其包装容器。生活垃圾主要是委托环卫部门进行清运。各管理处设置危废暂存设施收集各类涵闸等渠系建筑物运行检修会产生的危废包括设备日常检修产生的废机油及其包装容器，并交由有危险废物处置资质的专门机构进行安全处置。</w:t>
      </w:r>
    </w:p>
    <w:p w14:paraId="204EE00A">
      <w:pPr>
        <w:pStyle w:val="4"/>
        <w:rPr>
          <w:rFonts w:cs="Times New Roman"/>
          <w:color w:val="0000FF"/>
        </w:rPr>
      </w:pPr>
      <w:r>
        <w:rPr>
          <w:rFonts w:cs="Times New Roman"/>
          <w:color w:val="0000FF"/>
        </w:rPr>
        <w:t>10.4.</w:t>
      </w:r>
      <w:r>
        <w:rPr>
          <w:rFonts w:hint="eastAsia" w:cs="Times New Roman"/>
          <w:color w:val="0000FF"/>
        </w:rPr>
        <w:t>6</w:t>
      </w:r>
      <w:r>
        <w:rPr>
          <w:rFonts w:cs="Times New Roman"/>
          <w:color w:val="0000FF"/>
        </w:rPr>
        <w:t xml:space="preserve"> 生态环境</w:t>
      </w:r>
    </w:p>
    <w:p w14:paraId="4E7145A8">
      <w:pPr>
        <w:rPr>
          <w:rFonts w:cs="Times New Roman"/>
          <w:color w:val="0000FF"/>
        </w:rPr>
      </w:pPr>
      <w:r>
        <w:rPr>
          <w:rFonts w:cs="Times New Roman"/>
          <w:color w:val="0000FF"/>
        </w:rPr>
        <w:t>（1）生态稳定性和完整性影响</w:t>
      </w:r>
    </w:p>
    <w:p w14:paraId="7B682805">
      <w:pPr>
        <w:rPr>
          <w:rFonts w:cs="Times New Roman"/>
          <w:color w:val="0000FF"/>
        </w:rPr>
      </w:pPr>
      <w:r>
        <w:rPr>
          <w:rFonts w:cs="Times New Roman"/>
          <w:color w:val="0000FF"/>
        </w:rPr>
        <w:t>工程扰动原地貌、破坏土地和植被面积共计385.86hm</w:t>
      </w:r>
      <w:r>
        <w:rPr>
          <w:rFonts w:cs="Times New Roman"/>
          <w:color w:val="0000FF"/>
          <w:vertAlign w:val="superscript"/>
        </w:rPr>
        <w:t>2</w:t>
      </w:r>
      <w:r>
        <w:rPr>
          <w:rFonts w:cs="Times New Roman"/>
          <w:color w:val="0000FF"/>
        </w:rPr>
        <w:t>，其中30.4%占地均为水利设施用地。本工程施工过程中，取土场、弃土区以及工程施工场区、料场等占地使工程范围内的原覆土植被遭到破坏，地表裸露或植物被覆盖，生态系统的生产者植物消失或死亡，导致生态系统的生物量损失，自然系统生产能力受到一定影响。</w:t>
      </w:r>
    </w:p>
    <w:p w14:paraId="6F476678">
      <w:pPr>
        <w:rPr>
          <w:rFonts w:cs="Times New Roman"/>
          <w:color w:val="0000FF"/>
        </w:rPr>
      </w:pPr>
      <w:r>
        <w:rPr>
          <w:rFonts w:cs="Times New Roman"/>
          <w:color w:val="0000FF"/>
        </w:rPr>
        <w:t>评价范围内主要为非自然的农村生态系统，其稳定性和平衡受人类控制。所以，由于人为干扰存在，工程施工不会导致评价范围内的生态系统发现演替，生态系统除生物量减小外不会发生其它明显变化。本工程对评价范围内的生态系统的人为干扰将随施工结束而停止，临时占地复耕或绿化后1-2年生态系统生产力将得到恢复。对生物完整性影响较小。</w:t>
      </w:r>
    </w:p>
    <w:p w14:paraId="5013915B">
      <w:pPr>
        <w:rPr>
          <w:rFonts w:cs="Times New Roman"/>
        </w:rPr>
      </w:pPr>
      <w:r>
        <w:rPr>
          <w:rFonts w:cs="Times New Roman"/>
        </w:rPr>
        <w:t>（2）对植物植被的影响</w:t>
      </w:r>
    </w:p>
    <w:p w14:paraId="68374BCB">
      <w:pPr>
        <w:rPr>
          <w:rFonts w:cs="Times New Roman"/>
        </w:rPr>
      </w:pPr>
      <w:r>
        <w:rPr>
          <w:rFonts w:cs="Times New Roman"/>
        </w:rPr>
        <w:t>在施工建设中，土方开挖与临时施工道路等人为干扰活动，将会直接改变植被的原始自然面貌，使得开挖区域与碾压区域植被破坏，植被生物量减少。施工结束后，对占用的农田进行复耕，毁坏的林木进行植树恢复，弃土区进行种树或种草，临时占地得到恢复，施工对植被的影响较小。</w:t>
      </w:r>
    </w:p>
    <w:p w14:paraId="1A036603">
      <w:pPr>
        <w:rPr>
          <w:rFonts w:cs="Times New Roman"/>
          <w:color w:val="0000FF"/>
        </w:rPr>
      </w:pPr>
      <w:r>
        <w:rPr>
          <w:rFonts w:cs="Times New Roman"/>
          <w:color w:val="0000FF"/>
        </w:rPr>
        <w:t>（3）对底栖动物的影响</w:t>
      </w:r>
    </w:p>
    <w:p w14:paraId="76236DAC">
      <w:pPr>
        <w:rPr>
          <w:rFonts w:cs="Times New Roman"/>
          <w:color w:val="0000FF"/>
        </w:rPr>
      </w:pPr>
      <w:r>
        <w:rPr>
          <w:rFonts w:cs="Times New Roman"/>
          <w:color w:val="0000FF"/>
        </w:rPr>
        <w:t>渠道清淤直接破坏原有底泥中的底栖生物，造成底栖生物群落消失，施工对水质要求较高的软体动物死亡或迁出，从而影响底栖生物群落结构。由于受影响的底栖动物在附近其它渠道的和河道中分布较广，</w:t>
      </w:r>
      <w:r>
        <w:rPr>
          <w:rFonts w:hint="eastAsia" w:cs="Times New Roman"/>
          <w:color w:val="0000FF"/>
        </w:rPr>
        <w:t>并非</w:t>
      </w:r>
      <w:r>
        <w:rPr>
          <w:rFonts w:cs="Times New Roman"/>
          <w:color w:val="0000FF"/>
        </w:rPr>
        <w:t>本地区的特有种，工程的建设不会导致这些物种的消亡。施工期结束后2-3年，渠道内的底栖动物可恢复到现状水平。施工对底栖生物的影响较小。</w:t>
      </w:r>
    </w:p>
    <w:p w14:paraId="302424B0">
      <w:pPr>
        <w:rPr>
          <w:rFonts w:cs="Times New Roman"/>
          <w:color w:val="0000FF"/>
        </w:rPr>
      </w:pPr>
      <w:r>
        <w:rPr>
          <w:rFonts w:cs="Times New Roman"/>
          <w:color w:val="0000FF"/>
        </w:rPr>
        <w:t>（4）对鱼类的影响</w:t>
      </w:r>
    </w:p>
    <w:p w14:paraId="574ED03D">
      <w:pPr>
        <w:rPr>
          <w:rFonts w:cs="Times New Roman"/>
          <w:color w:val="0000FF"/>
        </w:rPr>
      </w:pPr>
      <w:r>
        <w:rPr>
          <w:rFonts w:cs="Times New Roman"/>
          <w:color w:val="0000FF"/>
        </w:rPr>
        <w:t>本工程施工期在非灌溉期，除了淠河总干渠、滁河干渠、淠东干渠、舒庐干渠和潜南干渠，其它施工段渠道上游无来水，渠道内水量很小甚至干枯，施工期对鱼类影响较小。</w:t>
      </w:r>
    </w:p>
    <w:p w14:paraId="581B4D45">
      <w:pPr>
        <w:rPr>
          <w:rFonts w:cs="Times New Roman"/>
          <w:color w:val="0000FF"/>
        </w:rPr>
      </w:pPr>
      <w:r>
        <w:rPr>
          <w:rFonts w:cs="Times New Roman"/>
          <w:color w:val="0000FF"/>
        </w:rPr>
        <w:t>根据调查，工程范围内未发现鱼类的产卵场、索饵场、越冬场等保护目标，且主要鱼类为青鱼、草鱼、鲢鱼、鳙鱼和鲫鱼等，在该地区较常见。潜南干渠局部河段建围堰施工，水流从导流渠通过，对鱼类的生境有一定影响，但由于围堰施工段较短，施工期也短暂，施工结束后即可恢复，对鱼类的生境影响较小。</w:t>
      </w:r>
    </w:p>
    <w:p w14:paraId="6943A713">
      <w:pPr>
        <w:rPr>
          <w:rFonts w:cs="Times New Roman"/>
        </w:rPr>
      </w:pPr>
      <w:r>
        <w:rPr>
          <w:rFonts w:cs="Times New Roman"/>
        </w:rPr>
        <w:t>工程运行期，堤防沿岸的绿化已经建设完成，可使施工对沿线生态环境的影响得以恢复，保持生态稳定性。堤防沿岸的绿化建设还能在一定程度上改善工程渠段景观</w:t>
      </w:r>
      <w:r>
        <w:rPr>
          <w:rFonts w:cs="Times New Roman"/>
          <w:lang w:bidi="ar"/>
        </w:rPr>
        <w:t>。</w:t>
      </w:r>
    </w:p>
    <w:p w14:paraId="2394DDC7">
      <w:pPr>
        <w:rPr>
          <w:rFonts w:cs="Times New Roman"/>
        </w:rPr>
      </w:pPr>
      <w:r>
        <w:rPr>
          <w:rFonts w:cs="Times New Roman"/>
        </w:rPr>
        <w:t>（5）工程对鸟类的影响</w:t>
      </w:r>
    </w:p>
    <w:p w14:paraId="3C759A86">
      <w:pPr>
        <w:rPr>
          <w:rFonts w:cs="Times New Roman"/>
        </w:rPr>
      </w:pPr>
      <w:r>
        <w:rPr>
          <w:rFonts w:cs="Times New Roman"/>
        </w:rPr>
        <w:t>施工车辆、机械等产生的噪音和振动，施工中人为活动的干扰都会对鸟类的繁殖、巢址选择、觅食和栖息都产生一定的影响。</w:t>
      </w:r>
    </w:p>
    <w:p w14:paraId="01F68FE7">
      <w:pPr>
        <w:rPr>
          <w:rFonts w:cs="Times New Roman"/>
          <w:sz w:val="20"/>
        </w:rPr>
      </w:pPr>
      <w:r>
        <w:rPr>
          <w:rFonts w:cs="Times New Roman"/>
        </w:rPr>
        <w:t>由于鸟类具有强运动能力和对环境的强适应性等特点，随着工程的结束，对鸟类的影响也将消除，鸟类的种群密度也将得到恢复。</w:t>
      </w:r>
    </w:p>
    <w:p w14:paraId="205B6728">
      <w:pPr>
        <w:pStyle w:val="3"/>
        <w:rPr>
          <w:rFonts w:cs="Times New Roman"/>
        </w:rPr>
      </w:pPr>
      <w:bookmarkStart w:id="101" w:name="_Toc13652"/>
      <w:r>
        <w:rPr>
          <w:rFonts w:cs="Times New Roman"/>
        </w:rPr>
        <w:t>10.5 公众参与</w:t>
      </w:r>
      <w:bookmarkEnd w:id="101"/>
    </w:p>
    <w:p w14:paraId="242EDB4B">
      <w:pPr>
        <w:ind w:firstLine="480"/>
        <w:rPr>
          <w:rFonts w:cs="Times New Roman"/>
          <w:color w:val="0000FF"/>
        </w:rPr>
      </w:pPr>
      <w:r>
        <w:rPr>
          <w:rFonts w:cs="Times New Roman"/>
        </w:rPr>
        <w:t>根据</w:t>
      </w:r>
      <w:r>
        <w:rPr>
          <w:rFonts w:hint="eastAsia" w:cs="Times New Roman"/>
        </w:rPr>
        <w:t>生态环境部</w:t>
      </w:r>
      <w:r>
        <w:rPr>
          <w:rFonts w:cs="Times New Roman"/>
        </w:rPr>
        <w:t>令第4号《环境影响评价公众参与暂行办法》等法律、文件的要求，建设单位于202</w:t>
      </w:r>
      <w:r>
        <w:rPr>
          <w:rFonts w:hint="eastAsia" w:cs="Times New Roman"/>
        </w:rPr>
        <w:t>4</w:t>
      </w:r>
      <w:r>
        <w:rPr>
          <w:rFonts w:cs="Times New Roman"/>
        </w:rPr>
        <w:t>年</w:t>
      </w:r>
      <w:r>
        <w:rPr>
          <w:rFonts w:hint="eastAsia" w:cs="Times New Roman"/>
        </w:rPr>
        <w:t>5</w:t>
      </w:r>
      <w:r>
        <w:rPr>
          <w:rFonts w:cs="Times New Roman"/>
        </w:rPr>
        <w:t>月</w:t>
      </w:r>
      <w:r>
        <w:rPr>
          <w:rFonts w:hint="eastAsia" w:cs="Times New Roman"/>
        </w:rPr>
        <w:t>22</w:t>
      </w:r>
      <w:r>
        <w:rPr>
          <w:rFonts w:cs="Times New Roman"/>
        </w:rPr>
        <w:t>日在</w:t>
      </w:r>
      <w:r>
        <w:rPr>
          <w:rFonts w:hint="eastAsia" w:cs="Times New Roman"/>
        </w:rPr>
        <w:t>淮南市谢家集区生态环境分局</w:t>
      </w:r>
      <w:r>
        <w:rPr>
          <w:rFonts w:cs="Times New Roman"/>
        </w:rPr>
        <w:t>网站进行了本工程环境影响评价第一次公示。</w:t>
      </w:r>
      <w:r>
        <w:rPr>
          <w:rFonts w:cs="Times New Roman"/>
          <w:color w:val="0000FF"/>
        </w:rPr>
        <w:t>建设单位于</w:t>
      </w:r>
      <w:r>
        <w:rPr>
          <w:rFonts w:cs="Times New Roman"/>
          <w:bCs/>
          <w:color w:val="0000FF"/>
          <w:kern w:val="2"/>
        </w:rPr>
        <w:t>2023年6月9日在安徽省</w:t>
      </w:r>
      <w:r>
        <w:rPr>
          <w:rFonts w:hint="eastAsia" w:cs="Times New Roman"/>
          <w:bCs/>
          <w:color w:val="0000FF"/>
          <w:kern w:val="2"/>
          <w:lang w:eastAsia="zh-CN"/>
        </w:rPr>
        <w:t>朱集灌区</w:t>
      </w:r>
      <w:r>
        <w:rPr>
          <w:rFonts w:cs="Times New Roman"/>
          <w:bCs/>
          <w:color w:val="0000FF"/>
          <w:kern w:val="2"/>
        </w:rPr>
        <w:t>管理总局网站进行了</w:t>
      </w:r>
      <w:r>
        <w:rPr>
          <w:rFonts w:cs="Times New Roman"/>
          <w:color w:val="0000FF"/>
          <w:kern w:val="2"/>
        </w:rPr>
        <w:t>征求意见稿公示。并于征求意见稿公示期间进行了两次报纸公示和现场张贴公示。</w:t>
      </w:r>
      <w:r>
        <w:rPr>
          <w:rFonts w:cs="Times New Roman"/>
          <w:color w:val="0000FF"/>
        </w:rPr>
        <w:t>2023年</w:t>
      </w:r>
      <w:r>
        <w:rPr>
          <w:rFonts w:hint="eastAsia" w:cs="Times New Roman"/>
          <w:color w:val="0000FF"/>
        </w:rPr>
        <w:t>7</w:t>
      </w:r>
      <w:r>
        <w:rPr>
          <w:rFonts w:cs="Times New Roman"/>
          <w:color w:val="0000FF"/>
        </w:rPr>
        <w:t>月</w:t>
      </w:r>
      <w:r>
        <w:rPr>
          <w:rFonts w:hint="eastAsia" w:cs="Times New Roman"/>
          <w:color w:val="0000FF"/>
        </w:rPr>
        <w:t>8</w:t>
      </w:r>
      <w:r>
        <w:rPr>
          <w:rFonts w:cs="Times New Roman"/>
          <w:color w:val="0000FF"/>
        </w:rPr>
        <w:t>日在</w:t>
      </w:r>
      <w:r>
        <w:rPr>
          <w:rFonts w:cs="Times New Roman"/>
          <w:bCs/>
          <w:color w:val="0000FF"/>
        </w:rPr>
        <w:t>安徽省</w:t>
      </w:r>
      <w:r>
        <w:rPr>
          <w:rFonts w:hint="eastAsia" w:cs="Times New Roman"/>
          <w:bCs/>
          <w:color w:val="0000FF"/>
          <w:lang w:eastAsia="zh-CN"/>
        </w:rPr>
        <w:t>朱集灌区</w:t>
      </w:r>
      <w:r>
        <w:rPr>
          <w:rFonts w:cs="Times New Roman"/>
          <w:bCs/>
          <w:color w:val="0000FF"/>
        </w:rPr>
        <w:t>管理总局网站进行了报批前公示。</w:t>
      </w:r>
      <w:r>
        <w:rPr>
          <w:rFonts w:cs="Times New Roman"/>
        </w:rPr>
        <w:t>本工程环境影响评价公众参与方式和内容合法、真实，整个公参过程中，建设单位和环评单位均未收到任何形式的公众反馈意见。</w:t>
      </w:r>
    </w:p>
    <w:p w14:paraId="0E58066B">
      <w:pPr>
        <w:pStyle w:val="3"/>
        <w:bidi w:val="0"/>
      </w:pPr>
      <w:bookmarkStart w:id="102" w:name="_Toc17382"/>
      <w:r>
        <w:t>10.6 综合结论</w:t>
      </w:r>
      <w:bookmarkEnd w:id="102"/>
    </w:p>
    <w:p w14:paraId="0EB4C6EA">
      <w:pPr>
        <w:bidi w:val="0"/>
      </w:pPr>
      <w:r>
        <w:rPr>
          <w:rFonts w:hint="eastAsia"/>
        </w:rPr>
        <w:t>淮南市谢家集区朱集中型灌区续建配套与节水改造项目</w:t>
      </w:r>
      <w:r>
        <w:rPr>
          <w:color w:val="0000FF"/>
        </w:rPr>
        <w:t>主要</w:t>
      </w:r>
      <w:r>
        <w:rPr>
          <w:rFonts w:hint="eastAsia"/>
          <w:color w:val="0000FF"/>
        </w:rPr>
        <w:t>包括</w:t>
      </w:r>
      <w:r>
        <w:rPr>
          <w:color w:val="0000FF"/>
        </w:rPr>
        <w:t>渠道清淤工程、渠道险工险段及渠系建筑物除险加固、现代化改造建设工程等，并兼顾管理设施建设，是一项公益性的建设项目，</w:t>
      </w:r>
      <w:r>
        <w:t>符合国家相关产业政策、相关法律法规和规划。项目建设完成后，有利于提高</w:t>
      </w:r>
      <w:r>
        <w:rPr>
          <w:rFonts w:hint="eastAsia"/>
        </w:rPr>
        <w:t>朱集</w:t>
      </w:r>
      <w:r>
        <w:t>灌区流域的防洪能力，形成较完善的</w:t>
      </w:r>
      <w:r>
        <w:rPr>
          <w:rFonts w:hint="eastAsia"/>
        </w:rPr>
        <w:t>朱集</w:t>
      </w:r>
      <w:r>
        <w:t>灌区防洪除涝减灾体系，并拦蓄当地水资源、涵养地下水，为发展灌溉提供条件；有利于解决制约</w:t>
      </w:r>
      <w:r>
        <w:rPr>
          <w:rFonts w:hint="eastAsia"/>
        </w:rPr>
        <w:t>“</w:t>
      </w:r>
      <w:r>
        <w:t>三农</w:t>
      </w:r>
      <w:r>
        <w:rPr>
          <w:rFonts w:hint="eastAsia"/>
        </w:rPr>
        <w:t>”</w:t>
      </w:r>
      <w:r>
        <w:t>问题的洪涝灾害，保障工程所在区域</w:t>
      </w:r>
      <w:r>
        <w:rPr>
          <w:rFonts w:hint="eastAsia"/>
        </w:rPr>
        <w:t>工矿企业</w:t>
      </w:r>
      <w:r>
        <w:t>的安全，促进项目所在区域的经济发展。因此，本工程建设具有重要的意义。</w:t>
      </w:r>
    </w:p>
    <w:p w14:paraId="61B8B49A">
      <w:pPr>
        <w:bidi w:val="0"/>
      </w:pPr>
      <w:r>
        <w:t>本工程属于非污染类生态项目，项目建设不可避免会对沿线敏感区和集中居民点产生不利</w:t>
      </w:r>
      <w:r>
        <w:rPr>
          <w:rFonts w:hint="eastAsia"/>
        </w:rPr>
        <w:t>影响因素</w:t>
      </w:r>
      <w:r>
        <w:t>，针对不利因素，设计中提出了积极有效的防护措施，本环评根据评价结果补充和完善了</w:t>
      </w:r>
      <w:r>
        <w:rPr>
          <w:rFonts w:hint="eastAsia"/>
        </w:rPr>
        <w:t>有针对性</w:t>
      </w:r>
      <w:r>
        <w:t>防治措施和建议。上述环境保护措施与主体工程实现</w:t>
      </w:r>
      <w:r>
        <w:rPr>
          <w:rFonts w:hint="eastAsia"/>
        </w:rPr>
        <w:t>“</w:t>
      </w:r>
      <w:r>
        <w:t>三同时</w:t>
      </w:r>
      <w:r>
        <w:rPr>
          <w:rFonts w:hint="eastAsia"/>
        </w:rPr>
        <w:t>”</w:t>
      </w:r>
      <w:r>
        <w:t>，同时加强监控管理，本工程对环境的影响可以得到控制和缓解。</w:t>
      </w:r>
    </w:p>
    <w:p w14:paraId="5F283924">
      <w:pPr>
        <w:bidi w:val="0"/>
        <w:rPr>
          <w:color w:val="0000FF"/>
        </w:rPr>
      </w:pPr>
      <w:r>
        <w:t>在切实做好环境保护措施，落实好关于饮用水水源保护区相关法律法规要求的前提下，本工程是一项经济效益、社会效益和环境效益统一的工程。因此，本环评认为，在严格落实各项环境保护措施及建议的条件下，从环境影响角度分析，本工程建设是可行的。</w:t>
      </w:r>
    </w:p>
    <w:sectPr>
      <w:pgSz w:w="11905" w:h="16838"/>
      <w:pgMar w:top="1417" w:right="1417" w:bottom="1417" w:left="1417" w:header="850" w:footer="850" w:gutter="0"/>
      <w:pgNumType w:fmt="decimal"/>
      <w:cols w:space="0" w:num="1"/>
      <w:rtlGutter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modern"/>
    <w:pitch w:val="default"/>
    <w:sig w:usb0="800002BF" w:usb1="38CF7CFA" w:usb2="00000016" w:usb3="00000000" w:csb0="00040001" w:csb1="00000000"/>
  </w:font>
  <w:font w:name="华文新魏">
    <w:panose1 w:val="02010800040101010101"/>
    <w:charset w:val="86"/>
    <w:family w:val="auto"/>
    <w:pitch w:val="default"/>
    <w:sig w:usb0="00000001" w:usb1="080F0000" w:usb2="00000000" w:usb3="00000000" w:csb0="00040000" w:csb1="00000000"/>
  </w:font>
  <w:font w:name="CIDFont">
    <w:altName w:val="AMGDT"/>
    <w:panose1 w:val="00000000000000000000"/>
    <w:charset w:val="00"/>
    <w:family w:val="auto"/>
    <w:pitch w:val="default"/>
    <w:sig w:usb0="00000000" w:usb1="00000000" w:usb2="00000000" w:usb3="00000000" w:csb0="00000000" w:csb1="00000000"/>
  </w:font>
  <w:font w:name="Helvetica">
    <w:altName w:val="Arial"/>
    <w:panose1 w:val="020B0604020202020204"/>
    <w:charset w:val="00"/>
    <w:family w:val="swiss"/>
    <w:pitch w:val="default"/>
    <w:sig w:usb0="00000000" w:usb1="00000000" w:usb2="00000009" w:usb3="00000000" w:csb0="000001FF" w:csb1="00000000"/>
  </w:font>
  <w:font w:name="Segoe UI Symbol">
    <w:panose1 w:val="020B0502040204020203"/>
    <w:charset w:val="00"/>
    <w:family w:val="swiss"/>
    <w:pitch w:val="default"/>
    <w:sig w:usb0="800001E3" w:usb1="1200FFEF" w:usb2="00040000" w:usb3="04000000" w:csb0="00000001" w:csb1="4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PMingLiU">
    <w:altName w:val="Microsoft JhengHei UI"/>
    <w:panose1 w:val="02010601000101010101"/>
    <w:charset w:val="88"/>
    <w:family w:val="roman"/>
    <w:pitch w:val="default"/>
    <w:sig w:usb0="00000000" w:usb1="00000000" w:usb2="00000016" w:usb3="00000000" w:csb0="00100001"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AMGDT">
    <w:panose1 w:val="02000400000000000000"/>
    <w:charset w:val="00"/>
    <w:family w:val="auto"/>
    <w:pitch w:val="default"/>
    <w:sig w:usb0="80000003" w:usb1="10000000" w:usb2="00000000" w:usb3="00000000" w:csb0="00000001"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8A85F1">
    <w:pPr>
      <w:ind w:firstLine="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A2E041">
    <w:pPr>
      <w:ind w:firstLine="360"/>
      <w:jc w:val="center"/>
    </w:pPr>
    <w:r>
      <w:rPr>
        <w:sz w:val="24"/>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1889F6">
                          <w:pPr>
                            <w:pStyle w:val="12"/>
                          </w:pPr>
                          <w:r>
                            <w:fldChar w:fldCharType="begin"/>
                          </w:r>
                          <w:r>
                            <w:instrText xml:space="preserve"> PAGE  \* MERGEFORMAT </w:instrText>
                          </w:r>
                          <w:r>
                            <w:fldChar w:fldCharType="separate"/>
                          </w:r>
                          <w:r>
                            <w:t>123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241889F6">
                    <w:pPr>
                      <w:pStyle w:val="12"/>
                    </w:pPr>
                    <w:r>
                      <w:fldChar w:fldCharType="begin"/>
                    </w:r>
                    <w:r>
                      <w:instrText xml:space="preserve"> PAGE  \* MERGEFORMAT </w:instrText>
                    </w:r>
                    <w:r>
                      <w:fldChar w:fldCharType="separate"/>
                    </w:r>
                    <w:r>
                      <w:t>123</w:t>
                    </w:r>
                    <w: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4CBFFD">
    <w:pPr>
      <w:ind w:firstLine="360"/>
      <w:jc w:val="center"/>
    </w:pPr>
    <w:r>
      <w:rPr>
        <w:sz w:val="24"/>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8D26666">
                          <w:pPr>
                            <w:pStyle w:val="12"/>
                          </w:pPr>
                          <w:r>
                            <w:fldChar w:fldCharType="begin"/>
                          </w:r>
                          <w:r>
                            <w:instrText xml:space="preserve"> PAGE  \* MERGEFORMAT </w:instrText>
                          </w:r>
                          <w:r>
                            <w:fldChar w:fldCharType="separate"/>
                          </w:r>
                          <w:r>
                            <w:t>124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ptGXY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ptGXYzAgAAYwQAAA4AAAAAAAAAAQAgAAAAHwEAAGRycy9lMm9Eb2MueG1sUEsF&#10;BgAAAAAGAAYAWQEAAMQFAAAAAA==&#10;">
              <v:fill on="f" focussize="0,0"/>
              <v:stroke on="f" weight="0.5pt"/>
              <v:imagedata o:title=""/>
              <o:lock v:ext="edit" aspectratio="f"/>
              <v:textbox inset="0mm,0mm,0mm,0mm" style="mso-fit-shape-to-text:t;">
                <w:txbxContent>
                  <w:p w14:paraId="48D26666">
                    <w:pPr>
                      <w:pStyle w:val="12"/>
                    </w:pPr>
                    <w:r>
                      <w:fldChar w:fldCharType="begin"/>
                    </w:r>
                    <w:r>
                      <w:instrText xml:space="preserve"> PAGE  \* MERGEFORMAT </w:instrText>
                    </w:r>
                    <w:r>
                      <w:fldChar w:fldCharType="separate"/>
                    </w:r>
                    <w:r>
                      <w:t>124</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39B3D5">
    <w:pPr>
      <w:ind w:firstLine="360"/>
      <w:jc w:val="center"/>
    </w:pPr>
    <w:r>
      <w:rPr>
        <w:sz w:val="24"/>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4CC41F">
                          <w:pPr>
                            <w:pStyle w:val="12"/>
                          </w:pPr>
                          <w:r>
                            <w:fldChar w:fldCharType="begin"/>
                          </w:r>
                          <w:r>
                            <w:instrText xml:space="preserve"> PAGE  \* MERGEFORMAT </w:instrText>
                          </w:r>
                          <w:r>
                            <w:fldChar w:fldCharType="separate"/>
                          </w:r>
                          <w:r>
                            <w:t>141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87R3IzAgAAYw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5MKdFMoeKXH98v&#10;P39ffn0jOINAtfVzxO0sIkPzzjRom+Hc4zDybgqn4heMCPyQ93yVVzSB8HhpNpnNUrg4fMMG+MnT&#10;det8eC+MItHIqEP9WlnZaetDFzqExGzabCop2xpKTeqMTm/e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87R3IzAgAAYwQAAA4AAAAAAAAAAQAgAAAAHwEAAGRycy9lMm9Eb2MueG1sUEsF&#10;BgAAAAAGAAYAWQEAAMQFAAAAAA==&#10;">
              <v:fill on="f" focussize="0,0"/>
              <v:stroke on="f" weight="0.5pt"/>
              <v:imagedata o:title=""/>
              <o:lock v:ext="edit" aspectratio="f"/>
              <v:textbox inset="0mm,0mm,0mm,0mm" style="mso-fit-shape-to-text:t;">
                <w:txbxContent>
                  <w:p w14:paraId="734CC41F">
                    <w:pPr>
                      <w:pStyle w:val="12"/>
                    </w:pPr>
                    <w:r>
                      <w:fldChar w:fldCharType="begin"/>
                    </w:r>
                    <w:r>
                      <w:instrText xml:space="preserve"> PAGE  \* MERGEFORMAT </w:instrText>
                    </w:r>
                    <w:r>
                      <w:fldChar w:fldCharType="separate"/>
                    </w:r>
                    <w:r>
                      <w:t>141</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AEC54D">
    <w:pPr>
      <w:ind w:firstLine="360"/>
      <w:jc w:val="center"/>
    </w:pPr>
    <w:r>
      <w:rPr>
        <w:sz w:val="24"/>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3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AE55FF">
                          <w:pPr>
                            <w:pStyle w:val="12"/>
                          </w:pPr>
                          <w:r>
                            <w:fldChar w:fldCharType="begin"/>
                          </w:r>
                          <w:r>
                            <w:instrText xml:space="preserve"> PAGE  \* MERGEFORMAT </w:instrText>
                          </w:r>
                          <w:r>
                            <w:fldChar w:fldCharType="separate"/>
                          </w:r>
                          <w:r>
                            <w:t>142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YzS4AzAgAAYw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6v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YzS4AzAgAAYwQAAA4AAAAAAAAAAQAgAAAAHwEAAGRycy9lMm9Eb2MueG1sUEsF&#10;BgAAAAAGAAYAWQEAAMQFAAAAAA==&#10;">
              <v:fill on="f" focussize="0,0"/>
              <v:stroke on="f" weight="0.5pt"/>
              <v:imagedata o:title=""/>
              <o:lock v:ext="edit" aspectratio="f"/>
              <v:textbox inset="0mm,0mm,0mm,0mm" style="mso-fit-shape-to-text:t;">
                <w:txbxContent>
                  <w:p w14:paraId="39AE55FF">
                    <w:pPr>
                      <w:pStyle w:val="12"/>
                    </w:pPr>
                    <w:r>
                      <w:fldChar w:fldCharType="begin"/>
                    </w:r>
                    <w:r>
                      <w:instrText xml:space="preserve"> PAGE  \* MERGEFORMAT </w:instrText>
                    </w:r>
                    <w:r>
                      <w:fldChar w:fldCharType="separate"/>
                    </w:r>
                    <w:r>
                      <w:t>142</w:t>
                    </w:r>
                    <w: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88D183">
    <w:pPr>
      <w:ind w:firstLine="360"/>
      <w:jc w:val="center"/>
    </w:pPr>
    <w:r>
      <w:rPr>
        <w:sz w:val="24"/>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F3EC264">
                          <w:pPr>
                            <w:pStyle w:val="12"/>
                          </w:pPr>
                          <w:r>
                            <w:fldChar w:fldCharType="begin"/>
                          </w:r>
                          <w:r>
                            <w:instrText xml:space="preserve"> PAGE  \* MERGEFORMAT </w:instrText>
                          </w:r>
                          <w:r>
                            <w:fldChar w:fldCharType="separate"/>
                          </w:r>
                          <w:r>
                            <w:t>149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7J9wA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0kMUyj4qcf308/&#10;H06/vhGcQaDGhRni7h0iY/vOtmib4TzgMPFuK6/TF4wI/MA6XuQVbSQ8XZpOptMcLg7fsAF+9njd&#10;+RDfC6tJMgrqUb9OVnbYhNiHDiEpm7FrqVRXQ2VIU9Cr12/z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C7J9wAzAgAAYwQAAA4AAAAAAAAAAQAgAAAAHwEAAGRycy9lMm9Eb2MueG1sUEsF&#10;BgAAAAAGAAYAWQEAAMQFAAAAAA==&#10;">
              <v:fill on="f" focussize="0,0"/>
              <v:stroke on="f" weight="0.5pt"/>
              <v:imagedata o:title=""/>
              <o:lock v:ext="edit" aspectratio="f"/>
              <v:textbox inset="0mm,0mm,0mm,0mm" style="mso-fit-shape-to-text:t;">
                <w:txbxContent>
                  <w:p w14:paraId="1F3EC264">
                    <w:pPr>
                      <w:pStyle w:val="12"/>
                    </w:pPr>
                    <w:r>
                      <w:fldChar w:fldCharType="begin"/>
                    </w:r>
                    <w:r>
                      <w:instrText xml:space="preserve"> PAGE  \* MERGEFORMAT </w:instrText>
                    </w:r>
                    <w:r>
                      <w:fldChar w:fldCharType="separate"/>
                    </w:r>
                    <w:r>
                      <w:t>149</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17A7E1">
    <w:r>
      <w:rPr>
        <w:sz w:val="24"/>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079E7F">
                          <w:pPr>
                            <w:pStyle w:val="12"/>
                          </w:pPr>
                          <w:r>
                            <w:fldChar w:fldCharType="begin"/>
                          </w:r>
                          <w:r>
                            <w:instrText xml:space="preserve"> PAGE  \* MERGEFORMAT </w:instrText>
                          </w:r>
                          <w:r>
                            <w:fldChar w:fldCharType="separate"/>
                          </w:r>
                          <w:r>
                            <w:t>197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xhYO8zAgAAYwQAAA4AAAAAAAAAAQAgAAAAHwEAAGRycy9lMm9Eb2MueG1sUEsF&#10;BgAAAAAGAAYAWQEAAMQFAAAAAA==&#10;">
              <v:fill on="f" focussize="0,0"/>
              <v:stroke on="f" weight="0.5pt"/>
              <v:imagedata o:title=""/>
              <o:lock v:ext="edit" aspectratio="f"/>
              <v:textbox inset="0mm,0mm,0mm,0mm" style="mso-fit-shape-to-text:t;">
                <w:txbxContent>
                  <w:p w14:paraId="26079E7F">
                    <w:pPr>
                      <w:pStyle w:val="12"/>
                    </w:pPr>
                    <w:r>
                      <w:fldChar w:fldCharType="begin"/>
                    </w:r>
                    <w:r>
                      <w:instrText xml:space="preserve"> PAGE  \* MERGEFORMAT </w:instrText>
                    </w:r>
                    <w:r>
                      <w:fldChar w:fldCharType="separate"/>
                    </w:r>
                    <w:r>
                      <w:t>197</w:t>
                    </w:r>
                    <w: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0F5E25">
    <w:pPr>
      <w:jc w:val="center"/>
    </w:pPr>
    <w:r>
      <w:rPr>
        <w:sz w:val="24"/>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A8ABEE">
                          <w:pPr>
                            <w:pStyle w:val="12"/>
                          </w:pPr>
                          <w:r>
                            <w:fldChar w:fldCharType="begin"/>
                          </w:r>
                          <w:r>
                            <w:instrText xml:space="preserve"> PAGE  \* MERGEFORMAT </w:instrText>
                          </w:r>
                          <w:r>
                            <w:fldChar w:fldCharType="separate"/>
                          </w:r>
                          <w:r>
                            <w:t>226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ufqQQ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M2E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ufqQQzAgAAYwQAAA4AAAAAAAAAAQAgAAAAHwEAAGRycy9lMm9Eb2MueG1sUEsF&#10;BgAAAAAGAAYAWQEAAMQFAAAAAA==&#10;">
              <v:fill on="f" focussize="0,0"/>
              <v:stroke on="f" weight="0.5pt"/>
              <v:imagedata o:title=""/>
              <o:lock v:ext="edit" aspectratio="f"/>
              <v:textbox inset="0mm,0mm,0mm,0mm" style="mso-fit-shape-to-text:t;">
                <w:txbxContent>
                  <w:p w14:paraId="04A8ABEE">
                    <w:pPr>
                      <w:pStyle w:val="12"/>
                    </w:pPr>
                    <w:r>
                      <w:fldChar w:fldCharType="begin"/>
                    </w:r>
                    <w:r>
                      <w:instrText xml:space="preserve"> PAGE  \* MERGEFORMAT </w:instrText>
                    </w:r>
                    <w:r>
                      <w:fldChar w:fldCharType="separate"/>
                    </w:r>
                    <w:r>
                      <w:t>226</w:t>
                    </w:r>
                    <w:r>
                      <w:fldChar w:fldCharType="end"/>
                    </w:r>
                  </w:p>
                </w:txbxContent>
              </v:textbox>
            </v:shape>
          </w:pict>
        </mc:Fallback>
      </mc:AlternateContent>
    </w:r>
  </w:p>
  <w:p w14:paraId="3E226FB1"/>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0DAF8B">
    <w:pPr>
      <w:ind w:firstLine="360"/>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03B01C">
    <w:pPr>
      <w:ind w:firstLine="360"/>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20E143">
    <w:pPr>
      <w:spacing w:line="240" w:lineRule="auto"/>
    </w:pPr>
    <w:r>
      <w:rPr>
        <w:sz w:val="24"/>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FB6D37">
                          <w:pPr>
                            <w:pStyle w:val="12"/>
                          </w:pPr>
                          <w:r>
                            <w:fldChar w:fldCharType="begin"/>
                          </w:r>
                          <w:r>
                            <w:instrText xml:space="preserve"> PAGE  \* MERGEFORMAT </w:instrText>
                          </w:r>
                          <w:r>
                            <w:fldChar w:fldCharType="separate"/>
                          </w:r>
                          <w:r>
                            <w:t>231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k3PuszAgAAYw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PUVJYZpVPz0/dvp&#10;x6/Tz68EZxCocWGGuAeHyNi+tS3aZjgPOEy828rr9AUjAj/kPV7kFW0kPF2aTqbTHC4O37ABfvZ4&#10;3fkQ3wmrSTIK6lG/TlZ22ITYhw4hKZuxa6lUV0NlSFPQ66s3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k3PuszAgAAYwQAAA4AAAAAAAAAAQAgAAAAHwEAAGRycy9lMm9Eb2MueG1sUEsF&#10;BgAAAAAGAAYAWQEAAMQFAAAAAA==&#10;">
              <v:fill on="f" focussize="0,0"/>
              <v:stroke on="f" weight="0.5pt"/>
              <v:imagedata o:title=""/>
              <o:lock v:ext="edit" aspectratio="f"/>
              <v:textbox inset="0mm,0mm,0mm,0mm" style="mso-fit-shape-to-text:t;">
                <w:txbxContent>
                  <w:p w14:paraId="7BFB6D37">
                    <w:pPr>
                      <w:pStyle w:val="12"/>
                    </w:pPr>
                    <w:r>
                      <w:fldChar w:fldCharType="begin"/>
                    </w:r>
                    <w:r>
                      <w:instrText xml:space="preserve"> PAGE  \* MERGEFORMAT </w:instrText>
                    </w:r>
                    <w:r>
                      <w:fldChar w:fldCharType="separate"/>
                    </w:r>
                    <w:r>
                      <w:t>231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22E625">
    <w:pPr>
      <w:ind w:firstLine="360"/>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03205E">
    <w:pPr>
      <w:widowControl w:val="0"/>
      <w:spacing w:line="240" w:lineRule="auto"/>
    </w:pPr>
    <w:r>
      <w:rPr>
        <w:sz w:val="24"/>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068D4">
                          <w:pPr>
                            <w:pStyle w:val="12"/>
                          </w:pPr>
                          <w:r>
                            <w:fldChar w:fldCharType="begin"/>
                          </w:r>
                          <w:r>
                            <w:instrText xml:space="preserve"> PAGE  \* MERGEFORMAT </w:instrText>
                          </w:r>
                          <w:r>
                            <w:fldChar w:fldCharType="separate"/>
                          </w:r>
                          <w:r>
                            <w:t>233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bM3OczAgAAY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ObM3OczAgAAYwQAAA4AAAAAAAAAAQAgAAAAHwEAAGRycy9lMm9Eb2MueG1sUEsF&#10;BgAAAAAGAAYAWQEAAMQFAAAAAA==&#10;">
              <v:fill on="f" focussize="0,0"/>
              <v:stroke on="f" weight="0.5pt"/>
              <v:imagedata o:title=""/>
              <o:lock v:ext="edit" aspectratio="f"/>
              <v:textbox inset="0mm,0mm,0mm,0mm" style="mso-fit-shape-to-text:t;">
                <w:txbxContent>
                  <w:p w14:paraId="261068D4">
                    <w:pPr>
                      <w:pStyle w:val="12"/>
                    </w:pPr>
                    <w:r>
                      <w:fldChar w:fldCharType="begin"/>
                    </w:r>
                    <w:r>
                      <w:instrText xml:space="preserve"> PAGE  \* MERGEFORMAT </w:instrText>
                    </w:r>
                    <w:r>
                      <w:fldChar w:fldCharType="separate"/>
                    </w:r>
                    <w:r>
                      <w:t>233</w:t>
                    </w:r>
                    <w: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64B890">
    <w:pPr>
      <w:widowControl w:val="0"/>
      <w:spacing w:line="240" w:lineRule="auto"/>
    </w:pPr>
    <w:r>
      <w:rPr>
        <w:sz w:val="24"/>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BD55B7">
                          <w:pPr>
                            <w:pStyle w:val="12"/>
                          </w:pPr>
                          <w:r>
                            <w:fldChar w:fldCharType="begin"/>
                          </w:r>
                          <w:r>
                            <w:instrText xml:space="preserve"> PAGE  \* MERGEFORMAT </w:instrText>
                          </w:r>
                          <w:r>
                            <w:fldChar w:fldCharType="separate"/>
                          </w:r>
                          <w:r>
                            <w:t>279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qSjhE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DqSjhEzAgAAYwQAAA4AAAAAAAAAAQAgAAAAHwEAAGRycy9lMm9Eb2MueG1sUEsF&#10;BgAAAAAGAAYAWQEAAMQFAAAAAA==&#10;">
              <v:fill on="f" focussize="0,0"/>
              <v:stroke on="f" weight="0.5pt"/>
              <v:imagedata o:title=""/>
              <o:lock v:ext="edit" aspectratio="f"/>
              <v:textbox inset="0mm,0mm,0mm,0mm" style="mso-fit-shape-to-text:t;">
                <w:txbxContent>
                  <w:p w14:paraId="30BD55B7">
                    <w:pPr>
                      <w:pStyle w:val="12"/>
                    </w:pPr>
                    <w:r>
                      <w:fldChar w:fldCharType="begin"/>
                    </w:r>
                    <w:r>
                      <w:instrText xml:space="preserve"> PAGE  \* MERGEFORMAT </w:instrText>
                    </w:r>
                    <w:r>
                      <w:fldChar w:fldCharType="separate"/>
                    </w:r>
                    <w:r>
                      <w:t>279</w:t>
                    </w:r>
                    <w:r>
                      <w:fldChar w:fldCharType="end"/>
                    </w:r>
                  </w:p>
                </w:txbxContent>
              </v:textbox>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2C96EF">
    <w:pPr>
      <w:ind w:firstLine="360"/>
    </w:pPr>
    <w:r>
      <w:rPr>
        <w:sz w:val="24"/>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49" name="文本框 4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277B2C">
                          <w:pPr>
                            <w:pStyle w:val="12"/>
                          </w:pPr>
                          <w:r>
                            <w:fldChar w:fldCharType="begin"/>
                          </w:r>
                          <w:r>
                            <w:instrText xml:space="preserve"> PAGE  \* MERGEFORMAT </w:instrText>
                          </w:r>
                          <w:r>
                            <w:fldChar w:fldCharType="separate"/>
                          </w:r>
                          <w:r>
                            <w:t>404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g6Gf4zAgAAYwQAAA4AAABkcnMvZTJvRG9jLnhtbK1UzY7TMBC+I/EO&#10;lu80aYFV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g6Gf4zAgAAYwQAAA4AAAAAAAAAAQAgAAAAHwEAAGRycy9lMm9Eb2MueG1sUEsF&#10;BgAAAAAGAAYAWQEAAMQFAAAAAA==&#10;">
              <v:fill on="f" focussize="0,0"/>
              <v:stroke on="f" weight="0.5pt"/>
              <v:imagedata o:title=""/>
              <o:lock v:ext="edit" aspectratio="f"/>
              <v:textbox inset="0mm,0mm,0mm,0mm" style="mso-fit-shape-to-text:t;">
                <w:txbxContent>
                  <w:p w14:paraId="16277B2C">
                    <w:pPr>
                      <w:pStyle w:val="12"/>
                    </w:pPr>
                    <w:r>
                      <w:fldChar w:fldCharType="begin"/>
                    </w:r>
                    <w:r>
                      <w:instrText xml:space="preserve"> PAGE  \* MERGEFORMAT </w:instrText>
                    </w:r>
                    <w:r>
                      <w:fldChar w:fldCharType="separate"/>
                    </w:r>
                    <w:r>
                      <w:t>404</w:t>
                    </w:r>
                    <w: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4A90C9">
    <w:r>
      <w:rPr>
        <w:sz w:val="24"/>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50" name="文本框 5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7E6E00">
                          <w:pPr>
                            <w:pStyle w:val="12"/>
                          </w:pPr>
                          <w:r>
                            <w:fldChar w:fldCharType="begin"/>
                          </w:r>
                          <w:r>
                            <w:instrText xml:space="preserve"> PAGE  \* MERGEFORMAT </w:instrText>
                          </w:r>
                          <w:r>
                            <w:fldChar w:fldCharType="separate"/>
                          </w:r>
                          <w:r>
                            <w:t>420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Dp+ypgwAgAAYwQAAA4AAAAAAAAAAQAgAAAAHwEAAGRycy9lMm9Eb2MueG1sUEsFBgAA&#10;AAAGAAYAWQEAAMEFAAAAAA==&#10;">
              <v:fill on="f" focussize="0,0"/>
              <v:stroke on="f" weight="0.5pt"/>
              <v:imagedata o:title=""/>
              <o:lock v:ext="edit" aspectratio="f"/>
              <v:textbox inset="0mm,0mm,0mm,0mm" style="mso-fit-shape-to-text:t;">
                <w:txbxContent>
                  <w:p w14:paraId="197E6E00">
                    <w:pPr>
                      <w:pStyle w:val="12"/>
                    </w:pPr>
                    <w:r>
                      <w:fldChar w:fldCharType="begin"/>
                    </w:r>
                    <w:r>
                      <w:instrText xml:space="preserve"> PAGE  \* MERGEFORMAT </w:instrText>
                    </w:r>
                    <w:r>
                      <w:fldChar w:fldCharType="separate"/>
                    </w:r>
                    <w:r>
                      <w:t>420</w:t>
                    </w:r>
                    <w: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55EF83">
    <w:r>
      <w:rPr>
        <w:sz w:val="24"/>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C54815">
                          <w:pPr>
                            <w:pStyle w:val="12"/>
                          </w:pPr>
                          <w:r>
                            <w:fldChar w:fldCharType="begin"/>
                          </w:r>
                          <w:r>
                            <w:instrText xml:space="preserve"> PAGE  \* MERGEFORMAT </w:instrText>
                          </w:r>
                          <w:r>
                            <w:fldChar w:fldCharType="separate"/>
                          </w:r>
                          <w:r>
                            <w:t>430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8olJw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8olJwzAgAAYwQAAA4AAAAAAAAAAQAgAAAAHwEAAGRycy9lMm9Eb2MueG1sUEsF&#10;BgAAAAAGAAYAWQEAAMQFAAAAAA==&#10;">
              <v:fill on="f" focussize="0,0"/>
              <v:stroke on="f" weight="0.5pt"/>
              <v:imagedata o:title=""/>
              <o:lock v:ext="edit" aspectratio="f"/>
              <v:textbox inset="0mm,0mm,0mm,0mm" style="mso-fit-shape-to-text:t;">
                <w:txbxContent>
                  <w:p w14:paraId="7BC54815">
                    <w:pPr>
                      <w:pStyle w:val="12"/>
                    </w:pPr>
                    <w:r>
                      <w:fldChar w:fldCharType="begin"/>
                    </w:r>
                    <w:r>
                      <w:instrText xml:space="preserve"> PAGE  \* MERGEFORMAT </w:instrText>
                    </w:r>
                    <w:r>
                      <w:fldChar w:fldCharType="separate"/>
                    </w:r>
                    <w:r>
                      <w:t>430</w:t>
                    </w:r>
                    <w:r>
                      <w:fldChar w:fldCharType="end"/>
                    </w:r>
                  </w:p>
                </w:txbxContent>
              </v:textbox>
            </v:shape>
          </w:pict>
        </mc:Fallback>
      </mc:AlternateConten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696445">
    <w:pPr>
      <w:pBdr>
        <w:top w:val="single" w:color="auto" w:sz="4" w:space="0"/>
      </w:pBdr>
      <w:tabs>
        <w:tab w:val="center" w:pos="4153"/>
        <w:tab w:val="right" w:pos="8306"/>
      </w:tabs>
      <w:ind w:firstLine="360"/>
      <w:rPr>
        <w:sz w:val="18"/>
        <w:szCs w:val="18"/>
      </w:rPr>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C4DAE9">
                          <w:pPr>
                            <w:pStyle w:val="12"/>
                          </w:pPr>
                          <w:r>
                            <w:fldChar w:fldCharType="begin"/>
                          </w:r>
                          <w:r>
                            <w:instrText xml:space="preserve"> PAGE  \* MERGEFORMAT </w:instrText>
                          </w:r>
                          <w:r>
                            <w:fldChar w:fldCharType="separate"/>
                          </w:r>
                          <w:r>
                            <w:t>456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2AA3M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9d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2AA3MzAgAAYwQAAA4AAAAAAAAAAQAgAAAAHwEAAGRycy9lMm9Eb2MueG1sUEsF&#10;BgAAAAAGAAYAWQEAAMQFAAAAAA==&#10;">
              <v:fill on="f" focussize="0,0"/>
              <v:stroke on="f" weight="0.5pt"/>
              <v:imagedata o:title=""/>
              <o:lock v:ext="edit" aspectratio="f"/>
              <v:textbox inset="0mm,0mm,0mm,0mm" style="mso-fit-shape-to-text:t;">
                <w:txbxContent>
                  <w:p w14:paraId="16C4DAE9">
                    <w:pPr>
                      <w:pStyle w:val="12"/>
                    </w:pPr>
                    <w:r>
                      <w:fldChar w:fldCharType="begin"/>
                    </w:r>
                    <w:r>
                      <w:instrText xml:space="preserve"> PAGE  \* MERGEFORMAT </w:instrText>
                    </w:r>
                    <w:r>
                      <w:fldChar w:fldCharType="separate"/>
                    </w:r>
                    <w:r>
                      <w:t>456</w:t>
                    </w:r>
                    <w: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C355DA">
    <w:pPr>
      <w:tabs>
        <w:tab w:val="center" w:pos="4153"/>
        <w:tab w:val="right" w:pos="8306"/>
      </w:tabs>
      <w:ind w:firstLine="360"/>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81727E">
    <w:pPr>
      <w:tabs>
        <w:tab w:val="center" w:pos="4153"/>
        <w:tab w:val="right" w:pos="8306"/>
      </w:tabs>
      <w:ind w:firstLine="360"/>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2C5E2D">
    <w:r>
      <w:rPr>
        <w:sz w:val="24"/>
      </w:rP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54" name="文本框 5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C16FDC">
                          <w:pPr>
                            <w:pStyle w:val="12"/>
                          </w:pPr>
                          <w:r>
                            <w:fldChar w:fldCharType="begin"/>
                          </w:r>
                          <w:r>
                            <w:instrText xml:space="preserve"> PAGE  \* MERGEFORMAT </w:instrText>
                          </w:r>
                          <w:r>
                            <w:fldChar w:fldCharType="separate"/>
                          </w:r>
                          <w:r>
                            <w:t>474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TdpAzAgAAYwQAAA4AAABkcnMvZTJvRG9jLnhtbK1UzY7TMBC+I/EO&#10;lu80aWFX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69oU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2lvX7Or+AjrP&#10;srDRD5bHNFFIb5f7ADGTxlGgXpWzbui9VKXznMTm/nOf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DTdpAzAgAAYwQAAA4AAAAAAAAAAQAgAAAAHwEAAGRycy9lMm9Eb2MueG1sUEsF&#10;BgAAAAAGAAYAWQEAAMQFAAAAAA==&#10;">
              <v:fill on="f" focussize="0,0"/>
              <v:stroke on="f" weight="0.5pt"/>
              <v:imagedata o:title=""/>
              <o:lock v:ext="edit" aspectratio="f"/>
              <v:textbox inset="0mm,0mm,0mm,0mm" style="mso-fit-shape-to-text:t;">
                <w:txbxContent>
                  <w:p w14:paraId="5EC16FDC">
                    <w:pPr>
                      <w:pStyle w:val="12"/>
                    </w:pPr>
                    <w:r>
                      <w:fldChar w:fldCharType="begin"/>
                    </w:r>
                    <w:r>
                      <w:instrText xml:space="preserve"> PAGE  \* MERGEFORMAT </w:instrText>
                    </w:r>
                    <w:r>
                      <w:fldChar w:fldCharType="separate"/>
                    </w:r>
                    <w:r>
                      <w:t>474</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EB6B90">
    <w:pPr>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2D4590">
    <w:pPr>
      <w:spacing w:line="240" w:lineRule="auto"/>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990D17">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431CC4C">
                          <w:pPr>
                            <w:pStyle w:val="12"/>
                          </w:pPr>
                          <w:r>
                            <w:fldChar w:fldCharType="begin"/>
                          </w:r>
                          <w:r>
                            <w:instrText xml:space="preserve"> PAGE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4431CC4C">
                    <w:pPr>
                      <w:pStyle w:val="12"/>
                    </w:pPr>
                    <w:r>
                      <w:fldChar w:fldCharType="begin"/>
                    </w:r>
                    <w:r>
                      <w:instrText xml:space="preserve"> PAGE  \* MERGEFORMAT </w:instrText>
                    </w:r>
                    <w:r>
                      <w:fldChar w:fldCharType="separate"/>
                    </w:r>
                    <w:r>
                      <w:t>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E77F13">
    <w:pPr>
      <w:ind w:firstLine="360"/>
      <w:jc w:val="center"/>
    </w:pPr>
    <w:r>
      <w:rPr>
        <w:sz w:val="24"/>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A82AD32">
                          <w:pPr>
                            <w:pStyle w:val="12"/>
                          </w:pPr>
                          <w:r>
                            <w:fldChar w:fldCharType="begin"/>
                          </w:r>
                          <w:r>
                            <w:instrText xml:space="preserve"> PAGE  \* MERGEFORMAT </w:instrText>
                          </w:r>
                          <w:r>
                            <w:fldChar w:fldCharType="separate"/>
                          </w:r>
                          <w:r>
                            <w:t>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5A82AD32">
                    <w:pPr>
                      <w:pStyle w:val="12"/>
                    </w:pPr>
                    <w:r>
                      <w:fldChar w:fldCharType="begin"/>
                    </w:r>
                    <w:r>
                      <w:instrText xml:space="preserve"> PAGE  \* MERGEFORMAT </w:instrText>
                    </w:r>
                    <w:r>
                      <w:fldChar w:fldCharType="separate"/>
                    </w:r>
                    <w:r>
                      <w:t>6</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2A0295">
    <w:pPr>
      <w:ind w:firstLine="360"/>
      <w:jc w:val="center"/>
    </w:pPr>
    <w:r>
      <w:rPr>
        <w:sz w:val="24"/>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29F5FF0">
                          <w:pPr>
                            <w:pStyle w:val="12"/>
                          </w:pPr>
                          <w:r>
                            <w:fldChar w:fldCharType="begin"/>
                          </w:r>
                          <w:r>
                            <w:instrText xml:space="preserve"> PAGE  \* MERGEFORMAT </w:instrText>
                          </w:r>
                          <w:r>
                            <w:fldChar w:fldCharType="separate"/>
                          </w:r>
                          <w:r>
                            <w:t>18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29F5FF0">
                    <w:pPr>
                      <w:pStyle w:val="12"/>
                    </w:pPr>
                    <w:r>
                      <w:fldChar w:fldCharType="begin"/>
                    </w:r>
                    <w:r>
                      <w:instrText xml:space="preserve"> PAGE  \* MERGEFORMAT </w:instrText>
                    </w:r>
                    <w:r>
                      <w:fldChar w:fldCharType="separate"/>
                    </w:r>
                    <w:r>
                      <w:t>18</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C2EE4">
    <w:pPr>
      <w:ind w:firstLine="360"/>
      <w:jc w:val="center"/>
    </w:pPr>
    <w:r>
      <w:rPr>
        <w:sz w:val="24"/>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E8B2B5">
                          <w:pPr>
                            <w:pStyle w:val="12"/>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14:paraId="2BE8B2B5">
                    <w:pPr>
                      <w:pStyle w:val="12"/>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460CCF">
    <w:pPr>
      <w:ind w:firstLine="360"/>
      <w:jc w:val="center"/>
    </w:pPr>
    <w:r>
      <w:rPr>
        <w:sz w:val="24"/>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4EB54F">
                          <w:pPr>
                            <w:pStyle w:val="12"/>
                          </w:pPr>
                          <w:r>
                            <w:fldChar w:fldCharType="begin"/>
                          </w:r>
                          <w:r>
                            <w:instrText xml:space="preserve"> PAGE  \* MERGEFORMAT </w:instrText>
                          </w:r>
                          <w:r>
                            <w:fldChar w:fldCharType="separate"/>
                          </w:r>
                          <w:r>
                            <w:t>101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R3mO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GJYRoVv3z/dvnx&#10;6/LzK8EZBKpdmCNu5xAZm7e2QdsM5wGHiXdTep2+YETgB9b5Kq9oIuHp0mw6m43h4vANG+Bnj9ed&#10;D/GdsJokI6ce9WtlZadtiF3oEJKyGbuRSrU1VIbUOb15/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HeY5jICAABjBAAADgAAAAAAAAABACAAAAAfAQAAZHJzL2Uyb0RvYy54bWxQSwUG&#10;AAAAAAYABgBZAQAAwwUAAAAA&#10;">
              <v:fill on="f" focussize="0,0"/>
              <v:stroke on="f" weight="0.5pt"/>
              <v:imagedata o:title=""/>
              <o:lock v:ext="edit" aspectratio="f"/>
              <v:textbox inset="0mm,0mm,0mm,0mm" style="mso-fit-shape-to-text:t;">
                <w:txbxContent>
                  <w:p w14:paraId="134EB54F">
                    <w:pPr>
                      <w:pStyle w:val="12"/>
                    </w:pPr>
                    <w:r>
                      <w:fldChar w:fldCharType="begin"/>
                    </w:r>
                    <w:r>
                      <w:instrText xml:space="preserve"> PAGE  \* MERGEFORMAT </w:instrText>
                    </w:r>
                    <w:r>
                      <w:fldChar w:fldCharType="separate"/>
                    </w:r>
                    <w:r>
                      <w:t>101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6906D4">
    <w:pPr>
      <w:pBdr>
        <w:bottom w:val="none" w:color="auto" w:sz="0" w:space="1"/>
      </w:pBdr>
      <w:ind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742649">
    <w:pPr>
      <w:spacing w:line="240" w:lineRule="auto"/>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F814AE"/>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BA16C0">
    <w:pPr>
      <w:ind w:firstLine="360"/>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EAA4CE">
    <w:pPr>
      <w:ind w:firstLine="360"/>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88D25C">
    <w:pPr>
      <w:pBdr>
        <w:top w:val="none" w:color="auto" w:sz="0" w:space="0"/>
        <w:left w:val="none" w:color="auto" w:sz="0" w:space="0"/>
        <w:bottom w:val="none" w:color="auto" w:sz="0" w:space="0"/>
        <w:right w:val="none" w:color="auto" w:sz="0" w:space="0"/>
        <w:between w:val="none" w:color="auto" w:sz="0" w:space="0"/>
      </w:pBdr>
      <w:spacing w:line="240" w:lineRule="auto"/>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24025">
    <w:pPr>
      <w:spacing w:line="240" w:lineRule="auto"/>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92F812">
    <w:pPr>
      <w:spacing w:line="240" w:lineRule="auto"/>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A65BD5">
    <w:pPr>
      <w:spacing w:line="240" w:lineRule="auto"/>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AF4AC0">
    <w:pPr>
      <w:spacing w:line="240" w:lineRule="auto"/>
      <w:rPr>
        <w:sz w:val="20"/>
        <w:szCs w:val="20"/>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A82977">
    <w:pPr>
      <w:spacing w:line="240" w:lineRule="auto"/>
      <w:rPr>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1174E1">
    <w:pPr>
      <w:ind w:firstLine="360"/>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5B9264">
    <w:pPr>
      <w:pBdr>
        <w:bottom w:val="single" w:color="auto" w:sz="4" w:space="1"/>
      </w:pBdr>
      <w:tabs>
        <w:tab w:val="center" w:pos="4153"/>
        <w:tab w:val="right" w:pos="8306"/>
      </w:tabs>
      <w:spacing w:line="240" w:lineRule="auto"/>
      <w:rPr>
        <w:sz w:val="21"/>
        <w:szCs w:val="21"/>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50B6D0">
    <w:pPr>
      <w:tabs>
        <w:tab w:val="center" w:pos="4153"/>
        <w:tab w:val="right" w:pos="8306"/>
      </w:tabs>
      <w:ind w:firstLine="360"/>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6A8AD8">
    <w:pPr>
      <w:tabs>
        <w:tab w:val="center" w:pos="4153"/>
        <w:tab w:val="right" w:pos="8306"/>
      </w:tabs>
      <w:ind w:firstLine="360"/>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898670">
    <w:pPr>
      <w:spacing w:line="240" w:lineRule="aut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FA1C20">
    <w:pP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32ACC2">
    <w:pPr>
      <w:spacing w:line="240" w:lineRule="aut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59BE05">
    <w:pPr>
      <w:spacing w:line="240" w:lineRule="auto"/>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5A20">
    <w:pPr>
      <w:spacing w:line="240" w:lineRule="auto"/>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3AEAD3">
    <w:pPr>
      <w:spacing w:line="240" w:lineRule="auto"/>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A76E5B">
    <w:pPr>
      <w:spacing w:line="240" w:lineRule="auto"/>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3A4FBE">
    <w:pPr>
      <w:spacing w:line="240" w:lineRule="aut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9BFDE12"/>
    <w:multiLevelType w:val="singleLevel"/>
    <w:tmpl w:val="D9BFDE12"/>
    <w:lvl w:ilvl="0" w:tentative="0">
      <w:start w:val="1"/>
      <w:numFmt w:val="decimal"/>
      <w:suff w:val="nothing"/>
      <w:lvlText w:val="%1、"/>
      <w:lvlJc w:val="left"/>
      <w:pPr>
        <w:ind w:left="-60"/>
      </w:pPr>
    </w:lvl>
  </w:abstractNum>
  <w:abstractNum w:abstractNumId="1">
    <w:nsid w:val="191AFB21"/>
    <w:multiLevelType w:val="singleLevel"/>
    <w:tmpl w:val="191AFB21"/>
    <w:lvl w:ilvl="0" w:tentative="0">
      <w:start w:val="1"/>
      <w:numFmt w:val="decimal"/>
      <w:suff w:val="nothing"/>
      <w:lvlText w:val="（%1）"/>
      <w:lvlJc w:val="left"/>
    </w:lvl>
  </w:abstractNum>
  <w:abstractNum w:abstractNumId="2">
    <w:nsid w:val="309C9F9E"/>
    <w:multiLevelType w:val="singleLevel"/>
    <w:tmpl w:val="309C9F9E"/>
    <w:lvl w:ilvl="0" w:tentative="0">
      <w:start w:val="1"/>
      <w:numFmt w:val="decimal"/>
      <w:suff w:val="nothing"/>
      <w:lvlText w:val="%1、"/>
      <w:lvlJc w:val="left"/>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isplayBackgroundShape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420"/>
  <w:drawingGridHorizontalSpacing w:val="240"/>
  <w:drawingGridVerticalSpacing w:val="99999990"/>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cxNGVkMzM3MTg5MGIwZWExZGJiNzhmOWRiNzhmNTAifQ=="/>
  </w:docVars>
  <w:rsids>
    <w:rsidRoot w:val="00492E76"/>
    <w:rsid w:val="00000128"/>
    <w:rsid w:val="00000188"/>
    <w:rsid w:val="0000021B"/>
    <w:rsid w:val="000003BE"/>
    <w:rsid w:val="00000403"/>
    <w:rsid w:val="000004A7"/>
    <w:rsid w:val="000004C2"/>
    <w:rsid w:val="000004DB"/>
    <w:rsid w:val="00000618"/>
    <w:rsid w:val="000006E1"/>
    <w:rsid w:val="000009E6"/>
    <w:rsid w:val="00000AED"/>
    <w:rsid w:val="00000B2D"/>
    <w:rsid w:val="00000ECD"/>
    <w:rsid w:val="00000FB4"/>
    <w:rsid w:val="00001160"/>
    <w:rsid w:val="000011D3"/>
    <w:rsid w:val="00001256"/>
    <w:rsid w:val="000014A7"/>
    <w:rsid w:val="000016A0"/>
    <w:rsid w:val="00001966"/>
    <w:rsid w:val="00001B38"/>
    <w:rsid w:val="00001C6D"/>
    <w:rsid w:val="00002397"/>
    <w:rsid w:val="000023A2"/>
    <w:rsid w:val="00002589"/>
    <w:rsid w:val="00002627"/>
    <w:rsid w:val="00002636"/>
    <w:rsid w:val="00002798"/>
    <w:rsid w:val="00002836"/>
    <w:rsid w:val="000029AA"/>
    <w:rsid w:val="00002ACB"/>
    <w:rsid w:val="00002BB6"/>
    <w:rsid w:val="00002EDC"/>
    <w:rsid w:val="00002FB5"/>
    <w:rsid w:val="00003122"/>
    <w:rsid w:val="0000319A"/>
    <w:rsid w:val="00003572"/>
    <w:rsid w:val="000038BB"/>
    <w:rsid w:val="000038E9"/>
    <w:rsid w:val="00003984"/>
    <w:rsid w:val="000039CA"/>
    <w:rsid w:val="00003DF5"/>
    <w:rsid w:val="0000401C"/>
    <w:rsid w:val="000046CA"/>
    <w:rsid w:val="00004883"/>
    <w:rsid w:val="00004A86"/>
    <w:rsid w:val="00004E64"/>
    <w:rsid w:val="00004E7E"/>
    <w:rsid w:val="0000536B"/>
    <w:rsid w:val="00005563"/>
    <w:rsid w:val="000055AA"/>
    <w:rsid w:val="000056EA"/>
    <w:rsid w:val="00005AE4"/>
    <w:rsid w:val="00005BB0"/>
    <w:rsid w:val="00005CF2"/>
    <w:rsid w:val="000061BA"/>
    <w:rsid w:val="000061BE"/>
    <w:rsid w:val="00006284"/>
    <w:rsid w:val="00006701"/>
    <w:rsid w:val="00006841"/>
    <w:rsid w:val="000069B0"/>
    <w:rsid w:val="00006B46"/>
    <w:rsid w:val="00006F29"/>
    <w:rsid w:val="00006F4F"/>
    <w:rsid w:val="0000736F"/>
    <w:rsid w:val="000074E3"/>
    <w:rsid w:val="000075CC"/>
    <w:rsid w:val="00007A66"/>
    <w:rsid w:val="00007A7A"/>
    <w:rsid w:val="00007C87"/>
    <w:rsid w:val="00007CB9"/>
    <w:rsid w:val="00007CEB"/>
    <w:rsid w:val="000100D9"/>
    <w:rsid w:val="00010171"/>
    <w:rsid w:val="0001017F"/>
    <w:rsid w:val="000103CB"/>
    <w:rsid w:val="0001057B"/>
    <w:rsid w:val="0001060E"/>
    <w:rsid w:val="000108A9"/>
    <w:rsid w:val="0001092E"/>
    <w:rsid w:val="00010BBF"/>
    <w:rsid w:val="00010BE3"/>
    <w:rsid w:val="0001107D"/>
    <w:rsid w:val="00011092"/>
    <w:rsid w:val="0001123E"/>
    <w:rsid w:val="0001127F"/>
    <w:rsid w:val="000112B9"/>
    <w:rsid w:val="0001166F"/>
    <w:rsid w:val="0001167B"/>
    <w:rsid w:val="0001178A"/>
    <w:rsid w:val="000118A3"/>
    <w:rsid w:val="00011DE1"/>
    <w:rsid w:val="00012321"/>
    <w:rsid w:val="00012C8F"/>
    <w:rsid w:val="000133D6"/>
    <w:rsid w:val="00013527"/>
    <w:rsid w:val="00013687"/>
    <w:rsid w:val="00013853"/>
    <w:rsid w:val="000139A8"/>
    <w:rsid w:val="00013A64"/>
    <w:rsid w:val="00013AD4"/>
    <w:rsid w:val="00013CF9"/>
    <w:rsid w:val="00013D19"/>
    <w:rsid w:val="00013EDA"/>
    <w:rsid w:val="0001418B"/>
    <w:rsid w:val="00014452"/>
    <w:rsid w:val="00014512"/>
    <w:rsid w:val="00014739"/>
    <w:rsid w:val="00014A48"/>
    <w:rsid w:val="0001545F"/>
    <w:rsid w:val="0001568C"/>
    <w:rsid w:val="00015B91"/>
    <w:rsid w:val="00015C5D"/>
    <w:rsid w:val="00015D5F"/>
    <w:rsid w:val="0001619A"/>
    <w:rsid w:val="00016238"/>
    <w:rsid w:val="0001631A"/>
    <w:rsid w:val="00016568"/>
    <w:rsid w:val="00016ABF"/>
    <w:rsid w:val="00016CFA"/>
    <w:rsid w:val="00016E3B"/>
    <w:rsid w:val="00017143"/>
    <w:rsid w:val="000175B5"/>
    <w:rsid w:val="0001799D"/>
    <w:rsid w:val="00017B1B"/>
    <w:rsid w:val="00017D26"/>
    <w:rsid w:val="00017D52"/>
    <w:rsid w:val="00020594"/>
    <w:rsid w:val="0002063A"/>
    <w:rsid w:val="0002081E"/>
    <w:rsid w:val="000208BB"/>
    <w:rsid w:val="00020A51"/>
    <w:rsid w:val="00020A54"/>
    <w:rsid w:val="00021305"/>
    <w:rsid w:val="000213A6"/>
    <w:rsid w:val="000213D9"/>
    <w:rsid w:val="00021591"/>
    <w:rsid w:val="00021754"/>
    <w:rsid w:val="000217F9"/>
    <w:rsid w:val="00021810"/>
    <w:rsid w:val="00021D2A"/>
    <w:rsid w:val="00021F82"/>
    <w:rsid w:val="0002209B"/>
    <w:rsid w:val="000221AA"/>
    <w:rsid w:val="000225B2"/>
    <w:rsid w:val="000225DF"/>
    <w:rsid w:val="000229B4"/>
    <w:rsid w:val="00022BC8"/>
    <w:rsid w:val="00022BD3"/>
    <w:rsid w:val="00022CDD"/>
    <w:rsid w:val="00022EBE"/>
    <w:rsid w:val="000230F0"/>
    <w:rsid w:val="00023210"/>
    <w:rsid w:val="00023628"/>
    <w:rsid w:val="00023BF0"/>
    <w:rsid w:val="0002428D"/>
    <w:rsid w:val="00024523"/>
    <w:rsid w:val="000245BD"/>
    <w:rsid w:val="00024906"/>
    <w:rsid w:val="00024933"/>
    <w:rsid w:val="00024B6D"/>
    <w:rsid w:val="00024F00"/>
    <w:rsid w:val="00025004"/>
    <w:rsid w:val="00025146"/>
    <w:rsid w:val="00025A74"/>
    <w:rsid w:val="00025D5C"/>
    <w:rsid w:val="00025E60"/>
    <w:rsid w:val="000264D0"/>
    <w:rsid w:val="0002657A"/>
    <w:rsid w:val="000265DE"/>
    <w:rsid w:val="00026E17"/>
    <w:rsid w:val="00026F99"/>
    <w:rsid w:val="00027019"/>
    <w:rsid w:val="00027530"/>
    <w:rsid w:val="00027AE6"/>
    <w:rsid w:val="00027AFA"/>
    <w:rsid w:val="0003011C"/>
    <w:rsid w:val="0003016C"/>
    <w:rsid w:val="000301A0"/>
    <w:rsid w:val="0003021C"/>
    <w:rsid w:val="00030472"/>
    <w:rsid w:val="00030494"/>
    <w:rsid w:val="000307C4"/>
    <w:rsid w:val="000309E5"/>
    <w:rsid w:val="00030A90"/>
    <w:rsid w:val="00030AE7"/>
    <w:rsid w:val="00030C6F"/>
    <w:rsid w:val="00030C81"/>
    <w:rsid w:val="00030D65"/>
    <w:rsid w:val="00030DF1"/>
    <w:rsid w:val="000313B5"/>
    <w:rsid w:val="00031654"/>
    <w:rsid w:val="000317FB"/>
    <w:rsid w:val="00031D81"/>
    <w:rsid w:val="00031E8A"/>
    <w:rsid w:val="000320AF"/>
    <w:rsid w:val="00032104"/>
    <w:rsid w:val="00032320"/>
    <w:rsid w:val="000324D9"/>
    <w:rsid w:val="00032653"/>
    <w:rsid w:val="000326AC"/>
    <w:rsid w:val="00032A03"/>
    <w:rsid w:val="00032D36"/>
    <w:rsid w:val="00032E69"/>
    <w:rsid w:val="000337E9"/>
    <w:rsid w:val="00033B31"/>
    <w:rsid w:val="00033B3D"/>
    <w:rsid w:val="00033C8F"/>
    <w:rsid w:val="00033CE1"/>
    <w:rsid w:val="00033F01"/>
    <w:rsid w:val="00034108"/>
    <w:rsid w:val="00034178"/>
    <w:rsid w:val="00034265"/>
    <w:rsid w:val="00034385"/>
    <w:rsid w:val="000344CB"/>
    <w:rsid w:val="000349E8"/>
    <w:rsid w:val="00034D6F"/>
    <w:rsid w:val="00035218"/>
    <w:rsid w:val="00035704"/>
    <w:rsid w:val="00035B27"/>
    <w:rsid w:val="00035B41"/>
    <w:rsid w:val="00035D84"/>
    <w:rsid w:val="0003692E"/>
    <w:rsid w:val="00036BFC"/>
    <w:rsid w:val="00036CC4"/>
    <w:rsid w:val="00036E60"/>
    <w:rsid w:val="00036EC2"/>
    <w:rsid w:val="000370E2"/>
    <w:rsid w:val="000373DE"/>
    <w:rsid w:val="00037931"/>
    <w:rsid w:val="0003794E"/>
    <w:rsid w:val="00037A95"/>
    <w:rsid w:val="00037B1A"/>
    <w:rsid w:val="00037CA8"/>
    <w:rsid w:val="00037D29"/>
    <w:rsid w:val="00037DB0"/>
    <w:rsid w:val="0004004D"/>
    <w:rsid w:val="00040CB3"/>
    <w:rsid w:val="00040CF3"/>
    <w:rsid w:val="00040DA4"/>
    <w:rsid w:val="00041136"/>
    <w:rsid w:val="000415D2"/>
    <w:rsid w:val="00042325"/>
    <w:rsid w:val="000429CF"/>
    <w:rsid w:val="00042CED"/>
    <w:rsid w:val="00043007"/>
    <w:rsid w:val="0004307E"/>
    <w:rsid w:val="00043619"/>
    <w:rsid w:val="00043B41"/>
    <w:rsid w:val="00043CB1"/>
    <w:rsid w:val="00043E71"/>
    <w:rsid w:val="000446FF"/>
    <w:rsid w:val="00044753"/>
    <w:rsid w:val="00044764"/>
    <w:rsid w:val="000449C9"/>
    <w:rsid w:val="00044B07"/>
    <w:rsid w:val="000450DF"/>
    <w:rsid w:val="000451BC"/>
    <w:rsid w:val="0004545B"/>
    <w:rsid w:val="00045B43"/>
    <w:rsid w:val="00045BD1"/>
    <w:rsid w:val="00045DB7"/>
    <w:rsid w:val="00045FE6"/>
    <w:rsid w:val="000460B8"/>
    <w:rsid w:val="0004656B"/>
    <w:rsid w:val="00046600"/>
    <w:rsid w:val="0004660F"/>
    <w:rsid w:val="000468D9"/>
    <w:rsid w:val="000468E9"/>
    <w:rsid w:val="00046953"/>
    <w:rsid w:val="00046B3F"/>
    <w:rsid w:val="00046D69"/>
    <w:rsid w:val="00046DCA"/>
    <w:rsid w:val="00046E7C"/>
    <w:rsid w:val="00046ED0"/>
    <w:rsid w:val="00046FB2"/>
    <w:rsid w:val="00046FCA"/>
    <w:rsid w:val="000471DD"/>
    <w:rsid w:val="0004734A"/>
    <w:rsid w:val="000476B2"/>
    <w:rsid w:val="000476D5"/>
    <w:rsid w:val="000479CE"/>
    <w:rsid w:val="00047AB7"/>
    <w:rsid w:val="00047B5A"/>
    <w:rsid w:val="00047EE6"/>
    <w:rsid w:val="00050182"/>
    <w:rsid w:val="0005022B"/>
    <w:rsid w:val="000506EF"/>
    <w:rsid w:val="000507C7"/>
    <w:rsid w:val="00050F4C"/>
    <w:rsid w:val="0005147A"/>
    <w:rsid w:val="00051844"/>
    <w:rsid w:val="0005195F"/>
    <w:rsid w:val="00051A34"/>
    <w:rsid w:val="00051D65"/>
    <w:rsid w:val="00051DBC"/>
    <w:rsid w:val="00051DEA"/>
    <w:rsid w:val="0005211C"/>
    <w:rsid w:val="00052294"/>
    <w:rsid w:val="000522E7"/>
    <w:rsid w:val="00052309"/>
    <w:rsid w:val="00052617"/>
    <w:rsid w:val="0005275A"/>
    <w:rsid w:val="0005275E"/>
    <w:rsid w:val="0005287A"/>
    <w:rsid w:val="00052B1B"/>
    <w:rsid w:val="00052C26"/>
    <w:rsid w:val="00052DAE"/>
    <w:rsid w:val="00052F3A"/>
    <w:rsid w:val="00053115"/>
    <w:rsid w:val="0005312F"/>
    <w:rsid w:val="00053186"/>
    <w:rsid w:val="00053472"/>
    <w:rsid w:val="000537A0"/>
    <w:rsid w:val="000537A6"/>
    <w:rsid w:val="00053805"/>
    <w:rsid w:val="00053CC8"/>
    <w:rsid w:val="00053CCB"/>
    <w:rsid w:val="000540F0"/>
    <w:rsid w:val="00054725"/>
    <w:rsid w:val="000547DB"/>
    <w:rsid w:val="00054809"/>
    <w:rsid w:val="000549D1"/>
    <w:rsid w:val="00054BB9"/>
    <w:rsid w:val="00054F17"/>
    <w:rsid w:val="00055613"/>
    <w:rsid w:val="00055D97"/>
    <w:rsid w:val="000563B1"/>
    <w:rsid w:val="000564B8"/>
    <w:rsid w:val="00056780"/>
    <w:rsid w:val="00056912"/>
    <w:rsid w:val="000569A5"/>
    <w:rsid w:val="00056D8C"/>
    <w:rsid w:val="00056FA2"/>
    <w:rsid w:val="00056FF2"/>
    <w:rsid w:val="000571BC"/>
    <w:rsid w:val="000574FA"/>
    <w:rsid w:val="000575FB"/>
    <w:rsid w:val="00057706"/>
    <w:rsid w:val="000578A0"/>
    <w:rsid w:val="00057AB6"/>
    <w:rsid w:val="00057C36"/>
    <w:rsid w:val="00057D90"/>
    <w:rsid w:val="00057EF6"/>
    <w:rsid w:val="00057F4D"/>
    <w:rsid w:val="00060604"/>
    <w:rsid w:val="0006088F"/>
    <w:rsid w:val="000608C2"/>
    <w:rsid w:val="00060A6B"/>
    <w:rsid w:val="00060DF5"/>
    <w:rsid w:val="00060E42"/>
    <w:rsid w:val="00061705"/>
    <w:rsid w:val="00061899"/>
    <w:rsid w:val="000618A5"/>
    <w:rsid w:val="00061967"/>
    <w:rsid w:val="000619A7"/>
    <w:rsid w:val="00061A21"/>
    <w:rsid w:val="00061B2C"/>
    <w:rsid w:val="00061C3A"/>
    <w:rsid w:val="00061DA2"/>
    <w:rsid w:val="00061F8A"/>
    <w:rsid w:val="000620F8"/>
    <w:rsid w:val="0006215E"/>
    <w:rsid w:val="0006239C"/>
    <w:rsid w:val="000626F4"/>
    <w:rsid w:val="0006276D"/>
    <w:rsid w:val="00063144"/>
    <w:rsid w:val="00063588"/>
    <w:rsid w:val="000638A4"/>
    <w:rsid w:val="00063903"/>
    <w:rsid w:val="00063C07"/>
    <w:rsid w:val="00063E5D"/>
    <w:rsid w:val="00064176"/>
    <w:rsid w:val="00064461"/>
    <w:rsid w:val="00064680"/>
    <w:rsid w:val="0006493D"/>
    <w:rsid w:val="00064A23"/>
    <w:rsid w:val="00064B43"/>
    <w:rsid w:val="00064B78"/>
    <w:rsid w:val="00064CF7"/>
    <w:rsid w:val="00064FD2"/>
    <w:rsid w:val="000659C1"/>
    <w:rsid w:val="00066396"/>
    <w:rsid w:val="000667BC"/>
    <w:rsid w:val="00066837"/>
    <w:rsid w:val="000669FB"/>
    <w:rsid w:val="00066A6A"/>
    <w:rsid w:val="00066A86"/>
    <w:rsid w:val="00066D06"/>
    <w:rsid w:val="00066D23"/>
    <w:rsid w:val="00066DB2"/>
    <w:rsid w:val="0006705C"/>
    <w:rsid w:val="000671F3"/>
    <w:rsid w:val="0006729E"/>
    <w:rsid w:val="00067702"/>
    <w:rsid w:val="00067A12"/>
    <w:rsid w:val="00067A26"/>
    <w:rsid w:val="00067A2A"/>
    <w:rsid w:val="00067F1E"/>
    <w:rsid w:val="00067FCD"/>
    <w:rsid w:val="0007029D"/>
    <w:rsid w:val="0007047D"/>
    <w:rsid w:val="000705E7"/>
    <w:rsid w:val="000706CD"/>
    <w:rsid w:val="00070833"/>
    <w:rsid w:val="00070A9B"/>
    <w:rsid w:val="00070AC7"/>
    <w:rsid w:val="00070AE0"/>
    <w:rsid w:val="00070C7B"/>
    <w:rsid w:val="00070DB8"/>
    <w:rsid w:val="0007103B"/>
    <w:rsid w:val="00071099"/>
    <w:rsid w:val="00071112"/>
    <w:rsid w:val="0007162F"/>
    <w:rsid w:val="000717A2"/>
    <w:rsid w:val="000719F8"/>
    <w:rsid w:val="00071D87"/>
    <w:rsid w:val="00071FD3"/>
    <w:rsid w:val="00071FDA"/>
    <w:rsid w:val="00072064"/>
    <w:rsid w:val="00072171"/>
    <w:rsid w:val="0007250E"/>
    <w:rsid w:val="000725B4"/>
    <w:rsid w:val="00072876"/>
    <w:rsid w:val="000728D4"/>
    <w:rsid w:val="00072960"/>
    <w:rsid w:val="000729FB"/>
    <w:rsid w:val="00072CE2"/>
    <w:rsid w:val="00073039"/>
    <w:rsid w:val="00073345"/>
    <w:rsid w:val="000733A4"/>
    <w:rsid w:val="000734C8"/>
    <w:rsid w:val="0007376C"/>
    <w:rsid w:val="0007399E"/>
    <w:rsid w:val="000739B1"/>
    <w:rsid w:val="00073BB3"/>
    <w:rsid w:val="00073E64"/>
    <w:rsid w:val="00073E6B"/>
    <w:rsid w:val="000740BA"/>
    <w:rsid w:val="000743CB"/>
    <w:rsid w:val="00074739"/>
    <w:rsid w:val="000749D3"/>
    <w:rsid w:val="00074D89"/>
    <w:rsid w:val="00074F6C"/>
    <w:rsid w:val="00075597"/>
    <w:rsid w:val="000758D5"/>
    <w:rsid w:val="00075A2B"/>
    <w:rsid w:val="00076290"/>
    <w:rsid w:val="000765BA"/>
    <w:rsid w:val="000765EE"/>
    <w:rsid w:val="0007688E"/>
    <w:rsid w:val="000769E3"/>
    <w:rsid w:val="00076E9B"/>
    <w:rsid w:val="00076FE1"/>
    <w:rsid w:val="00077128"/>
    <w:rsid w:val="0007751F"/>
    <w:rsid w:val="0007760D"/>
    <w:rsid w:val="00077641"/>
    <w:rsid w:val="000779C1"/>
    <w:rsid w:val="000779F8"/>
    <w:rsid w:val="00077B3D"/>
    <w:rsid w:val="00077DED"/>
    <w:rsid w:val="00077FAF"/>
    <w:rsid w:val="0008001D"/>
    <w:rsid w:val="00080354"/>
    <w:rsid w:val="000806E2"/>
    <w:rsid w:val="00080A0A"/>
    <w:rsid w:val="00080C03"/>
    <w:rsid w:val="00080D49"/>
    <w:rsid w:val="00080EFE"/>
    <w:rsid w:val="00081153"/>
    <w:rsid w:val="00081243"/>
    <w:rsid w:val="00081256"/>
    <w:rsid w:val="0008169A"/>
    <w:rsid w:val="00081893"/>
    <w:rsid w:val="000819E2"/>
    <w:rsid w:val="000819EC"/>
    <w:rsid w:val="00081A4E"/>
    <w:rsid w:val="00081FB2"/>
    <w:rsid w:val="00082001"/>
    <w:rsid w:val="00082208"/>
    <w:rsid w:val="00082361"/>
    <w:rsid w:val="000824EF"/>
    <w:rsid w:val="0008298E"/>
    <w:rsid w:val="00082B49"/>
    <w:rsid w:val="00082BA6"/>
    <w:rsid w:val="00082C00"/>
    <w:rsid w:val="00082C6E"/>
    <w:rsid w:val="00082C81"/>
    <w:rsid w:val="00082D12"/>
    <w:rsid w:val="00082E08"/>
    <w:rsid w:val="00082E62"/>
    <w:rsid w:val="00082FD4"/>
    <w:rsid w:val="00083024"/>
    <w:rsid w:val="00083152"/>
    <w:rsid w:val="00083552"/>
    <w:rsid w:val="00083553"/>
    <w:rsid w:val="00083605"/>
    <w:rsid w:val="000839E2"/>
    <w:rsid w:val="00083ADF"/>
    <w:rsid w:val="00084152"/>
    <w:rsid w:val="00084668"/>
    <w:rsid w:val="000848DE"/>
    <w:rsid w:val="00084A0F"/>
    <w:rsid w:val="00084D73"/>
    <w:rsid w:val="0008516E"/>
    <w:rsid w:val="00085256"/>
    <w:rsid w:val="000853B4"/>
    <w:rsid w:val="000858CF"/>
    <w:rsid w:val="00085B0C"/>
    <w:rsid w:val="00085C2B"/>
    <w:rsid w:val="00085CF0"/>
    <w:rsid w:val="00085DB1"/>
    <w:rsid w:val="000860CD"/>
    <w:rsid w:val="000867DE"/>
    <w:rsid w:val="000868F0"/>
    <w:rsid w:val="00086A6A"/>
    <w:rsid w:val="00086B8D"/>
    <w:rsid w:val="00086C3D"/>
    <w:rsid w:val="00086CA6"/>
    <w:rsid w:val="000876A2"/>
    <w:rsid w:val="0008789C"/>
    <w:rsid w:val="00087B69"/>
    <w:rsid w:val="00090298"/>
    <w:rsid w:val="0009052F"/>
    <w:rsid w:val="000905B6"/>
    <w:rsid w:val="00090690"/>
    <w:rsid w:val="0009074B"/>
    <w:rsid w:val="00090CBB"/>
    <w:rsid w:val="00090EE3"/>
    <w:rsid w:val="00091529"/>
    <w:rsid w:val="00091542"/>
    <w:rsid w:val="000918FA"/>
    <w:rsid w:val="00091AF3"/>
    <w:rsid w:val="00091F2D"/>
    <w:rsid w:val="0009205E"/>
    <w:rsid w:val="000922EF"/>
    <w:rsid w:val="0009259D"/>
    <w:rsid w:val="000925B8"/>
    <w:rsid w:val="00092696"/>
    <w:rsid w:val="00092D55"/>
    <w:rsid w:val="00092D78"/>
    <w:rsid w:val="00092F51"/>
    <w:rsid w:val="00092FE5"/>
    <w:rsid w:val="000930BA"/>
    <w:rsid w:val="0009310D"/>
    <w:rsid w:val="000931EB"/>
    <w:rsid w:val="0009363A"/>
    <w:rsid w:val="0009373B"/>
    <w:rsid w:val="000939A5"/>
    <w:rsid w:val="000939BC"/>
    <w:rsid w:val="00093C66"/>
    <w:rsid w:val="000941D3"/>
    <w:rsid w:val="000942BA"/>
    <w:rsid w:val="0009432E"/>
    <w:rsid w:val="0009463B"/>
    <w:rsid w:val="0009468A"/>
    <w:rsid w:val="000949F8"/>
    <w:rsid w:val="00094C14"/>
    <w:rsid w:val="00094EF1"/>
    <w:rsid w:val="00094FC7"/>
    <w:rsid w:val="000950EF"/>
    <w:rsid w:val="0009535C"/>
    <w:rsid w:val="00095460"/>
    <w:rsid w:val="000956C9"/>
    <w:rsid w:val="00095A16"/>
    <w:rsid w:val="00095C12"/>
    <w:rsid w:val="00095C96"/>
    <w:rsid w:val="0009632E"/>
    <w:rsid w:val="000963BC"/>
    <w:rsid w:val="0009652C"/>
    <w:rsid w:val="000965E8"/>
    <w:rsid w:val="0009663A"/>
    <w:rsid w:val="000966B3"/>
    <w:rsid w:val="00096B34"/>
    <w:rsid w:val="00096B43"/>
    <w:rsid w:val="00096FBA"/>
    <w:rsid w:val="000970B4"/>
    <w:rsid w:val="00097361"/>
    <w:rsid w:val="000974D7"/>
    <w:rsid w:val="000975D3"/>
    <w:rsid w:val="00097AF2"/>
    <w:rsid w:val="00097C0D"/>
    <w:rsid w:val="00097C1D"/>
    <w:rsid w:val="000A0052"/>
    <w:rsid w:val="000A00AB"/>
    <w:rsid w:val="000A01DA"/>
    <w:rsid w:val="000A0572"/>
    <w:rsid w:val="000A0690"/>
    <w:rsid w:val="000A0711"/>
    <w:rsid w:val="000A0766"/>
    <w:rsid w:val="000A087A"/>
    <w:rsid w:val="000A0BAD"/>
    <w:rsid w:val="000A0CB5"/>
    <w:rsid w:val="000A195A"/>
    <w:rsid w:val="000A1AE9"/>
    <w:rsid w:val="000A1C63"/>
    <w:rsid w:val="000A1FB0"/>
    <w:rsid w:val="000A21AC"/>
    <w:rsid w:val="000A2775"/>
    <w:rsid w:val="000A277A"/>
    <w:rsid w:val="000A282A"/>
    <w:rsid w:val="000A2B02"/>
    <w:rsid w:val="000A2D3B"/>
    <w:rsid w:val="000A2D8D"/>
    <w:rsid w:val="000A2F4D"/>
    <w:rsid w:val="000A3188"/>
    <w:rsid w:val="000A3358"/>
    <w:rsid w:val="000A3CA5"/>
    <w:rsid w:val="000A3E78"/>
    <w:rsid w:val="000A401B"/>
    <w:rsid w:val="000A49AA"/>
    <w:rsid w:val="000A4DB5"/>
    <w:rsid w:val="000A4DD7"/>
    <w:rsid w:val="000A4E26"/>
    <w:rsid w:val="000A5426"/>
    <w:rsid w:val="000A5845"/>
    <w:rsid w:val="000A5958"/>
    <w:rsid w:val="000A5987"/>
    <w:rsid w:val="000A5D92"/>
    <w:rsid w:val="000A5DCF"/>
    <w:rsid w:val="000A5E76"/>
    <w:rsid w:val="000A6040"/>
    <w:rsid w:val="000A604C"/>
    <w:rsid w:val="000A61A5"/>
    <w:rsid w:val="000A6228"/>
    <w:rsid w:val="000A6241"/>
    <w:rsid w:val="000A63C1"/>
    <w:rsid w:val="000A6590"/>
    <w:rsid w:val="000A66A8"/>
    <w:rsid w:val="000A6717"/>
    <w:rsid w:val="000A69AD"/>
    <w:rsid w:val="000A6DD6"/>
    <w:rsid w:val="000A6FE3"/>
    <w:rsid w:val="000A7237"/>
    <w:rsid w:val="000A73FB"/>
    <w:rsid w:val="000A73FD"/>
    <w:rsid w:val="000A7CA0"/>
    <w:rsid w:val="000A7D0D"/>
    <w:rsid w:val="000A7F63"/>
    <w:rsid w:val="000A7F91"/>
    <w:rsid w:val="000B009E"/>
    <w:rsid w:val="000B0248"/>
    <w:rsid w:val="000B02BF"/>
    <w:rsid w:val="000B02D3"/>
    <w:rsid w:val="000B0351"/>
    <w:rsid w:val="000B0DB0"/>
    <w:rsid w:val="000B0F90"/>
    <w:rsid w:val="000B10B5"/>
    <w:rsid w:val="000B110B"/>
    <w:rsid w:val="000B11EF"/>
    <w:rsid w:val="000B1602"/>
    <w:rsid w:val="000B18BB"/>
    <w:rsid w:val="000B19E0"/>
    <w:rsid w:val="000B20CA"/>
    <w:rsid w:val="000B20D7"/>
    <w:rsid w:val="000B2397"/>
    <w:rsid w:val="000B270A"/>
    <w:rsid w:val="000B27EA"/>
    <w:rsid w:val="000B2FE5"/>
    <w:rsid w:val="000B351D"/>
    <w:rsid w:val="000B3762"/>
    <w:rsid w:val="000B3B8E"/>
    <w:rsid w:val="000B3BF5"/>
    <w:rsid w:val="000B3CB6"/>
    <w:rsid w:val="000B3D41"/>
    <w:rsid w:val="000B4706"/>
    <w:rsid w:val="000B47D5"/>
    <w:rsid w:val="000B4B77"/>
    <w:rsid w:val="000B4D60"/>
    <w:rsid w:val="000B4D88"/>
    <w:rsid w:val="000B4DEF"/>
    <w:rsid w:val="000B4E5A"/>
    <w:rsid w:val="000B585B"/>
    <w:rsid w:val="000B5865"/>
    <w:rsid w:val="000B5C30"/>
    <w:rsid w:val="000B5FE3"/>
    <w:rsid w:val="000B5FFB"/>
    <w:rsid w:val="000B6012"/>
    <w:rsid w:val="000B6125"/>
    <w:rsid w:val="000B6127"/>
    <w:rsid w:val="000B6723"/>
    <w:rsid w:val="000B690B"/>
    <w:rsid w:val="000B6980"/>
    <w:rsid w:val="000B6A4F"/>
    <w:rsid w:val="000B6C89"/>
    <w:rsid w:val="000B6D86"/>
    <w:rsid w:val="000B70AE"/>
    <w:rsid w:val="000B722F"/>
    <w:rsid w:val="000B7258"/>
    <w:rsid w:val="000B73DE"/>
    <w:rsid w:val="000B75B9"/>
    <w:rsid w:val="000B7C36"/>
    <w:rsid w:val="000B7EAD"/>
    <w:rsid w:val="000B7F99"/>
    <w:rsid w:val="000C01B9"/>
    <w:rsid w:val="000C02B4"/>
    <w:rsid w:val="000C03CE"/>
    <w:rsid w:val="000C06C2"/>
    <w:rsid w:val="000C08AC"/>
    <w:rsid w:val="000C09A2"/>
    <w:rsid w:val="000C0A0A"/>
    <w:rsid w:val="000C0BB4"/>
    <w:rsid w:val="000C0F73"/>
    <w:rsid w:val="000C1342"/>
    <w:rsid w:val="000C1CD3"/>
    <w:rsid w:val="000C1CE5"/>
    <w:rsid w:val="000C1DC1"/>
    <w:rsid w:val="000C2256"/>
    <w:rsid w:val="000C22ED"/>
    <w:rsid w:val="000C245F"/>
    <w:rsid w:val="000C24A1"/>
    <w:rsid w:val="000C26A5"/>
    <w:rsid w:val="000C2EB8"/>
    <w:rsid w:val="000C30D3"/>
    <w:rsid w:val="000C32AB"/>
    <w:rsid w:val="000C33A2"/>
    <w:rsid w:val="000C35EF"/>
    <w:rsid w:val="000C377D"/>
    <w:rsid w:val="000C3A1B"/>
    <w:rsid w:val="000C3B5B"/>
    <w:rsid w:val="000C3C4B"/>
    <w:rsid w:val="000C3C9D"/>
    <w:rsid w:val="000C3EFE"/>
    <w:rsid w:val="000C3EFF"/>
    <w:rsid w:val="000C4011"/>
    <w:rsid w:val="000C4108"/>
    <w:rsid w:val="000C42AF"/>
    <w:rsid w:val="000C486D"/>
    <w:rsid w:val="000C490B"/>
    <w:rsid w:val="000C494D"/>
    <w:rsid w:val="000C4B49"/>
    <w:rsid w:val="000C4B7F"/>
    <w:rsid w:val="000C4C6C"/>
    <w:rsid w:val="000C4FFC"/>
    <w:rsid w:val="000C536F"/>
    <w:rsid w:val="000C5623"/>
    <w:rsid w:val="000C5771"/>
    <w:rsid w:val="000C58D8"/>
    <w:rsid w:val="000C5D46"/>
    <w:rsid w:val="000C614B"/>
    <w:rsid w:val="000C6230"/>
    <w:rsid w:val="000C635B"/>
    <w:rsid w:val="000C6762"/>
    <w:rsid w:val="000C6939"/>
    <w:rsid w:val="000C6AA1"/>
    <w:rsid w:val="000C6CE6"/>
    <w:rsid w:val="000C7373"/>
    <w:rsid w:val="000C78B5"/>
    <w:rsid w:val="000C7BCA"/>
    <w:rsid w:val="000C7CC4"/>
    <w:rsid w:val="000C7D90"/>
    <w:rsid w:val="000C7E9B"/>
    <w:rsid w:val="000C7F59"/>
    <w:rsid w:val="000D01C7"/>
    <w:rsid w:val="000D029A"/>
    <w:rsid w:val="000D0461"/>
    <w:rsid w:val="000D053F"/>
    <w:rsid w:val="000D0646"/>
    <w:rsid w:val="000D07A2"/>
    <w:rsid w:val="000D0C3E"/>
    <w:rsid w:val="000D0EA0"/>
    <w:rsid w:val="000D1022"/>
    <w:rsid w:val="000D1144"/>
    <w:rsid w:val="000D163D"/>
    <w:rsid w:val="000D190A"/>
    <w:rsid w:val="000D1E24"/>
    <w:rsid w:val="000D1E34"/>
    <w:rsid w:val="000D21B3"/>
    <w:rsid w:val="000D2942"/>
    <w:rsid w:val="000D2946"/>
    <w:rsid w:val="000D36A4"/>
    <w:rsid w:val="000D36E7"/>
    <w:rsid w:val="000D3AC9"/>
    <w:rsid w:val="000D3B18"/>
    <w:rsid w:val="000D3B58"/>
    <w:rsid w:val="000D3D93"/>
    <w:rsid w:val="000D3FF6"/>
    <w:rsid w:val="000D477A"/>
    <w:rsid w:val="000D4CB6"/>
    <w:rsid w:val="000D4D62"/>
    <w:rsid w:val="000D4DE0"/>
    <w:rsid w:val="000D58A9"/>
    <w:rsid w:val="000D5D9F"/>
    <w:rsid w:val="000D6165"/>
    <w:rsid w:val="000D6385"/>
    <w:rsid w:val="000D677E"/>
    <w:rsid w:val="000D67FC"/>
    <w:rsid w:val="000D68EB"/>
    <w:rsid w:val="000D699F"/>
    <w:rsid w:val="000D6A0F"/>
    <w:rsid w:val="000D732D"/>
    <w:rsid w:val="000D740E"/>
    <w:rsid w:val="000D7568"/>
    <w:rsid w:val="000D77C4"/>
    <w:rsid w:val="000D79EE"/>
    <w:rsid w:val="000D7A21"/>
    <w:rsid w:val="000D7ACE"/>
    <w:rsid w:val="000D7AE0"/>
    <w:rsid w:val="000D7B8D"/>
    <w:rsid w:val="000D7EBA"/>
    <w:rsid w:val="000E016F"/>
    <w:rsid w:val="000E05EA"/>
    <w:rsid w:val="000E080D"/>
    <w:rsid w:val="000E09C7"/>
    <w:rsid w:val="000E0B18"/>
    <w:rsid w:val="000E0D80"/>
    <w:rsid w:val="000E0FC8"/>
    <w:rsid w:val="000E10F7"/>
    <w:rsid w:val="000E110B"/>
    <w:rsid w:val="000E11AE"/>
    <w:rsid w:val="000E11D1"/>
    <w:rsid w:val="000E1231"/>
    <w:rsid w:val="000E12C6"/>
    <w:rsid w:val="000E13F1"/>
    <w:rsid w:val="000E1582"/>
    <w:rsid w:val="000E19D0"/>
    <w:rsid w:val="000E2722"/>
    <w:rsid w:val="000E28E5"/>
    <w:rsid w:val="000E298B"/>
    <w:rsid w:val="000E2C18"/>
    <w:rsid w:val="000E3052"/>
    <w:rsid w:val="000E3156"/>
    <w:rsid w:val="000E3331"/>
    <w:rsid w:val="000E38D1"/>
    <w:rsid w:val="000E3BB6"/>
    <w:rsid w:val="000E3CEE"/>
    <w:rsid w:val="000E3F66"/>
    <w:rsid w:val="000E40BD"/>
    <w:rsid w:val="000E43E8"/>
    <w:rsid w:val="000E461A"/>
    <w:rsid w:val="000E4760"/>
    <w:rsid w:val="000E4B16"/>
    <w:rsid w:val="000E4B89"/>
    <w:rsid w:val="000E533F"/>
    <w:rsid w:val="000E56BA"/>
    <w:rsid w:val="000E57ED"/>
    <w:rsid w:val="000E59CA"/>
    <w:rsid w:val="000E5D74"/>
    <w:rsid w:val="000E5DAC"/>
    <w:rsid w:val="000E5E58"/>
    <w:rsid w:val="000E5FB0"/>
    <w:rsid w:val="000E62EB"/>
    <w:rsid w:val="000E6349"/>
    <w:rsid w:val="000E67ED"/>
    <w:rsid w:val="000E6940"/>
    <w:rsid w:val="000E6A0C"/>
    <w:rsid w:val="000E6D65"/>
    <w:rsid w:val="000E6D77"/>
    <w:rsid w:val="000E6DA8"/>
    <w:rsid w:val="000E6FB4"/>
    <w:rsid w:val="000E732F"/>
    <w:rsid w:val="000E74C1"/>
    <w:rsid w:val="000E7526"/>
    <w:rsid w:val="000E76FF"/>
    <w:rsid w:val="000E7DFB"/>
    <w:rsid w:val="000F00D3"/>
    <w:rsid w:val="000F0169"/>
    <w:rsid w:val="000F02EA"/>
    <w:rsid w:val="000F0AD1"/>
    <w:rsid w:val="000F0CEC"/>
    <w:rsid w:val="000F0D4C"/>
    <w:rsid w:val="000F0F79"/>
    <w:rsid w:val="000F108C"/>
    <w:rsid w:val="000F1488"/>
    <w:rsid w:val="000F1603"/>
    <w:rsid w:val="000F1F9C"/>
    <w:rsid w:val="000F220E"/>
    <w:rsid w:val="000F2639"/>
    <w:rsid w:val="000F26B7"/>
    <w:rsid w:val="000F27B3"/>
    <w:rsid w:val="000F2B2B"/>
    <w:rsid w:val="000F2BAE"/>
    <w:rsid w:val="000F2BEE"/>
    <w:rsid w:val="000F2C0C"/>
    <w:rsid w:val="000F2C13"/>
    <w:rsid w:val="000F2E14"/>
    <w:rsid w:val="000F31A0"/>
    <w:rsid w:val="000F332C"/>
    <w:rsid w:val="000F3B6E"/>
    <w:rsid w:val="000F3BA5"/>
    <w:rsid w:val="000F3DC5"/>
    <w:rsid w:val="000F405D"/>
    <w:rsid w:val="000F4080"/>
    <w:rsid w:val="000F4676"/>
    <w:rsid w:val="000F4754"/>
    <w:rsid w:val="000F4807"/>
    <w:rsid w:val="000F484B"/>
    <w:rsid w:val="000F4B14"/>
    <w:rsid w:val="000F4D8F"/>
    <w:rsid w:val="000F4E4A"/>
    <w:rsid w:val="000F4EF9"/>
    <w:rsid w:val="000F5215"/>
    <w:rsid w:val="000F536E"/>
    <w:rsid w:val="000F59EC"/>
    <w:rsid w:val="000F5A8F"/>
    <w:rsid w:val="000F5EC8"/>
    <w:rsid w:val="000F611A"/>
    <w:rsid w:val="000F692E"/>
    <w:rsid w:val="000F6EAE"/>
    <w:rsid w:val="000F6F19"/>
    <w:rsid w:val="000F7092"/>
    <w:rsid w:val="000F73D3"/>
    <w:rsid w:val="000F77CF"/>
    <w:rsid w:val="000F7AD7"/>
    <w:rsid w:val="000F7C9A"/>
    <w:rsid w:val="000F7E14"/>
    <w:rsid w:val="001001D6"/>
    <w:rsid w:val="00100312"/>
    <w:rsid w:val="00100608"/>
    <w:rsid w:val="00100924"/>
    <w:rsid w:val="00100996"/>
    <w:rsid w:val="001010E7"/>
    <w:rsid w:val="0010117B"/>
    <w:rsid w:val="00101346"/>
    <w:rsid w:val="001015C1"/>
    <w:rsid w:val="0010164D"/>
    <w:rsid w:val="001019D0"/>
    <w:rsid w:val="00101A36"/>
    <w:rsid w:val="00101A68"/>
    <w:rsid w:val="00102331"/>
    <w:rsid w:val="00102A16"/>
    <w:rsid w:val="00102ABB"/>
    <w:rsid w:val="00102B05"/>
    <w:rsid w:val="00102B62"/>
    <w:rsid w:val="00102F20"/>
    <w:rsid w:val="0010329F"/>
    <w:rsid w:val="001037FE"/>
    <w:rsid w:val="00103A0E"/>
    <w:rsid w:val="00103E1B"/>
    <w:rsid w:val="00104204"/>
    <w:rsid w:val="00104562"/>
    <w:rsid w:val="00104830"/>
    <w:rsid w:val="001048A0"/>
    <w:rsid w:val="00104956"/>
    <w:rsid w:val="00104B4D"/>
    <w:rsid w:val="00104C8D"/>
    <w:rsid w:val="00104E20"/>
    <w:rsid w:val="00104E23"/>
    <w:rsid w:val="00104F9A"/>
    <w:rsid w:val="00104FD0"/>
    <w:rsid w:val="001051AA"/>
    <w:rsid w:val="00105404"/>
    <w:rsid w:val="00105A06"/>
    <w:rsid w:val="00105D5B"/>
    <w:rsid w:val="0010606B"/>
    <w:rsid w:val="001064B6"/>
    <w:rsid w:val="00107005"/>
    <w:rsid w:val="00107135"/>
    <w:rsid w:val="001071EA"/>
    <w:rsid w:val="0010727E"/>
    <w:rsid w:val="001074D8"/>
    <w:rsid w:val="00107508"/>
    <w:rsid w:val="00107689"/>
    <w:rsid w:val="0010770F"/>
    <w:rsid w:val="00107956"/>
    <w:rsid w:val="00107BCC"/>
    <w:rsid w:val="00107DE0"/>
    <w:rsid w:val="00107FBB"/>
    <w:rsid w:val="001101B6"/>
    <w:rsid w:val="0011027B"/>
    <w:rsid w:val="001107B9"/>
    <w:rsid w:val="00110B0B"/>
    <w:rsid w:val="00110B3B"/>
    <w:rsid w:val="00110C52"/>
    <w:rsid w:val="0011104B"/>
    <w:rsid w:val="0011124A"/>
    <w:rsid w:val="00111D8D"/>
    <w:rsid w:val="00111F36"/>
    <w:rsid w:val="0011200F"/>
    <w:rsid w:val="00112315"/>
    <w:rsid w:val="0011231B"/>
    <w:rsid w:val="001124B2"/>
    <w:rsid w:val="001128C3"/>
    <w:rsid w:val="001128E3"/>
    <w:rsid w:val="00112D01"/>
    <w:rsid w:val="00112D9D"/>
    <w:rsid w:val="00112DF5"/>
    <w:rsid w:val="00112E7E"/>
    <w:rsid w:val="00112EB6"/>
    <w:rsid w:val="00112F4D"/>
    <w:rsid w:val="00113325"/>
    <w:rsid w:val="00113573"/>
    <w:rsid w:val="001135F6"/>
    <w:rsid w:val="0011393F"/>
    <w:rsid w:val="001139DB"/>
    <w:rsid w:val="00113A1B"/>
    <w:rsid w:val="00113A83"/>
    <w:rsid w:val="00113BA6"/>
    <w:rsid w:val="00113D3D"/>
    <w:rsid w:val="00113DC6"/>
    <w:rsid w:val="00114059"/>
    <w:rsid w:val="00114161"/>
    <w:rsid w:val="001145D9"/>
    <w:rsid w:val="0011486E"/>
    <w:rsid w:val="00114981"/>
    <w:rsid w:val="00114BE6"/>
    <w:rsid w:val="00114F4F"/>
    <w:rsid w:val="001153C4"/>
    <w:rsid w:val="0011556D"/>
    <w:rsid w:val="0011560A"/>
    <w:rsid w:val="0011582F"/>
    <w:rsid w:val="0011589F"/>
    <w:rsid w:val="00115A71"/>
    <w:rsid w:val="00115ADF"/>
    <w:rsid w:val="00115E56"/>
    <w:rsid w:val="00115E5E"/>
    <w:rsid w:val="001161CE"/>
    <w:rsid w:val="00116A0C"/>
    <w:rsid w:val="00116A29"/>
    <w:rsid w:val="00116AC9"/>
    <w:rsid w:val="00116BF6"/>
    <w:rsid w:val="00116C5A"/>
    <w:rsid w:val="001170D4"/>
    <w:rsid w:val="00117747"/>
    <w:rsid w:val="001177B3"/>
    <w:rsid w:val="00117813"/>
    <w:rsid w:val="00120001"/>
    <w:rsid w:val="00120050"/>
    <w:rsid w:val="001200C3"/>
    <w:rsid w:val="001201F8"/>
    <w:rsid w:val="00120402"/>
    <w:rsid w:val="00120507"/>
    <w:rsid w:val="0012083F"/>
    <w:rsid w:val="00120C7E"/>
    <w:rsid w:val="00120D49"/>
    <w:rsid w:val="00121100"/>
    <w:rsid w:val="00121362"/>
    <w:rsid w:val="001214C0"/>
    <w:rsid w:val="00121556"/>
    <w:rsid w:val="001215A4"/>
    <w:rsid w:val="001215CA"/>
    <w:rsid w:val="0012186A"/>
    <w:rsid w:val="00121881"/>
    <w:rsid w:val="001219EB"/>
    <w:rsid w:val="00121A08"/>
    <w:rsid w:val="00121A5B"/>
    <w:rsid w:val="00121ADA"/>
    <w:rsid w:val="00121AF0"/>
    <w:rsid w:val="00121B34"/>
    <w:rsid w:val="00121F0A"/>
    <w:rsid w:val="0012215F"/>
    <w:rsid w:val="0012218F"/>
    <w:rsid w:val="001221BA"/>
    <w:rsid w:val="00122695"/>
    <w:rsid w:val="001226BD"/>
    <w:rsid w:val="0012276B"/>
    <w:rsid w:val="00123025"/>
    <w:rsid w:val="001231A3"/>
    <w:rsid w:val="0012322E"/>
    <w:rsid w:val="0012364E"/>
    <w:rsid w:val="001238F2"/>
    <w:rsid w:val="0012397E"/>
    <w:rsid w:val="001239A7"/>
    <w:rsid w:val="00123A03"/>
    <w:rsid w:val="00123BAF"/>
    <w:rsid w:val="00123CA3"/>
    <w:rsid w:val="00123D49"/>
    <w:rsid w:val="00123D9D"/>
    <w:rsid w:val="00124444"/>
    <w:rsid w:val="0012487C"/>
    <w:rsid w:val="00124A62"/>
    <w:rsid w:val="001251A6"/>
    <w:rsid w:val="001251E3"/>
    <w:rsid w:val="0012620A"/>
    <w:rsid w:val="001263CE"/>
    <w:rsid w:val="00126627"/>
    <w:rsid w:val="00126CE8"/>
    <w:rsid w:val="00126E1C"/>
    <w:rsid w:val="00126F61"/>
    <w:rsid w:val="001272A2"/>
    <w:rsid w:val="001272A8"/>
    <w:rsid w:val="00127675"/>
    <w:rsid w:val="00127E5A"/>
    <w:rsid w:val="00130494"/>
    <w:rsid w:val="0013093C"/>
    <w:rsid w:val="00130C82"/>
    <w:rsid w:val="00130CF1"/>
    <w:rsid w:val="00130F39"/>
    <w:rsid w:val="00131037"/>
    <w:rsid w:val="001312B8"/>
    <w:rsid w:val="00131608"/>
    <w:rsid w:val="001319F2"/>
    <w:rsid w:val="00131AE3"/>
    <w:rsid w:val="00131F46"/>
    <w:rsid w:val="0013220E"/>
    <w:rsid w:val="00132270"/>
    <w:rsid w:val="001322AA"/>
    <w:rsid w:val="0013231A"/>
    <w:rsid w:val="001326A8"/>
    <w:rsid w:val="0013290C"/>
    <w:rsid w:val="00132930"/>
    <w:rsid w:val="00132CA0"/>
    <w:rsid w:val="00133166"/>
    <w:rsid w:val="00133221"/>
    <w:rsid w:val="001335E5"/>
    <w:rsid w:val="00133F5E"/>
    <w:rsid w:val="001340B8"/>
    <w:rsid w:val="00134117"/>
    <w:rsid w:val="00134201"/>
    <w:rsid w:val="001342C7"/>
    <w:rsid w:val="001344F9"/>
    <w:rsid w:val="00134631"/>
    <w:rsid w:val="00134939"/>
    <w:rsid w:val="00134A4D"/>
    <w:rsid w:val="0013506E"/>
    <w:rsid w:val="001358EF"/>
    <w:rsid w:val="00135A2E"/>
    <w:rsid w:val="00135AA3"/>
    <w:rsid w:val="00135BA1"/>
    <w:rsid w:val="00135C84"/>
    <w:rsid w:val="00135D2B"/>
    <w:rsid w:val="00135D6E"/>
    <w:rsid w:val="00135E64"/>
    <w:rsid w:val="00135FF0"/>
    <w:rsid w:val="00136048"/>
    <w:rsid w:val="0013606A"/>
    <w:rsid w:val="00136B8A"/>
    <w:rsid w:val="00136DC3"/>
    <w:rsid w:val="00136DE0"/>
    <w:rsid w:val="00137074"/>
    <w:rsid w:val="0013710A"/>
    <w:rsid w:val="00137239"/>
    <w:rsid w:val="00137319"/>
    <w:rsid w:val="0013737E"/>
    <w:rsid w:val="00137387"/>
    <w:rsid w:val="001373F7"/>
    <w:rsid w:val="00137425"/>
    <w:rsid w:val="0013748C"/>
    <w:rsid w:val="00137890"/>
    <w:rsid w:val="001378CF"/>
    <w:rsid w:val="00137A81"/>
    <w:rsid w:val="00137F5D"/>
    <w:rsid w:val="001403B4"/>
    <w:rsid w:val="0014052E"/>
    <w:rsid w:val="0014089F"/>
    <w:rsid w:val="00140F43"/>
    <w:rsid w:val="00141126"/>
    <w:rsid w:val="00141148"/>
    <w:rsid w:val="0014167C"/>
    <w:rsid w:val="00141A12"/>
    <w:rsid w:val="001421C6"/>
    <w:rsid w:val="00142343"/>
    <w:rsid w:val="00142542"/>
    <w:rsid w:val="00142991"/>
    <w:rsid w:val="00142C24"/>
    <w:rsid w:val="00142CC1"/>
    <w:rsid w:val="00142DF7"/>
    <w:rsid w:val="00142F38"/>
    <w:rsid w:val="0014306A"/>
    <w:rsid w:val="0014336E"/>
    <w:rsid w:val="001433AB"/>
    <w:rsid w:val="001436B0"/>
    <w:rsid w:val="001439D9"/>
    <w:rsid w:val="00143B0B"/>
    <w:rsid w:val="00143B86"/>
    <w:rsid w:val="00143BA1"/>
    <w:rsid w:val="00143E33"/>
    <w:rsid w:val="00143F4F"/>
    <w:rsid w:val="00144379"/>
    <w:rsid w:val="00144D17"/>
    <w:rsid w:val="00144DC0"/>
    <w:rsid w:val="0014527F"/>
    <w:rsid w:val="0014534D"/>
    <w:rsid w:val="00145491"/>
    <w:rsid w:val="00145552"/>
    <w:rsid w:val="0014558D"/>
    <w:rsid w:val="00145C30"/>
    <w:rsid w:val="00146365"/>
    <w:rsid w:val="001464AF"/>
    <w:rsid w:val="00146569"/>
    <w:rsid w:val="0014667F"/>
    <w:rsid w:val="00146730"/>
    <w:rsid w:val="00146BF0"/>
    <w:rsid w:val="00146E9E"/>
    <w:rsid w:val="00146EBB"/>
    <w:rsid w:val="00146FAD"/>
    <w:rsid w:val="0014718C"/>
    <w:rsid w:val="0014722A"/>
    <w:rsid w:val="00147492"/>
    <w:rsid w:val="001477F0"/>
    <w:rsid w:val="00147B5F"/>
    <w:rsid w:val="0015008E"/>
    <w:rsid w:val="001502DD"/>
    <w:rsid w:val="0015057C"/>
    <w:rsid w:val="00150B21"/>
    <w:rsid w:val="00150CED"/>
    <w:rsid w:val="00151309"/>
    <w:rsid w:val="0015164D"/>
    <w:rsid w:val="00151D3F"/>
    <w:rsid w:val="00151EE3"/>
    <w:rsid w:val="00151F55"/>
    <w:rsid w:val="00152065"/>
    <w:rsid w:val="00152225"/>
    <w:rsid w:val="0015250C"/>
    <w:rsid w:val="00152554"/>
    <w:rsid w:val="00152700"/>
    <w:rsid w:val="001527C3"/>
    <w:rsid w:val="00152BFA"/>
    <w:rsid w:val="00152C04"/>
    <w:rsid w:val="00152EF8"/>
    <w:rsid w:val="00153063"/>
    <w:rsid w:val="001532D2"/>
    <w:rsid w:val="00153311"/>
    <w:rsid w:val="00153407"/>
    <w:rsid w:val="001535CE"/>
    <w:rsid w:val="0015369D"/>
    <w:rsid w:val="001537AE"/>
    <w:rsid w:val="001538FA"/>
    <w:rsid w:val="00153AE2"/>
    <w:rsid w:val="00153C89"/>
    <w:rsid w:val="00154099"/>
    <w:rsid w:val="00154247"/>
    <w:rsid w:val="00154419"/>
    <w:rsid w:val="00154630"/>
    <w:rsid w:val="0015475F"/>
    <w:rsid w:val="0015479D"/>
    <w:rsid w:val="00154826"/>
    <w:rsid w:val="00154AB8"/>
    <w:rsid w:val="00154D43"/>
    <w:rsid w:val="00154FB7"/>
    <w:rsid w:val="00154FE0"/>
    <w:rsid w:val="00155022"/>
    <w:rsid w:val="0015526B"/>
    <w:rsid w:val="001552E2"/>
    <w:rsid w:val="00155349"/>
    <w:rsid w:val="00155618"/>
    <w:rsid w:val="00155B15"/>
    <w:rsid w:val="00155BD4"/>
    <w:rsid w:val="00155BF2"/>
    <w:rsid w:val="00155CF0"/>
    <w:rsid w:val="00155EDD"/>
    <w:rsid w:val="0015635D"/>
    <w:rsid w:val="001565F8"/>
    <w:rsid w:val="0015671B"/>
    <w:rsid w:val="001567E8"/>
    <w:rsid w:val="001568A6"/>
    <w:rsid w:val="00156B9F"/>
    <w:rsid w:val="00156D64"/>
    <w:rsid w:val="00156DCE"/>
    <w:rsid w:val="001578BC"/>
    <w:rsid w:val="001579EA"/>
    <w:rsid w:val="001579FC"/>
    <w:rsid w:val="00157B21"/>
    <w:rsid w:val="00157E1E"/>
    <w:rsid w:val="001605CC"/>
    <w:rsid w:val="001605DD"/>
    <w:rsid w:val="001607C1"/>
    <w:rsid w:val="001608C6"/>
    <w:rsid w:val="00160B21"/>
    <w:rsid w:val="00160C65"/>
    <w:rsid w:val="00160EA7"/>
    <w:rsid w:val="00160FDE"/>
    <w:rsid w:val="00161108"/>
    <w:rsid w:val="001616E4"/>
    <w:rsid w:val="00161866"/>
    <w:rsid w:val="00161992"/>
    <w:rsid w:val="00161A60"/>
    <w:rsid w:val="00161B98"/>
    <w:rsid w:val="00162070"/>
    <w:rsid w:val="001622E9"/>
    <w:rsid w:val="001625B4"/>
    <w:rsid w:val="001625F4"/>
    <w:rsid w:val="0016297E"/>
    <w:rsid w:val="00162A79"/>
    <w:rsid w:val="00162BA1"/>
    <w:rsid w:val="00162E01"/>
    <w:rsid w:val="0016332A"/>
    <w:rsid w:val="00163601"/>
    <w:rsid w:val="00163812"/>
    <w:rsid w:val="00163877"/>
    <w:rsid w:val="00163B82"/>
    <w:rsid w:val="00163C56"/>
    <w:rsid w:val="00163CCA"/>
    <w:rsid w:val="00164136"/>
    <w:rsid w:val="001645DC"/>
    <w:rsid w:val="0016472C"/>
    <w:rsid w:val="00164763"/>
    <w:rsid w:val="001647DF"/>
    <w:rsid w:val="00164ABE"/>
    <w:rsid w:val="00164B36"/>
    <w:rsid w:val="00164D83"/>
    <w:rsid w:val="00164E80"/>
    <w:rsid w:val="00164E92"/>
    <w:rsid w:val="00164F23"/>
    <w:rsid w:val="001650A5"/>
    <w:rsid w:val="00165362"/>
    <w:rsid w:val="001653EE"/>
    <w:rsid w:val="001655A8"/>
    <w:rsid w:val="00165829"/>
    <w:rsid w:val="00166082"/>
    <w:rsid w:val="001660D2"/>
    <w:rsid w:val="00166103"/>
    <w:rsid w:val="00166262"/>
    <w:rsid w:val="00166329"/>
    <w:rsid w:val="001663CF"/>
    <w:rsid w:val="0016660A"/>
    <w:rsid w:val="00166661"/>
    <w:rsid w:val="00166802"/>
    <w:rsid w:val="00166C89"/>
    <w:rsid w:val="00166DDD"/>
    <w:rsid w:val="00166F7E"/>
    <w:rsid w:val="00166FD8"/>
    <w:rsid w:val="0016725D"/>
    <w:rsid w:val="001676DE"/>
    <w:rsid w:val="00167761"/>
    <w:rsid w:val="00167F0A"/>
    <w:rsid w:val="00167F63"/>
    <w:rsid w:val="00170103"/>
    <w:rsid w:val="00170105"/>
    <w:rsid w:val="001703BB"/>
    <w:rsid w:val="001703F5"/>
    <w:rsid w:val="001703FB"/>
    <w:rsid w:val="00170A6D"/>
    <w:rsid w:val="00170CEF"/>
    <w:rsid w:val="00170E5E"/>
    <w:rsid w:val="00171323"/>
    <w:rsid w:val="00171353"/>
    <w:rsid w:val="00171555"/>
    <w:rsid w:val="0017155D"/>
    <w:rsid w:val="001715A4"/>
    <w:rsid w:val="001719DA"/>
    <w:rsid w:val="00171A00"/>
    <w:rsid w:val="00171E4E"/>
    <w:rsid w:val="00171FD7"/>
    <w:rsid w:val="001725A5"/>
    <w:rsid w:val="001725C8"/>
    <w:rsid w:val="001729A2"/>
    <w:rsid w:val="00172B03"/>
    <w:rsid w:val="00172D53"/>
    <w:rsid w:val="00172D55"/>
    <w:rsid w:val="0017327D"/>
    <w:rsid w:val="001732DA"/>
    <w:rsid w:val="001734F9"/>
    <w:rsid w:val="001735FF"/>
    <w:rsid w:val="001736F8"/>
    <w:rsid w:val="00173799"/>
    <w:rsid w:val="00173A4C"/>
    <w:rsid w:val="00173C66"/>
    <w:rsid w:val="00174373"/>
    <w:rsid w:val="001743F6"/>
    <w:rsid w:val="001745E2"/>
    <w:rsid w:val="00174608"/>
    <w:rsid w:val="00174705"/>
    <w:rsid w:val="00174A4A"/>
    <w:rsid w:val="00174E88"/>
    <w:rsid w:val="0017509A"/>
    <w:rsid w:val="001753D8"/>
    <w:rsid w:val="001753E1"/>
    <w:rsid w:val="001754FA"/>
    <w:rsid w:val="00175759"/>
    <w:rsid w:val="00175DDB"/>
    <w:rsid w:val="00175F1F"/>
    <w:rsid w:val="001769CA"/>
    <w:rsid w:val="00176A94"/>
    <w:rsid w:val="00176B30"/>
    <w:rsid w:val="00176BF7"/>
    <w:rsid w:val="00176C13"/>
    <w:rsid w:val="00177040"/>
    <w:rsid w:val="001771CA"/>
    <w:rsid w:val="00177328"/>
    <w:rsid w:val="001773B4"/>
    <w:rsid w:val="001774AB"/>
    <w:rsid w:val="00177591"/>
    <w:rsid w:val="00177635"/>
    <w:rsid w:val="0017788B"/>
    <w:rsid w:val="00177AE3"/>
    <w:rsid w:val="00177C48"/>
    <w:rsid w:val="00177C5F"/>
    <w:rsid w:val="00177C95"/>
    <w:rsid w:val="00177E02"/>
    <w:rsid w:val="00177E16"/>
    <w:rsid w:val="00177E38"/>
    <w:rsid w:val="00177F09"/>
    <w:rsid w:val="001804AA"/>
    <w:rsid w:val="00180588"/>
    <w:rsid w:val="0018090F"/>
    <w:rsid w:val="00180BDD"/>
    <w:rsid w:val="00180CC5"/>
    <w:rsid w:val="00180F32"/>
    <w:rsid w:val="00180F51"/>
    <w:rsid w:val="0018121C"/>
    <w:rsid w:val="001812A4"/>
    <w:rsid w:val="00181346"/>
    <w:rsid w:val="00181373"/>
    <w:rsid w:val="0018159A"/>
    <w:rsid w:val="00181B7E"/>
    <w:rsid w:val="00182219"/>
    <w:rsid w:val="001823A8"/>
    <w:rsid w:val="00182447"/>
    <w:rsid w:val="001824B1"/>
    <w:rsid w:val="00182884"/>
    <w:rsid w:val="00182A1A"/>
    <w:rsid w:val="00182A9F"/>
    <w:rsid w:val="00182CFC"/>
    <w:rsid w:val="00182FF1"/>
    <w:rsid w:val="001834A1"/>
    <w:rsid w:val="00183893"/>
    <w:rsid w:val="00183937"/>
    <w:rsid w:val="00183C14"/>
    <w:rsid w:val="00183C5D"/>
    <w:rsid w:val="00183CA9"/>
    <w:rsid w:val="00183CE3"/>
    <w:rsid w:val="0018406E"/>
    <w:rsid w:val="001841F5"/>
    <w:rsid w:val="001843CE"/>
    <w:rsid w:val="001845C9"/>
    <w:rsid w:val="001846A1"/>
    <w:rsid w:val="001847C0"/>
    <w:rsid w:val="00184DC6"/>
    <w:rsid w:val="00185171"/>
    <w:rsid w:val="001856A3"/>
    <w:rsid w:val="00185807"/>
    <w:rsid w:val="001858BF"/>
    <w:rsid w:val="00185DB3"/>
    <w:rsid w:val="001864A6"/>
    <w:rsid w:val="001864C0"/>
    <w:rsid w:val="001869E6"/>
    <w:rsid w:val="001870A7"/>
    <w:rsid w:val="00187139"/>
    <w:rsid w:val="0018721F"/>
    <w:rsid w:val="0018725F"/>
    <w:rsid w:val="0018739D"/>
    <w:rsid w:val="001873B5"/>
    <w:rsid w:val="0018750C"/>
    <w:rsid w:val="001875D3"/>
    <w:rsid w:val="001877A9"/>
    <w:rsid w:val="001877AC"/>
    <w:rsid w:val="001877B6"/>
    <w:rsid w:val="0018787B"/>
    <w:rsid w:val="001878EA"/>
    <w:rsid w:val="001879EA"/>
    <w:rsid w:val="00187EAE"/>
    <w:rsid w:val="00187F8D"/>
    <w:rsid w:val="001900FB"/>
    <w:rsid w:val="0019017A"/>
    <w:rsid w:val="00190334"/>
    <w:rsid w:val="001903EC"/>
    <w:rsid w:val="00190801"/>
    <w:rsid w:val="00190954"/>
    <w:rsid w:val="00190B38"/>
    <w:rsid w:val="00190B5F"/>
    <w:rsid w:val="00190C20"/>
    <w:rsid w:val="00190CAD"/>
    <w:rsid w:val="0019103F"/>
    <w:rsid w:val="00191122"/>
    <w:rsid w:val="001912A2"/>
    <w:rsid w:val="001914B8"/>
    <w:rsid w:val="00191528"/>
    <w:rsid w:val="001915E3"/>
    <w:rsid w:val="001917C0"/>
    <w:rsid w:val="00191988"/>
    <w:rsid w:val="001924E1"/>
    <w:rsid w:val="00192645"/>
    <w:rsid w:val="001926A3"/>
    <w:rsid w:val="00192C71"/>
    <w:rsid w:val="00192E3B"/>
    <w:rsid w:val="00193430"/>
    <w:rsid w:val="001934A5"/>
    <w:rsid w:val="001937D1"/>
    <w:rsid w:val="001937D8"/>
    <w:rsid w:val="00193F57"/>
    <w:rsid w:val="001942D0"/>
    <w:rsid w:val="00194AB4"/>
    <w:rsid w:val="00194DBF"/>
    <w:rsid w:val="00194E41"/>
    <w:rsid w:val="00194E4A"/>
    <w:rsid w:val="00194E6A"/>
    <w:rsid w:val="00194ECC"/>
    <w:rsid w:val="00194EE1"/>
    <w:rsid w:val="00195142"/>
    <w:rsid w:val="0019535A"/>
    <w:rsid w:val="001955BA"/>
    <w:rsid w:val="001955C7"/>
    <w:rsid w:val="0019565A"/>
    <w:rsid w:val="001959A6"/>
    <w:rsid w:val="00195A38"/>
    <w:rsid w:val="00195D8D"/>
    <w:rsid w:val="00195F29"/>
    <w:rsid w:val="00196118"/>
    <w:rsid w:val="00196220"/>
    <w:rsid w:val="001962ED"/>
    <w:rsid w:val="001966D4"/>
    <w:rsid w:val="00196737"/>
    <w:rsid w:val="00196941"/>
    <w:rsid w:val="00196B22"/>
    <w:rsid w:val="0019720B"/>
    <w:rsid w:val="001972D7"/>
    <w:rsid w:val="00197334"/>
    <w:rsid w:val="0019733B"/>
    <w:rsid w:val="001975B7"/>
    <w:rsid w:val="00197921"/>
    <w:rsid w:val="00197F96"/>
    <w:rsid w:val="001A0063"/>
    <w:rsid w:val="001A0202"/>
    <w:rsid w:val="001A0314"/>
    <w:rsid w:val="001A0885"/>
    <w:rsid w:val="001A0B53"/>
    <w:rsid w:val="001A0C2D"/>
    <w:rsid w:val="001A0D7B"/>
    <w:rsid w:val="001A0E9D"/>
    <w:rsid w:val="001A126C"/>
    <w:rsid w:val="001A1338"/>
    <w:rsid w:val="001A1551"/>
    <w:rsid w:val="001A16DA"/>
    <w:rsid w:val="001A180B"/>
    <w:rsid w:val="001A19A0"/>
    <w:rsid w:val="001A1C9C"/>
    <w:rsid w:val="001A1E93"/>
    <w:rsid w:val="001A1EF0"/>
    <w:rsid w:val="001A1F0E"/>
    <w:rsid w:val="001A2072"/>
    <w:rsid w:val="001A20A4"/>
    <w:rsid w:val="001A25EB"/>
    <w:rsid w:val="001A282B"/>
    <w:rsid w:val="001A2D29"/>
    <w:rsid w:val="001A3289"/>
    <w:rsid w:val="001A3480"/>
    <w:rsid w:val="001A36A3"/>
    <w:rsid w:val="001A3AC2"/>
    <w:rsid w:val="001A3C2E"/>
    <w:rsid w:val="001A3EDE"/>
    <w:rsid w:val="001A428F"/>
    <w:rsid w:val="001A4717"/>
    <w:rsid w:val="001A4728"/>
    <w:rsid w:val="001A4C3F"/>
    <w:rsid w:val="001A4D1C"/>
    <w:rsid w:val="001A4F4D"/>
    <w:rsid w:val="001A4FF6"/>
    <w:rsid w:val="001A54FC"/>
    <w:rsid w:val="001A551A"/>
    <w:rsid w:val="001A5528"/>
    <w:rsid w:val="001A5711"/>
    <w:rsid w:val="001A58C6"/>
    <w:rsid w:val="001A5979"/>
    <w:rsid w:val="001A59B9"/>
    <w:rsid w:val="001A5AC8"/>
    <w:rsid w:val="001A5AF0"/>
    <w:rsid w:val="001A5D27"/>
    <w:rsid w:val="001A5DA7"/>
    <w:rsid w:val="001A5E22"/>
    <w:rsid w:val="001A5EC2"/>
    <w:rsid w:val="001A60F3"/>
    <w:rsid w:val="001A6371"/>
    <w:rsid w:val="001A63C9"/>
    <w:rsid w:val="001A66F4"/>
    <w:rsid w:val="001A6ABA"/>
    <w:rsid w:val="001A6B6C"/>
    <w:rsid w:val="001A6BAC"/>
    <w:rsid w:val="001A704D"/>
    <w:rsid w:val="001A70D9"/>
    <w:rsid w:val="001A7313"/>
    <w:rsid w:val="001A733B"/>
    <w:rsid w:val="001A748A"/>
    <w:rsid w:val="001A7611"/>
    <w:rsid w:val="001A799E"/>
    <w:rsid w:val="001A7A32"/>
    <w:rsid w:val="001A7E7F"/>
    <w:rsid w:val="001A7F3E"/>
    <w:rsid w:val="001B0079"/>
    <w:rsid w:val="001B0170"/>
    <w:rsid w:val="001B01BC"/>
    <w:rsid w:val="001B0327"/>
    <w:rsid w:val="001B0570"/>
    <w:rsid w:val="001B05CE"/>
    <w:rsid w:val="001B06A5"/>
    <w:rsid w:val="001B0A02"/>
    <w:rsid w:val="001B0C05"/>
    <w:rsid w:val="001B0D0E"/>
    <w:rsid w:val="001B0D2F"/>
    <w:rsid w:val="001B0FD6"/>
    <w:rsid w:val="001B0FE1"/>
    <w:rsid w:val="001B119E"/>
    <w:rsid w:val="001B1232"/>
    <w:rsid w:val="001B12EC"/>
    <w:rsid w:val="001B164A"/>
    <w:rsid w:val="001B16F4"/>
    <w:rsid w:val="001B175D"/>
    <w:rsid w:val="001B17B1"/>
    <w:rsid w:val="001B1909"/>
    <w:rsid w:val="001B1A8B"/>
    <w:rsid w:val="001B1F93"/>
    <w:rsid w:val="001B1FAA"/>
    <w:rsid w:val="001B2089"/>
    <w:rsid w:val="001B267E"/>
    <w:rsid w:val="001B277E"/>
    <w:rsid w:val="001B27E6"/>
    <w:rsid w:val="001B28D3"/>
    <w:rsid w:val="001B28FA"/>
    <w:rsid w:val="001B2D1C"/>
    <w:rsid w:val="001B3316"/>
    <w:rsid w:val="001B33F1"/>
    <w:rsid w:val="001B3607"/>
    <w:rsid w:val="001B366F"/>
    <w:rsid w:val="001B39C4"/>
    <w:rsid w:val="001B3C8B"/>
    <w:rsid w:val="001B3D6A"/>
    <w:rsid w:val="001B41B1"/>
    <w:rsid w:val="001B41D9"/>
    <w:rsid w:val="001B46F1"/>
    <w:rsid w:val="001B47D6"/>
    <w:rsid w:val="001B4821"/>
    <w:rsid w:val="001B49B0"/>
    <w:rsid w:val="001B4A03"/>
    <w:rsid w:val="001B4A4E"/>
    <w:rsid w:val="001B4CAF"/>
    <w:rsid w:val="001B4F53"/>
    <w:rsid w:val="001B5074"/>
    <w:rsid w:val="001B5192"/>
    <w:rsid w:val="001B544B"/>
    <w:rsid w:val="001B57C6"/>
    <w:rsid w:val="001B5F87"/>
    <w:rsid w:val="001B617B"/>
    <w:rsid w:val="001B675F"/>
    <w:rsid w:val="001B67BB"/>
    <w:rsid w:val="001B6E7D"/>
    <w:rsid w:val="001B6FC5"/>
    <w:rsid w:val="001B702C"/>
    <w:rsid w:val="001B7362"/>
    <w:rsid w:val="001B7413"/>
    <w:rsid w:val="001B778D"/>
    <w:rsid w:val="001B7AFF"/>
    <w:rsid w:val="001B7E69"/>
    <w:rsid w:val="001C0035"/>
    <w:rsid w:val="001C0237"/>
    <w:rsid w:val="001C0328"/>
    <w:rsid w:val="001C0482"/>
    <w:rsid w:val="001C0744"/>
    <w:rsid w:val="001C0799"/>
    <w:rsid w:val="001C0ABE"/>
    <w:rsid w:val="001C0B45"/>
    <w:rsid w:val="001C0D35"/>
    <w:rsid w:val="001C0F48"/>
    <w:rsid w:val="001C0F62"/>
    <w:rsid w:val="001C0FB6"/>
    <w:rsid w:val="001C148C"/>
    <w:rsid w:val="001C14BA"/>
    <w:rsid w:val="001C150C"/>
    <w:rsid w:val="001C1569"/>
    <w:rsid w:val="001C19E2"/>
    <w:rsid w:val="001C1EB6"/>
    <w:rsid w:val="001C215F"/>
    <w:rsid w:val="001C2165"/>
    <w:rsid w:val="001C2274"/>
    <w:rsid w:val="001C268E"/>
    <w:rsid w:val="001C26D5"/>
    <w:rsid w:val="001C28F7"/>
    <w:rsid w:val="001C2DAE"/>
    <w:rsid w:val="001C3167"/>
    <w:rsid w:val="001C35EE"/>
    <w:rsid w:val="001C39C0"/>
    <w:rsid w:val="001C3E9F"/>
    <w:rsid w:val="001C401A"/>
    <w:rsid w:val="001C40BD"/>
    <w:rsid w:val="001C44FF"/>
    <w:rsid w:val="001C46C5"/>
    <w:rsid w:val="001C46DA"/>
    <w:rsid w:val="001C487A"/>
    <w:rsid w:val="001C4933"/>
    <w:rsid w:val="001C4960"/>
    <w:rsid w:val="001C49D3"/>
    <w:rsid w:val="001C4CC4"/>
    <w:rsid w:val="001C52B7"/>
    <w:rsid w:val="001C5509"/>
    <w:rsid w:val="001C561C"/>
    <w:rsid w:val="001C58E3"/>
    <w:rsid w:val="001C5CBA"/>
    <w:rsid w:val="001C5E18"/>
    <w:rsid w:val="001C6122"/>
    <w:rsid w:val="001C62F5"/>
    <w:rsid w:val="001C63C7"/>
    <w:rsid w:val="001C63D6"/>
    <w:rsid w:val="001C687D"/>
    <w:rsid w:val="001C6921"/>
    <w:rsid w:val="001C6E67"/>
    <w:rsid w:val="001C7068"/>
    <w:rsid w:val="001C735C"/>
    <w:rsid w:val="001C73A2"/>
    <w:rsid w:val="001C757D"/>
    <w:rsid w:val="001C779F"/>
    <w:rsid w:val="001C7867"/>
    <w:rsid w:val="001C79F2"/>
    <w:rsid w:val="001C7B33"/>
    <w:rsid w:val="001C7B66"/>
    <w:rsid w:val="001D0044"/>
    <w:rsid w:val="001D008B"/>
    <w:rsid w:val="001D016B"/>
    <w:rsid w:val="001D045E"/>
    <w:rsid w:val="001D06A5"/>
    <w:rsid w:val="001D08F5"/>
    <w:rsid w:val="001D0D35"/>
    <w:rsid w:val="001D0D93"/>
    <w:rsid w:val="001D1128"/>
    <w:rsid w:val="001D12A0"/>
    <w:rsid w:val="001D16F2"/>
    <w:rsid w:val="001D1757"/>
    <w:rsid w:val="001D1765"/>
    <w:rsid w:val="001D18B7"/>
    <w:rsid w:val="001D190D"/>
    <w:rsid w:val="001D1BE1"/>
    <w:rsid w:val="001D1CB7"/>
    <w:rsid w:val="001D1DC7"/>
    <w:rsid w:val="001D203A"/>
    <w:rsid w:val="001D2170"/>
    <w:rsid w:val="001D2420"/>
    <w:rsid w:val="001D25EC"/>
    <w:rsid w:val="001D260B"/>
    <w:rsid w:val="001D28D2"/>
    <w:rsid w:val="001D28D4"/>
    <w:rsid w:val="001D2B58"/>
    <w:rsid w:val="001D2C6F"/>
    <w:rsid w:val="001D306B"/>
    <w:rsid w:val="001D3228"/>
    <w:rsid w:val="001D336F"/>
    <w:rsid w:val="001D34B9"/>
    <w:rsid w:val="001D34BA"/>
    <w:rsid w:val="001D3549"/>
    <w:rsid w:val="001D39CF"/>
    <w:rsid w:val="001D3E48"/>
    <w:rsid w:val="001D40E9"/>
    <w:rsid w:val="001D42C1"/>
    <w:rsid w:val="001D4366"/>
    <w:rsid w:val="001D4724"/>
    <w:rsid w:val="001D4889"/>
    <w:rsid w:val="001D499A"/>
    <w:rsid w:val="001D49AC"/>
    <w:rsid w:val="001D4A16"/>
    <w:rsid w:val="001D4DED"/>
    <w:rsid w:val="001D4E85"/>
    <w:rsid w:val="001D4EC4"/>
    <w:rsid w:val="001D520E"/>
    <w:rsid w:val="001D5245"/>
    <w:rsid w:val="001D5277"/>
    <w:rsid w:val="001D52F7"/>
    <w:rsid w:val="001D5459"/>
    <w:rsid w:val="001D582C"/>
    <w:rsid w:val="001D5864"/>
    <w:rsid w:val="001D59FD"/>
    <w:rsid w:val="001D611C"/>
    <w:rsid w:val="001D62FF"/>
    <w:rsid w:val="001D63F2"/>
    <w:rsid w:val="001D66F7"/>
    <w:rsid w:val="001D672E"/>
    <w:rsid w:val="001D6C11"/>
    <w:rsid w:val="001D6E0B"/>
    <w:rsid w:val="001D7328"/>
    <w:rsid w:val="001D7707"/>
    <w:rsid w:val="001D7736"/>
    <w:rsid w:val="001D7793"/>
    <w:rsid w:val="001D784C"/>
    <w:rsid w:val="001D78E8"/>
    <w:rsid w:val="001D7A6D"/>
    <w:rsid w:val="001E03D2"/>
    <w:rsid w:val="001E03F8"/>
    <w:rsid w:val="001E04AC"/>
    <w:rsid w:val="001E0AEC"/>
    <w:rsid w:val="001E0CB4"/>
    <w:rsid w:val="001E0F37"/>
    <w:rsid w:val="001E1015"/>
    <w:rsid w:val="001E125D"/>
    <w:rsid w:val="001E1270"/>
    <w:rsid w:val="001E130B"/>
    <w:rsid w:val="001E131B"/>
    <w:rsid w:val="001E13E4"/>
    <w:rsid w:val="001E1619"/>
    <w:rsid w:val="001E1E70"/>
    <w:rsid w:val="001E2169"/>
    <w:rsid w:val="001E2310"/>
    <w:rsid w:val="001E253F"/>
    <w:rsid w:val="001E281D"/>
    <w:rsid w:val="001E2ADD"/>
    <w:rsid w:val="001E2BCE"/>
    <w:rsid w:val="001E2F2E"/>
    <w:rsid w:val="001E3067"/>
    <w:rsid w:val="001E3255"/>
    <w:rsid w:val="001E35D6"/>
    <w:rsid w:val="001E361C"/>
    <w:rsid w:val="001E37B1"/>
    <w:rsid w:val="001E3F9E"/>
    <w:rsid w:val="001E404F"/>
    <w:rsid w:val="001E40C3"/>
    <w:rsid w:val="001E4111"/>
    <w:rsid w:val="001E4292"/>
    <w:rsid w:val="001E4650"/>
    <w:rsid w:val="001E47D8"/>
    <w:rsid w:val="001E4816"/>
    <w:rsid w:val="001E4843"/>
    <w:rsid w:val="001E4AF8"/>
    <w:rsid w:val="001E4B6D"/>
    <w:rsid w:val="001E4EE2"/>
    <w:rsid w:val="001E5169"/>
    <w:rsid w:val="001E52DF"/>
    <w:rsid w:val="001E54BE"/>
    <w:rsid w:val="001E55F8"/>
    <w:rsid w:val="001E5678"/>
    <w:rsid w:val="001E5A1E"/>
    <w:rsid w:val="001E5D3D"/>
    <w:rsid w:val="001E60BF"/>
    <w:rsid w:val="001E6144"/>
    <w:rsid w:val="001E6187"/>
    <w:rsid w:val="001E6271"/>
    <w:rsid w:val="001E6769"/>
    <w:rsid w:val="001E69E4"/>
    <w:rsid w:val="001E6A5F"/>
    <w:rsid w:val="001E6BEE"/>
    <w:rsid w:val="001E6E5C"/>
    <w:rsid w:val="001E6FB0"/>
    <w:rsid w:val="001E7184"/>
    <w:rsid w:val="001E7479"/>
    <w:rsid w:val="001E7555"/>
    <w:rsid w:val="001E75A3"/>
    <w:rsid w:val="001E76AE"/>
    <w:rsid w:val="001E7759"/>
    <w:rsid w:val="001E7951"/>
    <w:rsid w:val="001E7BDC"/>
    <w:rsid w:val="001E7CF6"/>
    <w:rsid w:val="001E7EFA"/>
    <w:rsid w:val="001F01EF"/>
    <w:rsid w:val="001F072F"/>
    <w:rsid w:val="001F0827"/>
    <w:rsid w:val="001F0E55"/>
    <w:rsid w:val="001F0EDB"/>
    <w:rsid w:val="001F1111"/>
    <w:rsid w:val="001F118C"/>
    <w:rsid w:val="001F12DD"/>
    <w:rsid w:val="001F1405"/>
    <w:rsid w:val="001F1577"/>
    <w:rsid w:val="001F16A8"/>
    <w:rsid w:val="001F18BC"/>
    <w:rsid w:val="001F1B3E"/>
    <w:rsid w:val="001F1D2A"/>
    <w:rsid w:val="001F1E5C"/>
    <w:rsid w:val="001F1E81"/>
    <w:rsid w:val="001F2260"/>
    <w:rsid w:val="001F263D"/>
    <w:rsid w:val="001F2C0F"/>
    <w:rsid w:val="001F2F50"/>
    <w:rsid w:val="001F31C9"/>
    <w:rsid w:val="001F3479"/>
    <w:rsid w:val="001F3557"/>
    <w:rsid w:val="001F3941"/>
    <w:rsid w:val="001F3BE6"/>
    <w:rsid w:val="001F3CD9"/>
    <w:rsid w:val="001F452D"/>
    <w:rsid w:val="001F4735"/>
    <w:rsid w:val="001F49AF"/>
    <w:rsid w:val="001F4A16"/>
    <w:rsid w:val="001F4AEF"/>
    <w:rsid w:val="001F4F38"/>
    <w:rsid w:val="001F5240"/>
    <w:rsid w:val="001F5BC7"/>
    <w:rsid w:val="001F5C17"/>
    <w:rsid w:val="001F5D4F"/>
    <w:rsid w:val="001F5E28"/>
    <w:rsid w:val="001F6112"/>
    <w:rsid w:val="001F639B"/>
    <w:rsid w:val="001F64BA"/>
    <w:rsid w:val="001F6660"/>
    <w:rsid w:val="001F66DA"/>
    <w:rsid w:val="001F6951"/>
    <w:rsid w:val="001F69F6"/>
    <w:rsid w:val="001F6BBF"/>
    <w:rsid w:val="001F7019"/>
    <w:rsid w:val="001F7214"/>
    <w:rsid w:val="001F72CB"/>
    <w:rsid w:val="001F77CD"/>
    <w:rsid w:val="001F79C2"/>
    <w:rsid w:val="001F79E6"/>
    <w:rsid w:val="001F7A93"/>
    <w:rsid w:val="001F7BB2"/>
    <w:rsid w:val="002006D2"/>
    <w:rsid w:val="0020082D"/>
    <w:rsid w:val="00200842"/>
    <w:rsid w:val="002008EC"/>
    <w:rsid w:val="0020098E"/>
    <w:rsid w:val="00200ADA"/>
    <w:rsid w:val="00200D1F"/>
    <w:rsid w:val="00200E1B"/>
    <w:rsid w:val="002010B9"/>
    <w:rsid w:val="002010F7"/>
    <w:rsid w:val="00201167"/>
    <w:rsid w:val="002011D1"/>
    <w:rsid w:val="002012DE"/>
    <w:rsid w:val="00201338"/>
    <w:rsid w:val="00202161"/>
    <w:rsid w:val="00202210"/>
    <w:rsid w:val="0020277F"/>
    <w:rsid w:val="00202826"/>
    <w:rsid w:val="002028D4"/>
    <w:rsid w:val="00202A76"/>
    <w:rsid w:val="00202C81"/>
    <w:rsid w:val="0020374F"/>
    <w:rsid w:val="002038C9"/>
    <w:rsid w:val="00203ACA"/>
    <w:rsid w:val="00203AEC"/>
    <w:rsid w:val="00203CCC"/>
    <w:rsid w:val="00203CF9"/>
    <w:rsid w:val="00203D2D"/>
    <w:rsid w:val="00203D49"/>
    <w:rsid w:val="0020412D"/>
    <w:rsid w:val="00204444"/>
    <w:rsid w:val="002044AC"/>
    <w:rsid w:val="002047F2"/>
    <w:rsid w:val="00204ED4"/>
    <w:rsid w:val="00204F02"/>
    <w:rsid w:val="002051AA"/>
    <w:rsid w:val="00205596"/>
    <w:rsid w:val="002056F7"/>
    <w:rsid w:val="002059AA"/>
    <w:rsid w:val="00205A48"/>
    <w:rsid w:val="00205BA2"/>
    <w:rsid w:val="00205E62"/>
    <w:rsid w:val="0020617B"/>
    <w:rsid w:val="00206617"/>
    <w:rsid w:val="00206AE4"/>
    <w:rsid w:val="00206D7C"/>
    <w:rsid w:val="00206E9A"/>
    <w:rsid w:val="00206F07"/>
    <w:rsid w:val="00207CE5"/>
    <w:rsid w:val="002100FD"/>
    <w:rsid w:val="0021011E"/>
    <w:rsid w:val="002101D8"/>
    <w:rsid w:val="002108C3"/>
    <w:rsid w:val="002108D1"/>
    <w:rsid w:val="0021095F"/>
    <w:rsid w:val="00210CEA"/>
    <w:rsid w:val="00210DF8"/>
    <w:rsid w:val="002110C3"/>
    <w:rsid w:val="002110D6"/>
    <w:rsid w:val="0021127B"/>
    <w:rsid w:val="0021129F"/>
    <w:rsid w:val="00211633"/>
    <w:rsid w:val="00211737"/>
    <w:rsid w:val="0021194F"/>
    <w:rsid w:val="00212148"/>
    <w:rsid w:val="0021237C"/>
    <w:rsid w:val="002127CD"/>
    <w:rsid w:val="00212810"/>
    <w:rsid w:val="0021283B"/>
    <w:rsid w:val="002128BF"/>
    <w:rsid w:val="00212AA7"/>
    <w:rsid w:val="00212E23"/>
    <w:rsid w:val="00213472"/>
    <w:rsid w:val="002135C1"/>
    <w:rsid w:val="0021360D"/>
    <w:rsid w:val="0021379C"/>
    <w:rsid w:val="002137F4"/>
    <w:rsid w:val="00213804"/>
    <w:rsid w:val="00213AB1"/>
    <w:rsid w:val="00213BF0"/>
    <w:rsid w:val="002148C3"/>
    <w:rsid w:val="00214908"/>
    <w:rsid w:val="00214A2C"/>
    <w:rsid w:val="00214C9F"/>
    <w:rsid w:val="00214CDB"/>
    <w:rsid w:val="00214D38"/>
    <w:rsid w:val="00214DFE"/>
    <w:rsid w:val="00214F79"/>
    <w:rsid w:val="00215096"/>
    <w:rsid w:val="002154F7"/>
    <w:rsid w:val="002155E8"/>
    <w:rsid w:val="002155EB"/>
    <w:rsid w:val="002156C5"/>
    <w:rsid w:val="002157CD"/>
    <w:rsid w:val="002158D5"/>
    <w:rsid w:val="00215A86"/>
    <w:rsid w:val="00215E7C"/>
    <w:rsid w:val="00215EB0"/>
    <w:rsid w:val="00215ED2"/>
    <w:rsid w:val="00215F52"/>
    <w:rsid w:val="002160F4"/>
    <w:rsid w:val="00216195"/>
    <w:rsid w:val="00216292"/>
    <w:rsid w:val="0021647F"/>
    <w:rsid w:val="00216564"/>
    <w:rsid w:val="002165A8"/>
    <w:rsid w:val="00216827"/>
    <w:rsid w:val="00216A68"/>
    <w:rsid w:val="00216AF3"/>
    <w:rsid w:val="00216E47"/>
    <w:rsid w:val="00216FAC"/>
    <w:rsid w:val="002170B4"/>
    <w:rsid w:val="00217146"/>
    <w:rsid w:val="0021764D"/>
    <w:rsid w:val="00217676"/>
    <w:rsid w:val="0021769F"/>
    <w:rsid w:val="00217B65"/>
    <w:rsid w:val="0022073B"/>
    <w:rsid w:val="00220885"/>
    <w:rsid w:val="00220A0C"/>
    <w:rsid w:val="00220A4C"/>
    <w:rsid w:val="00220B9F"/>
    <w:rsid w:val="00220BB5"/>
    <w:rsid w:val="00220C09"/>
    <w:rsid w:val="00220D76"/>
    <w:rsid w:val="002210E5"/>
    <w:rsid w:val="00221266"/>
    <w:rsid w:val="0022128A"/>
    <w:rsid w:val="002213EA"/>
    <w:rsid w:val="002215B8"/>
    <w:rsid w:val="0022188F"/>
    <w:rsid w:val="00221A07"/>
    <w:rsid w:val="00221BEA"/>
    <w:rsid w:val="00221D6D"/>
    <w:rsid w:val="00221E8B"/>
    <w:rsid w:val="00221FA5"/>
    <w:rsid w:val="0022205B"/>
    <w:rsid w:val="00222178"/>
    <w:rsid w:val="00222321"/>
    <w:rsid w:val="0022244E"/>
    <w:rsid w:val="002224CD"/>
    <w:rsid w:val="00222548"/>
    <w:rsid w:val="00222673"/>
    <w:rsid w:val="002229EA"/>
    <w:rsid w:val="00222E94"/>
    <w:rsid w:val="00222FB3"/>
    <w:rsid w:val="00223108"/>
    <w:rsid w:val="002231AF"/>
    <w:rsid w:val="00223721"/>
    <w:rsid w:val="00223817"/>
    <w:rsid w:val="002238BC"/>
    <w:rsid w:val="002238EE"/>
    <w:rsid w:val="00223AA5"/>
    <w:rsid w:val="00223B4D"/>
    <w:rsid w:val="00223BCE"/>
    <w:rsid w:val="00223D3B"/>
    <w:rsid w:val="00223D70"/>
    <w:rsid w:val="00223FD7"/>
    <w:rsid w:val="00224171"/>
    <w:rsid w:val="00224243"/>
    <w:rsid w:val="0022427D"/>
    <w:rsid w:val="002242A1"/>
    <w:rsid w:val="00224C6D"/>
    <w:rsid w:val="00224F9D"/>
    <w:rsid w:val="00225163"/>
    <w:rsid w:val="002251D2"/>
    <w:rsid w:val="002256F1"/>
    <w:rsid w:val="0022571D"/>
    <w:rsid w:val="00225745"/>
    <w:rsid w:val="0022585D"/>
    <w:rsid w:val="002259D5"/>
    <w:rsid w:val="00225AB0"/>
    <w:rsid w:val="00225E12"/>
    <w:rsid w:val="00226283"/>
    <w:rsid w:val="00226535"/>
    <w:rsid w:val="002265B4"/>
    <w:rsid w:val="00226988"/>
    <w:rsid w:val="002269E9"/>
    <w:rsid w:val="00226AB5"/>
    <w:rsid w:val="00226E91"/>
    <w:rsid w:val="002270C2"/>
    <w:rsid w:val="0022751E"/>
    <w:rsid w:val="00227593"/>
    <w:rsid w:val="00227959"/>
    <w:rsid w:val="00227A4A"/>
    <w:rsid w:val="00227A7F"/>
    <w:rsid w:val="00227AFB"/>
    <w:rsid w:val="00227BF3"/>
    <w:rsid w:val="00230077"/>
    <w:rsid w:val="00230188"/>
    <w:rsid w:val="00230286"/>
    <w:rsid w:val="0023032E"/>
    <w:rsid w:val="002308AB"/>
    <w:rsid w:val="00230E42"/>
    <w:rsid w:val="00230EF7"/>
    <w:rsid w:val="00231362"/>
    <w:rsid w:val="002313AF"/>
    <w:rsid w:val="00231409"/>
    <w:rsid w:val="00231440"/>
    <w:rsid w:val="0023156E"/>
    <w:rsid w:val="002317A4"/>
    <w:rsid w:val="0023184C"/>
    <w:rsid w:val="00231CEF"/>
    <w:rsid w:val="00231D9B"/>
    <w:rsid w:val="00231E68"/>
    <w:rsid w:val="00231F5E"/>
    <w:rsid w:val="0023216F"/>
    <w:rsid w:val="0023276E"/>
    <w:rsid w:val="0023298C"/>
    <w:rsid w:val="00232A11"/>
    <w:rsid w:val="00232B03"/>
    <w:rsid w:val="00233269"/>
    <w:rsid w:val="00233434"/>
    <w:rsid w:val="002337B7"/>
    <w:rsid w:val="00233911"/>
    <w:rsid w:val="00233BE8"/>
    <w:rsid w:val="00233D30"/>
    <w:rsid w:val="00233D73"/>
    <w:rsid w:val="00233E4E"/>
    <w:rsid w:val="0023409F"/>
    <w:rsid w:val="0023426D"/>
    <w:rsid w:val="002342E3"/>
    <w:rsid w:val="0023431E"/>
    <w:rsid w:val="002343BB"/>
    <w:rsid w:val="002344BB"/>
    <w:rsid w:val="002345BB"/>
    <w:rsid w:val="00234C84"/>
    <w:rsid w:val="00234D48"/>
    <w:rsid w:val="00234EF8"/>
    <w:rsid w:val="00234F88"/>
    <w:rsid w:val="0023508E"/>
    <w:rsid w:val="002355B4"/>
    <w:rsid w:val="00235635"/>
    <w:rsid w:val="002357CB"/>
    <w:rsid w:val="00235842"/>
    <w:rsid w:val="002358C2"/>
    <w:rsid w:val="00235B7B"/>
    <w:rsid w:val="00235C10"/>
    <w:rsid w:val="00235E0F"/>
    <w:rsid w:val="00235F58"/>
    <w:rsid w:val="00236073"/>
    <w:rsid w:val="002362F7"/>
    <w:rsid w:val="0023637B"/>
    <w:rsid w:val="002365C2"/>
    <w:rsid w:val="002365D1"/>
    <w:rsid w:val="00236BEE"/>
    <w:rsid w:val="002373F4"/>
    <w:rsid w:val="0023740A"/>
    <w:rsid w:val="002376A6"/>
    <w:rsid w:val="0023780E"/>
    <w:rsid w:val="002379F6"/>
    <w:rsid w:val="00237CAD"/>
    <w:rsid w:val="00237D82"/>
    <w:rsid w:val="00237E20"/>
    <w:rsid w:val="00237F03"/>
    <w:rsid w:val="00237FA2"/>
    <w:rsid w:val="0024031F"/>
    <w:rsid w:val="002403CB"/>
    <w:rsid w:val="00240770"/>
    <w:rsid w:val="0024087F"/>
    <w:rsid w:val="00240C84"/>
    <w:rsid w:val="00240D2D"/>
    <w:rsid w:val="00240FD5"/>
    <w:rsid w:val="00241201"/>
    <w:rsid w:val="00241207"/>
    <w:rsid w:val="002414EE"/>
    <w:rsid w:val="00241623"/>
    <w:rsid w:val="00241819"/>
    <w:rsid w:val="00241868"/>
    <w:rsid w:val="002418BC"/>
    <w:rsid w:val="00241B9C"/>
    <w:rsid w:val="00241C57"/>
    <w:rsid w:val="00241FE0"/>
    <w:rsid w:val="00242435"/>
    <w:rsid w:val="0024269D"/>
    <w:rsid w:val="0024272E"/>
    <w:rsid w:val="00242A25"/>
    <w:rsid w:val="00242B52"/>
    <w:rsid w:val="00242D03"/>
    <w:rsid w:val="00242D4B"/>
    <w:rsid w:val="00242DDB"/>
    <w:rsid w:val="00243043"/>
    <w:rsid w:val="002431DD"/>
    <w:rsid w:val="00243255"/>
    <w:rsid w:val="00243419"/>
    <w:rsid w:val="00243432"/>
    <w:rsid w:val="00243442"/>
    <w:rsid w:val="00243631"/>
    <w:rsid w:val="00243679"/>
    <w:rsid w:val="002436EB"/>
    <w:rsid w:val="0024379D"/>
    <w:rsid w:val="00243A35"/>
    <w:rsid w:val="00243B23"/>
    <w:rsid w:val="00243B30"/>
    <w:rsid w:val="00243EED"/>
    <w:rsid w:val="00243FC9"/>
    <w:rsid w:val="0024426F"/>
    <w:rsid w:val="00244276"/>
    <w:rsid w:val="002443BF"/>
    <w:rsid w:val="00244645"/>
    <w:rsid w:val="00244C86"/>
    <w:rsid w:val="00244DE4"/>
    <w:rsid w:val="002454D3"/>
    <w:rsid w:val="002455BA"/>
    <w:rsid w:val="002456CB"/>
    <w:rsid w:val="002458BD"/>
    <w:rsid w:val="00245A64"/>
    <w:rsid w:val="00245AE1"/>
    <w:rsid w:val="00245AE3"/>
    <w:rsid w:val="00246149"/>
    <w:rsid w:val="00246268"/>
    <w:rsid w:val="002467BC"/>
    <w:rsid w:val="002468D2"/>
    <w:rsid w:val="00246A0F"/>
    <w:rsid w:val="00246FB5"/>
    <w:rsid w:val="00247228"/>
    <w:rsid w:val="002477FD"/>
    <w:rsid w:val="00247D29"/>
    <w:rsid w:val="00247FD0"/>
    <w:rsid w:val="002507F5"/>
    <w:rsid w:val="00250D01"/>
    <w:rsid w:val="00250FDC"/>
    <w:rsid w:val="00251491"/>
    <w:rsid w:val="00251809"/>
    <w:rsid w:val="00251979"/>
    <w:rsid w:val="00251AB6"/>
    <w:rsid w:val="00251BA5"/>
    <w:rsid w:val="00251E1B"/>
    <w:rsid w:val="00251FAD"/>
    <w:rsid w:val="002521D4"/>
    <w:rsid w:val="00252220"/>
    <w:rsid w:val="002525FE"/>
    <w:rsid w:val="002527D2"/>
    <w:rsid w:val="002529A4"/>
    <w:rsid w:val="002529AD"/>
    <w:rsid w:val="002529C5"/>
    <w:rsid w:val="00252E6F"/>
    <w:rsid w:val="00252FD2"/>
    <w:rsid w:val="0025303B"/>
    <w:rsid w:val="0025308C"/>
    <w:rsid w:val="00253097"/>
    <w:rsid w:val="00253388"/>
    <w:rsid w:val="002534AA"/>
    <w:rsid w:val="002535B0"/>
    <w:rsid w:val="0025368C"/>
    <w:rsid w:val="002537D7"/>
    <w:rsid w:val="0025381B"/>
    <w:rsid w:val="0025459B"/>
    <w:rsid w:val="00254794"/>
    <w:rsid w:val="002548DF"/>
    <w:rsid w:val="002548F3"/>
    <w:rsid w:val="00254D0C"/>
    <w:rsid w:val="0025588D"/>
    <w:rsid w:val="002558D8"/>
    <w:rsid w:val="00255A9A"/>
    <w:rsid w:val="00255CEE"/>
    <w:rsid w:val="00255E5B"/>
    <w:rsid w:val="0025627F"/>
    <w:rsid w:val="002562B4"/>
    <w:rsid w:val="00256531"/>
    <w:rsid w:val="00256733"/>
    <w:rsid w:val="002568EE"/>
    <w:rsid w:val="00256E5A"/>
    <w:rsid w:val="002570A0"/>
    <w:rsid w:val="00257295"/>
    <w:rsid w:val="00257343"/>
    <w:rsid w:val="0025739F"/>
    <w:rsid w:val="00257D3D"/>
    <w:rsid w:val="00257E8E"/>
    <w:rsid w:val="002600A5"/>
    <w:rsid w:val="002601A4"/>
    <w:rsid w:val="00260514"/>
    <w:rsid w:val="0026080E"/>
    <w:rsid w:val="002608CE"/>
    <w:rsid w:val="00260EF6"/>
    <w:rsid w:val="00261281"/>
    <w:rsid w:val="002614B0"/>
    <w:rsid w:val="00261B0D"/>
    <w:rsid w:val="00262160"/>
    <w:rsid w:val="002622D1"/>
    <w:rsid w:val="002624D3"/>
    <w:rsid w:val="002626E9"/>
    <w:rsid w:val="00262759"/>
    <w:rsid w:val="002628CD"/>
    <w:rsid w:val="002629A9"/>
    <w:rsid w:val="00262D26"/>
    <w:rsid w:val="00263823"/>
    <w:rsid w:val="002639EB"/>
    <w:rsid w:val="00263A7A"/>
    <w:rsid w:val="00263DAF"/>
    <w:rsid w:val="00263E5F"/>
    <w:rsid w:val="00263FE1"/>
    <w:rsid w:val="00264022"/>
    <w:rsid w:val="002641D4"/>
    <w:rsid w:val="002643FD"/>
    <w:rsid w:val="0026448A"/>
    <w:rsid w:val="00264838"/>
    <w:rsid w:val="00264A0E"/>
    <w:rsid w:val="00264A3F"/>
    <w:rsid w:val="00264C12"/>
    <w:rsid w:val="00264C96"/>
    <w:rsid w:val="00264E81"/>
    <w:rsid w:val="002651D0"/>
    <w:rsid w:val="0026527D"/>
    <w:rsid w:val="00265658"/>
    <w:rsid w:val="00265A89"/>
    <w:rsid w:val="00265DB2"/>
    <w:rsid w:val="00265F50"/>
    <w:rsid w:val="002661FD"/>
    <w:rsid w:val="00266573"/>
    <w:rsid w:val="0026658D"/>
    <w:rsid w:val="00266696"/>
    <w:rsid w:val="002669C8"/>
    <w:rsid w:val="00266B8D"/>
    <w:rsid w:val="00266D3F"/>
    <w:rsid w:val="00266D8A"/>
    <w:rsid w:val="00267136"/>
    <w:rsid w:val="0026741D"/>
    <w:rsid w:val="002701BF"/>
    <w:rsid w:val="0027023E"/>
    <w:rsid w:val="002702A5"/>
    <w:rsid w:val="00270305"/>
    <w:rsid w:val="0027059F"/>
    <w:rsid w:val="00270615"/>
    <w:rsid w:val="002708DF"/>
    <w:rsid w:val="002709EF"/>
    <w:rsid w:val="00270BAC"/>
    <w:rsid w:val="00270E9A"/>
    <w:rsid w:val="00271074"/>
    <w:rsid w:val="002710B9"/>
    <w:rsid w:val="002714F6"/>
    <w:rsid w:val="00271513"/>
    <w:rsid w:val="002715AC"/>
    <w:rsid w:val="0027174D"/>
    <w:rsid w:val="00271968"/>
    <w:rsid w:val="002720D3"/>
    <w:rsid w:val="0027213B"/>
    <w:rsid w:val="00272153"/>
    <w:rsid w:val="002722FA"/>
    <w:rsid w:val="00272754"/>
    <w:rsid w:val="002728BB"/>
    <w:rsid w:val="00272B30"/>
    <w:rsid w:val="00272C76"/>
    <w:rsid w:val="00272EE5"/>
    <w:rsid w:val="00272FFF"/>
    <w:rsid w:val="00273382"/>
    <w:rsid w:val="00273429"/>
    <w:rsid w:val="0027347A"/>
    <w:rsid w:val="002734B7"/>
    <w:rsid w:val="00273713"/>
    <w:rsid w:val="00273717"/>
    <w:rsid w:val="00273825"/>
    <w:rsid w:val="00273B08"/>
    <w:rsid w:val="00273BC6"/>
    <w:rsid w:val="00273BD9"/>
    <w:rsid w:val="00273BEF"/>
    <w:rsid w:val="00273E73"/>
    <w:rsid w:val="00273FAF"/>
    <w:rsid w:val="00273FBB"/>
    <w:rsid w:val="0027416A"/>
    <w:rsid w:val="0027443A"/>
    <w:rsid w:val="00274698"/>
    <w:rsid w:val="0027474F"/>
    <w:rsid w:val="002747E1"/>
    <w:rsid w:val="00274A81"/>
    <w:rsid w:val="00274C9F"/>
    <w:rsid w:val="00274E08"/>
    <w:rsid w:val="00274E8D"/>
    <w:rsid w:val="00274EBF"/>
    <w:rsid w:val="00274EDE"/>
    <w:rsid w:val="00274F4C"/>
    <w:rsid w:val="0027503E"/>
    <w:rsid w:val="00275042"/>
    <w:rsid w:val="0027505D"/>
    <w:rsid w:val="002750D0"/>
    <w:rsid w:val="00275162"/>
    <w:rsid w:val="00275336"/>
    <w:rsid w:val="00275390"/>
    <w:rsid w:val="00275D3B"/>
    <w:rsid w:val="00276002"/>
    <w:rsid w:val="00276366"/>
    <w:rsid w:val="0027639A"/>
    <w:rsid w:val="00276412"/>
    <w:rsid w:val="00276583"/>
    <w:rsid w:val="002766E5"/>
    <w:rsid w:val="00276878"/>
    <w:rsid w:val="00276B3F"/>
    <w:rsid w:val="00276EF6"/>
    <w:rsid w:val="00277339"/>
    <w:rsid w:val="002773F4"/>
    <w:rsid w:val="002774B4"/>
    <w:rsid w:val="00277585"/>
    <w:rsid w:val="002775E2"/>
    <w:rsid w:val="002776D5"/>
    <w:rsid w:val="0027776A"/>
    <w:rsid w:val="00277AD6"/>
    <w:rsid w:val="00277AD8"/>
    <w:rsid w:val="0028011F"/>
    <w:rsid w:val="00280134"/>
    <w:rsid w:val="00280343"/>
    <w:rsid w:val="0028036D"/>
    <w:rsid w:val="00280564"/>
    <w:rsid w:val="00280793"/>
    <w:rsid w:val="00280B84"/>
    <w:rsid w:val="00280DDB"/>
    <w:rsid w:val="00280F83"/>
    <w:rsid w:val="00281177"/>
    <w:rsid w:val="00281A87"/>
    <w:rsid w:val="00281B0E"/>
    <w:rsid w:val="00281B5F"/>
    <w:rsid w:val="00281CDE"/>
    <w:rsid w:val="0028253B"/>
    <w:rsid w:val="002825C2"/>
    <w:rsid w:val="0028298A"/>
    <w:rsid w:val="00282C74"/>
    <w:rsid w:val="0028303B"/>
    <w:rsid w:val="00283558"/>
    <w:rsid w:val="0028389A"/>
    <w:rsid w:val="00283C76"/>
    <w:rsid w:val="002844BF"/>
    <w:rsid w:val="0028471A"/>
    <w:rsid w:val="00284F20"/>
    <w:rsid w:val="002851B5"/>
    <w:rsid w:val="0028522E"/>
    <w:rsid w:val="002856CB"/>
    <w:rsid w:val="00285933"/>
    <w:rsid w:val="00285B0C"/>
    <w:rsid w:val="00285C52"/>
    <w:rsid w:val="00285CBA"/>
    <w:rsid w:val="0028617B"/>
    <w:rsid w:val="00286595"/>
    <w:rsid w:val="00286761"/>
    <w:rsid w:val="00286AF2"/>
    <w:rsid w:val="002871E3"/>
    <w:rsid w:val="002872D2"/>
    <w:rsid w:val="002875F1"/>
    <w:rsid w:val="00287631"/>
    <w:rsid w:val="0028777F"/>
    <w:rsid w:val="002879A5"/>
    <w:rsid w:val="00287B5D"/>
    <w:rsid w:val="00287B5E"/>
    <w:rsid w:val="00287B98"/>
    <w:rsid w:val="00287D07"/>
    <w:rsid w:val="00287F5C"/>
    <w:rsid w:val="002908DA"/>
    <w:rsid w:val="00290ABA"/>
    <w:rsid w:val="00290B5B"/>
    <w:rsid w:val="00290CFD"/>
    <w:rsid w:val="00290E33"/>
    <w:rsid w:val="00290F69"/>
    <w:rsid w:val="00290FB1"/>
    <w:rsid w:val="002911D7"/>
    <w:rsid w:val="002912C1"/>
    <w:rsid w:val="002919D5"/>
    <w:rsid w:val="00291C1D"/>
    <w:rsid w:val="00291C3E"/>
    <w:rsid w:val="00291CC0"/>
    <w:rsid w:val="00291F35"/>
    <w:rsid w:val="00291F3A"/>
    <w:rsid w:val="00292003"/>
    <w:rsid w:val="0029204A"/>
    <w:rsid w:val="002920A3"/>
    <w:rsid w:val="0029234F"/>
    <w:rsid w:val="00292372"/>
    <w:rsid w:val="00292405"/>
    <w:rsid w:val="00292409"/>
    <w:rsid w:val="002926CB"/>
    <w:rsid w:val="002928E6"/>
    <w:rsid w:val="00292D7A"/>
    <w:rsid w:val="00292E9A"/>
    <w:rsid w:val="00293419"/>
    <w:rsid w:val="0029359A"/>
    <w:rsid w:val="00293628"/>
    <w:rsid w:val="00293676"/>
    <w:rsid w:val="0029368B"/>
    <w:rsid w:val="00293858"/>
    <w:rsid w:val="002938DA"/>
    <w:rsid w:val="00293D0E"/>
    <w:rsid w:val="00293DAC"/>
    <w:rsid w:val="0029445E"/>
    <w:rsid w:val="00294762"/>
    <w:rsid w:val="00294C91"/>
    <w:rsid w:val="00294DA5"/>
    <w:rsid w:val="00294DD5"/>
    <w:rsid w:val="00294F94"/>
    <w:rsid w:val="0029508B"/>
    <w:rsid w:val="00295123"/>
    <w:rsid w:val="002951C7"/>
    <w:rsid w:val="0029528D"/>
    <w:rsid w:val="002952C9"/>
    <w:rsid w:val="00295347"/>
    <w:rsid w:val="00295414"/>
    <w:rsid w:val="002959A9"/>
    <w:rsid w:val="00295CB7"/>
    <w:rsid w:val="00295E59"/>
    <w:rsid w:val="00295F70"/>
    <w:rsid w:val="00295F95"/>
    <w:rsid w:val="0029610B"/>
    <w:rsid w:val="002963AB"/>
    <w:rsid w:val="00296421"/>
    <w:rsid w:val="002964B7"/>
    <w:rsid w:val="002965C2"/>
    <w:rsid w:val="00296801"/>
    <w:rsid w:val="002969F0"/>
    <w:rsid w:val="00297186"/>
    <w:rsid w:val="0029782C"/>
    <w:rsid w:val="00297A0E"/>
    <w:rsid w:val="00297E2D"/>
    <w:rsid w:val="00297EB8"/>
    <w:rsid w:val="002A0002"/>
    <w:rsid w:val="002A0107"/>
    <w:rsid w:val="002A0139"/>
    <w:rsid w:val="002A0848"/>
    <w:rsid w:val="002A0B10"/>
    <w:rsid w:val="002A0D4F"/>
    <w:rsid w:val="002A0DAA"/>
    <w:rsid w:val="002A1355"/>
    <w:rsid w:val="002A199D"/>
    <w:rsid w:val="002A1CCE"/>
    <w:rsid w:val="002A1E01"/>
    <w:rsid w:val="002A2226"/>
    <w:rsid w:val="002A24F9"/>
    <w:rsid w:val="002A2875"/>
    <w:rsid w:val="002A29FE"/>
    <w:rsid w:val="002A2CED"/>
    <w:rsid w:val="002A312A"/>
    <w:rsid w:val="002A3310"/>
    <w:rsid w:val="002A349B"/>
    <w:rsid w:val="002A34B0"/>
    <w:rsid w:val="002A34D2"/>
    <w:rsid w:val="002A3B2A"/>
    <w:rsid w:val="002A3B6E"/>
    <w:rsid w:val="002A3C42"/>
    <w:rsid w:val="002A3C99"/>
    <w:rsid w:val="002A4074"/>
    <w:rsid w:val="002A40BC"/>
    <w:rsid w:val="002A419E"/>
    <w:rsid w:val="002A41B6"/>
    <w:rsid w:val="002A442E"/>
    <w:rsid w:val="002A45EE"/>
    <w:rsid w:val="002A461F"/>
    <w:rsid w:val="002A47FE"/>
    <w:rsid w:val="002A4D64"/>
    <w:rsid w:val="002A4E67"/>
    <w:rsid w:val="002A51D1"/>
    <w:rsid w:val="002A53E2"/>
    <w:rsid w:val="002A540E"/>
    <w:rsid w:val="002A541C"/>
    <w:rsid w:val="002A5443"/>
    <w:rsid w:val="002A57AC"/>
    <w:rsid w:val="002A57ED"/>
    <w:rsid w:val="002A5949"/>
    <w:rsid w:val="002A5998"/>
    <w:rsid w:val="002A5BE3"/>
    <w:rsid w:val="002A5CA0"/>
    <w:rsid w:val="002A5E94"/>
    <w:rsid w:val="002A640C"/>
    <w:rsid w:val="002A6411"/>
    <w:rsid w:val="002A65D6"/>
    <w:rsid w:val="002A663A"/>
    <w:rsid w:val="002A6679"/>
    <w:rsid w:val="002A6787"/>
    <w:rsid w:val="002A68E4"/>
    <w:rsid w:val="002A6BF3"/>
    <w:rsid w:val="002A6EC2"/>
    <w:rsid w:val="002A721B"/>
    <w:rsid w:val="002A7412"/>
    <w:rsid w:val="002A7568"/>
    <w:rsid w:val="002A75F1"/>
    <w:rsid w:val="002B0108"/>
    <w:rsid w:val="002B0379"/>
    <w:rsid w:val="002B05CD"/>
    <w:rsid w:val="002B071F"/>
    <w:rsid w:val="002B07A5"/>
    <w:rsid w:val="002B08E5"/>
    <w:rsid w:val="002B0A9F"/>
    <w:rsid w:val="002B0CC9"/>
    <w:rsid w:val="002B0E2B"/>
    <w:rsid w:val="002B0E5E"/>
    <w:rsid w:val="002B0F0D"/>
    <w:rsid w:val="002B1078"/>
    <w:rsid w:val="002B139F"/>
    <w:rsid w:val="002B15A3"/>
    <w:rsid w:val="002B16D8"/>
    <w:rsid w:val="002B173D"/>
    <w:rsid w:val="002B1A13"/>
    <w:rsid w:val="002B1B5B"/>
    <w:rsid w:val="002B1F15"/>
    <w:rsid w:val="002B2076"/>
    <w:rsid w:val="002B2225"/>
    <w:rsid w:val="002B2254"/>
    <w:rsid w:val="002B26FB"/>
    <w:rsid w:val="002B290E"/>
    <w:rsid w:val="002B296D"/>
    <w:rsid w:val="002B2B4B"/>
    <w:rsid w:val="002B2C5E"/>
    <w:rsid w:val="002B2C65"/>
    <w:rsid w:val="002B2DE0"/>
    <w:rsid w:val="002B2E86"/>
    <w:rsid w:val="002B3041"/>
    <w:rsid w:val="002B31BA"/>
    <w:rsid w:val="002B3A21"/>
    <w:rsid w:val="002B3B22"/>
    <w:rsid w:val="002B3B64"/>
    <w:rsid w:val="002B3D8D"/>
    <w:rsid w:val="002B4068"/>
    <w:rsid w:val="002B418A"/>
    <w:rsid w:val="002B43BD"/>
    <w:rsid w:val="002B4414"/>
    <w:rsid w:val="002B45BE"/>
    <w:rsid w:val="002B4600"/>
    <w:rsid w:val="002B4D2D"/>
    <w:rsid w:val="002B5238"/>
    <w:rsid w:val="002B5281"/>
    <w:rsid w:val="002B5410"/>
    <w:rsid w:val="002B5428"/>
    <w:rsid w:val="002B5A16"/>
    <w:rsid w:val="002B5B69"/>
    <w:rsid w:val="002B5E2C"/>
    <w:rsid w:val="002B609D"/>
    <w:rsid w:val="002B6205"/>
    <w:rsid w:val="002B6829"/>
    <w:rsid w:val="002B69BE"/>
    <w:rsid w:val="002B6A2A"/>
    <w:rsid w:val="002B6DBB"/>
    <w:rsid w:val="002B6FC0"/>
    <w:rsid w:val="002B73F8"/>
    <w:rsid w:val="002B7479"/>
    <w:rsid w:val="002B74BB"/>
    <w:rsid w:val="002B7605"/>
    <w:rsid w:val="002B7648"/>
    <w:rsid w:val="002B7740"/>
    <w:rsid w:val="002B7A76"/>
    <w:rsid w:val="002B7B3B"/>
    <w:rsid w:val="002B7F10"/>
    <w:rsid w:val="002C00B3"/>
    <w:rsid w:val="002C05D0"/>
    <w:rsid w:val="002C0929"/>
    <w:rsid w:val="002C09D2"/>
    <w:rsid w:val="002C0B1C"/>
    <w:rsid w:val="002C0C93"/>
    <w:rsid w:val="002C1121"/>
    <w:rsid w:val="002C1271"/>
    <w:rsid w:val="002C1623"/>
    <w:rsid w:val="002C1753"/>
    <w:rsid w:val="002C1B1C"/>
    <w:rsid w:val="002C1C6E"/>
    <w:rsid w:val="002C1CA5"/>
    <w:rsid w:val="002C1CF6"/>
    <w:rsid w:val="002C2615"/>
    <w:rsid w:val="002C2D1E"/>
    <w:rsid w:val="002C3125"/>
    <w:rsid w:val="002C350B"/>
    <w:rsid w:val="002C3515"/>
    <w:rsid w:val="002C3624"/>
    <w:rsid w:val="002C368D"/>
    <w:rsid w:val="002C368F"/>
    <w:rsid w:val="002C3C60"/>
    <w:rsid w:val="002C3EE7"/>
    <w:rsid w:val="002C41EF"/>
    <w:rsid w:val="002C4CEB"/>
    <w:rsid w:val="002C567B"/>
    <w:rsid w:val="002C5B5D"/>
    <w:rsid w:val="002C5EAD"/>
    <w:rsid w:val="002C5ED4"/>
    <w:rsid w:val="002C5F4E"/>
    <w:rsid w:val="002C639F"/>
    <w:rsid w:val="002C67E9"/>
    <w:rsid w:val="002C68F8"/>
    <w:rsid w:val="002C6BAE"/>
    <w:rsid w:val="002C6C41"/>
    <w:rsid w:val="002C6FA1"/>
    <w:rsid w:val="002C7418"/>
    <w:rsid w:val="002C754D"/>
    <w:rsid w:val="002C7747"/>
    <w:rsid w:val="002C79FF"/>
    <w:rsid w:val="002C7E0C"/>
    <w:rsid w:val="002D00B8"/>
    <w:rsid w:val="002D03DF"/>
    <w:rsid w:val="002D0566"/>
    <w:rsid w:val="002D05A0"/>
    <w:rsid w:val="002D099E"/>
    <w:rsid w:val="002D0AD0"/>
    <w:rsid w:val="002D0CDA"/>
    <w:rsid w:val="002D11C8"/>
    <w:rsid w:val="002D11ED"/>
    <w:rsid w:val="002D12F6"/>
    <w:rsid w:val="002D1543"/>
    <w:rsid w:val="002D1A77"/>
    <w:rsid w:val="002D1A78"/>
    <w:rsid w:val="002D1BD4"/>
    <w:rsid w:val="002D1D3E"/>
    <w:rsid w:val="002D1D9A"/>
    <w:rsid w:val="002D2086"/>
    <w:rsid w:val="002D2307"/>
    <w:rsid w:val="002D278A"/>
    <w:rsid w:val="002D279B"/>
    <w:rsid w:val="002D29E7"/>
    <w:rsid w:val="002D2B27"/>
    <w:rsid w:val="002D3182"/>
    <w:rsid w:val="002D3292"/>
    <w:rsid w:val="002D3322"/>
    <w:rsid w:val="002D3677"/>
    <w:rsid w:val="002D36E0"/>
    <w:rsid w:val="002D372A"/>
    <w:rsid w:val="002D4068"/>
    <w:rsid w:val="002D40D3"/>
    <w:rsid w:val="002D43EC"/>
    <w:rsid w:val="002D47B3"/>
    <w:rsid w:val="002D4830"/>
    <w:rsid w:val="002D4879"/>
    <w:rsid w:val="002D4C70"/>
    <w:rsid w:val="002D4D72"/>
    <w:rsid w:val="002D4F0C"/>
    <w:rsid w:val="002D4F35"/>
    <w:rsid w:val="002D5087"/>
    <w:rsid w:val="002D508E"/>
    <w:rsid w:val="002D5111"/>
    <w:rsid w:val="002D552D"/>
    <w:rsid w:val="002D573D"/>
    <w:rsid w:val="002D5BBD"/>
    <w:rsid w:val="002D5E1A"/>
    <w:rsid w:val="002D5FF2"/>
    <w:rsid w:val="002D6170"/>
    <w:rsid w:val="002D63B1"/>
    <w:rsid w:val="002D6D97"/>
    <w:rsid w:val="002D6D9A"/>
    <w:rsid w:val="002D6DC2"/>
    <w:rsid w:val="002D6EB8"/>
    <w:rsid w:val="002D71DF"/>
    <w:rsid w:val="002D73D4"/>
    <w:rsid w:val="002D73D5"/>
    <w:rsid w:val="002D7640"/>
    <w:rsid w:val="002D79E1"/>
    <w:rsid w:val="002D7A3C"/>
    <w:rsid w:val="002D7A90"/>
    <w:rsid w:val="002D7BE3"/>
    <w:rsid w:val="002D7D1D"/>
    <w:rsid w:val="002D7D77"/>
    <w:rsid w:val="002D7E42"/>
    <w:rsid w:val="002E0220"/>
    <w:rsid w:val="002E066D"/>
    <w:rsid w:val="002E0D54"/>
    <w:rsid w:val="002E0F2E"/>
    <w:rsid w:val="002E1175"/>
    <w:rsid w:val="002E1269"/>
    <w:rsid w:val="002E14F2"/>
    <w:rsid w:val="002E1D45"/>
    <w:rsid w:val="002E1D8D"/>
    <w:rsid w:val="002E204C"/>
    <w:rsid w:val="002E215E"/>
    <w:rsid w:val="002E2377"/>
    <w:rsid w:val="002E2912"/>
    <w:rsid w:val="002E2D7C"/>
    <w:rsid w:val="002E2FA3"/>
    <w:rsid w:val="002E3404"/>
    <w:rsid w:val="002E346F"/>
    <w:rsid w:val="002E363E"/>
    <w:rsid w:val="002E36E5"/>
    <w:rsid w:val="002E370D"/>
    <w:rsid w:val="002E38B1"/>
    <w:rsid w:val="002E394E"/>
    <w:rsid w:val="002E3985"/>
    <w:rsid w:val="002E3ADB"/>
    <w:rsid w:val="002E3E0C"/>
    <w:rsid w:val="002E3F5E"/>
    <w:rsid w:val="002E4491"/>
    <w:rsid w:val="002E45A2"/>
    <w:rsid w:val="002E461D"/>
    <w:rsid w:val="002E4647"/>
    <w:rsid w:val="002E53A3"/>
    <w:rsid w:val="002E5522"/>
    <w:rsid w:val="002E5564"/>
    <w:rsid w:val="002E5B63"/>
    <w:rsid w:val="002E5E8F"/>
    <w:rsid w:val="002E61B8"/>
    <w:rsid w:val="002E6217"/>
    <w:rsid w:val="002E6317"/>
    <w:rsid w:val="002E644E"/>
    <w:rsid w:val="002E6704"/>
    <w:rsid w:val="002E679B"/>
    <w:rsid w:val="002E67F5"/>
    <w:rsid w:val="002E6A4C"/>
    <w:rsid w:val="002E6BE2"/>
    <w:rsid w:val="002E726F"/>
    <w:rsid w:val="002E76A7"/>
    <w:rsid w:val="002E7827"/>
    <w:rsid w:val="002E7BBC"/>
    <w:rsid w:val="002E7C7D"/>
    <w:rsid w:val="002E7CDA"/>
    <w:rsid w:val="002F03B0"/>
    <w:rsid w:val="002F057F"/>
    <w:rsid w:val="002F0813"/>
    <w:rsid w:val="002F0871"/>
    <w:rsid w:val="002F095B"/>
    <w:rsid w:val="002F0D38"/>
    <w:rsid w:val="002F1257"/>
    <w:rsid w:val="002F127F"/>
    <w:rsid w:val="002F1B75"/>
    <w:rsid w:val="002F2233"/>
    <w:rsid w:val="002F225D"/>
    <w:rsid w:val="002F23F7"/>
    <w:rsid w:val="002F292A"/>
    <w:rsid w:val="002F2AD0"/>
    <w:rsid w:val="002F2B2F"/>
    <w:rsid w:val="002F2ED7"/>
    <w:rsid w:val="002F302C"/>
    <w:rsid w:val="002F3044"/>
    <w:rsid w:val="002F3184"/>
    <w:rsid w:val="002F328B"/>
    <w:rsid w:val="002F3483"/>
    <w:rsid w:val="002F3564"/>
    <w:rsid w:val="002F3AB0"/>
    <w:rsid w:val="002F3C56"/>
    <w:rsid w:val="002F3D51"/>
    <w:rsid w:val="002F3E5D"/>
    <w:rsid w:val="002F3E6A"/>
    <w:rsid w:val="002F3E7D"/>
    <w:rsid w:val="002F41D3"/>
    <w:rsid w:val="002F41D7"/>
    <w:rsid w:val="002F425E"/>
    <w:rsid w:val="002F425F"/>
    <w:rsid w:val="002F4487"/>
    <w:rsid w:val="002F4490"/>
    <w:rsid w:val="002F4790"/>
    <w:rsid w:val="002F4AE1"/>
    <w:rsid w:val="002F4B58"/>
    <w:rsid w:val="002F4B74"/>
    <w:rsid w:val="002F4CBC"/>
    <w:rsid w:val="002F4DCD"/>
    <w:rsid w:val="002F524B"/>
    <w:rsid w:val="002F5A7C"/>
    <w:rsid w:val="002F5CC4"/>
    <w:rsid w:val="002F5D35"/>
    <w:rsid w:val="002F5EDE"/>
    <w:rsid w:val="002F5F6F"/>
    <w:rsid w:val="002F5FF3"/>
    <w:rsid w:val="002F60E6"/>
    <w:rsid w:val="002F6217"/>
    <w:rsid w:val="002F6247"/>
    <w:rsid w:val="002F6688"/>
    <w:rsid w:val="002F672D"/>
    <w:rsid w:val="002F6C43"/>
    <w:rsid w:val="002F6E56"/>
    <w:rsid w:val="002F6F0E"/>
    <w:rsid w:val="002F6FE4"/>
    <w:rsid w:val="002F754A"/>
    <w:rsid w:val="002F7A62"/>
    <w:rsid w:val="002F7DA2"/>
    <w:rsid w:val="002F7EEF"/>
    <w:rsid w:val="002F7F5B"/>
    <w:rsid w:val="002F7FC5"/>
    <w:rsid w:val="00300137"/>
    <w:rsid w:val="00300724"/>
    <w:rsid w:val="00300C3C"/>
    <w:rsid w:val="00300C86"/>
    <w:rsid w:val="00300ED1"/>
    <w:rsid w:val="00300F8B"/>
    <w:rsid w:val="00301650"/>
    <w:rsid w:val="00301913"/>
    <w:rsid w:val="00301A96"/>
    <w:rsid w:val="003021CF"/>
    <w:rsid w:val="00302428"/>
    <w:rsid w:val="003029C7"/>
    <w:rsid w:val="00302BCD"/>
    <w:rsid w:val="00302C0A"/>
    <w:rsid w:val="00302CA6"/>
    <w:rsid w:val="0030310F"/>
    <w:rsid w:val="0030333A"/>
    <w:rsid w:val="003034ED"/>
    <w:rsid w:val="00303594"/>
    <w:rsid w:val="00303A0F"/>
    <w:rsid w:val="00303BF5"/>
    <w:rsid w:val="00303C73"/>
    <w:rsid w:val="00303E2F"/>
    <w:rsid w:val="00303E48"/>
    <w:rsid w:val="003043CA"/>
    <w:rsid w:val="0030442B"/>
    <w:rsid w:val="0030446E"/>
    <w:rsid w:val="00304A3C"/>
    <w:rsid w:val="00304B4C"/>
    <w:rsid w:val="00304F4E"/>
    <w:rsid w:val="003052AF"/>
    <w:rsid w:val="003053CD"/>
    <w:rsid w:val="0030576D"/>
    <w:rsid w:val="00305829"/>
    <w:rsid w:val="00305866"/>
    <w:rsid w:val="0030587A"/>
    <w:rsid w:val="00305906"/>
    <w:rsid w:val="00305F27"/>
    <w:rsid w:val="003062DF"/>
    <w:rsid w:val="00306653"/>
    <w:rsid w:val="003066BC"/>
    <w:rsid w:val="003067F9"/>
    <w:rsid w:val="003068A2"/>
    <w:rsid w:val="003069DF"/>
    <w:rsid w:val="00306A64"/>
    <w:rsid w:val="00306CA3"/>
    <w:rsid w:val="003070D7"/>
    <w:rsid w:val="003071A7"/>
    <w:rsid w:val="0030726A"/>
    <w:rsid w:val="0030727C"/>
    <w:rsid w:val="00307869"/>
    <w:rsid w:val="00307B95"/>
    <w:rsid w:val="00307BC2"/>
    <w:rsid w:val="00307E32"/>
    <w:rsid w:val="00310378"/>
    <w:rsid w:val="0031055E"/>
    <w:rsid w:val="0031078D"/>
    <w:rsid w:val="003109A6"/>
    <w:rsid w:val="00310A24"/>
    <w:rsid w:val="00310BF0"/>
    <w:rsid w:val="00310CE3"/>
    <w:rsid w:val="003114F8"/>
    <w:rsid w:val="003118F1"/>
    <w:rsid w:val="00311A6F"/>
    <w:rsid w:val="00311BBF"/>
    <w:rsid w:val="00311C71"/>
    <w:rsid w:val="00311FE8"/>
    <w:rsid w:val="00312204"/>
    <w:rsid w:val="00312327"/>
    <w:rsid w:val="003126AF"/>
    <w:rsid w:val="00312793"/>
    <w:rsid w:val="00312DE8"/>
    <w:rsid w:val="00312E41"/>
    <w:rsid w:val="003130BF"/>
    <w:rsid w:val="0031356B"/>
    <w:rsid w:val="00313626"/>
    <w:rsid w:val="00313A20"/>
    <w:rsid w:val="00313A97"/>
    <w:rsid w:val="00314384"/>
    <w:rsid w:val="00314482"/>
    <w:rsid w:val="003148C2"/>
    <w:rsid w:val="0031498A"/>
    <w:rsid w:val="00314B2D"/>
    <w:rsid w:val="00314B3F"/>
    <w:rsid w:val="00314B4F"/>
    <w:rsid w:val="00314BA8"/>
    <w:rsid w:val="00314BB7"/>
    <w:rsid w:val="00314BDB"/>
    <w:rsid w:val="003150AA"/>
    <w:rsid w:val="003150F5"/>
    <w:rsid w:val="003150FC"/>
    <w:rsid w:val="0031524E"/>
    <w:rsid w:val="003154EF"/>
    <w:rsid w:val="003155D4"/>
    <w:rsid w:val="0031563C"/>
    <w:rsid w:val="00315E51"/>
    <w:rsid w:val="00315F11"/>
    <w:rsid w:val="00315FD3"/>
    <w:rsid w:val="003164E5"/>
    <w:rsid w:val="003165F2"/>
    <w:rsid w:val="003168C5"/>
    <w:rsid w:val="00316AEC"/>
    <w:rsid w:val="00316E47"/>
    <w:rsid w:val="00316EE6"/>
    <w:rsid w:val="00317123"/>
    <w:rsid w:val="0031713C"/>
    <w:rsid w:val="00317152"/>
    <w:rsid w:val="00317345"/>
    <w:rsid w:val="003173A1"/>
    <w:rsid w:val="0031758F"/>
    <w:rsid w:val="0031762B"/>
    <w:rsid w:val="0031772F"/>
    <w:rsid w:val="0031777F"/>
    <w:rsid w:val="003177CF"/>
    <w:rsid w:val="00317C0F"/>
    <w:rsid w:val="00317C89"/>
    <w:rsid w:val="00320194"/>
    <w:rsid w:val="00320559"/>
    <w:rsid w:val="00320621"/>
    <w:rsid w:val="00320A35"/>
    <w:rsid w:val="00320BB3"/>
    <w:rsid w:val="00320C03"/>
    <w:rsid w:val="00320CD0"/>
    <w:rsid w:val="00320D30"/>
    <w:rsid w:val="00320F2C"/>
    <w:rsid w:val="00321138"/>
    <w:rsid w:val="003215E4"/>
    <w:rsid w:val="003217DA"/>
    <w:rsid w:val="003218C3"/>
    <w:rsid w:val="003218EB"/>
    <w:rsid w:val="00321CDF"/>
    <w:rsid w:val="00321DEA"/>
    <w:rsid w:val="00321E55"/>
    <w:rsid w:val="003220A8"/>
    <w:rsid w:val="00322158"/>
    <w:rsid w:val="003223DB"/>
    <w:rsid w:val="0032256D"/>
    <w:rsid w:val="00322869"/>
    <w:rsid w:val="003228F1"/>
    <w:rsid w:val="00322E7F"/>
    <w:rsid w:val="00322ED4"/>
    <w:rsid w:val="00323281"/>
    <w:rsid w:val="003232B9"/>
    <w:rsid w:val="003232EC"/>
    <w:rsid w:val="003235E7"/>
    <w:rsid w:val="00323629"/>
    <w:rsid w:val="00323701"/>
    <w:rsid w:val="00323A03"/>
    <w:rsid w:val="00323B43"/>
    <w:rsid w:val="00323B83"/>
    <w:rsid w:val="00323F20"/>
    <w:rsid w:val="003244B9"/>
    <w:rsid w:val="0032468B"/>
    <w:rsid w:val="0032481A"/>
    <w:rsid w:val="003249DB"/>
    <w:rsid w:val="00324AE2"/>
    <w:rsid w:val="00324E92"/>
    <w:rsid w:val="00324EC7"/>
    <w:rsid w:val="00324ECD"/>
    <w:rsid w:val="00324EEE"/>
    <w:rsid w:val="00324FBB"/>
    <w:rsid w:val="00325242"/>
    <w:rsid w:val="0032525F"/>
    <w:rsid w:val="003252E9"/>
    <w:rsid w:val="003253E4"/>
    <w:rsid w:val="00325435"/>
    <w:rsid w:val="0032545B"/>
    <w:rsid w:val="00325DCE"/>
    <w:rsid w:val="00325EF6"/>
    <w:rsid w:val="003260C5"/>
    <w:rsid w:val="00326197"/>
    <w:rsid w:val="003261E4"/>
    <w:rsid w:val="003262CF"/>
    <w:rsid w:val="00326590"/>
    <w:rsid w:val="00326BA2"/>
    <w:rsid w:val="00326D85"/>
    <w:rsid w:val="0032710F"/>
    <w:rsid w:val="00327813"/>
    <w:rsid w:val="00327ACC"/>
    <w:rsid w:val="00327D13"/>
    <w:rsid w:val="00327E71"/>
    <w:rsid w:val="00330325"/>
    <w:rsid w:val="0033097E"/>
    <w:rsid w:val="00330FD1"/>
    <w:rsid w:val="00331035"/>
    <w:rsid w:val="00331179"/>
    <w:rsid w:val="003311CF"/>
    <w:rsid w:val="0033129F"/>
    <w:rsid w:val="003313AE"/>
    <w:rsid w:val="0033140B"/>
    <w:rsid w:val="003315BA"/>
    <w:rsid w:val="00331638"/>
    <w:rsid w:val="003316D6"/>
    <w:rsid w:val="003317EC"/>
    <w:rsid w:val="0033182C"/>
    <w:rsid w:val="0033188A"/>
    <w:rsid w:val="0033192D"/>
    <w:rsid w:val="0033196F"/>
    <w:rsid w:val="00331C0C"/>
    <w:rsid w:val="00331D27"/>
    <w:rsid w:val="00331DF7"/>
    <w:rsid w:val="00332001"/>
    <w:rsid w:val="00332035"/>
    <w:rsid w:val="00332297"/>
    <w:rsid w:val="003322C8"/>
    <w:rsid w:val="00332632"/>
    <w:rsid w:val="00332955"/>
    <w:rsid w:val="0033299D"/>
    <w:rsid w:val="00332AC5"/>
    <w:rsid w:val="00332C26"/>
    <w:rsid w:val="00333623"/>
    <w:rsid w:val="0033372A"/>
    <w:rsid w:val="0033437F"/>
    <w:rsid w:val="003345BC"/>
    <w:rsid w:val="00334620"/>
    <w:rsid w:val="003346DB"/>
    <w:rsid w:val="003348F4"/>
    <w:rsid w:val="003348FE"/>
    <w:rsid w:val="00334918"/>
    <w:rsid w:val="003349B8"/>
    <w:rsid w:val="00334BC3"/>
    <w:rsid w:val="00334CAB"/>
    <w:rsid w:val="00334D1A"/>
    <w:rsid w:val="00334EE4"/>
    <w:rsid w:val="00334F81"/>
    <w:rsid w:val="00334FFF"/>
    <w:rsid w:val="00335126"/>
    <w:rsid w:val="003357A0"/>
    <w:rsid w:val="003357DA"/>
    <w:rsid w:val="00335968"/>
    <w:rsid w:val="003359CE"/>
    <w:rsid w:val="003359ED"/>
    <w:rsid w:val="00335A80"/>
    <w:rsid w:val="003360CE"/>
    <w:rsid w:val="00336497"/>
    <w:rsid w:val="003365AC"/>
    <w:rsid w:val="003365FC"/>
    <w:rsid w:val="00336D0E"/>
    <w:rsid w:val="00337345"/>
    <w:rsid w:val="003373B5"/>
    <w:rsid w:val="00337BF2"/>
    <w:rsid w:val="00337BF8"/>
    <w:rsid w:val="00337EB2"/>
    <w:rsid w:val="00337FC4"/>
    <w:rsid w:val="00340537"/>
    <w:rsid w:val="00340742"/>
    <w:rsid w:val="0034097E"/>
    <w:rsid w:val="00340A2D"/>
    <w:rsid w:val="00340EEC"/>
    <w:rsid w:val="0034114E"/>
    <w:rsid w:val="00341383"/>
    <w:rsid w:val="003414FC"/>
    <w:rsid w:val="003416F9"/>
    <w:rsid w:val="00341813"/>
    <w:rsid w:val="003418A4"/>
    <w:rsid w:val="00341A9B"/>
    <w:rsid w:val="00341C1A"/>
    <w:rsid w:val="00341F3F"/>
    <w:rsid w:val="0034217B"/>
    <w:rsid w:val="003422D5"/>
    <w:rsid w:val="00342402"/>
    <w:rsid w:val="003424E1"/>
    <w:rsid w:val="003426C8"/>
    <w:rsid w:val="00342C1C"/>
    <w:rsid w:val="00342D16"/>
    <w:rsid w:val="003431D8"/>
    <w:rsid w:val="00343445"/>
    <w:rsid w:val="003437D8"/>
    <w:rsid w:val="0034395C"/>
    <w:rsid w:val="00343B41"/>
    <w:rsid w:val="00343B5D"/>
    <w:rsid w:val="00343B79"/>
    <w:rsid w:val="00343BD1"/>
    <w:rsid w:val="00343E54"/>
    <w:rsid w:val="00343F7F"/>
    <w:rsid w:val="0034483E"/>
    <w:rsid w:val="00344A8F"/>
    <w:rsid w:val="00344FB6"/>
    <w:rsid w:val="0034505C"/>
    <w:rsid w:val="00345369"/>
    <w:rsid w:val="003458C8"/>
    <w:rsid w:val="00345AA7"/>
    <w:rsid w:val="00345ABE"/>
    <w:rsid w:val="00345AF2"/>
    <w:rsid w:val="00345BB4"/>
    <w:rsid w:val="00345D22"/>
    <w:rsid w:val="00345DFF"/>
    <w:rsid w:val="00345E2E"/>
    <w:rsid w:val="00345EE6"/>
    <w:rsid w:val="00345FD0"/>
    <w:rsid w:val="00346125"/>
    <w:rsid w:val="00346792"/>
    <w:rsid w:val="0034687C"/>
    <w:rsid w:val="00346964"/>
    <w:rsid w:val="00346978"/>
    <w:rsid w:val="00346B36"/>
    <w:rsid w:val="00346B59"/>
    <w:rsid w:val="00346F04"/>
    <w:rsid w:val="0034707A"/>
    <w:rsid w:val="0034728C"/>
    <w:rsid w:val="0034728E"/>
    <w:rsid w:val="00347E2D"/>
    <w:rsid w:val="003501D6"/>
    <w:rsid w:val="0035043D"/>
    <w:rsid w:val="0035045E"/>
    <w:rsid w:val="00350B7D"/>
    <w:rsid w:val="00350B87"/>
    <w:rsid w:val="00350EFC"/>
    <w:rsid w:val="00350F16"/>
    <w:rsid w:val="00350FD1"/>
    <w:rsid w:val="003517D1"/>
    <w:rsid w:val="00351913"/>
    <w:rsid w:val="00351A5C"/>
    <w:rsid w:val="00351ABB"/>
    <w:rsid w:val="00351B36"/>
    <w:rsid w:val="00351C69"/>
    <w:rsid w:val="00351D2F"/>
    <w:rsid w:val="00351D68"/>
    <w:rsid w:val="00352874"/>
    <w:rsid w:val="0035293B"/>
    <w:rsid w:val="003529B0"/>
    <w:rsid w:val="00352CD3"/>
    <w:rsid w:val="00353051"/>
    <w:rsid w:val="0035331D"/>
    <w:rsid w:val="00353429"/>
    <w:rsid w:val="00353603"/>
    <w:rsid w:val="0035373B"/>
    <w:rsid w:val="003537AB"/>
    <w:rsid w:val="00353868"/>
    <w:rsid w:val="00353929"/>
    <w:rsid w:val="003539FE"/>
    <w:rsid w:val="00354041"/>
    <w:rsid w:val="003541B8"/>
    <w:rsid w:val="00354897"/>
    <w:rsid w:val="003549C7"/>
    <w:rsid w:val="00354A1D"/>
    <w:rsid w:val="00354F3E"/>
    <w:rsid w:val="0035523D"/>
    <w:rsid w:val="00355389"/>
    <w:rsid w:val="0035561F"/>
    <w:rsid w:val="00355890"/>
    <w:rsid w:val="003558F3"/>
    <w:rsid w:val="00355B6D"/>
    <w:rsid w:val="00355D18"/>
    <w:rsid w:val="00355D92"/>
    <w:rsid w:val="003560BE"/>
    <w:rsid w:val="003561A3"/>
    <w:rsid w:val="003564CD"/>
    <w:rsid w:val="0035660B"/>
    <w:rsid w:val="003568E5"/>
    <w:rsid w:val="0035714B"/>
    <w:rsid w:val="0035738F"/>
    <w:rsid w:val="00357468"/>
    <w:rsid w:val="0035770C"/>
    <w:rsid w:val="00357CFE"/>
    <w:rsid w:val="00357EF5"/>
    <w:rsid w:val="00357EF6"/>
    <w:rsid w:val="0036008C"/>
    <w:rsid w:val="003604C9"/>
    <w:rsid w:val="003608CD"/>
    <w:rsid w:val="003609D2"/>
    <w:rsid w:val="00360CB9"/>
    <w:rsid w:val="00360D69"/>
    <w:rsid w:val="00360FDF"/>
    <w:rsid w:val="00361020"/>
    <w:rsid w:val="0036112E"/>
    <w:rsid w:val="003611A0"/>
    <w:rsid w:val="0036198B"/>
    <w:rsid w:val="00361C19"/>
    <w:rsid w:val="00361CBF"/>
    <w:rsid w:val="00361DE0"/>
    <w:rsid w:val="00362049"/>
    <w:rsid w:val="0036213C"/>
    <w:rsid w:val="003622F8"/>
    <w:rsid w:val="003624E5"/>
    <w:rsid w:val="00362854"/>
    <w:rsid w:val="00362A96"/>
    <w:rsid w:val="00362BAD"/>
    <w:rsid w:val="00362CF4"/>
    <w:rsid w:val="00362D46"/>
    <w:rsid w:val="00362E04"/>
    <w:rsid w:val="0036366F"/>
    <w:rsid w:val="003636F8"/>
    <w:rsid w:val="00363747"/>
    <w:rsid w:val="00363794"/>
    <w:rsid w:val="00363C33"/>
    <w:rsid w:val="00363E11"/>
    <w:rsid w:val="00363FF2"/>
    <w:rsid w:val="00364522"/>
    <w:rsid w:val="003645C6"/>
    <w:rsid w:val="00364692"/>
    <w:rsid w:val="0036471B"/>
    <w:rsid w:val="00364894"/>
    <w:rsid w:val="00364A35"/>
    <w:rsid w:val="00364DB5"/>
    <w:rsid w:val="003654A2"/>
    <w:rsid w:val="0036569E"/>
    <w:rsid w:val="00365B90"/>
    <w:rsid w:val="00365C14"/>
    <w:rsid w:val="00365DEC"/>
    <w:rsid w:val="00366048"/>
    <w:rsid w:val="0036662C"/>
    <w:rsid w:val="00366790"/>
    <w:rsid w:val="00366834"/>
    <w:rsid w:val="00366859"/>
    <w:rsid w:val="00366AE3"/>
    <w:rsid w:val="00366B90"/>
    <w:rsid w:val="00366BAA"/>
    <w:rsid w:val="00366BFD"/>
    <w:rsid w:val="00366F92"/>
    <w:rsid w:val="00367078"/>
    <w:rsid w:val="0036722A"/>
    <w:rsid w:val="00367314"/>
    <w:rsid w:val="0036735B"/>
    <w:rsid w:val="003676FA"/>
    <w:rsid w:val="003679F4"/>
    <w:rsid w:val="00367B62"/>
    <w:rsid w:val="00367E49"/>
    <w:rsid w:val="00367F94"/>
    <w:rsid w:val="00367FE5"/>
    <w:rsid w:val="003700A9"/>
    <w:rsid w:val="00370533"/>
    <w:rsid w:val="0037065E"/>
    <w:rsid w:val="00370CA0"/>
    <w:rsid w:val="003710B6"/>
    <w:rsid w:val="0037130B"/>
    <w:rsid w:val="00371371"/>
    <w:rsid w:val="0037189C"/>
    <w:rsid w:val="00371B67"/>
    <w:rsid w:val="00371D9F"/>
    <w:rsid w:val="00371FB9"/>
    <w:rsid w:val="00372046"/>
    <w:rsid w:val="0037232D"/>
    <w:rsid w:val="003723EA"/>
    <w:rsid w:val="003724B9"/>
    <w:rsid w:val="003724E5"/>
    <w:rsid w:val="003725D1"/>
    <w:rsid w:val="003728C6"/>
    <w:rsid w:val="003728FE"/>
    <w:rsid w:val="003730F1"/>
    <w:rsid w:val="003730F7"/>
    <w:rsid w:val="00373127"/>
    <w:rsid w:val="003731F8"/>
    <w:rsid w:val="003733A7"/>
    <w:rsid w:val="003738BB"/>
    <w:rsid w:val="00373A4E"/>
    <w:rsid w:val="00373A6B"/>
    <w:rsid w:val="00373ADC"/>
    <w:rsid w:val="0037401A"/>
    <w:rsid w:val="003740BE"/>
    <w:rsid w:val="003746E5"/>
    <w:rsid w:val="0037478B"/>
    <w:rsid w:val="00374916"/>
    <w:rsid w:val="00374959"/>
    <w:rsid w:val="00374D09"/>
    <w:rsid w:val="00374EE0"/>
    <w:rsid w:val="00374F0D"/>
    <w:rsid w:val="00375117"/>
    <w:rsid w:val="003751F7"/>
    <w:rsid w:val="00375453"/>
    <w:rsid w:val="0037576B"/>
    <w:rsid w:val="00375BF4"/>
    <w:rsid w:val="00375C27"/>
    <w:rsid w:val="00375C45"/>
    <w:rsid w:val="00375C4E"/>
    <w:rsid w:val="00375D9C"/>
    <w:rsid w:val="00375F72"/>
    <w:rsid w:val="00376013"/>
    <w:rsid w:val="00376348"/>
    <w:rsid w:val="003764F5"/>
    <w:rsid w:val="003765C3"/>
    <w:rsid w:val="00376714"/>
    <w:rsid w:val="00376AC0"/>
    <w:rsid w:val="00376D36"/>
    <w:rsid w:val="0037791A"/>
    <w:rsid w:val="00377950"/>
    <w:rsid w:val="0037797B"/>
    <w:rsid w:val="00377CC1"/>
    <w:rsid w:val="0038011F"/>
    <w:rsid w:val="00380312"/>
    <w:rsid w:val="00380562"/>
    <w:rsid w:val="00380B42"/>
    <w:rsid w:val="00380BAB"/>
    <w:rsid w:val="0038170F"/>
    <w:rsid w:val="003817F9"/>
    <w:rsid w:val="00381939"/>
    <w:rsid w:val="00381CED"/>
    <w:rsid w:val="00381D7E"/>
    <w:rsid w:val="00381ECF"/>
    <w:rsid w:val="00382062"/>
    <w:rsid w:val="003820C5"/>
    <w:rsid w:val="003820DD"/>
    <w:rsid w:val="0038234C"/>
    <w:rsid w:val="003823DE"/>
    <w:rsid w:val="00382784"/>
    <w:rsid w:val="003827DA"/>
    <w:rsid w:val="00382AF1"/>
    <w:rsid w:val="00382D24"/>
    <w:rsid w:val="00382D6F"/>
    <w:rsid w:val="00382F53"/>
    <w:rsid w:val="00383AA5"/>
    <w:rsid w:val="00383BC6"/>
    <w:rsid w:val="00383D07"/>
    <w:rsid w:val="00383D47"/>
    <w:rsid w:val="00383F6C"/>
    <w:rsid w:val="00384317"/>
    <w:rsid w:val="00384361"/>
    <w:rsid w:val="00384684"/>
    <w:rsid w:val="00384B6D"/>
    <w:rsid w:val="00384BB7"/>
    <w:rsid w:val="00384DDA"/>
    <w:rsid w:val="003856AE"/>
    <w:rsid w:val="00385702"/>
    <w:rsid w:val="00385859"/>
    <w:rsid w:val="00385BF0"/>
    <w:rsid w:val="00385D2E"/>
    <w:rsid w:val="00385DD1"/>
    <w:rsid w:val="003860B6"/>
    <w:rsid w:val="003867E0"/>
    <w:rsid w:val="003869DA"/>
    <w:rsid w:val="00386D98"/>
    <w:rsid w:val="00386FA0"/>
    <w:rsid w:val="00387541"/>
    <w:rsid w:val="003876B4"/>
    <w:rsid w:val="003876ED"/>
    <w:rsid w:val="0038773D"/>
    <w:rsid w:val="003878FE"/>
    <w:rsid w:val="00387AF2"/>
    <w:rsid w:val="00387CE3"/>
    <w:rsid w:val="003903F3"/>
    <w:rsid w:val="0039048C"/>
    <w:rsid w:val="0039052A"/>
    <w:rsid w:val="00390576"/>
    <w:rsid w:val="003905C5"/>
    <w:rsid w:val="0039063A"/>
    <w:rsid w:val="00390A94"/>
    <w:rsid w:val="0039116D"/>
    <w:rsid w:val="00391383"/>
    <w:rsid w:val="003913A0"/>
    <w:rsid w:val="00391448"/>
    <w:rsid w:val="003916C6"/>
    <w:rsid w:val="00391711"/>
    <w:rsid w:val="003917A7"/>
    <w:rsid w:val="00391832"/>
    <w:rsid w:val="003918D0"/>
    <w:rsid w:val="00391909"/>
    <w:rsid w:val="00391E39"/>
    <w:rsid w:val="00392388"/>
    <w:rsid w:val="003924C6"/>
    <w:rsid w:val="0039254B"/>
    <w:rsid w:val="003926B3"/>
    <w:rsid w:val="00392823"/>
    <w:rsid w:val="00392AF7"/>
    <w:rsid w:val="00392E05"/>
    <w:rsid w:val="00392EAA"/>
    <w:rsid w:val="00392EDF"/>
    <w:rsid w:val="0039319B"/>
    <w:rsid w:val="00393396"/>
    <w:rsid w:val="00393452"/>
    <w:rsid w:val="0039365E"/>
    <w:rsid w:val="0039368A"/>
    <w:rsid w:val="00393AC9"/>
    <w:rsid w:val="00393AF4"/>
    <w:rsid w:val="003943DE"/>
    <w:rsid w:val="003944F8"/>
    <w:rsid w:val="00394799"/>
    <w:rsid w:val="003947DA"/>
    <w:rsid w:val="003949B9"/>
    <w:rsid w:val="003949CA"/>
    <w:rsid w:val="00394CEB"/>
    <w:rsid w:val="00394D53"/>
    <w:rsid w:val="00394E5C"/>
    <w:rsid w:val="00394F06"/>
    <w:rsid w:val="00394FC0"/>
    <w:rsid w:val="00395084"/>
    <w:rsid w:val="00395219"/>
    <w:rsid w:val="00395A3C"/>
    <w:rsid w:val="00395F03"/>
    <w:rsid w:val="003960C4"/>
    <w:rsid w:val="003960F6"/>
    <w:rsid w:val="0039633A"/>
    <w:rsid w:val="0039634C"/>
    <w:rsid w:val="00396847"/>
    <w:rsid w:val="00396872"/>
    <w:rsid w:val="00396AE5"/>
    <w:rsid w:val="00396CB4"/>
    <w:rsid w:val="00396E97"/>
    <w:rsid w:val="00397567"/>
    <w:rsid w:val="003977E2"/>
    <w:rsid w:val="00397ACE"/>
    <w:rsid w:val="00397C40"/>
    <w:rsid w:val="003A0185"/>
    <w:rsid w:val="003A040D"/>
    <w:rsid w:val="003A0649"/>
    <w:rsid w:val="003A066C"/>
    <w:rsid w:val="003A072E"/>
    <w:rsid w:val="003A0936"/>
    <w:rsid w:val="003A0A38"/>
    <w:rsid w:val="003A0A3A"/>
    <w:rsid w:val="003A0BAA"/>
    <w:rsid w:val="003A0BDC"/>
    <w:rsid w:val="003A0C66"/>
    <w:rsid w:val="003A0CBB"/>
    <w:rsid w:val="003A0F99"/>
    <w:rsid w:val="003A113E"/>
    <w:rsid w:val="003A1324"/>
    <w:rsid w:val="003A13C3"/>
    <w:rsid w:val="003A1722"/>
    <w:rsid w:val="003A1910"/>
    <w:rsid w:val="003A1A3F"/>
    <w:rsid w:val="003A1A76"/>
    <w:rsid w:val="003A1CD8"/>
    <w:rsid w:val="003A1CEC"/>
    <w:rsid w:val="003A1D7E"/>
    <w:rsid w:val="003A1EA1"/>
    <w:rsid w:val="003A1FF3"/>
    <w:rsid w:val="003A204B"/>
    <w:rsid w:val="003A213D"/>
    <w:rsid w:val="003A2369"/>
    <w:rsid w:val="003A2431"/>
    <w:rsid w:val="003A2628"/>
    <w:rsid w:val="003A266E"/>
    <w:rsid w:val="003A2742"/>
    <w:rsid w:val="003A2848"/>
    <w:rsid w:val="003A297B"/>
    <w:rsid w:val="003A2BD3"/>
    <w:rsid w:val="003A3429"/>
    <w:rsid w:val="003A3488"/>
    <w:rsid w:val="003A3903"/>
    <w:rsid w:val="003A3EC6"/>
    <w:rsid w:val="003A3FB6"/>
    <w:rsid w:val="003A403B"/>
    <w:rsid w:val="003A4156"/>
    <w:rsid w:val="003A43AA"/>
    <w:rsid w:val="003A4751"/>
    <w:rsid w:val="003A4AD0"/>
    <w:rsid w:val="003A4D16"/>
    <w:rsid w:val="003A4F59"/>
    <w:rsid w:val="003A5148"/>
    <w:rsid w:val="003A5222"/>
    <w:rsid w:val="003A5403"/>
    <w:rsid w:val="003A5681"/>
    <w:rsid w:val="003A568A"/>
    <w:rsid w:val="003A56F3"/>
    <w:rsid w:val="003A591C"/>
    <w:rsid w:val="003A59EF"/>
    <w:rsid w:val="003A5B7B"/>
    <w:rsid w:val="003A5C56"/>
    <w:rsid w:val="003A5F08"/>
    <w:rsid w:val="003A5F0E"/>
    <w:rsid w:val="003A5F78"/>
    <w:rsid w:val="003A61EB"/>
    <w:rsid w:val="003A6510"/>
    <w:rsid w:val="003A65D1"/>
    <w:rsid w:val="003A6618"/>
    <w:rsid w:val="003A67BC"/>
    <w:rsid w:val="003A6892"/>
    <w:rsid w:val="003A6AB1"/>
    <w:rsid w:val="003A6CDC"/>
    <w:rsid w:val="003A6CF7"/>
    <w:rsid w:val="003A6D46"/>
    <w:rsid w:val="003A7415"/>
    <w:rsid w:val="003A74A8"/>
    <w:rsid w:val="003A78F7"/>
    <w:rsid w:val="003A7C08"/>
    <w:rsid w:val="003B0450"/>
    <w:rsid w:val="003B05D6"/>
    <w:rsid w:val="003B068D"/>
    <w:rsid w:val="003B0B9A"/>
    <w:rsid w:val="003B0C04"/>
    <w:rsid w:val="003B0DC0"/>
    <w:rsid w:val="003B0E05"/>
    <w:rsid w:val="003B0F06"/>
    <w:rsid w:val="003B13FA"/>
    <w:rsid w:val="003B150D"/>
    <w:rsid w:val="003B155F"/>
    <w:rsid w:val="003B1709"/>
    <w:rsid w:val="003B1A61"/>
    <w:rsid w:val="003B1C14"/>
    <w:rsid w:val="003B1ECB"/>
    <w:rsid w:val="003B1F28"/>
    <w:rsid w:val="003B1F6C"/>
    <w:rsid w:val="003B20F8"/>
    <w:rsid w:val="003B2292"/>
    <w:rsid w:val="003B232B"/>
    <w:rsid w:val="003B2539"/>
    <w:rsid w:val="003B264B"/>
    <w:rsid w:val="003B2972"/>
    <w:rsid w:val="003B2A20"/>
    <w:rsid w:val="003B2FF8"/>
    <w:rsid w:val="003B307F"/>
    <w:rsid w:val="003B3252"/>
    <w:rsid w:val="003B3A29"/>
    <w:rsid w:val="003B3FC7"/>
    <w:rsid w:val="003B4431"/>
    <w:rsid w:val="003B4791"/>
    <w:rsid w:val="003B4ACA"/>
    <w:rsid w:val="003B5248"/>
    <w:rsid w:val="003B52A6"/>
    <w:rsid w:val="003B5345"/>
    <w:rsid w:val="003B55D2"/>
    <w:rsid w:val="003B5841"/>
    <w:rsid w:val="003B5A14"/>
    <w:rsid w:val="003B5AAF"/>
    <w:rsid w:val="003B5C3A"/>
    <w:rsid w:val="003B6017"/>
    <w:rsid w:val="003B6408"/>
    <w:rsid w:val="003B64D3"/>
    <w:rsid w:val="003B650D"/>
    <w:rsid w:val="003B664C"/>
    <w:rsid w:val="003B692E"/>
    <w:rsid w:val="003B6A1D"/>
    <w:rsid w:val="003B6A9E"/>
    <w:rsid w:val="003B6C30"/>
    <w:rsid w:val="003B6DBD"/>
    <w:rsid w:val="003B7039"/>
    <w:rsid w:val="003B704C"/>
    <w:rsid w:val="003B7217"/>
    <w:rsid w:val="003B7287"/>
    <w:rsid w:val="003B732B"/>
    <w:rsid w:val="003B7557"/>
    <w:rsid w:val="003B7653"/>
    <w:rsid w:val="003B767F"/>
    <w:rsid w:val="003B7698"/>
    <w:rsid w:val="003B76CF"/>
    <w:rsid w:val="003B773C"/>
    <w:rsid w:val="003B773D"/>
    <w:rsid w:val="003B796B"/>
    <w:rsid w:val="003B799C"/>
    <w:rsid w:val="003B7A22"/>
    <w:rsid w:val="003B7BFF"/>
    <w:rsid w:val="003C0315"/>
    <w:rsid w:val="003C0369"/>
    <w:rsid w:val="003C0CA8"/>
    <w:rsid w:val="003C0DEB"/>
    <w:rsid w:val="003C1169"/>
    <w:rsid w:val="003C1425"/>
    <w:rsid w:val="003C150B"/>
    <w:rsid w:val="003C16A6"/>
    <w:rsid w:val="003C18FF"/>
    <w:rsid w:val="003C1B36"/>
    <w:rsid w:val="003C1FBD"/>
    <w:rsid w:val="003C24F1"/>
    <w:rsid w:val="003C263E"/>
    <w:rsid w:val="003C2652"/>
    <w:rsid w:val="003C29B1"/>
    <w:rsid w:val="003C2B00"/>
    <w:rsid w:val="003C2B9B"/>
    <w:rsid w:val="003C2EA5"/>
    <w:rsid w:val="003C33CE"/>
    <w:rsid w:val="003C3851"/>
    <w:rsid w:val="003C38D1"/>
    <w:rsid w:val="003C3986"/>
    <w:rsid w:val="003C3CD9"/>
    <w:rsid w:val="003C3F83"/>
    <w:rsid w:val="003C4044"/>
    <w:rsid w:val="003C41BF"/>
    <w:rsid w:val="003C4448"/>
    <w:rsid w:val="003C44D4"/>
    <w:rsid w:val="003C4697"/>
    <w:rsid w:val="003C472B"/>
    <w:rsid w:val="003C478C"/>
    <w:rsid w:val="003C4E04"/>
    <w:rsid w:val="003C4F82"/>
    <w:rsid w:val="003C5331"/>
    <w:rsid w:val="003C53C3"/>
    <w:rsid w:val="003C5435"/>
    <w:rsid w:val="003C567D"/>
    <w:rsid w:val="003C578C"/>
    <w:rsid w:val="003C5AF5"/>
    <w:rsid w:val="003C5D96"/>
    <w:rsid w:val="003C605A"/>
    <w:rsid w:val="003C6277"/>
    <w:rsid w:val="003C6E30"/>
    <w:rsid w:val="003C72FB"/>
    <w:rsid w:val="003C73AA"/>
    <w:rsid w:val="003C79C5"/>
    <w:rsid w:val="003C7AB7"/>
    <w:rsid w:val="003C7DF2"/>
    <w:rsid w:val="003D017D"/>
    <w:rsid w:val="003D01A0"/>
    <w:rsid w:val="003D04DD"/>
    <w:rsid w:val="003D0660"/>
    <w:rsid w:val="003D0785"/>
    <w:rsid w:val="003D0AE1"/>
    <w:rsid w:val="003D0DE0"/>
    <w:rsid w:val="003D0E18"/>
    <w:rsid w:val="003D0E9E"/>
    <w:rsid w:val="003D0F58"/>
    <w:rsid w:val="003D16D4"/>
    <w:rsid w:val="003D1753"/>
    <w:rsid w:val="003D1A21"/>
    <w:rsid w:val="003D1B4A"/>
    <w:rsid w:val="003D1BF0"/>
    <w:rsid w:val="003D1D62"/>
    <w:rsid w:val="003D1DEE"/>
    <w:rsid w:val="003D21DE"/>
    <w:rsid w:val="003D24E0"/>
    <w:rsid w:val="003D26AC"/>
    <w:rsid w:val="003D2723"/>
    <w:rsid w:val="003D2805"/>
    <w:rsid w:val="003D29E7"/>
    <w:rsid w:val="003D2A1B"/>
    <w:rsid w:val="003D2A82"/>
    <w:rsid w:val="003D2E22"/>
    <w:rsid w:val="003D318B"/>
    <w:rsid w:val="003D31B1"/>
    <w:rsid w:val="003D3234"/>
    <w:rsid w:val="003D3255"/>
    <w:rsid w:val="003D380B"/>
    <w:rsid w:val="003D3A2D"/>
    <w:rsid w:val="003D3A69"/>
    <w:rsid w:val="003D3ABC"/>
    <w:rsid w:val="003D3B08"/>
    <w:rsid w:val="003D3CB4"/>
    <w:rsid w:val="003D433D"/>
    <w:rsid w:val="003D43D8"/>
    <w:rsid w:val="003D45B7"/>
    <w:rsid w:val="003D46FB"/>
    <w:rsid w:val="003D4B6C"/>
    <w:rsid w:val="003D4BD3"/>
    <w:rsid w:val="003D4BE2"/>
    <w:rsid w:val="003D4DFE"/>
    <w:rsid w:val="003D5050"/>
    <w:rsid w:val="003D50C0"/>
    <w:rsid w:val="003D52B6"/>
    <w:rsid w:val="003D55EE"/>
    <w:rsid w:val="003D5616"/>
    <w:rsid w:val="003D5771"/>
    <w:rsid w:val="003D5870"/>
    <w:rsid w:val="003D587F"/>
    <w:rsid w:val="003D5BB1"/>
    <w:rsid w:val="003D62E2"/>
    <w:rsid w:val="003D62E4"/>
    <w:rsid w:val="003D62E6"/>
    <w:rsid w:val="003D6983"/>
    <w:rsid w:val="003D6A20"/>
    <w:rsid w:val="003D6CA1"/>
    <w:rsid w:val="003D6DB4"/>
    <w:rsid w:val="003D6F9C"/>
    <w:rsid w:val="003D702C"/>
    <w:rsid w:val="003D70BE"/>
    <w:rsid w:val="003D737B"/>
    <w:rsid w:val="003D74DC"/>
    <w:rsid w:val="003D7601"/>
    <w:rsid w:val="003D760F"/>
    <w:rsid w:val="003D776B"/>
    <w:rsid w:val="003D7F78"/>
    <w:rsid w:val="003D7F82"/>
    <w:rsid w:val="003E06F9"/>
    <w:rsid w:val="003E071D"/>
    <w:rsid w:val="003E0DC5"/>
    <w:rsid w:val="003E1160"/>
    <w:rsid w:val="003E11FC"/>
    <w:rsid w:val="003E1849"/>
    <w:rsid w:val="003E18A9"/>
    <w:rsid w:val="003E1BA3"/>
    <w:rsid w:val="003E1C38"/>
    <w:rsid w:val="003E1D50"/>
    <w:rsid w:val="003E225F"/>
    <w:rsid w:val="003E2676"/>
    <w:rsid w:val="003E2A5F"/>
    <w:rsid w:val="003E2A6A"/>
    <w:rsid w:val="003E2B9A"/>
    <w:rsid w:val="003E2BA9"/>
    <w:rsid w:val="003E2C77"/>
    <w:rsid w:val="003E2DAE"/>
    <w:rsid w:val="003E3007"/>
    <w:rsid w:val="003E322B"/>
    <w:rsid w:val="003E3239"/>
    <w:rsid w:val="003E3340"/>
    <w:rsid w:val="003E376E"/>
    <w:rsid w:val="003E389C"/>
    <w:rsid w:val="003E38DD"/>
    <w:rsid w:val="003E3AAA"/>
    <w:rsid w:val="003E3E41"/>
    <w:rsid w:val="003E3EAB"/>
    <w:rsid w:val="003E3F05"/>
    <w:rsid w:val="003E411C"/>
    <w:rsid w:val="003E42A2"/>
    <w:rsid w:val="003E4877"/>
    <w:rsid w:val="003E494D"/>
    <w:rsid w:val="003E49D1"/>
    <w:rsid w:val="003E4A18"/>
    <w:rsid w:val="003E4B2E"/>
    <w:rsid w:val="003E4DB0"/>
    <w:rsid w:val="003E502D"/>
    <w:rsid w:val="003E5064"/>
    <w:rsid w:val="003E5164"/>
    <w:rsid w:val="003E5607"/>
    <w:rsid w:val="003E57E6"/>
    <w:rsid w:val="003E5B65"/>
    <w:rsid w:val="003E5E70"/>
    <w:rsid w:val="003E5EEA"/>
    <w:rsid w:val="003E5FEC"/>
    <w:rsid w:val="003E62DA"/>
    <w:rsid w:val="003E6ED2"/>
    <w:rsid w:val="003E6F46"/>
    <w:rsid w:val="003E6FDD"/>
    <w:rsid w:val="003E70D0"/>
    <w:rsid w:val="003E726E"/>
    <w:rsid w:val="003E739A"/>
    <w:rsid w:val="003E77C8"/>
    <w:rsid w:val="003E797F"/>
    <w:rsid w:val="003E7A6D"/>
    <w:rsid w:val="003E7D26"/>
    <w:rsid w:val="003E7D54"/>
    <w:rsid w:val="003E7EC8"/>
    <w:rsid w:val="003E7EF1"/>
    <w:rsid w:val="003F0744"/>
    <w:rsid w:val="003F0BCF"/>
    <w:rsid w:val="003F0CF7"/>
    <w:rsid w:val="003F0D01"/>
    <w:rsid w:val="003F0F49"/>
    <w:rsid w:val="003F10AD"/>
    <w:rsid w:val="003F1275"/>
    <w:rsid w:val="003F1319"/>
    <w:rsid w:val="003F1410"/>
    <w:rsid w:val="003F166C"/>
    <w:rsid w:val="003F1B82"/>
    <w:rsid w:val="003F1CA7"/>
    <w:rsid w:val="003F1E95"/>
    <w:rsid w:val="003F28A8"/>
    <w:rsid w:val="003F2A56"/>
    <w:rsid w:val="003F2A5F"/>
    <w:rsid w:val="003F2A84"/>
    <w:rsid w:val="003F2AFB"/>
    <w:rsid w:val="003F301D"/>
    <w:rsid w:val="003F3048"/>
    <w:rsid w:val="003F30B4"/>
    <w:rsid w:val="003F319B"/>
    <w:rsid w:val="003F33D8"/>
    <w:rsid w:val="003F3D3B"/>
    <w:rsid w:val="003F4000"/>
    <w:rsid w:val="003F4175"/>
    <w:rsid w:val="003F4227"/>
    <w:rsid w:val="003F492E"/>
    <w:rsid w:val="003F4A37"/>
    <w:rsid w:val="003F4C64"/>
    <w:rsid w:val="003F4EB5"/>
    <w:rsid w:val="003F51C7"/>
    <w:rsid w:val="003F5332"/>
    <w:rsid w:val="003F547F"/>
    <w:rsid w:val="003F594F"/>
    <w:rsid w:val="003F5E89"/>
    <w:rsid w:val="003F5ECD"/>
    <w:rsid w:val="003F5F32"/>
    <w:rsid w:val="003F5F43"/>
    <w:rsid w:val="003F6261"/>
    <w:rsid w:val="003F635F"/>
    <w:rsid w:val="003F65C2"/>
    <w:rsid w:val="003F6608"/>
    <w:rsid w:val="003F66F6"/>
    <w:rsid w:val="003F6B5B"/>
    <w:rsid w:val="003F6BA5"/>
    <w:rsid w:val="003F6C02"/>
    <w:rsid w:val="003F712E"/>
    <w:rsid w:val="003F71E1"/>
    <w:rsid w:val="003F764B"/>
    <w:rsid w:val="003F768E"/>
    <w:rsid w:val="003F76F1"/>
    <w:rsid w:val="003F783F"/>
    <w:rsid w:val="003F786C"/>
    <w:rsid w:val="003F7966"/>
    <w:rsid w:val="003F7BB7"/>
    <w:rsid w:val="003F7E69"/>
    <w:rsid w:val="004003AB"/>
    <w:rsid w:val="00400499"/>
    <w:rsid w:val="004005D5"/>
    <w:rsid w:val="00400784"/>
    <w:rsid w:val="0040093E"/>
    <w:rsid w:val="00400BE2"/>
    <w:rsid w:val="00400DE3"/>
    <w:rsid w:val="00401126"/>
    <w:rsid w:val="00401586"/>
    <w:rsid w:val="004017F5"/>
    <w:rsid w:val="0040183F"/>
    <w:rsid w:val="004018ED"/>
    <w:rsid w:val="00401934"/>
    <w:rsid w:val="00401F57"/>
    <w:rsid w:val="00402223"/>
    <w:rsid w:val="0040225C"/>
    <w:rsid w:val="00402271"/>
    <w:rsid w:val="00402297"/>
    <w:rsid w:val="00402955"/>
    <w:rsid w:val="00402984"/>
    <w:rsid w:val="00402A3A"/>
    <w:rsid w:val="00403089"/>
    <w:rsid w:val="004031C3"/>
    <w:rsid w:val="004033F3"/>
    <w:rsid w:val="0040383A"/>
    <w:rsid w:val="004038E5"/>
    <w:rsid w:val="00403995"/>
    <w:rsid w:val="00403CFA"/>
    <w:rsid w:val="00403E28"/>
    <w:rsid w:val="00403E52"/>
    <w:rsid w:val="00403F6B"/>
    <w:rsid w:val="00404006"/>
    <w:rsid w:val="004042C7"/>
    <w:rsid w:val="00404376"/>
    <w:rsid w:val="004045B7"/>
    <w:rsid w:val="004046CF"/>
    <w:rsid w:val="004048DD"/>
    <w:rsid w:val="00404A0C"/>
    <w:rsid w:val="00404A90"/>
    <w:rsid w:val="00404B1A"/>
    <w:rsid w:val="00404BC7"/>
    <w:rsid w:val="00404C62"/>
    <w:rsid w:val="00404DA5"/>
    <w:rsid w:val="00404EA4"/>
    <w:rsid w:val="004052E7"/>
    <w:rsid w:val="0040533C"/>
    <w:rsid w:val="0040575F"/>
    <w:rsid w:val="00405801"/>
    <w:rsid w:val="00405878"/>
    <w:rsid w:val="00405A46"/>
    <w:rsid w:val="00405BE7"/>
    <w:rsid w:val="00405EAA"/>
    <w:rsid w:val="0040609A"/>
    <w:rsid w:val="004062B2"/>
    <w:rsid w:val="00406527"/>
    <w:rsid w:val="004066B2"/>
    <w:rsid w:val="004068D3"/>
    <w:rsid w:val="00406AD7"/>
    <w:rsid w:val="00406C16"/>
    <w:rsid w:val="00406EDE"/>
    <w:rsid w:val="0040750E"/>
    <w:rsid w:val="00407677"/>
    <w:rsid w:val="004079CC"/>
    <w:rsid w:val="00407D77"/>
    <w:rsid w:val="0041013F"/>
    <w:rsid w:val="00410253"/>
    <w:rsid w:val="0041040B"/>
    <w:rsid w:val="00410B89"/>
    <w:rsid w:val="00410BFA"/>
    <w:rsid w:val="00410DC5"/>
    <w:rsid w:val="0041135E"/>
    <w:rsid w:val="00411486"/>
    <w:rsid w:val="004114E8"/>
    <w:rsid w:val="00411755"/>
    <w:rsid w:val="004118F9"/>
    <w:rsid w:val="00411AB8"/>
    <w:rsid w:val="00411B18"/>
    <w:rsid w:val="00411C6A"/>
    <w:rsid w:val="00411CA5"/>
    <w:rsid w:val="00411ECC"/>
    <w:rsid w:val="004122EC"/>
    <w:rsid w:val="004126A2"/>
    <w:rsid w:val="004126C9"/>
    <w:rsid w:val="0041297E"/>
    <w:rsid w:val="004129FB"/>
    <w:rsid w:val="00412C1E"/>
    <w:rsid w:val="00412D7C"/>
    <w:rsid w:val="00412FF1"/>
    <w:rsid w:val="0041355C"/>
    <w:rsid w:val="004136AE"/>
    <w:rsid w:val="004136F8"/>
    <w:rsid w:val="00413792"/>
    <w:rsid w:val="00413FFF"/>
    <w:rsid w:val="004140B5"/>
    <w:rsid w:val="0041411C"/>
    <w:rsid w:val="004141BF"/>
    <w:rsid w:val="004144D1"/>
    <w:rsid w:val="0041487F"/>
    <w:rsid w:val="00414A1B"/>
    <w:rsid w:val="00414BE1"/>
    <w:rsid w:val="00414E4B"/>
    <w:rsid w:val="004150EA"/>
    <w:rsid w:val="00415172"/>
    <w:rsid w:val="004151BD"/>
    <w:rsid w:val="00415294"/>
    <w:rsid w:val="004152C0"/>
    <w:rsid w:val="00415BB6"/>
    <w:rsid w:val="00416518"/>
    <w:rsid w:val="00416526"/>
    <w:rsid w:val="0041655D"/>
    <w:rsid w:val="004165A9"/>
    <w:rsid w:val="004167F8"/>
    <w:rsid w:val="004168BA"/>
    <w:rsid w:val="00416A53"/>
    <w:rsid w:val="00416C5E"/>
    <w:rsid w:val="00416D1E"/>
    <w:rsid w:val="00416D50"/>
    <w:rsid w:val="00416E30"/>
    <w:rsid w:val="00417159"/>
    <w:rsid w:val="004172EB"/>
    <w:rsid w:val="004175BE"/>
    <w:rsid w:val="004177CE"/>
    <w:rsid w:val="00417877"/>
    <w:rsid w:val="004179E8"/>
    <w:rsid w:val="00417CFD"/>
    <w:rsid w:val="00417D51"/>
    <w:rsid w:val="00417E76"/>
    <w:rsid w:val="00420043"/>
    <w:rsid w:val="0042007C"/>
    <w:rsid w:val="00420080"/>
    <w:rsid w:val="00420271"/>
    <w:rsid w:val="0042028C"/>
    <w:rsid w:val="00420441"/>
    <w:rsid w:val="004209B0"/>
    <w:rsid w:val="00420B45"/>
    <w:rsid w:val="00420EA5"/>
    <w:rsid w:val="00420EBD"/>
    <w:rsid w:val="00421159"/>
    <w:rsid w:val="0042120B"/>
    <w:rsid w:val="004212A5"/>
    <w:rsid w:val="00421531"/>
    <w:rsid w:val="00421791"/>
    <w:rsid w:val="00421820"/>
    <w:rsid w:val="0042192E"/>
    <w:rsid w:val="0042198C"/>
    <w:rsid w:val="00421BA4"/>
    <w:rsid w:val="00421C9E"/>
    <w:rsid w:val="00421DAA"/>
    <w:rsid w:val="00421F63"/>
    <w:rsid w:val="0042202B"/>
    <w:rsid w:val="00422050"/>
    <w:rsid w:val="00422116"/>
    <w:rsid w:val="0042246C"/>
    <w:rsid w:val="00422482"/>
    <w:rsid w:val="00422581"/>
    <w:rsid w:val="004225D9"/>
    <w:rsid w:val="004229A4"/>
    <w:rsid w:val="004229BB"/>
    <w:rsid w:val="004229FE"/>
    <w:rsid w:val="00422DC0"/>
    <w:rsid w:val="00423039"/>
    <w:rsid w:val="00423398"/>
    <w:rsid w:val="00423521"/>
    <w:rsid w:val="004235B1"/>
    <w:rsid w:val="00423623"/>
    <w:rsid w:val="004236D0"/>
    <w:rsid w:val="00423831"/>
    <w:rsid w:val="0042389B"/>
    <w:rsid w:val="00423C9E"/>
    <w:rsid w:val="00424210"/>
    <w:rsid w:val="004242D6"/>
    <w:rsid w:val="0042445A"/>
    <w:rsid w:val="00424792"/>
    <w:rsid w:val="00424CB0"/>
    <w:rsid w:val="00425145"/>
    <w:rsid w:val="0042515F"/>
    <w:rsid w:val="00425691"/>
    <w:rsid w:val="00425723"/>
    <w:rsid w:val="00425895"/>
    <w:rsid w:val="004259A4"/>
    <w:rsid w:val="00425A07"/>
    <w:rsid w:val="00425A7D"/>
    <w:rsid w:val="00425BCD"/>
    <w:rsid w:val="00425E4E"/>
    <w:rsid w:val="00425FBF"/>
    <w:rsid w:val="004260C7"/>
    <w:rsid w:val="004260E1"/>
    <w:rsid w:val="004266C0"/>
    <w:rsid w:val="00426AC1"/>
    <w:rsid w:val="00426B38"/>
    <w:rsid w:val="00426B3B"/>
    <w:rsid w:val="00426EC7"/>
    <w:rsid w:val="00426F4D"/>
    <w:rsid w:val="00427B91"/>
    <w:rsid w:val="00427E6B"/>
    <w:rsid w:val="00430307"/>
    <w:rsid w:val="00430468"/>
    <w:rsid w:val="004305C9"/>
    <w:rsid w:val="00430B1B"/>
    <w:rsid w:val="00430C2F"/>
    <w:rsid w:val="00430C54"/>
    <w:rsid w:val="00430C79"/>
    <w:rsid w:val="00430E99"/>
    <w:rsid w:val="00431320"/>
    <w:rsid w:val="004318B2"/>
    <w:rsid w:val="00431A81"/>
    <w:rsid w:val="00431ADC"/>
    <w:rsid w:val="00431C19"/>
    <w:rsid w:val="00431D3B"/>
    <w:rsid w:val="00431F45"/>
    <w:rsid w:val="004325DE"/>
    <w:rsid w:val="0043266A"/>
    <w:rsid w:val="004329DE"/>
    <w:rsid w:val="00432AF8"/>
    <w:rsid w:val="00432DC5"/>
    <w:rsid w:val="00432E1B"/>
    <w:rsid w:val="00432F91"/>
    <w:rsid w:val="004330B4"/>
    <w:rsid w:val="004331B6"/>
    <w:rsid w:val="00433354"/>
    <w:rsid w:val="00433603"/>
    <w:rsid w:val="00433D00"/>
    <w:rsid w:val="00434089"/>
    <w:rsid w:val="0043465D"/>
    <w:rsid w:val="00434B28"/>
    <w:rsid w:val="00434C24"/>
    <w:rsid w:val="00434D62"/>
    <w:rsid w:val="00434FD4"/>
    <w:rsid w:val="004350F6"/>
    <w:rsid w:val="0043575A"/>
    <w:rsid w:val="00435DC1"/>
    <w:rsid w:val="00435FBD"/>
    <w:rsid w:val="0043609C"/>
    <w:rsid w:val="00436236"/>
    <w:rsid w:val="004366B9"/>
    <w:rsid w:val="004366CC"/>
    <w:rsid w:val="00436A80"/>
    <w:rsid w:val="00436BF0"/>
    <w:rsid w:val="00436F85"/>
    <w:rsid w:val="00436FA8"/>
    <w:rsid w:val="004373A3"/>
    <w:rsid w:val="004376BA"/>
    <w:rsid w:val="00437959"/>
    <w:rsid w:val="0043798C"/>
    <w:rsid w:val="004379F3"/>
    <w:rsid w:val="00437D8B"/>
    <w:rsid w:val="0044032E"/>
    <w:rsid w:val="0044047E"/>
    <w:rsid w:val="0044080B"/>
    <w:rsid w:val="0044084E"/>
    <w:rsid w:val="004408F5"/>
    <w:rsid w:val="004409B7"/>
    <w:rsid w:val="00440AD5"/>
    <w:rsid w:val="00440EC4"/>
    <w:rsid w:val="00440ECB"/>
    <w:rsid w:val="00440F48"/>
    <w:rsid w:val="00440F50"/>
    <w:rsid w:val="00441150"/>
    <w:rsid w:val="004411A5"/>
    <w:rsid w:val="00441573"/>
    <w:rsid w:val="00441B0B"/>
    <w:rsid w:val="00441B74"/>
    <w:rsid w:val="00441E67"/>
    <w:rsid w:val="004421A7"/>
    <w:rsid w:val="00442653"/>
    <w:rsid w:val="004426D6"/>
    <w:rsid w:val="00442825"/>
    <w:rsid w:val="00442A8F"/>
    <w:rsid w:val="00442FA7"/>
    <w:rsid w:val="004432E8"/>
    <w:rsid w:val="00443CC6"/>
    <w:rsid w:val="0044418A"/>
    <w:rsid w:val="004445A4"/>
    <w:rsid w:val="004446BD"/>
    <w:rsid w:val="00444881"/>
    <w:rsid w:val="00444AD7"/>
    <w:rsid w:val="00444B0D"/>
    <w:rsid w:val="00444D25"/>
    <w:rsid w:val="004450BD"/>
    <w:rsid w:val="0044514F"/>
    <w:rsid w:val="0044522C"/>
    <w:rsid w:val="00445409"/>
    <w:rsid w:val="004456A7"/>
    <w:rsid w:val="004456AA"/>
    <w:rsid w:val="00445706"/>
    <w:rsid w:val="0044578D"/>
    <w:rsid w:val="004458CF"/>
    <w:rsid w:val="00445AF5"/>
    <w:rsid w:val="00445C2E"/>
    <w:rsid w:val="00445E9F"/>
    <w:rsid w:val="00445FC8"/>
    <w:rsid w:val="004460F1"/>
    <w:rsid w:val="00446276"/>
    <w:rsid w:val="004467C7"/>
    <w:rsid w:val="00446A39"/>
    <w:rsid w:val="00446A7E"/>
    <w:rsid w:val="00446B06"/>
    <w:rsid w:val="00446E18"/>
    <w:rsid w:val="004474DD"/>
    <w:rsid w:val="00447608"/>
    <w:rsid w:val="00447BBF"/>
    <w:rsid w:val="0045001A"/>
    <w:rsid w:val="004500E5"/>
    <w:rsid w:val="0045021D"/>
    <w:rsid w:val="00450323"/>
    <w:rsid w:val="0045039D"/>
    <w:rsid w:val="004503E3"/>
    <w:rsid w:val="00450716"/>
    <w:rsid w:val="0045075D"/>
    <w:rsid w:val="004507F5"/>
    <w:rsid w:val="00450803"/>
    <w:rsid w:val="00450B74"/>
    <w:rsid w:val="00450C5D"/>
    <w:rsid w:val="00450CEF"/>
    <w:rsid w:val="00451190"/>
    <w:rsid w:val="0045140A"/>
    <w:rsid w:val="0045141A"/>
    <w:rsid w:val="0045147F"/>
    <w:rsid w:val="00451555"/>
    <w:rsid w:val="00451635"/>
    <w:rsid w:val="00451663"/>
    <w:rsid w:val="0045178C"/>
    <w:rsid w:val="004517F2"/>
    <w:rsid w:val="004519ED"/>
    <w:rsid w:val="00451CEE"/>
    <w:rsid w:val="004520B8"/>
    <w:rsid w:val="0045276B"/>
    <w:rsid w:val="00452AE9"/>
    <w:rsid w:val="00452C71"/>
    <w:rsid w:val="00452CB3"/>
    <w:rsid w:val="00453240"/>
    <w:rsid w:val="004532B6"/>
    <w:rsid w:val="0045361B"/>
    <w:rsid w:val="00453C33"/>
    <w:rsid w:val="00453E57"/>
    <w:rsid w:val="00453EC3"/>
    <w:rsid w:val="00454438"/>
    <w:rsid w:val="0045450D"/>
    <w:rsid w:val="004547A2"/>
    <w:rsid w:val="00454C56"/>
    <w:rsid w:val="00454E90"/>
    <w:rsid w:val="004551E2"/>
    <w:rsid w:val="0045532E"/>
    <w:rsid w:val="00455542"/>
    <w:rsid w:val="00455638"/>
    <w:rsid w:val="0045572B"/>
    <w:rsid w:val="00455789"/>
    <w:rsid w:val="004557E2"/>
    <w:rsid w:val="00455A62"/>
    <w:rsid w:val="00455ABD"/>
    <w:rsid w:val="00455BB9"/>
    <w:rsid w:val="00455E1D"/>
    <w:rsid w:val="00455E1F"/>
    <w:rsid w:val="00455E2A"/>
    <w:rsid w:val="00456208"/>
    <w:rsid w:val="004564EA"/>
    <w:rsid w:val="00456ACA"/>
    <w:rsid w:val="00456AE4"/>
    <w:rsid w:val="00456B9A"/>
    <w:rsid w:val="00456D69"/>
    <w:rsid w:val="00457188"/>
    <w:rsid w:val="004572A6"/>
    <w:rsid w:val="00457595"/>
    <w:rsid w:val="004578AB"/>
    <w:rsid w:val="004578EA"/>
    <w:rsid w:val="00457AFE"/>
    <w:rsid w:val="00457D3F"/>
    <w:rsid w:val="00460021"/>
    <w:rsid w:val="004600DA"/>
    <w:rsid w:val="0046019F"/>
    <w:rsid w:val="0046025D"/>
    <w:rsid w:val="00460285"/>
    <w:rsid w:val="00460836"/>
    <w:rsid w:val="004609C8"/>
    <w:rsid w:val="00460A6A"/>
    <w:rsid w:val="00460E22"/>
    <w:rsid w:val="00460E24"/>
    <w:rsid w:val="0046116C"/>
    <w:rsid w:val="004612B2"/>
    <w:rsid w:val="00461653"/>
    <w:rsid w:val="00461697"/>
    <w:rsid w:val="004616E6"/>
    <w:rsid w:val="00461846"/>
    <w:rsid w:val="00461944"/>
    <w:rsid w:val="00461E44"/>
    <w:rsid w:val="00462048"/>
    <w:rsid w:val="00462270"/>
    <w:rsid w:val="00462298"/>
    <w:rsid w:val="004624C6"/>
    <w:rsid w:val="00462696"/>
    <w:rsid w:val="004627B0"/>
    <w:rsid w:val="00462801"/>
    <w:rsid w:val="00462B95"/>
    <w:rsid w:val="00462D5D"/>
    <w:rsid w:val="00462E9A"/>
    <w:rsid w:val="0046301B"/>
    <w:rsid w:val="00463028"/>
    <w:rsid w:val="00463476"/>
    <w:rsid w:val="004634B7"/>
    <w:rsid w:val="004636FF"/>
    <w:rsid w:val="004638F4"/>
    <w:rsid w:val="0046439B"/>
    <w:rsid w:val="0046456D"/>
    <w:rsid w:val="00464664"/>
    <w:rsid w:val="004647AF"/>
    <w:rsid w:val="00464BE0"/>
    <w:rsid w:val="00464D40"/>
    <w:rsid w:val="00464F6B"/>
    <w:rsid w:val="004650C8"/>
    <w:rsid w:val="004650DB"/>
    <w:rsid w:val="00465186"/>
    <w:rsid w:val="004651E8"/>
    <w:rsid w:val="0046554D"/>
    <w:rsid w:val="004655B4"/>
    <w:rsid w:val="004655C8"/>
    <w:rsid w:val="004657F5"/>
    <w:rsid w:val="00465991"/>
    <w:rsid w:val="00465AE2"/>
    <w:rsid w:val="00465CCF"/>
    <w:rsid w:val="00465E64"/>
    <w:rsid w:val="00465E96"/>
    <w:rsid w:val="00465FDB"/>
    <w:rsid w:val="0046620D"/>
    <w:rsid w:val="0046631C"/>
    <w:rsid w:val="004664DB"/>
    <w:rsid w:val="0046665E"/>
    <w:rsid w:val="00466C62"/>
    <w:rsid w:val="00466E8D"/>
    <w:rsid w:val="0046727B"/>
    <w:rsid w:val="0046748D"/>
    <w:rsid w:val="0046755D"/>
    <w:rsid w:val="004675BD"/>
    <w:rsid w:val="0046760F"/>
    <w:rsid w:val="004678A7"/>
    <w:rsid w:val="0046796F"/>
    <w:rsid w:val="00467B25"/>
    <w:rsid w:val="004704D9"/>
    <w:rsid w:val="00470BBA"/>
    <w:rsid w:val="00470C19"/>
    <w:rsid w:val="00470FA7"/>
    <w:rsid w:val="004710AC"/>
    <w:rsid w:val="004711E0"/>
    <w:rsid w:val="0047151C"/>
    <w:rsid w:val="00471938"/>
    <w:rsid w:val="00471A27"/>
    <w:rsid w:val="00471AEE"/>
    <w:rsid w:val="00471C09"/>
    <w:rsid w:val="00471F94"/>
    <w:rsid w:val="004722B3"/>
    <w:rsid w:val="004725D9"/>
    <w:rsid w:val="00472881"/>
    <w:rsid w:val="004729BD"/>
    <w:rsid w:val="00472B28"/>
    <w:rsid w:val="00472B39"/>
    <w:rsid w:val="00472B79"/>
    <w:rsid w:val="00472E56"/>
    <w:rsid w:val="00472FB6"/>
    <w:rsid w:val="004734FD"/>
    <w:rsid w:val="00473607"/>
    <w:rsid w:val="0047377F"/>
    <w:rsid w:val="00474032"/>
    <w:rsid w:val="00474193"/>
    <w:rsid w:val="00474261"/>
    <w:rsid w:val="004749D1"/>
    <w:rsid w:val="00474C5A"/>
    <w:rsid w:val="00474DE5"/>
    <w:rsid w:val="00474FED"/>
    <w:rsid w:val="0047502B"/>
    <w:rsid w:val="00475229"/>
    <w:rsid w:val="00475B47"/>
    <w:rsid w:val="00475B70"/>
    <w:rsid w:val="00476034"/>
    <w:rsid w:val="0047660A"/>
    <w:rsid w:val="00476611"/>
    <w:rsid w:val="004768F6"/>
    <w:rsid w:val="00476D7F"/>
    <w:rsid w:val="00476D92"/>
    <w:rsid w:val="0047705F"/>
    <w:rsid w:val="00477086"/>
    <w:rsid w:val="00477AF7"/>
    <w:rsid w:val="00477C1E"/>
    <w:rsid w:val="00477C75"/>
    <w:rsid w:val="00477DD6"/>
    <w:rsid w:val="00477E39"/>
    <w:rsid w:val="0048057C"/>
    <w:rsid w:val="0048078A"/>
    <w:rsid w:val="00480A35"/>
    <w:rsid w:val="00481326"/>
    <w:rsid w:val="00481346"/>
    <w:rsid w:val="004813C7"/>
    <w:rsid w:val="004813DD"/>
    <w:rsid w:val="004815F7"/>
    <w:rsid w:val="00481728"/>
    <w:rsid w:val="004817EA"/>
    <w:rsid w:val="004818A1"/>
    <w:rsid w:val="004818F3"/>
    <w:rsid w:val="00481DEA"/>
    <w:rsid w:val="004821F7"/>
    <w:rsid w:val="00482A67"/>
    <w:rsid w:val="00482BE7"/>
    <w:rsid w:val="00482EA0"/>
    <w:rsid w:val="00482EFC"/>
    <w:rsid w:val="0048312A"/>
    <w:rsid w:val="004838F4"/>
    <w:rsid w:val="004838F9"/>
    <w:rsid w:val="00483951"/>
    <w:rsid w:val="00483A1D"/>
    <w:rsid w:val="00483B1E"/>
    <w:rsid w:val="00483CC3"/>
    <w:rsid w:val="00483D0F"/>
    <w:rsid w:val="00483D6C"/>
    <w:rsid w:val="0048411F"/>
    <w:rsid w:val="004845BE"/>
    <w:rsid w:val="00484636"/>
    <w:rsid w:val="00484665"/>
    <w:rsid w:val="00484848"/>
    <w:rsid w:val="00484976"/>
    <w:rsid w:val="00484A97"/>
    <w:rsid w:val="00484AF6"/>
    <w:rsid w:val="00484DFA"/>
    <w:rsid w:val="00485192"/>
    <w:rsid w:val="004851E5"/>
    <w:rsid w:val="004852FC"/>
    <w:rsid w:val="00485382"/>
    <w:rsid w:val="00485389"/>
    <w:rsid w:val="004853D4"/>
    <w:rsid w:val="004857DC"/>
    <w:rsid w:val="00485AA8"/>
    <w:rsid w:val="00485D09"/>
    <w:rsid w:val="00485D8A"/>
    <w:rsid w:val="004860EB"/>
    <w:rsid w:val="004861BF"/>
    <w:rsid w:val="004863CA"/>
    <w:rsid w:val="004869A1"/>
    <w:rsid w:val="00486AA7"/>
    <w:rsid w:val="00486B23"/>
    <w:rsid w:val="004872FB"/>
    <w:rsid w:val="00487369"/>
    <w:rsid w:val="004875C3"/>
    <w:rsid w:val="00487739"/>
    <w:rsid w:val="00487842"/>
    <w:rsid w:val="00487868"/>
    <w:rsid w:val="00487945"/>
    <w:rsid w:val="00487990"/>
    <w:rsid w:val="004879AD"/>
    <w:rsid w:val="00487AFD"/>
    <w:rsid w:val="00487BEE"/>
    <w:rsid w:val="00487C8E"/>
    <w:rsid w:val="00487D91"/>
    <w:rsid w:val="00487DC9"/>
    <w:rsid w:val="00487DD3"/>
    <w:rsid w:val="004905D7"/>
    <w:rsid w:val="00490631"/>
    <w:rsid w:val="004909D4"/>
    <w:rsid w:val="00490BA5"/>
    <w:rsid w:val="00490CB6"/>
    <w:rsid w:val="00490CC3"/>
    <w:rsid w:val="0049112A"/>
    <w:rsid w:val="004911A9"/>
    <w:rsid w:val="00491296"/>
    <w:rsid w:val="0049151D"/>
    <w:rsid w:val="004916E5"/>
    <w:rsid w:val="00491951"/>
    <w:rsid w:val="004919D0"/>
    <w:rsid w:val="00491CE2"/>
    <w:rsid w:val="00491D95"/>
    <w:rsid w:val="0049205D"/>
    <w:rsid w:val="004920E4"/>
    <w:rsid w:val="0049224B"/>
    <w:rsid w:val="0049239A"/>
    <w:rsid w:val="00492425"/>
    <w:rsid w:val="00492466"/>
    <w:rsid w:val="00492670"/>
    <w:rsid w:val="004926D5"/>
    <w:rsid w:val="00492B66"/>
    <w:rsid w:val="00492C67"/>
    <w:rsid w:val="00492CC7"/>
    <w:rsid w:val="00492CF2"/>
    <w:rsid w:val="00492E76"/>
    <w:rsid w:val="00492F62"/>
    <w:rsid w:val="004930DA"/>
    <w:rsid w:val="00493263"/>
    <w:rsid w:val="0049328B"/>
    <w:rsid w:val="00493589"/>
    <w:rsid w:val="00493606"/>
    <w:rsid w:val="00493A8B"/>
    <w:rsid w:val="00493BB5"/>
    <w:rsid w:val="00493BFC"/>
    <w:rsid w:val="00493C1A"/>
    <w:rsid w:val="00493C50"/>
    <w:rsid w:val="0049409B"/>
    <w:rsid w:val="0049494C"/>
    <w:rsid w:val="00494D10"/>
    <w:rsid w:val="00494F3F"/>
    <w:rsid w:val="00495002"/>
    <w:rsid w:val="004956A8"/>
    <w:rsid w:val="00495950"/>
    <w:rsid w:val="00495DBC"/>
    <w:rsid w:val="00495EDD"/>
    <w:rsid w:val="00496012"/>
    <w:rsid w:val="00496358"/>
    <w:rsid w:val="004963B7"/>
    <w:rsid w:val="0049646F"/>
    <w:rsid w:val="00496557"/>
    <w:rsid w:val="004968E6"/>
    <w:rsid w:val="00496C1B"/>
    <w:rsid w:val="00496D52"/>
    <w:rsid w:val="00496FB1"/>
    <w:rsid w:val="004971F1"/>
    <w:rsid w:val="00497234"/>
    <w:rsid w:val="0049758A"/>
    <w:rsid w:val="004975FE"/>
    <w:rsid w:val="004976D9"/>
    <w:rsid w:val="00497734"/>
    <w:rsid w:val="004977FC"/>
    <w:rsid w:val="0049789E"/>
    <w:rsid w:val="00497943"/>
    <w:rsid w:val="00497B72"/>
    <w:rsid w:val="00497BE5"/>
    <w:rsid w:val="004A0027"/>
    <w:rsid w:val="004A0035"/>
    <w:rsid w:val="004A040E"/>
    <w:rsid w:val="004A07DB"/>
    <w:rsid w:val="004A08D8"/>
    <w:rsid w:val="004A0BD1"/>
    <w:rsid w:val="004A110C"/>
    <w:rsid w:val="004A13F8"/>
    <w:rsid w:val="004A14B5"/>
    <w:rsid w:val="004A1738"/>
    <w:rsid w:val="004A176D"/>
    <w:rsid w:val="004A18ED"/>
    <w:rsid w:val="004A1C7C"/>
    <w:rsid w:val="004A1DA5"/>
    <w:rsid w:val="004A2060"/>
    <w:rsid w:val="004A207F"/>
    <w:rsid w:val="004A248B"/>
    <w:rsid w:val="004A253D"/>
    <w:rsid w:val="004A2606"/>
    <w:rsid w:val="004A2736"/>
    <w:rsid w:val="004A2A0D"/>
    <w:rsid w:val="004A2AC5"/>
    <w:rsid w:val="004A2BDC"/>
    <w:rsid w:val="004A318E"/>
    <w:rsid w:val="004A36E3"/>
    <w:rsid w:val="004A387C"/>
    <w:rsid w:val="004A38AD"/>
    <w:rsid w:val="004A3963"/>
    <w:rsid w:val="004A3D5D"/>
    <w:rsid w:val="004A3F07"/>
    <w:rsid w:val="004A4119"/>
    <w:rsid w:val="004A429C"/>
    <w:rsid w:val="004A43BD"/>
    <w:rsid w:val="004A44F7"/>
    <w:rsid w:val="004A4658"/>
    <w:rsid w:val="004A477F"/>
    <w:rsid w:val="004A4783"/>
    <w:rsid w:val="004A4869"/>
    <w:rsid w:val="004A4BBC"/>
    <w:rsid w:val="004A4CD9"/>
    <w:rsid w:val="004A4D5E"/>
    <w:rsid w:val="004A4E13"/>
    <w:rsid w:val="004A4EE1"/>
    <w:rsid w:val="004A4F3E"/>
    <w:rsid w:val="004A50E6"/>
    <w:rsid w:val="004A54E3"/>
    <w:rsid w:val="004A5564"/>
    <w:rsid w:val="004A5725"/>
    <w:rsid w:val="004A5A56"/>
    <w:rsid w:val="004A5DC2"/>
    <w:rsid w:val="004A6055"/>
    <w:rsid w:val="004A615C"/>
    <w:rsid w:val="004A656E"/>
    <w:rsid w:val="004A67A4"/>
    <w:rsid w:val="004A694F"/>
    <w:rsid w:val="004A6B68"/>
    <w:rsid w:val="004A6BE2"/>
    <w:rsid w:val="004A6D06"/>
    <w:rsid w:val="004A7174"/>
    <w:rsid w:val="004A72BD"/>
    <w:rsid w:val="004A7404"/>
    <w:rsid w:val="004A740A"/>
    <w:rsid w:val="004A7E96"/>
    <w:rsid w:val="004A7F3B"/>
    <w:rsid w:val="004A7FCD"/>
    <w:rsid w:val="004B00AB"/>
    <w:rsid w:val="004B0153"/>
    <w:rsid w:val="004B0169"/>
    <w:rsid w:val="004B01DF"/>
    <w:rsid w:val="004B03AA"/>
    <w:rsid w:val="004B04D8"/>
    <w:rsid w:val="004B059F"/>
    <w:rsid w:val="004B0863"/>
    <w:rsid w:val="004B091F"/>
    <w:rsid w:val="004B09F6"/>
    <w:rsid w:val="004B0B71"/>
    <w:rsid w:val="004B0DA3"/>
    <w:rsid w:val="004B106D"/>
    <w:rsid w:val="004B10D0"/>
    <w:rsid w:val="004B122B"/>
    <w:rsid w:val="004B1490"/>
    <w:rsid w:val="004B15CC"/>
    <w:rsid w:val="004B1753"/>
    <w:rsid w:val="004B1802"/>
    <w:rsid w:val="004B1863"/>
    <w:rsid w:val="004B1A16"/>
    <w:rsid w:val="004B1AB3"/>
    <w:rsid w:val="004B1CF6"/>
    <w:rsid w:val="004B1EF9"/>
    <w:rsid w:val="004B1F73"/>
    <w:rsid w:val="004B2102"/>
    <w:rsid w:val="004B2216"/>
    <w:rsid w:val="004B22B3"/>
    <w:rsid w:val="004B232B"/>
    <w:rsid w:val="004B26AA"/>
    <w:rsid w:val="004B2A26"/>
    <w:rsid w:val="004B2DDF"/>
    <w:rsid w:val="004B2EE0"/>
    <w:rsid w:val="004B3052"/>
    <w:rsid w:val="004B31C9"/>
    <w:rsid w:val="004B327F"/>
    <w:rsid w:val="004B3581"/>
    <w:rsid w:val="004B384E"/>
    <w:rsid w:val="004B3B32"/>
    <w:rsid w:val="004B3DAF"/>
    <w:rsid w:val="004B4162"/>
    <w:rsid w:val="004B4B59"/>
    <w:rsid w:val="004B4D65"/>
    <w:rsid w:val="004B5505"/>
    <w:rsid w:val="004B5766"/>
    <w:rsid w:val="004B58D6"/>
    <w:rsid w:val="004B6184"/>
    <w:rsid w:val="004B6476"/>
    <w:rsid w:val="004B6AA4"/>
    <w:rsid w:val="004B6AEF"/>
    <w:rsid w:val="004B6D90"/>
    <w:rsid w:val="004B714A"/>
    <w:rsid w:val="004B7347"/>
    <w:rsid w:val="004B740E"/>
    <w:rsid w:val="004B77C4"/>
    <w:rsid w:val="004B79BF"/>
    <w:rsid w:val="004B7A18"/>
    <w:rsid w:val="004B7A20"/>
    <w:rsid w:val="004B7BAD"/>
    <w:rsid w:val="004B7C02"/>
    <w:rsid w:val="004B7FD9"/>
    <w:rsid w:val="004C00A7"/>
    <w:rsid w:val="004C0117"/>
    <w:rsid w:val="004C063D"/>
    <w:rsid w:val="004C09F3"/>
    <w:rsid w:val="004C0D91"/>
    <w:rsid w:val="004C13BC"/>
    <w:rsid w:val="004C1829"/>
    <w:rsid w:val="004C19C2"/>
    <w:rsid w:val="004C1B83"/>
    <w:rsid w:val="004C1C3B"/>
    <w:rsid w:val="004C2155"/>
    <w:rsid w:val="004C235A"/>
    <w:rsid w:val="004C24E3"/>
    <w:rsid w:val="004C2572"/>
    <w:rsid w:val="004C2726"/>
    <w:rsid w:val="004C2895"/>
    <w:rsid w:val="004C2B20"/>
    <w:rsid w:val="004C2BB5"/>
    <w:rsid w:val="004C2DC0"/>
    <w:rsid w:val="004C2EF8"/>
    <w:rsid w:val="004C302E"/>
    <w:rsid w:val="004C3125"/>
    <w:rsid w:val="004C3503"/>
    <w:rsid w:val="004C3535"/>
    <w:rsid w:val="004C39EA"/>
    <w:rsid w:val="004C3B71"/>
    <w:rsid w:val="004C3BDC"/>
    <w:rsid w:val="004C3C0D"/>
    <w:rsid w:val="004C4324"/>
    <w:rsid w:val="004C4400"/>
    <w:rsid w:val="004C445C"/>
    <w:rsid w:val="004C468C"/>
    <w:rsid w:val="004C49B4"/>
    <w:rsid w:val="004C4E43"/>
    <w:rsid w:val="004C50A8"/>
    <w:rsid w:val="004C515E"/>
    <w:rsid w:val="004C5185"/>
    <w:rsid w:val="004C519F"/>
    <w:rsid w:val="004C550A"/>
    <w:rsid w:val="004C57C7"/>
    <w:rsid w:val="004C5C7A"/>
    <w:rsid w:val="004C5CBA"/>
    <w:rsid w:val="004C5D46"/>
    <w:rsid w:val="004C5E91"/>
    <w:rsid w:val="004C5EAE"/>
    <w:rsid w:val="004C5FE3"/>
    <w:rsid w:val="004C6400"/>
    <w:rsid w:val="004C6625"/>
    <w:rsid w:val="004C6632"/>
    <w:rsid w:val="004C6719"/>
    <w:rsid w:val="004C6A4C"/>
    <w:rsid w:val="004C6B1C"/>
    <w:rsid w:val="004C6BDE"/>
    <w:rsid w:val="004C6CCE"/>
    <w:rsid w:val="004C6CDA"/>
    <w:rsid w:val="004C6E3B"/>
    <w:rsid w:val="004C6F96"/>
    <w:rsid w:val="004C712A"/>
    <w:rsid w:val="004C71A6"/>
    <w:rsid w:val="004C747B"/>
    <w:rsid w:val="004C7558"/>
    <w:rsid w:val="004C767E"/>
    <w:rsid w:val="004C7846"/>
    <w:rsid w:val="004C7FA7"/>
    <w:rsid w:val="004D00B2"/>
    <w:rsid w:val="004D0174"/>
    <w:rsid w:val="004D03FA"/>
    <w:rsid w:val="004D0457"/>
    <w:rsid w:val="004D070C"/>
    <w:rsid w:val="004D085D"/>
    <w:rsid w:val="004D0B2F"/>
    <w:rsid w:val="004D12DE"/>
    <w:rsid w:val="004D1346"/>
    <w:rsid w:val="004D1538"/>
    <w:rsid w:val="004D157B"/>
    <w:rsid w:val="004D165C"/>
    <w:rsid w:val="004D1680"/>
    <w:rsid w:val="004D1916"/>
    <w:rsid w:val="004D1ADD"/>
    <w:rsid w:val="004D1C74"/>
    <w:rsid w:val="004D1E50"/>
    <w:rsid w:val="004D2443"/>
    <w:rsid w:val="004D2806"/>
    <w:rsid w:val="004D292C"/>
    <w:rsid w:val="004D2930"/>
    <w:rsid w:val="004D2A34"/>
    <w:rsid w:val="004D2F1B"/>
    <w:rsid w:val="004D2F23"/>
    <w:rsid w:val="004D3049"/>
    <w:rsid w:val="004D31C7"/>
    <w:rsid w:val="004D3342"/>
    <w:rsid w:val="004D3627"/>
    <w:rsid w:val="004D3729"/>
    <w:rsid w:val="004D38E4"/>
    <w:rsid w:val="004D39A0"/>
    <w:rsid w:val="004D3A65"/>
    <w:rsid w:val="004D3C77"/>
    <w:rsid w:val="004D3D60"/>
    <w:rsid w:val="004D40DA"/>
    <w:rsid w:val="004D42C9"/>
    <w:rsid w:val="004D4383"/>
    <w:rsid w:val="004D43F9"/>
    <w:rsid w:val="004D467D"/>
    <w:rsid w:val="004D4788"/>
    <w:rsid w:val="004D47D6"/>
    <w:rsid w:val="004D4BD3"/>
    <w:rsid w:val="004D4FBF"/>
    <w:rsid w:val="004D501E"/>
    <w:rsid w:val="004D50C4"/>
    <w:rsid w:val="004D519E"/>
    <w:rsid w:val="004D5257"/>
    <w:rsid w:val="004D56F5"/>
    <w:rsid w:val="004D5782"/>
    <w:rsid w:val="004D57C0"/>
    <w:rsid w:val="004D57C7"/>
    <w:rsid w:val="004D5B04"/>
    <w:rsid w:val="004D5EAE"/>
    <w:rsid w:val="004D61C7"/>
    <w:rsid w:val="004D6459"/>
    <w:rsid w:val="004D66C8"/>
    <w:rsid w:val="004D681B"/>
    <w:rsid w:val="004D6B5E"/>
    <w:rsid w:val="004D6CF1"/>
    <w:rsid w:val="004D6CF5"/>
    <w:rsid w:val="004D6D86"/>
    <w:rsid w:val="004D6EE8"/>
    <w:rsid w:val="004D70C9"/>
    <w:rsid w:val="004D75E1"/>
    <w:rsid w:val="004D76C2"/>
    <w:rsid w:val="004D770F"/>
    <w:rsid w:val="004D797D"/>
    <w:rsid w:val="004D79C0"/>
    <w:rsid w:val="004D79FB"/>
    <w:rsid w:val="004D7A24"/>
    <w:rsid w:val="004D7A2B"/>
    <w:rsid w:val="004D7EC8"/>
    <w:rsid w:val="004D7F83"/>
    <w:rsid w:val="004D7F85"/>
    <w:rsid w:val="004E0089"/>
    <w:rsid w:val="004E0493"/>
    <w:rsid w:val="004E0830"/>
    <w:rsid w:val="004E09A1"/>
    <w:rsid w:val="004E09EB"/>
    <w:rsid w:val="004E09FC"/>
    <w:rsid w:val="004E0B52"/>
    <w:rsid w:val="004E0BA8"/>
    <w:rsid w:val="004E0DD5"/>
    <w:rsid w:val="004E0E5B"/>
    <w:rsid w:val="004E1009"/>
    <w:rsid w:val="004E1187"/>
    <w:rsid w:val="004E11EC"/>
    <w:rsid w:val="004E1302"/>
    <w:rsid w:val="004E148F"/>
    <w:rsid w:val="004E193A"/>
    <w:rsid w:val="004E1A2B"/>
    <w:rsid w:val="004E1E7A"/>
    <w:rsid w:val="004E1E89"/>
    <w:rsid w:val="004E20FD"/>
    <w:rsid w:val="004E2176"/>
    <w:rsid w:val="004E2336"/>
    <w:rsid w:val="004E246C"/>
    <w:rsid w:val="004E24D5"/>
    <w:rsid w:val="004E2523"/>
    <w:rsid w:val="004E2566"/>
    <w:rsid w:val="004E256F"/>
    <w:rsid w:val="004E271B"/>
    <w:rsid w:val="004E2883"/>
    <w:rsid w:val="004E2F37"/>
    <w:rsid w:val="004E2FE7"/>
    <w:rsid w:val="004E3232"/>
    <w:rsid w:val="004E348E"/>
    <w:rsid w:val="004E37BD"/>
    <w:rsid w:val="004E3A57"/>
    <w:rsid w:val="004E3B08"/>
    <w:rsid w:val="004E3B57"/>
    <w:rsid w:val="004E3EAD"/>
    <w:rsid w:val="004E406F"/>
    <w:rsid w:val="004E427F"/>
    <w:rsid w:val="004E460B"/>
    <w:rsid w:val="004E4671"/>
    <w:rsid w:val="004E467A"/>
    <w:rsid w:val="004E4710"/>
    <w:rsid w:val="004E473F"/>
    <w:rsid w:val="004E48CB"/>
    <w:rsid w:val="004E4928"/>
    <w:rsid w:val="004E493D"/>
    <w:rsid w:val="004E4B1F"/>
    <w:rsid w:val="004E4C1C"/>
    <w:rsid w:val="004E5058"/>
    <w:rsid w:val="004E5153"/>
    <w:rsid w:val="004E5222"/>
    <w:rsid w:val="004E5304"/>
    <w:rsid w:val="004E534C"/>
    <w:rsid w:val="004E596B"/>
    <w:rsid w:val="004E5BAE"/>
    <w:rsid w:val="004E5D82"/>
    <w:rsid w:val="004E5D8D"/>
    <w:rsid w:val="004E5E22"/>
    <w:rsid w:val="004E62D5"/>
    <w:rsid w:val="004E6476"/>
    <w:rsid w:val="004E64A7"/>
    <w:rsid w:val="004E64F3"/>
    <w:rsid w:val="004E6D83"/>
    <w:rsid w:val="004E73C3"/>
    <w:rsid w:val="004E758F"/>
    <w:rsid w:val="004E7A69"/>
    <w:rsid w:val="004E7ACB"/>
    <w:rsid w:val="004E7ADD"/>
    <w:rsid w:val="004E7C47"/>
    <w:rsid w:val="004E7CC4"/>
    <w:rsid w:val="004F02FA"/>
    <w:rsid w:val="004F1369"/>
    <w:rsid w:val="004F14DD"/>
    <w:rsid w:val="004F15B0"/>
    <w:rsid w:val="004F1663"/>
    <w:rsid w:val="004F1828"/>
    <w:rsid w:val="004F18C6"/>
    <w:rsid w:val="004F1C9C"/>
    <w:rsid w:val="004F20D0"/>
    <w:rsid w:val="004F2586"/>
    <w:rsid w:val="004F28F0"/>
    <w:rsid w:val="004F3A6A"/>
    <w:rsid w:val="004F3A90"/>
    <w:rsid w:val="004F3F66"/>
    <w:rsid w:val="004F4193"/>
    <w:rsid w:val="004F41CD"/>
    <w:rsid w:val="004F41FF"/>
    <w:rsid w:val="004F4288"/>
    <w:rsid w:val="004F428C"/>
    <w:rsid w:val="004F439C"/>
    <w:rsid w:val="004F440B"/>
    <w:rsid w:val="004F45A4"/>
    <w:rsid w:val="004F4625"/>
    <w:rsid w:val="004F490B"/>
    <w:rsid w:val="004F4989"/>
    <w:rsid w:val="004F4BF9"/>
    <w:rsid w:val="004F4C4B"/>
    <w:rsid w:val="004F4D13"/>
    <w:rsid w:val="004F4E48"/>
    <w:rsid w:val="004F4FC9"/>
    <w:rsid w:val="004F53D6"/>
    <w:rsid w:val="004F56C0"/>
    <w:rsid w:val="004F5A9B"/>
    <w:rsid w:val="004F5E4F"/>
    <w:rsid w:val="004F5E78"/>
    <w:rsid w:val="004F5EE6"/>
    <w:rsid w:val="004F6214"/>
    <w:rsid w:val="004F64DC"/>
    <w:rsid w:val="004F66F0"/>
    <w:rsid w:val="004F67FB"/>
    <w:rsid w:val="004F6838"/>
    <w:rsid w:val="004F6922"/>
    <w:rsid w:val="004F6CE0"/>
    <w:rsid w:val="004F6E2C"/>
    <w:rsid w:val="004F7336"/>
    <w:rsid w:val="004F75D9"/>
    <w:rsid w:val="004F7981"/>
    <w:rsid w:val="004F7A51"/>
    <w:rsid w:val="004F7A64"/>
    <w:rsid w:val="004F7A85"/>
    <w:rsid w:val="004F7E24"/>
    <w:rsid w:val="004F7FED"/>
    <w:rsid w:val="005000FE"/>
    <w:rsid w:val="0050056A"/>
    <w:rsid w:val="0050073A"/>
    <w:rsid w:val="00500796"/>
    <w:rsid w:val="00500B15"/>
    <w:rsid w:val="00500B28"/>
    <w:rsid w:val="00500CDD"/>
    <w:rsid w:val="00500D5B"/>
    <w:rsid w:val="00501279"/>
    <w:rsid w:val="005013A8"/>
    <w:rsid w:val="0050159F"/>
    <w:rsid w:val="00501710"/>
    <w:rsid w:val="00501888"/>
    <w:rsid w:val="00501BB2"/>
    <w:rsid w:val="00501F89"/>
    <w:rsid w:val="00501FF0"/>
    <w:rsid w:val="00502666"/>
    <w:rsid w:val="00502774"/>
    <w:rsid w:val="005028D6"/>
    <w:rsid w:val="00502DC1"/>
    <w:rsid w:val="00502FDF"/>
    <w:rsid w:val="00503034"/>
    <w:rsid w:val="0050310A"/>
    <w:rsid w:val="00503A6C"/>
    <w:rsid w:val="00503C55"/>
    <w:rsid w:val="005041F9"/>
    <w:rsid w:val="00504335"/>
    <w:rsid w:val="00504399"/>
    <w:rsid w:val="00504503"/>
    <w:rsid w:val="005047FF"/>
    <w:rsid w:val="005048A1"/>
    <w:rsid w:val="00504C25"/>
    <w:rsid w:val="00504CDA"/>
    <w:rsid w:val="00504CE6"/>
    <w:rsid w:val="005052C8"/>
    <w:rsid w:val="0050562F"/>
    <w:rsid w:val="005056E7"/>
    <w:rsid w:val="0050575A"/>
    <w:rsid w:val="00505C1E"/>
    <w:rsid w:val="00505E33"/>
    <w:rsid w:val="00505F67"/>
    <w:rsid w:val="005062F3"/>
    <w:rsid w:val="0050631A"/>
    <w:rsid w:val="0050671B"/>
    <w:rsid w:val="005068D0"/>
    <w:rsid w:val="005068E4"/>
    <w:rsid w:val="00506936"/>
    <w:rsid w:val="005069FF"/>
    <w:rsid w:val="00506B7D"/>
    <w:rsid w:val="00506BA8"/>
    <w:rsid w:val="00506CCE"/>
    <w:rsid w:val="00507230"/>
    <w:rsid w:val="0050791D"/>
    <w:rsid w:val="00507BE4"/>
    <w:rsid w:val="00507E9A"/>
    <w:rsid w:val="00507F5B"/>
    <w:rsid w:val="00510095"/>
    <w:rsid w:val="00510110"/>
    <w:rsid w:val="005101AD"/>
    <w:rsid w:val="005101CA"/>
    <w:rsid w:val="00510416"/>
    <w:rsid w:val="005107AC"/>
    <w:rsid w:val="005107C8"/>
    <w:rsid w:val="00510AC1"/>
    <w:rsid w:val="00510EC1"/>
    <w:rsid w:val="00510F92"/>
    <w:rsid w:val="005110C3"/>
    <w:rsid w:val="00511A37"/>
    <w:rsid w:val="00511D88"/>
    <w:rsid w:val="00512402"/>
    <w:rsid w:val="005124F4"/>
    <w:rsid w:val="00512689"/>
    <w:rsid w:val="00512A4E"/>
    <w:rsid w:val="00512D58"/>
    <w:rsid w:val="00512D92"/>
    <w:rsid w:val="00513767"/>
    <w:rsid w:val="00513C83"/>
    <w:rsid w:val="00513E36"/>
    <w:rsid w:val="0051400E"/>
    <w:rsid w:val="005142C1"/>
    <w:rsid w:val="005144EF"/>
    <w:rsid w:val="005146D0"/>
    <w:rsid w:val="005148BF"/>
    <w:rsid w:val="005148E0"/>
    <w:rsid w:val="0051497C"/>
    <w:rsid w:val="00514B6C"/>
    <w:rsid w:val="00514D44"/>
    <w:rsid w:val="00515000"/>
    <w:rsid w:val="00515447"/>
    <w:rsid w:val="005157A7"/>
    <w:rsid w:val="00515A47"/>
    <w:rsid w:val="00515EBB"/>
    <w:rsid w:val="005161FD"/>
    <w:rsid w:val="005163D6"/>
    <w:rsid w:val="005164F5"/>
    <w:rsid w:val="0051684B"/>
    <w:rsid w:val="005168AC"/>
    <w:rsid w:val="005168EE"/>
    <w:rsid w:val="00516A1C"/>
    <w:rsid w:val="00516E13"/>
    <w:rsid w:val="00516FD7"/>
    <w:rsid w:val="0051708D"/>
    <w:rsid w:val="005170C9"/>
    <w:rsid w:val="00517190"/>
    <w:rsid w:val="005172DA"/>
    <w:rsid w:val="005172DD"/>
    <w:rsid w:val="0051730A"/>
    <w:rsid w:val="0051748E"/>
    <w:rsid w:val="00517653"/>
    <w:rsid w:val="00517CF9"/>
    <w:rsid w:val="00517DB4"/>
    <w:rsid w:val="00517E35"/>
    <w:rsid w:val="00517E40"/>
    <w:rsid w:val="00517E98"/>
    <w:rsid w:val="00517F89"/>
    <w:rsid w:val="005203E4"/>
    <w:rsid w:val="005205E1"/>
    <w:rsid w:val="00520641"/>
    <w:rsid w:val="00520810"/>
    <w:rsid w:val="00520E89"/>
    <w:rsid w:val="00520F09"/>
    <w:rsid w:val="0052108A"/>
    <w:rsid w:val="005216C1"/>
    <w:rsid w:val="005216F4"/>
    <w:rsid w:val="00521701"/>
    <w:rsid w:val="00521ABD"/>
    <w:rsid w:val="00521B0C"/>
    <w:rsid w:val="00521C38"/>
    <w:rsid w:val="00521D31"/>
    <w:rsid w:val="00521DCE"/>
    <w:rsid w:val="00521E65"/>
    <w:rsid w:val="00521F1E"/>
    <w:rsid w:val="00522162"/>
    <w:rsid w:val="005226D7"/>
    <w:rsid w:val="00522D13"/>
    <w:rsid w:val="00523329"/>
    <w:rsid w:val="005234CE"/>
    <w:rsid w:val="00523C5D"/>
    <w:rsid w:val="00523CA2"/>
    <w:rsid w:val="00523FA7"/>
    <w:rsid w:val="005245EC"/>
    <w:rsid w:val="00524C15"/>
    <w:rsid w:val="005250F7"/>
    <w:rsid w:val="005255AC"/>
    <w:rsid w:val="00525644"/>
    <w:rsid w:val="005257D0"/>
    <w:rsid w:val="00525863"/>
    <w:rsid w:val="0052590A"/>
    <w:rsid w:val="00525C44"/>
    <w:rsid w:val="00525C93"/>
    <w:rsid w:val="005260E2"/>
    <w:rsid w:val="00526133"/>
    <w:rsid w:val="00526A4A"/>
    <w:rsid w:val="00526B59"/>
    <w:rsid w:val="00527409"/>
    <w:rsid w:val="00527A2B"/>
    <w:rsid w:val="00527E10"/>
    <w:rsid w:val="00527EEF"/>
    <w:rsid w:val="00527F87"/>
    <w:rsid w:val="005306A2"/>
    <w:rsid w:val="005309C4"/>
    <w:rsid w:val="00530DC6"/>
    <w:rsid w:val="00530E02"/>
    <w:rsid w:val="00531050"/>
    <w:rsid w:val="00531283"/>
    <w:rsid w:val="00531676"/>
    <w:rsid w:val="00531928"/>
    <w:rsid w:val="005319ED"/>
    <w:rsid w:val="005319FE"/>
    <w:rsid w:val="00531A5B"/>
    <w:rsid w:val="00531BB6"/>
    <w:rsid w:val="00531D41"/>
    <w:rsid w:val="00531E71"/>
    <w:rsid w:val="00531EEB"/>
    <w:rsid w:val="00531FBE"/>
    <w:rsid w:val="00531FCD"/>
    <w:rsid w:val="00532466"/>
    <w:rsid w:val="00532715"/>
    <w:rsid w:val="00532852"/>
    <w:rsid w:val="00532A67"/>
    <w:rsid w:val="00532C62"/>
    <w:rsid w:val="00532CD1"/>
    <w:rsid w:val="00532ED4"/>
    <w:rsid w:val="0053321F"/>
    <w:rsid w:val="00533358"/>
    <w:rsid w:val="005333DD"/>
    <w:rsid w:val="005334C8"/>
    <w:rsid w:val="005337C2"/>
    <w:rsid w:val="00533802"/>
    <w:rsid w:val="00533C5D"/>
    <w:rsid w:val="00533D6B"/>
    <w:rsid w:val="0053422C"/>
    <w:rsid w:val="005347D4"/>
    <w:rsid w:val="00534E1B"/>
    <w:rsid w:val="00534F27"/>
    <w:rsid w:val="00534F57"/>
    <w:rsid w:val="005351E3"/>
    <w:rsid w:val="00535247"/>
    <w:rsid w:val="005352EC"/>
    <w:rsid w:val="00535636"/>
    <w:rsid w:val="00535829"/>
    <w:rsid w:val="005359D0"/>
    <w:rsid w:val="00535F8A"/>
    <w:rsid w:val="00535F94"/>
    <w:rsid w:val="00536533"/>
    <w:rsid w:val="0053675E"/>
    <w:rsid w:val="0053691F"/>
    <w:rsid w:val="00536E24"/>
    <w:rsid w:val="00537023"/>
    <w:rsid w:val="00537046"/>
    <w:rsid w:val="0053733C"/>
    <w:rsid w:val="0053787F"/>
    <w:rsid w:val="00537ED9"/>
    <w:rsid w:val="00540417"/>
    <w:rsid w:val="0054042A"/>
    <w:rsid w:val="00540477"/>
    <w:rsid w:val="00540534"/>
    <w:rsid w:val="00540591"/>
    <w:rsid w:val="00540726"/>
    <w:rsid w:val="00540A7F"/>
    <w:rsid w:val="00540C99"/>
    <w:rsid w:val="00540E0C"/>
    <w:rsid w:val="00541042"/>
    <w:rsid w:val="00541070"/>
    <w:rsid w:val="005412CC"/>
    <w:rsid w:val="005413BA"/>
    <w:rsid w:val="00541508"/>
    <w:rsid w:val="00541641"/>
    <w:rsid w:val="0054176B"/>
    <w:rsid w:val="0054194B"/>
    <w:rsid w:val="00541951"/>
    <w:rsid w:val="00541A0A"/>
    <w:rsid w:val="00542409"/>
    <w:rsid w:val="00542632"/>
    <w:rsid w:val="005429F6"/>
    <w:rsid w:val="005430BE"/>
    <w:rsid w:val="005430DA"/>
    <w:rsid w:val="005439B0"/>
    <w:rsid w:val="00543AC6"/>
    <w:rsid w:val="00543C40"/>
    <w:rsid w:val="005440DF"/>
    <w:rsid w:val="005441A5"/>
    <w:rsid w:val="00544255"/>
    <w:rsid w:val="00544653"/>
    <w:rsid w:val="0054487D"/>
    <w:rsid w:val="00544B4C"/>
    <w:rsid w:val="00544B5F"/>
    <w:rsid w:val="00544C88"/>
    <w:rsid w:val="00544E33"/>
    <w:rsid w:val="005450BE"/>
    <w:rsid w:val="00545164"/>
    <w:rsid w:val="0054516C"/>
    <w:rsid w:val="005452D0"/>
    <w:rsid w:val="005453A5"/>
    <w:rsid w:val="005455FF"/>
    <w:rsid w:val="00545F92"/>
    <w:rsid w:val="005461A6"/>
    <w:rsid w:val="0054644C"/>
    <w:rsid w:val="00546753"/>
    <w:rsid w:val="0054683B"/>
    <w:rsid w:val="00546963"/>
    <w:rsid w:val="005469D6"/>
    <w:rsid w:val="00546B09"/>
    <w:rsid w:val="005470C9"/>
    <w:rsid w:val="005472C8"/>
    <w:rsid w:val="00547363"/>
    <w:rsid w:val="005473C7"/>
    <w:rsid w:val="00547503"/>
    <w:rsid w:val="005475ED"/>
    <w:rsid w:val="00547619"/>
    <w:rsid w:val="005476ED"/>
    <w:rsid w:val="005476F2"/>
    <w:rsid w:val="0054788A"/>
    <w:rsid w:val="00547E9B"/>
    <w:rsid w:val="00547EB1"/>
    <w:rsid w:val="005503E9"/>
    <w:rsid w:val="00550844"/>
    <w:rsid w:val="00550B6C"/>
    <w:rsid w:val="00550DD7"/>
    <w:rsid w:val="005510E9"/>
    <w:rsid w:val="0055113C"/>
    <w:rsid w:val="00551275"/>
    <w:rsid w:val="0055153D"/>
    <w:rsid w:val="00551566"/>
    <w:rsid w:val="00551899"/>
    <w:rsid w:val="005518A2"/>
    <w:rsid w:val="00551A1E"/>
    <w:rsid w:val="00551CA4"/>
    <w:rsid w:val="00551E77"/>
    <w:rsid w:val="00551FC0"/>
    <w:rsid w:val="00552297"/>
    <w:rsid w:val="005524F6"/>
    <w:rsid w:val="005529DF"/>
    <w:rsid w:val="00552A0D"/>
    <w:rsid w:val="00552A7C"/>
    <w:rsid w:val="00552B69"/>
    <w:rsid w:val="00552C3C"/>
    <w:rsid w:val="00552C5A"/>
    <w:rsid w:val="00552DAB"/>
    <w:rsid w:val="00552DC2"/>
    <w:rsid w:val="00552E14"/>
    <w:rsid w:val="0055309F"/>
    <w:rsid w:val="0055312D"/>
    <w:rsid w:val="0055316D"/>
    <w:rsid w:val="005536E6"/>
    <w:rsid w:val="00553ADC"/>
    <w:rsid w:val="00553C48"/>
    <w:rsid w:val="00553ED8"/>
    <w:rsid w:val="005540FE"/>
    <w:rsid w:val="005545B4"/>
    <w:rsid w:val="00554709"/>
    <w:rsid w:val="005549FB"/>
    <w:rsid w:val="00554A81"/>
    <w:rsid w:val="00554CB9"/>
    <w:rsid w:val="00554CC9"/>
    <w:rsid w:val="00554D44"/>
    <w:rsid w:val="005552E9"/>
    <w:rsid w:val="005557A1"/>
    <w:rsid w:val="00555824"/>
    <w:rsid w:val="005559BD"/>
    <w:rsid w:val="00555BAD"/>
    <w:rsid w:val="00555EAB"/>
    <w:rsid w:val="00555F96"/>
    <w:rsid w:val="0055608C"/>
    <w:rsid w:val="005560ED"/>
    <w:rsid w:val="005560F1"/>
    <w:rsid w:val="0055622F"/>
    <w:rsid w:val="00556254"/>
    <w:rsid w:val="0055644F"/>
    <w:rsid w:val="005564C7"/>
    <w:rsid w:val="0055662E"/>
    <w:rsid w:val="00556674"/>
    <w:rsid w:val="00556B17"/>
    <w:rsid w:val="00556E26"/>
    <w:rsid w:val="005573F7"/>
    <w:rsid w:val="00557408"/>
    <w:rsid w:val="005577AA"/>
    <w:rsid w:val="0055785A"/>
    <w:rsid w:val="00557B26"/>
    <w:rsid w:val="00557C9B"/>
    <w:rsid w:val="00560563"/>
    <w:rsid w:val="0056089B"/>
    <w:rsid w:val="00560C21"/>
    <w:rsid w:val="00560F2A"/>
    <w:rsid w:val="00560FBC"/>
    <w:rsid w:val="00561062"/>
    <w:rsid w:val="005610F1"/>
    <w:rsid w:val="005612B5"/>
    <w:rsid w:val="00561652"/>
    <w:rsid w:val="0056181F"/>
    <w:rsid w:val="00561AE4"/>
    <w:rsid w:val="00561BD7"/>
    <w:rsid w:val="00561E57"/>
    <w:rsid w:val="005621ED"/>
    <w:rsid w:val="0056227F"/>
    <w:rsid w:val="005623A9"/>
    <w:rsid w:val="0056273D"/>
    <w:rsid w:val="0056294A"/>
    <w:rsid w:val="00562C76"/>
    <w:rsid w:val="005631EC"/>
    <w:rsid w:val="0056321E"/>
    <w:rsid w:val="005632D1"/>
    <w:rsid w:val="005635BD"/>
    <w:rsid w:val="005635E9"/>
    <w:rsid w:val="00563F6F"/>
    <w:rsid w:val="00563FCF"/>
    <w:rsid w:val="005640CD"/>
    <w:rsid w:val="005641F4"/>
    <w:rsid w:val="00564438"/>
    <w:rsid w:val="005644A3"/>
    <w:rsid w:val="00564B17"/>
    <w:rsid w:val="00564DB0"/>
    <w:rsid w:val="00564E61"/>
    <w:rsid w:val="005650B5"/>
    <w:rsid w:val="0056568A"/>
    <w:rsid w:val="00565909"/>
    <w:rsid w:val="0056596A"/>
    <w:rsid w:val="00565B2E"/>
    <w:rsid w:val="005661E2"/>
    <w:rsid w:val="00566430"/>
    <w:rsid w:val="0056653E"/>
    <w:rsid w:val="00566835"/>
    <w:rsid w:val="005668C7"/>
    <w:rsid w:val="00566CD5"/>
    <w:rsid w:val="00566D14"/>
    <w:rsid w:val="00567096"/>
    <w:rsid w:val="0056751B"/>
    <w:rsid w:val="00567547"/>
    <w:rsid w:val="00567A1B"/>
    <w:rsid w:val="00567AA6"/>
    <w:rsid w:val="00567AAA"/>
    <w:rsid w:val="00567AF1"/>
    <w:rsid w:val="00567E4B"/>
    <w:rsid w:val="00570326"/>
    <w:rsid w:val="00570515"/>
    <w:rsid w:val="0057059F"/>
    <w:rsid w:val="00570DC8"/>
    <w:rsid w:val="00570E91"/>
    <w:rsid w:val="00571764"/>
    <w:rsid w:val="005718FE"/>
    <w:rsid w:val="00571A57"/>
    <w:rsid w:val="00571AD7"/>
    <w:rsid w:val="00571B35"/>
    <w:rsid w:val="00571D0B"/>
    <w:rsid w:val="00571DB0"/>
    <w:rsid w:val="005721E6"/>
    <w:rsid w:val="005727E2"/>
    <w:rsid w:val="005728B6"/>
    <w:rsid w:val="00572973"/>
    <w:rsid w:val="00572996"/>
    <w:rsid w:val="00572D38"/>
    <w:rsid w:val="00572EB9"/>
    <w:rsid w:val="00572F9F"/>
    <w:rsid w:val="0057339A"/>
    <w:rsid w:val="00573965"/>
    <w:rsid w:val="00573DDD"/>
    <w:rsid w:val="00573F1B"/>
    <w:rsid w:val="00574185"/>
    <w:rsid w:val="005744A5"/>
    <w:rsid w:val="0057467A"/>
    <w:rsid w:val="005746C7"/>
    <w:rsid w:val="005748F2"/>
    <w:rsid w:val="00574A8A"/>
    <w:rsid w:val="00574B01"/>
    <w:rsid w:val="00574B07"/>
    <w:rsid w:val="00574B31"/>
    <w:rsid w:val="0057502B"/>
    <w:rsid w:val="005750A6"/>
    <w:rsid w:val="00575226"/>
    <w:rsid w:val="005756E0"/>
    <w:rsid w:val="005756EE"/>
    <w:rsid w:val="005758A3"/>
    <w:rsid w:val="00575911"/>
    <w:rsid w:val="00575B7A"/>
    <w:rsid w:val="00575CF3"/>
    <w:rsid w:val="00575CF9"/>
    <w:rsid w:val="0057616A"/>
    <w:rsid w:val="00576448"/>
    <w:rsid w:val="0057648E"/>
    <w:rsid w:val="005768D8"/>
    <w:rsid w:val="00576A16"/>
    <w:rsid w:val="00576D7A"/>
    <w:rsid w:val="00576E98"/>
    <w:rsid w:val="00576EF0"/>
    <w:rsid w:val="00577209"/>
    <w:rsid w:val="0057725A"/>
    <w:rsid w:val="005772AD"/>
    <w:rsid w:val="0057759F"/>
    <w:rsid w:val="00577CD6"/>
    <w:rsid w:val="00577F39"/>
    <w:rsid w:val="005801D6"/>
    <w:rsid w:val="005802BA"/>
    <w:rsid w:val="0058041A"/>
    <w:rsid w:val="0058064E"/>
    <w:rsid w:val="00580A13"/>
    <w:rsid w:val="00580D10"/>
    <w:rsid w:val="00580D18"/>
    <w:rsid w:val="00580FFE"/>
    <w:rsid w:val="00581016"/>
    <w:rsid w:val="00581150"/>
    <w:rsid w:val="005812B5"/>
    <w:rsid w:val="0058186B"/>
    <w:rsid w:val="005818E2"/>
    <w:rsid w:val="00581ED3"/>
    <w:rsid w:val="00582791"/>
    <w:rsid w:val="0058286E"/>
    <w:rsid w:val="00582B87"/>
    <w:rsid w:val="00582CBE"/>
    <w:rsid w:val="00582D27"/>
    <w:rsid w:val="00582E99"/>
    <w:rsid w:val="00582EE1"/>
    <w:rsid w:val="00583063"/>
    <w:rsid w:val="005833E4"/>
    <w:rsid w:val="00583488"/>
    <w:rsid w:val="0058367B"/>
    <w:rsid w:val="00583A0E"/>
    <w:rsid w:val="00583B60"/>
    <w:rsid w:val="0058415B"/>
    <w:rsid w:val="0058416E"/>
    <w:rsid w:val="0058431B"/>
    <w:rsid w:val="005844C2"/>
    <w:rsid w:val="00584672"/>
    <w:rsid w:val="00584A42"/>
    <w:rsid w:val="00584A82"/>
    <w:rsid w:val="00584B3D"/>
    <w:rsid w:val="00584F38"/>
    <w:rsid w:val="00585008"/>
    <w:rsid w:val="00585195"/>
    <w:rsid w:val="00585211"/>
    <w:rsid w:val="005852EF"/>
    <w:rsid w:val="0058537B"/>
    <w:rsid w:val="00585462"/>
    <w:rsid w:val="0058569E"/>
    <w:rsid w:val="00585869"/>
    <w:rsid w:val="00585F11"/>
    <w:rsid w:val="00585F48"/>
    <w:rsid w:val="00585F87"/>
    <w:rsid w:val="005861A8"/>
    <w:rsid w:val="00586427"/>
    <w:rsid w:val="005866FE"/>
    <w:rsid w:val="0058681B"/>
    <w:rsid w:val="00586CDD"/>
    <w:rsid w:val="00586D55"/>
    <w:rsid w:val="00587097"/>
    <w:rsid w:val="005873EE"/>
    <w:rsid w:val="00587526"/>
    <w:rsid w:val="00587899"/>
    <w:rsid w:val="00587A29"/>
    <w:rsid w:val="00587B53"/>
    <w:rsid w:val="00587B97"/>
    <w:rsid w:val="00587C24"/>
    <w:rsid w:val="00587C3A"/>
    <w:rsid w:val="00587E7E"/>
    <w:rsid w:val="00590027"/>
    <w:rsid w:val="0059008E"/>
    <w:rsid w:val="005902B2"/>
    <w:rsid w:val="00590682"/>
    <w:rsid w:val="005906EE"/>
    <w:rsid w:val="00590AB3"/>
    <w:rsid w:val="00590C82"/>
    <w:rsid w:val="00590D19"/>
    <w:rsid w:val="00590D7C"/>
    <w:rsid w:val="00590EB8"/>
    <w:rsid w:val="005912E5"/>
    <w:rsid w:val="005915E4"/>
    <w:rsid w:val="0059199B"/>
    <w:rsid w:val="00591E9E"/>
    <w:rsid w:val="0059245C"/>
    <w:rsid w:val="005924A8"/>
    <w:rsid w:val="0059282A"/>
    <w:rsid w:val="00592849"/>
    <w:rsid w:val="00592969"/>
    <w:rsid w:val="00592AB3"/>
    <w:rsid w:val="00592D29"/>
    <w:rsid w:val="00593002"/>
    <w:rsid w:val="0059317C"/>
    <w:rsid w:val="005931E4"/>
    <w:rsid w:val="0059329E"/>
    <w:rsid w:val="005932EF"/>
    <w:rsid w:val="005934BC"/>
    <w:rsid w:val="0059370D"/>
    <w:rsid w:val="0059379E"/>
    <w:rsid w:val="00593841"/>
    <w:rsid w:val="00593BC3"/>
    <w:rsid w:val="00593EC5"/>
    <w:rsid w:val="00594465"/>
    <w:rsid w:val="005944DF"/>
    <w:rsid w:val="005944E2"/>
    <w:rsid w:val="00594799"/>
    <w:rsid w:val="00594AEC"/>
    <w:rsid w:val="00594EBE"/>
    <w:rsid w:val="0059534B"/>
    <w:rsid w:val="00595D9D"/>
    <w:rsid w:val="00595E11"/>
    <w:rsid w:val="00596021"/>
    <w:rsid w:val="00596165"/>
    <w:rsid w:val="005964E3"/>
    <w:rsid w:val="00596BDC"/>
    <w:rsid w:val="00596F28"/>
    <w:rsid w:val="0059754E"/>
    <w:rsid w:val="00597561"/>
    <w:rsid w:val="005977A0"/>
    <w:rsid w:val="005978F8"/>
    <w:rsid w:val="00597FD8"/>
    <w:rsid w:val="005A0169"/>
    <w:rsid w:val="005A01EA"/>
    <w:rsid w:val="005A0332"/>
    <w:rsid w:val="005A04C3"/>
    <w:rsid w:val="005A0698"/>
    <w:rsid w:val="005A07BC"/>
    <w:rsid w:val="005A07C3"/>
    <w:rsid w:val="005A0C44"/>
    <w:rsid w:val="005A114E"/>
    <w:rsid w:val="005A1599"/>
    <w:rsid w:val="005A185C"/>
    <w:rsid w:val="005A1D5C"/>
    <w:rsid w:val="005A1DC1"/>
    <w:rsid w:val="005A1DEF"/>
    <w:rsid w:val="005A2184"/>
    <w:rsid w:val="005A2326"/>
    <w:rsid w:val="005A233F"/>
    <w:rsid w:val="005A2B09"/>
    <w:rsid w:val="005A2C47"/>
    <w:rsid w:val="005A305D"/>
    <w:rsid w:val="005A345A"/>
    <w:rsid w:val="005A3B05"/>
    <w:rsid w:val="005A3C32"/>
    <w:rsid w:val="005A3CC6"/>
    <w:rsid w:val="005A3D0F"/>
    <w:rsid w:val="005A40FA"/>
    <w:rsid w:val="005A4349"/>
    <w:rsid w:val="005A476D"/>
    <w:rsid w:val="005A47A2"/>
    <w:rsid w:val="005A4B2C"/>
    <w:rsid w:val="005A4C89"/>
    <w:rsid w:val="005A5084"/>
    <w:rsid w:val="005A532A"/>
    <w:rsid w:val="005A559D"/>
    <w:rsid w:val="005A562B"/>
    <w:rsid w:val="005A575A"/>
    <w:rsid w:val="005A577F"/>
    <w:rsid w:val="005A595F"/>
    <w:rsid w:val="005A5ABE"/>
    <w:rsid w:val="005A5CCE"/>
    <w:rsid w:val="005A5FA7"/>
    <w:rsid w:val="005A60E5"/>
    <w:rsid w:val="005A625D"/>
    <w:rsid w:val="005A695F"/>
    <w:rsid w:val="005A6E85"/>
    <w:rsid w:val="005A6EAF"/>
    <w:rsid w:val="005A702D"/>
    <w:rsid w:val="005A768C"/>
    <w:rsid w:val="005A7AEF"/>
    <w:rsid w:val="005A7CD3"/>
    <w:rsid w:val="005A7D8B"/>
    <w:rsid w:val="005A7EF0"/>
    <w:rsid w:val="005A7F5F"/>
    <w:rsid w:val="005B05BD"/>
    <w:rsid w:val="005B06CF"/>
    <w:rsid w:val="005B0A60"/>
    <w:rsid w:val="005B0B2E"/>
    <w:rsid w:val="005B0BC5"/>
    <w:rsid w:val="005B0CDA"/>
    <w:rsid w:val="005B0D77"/>
    <w:rsid w:val="005B1020"/>
    <w:rsid w:val="005B10A7"/>
    <w:rsid w:val="005B1254"/>
    <w:rsid w:val="005B137B"/>
    <w:rsid w:val="005B152D"/>
    <w:rsid w:val="005B19BF"/>
    <w:rsid w:val="005B1A00"/>
    <w:rsid w:val="005B23C8"/>
    <w:rsid w:val="005B23E1"/>
    <w:rsid w:val="005B245C"/>
    <w:rsid w:val="005B2512"/>
    <w:rsid w:val="005B26FA"/>
    <w:rsid w:val="005B270C"/>
    <w:rsid w:val="005B2819"/>
    <w:rsid w:val="005B2D89"/>
    <w:rsid w:val="005B2DFB"/>
    <w:rsid w:val="005B3411"/>
    <w:rsid w:val="005B347B"/>
    <w:rsid w:val="005B34B3"/>
    <w:rsid w:val="005B34D2"/>
    <w:rsid w:val="005B36E7"/>
    <w:rsid w:val="005B3B1F"/>
    <w:rsid w:val="005B3C34"/>
    <w:rsid w:val="005B3ECE"/>
    <w:rsid w:val="005B3ED8"/>
    <w:rsid w:val="005B400B"/>
    <w:rsid w:val="005B40C2"/>
    <w:rsid w:val="005B41CA"/>
    <w:rsid w:val="005B427B"/>
    <w:rsid w:val="005B49E3"/>
    <w:rsid w:val="005B4BCD"/>
    <w:rsid w:val="005B5158"/>
    <w:rsid w:val="005B5350"/>
    <w:rsid w:val="005B54B3"/>
    <w:rsid w:val="005B58A0"/>
    <w:rsid w:val="005B5C14"/>
    <w:rsid w:val="005B661F"/>
    <w:rsid w:val="005B67C1"/>
    <w:rsid w:val="005B6DE4"/>
    <w:rsid w:val="005B6F16"/>
    <w:rsid w:val="005B6F2B"/>
    <w:rsid w:val="005B7002"/>
    <w:rsid w:val="005B7176"/>
    <w:rsid w:val="005B7181"/>
    <w:rsid w:val="005B7382"/>
    <w:rsid w:val="005B74E5"/>
    <w:rsid w:val="005B7551"/>
    <w:rsid w:val="005B7D23"/>
    <w:rsid w:val="005B7FA3"/>
    <w:rsid w:val="005C03E3"/>
    <w:rsid w:val="005C05CD"/>
    <w:rsid w:val="005C0780"/>
    <w:rsid w:val="005C07EB"/>
    <w:rsid w:val="005C085C"/>
    <w:rsid w:val="005C088A"/>
    <w:rsid w:val="005C0D30"/>
    <w:rsid w:val="005C106B"/>
    <w:rsid w:val="005C1158"/>
    <w:rsid w:val="005C11D4"/>
    <w:rsid w:val="005C1468"/>
    <w:rsid w:val="005C195F"/>
    <w:rsid w:val="005C1AB8"/>
    <w:rsid w:val="005C1B95"/>
    <w:rsid w:val="005C1EE9"/>
    <w:rsid w:val="005C234E"/>
    <w:rsid w:val="005C23BE"/>
    <w:rsid w:val="005C258B"/>
    <w:rsid w:val="005C25A4"/>
    <w:rsid w:val="005C267C"/>
    <w:rsid w:val="005C28F4"/>
    <w:rsid w:val="005C2B1A"/>
    <w:rsid w:val="005C2BB6"/>
    <w:rsid w:val="005C2DD6"/>
    <w:rsid w:val="005C30A6"/>
    <w:rsid w:val="005C3181"/>
    <w:rsid w:val="005C3773"/>
    <w:rsid w:val="005C3886"/>
    <w:rsid w:val="005C390F"/>
    <w:rsid w:val="005C3C03"/>
    <w:rsid w:val="005C3D09"/>
    <w:rsid w:val="005C4175"/>
    <w:rsid w:val="005C432D"/>
    <w:rsid w:val="005C4548"/>
    <w:rsid w:val="005C4B36"/>
    <w:rsid w:val="005C4C90"/>
    <w:rsid w:val="005C4D36"/>
    <w:rsid w:val="005C510A"/>
    <w:rsid w:val="005C520F"/>
    <w:rsid w:val="005C5306"/>
    <w:rsid w:val="005C54F9"/>
    <w:rsid w:val="005C5649"/>
    <w:rsid w:val="005C567C"/>
    <w:rsid w:val="005C5874"/>
    <w:rsid w:val="005C58EA"/>
    <w:rsid w:val="005C5B58"/>
    <w:rsid w:val="005C5B6F"/>
    <w:rsid w:val="005C5C1E"/>
    <w:rsid w:val="005C5C39"/>
    <w:rsid w:val="005C610D"/>
    <w:rsid w:val="005C6121"/>
    <w:rsid w:val="005C646C"/>
    <w:rsid w:val="005C6548"/>
    <w:rsid w:val="005C65AC"/>
    <w:rsid w:val="005C668B"/>
    <w:rsid w:val="005C6867"/>
    <w:rsid w:val="005C6871"/>
    <w:rsid w:val="005C690C"/>
    <w:rsid w:val="005C692D"/>
    <w:rsid w:val="005C695C"/>
    <w:rsid w:val="005C6BD2"/>
    <w:rsid w:val="005C6C24"/>
    <w:rsid w:val="005C6C30"/>
    <w:rsid w:val="005C6C3D"/>
    <w:rsid w:val="005C6D04"/>
    <w:rsid w:val="005C6ECB"/>
    <w:rsid w:val="005C6F7D"/>
    <w:rsid w:val="005C709A"/>
    <w:rsid w:val="005C72E7"/>
    <w:rsid w:val="005C74B7"/>
    <w:rsid w:val="005C75D3"/>
    <w:rsid w:val="005C7A87"/>
    <w:rsid w:val="005C7AFF"/>
    <w:rsid w:val="005C7DEA"/>
    <w:rsid w:val="005D01EA"/>
    <w:rsid w:val="005D09E3"/>
    <w:rsid w:val="005D0AFC"/>
    <w:rsid w:val="005D0B4F"/>
    <w:rsid w:val="005D0B98"/>
    <w:rsid w:val="005D0C69"/>
    <w:rsid w:val="005D0CF2"/>
    <w:rsid w:val="005D0DB0"/>
    <w:rsid w:val="005D0E97"/>
    <w:rsid w:val="005D0FFC"/>
    <w:rsid w:val="005D1073"/>
    <w:rsid w:val="005D193E"/>
    <w:rsid w:val="005D1961"/>
    <w:rsid w:val="005D1E11"/>
    <w:rsid w:val="005D1E8E"/>
    <w:rsid w:val="005D1F15"/>
    <w:rsid w:val="005D22A7"/>
    <w:rsid w:val="005D2434"/>
    <w:rsid w:val="005D24AE"/>
    <w:rsid w:val="005D261F"/>
    <w:rsid w:val="005D26B0"/>
    <w:rsid w:val="005D26F8"/>
    <w:rsid w:val="005D275E"/>
    <w:rsid w:val="005D28D7"/>
    <w:rsid w:val="005D299F"/>
    <w:rsid w:val="005D29C8"/>
    <w:rsid w:val="005D2C20"/>
    <w:rsid w:val="005D3229"/>
    <w:rsid w:val="005D33B9"/>
    <w:rsid w:val="005D34E9"/>
    <w:rsid w:val="005D35EA"/>
    <w:rsid w:val="005D3659"/>
    <w:rsid w:val="005D37E4"/>
    <w:rsid w:val="005D3A16"/>
    <w:rsid w:val="005D3B74"/>
    <w:rsid w:val="005D42CB"/>
    <w:rsid w:val="005D4531"/>
    <w:rsid w:val="005D485B"/>
    <w:rsid w:val="005D4A5F"/>
    <w:rsid w:val="005D4C28"/>
    <w:rsid w:val="005D4E7F"/>
    <w:rsid w:val="005D505B"/>
    <w:rsid w:val="005D50D6"/>
    <w:rsid w:val="005D5100"/>
    <w:rsid w:val="005D5356"/>
    <w:rsid w:val="005D53E5"/>
    <w:rsid w:val="005D558C"/>
    <w:rsid w:val="005D58C7"/>
    <w:rsid w:val="005D5941"/>
    <w:rsid w:val="005D5AB4"/>
    <w:rsid w:val="005D5C6B"/>
    <w:rsid w:val="005D5DEE"/>
    <w:rsid w:val="005D5F9D"/>
    <w:rsid w:val="005D601E"/>
    <w:rsid w:val="005D653E"/>
    <w:rsid w:val="005D66B5"/>
    <w:rsid w:val="005D6A0E"/>
    <w:rsid w:val="005D6C02"/>
    <w:rsid w:val="005D6F64"/>
    <w:rsid w:val="005D6FF1"/>
    <w:rsid w:val="005D7085"/>
    <w:rsid w:val="005D72F2"/>
    <w:rsid w:val="005D775E"/>
    <w:rsid w:val="005D78E4"/>
    <w:rsid w:val="005D7A04"/>
    <w:rsid w:val="005D7B0B"/>
    <w:rsid w:val="005D7C21"/>
    <w:rsid w:val="005D7E3E"/>
    <w:rsid w:val="005E0526"/>
    <w:rsid w:val="005E057D"/>
    <w:rsid w:val="005E0863"/>
    <w:rsid w:val="005E0A2A"/>
    <w:rsid w:val="005E0F98"/>
    <w:rsid w:val="005E1194"/>
    <w:rsid w:val="005E1206"/>
    <w:rsid w:val="005E1933"/>
    <w:rsid w:val="005E1935"/>
    <w:rsid w:val="005E1C60"/>
    <w:rsid w:val="005E1C83"/>
    <w:rsid w:val="005E1D30"/>
    <w:rsid w:val="005E22C9"/>
    <w:rsid w:val="005E2417"/>
    <w:rsid w:val="005E24B9"/>
    <w:rsid w:val="005E2B2D"/>
    <w:rsid w:val="005E2C7F"/>
    <w:rsid w:val="005E2E1F"/>
    <w:rsid w:val="005E2F40"/>
    <w:rsid w:val="005E3963"/>
    <w:rsid w:val="005E3AF7"/>
    <w:rsid w:val="005E420A"/>
    <w:rsid w:val="005E424E"/>
    <w:rsid w:val="005E4371"/>
    <w:rsid w:val="005E4505"/>
    <w:rsid w:val="005E4582"/>
    <w:rsid w:val="005E45F5"/>
    <w:rsid w:val="005E46A0"/>
    <w:rsid w:val="005E4AAF"/>
    <w:rsid w:val="005E4C19"/>
    <w:rsid w:val="005E4CDF"/>
    <w:rsid w:val="005E4D20"/>
    <w:rsid w:val="005E4DE5"/>
    <w:rsid w:val="005E547C"/>
    <w:rsid w:val="005E56EA"/>
    <w:rsid w:val="005E599A"/>
    <w:rsid w:val="005E5AC6"/>
    <w:rsid w:val="005E5CD4"/>
    <w:rsid w:val="005E5F74"/>
    <w:rsid w:val="005E6011"/>
    <w:rsid w:val="005E60E2"/>
    <w:rsid w:val="005E6152"/>
    <w:rsid w:val="005E6212"/>
    <w:rsid w:val="005E6383"/>
    <w:rsid w:val="005E65F7"/>
    <w:rsid w:val="005E66BC"/>
    <w:rsid w:val="005E67D0"/>
    <w:rsid w:val="005E6833"/>
    <w:rsid w:val="005E688D"/>
    <w:rsid w:val="005E6977"/>
    <w:rsid w:val="005E6CFC"/>
    <w:rsid w:val="005E70BB"/>
    <w:rsid w:val="005E7935"/>
    <w:rsid w:val="005E793B"/>
    <w:rsid w:val="005E7970"/>
    <w:rsid w:val="005E7A14"/>
    <w:rsid w:val="005E7B56"/>
    <w:rsid w:val="005F0029"/>
    <w:rsid w:val="005F00CE"/>
    <w:rsid w:val="005F04C8"/>
    <w:rsid w:val="005F0585"/>
    <w:rsid w:val="005F076C"/>
    <w:rsid w:val="005F0ECA"/>
    <w:rsid w:val="005F0EF2"/>
    <w:rsid w:val="005F1189"/>
    <w:rsid w:val="005F11E1"/>
    <w:rsid w:val="005F12C2"/>
    <w:rsid w:val="005F1435"/>
    <w:rsid w:val="005F1A85"/>
    <w:rsid w:val="005F1B65"/>
    <w:rsid w:val="005F1F4E"/>
    <w:rsid w:val="005F24CE"/>
    <w:rsid w:val="005F25ED"/>
    <w:rsid w:val="005F26BB"/>
    <w:rsid w:val="005F28F8"/>
    <w:rsid w:val="005F2A27"/>
    <w:rsid w:val="005F2B34"/>
    <w:rsid w:val="005F2B76"/>
    <w:rsid w:val="005F2BC9"/>
    <w:rsid w:val="005F2BE1"/>
    <w:rsid w:val="005F2F6E"/>
    <w:rsid w:val="005F32A4"/>
    <w:rsid w:val="005F32BD"/>
    <w:rsid w:val="005F32CC"/>
    <w:rsid w:val="005F34B0"/>
    <w:rsid w:val="005F3656"/>
    <w:rsid w:val="005F38A7"/>
    <w:rsid w:val="005F3E88"/>
    <w:rsid w:val="005F4973"/>
    <w:rsid w:val="005F4B2C"/>
    <w:rsid w:val="005F4D45"/>
    <w:rsid w:val="005F4F8D"/>
    <w:rsid w:val="005F501F"/>
    <w:rsid w:val="005F5079"/>
    <w:rsid w:val="005F51C3"/>
    <w:rsid w:val="005F523C"/>
    <w:rsid w:val="005F549E"/>
    <w:rsid w:val="005F54AB"/>
    <w:rsid w:val="005F54F0"/>
    <w:rsid w:val="005F5928"/>
    <w:rsid w:val="005F592C"/>
    <w:rsid w:val="005F5C28"/>
    <w:rsid w:val="005F5D3D"/>
    <w:rsid w:val="005F5FD0"/>
    <w:rsid w:val="005F635F"/>
    <w:rsid w:val="005F67B2"/>
    <w:rsid w:val="005F6AE2"/>
    <w:rsid w:val="005F6C13"/>
    <w:rsid w:val="005F7295"/>
    <w:rsid w:val="005F7356"/>
    <w:rsid w:val="005F74D6"/>
    <w:rsid w:val="005F75D3"/>
    <w:rsid w:val="005F761A"/>
    <w:rsid w:val="005F7688"/>
    <w:rsid w:val="005F79DE"/>
    <w:rsid w:val="005F7BA6"/>
    <w:rsid w:val="005F7C32"/>
    <w:rsid w:val="005F7CC5"/>
    <w:rsid w:val="005F7E7C"/>
    <w:rsid w:val="006002BC"/>
    <w:rsid w:val="006002C7"/>
    <w:rsid w:val="00600555"/>
    <w:rsid w:val="00600671"/>
    <w:rsid w:val="006006AA"/>
    <w:rsid w:val="00600774"/>
    <w:rsid w:val="00600AC7"/>
    <w:rsid w:val="00600C75"/>
    <w:rsid w:val="00600DAB"/>
    <w:rsid w:val="00600E28"/>
    <w:rsid w:val="006011A4"/>
    <w:rsid w:val="006012EA"/>
    <w:rsid w:val="006013FC"/>
    <w:rsid w:val="0060156C"/>
    <w:rsid w:val="00601ACE"/>
    <w:rsid w:val="00601CB7"/>
    <w:rsid w:val="00601CD1"/>
    <w:rsid w:val="00601D1A"/>
    <w:rsid w:val="00601FC8"/>
    <w:rsid w:val="0060244A"/>
    <w:rsid w:val="006024A5"/>
    <w:rsid w:val="0060271D"/>
    <w:rsid w:val="00602816"/>
    <w:rsid w:val="00602F7F"/>
    <w:rsid w:val="00602FA7"/>
    <w:rsid w:val="006030D8"/>
    <w:rsid w:val="0060310A"/>
    <w:rsid w:val="00603341"/>
    <w:rsid w:val="0060335E"/>
    <w:rsid w:val="006035DE"/>
    <w:rsid w:val="006038A1"/>
    <w:rsid w:val="006039C5"/>
    <w:rsid w:val="00603F5C"/>
    <w:rsid w:val="0060431B"/>
    <w:rsid w:val="006044A6"/>
    <w:rsid w:val="00604500"/>
    <w:rsid w:val="00604507"/>
    <w:rsid w:val="00604A92"/>
    <w:rsid w:val="00604B10"/>
    <w:rsid w:val="00604D65"/>
    <w:rsid w:val="00604E95"/>
    <w:rsid w:val="0060518C"/>
    <w:rsid w:val="006057A5"/>
    <w:rsid w:val="00605F40"/>
    <w:rsid w:val="006060FC"/>
    <w:rsid w:val="00606319"/>
    <w:rsid w:val="006069B4"/>
    <w:rsid w:val="00606A78"/>
    <w:rsid w:val="00606D40"/>
    <w:rsid w:val="00606D5B"/>
    <w:rsid w:val="00606DA4"/>
    <w:rsid w:val="00606DCF"/>
    <w:rsid w:val="00607196"/>
    <w:rsid w:val="0060730D"/>
    <w:rsid w:val="006073E1"/>
    <w:rsid w:val="006074A8"/>
    <w:rsid w:val="006075BA"/>
    <w:rsid w:val="00607B3E"/>
    <w:rsid w:val="006103E6"/>
    <w:rsid w:val="0061050E"/>
    <w:rsid w:val="00610523"/>
    <w:rsid w:val="00610623"/>
    <w:rsid w:val="0061069D"/>
    <w:rsid w:val="006106FD"/>
    <w:rsid w:val="006107EE"/>
    <w:rsid w:val="006107F3"/>
    <w:rsid w:val="006108CA"/>
    <w:rsid w:val="006109D5"/>
    <w:rsid w:val="00610BC8"/>
    <w:rsid w:val="00610C87"/>
    <w:rsid w:val="00610CF8"/>
    <w:rsid w:val="00610E17"/>
    <w:rsid w:val="00611004"/>
    <w:rsid w:val="006113DB"/>
    <w:rsid w:val="006113F1"/>
    <w:rsid w:val="00611445"/>
    <w:rsid w:val="00611608"/>
    <w:rsid w:val="00611630"/>
    <w:rsid w:val="00611706"/>
    <w:rsid w:val="006117ED"/>
    <w:rsid w:val="0061186F"/>
    <w:rsid w:val="00611A49"/>
    <w:rsid w:val="00611DB1"/>
    <w:rsid w:val="00611F81"/>
    <w:rsid w:val="006124E9"/>
    <w:rsid w:val="006125E7"/>
    <w:rsid w:val="00612A19"/>
    <w:rsid w:val="00612C1F"/>
    <w:rsid w:val="00612D6F"/>
    <w:rsid w:val="00612E0B"/>
    <w:rsid w:val="00612E3A"/>
    <w:rsid w:val="00612F16"/>
    <w:rsid w:val="00612FAF"/>
    <w:rsid w:val="0061310E"/>
    <w:rsid w:val="00613263"/>
    <w:rsid w:val="006132FE"/>
    <w:rsid w:val="0061362F"/>
    <w:rsid w:val="00613810"/>
    <w:rsid w:val="0061391E"/>
    <w:rsid w:val="00613B80"/>
    <w:rsid w:val="00613C7A"/>
    <w:rsid w:val="00613E77"/>
    <w:rsid w:val="00613F64"/>
    <w:rsid w:val="00613F7C"/>
    <w:rsid w:val="00614262"/>
    <w:rsid w:val="0061442C"/>
    <w:rsid w:val="00614A1C"/>
    <w:rsid w:val="00614A99"/>
    <w:rsid w:val="00614D47"/>
    <w:rsid w:val="00614D94"/>
    <w:rsid w:val="00614DC7"/>
    <w:rsid w:val="00615108"/>
    <w:rsid w:val="0061517F"/>
    <w:rsid w:val="006151EA"/>
    <w:rsid w:val="00615391"/>
    <w:rsid w:val="00615560"/>
    <w:rsid w:val="00615751"/>
    <w:rsid w:val="0061588F"/>
    <w:rsid w:val="0061593C"/>
    <w:rsid w:val="00615ACB"/>
    <w:rsid w:val="00615CB7"/>
    <w:rsid w:val="006163AC"/>
    <w:rsid w:val="0061641A"/>
    <w:rsid w:val="00616500"/>
    <w:rsid w:val="00616A55"/>
    <w:rsid w:val="00616BB8"/>
    <w:rsid w:val="00616DFD"/>
    <w:rsid w:val="00616E91"/>
    <w:rsid w:val="006170B2"/>
    <w:rsid w:val="0061712E"/>
    <w:rsid w:val="0061718F"/>
    <w:rsid w:val="0061735D"/>
    <w:rsid w:val="0061759A"/>
    <w:rsid w:val="0061772B"/>
    <w:rsid w:val="006177D4"/>
    <w:rsid w:val="00617D48"/>
    <w:rsid w:val="00617D92"/>
    <w:rsid w:val="00617EA4"/>
    <w:rsid w:val="006200FF"/>
    <w:rsid w:val="00620144"/>
    <w:rsid w:val="006201F3"/>
    <w:rsid w:val="006209B0"/>
    <w:rsid w:val="00620AB9"/>
    <w:rsid w:val="00620AF1"/>
    <w:rsid w:val="00620DE3"/>
    <w:rsid w:val="00620EC1"/>
    <w:rsid w:val="00620FDF"/>
    <w:rsid w:val="006211E7"/>
    <w:rsid w:val="006211F3"/>
    <w:rsid w:val="0062184D"/>
    <w:rsid w:val="00621913"/>
    <w:rsid w:val="00621A3A"/>
    <w:rsid w:val="00621B3B"/>
    <w:rsid w:val="00621BE5"/>
    <w:rsid w:val="00621D66"/>
    <w:rsid w:val="00621DBC"/>
    <w:rsid w:val="00621E2C"/>
    <w:rsid w:val="00621E5A"/>
    <w:rsid w:val="006220B4"/>
    <w:rsid w:val="0062229C"/>
    <w:rsid w:val="006226AE"/>
    <w:rsid w:val="00622815"/>
    <w:rsid w:val="00622993"/>
    <w:rsid w:val="006229EE"/>
    <w:rsid w:val="00622B2F"/>
    <w:rsid w:val="00622B77"/>
    <w:rsid w:val="00622C24"/>
    <w:rsid w:val="00622D68"/>
    <w:rsid w:val="00622D73"/>
    <w:rsid w:val="00622F39"/>
    <w:rsid w:val="006230B1"/>
    <w:rsid w:val="00623401"/>
    <w:rsid w:val="00623427"/>
    <w:rsid w:val="006234B6"/>
    <w:rsid w:val="006234C7"/>
    <w:rsid w:val="00623722"/>
    <w:rsid w:val="00623A16"/>
    <w:rsid w:val="00623ACB"/>
    <w:rsid w:val="00623C8D"/>
    <w:rsid w:val="00623D6F"/>
    <w:rsid w:val="00623F23"/>
    <w:rsid w:val="0062442D"/>
    <w:rsid w:val="006245AA"/>
    <w:rsid w:val="00624BAE"/>
    <w:rsid w:val="00624C77"/>
    <w:rsid w:val="006252CA"/>
    <w:rsid w:val="006253E9"/>
    <w:rsid w:val="00625432"/>
    <w:rsid w:val="006255CC"/>
    <w:rsid w:val="0062581F"/>
    <w:rsid w:val="00625942"/>
    <w:rsid w:val="00625AD3"/>
    <w:rsid w:val="00625B6C"/>
    <w:rsid w:val="006261F7"/>
    <w:rsid w:val="0062637D"/>
    <w:rsid w:val="00626428"/>
    <w:rsid w:val="00626538"/>
    <w:rsid w:val="00626559"/>
    <w:rsid w:val="0062666F"/>
    <w:rsid w:val="0062668C"/>
    <w:rsid w:val="0062684C"/>
    <w:rsid w:val="00626903"/>
    <w:rsid w:val="00626D65"/>
    <w:rsid w:val="00626DAA"/>
    <w:rsid w:val="00626F6F"/>
    <w:rsid w:val="0062709F"/>
    <w:rsid w:val="00627544"/>
    <w:rsid w:val="00627739"/>
    <w:rsid w:val="006278E3"/>
    <w:rsid w:val="00627986"/>
    <w:rsid w:val="00627DA3"/>
    <w:rsid w:val="00627E28"/>
    <w:rsid w:val="00627E49"/>
    <w:rsid w:val="00630739"/>
    <w:rsid w:val="00630920"/>
    <w:rsid w:val="00630ACE"/>
    <w:rsid w:val="00630CA7"/>
    <w:rsid w:val="00630E4D"/>
    <w:rsid w:val="0063109E"/>
    <w:rsid w:val="006310C8"/>
    <w:rsid w:val="00631611"/>
    <w:rsid w:val="006317A5"/>
    <w:rsid w:val="006318B6"/>
    <w:rsid w:val="006318CA"/>
    <w:rsid w:val="00632162"/>
    <w:rsid w:val="006321FF"/>
    <w:rsid w:val="00632228"/>
    <w:rsid w:val="00632395"/>
    <w:rsid w:val="006323AF"/>
    <w:rsid w:val="00632449"/>
    <w:rsid w:val="00632716"/>
    <w:rsid w:val="006328DE"/>
    <w:rsid w:val="00632B84"/>
    <w:rsid w:val="00632CDD"/>
    <w:rsid w:val="00632ECA"/>
    <w:rsid w:val="0063303B"/>
    <w:rsid w:val="00633157"/>
    <w:rsid w:val="00633251"/>
    <w:rsid w:val="0063364B"/>
    <w:rsid w:val="00633A6F"/>
    <w:rsid w:val="00633CB7"/>
    <w:rsid w:val="00633F69"/>
    <w:rsid w:val="006348D1"/>
    <w:rsid w:val="00634E8E"/>
    <w:rsid w:val="00635170"/>
    <w:rsid w:val="006351A2"/>
    <w:rsid w:val="00635494"/>
    <w:rsid w:val="00635861"/>
    <w:rsid w:val="006359B2"/>
    <w:rsid w:val="00635A4A"/>
    <w:rsid w:val="00635C42"/>
    <w:rsid w:val="00635EE5"/>
    <w:rsid w:val="00636043"/>
    <w:rsid w:val="0063610C"/>
    <w:rsid w:val="00636131"/>
    <w:rsid w:val="006361D0"/>
    <w:rsid w:val="0063651D"/>
    <w:rsid w:val="00636606"/>
    <w:rsid w:val="00636700"/>
    <w:rsid w:val="00636740"/>
    <w:rsid w:val="0063693B"/>
    <w:rsid w:val="00636A2B"/>
    <w:rsid w:val="00636AC4"/>
    <w:rsid w:val="00636B4E"/>
    <w:rsid w:val="0063711B"/>
    <w:rsid w:val="006374F5"/>
    <w:rsid w:val="006375ED"/>
    <w:rsid w:val="0063763B"/>
    <w:rsid w:val="006377A4"/>
    <w:rsid w:val="00637858"/>
    <w:rsid w:val="00637955"/>
    <w:rsid w:val="00637B3A"/>
    <w:rsid w:val="00637DAB"/>
    <w:rsid w:val="006400C9"/>
    <w:rsid w:val="0064015F"/>
    <w:rsid w:val="006401AC"/>
    <w:rsid w:val="0064024F"/>
    <w:rsid w:val="00640820"/>
    <w:rsid w:val="00640943"/>
    <w:rsid w:val="00640961"/>
    <w:rsid w:val="00640993"/>
    <w:rsid w:val="00640B83"/>
    <w:rsid w:val="00640BA2"/>
    <w:rsid w:val="00640C9B"/>
    <w:rsid w:val="00640CB9"/>
    <w:rsid w:val="00640DAC"/>
    <w:rsid w:val="006412BE"/>
    <w:rsid w:val="00641838"/>
    <w:rsid w:val="00641941"/>
    <w:rsid w:val="00641B3C"/>
    <w:rsid w:val="00641D84"/>
    <w:rsid w:val="00641ECD"/>
    <w:rsid w:val="00642050"/>
    <w:rsid w:val="00642196"/>
    <w:rsid w:val="006423D7"/>
    <w:rsid w:val="00642460"/>
    <w:rsid w:val="006424D4"/>
    <w:rsid w:val="00642698"/>
    <w:rsid w:val="006426A5"/>
    <w:rsid w:val="00642842"/>
    <w:rsid w:val="00642DF8"/>
    <w:rsid w:val="00642EBB"/>
    <w:rsid w:val="006438FA"/>
    <w:rsid w:val="006439D5"/>
    <w:rsid w:val="00644897"/>
    <w:rsid w:val="00644ACB"/>
    <w:rsid w:val="00644B68"/>
    <w:rsid w:val="00645434"/>
    <w:rsid w:val="006458D1"/>
    <w:rsid w:val="00645A4B"/>
    <w:rsid w:val="00645ABF"/>
    <w:rsid w:val="00645C25"/>
    <w:rsid w:val="00645F96"/>
    <w:rsid w:val="0064611C"/>
    <w:rsid w:val="006461CE"/>
    <w:rsid w:val="006465E4"/>
    <w:rsid w:val="006466AC"/>
    <w:rsid w:val="006470E3"/>
    <w:rsid w:val="0064723E"/>
    <w:rsid w:val="00647562"/>
    <w:rsid w:val="006475DD"/>
    <w:rsid w:val="006476A8"/>
    <w:rsid w:val="00647B40"/>
    <w:rsid w:val="006502FC"/>
    <w:rsid w:val="0065051E"/>
    <w:rsid w:val="006506C0"/>
    <w:rsid w:val="00650A2E"/>
    <w:rsid w:val="00650CC1"/>
    <w:rsid w:val="00651479"/>
    <w:rsid w:val="006515EC"/>
    <w:rsid w:val="00651714"/>
    <w:rsid w:val="00651997"/>
    <w:rsid w:val="00651B87"/>
    <w:rsid w:val="00651E22"/>
    <w:rsid w:val="00651F34"/>
    <w:rsid w:val="00652209"/>
    <w:rsid w:val="006524FE"/>
    <w:rsid w:val="006527A9"/>
    <w:rsid w:val="00652AA0"/>
    <w:rsid w:val="00652ACB"/>
    <w:rsid w:val="00652BD0"/>
    <w:rsid w:val="00652D16"/>
    <w:rsid w:val="00653076"/>
    <w:rsid w:val="00653538"/>
    <w:rsid w:val="00653B26"/>
    <w:rsid w:val="00653BD4"/>
    <w:rsid w:val="00653BE5"/>
    <w:rsid w:val="00653CCB"/>
    <w:rsid w:val="006543CF"/>
    <w:rsid w:val="006545BD"/>
    <w:rsid w:val="006546E2"/>
    <w:rsid w:val="006549A5"/>
    <w:rsid w:val="00654DC8"/>
    <w:rsid w:val="00654EC9"/>
    <w:rsid w:val="00654F8D"/>
    <w:rsid w:val="0065501A"/>
    <w:rsid w:val="006551DC"/>
    <w:rsid w:val="006551EB"/>
    <w:rsid w:val="0065556C"/>
    <w:rsid w:val="006557AB"/>
    <w:rsid w:val="00655E44"/>
    <w:rsid w:val="00655ECB"/>
    <w:rsid w:val="00655F7E"/>
    <w:rsid w:val="00656306"/>
    <w:rsid w:val="006563DD"/>
    <w:rsid w:val="006565FE"/>
    <w:rsid w:val="00656780"/>
    <w:rsid w:val="0065678C"/>
    <w:rsid w:val="00656821"/>
    <w:rsid w:val="00656855"/>
    <w:rsid w:val="00656A60"/>
    <w:rsid w:val="00657225"/>
    <w:rsid w:val="00657582"/>
    <w:rsid w:val="006576A4"/>
    <w:rsid w:val="0065790F"/>
    <w:rsid w:val="00657AE4"/>
    <w:rsid w:val="00657AF2"/>
    <w:rsid w:val="00657B73"/>
    <w:rsid w:val="00657D20"/>
    <w:rsid w:val="0066012C"/>
    <w:rsid w:val="00660443"/>
    <w:rsid w:val="00660489"/>
    <w:rsid w:val="00660942"/>
    <w:rsid w:val="00660A76"/>
    <w:rsid w:val="00660E0C"/>
    <w:rsid w:val="00660ED5"/>
    <w:rsid w:val="00660F14"/>
    <w:rsid w:val="0066100D"/>
    <w:rsid w:val="0066124E"/>
    <w:rsid w:val="00661295"/>
    <w:rsid w:val="0066195C"/>
    <w:rsid w:val="00661BFB"/>
    <w:rsid w:val="0066204D"/>
    <w:rsid w:val="0066238E"/>
    <w:rsid w:val="006626E5"/>
    <w:rsid w:val="00662BE4"/>
    <w:rsid w:val="00662EC8"/>
    <w:rsid w:val="00662F16"/>
    <w:rsid w:val="00662FED"/>
    <w:rsid w:val="006631C8"/>
    <w:rsid w:val="006632CF"/>
    <w:rsid w:val="00663360"/>
    <w:rsid w:val="006635BF"/>
    <w:rsid w:val="006637D8"/>
    <w:rsid w:val="00663A54"/>
    <w:rsid w:val="00663B79"/>
    <w:rsid w:val="00663F0A"/>
    <w:rsid w:val="0066404B"/>
    <w:rsid w:val="0066406B"/>
    <w:rsid w:val="0066433D"/>
    <w:rsid w:val="0066496F"/>
    <w:rsid w:val="00664EF8"/>
    <w:rsid w:val="0066502B"/>
    <w:rsid w:val="0066509A"/>
    <w:rsid w:val="00665178"/>
    <w:rsid w:val="00665285"/>
    <w:rsid w:val="00665427"/>
    <w:rsid w:val="00665580"/>
    <w:rsid w:val="0066568C"/>
    <w:rsid w:val="00665E04"/>
    <w:rsid w:val="00666073"/>
    <w:rsid w:val="00666358"/>
    <w:rsid w:val="006663C2"/>
    <w:rsid w:val="006663D6"/>
    <w:rsid w:val="006665C8"/>
    <w:rsid w:val="0066674B"/>
    <w:rsid w:val="006672AD"/>
    <w:rsid w:val="00667355"/>
    <w:rsid w:val="006673AE"/>
    <w:rsid w:val="00667476"/>
    <w:rsid w:val="00667529"/>
    <w:rsid w:val="00667746"/>
    <w:rsid w:val="00667764"/>
    <w:rsid w:val="00667AC8"/>
    <w:rsid w:val="00667D48"/>
    <w:rsid w:val="00667D83"/>
    <w:rsid w:val="00667F2A"/>
    <w:rsid w:val="00667FB9"/>
    <w:rsid w:val="0067011D"/>
    <w:rsid w:val="0067011F"/>
    <w:rsid w:val="006703EA"/>
    <w:rsid w:val="00670535"/>
    <w:rsid w:val="00670807"/>
    <w:rsid w:val="0067083E"/>
    <w:rsid w:val="00670AB4"/>
    <w:rsid w:val="00670BA7"/>
    <w:rsid w:val="00670DEC"/>
    <w:rsid w:val="00671038"/>
    <w:rsid w:val="00671885"/>
    <w:rsid w:val="00671931"/>
    <w:rsid w:val="00671D36"/>
    <w:rsid w:val="00671DE6"/>
    <w:rsid w:val="00671E9B"/>
    <w:rsid w:val="006720DE"/>
    <w:rsid w:val="0067256E"/>
    <w:rsid w:val="00672645"/>
    <w:rsid w:val="00672647"/>
    <w:rsid w:val="006726F6"/>
    <w:rsid w:val="00672A87"/>
    <w:rsid w:val="00672B44"/>
    <w:rsid w:val="00672CA1"/>
    <w:rsid w:val="00672D74"/>
    <w:rsid w:val="00672EC4"/>
    <w:rsid w:val="006730AA"/>
    <w:rsid w:val="00673394"/>
    <w:rsid w:val="00673444"/>
    <w:rsid w:val="00673582"/>
    <w:rsid w:val="006738C8"/>
    <w:rsid w:val="006738EC"/>
    <w:rsid w:val="0067393E"/>
    <w:rsid w:val="00673A34"/>
    <w:rsid w:val="00673AAC"/>
    <w:rsid w:val="00673F68"/>
    <w:rsid w:val="00673F96"/>
    <w:rsid w:val="00674379"/>
    <w:rsid w:val="006744DD"/>
    <w:rsid w:val="006749B3"/>
    <w:rsid w:val="00674B98"/>
    <w:rsid w:val="00674CA2"/>
    <w:rsid w:val="00674CE5"/>
    <w:rsid w:val="00674E0D"/>
    <w:rsid w:val="00675058"/>
    <w:rsid w:val="006750BA"/>
    <w:rsid w:val="00675393"/>
    <w:rsid w:val="006757A6"/>
    <w:rsid w:val="00675B57"/>
    <w:rsid w:val="00675B71"/>
    <w:rsid w:val="00675C07"/>
    <w:rsid w:val="00675C22"/>
    <w:rsid w:val="00675D4B"/>
    <w:rsid w:val="00675D5C"/>
    <w:rsid w:val="00675D7F"/>
    <w:rsid w:val="0067630A"/>
    <w:rsid w:val="00676361"/>
    <w:rsid w:val="00676B73"/>
    <w:rsid w:val="00676C99"/>
    <w:rsid w:val="00676F53"/>
    <w:rsid w:val="006772B0"/>
    <w:rsid w:val="00677633"/>
    <w:rsid w:val="006776DE"/>
    <w:rsid w:val="00677991"/>
    <w:rsid w:val="00677B97"/>
    <w:rsid w:val="00677C73"/>
    <w:rsid w:val="00677E90"/>
    <w:rsid w:val="006804E7"/>
    <w:rsid w:val="00680D39"/>
    <w:rsid w:val="00680DBA"/>
    <w:rsid w:val="00681468"/>
    <w:rsid w:val="006814F7"/>
    <w:rsid w:val="0068168F"/>
    <w:rsid w:val="00681817"/>
    <w:rsid w:val="00681D34"/>
    <w:rsid w:val="00681E1E"/>
    <w:rsid w:val="00682059"/>
    <w:rsid w:val="00682257"/>
    <w:rsid w:val="00682DA1"/>
    <w:rsid w:val="00683064"/>
    <w:rsid w:val="006830D0"/>
    <w:rsid w:val="006831A2"/>
    <w:rsid w:val="006832F5"/>
    <w:rsid w:val="0068346F"/>
    <w:rsid w:val="00683581"/>
    <w:rsid w:val="00683754"/>
    <w:rsid w:val="0068376C"/>
    <w:rsid w:val="00683A91"/>
    <w:rsid w:val="00683D0C"/>
    <w:rsid w:val="0068435E"/>
    <w:rsid w:val="00684388"/>
    <w:rsid w:val="00684396"/>
    <w:rsid w:val="00684984"/>
    <w:rsid w:val="006849E5"/>
    <w:rsid w:val="00684A7D"/>
    <w:rsid w:val="00684AEA"/>
    <w:rsid w:val="00684C20"/>
    <w:rsid w:val="00684C8D"/>
    <w:rsid w:val="00684DEA"/>
    <w:rsid w:val="00684E22"/>
    <w:rsid w:val="00684FB8"/>
    <w:rsid w:val="00685047"/>
    <w:rsid w:val="0068505E"/>
    <w:rsid w:val="006855B6"/>
    <w:rsid w:val="006855C8"/>
    <w:rsid w:val="00685657"/>
    <w:rsid w:val="006857F3"/>
    <w:rsid w:val="00685A5E"/>
    <w:rsid w:val="00685D9A"/>
    <w:rsid w:val="006866FB"/>
    <w:rsid w:val="006868AE"/>
    <w:rsid w:val="006869BA"/>
    <w:rsid w:val="00686A6D"/>
    <w:rsid w:val="00686B20"/>
    <w:rsid w:val="00686F76"/>
    <w:rsid w:val="00687112"/>
    <w:rsid w:val="00687195"/>
    <w:rsid w:val="0068722B"/>
    <w:rsid w:val="006875EB"/>
    <w:rsid w:val="006878F3"/>
    <w:rsid w:val="00687A25"/>
    <w:rsid w:val="00687D95"/>
    <w:rsid w:val="00690245"/>
    <w:rsid w:val="00690257"/>
    <w:rsid w:val="00690329"/>
    <w:rsid w:val="00690654"/>
    <w:rsid w:val="00690758"/>
    <w:rsid w:val="00690B5C"/>
    <w:rsid w:val="00690BB6"/>
    <w:rsid w:val="0069139E"/>
    <w:rsid w:val="006914FF"/>
    <w:rsid w:val="006916CF"/>
    <w:rsid w:val="006917FA"/>
    <w:rsid w:val="00691C0E"/>
    <w:rsid w:val="00691E05"/>
    <w:rsid w:val="0069223E"/>
    <w:rsid w:val="00692367"/>
    <w:rsid w:val="00692720"/>
    <w:rsid w:val="00692856"/>
    <w:rsid w:val="00692958"/>
    <w:rsid w:val="0069298E"/>
    <w:rsid w:val="00692C02"/>
    <w:rsid w:val="00692C5E"/>
    <w:rsid w:val="00692C82"/>
    <w:rsid w:val="00693069"/>
    <w:rsid w:val="00693603"/>
    <w:rsid w:val="00693679"/>
    <w:rsid w:val="00693770"/>
    <w:rsid w:val="00693BE1"/>
    <w:rsid w:val="00693E74"/>
    <w:rsid w:val="00694169"/>
    <w:rsid w:val="006945D2"/>
    <w:rsid w:val="006946D2"/>
    <w:rsid w:val="006947D2"/>
    <w:rsid w:val="006948E7"/>
    <w:rsid w:val="006949EC"/>
    <w:rsid w:val="00694C99"/>
    <w:rsid w:val="006950BA"/>
    <w:rsid w:val="00695103"/>
    <w:rsid w:val="0069585E"/>
    <w:rsid w:val="00695E3F"/>
    <w:rsid w:val="006961B3"/>
    <w:rsid w:val="00696373"/>
    <w:rsid w:val="00696468"/>
    <w:rsid w:val="0069658C"/>
    <w:rsid w:val="00696949"/>
    <w:rsid w:val="006969DD"/>
    <w:rsid w:val="006971F8"/>
    <w:rsid w:val="00697643"/>
    <w:rsid w:val="00697A42"/>
    <w:rsid w:val="00697AF2"/>
    <w:rsid w:val="00697CF6"/>
    <w:rsid w:val="00697FDF"/>
    <w:rsid w:val="006A02C9"/>
    <w:rsid w:val="006A039F"/>
    <w:rsid w:val="006A0A52"/>
    <w:rsid w:val="006A0B68"/>
    <w:rsid w:val="006A0BA1"/>
    <w:rsid w:val="006A0EA1"/>
    <w:rsid w:val="006A0F4E"/>
    <w:rsid w:val="006A14B5"/>
    <w:rsid w:val="006A1BDE"/>
    <w:rsid w:val="006A1CBF"/>
    <w:rsid w:val="006A1DE3"/>
    <w:rsid w:val="006A1E31"/>
    <w:rsid w:val="006A1F9F"/>
    <w:rsid w:val="006A1FDC"/>
    <w:rsid w:val="006A1FEF"/>
    <w:rsid w:val="006A20CE"/>
    <w:rsid w:val="006A211B"/>
    <w:rsid w:val="006A212D"/>
    <w:rsid w:val="006A2342"/>
    <w:rsid w:val="006A24AC"/>
    <w:rsid w:val="006A24F6"/>
    <w:rsid w:val="006A2508"/>
    <w:rsid w:val="006A25AF"/>
    <w:rsid w:val="006A263D"/>
    <w:rsid w:val="006A2709"/>
    <w:rsid w:val="006A2D21"/>
    <w:rsid w:val="006A2D2F"/>
    <w:rsid w:val="006A2F3B"/>
    <w:rsid w:val="006A300F"/>
    <w:rsid w:val="006A3137"/>
    <w:rsid w:val="006A33BC"/>
    <w:rsid w:val="006A340F"/>
    <w:rsid w:val="006A394F"/>
    <w:rsid w:val="006A3B04"/>
    <w:rsid w:val="006A4713"/>
    <w:rsid w:val="006A4757"/>
    <w:rsid w:val="006A4984"/>
    <w:rsid w:val="006A4C6A"/>
    <w:rsid w:val="006A530B"/>
    <w:rsid w:val="006A5377"/>
    <w:rsid w:val="006A54DA"/>
    <w:rsid w:val="006A5D65"/>
    <w:rsid w:val="006A5D98"/>
    <w:rsid w:val="006A6107"/>
    <w:rsid w:val="006A6179"/>
    <w:rsid w:val="006A66DB"/>
    <w:rsid w:val="006A66DF"/>
    <w:rsid w:val="006A673F"/>
    <w:rsid w:val="006A67CD"/>
    <w:rsid w:val="006A6AC3"/>
    <w:rsid w:val="006A6F0E"/>
    <w:rsid w:val="006A6FBE"/>
    <w:rsid w:val="006A7486"/>
    <w:rsid w:val="006A7588"/>
    <w:rsid w:val="006B0069"/>
    <w:rsid w:val="006B007D"/>
    <w:rsid w:val="006B00AF"/>
    <w:rsid w:val="006B019E"/>
    <w:rsid w:val="006B036A"/>
    <w:rsid w:val="006B0D54"/>
    <w:rsid w:val="006B1533"/>
    <w:rsid w:val="006B164C"/>
    <w:rsid w:val="006B1751"/>
    <w:rsid w:val="006B1AAD"/>
    <w:rsid w:val="006B1B8D"/>
    <w:rsid w:val="006B1DE0"/>
    <w:rsid w:val="006B1EAF"/>
    <w:rsid w:val="006B20D0"/>
    <w:rsid w:val="006B2320"/>
    <w:rsid w:val="006B2384"/>
    <w:rsid w:val="006B2440"/>
    <w:rsid w:val="006B2500"/>
    <w:rsid w:val="006B2719"/>
    <w:rsid w:val="006B2A5F"/>
    <w:rsid w:val="006B2C63"/>
    <w:rsid w:val="006B2E7F"/>
    <w:rsid w:val="006B2F4B"/>
    <w:rsid w:val="006B321D"/>
    <w:rsid w:val="006B3644"/>
    <w:rsid w:val="006B38E6"/>
    <w:rsid w:val="006B3907"/>
    <w:rsid w:val="006B3D08"/>
    <w:rsid w:val="006B3DC6"/>
    <w:rsid w:val="006B3E4E"/>
    <w:rsid w:val="006B3FEF"/>
    <w:rsid w:val="006B40B2"/>
    <w:rsid w:val="006B424F"/>
    <w:rsid w:val="006B4351"/>
    <w:rsid w:val="006B4629"/>
    <w:rsid w:val="006B4659"/>
    <w:rsid w:val="006B4868"/>
    <w:rsid w:val="006B4876"/>
    <w:rsid w:val="006B4A8E"/>
    <w:rsid w:val="006B4AF0"/>
    <w:rsid w:val="006B4CEB"/>
    <w:rsid w:val="006B4E96"/>
    <w:rsid w:val="006B5437"/>
    <w:rsid w:val="006B54E0"/>
    <w:rsid w:val="006B55A5"/>
    <w:rsid w:val="006B5777"/>
    <w:rsid w:val="006B58D0"/>
    <w:rsid w:val="006B5942"/>
    <w:rsid w:val="006B59C2"/>
    <w:rsid w:val="006B5A59"/>
    <w:rsid w:val="006B5A90"/>
    <w:rsid w:val="006B5F20"/>
    <w:rsid w:val="006B5F7B"/>
    <w:rsid w:val="006B62D1"/>
    <w:rsid w:val="006B65DE"/>
    <w:rsid w:val="006B6C43"/>
    <w:rsid w:val="006B6D32"/>
    <w:rsid w:val="006B6FA3"/>
    <w:rsid w:val="006B6FD1"/>
    <w:rsid w:val="006B702F"/>
    <w:rsid w:val="006B7159"/>
    <w:rsid w:val="006B7172"/>
    <w:rsid w:val="006B7231"/>
    <w:rsid w:val="006B7297"/>
    <w:rsid w:val="006B7583"/>
    <w:rsid w:val="006B759A"/>
    <w:rsid w:val="006B7738"/>
    <w:rsid w:val="006B77DE"/>
    <w:rsid w:val="006B7804"/>
    <w:rsid w:val="006B7C3D"/>
    <w:rsid w:val="006C0185"/>
    <w:rsid w:val="006C019C"/>
    <w:rsid w:val="006C050A"/>
    <w:rsid w:val="006C06C4"/>
    <w:rsid w:val="006C0913"/>
    <w:rsid w:val="006C0AE0"/>
    <w:rsid w:val="006C0BA7"/>
    <w:rsid w:val="006C0D5D"/>
    <w:rsid w:val="006C0DB8"/>
    <w:rsid w:val="006C0E46"/>
    <w:rsid w:val="006C0EE0"/>
    <w:rsid w:val="006C1286"/>
    <w:rsid w:val="006C14DC"/>
    <w:rsid w:val="006C17AF"/>
    <w:rsid w:val="006C18E9"/>
    <w:rsid w:val="006C194C"/>
    <w:rsid w:val="006C1D13"/>
    <w:rsid w:val="006C1DA1"/>
    <w:rsid w:val="006C1F45"/>
    <w:rsid w:val="006C205F"/>
    <w:rsid w:val="006C21A4"/>
    <w:rsid w:val="006C22E5"/>
    <w:rsid w:val="006C24A7"/>
    <w:rsid w:val="006C262D"/>
    <w:rsid w:val="006C2705"/>
    <w:rsid w:val="006C2FE8"/>
    <w:rsid w:val="006C3943"/>
    <w:rsid w:val="006C3ECD"/>
    <w:rsid w:val="006C402C"/>
    <w:rsid w:val="006C4093"/>
    <w:rsid w:val="006C441F"/>
    <w:rsid w:val="006C46A2"/>
    <w:rsid w:val="006C4A32"/>
    <w:rsid w:val="006C4BB2"/>
    <w:rsid w:val="006C4F7E"/>
    <w:rsid w:val="006C5392"/>
    <w:rsid w:val="006C54A7"/>
    <w:rsid w:val="006C59BA"/>
    <w:rsid w:val="006C5AD9"/>
    <w:rsid w:val="006C5E4C"/>
    <w:rsid w:val="006C5E73"/>
    <w:rsid w:val="006C5F75"/>
    <w:rsid w:val="006C61A0"/>
    <w:rsid w:val="006C62EF"/>
    <w:rsid w:val="006C63AB"/>
    <w:rsid w:val="006C645A"/>
    <w:rsid w:val="006C64F7"/>
    <w:rsid w:val="006C68B6"/>
    <w:rsid w:val="006C68F4"/>
    <w:rsid w:val="006C6A10"/>
    <w:rsid w:val="006C70E9"/>
    <w:rsid w:val="006C755D"/>
    <w:rsid w:val="006C761D"/>
    <w:rsid w:val="006C7B55"/>
    <w:rsid w:val="006C7BEA"/>
    <w:rsid w:val="006C7C8B"/>
    <w:rsid w:val="006C7D22"/>
    <w:rsid w:val="006C7F8F"/>
    <w:rsid w:val="006C7FE1"/>
    <w:rsid w:val="006D06FE"/>
    <w:rsid w:val="006D0C90"/>
    <w:rsid w:val="006D0E03"/>
    <w:rsid w:val="006D0EAF"/>
    <w:rsid w:val="006D0F85"/>
    <w:rsid w:val="006D11B3"/>
    <w:rsid w:val="006D13F0"/>
    <w:rsid w:val="006D1874"/>
    <w:rsid w:val="006D20AF"/>
    <w:rsid w:val="006D2608"/>
    <w:rsid w:val="006D2872"/>
    <w:rsid w:val="006D2A23"/>
    <w:rsid w:val="006D2A65"/>
    <w:rsid w:val="006D3473"/>
    <w:rsid w:val="006D356F"/>
    <w:rsid w:val="006D36D4"/>
    <w:rsid w:val="006D37E5"/>
    <w:rsid w:val="006D37FC"/>
    <w:rsid w:val="006D3865"/>
    <w:rsid w:val="006D3E1A"/>
    <w:rsid w:val="006D4036"/>
    <w:rsid w:val="006D4123"/>
    <w:rsid w:val="006D4234"/>
    <w:rsid w:val="006D4295"/>
    <w:rsid w:val="006D46EA"/>
    <w:rsid w:val="006D470F"/>
    <w:rsid w:val="006D4952"/>
    <w:rsid w:val="006D4A32"/>
    <w:rsid w:val="006D4A4E"/>
    <w:rsid w:val="006D4AC6"/>
    <w:rsid w:val="006D4B9E"/>
    <w:rsid w:val="006D4C48"/>
    <w:rsid w:val="006D4D9D"/>
    <w:rsid w:val="006D4DE2"/>
    <w:rsid w:val="006D4FA0"/>
    <w:rsid w:val="006D500D"/>
    <w:rsid w:val="006D510E"/>
    <w:rsid w:val="006D5137"/>
    <w:rsid w:val="006D5472"/>
    <w:rsid w:val="006D5565"/>
    <w:rsid w:val="006D5669"/>
    <w:rsid w:val="006D5681"/>
    <w:rsid w:val="006D5AA2"/>
    <w:rsid w:val="006D5AB0"/>
    <w:rsid w:val="006D5C64"/>
    <w:rsid w:val="006D5F69"/>
    <w:rsid w:val="006D6490"/>
    <w:rsid w:val="006D649D"/>
    <w:rsid w:val="006D663C"/>
    <w:rsid w:val="006D6BEF"/>
    <w:rsid w:val="006D6CFF"/>
    <w:rsid w:val="006D6E31"/>
    <w:rsid w:val="006D6F30"/>
    <w:rsid w:val="006D7164"/>
    <w:rsid w:val="006D71D6"/>
    <w:rsid w:val="006D72BA"/>
    <w:rsid w:val="006D7C9D"/>
    <w:rsid w:val="006D7DCB"/>
    <w:rsid w:val="006E0021"/>
    <w:rsid w:val="006E0316"/>
    <w:rsid w:val="006E0324"/>
    <w:rsid w:val="006E05C6"/>
    <w:rsid w:val="006E0B96"/>
    <w:rsid w:val="006E0C0D"/>
    <w:rsid w:val="006E1307"/>
    <w:rsid w:val="006E1371"/>
    <w:rsid w:val="006E1439"/>
    <w:rsid w:val="006E1E0F"/>
    <w:rsid w:val="006E1E44"/>
    <w:rsid w:val="006E1F4E"/>
    <w:rsid w:val="006E20C9"/>
    <w:rsid w:val="006E2288"/>
    <w:rsid w:val="006E23D2"/>
    <w:rsid w:val="006E24AE"/>
    <w:rsid w:val="006E2564"/>
    <w:rsid w:val="006E257A"/>
    <w:rsid w:val="006E268B"/>
    <w:rsid w:val="006E2718"/>
    <w:rsid w:val="006E2892"/>
    <w:rsid w:val="006E29C3"/>
    <w:rsid w:val="006E3000"/>
    <w:rsid w:val="006E320B"/>
    <w:rsid w:val="006E329A"/>
    <w:rsid w:val="006E32C5"/>
    <w:rsid w:val="006E36B6"/>
    <w:rsid w:val="006E3710"/>
    <w:rsid w:val="006E3D14"/>
    <w:rsid w:val="006E4009"/>
    <w:rsid w:val="006E4310"/>
    <w:rsid w:val="006E4453"/>
    <w:rsid w:val="006E4477"/>
    <w:rsid w:val="006E45BB"/>
    <w:rsid w:val="006E481A"/>
    <w:rsid w:val="006E497B"/>
    <w:rsid w:val="006E4AA8"/>
    <w:rsid w:val="006E4F1F"/>
    <w:rsid w:val="006E4FB3"/>
    <w:rsid w:val="006E50A4"/>
    <w:rsid w:val="006E5367"/>
    <w:rsid w:val="006E547F"/>
    <w:rsid w:val="006E5895"/>
    <w:rsid w:val="006E5A5C"/>
    <w:rsid w:val="006E5E0C"/>
    <w:rsid w:val="006E606B"/>
    <w:rsid w:val="006E6260"/>
    <w:rsid w:val="006E6286"/>
    <w:rsid w:val="006E64C5"/>
    <w:rsid w:val="006E69C7"/>
    <w:rsid w:val="006E6B0A"/>
    <w:rsid w:val="006E6CC1"/>
    <w:rsid w:val="006E6E6A"/>
    <w:rsid w:val="006E6EE8"/>
    <w:rsid w:val="006E7189"/>
    <w:rsid w:val="006E74B0"/>
    <w:rsid w:val="006E79F9"/>
    <w:rsid w:val="006E7AA3"/>
    <w:rsid w:val="006E7CE2"/>
    <w:rsid w:val="006E7D5B"/>
    <w:rsid w:val="006E7F42"/>
    <w:rsid w:val="006E7F51"/>
    <w:rsid w:val="006E7F88"/>
    <w:rsid w:val="006E7FE6"/>
    <w:rsid w:val="006F0336"/>
    <w:rsid w:val="006F065C"/>
    <w:rsid w:val="006F0665"/>
    <w:rsid w:val="006F0AE7"/>
    <w:rsid w:val="006F0BB0"/>
    <w:rsid w:val="006F0C9F"/>
    <w:rsid w:val="006F0CFF"/>
    <w:rsid w:val="006F183A"/>
    <w:rsid w:val="006F1BDF"/>
    <w:rsid w:val="006F1BEE"/>
    <w:rsid w:val="006F1C2E"/>
    <w:rsid w:val="006F1C61"/>
    <w:rsid w:val="006F2109"/>
    <w:rsid w:val="006F2217"/>
    <w:rsid w:val="006F2440"/>
    <w:rsid w:val="006F281F"/>
    <w:rsid w:val="006F2A69"/>
    <w:rsid w:val="006F2F61"/>
    <w:rsid w:val="006F30FC"/>
    <w:rsid w:val="006F3166"/>
    <w:rsid w:val="006F31DB"/>
    <w:rsid w:val="006F3678"/>
    <w:rsid w:val="006F371B"/>
    <w:rsid w:val="006F3ED9"/>
    <w:rsid w:val="006F488B"/>
    <w:rsid w:val="006F488C"/>
    <w:rsid w:val="006F4B05"/>
    <w:rsid w:val="006F4C54"/>
    <w:rsid w:val="006F5209"/>
    <w:rsid w:val="006F548C"/>
    <w:rsid w:val="006F5B7C"/>
    <w:rsid w:val="006F5F2E"/>
    <w:rsid w:val="006F5F4C"/>
    <w:rsid w:val="006F5FC1"/>
    <w:rsid w:val="006F6021"/>
    <w:rsid w:val="006F653A"/>
    <w:rsid w:val="006F6555"/>
    <w:rsid w:val="006F6900"/>
    <w:rsid w:val="006F6C79"/>
    <w:rsid w:val="006F6CCE"/>
    <w:rsid w:val="006F6CE4"/>
    <w:rsid w:val="006F6E04"/>
    <w:rsid w:val="006F6E95"/>
    <w:rsid w:val="006F703E"/>
    <w:rsid w:val="006F7121"/>
    <w:rsid w:val="006F73E3"/>
    <w:rsid w:val="006F7441"/>
    <w:rsid w:val="006F79DC"/>
    <w:rsid w:val="006F7E4A"/>
    <w:rsid w:val="006F7F8A"/>
    <w:rsid w:val="0070001D"/>
    <w:rsid w:val="00700385"/>
    <w:rsid w:val="007008CF"/>
    <w:rsid w:val="00700AEE"/>
    <w:rsid w:val="00700D03"/>
    <w:rsid w:val="00700DFA"/>
    <w:rsid w:val="00701106"/>
    <w:rsid w:val="0070138F"/>
    <w:rsid w:val="0070140E"/>
    <w:rsid w:val="007014A8"/>
    <w:rsid w:val="007015C1"/>
    <w:rsid w:val="0070164D"/>
    <w:rsid w:val="007019BA"/>
    <w:rsid w:val="00701A31"/>
    <w:rsid w:val="00701C7B"/>
    <w:rsid w:val="00701EDE"/>
    <w:rsid w:val="0070219E"/>
    <w:rsid w:val="007026CD"/>
    <w:rsid w:val="00702750"/>
    <w:rsid w:val="0070277F"/>
    <w:rsid w:val="00702A1C"/>
    <w:rsid w:val="00702EC4"/>
    <w:rsid w:val="007033EA"/>
    <w:rsid w:val="00703437"/>
    <w:rsid w:val="007034E4"/>
    <w:rsid w:val="007036C0"/>
    <w:rsid w:val="0070379E"/>
    <w:rsid w:val="007037AD"/>
    <w:rsid w:val="007038DB"/>
    <w:rsid w:val="00703F32"/>
    <w:rsid w:val="00703FF9"/>
    <w:rsid w:val="00704626"/>
    <w:rsid w:val="00704B70"/>
    <w:rsid w:val="00704FD5"/>
    <w:rsid w:val="00704FD7"/>
    <w:rsid w:val="00705269"/>
    <w:rsid w:val="007052D7"/>
    <w:rsid w:val="007054B8"/>
    <w:rsid w:val="00705C0F"/>
    <w:rsid w:val="00705F86"/>
    <w:rsid w:val="007065CC"/>
    <w:rsid w:val="007067B2"/>
    <w:rsid w:val="00706C66"/>
    <w:rsid w:val="00706F02"/>
    <w:rsid w:val="00707127"/>
    <w:rsid w:val="007072B9"/>
    <w:rsid w:val="00707458"/>
    <w:rsid w:val="007074E5"/>
    <w:rsid w:val="007076DD"/>
    <w:rsid w:val="0070795A"/>
    <w:rsid w:val="00707F5E"/>
    <w:rsid w:val="0071021B"/>
    <w:rsid w:val="00710343"/>
    <w:rsid w:val="007104B6"/>
    <w:rsid w:val="00710A25"/>
    <w:rsid w:val="00710A41"/>
    <w:rsid w:val="00710E2D"/>
    <w:rsid w:val="00710F21"/>
    <w:rsid w:val="007110E7"/>
    <w:rsid w:val="00711111"/>
    <w:rsid w:val="00711214"/>
    <w:rsid w:val="00711314"/>
    <w:rsid w:val="00711496"/>
    <w:rsid w:val="0071169E"/>
    <w:rsid w:val="00711B93"/>
    <w:rsid w:val="00711F68"/>
    <w:rsid w:val="00711FBF"/>
    <w:rsid w:val="007120BB"/>
    <w:rsid w:val="007121FE"/>
    <w:rsid w:val="0071240C"/>
    <w:rsid w:val="00712450"/>
    <w:rsid w:val="0071255A"/>
    <w:rsid w:val="007126DD"/>
    <w:rsid w:val="0071277F"/>
    <w:rsid w:val="00712919"/>
    <w:rsid w:val="00712DA4"/>
    <w:rsid w:val="00712E43"/>
    <w:rsid w:val="00712FCA"/>
    <w:rsid w:val="007131E7"/>
    <w:rsid w:val="00713260"/>
    <w:rsid w:val="00713978"/>
    <w:rsid w:val="00713EEA"/>
    <w:rsid w:val="007141AA"/>
    <w:rsid w:val="00714414"/>
    <w:rsid w:val="00714424"/>
    <w:rsid w:val="007145FB"/>
    <w:rsid w:val="007148B2"/>
    <w:rsid w:val="0071499C"/>
    <w:rsid w:val="00715270"/>
    <w:rsid w:val="0071536B"/>
    <w:rsid w:val="007153D8"/>
    <w:rsid w:val="00715D68"/>
    <w:rsid w:val="00715E2A"/>
    <w:rsid w:val="00715E5E"/>
    <w:rsid w:val="00715EB4"/>
    <w:rsid w:val="007161E2"/>
    <w:rsid w:val="00716425"/>
    <w:rsid w:val="0071680D"/>
    <w:rsid w:val="00716AFC"/>
    <w:rsid w:val="00716C18"/>
    <w:rsid w:val="00716D01"/>
    <w:rsid w:val="00716D08"/>
    <w:rsid w:val="00716D36"/>
    <w:rsid w:val="00717114"/>
    <w:rsid w:val="0071732C"/>
    <w:rsid w:val="007174AC"/>
    <w:rsid w:val="00717591"/>
    <w:rsid w:val="00717697"/>
    <w:rsid w:val="00717846"/>
    <w:rsid w:val="00717ADF"/>
    <w:rsid w:val="00717C74"/>
    <w:rsid w:val="007202A2"/>
    <w:rsid w:val="007203CC"/>
    <w:rsid w:val="0072060F"/>
    <w:rsid w:val="007207DF"/>
    <w:rsid w:val="00720B92"/>
    <w:rsid w:val="00720F06"/>
    <w:rsid w:val="007210EB"/>
    <w:rsid w:val="00721301"/>
    <w:rsid w:val="007215EE"/>
    <w:rsid w:val="00721735"/>
    <w:rsid w:val="00721A4D"/>
    <w:rsid w:val="00722100"/>
    <w:rsid w:val="007227CD"/>
    <w:rsid w:val="00722E05"/>
    <w:rsid w:val="00722F4F"/>
    <w:rsid w:val="00722FF6"/>
    <w:rsid w:val="0072312D"/>
    <w:rsid w:val="007235E7"/>
    <w:rsid w:val="0072382C"/>
    <w:rsid w:val="007238C0"/>
    <w:rsid w:val="007239B9"/>
    <w:rsid w:val="00723AEB"/>
    <w:rsid w:val="00723B19"/>
    <w:rsid w:val="00723C67"/>
    <w:rsid w:val="00723DF9"/>
    <w:rsid w:val="00723EF8"/>
    <w:rsid w:val="00724077"/>
    <w:rsid w:val="00724209"/>
    <w:rsid w:val="00724237"/>
    <w:rsid w:val="00724960"/>
    <w:rsid w:val="00724A36"/>
    <w:rsid w:val="00724A72"/>
    <w:rsid w:val="007251E3"/>
    <w:rsid w:val="007251FD"/>
    <w:rsid w:val="00725360"/>
    <w:rsid w:val="007253FD"/>
    <w:rsid w:val="00725A5D"/>
    <w:rsid w:val="00725B68"/>
    <w:rsid w:val="00725D51"/>
    <w:rsid w:val="007263C5"/>
    <w:rsid w:val="0072644A"/>
    <w:rsid w:val="0072655B"/>
    <w:rsid w:val="00726A77"/>
    <w:rsid w:val="00726A92"/>
    <w:rsid w:val="00726F35"/>
    <w:rsid w:val="00726F64"/>
    <w:rsid w:val="00726FB3"/>
    <w:rsid w:val="007272DC"/>
    <w:rsid w:val="00727334"/>
    <w:rsid w:val="00727528"/>
    <w:rsid w:val="007275B6"/>
    <w:rsid w:val="007278A8"/>
    <w:rsid w:val="00730330"/>
    <w:rsid w:val="00730AA5"/>
    <w:rsid w:val="00730C3F"/>
    <w:rsid w:val="00730D74"/>
    <w:rsid w:val="007310B8"/>
    <w:rsid w:val="007312ED"/>
    <w:rsid w:val="007314DB"/>
    <w:rsid w:val="0073168E"/>
    <w:rsid w:val="00731A61"/>
    <w:rsid w:val="00731C2A"/>
    <w:rsid w:val="00731EF1"/>
    <w:rsid w:val="00731F96"/>
    <w:rsid w:val="0073201C"/>
    <w:rsid w:val="00732092"/>
    <w:rsid w:val="00732181"/>
    <w:rsid w:val="0073233F"/>
    <w:rsid w:val="00732526"/>
    <w:rsid w:val="007325B4"/>
    <w:rsid w:val="0073262A"/>
    <w:rsid w:val="00732935"/>
    <w:rsid w:val="00732CA3"/>
    <w:rsid w:val="00732D1B"/>
    <w:rsid w:val="00732DB2"/>
    <w:rsid w:val="00732FA3"/>
    <w:rsid w:val="007332EB"/>
    <w:rsid w:val="00733416"/>
    <w:rsid w:val="00733524"/>
    <w:rsid w:val="0073365F"/>
    <w:rsid w:val="007336EA"/>
    <w:rsid w:val="0073392E"/>
    <w:rsid w:val="00733AA1"/>
    <w:rsid w:val="00733AB1"/>
    <w:rsid w:val="00733ACB"/>
    <w:rsid w:val="00733C81"/>
    <w:rsid w:val="00733E9D"/>
    <w:rsid w:val="00734173"/>
    <w:rsid w:val="00734198"/>
    <w:rsid w:val="0073419C"/>
    <w:rsid w:val="007343FA"/>
    <w:rsid w:val="00734C38"/>
    <w:rsid w:val="00734D41"/>
    <w:rsid w:val="00734F2F"/>
    <w:rsid w:val="007350F1"/>
    <w:rsid w:val="0073524D"/>
    <w:rsid w:val="00735742"/>
    <w:rsid w:val="007359AE"/>
    <w:rsid w:val="00735A4A"/>
    <w:rsid w:val="00735BDF"/>
    <w:rsid w:val="00735D19"/>
    <w:rsid w:val="00735E16"/>
    <w:rsid w:val="00736337"/>
    <w:rsid w:val="00736370"/>
    <w:rsid w:val="007363FC"/>
    <w:rsid w:val="007366E2"/>
    <w:rsid w:val="007366F2"/>
    <w:rsid w:val="007367C1"/>
    <w:rsid w:val="0073684D"/>
    <w:rsid w:val="00736AD7"/>
    <w:rsid w:val="00736BA2"/>
    <w:rsid w:val="00736C44"/>
    <w:rsid w:val="00737010"/>
    <w:rsid w:val="00737226"/>
    <w:rsid w:val="0073738A"/>
    <w:rsid w:val="00737497"/>
    <w:rsid w:val="0073783A"/>
    <w:rsid w:val="0073784D"/>
    <w:rsid w:val="007379DC"/>
    <w:rsid w:val="00737AB2"/>
    <w:rsid w:val="00737C85"/>
    <w:rsid w:val="00737CA9"/>
    <w:rsid w:val="00740107"/>
    <w:rsid w:val="007404A1"/>
    <w:rsid w:val="007405C1"/>
    <w:rsid w:val="0074092F"/>
    <w:rsid w:val="00740A2A"/>
    <w:rsid w:val="00740E0C"/>
    <w:rsid w:val="00740E67"/>
    <w:rsid w:val="00741265"/>
    <w:rsid w:val="007418CD"/>
    <w:rsid w:val="00741913"/>
    <w:rsid w:val="00741AE9"/>
    <w:rsid w:val="007420A9"/>
    <w:rsid w:val="007420E1"/>
    <w:rsid w:val="00742211"/>
    <w:rsid w:val="007422D4"/>
    <w:rsid w:val="0074239B"/>
    <w:rsid w:val="00742703"/>
    <w:rsid w:val="007427C5"/>
    <w:rsid w:val="00742815"/>
    <w:rsid w:val="00742D5B"/>
    <w:rsid w:val="00742FEF"/>
    <w:rsid w:val="0074300E"/>
    <w:rsid w:val="00743362"/>
    <w:rsid w:val="00743BFF"/>
    <w:rsid w:val="00743E72"/>
    <w:rsid w:val="00744233"/>
    <w:rsid w:val="007444B0"/>
    <w:rsid w:val="007448D3"/>
    <w:rsid w:val="00744CF4"/>
    <w:rsid w:val="00744F4E"/>
    <w:rsid w:val="00744FDE"/>
    <w:rsid w:val="007450B1"/>
    <w:rsid w:val="0074534A"/>
    <w:rsid w:val="007454C0"/>
    <w:rsid w:val="007455C5"/>
    <w:rsid w:val="00745884"/>
    <w:rsid w:val="00745A5C"/>
    <w:rsid w:val="00745BA9"/>
    <w:rsid w:val="00745E4E"/>
    <w:rsid w:val="00745F3D"/>
    <w:rsid w:val="00745FB4"/>
    <w:rsid w:val="0074620C"/>
    <w:rsid w:val="00746EF8"/>
    <w:rsid w:val="00747005"/>
    <w:rsid w:val="00747064"/>
    <w:rsid w:val="007470A1"/>
    <w:rsid w:val="00747243"/>
    <w:rsid w:val="0074742F"/>
    <w:rsid w:val="00747B14"/>
    <w:rsid w:val="00747BB2"/>
    <w:rsid w:val="00747D38"/>
    <w:rsid w:val="00747E0D"/>
    <w:rsid w:val="00750296"/>
    <w:rsid w:val="00750382"/>
    <w:rsid w:val="00750CEC"/>
    <w:rsid w:val="00750D40"/>
    <w:rsid w:val="00750F31"/>
    <w:rsid w:val="007510A2"/>
    <w:rsid w:val="00751238"/>
    <w:rsid w:val="007512D9"/>
    <w:rsid w:val="00751540"/>
    <w:rsid w:val="00751C98"/>
    <w:rsid w:val="0075246C"/>
    <w:rsid w:val="007525EF"/>
    <w:rsid w:val="007527C0"/>
    <w:rsid w:val="00752AE8"/>
    <w:rsid w:val="00752DEF"/>
    <w:rsid w:val="00752E68"/>
    <w:rsid w:val="00753192"/>
    <w:rsid w:val="00753480"/>
    <w:rsid w:val="00753492"/>
    <w:rsid w:val="007538C1"/>
    <w:rsid w:val="007538E6"/>
    <w:rsid w:val="00753CB5"/>
    <w:rsid w:val="00753FFF"/>
    <w:rsid w:val="0075421E"/>
    <w:rsid w:val="00754652"/>
    <w:rsid w:val="00754C8A"/>
    <w:rsid w:val="00754D99"/>
    <w:rsid w:val="00754E72"/>
    <w:rsid w:val="00754FD2"/>
    <w:rsid w:val="00755615"/>
    <w:rsid w:val="0075564F"/>
    <w:rsid w:val="00755925"/>
    <w:rsid w:val="00755BE7"/>
    <w:rsid w:val="00755C8B"/>
    <w:rsid w:val="00755D06"/>
    <w:rsid w:val="00756358"/>
    <w:rsid w:val="00756632"/>
    <w:rsid w:val="007569D8"/>
    <w:rsid w:val="00756CDF"/>
    <w:rsid w:val="00756D53"/>
    <w:rsid w:val="00757340"/>
    <w:rsid w:val="00757457"/>
    <w:rsid w:val="007574D9"/>
    <w:rsid w:val="0075770F"/>
    <w:rsid w:val="00757727"/>
    <w:rsid w:val="007578A9"/>
    <w:rsid w:val="00757B40"/>
    <w:rsid w:val="00757F1C"/>
    <w:rsid w:val="007603D9"/>
    <w:rsid w:val="00760740"/>
    <w:rsid w:val="00760803"/>
    <w:rsid w:val="0076087A"/>
    <w:rsid w:val="007608E9"/>
    <w:rsid w:val="00760C48"/>
    <w:rsid w:val="00760DBD"/>
    <w:rsid w:val="00761015"/>
    <w:rsid w:val="00761019"/>
    <w:rsid w:val="0076158B"/>
    <w:rsid w:val="007616B2"/>
    <w:rsid w:val="0076178B"/>
    <w:rsid w:val="00761A5E"/>
    <w:rsid w:val="00762219"/>
    <w:rsid w:val="007622BC"/>
    <w:rsid w:val="007622E1"/>
    <w:rsid w:val="0076248C"/>
    <w:rsid w:val="0076249E"/>
    <w:rsid w:val="007625A0"/>
    <w:rsid w:val="00762865"/>
    <w:rsid w:val="00762BD4"/>
    <w:rsid w:val="00762C66"/>
    <w:rsid w:val="007632A2"/>
    <w:rsid w:val="00763606"/>
    <w:rsid w:val="00763661"/>
    <w:rsid w:val="0076375B"/>
    <w:rsid w:val="007637D8"/>
    <w:rsid w:val="00763989"/>
    <w:rsid w:val="00763B9E"/>
    <w:rsid w:val="00763BD3"/>
    <w:rsid w:val="00763E1B"/>
    <w:rsid w:val="00763F1D"/>
    <w:rsid w:val="00763F20"/>
    <w:rsid w:val="007646B8"/>
    <w:rsid w:val="00764841"/>
    <w:rsid w:val="00764880"/>
    <w:rsid w:val="007648B1"/>
    <w:rsid w:val="00764A82"/>
    <w:rsid w:val="00764B2E"/>
    <w:rsid w:val="00764D19"/>
    <w:rsid w:val="0076522F"/>
    <w:rsid w:val="00765490"/>
    <w:rsid w:val="00765AA4"/>
    <w:rsid w:val="00765BCE"/>
    <w:rsid w:val="00765DBE"/>
    <w:rsid w:val="00765DD3"/>
    <w:rsid w:val="00765DD6"/>
    <w:rsid w:val="00766027"/>
    <w:rsid w:val="00766407"/>
    <w:rsid w:val="00766546"/>
    <w:rsid w:val="00766690"/>
    <w:rsid w:val="0076685D"/>
    <w:rsid w:val="007669E1"/>
    <w:rsid w:val="00766C03"/>
    <w:rsid w:val="0076708F"/>
    <w:rsid w:val="00767581"/>
    <w:rsid w:val="00767626"/>
    <w:rsid w:val="0076774F"/>
    <w:rsid w:val="007679EB"/>
    <w:rsid w:val="00767A2F"/>
    <w:rsid w:val="00767B28"/>
    <w:rsid w:val="00767BE9"/>
    <w:rsid w:val="00767BEB"/>
    <w:rsid w:val="00767BF9"/>
    <w:rsid w:val="00767D4C"/>
    <w:rsid w:val="00767E25"/>
    <w:rsid w:val="00767E2B"/>
    <w:rsid w:val="00770065"/>
    <w:rsid w:val="00770209"/>
    <w:rsid w:val="007702B1"/>
    <w:rsid w:val="00770852"/>
    <w:rsid w:val="00770FB5"/>
    <w:rsid w:val="00771489"/>
    <w:rsid w:val="00771618"/>
    <w:rsid w:val="00771640"/>
    <w:rsid w:val="00771800"/>
    <w:rsid w:val="00771B78"/>
    <w:rsid w:val="00771C14"/>
    <w:rsid w:val="00771C47"/>
    <w:rsid w:val="007723A3"/>
    <w:rsid w:val="007726AD"/>
    <w:rsid w:val="00772D2A"/>
    <w:rsid w:val="00772E8D"/>
    <w:rsid w:val="00772FC9"/>
    <w:rsid w:val="007730CD"/>
    <w:rsid w:val="007730D4"/>
    <w:rsid w:val="00773154"/>
    <w:rsid w:val="00773219"/>
    <w:rsid w:val="00773414"/>
    <w:rsid w:val="007734F2"/>
    <w:rsid w:val="0077385E"/>
    <w:rsid w:val="00773A9C"/>
    <w:rsid w:val="00773E78"/>
    <w:rsid w:val="00774184"/>
    <w:rsid w:val="00774257"/>
    <w:rsid w:val="0077430B"/>
    <w:rsid w:val="007743EE"/>
    <w:rsid w:val="00774634"/>
    <w:rsid w:val="007747D1"/>
    <w:rsid w:val="007748BD"/>
    <w:rsid w:val="007748F2"/>
    <w:rsid w:val="007749B2"/>
    <w:rsid w:val="00774D90"/>
    <w:rsid w:val="00774E5D"/>
    <w:rsid w:val="00774FB1"/>
    <w:rsid w:val="007752B0"/>
    <w:rsid w:val="00775422"/>
    <w:rsid w:val="0077551A"/>
    <w:rsid w:val="00775961"/>
    <w:rsid w:val="00775BBD"/>
    <w:rsid w:val="00775CDC"/>
    <w:rsid w:val="00775D45"/>
    <w:rsid w:val="00775EA9"/>
    <w:rsid w:val="007764F3"/>
    <w:rsid w:val="007766CD"/>
    <w:rsid w:val="00776B64"/>
    <w:rsid w:val="00776CC3"/>
    <w:rsid w:val="00776ED7"/>
    <w:rsid w:val="0077725C"/>
    <w:rsid w:val="0077736D"/>
    <w:rsid w:val="0077739B"/>
    <w:rsid w:val="007773BF"/>
    <w:rsid w:val="007773D8"/>
    <w:rsid w:val="007773E4"/>
    <w:rsid w:val="007775E0"/>
    <w:rsid w:val="00777828"/>
    <w:rsid w:val="007779F1"/>
    <w:rsid w:val="00777A82"/>
    <w:rsid w:val="00777D9E"/>
    <w:rsid w:val="00780058"/>
    <w:rsid w:val="007800A2"/>
    <w:rsid w:val="00780259"/>
    <w:rsid w:val="00780407"/>
    <w:rsid w:val="007804E1"/>
    <w:rsid w:val="0078055C"/>
    <w:rsid w:val="00780906"/>
    <w:rsid w:val="00780928"/>
    <w:rsid w:val="00780DB1"/>
    <w:rsid w:val="00780F1D"/>
    <w:rsid w:val="00780F9C"/>
    <w:rsid w:val="00780F9E"/>
    <w:rsid w:val="0078111A"/>
    <w:rsid w:val="00781413"/>
    <w:rsid w:val="0078169B"/>
    <w:rsid w:val="00781830"/>
    <w:rsid w:val="00781CA5"/>
    <w:rsid w:val="00781E38"/>
    <w:rsid w:val="00781E44"/>
    <w:rsid w:val="00781EF0"/>
    <w:rsid w:val="00782477"/>
    <w:rsid w:val="00782506"/>
    <w:rsid w:val="007825CC"/>
    <w:rsid w:val="007825F8"/>
    <w:rsid w:val="00782653"/>
    <w:rsid w:val="007826EB"/>
    <w:rsid w:val="00782892"/>
    <w:rsid w:val="00782976"/>
    <w:rsid w:val="00782A8E"/>
    <w:rsid w:val="00782AAB"/>
    <w:rsid w:val="00782DF1"/>
    <w:rsid w:val="0078313E"/>
    <w:rsid w:val="00783569"/>
    <w:rsid w:val="007838CB"/>
    <w:rsid w:val="00783AAE"/>
    <w:rsid w:val="00783CDA"/>
    <w:rsid w:val="00783D28"/>
    <w:rsid w:val="00783EE6"/>
    <w:rsid w:val="0078427B"/>
    <w:rsid w:val="007845C8"/>
    <w:rsid w:val="00784770"/>
    <w:rsid w:val="00784791"/>
    <w:rsid w:val="007849F0"/>
    <w:rsid w:val="0078501D"/>
    <w:rsid w:val="00785386"/>
    <w:rsid w:val="00785A66"/>
    <w:rsid w:val="00785AE8"/>
    <w:rsid w:val="00785D1A"/>
    <w:rsid w:val="007860A8"/>
    <w:rsid w:val="007861B8"/>
    <w:rsid w:val="00786215"/>
    <w:rsid w:val="00786389"/>
    <w:rsid w:val="007865A2"/>
    <w:rsid w:val="00786665"/>
    <w:rsid w:val="007866F0"/>
    <w:rsid w:val="00786984"/>
    <w:rsid w:val="00786F53"/>
    <w:rsid w:val="007871B5"/>
    <w:rsid w:val="007871CA"/>
    <w:rsid w:val="0078728E"/>
    <w:rsid w:val="0078733D"/>
    <w:rsid w:val="00787715"/>
    <w:rsid w:val="00787DA8"/>
    <w:rsid w:val="007900A4"/>
    <w:rsid w:val="007900D5"/>
    <w:rsid w:val="007906A1"/>
    <w:rsid w:val="00790A18"/>
    <w:rsid w:val="00790A7D"/>
    <w:rsid w:val="00790BD5"/>
    <w:rsid w:val="00790DC9"/>
    <w:rsid w:val="00791205"/>
    <w:rsid w:val="0079179C"/>
    <w:rsid w:val="007918DA"/>
    <w:rsid w:val="007919EE"/>
    <w:rsid w:val="00791F95"/>
    <w:rsid w:val="00792124"/>
    <w:rsid w:val="007927EC"/>
    <w:rsid w:val="0079291B"/>
    <w:rsid w:val="00792A08"/>
    <w:rsid w:val="00792CAE"/>
    <w:rsid w:val="00792CD8"/>
    <w:rsid w:val="0079300D"/>
    <w:rsid w:val="00793409"/>
    <w:rsid w:val="007934A4"/>
    <w:rsid w:val="007937A1"/>
    <w:rsid w:val="0079395C"/>
    <w:rsid w:val="00793A0D"/>
    <w:rsid w:val="00793C4C"/>
    <w:rsid w:val="00793F1A"/>
    <w:rsid w:val="0079407F"/>
    <w:rsid w:val="00794104"/>
    <w:rsid w:val="0079418B"/>
    <w:rsid w:val="007941F4"/>
    <w:rsid w:val="0079454F"/>
    <w:rsid w:val="00794734"/>
    <w:rsid w:val="007949AF"/>
    <w:rsid w:val="00794DF4"/>
    <w:rsid w:val="00795A94"/>
    <w:rsid w:val="00795AF8"/>
    <w:rsid w:val="00795C9F"/>
    <w:rsid w:val="00795CE5"/>
    <w:rsid w:val="00795D39"/>
    <w:rsid w:val="00795E0A"/>
    <w:rsid w:val="00795EE6"/>
    <w:rsid w:val="007961C5"/>
    <w:rsid w:val="00797018"/>
    <w:rsid w:val="007971D1"/>
    <w:rsid w:val="007973A9"/>
    <w:rsid w:val="00797851"/>
    <w:rsid w:val="00797F7B"/>
    <w:rsid w:val="007A0320"/>
    <w:rsid w:val="007A057C"/>
    <w:rsid w:val="007A0C9C"/>
    <w:rsid w:val="007A0F26"/>
    <w:rsid w:val="007A0FDA"/>
    <w:rsid w:val="007A12B4"/>
    <w:rsid w:val="007A17A0"/>
    <w:rsid w:val="007A1A92"/>
    <w:rsid w:val="007A1ACE"/>
    <w:rsid w:val="007A1B6D"/>
    <w:rsid w:val="007A1BD1"/>
    <w:rsid w:val="007A1CBA"/>
    <w:rsid w:val="007A1EFF"/>
    <w:rsid w:val="007A1FB4"/>
    <w:rsid w:val="007A253D"/>
    <w:rsid w:val="007A27CC"/>
    <w:rsid w:val="007A2937"/>
    <w:rsid w:val="007A29A3"/>
    <w:rsid w:val="007A29D8"/>
    <w:rsid w:val="007A2A0F"/>
    <w:rsid w:val="007A2A92"/>
    <w:rsid w:val="007A2C5D"/>
    <w:rsid w:val="007A32B2"/>
    <w:rsid w:val="007A3360"/>
    <w:rsid w:val="007A3444"/>
    <w:rsid w:val="007A34A0"/>
    <w:rsid w:val="007A34F4"/>
    <w:rsid w:val="007A3969"/>
    <w:rsid w:val="007A39E1"/>
    <w:rsid w:val="007A3ACD"/>
    <w:rsid w:val="007A427E"/>
    <w:rsid w:val="007A443B"/>
    <w:rsid w:val="007A491D"/>
    <w:rsid w:val="007A4AAB"/>
    <w:rsid w:val="007A4AF5"/>
    <w:rsid w:val="007A4C98"/>
    <w:rsid w:val="007A4CB5"/>
    <w:rsid w:val="007A4CC2"/>
    <w:rsid w:val="007A4F30"/>
    <w:rsid w:val="007A51C1"/>
    <w:rsid w:val="007A529E"/>
    <w:rsid w:val="007A5428"/>
    <w:rsid w:val="007A54B9"/>
    <w:rsid w:val="007A5745"/>
    <w:rsid w:val="007A5ACC"/>
    <w:rsid w:val="007A5BBB"/>
    <w:rsid w:val="007A5C63"/>
    <w:rsid w:val="007A6154"/>
    <w:rsid w:val="007A62E6"/>
    <w:rsid w:val="007A6B4F"/>
    <w:rsid w:val="007A6B89"/>
    <w:rsid w:val="007A6DC0"/>
    <w:rsid w:val="007A6E17"/>
    <w:rsid w:val="007A6E8E"/>
    <w:rsid w:val="007A7053"/>
    <w:rsid w:val="007A73D5"/>
    <w:rsid w:val="007A74E1"/>
    <w:rsid w:val="007A74E6"/>
    <w:rsid w:val="007A7B02"/>
    <w:rsid w:val="007A7BD1"/>
    <w:rsid w:val="007A7BDE"/>
    <w:rsid w:val="007A7E54"/>
    <w:rsid w:val="007A7EDC"/>
    <w:rsid w:val="007B05B6"/>
    <w:rsid w:val="007B0C54"/>
    <w:rsid w:val="007B105B"/>
    <w:rsid w:val="007B1356"/>
    <w:rsid w:val="007B1491"/>
    <w:rsid w:val="007B16FB"/>
    <w:rsid w:val="007B1741"/>
    <w:rsid w:val="007B1923"/>
    <w:rsid w:val="007B20CD"/>
    <w:rsid w:val="007B2694"/>
    <w:rsid w:val="007B277B"/>
    <w:rsid w:val="007B2785"/>
    <w:rsid w:val="007B2985"/>
    <w:rsid w:val="007B2B07"/>
    <w:rsid w:val="007B2BD3"/>
    <w:rsid w:val="007B31BC"/>
    <w:rsid w:val="007B3340"/>
    <w:rsid w:val="007B3553"/>
    <w:rsid w:val="007B3822"/>
    <w:rsid w:val="007B3F78"/>
    <w:rsid w:val="007B3F8F"/>
    <w:rsid w:val="007B3FC6"/>
    <w:rsid w:val="007B3FC8"/>
    <w:rsid w:val="007B4058"/>
    <w:rsid w:val="007B4231"/>
    <w:rsid w:val="007B477F"/>
    <w:rsid w:val="007B47D8"/>
    <w:rsid w:val="007B492A"/>
    <w:rsid w:val="007B4AF1"/>
    <w:rsid w:val="007B4D1E"/>
    <w:rsid w:val="007B5036"/>
    <w:rsid w:val="007B513C"/>
    <w:rsid w:val="007B51E8"/>
    <w:rsid w:val="007B5290"/>
    <w:rsid w:val="007B52B4"/>
    <w:rsid w:val="007B548D"/>
    <w:rsid w:val="007B551E"/>
    <w:rsid w:val="007B5979"/>
    <w:rsid w:val="007B59CD"/>
    <w:rsid w:val="007B5B05"/>
    <w:rsid w:val="007B6370"/>
    <w:rsid w:val="007B6398"/>
    <w:rsid w:val="007B6782"/>
    <w:rsid w:val="007B6AB2"/>
    <w:rsid w:val="007B6F4E"/>
    <w:rsid w:val="007B6FC2"/>
    <w:rsid w:val="007B6FE3"/>
    <w:rsid w:val="007B7259"/>
    <w:rsid w:val="007B753C"/>
    <w:rsid w:val="007B7793"/>
    <w:rsid w:val="007B7816"/>
    <w:rsid w:val="007B7892"/>
    <w:rsid w:val="007B793C"/>
    <w:rsid w:val="007B7BF7"/>
    <w:rsid w:val="007B7D56"/>
    <w:rsid w:val="007B7D70"/>
    <w:rsid w:val="007B7D89"/>
    <w:rsid w:val="007B7F04"/>
    <w:rsid w:val="007B7FEB"/>
    <w:rsid w:val="007C0027"/>
    <w:rsid w:val="007C0833"/>
    <w:rsid w:val="007C084A"/>
    <w:rsid w:val="007C089F"/>
    <w:rsid w:val="007C0B1B"/>
    <w:rsid w:val="007C0E45"/>
    <w:rsid w:val="007C120D"/>
    <w:rsid w:val="007C134B"/>
    <w:rsid w:val="007C1445"/>
    <w:rsid w:val="007C16E9"/>
    <w:rsid w:val="007C1868"/>
    <w:rsid w:val="007C1D6C"/>
    <w:rsid w:val="007C1D9E"/>
    <w:rsid w:val="007C237B"/>
    <w:rsid w:val="007C23A1"/>
    <w:rsid w:val="007C2451"/>
    <w:rsid w:val="007C24A6"/>
    <w:rsid w:val="007C2A3D"/>
    <w:rsid w:val="007C2BE8"/>
    <w:rsid w:val="007C3076"/>
    <w:rsid w:val="007C3190"/>
    <w:rsid w:val="007C3A9B"/>
    <w:rsid w:val="007C3BC9"/>
    <w:rsid w:val="007C3C58"/>
    <w:rsid w:val="007C3C6F"/>
    <w:rsid w:val="007C3CB1"/>
    <w:rsid w:val="007C3FEE"/>
    <w:rsid w:val="007C419D"/>
    <w:rsid w:val="007C4886"/>
    <w:rsid w:val="007C4A52"/>
    <w:rsid w:val="007C523A"/>
    <w:rsid w:val="007C543E"/>
    <w:rsid w:val="007C55E4"/>
    <w:rsid w:val="007C56D7"/>
    <w:rsid w:val="007C5963"/>
    <w:rsid w:val="007C59F0"/>
    <w:rsid w:val="007C5B2C"/>
    <w:rsid w:val="007C5BF5"/>
    <w:rsid w:val="007C5DCE"/>
    <w:rsid w:val="007C609A"/>
    <w:rsid w:val="007C6561"/>
    <w:rsid w:val="007C6952"/>
    <w:rsid w:val="007C6D12"/>
    <w:rsid w:val="007C6D51"/>
    <w:rsid w:val="007C72DB"/>
    <w:rsid w:val="007C7448"/>
    <w:rsid w:val="007C762B"/>
    <w:rsid w:val="007C781E"/>
    <w:rsid w:val="007C7DA3"/>
    <w:rsid w:val="007D0005"/>
    <w:rsid w:val="007D058A"/>
    <w:rsid w:val="007D058F"/>
    <w:rsid w:val="007D0A03"/>
    <w:rsid w:val="007D0A96"/>
    <w:rsid w:val="007D0AB2"/>
    <w:rsid w:val="007D0AD6"/>
    <w:rsid w:val="007D0C72"/>
    <w:rsid w:val="007D1169"/>
    <w:rsid w:val="007D1376"/>
    <w:rsid w:val="007D1B5F"/>
    <w:rsid w:val="007D1DC0"/>
    <w:rsid w:val="007D1FED"/>
    <w:rsid w:val="007D25DA"/>
    <w:rsid w:val="007D2700"/>
    <w:rsid w:val="007D27B5"/>
    <w:rsid w:val="007D29FF"/>
    <w:rsid w:val="007D2D18"/>
    <w:rsid w:val="007D2E0C"/>
    <w:rsid w:val="007D2E8A"/>
    <w:rsid w:val="007D315A"/>
    <w:rsid w:val="007D3536"/>
    <w:rsid w:val="007D3732"/>
    <w:rsid w:val="007D3B15"/>
    <w:rsid w:val="007D3B5C"/>
    <w:rsid w:val="007D3B69"/>
    <w:rsid w:val="007D43AF"/>
    <w:rsid w:val="007D4536"/>
    <w:rsid w:val="007D459C"/>
    <w:rsid w:val="007D4705"/>
    <w:rsid w:val="007D48F2"/>
    <w:rsid w:val="007D4A14"/>
    <w:rsid w:val="007D4AD1"/>
    <w:rsid w:val="007D4E98"/>
    <w:rsid w:val="007D4F89"/>
    <w:rsid w:val="007D5127"/>
    <w:rsid w:val="007D514D"/>
    <w:rsid w:val="007D5453"/>
    <w:rsid w:val="007D561A"/>
    <w:rsid w:val="007D5671"/>
    <w:rsid w:val="007D57F7"/>
    <w:rsid w:val="007D5BD4"/>
    <w:rsid w:val="007D5DB6"/>
    <w:rsid w:val="007D5E38"/>
    <w:rsid w:val="007D5F20"/>
    <w:rsid w:val="007D5F62"/>
    <w:rsid w:val="007D5F74"/>
    <w:rsid w:val="007D6158"/>
    <w:rsid w:val="007D6184"/>
    <w:rsid w:val="007D62D6"/>
    <w:rsid w:val="007D6509"/>
    <w:rsid w:val="007D6AB0"/>
    <w:rsid w:val="007D6BA4"/>
    <w:rsid w:val="007D6C3C"/>
    <w:rsid w:val="007D6DA6"/>
    <w:rsid w:val="007D6E78"/>
    <w:rsid w:val="007D6F95"/>
    <w:rsid w:val="007D6FBD"/>
    <w:rsid w:val="007D7186"/>
    <w:rsid w:val="007D7296"/>
    <w:rsid w:val="007D73C4"/>
    <w:rsid w:val="007D73E1"/>
    <w:rsid w:val="007D783B"/>
    <w:rsid w:val="007D78F7"/>
    <w:rsid w:val="007D7934"/>
    <w:rsid w:val="007D7FDF"/>
    <w:rsid w:val="007E015F"/>
    <w:rsid w:val="007E01DD"/>
    <w:rsid w:val="007E0732"/>
    <w:rsid w:val="007E07D6"/>
    <w:rsid w:val="007E08FA"/>
    <w:rsid w:val="007E0E8E"/>
    <w:rsid w:val="007E1323"/>
    <w:rsid w:val="007E13B7"/>
    <w:rsid w:val="007E156E"/>
    <w:rsid w:val="007E172C"/>
    <w:rsid w:val="007E1C0A"/>
    <w:rsid w:val="007E1C4C"/>
    <w:rsid w:val="007E1EF0"/>
    <w:rsid w:val="007E2085"/>
    <w:rsid w:val="007E209B"/>
    <w:rsid w:val="007E21F6"/>
    <w:rsid w:val="007E231A"/>
    <w:rsid w:val="007E26A9"/>
    <w:rsid w:val="007E2855"/>
    <w:rsid w:val="007E2B43"/>
    <w:rsid w:val="007E2CD5"/>
    <w:rsid w:val="007E3092"/>
    <w:rsid w:val="007E3191"/>
    <w:rsid w:val="007E32B6"/>
    <w:rsid w:val="007E335C"/>
    <w:rsid w:val="007E3A95"/>
    <w:rsid w:val="007E3DE7"/>
    <w:rsid w:val="007E3F1F"/>
    <w:rsid w:val="007E4241"/>
    <w:rsid w:val="007E4580"/>
    <w:rsid w:val="007E4959"/>
    <w:rsid w:val="007E4B5D"/>
    <w:rsid w:val="007E4FCB"/>
    <w:rsid w:val="007E50F0"/>
    <w:rsid w:val="007E510E"/>
    <w:rsid w:val="007E51A1"/>
    <w:rsid w:val="007E54BF"/>
    <w:rsid w:val="007E589E"/>
    <w:rsid w:val="007E5ACE"/>
    <w:rsid w:val="007E5C03"/>
    <w:rsid w:val="007E5CF9"/>
    <w:rsid w:val="007E5DAA"/>
    <w:rsid w:val="007E5DFD"/>
    <w:rsid w:val="007E5ED8"/>
    <w:rsid w:val="007E5EF1"/>
    <w:rsid w:val="007E6350"/>
    <w:rsid w:val="007E6728"/>
    <w:rsid w:val="007E67EA"/>
    <w:rsid w:val="007E6871"/>
    <w:rsid w:val="007E6C16"/>
    <w:rsid w:val="007E6D4E"/>
    <w:rsid w:val="007E6D90"/>
    <w:rsid w:val="007E71BE"/>
    <w:rsid w:val="007E7383"/>
    <w:rsid w:val="007E7A05"/>
    <w:rsid w:val="007E7AD1"/>
    <w:rsid w:val="007E7F10"/>
    <w:rsid w:val="007F00EA"/>
    <w:rsid w:val="007F04ED"/>
    <w:rsid w:val="007F08F4"/>
    <w:rsid w:val="007F0A60"/>
    <w:rsid w:val="007F0B00"/>
    <w:rsid w:val="007F0D9B"/>
    <w:rsid w:val="007F0EDE"/>
    <w:rsid w:val="007F0F34"/>
    <w:rsid w:val="007F138C"/>
    <w:rsid w:val="007F13E4"/>
    <w:rsid w:val="007F15B0"/>
    <w:rsid w:val="007F1727"/>
    <w:rsid w:val="007F172A"/>
    <w:rsid w:val="007F1B97"/>
    <w:rsid w:val="007F1C7B"/>
    <w:rsid w:val="007F1FAC"/>
    <w:rsid w:val="007F2139"/>
    <w:rsid w:val="007F2463"/>
    <w:rsid w:val="007F28A1"/>
    <w:rsid w:val="007F28D3"/>
    <w:rsid w:val="007F298E"/>
    <w:rsid w:val="007F2A89"/>
    <w:rsid w:val="007F2AFC"/>
    <w:rsid w:val="007F3014"/>
    <w:rsid w:val="007F31A3"/>
    <w:rsid w:val="007F33D3"/>
    <w:rsid w:val="007F355B"/>
    <w:rsid w:val="007F3575"/>
    <w:rsid w:val="007F3A9F"/>
    <w:rsid w:val="007F3AFA"/>
    <w:rsid w:val="007F3C71"/>
    <w:rsid w:val="007F3CF7"/>
    <w:rsid w:val="007F3ED0"/>
    <w:rsid w:val="007F3EFB"/>
    <w:rsid w:val="007F3F03"/>
    <w:rsid w:val="007F3F21"/>
    <w:rsid w:val="007F3F95"/>
    <w:rsid w:val="007F41A3"/>
    <w:rsid w:val="007F4289"/>
    <w:rsid w:val="007F43C9"/>
    <w:rsid w:val="007F45A2"/>
    <w:rsid w:val="007F4926"/>
    <w:rsid w:val="007F4C0E"/>
    <w:rsid w:val="007F4D6A"/>
    <w:rsid w:val="007F5A2A"/>
    <w:rsid w:val="007F5A85"/>
    <w:rsid w:val="007F60A9"/>
    <w:rsid w:val="007F6162"/>
    <w:rsid w:val="007F6272"/>
    <w:rsid w:val="007F65C8"/>
    <w:rsid w:val="007F65D0"/>
    <w:rsid w:val="007F66AE"/>
    <w:rsid w:val="007F6C64"/>
    <w:rsid w:val="007F6C7C"/>
    <w:rsid w:val="007F6CB0"/>
    <w:rsid w:val="007F6E86"/>
    <w:rsid w:val="007F764E"/>
    <w:rsid w:val="007F765E"/>
    <w:rsid w:val="007F7943"/>
    <w:rsid w:val="007F7AAC"/>
    <w:rsid w:val="007F7B11"/>
    <w:rsid w:val="007F7C12"/>
    <w:rsid w:val="007F7C2E"/>
    <w:rsid w:val="007F7F1B"/>
    <w:rsid w:val="008002B0"/>
    <w:rsid w:val="008004A3"/>
    <w:rsid w:val="008006B4"/>
    <w:rsid w:val="00800807"/>
    <w:rsid w:val="00800907"/>
    <w:rsid w:val="00800A0F"/>
    <w:rsid w:val="00800BDF"/>
    <w:rsid w:val="00800ED0"/>
    <w:rsid w:val="00801041"/>
    <w:rsid w:val="00801478"/>
    <w:rsid w:val="008014DB"/>
    <w:rsid w:val="0080162B"/>
    <w:rsid w:val="00801772"/>
    <w:rsid w:val="008018A6"/>
    <w:rsid w:val="00801C4D"/>
    <w:rsid w:val="00801E34"/>
    <w:rsid w:val="00801FFC"/>
    <w:rsid w:val="00802184"/>
    <w:rsid w:val="008022B5"/>
    <w:rsid w:val="00802349"/>
    <w:rsid w:val="00802475"/>
    <w:rsid w:val="008026D3"/>
    <w:rsid w:val="00802C39"/>
    <w:rsid w:val="00802E9D"/>
    <w:rsid w:val="00802EA5"/>
    <w:rsid w:val="00802ED3"/>
    <w:rsid w:val="0080314D"/>
    <w:rsid w:val="00803745"/>
    <w:rsid w:val="00803954"/>
    <w:rsid w:val="00803DF5"/>
    <w:rsid w:val="0080420E"/>
    <w:rsid w:val="0080434C"/>
    <w:rsid w:val="008045BC"/>
    <w:rsid w:val="008047C8"/>
    <w:rsid w:val="008047F4"/>
    <w:rsid w:val="0080485E"/>
    <w:rsid w:val="00804A26"/>
    <w:rsid w:val="00804A4B"/>
    <w:rsid w:val="00804E16"/>
    <w:rsid w:val="00805016"/>
    <w:rsid w:val="00805563"/>
    <w:rsid w:val="00805803"/>
    <w:rsid w:val="00805AA1"/>
    <w:rsid w:val="00805CA2"/>
    <w:rsid w:val="00805D3A"/>
    <w:rsid w:val="00805D85"/>
    <w:rsid w:val="00805EB8"/>
    <w:rsid w:val="00806245"/>
    <w:rsid w:val="0080625B"/>
    <w:rsid w:val="0080636D"/>
    <w:rsid w:val="008066A5"/>
    <w:rsid w:val="00806811"/>
    <w:rsid w:val="00806868"/>
    <w:rsid w:val="008069CE"/>
    <w:rsid w:val="00806B3F"/>
    <w:rsid w:val="00806D9A"/>
    <w:rsid w:val="00806DA0"/>
    <w:rsid w:val="00806DDA"/>
    <w:rsid w:val="00806E45"/>
    <w:rsid w:val="00807882"/>
    <w:rsid w:val="00807933"/>
    <w:rsid w:val="00807AAE"/>
    <w:rsid w:val="00807C3A"/>
    <w:rsid w:val="00807C5A"/>
    <w:rsid w:val="00810520"/>
    <w:rsid w:val="00810683"/>
    <w:rsid w:val="0081076A"/>
    <w:rsid w:val="00810968"/>
    <w:rsid w:val="0081110F"/>
    <w:rsid w:val="00811175"/>
    <w:rsid w:val="008113A7"/>
    <w:rsid w:val="00811539"/>
    <w:rsid w:val="00811AEB"/>
    <w:rsid w:val="00811C3F"/>
    <w:rsid w:val="00811CA6"/>
    <w:rsid w:val="00811D64"/>
    <w:rsid w:val="0081200C"/>
    <w:rsid w:val="0081219C"/>
    <w:rsid w:val="008121F9"/>
    <w:rsid w:val="008123D9"/>
    <w:rsid w:val="00812450"/>
    <w:rsid w:val="00812490"/>
    <w:rsid w:val="00812594"/>
    <w:rsid w:val="008128F6"/>
    <w:rsid w:val="00812989"/>
    <w:rsid w:val="00812E17"/>
    <w:rsid w:val="00812F49"/>
    <w:rsid w:val="00812F4A"/>
    <w:rsid w:val="008130A0"/>
    <w:rsid w:val="0081311F"/>
    <w:rsid w:val="0081319C"/>
    <w:rsid w:val="008133F8"/>
    <w:rsid w:val="008135CC"/>
    <w:rsid w:val="00813618"/>
    <w:rsid w:val="008136E4"/>
    <w:rsid w:val="00813895"/>
    <w:rsid w:val="00813B30"/>
    <w:rsid w:val="00813C35"/>
    <w:rsid w:val="00813D2D"/>
    <w:rsid w:val="00814230"/>
    <w:rsid w:val="008143F7"/>
    <w:rsid w:val="00814555"/>
    <w:rsid w:val="00814CA5"/>
    <w:rsid w:val="00814F06"/>
    <w:rsid w:val="00815034"/>
    <w:rsid w:val="008151E2"/>
    <w:rsid w:val="00815342"/>
    <w:rsid w:val="008153BB"/>
    <w:rsid w:val="00815866"/>
    <w:rsid w:val="00815AAD"/>
    <w:rsid w:val="00815ABF"/>
    <w:rsid w:val="00815D5E"/>
    <w:rsid w:val="00815D6C"/>
    <w:rsid w:val="00815E02"/>
    <w:rsid w:val="00815EA6"/>
    <w:rsid w:val="00815F43"/>
    <w:rsid w:val="00815F6F"/>
    <w:rsid w:val="008160C9"/>
    <w:rsid w:val="008161DE"/>
    <w:rsid w:val="008165C9"/>
    <w:rsid w:val="008169AF"/>
    <w:rsid w:val="00816DF5"/>
    <w:rsid w:val="00817296"/>
    <w:rsid w:val="008172CE"/>
    <w:rsid w:val="0081732E"/>
    <w:rsid w:val="00817779"/>
    <w:rsid w:val="008179CF"/>
    <w:rsid w:val="00817B10"/>
    <w:rsid w:val="00817BB7"/>
    <w:rsid w:val="00817F91"/>
    <w:rsid w:val="0082025D"/>
    <w:rsid w:val="0082061A"/>
    <w:rsid w:val="00820685"/>
    <w:rsid w:val="00820721"/>
    <w:rsid w:val="00820D04"/>
    <w:rsid w:val="00820E72"/>
    <w:rsid w:val="0082101E"/>
    <w:rsid w:val="008210BC"/>
    <w:rsid w:val="008210E9"/>
    <w:rsid w:val="0082117D"/>
    <w:rsid w:val="00821262"/>
    <w:rsid w:val="0082134C"/>
    <w:rsid w:val="00821ACC"/>
    <w:rsid w:val="00821BB7"/>
    <w:rsid w:val="00821D70"/>
    <w:rsid w:val="00822016"/>
    <w:rsid w:val="00822420"/>
    <w:rsid w:val="008224AF"/>
    <w:rsid w:val="00822926"/>
    <w:rsid w:val="00822B08"/>
    <w:rsid w:val="00822BC9"/>
    <w:rsid w:val="00822ED1"/>
    <w:rsid w:val="00823667"/>
    <w:rsid w:val="008236C9"/>
    <w:rsid w:val="00823716"/>
    <w:rsid w:val="00823BF1"/>
    <w:rsid w:val="00823CD5"/>
    <w:rsid w:val="00823E7D"/>
    <w:rsid w:val="00824120"/>
    <w:rsid w:val="00824569"/>
    <w:rsid w:val="008247A0"/>
    <w:rsid w:val="00824AE0"/>
    <w:rsid w:val="00824B14"/>
    <w:rsid w:val="00824CB2"/>
    <w:rsid w:val="008250B0"/>
    <w:rsid w:val="008251E8"/>
    <w:rsid w:val="008252BF"/>
    <w:rsid w:val="00825511"/>
    <w:rsid w:val="008255AE"/>
    <w:rsid w:val="0082560B"/>
    <w:rsid w:val="00825625"/>
    <w:rsid w:val="00825874"/>
    <w:rsid w:val="008259C4"/>
    <w:rsid w:val="00825A47"/>
    <w:rsid w:val="00825E02"/>
    <w:rsid w:val="00826138"/>
    <w:rsid w:val="008261E7"/>
    <w:rsid w:val="00826239"/>
    <w:rsid w:val="0082672A"/>
    <w:rsid w:val="00826889"/>
    <w:rsid w:val="008277A2"/>
    <w:rsid w:val="00827804"/>
    <w:rsid w:val="00827857"/>
    <w:rsid w:val="00827C6C"/>
    <w:rsid w:val="00827C7D"/>
    <w:rsid w:val="00827E32"/>
    <w:rsid w:val="008300AB"/>
    <w:rsid w:val="008308BB"/>
    <w:rsid w:val="0083091F"/>
    <w:rsid w:val="00830C36"/>
    <w:rsid w:val="00830F25"/>
    <w:rsid w:val="00831073"/>
    <w:rsid w:val="0083142F"/>
    <w:rsid w:val="00831706"/>
    <w:rsid w:val="0083170C"/>
    <w:rsid w:val="00831805"/>
    <w:rsid w:val="008318C7"/>
    <w:rsid w:val="00831A85"/>
    <w:rsid w:val="00831B89"/>
    <w:rsid w:val="00831D2B"/>
    <w:rsid w:val="008324D6"/>
    <w:rsid w:val="008329AD"/>
    <w:rsid w:val="00832B1F"/>
    <w:rsid w:val="00832C0B"/>
    <w:rsid w:val="0083309A"/>
    <w:rsid w:val="0083313C"/>
    <w:rsid w:val="00833234"/>
    <w:rsid w:val="00833460"/>
    <w:rsid w:val="00833494"/>
    <w:rsid w:val="008337DD"/>
    <w:rsid w:val="00833B36"/>
    <w:rsid w:val="00833BBF"/>
    <w:rsid w:val="00833BC8"/>
    <w:rsid w:val="00833C4F"/>
    <w:rsid w:val="00833F32"/>
    <w:rsid w:val="008342B7"/>
    <w:rsid w:val="008343A7"/>
    <w:rsid w:val="008344DF"/>
    <w:rsid w:val="008346D0"/>
    <w:rsid w:val="008346DB"/>
    <w:rsid w:val="00834A67"/>
    <w:rsid w:val="00834C9D"/>
    <w:rsid w:val="00834E3F"/>
    <w:rsid w:val="008350B4"/>
    <w:rsid w:val="0083514A"/>
    <w:rsid w:val="00835440"/>
    <w:rsid w:val="008354B0"/>
    <w:rsid w:val="0083552F"/>
    <w:rsid w:val="00835676"/>
    <w:rsid w:val="008357FB"/>
    <w:rsid w:val="0083587F"/>
    <w:rsid w:val="00835A88"/>
    <w:rsid w:val="00835D84"/>
    <w:rsid w:val="008360E5"/>
    <w:rsid w:val="008361DE"/>
    <w:rsid w:val="008363B8"/>
    <w:rsid w:val="008366D6"/>
    <w:rsid w:val="00836891"/>
    <w:rsid w:val="0083690B"/>
    <w:rsid w:val="008369EA"/>
    <w:rsid w:val="00836A68"/>
    <w:rsid w:val="00836B54"/>
    <w:rsid w:val="00836D63"/>
    <w:rsid w:val="00836DD3"/>
    <w:rsid w:val="0083722A"/>
    <w:rsid w:val="0083734B"/>
    <w:rsid w:val="00837790"/>
    <w:rsid w:val="00837A52"/>
    <w:rsid w:val="00837B70"/>
    <w:rsid w:val="00837E02"/>
    <w:rsid w:val="008400C4"/>
    <w:rsid w:val="0084031B"/>
    <w:rsid w:val="00840560"/>
    <w:rsid w:val="00840D69"/>
    <w:rsid w:val="00840E68"/>
    <w:rsid w:val="0084134E"/>
    <w:rsid w:val="008415A6"/>
    <w:rsid w:val="0084161E"/>
    <w:rsid w:val="00841C1D"/>
    <w:rsid w:val="00841E87"/>
    <w:rsid w:val="00841FDB"/>
    <w:rsid w:val="008420FF"/>
    <w:rsid w:val="00842224"/>
    <w:rsid w:val="008422AB"/>
    <w:rsid w:val="00842403"/>
    <w:rsid w:val="00842506"/>
    <w:rsid w:val="00842566"/>
    <w:rsid w:val="008425CA"/>
    <w:rsid w:val="008425E3"/>
    <w:rsid w:val="00843274"/>
    <w:rsid w:val="00843280"/>
    <w:rsid w:val="008432B3"/>
    <w:rsid w:val="008433D3"/>
    <w:rsid w:val="00843464"/>
    <w:rsid w:val="008436BE"/>
    <w:rsid w:val="008437DB"/>
    <w:rsid w:val="00843AF2"/>
    <w:rsid w:val="00843B4F"/>
    <w:rsid w:val="00843C17"/>
    <w:rsid w:val="00843C2B"/>
    <w:rsid w:val="00843C84"/>
    <w:rsid w:val="00843DFE"/>
    <w:rsid w:val="00844013"/>
    <w:rsid w:val="0084411B"/>
    <w:rsid w:val="0084419C"/>
    <w:rsid w:val="00844418"/>
    <w:rsid w:val="00844469"/>
    <w:rsid w:val="008446F9"/>
    <w:rsid w:val="008448E8"/>
    <w:rsid w:val="00844CA8"/>
    <w:rsid w:val="008450E9"/>
    <w:rsid w:val="008451E3"/>
    <w:rsid w:val="0084549F"/>
    <w:rsid w:val="00845716"/>
    <w:rsid w:val="00845938"/>
    <w:rsid w:val="008459F6"/>
    <w:rsid w:val="00845C96"/>
    <w:rsid w:val="00845CA2"/>
    <w:rsid w:val="008466F2"/>
    <w:rsid w:val="00846737"/>
    <w:rsid w:val="008467F2"/>
    <w:rsid w:val="00846AAB"/>
    <w:rsid w:val="00846BE6"/>
    <w:rsid w:val="00846E9E"/>
    <w:rsid w:val="0084707E"/>
    <w:rsid w:val="00847297"/>
    <w:rsid w:val="008472F8"/>
    <w:rsid w:val="008474BA"/>
    <w:rsid w:val="00847784"/>
    <w:rsid w:val="00847941"/>
    <w:rsid w:val="00847FF2"/>
    <w:rsid w:val="0085026D"/>
    <w:rsid w:val="008506D2"/>
    <w:rsid w:val="008506F6"/>
    <w:rsid w:val="00851340"/>
    <w:rsid w:val="00851D23"/>
    <w:rsid w:val="00851E1A"/>
    <w:rsid w:val="00851F38"/>
    <w:rsid w:val="008521C2"/>
    <w:rsid w:val="00852429"/>
    <w:rsid w:val="0085264C"/>
    <w:rsid w:val="008526F8"/>
    <w:rsid w:val="008528BE"/>
    <w:rsid w:val="008529E0"/>
    <w:rsid w:val="00852D7A"/>
    <w:rsid w:val="00853252"/>
    <w:rsid w:val="00853525"/>
    <w:rsid w:val="008535C7"/>
    <w:rsid w:val="00853869"/>
    <w:rsid w:val="00853936"/>
    <w:rsid w:val="00854762"/>
    <w:rsid w:val="00854783"/>
    <w:rsid w:val="008547D5"/>
    <w:rsid w:val="00854EC3"/>
    <w:rsid w:val="00855104"/>
    <w:rsid w:val="00855239"/>
    <w:rsid w:val="00855253"/>
    <w:rsid w:val="00855457"/>
    <w:rsid w:val="008555A5"/>
    <w:rsid w:val="00855D7C"/>
    <w:rsid w:val="00855E32"/>
    <w:rsid w:val="00855F02"/>
    <w:rsid w:val="00855F29"/>
    <w:rsid w:val="008561D4"/>
    <w:rsid w:val="008563BA"/>
    <w:rsid w:val="00856DFC"/>
    <w:rsid w:val="00857047"/>
    <w:rsid w:val="00857137"/>
    <w:rsid w:val="008571C3"/>
    <w:rsid w:val="008572A4"/>
    <w:rsid w:val="00857885"/>
    <w:rsid w:val="00857897"/>
    <w:rsid w:val="008578B9"/>
    <w:rsid w:val="00857994"/>
    <w:rsid w:val="00857F2A"/>
    <w:rsid w:val="008601E0"/>
    <w:rsid w:val="008606DA"/>
    <w:rsid w:val="008608BA"/>
    <w:rsid w:val="008609CC"/>
    <w:rsid w:val="008609D7"/>
    <w:rsid w:val="00860A7F"/>
    <w:rsid w:val="00860B46"/>
    <w:rsid w:val="00860C83"/>
    <w:rsid w:val="00860D15"/>
    <w:rsid w:val="00860F38"/>
    <w:rsid w:val="00860F78"/>
    <w:rsid w:val="00861144"/>
    <w:rsid w:val="0086116A"/>
    <w:rsid w:val="0086131A"/>
    <w:rsid w:val="00861442"/>
    <w:rsid w:val="00861594"/>
    <w:rsid w:val="00861850"/>
    <w:rsid w:val="00861B72"/>
    <w:rsid w:val="00861FEB"/>
    <w:rsid w:val="00862D1F"/>
    <w:rsid w:val="00863012"/>
    <w:rsid w:val="00863099"/>
    <w:rsid w:val="008632E9"/>
    <w:rsid w:val="008634D2"/>
    <w:rsid w:val="00863638"/>
    <w:rsid w:val="008636FC"/>
    <w:rsid w:val="00863C84"/>
    <w:rsid w:val="00863CE0"/>
    <w:rsid w:val="00863DB7"/>
    <w:rsid w:val="00863DF0"/>
    <w:rsid w:val="00863F0A"/>
    <w:rsid w:val="00863F7B"/>
    <w:rsid w:val="00864224"/>
    <w:rsid w:val="00864880"/>
    <w:rsid w:val="008648EE"/>
    <w:rsid w:val="00864DC1"/>
    <w:rsid w:val="00865475"/>
    <w:rsid w:val="00865773"/>
    <w:rsid w:val="0086581C"/>
    <w:rsid w:val="00865B5F"/>
    <w:rsid w:val="00865ED9"/>
    <w:rsid w:val="00865FF1"/>
    <w:rsid w:val="008662C0"/>
    <w:rsid w:val="008667D9"/>
    <w:rsid w:val="00866A88"/>
    <w:rsid w:val="00866B94"/>
    <w:rsid w:val="00866DC3"/>
    <w:rsid w:val="00866F16"/>
    <w:rsid w:val="00866F43"/>
    <w:rsid w:val="00867078"/>
    <w:rsid w:val="00867265"/>
    <w:rsid w:val="008674A4"/>
    <w:rsid w:val="008675FF"/>
    <w:rsid w:val="00867B58"/>
    <w:rsid w:val="00867B77"/>
    <w:rsid w:val="00867CED"/>
    <w:rsid w:val="00867ED4"/>
    <w:rsid w:val="00867FA7"/>
    <w:rsid w:val="008700D3"/>
    <w:rsid w:val="008703E4"/>
    <w:rsid w:val="0087043C"/>
    <w:rsid w:val="00870774"/>
    <w:rsid w:val="008709AF"/>
    <w:rsid w:val="00870B04"/>
    <w:rsid w:val="00870BED"/>
    <w:rsid w:val="00870C79"/>
    <w:rsid w:val="00870C80"/>
    <w:rsid w:val="00870D2B"/>
    <w:rsid w:val="00870FD5"/>
    <w:rsid w:val="00871058"/>
    <w:rsid w:val="00871528"/>
    <w:rsid w:val="00871980"/>
    <w:rsid w:val="00871F4C"/>
    <w:rsid w:val="008721BB"/>
    <w:rsid w:val="0087230B"/>
    <w:rsid w:val="0087248A"/>
    <w:rsid w:val="00872851"/>
    <w:rsid w:val="008729C7"/>
    <w:rsid w:val="008731F6"/>
    <w:rsid w:val="0087327F"/>
    <w:rsid w:val="008732E8"/>
    <w:rsid w:val="008734B6"/>
    <w:rsid w:val="00873602"/>
    <w:rsid w:val="008738F4"/>
    <w:rsid w:val="00873A92"/>
    <w:rsid w:val="00873CFE"/>
    <w:rsid w:val="00873D23"/>
    <w:rsid w:val="00873F3A"/>
    <w:rsid w:val="00874284"/>
    <w:rsid w:val="008742F4"/>
    <w:rsid w:val="00874643"/>
    <w:rsid w:val="00874698"/>
    <w:rsid w:val="0087476B"/>
    <w:rsid w:val="008748A7"/>
    <w:rsid w:val="0087506D"/>
    <w:rsid w:val="00875101"/>
    <w:rsid w:val="0087544E"/>
    <w:rsid w:val="008754C5"/>
    <w:rsid w:val="00875684"/>
    <w:rsid w:val="00875F0A"/>
    <w:rsid w:val="00875F9B"/>
    <w:rsid w:val="0087639F"/>
    <w:rsid w:val="0087672E"/>
    <w:rsid w:val="00876747"/>
    <w:rsid w:val="008767E1"/>
    <w:rsid w:val="008767EC"/>
    <w:rsid w:val="00876943"/>
    <w:rsid w:val="00876C4F"/>
    <w:rsid w:val="00876D6C"/>
    <w:rsid w:val="00876FBD"/>
    <w:rsid w:val="00877060"/>
    <w:rsid w:val="008770E0"/>
    <w:rsid w:val="00877495"/>
    <w:rsid w:val="0087755B"/>
    <w:rsid w:val="00877984"/>
    <w:rsid w:val="00877C15"/>
    <w:rsid w:val="00877CB7"/>
    <w:rsid w:val="00877CFD"/>
    <w:rsid w:val="00877D66"/>
    <w:rsid w:val="00877F0C"/>
    <w:rsid w:val="008802CB"/>
    <w:rsid w:val="00880403"/>
    <w:rsid w:val="008804A9"/>
    <w:rsid w:val="008807BB"/>
    <w:rsid w:val="00880B92"/>
    <w:rsid w:val="00880BD8"/>
    <w:rsid w:val="00880C04"/>
    <w:rsid w:val="00880DEA"/>
    <w:rsid w:val="00880EFF"/>
    <w:rsid w:val="00881073"/>
    <w:rsid w:val="008812BE"/>
    <w:rsid w:val="008813A3"/>
    <w:rsid w:val="008816E3"/>
    <w:rsid w:val="00881B1A"/>
    <w:rsid w:val="00881C93"/>
    <w:rsid w:val="0088212B"/>
    <w:rsid w:val="008826C3"/>
    <w:rsid w:val="008826DB"/>
    <w:rsid w:val="00882800"/>
    <w:rsid w:val="00883557"/>
    <w:rsid w:val="00883606"/>
    <w:rsid w:val="0088363B"/>
    <w:rsid w:val="008838DA"/>
    <w:rsid w:val="008838FF"/>
    <w:rsid w:val="00883C7B"/>
    <w:rsid w:val="00883DE5"/>
    <w:rsid w:val="00883FC4"/>
    <w:rsid w:val="00884188"/>
    <w:rsid w:val="00884387"/>
    <w:rsid w:val="008843BE"/>
    <w:rsid w:val="008845CE"/>
    <w:rsid w:val="00884891"/>
    <w:rsid w:val="00884BA7"/>
    <w:rsid w:val="00884C6A"/>
    <w:rsid w:val="00884CE8"/>
    <w:rsid w:val="00885372"/>
    <w:rsid w:val="008853EA"/>
    <w:rsid w:val="0088552B"/>
    <w:rsid w:val="00885E30"/>
    <w:rsid w:val="00885F93"/>
    <w:rsid w:val="008860B9"/>
    <w:rsid w:val="008860F6"/>
    <w:rsid w:val="0088645A"/>
    <w:rsid w:val="00886C62"/>
    <w:rsid w:val="00886D06"/>
    <w:rsid w:val="00886D54"/>
    <w:rsid w:val="00886FA8"/>
    <w:rsid w:val="00886FE2"/>
    <w:rsid w:val="008873B6"/>
    <w:rsid w:val="0088752A"/>
    <w:rsid w:val="00887725"/>
    <w:rsid w:val="008877E0"/>
    <w:rsid w:val="0088794F"/>
    <w:rsid w:val="00887C34"/>
    <w:rsid w:val="00887D2E"/>
    <w:rsid w:val="008901CD"/>
    <w:rsid w:val="00890209"/>
    <w:rsid w:val="008904A8"/>
    <w:rsid w:val="0089094A"/>
    <w:rsid w:val="00890AAB"/>
    <w:rsid w:val="00890AD9"/>
    <w:rsid w:val="00891686"/>
    <w:rsid w:val="00891864"/>
    <w:rsid w:val="00891923"/>
    <w:rsid w:val="00891B50"/>
    <w:rsid w:val="00891C47"/>
    <w:rsid w:val="00892271"/>
    <w:rsid w:val="0089245A"/>
    <w:rsid w:val="00892488"/>
    <w:rsid w:val="008925FB"/>
    <w:rsid w:val="00892E26"/>
    <w:rsid w:val="00892F47"/>
    <w:rsid w:val="0089300A"/>
    <w:rsid w:val="0089313D"/>
    <w:rsid w:val="00893203"/>
    <w:rsid w:val="00893345"/>
    <w:rsid w:val="008933A9"/>
    <w:rsid w:val="008933CD"/>
    <w:rsid w:val="0089341B"/>
    <w:rsid w:val="00893790"/>
    <w:rsid w:val="008937E0"/>
    <w:rsid w:val="0089382D"/>
    <w:rsid w:val="00893ABA"/>
    <w:rsid w:val="00893E78"/>
    <w:rsid w:val="00894067"/>
    <w:rsid w:val="008940E0"/>
    <w:rsid w:val="0089427B"/>
    <w:rsid w:val="0089437A"/>
    <w:rsid w:val="008943D1"/>
    <w:rsid w:val="0089463C"/>
    <w:rsid w:val="008947DA"/>
    <w:rsid w:val="00894970"/>
    <w:rsid w:val="00894E6B"/>
    <w:rsid w:val="008952F6"/>
    <w:rsid w:val="00895415"/>
    <w:rsid w:val="00895998"/>
    <w:rsid w:val="00895F42"/>
    <w:rsid w:val="008960BA"/>
    <w:rsid w:val="008960E1"/>
    <w:rsid w:val="00896293"/>
    <w:rsid w:val="00896370"/>
    <w:rsid w:val="008964BA"/>
    <w:rsid w:val="008964F8"/>
    <w:rsid w:val="00896512"/>
    <w:rsid w:val="008968B7"/>
    <w:rsid w:val="00896D10"/>
    <w:rsid w:val="00896F6F"/>
    <w:rsid w:val="0089729E"/>
    <w:rsid w:val="0089742F"/>
    <w:rsid w:val="008976BB"/>
    <w:rsid w:val="0089781F"/>
    <w:rsid w:val="008978F2"/>
    <w:rsid w:val="00897F37"/>
    <w:rsid w:val="00897FA0"/>
    <w:rsid w:val="008A00DB"/>
    <w:rsid w:val="008A0296"/>
    <w:rsid w:val="008A0731"/>
    <w:rsid w:val="008A07F4"/>
    <w:rsid w:val="008A0B9C"/>
    <w:rsid w:val="008A0C30"/>
    <w:rsid w:val="008A0C71"/>
    <w:rsid w:val="008A0D41"/>
    <w:rsid w:val="008A0DD8"/>
    <w:rsid w:val="008A0EEB"/>
    <w:rsid w:val="008A1165"/>
    <w:rsid w:val="008A11E6"/>
    <w:rsid w:val="008A14B2"/>
    <w:rsid w:val="008A1780"/>
    <w:rsid w:val="008A1876"/>
    <w:rsid w:val="008A18D5"/>
    <w:rsid w:val="008A18EE"/>
    <w:rsid w:val="008A190A"/>
    <w:rsid w:val="008A198E"/>
    <w:rsid w:val="008A1A34"/>
    <w:rsid w:val="008A1B01"/>
    <w:rsid w:val="008A1B53"/>
    <w:rsid w:val="008A1B98"/>
    <w:rsid w:val="008A1EBE"/>
    <w:rsid w:val="008A20EF"/>
    <w:rsid w:val="008A2112"/>
    <w:rsid w:val="008A2295"/>
    <w:rsid w:val="008A2357"/>
    <w:rsid w:val="008A2BE5"/>
    <w:rsid w:val="008A2EBE"/>
    <w:rsid w:val="008A30C9"/>
    <w:rsid w:val="008A321E"/>
    <w:rsid w:val="008A345A"/>
    <w:rsid w:val="008A357B"/>
    <w:rsid w:val="008A37C4"/>
    <w:rsid w:val="008A3910"/>
    <w:rsid w:val="008A3BE7"/>
    <w:rsid w:val="008A4249"/>
    <w:rsid w:val="008A433E"/>
    <w:rsid w:val="008A4387"/>
    <w:rsid w:val="008A461B"/>
    <w:rsid w:val="008A477B"/>
    <w:rsid w:val="008A4957"/>
    <w:rsid w:val="008A4AE5"/>
    <w:rsid w:val="008A4DE2"/>
    <w:rsid w:val="008A51E0"/>
    <w:rsid w:val="008A5203"/>
    <w:rsid w:val="008A53B6"/>
    <w:rsid w:val="008A5536"/>
    <w:rsid w:val="008A570B"/>
    <w:rsid w:val="008A59C9"/>
    <w:rsid w:val="008A5C07"/>
    <w:rsid w:val="008A5C0F"/>
    <w:rsid w:val="008A5C41"/>
    <w:rsid w:val="008A5CBD"/>
    <w:rsid w:val="008A5EA0"/>
    <w:rsid w:val="008A5F46"/>
    <w:rsid w:val="008A6013"/>
    <w:rsid w:val="008A602F"/>
    <w:rsid w:val="008A60BA"/>
    <w:rsid w:val="008A6241"/>
    <w:rsid w:val="008A67C3"/>
    <w:rsid w:val="008A68DD"/>
    <w:rsid w:val="008A692A"/>
    <w:rsid w:val="008A69AC"/>
    <w:rsid w:val="008A6B9C"/>
    <w:rsid w:val="008A6D82"/>
    <w:rsid w:val="008A6FE8"/>
    <w:rsid w:val="008A71A4"/>
    <w:rsid w:val="008A73C7"/>
    <w:rsid w:val="008A74E5"/>
    <w:rsid w:val="008A75A0"/>
    <w:rsid w:val="008A783F"/>
    <w:rsid w:val="008A7994"/>
    <w:rsid w:val="008A7CB1"/>
    <w:rsid w:val="008A7DEE"/>
    <w:rsid w:val="008A7F7B"/>
    <w:rsid w:val="008A7FCC"/>
    <w:rsid w:val="008B0BE2"/>
    <w:rsid w:val="008B0D39"/>
    <w:rsid w:val="008B0D71"/>
    <w:rsid w:val="008B10D4"/>
    <w:rsid w:val="008B1A08"/>
    <w:rsid w:val="008B1A7E"/>
    <w:rsid w:val="008B1ADC"/>
    <w:rsid w:val="008B24CC"/>
    <w:rsid w:val="008B271F"/>
    <w:rsid w:val="008B2CCA"/>
    <w:rsid w:val="008B2E35"/>
    <w:rsid w:val="008B2FCD"/>
    <w:rsid w:val="008B313F"/>
    <w:rsid w:val="008B3516"/>
    <w:rsid w:val="008B3AFA"/>
    <w:rsid w:val="008B3BDB"/>
    <w:rsid w:val="008B3C50"/>
    <w:rsid w:val="008B3D07"/>
    <w:rsid w:val="008B3D65"/>
    <w:rsid w:val="008B40B1"/>
    <w:rsid w:val="008B49D3"/>
    <w:rsid w:val="008B4E54"/>
    <w:rsid w:val="008B5022"/>
    <w:rsid w:val="008B5382"/>
    <w:rsid w:val="008B55F6"/>
    <w:rsid w:val="008B57DD"/>
    <w:rsid w:val="008B5D18"/>
    <w:rsid w:val="008B5D5E"/>
    <w:rsid w:val="008B5D8E"/>
    <w:rsid w:val="008B6466"/>
    <w:rsid w:val="008B65E6"/>
    <w:rsid w:val="008B67E3"/>
    <w:rsid w:val="008B6F00"/>
    <w:rsid w:val="008B6F4D"/>
    <w:rsid w:val="008B7206"/>
    <w:rsid w:val="008B73D0"/>
    <w:rsid w:val="008B7C31"/>
    <w:rsid w:val="008B7D56"/>
    <w:rsid w:val="008B7EE7"/>
    <w:rsid w:val="008C00F8"/>
    <w:rsid w:val="008C04BC"/>
    <w:rsid w:val="008C06D5"/>
    <w:rsid w:val="008C06EE"/>
    <w:rsid w:val="008C0832"/>
    <w:rsid w:val="008C0AC7"/>
    <w:rsid w:val="008C0D11"/>
    <w:rsid w:val="008C0DA0"/>
    <w:rsid w:val="008C0DBD"/>
    <w:rsid w:val="008C0E45"/>
    <w:rsid w:val="008C0E8D"/>
    <w:rsid w:val="008C11B3"/>
    <w:rsid w:val="008C13E6"/>
    <w:rsid w:val="008C1435"/>
    <w:rsid w:val="008C1511"/>
    <w:rsid w:val="008C16E0"/>
    <w:rsid w:val="008C1A56"/>
    <w:rsid w:val="008C1CB6"/>
    <w:rsid w:val="008C1ED1"/>
    <w:rsid w:val="008C1F0D"/>
    <w:rsid w:val="008C20C6"/>
    <w:rsid w:val="008C259B"/>
    <w:rsid w:val="008C25E0"/>
    <w:rsid w:val="008C2813"/>
    <w:rsid w:val="008C2DC9"/>
    <w:rsid w:val="008C2DDD"/>
    <w:rsid w:val="008C2F96"/>
    <w:rsid w:val="008C2FDD"/>
    <w:rsid w:val="008C3001"/>
    <w:rsid w:val="008C3073"/>
    <w:rsid w:val="008C312B"/>
    <w:rsid w:val="008C318F"/>
    <w:rsid w:val="008C3307"/>
    <w:rsid w:val="008C3626"/>
    <w:rsid w:val="008C3AD0"/>
    <w:rsid w:val="008C3AEF"/>
    <w:rsid w:val="008C3C55"/>
    <w:rsid w:val="008C4079"/>
    <w:rsid w:val="008C48C6"/>
    <w:rsid w:val="008C4C76"/>
    <w:rsid w:val="008C508A"/>
    <w:rsid w:val="008C50D3"/>
    <w:rsid w:val="008C52DE"/>
    <w:rsid w:val="008C56A1"/>
    <w:rsid w:val="008C56D3"/>
    <w:rsid w:val="008C57E5"/>
    <w:rsid w:val="008C582C"/>
    <w:rsid w:val="008C5B48"/>
    <w:rsid w:val="008C5BDD"/>
    <w:rsid w:val="008C5C6B"/>
    <w:rsid w:val="008C5D8C"/>
    <w:rsid w:val="008C5F72"/>
    <w:rsid w:val="008C6040"/>
    <w:rsid w:val="008C61D6"/>
    <w:rsid w:val="008C6384"/>
    <w:rsid w:val="008C65E4"/>
    <w:rsid w:val="008C6919"/>
    <w:rsid w:val="008C6B9F"/>
    <w:rsid w:val="008C6EAA"/>
    <w:rsid w:val="008C71A3"/>
    <w:rsid w:val="008C7837"/>
    <w:rsid w:val="008C7844"/>
    <w:rsid w:val="008C7A9C"/>
    <w:rsid w:val="008C7BC6"/>
    <w:rsid w:val="008C7FF0"/>
    <w:rsid w:val="008D03A8"/>
    <w:rsid w:val="008D06A1"/>
    <w:rsid w:val="008D06C5"/>
    <w:rsid w:val="008D0A1B"/>
    <w:rsid w:val="008D0C8C"/>
    <w:rsid w:val="008D0E6F"/>
    <w:rsid w:val="008D11F5"/>
    <w:rsid w:val="008D123C"/>
    <w:rsid w:val="008D1984"/>
    <w:rsid w:val="008D1B3E"/>
    <w:rsid w:val="008D1E72"/>
    <w:rsid w:val="008D1FFA"/>
    <w:rsid w:val="008D2052"/>
    <w:rsid w:val="008D24B9"/>
    <w:rsid w:val="008D2887"/>
    <w:rsid w:val="008D28B7"/>
    <w:rsid w:val="008D2AAE"/>
    <w:rsid w:val="008D2ADD"/>
    <w:rsid w:val="008D2B04"/>
    <w:rsid w:val="008D2DB5"/>
    <w:rsid w:val="008D3337"/>
    <w:rsid w:val="008D3415"/>
    <w:rsid w:val="008D353E"/>
    <w:rsid w:val="008D3770"/>
    <w:rsid w:val="008D38B1"/>
    <w:rsid w:val="008D3D57"/>
    <w:rsid w:val="008D3E2F"/>
    <w:rsid w:val="008D3E96"/>
    <w:rsid w:val="008D4497"/>
    <w:rsid w:val="008D477A"/>
    <w:rsid w:val="008D4C36"/>
    <w:rsid w:val="008D4CD4"/>
    <w:rsid w:val="008D4CF3"/>
    <w:rsid w:val="008D4D03"/>
    <w:rsid w:val="008D4D7E"/>
    <w:rsid w:val="008D50B8"/>
    <w:rsid w:val="008D5222"/>
    <w:rsid w:val="008D58CB"/>
    <w:rsid w:val="008D5953"/>
    <w:rsid w:val="008D5BAF"/>
    <w:rsid w:val="008D615A"/>
    <w:rsid w:val="008D634F"/>
    <w:rsid w:val="008D6351"/>
    <w:rsid w:val="008D6590"/>
    <w:rsid w:val="008D6675"/>
    <w:rsid w:val="008D6846"/>
    <w:rsid w:val="008D6930"/>
    <w:rsid w:val="008D6BF0"/>
    <w:rsid w:val="008D6CB7"/>
    <w:rsid w:val="008D6CF9"/>
    <w:rsid w:val="008D6D81"/>
    <w:rsid w:val="008D72E4"/>
    <w:rsid w:val="008D72F6"/>
    <w:rsid w:val="008D7736"/>
    <w:rsid w:val="008D775D"/>
    <w:rsid w:val="008D7A35"/>
    <w:rsid w:val="008D7AB3"/>
    <w:rsid w:val="008D7B3A"/>
    <w:rsid w:val="008D7D6C"/>
    <w:rsid w:val="008D7FA3"/>
    <w:rsid w:val="008E0087"/>
    <w:rsid w:val="008E00AD"/>
    <w:rsid w:val="008E0230"/>
    <w:rsid w:val="008E03F7"/>
    <w:rsid w:val="008E03FD"/>
    <w:rsid w:val="008E049A"/>
    <w:rsid w:val="008E0532"/>
    <w:rsid w:val="008E057B"/>
    <w:rsid w:val="008E072B"/>
    <w:rsid w:val="008E0A71"/>
    <w:rsid w:val="008E0A96"/>
    <w:rsid w:val="008E103A"/>
    <w:rsid w:val="008E131A"/>
    <w:rsid w:val="008E13FF"/>
    <w:rsid w:val="008E17C6"/>
    <w:rsid w:val="008E19EA"/>
    <w:rsid w:val="008E1C4A"/>
    <w:rsid w:val="008E1DAC"/>
    <w:rsid w:val="008E2061"/>
    <w:rsid w:val="008E223C"/>
    <w:rsid w:val="008E2241"/>
    <w:rsid w:val="008E23BC"/>
    <w:rsid w:val="008E24D4"/>
    <w:rsid w:val="008E2592"/>
    <w:rsid w:val="008E2758"/>
    <w:rsid w:val="008E2A36"/>
    <w:rsid w:val="008E2C82"/>
    <w:rsid w:val="008E2F99"/>
    <w:rsid w:val="008E3416"/>
    <w:rsid w:val="008E360B"/>
    <w:rsid w:val="008E3642"/>
    <w:rsid w:val="008E37AC"/>
    <w:rsid w:val="008E3C75"/>
    <w:rsid w:val="008E3C9D"/>
    <w:rsid w:val="008E4280"/>
    <w:rsid w:val="008E43BE"/>
    <w:rsid w:val="008E4B30"/>
    <w:rsid w:val="008E4D01"/>
    <w:rsid w:val="008E4E19"/>
    <w:rsid w:val="008E5150"/>
    <w:rsid w:val="008E5309"/>
    <w:rsid w:val="008E58AD"/>
    <w:rsid w:val="008E5C55"/>
    <w:rsid w:val="008E5D1E"/>
    <w:rsid w:val="008E5D2E"/>
    <w:rsid w:val="008E6031"/>
    <w:rsid w:val="008E60D8"/>
    <w:rsid w:val="008E6374"/>
    <w:rsid w:val="008E66DF"/>
    <w:rsid w:val="008E67D1"/>
    <w:rsid w:val="008E680D"/>
    <w:rsid w:val="008E690B"/>
    <w:rsid w:val="008E6B20"/>
    <w:rsid w:val="008E6C9F"/>
    <w:rsid w:val="008E6DEF"/>
    <w:rsid w:val="008E6DF6"/>
    <w:rsid w:val="008E6F2C"/>
    <w:rsid w:val="008E71EB"/>
    <w:rsid w:val="008E73C6"/>
    <w:rsid w:val="008E752F"/>
    <w:rsid w:val="008E7D4A"/>
    <w:rsid w:val="008F0218"/>
    <w:rsid w:val="008F0383"/>
    <w:rsid w:val="008F0432"/>
    <w:rsid w:val="008F04C3"/>
    <w:rsid w:val="008F0505"/>
    <w:rsid w:val="008F0731"/>
    <w:rsid w:val="008F0AF7"/>
    <w:rsid w:val="008F0BC7"/>
    <w:rsid w:val="008F0EA4"/>
    <w:rsid w:val="008F110C"/>
    <w:rsid w:val="008F1430"/>
    <w:rsid w:val="008F17D1"/>
    <w:rsid w:val="008F19AA"/>
    <w:rsid w:val="008F19CE"/>
    <w:rsid w:val="008F19E0"/>
    <w:rsid w:val="008F1C9E"/>
    <w:rsid w:val="008F1E11"/>
    <w:rsid w:val="008F1E18"/>
    <w:rsid w:val="008F1E58"/>
    <w:rsid w:val="008F1F03"/>
    <w:rsid w:val="008F2260"/>
    <w:rsid w:val="008F2313"/>
    <w:rsid w:val="008F2F96"/>
    <w:rsid w:val="008F3051"/>
    <w:rsid w:val="008F30BC"/>
    <w:rsid w:val="008F356F"/>
    <w:rsid w:val="008F3912"/>
    <w:rsid w:val="008F3D0F"/>
    <w:rsid w:val="008F3D65"/>
    <w:rsid w:val="008F3EB3"/>
    <w:rsid w:val="008F3F55"/>
    <w:rsid w:val="008F414B"/>
    <w:rsid w:val="008F41FF"/>
    <w:rsid w:val="008F4248"/>
    <w:rsid w:val="008F4344"/>
    <w:rsid w:val="008F46F5"/>
    <w:rsid w:val="008F4760"/>
    <w:rsid w:val="008F48C3"/>
    <w:rsid w:val="008F4931"/>
    <w:rsid w:val="008F4F72"/>
    <w:rsid w:val="008F512A"/>
    <w:rsid w:val="008F5336"/>
    <w:rsid w:val="008F5675"/>
    <w:rsid w:val="008F5B2C"/>
    <w:rsid w:val="008F624E"/>
    <w:rsid w:val="008F6498"/>
    <w:rsid w:val="008F6527"/>
    <w:rsid w:val="008F65E0"/>
    <w:rsid w:val="008F6615"/>
    <w:rsid w:val="008F6715"/>
    <w:rsid w:val="008F6D06"/>
    <w:rsid w:val="008F6E95"/>
    <w:rsid w:val="008F6EC4"/>
    <w:rsid w:val="008F7112"/>
    <w:rsid w:val="008F71C9"/>
    <w:rsid w:val="008F7443"/>
    <w:rsid w:val="008F76E7"/>
    <w:rsid w:val="008F778A"/>
    <w:rsid w:val="008F7B2B"/>
    <w:rsid w:val="008F7D06"/>
    <w:rsid w:val="008F7DDA"/>
    <w:rsid w:val="0090027D"/>
    <w:rsid w:val="0090077F"/>
    <w:rsid w:val="00900992"/>
    <w:rsid w:val="00900CF2"/>
    <w:rsid w:val="00900D36"/>
    <w:rsid w:val="00900D37"/>
    <w:rsid w:val="009011E3"/>
    <w:rsid w:val="0090155E"/>
    <w:rsid w:val="00901886"/>
    <w:rsid w:val="00901925"/>
    <w:rsid w:val="009019F5"/>
    <w:rsid w:val="00901B1D"/>
    <w:rsid w:val="00901F52"/>
    <w:rsid w:val="009023C6"/>
    <w:rsid w:val="00902756"/>
    <w:rsid w:val="00902B62"/>
    <w:rsid w:val="00902D84"/>
    <w:rsid w:val="00902EDA"/>
    <w:rsid w:val="00902EE3"/>
    <w:rsid w:val="00902F6D"/>
    <w:rsid w:val="00903029"/>
    <w:rsid w:val="00903150"/>
    <w:rsid w:val="0090340D"/>
    <w:rsid w:val="009036EB"/>
    <w:rsid w:val="00903740"/>
    <w:rsid w:val="009037AF"/>
    <w:rsid w:val="009038E3"/>
    <w:rsid w:val="009039CF"/>
    <w:rsid w:val="00903B43"/>
    <w:rsid w:val="00903BDC"/>
    <w:rsid w:val="00903ED1"/>
    <w:rsid w:val="00904163"/>
    <w:rsid w:val="00904233"/>
    <w:rsid w:val="0090455C"/>
    <w:rsid w:val="009046B3"/>
    <w:rsid w:val="00904A63"/>
    <w:rsid w:val="00904D7F"/>
    <w:rsid w:val="0090524D"/>
    <w:rsid w:val="009054EF"/>
    <w:rsid w:val="0090555F"/>
    <w:rsid w:val="00905862"/>
    <w:rsid w:val="00905B80"/>
    <w:rsid w:val="00905DF2"/>
    <w:rsid w:val="00905F02"/>
    <w:rsid w:val="0090602D"/>
    <w:rsid w:val="009062FC"/>
    <w:rsid w:val="00906351"/>
    <w:rsid w:val="00906598"/>
    <w:rsid w:val="009067EA"/>
    <w:rsid w:val="009068CE"/>
    <w:rsid w:val="009069A7"/>
    <w:rsid w:val="00906E1E"/>
    <w:rsid w:val="009072D2"/>
    <w:rsid w:val="0090748C"/>
    <w:rsid w:val="00907505"/>
    <w:rsid w:val="00907585"/>
    <w:rsid w:val="009076B8"/>
    <w:rsid w:val="00907897"/>
    <w:rsid w:val="00907C82"/>
    <w:rsid w:val="00907DA7"/>
    <w:rsid w:val="00907F23"/>
    <w:rsid w:val="009100A3"/>
    <w:rsid w:val="0091022E"/>
    <w:rsid w:val="0091031D"/>
    <w:rsid w:val="009103B5"/>
    <w:rsid w:val="0091050E"/>
    <w:rsid w:val="009105CE"/>
    <w:rsid w:val="0091067F"/>
    <w:rsid w:val="009108DC"/>
    <w:rsid w:val="0091091D"/>
    <w:rsid w:val="00910D67"/>
    <w:rsid w:val="00910DB3"/>
    <w:rsid w:val="00910E09"/>
    <w:rsid w:val="00910FB5"/>
    <w:rsid w:val="009110E5"/>
    <w:rsid w:val="009111FF"/>
    <w:rsid w:val="009116A2"/>
    <w:rsid w:val="0091189F"/>
    <w:rsid w:val="00911C18"/>
    <w:rsid w:val="00912130"/>
    <w:rsid w:val="0091235C"/>
    <w:rsid w:val="009125DC"/>
    <w:rsid w:val="0091278A"/>
    <w:rsid w:val="0091294E"/>
    <w:rsid w:val="009129A4"/>
    <w:rsid w:val="00912A46"/>
    <w:rsid w:val="00912EC6"/>
    <w:rsid w:val="009131CC"/>
    <w:rsid w:val="009133A2"/>
    <w:rsid w:val="00913450"/>
    <w:rsid w:val="0091374A"/>
    <w:rsid w:val="009137D8"/>
    <w:rsid w:val="00913A8C"/>
    <w:rsid w:val="00913BE9"/>
    <w:rsid w:val="00913D5F"/>
    <w:rsid w:val="00913FA6"/>
    <w:rsid w:val="0091428A"/>
    <w:rsid w:val="0091451E"/>
    <w:rsid w:val="009145DA"/>
    <w:rsid w:val="009146C9"/>
    <w:rsid w:val="0091472E"/>
    <w:rsid w:val="009147A4"/>
    <w:rsid w:val="009148AD"/>
    <w:rsid w:val="00914981"/>
    <w:rsid w:val="00914CCC"/>
    <w:rsid w:val="00915205"/>
    <w:rsid w:val="0091531C"/>
    <w:rsid w:val="009159DF"/>
    <w:rsid w:val="00915A27"/>
    <w:rsid w:val="00915E7A"/>
    <w:rsid w:val="00915FB6"/>
    <w:rsid w:val="009160E8"/>
    <w:rsid w:val="00916283"/>
    <w:rsid w:val="009168D2"/>
    <w:rsid w:val="00916A1B"/>
    <w:rsid w:val="00916A2C"/>
    <w:rsid w:val="00916A35"/>
    <w:rsid w:val="00916A6D"/>
    <w:rsid w:val="00916BA6"/>
    <w:rsid w:val="00916D84"/>
    <w:rsid w:val="00916F6C"/>
    <w:rsid w:val="0091740E"/>
    <w:rsid w:val="0091754F"/>
    <w:rsid w:val="00917609"/>
    <w:rsid w:val="00917B6E"/>
    <w:rsid w:val="00917B93"/>
    <w:rsid w:val="00917EAD"/>
    <w:rsid w:val="00917EC0"/>
    <w:rsid w:val="0092041D"/>
    <w:rsid w:val="0092076B"/>
    <w:rsid w:val="009207C1"/>
    <w:rsid w:val="00920C82"/>
    <w:rsid w:val="00920F62"/>
    <w:rsid w:val="0092115D"/>
    <w:rsid w:val="009215C0"/>
    <w:rsid w:val="009217F9"/>
    <w:rsid w:val="00921FE6"/>
    <w:rsid w:val="00922132"/>
    <w:rsid w:val="00922884"/>
    <w:rsid w:val="00922B47"/>
    <w:rsid w:val="00922BD5"/>
    <w:rsid w:val="00922CE0"/>
    <w:rsid w:val="00922D08"/>
    <w:rsid w:val="00922E7D"/>
    <w:rsid w:val="00922E80"/>
    <w:rsid w:val="00923012"/>
    <w:rsid w:val="0092333F"/>
    <w:rsid w:val="009238CC"/>
    <w:rsid w:val="009243ED"/>
    <w:rsid w:val="009244D2"/>
    <w:rsid w:val="00924CAC"/>
    <w:rsid w:val="00924FF9"/>
    <w:rsid w:val="0092524A"/>
    <w:rsid w:val="009253E8"/>
    <w:rsid w:val="00925780"/>
    <w:rsid w:val="00925AC3"/>
    <w:rsid w:val="00925E05"/>
    <w:rsid w:val="0092639D"/>
    <w:rsid w:val="00926423"/>
    <w:rsid w:val="00926515"/>
    <w:rsid w:val="009267F7"/>
    <w:rsid w:val="00926918"/>
    <w:rsid w:val="00927301"/>
    <w:rsid w:val="0092735F"/>
    <w:rsid w:val="0092743F"/>
    <w:rsid w:val="00927638"/>
    <w:rsid w:val="0092791E"/>
    <w:rsid w:val="009279DA"/>
    <w:rsid w:val="00927A4C"/>
    <w:rsid w:val="00927B35"/>
    <w:rsid w:val="00927C73"/>
    <w:rsid w:val="00927C80"/>
    <w:rsid w:val="00927D03"/>
    <w:rsid w:val="00927F9C"/>
    <w:rsid w:val="0093007C"/>
    <w:rsid w:val="009301A2"/>
    <w:rsid w:val="009302BA"/>
    <w:rsid w:val="00930312"/>
    <w:rsid w:val="00930A34"/>
    <w:rsid w:val="00930D1A"/>
    <w:rsid w:val="009311E4"/>
    <w:rsid w:val="009312C4"/>
    <w:rsid w:val="009316B6"/>
    <w:rsid w:val="0093189D"/>
    <w:rsid w:val="00931A7B"/>
    <w:rsid w:val="00931ADC"/>
    <w:rsid w:val="00931DC4"/>
    <w:rsid w:val="00932068"/>
    <w:rsid w:val="009320AB"/>
    <w:rsid w:val="00932723"/>
    <w:rsid w:val="009329BD"/>
    <w:rsid w:val="00932D53"/>
    <w:rsid w:val="00932FDD"/>
    <w:rsid w:val="009334FC"/>
    <w:rsid w:val="00933B75"/>
    <w:rsid w:val="00933F90"/>
    <w:rsid w:val="009340BE"/>
    <w:rsid w:val="0093417C"/>
    <w:rsid w:val="009344D1"/>
    <w:rsid w:val="009345D6"/>
    <w:rsid w:val="0093473B"/>
    <w:rsid w:val="009347A6"/>
    <w:rsid w:val="00934874"/>
    <w:rsid w:val="0093490D"/>
    <w:rsid w:val="00934BCE"/>
    <w:rsid w:val="00934DB3"/>
    <w:rsid w:val="00934FA0"/>
    <w:rsid w:val="0093526E"/>
    <w:rsid w:val="0093541C"/>
    <w:rsid w:val="00935442"/>
    <w:rsid w:val="009354E5"/>
    <w:rsid w:val="009356B8"/>
    <w:rsid w:val="0093576D"/>
    <w:rsid w:val="00935A00"/>
    <w:rsid w:val="00936030"/>
    <w:rsid w:val="00936040"/>
    <w:rsid w:val="00936421"/>
    <w:rsid w:val="00936473"/>
    <w:rsid w:val="0093647E"/>
    <w:rsid w:val="00936B1C"/>
    <w:rsid w:val="00936B1D"/>
    <w:rsid w:val="00936BBB"/>
    <w:rsid w:val="00936D8C"/>
    <w:rsid w:val="00936F9A"/>
    <w:rsid w:val="00937151"/>
    <w:rsid w:val="009371E7"/>
    <w:rsid w:val="0093721D"/>
    <w:rsid w:val="0093772B"/>
    <w:rsid w:val="00937878"/>
    <w:rsid w:val="00937B83"/>
    <w:rsid w:val="00937BCD"/>
    <w:rsid w:val="00937BF7"/>
    <w:rsid w:val="00937E25"/>
    <w:rsid w:val="0094019B"/>
    <w:rsid w:val="009404BB"/>
    <w:rsid w:val="00940ACF"/>
    <w:rsid w:val="00940BE8"/>
    <w:rsid w:val="00940E24"/>
    <w:rsid w:val="009410AE"/>
    <w:rsid w:val="009411E6"/>
    <w:rsid w:val="009415C0"/>
    <w:rsid w:val="0094161A"/>
    <w:rsid w:val="0094178E"/>
    <w:rsid w:val="0094185E"/>
    <w:rsid w:val="00941A75"/>
    <w:rsid w:val="00941BD8"/>
    <w:rsid w:val="00941F8D"/>
    <w:rsid w:val="009429C7"/>
    <w:rsid w:val="00942A8F"/>
    <w:rsid w:val="00942B81"/>
    <w:rsid w:val="00942E61"/>
    <w:rsid w:val="009431A0"/>
    <w:rsid w:val="009434CA"/>
    <w:rsid w:val="009435D0"/>
    <w:rsid w:val="009435E3"/>
    <w:rsid w:val="00943986"/>
    <w:rsid w:val="00943BE0"/>
    <w:rsid w:val="00943DD5"/>
    <w:rsid w:val="00943F5F"/>
    <w:rsid w:val="00944248"/>
    <w:rsid w:val="00944A00"/>
    <w:rsid w:val="00944AB7"/>
    <w:rsid w:val="00944CCE"/>
    <w:rsid w:val="00945056"/>
    <w:rsid w:val="0094562B"/>
    <w:rsid w:val="009456C2"/>
    <w:rsid w:val="00945A60"/>
    <w:rsid w:val="00945B65"/>
    <w:rsid w:val="00945FF4"/>
    <w:rsid w:val="00946297"/>
    <w:rsid w:val="0094629D"/>
    <w:rsid w:val="0094656C"/>
    <w:rsid w:val="0094662C"/>
    <w:rsid w:val="00946691"/>
    <w:rsid w:val="00946846"/>
    <w:rsid w:val="0094689C"/>
    <w:rsid w:val="00946A42"/>
    <w:rsid w:val="00946EF0"/>
    <w:rsid w:val="0094752C"/>
    <w:rsid w:val="009475DF"/>
    <w:rsid w:val="009477EE"/>
    <w:rsid w:val="00947948"/>
    <w:rsid w:val="00947950"/>
    <w:rsid w:val="00947A47"/>
    <w:rsid w:val="0095058D"/>
    <w:rsid w:val="00950663"/>
    <w:rsid w:val="00950975"/>
    <w:rsid w:val="00950A68"/>
    <w:rsid w:val="009510EC"/>
    <w:rsid w:val="009513F3"/>
    <w:rsid w:val="0095187D"/>
    <w:rsid w:val="00951897"/>
    <w:rsid w:val="009518EA"/>
    <w:rsid w:val="00951B2C"/>
    <w:rsid w:val="00952184"/>
    <w:rsid w:val="00952202"/>
    <w:rsid w:val="0095221F"/>
    <w:rsid w:val="009522F1"/>
    <w:rsid w:val="0095301F"/>
    <w:rsid w:val="0095320A"/>
    <w:rsid w:val="009533EC"/>
    <w:rsid w:val="00953BB8"/>
    <w:rsid w:val="00953C69"/>
    <w:rsid w:val="00953CEA"/>
    <w:rsid w:val="00953CF3"/>
    <w:rsid w:val="0095442E"/>
    <w:rsid w:val="009544A4"/>
    <w:rsid w:val="009546C1"/>
    <w:rsid w:val="00954C3B"/>
    <w:rsid w:val="00954C8B"/>
    <w:rsid w:val="00954CBF"/>
    <w:rsid w:val="00954CFC"/>
    <w:rsid w:val="00954DC8"/>
    <w:rsid w:val="00954F9D"/>
    <w:rsid w:val="00955255"/>
    <w:rsid w:val="009554C1"/>
    <w:rsid w:val="0095571F"/>
    <w:rsid w:val="0095586A"/>
    <w:rsid w:val="00955EB3"/>
    <w:rsid w:val="00955F1C"/>
    <w:rsid w:val="00956383"/>
    <w:rsid w:val="00956C00"/>
    <w:rsid w:val="0095705F"/>
    <w:rsid w:val="00957455"/>
    <w:rsid w:val="00957558"/>
    <w:rsid w:val="0095775E"/>
    <w:rsid w:val="00957906"/>
    <w:rsid w:val="009579E4"/>
    <w:rsid w:val="00957D2A"/>
    <w:rsid w:val="00957F7A"/>
    <w:rsid w:val="009601F7"/>
    <w:rsid w:val="00960341"/>
    <w:rsid w:val="00960534"/>
    <w:rsid w:val="00960591"/>
    <w:rsid w:val="009608FB"/>
    <w:rsid w:val="00960AC8"/>
    <w:rsid w:val="00960AF3"/>
    <w:rsid w:val="00960BC0"/>
    <w:rsid w:val="00960C9D"/>
    <w:rsid w:val="00960D81"/>
    <w:rsid w:val="00960E1E"/>
    <w:rsid w:val="00961311"/>
    <w:rsid w:val="00961715"/>
    <w:rsid w:val="0096186A"/>
    <w:rsid w:val="00961AAC"/>
    <w:rsid w:val="00961E14"/>
    <w:rsid w:val="00962035"/>
    <w:rsid w:val="009623A5"/>
    <w:rsid w:val="00962509"/>
    <w:rsid w:val="0096281A"/>
    <w:rsid w:val="00962C79"/>
    <w:rsid w:val="00963046"/>
    <w:rsid w:val="009630C9"/>
    <w:rsid w:val="00963102"/>
    <w:rsid w:val="00963280"/>
    <w:rsid w:val="00963897"/>
    <w:rsid w:val="00963B8C"/>
    <w:rsid w:val="00963DC8"/>
    <w:rsid w:val="00963EBF"/>
    <w:rsid w:val="00964476"/>
    <w:rsid w:val="00964713"/>
    <w:rsid w:val="00964AE9"/>
    <w:rsid w:val="00964F7F"/>
    <w:rsid w:val="0096513C"/>
    <w:rsid w:val="009653DC"/>
    <w:rsid w:val="009654E8"/>
    <w:rsid w:val="00965BA9"/>
    <w:rsid w:val="009664A6"/>
    <w:rsid w:val="009668B7"/>
    <w:rsid w:val="00966913"/>
    <w:rsid w:val="00966AE6"/>
    <w:rsid w:val="00966B70"/>
    <w:rsid w:val="00966C65"/>
    <w:rsid w:val="00966DCD"/>
    <w:rsid w:val="00966FA4"/>
    <w:rsid w:val="00967184"/>
    <w:rsid w:val="009671CC"/>
    <w:rsid w:val="00967209"/>
    <w:rsid w:val="0096725E"/>
    <w:rsid w:val="009672FC"/>
    <w:rsid w:val="0096746A"/>
    <w:rsid w:val="00967620"/>
    <w:rsid w:val="009678CC"/>
    <w:rsid w:val="009678E7"/>
    <w:rsid w:val="00967938"/>
    <w:rsid w:val="00967A04"/>
    <w:rsid w:val="009703DF"/>
    <w:rsid w:val="0097050D"/>
    <w:rsid w:val="0097053C"/>
    <w:rsid w:val="009707AC"/>
    <w:rsid w:val="00970832"/>
    <w:rsid w:val="0097090C"/>
    <w:rsid w:val="00970A70"/>
    <w:rsid w:val="0097135D"/>
    <w:rsid w:val="0097145F"/>
    <w:rsid w:val="009714C1"/>
    <w:rsid w:val="0097155F"/>
    <w:rsid w:val="009716FC"/>
    <w:rsid w:val="009717B4"/>
    <w:rsid w:val="0097180E"/>
    <w:rsid w:val="00971880"/>
    <w:rsid w:val="00971A75"/>
    <w:rsid w:val="00971AC5"/>
    <w:rsid w:val="00971BC8"/>
    <w:rsid w:val="00971E2B"/>
    <w:rsid w:val="00971E57"/>
    <w:rsid w:val="00971E80"/>
    <w:rsid w:val="0097203D"/>
    <w:rsid w:val="00972078"/>
    <w:rsid w:val="00972086"/>
    <w:rsid w:val="009722D5"/>
    <w:rsid w:val="009723D7"/>
    <w:rsid w:val="0097241E"/>
    <w:rsid w:val="009728A0"/>
    <w:rsid w:val="00972931"/>
    <w:rsid w:val="00972D76"/>
    <w:rsid w:val="00972DF7"/>
    <w:rsid w:val="00972E66"/>
    <w:rsid w:val="009730AF"/>
    <w:rsid w:val="00973377"/>
    <w:rsid w:val="0097350B"/>
    <w:rsid w:val="00973715"/>
    <w:rsid w:val="00973929"/>
    <w:rsid w:val="00973CA8"/>
    <w:rsid w:val="0097403C"/>
    <w:rsid w:val="00974568"/>
    <w:rsid w:val="0097470F"/>
    <w:rsid w:val="00974DFE"/>
    <w:rsid w:val="00974E8B"/>
    <w:rsid w:val="00975016"/>
    <w:rsid w:val="00975057"/>
    <w:rsid w:val="009750A1"/>
    <w:rsid w:val="00975201"/>
    <w:rsid w:val="00975343"/>
    <w:rsid w:val="00975357"/>
    <w:rsid w:val="0097546C"/>
    <w:rsid w:val="00975750"/>
    <w:rsid w:val="009757C5"/>
    <w:rsid w:val="0097592B"/>
    <w:rsid w:val="00975C1C"/>
    <w:rsid w:val="00975D3A"/>
    <w:rsid w:val="009760F0"/>
    <w:rsid w:val="0097648A"/>
    <w:rsid w:val="00976878"/>
    <w:rsid w:val="00976922"/>
    <w:rsid w:val="00976970"/>
    <w:rsid w:val="00976D6A"/>
    <w:rsid w:val="00976F7A"/>
    <w:rsid w:val="00977529"/>
    <w:rsid w:val="0097755C"/>
    <w:rsid w:val="0097756F"/>
    <w:rsid w:val="0097783A"/>
    <w:rsid w:val="00977F18"/>
    <w:rsid w:val="00977F69"/>
    <w:rsid w:val="00980065"/>
    <w:rsid w:val="009800E7"/>
    <w:rsid w:val="0098051D"/>
    <w:rsid w:val="00980552"/>
    <w:rsid w:val="00981156"/>
    <w:rsid w:val="009812A6"/>
    <w:rsid w:val="0098155A"/>
    <w:rsid w:val="009816E1"/>
    <w:rsid w:val="00981834"/>
    <w:rsid w:val="00981981"/>
    <w:rsid w:val="00981B6F"/>
    <w:rsid w:val="00981CBA"/>
    <w:rsid w:val="00981F40"/>
    <w:rsid w:val="00982164"/>
    <w:rsid w:val="00982492"/>
    <w:rsid w:val="00982577"/>
    <w:rsid w:val="009827F9"/>
    <w:rsid w:val="00982C2B"/>
    <w:rsid w:val="00982DB9"/>
    <w:rsid w:val="00982EA9"/>
    <w:rsid w:val="00982FA0"/>
    <w:rsid w:val="00983054"/>
    <w:rsid w:val="009832F4"/>
    <w:rsid w:val="00983B04"/>
    <w:rsid w:val="00983CBC"/>
    <w:rsid w:val="00983D6C"/>
    <w:rsid w:val="00983E01"/>
    <w:rsid w:val="00983E34"/>
    <w:rsid w:val="00983E9E"/>
    <w:rsid w:val="00984286"/>
    <w:rsid w:val="00984289"/>
    <w:rsid w:val="0098453A"/>
    <w:rsid w:val="0098499E"/>
    <w:rsid w:val="009849CF"/>
    <w:rsid w:val="00984A50"/>
    <w:rsid w:val="00984CEC"/>
    <w:rsid w:val="00984E28"/>
    <w:rsid w:val="00985029"/>
    <w:rsid w:val="009851C1"/>
    <w:rsid w:val="00985464"/>
    <w:rsid w:val="00985842"/>
    <w:rsid w:val="009859F6"/>
    <w:rsid w:val="00985AC0"/>
    <w:rsid w:val="00985BE4"/>
    <w:rsid w:val="00985BFE"/>
    <w:rsid w:val="00985CAC"/>
    <w:rsid w:val="00985E7F"/>
    <w:rsid w:val="00986508"/>
    <w:rsid w:val="0098656B"/>
    <w:rsid w:val="009866F9"/>
    <w:rsid w:val="009867EB"/>
    <w:rsid w:val="00986943"/>
    <w:rsid w:val="00986D88"/>
    <w:rsid w:val="00987176"/>
    <w:rsid w:val="00987202"/>
    <w:rsid w:val="0098737C"/>
    <w:rsid w:val="00987A17"/>
    <w:rsid w:val="00987C51"/>
    <w:rsid w:val="00987C94"/>
    <w:rsid w:val="00987E83"/>
    <w:rsid w:val="0099001A"/>
    <w:rsid w:val="00990121"/>
    <w:rsid w:val="009901D5"/>
    <w:rsid w:val="0099046B"/>
    <w:rsid w:val="0099061B"/>
    <w:rsid w:val="00990C76"/>
    <w:rsid w:val="00990EAC"/>
    <w:rsid w:val="0099103C"/>
    <w:rsid w:val="0099110E"/>
    <w:rsid w:val="00991417"/>
    <w:rsid w:val="0099154E"/>
    <w:rsid w:val="00991693"/>
    <w:rsid w:val="00991B9C"/>
    <w:rsid w:val="00991CFE"/>
    <w:rsid w:val="00991D54"/>
    <w:rsid w:val="0099210D"/>
    <w:rsid w:val="009922CC"/>
    <w:rsid w:val="009924AE"/>
    <w:rsid w:val="0099266A"/>
    <w:rsid w:val="009926BE"/>
    <w:rsid w:val="009928B6"/>
    <w:rsid w:val="00992A1F"/>
    <w:rsid w:val="00992A7A"/>
    <w:rsid w:val="00992A9A"/>
    <w:rsid w:val="00992CD7"/>
    <w:rsid w:val="00992F32"/>
    <w:rsid w:val="00992F82"/>
    <w:rsid w:val="00993217"/>
    <w:rsid w:val="009932AB"/>
    <w:rsid w:val="0099338B"/>
    <w:rsid w:val="00993433"/>
    <w:rsid w:val="0099345D"/>
    <w:rsid w:val="00993568"/>
    <w:rsid w:val="009936A6"/>
    <w:rsid w:val="009938DF"/>
    <w:rsid w:val="00993B75"/>
    <w:rsid w:val="00993D96"/>
    <w:rsid w:val="00993EE6"/>
    <w:rsid w:val="00994337"/>
    <w:rsid w:val="009943D4"/>
    <w:rsid w:val="009947E7"/>
    <w:rsid w:val="0099495A"/>
    <w:rsid w:val="00994D7A"/>
    <w:rsid w:val="00994DAB"/>
    <w:rsid w:val="00995773"/>
    <w:rsid w:val="0099599C"/>
    <w:rsid w:val="00995F72"/>
    <w:rsid w:val="009961CA"/>
    <w:rsid w:val="009963E0"/>
    <w:rsid w:val="00996D1D"/>
    <w:rsid w:val="00997074"/>
    <w:rsid w:val="00997084"/>
    <w:rsid w:val="009970AF"/>
    <w:rsid w:val="00997A70"/>
    <w:rsid w:val="00997E97"/>
    <w:rsid w:val="009A0389"/>
    <w:rsid w:val="009A0521"/>
    <w:rsid w:val="009A052D"/>
    <w:rsid w:val="009A0A75"/>
    <w:rsid w:val="009A0C01"/>
    <w:rsid w:val="009A0CBC"/>
    <w:rsid w:val="009A0D25"/>
    <w:rsid w:val="009A0FE9"/>
    <w:rsid w:val="009A12A2"/>
    <w:rsid w:val="009A1419"/>
    <w:rsid w:val="009A18BF"/>
    <w:rsid w:val="009A1ABB"/>
    <w:rsid w:val="009A1BA5"/>
    <w:rsid w:val="009A1C93"/>
    <w:rsid w:val="009A236B"/>
    <w:rsid w:val="009A253F"/>
    <w:rsid w:val="009A26FB"/>
    <w:rsid w:val="009A27FD"/>
    <w:rsid w:val="009A2C9B"/>
    <w:rsid w:val="009A2FAB"/>
    <w:rsid w:val="009A320C"/>
    <w:rsid w:val="009A321B"/>
    <w:rsid w:val="009A36DD"/>
    <w:rsid w:val="009A3738"/>
    <w:rsid w:val="009A37EC"/>
    <w:rsid w:val="009A3895"/>
    <w:rsid w:val="009A3973"/>
    <w:rsid w:val="009A3F94"/>
    <w:rsid w:val="009A3FA5"/>
    <w:rsid w:val="009A4223"/>
    <w:rsid w:val="009A4534"/>
    <w:rsid w:val="009A49E9"/>
    <w:rsid w:val="009A4C3E"/>
    <w:rsid w:val="009A4CF0"/>
    <w:rsid w:val="009A4E5D"/>
    <w:rsid w:val="009A4F36"/>
    <w:rsid w:val="009A5012"/>
    <w:rsid w:val="009A520A"/>
    <w:rsid w:val="009A544A"/>
    <w:rsid w:val="009A5572"/>
    <w:rsid w:val="009A57B9"/>
    <w:rsid w:val="009A595E"/>
    <w:rsid w:val="009A59F7"/>
    <w:rsid w:val="009A59FA"/>
    <w:rsid w:val="009A5A41"/>
    <w:rsid w:val="009A5CDC"/>
    <w:rsid w:val="009A5E31"/>
    <w:rsid w:val="009A6611"/>
    <w:rsid w:val="009A68B6"/>
    <w:rsid w:val="009A6DE7"/>
    <w:rsid w:val="009A725A"/>
    <w:rsid w:val="009A7360"/>
    <w:rsid w:val="009A7436"/>
    <w:rsid w:val="009A766F"/>
    <w:rsid w:val="009A79CB"/>
    <w:rsid w:val="009A7A6C"/>
    <w:rsid w:val="009A7DA2"/>
    <w:rsid w:val="009A7F26"/>
    <w:rsid w:val="009A7F96"/>
    <w:rsid w:val="009B009C"/>
    <w:rsid w:val="009B00D9"/>
    <w:rsid w:val="009B017F"/>
    <w:rsid w:val="009B0655"/>
    <w:rsid w:val="009B06CD"/>
    <w:rsid w:val="009B08DB"/>
    <w:rsid w:val="009B0C3B"/>
    <w:rsid w:val="009B0C51"/>
    <w:rsid w:val="009B0C87"/>
    <w:rsid w:val="009B0CE4"/>
    <w:rsid w:val="009B0DD6"/>
    <w:rsid w:val="009B1014"/>
    <w:rsid w:val="009B14FB"/>
    <w:rsid w:val="009B1ADD"/>
    <w:rsid w:val="009B1B7E"/>
    <w:rsid w:val="009B1E68"/>
    <w:rsid w:val="009B1F02"/>
    <w:rsid w:val="009B1F95"/>
    <w:rsid w:val="009B2288"/>
    <w:rsid w:val="009B22B5"/>
    <w:rsid w:val="009B26BA"/>
    <w:rsid w:val="009B28B3"/>
    <w:rsid w:val="009B2AAC"/>
    <w:rsid w:val="009B2AEE"/>
    <w:rsid w:val="009B2DB7"/>
    <w:rsid w:val="009B2F04"/>
    <w:rsid w:val="009B2F0E"/>
    <w:rsid w:val="009B2F72"/>
    <w:rsid w:val="009B37B1"/>
    <w:rsid w:val="009B3BA5"/>
    <w:rsid w:val="009B3E34"/>
    <w:rsid w:val="009B42BF"/>
    <w:rsid w:val="009B4A9B"/>
    <w:rsid w:val="009B4AE2"/>
    <w:rsid w:val="009B5470"/>
    <w:rsid w:val="009B547B"/>
    <w:rsid w:val="009B5727"/>
    <w:rsid w:val="009B5889"/>
    <w:rsid w:val="009B5A83"/>
    <w:rsid w:val="009B5C90"/>
    <w:rsid w:val="009B5F93"/>
    <w:rsid w:val="009B6119"/>
    <w:rsid w:val="009B624F"/>
    <w:rsid w:val="009B642B"/>
    <w:rsid w:val="009B6851"/>
    <w:rsid w:val="009B6D5B"/>
    <w:rsid w:val="009B6E02"/>
    <w:rsid w:val="009B72B1"/>
    <w:rsid w:val="009B72F0"/>
    <w:rsid w:val="009B74F9"/>
    <w:rsid w:val="009B7808"/>
    <w:rsid w:val="009B7BF5"/>
    <w:rsid w:val="009B7C10"/>
    <w:rsid w:val="009C0652"/>
    <w:rsid w:val="009C07A6"/>
    <w:rsid w:val="009C0FBE"/>
    <w:rsid w:val="009C1008"/>
    <w:rsid w:val="009C124C"/>
    <w:rsid w:val="009C132E"/>
    <w:rsid w:val="009C1336"/>
    <w:rsid w:val="009C135E"/>
    <w:rsid w:val="009C171D"/>
    <w:rsid w:val="009C1E4F"/>
    <w:rsid w:val="009C20B1"/>
    <w:rsid w:val="009C20DB"/>
    <w:rsid w:val="009C20F7"/>
    <w:rsid w:val="009C2191"/>
    <w:rsid w:val="009C21D0"/>
    <w:rsid w:val="009C2227"/>
    <w:rsid w:val="009C2507"/>
    <w:rsid w:val="009C2576"/>
    <w:rsid w:val="009C2710"/>
    <w:rsid w:val="009C2788"/>
    <w:rsid w:val="009C27F1"/>
    <w:rsid w:val="009C2849"/>
    <w:rsid w:val="009C28AB"/>
    <w:rsid w:val="009C2CE6"/>
    <w:rsid w:val="009C2D2C"/>
    <w:rsid w:val="009C2DCC"/>
    <w:rsid w:val="009C2FD1"/>
    <w:rsid w:val="009C30F7"/>
    <w:rsid w:val="009C3181"/>
    <w:rsid w:val="009C3185"/>
    <w:rsid w:val="009C32C7"/>
    <w:rsid w:val="009C35C0"/>
    <w:rsid w:val="009C3645"/>
    <w:rsid w:val="009C3708"/>
    <w:rsid w:val="009C382C"/>
    <w:rsid w:val="009C38CB"/>
    <w:rsid w:val="009C3926"/>
    <w:rsid w:val="009C3C7E"/>
    <w:rsid w:val="009C3D82"/>
    <w:rsid w:val="009C3E9F"/>
    <w:rsid w:val="009C4054"/>
    <w:rsid w:val="009C43D9"/>
    <w:rsid w:val="009C4542"/>
    <w:rsid w:val="009C4A75"/>
    <w:rsid w:val="009C4AD5"/>
    <w:rsid w:val="009C4AE3"/>
    <w:rsid w:val="009C4B99"/>
    <w:rsid w:val="009C4C9A"/>
    <w:rsid w:val="009C4FD6"/>
    <w:rsid w:val="009C5016"/>
    <w:rsid w:val="009C5253"/>
    <w:rsid w:val="009C5335"/>
    <w:rsid w:val="009C5530"/>
    <w:rsid w:val="009C554E"/>
    <w:rsid w:val="009C5AB2"/>
    <w:rsid w:val="009C5F29"/>
    <w:rsid w:val="009C60D2"/>
    <w:rsid w:val="009C61C7"/>
    <w:rsid w:val="009C6526"/>
    <w:rsid w:val="009C6657"/>
    <w:rsid w:val="009C66AE"/>
    <w:rsid w:val="009C68F3"/>
    <w:rsid w:val="009C6998"/>
    <w:rsid w:val="009C6BB2"/>
    <w:rsid w:val="009C6D20"/>
    <w:rsid w:val="009C6D97"/>
    <w:rsid w:val="009C6F08"/>
    <w:rsid w:val="009C6FF2"/>
    <w:rsid w:val="009C7302"/>
    <w:rsid w:val="009C740F"/>
    <w:rsid w:val="009C799E"/>
    <w:rsid w:val="009C7C0F"/>
    <w:rsid w:val="009C7D27"/>
    <w:rsid w:val="009C7D85"/>
    <w:rsid w:val="009C7F8B"/>
    <w:rsid w:val="009D0177"/>
    <w:rsid w:val="009D0441"/>
    <w:rsid w:val="009D0694"/>
    <w:rsid w:val="009D08F5"/>
    <w:rsid w:val="009D0C36"/>
    <w:rsid w:val="009D0EEB"/>
    <w:rsid w:val="009D0F9E"/>
    <w:rsid w:val="009D1032"/>
    <w:rsid w:val="009D17A9"/>
    <w:rsid w:val="009D1865"/>
    <w:rsid w:val="009D1C95"/>
    <w:rsid w:val="009D1FAD"/>
    <w:rsid w:val="009D2090"/>
    <w:rsid w:val="009D2400"/>
    <w:rsid w:val="009D27AD"/>
    <w:rsid w:val="009D2BB2"/>
    <w:rsid w:val="009D2D28"/>
    <w:rsid w:val="009D2D3B"/>
    <w:rsid w:val="009D31F6"/>
    <w:rsid w:val="009D31FD"/>
    <w:rsid w:val="009D320E"/>
    <w:rsid w:val="009D322E"/>
    <w:rsid w:val="009D3477"/>
    <w:rsid w:val="009D35DB"/>
    <w:rsid w:val="009D392E"/>
    <w:rsid w:val="009D3960"/>
    <w:rsid w:val="009D3AF6"/>
    <w:rsid w:val="009D3DA5"/>
    <w:rsid w:val="009D401D"/>
    <w:rsid w:val="009D40A4"/>
    <w:rsid w:val="009D40D2"/>
    <w:rsid w:val="009D40F7"/>
    <w:rsid w:val="009D4575"/>
    <w:rsid w:val="009D47B9"/>
    <w:rsid w:val="009D4874"/>
    <w:rsid w:val="009D4A76"/>
    <w:rsid w:val="009D5023"/>
    <w:rsid w:val="009D51C8"/>
    <w:rsid w:val="009D5205"/>
    <w:rsid w:val="009D525E"/>
    <w:rsid w:val="009D586F"/>
    <w:rsid w:val="009D5E43"/>
    <w:rsid w:val="009D5F0D"/>
    <w:rsid w:val="009D614E"/>
    <w:rsid w:val="009D649E"/>
    <w:rsid w:val="009D64DF"/>
    <w:rsid w:val="009D6693"/>
    <w:rsid w:val="009D66DD"/>
    <w:rsid w:val="009D67AF"/>
    <w:rsid w:val="009D69A6"/>
    <w:rsid w:val="009D6A91"/>
    <w:rsid w:val="009D6DD3"/>
    <w:rsid w:val="009D70B9"/>
    <w:rsid w:val="009D710A"/>
    <w:rsid w:val="009D726A"/>
    <w:rsid w:val="009D7701"/>
    <w:rsid w:val="009D7A3F"/>
    <w:rsid w:val="009D7B16"/>
    <w:rsid w:val="009D7B78"/>
    <w:rsid w:val="009D7B80"/>
    <w:rsid w:val="009D7BC8"/>
    <w:rsid w:val="009D7D6D"/>
    <w:rsid w:val="009D7DEF"/>
    <w:rsid w:val="009D7FD4"/>
    <w:rsid w:val="009E0098"/>
    <w:rsid w:val="009E0329"/>
    <w:rsid w:val="009E03D7"/>
    <w:rsid w:val="009E0646"/>
    <w:rsid w:val="009E0779"/>
    <w:rsid w:val="009E0A9A"/>
    <w:rsid w:val="009E0AC3"/>
    <w:rsid w:val="009E0C3B"/>
    <w:rsid w:val="009E0E17"/>
    <w:rsid w:val="009E0E86"/>
    <w:rsid w:val="009E1038"/>
    <w:rsid w:val="009E112E"/>
    <w:rsid w:val="009E11DB"/>
    <w:rsid w:val="009E1212"/>
    <w:rsid w:val="009E1243"/>
    <w:rsid w:val="009E13CE"/>
    <w:rsid w:val="009E141E"/>
    <w:rsid w:val="009E1466"/>
    <w:rsid w:val="009E1915"/>
    <w:rsid w:val="009E1A56"/>
    <w:rsid w:val="009E1BAF"/>
    <w:rsid w:val="009E1D9C"/>
    <w:rsid w:val="009E1E75"/>
    <w:rsid w:val="009E23C4"/>
    <w:rsid w:val="009E2756"/>
    <w:rsid w:val="009E2AC2"/>
    <w:rsid w:val="009E2BA9"/>
    <w:rsid w:val="009E2C6B"/>
    <w:rsid w:val="009E2F6C"/>
    <w:rsid w:val="009E31C2"/>
    <w:rsid w:val="009E32D9"/>
    <w:rsid w:val="009E34AF"/>
    <w:rsid w:val="009E3538"/>
    <w:rsid w:val="009E376F"/>
    <w:rsid w:val="009E37DE"/>
    <w:rsid w:val="009E3BA7"/>
    <w:rsid w:val="009E3EDB"/>
    <w:rsid w:val="009E4823"/>
    <w:rsid w:val="009E48B1"/>
    <w:rsid w:val="009E4E0D"/>
    <w:rsid w:val="009E4F18"/>
    <w:rsid w:val="009E506B"/>
    <w:rsid w:val="009E5184"/>
    <w:rsid w:val="009E51F3"/>
    <w:rsid w:val="009E520D"/>
    <w:rsid w:val="009E54A7"/>
    <w:rsid w:val="009E5679"/>
    <w:rsid w:val="009E5754"/>
    <w:rsid w:val="009E5BEA"/>
    <w:rsid w:val="009E5E42"/>
    <w:rsid w:val="009E60FF"/>
    <w:rsid w:val="009E63FA"/>
    <w:rsid w:val="009E6594"/>
    <w:rsid w:val="009E6ED6"/>
    <w:rsid w:val="009E70E0"/>
    <w:rsid w:val="009E74D7"/>
    <w:rsid w:val="009E794F"/>
    <w:rsid w:val="009E7DC8"/>
    <w:rsid w:val="009E7DE4"/>
    <w:rsid w:val="009F0222"/>
    <w:rsid w:val="009F035E"/>
    <w:rsid w:val="009F0667"/>
    <w:rsid w:val="009F095E"/>
    <w:rsid w:val="009F09D9"/>
    <w:rsid w:val="009F0E34"/>
    <w:rsid w:val="009F1171"/>
    <w:rsid w:val="009F1298"/>
    <w:rsid w:val="009F1578"/>
    <w:rsid w:val="009F17D7"/>
    <w:rsid w:val="009F1AE5"/>
    <w:rsid w:val="009F1B35"/>
    <w:rsid w:val="009F1EA6"/>
    <w:rsid w:val="009F1FE0"/>
    <w:rsid w:val="009F263A"/>
    <w:rsid w:val="009F2A6B"/>
    <w:rsid w:val="009F2BF5"/>
    <w:rsid w:val="009F2D39"/>
    <w:rsid w:val="009F3636"/>
    <w:rsid w:val="009F371F"/>
    <w:rsid w:val="009F3848"/>
    <w:rsid w:val="009F3935"/>
    <w:rsid w:val="009F3959"/>
    <w:rsid w:val="009F3BB7"/>
    <w:rsid w:val="009F3BBF"/>
    <w:rsid w:val="009F3C62"/>
    <w:rsid w:val="009F3C9B"/>
    <w:rsid w:val="009F3F08"/>
    <w:rsid w:val="009F439A"/>
    <w:rsid w:val="009F4488"/>
    <w:rsid w:val="009F44BF"/>
    <w:rsid w:val="009F45BA"/>
    <w:rsid w:val="009F462B"/>
    <w:rsid w:val="009F46C7"/>
    <w:rsid w:val="009F4717"/>
    <w:rsid w:val="009F4795"/>
    <w:rsid w:val="009F493C"/>
    <w:rsid w:val="009F4E80"/>
    <w:rsid w:val="009F4F16"/>
    <w:rsid w:val="009F5054"/>
    <w:rsid w:val="009F505C"/>
    <w:rsid w:val="009F5744"/>
    <w:rsid w:val="009F5EA4"/>
    <w:rsid w:val="009F5EB4"/>
    <w:rsid w:val="009F6132"/>
    <w:rsid w:val="009F6210"/>
    <w:rsid w:val="009F6349"/>
    <w:rsid w:val="009F63E1"/>
    <w:rsid w:val="009F6526"/>
    <w:rsid w:val="009F65E4"/>
    <w:rsid w:val="009F6627"/>
    <w:rsid w:val="009F6776"/>
    <w:rsid w:val="009F6851"/>
    <w:rsid w:val="009F68B8"/>
    <w:rsid w:val="009F69BB"/>
    <w:rsid w:val="009F6C46"/>
    <w:rsid w:val="009F6C9B"/>
    <w:rsid w:val="009F6F27"/>
    <w:rsid w:val="009F7567"/>
    <w:rsid w:val="009F7782"/>
    <w:rsid w:val="009F77C8"/>
    <w:rsid w:val="009F7BA0"/>
    <w:rsid w:val="009F7C0C"/>
    <w:rsid w:val="009F7F2D"/>
    <w:rsid w:val="009F7F9E"/>
    <w:rsid w:val="00A00054"/>
    <w:rsid w:val="00A0035C"/>
    <w:rsid w:val="00A00669"/>
    <w:rsid w:val="00A00804"/>
    <w:rsid w:val="00A00B3A"/>
    <w:rsid w:val="00A00F3D"/>
    <w:rsid w:val="00A00FBF"/>
    <w:rsid w:val="00A013BF"/>
    <w:rsid w:val="00A0182F"/>
    <w:rsid w:val="00A0194C"/>
    <w:rsid w:val="00A019B7"/>
    <w:rsid w:val="00A01C46"/>
    <w:rsid w:val="00A01CB6"/>
    <w:rsid w:val="00A01CE2"/>
    <w:rsid w:val="00A01E16"/>
    <w:rsid w:val="00A01E55"/>
    <w:rsid w:val="00A01E8E"/>
    <w:rsid w:val="00A01EAB"/>
    <w:rsid w:val="00A01EF9"/>
    <w:rsid w:val="00A028C7"/>
    <w:rsid w:val="00A0297F"/>
    <w:rsid w:val="00A02C18"/>
    <w:rsid w:val="00A02D03"/>
    <w:rsid w:val="00A02E60"/>
    <w:rsid w:val="00A03523"/>
    <w:rsid w:val="00A0364D"/>
    <w:rsid w:val="00A0369D"/>
    <w:rsid w:val="00A039AB"/>
    <w:rsid w:val="00A03EE9"/>
    <w:rsid w:val="00A04339"/>
    <w:rsid w:val="00A04538"/>
    <w:rsid w:val="00A04540"/>
    <w:rsid w:val="00A0459D"/>
    <w:rsid w:val="00A04755"/>
    <w:rsid w:val="00A04931"/>
    <w:rsid w:val="00A04B4B"/>
    <w:rsid w:val="00A04DC4"/>
    <w:rsid w:val="00A04E10"/>
    <w:rsid w:val="00A05256"/>
    <w:rsid w:val="00A05FBA"/>
    <w:rsid w:val="00A0600A"/>
    <w:rsid w:val="00A062E6"/>
    <w:rsid w:val="00A0652F"/>
    <w:rsid w:val="00A0656E"/>
    <w:rsid w:val="00A06796"/>
    <w:rsid w:val="00A06813"/>
    <w:rsid w:val="00A06D40"/>
    <w:rsid w:val="00A06FBC"/>
    <w:rsid w:val="00A07168"/>
    <w:rsid w:val="00A071AE"/>
    <w:rsid w:val="00A074A8"/>
    <w:rsid w:val="00A07886"/>
    <w:rsid w:val="00A07CCC"/>
    <w:rsid w:val="00A07E81"/>
    <w:rsid w:val="00A1001E"/>
    <w:rsid w:val="00A10782"/>
    <w:rsid w:val="00A10A7C"/>
    <w:rsid w:val="00A10D7C"/>
    <w:rsid w:val="00A10F9E"/>
    <w:rsid w:val="00A11170"/>
    <w:rsid w:val="00A111DF"/>
    <w:rsid w:val="00A1130D"/>
    <w:rsid w:val="00A114B4"/>
    <w:rsid w:val="00A11660"/>
    <w:rsid w:val="00A118A0"/>
    <w:rsid w:val="00A11A37"/>
    <w:rsid w:val="00A123B0"/>
    <w:rsid w:val="00A12438"/>
    <w:rsid w:val="00A12563"/>
    <w:rsid w:val="00A12963"/>
    <w:rsid w:val="00A12989"/>
    <w:rsid w:val="00A129A7"/>
    <w:rsid w:val="00A12A97"/>
    <w:rsid w:val="00A12EA9"/>
    <w:rsid w:val="00A1309B"/>
    <w:rsid w:val="00A13234"/>
    <w:rsid w:val="00A132D2"/>
    <w:rsid w:val="00A134D1"/>
    <w:rsid w:val="00A136DA"/>
    <w:rsid w:val="00A13706"/>
    <w:rsid w:val="00A13938"/>
    <w:rsid w:val="00A13999"/>
    <w:rsid w:val="00A13FAD"/>
    <w:rsid w:val="00A13FE0"/>
    <w:rsid w:val="00A14141"/>
    <w:rsid w:val="00A14527"/>
    <w:rsid w:val="00A147D1"/>
    <w:rsid w:val="00A1508F"/>
    <w:rsid w:val="00A15172"/>
    <w:rsid w:val="00A1524F"/>
    <w:rsid w:val="00A15283"/>
    <w:rsid w:val="00A15F55"/>
    <w:rsid w:val="00A16454"/>
    <w:rsid w:val="00A1655A"/>
    <w:rsid w:val="00A16705"/>
    <w:rsid w:val="00A16A0D"/>
    <w:rsid w:val="00A16AE2"/>
    <w:rsid w:val="00A16B5C"/>
    <w:rsid w:val="00A16D75"/>
    <w:rsid w:val="00A16DF9"/>
    <w:rsid w:val="00A16F0E"/>
    <w:rsid w:val="00A1701C"/>
    <w:rsid w:val="00A171C1"/>
    <w:rsid w:val="00A17870"/>
    <w:rsid w:val="00A17B98"/>
    <w:rsid w:val="00A20014"/>
    <w:rsid w:val="00A20150"/>
    <w:rsid w:val="00A20565"/>
    <w:rsid w:val="00A2068A"/>
    <w:rsid w:val="00A206EC"/>
    <w:rsid w:val="00A20875"/>
    <w:rsid w:val="00A20CFF"/>
    <w:rsid w:val="00A20D1C"/>
    <w:rsid w:val="00A20EC2"/>
    <w:rsid w:val="00A21004"/>
    <w:rsid w:val="00A217B4"/>
    <w:rsid w:val="00A21BA7"/>
    <w:rsid w:val="00A21C95"/>
    <w:rsid w:val="00A21CB3"/>
    <w:rsid w:val="00A21F3B"/>
    <w:rsid w:val="00A221EC"/>
    <w:rsid w:val="00A22448"/>
    <w:rsid w:val="00A2271D"/>
    <w:rsid w:val="00A227A5"/>
    <w:rsid w:val="00A22850"/>
    <w:rsid w:val="00A229F9"/>
    <w:rsid w:val="00A22A63"/>
    <w:rsid w:val="00A22F30"/>
    <w:rsid w:val="00A23865"/>
    <w:rsid w:val="00A23A10"/>
    <w:rsid w:val="00A23D28"/>
    <w:rsid w:val="00A23E6D"/>
    <w:rsid w:val="00A23E95"/>
    <w:rsid w:val="00A23EB6"/>
    <w:rsid w:val="00A23FDC"/>
    <w:rsid w:val="00A242C7"/>
    <w:rsid w:val="00A245AF"/>
    <w:rsid w:val="00A24782"/>
    <w:rsid w:val="00A24A63"/>
    <w:rsid w:val="00A24D6D"/>
    <w:rsid w:val="00A24EF8"/>
    <w:rsid w:val="00A24F6E"/>
    <w:rsid w:val="00A25193"/>
    <w:rsid w:val="00A25203"/>
    <w:rsid w:val="00A253B1"/>
    <w:rsid w:val="00A25437"/>
    <w:rsid w:val="00A25448"/>
    <w:rsid w:val="00A25718"/>
    <w:rsid w:val="00A25919"/>
    <w:rsid w:val="00A25B71"/>
    <w:rsid w:val="00A25C7D"/>
    <w:rsid w:val="00A25EEC"/>
    <w:rsid w:val="00A25FC6"/>
    <w:rsid w:val="00A25FCD"/>
    <w:rsid w:val="00A260F1"/>
    <w:rsid w:val="00A26259"/>
    <w:rsid w:val="00A263DB"/>
    <w:rsid w:val="00A264FF"/>
    <w:rsid w:val="00A26573"/>
    <w:rsid w:val="00A269AB"/>
    <w:rsid w:val="00A26EEE"/>
    <w:rsid w:val="00A2711B"/>
    <w:rsid w:val="00A27227"/>
    <w:rsid w:val="00A2742C"/>
    <w:rsid w:val="00A3009B"/>
    <w:rsid w:val="00A3016C"/>
    <w:rsid w:val="00A3026C"/>
    <w:rsid w:val="00A303A7"/>
    <w:rsid w:val="00A305C8"/>
    <w:rsid w:val="00A30812"/>
    <w:rsid w:val="00A30AAD"/>
    <w:rsid w:val="00A30AD3"/>
    <w:rsid w:val="00A30DE4"/>
    <w:rsid w:val="00A30EFA"/>
    <w:rsid w:val="00A313D0"/>
    <w:rsid w:val="00A313DE"/>
    <w:rsid w:val="00A31820"/>
    <w:rsid w:val="00A31AF7"/>
    <w:rsid w:val="00A31D6D"/>
    <w:rsid w:val="00A31DD0"/>
    <w:rsid w:val="00A31E6A"/>
    <w:rsid w:val="00A31E6D"/>
    <w:rsid w:val="00A31ED0"/>
    <w:rsid w:val="00A31F97"/>
    <w:rsid w:val="00A320FC"/>
    <w:rsid w:val="00A3211B"/>
    <w:rsid w:val="00A3246D"/>
    <w:rsid w:val="00A325A8"/>
    <w:rsid w:val="00A328A4"/>
    <w:rsid w:val="00A32D5F"/>
    <w:rsid w:val="00A32E7D"/>
    <w:rsid w:val="00A32FF4"/>
    <w:rsid w:val="00A3315A"/>
    <w:rsid w:val="00A332E9"/>
    <w:rsid w:val="00A33381"/>
    <w:rsid w:val="00A33812"/>
    <w:rsid w:val="00A339F0"/>
    <w:rsid w:val="00A33BC7"/>
    <w:rsid w:val="00A34111"/>
    <w:rsid w:val="00A34646"/>
    <w:rsid w:val="00A346A9"/>
    <w:rsid w:val="00A348FC"/>
    <w:rsid w:val="00A34CD8"/>
    <w:rsid w:val="00A34D5E"/>
    <w:rsid w:val="00A34D85"/>
    <w:rsid w:val="00A350FA"/>
    <w:rsid w:val="00A35930"/>
    <w:rsid w:val="00A35A14"/>
    <w:rsid w:val="00A35AA9"/>
    <w:rsid w:val="00A35D2E"/>
    <w:rsid w:val="00A36106"/>
    <w:rsid w:val="00A36166"/>
    <w:rsid w:val="00A362EB"/>
    <w:rsid w:val="00A36303"/>
    <w:rsid w:val="00A36561"/>
    <w:rsid w:val="00A36631"/>
    <w:rsid w:val="00A36739"/>
    <w:rsid w:val="00A36864"/>
    <w:rsid w:val="00A36A0A"/>
    <w:rsid w:val="00A36B19"/>
    <w:rsid w:val="00A3704F"/>
    <w:rsid w:val="00A370D2"/>
    <w:rsid w:val="00A37958"/>
    <w:rsid w:val="00A37D61"/>
    <w:rsid w:val="00A4005C"/>
    <w:rsid w:val="00A40064"/>
    <w:rsid w:val="00A40155"/>
    <w:rsid w:val="00A401E8"/>
    <w:rsid w:val="00A4029A"/>
    <w:rsid w:val="00A40734"/>
    <w:rsid w:val="00A40785"/>
    <w:rsid w:val="00A40DAD"/>
    <w:rsid w:val="00A40F09"/>
    <w:rsid w:val="00A41087"/>
    <w:rsid w:val="00A41207"/>
    <w:rsid w:val="00A41318"/>
    <w:rsid w:val="00A4138B"/>
    <w:rsid w:val="00A414FA"/>
    <w:rsid w:val="00A416EF"/>
    <w:rsid w:val="00A417FD"/>
    <w:rsid w:val="00A41808"/>
    <w:rsid w:val="00A41CD7"/>
    <w:rsid w:val="00A41D33"/>
    <w:rsid w:val="00A41E70"/>
    <w:rsid w:val="00A42245"/>
    <w:rsid w:val="00A42284"/>
    <w:rsid w:val="00A42662"/>
    <w:rsid w:val="00A4276C"/>
    <w:rsid w:val="00A42E7F"/>
    <w:rsid w:val="00A42FD0"/>
    <w:rsid w:val="00A42FDB"/>
    <w:rsid w:val="00A43479"/>
    <w:rsid w:val="00A43511"/>
    <w:rsid w:val="00A43545"/>
    <w:rsid w:val="00A438B6"/>
    <w:rsid w:val="00A44065"/>
    <w:rsid w:val="00A442BB"/>
    <w:rsid w:val="00A442EA"/>
    <w:rsid w:val="00A444B5"/>
    <w:rsid w:val="00A44B7D"/>
    <w:rsid w:val="00A44CF5"/>
    <w:rsid w:val="00A44EF3"/>
    <w:rsid w:val="00A451A7"/>
    <w:rsid w:val="00A451D1"/>
    <w:rsid w:val="00A45240"/>
    <w:rsid w:val="00A453DA"/>
    <w:rsid w:val="00A45640"/>
    <w:rsid w:val="00A45965"/>
    <w:rsid w:val="00A45981"/>
    <w:rsid w:val="00A45A66"/>
    <w:rsid w:val="00A45BAB"/>
    <w:rsid w:val="00A45C86"/>
    <w:rsid w:val="00A466D5"/>
    <w:rsid w:val="00A46713"/>
    <w:rsid w:val="00A46AAC"/>
    <w:rsid w:val="00A46C6F"/>
    <w:rsid w:val="00A46DDE"/>
    <w:rsid w:val="00A47062"/>
    <w:rsid w:val="00A47269"/>
    <w:rsid w:val="00A47704"/>
    <w:rsid w:val="00A47B3E"/>
    <w:rsid w:val="00A47E63"/>
    <w:rsid w:val="00A5002D"/>
    <w:rsid w:val="00A50254"/>
    <w:rsid w:val="00A5029F"/>
    <w:rsid w:val="00A50432"/>
    <w:rsid w:val="00A50461"/>
    <w:rsid w:val="00A504C4"/>
    <w:rsid w:val="00A50806"/>
    <w:rsid w:val="00A50918"/>
    <w:rsid w:val="00A50AC2"/>
    <w:rsid w:val="00A50B01"/>
    <w:rsid w:val="00A50D5A"/>
    <w:rsid w:val="00A50DD0"/>
    <w:rsid w:val="00A50F38"/>
    <w:rsid w:val="00A50F6F"/>
    <w:rsid w:val="00A50F74"/>
    <w:rsid w:val="00A51209"/>
    <w:rsid w:val="00A51386"/>
    <w:rsid w:val="00A514F9"/>
    <w:rsid w:val="00A5157B"/>
    <w:rsid w:val="00A51753"/>
    <w:rsid w:val="00A51B33"/>
    <w:rsid w:val="00A51CDA"/>
    <w:rsid w:val="00A51F2B"/>
    <w:rsid w:val="00A52153"/>
    <w:rsid w:val="00A5216A"/>
    <w:rsid w:val="00A5236D"/>
    <w:rsid w:val="00A523B7"/>
    <w:rsid w:val="00A524A6"/>
    <w:rsid w:val="00A53095"/>
    <w:rsid w:val="00A537A0"/>
    <w:rsid w:val="00A53924"/>
    <w:rsid w:val="00A53C68"/>
    <w:rsid w:val="00A53DBB"/>
    <w:rsid w:val="00A53FD6"/>
    <w:rsid w:val="00A54327"/>
    <w:rsid w:val="00A5436C"/>
    <w:rsid w:val="00A543A2"/>
    <w:rsid w:val="00A5450E"/>
    <w:rsid w:val="00A54693"/>
    <w:rsid w:val="00A548B8"/>
    <w:rsid w:val="00A54AE3"/>
    <w:rsid w:val="00A54B7F"/>
    <w:rsid w:val="00A54D98"/>
    <w:rsid w:val="00A5562B"/>
    <w:rsid w:val="00A55653"/>
    <w:rsid w:val="00A55F72"/>
    <w:rsid w:val="00A56277"/>
    <w:rsid w:val="00A562F1"/>
    <w:rsid w:val="00A56356"/>
    <w:rsid w:val="00A5672C"/>
    <w:rsid w:val="00A56AC3"/>
    <w:rsid w:val="00A56BFE"/>
    <w:rsid w:val="00A56F61"/>
    <w:rsid w:val="00A57275"/>
    <w:rsid w:val="00A574C6"/>
    <w:rsid w:val="00A5757C"/>
    <w:rsid w:val="00A579BF"/>
    <w:rsid w:val="00A57B1B"/>
    <w:rsid w:val="00A57B29"/>
    <w:rsid w:val="00A57B32"/>
    <w:rsid w:val="00A57DD5"/>
    <w:rsid w:val="00A60048"/>
    <w:rsid w:val="00A60101"/>
    <w:rsid w:val="00A60368"/>
    <w:rsid w:val="00A60A95"/>
    <w:rsid w:val="00A60E2D"/>
    <w:rsid w:val="00A6125D"/>
    <w:rsid w:val="00A61291"/>
    <w:rsid w:val="00A61793"/>
    <w:rsid w:val="00A617B2"/>
    <w:rsid w:val="00A617B4"/>
    <w:rsid w:val="00A61999"/>
    <w:rsid w:val="00A61A06"/>
    <w:rsid w:val="00A61D19"/>
    <w:rsid w:val="00A61EE1"/>
    <w:rsid w:val="00A61F1B"/>
    <w:rsid w:val="00A6217A"/>
    <w:rsid w:val="00A62243"/>
    <w:rsid w:val="00A62509"/>
    <w:rsid w:val="00A62945"/>
    <w:rsid w:val="00A629B3"/>
    <w:rsid w:val="00A62B57"/>
    <w:rsid w:val="00A62D6D"/>
    <w:rsid w:val="00A62E32"/>
    <w:rsid w:val="00A62E3E"/>
    <w:rsid w:val="00A63131"/>
    <w:rsid w:val="00A63663"/>
    <w:rsid w:val="00A63775"/>
    <w:rsid w:val="00A63B6C"/>
    <w:rsid w:val="00A63BD2"/>
    <w:rsid w:val="00A63D44"/>
    <w:rsid w:val="00A63DC2"/>
    <w:rsid w:val="00A64104"/>
    <w:rsid w:val="00A6429E"/>
    <w:rsid w:val="00A644D0"/>
    <w:rsid w:val="00A64669"/>
    <w:rsid w:val="00A64688"/>
    <w:rsid w:val="00A64787"/>
    <w:rsid w:val="00A64E52"/>
    <w:rsid w:val="00A64EAA"/>
    <w:rsid w:val="00A64EF6"/>
    <w:rsid w:val="00A65047"/>
    <w:rsid w:val="00A65224"/>
    <w:rsid w:val="00A65295"/>
    <w:rsid w:val="00A65856"/>
    <w:rsid w:val="00A65954"/>
    <w:rsid w:val="00A65A19"/>
    <w:rsid w:val="00A65E7D"/>
    <w:rsid w:val="00A661E1"/>
    <w:rsid w:val="00A66552"/>
    <w:rsid w:val="00A66705"/>
    <w:rsid w:val="00A66931"/>
    <w:rsid w:val="00A66A64"/>
    <w:rsid w:val="00A66BB5"/>
    <w:rsid w:val="00A66D69"/>
    <w:rsid w:val="00A671AC"/>
    <w:rsid w:val="00A6758A"/>
    <w:rsid w:val="00A677FD"/>
    <w:rsid w:val="00A67976"/>
    <w:rsid w:val="00A679A3"/>
    <w:rsid w:val="00A679BD"/>
    <w:rsid w:val="00A67BC4"/>
    <w:rsid w:val="00A67DE4"/>
    <w:rsid w:val="00A7022B"/>
    <w:rsid w:val="00A70901"/>
    <w:rsid w:val="00A7091D"/>
    <w:rsid w:val="00A70B65"/>
    <w:rsid w:val="00A70C7B"/>
    <w:rsid w:val="00A70EBF"/>
    <w:rsid w:val="00A711FF"/>
    <w:rsid w:val="00A71233"/>
    <w:rsid w:val="00A71450"/>
    <w:rsid w:val="00A71A4A"/>
    <w:rsid w:val="00A71AF2"/>
    <w:rsid w:val="00A71BAC"/>
    <w:rsid w:val="00A71E43"/>
    <w:rsid w:val="00A72070"/>
    <w:rsid w:val="00A731A1"/>
    <w:rsid w:val="00A732A8"/>
    <w:rsid w:val="00A73392"/>
    <w:rsid w:val="00A734F3"/>
    <w:rsid w:val="00A7359F"/>
    <w:rsid w:val="00A736A6"/>
    <w:rsid w:val="00A736D3"/>
    <w:rsid w:val="00A739DF"/>
    <w:rsid w:val="00A73CF6"/>
    <w:rsid w:val="00A73FD2"/>
    <w:rsid w:val="00A74721"/>
    <w:rsid w:val="00A74BDC"/>
    <w:rsid w:val="00A74C58"/>
    <w:rsid w:val="00A75191"/>
    <w:rsid w:val="00A75410"/>
    <w:rsid w:val="00A75460"/>
    <w:rsid w:val="00A756D4"/>
    <w:rsid w:val="00A75964"/>
    <w:rsid w:val="00A75B05"/>
    <w:rsid w:val="00A75C10"/>
    <w:rsid w:val="00A75E76"/>
    <w:rsid w:val="00A76130"/>
    <w:rsid w:val="00A76AA9"/>
    <w:rsid w:val="00A76BDF"/>
    <w:rsid w:val="00A76D70"/>
    <w:rsid w:val="00A76EF7"/>
    <w:rsid w:val="00A77115"/>
    <w:rsid w:val="00A773C2"/>
    <w:rsid w:val="00A77403"/>
    <w:rsid w:val="00A77468"/>
    <w:rsid w:val="00A77597"/>
    <w:rsid w:val="00A777B3"/>
    <w:rsid w:val="00A7783E"/>
    <w:rsid w:val="00A779E4"/>
    <w:rsid w:val="00A8001B"/>
    <w:rsid w:val="00A8020E"/>
    <w:rsid w:val="00A80964"/>
    <w:rsid w:val="00A80B96"/>
    <w:rsid w:val="00A80D8F"/>
    <w:rsid w:val="00A81088"/>
    <w:rsid w:val="00A81175"/>
    <w:rsid w:val="00A81753"/>
    <w:rsid w:val="00A81779"/>
    <w:rsid w:val="00A81856"/>
    <w:rsid w:val="00A8190D"/>
    <w:rsid w:val="00A81BF1"/>
    <w:rsid w:val="00A81CC3"/>
    <w:rsid w:val="00A81EAD"/>
    <w:rsid w:val="00A820FD"/>
    <w:rsid w:val="00A82844"/>
    <w:rsid w:val="00A82891"/>
    <w:rsid w:val="00A82899"/>
    <w:rsid w:val="00A82E6B"/>
    <w:rsid w:val="00A82FB3"/>
    <w:rsid w:val="00A82FB6"/>
    <w:rsid w:val="00A83166"/>
    <w:rsid w:val="00A835CC"/>
    <w:rsid w:val="00A83841"/>
    <w:rsid w:val="00A8406F"/>
    <w:rsid w:val="00A84161"/>
    <w:rsid w:val="00A8425A"/>
    <w:rsid w:val="00A84AA0"/>
    <w:rsid w:val="00A84D0A"/>
    <w:rsid w:val="00A84F29"/>
    <w:rsid w:val="00A85062"/>
    <w:rsid w:val="00A85190"/>
    <w:rsid w:val="00A85197"/>
    <w:rsid w:val="00A851C7"/>
    <w:rsid w:val="00A854A1"/>
    <w:rsid w:val="00A8572B"/>
    <w:rsid w:val="00A858D7"/>
    <w:rsid w:val="00A85955"/>
    <w:rsid w:val="00A85A9C"/>
    <w:rsid w:val="00A85EB4"/>
    <w:rsid w:val="00A860AA"/>
    <w:rsid w:val="00A8611E"/>
    <w:rsid w:val="00A861CB"/>
    <w:rsid w:val="00A86360"/>
    <w:rsid w:val="00A86376"/>
    <w:rsid w:val="00A86B05"/>
    <w:rsid w:val="00A86C25"/>
    <w:rsid w:val="00A87032"/>
    <w:rsid w:val="00A87034"/>
    <w:rsid w:val="00A876B4"/>
    <w:rsid w:val="00A879B7"/>
    <w:rsid w:val="00A87B9A"/>
    <w:rsid w:val="00A87CF1"/>
    <w:rsid w:val="00A87E46"/>
    <w:rsid w:val="00A90121"/>
    <w:rsid w:val="00A9015D"/>
    <w:rsid w:val="00A905DE"/>
    <w:rsid w:val="00A906B7"/>
    <w:rsid w:val="00A90D1C"/>
    <w:rsid w:val="00A90E05"/>
    <w:rsid w:val="00A90EA4"/>
    <w:rsid w:val="00A9102F"/>
    <w:rsid w:val="00A911A8"/>
    <w:rsid w:val="00A91B60"/>
    <w:rsid w:val="00A91FCA"/>
    <w:rsid w:val="00A91FEC"/>
    <w:rsid w:val="00A921CB"/>
    <w:rsid w:val="00A92983"/>
    <w:rsid w:val="00A92AE2"/>
    <w:rsid w:val="00A92B1C"/>
    <w:rsid w:val="00A92ECC"/>
    <w:rsid w:val="00A93044"/>
    <w:rsid w:val="00A9336F"/>
    <w:rsid w:val="00A9342E"/>
    <w:rsid w:val="00A938EB"/>
    <w:rsid w:val="00A93A28"/>
    <w:rsid w:val="00A93C8A"/>
    <w:rsid w:val="00A93E28"/>
    <w:rsid w:val="00A93F11"/>
    <w:rsid w:val="00A9404A"/>
    <w:rsid w:val="00A940DA"/>
    <w:rsid w:val="00A94575"/>
    <w:rsid w:val="00A94A5C"/>
    <w:rsid w:val="00A95089"/>
    <w:rsid w:val="00A950E8"/>
    <w:rsid w:val="00A95459"/>
    <w:rsid w:val="00A954CD"/>
    <w:rsid w:val="00A954DD"/>
    <w:rsid w:val="00A95A69"/>
    <w:rsid w:val="00A95DDA"/>
    <w:rsid w:val="00A95DDF"/>
    <w:rsid w:val="00A961D4"/>
    <w:rsid w:val="00A96433"/>
    <w:rsid w:val="00A96AED"/>
    <w:rsid w:val="00A96B67"/>
    <w:rsid w:val="00A96C6A"/>
    <w:rsid w:val="00A96D20"/>
    <w:rsid w:val="00A975EE"/>
    <w:rsid w:val="00A9771F"/>
    <w:rsid w:val="00A97944"/>
    <w:rsid w:val="00A97B20"/>
    <w:rsid w:val="00A97D32"/>
    <w:rsid w:val="00AA0138"/>
    <w:rsid w:val="00AA0554"/>
    <w:rsid w:val="00AA0642"/>
    <w:rsid w:val="00AA0665"/>
    <w:rsid w:val="00AA0820"/>
    <w:rsid w:val="00AA0966"/>
    <w:rsid w:val="00AA1225"/>
    <w:rsid w:val="00AA131A"/>
    <w:rsid w:val="00AA176D"/>
    <w:rsid w:val="00AA1849"/>
    <w:rsid w:val="00AA1A74"/>
    <w:rsid w:val="00AA1E89"/>
    <w:rsid w:val="00AA1EE1"/>
    <w:rsid w:val="00AA2043"/>
    <w:rsid w:val="00AA20BB"/>
    <w:rsid w:val="00AA20CD"/>
    <w:rsid w:val="00AA257E"/>
    <w:rsid w:val="00AA29C1"/>
    <w:rsid w:val="00AA2A4F"/>
    <w:rsid w:val="00AA2AFA"/>
    <w:rsid w:val="00AA2C11"/>
    <w:rsid w:val="00AA2CDC"/>
    <w:rsid w:val="00AA2D7C"/>
    <w:rsid w:val="00AA2EA3"/>
    <w:rsid w:val="00AA35A0"/>
    <w:rsid w:val="00AA3CEC"/>
    <w:rsid w:val="00AA3FDF"/>
    <w:rsid w:val="00AA43B5"/>
    <w:rsid w:val="00AA4804"/>
    <w:rsid w:val="00AA4994"/>
    <w:rsid w:val="00AA499E"/>
    <w:rsid w:val="00AA49A0"/>
    <w:rsid w:val="00AA4C26"/>
    <w:rsid w:val="00AA4D34"/>
    <w:rsid w:val="00AA4D5E"/>
    <w:rsid w:val="00AA4EA4"/>
    <w:rsid w:val="00AA5105"/>
    <w:rsid w:val="00AA5242"/>
    <w:rsid w:val="00AA54D0"/>
    <w:rsid w:val="00AA5587"/>
    <w:rsid w:val="00AA5870"/>
    <w:rsid w:val="00AA6002"/>
    <w:rsid w:val="00AA603D"/>
    <w:rsid w:val="00AA6110"/>
    <w:rsid w:val="00AA619F"/>
    <w:rsid w:val="00AA6367"/>
    <w:rsid w:val="00AA6375"/>
    <w:rsid w:val="00AA64A1"/>
    <w:rsid w:val="00AA6BCD"/>
    <w:rsid w:val="00AA6CD8"/>
    <w:rsid w:val="00AA6E08"/>
    <w:rsid w:val="00AA6F04"/>
    <w:rsid w:val="00AA6FF5"/>
    <w:rsid w:val="00AA72AF"/>
    <w:rsid w:val="00AA7434"/>
    <w:rsid w:val="00AA7632"/>
    <w:rsid w:val="00AA7C6B"/>
    <w:rsid w:val="00AA7CB3"/>
    <w:rsid w:val="00AA7E23"/>
    <w:rsid w:val="00AB0030"/>
    <w:rsid w:val="00AB010F"/>
    <w:rsid w:val="00AB0829"/>
    <w:rsid w:val="00AB092C"/>
    <w:rsid w:val="00AB0B7B"/>
    <w:rsid w:val="00AB0BF0"/>
    <w:rsid w:val="00AB0CC4"/>
    <w:rsid w:val="00AB13F2"/>
    <w:rsid w:val="00AB1F62"/>
    <w:rsid w:val="00AB2055"/>
    <w:rsid w:val="00AB218A"/>
    <w:rsid w:val="00AB2277"/>
    <w:rsid w:val="00AB2397"/>
    <w:rsid w:val="00AB24AB"/>
    <w:rsid w:val="00AB26DA"/>
    <w:rsid w:val="00AB2731"/>
    <w:rsid w:val="00AB2CED"/>
    <w:rsid w:val="00AB2D03"/>
    <w:rsid w:val="00AB2D2F"/>
    <w:rsid w:val="00AB2DAD"/>
    <w:rsid w:val="00AB300D"/>
    <w:rsid w:val="00AB33DD"/>
    <w:rsid w:val="00AB355E"/>
    <w:rsid w:val="00AB36D2"/>
    <w:rsid w:val="00AB37DD"/>
    <w:rsid w:val="00AB391A"/>
    <w:rsid w:val="00AB3E70"/>
    <w:rsid w:val="00AB3E8A"/>
    <w:rsid w:val="00AB45CF"/>
    <w:rsid w:val="00AB45F1"/>
    <w:rsid w:val="00AB4859"/>
    <w:rsid w:val="00AB49C9"/>
    <w:rsid w:val="00AB49FD"/>
    <w:rsid w:val="00AB4A1E"/>
    <w:rsid w:val="00AB4A3B"/>
    <w:rsid w:val="00AB4DC3"/>
    <w:rsid w:val="00AB4F2A"/>
    <w:rsid w:val="00AB4FEB"/>
    <w:rsid w:val="00AB510E"/>
    <w:rsid w:val="00AB5288"/>
    <w:rsid w:val="00AB5671"/>
    <w:rsid w:val="00AB5A50"/>
    <w:rsid w:val="00AB5B1A"/>
    <w:rsid w:val="00AB5BD3"/>
    <w:rsid w:val="00AB5C1A"/>
    <w:rsid w:val="00AB5C59"/>
    <w:rsid w:val="00AB60FF"/>
    <w:rsid w:val="00AB61F5"/>
    <w:rsid w:val="00AB6212"/>
    <w:rsid w:val="00AB6517"/>
    <w:rsid w:val="00AB665E"/>
    <w:rsid w:val="00AB6F4F"/>
    <w:rsid w:val="00AB726F"/>
    <w:rsid w:val="00AB72F9"/>
    <w:rsid w:val="00AB748A"/>
    <w:rsid w:val="00AB7666"/>
    <w:rsid w:val="00AB76D3"/>
    <w:rsid w:val="00AB770F"/>
    <w:rsid w:val="00AB78FF"/>
    <w:rsid w:val="00AB7D43"/>
    <w:rsid w:val="00AB7FC8"/>
    <w:rsid w:val="00AC0158"/>
    <w:rsid w:val="00AC0319"/>
    <w:rsid w:val="00AC0592"/>
    <w:rsid w:val="00AC05DE"/>
    <w:rsid w:val="00AC06DD"/>
    <w:rsid w:val="00AC078A"/>
    <w:rsid w:val="00AC0A96"/>
    <w:rsid w:val="00AC0B5B"/>
    <w:rsid w:val="00AC0C11"/>
    <w:rsid w:val="00AC0D65"/>
    <w:rsid w:val="00AC1353"/>
    <w:rsid w:val="00AC1479"/>
    <w:rsid w:val="00AC14CC"/>
    <w:rsid w:val="00AC14F4"/>
    <w:rsid w:val="00AC16DA"/>
    <w:rsid w:val="00AC1864"/>
    <w:rsid w:val="00AC19EC"/>
    <w:rsid w:val="00AC1C1A"/>
    <w:rsid w:val="00AC1C1C"/>
    <w:rsid w:val="00AC1DDF"/>
    <w:rsid w:val="00AC2168"/>
    <w:rsid w:val="00AC2203"/>
    <w:rsid w:val="00AC24F7"/>
    <w:rsid w:val="00AC2512"/>
    <w:rsid w:val="00AC2518"/>
    <w:rsid w:val="00AC2544"/>
    <w:rsid w:val="00AC2620"/>
    <w:rsid w:val="00AC2688"/>
    <w:rsid w:val="00AC2914"/>
    <w:rsid w:val="00AC29A0"/>
    <w:rsid w:val="00AC29CD"/>
    <w:rsid w:val="00AC2AB7"/>
    <w:rsid w:val="00AC31CD"/>
    <w:rsid w:val="00AC325C"/>
    <w:rsid w:val="00AC32D5"/>
    <w:rsid w:val="00AC365F"/>
    <w:rsid w:val="00AC388F"/>
    <w:rsid w:val="00AC3B33"/>
    <w:rsid w:val="00AC3DCC"/>
    <w:rsid w:val="00AC4096"/>
    <w:rsid w:val="00AC4464"/>
    <w:rsid w:val="00AC4690"/>
    <w:rsid w:val="00AC484B"/>
    <w:rsid w:val="00AC498D"/>
    <w:rsid w:val="00AC4D45"/>
    <w:rsid w:val="00AC4F87"/>
    <w:rsid w:val="00AC5083"/>
    <w:rsid w:val="00AC50A3"/>
    <w:rsid w:val="00AC5582"/>
    <w:rsid w:val="00AC55F5"/>
    <w:rsid w:val="00AC56EF"/>
    <w:rsid w:val="00AC69F5"/>
    <w:rsid w:val="00AC6B5B"/>
    <w:rsid w:val="00AC6B7C"/>
    <w:rsid w:val="00AC6CED"/>
    <w:rsid w:val="00AC6DC5"/>
    <w:rsid w:val="00AC6E84"/>
    <w:rsid w:val="00AC6F21"/>
    <w:rsid w:val="00AC7180"/>
    <w:rsid w:val="00AC7471"/>
    <w:rsid w:val="00AC774B"/>
    <w:rsid w:val="00AC777B"/>
    <w:rsid w:val="00AC7860"/>
    <w:rsid w:val="00AC7BEC"/>
    <w:rsid w:val="00AC7D7A"/>
    <w:rsid w:val="00AC7E93"/>
    <w:rsid w:val="00AD0261"/>
    <w:rsid w:val="00AD0403"/>
    <w:rsid w:val="00AD0561"/>
    <w:rsid w:val="00AD05F6"/>
    <w:rsid w:val="00AD0709"/>
    <w:rsid w:val="00AD0AFA"/>
    <w:rsid w:val="00AD0C3C"/>
    <w:rsid w:val="00AD15FC"/>
    <w:rsid w:val="00AD1A98"/>
    <w:rsid w:val="00AD1BA4"/>
    <w:rsid w:val="00AD20C7"/>
    <w:rsid w:val="00AD22A4"/>
    <w:rsid w:val="00AD25B2"/>
    <w:rsid w:val="00AD264F"/>
    <w:rsid w:val="00AD2672"/>
    <w:rsid w:val="00AD27A0"/>
    <w:rsid w:val="00AD2A12"/>
    <w:rsid w:val="00AD2C79"/>
    <w:rsid w:val="00AD2FE1"/>
    <w:rsid w:val="00AD30A6"/>
    <w:rsid w:val="00AD3372"/>
    <w:rsid w:val="00AD38A8"/>
    <w:rsid w:val="00AD3F16"/>
    <w:rsid w:val="00AD4082"/>
    <w:rsid w:val="00AD45B9"/>
    <w:rsid w:val="00AD4658"/>
    <w:rsid w:val="00AD465E"/>
    <w:rsid w:val="00AD46E5"/>
    <w:rsid w:val="00AD46F6"/>
    <w:rsid w:val="00AD47FF"/>
    <w:rsid w:val="00AD482A"/>
    <w:rsid w:val="00AD4918"/>
    <w:rsid w:val="00AD4936"/>
    <w:rsid w:val="00AD4A36"/>
    <w:rsid w:val="00AD4AC4"/>
    <w:rsid w:val="00AD52C8"/>
    <w:rsid w:val="00AD52D6"/>
    <w:rsid w:val="00AD52FE"/>
    <w:rsid w:val="00AD5305"/>
    <w:rsid w:val="00AD5312"/>
    <w:rsid w:val="00AD54CD"/>
    <w:rsid w:val="00AD5510"/>
    <w:rsid w:val="00AD581D"/>
    <w:rsid w:val="00AD5B3E"/>
    <w:rsid w:val="00AD5CAE"/>
    <w:rsid w:val="00AD5EB2"/>
    <w:rsid w:val="00AD6035"/>
    <w:rsid w:val="00AD6342"/>
    <w:rsid w:val="00AD67B0"/>
    <w:rsid w:val="00AD67D5"/>
    <w:rsid w:val="00AD6B6E"/>
    <w:rsid w:val="00AD6C0E"/>
    <w:rsid w:val="00AD6CE6"/>
    <w:rsid w:val="00AD6D51"/>
    <w:rsid w:val="00AD6EA8"/>
    <w:rsid w:val="00AD7138"/>
    <w:rsid w:val="00AD754D"/>
    <w:rsid w:val="00AD7732"/>
    <w:rsid w:val="00AD7784"/>
    <w:rsid w:val="00AD799E"/>
    <w:rsid w:val="00AD7A52"/>
    <w:rsid w:val="00AD7BB0"/>
    <w:rsid w:val="00AD7DA1"/>
    <w:rsid w:val="00AD7FAE"/>
    <w:rsid w:val="00AE0040"/>
    <w:rsid w:val="00AE02A4"/>
    <w:rsid w:val="00AE0512"/>
    <w:rsid w:val="00AE06B0"/>
    <w:rsid w:val="00AE0B2B"/>
    <w:rsid w:val="00AE0CBE"/>
    <w:rsid w:val="00AE0E98"/>
    <w:rsid w:val="00AE1058"/>
    <w:rsid w:val="00AE122D"/>
    <w:rsid w:val="00AE1239"/>
    <w:rsid w:val="00AE125C"/>
    <w:rsid w:val="00AE14FB"/>
    <w:rsid w:val="00AE1B26"/>
    <w:rsid w:val="00AE1BAA"/>
    <w:rsid w:val="00AE1C32"/>
    <w:rsid w:val="00AE1CFE"/>
    <w:rsid w:val="00AE2113"/>
    <w:rsid w:val="00AE2489"/>
    <w:rsid w:val="00AE26A9"/>
    <w:rsid w:val="00AE2711"/>
    <w:rsid w:val="00AE2870"/>
    <w:rsid w:val="00AE3088"/>
    <w:rsid w:val="00AE3484"/>
    <w:rsid w:val="00AE3777"/>
    <w:rsid w:val="00AE3D2E"/>
    <w:rsid w:val="00AE3DE5"/>
    <w:rsid w:val="00AE3E5C"/>
    <w:rsid w:val="00AE406A"/>
    <w:rsid w:val="00AE4CB1"/>
    <w:rsid w:val="00AE4DB2"/>
    <w:rsid w:val="00AE51AC"/>
    <w:rsid w:val="00AE572B"/>
    <w:rsid w:val="00AE5890"/>
    <w:rsid w:val="00AE595E"/>
    <w:rsid w:val="00AE5BC1"/>
    <w:rsid w:val="00AE5CE5"/>
    <w:rsid w:val="00AE5D5A"/>
    <w:rsid w:val="00AE5D67"/>
    <w:rsid w:val="00AE5ED7"/>
    <w:rsid w:val="00AE6004"/>
    <w:rsid w:val="00AE6330"/>
    <w:rsid w:val="00AE641C"/>
    <w:rsid w:val="00AE6691"/>
    <w:rsid w:val="00AE67C8"/>
    <w:rsid w:val="00AE69A4"/>
    <w:rsid w:val="00AE6C87"/>
    <w:rsid w:val="00AE6D49"/>
    <w:rsid w:val="00AE6D6B"/>
    <w:rsid w:val="00AE6E01"/>
    <w:rsid w:val="00AE7212"/>
    <w:rsid w:val="00AE7467"/>
    <w:rsid w:val="00AE74E7"/>
    <w:rsid w:val="00AE76B1"/>
    <w:rsid w:val="00AE77A8"/>
    <w:rsid w:val="00AE77BB"/>
    <w:rsid w:val="00AE79C8"/>
    <w:rsid w:val="00AE7D71"/>
    <w:rsid w:val="00AE7E03"/>
    <w:rsid w:val="00AE7E66"/>
    <w:rsid w:val="00AF03B5"/>
    <w:rsid w:val="00AF0710"/>
    <w:rsid w:val="00AF0761"/>
    <w:rsid w:val="00AF07EB"/>
    <w:rsid w:val="00AF0AC5"/>
    <w:rsid w:val="00AF0AD0"/>
    <w:rsid w:val="00AF0C79"/>
    <w:rsid w:val="00AF0D77"/>
    <w:rsid w:val="00AF0DE6"/>
    <w:rsid w:val="00AF0DF6"/>
    <w:rsid w:val="00AF0EBE"/>
    <w:rsid w:val="00AF11AE"/>
    <w:rsid w:val="00AF1635"/>
    <w:rsid w:val="00AF166E"/>
    <w:rsid w:val="00AF1674"/>
    <w:rsid w:val="00AF1C8F"/>
    <w:rsid w:val="00AF1DA5"/>
    <w:rsid w:val="00AF1DE8"/>
    <w:rsid w:val="00AF1DF3"/>
    <w:rsid w:val="00AF1FDA"/>
    <w:rsid w:val="00AF20F0"/>
    <w:rsid w:val="00AF2355"/>
    <w:rsid w:val="00AF2417"/>
    <w:rsid w:val="00AF24C5"/>
    <w:rsid w:val="00AF27B1"/>
    <w:rsid w:val="00AF29AD"/>
    <w:rsid w:val="00AF2B3B"/>
    <w:rsid w:val="00AF2B4E"/>
    <w:rsid w:val="00AF2EB9"/>
    <w:rsid w:val="00AF30F0"/>
    <w:rsid w:val="00AF3361"/>
    <w:rsid w:val="00AF336E"/>
    <w:rsid w:val="00AF345C"/>
    <w:rsid w:val="00AF34EA"/>
    <w:rsid w:val="00AF3548"/>
    <w:rsid w:val="00AF35CA"/>
    <w:rsid w:val="00AF389C"/>
    <w:rsid w:val="00AF38F3"/>
    <w:rsid w:val="00AF3AE1"/>
    <w:rsid w:val="00AF3DCC"/>
    <w:rsid w:val="00AF3FC0"/>
    <w:rsid w:val="00AF4436"/>
    <w:rsid w:val="00AF4A8A"/>
    <w:rsid w:val="00AF4B87"/>
    <w:rsid w:val="00AF4C9E"/>
    <w:rsid w:val="00AF4CBF"/>
    <w:rsid w:val="00AF4E9C"/>
    <w:rsid w:val="00AF5119"/>
    <w:rsid w:val="00AF5364"/>
    <w:rsid w:val="00AF58A2"/>
    <w:rsid w:val="00AF5C14"/>
    <w:rsid w:val="00AF5E54"/>
    <w:rsid w:val="00AF656D"/>
    <w:rsid w:val="00AF662F"/>
    <w:rsid w:val="00AF6B11"/>
    <w:rsid w:val="00AF6B1E"/>
    <w:rsid w:val="00AF6BB9"/>
    <w:rsid w:val="00AF6DD0"/>
    <w:rsid w:val="00AF6F1D"/>
    <w:rsid w:val="00AF71CF"/>
    <w:rsid w:val="00AF7337"/>
    <w:rsid w:val="00AF7471"/>
    <w:rsid w:val="00AF7659"/>
    <w:rsid w:val="00AF76C9"/>
    <w:rsid w:val="00AF78E4"/>
    <w:rsid w:val="00AF7A97"/>
    <w:rsid w:val="00AF7AD1"/>
    <w:rsid w:val="00AF7C0C"/>
    <w:rsid w:val="00B00549"/>
    <w:rsid w:val="00B006F9"/>
    <w:rsid w:val="00B00709"/>
    <w:rsid w:val="00B00958"/>
    <w:rsid w:val="00B009C4"/>
    <w:rsid w:val="00B00E75"/>
    <w:rsid w:val="00B00EBC"/>
    <w:rsid w:val="00B00F2F"/>
    <w:rsid w:val="00B01363"/>
    <w:rsid w:val="00B01710"/>
    <w:rsid w:val="00B01916"/>
    <w:rsid w:val="00B01CFF"/>
    <w:rsid w:val="00B01DEA"/>
    <w:rsid w:val="00B01DF9"/>
    <w:rsid w:val="00B01F2E"/>
    <w:rsid w:val="00B01F6D"/>
    <w:rsid w:val="00B01FF6"/>
    <w:rsid w:val="00B02152"/>
    <w:rsid w:val="00B02160"/>
    <w:rsid w:val="00B02341"/>
    <w:rsid w:val="00B0244C"/>
    <w:rsid w:val="00B02603"/>
    <w:rsid w:val="00B02860"/>
    <w:rsid w:val="00B02AB8"/>
    <w:rsid w:val="00B02C6F"/>
    <w:rsid w:val="00B02CEC"/>
    <w:rsid w:val="00B02E1B"/>
    <w:rsid w:val="00B02E60"/>
    <w:rsid w:val="00B02ED6"/>
    <w:rsid w:val="00B032E0"/>
    <w:rsid w:val="00B03564"/>
    <w:rsid w:val="00B03606"/>
    <w:rsid w:val="00B03636"/>
    <w:rsid w:val="00B036EE"/>
    <w:rsid w:val="00B03805"/>
    <w:rsid w:val="00B03846"/>
    <w:rsid w:val="00B03A0B"/>
    <w:rsid w:val="00B03CBE"/>
    <w:rsid w:val="00B03F27"/>
    <w:rsid w:val="00B04113"/>
    <w:rsid w:val="00B04523"/>
    <w:rsid w:val="00B04610"/>
    <w:rsid w:val="00B049DA"/>
    <w:rsid w:val="00B049EB"/>
    <w:rsid w:val="00B04AB8"/>
    <w:rsid w:val="00B050F0"/>
    <w:rsid w:val="00B05255"/>
    <w:rsid w:val="00B0560B"/>
    <w:rsid w:val="00B05630"/>
    <w:rsid w:val="00B05E4B"/>
    <w:rsid w:val="00B060AD"/>
    <w:rsid w:val="00B061FC"/>
    <w:rsid w:val="00B064E0"/>
    <w:rsid w:val="00B0659C"/>
    <w:rsid w:val="00B06737"/>
    <w:rsid w:val="00B06ABB"/>
    <w:rsid w:val="00B0715C"/>
    <w:rsid w:val="00B07176"/>
    <w:rsid w:val="00B0726D"/>
    <w:rsid w:val="00B0738B"/>
    <w:rsid w:val="00B074C5"/>
    <w:rsid w:val="00B074E1"/>
    <w:rsid w:val="00B07784"/>
    <w:rsid w:val="00B0788F"/>
    <w:rsid w:val="00B078D6"/>
    <w:rsid w:val="00B07F47"/>
    <w:rsid w:val="00B07FDF"/>
    <w:rsid w:val="00B10063"/>
    <w:rsid w:val="00B101D6"/>
    <w:rsid w:val="00B10381"/>
    <w:rsid w:val="00B10699"/>
    <w:rsid w:val="00B10759"/>
    <w:rsid w:val="00B107B8"/>
    <w:rsid w:val="00B1082C"/>
    <w:rsid w:val="00B10A5D"/>
    <w:rsid w:val="00B10C3E"/>
    <w:rsid w:val="00B10CFE"/>
    <w:rsid w:val="00B10E29"/>
    <w:rsid w:val="00B1107D"/>
    <w:rsid w:val="00B110B3"/>
    <w:rsid w:val="00B11559"/>
    <w:rsid w:val="00B11B67"/>
    <w:rsid w:val="00B11D75"/>
    <w:rsid w:val="00B1202E"/>
    <w:rsid w:val="00B1218A"/>
    <w:rsid w:val="00B12203"/>
    <w:rsid w:val="00B1276F"/>
    <w:rsid w:val="00B12CB7"/>
    <w:rsid w:val="00B12CD9"/>
    <w:rsid w:val="00B12E7E"/>
    <w:rsid w:val="00B132DE"/>
    <w:rsid w:val="00B13520"/>
    <w:rsid w:val="00B13662"/>
    <w:rsid w:val="00B138F2"/>
    <w:rsid w:val="00B13F59"/>
    <w:rsid w:val="00B1429A"/>
    <w:rsid w:val="00B14459"/>
    <w:rsid w:val="00B14584"/>
    <w:rsid w:val="00B14881"/>
    <w:rsid w:val="00B148D2"/>
    <w:rsid w:val="00B14B9D"/>
    <w:rsid w:val="00B14D6E"/>
    <w:rsid w:val="00B14D74"/>
    <w:rsid w:val="00B15200"/>
    <w:rsid w:val="00B153CF"/>
    <w:rsid w:val="00B15592"/>
    <w:rsid w:val="00B159AD"/>
    <w:rsid w:val="00B15A49"/>
    <w:rsid w:val="00B15F12"/>
    <w:rsid w:val="00B15FA2"/>
    <w:rsid w:val="00B16476"/>
    <w:rsid w:val="00B1668A"/>
    <w:rsid w:val="00B16746"/>
    <w:rsid w:val="00B16866"/>
    <w:rsid w:val="00B1699A"/>
    <w:rsid w:val="00B16A78"/>
    <w:rsid w:val="00B16DEF"/>
    <w:rsid w:val="00B16F55"/>
    <w:rsid w:val="00B170E0"/>
    <w:rsid w:val="00B171B0"/>
    <w:rsid w:val="00B17655"/>
    <w:rsid w:val="00B1783A"/>
    <w:rsid w:val="00B17897"/>
    <w:rsid w:val="00B17B9D"/>
    <w:rsid w:val="00B20091"/>
    <w:rsid w:val="00B201F4"/>
    <w:rsid w:val="00B203CA"/>
    <w:rsid w:val="00B20588"/>
    <w:rsid w:val="00B2092C"/>
    <w:rsid w:val="00B20A28"/>
    <w:rsid w:val="00B21028"/>
    <w:rsid w:val="00B212E4"/>
    <w:rsid w:val="00B21398"/>
    <w:rsid w:val="00B21456"/>
    <w:rsid w:val="00B21DDB"/>
    <w:rsid w:val="00B21FA2"/>
    <w:rsid w:val="00B2207F"/>
    <w:rsid w:val="00B22538"/>
    <w:rsid w:val="00B225D8"/>
    <w:rsid w:val="00B22747"/>
    <w:rsid w:val="00B227FD"/>
    <w:rsid w:val="00B22887"/>
    <w:rsid w:val="00B22891"/>
    <w:rsid w:val="00B22BEC"/>
    <w:rsid w:val="00B22DF7"/>
    <w:rsid w:val="00B22E88"/>
    <w:rsid w:val="00B22F25"/>
    <w:rsid w:val="00B23055"/>
    <w:rsid w:val="00B2329B"/>
    <w:rsid w:val="00B23348"/>
    <w:rsid w:val="00B234A9"/>
    <w:rsid w:val="00B23859"/>
    <w:rsid w:val="00B2385E"/>
    <w:rsid w:val="00B23E06"/>
    <w:rsid w:val="00B23F46"/>
    <w:rsid w:val="00B24A7B"/>
    <w:rsid w:val="00B24BD4"/>
    <w:rsid w:val="00B24D4F"/>
    <w:rsid w:val="00B25051"/>
    <w:rsid w:val="00B256EF"/>
    <w:rsid w:val="00B25B06"/>
    <w:rsid w:val="00B25BE3"/>
    <w:rsid w:val="00B25C70"/>
    <w:rsid w:val="00B25DB1"/>
    <w:rsid w:val="00B25DE1"/>
    <w:rsid w:val="00B25DF1"/>
    <w:rsid w:val="00B26067"/>
    <w:rsid w:val="00B2622A"/>
    <w:rsid w:val="00B26A0F"/>
    <w:rsid w:val="00B26A19"/>
    <w:rsid w:val="00B26CE1"/>
    <w:rsid w:val="00B26EF4"/>
    <w:rsid w:val="00B2721F"/>
    <w:rsid w:val="00B2749E"/>
    <w:rsid w:val="00B276D6"/>
    <w:rsid w:val="00B279AF"/>
    <w:rsid w:val="00B27BED"/>
    <w:rsid w:val="00B27C0D"/>
    <w:rsid w:val="00B27C25"/>
    <w:rsid w:val="00B27D0D"/>
    <w:rsid w:val="00B27E3C"/>
    <w:rsid w:val="00B30567"/>
    <w:rsid w:val="00B30640"/>
    <w:rsid w:val="00B30820"/>
    <w:rsid w:val="00B3098F"/>
    <w:rsid w:val="00B309D0"/>
    <w:rsid w:val="00B309D4"/>
    <w:rsid w:val="00B30E4F"/>
    <w:rsid w:val="00B31041"/>
    <w:rsid w:val="00B315CC"/>
    <w:rsid w:val="00B3194D"/>
    <w:rsid w:val="00B31ED3"/>
    <w:rsid w:val="00B32485"/>
    <w:rsid w:val="00B324DB"/>
    <w:rsid w:val="00B327A9"/>
    <w:rsid w:val="00B3294A"/>
    <w:rsid w:val="00B32E0D"/>
    <w:rsid w:val="00B32FDC"/>
    <w:rsid w:val="00B335D7"/>
    <w:rsid w:val="00B335D9"/>
    <w:rsid w:val="00B33CF3"/>
    <w:rsid w:val="00B33F5D"/>
    <w:rsid w:val="00B33FC7"/>
    <w:rsid w:val="00B3400C"/>
    <w:rsid w:val="00B3430E"/>
    <w:rsid w:val="00B34645"/>
    <w:rsid w:val="00B34965"/>
    <w:rsid w:val="00B34AD4"/>
    <w:rsid w:val="00B34C47"/>
    <w:rsid w:val="00B34F31"/>
    <w:rsid w:val="00B34F8B"/>
    <w:rsid w:val="00B355E3"/>
    <w:rsid w:val="00B35A6C"/>
    <w:rsid w:val="00B35B25"/>
    <w:rsid w:val="00B35B82"/>
    <w:rsid w:val="00B35E2A"/>
    <w:rsid w:val="00B3607A"/>
    <w:rsid w:val="00B361DC"/>
    <w:rsid w:val="00B36322"/>
    <w:rsid w:val="00B365A9"/>
    <w:rsid w:val="00B369ED"/>
    <w:rsid w:val="00B36B7F"/>
    <w:rsid w:val="00B36D83"/>
    <w:rsid w:val="00B36E26"/>
    <w:rsid w:val="00B36ED4"/>
    <w:rsid w:val="00B36F3B"/>
    <w:rsid w:val="00B37074"/>
    <w:rsid w:val="00B370D9"/>
    <w:rsid w:val="00B370E2"/>
    <w:rsid w:val="00B37374"/>
    <w:rsid w:val="00B375EF"/>
    <w:rsid w:val="00B37776"/>
    <w:rsid w:val="00B37A6C"/>
    <w:rsid w:val="00B37E7F"/>
    <w:rsid w:val="00B40111"/>
    <w:rsid w:val="00B40186"/>
    <w:rsid w:val="00B405B4"/>
    <w:rsid w:val="00B408B5"/>
    <w:rsid w:val="00B40A96"/>
    <w:rsid w:val="00B40E83"/>
    <w:rsid w:val="00B40FD5"/>
    <w:rsid w:val="00B40FE5"/>
    <w:rsid w:val="00B41385"/>
    <w:rsid w:val="00B416B7"/>
    <w:rsid w:val="00B416B8"/>
    <w:rsid w:val="00B41714"/>
    <w:rsid w:val="00B419C1"/>
    <w:rsid w:val="00B41A5C"/>
    <w:rsid w:val="00B41B9B"/>
    <w:rsid w:val="00B421B6"/>
    <w:rsid w:val="00B42915"/>
    <w:rsid w:val="00B42CC1"/>
    <w:rsid w:val="00B42DC8"/>
    <w:rsid w:val="00B433DC"/>
    <w:rsid w:val="00B438FE"/>
    <w:rsid w:val="00B4397A"/>
    <w:rsid w:val="00B43A35"/>
    <w:rsid w:val="00B43A38"/>
    <w:rsid w:val="00B43FB6"/>
    <w:rsid w:val="00B44188"/>
    <w:rsid w:val="00B44237"/>
    <w:rsid w:val="00B4439B"/>
    <w:rsid w:val="00B443F5"/>
    <w:rsid w:val="00B446B6"/>
    <w:rsid w:val="00B4477A"/>
    <w:rsid w:val="00B448D2"/>
    <w:rsid w:val="00B44973"/>
    <w:rsid w:val="00B44E8F"/>
    <w:rsid w:val="00B44EC5"/>
    <w:rsid w:val="00B45111"/>
    <w:rsid w:val="00B453B4"/>
    <w:rsid w:val="00B45419"/>
    <w:rsid w:val="00B45531"/>
    <w:rsid w:val="00B45547"/>
    <w:rsid w:val="00B45A0A"/>
    <w:rsid w:val="00B45B35"/>
    <w:rsid w:val="00B45C27"/>
    <w:rsid w:val="00B45E33"/>
    <w:rsid w:val="00B45F38"/>
    <w:rsid w:val="00B46001"/>
    <w:rsid w:val="00B465EC"/>
    <w:rsid w:val="00B46757"/>
    <w:rsid w:val="00B46903"/>
    <w:rsid w:val="00B4742C"/>
    <w:rsid w:val="00B474F1"/>
    <w:rsid w:val="00B47A6D"/>
    <w:rsid w:val="00B47C12"/>
    <w:rsid w:val="00B5005A"/>
    <w:rsid w:val="00B507ED"/>
    <w:rsid w:val="00B508F7"/>
    <w:rsid w:val="00B50947"/>
    <w:rsid w:val="00B50978"/>
    <w:rsid w:val="00B509EF"/>
    <w:rsid w:val="00B50A2A"/>
    <w:rsid w:val="00B50B87"/>
    <w:rsid w:val="00B50D3B"/>
    <w:rsid w:val="00B51051"/>
    <w:rsid w:val="00B5157C"/>
    <w:rsid w:val="00B515C7"/>
    <w:rsid w:val="00B51EA7"/>
    <w:rsid w:val="00B520C4"/>
    <w:rsid w:val="00B520FD"/>
    <w:rsid w:val="00B5218C"/>
    <w:rsid w:val="00B52AD5"/>
    <w:rsid w:val="00B52CDE"/>
    <w:rsid w:val="00B52EC7"/>
    <w:rsid w:val="00B52EEF"/>
    <w:rsid w:val="00B531F4"/>
    <w:rsid w:val="00B533F0"/>
    <w:rsid w:val="00B53409"/>
    <w:rsid w:val="00B53420"/>
    <w:rsid w:val="00B53585"/>
    <w:rsid w:val="00B53761"/>
    <w:rsid w:val="00B539E9"/>
    <w:rsid w:val="00B539F9"/>
    <w:rsid w:val="00B544A1"/>
    <w:rsid w:val="00B54537"/>
    <w:rsid w:val="00B54956"/>
    <w:rsid w:val="00B54DD3"/>
    <w:rsid w:val="00B54E1B"/>
    <w:rsid w:val="00B54ECF"/>
    <w:rsid w:val="00B54EFB"/>
    <w:rsid w:val="00B55038"/>
    <w:rsid w:val="00B55098"/>
    <w:rsid w:val="00B552FB"/>
    <w:rsid w:val="00B553AF"/>
    <w:rsid w:val="00B5559D"/>
    <w:rsid w:val="00B555BE"/>
    <w:rsid w:val="00B555E0"/>
    <w:rsid w:val="00B5561F"/>
    <w:rsid w:val="00B55BE8"/>
    <w:rsid w:val="00B55D50"/>
    <w:rsid w:val="00B55F90"/>
    <w:rsid w:val="00B5600A"/>
    <w:rsid w:val="00B5626D"/>
    <w:rsid w:val="00B56371"/>
    <w:rsid w:val="00B56532"/>
    <w:rsid w:val="00B56BB4"/>
    <w:rsid w:val="00B56CE5"/>
    <w:rsid w:val="00B5711D"/>
    <w:rsid w:val="00B5738D"/>
    <w:rsid w:val="00B576F7"/>
    <w:rsid w:val="00B5785B"/>
    <w:rsid w:val="00B57959"/>
    <w:rsid w:val="00B57C4E"/>
    <w:rsid w:val="00B603C8"/>
    <w:rsid w:val="00B6048F"/>
    <w:rsid w:val="00B6063D"/>
    <w:rsid w:val="00B60669"/>
    <w:rsid w:val="00B60E0A"/>
    <w:rsid w:val="00B60FDD"/>
    <w:rsid w:val="00B61173"/>
    <w:rsid w:val="00B611BB"/>
    <w:rsid w:val="00B61239"/>
    <w:rsid w:val="00B61280"/>
    <w:rsid w:val="00B61340"/>
    <w:rsid w:val="00B61502"/>
    <w:rsid w:val="00B6152F"/>
    <w:rsid w:val="00B61613"/>
    <w:rsid w:val="00B619BB"/>
    <w:rsid w:val="00B619E5"/>
    <w:rsid w:val="00B61B84"/>
    <w:rsid w:val="00B62472"/>
    <w:rsid w:val="00B62809"/>
    <w:rsid w:val="00B6281E"/>
    <w:rsid w:val="00B62B35"/>
    <w:rsid w:val="00B62CE3"/>
    <w:rsid w:val="00B62CF4"/>
    <w:rsid w:val="00B62D80"/>
    <w:rsid w:val="00B62FC1"/>
    <w:rsid w:val="00B632E1"/>
    <w:rsid w:val="00B6332E"/>
    <w:rsid w:val="00B63333"/>
    <w:rsid w:val="00B63866"/>
    <w:rsid w:val="00B63A77"/>
    <w:rsid w:val="00B63C15"/>
    <w:rsid w:val="00B63FED"/>
    <w:rsid w:val="00B64079"/>
    <w:rsid w:val="00B642C6"/>
    <w:rsid w:val="00B643EC"/>
    <w:rsid w:val="00B64528"/>
    <w:rsid w:val="00B6455A"/>
    <w:rsid w:val="00B646D6"/>
    <w:rsid w:val="00B6484C"/>
    <w:rsid w:val="00B6490B"/>
    <w:rsid w:val="00B64CF3"/>
    <w:rsid w:val="00B64E93"/>
    <w:rsid w:val="00B652C7"/>
    <w:rsid w:val="00B653EA"/>
    <w:rsid w:val="00B653F6"/>
    <w:rsid w:val="00B6557D"/>
    <w:rsid w:val="00B65E3D"/>
    <w:rsid w:val="00B65E4E"/>
    <w:rsid w:val="00B6632C"/>
    <w:rsid w:val="00B664DA"/>
    <w:rsid w:val="00B66DED"/>
    <w:rsid w:val="00B6726B"/>
    <w:rsid w:val="00B672E3"/>
    <w:rsid w:val="00B674B8"/>
    <w:rsid w:val="00B675EE"/>
    <w:rsid w:val="00B67832"/>
    <w:rsid w:val="00B6785C"/>
    <w:rsid w:val="00B679BE"/>
    <w:rsid w:val="00B67D25"/>
    <w:rsid w:val="00B67FB3"/>
    <w:rsid w:val="00B700B3"/>
    <w:rsid w:val="00B70421"/>
    <w:rsid w:val="00B7048E"/>
    <w:rsid w:val="00B7058E"/>
    <w:rsid w:val="00B705BC"/>
    <w:rsid w:val="00B70668"/>
    <w:rsid w:val="00B70895"/>
    <w:rsid w:val="00B7099F"/>
    <w:rsid w:val="00B70C50"/>
    <w:rsid w:val="00B70F11"/>
    <w:rsid w:val="00B71032"/>
    <w:rsid w:val="00B7104B"/>
    <w:rsid w:val="00B7136B"/>
    <w:rsid w:val="00B71A84"/>
    <w:rsid w:val="00B71AE2"/>
    <w:rsid w:val="00B72128"/>
    <w:rsid w:val="00B7215F"/>
    <w:rsid w:val="00B72255"/>
    <w:rsid w:val="00B72774"/>
    <w:rsid w:val="00B727B2"/>
    <w:rsid w:val="00B72B40"/>
    <w:rsid w:val="00B72B9F"/>
    <w:rsid w:val="00B72BFA"/>
    <w:rsid w:val="00B730E0"/>
    <w:rsid w:val="00B7310B"/>
    <w:rsid w:val="00B7314B"/>
    <w:rsid w:val="00B73193"/>
    <w:rsid w:val="00B732E0"/>
    <w:rsid w:val="00B73728"/>
    <w:rsid w:val="00B73738"/>
    <w:rsid w:val="00B738D3"/>
    <w:rsid w:val="00B73B38"/>
    <w:rsid w:val="00B73B68"/>
    <w:rsid w:val="00B73D81"/>
    <w:rsid w:val="00B74162"/>
    <w:rsid w:val="00B743F3"/>
    <w:rsid w:val="00B74465"/>
    <w:rsid w:val="00B74539"/>
    <w:rsid w:val="00B74552"/>
    <w:rsid w:val="00B74780"/>
    <w:rsid w:val="00B74D1F"/>
    <w:rsid w:val="00B7508B"/>
    <w:rsid w:val="00B7528F"/>
    <w:rsid w:val="00B752F9"/>
    <w:rsid w:val="00B754E1"/>
    <w:rsid w:val="00B75602"/>
    <w:rsid w:val="00B75617"/>
    <w:rsid w:val="00B7575D"/>
    <w:rsid w:val="00B7578E"/>
    <w:rsid w:val="00B758CF"/>
    <w:rsid w:val="00B75A43"/>
    <w:rsid w:val="00B75AF4"/>
    <w:rsid w:val="00B75BD0"/>
    <w:rsid w:val="00B76169"/>
    <w:rsid w:val="00B7651F"/>
    <w:rsid w:val="00B7653A"/>
    <w:rsid w:val="00B766CB"/>
    <w:rsid w:val="00B7680D"/>
    <w:rsid w:val="00B76F49"/>
    <w:rsid w:val="00B77047"/>
    <w:rsid w:val="00B77078"/>
    <w:rsid w:val="00B77BB1"/>
    <w:rsid w:val="00B77D64"/>
    <w:rsid w:val="00B80001"/>
    <w:rsid w:val="00B803D8"/>
    <w:rsid w:val="00B80614"/>
    <w:rsid w:val="00B8097F"/>
    <w:rsid w:val="00B80CA4"/>
    <w:rsid w:val="00B810CD"/>
    <w:rsid w:val="00B81281"/>
    <w:rsid w:val="00B815FB"/>
    <w:rsid w:val="00B81685"/>
    <w:rsid w:val="00B81AB7"/>
    <w:rsid w:val="00B81B23"/>
    <w:rsid w:val="00B81C56"/>
    <w:rsid w:val="00B81CBA"/>
    <w:rsid w:val="00B81D09"/>
    <w:rsid w:val="00B82107"/>
    <w:rsid w:val="00B82210"/>
    <w:rsid w:val="00B82699"/>
    <w:rsid w:val="00B82BB7"/>
    <w:rsid w:val="00B82E38"/>
    <w:rsid w:val="00B82FCD"/>
    <w:rsid w:val="00B8308F"/>
    <w:rsid w:val="00B8363E"/>
    <w:rsid w:val="00B84019"/>
    <w:rsid w:val="00B8424C"/>
    <w:rsid w:val="00B84440"/>
    <w:rsid w:val="00B8446A"/>
    <w:rsid w:val="00B845D7"/>
    <w:rsid w:val="00B847C1"/>
    <w:rsid w:val="00B84941"/>
    <w:rsid w:val="00B851DE"/>
    <w:rsid w:val="00B856F1"/>
    <w:rsid w:val="00B85877"/>
    <w:rsid w:val="00B85948"/>
    <w:rsid w:val="00B85B84"/>
    <w:rsid w:val="00B85C18"/>
    <w:rsid w:val="00B85D48"/>
    <w:rsid w:val="00B85E83"/>
    <w:rsid w:val="00B85F4D"/>
    <w:rsid w:val="00B862DA"/>
    <w:rsid w:val="00B863FA"/>
    <w:rsid w:val="00B86474"/>
    <w:rsid w:val="00B86771"/>
    <w:rsid w:val="00B869E1"/>
    <w:rsid w:val="00B86A63"/>
    <w:rsid w:val="00B86C6B"/>
    <w:rsid w:val="00B86D1D"/>
    <w:rsid w:val="00B871E7"/>
    <w:rsid w:val="00B87364"/>
    <w:rsid w:val="00B875E6"/>
    <w:rsid w:val="00B877B2"/>
    <w:rsid w:val="00B879A1"/>
    <w:rsid w:val="00B87CE5"/>
    <w:rsid w:val="00B87D02"/>
    <w:rsid w:val="00B87D6B"/>
    <w:rsid w:val="00B90146"/>
    <w:rsid w:val="00B906BD"/>
    <w:rsid w:val="00B906C6"/>
    <w:rsid w:val="00B909C6"/>
    <w:rsid w:val="00B91066"/>
    <w:rsid w:val="00B91463"/>
    <w:rsid w:val="00B915AA"/>
    <w:rsid w:val="00B91AC5"/>
    <w:rsid w:val="00B9215D"/>
    <w:rsid w:val="00B921C0"/>
    <w:rsid w:val="00B921DC"/>
    <w:rsid w:val="00B92589"/>
    <w:rsid w:val="00B92630"/>
    <w:rsid w:val="00B92A85"/>
    <w:rsid w:val="00B92D27"/>
    <w:rsid w:val="00B92F62"/>
    <w:rsid w:val="00B92F66"/>
    <w:rsid w:val="00B93207"/>
    <w:rsid w:val="00B9338B"/>
    <w:rsid w:val="00B93757"/>
    <w:rsid w:val="00B93779"/>
    <w:rsid w:val="00B937FF"/>
    <w:rsid w:val="00B93898"/>
    <w:rsid w:val="00B938EA"/>
    <w:rsid w:val="00B93AE9"/>
    <w:rsid w:val="00B93D0E"/>
    <w:rsid w:val="00B94402"/>
    <w:rsid w:val="00B94511"/>
    <w:rsid w:val="00B948A3"/>
    <w:rsid w:val="00B94993"/>
    <w:rsid w:val="00B94999"/>
    <w:rsid w:val="00B94D31"/>
    <w:rsid w:val="00B94D37"/>
    <w:rsid w:val="00B94DC3"/>
    <w:rsid w:val="00B94E3E"/>
    <w:rsid w:val="00B95262"/>
    <w:rsid w:val="00B9530D"/>
    <w:rsid w:val="00B95592"/>
    <w:rsid w:val="00B95760"/>
    <w:rsid w:val="00B95BF3"/>
    <w:rsid w:val="00B95ED2"/>
    <w:rsid w:val="00B95F54"/>
    <w:rsid w:val="00B960F0"/>
    <w:rsid w:val="00B96485"/>
    <w:rsid w:val="00B9668C"/>
    <w:rsid w:val="00B9680E"/>
    <w:rsid w:val="00B96A5F"/>
    <w:rsid w:val="00B96A92"/>
    <w:rsid w:val="00B96B39"/>
    <w:rsid w:val="00B96C15"/>
    <w:rsid w:val="00B96CB9"/>
    <w:rsid w:val="00B96DA6"/>
    <w:rsid w:val="00B96E2E"/>
    <w:rsid w:val="00B96EF4"/>
    <w:rsid w:val="00B97170"/>
    <w:rsid w:val="00B97935"/>
    <w:rsid w:val="00B979C3"/>
    <w:rsid w:val="00B97A8B"/>
    <w:rsid w:val="00B97ACF"/>
    <w:rsid w:val="00B97CDE"/>
    <w:rsid w:val="00B97F1A"/>
    <w:rsid w:val="00BA0009"/>
    <w:rsid w:val="00BA0069"/>
    <w:rsid w:val="00BA0873"/>
    <w:rsid w:val="00BA09B3"/>
    <w:rsid w:val="00BA0A72"/>
    <w:rsid w:val="00BA0B04"/>
    <w:rsid w:val="00BA1876"/>
    <w:rsid w:val="00BA1A2F"/>
    <w:rsid w:val="00BA1C15"/>
    <w:rsid w:val="00BA1DB3"/>
    <w:rsid w:val="00BA1EDE"/>
    <w:rsid w:val="00BA2364"/>
    <w:rsid w:val="00BA244B"/>
    <w:rsid w:val="00BA2718"/>
    <w:rsid w:val="00BA2B35"/>
    <w:rsid w:val="00BA2B4F"/>
    <w:rsid w:val="00BA2F4E"/>
    <w:rsid w:val="00BA2FEF"/>
    <w:rsid w:val="00BA3000"/>
    <w:rsid w:val="00BA3055"/>
    <w:rsid w:val="00BA3060"/>
    <w:rsid w:val="00BA30ED"/>
    <w:rsid w:val="00BA30F4"/>
    <w:rsid w:val="00BA324C"/>
    <w:rsid w:val="00BA3426"/>
    <w:rsid w:val="00BA3506"/>
    <w:rsid w:val="00BA3624"/>
    <w:rsid w:val="00BA3805"/>
    <w:rsid w:val="00BA4144"/>
    <w:rsid w:val="00BA4364"/>
    <w:rsid w:val="00BA4C57"/>
    <w:rsid w:val="00BA4CD4"/>
    <w:rsid w:val="00BA4CFB"/>
    <w:rsid w:val="00BA5088"/>
    <w:rsid w:val="00BA50EE"/>
    <w:rsid w:val="00BA51D5"/>
    <w:rsid w:val="00BA52E7"/>
    <w:rsid w:val="00BA5312"/>
    <w:rsid w:val="00BA5372"/>
    <w:rsid w:val="00BA540D"/>
    <w:rsid w:val="00BA59DD"/>
    <w:rsid w:val="00BA5A37"/>
    <w:rsid w:val="00BA5AC8"/>
    <w:rsid w:val="00BA5ED8"/>
    <w:rsid w:val="00BA5EEB"/>
    <w:rsid w:val="00BA643E"/>
    <w:rsid w:val="00BA648E"/>
    <w:rsid w:val="00BA66A0"/>
    <w:rsid w:val="00BA681B"/>
    <w:rsid w:val="00BA6B91"/>
    <w:rsid w:val="00BA6D3C"/>
    <w:rsid w:val="00BA722C"/>
    <w:rsid w:val="00BA72E5"/>
    <w:rsid w:val="00BA7595"/>
    <w:rsid w:val="00BA7720"/>
    <w:rsid w:val="00BA77AE"/>
    <w:rsid w:val="00BA7F95"/>
    <w:rsid w:val="00BB0189"/>
    <w:rsid w:val="00BB042F"/>
    <w:rsid w:val="00BB0643"/>
    <w:rsid w:val="00BB08D8"/>
    <w:rsid w:val="00BB0992"/>
    <w:rsid w:val="00BB0B88"/>
    <w:rsid w:val="00BB0C25"/>
    <w:rsid w:val="00BB0E9D"/>
    <w:rsid w:val="00BB0F9A"/>
    <w:rsid w:val="00BB123A"/>
    <w:rsid w:val="00BB129A"/>
    <w:rsid w:val="00BB15E2"/>
    <w:rsid w:val="00BB198C"/>
    <w:rsid w:val="00BB22DD"/>
    <w:rsid w:val="00BB29A8"/>
    <w:rsid w:val="00BB29AC"/>
    <w:rsid w:val="00BB2AA2"/>
    <w:rsid w:val="00BB2B36"/>
    <w:rsid w:val="00BB2D94"/>
    <w:rsid w:val="00BB2E74"/>
    <w:rsid w:val="00BB3504"/>
    <w:rsid w:val="00BB388A"/>
    <w:rsid w:val="00BB38FE"/>
    <w:rsid w:val="00BB3CD2"/>
    <w:rsid w:val="00BB3D4B"/>
    <w:rsid w:val="00BB3E2C"/>
    <w:rsid w:val="00BB43EE"/>
    <w:rsid w:val="00BB4E21"/>
    <w:rsid w:val="00BB4EC5"/>
    <w:rsid w:val="00BB4EE1"/>
    <w:rsid w:val="00BB4F37"/>
    <w:rsid w:val="00BB5017"/>
    <w:rsid w:val="00BB502E"/>
    <w:rsid w:val="00BB534D"/>
    <w:rsid w:val="00BB535E"/>
    <w:rsid w:val="00BB5419"/>
    <w:rsid w:val="00BB5705"/>
    <w:rsid w:val="00BB5A26"/>
    <w:rsid w:val="00BB5BAB"/>
    <w:rsid w:val="00BB5BBF"/>
    <w:rsid w:val="00BB5C23"/>
    <w:rsid w:val="00BB5E2F"/>
    <w:rsid w:val="00BB5FD6"/>
    <w:rsid w:val="00BB61BB"/>
    <w:rsid w:val="00BB6923"/>
    <w:rsid w:val="00BB6FF2"/>
    <w:rsid w:val="00BB7196"/>
    <w:rsid w:val="00BB763A"/>
    <w:rsid w:val="00BB7C5C"/>
    <w:rsid w:val="00BB7F4A"/>
    <w:rsid w:val="00BB7F4F"/>
    <w:rsid w:val="00BC0458"/>
    <w:rsid w:val="00BC048F"/>
    <w:rsid w:val="00BC04BB"/>
    <w:rsid w:val="00BC04C2"/>
    <w:rsid w:val="00BC08B4"/>
    <w:rsid w:val="00BC0C07"/>
    <w:rsid w:val="00BC0E13"/>
    <w:rsid w:val="00BC0F14"/>
    <w:rsid w:val="00BC0F3B"/>
    <w:rsid w:val="00BC0FF4"/>
    <w:rsid w:val="00BC1087"/>
    <w:rsid w:val="00BC124D"/>
    <w:rsid w:val="00BC1265"/>
    <w:rsid w:val="00BC172C"/>
    <w:rsid w:val="00BC17D9"/>
    <w:rsid w:val="00BC17E3"/>
    <w:rsid w:val="00BC1A0C"/>
    <w:rsid w:val="00BC1C51"/>
    <w:rsid w:val="00BC1E5A"/>
    <w:rsid w:val="00BC1E82"/>
    <w:rsid w:val="00BC21BC"/>
    <w:rsid w:val="00BC21F9"/>
    <w:rsid w:val="00BC258F"/>
    <w:rsid w:val="00BC2635"/>
    <w:rsid w:val="00BC2B47"/>
    <w:rsid w:val="00BC2E0B"/>
    <w:rsid w:val="00BC2EFD"/>
    <w:rsid w:val="00BC3051"/>
    <w:rsid w:val="00BC3395"/>
    <w:rsid w:val="00BC3AEA"/>
    <w:rsid w:val="00BC3E52"/>
    <w:rsid w:val="00BC3FED"/>
    <w:rsid w:val="00BC418D"/>
    <w:rsid w:val="00BC4192"/>
    <w:rsid w:val="00BC4323"/>
    <w:rsid w:val="00BC43D1"/>
    <w:rsid w:val="00BC4D99"/>
    <w:rsid w:val="00BC52A3"/>
    <w:rsid w:val="00BC533D"/>
    <w:rsid w:val="00BC5889"/>
    <w:rsid w:val="00BC5AF4"/>
    <w:rsid w:val="00BC5B9E"/>
    <w:rsid w:val="00BC5BDC"/>
    <w:rsid w:val="00BC5C7C"/>
    <w:rsid w:val="00BC61C0"/>
    <w:rsid w:val="00BC639C"/>
    <w:rsid w:val="00BC648D"/>
    <w:rsid w:val="00BC6519"/>
    <w:rsid w:val="00BC654F"/>
    <w:rsid w:val="00BC6711"/>
    <w:rsid w:val="00BC67FE"/>
    <w:rsid w:val="00BC6C3E"/>
    <w:rsid w:val="00BC6C76"/>
    <w:rsid w:val="00BC6D06"/>
    <w:rsid w:val="00BC7462"/>
    <w:rsid w:val="00BC7CB5"/>
    <w:rsid w:val="00BC7F1D"/>
    <w:rsid w:val="00BD00B7"/>
    <w:rsid w:val="00BD0105"/>
    <w:rsid w:val="00BD015D"/>
    <w:rsid w:val="00BD0630"/>
    <w:rsid w:val="00BD0D2F"/>
    <w:rsid w:val="00BD0E7D"/>
    <w:rsid w:val="00BD1071"/>
    <w:rsid w:val="00BD11AE"/>
    <w:rsid w:val="00BD1277"/>
    <w:rsid w:val="00BD1366"/>
    <w:rsid w:val="00BD1826"/>
    <w:rsid w:val="00BD1DBF"/>
    <w:rsid w:val="00BD1EA8"/>
    <w:rsid w:val="00BD1F8E"/>
    <w:rsid w:val="00BD1FAB"/>
    <w:rsid w:val="00BD21F5"/>
    <w:rsid w:val="00BD23D6"/>
    <w:rsid w:val="00BD23E7"/>
    <w:rsid w:val="00BD2579"/>
    <w:rsid w:val="00BD2790"/>
    <w:rsid w:val="00BD2964"/>
    <w:rsid w:val="00BD2B66"/>
    <w:rsid w:val="00BD344D"/>
    <w:rsid w:val="00BD3837"/>
    <w:rsid w:val="00BD3BB7"/>
    <w:rsid w:val="00BD3C91"/>
    <w:rsid w:val="00BD3E4C"/>
    <w:rsid w:val="00BD3EA7"/>
    <w:rsid w:val="00BD4470"/>
    <w:rsid w:val="00BD454A"/>
    <w:rsid w:val="00BD4696"/>
    <w:rsid w:val="00BD4A55"/>
    <w:rsid w:val="00BD50CD"/>
    <w:rsid w:val="00BD50D6"/>
    <w:rsid w:val="00BD52D2"/>
    <w:rsid w:val="00BD5BA3"/>
    <w:rsid w:val="00BD5BA4"/>
    <w:rsid w:val="00BD5D31"/>
    <w:rsid w:val="00BD5D62"/>
    <w:rsid w:val="00BD5E18"/>
    <w:rsid w:val="00BD5EA1"/>
    <w:rsid w:val="00BD5FC0"/>
    <w:rsid w:val="00BD6014"/>
    <w:rsid w:val="00BD61F5"/>
    <w:rsid w:val="00BD6282"/>
    <w:rsid w:val="00BD650F"/>
    <w:rsid w:val="00BD6617"/>
    <w:rsid w:val="00BD668E"/>
    <w:rsid w:val="00BD68EF"/>
    <w:rsid w:val="00BD6BB5"/>
    <w:rsid w:val="00BD6DB2"/>
    <w:rsid w:val="00BD70A0"/>
    <w:rsid w:val="00BD7240"/>
    <w:rsid w:val="00BD72D3"/>
    <w:rsid w:val="00BD74F6"/>
    <w:rsid w:val="00BD7598"/>
    <w:rsid w:val="00BD7625"/>
    <w:rsid w:val="00BD7702"/>
    <w:rsid w:val="00BD77D6"/>
    <w:rsid w:val="00BD78F4"/>
    <w:rsid w:val="00BD7BF8"/>
    <w:rsid w:val="00BD7F69"/>
    <w:rsid w:val="00BE0097"/>
    <w:rsid w:val="00BE064D"/>
    <w:rsid w:val="00BE0669"/>
    <w:rsid w:val="00BE0759"/>
    <w:rsid w:val="00BE0C1D"/>
    <w:rsid w:val="00BE0CC1"/>
    <w:rsid w:val="00BE0E73"/>
    <w:rsid w:val="00BE0EE7"/>
    <w:rsid w:val="00BE14D7"/>
    <w:rsid w:val="00BE1A8E"/>
    <w:rsid w:val="00BE1B5D"/>
    <w:rsid w:val="00BE1C1B"/>
    <w:rsid w:val="00BE1C54"/>
    <w:rsid w:val="00BE1EB5"/>
    <w:rsid w:val="00BE20F5"/>
    <w:rsid w:val="00BE219E"/>
    <w:rsid w:val="00BE2257"/>
    <w:rsid w:val="00BE22B7"/>
    <w:rsid w:val="00BE22EB"/>
    <w:rsid w:val="00BE23A5"/>
    <w:rsid w:val="00BE23B2"/>
    <w:rsid w:val="00BE249C"/>
    <w:rsid w:val="00BE24CA"/>
    <w:rsid w:val="00BE25E5"/>
    <w:rsid w:val="00BE267E"/>
    <w:rsid w:val="00BE2739"/>
    <w:rsid w:val="00BE2DFA"/>
    <w:rsid w:val="00BE30DC"/>
    <w:rsid w:val="00BE34A0"/>
    <w:rsid w:val="00BE3A85"/>
    <w:rsid w:val="00BE3C1B"/>
    <w:rsid w:val="00BE3CC5"/>
    <w:rsid w:val="00BE3E00"/>
    <w:rsid w:val="00BE3E9E"/>
    <w:rsid w:val="00BE4161"/>
    <w:rsid w:val="00BE42CF"/>
    <w:rsid w:val="00BE4C39"/>
    <w:rsid w:val="00BE4C47"/>
    <w:rsid w:val="00BE4DF8"/>
    <w:rsid w:val="00BE5270"/>
    <w:rsid w:val="00BE554C"/>
    <w:rsid w:val="00BE55B5"/>
    <w:rsid w:val="00BE576B"/>
    <w:rsid w:val="00BE5910"/>
    <w:rsid w:val="00BE595C"/>
    <w:rsid w:val="00BE5A44"/>
    <w:rsid w:val="00BE5B4E"/>
    <w:rsid w:val="00BE5C8B"/>
    <w:rsid w:val="00BE6402"/>
    <w:rsid w:val="00BE648D"/>
    <w:rsid w:val="00BE661D"/>
    <w:rsid w:val="00BE6A72"/>
    <w:rsid w:val="00BE6AFD"/>
    <w:rsid w:val="00BE6C06"/>
    <w:rsid w:val="00BE726F"/>
    <w:rsid w:val="00BE7486"/>
    <w:rsid w:val="00BE7A31"/>
    <w:rsid w:val="00BE7DAB"/>
    <w:rsid w:val="00BE7E32"/>
    <w:rsid w:val="00BF0007"/>
    <w:rsid w:val="00BF0021"/>
    <w:rsid w:val="00BF00BD"/>
    <w:rsid w:val="00BF0912"/>
    <w:rsid w:val="00BF0C88"/>
    <w:rsid w:val="00BF0CE9"/>
    <w:rsid w:val="00BF0DC4"/>
    <w:rsid w:val="00BF0FC5"/>
    <w:rsid w:val="00BF11A5"/>
    <w:rsid w:val="00BF123C"/>
    <w:rsid w:val="00BF12F5"/>
    <w:rsid w:val="00BF136B"/>
    <w:rsid w:val="00BF15F0"/>
    <w:rsid w:val="00BF1718"/>
    <w:rsid w:val="00BF17B5"/>
    <w:rsid w:val="00BF1A4B"/>
    <w:rsid w:val="00BF1E70"/>
    <w:rsid w:val="00BF1F55"/>
    <w:rsid w:val="00BF1FD7"/>
    <w:rsid w:val="00BF2440"/>
    <w:rsid w:val="00BF27FC"/>
    <w:rsid w:val="00BF2BE2"/>
    <w:rsid w:val="00BF2C3E"/>
    <w:rsid w:val="00BF2CCD"/>
    <w:rsid w:val="00BF3006"/>
    <w:rsid w:val="00BF3447"/>
    <w:rsid w:val="00BF3666"/>
    <w:rsid w:val="00BF37E6"/>
    <w:rsid w:val="00BF383A"/>
    <w:rsid w:val="00BF3A07"/>
    <w:rsid w:val="00BF3A27"/>
    <w:rsid w:val="00BF41DE"/>
    <w:rsid w:val="00BF4371"/>
    <w:rsid w:val="00BF460C"/>
    <w:rsid w:val="00BF473A"/>
    <w:rsid w:val="00BF482A"/>
    <w:rsid w:val="00BF48DF"/>
    <w:rsid w:val="00BF4955"/>
    <w:rsid w:val="00BF49D0"/>
    <w:rsid w:val="00BF4AAD"/>
    <w:rsid w:val="00BF4B49"/>
    <w:rsid w:val="00BF4CFB"/>
    <w:rsid w:val="00BF52D8"/>
    <w:rsid w:val="00BF5331"/>
    <w:rsid w:val="00BF58CC"/>
    <w:rsid w:val="00BF5DA1"/>
    <w:rsid w:val="00BF5E7B"/>
    <w:rsid w:val="00BF5F52"/>
    <w:rsid w:val="00BF5FF0"/>
    <w:rsid w:val="00BF604F"/>
    <w:rsid w:val="00BF61E9"/>
    <w:rsid w:val="00BF64DD"/>
    <w:rsid w:val="00BF64E0"/>
    <w:rsid w:val="00BF6615"/>
    <w:rsid w:val="00BF66BA"/>
    <w:rsid w:val="00BF69C2"/>
    <w:rsid w:val="00BF6A0B"/>
    <w:rsid w:val="00BF6AE2"/>
    <w:rsid w:val="00BF6B26"/>
    <w:rsid w:val="00BF6D99"/>
    <w:rsid w:val="00BF6E16"/>
    <w:rsid w:val="00BF6FB7"/>
    <w:rsid w:val="00BF7152"/>
    <w:rsid w:val="00BF72B5"/>
    <w:rsid w:val="00BF742A"/>
    <w:rsid w:val="00BF752F"/>
    <w:rsid w:val="00BF7679"/>
    <w:rsid w:val="00BF7721"/>
    <w:rsid w:val="00BF7784"/>
    <w:rsid w:val="00BF7972"/>
    <w:rsid w:val="00BF7AEB"/>
    <w:rsid w:val="00BF7C2A"/>
    <w:rsid w:val="00BF7EE5"/>
    <w:rsid w:val="00C00066"/>
    <w:rsid w:val="00C001A5"/>
    <w:rsid w:val="00C001C4"/>
    <w:rsid w:val="00C00227"/>
    <w:rsid w:val="00C004C4"/>
    <w:rsid w:val="00C006C1"/>
    <w:rsid w:val="00C010B8"/>
    <w:rsid w:val="00C01111"/>
    <w:rsid w:val="00C01239"/>
    <w:rsid w:val="00C01464"/>
    <w:rsid w:val="00C01485"/>
    <w:rsid w:val="00C0183F"/>
    <w:rsid w:val="00C018BB"/>
    <w:rsid w:val="00C01D27"/>
    <w:rsid w:val="00C01FBA"/>
    <w:rsid w:val="00C02017"/>
    <w:rsid w:val="00C0214D"/>
    <w:rsid w:val="00C021B1"/>
    <w:rsid w:val="00C0241A"/>
    <w:rsid w:val="00C0284C"/>
    <w:rsid w:val="00C02917"/>
    <w:rsid w:val="00C029A5"/>
    <w:rsid w:val="00C02AAC"/>
    <w:rsid w:val="00C02CA4"/>
    <w:rsid w:val="00C02F24"/>
    <w:rsid w:val="00C034A9"/>
    <w:rsid w:val="00C0360E"/>
    <w:rsid w:val="00C037A2"/>
    <w:rsid w:val="00C0387C"/>
    <w:rsid w:val="00C038E6"/>
    <w:rsid w:val="00C03ABB"/>
    <w:rsid w:val="00C03CA1"/>
    <w:rsid w:val="00C0419D"/>
    <w:rsid w:val="00C042A5"/>
    <w:rsid w:val="00C0464D"/>
    <w:rsid w:val="00C04A7A"/>
    <w:rsid w:val="00C04C48"/>
    <w:rsid w:val="00C04DFF"/>
    <w:rsid w:val="00C054A4"/>
    <w:rsid w:val="00C054DE"/>
    <w:rsid w:val="00C05757"/>
    <w:rsid w:val="00C05A51"/>
    <w:rsid w:val="00C05B5D"/>
    <w:rsid w:val="00C05B6B"/>
    <w:rsid w:val="00C05C44"/>
    <w:rsid w:val="00C0621D"/>
    <w:rsid w:val="00C0635E"/>
    <w:rsid w:val="00C063E0"/>
    <w:rsid w:val="00C0675D"/>
    <w:rsid w:val="00C068D6"/>
    <w:rsid w:val="00C06AEA"/>
    <w:rsid w:val="00C06DE8"/>
    <w:rsid w:val="00C0712E"/>
    <w:rsid w:val="00C07182"/>
    <w:rsid w:val="00C077BE"/>
    <w:rsid w:val="00C07843"/>
    <w:rsid w:val="00C07BDE"/>
    <w:rsid w:val="00C07D19"/>
    <w:rsid w:val="00C07D64"/>
    <w:rsid w:val="00C07EEB"/>
    <w:rsid w:val="00C07EF6"/>
    <w:rsid w:val="00C07F2D"/>
    <w:rsid w:val="00C10132"/>
    <w:rsid w:val="00C1018B"/>
    <w:rsid w:val="00C103E5"/>
    <w:rsid w:val="00C1069B"/>
    <w:rsid w:val="00C10DC2"/>
    <w:rsid w:val="00C11098"/>
    <w:rsid w:val="00C11365"/>
    <w:rsid w:val="00C114AA"/>
    <w:rsid w:val="00C1155C"/>
    <w:rsid w:val="00C116A9"/>
    <w:rsid w:val="00C119BC"/>
    <w:rsid w:val="00C11C4A"/>
    <w:rsid w:val="00C11CA9"/>
    <w:rsid w:val="00C11EED"/>
    <w:rsid w:val="00C123C8"/>
    <w:rsid w:val="00C123F2"/>
    <w:rsid w:val="00C1259F"/>
    <w:rsid w:val="00C126BF"/>
    <w:rsid w:val="00C126F5"/>
    <w:rsid w:val="00C12934"/>
    <w:rsid w:val="00C12DB2"/>
    <w:rsid w:val="00C12DDD"/>
    <w:rsid w:val="00C131AC"/>
    <w:rsid w:val="00C133AB"/>
    <w:rsid w:val="00C1342A"/>
    <w:rsid w:val="00C135D8"/>
    <w:rsid w:val="00C13B31"/>
    <w:rsid w:val="00C13DC6"/>
    <w:rsid w:val="00C13EE4"/>
    <w:rsid w:val="00C13F05"/>
    <w:rsid w:val="00C14413"/>
    <w:rsid w:val="00C14642"/>
    <w:rsid w:val="00C14646"/>
    <w:rsid w:val="00C1475D"/>
    <w:rsid w:val="00C147C8"/>
    <w:rsid w:val="00C14824"/>
    <w:rsid w:val="00C1489D"/>
    <w:rsid w:val="00C14A0C"/>
    <w:rsid w:val="00C14A1D"/>
    <w:rsid w:val="00C14BE3"/>
    <w:rsid w:val="00C14BFB"/>
    <w:rsid w:val="00C14F50"/>
    <w:rsid w:val="00C15422"/>
    <w:rsid w:val="00C15A90"/>
    <w:rsid w:val="00C15C26"/>
    <w:rsid w:val="00C15C2E"/>
    <w:rsid w:val="00C15E25"/>
    <w:rsid w:val="00C16065"/>
    <w:rsid w:val="00C162D7"/>
    <w:rsid w:val="00C16346"/>
    <w:rsid w:val="00C16A9D"/>
    <w:rsid w:val="00C16C0B"/>
    <w:rsid w:val="00C16CFD"/>
    <w:rsid w:val="00C16D63"/>
    <w:rsid w:val="00C16E2A"/>
    <w:rsid w:val="00C16F55"/>
    <w:rsid w:val="00C1730A"/>
    <w:rsid w:val="00C17683"/>
    <w:rsid w:val="00C17858"/>
    <w:rsid w:val="00C17AD3"/>
    <w:rsid w:val="00C17DE6"/>
    <w:rsid w:val="00C17F1A"/>
    <w:rsid w:val="00C202EE"/>
    <w:rsid w:val="00C2044C"/>
    <w:rsid w:val="00C2092F"/>
    <w:rsid w:val="00C20940"/>
    <w:rsid w:val="00C20965"/>
    <w:rsid w:val="00C20F94"/>
    <w:rsid w:val="00C213AD"/>
    <w:rsid w:val="00C2170D"/>
    <w:rsid w:val="00C21754"/>
    <w:rsid w:val="00C21999"/>
    <w:rsid w:val="00C21E6E"/>
    <w:rsid w:val="00C21EF6"/>
    <w:rsid w:val="00C2219E"/>
    <w:rsid w:val="00C2232C"/>
    <w:rsid w:val="00C22600"/>
    <w:rsid w:val="00C22633"/>
    <w:rsid w:val="00C22F8E"/>
    <w:rsid w:val="00C22FEB"/>
    <w:rsid w:val="00C2365B"/>
    <w:rsid w:val="00C23692"/>
    <w:rsid w:val="00C239EA"/>
    <w:rsid w:val="00C23A4E"/>
    <w:rsid w:val="00C23B1C"/>
    <w:rsid w:val="00C23CA8"/>
    <w:rsid w:val="00C23CD3"/>
    <w:rsid w:val="00C23DF8"/>
    <w:rsid w:val="00C2401E"/>
    <w:rsid w:val="00C2404F"/>
    <w:rsid w:val="00C2420C"/>
    <w:rsid w:val="00C244B9"/>
    <w:rsid w:val="00C249EE"/>
    <w:rsid w:val="00C24D75"/>
    <w:rsid w:val="00C2518C"/>
    <w:rsid w:val="00C2525C"/>
    <w:rsid w:val="00C255AD"/>
    <w:rsid w:val="00C25881"/>
    <w:rsid w:val="00C25913"/>
    <w:rsid w:val="00C25CE9"/>
    <w:rsid w:val="00C25D23"/>
    <w:rsid w:val="00C26322"/>
    <w:rsid w:val="00C264A9"/>
    <w:rsid w:val="00C26548"/>
    <w:rsid w:val="00C2683D"/>
    <w:rsid w:val="00C26A8A"/>
    <w:rsid w:val="00C26ABC"/>
    <w:rsid w:val="00C26FAA"/>
    <w:rsid w:val="00C27757"/>
    <w:rsid w:val="00C279FC"/>
    <w:rsid w:val="00C27B25"/>
    <w:rsid w:val="00C27B5E"/>
    <w:rsid w:val="00C3059B"/>
    <w:rsid w:val="00C307BF"/>
    <w:rsid w:val="00C313F5"/>
    <w:rsid w:val="00C31594"/>
    <w:rsid w:val="00C318B7"/>
    <w:rsid w:val="00C318D3"/>
    <w:rsid w:val="00C319F7"/>
    <w:rsid w:val="00C31CFD"/>
    <w:rsid w:val="00C31D50"/>
    <w:rsid w:val="00C32025"/>
    <w:rsid w:val="00C32089"/>
    <w:rsid w:val="00C320A9"/>
    <w:rsid w:val="00C3233B"/>
    <w:rsid w:val="00C325A9"/>
    <w:rsid w:val="00C32745"/>
    <w:rsid w:val="00C3274A"/>
    <w:rsid w:val="00C32810"/>
    <w:rsid w:val="00C32BA3"/>
    <w:rsid w:val="00C32C8B"/>
    <w:rsid w:val="00C32CF8"/>
    <w:rsid w:val="00C32E23"/>
    <w:rsid w:val="00C332A4"/>
    <w:rsid w:val="00C335B0"/>
    <w:rsid w:val="00C3360A"/>
    <w:rsid w:val="00C3371A"/>
    <w:rsid w:val="00C33917"/>
    <w:rsid w:val="00C33A18"/>
    <w:rsid w:val="00C33B08"/>
    <w:rsid w:val="00C33F0F"/>
    <w:rsid w:val="00C34087"/>
    <w:rsid w:val="00C341B9"/>
    <w:rsid w:val="00C342B5"/>
    <w:rsid w:val="00C344ED"/>
    <w:rsid w:val="00C346D3"/>
    <w:rsid w:val="00C34BA5"/>
    <w:rsid w:val="00C34E66"/>
    <w:rsid w:val="00C35277"/>
    <w:rsid w:val="00C353C7"/>
    <w:rsid w:val="00C35549"/>
    <w:rsid w:val="00C356D5"/>
    <w:rsid w:val="00C35766"/>
    <w:rsid w:val="00C35892"/>
    <w:rsid w:val="00C358FB"/>
    <w:rsid w:val="00C35957"/>
    <w:rsid w:val="00C35BEA"/>
    <w:rsid w:val="00C35EB6"/>
    <w:rsid w:val="00C360BD"/>
    <w:rsid w:val="00C3622F"/>
    <w:rsid w:val="00C3631E"/>
    <w:rsid w:val="00C36446"/>
    <w:rsid w:val="00C36856"/>
    <w:rsid w:val="00C3699F"/>
    <w:rsid w:val="00C36CF0"/>
    <w:rsid w:val="00C36DDD"/>
    <w:rsid w:val="00C370B0"/>
    <w:rsid w:val="00C3777E"/>
    <w:rsid w:val="00C377FB"/>
    <w:rsid w:val="00C37F19"/>
    <w:rsid w:val="00C40276"/>
    <w:rsid w:val="00C4037C"/>
    <w:rsid w:val="00C404DE"/>
    <w:rsid w:val="00C406F5"/>
    <w:rsid w:val="00C4095E"/>
    <w:rsid w:val="00C40A08"/>
    <w:rsid w:val="00C40EAB"/>
    <w:rsid w:val="00C40EFE"/>
    <w:rsid w:val="00C40F07"/>
    <w:rsid w:val="00C41263"/>
    <w:rsid w:val="00C414EE"/>
    <w:rsid w:val="00C4153E"/>
    <w:rsid w:val="00C4154F"/>
    <w:rsid w:val="00C4158D"/>
    <w:rsid w:val="00C42082"/>
    <w:rsid w:val="00C422D7"/>
    <w:rsid w:val="00C42384"/>
    <w:rsid w:val="00C424CA"/>
    <w:rsid w:val="00C4254E"/>
    <w:rsid w:val="00C42737"/>
    <w:rsid w:val="00C427D8"/>
    <w:rsid w:val="00C42894"/>
    <w:rsid w:val="00C435D7"/>
    <w:rsid w:val="00C436A5"/>
    <w:rsid w:val="00C437B7"/>
    <w:rsid w:val="00C43848"/>
    <w:rsid w:val="00C43917"/>
    <w:rsid w:val="00C43D2D"/>
    <w:rsid w:val="00C44260"/>
    <w:rsid w:val="00C44528"/>
    <w:rsid w:val="00C44728"/>
    <w:rsid w:val="00C4476E"/>
    <w:rsid w:val="00C44A8E"/>
    <w:rsid w:val="00C44BE5"/>
    <w:rsid w:val="00C44BF8"/>
    <w:rsid w:val="00C44CAE"/>
    <w:rsid w:val="00C44D19"/>
    <w:rsid w:val="00C44D5E"/>
    <w:rsid w:val="00C44D95"/>
    <w:rsid w:val="00C44EEE"/>
    <w:rsid w:val="00C450B1"/>
    <w:rsid w:val="00C45283"/>
    <w:rsid w:val="00C4540D"/>
    <w:rsid w:val="00C457EA"/>
    <w:rsid w:val="00C459B6"/>
    <w:rsid w:val="00C45B74"/>
    <w:rsid w:val="00C45D46"/>
    <w:rsid w:val="00C45EFC"/>
    <w:rsid w:val="00C464B5"/>
    <w:rsid w:val="00C46793"/>
    <w:rsid w:val="00C4680F"/>
    <w:rsid w:val="00C46A46"/>
    <w:rsid w:val="00C4706E"/>
    <w:rsid w:val="00C47264"/>
    <w:rsid w:val="00C47445"/>
    <w:rsid w:val="00C474E1"/>
    <w:rsid w:val="00C47810"/>
    <w:rsid w:val="00C47975"/>
    <w:rsid w:val="00C47BEB"/>
    <w:rsid w:val="00C47CE3"/>
    <w:rsid w:val="00C47D61"/>
    <w:rsid w:val="00C47DA0"/>
    <w:rsid w:val="00C5035B"/>
    <w:rsid w:val="00C5047B"/>
    <w:rsid w:val="00C50766"/>
    <w:rsid w:val="00C509A2"/>
    <w:rsid w:val="00C50EEE"/>
    <w:rsid w:val="00C5169C"/>
    <w:rsid w:val="00C516FD"/>
    <w:rsid w:val="00C518FE"/>
    <w:rsid w:val="00C51D3A"/>
    <w:rsid w:val="00C51D41"/>
    <w:rsid w:val="00C51DC3"/>
    <w:rsid w:val="00C51F5C"/>
    <w:rsid w:val="00C521B6"/>
    <w:rsid w:val="00C521D0"/>
    <w:rsid w:val="00C52492"/>
    <w:rsid w:val="00C52540"/>
    <w:rsid w:val="00C526B7"/>
    <w:rsid w:val="00C52AAF"/>
    <w:rsid w:val="00C52BFE"/>
    <w:rsid w:val="00C52C7C"/>
    <w:rsid w:val="00C52C9F"/>
    <w:rsid w:val="00C52EAA"/>
    <w:rsid w:val="00C530F2"/>
    <w:rsid w:val="00C53418"/>
    <w:rsid w:val="00C53442"/>
    <w:rsid w:val="00C5393B"/>
    <w:rsid w:val="00C53D43"/>
    <w:rsid w:val="00C54146"/>
    <w:rsid w:val="00C54151"/>
    <w:rsid w:val="00C5447C"/>
    <w:rsid w:val="00C5460A"/>
    <w:rsid w:val="00C54D26"/>
    <w:rsid w:val="00C54DD1"/>
    <w:rsid w:val="00C552BF"/>
    <w:rsid w:val="00C55370"/>
    <w:rsid w:val="00C55451"/>
    <w:rsid w:val="00C55622"/>
    <w:rsid w:val="00C55724"/>
    <w:rsid w:val="00C557A7"/>
    <w:rsid w:val="00C5592D"/>
    <w:rsid w:val="00C5594F"/>
    <w:rsid w:val="00C55C6F"/>
    <w:rsid w:val="00C55DFA"/>
    <w:rsid w:val="00C56029"/>
    <w:rsid w:val="00C56176"/>
    <w:rsid w:val="00C561AF"/>
    <w:rsid w:val="00C564A2"/>
    <w:rsid w:val="00C56DFC"/>
    <w:rsid w:val="00C57415"/>
    <w:rsid w:val="00C57847"/>
    <w:rsid w:val="00C601AE"/>
    <w:rsid w:val="00C6049C"/>
    <w:rsid w:val="00C60660"/>
    <w:rsid w:val="00C607DB"/>
    <w:rsid w:val="00C6084F"/>
    <w:rsid w:val="00C6088F"/>
    <w:rsid w:val="00C609D8"/>
    <w:rsid w:val="00C60A2C"/>
    <w:rsid w:val="00C60DC9"/>
    <w:rsid w:val="00C60E41"/>
    <w:rsid w:val="00C60E9C"/>
    <w:rsid w:val="00C60F7A"/>
    <w:rsid w:val="00C61030"/>
    <w:rsid w:val="00C610D6"/>
    <w:rsid w:val="00C61370"/>
    <w:rsid w:val="00C61427"/>
    <w:rsid w:val="00C61773"/>
    <w:rsid w:val="00C61925"/>
    <w:rsid w:val="00C61973"/>
    <w:rsid w:val="00C619D8"/>
    <w:rsid w:val="00C61AEF"/>
    <w:rsid w:val="00C61B22"/>
    <w:rsid w:val="00C61B91"/>
    <w:rsid w:val="00C61E55"/>
    <w:rsid w:val="00C61FA7"/>
    <w:rsid w:val="00C61FE2"/>
    <w:rsid w:val="00C6200E"/>
    <w:rsid w:val="00C62039"/>
    <w:rsid w:val="00C62135"/>
    <w:rsid w:val="00C622FD"/>
    <w:rsid w:val="00C6237D"/>
    <w:rsid w:val="00C623B1"/>
    <w:rsid w:val="00C626F5"/>
    <w:rsid w:val="00C62764"/>
    <w:rsid w:val="00C62C1E"/>
    <w:rsid w:val="00C62C8E"/>
    <w:rsid w:val="00C62CE4"/>
    <w:rsid w:val="00C62CFF"/>
    <w:rsid w:val="00C631AC"/>
    <w:rsid w:val="00C63278"/>
    <w:rsid w:val="00C63397"/>
    <w:rsid w:val="00C633FF"/>
    <w:rsid w:val="00C6373E"/>
    <w:rsid w:val="00C637BB"/>
    <w:rsid w:val="00C6387B"/>
    <w:rsid w:val="00C63AF3"/>
    <w:rsid w:val="00C63DBE"/>
    <w:rsid w:val="00C63EAA"/>
    <w:rsid w:val="00C640FC"/>
    <w:rsid w:val="00C642DE"/>
    <w:rsid w:val="00C643B2"/>
    <w:rsid w:val="00C6440D"/>
    <w:rsid w:val="00C64547"/>
    <w:rsid w:val="00C645C8"/>
    <w:rsid w:val="00C64F79"/>
    <w:rsid w:val="00C653BE"/>
    <w:rsid w:val="00C6558E"/>
    <w:rsid w:val="00C65611"/>
    <w:rsid w:val="00C659CA"/>
    <w:rsid w:val="00C65A02"/>
    <w:rsid w:val="00C65A31"/>
    <w:rsid w:val="00C65CBE"/>
    <w:rsid w:val="00C65E41"/>
    <w:rsid w:val="00C65F82"/>
    <w:rsid w:val="00C6654D"/>
    <w:rsid w:val="00C669A7"/>
    <w:rsid w:val="00C66A3E"/>
    <w:rsid w:val="00C66AC3"/>
    <w:rsid w:val="00C66D72"/>
    <w:rsid w:val="00C66EBD"/>
    <w:rsid w:val="00C66F09"/>
    <w:rsid w:val="00C67386"/>
    <w:rsid w:val="00C67716"/>
    <w:rsid w:val="00C67839"/>
    <w:rsid w:val="00C67861"/>
    <w:rsid w:val="00C67865"/>
    <w:rsid w:val="00C67A64"/>
    <w:rsid w:val="00C67C25"/>
    <w:rsid w:val="00C67D7A"/>
    <w:rsid w:val="00C67F65"/>
    <w:rsid w:val="00C700FC"/>
    <w:rsid w:val="00C70319"/>
    <w:rsid w:val="00C703D6"/>
    <w:rsid w:val="00C7091E"/>
    <w:rsid w:val="00C709E5"/>
    <w:rsid w:val="00C70C02"/>
    <w:rsid w:val="00C71014"/>
    <w:rsid w:val="00C71269"/>
    <w:rsid w:val="00C71443"/>
    <w:rsid w:val="00C71553"/>
    <w:rsid w:val="00C7184A"/>
    <w:rsid w:val="00C718CA"/>
    <w:rsid w:val="00C71B42"/>
    <w:rsid w:val="00C71BB3"/>
    <w:rsid w:val="00C71C07"/>
    <w:rsid w:val="00C71DE2"/>
    <w:rsid w:val="00C720CB"/>
    <w:rsid w:val="00C720E8"/>
    <w:rsid w:val="00C72168"/>
    <w:rsid w:val="00C72402"/>
    <w:rsid w:val="00C72502"/>
    <w:rsid w:val="00C728B1"/>
    <w:rsid w:val="00C72C0D"/>
    <w:rsid w:val="00C72CED"/>
    <w:rsid w:val="00C72DFD"/>
    <w:rsid w:val="00C72EBB"/>
    <w:rsid w:val="00C72FAC"/>
    <w:rsid w:val="00C73027"/>
    <w:rsid w:val="00C732DE"/>
    <w:rsid w:val="00C73340"/>
    <w:rsid w:val="00C73389"/>
    <w:rsid w:val="00C73417"/>
    <w:rsid w:val="00C7357C"/>
    <w:rsid w:val="00C737D4"/>
    <w:rsid w:val="00C7382C"/>
    <w:rsid w:val="00C73F83"/>
    <w:rsid w:val="00C73FEE"/>
    <w:rsid w:val="00C7425D"/>
    <w:rsid w:val="00C74283"/>
    <w:rsid w:val="00C74353"/>
    <w:rsid w:val="00C743C7"/>
    <w:rsid w:val="00C74444"/>
    <w:rsid w:val="00C744D6"/>
    <w:rsid w:val="00C74651"/>
    <w:rsid w:val="00C74737"/>
    <w:rsid w:val="00C749DA"/>
    <w:rsid w:val="00C74C0F"/>
    <w:rsid w:val="00C74ECC"/>
    <w:rsid w:val="00C75117"/>
    <w:rsid w:val="00C75124"/>
    <w:rsid w:val="00C75149"/>
    <w:rsid w:val="00C751C3"/>
    <w:rsid w:val="00C7546E"/>
    <w:rsid w:val="00C75713"/>
    <w:rsid w:val="00C75772"/>
    <w:rsid w:val="00C75D2A"/>
    <w:rsid w:val="00C7630A"/>
    <w:rsid w:val="00C766C3"/>
    <w:rsid w:val="00C766DA"/>
    <w:rsid w:val="00C7671E"/>
    <w:rsid w:val="00C76875"/>
    <w:rsid w:val="00C768A6"/>
    <w:rsid w:val="00C769F2"/>
    <w:rsid w:val="00C76CAE"/>
    <w:rsid w:val="00C77003"/>
    <w:rsid w:val="00C770DE"/>
    <w:rsid w:val="00C7745B"/>
    <w:rsid w:val="00C77480"/>
    <w:rsid w:val="00C77578"/>
    <w:rsid w:val="00C777BA"/>
    <w:rsid w:val="00C77A1A"/>
    <w:rsid w:val="00C77A53"/>
    <w:rsid w:val="00C77B3F"/>
    <w:rsid w:val="00C77F38"/>
    <w:rsid w:val="00C804DC"/>
    <w:rsid w:val="00C805A8"/>
    <w:rsid w:val="00C8061A"/>
    <w:rsid w:val="00C80622"/>
    <w:rsid w:val="00C80694"/>
    <w:rsid w:val="00C80C86"/>
    <w:rsid w:val="00C80E07"/>
    <w:rsid w:val="00C81224"/>
    <w:rsid w:val="00C812CA"/>
    <w:rsid w:val="00C814E2"/>
    <w:rsid w:val="00C81565"/>
    <w:rsid w:val="00C81635"/>
    <w:rsid w:val="00C819D5"/>
    <w:rsid w:val="00C81C47"/>
    <w:rsid w:val="00C8207B"/>
    <w:rsid w:val="00C822D6"/>
    <w:rsid w:val="00C822E5"/>
    <w:rsid w:val="00C824DB"/>
    <w:rsid w:val="00C8261A"/>
    <w:rsid w:val="00C828E4"/>
    <w:rsid w:val="00C829E9"/>
    <w:rsid w:val="00C82A6C"/>
    <w:rsid w:val="00C82BF3"/>
    <w:rsid w:val="00C83323"/>
    <w:rsid w:val="00C836EE"/>
    <w:rsid w:val="00C83843"/>
    <w:rsid w:val="00C83958"/>
    <w:rsid w:val="00C83A24"/>
    <w:rsid w:val="00C83BA8"/>
    <w:rsid w:val="00C83BDE"/>
    <w:rsid w:val="00C83CC7"/>
    <w:rsid w:val="00C83E88"/>
    <w:rsid w:val="00C84564"/>
    <w:rsid w:val="00C8462D"/>
    <w:rsid w:val="00C8474B"/>
    <w:rsid w:val="00C847B0"/>
    <w:rsid w:val="00C847C6"/>
    <w:rsid w:val="00C84BAA"/>
    <w:rsid w:val="00C84DB3"/>
    <w:rsid w:val="00C84DB5"/>
    <w:rsid w:val="00C85061"/>
    <w:rsid w:val="00C85147"/>
    <w:rsid w:val="00C855C5"/>
    <w:rsid w:val="00C85929"/>
    <w:rsid w:val="00C85BD6"/>
    <w:rsid w:val="00C86123"/>
    <w:rsid w:val="00C8675C"/>
    <w:rsid w:val="00C86AF7"/>
    <w:rsid w:val="00C86C8F"/>
    <w:rsid w:val="00C86D52"/>
    <w:rsid w:val="00C86E79"/>
    <w:rsid w:val="00C86EC6"/>
    <w:rsid w:val="00C870F9"/>
    <w:rsid w:val="00C87181"/>
    <w:rsid w:val="00C8757D"/>
    <w:rsid w:val="00C875D9"/>
    <w:rsid w:val="00C87722"/>
    <w:rsid w:val="00C87794"/>
    <w:rsid w:val="00C87D0F"/>
    <w:rsid w:val="00C87D88"/>
    <w:rsid w:val="00C87E4B"/>
    <w:rsid w:val="00C87E7C"/>
    <w:rsid w:val="00C9011C"/>
    <w:rsid w:val="00C90A02"/>
    <w:rsid w:val="00C90B2E"/>
    <w:rsid w:val="00C91108"/>
    <w:rsid w:val="00C912BB"/>
    <w:rsid w:val="00C9132C"/>
    <w:rsid w:val="00C91395"/>
    <w:rsid w:val="00C916C7"/>
    <w:rsid w:val="00C91771"/>
    <w:rsid w:val="00C91CAD"/>
    <w:rsid w:val="00C920A2"/>
    <w:rsid w:val="00C921B2"/>
    <w:rsid w:val="00C92238"/>
    <w:rsid w:val="00C92761"/>
    <w:rsid w:val="00C92980"/>
    <w:rsid w:val="00C92C2F"/>
    <w:rsid w:val="00C93001"/>
    <w:rsid w:val="00C9307F"/>
    <w:rsid w:val="00C93301"/>
    <w:rsid w:val="00C934D5"/>
    <w:rsid w:val="00C93566"/>
    <w:rsid w:val="00C936E3"/>
    <w:rsid w:val="00C93B4B"/>
    <w:rsid w:val="00C93E82"/>
    <w:rsid w:val="00C946BD"/>
    <w:rsid w:val="00C946FB"/>
    <w:rsid w:val="00C947E3"/>
    <w:rsid w:val="00C94869"/>
    <w:rsid w:val="00C94886"/>
    <w:rsid w:val="00C949AF"/>
    <w:rsid w:val="00C949BF"/>
    <w:rsid w:val="00C94A73"/>
    <w:rsid w:val="00C94CD3"/>
    <w:rsid w:val="00C94E52"/>
    <w:rsid w:val="00C94ECA"/>
    <w:rsid w:val="00C94ED8"/>
    <w:rsid w:val="00C9506D"/>
    <w:rsid w:val="00C952F6"/>
    <w:rsid w:val="00C952F9"/>
    <w:rsid w:val="00C9533C"/>
    <w:rsid w:val="00C95603"/>
    <w:rsid w:val="00C95627"/>
    <w:rsid w:val="00C95A38"/>
    <w:rsid w:val="00C95C15"/>
    <w:rsid w:val="00C95DAE"/>
    <w:rsid w:val="00C95F3B"/>
    <w:rsid w:val="00C95F8C"/>
    <w:rsid w:val="00C9613D"/>
    <w:rsid w:val="00C962D0"/>
    <w:rsid w:val="00C9646E"/>
    <w:rsid w:val="00C965E4"/>
    <w:rsid w:val="00C967ED"/>
    <w:rsid w:val="00C968F0"/>
    <w:rsid w:val="00C9696D"/>
    <w:rsid w:val="00C96CD5"/>
    <w:rsid w:val="00C96E56"/>
    <w:rsid w:val="00C97109"/>
    <w:rsid w:val="00C971C7"/>
    <w:rsid w:val="00C97270"/>
    <w:rsid w:val="00C974DA"/>
    <w:rsid w:val="00C976B9"/>
    <w:rsid w:val="00C977AB"/>
    <w:rsid w:val="00C978E0"/>
    <w:rsid w:val="00C97A71"/>
    <w:rsid w:val="00C97A82"/>
    <w:rsid w:val="00C97A89"/>
    <w:rsid w:val="00C97C3A"/>
    <w:rsid w:val="00C97D17"/>
    <w:rsid w:val="00C97E4A"/>
    <w:rsid w:val="00CA005A"/>
    <w:rsid w:val="00CA00EF"/>
    <w:rsid w:val="00CA021B"/>
    <w:rsid w:val="00CA024C"/>
    <w:rsid w:val="00CA0372"/>
    <w:rsid w:val="00CA0673"/>
    <w:rsid w:val="00CA0A99"/>
    <w:rsid w:val="00CA0D17"/>
    <w:rsid w:val="00CA11A6"/>
    <w:rsid w:val="00CA1498"/>
    <w:rsid w:val="00CA156D"/>
    <w:rsid w:val="00CA1585"/>
    <w:rsid w:val="00CA1614"/>
    <w:rsid w:val="00CA17BD"/>
    <w:rsid w:val="00CA1B40"/>
    <w:rsid w:val="00CA1BC2"/>
    <w:rsid w:val="00CA1F37"/>
    <w:rsid w:val="00CA2386"/>
    <w:rsid w:val="00CA288F"/>
    <w:rsid w:val="00CA2A0F"/>
    <w:rsid w:val="00CA2C32"/>
    <w:rsid w:val="00CA2F1D"/>
    <w:rsid w:val="00CA3119"/>
    <w:rsid w:val="00CA32D0"/>
    <w:rsid w:val="00CA32D3"/>
    <w:rsid w:val="00CA367D"/>
    <w:rsid w:val="00CA36F9"/>
    <w:rsid w:val="00CA37C0"/>
    <w:rsid w:val="00CA39E9"/>
    <w:rsid w:val="00CA3B32"/>
    <w:rsid w:val="00CA3BB3"/>
    <w:rsid w:val="00CA3BB9"/>
    <w:rsid w:val="00CA3F40"/>
    <w:rsid w:val="00CA4053"/>
    <w:rsid w:val="00CA420E"/>
    <w:rsid w:val="00CA42E1"/>
    <w:rsid w:val="00CA44E5"/>
    <w:rsid w:val="00CA48CE"/>
    <w:rsid w:val="00CA4A51"/>
    <w:rsid w:val="00CA4C01"/>
    <w:rsid w:val="00CA51AE"/>
    <w:rsid w:val="00CA5406"/>
    <w:rsid w:val="00CA5451"/>
    <w:rsid w:val="00CA5890"/>
    <w:rsid w:val="00CA58D3"/>
    <w:rsid w:val="00CA5A5D"/>
    <w:rsid w:val="00CA61BA"/>
    <w:rsid w:val="00CA6200"/>
    <w:rsid w:val="00CA62F3"/>
    <w:rsid w:val="00CA6597"/>
    <w:rsid w:val="00CA6D4F"/>
    <w:rsid w:val="00CA6DCA"/>
    <w:rsid w:val="00CA6F8B"/>
    <w:rsid w:val="00CA7091"/>
    <w:rsid w:val="00CA7358"/>
    <w:rsid w:val="00CA7379"/>
    <w:rsid w:val="00CA75E7"/>
    <w:rsid w:val="00CA76C9"/>
    <w:rsid w:val="00CA7847"/>
    <w:rsid w:val="00CB0417"/>
    <w:rsid w:val="00CB0439"/>
    <w:rsid w:val="00CB0ACF"/>
    <w:rsid w:val="00CB0DFE"/>
    <w:rsid w:val="00CB115B"/>
    <w:rsid w:val="00CB1512"/>
    <w:rsid w:val="00CB1608"/>
    <w:rsid w:val="00CB1680"/>
    <w:rsid w:val="00CB1737"/>
    <w:rsid w:val="00CB1A9D"/>
    <w:rsid w:val="00CB1ADC"/>
    <w:rsid w:val="00CB1CB3"/>
    <w:rsid w:val="00CB2020"/>
    <w:rsid w:val="00CB2236"/>
    <w:rsid w:val="00CB236C"/>
    <w:rsid w:val="00CB23FA"/>
    <w:rsid w:val="00CB2729"/>
    <w:rsid w:val="00CB27B4"/>
    <w:rsid w:val="00CB2829"/>
    <w:rsid w:val="00CB2C41"/>
    <w:rsid w:val="00CB2C46"/>
    <w:rsid w:val="00CB2DA1"/>
    <w:rsid w:val="00CB3202"/>
    <w:rsid w:val="00CB36D1"/>
    <w:rsid w:val="00CB381C"/>
    <w:rsid w:val="00CB3A3D"/>
    <w:rsid w:val="00CB3B62"/>
    <w:rsid w:val="00CB3DEE"/>
    <w:rsid w:val="00CB3EDF"/>
    <w:rsid w:val="00CB3F82"/>
    <w:rsid w:val="00CB408F"/>
    <w:rsid w:val="00CB438C"/>
    <w:rsid w:val="00CB43AE"/>
    <w:rsid w:val="00CB448E"/>
    <w:rsid w:val="00CB46B1"/>
    <w:rsid w:val="00CB475A"/>
    <w:rsid w:val="00CB497E"/>
    <w:rsid w:val="00CB4C60"/>
    <w:rsid w:val="00CB4DC3"/>
    <w:rsid w:val="00CB4E1A"/>
    <w:rsid w:val="00CB4ED1"/>
    <w:rsid w:val="00CB5396"/>
    <w:rsid w:val="00CB549C"/>
    <w:rsid w:val="00CB57D4"/>
    <w:rsid w:val="00CB5C51"/>
    <w:rsid w:val="00CB5CE4"/>
    <w:rsid w:val="00CB62A2"/>
    <w:rsid w:val="00CB634C"/>
    <w:rsid w:val="00CB6423"/>
    <w:rsid w:val="00CB6611"/>
    <w:rsid w:val="00CB681F"/>
    <w:rsid w:val="00CB69BF"/>
    <w:rsid w:val="00CB6A2A"/>
    <w:rsid w:val="00CB6A52"/>
    <w:rsid w:val="00CB6AA7"/>
    <w:rsid w:val="00CB6D3F"/>
    <w:rsid w:val="00CB721D"/>
    <w:rsid w:val="00CB733D"/>
    <w:rsid w:val="00CB7635"/>
    <w:rsid w:val="00CB7674"/>
    <w:rsid w:val="00CB7763"/>
    <w:rsid w:val="00CB7793"/>
    <w:rsid w:val="00CB7B8D"/>
    <w:rsid w:val="00CB7E3C"/>
    <w:rsid w:val="00CC005A"/>
    <w:rsid w:val="00CC00BC"/>
    <w:rsid w:val="00CC082C"/>
    <w:rsid w:val="00CC08F9"/>
    <w:rsid w:val="00CC0A38"/>
    <w:rsid w:val="00CC0A71"/>
    <w:rsid w:val="00CC10F5"/>
    <w:rsid w:val="00CC1203"/>
    <w:rsid w:val="00CC1207"/>
    <w:rsid w:val="00CC1334"/>
    <w:rsid w:val="00CC1788"/>
    <w:rsid w:val="00CC17AA"/>
    <w:rsid w:val="00CC18D6"/>
    <w:rsid w:val="00CC19DD"/>
    <w:rsid w:val="00CC1AC0"/>
    <w:rsid w:val="00CC1C21"/>
    <w:rsid w:val="00CC1C9C"/>
    <w:rsid w:val="00CC1EF5"/>
    <w:rsid w:val="00CC1F1C"/>
    <w:rsid w:val="00CC202D"/>
    <w:rsid w:val="00CC204E"/>
    <w:rsid w:val="00CC22FE"/>
    <w:rsid w:val="00CC238B"/>
    <w:rsid w:val="00CC26B0"/>
    <w:rsid w:val="00CC2709"/>
    <w:rsid w:val="00CC2900"/>
    <w:rsid w:val="00CC2A40"/>
    <w:rsid w:val="00CC2AC1"/>
    <w:rsid w:val="00CC2B81"/>
    <w:rsid w:val="00CC2E9B"/>
    <w:rsid w:val="00CC2F31"/>
    <w:rsid w:val="00CC2FEB"/>
    <w:rsid w:val="00CC310B"/>
    <w:rsid w:val="00CC33CE"/>
    <w:rsid w:val="00CC3550"/>
    <w:rsid w:val="00CC3683"/>
    <w:rsid w:val="00CC3958"/>
    <w:rsid w:val="00CC3BF6"/>
    <w:rsid w:val="00CC3C11"/>
    <w:rsid w:val="00CC3DA3"/>
    <w:rsid w:val="00CC3DC5"/>
    <w:rsid w:val="00CC3F15"/>
    <w:rsid w:val="00CC41D8"/>
    <w:rsid w:val="00CC45D9"/>
    <w:rsid w:val="00CC4976"/>
    <w:rsid w:val="00CC4A50"/>
    <w:rsid w:val="00CC4DFB"/>
    <w:rsid w:val="00CC4E01"/>
    <w:rsid w:val="00CC4E88"/>
    <w:rsid w:val="00CC520E"/>
    <w:rsid w:val="00CC5A99"/>
    <w:rsid w:val="00CC5B21"/>
    <w:rsid w:val="00CC5C5A"/>
    <w:rsid w:val="00CC60C7"/>
    <w:rsid w:val="00CC60D9"/>
    <w:rsid w:val="00CC611F"/>
    <w:rsid w:val="00CC6221"/>
    <w:rsid w:val="00CC63E8"/>
    <w:rsid w:val="00CC6655"/>
    <w:rsid w:val="00CC68FF"/>
    <w:rsid w:val="00CC690C"/>
    <w:rsid w:val="00CC6F9D"/>
    <w:rsid w:val="00CC71E9"/>
    <w:rsid w:val="00CC7259"/>
    <w:rsid w:val="00CC7291"/>
    <w:rsid w:val="00CC72A0"/>
    <w:rsid w:val="00CC74BD"/>
    <w:rsid w:val="00CC7566"/>
    <w:rsid w:val="00CC75D6"/>
    <w:rsid w:val="00CC79BA"/>
    <w:rsid w:val="00CC7DA1"/>
    <w:rsid w:val="00CD04CD"/>
    <w:rsid w:val="00CD0553"/>
    <w:rsid w:val="00CD0558"/>
    <w:rsid w:val="00CD0752"/>
    <w:rsid w:val="00CD0EBB"/>
    <w:rsid w:val="00CD11E7"/>
    <w:rsid w:val="00CD12AB"/>
    <w:rsid w:val="00CD145B"/>
    <w:rsid w:val="00CD18D9"/>
    <w:rsid w:val="00CD1F4A"/>
    <w:rsid w:val="00CD2064"/>
    <w:rsid w:val="00CD21A5"/>
    <w:rsid w:val="00CD21F2"/>
    <w:rsid w:val="00CD22E3"/>
    <w:rsid w:val="00CD28E1"/>
    <w:rsid w:val="00CD29E7"/>
    <w:rsid w:val="00CD2A4F"/>
    <w:rsid w:val="00CD2CDC"/>
    <w:rsid w:val="00CD3037"/>
    <w:rsid w:val="00CD31DE"/>
    <w:rsid w:val="00CD32E9"/>
    <w:rsid w:val="00CD37EC"/>
    <w:rsid w:val="00CD3CC6"/>
    <w:rsid w:val="00CD3E5B"/>
    <w:rsid w:val="00CD4285"/>
    <w:rsid w:val="00CD441A"/>
    <w:rsid w:val="00CD4511"/>
    <w:rsid w:val="00CD4703"/>
    <w:rsid w:val="00CD4E82"/>
    <w:rsid w:val="00CD50FE"/>
    <w:rsid w:val="00CD5225"/>
    <w:rsid w:val="00CD5545"/>
    <w:rsid w:val="00CD56EB"/>
    <w:rsid w:val="00CD57C1"/>
    <w:rsid w:val="00CD57EB"/>
    <w:rsid w:val="00CD585F"/>
    <w:rsid w:val="00CD5A30"/>
    <w:rsid w:val="00CD5A9F"/>
    <w:rsid w:val="00CD5AAA"/>
    <w:rsid w:val="00CD5C06"/>
    <w:rsid w:val="00CD5E9A"/>
    <w:rsid w:val="00CD5EC9"/>
    <w:rsid w:val="00CD602E"/>
    <w:rsid w:val="00CD6130"/>
    <w:rsid w:val="00CD61A0"/>
    <w:rsid w:val="00CD6374"/>
    <w:rsid w:val="00CD6423"/>
    <w:rsid w:val="00CD6757"/>
    <w:rsid w:val="00CD67BF"/>
    <w:rsid w:val="00CD67E1"/>
    <w:rsid w:val="00CD6943"/>
    <w:rsid w:val="00CD6B0E"/>
    <w:rsid w:val="00CD6B37"/>
    <w:rsid w:val="00CD6B89"/>
    <w:rsid w:val="00CD6DAF"/>
    <w:rsid w:val="00CD71E3"/>
    <w:rsid w:val="00CD7349"/>
    <w:rsid w:val="00CD73E9"/>
    <w:rsid w:val="00CD7471"/>
    <w:rsid w:val="00CD75B5"/>
    <w:rsid w:val="00CD7644"/>
    <w:rsid w:val="00CD7BCC"/>
    <w:rsid w:val="00CD7D4F"/>
    <w:rsid w:val="00CE035A"/>
    <w:rsid w:val="00CE0D36"/>
    <w:rsid w:val="00CE0EF3"/>
    <w:rsid w:val="00CE138C"/>
    <w:rsid w:val="00CE146C"/>
    <w:rsid w:val="00CE15B5"/>
    <w:rsid w:val="00CE164D"/>
    <w:rsid w:val="00CE16EC"/>
    <w:rsid w:val="00CE16F1"/>
    <w:rsid w:val="00CE1B0B"/>
    <w:rsid w:val="00CE1D0F"/>
    <w:rsid w:val="00CE1DA1"/>
    <w:rsid w:val="00CE1E4A"/>
    <w:rsid w:val="00CE2126"/>
    <w:rsid w:val="00CE2176"/>
    <w:rsid w:val="00CE21CF"/>
    <w:rsid w:val="00CE22D7"/>
    <w:rsid w:val="00CE23C6"/>
    <w:rsid w:val="00CE2754"/>
    <w:rsid w:val="00CE27C4"/>
    <w:rsid w:val="00CE28B3"/>
    <w:rsid w:val="00CE2B1D"/>
    <w:rsid w:val="00CE2B37"/>
    <w:rsid w:val="00CE2D55"/>
    <w:rsid w:val="00CE2F65"/>
    <w:rsid w:val="00CE2F70"/>
    <w:rsid w:val="00CE2FF2"/>
    <w:rsid w:val="00CE30F8"/>
    <w:rsid w:val="00CE383E"/>
    <w:rsid w:val="00CE3A1F"/>
    <w:rsid w:val="00CE3B75"/>
    <w:rsid w:val="00CE3C44"/>
    <w:rsid w:val="00CE409C"/>
    <w:rsid w:val="00CE414E"/>
    <w:rsid w:val="00CE4327"/>
    <w:rsid w:val="00CE473A"/>
    <w:rsid w:val="00CE4A90"/>
    <w:rsid w:val="00CE4AD4"/>
    <w:rsid w:val="00CE4CD4"/>
    <w:rsid w:val="00CE4E85"/>
    <w:rsid w:val="00CE51CD"/>
    <w:rsid w:val="00CE5298"/>
    <w:rsid w:val="00CE53EC"/>
    <w:rsid w:val="00CE5593"/>
    <w:rsid w:val="00CE56F8"/>
    <w:rsid w:val="00CE56FA"/>
    <w:rsid w:val="00CE5AC2"/>
    <w:rsid w:val="00CE5D62"/>
    <w:rsid w:val="00CE607C"/>
    <w:rsid w:val="00CE60D5"/>
    <w:rsid w:val="00CE6422"/>
    <w:rsid w:val="00CE6618"/>
    <w:rsid w:val="00CE6859"/>
    <w:rsid w:val="00CE69CD"/>
    <w:rsid w:val="00CE6A63"/>
    <w:rsid w:val="00CE6BB2"/>
    <w:rsid w:val="00CE6D6E"/>
    <w:rsid w:val="00CE7024"/>
    <w:rsid w:val="00CE71AD"/>
    <w:rsid w:val="00CE73DE"/>
    <w:rsid w:val="00CE74A9"/>
    <w:rsid w:val="00CE74F2"/>
    <w:rsid w:val="00CE7870"/>
    <w:rsid w:val="00CE7947"/>
    <w:rsid w:val="00CE7B86"/>
    <w:rsid w:val="00CE7BCA"/>
    <w:rsid w:val="00CF0365"/>
    <w:rsid w:val="00CF0530"/>
    <w:rsid w:val="00CF055A"/>
    <w:rsid w:val="00CF056C"/>
    <w:rsid w:val="00CF064A"/>
    <w:rsid w:val="00CF0866"/>
    <w:rsid w:val="00CF0925"/>
    <w:rsid w:val="00CF09CE"/>
    <w:rsid w:val="00CF0B7C"/>
    <w:rsid w:val="00CF0C71"/>
    <w:rsid w:val="00CF0E65"/>
    <w:rsid w:val="00CF0FC0"/>
    <w:rsid w:val="00CF130C"/>
    <w:rsid w:val="00CF13B0"/>
    <w:rsid w:val="00CF145A"/>
    <w:rsid w:val="00CF1942"/>
    <w:rsid w:val="00CF1A15"/>
    <w:rsid w:val="00CF1F7F"/>
    <w:rsid w:val="00CF20B2"/>
    <w:rsid w:val="00CF24E1"/>
    <w:rsid w:val="00CF2786"/>
    <w:rsid w:val="00CF27DC"/>
    <w:rsid w:val="00CF28D4"/>
    <w:rsid w:val="00CF2AB3"/>
    <w:rsid w:val="00CF2BDD"/>
    <w:rsid w:val="00CF359B"/>
    <w:rsid w:val="00CF3602"/>
    <w:rsid w:val="00CF3995"/>
    <w:rsid w:val="00CF39EC"/>
    <w:rsid w:val="00CF3A02"/>
    <w:rsid w:val="00CF3A28"/>
    <w:rsid w:val="00CF3E72"/>
    <w:rsid w:val="00CF3F17"/>
    <w:rsid w:val="00CF3FF4"/>
    <w:rsid w:val="00CF40E0"/>
    <w:rsid w:val="00CF43C8"/>
    <w:rsid w:val="00CF4541"/>
    <w:rsid w:val="00CF48CA"/>
    <w:rsid w:val="00CF4A7E"/>
    <w:rsid w:val="00CF4AA1"/>
    <w:rsid w:val="00CF4B0F"/>
    <w:rsid w:val="00CF4CC0"/>
    <w:rsid w:val="00CF4D8F"/>
    <w:rsid w:val="00CF51A7"/>
    <w:rsid w:val="00CF522B"/>
    <w:rsid w:val="00CF55B3"/>
    <w:rsid w:val="00CF5F05"/>
    <w:rsid w:val="00CF60A3"/>
    <w:rsid w:val="00CF6277"/>
    <w:rsid w:val="00CF6292"/>
    <w:rsid w:val="00CF62F3"/>
    <w:rsid w:val="00CF63E2"/>
    <w:rsid w:val="00CF67E8"/>
    <w:rsid w:val="00CF685D"/>
    <w:rsid w:val="00CF6F36"/>
    <w:rsid w:val="00CF7073"/>
    <w:rsid w:val="00CF714A"/>
    <w:rsid w:val="00CF74F0"/>
    <w:rsid w:val="00CF7599"/>
    <w:rsid w:val="00CF77E9"/>
    <w:rsid w:val="00CF7984"/>
    <w:rsid w:val="00CF7B7E"/>
    <w:rsid w:val="00CF7D42"/>
    <w:rsid w:val="00CF7FA5"/>
    <w:rsid w:val="00D000F5"/>
    <w:rsid w:val="00D00239"/>
    <w:rsid w:val="00D003EE"/>
    <w:rsid w:val="00D0047D"/>
    <w:rsid w:val="00D00859"/>
    <w:rsid w:val="00D00E87"/>
    <w:rsid w:val="00D01263"/>
    <w:rsid w:val="00D0189E"/>
    <w:rsid w:val="00D01B1F"/>
    <w:rsid w:val="00D025BC"/>
    <w:rsid w:val="00D0285B"/>
    <w:rsid w:val="00D02BFB"/>
    <w:rsid w:val="00D031E7"/>
    <w:rsid w:val="00D032B7"/>
    <w:rsid w:val="00D03572"/>
    <w:rsid w:val="00D036DC"/>
    <w:rsid w:val="00D037D9"/>
    <w:rsid w:val="00D03E99"/>
    <w:rsid w:val="00D04070"/>
    <w:rsid w:val="00D040A8"/>
    <w:rsid w:val="00D0419C"/>
    <w:rsid w:val="00D041FA"/>
    <w:rsid w:val="00D0423F"/>
    <w:rsid w:val="00D0428E"/>
    <w:rsid w:val="00D04344"/>
    <w:rsid w:val="00D04479"/>
    <w:rsid w:val="00D044C1"/>
    <w:rsid w:val="00D044FB"/>
    <w:rsid w:val="00D04613"/>
    <w:rsid w:val="00D04756"/>
    <w:rsid w:val="00D04762"/>
    <w:rsid w:val="00D047A3"/>
    <w:rsid w:val="00D047EB"/>
    <w:rsid w:val="00D04CD9"/>
    <w:rsid w:val="00D04FB8"/>
    <w:rsid w:val="00D057D3"/>
    <w:rsid w:val="00D05966"/>
    <w:rsid w:val="00D05AA7"/>
    <w:rsid w:val="00D05B7C"/>
    <w:rsid w:val="00D05CAE"/>
    <w:rsid w:val="00D05FAF"/>
    <w:rsid w:val="00D06168"/>
    <w:rsid w:val="00D061C1"/>
    <w:rsid w:val="00D064E8"/>
    <w:rsid w:val="00D0670B"/>
    <w:rsid w:val="00D0683D"/>
    <w:rsid w:val="00D06A01"/>
    <w:rsid w:val="00D06A45"/>
    <w:rsid w:val="00D06D75"/>
    <w:rsid w:val="00D074F3"/>
    <w:rsid w:val="00D10088"/>
    <w:rsid w:val="00D10AD2"/>
    <w:rsid w:val="00D111FF"/>
    <w:rsid w:val="00D116A5"/>
    <w:rsid w:val="00D11787"/>
    <w:rsid w:val="00D11861"/>
    <w:rsid w:val="00D11B45"/>
    <w:rsid w:val="00D11B5F"/>
    <w:rsid w:val="00D12013"/>
    <w:rsid w:val="00D126D4"/>
    <w:rsid w:val="00D127A5"/>
    <w:rsid w:val="00D12C02"/>
    <w:rsid w:val="00D12DCC"/>
    <w:rsid w:val="00D12E77"/>
    <w:rsid w:val="00D130CA"/>
    <w:rsid w:val="00D1349B"/>
    <w:rsid w:val="00D13977"/>
    <w:rsid w:val="00D13A7D"/>
    <w:rsid w:val="00D13B7C"/>
    <w:rsid w:val="00D1453C"/>
    <w:rsid w:val="00D146F7"/>
    <w:rsid w:val="00D14AEB"/>
    <w:rsid w:val="00D14C99"/>
    <w:rsid w:val="00D14CB1"/>
    <w:rsid w:val="00D14E21"/>
    <w:rsid w:val="00D14F87"/>
    <w:rsid w:val="00D14F9C"/>
    <w:rsid w:val="00D15355"/>
    <w:rsid w:val="00D154DE"/>
    <w:rsid w:val="00D15745"/>
    <w:rsid w:val="00D159BF"/>
    <w:rsid w:val="00D15AE3"/>
    <w:rsid w:val="00D15BDF"/>
    <w:rsid w:val="00D15CA5"/>
    <w:rsid w:val="00D15CA8"/>
    <w:rsid w:val="00D15CD8"/>
    <w:rsid w:val="00D15F96"/>
    <w:rsid w:val="00D1638F"/>
    <w:rsid w:val="00D164B4"/>
    <w:rsid w:val="00D16699"/>
    <w:rsid w:val="00D16DCF"/>
    <w:rsid w:val="00D16FA0"/>
    <w:rsid w:val="00D16FC8"/>
    <w:rsid w:val="00D1701A"/>
    <w:rsid w:val="00D17399"/>
    <w:rsid w:val="00D1778D"/>
    <w:rsid w:val="00D17A57"/>
    <w:rsid w:val="00D17F69"/>
    <w:rsid w:val="00D20053"/>
    <w:rsid w:val="00D20309"/>
    <w:rsid w:val="00D2035C"/>
    <w:rsid w:val="00D2079D"/>
    <w:rsid w:val="00D20866"/>
    <w:rsid w:val="00D208E8"/>
    <w:rsid w:val="00D20A46"/>
    <w:rsid w:val="00D20B5E"/>
    <w:rsid w:val="00D20C1B"/>
    <w:rsid w:val="00D20D8D"/>
    <w:rsid w:val="00D20E1D"/>
    <w:rsid w:val="00D21186"/>
    <w:rsid w:val="00D21583"/>
    <w:rsid w:val="00D2171D"/>
    <w:rsid w:val="00D21853"/>
    <w:rsid w:val="00D21904"/>
    <w:rsid w:val="00D21CCF"/>
    <w:rsid w:val="00D2220D"/>
    <w:rsid w:val="00D22646"/>
    <w:rsid w:val="00D22901"/>
    <w:rsid w:val="00D230B1"/>
    <w:rsid w:val="00D231C4"/>
    <w:rsid w:val="00D23313"/>
    <w:rsid w:val="00D23434"/>
    <w:rsid w:val="00D23541"/>
    <w:rsid w:val="00D2373F"/>
    <w:rsid w:val="00D23CA3"/>
    <w:rsid w:val="00D23CCD"/>
    <w:rsid w:val="00D24263"/>
    <w:rsid w:val="00D2467B"/>
    <w:rsid w:val="00D24841"/>
    <w:rsid w:val="00D24930"/>
    <w:rsid w:val="00D24BE2"/>
    <w:rsid w:val="00D24D15"/>
    <w:rsid w:val="00D24EA5"/>
    <w:rsid w:val="00D24EAC"/>
    <w:rsid w:val="00D24F52"/>
    <w:rsid w:val="00D253F5"/>
    <w:rsid w:val="00D25586"/>
    <w:rsid w:val="00D25666"/>
    <w:rsid w:val="00D257B8"/>
    <w:rsid w:val="00D25923"/>
    <w:rsid w:val="00D2592F"/>
    <w:rsid w:val="00D259C8"/>
    <w:rsid w:val="00D25B56"/>
    <w:rsid w:val="00D25BEB"/>
    <w:rsid w:val="00D25ED4"/>
    <w:rsid w:val="00D26172"/>
    <w:rsid w:val="00D26283"/>
    <w:rsid w:val="00D26559"/>
    <w:rsid w:val="00D26A38"/>
    <w:rsid w:val="00D26BCA"/>
    <w:rsid w:val="00D26EBB"/>
    <w:rsid w:val="00D27163"/>
    <w:rsid w:val="00D27266"/>
    <w:rsid w:val="00D27396"/>
    <w:rsid w:val="00D2769B"/>
    <w:rsid w:val="00D27B65"/>
    <w:rsid w:val="00D27CCD"/>
    <w:rsid w:val="00D27EF8"/>
    <w:rsid w:val="00D3004B"/>
    <w:rsid w:val="00D307F8"/>
    <w:rsid w:val="00D309B9"/>
    <w:rsid w:val="00D30A44"/>
    <w:rsid w:val="00D30B27"/>
    <w:rsid w:val="00D30BED"/>
    <w:rsid w:val="00D30ED8"/>
    <w:rsid w:val="00D31047"/>
    <w:rsid w:val="00D31061"/>
    <w:rsid w:val="00D31086"/>
    <w:rsid w:val="00D31104"/>
    <w:rsid w:val="00D31248"/>
    <w:rsid w:val="00D312F6"/>
    <w:rsid w:val="00D313CD"/>
    <w:rsid w:val="00D31C28"/>
    <w:rsid w:val="00D31CA5"/>
    <w:rsid w:val="00D31E1D"/>
    <w:rsid w:val="00D3207B"/>
    <w:rsid w:val="00D32351"/>
    <w:rsid w:val="00D323A4"/>
    <w:rsid w:val="00D32D6A"/>
    <w:rsid w:val="00D32FF7"/>
    <w:rsid w:val="00D33016"/>
    <w:rsid w:val="00D33326"/>
    <w:rsid w:val="00D3336A"/>
    <w:rsid w:val="00D3336E"/>
    <w:rsid w:val="00D33441"/>
    <w:rsid w:val="00D337E1"/>
    <w:rsid w:val="00D33858"/>
    <w:rsid w:val="00D33ABE"/>
    <w:rsid w:val="00D340E4"/>
    <w:rsid w:val="00D34147"/>
    <w:rsid w:val="00D342F3"/>
    <w:rsid w:val="00D344E5"/>
    <w:rsid w:val="00D34824"/>
    <w:rsid w:val="00D3484C"/>
    <w:rsid w:val="00D349E6"/>
    <w:rsid w:val="00D34F89"/>
    <w:rsid w:val="00D354FF"/>
    <w:rsid w:val="00D355E9"/>
    <w:rsid w:val="00D357D7"/>
    <w:rsid w:val="00D35983"/>
    <w:rsid w:val="00D359C7"/>
    <w:rsid w:val="00D35C79"/>
    <w:rsid w:val="00D36025"/>
    <w:rsid w:val="00D3610B"/>
    <w:rsid w:val="00D365C4"/>
    <w:rsid w:val="00D36C89"/>
    <w:rsid w:val="00D37053"/>
    <w:rsid w:val="00D37105"/>
    <w:rsid w:val="00D3719E"/>
    <w:rsid w:val="00D371A9"/>
    <w:rsid w:val="00D371D3"/>
    <w:rsid w:val="00D373BF"/>
    <w:rsid w:val="00D37864"/>
    <w:rsid w:val="00D37A63"/>
    <w:rsid w:val="00D37BD7"/>
    <w:rsid w:val="00D37E38"/>
    <w:rsid w:val="00D407F9"/>
    <w:rsid w:val="00D40EE3"/>
    <w:rsid w:val="00D4157C"/>
    <w:rsid w:val="00D416F8"/>
    <w:rsid w:val="00D41783"/>
    <w:rsid w:val="00D418FF"/>
    <w:rsid w:val="00D41D30"/>
    <w:rsid w:val="00D41E80"/>
    <w:rsid w:val="00D4228A"/>
    <w:rsid w:val="00D4263F"/>
    <w:rsid w:val="00D42AE0"/>
    <w:rsid w:val="00D42DF6"/>
    <w:rsid w:val="00D42E28"/>
    <w:rsid w:val="00D432E2"/>
    <w:rsid w:val="00D4350A"/>
    <w:rsid w:val="00D43639"/>
    <w:rsid w:val="00D4365B"/>
    <w:rsid w:val="00D43700"/>
    <w:rsid w:val="00D437C4"/>
    <w:rsid w:val="00D438DD"/>
    <w:rsid w:val="00D43911"/>
    <w:rsid w:val="00D43FBD"/>
    <w:rsid w:val="00D44045"/>
    <w:rsid w:val="00D44471"/>
    <w:rsid w:val="00D446B3"/>
    <w:rsid w:val="00D446F1"/>
    <w:rsid w:val="00D447F1"/>
    <w:rsid w:val="00D451C7"/>
    <w:rsid w:val="00D45358"/>
    <w:rsid w:val="00D4541E"/>
    <w:rsid w:val="00D45476"/>
    <w:rsid w:val="00D4555B"/>
    <w:rsid w:val="00D45775"/>
    <w:rsid w:val="00D45A1E"/>
    <w:rsid w:val="00D45ADE"/>
    <w:rsid w:val="00D45AF0"/>
    <w:rsid w:val="00D45C44"/>
    <w:rsid w:val="00D45C64"/>
    <w:rsid w:val="00D45CFF"/>
    <w:rsid w:val="00D45E38"/>
    <w:rsid w:val="00D45F24"/>
    <w:rsid w:val="00D4600A"/>
    <w:rsid w:val="00D463C1"/>
    <w:rsid w:val="00D46A10"/>
    <w:rsid w:val="00D46A35"/>
    <w:rsid w:val="00D46A59"/>
    <w:rsid w:val="00D46A69"/>
    <w:rsid w:val="00D46D5F"/>
    <w:rsid w:val="00D46DB8"/>
    <w:rsid w:val="00D4706D"/>
    <w:rsid w:val="00D47089"/>
    <w:rsid w:val="00D4718C"/>
    <w:rsid w:val="00D4727C"/>
    <w:rsid w:val="00D4747E"/>
    <w:rsid w:val="00D4769D"/>
    <w:rsid w:val="00D47854"/>
    <w:rsid w:val="00D47A01"/>
    <w:rsid w:val="00D47ACD"/>
    <w:rsid w:val="00D47C00"/>
    <w:rsid w:val="00D47D1A"/>
    <w:rsid w:val="00D47EBC"/>
    <w:rsid w:val="00D47F10"/>
    <w:rsid w:val="00D47FC7"/>
    <w:rsid w:val="00D50078"/>
    <w:rsid w:val="00D50274"/>
    <w:rsid w:val="00D502EA"/>
    <w:rsid w:val="00D50828"/>
    <w:rsid w:val="00D50E5B"/>
    <w:rsid w:val="00D50F35"/>
    <w:rsid w:val="00D50FAD"/>
    <w:rsid w:val="00D51176"/>
    <w:rsid w:val="00D512B8"/>
    <w:rsid w:val="00D512F9"/>
    <w:rsid w:val="00D51535"/>
    <w:rsid w:val="00D515A9"/>
    <w:rsid w:val="00D517BD"/>
    <w:rsid w:val="00D51AB9"/>
    <w:rsid w:val="00D51B24"/>
    <w:rsid w:val="00D51BFE"/>
    <w:rsid w:val="00D52055"/>
    <w:rsid w:val="00D52225"/>
    <w:rsid w:val="00D5235D"/>
    <w:rsid w:val="00D524BF"/>
    <w:rsid w:val="00D5267D"/>
    <w:rsid w:val="00D52A44"/>
    <w:rsid w:val="00D52B5C"/>
    <w:rsid w:val="00D52F90"/>
    <w:rsid w:val="00D5305D"/>
    <w:rsid w:val="00D533F1"/>
    <w:rsid w:val="00D540EA"/>
    <w:rsid w:val="00D54A38"/>
    <w:rsid w:val="00D55347"/>
    <w:rsid w:val="00D55408"/>
    <w:rsid w:val="00D55428"/>
    <w:rsid w:val="00D55B01"/>
    <w:rsid w:val="00D55B09"/>
    <w:rsid w:val="00D55B97"/>
    <w:rsid w:val="00D55D73"/>
    <w:rsid w:val="00D55E34"/>
    <w:rsid w:val="00D55F1E"/>
    <w:rsid w:val="00D55F5A"/>
    <w:rsid w:val="00D562AC"/>
    <w:rsid w:val="00D56308"/>
    <w:rsid w:val="00D568DF"/>
    <w:rsid w:val="00D568F3"/>
    <w:rsid w:val="00D5696C"/>
    <w:rsid w:val="00D56C14"/>
    <w:rsid w:val="00D57073"/>
    <w:rsid w:val="00D57141"/>
    <w:rsid w:val="00D572F0"/>
    <w:rsid w:val="00D57578"/>
    <w:rsid w:val="00D579E2"/>
    <w:rsid w:val="00D579E8"/>
    <w:rsid w:val="00D57B1F"/>
    <w:rsid w:val="00D57C79"/>
    <w:rsid w:val="00D57F09"/>
    <w:rsid w:val="00D6011C"/>
    <w:rsid w:val="00D60308"/>
    <w:rsid w:val="00D60480"/>
    <w:rsid w:val="00D6066B"/>
    <w:rsid w:val="00D6092C"/>
    <w:rsid w:val="00D6098C"/>
    <w:rsid w:val="00D60B3E"/>
    <w:rsid w:val="00D6123E"/>
    <w:rsid w:val="00D612BF"/>
    <w:rsid w:val="00D6152B"/>
    <w:rsid w:val="00D615BE"/>
    <w:rsid w:val="00D6169C"/>
    <w:rsid w:val="00D617A9"/>
    <w:rsid w:val="00D61A56"/>
    <w:rsid w:val="00D61BBD"/>
    <w:rsid w:val="00D61BD5"/>
    <w:rsid w:val="00D61CC5"/>
    <w:rsid w:val="00D61DCC"/>
    <w:rsid w:val="00D61F25"/>
    <w:rsid w:val="00D622A2"/>
    <w:rsid w:val="00D625C0"/>
    <w:rsid w:val="00D6281A"/>
    <w:rsid w:val="00D62886"/>
    <w:rsid w:val="00D62B93"/>
    <w:rsid w:val="00D62C11"/>
    <w:rsid w:val="00D62DBC"/>
    <w:rsid w:val="00D62FF5"/>
    <w:rsid w:val="00D63232"/>
    <w:rsid w:val="00D63300"/>
    <w:rsid w:val="00D633FE"/>
    <w:rsid w:val="00D63636"/>
    <w:rsid w:val="00D6386D"/>
    <w:rsid w:val="00D639D9"/>
    <w:rsid w:val="00D63B03"/>
    <w:rsid w:val="00D63B76"/>
    <w:rsid w:val="00D63F0F"/>
    <w:rsid w:val="00D640C6"/>
    <w:rsid w:val="00D641C6"/>
    <w:rsid w:val="00D642DD"/>
    <w:rsid w:val="00D6446F"/>
    <w:rsid w:val="00D6464D"/>
    <w:rsid w:val="00D6497F"/>
    <w:rsid w:val="00D64980"/>
    <w:rsid w:val="00D64B8D"/>
    <w:rsid w:val="00D64DD1"/>
    <w:rsid w:val="00D64E4A"/>
    <w:rsid w:val="00D65054"/>
    <w:rsid w:val="00D65172"/>
    <w:rsid w:val="00D6523E"/>
    <w:rsid w:val="00D65293"/>
    <w:rsid w:val="00D65348"/>
    <w:rsid w:val="00D6540D"/>
    <w:rsid w:val="00D65422"/>
    <w:rsid w:val="00D6545F"/>
    <w:rsid w:val="00D656DA"/>
    <w:rsid w:val="00D65872"/>
    <w:rsid w:val="00D65F1F"/>
    <w:rsid w:val="00D66658"/>
    <w:rsid w:val="00D66668"/>
    <w:rsid w:val="00D667F7"/>
    <w:rsid w:val="00D668D1"/>
    <w:rsid w:val="00D668D4"/>
    <w:rsid w:val="00D66901"/>
    <w:rsid w:val="00D66AD8"/>
    <w:rsid w:val="00D66C41"/>
    <w:rsid w:val="00D66CB9"/>
    <w:rsid w:val="00D66D7D"/>
    <w:rsid w:val="00D66ED6"/>
    <w:rsid w:val="00D66F72"/>
    <w:rsid w:val="00D6715A"/>
    <w:rsid w:val="00D67176"/>
    <w:rsid w:val="00D671AC"/>
    <w:rsid w:val="00D674A3"/>
    <w:rsid w:val="00D674D4"/>
    <w:rsid w:val="00D674F3"/>
    <w:rsid w:val="00D679F3"/>
    <w:rsid w:val="00D67CC8"/>
    <w:rsid w:val="00D67F24"/>
    <w:rsid w:val="00D67F70"/>
    <w:rsid w:val="00D70551"/>
    <w:rsid w:val="00D70779"/>
    <w:rsid w:val="00D71092"/>
    <w:rsid w:val="00D7130A"/>
    <w:rsid w:val="00D71661"/>
    <w:rsid w:val="00D718D0"/>
    <w:rsid w:val="00D719AB"/>
    <w:rsid w:val="00D71A28"/>
    <w:rsid w:val="00D71BC1"/>
    <w:rsid w:val="00D71F1A"/>
    <w:rsid w:val="00D721E1"/>
    <w:rsid w:val="00D723DD"/>
    <w:rsid w:val="00D72531"/>
    <w:rsid w:val="00D728F2"/>
    <w:rsid w:val="00D72EFC"/>
    <w:rsid w:val="00D73098"/>
    <w:rsid w:val="00D73412"/>
    <w:rsid w:val="00D735F1"/>
    <w:rsid w:val="00D7373F"/>
    <w:rsid w:val="00D737BD"/>
    <w:rsid w:val="00D73A64"/>
    <w:rsid w:val="00D73A66"/>
    <w:rsid w:val="00D7405E"/>
    <w:rsid w:val="00D7430F"/>
    <w:rsid w:val="00D743DB"/>
    <w:rsid w:val="00D7456A"/>
    <w:rsid w:val="00D74660"/>
    <w:rsid w:val="00D74A5F"/>
    <w:rsid w:val="00D74C7C"/>
    <w:rsid w:val="00D74F3C"/>
    <w:rsid w:val="00D74F88"/>
    <w:rsid w:val="00D75378"/>
    <w:rsid w:val="00D7537C"/>
    <w:rsid w:val="00D7545E"/>
    <w:rsid w:val="00D7555B"/>
    <w:rsid w:val="00D75698"/>
    <w:rsid w:val="00D756AB"/>
    <w:rsid w:val="00D756C2"/>
    <w:rsid w:val="00D7589F"/>
    <w:rsid w:val="00D75B19"/>
    <w:rsid w:val="00D75BCD"/>
    <w:rsid w:val="00D75CA2"/>
    <w:rsid w:val="00D75CC4"/>
    <w:rsid w:val="00D75D8D"/>
    <w:rsid w:val="00D7691A"/>
    <w:rsid w:val="00D76BF8"/>
    <w:rsid w:val="00D77231"/>
    <w:rsid w:val="00D7731A"/>
    <w:rsid w:val="00D773DA"/>
    <w:rsid w:val="00D773DB"/>
    <w:rsid w:val="00D774FD"/>
    <w:rsid w:val="00D77651"/>
    <w:rsid w:val="00D77AD4"/>
    <w:rsid w:val="00D77F38"/>
    <w:rsid w:val="00D77F62"/>
    <w:rsid w:val="00D8054B"/>
    <w:rsid w:val="00D809B2"/>
    <w:rsid w:val="00D80A3F"/>
    <w:rsid w:val="00D80B11"/>
    <w:rsid w:val="00D80B40"/>
    <w:rsid w:val="00D80CA5"/>
    <w:rsid w:val="00D80CEF"/>
    <w:rsid w:val="00D813A7"/>
    <w:rsid w:val="00D81434"/>
    <w:rsid w:val="00D816C7"/>
    <w:rsid w:val="00D81B97"/>
    <w:rsid w:val="00D81DB7"/>
    <w:rsid w:val="00D81DCC"/>
    <w:rsid w:val="00D81FA0"/>
    <w:rsid w:val="00D82284"/>
    <w:rsid w:val="00D82341"/>
    <w:rsid w:val="00D8258D"/>
    <w:rsid w:val="00D82965"/>
    <w:rsid w:val="00D82D9B"/>
    <w:rsid w:val="00D833D3"/>
    <w:rsid w:val="00D8346E"/>
    <w:rsid w:val="00D8353A"/>
    <w:rsid w:val="00D835BE"/>
    <w:rsid w:val="00D835C9"/>
    <w:rsid w:val="00D83961"/>
    <w:rsid w:val="00D83A09"/>
    <w:rsid w:val="00D83A1B"/>
    <w:rsid w:val="00D83D0A"/>
    <w:rsid w:val="00D83DC2"/>
    <w:rsid w:val="00D844F4"/>
    <w:rsid w:val="00D84537"/>
    <w:rsid w:val="00D8480F"/>
    <w:rsid w:val="00D84B89"/>
    <w:rsid w:val="00D84CB1"/>
    <w:rsid w:val="00D8505A"/>
    <w:rsid w:val="00D8544D"/>
    <w:rsid w:val="00D8563A"/>
    <w:rsid w:val="00D8578F"/>
    <w:rsid w:val="00D85C01"/>
    <w:rsid w:val="00D860AC"/>
    <w:rsid w:val="00D86139"/>
    <w:rsid w:val="00D8632A"/>
    <w:rsid w:val="00D86657"/>
    <w:rsid w:val="00D868CE"/>
    <w:rsid w:val="00D86E88"/>
    <w:rsid w:val="00D86EB0"/>
    <w:rsid w:val="00D86F22"/>
    <w:rsid w:val="00D8735E"/>
    <w:rsid w:val="00D87418"/>
    <w:rsid w:val="00D8760C"/>
    <w:rsid w:val="00D87C10"/>
    <w:rsid w:val="00D87C29"/>
    <w:rsid w:val="00D90021"/>
    <w:rsid w:val="00D90222"/>
    <w:rsid w:val="00D905A2"/>
    <w:rsid w:val="00D91143"/>
    <w:rsid w:val="00D91254"/>
    <w:rsid w:val="00D9136B"/>
    <w:rsid w:val="00D91497"/>
    <w:rsid w:val="00D91A2D"/>
    <w:rsid w:val="00D91A7A"/>
    <w:rsid w:val="00D91B46"/>
    <w:rsid w:val="00D91D29"/>
    <w:rsid w:val="00D91EDC"/>
    <w:rsid w:val="00D91F3F"/>
    <w:rsid w:val="00D9239D"/>
    <w:rsid w:val="00D92811"/>
    <w:rsid w:val="00D92993"/>
    <w:rsid w:val="00D92E6A"/>
    <w:rsid w:val="00D932CB"/>
    <w:rsid w:val="00D9333C"/>
    <w:rsid w:val="00D93554"/>
    <w:rsid w:val="00D938EC"/>
    <w:rsid w:val="00D93A7C"/>
    <w:rsid w:val="00D93ECF"/>
    <w:rsid w:val="00D93FD6"/>
    <w:rsid w:val="00D94752"/>
    <w:rsid w:val="00D94932"/>
    <w:rsid w:val="00D94D48"/>
    <w:rsid w:val="00D94E2A"/>
    <w:rsid w:val="00D94E6A"/>
    <w:rsid w:val="00D94EE3"/>
    <w:rsid w:val="00D95177"/>
    <w:rsid w:val="00D95427"/>
    <w:rsid w:val="00D9592B"/>
    <w:rsid w:val="00D95F08"/>
    <w:rsid w:val="00D961A5"/>
    <w:rsid w:val="00D965B8"/>
    <w:rsid w:val="00D965C5"/>
    <w:rsid w:val="00D96757"/>
    <w:rsid w:val="00D967E3"/>
    <w:rsid w:val="00D9692C"/>
    <w:rsid w:val="00D96B75"/>
    <w:rsid w:val="00D9701D"/>
    <w:rsid w:val="00D9765B"/>
    <w:rsid w:val="00D9773E"/>
    <w:rsid w:val="00D977AC"/>
    <w:rsid w:val="00D97DFB"/>
    <w:rsid w:val="00D97E81"/>
    <w:rsid w:val="00D97EE7"/>
    <w:rsid w:val="00D97F17"/>
    <w:rsid w:val="00DA083C"/>
    <w:rsid w:val="00DA09F4"/>
    <w:rsid w:val="00DA0B22"/>
    <w:rsid w:val="00DA0B39"/>
    <w:rsid w:val="00DA0D78"/>
    <w:rsid w:val="00DA0E4C"/>
    <w:rsid w:val="00DA12CB"/>
    <w:rsid w:val="00DA13AA"/>
    <w:rsid w:val="00DA19FD"/>
    <w:rsid w:val="00DA23E9"/>
    <w:rsid w:val="00DA25FD"/>
    <w:rsid w:val="00DA2779"/>
    <w:rsid w:val="00DA2872"/>
    <w:rsid w:val="00DA299C"/>
    <w:rsid w:val="00DA2A46"/>
    <w:rsid w:val="00DA2B1E"/>
    <w:rsid w:val="00DA2C36"/>
    <w:rsid w:val="00DA2C3E"/>
    <w:rsid w:val="00DA2DF8"/>
    <w:rsid w:val="00DA2E09"/>
    <w:rsid w:val="00DA2E52"/>
    <w:rsid w:val="00DA2EDC"/>
    <w:rsid w:val="00DA2FC2"/>
    <w:rsid w:val="00DA31F8"/>
    <w:rsid w:val="00DA31F9"/>
    <w:rsid w:val="00DA3275"/>
    <w:rsid w:val="00DA352B"/>
    <w:rsid w:val="00DA36AD"/>
    <w:rsid w:val="00DA372E"/>
    <w:rsid w:val="00DA394A"/>
    <w:rsid w:val="00DA3ACE"/>
    <w:rsid w:val="00DA3C42"/>
    <w:rsid w:val="00DA3DE2"/>
    <w:rsid w:val="00DA3EAE"/>
    <w:rsid w:val="00DA4123"/>
    <w:rsid w:val="00DA41B7"/>
    <w:rsid w:val="00DA4227"/>
    <w:rsid w:val="00DA4233"/>
    <w:rsid w:val="00DA428D"/>
    <w:rsid w:val="00DA43D8"/>
    <w:rsid w:val="00DA4486"/>
    <w:rsid w:val="00DA47A8"/>
    <w:rsid w:val="00DA47BD"/>
    <w:rsid w:val="00DA4897"/>
    <w:rsid w:val="00DA4A2C"/>
    <w:rsid w:val="00DA4E96"/>
    <w:rsid w:val="00DA5239"/>
    <w:rsid w:val="00DA5B3F"/>
    <w:rsid w:val="00DA6154"/>
    <w:rsid w:val="00DA6183"/>
    <w:rsid w:val="00DA68AE"/>
    <w:rsid w:val="00DA69C0"/>
    <w:rsid w:val="00DA6DA0"/>
    <w:rsid w:val="00DA6F61"/>
    <w:rsid w:val="00DA6F70"/>
    <w:rsid w:val="00DA6FC9"/>
    <w:rsid w:val="00DA714E"/>
    <w:rsid w:val="00DA71B1"/>
    <w:rsid w:val="00DA748E"/>
    <w:rsid w:val="00DA74C2"/>
    <w:rsid w:val="00DA753C"/>
    <w:rsid w:val="00DA779A"/>
    <w:rsid w:val="00DA7C6E"/>
    <w:rsid w:val="00DA7DDF"/>
    <w:rsid w:val="00DA7FF5"/>
    <w:rsid w:val="00DB013B"/>
    <w:rsid w:val="00DB0301"/>
    <w:rsid w:val="00DB0865"/>
    <w:rsid w:val="00DB0C22"/>
    <w:rsid w:val="00DB0E83"/>
    <w:rsid w:val="00DB1079"/>
    <w:rsid w:val="00DB108F"/>
    <w:rsid w:val="00DB1203"/>
    <w:rsid w:val="00DB12B3"/>
    <w:rsid w:val="00DB148C"/>
    <w:rsid w:val="00DB1905"/>
    <w:rsid w:val="00DB1B78"/>
    <w:rsid w:val="00DB1E18"/>
    <w:rsid w:val="00DB1E62"/>
    <w:rsid w:val="00DB1FE5"/>
    <w:rsid w:val="00DB2161"/>
    <w:rsid w:val="00DB246D"/>
    <w:rsid w:val="00DB25D4"/>
    <w:rsid w:val="00DB26DB"/>
    <w:rsid w:val="00DB2AB1"/>
    <w:rsid w:val="00DB2B71"/>
    <w:rsid w:val="00DB2C8F"/>
    <w:rsid w:val="00DB2E91"/>
    <w:rsid w:val="00DB2FAA"/>
    <w:rsid w:val="00DB30DA"/>
    <w:rsid w:val="00DB30EC"/>
    <w:rsid w:val="00DB3329"/>
    <w:rsid w:val="00DB337D"/>
    <w:rsid w:val="00DB34E7"/>
    <w:rsid w:val="00DB37D2"/>
    <w:rsid w:val="00DB3B82"/>
    <w:rsid w:val="00DB3C22"/>
    <w:rsid w:val="00DB3D1E"/>
    <w:rsid w:val="00DB3E0C"/>
    <w:rsid w:val="00DB3EC0"/>
    <w:rsid w:val="00DB3F0C"/>
    <w:rsid w:val="00DB3F17"/>
    <w:rsid w:val="00DB4419"/>
    <w:rsid w:val="00DB4766"/>
    <w:rsid w:val="00DB4A33"/>
    <w:rsid w:val="00DB4BC5"/>
    <w:rsid w:val="00DB4CA9"/>
    <w:rsid w:val="00DB5164"/>
    <w:rsid w:val="00DB5649"/>
    <w:rsid w:val="00DB57A9"/>
    <w:rsid w:val="00DB5A31"/>
    <w:rsid w:val="00DB62C0"/>
    <w:rsid w:val="00DB65CE"/>
    <w:rsid w:val="00DB66E3"/>
    <w:rsid w:val="00DB6787"/>
    <w:rsid w:val="00DB69B3"/>
    <w:rsid w:val="00DB6A3B"/>
    <w:rsid w:val="00DB6CBF"/>
    <w:rsid w:val="00DB6E3E"/>
    <w:rsid w:val="00DB7052"/>
    <w:rsid w:val="00DB709A"/>
    <w:rsid w:val="00DB7119"/>
    <w:rsid w:val="00DB77E4"/>
    <w:rsid w:val="00DB788F"/>
    <w:rsid w:val="00DB795A"/>
    <w:rsid w:val="00DB7D5C"/>
    <w:rsid w:val="00DC0186"/>
    <w:rsid w:val="00DC0335"/>
    <w:rsid w:val="00DC0513"/>
    <w:rsid w:val="00DC0768"/>
    <w:rsid w:val="00DC0FE0"/>
    <w:rsid w:val="00DC10E4"/>
    <w:rsid w:val="00DC1531"/>
    <w:rsid w:val="00DC1804"/>
    <w:rsid w:val="00DC19B7"/>
    <w:rsid w:val="00DC1BCC"/>
    <w:rsid w:val="00DC1CD6"/>
    <w:rsid w:val="00DC1D3D"/>
    <w:rsid w:val="00DC205E"/>
    <w:rsid w:val="00DC22B3"/>
    <w:rsid w:val="00DC23C8"/>
    <w:rsid w:val="00DC23EC"/>
    <w:rsid w:val="00DC2552"/>
    <w:rsid w:val="00DC37F3"/>
    <w:rsid w:val="00DC380A"/>
    <w:rsid w:val="00DC3DC1"/>
    <w:rsid w:val="00DC3DFC"/>
    <w:rsid w:val="00DC3F37"/>
    <w:rsid w:val="00DC4868"/>
    <w:rsid w:val="00DC4AF0"/>
    <w:rsid w:val="00DC4B9D"/>
    <w:rsid w:val="00DC4EE8"/>
    <w:rsid w:val="00DC4FE1"/>
    <w:rsid w:val="00DC5175"/>
    <w:rsid w:val="00DC57C8"/>
    <w:rsid w:val="00DC581D"/>
    <w:rsid w:val="00DC5875"/>
    <w:rsid w:val="00DC5BAE"/>
    <w:rsid w:val="00DC5F70"/>
    <w:rsid w:val="00DC6179"/>
    <w:rsid w:val="00DC6673"/>
    <w:rsid w:val="00DC6700"/>
    <w:rsid w:val="00DC67F2"/>
    <w:rsid w:val="00DC68D0"/>
    <w:rsid w:val="00DC6BE9"/>
    <w:rsid w:val="00DC6EC6"/>
    <w:rsid w:val="00DC7258"/>
    <w:rsid w:val="00DC7580"/>
    <w:rsid w:val="00DC7A45"/>
    <w:rsid w:val="00DC7B45"/>
    <w:rsid w:val="00DC7E71"/>
    <w:rsid w:val="00DC7EAD"/>
    <w:rsid w:val="00DD00E5"/>
    <w:rsid w:val="00DD0101"/>
    <w:rsid w:val="00DD033B"/>
    <w:rsid w:val="00DD063E"/>
    <w:rsid w:val="00DD07AF"/>
    <w:rsid w:val="00DD08EA"/>
    <w:rsid w:val="00DD0DFD"/>
    <w:rsid w:val="00DD0E36"/>
    <w:rsid w:val="00DD0F45"/>
    <w:rsid w:val="00DD0F79"/>
    <w:rsid w:val="00DD0FDD"/>
    <w:rsid w:val="00DD11D2"/>
    <w:rsid w:val="00DD1216"/>
    <w:rsid w:val="00DD1233"/>
    <w:rsid w:val="00DD1285"/>
    <w:rsid w:val="00DD12E2"/>
    <w:rsid w:val="00DD12FA"/>
    <w:rsid w:val="00DD151F"/>
    <w:rsid w:val="00DD165A"/>
    <w:rsid w:val="00DD194E"/>
    <w:rsid w:val="00DD1B46"/>
    <w:rsid w:val="00DD1DFC"/>
    <w:rsid w:val="00DD2007"/>
    <w:rsid w:val="00DD2164"/>
    <w:rsid w:val="00DD21BD"/>
    <w:rsid w:val="00DD246F"/>
    <w:rsid w:val="00DD249F"/>
    <w:rsid w:val="00DD25DB"/>
    <w:rsid w:val="00DD2773"/>
    <w:rsid w:val="00DD30FF"/>
    <w:rsid w:val="00DD3566"/>
    <w:rsid w:val="00DD3648"/>
    <w:rsid w:val="00DD3876"/>
    <w:rsid w:val="00DD3F04"/>
    <w:rsid w:val="00DD4033"/>
    <w:rsid w:val="00DD4053"/>
    <w:rsid w:val="00DD4232"/>
    <w:rsid w:val="00DD448B"/>
    <w:rsid w:val="00DD4A2F"/>
    <w:rsid w:val="00DD4FC6"/>
    <w:rsid w:val="00DD5086"/>
    <w:rsid w:val="00DD514F"/>
    <w:rsid w:val="00DD525F"/>
    <w:rsid w:val="00DD5300"/>
    <w:rsid w:val="00DD5644"/>
    <w:rsid w:val="00DD566A"/>
    <w:rsid w:val="00DD5C07"/>
    <w:rsid w:val="00DD5DDF"/>
    <w:rsid w:val="00DD5EAF"/>
    <w:rsid w:val="00DD6621"/>
    <w:rsid w:val="00DD686D"/>
    <w:rsid w:val="00DD6943"/>
    <w:rsid w:val="00DD69BE"/>
    <w:rsid w:val="00DD6C14"/>
    <w:rsid w:val="00DD6C26"/>
    <w:rsid w:val="00DD6C57"/>
    <w:rsid w:val="00DD6DF2"/>
    <w:rsid w:val="00DD6E12"/>
    <w:rsid w:val="00DD6ECD"/>
    <w:rsid w:val="00DD6F11"/>
    <w:rsid w:val="00DD7068"/>
    <w:rsid w:val="00DD7147"/>
    <w:rsid w:val="00DD74E3"/>
    <w:rsid w:val="00DD76E0"/>
    <w:rsid w:val="00DD7D8A"/>
    <w:rsid w:val="00DD7E3A"/>
    <w:rsid w:val="00DE0001"/>
    <w:rsid w:val="00DE0113"/>
    <w:rsid w:val="00DE0326"/>
    <w:rsid w:val="00DE038D"/>
    <w:rsid w:val="00DE0485"/>
    <w:rsid w:val="00DE05DE"/>
    <w:rsid w:val="00DE06A8"/>
    <w:rsid w:val="00DE0B7D"/>
    <w:rsid w:val="00DE0DF5"/>
    <w:rsid w:val="00DE0FE7"/>
    <w:rsid w:val="00DE132C"/>
    <w:rsid w:val="00DE137B"/>
    <w:rsid w:val="00DE1671"/>
    <w:rsid w:val="00DE17AD"/>
    <w:rsid w:val="00DE187A"/>
    <w:rsid w:val="00DE18D8"/>
    <w:rsid w:val="00DE19D0"/>
    <w:rsid w:val="00DE1A55"/>
    <w:rsid w:val="00DE1B0A"/>
    <w:rsid w:val="00DE1DBB"/>
    <w:rsid w:val="00DE1FE2"/>
    <w:rsid w:val="00DE2144"/>
    <w:rsid w:val="00DE2461"/>
    <w:rsid w:val="00DE249C"/>
    <w:rsid w:val="00DE2AB0"/>
    <w:rsid w:val="00DE2D91"/>
    <w:rsid w:val="00DE34BB"/>
    <w:rsid w:val="00DE3812"/>
    <w:rsid w:val="00DE3980"/>
    <w:rsid w:val="00DE4189"/>
    <w:rsid w:val="00DE4564"/>
    <w:rsid w:val="00DE4825"/>
    <w:rsid w:val="00DE4A72"/>
    <w:rsid w:val="00DE4A77"/>
    <w:rsid w:val="00DE4AF3"/>
    <w:rsid w:val="00DE4FEF"/>
    <w:rsid w:val="00DE50BF"/>
    <w:rsid w:val="00DE513F"/>
    <w:rsid w:val="00DE5492"/>
    <w:rsid w:val="00DE5516"/>
    <w:rsid w:val="00DE585F"/>
    <w:rsid w:val="00DE58AE"/>
    <w:rsid w:val="00DE5ABB"/>
    <w:rsid w:val="00DE5C53"/>
    <w:rsid w:val="00DE6196"/>
    <w:rsid w:val="00DE61C4"/>
    <w:rsid w:val="00DE63C6"/>
    <w:rsid w:val="00DE673A"/>
    <w:rsid w:val="00DE6862"/>
    <w:rsid w:val="00DE6B7B"/>
    <w:rsid w:val="00DE7214"/>
    <w:rsid w:val="00DE7512"/>
    <w:rsid w:val="00DE7631"/>
    <w:rsid w:val="00DE7972"/>
    <w:rsid w:val="00DE79EA"/>
    <w:rsid w:val="00DE7D60"/>
    <w:rsid w:val="00DF05FF"/>
    <w:rsid w:val="00DF06F9"/>
    <w:rsid w:val="00DF0944"/>
    <w:rsid w:val="00DF0BB7"/>
    <w:rsid w:val="00DF11B9"/>
    <w:rsid w:val="00DF164C"/>
    <w:rsid w:val="00DF1CE9"/>
    <w:rsid w:val="00DF1D4D"/>
    <w:rsid w:val="00DF1F06"/>
    <w:rsid w:val="00DF1FEC"/>
    <w:rsid w:val="00DF2046"/>
    <w:rsid w:val="00DF2278"/>
    <w:rsid w:val="00DF2391"/>
    <w:rsid w:val="00DF241B"/>
    <w:rsid w:val="00DF246A"/>
    <w:rsid w:val="00DF249A"/>
    <w:rsid w:val="00DF27F3"/>
    <w:rsid w:val="00DF2C14"/>
    <w:rsid w:val="00DF2C90"/>
    <w:rsid w:val="00DF31A2"/>
    <w:rsid w:val="00DF31C4"/>
    <w:rsid w:val="00DF3DBB"/>
    <w:rsid w:val="00DF3E52"/>
    <w:rsid w:val="00DF4565"/>
    <w:rsid w:val="00DF4678"/>
    <w:rsid w:val="00DF4ADB"/>
    <w:rsid w:val="00DF4CA1"/>
    <w:rsid w:val="00DF4DBB"/>
    <w:rsid w:val="00DF4E42"/>
    <w:rsid w:val="00DF5223"/>
    <w:rsid w:val="00DF53DA"/>
    <w:rsid w:val="00DF53F1"/>
    <w:rsid w:val="00DF585D"/>
    <w:rsid w:val="00DF5863"/>
    <w:rsid w:val="00DF5953"/>
    <w:rsid w:val="00DF59D1"/>
    <w:rsid w:val="00DF5D5F"/>
    <w:rsid w:val="00DF5F59"/>
    <w:rsid w:val="00DF6070"/>
    <w:rsid w:val="00DF6145"/>
    <w:rsid w:val="00DF648F"/>
    <w:rsid w:val="00DF6491"/>
    <w:rsid w:val="00DF6580"/>
    <w:rsid w:val="00DF6653"/>
    <w:rsid w:val="00DF66C3"/>
    <w:rsid w:val="00DF6714"/>
    <w:rsid w:val="00DF676B"/>
    <w:rsid w:val="00DF68F3"/>
    <w:rsid w:val="00DF6922"/>
    <w:rsid w:val="00DF6B3F"/>
    <w:rsid w:val="00DF6D55"/>
    <w:rsid w:val="00DF6DE8"/>
    <w:rsid w:val="00DF6F87"/>
    <w:rsid w:val="00DF71BD"/>
    <w:rsid w:val="00DF75A1"/>
    <w:rsid w:val="00DF7821"/>
    <w:rsid w:val="00DF79C1"/>
    <w:rsid w:val="00DF79D7"/>
    <w:rsid w:val="00DF79E7"/>
    <w:rsid w:val="00DF7C76"/>
    <w:rsid w:val="00DF7D36"/>
    <w:rsid w:val="00DF7D79"/>
    <w:rsid w:val="00DF7E39"/>
    <w:rsid w:val="00DF7F0A"/>
    <w:rsid w:val="00E0003F"/>
    <w:rsid w:val="00E000CA"/>
    <w:rsid w:val="00E002F6"/>
    <w:rsid w:val="00E00AA6"/>
    <w:rsid w:val="00E00C4F"/>
    <w:rsid w:val="00E00D81"/>
    <w:rsid w:val="00E00F8F"/>
    <w:rsid w:val="00E01361"/>
    <w:rsid w:val="00E01370"/>
    <w:rsid w:val="00E015BD"/>
    <w:rsid w:val="00E01714"/>
    <w:rsid w:val="00E018AD"/>
    <w:rsid w:val="00E01A1A"/>
    <w:rsid w:val="00E01B55"/>
    <w:rsid w:val="00E01B85"/>
    <w:rsid w:val="00E01C42"/>
    <w:rsid w:val="00E01ED7"/>
    <w:rsid w:val="00E02037"/>
    <w:rsid w:val="00E020FB"/>
    <w:rsid w:val="00E021AD"/>
    <w:rsid w:val="00E022C9"/>
    <w:rsid w:val="00E02993"/>
    <w:rsid w:val="00E029C9"/>
    <w:rsid w:val="00E02A5D"/>
    <w:rsid w:val="00E02C52"/>
    <w:rsid w:val="00E02EF4"/>
    <w:rsid w:val="00E03173"/>
    <w:rsid w:val="00E0356A"/>
    <w:rsid w:val="00E036A6"/>
    <w:rsid w:val="00E038AB"/>
    <w:rsid w:val="00E03C75"/>
    <w:rsid w:val="00E03E7B"/>
    <w:rsid w:val="00E03F98"/>
    <w:rsid w:val="00E04130"/>
    <w:rsid w:val="00E04279"/>
    <w:rsid w:val="00E04707"/>
    <w:rsid w:val="00E04A45"/>
    <w:rsid w:val="00E04BD1"/>
    <w:rsid w:val="00E04C1D"/>
    <w:rsid w:val="00E04C3F"/>
    <w:rsid w:val="00E04C5F"/>
    <w:rsid w:val="00E04D89"/>
    <w:rsid w:val="00E051F2"/>
    <w:rsid w:val="00E0531A"/>
    <w:rsid w:val="00E054BA"/>
    <w:rsid w:val="00E05564"/>
    <w:rsid w:val="00E056FC"/>
    <w:rsid w:val="00E05931"/>
    <w:rsid w:val="00E05A2A"/>
    <w:rsid w:val="00E05B09"/>
    <w:rsid w:val="00E05BA0"/>
    <w:rsid w:val="00E05D0D"/>
    <w:rsid w:val="00E05D32"/>
    <w:rsid w:val="00E06414"/>
    <w:rsid w:val="00E06497"/>
    <w:rsid w:val="00E065BE"/>
    <w:rsid w:val="00E06603"/>
    <w:rsid w:val="00E06809"/>
    <w:rsid w:val="00E06C44"/>
    <w:rsid w:val="00E06E57"/>
    <w:rsid w:val="00E06E7C"/>
    <w:rsid w:val="00E072A4"/>
    <w:rsid w:val="00E072BF"/>
    <w:rsid w:val="00E07822"/>
    <w:rsid w:val="00E07AFB"/>
    <w:rsid w:val="00E07BFA"/>
    <w:rsid w:val="00E1021B"/>
    <w:rsid w:val="00E1056F"/>
    <w:rsid w:val="00E105F0"/>
    <w:rsid w:val="00E1071F"/>
    <w:rsid w:val="00E10AAD"/>
    <w:rsid w:val="00E1100F"/>
    <w:rsid w:val="00E110D5"/>
    <w:rsid w:val="00E11384"/>
    <w:rsid w:val="00E114B4"/>
    <w:rsid w:val="00E118D1"/>
    <w:rsid w:val="00E1199B"/>
    <w:rsid w:val="00E11AAB"/>
    <w:rsid w:val="00E11C2C"/>
    <w:rsid w:val="00E11D79"/>
    <w:rsid w:val="00E11F70"/>
    <w:rsid w:val="00E121B5"/>
    <w:rsid w:val="00E12280"/>
    <w:rsid w:val="00E12765"/>
    <w:rsid w:val="00E128D1"/>
    <w:rsid w:val="00E12AB7"/>
    <w:rsid w:val="00E12B73"/>
    <w:rsid w:val="00E12C91"/>
    <w:rsid w:val="00E12F1E"/>
    <w:rsid w:val="00E12F7F"/>
    <w:rsid w:val="00E12F81"/>
    <w:rsid w:val="00E12FB6"/>
    <w:rsid w:val="00E13252"/>
    <w:rsid w:val="00E1329B"/>
    <w:rsid w:val="00E13550"/>
    <w:rsid w:val="00E1359C"/>
    <w:rsid w:val="00E13A4A"/>
    <w:rsid w:val="00E13A4E"/>
    <w:rsid w:val="00E13AA2"/>
    <w:rsid w:val="00E13C6F"/>
    <w:rsid w:val="00E13E8F"/>
    <w:rsid w:val="00E1429E"/>
    <w:rsid w:val="00E143CF"/>
    <w:rsid w:val="00E1454D"/>
    <w:rsid w:val="00E1473B"/>
    <w:rsid w:val="00E1485D"/>
    <w:rsid w:val="00E14B29"/>
    <w:rsid w:val="00E14CB5"/>
    <w:rsid w:val="00E14CF3"/>
    <w:rsid w:val="00E14D12"/>
    <w:rsid w:val="00E14DEC"/>
    <w:rsid w:val="00E14E75"/>
    <w:rsid w:val="00E153E9"/>
    <w:rsid w:val="00E15B83"/>
    <w:rsid w:val="00E15C63"/>
    <w:rsid w:val="00E15C97"/>
    <w:rsid w:val="00E15DC5"/>
    <w:rsid w:val="00E16004"/>
    <w:rsid w:val="00E16282"/>
    <w:rsid w:val="00E1630C"/>
    <w:rsid w:val="00E16525"/>
    <w:rsid w:val="00E166C5"/>
    <w:rsid w:val="00E16A51"/>
    <w:rsid w:val="00E16AA2"/>
    <w:rsid w:val="00E16B0D"/>
    <w:rsid w:val="00E16B22"/>
    <w:rsid w:val="00E17014"/>
    <w:rsid w:val="00E17265"/>
    <w:rsid w:val="00E17392"/>
    <w:rsid w:val="00E1748E"/>
    <w:rsid w:val="00E17940"/>
    <w:rsid w:val="00E17AD2"/>
    <w:rsid w:val="00E17D23"/>
    <w:rsid w:val="00E17D59"/>
    <w:rsid w:val="00E17EB4"/>
    <w:rsid w:val="00E20660"/>
    <w:rsid w:val="00E2085D"/>
    <w:rsid w:val="00E20887"/>
    <w:rsid w:val="00E21713"/>
    <w:rsid w:val="00E21727"/>
    <w:rsid w:val="00E2174A"/>
    <w:rsid w:val="00E21A3C"/>
    <w:rsid w:val="00E21AB7"/>
    <w:rsid w:val="00E21D17"/>
    <w:rsid w:val="00E2219D"/>
    <w:rsid w:val="00E2242F"/>
    <w:rsid w:val="00E22498"/>
    <w:rsid w:val="00E224A0"/>
    <w:rsid w:val="00E2277F"/>
    <w:rsid w:val="00E22979"/>
    <w:rsid w:val="00E22D79"/>
    <w:rsid w:val="00E231CB"/>
    <w:rsid w:val="00E23482"/>
    <w:rsid w:val="00E234AF"/>
    <w:rsid w:val="00E234DA"/>
    <w:rsid w:val="00E234EF"/>
    <w:rsid w:val="00E23A6A"/>
    <w:rsid w:val="00E23ADC"/>
    <w:rsid w:val="00E23B87"/>
    <w:rsid w:val="00E23B89"/>
    <w:rsid w:val="00E23C1F"/>
    <w:rsid w:val="00E23FC1"/>
    <w:rsid w:val="00E245B6"/>
    <w:rsid w:val="00E247A3"/>
    <w:rsid w:val="00E25553"/>
    <w:rsid w:val="00E256C2"/>
    <w:rsid w:val="00E259EF"/>
    <w:rsid w:val="00E25C08"/>
    <w:rsid w:val="00E25D86"/>
    <w:rsid w:val="00E25EF1"/>
    <w:rsid w:val="00E26085"/>
    <w:rsid w:val="00E261E4"/>
    <w:rsid w:val="00E2635B"/>
    <w:rsid w:val="00E26361"/>
    <w:rsid w:val="00E2646C"/>
    <w:rsid w:val="00E2663A"/>
    <w:rsid w:val="00E267D4"/>
    <w:rsid w:val="00E26860"/>
    <w:rsid w:val="00E26E84"/>
    <w:rsid w:val="00E2718B"/>
    <w:rsid w:val="00E2751A"/>
    <w:rsid w:val="00E2755A"/>
    <w:rsid w:val="00E27766"/>
    <w:rsid w:val="00E27BE7"/>
    <w:rsid w:val="00E27D16"/>
    <w:rsid w:val="00E27E61"/>
    <w:rsid w:val="00E3015F"/>
    <w:rsid w:val="00E30327"/>
    <w:rsid w:val="00E30613"/>
    <w:rsid w:val="00E30684"/>
    <w:rsid w:val="00E30898"/>
    <w:rsid w:val="00E30CB8"/>
    <w:rsid w:val="00E30D42"/>
    <w:rsid w:val="00E3163D"/>
    <w:rsid w:val="00E31697"/>
    <w:rsid w:val="00E317F5"/>
    <w:rsid w:val="00E31810"/>
    <w:rsid w:val="00E31DC1"/>
    <w:rsid w:val="00E31E3D"/>
    <w:rsid w:val="00E3249D"/>
    <w:rsid w:val="00E326A4"/>
    <w:rsid w:val="00E326C4"/>
    <w:rsid w:val="00E32915"/>
    <w:rsid w:val="00E329EA"/>
    <w:rsid w:val="00E32AC2"/>
    <w:rsid w:val="00E32D3A"/>
    <w:rsid w:val="00E32E3E"/>
    <w:rsid w:val="00E32FF2"/>
    <w:rsid w:val="00E33074"/>
    <w:rsid w:val="00E33311"/>
    <w:rsid w:val="00E3341D"/>
    <w:rsid w:val="00E3346A"/>
    <w:rsid w:val="00E33670"/>
    <w:rsid w:val="00E33C21"/>
    <w:rsid w:val="00E33DA6"/>
    <w:rsid w:val="00E34128"/>
    <w:rsid w:val="00E34276"/>
    <w:rsid w:val="00E3447F"/>
    <w:rsid w:val="00E344BF"/>
    <w:rsid w:val="00E3454D"/>
    <w:rsid w:val="00E34A7F"/>
    <w:rsid w:val="00E34CB2"/>
    <w:rsid w:val="00E34EE9"/>
    <w:rsid w:val="00E34F48"/>
    <w:rsid w:val="00E350E2"/>
    <w:rsid w:val="00E3512D"/>
    <w:rsid w:val="00E35258"/>
    <w:rsid w:val="00E35542"/>
    <w:rsid w:val="00E35635"/>
    <w:rsid w:val="00E356A3"/>
    <w:rsid w:val="00E356BF"/>
    <w:rsid w:val="00E35C09"/>
    <w:rsid w:val="00E362FA"/>
    <w:rsid w:val="00E3692A"/>
    <w:rsid w:val="00E36940"/>
    <w:rsid w:val="00E36A54"/>
    <w:rsid w:val="00E36C50"/>
    <w:rsid w:val="00E36D36"/>
    <w:rsid w:val="00E36E45"/>
    <w:rsid w:val="00E371A8"/>
    <w:rsid w:val="00E373CD"/>
    <w:rsid w:val="00E37522"/>
    <w:rsid w:val="00E37559"/>
    <w:rsid w:val="00E377A9"/>
    <w:rsid w:val="00E37A35"/>
    <w:rsid w:val="00E409ED"/>
    <w:rsid w:val="00E40F1D"/>
    <w:rsid w:val="00E41406"/>
    <w:rsid w:val="00E416E4"/>
    <w:rsid w:val="00E41795"/>
    <w:rsid w:val="00E41C41"/>
    <w:rsid w:val="00E41CA5"/>
    <w:rsid w:val="00E41D02"/>
    <w:rsid w:val="00E42A86"/>
    <w:rsid w:val="00E42B1F"/>
    <w:rsid w:val="00E42C78"/>
    <w:rsid w:val="00E42CCA"/>
    <w:rsid w:val="00E42DDC"/>
    <w:rsid w:val="00E42EE8"/>
    <w:rsid w:val="00E42F34"/>
    <w:rsid w:val="00E4312F"/>
    <w:rsid w:val="00E431BC"/>
    <w:rsid w:val="00E43417"/>
    <w:rsid w:val="00E4344E"/>
    <w:rsid w:val="00E4352B"/>
    <w:rsid w:val="00E438DF"/>
    <w:rsid w:val="00E439BC"/>
    <w:rsid w:val="00E44183"/>
    <w:rsid w:val="00E44487"/>
    <w:rsid w:val="00E4474C"/>
    <w:rsid w:val="00E44922"/>
    <w:rsid w:val="00E44967"/>
    <w:rsid w:val="00E451A3"/>
    <w:rsid w:val="00E452F9"/>
    <w:rsid w:val="00E4557A"/>
    <w:rsid w:val="00E45653"/>
    <w:rsid w:val="00E4591A"/>
    <w:rsid w:val="00E46119"/>
    <w:rsid w:val="00E461B4"/>
    <w:rsid w:val="00E46463"/>
    <w:rsid w:val="00E464B7"/>
    <w:rsid w:val="00E4689B"/>
    <w:rsid w:val="00E46A18"/>
    <w:rsid w:val="00E47317"/>
    <w:rsid w:val="00E47B2B"/>
    <w:rsid w:val="00E47BD3"/>
    <w:rsid w:val="00E47C8A"/>
    <w:rsid w:val="00E47CE2"/>
    <w:rsid w:val="00E47D92"/>
    <w:rsid w:val="00E502EA"/>
    <w:rsid w:val="00E504F7"/>
    <w:rsid w:val="00E50577"/>
    <w:rsid w:val="00E5074A"/>
    <w:rsid w:val="00E508D0"/>
    <w:rsid w:val="00E50957"/>
    <w:rsid w:val="00E50DE0"/>
    <w:rsid w:val="00E50EE4"/>
    <w:rsid w:val="00E50EE6"/>
    <w:rsid w:val="00E50FA6"/>
    <w:rsid w:val="00E51214"/>
    <w:rsid w:val="00E5132C"/>
    <w:rsid w:val="00E514A2"/>
    <w:rsid w:val="00E514EE"/>
    <w:rsid w:val="00E51765"/>
    <w:rsid w:val="00E51C80"/>
    <w:rsid w:val="00E51D0F"/>
    <w:rsid w:val="00E52256"/>
    <w:rsid w:val="00E52637"/>
    <w:rsid w:val="00E528C1"/>
    <w:rsid w:val="00E5292D"/>
    <w:rsid w:val="00E52CDA"/>
    <w:rsid w:val="00E52F0F"/>
    <w:rsid w:val="00E52F3B"/>
    <w:rsid w:val="00E5305A"/>
    <w:rsid w:val="00E53073"/>
    <w:rsid w:val="00E532F9"/>
    <w:rsid w:val="00E5330B"/>
    <w:rsid w:val="00E53400"/>
    <w:rsid w:val="00E5376A"/>
    <w:rsid w:val="00E53B22"/>
    <w:rsid w:val="00E53F4C"/>
    <w:rsid w:val="00E5407B"/>
    <w:rsid w:val="00E544D6"/>
    <w:rsid w:val="00E5456D"/>
    <w:rsid w:val="00E54829"/>
    <w:rsid w:val="00E5498C"/>
    <w:rsid w:val="00E549A2"/>
    <w:rsid w:val="00E54A42"/>
    <w:rsid w:val="00E54B62"/>
    <w:rsid w:val="00E54C3F"/>
    <w:rsid w:val="00E550F3"/>
    <w:rsid w:val="00E5544B"/>
    <w:rsid w:val="00E55467"/>
    <w:rsid w:val="00E554C2"/>
    <w:rsid w:val="00E55670"/>
    <w:rsid w:val="00E5595D"/>
    <w:rsid w:val="00E55BEB"/>
    <w:rsid w:val="00E55C76"/>
    <w:rsid w:val="00E55DD3"/>
    <w:rsid w:val="00E560B0"/>
    <w:rsid w:val="00E5614A"/>
    <w:rsid w:val="00E5621E"/>
    <w:rsid w:val="00E56676"/>
    <w:rsid w:val="00E5668F"/>
    <w:rsid w:val="00E5669F"/>
    <w:rsid w:val="00E56AF7"/>
    <w:rsid w:val="00E56D3D"/>
    <w:rsid w:val="00E57614"/>
    <w:rsid w:val="00E57705"/>
    <w:rsid w:val="00E57778"/>
    <w:rsid w:val="00E5782B"/>
    <w:rsid w:val="00E57A46"/>
    <w:rsid w:val="00E57A89"/>
    <w:rsid w:val="00E57CA3"/>
    <w:rsid w:val="00E57EDB"/>
    <w:rsid w:val="00E60017"/>
    <w:rsid w:val="00E600BD"/>
    <w:rsid w:val="00E6036B"/>
    <w:rsid w:val="00E603B5"/>
    <w:rsid w:val="00E607DB"/>
    <w:rsid w:val="00E60841"/>
    <w:rsid w:val="00E608FA"/>
    <w:rsid w:val="00E60B70"/>
    <w:rsid w:val="00E60BA9"/>
    <w:rsid w:val="00E61047"/>
    <w:rsid w:val="00E611B2"/>
    <w:rsid w:val="00E616D4"/>
    <w:rsid w:val="00E6193F"/>
    <w:rsid w:val="00E61FA1"/>
    <w:rsid w:val="00E6214A"/>
    <w:rsid w:val="00E6244B"/>
    <w:rsid w:val="00E62488"/>
    <w:rsid w:val="00E6260D"/>
    <w:rsid w:val="00E62899"/>
    <w:rsid w:val="00E62A11"/>
    <w:rsid w:val="00E6326F"/>
    <w:rsid w:val="00E632AF"/>
    <w:rsid w:val="00E63414"/>
    <w:rsid w:val="00E63652"/>
    <w:rsid w:val="00E636A0"/>
    <w:rsid w:val="00E63995"/>
    <w:rsid w:val="00E63A3B"/>
    <w:rsid w:val="00E63FF8"/>
    <w:rsid w:val="00E64086"/>
    <w:rsid w:val="00E64250"/>
    <w:rsid w:val="00E6429D"/>
    <w:rsid w:val="00E644E6"/>
    <w:rsid w:val="00E6453C"/>
    <w:rsid w:val="00E6497B"/>
    <w:rsid w:val="00E64B38"/>
    <w:rsid w:val="00E64DB4"/>
    <w:rsid w:val="00E650C4"/>
    <w:rsid w:val="00E65344"/>
    <w:rsid w:val="00E65408"/>
    <w:rsid w:val="00E654DF"/>
    <w:rsid w:val="00E655BC"/>
    <w:rsid w:val="00E658A0"/>
    <w:rsid w:val="00E65B5D"/>
    <w:rsid w:val="00E65B97"/>
    <w:rsid w:val="00E665FF"/>
    <w:rsid w:val="00E66699"/>
    <w:rsid w:val="00E668DF"/>
    <w:rsid w:val="00E66944"/>
    <w:rsid w:val="00E66AC3"/>
    <w:rsid w:val="00E66BE5"/>
    <w:rsid w:val="00E66D9C"/>
    <w:rsid w:val="00E66DCD"/>
    <w:rsid w:val="00E66ED2"/>
    <w:rsid w:val="00E6722D"/>
    <w:rsid w:val="00E672DC"/>
    <w:rsid w:val="00E6778E"/>
    <w:rsid w:val="00E67888"/>
    <w:rsid w:val="00E67B8D"/>
    <w:rsid w:val="00E67CE6"/>
    <w:rsid w:val="00E67DB6"/>
    <w:rsid w:val="00E70008"/>
    <w:rsid w:val="00E706F3"/>
    <w:rsid w:val="00E70B39"/>
    <w:rsid w:val="00E70D41"/>
    <w:rsid w:val="00E70DC1"/>
    <w:rsid w:val="00E71070"/>
    <w:rsid w:val="00E7128C"/>
    <w:rsid w:val="00E712FF"/>
    <w:rsid w:val="00E714FD"/>
    <w:rsid w:val="00E71E57"/>
    <w:rsid w:val="00E71EC8"/>
    <w:rsid w:val="00E72007"/>
    <w:rsid w:val="00E7213C"/>
    <w:rsid w:val="00E722E6"/>
    <w:rsid w:val="00E72347"/>
    <w:rsid w:val="00E729F5"/>
    <w:rsid w:val="00E72B00"/>
    <w:rsid w:val="00E72BE5"/>
    <w:rsid w:val="00E72F76"/>
    <w:rsid w:val="00E731F3"/>
    <w:rsid w:val="00E73264"/>
    <w:rsid w:val="00E732DD"/>
    <w:rsid w:val="00E7342E"/>
    <w:rsid w:val="00E73947"/>
    <w:rsid w:val="00E73D92"/>
    <w:rsid w:val="00E741CA"/>
    <w:rsid w:val="00E74702"/>
    <w:rsid w:val="00E748B7"/>
    <w:rsid w:val="00E7497C"/>
    <w:rsid w:val="00E749C1"/>
    <w:rsid w:val="00E749EE"/>
    <w:rsid w:val="00E74A67"/>
    <w:rsid w:val="00E74BFB"/>
    <w:rsid w:val="00E74CD8"/>
    <w:rsid w:val="00E74EE2"/>
    <w:rsid w:val="00E7500B"/>
    <w:rsid w:val="00E7547A"/>
    <w:rsid w:val="00E75A9B"/>
    <w:rsid w:val="00E75D43"/>
    <w:rsid w:val="00E75F09"/>
    <w:rsid w:val="00E75F49"/>
    <w:rsid w:val="00E76003"/>
    <w:rsid w:val="00E762BF"/>
    <w:rsid w:val="00E7652D"/>
    <w:rsid w:val="00E7654A"/>
    <w:rsid w:val="00E7660F"/>
    <w:rsid w:val="00E76A1B"/>
    <w:rsid w:val="00E76A66"/>
    <w:rsid w:val="00E76CAE"/>
    <w:rsid w:val="00E76E34"/>
    <w:rsid w:val="00E76F45"/>
    <w:rsid w:val="00E771A3"/>
    <w:rsid w:val="00E772C9"/>
    <w:rsid w:val="00E7748F"/>
    <w:rsid w:val="00E77805"/>
    <w:rsid w:val="00E77ACC"/>
    <w:rsid w:val="00E77E7B"/>
    <w:rsid w:val="00E80011"/>
    <w:rsid w:val="00E809A7"/>
    <w:rsid w:val="00E80BBA"/>
    <w:rsid w:val="00E80D56"/>
    <w:rsid w:val="00E81014"/>
    <w:rsid w:val="00E812FC"/>
    <w:rsid w:val="00E814C1"/>
    <w:rsid w:val="00E814D3"/>
    <w:rsid w:val="00E81964"/>
    <w:rsid w:val="00E81ACB"/>
    <w:rsid w:val="00E81FDB"/>
    <w:rsid w:val="00E81FFB"/>
    <w:rsid w:val="00E823CD"/>
    <w:rsid w:val="00E823DE"/>
    <w:rsid w:val="00E82656"/>
    <w:rsid w:val="00E828D5"/>
    <w:rsid w:val="00E828ED"/>
    <w:rsid w:val="00E82D2B"/>
    <w:rsid w:val="00E83150"/>
    <w:rsid w:val="00E83249"/>
    <w:rsid w:val="00E83338"/>
    <w:rsid w:val="00E833F7"/>
    <w:rsid w:val="00E8366C"/>
    <w:rsid w:val="00E837D4"/>
    <w:rsid w:val="00E837E0"/>
    <w:rsid w:val="00E83AE7"/>
    <w:rsid w:val="00E83E09"/>
    <w:rsid w:val="00E83EB9"/>
    <w:rsid w:val="00E840DD"/>
    <w:rsid w:val="00E84388"/>
    <w:rsid w:val="00E84516"/>
    <w:rsid w:val="00E84B0E"/>
    <w:rsid w:val="00E84B19"/>
    <w:rsid w:val="00E84DBD"/>
    <w:rsid w:val="00E8508A"/>
    <w:rsid w:val="00E851B7"/>
    <w:rsid w:val="00E85688"/>
    <w:rsid w:val="00E858EF"/>
    <w:rsid w:val="00E8591A"/>
    <w:rsid w:val="00E859F9"/>
    <w:rsid w:val="00E85B00"/>
    <w:rsid w:val="00E8647F"/>
    <w:rsid w:val="00E8675A"/>
    <w:rsid w:val="00E869D3"/>
    <w:rsid w:val="00E86CA9"/>
    <w:rsid w:val="00E86D27"/>
    <w:rsid w:val="00E86DA4"/>
    <w:rsid w:val="00E86E6A"/>
    <w:rsid w:val="00E8708E"/>
    <w:rsid w:val="00E874E6"/>
    <w:rsid w:val="00E875EE"/>
    <w:rsid w:val="00E878C6"/>
    <w:rsid w:val="00E8795A"/>
    <w:rsid w:val="00E87A6C"/>
    <w:rsid w:val="00E87D94"/>
    <w:rsid w:val="00E87DC8"/>
    <w:rsid w:val="00E87DFE"/>
    <w:rsid w:val="00E87E48"/>
    <w:rsid w:val="00E87E8D"/>
    <w:rsid w:val="00E87FDC"/>
    <w:rsid w:val="00E9024B"/>
    <w:rsid w:val="00E902DF"/>
    <w:rsid w:val="00E904F7"/>
    <w:rsid w:val="00E9057E"/>
    <w:rsid w:val="00E90C27"/>
    <w:rsid w:val="00E90C58"/>
    <w:rsid w:val="00E91236"/>
    <w:rsid w:val="00E9170A"/>
    <w:rsid w:val="00E91714"/>
    <w:rsid w:val="00E91749"/>
    <w:rsid w:val="00E91A81"/>
    <w:rsid w:val="00E91B00"/>
    <w:rsid w:val="00E91B93"/>
    <w:rsid w:val="00E91BB1"/>
    <w:rsid w:val="00E92530"/>
    <w:rsid w:val="00E92724"/>
    <w:rsid w:val="00E92D74"/>
    <w:rsid w:val="00E92F66"/>
    <w:rsid w:val="00E92F8A"/>
    <w:rsid w:val="00E930D0"/>
    <w:rsid w:val="00E93170"/>
    <w:rsid w:val="00E931F5"/>
    <w:rsid w:val="00E93502"/>
    <w:rsid w:val="00E93BBB"/>
    <w:rsid w:val="00E93DAA"/>
    <w:rsid w:val="00E93EDB"/>
    <w:rsid w:val="00E9414A"/>
    <w:rsid w:val="00E941CE"/>
    <w:rsid w:val="00E9428C"/>
    <w:rsid w:val="00E946FF"/>
    <w:rsid w:val="00E94912"/>
    <w:rsid w:val="00E94ADC"/>
    <w:rsid w:val="00E94B97"/>
    <w:rsid w:val="00E94BF9"/>
    <w:rsid w:val="00E94FD2"/>
    <w:rsid w:val="00E94FF8"/>
    <w:rsid w:val="00E9526C"/>
    <w:rsid w:val="00E952E0"/>
    <w:rsid w:val="00E955E5"/>
    <w:rsid w:val="00E9587E"/>
    <w:rsid w:val="00E95A4D"/>
    <w:rsid w:val="00E95E30"/>
    <w:rsid w:val="00E95FA1"/>
    <w:rsid w:val="00E9604D"/>
    <w:rsid w:val="00E96101"/>
    <w:rsid w:val="00E96179"/>
    <w:rsid w:val="00E96182"/>
    <w:rsid w:val="00E961B7"/>
    <w:rsid w:val="00E96381"/>
    <w:rsid w:val="00E96383"/>
    <w:rsid w:val="00E96518"/>
    <w:rsid w:val="00E9660B"/>
    <w:rsid w:val="00E966A0"/>
    <w:rsid w:val="00E96949"/>
    <w:rsid w:val="00E969C0"/>
    <w:rsid w:val="00E969F2"/>
    <w:rsid w:val="00E96BDB"/>
    <w:rsid w:val="00E96C07"/>
    <w:rsid w:val="00E96C9E"/>
    <w:rsid w:val="00E96CC9"/>
    <w:rsid w:val="00E96D66"/>
    <w:rsid w:val="00E96E12"/>
    <w:rsid w:val="00E97066"/>
    <w:rsid w:val="00E972C0"/>
    <w:rsid w:val="00E97302"/>
    <w:rsid w:val="00E9737A"/>
    <w:rsid w:val="00E97D56"/>
    <w:rsid w:val="00E97F16"/>
    <w:rsid w:val="00EA0458"/>
    <w:rsid w:val="00EA05A5"/>
    <w:rsid w:val="00EA063B"/>
    <w:rsid w:val="00EA07DC"/>
    <w:rsid w:val="00EA0907"/>
    <w:rsid w:val="00EA0921"/>
    <w:rsid w:val="00EA0979"/>
    <w:rsid w:val="00EA0B5B"/>
    <w:rsid w:val="00EA0F4B"/>
    <w:rsid w:val="00EA10B9"/>
    <w:rsid w:val="00EA13A8"/>
    <w:rsid w:val="00EA143D"/>
    <w:rsid w:val="00EA1456"/>
    <w:rsid w:val="00EA17A5"/>
    <w:rsid w:val="00EA17F0"/>
    <w:rsid w:val="00EA1A13"/>
    <w:rsid w:val="00EA1AC6"/>
    <w:rsid w:val="00EA2252"/>
    <w:rsid w:val="00EA2669"/>
    <w:rsid w:val="00EA2739"/>
    <w:rsid w:val="00EA284D"/>
    <w:rsid w:val="00EA3009"/>
    <w:rsid w:val="00EA345F"/>
    <w:rsid w:val="00EA37E5"/>
    <w:rsid w:val="00EA3842"/>
    <w:rsid w:val="00EA3AB4"/>
    <w:rsid w:val="00EA4060"/>
    <w:rsid w:val="00EA4306"/>
    <w:rsid w:val="00EA4390"/>
    <w:rsid w:val="00EA472D"/>
    <w:rsid w:val="00EA49B5"/>
    <w:rsid w:val="00EA4B9D"/>
    <w:rsid w:val="00EA5098"/>
    <w:rsid w:val="00EA5205"/>
    <w:rsid w:val="00EA52B9"/>
    <w:rsid w:val="00EA5554"/>
    <w:rsid w:val="00EA5604"/>
    <w:rsid w:val="00EA565D"/>
    <w:rsid w:val="00EA5791"/>
    <w:rsid w:val="00EA584C"/>
    <w:rsid w:val="00EA58F5"/>
    <w:rsid w:val="00EA5953"/>
    <w:rsid w:val="00EA59D0"/>
    <w:rsid w:val="00EA5A68"/>
    <w:rsid w:val="00EA5B1D"/>
    <w:rsid w:val="00EA5D25"/>
    <w:rsid w:val="00EA5F6A"/>
    <w:rsid w:val="00EA610F"/>
    <w:rsid w:val="00EA6158"/>
    <w:rsid w:val="00EA644D"/>
    <w:rsid w:val="00EA64DE"/>
    <w:rsid w:val="00EA659C"/>
    <w:rsid w:val="00EA67C8"/>
    <w:rsid w:val="00EA67E4"/>
    <w:rsid w:val="00EA6895"/>
    <w:rsid w:val="00EA6935"/>
    <w:rsid w:val="00EA6C7D"/>
    <w:rsid w:val="00EA7012"/>
    <w:rsid w:val="00EA722C"/>
    <w:rsid w:val="00EA7398"/>
    <w:rsid w:val="00EA75B4"/>
    <w:rsid w:val="00EB02D0"/>
    <w:rsid w:val="00EB0A64"/>
    <w:rsid w:val="00EB0BBD"/>
    <w:rsid w:val="00EB0D3B"/>
    <w:rsid w:val="00EB0E81"/>
    <w:rsid w:val="00EB11CC"/>
    <w:rsid w:val="00EB12C3"/>
    <w:rsid w:val="00EB17AF"/>
    <w:rsid w:val="00EB1A2C"/>
    <w:rsid w:val="00EB1AC6"/>
    <w:rsid w:val="00EB1AE7"/>
    <w:rsid w:val="00EB1CF5"/>
    <w:rsid w:val="00EB1CFF"/>
    <w:rsid w:val="00EB1E16"/>
    <w:rsid w:val="00EB21FC"/>
    <w:rsid w:val="00EB22DE"/>
    <w:rsid w:val="00EB2A32"/>
    <w:rsid w:val="00EB2D9B"/>
    <w:rsid w:val="00EB2DC0"/>
    <w:rsid w:val="00EB2EE6"/>
    <w:rsid w:val="00EB30C7"/>
    <w:rsid w:val="00EB31E5"/>
    <w:rsid w:val="00EB31F6"/>
    <w:rsid w:val="00EB359A"/>
    <w:rsid w:val="00EB37AF"/>
    <w:rsid w:val="00EB3918"/>
    <w:rsid w:val="00EB3B65"/>
    <w:rsid w:val="00EB3B68"/>
    <w:rsid w:val="00EB4152"/>
    <w:rsid w:val="00EB437A"/>
    <w:rsid w:val="00EB4427"/>
    <w:rsid w:val="00EB45B9"/>
    <w:rsid w:val="00EB4730"/>
    <w:rsid w:val="00EB4883"/>
    <w:rsid w:val="00EB52C7"/>
    <w:rsid w:val="00EB556F"/>
    <w:rsid w:val="00EB559B"/>
    <w:rsid w:val="00EB55E5"/>
    <w:rsid w:val="00EB55EA"/>
    <w:rsid w:val="00EB599D"/>
    <w:rsid w:val="00EB5E0D"/>
    <w:rsid w:val="00EB6471"/>
    <w:rsid w:val="00EB64C0"/>
    <w:rsid w:val="00EB690E"/>
    <w:rsid w:val="00EB6DE3"/>
    <w:rsid w:val="00EB6F50"/>
    <w:rsid w:val="00EB7292"/>
    <w:rsid w:val="00EB76C9"/>
    <w:rsid w:val="00EB798F"/>
    <w:rsid w:val="00EB7A49"/>
    <w:rsid w:val="00EB7C68"/>
    <w:rsid w:val="00EB7EBC"/>
    <w:rsid w:val="00EB7FC6"/>
    <w:rsid w:val="00EC03AD"/>
    <w:rsid w:val="00EC08BC"/>
    <w:rsid w:val="00EC09B6"/>
    <w:rsid w:val="00EC0C14"/>
    <w:rsid w:val="00EC0C67"/>
    <w:rsid w:val="00EC0C86"/>
    <w:rsid w:val="00EC0E9A"/>
    <w:rsid w:val="00EC0F21"/>
    <w:rsid w:val="00EC11AA"/>
    <w:rsid w:val="00EC14BA"/>
    <w:rsid w:val="00EC15CE"/>
    <w:rsid w:val="00EC18D0"/>
    <w:rsid w:val="00EC1CD4"/>
    <w:rsid w:val="00EC1F9B"/>
    <w:rsid w:val="00EC2209"/>
    <w:rsid w:val="00EC2458"/>
    <w:rsid w:val="00EC24EC"/>
    <w:rsid w:val="00EC2882"/>
    <w:rsid w:val="00EC29A6"/>
    <w:rsid w:val="00EC2B3D"/>
    <w:rsid w:val="00EC2BDB"/>
    <w:rsid w:val="00EC2DB6"/>
    <w:rsid w:val="00EC300F"/>
    <w:rsid w:val="00EC31B5"/>
    <w:rsid w:val="00EC3538"/>
    <w:rsid w:val="00EC3B9D"/>
    <w:rsid w:val="00EC4450"/>
    <w:rsid w:val="00EC459E"/>
    <w:rsid w:val="00EC4601"/>
    <w:rsid w:val="00EC468A"/>
    <w:rsid w:val="00EC4740"/>
    <w:rsid w:val="00EC4D6E"/>
    <w:rsid w:val="00EC4D84"/>
    <w:rsid w:val="00EC4F41"/>
    <w:rsid w:val="00EC57EE"/>
    <w:rsid w:val="00EC5A2B"/>
    <w:rsid w:val="00EC5B25"/>
    <w:rsid w:val="00EC5CF5"/>
    <w:rsid w:val="00EC611E"/>
    <w:rsid w:val="00EC650B"/>
    <w:rsid w:val="00EC684C"/>
    <w:rsid w:val="00EC6B52"/>
    <w:rsid w:val="00EC6DD5"/>
    <w:rsid w:val="00EC6E7F"/>
    <w:rsid w:val="00EC6F4D"/>
    <w:rsid w:val="00EC721F"/>
    <w:rsid w:val="00EC72F1"/>
    <w:rsid w:val="00EC7524"/>
    <w:rsid w:val="00EC75C0"/>
    <w:rsid w:val="00EC7819"/>
    <w:rsid w:val="00EC7D43"/>
    <w:rsid w:val="00EC7E0A"/>
    <w:rsid w:val="00ED0305"/>
    <w:rsid w:val="00ED0545"/>
    <w:rsid w:val="00ED05E8"/>
    <w:rsid w:val="00ED093A"/>
    <w:rsid w:val="00ED0EB2"/>
    <w:rsid w:val="00ED1082"/>
    <w:rsid w:val="00ED1186"/>
    <w:rsid w:val="00ED118D"/>
    <w:rsid w:val="00ED1408"/>
    <w:rsid w:val="00ED1846"/>
    <w:rsid w:val="00ED19FC"/>
    <w:rsid w:val="00ED1B62"/>
    <w:rsid w:val="00ED1CCC"/>
    <w:rsid w:val="00ED2458"/>
    <w:rsid w:val="00ED2470"/>
    <w:rsid w:val="00ED2581"/>
    <w:rsid w:val="00ED2782"/>
    <w:rsid w:val="00ED27AE"/>
    <w:rsid w:val="00ED2A9F"/>
    <w:rsid w:val="00ED2CE3"/>
    <w:rsid w:val="00ED2EF3"/>
    <w:rsid w:val="00ED2F43"/>
    <w:rsid w:val="00ED2F64"/>
    <w:rsid w:val="00ED3015"/>
    <w:rsid w:val="00ED3093"/>
    <w:rsid w:val="00ED3170"/>
    <w:rsid w:val="00ED340F"/>
    <w:rsid w:val="00ED359D"/>
    <w:rsid w:val="00ED36B6"/>
    <w:rsid w:val="00ED36C3"/>
    <w:rsid w:val="00ED3AFD"/>
    <w:rsid w:val="00ED3B20"/>
    <w:rsid w:val="00ED3C57"/>
    <w:rsid w:val="00ED3CD0"/>
    <w:rsid w:val="00ED4218"/>
    <w:rsid w:val="00ED4BD4"/>
    <w:rsid w:val="00ED4C01"/>
    <w:rsid w:val="00ED4D79"/>
    <w:rsid w:val="00ED4F7F"/>
    <w:rsid w:val="00ED517E"/>
    <w:rsid w:val="00ED55EB"/>
    <w:rsid w:val="00ED5601"/>
    <w:rsid w:val="00ED5677"/>
    <w:rsid w:val="00ED5EF8"/>
    <w:rsid w:val="00ED6176"/>
    <w:rsid w:val="00ED6229"/>
    <w:rsid w:val="00ED632C"/>
    <w:rsid w:val="00ED67BC"/>
    <w:rsid w:val="00ED738C"/>
    <w:rsid w:val="00ED765F"/>
    <w:rsid w:val="00ED7762"/>
    <w:rsid w:val="00ED783D"/>
    <w:rsid w:val="00ED793A"/>
    <w:rsid w:val="00ED7990"/>
    <w:rsid w:val="00ED7A51"/>
    <w:rsid w:val="00EE026C"/>
    <w:rsid w:val="00EE0586"/>
    <w:rsid w:val="00EE05C3"/>
    <w:rsid w:val="00EE0684"/>
    <w:rsid w:val="00EE0A6E"/>
    <w:rsid w:val="00EE0D30"/>
    <w:rsid w:val="00EE1054"/>
    <w:rsid w:val="00EE119F"/>
    <w:rsid w:val="00EE125F"/>
    <w:rsid w:val="00EE15E4"/>
    <w:rsid w:val="00EE15F8"/>
    <w:rsid w:val="00EE1623"/>
    <w:rsid w:val="00EE1C43"/>
    <w:rsid w:val="00EE1D19"/>
    <w:rsid w:val="00EE1D52"/>
    <w:rsid w:val="00EE1E76"/>
    <w:rsid w:val="00EE1FC4"/>
    <w:rsid w:val="00EE2017"/>
    <w:rsid w:val="00EE222E"/>
    <w:rsid w:val="00EE2275"/>
    <w:rsid w:val="00EE232A"/>
    <w:rsid w:val="00EE243A"/>
    <w:rsid w:val="00EE2476"/>
    <w:rsid w:val="00EE24D8"/>
    <w:rsid w:val="00EE25C2"/>
    <w:rsid w:val="00EE2792"/>
    <w:rsid w:val="00EE2809"/>
    <w:rsid w:val="00EE2837"/>
    <w:rsid w:val="00EE2C3C"/>
    <w:rsid w:val="00EE2C7C"/>
    <w:rsid w:val="00EE2E21"/>
    <w:rsid w:val="00EE2E79"/>
    <w:rsid w:val="00EE2ED1"/>
    <w:rsid w:val="00EE313A"/>
    <w:rsid w:val="00EE3327"/>
    <w:rsid w:val="00EE367F"/>
    <w:rsid w:val="00EE37E6"/>
    <w:rsid w:val="00EE37F5"/>
    <w:rsid w:val="00EE37FC"/>
    <w:rsid w:val="00EE39B2"/>
    <w:rsid w:val="00EE4179"/>
    <w:rsid w:val="00EE431A"/>
    <w:rsid w:val="00EE4336"/>
    <w:rsid w:val="00EE4363"/>
    <w:rsid w:val="00EE442C"/>
    <w:rsid w:val="00EE478F"/>
    <w:rsid w:val="00EE4985"/>
    <w:rsid w:val="00EE49B4"/>
    <w:rsid w:val="00EE4C6A"/>
    <w:rsid w:val="00EE51B5"/>
    <w:rsid w:val="00EE53AA"/>
    <w:rsid w:val="00EE5527"/>
    <w:rsid w:val="00EE55D9"/>
    <w:rsid w:val="00EE56DA"/>
    <w:rsid w:val="00EE5C50"/>
    <w:rsid w:val="00EE5E21"/>
    <w:rsid w:val="00EE62C0"/>
    <w:rsid w:val="00EE65B3"/>
    <w:rsid w:val="00EE65F6"/>
    <w:rsid w:val="00EE67B2"/>
    <w:rsid w:val="00EE69CC"/>
    <w:rsid w:val="00EE6B03"/>
    <w:rsid w:val="00EE6B23"/>
    <w:rsid w:val="00EE6B2E"/>
    <w:rsid w:val="00EE6D0C"/>
    <w:rsid w:val="00EE6EBA"/>
    <w:rsid w:val="00EE7142"/>
    <w:rsid w:val="00EE717A"/>
    <w:rsid w:val="00EE71E8"/>
    <w:rsid w:val="00EE7667"/>
    <w:rsid w:val="00EE7692"/>
    <w:rsid w:val="00EE76EF"/>
    <w:rsid w:val="00EE7B26"/>
    <w:rsid w:val="00EE7B9F"/>
    <w:rsid w:val="00EF01E5"/>
    <w:rsid w:val="00EF031C"/>
    <w:rsid w:val="00EF0327"/>
    <w:rsid w:val="00EF057B"/>
    <w:rsid w:val="00EF0754"/>
    <w:rsid w:val="00EF0B2B"/>
    <w:rsid w:val="00EF0B6D"/>
    <w:rsid w:val="00EF117B"/>
    <w:rsid w:val="00EF14BE"/>
    <w:rsid w:val="00EF14D9"/>
    <w:rsid w:val="00EF1574"/>
    <w:rsid w:val="00EF1679"/>
    <w:rsid w:val="00EF16EA"/>
    <w:rsid w:val="00EF1851"/>
    <w:rsid w:val="00EF1AA5"/>
    <w:rsid w:val="00EF1AC6"/>
    <w:rsid w:val="00EF1D74"/>
    <w:rsid w:val="00EF2238"/>
    <w:rsid w:val="00EF22B5"/>
    <w:rsid w:val="00EF23A8"/>
    <w:rsid w:val="00EF27FF"/>
    <w:rsid w:val="00EF2B4B"/>
    <w:rsid w:val="00EF2F14"/>
    <w:rsid w:val="00EF3465"/>
    <w:rsid w:val="00EF34CA"/>
    <w:rsid w:val="00EF3800"/>
    <w:rsid w:val="00EF3D5A"/>
    <w:rsid w:val="00EF3DF1"/>
    <w:rsid w:val="00EF4368"/>
    <w:rsid w:val="00EF4A52"/>
    <w:rsid w:val="00EF4E4B"/>
    <w:rsid w:val="00EF4EFD"/>
    <w:rsid w:val="00EF4F72"/>
    <w:rsid w:val="00EF525A"/>
    <w:rsid w:val="00EF58C4"/>
    <w:rsid w:val="00EF5993"/>
    <w:rsid w:val="00EF5B0E"/>
    <w:rsid w:val="00EF5D27"/>
    <w:rsid w:val="00EF6112"/>
    <w:rsid w:val="00EF615E"/>
    <w:rsid w:val="00EF62C6"/>
    <w:rsid w:val="00EF6968"/>
    <w:rsid w:val="00EF69F0"/>
    <w:rsid w:val="00EF6B08"/>
    <w:rsid w:val="00EF6B73"/>
    <w:rsid w:val="00EF6D87"/>
    <w:rsid w:val="00EF6E42"/>
    <w:rsid w:val="00EF70DC"/>
    <w:rsid w:val="00EF7280"/>
    <w:rsid w:val="00EF7A4C"/>
    <w:rsid w:val="00EF7A69"/>
    <w:rsid w:val="00EF7C3E"/>
    <w:rsid w:val="00EF7EB4"/>
    <w:rsid w:val="00EF7F2D"/>
    <w:rsid w:val="00F0009E"/>
    <w:rsid w:val="00F00185"/>
    <w:rsid w:val="00F00216"/>
    <w:rsid w:val="00F004B9"/>
    <w:rsid w:val="00F00927"/>
    <w:rsid w:val="00F00A60"/>
    <w:rsid w:val="00F00C71"/>
    <w:rsid w:val="00F00DC6"/>
    <w:rsid w:val="00F00E1C"/>
    <w:rsid w:val="00F01005"/>
    <w:rsid w:val="00F012A0"/>
    <w:rsid w:val="00F015F8"/>
    <w:rsid w:val="00F0179E"/>
    <w:rsid w:val="00F019FD"/>
    <w:rsid w:val="00F01A17"/>
    <w:rsid w:val="00F01CC0"/>
    <w:rsid w:val="00F01EA9"/>
    <w:rsid w:val="00F01EB0"/>
    <w:rsid w:val="00F01F39"/>
    <w:rsid w:val="00F01FC3"/>
    <w:rsid w:val="00F02784"/>
    <w:rsid w:val="00F027D6"/>
    <w:rsid w:val="00F02983"/>
    <w:rsid w:val="00F029FC"/>
    <w:rsid w:val="00F0331A"/>
    <w:rsid w:val="00F034E7"/>
    <w:rsid w:val="00F0367E"/>
    <w:rsid w:val="00F03871"/>
    <w:rsid w:val="00F04252"/>
    <w:rsid w:val="00F042B1"/>
    <w:rsid w:val="00F045E6"/>
    <w:rsid w:val="00F04615"/>
    <w:rsid w:val="00F04649"/>
    <w:rsid w:val="00F048AA"/>
    <w:rsid w:val="00F048E6"/>
    <w:rsid w:val="00F049DD"/>
    <w:rsid w:val="00F04A8D"/>
    <w:rsid w:val="00F04AA2"/>
    <w:rsid w:val="00F04D93"/>
    <w:rsid w:val="00F04DFA"/>
    <w:rsid w:val="00F04EBA"/>
    <w:rsid w:val="00F04F91"/>
    <w:rsid w:val="00F05049"/>
    <w:rsid w:val="00F05104"/>
    <w:rsid w:val="00F05164"/>
    <w:rsid w:val="00F051F0"/>
    <w:rsid w:val="00F05597"/>
    <w:rsid w:val="00F0564C"/>
    <w:rsid w:val="00F056BA"/>
    <w:rsid w:val="00F0596F"/>
    <w:rsid w:val="00F05CBE"/>
    <w:rsid w:val="00F063AB"/>
    <w:rsid w:val="00F06434"/>
    <w:rsid w:val="00F06DFB"/>
    <w:rsid w:val="00F07186"/>
    <w:rsid w:val="00F07399"/>
    <w:rsid w:val="00F073D5"/>
    <w:rsid w:val="00F076AF"/>
    <w:rsid w:val="00F07957"/>
    <w:rsid w:val="00F07999"/>
    <w:rsid w:val="00F07A3C"/>
    <w:rsid w:val="00F07BAC"/>
    <w:rsid w:val="00F07CD4"/>
    <w:rsid w:val="00F07E2F"/>
    <w:rsid w:val="00F1002E"/>
    <w:rsid w:val="00F107A6"/>
    <w:rsid w:val="00F109D5"/>
    <w:rsid w:val="00F10CEE"/>
    <w:rsid w:val="00F10D50"/>
    <w:rsid w:val="00F11019"/>
    <w:rsid w:val="00F11234"/>
    <w:rsid w:val="00F113A3"/>
    <w:rsid w:val="00F11409"/>
    <w:rsid w:val="00F11494"/>
    <w:rsid w:val="00F11611"/>
    <w:rsid w:val="00F1169C"/>
    <w:rsid w:val="00F118F9"/>
    <w:rsid w:val="00F11AAA"/>
    <w:rsid w:val="00F11B10"/>
    <w:rsid w:val="00F126B1"/>
    <w:rsid w:val="00F128A7"/>
    <w:rsid w:val="00F128F3"/>
    <w:rsid w:val="00F12A61"/>
    <w:rsid w:val="00F12AB7"/>
    <w:rsid w:val="00F131C9"/>
    <w:rsid w:val="00F133F8"/>
    <w:rsid w:val="00F137F0"/>
    <w:rsid w:val="00F1381C"/>
    <w:rsid w:val="00F13924"/>
    <w:rsid w:val="00F13B0C"/>
    <w:rsid w:val="00F13C61"/>
    <w:rsid w:val="00F13DDD"/>
    <w:rsid w:val="00F13E96"/>
    <w:rsid w:val="00F140CB"/>
    <w:rsid w:val="00F14425"/>
    <w:rsid w:val="00F14599"/>
    <w:rsid w:val="00F14635"/>
    <w:rsid w:val="00F1463A"/>
    <w:rsid w:val="00F147B9"/>
    <w:rsid w:val="00F147D1"/>
    <w:rsid w:val="00F1481D"/>
    <w:rsid w:val="00F148F7"/>
    <w:rsid w:val="00F149D6"/>
    <w:rsid w:val="00F149D8"/>
    <w:rsid w:val="00F14A21"/>
    <w:rsid w:val="00F14E9B"/>
    <w:rsid w:val="00F14EF7"/>
    <w:rsid w:val="00F1517F"/>
    <w:rsid w:val="00F154C3"/>
    <w:rsid w:val="00F1551A"/>
    <w:rsid w:val="00F156A2"/>
    <w:rsid w:val="00F157CE"/>
    <w:rsid w:val="00F1580D"/>
    <w:rsid w:val="00F158FF"/>
    <w:rsid w:val="00F15EB4"/>
    <w:rsid w:val="00F15F11"/>
    <w:rsid w:val="00F15F63"/>
    <w:rsid w:val="00F15FD5"/>
    <w:rsid w:val="00F16251"/>
    <w:rsid w:val="00F16425"/>
    <w:rsid w:val="00F16501"/>
    <w:rsid w:val="00F165EE"/>
    <w:rsid w:val="00F16D6F"/>
    <w:rsid w:val="00F16DBC"/>
    <w:rsid w:val="00F1747F"/>
    <w:rsid w:val="00F17517"/>
    <w:rsid w:val="00F17806"/>
    <w:rsid w:val="00F1790F"/>
    <w:rsid w:val="00F17A6A"/>
    <w:rsid w:val="00F17B67"/>
    <w:rsid w:val="00F17C09"/>
    <w:rsid w:val="00F17E81"/>
    <w:rsid w:val="00F200EC"/>
    <w:rsid w:val="00F20147"/>
    <w:rsid w:val="00F203A8"/>
    <w:rsid w:val="00F20682"/>
    <w:rsid w:val="00F2099C"/>
    <w:rsid w:val="00F212A5"/>
    <w:rsid w:val="00F215E7"/>
    <w:rsid w:val="00F21A20"/>
    <w:rsid w:val="00F21BF5"/>
    <w:rsid w:val="00F21CC5"/>
    <w:rsid w:val="00F21CF9"/>
    <w:rsid w:val="00F22086"/>
    <w:rsid w:val="00F22277"/>
    <w:rsid w:val="00F22910"/>
    <w:rsid w:val="00F22C5A"/>
    <w:rsid w:val="00F22F33"/>
    <w:rsid w:val="00F23187"/>
    <w:rsid w:val="00F234BD"/>
    <w:rsid w:val="00F23D60"/>
    <w:rsid w:val="00F24026"/>
    <w:rsid w:val="00F241DA"/>
    <w:rsid w:val="00F243EE"/>
    <w:rsid w:val="00F247D3"/>
    <w:rsid w:val="00F24968"/>
    <w:rsid w:val="00F24972"/>
    <w:rsid w:val="00F24AEA"/>
    <w:rsid w:val="00F25414"/>
    <w:rsid w:val="00F254DE"/>
    <w:rsid w:val="00F25563"/>
    <w:rsid w:val="00F25B19"/>
    <w:rsid w:val="00F25B31"/>
    <w:rsid w:val="00F25C4D"/>
    <w:rsid w:val="00F25C58"/>
    <w:rsid w:val="00F26022"/>
    <w:rsid w:val="00F2652D"/>
    <w:rsid w:val="00F26533"/>
    <w:rsid w:val="00F26741"/>
    <w:rsid w:val="00F26D45"/>
    <w:rsid w:val="00F270C7"/>
    <w:rsid w:val="00F277DC"/>
    <w:rsid w:val="00F2784E"/>
    <w:rsid w:val="00F27860"/>
    <w:rsid w:val="00F27882"/>
    <w:rsid w:val="00F2788E"/>
    <w:rsid w:val="00F27941"/>
    <w:rsid w:val="00F279C3"/>
    <w:rsid w:val="00F27A69"/>
    <w:rsid w:val="00F27B6E"/>
    <w:rsid w:val="00F27CA8"/>
    <w:rsid w:val="00F27D6B"/>
    <w:rsid w:val="00F27FE4"/>
    <w:rsid w:val="00F30030"/>
    <w:rsid w:val="00F301C2"/>
    <w:rsid w:val="00F30459"/>
    <w:rsid w:val="00F305FF"/>
    <w:rsid w:val="00F306A4"/>
    <w:rsid w:val="00F30839"/>
    <w:rsid w:val="00F30868"/>
    <w:rsid w:val="00F30C8C"/>
    <w:rsid w:val="00F3109E"/>
    <w:rsid w:val="00F31167"/>
    <w:rsid w:val="00F3131A"/>
    <w:rsid w:val="00F317EB"/>
    <w:rsid w:val="00F317FE"/>
    <w:rsid w:val="00F31947"/>
    <w:rsid w:val="00F31B8C"/>
    <w:rsid w:val="00F31C4E"/>
    <w:rsid w:val="00F31D8E"/>
    <w:rsid w:val="00F31DF7"/>
    <w:rsid w:val="00F321B5"/>
    <w:rsid w:val="00F323B1"/>
    <w:rsid w:val="00F327F6"/>
    <w:rsid w:val="00F32887"/>
    <w:rsid w:val="00F329AA"/>
    <w:rsid w:val="00F32A02"/>
    <w:rsid w:val="00F32BF9"/>
    <w:rsid w:val="00F32CDA"/>
    <w:rsid w:val="00F32DF2"/>
    <w:rsid w:val="00F33172"/>
    <w:rsid w:val="00F331AE"/>
    <w:rsid w:val="00F33278"/>
    <w:rsid w:val="00F336AD"/>
    <w:rsid w:val="00F33738"/>
    <w:rsid w:val="00F33ADA"/>
    <w:rsid w:val="00F33BC5"/>
    <w:rsid w:val="00F33D1C"/>
    <w:rsid w:val="00F33DB5"/>
    <w:rsid w:val="00F33F74"/>
    <w:rsid w:val="00F33FEE"/>
    <w:rsid w:val="00F34075"/>
    <w:rsid w:val="00F341B0"/>
    <w:rsid w:val="00F342F0"/>
    <w:rsid w:val="00F34712"/>
    <w:rsid w:val="00F34713"/>
    <w:rsid w:val="00F34810"/>
    <w:rsid w:val="00F34C7E"/>
    <w:rsid w:val="00F3525D"/>
    <w:rsid w:val="00F3528D"/>
    <w:rsid w:val="00F35402"/>
    <w:rsid w:val="00F3544F"/>
    <w:rsid w:val="00F354A0"/>
    <w:rsid w:val="00F35705"/>
    <w:rsid w:val="00F35935"/>
    <w:rsid w:val="00F359D1"/>
    <w:rsid w:val="00F361EE"/>
    <w:rsid w:val="00F362EF"/>
    <w:rsid w:val="00F36391"/>
    <w:rsid w:val="00F364B5"/>
    <w:rsid w:val="00F36C5F"/>
    <w:rsid w:val="00F36EFD"/>
    <w:rsid w:val="00F36F54"/>
    <w:rsid w:val="00F3734B"/>
    <w:rsid w:val="00F376E0"/>
    <w:rsid w:val="00F377FF"/>
    <w:rsid w:val="00F3785F"/>
    <w:rsid w:val="00F37956"/>
    <w:rsid w:val="00F379B1"/>
    <w:rsid w:val="00F37B24"/>
    <w:rsid w:val="00F37B29"/>
    <w:rsid w:val="00F37E36"/>
    <w:rsid w:val="00F37E5E"/>
    <w:rsid w:val="00F37F09"/>
    <w:rsid w:val="00F40863"/>
    <w:rsid w:val="00F408F9"/>
    <w:rsid w:val="00F40A1A"/>
    <w:rsid w:val="00F41000"/>
    <w:rsid w:val="00F41057"/>
    <w:rsid w:val="00F4109F"/>
    <w:rsid w:val="00F4154B"/>
    <w:rsid w:val="00F41670"/>
    <w:rsid w:val="00F41854"/>
    <w:rsid w:val="00F41AF4"/>
    <w:rsid w:val="00F41D99"/>
    <w:rsid w:val="00F41FA7"/>
    <w:rsid w:val="00F42226"/>
    <w:rsid w:val="00F422E7"/>
    <w:rsid w:val="00F42709"/>
    <w:rsid w:val="00F42CFD"/>
    <w:rsid w:val="00F42F04"/>
    <w:rsid w:val="00F4326D"/>
    <w:rsid w:val="00F436FF"/>
    <w:rsid w:val="00F43D64"/>
    <w:rsid w:val="00F441F5"/>
    <w:rsid w:val="00F442DA"/>
    <w:rsid w:val="00F44328"/>
    <w:rsid w:val="00F4436F"/>
    <w:rsid w:val="00F44A59"/>
    <w:rsid w:val="00F45365"/>
    <w:rsid w:val="00F45786"/>
    <w:rsid w:val="00F457BA"/>
    <w:rsid w:val="00F45905"/>
    <w:rsid w:val="00F45BE3"/>
    <w:rsid w:val="00F45DF7"/>
    <w:rsid w:val="00F460C4"/>
    <w:rsid w:val="00F469C4"/>
    <w:rsid w:val="00F46D25"/>
    <w:rsid w:val="00F46F18"/>
    <w:rsid w:val="00F47189"/>
    <w:rsid w:val="00F47563"/>
    <w:rsid w:val="00F47673"/>
    <w:rsid w:val="00F47982"/>
    <w:rsid w:val="00F47B2A"/>
    <w:rsid w:val="00F47E32"/>
    <w:rsid w:val="00F47ED9"/>
    <w:rsid w:val="00F500C8"/>
    <w:rsid w:val="00F505D0"/>
    <w:rsid w:val="00F50AA7"/>
    <w:rsid w:val="00F50B5C"/>
    <w:rsid w:val="00F50BE4"/>
    <w:rsid w:val="00F50D88"/>
    <w:rsid w:val="00F5121A"/>
    <w:rsid w:val="00F51265"/>
    <w:rsid w:val="00F51428"/>
    <w:rsid w:val="00F5147C"/>
    <w:rsid w:val="00F515E7"/>
    <w:rsid w:val="00F51672"/>
    <w:rsid w:val="00F51847"/>
    <w:rsid w:val="00F51A6D"/>
    <w:rsid w:val="00F51A6E"/>
    <w:rsid w:val="00F51C8C"/>
    <w:rsid w:val="00F51E45"/>
    <w:rsid w:val="00F51E69"/>
    <w:rsid w:val="00F52061"/>
    <w:rsid w:val="00F521F6"/>
    <w:rsid w:val="00F52356"/>
    <w:rsid w:val="00F523DD"/>
    <w:rsid w:val="00F528E6"/>
    <w:rsid w:val="00F52A1D"/>
    <w:rsid w:val="00F52AD5"/>
    <w:rsid w:val="00F52C56"/>
    <w:rsid w:val="00F532BA"/>
    <w:rsid w:val="00F53668"/>
    <w:rsid w:val="00F5372B"/>
    <w:rsid w:val="00F53AC5"/>
    <w:rsid w:val="00F53ADF"/>
    <w:rsid w:val="00F53E41"/>
    <w:rsid w:val="00F5465D"/>
    <w:rsid w:val="00F5499F"/>
    <w:rsid w:val="00F54E38"/>
    <w:rsid w:val="00F54F3C"/>
    <w:rsid w:val="00F5504A"/>
    <w:rsid w:val="00F5517C"/>
    <w:rsid w:val="00F55344"/>
    <w:rsid w:val="00F553FA"/>
    <w:rsid w:val="00F555C7"/>
    <w:rsid w:val="00F55812"/>
    <w:rsid w:val="00F55A38"/>
    <w:rsid w:val="00F55B7C"/>
    <w:rsid w:val="00F55BD0"/>
    <w:rsid w:val="00F55DB8"/>
    <w:rsid w:val="00F55FAE"/>
    <w:rsid w:val="00F5626C"/>
    <w:rsid w:val="00F5671C"/>
    <w:rsid w:val="00F56771"/>
    <w:rsid w:val="00F56774"/>
    <w:rsid w:val="00F5694F"/>
    <w:rsid w:val="00F56A29"/>
    <w:rsid w:val="00F56B15"/>
    <w:rsid w:val="00F56B28"/>
    <w:rsid w:val="00F56C73"/>
    <w:rsid w:val="00F56CC2"/>
    <w:rsid w:val="00F56F48"/>
    <w:rsid w:val="00F57158"/>
    <w:rsid w:val="00F573BD"/>
    <w:rsid w:val="00F5762B"/>
    <w:rsid w:val="00F5763B"/>
    <w:rsid w:val="00F576FB"/>
    <w:rsid w:val="00F57711"/>
    <w:rsid w:val="00F57773"/>
    <w:rsid w:val="00F579D4"/>
    <w:rsid w:val="00F57C0C"/>
    <w:rsid w:val="00F57F05"/>
    <w:rsid w:val="00F600EA"/>
    <w:rsid w:val="00F60960"/>
    <w:rsid w:val="00F60E7D"/>
    <w:rsid w:val="00F6108A"/>
    <w:rsid w:val="00F6122B"/>
    <w:rsid w:val="00F61C0C"/>
    <w:rsid w:val="00F61FC5"/>
    <w:rsid w:val="00F61FFC"/>
    <w:rsid w:val="00F620C0"/>
    <w:rsid w:val="00F62174"/>
    <w:rsid w:val="00F621EB"/>
    <w:rsid w:val="00F623CF"/>
    <w:rsid w:val="00F628F2"/>
    <w:rsid w:val="00F62975"/>
    <w:rsid w:val="00F62BBB"/>
    <w:rsid w:val="00F62BED"/>
    <w:rsid w:val="00F62CEC"/>
    <w:rsid w:val="00F62DCC"/>
    <w:rsid w:val="00F62DE7"/>
    <w:rsid w:val="00F630DD"/>
    <w:rsid w:val="00F6318C"/>
    <w:rsid w:val="00F633D5"/>
    <w:rsid w:val="00F6370F"/>
    <w:rsid w:val="00F637D1"/>
    <w:rsid w:val="00F6384C"/>
    <w:rsid w:val="00F63868"/>
    <w:rsid w:val="00F6386B"/>
    <w:rsid w:val="00F639A8"/>
    <w:rsid w:val="00F63C6F"/>
    <w:rsid w:val="00F63C88"/>
    <w:rsid w:val="00F63ED3"/>
    <w:rsid w:val="00F64275"/>
    <w:rsid w:val="00F644CF"/>
    <w:rsid w:val="00F64650"/>
    <w:rsid w:val="00F64D00"/>
    <w:rsid w:val="00F64DF2"/>
    <w:rsid w:val="00F64F8A"/>
    <w:rsid w:val="00F6531A"/>
    <w:rsid w:val="00F653C9"/>
    <w:rsid w:val="00F657C7"/>
    <w:rsid w:val="00F65900"/>
    <w:rsid w:val="00F65920"/>
    <w:rsid w:val="00F65A2B"/>
    <w:rsid w:val="00F65AEF"/>
    <w:rsid w:val="00F65B29"/>
    <w:rsid w:val="00F65C14"/>
    <w:rsid w:val="00F65C35"/>
    <w:rsid w:val="00F65F66"/>
    <w:rsid w:val="00F6605F"/>
    <w:rsid w:val="00F66255"/>
    <w:rsid w:val="00F662A0"/>
    <w:rsid w:val="00F66544"/>
    <w:rsid w:val="00F66899"/>
    <w:rsid w:val="00F668B8"/>
    <w:rsid w:val="00F6699F"/>
    <w:rsid w:val="00F669BB"/>
    <w:rsid w:val="00F66D0E"/>
    <w:rsid w:val="00F670B7"/>
    <w:rsid w:val="00F671BC"/>
    <w:rsid w:val="00F6722C"/>
    <w:rsid w:val="00F679BD"/>
    <w:rsid w:val="00F679E2"/>
    <w:rsid w:val="00F67A97"/>
    <w:rsid w:val="00F67F38"/>
    <w:rsid w:val="00F70104"/>
    <w:rsid w:val="00F702B3"/>
    <w:rsid w:val="00F7039D"/>
    <w:rsid w:val="00F70465"/>
    <w:rsid w:val="00F7072C"/>
    <w:rsid w:val="00F70965"/>
    <w:rsid w:val="00F70ACE"/>
    <w:rsid w:val="00F70C98"/>
    <w:rsid w:val="00F70DA2"/>
    <w:rsid w:val="00F7107A"/>
    <w:rsid w:val="00F71535"/>
    <w:rsid w:val="00F7164A"/>
    <w:rsid w:val="00F71717"/>
    <w:rsid w:val="00F7197B"/>
    <w:rsid w:val="00F719C7"/>
    <w:rsid w:val="00F719DA"/>
    <w:rsid w:val="00F71C3F"/>
    <w:rsid w:val="00F71C90"/>
    <w:rsid w:val="00F71D2C"/>
    <w:rsid w:val="00F71EFE"/>
    <w:rsid w:val="00F7210F"/>
    <w:rsid w:val="00F72281"/>
    <w:rsid w:val="00F722EC"/>
    <w:rsid w:val="00F722F1"/>
    <w:rsid w:val="00F7258A"/>
    <w:rsid w:val="00F7259D"/>
    <w:rsid w:val="00F726C7"/>
    <w:rsid w:val="00F727B2"/>
    <w:rsid w:val="00F72988"/>
    <w:rsid w:val="00F72A3A"/>
    <w:rsid w:val="00F72AC4"/>
    <w:rsid w:val="00F72F0E"/>
    <w:rsid w:val="00F732FA"/>
    <w:rsid w:val="00F73319"/>
    <w:rsid w:val="00F7345C"/>
    <w:rsid w:val="00F73651"/>
    <w:rsid w:val="00F73701"/>
    <w:rsid w:val="00F738C8"/>
    <w:rsid w:val="00F73AE8"/>
    <w:rsid w:val="00F73B38"/>
    <w:rsid w:val="00F73E35"/>
    <w:rsid w:val="00F73EDC"/>
    <w:rsid w:val="00F73EE3"/>
    <w:rsid w:val="00F74155"/>
    <w:rsid w:val="00F745E6"/>
    <w:rsid w:val="00F74884"/>
    <w:rsid w:val="00F74B62"/>
    <w:rsid w:val="00F74CBC"/>
    <w:rsid w:val="00F74DF2"/>
    <w:rsid w:val="00F74F95"/>
    <w:rsid w:val="00F74FAB"/>
    <w:rsid w:val="00F7530D"/>
    <w:rsid w:val="00F755D0"/>
    <w:rsid w:val="00F75935"/>
    <w:rsid w:val="00F75A9D"/>
    <w:rsid w:val="00F75D9C"/>
    <w:rsid w:val="00F7615F"/>
    <w:rsid w:val="00F7636E"/>
    <w:rsid w:val="00F765E6"/>
    <w:rsid w:val="00F766F9"/>
    <w:rsid w:val="00F76A3F"/>
    <w:rsid w:val="00F76B9A"/>
    <w:rsid w:val="00F77080"/>
    <w:rsid w:val="00F773AE"/>
    <w:rsid w:val="00F77414"/>
    <w:rsid w:val="00F776AB"/>
    <w:rsid w:val="00F77B31"/>
    <w:rsid w:val="00F77D4C"/>
    <w:rsid w:val="00F77D7A"/>
    <w:rsid w:val="00F8043B"/>
    <w:rsid w:val="00F804B8"/>
    <w:rsid w:val="00F807B0"/>
    <w:rsid w:val="00F807CF"/>
    <w:rsid w:val="00F807DE"/>
    <w:rsid w:val="00F80CAA"/>
    <w:rsid w:val="00F80CFE"/>
    <w:rsid w:val="00F813D7"/>
    <w:rsid w:val="00F81919"/>
    <w:rsid w:val="00F81C55"/>
    <w:rsid w:val="00F81D05"/>
    <w:rsid w:val="00F81F52"/>
    <w:rsid w:val="00F82174"/>
    <w:rsid w:val="00F821A3"/>
    <w:rsid w:val="00F82273"/>
    <w:rsid w:val="00F828FC"/>
    <w:rsid w:val="00F829DA"/>
    <w:rsid w:val="00F82C4F"/>
    <w:rsid w:val="00F82C5B"/>
    <w:rsid w:val="00F82D1E"/>
    <w:rsid w:val="00F82E1E"/>
    <w:rsid w:val="00F82EEB"/>
    <w:rsid w:val="00F830EC"/>
    <w:rsid w:val="00F832E2"/>
    <w:rsid w:val="00F833DB"/>
    <w:rsid w:val="00F8364F"/>
    <w:rsid w:val="00F836A0"/>
    <w:rsid w:val="00F83703"/>
    <w:rsid w:val="00F83724"/>
    <w:rsid w:val="00F83C0B"/>
    <w:rsid w:val="00F83D35"/>
    <w:rsid w:val="00F83DC4"/>
    <w:rsid w:val="00F84114"/>
    <w:rsid w:val="00F84135"/>
    <w:rsid w:val="00F84A65"/>
    <w:rsid w:val="00F84B02"/>
    <w:rsid w:val="00F84D89"/>
    <w:rsid w:val="00F84E77"/>
    <w:rsid w:val="00F858F8"/>
    <w:rsid w:val="00F85CC5"/>
    <w:rsid w:val="00F85F7B"/>
    <w:rsid w:val="00F85FC4"/>
    <w:rsid w:val="00F8639A"/>
    <w:rsid w:val="00F86658"/>
    <w:rsid w:val="00F86727"/>
    <w:rsid w:val="00F869C7"/>
    <w:rsid w:val="00F875AE"/>
    <w:rsid w:val="00F87A21"/>
    <w:rsid w:val="00F9017A"/>
    <w:rsid w:val="00F90563"/>
    <w:rsid w:val="00F9063C"/>
    <w:rsid w:val="00F9072D"/>
    <w:rsid w:val="00F90736"/>
    <w:rsid w:val="00F90963"/>
    <w:rsid w:val="00F90978"/>
    <w:rsid w:val="00F90A9F"/>
    <w:rsid w:val="00F90BAD"/>
    <w:rsid w:val="00F90C20"/>
    <w:rsid w:val="00F9113A"/>
    <w:rsid w:val="00F911A6"/>
    <w:rsid w:val="00F91242"/>
    <w:rsid w:val="00F9141E"/>
    <w:rsid w:val="00F914C1"/>
    <w:rsid w:val="00F918EE"/>
    <w:rsid w:val="00F91905"/>
    <w:rsid w:val="00F91E7F"/>
    <w:rsid w:val="00F9200D"/>
    <w:rsid w:val="00F920B0"/>
    <w:rsid w:val="00F920B5"/>
    <w:rsid w:val="00F92184"/>
    <w:rsid w:val="00F921A2"/>
    <w:rsid w:val="00F92AA7"/>
    <w:rsid w:val="00F92B00"/>
    <w:rsid w:val="00F92BF3"/>
    <w:rsid w:val="00F93242"/>
    <w:rsid w:val="00F9332B"/>
    <w:rsid w:val="00F9332C"/>
    <w:rsid w:val="00F938CB"/>
    <w:rsid w:val="00F93916"/>
    <w:rsid w:val="00F93AA1"/>
    <w:rsid w:val="00F93AB3"/>
    <w:rsid w:val="00F93FDA"/>
    <w:rsid w:val="00F9407C"/>
    <w:rsid w:val="00F940C8"/>
    <w:rsid w:val="00F9434A"/>
    <w:rsid w:val="00F94480"/>
    <w:rsid w:val="00F94505"/>
    <w:rsid w:val="00F94573"/>
    <w:rsid w:val="00F945CA"/>
    <w:rsid w:val="00F94F09"/>
    <w:rsid w:val="00F950E3"/>
    <w:rsid w:val="00F95188"/>
    <w:rsid w:val="00F951CB"/>
    <w:rsid w:val="00F9527C"/>
    <w:rsid w:val="00F95803"/>
    <w:rsid w:val="00F9588B"/>
    <w:rsid w:val="00F95964"/>
    <w:rsid w:val="00F95A92"/>
    <w:rsid w:val="00F95B94"/>
    <w:rsid w:val="00F95D02"/>
    <w:rsid w:val="00F95F6B"/>
    <w:rsid w:val="00F96287"/>
    <w:rsid w:val="00F9697B"/>
    <w:rsid w:val="00F96A1D"/>
    <w:rsid w:val="00F96AA8"/>
    <w:rsid w:val="00F96ADA"/>
    <w:rsid w:val="00F96AE3"/>
    <w:rsid w:val="00F96B24"/>
    <w:rsid w:val="00F96B36"/>
    <w:rsid w:val="00F96E11"/>
    <w:rsid w:val="00F97065"/>
    <w:rsid w:val="00F97373"/>
    <w:rsid w:val="00F97804"/>
    <w:rsid w:val="00F97AE3"/>
    <w:rsid w:val="00F97D7D"/>
    <w:rsid w:val="00F97D84"/>
    <w:rsid w:val="00F97EF4"/>
    <w:rsid w:val="00FA064B"/>
    <w:rsid w:val="00FA0654"/>
    <w:rsid w:val="00FA0728"/>
    <w:rsid w:val="00FA0CE8"/>
    <w:rsid w:val="00FA0E4D"/>
    <w:rsid w:val="00FA1A39"/>
    <w:rsid w:val="00FA1CAD"/>
    <w:rsid w:val="00FA1D97"/>
    <w:rsid w:val="00FA1DE6"/>
    <w:rsid w:val="00FA1E95"/>
    <w:rsid w:val="00FA1F9D"/>
    <w:rsid w:val="00FA20CA"/>
    <w:rsid w:val="00FA2D62"/>
    <w:rsid w:val="00FA318F"/>
    <w:rsid w:val="00FA3514"/>
    <w:rsid w:val="00FA35C5"/>
    <w:rsid w:val="00FA374F"/>
    <w:rsid w:val="00FA37B7"/>
    <w:rsid w:val="00FA3956"/>
    <w:rsid w:val="00FA39EF"/>
    <w:rsid w:val="00FA3BC1"/>
    <w:rsid w:val="00FA3BDB"/>
    <w:rsid w:val="00FA428B"/>
    <w:rsid w:val="00FA4981"/>
    <w:rsid w:val="00FA4C54"/>
    <w:rsid w:val="00FA4C75"/>
    <w:rsid w:val="00FA4E7B"/>
    <w:rsid w:val="00FA4EDA"/>
    <w:rsid w:val="00FA4FA9"/>
    <w:rsid w:val="00FA5105"/>
    <w:rsid w:val="00FA5313"/>
    <w:rsid w:val="00FA5364"/>
    <w:rsid w:val="00FA5402"/>
    <w:rsid w:val="00FA566C"/>
    <w:rsid w:val="00FA589C"/>
    <w:rsid w:val="00FA5B11"/>
    <w:rsid w:val="00FA5E08"/>
    <w:rsid w:val="00FA5E42"/>
    <w:rsid w:val="00FA606E"/>
    <w:rsid w:val="00FA6199"/>
    <w:rsid w:val="00FA6D11"/>
    <w:rsid w:val="00FA6DBC"/>
    <w:rsid w:val="00FA6F5C"/>
    <w:rsid w:val="00FA70B4"/>
    <w:rsid w:val="00FA7392"/>
    <w:rsid w:val="00FA758C"/>
    <w:rsid w:val="00FA76FD"/>
    <w:rsid w:val="00FA7D02"/>
    <w:rsid w:val="00FB02FD"/>
    <w:rsid w:val="00FB0AF4"/>
    <w:rsid w:val="00FB0E17"/>
    <w:rsid w:val="00FB0EF1"/>
    <w:rsid w:val="00FB12BB"/>
    <w:rsid w:val="00FB12DF"/>
    <w:rsid w:val="00FB19BC"/>
    <w:rsid w:val="00FB1AC4"/>
    <w:rsid w:val="00FB1C6C"/>
    <w:rsid w:val="00FB2152"/>
    <w:rsid w:val="00FB28EE"/>
    <w:rsid w:val="00FB2A8B"/>
    <w:rsid w:val="00FB2BF2"/>
    <w:rsid w:val="00FB307E"/>
    <w:rsid w:val="00FB35A9"/>
    <w:rsid w:val="00FB3821"/>
    <w:rsid w:val="00FB3D34"/>
    <w:rsid w:val="00FB41DB"/>
    <w:rsid w:val="00FB4325"/>
    <w:rsid w:val="00FB4377"/>
    <w:rsid w:val="00FB4944"/>
    <w:rsid w:val="00FB49CF"/>
    <w:rsid w:val="00FB4A7A"/>
    <w:rsid w:val="00FB4AF9"/>
    <w:rsid w:val="00FB4CC7"/>
    <w:rsid w:val="00FB4E1B"/>
    <w:rsid w:val="00FB4E7A"/>
    <w:rsid w:val="00FB4EDD"/>
    <w:rsid w:val="00FB4F2F"/>
    <w:rsid w:val="00FB5070"/>
    <w:rsid w:val="00FB50DD"/>
    <w:rsid w:val="00FB5181"/>
    <w:rsid w:val="00FB52D6"/>
    <w:rsid w:val="00FB5301"/>
    <w:rsid w:val="00FB5454"/>
    <w:rsid w:val="00FB5A08"/>
    <w:rsid w:val="00FB5BA8"/>
    <w:rsid w:val="00FB5DE9"/>
    <w:rsid w:val="00FB6413"/>
    <w:rsid w:val="00FB6569"/>
    <w:rsid w:val="00FB6612"/>
    <w:rsid w:val="00FB6DF4"/>
    <w:rsid w:val="00FB7511"/>
    <w:rsid w:val="00FB755B"/>
    <w:rsid w:val="00FB7765"/>
    <w:rsid w:val="00FB7979"/>
    <w:rsid w:val="00FB7A36"/>
    <w:rsid w:val="00FB7AB5"/>
    <w:rsid w:val="00FB7C17"/>
    <w:rsid w:val="00FB7D7F"/>
    <w:rsid w:val="00FB7F1C"/>
    <w:rsid w:val="00FB7FA6"/>
    <w:rsid w:val="00FC0304"/>
    <w:rsid w:val="00FC044C"/>
    <w:rsid w:val="00FC060B"/>
    <w:rsid w:val="00FC061B"/>
    <w:rsid w:val="00FC0D0A"/>
    <w:rsid w:val="00FC0E5A"/>
    <w:rsid w:val="00FC10AC"/>
    <w:rsid w:val="00FC15FB"/>
    <w:rsid w:val="00FC1615"/>
    <w:rsid w:val="00FC169B"/>
    <w:rsid w:val="00FC16BB"/>
    <w:rsid w:val="00FC1840"/>
    <w:rsid w:val="00FC1DAA"/>
    <w:rsid w:val="00FC239D"/>
    <w:rsid w:val="00FC23F1"/>
    <w:rsid w:val="00FC25CF"/>
    <w:rsid w:val="00FC2799"/>
    <w:rsid w:val="00FC28C2"/>
    <w:rsid w:val="00FC2930"/>
    <w:rsid w:val="00FC2A0E"/>
    <w:rsid w:val="00FC2BA7"/>
    <w:rsid w:val="00FC2D12"/>
    <w:rsid w:val="00FC2D61"/>
    <w:rsid w:val="00FC387E"/>
    <w:rsid w:val="00FC3A08"/>
    <w:rsid w:val="00FC3B35"/>
    <w:rsid w:val="00FC3C74"/>
    <w:rsid w:val="00FC3D18"/>
    <w:rsid w:val="00FC3D3D"/>
    <w:rsid w:val="00FC3E9A"/>
    <w:rsid w:val="00FC3FEF"/>
    <w:rsid w:val="00FC4361"/>
    <w:rsid w:val="00FC436F"/>
    <w:rsid w:val="00FC4435"/>
    <w:rsid w:val="00FC447A"/>
    <w:rsid w:val="00FC4686"/>
    <w:rsid w:val="00FC4A2B"/>
    <w:rsid w:val="00FC4EB7"/>
    <w:rsid w:val="00FC4F71"/>
    <w:rsid w:val="00FC510D"/>
    <w:rsid w:val="00FC51C9"/>
    <w:rsid w:val="00FC541E"/>
    <w:rsid w:val="00FC5471"/>
    <w:rsid w:val="00FC549E"/>
    <w:rsid w:val="00FC54A0"/>
    <w:rsid w:val="00FC562C"/>
    <w:rsid w:val="00FC57C8"/>
    <w:rsid w:val="00FC5901"/>
    <w:rsid w:val="00FC5952"/>
    <w:rsid w:val="00FC5A4F"/>
    <w:rsid w:val="00FC5CBE"/>
    <w:rsid w:val="00FC5E9E"/>
    <w:rsid w:val="00FC665B"/>
    <w:rsid w:val="00FC6A55"/>
    <w:rsid w:val="00FC6BAB"/>
    <w:rsid w:val="00FC748D"/>
    <w:rsid w:val="00FC7810"/>
    <w:rsid w:val="00FC7957"/>
    <w:rsid w:val="00FC7B2C"/>
    <w:rsid w:val="00FC7EE6"/>
    <w:rsid w:val="00FD0109"/>
    <w:rsid w:val="00FD010C"/>
    <w:rsid w:val="00FD0302"/>
    <w:rsid w:val="00FD03F8"/>
    <w:rsid w:val="00FD05C2"/>
    <w:rsid w:val="00FD0625"/>
    <w:rsid w:val="00FD089B"/>
    <w:rsid w:val="00FD09F3"/>
    <w:rsid w:val="00FD0B2F"/>
    <w:rsid w:val="00FD0B4F"/>
    <w:rsid w:val="00FD1009"/>
    <w:rsid w:val="00FD1275"/>
    <w:rsid w:val="00FD1282"/>
    <w:rsid w:val="00FD1489"/>
    <w:rsid w:val="00FD14BC"/>
    <w:rsid w:val="00FD14F4"/>
    <w:rsid w:val="00FD173B"/>
    <w:rsid w:val="00FD1CA6"/>
    <w:rsid w:val="00FD1E75"/>
    <w:rsid w:val="00FD2032"/>
    <w:rsid w:val="00FD204D"/>
    <w:rsid w:val="00FD21BA"/>
    <w:rsid w:val="00FD2914"/>
    <w:rsid w:val="00FD2C6D"/>
    <w:rsid w:val="00FD2D07"/>
    <w:rsid w:val="00FD32D6"/>
    <w:rsid w:val="00FD3500"/>
    <w:rsid w:val="00FD3A6F"/>
    <w:rsid w:val="00FD3B33"/>
    <w:rsid w:val="00FD3B35"/>
    <w:rsid w:val="00FD3B75"/>
    <w:rsid w:val="00FD3BA7"/>
    <w:rsid w:val="00FD3C85"/>
    <w:rsid w:val="00FD4202"/>
    <w:rsid w:val="00FD42E3"/>
    <w:rsid w:val="00FD43E7"/>
    <w:rsid w:val="00FD444A"/>
    <w:rsid w:val="00FD45CB"/>
    <w:rsid w:val="00FD4775"/>
    <w:rsid w:val="00FD47B1"/>
    <w:rsid w:val="00FD47CF"/>
    <w:rsid w:val="00FD4988"/>
    <w:rsid w:val="00FD4C19"/>
    <w:rsid w:val="00FD4C3F"/>
    <w:rsid w:val="00FD4C48"/>
    <w:rsid w:val="00FD4D40"/>
    <w:rsid w:val="00FD4F34"/>
    <w:rsid w:val="00FD505E"/>
    <w:rsid w:val="00FD506D"/>
    <w:rsid w:val="00FD51DB"/>
    <w:rsid w:val="00FD55D2"/>
    <w:rsid w:val="00FD582E"/>
    <w:rsid w:val="00FD587F"/>
    <w:rsid w:val="00FD596F"/>
    <w:rsid w:val="00FD5987"/>
    <w:rsid w:val="00FD5BA9"/>
    <w:rsid w:val="00FD5CEA"/>
    <w:rsid w:val="00FD614E"/>
    <w:rsid w:val="00FD621C"/>
    <w:rsid w:val="00FD6332"/>
    <w:rsid w:val="00FD6517"/>
    <w:rsid w:val="00FD6AD3"/>
    <w:rsid w:val="00FD6C08"/>
    <w:rsid w:val="00FD6EA2"/>
    <w:rsid w:val="00FD6F7E"/>
    <w:rsid w:val="00FD73F8"/>
    <w:rsid w:val="00FD78EC"/>
    <w:rsid w:val="00FD79B0"/>
    <w:rsid w:val="00FD7C2A"/>
    <w:rsid w:val="00FD7CD4"/>
    <w:rsid w:val="00FE0208"/>
    <w:rsid w:val="00FE0288"/>
    <w:rsid w:val="00FE02D8"/>
    <w:rsid w:val="00FE05C8"/>
    <w:rsid w:val="00FE05EA"/>
    <w:rsid w:val="00FE0962"/>
    <w:rsid w:val="00FE09EA"/>
    <w:rsid w:val="00FE0A05"/>
    <w:rsid w:val="00FE0A97"/>
    <w:rsid w:val="00FE0A9E"/>
    <w:rsid w:val="00FE0D2F"/>
    <w:rsid w:val="00FE0DFA"/>
    <w:rsid w:val="00FE10E0"/>
    <w:rsid w:val="00FE11A0"/>
    <w:rsid w:val="00FE14CF"/>
    <w:rsid w:val="00FE14D5"/>
    <w:rsid w:val="00FE15D1"/>
    <w:rsid w:val="00FE1890"/>
    <w:rsid w:val="00FE198A"/>
    <w:rsid w:val="00FE1C61"/>
    <w:rsid w:val="00FE20DB"/>
    <w:rsid w:val="00FE20FA"/>
    <w:rsid w:val="00FE2162"/>
    <w:rsid w:val="00FE2476"/>
    <w:rsid w:val="00FE2614"/>
    <w:rsid w:val="00FE2624"/>
    <w:rsid w:val="00FE2B1D"/>
    <w:rsid w:val="00FE2BDA"/>
    <w:rsid w:val="00FE2D42"/>
    <w:rsid w:val="00FE3168"/>
    <w:rsid w:val="00FE3294"/>
    <w:rsid w:val="00FE32F7"/>
    <w:rsid w:val="00FE33FC"/>
    <w:rsid w:val="00FE37AE"/>
    <w:rsid w:val="00FE38D1"/>
    <w:rsid w:val="00FE391E"/>
    <w:rsid w:val="00FE3C83"/>
    <w:rsid w:val="00FE3E6C"/>
    <w:rsid w:val="00FE3FC6"/>
    <w:rsid w:val="00FE4DEE"/>
    <w:rsid w:val="00FE5021"/>
    <w:rsid w:val="00FE5356"/>
    <w:rsid w:val="00FE54C0"/>
    <w:rsid w:val="00FE551D"/>
    <w:rsid w:val="00FE5941"/>
    <w:rsid w:val="00FE5AF2"/>
    <w:rsid w:val="00FE5C3D"/>
    <w:rsid w:val="00FE5E4E"/>
    <w:rsid w:val="00FE5F5E"/>
    <w:rsid w:val="00FE601C"/>
    <w:rsid w:val="00FE63D7"/>
    <w:rsid w:val="00FE688D"/>
    <w:rsid w:val="00FE689A"/>
    <w:rsid w:val="00FE6A1E"/>
    <w:rsid w:val="00FE6AEE"/>
    <w:rsid w:val="00FE6B19"/>
    <w:rsid w:val="00FE6BD4"/>
    <w:rsid w:val="00FE6C8D"/>
    <w:rsid w:val="00FE72BB"/>
    <w:rsid w:val="00FE7322"/>
    <w:rsid w:val="00FE7353"/>
    <w:rsid w:val="00FE76E2"/>
    <w:rsid w:val="00FE7B9A"/>
    <w:rsid w:val="00FE7C9D"/>
    <w:rsid w:val="00FE7E00"/>
    <w:rsid w:val="00FE7EED"/>
    <w:rsid w:val="00FF02EE"/>
    <w:rsid w:val="00FF04FD"/>
    <w:rsid w:val="00FF0E39"/>
    <w:rsid w:val="00FF0F3D"/>
    <w:rsid w:val="00FF1049"/>
    <w:rsid w:val="00FF1250"/>
    <w:rsid w:val="00FF140E"/>
    <w:rsid w:val="00FF154C"/>
    <w:rsid w:val="00FF1617"/>
    <w:rsid w:val="00FF1724"/>
    <w:rsid w:val="00FF1BC3"/>
    <w:rsid w:val="00FF1CB5"/>
    <w:rsid w:val="00FF1EDC"/>
    <w:rsid w:val="00FF206C"/>
    <w:rsid w:val="00FF234D"/>
    <w:rsid w:val="00FF23D5"/>
    <w:rsid w:val="00FF2462"/>
    <w:rsid w:val="00FF28B6"/>
    <w:rsid w:val="00FF2BFF"/>
    <w:rsid w:val="00FF2D7F"/>
    <w:rsid w:val="00FF2E81"/>
    <w:rsid w:val="00FF2EBF"/>
    <w:rsid w:val="00FF3167"/>
    <w:rsid w:val="00FF3391"/>
    <w:rsid w:val="00FF35B3"/>
    <w:rsid w:val="00FF383C"/>
    <w:rsid w:val="00FF394B"/>
    <w:rsid w:val="00FF3AB4"/>
    <w:rsid w:val="00FF3BA7"/>
    <w:rsid w:val="00FF3E8D"/>
    <w:rsid w:val="00FF3F51"/>
    <w:rsid w:val="00FF4052"/>
    <w:rsid w:val="00FF4075"/>
    <w:rsid w:val="00FF43C3"/>
    <w:rsid w:val="00FF442A"/>
    <w:rsid w:val="00FF4755"/>
    <w:rsid w:val="00FF4A12"/>
    <w:rsid w:val="00FF4BEB"/>
    <w:rsid w:val="00FF5327"/>
    <w:rsid w:val="00FF56E7"/>
    <w:rsid w:val="00FF5F2D"/>
    <w:rsid w:val="00FF6274"/>
    <w:rsid w:val="00FF638F"/>
    <w:rsid w:val="00FF6470"/>
    <w:rsid w:val="00FF6714"/>
    <w:rsid w:val="00FF6716"/>
    <w:rsid w:val="00FF6842"/>
    <w:rsid w:val="00FF6943"/>
    <w:rsid w:val="00FF6A24"/>
    <w:rsid w:val="00FF6CD6"/>
    <w:rsid w:val="00FF6DB0"/>
    <w:rsid w:val="00FF6DC2"/>
    <w:rsid w:val="00FF6FEC"/>
    <w:rsid w:val="00FF70CF"/>
    <w:rsid w:val="00FF73B7"/>
    <w:rsid w:val="00FF757E"/>
    <w:rsid w:val="00FF794C"/>
    <w:rsid w:val="00FF7987"/>
    <w:rsid w:val="00FF7C8B"/>
    <w:rsid w:val="00FF7E0E"/>
    <w:rsid w:val="010B107E"/>
    <w:rsid w:val="010E3CBF"/>
    <w:rsid w:val="01227D26"/>
    <w:rsid w:val="01430CEC"/>
    <w:rsid w:val="018258E6"/>
    <w:rsid w:val="01C85E8F"/>
    <w:rsid w:val="02094A42"/>
    <w:rsid w:val="020A251B"/>
    <w:rsid w:val="022D0722"/>
    <w:rsid w:val="02314229"/>
    <w:rsid w:val="02314D9A"/>
    <w:rsid w:val="0252750C"/>
    <w:rsid w:val="02535E2A"/>
    <w:rsid w:val="02982183"/>
    <w:rsid w:val="029F728E"/>
    <w:rsid w:val="02A42C6E"/>
    <w:rsid w:val="02A76A2E"/>
    <w:rsid w:val="02BA77DE"/>
    <w:rsid w:val="02E32D09"/>
    <w:rsid w:val="02F34302"/>
    <w:rsid w:val="03310B5A"/>
    <w:rsid w:val="035B3DEC"/>
    <w:rsid w:val="037E6872"/>
    <w:rsid w:val="038922B6"/>
    <w:rsid w:val="038E1E99"/>
    <w:rsid w:val="039D52C0"/>
    <w:rsid w:val="03A63B27"/>
    <w:rsid w:val="03AA0F2C"/>
    <w:rsid w:val="041B705E"/>
    <w:rsid w:val="04554840"/>
    <w:rsid w:val="046E3995"/>
    <w:rsid w:val="04943988"/>
    <w:rsid w:val="04A9250C"/>
    <w:rsid w:val="04C70A1A"/>
    <w:rsid w:val="04E02B2F"/>
    <w:rsid w:val="04F36B88"/>
    <w:rsid w:val="04F45058"/>
    <w:rsid w:val="04FE692A"/>
    <w:rsid w:val="050457EB"/>
    <w:rsid w:val="05322E16"/>
    <w:rsid w:val="05497590"/>
    <w:rsid w:val="05535EE2"/>
    <w:rsid w:val="056E51DB"/>
    <w:rsid w:val="05790131"/>
    <w:rsid w:val="058228B0"/>
    <w:rsid w:val="0589593F"/>
    <w:rsid w:val="058B67ED"/>
    <w:rsid w:val="059105F9"/>
    <w:rsid w:val="05E774BE"/>
    <w:rsid w:val="05F22D05"/>
    <w:rsid w:val="062E4791"/>
    <w:rsid w:val="0631143D"/>
    <w:rsid w:val="0647546A"/>
    <w:rsid w:val="065D3732"/>
    <w:rsid w:val="066C4000"/>
    <w:rsid w:val="069B41DC"/>
    <w:rsid w:val="06C34012"/>
    <w:rsid w:val="06CB0D4A"/>
    <w:rsid w:val="06D169D1"/>
    <w:rsid w:val="06D82DE7"/>
    <w:rsid w:val="06E10623"/>
    <w:rsid w:val="070C370F"/>
    <w:rsid w:val="0718525D"/>
    <w:rsid w:val="07720947"/>
    <w:rsid w:val="077366B6"/>
    <w:rsid w:val="077D3B3C"/>
    <w:rsid w:val="078726DF"/>
    <w:rsid w:val="07B12643"/>
    <w:rsid w:val="07B767BC"/>
    <w:rsid w:val="07F92E63"/>
    <w:rsid w:val="080572C6"/>
    <w:rsid w:val="08517143"/>
    <w:rsid w:val="085D4452"/>
    <w:rsid w:val="087D4376"/>
    <w:rsid w:val="08820CB3"/>
    <w:rsid w:val="08E3337B"/>
    <w:rsid w:val="08EE36CD"/>
    <w:rsid w:val="090B781F"/>
    <w:rsid w:val="092B0222"/>
    <w:rsid w:val="098A5D55"/>
    <w:rsid w:val="099C51CB"/>
    <w:rsid w:val="09B57248"/>
    <w:rsid w:val="09B737BA"/>
    <w:rsid w:val="09F02778"/>
    <w:rsid w:val="0A0D000B"/>
    <w:rsid w:val="0A134698"/>
    <w:rsid w:val="0A4C6C32"/>
    <w:rsid w:val="0A4D48E3"/>
    <w:rsid w:val="0A741184"/>
    <w:rsid w:val="0A8417F8"/>
    <w:rsid w:val="0AA56BF7"/>
    <w:rsid w:val="0AD83BB7"/>
    <w:rsid w:val="0AE0469D"/>
    <w:rsid w:val="0AE37E52"/>
    <w:rsid w:val="0AFD0090"/>
    <w:rsid w:val="0B100BE4"/>
    <w:rsid w:val="0B3C32B4"/>
    <w:rsid w:val="0B4D651B"/>
    <w:rsid w:val="0B4E0759"/>
    <w:rsid w:val="0B721A63"/>
    <w:rsid w:val="0B923AD1"/>
    <w:rsid w:val="0BA8446C"/>
    <w:rsid w:val="0BBD12FE"/>
    <w:rsid w:val="0C2E5753"/>
    <w:rsid w:val="0C7A058C"/>
    <w:rsid w:val="0CA331A2"/>
    <w:rsid w:val="0CF4642C"/>
    <w:rsid w:val="0CFA1435"/>
    <w:rsid w:val="0D07017E"/>
    <w:rsid w:val="0DDE142C"/>
    <w:rsid w:val="0DDE7135"/>
    <w:rsid w:val="0E0A3FCF"/>
    <w:rsid w:val="0E167E56"/>
    <w:rsid w:val="0E263C6E"/>
    <w:rsid w:val="0E370B89"/>
    <w:rsid w:val="0E5271C2"/>
    <w:rsid w:val="0E730CAD"/>
    <w:rsid w:val="0E7F0A85"/>
    <w:rsid w:val="0E87566C"/>
    <w:rsid w:val="0E8B0348"/>
    <w:rsid w:val="0E9658AF"/>
    <w:rsid w:val="0EA71A0C"/>
    <w:rsid w:val="0EAB2426"/>
    <w:rsid w:val="0EB65F3F"/>
    <w:rsid w:val="0ED420F3"/>
    <w:rsid w:val="0F3E3864"/>
    <w:rsid w:val="0F5E45E4"/>
    <w:rsid w:val="0FA37B27"/>
    <w:rsid w:val="0FEA3BB5"/>
    <w:rsid w:val="0FEB162C"/>
    <w:rsid w:val="0FED59A3"/>
    <w:rsid w:val="10090E01"/>
    <w:rsid w:val="102806D3"/>
    <w:rsid w:val="102A5F01"/>
    <w:rsid w:val="10505D19"/>
    <w:rsid w:val="10711506"/>
    <w:rsid w:val="107236FD"/>
    <w:rsid w:val="109B7F20"/>
    <w:rsid w:val="10D54A5B"/>
    <w:rsid w:val="10F46875"/>
    <w:rsid w:val="11336993"/>
    <w:rsid w:val="11736CDF"/>
    <w:rsid w:val="117C585D"/>
    <w:rsid w:val="1189151A"/>
    <w:rsid w:val="11926C0D"/>
    <w:rsid w:val="11B11DE5"/>
    <w:rsid w:val="11D20439"/>
    <w:rsid w:val="12105979"/>
    <w:rsid w:val="122B756C"/>
    <w:rsid w:val="12506A98"/>
    <w:rsid w:val="126C2006"/>
    <w:rsid w:val="12BC1803"/>
    <w:rsid w:val="1316305E"/>
    <w:rsid w:val="133602F6"/>
    <w:rsid w:val="13436942"/>
    <w:rsid w:val="13AE71F7"/>
    <w:rsid w:val="13CF716E"/>
    <w:rsid w:val="144B1F74"/>
    <w:rsid w:val="146366CC"/>
    <w:rsid w:val="146A61A7"/>
    <w:rsid w:val="148448D1"/>
    <w:rsid w:val="14862A48"/>
    <w:rsid w:val="14B63DC0"/>
    <w:rsid w:val="14C26CAC"/>
    <w:rsid w:val="14E16399"/>
    <w:rsid w:val="14E706E5"/>
    <w:rsid w:val="14EA5058"/>
    <w:rsid w:val="153B2E49"/>
    <w:rsid w:val="153E28FE"/>
    <w:rsid w:val="15532316"/>
    <w:rsid w:val="156C55BC"/>
    <w:rsid w:val="15844E06"/>
    <w:rsid w:val="15B33A9E"/>
    <w:rsid w:val="15CB6B0A"/>
    <w:rsid w:val="16073473"/>
    <w:rsid w:val="16573B76"/>
    <w:rsid w:val="165A7CE5"/>
    <w:rsid w:val="16FA0BCE"/>
    <w:rsid w:val="170A4BA8"/>
    <w:rsid w:val="17771F8F"/>
    <w:rsid w:val="179A710F"/>
    <w:rsid w:val="17DD0189"/>
    <w:rsid w:val="181246F6"/>
    <w:rsid w:val="18927FB8"/>
    <w:rsid w:val="18A4024D"/>
    <w:rsid w:val="18C41270"/>
    <w:rsid w:val="18C41FB0"/>
    <w:rsid w:val="18DD47A2"/>
    <w:rsid w:val="18FF707C"/>
    <w:rsid w:val="1906518F"/>
    <w:rsid w:val="190B4AAB"/>
    <w:rsid w:val="1924221B"/>
    <w:rsid w:val="19343C09"/>
    <w:rsid w:val="198E03DD"/>
    <w:rsid w:val="1A014221"/>
    <w:rsid w:val="1A356C32"/>
    <w:rsid w:val="1A4C553B"/>
    <w:rsid w:val="1A6B7B48"/>
    <w:rsid w:val="1A903AFB"/>
    <w:rsid w:val="1ABA2414"/>
    <w:rsid w:val="1AE641B3"/>
    <w:rsid w:val="1AEB5A5E"/>
    <w:rsid w:val="1B032DA8"/>
    <w:rsid w:val="1B2E6E70"/>
    <w:rsid w:val="1B3501FE"/>
    <w:rsid w:val="1B4A4F63"/>
    <w:rsid w:val="1B53200A"/>
    <w:rsid w:val="1B660917"/>
    <w:rsid w:val="1B8F3253"/>
    <w:rsid w:val="1B907DB4"/>
    <w:rsid w:val="1B981894"/>
    <w:rsid w:val="1B9C4706"/>
    <w:rsid w:val="1BB46D24"/>
    <w:rsid w:val="1BC33A5C"/>
    <w:rsid w:val="1BC36101"/>
    <w:rsid w:val="1BEC3BCE"/>
    <w:rsid w:val="1C5B1CAC"/>
    <w:rsid w:val="1CA33DD5"/>
    <w:rsid w:val="1CB14372"/>
    <w:rsid w:val="1CF16760"/>
    <w:rsid w:val="1CF80C63"/>
    <w:rsid w:val="1D756FD8"/>
    <w:rsid w:val="1DA576DB"/>
    <w:rsid w:val="1DC624C6"/>
    <w:rsid w:val="1DE101C9"/>
    <w:rsid w:val="1E313985"/>
    <w:rsid w:val="1E4841E9"/>
    <w:rsid w:val="1E54033F"/>
    <w:rsid w:val="1E620931"/>
    <w:rsid w:val="1E7167D4"/>
    <w:rsid w:val="1E753295"/>
    <w:rsid w:val="1E765500"/>
    <w:rsid w:val="1EA00BE2"/>
    <w:rsid w:val="1ECF2B84"/>
    <w:rsid w:val="1EE24347"/>
    <w:rsid w:val="1EF741B9"/>
    <w:rsid w:val="1F0D4909"/>
    <w:rsid w:val="1F0E5479"/>
    <w:rsid w:val="1F110C10"/>
    <w:rsid w:val="1F180C7A"/>
    <w:rsid w:val="1F4507C3"/>
    <w:rsid w:val="1F613BBB"/>
    <w:rsid w:val="1FAB3689"/>
    <w:rsid w:val="1FBF7BD2"/>
    <w:rsid w:val="1FFD7333"/>
    <w:rsid w:val="20367560"/>
    <w:rsid w:val="20401B7C"/>
    <w:rsid w:val="205B7267"/>
    <w:rsid w:val="206C502F"/>
    <w:rsid w:val="20C217E1"/>
    <w:rsid w:val="20D03576"/>
    <w:rsid w:val="20D13508"/>
    <w:rsid w:val="21056133"/>
    <w:rsid w:val="212015F4"/>
    <w:rsid w:val="212B3679"/>
    <w:rsid w:val="21572349"/>
    <w:rsid w:val="21611D4D"/>
    <w:rsid w:val="218421C2"/>
    <w:rsid w:val="21941067"/>
    <w:rsid w:val="2195779A"/>
    <w:rsid w:val="21C25C5D"/>
    <w:rsid w:val="21D242EF"/>
    <w:rsid w:val="22A2024E"/>
    <w:rsid w:val="22AE58D7"/>
    <w:rsid w:val="22FA388F"/>
    <w:rsid w:val="23122BC4"/>
    <w:rsid w:val="23181FDD"/>
    <w:rsid w:val="23442B22"/>
    <w:rsid w:val="236507C6"/>
    <w:rsid w:val="23792E18"/>
    <w:rsid w:val="23F630DF"/>
    <w:rsid w:val="243653F3"/>
    <w:rsid w:val="24513FC4"/>
    <w:rsid w:val="2478623F"/>
    <w:rsid w:val="24863B0C"/>
    <w:rsid w:val="24D40F7C"/>
    <w:rsid w:val="24E469FE"/>
    <w:rsid w:val="24E6696C"/>
    <w:rsid w:val="24F74D58"/>
    <w:rsid w:val="24FD1D8D"/>
    <w:rsid w:val="250E266F"/>
    <w:rsid w:val="251D2BFE"/>
    <w:rsid w:val="25424467"/>
    <w:rsid w:val="25444AB3"/>
    <w:rsid w:val="255E7B17"/>
    <w:rsid w:val="2562506A"/>
    <w:rsid w:val="256D56AC"/>
    <w:rsid w:val="257D0110"/>
    <w:rsid w:val="25C134DF"/>
    <w:rsid w:val="25C86792"/>
    <w:rsid w:val="25D02459"/>
    <w:rsid w:val="26013FD5"/>
    <w:rsid w:val="262415CD"/>
    <w:rsid w:val="262F0723"/>
    <w:rsid w:val="263B7F66"/>
    <w:rsid w:val="26572CA0"/>
    <w:rsid w:val="266849A6"/>
    <w:rsid w:val="268655DE"/>
    <w:rsid w:val="26896F56"/>
    <w:rsid w:val="268C6F51"/>
    <w:rsid w:val="26A47C21"/>
    <w:rsid w:val="26EC7F56"/>
    <w:rsid w:val="27114DBD"/>
    <w:rsid w:val="271B20D2"/>
    <w:rsid w:val="273B0EE6"/>
    <w:rsid w:val="2775401E"/>
    <w:rsid w:val="2779577C"/>
    <w:rsid w:val="277F7A31"/>
    <w:rsid w:val="27886878"/>
    <w:rsid w:val="278C5F44"/>
    <w:rsid w:val="27B74FE7"/>
    <w:rsid w:val="28447B02"/>
    <w:rsid w:val="284D4DD9"/>
    <w:rsid w:val="28875984"/>
    <w:rsid w:val="289F69F8"/>
    <w:rsid w:val="28B95B1B"/>
    <w:rsid w:val="28C14936"/>
    <w:rsid w:val="28DC615D"/>
    <w:rsid w:val="29143B49"/>
    <w:rsid w:val="291525B3"/>
    <w:rsid w:val="292878E8"/>
    <w:rsid w:val="292B256E"/>
    <w:rsid w:val="2944132D"/>
    <w:rsid w:val="29470C8A"/>
    <w:rsid w:val="29520DAB"/>
    <w:rsid w:val="2971393D"/>
    <w:rsid w:val="297220F7"/>
    <w:rsid w:val="29893ECF"/>
    <w:rsid w:val="298E3EB0"/>
    <w:rsid w:val="29E8497D"/>
    <w:rsid w:val="2A13232F"/>
    <w:rsid w:val="2A267F48"/>
    <w:rsid w:val="2A3D2A7E"/>
    <w:rsid w:val="2A4A4471"/>
    <w:rsid w:val="2A507380"/>
    <w:rsid w:val="2A706D28"/>
    <w:rsid w:val="2AA124F2"/>
    <w:rsid w:val="2AA950B1"/>
    <w:rsid w:val="2ABA305A"/>
    <w:rsid w:val="2AD10309"/>
    <w:rsid w:val="2B0F1925"/>
    <w:rsid w:val="2B0F281A"/>
    <w:rsid w:val="2B1C372E"/>
    <w:rsid w:val="2B296659"/>
    <w:rsid w:val="2B433883"/>
    <w:rsid w:val="2B461610"/>
    <w:rsid w:val="2B474AD3"/>
    <w:rsid w:val="2B515901"/>
    <w:rsid w:val="2B63572C"/>
    <w:rsid w:val="2B7C3A0E"/>
    <w:rsid w:val="2B8B1002"/>
    <w:rsid w:val="2BB72371"/>
    <w:rsid w:val="2BC127AB"/>
    <w:rsid w:val="2BC5112A"/>
    <w:rsid w:val="2BDD5197"/>
    <w:rsid w:val="2BE50BEB"/>
    <w:rsid w:val="2BE76D36"/>
    <w:rsid w:val="2C024F19"/>
    <w:rsid w:val="2C1F422E"/>
    <w:rsid w:val="2C3430C9"/>
    <w:rsid w:val="2C6736F0"/>
    <w:rsid w:val="2C693293"/>
    <w:rsid w:val="2C6D4F68"/>
    <w:rsid w:val="2CC940A1"/>
    <w:rsid w:val="2CDD744B"/>
    <w:rsid w:val="2CED41E3"/>
    <w:rsid w:val="2D297331"/>
    <w:rsid w:val="2D3506DA"/>
    <w:rsid w:val="2DF06B29"/>
    <w:rsid w:val="2E4E0E5F"/>
    <w:rsid w:val="2E53306D"/>
    <w:rsid w:val="2E5A70ED"/>
    <w:rsid w:val="2E617C8E"/>
    <w:rsid w:val="2E7022AC"/>
    <w:rsid w:val="2E8461AA"/>
    <w:rsid w:val="2E8A7E1A"/>
    <w:rsid w:val="2E9E3DA3"/>
    <w:rsid w:val="2EAE5EA6"/>
    <w:rsid w:val="2EEC1D50"/>
    <w:rsid w:val="2F2A187B"/>
    <w:rsid w:val="2F4C7CA3"/>
    <w:rsid w:val="2F901D3A"/>
    <w:rsid w:val="2FB628FF"/>
    <w:rsid w:val="2FBB52AF"/>
    <w:rsid w:val="2FBC18EF"/>
    <w:rsid w:val="2FDF5213"/>
    <w:rsid w:val="3027413A"/>
    <w:rsid w:val="30297062"/>
    <w:rsid w:val="30711249"/>
    <w:rsid w:val="30FD1D36"/>
    <w:rsid w:val="311A0E72"/>
    <w:rsid w:val="313034EA"/>
    <w:rsid w:val="313F6C20"/>
    <w:rsid w:val="31822547"/>
    <w:rsid w:val="31950BC0"/>
    <w:rsid w:val="319973A5"/>
    <w:rsid w:val="31C3610C"/>
    <w:rsid w:val="31C515CC"/>
    <w:rsid w:val="31E31807"/>
    <w:rsid w:val="31EA1FE9"/>
    <w:rsid w:val="31EC23C0"/>
    <w:rsid w:val="320449F0"/>
    <w:rsid w:val="322F0A42"/>
    <w:rsid w:val="323079DA"/>
    <w:rsid w:val="32516334"/>
    <w:rsid w:val="32591A0F"/>
    <w:rsid w:val="325E39AF"/>
    <w:rsid w:val="329D3BE4"/>
    <w:rsid w:val="32B7184E"/>
    <w:rsid w:val="32E74E94"/>
    <w:rsid w:val="32FB7737"/>
    <w:rsid w:val="33110FD4"/>
    <w:rsid w:val="333A3A57"/>
    <w:rsid w:val="333F3692"/>
    <w:rsid w:val="333F7A14"/>
    <w:rsid w:val="33474C8C"/>
    <w:rsid w:val="33580904"/>
    <w:rsid w:val="33A70526"/>
    <w:rsid w:val="33AD77B8"/>
    <w:rsid w:val="33B53A61"/>
    <w:rsid w:val="33D72A06"/>
    <w:rsid w:val="343F5818"/>
    <w:rsid w:val="34822624"/>
    <w:rsid w:val="348D0665"/>
    <w:rsid w:val="34A81861"/>
    <w:rsid w:val="34A87979"/>
    <w:rsid w:val="34AE2FD6"/>
    <w:rsid w:val="34C92758"/>
    <w:rsid w:val="34CD309C"/>
    <w:rsid w:val="34D33AC3"/>
    <w:rsid w:val="34F36598"/>
    <w:rsid w:val="35027E10"/>
    <w:rsid w:val="35491396"/>
    <w:rsid w:val="3556472B"/>
    <w:rsid w:val="35840BBD"/>
    <w:rsid w:val="35863F9E"/>
    <w:rsid w:val="35BB4310"/>
    <w:rsid w:val="35EB3781"/>
    <w:rsid w:val="36086F9F"/>
    <w:rsid w:val="36164D10"/>
    <w:rsid w:val="361D4DC4"/>
    <w:rsid w:val="362E1D03"/>
    <w:rsid w:val="36731F7C"/>
    <w:rsid w:val="367B534B"/>
    <w:rsid w:val="369D7CF4"/>
    <w:rsid w:val="36CD3AC2"/>
    <w:rsid w:val="36E60570"/>
    <w:rsid w:val="36F0799B"/>
    <w:rsid w:val="370155BC"/>
    <w:rsid w:val="370624A4"/>
    <w:rsid w:val="37076A5F"/>
    <w:rsid w:val="37133692"/>
    <w:rsid w:val="37217290"/>
    <w:rsid w:val="3743085E"/>
    <w:rsid w:val="37515D80"/>
    <w:rsid w:val="376E0978"/>
    <w:rsid w:val="37932D6D"/>
    <w:rsid w:val="37CE289B"/>
    <w:rsid w:val="37F57E67"/>
    <w:rsid w:val="37FF6669"/>
    <w:rsid w:val="38090181"/>
    <w:rsid w:val="382D7BA8"/>
    <w:rsid w:val="38320EBF"/>
    <w:rsid w:val="38324313"/>
    <w:rsid w:val="387D0E03"/>
    <w:rsid w:val="38C3513B"/>
    <w:rsid w:val="38EB0F1C"/>
    <w:rsid w:val="3931230E"/>
    <w:rsid w:val="39356BC6"/>
    <w:rsid w:val="395420EF"/>
    <w:rsid w:val="395C1355"/>
    <w:rsid w:val="398B70C1"/>
    <w:rsid w:val="39974301"/>
    <w:rsid w:val="39D2261C"/>
    <w:rsid w:val="39FF1EC0"/>
    <w:rsid w:val="3A5E4C24"/>
    <w:rsid w:val="3A91348F"/>
    <w:rsid w:val="3A9E7BDE"/>
    <w:rsid w:val="3AC90FD0"/>
    <w:rsid w:val="3AD65D3C"/>
    <w:rsid w:val="3AFC7952"/>
    <w:rsid w:val="3B1655F1"/>
    <w:rsid w:val="3B1A6307"/>
    <w:rsid w:val="3B334279"/>
    <w:rsid w:val="3B345984"/>
    <w:rsid w:val="3B504158"/>
    <w:rsid w:val="3B594C8E"/>
    <w:rsid w:val="3BE0588A"/>
    <w:rsid w:val="3BE23BA8"/>
    <w:rsid w:val="3BF72BB7"/>
    <w:rsid w:val="3C5D7F38"/>
    <w:rsid w:val="3C911452"/>
    <w:rsid w:val="3C920505"/>
    <w:rsid w:val="3CA24200"/>
    <w:rsid w:val="3CD221EF"/>
    <w:rsid w:val="3CD5665C"/>
    <w:rsid w:val="3CF35E0E"/>
    <w:rsid w:val="3D121CF5"/>
    <w:rsid w:val="3D27726D"/>
    <w:rsid w:val="3D5A509B"/>
    <w:rsid w:val="3D6960BE"/>
    <w:rsid w:val="3D7048BF"/>
    <w:rsid w:val="3D907E0C"/>
    <w:rsid w:val="3D9D1990"/>
    <w:rsid w:val="3DA9180C"/>
    <w:rsid w:val="3DC3607D"/>
    <w:rsid w:val="3DF91390"/>
    <w:rsid w:val="3E03620E"/>
    <w:rsid w:val="3E2B75DF"/>
    <w:rsid w:val="3E333F62"/>
    <w:rsid w:val="3E4570AD"/>
    <w:rsid w:val="3E5048D5"/>
    <w:rsid w:val="3E6478FF"/>
    <w:rsid w:val="3E6B4C0A"/>
    <w:rsid w:val="3EA66B99"/>
    <w:rsid w:val="3EB61452"/>
    <w:rsid w:val="3ECD1788"/>
    <w:rsid w:val="3EEB1561"/>
    <w:rsid w:val="3F1461F9"/>
    <w:rsid w:val="3F1E45F5"/>
    <w:rsid w:val="3F5D527E"/>
    <w:rsid w:val="3F791C86"/>
    <w:rsid w:val="3F807CE8"/>
    <w:rsid w:val="3F960304"/>
    <w:rsid w:val="3F9D2E56"/>
    <w:rsid w:val="3F9D2EE1"/>
    <w:rsid w:val="3FAF26C9"/>
    <w:rsid w:val="40095AC8"/>
    <w:rsid w:val="40455A0C"/>
    <w:rsid w:val="406640D7"/>
    <w:rsid w:val="407E4CFC"/>
    <w:rsid w:val="407F76A2"/>
    <w:rsid w:val="40C103C4"/>
    <w:rsid w:val="40C123D7"/>
    <w:rsid w:val="40F575D1"/>
    <w:rsid w:val="41040C0E"/>
    <w:rsid w:val="410C6D05"/>
    <w:rsid w:val="41100630"/>
    <w:rsid w:val="411C304C"/>
    <w:rsid w:val="412474C8"/>
    <w:rsid w:val="415B2621"/>
    <w:rsid w:val="415B6E6B"/>
    <w:rsid w:val="417278F3"/>
    <w:rsid w:val="418F45C8"/>
    <w:rsid w:val="41954BF4"/>
    <w:rsid w:val="419E4CBC"/>
    <w:rsid w:val="41D1217F"/>
    <w:rsid w:val="41F67E38"/>
    <w:rsid w:val="42084941"/>
    <w:rsid w:val="423D3E3E"/>
    <w:rsid w:val="4262577F"/>
    <w:rsid w:val="42DE64DE"/>
    <w:rsid w:val="42F218F7"/>
    <w:rsid w:val="430A0935"/>
    <w:rsid w:val="430B76D3"/>
    <w:rsid w:val="43310A9F"/>
    <w:rsid w:val="4337713B"/>
    <w:rsid w:val="4353208D"/>
    <w:rsid w:val="436125E9"/>
    <w:rsid w:val="438404A6"/>
    <w:rsid w:val="438865E1"/>
    <w:rsid w:val="438D006E"/>
    <w:rsid w:val="43B74F91"/>
    <w:rsid w:val="43F05B9F"/>
    <w:rsid w:val="43F66C59"/>
    <w:rsid w:val="43F73717"/>
    <w:rsid w:val="441A6F14"/>
    <w:rsid w:val="4479399A"/>
    <w:rsid w:val="44C045F3"/>
    <w:rsid w:val="44C147DB"/>
    <w:rsid w:val="452B16C5"/>
    <w:rsid w:val="4538558F"/>
    <w:rsid w:val="4548497E"/>
    <w:rsid w:val="45521944"/>
    <w:rsid w:val="4559189F"/>
    <w:rsid w:val="45671591"/>
    <w:rsid w:val="457F1623"/>
    <w:rsid w:val="458C5CEC"/>
    <w:rsid w:val="45927584"/>
    <w:rsid w:val="45B924EE"/>
    <w:rsid w:val="45D37192"/>
    <w:rsid w:val="45D802FC"/>
    <w:rsid w:val="45DF4649"/>
    <w:rsid w:val="45E52E72"/>
    <w:rsid w:val="46027119"/>
    <w:rsid w:val="46132BD0"/>
    <w:rsid w:val="46201021"/>
    <w:rsid w:val="46205967"/>
    <w:rsid w:val="464253AA"/>
    <w:rsid w:val="469E6815"/>
    <w:rsid w:val="46CB02E6"/>
    <w:rsid w:val="46F257B0"/>
    <w:rsid w:val="47004F1A"/>
    <w:rsid w:val="47BE2944"/>
    <w:rsid w:val="47FC030F"/>
    <w:rsid w:val="480635FB"/>
    <w:rsid w:val="48853CC3"/>
    <w:rsid w:val="48B06F92"/>
    <w:rsid w:val="48B36B20"/>
    <w:rsid w:val="48BA700C"/>
    <w:rsid w:val="490B74CB"/>
    <w:rsid w:val="49634159"/>
    <w:rsid w:val="49640673"/>
    <w:rsid w:val="49687375"/>
    <w:rsid w:val="497071B1"/>
    <w:rsid w:val="497C3DC8"/>
    <w:rsid w:val="49841885"/>
    <w:rsid w:val="49B81901"/>
    <w:rsid w:val="49C369AA"/>
    <w:rsid w:val="49CB6D89"/>
    <w:rsid w:val="4A1515EC"/>
    <w:rsid w:val="4A4C2D7E"/>
    <w:rsid w:val="4AAD6A7C"/>
    <w:rsid w:val="4AAE40F2"/>
    <w:rsid w:val="4AC25650"/>
    <w:rsid w:val="4ACC0DE3"/>
    <w:rsid w:val="4AFA39BA"/>
    <w:rsid w:val="4B04601E"/>
    <w:rsid w:val="4B0610EB"/>
    <w:rsid w:val="4B38361D"/>
    <w:rsid w:val="4B4379DB"/>
    <w:rsid w:val="4B497538"/>
    <w:rsid w:val="4B5808AF"/>
    <w:rsid w:val="4B71260A"/>
    <w:rsid w:val="4BA47D77"/>
    <w:rsid w:val="4BA72C03"/>
    <w:rsid w:val="4C0C0983"/>
    <w:rsid w:val="4C3861A9"/>
    <w:rsid w:val="4C483153"/>
    <w:rsid w:val="4C597027"/>
    <w:rsid w:val="4C622FA6"/>
    <w:rsid w:val="4C645D9D"/>
    <w:rsid w:val="4C896C98"/>
    <w:rsid w:val="4C922C03"/>
    <w:rsid w:val="4C941500"/>
    <w:rsid w:val="4C942FB9"/>
    <w:rsid w:val="4C972671"/>
    <w:rsid w:val="4D090A1F"/>
    <w:rsid w:val="4D3E51D9"/>
    <w:rsid w:val="4D4736F7"/>
    <w:rsid w:val="4D6B55EB"/>
    <w:rsid w:val="4DAA01F4"/>
    <w:rsid w:val="4DBE79D9"/>
    <w:rsid w:val="4E1B3100"/>
    <w:rsid w:val="4E2F4B6D"/>
    <w:rsid w:val="4E5F34F1"/>
    <w:rsid w:val="4E682018"/>
    <w:rsid w:val="4E701FE7"/>
    <w:rsid w:val="4EAE088A"/>
    <w:rsid w:val="4ED355A6"/>
    <w:rsid w:val="4ED607DA"/>
    <w:rsid w:val="4F3140A1"/>
    <w:rsid w:val="4F69299E"/>
    <w:rsid w:val="4F6F2668"/>
    <w:rsid w:val="4F7E4D92"/>
    <w:rsid w:val="4F901070"/>
    <w:rsid w:val="4F956434"/>
    <w:rsid w:val="4FAA36DF"/>
    <w:rsid w:val="4FCA6EE4"/>
    <w:rsid w:val="4FD20080"/>
    <w:rsid w:val="501976D2"/>
    <w:rsid w:val="50291B33"/>
    <w:rsid w:val="507D0ED3"/>
    <w:rsid w:val="50866EB8"/>
    <w:rsid w:val="50AD3DB4"/>
    <w:rsid w:val="50D6535F"/>
    <w:rsid w:val="50D72283"/>
    <w:rsid w:val="50E43379"/>
    <w:rsid w:val="51076BAC"/>
    <w:rsid w:val="51312C3A"/>
    <w:rsid w:val="513D2FF9"/>
    <w:rsid w:val="51592746"/>
    <w:rsid w:val="51910F0B"/>
    <w:rsid w:val="51992338"/>
    <w:rsid w:val="519E3D9F"/>
    <w:rsid w:val="51BA2C30"/>
    <w:rsid w:val="51FA087C"/>
    <w:rsid w:val="52182F4F"/>
    <w:rsid w:val="52194BAC"/>
    <w:rsid w:val="52273B0A"/>
    <w:rsid w:val="52363AA0"/>
    <w:rsid w:val="52512517"/>
    <w:rsid w:val="527372FC"/>
    <w:rsid w:val="52AB295D"/>
    <w:rsid w:val="52D7783D"/>
    <w:rsid w:val="53061A51"/>
    <w:rsid w:val="531613D5"/>
    <w:rsid w:val="53446B81"/>
    <w:rsid w:val="53891519"/>
    <w:rsid w:val="53CA5BF9"/>
    <w:rsid w:val="53D51EF9"/>
    <w:rsid w:val="53E57D07"/>
    <w:rsid w:val="54036517"/>
    <w:rsid w:val="5411329A"/>
    <w:rsid w:val="54514AEC"/>
    <w:rsid w:val="54526CC3"/>
    <w:rsid w:val="54890250"/>
    <w:rsid w:val="54A144B7"/>
    <w:rsid w:val="54A649A1"/>
    <w:rsid w:val="55343A55"/>
    <w:rsid w:val="55647731"/>
    <w:rsid w:val="557746A5"/>
    <w:rsid w:val="55C80D35"/>
    <w:rsid w:val="55D9135E"/>
    <w:rsid w:val="55E4454A"/>
    <w:rsid w:val="55E93B81"/>
    <w:rsid w:val="56015385"/>
    <w:rsid w:val="560A481B"/>
    <w:rsid w:val="562D1250"/>
    <w:rsid w:val="565750B5"/>
    <w:rsid w:val="566413BC"/>
    <w:rsid w:val="56BD4E45"/>
    <w:rsid w:val="56C10CDE"/>
    <w:rsid w:val="56DD7F64"/>
    <w:rsid w:val="56E57D08"/>
    <w:rsid w:val="56F14723"/>
    <w:rsid w:val="570A0D3E"/>
    <w:rsid w:val="570F6F87"/>
    <w:rsid w:val="57141B67"/>
    <w:rsid w:val="57272FAD"/>
    <w:rsid w:val="573C3157"/>
    <w:rsid w:val="575D03E3"/>
    <w:rsid w:val="576A0EE3"/>
    <w:rsid w:val="57831D16"/>
    <w:rsid w:val="57862CEF"/>
    <w:rsid w:val="57870BD8"/>
    <w:rsid w:val="5788718B"/>
    <w:rsid w:val="579145F2"/>
    <w:rsid w:val="57DD06E5"/>
    <w:rsid w:val="57DF73D3"/>
    <w:rsid w:val="57EA1871"/>
    <w:rsid w:val="57F526C5"/>
    <w:rsid w:val="57F91E22"/>
    <w:rsid w:val="57FE74B7"/>
    <w:rsid w:val="58165608"/>
    <w:rsid w:val="5829391F"/>
    <w:rsid w:val="5837219B"/>
    <w:rsid w:val="58726012"/>
    <w:rsid w:val="5880494A"/>
    <w:rsid w:val="58A56E50"/>
    <w:rsid w:val="58F7063F"/>
    <w:rsid w:val="59695DF9"/>
    <w:rsid w:val="59720F80"/>
    <w:rsid w:val="59745DBF"/>
    <w:rsid w:val="59752257"/>
    <w:rsid w:val="59946088"/>
    <w:rsid w:val="599C51DD"/>
    <w:rsid w:val="59AF4916"/>
    <w:rsid w:val="59C272FE"/>
    <w:rsid w:val="5A1622E5"/>
    <w:rsid w:val="5A2C3F9F"/>
    <w:rsid w:val="5A2D37FE"/>
    <w:rsid w:val="5A6F1003"/>
    <w:rsid w:val="5A8D5CE7"/>
    <w:rsid w:val="5A9A3643"/>
    <w:rsid w:val="5AB41356"/>
    <w:rsid w:val="5AB641BD"/>
    <w:rsid w:val="5AC908F3"/>
    <w:rsid w:val="5AD92CAE"/>
    <w:rsid w:val="5AF831F4"/>
    <w:rsid w:val="5B1F2888"/>
    <w:rsid w:val="5B576DE1"/>
    <w:rsid w:val="5B62283A"/>
    <w:rsid w:val="5B7A54AD"/>
    <w:rsid w:val="5BE35059"/>
    <w:rsid w:val="5C21189B"/>
    <w:rsid w:val="5C351108"/>
    <w:rsid w:val="5C8E0F41"/>
    <w:rsid w:val="5C9A5D34"/>
    <w:rsid w:val="5C9D0E66"/>
    <w:rsid w:val="5CCA76CE"/>
    <w:rsid w:val="5CD24B9C"/>
    <w:rsid w:val="5CD919D1"/>
    <w:rsid w:val="5D4D4857"/>
    <w:rsid w:val="5D6518E3"/>
    <w:rsid w:val="5D8516AC"/>
    <w:rsid w:val="5D8E7C5F"/>
    <w:rsid w:val="5DA03319"/>
    <w:rsid w:val="5DB4427B"/>
    <w:rsid w:val="5E0F7F3A"/>
    <w:rsid w:val="5E3A4DCD"/>
    <w:rsid w:val="5E4806FD"/>
    <w:rsid w:val="5E5F3923"/>
    <w:rsid w:val="5E8C7702"/>
    <w:rsid w:val="5E950536"/>
    <w:rsid w:val="5ED75C20"/>
    <w:rsid w:val="5F44165F"/>
    <w:rsid w:val="5F4F6127"/>
    <w:rsid w:val="5F8400D7"/>
    <w:rsid w:val="5F93686E"/>
    <w:rsid w:val="5FB11486"/>
    <w:rsid w:val="5FB24FF1"/>
    <w:rsid w:val="5FE26B2F"/>
    <w:rsid w:val="5FE33352"/>
    <w:rsid w:val="5FF82483"/>
    <w:rsid w:val="6069445C"/>
    <w:rsid w:val="606C1167"/>
    <w:rsid w:val="606D6411"/>
    <w:rsid w:val="606E3563"/>
    <w:rsid w:val="60712E23"/>
    <w:rsid w:val="60743796"/>
    <w:rsid w:val="607C126D"/>
    <w:rsid w:val="608868FA"/>
    <w:rsid w:val="609470A2"/>
    <w:rsid w:val="60A22A8D"/>
    <w:rsid w:val="60A2769C"/>
    <w:rsid w:val="60D0770A"/>
    <w:rsid w:val="60DC757A"/>
    <w:rsid w:val="60FA0A1F"/>
    <w:rsid w:val="60FC2B05"/>
    <w:rsid w:val="60FC47E9"/>
    <w:rsid w:val="610A33DA"/>
    <w:rsid w:val="610B312D"/>
    <w:rsid w:val="614B597F"/>
    <w:rsid w:val="614C2CD6"/>
    <w:rsid w:val="617453C0"/>
    <w:rsid w:val="6194524A"/>
    <w:rsid w:val="61A3553D"/>
    <w:rsid w:val="61BD5DE9"/>
    <w:rsid w:val="61C774D1"/>
    <w:rsid w:val="61C827FF"/>
    <w:rsid w:val="6211081A"/>
    <w:rsid w:val="62650996"/>
    <w:rsid w:val="62730E68"/>
    <w:rsid w:val="627776BD"/>
    <w:rsid w:val="628539FF"/>
    <w:rsid w:val="62D43425"/>
    <w:rsid w:val="62FE7BB5"/>
    <w:rsid w:val="63116553"/>
    <w:rsid w:val="6335571B"/>
    <w:rsid w:val="63375F1A"/>
    <w:rsid w:val="63420F54"/>
    <w:rsid w:val="634C1309"/>
    <w:rsid w:val="63666C67"/>
    <w:rsid w:val="63E633BB"/>
    <w:rsid w:val="63EE045C"/>
    <w:rsid w:val="63F260D1"/>
    <w:rsid w:val="64351AB5"/>
    <w:rsid w:val="6445282D"/>
    <w:rsid w:val="64466D89"/>
    <w:rsid w:val="64605BF2"/>
    <w:rsid w:val="646318CF"/>
    <w:rsid w:val="64D20603"/>
    <w:rsid w:val="64E76E8E"/>
    <w:rsid w:val="64EB5EF5"/>
    <w:rsid w:val="655962D4"/>
    <w:rsid w:val="656055FC"/>
    <w:rsid w:val="65660820"/>
    <w:rsid w:val="658C4ECD"/>
    <w:rsid w:val="65AE3C82"/>
    <w:rsid w:val="6609084B"/>
    <w:rsid w:val="662461F2"/>
    <w:rsid w:val="66494B43"/>
    <w:rsid w:val="664F6B36"/>
    <w:rsid w:val="665C20B0"/>
    <w:rsid w:val="66731B24"/>
    <w:rsid w:val="66B6356E"/>
    <w:rsid w:val="66C33A9A"/>
    <w:rsid w:val="66D55DF7"/>
    <w:rsid w:val="66FB0F84"/>
    <w:rsid w:val="672F228B"/>
    <w:rsid w:val="67331B79"/>
    <w:rsid w:val="674D6542"/>
    <w:rsid w:val="6783595D"/>
    <w:rsid w:val="67904D39"/>
    <w:rsid w:val="679C00E7"/>
    <w:rsid w:val="67A35389"/>
    <w:rsid w:val="67B27B18"/>
    <w:rsid w:val="67C0778C"/>
    <w:rsid w:val="68030DA1"/>
    <w:rsid w:val="68093B71"/>
    <w:rsid w:val="681D1F7C"/>
    <w:rsid w:val="682B7F8C"/>
    <w:rsid w:val="686E486B"/>
    <w:rsid w:val="68713A61"/>
    <w:rsid w:val="68A613C0"/>
    <w:rsid w:val="68D12704"/>
    <w:rsid w:val="691C0103"/>
    <w:rsid w:val="69224EEB"/>
    <w:rsid w:val="695C5571"/>
    <w:rsid w:val="697936F7"/>
    <w:rsid w:val="69794D27"/>
    <w:rsid w:val="698F037E"/>
    <w:rsid w:val="69A70E34"/>
    <w:rsid w:val="69AF34C9"/>
    <w:rsid w:val="69B432A5"/>
    <w:rsid w:val="69FE5CD2"/>
    <w:rsid w:val="6A154662"/>
    <w:rsid w:val="6A7E4228"/>
    <w:rsid w:val="6A860F58"/>
    <w:rsid w:val="6AB0222C"/>
    <w:rsid w:val="6AC17950"/>
    <w:rsid w:val="6AD34B5C"/>
    <w:rsid w:val="6AD525D3"/>
    <w:rsid w:val="6AD7437B"/>
    <w:rsid w:val="6AE67039"/>
    <w:rsid w:val="6AF17006"/>
    <w:rsid w:val="6B0C7BA8"/>
    <w:rsid w:val="6B5338C3"/>
    <w:rsid w:val="6B564C0B"/>
    <w:rsid w:val="6B655895"/>
    <w:rsid w:val="6B6E4C4D"/>
    <w:rsid w:val="6BAA0D03"/>
    <w:rsid w:val="6BAA5029"/>
    <w:rsid w:val="6BE4292B"/>
    <w:rsid w:val="6BED3538"/>
    <w:rsid w:val="6C0C579C"/>
    <w:rsid w:val="6C165336"/>
    <w:rsid w:val="6C401E25"/>
    <w:rsid w:val="6C452FFE"/>
    <w:rsid w:val="6C894979"/>
    <w:rsid w:val="6C9040CC"/>
    <w:rsid w:val="6CC877EE"/>
    <w:rsid w:val="6CF46B9E"/>
    <w:rsid w:val="6D0C1FBC"/>
    <w:rsid w:val="6D4B2805"/>
    <w:rsid w:val="6D7450F6"/>
    <w:rsid w:val="6D86710A"/>
    <w:rsid w:val="6D9772CB"/>
    <w:rsid w:val="6DA32372"/>
    <w:rsid w:val="6DAA5FD2"/>
    <w:rsid w:val="6DAF6EF8"/>
    <w:rsid w:val="6DDA723A"/>
    <w:rsid w:val="6DF05F6E"/>
    <w:rsid w:val="6E093923"/>
    <w:rsid w:val="6E2A27BB"/>
    <w:rsid w:val="6E2F73C1"/>
    <w:rsid w:val="6E601AA0"/>
    <w:rsid w:val="6E6A212A"/>
    <w:rsid w:val="6E70616F"/>
    <w:rsid w:val="6E923D57"/>
    <w:rsid w:val="6EDC080A"/>
    <w:rsid w:val="6EE60C93"/>
    <w:rsid w:val="6F073A1A"/>
    <w:rsid w:val="6F23764E"/>
    <w:rsid w:val="6F2F6326"/>
    <w:rsid w:val="6F416A62"/>
    <w:rsid w:val="6F651C0E"/>
    <w:rsid w:val="6FAF4CDA"/>
    <w:rsid w:val="6FB65368"/>
    <w:rsid w:val="6FFD07D7"/>
    <w:rsid w:val="703216AF"/>
    <w:rsid w:val="70450C12"/>
    <w:rsid w:val="70615096"/>
    <w:rsid w:val="7066129D"/>
    <w:rsid w:val="707D2FDC"/>
    <w:rsid w:val="70EC6887"/>
    <w:rsid w:val="714421E2"/>
    <w:rsid w:val="71505A80"/>
    <w:rsid w:val="71611E8E"/>
    <w:rsid w:val="717254F0"/>
    <w:rsid w:val="71A46602"/>
    <w:rsid w:val="71A937A5"/>
    <w:rsid w:val="71CE080B"/>
    <w:rsid w:val="71EC5FEF"/>
    <w:rsid w:val="71F30CBE"/>
    <w:rsid w:val="721B00B9"/>
    <w:rsid w:val="72273F22"/>
    <w:rsid w:val="72304D45"/>
    <w:rsid w:val="72305171"/>
    <w:rsid w:val="729C524D"/>
    <w:rsid w:val="72D15711"/>
    <w:rsid w:val="72DD2174"/>
    <w:rsid w:val="734658BF"/>
    <w:rsid w:val="73586FEA"/>
    <w:rsid w:val="73655FDF"/>
    <w:rsid w:val="736F0626"/>
    <w:rsid w:val="73714A08"/>
    <w:rsid w:val="7386251A"/>
    <w:rsid w:val="73B415E2"/>
    <w:rsid w:val="73C416D3"/>
    <w:rsid w:val="7447630D"/>
    <w:rsid w:val="744E2ACF"/>
    <w:rsid w:val="74546A95"/>
    <w:rsid w:val="745661D1"/>
    <w:rsid w:val="74C73CC8"/>
    <w:rsid w:val="74D557DA"/>
    <w:rsid w:val="751F6782"/>
    <w:rsid w:val="75350218"/>
    <w:rsid w:val="754C213A"/>
    <w:rsid w:val="7552708B"/>
    <w:rsid w:val="75832979"/>
    <w:rsid w:val="75863208"/>
    <w:rsid w:val="75D44DBF"/>
    <w:rsid w:val="76067942"/>
    <w:rsid w:val="76185753"/>
    <w:rsid w:val="763E0E8A"/>
    <w:rsid w:val="764014E6"/>
    <w:rsid w:val="767D0082"/>
    <w:rsid w:val="767E6208"/>
    <w:rsid w:val="769827C9"/>
    <w:rsid w:val="769C31B5"/>
    <w:rsid w:val="76C06CCE"/>
    <w:rsid w:val="76DA5057"/>
    <w:rsid w:val="76F80B97"/>
    <w:rsid w:val="77050597"/>
    <w:rsid w:val="771C796D"/>
    <w:rsid w:val="773549E5"/>
    <w:rsid w:val="77662937"/>
    <w:rsid w:val="77971CC6"/>
    <w:rsid w:val="77A77D25"/>
    <w:rsid w:val="77C37B5C"/>
    <w:rsid w:val="77D43927"/>
    <w:rsid w:val="77DA160C"/>
    <w:rsid w:val="77E82BFC"/>
    <w:rsid w:val="781D55E1"/>
    <w:rsid w:val="785E6B04"/>
    <w:rsid w:val="78917997"/>
    <w:rsid w:val="78B14CD6"/>
    <w:rsid w:val="78B468DA"/>
    <w:rsid w:val="791016D1"/>
    <w:rsid w:val="79190992"/>
    <w:rsid w:val="7925577B"/>
    <w:rsid w:val="79352B40"/>
    <w:rsid w:val="79547FAB"/>
    <w:rsid w:val="79664D3B"/>
    <w:rsid w:val="79685DED"/>
    <w:rsid w:val="796A4A3F"/>
    <w:rsid w:val="79844107"/>
    <w:rsid w:val="79A74A3F"/>
    <w:rsid w:val="7A1B3CF9"/>
    <w:rsid w:val="7A201AC3"/>
    <w:rsid w:val="7A3241B7"/>
    <w:rsid w:val="7A4602DF"/>
    <w:rsid w:val="7A4F6AD6"/>
    <w:rsid w:val="7A662F3B"/>
    <w:rsid w:val="7A690F1F"/>
    <w:rsid w:val="7A6A0793"/>
    <w:rsid w:val="7A7C24D7"/>
    <w:rsid w:val="7ABF1BE7"/>
    <w:rsid w:val="7AE105D7"/>
    <w:rsid w:val="7AE839A2"/>
    <w:rsid w:val="7AEA0D1E"/>
    <w:rsid w:val="7B2E14C9"/>
    <w:rsid w:val="7B334D35"/>
    <w:rsid w:val="7B46755C"/>
    <w:rsid w:val="7B720885"/>
    <w:rsid w:val="7B8A3D83"/>
    <w:rsid w:val="7BB7104C"/>
    <w:rsid w:val="7C043959"/>
    <w:rsid w:val="7C1555B2"/>
    <w:rsid w:val="7C252B68"/>
    <w:rsid w:val="7C694F7B"/>
    <w:rsid w:val="7CB8581C"/>
    <w:rsid w:val="7D084322"/>
    <w:rsid w:val="7D0D27F8"/>
    <w:rsid w:val="7D220006"/>
    <w:rsid w:val="7D352958"/>
    <w:rsid w:val="7D42050F"/>
    <w:rsid w:val="7D647309"/>
    <w:rsid w:val="7D7C79A8"/>
    <w:rsid w:val="7D8F021D"/>
    <w:rsid w:val="7DEE3B92"/>
    <w:rsid w:val="7DF06065"/>
    <w:rsid w:val="7E2C7B8A"/>
    <w:rsid w:val="7E432BAA"/>
    <w:rsid w:val="7E6A76F7"/>
    <w:rsid w:val="7E8C51F7"/>
    <w:rsid w:val="7F0B768C"/>
    <w:rsid w:val="7F0E4B8C"/>
    <w:rsid w:val="7F123B26"/>
    <w:rsid w:val="7F3245CD"/>
    <w:rsid w:val="7F4D241C"/>
    <w:rsid w:val="7F5702F6"/>
    <w:rsid w:val="7F6B61AE"/>
    <w:rsid w:val="7F714903"/>
    <w:rsid w:val="7F7A6E97"/>
    <w:rsid w:val="7F7A70A1"/>
    <w:rsid w:val="7FB32912"/>
    <w:rsid w:val="7FC9210C"/>
    <w:rsid w:val="7FD61F64"/>
    <w:rsid w:val="7FF64E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39"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iPriority="99" w:semiHidden="0" w:name="HTML Preformatted"/>
    <w:lsdException w:qFormat="1"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qFormat="1"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qFormat="1" w:uiPriority="0" w:name="Table Columns 1"/>
    <w:lsdException w:uiPriority="0" w:name="Table Columns 2"/>
    <w:lsdException w:uiPriority="0" w:name="Table Columns 3"/>
    <w:lsdException w:uiPriority="0" w:name="Table Columns 4"/>
    <w:lsdException w:uiPriority="0" w:name="Table Columns 5"/>
    <w:lsdException w:qFormat="1" w:uiPriority="0" w:name="Table Grid 1"/>
    <w:lsdException w:qFormat="1" w:uiPriority="0" w:name="Table Grid 2"/>
    <w:lsdException w:uiPriority="0" w:name="Table Grid 3"/>
    <w:lsdException w:uiPriority="0" w:name="Table Grid 4"/>
    <w:lsdException w:qFormat="1" w:uiPriority="0" w:name="Table Grid 5"/>
    <w:lsdException w:qFormat="1" w:uiPriority="0" w:name="Table Grid 6"/>
    <w:lsdException w:uiPriority="0" w:name="Table Grid 7"/>
    <w:lsdException w:qFormat="1" w:uiPriority="0" w:name="Table Grid 8"/>
    <w:lsdException w:uiPriority="0" w:name="Table List 1"/>
    <w:lsdException w:qFormat="1" w:uiPriority="0" w:name="Table List 2"/>
    <w:lsdException w:qFormat="1" w:uiPriority="0" w:name="Table List 3"/>
    <w:lsdException w:uiPriority="0" w:name="Table List 4"/>
    <w:lsdException w:uiPriority="0" w:name="Table List 5"/>
    <w:lsdException w:uiPriority="0" w:name="Table List 6"/>
    <w:lsdException w:qFormat="1" w:uiPriority="99" w:name="Table List 7"/>
    <w:lsdException w:uiPriority="0" w:name="Table List 8"/>
    <w:lsdException w:uiPriority="0" w:name="Table 3D effects 1"/>
    <w:lsdException w:uiPriority="0" w:name="Table 3D effects 2"/>
    <w:lsdException w:qFormat="1" w:uiPriority="0" w:name="Table 3D effects 3"/>
    <w:lsdException w:uiPriority="0" w:name="Table Contemporary"/>
    <w:lsdException w:qFormat="1" w:uiPriority="0" w:name="Table Elegant"/>
    <w:lsdException w:qFormat="1" w:uiPriority="0" w:name="Table Professional"/>
    <w:lsdException w:uiPriority="0" w:name="Table Subtle 1"/>
    <w:lsdException w:uiPriority="0" w:name="Table Subtle 2"/>
    <w:lsdException w:uiPriority="0" w:name="Table Web 1"/>
    <w:lsdException w:uiPriority="0" w:name="Table Web 2"/>
    <w:lsdException w:qFormat="1" w:uiPriority="0" w:name="Table Web 3"/>
    <w:lsdException w:qFormat="1" w:unhideWhenUsed="0" w:uiPriority="99" w:semiHidden="0" w:name="Balloon Text"/>
    <w:lsdException w:qFormat="1" w:unhideWhenUsed="0" w:uiPriority="59" w:semiHidden="0" w:name="Table Grid"/>
    <w:lsdException w:qFormat="1"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auto"/>
    </w:pPr>
    <w:rPr>
      <w:rFonts w:ascii="Times New Roman" w:hAnsi="Times New Roman" w:eastAsia="宋体" w:cs="Times New Roman"/>
      <w:sz w:val="24"/>
      <w:szCs w:val="24"/>
      <w:lang w:val="en-US" w:eastAsia="zh-CN" w:bidi="ar-SA"/>
    </w:rPr>
  </w:style>
  <w:style w:type="paragraph" w:styleId="2">
    <w:name w:val="heading 1"/>
    <w:basedOn w:val="1"/>
    <w:next w:val="1"/>
    <w:link w:val="26"/>
    <w:qFormat/>
    <w:uiPriority w:val="0"/>
    <w:pPr>
      <w:ind w:firstLine="0" w:firstLineChars="0"/>
      <w:jc w:val="center"/>
      <w:outlineLvl w:val="0"/>
    </w:pPr>
    <w:rPr>
      <w:rFonts w:eastAsia="黑体"/>
      <w:bCs/>
      <w:kern w:val="44"/>
      <w:sz w:val="36"/>
      <w:szCs w:val="52"/>
    </w:rPr>
  </w:style>
  <w:style w:type="paragraph" w:styleId="3">
    <w:name w:val="heading 2"/>
    <w:basedOn w:val="1"/>
    <w:next w:val="1"/>
    <w:link w:val="19"/>
    <w:qFormat/>
    <w:uiPriority w:val="0"/>
    <w:pPr>
      <w:ind w:firstLine="0" w:firstLineChars="0"/>
      <w:outlineLvl w:val="1"/>
    </w:pPr>
    <w:rPr>
      <w:rFonts w:eastAsia="黑体"/>
      <w:sz w:val="32"/>
      <w:szCs w:val="32"/>
    </w:rPr>
  </w:style>
  <w:style w:type="paragraph" w:styleId="4">
    <w:name w:val="heading 3"/>
    <w:basedOn w:val="1"/>
    <w:next w:val="1"/>
    <w:link w:val="20"/>
    <w:qFormat/>
    <w:uiPriority w:val="0"/>
    <w:pPr>
      <w:ind w:firstLine="0" w:firstLineChars="0"/>
      <w:outlineLvl w:val="2"/>
    </w:pPr>
    <w:rPr>
      <w:rFonts w:eastAsia="黑体"/>
      <w:bCs/>
      <w:sz w:val="28"/>
      <w:szCs w:val="28"/>
    </w:rPr>
  </w:style>
  <w:style w:type="paragraph" w:styleId="5">
    <w:name w:val="heading 4"/>
    <w:basedOn w:val="1"/>
    <w:next w:val="1"/>
    <w:link w:val="21"/>
    <w:qFormat/>
    <w:uiPriority w:val="0"/>
    <w:pPr>
      <w:ind w:firstLine="0" w:firstLineChars="0"/>
      <w:outlineLvl w:val="3"/>
    </w:pPr>
    <w:rPr>
      <w:b/>
      <w:bCs/>
    </w:rPr>
  </w:style>
  <w:style w:type="paragraph" w:styleId="6">
    <w:name w:val="heading 5"/>
    <w:basedOn w:val="1"/>
    <w:next w:val="1"/>
    <w:link w:val="27"/>
    <w:qFormat/>
    <w:uiPriority w:val="0"/>
    <w:pPr>
      <w:outlineLvl w:val="4"/>
    </w:pPr>
    <w:rPr>
      <w:rFonts w:cs="Times New Roman"/>
    </w:rPr>
  </w:style>
  <w:style w:type="paragraph" w:styleId="7">
    <w:name w:val="heading 6"/>
    <w:basedOn w:val="1"/>
    <w:next w:val="1"/>
    <w:link w:val="22"/>
    <w:qFormat/>
    <w:uiPriority w:val="0"/>
    <w:pPr>
      <w:outlineLvl w:val="5"/>
    </w:pPr>
    <w:rPr>
      <w:rFonts w:cs="Times New Roman"/>
    </w:rPr>
  </w:style>
  <w:style w:type="paragraph" w:styleId="8">
    <w:name w:val="heading 7"/>
    <w:basedOn w:val="1"/>
    <w:next w:val="1"/>
    <w:link w:val="23"/>
    <w:qFormat/>
    <w:uiPriority w:val="0"/>
    <w:pPr>
      <w:keepNext/>
      <w:keepLines/>
      <w:spacing w:before="240" w:after="64" w:line="320" w:lineRule="auto"/>
      <w:outlineLvl w:val="6"/>
    </w:pPr>
    <w:rPr>
      <w:b/>
      <w:bCs/>
    </w:rPr>
  </w:style>
  <w:style w:type="paragraph" w:styleId="9">
    <w:name w:val="heading 8"/>
    <w:basedOn w:val="1"/>
    <w:next w:val="1"/>
    <w:link w:val="24"/>
    <w:qFormat/>
    <w:uiPriority w:val="0"/>
    <w:pPr>
      <w:keepNext/>
      <w:keepLines/>
      <w:spacing w:before="240" w:after="64" w:line="320" w:lineRule="auto"/>
      <w:outlineLvl w:val="7"/>
    </w:pPr>
    <w:rPr>
      <w:rFonts w:ascii="Arial" w:hAnsi="Arial" w:eastAsia="黑体"/>
    </w:rPr>
  </w:style>
  <w:style w:type="paragraph" w:styleId="10">
    <w:name w:val="heading 9"/>
    <w:basedOn w:val="1"/>
    <w:next w:val="1"/>
    <w:link w:val="25"/>
    <w:qFormat/>
    <w:uiPriority w:val="0"/>
    <w:pPr>
      <w:keepNext/>
      <w:keepLines/>
      <w:spacing w:before="240" w:after="64" w:line="320" w:lineRule="auto"/>
      <w:outlineLvl w:val="8"/>
    </w:pPr>
    <w:rPr>
      <w:rFonts w:ascii="Arial" w:hAnsi="Arial" w:eastAsia="黑体"/>
      <w:szCs w:val="21"/>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qFormat/>
    <w:uiPriority w:val="0"/>
    <w:pPr>
      <w:jc w:val="left"/>
    </w:pPr>
  </w:style>
  <w:style w:type="paragraph" w:styleId="12">
    <w:name w:val="footer"/>
    <w:basedOn w:val="1"/>
    <w:qFormat/>
    <w:uiPriority w:val="99"/>
    <w:pPr>
      <w:tabs>
        <w:tab w:val="center" w:pos="4153"/>
        <w:tab w:val="right" w:pos="8306"/>
      </w:tabs>
      <w:snapToGrid w:val="0"/>
      <w:jc w:val="left"/>
    </w:pPr>
    <w:rPr>
      <w:sz w:val="18"/>
    </w:rPr>
  </w:style>
  <w:style w:type="paragraph" w:styleId="13">
    <w:name w:val="header"/>
    <w:basedOn w:val="1"/>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toc 1"/>
    <w:basedOn w:val="1"/>
    <w:next w:val="1"/>
    <w:qFormat/>
    <w:uiPriority w:val="39"/>
  </w:style>
  <w:style w:type="paragraph" w:styleId="15">
    <w:name w:val="toc 2"/>
    <w:basedOn w:val="1"/>
    <w:next w:val="1"/>
    <w:qFormat/>
    <w:uiPriority w:val="39"/>
    <w:pPr>
      <w:ind w:left="420" w:leftChars="200"/>
    </w:pPr>
  </w:style>
  <w:style w:type="table" w:styleId="17">
    <w:name w:val="Table Grid"/>
    <w:basedOn w:val="16"/>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9">
    <w:name w:val="标题 2 字符"/>
    <w:link w:val="3"/>
    <w:qFormat/>
    <w:uiPriority w:val="0"/>
    <w:rPr>
      <w:rFonts w:ascii="Times New Roman" w:hAnsi="Times New Roman" w:eastAsia="黑体" w:cs="Times New Roman"/>
      <w:sz w:val="32"/>
      <w:szCs w:val="32"/>
      <w:lang w:val="en-US" w:eastAsia="zh-CN" w:bidi="ar-SA"/>
    </w:rPr>
  </w:style>
  <w:style w:type="character" w:customStyle="1" w:styleId="20">
    <w:name w:val="标题 3 字符"/>
    <w:link w:val="4"/>
    <w:qFormat/>
    <w:uiPriority w:val="0"/>
    <w:rPr>
      <w:rFonts w:ascii="Times New Roman" w:hAnsi="Times New Roman" w:eastAsia="黑体" w:cs="Times New Roman"/>
      <w:bCs/>
      <w:sz w:val="28"/>
      <w:szCs w:val="28"/>
      <w:lang w:val="en-US" w:eastAsia="zh-CN" w:bidi="ar-SA"/>
    </w:rPr>
  </w:style>
  <w:style w:type="character" w:customStyle="1" w:styleId="21">
    <w:name w:val="标题 4 字符"/>
    <w:link w:val="5"/>
    <w:qFormat/>
    <w:uiPriority w:val="0"/>
    <w:rPr>
      <w:rFonts w:ascii="Times New Roman" w:hAnsi="Times New Roman" w:eastAsia="宋体" w:cs="Times New Roman"/>
      <w:b/>
      <w:bCs/>
      <w:sz w:val="24"/>
      <w:szCs w:val="24"/>
      <w:lang w:val="en-US" w:eastAsia="zh-CN" w:bidi="ar-SA"/>
    </w:rPr>
  </w:style>
  <w:style w:type="character" w:customStyle="1" w:styleId="22">
    <w:name w:val="标题 6 字符1"/>
    <w:link w:val="7"/>
    <w:qFormat/>
    <w:uiPriority w:val="0"/>
    <w:rPr>
      <w:rFonts w:ascii="Arial" w:hAnsi="Arial" w:eastAsia="黑体"/>
      <w:b/>
      <w:bCs/>
      <w:kern w:val="2"/>
      <w:sz w:val="24"/>
      <w:szCs w:val="24"/>
    </w:rPr>
  </w:style>
  <w:style w:type="character" w:customStyle="1" w:styleId="23">
    <w:name w:val="标题 7 字符"/>
    <w:link w:val="8"/>
    <w:qFormat/>
    <w:uiPriority w:val="0"/>
    <w:rPr>
      <w:b/>
      <w:bCs/>
      <w:kern w:val="2"/>
      <w:sz w:val="24"/>
      <w:szCs w:val="24"/>
    </w:rPr>
  </w:style>
  <w:style w:type="character" w:customStyle="1" w:styleId="24">
    <w:name w:val="标题 8 字符"/>
    <w:link w:val="9"/>
    <w:qFormat/>
    <w:uiPriority w:val="0"/>
    <w:rPr>
      <w:rFonts w:ascii="Arial" w:hAnsi="Arial" w:eastAsia="黑体"/>
      <w:kern w:val="2"/>
      <w:sz w:val="24"/>
      <w:szCs w:val="24"/>
    </w:rPr>
  </w:style>
  <w:style w:type="character" w:customStyle="1" w:styleId="25">
    <w:name w:val="标题 9 字符"/>
    <w:link w:val="10"/>
    <w:qFormat/>
    <w:uiPriority w:val="0"/>
    <w:rPr>
      <w:rFonts w:ascii="Arial" w:hAnsi="Arial" w:eastAsia="黑体"/>
      <w:kern w:val="2"/>
      <w:sz w:val="21"/>
      <w:szCs w:val="21"/>
    </w:rPr>
  </w:style>
  <w:style w:type="character" w:customStyle="1" w:styleId="26">
    <w:name w:val="标题 1 字符"/>
    <w:link w:val="2"/>
    <w:qFormat/>
    <w:uiPriority w:val="0"/>
    <w:rPr>
      <w:rFonts w:ascii="Times New Roman" w:hAnsi="Times New Roman" w:eastAsia="黑体" w:cs="Times New Roman"/>
      <w:bCs/>
      <w:kern w:val="44"/>
      <w:sz w:val="36"/>
      <w:szCs w:val="52"/>
      <w:lang w:val="en-US" w:eastAsia="zh-CN" w:bidi="ar-SA"/>
    </w:rPr>
  </w:style>
  <w:style w:type="character" w:customStyle="1" w:styleId="27">
    <w:name w:val="标题 5 字符"/>
    <w:link w:val="6"/>
    <w:qFormat/>
    <w:uiPriority w:val="9"/>
    <w:rPr>
      <w:rFonts w:ascii="Times New Roman" w:hAnsi="Times New Roman" w:eastAsia="宋体" w:cs="Times New Roman"/>
      <w:color w:val="000000"/>
      <w:kern w:val="2"/>
      <w:sz w:val="24"/>
      <w:szCs w:val="24"/>
    </w:rPr>
  </w:style>
  <w:style w:type="paragraph" w:customStyle="1" w:styleId="28">
    <w:name w:val="表格内容-J"/>
    <w:basedOn w:val="1"/>
    <w:qFormat/>
    <w:uiPriority w:val="0"/>
    <w:pPr>
      <w:spacing w:line="240" w:lineRule="auto"/>
      <w:ind w:firstLine="0" w:firstLineChars="0"/>
      <w:jc w:val="center"/>
    </w:pPr>
    <w:rPr>
      <w:color w:val="000000"/>
      <w:sz w:val="21"/>
      <w:szCs w:val="21"/>
      <w:lang w:bidi="ar"/>
    </w:rPr>
  </w:style>
  <w:style w:type="paragraph" w:customStyle="1" w:styleId="29">
    <w:name w:val="表标题-J"/>
    <w:basedOn w:val="1"/>
    <w:qFormat/>
    <w:uiPriority w:val="0"/>
    <w:pPr>
      <w:spacing w:before="164" w:beforeLines="50" w:line="240" w:lineRule="auto"/>
      <w:ind w:firstLine="0" w:firstLineChars="0"/>
      <w:jc w:val="center"/>
    </w:pPr>
    <w:rPr>
      <w:b/>
      <w:bCs/>
      <w:sz w:val="21"/>
      <w:szCs w:val="21"/>
    </w:rPr>
  </w:style>
  <w:style w:type="paragraph" w:customStyle="1" w:styleId="30">
    <w:name w:val="图标题-J"/>
    <w:basedOn w:val="1"/>
    <w:qFormat/>
    <w:uiPriority w:val="0"/>
    <w:pPr>
      <w:spacing w:after="50" w:afterLines="50" w:line="240" w:lineRule="auto"/>
      <w:ind w:firstLine="0" w:firstLineChars="0"/>
      <w:jc w:val="center"/>
    </w:pPr>
    <w:rPr>
      <w:rFonts w:hint="eastAsia"/>
      <w:b/>
      <w:bCs/>
      <w:color w:val="auto"/>
      <w:sz w:val="21"/>
      <w:szCs w:val="21"/>
    </w:rPr>
  </w:style>
  <w:style w:type="paragraph" w:customStyle="1" w:styleId="31">
    <w:name w:val="图-J"/>
    <w:basedOn w:val="1"/>
    <w:qFormat/>
    <w:uiPriority w:val="0"/>
    <w:pPr>
      <w:spacing w:line="240" w:lineRule="auto"/>
      <w:ind w:firstLine="0" w:firstLineChars="0"/>
      <w:jc w:val="center"/>
    </w:pPr>
  </w:style>
</w:styles>
</file>

<file path=word/_rels/document.xml.rels><?xml version="1.0" encoding="UTF-8" standalone="yes"?>
<Relationships xmlns="http://schemas.openxmlformats.org/package/2006/relationships"><Relationship Id="rId99" Type="http://schemas.openxmlformats.org/officeDocument/2006/relationships/image" Target="media/image42.jpeg"/><Relationship Id="rId98" Type="http://schemas.openxmlformats.org/officeDocument/2006/relationships/image" Target="media/image41.jpeg"/><Relationship Id="rId97" Type="http://schemas.openxmlformats.org/officeDocument/2006/relationships/image" Target="media/image40.jpeg"/><Relationship Id="rId96" Type="http://schemas.openxmlformats.org/officeDocument/2006/relationships/image" Target="media/image39.jpeg"/><Relationship Id="rId95" Type="http://schemas.openxmlformats.org/officeDocument/2006/relationships/image" Target="media/image38.jpeg"/><Relationship Id="rId94" Type="http://schemas.openxmlformats.org/officeDocument/2006/relationships/image" Target="media/image37.jpeg"/><Relationship Id="rId93" Type="http://schemas.openxmlformats.org/officeDocument/2006/relationships/image" Target="media/image36.jpeg"/><Relationship Id="rId92" Type="http://schemas.openxmlformats.org/officeDocument/2006/relationships/image" Target="media/image35.jpeg"/><Relationship Id="rId91" Type="http://schemas.openxmlformats.org/officeDocument/2006/relationships/image" Target="media/image34.jpeg"/><Relationship Id="rId90" Type="http://schemas.openxmlformats.org/officeDocument/2006/relationships/image" Target="media/image33.jpeg"/><Relationship Id="rId9" Type="http://schemas.openxmlformats.org/officeDocument/2006/relationships/footer" Target="footer2.xml"/><Relationship Id="rId89" Type="http://schemas.openxmlformats.org/officeDocument/2006/relationships/image" Target="media/image32.jpeg"/><Relationship Id="rId88" Type="http://schemas.openxmlformats.org/officeDocument/2006/relationships/image" Target="media/image31.jpeg"/><Relationship Id="rId87" Type="http://schemas.openxmlformats.org/officeDocument/2006/relationships/image" Target="media/image30.jpeg"/><Relationship Id="rId86" Type="http://schemas.openxmlformats.org/officeDocument/2006/relationships/image" Target="media/image29.jpeg"/><Relationship Id="rId85" Type="http://schemas.openxmlformats.org/officeDocument/2006/relationships/image" Target="media/image28.jpeg"/><Relationship Id="rId84" Type="http://schemas.openxmlformats.org/officeDocument/2006/relationships/image" Target="media/image27.jpeg"/><Relationship Id="rId83" Type="http://schemas.openxmlformats.org/officeDocument/2006/relationships/image" Target="media/image26.jpeg"/><Relationship Id="rId82" Type="http://schemas.openxmlformats.org/officeDocument/2006/relationships/image" Target="media/image25.jpeg"/><Relationship Id="rId81" Type="http://schemas.openxmlformats.org/officeDocument/2006/relationships/image" Target="media/image24.jpeg"/><Relationship Id="rId80" Type="http://schemas.openxmlformats.org/officeDocument/2006/relationships/image" Target="media/image23.jpeg"/><Relationship Id="rId8" Type="http://schemas.openxmlformats.org/officeDocument/2006/relationships/footer" Target="footer1.xml"/><Relationship Id="rId79" Type="http://schemas.openxmlformats.org/officeDocument/2006/relationships/image" Target="media/image22.jpeg"/><Relationship Id="rId78" Type="http://schemas.openxmlformats.org/officeDocument/2006/relationships/image" Target="media/image21.jpeg"/><Relationship Id="rId77" Type="http://schemas.openxmlformats.org/officeDocument/2006/relationships/image" Target="media/image20.jpeg"/><Relationship Id="rId76" Type="http://schemas.openxmlformats.org/officeDocument/2006/relationships/image" Target="media/image19.jpeg"/><Relationship Id="rId75" Type="http://schemas.openxmlformats.org/officeDocument/2006/relationships/image" Target="media/image18.jpeg"/><Relationship Id="rId74" Type="http://schemas.openxmlformats.org/officeDocument/2006/relationships/image" Target="media/image17.jpeg"/><Relationship Id="rId73" Type="http://schemas.openxmlformats.org/officeDocument/2006/relationships/image" Target="media/image16.jpeg"/><Relationship Id="rId72" Type="http://schemas.openxmlformats.org/officeDocument/2006/relationships/image" Target="media/image15.jpeg"/><Relationship Id="rId71" Type="http://schemas.openxmlformats.org/officeDocument/2006/relationships/image" Target="media/image14.jpeg"/><Relationship Id="rId70" Type="http://schemas.openxmlformats.org/officeDocument/2006/relationships/image" Target="media/image13.png"/><Relationship Id="rId7" Type="http://schemas.openxmlformats.org/officeDocument/2006/relationships/header" Target="header3.xml"/><Relationship Id="rId69" Type="http://schemas.openxmlformats.org/officeDocument/2006/relationships/image" Target="media/image12.png"/><Relationship Id="rId68" Type="http://schemas.openxmlformats.org/officeDocument/2006/relationships/image" Target="media/image11.png"/><Relationship Id="rId67" Type="http://schemas.openxmlformats.org/officeDocument/2006/relationships/image" Target="media/image10.png"/><Relationship Id="rId66" Type="http://schemas.openxmlformats.org/officeDocument/2006/relationships/image" Target="media/image9.png"/><Relationship Id="rId65" Type="http://schemas.openxmlformats.org/officeDocument/2006/relationships/image" Target="media/image8.png"/><Relationship Id="rId64" Type="http://schemas.openxmlformats.org/officeDocument/2006/relationships/image" Target="media/image7.png"/><Relationship Id="rId63" Type="http://schemas.openxmlformats.org/officeDocument/2006/relationships/image" Target="media/image6.png"/><Relationship Id="rId62" Type="http://schemas.openxmlformats.org/officeDocument/2006/relationships/image" Target="media/image5.png"/><Relationship Id="rId61" Type="http://schemas.openxmlformats.org/officeDocument/2006/relationships/image" Target="media/image4.png"/><Relationship Id="rId60" Type="http://schemas.openxmlformats.org/officeDocument/2006/relationships/image" Target="media/image3.png"/><Relationship Id="rId6" Type="http://schemas.openxmlformats.org/officeDocument/2006/relationships/header" Target="header2.xml"/><Relationship Id="rId59" Type="http://schemas.openxmlformats.org/officeDocument/2006/relationships/image" Target="media/image2.jpeg"/><Relationship Id="rId58" Type="http://schemas.openxmlformats.org/officeDocument/2006/relationships/image" Target="media/image1.png"/><Relationship Id="rId57" Type="http://schemas.openxmlformats.org/officeDocument/2006/relationships/oleObject" Target="embeddings/oleObject1.bin"/><Relationship Id="rId56" Type="http://schemas.openxmlformats.org/officeDocument/2006/relationships/theme" Target="theme/theme1.xml"/><Relationship Id="rId55" Type="http://schemas.openxmlformats.org/officeDocument/2006/relationships/footer" Target="footer28.xml"/><Relationship Id="rId54" Type="http://schemas.openxmlformats.org/officeDocument/2006/relationships/header" Target="header23.xml"/><Relationship Id="rId53" Type="http://schemas.openxmlformats.org/officeDocument/2006/relationships/footer" Target="footer27.xml"/><Relationship Id="rId52" Type="http://schemas.openxmlformats.org/officeDocument/2006/relationships/footer" Target="footer26.xml"/><Relationship Id="rId51" Type="http://schemas.openxmlformats.org/officeDocument/2006/relationships/footer" Target="footer25.xml"/><Relationship Id="rId50" Type="http://schemas.openxmlformats.org/officeDocument/2006/relationships/header" Target="header22.xml"/><Relationship Id="rId5" Type="http://schemas.openxmlformats.org/officeDocument/2006/relationships/header" Target="header1.xml"/><Relationship Id="rId49" Type="http://schemas.openxmlformats.org/officeDocument/2006/relationships/header" Target="header21.xml"/><Relationship Id="rId48" Type="http://schemas.openxmlformats.org/officeDocument/2006/relationships/header" Target="header20.xml"/><Relationship Id="rId47" Type="http://schemas.openxmlformats.org/officeDocument/2006/relationships/footer" Target="footer24.xml"/><Relationship Id="rId46" Type="http://schemas.openxmlformats.org/officeDocument/2006/relationships/header" Target="header19.xml"/><Relationship Id="rId45" Type="http://schemas.openxmlformats.org/officeDocument/2006/relationships/footer" Target="footer23.xml"/><Relationship Id="rId44" Type="http://schemas.openxmlformats.org/officeDocument/2006/relationships/header" Target="header18.xml"/><Relationship Id="rId43" Type="http://schemas.openxmlformats.org/officeDocument/2006/relationships/footer" Target="footer22.xml"/><Relationship Id="rId42" Type="http://schemas.openxmlformats.org/officeDocument/2006/relationships/header" Target="header17.xml"/><Relationship Id="rId41" Type="http://schemas.openxmlformats.org/officeDocument/2006/relationships/footer" Target="footer21.xml"/><Relationship Id="rId40" Type="http://schemas.openxmlformats.org/officeDocument/2006/relationships/header" Target="header16.xml"/><Relationship Id="rId4" Type="http://schemas.openxmlformats.org/officeDocument/2006/relationships/endnotes" Target="endnotes.xml"/><Relationship Id="rId39" Type="http://schemas.openxmlformats.org/officeDocument/2006/relationships/footer" Target="footer20.xml"/><Relationship Id="rId38" Type="http://schemas.openxmlformats.org/officeDocument/2006/relationships/header" Target="header15.xml"/><Relationship Id="rId37" Type="http://schemas.openxmlformats.org/officeDocument/2006/relationships/footer" Target="footer19.xml"/><Relationship Id="rId36" Type="http://schemas.openxmlformats.org/officeDocument/2006/relationships/header" Target="header14.xml"/><Relationship Id="rId35" Type="http://schemas.openxmlformats.org/officeDocument/2006/relationships/footer" Target="footer18.xml"/><Relationship Id="rId34" Type="http://schemas.openxmlformats.org/officeDocument/2006/relationships/footer" Target="footer17.xml"/><Relationship Id="rId33" Type="http://schemas.openxmlformats.org/officeDocument/2006/relationships/footer" Target="footer16.xml"/><Relationship Id="rId32" Type="http://schemas.openxmlformats.org/officeDocument/2006/relationships/header" Target="header13.xml"/><Relationship Id="rId31" Type="http://schemas.openxmlformats.org/officeDocument/2006/relationships/header" Target="header12.xml"/><Relationship Id="rId30" Type="http://schemas.openxmlformats.org/officeDocument/2006/relationships/header" Target="header11.xml"/><Relationship Id="rId3" Type="http://schemas.openxmlformats.org/officeDocument/2006/relationships/footnotes" Target="footnotes.xml"/><Relationship Id="rId29" Type="http://schemas.openxmlformats.org/officeDocument/2006/relationships/footer" Target="footer15.xml"/><Relationship Id="rId28" Type="http://schemas.openxmlformats.org/officeDocument/2006/relationships/header" Target="header10.xml"/><Relationship Id="rId27" Type="http://schemas.openxmlformats.org/officeDocument/2006/relationships/header" Target="header9.xml"/><Relationship Id="rId26" Type="http://schemas.openxmlformats.org/officeDocument/2006/relationships/footer" Target="footer14.xml"/><Relationship Id="rId25" Type="http://schemas.openxmlformats.org/officeDocument/2006/relationships/header" Target="header8.xml"/><Relationship Id="rId24" Type="http://schemas.openxmlformats.org/officeDocument/2006/relationships/footer" Target="footer13.xml"/><Relationship Id="rId23" Type="http://schemas.openxmlformats.org/officeDocument/2006/relationships/header" Target="header7.xml"/><Relationship Id="rId22" Type="http://schemas.openxmlformats.org/officeDocument/2006/relationships/footer" Target="footer12.xml"/><Relationship Id="rId21" Type="http://schemas.openxmlformats.org/officeDocument/2006/relationships/header" Target="header6.xml"/><Relationship Id="rId20" Type="http://schemas.openxmlformats.org/officeDocument/2006/relationships/footer" Target="footer11.xml"/><Relationship Id="rId2" Type="http://schemas.openxmlformats.org/officeDocument/2006/relationships/settings" Target="settings.xml"/><Relationship Id="rId19" Type="http://schemas.openxmlformats.org/officeDocument/2006/relationships/header" Target="header5.xml"/><Relationship Id="rId18" Type="http://schemas.openxmlformats.org/officeDocument/2006/relationships/footer" Target="footer10.xml"/><Relationship Id="rId178" Type="http://schemas.openxmlformats.org/officeDocument/2006/relationships/fontTable" Target="fontTable.xml"/><Relationship Id="rId177" Type="http://schemas.openxmlformats.org/officeDocument/2006/relationships/numbering" Target="numbering.xml"/><Relationship Id="rId176" Type="http://schemas.openxmlformats.org/officeDocument/2006/relationships/customXml" Target="../customXml/item1.xml"/><Relationship Id="rId175" Type="http://schemas.openxmlformats.org/officeDocument/2006/relationships/image" Target="media/image109.jpeg"/><Relationship Id="rId174" Type="http://schemas.openxmlformats.org/officeDocument/2006/relationships/image" Target="media/image108.png"/><Relationship Id="rId173" Type="http://schemas.openxmlformats.org/officeDocument/2006/relationships/oleObject" Target="embeddings/oleObject10.bin"/><Relationship Id="rId172" Type="http://schemas.openxmlformats.org/officeDocument/2006/relationships/image" Target="media/image107.png"/><Relationship Id="rId171" Type="http://schemas.openxmlformats.org/officeDocument/2006/relationships/image" Target="media/image106.png"/><Relationship Id="rId170" Type="http://schemas.openxmlformats.org/officeDocument/2006/relationships/image" Target="media/image105.jpeg"/><Relationship Id="rId17" Type="http://schemas.openxmlformats.org/officeDocument/2006/relationships/footer" Target="footer9.xml"/><Relationship Id="rId169" Type="http://schemas.openxmlformats.org/officeDocument/2006/relationships/image" Target="media/image104.jpeg"/><Relationship Id="rId168" Type="http://schemas.openxmlformats.org/officeDocument/2006/relationships/image" Target="media/image103.jpeg"/><Relationship Id="rId167" Type="http://schemas.openxmlformats.org/officeDocument/2006/relationships/image" Target="media/image102.jpeg"/><Relationship Id="rId166" Type="http://schemas.openxmlformats.org/officeDocument/2006/relationships/image" Target="media/image101.jpeg"/><Relationship Id="rId165" Type="http://schemas.openxmlformats.org/officeDocument/2006/relationships/image" Target="media/image100.jpeg"/><Relationship Id="rId164" Type="http://schemas.openxmlformats.org/officeDocument/2006/relationships/image" Target="media/image99.jpeg"/><Relationship Id="rId163" Type="http://schemas.openxmlformats.org/officeDocument/2006/relationships/image" Target="media/image98.jpeg"/><Relationship Id="rId162" Type="http://schemas.openxmlformats.org/officeDocument/2006/relationships/image" Target="media/image97.jpeg"/><Relationship Id="rId161" Type="http://schemas.openxmlformats.org/officeDocument/2006/relationships/image" Target="media/image96.jpeg"/><Relationship Id="rId160" Type="http://schemas.openxmlformats.org/officeDocument/2006/relationships/image" Target="media/image95.jpeg"/><Relationship Id="rId16" Type="http://schemas.openxmlformats.org/officeDocument/2006/relationships/footer" Target="footer8.xml"/><Relationship Id="rId159" Type="http://schemas.openxmlformats.org/officeDocument/2006/relationships/image" Target="media/image94.jpeg"/><Relationship Id="rId158" Type="http://schemas.openxmlformats.org/officeDocument/2006/relationships/image" Target="media/image93.png"/><Relationship Id="rId157" Type="http://schemas.openxmlformats.org/officeDocument/2006/relationships/image" Target="media/image92.png"/><Relationship Id="rId156" Type="http://schemas.openxmlformats.org/officeDocument/2006/relationships/image" Target="media/image91.png"/><Relationship Id="rId155" Type="http://schemas.openxmlformats.org/officeDocument/2006/relationships/image" Target="media/image90.png"/><Relationship Id="rId154" Type="http://schemas.openxmlformats.org/officeDocument/2006/relationships/image" Target="media/image89.png"/><Relationship Id="rId153" Type="http://schemas.openxmlformats.org/officeDocument/2006/relationships/image" Target="media/image88.png"/><Relationship Id="rId152" Type="http://schemas.openxmlformats.org/officeDocument/2006/relationships/image" Target="media/image87.png"/><Relationship Id="rId151" Type="http://schemas.openxmlformats.org/officeDocument/2006/relationships/image" Target="media/image86.png"/><Relationship Id="rId150" Type="http://schemas.openxmlformats.org/officeDocument/2006/relationships/oleObject" Target="embeddings/oleObject9.bin"/><Relationship Id="rId15" Type="http://schemas.openxmlformats.org/officeDocument/2006/relationships/footer" Target="footer7.xml"/><Relationship Id="rId149" Type="http://schemas.openxmlformats.org/officeDocument/2006/relationships/image" Target="media/image85.png"/><Relationship Id="rId148" Type="http://schemas.openxmlformats.org/officeDocument/2006/relationships/image" Target="media/image84.jpeg"/><Relationship Id="rId147" Type="http://schemas.openxmlformats.org/officeDocument/2006/relationships/image" Target="media/image83.jpeg"/><Relationship Id="rId146" Type="http://schemas.openxmlformats.org/officeDocument/2006/relationships/image" Target="media/image82.jpeg"/><Relationship Id="rId145" Type="http://schemas.openxmlformats.org/officeDocument/2006/relationships/image" Target="media/image81.jpeg"/><Relationship Id="rId144" Type="http://schemas.openxmlformats.org/officeDocument/2006/relationships/image" Target="media/image80.jpeg"/><Relationship Id="rId143" Type="http://schemas.openxmlformats.org/officeDocument/2006/relationships/image" Target="media/image79.jpeg"/><Relationship Id="rId142" Type="http://schemas.openxmlformats.org/officeDocument/2006/relationships/image" Target="media/image78.png"/><Relationship Id="rId141" Type="http://schemas.openxmlformats.org/officeDocument/2006/relationships/oleObject" Target="embeddings/oleObject8.bin"/><Relationship Id="rId140" Type="http://schemas.openxmlformats.org/officeDocument/2006/relationships/image" Target="media/image77.png"/><Relationship Id="rId14" Type="http://schemas.openxmlformats.org/officeDocument/2006/relationships/footer" Target="footer6.xml"/><Relationship Id="rId139" Type="http://schemas.openxmlformats.org/officeDocument/2006/relationships/oleObject" Target="embeddings/oleObject7.bin"/><Relationship Id="rId138" Type="http://schemas.openxmlformats.org/officeDocument/2006/relationships/image" Target="media/image76.png"/><Relationship Id="rId137" Type="http://schemas.openxmlformats.org/officeDocument/2006/relationships/image" Target="media/image75.png"/><Relationship Id="rId136" Type="http://schemas.openxmlformats.org/officeDocument/2006/relationships/image" Target="media/image74.png"/><Relationship Id="rId135" Type="http://schemas.openxmlformats.org/officeDocument/2006/relationships/image" Target="media/image73.jpeg"/><Relationship Id="rId134" Type="http://schemas.openxmlformats.org/officeDocument/2006/relationships/image" Target="media/image72.jpeg"/><Relationship Id="rId133" Type="http://schemas.openxmlformats.org/officeDocument/2006/relationships/image" Target="media/image71.png"/><Relationship Id="rId132" Type="http://schemas.openxmlformats.org/officeDocument/2006/relationships/image" Target="media/image70.jpeg"/><Relationship Id="rId131" Type="http://schemas.openxmlformats.org/officeDocument/2006/relationships/image" Target="media/image69.jpeg"/><Relationship Id="rId130" Type="http://schemas.openxmlformats.org/officeDocument/2006/relationships/image" Target="media/image68.png"/><Relationship Id="rId13" Type="http://schemas.openxmlformats.org/officeDocument/2006/relationships/footer" Target="footer5.xml"/><Relationship Id="rId129" Type="http://schemas.openxmlformats.org/officeDocument/2006/relationships/image" Target="media/image67.jpeg"/><Relationship Id="rId128" Type="http://schemas.openxmlformats.org/officeDocument/2006/relationships/image" Target="media/image66.jpeg"/><Relationship Id="rId127" Type="http://schemas.openxmlformats.org/officeDocument/2006/relationships/image" Target="media/image65.jpeg"/><Relationship Id="rId126" Type="http://schemas.openxmlformats.org/officeDocument/2006/relationships/image" Target="media/image64.png"/><Relationship Id="rId125" Type="http://schemas.openxmlformats.org/officeDocument/2006/relationships/image" Target="media/image63.jpeg"/><Relationship Id="rId124" Type="http://schemas.openxmlformats.org/officeDocument/2006/relationships/image" Target="media/image62.png"/><Relationship Id="rId123" Type="http://schemas.openxmlformats.org/officeDocument/2006/relationships/oleObject" Target="embeddings/oleObject6.bin"/><Relationship Id="rId122" Type="http://schemas.openxmlformats.org/officeDocument/2006/relationships/image" Target="media/image61.png"/><Relationship Id="rId121" Type="http://schemas.openxmlformats.org/officeDocument/2006/relationships/oleObject" Target="embeddings/oleObject5.bin"/><Relationship Id="rId120" Type="http://schemas.openxmlformats.org/officeDocument/2006/relationships/oleObject" Target="embeddings/oleObject4.bin"/><Relationship Id="rId12" Type="http://schemas.openxmlformats.org/officeDocument/2006/relationships/header" Target="header4.xml"/><Relationship Id="rId119" Type="http://schemas.openxmlformats.org/officeDocument/2006/relationships/image" Target="media/image60.png"/><Relationship Id="rId118" Type="http://schemas.openxmlformats.org/officeDocument/2006/relationships/oleObject" Target="embeddings/oleObject3.bin"/><Relationship Id="rId117" Type="http://schemas.openxmlformats.org/officeDocument/2006/relationships/image" Target="media/image59.png"/><Relationship Id="rId116" Type="http://schemas.openxmlformats.org/officeDocument/2006/relationships/oleObject" Target="embeddings/oleObject2.bin"/><Relationship Id="rId115" Type="http://schemas.openxmlformats.org/officeDocument/2006/relationships/image" Target="media/image58.png"/><Relationship Id="rId114" Type="http://schemas.openxmlformats.org/officeDocument/2006/relationships/image" Target="media/image57.jpeg"/><Relationship Id="rId113" Type="http://schemas.openxmlformats.org/officeDocument/2006/relationships/image" Target="media/image56.jpeg"/><Relationship Id="rId112" Type="http://schemas.openxmlformats.org/officeDocument/2006/relationships/image" Target="media/image55.jpeg"/><Relationship Id="rId111" Type="http://schemas.openxmlformats.org/officeDocument/2006/relationships/image" Target="media/image54.jpeg"/><Relationship Id="rId110" Type="http://schemas.openxmlformats.org/officeDocument/2006/relationships/image" Target="media/image53.jpeg"/><Relationship Id="rId11" Type="http://schemas.openxmlformats.org/officeDocument/2006/relationships/footer" Target="footer4.xml"/><Relationship Id="rId109" Type="http://schemas.openxmlformats.org/officeDocument/2006/relationships/image" Target="media/image52.jpeg"/><Relationship Id="rId108" Type="http://schemas.openxmlformats.org/officeDocument/2006/relationships/image" Target="media/image51.jpeg"/><Relationship Id="rId107" Type="http://schemas.openxmlformats.org/officeDocument/2006/relationships/image" Target="media/image50.jpeg"/><Relationship Id="rId106" Type="http://schemas.openxmlformats.org/officeDocument/2006/relationships/image" Target="media/image49.jpeg"/><Relationship Id="rId105" Type="http://schemas.openxmlformats.org/officeDocument/2006/relationships/image" Target="media/image48.jpeg"/><Relationship Id="rId104" Type="http://schemas.openxmlformats.org/officeDocument/2006/relationships/image" Target="media/image47.jpeg"/><Relationship Id="rId103" Type="http://schemas.openxmlformats.org/officeDocument/2006/relationships/image" Target="media/image46.jpeg"/><Relationship Id="rId102" Type="http://schemas.openxmlformats.org/officeDocument/2006/relationships/image" Target="media/image45.jpeg"/><Relationship Id="rId101" Type="http://schemas.openxmlformats.org/officeDocument/2006/relationships/image" Target="media/image44.jpeg"/><Relationship Id="rId100" Type="http://schemas.openxmlformats.org/officeDocument/2006/relationships/image" Target="media/image43.jpeg"/><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446</Pages>
  <Words>249146</Words>
  <Characters>297410</Characters>
  <Lines>2540</Lines>
  <Paragraphs>715</Paragraphs>
  <TotalTime>465</TotalTime>
  <ScaleCrop>false</ScaleCrop>
  <LinksUpToDate>false</LinksUpToDate>
  <CharactersWithSpaces>299148</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2021-03-29T08:27:00Z</dcterms:created>
  <dc:creator>user</dc:creator>
  <cp:lastModifiedBy>102</cp:lastModifiedBy>
  <cp:lastPrinted>2021-09-03T07:22:00Z</cp:lastPrinted>
  <dcterms:modified xsi:type="dcterms:W3CDTF">2024-08-20T21:17:37Z</dcterms:modified>
  <dc:title>xxxx</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环评文本">
    <vt:lpwstr>user</vt:lpwstr>
  </property>
  <property fmtid="{D5CDD505-2E9C-101B-9397-08002B2CF9AE}" pid="3" name="KSOProductBuildVer">
    <vt:lpwstr>2052-12.1.0.17857</vt:lpwstr>
  </property>
  <property fmtid="{D5CDD505-2E9C-101B-9397-08002B2CF9AE}" pid="4" name="ICV">
    <vt:lpwstr>B8C3247881C844ABBABC3D24DF6A47A5_13</vt:lpwstr>
  </property>
</Properties>
</file>